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AB2" w:rsidRPr="00053AB2" w:rsidRDefault="00606E07" w:rsidP="00053AB2">
      <w:pPr>
        <w:pStyle w:val="Ttulo1"/>
        <w:spacing w:after="240" w:line="240" w:lineRule="auto"/>
        <w:jc w:val="both"/>
        <w:rPr>
          <w:rFonts w:ascii="ITC Avant Garde" w:hAnsi="ITC Avant Garde"/>
          <w:b/>
          <w:color w:val="000000" w:themeColor="text1"/>
          <w:sz w:val="22"/>
          <w:szCs w:val="22"/>
          <w:lang w:eastAsia="es-MX"/>
        </w:rPr>
      </w:pPr>
      <w:bookmarkStart w:id="0" w:name="_GoBack"/>
      <w:bookmarkEnd w:id="0"/>
      <w:r w:rsidRPr="00053AB2">
        <w:rPr>
          <w:rFonts w:ascii="ITC Avant Garde" w:hAnsi="ITC Avant Garde"/>
          <w:b/>
          <w:color w:val="000000" w:themeColor="text1"/>
          <w:sz w:val="22"/>
          <w:szCs w:val="22"/>
          <w:lang w:eastAsia="es-MX"/>
        </w:rPr>
        <w:t>RESOLUCIÓN MEDIANTE</w:t>
      </w:r>
      <w:r w:rsidR="00A21167" w:rsidRPr="00053AB2">
        <w:rPr>
          <w:rFonts w:ascii="ITC Avant Garde" w:hAnsi="ITC Avant Garde"/>
          <w:b/>
          <w:color w:val="000000" w:themeColor="text1"/>
          <w:sz w:val="22"/>
          <w:szCs w:val="22"/>
          <w:lang w:eastAsia="es-MX"/>
        </w:rPr>
        <w:t xml:space="preserve"> LA CUAL EL PLENO DEL INSTITUTO FEDERAL DE TELECOMUNICACIONES AUTORIZA </w:t>
      </w:r>
      <w:r w:rsidR="00E4114C" w:rsidRPr="00053AB2">
        <w:rPr>
          <w:rFonts w:ascii="ITC Avant Garde" w:hAnsi="ITC Avant Garde"/>
          <w:b/>
          <w:color w:val="000000" w:themeColor="text1"/>
          <w:sz w:val="22"/>
          <w:szCs w:val="22"/>
          <w:lang w:eastAsia="es-MX"/>
        </w:rPr>
        <w:t xml:space="preserve">AL C. LUIS MAURICIO ORELLÁN GONZÁLEZ </w:t>
      </w:r>
      <w:r w:rsidR="001D5168" w:rsidRPr="00053AB2">
        <w:rPr>
          <w:rFonts w:ascii="ITC Avant Garde" w:hAnsi="ITC Avant Garde"/>
          <w:b/>
          <w:color w:val="000000" w:themeColor="text1"/>
          <w:sz w:val="22"/>
          <w:szCs w:val="22"/>
          <w:lang w:eastAsia="es-MX"/>
        </w:rPr>
        <w:t>TRANSITAR A LA CONCESIÓN ÚNICA PARA USO COMERCIAL Y</w:t>
      </w:r>
      <w:r w:rsidR="00776EE3" w:rsidRPr="00053AB2">
        <w:rPr>
          <w:rFonts w:ascii="ITC Avant Garde" w:hAnsi="ITC Avant Garde"/>
          <w:b/>
          <w:color w:val="000000" w:themeColor="text1"/>
          <w:sz w:val="22"/>
          <w:szCs w:val="22"/>
          <w:lang w:eastAsia="es-MX"/>
        </w:rPr>
        <w:t>,</w:t>
      </w:r>
      <w:r w:rsidR="001D5168" w:rsidRPr="00053AB2">
        <w:rPr>
          <w:rFonts w:ascii="ITC Avant Garde" w:hAnsi="ITC Avant Garde"/>
          <w:b/>
          <w:color w:val="000000" w:themeColor="text1"/>
          <w:sz w:val="22"/>
          <w:szCs w:val="22"/>
          <w:lang w:eastAsia="es-MX"/>
        </w:rPr>
        <w:t xml:space="preserve"> COMO CONSECUENCIA</w:t>
      </w:r>
      <w:r w:rsidR="00776EE3" w:rsidRPr="00053AB2">
        <w:rPr>
          <w:rFonts w:ascii="ITC Avant Garde" w:hAnsi="ITC Avant Garde"/>
          <w:b/>
          <w:color w:val="000000" w:themeColor="text1"/>
          <w:sz w:val="22"/>
          <w:szCs w:val="22"/>
          <w:lang w:eastAsia="es-MX"/>
        </w:rPr>
        <w:t>,</w:t>
      </w:r>
      <w:r w:rsidR="001D5168" w:rsidRPr="00053AB2">
        <w:rPr>
          <w:rFonts w:ascii="ITC Avant Garde" w:hAnsi="ITC Avant Garde"/>
          <w:b/>
          <w:color w:val="000000" w:themeColor="text1"/>
          <w:sz w:val="22"/>
          <w:szCs w:val="22"/>
          <w:lang w:eastAsia="es-MX"/>
        </w:rPr>
        <w:t xml:space="preserve"> </w:t>
      </w:r>
      <w:r w:rsidR="00A21167" w:rsidRPr="00053AB2">
        <w:rPr>
          <w:rFonts w:ascii="ITC Avant Garde" w:hAnsi="ITC Avant Garde"/>
          <w:b/>
          <w:color w:val="000000" w:themeColor="text1"/>
          <w:sz w:val="22"/>
          <w:szCs w:val="22"/>
          <w:lang w:eastAsia="es-MX"/>
        </w:rPr>
        <w:t xml:space="preserve">LA </w:t>
      </w:r>
      <w:r w:rsidR="00724BA0" w:rsidRPr="00053AB2">
        <w:rPr>
          <w:rFonts w:ascii="ITC Avant Garde" w:hAnsi="ITC Avant Garde"/>
          <w:b/>
          <w:color w:val="000000" w:themeColor="text1"/>
          <w:sz w:val="22"/>
          <w:szCs w:val="22"/>
          <w:lang w:eastAsia="es-MX"/>
        </w:rPr>
        <w:t xml:space="preserve">CONSOLIDACIÓN </w:t>
      </w:r>
      <w:r w:rsidR="00A21167" w:rsidRPr="00053AB2">
        <w:rPr>
          <w:rFonts w:ascii="ITC Avant Garde" w:hAnsi="ITC Avant Garde"/>
          <w:b/>
          <w:color w:val="000000" w:themeColor="text1"/>
          <w:sz w:val="22"/>
          <w:szCs w:val="22"/>
          <w:lang w:eastAsia="es-MX"/>
        </w:rPr>
        <w:t xml:space="preserve">DE </w:t>
      </w:r>
      <w:r w:rsidR="00724BA0" w:rsidRPr="00053AB2">
        <w:rPr>
          <w:rFonts w:ascii="ITC Avant Garde" w:hAnsi="ITC Avant Garde"/>
          <w:b/>
          <w:color w:val="000000" w:themeColor="text1"/>
          <w:sz w:val="22"/>
          <w:szCs w:val="22"/>
          <w:lang w:eastAsia="es-MX"/>
        </w:rPr>
        <w:t xml:space="preserve">SUS </w:t>
      </w:r>
      <w:r w:rsidR="00A21167" w:rsidRPr="00053AB2">
        <w:rPr>
          <w:rFonts w:ascii="ITC Avant Garde" w:hAnsi="ITC Avant Garde"/>
          <w:b/>
          <w:color w:val="000000" w:themeColor="text1"/>
          <w:sz w:val="22"/>
          <w:szCs w:val="22"/>
          <w:lang w:eastAsia="es-MX"/>
        </w:rPr>
        <w:t>TÍTULO</w:t>
      </w:r>
      <w:r w:rsidR="00724BA0" w:rsidRPr="00053AB2">
        <w:rPr>
          <w:rFonts w:ascii="ITC Avant Garde" w:hAnsi="ITC Avant Garde"/>
          <w:b/>
          <w:color w:val="000000" w:themeColor="text1"/>
          <w:sz w:val="22"/>
          <w:szCs w:val="22"/>
          <w:lang w:eastAsia="es-MX"/>
        </w:rPr>
        <w:t>S</w:t>
      </w:r>
      <w:r w:rsidR="00A21167" w:rsidRPr="00053AB2">
        <w:rPr>
          <w:rFonts w:ascii="ITC Avant Garde" w:hAnsi="ITC Avant Garde"/>
          <w:b/>
          <w:color w:val="000000" w:themeColor="text1"/>
          <w:sz w:val="22"/>
          <w:szCs w:val="22"/>
          <w:lang w:eastAsia="es-MX"/>
        </w:rPr>
        <w:t xml:space="preserve"> DE CONCESIÓN </w:t>
      </w:r>
      <w:r w:rsidRPr="00053AB2">
        <w:rPr>
          <w:rFonts w:ascii="ITC Avant Garde" w:hAnsi="ITC Avant Garde"/>
          <w:b/>
          <w:color w:val="000000" w:themeColor="text1"/>
          <w:sz w:val="22"/>
          <w:szCs w:val="22"/>
          <w:lang w:eastAsia="es-MX"/>
        </w:rPr>
        <w:t xml:space="preserve">PARA INSTALAR, OPERAR Y EXPLOTAR </w:t>
      </w:r>
      <w:r w:rsidR="00A21167" w:rsidRPr="00053AB2">
        <w:rPr>
          <w:rFonts w:ascii="ITC Avant Garde" w:hAnsi="ITC Avant Garde"/>
          <w:b/>
          <w:color w:val="000000" w:themeColor="text1"/>
          <w:sz w:val="22"/>
          <w:szCs w:val="22"/>
          <w:lang w:eastAsia="es-MX"/>
        </w:rPr>
        <w:t>RED</w:t>
      </w:r>
      <w:r w:rsidR="00724BA0" w:rsidRPr="00053AB2">
        <w:rPr>
          <w:rFonts w:ascii="ITC Avant Garde" w:hAnsi="ITC Avant Garde"/>
          <w:b/>
          <w:color w:val="000000" w:themeColor="text1"/>
          <w:sz w:val="22"/>
          <w:szCs w:val="22"/>
          <w:lang w:eastAsia="es-MX"/>
        </w:rPr>
        <w:t>ES</w:t>
      </w:r>
      <w:r w:rsidR="00A21167" w:rsidRPr="00053AB2">
        <w:rPr>
          <w:rFonts w:ascii="ITC Avant Garde" w:hAnsi="ITC Avant Garde"/>
          <w:b/>
          <w:color w:val="000000" w:themeColor="text1"/>
          <w:sz w:val="22"/>
          <w:szCs w:val="22"/>
          <w:lang w:eastAsia="es-MX"/>
        </w:rPr>
        <w:t xml:space="preserve"> PÚBLICA</w:t>
      </w:r>
      <w:r w:rsidR="00724BA0" w:rsidRPr="00053AB2">
        <w:rPr>
          <w:rFonts w:ascii="ITC Avant Garde" w:hAnsi="ITC Avant Garde"/>
          <w:b/>
          <w:color w:val="000000" w:themeColor="text1"/>
          <w:sz w:val="22"/>
          <w:szCs w:val="22"/>
          <w:lang w:eastAsia="es-MX"/>
        </w:rPr>
        <w:t>S</w:t>
      </w:r>
      <w:r w:rsidR="00776EE3" w:rsidRPr="00053AB2">
        <w:rPr>
          <w:rFonts w:ascii="ITC Avant Garde" w:hAnsi="ITC Avant Garde"/>
          <w:b/>
          <w:color w:val="000000" w:themeColor="text1"/>
          <w:sz w:val="22"/>
          <w:szCs w:val="22"/>
          <w:lang w:eastAsia="es-MX"/>
        </w:rPr>
        <w:t xml:space="preserve"> DE TELECOMUNICACIONES</w:t>
      </w:r>
      <w:r w:rsidR="00A21167" w:rsidRPr="00053AB2">
        <w:rPr>
          <w:rFonts w:ascii="ITC Avant Garde" w:hAnsi="ITC Avant Garde"/>
          <w:b/>
          <w:color w:val="000000" w:themeColor="text1"/>
          <w:sz w:val="22"/>
          <w:szCs w:val="22"/>
          <w:lang w:eastAsia="es-MX"/>
        </w:rPr>
        <w:t xml:space="preserve"> </w:t>
      </w:r>
      <w:r w:rsidR="00724BA0" w:rsidRPr="00053AB2">
        <w:rPr>
          <w:rFonts w:ascii="ITC Avant Garde" w:hAnsi="ITC Avant Garde"/>
          <w:b/>
          <w:color w:val="000000" w:themeColor="text1"/>
          <w:sz w:val="22"/>
          <w:szCs w:val="22"/>
          <w:lang w:eastAsia="es-MX"/>
        </w:rPr>
        <w:t>EN UNA</w:t>
      </w:r>
      <w:r w:rsidR="00A21167" w:rsidRPr="00053AB2">
        <w:rPr>
          <w:rFonts w:ascii="ITC Avant Garde" w:hAnsi="ITC Avant Garde"/>
          <w:b/>
          <w:color w:val="000000" w:themeColor="text1"/>
          <w:sz w:val="22"/>
          <w:szCs w:val="22"/>
          <w:lang w:eastAsia="es-MX"/>
        </w:rPr>
        <w:t xml:space="preserve"> CONCESIÓN ÚNICA PARA USO COMERCIAL.</w:t>
      </w:r>
    </w:p>
    <w:p w:rsidR="00053AB2" w:rsidRPr="00053AB2" w:rsidRDefault="00A21167" w:rsidP="00053AB2">
      <w:pPr>
        <w:pStyle w:val="Ttulo2"/>
        <w:spacing w:after="240"/>
        <w:jc w:val="center"/>
        <w:rPr>
          <w:rFonts w:ascii="ITC Avant Garde" w:hAnsi="ITC Avant Garde"/>
          <w:b/>
          <w:color w:val="000000" w:themeColor="text1"/>
          <w:sz w:val="22"/>
          <w:szCs w:val="22"/>
        </w:rPr>
      </w:pPr>
      <w:r w:rsidRPr="00053AB2">
        <w:rPr>
          <w:rFonts w:ascii="ITC Avant Garde" w:hAnsi="ITC Avant Garde"/>
          <w:b/>
          <w:color w:val="000000" w:themeColor="text1"/>
          <w:sz w:val="22"/>
          <w:szCs w:val="22"/>
        </w:rPr>
        <w:t>ANTECEDENTES</w:t>
      </w:r>
    </w:p>
    <w:p w:rsidR="00053AB2" w:rsidRDefault="009A5E55" w:rsidP="00053AB2">
      <w:pPr>
        <w:numPr>
          <w:ilvl w:val="0"/>
          <w:numId w:val="1"/>
        </w:numPr>
        <w:spacing w:before="240" w:line="240" w:lineRule="auto"/>
        <w:ind w:left="567" w:hanging="425"/>
        <w:jc w:val="both"/>
        <w:rPr>
          <w:rFonts w:ascii="ITC Avant Garde" w:hAnsi="ITC Avant Garde"/>
          <w:bCs/>
          <w:color w:val="000000"/>
          <w:lang w:eastAsia="es-MX"/>
        </w:rPr>
      </w:pPr>
      <w:r w:rsidRPr="00D801AF">
        <w:rPr>
          <w:rFonts w:ascii="ITC Avant Garde" w:hAnsi="ITC Avant Garde"/>
          <w:b/>
          <w:bCs/>
          <w:color w:val="000000"/>
          <w:lang w:eastAsia="es-MX"/>
        </w:rPr>
        <w:t>Otorgamiento de la</w:t>
      </w:r>
      <w:r w:rsidR="00BE0A4E">
        <w:rPr>
          <w:rFonts w:ascii="ITC Avant Garde" w:hAnsi="ITC Avant Garde"/>
          <w:b/>
          <w:bCs/>
          <w:color w:val="000000"/>
          <w:lang w:eastAsia="es-MX"/>
        </w:rPr>
        <w:t xml:space="preserve"> Primera</w:t>
      </w:r>
      <w:r w:rsidRPr="00D801AF">
        <w:rPr>
          <w:rFonts w:ascii="ITC Avant Garde" w:hAnsi="ITC Avant Garde"/>
          <w:b/>
          <w:bCs/>
          <w:color w:val="000000"/>
          <w:lang w:eastAsia="es-MX"/>
        </w:rPr>
        <w:t xml:space="preserve"> Concesión.</w:t>
      </w:r>
      <w:r w:rsidRPr="00D801AF">
        <w:rPr>
          <w:rFonts w:ascii="ITC Avant Garde" w:hAnsi="ITC Avant Garde"/>
          <w:bCs/>
          <w:color w:val="000000"/>
          <w:lang w:eastAsia="es-MX"/>
        </w:rPr>
        <w:t xml:space="preserve"> </w:t>
      </w:r>
      <w:r w:rsidR="00830117" w:rsidRPr="00E57237">
        <w:rPr>
          <w:rFonts w:ascii="ITC Avant Garde" w:hAnsi="ITC Avant Garde"/>
          <w:bCs/>
          <w:color w:val="000000"/>
          <w:lang w:eastAsia="es-MX"/>
        </w:rPr>
        <w:t xml:space="preserve">El </w:t>
      </w:r>
      <w:r w:rsidR="00612FA0">
        <w:rPr>
          <w:rFonts w:ascii="ITC Avant Garde" w:hAnsi="ITC Avant Garde"/>
          <w:bCs/>
          <w:color w:val="000000"/>
          <w:lang w:eastAsia="es-MX"/>
        </w:rPr>
        <w:t>27 de noviembre</w:t>
      </w:r>
      <w:r w:rsidR="00437F0F">
        <w:rPr>
          <w:rFonts w:ascii="ITC Avant Garde" w:hAnsi="ITC Avant Garde"/>
          <w:bCs/>
          <w:color w:val="000000"/>
          <w:lang w:eastAsia="es-MX"/>
        </w:rPr>
        <w:t xml:space="preserve"> de 2000</w:t>
      </w:r>
      <w:r w:rsidR="00830117" w:rsidRPr="00E57237">
        <w:rPr>
          <w:rFonts w:ascii="ITC Avant Garde" w:hAnsi="ITC Avant Garde"/>
          <w:bCs/>
          <w:color w:val="000000"/>
          <w:lang w:eastAsia="es-MX"/>
        </w:rPr>
        <w:t xml:space="preserve">, la Secretaría de Comunicaciones y Transportes (la “Secretaría”), otorgó </w:t>
      </w:r>
      <w:r w:rsidR="00097924">
        <w:rPr>
          <w:rFonts w:ascii="ITC Avant Garde" w:hAnsi="ITC Avant Garde"/>
          <w:bCs/>
          <w:color w:val="000000"/>
          <w:lang w:eastAsia="es-MX"/>
        </w:rPr>
        <w:t>a</w:t>
      </w:r>
      <w:r w:rsidR="00437F0F">
        <w:rPr>
          <w:rFonts w:ascii="ITC Avant Garde" w:hAnsi="ITC Avant Garde"/>
          <w:bCs/>
          <w:color w:val="000000"/>
          <w:lang w:eastAsia="es-MX"/>
        </w:rPr>
        <w:t xml:space="preserve"> favor del C. </w:t>
      </w:r>
      <w:r w:rsidR="00D74924">
        <w:rPr>
          <w:rFonts w:ascii="ITC Avant Garde" w:hAnsi="ITC Avant Garde"/>
          <w:bCs/>
          <w:color w:val="000000"/>
          <w:lang w:eastAsia="es-MX"/>
        </w:rPr>
        <w:t>Marcos Salas Contreras</w:t>
      </w:r>
      <w:r w:rsidR="00830117" w:rsidRPr="00654B24">
        <w:rPr>
          <w:rFonts w:ascii="ITC Avant Garde" w:hAnsi="ITC Avant Garde"/>
          <w:bCs/>
          <w:color w:val="000000"/>
          <w:lang w:eastAsia="es-MX"/>
        </w:rPr>
        <w:t xml:space="preserve"> </w:t>
      </w:r>
      <w:r w:rsidR="00830117" w:rsidRPr="00E57237">
        <w:rPr>
          <w:rFonts w:ascii="ITC Avant Garde" w:hAnsi="ITC Avant Garde"/>
          <w:bCs/>
          <w:color w:val="000000"/>
          <w:lang w:eastAsia="es-MX"/>
        </w:rPr>
        <w:t xml:space="preserve">un título de concesión para instalar, operar y explotar una red pública de telecomunicaciones para prestar </w:t>
      </w:r>
      <w:r w:rsidR="00A02F93">
        <w:rPr>
          <w:rFonts w:ascii="ITC Avant Garde" w:hAnsi="ITC Avant Garde"/>
          <w:bCs/>
          <w:color w:val="000000"/>
          <w:lang w:eastAsia="es-MX"/>
        </w:rPr>
        <w:t>el servicio de televisión restringida</w:t>
      </w:r>
      <w:r w:rsidR="00830117">
        <w:rPr>
          <w:rFonts w:ascii="ITC Avant Garde" w:hAnsi="ITC Avant Garde"/>
          <w:bCs/>
          <w:color w:val="000000"/>
          <w:lang w:eastAsia="es-MX"/>
        </w:rPr>
        <w:t xml:space="preserve">, con cobertura </w:t>
      </w:r>
      <w:r w:rsidR="00830117" w:rsidRPr="00E57237">
        <w:rPr>
          <w:rFonts w:ascii="ITC Avant Garde" w:hAnsi="ITC Avant Garde"/>
          <w:bCs/>
          <w:color w:val="000000"/>
          <w:lang w:eastAsia="es-MX"/>
        </w:rPr>
        <w:t xml:space="preserve">en </w:t>
      </w:r>
      <w:r w:rsidR="00612FA0">
        <w:rPr>
          <w:rFonts w:ascii="ITC Avant Garde" w:hAnsi="ITC Avant Garde"/>
          <w:bCs/>
          <w:color w:val="000000"/>
          <w:lang w:eastAsia="es-MX"/>
        </w:rPr>
        <w:t xml:space="preserve">Soledad </w:t>
      </w:r>
      <w:r w:rsidR="005E1A80">
        <w:rPr>
          <w:rFonts w:ascii="ITC Avant Garde" w:hAnsi="ITC Avant Garde"/>
          <w:bCs/>
          <w:color w:val="000000"/>
          <w:lang w:eastAsia="es-MX"/>
        </w:rPr>
        <w:t xml:space="preserve">de </w:t>
      </w:r>
      <w:r w:rsidR="00612FA0">
        <w:rPr>
          <w:rFonts w:ascii="ITC Avant Garde" w:hAnsi="ITC Avant Garde"/>
          <w:bCs/>
          <w:color w:val="000000"/>
          <w:lang w:eastAsia="es-MX"/>
        </w:rPr>
        <w:t>Doblado</w:t>
      </w:r>
      <w:r w:rsidR="00830117">
        <w:rPr>
          <w:rFonts w:ascii="ITC Avant Garde" w:hAnsi="ITC Avant Garde"/>
          <w:bCs/>
          <w:color w:val="000000"/>
          <w:lang w:eastAsia="es-MX"/>
        </w:rPr>
        <w:t>,</w:t>
      </w:r>
      <w:r w:rsidR="00612FA0">
        <w:rPr>
          <w:rFonts w:ascii="ITC Avant Garde" w:hAnsi="ITC Avant Garde"/>
          <w:bCs/>
          <w:color w:val="000000"/>
          <w:lang w:eastAsia="es-MX"/>
        </w:rPr>
        <w:t xml:space="preserve"> en el Estado de Veracruz,</w:t>
      </w:r>
      <w:r w:rsidR="00830117">
        <w:rPr>
          <w:rFonts w:ascii="ITC Avant Garde" w:hAnsi="ITC Avant Garde"/>
          <w:bCs/>
          <w:color w:val="000000"/>
          <w:lang w:eastAsia="es-MX"/>
        </w:rPr>
        <w:t xml:space="preserve"> con una vigencia de 30 (treinta) años contados </w:t>
      </w:r>
      <w:r w:rsidR="001B7A36" w:rsidRPr="00FD5C37">
        <w:rPr>
          <w:rFonts w:ascii="ITC Avant Garde" w:hAnsi="ITC Avant Garde"/>
          <w:bCs/>
          <w:color w:val="000000"/>
          <w:lang w:eastAsia="es-MX"/>
        </w:rPr>
        <w:t>a partir de su otorgamiento</w:t>
      </w:r>
      <w:r w:rsidR="005B174B" w:rsidRPr="00E57237">
        <w:rPr>
          <w:rFonts w:ascii="ITC Avant Garde" w:hAnsi="ITC Avant Garde"/>
          <w:bCs/>
          <w:color w:val="000000"/>
          <w:lang w:eastAsia="es-MX"/>
        </w:rPr>
        <w:t xml:space="preserve"> </w:t>
      </w:r>
      <w:r w:rsidR="00830117" w:rsidRPr="00E57237">
        <w:rPr>
          <w:rFonts w:ascii="ITC Avant Garde" w:hAnsi="ITC Avant Garde"/>
          <w:bCs/>
          <w:color w:val="000000"/>
          <w:lang w:eastAsia="es-MX"/>
        </w:rPr>
        <w:t xml:space="preserve">(la </w:t>
      </w:r>
      <w:r w:rsidR="00830117" w:rsidRPr="00356156">
        <w:rPr>
          <w:rFonts w:ascii="ITC Avant Garde" w:hAnsi="ITC Avant Garde"/>
          <w:bCs/>
          <w:color w:val="000000"/>
          <w:lang w:eastAsia="es-MX"/>
        </w:rPr>
        <w:t>“</w:t>
      </w:r>
      <w:r w:rsidR="00BE0A4E">
        <w:rPr>
          <w:rFonts w:ascii="ITC Avant Garde" w:hAnsi="ITC Avant Garde"/>
          <w:bCs/>
          <w:color w:val="000000"/>
          <w:lang w:eastAsia="es-MX"/>
        </w:rPr>
        <w:t xml:space="preserve">Primera </w:t>
      </w:r>
      <w:r w:rsidR="00830117" w:rsidRPr="00356156">
        <w:rPr>
          <w:rFonts w:ascii="ITC Avant Garde" w:hAnsi="ITC Avant Garde"/>
          <w:bCs/>
          <w:color w:val="000000"/>
          <w:lang w:eastAsia="es-MX"/>
        </w:rPr>
        <w:t>Concesión”).</w:t>
      </w:r>
    </w:p>
    <w:p w:rsidR="00053AB2" w:rsidRDefault="00D65936" w:rsidP="00053AB2">
      <w:pPr>
        <w:numPr>
          <w:ilvl w:val="0"/>
          <w:numId w:val="1"/>
        </w:numPr>
        <w:spacing w:before="240" w:line="240" w:lineRule="auto"/>
        <w:ind w:left="567" w:hanging="425"/>
        <w:jc w:val="both"/>
        <w:rPr>
          <w:rFonts w:ascii="ITC Avant Garde" w:hAnsi="ITC Avant Garde"/>
          <w:bCs/>
          <w:color w:val="000000"/>
          <w:lang w:eastAsia="es-MX"/>
        </w:rPr>
      </w:pPr>
      <w:r w:rsidRPr="00FD5C37">
        <w:rPr>
          <w:rFonts w:ascii="ITC Avant Garde" w:hAnsi="ITC Avant Garde"/>
          <w:b/>
          <w:bCs/>
          <w:color w:val="000000"/>
          <w:lang w:eastAsia="es-MX"/>
        </w:rPr>
        <w:t>Otorgamiento de la Segunda Concesión.</w:t>
      </w:r>
      <w:r w:rsidR="00612FA0">
        <w:rPr>
          <w:rFonts w:ascii="ITC Avant Garde" w:hAnsi="ITC Avant Garde"/>
          <w:bCs/>
          <w:color w:val="000000"/>
          <w:lang w:eastAsia="es-MX"/>
        </w:rPr>
        <w:t xml:space="preserve"> El 27 de noviembre de 2000</w:t>
      </w:r>
      <w:r w:rsidRPr="00FD5C37">
        <w:rPr>
          <w:rFonts w:ascii="ITC Avant Garde" w:hAnsi="ITC Avant Garde"/>
          <w:bCs/>
          <w:color w:val="000000"/>
          <w:lang w:eastAsia="es-MX"/>
        </w:rPr>
        <w:t>, la Secretaría otorgó a favor de</w:t>
      </w:r>
      <w:r w:rsidR="00612FA0">
        <w:rPr>
          <w:rFonts w:ascii="ITC Avant Garde" w:hAnsi="ITC Avant Garde"/>
          <w:bCs/>
          <w:color w:val="000000"/>
          <w:lang w:eastAsia="es-MX"/>
        </w:rPr>
        <w:t>l</w:t>
      </w:r>
      <w:r w:rsidR="00FD5C37" w:rsidRPr="00FD5C37">
        <w:rPr>
          <w:rFonts w:ascii="ITC Avant Garde" w:hAnsi="ITC Avant Garde"/>
          <w:bCs/>
          <w:color w:val="000000"/>
          <w:lang w:eastAsia="es-MX"/>
        </w:rPr>
        <w:t xml:space="preserve"> </w:t>
      </w:r>
      <w:r w:rsidR="00612FA0">
        <w:rPr>
          <w:rFonts w:ascii="ITC Avant Garde" w:hAnsi="ITC Avant Garde"/>
          <w:bCs/>
        </w:rPr>
        <w:t xml:space="preserve">C. </w:t>
      </w:r>
      <w:r w:rsidR="003323F5">
        <w:rPr>
          <w:rFonts w:ascii="ITC Avant Garde" w:hAnsi="ITC Avant Garde"/>
          <w:bCs/>
        </w:rPr>
        <w:t>Marcos Salas Contreras</w:t>
      </w:r>
      <w:r w:rsidRPr="00FD5C37">
        <w:rPr>
          <w:rFonts w:ascii="ITC Avant Garde" w:hAnsi="ITC Avant Garde"/>
          <w:bCs/>
          <w:color w:val="000000"/>
          <w:lang w:eastAsia="es-MX"/>
        </w:rPr>
        <w:t xml:space="preserve"> un título de concesión para instalar, operar y explotar una red pública de telecomunicaciones para prestar el servicio de televisión restringida, con cobertura en </w:t>
      </w:r>
      <w:r w:rsidR="00612FA0">
        <w:rPr>
          <w:rFonts w:ascii="ITC Avant Garde" w:hAnsi="ITC Avant Garde"/>
          <w:bCs/>
          <w:color w:val="000000"/>
          <w:lang w:eastAsia="es-MX"/>
        </w:rPr>
        <w:t xml:space="preserve">Sayula de </w:t>
      </w:r>
      <w:r w:rsidR="00EA02B8">
        <w:rPr>
          <w:rFonts w:ascii="ITC Avant Garde" w:hAnsi="ITC Avant Garde"/>
          <w:bCs/>
          <w:color w:val="000000"/>
          <w:lang w:eastAsia="es-MX"/>
        </w:rPr>
        <w:t>Alemán</w:t>
      </w:r>
      <w:r w:rsidR="00DE1EFD" w:rsidRPr="00FD5C37">
        <w:rPr>
          <w:rFonts w:ascii="ITC Avant Garde" w:hAnsi="ITC Avant Garde"/>
          <w:bCs/>
          <w:color w:val="000000"/>
          <w:lang w:eastAsia="es-MX"/>
        </w:rPr>
        <w:t xml:space="preserve">, en el Estado de </w:t>
      </w:r>
      <w:r w:rsidR="00612FA0">
        <w:rPr>
          <w:rFonts w:ascii="ITC Avant Garde" w:hAnsi="ITC Avant Garde"/>
          <w:bCs/>
          <w:color w:val="000000"/>
          <w:lang w:eastAsia="es-MX"/>
        </w:rPr>
        <w:t>Veracruz</w:t>
      </w:r>
      <w:r w:rsidRPr="00FD5C37">
        <w:rPr>
          <w:rFonts w:ascii="ITC Avant Garde" w:hAnsi="ITC Avant Garde"/>
          <w:bCs/>
          <w:color w:val="000000"/>
          <w:lang w:eastAsia="es-MX"/>
        </w:rPr>
        <w:t xml:space="preserve">, con una vigencia de 30 (treinta) años contados </w:t>
      </w:r>
      <w:r w:rsidR="001B7A36" w:rsidRPr="00FD5C37">
        <w:rPr>
          <w:rFonts w:ascii="ITC Avant Garde" w:hAnsi="ITC Avant Garde"/>
          <w:bCs/>
          <w:color w:val="000000"/>
          <w:lang w:eastAsia="es-MX"/>
        </w:rPr>
        <w:t>a partir de su otorgamiento</w:t>
      </w:r>
      <w:r w:rsidRPr="00FD5C37">
        <w:rPr>
          <w:rFonts w:ascii="ITC Avant Garde" w:hAnsi="ITC Avant Garde"/>
          <w:bCs/>
          <w:color w:val="000000"/>
          <w:lang w:eastAsia="es-MX"/>
        </w:rPr>
        <w:t xml:space="preserve"> (la “</w:t>
      </w:r>
      <w:r w:rsidR="007C6D52">
        <w:rPr>
          <w:rFonts w:ascii="ITC Avant Garde" w:hAnsi="ITC Avant Garde"/>
          <w:bCs/>
          <w:color w:val="000000"/>
          <w:lang w:eastAsia="es-MX"/>
        </w:rPr>
        <w:t>Segunda</w:t>
      </w:r>
      <w:r w:rsidRPr="00FD5C37">
        <w:rPr>
          <w:rFonts w:ascii="ITC Avant Garde" w:hAnsi="ITC Avant Garde"/>
          <w:bCs/>
          <w:color w:val="000000"/>
          <w:lang w:eastAsia="es-MX"/>
        </w:rPr>
        <w:t xml:space="preserve"> Concesión”).</w:t>
      </w:r>
    </w:p>
    <w:p w:rsidR="00053AB2" w:rsidRDefault="00612FA0" w:rsidP="00053AB2">
      <w:pPr>
        <w:numPr>
          <w:ilvl w:val="0"/>
          <w:numId w:val="1"/>
        </w:numPr>
        <w:spacing w:before="240" w:line="240" w:lineRule="auto"/>
        <w:ind w:left="567" w:hanging="425"/>
        <w:jc w:val="both"/>
        <w:rPr>
          <w:rFonts w:ascii="ITC Avant Garde" w:hAnsi="ITC Avant Garde"/>
          <w:bCs/>
          <w:color w:val="000000"/>
          <w:lang w:eastAsia="es-MX"/>
        </w:rPr>
      </w:pPr>
      <w:r>
        <w:rPr>
          <w:rFonts w:ascii="ITC Avant Garde" w:hAnsi="ITC Avant Garde"/>
          <w:b/>
          <w:bCs/>
          <w:color w:val="000000"/>
          <w:lang w:eastAsia="es-MX"/>
        </w:rPr>
        <w:t xml:space="preserve">Otorgamiento </w:t>
      </w:r>
      <w:r w:rsidRPr="00FD5C37">
        <w:rPr>
          <w:rFonts w:ascii="ITC Avant Garde" w:hAnsi="ITC Avant Garde"/>
          <w:b/>
          <w:bCs/>
          <w:color w:val="000000"/>
          <w:lang w:eastAsia="es-MX"/>
        </w:rPr>
        <w:t xml:space="preserve">de la </w:t>
      </w:r>
      <w:r>
        <w:rPr>
          <w:rFonts w:ascii="ITC Avant Garde" w:hAnsi="ITC Avant Garde"/>
          <w:b/>
          <w:bCs/>
          <w:color w:val="000000"/>
          <w:lang w:eastAsia="es-MX"/>
        </w:rPr>
        <w:t>Tercera</w:t>
      </w:r>
      <w:r w:rsidRPr="00FD5C37">
        <w:rPr>
          <w:rFonts w:ascii="ITC Avant Garde" w:hAnsi="ITC Avant Garde"/>
          <w:b/>
          <w:bCs/>
          <w:color w:val="000000"/>
          <w:lang w:eastAsia="es-MX"/>
        </w:rPr>
        <w:t xml:space="preserve"> Concesión.</w:t>
      </w:r>
      <w:r>
        <w:rPr>
          <w:rFonts w:ascii="ITC Avant Garde" w:hAnsi="ITC Avant Garde"/>
          <w:bCs/>
          <w:color w:val="000000"/>
          <w:lang w:eastAsia="es-MX"/>
        </w:rPr>
        <w:t xml:space="preserve"> El 18 de junio de 2007</w:t>
      </w:r>
      <w:r w:rsidRPr="00FD5C37">
        <w:rPr>
          <w:rFonts w:ascii="ITC Avant Garde" w:hAnsi="ITC Avant Garde"/>
          <w:bCs/>
          <w:color w:val="000000"/>
          <w:lang w:eastAsia="es-MX"/>
        </w:rPr>
        <w:t>, la Secretaría otorgó a favor de</w:t>
      </w:r>
      <w:r>
        <w:rPr>
          <w:rFonts w:ascii="ITC Avant Garde" w:hAnsi="ITC Avant Garde"/>
          <w:bCs/>
          <w:color w:val="000000"/>
          <w:lang w:eastAsia="es-MX"/>
        </w:rPr>
        <w:t>l</w:t>
      </w:r>
      <w:r w:rsidRPr="00FD5C37">
        <w:rPr>
          <w:rFonts w:ascii="ITC Avant Garde" w:hAnsi="ITC Avant Garde"/>
          <w:bCs/>
          <w:color w:val="000000"/>
          <w:lang w:eastAsia="es-MX"/>
        </w:rPr>
        <w:t xml:space="preserve"> </w:t>
      </w:r>
      <w:r>
        <w:rPr>
          <w:rFonts w:ascii="ITC Avant Garde" w:hAnsi="ITC Avant Garde"/>
          <w:bCs/>
        </w:rPr>
        <w:t xml:space="preserve">C. Luis Mauricio </w:t>
      </w:r>
      <w:proofErr w:type="spellStart"/>
      <w:r>
        <w:rPr>
          <w:rFonts w:ascii="ITC Avant Garde" w:hAnsi="ITC Avant Garde"/>
          <w:bCs/>
        </w:rPr>
        <w:t>Orellán</w:t>
      </w:r>
      <w:proofErr w:type="spellEnd"/>
      <w:r>
        <w:rPr>
          <w:rFonts w:ascii="ITC Avant Garde" w:hAnsi="ITC Avant Garde"/>
          <w:bCs/>
        </w:rPr>
        <w:t xml:space="preserve"> González</w:t>
      </w:r>
      <w:r w:rsidRPr="00FD5C37">
        <w:rPr>
          <w:rFonts w:ascii="ITC Avant Garde" w:hAnsi="ITC Avant Garde"/>
          <w:bCs/>
          <w:color w:val="000000"/>
          <w:lang w:eastAsia="es-MX"/>
        </w:rPr>
        <w:t xml:space="preserve"> un título de concesión para instalar, operar y explotar una red pública de telecomunicaciones para prestar el servicio de televisión restringida, con cobertura en </w:t>
      </w:r>
      <w:r w:rsidR="005B174B">
        <w:rPr>
          <w:rFonts w:ascii="ITC Avant Garde" w:hAnsi="ITC Avant Garde"/>
          <w:bCs/>
          <w:color w:val="000000"/>
          <w:lang w:eastAsia="es-MX"/>
        </w:rPr>
        <w:t>Paso del Macho, Municipio de Paso del Macho</w:t>
      </w:r>
      <w:r w:rsidRPr="00FD5C37">
        <w:rPr>
          <w:rFonts w:ascii="ITC Avant Garde" w:hAnsi="ITC Avant Garde"/>
          <w:bCs/>
          <w:color w:val="000000"/>
          <w:lang w:eastAsia="es-MX"/>
        </w:rPr>
        <w:t xml:space="preserve">, en el Estado de </w:t>
      </w:r>
      <w:r>
        <w:rPr>
          <w:rFonts w:ascii="ITC Avant Garde" w:hAnsi="ITC Avant Garde"/>
          <w:bCs/>
          <w:color w:val="000000"/>
          <w:lang w:eastAsia="es-MX"/>
        </w:rPr>
        <w:t>Veracruz</w:t>
      </w:r>
      <w:r w:rsidRPr="00FD5C37">
        <w:rPr>
          <w:rFonts w:ascii="ITC Avant Garde" w:hAnsi="ITC Avant Garde"/>
          <w:bCs/>
          <w:color w:val="000000"/>
          <w:lang w:eastAsia="es-MX"/>
        </w:rPr>
        <w:t>, con una vigencia de 30 (treinta) años contados a partir de su otorgamiento (la “</w:t>
      </w:r>
      <w:r w:rsidR="00EA02B8">
        <w:rPr>
          <w:rFonts w:ascii="ITC Avant Garde" w:hAnsi="ITC Avant Garde"/>
          <w:bCs/>
          <w:color w:val="000000"/>
          <w:lang w:eastAsia="es-MX"/>
        </w:rPr>
        <w:t>Tercera</w:t>
      </w:r>
      <w:r w:rsidRPr="00FD5C37">
        <w:rPr>
          <w:rFonts w:ascii="ITC Avant Garde" w:hAnsi="ITC Avant Garde"/>
          <w:bCs/>
          <w:color w:val="000000"/>
          <w:lang w:eastAsia="es-MX"/>
        </w:rPr>
        <w:t xml:space="preserve"> Concesión”).</w:t>
      </w:r>
    </w:p>
    <w:p w:rsidR="00053AB2" w:rsidRDefault="005621B4" w:rsidP="00053AB2">
      <w:pPr>
        <w:numPr>
          <w:ilvl w:val="0"/>
          <w:numId w:val="1"/>
        </w:numPr>
        <w:spacing w:before="240" w:line="240" w:lineRule="auto"/>
        <w:ind w:left="567" w:hanging="425"/>
        <w:jc w:val="both"/>
        <w:rPr>
          <w:rFonts w:ascii="ITC Avant Garde" w:hAnsi="ITC Avant Garde"/>
          <w:bCs/>
          <w:color w:val="000000"/>
          <w:lang w:eastAsia="es-MX"/>
        </w:rPr>
      </w:pPr>
      <w:r w:rsidRPr="00E41EE8">
        <w:rPr>
          <w:rFonts w:ascii="ITC Avant Garde" w:hAnsi="ITC Avant Garde"/>
          <w:b/>
          <w:bCs/>
          <w:color w:val="000000"/>
          <w:lang w:eastAsia="es-MX"/>
        </w:rPr>
        <w:t>Cesión de Derechos</w:t>
      </w:r>
      <w:r w:rsidR="002B6E3B">
        <w:rPr>
          <w:rFonts w:ascii="ITC Avant Garde" w:hAnsi="ITC Avant Garde"/>
          <w:b/>
          <w:bCs/>
          <w:color w:val="000000"/>
          <w:lang w:eastAsia="es-MX"/>
        </w:rPr>
        <w:t xml:space="preserve"> de la Primera Concesión</w:t>
      </w:r>
      <w:r w:rsidRPr="00E41EE8">
        <w:rPr>
          <w:rFonts w:ascii="ITC Avant Garde" w:hAnsi="ITC Avant Garde"/>
          <w:b/>
          <w:bCs/>
          <w:color w:val="000000"/>
          <w:lang w:eastAsia="es-MX"/>
        </w:rPr>
        <w:t>.</w:t>
      </w:r>
      <w:r w:rsidRPr="00E41EE8">
        <w:rPr>
          <w:rFonts w:ascii="ITC Avant Garde" w:hAnsi="ITC Avant Garde"/>
          <w:bCs/>
        </w:rPr>
        <w:t xml:space="preserve"> </w:t>
      </w:r>
      <w:r w:rsidR="002B6E3B">
        <w:rPr>
          <w:rFonts w:ascii="ITC Avant Garde" w:hAnsi="ITC Avant Garde"/>
          <w:bCs/>
        </w:rPr>
        <w:t>El</w:t>
      </w:r>
      <w:r w:rsidRPr="00E41EE8">
        <w:rPr>
          <w:rFonts w:ascii="ITC Avant Garde" w:hAnsi="ITC Avant Garde"/>
          <w:bCs/>
        </w:rPr>
        <w:t xml:space="preserve"> </w:t>
      </w:r>
      <w:r w:rsidR="00DB12EA">
        <w:rPr>
          <w:rFonts w:ascii="ITC Avant Garde" w:hAnsi="ITC Avant Garde"/>
          <w:bCs/>
        </w:rPr>
        <w:t>19 de diciembre de 2007</w:t>
      </w:r>
      <w:r w:rsidRPr="00E41EE8">
        <w:rPr>
          <w:rFonts w:ascii="ITC Avant Garde" w:hAnsi="ITC Avant Garde"/>
          <w:bCs/>
        </w:rPr>
        <w:t xml:space="preserve">, la </w:t>
      </w:r>
      <w:r w:rsidR="004C6DCD">
        <w:rPr>
          <w:rFonts w:ascii="ITC Avant Garde" w:hAnsi="ITC Avant Garde"/>
          <w:bCs/>
        </w:rPr>
        <w:t xml:space="preserve">Subsecretaría de Comunicaciones </w:t>
      </w:r>
      <w:r w:rsidR="0056178F">
        <w:rPr>
          <w:rFonts w:ascii="ITC Avant Garde" w:hAnsi="ITC Avant Garde"/>
          <w:bCs/>
        </w:rPr>
        <w:t xml:space="preserve">de la </w:t>
      </w:r>
      <w:r w:rsidRPr="00E41EE8">
        <w:rPr>
          <w:rFonts w:ascii="ITC Avant Garde" w:hAnsi="ITC Avant Garde"/>
          <w:bCs/>
        </w:rPr>
        <w:t>Secretaría</w:t>
      </w:r>
      <w:r w:rsidR="0056178F">
        <w:rPr>
          <w:rFonts w:ascii="ITC Avant Garde" w:hAnsi="ITC Avant Garde"/>
          <w:bCs/>
        </w:rPr>
        <w:t xml:space="preserve">, </w:t>
      </w:r>
      <w:r w:rsidR="00CE5E5B">
        <w:rPr>
          <w:rFonts w:ascii="ITC Avant Garde" w:hAnsi="ITC Avant Garde"/>
          <w:bCs/>
        </w:rPr>
        <w:t>mediante</w:t>
      </w:r>
      <w:r w:rsidR="0056178F">
        <w:rPr>
          <w:rFonts w:ascii="ITC Avant Garde" w:hAnsi="ITC Avant Garde"/>
          <w:bCs/>
        </w:rPr>
        <w:t xml:space="preserve"> oficio 2.-196</w:t>
      </w:r>
      <w:r w:rsidR="00776EE3">
        <w:rPr>
          <w:rFonts w:ascii="ITC Avant Garde" w:hAnsi="ITC Avant Garde"/>
          <w:bCs/>
        </w:rPr>
        <w:t>,</w:t>
      </w:r>
      <w:r w:rsidRPr="00E41EE8">
        <w:rPr>
          <w:rFonts w:ascii="ITC Avant Garde" w:hAnsi="ITC Avant Garde"/>
          <w:bCs/>
        </w:rPr>
        <w:t xml:space="preserve"> autorizó l</w:t>
      </w:r>
      <w:r w:rsidRPr="00E41EE8">
        <w:rPr>
          <w:rFonts w:ascii="ITC Avant Garde" w:hAnsi="ITC Avant Garde"/>
          <w:bCs/>
          <w:color w:val="000000"/>
          <w:lang w:eastAsia="es-MX"/>
        </w:rPr>
        <w:t xml:space="preserve">a cesión de derechos de la </w:t>
      </w:r>
      <w:r w:rsidR="005E1A80">
        <w:rPr>
          <w:rFonts w:ascii="ITC Avant Garde" w:hAnsi="ITC Avant Garde"/>
          <w:bCs/>
          <w:color w:val="000000"/>
          <w:lang w:eastAsia="es-MX"/>
        </w:rPr>
        <w:t>Primera</w:t>
      </w:r>
      <w:r>
        <w:rPr>
          <w:rFonts w:ascii="ITC Avant Garde" w:hAnsi="ITC Avant Garde"/>
          <w:bCs/>
          <w:color w:val="000000"/>
          <w:lang w:eastAsia="es-MX"/>
        </w:rPr>
        <w:t xml:space="preserve"> </w:t>
      </w:r>
      <w:r w:rsidRPr="00E41EE8">
        <w:rPr>
          <w:rFonts w:ascii="ITC Avant Garde" w:hAnsi="ITC Avant Garde"/>
          <w:bCs/>
          <w:color w:val="000000"/>
          <w:lang w:eastAsia="es-MX"/>
        </w:rPr>
        <w:t xml:space="preserve">Concesión a favor </w:t>
      </w:r>
      <w:r w:rsidRPr="00E41EE8">
        <w:rPr>
          <w:rFonts w:ascii="ITC Avant Garde" w:hAnsi="ITC Avant Garde"/>
          <w:bCs/>
        </w:rPr>
        <w:t>de</w:t>
      </w:r>
      <w:r w:rsidR="00DB12EA">
        <w:rPr>
          <w:rFonts w:ascii="ITC Avant Garde" w:hAnsi="ITC Avant Garde"/>
          <w:bCs/>
        </w:rPr>
        <w:t>l</w:t>
      </w:r>
      <w:r w:rsidRPr="00E41EE8">
        <w:rPr>
          <w:rFonts w:ascii="ITC Avant Garde" w:hAnsi="ITC Avant Garde"/>
          <w:bCs/>
        </w:rPr>
        <w:t xml:space="preserve"> </w:t>
      </w:r>
      <w:r w:rsidR="00DB12EA">
        <w:rPr>
          <w:rFonts w:ascii="ITC Avant Garde" w:hAnsi="ITC Avant Garde"/>
          <w:bCs/>
        </w:rPr>
        <w:t>C.</w:t>
      </w:r>
      <w:r w:rsidR="00DB12EA">
        <w:rPr>
          <w:rFonts w:ascii="ITC Avant Garde" w:hAnsi="ITC Avant Garde"/>
          <w:bCs/>
          <w:color w:val="000000"/>
          <w:lang w:eastAsia="es-MX"/>
        </w:rPr>
        <w:t xml:space="preserve"> Luis Mauricio </w:t>
      </w:r>
      <w:proofErr w:type="spellStart"/>
      <w:r w:rsidR="00DB12EA">
        <w:rPr>
          <w:rFonts w:ascii="ITC Avant Garde" w:hAnsi="ITC Avant Garde"/>
          <w:bCs/>
          <w:color w:val="000000"/>
          <w:lang w:eastAsia="es-MX"/>
        </w:rPr>
        <w:t>Orellán</w:t>
      </w:r>
      <w:proofErr w:type="spellEnd"/>
      <w:r w:rsidR="00DB12EA">
        <w:rPr>
          <w:rFonts w:ascii="ITC Avant Garde" w:hAnsi="ITC Avant Garde"/>
          <w:bCs/>
          <w:color w:val="000000"/>
          <w:lang w:eastAsia="es-MX"/>
        </w:rPr>
        <w:t xml:space="preserve"> González.</w:t>
      </w:r>
    </w:p>
    <w:p w:rsidR="00053AB2" w:rsidRDefault="00DB12EA" w:rsidP="00053AB2">
      <w:pPr>
        <w:numPr>
          <w:ilvl w:val="0"/>
          <w:numId w:val="1"/>
        </w:numPr>
        <w:spacing w:before="240" w:line="240" w:lineRule="auto"/>
        <w:ind w:left="567" w:hanging="425"/>
        <w:jc w:val="both"/>
        <w:rPr>
          <w:rFonts w:ascii="ITC Avant Garde" w:hAnsi="ITC Avant Garde"/>
          <w:bCs/>
          <w:color w:val="000000"/>
          <w:lang w:eastAsia="es-MX"/>
        </w:rPr>
      </w:pPr>
      <w:r>
        <w:rPr>
          <w:rFonts w:ascii="ITC Avant Garde" w:hAnsi="ITC Avant Garde"/>
          <w:b/>
          <w:bCs/>
          <w:color w:val="000000"/>
          <w:lang w:eastAsia="es-MX"/>
        </w:rPr>
        <w:t xml:space="preserve">Cesión </w:t>
      </w:r>
      <w:r w:rsidRPr="00E41EE8">
        <w:rPr>
          <w:rFonts w:ascii="ITC Avant Garde" w:hAnsi="ITC Avant Garde"/>
          <w:b/>
          <w:bCs/>
          <w:color w:val="000000"/>
          <w:lang w:eastAsia="es-MX"/>
        </w:rPr>
        <w:t>de Derechos</w:t>
      </w:r>
      <w:r w:rsidR="002B6E3B">
        <w:rPr>
          <w:rFonts w:ascii="ITC Avant Garde" w:hAnsi="ITC Avant Garde"/>
          <w:b/>
          <w:bCs/>
          <w:color w:val="000000"/>
          <w:lang w:eastAsia="es-MX"/>
        </w:rPr>
        <w:t xml:space="preserve"> de la Segunda Concesión</w:t>
      </w:r>
      <w:r w:rsidRPr="00E41EE8">
        <w:rPr>
          <w:rFonts w:ascii="ITC Avant Garde" w:hAnsi="ITC Avant Garde"/>
          <w:b/>
          <w:bCs/>
          <w:color w:val="000000"/>
          <w:lang w:eastAsia="es-MX"/>
        </w:rPr>
        <w:t>.</w:t>
      </w:r>
      <w:r w:rsidRPr="00E41EE8">
        <w:rPr>
          <w:rFonts w:ascii="ITC Avant Garde" w:hAnsi="ITC Avant Garde"/>
          <w:bCs/>
        </w:rPr>
        <w:t xml:space="preserve"> </w:t>
      </w:r>
      <w:r w:rsidR="001B0D1E">
        <w:rPr>
          <w:rFonts w:ascii="ITC Avant Garde" w:hAnsi="ITC Avant Garde"/>
          <w:bCs/>
        </w:rPr>
        <w:t>El</w:t>
      </w:r>
      <w:r w:rsidRPr="00E41EE8">
        <w:rPr>
          <w:rFonts w:ascii="ITC Avant Garde" w:hAnsi="ITC Avant Garde"/>
          <w:bCs/>
        </w:rPr>
        <w:t xml:space="preserve"> </w:t>
      </w:r>
      <w:r>
        <w:rPr>
          <w:rFonts w:ascii="ITC Avant Garde" w:hAnsi="ITC Avant Garde"/>
          <w:bCs/>
        </w:rPr>
        <w:t>8 de enero de 2008</w:t>
      </w:r>
      <w:r w:rsidRPr="00E41EE8">
        <w:rPr>
          <w:rFonts w:ascii="ITC Avant Garde" w:hAnsi="ITC Avant Garde"/>
          <w:bCs/>
        </w:rPr>
        <w:t xml:space="preserve">, la </w:t>
      </w:r>
      <w:r w:rsidR="007671A7">
        <w:rPr>
          <w:rFonts w:ascii="ITC Avant Garde" w:hAnsi="ITC Avant Garde"/>
          <w:bCs/>
        </w:rPr>
        <w:t xml:space="preserve">Subsecretaría de Comunicaciones de la </w:t>
      </w:r>
      <w:r w:rsidRPr="00E41EE8">
        <w:rPr>
          <w:rFonts w:ascii="ITC Avant Garde" w:hAnsi="ITC Avant Garde"/>
          <w:bCs/>
        </w:rPr>
        <w:t>Secretaría</w:t>
      </w:r>
      <w:r w:rsidR="00CE5E5B">
        <w:rPr>
          <w:rFonts w:ascii="ITC Avant Garde" w:hAnsi="ITC Avant Garde"/>
          <w:bCs/>
        </w:rPr>
        <w:t>, mediante oficio 2.-08/08</w:t>
      </w:r>
      <w:r w:rsidR="00776EE3">
        <w:rPr>
          <w:rFonts w:ascii="ITC Avant Garde" w:hAnsi="ITC Avant Garde"/>
          <w:bCs/>
        </w:rPr>
        <w:t>,</w:t>
      </w:r>
      <w:r w:rsidR="00CE5E5B">
        <w:rPr>
          <w:rFonts w:ascii="ITC Avant Garde" w:hAnsi="ITC Avant Garde"/>
          <w:bCs/>
        </w:rPr>
        <w:t xml:space="preserve"> </w:t>
      </w:r>
      <w:r w:rsidRPr="00E41EE8">
        <w:rPr>
          <w:rFonts w:ascii="ITC Avant Garde" w:hAnsi="ITC Avant Garde"/>
          <w:bCs/>
        </w:rPr>
        <w:t>autorizó l</w:t>
      </w:r>
      <w:r w:rsidRPr="00E41EE8">
        <w:rPr>
          <w:rFonts w:ascii="ITC Avant Garde" w:hAnsi="ITC Avant Garde"/>
          <w:bCs/>
          <w:color w:val="000000"/>
          <w:lang w:eastAsia="es-MX"/>
        </w:rPr>
        <w:t xml:space="preserve">a cesión de derechos de la </w:t>
      </w:r>
      <w:r w:rsidR="005E1A80">
        <w:rPr>
          <w:rFonts w:ascii="ITC Avant Garde" w:hAnsi="ITC Avant Garde"/>
          <w:bCs/>
          <w:color w:val="000000"/>
          <w:lang w:eastAsia="es-MX"/>
        </w:rPr>
        <w:t>Segunda</w:t>
      </w:r>
      <w:r>
        <w:rPr>
          <w:rFonts w:ascii="ITC Avant Garde" w:hAnsi="ITC Avant Garde"/>
          <w:bCs/>
          <w:color w:val="000000"/>
          <w:lang w:eastAsia="es-MX"/>
        </w:rPr>
        <w:t xml:space="preserve"> </w:t>
      </w:r>
      <w:r w:rsidRPr="00E41EE8">
        <w:rPr>
          <w:rFonts w:ascii="ITC Avant Garde" w:hAnsi="ITC Avant Garde"/>
          <w:bCs/>
          <w:color w:val="000000"/>
          <w:lang w:eastAsia="es-MX"/>
        </w:rPr>
        <w:t xml:space="preserve">Concesión a favor </w:t>
      </w:r>
      <w:r w:rsidRPr="00E41EE8">
        <w:rPr>
          <w:rFonts w:ascii="ITC Avant Garde" w:hAnsi="ITC Avant Garde"/>
          <w:bCs/>
        </w:rPr>
        <w:t>de</w:t>
      </w:r>
      <w:r>
        <w:rPr>
          <w:rFonts w:ascii="ITC Avant Garde" w:hAnsi="ITC Avant Garde"/>
          <w:bCs/>
        </w:rPr>
        <w:t>l</w:t>
      </w:r>
      <w:r w:rsidRPr="00E41EE8">
        <w:rPr>
          <w:rFonts w:ascii="ITC Avant Garde" w:hAnsi="ITC Avant Garde"/>
          <w:bCs/>
        </w:rPr>
        <w:t xml:space="preserve"> </w:t>
      </w:r>
      <w:r>
        <w:rPr>
          <w:rFonts w:ascii="ITC Avant Garde" w:hAnsi="ITC Avant Garde"/>
          <w:bCs/>
        </w:rPr>
        <w:t>C.</w:t>
      </w:r>
      <w:r>
        <w:rPr>
          <w:rFonts w:ascii="ITC Avant Garde" w:hAnsi="ITC Avant Garde"/>
          <w:bCs/>
          <w:color w:val="000000"/>
          <w:lang w:eastAsia="es-MX"/>
        </w:rPr>
        <w:t xml:space="preserve"> Luis Mauricio </w:t>
      </w:r>
      <w:proofErr w:type="spellStart"/>
      <w:r>
        <w:rPr>
          <w:rFonts w:ascii="ITC Avant Garde" w:hAnsi="ITC Avant Garde"/>
          <w:bCs/>
          <w:color w:val="000000"/>
          <w:lang w:eastAsia="es-MX"/>
        </w:rPr>
        <w:t>Orellán</w:t>
      </w:r>
      <w:proofErr w:type="spellEnd"/>
      <w:r>
        <w:rPr>
          <w:rFonts w:ascii="ITC Avant Garde" w:hAnsi="ITC Avant Garde"/>
          <w:bCs/>
          <w:color w:val="000000"/>
          <w:lang w:eastAsia="es-MX"/>
        </w:rPr>
        <w:t xml:space="preserve"> González.</w:t>
      </w:r>
    </w:p>
    <w:p w:rsidR="00053AB2" w:rsidRDefault="009A5E55" w:rsidP="00053AB2">
      <w:pPr>
        <w:numPr>
          <w:ilvl w:val="0"/>
          <w:numId w:val="1"/>
        </w:numPr>
        <w:spacing w:before="240" w:line="240" w:lineRule="auto"/>
        <w:ind w:left="567" w:hanging="425"/>
        <w:jc w:val="both"/>
        <w:rPr>
          <w:rFonts w:ascii="ITC Avant Garde" w:hAnsi="ITC Avant Garde"/>
          <w:bCs/>
          <w:color w:val="000000"/>
          <w:lang w:eastAsia="es-MX"/>
        </w:rPr>
      </w:pPr>
      <w:r w:rsidRPr="00686D49">
        <w:rPr>
          <w:rFonts w:ascii="ITC Avant Garde" w:hAnsi="ITC Avant Garde"/>
          <w:b/>
          <w:bCs/>
          <w:color w:val="000000"/>
          <w:lang w:eastAsia="es-MX"/>
        </w:rPr>
        <w:t xml:space="preserve">Decreto de Reforma Constitucional. </w:t>
      </w:r>
      <w:r w:rsidRPr="00686D49">
        <w:rPr>
          <w:rFonts w:ascii="ITC Avant Garde" w:hAnsi="ITC Avant Garde"/>
          <w:bCs/>
          <w:color w:val="000000"/>
          <w:lang w:eastAsia="es-MX"/>
        </w:rPr>
        <w:t>Con fecha 11 de junio de 2013, se publicó en el Diario Oficial de la Federación el “</w:t>
      </w:r>
      <w:r w:rsidRPr="00792939">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686D49">
        <w:rPr>
          <w:rFonts w:ascii="ITC Avant Garde" w:hAnsi="ITC Avant Garde"/>
          <w:bCs/>
          <w:color w:val="000000"/>
          <w:lang w:eastAsia="es-MX"/>
        </w:rPr>
        <w:t xml:space="preserve">” (el “Decreto de Reforma Constitucional”), mediante el cual </w:t>
      </w:r>
      <w:r w:rsidRPr="00686D49">
        <w:rPr>
          <w:rFonts w:ascii="ITC Avant Garde" w:hAnsi="ITC Avant Garde"/>
          <w:bCs/>
          <w:color w:val="000000"/>
          <w:lang w:eastAsia="es-MX"/>
        </w:rPr>
        <w:lastRenderedPageBreak/>
        <w:t>se creó el Instituto Federal de Telecomunicaciones (el “Instituto”), como un órgano autónomo que tiene por objeto el desarrollo eficiente de la radiodifusión y las telecomunicacione</w:t>
      </w:r>
      <w:r>
        <w:rPr>
          <w:rFonts w:ascii="ITC Avant Garde" w:hAnsi="ITC Avant Garde"/>
          <w:bCs/>
          <w:color w:val="000000"/>
          <w:lang w:eastAsia="es-MX"/>
        </w:rPr>
        <w:t>s.</w:t>
      </w:r>
    </w:p>
    <w:p w:rsidR="00053AB2" w:rsidRDefault="009A5E55" w:rsidP="00053AB2">
      <w:pPr>
        <w:numPr>
          <w:ilvl w:val="0"/>
          <w:numId w:val="1"/>
        </w:numPr>
        <w:spacing w:before="240" w:line="240" w:lineRule="auto"/>
        <w:ind w:left="567" w:hanging="425"/>
        <w:jc w:val="both"/>
        <w:rPr>
          <w:rFonts w:ascii="ITC Avant Garde" w:hAnsi="ITC Avant Garde"/>
          <w:bCs/>
          <w:color w:val="000000"/>
          <w:lang w:eastAsia="es-MX"/>
        </w:rPr>
      </w:pPr>
      <w:r w:rsidRPr="00686D49">
        <w:rPr>
          <w:rFonts w:ascii="ITC Avant Garde" w:hAnsi="ITC Avant Garde"/>
          <w:b/>
          <w:bCs/>
          <w:color w:val="000000" w:themeColor="text1"/>
          <w:lang w:eastAsia="es-MX"/>
        </w:rPr>
        <w:t xml:space="preserve">Decreto de Ley. </w:t>
      </w:r>
      <w:r w:rsidRPr="00686D49">
        <w:rPr>
          <w:rFonts w:ascii="ITC Avant Garde" w:hAnsi="ITC Avant Garde"/>
          <w:bCs/>
          <w:color w:val="000000" w:themeColor="text1"/>
          <w:lang w:eastAsia="es-MX"/>
        </w:rPr>
        <w:t>El 14 de julio de 2014, se publicó en el Diario Oficial de la Federación el “</w:t>
      </w:r>
      <w:r w:rsidRPr="00686D49">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686D49">
        <w:rPr>
          <w:rFonts w:ascii="ITC Avant Garde" w:hAnsi="ITC Avant Garde"/>
          <w:bCs/>
          <w:color w:val="000000" w:themeColor="text1"/>
          <w:lang w:eastAsia="es-MX"/>
        </w:rPr>
        <w:t>” (el “Decreto de Ley”), mismo que entró en vigor el 13 de agosto de 2014.</w:t>
      </w:r>
    </w:p>
    <w:p w:rsidR="00053AB2" w:rsidRDefault="009A5E55" w:rsidP="00053AB2">
      <w:pPr>
        <w:numPr>
          <w:ilvl w:val="0"/>
          <w:numId w:val="1"/>
        </w:numPr>
        <w:spacing w:before="240" w:line="240" w:lineRule="auto"/>
        <w:ind w:left="567" w:hanging="425"/>
        <w:jc w:val="both"/>
        <w:rPr>
          <w:rFonts w:ascii="ITC Avant Garde" w:hAnsi="ITC Avant Garde"/>
          <w:bCs/>
          <w:color w:val="000000"/>
          <w:lang w:eastAsia="es-MX"/>
        </w:rPr>
      </w:pPr>
      <w:r w:rsidRPr="007C5EF0">
        <w:rPr>
          <w:rFonts w:ascii="ITC Avant Garde" w:hAnsi="ITC Avant Garde" w:cs="Arial"/>
          <w:b/>
          <w:bCs/>
          <w:color w:val="000000"/>
          <w:shd w:val="clear" w:color="auto" w:fill="FFFFFF"/>
        </w:rPr>
        <w:t>Estatuto Orgánico.</w:t>
      </w:r>
      <w:r w:rsidRPr="007C5EF0">
        <w:rPr>
          <w:rStyle w:val="apple-converted-space"/>
          <w:rFonts w:ascii="ITC Avant Garde" w:hAnsi="ITC Avant Garde" w:cs="Arial"/>
          <w:b/>
          <w:bCs/>
          <w:color w:val="000000"/>
          <w:shd w:val="clear" w:color="auto" w:fill="FFFFFF"/>
        </w:rPr>
        <w:t xml:space="preserve"> </w:t>
      </w:r>
      <w:r w:rsidRPr="007C5EF0">
        <w:rPr>
          <w:rFonts w:ascii="ITC Avant Garde" w:hAnsi="ITC Avant Garde"/>
          <w:color w:val="000000"/>
          <w:shd w:val="clear" w:color="auto" w:fill="FFFFFF"/>
        </w:rPr>
        <w:t>El 4 de septiembre de 2014, se publicó en el Diario Oficial de la Federación el “</w:t>
      </w:r>
      <w:r w:rsidRPr="007C5EF0">
        <w:rPr>
          <w:rFonts w:ascii="ITC Avant Garde" w:hAnsi="ITC Avant Garde"/>
          <w:i/>
          <w:color w:val="000000"/>
          <w:shd w:val="clear" w:color="auto" w:fill="FFFFFF"/>
        </w:rPr>
        <w:t>Estatuto Orgánico del Instituto Federal de Telecomunicaciones</w:t>
      </w:r>
      <w:r w:rsidRPr="007C5EF0">
        <w:rPr>
          <w:rFonts w:ascii="ITC Avant Garde" w:hAnsi="ITC Avant Garde"/>
          <w:color w:val="000000"/>
          <w:shd w:val="clear" w:color="auto" w:fill="FFFFFF"/>
        </w:rPr>
        <w:t xml:space="preserve">” (el “Estatuto Orgánico”), mismo que entró en vigor el 26 de septiembre de 2014, y fue modificado </w:t>
      </w:r>
      <w:r w:rsidR="0073097E">
        <w:rPr>
          <w:rFonts w:ascii="ITC Avant Garde" w:hAnsi="ITC Avant Garde"/>
          <w:bCs/>
          <w:color w:val="000000"/>
          <w:lang w:eastAsia="es-MX"/>
        </w:rPr>
        <w:t xml:space="preserve">por última vez </w:t>
      </w:r>
      <w:r w:rsidR="007C5EF0" w:rsidRPr="007C5EF0">
        <w:rPr>
          <w:rFonts w:ascii="ITC Avant Garde" w:hAnsi="ITC Avant Garde"/>
          <w:color w:val="000000"/>
          <w:shd w:val="clear" w:color="auto" w:fill="FFFFFF"/>
        </w:rPr>
        <w:t>el 17 de octubre de 2016</w:t>
      </w:r>
      <w:r w:rsidRPr="007C5EF0">
        <w:rPr>
          <w:rFonts w:ascii="ITC Avant Garde" w:hAnsi="ITC Avant Garde"/>
          <w:color w:val="000000"/>
          <w:shd w:val="clear" w:color="auto" w:fill="FFFFFF"/>
        </w:rPr>
        <w:t>.</w:t>
      </w:r>
    </w:p>
    <w:p w:rsidR="00053AB2" w:rsidRDefault="009A5E55" w:rsidP="00053AB2">
      <w:pPr>
        <w:numPr>
          <w:ilvl w:val="0"/>
          <w:numId w:val="1"/>
        </w:numPr>
        <w:spacing w:before="240" w:line="240" w:lineRule="auto"/>
        <w:ind w:left="567" w:hanging="425"/>
        <w:jc w:val="both"/>
        <w:rPr>
          <w:rFonts w:ascii="ITC Avant Garde" w:hAnsi="ITC Avant Garde"/>
          <w:bCs/>
          <w:color w:val="000000"/>
          <w:lang w:eastAsia="es-MX"/>
        </w:rPr>
      </w:pPr>
      <w:r w:rsidRPr="00686D49">
        <w:rPr>
          <w:rFonts w:ascii="ITC Avant Garde" w:hAnsi="ITC Avant Garde"/>
          <w:b/>
          <w:bCs/>
        </w:rPr>
        <w:t>Lineamientos para el Otorgamiento de Concesiones.</w:t>
      </w:r>
      <w:r w:rsidRPr="00686D49">
        <w:rPr>
          <w:rFonts w:ascii="ITC Avant Garde" w:hAnsi="ITC Avant Garde"/>
          <w:bCs/>
          <w:color w:val="000000"/>
          <w:lang w:eastAsia="es-MX"/>
        </w:rPr>
        <w:t xml:space="preserve"> Con fecha 24 de julio de 2015, se publicaron en el Diario Oficial de la Federación los “</w:t>
      </w:r>
      <w:r w:rsidRPr="00686D49">
        <w:rPr>
          <w:rFonts w:ascii="ITC Avant Garde" w:hAnsi="ITC Avant Garde"/>
          <w:bCs/>
          <w:i/>
        </w:rPr>
        <w:t>Lineamientos generales para el otorgamiento de concesiones a que se refiere el título cuarto de la Ley Federal de Telecomunicaciones y Radiodifusión</w:t>
      </w:r>
      <w:r w:rsidRPr="00686D49">
        <w:rPr>
          <w:rFonts w:ascii="ITC Avant Garde" w:hAnsi="ITC Avant Garde"/>
          <w:bCs/>
        </w:rPr>
        <w:t>” (los “Lineamientos”).</w:t>
      </w:r>
    </w:p>
    <w:p w:rsidR="00053AB2" w:rsidRDefault="009A5E55" w:rsidP="00053AB2">
      <w:pPr>
        <w:numPr>
          <w:ilvl w:val="0"/>
          <w:numId w:val="1"/>
        </w:numPr>
        <w:spacing w:before="240" w:line="240" w:lineRule="auto"/>
        <w:ind w:left="567" w:hanging="425"/>
        <w:jc w:val="both"/>
        <w:rPr>
          <w:rFonts w:ascii="ITC Avant Garde" w:hAnsi="ITC Avant Garde"/>
          <w:bCs/>
          <w:color w:val="000000"/>
          <w:lang w:eastAsia="es-MX"/>
        </w:rPr>
      </w:pPr>
      <w:r w:rsidRPr="00C50B5E">
        <w:rPr>
          <w:rFonts w:ascii="ITC Avant Garde" w:hAnsi="ITC Avant Garde"/>
          <w:b/>
          <w:bCs/>
        </w:rPr>
        <w:t xml:space="preserve">Solicitud de Transición a la Concesión Única para Uso Comercial. </w:t>
      </w:r>
      <w:r w:rsidRPr="00C50B5E">
        <w:rPr>
          <w:rFonts w:ascii="ITC Avant Garde" w:hAnsi="ITC Avant Garde"/>
          <w:bCs/>
        </w:rPr>
        <w:t>Con fecha</w:t>
      </w:r>
      <w:r w:rsidR="00750D60">
        <w:rPr>
          <w:rFonts w:ascii="ITC Avant Garde" w:hAnsi="ITC Avant Garde"/>
          <w:color w:val="000000"/>
          <w:lang w:eastAsia="es-MX"/>
        </w:rPr>
        <w:t xml:space="preserve"> </w:t>
      </w:r>
      <w:r w:rsidR="005D45E2">
        <w:rPr>
          <w:rFonts w:ascii="ITC Avant Garde" w:hAnsi="ITC Avant Garde"/>
          <w:color w:val="000000"/>
          <w:lang w:eastAsia="es-MX"/>
        </w:rPr>
        <w:t>23 de marzo de 2</w:t>
      </w:r>
      <w:r w:rsidR="004B1B3C">
        <w:rPr>
          <w:rFonts w:ascii="ITC Avant Garde" w:hAnsi="ITC Avant Garde"/>
          <w:color w:val="000000"/>
          <w:lang w:eastAsia="es-MX"/>
        </w:rPr>
        <w:t>017</w:t>
      </w:r>
      <w:r w:rsidRPr="00C50B5E">
        <w:rPr>
          <w:rFonts w:ascii="ITC Avant Garde" w:hAnsi="ITC Avant Garde"/>
        </w:rPr>
        <w:t>,</w:t>
      </w:r>
      <w:r w:rsidRPr="00C50B5E">
        <w:rPr>
          <w:rFonts w:ascii="ITC Avant Garde" w:hAnsi="ITC Avant Garde"/>
          <w:color w:val="000000"/>
          <w:lang w:eastAsia="es-MX"/>
        </w:rPr>
        <w:t xml:space="preserve"> </w:t>
      </w:r>
      <w:r w:rsidR="004B1B3C">
        <w:rPr>
          <w:rFonts w:ascii="ITC Avant Garde" w:hAnsi="ITC Avant Garde"/>
          <w:bCs/>
          <w:color w:val="000000"/>
          <w:lang w:eastAsia="es-MX"/>
        </w:rPr>
        <w:t xml:space="preserve">el C. Luis Mauricio </w:t>
      </w:r>
      <w:proofErr w:type="spellStart"/>
      <w:r w:rsidR="004B1B3C">
        <w:rPr>
          <w:rFonts w:ascii="ITC Avant Garde" w:hAnsi="ITC Avant Garde"/>
          <w:bCs/>
          <w:color w:val="000000"/>
          <w:lang w:eastAsia="es-MX"/>
        </w:rPr>
        <w:t>Orellán</w:t>
      </w:r>
      <w:proofErr w:type="spellEnd"/>
      <w:r w:rsidR="004B1B3C">
        <w:rPr>
          <w:rFonts w:ascii="ITC Avant Garde" w:hAnsi="ITC Avant Garde"/>
          <w:bCs/>
          <w:color w:val="000000"/>
          <w:lang w:eastAsia="es-MX"/>
        </w:rPr>
        <w:t xml:space="preserve"> González</w:t>
      </w:r>
      <w:r w:rsidRPr="00C50B5E">
        <w:rPr>
          <w:rFonts w:ascii="ITC Avant Garde" w:hAnsi="ITC Avant Garde"/>
        </w:rPr>
        <w:t xml:space="preserve"> </w:t>
      </w:r>
      <w:r w:rsidR="00950E13" w:rsidRPr="00C50B5E">
        <w:rPr>
          <w:rFonts w:ascii="ITC Avant Garde" w:hAnsi="ITC Avant Garde"/>
          <w:color w:val="000000"/>
          <w:lang w:eastAsia="es-MX"/>
        </w:rPr>
        <w:t xml:space="preserve">solicitó autorización para transitar </w:t>
      </w:r>
      <w:r w:rsidR="001B0D1E">
        <w:rPr>
          <w:rFonts w:ascii="ITC Avant Garde" w:hAnsi="ITC Avant Garde"/>
          <w:color w:val="000000"/>
          <w:lang w:eastAsia="es-MX"/>
        </w:rPr>
        <w:t xml:space="preserve">la Primera Concesión </w:t>
      </w:r>
      <w:r w:rsidR="00950E13" w:rsidRPr="00C50B5E">
        <w:rPr>
          <w:rFonts w:ascii="ITC Avant Garde" w:hAnsi="ITC Avant Garde"/>
          <w:color w:val="000000"/>
          <w:lang w:eastAsia="es-MX"/>
        </w:rPr>
        <w:t xml:space="preserve">al régimen de </w:t>
      </w:r>
      <w:r w:rsidR="00950E13" w:rsidRPr="00C50B5E">
        <w:rPr>
          <w:rFonts w:ascii="ITC Avant Garde" w:hAnsi="ITC Avant Garde"/>
        </w:rPr>
        <w:t xml:space="preserve">Concesión Única para Uso Comercial (la “Solicitud de </w:t>
      </w:r>
      <w:r w:rsidR="00FB4291">
        <w:rPr>
          <w:rFonts w:ascii="ITC Avant Garde" w:hAnsi="ITC Avant Garde"/>
        </w:rPr>
        <w:t>Transición</w:t>
      </w:r>
      <w:r w:rsidR="00950E13" w:rsidRPr="00C50B5E">
        <w:rPr>
          <w:rFonts w:ascii="ITC Avant Garde" w:hAnsi="ITC Avant Garde"/>
        </w:rPr>
        <w:t xml:space="preserve">”). </w:t>
      </w:r>
    </w:p>
    <w:p w:rsidR="00053AB2" w:rsidRDefault="00FE3A48" w:rsidP="00053AB2">
      <w:pPr>
        <w:numPr>
          <w:ilvl w:val="0"/>
          <w:numId w:val="1"/>
        </w:numPr>
        <w:spacing w:before="240" w:line="240" w:lineRule="auto"/>
        <w:ind w:left="567" w:hanging="425"/>
        <w:jc w:val="both"/>
        <w:rPr>
          <w:rFonts w:ascii="ITC Avant Garde" w:hAnsi="ITC Avant Garde"/>
          <w:bCs/>
          <w:color w:val="000000"/>
          <w:lang w:eastAsia="es-MX"/>
        </w:rPr>
      </w:pPr>
      <w:r w:rsidRPr="00945239">
        <w:rPr>
          <w:rFonts w:ascii="ITC Avant Garde" w:hAnsi="ITC Avant Garde" w:cs="Arial"/>
          <w:b/>
          <w:bCs/>
          <w:color w:val="000000"/>
          <w:shd w:val="clear" w:color="auto" w:fill="FFFFFF"/>
        </w:rPr>
        <w:t xml:space="preserve">Solicitud de Dictamen de Cumplimiento de Obligaciones a la Unidad de Cumplimiento. </w:t>
      </w:r>
      <w:r w:rsidRPr="00945239">
        <w:rPr>
          <w:rFonts w:ascii="ITC Avant Garde" w:hAnsi="ITC Avant Garde" w:cs="Arial"/>
          <w:bCs/>
          <w:color w:val="000000"/>
          <w:shd w:val="clear" w:color="auto" w:fill="FFFFFF"/>
        </w:rPr>
        <w:t>Mediante oficio IFT/</w:t>
      </w:r>
      <w:r>
        <w:rPr>
          <w:rFonts w:ascii="ITC Avant Garde" w:hAnsi="ITC Avant Garde" w:cs="Arial"/>
          <w:bCs/>
          <w:color w:val="000000"/>
          <w:shd w:val="clear" w:color="auto" w:fill="FFFFFF"/>
        </w:rPr>
        <w:t>223</w:t>
      </w:r>
      <w:r w:rsidRPr="00945239">
        <w:rPr>
          <w:rFonts w:ascii="ITC Avant Garde" w:hAnsi="ITC Avant Garde" w:cs="Arial"/>
          <w:bCs/>
          <w:color w:val="000000"/>
          <w:shd w:val="clear" w:color="auto" w:fill="FFFFFF"/>
        </w:rPr>
        <w:t>/UCS/DG-CTEL/</w:t>
      </w:r>
      <w:r>
        <w:rPr>
          <w:rFonts w:ascii="ITC Avant Garde" w:hAnsi="ITC Avant Garde" w:cs="Arial"/>
          <w:bCs/>
          <w:color w:val="000000"/>
          <w:shd w:val="clear" w:color="auto" w:fill="FFFFFF"/>
        </w:rPr>
        <w:t>0765/2017</w:t>
      </w:r>
      <w:r w:rsidRPr="00945239">
        <w:rPr>
          <w:rFonts w:ascii="ITC Avant Garde" w:hAnsi="ITC Avant Garde" w:cs="Arial"/>
          <w:bCs/>
          <w:color w:val="000000"/>
          <w:shd w:val="clear" w:color="auto" w:fill="FFFFFF"/>
        </w:rPr>
        <w:t xml:space="preserve"> de fecha </w:t>
      </w:r>
      <w:r>
        <w:rPr>
          <w:rFonts w:ascii="ITC Avant Garde" w:hAnsi="ITC Avant Garde" w:cs="Arial"/>
          <w:bCs/>
          <w:color w:val="000000"/>
          <w:shd w:val="clear" w:color="auto" w:fill="FFFFFF"/>
        </w:rPr>
        <w:t>27</w:t>
      </w:r>
      <w:r w:rsidRPr="00945239">
        <w:rPr>
          <w:rFonts w:ascii="ITC Avant Garde" w:hAnsi="ITC Avant Garde" w:cs="Arial"/>
          <w:bCs/>
          <w:color w:val="000000"/>
          <w:shd w:val="clear" w:color="auto" w:fill="FFFFFF"/>
        </w:rPr>
        <w:t xml:space="preserve"> de </w:t>
      </w:r>
      <w:r>
        <w:rPr>
          <w:rFonts w:ascii="ITC Avant Garde" w:hAnsi="ITC Avant Garde" w:cs="Arial"/>
          <w:bCs/>
          <w:color w:val="000000"/>
          <w:shd w:val="clear" w:color="auto" w:fill="FFFFFF"/>
        </w:rPr>
        <w:t>marzo</w:t>
      </w:r>
      <w:r w:rsidRPr="00945239">
        <w:rPr>
          <w:rFonts w:ascii="ITC Avant Garde" w:hAnsi="ITC Avant Garde" w:cs="Arial"/>
          <w:bCs/>
          <w:color w:val="000000"/>
          <w:shd w:val="clear" w:color="auto" w:fill="FFFFFF"/>
        </w:rPr>
        <w:t xml:space="preserve"> de 201</w:t>
      </w:r>
      <w:r>
        <w:rPr>
          <w:rFonts w:ascii="ITC Avant Garde" w:hAnsi="ITC Avant Garde" w:cs="Arial"/>
          <w:bCs/>
          <w:color w:val="000000"/>
          <w:shd w:val="clear" w:color="auto" w:fill="FFFFFF"/>
        </w:rPr>
        <w:t>7</w:t>
      </w:r>
      <w:r w:rsidRPr="00945239">
        <w:rPr>
          <w:rFonts w:ascii="ITC Avant Garde" w:hAnsi="ITC Avant Garde" w:cs="Arial"/>
          <w:bCs/>
          <w:color w:val="000000"/>
          <w:shd w:val="clear" w:color="auto" w:fill="FFFFFF"/>
        </w:rPr>
        <w:t>, la Dirección General de Concesiones de Telecomunicaciones, adscrita a la Unidad de Concesiones y Servicios del Instituto, solicitó a la Unidad de Cumplimiento el dictamen relativo al cumplimiento de obligaciones respecto de</w:t>
      </w:r>
      <w:r>
        <w:rPr>
          <w:rFonts w:ascii="ITC Avant Garde" w:hAnsi="ITC Avant Garde" w:cs="Arial"/>
          <w:bCs/>
          <w:color w:val="000000"/>
          <w:shd w:val="clear" w:color="auto" w:fill="FFFFFF"/>
        </w:rPr>
        <w:t xml:space="preserve"> los tres</w:t>
      </w:r>
      <w:r w:rsidRPr="00945239">
        <w:rPr>
          <w:rFonts w:ascii="ITC Avant Garde" w:hAnsi="ITC Avant Garde" w:cs="Arial"/>
          <w:bCs/>
          <w:color w:val="000000"/>
          <w:shd w:val="clear" w:color="auto" w:fill="FFFFFF"/>
        </w:rPr>
        <w:t xml:space="preserve"> </w:t>
      </w:r>
      <w:r>
        <w:rPr>
          <w:rFonts w:ascii="ITC Avant Garde" w:hAnsi="ITC Avant Garde" w:cs="Arial"/>
          <w:bCs/>
          <w:color w:val="000000"/>
          <w:shd w:val="clear" w:color="auto" w:fill="FFFFFF"/>
        </w:rPr>
        <w:t>título</w:t>
      </w:r>
      <w:r w:rsidR="00796F2B">
        <w:rPr>
          <w:rFonts w:ascii="ITC Avant Garde" w:hAnsi="ITC Avant Garde" w:cs="Arial"/>
          <w:bCs/>
          <w:color w:val="000000"/>
          <w:shd w:val="clear" w:color="auto" w:fill="FFFFFF"/>
        </w:rPr>
        <w:t>s</w:t>
      </w:r>
      <w:r>
        <w:rPr>
          <w:rFonts w:ascii="ITC Avant Garde" w:hAnsi="ITC Avant Garde" w:cs="Arial"/>
          <w:bCs/>
          <w:color w:val="000000"/>
          <w:shd w:val="clear" w:color="auto" w:fill="FFFFFF"/>
        </w:rPr>
        <w:t xml:space="preserve"> de concesión otorgados a</w:t>
      </w:r>
      <w:r w:rsidRPr="00356D17">
        <w:rPr>
          <w:rFonts w:ascii="ITC Avant Garde" w:hAnsi="ITC Avant Garde"/>
          <w:bCs/>
        </w:rPr>
        <w:t xml:space="preserve">l C. </w:t>
      </w:r>
      <w:r>
        <w:rPr>
          <w:rFonts w:ascii="ITC Avant Garde" w:hAnsi="ITC Avant Garde"/>
          <w:bCs/>
        </w:rPr>
        <w:t xml:space="preserve">Luis Mauricio </w:t>
      </w:r>
      <w:proofErr w:type="spellStart"/>
      <w:r>
        <w:rPr>
          <w:rFonts w:ascii="ITC Avant Garde" w:hAnsi="ITC Avant Garde"/>
          <w:bCs/>
        </w:rPr>
        <w:t>Orellán</w:t>
      </w:r>
      <w:proofErr w:type="spellEnd"/>
      <w:r>
        <w:rPr>
          <w:rFonts w:ascii="ITC Avant Garde" w:hAnsi="ITC Avant Garde"/>
          <w:bCs/>
        </w:rPr>
        <w:t xml:space="preserve"> González.</w:t>
      </w:r>
    </w:p>
    <w:p w:rsidR="00053AB2" w:rsidRDefault="00AF4E0B" w:rsidP="00053AB2">
      <w:pPr>
        <w:numPr>
          <w:ilvl w:val="0"/>
          <w:numId w:val="1"/>
        </w:numPr>
        <w:spacing w:before="240" w:line="240" w:lineRule="auto"/>
        <w:ind w:left="567" w:hanging="425"/>
        <w:jc w:val="both"/>
        <w:rPr>
          <w:rFonts w:ascii="ITC Avant Garde" w:hAnsi="ITC Avant Garde"/>
          <w:b/>
          <w:bCs/>
          <w:color w:val="000000"/>
          <w:lang w:eastAsia="es-MX"/>
        </w:rPr>
      </w:pPr>
      <w:r>
        <w:rPr>
          <w:rFonts w:ascii="ITC Avant Garde" w:hAnsi="ITC Avant Garde"/>
          <w:b/>
          <w:bCs/>
        </w:rPr>
        <w:t xml:space="preserve">Dictamen </w:t>
      </w:r>
      <w:r w:rsidR="009A5E55" w:rsidRPr="00533323">
        <w:rPr>
          <w:rFonts w:ascii="ITC Avant Garde" w:hAnsi="ITC Avant Garde"/>
          <w:b/>
          <w:bCs/>
        </w:rPr>
        <w:t>en materia de Cumplimiento de Obligaciones.</w:t>
      </w:r>
      <w:r w:rsidR="009A5E55" w:rsidRPr="00533323">
        <w:rPr>
          <w:rFonts w:ascii="ITC Avant Garde" w:hAnsi="ITC Avant Garde"/>
          <w:b/>
          <w:bCs/>
          <w:color w:val="000000"/>
          <w:lang w:eastAsia="es-MX"/>
        </w:rPr>
        <w:t xml:space="preserve"> </w:t>
      </w:r>
      <w:r w:rsidR="009A5E55" w:rsidRPr="00533323">
        <w:rPr>
          <w:rFonts w:ascii="ITC Avant Garde" w:hAnsi="ITC Avant Garde"/>
          <w:bCs/>
          <w:color w:val="000000"/>
          <w:lang w:eastAsia="es-MX"/>
        </w:rPr>
        <w:t>Mediante oficio IFT/225/UC/DG-SUV/</w:t>
      </w:r>
      <w:r w:rsidR="004B1B3C">
        <w:rPr>
          <w:rFonts w:ascii="ITC Avant Garde" w:hAnsi="ITC Avant Garde"/>
          <w:bCs/>
          <w:color w:val="000000"/>
          <w:lang w:eastAsia="es-MX"/>
        </w:rPr>
        <w:t>0</w:t>
      </w:r>
      <w:r w:rsidR="00FE3A48">
        <w:rPr>
          <w:rFonts w:ascii="ITC Avant Garde" w:hAnsi="ITC Avant Garde"/>
          <w:bCs/>
          <w:color w:val="000000"/>
          <w:lang w:eastAsia="es-MX"/>
        </w:rPr>
        <w:t>1501</w:t>
      </w:r>
      <w:r w:rsidR="004B1B3C">
        <w:rPr>
          <w:rFonts w:ascii="ITC Avant Garde" w:hAnsi="ITC Avant Garde"/>
          <w:bCs/>
          <w:color w:val="000000"/>
          <w:lang w:eastAsia="es-MX"/>
        </w:rPr>
        <w:t>/2017</w:t>
      </w:r>
      <w:r w:rsidR="00C51F7E">
        <w:rPr>
          <w:rFonts w:ascii="ITC Avant Garde" w:hAnsi="ITC Avant Garde"/>
          <w:bCs/>
          <w:color w:val="000000"/>
          <w:lang w:eastAsia="es-MX"/>
        </w:rPr>
        <w:t xml:space="preserve"> </w:t>
      </w:r>
      <w:r w:rsidR="009A5E55" w:rsidRPr="00533323">
        <w:rPr>
          <w:rFonts w:ascii="ITC Avant Garde" w:hAnsi="ITC Avant Garde"/>
          <w:bCs/>
          <w:color w:val="000000"/>
          <w:lang w:eastAsia="es-MX"/>
        </w:rPr>
        <w:t xml:space="preserve">de fecha </w:t>
      </w:r>
      <w:r w:rsidR="00FE3A48">
        <w:rPr>
          <w:rFonts w:ascii="ITC Avant Garde" w:hAnsi="ITC Avant Garde"/>
          <w:bCs/>
          <w:color w:val="000000"/>
          <w:lang w:eastAsia="es-MX"/>
        </w:rPr>
        <w:t>16 de mayo</w:t>
      </w:r>
      <w:r w:rsidR="004B1B3C">
        <w:rPr>
          <w:rFonts w:ascii="ITC Avant Garde" w:hAnsi="ITC Avant Garde"/>
          <w:bCs/>
          <w:color w:val="000000"/>
          <w:lang w:eastAsia="es-MX"/>
        </w:rPr>
        <w:t xml:space="preserve"> de 2017</w:t>
      </w:r>
      <w:r w:rsidR="009A5E55" w:rsidRPr="00597752">
        <w:rPr>
          <w:rFonts w:ascii="ITC Avant Garde" w:hAnsi="ITC Avant Garde"/>
          <w:bCs/>
          <w:lang w:eastAsia="es-MX"/>
        </w:rPr>
        <w:t xml:space="preserve">, </w:t>
      </w:r>
      <w:r w:rsidR="00597752" w:rsidRPr="00597752">
        <w:rPr>
          <w:rFonts w:ascii="ITC Avant Garde" w:hAnsi="ITC Avant Garde"/>
          <w:bCs/>
          <w:lang w:eastAsia="es-MX"/>
        </w:rPr>
        <w:t>la Dirección General de Supervisión, adscrita a</w:t>
      </w:r>
      <w:r w:rsidR="00597752">
        <w:rPr>
          <w:rFonts w:ascii="ITC Avant Garde" w:hAnsi="ITC Avant Garde"/>
          <w:bCs/>
          <w:color w:val="FF0000"/>
          <w:lang w:eastAsia="es-MX"/>
        </w:rPr>
        <w:t xml:space="preserve"> </w:t>
      </w:r>
      <w:r>
        <w:rPr>
          <w:rFonts w:ascii="ITC Avant Garde" w:hAnsi="ITC Avant Garde"/>
          <w:bCs/>
          <w:color w:val="000000"/>
          <w:lang w:eastAsia="es-MX"/>
        </w:rPr>
        <w:t>la Unidad de Cumplimiento</w:t>
      </w:r>
      <w:r w:rsidR="00A958ED">
        <w:rPr>
          <w:rFonts w:ascii="ITC Avant Garde" w:hAnsi="ITC Avant Garde"/>
          <w:bCs/>
          <w:color w:val="000000"/>
          <w:lang w:eastAsia="es-MX"/>
        </w:rPr>
        <w:t>,</w:t>
      </w:r>
      <w:r>
        <w:rPr>
          <w:rFonts w:ascii="ITC Avant Garde" w:hAnsi="ITC Avant Garde"/>
          <w:bCs/>
          <w:color w:val="000000"/>
          <w:lang w:eastAsia="es-MX"/>
        </w:rPr>
        <w:t xml:space="preserve"> remitió</w:t>
      </w:r>
      <w:r w:rsidR="009A5E55" w:rsidRPr="00533323">
        <w:rPr>
          <w:rFonts w:ascii="ITC Avant Garde" w:hAnsi="ITC Avant Garde"/>
          <w:bCs/>
          <w:color w:val="000000"/>
          <w:lang w:eastAsia="es-MX"/>
        </w:rPr>
        <w:t xml:space="preserve"> </w:t>
      </w:r>
      <w:r>
        <w:rPr>
          <w:rFonts w:ascii="ITC Avant Garde" w:hAnsi="ITC Avant Garde"/>
          <w:bCs/>
          <w:color w:val="000000"/>
          <w:lang w:eastAsia="es-MX"/>
        </w:rPr>
        <w:t>el</w:t>
      </w:r>
      <w:r w:rsidR="009A5E55" w:rsidRPr="00533323">
        <w:rPr>
          <w:rFonts w:ascii="ITC Avant Garde" w:hAnsi="ITC Avant Garde"/>
          <w:bCs/>
          <w:color w:val="000000"/>
          <w:lang w:eastAsia="es-MX"/>
        </w:rPr>
        <w:t xml:space="preserve"> </w:t>
      </w:r>
      <w:r>
        <w:rPr>
          <w:rFonts w:ascii="ITC Avant Garde" w:hAnsi="ITC Avant Garde"/>
          <w:bCs/>
          <w:color w:val="000000"/>
          <w:lang w:eastAsia="es-MX"/>
        </w:rPr>
        <w:t>dictamen</w:t>
      </w:r>
      <w:r w:rsidR="009A5E55" w:rsidRPr="00533323">
        <w:rPr>
          <w:rFonts w:ascii="ITC Avant Garde" w:hAnsi="ITC Avant Garde"/>
          <w:bCs/>
          <w:color w:val="000000"/>
          <w:lang w:eastAsia="es-MX"/>
        </w:rPr>
        <w:t xml:space="preserve"> correspondiente</w:t>
      </w:r>
      <w:r w:rsidR="009A5E55" w:rsidRPr="00686D49">
        <w:rPr>
          <w:rFonts w:ascii="ITC Avant Garde" w:hAnsi="ITC Avant Garde"/>
          <w:bCs/>
          <w:color w:val="000000"/>
          <w:lang w:eastAsia="es-MX"/>
        </w:rPr>
        <w:t xml:space="preserve"> con respecto a la Solicitud de </w:t>
      </w:r>
      <w:r w:rsidR="00FB4291">
        <w:rPr>
          <w:rFonts w:ascii="ITC Avant Garde" w:hAnsi="ITC Avant Garde"/>
          <w:bCs/>
          <w:color w:val="000000"/>
          <w:lang w:eastAsia="es-MX"/>
        </w:rPr>
        <w:t>Transición</w:t>
      </w:r>
      <w:r w:rsidR="009A5E55" w:rsidRPr="00686D49">
        <w:rPr>
          <w:rFonts w:ascii="ITC Avant Garde" w:hAnsi="ITC Avant Garde"/>
          <w:bCs/>
          <w:color w:val="000000"/>
          <w:lang w:eastAsia="es-MX"/>
        </w:rPr>
        <w:t>.</w:t>
      </w:r>
    </w:p>
    <w:p w:rsidR="00053AB2" w:rsidRDefault="00A21167" w:rsidP="00053AB2">
      <w:pPr>
        <w:spacing w:before="240" w:line="240" w:lineRule="auto"/>
        <w:jc w:val="both"/>
        <w:rPr>
          <w:rFonts w:ascii="ITC Avant Garde" w:hAnsi="ITC Avant Garde"/>
          <w:bCs/>
          <w:color w:val="000000"/>
          <w:lang w:eastAsia="es-MX"/>
        </w:rPr>
      </w:pPr>
      <w:r w:rsidRPr="00E57237">
        <w:rPr>
          <w:rFonts w:ascii="ITC Avant Garde" w:hAnsi="ITC Avant Garde"/>
          <w:bCs/>
          <w:color w:val="000000"/>
          <w:lang w:eastAsia="es-MX"/>
        </w:rPr>
        <w:t>En virtud de los Antecedentes referidos y,</w:t>
      </w:r>
    </w:p>
    <w:p w:rsidR="00053AB2" w:rsidRPr="00053AB2" w:rsidRDefault="00A21167" w:rsidP="00053AB2">
      <w:pPr>
        <w:pStyle w:val="Ttulo2"/>
        <w:spacing w:after="240"/>
        <w:jc w:val="center"/>
        <w:rPr>
          <w:rFonts w:ascii="ITC Avant Garde" w:hAnsi="ITC Avant Garde"/>
          <w:b/>
          <w:color w:val="000000" w:themeColor="text1"/>
          <w:sz w:val="22"/>
          <w:szCs w:val="22"/>
        </w:rPr>
      </w:pPr>
      <w:r w:rsidRPr="00053AB2">
        <w:rPr>
          <w:rFonts w:ascii="ITC Avant Garde" w:hAnsi="ITC Avant Garde"/>
          <w:b/>
          <w:color w:val="000000" w:themeColor="text1"/>
          <w:sz w:val="22"/>
          <w:szCs w:val="22"/>
        </w:rPr>
        <w:t>CONSIDERANDO</w:t>
      </w:r>
    </w:p>
    <w:p w:rsidR="00912A64" w:rsidRDefault="00912A64" w:rsidP="00053AB2">
      <w:pPr>
        <w:autoSpaceDE w:val="0"/>
        <w:autoSpaceDN w:val="0"/>
        <w:adjustRightInd w:val="0"/>
        <w:spacing w:before="240" w:line="240" w:lineRule="auto"/>
        <w:jc w:val="both"/>
        <w:rPr>
          <w:rFonts w:ascii="ITC Avant Garde" w:hAnsi="ITC Avant Garde"/>
          <w:bCs/>
        </w:rPr>
      </w:pPr>
      <w:r>
        <w:rPr>
          <w:rFonts w:ascii="ITC Avant Garde" w:hAnsi="ITC Avant Garde"/>
          <w:b/>
          <w:bCs/>
        </w:rPr>
        <w:t>Primero.- Competencia.</w:t>
      </w:r>
      <w:r>
        <w:rPr>
          <w:rFonts w:ascii="ITC Avant Garde" w:hAnsi="ITC Avant Garde"/>
          <w:bCs/>
        </w:rPr>
        <w:t xml:space="preserve"> Conforme lo dispone el artículo 28 párrafos décimo quinto, décimo sexto y décimo séptimo de la Constitución Política de los Estados Unidos Mexicanos (la “Constitución”), el Instituto es un órgano autónomo, con personalidad jurídica y patrimonio propio, que tiene por objeto el desarrollo eficiente de la </w:t>
      </w:r>
      <w:r>
        <w:rPr>
          <w:rFonts w:ascii="ITC Avant Garde" w:hAnsi="ITC Avant Garde"/>
          <w:bCs/>
        </w:rPr>
        <w:lastRenderedPageBreak/>
        <w:t>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por los artículos 6o. y 7o. de la Constitución.</w:t>
      </w:r>
    </w:p>
    <w:p w:rsidR="00912A64" w:rsidRDefault="00912A64"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por los artículos 6o. y 7o. de la Constitución.</w:t>
      </w:r>
    </w:p>
    <w:p w:rsidR="00912A64" w:rsidRDefault="00912A64"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De igual forma, el artículo Octavo Transitorio del Decreto de Ley señala que los actuales concesionarios podrán obtener autorización del Instituto para, entre otros, transitar a la concesión única, siempre que se encuentren en cumplimiento de las obligaciones previstas en las leyes y en sus títulos de concesión. Los concesionarios que cuenten con varios títulos de concesión, además de poder transitar a la concesión única podrán consolidar sus títulos en una sola concesión.</w:t>
      </w:r>
    </w:p>
    <w:p w:rsidR="00912A64" w:rsidRDefault="00912A64"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Asimismo, el Pleno del Instituto está facultado, conforme a lo establecido por los artículos 15 fracción IV, 16 y 17 fracción I de la Ley Federal de Telecomunicaciones y Radiodifusión (la “Ley”), para resolver sobre el otorgamiento, prórrogas, modificación o terminación de concesiones en materia de radiodifusión y telecomunicaciones.</w:t>
      </w:r>
    </w:p>
    <w:p w:rsidR="00912A64" w:rsidRDefault="00912A64"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Por su parte, el artículo 6 fracción I del Estatuto Orgánico, establece que corresponde al Pleno, además de las atribuciones establecidas como indelegables en la Ley, la atribución de regular, promover y supervisar el uso, aprovechamiento y explotación eficiente del espectro radioeléctrico, los recursos orbitales, los servicios satelitales, las redes de telecomunicaciones y la prestación de los servicios de radiodifusión y telecomunicaciones.</w:t>
      </w:r>
    </w:p>
    <w:p w:rsidR="00912A64" w:rsidRDefault="00912A64"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 xml:space="preserve">Conforme a los artículos 32 y 33 fracción VI del Estatuto Orgánico, corresponde a la Unidad de Concesiones y Servicios, a través de la Dirección General de Concesiones de Telecomunicaciones, tramitar y evaluar, entre otras, las solicitudes de autorización para transitar a la concesión única </w:t>
      </w:r>
      <w:r w:rsidR="00FE124C">
        <w:rPr>
          <w:rFonts w:ascii="ITC Avant Garde" w:hAnsi="ITC Avant Garde"/>
          <w:bCs/>
        </w:rPr>
        <w:t xml:space="preserve">o para consolidar </w:t>
      </w:r>
      <w:r w:rsidR="00A73145">
        <w:rPr>
          <w:rFonts w:ascii="ITC Avant Garde" w:hAnsi="ITC Avant Garde"/>
          <w:bCs/>
        </w:rPr>
        <w:t xml:space="preserve">sus títulos </w:t>
      </w:r>
      <w:r w:rsidR="00FE124C">
        <w:rPr>
          <w:rFonts w:ascii="ITC Avant Garde" w:hAnsi="ITC Avant Garde"/>
          <w:bCs/>
        </w:rPr>
        <w:t xml:space="preserve">en una sola concesión </w:t>
      </w:r>
      <w:r>
        <w:rPr>
          <w:rFonts w:ascii="ITC Avant Garde" w:hAnsi="ITC Avant Garde"/>
          <w:bCs/>
        </w:rPr>
        <w:t>en los casos de concesiones de telecomunicaciones, incluyendo, en su caso, los términos y condiciones a los que deberán sujetarse los concesionarios, para someterlas a consideración del Pleno.</w:t>
      </w:r>
    </w:p>
    <w:p w:rsidR="00053AB2" w:rsidRDefault="00912A64"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 xml:space="preserve">En consecuencia, el Instituto está facultado para otorgar concesiones en materia de telecomunicaciones, así como resolver respecto de sus prórrogas, modificación, o </w:t>
      </w:r>
      <w:r>
        <w:rPr>
          <w:rFonts w:ascii="ITC Avant Garde" w:hAnsi="ITC Avant Garde"/>
          <w:bCs/>
        </w:rPr>
        <w:lastRenderedPageBreak/>
        <w:t xml:space="preserve">terminación de las mismas. Asimismo, tiene la atribución de autorizar la transición </w:t>
      </w:r>
      <w:r w:rsidR="00FE124C">
        <w:rPr>
          <w:rFonts w:ascii="ITC Avant Garde" w:hAnsi="ITC Avant Garde"/>
          <w:bCs/>
        </w:rPr>
        <w:t xml:space="preserve">o consolidación </w:t>
      </w:r>
      <w:r w:rsidR="00A73145">
        <w:rPr>
          <w:rFonts w:ascii="ITC Avant Garde" w:hAnsi="ITC Avant Garde"/>
          <w:bCs/>
        </w:rPr>
        <w:t xml:space="preserve">de títulos de concesión </w:t>
      </w:r>
      <w:r w:rsidR="00FE124C">
        <w:rPr>
          <w:rFonts w:ascii="ITC Avant Garde" w:hAnsi="ITC Avant Garde"/>
          <w:bCs/>
        </w:rPr>
        <w:t>en una</w:t>
      </w:r>
      <w:r>
        <w:rPr>
          <w:rFonts w:ascii="ITC Avant Garde" w:hAnsi="ITC Avant Garde"/>
          <w:bCs/>
        </w:rPr>
        <w:t xml:space="preserve"> concesión única, siempre y cuando los concesionarios que la soliciten se encuentren en cumplimiento de las obligaciones previstas en las leyes y en sus títulos de concesión. Finalmente, tiene a su cargo la regulación, promoción y supervisión del uso, aprovechamiento y explotación eficiente del espectro radioeléctrico, los recursos orbitales, los servicios satelitales, las redes de telecomunicaciones y la prestación de los servicios de radiodifusión y telecomunicaciones, por lo que el Pleno</w:t>
      </w:r>
      <w:r w:rsidR="00A73145">
        <w:rPr>
          <w:rFonts w:ascii="ITC Avant Garde" w:hAnsi="ITC Avant Garde"/>
          <w:bCs/>
        </w:rPr>
        <w:t>,</w:t>
      </w:r>
      <w:r>
        <w:rPr>
          <w:rFonts w:ascii="ITC Avant Garde" w:hAnsi="ITC Avant Garde"/>
          <w:bCs/>
        </w:rPr>
        <w:t xml:space="preserve"> como órgano máximo de gobierno y decisión del Instituto, se encuentra plenamente facultado para resolver </w:t>
      </w:r>
      <w:r w:rsidRPr="002F7F25">
        <w:rPr>
          <w:rFonts w:ascii="ITC Avant Garde" w:hAnsi="ITC Avant Garde"/>
          <w:bCs/>
        </w:rPr>
        <w:t xml:space="preserve">la Solicitud </w:t>
      </w:r>
      <w:r w:rsidR="002F7F25" w:rsidRPr="002F7F25">
        <w:rPr>
          <w:rFonts w:ascii="ITC Avant Garde" w:hAnsi="ITC Avant Garde"/>
          <w:bCs/>
        </w:rPr>
        <w:t>de Transición</w:t>
      </w:r>
      <w:r w:rsidR="00A21167" w:rsidRPr="002F7F25">
        <w:rPr>
          <w:rFonts w:ascii="ITC Avant Garde" w:hAnsi="ITC Avant Garde"/>
          <w:bCs/>
        </w:rPr>
        <w:t>.</w:t>
      </w:r>
    </w:p>
    <w:p w:rsidR="00053AB2" w:rsidRDefault="00257E0D" w:rsidP="00053AB2">
      <w:pPr>
        <w:autoSpaceDE w:val="0"/>
        <w:autoSpaceDN w:val="0"/>
        <w:adjustRightInd w:val="0"/>
        <w:spacing w:before="240" w:line="240" w:lineRule="auto"/>
        <w:jc w:val="both"/>
        <w:rPr>
          <w:rFonts w:ascii="ITC Avant Garde" w:hAnsi="ITC Avant Garde"/>
          <w:bCs/>
        </w:rPr>
      </w:pPr>
      <w:r>
        <w:rPr>
          <w:rFonts w:ascii="ITC Avant Garde" w:hAnsi="ITC Avant Garde"/>
          <w:b/>
          <w:bCs/>
        </w:rPr>
        <w:t>Segundo.- Marco normativo general aplicable para la transición y consolidación de diversos títulos de concesión de redes públicas de telecomunicaciones en una concesión única para uso comercial.</w:t>
      </w:r>
      <w:r>
        <w:rPr>
          <w:rFonts w:ascii="ITC Avant Garde" w:hAnsi="ITC Avant Garde"/>
          <w:bCs/>
        </w:rPr>
        <w:t xml:space="preserve"> El párrafo segundo del artículo Cuarto Transitorio del De</w:t>
      </w:r>
      <w:r w:rsidR="002F7F25">
        <w:rPr>
          <w:rFonts w:ascii="ITC Avant Garde" w:hAnsi="ITC Avant Garde"/>
          <w:bCs/>
        </w:rPr>
        <w:t>creto de Reforma Constitucional</w:t>
      </w:r>
      <w:r>
        <w:rPr>
          <w:rFonts w:ascii="ITC Avant Garde" w:hAnsi="ITC Avant Garde"/>
          <w:bCs/>
        </w:rPr>
        <w:t xml:space="preserve"> señala que con la concesión única los concesionarios podrán prestar todo tipo de servicios a través de sus redes. </w:t>
      </w:r>
    </w:p>
    <w:p w:rsidR="00053AB2" w:rsidRDefault="00257E0D"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Al respecto, el tercer párrafo del mismo precepto transitorio, determinó la obligación del Instituto de establecer, mediante lineamientos de carácter general, los requisitos, términos y condiciones que los actuales concesionarios de radiodifusión, telecomunicaciones y telefonía deberán cumplir para que se les autorice, entre otros, transitar al modelo de concesión única, siempre que se encuentren en cumplimiento de las obligaciones previstas en las leyes y en sus títulos de concesión.</w:t>
      </w:r>
    </w:p>
    <w:p w:rsidR="00053AB2" w:rsidRDefault="00257E0D"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En ese sentido, en cumplimiento a lo dispuesto por el artículo Cuarto Transitorio del Decreto de Reforma Constitucional, el 24 de julio de 2015 se publicaron en el Diario Oficial de la Federación los Lineamientos, que tienen por objeto, entre otros aspectos, especificar los términos y requisitos para que los actuales concesionarios puedan transitar al nuevo régimen de concesionamiento establecido en el Decreto de Reforma Constitucional y en la Ley y, de ser el caso, consolidar sus títulos en una sola concesión.</w:t>
      </w:r>
    </w:p>
    <w:p w:rsidR="00053AB2" w:rsidRDefault="00257E0D"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Los Lineamientos señalan en sus artículos 24, 25 y 27, respectivamente lo siguiente:</w:t>
      </w:r>
    </w:p>
    <w:p w:rsidR="00053AB2" w:rsidRDefault="00257E0D" w:rsidP="00053AB2">
      <w:pPr>
        <w:spacing w:before="240" w:line="240" w:lineRule="auto"/>
        <w:ind w:left="567" w:right="618"/>
        <w:jc w:val="both"/>
        <w:rPr>
          <w:rFonts w:ascii="ITC Avant Garde" w:hAnsi="ITC Avant Garde"/>
          <w:i/>
          <w:iCs/>
          <w:color w:val="000000"/>
          <w:sz w:val="18"/>
          <w:szCs w:val="18"/>
          <w:lang w:eastAsia="es-MX"/>
        </w:rPr>
      </w:pPr>
      <w:r>
        <w:rPr>
          <w:rFonts w:ascii="ITC Avant Garde" w:hAnsi="ITC Avant Garde"/>
          <w:i/>
          <w:iCs/>
          <w:color w:val="000000" w:themeColor="text1"/>
          <w:sz w:val="18"/>
          <w:szCs w:val="18"/>
          <w:lang w:eastAsia="es-MX"/>
        </w:rPr>
        <w:t>“</w:t>
      </w:r>
      <w:r>
        <w:rPr>
          <w:rFonts w:ascii="ITC Avant Garde" w:hAnsi="ITC Avant Garde"/>
          <w:b/>
          <w:i/>
          <w:iCs/>
          <w:color w:val="000000" w:themeColor="text1"/>
          <w:sz w:val="18"/>
          <w:szCs w:val="18"/>
          <w:lang w:eastAsia="es-MX"/>
        </w:rPr>
        <w:t>Artículo 24.</w:t>
      </w:r>
      <w:r>
        <w:rPr>
          <w:rFonts w:ascii="ITC Avant Garde" w:hAnsi="ITC Avant Garde"/>
          <w:i/>
          <w:iCs/>
          <w:color w:val="000000"/>
          <w:sz w:val="18"/>
          <w:szCs w:val="18"/>
          <w:lang w:eastAsia="es-MX"/>
        </w:rPr>
        <w:t xml:space="preserve"> El titular de una o más concesiones para instalar, operar y explotar una red pública de telecomunicaciones otorgada al amparo de la Ley Federal de Telecomunicaciones que pretenda transitar a una Concesión Única para Uso Comercial, deberá presentar el Formato IFT-Transición, que forma parte de los presentes Lineamientos debidamente firmado por el Interesado y el cual contendrá la siguiente información:</w:t>
      </w:r>
    </w:p>
    <w:p w:rsidR="00053AB2" w:rsidRDefault="00257E0D" w:rsidP="00053AB2">
      <w:pPr>
        <w:pStyle w:val="Prrafodelista"/>
        <w:numPr>
          <w:ilvl w:val="0"/>
          <w:numId w:val="8"/>
        </w:numPr>
        <w:spacing w:before="240" w:after="200"/>
        <w:ind w:left="1134"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En caso de personas físicas: nombre y, en su caso, nombre comercial, domicilio en el territorio nacional, correo electrónico, teléfono y clave de inscripción en el Registro Federal de Contribuyentes;</w:t>
      </w:r>
    </w:p>
    <w:p w:rsidR="00053AB2" w:rsidRDefault="00257E0D" w:rsidP="00053AB2">
      <w:pPr>
        <w:pStyle w:val="Prrafodelista"/>
        <w:numPr>
          <w:ilvl w:val="0"/>
          <w:numId w:val="8"/>
        </w:numPr>
        <w:spacing w:before="240" w:after="200"/>
        <w:ind w:left="1134"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En caso de personas morales: razón o denominación social y, en su caso, nombre comercial, domicilio en el territorio nacional (calle, número exterior, número interior, localidad o colonia, municipio o delegación, entidad federativa y código postal), correo electrónico, teléfono y clave de inscripción en el Registro Federal de Contribuyentes;</w:t>
      </w:r>
    </w:p>
    <w:p w:rsidR="00053AB2" w:rsidRDefault="00257E0D" w:rsidP="00053AB2">
      <w:pPr>
        <w:pStyle w:val="Prrafodelista"/>
        <w:numPr>
          <w:ilvl w:val="0"/>
          <w:numId w:val="8"/>
        </w:numPr>
        <w:spacing w:before="240" w:after="200"/>
        <w:ind w:left="1134"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lastRenderedPageBreak/>
        <w:t>En su caso, nombre del representante legal, que cuente con las facultades suficientes para tramitar la solicitud. Si el representante legal no se encuentre acreditado ante el Instituto, deberá adjuntarse al formato IFT-Transición, el testimonio o copia certificada del instrumento expedido por fedatario público en el que consten dichas facultades, así como copia simple de la identificación del Representante Legal, y</w:t>
      </w:r>
    </w:p>
    <w:p w:rsidR="00053AB2" w:rsidRDefault="00257E0D" w:rsidP="00053AB2">
      <w:pPr>
        <w:pStyle w:val="Prrafodelista"/>
        <w:numPr>
          <w:ilvl w:val="0"/>
          <w:numId w:val="8"/>
        </w:numPr>
        <w:spacing w:before="240" w:after="200"/>
        <w:ind w:left="1134"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El Folio Electrónico de la concesión que se pretenden transitar a la Concesión Única para Uso Comercial. En el supuesto de que se vayan a consolidar varias concesiones bastará con que señale un Folio Electrónico de ellas.</w:t>
      </w:r>
    </w:p>
    <w:p w:rsidR="00053AB2" w:rsidRDefault="00257E0D" w:rsidP="00053AB2">
      <w:pPr>
        <w:spacing w:before="240" w:line="240" w:lineRule="auto"/>
        <w:ind w:left="567"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Para obtener la autorización para transitar a una Concesión Única para Uso Comercial, se deberá acompañar a la solicitud el comprobante del pago de los derechos o aprovechamientos que de ser el caso resulte aplicable, por concepto del estudio de la solicitud de modificación del título de concesión.</w:t>
      </w:r>
    </w:p>
    <w:p w:rsidR="00053AB2" w:rsidRDefault="00257E0D" w:rsidP="00053AB2">
      <w:pPr>
        <w:spacing w:before="240" w:line="240" w:lineRule="auto"/>
        <w:ind w:left="567"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El Instituto analizará, evaluará y resolverá la transición y consolidación de concesiones dentro del plazo de 60 (sesenta) días naturales contados a partir del día siguiente en que dicha solicitud haya sido presentada ante el Instituto.”</w:t>
      </w:r>
    </w:p>
    <w:p w:rsidR="00053AB2" w:rsidRDefault="00257E0D" w:rsidP="00053AB2">
      <w:pPr>
        <w:spacing w:before="240" w:line="240" w:lineRule="auto"/>
        <w:ind w:left="567" w:right="618"/>
        <w:jc w:val="both"/>
        <w:rPr>
          <w:rFonts w:ascii="ITC Avant Garde" w:hAnsi="ITC Avant Garde"/>
          <w:i/>
          <w:iCs/>
          <w:color w:val="000000" w:themeColor="text1"/>
          <w:sz w:val="18"/>
          <w:szCs w:val="18"/>
          <w:lang w:eastAsia="es-MX"/>
        </w:rPr>
      </w:pPr>
      <w:r>
        <w:rPr>
          <w:rFonts w:ascii="ITC Avant Garde" w:hAnsi="ITC Avant Garde"/>
          <w:i/>
          <w:iCs/>
          <w:color w:val="000000" w:themeColor="text1"/>
          <w:sz w:val="18"/>
          <w:szCs w:val="18"/>
          <w:lang w:eastAsia="es-MX"/>
        </w:rPr>
        <w:t>“</w:t>
      </w:r>
      <w:r>
        <w:rPr>
          <w:rFonts w:ascii="ITC Avant Garde" w:hAnsi="ITC Avant Garde"/>
          <w:b/>
          <w:i/>
          <w:iCs/>
          <w:color w:val="000000" w:themeColor="text1"/>
          <w:sz w:val="18"/>
          <w:szCs w:val="18"/>
          <w:lang w:eastAsia="es-MX"/>
        </w:rPr>
        <w:t>Artículo 25.</w:t>
      </w:r>
      <w:r>
        <w:rPr>
          <w:rFonts w:ascii="ITC Avant Garde" w:hAnsi="ITC Avant Garde"/>
          <w:i/>
          <w:iCs/>
          <w:color w:val="000000" w:themeColor="text1"/>
          <w:sz w:val="18"/>
          <w:szCs w:val="18"/>
          <w:lang w:eastAsia="es-MX"/>
        </w:rPr>
        <w:t xml:space="preserve"> La Concesión Única para Uso Comercial se otorgará para prestar de manera convergente, todo tipo de servicios públicos de telecomunicaciones o radiodifusión y con una cobertura nacional, por lo tanto, </w:t>
      </w:r>
      <w:r>
        <w:rPr>
          <w:rFonts w:ascii="ITC Avant Garde" w:hAnsi="ITC Avant Garde"/>
          <w:b/>
          <w:i/>
          <w:iCs/>
          <w:color w:val="000000" w:themeColor="text1"/>
          <w:sz w:val="18"/>
          <w:szCs w:val="18"/>
          <w:u w:val="single"/>
          <w:lang w:eastAsia="es-MX"/>
        </w:rPr>
        <w:t>en el supuesto de que una persona sea titular de diversas concesiones para instalar, operar y explotar una red pública de telecomunicaciones se consolidará la totalidad de las mismas</w:t>
      </w:r>
      <w:r>
        <w:rPr>
          <w:rFonts w:ascii="ITC Avant Garde" w:hAnsi="ITC Avant Garde"/>
          <w:i/>
          <w:iCs/>
          <w:color w:val="000000" w:themeColor="text1"/>
          <w:sz w:val="18"/>
          <w:szCs w:val="18"/>
          <w:lang w:eastAsia="es-MX"/>
        </w:rPr>
        <w:t>.</w:t>
      </w:r>
    </w:p>
    <w:p w:rsidR="00053AB2" w:rsidRDefault="00257E0D" w:rsidP="00053AB2">
      <w:pPr>
        <w:spacing w:before="240" w:line="240" w:lineRule="auto"/>
        <w:ind w:left="567" w:right="618"/>
        <w:jc w:val="both"/>
        <w:rPr>
          <w:rFonts w:ascii="ITC Avant Garde" w:hAnsi="ITC Avant Garde"/>
          <w:i/>
          <w:iCs/>
          <w:color w:val="000000" w:themeColor="text1"/>
          <w:sz w:val="18"/>
          <w:szCs w:val="18"/>
          <w:lang w:eastAsia="es-MX"/>
        </w:rPr>
      </w:pPr>
      <w:r>
        <w:rPr>
          <w:rFonts w:ascii="ITC Avant Garde" w:hAnsi="ITC Avant Garde"/>
          <w:i/>
          <w:iCs/>
          <w:color w:val="000000" w:themeColor="text1"/>
          <w:sz w:val="18"/>
          <w:szCs w:val="18"/>
          <w:lang w:eastAsia="es-MX"/>
        </w:rPr>
        <w:t xml:space="preserve">Las concesiones para instalar, operar y explotar una red pública de telecomunicaciones que sean consolidadas se tendrán por extinguidas y la Concesión Única para Uso Comercial, que en su caso se otorgue, tendrá una vigencia igual a la original contada a partir de que fue otorgado el título de red pública de telecomunicaciones objeto de la transición o bien, en caso de ser diversos títulos, por la vigencia más amplia contada a partir de la fecha de otorgamiento del título que tenga dicha vigencia. </w:t>
      </w:r>
    </w:p>
    <w:p w:rsidR="00053AB2" w:rsidRDefault="00257E0D" w:rsidP="00053AB2">
      <w:pPr>
        <w:spacing w:before="240" w:line="240" w:lineRule="auto"/>
        <w:ind w:left="567" w:right="618"/>
        <w:jc w:val="both"/>
        <w:rPr>
          <w:rFonts w:ascii="ITC Avant Garde" w:hAnsi="ITC Avant Garde"/>
          <w:i/>
          <w:iCs/>
          <w:color w:val="000000" w:themeColor="text1"/>
          <w:sz w:val="18"/>
          <w:szCs w:val="18"/>
          <w:lang w:eastAsia="es-MX"/>
        </w:rPr>
      </w:pPr>
      <w:r>
        <w:rPr>
          <w:rFonts w:ascii="ITC Avant Garde" w:hAnsi="ITC Avant Garde"/>
          <w:i/>
          <w:iCs/>
          <w:color w:val="000000" w:themeColor="text1"/>
          <w:sz w:val="18"/>
          <w:szCs w:val="18"/>
          <w:lang w:eastAsia="es-MX"/>
        </w:rPr>
        <w:t>El Título de Concesión Única para Uso Comercial que, en su caso, otorgue el Instituto, establecerá como compromisos de cobertura mínima, aquellas localidades, municipios o estados que se hayan establecido en los títulos de concesión originales respectivos.</w:t>
      </w:r>
    </w:p>
    <w:p w:rsidR="00053AB2" w:rsidRDefault="00257E0D" w:rsidP="00053AB2">
      <w:pPr>
        <w:spacing w:before="240" w:line="240" w:lineRule="auto"/>
        <w:ind w:left="567" w:right="618"/>
        <w:jc w:val="both"/>
        <w:rPr>
          <w:rFonts w:ascii="ITC Avant Garde" w:hAnsi="ITC Avant Garde"/>
          <w:i/>
          <w:iCs/>
          <w:color w:val="000000" w:themeColor="text1"/>
          <w:sz w:val="18"/>
          <w:szCs w:val="18"/>
          <w:lang w:eastAsia="es-MX"/>
        </w:rPr>
      </w:pPr>
      <w:r>
        <w:rPr>
          <w:rFonts w:ascii="ITC Avant Garde" w:hAnsi="ITC Avant Garde"/>
          <w:i/>
          <w:iCs/>
          <w:color w:val="000000" w:themeColor="text1"/>
          <w:sz w:val="18"/>
          <w:szCs w:val="18"/>
          <w:lang w:eastAsia="es-MX"/>
        </w:rPr>
        <w:t>“</w:t>
      </w:r>
      <w:r>
        <w:rPr>
          <w:rFonts w:ascii="ITC Avant Garde" w:hAnsi="ITC Avant Garde"/>
          <w:b/>
          <w:i/>
          <w:iCs/>
          <w:color w:val="000000" w:themeColor="text1"/>
          <w:sz w:val="18"/>
          <w:szCs w:val="18"/>
          <w:lang w:eastAsia="es-MX"/>
        </w:rPr>
        <w:t>Artículo 27.</w:t>
      </w:r>
      <w:r>
        <w:rPr>
          <w:rFonts w:ascii="ITC Avant Garde" w:hAnsi="ITC Avant Garde"/>
          <w:i/>
          <w:iCs/>
          <w:color w:val="000000" w:themeColor="text1"/>
          <w:sz w:val="18"/>
          <w:szCs w:val="18"/>
          <w:lang w:eastAsia="es-MX"/>
        </w:rPr>
        <w:t xml:space="preserve"> A efecto de que proceda la solicitud para transitar a la Concesión Única para Uso Comercial o para consolidar concesiones en una Concesión Única para Uso Comercial, el solicitante deberá encontrarse en cumplimiento de: (i) las obligaciones previstas en el o los respectivos títulos de concesión y (ii) las obligaciones derivadas de la legislación aplicable en materia de telecomunicaciones, radiodifusión y competencia económica.</w:t>
      </w:r>
    </w:p>
    <w:p w:rsidR="00053AB2" w:rsidRDefault="00257E0D" w:rsidP="00053AB2">
      <w:pPr>
        <w:spacing w:before="240" w:line="240" w:lineRule="auto"/>
        <w:ind w:left="567" w:right="618"/>
        <w:jc w:val="both"/>
        <w:rPr>
          <w:rFonts w:ascii="ITC Avant Garde" w:hAnsi="ITC Avant Garde"/>
          <w:i/>
          <w:iCs/>
          <w:color w:val="000000" w:themeColor="text1"/>
          <w:sz w:val="18"/>
          <w:szCs w:val="18"/>
          <w:lang w:eastAsia="es-MX"/>
        </w:rPr>
      </w:pPr>
      <w:r>
        <w:rPr>
          <w:rFonts w:ascii="ITC Avant Garde" w:hAnsi="ITC Avant Garde"/>
          <w:i/>
          <w:iCs/>
          <w:color w:val="000000" w:themeColor="text1"/>
          <w:sz w:val="18"/>
          <w:szCs w:val="18"/>
          <w:lang w:eastAsia="es-MX"/>
        </w:rPr>
        <w:t>La verificación del cumplimiento de las obligaciones aplicables será realizada por el Instituto, a través de la unidad administrativa competente.”</w:t>
      </w:r>
    </w:p>
    <w:p w:rsidR="00053AB2" w:rsidRDefault="00257E0D" w:rsidP="00053AB2">
      <w:pPr>
        <w:spacing w:before="240" w:line="240" w:lineRule="auto"/>
        <w:ind w:left="567" w:right="618"/>
        <w:jc w:val="right"/>
        <w:rPr>
          <w:rFonts w:ascii="ITC Avant Garde" w:hAnsi="ITC Avant Garde"/>
          <w:iCs/>
          <w:color w:val="000000" w:themeColor="text1"/>
          <w:sz w:val="18"/>
          <w:szCs w:val="18"/>
          <w:lang w:eastAsia="es-MX"/>
        </w:rPr>
      </w:pPr>
      <w:r>
        <w:rPr>
          <w:rFonts w:ascii="ITC Avant Garde" w:hAnsi="ITC Avant Garde"/>
          <w:iCs/>
          <w:color w:val="000000" w:themeColor="text1"/>
          <w:sz w:val="18"/>
          <w:szCs w:val="18"/>
          <w:lang w:eastAsia="es-MX"/>
        </w:rPr>
        <w:t>[Énfasis añadido]</w:t>
      </w:r>
    </w:p>
    <w:p w:rsidR="00053AB2" w:rsidRDefault="00257E0D"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Tomando en cuenta lo anterior, derivado de la solicitud de transición que presenten los concesionarios de redes públicas de telecomunicaciones, y en virtud de lo dispuesto en el artículo 25 de los Lineamientos se otorgará una concesión única para uso comercial, en términos del a</w:t>
      </w:r>
      <w:r w:rsidR="003A3977">
        <w:rPr>
          <w:rFonts w:ascii="ITC Avant Garde" w:hAnsi="ITC Avant Garde"/>
          <w:bCs/>
        </w:rPr>
        <w:t xml:space="preserve">rtículo 67 fracción I de la Ley dado que la concesión tendría fines de lucro. Bajo este contexto, con la concesión única para uso comercial el concesionario </w:t>
      </w:r>
      <w:r w:rsidR="003A3977">
        <w:rPr>
          <w:rFonts w:ascii="ITC Avant Garde" w:hAnsi="ITC Avant Garde"/>
          <w:bCs/>
        </w:rPr>
        <w:lastRenderedPageBreak/>
        <w:t>podrá prestar todo tipo de servicios públicos de telecomunicaciones y radiodifusión con fines de lucro, y en cualquier parte del territorio nacional.</w:t>
      </w:r>
    </w:p>
    <w:p w:rsidR="00053AB2" w:rsidRDefault="00257E0D"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Lo anterior, en el entendido de que en caso de requerir utilizar bandas de frecuencias del espectro radioeléctrico distintas a las de uso libre o, en su caso, recursos orbitales para la prestación de los servicios, deberá obtenerlas conforme a los términos y modalidades establecidos en la Ley.</w:t>
      </w:r>
    </w:p>
    <w:p w:rsidR="00053AB2" w:rsidRDefault="00257E0D" w:rsidP="00053AB2">
      <w:pPr>
        <w:autoSpaceDE w:val="0"/>
        <w:autoSpaceDN w:val="0"/>
        <w:adjustRightInd w:val="0"/>
        <w:spacing w:before="240" w:line="240" w:lineRule="auto"/>
        <w:jc w:val="both"/>
        <w:rPr>
          <w:rFonts w:ascii="ITC Avant Garde" w:hAnsi="ITC Avant Garde"/>
          <w:bCs/>
        </w:rPr>
      </w:pPr>
      <w:r w:rsidRPr="00232F7B">
        <w:rPr>
          <w:rFonts w:ascii="ITC Avant Garde" w:hAnsi="ITC Avant Garde"/>
          <w:bCs/>
        </w:rPr>
        <w:t>En ese sentido, es importante destacar que ser titular de una concesión única para uso comercial permite prestar todo tipo de servicios de telecomunicaciones y radiodifusión en cualquier parte del territorio nacional, por lo que no sería necesario contar con otros títulos de concesión de redes públicas de telecomunicaciones que habiliten a su titular a prestar servicios de manera limitada, y en coberturas específicas.</w:t>
      </w:r>
    </w:p>
    <w:p w:rsidR="00053AB2" w:rsidRDefault="00257E0D"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Asimismo, dentro de los Lineamientos se establecieron los criterios que deben seguirse para consolidar los diferentes títulos de concesión que en su caso tengan los operadores de telecomunicaciones y radiodifusión, así como las características generales con las cuales se otorgará el título de concesión única que deriven de dicha consolidación.</w:t>
      </w:r>
    </w:p>
    <w:p w:rsidR="00053AB2" w:rsidRDefault="00B902BC"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De esta manera, t</w:t>
      </w:r>
      <w:r w:rsidR="00257E0D">
        <w:rPr>
          <w:rFonts w:ascii="ITC Avant Garde" w:hAnsi="ITC Avant Garde"/>
          <w:bCs/>
        </w:rPr>
        <w:t xml:space="preserve">omando en cuenta lo señalado en el artículo 25 de los Lineamientos, en caso de que un concesionario posea más de un título de concesión y solicite la transición al nuevo régimen de concesionamiento, en dicho acto el Instituto consolidará en un solo título de concesión única la totalidad de los mismos. </w:t>
      </w:r>
    </w:p>
    <w:p w:rsidR="00053AB2" w:rsidRDefault="00215C6D"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As</w:t>
      </w:r>
      <w:r w:rsidR="00B902BC">
        <w:rPr>
          <w:rFonts w:ascii="ITC Avant Garde" w:hAnsi="ITC Avant Garde"/>
          <w:bCs/>
        </w:rPr>
        <w:t>í</w:t>
      </w:r>
      <w:r>
        <w:rPr>
          <w:rFonts w:ascii="ITC Avant Garde" w:hAnsi="ITC Avant Garde"/>
          <w:bCs/>
        </w:rPr>
        <w:t xml:space="preserve">, el título de concesión única que emita el Instituto con motivo de la Solicitud de </w:t>
      </w:r>
      <w:r w:rsidR="00062DC6">
        <w:rPr>
          <w:rFonts w:ascii="ITC Avant Garde" w:hAnsi="ITC Avant Garde"/>
          <w:bCs/>
        </w:rPr>
        <w:t xml:space="preserve">Transición </w:t>
      </w:r>
      <w:r>
        <w:rPr>
          <w:rFonts w:ascii="ITC Avant Garde" w:hAnsi="ITC Avant Garde"/>
          <w:bCs/>
        </w:rPr>
        <w:t>deberá tomar en cuenta los títulos de concesión otorgados previamente a su titular, en el entendido de que, como lo señalan los Lineamientos, las citadas concesiones se extinguirán como consecuencia de dicho otorgamiento.</w:t>
      </w:r>
    </w:p>
    <w:p w:rsidR="00053AB2" w:rsidRDefault="00215C6D"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 xml:space="preserve">En relación con esto último, el </w:t>
      </w:r>
      <w:r w:rsidR="00B902BC">
        <w:rPr>
          <w:rFonts w:ascii="ITC Avant Garde" w:hAnsi="ITC Avant Garde"/>
          <w:bCs/>
        </w:rPr>
        <w:t xml:space="preserve">citado </w:t>
      </w:r>
      <w:r>
        <w:rPr>
          <w:rFonts w:ascii="ITC Avant Garde" w:hAnsi="ITC Avant Garde"/>
          <w:bCs/>
        </w:rPr>
        <w:t>artículo 25 de los Lineamientos establece con respecto a la vigencia de la concesión única que en su caso se otorgue, que ésta deberá emitirse por un plazo equivalente a la vigencia más amplia contada a partir de la fecha de otorgamiento del título que tenga dicha vigencia; además, los compromisos de cobertura mínima corresponderán a aquellas localidades, municipios o Estados que se hayan establecido en cada uno de los títulos de concesión que se vayan a consolidar.</w:t>
      </w:r>
    </w:p>
    <w:p w:rsidR="00053AB2" w:rsidRDefault="00B902BC"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Por otro lado, el artículo 27 de los Lineamientos prevé que para la consolidación de los títulos otorgados para instalar, operar y explotar una red pública de telecomunicaciones a la concesión única para uso comercial es necesario que el solicitante se encuentre en cumplimiento de: (i) las obligaciones previstas en los respectivos títulos de concesión y (ii) las obligaciones derivadas de la legislación aplicable en materia de telecomunicaciones, radiodifusión y competencia económica.</w:t>
      </w:r>
    </w:p>
    <w:p w:rsidR="00053AB2" w:rsidRDefault="00B902BC"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Finalmente</w:t>
      </w:r>
      <w:r w:rsidR="00257E0D">
        <w:rPr>
          <w:rFonts w:ascii="ITC Avant Garde" w:hAnsi="ITC Avant Garde"/>
          <w:bCs/>
        </w:rPr>
        <w:t xml:space="preserve">, </w:t>
      </w:r>
      <w:r w:rsidR="00257E0D">
        <w:rPr>
          <w:rFonts w:ascii="ITC Avant Garde" w:eastAsiaTheme="minorHAnsi" w:hAnsi="ITC Avant Garde" w:cstheme="minorBidi"/>
          <w:bCs/>
        </w:rPr>
        <w:t>cabe destacar que los Lineamientos establecieron que este tipo de solicitudes debería</w:t>
      </w:r>
      <w:r w:rsidR="00C7549D">
        <w:rPr>
          <w:rFonts w:ascii="ITC Avant Garde" w:eastAsiaTheme="minorHAnsi" w:hAnsi="ITC Avant Garde" w:cstheme="minorBidi"/>
          <w:bCs/>
        </w:rPr>
        <w:t>n</w:t>
      </w:r>
      <w:r w:rsidR="00257E0D">
        <w:rPr>
          <w:rFonts w:ascii="ITC Avant Garde" w:eastAsiaTheme="minorHAnsi" w:hAnsi="ITC Avant Garde" w:cstheme="minorBidi"/>
          <w:bCs/>
        </w:rPr>
        <w:t xml:space="preserve"> acompañarse del comprobante de pago de derechos establecido en el artículo 24 de Lineamientos, mismo que se refería al estudio de la solicitud de </w:t>
      </w:r>
      <w:r w:rsidR="00257E0D">
        <w:rPr>
          <w:rFonts w:ascii="ITC Avant Garde" w:eastAsiaTheme="minorHAnsi" w:hAnsi="ITC Avant Garde" w:cstheme="minorBidi"/>
          <w:bCs/>
        </w:rPr>
        <w:lastRenderedPageBreak/>
        <w:t>modificación del título de concesión. Sin embargo, la Ley Federal de Derechos que entró en vigor el 1 de enero de 2016, es decir con posterioridad a los Lineamientos, estableció un nuevo régimen de cobro para diversos trámites en materia de telecomunicaciones y radiodifusión. En ese sentido, dicho ordenamient</w:t>
      </w:r>
      <w:r w:rsidR="00232F7B">
        <w:rPr>
          <w:rFonts w:ascii="ITC Avant Garde" w:eastAsiaTheme="minorHAnsi" w:hAnsi="ITC Avant Garde" w:cstheme="minorBidi"/>
          <w:bCs/>
        </w:rPr>
        <w:t>o estableció en su artículo 174-</w:t>
      </w:r>
      <w:r w:rsidR="00257E0D" w:rsidRPr="00232F7B">
        <w:rPr>
          <w:rFonts w:ascii="ITC Avant Garde" w:eastAsiaTheme="minorHAnsi" w:hAnsi="ITC Avant Garde" w:cstheme="minorBidi"/>
          <w:bCs/>
        </w:rPr>
        <w:t>C</w:t>
      </w:r>
      <w:r w:rsidR="00257E0D">
        <w:rPr>
          <w:rFonts w:ascii="ITC Avant Garde" w:eastAsiaTheme="minorHAnsi" w:hAnsi="ITC Avant Garde" w:cstheme="minorBidi"/>
          <w:bCs/>
        </w:rPr>
        <w:t xml:space="preserve"> fracción XII el pago de derechos correspondiente a la transición a concesión única o la consolidación de una o más concesiones para instalar, operar y explotar una red pública de telecomunicaciones. Derivado de lo anterior, y al haberse definido un pago específico para el trámite que nos ocupa, es este pago el que debe ser considerado al momento del análisis de las solicitudes de transición o consolidación</w:t>
      </w:r>
      <w:r w:rsidR="00257E0D">
        <w:rPr>
          <w:rFonts w:ascii="ITC Avant Garde" w:hAnsi="ITC Avant Garde"/>
          <w:bCs/>
        </w:rPr>
        <w:t>.</w:t>
      </w:r>
    </w:p>
    <w:p w:rsidR="00053AB2" w:rsidRDefault="00A21167" w:rsidP="00053AB2">
      <w:pPr>
        <w:autoSpaceDE w:val="0"/>
        <w:autoSpaceDN w:val="0"/>
        <w:adjustRightInd w:val="0"/>
        <w:spacing w:before="240" w:line="240" w:lineRule="auto"/>
        <w:jc w:val="both"/>
        <w:rPr>
          <w:rFonts w:ascii="ITC Avant Garde" w:hAnsi="ITC Avant Garde"/>
          <w:bCs/>
        </w:rPr>
      </w:pPr>
      <w:r w:rsidRPr="00E57237">
        <w:rPr>
          <w:rFonts w:ascii="ITC Avant Garde" w:hAnsi="ITC Avant Garde"/>
          <w:b/>
          <w:bCs/>
        </w:rPr>
        <w:t xml:space="preserve">Tercero.- Análisis de la Solicitud de </w:t>
      </w:r>
      <w:r w:rsidR="00614A5A">
        <w:rPr>
          <w:rFonts w:ascii="ITC Avant Garde" w:hAnsi="ITC Avant Garde"/>
          <w:b/>
          <w:bCs/>
        </w:rPr>
        <w:t>Transición</w:t>
      </w:r>
      <w:r w:rsidRPr="00E57237">
        <w:rPr>
          <w:rFonts w:ascii="ITC Avant Garde" w:hAnsi="ITC Avant Garde"/>
          <w:b/>
          <w:bCs/>
        </w:rPr>
        <w:t>.</w:t>
      </w:r>
      <w:r w:rsidRPr="00E57237">
        <w:rPr>
          <w:rFonts w:ascii="ITC Avant Garde" w:hAnsi="ITC Avant Garde"/>
          <w:bCs/>
        </w:rPr>
        <w:t xml:space="preserve"> </w:t>
      </w:r>
      <w:r w:rsidR="007251E1" w:rsidRPr="00B52FBE">
        <w:rPr>
          <w:rFonts w:ascii="ITC Avant Garde" w:hAnsi="ITC Avant Garde"/>
          <w:bCs/>
        </w:rPr>
        <w:t xml:space="preserve">Por lo que hace al primer requisito señalado en </w:t>
      </w:r>
      <w:r w:rsidR="007251E1">
        <w:rPr>
          <w:rFonts w:ascii="ITC Avant Garde" w:hAnsi="ITC Avant Garde"/>
          <w:bCs/>
        </w:rPr>
        <w:t xml:space="preserve">el </w:t>
      </w:r>
      <w:r w:rsidR="007251E1" w:rsidRPr="00B52FBE">
        <w:rPr>
          <w:rFonts w:ascii="ITC Avant Garde" w:hAnsi="ITC Avant Garde"/>
          <w:bCs/>
        </w:rPr>
        <w:t xml:space="preserve">artículo </w:t>
      </w:r>
      <w:r w:rsidR="007251E1">
        <w:rPr>
          <w:rFonts w:ascii="ITC Avant Garde" w:hAnsi="ITC Avant Garde"/>
          <w:bCs/>
        </w:rPr>
        <w:t xml:space="preserve">24 de los Lineamientos, </w:t>
      </w:r>
      <w:r w:rsidR="007251E1" w:rsidRPr="00B52FBE">
        <w:rPr>
          <w:rFonts w:ascii="ITC Avant Garde" w:hAnsi="ITC Avant Garde"/>
          <w:bCs/>
        </w:rPr>
        <w:t>relativo a que</w:t>
      </w:r>
      <w:r w:rsidR="007251E1">
        <w:rPr>
          <w:rFonts w:ascii="ITC Avant Garde" w:hAnsi="ITC Avant Garde"/>
          <w:bCs/>
        </w:rPr>
        <w:t xml:space="preserve"> </w:t>
      </w:r>
      <w:r w:rsidR="00741FD7">
        <w:rPr>
          <w:rFonts w:ascii="ITC Avant Garde" w:hAnsi="ITC Avant Garde"/>
          <w:bCs/>
          <w:color w:val="000000"/>
          <w:lang w:eastAsia="es-MX"/>
        </w:rPr>
        <w:t xml:space="preserve">el C. Luis Mauricio </w:t>
      </w:r>
      <w:proofErr w:type="spellStart"/>
      <w:r w:rsidR="00741FD7">
        <w:rPr>
          <w:rFonts w:ascii="ITC Avant Garde" w:hAnsi="ITC Avant Garde"/>
          <w:bCs/>
          <w:color w:val="000000"/>
          <w:lang w:eastAsia="es-MX"/>
        </w:rPr>
        <w:t>Orellán</w:t>
      </w:r>
      <w:proofErr w:type="spellEnd"/>
      <w:r w:rsidR="00741FD7">
        <w:rPr>
          <w:rFonts w:ascii="ITC Avant Garde" w:hAnsi="ITC Avant Garde"/>
          <w:bCs/>
          <w:color w:val="000000"/>
          <w:lang w:eastAsia="es-MX"/>
        </w:rPr>
        <w:t xml:space="preserve"> González</w:t>
      </w:r>
      <w:r w:rsidR="007251E1">
        <w:rPr>
          <w:rFonts w:ascii="ITC Avant Garde" w:hAnsi="ITC Avant Garde"/>
          <w:bCs/>
          <w:color w:val="000000"/>
          <w:lang w:eastAsia="es-MX"/>
        </w:rPr>
        <w:t xml:space="preserve"> </w:t>
      </w:r>
      <w:r w:rsidR="007251E1">
        <w:rPr>
          <w:rFonts w:ascii="ITC Avant Garde" w:hAnsi="ITC Avant Garde"/>
          <w:bCs/>
        </w:rPr>
        <w:t xml:space="preserve">presente el Formato IFT-Transición que se señala, </w:t>
      </w:r>
      <w:r w:rsidR="007251E1" w:rsidRPr="00B52FBE">
        <w:rPr>
          <w:rFonts w:ascii="ITC Avant Garde" w:hAnsi="ITC Avant Garde"/>
          <w:bCs/>
        </w:rPr>
        <w:t xml:space="preserve">este Instituto </w:t>
      </w:r>
      <w:r w:rsidR="007251E1">
        <w:rPr>
          <w:rFonts w:ascii="ITC Avant Garde" w:hAnsi="ITC Avant Garde"/>
          <w:bCs/>
        </w:rPr>
        <w:t xml:space="preserve">lo </w:t>
      </w:r>
      <w:r w:rsidR="007251E1" w:rsidRPr="00B52FBE">
        <w:rPr>
          <w:rFonts w:ascii="ITC Avant Garde" w:hAnsi="ITC Avant Garde"/>
          <w:bCs/>
        </w:rPr>
        <w:t xml:space="preserve">considera </w:t>
      </w:r>
      <w:r w:rsidR="002866EA">
        <w:rPr>
          <w:rFonts w:ascii="ITC Avant Garde" w:hAnsi="ITC Avant Garde"/>
          <w:bCs/>
        </w:rPr>
        <w:t xml:space="preserve">cumplido en virtud de </w:t>
      </w:r>
      <w:r w:rsidR="007757BE">
        <w:rPr>
          <w:rFonts w:ascii="ITC Avant Garde" w:hAnsi="ITC Avant Garde"/>
          <w:bCs/>
        </w:rPr>
        <w:t>que</w:t>
      </w:r>
      <w:r w:rsidR="00B332BD">
        <w:rPr>
          <w:rFonts w:ascii="ITC Avant Garde" w:hAnsi="ITC Avant Garde"/>
          <w:bCs/>
        </w:rPr>
        <w:t xml:space="preserve"> dicha concesionaria</w:t>
      </w:r>
      <w:r w:rsidR="007757BE">
        <w:rPr>
          <w:rFonts w:ascii="ITC Avant Garde" w:hAnsi="ITC Avant Garde"/>
          <w:bCs/>
        </w:rPr>
        <w:t xml:space="preserve"> </w:t>
      </w:r>
      <w:r w:rsidR="007251E1">
        <w:rPr>
          <w:rFonts w:ascii="ITC Avant Garde" w:hAnsi="ITC Avant Garde"/>
          <w:bCs/>
        </w:rPr>
        <w:t xml:space="preserve">presentó </w:t>
      </w:r>
      <w:r w:rsidR="007757BE">
        <w:rPr>
          <w:rFonts w:ascii="ITC Avant Garde" w:hAnsi="ITC Avant Garde"/>
          <w:bCs/>
        </w:rPr>
        <w:t>el</w:t>
      </w:r>
      <w:r w:rsidR="007251E1">
        <w:rPr>
          <w:rFonts w:ascii="ITC Avant Garde" w:hAnsi="ITC Avant Garde"/>
          <w:bCs/>
        </w:rPr>
        <w:t xml:space="preserve"> formato debidame</w:t>
      </w:r>
      <w:r w:rsidR="007757BE">
        <w:rPr>
          <w:rFonts w:ascii="ITC Avant Garde" w:hAnsi="ITC Avant Garde"/>
          <w:bCs/>
        </w:rPr>
        <w:t xml:space="preserve">nte </w:t>
      </w:r>
      <w:r w:rsidR="00E94211">
        <w:rPr>
          <w:rFonts w:ascii="ITC Avant Garde" w:hAnsi="ITC Avant Garde"/>
          <w:bCs/>
        </w:rPr>
        <w:t xml:space="preserve">llenado </w:t>
      </w:r>
      <w:r w:rsidR="007757BE">
        <w:rPr>
          <w:rFonts w:ascii="ITC Avant Garde" w:hAnsi="ITC Avant Garde"/>
          <w:bCs/>
        </w:rPr>
        <w:t>y firmado.</w:t>
      </w:r>
      <w:r w:rsidR="00614A5A">
        <w:rPr>
          <w:rFonts w:ascii="ITC Avant Garde" w:hAnsi="ITC Avant Garde"/>
          <w:bCs/>
        </w:rPr>
        <w:t xml:space="preserve"> </w:t>
      </w:r>
    </w:p>
    <w:p w:rsidR="00053AB2" w:rsidRDefault="00E44EF9"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 xml:space="preserve">Es importante mencionar, que </w:t>
      </w:r>
      <w:r w:rsidR="00614A5A">
        <w:rPr>
          <w:rFonts w:ascii="ITC Avant Garde" w:hAnsi="ITC Avant Garde"/>
          <w:bCs/>
        </w:rPr>
        <w:t xml:space="preserve">el C. </w:t>
      </w:r>
      <w:r w:rsidR="00614A5A">
        <w:rPr>
          <w:rFonts w:ascii="ITC Avant Garde" w:hAnsi="ITC Avant Garde"/>
          <w:bCs/>
          <w:color w:val="000000"/>
          <w:lang w:eastAsia="es-MX"/>
        </w:rPr>
        <w:t xml:space="preserve">Luis Mauricio </w:t>
      </w:r>
      <w:proofErr w:type="spellStart"/>
      <w:r w:rsidR="00614A5A">
        <w:rPr>
          <w:rFonts w:ascii="ITC Avant Garde" w:hAnsi="ITC Avant Garde"/>
          <w:bCs/>
          <w:color w:val="000000"/>
          <w:lang w:eastAsia="es-MX"/>
        </w:rPr>
        <w:t>Orellán</w:t>
      </w:r>
      <w:proofErr w:type="spellEnd"/>
      <w:r w:rsidR="00614A5A">
        <w:rPr>
          <w:rFonts w:ascii="ITC Avant Garde" w:hAnsi="ITC Avant Garde"/>
          <w:bCs/>
          <w:color w:val="000000"/>
          <w:lang w:eastAsia="es-MX"/>
        </w:rPr>
        <w:t xml:space="preserve"> González, indicó </w:t>
      </w:r>
      <w:r w:rsidR="009E1B7E">
        <w:rPr>
          <w:rFonts w:ascii="ITC Avant Garde" w:hAnsi="ITC Avant Garde"/>
          <w:bCs/>
          <w:color w:val="000000"/>
          <w:lang w:eastAsia="es-MX"/>
        </w:rPr>
        <w:t xml:space="preserve">tanto </w:t>
      </w:r>
      <w:r w:rsidR="00614A5A">
        <w:rPr>
          <w:rFonts w:ascii="ITC Avant Garde" w:hAnsi="ITC Avant Garde"/>
          <w:bCs/>
          <w:color w:val="000000"/>
          <w:lang w:eastAsia="es-MX"/>
        </w:rPr>
        <w:t>en el</w:t>
      </w:r>
      <w:r w:rsidR="00614A5A">
        <w:rPr>
          <w:rFonts w:ascii="ITC Avant Garde" w:hAnsi="ITC Avant Garde"/>
          <w:bCs/>
        </w:rPr>
        <w:t xml:space="preserve"> escrito de solicitud </w:t>
      </w:r>
      <w:r w:rsidR="009E1B7E">
        <w:rPr>
          <w:rFonts w:ascii="ITC Avant Garde" w:hAnsi="ITC Avant Garde"/>
          <w:bCs/>
        </w:rPr>
        <w:t>como</w:t>
      </w:r>
      <w:r w:rsidR="00614A5A">
        <w:rPr>
          <w:rFonts w:ascii="ITC Avant Garde" w:hAnsi="ITC Avant Garde"/>
          <w:bCs/>
        </w:rPr>
        <w:t xml:space="preserve"> en el Formato IFT-Transición</w:t>
      </w:r>
      <w:r w:rsidR="009E1B7E">
        <w:rPr>
          <w:rFonts w:ascii="ITC Avant Garde" w:hAnsi="ITC Avant Garde"/>
          <w:bCs/>
        </w:rPr>
        <w:t>,</w:t>
      </w:r>
      <w:r w:rsidR="00614A5A">
        <w:rPr>
          <w:rFonts w:ascii="ITC Avant Garde" w:hAnsi="ITC Avant Garde"/>
          <w:bCs/>
        </w:rPr>
        <w:t xml:space="preserve"> la transición a concesión única de la Primera Concesión, sin embargo, </w:t>
      </w:r>
      <w:r w:rsidR="00741FD7">
        <w:rPr>
          <w:rFonts w:ascii="ITC Avant Garde" w:hAnsi="ITC Avant Garde"/>
          <w:bCs/>
        </w:rPr>
        <w:t>el concesionario en comento cuent</w:t>
      </w:r>
      <w:r w:rsidR="009C0EA6">
        <w:rPr>
          <w:rFonts w:ascii="ITC Avant Garde" w:hAnsi="ITC Avant Garde"/>
          <w:bCs/>
        </w:rPr>
        <w:t>a con 3</w:t>
      </w:r>
      <w:r>
        <w:rPr>
          <w:rFonts w:ascii="ITC Avant Garde" w:hAnsi="ITC Avant Garde"/>
          <w:bCs/>
        </w:rPr>
        <w:t xml:space="preserve"> títulos de concesión vigentes</w:t>
      </w:r>
      <w:r w:rsidR="009C0EA6">
        <w:rPr>
          <w:rFonts w:ascii="ITC Avant Garde" w:hAnsi="ITC Avant Garde"/>
          <w:bCs/>
        </w:rPr>
        <w:t xml:space="preserve"> adicionales</w:t>
      </w:r>
      <w:r>
        <w:rPr>
          <w:rFonts w:ascii="ITC Avant Garde" w:hAnsi="ITC Avant Garde"/>
          <w:bCs/>
        </w:rPr>
        <w:t xml:space="preserve">, mismos </w:t>
      </w:r>
      <w:r w:rsidR="00364F04">
        <w:rPr>
          <w:rFonts w:ascii="ITC Avant Garde" w:hAnsi="ITC Avant Garde"/>
          <w:bCs/>
        </w:rPr>
        <w:t>de conformidad con e</w:t>
      </w:r>
      <w:r>
        <w:rPr>
          <w:rFonts w:ascii="ITC Avant Garde" w:hAnsi="ITC Avant Garde"/>
          <w:bCs/>
        </w:rPr>
        <w:t>l artículo 25 de los Lineamientos</w:t>
      </w:r>
      <w:r w:rsidR="00364F04">
        <w:rPr>
          <w:rFonts w:ascii="ITC Avant Garde" w:hAnsi="ITC Avant Garde"/>
          <w:bCs/>
        </w:rPr>
        <w:t>,</w:t>
      </w:r>
      <w:r>
        <w:rPr>
          <w:rFonts w:ascii="ITC Avant Garde" w:hAnsi="ITC Avant Garde"/>
          <w:bCs/>
        </w:rPr>
        <w:t xml:space="preserve"> se consolidarán en un solo título de concesión para uso comercial, los cuales se enlistan a continuación:</w:t>
      </w:r>
    </w:p>
    <w:tbl>
      <w:tblPr>
        <w:tblStyle w:val="Tablaconcuadrcula"/>
        <w:tblW w:w="9270" w:type="dxa"/>
        <w:jc w:val="center"/>
        <w:tblLook w:val="04A0" w:firstRow="1" w:lastRow="0" w:firstColumn="1" w:lastColumn="0" w:noHBand="0" w:noVBand="1"/>
        <w:tblCaption w:val="Títulos de concesión vigentes adicionales."/>
        <w:tblDescription w:val="En una tabla de 5 columnas y 4 filas, se proporcionan los datos de cobertura, servicio, fecha de expedición del Títulos y años de vigencia de 3 títulos de concesión que actualmente tiene el C. Luis Mauricio Orellán González. "/>
      </w:tblPr>
      <w:tblGrid>
        <w:gridCol w:w="840"/>
        <w:gridCol w:w="3550"/>
        <w:gridCol w:w="1417"/>
        <w:gridCol w:w="1982"/>
        <w:gridCol w:w="1481"/>
      </w:tblGrid>
      <w:tr w:rsidR="00053AB2" w:rsidRPr="00053AB2" w:rsidTr="00053AB2">
        <w:trPr>
          <w:trHeight w:val="493"/>
          <w:tblHeader/>
          <w:jc w:val="center"/>
        </w:trPr>
        <w:tc>
          <w:tcPr>
            <w:tcW w:w="840" w:type="dxa"/>
            <w:shd w:val="clear" w:color="auto" w:fill="A6A6A6" w:themeFill="background1" w:themeFillShade="A6"/>
            <w:vAlign w:val="center"/>
            <w:hideMark/>
          </w:tcPr>
          <w:p w:rsidR="008C3969" w:rsidRPr="00053AB2" w:rsidRDefault="00053AB2" w:rsidP="00053AB2">
            <w:pPr>
              <w:spacing w:after="0" w:line="240" w:lineRule="auto"/>
              <w:jc w:val="center"/>
              <w:rPr>
                <w:rFonts w:ascii="ITC Avant Garde" w:eastAsia="Times New Roman" w:hAnsi="ITC Avant Garde"/>
                <w:b/>
                <w:bCs/>
                <w:color w:val="000000" w:themeColor="text1"/>
                <w:sz w:val="16"/>
                <w:szCs w:val="16"/>
                <w:lang w:eastAsia="es-MX"/>
              </w:rPr>
            </w:pPr>
            <w:r>
              <w:rPr>
                <w:rFonts w:ascii="ITC Avant Garde" w:eastAsia="Times New Roman" w:hAnsi="ITC Avant Garde"/>
                <w:b/>
                <w:bCs/>
                <w:color w:val="000000" w:themeColor="text1"/>
                <w:sz w:val="16"/>
                <w:szCs w:val="16"/>
                <w:lang w:eastAsia="es-MX"/>
              </w:rPr>
              <w:t>Número</w:t>
            </w:r>
          </w:p>
        </w:tc>
        <w:tc>
          <w:tcPr>
            <w:tcW w:w="3550" w:type="dxa"/>
            <w:shd w:val="clear" w:color="auto" w:fill="A6A6A6" w:themeFill="background1" w:themeFillShade="A6"/>
            <w:vAlign w:val="center"/>
            <w:hideMark/>
          </w:tcPr>
          <w:p w:rsidR="008C3969" w:rsidRPr="00053AB2" w:rsidRDefault="008C3969" w:rsidP="00053AB2">
            <w:pPr>
              <w:spacing w:after="0" w:line="240" w:lineRule="auto"/>
              <w:jc w:val="center"/>
              <w:rPr>
                <w:rFonts w:ascii="ITC Avant Garde" w:eastAsia="Times New Roman" w:hAnsi="ITC Avant Garde"/>
                <w:b/>
                <w:bCs/>
                <w:color w:val="000000" w:themeColor="text1"/>
                <w:sz w:val="16"/>
                <w:szCs w:val="16"/>
                <w:lang w:eastAsia="es-MX"/>
              </w:rPr>
            </w:pPr>
            <w:r w:rsidRPr="00053AB2">
              <w:rPr>
                <w:rFonts w:ascii="ITC Avant Garde" w:eastAsia="Times New Roman" w:hAnsi="ITC Avant Garde"/>
                <w:b/>
                <w:bCs/>
                <w:color w:val="000000" w:themeColor="text1"/>
                <w:sz w:val="16"/>
                <w:szCs w:val="16"/>
                <w:lang w:eastAsia="es-MX"/>
              </w:rPr>
              <w:t>COBERTURA</w:t>
            </w:r>
          </w:p>
        </w:tc>
        <w:tc>
          <w:tcPr>
            <w:tcW w:w="1417" w:type="dxa"/>
            <w:shd w:val="clear" w:color="auto" w:fill="A6A6A6" w:themeFill="background1" w:themeFillShade="A6"/>
            <w:vAlign w:val="center"/>
          </w:tcPr>
          <w:p w:rsidR="008C3969" w:rsidRPr="00053AB2" w:rsidRDefault="008C3969" w:rsidP="00053AB2">
            <w:pPr>
              <w:spacing w:after="0" w:line="240" w:lineRule="auto"/>
              <w:jc w:val="center"/>
              <w:rPr>
                <w:rFonts w:ascii="ITC Avant Garde" w:eastAsia="Times New Roman" w:hAnsi="ITC Avant Garde"/>
                <w:b/>
                <w:bCs/>
                <w:color w:val="000000" w:themeColor="text1"/>
                <w:sz w:val="16"/>
                <w:szCs w:val="16"/>
                <w:lang w:eastAsia="es-MX"/>
              </w:rPr>
            </w:pPr>
            <w:r w:rsidRPr="00053AB2">
              <w:rPr>
                <w:rFonts w:ascii="ITC Avant Garde" w:eastAsia="Times New Roman" w:hAnsi="ITC Avant Garde"/>
                <w:b/>
                <w:bCs/>
                <w:color w:val="000000" w:themeColor="text1"/>
                <w:sz w:val="16"/>
                <w:szCs w:val="16"/>
                <w:lang w:eastAsia="es-MX"/>
              </w:rPr>
              <w:t>SERVICIOS</w:t>
            </w:r>
          </w:p>
        </w:tc>
        <w:tc>
          <w:tcPr>
            <w:tcW w:w="1982" w:type="dxa"/>
            <w:shd w:val="clear" w:color="auto" w:fill="A6A6A6" w:themeFill="background1" w:themeFillShade="A6"/>
            <w:vAlign w:val="center"/>
            <w:hideMark/>
          </w:tcPr>
          <w:p w:rsidR="008C3969" w:rsidRPr="00053AB2" w:rsidRDefault="008C3969" w:rsidP="00053AB2">
            <w:pPr>
              <w:spacing w:after="0" w:line="240" w:lineRule="auto"/>
              <w:jc w:val="center"/>
              <w:rPr>
                <w:rFonts w:ascii="ITC Avant Garde" w:eastAsia="Times New Roman" w:hAnsi="ITC Avant Garde"/>
                <w:b/>
                <w:bCs/>
                <w:color w:val="000000" w:themeColor="text1"/>
                <w:sz w:val="16"/>
                <w:szCs w:val="16"/>
                <w:lang w:eastAsia="es-MX"/>
              </w:rPr>
            </w:pPr>
            <w:r w:rsidRPr="00053AB2">
              <w:rPr>
                <w:rFonts w:ascii="ITC Avant Garde" w:eastAsia="Times New Roman" w:hAnsi="ITC Avant Garde"/>
                <w:b/>
                <w:bCs/>
                <w:color w:val="000000" w:themeColor="text1"/>
                <w:sz w:val="16"/>
                <w:szCs w:val="16"/>
                <w:lang w:eastAsia="es-MX"/>
              </w:rPr>
              <w:t>FECHA DE EXPEDICIÓN DEL TÍTULO</w:t>
            </w:r>
          </w:p>
        </w:tc>
        <w:tc>
          <w:tcPr>
            <w:tcW w:w="1481" w:type="dxa"/>
            <w:shd w:val="clear" w:color="auto" w:fill="A6A6A6" w:themeFill="background1" w:themeFillShade="A6"/>
            <w:vAlign w:val="center"/>
            <w:hideMark/>
          </w:tcPr>
          <w:p w:rsidR="008C3969" w:rsidRPr="00053AB2" w:rsidRDefault="008C3969" w:rsidP="00053AB2">
            <w:pPr>
              <w:spacing w:after="0" w:line="240" w:lineRule="auto"/>
              <w:jc w:val="center"/>
              <w:rPr>
                <w:rFonts w:ascii="ITC Avant Garde" w:eastAsia="Times New Roman" w:hAnsi="ITC Avant Garde"/>
                <w:b/>
                <w:bCs/>
                <w:color w:val="000000" w:themeColor="text1"/>
                <w:sz w:val="16"/>
                <w:szCs w:val="16"/>
                <w:lang w:eastAsia="es-MX"/>
              </w:rPr>
            </w:pPr>
            <w:r w:rsidRPr="00053AB2">
              <w:rPr>
                <w:rFonts w:ascii="ITC Avant Garde" w:eastAsia="Times New Roman" w:hAnsi="ITC Avant Garde"/>
                <w:b/>
                <w:bCs/>
                <w:color w:val="000000" w:themeColor="text1"/>
                <w:sz w:val="16"/>
                <w:szCs w:val="16"/>
                <w:lang w:eastAsia="es-MX"/>
              </w:rPr>
              <w:t>VIGENCIA (AÑOS)</w:t>
            </w:r>
          </w:p>
        </w:tc>
      </w:tr>
      <w:tr w:rsidR="008C3969" w:rsidTr="00053AB2">
        <w:trPr>
          <w:trHeight w:val="232"/>
          <w:jc w:val="center"/>
        </w:trPr>
        <w:tc>
          <w:tcPr>
            <w:tcW w:w="840" w:type="dxa"/>
            <w:hideMark/>
          </w:tcPr>
          <w:p w:rsidR="008C3969" w:rsidRPr="00741FD7" w:rsidRDefault="008C3969" w:rsidP="00053AB2">
            <w:pPr>
              <w:spacing w:after="0" w:line="240" w:lineRule="auto"/>
              <w:jc w:val="center"/>
              <w:rPr>
                <w:rFonts w:ascii="ITC Avant Garde" w:eastAsia="Times New Roman" w:hAnsi="ITC Avant Garde"/>
                <w:sz w:val="16"/>
                <w:szCs w:val="16"/>
                <w:lang w:eastAsia="es-MX"/>
              </w:rPr>
            </w:pPr>
            <w:r w:rsidRPr="00741FD7">
              <w:rPr>
                <w:rFonts w:ascii="ITC Avant Garde" w:eastAsia="Times New Roman" w:hAnsi="ITC Avant Garde"/>
                <w:sz w:val="16"/>
                <w:szCs w:val="16"/>
                <w:lang w:eastAsia="es-MX"/>
              </w:rPr>
              <w:t>1</w:t>
            </w:r>
          </w:p>
        </w:tc>
        <w:tc>
          <w:tcPr>
            <w:tcW w:w="3550" w:type="dxa"/>
            <w:hideMark/>
          </w:tcPr>
          <w:p w:rsidR="008C3969" w:rsidRPr="00741FD7" w:rsidRDefault="008C3969" w:rsidP="00053AB2">
            <w:pPr>
              <w:spacing w:after="0" w:line="240" w:lineRule="auto"/>
              <w:jc w:val="center"/>
              <w:rPr>
                <w:rFonts w:ascii="ITC Avant Garde" w:eastAsia="Times New Roman" w:hAnsi="ITC Avant Garde"/>
                <w:color w:val="000000"/>
                <w:sz w:val="16"/>
                <w:szCs w:val="16"/>
                <w:lang w:eastAsia="es-MX"/>
              </w:rPr>
            </w:pPr>
            <w:r w:rsidRPr="00741FD7">
              <w:rPr>
                <w:rFonts w:ascii="ITC Avant Garde" w:eastAsia="Times New Roman" w:hAnsi="ITC Avant Garde"/>
                <w:color w:val="000000"/>
                <w:sz w:val="16"/>
                <w:szCs w:val="16"/>
                <w:lang w:eastAsia="es-MX"/>
              </w:rPr>
              <w:t>Soledad de Doblado,</w:t>
            </w:r>
            <w:r>
              <w:rPr>
                <w:rFonts w:ascii="ITC Avant Garde" w:eastAsia="Times New Roman" w:hAnsi="ITC Avant Garde"/>
                <w:color w:val="000000"/>
                <w:sz w:val="16"/>
                <w:szCs w:val="16"/>
                <w:lang w:eastAsia="es-MX"/>
              </w:rPr>
              <w:t xml:space="preserve"> Estado de</w:t>
            </w:r>
            <w:r w:rsidRPr="00741FD7">
              <w:rPr>
                <w:rFonts w:ascii="ITC Avant Garde" w:eastAsia="Times New Roman" w:hAnsi="ITC Avant Garde"/>
                <w:color w:val="000000"/>
                <w:sz w:val="16"/>
                <w:szCs w:val="16"/>
                <w:lang w:eastAsia="es-MX"/>
              </w:rPr>
              <w:t xml:space="preserve"> Veracruz</w:t>
            </w:r>
          </w:p>
        </w:tc>
        <w:tc>
          <w:tcPr>
            <w:tcW w:w="1417" w:type="dxa"/>
          </w:tcPr>
          <w:p w:rsidR="008C3969" w:rsidRPr="00741FD7" w:rsidRDefault="008C3969" w:rsidP="00053AB2">
            <w:pPr>
              <w:spacing w:after="0" w:line="240" w:lineRule="auto"/>
              <w:jc w:val="center"/>
              <w:rPr>
                <w:rFonts w:ascii="ITC Avant Garde" w:eastAsia="Times New Roman" w:hAnsi="ITC Avant Garde"/>
                <w:bCs/>
                <w:color w:val="000000"/>
                <w:sz w:val="16"/>
                <w:szCs w:val="16"/>
                <w:lang w:eastAsia="es-MX"/>
              </w:rPr>
            </w:pPr>
            <w:r w:rsidRPr="00741FD7">
              <w:rPr>
                <w:rFonts w:ascii="ITC Avant Garde" w:eastAsia="Times New Roman" w:hAnsi="ITC Avant Garde"/>
                <w:bCs/>
                <w:color w:val="000000"/>
                <w:sz w:val="16"/>
                <w:szCs w:val="16"/>
                <w:lang w:eastAsia="es-MX"/>
              </w:rPr>
              <w:t>Televisión Restringida</w:t>
            </w:r>
          </w:p>
        </w:tc>
        <w:tc>
          <w:tcPr>
            <w:tcW w:w="1982" w:type="dxa"/>
            <w:hideMark/>
          </w:tcPr>
          <w:p w:rsidR="008C3969" w:rsidRPr="00741FD7" w:rsidRDefault="008C3969" w:rsidP="00053AB2">
            <w:pPr>
              <w:spacing w:after="0" w:line="240" w:lineRule="auto"/>
              <w:jc w:val="center"/>
              <w:rPr>
                <w:rFonts w:ascii="ITC Avant Garde" w:eastAsia="Times New Roman" w:hAnsi="ITC Avant Garde"/>
                <w:color w:val="000000"/>
                <w:sz w:val="16"/>
                <w:szCs w:val="16"/>
                <w:lang w:eastAsia="es-MX"/>
              </w:rPr>
            </w:pPr>
            <w:r w:rsidRPr="00741FD7">
              <w:rPr>
                <w:rFonts w:ascii="ITC Avant Garde" w:eastAsia="Times New Roman" w:hAnsi="ITC Avant Garde"/>
                <w:color w:val="000000"/>
                <w:sz w:val="16"/>
                <w:szCs w:val="16"/>
                <w:lang w:eastAsia="es-MX"/>
              </w:rPr>
              <w:t>27-nov-00</w:t>
            </w:r>
          </w:p>
        </w:tc>
        <w:tc>
          <w:tcPr>
            <w:tcW w:w="1481" w:type="dxa"/>
            <w:hideMark/>
          </w:tcPr>
          <w:p w:rsidR="008C3969" w:rsidRPr="00741FD7" w:rsidRDefault="008C3969" w:rsidP="00053AB2">
            <w:pPr>
              <w:spacing w:after="0" w:line="240" w:lineRule="auto"/>
              <w:jc w:val="center"/>
              <w:rPr>
                <w:rFonts w:ascii="ITC Avant Garde" w:eastAsia="Times New Roman" w:hAnsi="ITC Avant Garde"/>
                <w:color w:val="000000"/>
                <w:sz w:val="16"/>
                <w:szCs w:val="16"/>
                <w:lang w:eastAsia="es-MX"/>
              </w:rPr>
            </w:pPr>
            <w:r w:rsidRPr="00741FD7">
              <w:rPr>
                <w:rFonts w:ascii="ITC Avant Garde" w:eastAsia="Times New Roman" w:hAnsi="ITC Avant Garde"/>
                <w:color w:val="000000"/>
                <w:sz w:val="16"/>
                <w:szCs w:val="16"/>
                <w:lang w:eastAsia="es-MX"/>
              </w:rPr>
              <w:t>30</w:t>
            </w:r>
          </w:p>
        </w:tc>
      </w:tr>
      <w:tr w:rsidR="008C3969" w:rsidTr="00053AB2">
        <w:trPr>
          <w:trHeight w:val="329"/>
          <w:jc w:val="center"/>
        </w:trPr>
        <w:tc>
          <w:tcPr>
            <w:tcW w:w="840" w:type="dxa"/>
            <w:hideMark/>
          </w:tcPr>
          <w:p w:rsidR="008C3969" w:rsidRPr="00741FD7" w:rsidRDefault="008C3969" w:rsidP="00053AB2">
            <w:pPr>
              <w:spacing w:after="0" w:line="240" w:lineRule="auto"/>
              <w:jc w:val="center"/>
              <w:rPr>
                <w:rFonts w:ascii="ITC Avant Garde" w:eastAsia="Times New Roman" w:hAnsi="ITC Avant Garde"/>
                <w:sz w:val="16"/>
                <w:szCs w:val="16"/>
                <w:lang w:eastAsia="es-MX"/>
              </w:rPr>
            </w:pPr>
            <w:r w:rsidRPr="00741FD7">
              <w:rPr>
                <w:rFonts w:ascii="ITC Avant Garde" w:eastAsia="Times New Roman" w:hAnsi="ITC Avant Garde"/>
                <w:sz w:val="16"/>
                <w:szCs w:val="16"/>
                <w:lang w:eastAsia="es-MX"/>
              </w:rPr>
              <w:t>2</w:t>
            </w:r>
          </w:p>
        </w:tc>
        <w:tc>
          <w:tcPr>
            <w:tcW w:w="3550" w:type="dxa"/>
            <w:hideMark/>
          </w:tcPr>
          <w:p w:rsidR="008C3969" w:rsidRPr="00741FD7" w:rsidRDefault="008C3969" w:rsidP="00053AB2">
            <w:pPr>
              <w:spacing w:after="0" w:line="240" w:lineRule="auto"/>
              <w:jc w:val="center"/>
              <w:rPr>
                <w:rFonts w:ascii="ITC Avant Garde" w:eastAsia="Times New Roman" w:hAnsi="ITC Avant Garde"/>
                <w:color w:val="000000"/>
                <w:sz w:val="16"/>
                <w:szCs w:val="16"/>
                <w:lang w:eastAsia="es-MX"/>
              </w:rPr>
            </w:pPr>
            <w:r w:rsidRPr="00741FD7">
              <w:rPr>
                <w:rFonts w:ascii="ITC Avant Garde" w:eastAsia="Times New Roman" w:hAnsi="ITC Avant Garde"/>
                <w:color w:val="000000"/>
                <w:sz w:val="16"/>
                <w:szCs w:val="16"/>
                <w:lang w:eastAsia="es-MX"/>
              </w:rPr>
              <w:t xml:space="preserve">Sayula de Alemán, </w:t>
            </w:r>
            <w:r>
              <w:rPr>
                <w:rFonts w:ascii="ITC Avant Garde" w:eastAsia="Times New Roman" w:hAnsi="ITC Avant Garde"/>
                <w:color w:val="000000"/>
                <w:sz w:val="16"/>
                <w:szCs w:val="16"/>
                <w:lang w:eastAsia="es-MX"/>
              </w:rPr>
              <w:t>Estado de</w:t>
            </w:r>
            <w:r w:rsidRPr="00741FD7">
              <w:rPr>
                <w:rFonts w:ascii="ITC Avant Garde" w:eastAsia="Times New Roman" w:hAnsi="ITC Avant Garde"/>
                <w:color w:val="000000"/>
                <w:sz w:val="16"/>
                <w:szCs w:val="16"/>
                <w:lang w:eastAsia="es-MX"/>
              </w:rPr>
              <w:t xml:space="preserve"> Veracruz</w:t>
            </w:r>
          </w:p>
        </w:tc>
        <w:tc>
          <w:tcPr>
            <w:tcW w:w="1417" w:type="dxa"/>
            <w:hideMark/>
          </w:tcPr>
          <w:p w:rsidR="008C3969" w:rsidRPr="00741FD7" w:rsidRDefault="008C3969" w:rsidP="00053AB2">
            <w:pPr>
              <w:spacing w:after="0" w:line="240" w:lineRule="auto"/>
              <w:jc w:val="center"/>
              <w:rPr>
                <w:sz w:val="16"/>
                <w:szCs w:val="16"/>
              </w:rPr>
            </w:pPr>
            <w:r w:rsidRPr="00741FD7">
              <w:rPr>
                <w:rFonts w:ascii="ITC Avant Garde" w:eastAsia="Times New Roman" w:hAnsi="ITC Avant Garde"/>
                <w:bCs/>
                <w:color w:val="000000"/>
                <w:sz w:val="16"/>
                <w:szCs w:val="16"/>
                <w:lang w:eastAsia="es-MX"/>
              </w:rPr>
              <w:t>Televisión Restringida</w:t>
            </w:r>
          </w:p>
        </w:tc>
        <w:tc>
          <w:tcPr>
            <w:tcW w:w="1982" w:type="dxa"/>
            <w:hideMark/>
          </w:tcPr>
          <w:p w:rsidR="008C3969" w:rsidRPr="00741FD7" w:rsidRDefault="008C3969" w:rsidP="00053AB2">
            <w:pPr>
              <w:spacing w:after="0" w:line="240" w:lineRule="auto"/>
              <w:jc w:val="center"/>
              <w:rPr>
                <w:rFonts w:ascii="ITC Avant Garde" w:eastAsia="Times New Roman" w:hAnsi="ITC Avant Garde"/>
                <w:color w:val="000000"/>
                <w:sz w:val="16"/>
                <w:szCs w:val="16"/>
                <w:lang w:eastAsia="es-MX"/>
              </w:rPr>
            </w:pPr>
            <w:r w:rsidRPr="00741FD7">
              <w:rPr>
                <w:rFonts w:ascii="ITC Avant Garde" w:eastAsia="Times New Roman" w:hAnsi="ITC Avant Garde"/>
                <w:color w:val="000000"/>
                <w:sz w:val="16"/>
                <w:szCs w:val="16"/>
                <w:lang w:eastAsia="es-MX"/>
              </w:rPr>
              <w:t>27-nov-00</w:t>
            </w:r>
          </w:p>
        </w:tc>
        <w:tc>
          <w:tcPr>
            <w:tcW w:w="1481" w:type="dxa"/>
            <w:hideMark/>
          </w:tcPr>
          <w:p w:rsidR="008C3969" w:rsidRPr="00741FD7" w:rsidRDefault="008C3969" w:rsidP="00053AB2">
            <w:pPr>
              <w:spacing w:after="0" w:line="240" w:lineRule="auto"/>
              <w:jc w:val="center"/>
              <w:rPr>
                <w:rFonts w:ascii="ITC Avant Garde" w:eastAsia="Times New Roman" w:hAnsi="ITC Avant Garde"/>
                <w:color w:val="000000"/>
                <w:sz w:val="16"/>
                <w:szCs w:val="16"/>
                <w:lang w:eastAsia="es-MX"/>
              </w:rPr>
            </w:pPr>
            <w:r w:rsidRPr="00741FD7">
              <w:rPr>
                <w:rFonts w:ascii="ITC Avant Garde" w:eastAsia="Times New Roman" w:hAnsi="ITC Avant Garde"/>
                <w:color w:val="000000"/>
                <w:sz w:val="16"/>
                <w:szCs w:val="16"/>
                <w:lang w:eastAsia="es-MX"/>
              </w:rPr>
              <w:t>30</w:t>
            </w:r>
          </w:p>
        </w:tc>
      </w:tr>
      <w:tr w:rsidR="008C3969" w:rsidTr="00053AB2">
        <w:trPr>
          <w:trHeight w:val="329"/>
          <w:jc w:val="center"/>
        </w:trPr>
        <w:tc>
          <w:tcPr>
            <w:tcW w:w="840" w:type="dxa"/>
          </w:tcPr>
          <w:p w:rsidR="008C3969" w:rsidRPr="00741FD7" w:rsidRDefault="008C3969" w:rsidP="00053AB2">
            <w:pPr>
              <w:spacing w:after="0" w:line="240" w:lineRule="auto"/>
              <w:jc w:val="center"/>
              <w:rPr>
                <w:rFonts w:ascii="ITC Avant Garde" w:eastAsia="Times New Roman" w:hAnsi="ITC Avant Garde"/>
                <w:sz w:val="16"/>
                <w:szCs w:val="16"/>
                <w:lang w:eastAsia="es-MX"/>
              </w:rPr>
            </w:pPr>
            <w:r w:rsidRPr="00741FD7">
              <w:rPr>
                <w:rFonts w:ascii="ITC Avant Garde" w:eastAsia="Times New Roman" w:hAnsi="ITC Avant Garde"/>
                <w:sz w:val="16"/>
                <w:szCs w:val="16"/>
                <w:lang w:eastAsia="es-MX"/>
              </w:rPr>
              <w:t>3</w:t>
            </w:r>
          </w:p>
        </w:tc>
        <w:tc>
          <w:tcPr>
            <w:tcW w:w="3550" w:type="dxa"/>
          </w:tcPr>
          <w:p w:rsidR="008C3969" w:rsidRPr="00741FD7" w:rsidRDefault="008C3969" w:rsidP="00053AB2">
            <w:pPr>
              <w:spacing w:after="0" w:line="240" w:lineRule="auto"/>
              <w:jc w:val="center"/>
              <w:rPr>
                <w:rFonts w:ascii="ITC Avant Garde" w:eastAsia="Times New Roman" w:hAnsi="ITC Avant Garde"/>
                <w:color w:val="000000"/>
                <w:sz w:val="16"/>
                <w:szCs w:val="16"/>
                <w:lang w:eastAsia="es-MX"/>
              </w:rPr>
            </w:pPr>
            <w:r w:rsidRPr="00741FD7">
              <w:rPr>
                <w:rFonts w:ascii="ITC Avant Garde" w:eastAsia="Times New Roman" w:hAnsi="ITC Avant Garde"/>
                <w:color w:val="000000"/>
                <w:sz w:val="16"/>
                <w:szCs w:val="16"/>
                <w:lang w:eastAsia="es-MX"/>
              </w:rPr>
              <w:t>Paso del Macho</w:t>
            </w:r>
            <w:r>
              <w:rPr>
                <w:rFonts w:ascii="ITC Avant Garde" w:eastAsia="Times New Roman" w:hAnsi="ITC Avant Garde"/>
                <w:color w:val="000000"/>
                <w:sz w:val="16"/>
                <w:szCs w:val="16"/>
                <w:lang w:eastAsia="es-MX"/>
              </w:rPr>
              <w:t>, Municipio de Paso del Macho</w:t>
            </w:r>
            <w:r w:rsidRPr="00741FD7">
              <w:rPr>
                <w:rFonts w:ascii="ITC Avant Garde" w:eastAsia="Times New Roman" w:hAnsi="ITC Avant Garde"/>
                <w:color w:val="000000"/>
                <w:sz w:val="16"/>
                <w:szCs w:val="16"/>
                <w:lang w:eastAsia="es-MX"/>
              </w:rPr>
              <w:t>,</w:t>
            </w:r>
            <w:r>
              <w:rPr>
                <w:rFonts w:ascii="ITC Avant Garde" w:eastAsia="Times New Roman" w:hAnsi="ITC Avant Garde"/>
                <w:color w:val="000000"/>
                <w:sz w:val="16"/>
                <w:szCs w:val="16"/>
                <w:lang w:eastAsia="es-MX"/>
              </w:rPr>
              <w:t xml:space="preserve"> Estado de</w:t>
            </w:r>
            <w:r w:rsidRPr="00741FD7">
              <w:rPr>
                <w:rFonts w:ascii="ITC Avant Garde" w:eastAsia="Times New Roman" w:hAnsi="ITC Avant Garde"/>
                <w:color w:val="000000"/>
                <w:sz w:val="16"/>
                <w:szCs w:val="16"/>
                <w:lang w:eastAsia="es-MX"/>
              </w:rPr>
              <w:t xml:space="preserve"> Veracruz</w:t>
            </w:r>
          </w:p>
        </w:tc>
        <w:tc>
          <w:tcPr>
            <w:tcW w:w="1417" w:type="dxa"/>
          </w:tcPr>
          <w:p w:rsidR="008C3969" w:rsidRPr="00741FD7" w:rsidRDefault="008C3969" w:rsidP="00053AB2">
            <w:pPr>
              <w:spacing w:after="0" w:line="240" w:lineRule="auto"/>
              <w:jc w:val="center"/>
              <w:rPr>
                <w:sz w:val="16"/>
                <w:szCs w:val="16"/>
              </w:rPr>
            </w:pPr>
            <w:r w:rsidRPr="00741FD7">
              <w:rPr>
                <w:rFonts w:ascii="ITC Avant Garde" w:eastAsia="Times New Roman" w:hAnsi="ITC Avant Garde"/>
                <w:bCs/>
                <w:color w:val="000000"/>
                <w:sz w:val="16"/>
                <w:szCs w:val="16"/>
                <w:lang w:eastAsia="es-MX"/>
              </w:rPr>
              <w:t>Televisión Restringida</w:t>
            </w:r>
          </w:p>
        </w:tc>
        <w:tc>
          <w:tcPr>
            <w:tcW w:w="1982" w:type="dxa"/>
          </w:tcPr>
          <w:p w:rsidR="008C3969" w:rsidRPr="00741FD7" w:rsidRDefault="008C3969" w:rsidP="00053AB2">
            <w:pPr>
              <w:spacing w:after="0" w:line="240" w:lineRule="auto"/>
              <w:jc w:val="center"/>
              <w:rPr>
                <w:rFonts w:ascii="ITC Avant Garde" w:eastAsia="Times New Roman" w:hAnsi="ITC Avant Garde"/>
                <w:color w:val="000000"/>
                <w:sz w:val="16"/>
                <w:szCs w:val="16"/>
                <w:lang w:eastAsia="es-MX"/>
              </w:rPr>
            </w:pPr>
            <w:r w:rsidRPr="00741FD7">
              <w:rPr>
                <w:rFonts w:ascii="ITC Avant Garde" w:eastAsia="Times New Roman" w:hAnsi="ITC Avant Garde"/>
                <w:color w:val="000000"/>
                <w:sz w:val="16"/>
                <w:szCs w:val="16"/>
                <w:lang w:eastAsia="es-MX"/>
              </w:rPr>
              <w:t>18-jun-07</w:t>
            </w:r>
          </w:p>
        </w:tc>
        <w:tc>
          <w:tcPr>
            <w:tcW w:w="1481" w:type="dxa"/>
          </w:tcPr>
          <w:p w:rsidR="008C3969" w:rsidRPr="00741FD7" w:rsidRDefault="008C3969" w:rsidP="00053AB2">
            <w:pPr>
              <w:spacing w:after="0" w:line="240" w:lineRule="auto"/>
              <w:jc w:val="center"/>
              <w:rPr>
                <w:rFonts w:ascii="ITC Avant Garde" w:eastAsia="Times New Roman" w:hAnsi="ITC Avant Garde"/>
                <w:color w:val="000000"/>
                <w:sz w:val="16"/>
                <w:szCs w:val="16"/>
                <w:lang w:eastAsia="es-MX"/>
              </w:rPr>
            </w:pPr>
            <w:r w:rsidRPr="00741FD7">
              <w:rPr>
                <w:rFonts w:ascii="ITC Avant Garde" w:eastAsia="Times New Roman" w:hAnsi="ITC Avant Garde"/>
                <w:color w:val="000000"/>
                <w:sz w:val="16"/>
                <w:szCs w:val="16"/>
                <w:lang w:eastAsia="es-MX"/>
              </w:rPr>
              <w:t>30</w:t>
            </w:r>
          </w:p>
        </w:tc>
      </w:tr>
    </w:tbl>
    <w:p w:rsidR="00053AB2" w:rsidRDefault="00E44EF9" w:rsidP="00053AB2">
      <w:pPr>
        <w:autoSpaceDE w:val="0"/>
        <w:autoSpaceDN w:val="0"/>
        <w:adjustRightInd w:val="0"/>
        <w:spacing w:before="240" w:line="240" w:lineRule="auto"/>
        <w:jc w:val="both"/>
        <w:rPr>
          <w:rFonts w:ascii="ITC Avant Garde" w:hAnsi="ITC Avant Garde"/>
          <w:bCs/>
        </w:rPr>
      </w:pPr>
      <w:r w:rsidRPr="00D946B6">
        <w:rPr>
          <w:rFonts w:ascii="ITC Avant Garde" w:hAnsi="ITC Avant Garde"/>
          <w:bCs/>
        </w:rPr>
        <w:t xml:space="preserve">En virtud de que los títulos de concesión antes señalados tienen como fin la comercialización de servicios de telecomunicaciones, al ser </w:t>
      </w:r>
      <w:r w:rsidR="00614A5A">
        <w:rPr>
          <w:rFonts w:ascii="ITC Avant Garde" w:hAnsi="ITC Avant Garde"/>
          <w:bCs/>
        </w:rPr>
        <w:t>é</w:t>
      </w:r>
      <w:r w:rsidRPr="00D946B6">
        <w:rPr>
          <w:rFonts w:ascii="ITC Avant Garde" w:hAnsi="ITC Avant Garde"/>
          <w:bCs/>
        </w:rPr>
        <w:t xml:space="preserve">stos </w:t>
      </w:r>
      <w:r w:rsidR="009C0749">
        <w:rPr>
          <w:rFonts w:ascii="ITC Avant Garde" w:hAnsi="ITC Avant Garde"/>
          <w:bCs/>
        </w:rPr>
        <w:t xml:space="preserve">con </w:t>
      </w:r>
      <w:r w:rsidRPr="00D946B6">
        <w:rPr>
          <w:rFonts w:ascii="ITC Avant Garde" w:hAnsi="ITC Avant Garde"/>
          <w:bCs/>
        </w:rPr>
        <w:t>fines de lucro la concesión única que, en su caso se otorgue, debe ser para fines comerciales en términos de lo establecido en el artículo 76, fracción I de la Ley.</w:t>
      </w:r>
    </w:p>
    <w:p w:rsidR="00053AB2" w:rsidRDefault="00385FBB"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 xml:space="preserve">Respecto al segundo requisito de procedencia, </w:t>
      </w:r>
      <w:r w:rsidRPr="00356D17">
        <w:rPr>
          <w:rFonts w:ascii="ITC Avant Garde" w:hAnsi="ITC Avant Garde"/>
          <w:bCs/>
        </w:rPr>
        <w:t xml:space="preserve">el C. </w:t>
      </w:r>
      <w:r>
        <w:rPr>
          <w:rFonts w:ascii="ITC Avant Garde" w:hAnsi="ITC Avant Garde"/>
          <w:bCs/>
        </w:rPr>
        <w:t xml:space="preserve">Luis Mauricio </w:t>
      </w:r>
      <w:proofErr w:type="spellStart"/>
      <w:r>
        <w:rPr>
          <w:rFonts w:ascii="ITC Avant Garde" w:hAnsi="ITC Avant Garde"/>
          <w:bCs/>
        </w:rPr>
        <w:t>Orellán</w:t>
      </w:r>
      <w:proofErr w:type="spellEnd"/>
      <w:r>
        <w:rPr>
          <w:rFonts w:ascii="ITC Avant Garde" w:hAnsi="ITC Avant Garde"/>
          <w:bCs/>
        </w:rPr>
        <w:t xml:space="preserve"> González</w:t>
      </w:r>
      <w:r>
        <w:rPr>
          <w:rFonts w:ascii="ITC Avant Garde" w:hAnsi="ITC Avant Garde"/>
          <w:bCs/>
          <w:color w:val="000000"/>
          <w:lang w:eastAsia="es-MX"/>
        </w:rPr>
        <w:t xml:space="preserve"> presentó</w:t>
      </w:r>
      <w:r>
        <w:rPr>
          <w:rFonts w:ascii="ITC Avant Garde" w:hAnsi="ITC Avant Garde"/>
          <w:bCs/>
        </w:rPr>
        <w:t xml:space="preserve"> el pago de derechos con factura número 170003241 por el trámite relativo a la transición a concesión única o la consolidación de una o más concesiones para instalar, operar o explotar una red pública de telecomunicaciones, establecido en el artículo 174-C fracción XII de la Ley Federal de Derechos, y conforme a lo requerido en el penúltimo párrafo del artículo 24 de los Lineamientos.</w:t>
      </w:r>
    </w:p>
    <w:p w:rsidR="00053AB2" w:rsidRDefault="007251E1"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Por lo que hace al tercer requisito contemplado en el artículo 27 de los Lineamientos que señala que para que proceda la solicitud para transitar a la concesión única para uso comercial</w:t>
      </w:r>
      <w:r w:rsidR="009E1B7E">
        <w:rPr>
          <w:rFonts w:ascii="ITC Avant Garde" w:hAnsi="ITC Avant Garde"/>
          <w:bCs/>
        </w:rPr>
        <w:t xml:space="preserve"> o para consolidar concesiones en una concesión única para uso comercial</w:t>
      </w:r>
      <w:r>
        <w:rPr>
          <w:rFonts w:ascii="ITC Avant Garde" w:hAnsi="ITC Avant Garde"/>
          <w:bCs/>
        </w:rPr>
        <w:t xml:space="preserve">, el solicitante deberá encontrarse en </w:t>
      </w:r>
      <w:r w:rsidRPr="00111069">
        <w:rPr>
          <w:rFonts w:ascii="ITC Avant Garde" w:hAnsi="ITC Avant Garde"/>
          <w:bCs/>
        </w:rPr>
        <w:t>cumplimiento de la</w:t>
      </w:r>
      <w:r>
        <w:rPr>
          <w:rFonts w:ascii="ITC Avant Garde" w:hAnsi="ITC Avant Garde"/>
          <w:bCs/>
        </w:rPr>
        <w:t>s obligaciones establecidas en su</w:t>
      </w:r>
      <w:r w:rsidR="00E94211">
        <w:rPr>
          <w:rFonts w:ascii="ITC Avant Garde" w:hAnsi="ITC Avant Garde"/>
          <w:bCs/>
        </w:rPr>
        <w:t>s</w:t>
      </w:r>
      <w:r>
        <w:rPr>
          <w:rFonts w:ascii="ITC Avant Garde" w:hAnsi="ITC Avant Garde"/>
          <w:bCs/>
        </w:rPr>
        <w:t xml:space="preserve"> </w:t>
      </w:r>
      <w:r w:rsidR="00E94211">
        <w:rPr>
          <w:rFonts w:ascii="ITC Avant Garde" w:hAnsi="ITC Avant Garde"/>
          <w:bCs/>
        </w:rPr>
        <w:t xml:space="preserve">respectivos </w:t>
      </w:r>
      <w:r>
        <w:rPr>
          <w:rFonts w:ascii="ITC Avant Garde" w:hAnsi="ITC Avant Garde"/>
          <w:bCs/>
        </w:rPr>
        <w:t>título</w:t>
      </w:r>
      <w:r w:rsidR="00E94211">
        <w:rPr>
          <w:rFonts w:ascii="ITC Avant Garde" w:hAnsi="ITC Avant Garde"/>
          <w:bCs/>
        </w:rPr>
        <w:t>s</w:t>
      </w:r>
      <w:r>
        <w:rPr>
          <w:rFonts w:ascii="ITC Avant Garde" w:hAnsi="ITC Avant Garde"/>
          <w:bCs/>
        </w:rPr>
        <w:t xml:space="preserve"> de concesión y las obligaciones derivadas de la legislación </w:t>
      </w:r>
      <w:r>
        <w:rPr>
          <w:rFonts w:ascii="ITC Avant Garde" w:hAnsi="ITC Avant Garde"/>
          <w:bCs/>
        </w:rPr>
        <w:lastRenderedPageBreak/>
        <w:t>aplicable</w:t>
      </w:r>
      <w:r w:rsidR="00CF0063">
        <w:rPr>
          <w:rFonts w:ascii="ITC Avant Garde" w:hAnsi="ITC Avant Garde"/>
          <w:bCs/>
        </w:rPr>
        <w:t>,</w:t>
      </w:r>
      <w:r>
        <w:rPr>
          <w:rFonts w:ascii="ITC Avant Garde" w:hAnsi="ITC Avant Garde"/>
          <w:bCs/>
        </w:rPr>
        <w:t xml:space="preserve"> </w:t>
      </w:r>
      <w:r w:rsidR="00CF0063">
        <w:rPr>
          <w:rFonts w:ascii="ITC Avant Garde" w:hAnsi="ITC Avant Garde"/>
          <w:bCs/>
        </w:rPr>
        <w:t>l</w:t>
      </w:r>
      <w:r>
        <w:rPr>
          <w:rFonts w:ascii="ITC Avant Garde" w:hAnsi="ITC Avant Garde"/>
          <w:bCs/>
          <w:color w:val="000000"/>
          <w:lang w:eastAsia="es-MX"/>
        </w:rPr>
        <w:t>a Unidad de Concesiones y Servicios</w:t>
      </w:r>
      <w:r w:rsidR="007757BE">
        <w:rPr>
          <w:rFonts w:ascii="ITC Avant Garde" w:hAnsi="ITC Avant Garde"/>
          <w:bCs/>
          <w:color w:val="000000"/>
          <w:lang w:eastAsia="es-MX"/>
        </w:rPr>
        <w:t>,</w:t>
      </w:r>
      <w:r>
        <w:rPr>
          <w:rFonts w:ascii="ITC Avant Garde" w:hAnsi="ITC Avant Garde"/>
          <w:bCs/>
          <w:color w:val="000000"/>
          <w:lang w:eastAsia="es-MX"/>
        </w:rPr>
        <w:t xml:space="preserve"> a través de</w:t>
      </w:r>
      <w:r w:rsidRPr="00B52FBE">
        <w:rPr>
          <w:rFonts w:ascii="ITC Avant Garde" w:hAnsi="ITC Avant Garde"/>
          <w:bCs/>
        </w:rPr>
        <w:t xml:space="preserve"> </w:t>
      </w:r>
      <w:r>
        <w:rPr>
          <w:rFonts w:ascii="ITC Avant Garde" w:hAnsi="ITC Avant Garde"/>
          <w:bCs/>
          <w:color w:val="000000"/>
          <w:lang w:eastAsia="es-MX"/>
        </w:rPr>
        <w:t>la Dirección General de</w:t>
      </w:r>
      <w:r w:rsidRPr="00356156">
        <w:rPr>
          <w:rFonts w:ascii="ITC Avant Garde" w:hAnsi="ITC Avant Garde"/>
          <w:bCs/>
          <w:color w:val="000000"/>
          <w:lang w:eastAsia="es-MX"/>
        </w:rPr>
        <w:t xml:space="preserve"> </w:t>
      </w:r>
      <w:r>
        <w:rPr>
          <w:rFonts w:ascii="ITC Avant Garde" w:hAnsi="ITC Avant Garde"/>
          <w:bCs/>
          <w:color w:val="000000"/>
          <w:lang w:eastAsia="es-MX"/>
        </w:rPr>
        <w:t>Concesiones de Telecomunicaciones</w:t>
      </w:r>
      <w:r w:rsidRPr="00B52FBE">
        <w:rPr>
          <w:rFonts w:ascii="ITC Avant Garde" w:hAnsi="ITC Avant Garde"/>
          <w:bCs/>
        </w:rPr>
        <w:t xml:space="preserve">, mediante oficio </w:t>
      </w:r>
      <w:r w:rsidR="00081015">
        <w:rPr>
          <w:rFonts w:ascii="ITC Avant Garde" w:hAnsi="ITC Avant Garde"/>
          <w:bCs/>
        </w:rPr>
        <w:t>IFT/223/UCS/DG-CTEL/</w:t>
      </w:r>
      <w:r w:rsidR="00914C1C">
        <w:rPr>
          <w:rFonts w:ascii="ITC Avant Garde" w:hAnsi="ITC Avant Garde"/>
          <w:bCs/>
        </w:rPr>
        <w:t>0765/2017</w:t>
      </w:r>
      <w:r w:rsidR="00CC5EB0">
        <w:rPr>
          <w:rFonts w:ascii="ITC Avant Garde" w:hAnsi="ITC Avant Garde"/>
          <w:bCs/>
        </w:rPr>
        <w:t xml:space="preserve"> </w:t>
      </w:r>
      <w:r w:rsidR="00CF0063">
        <w:rPr>
          <w:rFonts w:ascii="ITC Avant Garde" w:hAnsi="ITC Avant Garde"/>
          <w:bCs/>
        </w:rPr>
        <w:t>de fecha 27</w:t>
      </w:r>
      <w:r w:rsidR="00914C1C">
        <w:rPr>
          <w:rFonts w:ascii="ITC Avant Garde" w:hAnsi="ITC Avant Garde"/>
          <w:bCs/>
        </w:rPr>
        <w:t xml:space="preserve"> de marzo de 2017</w:t>
      </w:r>
      <w:r w:rsidR="00E17FE8">
        <w:rPr>
          <w:rFonts w:ascii="ITC Avant Garde" w:hAnsi="ITC Avant Garde"/>
          <w:bCs/>
        </w:rPr>
        <w:t>,</w:t>
      </w:r>
      <w:r w:rsidRPr="00B52FBE">
        <w:rPr>
          <w:rFonts w:ascii="ITC Avant Garde" w:hAnsi="ITC Avant Garde"/>
          <w:bCs/>
        </w:rPr>
        <w:t xml:space="preserve"> </w:t>
      </w:r>
      <w:r w:rsidR="00E707AC" w:rsidRPr="00B52FBE">
        <w:rPr>
          <w:rFonts w:ascii="ITC Avant Garde" w:hAnsi="ITC Avant Garde"/>
          <w:bCs/>
        </w:rPr>
        <w:t xml:space="preserve">solicitó </w:t>
      </w:r>
      <w:r w:rsidR="00E707AC">
        <w:rPr>
          <w:rFonts w:ascii="ITC Avant Garde" w:hAnsi="ITC Avant Garde"/>
          <w:bCs/>
        </w:rPr>
        <w:t xml:space="preserve">a la Unidad de Cumplimiento que </w:t>
      </w:r>
      <w:r w:rsidR="00CF0063">
        <w:rPr>
          <w:rFonts w:ascii="ITC Avant Garde" w:hAnsi="ITC Avant Garde"/>
          <w:bCs/>
        </w:rPr>
        <w:t>informara si dich</w:t>
      </w:r>
      <w:r w:rsidR="009E1B7E">
        <w:rPr>
          <w:rFonts w:ascii="ITC Avant Garde" w:hAnsi="ITC Avant Garde"/>
          <w:bCs/>
        </w:rPr>
        <w:t>o</w:t>
      </w:r>
      <w:r w:rsidR="00CF0063">
        <w:rPr>
          <w:rFonts w:ascii="ITC Avant Garde" w:hAnsi="ITC Avant Garde"/>
          <w:bCs/>
        </w:rPr>
        <w:t xml:space="preserve"> concesionario</w:t>
      </w:r>
      <w:r w:rsidR="00E707AC">
        <w:rPr>
          <w:rFonts w:ascii="ITC Avant Garde" w:hAnsi="ITC Avant Garde"/>
          <w:bCs/>
        </w:rPr>
        <w:t xml:space="preserve"> se encontraba al corriente en el cumplimiento de las obligaciones estipuladas en su título de concesión y demás obligaciones derivadas de la legislación aplicable.</w:t>
      </w:r>
    </w:p>
    <w:p w:rsidR="00450529" w:rsidRDefault="007251E1" w:rsidP="00053AB2">
      <w:pPr>
        <w:autoSpaceDE w:val="0"/>
        <w:autoSpaceDN w:val="0"/>
        <w:adjustRightInd w:val="0"/>
        <w:spacing w:before="240" w:line="240" w:lineRule="auto"/>
        <w:jc w:val="both"/>
        <w:rPr>
          <w:rFonts w:ascii="ITC Avant Garde" w:hAnsi="ITC Avant Garde"/>
          <w:bCs/>
        </w:rPr>
      </w:pPr>
      <w:r w:rsidRPr="00956265">
        <w:rPr>
          <w:rFonts w:ascii="ITC Avant Garde" w:hAnsi="ITC Avant Garde"/>
          <w:bCs/>
        </w:rPr>
        <w:t xml:space="preserve">En respuesta a dicha petición, </w:t>
      </w:r>
      <w:r>
        <w:rPr>
          <w:rFonts w:ascii="ITC Avant Garde" w:hAnsi="ITC Avant Garde"/>
          <w:bCs/>
          <w:color w:val="000000"/>
          <w:lang w:eastAsia="es-MX"/>
        </w:rPr>
        <w:t>la Dirección General de Supervisión</w:t>
      </w:r>
      <w:r w:rsidR="00A958ED">
        <w:rPr>
          <w:rFonts w:ascii="ITC Avant Garde" w:hAnsi="ITC Avant Garde"/>
          <w:bCs/>
          <w:color w:val="000000"/>
          <w:lang w:eastAsia="es-MX"/>
        </w:rPr>
        <w:t>,</w:t>
      </w:r>
      <w:r>
        <w:rPr>
          <w:rFonts w:ascii="ITC Avant Garde" w:hAnsi="ITC Avant Garde"/>
          <w:bCs/>
          <w:color w:val="000000"/>
          <w:lang w:eastAsia="es-MX"/>
        </w:rPr>
        <w:t xml:space="preserve"> adscrita a </w:t>
      </w:r>
      <w:r w:rsidRPr="00956265">
        <w:rPr>
          <w:rFonts w:ascii="ITC Avant Garde" w:hAnsi="ITC Avant Garde"/>
          <w:bCs/>
        </w:rPr>
        <w:t>la Unidad de Cumplimiento, a través del oficio IFT/225/UC/DG-SUV/</w:t>
      </w:r>
      <w:r w:rsidR="00914C1C">
        <w:rPr>
          <w:rFonts w:ascii="ITC Avant Garde" w:hAnsi="ITC Avant Garde"/>
          <w:bCs/>
        </w:rPr>
        <w:t>01501/2017</w:t>
      </w:r>
      <w:r w:rsidRPr="00956265">
        <w:rPr>
          <w:rFonts w:ascii="ITC Avant Garde" w:hAnsi="ITC Avant Garde"/>
          <w:bCs/>
        </w:rPr>
        <w:t xml:space="preserve"> </w:t>
      </w:r>
      <w:r>
        <w:rPr>
          <w:rFonts w:ascii="ITC Avant Garde" w:hAnsi="ITC Avant Garde"/>
          <w:bCs/>
        </w:rPr>
        <w:t xml:space="preserve">de fecha </w:t>
      </w:r>
      <w:r w:rsidR="00914C1C">
        <w:rPr>
          <w:rFonts w:ascii="ITC Avant Garde" w:hAnsi="ITC Avant Garde"/>
          <w:bCs/>
        </w:rPr>
        <w:t>16 de mayo</w:t>
      </w:r>
      <w:r w:rsidR="009E1B7E">
        <w:rPr>
          <w:rFonts w:ascii="ITC Avant Garde" w:hAnsi="ITC Avant Garde"/>
          <w:bCs/>
        </w:rPr>
        <w:t xml:space="preserve"> de 2017</w:t>
      </w:r>
      <w:r>
        <w:rPr>
          <w:rFonts w:ascii="ITC Avant Garde" w:hAnsi="ITC Avant Garde"/>
          <w:bCs/>
        </w:rPr>
        <w:t>, señaló</w:t>
      </w:r>
      <w:r w:rsidRPr="00956265">
        <w:rPr>
          <w:rFonts w:ascii="ITC Avant Garde" w:hAnsi="ITC Avant Garde"/>
          <w:bCs/>
        </w:rPr>
        <w:t xml:space="preserve"> en</w:t>
      </w:r>
      <w:r w:rsidR="00B46EB2">
        <w:rPr>
          <w:rFonts w:ascii="ITC Avant Garde" w:hAnsi="ITC Avant Garde"/>
          <w:bCs/>
        </w:rPr>
        <w:t>tre otros aspectos</w:t>
      </w:r>
      <w:r w:rsidR="007C0C43">
        <w:rPr>
          <w:rFonts w:ascii="ITC Avant Garde" w:hAnsi="ITC Avant Garde"/>
          <w:bCs/>
        </w:rPr>
        <w:t xml:space="preserve"> que: </w:t>
      </w:r>
    </w:p>
    <w:p w:rsidR="00053AB2" w:rsidRDefault="007C0C43" w:rsidP="00053AB2">
      <w:pPr>
        <w:spacing w:before="240" w:line="240" w:lineRule="auto"/>
        <w:ind w:left="1429" w:right="618"/>
        <w:jc w:val="both"/>
        <w:rPr>
          <w:rFonts w:ascii="ITC Avant Garde" w:hAnsi="ITC Avant Garde"/>
          <w:i/>
          <w:iCs/>
          <w:color w:val="000000"/>
          <w:sz w:val="18"/>
          <w:szCs w:val="18"/>
          <w:lang w:eastAsia="es-MX"/>
        </w:rPr>
      </w:pPr>
      <w:r w:rsidRPr="0038623F">
        <w:rPr>
          <w:rFonts w:ascii="ITC Avant Garde" w:hAnsi="ITC Avant Garde"/>
          <w:i/>
          <w:iCs/>
          <w:color w:val="000000"/>
          <w:sz w:val="18"/>
          <w:szCs w:val="18"/>
          <w:lang w:eastAsia="es-MX"/>
        </w:rPr>
        <w:t>“</w:t>
      </w:r>
      <w:r w:rsidR="007757BE">
        <w:rPr>
          <w:rFonts w:ascii="ITC Avant Garde" w:hAnsi="ITC Avant Garde"/>
          <w:i/>
          <w:iCs/>
          <w:color w:val="000000"/>
          <w:sz w:val="18"/>
          <w:szCs w:val="18"/>
          <w:lang w:eastAsia="es-MX"/>
        </w:rPr>
        <w:t>[…]</w:t>
      </w:r>
    </w:p>
    <w:p w:rsidR="00053AB2" w:rsidRDefault="00CF0063" w:rsidP="00053AB2">
      <w:pPr>
        <w:spacing w:before="240" w:line="240" w:lineRule="auto"/>
        <w:ind w:left="1429" w:right="618" w:firstLine="272"/>
        <w:jc w:val="both"/>
        <w:rPr>
          <w:rFonts w:ascii="ITC Avant Garde" w:hAnsi="ITC Avant Garde"/>
          <w:i/>
          <w:iCs/>
          <w:color w:val="000000"/>
          <w:sz w:val="18"/>
          <w:szCs w:val="18"/>
          <w:lang w:eastAsia="es-MX"/>
        </w:rPr>
      </w:pPr>
      <w:r>
        <w:rPr>
          <w:rFonts w:ascii="ITC Avant Garde" w:hAnsi="ITC Avant Garde"/>
          <w:b/>
          <w:i/>
          <w:iCs/>
          <w:color w:val="000000"/>
          <w:sz w:val="18"/>
          <w:szCs w:val="18"/>
          <w:lang w:eastAsia="es-MX"/>
        </w:rPr>
        <w:t>4</w:t>
      </w:r>
      <w:r w:rsidR="00BD59BD" w:rsidRPr="0038623F">
        <w:rPr>
          <w:rFonts w:ascii="ITC Avant Garde" w:hAnsi="ITC Avant Garde"/>
          <w:b/>
          <w:i/>
          <w:iCs/>
          <w:color w:val="000000"/>
          <w:sz w:val="18"/>
          <w:szCs w:val="18"/>
          <w:lang w:eastAsia="es-MX"/>
        </w:rPr>
        <w:t>. Dictamen</w:t>
      </w:r>
    </w:p>
    <w:p w:rsidR="00053AB2" w:rsidRDefault="00BD59BD" w:rsidP="00053AB2">
      <w:pPr>
        <w:spacing w:before="240" w:line="240" w:lineRule="auto"/>
        <w:ind w:left="1429" w:right="618"/>
        <w:jc w:val="both"/>
        <w:rPr>
          <w:rFonts w:ascii="ITC Avant Garde" w:hAnsi="ITC Avant Garde"/>
          <w:i/>
          <w:iCs/>
          <w:color w:val="000000"/>
          <w:sz w:val="18"/>
          <w:szCs w:val="18"/>
          <w:lang w:eastAsia="es-MX"/>
        </w:rPr>
      </w:pPr>
      <w:r w:rsidRPr="0038623F">
        <w:rPr>
          <w:rFonts w:ascii="ITC Avant Garde" w:hAnsi="ITC Avant Garde"/>
          <w:i/>
          <w:iCs/>
          <w:color w:val="000000"/>
          <w:sz w:val="18"/>
          <w:szCs w:val="18"/>
          <w:lang w:eastAsia="es-MX"/>
        </w:rPr>
        <w:t xml:space="preserve">De la supervisión </w:t>
      </w:r>
      <w:r w:rsidR="00A44332">
        <w:rPr>
          <w:rFonts w:ascii="ITC Avant Garde" w:hAnsi="ITC Avant Garde"/>
          <w:i/>
          <w:iCs/>
          <w:color w:val="000000"/>
          <w:sz w:val="18"/>
          <w:szCs w:val="18"/>
          <w:lang w:eastAsia="es-MX"/>
        </w:rPr>
        <w:t>a</w:t>
      </w:r>
      <w:r w:rsidRPr="0038623F">
        <w:rPr>
          <w:rFonts w:ascii="ITC Avant Garde" w:hAnsi="ITC Avant Garde"/>
          <w:i/>
          <w:iCs/>
          <w:color w:val="000000"/>
          <w:sz w:val="18"/>
          <w:szCs w:val="18"/>
          <w:lang w:eastAsia="es-MX"/>
        </w:rPr>
        <w:t xml:space="preserve"> las constancias que integran </w:t>
      </w:r>
      <w:r w:rsidR="00AD3986">
        <w:rPr>
          <w:rFonts w:ascii="ITC Avant Garde" w:hAnsi="ITC Avant Garde"/>
          <w:i/>
          <w:iCs/>
          <w:color w:val="000000"/>
          <w:sz w:val="18"/>
          <w:szCs w:val="18"/>
          <w:lang w:eastAsia="es-MX"/>
        </w:rPr>
        <w:t>los</w:t>
      </w:r>
      <w:r w:rsidRPr="0038623F">
        <w:rPr>
          <w:rFonts w:ascii="ITC Avant Garde" w:hAnsi="ITC Avant Garde"/>
          <w:i/>
          <w:iCs/>
          <w:color w:val="000000"/>
          <w:sz w:val="18"/>
          <w:szCs w:val="18"/>
          <w:lang w:eastAsia="es-MX"/>
        </w:rPr>
        <w:t xml:space="preserve"> expediente</w:t>
      </w:r>
      <w:r w:rsidR="00AD3986">
        <w:rPr>
          <w:rFonts w:ascii="ITC Avant Garde" w:hAnsi="ITC Avant Garde"/>
          <w:i/>
          <w:iCs/>
          <w:color w:val="000000"/>
          <w:sz w:val="18"/>
          <w:szCs w:val="18"/>
          <w:lang w:eastAsia="es-MX"/>
        </w:rPr>
        <w:t>s abiertos a nombre</w:t>
      </w:r>
      <w:r w:rsidRPr="0038623F">
        <w:rPr>
          <w:rFonts w:ascii="ITC Avant Garde" w:hAnsi="ITC Avant Garde"/>
          <w:i/>
          <w:iCs/>
          <w:color w:val="000000"/>
          <w:sz w:val="18"/>
          <w:szCs w:val="18"/>
          <w:lang w:eastAsia="es-MX"/>
        </w:rPr>
        <w:t xml:space="preserve"> </w:t>
      </w:r>
      <w:r w:rsidR="005B36D9">
        <w:rPr>
          <w:rFonts w:ascii="ITC Avant Garde" w:hAnsi="ITC Avant Garde"/>
          <w:i/>
          <w:iCs/>
          <w:color w:val="000000"/>
          <w:sz w:val="18"/>
          <w:szCs w:val="18"/>
          <w:lang w:eastAsia="es-MX"/>
        </w:rPr>
        <w:t>del</w:t>
      </w:r>
      <w:r w:rsidR="00914C1C">
        <w:rPr>
          <w:rFonts w:ascii="ITC Avant Garde" w:hAnsi="ITC Avant Garde"/>
          <w:i/>
          <w:iCs/>
          <w:color w:val="000000"/>
          <w:sz w:val="18"/>
          <w:szCs w:val="18"/>
          <w:lang w:eastAsia="es-MX"/>
        </w:rPr>
        <w:t xml:space="preserve"> concesionario</w:t>
      </w:r>
      <w:r w:rsidR="00BA475C" w:rsidRPr="0038623F">
        <w:rPr>
          <w:rFonts w:ascii="ITC Avant Garde" w:hAnsi="ITC Avant Garde"/>
          <w:i/>
          <w:iCs/>
          <w:color w:val="000000"/>
          <w:sz w:val="18"/>
          <w:szCs w:val="18"/>
          <w:lang w:eastAsia="es-MX"/>
        </w:rPr>
        <w:t xml:space="preserve"> que no</w:t>
      </w:r>
      <w:r w:rsidR="00A44332">
        <w:rPr>
          <w:rFonts w:ascii="ITC Avant Garde" w:hAnsi="ITC Avant Garde"/>
          <w:i/>
          <w:iCs/>
          <w:color w:val="000000"/>
          <w:sz w:val="18"/>
          <w:szCs w:val="18"/>
          <w:lang w:eastAsia="es-MX"/>
        </w:rPr>
        <w:t>s</w:t>
      </w:r>
      <w:r w:rsidR="00BA475C" w:rsidRPr="0038623F">
        <w:rPr>
          <w:rFonts w:ascii="ITC Avant Garde" w:hAnsi="ITC Avant Garde"/>
          <w:i/>
          <w:iCs/>
          <w:color w:val="000000"/>
          <w:sz w:val="18"/>
          <w:szCs w:val="18"/>
          <w:lang w:eastAsia="es-MX"/>
        </w:rPr>
        <w:t xml:space="preserve"> ocupa, así como de la información proporcionada por las </w:t>
      </w:r>
      <w:r w:rsidR="0004438A">
        <w:rPr>
          <w:rFonts w:ascii="ITC Avant Garde" w:hAnsi="ITC Avant Garde"/>
          <w:i/>
          <w:iCs/>
          <w:color w:val="000000"/>
          <w:sz w:val="18"/>
          <w:szCs w:val="18"/>
          <w:lang w:eastAsia="es-MX"/>
        </w:rPr>
        <w:t>D</w:t>
      </w:r>
      <w:r w:rsidR="00A30BC2" w:rsidRPr="0038623F">
        <w:rPr>
          <w:rFonts w:ascii="ITC Avant Garde" w:hAnsi="ITC Avant Garde"/>
          <w:i/>
          <w:iCs/>
          <w:color w:val="000000"/>
          <w:sz w:val="18"/>
          <w:szCs w:val="18"/>
          <w:lang w:eastAsia="es-MX"/>
        </w:rPr>
        <w:t>irecciones</w:t>
      </w:r>
      <w:r w:rsidR="00BA475C" w:rsidRPr="0038623F">
        <w:rPr>
          <w:rFonts w:ascii="ITC Avant Garde" w:hAnsi="ITC Avant Garde"/>
          <w:i/>
          <w:iCs/>
          <w:color w:val="000000"/>
          <w:sz w:val="18"/>
          <w:szCs w:val="18"/>
          <w:lang w:eastAsia="es-MX"/>
        </w:rPr>
        <w:t xml:space="preserve"> Generales de Verificación y Sanciones, se concluye </w:t>
      </w:r>
      <w:r w:rsidR="00AD3986">
        <w:rPr>
          <w:rFonts w:ascii="ITC Avant Garde" w:hAnsi="ITC Avant Garde"/>
          <w:i/>
          <w:iCs/>
          <w:color w:val="000000"/>
          <w:sz w:val="18"/>
          <w:szCs w:val="18"/>
          <w:lang w:eastAsia="es-MX"/>
        </w:rPr>
        <w:t>lo siguiente:</w:t>
      </w:r>
    </w:p>
    <w:p w:rsidR="00053AB2" w:rsidRDefault="00AD3986" w:rsidP="00053AB2">
      <w:pPr>
        <w:spacing w:before="240" w:line="240" w:lineRule="auto"/>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 xml:space="preserve">De la revisión documental de los expedientes </w:t>
      </w:r>
      <w:r w:rsidR="00914C1C">
        <w:rPr>
          <w:rFonts w:ascii="ITC Avant Garde" w:hAnsi="ITC Avant Garde"/>
          <w:b/>
          <w:i/>
          <w:iCs/>
          <w:color w:val="000000"/>
          <w:sz w:val="18"/>
          <w:szCs w:val="18"/>
          <w:lang w:eastAsia="es-MX"/>
        </w:rPr>
        <w:t>02/0545, 02/0547 y 02/1232</w:t>
      </w:r>
      <w:r w:rsidR="005B36D9">
        <w:rPr>
          <w:rFonts w:ascii="ITC Avant Garde" w:hAnsi="ITC Avant Garde"/>
          <w:i/>
          <w:iCs/>
          <w:color w:val="000000"/>
          <w:sz w:val="18"/>
          <w:szCs w:val="18"/>
          <w:lang w:eastAsia="es-MX"/>
        </w:rPr>
        <w:t xml:space="preserve"> </w:t>
      </w:r>
      <w:r w:rsidR="002D7C16" w:rsidRPr="0038623F">
        <w:rPr>
          <w:rFonts w:ascii="ITC Avant Garde" w:hAnsi="ITC Avant Garde"/>
          <w:i/>
          <w:iCs/>
          <w:color w:val="000000"/>
          <w:sz w:val="18"/>
          <w:szCs w:val="18"/>
          <w:lang w:eastAsia="es-MX"/>
        </w:rPr>
        <w:t>integrado</w:t>
      </w:r>
      <w:r>
        <w:rPr>
          <w:rFonts w:ascii="ITC Avant Garde" w:hAnsi="ITC Avant Garde"/>
          <w:i/>
          <w:iCs/>
          <w:color w:val="000000"/>
          <w:sz w:val="18"/>
          <w:szCs w:val="18"/>
          <w:lang w:eastAsia="es-MX"/>
        </w:rPr>
        <w:t>s</w:t>
      </w:r>
      <w:r w:rsidR="002D7C16" w:rsidRPr="0038623F">
        <w:rPr>
          <w:rFonts w:ascii="ITC Avant Garde" w:hAnsi="ITC Avant Garde"/>
          <w:i/>
          <w:iCs/>
          <w:color w:val="000000"/>
          <w:sz w:val="18"/>
          <w:szCs w:val="18"/>
          <w:lang w:eastAsia="es-MX"/>
        </w:rPr>
        <w:t xml:space="preserve"> por </w:t>
      </w:r>
      <w:r w:rsidR="0038623F">
        <w:rPr>
          <w:rFonts w:ascii="ITC Avant Garde" w:hAnsi="ITC Avant Garde"/>
          <w:i/>
          <w:iCs/>
          <w:color w:val="000000"/>
          <w:sz w:val="18"/>
          <w:szCs w:val="18"/>
          <w:lang w:eastAsia="es-MX"/>
        </w:rPr>
        <w:t>l</w:t>
      </w:r>
      <w:r w:rsidR="002D7C16" w:rsidRPr="0038623F">
        <w:rPr>
          <w:rFonts w:ascii="ITC Avant Garde" w:hAnsi="ITC Avant Garde"/>
          <w:i/>
          <w:iCs/>
          <w:color w:val="000000"/>
          <w:sz w:val="18"/>
          <w:szCs w:val="18"/>
          <w:lang w:eastAsia="es-MX"/>
        </w:rPr>
        <w:t>a Dirección Genera</w:t>
      </w:r>
      <w:r w:rsidR="00A30BC2" w:rsidRPr="0038623F">
        <w:rPr>
          <w:rFonts w:ascii="ITC Avant Garde" w:hAnsi="ITC Avant Garde"/>
          <w:i/>
          <w:iCs/>
          <w:color w:val="000000"/>
          <w:sz w:val="18"/>
          <w:szCs w:val="18"/>
          <w:lang w:eastAsia="es-MX"/>
        </w:rPr>
        <w:t>l</w:t>
      </w:r>
      <w:r w:rsidR="002D7C16" w:rsidRPr="0038623F">
        <w:rPr>
          <w:rFonts w:ascii="ITC Avant Garde" w:hAnsi="ITC Avant Garde"/>
          <w:i/>
          <w:iCs/>
          <w:color w:val="000000"/>
          <w:sz w:val="18"/>
          <w:szCs w:val="18"/>
          <w:lang w:eastAsia="es-MX"/>
        </w:rPr>
        <w:t xml:space="preserve"> de Adquisiciones, Recursos Materiales y Servicios Generales de este Instituto a nombre de </w:t>
      </w:r>
      <w:r w:rsidR="00914C1C">
        <w:rPr>
          <w:rFonts w:ascii="ITC Avant Garde" w:hAnsi="ITC Avant Garde"/>
          <w:b/>
          <w:i/>
          <w:iCs/>
          <w:color w:val="000000"/>
          <w:sz w:val="18"/>
          <w:szCs w:val="18"/>
          <w:lang w:eastAsia="es-MX"/>
        </w:rPr>
        <w:t xml:space="preserve">Luis Mauricio </w:t>
      </w:r>
      <w:proofErr w:type="spellStart"/>
      <w:r w:rsidR="00914C1C">
        <w:rPr>
          <w:rFonts w:ascii="ITC Avant Garde" w:hAnsi="ITC Avant Garde"/>
          <w:b/>
          <w:i/>
          <w:iCs/>
          <w:color w:val="000000"/>
          <w:sz w:val="18"/>
          <w:szCs w:val="18"/>
          <w:lang w:eastAsia="es-MX"/>
        </w:rPr>
        <w:t>Orellán</w:t>
      </w:r>
      <w:proofErr w:type="spellEnd"/>
      <w:r w:rsidR="00914C1C">
        <w:rPr>
          <w:rFonts w:ascii="ITC Avant Garde" w:hAnsi="ITC Avant Garde"/>
          <w:b/>
          <w:i/>
          <w:iCs/>
          <w:color w:val="000000"/>
          <w:sz w:val="18"/>
          <w:szCs w:val="18"/>
          <w:lang w:eastAsia="es-MX"/>
        </w:rPr>
        <w:t xml:space="preserve"> González</w:t>
      </w:r>
      <w:r w:rsidR="000F4D48">
        <w:rPr>
          <w:rFonts w:ascii="ITC Avant Garde" w:hAnsi="ITC Avant Garde"/>
          <w:b/>
          <w:i/>
          <w:iCs/>
          <w:color w:val="000000"/>
          <w:sz w:val="18"/>
          <w:szCs w:val="18"/>
          <w:lang w:eastAsia="es-MX"/>
        </w:rPr>
        <w:t>,</w:t>
      </w:r>
      <w:r w:rsidR="000D14AF">
        <w:rPr>
          <w:rFonts w:ascii="ITC Avant Garde" w:hAnsi="ITC Avant Garde"/>
          <w:i/>
          <w:iCs/>
          <w:color w:val="000000"/>
          <w:sz w:val="18"/>
          <w:szCs w:val="18"/>
          <w:lang w:eastAsia="es-MX"/>
        </w:rPr>
        <w:t xml:space="preserve"> se desprende que al </w:t>
      </w:r>
      <w:r w:rsidR="00914C1C">
        <w:rPr>
          <w:rFonts w:ascii="ITC Avant Garde" w:hAnsi="ITC Avant Garde"/>
          <w:i/>
          <w:iCs/>
          <w:color w:val="000000"/>
          <w:sz w:val="18"/>
          <w:szCs w:val="18"/>
          <w:lang w:eastAsia="es-MX"/>
        </w:rPr>
        <w:t>3 de mayo de 2017</w:t>
      </w:r>
      <w:r w:rsidR="000D14AF">
        <w:rPr>
          <w:rFonts w:ascii="ITC Avant Garde" w:hAnsi="ITC Avant Garde"/>
          <w:i/>
          <w:iCs/>
          <w:color w:val="000000"/>
          <w:sz w:val="18"/>
          <w:szCs w:val="18"/>
          <w:lang w:eastAsia="es-MX"/>
        </w:rPr>
        <w:t>,</w:t>
      </w:r>
      <w:r w:rsidR="00893597">
        <w:rPr>
          <w:rFonts w:ascii="ITC Avant Garde" w:hAnsi="ITC Avant Garde"/>
          <w:b/>
          <w:i/>
          <w:iCs/>
          <w:color w:val="000000"/>
          <w:sz w:val="18"/>
          <w:szCs w:val="18"/>
          <w:lang w:eastAsia="es-MX"/>
        </w:rPr>
        <w:t xml:space="preserve"> </w:t>
      </w:r>
      <w:r w:rsidR="00F863BF">
        <w:rPr>
          <w:rFonts w:ascii="ITC Avant Garde" w:hAnsi="ITC Avant Garde"/>
          <w:b/>
          <w:i/>
          <w:iCs/>
          <w:color w:val="000000"/>
          <w:sz w:val="18"/>
          <w:szCs w:val="18"/>
          <w:u w:val="single"/>
          <w:lang w:eastAsia="es-MX"/>
        </w:rPr>
        <w:t>la concesionaria</w:t>
      </w:r>
      <w:r w:rsidR="000D14AF">
        <w:rPr>
          <w:rFonts w:ascii="ITC Avant Garde" w:hAnsi="ITC Avant Garde"/>
          <w:b/>
          <w:i/>
          <w:iCs/>
          <w:color w:val="000000"/>
          <w:sz w:val="18"/>
          <w:szCs w:val="18"/>
          <w:u w:val="single"/>
          <w:lang w:eastAsia="es-MX"/>
        </w:rPr>
        <w:t xml:space="preserve"> se encontró</w:t>
      </w:r>
      <w:r w:rsidR="007C0C43" w:rsidRPr="0038623F">
        <w:rPr>
          <w:rFonts w:ascii="ITC Avant Garde" w:hAnsi="ITC Avant Garde"/>
          <w:b/>
          <w:i/>
          <w:iCs/>
          <w:color w:val="000000"/>
          <w:sz w:val="18"/>
          <w:szCs w:val="18"/>
          <w:u w:val="single"/>
          <w:lang w:eastAsia="es-MX"/>
        </w:rPr>
        <w:t xml:space="preserve"> al corriente en la presentación de las documentales derivadas de las obligaciones que tiene a su cargo</w:t>
      </w:r>
      <w:r w:rsidR="007C0C43" w:rsidRPr="0038623F">
        <w:rPr>
          <w:rFonts w:ascii="ITC Avant Garde" w:hAnsi="ITC Avant Garde"/>
          <w:i/>
          <w:iCs/>
          <w:color w:val="000000"/>
          <w:sz w:val="18"/>
          <w:szCs w:val="18"/>
          <w:lang w:eastAsia="es-MX"/>
        </w:rPr>
        <w:t xml:space="preserve"> y que le son aplicables conforme a su</w:t>
      </w:r>
      <w:r w:rsidR="000D14AF">
        <w:rPr>
          <w:rFonts w:ascii="ITC Avant Garde" w:hAnsi="ITC Avant Garde"/>
          <w:i/>
          <w:iCs/>
          <w:color w:val="000000"/>
          <w:sz w:val="18"/>
          <w:szCs w:val="18"/>
          <w:lang w:eastAsia="es-MX"/>
        </w:rPr>
        <w:t>s</w:t>
      </w:r>
      <w:r w:rsidR="007C0C43" w:rsidRPr="0038623F">
        <w:rPr>
          <w:rFonts w:ascii="ITC Avant Garde" w:hAnsi="ITC Avant Garde"/>
          <w:i/>
          <w:iCs/>
          <w:color w:val="000000"/>
          <w:sz w:val="18"/>
          <w:szCs w:val="18"/>
          <w:lang w:eastAsia="es-MX"/>
        </w:rPr>
        <w:t xml:space="preserve"> título</w:t>
      </w:r>
      <w:r w:rsidR="000D14AF">
        <w:rPr>
          <w:rFonts w:ascii="ITC Avant Garde" w:hAnsi="ITC Avant Garde"/>
          <w:i/>
          <w:iCs/>
          <w:color w:val="000000"/>
          <w:sz w:val="18"/>
          <w:szCs w:val="18"/>
          <w:lang w:eastAsia="es-MX"/>
        </w:rPr>
        <w:t>s</w:t>
      </w:r>
      <w:r w:rsidR="007C0C43" w:rsidRPr="0038623F">
        <w:rPr>
          <w:rFonts w:ascii="ITC Avant Garde" w:hAnsi="ITC Avant Garde"/>
          <w:i/>
          <w:iCs/>
          <w:color w:val="000000"/>
          <w:sz w:val="18"/>
          <w:szCs w:val="18"/>
          <w:lang w:eastAsia="es-MX"/>
        </w:rPr>
        <w:t xml:space="preserve"> de concesión</w:t>
      </w:r>
      <w:r w:rsidR="000D14AF">
        <w:rPr>
          <w:rFonts w:ascii="ITC Avant Garde" w:hAnsi="ITC Avant Garde"/>
          <w:i/>
          <w:iCs/>
          <w:color w:val="000000"/>
          <w:sz w:val="18"/>
          <w:szCs w:val="18"/>
          <w:lang w:eastAsia="es-MX"/>
        </w:rPr>
        <w:t xml:space="preserve"> de red pública de telecomunicaciones</w:t>
      </w:r>
      <w:r w:rsidR="007C0C43" w:rsidRPr="0038623F">
        <w:rPr>
          <w:rFonts w:ascii="ITC Avant Garde" w:hAnsi="ITC Avant Garde"/>
          <w:i/>
          <w:iCs/>
          <w:color w:val="000000"/>
          <w:sz w:val="18"/>
          <w:szCs w:val="18"/>
          <w:lang w:eastAsia="es-MX"/>
        </w:rPr>
        <w:t xml:space="preserve"> y demás disposiciones legales, reglamentarias y administrativas aplicables</w:t>
      </w:r>
      <w:r w:rsidR="00723081">
        <w:rPr>
          <w:rFonts w:ascii="ITC Avant Garde" w:hAnsi="ITC Avant Garde"/>
          <w:i/>
          <w:iCs/>
          <w:color w:val="000000"/>
          <w:sz w:val="18"/>
          <w:szCs w:val="18"/>
          <w:lang w:eastAsia="es-MX"/>
        </w:rPr>
        <w:t>.</w:t>
      </w:r>
    </w:p>
    <w:p w:rsidR="00053AB2" w:rsidRDefault="007757BE" w:rsidP="00053AB2">
      <w:pPr>
        <w:spacing w:before="240" w:line="240" w:lineRule="auto"/>
        <w:ind w:left="1560" w:right="618" w:hanging="131"/>
        <w:jc w:val="both"/>
        <w:rPr>
          <w:rFonts w:ascii="ITC Avant Garde" w:hAnsi="ITC Avant Garde"/>
          <w:b/>
          <w:i/>
          <w:iCs/>
          <w:color w:val="000000"/>
          <w:sz w:val="18"/>
          <w:szCs w:val="18"/>
          <w:u w:val="single"/>
          <w:lang w:eastAsia="es-MX"/>
        </w:rPr>
      </w:pPr>
      <w:r>
        <w:rPr>
          <w:rFonts w:ascii="ITC Avant Garde" w:hAnsi="ITC Avant Garde"/>
          <w:i/>
          <w:iCs/>
          <w:color w:val="000000"/>
          <w:sz w:val="18"/>
          <w:szCs w:val="18"/>
          <w:lang w:eastAsia="es-MX"/>
        </w:rPr>
        <w:t>[…]</w:t>
      </w:r>
      <w:r w:rsidR="007C0C43" w:rsidRPr="00956265">
        <w:rPr>
          <w:rFonts w:ascii="ITC Avant Garde" w:hAnsi="ITC Avant Garde"/>
          <w:i/>
          <w:iCs/>
          <w:color w:val="000000"/>
          <w:sz w:val="18"/>
          <w:szCs w:val="18"/>
          <w:lang w:eastAsia="es-MX"/>
        </w:rPr>
        <w:t>”</w:t>
      </w:r>
      <w:r w:rsidR="009E1B7E">
        <w:rPr>
          <w:rFonts w:ascii="ITC Avant Garde" w:hAnsi="ITC Avant Garde"/>
          <w:i/>
          <w:iCs/>
          <w:color w:val="000000"/>
          <w:sz w:val="18"/>
          <w:szCs w:val="18"/>
          <w:lang w:eastAsia="es-MX"/>
        </w:rPr>
        <w:t xml:space="preserve"> </w:t>
      </w:r>
      <w:r w:rsidR="009E1B7E" w:rsidRPr="00BE61AC">
        <w:rPr>
          <w:rFonts w:ascii="ITC Avant Garde" w:hAnsi="ITC Avant Garde"/>
          <w:iCs/>
          <w:color w:val="000000"/>
          <w:sz w:val="18"/>
          <w:szCs w:val="18"/>
          <w:lang w:eastAsia="es-MX"/>
        </w:rPr>
        <w:t>(Sic)</w:t>
      </w:r>
    </w:p>
    <w:p w:rsidR="00053AB2" w:rsidRDefault="00C92A26"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En virtud de lo anterior, y tomando en cuenta que se satisfacen la totalidad de los requisitos establecidos en los Lineamientos, este Instituto considera procedente autorizar la transición</w:t>
      </w:r>
      <w:r w:rsidR="00105CCC">
        <w:rPr>
          <w:rFonts w:ascii="ITC Avant Garde" w:hAnsi="ITC Avant Garde"/>
          <w:bCs/>
        </w:rPr>
        <w:t xml:space="preserve"> y consolidación</w:t>
      </w:r>
      <w:r>
        <w:rPr>
          <w:rFonts w:ascii="ITC Avant Garde" w:hAnsi="ITC Avant Garde"/>
          <w:bCs/>
        </w:rPr>
        <w:t xml:space="preserve"> de</w:t>
      </w:r>
      <w:r w:rsidR="00441723">
        <w:rPr>
          <w:rFonts w:ascii="ITC Avant Garde" w:hAnsi="ITC Avant Garde"/>
          <w:bCs/>
        </w:rPr>
        <w:t xml:space="preserve"> </w:t>
      </w:r>
      <w:r>
        <w:rPr>
          <w:rFonts w:ascii="ITC Avant Garde" w:hAnsi="ITC Avant Garde"/>
          <w:bCs/>
        </w:rPr>
        <w:t>l</w:t>
      </w:r>
      <w:r w:rsidR="00441723">
        <w:rPr>
          <w:rFonts w:ascii="ITC Avant Garde" w:hAnsi="ITC Avant Garde"/>
          <w:bCs/>
        </w:rPr>
        <w:t>os</w:t>
      </w:r>
      <w:r>
        <w:rPr>
          <w:rFonts w:ascii="ITC Avant Garde" w:hAnsi="ITC Avant Garde"/>
          <w:bCs/>
        </w:rPr>
        <w:t xml:space="preserve"> título</w:t>
      </w:r>
      <w:r w:rsidR="00441723">
        <w:rPr>
          <w:rFonts w:ascii="ITC Avant Garde" w:hAnsi="ITC Avant Garde"/>
          <w:bCs/>
        </w:rPr>
        <w:t>s</w:t>
      </w:r>
      <w:r>
        <w:rPr>
          <w:rFonts w:ascii="ITC Avant Garde" w:hAnsi="ITC Avant Garde"/>
          <w:bCs/>
        </w:rPr>
        <w:t xml:space="preserve"> de concesión de red</w:t>
      </w:r>
      <w:r w:rsidR="00441723">
        <w:rPr>
          <w:rFonts w:ascii="ITC Avant Garde" w:hAnsi="ITC Avant Garde"/>
          <w:bCs/>
        </w:rPr>
        <w:t>es</w:t>
      </w:r>
      <w:r>
        <w:rPr>
          <w:rFonts w:ascii="ITC Avant Garde" w:hAnsi="ITC Avant Garde"/>
          <w:bCs/>
        </w:rPr>
        <w:t xml:space="preserve"> pública</w:t>
      </w:r>
      <w:r w:rsidR="00441723">
        <w:rPr>
          <w:rFonts w:ascii="ITC Avant Garde" w:hAnsi="ITC Avant Garde"/>
          <w:bCs/>
        </w:rPr>
        <w:t>s</w:t>
      </w:r>
      <w:r>
        <w:rPr>
          <w:rFonts w:ascii="ITC Avant Garde" w:hAnsi="ITC Avant Garde"/>
          <w:bCs/>
        </w:rPr>
        <w:t xml:space="preserve"> de telecomunicaciones otorgado</w:t>
      </w:r>
      <w:r w:rsidR="00441723">
        <w:rPr>
          <w:rFonts w:ascii="ITC Avant Garde" w:hAnsi="ITC Avant Garde"/>
          <w:bCs/>
        </w:rPr>
        <w:t>s</w:t>
      </w:r>
      <w:r>
        <w:rPr>
          <w:rFonts w:ascii="ITC Avant Garde" w:hAnsi="ITC Avant Garde"/>
          <w:bCs/>
        </w:rPr>
        <w:t xml:space="preserve"> a</w:t>
      </w:r>
      <w:r w:rsidR="00914C1C">
        <w:rPr>
          <w:rFonts w:ascii="ITC Avant Garde" w:hAnsi="ITC Avant Garde"/>
          <w:bCs/>
        </w:rPr>
        <w:t>l</w:t>
      </w:r>
      <w:r>
        <w:rPr>
          <w:rFonts w:ascii="ITC Avant Garde" w:hAnsi="ITC Avant Garde"/>
          <w:bCs/>
        </w:rPr>
        <w:t xml:space="preserve"> </w:t>
      </w:r>
      <w:r w:rsidR="00914C1C">
        <w:rPr>
          <w:rFonts w:ascii="ITC Avant Garde" w:hAnsi="ITC Avant Garde"/>
          <w:bCs/>
          <w:color w:val="000000"/>
          <w:lang w:eastAsia="es-MX"/>
        </w:rPr>
        <w:t xml:space="preserve">C. Luis Mauricio </w:t>
      </w:r>
      <w:proofErr w:type="spellStart"/>
      <w:r w:rsidR="00914C1C">
        <w:rPr>
          <w:rFonts w:ascii="ITC Avant Garde" w:hAnsi="ITC Avant Garde"/>
          <w:bCs/>
          <w:color w:val="000000"/>
          <w:lang w:eastAsia="es-MX"/>
        </w:rPr>
        <w:t>Orellán</w:t>
      </w:r>
      <w:proofErr w:type="spellEnd"/>
      <w:r w:rsidR="00914C1C">
        <w:rPr>
          <w:rFonts w:ascii="ITC Avant Garde" w:hAnsi="ITC Avant Garde"/>
          <w:bCs/>
          <w:color w:val="000000"/>
          <w:lang w:eastAsia="es-MX"/>
        </w:rPr>
        <w:t xml:space="preserve"> González</w:t>
      </w:r>
      <w:r>
        <w:rPr>
          <w:rFonts w:ascii="ITC Avant Garde" w:hAnsi="ITC Avant Garde"/>
          <w:bCs/>
        </w:rPr>
        <w:t xml:space="preserve">, </w:t>
      </w:r>
      <w:r w:rsidR="008C3969">
        <w:rPr>
          <w:rFonts w:ascii="ITC Avant Garde" w:hAnsi="ITC Avant Garde"/>
          <w:bCs/>
        </w:rPr>
        <w:t>en</w:t>
      </w:r>
      <w:r>
        <w:rPr>
          <w:rFonts w:ascii="ITC Avant Garde" w:hAnsi="ITC Avant Garde"/>
          <w:bCs/>
        </w:rPr>
        <w:t xml:space="preserve"> una concesión única para uso comercial.</w:t>
      </w:r>
    </w:p>
    <w:p w:rsidR="00053AB2" w:rsidRDefault="00E261C1" w:rsidP="00053AB2">
      <w:pPr>
        <w:autoSpaceDE w:val="0"/>
        <w:autoSpaceDN w:val="0"/>
        <w:adjustRightInd w:val="0"/>
        <w:spacing w:before="240" w:line="240" w:lineRule="auto"/>
        <w:jc w:val="both"/>
        <w:rPr>
          <w:rFonts w:ascii="ITC Avant Garde" w:hAnsi="ITC Avant Garde"/>
          <w:bCs/>
        </w:rPr>
      </w:pPr>
      <w:r w:rsidRPr="00D25FE7">
        <w:rPr>
          <w:rFonts w:ascii="ITC Avant Garde" w:hAnsi="ITC Avant Garde"/>
          <w:bCs/>
        </w:rPr>
        <w:t xml:space="preserve">Finalmente, por lo que se refiere al título de concesión única que otorgue este Instituto con motivo de la </w:t>
      </w:r>
      <w:r w:rsidR="009E1B7E">
        <w:rPr>
          <w:rFonts w:ascii="ITC Avant Garde" w:hAnsi="ITC Avant Garde"/>
          <w:bCs/>
        </w:rPr>
        <w:t>S</w:t>
      </w:r>
      <w:r w:rsidRPr="00D25FE7">
        <w:rPr>
          <w:rFonts w:ascii="ITC Avant Garde" w:hAnsi="ITC Avant Garde"/>
          <w:bCs/>
        </w:rPr>
        <w:t xml:space="preserve">olicitud de </w:t>
      </w:r>
      <w:r w:rsidR="009E1B7E">
        <w:rPr>
          <w:rFonts w:ascii="ITC Avant Garde" w:hAnsi="ITC Avant Garde"/>
          <w:bCs/>
        </w:rPr>
        <w:t>T</w:t>
      </w:r>
      <w:r w:rsidRPr="00D25FE7">
        <w:rPr>
          <w:rFonts w:ascii="ITC Avant Garde" w:hAnsi="ITC Avant Garde"/>
          <w:bCs/>
        </w:rPr>
        <w:t xml:space="preserve">ransición, </w:t>
      </w:r>
      <w:r w:rsidR="009E1B7E">
        <w:rPr>
          <w:rFonts w:ascii="ITC Avant Garde" w:hAnsi="ITC Avant Garde"/>
          <w:bCs/>
        </w:rPr>
        <w:t>é</w:t>
      </w:r>
      <w:r w:rsidR="00344EB4">
        <w:rPr>
          <w:rFonts w:ascii="ITC Avant Garde" w:hAnsi="ITC Avant Garde"/>
          <w:bCs/>
        </w:rPr>
        <w:t xml:space="preserve">ste </w:t>
      </w:r>
      <w:r w:rsidRPr="00D25FE7">
        <w:rPr>
          <w:rFonts w:ascii="ITC Avant Garde" w:hAnsi="ITC Avant Garde"/>
          <w:bCs/>
        </w:rPr>
        <w:t xml:space="preserve">tendrá una vigencia igual a la prevista en el título de concesión objeto de la misma, o en caso de existir varios títulos de concesión, por la vigencia más amplia contada a partir de la fecha de otorgamiento del título que tenga dicha vigencia, de conformidad con lo señalado en el segundo párrafo del artículo 25 de los Lineamientos, y contendrá como compromisos de cobertura mínima, la cobertura contemplada en cada uno de ellos. </w:t>
      </w:r>
    </w:p>
    <w:p w:rsidR="00053AB2" w:rsidRDefault="00E261C1" w:rsidP="00053AB2">
      <w:pPr>
        <w:autoSpaceDE w:val="0"/>
        <w:autoSpaceDN w:val="0"/>
        <w:adjustRightInd w:val="0"/>
        <w:spacing w:before="240" w:line="240" w:lineRule="auto"/>
        <w:jc w:val="both"/>
        <w:rPr>
          <w:rFonts w:ascii="ITC Avant Garde" w:hAnsi="ITC Avant Garde"/>
          <w:bCs/>
        </w:rPr>
      </w:pPr>
      <w:r w:rsidRPr="00D25FE7">
        <w:rPr>
          <w:rFonts w:ascii="ITC Avant Garde" w:hAnsi="ITC Avant Garde"/>
          <w:bCs/>
        </w:rPr>
        <w:t xml:space="preserve">Conforme a esto último, tomando en cuenta que </w:t>
      </w:r>
      <w:r w:rsidR="009E1B7E">
        <w:rPr>
          <w:rFonts w:ascii="ITC Avant Garde" w:hAnsi="ITC Avant Garde"/>
          <w:bCs/>
          <w:color w:val="000000"/>
          <w:lang w:eastAsia="es-MX"/>
        </w:rPr>
        <w:t>e</w:t>
      </w:r>
      <w:r w:rsidR="00914C1C">
        <w:rPr>
          <w:rFonts w:ascii="ITC Avant Garde" w:hAnsi="ITC Avant Garde"/>
          <w:bCs/>
          <w:color w:val="000000"/>
          <w:lang w:eastAsia="es-MX"/>
        </w:rPr>
        <w:t xml:space="preserve">l C. Luis Mauricio </w:t>
      </w:r>
      <w:proofErr w:type="spellStart"/>
      <w:r w:rsidR="00914C1C">
        <w:rPr>
          <w:rFonts w:ascii="ITC Avant Garde" w:hAnsi="ITC Avant Garde"/>
          <w:bCs/>
          <w:color w:val="000000"/>
          <w:lang w:eastAsia="es-MX"/>
        </w:rPr>
        <w:t>Orellán</w:t>
      </w:r>
      <w:proofErr w:type="spellEnd"/>
      <w:r w:rsidR="00914C1C">
        <w:rPr>
          <w:rFonts w:ascii="ITC Avant Garde" w:hAnsi="ITC Avant Garde"/>
          <w:bCs/>
          <w:color w:val="000000"/>
          <w:lang w:eastAsia="es-MX"/>
        </w:rPr>
        <w:t xml:space="preserve"> González</w:t>
      </w:r>
      <w:r w:rsidRPr="00D25FE7">
        <w:rPr>
          <w:rFonts w:ascii="ITC Avant Garde" w:hAnsi="ITC Avant Garde"/>
          <w:bCs/>
          <w:color w:val="000000"/>
          <w:lang w:eastAsia="es-MX"/>
        </w:rPr>
        <w:t xml:space="preserve"> </w:t>
      </w:r>
      <w:r w:rsidR="009E1B7E">
        <w:rPr>
          <w:rFonts w:ascii="ITC Avant Garde" w:hAnsi="ITC Avant Garde"/>
          <w:bCs/>
          <w:color w:val="000000"/>
          <w:lang w:eastAsia="es-MX"/>
        </w:rPr>
        <w:t xml:space="preserve">cuenta con </w:t>
      </w:r>
      <w:r w:rsidR="00914C1C">
        <w:rPr>
          <w:rFonts w:ascii="ITC Avant Garde" w:hAnsi="ITC Avant Garde"/>
          <w:bCs/>
          <w:color w:val="000000"/>
          <w:lang w:eastAsia="es-MX"/>
        </w:rPr>
        <w:t>tres</w:t>
      </w:r>
      <w:r w:rsidRPr="00D25FE7">
        <w:rPr>
          <w:rFonts w:ascii="ITC Avant Garde" w:hAnsi="ITC Avant Garde"/>
          <w:bCs/>
          <w:color w:val="000000"/>
          <w:lang w:eastAsia="es-MX"/>
        </w:rPr>
        <w:t xml:space="preserve"> títulos de concesión con una vigencia de 30 años cada uno, emitidos en momentos diferentes, la vigencia que se establecerá en la concesión única corresponderá a la del título de concesión de red pública de telecomunicaciones otorgado el </w:t>
      </w:r>
      <w:r w:rsidR="00914C1C">
        <w:rPr>
          <w:rFonts w:ascii="ITC Avant Garde" w:hAnsi="ITC Avant Garde"/>
          <w:bCs/>
          <w:color w:val="000000"/>
          <w:lang w:eastAsia="es-MX"/>
        </w:rPr>
        <w:t>18 de junio</w:t>
      </w:r>
      <w:r w:rsidR="00D25FE7" w:rsidRPr="00D25FE7">
        <w:rPr>
          <w:rFonts w:ascii="ITC Avant Garde" w:hAnsi="ITC Avant Garde"/>
          <w:bCs/>
          <w:color w:val="000000"/>
          <w:lang w:eastAsia="es-MX"/>
        </w:rPr>
        <w:t xml:space="preserve"> de 2007</w:t>
      </w:r>
      <w:r w:rsidR="008C3969">
        <w:rPr>
          <w:rFonts w:ascii="ITC Avant Garde" w:hAnsi="ITC Avant Garde"/>
          <w:bCs/>
          <w:color w:val="000000"/>
          <w:lang w:eastAsia="es-MX"/>
        </w:rPr>
        <w:t>,</w:t>
      </w:r>
      <w:r w:rsidRPr="00D25FE7">
        <w:rPr>
          <w:rFonts w:ascii="ITC Avant Garde" w:hAnsi="ITC Avant Garde"/>
          <w:bCs/>
          <w:color w:val="000000"/>
          <w:lang w:eastAsia="es-MX"/>
        </w:rPr>
        <w:t xml:space="preserve"> ya que al tomar en cuenta esta última la concesión </w:t>
      </w:r>
      <w:r w:rsidRPr="00D25FE7">
        <w:rPr>
          <w:rFonts w:ascii="ITC Avant Garde" w:hAnsi="ITC Avant Garde"/>
          <w:bCs/>
          <w:color w:val="000000"/>
          <w:lang w:eastAsia="es-MX"/>
        </w:rPr>
        <w:lastRenderedPageBreak/>
        <w:t>única que, en su caso, se otorgue contendría la vigencia más amplia. Finalmente, como compromisos de cobertura mínima contendrá la</w:t>
      </w:r>
      <w:r w:rsidR="008C3969">
        <w:rPr>
          <w:rFonts w:ascii="ITC Avant Garde" w:hAnsi="ITC Avant Garde"/>
          <w:bCs/>
          <w:color w:val="000000"/>
          <w:lang w:eastAsia="es-MX"/>
        </w:rPr>
        <w:t>s localidades</w:t>
      </w:r>
      <w:r w:rsidRPr="00D25FE7">
        <w:rPr>
          <w:rFonts w:ascii="ITC Avant Garde" w:hAnsi="ITC Avant Garde"/>
          <w:bCs/>
          <w:color w:val="000000"/>
          <w:lang w:eastAsia="es-MX"/>
        </w:rPr>
        <w:t xml:space="preserve"> autorizada</w:t>
      </w:r>
      <w:r w:rsidR="008C3969">
        <w:rPr>
          <w:rFonts w:ascii="ITC Avant Garde" w:hAnsi="ITC Avant Garde"/>
          <w:bCs/>
          <w:color w:val="000000"/>
          <w:lang w:eastAsia="es-MX"/>
        </w:rPr>
        <w:t>s</w:t>
      </w:r>
      <w:r w:rsidRPr="00D25FE7">
        <w:rPr>
          <w:rFonts w:ascii="ITC Avant Garde" w:hAnsi="ITC Avant Garde"/>
          <w:bCs/>
          <w:color w:val="000000"/>
          <w:lang w:eastAsia="es-MX"/>
        </w:rPr>
        <w:t xml:space="preserve"> en los </w:t>
      </w:r>
      <w:r w:rsidR="00914C1C">
        <w:rPr>
          <w:rFonts w:ascii="ITC Avant Garde" w:hAnsi="ITC Avant Garde"/>
          <w:bCs/>
          <w:color w:val="000000"/>
          <w:lang w:eastAsia="es-MX"/>
        </w:rPr>
        <w:t>tres</w:t>
      </w:r>
      <w:r w:rsidRPr="00D25FE7">
        <w:rPr>
          <w:rFonts w:ascii="ITC Avant Garde" w:hAnsi="ITC Avant Garde"/>
          <w:bCs/>
          <w:color w:val="000000"/>
          <w:lang w:eastAsia="es-MX"/>
        </w:rPr>
        <w:t xml:space="preserve"> títulos de red pública de telecomunicaciones antes </w:t>
      </w:r>
      <w:r w:rsidRPr="00BE3268">
        <w:rPr>
          <w:rFonts w:ascii="ITC Avant Garde" w:hAnsi="ITC Avant Garde"/>
          <w:bCs/>
          <w:color w:val="000000"/>
          <w:lang w:eastAsia="es-MX"/>
        </w:rPr>
        <w:t>mencionados.</w:t>
      </w:r>
    </w:p>
    <w:p w:rsidR="00053AB2" w:rsidRDefault="0094779B" w:rsidP="00053AB2">
      <w:pPr>
        <w:autoSpaceDE w:val="0"/>
        <w:autoSpaceDN w:val="0"/>
        <w:adjustRightInd w:val="0"/>
        <w:spacing w:before="240" w:line="240" w:lineRule="auto"/>
        <w:jc w:val="both"/>
        <w:rPr>
          <w:rFonts w:ascii="ITC Avant Garde" w:hAnsi="ITC Avant Garde"/>
          <w:bCs/>
        </w:rPr>
      </w:pPr>
      <w:r>
        <w:rPr>
          <w:rFonts w:ascii="ITC Avant Garde" w:hAnsi="ITC Avant Garde"/>
          <w:bCs/>
        </w:rPr>
        <w:t xml:space="preserve">Por lo anteriormente señalado, y con fundamento en los artículos 28 párrafos décimo quinto, décimo sexto y décimo séptimo de la Constitución Política de los Estados Unidos Mexicanos; </w:t>
      </w:r>
      <w:r w:rsidR="00994D6D">
        <w:rPr>
          <w:rFonts w:ascii="ITC Avant Garde" w:hAnsi="ITC Avant Garde"/>
          <w:bCs/>
        </w:rPr>
        <w:t xml:space="preserve">2, </w:t>
      </w:r>
      <w:r>
        <w:rPr>
          <w:rFonts w:ascii="ITC Avant Garde" w:hAnsi="ITC Avant Garde"/>
          <w:bCs/>
        </w:rPr>
        <w:t>6 fracción IV, 15 fracciones IV, 16 y 17 fracción I de la Ley Federal de Telecomunicaciones y Radiodifusión; Cuarto Transitorio del “</w:t>
      </w:r>
      <w:r>
        <w:rPr>
          <w:rFonts w:ascii="ITC Avant Garde" w:hAnsi="ITC Avant Garde"/>
          <w:i/>
          <w:lang w:eastAsia="es-MX"/>
        </w:rPr>
        <w:t xml:space="preserve">Decreto por el que se reforman y adicionan diversas disposiciones de los artículos 6o., 7o., 27, 28, 73, 78, 94 y 105 de la Constitución Política de los Estados Unidos Mexicanos, en materia de telecomunicaciones” </w:t>
      </w:r>
      <w:r>
        <w:rPr>
          <w:rFonts w:ascii="ITC Avant Garde" w:hAnsi="ITC Avant Garde"/>
          <w:lang w:eastAsia="es-MX"/>
        </w:rPr>
        <w:t>publicado en el Diario Oficial de la Federación el 11 de junio de 2013;</w:t>
      </w:r>
      <w:r>
        <w:rPr>
          <w:rFonts w:ascii="ITC Avant Garde" w:hAnsi="ITC Avant Garde"/>
          <w:i/>
          <w:lang w:eastAsia="es-MX"/>
        </w:rPr>
        <w:t xml:space="preserve"> </w:t>
      </w:r>
      <w:r>
        <w:rPr>
          <w:rFonts w:ascii="ITC Avant Garde" w:hAnsi="ITC Avant Garde"/>
          <w:bCs/>
        </w:rPr>
        <w:t>Octavo Transitorio de “</w:t>
      </w:r>
      <w:r>
        <w:rPr>
          <w:rFonts w:ascii="ITC Avant Garde" w:hAnsi="ITC Avant Garde"/>
          <w:bCs/>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Pr>
          <w:rFonts w:ascii="ITC Avant Garde" w:hAnsi="ITC Avant Garde"/>
          <w:bCs/>
        </w:rPr>
        <w:t>”, publicado en el Diario Oficial de la Federación el 14 de julio de 2014; 35 fracción I, 36, 38, 39 y 57 fracción I de la Ley Federal de Procedimiento Administrativo; 174-C fracción XII de la Ley Federal de Derechos</w:t>
      </w:r>
      <w:r w:rsidR="00D13889">
        <w:rPr>
          <w:rFonts w:ascii="ITC Avant Garde" w:hAnsi="ITC Avant Garde"/>
          <w:bCs/>
        </w:rPr>
        <w:t xml:space="preserve"> vigente en 2016</w:t>
      </w:r>
      <w:r w:rsidR="00994D6D">
        <w:rPr>
          <w:rFonts w:ascii="ITC Avant Garde" w:hAnsi="ITC Avant Garde"/>
          <w:bCs/>
        </w:rPr>
        <w:t>; 1, 6 fracciones</w:t>
      </w:r>
      <w:r>
        <w:rPr>
          <w:rFonts w:ascii="ITC Avant Garde" w:hAnsi="ITC Avant Garde"/>
          <w:bCs/>
        </w:rPr>
        <w:t xml:space="preserve"> I y XXXV</w:t>
      </w:r>
      <w:r w:rsidR="00865FA0">
        <w:rPr>
          <w:rFonts w:ascii="ITC Avant Garde" w:hAnsi="ITC Avant Garde"/>
          <w:bCs/>
        </w:rPr>
        <w:t>I</w:t>
      </w:r>
      <w:r>
        <w:rPr>
          <w:rFonts w:ascii="ITC Avant Garde" w:hAnsi="ITC Avant Garde"/>
          <w:bCs/>
        </w:rPr>
        <w:t>II, 32, 33 fracci</w:t>
      </w:r>
      <w:r w:rsidR="00936488">
        <w:rPr>
          <w:rFonts w:ascii="ITC Avant Garde" w:hAnsi="ITC Avant Garde"/>
          <w:bCs/>
        </w:rPr>
        <w:t>ón VI</w:t>
      </w:r>
      <w:r w:rsidR="00994D6D">
        <w:rPr>
          <w:rFonts w:ascii="ITC Avant Garde" w:hAnsi="ITC Avant Garde"/>
          <w:bCs/>
        </w:rPr>
        <w:t xml:space="preserve"> </w:t>
      </w:r>
      <w:r>
        <w:rPr>
          <w:rFonts w:ascii="ITC Avant Garde" w:hAnsi="ITC Avant Garde"/>
          <w:bCs/>
        </w:rPr>
        <w:t>del Estatuto Orgánico del Instituto Federal de Telecomunicaciones; así como los artículos 24, 25 y 27 de los “</w:t>
      </w:r>
      <w:r>
        <w:rPr>
          <w:rFonts w:ascii="ITC Avant Garde" w:hAnsi="ITC Avant Garde"/>
          <w:bCs/>
          <w:i/>
        </w:rPr>
        <w:t xml:space="preserve">Lineamientos generales para el otorgamiento de concesiones a que se refiere el título cuarto de la Ley Federal de Telecomunicaciones y Radiodifusión” </w:t>
      </w:r>
      <w:r>
        <w:rPr>
          <w:rFonts w:ascii="ITC Avant Garde" w:hAnsi="ITC Avant Garde"/>
          <w:bCs/>
        </w:rPr>
        <w:t>publicados en el Diario Oficial de la Federación el 24 de julio de 2015, este órgano autónomo constitucional emite los siguientes:</w:t>
      </w:r>
    </w:p>
    <w:p w:rsidR="00053AB2" w:rsidRPr="00053AB2" w:rsidRDefault="00C92A26" w:rsidP="00053AB2">
      <w:pPr>
        <w:pStyle w:val="Ttulo2"/>
        <w:spacing w:after="240"/>
        <w:jc w:val="center"/>
        <w:rPr>
          <w:rFonts w:ascii="ITC Avant Garde" w:hAnsi="ITC Avant Garde"/>
          <w:b/>
          <w:color w:val="000000" w:themeColor="text1"/>
          <w:sz w:val="22"/>
          <w:szCs w:val="22"/>
        </w:rPr>
      </w:pPr>
      <w:r w:rsidRPr="00053AB2">
        <w:rPr>
          <w:rFonts w:ascii="ITC Avant Garde" w:hAnsi="ITC Avant Garde"/>
          <w:b/>
          <w:color w:val="000000" w:themeColor="text1"/>
          <w:sz w:val="22"/>
          <w:szCs w:val="22"/>
        </w:rPr>
        <w:t>RESOLUTIVOS</w:t>
      </w:r>
    </w:p>
    <w:p w:rsidR="00053AB2" w:rsidRDefault="00E07E27" w:rsidP="00053AB2">
      <w:pPr>
        <w:autoSpaceDE w:val="0"/>
        <w:autoSpaceDN w:val="0"/>
        <w:adjustRightInd w:val="0"/>
        <w:spacing w:before="240" w:line="240" w:lineRule="auto"/>
        <w:jc w:val="both"/>
        <w:rPr>
          <w:rFonts w:ascii="ITC Avant Garde" w:hAnsi="ITC Avant Garde"/>
          <w:bCs/>
          <w:color w:val="000000"/>
          <w:lang w:eastAsia="es-MX"/>
        </w:rPr>
      </w:pPr>
      <w:r w:rsidRPr="00E57237">
        <w:rPr>
          <w:rFonts w:ascii="ITC Avant Garde" w:hAnsi="ITC Avant Garde"/>
          <w:b/>
          <w:bCs/>
        </w:rPr>
        <w:t>PRIMERO.-</w:t>
      </w:r>
      <w:r w:rsidRPr="00E57237">
        <w:rPr>
          <w:rFonts w:ascii="ITC Avant Garde" w:hAnsi="ITC Avant Garde"/>
          <w:bCs/>
        </w:rPr>
        <w:t xml:space="preserve"> </w:t>
      </w:r>
      <w:r>
        <w:rPr>
          <w:rFonts w:ascii="ITC Avant Garde" w:hAnsi="ITC Avant Garde"/>
          <w:bCs/>
          <w:lang w:val="es-ES_tradnl"/>
        </w:rPr>
        <w:t>S</w:t>
      </w:r>
      <w:r w:rsidRPr="00E57237">
        <w:rPr>
          <w:rFonts w:ascii="ITC Avant Garde" w:hAnsi="ITC Avant Garde"/>
          <w:bCs/>
          <w:lang w:val="es-ES_tradnl"/>
        </w:rPr>
        <w:t xml:space="preserve">e </w:t>
      </w:r>
      <w:r>
        <w:rPr>
          <w:rFonts w:ascii="ITC Avant Garde" w:hAnsi="ITC Avant Garde"/>
          <w:bCs/>
          <w:lang w:val="es-ES_tradnl"/>
        </w:rPr>
        <w:t>autoriza</w:t>
      </w:r>
      <w:r w:rsidRPr="00E57237">
        <w:rPr>
          <w:rFonts w:ascii="ITC Avant Garde" w:hAnsi="ITC Avant Garde"/>
          <w:bCs/>
          <w:lang w:val="es-ES_tradnl"/>
        </w:rPr>
        <w:t xml:space="preserve"> </w:t>
      </w:r>
      <w:r>
        <w:rPr>
          <w:rFonts w:ascii="ITC Avant Garde" w:hAnsi="ITC Avant Garde"/>
          <w:bCs/>
          <w:lang w:val="es-ES_tradnl"/>
        </w:rPr>
        <w:t>a</w:t>
      </w:r>
      <w:r w:rsidR="00914C1C">
        <w:rPr>
          <w:rFonts w:ascii="ITC Avant Garde" w:hAnsi="ITC Avant Garde"/>
          <w:bCs/>
          <w:lang w:val="es-ES_tradnl"/>
        </w:rPr>
        <w:t>l C.</w:t>
      </w:r>
      <w:r>
        <w:rPr>
          <w:rFonts w:ascii="ITC Avant Garde" w:hAnsi="ITC Avant Garde"/>
          <w:bCs/>
          <w:lang w:val="es-ES_tradnl"/>
        </w:rPr>
        <w:t xml:space="preserve"> </w:t>
      </w:r>
      <w:r w:rsidR="00914C1C">
        <w:rPr>
          <w:rFonts w:ascii="ITC Avant Garde" w:hAnsi="ITC Avant Garde"/>
          <w:bCs/>
          <w:color w:val="000000"/>
          <w:lang w:eastAsia="es-MX"/>
        </w:rPr>
        <w:t xml:space="preserve">Luis Mauricio </w:t>
      </w:r>
      <w:proofErr w:type="spellStart"/>
      <w:r w:rsidR="00914C1C">
        <w:rPr>
          <w:rFonts w:ascii="ITC Avant Garde" w:hAnsi="ITC Avant Garde"/>
          <w:bCs/>
          <w:color w:val="000000"/>
          <w:lang w:eastAsia="es-MX"/>
        </w:rPr>
        <w:t>Orellán</w:t>
      </w:r>
      <w:proofErr w:type="spellEnd"/>
      <w:r w:rsidR="00914C1C">
        <w:rPr>
          <w:rFonts w:ascii="ITC Avant Garde" w:hAnsi="ITC Avant Garde"/>
          <w:bCs/>
          <w:color w:val="000000"/>
          <w:lang w:eastAsia="es-MX"/>
        </w:rPr>
        <w:t xml:space="preserve"> González</w:t>
      </w:r>
      <w:r>
        <w:rPr>
          <w:rFonts w:ascii="ITC Avant Garde" w:hAnsi="ITC Avant Garde"/>
          <w:bCs/>
          <w:lang w:val="es-ES_tradnl"/>
        </w:rPr>
        <w:t xml:space="preserve">, transitar a la concesión única para uso comercial, </w:t>
      </w:r>
      <w:r>
        <w:rPr>
          <w:rFonts w:ascii="ITC Avant Garde" w:hAnsi="ITC Avant Garde"/>
          <w:bCs/>
        </w:rPr>
        <w:t xml:space="preserve">establecida en la Constitución Política de los Estados Unidos Mexicanos y en la Ley Federal de Telecomunicaciones y Radiodifusión, y en consecuencia, se consolidan en dicho título de concesión única para uso comercial las </w:t>
      </w:r>
      <w:r w:rsidR="00914C1C">
        <w:rPr>
          <w:rFonts w:ascii="ITC Avant Garde" w:hAnsi="ITC Avant Garde"/>
          <w:bCs/>
        </w:rPr>
        <w:t>tres</w:t>
      </w:r>
      <w:r>
        <w:rPr>
          <w:rFonts w:ascii="ITC Avant Garde" w:hAnsi="ITC Avant Garde"/>
          <w:bCs/>
        </w:rPr>
        <w:t xml:space="preserve"> concesiones de </w:t>
      </w:r>
      <w:r>
        <w:rPr>
          <w:rFonts w:ascii="ITC Avant Garde" w:hAnsi="ITC Avant Garde"/>
          <w:bCs/>
          <w:lang w:val="es-ES_tradnl"/>
        </w:rPr>
        <w:t>redes públicas de telecomunicaciones</w:t>
      </w:r>
      <w:r>
        <w:rPr>
          <w:rFonts w:ascii="ITC Avant Garde" w:hAnsi="ITC Avant Garde"/>
          <w:bCs/>
          <w:color w:val="000000"/>
          <w:lang w:eastAsia="es-MX"/>
        </w:rPr>
        <w:t xml:space="preserve"> que le fueron otorgadas en su momento por la Secretaría de Comunicaciones y Transportes, y que se encuentran vigentes a la fecha de la presente Resolución, extinguiéndose tales concesiones en términos del artículo 25 de los </w:t>
      </w:r>
      <w:r w:rsidRPr="00BE61AC">
        <w:rPr>
          <w:rFonts w:ascii="ITC Avant Garde" w:hAnsi="ITC Avant Garde"/>
          <w:bCs/>
          <w:i/>
          <w:color w:val="000000"/>
          <w:lang w:eastAsia="es-MX"/>
        </w:rPr>
        <w:t>Lineamientos generales para el otorgamiento de concesiones</w:t>
      </w:r>
      <w:r w:rsidR="00AA1DF8" w:rsidRPr="00BE61AC">
        <w:rPr>
          <w:rFonts w:ascii="ITC Avant Garde" w:hAnsi="ITC Avant Garde"/>
          <w:bCs/>
          <w:i/>
          <w:color w:val="000000"/>
          <w:lang w:eastAsia="es-MX"/>
        </w:rPr>
        <w:t>,</w:t>
      </w:r>
      <w:r w:rsidRPr="00BE61AC">
        <w:rPr>
          <w:rFonts w:ascii="ITC Avant Garde" w:hAnsi="ITC Avant Garde"/>
          <w:bCs/>
          <w:i/>
          <w:color w:val="000000"/>
          <w:lang w:eastAsia="es-MX"/>
        </w:rPr>
        <w:t xml:space="preserve"> a que se refiere el título cuarto de la Ley Federal de Telecomunicaciones y Radiodifusión</w:t>
      </w:r>
      <w:r>
        <w:rPr>
          <w:rFonts w:ascii="ITC Avant Garde" w:hAnsi="ITC Avant Garde"/>
          <w:bCs/>
          <w:color w:val="000000"/>
          <w:lang w:eastAsia="es-MX"/>
        </w:rPr>
        <w:t>.</w:t>
      </w:r>
    </w:p>
    <w:p w:rsidR="00053AB2" w:rsidRDefault="00E07E27" w:rsidP="00053AB2">
      <w:pPr>
        <w:autoSpaceDE w:val="0"/>
        <w:autoSpaceDN w:val="0"/>
        <w:adjustRightInd w:val="0"/>
        <w:spacing w:before="240" w:line="240" w:lineRule="auto"/>
        <w:jc w:val="both"/>
        <w:rPr>
          <w:rFonts w:ascii="ITC Avant Garde" w:hAnsi="ITC Avant Garde"/>
          <w:bCs/>
          <w:color w:val="000000"/>
          <w:lang w:eastAsia="es-MX"/>
        </w:rPr>
      </w:pPr>
      <w:r>
        <w:rPr>
          <w:rFonts w:ascii="ITC Avant Garde" w:hAnsi="ITC Avant Garde"/>
          <w:b/>
          <w:bCs/>
          <w:color w:val="000000"/>
          <w:lang w:eastAsia="es-MX"/>
        </w:rPr>
        <w:t xml:space="preserve">SEGUNDO.- </w:t>
      </w:r>
      <w:r>
        <w:rPr>
          <w:rFonts w:ascii="ITC Avant Garde" w:hAnsi="ITC Avant Garde"/>
          <w:bCs/>
          <w:color w:val="000000"/>
          <w:lang w:eastAsia="es-MX"/>
        </w:rPr>
        <w:t>Para efectos de lo dispuesto en el Resolutivo Primero</w:t>
      </w:r>
      <w:r w:rsidR="00FF6ADF">
        <w:rPr>
          <w:rFonts w:ascii="ITC Avant Garde" w:hAnsi="ITC Avant Garde"/>
          <w:bCs/>
          <w:color w:val="000000"/>
          <w:lang w:eastAsia="es-MX"/>
        </w:rPr>
        <w:t xml:space="preserve"> anterior</w:t>
      </w:r>
      <w:r>
        <w:rPr>
          <w:rFonts w:ascii="ITC Avant Garde" w:hAnsi="ITC Avant Garde"/>
          <w:bCs/>
          <w:color w:val="000000"/>
          <w:lang w:eastAsia="es-MX"/>
        </w:rPr>
        <w:t xml:space="preserve">, el Instituto Federal de Telecomunicaciones </w:t>
      </w:r>
      <w:r>
        <w:rPr>
          <w:rFonts w:ascii="ITC Avant Garde" w:hAnsi="ITC Avant Garde"/>
          <w:bCs/>
        </w:rPr>
        <w:t xml:space="preserve">otorgará un título de concesión </w:t>
      </w:r>
      <w:r>
        <w:rPr>
          <w:rFonts w:ascii="ITC Avant Garde" w:hAnsi="ITC Avant Garde"/>
          <w:bCs/>
          <w:lang w:val="es-ES_tradnl"/>
        </w:rPr>
        <w:t>única para uso comercial, en favor de</w:t>
      </w:r>
      <w:r w:rsidR="00C336EF">
        <w:rPr>
          <w:rFonts w:ascii="ITC Avant Garde" w:hAnsi="ITC Avant Garde"/>
          <w:bCs/>
          <w:lang w:val="es-ES_tradnl"/>
        </w:rPr>
        <w:t>l</w:t>
      </w:r>
      <w:r>
        <w:rPr>
          <w:rFonts w:ascii="ITC Avant Garde" w:hAnsi="ITC Avant Garde"/>
          <w:bCs/>
          <w:lang w:val="es-ES_tradnl"/>
        </w:rPr>
        <w:t xml:space="preserve"> </w:t>
      </w:r>
      <w:r w:rsidR="00C336EF">
        <w:rPr>
          <w:rFonts w:ascii="ITC Avant Garde" w:hAnsi="ITC Avant Garde"/>
          <w:bCs/>
          <w:color w:val="000000"/>
          <w:lang w:eastAsia="es-MX"/>
        </w:rPr>
        <w:t xml:space="preserve">C. Luis Mauricio </w:t>
      </w:r>
      <w:proofErr w:type="spellStart"/>
      <w:r w:rsidR="00C336EF">
        <w:rPr>
          <w:rFonts w:ascii="ITC Avant Garde" w:hAnsi="ITC Avant Garde"/>
          <w:bCs/>
          <w:color w:val="000000"/>
          <w:lang w:eastAsia="es-MX"/>
        </w:rPr>
        <w:t>Orellán</w:t>
      </w:r>
      <w:proofErr w:type="spellEnd"/>
      <w:r w:rsidR="00C336EF">
        <w:rPr>
          <w:rFonts w:ascii="ITC Avant Garde" w:hAnsi="ITC Avant Garde"/>
          <w:bCs/>
          <w:color w:val="000000"/>
          <w:lang w:eastAsia="es-MX"/>
        </w:rPr>
        <w:t xml:space="preserve"> González</w:t>
      </w:r>
      <w:r>
        <w:rPr>
          <w:rFonts w:ascii="ITC Avant Garde" w:hAnsi="ITC Avant Garde"/>
          <w:bCs/>
          <w:lang w:val="es-ES_tradnl"/>
        </w:rPr>
        <w:t xml:space="preserve">, con una vigencia de 30 (treinta) años contados a partir del </w:t>
      </w:r>
      <w:r w:rsidR="00C336EF">
        <w:rPr>
          <w:rFonts w:ascii="ITC Avant Garde" w:hAnsi="ITC Avant Garde"/>
          <w:bCs/>
          <w:color w:val="000000"/>
          <w:lang w:eastAsia="es-MX"/>
        </w:rPr>
        <w:t>18 de junio</w:t>
      </w:r>
      <w:r>
        <w:rPr>
          <w:rFonts w:ascii="ITC Avant Garde" w:hAnsi="ITC Avant Garde"/>
          <w:bCs/>
          <w:color w:val="000000"/>
          <w:lang w:eastAsia="es-MX"/>
        </w:rPr>
        <w:t xml:space="preserve"> de 2007</w:t>
      </w:r>
      <w:r>
        <w:rPr>
          <w:rFonts w:ascii="ITC Avant Garde" w:hAnsi="ITC Avant Garde"/>
          <w:bCs/>
          <w:lang w:val="es-ES_tradnl"/>
        </w:rPr>
        <w:t xml:space="preserve">, con cobertura nacional y con el que podrá prestar </w:t>
      </w:r>
      <w:r w:rsidRPr="004C50BB">
        <w:rPr>
          <w:rFonts w:ascii="ITC Avant Garde" w:hAnsi="ITC Avant Garde"/>
          <w:bCs/>
          <w:color w:val="000000"/>
          <w:lang w:eastAsia="es-MX"/>
        </w:rPr>
        <w:t>cualquier servicio de telecomunicaciones y de radiodifusión que sea técnicamente factible.</w:t>
      </w:r>
    </w:p>
    <w:p w:rsidR="00053AB2" w:rsidRDefault="00E07E27" w:rsidP="00053AB2">
      <w:pPr>
        <w:autoSpaceDE w:val="0"/>
        <w:autoSpaceDN w:val="0"/>
        <w:adjustRightInd w:val="0"/>
        <w:spacing w:before="240" w:line="240" w:lineRule="auto"/>
        <w:jc w:val="both"/>
        <w:rPr>
          <w:rFonts w:ascii="ITC Avant Garde" w:hAnsi="ITC Avant Garde"/>
          <w:bCs/>
          <w:color w:val="000000"/>
          <w:lang w:eastAsia="es-MX"/>
        </w:rPr>
      </w:pPr>
      <w:r>
        <w:rPr>
          <w:rFonts w:ascii="ITC Avant Garde" w:hAnsi="ITC Avant Garde"/>
          <w:bCs/>
          <w:color w:val="000000"/>
          <w:lang w:eastAsia="es-MX"/>
        </w:rPr>
        <w:t xml:space="preserve">Lo anterior, sin perjuicio de las autorizaciones que deba obtener </w:t>
      </w:r>
      <w:r w:rsidR="00B3113C">
        <w:rPr>
          <w:rFonts w:ascii="ITC Avant Garde" w:hAnsi="ITC Avant Garde"/>
          <w:bCs/>
          <w:color w:val="000000"/>
          <w:lang w:eastAsia="es-MX"/>
        </w:rPr>
        <w:t xml:space="preserve">el C. Luis Mauricio </w:t>
      </w:r>
      <w:proofErr w:type="spellStart"/>
      <w:r w:rsidR="00B3113C">
        <w:rPr>
          <w:rFonts w:ascii="ITC Avant Garde" w:hAnsi="ITC Avant Garde"/>
          <w:bCs/>
          <w:color w:val="000000"/>
          <w:lang w:eastAsia="es-MX"/>
        </w:rPr>
        <w:t>Orellán</w:t>
      </w:r>
      <w:proofErr w:type="spellEnd"/>
      <w:r w:rsidR="00B3113C">
        <w:rPr>
          <w:rFonts w:ascii="ITC Avant Garde" w:hAnsi="ITC Avant Garde"/>
          <w:bCs/>
          <w:color w:val="000000"/>
          <w:lang w:eastAsia="es-MX"/>
        </w:rPr>
        <w:t xml:space="preserve"> González</w:t>
      </w:r>
      <w:r>
        <w:rPr>
          <w:rFonts w:ascii="ITC Avant Garde" w:hAnsi="ITC Avant Garde"/>
          <w:bCs/>
          <w:lang w:val="es-ES_tradnl"/>
        </w:rPr>
        <w:t>,</w:t>
      </w:r>
      <w:r>
        <w:rPr>
          <w:rFonts w:ascii="ITC Avant Garde" w:hAnsi="ITC Avant Garde"/>
          <w:bCs/>
          <w:color w:val="000000"/>
          <w:lang w:eastAsia="es-MX"/>
        </w:rPr>
        <w:t xml:space="preserve"> en caso de requerir el uso de bandas de frecuencias del espectro </w:t>
      </w:r>
      <w:r>
        <w:rPr>
          <w:rFonts w:ascii="ITC Avant Garde" w:hAnsi="ITC Avant Garde"/>
          <w:bCs/>
          <w:color w:val="000000"/>
          <w:lang w:eastAsia="es-MX"/>
        </w:rPr>
        <w:lastRenderedPageBreak/>
        <w:t>radioeléctrico o recursos orbitales, en los términos previstos en la Ley Federal de Telecomunicaciones y Radiodifusión.</w:t>
      </w:r>
    </w:p>
    <w:p w:rsidR="00053AB2" w:rsidRDefault="00E07E27" w:rsidP="00053AB2">
      <w:pPr>
        <w:autoSpaceDE w:val="0"/>
        <w:autoSpaceDN w:val="0"/>
        <w:adjustRightInd w:val="0"/>
        <w:spacing w:before="240" w:line="240" w:lineRule="auto"/>
        <w:jc w:val="both"/>
        <w:rPr>
          <w:rFonts w:ascii="ITC Avant Garde" w:hAnsi="ITC Avant Garde"/>
          <w:bCs/>
          <w:lang w:val="es-ES_tradnl"/>
        </w:rPr>
      </w:pPr>
      <w:r>
        <w:rPr>
          <w:rFonts w:ascii="ITC Avant Garde" w:hAnsi="ITC Avant Garde"/>
          <w:b/>
          <w:bCs/>
          <w:color w:val="000000"/>
          <w:lang w:eastAsia="es-MX"/>
        </w:rPr>
        <w:t xml:space="preserve">TERCERO.- </w:t>
      </w:r>
      <w:r w:rsidRPr="00CC693E">
        <w:rPr>
          <w:rFonts w:ascii="ITC Avant Garde" w:hAnsi="ITC Avant Garde"/>
          <w:bCs/>
          <w:lang w:val="es-ES_tradnl"/>
        </w:rPr>
        <w:t>Se instruye a la Unidad de Concesiones y Servicios a notificar a</w:t>
      </w:r>
      <w:r w:rsidR="00B3113C">
        <w:rPr>
          <w:rFonts w:ascii="ITC Avant Garde" w:hAnsi="ITC Avant Garde"/>
          <w:bCs/>
          <w:color w:val="000000"/>
          <w:lang w:eastAsia="es-MX"/>
        </w:rPr>
        <w:t xml:space="preserve">l C. Luis Mauricio </w:t>
      </w:r>
      <w:proofErr w:type="spellStart"/>
      <w:r w:rsidR="00B3113C">
        <w:rPr>
          <w:rFonts w:ascii="ITC Avant Garde" w:hAnsi="ITC Avant Garde"/>
          <w:bCs/>
          <w:color w:val="000000"/>
          <w:lang w:eastAsia="es-MX"/>
        </w:rPr>
        <w:t>Orellán</w:t>
      </w:r>
      <w:proofErr w:type="spellEnd"/>
      <w:r w:rsidR="00B3113C">
        <w:rPr>
          <w:rFonts w:ascii="ITC Avant Garde" w:hAnsi="ITC Avant Garde"/>
          <w:bCs/>
          <w:color w:val="000000"/>
          <w:lang w:eastAsia="es-MX"/>
        </w:rPr>
        <w:t xml:space="preserve"> González</w:t>
      </w:r>
      <w:r>
        <w:rPr>
          <w:rFonts w:ascii="ITC Avant Garde" w:hAnsi="ITC Avant Garde"/>
          <w:bCs/>
          <w:lang w:val="es-ES_tradnl"/>
        </w:rPr>
        <w:t>,</w:t>
      </w:r>
      <w:r w:rsidRPr="00CC693E">
        <w:rPr>
          <w:rFonts w:ascii="ITC Avant Garde" w:hAnsi="ITC Avant Garde"/>
          <w:bCs/>
          <w:lang w:val="es-ES_tradnl"/>
        </w:rPr>
        <w:t xml:space="preserve"> el contenido de la presente Resolución</w:t>
      </w:r>
      <w:r>
        <w:rPr>
          <w:rFonts w:ascii="ITC Avant Garde" w:hAnsi="ITC Avant Garde"/>
          <w:bCs/>
          <w:lang w:val="es-ES_tradnl"/>
        </w:rPr>
        <w:t xml:space="preserve">. </w:t>
      </w:r>
    </w:p>
    <w:p w:rsidR="00053AB2" w:rsidRDefault="00E07E27" w:rsidP="00053AB2">
      <w:pPr>
        <w:spacing w:before="240" w:line="240" w:lineRule="auto"/>
        <w:jc w:val="both"/>
        <w:rPr>
          <w:rFonts w:ascii="ITC Avant Garde" w:hAnsi="ITC Avant Garde"/>
          <w:bCs/>
          <w:lang w:val="es-ES_tradnl"/>
        </w:rPr>
      </w:pPr>
      <w:r>
        <w:rPr>
          <w:rFonts w:ascii="ITC Avant Garde" w:hAnsi="ITC Avant Garde"/>
          <w:b/>
          <w:bCs/>
          <w:lang w:val="es-ES_tradnl"/>
        </w:rPr>
        <w:t>CUARTO</w:t>
      </w:r>
      <w:r w:rsidRPr="003F3844">
        <w:rPr>
          <w:rFonts w:ascii="ITC Avant Garde" w:hAnsi="ITC Avant Garde"/>
          <w:b/>
          <w:bCs/>
          <w:lang w:val="es-ES_tradnl"/>
        </w:rPr>
        <w:t>.-</w:t>
      </w:r>
      <w:r w:rsidRPr="00D027AF">
        <w:rPr>
          <w:rFonts w:ascii="ITC Avant Garde" w:hAnsi="ITC Avant Garde"/>
          <w:bCs/>
          <w:lang w:val="es-ES_tradnl"/>
        </w:rPr>
        <w:t xml:space="preserve"> </w:t>
      </w:r>
      <w:r w:rsidRPr="004F5CD6">
        <w:rPr>
          <w:rFonts w:ascii="ITC Avant Garde" w:hAnsi="ITC Avant Garde"/>
          <w:bCs/>
          <w:lang w:val="es-ES_tradnl"/>
        </w:rPr>
        <w:t xml:space="preserve">Una vez satisfecho lo establecido en </w:t>
      </w:r>
      <w:r>
        <w:rPr>
          <w:rFonts w:ascii="ITC Avant Garde" w:hAnsi="ITC Avant Garde"/>
          <w:bCs/>
          <w:lang w:val="es-ES_tradnl"/>
        </w:rPr>
        <w:t>e</w:t>
      </w:r>
      <w:r w:rsidRPr="004F5CD6">
        <w:rPr>
          <w:rFonts w:ascii="ITC Avant Garde" w:hAnsi="ITC Avant Garde"/>
          <w:bCs/>
          <w:lang w:val="es-ES_tradnl"/>
        </w:rPr>
        <w:t xml:space="preserve">l Resolutivo </w:t>
      </w:r>
      <w:r>
        <w:rPr>
          <w:rFonts w:ascii="ITC Avant Garde" w:hAnsi="ITC Avant Garde"/>
          <w:bCs/>
          <w:lang w:val="es-ES_tradnl"/>
        </w:rPr>
        <w:t>Tercero</w:t>
      </w:r>
      <w:r w:rsidRPr="004F5CD6">
        <w:rPr>
          <w:rFonts w:ascii="ITC Avant Garde" w:hAnsi="ITC Avant Garde"/>
          <w:bCs/>
          <w:lang w:val="es-ES_tradnl"/>
        </w:rPr>
        <w:t xml:space="preserve"> anterior, el Comisionado Presidente del Instituto Federal de Telecomunicaciones, con base en las facultades que le confiere el artículo 14 fracción X del Estatuto Orgánico, suscribirá </w:t>
      </w:r>
      <w:r>
        <w:rPr>
          <w:rFonts w:ascii="ITC Avant Garde" w:hAnsi="ITC Avant Garde"/>
          <w:bCs/>
          <w:lang w:val="es-ES_tradnl"/>
        </w:rPr>
        <w:t>e</w:t>
      </w:r>
      <w:r w:rsidRPr="004F5CD6">
        <w:rPr>
          <w:rFonts w:ascii="ITC Avant Garde" w:hAnsi="ITC Avant Garde"/>
          <w:bCs/>
          <w:lang w:val="es-ES_tradnl"/>
        </w:rPr>
        <w:t xml:space="preserve">l título de concesión </w:t>
      </w:r>
      <w:r>
        <w:rPr>
          <w:rFonts w:ascii="ITC Avant Garde" w:hAnsi="ITC Avant Garde"/>
          <w:bCs/>
          <w:lang w:val="es-ES_tradnl"/>
        </w:rPr>
        <w:t xml:space="preserve">única </w:t>
      </w:r>
      <w:r w:rsidR="0027441F">
        <w:rPr>
          <w:rFonts w:ascii="ITC Avant Garde" w:hAnsi="ITC Avant Garde"/>
          <w:bCs/>
          <w:lang w:val="es-ES_tradnl"/>
        </w:rPr>
        <w:t xml:space="preserve">para uso comercial </w:t>
      </w:r>
      <w:r>
        <w:rPr>
          <w:rFonts w:ascii="ITC Avant Garde" w:hAnsi="ITC Avant Garde"/>
          <w:bCs/>
          <w:lang w:val="es-ES_tradnl"/>
        </w:rPr>
        <w:t xml:space="preserve">a que se refiere el Resolutivo Segundo de la presente Resolución. </w:t>
      </w:r>
    </w:p>
    <w:p w:rsidR="00053AB2" w:rsidRDefault="00E07E27" w:rsidP="00053AB2">
      <w:pPr>
        <w:spacing w:before="240" w:line="240" w:lineRule="auto"/>
        <w:jc w:val="both"/>
        <w:rPr>
          <w:rFonts w:ascii="ITC Avant Garde" w:hAnsi="ITC Avant Garde"/>
          <w:bCs/>
          <w:lang w:val="es-ES_tradnl"/>
        </w:rPr>
      </w:pPr>
      <w:r>
        <w:rPr>
          <w:rFonts w:ascii="ITC Avant Garde" w:hAnsi="ITC Avant Garde"/>
          <w:bCs/>
          <w:lang w:val="es-ES_tradnl"/>
        </w:rPr>
        <w:t xml:space="preserve">Concluido lo anterior, se instruye a la Unidad de Concesiones y Servicios a hacer entrega del título de concesión única </w:t>
      </w:r>
      <w:r w:rsidR="0027441F">
        <w:rPr>
          <w:rFonts w:ascii="ITC Avant Garde" w:hAnsi="ITC Avant Garde"/>
          <w:bCs/>
          <w:lang w:val="es-ES_tradnl"/>
        </w:rPr>
        <w:t xml:space="preserve">para uso comercial </w:t>
      </w:r>
      <w:r>
        <w:rPr>
          <w:rFonts w:ascii="ITC Avant Garde" w:hAnsi="ITC Avant Garde"/>
          <w:bCs/>
          <w:lang w:val="es-ES_tradnl"/>
        </w:rPr>
        <w:t>a</w:t>
      </w:r>
      <w:r w:rsidR="00B3113C">
        <w:rPr>
          <w:rFonts w:ascii="ITC Avant Garde" w:hAnsi="ITC Avant Garde"/>
          <w:bCs/>
          <w:lang w:val="es-ES_tradnl"/>
        </w:rPr>
        <w:t>l</w:t>
      </w:r>
      <w:r>
        <w:rPr>
          <w:rFonts w:ascii="ITC Avant Garde" w:hAnsi="ITC Avant Garde"/>
          <w:bCs/>
          <w:lang w:val="es-ES_tradnl"/>
        </w:rPr>
        <w:t xml:space="preserve"> </w:t>
      </w:r>
      <w:r w:rsidR="00B3113C">
        <w:rPr>
          <w:rFonts w:ascii="ITC Avant Garde" w:hAnsi="ITC Avant Garde"/>
          <w:bCs/>
          <w:color w:val="000000"/>
          <w:lang w:eastAsia="es-MX"/>
        </w:rPr>
        <w:t xml:space="preserve">C. Luis Mauricio </w:t>
      </w:r>
      <w:proofErr w:type="spellStart"/>
      <w:r w:rsidR="00B3113C">
        <w:rPr>
          <w:rFonts w:ascii="ITC Avant Garde" w:hAnsi="ITC Avant Garde"/>
          <w:bCs/>
          <w:color w:val="000000"/>
          <w:lang w:eastAsia="es-MX"/>
        </w:rPr>
        <w:t>Orellán</w:t>
      </w:r>
      <w:proofErr w:type="spellEnd"/>
      <w:r w:rsidR="00B3113C">
        <w:rPr>
          <w:rFonts w:ascii="ITC Avant Garde" w:hAnsi="ITC Avant Garde"/>
          <w:bCs/>
          <w:color w:val="000000"/>
          <w:lang w:eastAsia="es-MX"/>
        </w:rPr>
        <w:t xml:space="preserve"> González</w:t>
      </w:r>
      <w:r w:rsidR="008C3969">
        <w:rPr>
          <w:rFonts w:ascii="ITC Avant Garde" w:hAnsi="ITC Avant Garde"/>
          <w:bCs/>
          <w:color w:val="000000"/>
          <w:lang w:eastAsia="es-MX"/>
        </w:rPr>
        <w:t>.</w:t>
      </w:r>
    </w:p>
    <w:p w:rsidR="00053AB2" w:rsidRDefault="00E07E27" w:rsidP="00053AB2">
      <w:pPr>
        <w:autoSpaceDE w:val="0"/>
        <w:autoSpaceDN w:val="0"/>
        <w:adjustRightInd w:val="0"/>
        <w:spacing w:before="240" w:line="240" w:lineRule="auto"/>
        <w:jc w:val="both"/>
        <w:rPr>
          <w:rFonts w:ascii="ITC Avant Garde" w:hAnsi="ITC Avant Garde"/>
          <w:bCs/>
          <w:lang w:val="es-ES_tradnl"/>
        </w:rPr>
      </w:pPr>
      <w:r>
        <w:rPr>
          <w:rFonts w:ascii="ITC Avant Garde" w:hAnsi="ITC Avant Garde"/>
          <w:b/>
          <w:bCs/>
          <w:lang w:val="es-ES_tradnl"/>
        </w:rPr>
        <w:t>QUINTO.-</w:t>
      </w:r>
      <w:r>
        <w:rPr>
          <w:rFonts w:ascii="ITC Avant Garde" w:hAnsi="ITC Avant Garde"/>
          <w:bCs/>
          <w:lang w:val="es-ES_tradnl"/>
        </w:rPr>
        <w:t xml:space="preserve"> Inscríbase en el Registro Público de Concesiones el título de concesión única </w:t>
      </w:r>
      <w:r w:rsidR="008C3969">
        <w:rPr>
          <w:rFonts w:ascii="ITC Avant Garde" w:hAnsi="ITC Avant Garde"/>
          <w:bCs/>
          <w:lang w:val="es-ES_tradnl"/>
        </w:rPr>
        <w:t xml:space="preserve">para uso comercial </w:t>
      </w:r>
      <w:r>
        <w:rPr>
          <w:rFonts w:ascii="ITC Avant Garde" w:hAnsi="ITC Avant Garde"/>
          <w:bCs/>
          <w:lang w:val="es-ES_tradnl"/>
        </w:rPr>
        <w:t>que se otorgue, una vez que sea debidamente entregado a</w:t>
      </w:r>
      <w:r w:rsidR="008C3969">
        <w:rPr>
          <w:rFonts w:ascii="ITC Avant Garde" w:hAnsi="ITC Avant Garde"/>
          <w:bCs/>
          <w:lang w:val="es-ES_tradnl"/>
        </w:rPr>
        <w:t>l</w:t>
      </w:r>
      <w:r>
        <w:rPr>
          <w:rFonts w:ascii="ITC Avant Garde" w:hAnsi="ITC Avant Garde"/>
          <w:bCs/>
          <w:lang w:val="es-ES_tradnl"/>
        </w:rPr>
        <w:t xml:space="preserve"> </w:t>
      </w:r>
      <w:r w:rsidR="008C3969">
        <w:rPr>
          <w:rFonts w:ascii="ITC Avant Garde" w:hAnsi="ITC Avant Garde"/>
          <w:bCs/>
          <w:lang w:val="es-ES_tradnl"/>
        </w:rPr>
        <w:t>interesado</w:t>
      </w:r>
      <w:r>
        <w:rPr>
          <w:rFonts w:ascii="ITC Avant Garde" w:hAnsi="ITC Avant Garde"/>
          <w:bCs/>
          <w:lang w:val="es-ES_tradnl"/>
        </w:rPr>
        <w:t>.</w:t>
      </w:r>
    </w:p>
    <w:p w:rsidR="00053AB2" w:rsidRDefault="00053AB2" w:rsidP="00053AB2">
      <w:pPr>
        <w:autoSpaceDE w:val="0"/>
        <w:autoSpaceDN w:val="0"/>
        <w:adjustRightInd w:val="0"/>
        <w:spacing w:before="240" w:line="240" w:lineRule="auto"/>
        <w:jc w:val="both"/>
        <w:rPr>
          <w:rFonts w:ascii="ITC Avant Garde" w:hAnsi="ITC Avant Garde"/>
          <w:bCs/>
          <w:sz w:val="2"/>
          <w:lang w:val="es-ES_tradnl"/>
        </w:rPr>
      </w:pPr>
    </w:p>
    <w:p w:rsidR="00621620" w:rsidRPr="00621620" w:rsidRDefault="00621620" w:rsidP="00053AB2">
      <w:pPr>
        <w:spacing w:before="240" w:line="240" w:lineRule="auto"/>
        <w:jc w:val="both"/>
        <w:rPr>
          <w:rFonts w:ascii="ITC Avant Garde" w:eastAsiaTheme="minorHAnsi" w:hAnsi="ITC Avant Garde"/>
          <w:sz w:val="12"/>
          <w:szCs w:val="12"/>
        </w:rPr>
      </w:pPr>
      <w:r w:rsidRPr="00621620">
        <w:rPr>
          <w:rFonts w:ascii="ITC Avant Garde" w:hAnsi="ITC Avant Garde"/>
          <w:sz w:val="12"/>
          <w:szCs w:val="12"/>
        </w:rPr>
        <w:t>La presente Resolución fue aprobada por el Pleno del Instituto Federal de Telecomunicaciones en su XXIII Sesión Ordinaria celebrada el 14 de junio de 2017,</w:t>
      </w:r>
      <w:r w:rsidRPr="00621620">
        <w:rPr>
          <w:rFonts w:ascii="ITC Avant Garde" w:hAnsi="ITC Avant Garde"/>
          <w:bCs/>
          <w:sz w:val="12"/>
          <w:szCs w:val="12"/>
        </w:rPr>
        <w:t xml:space="preserve"> en lo general por unanimidad </w:t>
      </w:r>
      <w:r w:rsidRPr="00621620">
        <w:rPr>
          <w:rFonts w:ascii="ITC Avant Garde" w:hAnsi="ITC Avant Garde"/>
          <w:sz w:val="12"/>
          <w:szCs w:val="12"/>
        </w:rPr>
        <w:t>de votos de los Comisionados Gabriel Oswaldo Contreras Saldívar, Adriana Sofía Labardini Inzunza, María Elena Estavillo Flores, Mario Germán Fromow Rangel, Adolfo Cuevas Teja, Javier Juárez Mojica y Arturo Robles Rovalo.</w:t>
      </w:r>
    </w:p>
    <w:p w:rsidR="00621620" w:rsidRPr="00621620" w:rsidRDefault="00621620" w:rsidP="00053AB2">
      <w:pPr>
        <w:pStyle w:val="Prrafodelista"/>
        <w:spacing w:before="240" w:after="200"/>
        <w:ind w:left="0"/>
        <w:jc w:val="both"/>
        <w:rPr>
          <w:rFonts w:ascii="ITC Avant Garde" w:hAnsi="ITC Avant Garde"/>
          <w:bCs/>
          <w:color w:val="FF0000"/>
          <w:sz w:val="12"/>
          <w:szCs w:val="12"/>
          <w:u w:val="single"/>
        </w:rPr>
      </w:pPr>
      <w:r w:rsidRPr="00621620">
        <w:rPr>
          <w:rFonts w:ascii="ITC Avant Garde" w:hAnsi="ITC Avant Garde"/>
          <w:sz w:val="12"/>
          <w:szCs w:val="12"/>
        </w:rPr>
        <w:t>En lo particular, el Comisionado Adolfo Cuevas Teja manifestó voto en contra de otorgar la transición a concesión única al C. Luis Mauricio Orellán González, respecto a los títulos de concesión con cobertura en Sayula de Alemán, Estado de Veracruz, y en Paso del Macho, Municipio de Paso del Macho, Estado de Veracruz; así como del Resolutivo Segundo y su parte considerativa.</w:t>
      </w:r>
    </w:p>
    <w:p w:rsidR="00621620" w:rsidRPr="00621620" w:rsidRDefault="00621620" w:rsidP="00053AB2">
      <w:pPr>
        <w:spacing w:before="240" w:line="240" w:lineRule="auto"/>
        <w:jc w:val="both"/>
        <w:rPr>
          <w:rFonts w:ascii="ITC Avant Garde" w:hAnsi="ITC Avant Garde"/>
          <w:sz w:val="12"/>
          <w:szCs w:val="12"/>
        </w:rPr>
      </w:pPr>
      <w:r w:rsidRPr="00621620">
        <w:rPr>
          <w:rFonts w:ascii="ITC Avant Garde" w:hAnsi="ITC Avant Garde"/>
          <w:sz w:val="12"/>
          <w:szCs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P/IFT/140617/337.</w:t>
      </w:r>
    </w:p>
    <w:p w:rsidR="00621620" w:rsidRPr="00621620" w:rsidRDefault="00621620" w:rsidP="00053AB2">
      <w:pPr>
        <w:pStyle w:val="Prrafodelista"/>
        <w:spacing w:before="240" w:after="200"/>
        <w:ind w:left="0"/>
        <w:jc w:val="both"/>
        <w:rPr>
          <w:rFonts w:ascii="ITC Avant Garde" w:hAnsi="ITC Avant Garde"/>
          <w:bCs/>
          <w:sz w:val="12"/>
          <w:szCs w:val="12"/>
          <w:lang w:val="es-ES_tradnl"/>
        </w:rPr>
      </w:pPr>
      <w:r w:rsidRPr="00621620">
        <w:rPr>
          <w:rFonts w:ascii="ITC Avant Garde" w:hAnsi="ITC Avant Garde"/>
          <w:sz w:val="12"/>
          <w:szCs w:val="12"/>
        </w:rPr>
        <w:t>La Comisionada Adriana Sofía Labardini Inzunza,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621620" w:rsidRPr="00621620" w:rsidSect="00300972">
      <w:headerReference w:type="even" r:id="rId8"/>
      <w:footerReference w:type="default" r:id="rId9"/>
      <w:headerReference w:type="firs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B96" w:rsidRDefault="00482B96">
      <w:pPr>
        <w:spacing w:after="0" w:line="240" w:lineRule="auto"/>
      </w:pPr>
      <w:r>
        <w:separator/>
      </w:r>
    </w:p>
  </w:endnote>
  <w:endnote w:type="continuationSeparator" w:id="0">
    <w:p w:rsidR="00482B96" w:rsidRDefault="0048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824795"/>
      <w:docPartObj>
        <w:docPartGallery w:val="Page Numbers (Bottom of Page)"/>
        <w:docPartUnique/>
      </w:docPartObj>
    </w:sdtPr>
    <w:sdtEndPr>
      <w:rPr>
        <w:rFonts w:ascii="ITC Avant Garde" w:hAnsi="ITC Avant Garde"/>
        <w:sz w:val="20"/>
      </w:rPr>
    </w:sdtEndPr>
    <w:sdtContent>
      <w:p w:rsidR="00B048BA" w:rsidRPr="00053AB2" w:rsidRDefault="00300972" w:rsidP="00053AB2">
        <w:pPr>
          <w:pStyle w:val="Piedepgina"/>
          <w:jc w:val="right"/>
          <w:rPr>
            <w:rFonts w:ascii="ITC Avant Garde" w:hAnsi="ITC Avant Garde"/>
            <w:sz w:val="20"/>
          </w:rPr>
        </w:pPr>
        <w:r w:rsidRPr="00300972">
          <w:rPr>
            <w:rFonts w:ascii="ITC Avant Garde" w:hAnsi="ITC Avant Garde"/>
            <w:sz w:val="20"/>
          </w:rPr>
          <w:fldChar w:fldCharType="begin"/>
        </w:r>
        <w:r w:rsidRPr="00300972">
          <w:rPr>
            <w:rFonts w:ascii="ITC Avant Garde" w:hAnsi="ITC Avant Garde"/>
            <w:sz w:val="20"/>
          </w:rPr>
          <w:instrText>PAGE   \* MERGEFORMAT</w:instrText>
        </w:r>
        <w:r w:rsidRPr="00300972">
          <w:rPr>
            <w:rFonts w:ascii="ITC Avant Garde" w:hAnsi="ITC Avant Garde"/>
            <w:sz w:val="20"/>
          </w:rPr>
          <w:fldChar w:fldCharType="separate"/>
        </w:r>
        <w:r w:rsidR="00053AB2" w:rsidRPr="00053AB2">
          <w:rPr>
            <w:rFonts w:ascii="ITC Avant Garde" w:hAnsi="ITC Avant Garde"/>
            <w:noProof/>
            <w:sz w:val="20"/>
            <w:lang w:val="es-ES"/>
          </w:rPr>
          <w:t>2</w:t>
        </w:r>
        <w:r w:rsidRPr="00300972">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B96" w:rsidRDefault="00482B96">
      <w:pPr>
        <w:spacing w:after="0" w:line="240" w:lineRule="auto"/>
      </w:pPr>
      <w:r>
        <w:separator/>
      </w:r>
    </w:p>
  </w:footnote>
  <w:footnote w:type="continuationSeparator" w:id="0">
    <w:p w:rsidR="00482B96" w:rsidRDefault="00482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C8" w:rsidRDefault="00482B9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C8" w:rsidRPr="000F5E4B" w:rsidRDefault="00482B96">
    <w:pPr>
      <w:pStyle w:val="Encabezado"/>
      <w:rPr>
        <w:b/>
      </w:rPr>
    </w:pPr>
    <w:r>
      <w:rPr>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5086"/>
    <w:multiLevelType w:val="hybridMultilevel"/>
    <w:tmpl w:val="13889EAC"/>
    <w:lvl w:ilvl="0" w:tplc="9F52BBA0">
      <w:start w:val="1"/>
      <w:numFmt w:val="lowerLetter"/>
      <w:lvlText w:val="%1)"/>
      <w:lvlJc w:val="left"/>
      <w:pPr>
        <w:ind w:left="1789" w:hanging="360"/>
      </w:pPr>
      <w:rPr>
        <w:rFonts w:hint="default"/>
        <w:sz w:val="18"/>
        <w:szCs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 w15:restartNumberingAfterBreak="0">
    <w:nsid w:val="280D46ED"/>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D855FD8"/>
    <w:multiLevelType w:val="hybridMultilevel"/>
    <w:tmpl w:val="7D721240"/>
    <w:lvl w:ilvl="0" w:tplc="080A0013">
      <w:start w:val="1"/>
      <w:numFmt w:val="upperRoman"/>
      <w:lvlText w:val="%1."/>
      <w:lvlJc w:val="righ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 w15:restartNumberingAfterBreak="0">
    <w:nsid w:val="45EE7362"/>
    <w:multiLevelType w:val="hybridMultilevel"/>
    <w:tmpl w:val="2D06B432"/>
    <w:lvl w:ilvl="0" w:tplc="141CDD56">
      <w:start w:val="1"/>
      <w:numFmt w:val="upperRoman"/>
      <w:lvlText w:val="%1."/>
      <w:lvlJc w:val="left"/>
      <w:pPr>
        <w:ind w:left="1146"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466F35"/>
    <w:multiLevelType w:val="hybridMultilevel"/>
    <w:tmpl w:val="8A08CED6"/>
    <w:lvl w:ilvl="0" w:tplc="AFFCE6F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5" w15:restartNumberingAfterBreak="0">
    <w:nsid w:val="636977AA"/>
    <w:multiLevelType w:val="hybridMultilevel"/>
    <w:tmpl w:val="833CF99E"/>
    <w:lvl w:ilvl="0" w:tplc="ED0A23D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67"/>
    <w:rsid w:val="00000A39"/>
    <w:rsid w:val="000012C5"/>
    <w:rsid w:val="00001FAC"/>
    <w:rsid w:val="00002A65"/>
    <w:rsid w:val="0001350A"/>
    <w:rsid w:val="00023870"/>
    <w:rsid w:val="00025B8A"/>
    <w:rsid w:val="0003732E"/>
    <w:rsid w:val="0004438A"/>
    <w:rsid w:val="00051286"/>
    <w:rsid w:val="00053AB2"/>
    <w:rsid w:val="0006059D"/>
    <w:rsid w:val="00060720"/>
    <w:rsid w:val="00062DC6"/>
    <w:rsid w:val="00070ADE"/>
    <w:rsid w:val="000807D9"/>
    <w:rsid w:val="00081015"/>
    <w:rsid w:val="00090D19"/>
    <w:rsid w:val="00097924"/>
    <w:rsid w:val="000A3816"/>
    <w:rsid w:val="000B2622"/>
    <w:rsid w:val="000B7685"/>
    <w:rsid w:val="000C3AE3"/>
    <w:rsid w:val="000D14AF"/>
    <w:rsid w:val="000D2D5C"/>
    <w:rsid w:val="000D37B7"/>
    <w:rsid w:val="000D3C40"/>
    <w:rsid w:val="000E2449"/>
    <w:rsid w:val="000E34B2"/>
    <w:rsid w:val="000E7B2B"/>
    <w:rsid w:val="000F2936"/>
    <w:rsid w:val="000F4D48"/>
    <w:rsid w:val="00103AE1"/>
    <w:rsid w:val="00105CCC"/>
    <w:rsid w:val="00112D03"/>
    <w:rsid w:val="00116FB7"/>
    <w:rsid w:val="00121AB4"/>
    <w:rsid w:val="001237ED"/>
    <w:rsid w:val="00123C96"/>
    <w:rsid w:val="0012668A"/>
    <w:rsid w:val="00127E26"/>
    <w:rsid w:val="00135118"/>
    <w:rsid w:val="00160E5B"/>
    <w:rsid w:val="001661C2"/>
    <w:rsid w:val="0016797D"/>
    <w:rsid w:val="00172BDF"/>
    <w:rsid w:val="00176516"/>
    <w:rsid w:val="00177E68"/>
    <w:rsid w:val="0018519B"/>
    <w:rsid w:val="0019177D"/>
    <w:rsid w:val="00192CF3"/>
    <w:rsid w:val="001935FC"/>
    <w:rsid w:val="00193D02"/>
    <w:rsid w:val="00197854"/>
    <w:rsid w:val="001A3B30"/>
    <w:rsid w:val="001A78B4"/>
    <w:rsid w:val="001B019E"/>
    <w:rsid w:val="001B0D1E"/>
    <w:rsid w:val="001B3891"/>
    <w:rsid w:val="001B61F6"/>
    <w:rsid w:val="001B7A36"/>
    <w:rsid w:val="001C0885"/>
    <w:rsid w:val="001C26B4"/>
    <w:rsid w:val="001C49CD"/>
    <w:rsid w:val="001D0F54"/>
    <w:rsid w:val="001D2EC1"/>
    <w:rsid w:val="001D5168"/>
    <w:rsid w:val="001D7681"/>
    <w:rsid w:val="001D7887"/>
    <w:rsid w:val="001D78C5"/>
    <w:rsid w:val="0020067E"/>
    <w:rsid w:val="00215955"/>
    <w:rsid w:val="00215C6D"/>
    <w:rsid w:val="00220371"/>
    <w:rsid w:val="00232F7B"/>
    <w:rsid w:val="002333C5"/>
    <w:rsid w:val="00241080"/>
    <w:rsid w:val="002418D1"/>
    <w:rsid w:val="00244F59"/>
    <w:rsid w:val="002465DA"/>
    <w:rsid w:val="002555F4"/>
    <w:rsid w:val="00255747"/>
    <w:rsid w:val="00257E0D"/>
    <w:rsid w:val="00261154"/>
    <w:rsid w:val="0027441F"/>
    <w:rsid w:val="00280377"/>
    <w:rsid w:val="002866EA"/>
    <w:rsid w:val="00290497"/>
    <w:rsid w:val="00292AAE"/>
    <w:rsid w:val="00293450"/>
    <w:rsid w:val="002A04B8"/>
    <w:rsid w:val="002A18E1"/>
    <w:rsid w:val="002B5DEC"/>
    <w:rsid w:val="002B5E5B"/>
    <w:rsid w:val="002B6E3B"/>
    <w:rsid w:val="002C48EB"/>
    <w:rsid w:val="002C741A"/>
    <w:rsid w:val="002C75FA"/>
    <w:rsid w:val="002D1151"/>
    <w:rsid w:val="002D366D"/>
    <w:rsid w:val="002D7C16"/>
    <w:rsid w:val="002E1633"/>
    <w:rsid w:val="002E5FF9"/>
    <w:rsid w:val="002F0F77"/>
    <w:rsid w:val="002F3AFA"/>
    <w:rsid w:val="002F67AF"/>
    <w:rsid w:val="002F7F25"/>
    <w:rsid w:val="00300229"/>
    <w:rsid w:val="00300972"/>
    <w:rsid w:val="00304638"/>
    <w:rsid w:val="003138C9"/>
    <w:rsid w:val="003323F5"/>
    <w:rsid w:val="00342288"/>
    <w:rsid w:val="0034305E"/>
    <w:rsid w:val="003435D0"/>
    <w:rsid w:val="00344EB4"/>
    <w:rsid w:val="00347E61"/>
    <w:rsid w:val="00347ED3"/>
    <w:rsid w:val="003576CA"/>
    <w:rsid w:val="00364F04"/>
    <w:rsid w:val="0036667B"/>
    <w:rsid w:val="003749F5"/>
    <w:rsid w:val="00377077"/>
    <w:rsid w:val="003812A0"/>
    <w:rsid w:val="00382004"/>
    <w:rsid w:val="003835E4"/>
    <w:rsid w:val="00385FBB"/>
    <w:rsid w:val="0038623F"/>
    <w:rsid w:val="003A35BA"/>
    <w:rsid w:val="003A3977"/>
    <w:rsid w:val="003B0B36"/>
    <w:rsid w:val="003C184D"/>
    <w:rsid w:val="003C59CD"/>
    <w:rsid w:val="003C5B5E"/>
    <w:rsid w:val="003D0131"/>
    <w:rsid w:val="003D431D"/>
    <w:rsid w:val="003D49D5"/>
    <w:rsid w:val="003D631F"/>
    <w:rsid w:val="003E106F"/>
    <w:rsid w:val="003E41AD"/>
    <w:rsid w:val="003E740F"/>
    <w:rsid w:val="003F3A84"/>
    <w:rsid w:val="00430C93"/>
    <w:rsid w:val="0043230F"/>
    <w:rsid w:val="004359A9"/>
    <w:rsid w:val="00437F0F"/>
    <w:rsid w:val="00441723"/>
    <w:rsid w:val="0044405A"/>
    <w:rsid w:val="00444158"/>
    <w:rsid w:val="00450529"/>
    <w:rsid w:val="004522BC"/>
    <w:rsid w:val="00453A0E"/>
    <w:rsid w:val="0045412A"/>
    <w:rsid w:val="0045447A"/>
    <w:rsid w:val="00454B5A"/>
    <w:rsid w:val="00455C91"/>
    <w:rsid w:val="00462F81"/>
    <w:rsid w:val="00467E16"/>
    <w:rsid w:val="00472BBF"/>
    <w:rsid w:val="004747B6"/>
    <w:rsid w:val="00474D2E"/>
    <w:rsid w:val="00477571"/>
    <w:rsid w:val="00477A8A"/>
    <w:rsid w:val="00482B96"/>
    <w:rsid w:val="004854F5"/>
    <w:rsid w:val="00493069"/>
    <w:rsid w:val="004A17AC"/>
    <w:rsid w:val="004A1DEF"/>
    <w:rsid w:val="004B1049"/>
    <w:rsid w:val="004B1B3C"/>
    <w:rsid w:val="004C35E0"/>
    <w:rsid w:val="004C6AAB"/>
    <w:rsid w:val="004C6B78"/>
    <w:rsid w:val="004C6DCD"/>
    <w:rsid w:val="004D56D2"/>
    <w:rsid w:val="004E1462"/>
    <w:rsid w:val="004F1840"/>
    <w:rsid w:val="004F587F"/>
    <w:rsid w:val="004F7D2E"/>
    <w:rsid w:val="00505EC8"/>
    <w:rsid w:val="00510BA3"/>
    <w:rsid w:val="00511AD1"/>
    <w:rsid w:val="00512204"/>
    <w:rsid w:val="00512F4F"/>
    <w:rsid w:val="00515228"/>
    <w:rsid w:val="005162E0"/>
    <w:rsid w:val="00521534"/>
    <w:rsid w:val="00521622"/>
    <w:rsid w:val="00522413"/>
    <w:rsid w:val="00533793"/>
    <w:rsid w:val="005345E6"/>
    <w:rsid w:val="005435FB"/>
    <w:rsid w:val="00545C6B"/>
    <w:rsid w:val="00550DE9"/>
    <w:rsid w:val="0056178F"/>
    <w:rsid w:val="005621B4"/>
    <w:rsid w:val="00597752"/>
    <w:rsid w:val="005A03CA"/>
    <w:rsid w:val="005B174B"/>
    <w:rsid w:val="005B3347"/>
    <w:rsid w:val="005B36D9"/>
    <w:rsid w:val="005B401C"/>
    <w:rsid w:val="005B4CA7"/>
    <w:rsid w:val="005B5776"/>
    <w:rsid w:val="005C318D"/>
    <w:rsid w:val="005C36CD"/>
    <w:rsid w:val="005C7B77"/>
    <w:rsid w:val="005D45E2"/>
    <w:rsid w:val="005D5A45"/>
    <w:rsid w:val="005E1A80"/>
    <w:rsid w:val="005E446B"/>
    <w:rsid w:val="005E4BAA"/>
    <w:rsid w:val="00606E07"/>
    <w:rsid w:val="00612FA0"/>
    <w:rsid w:val="00613D40"/>
    <w:rsid w:val="00614A5A"/>
    <w:rsid w:val="00621620"/>
    <w:rsid w:val="00624F3C"/>
    <w:rsid w:val="00626BEA"/>
    <w:rsid w:val="00626E56"/>
    <w:rsid w:val="00630213"/>
    <w:rsid w:val="00633D0A"/>
    <w:rsid w:val="00657818"/>
    <w:rsid w:val="00657C3E"/>
    <w:rsid w:val="00663434"/>
    <w:rsid w:val="006648F1"/>
    <w:rsid w:val="0067208F"/>
    <w:rsid w:val="0067221B"/>
    <w:rsid w:val="00672511"/>
    <w:rsid w:val="00673874"/>
    <w:rsid w:val="0067398F"/>
    <w:rsid w:val="00683CB5"/>
    <w:rsid w:val="00686D49"/>
    <w:rsid w:val="00695B29"/>
    <w:rsid w:val="006A236A"/>
    <w:rsid w:val="006B5AD8"/>
    <w:rsid w:val="006B7B66"/>
    <w:rsid w:val="006C4BD0"/>
    <w:rsid w:val="006C6786"/>
    <w:rsid w:val="006D6A51"/>
    <w:rsid w:val="006E1A8E"/>
    <w:rsid w:val="006E4A53"/>
    <w:rsid w:val="006E6252"/>
    <w:rsid w:val="007037F5"/>
    <w:rsid w:val="007205E5"/>
    <w:rsid w:val="00722C96"/>
    <w:rsid w:val="00723081"/>
    <w:rsid w:val="007248F6"/>
    <w:rsid w:val="00724BA0"/>
    <w:rsid w:val="007251E1"/>
    <w:rsid w:val="007266CF"/>
    <w:rsid w:val="0073097E"/>
    <w:rsid w:val="00731B82"/>
    <w:rsid w:val="00741A64"/>
    <w:rsid w:val="00741FD7"/>
    <w:rsid w:val="00745EC7"/>
    <w:rsid w:val="00750D60"/>
    <w:rsid w:val="007532D0"/>
    <w:rsid w:val="00755900"/>
    <w:rsid w:val="0076644D"/>
    <w:rsid w:val="007671A7"/>
    <w:rsid w:val="00770314"/>
    <w:rsid w:val="007757BE"/>
    <w:rsid w:val="00776EE3"/>
    <w:rsid w:val="0078159A"/>
    <w:rsid w:val="00781D73"/>
    <w:rsid w:val="00790A0A"/>
    <w:rsid w:val="00792939"/>
    <w:rsid w:val="007950E8"/>
    <w:rsid w:val="00795F6E"/>
    <w:rsid w:val="00796F2B"/>
    <w:rsid w:val="00797177"/>
    <w:rsid w:val="007974A5"/>
    <w:rsid w:val="007A0427"/>
    <w:rsid w:val="007A1C64"/>
    <w:rsid w:val="007A688B"/>
    <w:rsid w:val="007C0C43"/>
    <w:rsid w:val="007C37E4"/>
    <w:rsid w:val="007C46A0"/>
    <w:rsid w:val="007C5EF0"/>
    <w:rsid w:val="007C6D52"/>
    <w:rsid w:val="007C7569"/>
    <w:rsid w:val="007E27AA"/>
    <w:rsid w:val="007F32B9"/>
    <w:rsid w:val="007F4B2E"/>
    <w:rsid w:val="008017F1"/>
    <w:rsid w:val="0080280A"/>
    <w:rsid w:val="00810EF2"/>
    <w:rsid w:val="00813BAB"/>
    <w:rsid w:val="00821EA2"/>
    <w:rsid w:val="00826727"/>
    <w:rsid w:val="00830117"/>
    <w:rsid w:val="008360C6"/>
    <w:rsid w:val="008362A0"/>
    <w:rsid w:val="00837F4D"/>
    <w:rsid w:val="00865FA0"/>
    <w:rsid w:val="00874B33"/>
    <w:rsid w:val="00875637"/>
    <w:rsid w:val="00884511"/>
    <w:rsid w:val="008845BF"/>
    <w:rsid w:val="00885847"/>
    <w:rsid w:val="00890174"/>
    <w:rsid w:val="00893597"/>
    <w:rsid w:val="008A0D29"/>
    <w:rsid w:val="008A1F64"/>
    <w:rsid w:val="008A64EE"/>
    <w:rsid w:val="008B0463"/>
    <w:rsid w:val="008B3D21"/>
    <w:rsid w:val="008C2571"/>
    <w:rsid w:val="008C3969"/>
    <w:rsid w:val="008C582D"/>
    <w:rsid w:val="008C740B"/>
    <w:rsid w:val="008D295D"/>
    <w:rsid w:val="008E08B5"/>
    <w:rsid w:val="008E3E9D"/>
    <w:rsid w:val="008E60A5"/>
    <w:rsid w:val="008F3E6E"/>
    <w:rsid w:val="008F416D"/>
    <w:rsid w:val="008F4B19"/>
    <w:rsid w:val="00901A2B"/>
    <w:rsid w:val="00905E47"/>
    <w:rsid w:val="00907B31"/>
    <w:rsid w:val="00907FCF"/>
    <w:rsid w:val="00910852"/>
    <w:rsid w:val="00912A64"/>
    <w:rsid w:val="0091427F"/>
    <w:rsid w:val="00914C1C"/>
    <w:rsid w:val="00933770"/>
    <w:rsid w:val="00936126"/>
    <w:rsid w:val="00936488"/>
    <w:rsid w:val="009371CD"/>
    <w:rsid w:val="009431F8"/>
    <w:rsid w:val="00943D6D"/>
    <w:rsid w:val="0094779B"/>
    <w:rsid w:val="00950E13"/>
    <w:rsid w:val="00952140"/>
    <w:rsid w:val="00952604"/>
    <w:rsid w:val="00953127"/>
    <w:rsid w:val="00956265"/>
    <w:rsid w:val="009610B0"/>
    <w:rsid w:val="00962970"/>
    <w:rsid w:val="0096469B"/>
    <w:rsid w:val="00964A2C"/>
    <w:rsid w:val="00964CB5"/>
    <w:rsid w:val="00967CA9"/>
    <w:rsid w:val="009835DC"/>
    <w:rsid w:val="0098572E"/>
    <w:rsid w:val="00992EA1"/>
    <w:rsid w:val="009930E6"/>
    <w:rsid w:val="009947BC"/>
    <w:rsid w:val="00994D6D"/>
    <w:rsid w:val="00995DB6"/>
    <w:rsid w:val="00996DDF"/>
    <w:rsid w:val="009A4D3B"/>
    <w:rsid w:val="009A5E55"/>
    <w:rsid w:val="009A7EE2"/>
    <w:rsid w:val="009B77BA"/>
    <w:rsid w:val="009B7883"/>
    <w:rsid w:val="009C0749"/>
    <w:rsid w:val="009C0EA6"/>
    <w:rsid w:val="009C1AE7"/>
    <w:rsid w:val="009C1EDB"/>
    <w:rsid w:val="009E1B7E"/>
    <w:rsid w:val="009E3964"/>
    <w:rsid w:val="009E3C94"/>
    <w:rsid w:val="009F2844"/>
    <w:rsid w:val="009F50B1"/>
    <w:rsid w:val="00A02F93"/>
    <w:rsid w:val="00A066F0"/>
    <w:rsid w:val="00A12597"/>
    <w:rsid w:val="00A21167"/>
    <w:rsid w:val="00A21EDC"/>
    <w:rsid w:val="00A25E91"/>
    <w:rsid w:val="00A3020A"/>
    <w:rsid w:val="00A30BC2"/>
    <w:rsid w:val="00A31859"/>
    <w:rsid w:val="00A33E18"/>
    <w:rsid w:val="00A34C5B"/>
    <w:rsid w:val="00A3761F"/>
    <w:rsid w:val="00A37C81"/>
    <w:rsid w:val="00A44332"/>
    <w:rsid w:val="00A5795E"/>
    <w:rsid w:val="00A62810"/>
    <w:rsid w:val="00A6441D"/>
    <w:rsid w:val="00A73145"/>
    <w:rsid w:val="00A7584C"/>
    <w:rsid w:val="00A762DB"/>
    <w:rsid w:val="00A80AB6"/>
    <w:rsid w:val="00A81450"/>
    <w:rsid w:val="00A958ED"/>
    <w:rsid w:val="00AA1DF8"/>
    <w:rsid w:val="00AA4F99"/>
    <w:rsid w:val="00AB3098"/>
    <w:rsid w:val="00AB6ABA"/>
    <w:rsid w:val="00AC15FE"/>
    <w:rsid w:val="00AC23B6"/>
    <w:rsid w:val="00AC40E6"/>
    <w:rsid w:val="00AC7A35"/>
    <w:rsid w:val="00AD3986"/>
    <w:rsid w:val="00AD5139"/>
    <w:rsid w:val="00AD72BC"/>
    <w:rsid w:val="00AF3F96"/>
    <w:rsid w:val="00AF4E0B"/>
    <w:rsid w:val="00B040B0"/>
    <w:rsid w:val="00B05DCC"/>
    <w:rsid w:val="00B13DE9"/>
    <w:rsid w:val="00B15FC1"/>
    <w:rsid w:val="00B2042D"/>
    <w:rsid w:val="00B3113C"/>
    <w:rsid w:val="00B3291A"/>
    <w:rsid w:val="00B332BD"/>
    <w:rsid w:val="00B3614E"/>
    <w:rsid w:val="00B46D6A"/>
    <w:rsid w:val="00B46EB2"/>
    <w:rsid w:val="00B510AC"/>
    <w:rsid w:val="00B55130"/>
    <w:rsid w:val="00B632D9"/>
    <w:rsid w:val="00B76A2C"/>
    <w:rsid w:val="00B76D36"/>
    <w:rsid w:val="00B77B2A"/>
    <w:rsid w:val="00B80C49"/>
    <w:rsid w:val="00B86648"/>
    <w:rsid w:val="00B902BC"/>
    <w:rsid w:val="00B91E21"/>
    <w:rsid w:val="00B93643"/>
    <w:rsid w:val="00B968A6"/>
    <w:rsid w:val="00B97F84"/>
    <w:rsid w:val="00BA0C5D"/>
    <w:rsid w:val="00BA30F9"/>
    <w:rsid w:val="00BA3762"/>
    <w:rsid w:val="00BA475C"/>
    <w:rsid w:val="00BB03A1"/>
    <w:rsid w:val="00BB2D0E"/>
    <w:rsid w:val="00BC5425"/>
    <w:rsid w:val="00BD59BD"/>
    <w:rsid w:val="00BE0A4E"/>
    <w:rsid w:val="00BE2A6A"/>
    <w:rsid w:val="00BE3268"/>
    <w:rsid w:val="00BE590E"/>
    <w:rsid w:val="00BE61AC"/>
    <w:rsid w:val="00BE63D5"/>
    <w:rsid w:val="00BF37CD"/>
    <w:rsid w:val="00C00CC5"/>
    <w:rsid w:val="00C017A4"/>
    <w:rsid w:val="00C05A8D"/>
    <w:rsid w:val="00C156C4"/>
    <w:rsid w:val="00C160EC"/>
    <w:rsid w:val="00C27334"/>
    <w:rsid w:val="00C336EF"/>
    <w:rsid w:val="00C3403B"/>
    <w:rsid w:val="00C45293"/>
    <w:rsid w:val="00C50B5E"/>
    <w:rsid w:val="00C50B8B"/>
    <w:rsid w:val="00C5110E"/>
    <w:rsid w:val="00C51F7E"/>
    <w:rsid w:val="00C56C56"/>
    <w:rsid w:val="00C64289"/>
    <w:rsid w:val="00C655DB"/>
    <w:rsid w:val="00C657BB"/>
    <w:rsid w:val="00C7549D"/>
    <w:rsid w:val="00C832E4"/>
    <w:rsid w:val="00C86582"/>
    <w:rsid w:val="00C90E13"/>
    <w:rsid w:val="00C92A26"/>
    <w:rsid w:val="00CA3CC2"/>
    <w:rsid w:val="00CB7A89"/>
    <w:rsid w:val="00CC4840"/>
    <w:rsid w:val="00CC5EB0"/>
    <w:rsid w:val="00CD00C6"/>
    <w:rsid w:val="00CD3921"/>
    <w:rsid w:val="00CD73DB"/>
    <w:rsid w:val="00CD7C20"/>
    <w:rsid w:val="00CE560B"/>
    <w:rsid w:val="00CE5E5B"/>
    <w:rsid w:val="00CE6187"/>
    <w:rsid w:val="00CF0063"/>
    <w:rsid w:val="00CF5015"/>
    <w:rsid w:val="00CF64F0"/>
    <w:rsid w:val="00D03F97"/>
    <w:rsid w:val="00D13889"/>
    <w:rsid w:val="00D20065"/>
    <w:rsid w:val="00D21FC1"/>
    <w:rsid w:val="00D23A77"/>
    <w:rsid w:val="00D25FE7"/>
    <w:rsid w:val="00D27579"/>
    <w:rsid w:val="00D3463C"/>
    <w:rsid w:val="00D410E0"/>
    <w:rsid w:val="00D44651"/>
    <w:rsid w:val="00D47C18"/>
    <w:rsid w:val="00D546E8"/>
    <w:rsid w:val="00D56DA2"/>
    <w:rsid w:val="00D65936"/>
    <w:rsid w:val="00D702B8"/>
    <w:rsid w:val="00D74924"/>
    <w:rsid w:val="00D772DB"/>
    <w:rsid w:val="00D801AF"/>
    <w:rsid w:val="00D817F7"/>
    <w:rsid w:val="00D94330"/>
    <w:rsid w:val="00D946B6"/>
    <w:rsid w:val="00D97C5E"/>
    <w:rsid w:val="00DA79B8"/>
    <w:rsid w:val="00DB12E9"/>
    <w:rsid w:val="00DB12EA"/>
    <w:rsid w:val="00DC2907"/>
    <w:rsid w:val="00DC3750"/>
    <w:rsid w:val="00DD308B"/>
    <w:rsid w:val="00DD3C3C"/>
    <w:rsid w:val="00DD60D9"/>
    <w:rsid w:val="00DE1B17"/>
    <w:rsid w:val="00DE1EFD"/>
    <w:rsid w:val="00DE7D14"/>
    <w:rsid w:val="00E04520"/>
    <w:rsid w:val="00E079F4"/>
    <w:rsid w:val="00E07E27"/>
    <w:rsid w:val="00E11A9D"/>
    <w:rsid w:val="00E11D5A"/>
    <w:rsid w:val="00E17FE8"/>
    <w:rsid w:val="00E261C1"/>
    <w:rsid w:val="00E3084C"/>
    <w:rsid w:val="00E4114C"/>
    <w:rsid w:val="00E41EE8"/>
    <w:rsid w:val="00E44EF9"/>
    <w:rsid w:val="00E5296C"/>
    <w:rsid w:val="00E53BB5"/>
    <w:rsid w:val="00E6728F"/>
    <w:rsid w:val="00E707AC"/>
    <w:rsid w:val="00E74721"/>
    <w:rsid w:val="00E82265"/>
    <w:rsid w:val="00E869A1"/>
    <w:rsid w:val="00E94211"/>
    <w:rsid w:val="00E94E04"/>
    <w:rsid w:val="00EA02B8"/>
    <w:rsid w:val="00EA68AD"/>
    <w:rsid w:val="00EB3A6F"/>
    <w:rsid w:val="00EC6958"/>
    <w:rsid w:val="00ED2C21"/>
    <w:rsid w:val="00ED5D35"/>
    <w:rsid w:val="00EE0726"/>
    <w:rsid w:val="00EE6094"/>
    <w:rsid w:val="00EF3C36"/>
    <w:rsid w:val="00EF4E2E"/>
    <w:rsid w:val="00EF5369"/>
    <w:rsid w:val="00F00F60"/>
    <w:rsid w:val="00F01300"/>
    <w:rsid w:val="00F01626"/>
    <w:rsid w:val="00F130A7"/>
    <w:rsid w:val="00F130B9"/>
    <w:rsid w:val="00F138F8"/>
    <w:rsid w:val="00F14316"/>
    <w:rsid w:val="00F31792"/>
    <w:rsid w:val="00F40E14"/>
    <w:rsid w:val="00F475C9"/>
    <w:rsid w:val="00F4787D"/>
    <w:rsid w:val="00F52A89"/>
    <w:rsid w:val="00F53B8E"/>
    <w:rsid w:val="00F6169D"/>
    <w:rsid w:val="00F70E8D"/>
    <w:rsid w:val="00F7186F"/>
    <w:rsid w:val="00F7349B"/>
    <w:rsid w:val="00F75019"/>
    <w:rsid w:val="00F7556C"/>
    <w:rsid w:val="00F82880"/>
    <w:rsid w:val="00F8427A"/>
    <w:rsid w:val="00F863A1"/>
    <w:rsid w:val="00F863BF"/>
    <w:rsid w:val="00F874CB"/>
    <w:rsid w:val="00F91566"/>
    <w:rsid w:val="00F916CC"/>
    <w:rsid w:val="00F94B30"/>
    <w:rsid w:val="00FA3571"/>
    <w:rsid w:val="00FB4291"/>
    <w:rsid w:val="00FC295D"/>
    <w:rsid w:val="00FD110D"/>
    <w:rsid w:val="00FD2639"/>
    <w:rsid w:val="00FD5C37"/>
    <w:rsid w:val="00FE02D3"/>
    <w:rsid w:val="00FE124C"/>
    <w:rsid w:val="00FE2AD8"/>
    <w:rsid w:val="00FE3A48"/>
    <w:rsid w:val="00FF2D99"/>
    <w:rsid w:val="00FF4D87"/>
    <w:rsid w:val="00FF6A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0AA7624-8A66-4471-A840-9796C79A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16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053A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53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167"/>
    <w:rPr>
      <w:rFonts w:ascii="Calibri" w:eastAsia="Calibri" w:hAnsi="Calibri" w:cs="Times New Roman"/>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A21167"/>
    <w:pPr>
      <w:spacing w:after="0" w:line="240" w:lineRule="auto"/>
      <w:ind w:left="708"/>
    </w:pPr>
    <w:rPr>
      <w:rFonts w:ascii="Arial" w:eastAsia="Times New Roman" w:hAnsi="Arial"/>
      <w:sz w:val="24"/>
      <w:szCs w:val="20"/>
      <w:lang w:val="es-ES" w:eastAsia="es-ES"/>
    </w:rPr>
  </w:style>
  <w:style w:type="character" w:customStyle="1" w:styleId="apple-converted-space">
    <w:name w:val="apple-converted-space"/>
    <w:basedOn w:val="Fuentedeprrafopredeter"/>
    <w:rsid w:val="00A21167"/>
  </w:style>
  <w:style w:type="character" w:styleId="Refdecomentario">
    <w:name w:val="annotation reference"/>
    <w:basedOn w:val="Fuentedeprrafopredeter"/>
    <w:uiPriority w:val="99"/>
    <w:semiHidden/>
    <w:unhideWhenUsed/>
    <w:rsid w:val="00A21167"/>
    <w:rPr>
      <w:sz w:val="16"/>
      <w:szCs w:val="16"/>
    </w:rPr>
  </w:style>
  <w:style w:type="paragraph" w:styleId="Textocomentario">
    <w:name w:val="annotation text"/>
    <w:basedOn w:val="Normal"/>
    <w:link w:val="TextocomentarioCar"/>
    <w:uiPriority w:val="99"/>
    <w:semiHidden/>
    <w:unhideWhenUsed/>
    <w:rsid w:val="00A211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1167"/>
    <w:rPr>
      <w:rFonts w:ascii="Calibri" w:eastAsia="Calibri" w:hAnsi="Calibri" w:cs="Times New Roman"/>
      <w:sz w:val="20"/>
      <w:szCs w:val="20"/>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rsid w:val="00A21167"/>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A211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167"/>
    <w:rPr>
      <w:rFonts w:ascii="Segoe UI" w:eastAsia="Calibri" w:hAnsi="Segoe UI" w:cs="Segoe UI"/>
      <w:sz w:val="18"/>
      <w:szCs w:val="18"/>
    </w:rPr>
  </w:style>
  <w:style w:type="table" w:styleId="Tablaconcuadrcula">
    <w:name w:val="Table Grid"/>
    <w:basedOn w:val="Tablanormal"/>
    <w:uiPriority w:val="39"/>
    <w:rsid w:val="004B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2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5E91"/>
    <w:rPr>
      <w:rFonts w:ascii="Calibri" w:eastAsia="Calibri" w:hAnsi="Calibri" w:cs="Times New Roman"/>
    </w:rPr>
  </w:style>
  <w:style w:type="character" w:customStyle="1" w:styleId="Ttulo1Car">
    <w:name w:val="Título 1 Car"/>
    <w:basedOn w:val="Fuentedeprrafopredeter"/>
    <w:link w:val="Ttulo1"/>
    <w:uiPriority w:val="9"/>
    <w:rsid w:val="00053AB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53AB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612398">
      <w:bodyDiv w:val="1"/>
      <w:marLeft w:val="0"/>
      <w:marRight w:val="0"/>
      <w:marTop w:val="0"/>
      <w:marBottom w:val="0"/>
      <w:divBdr>
        <w:top w:val="none" w:sz="0" w:space="0" w:color="auto"/>
        <w:left w:val="none" w:sz="0" w:space="0" w:color="auto"/>
        <w:bottom w:val="none" w:sz="0" w:space="0" w:color="auto"/>
        <w:right w:val="none" w:sz="0" w:space="0" w:color="auto"/>
      </w:divBdr>
    </w:div>
    <w:div w:id="969166432">
      <w:bodyDiv w:val="1"/>
      <w:marLeft w:val="0"/>
      <w:marRight w:val="0"/>
      <w:marTop w:val="0"/>
      <w:marBottom w:val="0"/>
      <w:divBdr>
        <w:top w:val="none" w:sz="0" w:space="0" w:color="auto"/>
        <w:left w:val="none" w:sz="0" w:space="0" w:color="auto"/>
        <w:bottom w:val="none" w:sz="0" w:space="0" w:color="auto"/>
        <w:right w:val="none" w:sz="0" w:space="0" w:color="auto"/>
      </w:divBdr>
    </w:div>
    <w:div w:id="1054623596">
      <w:bodyDiv w:val="1"/>
      <w:marLeft w:val="0"/>
      <w:marRight w:val="0"/>
      <w:marTop w:val="0"/>
      <w:marBottom w:val="0"/>
      <w:divBdr>
        <w:top w:val="none" w:sz="0" w:space="0" w:color="auto"/>
        <w:left w:val="none" w:sz="0" w:space="0" w:color="auto"/>
        <w:bottom w:val="none" w:sz="0" w:space="0" w:color="auto"/>
        <w:right w:val="none" w:sz="0" w:space="0" w:color="auto"/>
      </w:divBdr>
    </w:div>
    <w:div w:id="1264604465">
      <w:bodyDiv w:val="1"/>
      <w:marLeft w:val="0"/>
      <w:marRight w:val="0"/>
      <w:marTop w:val="0"/>
      <w:marBottom w:val="0"/>
      <w:divBdr>
        <w:top w:val="none" w:sz="0" w:space="0" w:color="auto"/>
        <w:left w:val="none" w:sz="0" w:space="0" w:color="auto"/>
        <w:bottom w:val="none" w:sz="0" w:space="0" w:color="auto"/>
        <w:right w:val="none" w:sz="0" w:space="0" w:color="auto"/>
      </w:divBdr>
    </w:div>
    <w:div w:id="1479298476">
      <w:bodyDiv w:val="1"/>
      <w:marLeft w:val="0"/>
      <w:marRight w:val="0"/>
      <w:marTop w:val="0"/>
      <w:marBottom w:val="0"/>
      <w:divBdr>
        <w:top w:val="none" w:sz="0" w:space="0" w:color="auto"/>
        <w:left w:val="none" w:sz="0" w:space="0" w:color="auto"/>
        <w:bottom w:val="none" w:sz="0" w:space="0" w:color="auto"/>
        <w:right w:val="none" w:sz="0" w:space="0" w:color="auto"/>
      </w:divBdr>
    </w:div>
    <w:div w:id="1789810044">
      <w:bodyDiv w:val="1"/>
      <w:marLeft w:val="0"/>
      <w:marRight w:val="0"/>
      <w:marTop w:val="0"/>
      <w:marBottom w:val="0"/>
      <w:divBdr>
        <w:top w:val="none" w:sz="0" w:space="0" w:color="auto"/>
        <w:left w:val="none" w:sz="0" w:space="0" w:color="auto"/>
        <w:bottom w:val="none" w:sz="0" w:space="0" w:color="auto"/>
        <w:right w:val="none" w:sz="0" w:space="0" w:color="auto"/>
      </w:divBdr>
    </w:div>
    <w:div w:id="20107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6655-100C-4627-974E-3CE1B41B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4568</Words>
  <Characters>25127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9</cp:revision>
  <cp:lastPrinted>2017-07-03T18:23:00Z</cp:lastPrinted>
  <dcterms:created xsi:type="dcterms:W3CDTF">2017-06-23T15:14:00Z</dcterms:created>
  <dcterms:modified xsi:type="dcterms:W3CDTF">2017-07-10T18:48:00Z</dcterms:modified>
</cp:coreProperties>
</file>