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E35C" w14:textId="77777777" w:rsidR="0076480D" w:rsidRPr="0076480D" w:rsidRDefault="001211C1" w:rsidP="0076480D">
      <w:pPr>
        <w:pStyle w:val="Ttulo1"/>
        <w:spacing w:after="240" w:line="240" w:lineRule="auto"/>
        <w:jc w:val="both"/>
        <w:rPr>
          <w:rFonts w:ascii="ITC Avant Garde" w:hAnsi="ITC Avant Garde"/>
          <w:b/>
          <w:color w:val="000000" w:themeColor="text1"/>
          <w:sz w:val="22"/>
          <w:szCs w:val="22"/>
          <w:lang w:eastAsia="es-MX"/>
        </w:rPr>
      </w:pPr>
      <w:r w:rsidRPr="0076480D">
        <w:rPr>
          <w:rFonts w:ascii="ITC Avant Garde" w:hAnsi="ITC Avant Garde"/>
          <w:b/>
          <w:color w:val="000000" w:themeColor="text1"/>
          <w:sz w:val="22"/>
          <w:szCs w:val="22"/>
          <w:lang w:eastAsia="es-MX"/>
        </w:rPr>
        <w:t>ACUERDO MEDIANTE EL CUAL</w:t>
      </w:r>
      <w:r w:rsidR="00AD55DE" w:rsidRPr="0076480D">
        <w:rPr>
          <w:rFonts w:ascii="ITC Avant Garde" w:hAnsi="ITC Avant Garde"/>
          <w:b/>
          <w:color w:val="000000" w:themeColor="text1"/>
          <w:sz w:val="22"/>
          <w:szCs w:val="22"/>
          <w:lang w:eastAsia="es-MX"/>
        </w:rPr>
        <w:t xml:space="preserve"> EL PLENO DEL INSTITUTO FEDERAL DE TELECOMUNICACIONES </w:t>
      </w:r>
      <w:r w:rsidR="006659C0" w:rsidRPr="0076480D">
        <w:rPr>
          <w:rFonts w:ascii="ITC Avant Garde" w:hAnsi="ITC Avant Garde"/>
          <w:b/>
          <w:color w:val="000000" w:themeColor="text1"/>
          <w:sz w:val="22"/>
          <w:szCs w:val="22"/>
          <w:lang w:eastAsia="es-MX"/>
        </w:rPr>
        <w:t xml:space="preserve">DETERMINA </w:t>
      </w:r>
      <w:r w:rsidR="002C3AAE" w:rsidRPr="0076480D">
        <w:rPr>
          <w:rFonts w:ascii="ITC Avant Garde" w:hAnsi="ITC Avant Garde"/>
          <w:b/>
          <w:color w:val="000000" w:themeColor="text1"/>
          <w:sz w:val="22"/>
          <w:szCs w:val="22"/>
          <w:lang w:eastAsia="es-MX"/>
        </w:rPr>
        <w:t xml:space="preserve">SOMETER A CONSULTA PÚBLICA EL </w:t>
      </w:r>
      <w:r w:rsidR="006659C0" w:rsidRPr="0076480D">
        <w:rPr>
          <w:rFonts w:ascii="ITC Avant Garde" w:hAnsi="ITC Avant Garde"/>
          <w:b/>
          <w:color w:val="000000" w:themeColor="text1"/>
          <w:sz w:val="22"/>
          <w:szCs w:val="22"/>
          <w:lang w:eastAsia="es-MX"/>
        </w:rPr>
        <w:t>“</w:t>
      </w:r>
      <w:r w:rsidR="002C3AAE" w:rsidRPr="0076480D">
        <w:rPr>
          <w:rFonts w:ascii="ITC Avant Garde" w:hAnsi="ITC Avant Garde"/>
          <w:b/>
          <w:color w:val="000000" w:themeColor="text1"/>
          <w:sz w:val="22"/>
          <w:szCs w:val="22"/>
          <w:lang w:eastAsia="es-MX"/>
        </w:rPr>
        <w:t>ANTEPROYECTO</w:t>
      </w:r>
      <w:r w:rsidR="00014BB7" w:rsidRPr="0076480D">
        <w:rPr>
          <w:rFonts w:ascii="ITC Avant Garde" w:hAnsi="ITC Avant Garde"/>
          <w:b/>
          <w:color w:val="000000" w:themeColor="text1"/>
          <w:sz w:val="22"/>
          <w:szCs w:val="22"/>
          <w:lang w:eastAsia="es-MX"/>
        </w:rPr>
        <w:t xml:space="preserve"> </w:t>
      </w:r>
      <w:r w:rsidR="00AE1C02" w:rsidRPr="0076480D">
        <w:rPr>
          <w:rFonts w:ascii="ITC Avant Garde" w:hAnsi="ITC Avant Garde"/>
          <w:b/>
          <w:color w:val="000000" w:themeColor="text1"/>
          <w:sz w:val="22"/>
          <w:szCs w:val="22"/>
          <w:lang w:eastAsia="es-MX"/>
        </w:rPr>
        <w:t>DE</w:t>
      </w:r>
      <w:r w:rsidR="00D07DED" w:rsidRPr="0076480D">
        <w:rPr>
          <w:rFonts w:ascii="ITC Avant Garde" w:hAnsi="ITC Avant Garde"/>
          <w:b/>
          <w:color w:val="000000" w:themeColor="text1"/>
          <w:sz w:val="22"/>
          <w:szCs w:val="22"/>
          <w:lang w:eastAsia="es-MX"/>
        </w:rPr>
        <w:t xml:space="preserve">L ACUERDO POR EL QUE SE </w:t>
      </w:r>
      <w:r w:rsidR="00A612F5" w:rsidRPr="0076480D">
        <w:rPr>
          <w:rFonts w:ascii="ITC Avant Garde" w:hAnsi="ITC Avant Garde"/>
          <w:b/>
          <w:color w:val="000000" w:themeColor="text1"/>
          <w:sz w:val="22"/>
          <w:szCs w:val="22"/>
          <w:lang w:eastAsia="es-MX"/>
        </w:rPr>
        <w:t>MODIFICA</w:t>
      </w:r>
      <w:r w:rsidR="00D07DED" w:rsidRPr="0076480D">
        <w:rPr>
          <w:rFonts w:ascii="ITC Avant Garde" w:hAnsi="ITC Avant Garde"/>
          <w:b/>
          <w:color w:val="000000" w:themeColor="text1"/>
          <w:sz w:val="22"/>
          <w:szCs w:val="22"/>
          <w:lang w:eastAsia="es-MX"/>
        </w:rPr>
        <w:t>N</w:t>
      </w:r>
      <w:r w:rsidR="00A612F5" w:rsidRPr="0076480D">
        <w:rPr>
          <w:rFonts w:ascii="ITC Avant Garde" w:hAnsi="ITC Avant Garde"/>
          <w:b/>
          <w:color w:val="000000" w:themeColor="text1"/>
          <w:sz w:val="22"/>
          <w:szCs w:val="22"/>
          <w:lang w:eastAsia="es-MX"/>
        </w:rPr>
        <w:t xml:space="preserve"> LOS LINEAMIENTOS DE COLABORACIÓN EN MATERIA DE SEGURIDAD Y JUSTICIA</w:t>
      </w:r>
      <w:r w:rsidR="009E4A92" w:rsidRPr="0076480D">
        <w:rPr>
          <w:rFonts w:ascii="ITC Avant Garde" w:hAnsi="ITC Avant Garde"/>
          <w:b/>
          <w:color w:val="000000" w:themeColor="text1"/>
          <w:sz w:val="22"/>
          <w:szCs w:val="22"/>
          <w:lang w:eastAsia="es-MX"/>
        </w:rPr>
        <w:t>”</w:t>
      </w:r>
      <w:r w:rsidR="00AE1C02" w:rsidRPr="0076480D">
        <w:rPr>
          <w:rFonts w:ascii="ITC Avant Garde" w:hAnsi="ITC Avant Garde"/>
          <w:b/>
          <w:color w:val="000000" w:themeColor="text1"/>
          <w:sz w:val="22"/>
          <w:szCs w:val="22"/>
          <w:lang w:eastAsia="es-MX"/>
        </w:rPr>
        <w:t>.</w:t>
      </w:r>
    </w:p>
    <w:p w14:paraId="56BDF901" w14:textId="72121E74" w:rsidR="0076480D" w:rsidRPr="0076480D" w:rsidRDefault="00AD55DE" w:rsidP="0076480D">
      <w:pPr>
        <w:pStyle w:val="Ttulo2"/>
        <w:spacing w:after="240"/>
        <w:jc w:val="center"/>
        <w:rPr>
          <w:rFonts w:ascii="ITC Avant Garde" w:hAnsi="ITC Avant Garde"/>
          <w:b/>
          <w:color w:val="000000" w:themeColor="text1"/>
          <w:sz w:val="22"/>
          <w:szCs w:val="22"/>
        </w:rPr>
      </w:pPr>
      <w:r w:rsidRPr="0076480D">
        <w:rPr>
          <w:rFonts w:ascii="ITC Avant Garde" w:hAnsi="ITC Avant Garde"/>
          <w:b/>
          <w:color w:val="000000" w:themeColor="text1"/>
          <w:sz w:val="22"/>
          <w:szCs w:val="22"/>
        </w:rPr>
        <w:t>ANTECEDENTES</w:t>
      </w:r>
    </w:p>
    <w:p w14:paraId="0EA2D2D0" w14:textId="642E13E4" w:rsidR="0076480D" w:rsidRPr="0076480D" w:rsidRDefault="00961B57" w:rsidP="0076480D">
      <w:pPr>
        <w:spacing w:before="240" w:after="240"/>
        <w:jc w:val="both"/>
        <w:rPr>
          <w:rFonts w:ascii="ITC Avant Garde" w:hAnsi="ITC Avant Garde"/>
          <w:sz w:val="22"/>
          <w:szCs w:val="22"/>
          <w:lang w:val="es-ES"/>
        </w:rPr>
      </w:pPr>
      <w:r w:rsidRPr="0076480D">
        <w:rPr>
          <w:rFonts w:ascii="ITC Avant Garde" w:hAnsi="ITC Avant Garde"/>
          <w:b/>
          <w:bCs/>
          <w:sz w:val="22"/>
          <w:szCs w:val="22"/>
          <w:lang w:val="es-ES"/>
        </w:rPr>
        <w:t>PRIMERO.</w:t>
      </w:r>
      <w:r w:rsidRPr="0076480D">
        <w:rPr>
          <w:rFonts w:ascii="ITC Avant Garde" w:hAnsi="ITC Avant Garde"/>
          <w:sz w:val="22"/>
          <w:szCs w:val="22"/>
          <w:lang w:val="es-ES"/>
        </w:rPr>
        <w:t xml:space="preserve"> El 4 de mayo de 2015 se publicó en el Diario Oficial de la Federación la Ley General de Transparencia y Acceso a la Información Pública.</w:t>
      </w:r>
    </w:p>
    <w:p w14:paraId="5FD940B5" w14:textId="77777777" w:rsidR="0076480D" w:rsidRPr="0076480D" w:rsidRDefault="00961B57" w:rsidP="0076480D">
      <w:pPr>
        <w:spacing w:before="240" w:after="240"/>
        <w:jc w:val="both"/>
        <w:rPr>
          <w:rFonts w:ascii="ITC Avant Garde" w:hAnsi="ITC Avant Garde"/>
          <w:sz w:val="22"/>
          <w:szCs w:val="22"/>
          <w:lang w:val="es-ES"/>
        </w:rPr>
      </w:pPr>
      <w:r w:rsidRPr="0076480D">
        <w:rPr>
          <w:rFonts w:ascii="ITC Avant Garde" w:hAnsi="ITC Avant Garde"/>
          <w:b/>
          <w:bCs/>
          <w:sz w:val="22"/>
          <w:szCs w:val="22"/>
          <w:lang w:val="es-ES_tradnl"/>
        </w:rPr>
        <w:t xml:space="preserve">SEGUNDO. </w:t>
      </w:r>
      <w:r w:rsidRPr="0076480D">
        <w:rPr>
          <w:rFonts w:ascii="ITC Avant Garde" w:hAnsi="ITC Avant Garde"/>
          <w:sz w:val="22"/>
          <w:szCs w:val="22"/>
          <w:lang w:val="es-ES"/>
        </w:rPr>
        <w:t>El 2 de diciembre de 2015 se publicó en el Diario Oficial de la Federación el “ACUERDO mediante el cual el Pleno del Instituto Federal de Telecomunicaciones expide los Lineamientos de Colaboración en Materia de Seguridad y Justicia y modifica el plan técnico fundamental de numeración, publicado el 21 de junio de 1996” mismo que conforme a lo dispuesto en su artículo transitorio primero, entró en vigor a los 30 días naturales siguientes a su publicación.</w:t>
      </w:r>
    </w:p>
    <w:p w14:paraId="4DBA2AA8" w14:textId="77777777" w:rsidR="0076480D" w:rsidRPr="0076480D" w:rsidRDefault="00961B57" w:rsidP="0076480D">
      <w:pPr>
        <w:spacing w:before="240" w:after="240"/>
        <w:jc w:val="both"/>
        <w:rPr>
          <w:rFonts w:ascii="ITC Avant Garde" w:hAnsi="ITC Avant Garde"/>
          <w:sz w:val="22"/>
          <w:szCs w:val="22"/>
          <w:lang w:val="es-ES"/>
        </w:rPr>
      </w:pPr>
      <w:r w:rsidRPr="0076480D">
        <w:rPr>
          <w:rFonts w:ascii="ITC Avant Garde" w:hAnsi="ITC Avant Garde"/>
          <w:b/>
          <w:bCs/>
          <w:sz w:val="22"/>
          <w:szCs w:val="22"/>
          <w:lang w:val="es-ES"/>
        </w:rPr>
        <w:t xml:space="preserve">TERCERO. </w:t>
      </w:r>
      <w:r w:rsidRPr="0076480D">
        <w:rPr>
          <w:rFonts w:ascii="ITC Avant Garde" w:hAnsi="ITC Avant Garde"/>
          <w:sz w:val="22"/>
          <w:szCs w:val="22"/>
          <w:lang w:val="es-ES"/>
        </w:rPr>
        <w:t>El 9 de mayo de 2016 se publicó en el Diario Oficial de la Federación la Ley Federal de Transparencia y Acceso a la Información Pública.</w:t>
      </w:r>
    </w:p>
    <w:p w14:paraId="007A75AE" w14:textId="77777777" w:rsidR="0076480D" w:rsidRPr="0076480D" w:rsidRDefault="00BF076C" w:rsidP="0076480D">
      <w:pPr>
        <w:spacing w:before="240" w:after="240"/>
        <w:jc w:val="both"/>
        <w:rPr>
          <w:rFonts w:ascii="ITC Avant Garde" w:hAnsi="ITC Avant Garde"/>
          <w:sz w:val="22"/>
          <w:szCs w:val="22"/>
          <w:lang w:val="es-ES"/>
        </w:rPr>
      </w:pPr>
      <w:r w:rsidRPr="0076480D">
        <w:rPr>
          <w:rFonts w:ascii="ITC Avant Garde" w:hAnsi="ITC Avant Garde"/>
          <w:b/>
          <w:bCs/>
          <w:sz w:val="22"/>
          <w:szCs w:val="22"/>
          <w:lang w:val="es-ES"/>
        </w:rPr>
        <w:t>CUARTO</w:t>
      </w:r>
      <w:r w:rsidR="00961B57" w:rsidRPr="0076480D">
        <w:rPr>
          <w:rFonts w:ascii="ITC Avant Garde" w:hAnsi="ITC Avant Garde"/>
          <w:b/>
          <w:bCs/>
          <w:sz w:val="22"/>
          <w:szCs w:val="22"/>
          <w:lang w:val="es-ES"/>
        </w:rPr>
        <w:t xml:space="preserve">. </w:t>
      </w:r>
      <w:r w:rsidR="00961B57" w:rsidRPr="0076480D">
        <w:rPr>
          <w:rFonts w:ascii="ITC Avant Garde" w:hAnsi="ITC Avant Garde"/>
          <w:sz w:val="22"/>
          <w:szCs w:val="22"/>
          <w:lang w:val="es-ES"/>
        </w:rPr>
        <w:t>El 26 de enero de 2017 se publicó en el Diario Oficial de la Federación la Ley General de Protección de Datos Personales en Posesión de Sujetos Obligados.</w:t>
      </w:r>
    </w:p>
    <w:p w14:paraId="49E941FC" w14:textId="65CCCBD4" w:rsidR="0076480D" w:rsidRPr="0076480D" w:rsidRDefault="00924503" w:rsidP="0076480D">
      <w:pPr>
        <w:pStyle w:val="Ttulo2"/>
        <w:spacing w:after="240"/>
        <w:jc w:val="center"/>
        <w:rPr>
          <w:rFonts w:ascii="ITC Avant Garde" w:hAnsi="ITC Avant Garde"/>
          <w:b/>
          <w:color w:val="000000" w:themeColor="text1"/>
          <w:sz w:val="22"/>
          <w:szCs w:val="22"/>
        </w:rPr>
      </w:pPr>
      <w:r w:rsidRPr="0076480D">
        <w:rPr>
          <w:rFonts w:ascii="ITC Avant Garde" w:hAnsi="ITC Avant Garde"/>
          <w:b/>
          <w:color w:val="000000" w:themeColor="text1"/>
          <w:sz w:val="22"/>
          <w:szCs w:val="22"/>
        </w:rPr>
        <w:t>CONSIDERANDO</w:t>
      </w:r>
    </w:p>
    <w:p w14:paraId="29F96C0C" w14:textId="75013208" w:rsidR="0076480D" w:rsidRPr="0076480D" w:rsidRDefault="00BC6A4B" w:rsidP="0076480D">
      <w:pPr>
        <w:spacing w:before="240" w:after="240"/>
        <w:jc w:val="both"/>
        <w:rPr>
          <w:rFonts w:ascii="ITC Avant Garde" w:hAnsi="ITC Avant Garde"/>
          <w:bCs/>
          <w:color w:val="000000"/>
          <w:sz w:val="22"/>
          <w:szCs w:val="22"/>
        </w:rPr>
      </w:pPr>
      <w:r w:rsidRPr="0076480D">
        <w:rPr>
          <w:rFonts w:ascii="ITC Avant Garde" w:hAnsi="ITC Avant Garde"/>
          <w:b/>
          <w:bCs/>
          <w:sz w:val="22"/>
          <w:szCs w:val="22"/>
          <w:lang w:val="es-ES_tradnl" w:eastAsia="es-MX"/>
        </w:rPr>
        <w:t>PRIMERO</w:t>
      </w:r>
      <w:r w:rsidR="00AD55DE" w:rsidRPr="0076480D">
        <w:rPr>
          <w:rFonts w:ascii="ITC Avant Garde" w:hAnsi="ITC Avant Garde"/>
          <w:b/>
          <w:bCs/>
          <w:sz w:val="22"/>
          <w:szCs w:val="22"/>
          <w:lang w:val="es-ES_tradnl" w:eastAsia="es-MX"/>
        </w:rPr>
        <w:t>. Competencia del Instituto</w:t>
      </w:r>
      <w:r w:rsidR="005370A8" w:rsidRPr="0076480D">
        <w:rPr>
          <w:rFonts w:ascii="ITC Avant Garde" w:hAnsi="ITC Avant Garde"/>
          <w:b/>
          <w:bCs/>
          <w:sz w:val="22"/>
          <w:szCs w:val="22"/>
          <w:lang w:val="es-ES_tradnl" w:eastAsia="es-MX"/>
        </w:rPr>
        <w:t xml:space="preserve"> Federal de Telecomunicaciones</w:t>
      </w:r>
      <w:r w:rsidR="00AD55DE" w:rsidRPr="0076480D">
        <w:rPr>
          <w:rFonts w:ascii="ITC Avant Garde" w:hAnsi="ITC Avant Garde"/>
          <w:b/>
          <w:bCs/>
          <w:sz w:val="22"/>
          <w:szCs w:val="22"/>
          <w:lang w:val="es-ES_tradnl" w:eastAsia="es-MX"/>
        </w:rPr>
        <w:t xml:space="preserve">. </w:t>
      </w:r>
      <w:r w:rsidR="005370A8" w:rsidRPr="0076480D">
        <w:rPr>
          <w:rFonts w:ascii="ITC Avant Garde" w:hAnsi="ITC Avant Garde"/>
          <w:bCs/>
          <w:color w:val="000000"/>
          <w:sz w:val="22"/>
          <w:szCs w:val="22"/>
        </w:rPr>
        <w:t xml:space="preserve">De conformidad con lo establecido en el párrafo décimo </w:t>
      </w:r>
      <w:r w:rsidR="006F7BEC" w:rsidRPr="0076480D">
        <w:rPr>
          <w:rFonts w:ascii="ITC Avant Garde" w:hAnsi="ITC Avant Garde"/>
          <w:bCs/>
          <w:color w:val="000000"/>
          <w:sz w:val="22"/>
          <w:szCs w:val="22"/>
        </w:rPr>
        <w:t xml:space="preserve">sexto </w:t>
      </w:r>
      <w:r w:rsidR="005370A8" w:rsidRPr="0076480D">
        <w:rPr>
          <w:rFonts w:ascii="ITC Avant Garde" w:hAnsi="ITC Avant Garde"/>
          <w:bCs/>
          <w:color w:val="000000"/>
          <w:sz w:val="22"/>
          <w:szCs w:val="22"/>
        </w:rPr>
        <w:t xml:space="preserve">del artículo 28 de la Constitución Política de los Estados Unidos </w:t>
      </w:r>
      <w:r w:rsidR="00652B1C" w:rsidRPr="0076480D">
        <w:rPr>
          <w:rFonts w:ascii="ITC Avant Garde" w:hAnsi="ITC Avant Garde"/>
          <w:bCs/>
          <w:color w:val="000000"/>
          <w:sz w:val="22"/>
          <w:szCs w:val="22"/>
        </w:rPr>
        <w:t>M</w:t>
      </w:r>
      <w:r w:rsidR="005370A8" w:rsidRPr="0076480D">
        <w:rPr>
          <w:rFonts w:ascii="ITC Avant Garde" w:hAnsi="ITC Avant Garde"/>
          <w:bCs/>
          <w:color w:val="000000"/>
          <w:sz w:val="22"/>
          <w:szCs w:val="22"/>
        </w:rPr>
        <w:t>exicanos (en lo sucesivo “Constitución”), el Instituto Federal de Telecomunicaciones (en lo sucesivo “IFT”) es un órgano autónomo, con personalidad jurídica y patrimonio propio, que tiene por objeto el desarrollo eficiente de la radiodifusión y las telecomunicaciones, conforme a lo dispuesto en la Constitución y en los términos que fijen las leyes.</w:t>
      </w:r>
    </w:p>
    <w:p w14:paraId="47B9A5ED" w14:textId="77777777" w:rsidR="0076480D" w:rsidRPr="0076480D" w:rsidRDefault="005370A8" w:rsidP="0076480D">
      <w:pPr>
        <w:spacing w:before="240" w:after="240"/>
        <w:jc w:val="both"/>
        <w:rPr>
          <w:rFonts w:ascii="ITC Avant Garde" w:hAnsi="ITC Avant Garde"/>
          <w:bCs/>
          <w:color w:val="000000"/>
          <w:sz w:val="22"/>
          <w:szCs w:val="22"/>
        </w:rPr>
      </w:pPr>
      <w:r w:rsidRPr="0076480D">
        <w:rPr>
          <w:rFonts w:ascii="ITC Avant Garde" w:hAnsi="ITC Avant Garde"/>
          <w:bCs/>
          <w:color w:val="000000"/>
          <w:sz w:val="22"/>
          <w:szCs w:val="22"/>
        </w:rPr>
        <w:t>En términos de lo dispuesto por el artículo 7 de la Ley Federal de Telecomunicaciones y Radiodifusión (en lo sucesivo “LFTR”), el IFT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y es la autoridad en materia de competencia económica en los sectores de radiodifusión y telecomunicaciones, en materia de lineamientos técnicos relativos a la infraestructura y los equipos que se conecten a las redes de telecomunicaciones, así como en materia de homologación y evaluación de la conformidad de dicha infraestructura y equipos.</w:t>
      </w:r>
    </w:p>
    <w:p w14:paraId="2457DC89" w14:textId="77777777" w:rsidR="0076480D" w:rsidRPr="0076480D" w:rsidRDefault="005370A8" w:rsidP="0076480D">
      <w:pPr>
        <w:spacing w:before="240" w:after="240"/>
        <w:jc w:val="both"/>
        <w:rPr>
          <w:rFonts w:ascii="ITC Avant Garde" w:hAnsi="ITC Avant Garde" w:cs="Tahoma"/>
          <w:b/>
          <w:bCs/>
          <w:color w:val="000000"/>
          <w:sz w:val="22"/>
          <w:szCs w:val="22"/>
          <w:lang w:eastAsia="es-MX"/>
        </w:rPr>
      </w:pPr>
      <w:r w:rsidRPr="0076480D">
        <w:rPr>
          <w:rFonts w:ascii="ITC Avant Garde" w:hAnsi="ITC Avant Garde"/>
          <w:bCs/>
          <w:color w:val="000000"/>
          <w:sz w:val="22"/>
          <w:szCs w:val="22"/>
        </w:rPr>
        <w:lastRenderedPageBreak/>
        <w:t xml:space="preserve">De acuerdo con lo establecido en los artículos 15, fracción XL, 16, 17, fracción I, </w:t>
      </w:r>
      <w:r w:rsidR="00BC6A4B" w:rsidRPr="0076480D">
        <w:rPr>
          <w:rFonts w:ascii="ITC Avant Garde" w:hAnsi="ITC Avant Garde"/>
          <w:bCs/>
          <w:color w:val="000000"/>
          <w:sz w:val="22"/>
          <w:szCs w:val="22"/>
        </w:rPr>
        <w:t xml:space="preserve">y </w:t>
      </w:r>
      <w:r w:rsidRPr="0076480D">
        <w:rPr>
          <w:rFonts w:ascii="ITC Avant Garde" w:hAnsi="ITC Avant Garde"/>
          <w:bCs/>
          <w:color w:val="000000"/>
          <w:sz w:val="22"/>
          <w:szCs w:val="22"/>
        </w:rPr>
        <w:t xml:space="preserve">51 de la LFTR, el Pleno del IFT tiene atribuciones para emitir el presente Acuerdo y realizar una consulta pública respecto del </w:t>
      </w:r>
      <w:r w:rsidR="002F03B7" w:rsidRPr="0076480D">
        <w:rPr>
          <w:rFonts w:ascii="ITC Avant Garde" w:hAnsi="ITC Avant Garde"/>
          <w:sz w:val="22"/>
          <w:szCs w:val="22"/>
          <w:lang w:val="es-ES"/>
        </w:rPr>
        <w:t>"Anteproyecto de</w:t>
      </w:r>
      <w:r w:rsidRPr="0076480D">
        <w:rPr>
          <w:rFonts w:ascii="ITC Avant Garde" w:hAnsi="ITC Avant Garde"/>
          <w:sz w:val="22"/>
          <w:szCs w:val="22"/>
          <w:lang w:val="es-ES"/>
        </w:rPr>
        <w:t xml:space="preserve">l Acuerdo por el que se modifican </w:t>
      </w:r>
      <w:r w:rsidR="002F03B7" w:rsidRPr="0076480D">
        <w:rPr>
          <w:rFonts w:ascii="ITC Avant Garde" w:hAnsi="ITC Avant Garde"/>
          <w:sz w:val="22"/>
          <w:szCs w:val="22"/>
          <w:lang w:val="es-ES"/>
        </w:rPr>
        <w:t>los Lineamientos de Colaboración en Materia de Seguridad y Justicia</w:t>
      </w:r>
      <w:r w:rsidR="00C27136" w:rsidRPr="0076480D">
        <w:rPr>
          <w:rFonts w:ascii="ITC Avant Garde" w:hAnsi="ITC Avant Garde" w:cs="Tahoma"/>
          <w:bCs/>
          <w:color w:val="000000"/>
          <w:sz w:val="22"/>
          <w:szCs w:val="22"/>
          <w:lang w:eastAsia="es-MX"/>
        </w:rPr>
        <w:t>”</w:t>
      </w:r>
      <w:r w:rsidR="00D00E71" w:rsidRPr="0076480D">
        <w:rPr>
          <w:rFonts w:ascii="ITC Avant Garde" w:hAnsi="ITC Avant Garde" w:cs="Arial"/>
          <w:sz w:val="22"/>
          <w:szCs w:val="22"/>
        </w:rPr>
        <w:t xml:space="preserve"> </w:t>
      </w:r>
      <w:r w:rsidR="00110A96" w:rsidRPr="0076480D">
        <w:rPr>
          <w:rFonts w:ascii="ITC Avant Garde" w:hAnsi="ITC Avant Garde" w:cs="Arial"/>
          <w:sz w:val="22"/>
          <w:szCs w:val="22"/>
        </w:rPr>
        <w:t>(en lo sucesivo, el “Anteproyecto”)</w:t>
      </w:r>
      <w:r w:rsidR="00086D01" w:rsidRPr="0076480D">
        <w:rPr>
          <w:rFonts w:ascii="ITC Avant Garde" w:hAnsi="ITC Avant Garde" w:cs="Arial"/>
          <w:sz w:val="22"/>
          <w:szCs w:val="22"/>
        </w:rPr>
        <w:t>.</w:t>
      </w:r>
      <w:r w:rsidR="00086D01" w:rsidRPr="0076480D" w:rsidDel="00086D01">
        <w:rPr>
          <w:rFonts w:ascii="ITC Avant Garde" w:hAnsi="ITC Avant Garde" w:cs="Arial"/>
          <w:sz w:val="22"/>
          <w:szCs w:val="22"/>
        </w:rPr>
        <w:t xml:space="preserve"> </w:t>
      </w:r>
    </w:p>
    <w:p w14:paraId="6FA2E9EF" w14:textId="77777777" w:rsidR="0076480D" w:rsidRPr="0076480D" w:rsidRDefault="00BC6A4B" w:rsidP="0076480D">
      <w:pPr>
        <w:spacing w:before="240" w:after="240"/>
        <w:jc w:val="both"/>
        <w:rPr>
          <w:rFonts w:ascii="ITC Avant Garde" w:hAnsi="ITC Avant Garde"/>
          <w:sz w:val="22"/>
          <w:szCs w:val="22"/>
        </w:rPr>
      </w:pPr>
      <w:r w:rsidRPr="0076480D">
        <w:rPr>
          <w:rFonts w:ascii="ITC Avant Garde" w:hAnsi="ITC Avant Garde" w:cs="Arial"/>
          <w:b/>
          <w:sz w:val="22"/>
          <w:szCs w:val="22"/>
        </w:rPr>
        <w:t>SEGUNDO</w:t>
      </w:r>
      <w:r w:rsidR="00C95170" w:rsidRPr="0076480D">
        <w:rPr>
          <w:rFonts w:ascii="ITC Avant Garde" w:hAnsi="ITC Avant Garde" w:cs="Arial"/>
          <w:sz w:val="22"/>
          <w:szCs w:val="22"/>
        </w:rPr>
        <w:t>.</w:t>
      </w:r>
      <w:r w:rsidR="000C1C84" w:rsidRPr="0076480D">
        <w:rPr>
          <w:rFonts w:ascii="ITC Avant Garde" w:hAnsi="ITC Avant Garde" w:cs="Arial"/>
          <w:sz w:val="22"/>
          <w:szCs w:val="22"/>
        </w:rPr>
        <w:t xml:space="preserve"> </w:t>
      </w:r>
      <w:r w:rsidR="000C1C84" w:rsidRPr="0076480D">
        <w:rPr>
          <w:rFonts w:ascii="ITC Avant Garde" w:hAnsi="ITC Avant Garde" w:cs="Arial"/>
          <w:b/>
          <w:sz w:val="22"/>
          <w:szCs w:val="22"/>
        </w:rPr>
        <w:t>Obligaciones en materia de seguridad y de justicia</w:t>
      </w:r>
      <w:r w:rsidR="00AD55DE" w:rsidRPr="0076480D">
        <w:rPr>
          <w:rFonts w:ascii="ITC Avant Garde" w:hAnsi="ITC Avant Garde"/>
          <w:b/>
          <w:sz w:val="22"/>
          <w:szCs w:val="22"/>
        </w:rPr>
        <w:t>.</w:t>
      </w:r>
      <w:r w:rsidR="00AD55DE" w:rsidRPr="0076480D">
        <w:rPr>
          <w:rFonts w:ascii="ITC Avant Garde" w:hAnsi="ITC Avant Garde"/>
          <w:sz w:val="22"/>
          <w:szCs w:val="22"/>
        </w:rPr>
        <w:t xml:space="preserve"> </w:t>
      </w:r>
      <w:r w:rsidR="0095604E" w:rsidRPr="0076480D">
        <w:rPr>
          <w:rFonts w:ascii="ITC Avant Garde" w:hAnsi="ITC Avant Garde"/>
          <w:sz w:val="22"/>
          <w:szCs w:val="22"/>
        </w:rPr>
        <w:t>E</w:t>
      </w:r>
      <w:r w:rsidR="00F90030" w:rsidRPr="0076480D">
        <w:rPr>
          <w:rFonts w:ascii="ITC Avant Garde" w:hAnsi="ITC Avant Garde"/>
          <w:sz w:val="22"/>
          <w:szCs w:val="22"/>
        </w:rPr>
        <w:t xml:space="preserve">l </w:t>
      </w:r>
      <w:r w:rsidR="000C1C84" w:rsidRPr="0076480D">
        <w:rPr>
          <w:rFonts w:ascii="ITC Avant Garde" w:hAnsi="ITC Avant Garde"/>
          <w:sz w:val="22"/>
          <w:szCs w:val="22"/>
        </w:rPr>
        <w:t>T</w:t>
      </w:r>
      <w:r w:rsidR="00FC0A6E" w:rsidRPr="0076480D">
        <w:rPr>
          <w:rFonts w:ascii="ITC Avant Garde" w:hAnsi="ITC Avant Garde"/>
          <w:sz w:val="22"/>
          <w:szCs w:val="22"/>
        </w:rPr>
        <w:t>ítulo Octavo de la L</w:t>
      </w:r>
      <w:r w:rsidR="004D1192" w:rsidRPr="0076480D">
        <w:rPr>
          <w:rFonts w:ascii="ITC Avant Garde" w:hAnsi="ITC Avant Garde"/>
          <w:sz w:val="22"/>
          <w:szCs w:val="22"/>
        </w:rPr>
        <w:t>FTR</w:t>
      </w:r>
      <w:r w:rsidR="000C1C84" w:rsidRPr="0076480D">
        <w:rPr>
          <w:rFonts w:ascii="ITC Avant Garde" w:hAnsi="ITC Avant Garde"/>
          <w:sz w:val="22"/>
          <w:szCs w:val="22"/>
        </w:rPr>
        <w:t xml:space="preserve"> </w:t>
      </w:r>
      <w:r w:rsidR="00FC0A6E" w:rsidRPr="0076480D">
        <w:rPr>
          <w:rFonts w:ascii="ITC Avant Garde" w:hAnsi="ITC Avant Garde"/>
          <w:sz w:val="22"/>
          <w:szCs w:val="22"/>
        </w:rPr>
        <w:t xml:space="preserve">establece </w:t>
      </w:r>
      <w:r w:rsidR="000C1C84" w:rsidRPr="0076480D">
        <w:rPr>
          <w:rFonts w:ascii="ITC Avant Garde" w:hAnsi="ITC Avant Garde"/>
          <w:sz w:val="22"/>
          <w:szCs w:val="22"/>
        </w:rPr>
        <w:t xml:space="preserve">las obligaciones en materia de seguridad y de justicia que tienen los </w:t>
      </w:r>
      <w:r w:rsidR="0095604E" w:rsidRPr="0076480D">
        <w:rPr>
          <w:rFonts w:ascii="ITC Avant Garde" w:hAnsi="ITC Avant Garde"/>
          <w:sz w:val="22"/>
          <w:szCs w:val="22"/>
        </w:rPr>
        <w:t>c</w:t>
      </w:r>
      <w:r w:rsidR="00252384" w:rsidRPr="0076480D">
        <w:rPr>
          <w:rFonts w:ascii="ITC Avant Garde" w:hAnsi="ITC Avant Garde"/>
          <w:sz w:val="22"/>
          <w:szCs w:val="22"/>
        </w:rPr>
        <w:t>oncesionarios</w:t>
      </w:r>
      <w:r w:rsidR="000C1C84" w:rsidRPr="0076480D">
        <w:rPr>
          <w:rFonts w:ascii="ITC Avant Garde" w:hAnsi="ITC Avant Garde"/>
          <w:sz w:val="22"/>
          <w:szCs w:val="22"/>
        </w:rPr>
        <w:t xml:space="preserve"> de telecomunicaciones y, en su caso, los </w:t>
      </w:r>
      <w:r w:rsidR="0095604E" w:rsidRPr="0076480D">
        <w:rPr>
          <w:rFonts w:ascii="ITC Avant Garde" w:hAnsi="ITC Avant Garde"/>
          <w:sz w:val="22"/>
          <w:szCs w:val="22"/>
        </w:rPr>
        <w:t>a</w:t>
      </w:r>
      <w:r w:rsidR="00252384" w:rsidRPr="0076480D">
        <w:rPr>
          <w:rFonts w:ascii="ITC Avant Garde" w:hAnsi="ITC Avant Garde"/>
          <w:sz w:val="22"/>
          <w:szCs w:val="22"/>
        </w:rPr>
        <w:t>utorizados</w:t>
      </w:r>
      <w:r w:rsidR="000C1C84" w:rsidRPr="0076480D">
        <w:rPr>
          <w:rFonts w:ascii="ITC Avant Garde" w:hAnsi="ITC Avant Garde"/>
          <w:sz w:val="22"/>
          <w:szCs w:val="22"/>
        </w:rPr>
        <w:t>, los cuales por mandato</w:t>
      </w:r>
      <w:r w:rsidR="0094434D" w:rsidRPr="0076480D">
        <w:rPr>
          <w:rFonts w:ascii="ITC Avant Garde" w:hAnsi="ITC Avant Garde"/>
          <w:sz w:val="22"/>
          <w:szCs w:val="22"/>
        </w:rPr>
        <w:t xml:space="preserve"> legal deben colaborar con las i</w:t>
      </w:r>
      <w:r w:rsidR="000C1C84" w:rsidRPr="0076480D">
        <w:rPr>
          <w:rFonts w:ascii="ITC Avant Garde" w:hAnsi="ITC Avant Garde"/>
          <w:sz w:val="22"/>
          <w:szCs w:val="22"/>
        </w:rPr>
        <w:t>nstancias de seguridad</w:t>
      </w:r>
      <w:r w:rsidR="001A1B3F" w:rsidRPr="0076480D">
        <w:rPr>
          <w:rFonts w:ascii="ITC Avant Garde" w:hAnsi="ITC Avant Garde"/>
          <w:sz w:val="22"/>
          <w:szCs w:val="22"/>
        </w:rPr>
        <w:t>,</w:t>
      </w:r>
      <w:r w:rsidR="000C1C84" w:rsidRPr="0076480D">
        <w:rPr>
          <w:rFonts w:ascii="ITC Avant Garde" w:hAnsi="ITC Avant Garde"/>
          <w:sz w:val="22"/>
          <w:szCs w:val="22"/>
        </w:rPr>
        <w:t xml:space="preserve"> procuración</w:t>
      </w:r>
      <w:r w:rsidR="001A1B3F" w:rsidRPr="0076480D">
        <w:rPr>
          <w:rFonts w:ascii="ITC Avant Garde" w:hAnsi="ITC Avant Garde"/>
          <w:sz w:val="22"/>
          <w:szCs w:val="22"/>
        </w:rPr>
        <w:t xml:space="preserve"> y administración</w:t>
      </w:r>
      <w:r w:rsidR="000C1C84" w:rsidRPr="0076480D">
        <w:rPr>
          <w:rFonts w:ascii="ITC Avant Garde" w:hAnsi="ITC Avant Garde"/>
          <w:sz w:val="22"/>
          <w:szCs w:val="22"/>
        </w:rPr>
        <w:t xml:space="preserve"> de justicia compe</w:t>
      </w:r>
      <w:r w:rsidR="00FC0A6E" w:rsidRPr="0076480D">
        <w:rPr>
          <w:rFonts w:ascii="ITC Avant Garde" w:hAnsi="ITC Avant Garde"/>
          <w:sz w:val="22"/>
          <w:szCs w:val="22"/>
        </w:rPr>
        <w:t xml:space="preserve">tentes cuando </w:t>
      </w:r>
      <w:r w:rsidR="00FE641F" w:rsidRPr="0076480D">
        <w:rPr>
          <w:rFonts w:ascii="ITC Avant Garde" w:hAnsi="ITC Avant Garde"/>
          <w:sz w:val="22"/>
          <w:szCs w:val="22"/>
        </w:rPr>
        <w:t>é</w:t>
      </w:r>
      <w:r w:rsidR="00FC0A6E" w:rsidRPr="0076480D">
        <w:rPr>
          <w:rFonts w:ascii="ITC Avant Garde" w:hAnsi="ITC Avant Garde"/>
          <w:sz w:val="22"/>
          <w:szCs w:val="22"/>
        </w:rPr>
        <w:t>stas lo requieran</w:t>
      </w:r>
      <w:r w:rsidR="000C1C84" w:rsidRPr="0076480D">
        <w:rPr>
          <w:rFonts w:ascii="ITC Avant Garde" w:hAnsi="ITC Avant Garde"/>
          <w:sz w:val="22"/>
          <w:szCs w:val="22"/>
        </w:rPr>
        <w:t xml:space="preserve"> a través de los mecanismos que para ello se instituyan.</w:t>
      </w:r>
    </w:p>
    <w:p w14:paraId="7EA0FD94" w14:textId="77777777" w:rsidR="0076480D" w:rsidRPr="0076480D" w:rsidRDefault="004D1192" w:rsidP="0076480D">
      <w:pPr>
        <w:spacing w:before="240" w:after="240"/>
        <w:jc w:val="both"/>
        <w:rPr>
          <w:rFonts w:ascii="ITC Avant Garde" w:hAnsi="ITC Avant Garde"/>
          <w:sz w:val="22"/>
          <w:szCs w:val="22"/>
        </w:rPr>
      </w:pPr>
      <w:r w:rsidRPr="0076480D">
        <w:rPr>
          <w:rFonts w:ascii="ITC Avant Garde" w:hAnsi="ITC Avant Garde"/>
          <w:sz w:val="22"/>
          <w:szCs w:val="22"/>
        </w:rPr>
        <w:t xml:space="preserve">De conformidad con lo dispuesto en el artículo 190, fracción I, tercer párrafo, de la LFTR, el Instituto, escuchando a las instancias de seguridad y procuración de justicia, </w:t>
      </w:r>
      <w:r w:rsidR="0028206D" w:rsidRPr="0076480D">
        <w:rPr>
          <w:rFonts w:ascii="ITC Avant Garde" w:hAnsi="ITC Avant Garde"/>
          <w:sz w:val="22"/>
          <w:szCs w:val="22"/>
        </w:rPr>
        <w:t xml:space="preserve">así como </w:t>
      </w:r>
      <w:r w:rsidR="001F3F14" w:rsidRPr="0076480D">
        <w:rPr>
          <w:rFonts w:ascii="ITC Avant Garde" w:hAnsi="ITC Avant Garde"/>
          <w:sz w:val="22"/>
          <w:szCs w:val="22"/>
        </w:rPr>
        <w:t>previas</w:t>
      </w:r>
      <w:r w:rsidR="0093169B" w:rsidRPr="0076480D">
        <w:rPr>
          <w:rFonts w:ascii="ITC Avant Garde" w:hAnsi="ITC Avant Garde"/>
          <w:sz w:val="22"/>
          <w:szCs w:val="22"/>
        </w:rPr>
        <w:t xml:space="preserve"> </w:t>
      </w:r>
      <w:r w:rsidR="0028206D" w:rsidRPr="0076480D">
        <w:rPr>
          <w:rFonts w:ascii="ITC Avant Garde" w:hAnsi="ITC Avant Garde"/>
          <w:sz w:val="22"/>
          <w:szCs w:val="22"/>
        </w:rPr>
        <w:t xml:space="preserve">reuniones con </w:t>
      </w:r>
      <w:r w:rsidRPr="0076480D">
        <w:rPr>
          <w:rFonts w:ascii="ITC Avant Garde" w:hAnsi="ITC Avant Garde"/>
          <w:sz w:val="22"/>
          <w:szCs w:val="22"/>
        </w:rPr>
        <w:t>los concesionarios, autorizados</w:t>
      </w:r>
      <w:r w:rsidR="0028206D" w:rsidRPr="0076480D">
        <w:rPr>
          <w:rFonts w:ascii="ITC Avant Garde" w:hAnsi="ITC Avant Garde"/>
          <w:sz w:val="22"/>
          <w:szCs w:val="22"/>
        </w:rPr>
        <w:t xml:space="preserve">, asociaciones </w:t>
      </w:r>
      <w:r w:rsidR="0094434D" w:rsidRPr="0076480D">
        <w:rPr>
          <w:rFonts w:ascii="ITC Avant Garde" w:hAnsi="ITC Avant Garde"/>
          <w:sz w:val="22"/>
          <w:szCs w:val="22"/>
        </w:rPr>
        <w:t xml:space="preserve">y cámaras de la industria de las telecomunicaciones, </w:t>
      </w:r>
      <w:r w:rsidR="00096D46" w:rsidRPr="0076480D">
        <w:rPr>
          <w:rFonts w:ascii="ITC Avant Garde" w:hAnsi="ITC Avant Garde"/>
          <w:sz w:val="22"/>
          <w:szCs w:val="22"/>
        </w:rPr>
        <w:t>emitió los Lineamientos</w:t>
      </w:r>
      <w:r w:rsidR="00EC28CF" w:rsidRPr="0076480D">
        <w:rPr>
          <w:rFonts w:ascii="ITC Avant Garde" w:hAnsi="ITC Avant Garde"/>
          <w:sz w:val="22"/>
          <w:szCs w:val="22"/>
        </w:rPr>
        <w:t xml:space="preserve"> </w:t>
      </w:r>
      <w:r w:rsidR="001F3F14" w:rsidRPr="0076480D">
        <w:rPr>
          <w:rFonts w:ascii="ITC Avant Garde" w:hAnsi="ITC Avant Garde"/>
          <w:sz w:val="22"/>
          <w:szCs w:val="22"/>
        </w:rPr>
        <w:t>de Colaboración en Materia de Seguridad y Justicia</w:t>
      </w:r>
      <w:r w:rsidR="00A95654" w:rsidRPr="0076480D">
        <w:rPr>
          <w:rFonts w:ascii="ITC Avant Garde" w:hAnsi="ITC Avant Garde"/>
          <w:sz w:val="22"/>
          <w:szCs w:val="22"/>
        </w:rPr>
        <w:t xml:space="preserve"> (en lo sucesivo, “Lineamientos de Colaboración”)</w:t>
      </w:r>
      <w:r w:rsidR="00096D46" w:rsidRPr="0076480D">
        <w:rPr>
          <w:rFonts w:ascii="ITC Avant Garde" w:hAnsi="ITC Avant Garde"/>
          <w:sz w:val="22"/>
          <w:szCs w:val="22"/>
        </w:rPr>
        <w:t>,</w:t>
      </w:r>
      <w:r w:rsidR="00EC28CF" w:rsidRPr="0076480D">
        <w:rPr>
          <w:rFonts w:ascii="ITC Avant Garde" w:hAnsi="ITC Avant Garde"/>
          <w:sz w:val="22"/>
          <w:szCs w:val="22"/>
        </w:rPr>
        <w:t xml:space="preserve"> </w:t>
      </w:r>
      <w:r w:rsidR="0095604E" w:rsidRPr="0076480D">
        <w:rPr>
          <w:rFonts w:ascii="ITC Avant Garde" w:hAnsi="ITC Avant Garde"/>
          <w:sz w:val="22"/>
          <w:szCs w:val="22"/>
        </w:rPr>
        <w:t xml:space="preserve">a fin de que la colaboración entre los concesionarios de telecomunicaciones y autorizados con </w:t>
      </w:r>
      <w:r w:rsidRPr="0076480D">
        <w:rPr>
          <w:rFonts w:ascii="ITC Avant Garde" w:hAnsi="ITC Avant Garde"/>
          <w:sz w:val="22"/>
          <w:szCs w:val="22"/>
        </w:rPr>
        <w:t xml:space="preserve">las mencionadas </w:t>
      </w:r>
      <w:r w:rsidR="0095604E" w:rsidRPr="0076480D">
        <w:rPr>
          <w:rFonts w:ascii="ITC Avant Garde" w:hAnsi="ITC Avant Garde"/>
          <w:sz w:val="22"/>
          <w:szCs w:val="22"/>
        </w:rPr>
        <w:t>autoridades, sea efectiva y oportuna</w:t>
      </w:r>
      <w:r w:rsidR="00EC28CF" w:rsidRPr="0076480D">
        <w:rPr>
          <w:rFonts w:ascii="ITC Avant Garde" w:hAnsi="ITC Avant Garde"/>
          <w:sz w:val="22"/>
          <w:szCs w:val="22"/>
        </w:rPr>
        <w:t>.</w:t>
      </w:r>
    </w:p>
    <w:p w14:paraId="1B68BFDC" w14:textId="77777777" w:rsidR="0076480D" w:rsidRPr="0076480D" w:rsidRDefault="00BC6A4B" w:rsidP="0076480D">
      <w:pPr>
        <w:spacing w:before="240" w:after="240"/>
        <w:jc w:val="both"/>
        <w:rPr>
          <w:rFonts w:ascii="ITC Avant Garde" w:hAnsi="ITC Avant Garde"/>
          <w:sz w:val="22"/>
          <w:szCs w:val="22"/>
        </w:rPr>
      </w:pPr>
      <w:r w:rsidRPr="0076480D">
        <w:rPr>
          <w:rFonts w:ascii="ITC Avant Garde" w:hAnsi="ITC Avant Garde"/>
          <w:b/>
          <w:sz w:val="22"/>
          <w:szCs w:val="22"/>
        </w:rPr>
        <w:t>TERCERO</w:t>
      </w:r>
      <w:r w:rsidR="00096D46" w:rsidRPr="0076480D">
        <w:rPr>
          <w:rFonts w:ascii="ITC Avant Garde" w:hAnsi="ITC Avant Garde"/>
          <w:b/>
          <w:sz w:val="22"/>
          <w:szCs w:val="22"/>
        </w:rPr>
        <w:t xml:space="preserve">. </w:t>
      </w:r>
      <w:r w:rsidR="004D1192" w:rsidRPr="0076480D">
        <w:rPr>
          <w:rFonts w:ascii="ITC Avant Garde" w:hAnsi="ITC Avant Garde"/>
          <w:b/>
          <w:sz w:val="22"/>
          <w:szCs w:val="22"/>
        </w:rPr>
        <w:t>P</w:t>
      </w:r>
      <w:r w:rsidR="00560351" w:rsidRPr="0076480D">
        <w:rPr>
          <w:rFonts w:ascii="ITC Avant Garde" w:hAnsi="ITC Avant Garde"/>
          <w:b/>
          <w:sz w:val="22"/>
          <w:szCs w:val="22"/>
        </w:rPr>
        <w:t xml:space="preserve">rotección de </w:t>
      </w:r>
      <w:r w:rsidR="004D1192" w:rsidRPr="0076480D">
        <w:rPr>
          <w:rFonts w:ascii="ITC Avant Garde" w:hAnsi="ITC Avant Garde"/>
          <w:b/>
          <w:sz w:val="22"/>
          <w:szCs w:val="22"/>
        </w:rPr>
        <w:t>d</w:t>
      </w:r>
      <w:r w:rsidR="00560351" w:rsidRPr="0076480D">
        <w:rPr>
          <w:rFonts w:ascii="ITC Avant Garde" w:hAnsi="ITC Avant Garde"/>
          <w:b/>
          <w:sz w:val="22"/>
          <w:szCs w:val="22"/>
        </w:rPr>
        <w:t xml:space="preserve">atos </w:t>
      </w:r>
      <w:r w:rsidR="004D1192" w:rsidRPr="0076480D">
        <w:rPr>
          <w:rFonts w:ascii="ITC Avant Garde" w:hAnsi="ITC Avant Garde"/>
          <w:b/>
          <w:sz w:val="22"/>
          <w:szCs w:val="22"/>
        </w:rPr>
        <w:t>p</w:t>
      </w:r>
      <w:r w:rsidR="00560351" w:rsidRPr="0076480D">
        <w:rPr>
          <w:rFonts w:ascii="ITC Avant Garde" w:hAnsi="ITC Avant Garde"/>
          <w:b/>
          <w:sz w:val="22"/>
          <w:szCs w:val="22"/>
        </w:rPr>
        <w:t>ersonales</w:t>
      </w:r>
      <w:r w:rsidR="004D1192" w:rsidRPr="0076480D">
        <w:rPr>
          <w:rFonts w:ascii="ITC Avant Garde" w:hAnsi="ITC Avant Garde"/>
          <w:b/>
          <w:sz w:val="22"/>
          <w:szCs w:val="22"/>
        </w:rPr>
        <w:t xml:space="preserve"> y obligaciones de </w:t>
      </w:r>
      <w:r w:rsidR="00560351" w:rsidRPr="0076480D">
        <w:rPr>
          <w:rFonts w:ascii="ITC Avant Garde" w:hAnsi="ITC Avant Garde"/>
          <w:b/>
          <w:sz w:val="22"/>
          <w:szCs w:val="22"/>
        </w:rPr>
        <w:t xml:space="preserve">transparencia. </w:t>
      </w:r>
      <w:r w:rsidR="00F60FFA" w:rsidRPr="0076480D">
        <w:rPr>
          <w:rFonts w:ascii="ITC Avant Garde" w:hAnsi="ITC Avant Garde"/>
          <w:sz w:val="22"/>
          <w:szCs w:val="22"/>
        </w:rPr>
        <w:t>L</w:t>
      </w:r>
      <w:r w:rsidR="00CC1E0C" w:rsidRPr="0076480D">
        <w:rPr>
          <w:rFonts w:ascii="ITC Avant Garde" w:hAnsi="ITC Avant Garde"/>
          <w:sz w:val="22"/>
          <w:szCs w:val="22"/>
        </w:rPr>
        <w:t>a Ley General de Protección de Datos Personales en Posesión de Sujetos Obligados</w:t>
      </w:r>
      <w:r w:rsidR="009A7A54" w:rsidRPr="0076480D">
        <w:rPr>
          <w:rFonts w:ascii="ITC Avant Garde" w:hAnsi="ITC Avant Garde"/>
          <w:sz w:val="22"/>
          <w:szCs w:val="22"/>
        </w:rPr>
        <w:t>,</w:t>
      </w:r>
      <w:r w:rsidR="00CC1E0C" w:rsidRPr="0076480D">
        <w:rPr>
          <w:rFonts w:ascii="ITC Avant Garde" w:hAnsi="ITC Avant Garde"/>
          <w:sz w:val="22"/>
          <w:szCs w:val="22"/>
        </w:rPr>
        <w:t xml:space="preserve"> prevé un capítulo específico sobre la obtención y tratamiento de datos personales en posesión de </w:t>
      </w:r>
      <w:r w:rsidR="00CC1E0C" w:rsidRPr="0076480D">
        <w:rPr>
          <w:rFonts w:ascii="ITC Avant Garde" w:hAnsi="ITC Avant Garde"/>
          <w:b/>
          <w:sz w:val="22"/>
          <w:szCs w:val="22"/>
        </w:rPr>
        <w:t>las instancias de seguridad, procuración y administración de justicia</w:t>
      </w:r>
      <w:r w:rsidR="00CC1E0C" w:rsidRPr="0076480D">
        <w:rPr>
          <w:rFonts w:ascii="ITC Avant Garde" w:hAnsi="ITC Avant Garde"/>
          <w:sz w:val="22"/>
          <w:szCs w:val="22"/>
        </w:rPr>
        <w:t xml:space="preserve">, en el cual se dispone la obligación de establecer medidas de seguridad de nivel alto para garantizar </w:t>
      </w:r>
      <w:r w:rsidR="004D1192" w:rsidRPr="0076480D">
        <w:rPr>
          <w:rFonts w:ascii="ITC Avant Garde" w:hAnsi="ITC Avant Garde"/>
          <w:sz w:val="22"/>
          <w:szCs w:val="22"/>
        </w:rPr>
        <w:t>su</w:t>
      </w:r>
      <w:r w:rsidR="00CC1E0C" w:rsidRPr="0076480D">
        <w:rPr>
          <w:rFonts w:ascii="ITC Avant Garde" w:hAnsi="ITC Avant Garde"/>
          <w:sz w:val="22"/>
          <w:szCs w:val="22"/>
        </w:rPr>
        <w:t xml:space="preserve"> integridad, disponibilidad, confidencialidad y protección (artículo 80 y siguientes). Lo anterior, aunado a las obligaciones que tienen las referidas instancias de establecer y documentar los procedimientos para la conservación y, en su caso, bloqueo y supresión de los datos personales (artículos 23 y 24), así como de establecer y mantener las medidas de carácter administrativo, físico y técnico para la protección de los datos personales, que permitan protegerlos contra daño, pérdida, alteración, destrucción o su uso, acceso o tratamiento no autorizado (artículo 31).</w:t>
      </w:r>
      <w:r w:rsidR="0029395B" w:rsidRPr="0076480D">
        <w:rPr>
          <w:rStyle w:val="Refdenotaalpie"/>
          <w:rFonts w:ascii="ITC Avant Garde" w:hAnsi="ITC Avant Garde"/>
          <w:sz w:val="22"/>
          <w:szCs w:val="22"/>
        </w:rPr>
        <w:footnoteReference w:id="1"/>
      </w:r>
      <w:r w:rsidR="00CC1E0C" w:rsidRPr="0076480D">
        <w:rPr>
          <w:rFonts w:ascii="ITC Avant Garde" w:hAnsi="ITC Avant Garde"/>
          <w:sz w:val="22"/>
          <w:szCs w:val="22"/>
        </w:rPr>
        <w:t xml:space="preserve"> </w:t>
      </w:r>
    </w:p>
    <w:p w14:paraId="1E41E620" w14:textId="77777777" w:rsidR="0076480D" w:rsidRPr="0076480D" w:rsidRDefault="00CC1E0C" w:rsidP="0076480D">
      <w:pPr>
        <w:spacing w:before="240" w:after="240"/>
        <w:jc w:val="both"/>
        <w:rPr>
          <w:rFonts w:ascii="ITC Avant Garde" w:hAnsi="ITC Avant Garde"/>
          <w:sz w:val="22"/>
          <w:szCs w:val="22"/>
        </w:rPr>
      </w:pPr>
      <w:r w:rsidRPr="0076480D">
        <w:rPr>
          <w:rFonts w:ascii="ITC Avant Garde" w:hAnsi="ITC Avant Garde"/>
          <w:sz w:val="22"/>
          <w:szCs w:val="22"/>
        </w:rPr>
        <w:t>Al respecto, la Ley General de Protección de Datos Personales en Posesión de Sujetos Obligados dispone que corresponde al Instituto Nacional de Transparencia, Acceso a la Información y Protección de Datos Personales (</w:t>
      </w:r>
      <w:r w:rsidR="00863A28" w:rsidRPr="0076480D">
        <w:rPr>
          <w:rFonts w:ascii="ITC Avant Garde" w:hAnsi="ITC Avant Garde"/>
          <w:sz w:val="22"/>
          <w:szCs w:val="22"/>
        </w:rPr>
        <w:t>en lo sucesivo, “</w:t>
      </w:r>
      <w:r w:rsidRPr="0076480D">
        <w:rPr>
          <w:rFonts w:ascii="ITC Avant Garde" w:hAnsi="ITC Avant Garde"/>
          <w:sz w:val="22"/>
          <w:szCs w:val="22"/>
        </w:rPr>
        <w:t>INAI</w:t>
      </w:r>
      <w:r w:rsidR="00863A28" w:rsidRPr="0076480D">
        <w:rPr>
          <w:rFonts w:ascii="ITC Avant Garde" w:hAnsi="ITC Avant Garde"/>
          <w:sz w:val="22"/>
          <w:szCs w:val="22"/>
        </w:rPr>
        <w:t>”</w:t>
      </w:r>
      <w:r w:rsidRPr="0076480D">
        <w:rPr>
          <w:rFonts w:ascii="ITC Avant Garde" w:hAnsi="ITC Avant Garde"/>
          <w:sz w:val="22"/>
          <w:szCs w:val="22"/>
        </w:rPr>
        <w:t xml:space="preserve">) garantizar el ejercicio del derecho a la protección de datos personales en posesión de </w:t>
      </w:r>
      <w:r w:rsidR="00863A28" w:rsidRPr="0076480D">
        <w:rPr>
          <w:rFonts w:ascii="ITC Avant Garde" w:hAnsi="ITC Avant Garde"/>
          <w:sz w:val="22"/>
          <w:szCs w:val="22"/>
        </w:rPr>
        <w:t xml:space="preserve">las instancias de seguridad, procuración y administración de justicia como </w:t>
      </w:r>
      <w:r w:rsidRPr="0076480D">
        <w:rPr>
          <w:rFonts w:ascii="ITC Avant Garde" w:hAnsi="ITC Avant Garde"/>
          <w:sz w:val="22"/>
          <w:szCs w:val="22"/>
        </w:rPr>
        <w:t xml:space="preserve">sujetos obligados, así como vigilar y verificar el cumplimiento de la ley (artículos 89, fracciones I y XIV, 146 y siguientes). También le corresponde al INAI emitir las disposiciones administrativas de carácter </w:t>
      </w:r>
      <w:r w:rsidRPr="0076480D">
        <w:rPr>
          <w:rFonts w:ascii="ITC Avant Garde" w:hAnsi="ITC Avant Garde"/>
          <w:sz w:val="22"/>
          <w:szCs w:val="22"/>
        </w:rPr>
        <w:lastRenderedPageBreak/>
        <w:t xml:space="preserve">general para el debido cumplimiento de los principios, deberes y obligaciones que establece la </w:t>
      </w:r>
      <w:r w:rsidR="00863A28" w:rsidRPr="0076480D">
        <w:rPr>
          <w:rFonts w:ascii="ITC Avant Garde" w:hAnsi="ITC Avant Garde"/>
          <w:sz w:val="22"/>
          <w:szCs w:val="22"/>
        </w:rPr>
        <w:t>mencionada ley,</w:t>
      </w:r>
      <w:r w:rsidRPr="0076480D">
        <w:rPr>
          <w:rFonts w:ascii="ITC Avant Garde" w:hAnsi="ITC Avant Garde"/>
          <w:sz w:val="22"/>
          <w:szCs w:val="22"/>
        </w:rPr>
        <w:t xml:space="preserve"> así como emitir lineamientos generales para el debido tratamiento de los datos personales (artículo 89, fracciones XIX y XXVII). </w:t>
      </w:r>
    </w:p>
    <w:p w14:paraId="0CD9E439" w14:textId="77777777" w:rsidR="0076480D" w:rsidRPr="0076480D" w:rsidRDefault="00CC1E0C" w:rsidP="0076480D">
      <w:pPr>
        <w:spacing w:before="240" w:after="240"/>
        <w:jc w:val="both"/>
        <w:rPr>
          <w:rFonts w:ascii="ITC Avant Garde" w:hAnsi="ITC Avant Garde"/>
          <w:sz w:val="22"/>
          <w:szCs w:val="22"/>
        </w:rPr>
      </w:pPr>
      <w:r w:rsidRPr="0076480D">
        <w:rPr>
          <w:rFonts w:ascii="ITC Avant Garde" w:hAnsi="ITC Avant Garde"/>
          <w:sz w:val="22"/>
          <w:szCs w:val="22"/>
        </w:rPr>
        <w:t xml:space="preserve">Por su parte, la Ley General de Transparencia y Acceso a la Información Pública y la Ley Federal de Transparencia y Acceso a la Información Pública prevén en sus artículos 70, fracción XLVII, y 69, fracción V, inciso a), respectivamente, la obligación que tienen los sujetos obligados </w:t>
      </w:r>
      <w:r w:rsidR="00863A28" w:rsidRPr="0076480D">
        <w:rPr>
          <w:rFonts w:ascii="ITC Avant Garde" w:hAnsi="ITC Avant Garde"/>
          <w:sz w:val="22"/>
          <w:szCs w:val="22"/>
        </w:rPr>
        <w:t xml:space="preserve">en materia de seguridad pública y procuración de justicia </w:t>
      </w:r>
      <w:r w:rsidRPr="0076480D">
        <w:rPr>
          <w:rFonts w:ascii="ITC Avant Garde" w:hAnsi="ITC Avant Garde"/>
          <w:sz w:val="22"/>
          <w:szCs w:val="22"/>
        </w:rPr>
        <w:t>de poner a disposición del público y mantener actualizada, en los respectivos medios electrónicos,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2A029FC4" w14:textId="77777777" w:rsidR="0076480D" w:rsidRPr="0076480D" w:rsidRDefault="00CC1E0C" w:rsidP="0076480D">
      <w:pPr>
        <w:spacing w:before="240" w:after="240"/>
        <w:jc w:val="both"/>
        <w:rPr>
          <w:rFonts w:ascii="ITC Avant Garde" w:hAnsi="ITC Avant Garde"/>
          <w:sz w:val="22"/>
          <w:szCs w:val="22"/>
        </w:rPr>
      </w:pPr>
      <w:r w:rsidRPr="0076480D">
        <w:rPr>
          <w:rFonts w:ascii="ITC Avant Garde" w:hAnsi="ITC Avant Garde"/>
          <w:sz w:val="22"/>
          <w:szCs w:val="22"/>
        </w:rPr>
        <w:t>La observancia de lo dispuesto por la Ley Federal de Transparencia y Acceso a la Información Pública corresponde al INAI, que garantiza en el ámbito federal el ejercicio de los derechos de acceso a la información (artículo 17) por lo cual se encuentra atribuida de facultades para determinar la responsabilidad por incumplimiento de la misma, la Ley General de Transparencia y Acceso a la Información Pública y demás disposiciones aplicables (artículo 21, fracción XIX).</w:t>
      </w:r>
    </w:p>
    <w:p w14:paraId="45A13978" w14:textId="77777777" w:rsidR="0076480D" w:rsidRPr="0076480D" w:rsidRDefault="00A95654" w:rsidP="0076480D">
      <w:pPr>
        <w:spacing w:before="240" w:after="240"/>
        <w:jc w:val="both"/>
        <w:rPr>
          <w:rFonts w:ascii="ITC Avant Garde" w:hAnsi="ITC Avant Garde"/>
          <w:sz w:val="22"/>
          <w:szCs w:val="22"/>
        </w:rPr>
      </w:pPr>
      <w:r w:rsidRPr="0076480D">
        <w:rPr>
          <w:rFonts w:ascii="ITC Avant Garde" w:hAnsi="ITC Avant Garde"/>
          <w:sz w:val="22"/>
          <w:szCs w:val="22"/>
        </w:rPr>
        <w:t>Al ser el INAI la autoridad facultada para la vigilancia, verificación y, en su caso, imposición de sanciones a l</w:t>
      </w:r>
      <w:r w:rsidR="0029395B" w:rsidRPr="0076480D">
        <w:rPr>
          <w:rFonts w:ascii="ITC Avant Garde" w:hAnsi="ITC Avant Garde"/>
          <w:sz w:val="22"/>
          <w:szCs w:val="22"/>
        </w:rPr>
        <w:t xml:space="preserve">as instancias de seguridad, procuración y administración de justicia </w:t>
      </w:r>
      <w:r w:rsidRPr="0076480D">
        <w:rPr>
          <w:rFonts w:ascii="ITC Avant Garde" w:hAnsi="ITC Avant Garde"/>
          <w:sz w:val="22"/>
          <w:szCs w:val="22"/>
        </w:rPr>
        <w:t>en materia de</w:t>
      </w:r>
      <w:r w:rsidR="00C4184D" w:rsidRPr="0076480D">
        <w:rPr>
          <w:rFonts w:ascii="ITC Avant Garde" w:hAnsi="ITC Avant Garde"/>
          <w:sz w:val="22"/>
          <w:szCs w:val="22"/>
        </w:rPr>
        <w:t>: i)</w:t>
      </w:r>
      <w:r w:rsidRPr="0076480D">
        <w:rPr>
          <w:rFonts w:ascii="ITC Avant Garde" w:hAnsi="ITC Avant Garde"/>
          <w:sz w:val="22"/>
          <w:szCs w:val="22"/>
        </w:rPr>
        <w:t xml:space="preserve"> </w:t>
      </w:r>
      <w:r w:rsidR="0029395B" w:rsidRPr="0076480D">
        <w:rPr>
          <w:rFonts w:ascii="ITC Avant Garde" w:hAnsi="ITC Avant Garde"/>
          <w:sz w:val="22"/>
          <w:szCs w:val="22"/>
        </w:rPr>
        <w:t xml:space="preserve">obtención, </w:t>
      </w:r>
      <w:r w:rsidRPr="0076480D">
        <w:rPr>
          <w:rFonts w:ascii="ITC Avant Garde" w:hAnsi="ITC Avant Garde"/>
          <w:sz w:val="22"/>
          <w:szCs w:val="22"/>
        </w:rPr>
        <w:t>tratamiento</w:t>
      </w:r>
      <w:r w:rsidR="0029395B" w:rsidRPr="0076480D">
        <w:rPr>
          <w:rFonts w:ascii="ITC Avant Garde" w:hAnsi="ITC Avant Garde"/>
          <w:sz w:val="22"/>
          <w:szCs w:val="22"/>
        </w:rPr>
        <w:t>, conservación y supresión de datos personales, y ii) obligaciones de transparencia sobre las solicitudes para la localización geográfica en tiempo real y acceso al registro de comunicaciones, se estima necesario reformar los Lineamientos de Colaboración respecto de dichas materias</w:t>
      </w:r>
      <w:r w:rsidRPr="0076480D">
        <w:rPr>
          <w:rFonts w:ascii="ITC Avant Garde" w:hAnsi="ITC Avant Garde"/>
          <w:sz w:val="22"/>
          <w:szCs w:val="22"/>
        </w:rPr>
        <w:t>.</w:t>
      </w:r>
    </w:p>
    <w:p w14:paraId="40BC6B77" w14:textId="77777777" w:rsidR="0076480D" w:rsidRPr="0076480D" w:rsidRDefault="00234371" w:rsidP="0076480D">
      <w:pPr>
        <w:pStyle w:val="ANOTACION"/>
        <w:spacing w:before="240" w:after="240" w:line="240" w:lineRule="auto"/>
        <w:jc w:val="both"/>
        <w:rPr>
          <w:rFonts w:ascii="ITC Avant Garde" w:hAnsi="ITC Avant Garde"/>
          <w:b w:val="0"/>
          <w:sz w:val="22"/>
          <w:szCs w:val="22"/>
          <w:lang w:val="es-MX"/>
        </w:rPr>
      </w:pPr>
      <w:r w:rsidRPr="0076480D">
        <w:rPr>
          <w:rFonts w:ascii="ITC Avant Garde" w:hAnsi="ITC Avant Garde"/>
          <w:b w:val="0"/>
          <w:sz w:val="22"/>
          <w:szCs w:val="22"/>
          <w:lang w:val="es-MX"/>
        </w:rPr>
        <w:t xml:space="preserve">En consistencia con lo anterior, por lo que se refiere a los </w:t>
      </w:r>
      <w:r w:rsidRPr="0076480D">
        <w:rPr>
          <w:rFonts w:ascii="ITC Avant Garde" w:hAnsi="ITC Avant Garde"/>
          <w:sz w:val="22"/>
          <w:szCs w:val="22"/>
          <w:lang w:val="es-MX"/>
        </w:rPr>
        <w:t>concesionarios de telecomunicaciones y autorizados</w:t>
      </w:r>
      <w:r w:rsidRPr="0076480D">
        <w:rPr>
          <w:rFonts w:ascii="ITC Avant Garde" w:hAnsi="ITC Avant Garde"/>
          <w:b w:val="0"/>
          <w:sz w:val="22"/>
          <w:szCs w:val="22"/>
          <w:lang w:val="es-MX"/>
        </w:rPr>
        <w:t xml:space="preserve">, la Ley Federal de Protección de Datos Personales en Posesión de los Particulares establece que las personas físicas </w:t>
      </w:r>
      <w:r w:rsidR="00D663B6" w:rsidRPr="0076480D">
        <w:rPr>
          <w:rFonts w:ascii="ITC Avant Garde" w:hAnsi="ITC Avant Garde"/>
          <w:b w:val="0"/>
          <w:sz w:val="22"/>
          <w:szCs w:val="22"/>
          <w:lang w:val="es-MX"/>
        </w:rPr>
        <w:t>o</w:t>
      </w:r>
      <w:r w:rsidRPr="0076480D">
        <w:rPr>
          <w:rFonts w:ascii="ITC Avant Garde" w:hAnsi="ITC Avant Garde"/>
          <w:b w:val="0"/>
          <w:sz w:val="22"/>
          <w:szCs w:val="22"/>
          <w:lang w:val="es-MX"/>
        </w:rPr>
        <w:t xml:space="preserve"> morales de carácter privado son responsables del tratamiento de datos personales</w:t>
      </w:r>
      <w:r w:rsidR="00876843" w:rsidRPr="0076480D">
        <w:rPr>
          <w:rFonts w:ascii="ITC Avant Garde" w:hAnsi="ITC Avant Garde"/>
          <w:b w:val="0"/>
          <w:sz w:val="22"/>
          <w:szCs w:val="22"/>
          <w:lang w:val="es-MX"/>
        </w:rPr>
        <w:t xml:space="preserve">, ya sea su </w:t>
      </w:r>
      <w:r w:rsidRPr="0076480D">
        <w:rPr>
          <w:rFonts w:ascii="ITC Avant Garde" w:hAnsi="ITC Avant Garde"/>
          <w:b w:val="0"/>
          <w:sz w:val="22"/>
          <w:szCs w:val="22"/>
          <w:lang w:val="es-MX"/>
        </w:rPr>
        <w:t>obtención, uso, divulgación</w:t>
      </w:r>
      <w:r w:rsidR="00876843" w:rsidRPr="0076480D">
        <w:rPr>
          <w:rFonts w:ascii="ITC Avant Garde" w:hAnsi="ITC Avant Garde"/>
          <w:b w:val="0"/>
          <w:sz w:val="22"/>
          <w:szCs w:val="22"/>
          <w:lang w:val="es-MX"/>
        </w:rPr>
        <w:t xml:space="preserve"> o</w:t>
      </w:r>
      <w:r w:rsidRPr="0076480D">
        <w:rPr>
          <w:rFonts w:ascii="ITC Avant Garde" w:hAnsi="ITC Avant Garde"/>
          <w:b w:val="0"/>
          <w:sz w:val="22"/>
          <w:szCs w:val="22"/>
          <w:lang w:val="es-MX"/>
        </w:rPr>
        <w:t xml:space="preserve"> almacenamiento, por cualquier medio, así como su cancelación (artículos 2, 3, fracciones XIV y XVIII, y 11).</w:t>
      </w:r>
      <w:r w:rsidR="00876843" w:rsidRPr="0076480D">
        <w:rPr>
          <w:rFonts w:ascii="ITC Avant Garde" w:hAnsi="ITC Avant Garde"/>
          <w:b w:val="0"/>
          <w:sz w:val="22"/>
          <w:szCs w:val="22"/>
          <w:lang w:val="es-MX"/>
        </w:rPr>
        <w:t xml:space="preserve"> </w:t>
      </w:r>
      <w:r w:rsidRPr="0076480D">
        <w:rPr>
          <w:rFonts w:ascii="ITC Avant Garde" w:hAnsi="ITC Avant Garde"/>
          <w:b w:val="0"/>
          <w:sz w:val="22"/>
          <w:szCs w:val="22"/>
          <w:lang w:val="es-MX"/>
        </w:rPr>
        <w:t>Los responsables del tratamiento de datos personales deben establecer medidas de seguridad administrativas, técnicas y físicas que protejan los datos contra daño, pérdida, alteración, destrucción o el uso, acceso o tratamiento no autorizado (artículo 19).</w:t>
      </w:r>
    </w:p>
    <w:p w14:paraId="4615A61C" w14:textId="77777777" w:rsidR="0076480D" w:rsidRPr="0076480D" w:rsidRDefault="00234371" w:rsidP="0076480D">
      <w:pPr>
        <w:pStyle w:val="ANOTACION"/>
        <w:spacing w:before="240" w:after="240" w:line="240" w:lineRule="auto"/>
        <w:jc w:val="both"/>
        <w:rPr>
          <w:rFonts w:ascii="ITC Avant Garde" w:hAnsi="ITC Avant Garde"/>
          <w:b w:val="0"/>
          <w:sz w:val="22"/>
          <w:szCs w:val="22"/>
          <w:lang w:val="es-MX"/>
        </w:rPr>
      </w:pPr>
      <w:r w:rsidRPr="0076480D">
        <w:rPr>
          <w:rFonts w:ascii="ITC Avant Garde" w:hAnsi="ITC Avant Garde"/>
          <w:b w:val="0"/>
          <w:sz w:val="22"/>
          <w:szCs w:val="22"/>
          <w:lang w:val="es-MX"/>
        </w:rPr>
        <w:t xml:space="preserve">Al respecto, es el INAI el garante de </w:t>
      </w:r>
      <w:r w:rsidR="00876843" w:rsidRPr="0076480D">
        <w:rPr>
          <w:rFonts w:ascii="ITC Avant Garde" w:hAnsi="ITC Avant Garde"/>
          <w:b w:val="0"/>
          <w:sz w:val="22"/>
          <w:szCs w:val="22"/>
          <w:lang w:val="es-MX"/>
        </w:rPr>
        <w:t xml:space="preserve">la vigilancia, </w:t>
      </w:r>
      <w:r w:rsidRPr="0076480D">
        <w:rPr>
          <w:rFonts w:ascii="ITC Avant Garde" w:hAnsi="ITC Avant Garde"/>
          <w:b w:val="0"/>
          <w:sz w:val="22"/>
          <w:szCs w:val="22"/>
          <w:lang w:val="es-MX"/>
        </w:rPr>
        <w:t>verificación y de imposición de sanciones relacionadas a</w:t>
      </w:r>
      <w:r w:rsidR="00876843" w:rsidRPr="0076480D">
        <w:rPr>
          <w:rFonts w:ascii="ITC Avant Garde" w:hAnsi="ITC Avant Garde"/>
          <w:b w:val="0"/>
          <w:sz w:val="22"/>
          <w:szCs w:val="22"/>
          <w:lang w:val="es-MX"/>
        </w:rPr>
        <w:t xml:space="preserve"> la obtención, tratamiento, conservación y supresión </w:t>
      </w:r>
      <w:r w:rsidRPr="0076480D">
        <w:rPr>
          <w:rFonts w:ascii="ITC Avant Garde" w:hAnsi="ITC Avant Garde"/>
          <w:b w:val="0"/>
          <w:sz w:val="22"/>
          <w:szCs w:val="22"/>
          <w:lang w:val="es-MX"/>
        </w:rPr>
        <w:t>de datos personales (artículo</w:t>
      </w:r>
      <w:r w:rsidR="00876843" w:rsidRPr="0076480D">
        <w:rPr>
          <w:rFonts w:ascii="ITC Avant Garde" w:hAnsi="ITC Avant Garde"/>
          <w:b w:val="0"/>
          <w:sz w:val="22"/>
          <w:szCs w:val="22"/>
          <w:lang w:val="es-MX"/>
        </w:rPr>
        <w:t>s 38,</w:t>
      </w:r>
      <w:r w:rsidRPr="0076480D">
        <w:rPr>
          <w:rFonts w:ascii="ITC Avant Garde" w:hAnsi="ITC Avant Garde"/>
          <w:b w:val="0"/>
          <w:sz w:val="22"/>
          <w:szCs w:val="22"/>
          <w:lang w:val="es-MX"/>
        </w:rPr>
        <w:t xml:space="preserve"> 59 y siguientes)</w:t>
      </w:r>
      <w:r w:rsidR="00876843" w:rsidRPr="0076480D">
        <w:rPr>
          <w:rFonts w:ascii="ITC Avant Garde" w:hAnsi="ITC Avant Garde"/>
          <w:b w:val="0"/>
          <w:sz w:val="22"/>
          <w:szCs w:val="22"/>
          <w:lang w:val="es-MX"/>
        </w:rPr>
        <w:t>, por lo que</w:t>
      </w:r>
      <w:r w:rsidR="00876843" w:rsidRPr="0076480D">
        <w:rPr>
          <w:rFonts w:ascii="ITC Avant Garde" w:hAnsi="ITC Avant Garde"/>
          <w:sz w:val="22"/>
          <w:szCs w:val="22"/>
        </w:rPr>
        <w:t xml:space="preserve"> </w:t>
      </w:r>
      <w:r w:rsidR="00876843" w:rsidRPr="0076480D">
        <w:rPr>
          <w:rFonts w:ascii="ITC Avant Garde" w:hAnsi="ITC Avant Garde"/>
          <w:b w:val="0"/>
          <w:sz w:val="22"/>
          <w:szCs w:val="22"/>
          <w:lang w:val="es-MX"/>
        </w:rPr>
        <w:t>se estima necesario reformar los Lineamientos de Colaboración respecto de dicha materia</w:t>
      </w:r>
      <w:r w:rsidRPr="0076480D">
        <w:rPr>
          <w:rFonts w:ascii="ITC Avant Garde" w:hAnsi="ITC Avant Garde"/>
          <w:b w:val="0"/>
          <w:sz w:val="22"/>
          <w:szCs w:val="22"/>
          <w:lang w:val="es-MX"/>
        </w:rPr>
        <w:t>.</w:t>
      </w:r>
    </w:p>
    <w:p w14:paraId="53D63F4C" w14:textId="77777777" w:rsidR="0076480D" w:rsidRPr="0076480D" w:rsidRDefault="000D4EF4" w:rsidP="0076480D">
      <w:pPr>
        <w:spacing w:before="240" w:after="240"/>
        <w:jc w:val="both"/>
        <w:rPr>
          <w:rFonts w:ascii="ITC Avant Garde" w:hAnsi="ITC Avant Garde"/>
          <w:sz w:val="22"/>
          <w:szCs w:val="22"/>
        </w:rPr>
      </w:pPr>
      <w:r w:rsidRPr="0076480D">
        <w:rPr>
          <w:rFonts w:ascii="ITC Avant Garde" w:hAnsi="ITC Avant Garde"/>
          <w:b/>
          <w:sz w:val="22"/>
          <w:szCs w:val="22"/>
        </w:rPr>
        <w:lastRenderedPageBreak/>
        <w:t>CUARTO</w:t>
      </w:r>
      <w:r w:rsidR="00BC6A4B" w:rsidRPr="0076480D">
        <w:rPr>
          <w:rFonts w:ascii="ITC Avant Garde" w:hAnsi="ITC Avant Garde"/>
          <w:b/>
          <w:sz w:val="22"/>
          <w:szCs w:val="22"/>
        </w:rPr>
        <w:t>.</w:t>
      </w:r>
      <w:r w:rsidR="00094203" w:rsidRPr="0076480D">
        <w:rPr>
          <w:rFonts w:ascii="ITC Avant Garde" w:hAnsi="ITC Avant Garde"/>
          <w:b/>
          <w:sz w:val="22"/>
          <w:szCs w:val="22"/>
        </w:rPr>
        <w:t xml:space="preserve"> </w:t>
      </w:r>
      <w:r w:rsidR="00990787" w:rsidRPr="0076480D">
        <w:rPr>
          <w:rFonts w:ascii="ITC Avant Garde" w:hAnsi="ITC Avant Garde"/>
          <w:b/>
          <w:sz w:val="22"/>
          <w:szCs w:val="22"/>
        </w:rPr>
        <w:t>Consulta pública.</w:t>
      </w:r>
      <w:r w:rsidR="00990787" w:rsidRPr="0076480D">
        <w:rPr>
          <w:rFonts w:ascii="ITC Avant Garde" w:hAnsi="ITC Avant Garde"/>
          <w:sz w:val="22"/>
          <w:szCs w:val="22"/>
        </w:rPr>
        <w:t xml:space="preserve"> </w:t>
      </w:r>
      <w:r w:rsidR="00C0521F" w:rsidRPr="0076480D">
        <w:rPr>
          <w:rFonts w:ascii="ITC Avant Garde" w:hAnsi="ITC Avant Garde"/>
          <w:sz w:val="22"/>
          <w:szCs w:val="22"/>
        </w:rPr>
        <w:t>E</w:t>
      </w:r>
      <w:r w:rsidR="00990787" w:rsidRPr="0076480D">
        <w:rPr>
          <w:rFonts w:ascii="ITC Avant Garde" w:hAnsi="ITC Avant Garde"/>
          <w:sz w:val="22"/>
          <w:szCs w:val="22"/>
        </w:rPr>
        <w:t>l artículo 51 de la L</w:t>
      </w:r>
      <w:r w:rsidR="00C0521F" w:rsidRPr="0076480D">
        <w:rPr>
          <w:rFonts w:ascii="ITC Avant Garde" w:hAnsi="ITC Avant Garde"/>
          <w:sz w:val="22"/>
          <w:szCs w:val="22"/>
        </w:rPr>
        <w:t>FTR</w:t>
      </w:r>
      <w:r w:rsidR="00990787" w:rsidRPr="0076480D">
        <w:rPr>
          <w:rFonts w:ascii="ITC Avant Garde" w:hAnsi="ITC Avant Garde"/>
          <w:sz w:val="22"/>
          <w:szCs w:val="22"/>
        </w:rPr>
        <w:t xml:space="preserve"> establece que para la emisión</w:t>
      </w:r>
      <w:r w:rsidR="00327B43" w:rsidRPr="0076480D">
        <w:rPr>
          <w:rFonts w:ascii="ITC Avant Garde" w:hAnsi="ITC Avant Garde"/>
          <w:sz w:val="22"/>
          <w:szCs w:val="22"/>
        </w:rPr>
        <w:t xml:space="preserve"> y</w:t>
      </w:r>
      <w:r w:rsidR="00990787" w:rsidRPr="0076480D">
        <w:rPr>
          <w:rFonts w:ascii="ITC Avant Garde" w:hAnsi="ITC Avant Garde"/>
          <w:sz w:val="22"/>
          <w:szCs w:val="22"/>
        </w:rPr>
        <w:t xml:space="preserve"> modificación de reglas, lineamientos o disposiciones administrativas de carácter general, así como en cualquier caso que determine el Pleno, el Instituto deberá realizar consultas públicas bajo los principios de transparencia y participación </w:t>
      </w:r>
      <w:r w:rsidR="00D663B6" w:rsidRPr="0076480D">
        <w:rPr>
          <w:rFonts w:ascii="ITC Avant Garde" w:hAnsi="ITC Avant Garde"/>
          <w:sz w:val="22"/>
          <w:szCs w:val="22"/>
        </w:rPr>
        <w:t>ciudadana</w:t>
      </w:r>
      <w:r w:rsidR="00990787" w:rsidRPr="0076480D">
        <w:rPr>
          <w:rFonts w:ascii="ITC Avant Garde" w:hAnsi="ITC Avant Garde"/>
          <w:sz w:val="22"/>
          <w:szCs w:val="22"/>
        </w:rPr>
        <w:t>.</w:t>
      </w:r>
    </w:p>
    <w:p w14:paraId="0D27A848" w14:textId="77777777" w:rsidR="0076480D" w:rsidRPr="0076480D" w:rsidRDefault="00990787" w:rsidP="0076480D">
      <w:pPr>
        <w:autoSpaceDE w:val="0"/>
        <w:autoSpaceDN w:val="0"/>
        <w:adjustRightInd w:val="0"/>
        <w:spacing w:before="240" w:after="240"/>
        <w:jc w:val="both"/>
        <w:rPr>
          <w:rFonts w:ascii="ITC Avant Garde" w:hAnsi="ITC Avant Garde"/>
          <w:sz w:val="22"/>
          <w:szCs w:val="22"/>
        </w:rPr>
      </w:pPr>
      <w:r w:rsidRPr="0076480D">
        <w:rPr>
          <w:rFonts w:ascii="ITC Avant Garde" w:hAnsi="ITC Avant Garde"/>
          <w:sz w:val="22"/>
          <w:szCs w:val="22"/>
        </w:rPr>
        <w:t xml:space="preserve">Sobre el caso particular, la publicidad que se dará al </w:t>
      </w:r>
      <w:r w:rsidR="00DF7935" w:rsidRPr="0076480D">
        <w:rPr>
          <w:rFonts w:ascii="ITC Avant Garde" w:hAnsi="ITC Avant Garde"/>
          <w:sz w:val="22"/>
          <w:szCs w:val="22"/>
        </w:rPr>
        <w:t xml:space="preserve">Anteproyecto no compromete los efectos que el mismo pretende resolver y prevenir. </w:t>
      </w:r>
    </w:p>
    <w:p w14:paraId="1A047F93" w14:textId="5D472372" w:rsidR="005946F7" w:rsidRPr="0076480D" w:rsidRDefault="00990787" w:rsidP="0076480D">
      <w:pPr>
        <w:autoSpaceDE w:val="0"/>
        <w:autoSpaceDN w:val="0"/>
        <w:adjustRightInd w:val="0"/>
        <w:spacing w:before="240" w:after="240"/>
        <w:jc w:val="both"/>
        <w:rPr>
          <w:rFonts w:ascii="ITC Avant Garde" w:hAnsi="ITC Avant Garde"/>
          <w:bCs/>
          <w:sz w:val="22"/>
          <w:szCs w:val="22"/>
          <w:lang w:val="es-ES_tradnl"/>
        </w:rPr>
      </w:pPr>
      <w:r w:rsidRPr="0076480D">
        <w:rPr>
          <w:rFonts w:ascii="ITC Avant Garde" w:hAnsi="ITC Avant Garde"/>
          <w:sz w:val="22"/>
          <w:szCs w:val="22"/>
        </w:rPr>
        <w:t xml:space="preserve">En ese sentido, el Pleno del </w:t>
      </w:r>
      <w:r w:rsidR="00D663B6" w:rsidRPr="0076480D">
        <w:rPr>
          <w:rFonts w:ascii="ITC Avant Garde" w:hAnsi="ITC Avant Garde"/>
          <w:sz w:val="22"/>
          <w:szCs w:val="22"/>
        </w:rPr>
        <w:t xml:space="preserve">IFT </w:t>
      </w:r>
      <w:r w:rsidRPr="0076480D">
        <w:rPr>
          <w:rFonts w:ascii="ITC Avant Garde" w:hAnsi="ITC Avant Garde"/>
          <w:sz w:val="22"/>
          <w:szCs w:val="22"/>
        </w:rPr>
        <w:t>estima conveniente someter a consulta pública</w:t>
      </w:r>
      <w:r w:rsidR="00DF7935" w:rsidRPr="0076480D">
        <w:rPr>
          <w:rFonts w:ascii="ITC Avant Garde" w:hAnsi="ITC Avant Garde"/>
          <w:sz w:val="22"/>
          <w:szCs w:val="22"/>
        </w:rPr>
        <w:t xml:space="preserve"> el </w:t>
      </w:r>
      <w:r w:rsidR="00D07DED" w:rsidRPr="0076480D">
        <w:rPr>
          <w:rFonts w:ascii="ITC Avant Garde" w:hAnsi="ITC Avant Garde"/>
          <w:sz w:val="22"/>
          <w:szCs w:val="22"/>
        </w:rPr>
        <w:t>“</w:t>
      </w:r>
      <w:r w:rsidR="00D07DED" w:rsidRPr="0076480D">
        <w:rPr>
          <w:rFonts w:ascii="ITC Avant Garde" w:hAnsi="ITC Avant Garde"/>
          <w:sz w:val="22"/>
          <w:szCs w:val="22"/>
          <w:lang w:val="es-ES"/>
        </w:rPr>
        <w:t xml:space="preserve">Anteproyecto del Acuerdo por el que se modifican los Lineamientos de Colaboración en Materia de Seguridad y Justicia” </w:t>
      </w:r>
      <w:r w:rsidR="00DF7935" w:rsidRPr="0076480D">
        <w:rPr>
          <w:rFonts w:ascii="ITC Avant Garde" w:hAnsi="ITC Avant Garde"/>
          <w:sz w:val="22"/>
          <w:szCs w:val="22"/>
          <w:lang w:val="es-ES"/>
        </w:rPr>
        <w:t>que fue presentado a su consideración por la Unidad de Asuntos Jurídicos, mismo que se adjunta al presente Acuerdo como Anexo Único</w:t>
      </w:r>
      <w:r w:rsidR="00B37CBF" w:rsidRPr="0076480D">
        <w:rPr>
          <w:rFonts w:ascii="ITC Avant Garde" w:hAnsi="ITC Avant Garde"/>
          <w:sz w:val="22"/>
          <w:szCs w:val="22"/>
          <w:lang w:val="es-ES"/>
        </w:rPr>
        <w:t xml:space="preserve">, </w:t>
      </w:r>
      <w:r w:rsidR="00900463" w:rsidRPr="0076480D">
        <w:rPr>
          <w:rFonts w:ascii="ITC Avant Garde" w:hAnsi="ITC Avant Garde"/>
          <w:bCs/>
          <w:sz w:val="22"/>
          <w:szCs w:val="22"/>
          <w:lang w:val="es-ES_tradnl"/>
        </w:rPr>
        <w:t xml:space="preserve">por un periodo de </w:t>
      </w:r>
      <w:r w:rsidR="00BF076C" w:rsidRPr="0076480D">
        <w:rPr>
          <w:rFonts w:ascii="ITC Avant Garde" w:hAnsi="ITC Avant Garde"/>
          <w:bCs/>
          <w:sz w:val="22"/>
          <w:szCs w:val="22"/>
          <w:lang w:val="es-ES_tradnl"/>
        </w:rPr>
        <w:t xml:space="preserve">veinte </w:t>
      </w:r>
      <w:r w:rsidR="00900463" w:rsidRPr="0076480D">
        <w:rPr>
          <w:rFonts w:ascii="ITC Avant Garde" w:hAnsi="ITC Avant Garde"/>
          <w:bCs/>
          <w:sz w:val="22"/>
          <w:szCs w:val="22"/>
          <w:lang w:val="es-ES_tradnl"/>
        </w:rPr>
        <w:t>días hábiles</w:t>
      </w:r>
      <w:r w:rsidR="00900463" w:rsidRPr="0076480D">
        <w:rPr>
          <w:rFonts w:ascii="ITC Avant Garde" w:hAnsi="ITC Avant Garde"/>
          <w:b/>
          <w:bCs/>
          <w:sz w:val="22"/>
          <w:szCs w:val="22"/>
          <w:lang w:val="es-ES_tradnl"/>
        </w:rPr>
        <w:t xml:space="preserve"> </w:t>
      </w:r>
      <w:r w:rsidR="00900463" w:rsidRPr="0076480D">
        <w:rPr>
          <w:rFonts w:ascii="ITC Avant Garde" w:hAnsi="ITC Avant Garde"/>
          <w:bCs/>
          <w:sz w:val="22"/>
          <w:szCs w:val="22"/>
          <w:lang w:val="es-ES_tradnl"/>
        </w:rPr>
        <w:t>a fin de transparentar y promover la participación ciudadana en los procesos de</w:t>
      </w:r>
      <w:r w:rsidR="005946F7" w:rsidRPr="0076480D">
        <w:rPr>
          <w:rFonts w:ascii="ITC Avant Garde" w:hAnsi="ITC Avant Garde"/>
          <w:bCs/>
          <w:sz w:val="22"/>
          <w:szCs w:val="22"/>
          <w:lang w:val="es-ES_tradnl"/>
        </w:rPr>
        <w:t xml:space="preserve"> modificación</w:t>
      </w:r>
      <w:r w:rsidR="00900463" w:rsidRPr="0076480D">
        <w:rPr>
          <w:rFonts w:ascii="ITC Avant Garde" w:hAnsi="ITC Avant Garde"/>
          <w:bCs/>
          <w:sz w:val="22"/>
          <w:szCs w:val="22"/>
          <w:lang w:val="es-ES_tradnl"/>
        </w:rPr>
        <w:t xml:space="preserve"> de disposiciones de carácter general que genere el </w:t>
      </w:r>
      <w:r w:rsidR="00D663B6" w:rsidRPr="0076480D">
        <w:rPr>
          <w:rFonts w:ascii="ITC Avant Garde" w:hAnsi="ITC Avant Garde"/>
          <w:bCs/>
          <w:sz w:val="22"/>
          <w:szCs w:val="22"/>
          <w:lang w:val="es-ES_tradnl"/>
        </w:rPr>
        <w:t>IFT</w:t>
      </w:r>
      <w:r w:rsidR="00900463" w:rsidRPr="0076480D">
        <w:rPr>
          <w:rFonts w:ascii="ITC Avant Garde" w:hAnsi="ITC Avant Garde"/>
          <w:bCs/>
          <w:sz w:val="22"/>
          <w:szCs w:val="22"/>
          <w:lang w:val="es-ES_tradnl"/>
        </w:rPr>
        <w:t>, a efecto de dar cabal cumplimiento a lo establecido en el dispositivo legal señalado.</w:t>
      </w:r>
    </w:p>
    <w:p w14:paraId="399EF2B5" w14:textId="77777777" w:rsidR="00900463" w:rsidRPr="0076480D" w:rsidRDefault="00900463" w:rsidP="0076480D">
      <w:pPr>
        <w:pStyle w:val="Default"/>
        <w:tabs>
          <w:tab w:val="left" w:pos="0"/>
        </w:tabs>
        <w:spacing w:before="240" w:after="240"/>
        <w:jc w:val="both"/>
        <w:rPr>
          <w:rFonts w:ascii="ITC Avant Garde" w:hAnsi="ITC Avant Garde"/>
          <w:bCs/>
          <w:color w:val="auto"/>
          <w:sz w:val="22"/>
          <w:szCs w:val="22"/>
          <w:lang w:val="es-ES_tradnl"/>
        </w:rPr>
      </w:pPr>
      <w:r w:rsidRPr="0076480D">
        <w:rPr>
          <w:rFonts w:ascii="ITC Avant Garde" w:hAnsi="ITC Avant Garde"/>
          <w:bCs/>
          <w:color w:val="auto"/>
          <w:sz w:val="22"/>
          <w:szCs w:val="22"/>
          <w:lang w:val="es-ES_tradnl"/>
        </w:rPr>
        <w:t xml:space="preserve"> </w:t>
      </w:r>
    </w:p>
    <w:p w14:paraId="3DDC2365" w14:textId="77777777" w:rsidR="0076480D" w:rsidRPr="0076480D" w:rsidRDefault="005946F7" w:rsidP="0076480D">
      <w:pPr>
        <w:spacing w:before="240" w:after="240"/>
        <w:jc w:val="both"/>
        <w:rPr>
          <w:rFonts w:ascii="ITC Avant Garde" w:hAnsi="ITC Avant Garde"/>
          <w:kern w:val="2"/>
          <w:sz w:val="22"/>
          <w:szCs w:val="22"/>
          <w:lang w:val="es-ES" w:eastAsia="ar-SA"/>
        </w:rPr>
      </w:pPr>
      <w:r w:rsidRPr="0076480D">
        <w:rPr>
          <w:rFonts w:ascii="ITC Avant Garde" w:hAnsi="ITC Avant Garde"/>
          <w:kern w:val="2"/>
          <w:sz w:val="22"/>
          <w:szCs w:val="22"/>
          <w:lang w:val="es-ES" w:eastAsia="ar-SA"/>
        </w:rPr>
        <w:t>Por las razones expuestas</w:t>
      </w:r>
      <w:r w:rsidR="006E0437" w:rsidRPr="0076480D">
        <w:rPr>
          <w:rFonts w:ascii="ITC Avant Garde" w:hAnsi="ITC Avant Garde"/>
          <w:kern w:val="2"/>
          <w:sz w:val="22"/>
          <w:szCs w:val="22"/>
          <w:lang w:val="es-ES" w:eastAsia="ar-SA"/>
        </w:rPr>
        <w:t xml:space="preserve"> y con fundamento en los artículos 28, párrafo </w:t>
      </w:r>
      <w:r w:rsidR="00D07DED" w:rsidRPr="0076480D">
        <w:rPr>
          <w:rFonts w:ascii="ITC Avant Garde" w:hAnsi="ITC Avant Garde"/>
          <w:kern w:val="2"/>
          <w:sz w:val="22"/>
          <w:szCs w:val="22"/>
          <w:lang w:val="es-ES" w:eastAsia="ar-SA"/>
        </w:rPr>
        <w:t xml:space="preserve">décimo </w:t>
      </w:r>
      <w:r w:rsidR="006F7BEC" w:rsidRPr="0076480D">
        <w:rPr>
          <w:rFonts w:ascii="ITC Avant Garde" w:hAnsi="ITC Avant Garde"/>
          <w:kern w:val="2"/>
          <w:sz w:val="22"/>
          <w:szCs w:val="22"/>
          <w:lang w:val="es-ES" w:eastAsia="ar-SA"/>
        </w:rPr>
        <w:t>sexto</w:t>
      </w:r>
      <w:r w:rsidR="006E0437" w:rsidRPr="0076480D">
        <w:rPr>
          <w:rFonts w:ascii="ITC Avant Garde" w:hAnsi="ITC Avant Garde"/>
          <w:kern w:val="2"/>
          <w:sz w:val="22"/>
          <w:szCs w:val="22"/>
          <w:lang w:val="es-ES" w:eastAsia="ar-SA"/>
        </w:rPr>
        <w:t xml:space="preserve">, de la Constitución Política de los Estados Unidos Mexicanos; </w:t>
      </w:r>
      <w:r w:rsidR="00D07DED" w:rsidRPr="0076480D">
        <w:rPr>
          <w:rFonts w:ascii="ITC Avant Garde" w:hAnsi="ITC Avant Garde"/>
          <w:kern w:val="2"/>
          <w:sz w:val="22"/>
          <w:szCs w:val="22"/>
          <w:lang w:val="es-ES" w:eastAsia="ar-SA"/>
        </w:rPr>
        <w:t xml:space="preserve">7, 15, fracción XL, 16, 17, fracción I, </w:t>
      </w:r>
      <w:r w:rsidR="007E2C9F" w:rsidRPr="0076480D">
        <w:rPr>
          <w:rFonts w:ascii="ITC Avant Garde" w:hAnsi="ITC Avant Garde"/>
          <w:kern w:val="2"/>
          <w:sz w:val="22"/>
          <w:szCs w:val="22"/>
          <w:lang w:val="es-ES" w:eastAsia="ar-SA"/>
        </w:rPr>
        <w:t xml:space="preserve">y </w:t>
      </w:r>
      <w:r w:rsidR="00D07DED" w:rsidRPr="0076480D">
        <w:rPr>
          <w:rFonts w:ascii="ITC Avant Garde" w:hAnsi="ITC Avant Garde"/>
          <w:kern w:val="2"/>
          <w:sz w:val="22"/>
          <w:szCs w:val="22"/>
          <w:lang w:val="es-ES" w:eastAsia="ar-SA"/>
        </w:rPr>
        <w:t xml:space="preserve">51 de la </w:t>
      </w:r>
      <w:r w:rsidR="002367EE" w:rsidRPr="0076480D">
        <w:rPr>
          <w:rFonts w:ascii="ITC Avant Garde" w:hAnsi="ITC Avant Garde"/>
          <w:kern w:val="2"/>
          <w:sz w:val="22"/>
          <w:szCs w:val="22"/>
          <w:lang w:val="es-ES" w:eastAsia="ar-SA"/>
        </w:rPr>
        <w:t>Ley Federal de Telecomunicaciones y Radiodifusión</w:t>
      </w:r>
      <w:r w:rsidR="003B1B1B" w:rsidRPr="0076480D">
        <w:rPr>
          <w:rFonts w:ascii="ITC Avant Garde" w:hAnsi="ITC Avant Garde"/>
          <w:kern w:val="2"/>
          <w:sz w:val="22"/>
          <w:szCs w:val="22"/>
          <w:lang w:val="es-ES" w:eastAsia="ar-SA"/>
        </w:rPr>
        <w:t>,</w:t>
      </w:r>
      <w:r w:rsidR="000B3172" w:rsidRPr="0076480D">
        <w:rPr>
          <w:rFonts w:ascii="ITC Avant Garde" w:hAnsi="ITC Avant Garde"/>
          <w:kern w:val="2"/>
          <w:sz w:val="22"/>
          <w:szCs w:val="22"/>
          <w:lang w:val="es-ES" w:eastAsia="ar-SA"/>
        </w:rPr>
        <w:t xml:space="preserve"> </w:t>
      </w:r>
      <w:r w:rsidR="00D07DED" w:rsidRPr="0076480D">
        <w:rPr>
          <w:rFonts w:ascii="ITC Avant Garde" w:hAnsi="ITC Avant Garde"/>
          <w:kern w:val="2"/>
          <w:sz w:val="22"/>
          <w:szCs w:val="22"/>
          <w:lang w:val="es-ES" w:eastAsia="ar-SA"/>
        </w:rPr>
        <w:t xml:space="preserve">así como </w:t>
      </w:r>
      <w:r w:rsidR="000B3172" w:rsidRPr="0076480D">
        <w:rPr>
          <w:rFonts w:ascii="ITC Avant Garde" w:hAnsi="ITC Avant Garde"/>
          <w:kern w:val="2"/>
          <w:sz w:val="22"/>
          <w:szCs w:val="22"/>
          <w:lang w:val="es-ES" w:eastAsia="ar-SA"/>
        </w:rPr>
        <w:t>1</w:t>
      </w:r>
      <w:r w:rsidR="00D07DED" w:rsidRPr="0076480D">
        <w:rPr>
          <w:rFonts w:ascii="ITC Avant Garde" w:hAnsi="ITC Avant Garde"/>
          <w:kern w:val="2"/>
          <w:sz w:val="22"/>
          <w:szCs w:val="22"/>
          <w:lang w:val="es-ES" w:eastAsia="ar-SA"/>
        </w:rPr>
        <w:t>, 4, fracción I,</w:t>
      </w:r>
      <w:r w:rsidR="00D9549A" w:rsidRPr="0076480D">
        <w:rPr>
          <w:rFonts w:ascii="ITC Avant Garde" w:hAnsi="ITC Avant Garde"/>
          <w:kern w:val="2"/>
          <w:sz w:val="22"/>
          <w:szCs w:val="22"/>
          <w:lang w:val="es-ES" w:eastAsia="ar-SA"/>
        </w:rPr>
        <w:t xml:space="preserve"> </w:t>
      </w:r>
      <w:r w:rsidR="000B3172" w:rsidRPr="0076480D">
        <w:rPr>
          <w:rFonts w:ascii="ITC Avant Garde" w:hAnsi="ITC Avant Garde" w:cs="Arial"/>
          <w:sz w:val="22"/>
          <w:szCs w:val="22"/>
        </w:rPr>
        <w:t>52</w:t>
      </w:r>
      <w:r w:rsidR="00170158" w:rsidRPr="0076480D">
        <w:rPr>
          <w:rFonts w:ascii="ITC Avant Garde" w:hAnsi="ITC Avant Garde" w:cs="Arial"/>
          <w:sz w:val="22"/>
          <w:szCs w:val="22"/>
        </w:rPr>
        <w:t xml:space="preserve"> </w:t>
      </w:r>
      <w:r w:rsidR="00F147A7" w:rsidRPr="0076480D">
        <w:rPr>
          <w:rFonts w:ascii="ITC Avant Garde" w:hAnsi="ITC Avant Garde" w:cs="Arial"/>
          <w:sz w:val="22"/>
          <w:szCs w:val="22"/>
        </w:rPr>
        <w:t>y 53, fracción III</w:t>
      </w:r>
      <w:r w:rsidR="007E2C9F" w:rsidRPr="0076480D">
        <w:rPr>
          <w:rFonts w:ascii="ITC Avant Garde" w:hAnsi="ITC Avant Garde" w:cs="Arial"/>
          <w:sz w:val="22"/>
          <w:szCs w:val="22"/>
        </w:rPr>
        <w:t xml:space="preserve"> </w:t>
      </w:r>
      <w:r w:rsidR="00170158" w:rsidRPr="0076480D">
        <w:rPr>
          <w:rFonts w:ascii="ITC Avant Garde" w:hAnsi="ITC Avant Garde" w:cs="Arial"/>
          <w:sz w:val="22"/>
          <w:szCs w:val="22"/>
        </w:rPr>
        <w:t>del Estatuto Orgánico del Instituto</w:t>
      </w:r>
      <w:r w:rsidR="00D07DED" w:rsidRPr="0076480D">
        <w:rPr>
          <w:rFonts w:ascii="ITC Avant Garde" w:hAnsi="ITC Avant Garde" w:cs="Arial"/>
          <w:sz w:val="22"/>
          <w:szCs w:val="22"/>
        </w:rPr>
        <w:t xml:space="preserve"> Federal de Telecomunicaciones</w:t>
      </w:r>
      <w:r w:rsidR="00170158" w:rsidRPr="0076480D">
        <w:rPr>
          <w:rFonts w:ascii="ITC Avant Garde" w:hAnsi="ITC Avant Garde" w:cs="Arial"/>
          <w:sz w:val="22"/>
          <w:szCs w:val="22"/>
        </w:rPr>
        <w:t xml:space="preserve">, </w:t>
      </w:r>
      <w:r w:rsidR="006E0437" w:rsidRPr="0076480D">
        <w:rPr>
          <w:rFonts w:ascii="ITC Avant Garde" w:hAnsi="ITC Avant Garde"/>
          <w:kern w:val="2"/>
          <w:sz w:val="22"/>
          <w:szCs w:val="22"/>
          <w:lang w:val="es-ES" w:eastAsia="ar-SA"/>
        </w:rPr>
        <w:t>el Pleno del Instituto</w:t>
      </w:r>
      <w:r w:rsidR="002367EE" w:rsidRPr="0076480D">
        <w:rPr>
          <w:rFonts w:ascii="ITC Avant Garde" w:hAnsi="ITC Avant Garde"/>
          <w:kern w:val="2"/>
          <w:sz w:val="22"/>
          <w:szCs w:val="22"/>
          <w:lang w:val="es-ES" w:eastAsia="ar-SA"/>
        </w:rPr>
        <w:t xml:space="preserve"> Federal de Telecomunicaciones</w:t>
      </w:r>
      <w:r w:rsidR="006E0437" w:rsidRPr="0076480D">
        <w:rPr>
          <w:rFonts w:ascii="ITC Avant Garde" w:hAnsi="ITC Avant Garde"/>
          <w:kern w:val="2"/>
          <w:sz w:val="22"/>
          <w:szCs w:val="22"/>
          <w:lang w:val="es-ES" w:eastAsia="ar-SA"/>
        </w:rPr>
        <w:t xml:space="preserve"> emite el siguiente:</w:t>
      </w:r>
    </w:p>
    <w:p w14:paraId="4D939A69" w14:textId="4664FD04" w:rsidR="0076480D" w:rsidRPr="0076480D" w:rsidRDefault="004475AB" w:rsidP="0076480D">
      <w:pPr>
        <w:pStyle w:val="Ttulo2"/>
        <w:spacing w:after="240"/>
        <w:jc w:val="center"/>
        <w:rPr>
          <w:rFonts w:ascii="ITC Avant Garde" w:hAnsi="ITC Avant Garde"/>
          <w:b/>
          <w:color w:val="000000" w:themeColor="text1"/>
          <w:sz w:val="22"/>
          <w:szCs w:val="22"/>
        </w:rPr>
      </w:pPr>
      <w:r w:rsidRPr="0076480D">
        <w:rPr>
          <w:rFonts w:ascii="ITC Avant Garde" w:hAnsi="ITC Avant Garde"/>
          <w:b/>
          <w:color w:val="000000" w:themeColor="text1"/>
          <w:sz w:val="22"/>
          <w:szCs w:val="22"/>
        </w:rPr>
        <w:t>ACUERDO</w:t>
      </w:r>
    </w:p>
    <w:p w14:paraId="7962AA90" w14:textId="77777777" w:rsidR="0076480D" w:rsidRPr="0076480D" w:rsidRDefault="00AD55DE" w:rsidP="0076480D">
      <w:pPr>
        <w:tabs>
          <w:tab w:val="left" w:pos="720"/>
          <w:tab w:val="left" w:pos="1134"/>
        </w:tabs>
        <w:spacing w:before="240" w:after="240"/>
        <w:jc w:val="both"/>
        <w:rPr>
          <w:rFonts w:ascii="ITC Avant Garde" w:hAnsi="ITC Avant Garde" w:cs="Tahoma"/>
          <w:b/>
          <w:bCs/>
          <w:color w:val="000000"/>
          <w:sz w:val="22"/>
          <w:szCs w:val="22"/>
          <w:lang w:eastAsia="es-MX"/>
        </w:rPr>
      </w:pPr>
      <w:r w:rsidRPr="0076480D">
        <w:rPr>
          <w:rFonts w:ascii="ITC Avant Garde" w:hAnsi="ITC Avant Garde"/>
          <w:b/>
          <w:sz w:val="22"/>
          <w:szCs w:val="22"/>
        </w:rPr>
        <w:t>PRIMERO</w:t>
      </w:r>
      <w:r w:rsidRPr="0076480D">
        <w:rPr>
          <w:rFonts w:ascii="ITC Avant Garde" w:hAnsi="ITC Avant Garde"/>
          <w:sz w:val="22"/>
          <w:szCs w:val="22"/>
        </w:rPr>
        <w:t xml:space="preserve">. Se </w:t>
      </w:r>
      <w:r w:rsidR="000B3172" w:rsidRPr="0076480D">
        <w:rPr>
          <w:rFonts w:ascii="ITC Avant Garde" w:hAnsi="ITC Avant Garde"/>
          <w:sz w:val="22"/>
          <w:szCs w:val="22"/>
        </w:rPr>
        <w:t>aprueba</w:t>
      </w:r>
      <w:r w:rsidR="006909B8" w:rsidRPr="0076480D">
        <w:rPr>
          <w:rFonts w:ascii="ITC Avant Garde" w:hAnsi="ITC Avant Garde"/>
          <w:sz w:val="22"/>
          <w:szCs w:val="22"/>
        </w:rPr>
        <w:t xml:space="preserve"> </w:t>
      </w:r>
      <w:r w:rsidR="00FD0F65" w:rsidRPr="0076480D">
        <w:rPr>
          <w:rFonts w:ascii="ITC Avant Garde" w:hAnsi="ITC Avant Garde"/>
          <w:sz w:val="22"/>
          <w:szCs w:val="22"/>
        </w:rPr>
        <w:t xml:space="preserve">someter a consulta </w:t>
      </w:r>
      <w:r w:rsidR="001E7E83" w:rsidRPr="0076480D">
        <w:rPr>
          <w:rFonts w:ascii="ITC Avant Garde" w:hAnsi="ITC Avant Garde"/>
          <w:sz w:val="22"/>
          <w:szCs w:val="22"/>
        </w:rPr>
        <w:t>pública el</w:t>
      </w:r>
      <w:r w:rsidR="00FD0F65" w:rsidRPr="0076480D">
        <w:rPr>
          <w:rFonts w:ascii="ITC Avant Garde" w:hAnsi="ITC Avant Garde"/>
          <w:sz w:val="22"/>
          <w:szCs w:val="22"/>
        </w:rPr>
        <w:t xml:space="preserve"> </w:t>
      </w:r>
      <w:r w:rsidR="00FC2A02" w:rsidRPr="0076480D">
        <w:rPr>
          <w:rFonts w:ascii="ITC Avant Garde" w:hAnsi="ITC Avant Garde"/>
          <w:sz w:val="22"/>
          <w:szCs w:val="22"/>
          <w:lang w:val="es-ES"/>
        </w:rPr>
        <w:t>“Anteproyecto del Acuerdo por el que se modifican los Lineamientos de Colaboración en Materia de Seguridad y Justicia”</w:t>
      </w:r>
      <w:r w:rsidR="00C05ABA" w:rsidRPr="0076480D">
        <w:rPr>
          <w:rFonts w:ascii="ITC Avant Garde" w:hAnsi="ITC Avant Garde" w:cs="Tahoma"/>
          <w:bCs/>
          <w:color w:val="000000"/>
          <w:sz w:val="22"/>
          <w:szCs w:val="22"/>
          <w:lang w:eastAsia="es-MX"/>
        </w:rPr>
        <w:t>,</w:t>
      </w:r>
      <w:r w:rsidR="00C05ABA" w:rsidRPr="0076480D">
        <w:rPr>
          <w:rFonts w:ascii="ITC Avant Garde" w:hAnsi="ITC Avant Garde" w:cs="Tahoma"/>
          <w:b/>
          <w:bCs/>
          <w:color w:val="000000"/>
          <w:sz w:val="22"/>
          <w:szCs w:val="22"/>
          <w:lang w:eastAsia="es-MX"/>
        </w:rPr>
        <w:t xml:space="preserve"> </w:t>
      </w:r>
      <w:r w:rsidR="002367EE" w:rsidRPr="0076480D">
        <w:rPr>
          <w:rFonts w:ascii="ITC Avant Garde" w:hAnsi="ITC Avant Garde"/>
          <w:sz w:val="22"/>
          <w:szCs w:val="22"/>
        </w:rPr>
        <w:t xml:space="preserve">mismo que se </w:t>
      </w:r>
      <w:r w:rsidR="000B3172" w:rsidRPr="0076480D">
        <w:rPr>
          <w:rFonts w:ascii="ITC Avant Garde" w:hAnsi="ITC Avant Garde"/>
          <w:sz w:val="22"/>
          <w:szCs w:val="22"/>
        </w:rPr>
        <w:t>adjunta al presente como</w:t>
      </w:r>
      <w:r w:rsidR="002367EE" w:rsidRPr="0076480D">
        <w:rPr>
          <w:rFonts w:ascii="ITC Avant Garde" w:hAnsi="ITC Avant Garde"/>
          <w:sz w:val="22"/>
          <w:szCs w:val="22"/>
        </w:rPr>
        <w:t xml:space="preserve"> Anexo Único</w:t>
      </w:r>
      <w:r w:rsidR="009F29AA" w:rsidRPr="0076480D">
        <w:rPr>
          <w:rFonts w:ascii="ITC Avant Garde" w:hAnsi="ITC Avant Garde"/>
          <w:sz w:val="22"/>
          <w:szCs w:val="22"/>
        </w:rPr>
        <w:t>.</w:t>
      </w:r>
      <w:r w:rsidR="002367EE" w:rsidRPr="0076480D">
        <w:rPr>
          <w:rFonts w:ascii="ITC Avant Garde" w:hAnsi="ITC Avant Garde"/>
          <w:sz w:val="22"/>
          <w:szCs w:val="22"/>
        </w:rPr>
        <w:t xml:space="preserve"> Dicha consulta pública se realizará durante </w:t>
      </w:r>
      <w:r w:rsidR="007C32AB" w:rsidRPr="0076480D">
        <w:rPr>
          <w:rFonts w:ascii="ITC Avant Garde" w:hAnsi="ITC Avant Garde"/>
          <w:sz w:val="22"/>
          <w:szCs w:val="22"/>
        </w:rPr>
        <w:t>veinte</w:t>
      </w:r>
      <w:r w:rsidR="00FC02F7" w:rsidRPr="0076480D">
        <w:rPr>
          <w:rFonts w:ascii="ITC Avant Garde" w:hAnsi="ITC Avant Garde"/>
          <w:sz w:val="22"/>
          <w:szCs w:val="22"/>
        </w:rPr>
        <w:t xml:space="preserve"> </w:t>
      </w:r>
      <w:r w:rsidR="002367EE" w:rsidRPr="0076480D">
        <w:rPr>
          <w:rFonts w:ascii="ITC Avant Garde" w:hAnsi="ITC Avant Garde"/>
          <w:sz w:val="22"/>
          <w:szCs w:val="22"/>
        </w:rPr>
        <w:t>días hábiles, contados a partir de</w:t>
      </w:r>
      <w:r w:rsidR="009F29AA" w:rsidRPr="0076480D">
        <w:rPr>
          <w:rFonts w:ascii="ITC Avant Garde" w:hAnsi="ITC Avant Garde"/>
          <w:sz w:val="22"/>
          <w:szCs w:val="22"/>
        </w:rPr>
        <w:t>l</w:t>
      </w:r>
      <w:r w:rsidR="002367EE" w:rsidRPr="0076480D">
        <w:rPr>
          <w:rFonts w:ascii="ITC Avant Garde" w:hAnsi="ITC Avant Garde"/>
          <w:sz w:val="22"/>
          <w:szCs w:val="22"/>
        </w:rPr>
        <w:t xml:space="preserve"> </w:t>
      </w:r>
      <w:r w:rsidR="000D4EF4" w:rsidRPr="0076480D">
        <w:rPr>
          <w:rFonts w:ascii="ITC Avant Garde" w:hAnsi="ITC Avant Garde"/>
          <w:sz w:val="22"/>
          <w:szCs w:val="22"/>
        </w:rPr>
        <w:t>15 de diciembre de 2017.</w:t>
      </w:r>
    </w:p>
    <w:p w14:paraId="123AB361" w14:textId="77777777" w:rsidR="0076480D" w:rsidRPr="0076480D" w:rsidRDefault="00A84A8A" w:rsidP="0076480D">
      <w:pPr>
        <w:autoSpaceDE w:val="0"/>
        <w:autoSpaceDN w:val="0"/>
        <w:adjustRightInd w:val="0"/>
        <w:spacing w:before="240" w:after="240"/>
        <w:jc w:val="both"/>
        <w:rPr>
          <w:rFonts w:ascii="ITC Avant Garde" w:hAnsi="ITC Avant Garde" w:cs="Arial"/>
          <w:sz w:val="22"/>
          <w:szCs w:val="22"/>
        </w:rPr>
      </w:pPr>
      <w:r w:rsidRPr="0076480D">
        <w:rPr>
          <w:rFonts w:ascii="ITC Avant Garde" w:hAnsi="ITC Avant Garde" w:cs="Arial"/>
          <w:b/>
          <w:sz w:val="22"/>
          <w:szCs w:val="22"/>
        </w:rPr>
        <w:t>SEGUNDO</w:t>
      </w:r>
      <w:r w:rsidR="00AD55DE" w:rsidRPr="0076480D">
        <w:rPr>
          <w:rFonts w:ascii="ITC Avant Garde" w:hAnsi="ITC Avant Garde" w:cs="Arial"/>
          <w:sz w:val="22"/>
          <w:szCs w:val="22"/>
        </w:rPr>
        <w:t xml:space="preserve">. </w:t>
      </w:r>
      <w:r w:rsidR="00F51400" w:rsidRPr="0076480D">
        <w:rPr>
          <w:rFonts w:ascii="ITC Avant Garde" w:hAnsi="ITC Avant Garde" w:cs="Arial"/>
          <w:sz w:val="22"/>
          <w:szCs w:val="22"/>
        </w:rPr>
        <w:t xml:space="preserve">Se instruye a la Unidad de </w:t>
      </w:r>
      <w:r w:rsidR="00FC02F7" w:rsidRPr="0076480D">
        <w:rPr>
          <w:rFonts w:ascii="ITC Avant Garde" w:hAnsi="ITC Avant Garde" w:cs="Arial"/>
          <w:sz w:val="22"/>
          <w:szCs w:val="22"/>
        </w:rPr>
        <w:t>Asuntos Jurídicos</w:t>
      </w:r>
      <w:r w:rsidR="00F51400" w:rsidRPr="0076480D">
        <w:rPr>
          <w:rFonts w:ascii="ITC Avant Garde" w:hAnsi="ITC Avant Garde" w:cs="Arial"/>
          <w:sz w:val="22"/>
          <w:szCs w:val="22"/>
        </w:rPr>
        <w:t xml:space="preserve">, por conducto de la Dirección General de </w:t>
      </w:r>
      <w:r w:rsidR="00FC02F7" w:rsidRPr="0076480D">
        <w:rPr>
          <w:rFonts w:ascii="ITC Avant Garde" w:hAnsi="ITC Avant Garde" w:cs="Arial"/>
          <w:sz w:val="22"/>
          <w:szCs w:val="22"/>
        </w:rPr>
        <w:t>Consulta Jurídica</w:t>
      </w:r>
      <w:r w:rsidR="00EF3852" w:rsidRPr="0076480D">
        <w:rPr>
          <w:rFonts w:ascii="ITC Avant Garde" w:hAnsi="ITC Avant Garde" w:cs="Arial"/>
          <w:sz w:val="22"/>
          <w:szCs w:val="22"/>
        </w:rPr>
        <w:t>,</w:t>
      </w:r>
      <w:r w:rsidR="00EB228E" w:rsidRPr="0076480D">
        <w:rPr>
          <w:rFonts w:ascii="ITC Avant Garde" w:hAnsi="ITC Avant Garde" w:cs="Arial"/>
          <w:sz w:val="22"/>
          <w:szCs w:val="22"/>
        </w:rPr>
        <w:t xml:space="preserve"> </w:t>
      </w:r>
      <w:r w:rsidR="009F29AA" w:rsidRPr="0076480D">
        <w:rPr>
          <w:rFonts w:ascii="ITC Avant Garde" w:hAnsi="ITC Avant Garde" w:cs="Arial"/>
          <w:sz w:val="22"/>
          <w:szCs w:val="22"/>
        </w:rPr>
        <w:t xml:space="preserve">a recibir y dar la atención que corresponda a las opiniones que sean vertidas en virtud </w:t>
      </w:r>
      <w:r w:rsidR="00F51400" w:rsidRPr="0076480D">
        <w:rPr>
          <w:rFonts w:ascii="ITC Avant Garde" w:hAnsi="ITC Avant Garde" w:cs="Arial"/>
          <w:sz w:val="22"/>
          <w:szCs w:val="22"/>
        </w:rPr>
        <w:t>de la consulta pública materia del presente Acuerdo.</w:t>
      </w:r>
    </w:p>
    <w:p w14:paraId="5315277C" w14:textId="77777777" w:rsidR="0076480D" w:rsidRPr="0076480D" w:rsidRDefault="00F51400" w:rsidP="0076480D">
      <w:pPr>
        <w:autoSpaceDE w:val="0"/>
        <w:autoSpaceDN w:val="0"/>
        <w:adjustRightInd w:val="0"/>
        <w:spacing w:before="240" w:after="240"/>
        <w:jc w:val="both"/>
        <w:rPr>
          <w:rFonts w:ascii="ITC Avant Garde" w:hAnsi="ITC Avant Garde" w:cs="Arial"/>
          <w:sz w:val="22"/>
          <w:szCs w:val="22"/>
        </w:rPr>
      </w:pPr>
      <w:r w:rsidRPr="0076480D">
        <w:rPr>
          <w:rFonts w:ascii="ITC Avant Garde" w:hAnsi="ITC Avant Garde" w:cs="Arial"/>
          <w:b/>
          <w:sz w:val="22"/>
          <w:szCs w:val="22"/>
        </w:rPr>
        <w:t>TERCERO.</w:t>
      </w:r>
      <w:r w:rsidR="00FC2A02" w:rsidRPr="0076480D">
        <w:rPr>
          <w:rFonts w:ascii="ITC Avant Garde" w:hAnsi="ITC Avant Garde" w:cs="Arial"/>
          <w:b/>
          <w:sz w:val="22"/>
          <w:szCs w:val="22"/>
        </w:rPr>
        <w:t xml:space="preserve"> </w:t>
      </w:r>
      <w:r w:rsidR="00AD55DE" w:rsidRPr="0076480D">
        <w:rPr>
          <w:rFonts w:ascii="ITC Avant Garde" w:hAnsi="ITC Avant Garde" w:cs="Arial"/>
          <w:sz w:val="22"/>
          <w:szCs w:val="22"/>
        </w:rPr>
        <w:t xml:space="preserve">Publíquese </w:t>
      </w:r>
      <w:r w:rsidR="002367EE" w:rsidRPr="0076480D">
        <w:rPr>
          <w:rFonts w:ascii="ITC Avant Garde" w:hAnsi="ITC Avant Garde" w:cs="Arial"/>
          <w:sz w:val="22"/>
          <w:szCs w:val="22"/>
        </w:rPr>
        <w:t xml:space="preserve">en la página de Internet </w:t>
      </w:r>
      <w:r w:rsidRPr="0076480D">
        <w:rPr>
          <w:rFonts w:ascii="ITC Avant Garde" w:hAnsi="ITC Avant Garde" w:cs="Arial"/>
          <w:sz w:val="22"/>
          <w:szCs w:val="22"/>
        </w:rPr>
        <w:t>del Instituto Federal de Telecomunicaciones.</w:t>
      </w:r>
    </w:p>
    <w:p w14:paraId="24AA9335" w14:textId="77777777" w:rsidR="0076480D" w:rsidRPr="0076480D" w:rsidRDefault="00A45C99" w:rsidP="00E33582">
      <w:pPr>
        <w:jc w:val="both"/>
        <w:rPr>
          <w:rFonts w:ascii="ITC Avant Garde" w:hAnsi="ITC Avant Garde"/>
          <w:sz w:val="10"/>
          <w:szCs w:val="22"/>
          <w:lang w:eastAsia="en-US"/>
        </w:rPr>
      </w:pPr>
      <w:r w:rsidRPr="0076480D">
        <w:rPr>
          <w:rFonts w:ascii="ITC Avant Garde" w:hAnsi="ITC Avant Garde"/>
          <w:sz w:val="12"/>
        </w:rPr>
        <w:t xml:space="preserve">El presente Acuerdo fue aprobado por el Pleno del Instituto Federal de Telecomunicaciones en su LIII Sesión Ordinaria celebrada el 13 de diciembre de 2017, por </w:t>
      </w:r>
      <w:r w:rsidRPr="0076480D">
        <w:rPr>
          <w:rFonts w:ascii="ITC Avant Garde" w:hAnsi="ITC Avant Garde"/>
          <w:bCs/>
          <w:sz w:val="12"/>
        </w:rPr>
        <w:t>unanimidad</w:t>
      </w:r>
      <w:r w:rsidRPr="0076480D">
        <w:rPr>
          <w:rFonts w:ascii="ITC Avant Garde" w:hAnsi="ITC Avant Garde"/>
          <w:sz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w:t>
      </w:r>
      <w:bookmarkStart w:id="0" w:name="_GoBack"/>
      <w:r w:rsidRPr="0076480D">
        <w:rPr>
          <w:rFonts w:ascii="ITC Avant Garde" w:hAnsi="ITC Avant Garde"/>
          <w:sz w:val="12"/>
        </w:rPr>
        <w:t>Telecomunicaciones y Radiodifusión; así como en los artículos 1, 7, 8 y 12 del Estatuto Orgánico del Instituto Federal de Telecomunicaciones, mediante Acuerdo P/IFT/131217/884.</w:t>
      </w:r>
    </w:p>
    <w:p w14:paraId="42C9FFFB" w14:textId="69542E16" w:rsidR="00A45C99" w:rsidRPr="0076480D" w:rsidRDefault="00A45C99" w:rsidP="00E33582">
      <w:pPr>
        <w:jc w:val="both"/>
        <w:rPr>
          <w:rFonts w:ascii="ITC Avant Garde" w:hAnsi="ITC Avant Garde"/>
          <w:sz w:val="12"/>
          <w:highlight w:val="lightGray"/>
        </w:rPr>
      </w:pPr>
      <w:r w:rsidRPr="0076480D">
        <w:rPr>
          <w:rFonts w:ascii="ITC Avant Garde" w:hAnsi="ITC Avant Garde"/>
          <w:sz w:val="12"/>
        </w:rPr>
        <w:t xml:space="preserve">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w:t>
      </w:r>
      <w:bookmarkEnd w:id="0"/>
      <w:r w:rsidRPr="0076480D">
        <w:rPr>
          <w:rFonts w:ascii="ITC Avant Garde" w:hAnsi="ITC Avant Garde"/>
          <w:sz w:val="12"/>
        </w:rPr>
        <w:t>Telecomunicaciones.</w:t>
      </w:r>
    </w:p>
    <w:sectPr w:rsidR="00A45C99" w:rsidRPr="0076480D" w:rsidSect="00B04C91">
      <w:footerReference w:type="default" r:id="rId8"/>
      <w:pgSz w:w="12240" w:h="15840"/>
      <w:pgMar w:top="2127"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9613" w14:textId="77777777" w:rsidR="00423D73" w:rsidRDefault="00423D73">
      <w:r>
        <w:separator/>
      </w:r>
    </w:p>
  </w:endnote>
  <w:endnote w:type="continuationSeparator" w:id="0">
    <w:p w14:paraId="4433C3F3" w14:textId="77777777" w:rsidR="00423D73" w:rsidRDefault="0042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967955"/>
      <w:docPartObj>
        <w:docPartGallery w:val="Page Numbers (Bottom of Page)"/>
        <w:docPartUnique/>
      </w:docPartObj>
    </w:sdtPr>
    <w:sdtEndPr>
      <w:rPr>
        <w:rFonts w:ascii="ITC Avant Garde" w:hAnsi="ITC Avant Garde"/>
        <w:sz w:val="20"/>
        <w:szCs w:val="20"/>
      </w:rPr>
    </w:sdtEndPr>
    <w:sdtContent>
      <w:p w14:paraId="48FF8C83" w14:textId="77777777"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E33582" w:rsidRPr="00E33582">
          <w:rPr>
            <w:rFonts w:ascii="ITC Avant Garde" w:hAnsi="ITC Avant Garde"/>
            <w:noProof/>
            <w:sz w:val="20"/>
            <w:szCs w:val="20"/>
            <w:lang w:val="es-ES"/>
          </w:rPr>
          <w:t>2</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72B21" w14:textId="77777777" w:rsidR="00423D73" w:rsidRDefault="00423D73">
      <w:r>
        <w:separator/>
      </w:r>
    </w:p>
  </w:footnote>
  <w:footnote w:type="continuationSeparator" w:id="0">
    <w:p w14:paraId="203EBD5D" w14:textId="77777777" w:rsidR="00423D73" w:rsidRDefault="00423D73">
      <w:r>
        <w:continuationSeparator/>
      </w:r>
    </w:p>
  </w:footnote>
  <w:footnote w:id="1">
    <w:p w14:paraId="1BD7C306" w14:textId="6DEAC8DE" w:rsidR="0029395B" w:rsidRDefault="0029395B" w:rsidP="0029395B">
      <w:pPr>
        <w:pStyle w:val="Textonotapie"/>
        <w:jc w:val="both"/>
      </w:pPr>
      <w:r w:rsidRPr="00166DB9">
        <w:rPr>
          <w:rFonts w:ascii="ITC Avant Garde" w:hAnsi="ITC Avant Garde"/>
          <w:sz w:val="16"/>
          <w:szCs w:val="22"/>
          <w:vertAlign w:val="superscript"/>
        </w:rPr>
        <w:footnoteRef/>
      </w:r>
      <w:r w:rsidRPr="00166DB9">
        <w:rPr>
          <w:rFonts w:ascii="ITC Avant Garde" w:hAnsi="ITC Avant Garde"/>
          <w:sz w:val="16"/>
          <w:szCs w:val="22"/>
        </w:rPr>
        <w:t xml:space="preserve"> Es de señalarse que en su artículo transitorio segundo, </w:t>
      </w:r>
      <w:r w:rsidR="00F60FFA">
        <w:rPr>
          <w:rFonts w:ascii="ITC Avant Garde" w:hAnsi="ITC Avant Garde"/>
          <w:sz w:val="16"/>
          <w:szCs w:val="22"/>
        </w:rPr>
        <w:t xml:space="preserve">el </w:t>
      </w:r>
      <w:r w:rsidR="00BF076C">
        <w:rPr>
          <w:rFonts w:ascii="ITC Avant Garde" w:hAnsi="ITC Avant Garde"/>
          <w:sz w:val="16"/>
          <w:szCs w:val="22"/>
        </w:rPr>
        <w:t>D</w:t>
      </w:r>
      <w:r w:rsidR="00F60FFA">
        <w:rPr>
          <w:rFonts w:ascii="ITC Avant Garde" w:hAnsi="ITC Avant Garde"/>
          <w:sz w:val="16"/>
          <w:szCs w:val="22"/>
        </w:rPr>
        <w:t xml:space="preserve">ecreto mediante el cual se expidió </w:t>
      </w:r>
      <w:r w:rsidRPr="00166DB9">
        <w:rPr>
          <w:rFonts w:ascii="ITC Avant Garde" w:hAnsi="ITC Avant Garde"/>
          <w:sz w:val="16"/>
          <w:szCs w:val="22"/>
        </w:rPr>
        <w:t xml:space="preserve">la Ley General de Protección de Datos Personales en Posesión de Sujetos Obligados dispone que las demás leyes federales y las leyes vigentes de las Entidades Federativas en materia de protección de datos personales, deberán ajustarse a las disposiciones previstas en esta norma en un plazo de seis meses siguientes contado a partir de la entrada en vigor de </w:t>
      </w:r>
      <w:r w:rsidR="00F60FFA">
        <w:rPr>
          <w:rFonts w:ascii="ITC Avant Garde" w:hAnsi="ITC Avant Garde"/>
          <w:sz w:val="16"/>
          <w:szCs w:val="22"/>
        </w:rPr>
        <w:t>dicha</w:t>
      </w:r>
      <w:r w:rsidRPr="00166DB9">
        <w:rPr>
          <w:rFonts w:ascii="ITC Avant Garde" w:hAnsi="ITC Avant Garde"/>
          <w:sz w:val="16"/>
          <w:szCs w:val="22"/>
        </w:rPr>
        <w:t xml:space="preserve"> </w:t>
      </w:r>
      <w:r w:rsidR="00F60FFA">
        <w:rPr>
          <w:rFonts w:ascii="ITC Avant Garde" w:hAnsi="ITC Avant Garde"/>
          <w:sz w:val="16"/>
          <w:szCs w:val="22"/>
        </w:rPr>
        <w:t>l</w:t>
      </w:r>
      <w:r w:rsidRPr="00166DB9">
        <w:rPr>
          <w:rFonts w:ascii="ITC Avant Garde" w:hAnsi="ITC Avant Garde"/>
          <w:sz w:val="16"/>
          <w:szCs w:val="22"/>
        </w:rPr>
        <w:t>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1D6C77"/>
    <w:multiLevelType w:val="hybridMultilevel"/>
    <w:tmpl w:val="D57EF9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1"/>
  </w:num>
  <w:num w:numId="5">
    <w:abstractNumId w:val="5"/>
  </w:num>
  <w:num w:numId="6">
    <w:abstractNumId w:val="12"/>
  </w:num>
  <w:num w:numId="7">
    <w:abstractNumId w:val="10"/>
  </w:num>
  <w:num w:numId="8">
    <w:abstractNumId w:val="9"/>
  </w:num>
  <w:num w:numId="9">
    <w:abstractNumId w:val="13"/>
  </w:num>
  <w:num w:numId="10">
    <w:abstractNumId w:val="0"/>
  </w:num>
  <w:num w:numId="11">
    <w:abstractNumId w:val="1"/>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4BE7"/>
    <w:rsid w:val="00004C94"/>
    <w:rsid w:val="00005B2B"/>
    <w:rsid w:val="00011CF3"/>
    <w:rsid w:val="000143E7"/>
    <w:rsid w:val="00014BB7"/>
    <w:rsid w:val="00020680"/>
    <w:rsid w:val="00025B73"/>
    <w:rsid w:val="000306EA"/>
    <w:rsid w:val="0003078E"/>
    <w:rsid w:val="00032CE8"/>
    <w:rsid w:val="00043D4D"/>
    <w:rsid w:val="00044ABC"/>
    <w:rsid w:val="00051C56"/>
    <w:rsid w:val="0005421F"/>
    <w:rsid w:val="000553EF"/>
    <w:rsid w:val="00074CF8"/>
    <w:rsid w:val="00085488"/>
    <w:rsid w:val="00086332"/>
    <w:rsid w:val="00086D01"/>
    <w:rsid w:val="000905C2"/>
    <w:rsid w:val="00094203"/>
    <w:rsid w:val="00096D46"/>
    <w:rsid w:val="000971E7"/>
    <w:rsid w:val="000A6202"/>
    <w:rsid w:val="000B2E4B"/>
    <w:rsid w:val="000B3172"/>
    <w:rsid w:val="000C1C84"/>
    <w:rsid w:val="000C2D2C"/>
    <w:rsid w:val="000D20A6"/>
    <w:rsid w:val="000D4EF4"/>
    <w:rsid w:val="000D51BE"/>
    <w:rsid w:val="000D7978"/>
    <w:rsid w:val="000E45A5"/>
    <w:rsid w:val="000E7862"/>
    <w:rsid w:val="000F136B"/>
    <w:rsid w:val="000F6509"/>
    <w:rsid w:val="000F6AF4"/>
    <w:rsid w:val="000F70A1"/>
    <w:rsid w:val="000F7B64"/>
    <w:rsid w:val="001022E8"/>
    <w:rsid w:val="00110A96"/>
    <w:rsid w:val="00116C5D"/>
    <w:rsid w:val="0011705F"/>
    <w:rsid w:val="00120A29"/>
    <w:rsid w:val="001211C1"/>
    <w:rsid w:val="00121FDF"/>
    <w:rsid w:val="00122663"/>
    <w:rsid w:val="00125A15"/>
    <w:rsid w:val="00137D65"/>
    <w:rsid w:val="00141EFB"/>
    <w:rsid w:val="0014291C"/>
    <w:rsid w:val="00143654"/>
    <w:rsid w:val="00151463"/>
    <w:rsid w:val="00152D96"/>
    <w:rsid w:val="0015555C"/>
    <w:rsid w:val="00156B95"/>
    <w:rsid w:val="00161065"/>
    <w:rsid w:val="00166DB9"/>
    <w:rsid w:val="00170158"/>
    <w:rsid w:val="001702FA"/>
    <w:rsid w:val="00175246"/>
    <w:rsid w:val="00183EBB"/>
    <w:rsid w:val="00185D7D"/>
    <w:rsid w:val="00192A56"/>
    <w:rsid w:val="001A1B3F"/>
    <w:rsid w:val="001A4ACD"/>
    <w:rsid w:val="001A5812"/>
    <w:rsid w:val="001A621F"/>
    <w:rsid w:val="001A6D56"/>
    <w:rsid w:val="001C23AC"/>
    <w:rsid w:val="001C31F6"/>
    <w:rsid w:val="001C4405"/>
    <w:rsid w:val="001C6AAC"/>
    <w:rsid w:val="001D206B"/>
    <w:rsid w:val="001D3E86"/>
    <w:rsid w:val="001E0456"/>
    <w:rsid w:val="001E26AF"/>
    <w:rsid w:val="001E272C"/>
    <w:rsid w:val="001E2765"/>
    <w:rsid w:val="001E446E"/>
    <w:rsid w:val="001E7E83"/>
    <w:rsid w:val="001F028B"/>
    <w:rsid w:val="001F0C94"/>
    <w:rsid w:val="001F18DD"/>
    <w:rsid w:val="001F3F14"/>
    <w:rsid w:val="00202B18"/>
    <w:rsid w:val="00203B3B"/>
    <w:rsid w:val="00220DA4"/>
    <w:rsid w:val="00234371"/>
    <w:rsid w:val="002367EE"/>
    <w:rsid w:val="00237104"/>
    <w:rsid w:val="00245EB0"/>
    <w:rsid w:val="002517B0"/>
    <w:rsid w:val="00252384"/>
    <w:rsid w:val="0025760B"/>
    <w:rsid w:val="0025795B"/>
    <w:rsid w:val="00262F46"/>
    <w:rsid w:val="00265BC2"/>
    <w:rsid w:val="00266B27"/>
    <w:rsid w:val="00272F2D"/>
    <w:rsid w:val="0028206D"/>
    <w:rsid w:val="00282A20"/>
    <w:rsid w:val="00286C0F"/>
    <w:rsid w:val="00286FCA"/>
    <w:rsid w:val="0029395B"/>
    <w:rsid w:val="0029702A"/>
    <w:rsid w:val="002B0CE5"/>
    <w:rsid w:val="002B1737"/>
    <w:rsid w:val="002B2594"/>
    <w:rsid w:val="002B336B"/>
    <w:rsid w:val="002B458F"/>
    <w:rsid w:val="002B4B1F"/>
    <w:rsid w:val="002C3AAE"/>
    <w:rsid w:val="002C4704"/>
    <w:rsid w:val="002D3196"/>
    <w:rsid w:val="002F03B7"/>
    <w:rsid w:val="002F6175"/>
    <w:rsid w:val="00317CE8"/>
    <w:rsid w:val="00321952"/>
    <w:rsid w:val="003273B6"/>
    <w:rsid w:val="003274A9"/>
    <w:rsid w:val="00327B43"/>
    <w:rsid w:val="003312F7"/>
    <w:rsid w:val="00334B7E"/>
    <w:rsid w:val="00340605"/>
    <w:rsid w:val="00340DDC"/>
    <w:rsid w:val="003521EC"/>
    <w:rsid w:val="00355C8C"/>
    <w:rsid w:val="003605C6"/>
    <w:rsid w:val="0037169D"/>
    <w:rsid w:val="0037581D"/>
    <w:rsid w:val="00380DFC"/>
    <w:rsid w:val="003855A2"/>
    <w:rsid w:val="003965B4"/>
    <w:rsid w:val="003A3ACB"/>
    <w:rsid w:val="003A41B1"/>
    <w:rsid w:val="003A4E9C"/>
    <w:rsid w:val="003A4EA1"/>
    <w:rsid w:val="003B05DC"/>
    <w:rsid w:val="003B1B1B"/>
    <w:rsid w:val="003B26EE"/>
    <w:rsid w:val="003C0915"/>
    <w:rsid w:val="003D7079"/>
    <w:rsid w:val="003D7511"/>
    <w:rsid w:val="003E25F3"/>
    <w:rsid w:val="003E5997"/>
    <w:rsid w:val="003E5D06"/>
    <w:rsid w:val="003F0842"/>
    <w:rsid w:val="003F1808"/>
    <w:rsid w:val="003F5A49"/>
    <w:rsid w:val="00402396"/>
    <w:rsid w:val="0040398E"/>
    <w:rsid w:val="00411687"/>
    <w:rsid w:val="00412C90"/>
    <w:rsid w:val="00423D73"/>
    <w:rsid w:val="00427490"/>
    <w:rsid w:val="00427E5C"/>
    <w:rsid w:val="0043462E"/>
    <w:rsid w:val="00437DD2"/>
    <w:rsid w:val="00437E5E"/>
    <w:rsid w:val="00443596"/>
    <w:rsid w:val="004466B7"/>
    <w:rsid w:val="004475AB"/>
    <w:rsid w:val="00453922"/>
    <w:rsid w:val="00456B26"/>
    <w:rsid w:val="00460B6B"/>
    <w:rsid w:val="004625B3"/>
    <w:rsid w:val="004663F7"/>
    <w:rsid w:val="0046723C"/>
    <w:rsid w:val="00471C79"/>
    <w:rsid w:val="004813C6"/>
    <w:rsid w:val="00494464"/>
    <w:rsid w:val="004978A8"/>
    <w:rsid w:val="004978D9"/>
    <w:rsid w:val="004B14AD"/>
    <w:rsid w:val="004B2109"/>
    <w:rsid w:val="004C2009"/>
    <w:rsid w:val="004D1192"/>
    <w:rsid w:val="004D176E"/>
    <w:rsid w:val="004D1C19"/>
    <w:rsid w:val="004F1C7A"/>
    <w:rsid w:val="004F445A"/>
    <w:rsid w:val="0050709F"/>
    <w:rsid w:val="00515424"/>
    <w:rsid w:val="005250D8"/>
    <w:rsid w:val="00531DEE"/>
    <w:rsid w:val="005338C9"/>
    <w:rsid w:val="00535C9C"/>
    <w:rsid w:val="005370A8"/>
    <w:rsid w:val="005416BE"/>
    <w:rsid w:val="00546892"/>
    <w:rsid w:val="0054691A"/>
    <w:rsid w:val="00547759"/>
    <w:rsid w:val="005535BC"/>
    <w:rsid w:val="00553DC3"/>
    <w:rsid w:val="00560351"/>
    <w:rsid w:val="00562D98"/>
    <w:rsid w:val="00565825"/>
    <w:rsid w:val="00565E88"/>
    <w:rsid w:val="005710BE"/>
    <w:rsid w:val="00573220"/>
    <w:rsid w:val="005810AF"/>
    <w:rsid w:val="00587EC5"/>
    <w:rsid w:val="00592131"/>
    <w:rsid w:val="00592EE7"/>
    <w:rsid w:val="00594355"/>
    <w:rsid w:val="005946F7"/>
    <w:rsid w:val="00596367"/>
    <w:rsid w:val="005A62AA"/>
    <w:rsid w:val="005B1D03"/>
    <w:rsid w:val="005B5C01"/>
    <w:rsid w:val="005B7A5C"/>
    <w:rsid w:val="005D387D"/>
    <w:rsid w:val="005D54D9"/>
    <w:rsid w:val="005D6E70"/>
    <w:rsid w:val="005E5830"/>
    <w:rsid w:val="005E7952"/>
    <w:rsid w:val="005E7BEB"/>
    <w:rsid w:val="005F00B3"/>
    <w:rsid w:val="005F051C"/>
    <w:rsid w:val="0060369B"/>
    <w:rsid w:val="00604912"/>
    <w:rsid w:val="006051D0"/>
    <w:rsid w:val="00611B5F"/>
    <w:rsid w:val="00633649"/>
    <w:rsid w:val="006357A2"/>
    <w:rsid w:val="0064104D"/>
    <w:rsid w:val="006422D2"/>
    <w:rsid w:val="00644117"/>
    <w:rsid w:val="006520A1"/>
    <w:rsid w:val="00652B1C"/>
    <w:rsid w:val="00660800"/>
    <w:rsid w:val="006659C0"/>
    <w:rsid w:val="00670F5F"/>
    <w:rsid w:val="00672F10"/>
    <w:rsid w:val="00681CF1"/>
    <w:rsid w:val="006864AF"/>
    <w:rsid w:val="006909B8"/>
    <w:rsid w:val="00693688"/>
    <w:rsid w:val="006948E9"/>
    <w:rsid w:val="006A6456"/>
    <w:rsid w:val="006C0C52"/>
    <w:rsid w:val="006C1BAE"/>
    <w:rsid w:val="006D2791"/>
    <w:rsid w:val="006E0437"/>
    <w:rsid w:val="006E2A57"/>
    <w:rsid w:val="006E3AFF"/>
    <w:rsid w:val="006E7830"/>
    <w:rsid w:val="006F0D0F"/>
    <w:rsid w:val="006F7BEC"/>
    <w:rsid w:val="006F7EDF"/>
    <w:rsid w:val="00713796"/>
    <w:rsid w:val="007143A7"/>
    <w:rsid w:val="00722C39"/>
    <w:rsid w:val="00727CAE"/>
    <w:rsid w:val="00744EC1"/>
    <w:rsid w:val="00751213"/>
    <w:rsid w:val="00752ABB"/>
    <w:rsid w:val="00757D73"/>
    <w:rsid w:val="0076480D"/>
    <w:rsid w:val="0077173D"/>
    <w:rsid w:val="007816F1"/>
    <w:rsid w:val="00784F2B"/>
    <w:rsid w:val="0078635A"/>
    <w:rsid w:val="007944AE"/>
    <w:rsid w:val="00796144"/>
    <w:rsid w:val="007A1A22"/>
    <w:rsid w:val="007B578D"/>
    <w:rsid w:val="007C32AB"/>
    <w:rsid w:val="007C60D0"/>
    <w:rsid w:val="007D5452"/>
    <w:rsid w:val="007E04F7"/>
    <w:rsid w:val="007E2C9F"/>
    <w:rsid w:val="007E703B"/>
    <w:rsid w:val="007F7B1E"/>
    <w:rsid w:val="00807195"/>
    <w:rsid w:val="00812EA2"/>
    <w:rsid w:val="008159A1"/>
    <w:rsid w:val="0082434B"/>
    <w:rsid w:val="00825E44"/>
    <w:rsid w:val="008510FE"/>
    <w:rsid w:val="00852002"/>
    <w:rsid w:val="0085668C"/>
    <w:rsid w:val="008620AC"/>
    <w:rsid w:val="00863A28"/>
    <w:rsid w:val="0086699E"/>
    <w:rsid w:val="00876843"/>
    <w:rsid w:val="008808B5"/>
    <w:rsid w:val="00882E9E"/>
    <w:rsid w:val="0089041C"/>
    <w:rsid w:val="00891385"/>
    <w:rsid w:val="008922FD"/>
    <w:rsid w:val="0089543D"/>
    <w:rsid w:val="008A39F8"/>
    <w:rsid w:val="008A5F01"/>
    <w:rsid w:val="008B1A87"/>
    <w:rsid w:val="008B54F1"/>
    <w:rsid w:val="008B6CD1"/>
    <w:rsid w:val="008C1DB9"/>
    <w:rsid w:val="008C5493"/>
    <w:rsid w:val="008C5731"/>
    <w:rsid w:val="008C6C31"/>
    <w:rsid w:val="008C721F"/>
    <w:rsid w:val="008D1966"/>
    <w:rsid w:val="008D39C8"/>
    <w:rsid w:val="008D557A"/>
    <w:rsid w:val="008F3232"/>
    <w:rsid w:val="008F3699"/>
    <w:rsid w:val="00900463"/>
    <w:rsid w:val="009026F6"/>
    <w:rsid w:val="0090463B"/>
    <w:rsid w:val="00910588"/>
    <w:rsid w:val="00912BE7"/>
    <w:rsid w:val="00924503"/>
    <w:rsid w:val="0093169B"/>
    <w:rsid w:val="00934068"/>
    <w:rsid w:val="00935532"/>
    <w:rsid w:val="0094434D"/>
    <w:rsid w:val="0095604E"/>
    <w:rsid w:val="00960144"/>
    <w:rsid w:val="00961B57"/>
    <w:rsid w:val="0096647C"/>
    <w:rsid w:val="00972180"/>
    <w:rsid w:val="00972901"/>
    <w:rsid w:val="0098741E"/>
    <w:rsid w:val="00990787"/>
    <w:rsid w:val="009A330C"/>
    <w:rsid w:val="009A7A54"/>
    <w:rsid w:val="009C7F55"/>
    <w:rsid w:val="009D6690"/>
    <w:rsid w:val="009E3BF5"/>
    <w:rsid w:val="009E4A92"/>
    <w:rsid w:val="009E74B3"/>
    <w:rsid w:val="009F29AA"/>
    <w:rsid w:val="009F3583"/>
    <w:rsid w:val="009F3B83"/>
    <w:rsid w:val="009F53ED"/>
    <w:rsid w:val="00A06EBB"/>
    <w:rsid w:val="00A13EAB"/>
    <w:rsid w:val="00A1405F"/>
    <w:rsid w:val="00A15D79"/>
    <w:rsid w:val="00A25594"/>
    <w:rsid w:val="00A27745"/>
    <w:rsid w:val="00A45C99"/>
    <w:rsid w:val="00A472DD"/>
    <w:rsid w:val="00A54A76"/>
    <w:rsid w:val="00A612F5"/>
    <w:rsid w:val="00A65529"/>
    <w:rsid w:val="00A6704F"/>
    <w:rsid w:val="00A73FF5"/>
    <w:rsid w:val="00A80479"/>
    <w:rsid w:val="00A808EF"/>
    <w:rsid w:val="00A809F7"/>
    <w:rsid w:val="00A8239B"/>
    <w:rsid w:val="00A84A8A"/>
    <w:rsid w:val="00A87DEB"/>
    <w:rsid w:val="00A9437E"/>
    <w:rsid w:val="00A95654"/>
    <w:rsid w:val="00A9602A"/>
    <w:rsid w:val="00AA2481"/>
    <w:rsid w:val="00AA4061"/>
    <w:rsid w:val="00AC1CAC"/>
    <w:rsid w:val="00AC21A3"/>
    <w:rsid w:val="00AC56A0"/>
    <w:rsid w:val="00AC6051"/>
    <w:rsid w:val="00AC6979"/>
    <w:rsid w:val="00AD486C"/>
    <w:rsid w:val="00AD55DE"/>
    <w:rsid w:val="00AD676E"/>
    <w:rsid w:val="00AD69C4"/>
    <w:rsid w:val="00AD7C49"/>
    <w:rsid w:val="00AE1A08"/>
    <w:rsid w:val="00AE1C02"/>
    <w:rsid w:val="00AE1C09"/>
    <w:rsid w:val="00AF2625"/>
    <w:rsid w:val="00AF3ACD"/>
    <w:rsid w:val="00AF50FF"/>
    <w:rsid w:val="00B004CA"/>
    <w:rsid w:val="00B01D2E"/>
    <w:rsid w:val="00B02B73"/>
    <w:rsid w:val="00B02CD2"/>
    <w:rsid w:val="00B04C91"/>
    <w:rsid w:val="00B07204"/>
    <w:rsid w:val="00B1237D"/>
    <w:rsid w:val="00B123CA"/>
    <w:rsid w:val="00B12B31"/>
    <w:rsid w:val="00B13FB0"/>
    <w:rsid w:val="00B1430A"/>
    <w:rsid w:val="00B173DF"/>
    <w:rsid w:val="00B21BDF"/>
    <w:rsid w:val="00B33D4A"/>
    <w:rsid w:val="00B36285"/>
    <w:rsid w:val="00B37C6F"/>
    <w:rsid w:val="00B37CBF"/>
    <w:rsid w:val="00B40EF3"/>
    <w:rsid w:val="00B41E4D"/>
    <w:rsid w:val="00B45F07"/>
    <w:rsid w:val="00B51EEA"/>
    <w:rsid w:val="00B535F6"/>
    <w:rsid w:val="00B554C6"/>
    <w:rsid w:val="00B60197"/>
    <w:rsid w:val="00B61070"/>
    <w:rsid w:val="00B76DDC"/>
    <w:rsid w:val="00B82CD3"/>
    <w:rsid w:val="00BA1137"/>
    <w:rsid w:val="00BA4D5B"/>
    <w:rsid w:val="00BA7259"/>
    <w:rsid w:val="00BA7D20"/>
    <w:rsid w:val="00BC1BA3"/>
    <w:rsid w:val="00BC24C5"/>
    <w:rsid w:val="00BC64C2"/>
    <w:rsid w:val="00BC6A4B"/>
    <w:rsid w:val="00BD1096"/>
    <w:rsid w:val="00BD4430"/>
    <w:rsid w:val="00BD5B2E"/>
    <w:rsid w:val="00BD7977"/>
    <w:rsid w:val="00BE7682"/>
    <w:rsid w:val="00BF076C"/>
    <w:rsid w:val="00BF2CD2"/>
    <w:rsid w:val="00BF4B40"/>
    <w:rsid w:val="00C0521F"/>
    <w:rsid w:val="00C05ABA"/>
    <w:rsid w:val="00C12389"/>
    <w:rsid w:val="00C212D3"/>
    <w:rsid w:val="00C21B49"/>
    <w:rsid w:val="00C22E0B"/>
    <w:rsid w:val="00C26F2C"/>
    <w:rsid w:val="00C27136"/>
    <w:rsid w:val="00C30790"/>
    <w:rsid w:val="00C30F0B"/>
    <w:rsid w:val="00C35C3C"/>
    <w:rsid w:val="00C40C06"/>
    <w:rsid w:val="00C4184D"/>
    <w:rsid w:val="00C445DE"/>
    <w:rsid w:val="00C50A85"/>
    <w:rsid w:val="00C52E5B"/>
    <w:rsid w:val="00C6376F"/>
    <w:rsid w:val="00C67095"/>
    <w:rsid w:val="00C72DC1"/>
    <w:rsid w:val="00C75AEB"/>
    <w:rsid w:val="00C87F29"/>
    <w:rsid w:val="00C90116"/>
    <w:rsid w:val="00C933B7"/>
    <w:rsid w:val="00C95170"/>
    <w:rsid w:val="00CA31B5"/>
    <w:rsid w:val="00CA540E"/>
    <w:rsid w:val="00CB61E3"/>
    <w:rsid w:val="00CC1E0C"/>
    <w:rsid w:val="00CC6ED5"/>
    <w:rsid w:val="00CE0202"/>
    <w:rsid w:val="00CE1854"/>
    <w:rsid w:val="00CE52D1"/>
    <w:rsid w:val="00CE590B"/>
    <w:rsid w:val="00CE63FD"/>
    <w:rsid w:val="00CF3396"/>
    <w:rsid w:val="00CF3F00"/>
    <w:rsid w:val="00CF4D2F"/>
    <w:rsid w:val="00D00E71"/>
    <w:rsid w:val="00D02D97"/>
    <w:rsid w:val="00D03FC2"/>
    <w:rsid w:val="00D07C1E"/>
    <w:rsid w:val="00D07DED"/>
    <w:rsid w:val="00D11CBA"/>
    <w:rsid w:val="00D225BF"/>
    <w:rsid w:val="00D22C6F"/>
    <w:rsid w:val="00D259BD"/>
    <w:rsid w:val="00D25B5B"/>
    <w:rsid w:val="00D266F2"/>
    <w:rsid w:val="00D318EF"/>
    <w:rsid w:val="00D32E38"/>
    <w:rsid w:val="00D400E7"/>
    <w:rsid w:val="00D54247"/>
    <w:rsid w:val="00D661D2"/>
    <w:rsid w:val="00D663B6"/>
    <w:rsid w:val="00D70302"/>
    <w:rsid w:val="00D803B2"/>
    <w:rsid w:val="00D86485"/>
    <w:rsid w:val="00D9006E"/>
    <w:rsid w:val="00D9549A"/>
    <w:rsid w:val="00DA3470"/>
    <w:rsid w:val="00DA38A4"/>
    <w:rsid w:val="00DA5C47"/>
    <w:rsid w:val="00DA660C"/>
    <w:rsid w:val="00DA6931"/>
    <w:rsid w:val="00DA6A73"/>
    <w:rsid w:val="00DA75A4"/>
    <w:rsid w:val="00DC788D"/>
    <w:rsid w:val="00DD0FD4"/>
    <w:rsid w:val="00DD2AA8"/>
    <w:rsid w:val="00DD4071"/>
    <w:rsid w:val="00DD4E67"/>
    <w:rsid w:val="00DD765A"/>
    <w:rsid w:val="00DE0EBB"/>
    <w:rsid w:val="00DE1315"/>
    <w:rsid w:val="00DF3236"/>
    <w:rsid w:val="00DF3748"/>
    <w:rsid w:val="00DF7935"/>
    <w:rsid w:val="00E04B9C"/>
    <w:rsid w:val="00E05835"/>
    <w:rsid w:val="00E06C90"/>
    <w:rsid w:val="00E11CB5"/>
    <w:rsid w:val="00E13635"/>
    <w:rsid w:val="00E144C1"/>
    <w:rsid w:val="00E14990"/>
    <w:rsid w:val="00E20F63"/>
    <w:rsid w:val="00E33582"/>
    <w:rsid w:val="00E3650A"/>
    <w:rsid w:val="00E42B4D"/>
    <w:rsid w:val="00E55F50"/>
    <w:rsid w:val="00E61E4C"/>
    <w:rsid w:val="00E61FD5"/>
    <w:rsid w:val="00E64777"/>
    <w:rsid w:val="00E729A4"/>
    <w:rsid w:val="00E72CD9"/>
    <w:rsid w:val="00E77779"/>
    <w:rsid w:val="00E803F7"/>
    <w:rsid w:val="00E81336"/>
    <w:rsid w:val="00E84CAC"/>
    <w:rsid w:val="00E924EE"/>
    <w:rsid w:val="00E92887"/>
    <w:rsid w:val="00E92F0A"/>
    <w:rsid w:val="00E954DC"/>
    <w:rsid w:val="00E966D5"/>
    <w:rsid w:val="00EA331C"/>
    <w:rsid w:val="00EB228E"/>
    <w:rsid w:val="00EB5EF0"/>
    <w:rsid w:val="00EB602C"/>
    <w:rsid w:val="00EB6D41"/>
    <w:rsid w:val="00EB7071"/>
    <w:rsid w:val="00EC14B1"/>
    <w:rsid w:val="00EC28CF"/>
    <w:rsid w:val="00EC6A45"/>
    <w:rsid w:val="00EC7633"/>
    <w:rsid w:val="00ED0332"/>
    <w:rsid w:val="00EE4B21"/>
    <w:rsid w:val="00EF20E6"/>
    <w:rsid w:val="00EF3852"/>
    <w:rsid w:val="00EF641F"/>
    <w:rsid w:val="00EF7305"/>
    <w:rsid w:val="00F00E18"/>
    <w:rsid w:val="00F05404"/>
    <w:rsid w:val="00F05E93"/>
    <w:rsid w:val="00F1280F"/>
    <w:rsid w:val="00F147A7"/>
    <w:rsid w:val="00F17EE9"/>
    <w:rsid w:val="00F22305"/>
    <w:rsid w:val="00F26F62"/>
    <w:rsid w:val="00F32DB4"/>
    <w:rsid w:val="00F33F91"/>
    <w:rsid w:val="00F34539"/>
    <w:rsid w:val="00F413E2"/>
    <w:rsid w:val="00F4282C"/>
    <w:rsid w:val="00F51400"/>
    <w:rsid w:val="00F51A9F"/>
    <w:rsid w:val="00F529BA"/>
    <w:rsid w:val="00F53F4E"/>
    <w:rsid w:val="00F5600F"/>
    <w:rsid w:val="00F60FFA"/>
    <w:rsid w:val="00F63269"/>
    <w:rsid w:val="00F63339"/>
    <w:rsid w:val="00F669BE"/>
    <w:rsid w:val="00F71D0E"/>
    <w:rsid w:val="00F7525F"/>
    <w:rsid w:val="00F75521"/>
    <w:rsid w:val="00F80866"/>
    <w:rsid w:val="00F8432C"/>
    <w:rsid w:val="00F86A8E"/>
    <w:rsid w:val="00F90030"/>
    <w:rsid w:val="00F958D2"/>
    <w:rsid w:val="00F95C41"/>
    <w:rsid w:val="00F96725"/>
    <w:rsid w:val="00FA5851"/>
    <w:rsid w:val="00FA5900"/>
    <w:rsid w:val="00FC02F7"/>
    <w:rsid w:val="00FC0A6E"/>
    <w:rsid w:val="00FC2A02"/>
    <w:rsid w:val="00FC69FB"/>
    <w:rsid w:val="00FD0F65"/>
    <w:rsid w:val="00FD6C24"/>
    <w:rsid w:val="00FE29EA"/>
    <w:rsid w:val="00FE641F"/>
    <w:rsid w:val="00FF7E8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779A5"/>
  <w15:docId w15:val="{939F2E60-7EBD-4720-8332-DF499BEA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6480D"/>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76480D"/>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link w:val="PrrafodelistaCar"/>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unhideWhenUsed/>
    <w:rsid w:val="00812EA2"/>
    <w:rPr>
      <w:sz w:val="20"/>
      <w:szCs w:val="20"/>
    </w:rPr>
  </w:style>
  <w:style w:type="character" w:customStyle="1" w:styleId="TextonotapieCar">
    <w:name w:val="Texto nota pie Car"/>
    <w:basedOn w:val="Fuentedeprrafopredeter"/>
    <w:link w:val="Textonotapie"/>
    <w:uiPriority w:val="99"/>
    <w:semiHidden/>
    <w:rsid w:val="00812EA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12EA2"/>
    <w:rPr>
      <w:vertAlign w:val="superscript"/>
    </w:rPr>
  </w:style>
  <w:style w:type="character" w:customStyle="1" w:styleId="PrrafodelistaCar">
    <w:name w:val="Párrafo de lista Car"/>
    <w:basedOn w:val="Fuentedeprrafopredeter"/>
    <w:link w:val="Prrafodelista"/>
    <w:uiPriority w:val="34"/>
    <w:locked/>
    <w:rsid w:val="003D707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94203"/>
  </w:style>
  <w:style w:type="character" w:customStyle="1" w:styleId="spelle">
    <w:name w:val="spelle"/>
    <w:basedOn w:val="Fuentedeprrafopredeter"/>
    <w:rsid w:val="00B33D4A"/>
  </w:style>
  <w:style w:type="paragraph" w:styleId="NormalWeb">
    <w:name w:val="Normal (Web)"/>
    <w:basedOn w:val="Normal"/>
    <w:uiPriority w:val="99"/>
    <w:semiHidden/>
    <w:unhideWhenUsed/>
    <w:rsid w:val="00043D4D"/>
    <w:rPr>
      <w:rFonts w:eastAsiaTheme="minorHAnsi"/>
      <w:lang w:eastAsia="es-MX"/>
    </w:rPr>
  </w:style>
  <w:style w:type="character" w:styleId="nfasis">
    <w:name w:val="Emphasis"/>
    <w:basedOn w:val="Fuentedeprrafopredeter"/>
    <w:uiPriority w:val="20"/>
    <w:qFormat/>
    <w:rsid w:val="00043D4D"/>
    <w:rPr>
      <w:i/>
      <w:iCs/>
    </w:rPr>
  </w:style>
  <w:style w:type="character" w:customStyle="1" w:styleId="Ttulo1Car">
    <w:name w:val="Título 1 Car"/>
    <w:basedOn w:val="Fuentedeprrafopredeter"/>
    <w:link w:val="Ttulo1"/>
    <w:uiPriority w:val="9"/>
    <w:rsid w:val="0076480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648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990">
      <w:bodyDiv w:val="1"/>
      <w:marLeft w:val="0"/>
      <w:marRight w:val="0"/>
      <w:marTop w:val="0"/>
      <w:marBottom w:val="0"/>
      <w:divBdr>
        <w:top w:val="none" w:sz="0" w:space="0" w:color="auto"/>
        <w:left w:val="none" w:sz="0" w:space="0" w:color="auto"/>
        <w:bottom w:val="none" w:sz="0" w:space="0" w:color="auto"/>
        <w:right w:val="none" w:sz="0" w:space="0" w:color="auto"/>
      </w:divBdr>
    </w:div>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105541472">
      <w:bodyDiv w:val="1"/>
      <w:marLeft w:val="0"/>
      <w:marRight w:val="0"/>
      <w:marTop w:val="0"/>
      <w:marBottom w:val="0"/>
      <w:divBdr>
        <w:top w:val="none" w:sz="0" w:space="0" w:color="auto"/>
        <w:left w:val="none" w:sz="0" w:space="0" w:color="auto"/>
        <w:bottom w:val="none" w:sz="0" w:space="0" w:color="auto"/>
        <w:right w:val="none" w:sz="0" w:space="0" w:color="auto"/>
      </w:divBdr>
    </w:div>
    <w:div w:id="43929613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083990359">
      <w:bodyDiv w:val="1"/>
      <w:marLeft w:val="0"/>
      <w:marRight w:val="0"/>
      <w:marTop w:val="0"/>
      <w:marBottom w:val="0"/>
      <w:divBdr>
        <w:top w:val="none" w:sz="0" w:space="0" w:color="auto"/>
        <w:left w:val="none" w:sz="0" w:space="0" w:color="auto"/>
        <w:bottom w:val="none" w:sz="0" w:space="0" w:color="auto"/>
        <w:right w:val="none" w:sz="0" w:space="0" w:color="auto"/>
      </w:divBdr>
    </w:div>
    <w:div w:id="1145001167">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549415951">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 w:id="20485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B423B100-7F14-4E1A-BB39-34283EF3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1863</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Maria del Consuelo Gonzalez Moreno</cp:lastModifiedBy>
  <cp:revision>9</cp:revision>
  <cp:lastPrinted>2017-06-20T18:28:00Z</cp:lastPrinted>
  <dcterms:created xsi:type="dcterms:W3CDTF">2017-12-14T16:34:00Z</dcterms:created>
  <dcterms:modified xsi:type="dcterms:W3CDTF">2018-01-12T22:10:00Z</dcterms:modified>
</cp:coreProperties>
</file>