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A4" w:rsidRPr="009640A4" w:rsidRDefault="005564F8" w:rsidP="009640A4">
      <w:pPr>
        <w:pStyle w:val="Ttulo1"/>
        <w:spacing w:after="240" w:line="240" w:lineRule="auto"/>
        <w:jc w:val="both"/>
        <w:rPr>
          <w:rFonts w:ascii="ITC Avant Garde" w:hAnsi="ITC Avant Garde"/>
          <w:b/>
          <w:color w:val="000000" w:themeColor="text1"/>
          <w:sz w:val="24"/>
          <w:szCs w:val="24"/>
          <w:lang w:eastAsia="es-MX"/>
        </w:rPr>
      </w:pPr>
      <w:r w:rsidRPr="009640A4">
        <w:rPr>
          <w:rFonts w:ascii="ITC Avant Garde" w:hAnsi="ITC Avant Garde"/>
          <w:b/>
          <w:color w:val="000000" w:themeColor="text1"/>
          <w:sz w:val="24"/>
          <w:szCs w:val="24"/>
          <w:lang w:eastAsia="es-MX"/>
        </w:rPr>
        <w:t xml:space="preserve">RESOLUCIÓN </w:t>
      </w:r>
      <w:r w:rsidR="00A671D8" w:rsidRPr="009640A4">
        <w:rPr>
          <w:rFonts w:ascii="ITC Avant Garde" w:hAnsi="ITC Avant Garde"/>
          <w:b/>
          <w:color w:val="000000" w:themeColor="text1"/>
          <w:sz w:val="24"/>
          <w:szCs w:val="24"/>
          <w:lang w:eastAsia="es-MX"/>
        </w:rPr>
        <w:t>MEDIANTE</w:t>
      </w:r>
      <w:r w:rsidRPr="009640A4">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244C43" w:rsidRPr="009640A4">
        <w:rPr>
          <w:rFonts w:ascii="ITC Avant Garde" w:hAnsi="ITC Avant Garde"/>
          <w:b/>
          <w:color w:val="000000" w:themeColor="text1"/>
          <w:sz w:val="24"/>
          <w:szCs w:val="24"/>
          <w:lang w:eastAsia="es-MX"/>
        </w:rPr>
        <w:t>IP MATRIX</w:t>
      </w:r>
      <w:r w:rsidR="001B6AFB" w:rsidRPr="009640A4">
        <w:rPr>
          <w:rFonts w:ascii="ITC Avant Garde" w:hAnsi="ITC Avant Garde"/>
          <w:b/>
          <w:color w:val="000000" w:themeColor="text1"/>
          <w:sz w:val="24"/>
          <w:szCs w:val="24"/>
          <w:lang w:eastAsia="es-MX"/>
        </w:rPr>
        <w:t>, S.A. DE C.V.</w:t>
      </w:r>
      <w:r w:rsidR="00731103" w:rsidRPr="009640A4">
        <w:rPr>
          <w:rFonts w:ascii="ITC Avant Garde" w:hAnsi="ITC Avant Garde"/>
          <w:b/>
          <w:color w:val="000000" w:themeColor="text1"/>
          <w:sz w:val="24"/>
          <w:szCs w:val="24"/>
          <w:lang w:eastAsia="es-MX"/>
        </w:rPr>
        <w:t xml:space="preserve">, </w:t>
      </w:r>
      <w:r w:rsidRPr="009640A4">
        <w:rPr>
          <w:rFonts w:ascii="ITC Avant Garde" w:hAnsi="ITC Avant Garde"/>
          <w:b/>
          <w:color w:val="000000" w:themeColor="text1"/>
          <w:sz w:val="24"/>
          <w:szCs w:val="24"/>
          <w:lang w:eastAsia="es-MX"/>
        </w:rPr>
        <w:t>Y OTORGA UN TÍTULO DE CONCESIÓN ÚNICA PARA USO COMERCIAL.</w:t>
      </w:r>
    </w:p>
    <w:p w:rsidR="009640A4" w:rsidRPr="009640A4" w:rsidRDefault="005564F8" w:rsidP="009640A4">
      <w:pPr>
        <w:pStyle w:val="Ttulo2"/>
        <w:spacing w:after="240"/>
        <w:jc w:val="center"/>
        <w:rPr>
          <w:rFonts w:ascii="ITC Avant Garde" w:hAnsi="ITC Avant Garde"/>
          <w:b/>
          <w:color w:val="000000" w:themeColor="text1"/>
          <w:sz w:val="22"/>
          <w:szCs w:val="22"/>
        </w:rPr>
      </w:pPr>
      <w:r w:rsidRPr="009640A4">
        <w:rPr>
          <w:rFonts w:ascii="ITC Avant Garde" w:hAnsi="ITC Avant Garde"/>
          <w:b/>
          <w:color w:val="000000" w:themeColor="text1"/>
          <w:sz w:val="22"/>
          <w:szCs w:val="22"/>
        </w:rPr>
        <w:t>ANTECEDENTES</w:t>
      </w:r>
    </w:p>
    <w:p w:rsidR="009640A4" w:rsidRPr="009640A4" w:rsidRDefault="005564F8"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t>Otorgamiento de la Concesión.</w:t>
      </w:r>
      <w:r w:rsidRPr="009640A4">
        <w:rPr>
          <w:rFonts w:ascii="ITC Avant Garde" w:hAnsi="ITC Avant Garde"/>
          <w:bCs/>
          <w:color w:val="000000"/>
          <w:lang w:eastAsia="es-MX"/>
        </w:rPr>
        <w:t xml:space="preserve"> </w:t>
      </w:r>
      <w:r w:rsidR="00CA7785" w:rsidRPr="009640A4">
        <w:rPr>
          <w:rFonts w:ascii="ITC Avant Garde" w:hAnsi="ITC Avant Garde"/>
          <w:bCs/>
          <w:color w:val="000000"/>
          <w:lang w:eastAsia="es-MX"/>
        </w:rPr>
        <w:t xml:space="preserve">El </w:t>
      </w:r>
      <w:r w:rsidR="00244C43" w:rsidRPr="009640A4">
        <w:rPr>
          <w:rFonts w:ascii="ITC Avant Garde" w:hAnsi="ITC Avant Garde"/>
          <w:bCs/>
          <w:color w:val="000000"/>
          <w:lang w:eastAsia="es-MX"/>
        </w:rPr>
        <w:t>25</w:t>
      </w:r>
      <w:r w:rsidR="00CA7785" w:rsidRPr="009640A4">
        <w:rPr>
          <w:rFonts w:ascii="ITC Avant Garde" w:hAnsi="ITC Avant Garde"/>
          <w:bCs/>
          <w:color w:val="000000"/>
          <w:lang w:eastAsia="es-MX"/>
        </w:rPr>
        <w:t xml:space="preserve"> de </w:t>
      </w:r>
      <w:r w:rsidR="00244C43" w:rsidRPr="009640A4">
        <w:rPr>
          <w:rFonts w:ascii="ITC Avant Garde" w:hAnsi="ITC Avant Garde"/>
          <w:bCs/>
          <w:color w:val="000000"/>
          <w:lang w:eastAsia="es-MX"/>
        </w:rPr>
        <w:t>noviembre</w:t>
      </w:r>
      <w:r w:rsidR="00CA7785" w:rsidRPr="009640A4">
        <w:rPr>
          <w:rFonts w:ascii="ITC Avant Garde" w:hAnsi="ITC Avant Garde"/>
          <w:bCs/>
          <w:color w:val="000000"/>
          <w:lang w:eastAsia="es-MX"/>
        </w:rPr>
        <w:t xml:space="preserve"> de 200</w:t>
      </w:r>
      <w:r w:rsidR="00244C43" w:rsidRPr="009640A4">
        <w:rPr>
          <w:rFonts w:ascii="ITC Avant Garde" w:hAnsi="ITC Avant Garde"/>
          <w:bCs/>
          <w:color w:val="000000"/>
          <w:lang w:eastAsia="es-MX"/>
        </w:rPr>
        <w:t>4</w:t>
      </w:r>
      <w:r w:rsidR="00CA7785" w:rsidRPr="009640A4">
        <w:rPr>
          <w:rFonts w:ascii="ITC Avant Garde" w:hAnsi="ITC Avant Garde"/>
          <w:bCs/>
          <w:color w:val="000000"/>
          <w:lang w:eastAsia="es-MX"/>
        </w:rPr>
        <w:t>, la Secretaría de Comunicaciones y Transportes (la “Secretaría”), otorgó en favor de</w:t>
      </w:r>
      <w:r w:rsidR="001B6AFB" w:rsidRPr="009640A4">
        <w:rPr>
          <w:rFonts w:ascii="ITC Avant Garde" w:hAnsi="ITC Avant Garde"/>
          <w:bCs/>
          <w:color w:val="000000"/>
          <w:lang w:eastAsia="es-MX"/>
        </w:rPr>
        <w:t xml:space="preserve"> </w:t>
      </w:r>
      <w:r w:rsidR="00244C43" w:rsidRPr="009640A4">
        <w:rPr>
          <w:rFonts w:ascii="ITC Avant Garde" w:hAnsi="ITC Avant Garde"/>
          <w:bCs/>
          <w:color w:val="000000"/>
          <w:lang w:eastAsia="es-MX"/>
        </w:rPr>
        <w:t>IP Matrix</w:t>
      </w:r>
      <w:r w:rsidR="007C3046" w:rsidRPr="009640A4">
        <w:rPr>
          <w:rFonts w:ascii="ITC Avant Garde" w:hAnsi="ITC Avant Garde"/>
          <w:bCs/>
          <w:color w:val="000000"/>
          <w:lang w:eastAsia="es-MX"/>
        </w:rPr>
        <w:t>, S.A</w:t>
      </w:r>
      <w:r w:rsidR="001B6AFB" w:rsidRPr="009640A4">
        <w:rPr>
          <w:rFonts w:ascii="ITC Avant Garde" w:hAnsi="ITC Avant Garde"/>
          <w:bCs/>
          <w:color w:val="000000"/>
          <w:lang w:eastAsia="es-MX"/>
        </w:rPr>
        <w:t>. de C.V.</w:t>
      </w:r>
      <w:r w:rsidR="00CA7785" w:rsidRPr="009640A4">
        <w:rPr>
          <w:rFonts w:ascii="ITC Avant Garde" w:hAnsi="ITC Avant Garde"/>
          <w:bCs/>
          <w:color w:val="000000"/>
          <w:lang w:eastAsia="es-MX"/>
        </w:rPr>
        <w:t xml:space="preserve">, un título de concesión para instalar, operar y explotar una red pública de telecomunicaciones para prestar </w:t>
      </w:r>
      <w:r w:rsidR="007C3046" w:rsidRPr="009640A4">
        <w:rPr>
          <w:rFonts w:ascii="ITC Avant Garde" w:hAnsi="ITC Avant Garde"/>
          <w:bCs/>
          <w:color w:val="000000"/>
          <w:lang w:eastAsia="es-MX"/>
        </w:rPr>
        <w:t>los</w:t>
      </w:r>
      <w:r w:rsidR="00CA7785" w:rsidRPr="009640A4">
        <w:rPr>
          <w:rFonts w:ascii="ITC Avant Garde" w:hAnsi="ITC Avant Garde"/>
          <w:bCs/>
          <w:color w:val="000000"/>
          <w:lang w:eastAsia="es-MX"/>
        </w:rPr>
        <w:t xml:space="preserve"> servicio</w:t>
      </w:r>
      <w:r w:rsidR="007C3046" w:rsidRPr="009640A4">
        <w:rPr>
          <w:rFonts w:ascii="ITC Avant Garde" w:hAnsi="ITC Avant Garde"/>
          <w:bCs/>
          <w:color w:val="000000"/>
          <w:lang w:eastAsia="es-MX"/>
        </w:rPr>
        <w:t>s</w:t>
      </w:r>
      <w:r w:rsidR="00EB34ED" w:rsidRPr="009640A4">
        <w:rPr>
          <w:rFonts w:ascii="ITC Avant Garde" w:hAnsi="ITC Avant Garde"/>
          <w:bCs/>
          <w:color w:val="000000"/>
          <w:lang w:eastAsia="es-MX"/>
        </w:rPr>
        <w:t xml:space="preserve"> de</w:t>
      </w:r>
      <w:r w:rsidR="00244C43" w:rsidRPr="009640A4">
        <w:rPr>
          <w:rFonts w:ascii="ITC Avant Garde" w:hAnsi="ITC Avant Garde"/>
          <w:bCs/>
          <w:color w:val="000000"/>
          <w:lang w:eastAsia="es-MX"/>
        </w:rPr>
        <w:t xml:space="preserve"> básico de telefonía local y transmisión de datos </w:t>
      </w:r>
      <w:r w:rsidR="00CA7785" w:rsidRPr="009640A4">
        <w:rPr>
          <w:rFonts w:ascii="ITC Avant Garde" w:hAnsi="ITC Avant Garde"/>
          <w:bCs/>
          <w:color w:val="000000"/>
          <w:lang w:eastAsia="es-MX"/>
        </w:rPr>
        <w:t xml:space="preserve">en </w:t>
      </w:r>
      <w:r w:rsidR="00244C43" w:rsidRPr="009640A4">
        <w:rPr>
          <w:rFonts w:ascii="ITC Avant Garde" w:hAnsi="ITC Avant Garde"/>
          <w:bCs/>
          <w:color w:val="000000"/>
          <w:lang w:eastAsia="es-MX"/>
        </w:rPr>
        <w:t>Ciudad Juárez</w:t>
      </w:r>
      <w:r w:rsidR="00907000" w:rsidRPr="009640A4">
        <w:rPr>
          <w:rFonts w:ascii="ITC Avant Garde" w:hAnsi="ITC Avant Garde"/>
          <w:bCs/>
          <w:color w:val="000000"/>
          <w:lang w:eastAsia="es-MX"/>
        </w:rPr>
        <w:t>, en el Estado de C</w:t>
      </w:r>
      <w:r w:rsidR="00244C43" w:rsidRPr="009640A4">
        <w:rPr>
          <w:rFonts w:ascii="ITC Avant Garde" w:hAnsi="ITC Avant Garde"/>
          <w:bCs/>
          <w:color w:val="000000"/>
          <w:lang w:eastAsia="es-MX"/>
        </w:rPr>
        <w:t>hihuahua</w:t>
      </w:r>
      <w:r w:rsidR="00CA7785" w:rsidRPr="009640A4">
        <w:rPr>
          <w:rFonts w:ascii="ITC Avant Garde" w:hAnsi="ITC Avant Garde"/>
          <w:bCs/>
          <w:color w:val="000000"/>
          <w:lang w:eastAsia="es-MX"/>
        </w:rPr>
        <w:t xml:space="preserve">, con una vigencia de </w:t>
      </w:r>
      <w:r w:rsidR="00244C43" w:rsidRPr="009640A4">
        <w:rPr>
          <w:rFonts w:ascii="ITC Avant Garde" w:hAnsi="ITC Avant Garde"/>
          <w:bCs/>
          <w:color w:val="000000"/>
          <w:lang w:eastAsia="es-MX"/>
        </w:rPr>
        <w:t>15</w:t>
      </w:r>
      <w:r w:rsidR="00CA7785" w:rsidRPr="009640A4">
        <w:rPr>
          <w:rFonts w:ascii="ITC Avant Garde" w:hAnsi="ITC Avant Garde"/>
          <w:bCs/>
          <w:color w:val="000000"/>
          <w:lang w:eastAsia="es-MX"/>
        </w:rPr>
        <w:t xml:space="preserve"> (</w:t>
      </w:r>
      <w:r w:rsidR="00244C43" w:rsidRPr="009640A4">
        <w:rPr>
          <w:rFonts w:ascii="ITC Avant Garde" w:hAnsi="ITC Avant Garde"/>
          <w:bCs/>
          <w:color w:val="000000"/>
          <w:lang w:eastAsia="es-MX"/>
        </w:rPr>
        <w:t>quince</w:t>
      </w:r>
      <w:r w:rsidR="00CA7785" w:rsidRPr="009640A4">
        <w:rPr>
          <w:rFonts w:ascii="ITC Avant Garde" w:hAnsi="ITC Avant Garde"/>
          <w:bCs/>
          <w:color w:val="000000"/>
          <w:lang w:eastAsia="es-MX"/>
        </w:rPr>
        <w:t>) años contados a partir de su otorgamiento (la “Concesión”).</w:t>
      </w:r>
    </w:p>
    <w:p w:rsidR="009640A4" w:rsidRPr="009640A4" w:rsidRDefault="0046197C"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t>Constancia de Registro de Servicios de Valor Agregado.</w:t>
      </w:r>
      <w:r w:rsidRPr="009640A4">
        <w:rPr>
          <w:rFonts w:ascii="ITC Avant Garde" w:hAnsi="ITC Avant Garde"/>
          <w:bCs/>
          <w:color w:val="000000"/>
          <w:lang w:eastAsia="es-MX"/>
        </w:rPr>
        <w:t xml:space="preserve"> Con fecha 4 de julio de 2005, la extinta Comisión Federal de Telecomunicaciones notificó a IP Matrix, S.A. de C.V., la Constancia de Registro de Servicios de Valor Agregado que comprende los servicios de audiotexto, procesamiento remoto a bases de datos, intercambio electrónico de datos, correo electrónico de datos o facsímil, videotexto, correo de voz, teletexto, consulta remota a bases de datos y acceso a Internet.</w:t>
      </w:r>
    </w:p>
    <w:p w:rsidR="009640A4" w:rsidRPr="009640A4" w:rsidRDefault="00244C43" w:rsidP="009640A4">
      <w:pPr>
        <w:numPr>
          <w:ilvl w:val="0"/>
          <w:numId w:val="4"/>
        </w:numPr>
        <w:spacing w:before="240" w:line="240" w:lineRule="auto"/>
        <w:ind w:left="567"/>
        <w:jc w:val="both"/>
        <w:rPr>
          <w:rFonts w:ascii="ITC Avant Garde" w:hAnsi="ITC Avant Garde"/>
          <w:b/>
          <w:bCs/>
          <w:color w:val="000000"/>
          <w:lang w:eastAsia="es-MX"/>
        </w:rPr>
      </w:pPr>
      <w:r w:rsidRPr="009640A4">
        <w:rPr>
          <w:rFonts w:ascii="ITC Avant Garde" w:hAnsi="ITC Avant Garde"/>
          <w:b/>
          <w:bCs/>
          <w:color w:val="000000"/>
          <w:lang w:eastAsia="es-MX"/>
        </w:rPr>
        <w:t>Ampliación de cobertura</w:t>
      </w:r>
      <w:r w:rsidR="00850BED" w:rsidRPr="009640A4">
        <w:rPr>
          <w:rFonts w:ascii="ITC Avant Garde" w:hAnsi="ITC Avant Garde"/>
          <w:b/>
          <w:bCs/>
          <w:color w:val="000000"/>
          <w:lang w:eastAsia="es-MX"/>
        </w:rPr>
        <w:t xml:space="preserve">. </w:t>
      </w:r>
      <w:r w:rsidR="00850BED" w:rsidRPr="009640A4">
        <w:rPr>
          <w:rFonts w:ascii="ITC Avant Garde" w:hAnsi="ITC Avant Garde"/>
          <w:bCs/>
          <w:color w:val="000000"/>
          <w:lang w:eastAsia="es-MX"/>
        </w:rPr>
        <w:t xml:space="preserve">El </w:t>
      </w:r>
      <w:r w:rsidRPr="009640A4">
        <w:rPr>
          <w:rFonts w:ascii="ITC Avant Garde" w:hAnsi="ITC Avant Garde"/>
          <w:bCs/>
          <w:color w:val="000000"/>
          <w:lang w:eastAsia="es-MX"/>
        </w:rPr>
        <w:t>11</w:t>
      </w:r>
      <w:r w:rsidR="00907000" w:rsidRPr="009640A4">
        <w:rPr>
          <w:rFonts w:ascii="ITC Avant Garde" w:hAnsi="ITC Avant Garde"/>
          <w:bCs/>
          <w:color w:val="000000"/>
          <w:lang w:eastAsia="es-MX"/>
        </w:rPr>
        <w:t xml:space="preserve"> de </w:t>
      </w:r>
      <w:r w:rsidR="001B6AFB" w:rsidRPr="009640A4">
        <w:rPr>
          <w:rFonts w:ascii="ITC Avant Garde" w:hAnsi="ITC Avant Garde"/>
          <w:bCs/>
          <w:color w:val="000000"/>
          <w:lang w:eastAsia="es-MX"/>
        </w:rPr>
        <w:t>mayo</w:t>
      </w:r>
      <w:r w:rsidRPr="009640A4">
        <w:rPr>
          <w:rFonts w:ascii="ITC Avant Garde" w:hAnsi="ITC Avant Garde"/>
          <w:bCs/>
          <w:color w:val="000000"/>
          <w:lang w:eastAsia="es-MX"/>
        </w:rPr>
        <w:t xml:space="preserve"> de 2012</w:t>
      </w:r>
      <w:r w:rsidR="00850BED" w:rsidRPr="009640A4">
        <w:rPr>
          <w:rFonts w:ascii="ITC Avant Garde" w:hAnsi="ITC Avant Garde"/>
          <w:bCs/>
          <w:color w:val="000000"/>
          <w:lang w:eastAsia="es-MX"/>
        </w:rPr>
        <w:t xml:space="preserve">, la </w:t>
      </w:r>
      <w:r w:rsidRPr="009640A4">
        <w:rPr>
          <w:rFonts w:ascii="ITC Avant Garde" w:hAnsi="ITC Avant Garde"/>
          <w:bCs/>
          <w:color w:val="000000"/>
          <w:lang w:eastAsia="es-MX"/>
        </w:rPr>
        <w:t xml:space="preserve">Subsecretaría de Comunicaciones de la </w:t>
      </w:r>
      <w:r w:rsidR="00850BED" w:rsidRPr="009640A4">
        <w:rPr>
          <w:rFonts w:ascii="ITC Avant Garde" w:hAnsi="ITC Avant Garde"/>
          <w:bCs/>
          <w:color w:val="000000"/>
          <w:lang w:eastAsia="es-MX"/>
        </w:rPr>
        <w:t xml:space="preserve">Secretaría autorizó la </w:t>
      </w:r>
      <w:r w:rsidR="00927105" w:rsidRPr="009640A4">
        <w:rPr>
          <w:rFonts w:ascii="ITC Avant Garde" w:hAnsi="ITC Avant Garde"/>
          <w:bCs/>
          <w:color w:val="000000"/>
          <w:lang w:eastAsia="es-MX"/>
        </w:rPr>
        <w:t>ampliación de cobertura</w:t>
      </w:r>
      <w:r w:rsidR="00850BED" w:rsidRPr="009640A4">
        <w:rPr>
          <w:rFonts w:ascii="ITC Avant Garde" w:hAnsi="ITC Avant Garde"/>
          <w:bCs/>
          <w:color w:val="000000"/>
          <w:lang w:eastAsia="es-MX"/>
        </w:rPr>
        <w:t xml:space="preserve"> de la Concesión </w:t>
      </w:r>
      <w:r w:rsidR="00927105" w:rsidRPr="009640A4">
        <w:rPr>
          <w:rFonts w:ascii="ITC Avant Garde" w:hAnsi="ITC Avant Garde"/>
          <w:bCs/>
          <w:color w:val="000000"/>
          <w:lang w:eastAsia="es-MX"/>
        </w:rPr>
        <w:t>a nivel nacional</w:t>
      </w:r>
      <w:r w:rsidR="00850BED" w:rsidRPr="009640A4">
        <w:rPr>
          <w:rFonts w:ascii="ITC Avant Garde" w:hAnsi="ITC Avant Garde"/>
          <w:bCs/>
          <w:color w:val="000000"/>
          <w:lang w:eastAsia="es-MX"/>
        </w:rPr>
        <w:t>.</w:t>
      </w:r>
    </w:p>
    <w:p w:rsidR="009640A4" w:rsidRPr="009640A4" w:rsidRDefault="005564F8"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t xml:space="preserve">Decreto de Reforma Constitucional. </w:t>
      </w:r>
      <w:r w:rsidRPr="009640A4">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9640A4" w:rsidRPr="009640A4" w:rsidRDefault="008264BA"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themeColor="text1"/>
          <w:lang w:eastAsia="es-MX"/>
        </w:rPr>
        <w:t xml:space="preserve">Decreto de Ley. </w:t>
      </w:r>
      <w:r w:rsidRPr="009640A4">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9640A4" w:rsidRPr="009640A4" w:rsidRDefault="008264BA"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cs="Arial"/>
          <w:b/>
          <w:bCs/>
          <w:color w:val="000000"/>
          <w:shd w:val="clear" w:color="auto" w:fill="FFFFFF"/>
        </w:rPr>
        <w:t>Estatuto Orgánico.</w:t>
      </w:r>
      <w:r w:rsidRPr="009640A4">
        <w:rPr>
          <w:rStyle w:val="apple-converted-space"/>
          <w:rFonts w:ascii="ITC Avant Garde" w:hAnsi="ITC Avant Garde" w:cs="Arial"/>
          <w:b/>
          <w:bCs/>
          <w:color w:val="000000"/>
          <w:shd w:val="clear" w:color="auto" w:fill="FFFFFF"/>
        </w:rPr>
        <w:t xml:space="preserve"> </w:t>
      </w:r>
      <w:r w:rsidRPr="009640A4">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9640A4" w:rsidRPr="009640A4" w:rsidRDefault="00A14071"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lastRenderedPageBreak/>
        <w:t xml:space="preserve">Solicitud de Prórroga de Vigencia. </w:t>
      </w:r>
      <w:r w:rsidR="00CA7785" w:rsidRPr="009640A4">
        <w:rPr>
          <w:rFonts w:ascii="ITC Avant Garde" w:hAnsi="ITC Avant Garde"/>
          <w:bCs/>
          <w:color w:val="000000" w:themeColor="text1"/>
          <w:lang w:eastAsia="es-MX"/>
        </w:rPr>
        <w:t>E</w:t>
      </w:r>
      <w:r w:rsidR="00CA7785" w:rsidRPr="009640A4">
        <w:rPr>
          <w:rFonts w:ascii="ITC Avant Garde" w:hAnsi="ITC Avant Garde"/>
          <w:bCs/>
          <w:color w:val="000000"/>
          <w:lang w:eastAsia="es-MX"/>
        </w:rPr>
        <w:t xml:space="preserve">l </w:t>
      </w:r>
      <w:r w:rsidR="00806AF4" w:rsidRPr="009640A4">
        <w:rPr>
          <w:rFonts w:ascii="ITC Avant Garde" w:hAnsi="ITC Avant Garde"/>
          <w:bCs/>
          <w:color w:val="000000"/>
          <w:lang w:eastAsia="es-MX"/>
        </w:rPr>
        <w:t>1</w:t>
      </w:r>
      <w:r w:rsidR="00CA7785" w:rsidRPr="009640A4">
        <w:rPr>
          <w:rFonts w:ascii="ITC Avant Garde" w:hAnsi="ITC Avant Garde"/>
          <w:bCs/>
          <w:color w:val="000000"/>
          <w:lang w:eastAsia="es-MX"/>
        </w:rPr>
        <w:t xml:space="preserve"> de </w:t>
      </w:r>
      <w:r w:rsidR="008264BA" w:rsidRPr="009640A4">
        <w:rPr>
          <w:rFonts w:ascii="ITC Avant Garde" w:hAnsi="ITC Avant Garde"/>
          <w:bCs/>
          <w:color w:val="000000"/>
          <w:lang w:eastAsia="es-MX"/>
        </w:rPr>
        <w:t>diciembre</w:t>
      </w:r>
      <w:r w:rsidR="00907000" w:rsidRPr="009640A4">
        <w:rPr>
          <w:rFonts w:ascii="ITC Avant Garde" w:hAnsi="ITC Avant Garde"/>
          <w:bCs/>
          <w:color w:val="000000"/>
          <w:lang w:eastAsia="es-MX"/>
        </w:rPr>
        <w:t xml:space="preserve"> de 201</w:t>
      </w:r>
      <w:r w:rsidR="008264BA" w:rsidRPr="009640A4">
        <w:rPr>
          <w:rFonts w:ascii="ITC Avant Garde" w:hAnsi="ITC Avant Garde"/>
          <w:bCs/>
          <w:color w:val="000000"/>
          <w:lang w:eastAsia="es-MX"/>
        </w:rPr>
        <w:t>5</w:t>
      </w:r>
      <w:r w:rsidR="00CA7785" w:rsidRPr="009640A4">
        <w:rPr>
          <w:rFonts w:ascii="ITC Avant Garde" w:hAnsi="ITC Avant Garde"/>
          <w:bCs/>
          <w:color w:val="000000"/>
          <w:lang w:eastAsia="es-MX"/>
        </w:rPr>
        <w:t xml:space="preserve">, </w:t>
      </w:r>
      <w:r w:rsidR="008264BA" w:rsidRPr="009640A4">
        <w:rPr>
          <w:rFonts w:ascii="ITC Avant Garde" w:hAnsi="ITC Avant Garde"/>
          <w:bCs/>
          <w:color w:val="000000"/>
          <w:lang w:eastAsia="es-MX"/>
        </w:rPr>
        <w:t>IP Matrix</w:t>
      </w:r>
      <w:r w:rsidR="00CA7785" w:rsidRPr="009640A4">
        <w:rPr>
          <w:rFonts w:ascii="ITC Avant Garde" w:hAnsi="ITC Avant Garde"/>
          <w:bCs/>
          <w:color w:val="000000"/>
          <w:lang w:eastAsia="es-MX"/>
        </w:rPr>
        <w:t>, S.A. de C.V., a través de su representante legal, presentó ante el Instituto solicitud de prórroga de vigencia de la Concesión (la “Solicitud de Prórroga”).</w:t>
      </w:r>
    </w:p>
    <w:p w:rsidR="009640A4" w:rsidRPr="009640A4" w:rsidRDefault="00AE4C89"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t>Solicitud de Opinión Técnica.</w:t>
      </w:r>
      <w:r w:rsidRPr="009640A4">
        <w:rPr>
          <w:rFonts w:ascii="ITC Avant Garde" w:hAnsi="ITC Avant Garde"/>
          <w:bCs/>
          <w:color w:val="000000"/>
          <w:lang w:eastAsia="es-MX"/>
        </w:rPr>
        <w:t xml:space="preserve"> El </w:t>
      </w:r>
      <w:r w:rsidR="008264BA" w:rsidRPr="009640A4">
        <w:rPr>
          <w:rFonts w:ascii="ITC Avant Garde" w:hAnsi="ITC Avant Garde"/>
          <w:bCs/>
          <w:color w:val="000000"/>
          <w:lang w:eastAsia="es-MX"/>
        </w:rPr>
        <w:t>8</w:t>
      </w:r>
      <w:r w:rsidRPr="009640A4">
        <w:rPr>
          <w:rFonts w:ascii="ITC Avant Garde" w:hAnsi="ITC Avant Garde"/>
          <w:bCs/>
          <w:color w:val="000000"/>
          <w:lang w:eastAsia="es-MX"/>
        </w:rPr>
        <w:t xml:space="preserve"> de </w:t>
      </w:r>
      <w:r w:rsidR="008264BA" w:rsidRPr="009640A4">
        <w:rPr>
          <w:rFonts w:ascii="ITC Avant Garde" w:hAnsi="ITC Avant Garde"/>
          <w:bCs/>
          <w:color w:val="000000"/>
          <w:lang w:eastAsia="es-MX"/>
        </w:rPr>
        <w:t>diciembre</w:t>
      </w:r>
      <w:r w:rsidRPr="009640A4">
        <w:rPr>
          <w:rFonts w:ascii="ITC Avant Garde" w:hAnsi="ITC Avant Garde"/>
          <w:bCs/>
          <w:color w:val="000000"/>
          <w:lang w:eastAsia="es-MX"/>
        </w:rPr>
        <w:t xml:space="preserve"> de 201</w:t>
      </w:r>
      <w:r w:rsidR="008264BA" w:rsidRPr="009640A4">
        <w:rPr>
          <w:rFonts w:ascii="ITC Avant Garde" w:hAnsi="ITC Avant Garde"/>
          <w:bCs/>
          <w:color w:val="000000"/>
          <w:lang w:eastAsia="es-MX"/>
        </w:rPr>
        <w:t>5</w:t>
      </w:r>
      <w:r w:rsidRPr="009640A4">
        <w:rPr>
          <w:rFonts w:ascii="ITC Avant Garde" w:hAnsi="ITC Avant Garde"/>
          <w:bCs/>
          <w:color w:val="000000"/>
          <w:lang w:eastAsia="es-MX"/>
        </w:rPr>
        <w:t>, de conformidad con lo dispuesto en el Decreto de Reforma Constitucional</w:t>
      </w:r>
      <w:r w:rsidR="00754C28" w:rsidRPr="009640A4">
        <w:rPr>
          <w:rFonts w:ascii="ITC Avant Garde" w:hAnsi="ITC Avant Garde"/>
          <w:bCs/>
          <w:color w:val="000000"/>
          <w:lang w:eastAsia="es-MX"/>
        </w:rPr>
        <w:t xml:space="preserve"> y la Ley Federal de Telecomunicaciones y Radiodifusión (la “Ley”)</w:t>
      </w:r>
      <w:r w:rsidRPr="009640A4">
        <w:rPr>
          <w:rFonts w:ascii="ITC Avant Garde" w:hAnsi="ITC Avant Garde"/>
          <w:bCs/>
          <w:color w:val="000000"/>
          <w:lang w:eastAsia="es-MX"/>
        </w:rPr>
        <w:t>, mediante oficio IFT/</w:t>
      </w:r>
      <w:r w:rsidR="008264BA" w:rsidRPr="009640A4">
        <w:rPr>
          <w:rFonts w:ascii="ITC Avant Garde" w:hAnsi="ITC Avant Garde"/>
          <w:bCs/>
          <w:color w:val="000000"/>
          <w:lang w:eastAsia="es-MX"/>
        </w:rPr>
        <w:t>223</w:t>
      </w:r>
      <w:r w:rsidRPr="009640A4">
        <w:rPr>
          <w:rFonts w:ascii="ITC Avant Garde" w:hAnsi="ITC Avant Garde"/>
          <w:bCs/>
          <w:color w:val="000000"/>
          <w:lang w:eastAsia="es-MX"/>
        </w:rPr>
        <w:t>/</w:t>
      </w:r>
      <w:r w:rsidR="008264BA" w:rsidRPr="009640A4">
        <w:rPr>
          <w:rFonts w:ascii="ITC Avant Garde" w:hAnsi="ITC Avant Garde"/>
          <w:bCs/>
          <w:color w:val="000000"/>
          <w:lang w:eastAsia="es-MX"/>
        </w:rPr>
        <w:t>UCS</w:t>
      </w:r>
      <w:r w:rsidRPr="009640A4">
        <w:rPr>
          <w:rFonts w:ascii="ITC Avant Garde" w:hAnsi="ITC Avant Garde"/>
          <w:bCs/>
          <w:color w:val="000000"/>
          <w:lang w:eastAsia="es-MX"/>
        </w:rPr>
        <w:t>/</w:t>
      </w:r>
      <w:r w:rsidR="008264BA" w:rsidRPr="009640A4">
        <w:rPr>
          <w:rFonts w:ascii="ITC Avant Garde" w:hAnsi="ITC Avant Garde"/>
          <w:bCs/>
          <w:color w:val="000000"/>
          <w:lang w:eastAsia="es-MX"/>
        </w:rPr>
        <w:t>2690</w:t>
      </w:r>
      <w:r w:rsidRPr="009640A4">
        <w:rPr>
          <w:rFonts w:ascii="ITC Avant Garde" w:hAnsi="ITC Avant Garde"/>
          <w:bCs/>
          <w:color w:val="000000"/>
          <w:lang w:eastAsia="es-MX"/>
        </w:rPr>
        <w:t>/</w:t>
      </w:r>
      <w:r w:rsidR="008264BA" w:rsidRPr="009640A4">
        <w:rPr>
          <w:rFonts w:ascii="ITC Avant Garde" w:hAnsi="ITC Avant Garde"/>
          <w:bCs/>
          <w:color w:val="000000"/>
          <w:lang w:eastAsia="es-MX"/>
        </w:rPr>
        <w:t>2015</w:t>
      </w:r>
      <w:r w:rsidRPr="009640A4">
        <w:rPr>
          <w:rFonts w:ascii="ITC Avant Garde" w:hAnsi="ITC Avant Garde"/>
          <w:bCs/>
          <w:color w:val="000000"/>
          <w:lang w:eastAsia="es-MX"/>
        </w:rPr>
        <w:t>, el Instituto</w:t>
      </w:r>
      <w:r w:rsidR="008264BA" w:rsidRPr="009640A4">
        <w:rPr>
          <w:rFonts w:ascii="ITC Avant Garde" w:hAnsi="ITC Avant Garde"/>
          <w:bCs/>
          <w:color w:val="000000"/>
          <w:lang w:eastAsia="es-MX"/>
        </w:rPr>
        <w:t xml:space="preserve"> a través de la Unidad de Concesiones y Servicios,</w:t>
      </w:r>
      <w:r w:rsidRPr="009640A4">
        <w:rPr>
          <w:rFonts w:ascii="ITC Avant Garde" w:hAnsi="ITC Avant Garde"/>
          <w:bCs/>
          <w:color w:val="000000"/>
          <w:lang w:eastAsia="es-MX"/>
        </w:rPr>
        <w:t xml:space="preserve"> solicitó a la Secretaría la opinión técnica correspondiente a la Solicitud de Prórroga, en términos de lo establecido por el artículo 28 párrafo décimo séptimo de la Constitución Política de los Estados Unidos Mexicanos (la “Constitución”).</w:t>
      </w:r>
    </w:p>
    <w:p w:rsidR="009640A4" w:rsidRPr="009640A4" w:rsidRDefault="00AE4C89"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t>Opinión Técnica de la Secretaría.</w:t>
      </w:r>
      <w:r w:rsidRPr="009640A4">
        <w:rPr>
          <w:rFonts w:ascii="ITC Avant Garde" w:hAnsi="ITC Avant Garde"/>
          <w:bCs/>
          <w:color w:val="000000"/>
          <w:lang w:eastAsia="es-MX"/>
        </w:rPr>
        <w:t xml:space="preserve"> El </w:t>
      </w:r>
      <w:r w:rsidR="008264BA" w:rsidRPr="009640A4">
        <w:rPr>
          <w:rFonts w:ascii="ITC Avant Garde" w:hAnsi="ITC Avant Garde"/>
          <w:bCs/>
          <w:color w:val="000000"/>
          <w:lang w:eastAsia="es-MX"/>
        </w:rPr>
        <w:t>9</w:t>
      </w:r>
      <w:r w:rsidRPr="009640A4">
        <w:rPr>
          <w:rFonts w:ascii="ITC Avant Garde" w:hAnsi="ITC Avant Garde"/>
          <w:bCs/>
          <w:color w:val="000000"/>
          <w:lang w:eastAsia="es-MX"/>
        </w:rPr>
        <w:t xml:space="preserve"> de </w:t>
      </w:r>
      <w:r w:rsidR="008264BA" w:rsidRPr="009640A4">
        <w:rPr>
          <w:rFonts w:ascii="ITC Avant Garde" w:hAnsi="ITC Avant Garde"/>
          <w:bCs/>
          <w:color w:val="000000"/>
          <w:lang w:eastAsia="es-MX"/>
        </w:rPr>
        <w:t>febrero</w:t>
      </w:r>
      <w:r w:rsidRPr="009640A4">
        <w:rPr>
          <w:rFonts w:ascii="ITC Avant Garde" w:hAnsi="ITC Avant Garde"/>
          <w:bCs/>
          <w:color w:val="000000"/>
          <w:lang w:eastAsia="es-MX"/>
        </w:rPr>
        <w:t xml:space="preserve"> de 201</w:t>
      </w:r>
      <w:r w:rsidR="008264BA" w:rsidRPr="009640A4">
        <w:rPr>
          <w:rFonts w:ascii="ITC Avant Garde" w:hAnsi="ITC Avant Garde"/>
          <w:bCs/>
          <w:color w:val="000000"/>
          <w:lang w:eastAsia="es-MX"/>
        </w:rPr>
        <w:t>6</w:t>
      </w:r>
      <w:r w:rsidRPr="009640A4">
        <w:rPr>
          <w:rFonts w:ascii="ITC Avant Garde" w:hAnsi="ITC Avant Garde"/>
          <w:bCs/>
          <w:color w:val="000000"/>
          <w:lang w:eastAsia="es-MX"/>
        </w:rPr>
        <w:t>, mediante oficio 2.1.-</w:t>
      </w:r>
      <w:r w:rsidR="008264BA" w:rsidRPr="009640A4">
        <w:rPr>
          <w:rFonts w:ascii="ITC Avant Garde" w:hAnsi="ITC Avant Garde"/>
          <w:bCs/>
          <w:color w:val="000000"/>
          <w:lang w:eastAsia="es-MX"/>
        </w:rPr>
        <w:t>0154</w:t>
      </w:r>
      <w:r w:rsidRPr="009640A4">
        <w:rPr>
          <w:rFonts w:ascii="ITC Avant Garde" w:hAnsi="ITC Avant Garde"/>
          <w:bCs/>
          <w:color w:val="000000"/>
          <w:lang w:eastAsia="es-MX"/>
        </w:rPr>
        <w:t>, la Dirección General de Política de Telecomunicaciones y de Radiodifusión de la Secretaría, remitió el oficio 1.-</w:t>
      </w:r>
      <w:r w:rsidR="00806AF4" w:rsidRPr="009640A4">
        <w:rPr>
          <w:rFonts w:ascii="ITC Avant Garde" w:hAnsi="ITC Avant Garde"/>
          <w:bCs/>
          <w:color w:val="000000"/>
          <w:lang w:eastAsia="es-MX"/>
        </w:rPr>
        <w:t>31</w:t>
      </w:r>
      <w:r w:rsidR="008264BA" w:rsidRPr="009640A4">
        <w:rPr>
          <w:rFonts w:ascii="ITC Avant Garde" w:hAnsi="ITC Avant Garde"/>
          <w:bCs/>
          <w:color w:val="000000"/>
          <w:lang w:eastAsia="es-MX"/>
        </w:rPr>
        <w:t xml:space="preserve"> de fecha 8 de febrero de 2016</w:t>
      </w:r>
      <w:r w:rsidR="00E650E4" w:rsidRPr="009640A4">
        <w:rPr>
          <w:rFonts w:ascii="ITC Avant Garde" w:hAnsi="ITC Avant Garde"/>
          <w:bCs/>
          <w:color w:val="000000"/>
          <w:lang w:eastAsia="es-MX"/>
        </w:rPr>
        <w:t>,</w:t>
      </w:r>
      <w:r w:rsidRPr="009640A4">
        <w:rPr>
          <w:rFonts w:ascii="ITC Avant Garde" w:hAnsi="ITC Avant Garde"/>
          <w:bCs/>
          <w:color w:val="000000"/>
          <w:lang w:eastAsia="es-MX"/>
        </w:rPr>
        <w:t xml:space="preserve"> con la opinión técnica </w:t>
      </w:r>
      <w:r w:rsidR="00EA1913" w:rsidRPr="009640A4">
        <w:rPr>
          <w:rFonts w:ascii="ITC Avant Garde" w:hAnsi="ITC Avant Garde"/>
          <w:bCs/>
          <w:color w:val="000000"/>
          <w:lang w:eastAsia="es-MX"/>
        </w:rPr>
        <w:t>de dicha Dependencia, respecto de la Solicitud de Prórroga</w:t>
      </w:r>
      <w:r w:rsidRPr="009640A4">
        <w:rPr>
          <w:rFonts w:ascii="ITC Avant Garde" w:hAnsi="ITC Avant Garde"/>
          <w:bCs/>
          <w:color w:val="000000"/>
          <w:lang w:eastAsia="es-MX"/>
        </w:rPr>
        <w:t>.</w:t>
      </w:r>
    </w:p>
    <w:p w:rsidR="009640A4" w:rsidRPr="009640A4" w:rsidRDefault="00303864"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t xml:space="preserve">Opinión en materia de Competencia Económica. </w:t>
      </w:r>
      <w:r w:rsidR="00CA7785" w:rsidRPr="009640A4">
        <w:rPr>
          <w:rFonts w:ascii="ITC Avant Garde" w:hAnsi="ITC Avant Garde"/>
          <w:color w:val="000000"/>
          <w:lang w:eastAsia="es-MX"/>
        </w:rPr>
        <w:t xml:space="preserve">Con fecha </w:t>
      </w:r>
      <w:r w:rsidR="008264BA" w:rsidRPr="009640A4">
        <w:rPr>
          <w:rFonts w:ascii="ITC Avant Garde" w:hAnsi="ITC Avant Garde"/>
          <w:color w:val="000000"/>
          <w:lang w:eastAsia="es-MX"/>
        </w:rPr>
        <w:t>12</w:t>
      </w:r>
      <w:r w:rsidR="00806AF4" w:rsidRPr="009640A4">
        <w:rPr>
          <w:rFonts w:ascii="ITC Avant Garde" w:hAnsi="ITC Avant Garde"/>
          <w:color w:val="000000"/>
          <w:lang w:eastAsia="es-MX"/>
        </w:rPr>
        <w:t xml:space="preserve"> de </w:t>
      </w:r>
      <w:r w:rsidR="008264BA" w:rsidRPr="009640A4">
        <w:rPr>
          <w:rFonts w:ascii="ITC Avant Garde" w:hAnsi="ITC Avant Garde"/>
          <w:color w:val="000000"/>
          <w:lang w:eastAsia="es-MX"/>
        </w:rPr>
        <w:t>abril de 2016</w:t>
      </w:r>
      <w:r w:rsidR="00CA7785" w:rsidRPr="009640A4">
        <w:rPr>
          <w:rFonts w:ascii="ITC Avant Garde" w:hAnsi="ITC Avant Garde"/>
          <w:color w:val="000000"/>
          <w:lang w:eastAsia="es-MX"/>
        </w:rPr>
        <w:t>, la Unidad de Competencia Económica, a través de la Dirección General de Concentraciones y Concesiones, emitió el oficio IFT/226/UCE/DG-CCON/</w:t>
      </w:r>
      <w:r w:rsidR="008264BA" w:rsidRPr="009640A4">
        <w:rPr>
          <w:rFonts w:ascii="ITC Avant Garde" w:hAnsi="ITC Avant Garde"/>
          <w:color w:val="000000"/>
          <w:lang w:eastAsia="es-MX"/>
        </w:rPr>
        <w:t>177</w:t>
      </w:r>
      <w:r w:rsidR="00CA7785" w:rsidRPr="009640A4">
        <w:rPr>
          <w:rFonts w:ascii="ITC Avant Garde" w:hAnsi="ITC Avant Garde"/>
          <w:color w:val="000000"/>
          <w:lang w:eastAsia="es-MX"/>
        </w:rPr>
        <w:t>/2015, mediante el cual remite la opinión respecto de la Solicitud de Prórroga.</w:t>
      </w:r>
    </w:p>
    <w:p w:rsidR="009640A4" w:rsidRPr="009640A4" w:rsidRDefault="007F6849" w:rsidP="009640A4">
      <w:pPr>
        <w:numPr>
          <w:ilvl w:val="0"/>
          <w:numId w:val="4"/>
        </w:numPr>
        <w:spacing w:before="240" w:line="240" w:lineRule="auto"/>
        <w:ind w:left="567"/>
        <w:jc w:val="both"/>
        <w:rPr>
          <w:rFonts w:ascii="ITC Avant Garde" w:hAnsi="ITC Avant Garde"/>
          <w:bCs/>
          <w:color w:val="000000"/>
          <w:lang w:eastAsia="es-MX"/>
        </w:rPr>
      </w:pPr>
      <w:r w:rsidRPr="009640A4">
        <w:rPr>
          <w:rFonts w:ascii="ITC Avant Garde" w:hAnsi="ITC Avant Garde"/>
          <w:b/>
          <w:bCs/>
          <w:color w:val="000000"/>
          <w:lang w:eastAsia="es-MX"/>
        </w:rPr>
        <w:t xml:space="preserve">Dictamen en materia de Cumplimiento de Obligaciones. </w:t>
      </w:r>
      <w:r w:rsidRPr="009640A4">
        <w:rPr>
          <w:rFonts w:ascii="ITC Avant Garde" w:hAnsi="ITC Avant Garde"/>
          <w:bCs/>
          <w:color w:val="000000"/>
          <w:lang w:eastAsia="es-MX"/>
        </w:rPr>
        <w:t xml:space="preserve">El </w:t>
      </w:r>
      <w:r w:rsidR="00990A4B" w:rsidRPr="009640A4">
        <w:rPr>
          <w:rFonts w:ascii="ITC Avant Garde" w:hAnsi="ITC Avant Garde"/>
        </w:rPr>
        <w:t>1 de septiembre de 2016</w:t>
      </w:r>
      <w:r w:rsidRPr="009640A4">
        <w:rPr>
          <w:rFonts w:ascii="ITC Avant Garde" w:hAnsi="ITC Avant Garde"/>
        </w:rPr>
        <w:t xml:space="preserve"> m</w:t>
      </w:r>
      <w:r w:rsidRPr="009640A4">
        <w:rPr>
          <w:rFonts w:ascii="ITC Avant Garde" w:hAnsi="ITC Avant Garde"/>
          <w:color w:val="000000"/>
          <w:lang w:eastAsia="es-MX"/>
        </w:rPr>
        <w:t>ediante oficio</w:t>
      </w:r>
      <w:r w:rsidR="00806AF4" w:rsidRPr="009640A4">
        <w:rPr>
          <w:rFonts w:ascii="ITC Avant Garde" w:hAnsi="ITC Avant Garde"/>
        </w:rPr>
        <w:t xml:space="preserve"> IFT/225/UC/DG-SUV/</w:t>
      </w:r>
      <w:r w:rsidR="00990A4B" w:rsidRPr="009640A4">
        <w:rPr>
          <w:rFonts w:ascii="ITC Avant Garde" w:hAnsi="ITC Avant Garde"/>
        </w:rPr>
        <w:t>4704</w:t>
      </w:r>
      <w:r w:rsidRPr="009640A4">
        <w:rPr>
          <w:rFonts w:ascii="ITC Avant Garde" w:hAnsi="ITC Avant Garde"/>
        </w:rPr>
        <w:t>/2016, la Unidad de Cumplimiento, a través de la Dirección General de Supervisión, emitió el dictamen correspondiente a la Solicitud de Prórroga.</w:t>
      </w:r>
    </w:p>
    <w:p w:rsidR="009640A4" w:rsidRPr="009640A4" w:rsidRDefault="005564F8" w:rsidP="009640A4">
      <w:pPr>
        <w:spacing w:before="240" w:line="240" w:lineRule="auto"/>
        <w:jc w:val="both"/>
        <w:rPr>
          <w:rFonts w:ascii="ITC Avant Garde" w:hAnsi="ITC Avant Garde"/>
          <w:bCs/>
          <w:color w:val="000000"/>
          <w:lang w:eastAsia="es-MX"/>
        </w:rPr>
      </w:pPr>
      <w:r w:rsidRPr="009640A4">
        <w:rPr>
          <w:rFonts w:ascii="ITC Avant Garde" w:hAnsi="ITC Avant Garde"/>
          <w:bCs/>
          <w:color w:val="000000"/>
          <w:lang w:eastAsia="es-MX"/>
        </w:rPr>
        <w:t>En virtud de los Antecedentes referidos y,</w:t>
      </w:r>
    </w:p>
    <w:p w:rsidR="009640A4" w:rsidRPr="009640A4" w:rsidRDefault="00B048BA" w:rsidP="009640A4">
      <w:pPr>
        <w:pStyle w:val="Ttulo2"/>
        <w:spacing w:after="240"/>
        <w:jc w:val="center"/>
        <w:rPr>
          <w:rFonts w:ascii="ITC Avant Garde" w:hAnsi="ITC Avant Garde"/>
          <w:b/>
          <w:color w:val="000000" w:themeColor="text1"/>
          <w:sz w:val="22"/>
          <w:szCs w:val="22"/>
        </w:rPr>
      </w:pPr>
      <w:r w:rsidRPr="009640A4">
        <w:rPr>
          <w:rFonts w:ascii="ITC Avant Garde" w:hAnsi="ITC Avant Garde"/>
          <w:b/>
          <w:color w:val="000000" w:themeColor="text1"/>
          <w:sz w:val="22"/>
          <w:szCs w:val="22"/>
        </w:rPr>
        <w:t>CONSIDERANDO</w:t>
      </w:r>
    </w:p>
    <w:p w:rsidR="009640A4" w:rsidRPr="009640A4" w:rsidRDefault="0011106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
          <w:bCs/>
        </w:rPr>
        <w:t>Primero.- Competencia.</w:t>
      </w:r>
      <w:r w:rsidRPr="009640A4">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9640A4">
        <w:rPr>
          <w:rFonts w:ascii="ITC Avant Garde" w:hAnsi="ITC Avant Garde"/>
          <w:bCs/>
        </w:rPr>
        <w:t>por</w:t>
      </w:r>
      <w:r w:rsidRPr="009640A4">
        <w:rPr>
          <w:rFonts w:ascii="ITC Avant Garde" w:hAnsi="ITC Avant Garde"/>
          <w:bCs/>
        </w:rPr>
        <w:t xml:space="preserve"> los artículos 6o. y 7o. de la Constitución.</w:t>
      </w:r>
    </w:p>
    <w:p w:rsidR="009640A4" w:rsidRPr="009640A4" w:rsidRDefault="0011106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w:t>
      </w:r>
      <w:r w:rsidRPr="009640A4">
        <w:rPr>
          <w:rFonts w:ascii="ITC Avant Garde" w:hAnsi="ITC Avant Garde"/>
          <w:bCs/>
        </w:rPr>
        <w:lastRenderedPageBreak/>
        <w:t xml:space="preserve">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9640A4">
        <w:rPr>
          <w:rFonts w:ascii="ITC Avant Garde" w:hAnsi="ITC Avant Garde"/>
          <w:bCs/>
        </w:rPr>
        <w:t>por</w:t>
      </w:r>
      <w:r w:rsidRPr="009640A4">
        <w:rPr>
          <w:rFonts w:ascii="ITC Avant Garde" w:hAnsi="ITC Avant Garde"/>
          <w:bCs/>
        </w:rPr>
        <w:t xml:space="preserve"> los artículos 6o. y 7o. de la Constitución.</w:t>
      </w:r>
    </w:p>
    <w:p w:rsidR="009640A4" w:rsidRPr="009640A4" w:rsidRDefault="00DA1A9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De igual forma</w:t>
      </w:r>
      <w:r w:rsidR="009825EF" w:rsidRPr="009640A4">
        <w:rPr>
          <w:rFonts w:ascii="ITC Avant Garde" w:hAnsi="ITC Avant Garde"/>
          <w:bCs/>
        </w:rPr>
        <w:t xml:space="preserve">, corresponde al Instituto, el otorgamiento de concesiones en materia de radiodifusión y telecomunicaciones. En este sentido, el Pleno del Instituto está facultado, conforme a lo establecido por los artículos 15 fracción IV y 17 fracción I de la Ley, para resolver sobre el otorgamiento de las concesiones señaladas, resolver respecto de las prórrogas, modificación o terminación de las mismas, así como interpretar la </w:t>
      </w:r>
      <w:r w:rsidR="00F33300" w:rsidRPr="009640A4">
        <w:rPr>
          <w:rFonts w:ascii="ITC Avant Garde" w:hAnsi="ITC Avant Garde"/>
          <w:bCs/>
        </w:rPr>
        <w:t xml:space="preserve">Ley </w:t>
      </w:r>
      <w:r w:rsidR="009825EF" w:rsidRPr="009640A4">
        <w:rPr>
          <w:rFonts w:ascii="ITC Avant Garde" w:hAnsi="ITC Avant Garde"/>
          <w:bCs/>
        </w:rPr>
        <w:t>y demás disposiciones administrativas en materia de telecomunicaciones y radiodifusión, en el ámbito de sus atribuciones.</w:t>
      </w:r>
    </w:p>
    <w:p w:rsidR="009640A4" w:rsidRPr="009640A4" w:rsidRDefault="009825EF"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Por su parte, el artículo 6 fracciones I y XVIII del Estatuto Orgánico, establece que corresponde al Pleno</w:t>
      </w:r>
      <w:r w:rsidR="00EF7004" w:rsidRPr="009640A4">
        <w:rPr>
          <w:rFonts w:ascii="ITC Avant Garde" w:hAnsi="ITC Avant Garde"/>
          <w:bCs/>
        </w:rPr>
        <w:t xml:space="preserve"> del Instituto</w:t>
      </w:r>
      <w:r w:rsidRPr="009640A4">
        <w:rPr>
          <w:rFonts w:ascii="ITC Avant Garde" w:hAnsi="ITC Avant Garde"/>
          <w:bCs/>
        </w:rPr>
        <w:t>,</w:t>
      </w:r>
      <w:r w:rsidR="00EF7004" w:rsidRPr="009640A4">
        <w:rPr>
          <w:rFonts w:ascii="ITC Avant Garde" w:hAnsi="ITC Avant Garde"/>
          <w:bCs/>
        </w:rPr>
        <w:t xml:space="preserve"> entre otras,</w:t>
      </w:r>
      <w:r w:rsidRPr="009640A4">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9640A4">
        <w:rPr>
          <w:rFonts w:ascii="ITC Avant Garde" w:hAnsi="ITC Avant Garde"/>
          <w:bCs/>
        </w:rPr>
        <w:t>Ley</w:t>
      </w:r>
      <w:r w:rsidRPr="009640A4">
        <w:rPr>
          <w:rFonts w:ascii="ITC Avant Garde" w:hAnsi="ITC Avant Garde"/>
          <w:bCs/>
        </w:rPr>
        <w:t>, y las disposiciones administrativas en materia de telecomunicaciones y radiodifusión, en el ámbito de sus atribuciones</w:t>
      </w:r>
      <w:r w:rsidR="00111069" w:rsidRPr="009640A4">
        <w:rPr>
          <w:rFonts w:ascii="ITC Avant Garde" w:hAnsi="ITC Avant Garde"/>
          <w:bCs/>
        </w:rPr>
        <w:t>.</w:t>
      </w:r>
    </w:p>
    <w:p w:rsidR="009640A4" w:rsidRPr="009640A4" w:rsidRDefault="0011106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Asimismo, conforme a</w:t>
      </w:r>
      <w:r w:rsidR="00203F87" w:rsidRPr="009640A4">
        <w:rPr>
          <w:rFonts w:ascii="ITC Avant Garde" w:hAnsi="ITC Avant Garde"/>
          <w:bCs/>
        </w:rPr>
        <w:t xml:space="preserve"> </w:t>
      </w:r>
      <w:r w:rsidRPr="009640A4">
        <w:rPr>
          <w:rFonts w:ascii="ITC Avant Garde" w:hAnsi="ITC Avant Garde"/>
          <w:bCs/>
        </w:rPr>
        <w:t>l</w:t>
      </w:r>
      <w:r w:rsidR="00203F87" w:rsidRPr="009640A4">
        <w:rPr>
          <w:rFonts w:ascii="ITC Avant Garde" w:hAnsi="ITC Avant Garde"/>
          <w:bCs/>
        </w:rPr>
        <w:t>os</w:t>
      </w:r>
      <w:r w:rsidRPr="009640A4">
        <w:rPr>
          <w:rFonts w:ascii="ITC Avant Garde" w:hAnsi="ITC Avant Garde"/>
          <w:bCs/>
        </w:rPr>
        <w:t xml:space="preserve"> artículo</w:t>
      </w:r>
      <w:r w:rsidR="00203F87" w:rsidRPr="009640A4">
        <w:rPr>
          <w:rFonts w:ascii="ITC Avant Garde" w:hAnsi="ITC Avant Garde"/>
          <w:bCs/>
        </w:rPr>
        <w:t>s 32 y</w:t>
      </w:r>
      <w:r w:rsidRPr="009640A4">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9640A4" w:rsidRPr="009640A4" w:rsidRDefault="009825EF"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En consecuencia, el Instituto está facultado para otorgar concesiones en materia de telecomunicaciones, así como resolver respec</w:t>
      </w:r>
      <w:r w:rsidR="00274E43" w:rsidRPr="009640A4">
        <w:rPr>
          <w:rFonts w:ascii="ITC Avant Garde" w:hAnsi="ITC Avant Garde"/>
          <w:bCs/>
        </w:rPr>
        <w:t>to de las</w:t>
      </w:r>
      <w:r w:rsidRPr="009640A4">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9640A4">
        <w:rPr>
          <w:rFonts w:ascii="ITC Avant Garde" w:hAnsi="ITC Avant Garde"/>
          <w:bCs/>
        </w:rPr>
        <w:t>Ley</w:t>
      </w:r>
      <w:r w:rsidRPr="009640A4">
        <w:rPr>
          <w:rFonts w:ascii="ITC Avant Garde" w:hAnsi="ITC Avant Garde"/>
          <w:bCs/>
        </w:rPr>
        <w:t>, y las disposiciones administrativas en materia de telecomunicaciones y radiodifusión, en el ámbito de sus atribuciones</w:t>
      </w:r>
      <w:r w:rsidR="00EA1913" w:rsidRPr="009640A4">
        <w:rPr>
          <w:rFonts w:ascii="ITC Avant Garde" w:hAnsi="ITC Avant Garde"/>
          <w:bCs/>
        </w:rPr>
        <w:t>;</w:t>
      </w:r>
      <w:r w:rsidRPr="009640A4">
        <w:rPr>
          <w:rFonts w:ascii="ITC Avant Garde" w:hAnsi="ITC Avant Garde"/>
          <w:bCs/>
        </w:rPr>
        <w:t xml:space="preserve"> por lo que el Pleno, como órgano máximo de gobierno y decisión del Instituto, se encuentra plenamente facultado para resolver la Solicitud de Prórroga.</w:t>
      </w:r>
    </w:p>
    <w:p w:rsidR="009640A4" w:rsidRPr="009640A4" w:rsidRDefault="0011106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
          <w:bCs/>
        </w:rPr>
        <w:t>Segundo.- Marco normativo general aplicable a prórrogas de vigencia de concesiones en materia de telecomunicaciones.</w:t>
      </w:r>
      <w:r w:rsidRPr="009640A4">
        <w:rPr>
          <w:rFonts w:ascii="ITC Avant Garde" w:hAnsi="ITC Avant Garde"/>
          <w:bCs/>
        </w:rPr>
        <w:t xml:space="preserve"> </w:t>
      </w:r>
      <w:r w:rsidR="005D4CA9" w:rsidRPr="009640A4">
        <w:rPr>
          <w:rFonts w:ascii="ITC Avant Garde" w:hAnsi="ITC Avant Garde"/>
          <w:bCs/>
        </w:rPr>
        <w:t xml:space="preserve">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lastRenderedPageBreak/>
        <w:t>En ese sentido resulta conveniente señalar que la Concesión establece en su condición 1.5, que su vigencia será de 15 (quince) años contados a partir de su otorgamiento y podrá ser prorrogada de acuerdo con el artículo 27 de la abrogada Ley Federal de Telecomunicaciones. Por su parte, el último párrafo de la condición 1.7 del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Considerando que para el caso en particular la Ley Federal de Telecomunicaciones resulta inaplicable, a efecto de brindar plena certeza jurídica a los particulares con respecto a los trámites de prórroga que nos ocupan, la solicitud de mérito debe analizarse con base en lo establecido por el artículo 113 de la Ley, mismo que dispone lo siguiente:</w:t>
      </w:r>
    </w:p>
    <w:p w:rsidR="009640A4" w:rsidRPr="009640A4" w:rsidRDefault="005D4CA9"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w:t>
      </w:r>
      <w:r w:rsidRPr="009640A4">
        <w:rPr>
          <w:rFonts w:ascii="ITC Avant Garde" w:hAnsi="ITC Avant Garde"/>
          <w:b/>
          <w:bCs/>
          <w:iCs/>
          <w:color w:val="000000"/>
          <w:sz w:val="18"/>
          <w:szCs w:val="18"/>
          <w:lang w:eastAsia="es-MX"/>
        </w:rPr>
        <w:t>Artículo 113.</w:t>
      </w:r>
      <w:r w:rsidRPr="009640A4">
        <w:rPr>
          <w:rFonts w:ascii="ITC Avant Garde" w:hAnsi="ITC Avant Garde"/>
          <w:iCs/>
          <w:color w:val="000000"/>
          <w:sz w:val="18"/>
          <w:szCs w:val="18"/>
          <w:lang w:eastAsia="es-MX"/>
        </w:rPr>
        <w:t xml:space="preserve">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rsidR="009640A4" w:rsidRPr="009640A4" w:rsidRDefault="005D4CA9"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En caso de que el Instituto no resuelva en el plazo señalado en el párrafo anterior, se entenderá prorrogada la concesión única.”</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Si bien es cierto que el citado artículo únicamente señala a las concesiones únicas como susceptibles de prórroga de su vigencia, esto no debe entenderse en el sentido de que las concesiones de redes de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 xml:space="preserve">En efecto, la abrogada Ley Federal de Telecomunicaciones en su artículo 3 fracción X, establecía que las redes públicas de telecomunicaciones eran aquellas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exactamente idéntica a la establecida por la abrogada Ley Federal de Telecomunicaciones. </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 xml:space="preserve">Por otro lado, no debe pasarse por alto que los servicios de telecomunicaciones que se prestan al amparo de la Concesión, son servicios públicos de interés general en virtud de lo señalado en el artículo 6o. Apartado B fracción II de la Constitución, por lo que el Estado debe garantizar que los mismos sean prestados, entre otras, en condiciones de competencia y continuidad. </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lastRenderedPageBreak/>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Es por ello, que de resolverse de manera favorable la Solicitud de Prórroga,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Derivado de lo anterior, se concluye que las concesiones de redes públicas de telecomunicaciones son susceptibles de ser prorrogadas, siempre que se actualicen las hipótesis normativas previstas en el artículo 113 de la Ley.</w:t>
      </w:r>
    </w:p>
    <w:p w:rsidR="009640A4" w:rsidRPr="009640A4" w:rsidRDefault="005D4CA9"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En suma, el citado artículo 113 de la Ley prevé que para el otorgamiento de prórrogas de concesiones en materia de telecomunicaciones es necesario que el concesionario: (i) lo hubiere solicitado dentro del año previo al inicio de la última quinta parte del plazo de vigencia de la concesión; (ii) se encuentre al corriente en el cumplimiento de las obligaciones establecidas en la Ley y demás disposiciones aplicables; así como en su título de concesión, y (iii) acepte previamente las nuevas condiciones que, en su caso, se establezcan.</w:t>
      </w:r>
    </w:p>
    <w:p w:rsidR="009640A4" w:rsidRPr="009640A4" w:rsidRDefault="003761B9" w:rsidP="009640A4">
      <w:pPr>
        <w:autoSpaceDE w:val="0"/>
        <w:autoSpaceDN w:val="0"/>
        <w:adjustRightInd w:val="0"/>
        <w:spacing w:before="240" w:line="240" w:lineRule="auto"/>
        <w:contextualSpacing/>
        <w:jc w:val="both"/>
        <w:rPr>
          <w:rFonts w:ascii="ITC Avant Garde" w:hAnsi="ITC Avant Garde"/>
          <w:bCs/>
        </w:rPr>
      </w:pPr>
      <w:r w:rsidRPr="009640A4">
        <w:rPr>
          <w:rFonts w:ascii="ITC Avant Garde" w:hAnsi="ITC Avant Garde"/>
          <w:bCs/>
        </w:rPr>
        <w:t>Finalmente, cabe destacar que para este tipo de solicitudes debe acatarse el requisito de procedencia establecido en el artículo 94 fracción III de la Ley Federal de Derechos vigente al momento de iniciar el trámite, que establecía la obligación a cargo del solicitante de la prórroga de vigencia de la concesión en materia de telecomunicaciones, de pagar los derechos por el trámite relativo al estudio de la solicitud de prórroga.</w:t>
      </w:r>
    </w:p>
    <w:p w:rsidR="009640A4" w:rsidRPr="009640A4" w:rsidRDefault="00D247B5"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
          <w:bCs/>
        </w:rPr>
        <w:t xml:space="preserve">Tercero.- </w:t>
      </w:r>
      <w:r w:rsidR="00B048BA" w:rsidRPr="009640A4">
        <w:rPr>
          <w:rFonts w:ascii="ITC Avant Garde" w:hAnsi="ITC Avant Garde"/>
          <w:b/>
          <w:bCs/>
        </w:rPr>
        <w:t xml:space="preserve">Análisis de la Solicitud de </w:t>
      </w:r>
      <w:r w:rsidR="001A6B6F" w:rsidRPr="009640A4">
        <w:rPr>
          <w:rFonts w:ascii="ITC Avant Garde" w:hAnsi="ITC Avant Garde"/>
          <w:b/>
          <w:bCs/>
        </w:rPr>
        <w:t>Prórroga</w:t>
      </w:r>
      <w:r w:rsidR="00B048BA" w:rsidRPr="009640A4">
        <w:rPr>
          <w:rFonts w:ascii="ITC Avant Garde" w:hAnsi="ITC Avant Garde"/>
          <w:b/>
          <w:bCs/>
        </w:rPr>
        <w:t>.</w:t>
      </w:r>
      <w:r w:rsidR="001A6B6F" w:rsidRPr="009640A4">
        <w:rPr>
          <w:rFonts w:ascii="ITC Avant Garde" w:hAnsi="ITC Avant Garde"/>
          <w:bCs/>
        </w:rPr>
        <w:t xml:space="preserve"> </w:t>
      </w:r>
      <w:r w:rsidR="00C70776" w:rsidRPr="009640A4">
        <w:rPr>
          <w:rFonts w:ascii="ITC Avant Garde" w:hAnsi="ITC Avant Garde"/>
          <w:bCs/>
        </w:rPr>
        <w:t xml:space="preserve">Por lo que hace al primer requisito señalado en el artículo 113 de la Ley, relativo a que </w:t>
      </w:r>
      <w:r w:rsidR="00C70776" w:rsidRPr="009640A4">
        <w:rPr>
          <w:rFonts w:ascii="ITC Avant Garde" w:hAnsi="ITC Avant Garde"/>
          <w:bCs/>
          <w:color w:val="000000"/>
          <w:lang w:eastAsia="es-MX"/>
        </w:rPr>
        <w:t xml:space="preserve">IP Matrix, S.A. de C.V. </w:t>
      </w:r>
      <w:r w:rsidR="00C70776" w:rsidRPr="009640A4">
        <w:rPr>
          <w:rFonts w:ascii="ITC Avant Garde" w:hAnsi="ITC Avant Garde"/>
          <w:bCs/>
        </w:rPr>
        <w:t xml:space="preserve">hubiere solicitado la prórroga dentro del año previo al inicio de la última quinta parte del plazo de vigencia de la Concesión, este Instituto considera que el mismo se encuentra cumplido, en virtud de que la Concesión fue otorgada el </w:t>
      </w:r>
      <w:r w:rsidR="00C70776" w:rsidRPr="009640A4">
        <w:rPr>
          <w:rFonts w:ascii="ITC Avant Garde" w:hAnsi="ITC Avant Garde"/>
          <w:bCs/>
          <w:color w:val="000000"/>
          <w:lang w:eastAsia="es-MX"/>
        </w:rPr>
        <w:t>25 de noviembre de 2004</w:t>
      </w:r>
      <w:r w:rsidR="00C70776" w:rsidRPr="009640A4">
        <w:rPr>
          <w:rFonts w:ascii="ITC Avant Garde" w:hAnsi="ITC Avant Garde"/>
          <w:bCs/>
        </w:rPr>
        <w:t xml:space="preserve"> con una vigencia de 15 (quince) años contados a partir de ese momento, y la Solicitud de Prórroga fue presentada el </w:t>
      </w:r>
      <w:r w:rsidR="00C70776" w:rsidRPr="009640A4">
        <w:rPr>
          <w:rFonts w:ascii="ITC Avant Garde" w:hAnsi="ITC Avant Garde"/>
          <w:bCs/>
          <w:color w:val="000000"/>
          <w:lang w:eastAsia="es-MX"/>
        </w:rPr>
        <w:t>1 de diciembre de 2015</w:t>
      </w:r>
      <w:r w:rsidR="00C70776" w:rsidRPr="009640A4">
        <w:rPr>
          <w:rFonts w:ascii="ITC Avant Garde" w:hAnsi="ITC Avant Garde"/>
          <w:bCs/>
        </w:rPr>
        <w:t>, es decir, dentro del año previo al inicio de la última quinta parte de la Concesión.</w:t>
      </w:r>
    </w:p>
    <w:p w:rsidR="009640A4" w:rsidRPr="009640A4" w:rsidRDefault="00C70776"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lastRenderedPageBreak/>
        <w:t xml:space="preserve">Por lo que hace al segundo requisito de procedencia establecido en el artículo 113 de la Ley que señala que el concesionario debe encontrarse al corriente en el cumplimiento de las obligaciones establecidas en la Ley y demás disposiciones aplicables, así como del título de concesión que se pretende prorrogar, </w:t>
      </w:r>
      <w:r w:rsidRPr="009640A4">
        <w:rPr>
          <w:rFonts w:ascii="ITC Avant Garde" w:hAnsi="ITC Avant Garde"/>
          <w:bCs/>
          <w:color w:val="000000"/>
          <w:lang w:eastAsia="es-MX"/>
        </w:rPr>
        <w:t xml:space="preserve">la </w:t>
      </w:r>
      <w:r w:rsidRPr="009640A4">
        <w:rPr>
          <w:rFonts w:ascii="ITC Avant Garde" w:hAnsi="ITC Avant Garde" w:cs="Tahoma"/>
          <w:bCs/>
          <w:lang w:eastAsia="es-MX"/>
        </w:rPr>
        <w:t>Unidad de Concesiones y Servicios</w:t>
      </w:r>
      <w:r w:rsidRPr="009640A4">
        <w:rPr>
          <w:rFonts w:ascii="ITC Avant Garde" w:hAnsi="ITC Avant Garde"/>
          <w:bCs/>
          <w:color w:val="000000"/>
          <w:lang w:eastAsia="es-MX"/>
        </w:rPr>
        <w:t xml:space="preserve"> a través de la D</w:t>
      </w:r>
      <w:r w:rsidRPr="009640A4">
        <w:rPr>
          <w:rFonts w:ascii="ITC Avant Garde" w:hAnsi="ITC Avant Garde" w:cs="Tahoma"/>
          <w:bCs/>
          <w:lang w:eastAsia="es-MX"/>
        </w:rPr>
        <w:t>irección General de Concesiones de Telecomunicaciones</w:t>
      </w:r>
      <w:r w:rsidRPr="009640A4">
        <w:rPr>
          <w:rFonts w:ascii="ITC Avant Garde" w:hAnsi="ITC Avant Garde"/>
          <w:bCs/>
        </w:rPr>
        <w:t xml:space="preserve">, mediante </w:t>
      </w:r>
      <w:r w:rsidR="00CF1AC7" w:rsidRPr="009640A4">
        <w:rPr>
          <w:rFonts w:ascii="ITC Avant Garde" w:hAnsi="ITC Avant Garde"/>
          <w:bCs/>
        </w:rPr>
        <w:t xml:space="preserve">los </w:t>
      </w:r>
      <w:r w:rsidRPr="009640A4">
        <w:rPr>
          <w:rFonts w:ascii="ITC Avant Garde" w:hAnsi="ITC Avant Garde"/>
          <w:bCs/>
        </w:rPr>
        <w:t>oficio</w:t>
      </w:r>
      <w:r w:rsidR="00CF1AC7" w:rsidRPr="009640A4">
        <w:rPr>
          <w:rFonts w:ascii="ITC Avant Garde" w:hAnsi="ITC Avant Garde"/>
          <w:bCs/>
        </w:rPr>
        <w:t>s</w:t>
      </w:r>
      <w:r w:rsidRPr="009640A4">
        <w:rPr>
          <w:rFonts w:ascii="ITC Avant Garde" w:hAnsi="ITC Avant Garde"/>
          <w:bCs/>
        </w:rPr>
        <w:t xml:space="preserve"> </w:t>
      </w:r>
      <w:r w:rsidRPr="009640A4">
        <w:rPr>
          <w:rFonts w:ascii="ITC Avant Garde" w:hAnsi="ITC Avant Garde" w:cs="Tahoma"/>
          <w:bCs/>
          <w:lang w:eastAsia="es-MX"/>
        </w:rPr>
        <w:t xml:space="preserve">IFT/223/UCS/DG-CTEL/3116/2015 </w:t>
      </w:r>
      <w:r w:rsidR="00CF1AC7" w:rsidRPr="009640A4">
        <w:rPr>
          <w:rFonts w:ascii="ITC Avant Garde" w:hAnsi="ITC Avant Garde" w:cs="Tahoma"/>
          <w:bCs/>
          <w:lang w:eastAsia="es-MX"/>
        </w:rPr>
        <w:t xml:space="preserve">e IFT/223/UCS/DG-CTEL/1812/2016 </w:t>
      </w:r>
      <w:r w:rsidRPr="009640A4">
        <w:rPr>
          <w:rFonts w:ascii="ITC Avant Garde" w:hAnsi="ITC Avant Garde"/>
          <w:bCs/>
        </w:rPr>
        <w:t>de fecha</w:t>
      </w:r>
      <w:r w:rsidR="00CF1AC7" w:rsidRPr="009640A4">
        <w:rPr>
          <w:rFonts w:ascii="ITC Avant Garde" w:hAnsi="ITC Avant Garde"/>
          <w:bCs/>
        </w:rPr>
        <w:t>s</w:t>
      </w:r>
      <w:r w:rsidRPr="009640A4">
        <w:rPr>
          <w:rFonts w:ascii="ITC Avant Garde" w:hAnsi="ITC Avant Garde"/>
          <w:bCs/>
        </w:rPr>
        <w:t xml:space="preserve"> 7 de diciembre de 2015</w:t>
      </w:r>
      <w:r w:rsidR="00CF1AC7" w:rsidRPr="009640A4">
        <w:rPr>
          <w:rFonts w:ascii="ITC Avant Garde" w:hAnsi="ITC Avant Garde"/>
          <w:bCs/>
        </w:rPr>
        <w:t xml:space="preserve"> y 15 de agosto de 2016</w:t>
      </w:r>
      <w:r w:rsidRPr="009640A4">
        <w:rPr>
          <w:rFonts w:ascii="ITC Avant Garde" w:hAnsi="ITC Avant Garde"/>
          <w:bCs/>
        </w:rPr>
        <w:t>, solicitó a la Unidad Cumplimiento, informara si dicha concesionaria se encontraba en cumplimiento de las obligaciones y condiciones relacionadas con su título de concesión y demás ordenamientos aplicables. En respuesta a dicha petición, la Dirección General de Supervisión, a través del oficio IFT/225/UC/DG-SUV/</w:t>
      </w:r>
      <w:r w:rsidR="00990A4B" w:rsidRPr="009640A4">
        <w:rPr>
          <w:rFonts w:ascii="ITC Avant Garde" w:hAnsi="ITC Avant Garde"/>
          <w:bCs/>
        </w:rPr>
        <w:t>4704/2016</w:t>
      </w:r>
      <w:r w:rsidRPr="009640A4">
        <w:rPr>
          <w:rFonts w:ascii="ITC Avant Garde" w:hAnsi="ITC Avant Garde"/>
          <w:bCs/>
        </w:rPr>
        <w:t xml:space="preserve"> de fecha </w:t>
      </w:r>
      <w:r w:rsidR="00FB5D98" w:rsidRPr="009640A4">
        <w:rPr>
          <w:rFonts w:ascii="ITC Avant Garde" w:hAnsi="ITC Avant Garde"/>
          <w:bCs/>
        </w:rPr>
        <w:t>1 de septiembre de 2016</w:t>
      </w:r>
      <w:r w:rsidRPr="009640A4">
        <w:rPr>
          <w:rFonts w:ascii="ITC Avant Garde" w:hAnsi="ITC Avant Garde"/>
          <w:bCs/>
        </w:rPr>
        <w:t>, informó lo siguiente:</w:t>
      </w:r>
    </w:p>
    <w:p w:rsidR="009640A4" w:rsidRPr="009640A4" w:rsidRDefault="00990A4B"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w:t>
      </w:r>
    </w:p>
    <w:p w:rsidR="009640A4" w:rsidRPr="009640A4" w:rsidRDefault="004664D9"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4. Dictamen</w:t>
      </w:r>
    </w:p>
    <w:p w:rsidR="009640A4" w:rsidRPr="009640A4" w:rsidRDefault="00990A4B"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 xml:space="preserve">De la supervisión a las constancias que integran el expediente del concesionario que nos ocupa, así como de la información proporcionada por las Direcciones Generales de Verificación y Sanciones, se concluye que de la revisión documental del expediente </w:t>
      </w:r>
      <w:r w:rsidRPr="009640A4">
        <w:rPr>
          <w:rFonts w:ascii="ITC Avant Garde" w:hAnsi="ITC Avant Garde"/>
          <w:b/>
          <w:iCs/>
          <w:color w:val="000000"/>
          <w:sz w:val="18"/>
          <w:szCs w:val="18"/>
          <w:lang w:eastAsia="es-MX"/>
        </w:rPr>
        <w:t xml:space="preserve">312.045/0077(L) </w:t>
      </w:r>
      <w:r w:rsidRPr="009640A4">
        <w:rPr>
          <w:rFonts w:ascii="ITC Avant Garde" w:hAnsi="ITC Avant Garde"/>
          <w:iCs/>
          <w:color w:val="000000"/>
          <w:sz w:val="18"/>
          <w:szCs w:val="18"/>
          <w:lang w:eastAsia="es-MX"/>
        </w:rPr>
        <w:t xml:space="preserve">integrado por la Dirección General de Adquisiciones, Recursos Materiales y Servicios Generales de este Instituto a nombre de IP MATRIX, S.A. DE C.V., al día 31 de agosto de 2016, </w:t>
      </w:r>
      <w:r w:rsidRPr="009640A4">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Pr="009640A4">
        <w:rPr>
          <w:rFonts w:ascii="ITC Avant Garde" w:hAnsi="ITC Avant Garde"/>
          <w:iCs/>
          <w:color w:val="000000"/>
          <w:sz w:val="18"/>
          <w:szCs w:val="18"/>
          <w:lang w:eastAsia="es-MX"/>
        </w:rPr>
        <w:t xml:space="preserve"> y que le son aplicables conforme a su título de concesión para instalar, operar y explotar una red pública de telecomunicaciones, y demás disposiciones legales, reglamentarias y administrativas que le son aplicables.</w:t>
      </w:r>
    </w:p>
    <w:p w:rsidR="009640A4" w:rsidRPr="009640A4" w:rsidRDefault="00C70776"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w:t>
      </w:r>
    </w:p>
    <w:p w:rsidR="009640A4" w:rsidRPr="009640A4" w:rsidRDefault="00C70776"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Por lo que hace al tercer requisito de procedencia establecido por el artículo 113 de la Ley, el cual establece que el concesionario deberá aceptar las nuevas condiciones que establezca el propio Instituto, se considera que tendrá que recabarse de IP Matrix, S.A. de C.V.</w:t>
      </w:r>
      <w:r w:rsidRPr="009640A4">
        <w:rPr>
          <w:rFonts w:ascii="ITC Avant Garde" w:hAnsi="ITC Avant Garde"/>
          <w:bCs/>
          <w:color w:val="000000"/>
          <w:lang w:eastAsia="es-MX"/>
        </w:rPr>
        <w:t xml:space="preserve">, </w:t>
      </w:r>
      <w:r w:rsidRPr="009640A4">
        <w:rPr>
          <w:rFonts w:ascii="ITC Avant Garde" w:hAnsi="ITC Avant Garde"/>
          <w:bCs/>
        </w:rPr>
        <w:t>su conformidad y total aceptación respecto de las nuevas condiciones que se establecerán en el título de concesión única que en su caso se otorgue, previo a la entrega de dicho instrumento.</w:t>
      </w:r>
    </w:p>
    <w:p w:rsidR="009640A4" w:rsidRPr="009640A4" w:rsidRDefault="00C70776"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En este sentido, se estima conveniente que en el supuesto de que en la presente Resolución se autorice la prórroga de la Concesión, ésta deberá estar sujeta a la condición suspensiva relativa a que IP Matrix, S.A. de C.V.</w:t>
      </w:r>
      <w:r w:rsidRPr="009640A4">
        <w:rPr>
          <w:rFonts w:ascii="ITC Avant Garde" w:hAnsi="ITC Avant Garde"/>
          <w:bCs/>
          <w:color w:val="000000"/>
          <w:lang w:eastAsia="es-MX"/>
        </w:rPr>
        <w:t>,</w:t>
      </w:r>
      <w:r w:rsidRPr="009640A4">
        <w:rPr>
          <w:rFonts w:ascii="ITC Avant Garde" w:hAnsi="ITC Avant Garde"/>
          <w:bCs/>
        </w:rPr>
        <w:t xml:space="preserve"> acepte las nuevas condiciones del título de concesión única. Para tal efecto, la Unidad de Concesiones y Servicios deberá someter a consideración del solicitante el proyecto de título de concesión única, con la finalidad de recabar su aceptación.</w:t>
      </w:r>
    </w:p>
    <w:p w:rsidR="009640A4" w:rsidRPr="009640A4" w:rsidRDefault="00C70776"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Lo anterior, en el entendido que de no recibirse la aceptación lisa y llana correspondiente por parte de IP Matrix, S.A. de C.V., la prórroga que en su caso se emita en la presente Resolución no surtirá efectos.</w:t>
      </w:r>
    </w:p>
    <w:p w:rsidR="009640A4" w:rsidRPr="009640A4" w:rsidRDefault="00C70776"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lastRenderedPageBreak/>
        <w:t xml:space="preserve">En otro orden de ideas, al momento de iniciar el trámite de mérito, </w:t>
      </w:r>
      <w:r w:rsidR="009D5C4F" w:rsidRPr="009640A4">
        <w:rPr>
          <w:rFonts w:ascii="ITC Avant Garde" w:hAnsi="ITC Avant Garde"/>
          <w:bCs/>
        </w:rPr>
        <w:t xml:space="preserve">IP Matrix, S.A. de C.V. </w:t>
      </w:r>
      <w:r w:rsidRPr="009640A4">
        <w:rPr>
          <w:rFonts w:ascii="ITC Avant Garde" w:hAnsi="ITC Avant Garde"/>
          <w:bCs/>
        </w:rPr>
        <w:t>presentó el comprobante de pago de derechos por el estudio de la Solicitud de Prórroga, de conformidad con el artículo 94 fracción III de la Ley Fed</w:t>
      </w:r>
      <w:r w:rsidR="003761B9" w:rsidRPr="009640A4">
        <w:rPr>
          <w:rFonts w:ascii="ITC Avant Garde" w:hAnsi="ITC Avant Garde"/>
          <w:bCs/>
        </w:rPr>
        <w:t>eral de Derechos vigente en 2015</w:t>
      </w:r>
      <w:r w:rsidRPr="009640A4">
        <w:rPr>
          <w:rFonts w:ascii="ITC Avant Garde" w:hAnsi="ITC Avant Garde"/>
          <w:bCs/>
        </w:rPr>
        <w:t>.</w:t>
      </w:r>
    </w:p>
    <w:p w:rsidR="009640A4" w:rsidRPr="009640A4" w:rsidRDefault="00C70776" w:rsidP="009640A4">
      <w:pPr>
        <w:autoSpaceDE w:val="0"/>
        <w:autoSpaceDN w:val="0"/>
        <w:adjustRightInd w:val="0"/>
        <w:spacing w:before="240" w:line="240" w:lineRule="auto"/>
        <w:jc w:val="both"/>
        <w:rPr>
          <w:rFonts w:ascii="ITC Avant Garde" w:hAnsi="ITC Avant Garde" w:cs="Tahoma"/>
          <w:bCs/>
          <w:color w:val="000000" w:themeColor="text1"/>
          <w:lang w:eastAsia="es-MX"/>
        </w:rPr>
      </w:pPr>
      <w:r w:rsidRPr="009640A4">
        <w:rPr>
          <w:rFonts w:ascii="ITC Avant Garde" w:hAnsi="ITC Avant Garde"/>
          <w:bCs/>
        </w:rPr>
        <w:t xml:space="preserve">Por otra parte, </w:t>
      </w:r>
      <w:r w:rsidRPr="009640A4">
        <w:rPr>
          <w:rFonts w:ascii="ITC Avant Garde" w:hAnsi="ITC Avant Garde" w:cs="Tahoma"/>
          <w:bCs/>
          <w:lang w:eastAsia="es-MX"/>
        </w:rPr>
        <w:t>la Unidad de Concesiones y Servicios</w:t>
      </w:r>
      <w:r w:rsidRPr="009640A4">
        <w:rPr>
          <w:rFonts w:ascii="ITC Avant Garde" w:hAnsi="ITC Avant Garde"/>
          <w:bCs/>
          <w:color w:val="000000"/>
          <w:lang w:eastAsia="es-MX"/>
        </w:rPr>
        <w:t xml:space="preserve"> a través de la </w:t>
      </w:r>
      <w:r w:rsidRPr="009640A4">
        <w:rPr>
          <w:rFonts w:ascii="ITC Avant Garde" w:hAnsi="ITC Avant Garde" w:cs="Tahoma"/>
          <w:bCs/>
          <w:lang w:eastAsia="es-MX"/>
        </w:rPr>
        <w:t>Dirección General de Concesiones de Telecomunicaciones, mediante oficio IFT/223/UCS/DG-CTEL/</w:t>
      </w:r>
      <w:r w:rsidR="009D5C4F" w:rsidRPr="009640A4">
        <w:rPr>
          <w:rFonts w:ascii="ITC Avant Garde" w:hAnsi="ITC Avant Garde" w:cs="Tahoma"/>
          <w:bCs/>
          <w:lang w:eastAsia="es-MX"/>
        </w:rPr>
        <w:t>3117</w:t>
      </w:r>
      <w:r w:rsidRPr="009640A4">
        <w:rPr>
          <w:rFonts w:ascii="ITC Avant Garde" w:hAnsi="ITC Avant Garde" w:cs="Tahoma"/>
          <w:bCs/>
          <w:lang w:eastAsia="es-MX"/>
        </w:rPr>
        <w:t xml:space="preserve">/2015 de fecha </w:t>
      </w:r>
      <w:r w:rsidR="009D5C4F" w:rsidRPr="009640A4">
        <w:rPr>
          <w:rFonts w:ascii="ITC Avant Garde" w:hAnsi="ITC Avant Garde" w:cs="Tahoma"/>
          <w:bCs/>
          <w:lang w:eastAsia="es-MX"/>
        </w:rPr>
        <w:t>7</w:t>
      </w:r>
      <w:r w:rsidRPr="009640A4">
        <w:rPr>
          <w:rFonts w:ascii="ITC Avant Garde" w:hAnsi="ITC Avant Garde" w:cs="Tahoma"/>
          <w:bCs/>
          <w:lang w:eastAsia="es-MX"/>
        </w:rPr>
        <w:t xml:space="preserve"> de </w:t>
      </w:r>
      <w:r w:rsidR="009D5C4F" w:rsidRPr="009640A4">
        <w:rPr>
          <w:rFonts w:ascii="ITC Avant Garde" w:hAnsi="ITC Avant Garde" w:cs="Tahoma"/>
          <w:bCs/>
          <w:lang w:eastAsia="es-MX"/>
        </w:rPr>
        <w:t>diciembre</w:t>
      </w:r>
      <w:r w:rsidRPr="009640A4">
        <w:rPr>
          <w:rFonts w:ascii="ITC Avant Garde" w:hAnsi="ITC Avant Garde" w:cs="Tahoma"/>
          <w:bCs/>
          <w:lang w:eastAsia="es-MX"/>
        </w:rPr>
        <w:t xml:space="preserve"> de 2015, solicitó a la Dirección General de Concentraciones y </w:t>
      </w:r>
      <w:r w:rsidRPr="009640A4">
        <w:rPr>
          <w:rFonts w:ascii="ITC Avant Garde" w:hAnsi="ITC Avant Garde" w:cs="Tahoma"/>
          <w:bCs/>
          <w:color w:val="000000" w:themeColor="text1"/>
          <w:lang w:eastAsia="es-MX"/>
        </w:rPr>
        <w:t>Concesiones de la Unidad de Competencia Económica, opinión respecto de la Solicitud de Prórroga. En respuesta a lo anterior, mediante oficio IFT/226/UCE/DG-CCON/</w:t>
      </w:r>
      <w:r w:rsidR="006207DC" w:rsidRPr="009640A4">
        <w:rPr>
          <w:rFonts w:ascii="ITC Avant Garde" w:hAnsi="ITC Avant Garde" w:cs="Tahoma"/>
          <w:bCs/>
          <w:color w:val="000000" w:themeColor="text1"/>
          <w:lang w:eastAsia="es-MX"/>
        </w:rPr>
        <w:t>177</w:t>
      </w:r>
      <w:r w:rsidRPr="009640A4">
        <w:rPr>
          <w:rFonts w:ascii="ITC Avant Garde" w:hAnsi="ITC Avant Garde" w:cs="Tahoma"/>
          <w:bCs/>
          <w:color w:val="000000" w:themeColor="text1"/>
          <w:lang w:eastAsia="es-MX"/>
        </w:rPr>
        <w:t xml:space="preserve">/2015 de fecha </w:t>
      </w:r>
      <w:r w:rsidR="006207DC" w:rsidRPr="009640A4">
        <w:rPr>
          <w:rFonts w:ascii="ITC Avant Garde" w:hAnsi="ITC Avant Garde" w:cs="Tahoma"/>
          <w:bCs/>
          <w:color w:val="000000" w:themeColor="text1"/>
          <w:lang w:eastAsia="es-MX"/>
        </w:rPr>
        <w:t>12</w:t>
      </w:r>
      <w:r w:rsidRPr="009640A4">
        <w:rPr>
          <w:rFonts w:ascii="ITC Avant Garde" w:hAnsi="ITC Avant Garde" w:cs="Tahoma"/>
          <w:bCs/>
          <w:color w:val="000000" w:themeColor="text1"/>
          <w:lang w:eastAsia="es-MX"/>
        </w:rPr>
        <w:t xml:space="preserve"> de </w:t>
      </w:r>
      <w:r w:rsidR="006207DC" w:rsidRPr="009640A4">
        <w:rPr>
          <w:rFonts w:ascii="ITC Avant Garde" w:hAnsi="ITC Avant Garde" w:cs="Tahoma"/>
          <w:bCs/>
          <w:color w:val="000000" w:themeColor="text1"/>
          <w:lang w:eastAsia="es-MX"/>
        </w:rPr>
        <w:t>abril de 2016</w:t>
      </w:r>
      <w:r w:rsidRPr="009640A4">
        <w:rPr>
          <w:rFonts w:ascii="ITC Avant Garde" w:hAnsi="ITC Avant Garde" w:cs="Tahoma"/>
          <w:bCs/>
          <w:color w:val="000000" w:themeColor="text1"/>
          <w:lang w:eastAsia="es-MX"/>
        </w:rPr>
        <w:t xml:space="preserve">, la Dirección General de Concentraciones y Concesiones emitió opinión </w:t>
      </w:r>
      <w:r w:rsidR="00B43E6E" w:rsidRPr="009640A4">
        <w:rPr>
          <w:rFonts w:ascii="ITC Avant Garde" w:hAnsi="ITC Avant Garde" w:cs="Tahoma"/>
          <w:bCs/>
          <w:color w:val="000000" w:themeColor="text1"/>
          <w:lang w:eastAsia="es-MX"/>
        </w:rPr>
        <w:t xml:space="preserve">en sentido favorable </w:t>
      </w:r>
      <w:r w:rsidRPr="009640A4">
        <w:rPr>
          <w:rFonts w:ascii="ITC Avant Garde" w:hAnsi="ITC Avant Garde" w:cs="Tahoma"/>
          <w:bCs/>
          <w:color w:val="000000" w:themeColor="text1"/>
          <w:lang w:eastAsia="es-MX"/>
        </w:rPr>
        <w:t>respecto de la Solicitud de Prórroga, manifestado lo siguiente:</w:t>
      </w:r>
    </w:p>
    <w:p w:rsidR="009640A4" w:rsidRPr="009640A4" w:rsidRDefault="00C70776"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w:t>
      </w:r>
      <w:r w:rsidR="006207DC" w:rsidRPr="009640A4">
        <w:rPr>
          <w:rFonts w:ascii="ITC Avant Garde" w:hAnsi="ITC Avant Garde"/>
          <w:iCs/>
          <w:color w:val="000000"/>
          <w:sz w:val="18"/>
          <w:szCs w:val="18"/>
          <w:lang w:eastAsia="es-MX"/>
        </w:rPr>
        <w:t>[…]</w:t>
      </w:r>
    </w:p>
    <w:p w:rsidR="009640A4" w:rsidRPr="009640A4" w:rsidRDefault="00C70776"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 xml:space="preserve">El Solicitante </w:t>
      </w:r>
      <w:r w:rsidR="006207DC" w:rsidRPr="009640A4">
        <w:rPr>
          <w:rFonts w:ascii="ITC Avant Garde" w:hAnsi="ITC Avant Garde"/>
          <w:iCs/>
          <w:color w:val="000000"/>
          <w:sz w:val="18"/>
          <w:szCs w:val="18"/>
          <w:lang w:eastAsia="es-MX"/>
        </w:rPr>
        <w:t>señala que actualmente provee los servicios de Telefonía Fija y Banda Ancha Fija. A continuación se presentan los ingresos del Solicitante q</w:t>
      </w:r>
      <w:r w:rsidR="00955A95" w:rsidRPr="009640A4">
        <w:rPr>
          <w:rFonts w:ascii="ITC Avant Garde" w:hAnsi="ITC Avant Garde"/>
          <w:iCs/>
          <w:color w:val="000000"/>
          <w:sz w:val="18"/>
          <w:szCs w:val="18"/>
          <w:lang w:eastAsia="es-MX"/>
        </w:rPr>
        <w:t>ue provienen de los servicios en</w:t>
      </w:r>
      <w:r w:rsidR="006207DC" w:rsidRPr="009640A4">
        <w:rPr>
          <w:rFonts w:ascii="ITC Avant Garde" w:hAnsi="ITC Avant Garde"/>
          <w:iCs/>
          <w:color w:val="000000"/>
          <w:sz w:val="18"/>
          <w:szCs w:val="18"/>
          <w:lang w:eastAsia="es-MX"/>
        </w:rPr>
        <w:t xml:space="preserve"> Telecomunicaciones que ofrece:</w:t>
      </w:r>
    </w:p>
    <w:tbl>
      <w:tblPr>
        <w:tblStyle w:val="Cuadrculadetablaclara"/>
        <w:tblpPr w:leftFromText="141" w:rightFromText="141" w:vertAnchor="text" w:horzAnchor="page" w:tblpX="2981"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adro 6. Ingresos del Solicitante"/>
        <w:tblDescription w:val="El cuadro proporciona las ventas anuales del solicitante para los años 2013 a marzo de 2015, incluyendo cobertura y servicios."/>
      </w:tblPr>
      <w:tblGrid>
        <w:gridCol w:w="1271"/>
        <w:gridCol w:w="1559"/>
        <w:gridCol w:w="1418"/>
        <w:gridCol w:w="1417"/>
        <w:gridCol w:w="1560"/>
      </w:tblGrid>
      <w:tr w:rsidR="009640A4" w:rsidRPr="009640A4" w:rsidTr="009640A4">
        <w:trPr>
          <w:tblHeader/>
        </w:trPr>
        <w:tc>
          <w:tcPr>
            <w:tcW w:w="1271" w:type="dxa"/>
            <w:shd w:val="clear" w:color="auto" w:fill="A6A6A6" w:themeFill="background1" w:themeFillShade="A6"/>
            <w:vAlign w:val="center"/>
          </w:tcPr>
          <w:p w:rsidR="009640A4" w:rsidRPr="009640A4" w:rsidRDefault="009640A4" w:rsidP="009640A4">
            <w:pPr>
              <w:spacing w:before="240" w:line="240" w:lineRule="auto"/>
              <w:ind w:right="84"/>
              <w:jc w:val="center"/>
              <w:rPr>
                <w:rFonts w:ascii="ITC Avant Garde" w:hAnsi="ITC Avant Garde"/>
                <w:iCs/>
                <w:color w:val="000000" w:themeColor="text1"/>
                <w:sz w:val="16"/>
                <w:szCs w:val="16"/>
                <w:lang w:eastAsia="es-MX"/>
              </w:rPr>
            </w:pPr>
            <w:r w:rsidRPr="009640A4">
              <w:rPr>
                <w:rFonts w:ascii="ITC Avant Garde" w:hAnsi="ITC Avant Garde"/>
                <w:b/>
                <w:iCs/>
                <w:color w:val="000000" w:themeColor="text1"/>
                <w:sz w:val="16"/>
                <w:szCs w:val="16"/>
                <w:lang w:eastAsia="es-MX"/>
              </w:rPr>
              <w:t>Cobertura</w:t>
            </w:r>
          </w:p>
        </w:tc>
        <w:tc>
          <w:tcPr>
            <w:tcW w:w="1559" w:type="dxa"/>
            <w:shd w:val="clear" w:color="auto" w:fill="A6A6A6" w:themeFill="background1" w:themeFillShade="A6"/>
            <w:vAlign w:val="center"/>
          </w:tcPr>
          <w:p w:rsidR="009640A4" w:rsidRPr="009640A4" w:rsidRDefault="009640A4" w:rsidP="009640A4">
            <w:pPr>
              <w:spacing w:before="240" w:line="240" w:lineRule="auto"/>
              <w:jc w:val="center"/>
              <w:rPr>
                <w:rFonts w:ascii="ITC Avant Garde" w:hAnsi="ITC Avant Garde"/>
                <w:iCs/>
                <w:color w:val="000000" w:themeColor="text1"/>
                <w:sz w:val="16"/>
                <w:szCs w:val="16"/>
                <w:lang w:eastAsia="es-MX"/>
              </w:rPr>
            </w:pPr>
            <w:r w:rsidRPr="009640A4">
              <w:rPr>
                <w:rFonts w:ascii="ITC Avant Garde" w:hAnsi="ITC Avant Garde"/>
                <w:b/>
                <w:iCs/>
                <w:color w:val="000000" w:themeColor="text1"/>
                <w:sz w:val="16"/>
                <w:szCs w:val="16"/>
                <w:lang w:eastAsia="es-MX"/>
              </w:rPr>
              <w:t>Servicios</w:t>
            </w:r>
          </w:p>
        </w:tc>
        <w:tc>
          <w:tcPr>
            <w:tcW w:w="1418" w:type="dxa"/>
            <w:shd w:val="clear" w:color="auto" w:fill="A6A6A6" w:themeFill="background1" w:themeFillShade="A6"/>
            <w:vAlign w:val="center"/>
          </w:tcPr>
          <w:p w:rsidR="009640A4" w:rsidRPr="009640A4" w:rsidRDefault="009640A4" w:rsidP="009640A4">
            <w:pPr>
              <w:spacing w:before="240" w:line="240" w:lineRule="auto"/>
              <w:ind w:right="166"/>
              <w:jc w:val="center"/>
              <w:rPr>
                <w:rFonts w:ascii="ITC Avant Garde" w:hAnsi="ITC Avant Garde"/>
                <w:b/>
                <w:iCs/>
                <w:color w:val="000000" w:themeColor="text1"/>
                <w:sz w:val="16"/>
                <w:szCs w:val="16"/>
                <w:lang w:eastAsia="es-MX"/>
              </w:rPr>
            </w:pPr>
            <w:r w:rsidRPr="009640A4">
              <w:rPr>
                <w:rFonts w:ascii="ITC Avant Garde" w:hAnsi="ITC Avant Garde"/>
                <w:b/>
                <w:iCs/>
                <w:color w:val="000000" w:themeColor="text1"/>
                <w:sz w:val="16"/>
                <w:szCs w:val="16"/>
                <w:lang w:eastAsia="es-MX"/>
              </w:rPr>
              <w:t>Ventas anuales 2013</w:t>
            </w:r>
          </w:p>
        </w:tc>
        <w:tc>
          <w:tcPr>
            <w:tcW w:w="1417" w:type="dxa"/>
            <w:shd w:val="clear" w:color="auto" w:fill="A6A6A6" w:themeFill="background1" w:themeFillShade="A6"/>
            <w:vAlign w:val="center"/>
          </w:tcPr>
          <w:p w:rsidR="009640A4" w:rsidRPr="009640A4" w:rsidRDefault="009640A4" w:rsidP="009640A4">
            <w:pPr>
              <w:spacing w:before="240" w:line="240" w:lineRule="auto"/>
              <w:ind w:right="166"/>
              <w:jc w:val="center"/>
              <w:rPr>
                <w:rFonts w:ascii="ITC Avant Garde" w:hAnsi="ITC Avant Garde"/>
                <w:b/>
                <w:iCs/>
                <w:color w:val="000000" w:themeColor="text1"/>
                <w:sz w:val="16"/>
                <w:szCs w:val="16"/>
                <w:lang w:eastAsia="es-MX"/>
              </w:rPr>
            </w:pPr>
            <w:r w:rsidRPr="009640A4">
              <w:rPr>
                <w:rFonts w:ascii="ITC Avant Garde" w:hAnsi="ITC Avant Garde"/>
                <w:b/>
                <w:iCs/>
                <w:color w:val="000000" w:themeColor="text1"/>
                <w:sz w:val="16"/>
                <w:szCs w:val="16"/>
                <w:lang w:eastAsia="es-MX"/>
              </w:rPr>
              <w:t>Ventas anuales 2014</w:t>
            </w:r>
          </w:p>
        </w:tc>
        <w:tc>
          <w:tcPr>
            <w:tcW w:w="1560" w:type="dxa"/>
            <w:shd w:val="clear" w:color="auto" w:fill="A6A6A6" w:themeFill="background1" w:themeFillShade="A6"/>
            <w:vAlign w:val="center"/>
          </w:tcPr>
          <w:p w:rsidR="009640A4" w:rsidRPr="009640A4" w:rsidRDefault="009640A4" w:rsidP="009640A4">
            <w:pPr>
              <w:spacing w:before="240" w:line="240" w:lineRule="auto"/>
              <w:ind w:right="166"/>
              <w:jc w:val="center"/>
              <w:rPr>
                <w:rFonts w:ascii="ITC Avant Garde" w:hAnsi="ITC Avant Garde"/>
                <w:b/>
                <w:iCs/>
                <w:color w:val="000000" w:themeColor="text1"/>
                <w:sz w:val="16"/>
                <w:szCs w:val="16"/>
                <w:lang w:eastAsia="es-MX"/>
              </w:rPr>
            </w:pPr>
            <w:r w:rsidRPr="009640A4">
              <w:rPr>
                <w:rFonts w:ascii="ITC Avant Garde" w:hAnsi="ITC Avant Garde"/>
                <w:b/>
                <w:iCs/>
                <w:color w:val="000000" w:themeColor="text1"/>
                <w:sz w:val="16"/>
                <w:szCs w:val="16"/>
                <w:lang w:eastAsia="es-MX"/>
              </w:rPr>
              <w:t>Ventas anuales 2015 (hasta marzo)</w:t>
            </w:r>
          </w:p>
        </w:tc>
      </w:tr>
      <w:tr w:rsidR="009640A4" w:rsidRPr="009640A4" w:rsidTr="009640A4">
        <w:tc>
          <w:tcPr>
            <w:tcW w:w="1271" w:type="dxa"/>
            <w:vAlign w:val="center"/>
          </w:tcPr>
          <w:p w:rsidR="009640A4" w:rsidRPr="009640A4" w:rsidRDefault="009640A4" w:rsidP="009640A4">
            <w:pPr>
              <w:spacing w:before="240" w:line="240" w:lineRule="auto"/>
              <w:ind w:right="84"/>
              <w:jc w:val="center"/>
              <w:rPr>
                <w:rFonts w:ascii="ITC Avant Garde" w:hAnsi="ITC Avant Garde"/>
                <w:iCs/>
                <w:color w:val="000000" w:themeColor="text1"/>
                <w:sz w:val="16"/>
                <w:szCs w:val="16"/>
                <w:lang w:eastAsia="es-MX"/>
              </w:rPr>
            </w:pPr>
            <w:r w:rsidRPr="009640A4">
              <w:rPr>
                <w:rFonts w:ascii="ITC Avant Garde" w:hAnsi="ITC Avant Garde"/>
                <w:iCs/>
                <w:color w:val="000000" w:themeColor="text1"/>
                <w:sz w:val="16"/>
                <w:szCs w:val="16"/>
                <w:lang w:eastAsia="es-MX"/>
              </w:rPr>
              <w:t>Nacional</w:t>
            </w:r>
          </w:p>
        </w:tc>
        <w:tc>
          <w:tcPr>
            <w:tcW w:w="1559" w:type="dxa"/>
            <w:vAlign w:val="center"/>
          </w:tcPr>
          <w:p w:rsidR="009640A4" w:rsidRPr="009640A4" w:rsidRDefault="009640A4" w:rsidP="009640A4">
            <w:pPr>
              <w:spacing w:before="240" w:line="240" w:lineRule="auto"/>
              <w:jc w:val="center"/>
              <w:rPr>
                <w:rFonts w:ascii="ITC Avant Garde" w:hAnsi="ITC Avant Garde"/>
                <w:iCs/>
                <w:color w:val="000000" w:themeColor="text1"/>
                <w:sz w:val="16"/>
                <w:szCs w:val="16"/>
                <w:lang w:eastAsia="es-MX"/>
              </w:rPr>
            </w:pPr>
            <w:r w:rsidRPr="009640A4">
              <w:rPr>
                <w:rFonts w:ascii="ITC Avant Garde" w:hAnsi="ITC Avant Garde"/>
                <w:iCs/>
                <w:color w:val="000000" w:themeColor="text1"/>
                <w:sz w:val="16"/>
                <w:szCs w:val="16"/>
                <w:lang w:eastAsia="es-MX"/>
              </w:rPr>
              <w:t>Telefonía Fija Acceso a Internet Fijo</w:t>
            </w:r>
          </w:p>
        </w:tc>
        <w:tc>
          <w:tcPr>
            <w:tcW w:w="1418" w:type="dxa"/>
            <w:vAlign w:val="center"/>
          </w:tcPr>
          <w:p w:rsidR="009640A4" w:rsidRPr="009640A4" w:rsidRDefault="009640A4" w:rsidP="009640A4">
            <w:pPr>
              <w:spacing w:before="240" w:line="240" w:lineRule="auto"/>
              <w:ind w:right="166"/>
              <w:jc w:val="center"/>
              <w:rPr>
                <w:rFonts w:ascii="ITC Avant Garde" w:hAnsi="ITC Avant Garde"/>
                <w:iCs/>
                <w:color w:val="000000" w:themeColor="text1"/>
                <w:sz w:val="16"/>
                <w:szCs w:val="16"/>
                <w:lang w:eastAsia="es-MX"/>
              </w:rPr>
            </w:pPr>
            <w:r w:rsidRPr="009640A4">
              <w:rPr>
                <w:rFonts w:ascii="ITC Avant Garde" w:hAnsi="ITC Avant Garde"/>
                <w:iCs/>
                <w:color w:val="000000" w:themeColor="text1"/>
                <w:sz w:val="16"/>
                <w:szCs w:val="16"/>
                <w:lang w:eastAsia="es-MX"/>
              </w:rPr>
              <w:t>202, 102,637.0</w:t>
            </w:r>
          </w:p>
        </w:tc>
        <w:tc>
          <w:tcPr>
            <w:tcW w:w="1417" w:type="dxa"/>
            <w:vAlign w:val="center"/>
          </w:tcPr>
          <w:p w:rsidR="009640A4" w:rsidRPr="009640A4" w:rsidRDefault="009640A4" w:rsidP="009640A4">
            <w:pPr>
              <w:spacing w:before="240" w:line="240" w:lineRule="auto"/>
              <w:ind w:right="166"/>
              <w:jc w:val="center"/>
              <w:rPr>
                <w:rFonts w:ascii="ITC Avant Garde" w:hAnsi="ITC Avant Garde"/>
                <w:iCs/>
                <w:color w:val="000000" w:themeColor="text1"/>
                <w:sz w:val="16"/>
                <w:szCs w:val="16"/>
                <w:lang w:eastAsia="es-MX"/>
              </w:rPr>
            </w:pPr>
            <w:r w:rsidRPr="009640A4">
              <w:rPr>
                <w:rFonts w:ascii="ITC Avant Garde" w:hAnsi="ITC Avant Garde"/>
                <w:iCs/>
                <w:color w:val="000000" w:themeColor="text1"/>
                <w:sz w:val="16"/>
                <w:szCs w:val="16"/>
                <w:lang w:eastAsia="es-MX"/>
              </w:rPr>
              <w:t>236, 159,870</w:t>
            </w:r>
          </w:p>
        </w:tc>
        <w:tc>
          <w:tcPr>
            <w:tcW w:w="1560" w:type="dxa"/>
            <w:vAlign w:val="center"/>
          </w:tcPr>
          <w:p w:rsidR="009640A4" w:rsidRPr="009640A4" w:rsidRDefault="009640A4" w:rsidP="009640A4">
            <w:pPr>
              <w:spacing w:before="240" w:line="240" w:lineRule="auto"/>
              <w:ind w:right="166"/>
              <w:jc w:val="center"/>
              <w:rPr>
                <w:rFonts w:ascii="ITC Avant Garde" w:hAnsi="ITC Avant Garde"/>
                <w:iCs/>
                <w:color w:val="000000" w:themeColor="text1"/>
                <w:sz w:val="16"/>
                <w:szCs w:val="16"/>
                <w:lang w:eastAsia="es-MX"/>
              </w:rPr>
            </w:pPr>
            <w:r w:rsidRPr="009640A4">
              <w:rPr>
                <w:rFonts w:ascii="ITC Avant Garde" w:hAnsi="ITC Avant Garde"/>
                <w:iCs/>
                <w:color w:val="000000" w:themeColor="text1"/>
                <w:sz w:val="16"/>
                <w:szCs w:val="16"/>
                <w:lang w:eastAsia="es-MX"/>
              </w:rPr>
              <w:t>73,499,630</w:t>
            </w:r>
          </w:p>
        </w:tc>
      </w:tr>
    </w:tbl>
    <w:p w:rsidR="006207DC" w:rsidRPr="009640A4" w:rsidRDefault="006207DC" w:rsidP="009640A4">
      <w:pPr>
        <w:spacing w:before="240" w:line="240" w:lineRule="auto"/>
        <w:ind w:left="1429" w:right="618"/>
        <w:jc w:val="center"/>
        <w:rPr>
          <w:rFonts w:ascii="ITC Avant Garde" w:hAnsi="ITC Avant Garde"/>
          <w:b/>
          <w:iCs/>
          <w:color w:val="000000"/>
          <w:sz w:val="18"/>
          <w:szCs w:val="18"/>
          <w:lang w:eastAsia="es-MX"/>
        </w:rPr>
      </w:pPr>
      <w:r w:rsidRPr="009640A4">
        <w:rPr>
          <w:rFonts w:ascii="ITC Avant Garde" w:hAnsi="ITC Avant Garde"/>
          <w:b/>
          <w:iCs/>
          <w:color w:val="000000"/>
          <w:sz w:val="18"/>
          <w:szCs w:val="18"/>
          <w:lang w:eastAsia="es-MX"/>
        </w:rPr>
        <w:t>Cuadro 6. Ingresos del Solicitante</w:t>
      </w:r>
    </w:p>
    <w:p w:rsidR="009640A4" w:rsidRPr="009640A4" w:rsidRDefault="006207DC" w:rsidP="009640A4">
      <w:pPr>
        <w:spacing w:before="240" w:line="240" w:lineRule="auto"/>
        <w:ind w:left="1429" w:right="618"/>
        <w:jc w:val="both"/>
        <w:rPr>
          <w:rFonts w:ascii="ITC Avant Garde" w:hAnsi="ITC Avant Garde"/>
          <w:iCs/>
          <w:color w:val="000000"/>
          <w:sz w:val="14"/>
          <w:szCs w:val="14"/>
          <w:lang w:eastAsia="es-MX"/>
        </w:rPr>
      </w:pPr>
      <w:r w:rsidRPr="009640A4">
        <w:rPr>
          <w:rFonts w:ascii="ITC Avant Garde" w:hAnsi="ITC Avant Garde"/>
          <w:iCs/>
          <w:color w:val="000000"/>
          <w:sz w:val="14"/>
          <w:szCs w:val="14"/>
          <w:lang w:eastAsia="es-MX"/>
        </w:rPr>
        <w:t>Fuente: Elaboración propia con datos proporcionados por el Solicitante.</w:t>
      </w:r>
    </w:p>
    <w:p w:rsidR="009640A4" w:rsidRPr="009640A4" w:rsidRDefault="006207DC"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El Solicitante señaló que en 2014 contaba con 195 nuevos suscriptores a los servicios que ofrece la compañía. No obstante, no proporcionó información sobre el total de suscriptores actual diferencia</w:t>
      </w:r>
      <w:r w:rsidR="00955A95" w:rsidRPr="009640A4">
        <w:rPr>
          <w:rFonts w:ascii="ITC Avant Garde" w:hAnsi="ITC Avant Garde"/>
          <w:iCs/>
          <w:color w:val="000000"/>
          <w:sz w:val="18"/>
          <w:szCs w:val="18"/>
          <w:lang w:eastAsia="es-MX"/>
        </w:rPr>
        <w:t>n</w:t>
      </w:r>
      <w:r w:rsidRPr="009640A4">
        <w:rPr>
          <w:rFonts w:ascii="ITC Avant Garde" w:hAnsi="ITC Avant Garde"/>
          <w:iCs/>
          <w:color w:val="000000"/>
          <w:sz w:val="18"/>
          <w:szCs w:val="18"/>
          <w:lang w:eastAsia="es-MX"/>
        </w:rPr>
        <w:t>do por servicios de Telefonía Fija y Acceso a Internet Fijo.</w:t>
      </w:r>
    </w:p>
    <w:p w:rsidR="009640A4" w:rsidRPr="009640A4" w:rsidRDefault="006207DC"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Asimismo, se identifican los siguientes elementos respecto a los servicios de Telefonía Fija y Acceso a Internet Fijo:</w:t>
      </w:r>
    </w:p>
    <w:p w:rsidR="009640A4" w:rsidRPr="009640A4" w:rsidRDefault="006207DC" w:rsidP="009640A4">
      <w:pPr>
        <w:pStyle w:val="Prrafodelista"/>
        <w:numPr>
          <w:ilvl w:val="0"/>
          <w:numId w:val="18"/>
        </w:numPr>
        <w:spacing w:before="240" w:after="200"/>
        <w:ind w:left="1701" w:right="618" w:hanging="283"/>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Según datos del Instituto, IP Matrix tiene una participación en términos del número de usuarios del servicio de telefon</w:t>
      </w:r>
      <w:r w:rsidR="00956091" w:rsidRPr="009640A4">
        <w:rPr>
          <w:rFonts w:ascii="ITC Avant Garde" w:hAnsi="ITC Avant Garde"/>
          <w:iCs/>
          <w:color w:val="000000"/>
          <w:sz w:val="18"/>
          <w:szCs w:val="18"/>
          <w:lang w:eastAsia="es-MX"/>
        </w:rPr>
        <w:t>ía fija inf</w:t>
      </w:r>
      <w:r w:rsidRPr="009640A4">
        <w:rPr>
          <w:rFonts w:ascii="ITC Avant Garde" w:hAnsi="ITC Avant Garde"/>
          <w:iCs/>
          <w:color w:val="000000"/>
          <w:sz w:val="18"/>
          <w:szCs w:val="18"/>
          <w:lang w:eastAsia="es-MX"/>
        </w:rPr>
        <w:t>erior al 1.8</w:t>
      </w:r>
      <w:r w:rsidR="00956091" w:rsidRPr="009640A4">
        <w:rPr>
          <w:rFonts w:ascii="ITC Avant Garde" w:hAnsi="ITC Avant Garde"/>
          <w:iCs/>
          <w:color w:val="000000"/>
          <w:sz w:val="18"/>
          <w:szCs w:val="18"/>
          <w:lang w:eastAsia="es-MX"/>
        </w:rPr>
        <w:t>.</w:t>
      </w:r>
      <w:r w:rsidRPr="009640A4">
        <w:rPr>
          <w:rFonts w:ascii="ITC Avant Garde" w:hAnsi="ITC Avant Garde"/>
          <w:iCs/>
          <w:color w:val="000000"/>
          <w:sz w:val="18"/>
          <w:szCs w:val="18"/>
          <w:lang w:eastAsia="es-MX"/>
        </w:rPr>
        <w:t>% (uno punto ocho por ciento)</w:t>
      </w:r>
      <w:r w:rsidR="00956091" w:rsidRPr="009640A4">
        <w:rPr>
          <w:rFonts w:ascii="ITC Avant Garde" w:hAnsi="ITC Avant Garde"/>
          <w:iCs/>
          <w:color w:val="000000"/>
          <w:sz w:val="18"/>
          <w:szCs w:val="18"/>
          <w:lang w:eastAsia="es-MX"/>
        </w:rPr>
        <w:t>, la cual es indicativa de que el Solicitante no tiene poder sustancial de mercado;</w:t>
      </w:r>
    </w:p>
    <w:p w:rsidR="009640A4" w:rsidRPr="009640A4" w:rsidRDefault="00956091" w:rsidP="009640A4">
      <w:pPr>
        <w:pStyle w:val="Prrafodelista"/>
        <w:numPr>
          <w:ilvl w:val="0"/>
          <w:numId w:val="18"/>
        </w:numPr>
        <w:spacing w:before="240" w:after="200"/>
        <w:ind w:left="1701" w:right="618" w:hanging="283"/>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 xml:space="preserve">En la provisión del servicio de acceso a Internet Fijo y Telefonía fija, el principal competidor es Telmex, con 60.9% (sesenta punto nueve por ciento) y </w:t>
      </w:r>
      <w:r w:rsidR="006207DC" w:rsidRPr="009640A4">
        <w:rPr>
          <w:rFonts w:ascii="ITC Avant Garde" w:hAnsi="ITC Avant Garde"/>
          <w:iCs/>
          <w:color w:val="000000"/>
          <w:sz w:val="18"/>
          <w:szCs w:val="18"/>
          <w:lang w:eastAsia="es-MX"/>
        </w:rPr>
        <w:t xml:space="preserve">60.8% (sesenta punto ocho por ciento) de participación </w:t>
      </w:r>
      <w:r w:rsidR="000E61D7" w:rsidRPr="009640A4">
        <w:rPr>
          <w:rFonts w:ascii="ITC Avant Garde" w:hAnsi="ITC Avant Garde"/>
          <w:iCs/>
          <w:color w:val="000000"/>
          <w:sz w:val="18"/>
          <w:szCs w:val="18"/>
          <w:lang w:eastAsia="es-MX"/>
        </w:rPr>
        <w:t xml:space="preserve">respectivamente. Telmex </w:t>
      </w:r>
      <w:r w:rsidR="000E61D7" w:rsidRPr="009640A4">
        <w:rPr>
          <w:rFonts w:ascii="ITC Avant Garde" w:hAnsi="ITC Avant Garde"/>
          <w:iCs/>
          <w:color w:val="000000"/>
          <w:sz w:val="18"/>
          <w:szCs w:val="18"/>
          <w:lang w:eastAsia="es-MX"/>
        </w:rPr>
        <w:lastRenderedPageBreak/>
        <w:t>pertenece al agente económico declarado como preponderante en el sector de telecomunicaciones;</w:t>
      </w:r>
    </w:p>
    <w:p w:rsidR="009640A4" w:rsidRPr="009640A4" w:rsidRDefault="000E61D7" w:rsidP="009640A4">
      <w:pPr>
        <w:pStyle w:val="Prrafodelista"/>
        <w:numPr>
          <w:ilvl w:val="0"/>
          <w:numId w:val="18"/>
        </w:numPr>
        <w:spacing w:before="240" w:after="200"/>
        <w:ind w:left="1701" w:right="618" w:hanging="283"/>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La empresa Telmex cuenta con concesiones a nivel nacional para prestar los servicios de Acceso a Internet Fijo y Telefonía Fija, por lo que constituye un competidor de IP Matrix en la provisión de dichos servicios;</w:t>
      </w:r>
    </w:p>
    <w:p w:rsidR="009640A4" w:rsidRPr="009640A4" w:rsidRDefault="000E61D7" w:rsidP="009640A4">
      <w:pPr>
        <w:pStyle w:val="Prrafodelista"/>
        <w:numPr>
          <w:ilvl w:val="0"/>
          <w:numId w:val="18"/>
        </w:numPr>
        <w:spacing w:before="240" w:after="200"/>
        <w:ind w:left="1701" w:right="618" w:hanging="283"/>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 xml:space="preserve">También se identifican como competidores en esos servicios </w:t>
      </w:r>
      <w:r w:rsidR="00F2484F" w:rsidRPr="009640A4">
        <w:rPr>
          <w:rFonts w:ascii="ITC Avant Garde" w:hAnsi="ITC Avant Garde"/>
          <w:iCs/>
          <w:color w:val="000000"/>
          <w:sz w:val="18"/>
          <w:szCs w:val="18"/>
          <w:lang w:eastAsia="es-MX"/>
        </w:rPr>
        <w:t xml:space="preserve">a Grupo Televisa, Axtel, </w:t>
      </w:r>
      <w:proofErr w:type="spellStart"/>
      <w:r w:rsidR="00F2484F" w:rsidRPr="009640A4">
        <w:rPr>
          <w:rFonts w:ascii="ITC Avant Garde" w:hAnsi="ITC Avant Garde"/>
          <w:iCs/>
          <w:color w:val="000000"/>
          <w:sz w:val="18"/>
          <w:szCs w:val="18"/>
          <w:lang w:eastAsia="es-MX"/>
        </w:rPr>
        <w:t>Maxcom</w:t>
      </w:r>
      <w:proofErr w:type="spellEnd"/>
      <w:r w:rsidR="00F2484F" w:rsidRPr="009640A4">
        <w:rPr>
          <w:rFonts w:ascii="ITC Avant Garde" w:hAnsi="ITC Avant Garde"/>
          <w:iCs/>
          <w:color w:val="000000"/>
          <w:sz w:val="18"/>
          <w:szCs w:val="18"/>
          <w:lang w:eastAsia="es-MX"/>
        </w:rPr>
        <w:t>, entre otros; y</w:t>
      </w:r>
    </w:p>
    <w:p w:rsidR="009640A4" w:rsidRPr="009640A4" w:rsidRDefault="00F2484F" w:rsidP="009640A4">
      <w:pPr>
        <w:pStyle w:val="Prrafodelista"/>
        <w:numPr>
          <w:ilvl w:val="0"/>
          <w:numId w:val="18"/>
        </w:numPr>
        <w:spacing w:before="240" w:after="200"/>
        <w:ind w:left="1701" w:right="618" w:hanging="283"/>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La existencia de un mayor número de competidores en el mercado de Internet Fijo y Telefonía Fija tiene efectos favorables sobre el proceso de competencia. La autorización de la Solicitud permite la existencia de una opción distinta a Telmex en el servicio de Internet Fijo y Telefonía Fija.</w:t>
      </w:r>
    </w:p>
    <w:p w:rsidR="009640A4" w:rsidRPr="009640A4" w:rsidRDefault="00F2484F"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Con base en la información disponible</w:t>
      </w:r>
      <w:r w:rsidR="00754C28" w:rsidRPr="009640A4">
        <w:rPr>
          <w:rFonts w:ascii="ITC Avant Garde" w:hAnsi="ITC Avant Garde"/>
          <w:iCs/>
          <w:color w:val="000000"/>
          <w:sz w:val="18"/>
          <w:szCs w:val="18"/>
          <w:lang w:eastAsia="es-MX"/>
        </w:rPr>
        <w:t>,</w:t>
      </w:r>
      <w:r w:rsidRPr="009640A4">
        <w:rPr>
          <w:rFonts w:ascii="ITC Avant Garde" w:hAnsi="ITC Avant Garde"/>
          <w:iCs/>
          <w:color w:val="000000"/>
          <w:sz w:val="18"/>
          <w:szCs w:val="18"/>
          <w:lang w:eastAsia="es-MX"/>
        </w:rPr>
        <w:t xml:space="preserve"> no se identifican elementos que permitan concluir que la autorización de la Solicitud pudiese tener efectos contrarios en el proceso de competencia y libre concurrencia.</w:t>
      </w:r>
    </w:p>
    <w:p w:rsidR="009640A4" w:rsidRPr="009640A4" w:rsidRDefault="006207DC" w:rsidP="009640A4">
      <w:pPr>
        <w:spacing w:before="240" w:line="240" w:lineRule="auto"/>
        <w:ind w:left="1429" w:right="618"/>
        <w:jc w:val="both"/>
        <w:rPr>
          <w:rFonts w:ascii="ITC Avant Garde" w:hAnsi="ITC Avant Garde"/>
          <w:iCs/>
          <w:color w:val="000000"/>
          <w:sz w:val="18"/>
          <w:szCs w:val="18"/>
          <w:lang w:eastAsia="es-MX"/>
        </w:rPr>
      </w:pPr>
      <w:r w:rsidRPr="009640A4">
        <w:rPr>
          <w:rFonts w:ascii="ITC Avant Garde" w:hAnsi="ITC Avant Garde"/>
          <w:iCs/>
          <w:color w:val="000000"/>
          <w:sz w:val="18"/>
          <w:szCs w:val="18"/>
          <w:lang w:eastAsia="es-MX"/>
        </w:rPr>
        <w:t>[…]</w:t>
      </w:r>
      <w:r w:rsidR="00C70776" w:rsidRPr="009640A4">
        <w:rPr>
          <w:rFonts w:ascii="ITC Avant Garde" w:hAnsi="ITC Avant Garde"/>
          <w:iCs/>
          <w:color w:val="000000"/>
          <w:sz w:val="18"/>
          <w:szCs w:val="18"/>
          <w:lang w:eastAsia="es-MX"/>
        </w:rPr>
        <w:t>”</w:t>
      </w:r>
    </w:p>
    <w:p w:rsidR="009640A4" w:rsidRPr="009640A4" w:rsidRDefault="00C70776"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Por otro lado, en relación con lo señalado en el párrafo cuarto del artículo 114 de la Ley, a través del oficio IFT/223/UCS/</w:t>
      </w:r>
      <w:r w:rsidR="00754C28" w:rsidRPr="009640A4">
        <w:rPr>
          <w:rFonts w:ascii="ITC Avant Garde" w:hAnsi="ITC Avant Garde"/>
          <w:bCs/>
        </w:rPr>
        <w:t>2690</w:t>
      </w:r>
      <w:r w:rsidRPr="009640A4">
        <w:rPr>
          <w:rFonts w:ascii="ITC Avant Garde" w:hAnsi="ITC Avant Garde"/>
          <w:bCs/>
        </w:rPr>
        <w:t xml:space="preserve">/2015 notificado el </w:t>
      </w:r>
      <w:r w:rsidR="00754C28" w:rsidRPr="009640A4">
        <w:rPr>
          <w:rFonts w:ascii="ITC Avant Garde" w:hAnsi="ITC Avant Garde"/>
          <w:bCs/>
        </w:rPr>
        <w:t>8</w:t>
      </w:r>
      <w:r w:rsidRPr="009640A4">
        <w:rPr>
          <w:rFonts w:ascii="ITC Avant Garde" w:hAnsi="ITC Avant Garde"/>
          <w:bCs/>
        </w:rPr>
        <w:t xml:space="preserve"> de </w:t>
      </w:r>
      <w:r w:rsidR="00754C28" w:rsidRPr="009640A4">
        <w:rPr>
          <w:rFonts w:ascii="ITC Avant Garde" w:hAnsi="ITC Avant Garde"/>
          <w:bCs/>
        </w:rPr>
        <w:t>diciembre</w:t>
      </w:r>
      <w:r w:rsidRPr="009640A4">
        <w:rPr>
          <w:rFonts w:ascii="ITC Avant Garde" w:hAnsi="ITC Avant Garde"/>
          <w:bCs/>
        </w:rPr>
        <w:t xml:space="preserve"> de 2015, el Instituto </w:t>
      </w:r>
      <w:r w:rsidRPr="009640A4">
        <w:rPr>
          <w:rFonts w:ascii="ITC Avant Garde" w:hAnsi="ITC Avant Garde"/>
          <w:bCs/>
          <w:color w:val="000000"/>
          <w:lang w:eastAsia="es-MX"/>
        </w:rPr>
        <w:t xml:space="preserve">a través de la Unidad de Concesiones y Servicios, </w:t>
      </w:r>
      <w:r w:rsidRPr="009640A4">
        <w:rPr>
          <w:rFonts w:ascii="ITC Avant Garde" w:hAnsi="ITC Avant Garde"/>
          <w:bCs/>
        </w:rPr>
        <w:t>solicitó a la Secretaría opinión técnica correspondiente a la Solicitud de Prórroga. Al respecto mediante oficio 2.1.-</w:t>
      </w:r>
      <w:r w:rsidR="00754C28" w:rsidRPr="009640A4">
        <w:rPr>
          <w:rFonts w:ascii="ITC Avant Garde" w:hAnsi="ITC Avant Garde"/>
          <w:bCs/>
        </w:rPr>
        <w:t>0154</w:t>
      </w:r>
      <w:r w:rsidRPr="009640A4">
        <w:rPr>
          <w:rFonts w:ascii="ITC Avant Garde" w:hAnsi="ITC Avant Garde"/>
          <w:bCs/>
        </w:rPr>
        <w:t xml:space="preserve"> emitido por la Dirección General de Política de Telecomunicaciones y de Radiodifusión adscrita a la Secretaría y recibido en este Instituto el </w:t>
      </w:r>
      <w:r w:rsidR="00754C28" w:rsidRPr="009640A4">
        <w:rPr>
          <w:rFonts w:ascii="ITC Avant Garde" w:hAnsi="ITC Avant Garde"/>
          <w:bCs/>
        </w:rPr>
        <w:t>9</w:t>
      </w:r>
      <w:r w:rsidRPr="009640A4">
        <w:rPr>
          <w:rFonts w:ascii="ITC Avant Garde" w:hAnsi="ITC Avant Garde"/>
          <w:bCs/>
        </w:rPr>
        <w:t xml:space="preserve"> de </w:t>
      </w:r>
      <w:r w:rsidR="00754C28" w:rsidRPr="009640A4">
        <w:rPr>
          <w:rFonts w:ascii="ITC Avant Garde" w:hAnsi="ITC Avant Garde"/>
          <w:bCs/>
        </w:rPr>
        <w:t>febrero</w:t>
      </w:r>
      <w:r w:rsidRPr="009640A4">
        <w:rPr>
          <w:rFonts w:ascii="ITC Avant Garde" w:hAnsi="ITC Avant Garde"/>
          <w:bCs/>
        </w:rPr>
        <w:t xml:space="preserve"> de 2015, notificó el oficio 1.-3</w:t>
      </w:r>
      <w:r w:rsidR="00754C28" w:rsidRPr="009640A4">
        <w:rPr>
          <w:rFonts w:ascii="ITC Avant Garde" w:hAnsi="ITC Avant Garde"/>
          <w:bCs/>
        </w:rPr>
        <w:t>1</w:t>
      </w:r>
      <w:r w:rsidRPr="009640A4">
        <w:rPr>
          <w:rFonts w:ascii="ITC Avant Garde" w:hAnsi="ITC Avant Garde"/>
          <w:bCs/>
        </w:rPr>
        <w:t xml:space="preserve"> mediante el cual la Secretaría emitió la opinión técnica en sentido favorable.</w:t>
      </w:r>
    </w:p>
    <w:p w:rsidR="009640A4" w:rsidRPr="009640A4" w:rsidRDefault="007A7DA0" w:rsidP="009640A4">
      <w:pPr>
        <w:autoSpaceDE w:val="0"/>
        <w:autoSpaceDN w:val="0"/>
        <w:adjustRightInd w:val="0"/>
        <w:spacing w:before="240" w:line="240" w:lineRule="auto"/>
        <w:jc w:val="both"/>
        <w:rPr>
          <w:rFonts w:ascii="ITC Avant Garde" w:hAnsi="ITC Avant Garde"/>
          <w:bCs/>
          <w:color w:val="000000"/>
          <w:lang w:eastAsia="es-MX"/>
        </w:rPr>
      </w:pPr>
      <w:r w:rsidRPr="009640A4">
        <w:rPr>
          <w:rFonts w:ascii="ITC Avant Garde" w:hAnsi="ITC Avant Garde"/>
          <w:bCs/>
          <w:color w:val="000000"/>
          <w:lang w:eastAsia="es-MX"/>
        </w:rPr>
        <w:t xml:space="preserve">Por último, en relación con los servicios establecidos en la Constancia de Registro de Servicios de Valor Agregado señalada en el Antecedente II, los mismos quedarían </w:t>
      </w:r>
      <w:r w:rsidR="00FF5C07" w:rsidRPr="009640A4">
        <w:rPr>
          <w:rFonts w:ascii="ITC Avant Garde" w:hAnsi="ITC Avant Garde"/>
          <w:bCs/>
          <w:color w:val="000000"/>
          <w:lang w:eastAsia="es-MX"/>
        </w:rPr>
        <w:t>cubiertos</w:t>
      </w:r>
      <w:r w:rsidRPr="009640A4">
        <w:rPr>
          <w:rFonts w:ascii="ITC Avant Garde" w:hAnsi="ITC Avant Garde"/>
          <w:bCs/>
          <w:color w:val="000000"/>
          <w:lang w:eastAsia="es-MX"/>
        </w:rPr>
        <w:t xml:space="preserve"> al amparo de la concesión única que en su caso se otorgue</w:t>
      </w:r>
      <w:r w:rsidR="00B43E6E" w:rsidRPr="009640A4">
        <w:rPr>
          <w:rFonts w:ascii="ITC Avant Garde" w:hAnsi="ITC Avant Garde"/>
          <w:bCs/>
          <w:color w:val="000000"/>
          <w:lang w:eastAsia="es-MX"/>
        </w:rPr>
        <w:t>. Derivado de lo anterio</w:t>
      </w:r>
      <w:r w:rsidR="003F44B8" w:rsidRPr="009640A4">
        <w:rPr>
          <w:rFonts w:ascii="ITC Avant Garde" w:hAnsi="ITC Avant Garde"/>
          <w:bCs/>
          <w:color w:val="000000"/>
          <w:lang w:eastAsia="es-MX"/>
        </w:rPr>
        <w:t>r</w:t>
      </w:r>
      <w:r w:rsidR="00B43E6E" w:rsidRPr="009640A4">
        <w:rPr>
          <w:rFonts w:ascii="ITC Avant Garde" w:hAnsi="ITC Avant Garde"/>
          <w:bCs/>
          <w:color w:val="000000"/>
          <w:lang w:eastAsia="es-MX"/>
        </w:rPr>
        <w:t>,</w:t>
      </w:r>
      <w:r w:rsidRPr="009640A4">
        <w:rPr>
          <w:rFonts w:ascii="ITC Avant Garde" w:hAnsi="ITC Avant Garde"/>
          <w:bCs/>
          <w:color w:val="000000"/>
          <w:lang w:eastAsia="es-MX"/>
        </w:rPr>
        <w:t xml:space="preserve"> considera pertinente incluir </w:t>
      </w:r>
      <w:r w:rsidR="00B43E6E" w:rsidRPr="009640A4">
        <w:rPr>
          <w:rFonts w:ascii="ITC Avant Garde" w:hAnsi="ITC Avant Garde"/>
          <w:bCs/>
          <w:color w:val="000000"/>
          <w:lang w:eastAsia="es-MX"/>
        </w:rPr>
        <w:t xml:space="preserve">dichos servicios </w:t>
      </w:r>
      <w:r w:rsidRPr="009640A4">
        <w:rPr>
          <w:rFonts w:ascii="ITC Avant Garde" w:hAnsi="ITC Avant Garde"/>
          <w:bCs/>
          <w:color w:val="000000"/>
          <w:lang w:eastAsia="es-MX"/>
        </w:rPr>
        <w:t xml:space="preserve">en las Características Generales del Proyecto </w:t>
      </w:r>
      <w:r w:rsidR="00FF5C07" w:rsidRPr="009640A4">
        <w:rPr>
          <w:rFonts w:ascii="ITC Avant Garde" w:hAnsi="ITC Avant Garde"/>
          <w:bCs/>
          <w:color w:val="000000"/>
          <w:lang w:eastAsia="es-MX"/>
        </w:rPr>
        <w:t>d</w:t>
      </w:r>
      <w:r w:rsidRPr="009640A4">
        <w:rPr>
          <w:rFonts w:ascii="ITC Avant Garde" w:hAnsi="ITC Avant Garde"/>
          <w:bCs/>
          <w:color w:val="000000"/>
          <w:lang w:eastAsia="es-MX"/>
        </w:rPr>
        <w:t xml:space="preserve">el título de </w:t>
      </w:r>
      <w:r w:rsidR="00FF5C07" w:rsidRPr="009640A4">
        <w:rPr>
          <w:rFonts w:ascii="ITC Avant Garde" w:hAnsi="ITC Avant Garde"/>
          <w:bCs/>
          <w:color w:val="000000"/>
          <w:lang w:eastAsia="es-MX"/>
        </w:rPr>
        <w:t>concesión</w:t>
      </w:r>
      <w:r w:rsidR="00B43E6E" w:rsidRPr="009640A4">
        <w:rPr>
          <w:rFonts w:ascii="ITC Avant Garde" w:hAnsi="ITC Avant Garde"/>
          <w:bCs/>
          <w:color w:val="000000"/>
          <w:lang w:eastAsia="es-MX"/>
        </w:rPr>
        <w:t xml:space="preserve"> única.</w:t>
      </w:r>
    </w:p>
    <w:p w:rsidR="009640A4" w:rsidRPr="009640A4" w:rsidRDefault="00754C28" w:rsidP="009640A4">
      <w:pPr>
        <w:autoSpaceDE w:val="0"/>
        <w:autoSpaceDN w:val="0"/>
        <w:adjustRightInd w:val="0"/>
        <w:spacing w:before="240" w:line="240" w:lineRule="auto"/>
        <w:jc w:val="both"/>
        <w:rPr>
          <w:rFonts w:ascii="ITC Avant Garde" w:hAnsi="ITC Avant Garde"/>
          <w:bCs/>
          <w:color w:val="000000"/>
          <w:lang w:eastAsia="es-MX"/>
        </w:rPr>
      </w:pPr>
      <w:r w:rsidRPr="009640A4">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p>
    <w:p w:rsidR="009640A4" w:rsidRPr="009640A4" w:rsidRDefault="00754C28" w:rsidP="009640A4">
      <w:pPr>
        <w:spacing w:before="240" w:line="240" w:lineRule="auto"/>
        <w:jc w:val="both"/>
        <w:rPr>
          <w:rFonts w:ascii="ITC Avant Garde" w:hAnsi="ITC Avant Garde"/>
        </w:rPr>
      </w:pPr>
      <w:r w:rsidRPr="009640A4">
        <w:rPr>
          <w:rFonts w:ascii="ITC Avant Garde" w:hAnsi="ITC Avant Garde"/>
        </w:rPr>
        <w:t>Con base en el análisis anterior, este Pleno considera procedente otorgar una concesión única para uso comercial a la solicitante.</w:t>
      </w:r>
    </w:p>
    <w:p w:rsidR="009640A4" w:rsidRPr="009640A4" w:rsidRDefault="00280C98" w:rsidP="009640A4">
      <w:pPr>
        <w:spacing w:before="240" w:line="240" w:lineRule="auto"/>
        <w:jc w:val="both"/>
        <w:rPr>
          <w:rFonts w:ascii="ITC Avant Garde" w:eastAsia="Times New Roman" w:hAnsi="ITC Avant Garde"/>
          <w:color w:val="000000"/>
          <w:lang w:eastAsia="es-MX"/>
        </w:rPr>
      </w:pPr>
      <w:r w:rsidRPr="009640A4">
        <w:rPr>
          <w:rFonts w:ascii="ITC Avant Garde" w:hAnsi="ITC Avant Garde"/>
          <w:b/>
          <w:bCs/>
          <w:lang w:eastAsia="es-MX"/>
        </w:rPr>
        <w:t>C</w:t>
      </w:r>
      <w:r w:rsidR="00110326" w:rsidRPr="009640A4">
        <w:rPr>
          <w:rFonts w:ascii="ITC Avant Garde" w:hAnsi="ITC Avant Garde"/>
          <w:b/>
          <w:bCs/>
          <w:lang w:eastAsia="es-MX"/>
        </w:rPr>
        <w:t>uarto</w:t>
      </w:r>
      <w:r w:rsidRPr="009640A4">
        <w:rPr>
          <w:rFonts w:ascii="ITC Avant Garde" w:hAnsi="ITC Avant Garde"/>
          <w:b/>
          <w:bCs/>
          <w:lang w:eastAsia="es-MX"/>
        </w:rPr>
        <w:t>.- Cobro sobre el pago de derechos por diversos trámites ante la entrada en vigor de la Ley Federal de Derechos vigente para 2016.</w:t>
      </w:r>
      <w:r w:rsidRPr="009640A4">
        <w:rPr>
          <w:rFonts w:ascii="ITC Avant Garde" w:hAnsi="ITC Avant Garde"/>
          <w:lang w:eastAsia="es-MX"/>
        </w:rPr>
        <w:t xml:space="preserve"> </w:t>
      </w:r>
      <w:r w:rsidR="00EA1913" w:rsidRPr="009640A4">
        <w:rPr>
          <w:rFonts w:ascii="ITC Avant Garde" w:eastAsia="Times New Roman" w:hAnsi="ITC Avant Garde"/>
          <w:color w:val="000000"/>
          <w:lang w:eastAsia="es-MX"/>
        </w:rPr>
        <w:t>El pasado 18 de noviembre de 2015 se publicó en el Diario Oficial de la Federación el “</w:t>
      </w:r>
      <w:r w:rsidR="00EA1913" w:rsidRPr="009640A4">
        <w:rPr>
          <w:rFonts w:ascii="ITC Avant Garde" w:eastAsia="Times New Roman" w:hAnsi="ITC Avant Garde"/>
          <w:iCs/>
          <w:color w:val="000000"/>
          <w:lang w:eastAsia="es-MX"/>
        </w:rPr>
        <w:t>Decreto por el que se reforman, adicionan y derogan diversas disposiciones de la Ley Federal de Derechos</w:t>
      </w:r>
      <w:r w:rsidR="00EA1913" w:rsidRPr="009640A4">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w:t>
      </w:r>
      <w:r w:rsidR="00EA1913" w:rsidRPr="009640A4">
        <w:rPr>
          <w:rFonts w:ascii="ITC Avant Garde" w:eastAsia="Times New Roman" w:hAnsi="ITC Avant Garde"/>
          <w:color w:val="000000"/>
          <w:lang w:eastAsia="es-MX"/>
        </w:rPr>
        <w:lastRenderedPageBreak/>
        <w:t xml:space="preserve">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9640A4" w:rsidRPr="009640A4" w:rsidRDefault="00EA1913" w:rsidP="009640A4">
      <w:pPr>
        <w:spacing w:before="240" w:line="240" w:lineRule="auto"/>
        <w:jc w:val="both"/>
        <w:rPr>
          <w:rFonts w:ascii="ITC Avant Garde" w:eastAsia="Times New Roman" w:hAnsi="ITC Avant Garde"/>
          <w:color w:val="000000"/>
          <w:lang w:eastAsia="es-MX"/>
        </w:rPr>
      </w:pPr>
      <w:r w:rsidRPr="009640A4">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vigencias de concesiones para instalar, operar y explotar redes públicas de telecomunicaciones.</w:t>
      </w:r>
    </w:p>
    <w:p w:rsidR="009640A4" w:rsidRPr="009640A4" w:rsidRDefault="00EA1913" w:rsidP="009640A4">
      <w:pPr>
        <w:spacing w:before="240" w:line="240" w:lineRule="auto"/>
        <w:jc w:val="both"/>
        <w:rPr>
          <w:rFonts w:ascii="ITC Avant Garde" w:eastAsia="Times New Roman" w:hAnsi="ITC Avant Garde"/>
          <w:color w:val="000000"/>
          <w:lang w:eastAsia="es-MX"/>
        </w:rPr>
      </w:pPr>
      <w:r w:rsidRPr="009640A4">
        <w:rPr>
          <w:rFonts w:ascii="ITC Avant Garde" w:eastAsia="Times New Roman" w:hAnsi="ITC Avant Garde"/>
          <w:color w:val="000000"/>
          <w:lang w:eastAsia="es-MX"/>
        </w:rPr>
        <w:t>En este sentido, la Ley Federal de Derechos vigente a partir del 1º de enero de 2016 estableció en su artículo 174-B un nuevo sistema de cobro de derechos para los trámites relativos al estudio de la solicitud y, en su caso, expedición de título o prórroga de concesión única para prestar todo tipo de servicios de telecomunicaciones o radiodifusión,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9640A4" w:rsidRPr="009640A4" w:rsidRDefault="00EA1913" w:rsidP="009640A4">
      <w:pPr>
        <w:spacing w:before="240" w:line="240" w:lineRule="auto"/>
        <w:jc w:val="both"/>
        <w:rPr>
          <w:rFonts w:ascii="ITC Avant Garde" w:eastAsia="Times New Roman" w:hAnsi="ITC Avant Garde"/>
          <w:color w:val="000000"/>
          <w:lang w:eastAsia="es-MX"/>
        </w:rPr>
      </w:pPr>
      <w:r w:rsidRPr="009640A4">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9640A4" w:rsidRPr="009640A4" w:rsidRDefault="002E1026" w:rsidP="009640A4">
      <w:pPr>
        <w:autoSpaceDE w:val="0"/>
        <w:autoSpaceDN w:val="0"/>
        <w:adjustRightInd w:val="0"/>
        <w:spacing w:before="240" w:line="240" w:lineRule="auto"/>
        <w:jc w:val="both"/>
        <w:rPr>
          <w:rFonts w:ascii="ITC Avant Garde" w:hAnsi="ITC Avant Garde"/>
          <w:bCs/>
        </w:rPr>
      </w:pPr>
      <w:r w:rsidRPr="009640A4">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y LVII, 16, 17 fracción I, 66, 67 fracción I, 68, 72, 113 y 114 de la Ley Federal de Telecomunicaciones y Radiodifusión; Séptimo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94 fracción III de la Ley Federal de Derechos vigente en 2015, y 1, 6 fracciones I y XVIII, 32 y 33 fracción II, 41, 42 fracciones I, II y XV y 50 fracción XII del Estatuto Orgánico del Instituto Federal de Telecomunicaciones</w:t>
      </w:r>
      <w:r w:rsidR="001768CC" w:rsidRPr="009640A4">
        <w:rPr>
          <w:rFonts w:ascii="ITC Avant Garde" w:hAnsi="ITC Avant Garde"/>
          <w:bCs/>
        </w:rPr>
        <w:t>, este órgano autónomo emite los siguientes</w:t>
      </w:r>
      <w:r w:rsidR="00322378" w:rsidRPr="009640A4">
        <w:rPr>
          <w:rFonts w:ascii="ITC Avant Garde" w:hAnsi="ITC Avant Garde"/>
          <w:bCs/>
        </w:rPr>
        <w:t>:</w:t>
      </w:r>
    </w:p>
    <w:p w:rsidR="009640A4" w:rsidRPr="009640A4" w:rsidRDefault="00D247B5" w:rsidP="009640A4">
      <w:pPr>
        <w:pStyle w:val="Ttulo2"/>
        <w:spacing w:after="240"/>
        <w:jc w:val="center"/>
        <w:rPr>
          <w:rFonts w:ascii="ITC Avant Garde" w:hAnsi="ITC Avant Garde"/>
          <w:b/>
          <w:color w:val="000000" w:themeColor="text1"/>
          <w:sz w:val="22"/>
          <w:szCs w:val="22"/>
        </w:rPr>
      </w:pPr>
      <w:r w:rsidRPr="009640A4">
        <w:rPr>
          <w:rFonts w:ascii="ITC Avant Garde" w:hAnsi="ITC Avant Garde"/>
          <w:b/>
          <w:color w:val="000000" w:themeColor="text1"/>
          <w:sz w:val="22"/>
          <w:szCs w:val="22"/>
        </w:rPr>
        <w:lastRenderedPageBreak/>
        <w:t>RESOLUTIVOS</w:t>
      </w:r>
    </w:p>
    <w:p w:rsidR="009640A4" w:rsidRPr="009640A4" w:rsidRDefault="00D247B5"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
          <w:bCs/>
        </w:rPr>
        <w:t>PRIMERO.-</w:t>
      </w:r>
      <w:r w:rsidRPr="009640A4">
        <w:rPr>
          <w:rFonts w:ascii="ITC Avant Garde" w:hAnsi="ITC Avant Garde"/>
          <w:bCs/>
        </w:rPr>
        <w:t xml:space="preserve"> </w:t>
      </w:r>
      <w:r w:rsidRPr="009640A4">
        <w:rPr>
          <w:rFonts w:ascii="ITC Avant Garde" w:hAnsi="ITC Avant Garde"/>
          <w:bCs/>
          <w:lang w:val="es-ES_tradnl"/>
        </w:rPr>
        <w:t xml:space="preserve">Se autoriza la prórroga de vigencia de </w:t>
      </w:r>
      <w:r w:rsidR="000B41D8" w:rsidRPr="009640A4">
        <w:rPr>
          <w:rFonts w:ascii="ITC Avant Garde" w:hAnsi="ITC Avant Garde"/>
          <w:bCs/>
          <w:lang w:val="es-ES_tradnl"/>
        </w:rPr>
        <w:t xml:space="preserve">la </w:t>
      </w:r>
      <w:r w:rsidRPr="009640A4">
        <w:rPr>
          <w:rFonts w:ascii="ITC Avant Garde" w:hAnsi="ITC Avant Garde"/>
          <w:bCs/>
          <w:lang w:val="es-ES_tradnl"/>
        </w:rPr>
        <w:t>concesión otorgad</w:t>
      </w:r>
      <w:r w:rsidR="000B41D8" w:rsidRPr="009640A4">
        <w:rPr>
          <w:rFonts w:ascii="ITC Avant Garde" w:hAnsi="ITC Avant Garde"/>
          <w:bCs/>
          <w:lang w:val="es-ES_tradnl"/>
        </w:rPr>
        <w:t>a</w:t>
      </w:r>
      <w:r w:rsidRPr="009640A4">
        <w:rPr>
          <w:rFonts w:ascii="ITC Avant Garde" w:hAnsi="ITC Avant Garde"/>
          <w:bCs/>
          <w:lang w:val="es-ES_tradnl"/>
        </w:rPr>
        <w:t xml:space="preserve"> a</w:t>
      </w:r>
      <w:r w:rsidR="00A31006" w:rsidRPr="009640A4">
        <w:rPr>
          <w:rFonts w:ascii="ITC Avant Garde" w:hAnsi="ITC Avant Garde"/>
          <w:bCs/>
          <w:lang w:val="es-ES_tradnl"/>
        </w:rPr>
        <w:t xml:space="preserve"> </w:t>
      </w:r>
      <w:r w:rsidR="002E1026" w:rsidRPr="009640A4">
        <w:rPr>
          <w:rFonts w:ascii="ITC Avant Garde" w:hAnsi="ITC Avant Garde"/>
          <w:bCs/>
        </w:rPr>
        <w:t>IP Matrix, S.A. de C.V.</w:t>
      </w:r>
      <w:r w:rsidR="00927E89" w:rsidRPr="009640A4">
        <w:rPr>
          <w:rFonts w:ascii="ITC Avant Garde" w:hAnsi="ITC Avant Garde"/>
          <w:bCs/>
          <w:color w:val="000000"/>
          <w:lang w:eastAsia="es-MX"/>
        </w:rPr>
        <w:t>,</w:t>
      </w:r>
      <w:r w:rsidR="00D110BA" w:rsidRPr="009640A4">
        <w:rPr>
          <w:rFonts w:ascii="ITC Avant Garde" w:hAnsi="ITC Avant Garde"/>
          <w:bCs/>
          <w:color w:val="000000"/>
          <w:lang w:eastAsia="es-MX"/>
        </w:rPr>
        <w:t xml:space="preserve"> </w:t>
      </w:r>
      <w:r w:rsidR="00DA1A99" w:rsidRPr="009640A4">
        <w:rPr>
          <w:rFonts w:ascii="ITC Avant Garde" w:hAnsi="ITC Avant Garde"/>
          <w:bCs/>
          <w:lang w:val="es-ES_tradnl"/>
        </w:rPr>
        <w:t xml:space="preserve">el </w:t>
      </w:r>
      <w:r w:rsidR="002E1026" w:rsidRPr="009640A4">
        <w:rPr>
          <w:rFonts w:ascii="ITC Avant Garde" w:hAnsi="ITC Avant Garde"/>
          <w:bCs/>
          <w:color w:val="000000"/>
          <w:lang w:eastAsia="es-MX"/>
        </w:rPr>
        <w:t>25 de noviembre de 2004</w:t>
      </w:r>
      <w:r w:rsidR="005D635A" w:rsidRPr="009640A4">
        <w:rPr>
          <w:rFonts w:ascii="ITC Avant Garde" w:hAnsi="ITC Avant Garde"/>
          <w:bCs/>
          <w:lang w:val="es-ES_tradnl"/>
        </w:rPr>
        <w:t>.</w:t>
      </w:r>
    </w:p>
    <w:p w:rsidR="009640A4" w:rsidRPr="009640A4" w:rsidRDefault="005D635A"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Cs/>
          <w:lang w:val="es-ES_tradnl"/>
        </w:rPr>
        <w:t xml:space="preserve">Para tal efecto, el Instituto Federal de Telecomunicaciones otorgará </w:t>
      </w:r>
      <w:r w:rsidR="00D247B5" w:rsidRPr="009640A4">
        <w:rPr>
          <w:rFonts w:ascii="ITC Avant Garde" w:hAnsi="ITC Avant Garde"/>
          <w:bCs/>
        </w:rPr>
        <w:t xml:space="preserve">un título de concesión </w:t>
      </w:r>
      <w:r w:rsidR="00D247B5" w:rsidRPr="009640A4">
        <w:rPr>
          <w:rFonts w:ascii="ITC Avant Garde" w:hAnsi="ITC Avant Garde"/>
          <w:bCs/>
          <w:lang w:val="es-ES_tradnl"/>
        </w:rPr>
        <w:t xml:space="preserve">única para uso comercial, </w:t>
      </w:r>
      <w:r w:rsidRPr="009640A4">
        <w:rPr>
          <w:rFonts w:ascii="ITC Avant Garde" w:hAnsi="ITC Avant Garde"/>
          <w:bCs/>
          <w:lang w:val="es-ES_tradnl"/>
        </w:rPr>
        <w:t>en favor de</w:t>
      </w:r>
      <w:r w:rsidR="00A31006" w:rsidRPr="009640A4">
        <w:rPr>
          <w:rFonts w:ascii="ITC Avant Garde" w:hAnsi="ITC Avant Garde"/>
          <w:bCs/>
          <w:lang w:val="es-ES_tradnl"/>
        </w:rPr>
        <w:t xml:space="preserve"> </w:t>
      </w:r>
      <w:r w:rsidR="002E1026" w:rsidRPr="009640A4">
        <w:rPr>
          <w:rFonts w:ascii="ITC Avant Garde" w:hAnsi="ITC Avant Garde"/>
          <w:bCs/>
        </w:rPr>
        <w:t>IP Matrix, S.A. de C.V.</w:t>
      </w:r>
      <w:r w:rsidR="00927E89" w:rsidRPr="009640A4">
        <w:rPr>
          <w:rFonts w:ascii="ITC Avant Garde" w:hAnsi="ITC Avant Garde"/>
          <w:bCs/>
          <w:color w:val="000000"/>
          <w:lang w:eastAsia="es-MX"/>
        </w:rPr>
        <w:t xml:space="preserve"> </w:t>
      </w:r>
      <w:r w:rsidR="00D247B5" w:rsidRPr="009640A4">
        <w:rPr>
          <w:rFonts w:ascii="ITC Avant Garde" w:hAnsi="ITC Avant Garde"/>
          <w:bCs/>
          <w:lang w:val="es-ES_tradnl"/>
        </w:rPr>
        <w:t xml:space="preserve">con una vigencia de </w:t>
      </w:r>
      <w:r w:rsidR="00322378" w:rsidRPr="009640A4">
        <w:rPr>
          <w:rFonts w:ascii="ITC Avant Garde" w:hAnsi="ITC Avant Garde"/>
          <w:bCs/>
          <w:lang w:val="es-ES_tradnl"/>
        </w:rPr>
        <w:t>30</w:t>
      </w:r>
      <w:r w:rsidR="00796139" w:rsidRPr="009640A4">
        <w:rPr>
          <w:rFonts w:ascii="ITC Avant Garde" w:hAnsi="ITC Avant Garde"/>
          <w:bCs/>
          <w:lang w:val="es-ES_tradnl"/>
        </w:rPr>
        <w:t xml:space="preserve"> (</w:t>
      </w:r>
      <w:r w:rsidR="00322378" w:rsidRPr="009640A4">
        <w:rPr>
          <w:rFonts w:ascii="ITC Avant Garde" w:hAnsi="ITC Avant Garde"/>
          <w:bCs/>
          <w:lang w:val="es-ES_tradnl"/>
        </w:rPr>
        <w:t>treinta</w:t>
      </w:r>
      <w:r w:rsidR="00796139" w:rsidRPr="009640A4">
        <w:rPr>
          <w:rFonts w:ascii="ITC Avant Garde" w:hAnsi="ITC Avant Garde"/>
          <w:bCs/>
          <w:lang w:val="es-ES_tradnl"/>
        </w:rPr>
        <w:t>)</w:t>
      </w:r>
      <w:r w:rsidR="00D247B5" w:rsidRPr="009640A4">
        <w:rPr>
          <w:rFonts w:ascii="ITC Avant Garde" w:hAnsi="ITC Avant Garde"/>
          <w:bCs/>
          <w:lang w:val="es-ES_tradnl"/>
        </w:rPr>
        <w:t xml:space="preserve"> años contados a </w:t>
      </w:r>
      <w:r w:rsidR="00D247B5" w:rsidRPr="009640A4">
        <w:rPr>
          <w:rFonts w:ascii="ITC Avant Garde" w:hAnsi="ITC Avant Garde"/>
          <w:bCs/>
        </w:rPr>
        <w:t>partir de</w:t>
      </w:r>
      <w:r w:rsidR="000B41D8" w:rsidRPr="009640A4">
        <w:rPr>
          <w:rFonts w:ascii="ITC Avant Garde" w:hAnsi="ITC Avant Garde"/>
          <w:bCs/>
        </w:rPr>
        <w:t xml:space="preserve">l </w:t>
      </w:r>
      <w:r w:rsidR="002E1026" w:rsidRPr="009640A4">
        <w:rPr>
          <w:rFonts w:ascii="ITC Avant Garde" w:hAnsi="ITC Avant Garde"/>
          <w:bCs/>
        </w:rPr>
        <w:t>26</w:t>
      </w:r>
      <w:r w:rsidR="00D110BA" w:rsidRPr="009640A4">
        <w:rPr>
          <w:rFonts w:ascii="ITC Avant Garde" w:hAnsi="ITC Avant Garde"/>
          <w:bCs/>
        </w:rPr>
        <w:t xml:space="preserve"> de </w:t>
      </w:r>
      <w:r w:rsidR="002E1026" w:rsidRPr="009640A4">
        <w:rPr>
          <w:rFonts w:ascii="ITC Avant Garde" w:hAnsi="ITC Avant Garde"/>
          <w:bCs/>
        </w:rPr>
        <w:t>noviembre</w:t>
      </w:r>
      <w:r w:rsidR="00D110BA" w:rsidRPr="009640A4">
        <w:rPr>
          <w:rFonts w:ascii="ITC Avant Garde" w:hAnsi="ITC Avant Garde"/>
          <w:bCs/>
        </w:rPr>
        <w:t xml:space="preserve"> de 201</w:t>
      </w:r>
      <w:r w:rsidR="002E1026" w:rsidRPr="009640A4">
        <w:rPr>
          <w:rFonts w:ascii="ITC Avant Garde" w:hAnsi="ITC Avant Garde"/>
          <w:bCs/>
        </w:rPr>
        <w:t>9</w:t>
      </w:r>
      <w:r w:rsidR="00D247B5" w:rsidRPr="009640A4">
        <w:rPr>
          <w:rFonts w:ascii="ITC Avant Garde" w:hAnsi="ITC Avant Garde"/>
          <w:bCs/>
        </w:rPr>
        <w:t xml:space="preserve">, con cobertura nacional y </w:t>
      </w:r>
      <w:r w:rsidR="00322378" w:rsidRPr="009640A4">
        <w:rPr>
          <w:rFonts w:ascii="ITC Avant Garde" w:hAnsi="ITC Avant Garde"/>
          <w:bCs/>
        </w:rPr>
        <w:t>con el que podrá prestar cualquier servicio</w:t>
      </w:r>
      <w:r w:rsidR="00322378" w:rsidRPr="009640A4">
        <w:rPr>
          <w:rFonts w:ascii="ITC Avant Garde" w:hAnsi="ITC Avant Garde"/>
          <w:bCs/>
          <w:lang w:val="es-ES_tradnl"/>
        </w:rPr>
        <w:t xml:space="preserve"> de </w:t>
      </w:r>
      <w:r w:rsidR="00D247B5" w:rsidRPr="009640A4">
        <w:rPr>
          <w:rFonts w:ascii="ITC Avant Garde" w:hAnsi="ITC Avant Garde"/>
          <w:bCs/>
          <w:lang w:val="es-ES_tradnl"/>
        </w:rPr>
        <w:t>telecomunicaciones y de radiodifusión</w:t>
      </w:r>
      <w:r w:rsidR="00E43832" w:rsidRPr="009640A4">
        <w:rPr>
          <w:rFonts w:ascii="ITC Avant Garde" w:hAnsi="ITC Avant Garde"/>
          <w:bCs/>
          <w:lang w:val="es-ES_tradnl"/>
        </w:rPr>
        <w:t xml:space="preserve"> que sea</w:t>
      </w:r>
      <w:r w:rsidR="00322378" w:rsidRPr="009640A4">
        <w:rPr>
          <w:rFonts w:ascii="ITC Avant Garde" w:hAnsi="ITC Avant Garde"/>
          <w:bCs/>
          <w:lang w:val="es-ES_tradnl"/>
        </w:rPr>
        <w:t xml:space="preserve"> técnicamente factible</w:t>
      </w:r>
      <w:r w:rsidR="00D247B5" w:rsidRPr="009640A4">
        <w:rPr>
          <w:rFonts w:ascii="ITC Avant Garde" w:hAnsi="ITC Avant Garde"/>
          <w:bCs/>
          <w:lang w:val="es-ES_tradnl"/>
        </w:rPr>
        <w:t>.</w:t>
      </w:r>
    </w:p>
    <w:p w:rsidR="009640A4" w:rsidRPr="009640A4" w:rsidRDefault="00322378" w:rsidP="009640A4">
      <w:pPr>
        <w:autoSpaceDE w:val="0"/>
        <w:autoSpaceDN w:val="0"/>
        <w:adjustRightInd w:val="0"/>
        <w:spacing w:before="240" w:line="240" w:lineRule="auto"/>
        <w:jc w:val="both"/>
        <w:rPr>
          <w:rFonts w:ascii="ITC Avant Garde" w:hAnsi="ITC Avant Garde"/>
          <w:bCs/>
          <w:color w:val="000000"/>
          <w:lang w:eastAsia="es-MX"/>
        </w:rPr>
      </w:pPr>
      <w:r w:rsidRPr="009640A4">
        <w:rPr>
          <w:rFonts w:ascii="ITC Avant Garde" w:hAnsi="ITC Avant Garde"/>
          <w:bCs/>
          <w:color w:val="000000"/>
          <w:lang w:eastAsia="es-MX"/>
        </w:rPr>
        <w:t xml:space="preserve">Lo anterior, sin perjuicio de las autorizaciones que deba obtener </w:t>
      </w:r>
      <w:r w:rsidR="002E1026" w:rsidRPr="009640A4">
        <w:rPr>
          <w:rFonts w:ascii="ITC Avant Garde" w:hAnsi="ITC Avant Garde"/>
          <w:bCs/>
        </w:rPr>
        <w:t>IP Matrix, S.A. de C.V.</w:t>
      </w:r>
      <w:r w:rsidR="00927E89" w:rsidRPr="009640A4">
        <w:rPr>
          <w:rFonts w:ascii="ITC Avant Garde" w:hAnsi="ITC Avant Garde"/>
          <w:bCs/>
          <w:color w:val="000000"/>
          <w:lang w:eastAsia="es-MX"/>
        </w:rPr>
        <w:t xml:space="preserve"> </w:t>
      </w:r>
      <w:r w:rsidRPr="009640A4">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9640A4" w:rsidRPr="009640A4" w:rsidRDefault="005D635A"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Cs/>
          <w:lang w:val="es-ES_tradnl"/>
        </w:rPr>
        <w:t xml:space="preserve">A fin de que el Instituto Federal de Telecomunicaciones expida el título de concesión señalado en el presente Resolutivo, </w:t>
      </w:r>
      <w:r w:rsidR="002E1026" w:rsidRPr="009640A4">
        <w:rPr>
          <w:rFonts w:ascii="ITC Avant Garde" w:hAnsi="ITC Avant Garde"/>
          <w:bCs/>
        </w:rPr>
        <w:t>IP Matrix, S.A. de C.V.</w:t>
      </w:r>
      <w:r w:rsidR="00927E89" w:rsidRPr="009640A4">
        <w:rPr>
          <w:rFonts w:ascii="ITC Avant Garde" w:hAnsi="ITC Avant Garde"/>
          <w:bCs/>
          <w:color w:val="000000"/>
          <w:lang w:eastAsia="es-MX"/>
        </w:rPr>
        <w:t xml:space="preserve"> </w:t>
      </w:r>
      <w:r w:rsidRPr="009640A4">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9640A4">
        <w:rPr>
          <w:rFonts w:ascii="ITC Avant Garde" w:hAnsi="ITC Avant Garde"/>
          <w:bCs/>
          <w:lang w:val="es-ES_tradnl"/>
        </w:rPr>
        <w:t xml:space="preserve">el Resolutivo </w:t>
      </w:r>
      <w:r w:rsidR="00117A98" w:rsidRPr="009640A4">
        <w:rPr>
          <w:rFonts w:ascii="ITC Avant Garde" w:hAnsi="ITC Avant Garde"/>
          <w:bCs/>
          <w:lang w:val="es-ES_tradnl"/>
        </w:rPr>
        <w:t>Segundo</w:t>
      </w:r>
      <w:r w:rsidR="00420A99" w:rsidRPr="009640A4">
        <w:rPr>
          <w:rFonts w:ascii="ITC Avant Garde" w:hAnsi="ITC Avant Garde"/>
          <w:bCs/>
          <w:lang w:val="es-ES_tradnl"/>
        </w:rPr>
        <w:t xml:space="preserve"> de la presente Resolución.</w:t>
      </w:r>
    </w:p>
    <w:p w:rsidR="009640A4" w:rsidRPr="009640A4" w:rsidRDefault="00D247B5"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
          <w:bCs/>
          <w:lang w:val="es-ES_tradnl"/>
        </w:rPr>
        <w:t>SEGUNDO.-</w:t>
      </w:r>
      <w:r w:rsidR="0049234D" w:rsidRPr="009640A4">
        <w:rPr>
          <w:rFonts w:ascii="ITC Avant Garde" w:hAnsi="ITC Avant Garde"/>
          <w:bCs/>
          <w:lang w:val="es-ES_tradnl"/>
        </w:rPr>
        <w:t xml:space="preserve"> S</w:t>
      </w:r>
      <w:r w:rsidRPr="009640A4">
        <w:rPr>
          <w:rFonts w:ascii="ITC Avant Garde" w:hAnsi="ITC Avant Garde"/>
          <w:bCs/>
          <w:lang w:val="es-ES_tradnl"/>
        </w:rPr>
        <w:t>e instruye a la Unidad de Concesiones y Servicios a hacer del conocimiento de</w:t>
      </w:r>
      <w:r w:rsidR="00530215" w:rsidRPr="009640A4">
        <w:rPr>
          <w:rFonts w:ascii="ITC Avant Garde" w:hAnsi="ITC Avant Garde"/>
          <w:bCs/>
          <w:lang w:val="es-ES_tradnl"/>
        </w:rPr>
        <w:t xml:space="preserve"> </w:t>
      </w:r>
      <w:r w:rsidR="002E1026" w:rsidRPr="009640A4">
        <w:rPr>
          <w:rFonts w:ascii="ITC Avant Garde" w:hAnsi="ITC Avant Garde"/>
          <w:bCs/>
        </w:rPr>
        <w:t>IP Matrix, S.A. de C.V.</w:t>
      </w:r>
      <w:r w:rsidRPr="009640A4">
        <w:rPr>
          <w:rFonts w:ascii="ITC Avant Garde" w:hAnsi="ITC Avant Garde"/>
          <w:bCs/>
          <w:lang w:val="es-ES_tradnl"/>
        </w:rPr>
        <w:t xml:space="preserve"> </w:t>
      </w:r>
      <w:r w:rsidR="00117A98" w:rsidRPr="009640A4">
        <w:rPr>
          <w:rFonts w:ascii="ITC Avant Garde" w:hAnsi="ITC Avant Garde"/>
          <w:bCs/>
          <w:lang w:val="es-ES_tradnl"/>
        </w:rPr>
        <w:t xml:space="preserve">la presente Resolución, así como las nuevas condiciones establecidas en el </w:t>
      </w:r>
      <w:r w:rsidRPr="009640A4">
        <w:rPr>
          <w:rFonts w:ascii="ITC Avant Garde" w:hAnsi="ITC Avant Garde"/>
          <w:bCs/>
          <w:lang w:val="es-ES_tradnl"/>
        </w:rPr>
        <w:t>proyecto de título de concesión única señalado en el Resolutivo</w:t>
      </w:r>
      <w:r w:rsidR="0049234D" w:rsidRPr="009640A4">
        <w:rPr>
          <w:rFonts w:ascii="ITC Avant Garde" w:hAnsi="ITC Avant Garde"/>
          <w:bCs/>
          <w:lang w:val="es-ES_tradnl"/>
        </w:rPr>
        <w:t xml:space="preserve"> Primero</w:t>
      </w:r>
      <w:r w:rsidR="00117A98" w:rsidRPr="009640A4">
        <w:rPr>
          <w:rFonts w:ascii="ITC Avant Garde" w:hAnsi="ITC Avant Garde"/>
          <w:bCs/>
          <w:lang w:val="es-ES_tradnl"/>
        </w:rPr>
        <w:t xml:space="preserve"> y que forma parte integral de la presente Resolución</w:t>
      </w:r>
      <w:r w:rsidRPr="009640A4">
        <w:rPr>
          <w:rFonts w:ascii="ITC Avant Garde" w:hAnsi="ITC Avant Garde"/>
          <w:bCs/>
          <w:lang w:val="es-ES_tradnl"/>
        </w:rPr>
        <w:t>, a efecto de recabar de ést</w:t>
      </w:r>
      <w:r w:rsidR="00530215" w:rsidRPr="009640A4">
        <w:rPr>
          <w:rFonts w:ascii="ITC Avant Garde" w:hAnsi="ITC Avant Garde"/>
          <w:bCs/>
          <w:lang w:val="es-ES_tradnl"/>
        </w:rPr>
        <w:t>a</w:t>
      </w:r>
      <w:r w:rsidRPr="009640A4">
        <w:rPr>
          <w:rFonts w:ascii="ITC Avant Garde" w:hAnsi="ITC Avant Garde"/>
          <w:bCs/>
          <w:lang w:val="es-ES_tradnl"/>
        </w:rPr>
        <w:t xml:space="preserve">, en un plazo no mayor a 15 (quince) días </w:t>
      </w:r>
      <w:r w:rsidR="002F3E29" w:rsidRPr="009640A4">
        <w:rPr>
          <w:rFonts w:ascii="ITC Avant Garde" w:hAnsi="ITC Avant Garde"/>
          <w:bCs/>
          <w:lang w:val="es-ES_tradnl"/>
        </w:rPr>
        <w:t>hábiles</w:t>
      </w:r>
      <w:r w:rsidRPr="009640A4">
        <w:rPr>
          <w:rFonts w:ascii="ITC Avant Garde" w:hAnsi="ITC Avant Garde"/>
          <w:bCs/>
          <w:lang w:val="es-ES_tradnl"/>
        </w:rPr>
        <w:t xml:space="preserve"> contados a partir de</w:t>
      </w:r>
      <w:r w:rsidR="00A363DC" w:rsidRPr="009640A4">
        <w:rPr>
          <w:rFonts w:ascii="ITC Avant Garde" w:hAnsi="ITC Avant Garde"/>
          <w:bCs/>
          <w:lang w:val="es-ES_tradnl"/>
        </w:rPr>
        <w:t>l día siguiente a aquel en</w:t>
      </w:r>
      <w:r w:rsidR="00117A98" w:rsidRPr="009640A4">
        <w:rPr>
          <w:rFonts w:ascii="ITC Avant Garde" w:hAnsi="ITC Avant Garde"/>
          <w:bCs/>
          <w:lang w:val="es-ES_tradnl"/>
        </w:rPr>
        <w:t xml:space="preserve"> que surta efectos</w:t>
      </w:r>
      <w:r w:rsidRPr="009640A4">
        <w:rPr>
          <w:rFonts w:ascii="ITC Avant Garde" w:hAnsi="ITC Avant Garde"/>
          <w:bCs/>
          <w:lang w:val="es-ES_tradnl"/>
        </w:rPr>
        <w:t xml:space="preserve"> la notificación respectiva, su </w:t>
      </w:r>
      <w:r w:rsidR="00117A98" w:rsidRPr="009640A4">
        <w:rPr>
          <w:rFonts w:ascii="ITC Avant Garde" w:hAnsi="ITC Avant Garde"/>
          <w:bCs/>
          <w:lang w:val="es-ES_tradnl"/>
        </w:rPr>
        <w:t>aceptación expresa e indubitable de las nuevas condiciones.</w:t>
      </w:r>
    </w:p>
    <w:p w:rsidR="009640A4" w:rsidRPr="009640A4" w:rsidRDefault="00D247B5"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Cs/>
          <w:lang w:val="es-ES_tradnl"/>
        </w:rPr>
        <w:t>En caso de que no se reciba por parte de</w:t>
      </w:r>
      <w:r w:rsidR="00530215" w:rsidRPr="009640A4">
        <w:rPr>
          <w:rFonts w:ascii="ITC Avant Garde" w:hAnsi="ITC Avant Garde"/>
          <w:bCs/>
          <w:lang w:val="es-ES_tradnl"/>
        </w:rPr>
        <w:t xml:space="preserve"> </w:t>
      </w:r>
      <w:r w:rsidR="002E1026" w:rsidRPr="009640A4">
        <w:rPr>
          <w:rFonts w:ascii="ITC Avant Garde" w:hAnsi="ITC Avant Garde"/>
          <w:bCs/>
        </w:rPr>
        <w:t>IP Matrix, S.A. de C.V.</w:t>
      </w:r>
      <w:r w:rsidRPr="009640A4">
        <w:rPr>
          <w:rFonts w:ascii="ITC Avant Garde" w:hAnsi="ITC Avant Garde"/>
          <w:bCs/>
          <w:lang w:val="es-ES_tradnl"/>
        </w:rPr>
        <w:t xml:space="preserve">, la aceptación </w:t>
      </w:r>
      <w:r w:rsidR="00117A98" w:rsidRPr="009640A4">
        <w:rPr>
          <w:rFonts w:ascii="ITC Avant Garde" w:hAnsi="ITC Avant Garde"/>
          <w:bCs/>
          <w:lang w:val="es-ES_tradnl"/>
        </w:rPr>
        <w:t xml:space="preserve">referida </w:t>
      </w:r>
      <w:r w:rsidRPr="009640A4">
        <w:rPr>
          <w:rFonts w:ascii="ITC Avant Garde" w:hAnsi="ITC Avant Garde"/>
          <w:bCs/>
          <w:lang w:val="es-ES_tradnl"/>
        </w:rPr>
        <w:t xml:space="preserve">dentro del plazo establecido, la </w:t>
      </w:r>
      <w:r w:rsidR="00117A98" w:rsidRPr="009640A4">
        <w:rPr>
          <w:rFonts w:ascii="ITC Avant Garde" w:hAnsi="ITC Avant Garde"/>
          <w:bCs/>
          <w:lang w:val="es-ES_tradnl"/>
        </w:rPr>
        <w:t>presente Resolución quedará sin efectos y, en consecuencia, se tendrá por negada la prórroga de vigencia solicitada.</w:t>
      </w:r>
    </w:p>
    <w:p w:rsidR="009640A4" w:rsidRPr="009640A4" w:rsidRDefault="00D247B5" w:rsidP="009640A4">
      <w:pPr>
        <w:spacing w:before="240" w:line="240" w:lineRule="auto"/>
        <w:jc w:val="both"/>
        <w:rPr>
          <w:rFonts w:ascii="ITC Avant Garde" w:hAnsi="ITC Avant Garde"/>
          <w:bCs/>
          <w:lang w:val="es-ES_tradnl"/>
        </w:rPr>
      </w:pPr>
      <w:r w:rsidRPr="009640A4">
        <w:rPr>
          <w:rFonts w:ascii="ITC Avant Garde" w:hAnsi="ITC Avant Garde"/>
          <w:b/>
          <w:bCs/>
          <w:lang w:val="es-ES_tradnl"/>
        </w:rPr>
        <w:t>TERCERO.-</w:t>
      </w:r>
      <w:r w:rsidRPr="009640A4">
        <w:rPr>
          <w:rFonts w:ascii="ITC Avant Garde" w:hAnsi="ITC Avant Garde"/>
          <w:bCs/>
          <w:lang w:val="es-ES_tradnl"/>
        </w:rPr>
        <w:t xml:space="preserve"> Una vez satisfecho lo establecido </w:t>
      </w:r>
      <w:r w:rsidR="00262ECF" w:rsidRPr="009640A4">
        <w:rPr>
          <w:rFonts w:ascii="ITC Avant Garde" w:hAnsi="ITC Avant Garde"/>
          <w:bCs/>
          <w:lang w:val="es-ES_tradnl"/>
        </w:rPr>
        <w:t>por</w:t>
      </w:r>
      <w:r w:rsidRPr="009640A4">
        <w:rPr>
          <w:rFonts w:ascii="ITC Avant Garde" w:hAnsi="ITC Avant Garde"/>
          <w:bCs/>
          <w:lang w:val="es-ES_tradnl"/>
        </w:rPr>
        <w:t xml:space="preserve"> </w:t>
      </w:r>
      <w:r w:rsidR="00262ECF" w:rsidRPr="009640A4">
        <w:rPr>
          <w:rFonts w:ascii="ITC Avant Garde" w:hAnsi="ITC Avant Garde"/>
          <w:bCs/>
          <w:lang w:val="es-ES_tradnl"/>
        </w:rPr>
        <w:t>los</w:t>
      </w:r>
      <w:r w:rsidRPr="009640A4">
        <w:rPr>
          <w:rFonts w:ascii="ITC Avant Garde" w:hAnsi="ITC Avant Garde"/>
          <w:bCs/>
          <w:lang w:val="es-ES_tradnl"/>
        </w:rPr>
        <w:t xml:space="preserve"> Resolutivo</w:t>
      </w:r>
      <w:r w:rsidR="00262ECF" w:rsidRPr="009640A4">
        <w:rPr>
          <w:rFonts w:ascii="ITC Avant Garde" w:hAnsi="ITC Avant Garde"/>
          <w:bCs/>
          <w:lang w:val="es-ES_tradnl"/>
        </w:rPr>
        <w:t>s</w:t>
      </w:r>
      <w:r w:rsidRPr="009640A4">
        <w:rPr>
          <w:rFonts w:ascii="ITC Avant Garde" w:hAnsi="ITC Avant Garde"/>
          <w:bCs/>
          <w:lang w:val="es-ES_tradnl"/>
        </w:rPr>
        <w:t xml:space="preserve"> </w:t>
      </w:r>
      <w:r w:rsidR="00262ECF" w:rsidRPr="009640A4">
        <w:rPr>
          <w:rFonts w:ascii="ITC Avant Garde" w:hAnsi="ITC Avant Garde"/>
          <w:bCs/>
          <w:lang w:val="es-ES_tradnl"/>
        </w:rPr>
        <w:t xml:space="preserve">Primero cuarto párrafo y </w:t>
      </w:r>
      <w:r w:rsidRPr="009640A4">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9640A4" w:rsidRPr="009640A4" w:rsidRDefault="00A57196"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Cs/>
          <w:lang w:val="es-ES_tradnl"/>
        </w:rPr>
        <w:t>Concluido lo anterior, s</w:t>
      </w:r>
      <w:r w:rsidR="00D247B5" w:rsidRPr="009640A4">
        <w:rPr>
          <w:rFonts w:ascii="ITC Avant Garde" w:hAnsi="ITC Avant Garde"/>
          <w:bCs/>
          <w:lang w:val="es-ES_tradnl"/>
        </w:rPr>
        <w:t>e instruye a la Unidad de Concesiones y Servicios a notificar a</w:t>
      </w:r>
      <w:r w:rsidR="00530215" w:rsidRPr="009640A4">
        <w:rPr>
          <w:rFonts w:ascii="ITC Avant Garde" w:hAnsi="ITC Avant Garde"/>
          <w:bCs/>
          <w:lang w:val="es-ES_tradnl"/>
        </w:rPr>
        <w:t xml:space="preserve"> </w:t>
      </w:r>
      <w:r w:rsidR="002E1026" w:rsidRPr="009640A4">
        <w:rPr>
          <w:rFonts w:ascii="ITC Avant Garde" w:hAnsi="ITC Avant Garde"/>
          <w:bCs/>
        </w:rPr>
        <w:t>IP Matrix, S.A. de C.V.</w:t>
      </w:r>
      <w:r w:rsidR="00D247B5" w:rsidRPr="009640A4">
        <w:rPr>
          <w:rFonts w:ascii="ITC Avant Garde" w:hAnsi="ITC Avant Garde"/>
          <w:bCs/>
          <w:lang w:val="es-ES_tradnl"/>
        </w:rPr>
        <w:t>, de ser el caso, el título de concesión única a que se refiere la presente Resolución.</w:t>
      </w:r>
    </w:p>
    <w:p w:rsidR="009640A4" w:rsidRPr="009640A4" w:rsidRDefault="00A57196"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
          <w:bCs/>
          <w:lang w:val="es-ES_tradnl"/>
        </w:rPr>
        <w:t>CUARTO</w:t>
      </w:r>
      <w:r w:rsidR="00D247B5" w:rsidRPr="009640A4">
        <w:rPr>
          <w:rFonts w:ascii="ITC Avant Garde" w:hAnsi="ITC Avant Garde"/>
          <w:b/>
          <w:bCs/>
          <w:lang w:val="es-ES_tradnl"/>
        </w:rPr>
        <w:t>.-</w:t>
      </w:r>
      <w:r w:rsidR="00D247B5" w:rsidRPr="009640A4">
        <w:rPr>
          <w:rFonts w:ascii="ITC Avant Garde" w:hAnsi="ITC Avant Garde"/>
          <w:bCs/>
          <w:lang w:val="es-ES_tradnl"/>
        </w:rPr>
        <w:t xml:space="preserve"> Inscríbase en el Registro Público de Concesiones el título de concesión única </w:t>
      </w:r>
      <w:r w:rsidR="00FD1371" w:rsidRPr="009640A4">
        <w:rPr>
          <w:rFonts w:ascii="ITC Avant Garde" w:hAnsi="ITC Avant Garde"/>
          <w:bCs/>
          <w:lang w:val="es-ES_tradnl"/>
        </w:rPr>
        <w:t>que en su caso se otorgue</w:t>
      </w:r>
      <w:r w:rsidR="00D247B5" w:rsidRPr="009640A4">
        <w:rPr>
          <w:rFonts w:ascii="ITC Avant Garde" w:hAnsi="ITC Avant Garde"/>
          <w:bCs/>
          <w:lang w:val="es-ES_tradnl"/>
        </w:rPr>
        <w:t>, una vez que sea debidamente entregado a</w:t>
      </w:r>
      <w:r w:rsidR="00530215" w:rsidRPr="009640A4">
        <w:rPr>
          <w:rFonts w:ascii="ITC Avant Garde" w:hAnsi="ITC Avant Garde"/>
          <w:bCs/>
          <w:lang w:val="es-ES_tradnl"/>
        </w:rPr>
        <w:t xml:space="preserve"> </w:t>
      </w:r>
      <w:r w:rsidR="00D247B5" w:rsidRPr="009640A4">
        <w:rPr>
          <w:rFonts w:ascii="ITC Avant Garde" w:hAnsi="ITC Avant Garde"/>
          <w:bCs/>
          <w:lang w:val="es-ES_tradnl"/>
        </w:rPr>
        <w:t>l</w:t>
      </w:r>
      <w:r w:rsidR="00530215" w:rsidRPr="009640A4">
        <w:rPr>
          <w:rFonts w:ascii="ITC Avant Garde" w:hAnsi="ITC Avant Garde"/>
          <w:bCs/>
          <w:lang w:val="es-ES_tradnl"/>
        </w:rPr>
        <w:t>a interesada</w:t>
      </w:r>
      <w:r w:rsidR="00927E89" w:rsidRPr="009640A4">
        <w:rPr>
          <w:rFonts w:ascii="ITC Avant Garde" w:hAnsi="ITC Avant Garde"/>
          <w:bCs/>
          <w:lang w:val="es-ES_tradnl"/>
        </w:rPr>
        <w:t>.</w:t>
      </w:r>
    </w:p>
    <w:p w:rsidR="00927E89" w:rsidRPr="009640A4" w:rsidRDefault="00927E89" w:rsidP="009640A4">
      <w:pPr>
        <w:autoSpaceDE w:val="0"/>
        <w:autoSpaceDN w:val="0"/>
        <w:adjustRightInd w:val="0"/>
        <w:spacing w:before="240" w:line="240" w:lineRule="auto"/>
        <w:jc w:val="both"/>
        <w:rPr>
          <w:rFonts w:ascii="ITC Avant Garde" w:hAnsi="ITC Avant Garde"/>
          <w:bCs/>
          <w:lang w:val="es-ES_tradnl"/>
        </w:rPr>
      </w:pPr>
      <w:r w:rsidRPr="009640A4">
        <w:rPr>
          <w:rFonts w:ascii="ITC Avant Garde" w:hAnsi="ITC Avant Garde"/>
          <w:b/>
          <w:bCs/>
          <w:lang w:val="es-ES_tradnl"/>
        </w:rPr>
        <w:lastRenderedPageBreak/>
        <w:t>QUINTO.-</w:t>
      </w:r>
      <w:r w:rsidRPr="009640A4">
        <w:rPr>
          <w:rFonts w:ascii="ITC Avant Garde" w:hAnsi="ITC Avant Garde"/>
          <w:bCs/>
          <w:lang w:val="es-ES_tradnl"/>
        </w:rPr>
        <w:t xml:space="preserve"> </w:t>
      </w:r>
      <w:r w:rsidR="002E1026" w:rsidRPr="009640A4">
        <w:rPr>
          <w:rFonts w:ascii="ITC Avant Garde" w:hAnsi="ITC Avant Garde"/>
          <w:bCs/>
        </w:rPr>
        <w:t xml:space="preserve">IP </w:t>
      </w:r>
      <w:proofErr w:type="spellStart"/>
      <w:r w:rsidR="002E1026" w:rsidRPr="009640A4">
        <w:rPr>
          <w:rFonts w:ascii="ITC Avant Garde" w:hAnsi="ITC Avant Garde"/>
          <w:bCs/>
        </w:rPr>
        <w:t>Matrix</w:t>
      </w:r>
      <w:proofErr w:type="spellEnd"/>
      <w:r w:rsidR="002E1026" w:rsidRPr="009640A4">
        <w:rPr>
          <w:rFonts w:ascii="ITC Avant Garde" w:hAnsi="ITC Avant Garde"/>
          <w:bCs/>
        </w:rPr>
        <w:t>, S.A. de C.V.</w:t>
      </w:r>
      <w:r w:rsidRPr="009640A4">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1F7364" w:rsidRPr="009640A4" w:rsidRDefault="001F7364" w:rsidP="009640A4">
      <w:pPr>
        <w:spacing w:before="240" w:line="240" w:lineRule="auto"/>
        <w:jc w:val="both"/>
        <w:rPr>
          <w:rFonts w:ascii="ITC Avant Garde" w:hAnsi="ITC Avant Garde"/>
          <w:iCs/>
          <w:sz w:val="16"/>
        </w:rPr>
      </w:pPr>
      <w:r w:rsidRPr="009640A4">
        <w:rPr>
          <w:rFonts w:ascii="ITC Avant Garde" w:hAnsi="ITC Avant Garde"/>
          <w:sz w:val="14"/>
          <w:szCs w:val="20"/>
        </w:rPr>
        <w:t>La presente Resolución fue aprobada por el Pleno del Instituto Federal de Telecomunicaciones en su XXX Sesión Ordinaria celebrada el 13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P/IFT/130916/483.</w:t>
      </w:r>
      <w:bookmarkStart w:id="0" w:name="_GoBack"/>
      <w:bookmarkEnd w:id="0"/>
    </w:p>
    <w:sectPr w:rsidR="001F7364" w:rsidRPr="009640A4" w:rsidSect="001C1E4D">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11" w:rsidRDefault="00907211" w:rsidP="00072BC8">
      <w:pPr>
        <w:spacing w:after="0" w:line="240" w:lineRule="auto"/>
      </w:pPr>
      <w:r>
        <w:separator/>
      </w:r>
    </w:p>
  </w:endnote>
  <w:endnote w:type="continuationSeparator" w:id="0">
    <w:p w:rsidR="00907211" w:rsidRDefault="0090721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B048BA" w:rsidP="00B048BA">
    <w:pPr>
      <w:ind w:left="5670" w:right="49"/>
      <w:jc w:val="right"/>
      <w:rPr>
        <w:sz w:val="18"/>
        <w:szCs w:val="18"/>
      </w:rPr>
    </w:pPr>
    <w:r w:rsidRPr="004C7979">
      <w:rPr>
        <w:rFonts w:ascii="ITC Avant Garde" w:hAnsi="ITC Avant Garde" w:cs="Calibri"/>
        <w:sz w:val="18"/>
        <w:szCs w:val="18"/>
      </w:rPr>
      <w:t xml:space="preserve">Página </w:t>
    </w:r>
    <w:r w:rsidR="003C2264"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3C2264" w:rsidRPr="004C7979">
      <w:rPr>
        <w:rFonts w:ascii="ITC Avant Garde" w:hAnsi="ITC Avant Garde" w:cs="Calibri"/>
        <w:sz w:val="18"/>
        <w:szCs w:val="18"/>
      </w:rPr>
      <w:fldChar w:fldCharType="separate"/>
    </w:r>
    <w:r w:rsidR="009640A4">
      <w:rPr>
        <w:rFonts w:ascii="ITC Avant Garde" w:hAnsi="ITC Avant Garde" w:cs="Calibri"/>
        <w:noProof/>
        <w:sz w:val="18"/>
        <w:szCs w:val="18"/>
      </w:rPr>
      <w:t>11</w:t>
    </w:r>
    <w:r w:rsidR="003C2264"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3C2264"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3C2264" w:rsidRPr="004C7979">
      <w:rPr>
        <w:rFonts w:ascii="ITC Avant Garde" w:hAnsi="ITC Avant Garde" w:cs="Calibri"/>
        <w:sz w:val="18"/>
        <w:szCs w:val="18"/>
      </w:rPr>
      <w:fldChar w:fldCharType="separate"/>
    </w:r>
    <w:r w:rsidR="009640A4">
      <w:rPr>
        <w:rFonts w:ascii="ITC Avant Garde" w:hAnsi="ITC Avant Garde" w:cs="Calibri"/>
        <w:noProof/>
        <w:sz w:val="18"/>
        <w:szCs w:val="18"/>
      </w:rPr>
      <w:t>11</w:t>
    </w:r>
    <w:r w:rsidR="003C226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11" w:rsidRDefault="00907211" w:rsidP="00072BC8">
      <w:pPr>
        <w:spacing w:after="0" w:line="240" w:lineRule="auto"/>
      </w:pPr>
      <w:r>
        <w:separator/>
      </w:r>
    </w:p>
  </w:footnote>
  <w:footnote w:type="continuationSeparator" w:id="0">
    <w:p w:rsidR="00907211" w:rsidRDefault="0090721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907211">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907211">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0254016"/>
    <w:multiLevelType w:val="hybridMultilevel"/>
    <w:tmpl w:val="7AA23B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6"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13"/>
  </w:num>
  <w:num w:numId="6">
    <w:abstractNumId w:val="9"/>
  </w:num>
  <w:num w:numId="7">
    <w:abstractNumId w:val="12"/>
  </w:num>
  <w:num w:numId="8">
    <w:abstractNumId w:val="1"/>
  </w:num>
  <w:num w:numId="9">
    <w:abstractNumId w:val="5"/>
  </w:num>
  <w:num w:numId="10">
    <w:abstractNumId w:val="2"/>
  </w:num>
  <w:num w:numId="11">
    <w:abstractNumId w:val="7"/>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1657"/>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1B35"/>
    <w:rsid w:val="00072221"/>
    <w:rsid w:val="00072BC8"/>
    <w:rsid w:val="00072D11"/>
    <w:rsid w:val="00074C09"/>
    <w:rsid w:val="00076C82"/>
    <w:rsid w:val="00077D26"/>
    <w:rsid w:val="00081966"/>
    <w:rsid w:val="000837C7"/>
    <w:rsid w:val="00084DA2"/>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2C0D"/>
    <w:rsid w:val="000E4324"/>
    <w:rsid w:val="000E520E"/>
    <w:rsid w:val="000E61D7"/>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4FB9"/>
    <w:rsid w:val="001B58A1"/>
    <w:rsid w:val="001B5DA7"/>
    <w:rsid w:val="001B6AFB"/>
    <w:rsid w:val="001C085E"/>
    <w:rsid w:val="001C0ECC"/>
    <w:rsid w:val="001C15FF"/>
    <w:rsid w:val="001C1E4D"/>
    <w:rsid w:val="001C1F38"/>
    <w:rsid w:val="001C5C6E"/>
    <w:rsid w:val="001C71A8"/>
    <w:rsid w:val="001D01EC"/>
    <w:rsid w:val="001D1AAF"/>
    <w:rsid w:val="001D2B0C"/>
    <w:rsid w:val="001D4B81"/>
    <w:rsid w:val="001E09CF"/>
    <w:rsid w:val="001E10A0"/>
    <w:rsid w:val="001E12F9"/>
    <w:rsid w:val="001E285C"/>
    <w:rsid w:val="001F4FB8"/>
    <w:rsid w:val="001F5873"/>
    <w:rsid w:val="001F631A"/>
    <w:rsid w:val="001F7364"/>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1F"/>
    <w:rsid w:val="0023752B"/>
    <w:rsid w:val="00240FB7"/>
    <w:rsid w:val="00244C43"/>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026"/>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761B9"/>
    <w:rsid w:val="003823F6"/>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27B"/>
    <w:rsid w:val="003A19FB"/>
    <w:rsid w:val="003A1B0D"/>
    <w:rsid w:val="003B173B"/>
    <w:rsid w:val="003B22D6"/>
    <w:rsid w:val="003B24BD"/>
    <w:rsid w:val="003C2264"/>
    <w:rsid w:val="003C29D1"/>
    <w:rsid w:val="003C63D2"/>
    <w:rsid w:val="003D0457"/>
    <w:rsid w:val="003D6094"/>
    <w:rsid w:val="003D6547"/>
    <w:rsid w:val="003D6904"/>
    <w:rsid w:val="003D7098"/>
    <w:rsid w:val="003E16DF"/>
    <w:rsid w:val="003E4054"/>
    <w:rsid w:val="003E4F3A"/>
    <w:rsid w:val="003E5255"/>
    <w:rsid w:val="003E5B75"/>
    <w:rsid w:val="003E5D06"/>
    <w:rsid w:val="003E76B5"/>
    <w:rsid w:val="003F3126"/>
    <w:rsid w:val="003F3844"/>
    <w:rsid w:val="003F44B8"/>
    <w:rsid w:val="003F6DC0"/>
    <w:rsid w:val="003F7206"/>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540"/>
    <w:rsid w:val="004424A1"/>
    <w:rsid w:val="00446853"/>
    <w:rsid w:val="00446858"/>
    <w:rsid w:val="00450A26"/>
    <w:rsid w:val="00451840"/>
    <w:rsid w:val="00451ABF"/>
    <w:rsid w:val="00453E39"/>
    <w:rsid w:val="00454A27"/>
    <w:rsid w:val="004618A2"/>
    <w:rsid w:val="0046197C"/>
    <w:rsid w:val="00461DE8"/>
    <w:rsid w:val="00462384"/>
    <w:rsid w:val="00463989"/>
    <w:rsid w:val="004639FC"/>
    <w:rsid w:val="00464B31"/>
    <w:rsid w:val="004664D9"/>
    <w:rsid w:val="00466569"/>
    <w:rsid w:val="0047049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4CA9"/>
    <w:rsid w:val="005D635A"/>
    <w:rsid w:val="005D725D"/>
    <w:rsid w:val="005D7D7C"/>
    <w:rsid w:val="005E051B"/>
    <w:rsid w:val="005E164A"/>
    <w:rsid w:val="005E24AA"/>
    <w:rsid w:val="005E39AD"/>
    <w:rsid w:val="005E4149"/>
    <w:rsid w:val="005E462B"/>
    <w:rsid w:val="005E5AB3"/>
    <w:rsid w:val="005F01AE"/>
    <w:rsid w:val="005F2A3E"/>
    <w:rsid w:val="005F3477"/>
    <w:rsid w:val="005F351F"/>
    <w:rsid w:val="005F4721"/>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07DC"/>
    <w:rsid w:val="0062270B"/>
    <w:rsid w:val="0062349E"/>
    <w:rsid w:val="00626C94"/>
    <w:rsid w:val="006305D5"/>
    <w:rsid w:val="00632357"/>
    <w:rsid w:val="00635CF3"/>
    <w:rsid w:val="00636E5E"/>
    <w:rsid w:val="00640E6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408F"/>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27078"/>
    <w:rsid w:val="00731103"/>
    <w:rsid w:val="00731E80"/>
    <w:rsid w:val="007350D4"/>
    <w:rsid w:val="00736263"/>
    <w:rsid w:val="00742C59"/>
    <w:rsid w:val="00744CF4"/>
    <w:rsid w:val="0074689A"/>
    <w:rsid w:val="0074779B"/>
    <w:rsid w:val="007504EE"/>
    <w:rsid w:val="00750D1B"/>
    <w:rsid w:val="007547AB"/>
    <w:rsid w:val="00754C28"/>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3D2"/>
    <w:rsid w:val="00786F8D"/>
    <w:rsid w:val="0078754F"/>
    <w:rsid w:val="007879A4"/>
    <w:rsid w:val="00787F5B"/>
    <w:rsid w:val="00791FC6"/>
    <w:rsid w:val="007942D6"/>
    <w:rsid w:val="00796139"/>
    <w:rsid w:val="00797216"/>
    <w:rsid w:val="007A1826"/>
    <w:rsid w:val="007A3687"/>
    <w:rsid w:val="007A3A77"/>
    <w:rsid w:val="007A670C"/>
    <w:rsid w:val="007A6F80"/>
    <w:rsid w:val="007A7CF1"/>
    <w:rsid w:val="007A7DA0"/>
    <w:rsid w:val="007B28C2"/>
    <w:rsid w:val="007B3FEC"/>
    <w:rsid w:val="007B5437"/>
    <w:rsid w:val="007B67A2"/>
    <w:rsid w:val="007B7D80"/>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71CA"/>
    <w:rsid w:val="00800D47"/>
    <w:rsid w:val="00801866"/>
    <w:rsid w:val="00803BC5"/>
    <w:rsid w:val="00804013"/>
    <w:rsid w:val="00804A04"/>
    <w:rsid w:val="0080680A"/>
    <w:rsid w:val="00806AF4"/>
    <w:rsid w:val="00807FBE"/>
    <w:rsid w:val="00813D1F"/>
    <w:rsid w:val="008147F1"/>
    <w:rsid w:val="00817BEA"/>
    <w:rsid w:val="00824E5F"/>
    <w:rsid w:val="0082518F"/>
    <w:rsid w:val="008264BA"/>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285"/>
    <w:rsid w:val="008903AD"/>
    <w:rsid w:val="008906B3"/>
    <w:rsid w:val="008930EA"/>
    <w:rsid w:val="0089347D"/>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22DC"/>
    <w:rsid w:val="008D3CAD"/>
    <w:rsid w:val="008D4681"/>
    <w:rsid w:val="008D733B"/>
    <w:rsid w:val="008E2F50"/>
    <w:rsid w:val="008E405B"/>
    <w:rsid w:val="008E7D10"/>
    <w:rsid w:val="008F1358"/>
    <w:rsid w:val="008F2DBC"/>
    <w:rsid w:val="008F318F"/>
    <w:rsid w:val="008F5FE1"/>
    <w:rsid w:val="009046C4"/>
    <w:rsid w:val="0090537E"/>
    <w:rsid w:val="009061F9"/>
    <w:rsid w:val="00906442"/>
    <w:rsid w:val="00906D98"/>
    <w:rsid w:val="00907000"/>
    <w:rsid w:val="00907211"/>
    <w:rsid w:val="0091001A"/>
    <w:rsid w:val="00912184"/>
    <w:rsid w:val="00912C6D"/>
    <w:rsid w:val="009133DA"/>
    <w:rsid w:val="00916A7E"/>
    <w:rsid w:val="009174E7"/>
    <w:rsid w:val="00920E19"/>
    <w:rsid w:val="009212B6"/>
    <w:rsid w:val="0092175A"/>
    <w:rsid w:val="00927105"/>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A95"/>
    <w:rsid w:val="00955B3A"/>
    <w:rsid w:val="00956091"/>
    <w:rsid w:val="00957776"/>
    <w:rsid w:val="00960487"/>
    <w:rsid w:val="00961188"/>
    <w:rsid w:val="009640A4"/>
    <w:rsid w:val="00966F88"/>
    <w:rsid w:val="009704F1"/>
    <w:rsid w:val="00971375"/>
    <w:rsid w:val="0097164F"/>
    <w:rsid w:val="009804FF"/>
    <w:rsid w:val="00981B4D"/>
    <w:rsid w:val="009825A8"/>
    <w:rsid w:val="009825EF"/>
    <w:rsid w:val="00982A3D"/>
    <w:rsid w:val="00986DCC"/>
    <w:rsid w:val="00987AE0"/>
    <w:rsid w:val="00990A4B"/>
    <w:rsid w:val="00994EDD"/>
    <w:rsid w:val="00995961"/>
    <w:rsid w:val="009A024C"/>
    <w:rsid w:val="009A16BE"/>
    <w:rsid w:val="009A1B52"/>
    <w:rsid w:val="009A2393"/>
    <w:rsid w:val="009B068D"/>
    <w:rsid w:val="009B0DC5"/>
    <w:rsid w:val="009B3ABA"/>
    <w:rsid w:val="009B4AB1"/>
    <w:rsid w:val="009B5408"/>
    <w:rsid w:val="009C2225"/>
    <w:rsid w:val="009C2967"/>
    <w:rsid w:val="009C2D6B"/>
    <w:rsid w:val="009C4586"/>
    <w:rsid w:val="009C63A8"/>
    <w:rsid w:val="009C7C3B"/>
    <w:rsid w:val="009D2655"/>
    <w:rsid w:val="009D2F6F"/>
    <w:rsid w:val="009D4723"/>
    <w:rsid w:val="009D5C4F"/>
    <w:rsid w:val="009D7960"/>
    <w:rsid w:val="009E0304"/>
    <w:rsid w:val="009E1F80"/>
    <w:rsid w:val="009E2859"/>
    <w:rsid w:val="009E380D"/>
    <w:rsid w:val="009E425A"/>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0B19"/>
    <w:rsid w:val="00AB22AA"/>
    <w:rsid w:val="00AB3268"/>
    <w:rsid w:val="00AC27C4"/>
    <w:rsid w:val="00AC4BDE"/>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43E4"/>
    <w:rsid w:val="00B16C45"/>
    <w:rsid w:val="00B2113E"/>
    <w:rsid w:val="00B243C9"/>
    <w:rsid w:val="00B24C46"/>
    <w:rsid w:val="00B26762"/>
    <w:rsid w:val="00B30542"/>
    <w:rsid w:val="00B305CA"/>
    <w:rsid w:val="00B32A54"/>
    <w:rsid w:val="00B41491"/>
    <w:rsid w:val="00B422C4"/>
    <w:rsid w:val="00B43E6E"/>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290E"/>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776"/>
    <w:rsid w:val="00C7098A"/>
    <w:rsid w:val="00C7171B"/>
    <w:rsid w:val="00C72CA8"/>
    <w:rsid w:val="00C73945"/>
    <w:rsid w:val="00C74103"/>
    <w:rsid w:val="00C76F03"/>
    <w:rsid w:val="00C775CE"/>
    <w:rsid w:val="00C8028F"/>
    <w:rsid w:val="00C80515"/>
    <w:rsid w:val="00C844A5"/>
    <w:rsid w:val="00C849FF"/>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1AC7"/>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6B1F"/>
    <w:rsid w:val="00E17EBE"/>
    <w:rsid w:val="00E204A3"/>
    <w:rsid w:val="00E24D34"/>
    <w:rsid w:val="00E2673D"/>
    <w:rsid w:val="00E31D06"/>
    <w:rsid w:val="00E3789C"/>
    <w:rsid w:val="00E40091"/>
    <w:rsid w:val="00E400B5"/>
    <w:rsid w:val="00E40F14"/>
    <w:rsid w:val="00E43829"/>
    <w:rsid w:val="00E43832"/>
    <w:rsid w:val="00E44AD0"/>
    <w:rsid w:val="00E46091"/>
    <w:rsid w:val="00E46E60"/>
    <w:rsid w:val="00E4756F"/>
    <w:rsid w:val="00E53E92"/>
    <w:rsid w:val="00E54904"/>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1913"/>
    <w:rsid w:val="00EA32ED"/>
    <w:rsid w:val="00EA344E"/>
    <w:rsid w:val="00EA4FA0"/>
    <w:rsid w:val="00EA6938"/>
    <w:rsid w:val="00EB34ED"/>
    <w:rsid w:val="00EB38E4"/>
    <w:rsid w:val="00EB4D56"/>
    <w:rsid w:val="00EB5293"/>
    <w:rsid w:val="00EB5335"/>
    <w:rsid w:val="00EB57BE"/>
    <w:rsid w:val="00EB5B9F"/>
    <w:rsid w:val="00EB7741"/>
    <w:rsid w:val="00EC190F"/>
    <w:rsid w:val="00EC5E09"/>
    <w:rsid w:val="00ED1D21"/>
    <w:rsid w:val="00ED28A5"/>
    <w:rsid w:val="00EE19CD"/>
    <w:rsid w:val="00EE35AC"/>
    <w:rsid w:val="00EE4273"/>
    <w:rsid w:val="00EE7C64"/>
    <w:rsid w:val="00EF2B5B"/>
    <w:rsid w:val="00EF3607"/>
    <w:rsid w:val="00EF47A4"/>
    <w:rsid w:val="00EF7004"/>
    <w:rsid w:val="00F00295"/>
    <w:rsid w:val="00F0098D"/>
    <w:rsid w:val="00F01297"/>
    <w:rsid w:val="00F019DA"/>
    <w:rsid w:val="00F03752"/>
    <w:rsid w:val="00F05098"/>
    <w:rsid w:val="00F057B5"/>
    <w:rsid w:val="00F10F4E"/>
    <w:rsid w:val="00F16246"/>
    <w:rsid w:val="00F234BC"/>
    <w:rsid w:val="00F24198"/>
    <w:rsid w:val="00F2484F"/>
    <w:rsid w:val="00F26571"/>
    <w:rsid w:val="00F31D76"/>
    <w:rsid w:val="00F32A5D"/>
    <w:rsid w:val="00F33300"/>
    <w:rsid w:val="00F348AF"/>
    <w:rsid w:val="00F3558F"/>
    <w:rsid w:val="00F35FF0"/>
    <w:rsid w:val="00F40845"/>
    <w:rsid w:val="00F44031"/>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A0380"/>
    <w:rsid w:val="00FA65E8"/>
    <w:rsid w:val="00FB122D"/>
    <w:rsid w:val="00FB355E"/>
    <w:rsid w:val="00FB50E8"/>
    <w:rsid w:val="00FB5D98"/>
    <w:rsid w:val="00FB625B"/>
    <w:rsid w:val="00FB6C4A"/>
    <w:rsid w:val="00FB72ED"/>
    <w:rsid w:val="00FB748A"/>
    <w:rsid w:val="00FC3298"/>
    <w:rsid w:val="00FC385D"/>
    <w:rsid w:val="00FC612C"/>
    <w:rsid w:val="00FD1371"/>
    <w:rsid w:val="00FD750B"/>
    <w:rsid w:val="00FD7AB3"/>
    <w:rsid w:val="00FE15DC"/>
    <w:rsid w:val="00FE374B"/>
    <w:rsid w:val="00FE3A2C"/>
    <w:rsid w:val="00FE483C"/>
    <w:rsid w:val="00FE4BD4"/>
    <w:rsid w:val="00FE4DA7"/>
    <w:rsid w:val="00FE7975"/>
    <w:rsid w:val="00FF123D"/>
    <w:rsid w:val="00FF3AFC"/>
    <w:rsid w:val="00FF5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9640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640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640A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9640A4"/>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9640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379596616">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22085607">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E0D3-3D3F-4180-A943-6B5DD3EA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4633</Words>
  <Characters>25486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13</cp:revision>
  <cp:lastPrinted>2016-09-30T17:26:00Z</cp:lastPrinted>
  <dcterms:created xsi:type="dcterms:W3CDTF">2016-09-15T22:27:00Z</dcterms:created>
  <dcterms:modified xsi:type="dcterms:W3CDTF">2017-01-11T18:45:00Z</dcterms:modified>
</cp:coreProperties>
</file>