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2610A4" w14:textId="77777777" w:rsidR="00A801E0" w:rsidRPr="00A801E0" w:rsidRDefault="005C02C7" w:rsidP="00A801E0">
      <w:pPr>
        <w:pStyle w:val="Ttulo1"/>
        <w:spacing w:after="240" w:line="240" w:lineRule="auto"/>
        <w:jc w:val="both"/>
        <w:rPr>
          <w:rFonts w:ascii="ITC Avant Garde" w:hAnsi="ITC Avant Garde"/>
          <w:b/>
          <w:color w:val="000000" w:themeColor="text1"/>
          <w:sz w:val="24"/>
          <w:szCs w:val="24"/>
          <w:lang w:eastAsia="es-MX"/>
        </w:rPr>
      </w:pPr>
      <w:bookmarkStart w:id="0" w:name="_GoBack"/>
      <w:r w:rsidRPr="00A801E0">
        <w:rPr>
          <w:rFonts w:ascii="ITC Avant Garde" w:hAnsi="ITC Avant Garde"/>
          <w:b/>
          <w:color w:val="000000" w:themeColor="text1"/>
          <w:sz w:val="24"/>
          <w:szCs w:val="24"/>
          <w:lang w:eastAsia="es-MX"/>
        </w:rPr>
        <w:t xml:space="preserve">RESOLUCIÓN </w:t>
      </w:r>
      <w:r w:rsidR="00E06F1F" w:rsidRPr="00A801E0">
        <w:rPr>
          <w:rFonts w:ascii="ITC Avant Garde" w:hAnsi="ITC Avant Garde"/>
          <w:b/>
          <w:color w:val="000000" w:themeColor="text1"/>
          <w:sz w:val="24"/>
          <w:szCs w:val="24"/>
          <w:lang w:eastAsia="es-MX"/>
        </w:rPr>
        <w:t>MEDIANTE</w:t>
      </w:r>
      <w:r w:rsidRPr="00A801E0">
        <w:rPr>
          <w:rFonts w:ascii="ITC Avant Garde" w:hAnsi="ITC Avant Garde"/>
          <w:b/>
          <w:color w:val="000000" w:themeColor="text1"/>
          <w:sz w:val="24"/>
          <w:szCs w:val="24"/>
          <w:lang w:eastAsia="es-MX"/>
        </w:rPr>
        <w:t xml:space="preserve"> LA CUAL EL PLENO DEL INSTITUTO FEDERAL DE TELECOMUNICACIONES </w:t>
      </w:r>
      <w:r w:rsidR="00382545" w:rsidRPr="00A801E0">
        <w:rPr>
          <w:rFonts w:ascii="ITC Avant Garde" w:hAnsi="ITC Avant Garde"/>
          <w:b/>
          <w:color w:val="000000" w:themeColor="text1"/>
          <w:sz w:val="24"/>
          <w:szCs w:val="24"/>
          <w:lang w:eastAsia="es-MX"/>
        </w:rPr>
        <w:t xml:space="preserve">MODIFICA EL TÍTULO DE CONCESIÓN OTORGADO A </w:t>
      </w:r>
      <w:r w:rsidR="00F55295" w:rsidRPr="00A801E0">
        <w:rPr>
          <w:rFonts w:ascii="ITC Avant Garde" w:hAnsi="ITC Avant Garde"/>
          <w:b/>
          <w:color w:val="000000" w:themeColor="text1"/>
          <w:sz w:val="24"/>
          <w:szCs w:val="24"/>
          <w:lang w:eastAsia="es-MX"/>
        </w:rPr>
        <w:t>HISPASAT M</w:t>
      </w:r>
      <w:r w:rsidR="00F7360B" w:rsidRPr="00A801E0">
        <w:rPr>
          <w:rFonts w:ascii="ITC Avant Garde" w:hAnsi="ITC Avant Garde"/>
          <w:b/>
          <w:color w:val="000000" w:themeColor="text1"/>
          <w:sz w:val="24"/>
          <w:szCs w:val="24"/>
          <w:lang w:eastAsia="es-MX"/>
        </w:rPr>
        <w:t xml:space="preserve">ÉXICO, S.A. DE C.V., </w:t>
      </w:r>
      <w:r w:rsidRPr="00A801E0">
        <w:rPr>
          <w:rFonts w:ascii="ITC Avant Garde" w:hAnsi="ITC Avant Garde"/>
          <w:b/>
          <w:color w:val="000000" w:themeColor="text1"/>
          <w:sz w:val="24"/>
          <w:szCs w:val="24"/>
          <w:lang w:eastAsia="es-MX"/>
        </w:rPr>
        <w:t xml:space="preserve">PARA EXPLOTAR LOS DERECHOS DE EMISIÓN Y RECEPCIÓN DE SEÑALES DE BANDAS DE FRECUENCIAS ASOCIADAS A </w:t>
      </w:r>
      <w:r w:rsidR="005A66A9" w:rsidRPr="00A801E0">
        <w:rPr>
          <w:rFonts w:ascii="ITC Avant Garde" w:hAnsi="ITC Avant Garde"/>
          <w:b/>
          <w:color w:val="000000" w:themeColor="text1"/>
          <w:sz w:val="24"/>
          <w:szCs w:val="24"/>
          <w:lang w:eastAsia="es-MX"/>
        </w:rPr>
        <w:t xml:space="preserve">SISTEMAS </w:t>
      </w:r>
      <w:r w:rsidRPr="00A801E0">
        <w:rPr>
          <w:rFonts w:ascii="ITC Avant Garde" w:hAnsi="ITC Avant Garde"/>
          <w:b/>
          <w:color w:val="000000" w:themeColor="text1"/>
          <w:sz w:val="24"/>
          <w:szCs w:val="24"/>
          <w:lang w:eastAsia="es-MX"/>
        </w:rPr>
        <w:t>SAT</w:t>
      </w:r>
      <w:r w:rsidR="005A66A9" w:rsidRPr="00A801E0">
        <w:rPr>
          <w:rFonts w:ascii="ITC Avant Garde" w:hAnsi="ITC Avant Garde"/>
          <w:b/>
          <w:color w:val="000000" w:themeColor="text1"/>
          <w:sz w:val="24"/>
          <w:szCs w:val="24"/>
          <w:lang w:eastAsia="es-MX"/>
        </w:rPr>
        <w:t>E</w:t>
      </w:r>
      <w:r w:rsidRPr="00A801E0">
        <w:rPr>
          <w:rFonts w:ascii="ITC Avant Garde" w:hAnsi="ITC Avant Garde"/>
          <w:b/>
          <w:color w:val="000000" w:themeColor="text1"/>
          <w:sz w:val="24"/>
          <w:szCs w:val="24"/>
          <w:lang w:eastAsia="es-MX"/>
        </w:rPr>
        <w:t>LIT</w:t>
      </w:r>
      <w:r w:rsidR="005A66A9" w:rsidRPr="00A801E0">
        <w:rPr>
          <w:rFonts w:ascii="ITC Avant Garde" w:hAnsi="ITC Avant Garde"/>
          <w:b/>
          <w:color w:val="000000" w:themeColor="text1"/>
          <w:sz w:val="24"/>
          <w:szCs w:val="24"/>
          <w:lang w:eastAsia="es-MX"/>
        </w:rPr>
        <w:t>ALES</w:t>
      </w:r>
      <w:r w:rsidRPr="00A801E0">
        <w:rPr>
          <w:rFonts w:ascii="ITC Avant Garde" w:hAnsi="ITC Avant Garde"/>
          <w:b/>
          <w:color w:val="000000" w:themeColor="text1"/>
          <w:sz w:val="24"/>
          <w:szCs w:val="24"/>
          <w:lang w:eastAsia="es-MX"/>
        </w:rPr>
        <w:t xml:space="preserve"> EXTRANJEROS</w:t>
      </w:r>
      <w:r w:rsidR="005A66A9" w:rsidRPr="00A801E0">
        <w:rPr>
          <w:rFonts w:ascii="ITC Avant Garde" w:hAnsi="ITC Avant Garde"/>
          <w:b/>
          <w:color w:val="000000" w:themeColor="text1"/>
          <w:sz w:val="24"/>
          <w:szCs w:val="24"/>
          <w:lang w:eastAsia="es-MX"/>
        </w:rPr>
        <w:t>,</w:t>
      </w:r>
      <w:r w:rsidRPr="00A801E0">
        <w:rPr>
          <w:rFonts w:ascii="ITC Avant Garde" w:hAnsi="ITC Avant Garde"/>
          <w:b/>
          <w:color w:val="000000" w:themeColor="text1"/>
          <w:sz w:val="24"/>
          <w:szCs w:val="24"/>
          <w:lang w:eastAsia="es-MX"/>
        </w:rPr>
        <w:t xml:space="preserve"> QUE CUBREN Y PUEDEN PRESTAR SERVICIOS EN EL TERRITORIO NACIONAL</w:t>
      </w:r>
    </w:p>
    <w:p w14:paraId="375D342C" w14:textId="77777777" w:rsidR="00A801E0" w:rsidRPr="00A801E0" w:rsidRDefault="00A05167" w:rsidP="00A801E0">
      <w:pPr>
        <w:pStyle w:val="Ttulo2"/>
        <w:spacing w:after="240"/>
        <w:jc w:val="center"/>
        <w:rPr>
          <w:rFonts w:ascii="ITC Avant Garde" w:hAnsi="ITC Avant Garde"/>
          <w:b/>
          <w:color w:val="000000" w:themeColor="text1"/>
          <w:sz w:val="22"/>
          <w:szCs w:val="22"/>
        </w:rPr>
      </w:pPr>
      <w:r w:rsidRPr="00A801E0">
        <w:rPr>
          <w:rFonts w:ascii="ITC Avant Garde" w:hAnsi="ITC Avant Garde"/>
          <w:b/>
          <w:color w:val="000000" w:themeColor="text1"/>
          <w:sz w:val="22"/>
          <w:szCs w:val="22"/>
        </w:rPr>
        <w:t>ANTECEDENTES</w:t>
      </w:r>
    </w:p>
    <w:p w14:paraId="64023A73" w14:textId="77777777" w:rsidR="00A801E0" w:rsidRPr="00A801E0" w:rsidRDefault="001C4FE6" w:rsidP="00A801E0">
      <w:pPr>
        <w:numPr>
          <w:ilvl w:val="0"/>
          <w:numId w:val="8"/>
        </w:numPr>
        <w:spacing w:before="240" w:after="240" w:line="240" w:lineRule="auto"/>
        <w:ind w:left="0" w:firstLine="0"/>
        <w:jc w:val="both"/>
        <w:rPr>
          <w:rFonts w:ascii="ITC Avant Garde" w:hAnsi="ITC Avant Garde"/>
          <w:bCs/>
          <w:color w:val="000000"/>
          <w:lang w:eastAsia="es-MX"/>
        </w:rPr>
      </w:pPr>
      <w:r w:rsidRPr="00A801E0">
        <w:rPr>
          <w:rFonts w:ascii="ITC Avant Garde" w:hAnsi="ITC Avant Garde"/>
          <w:b/>
          <w:bCs/>
          <w:color w:val="000000"/>
          <w:lang w:eastAsia="es-MX"/>
        </w:rPr>
        <w:t xml:space="preserve">Decreto de Reforma Constitucional. </w:t>
      </w:r>
      <w:r w:rsidRPr="00A801E0">
        <w:rPr>
          <w:rFonts w:ascii="ITC Avant Garde" w:hAnsi="ITC Avant Garde"/>
          <w:bCs/>
          <w:color w:val="000000"/>
          <w:lang w:eastAsia="es-MX"/>
        </w:rPr>
        <w:t>Con fecha 11 de junio de 2013, se publicó en el Diario Oficial de la Federación (el “DOF”) el “Decreto por el que se reforman y adicionan diversas disposiciones de los artículos 6o., 7o., 27, 28, 73, 78, 94 y 105 de la Constitución Política de los Estados Unidos Mexicanos, en materia de telecomunicaciones” (el “Decreto de Reforma Constitucional”), mediante el cual se cre</w:t>
      </w:r>
      <w:r w:rsidR="00D12A8D" w:rsidRPr="00A801E0">
        <w:rPr>
          <w:rFonts w:ascii="ITC Avant Garde" w:hAnsi="ITC Avant Garde"/>
          <w:bCs/>
          <w:color w:val="000000"/>
          <w:lang w:eastAsia="es-MX"/>
        </w:rPr>
        <w:t>ó</w:t>
      </w:r>
      <w:r w:rsidRPr="00A801E0">
        <w:rPr>
          <w:rFonts w:ascii="ITC Avant Garde" w:hAnsi="ITC Avant Garde"/>
          <w:bCs/>
          <w:color w:val="000000"/>
          <w:lang w:eastAsia="es-MX"/>
        </w:rPr>
        <w:t xml:space="preserve"> el Instituto Federal de Telecomunicaciones</w:t>
      </w:r>
      <w:r w:rsidR="00723B14" w:rsidRPr="00A801E0">
        <w:rPr>
          <w:rFonts w:ascii="ITC Avant Garde" w:hAnsi="ITC Avant Garde"/>
          <w:bCs/>
          <w:color w:val="000000"/>
          <w:lang w:eastAsia="es-MX"/>
        </w:rPr>
        <w:t xml:space="preserve"> (el “Instituto”)</w:t>
      </w:r>
      <w:r w:rsidRPr="00A801E0">
        <w:rPr>
          <w:rFonts w:ascii="ITC Avant Garde" w:hAnsi="ITC Avant Garde"/>
          <w:bCs/>
          <w:color w:val="000000"/>
          <w:lang w:eastAsia="es-MX"/>
        </w:rPr>
        <w:t>.</w:t>
      </w:r>
    </w:p>
    <w:p w14:paraId="5D9C203D" w14:textId="77777777" w:rsidR="00A801E0" w:rsidRPr="00A801E0" w:rsidRDefault="00EF5B87" w:rsidP="00A801E0">
      <w:pPr>
        <w:numPr>
          <w:ilvl w:val="0"/>
          <w:numId w:val="8"/>
        </w:numPr>
        <w:spacing w:before="240" w:after="240" w:line="240" w:lineRule="auto"/>
        <w:ind w:left="0" w:firstLine="0"/>
        <w:jc w:val="both"/>
        <w:rPr>
          <w:rFonts w:ascii="ITC Avant Garde" w:hAnsi="ITC Avant Garde"/>
          <w:color w:val="000000"/>
          <w:lang w:val="es-ES" w:eastAsia="es-ES"/>
        </w:rPr>
      </w:pPr>
      <w:r w:rsidRPr="00A801E0">
        <w:rPr>
          <w:rFonts w:ascii="ITC Avant Garde" w:hAnsi="ITC Avant Garde"/>
          <w:b/>
          <w:bCs/>
          <w:color w:val="000000"/>
          <w:lang w:eastAsia="es-MX"/>
        </w:rPr>
        <w:t xml:space="preserve">Decreto de Ley. </w:t>
      </w:r>
      <w:r w:rsidRPr="00A801E0">
        <w:rPr>
          <w:rFonts w:ascii="ITC Avant Garde" w:hAnsi="ITC Avant Garde"/>
          <w:bCs/>
          <w:color w:val="000000"/>
          <w:lang w:eastAsia="es-MX"/>
        </w:rPr>
        <w:t>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(“Decreto de Ley”), mismo que entró en vigor el 13 de agosto de 2014.</w:t>
      </w:r>
    </w:p>
    <w:p w14:paraId="5DB04118" w14:textId="77777777" w:rsidR="00A801E0" w:rsidRPr="00A801E0" w:rsidRDefault="00142A3D" w:rsidP="00A801E0">
      <w:pPr>
        <w:numPr>
          <w:ilvl w:val="0"/>
          <w:numId w:val="8"/>
        </w:numPr>
        <w:spacing w:before="240" w:after="240" w:line="240" w:lineRule="auto"/>
        <w:ind w:left="0" w:firstLine="0"/>
        <w:jc w:val="both"/>
        <w:rPr>
          <w:rFonts w:ascii="ITC Avant Garde" w:hAnsi="ITC Avant Garde"/>
          <w:bCs/>
          <w:color w:val="000000"/>
          <w:lang w:eastAsia="es-MX"/>
        </w:rPr>
      </w:pPr>
      <w:r w:rsidRPr="00A801E0">
        <w:rPr>
          <w:rFonts w:ascii="ITC Avant Garde" w:hAnsi="ITC Avant Garde"/>
          <w:b/>
          <w:bCs/>
          <w:color w:val="000000"/>
          <w:lang w:eastAsia="es-MX"/>
        </w:rPr>
        <w:t xml:space="preserve">Prórroga de la Concesión. </w:t>
      </w:r>
      <w:r w:rsidRPr="00A801E0">
        <w:rPr>
          <w:rFonts w:ascii="ITC Avant Garde" w:hAnsi="ITC Avant Garde"/>
          <w:bCs/>
          <w:color w:val="000000"/>
          <w:lang w:eastAsia="es-MX"/>
        </w:rPr>
        <w:t xml:space="preserve">Con fecha 12 de agosto de 2014 el </w:t>
      </w:r>
      <w:r w:rsidRPr="00A801E0">
        <w:rPr>
          <w:rFonts w:ascii="ITC Avant Garde" w:hAnsi="ITC Avant Garde"/>
          <w:color w:val="000000"/>
          <w:lang w:val="es-ES" w:eastAsia="es-ES"/>
        </w:rPr>
        <w:t xml:space="preserve">Instituto, otorgó </w:t>
      </w:r>
      <w:r w:rsidR="00AF59A9" w:rsidRPr="00A801E0">
        <w:rPr>
          <w:rFonts w:ascii="ITC Avant Garde" w:hAnsi="ITC Avant Garde"/>
          <w:color w:val="000000"/>
          <w:lang w:val="es-ES" w:eastAsia="es-ES"/>
        </w:rPr>
        <w:t xml:space="preserve">a favor de </w:t>
      </w:r>
      <w:proofErr w:type="spellStart"/>
      <w:r w:rsidR="00AF59A9" w:rsidRPr="00A801E0">
        <w:rPr>
          <w:rFonts w:ascii="ITC Avant Garde" w:hAnsi="ITC Avant Garde"/>
          <w:color w:val="000000"/>
          <w:lang w:val="es-ES" w:eastAsia="es-ES"/>
        </w:rPr>
        <w:t>Hispasat</w:t>
      </w:r>
      <w:proofErr w:type="spellEnd"/>
      <w:r w:rsidR="00AF59A9" w:rsidRPr="00A801E0">
        <w:rPr>
          <w:rFonts w:ascii="ITC Avant Garde" w:hAnsi="ITC Avant Garde"/>
          <w:color w:val="000000"/>
          <w:lang w:val="es-ES" w:eastAsia="es-ES"/>
        </w:rPr>
        <w:t xml:space="preserve"> México, S.A. de C.V. (el “Concesionario”), </w:t>
      </w:r>
      <w:r w:rsidRPr="00A801E0">
        <w:rPr>
          <w:rFonts w:ascii="ITC Avant Garde" w:hAnsi="ITC Avant Garde"/>
          <w:color w:val="000000"/>
          <w:lang w:val="es-ES" w:eastAsia="es-ES"/>
        </w:rPr>
        <w:t xml:space="preserve">la </w:t>
      </w:r>
      <w:r w:rsidR="005A66A9" w:rsidRPr="00A801E0">
        <w:rPr>
          <w:rFonts w:ascii="ITC Avant Garde" w:hAnsi="ITC Avant Garde"/>
          <w:color w:val="000000"/>
          <w:lang w:val="es-ES" w:eastAsia="es-ES"/>
        </w:rPr>
        <w:t>p</w:t>
      </w:r>
      <w:r w:rsidRPr="00A801E0">
        <w:rPr>
          <w:rFonts w:ascii="ITC Avant Garde" w:hAnsi="ITC Avant Garde"/>
          <w:color w:val="000000"/>
          <w:lang w:val="es-ES" w:eastAsia="es-ES"/>
        </w:rPr>
        <w:t xml:space="preserve">rórroga de la </w:t>
      </w:r>
      <w:r w:rsidR="005A66A9" w:rsidRPr="00A801E0">
        <w:rPr>
          <w:rFonts w:ascii="ITC Avant Garde" w:hAnsi="ITC Avant Garde"/>
          <w:color w:val="000000"/>
          <w:lang w:val="es-ES" w:eastAsia="es-ES"/>
        </w:rPr>
        <w:t>c</w:t>
      </w:r>
      <w:r w:rsidRPr="00A801E0">
        <w:rPr>
          <w:rFonts w:ascii="ITC Avant Garde" w:hAnsi="ITC Avant Garde"/>
          <w:color w:val="000000"/>
          <w:lang w:val="es-ES" w:eastAsia="es-ES"/>
        </w:rPr>
        <w:t>oncesión</w:t>
      </w:r>
      <w:r w:rsidR="005A66A9" w:rsidRPr="00A801E0">
        <w:rPr>
          <w:rFonts w:ascii="ITC Avant Garde" w:hAnsi="ITC Avant Garde"/>
          <w:color w:val="000000"/>
          <w:lang w:val="es-ES" w:eastAsia="es-ES"/>
        </w:rPr>
        <w:t xml:space="preserve"> </w:t>
      </w:r>
      <w:r w:rsidR="00177A32" w:rsidRPr="00A801E0">
        <w:rPr>
          <w:rFonts w:ascii="ITC Avant Garde" w:hAnsi="ITC Avant Garde"/>
          <w:color w:val="000000"/>
          <w:lang w:val="es-ES" w:eastAsia="es-ES"/>
        </w:rPr>
        <w:t>para explotar los derechos de emisión y recepción de señales de bandas de frecuencias asociadas a sistemas satelitales extranjeros, que cubren y pueden prestar servicios en el territorio nacional</w:t>
      </w:r>
      <w:r w:rsidR="005A66A9" w:rsidRPr="00A801E0">
        <w:rPr>
          <w:rFonts w:ascii="ITC Avant Garde" w:hAnsi="ITC Avant Garde"/>
          <w:color w:val="000000"/>
          <w:lang w:val="es-ES" w:eastAsia="es-ES"/>
        </w:rPr>
        <w:t>,</w:t>
      </w:r>
      <w:r w:rsidR="005A66A9" w:rsidRPr="00A801E0">
        <w:rPr>
          <w:rFonts w:ascii="ITC Avant Garde" w:hAnsi="ITC Avant Garde"/>
          <w:bCs/>
          <w:color w:val="000000"/>
          <w:lang w:eastAsia="es-MX"/>
        </w:rPr>
        <w:t xml:space="preserve"> </w:t>
      </w:r>
      <w:r w:rsidRPr="00A801E0">
        <w:rPr>
          <w:rFonts w:ascii="ITC Avant Garde" w:hAnsi="ITC Avant Garde"/>
          <w:bCs/>
          <w:color w:val="000000"/>
          <w:lang w:eastAsia="es-MX"/>
        </w:rPr>
        <w:t>con una vigencia de 10 (diez) años contados a partir del 18 de agosto de 2014 (la “</w:t>
      </w:r>
      <w:r w:rsidR="003216AF" w:rsidRPr="00A801E0">
        <w:rPr>
          <w:rFonts w:ascii="ITC Avant Garde" w:hAnsi="ITC Avant Garde"/>
          <w:bCs/>
          <w:color w:val="000000"/>
          <w:lang w:eastAsia="es-MX"/>
        </w:rPr>
        <w:t>Concesión</w:t>
      </w:r>
      <w:r w:rsidRPr="00A801E0">
        <w:rPr>
          <w:rFonts w:ascii="ITC Avant Garde" w:hAnsi="ITC Avant Garde"/>
          <w:bCs/>
          <w:color w:val="000000"/>
          <w:lang w:eastAsia="es-MX"/>
        </w:rPr>
        <w:t>”).</w:t>
      </w:r>
    </w:p>
    <w:p w14:paraId="132D872C" w14:textId="77777777" w:rsidR="00A801E0" w:rsidRPr="00A801E0" w:rsidRDefault="00EF5B87" w:rsidP="00A801E0">
      <w:pPr>
        <w:numPr>
          <w:ilvl w:val="0"/>
          <w:numId w:val="8"/>
        </w:numPr>
        <w:spacing w:before="240" w:after="240" w:line="240" w:lineRule="auto"/>
        <w:ind w:left="0" w:firstLine="0"/>
        <w:jc w:val="both"/>
        <w:rPr>
          <w:rFonts w:ascii="ITC Avant Garde" w:hAnsi="ITC Avant Garde"/>
          <w:color w:val="000000"/>
          <w:lang w:val="es-ES" w:eastAsia="es-ES"/>
        </w:rPr>
      </w:pPr>
      <w:r w:rsidRPr="00A801E0">
        <w:rPr>
          <w:rFonts w:ascii="ITC Avant Garde" w:hAnsi="ITC Avant Garde"/>
          <w:b/>
          <w:bCs/>
          <w:color w:val="000000"/>
          <w:lang w:eastAsia="es-MX"/>
        </w:rPr>
        <w:t>Estatuto Orgánico.</w:t>
      </w:r>
      <w:r w:rsidRPr="00A801E0">
        <w:rPr>
          <w:rFonts w:ascii="ITC Avant Garde" w:hAnsi="ITC Avant Garde"/>
          <w:b/>
          <w:lang w:eastAsia="es-MX"/>
        </w:rPr>
        <w:t xml:space="preserve"> </w:t>
      </w:r>
      <w:r w:rsidRPr="00A801E0">
        <w:rPr>
          <w:rFonts w:ascii="ITC Avant Garde" w:hAnsi="ITC Avant Garde"/>
          <w:bCs/>
          <w:color w:val="000000"/>
          <w:lang w:eastAsia="es-MX"/>
        </w:rPr>
        <w:t>El 4 de septiembre de 2014, se publicó en el D</w:t>
      </w:r>
      <w:r w:rsidR="00D701B5" w:rsidRPr="00A801E0">
        <w:rPr>
          <w:rFonts w:ascii="ITC Avant Garde" w:hAnsi="ITC Avant Garde"/>
          <w:bCs/>
          <w:color w:val="000000"/>
          <w:lang w:eastAsia="es-MX"/>
        </w:rPr>
        <w:t>OF</w:t>
      </w:r>
      <w:r w:rsidRPr="00A801E0">
        <w:rPr>
          <w:rFonts w:ascii="ITC Avant Garde" w:hAnsi="ITC Avant Garde"/>
          <w:bCs/>
          <w:color w:val="000000"/>
          <w:lang w:eastAsia="es-MX"/>
        </w:rPr>
        <w:t xml:space="preserve"> el “Estatuto Orgánico del Instituto Federal de Telecomunicaciones” (“Estatuto Orgánico”), mismo que entró en vigor el 26 de septiembre de 2014.</w:t>
      </w:r>
    </w:p>
    <w:p w14:paraId="32118586" w14:textId="77777777" w:rsidR="00A801E0" w:rsidRPr="00A801E0" w:rsidRDefault="00723556" w:rsidP="00A801E0">
      <w:pPr>
        <w:numPr>
          <w:ilvl w:val="0"/>
          <w:numId w:val="8"/>
        </w:numPr>
        <w:spacing w:before="240" w:after="240" w:line="240" w:lineRule="auto"/>
        <w:ind w:left="0" w:firstLine="0"/>
        <w:jc w:val="both"/>
        <w:rPr>
          <w:rFonts w:ascii="ITC Avant Garde" w:hAnsi="ITC Avant Garde"/>
          <w:color w:val="000000"/>
          <w:lang w:val="es-ES" w:eastAsia="es-ES"/>
        </w:rPr>
      </w:pPr>
      <w:r w:rsidRPr="00A801E0">
        <w:rPr>
          <w:rFonts w:ascii="ITC Avant Garde" w:hAnsi="ITC Avant Garde"/>
          <w:b/>
          <w:color w:val="000000"/>
          <w:lang w:val="es-ES" w:eastAsia="es-ES"/>
        </w:rPr>
        <w:t>Modificación del Estatuto Orgánico</w:t>
      </w:r>
      <w:r w:rsidRPr="00A801E0">
        <w:rPr>
          <w:rFonts w:ascii="ITC Avant Garde" w:hAnsi="ITC Avant Garde"/>
          <w:color w:val="000000"/>
          <w:lang w:val="es-ES" w:eastAsia="es-ES"/>
        </w:rPr>
        <w:t xml:space="preserve">. El 17 de octubre de 2014, se publicó en el DOF el </w:t>
      </w:r>
      <w:r w:rsidR="008025AC" w:rsidRPr="00A801E0">
        <w:rPr>
          <w:rFonts w:ascii="ITC Avant Garde" w:hAnsi="ITC Avant Garde"/>
          <w:color w:val="000000"/>
          <w:lang w:val="es-ES" w:eastAsia="es-ES"/>
        </w:rPr>
        <w:t>“</w:t>
      </w:r>
      <w:r w:rsidRPr="00A801E0">
        <w:rPr>
          <w:rFonts w:ascii="ITC Avant Garde" w:hAnsi="ITC Avant Garde"/>
          <w:color w:val="000000"/>
          <w:lang w:val="es-ES" w:eastAsia="es-ES"/>
        </w:rPr>
        <w:t>ACUERDO por el que se modifica el Estatuto Orgánico del Instituto Federal de Telecomunicaciones</w:t>
      </w:r>
      <w:r w:rsidR="008025AC" w:rsidRPr="00A801E0">
        <w:rPr>
          <w:rFonts w:ascii="ITC Avant Garde" w:hAnsi="ITC Avant Garde"/>
          <w:color w:val="000000"/>
          <w:lang w:val="es-ES" w:eastAsia="es-ES"/>
        </w:rPr>
        <w:t>”</w:t>
      </w:r>
      <w:r w:rsidRPr="00A801E0">
        <w:rPr>
          <w:rFonts w:ascii="ITC Avant Garde" w:hAnsi="ITC Avant Garde"/>
          <w:color w:val="000000"/>
          <w:lang w:val="es-ES" w:eastAsia="es-ES"/>
        </w:rPr>
        <w:t>.</w:t>
      </w:r>
    </w:p>
    <w:p w14:paraId="522730F4" w14:textId="77777777" w:rsidR="00A801E0" w:rsidRPr="00A801E0" w:rsidRDefault="00326AA1" w:rsidP="00A801E0">
      <w:pPr>
        <w:numPr>
          <w:ilvl w:val="0"/>
          <w:numId w:val="8"/>
        </w:numPr>
        <w:spacing w:before="240" w:after="240" w:line="240" w:lineRule="auto"/>
        <w:ind w:left="0" w:firstLine="0"/>
        <w:jc w:val="both"/>
        <w:rPr>
          <w:rFonts w:ascii="ITC Avant Garde" w:hAnsi="ITC Avant Garde"/>
          <w:bCs/>
          <w:color w:val="000000"/>
          <w:lang w:eastAsia="es-MX"/>
        </w:rPr>
      </w:pPr>
      <w:r w:rsidRPr="00A801E0">
        <w:rPr>
          <w:rFonts w:ascii="ITC Avant Garde" w:hAnsi="ITC Avant Garde"/>
          <w:b/>
          <w:bCs/>
          <w:color w:val="000000"/>
          <w:lang w:eastAsia="es-MX"/>
        </w:rPr>
        <w:t>Modificación a la Concesión.</w:t>
      </w:r>
      <w:r w:rsidRPr="00A801E0">
        <w:rPr>
          <w:rFonts w:ascii="ITC Avant Garde" w:hAnsi="ITC Avant Garde"/>
          <w:bCs/>
          <w:color w:val="000000"/>
          <w:lang w:eastAsia="es-MX"/>
        </w:rPr>
        <w:t xml:space="preserve"> C</w:t>
      </w:r>
      <w:proofErr w:type="spellStart"/>
      <w:r w:rsidRPr="00A801E0">
        <w:rPr>
          <w:rFonts w:ascii="ITC Avant Garde" w:hAnsi="ITC Avant Garde"/>
          <w:color w:val="000000"/>
          <w:lang w:val="es-ES" w:eastAsia="es-ES"/>
        </w:rPr>
        <w:t>on</w:t>
      </w:r>
      <w:proofErr w:type="spellEnd"/>
      <w:r w:rsidRPr="00A801E0">
        <w:rPr>
          <w:rFonts w:ascii="ITC Avant Garde" w:hAnsi="ITC Avant Garde"/>
          <w:color w:val="000000"/>
          <w:lang w:val="es-ES" w:eastAsia="es-ES"/>
        </w:rPr>
        <w:t xml:space="preserve"> fecha </w:t>
      </w:r>
      <w:r w:rsidR="00A90867" w:rsidRPr="00A801E0">
        <w:rPr>
          <w:rFonts w:ascii="ITC Avant Garde" w:hAnsi="ITC Avant Garde"/>
          <w:color w:val="000000"/>
          <w:lang w:val="es-ES" w:eastAsia="es-ES"/>
        </w:rPr>
        <w:t>11</w:t>
      </w:r>
      <w:r w:rsidRPr="00A801E0">
        <w:rPr>
          <w:rFonts w:ascii="ITC Avant Garde" w:hAnsi="ITC Avant Garde"/>
          <w:color w:val="000000"/>
          <w:lang w:val="es-ES" w:eastAsia="es-ES"/>
        </w:rPr>
        <w:t xml:space="preserve"> de diciembre de 2015, el Instituto modificó la condición A.11 del Anexo de la Concesión, a efecto de reubicar el satélite Amazonas-1 de la posición orbital geoestacionaria (“POG”) 36° O a la POG 55.5° O, bajo el amparo del expediente de la red satelital HISPASAT-22</w:t>
      </w:r>
      <w:r w:rsidR="00AF59A9" w:rsidRPr="00A801E0">
        <w:rPr>
          <w:rFonts w:ascii="ITC Avant Garde" w:hAnsi="ITC Avant Garde"/>
          <w:color w:val="000000"/>
          <w:lang w:val="es-ES" w:eastAsia="es-ES"/>
        </w:rPr>
        <w:t>A</w:t>
      </w:r>
      <w:r w:rsidRPr="00A801E0">
        <w:rPr>
          <w:rFonts w:ascii="ITC Avant Garde" w:hAnsi="ITC Avant Garde"/>
          <w:color w:val="000000"/>
          <w:lang w:val="es-ES" w:eastAsia="es-ES"/>
        </w:rPr>
        <w:t>, así como s</w:t>
      </w:r>
      <w:r w:rsidR="00AF59A9" w:rsidRPr="00A801E0">
        <w:rPr>
          <w:rFonts w:ascii="ITC Avant Garde" w:hAnsi="ITC Avant Garde"/>
          <w:color w:val="000000"/>
          <w:lang w:val="es-ES" w:eastAsia="es-ES"/>
        </w:rPr>
        <w:t>ustituir el satélite Hispasat-1</w:t>
      </w:r>
      <w:r w:rsidRPr="00A801E0">
        <w:rPr>
          <w:rFonts w:ascii="ITC Avant Garde" w:hAnsi="ITC Avant Garde"/>
          <w:color w:val="000000"/>
          <w:lang w:val="es-ES" w:eastAsia="es-ES"/>
        </w:rPr>
        <w:t>C por el satélite Hispasat-1E en la POG 30° O al amparo del expediente HISPASAT-2C3 KU.</w:t>
      </w:r>
      <w:r w:rsidRPr="00A801E0">
        <w:rPr>
          <w:rFonts w:ascii="ITC Avant Garde" w:hAnsi="ITC Avant Garde"/>
          <w:color w:val="000000"/>
        </w:rPr>
        <w:t xml:space="preserve"> </w:t>
      </w:r>
    </w:p>
    <w:p w14:paraId="14678B4D" w14:textId="77777777" w:rsidR="00A801E0" w:rsidRPr="00A801E0" w:rsidRDefault="00326AA1" w:rsidP="00A801E0">
      <w:pPr>
        <w:numPr>
          <w:ilvl w:val="0"/>
          <w:numId w:val="8"/>
        </w:numPr>
        <w:spacing w:before="240" w:after="240" w:line="240" w:lineRule="auto"/>
        <w:ind w:left="0" w:firstLine="0"/>
        <w:jc w:val="both"/>
        <w:rPr>
          <w:rFonts w:ascii="ITC Avant Garde" w:hAnsi="ITC Avant Garde"/>
          <w:bCs/>
          <w:color w:val="000000"/>
          <w:lang w:eastAsia="es-MX"/>
        </w:rPr>
      </w:pPr>
      <w:r w:rsidRPr="00A801E0">
        <w:rPr>
          <w:rFonts w:ascii="ITC Avant Garde" w:hAnsi="ITC Avant Garde"/>
          <w:b/>
          <w:bCs/>
          <w:color w:val="000000"/>
          <w:lang w:eastAsia="es-MX"/>
        </w:rPr>
        <w:lastRenderedPageBreak/>
        <w:t>Solicitud de Modificación de la Concesión.</w:t>
      </w:r>
      <w:r w:rsidRPr="00A801E0">
        <w:rPr>
          <w:rFonts w:ascii="ITC Avant Garde" w:hAnsi="ITC Avant Garde"/>
          <w:bCs/>
          <w:color w:val="000000"/>
          <w:lang w:eastAsia="es-MX"/>
        </w:rPr>
        <w:t xml:space="preserve"> </w:t>
      </w:r>
      <w:r w:rsidRPr="00A801E0">
        <w:rPr>
          <w:rFonts w:ascii="ITC Avant Garde" w:hAnsi="ITC Avant Garde"/>
          <w:color w:val="000000"/>
          <w:lang w:val="es-ES" w:eastAsia="es-ES"/>
        </w:rPr>
        <w:t>Mediante escrito</w:t>
      </w:r>
      <w:r w:rsidR="00AF59A9" w:rsidRPr="00A801E0">
        <w:rPr>
          <w:rFonts w:ascii="ITC Avant Garde" w:hAnsi="ITC Avant Garde"/>
          <w:color w:val="000000"/>
          <w:lang w:val="es-ES" w:eastAsia="es-ES"/>
        </w:rPr>
        <w:t>s</w:t>
      </w:r>
      <w:r w:rsidRPr="00A801E0">
        <w:rPr>
          <w:rFonts w:ascii="ITC Avant Garde" w:hAnsi="ITC Avant Garde"/>
          <w:color w:val="000000"/>
          <w:lang w:val="es-ES" w:eastAsia="es-ES"/>
        </w:rPr>
        <w:t xml:space="preserve"> de fecha</w:t>
      </w:r>
      <w:r w:rsidR="00AF59A9" w:rsidRPr="00A801E0">
        <w:rPr>
          <w:rFonts w:ascii="ITC Avant Garde" w:hAnsi="ITC Avant Garde"/>
          <w:color w:val="000000"/>
          <w:lang w:val="es-ES" w:eastAsia="es-ES"/>
        </w:rPr>
        <w:t>s</w:t>
      </w:r>
      <w:r w:rsidRPr="00A801E0">
        <w:rPr>
          <w:rFonts w:ascii="ITC Avant Garde" w:hAnsi="ITC Avant Garde"/>
          <w:color w:val="000000"/>
          <w:lang w:val="es-ES" w:eastAsia="es-ES"/>
        </w:rPr>
        <w:t xml:space="preserve"> 11 </w:t>
      </w:r>
      <w:r w:rsidR="00AF59A9" w:rsidRPr="00A801E0">
        <w:rPr>
          <w:rFonts w:ascii="ITC Avant Garde" w:hAnsi="ITC Avant Garde"/>
          <w:color w:val="000000"/>
          <w:lang w:val="es-ES" w:eastAsia="es-ES"/>
        </w:rPr>
        <w:t xml:space="preserve">y 18 </w:t>
      </w:r>
      <w:r w:rsidRPr="00A801E0">
        <w:rPr>
          <w:rFonts w:ascii="ITC Avant Garde" w:hAnsi="ITC Avant Garde"/>
          <w:color w:val="000000"/>
          <w:lang w:val="es-ES" w:eastAsia="es-ES"/>
        </w:rPr>
        <w:t>de febrero de 2016, presentado</w:t>
      </w:r>
      <w:r w:rsidR="00AF59A9" w:rsidRPr="00A801E0">
        <w:rPr>
          <w:rFonts w:ascii="ITC Avant Garde" w:hAnsi="ITC Avant Garde"/>
          <w:color w:val="000000"/>
          <w:lang w:val="es-ES" w:eastAsia="es-ES"/>
        </w:rPr>
        <w:t>s</w:t>
      </w:r>
      <w:r w:rsidRPr="00A801E0">
        <w:rPr>
          <w:rFonts w:ascii="ITC Avant Garde" w:hAnsi="ITC Avant Garde"/>
          <w:color w:val="000000"/>
          <w:lang w:val="es-ES" w:eastAsia="es-ES"/>
        </w:rPr>
        <w:t xml:space="preserve"> ante el Instituto </w:t>
      </w:r>
      <w:r w:rsidR="00AF59A9" w:rsidRPr="00A801E0">
        <w:rPr>
          <w:rFonts w:ascii="ITC Avant Garde" w:hAnsi="ITC Avant Garde"/>
          <w:color w:val="000000"/>
          <w:lang w:val="es-ES" w:eastAsia="es-ES"/>
        </w:rPr>
        <w:t xml:space="preserve">los </w:t>
      </w:r>
      <w:r w:rsidRPr="00A801E0">
        <w:rPr>
          <w:rFonts w:ascii="ITC Avant Garde" w:hAnsi="ITC Avant Garde"/>
          <w:color w:val="000000"/>
          <w:lang w:val="es-ES" w:eastAsia="es-ES"/>
        </w:rPr>
        <w:t>día</w:t>
      </w:r>
      <w:r w:rsidR="00AF59A9" w:rsidRPr="00A801E0">
        <w:rPr>
          <w:rFonts w:ascii="ITC Avant Garde" w:hAnsi="ITC Avant Garde"/>
          <w:color w:val="000000"/>
          <w:lang w:val="es-ES" w:eastAsia="es-ES"/>
        </w:rPr>
        <w:t>s</w:t>
      </w:r>
      <w:r w:rsidRPr="00A801E0">
        <w:rPr>
          <w:rFonts w:ascii="ITC Avant Garde" w:hAnsi="ITC Avant Garde"/>
          <w:color w:val="000000"/>
          <w:lang w:val="es-ES" w:eastAsia="es-ES"/>
        </w:rPr>
        <w:t xml:space="preserve"> 12</w:t>
      </w:r>
      <w:r w:rsidR="00AF59A9" w:rsidRPr="00A801E0">
        <w:rPr>
          <w:rFonts w:ascii="ITC Avant Garde" w:hAnsi="ITC Avant Garde"/>
          <w:color w:val="000000"/>
          <w:lang w:val="es-ES" w:eastAsia="es-ES"/>
        </w:rPr>
        <w:t xml:space="preserve"> y 18</w:t>
      </w:r>
      <w:r w:rsidRPr="00A801E0">
        <w:rPr>
          <w:rFonts w:ascii="ITC Avant Garde" w:hAnsi="ITC Avant Garde"/>
          <w:color w:val="000000"/>
          <w:lang w:val="es-ES" w:eastAsia="es-ES"/>
        </w:rPr>
        <w:t xml:space="preserve"> del mismo mes y año</w:t>
      </w:r>
      <w:r w:rsidR="00AF59A9" w:rsidRPr="00A801E0">
        <w:rPr>
          <w:rFonts w:ascii="ITC Avant Garde" w:hAnsi="ITC Avant Garde"/>
          <w:color w:val="000000"/>
          <w:lang w:val="es-ES" w:eastAsia="es-ES"/>
        </w:rPr>
        <w:t xml:space="preserve"> respectivamente</w:t>
      </w:r>
      <w:r w:rsidRPr="00A801E0">
        <w:rPr>
          <w:rFonts w:ascii="ITC Avant Garde" w:hAnsi="ITC Avant Garde"/>
          <w:color w:val="000000"/>
          <w:lang w:val="es-ES" w:eastAsia="es-ES"/>
        </w:rPr>
        <w:t>,</w:t>
      </w:r>
      <w:r w:rsidRPr="00A801E0">
        <w:rPr>
          <w:rFonts w:ascii="ITC Avant Garde" w:hAnsi="ITC Avant Garde"/>
          <w:bCs/>
          <w:color w:val="000000"/>
          <w:lang w:eastAsia="es-MX"/>
        </w:rPr>
        <w:t xml:space="preserve"> el Concesionario, a través de su representante legal, solicitó la modificación de la Concesión, </w:t>
      </w:r>
      <w:r w:rsidR="00C033FA" w:rsidRPr="00A801E0">
        <w:rPr>
          <w:rFonts w:ascii="ITC Avant Garde" w:hAnsi="ITC Avant Garde"/>
          <w:bCs/>
          <w:color w:val="000000"/>
          <w:lang w:eastAsia="es-MX"/>
        </w:rPr>
        <w:t xml:space="preserve">en cuanto a las bandas de frecuencia </w:t>
      </w:r>
      <w:r w:rsidR="000D288A" w:rsidRPr="00A801E0">
        <w:rPr>
          <w:rFonts w:ascii="ITC Avant Garde" w:hAnsi="ITC Avant Garde"/>
          <w:bCs/>
          <w:color w:val="000000"/>
          <w:lang w:eastAsia="es-MX"/>
        </w:rPr>
        <w:t xml:space="preserve">del expediente </w:t>
      </w:r>
      <w:r w:rsidR="00A01E5E" w:rsidRPr="00A801E0">
        <w:rPr>
          <w:rFonts w:ascii="ITC Avant Garde" w:hAnsi="ITC Avant Garde"/>
          <w:color w:val="000000"/>
          <w:lang w:val="es-ES" w:eastAsia="es-ES"/>
        </w:rPr>
        <w:t>B-SAT-1Q</w:t>
      </w:r>
      <w:r w:rsidR="00136F4F" w:rsidRPr="00A801E0">
        <w:rPr>
          <w:rFonts w:ascii="ITC Avant Garde" w:hAnsi="ITC Avant Garde"/>
          <w:color w:val="000000"/>
          <w:lang w:val="es-ES" w:eastAsia="es-ES"/>
        </w:rPr>
        <w:t>,</w:t>
      </w:r>
      <w:r w:rsidR="00F81874" w:rsidRPr="00A801E0">
        <w:rPr>
          <w:rFonts w:ascii="ITC Avant Garde" w:hAnsi="ITC Avant Garde"/>
          <w:color w:val="000000"/>
          <w:lang w:val="es-ES" w:eastAsia="es-ES"/>
        </w:rPr>
        <w:t xml:space="preserve"> autorizado en su prórroga de Concesión el 12 de agosto de 2014.</w:t>
      </w:r>
      <w:r w:rsidR="00C033FA" w:rsidRPr="00A801E0">
        <w:rPr>
          <w:rFonts w:ascii="ITC Avant Garde" w:hAnsi="ITC Avant Garde"/>
          <w:color w:val="000000"/>
          <w:lang w:val="es-ES" w:eastAsia="es-ES"/>
        </w:rPr>
        <w:t xml:space="preserve"> Toda vez que </w:t>
      </w:r>
      <w:r w:rsidR="000D288A" w:rsidRPr="00A801E0">
        <w:rPr>
          <w:rFonts w:ascii="ITC Avant Garde" w:hAnsi="ITC Avant Garde"/>
          <w:color w:val="000000"/>
          <w:lang w:val="es-ES" w:eastAsia="es-ES"/>
        </w:rPr>
        <w:t>este</w:t>
      </w:r>
      <w:r w:rsidR="00C033FA" w:rsidRPr="00A801E0">
        <w:rPr>
          <w:rFonts w:ascii="ITC Avant Garde" w:hAnsi="ITC Avant Garde"/>
          <w:color w:val="000000"/>
          <w:lang w:val="es-ES" w:eastAsia="es-ES"/>
        </w:rPr>
        <w:t xml:space="preserve"> solo contempla el rango de frecuencias </w:t>
      </w:r>
      <w:r w:rsidR="00A121B9" w:rsidRPr="00A801E0">
        <w:rPr>
          <w:rFonts w:ascii="ITC Avant Garde" w:hAnsi="ITC Avant Garde"/>
          <w:color w:val="000000"/>
          <w:lang w:val="es-ES" w:eastAsia="es-ES"/>
        </w:rPr>
        <w:t xml:space="preserve">de operación </w:t>
      </w:r>
      <w:r w:rsidR="00C033FA" w:rsidRPr="00A801E0">
        <w:rPr>
          <w:rFonts w:ascii="ITC Avant Garde" w:hAnsi="ITC Avant Garde"/>
          <w:color w:val="000000"/>
          <w:lang w:val="es-ES" w:eastAsia="es-ES"/>
        </w:rPr>
        <w:t>nominal</w:t>
      </w:r>
      <w:r w:rsidR="00A121B9" w:rsidRPr="00A801E0">
        <w:rPr>
          <w:rFonts w:ascii="ITC Avant Garde" w:hAnsi="ITC Avant Garde"/>
          <w:color w:val="000000"/>
          <w:lang w:val="es-ES" w:eastAsia="es-ES"/>
        </w:rPr>
        <w:t xml:space="preserve"> enlace ascendente (Tierra-espacio) de 28.1 GHz hasta 30.0 GHz y enlace descendente (espacio-Tierra) de 18.3 GHz hasta 20.2GHz, </w:t>
      </w:r>
      <w:r w:rsidR="00C033FA" w:rsidRPr="00A801E0">
        <w:rPr>
          <w:rFonts w:ascii="ITC Avant Garde" w:hAnsi="ITC Avant Garde"/>
          <w:color w:val="000000"/>
          <w:lang w:val="es-ES" w:eastAsia="es-ES"/>
        </w:rPr>
        <w:t xml:space="preserve">y no todo el rango </w:t>
      </w:r>
      <w:r w:rsidR="00A121B9" w:rsidRPr="00A801E0">
        <w:rPr>
          <w:rFonts w:ascii="ITC Avant Garde" w:hAnsi="ITC Avant Garde"/>
          <w:color w:val="000000"/>
          <w:lang w:val="es-ES" w:eastAsia="es-ES"/>
        </w:rPr>
        <w:t xml:space="preserve">de frecuencias </w:t>
      </w:r>
      <w:r w:rsidR="00C033FA" w:rsidRPr="00A801E0">
        <w:rPr>
          <w:rFonts w:ascii="ITC Avant Garde" w:hAnsi="ITC Avant Garde"/>
          <w:color w:val="000000"/>
          <w:lang w:val="es-ES" w:eastAsia="es-ES"/>
        </w:rPr>
        <w:t xml:space="preserve">del expediente </w:t>
      </w:r>
      <w:r w:rsidR="00A121B9" w:rsidRPr="00A801E0">
        <w:rPr>
          <w:rFonts w:ascii="ITC Avant Garde" w:hAnsi="ITC Avant Garde"/>
          <w:color w:val="000000"/>
          <w:lang w:val="es-ES" w:eastAsia="es-ES"/>
        </w:rPr>
        <w:t>tramitado ante la Unión Internacional de Telecomunicaciones (“UIT”)</w:t>
      </w:r>
      <w:r w:rsidR="00C033FA" w:rsidRPr="00A801E0">
        <w:rPr>
          <w:rFonts w:ascii="ITC Avant Garde" w:hAnsi="ITC Avant Garde"/>
          <w:color w:val="000000"/>
          <w:lang w:val="es-ES" w:eastAsia="es-ES"/>
        </w:rPr>
        <w:t xml:space="preserve">el cual es para el enlace ascendente (Tierra-espacio) de 27.0 GHz hasta 30.0 GHz y enlace descendente (espacio-Tierra) de </w:t>
      </w:r>
      <w:r w:rsidR="00595FA9" w:rsidRPr="00A801E0">
        <w:rPr>
          <w:rFonts w:ascii="ITC Avant Garde" w:hAnsi="ITC Avant Garde"/>
          <w:color w:val="000000"/>
          <w:lang w:val="es-ES" w:eastAsia="es-ES"/>
        </w:rPr>
        <w:t xml:space="preserve">17.7 </w:t>
      </w:r>
      <w:r w:rsidR="00C033FA" w:rsidRPr="00A801E0">
        <w:rPr>
          <w:rFonts w:ascii="ITC Avant Garde" w:hAnsi="ITC Avant Garde"/>
          <w:color w:val="000000"/>
          <w:lang w:val="es-ES" w:eastAsia="es-ES"/>
        </w:rPr>
        <w:t>GHz hasta 20.</w:t>
      </w:r>
      <w:r w:rsidR="00D97BB3" w:rsidRPr="00A801E0">
        <w:rPr>
          <w:rFonts w:ascii="ITC Avant Garde" w:hAnsi="ITC Avant Garde"/>
          <w:color w:val="000000"/>
          <w:lang w:val="es-ES" w:eastAsia="es-ES"/>
        </w:rPr>
        <w:t xml:space="preserve">2 </w:t>
      </w:r>
      <w:r w:rsidR="00C033FA" w:rsidRPr="00A801E0">
        <w:rPr>
          <w:rFonts w:ascii="ITC Avant Garde" w:hAnsi="ITC Avant Garde"/>
          <w:color w:val="000000"/>
          <w:lang w:val="es-ES" w:eastAsia="es-ES"/>
        </w:rPr>
        <w:t xml:space="preserve">GHz, así mismo señala </w:t>
      </w:r>
      <w:r w:rsidR="00C033FA" w:rsidRPr="00A801E0">
        <w:rPr>
          <w:rFonts w:ascii="ITC Avant Garde" w:hAnsi="ITC Avant Garde"/>
          <w:bCs/>
          <w:color w:val="000000"/>
          <w:lang w:eastAsia="es-MX"/>
        </w:rPr>
        <w:t>que el satélite Amazonas 5 será colocado en la posición de 61°O bajo el amparo de dicho expediente</w:t>
      </w:r>
      <w:r w:rsidR="000D288A" w:rsidRPr="00A801E0">
        <w:rPr>
          <w:rFonts w:ascii="ITC Avant Garde" w:hAnsi="ITC Avant Garde"/>
          <w:bCs/>
          <w:color w:val="000000"/>
          <w:lang w:eastAsia="es-MX"/>
        </w:rPr>
        <w:t xml:space="preserve"> </w:t>
      </w:r>
      <w:r w:rsidRPr="00A801E0">
        <w:rPr>
          <w:rFonts w:ascii="ITC Avant Garde" w:hAnsi="ITC Avant Garde"/>
          <w:bCs/>
          <w:color w:val="000000"/>
          <w:lang w:eastAsia="es-MX"/>
        </w:rPr>
        <w:t>(la “Solicitud”)</w:t>
      </w:r>
      <w:r w:rsidR="00C033FA" w:rsidRPr="00A801E0">
        <w:rPr>
          <w:rFonts w:ascii="ITC Avant Garde" w:hAnsi="ITC Avant Garde"/>
          <w:bCs/>
          <w:color w:val="000000"/>
          <w:lang w:eastAsia="es-MX"/>
        </w:rPr>
        <w:t>.</w:t>
      </w:r>
    </w:p>
    <w:p w14:paraId="3B0A353D" w14:textId="77777777" w:rsidR="00A801E0" w:rsidRPr="00A801E0" w:rsidRDefault="00742A61" w:rsidP="00A801E0">
      <w:pPr>
        <w:numPr>
          <w:ilvl w:val="0"/>
          <w:numId w:val="8"/>
        </w:numPr>
        <w:spacing w:before="240" w:after="240" w:line="240" w:lineRule="auto"/>
        <w:ind w:left="0" w:firstLine="0"/>
        <w:jc w:val="both"/>
        <w:rPr>
          <w:rFonts w:ascii="ITC Avant Garde" w:hAnsi="ITC Avant Garde"/>
          <w:color w:val="000000"/>
        </w:rPr>
      </w:pPr>
      <w:r w:rsidRPr="00A801E0">
        <w:rPr>
          <w:rFonts w:ascii="ITC Avant Garde" w:hAnsi="ITC Avant Garde"/>
          <w:b/>
          <w:color w:val="000000"/>
          <w:lang w:val="es-ES" w:eastAsia="es-ES"/>
        </w:rPr>
        <w:t>Opinión</w:t>
      </w:r>
      <w:r w:rsidR="00194922" w:rsidRPr="00A801E0">
        <w:rPr>
          <w:rFonts w:ascii="ITC Avant Garde" w:hAnsi="ITC Avant Garde"/>
          <w:b/>
          <w:color w:val="000000"/>
          <w:lang w:val="es-ES" w:eastAsia="es-ES"/>
        </w:rPr>
        <w:t xml:space="preserve"> </w:t>
      </w:r>
      <w:r w:rsidR="00033502" w:rsidRPr="00A801E0">
        <w:rPr>
          <w:rFonts w:ascii="ITC Avant Garde" w:hAnsi="ITC Avant Garde"/>
          <w:b/>
          <w:color w:val="000000"/>
          <w:lang w:val="es-ES" w:eastAsia="es-ES"/>
        </w:rPr>
        <w:t>de la Unidad de Espectro Radioeléctrico</w:t>
      </w:r>
      <w:r w:rsidRPr="00A801E0">
        <w:rPr>
          <w:rFonts w:ascii="ITC Avant Garde" w:hAnsi="ITC Avant Garde"/>
          <w:b/>
          <w:color w:val="000000"/>
          <w:lang w:val="es-ES" w:eastAsia="es-ES"/>
        </w:rPr>
        <w:t>.</w:t>
      </w:r>
      <w:r w:rsidRPr="00A801E0">
        <w:rPr>
          <w:rFonts w:ascii="ITC Avant Garde" w:hAnsi="ITC Avant Garde"/>
          <w:color w:val="000000"/>
          <w:lang w:val="es-ES" w:eastAsia="es-ES"/>
        </w:rPr>
        <w:t xml:space="preserve"> </w:t>
      </w:r>
      <w:r w:rsidR="00E55234" w:rsidRPr="00A801E0">
        <w:rPr>
          <w:rFonts w:ascii="ITC Avant Garde" w:hAnsi="ITC Avant Garde"/>
          <w:color w:val="000000"/>
          <w:lang w:val="es-ES" w:eastAsia="es-ES"/>
        </w:rPr>
        <w:t>Mediante oficio IFT/222/UER/DG-RERO/0</w:t>
      </w:r>
      <w:r w:rsidR="00326AA1" w:rsidRPr="00A801E0">
        <w:rPr>
          <w:rFonts w:ascii="ITC Avant Garde" w:hAnsi="ITC Avant Garde"/>
          <w:color w:val="000000"/>
          <w:lang w:val="es-ES" w:eastAsia="es-ES"/>
        </w:rPr>
        <w:t>19</w:t>
      </w:r>
      <w:r w:rsidR="00E55234" w:rsidRPr="00A801E0">
        <w:rPr>
          <w:rFonts w:ascii="ITC Avant Garde" w:hAnsi="ITC Avant Garde"/>
          <w:color w:val="000000"/>
          <w:lang w:val="es-ES" w:eastAsia="es-ES"/>
        </w:rPr>
        <w:t>/201</w:t>
      </w:r>
      <w:r w:rsidR="00326AA1" w:rsidRPr="00A801E0">
        <w:rPr>
          <w:rFonts w:ascii="ITC Avant Garde" w:hAnsi="ITC Avant Garde"/>
          <w:color w:val="000000"/>
          <w:lang w:val="es-ES" w:eastAsia="es-ES"/>
        </w:rPr>
        <w:t>6</w:t>
      </w:r>
      <w:r w:rsidR="00E55234" w:rsidRPr="00A801E0">
        <w:rPr>
          <w:rFonts w:ascii="ITC Avant Garde" w:hAnsi="ITC Avant Garde"/>
          <w:color w:val="000000"/>
          <w:lang w:val="es-ES" w:eastAsia="es-ES"/>
        </w:rPr>
        <w:t xml:space="preserve"> de fecha </w:t>
      </w:r>
      <w:r w:rsidR="00326AA1" w:rsidRPr="00A801E0">
        <w:rPr>
          <w:rFonts w:ascii="ITC Avant Garde" w:hAnsi="ITC Avant Garde"/>
          <w:color w:val="000000"/>
          <w:lang w:val="es-ES" w:eastAsia="es-ES"/>
        </w:rPr>
        <w:t>31 de marzo de 2016</w:t>
      </w:r>
      <w:r w:rsidR="00E55234" w:rsidRPr="00A801E0">
        <w:rPr>
          <w:rFonts w:ascii="ITC Avant Garde" w:hAnsi="ITC Avant Garde"/>
          <w:color w:val="000000"/>
          <w:lang w:val="es-ES" w:eastAsia="es-ES"/>
        </w:rPr>
        <w:t>, la Unidad de Espectro Radioeléctrico</w:t>
      </w:r>
      <w:r w:rsidR="00194922" w:rsidRPr="00A801E0">
        <w:rPr>
          <w:rFonts w:ascii="ITC Avant Garde" w:hAnsi="ITC Avant Garde"/>
          <w:color w:val="000000"/>
          <w:lang w:val="es-ES" w:eastAsia="es-ES"/>
        </w:rPr>
        <w:t xml:space="preserve"> (“UER”)</w:t>
      </w:r>
      <w:r w:rsidR="00E55234" w:rsidRPr="00A801E0">
        <w:rPr>
          <w:rFonts w:ascii="ITC Avant Garde" w:hAnsi="ITC Avant Garde"/>
          <w:color w:val="000000"/>
          <w:lang w:val="es-ES" w:eastAsia="es-ES"/>
        </w:rPr>
        <w:t xml:space="preserve">, adscrita al Instituto, </w:t>
      </w:r>
      <w:r w:rsidR="00A42017" w:rsidRPr="00A801E0">
        <w:rPr>
          <w:rFonts w:ascii="ITC Avant Garde" w:hAnsi="ITC Avant Garde"/>
          <w:color w:val="000000"/>
          <w:lang w:val="es-ES" w:eastAsia="es-ES"/>
        </w:rPr>
        <w:t>emitió</w:t>
      </w:r>
      <w:r w:rsidR="002A3071" w:rsidRPr="00A801E0">
        <w:rPr>
          <w:rFonts w:ascii="ITC Avant Garde" w:hAnsi="ITC Avant Garde"/>
          <w:color w:val="000000"/>
          <w:lang w:val="es-ES" w:eastAsia="es-ES"/>
        </w:rPr>
        <w:t xml:space="preserve"> </w:t>
      </w:r>
      <w:r w:rsidR="00DF2A28" w:rsidRPr="00A801E0">
        <w:rPr>
          <w:rFonts w:ascii="ITC Avant Garde" w:hAnsi="ITC Avant Garde"/>
          <w:color w:val="000000"/>
          <w:lang w:val="es-ES" w:eastAsia="es-ES"/>
        </w:rPr>
        <w:t xml:space="preserve">opinión </w:t>
      </w:r>
      <w:r w:rsidR="002C0B72" w:rsidRPr="00A801E0">
        <w:rPr>
          <w:rFonts w:ascii="ITC Avant Garde" w:hAnsi="ITC Avant Garde"/>
          <w:color w:val="000000"/>
          <w:lang w:val="es-ES" w:eastAsia="es-ES"/>
        </w:rPr>
        <w:t>favorable</w:t>
      </w:r>
      <w:r w:rsidR="00D12A8D" w:rsidRPr="00A801E0">
        <w:rPr>
          <w:rFonts w:ascii="ITC Avant Garde" w:hAnsi="ITC Avant Garde"/>
          <w:color w:val="000000"/>
          <w:lang w:val="es-ES" w:eastAsia="es-ES"/>
        </w:rPr>
        <w:t xml:space="preserve"> </w:t>
      </w:r>
      <w:r w:rsidR="00AB07C9" w:rsidRPr="00A801E0">
        <w:rPr>
          <w:rFonts w:ascii="ITC Avant Garde" w:hAnsi="ITC Avant Garde"/>
          <w:color w:val="000000"/>
          <w:lang w:val="es-ES" w:eastAsia="es-ES"/>
        </w:rPr>
        <w:t>respecto a la Solicitud</w:t>
      </w:r>
      <w:r w:rsidR="00326AA1" w:rsidRPr="00A801E0">
        <w:rPr>
          <w:rFonts w:ascii="ITC Avant Garde" w:hAnsi="ITC Avant Garde"/>
          <w:color w:val="000000"/>
          <w:lang w:val="es-ES" w:eastAsia="es-ES"/>
        </w:rPr>
        <w:t xml:space="preserve">, toda vez que no se prevén afectaciones perjudiciales a los expedientes de redes satelitales nacionales existentes ni a los expedientes de redes nacionales en proyecto, provenientes del red satelital B-SAT-1Q, en la </w:t>
      </w:r>
      <w:r w:rsidR="00A01E5E" w:rsidRPr="00A801E0">
        <w:rPr>
          <w:rFonts w:ascii="ITC Avant Garde" w:hAnsi="ITC Avant Garde"/>
          <w:color w:val="000000"/>
          <w:lang w:val="es-ES" w:eastAsia="es-ES"/>
        </w:rPr>
        <w:t>POG 61° O.</w:t>
      </w:r>
    </w:p>
    <w:p w14:paraId="245E7A9F" w14:textId="77777777" w:rsidR="00A801E0" w:rsidRPr="00A801E0" w:rsidRDefault="00C1144F" w:rsidP="00A801E0">
      <w:pPr>
        <w:pStyle w:val="Prrafodelista"/>
        <w:numPr>
          <w:ilvl w:val="0"/>
          <w:numId w:val="8"/>
        </w:numPr>
        <w:spacing w:before="240" w:after="240"/>
        <w:ind w:left="0" w:firstLine="0"/>
        <w:jc w:val="both"/>
        <w:rPr>
          <w:rFonts w:ascii="ITC Avant Garde" w:hAnsi="ITC Avant Garde"/>
          <w:color w:val="000000"/>
          <w:sz w:val="22"/>
          <w:szCs w:val="22"/>
        </w:rPr>
      </w:pPr>
      <w:r w:rsidRPr="00A801E0">
        <w:rPr>
          <w:rFonts w:ascii="ITC Avant Garde" w:hAnsi="ITC Avant Garde"/>
          <w:b/>
          <w:color w:val="000000"/>
          <w:sz w:val="22"/>
          <w:szCs w:val="22"/>
        </w:rPr>
        <w:t xml:space="preserve">Solicitud de opinión a la Secretaría. </w:t>
      </w:r>
      <w:r w:rsidRPr="00A801E0">
        <w:rPr>
          <w:rFonts w:ascii="ITC Avant Garde" w:hAnsi="ITC Avant Garde"/>
          <w:color w:val="000000"/>
          <w:sz w:val="22"/>
          <w:szCs w:val="22"/>
        </w:rPr>
        <w:t>Mediante oficio IFT/223/UCS/</w:t>
      </w:r>
      <w:r w:rsidR="00136F4F" w:rsidRPr="00A801E0">
        <w:rPr>
          <w:rFonts w:ascii="ITC Avant Garde" w:hAnsi="ITC Avant Garde"/>
          <w:color w:val="000000"/>
          <w:sz w:val="22"/>
          <w:szCs w:val="22"/>
        </w:rPr>
        <w:t>DG-AUSE/1877</w:t>
      </w:r>
      <w:r w:rsidRPr="00A801E0">
        <w:rPr>
          <w:rFonts w:ascii="ITC Avant Garde" w:hAnsi="ITC Avant Garde"/>
          <w:color w:val="000000"/>
          <w:sz w:val="22"/>
          <w:szCs w:val="22"/>
        </w:rPr>
        <w:t>/201</w:t>
      </w:r>
      <w:r w:rsidR="00877EB6" w:rsidRPr="00A801E0">
        <w:rPr>
          <w:rFonts w:ascii="ITC Avant Garde" w:hAnsi="ITC Avant Garde"/>
          <w:color w:val="000000"/>
          <w:sz w:val="22"/>
          <w:szCs w:val="22"/>
        </w:rPr>
        <w:t>6</w:t>
      </w:r>
      <w:r w:rsidRPr="00A801E0">
        <w:rPr>
          <w:rFonts w:ascii="ITC Avant Garde" w:hAnsi="ITC Avant Garde"/>
          <w:color w:val="000000"/>
          <w:sz w:val="22"/>
          <w:szCs w:val="22"/>
        </w:rPr>
        <w:t xml:space="preserve"> de fecha </w:t>
      </w:r>
      <w:r w:rsidR="00136F4F" w:rsidRPr="00A801E0">
        <w:rPr>
          <w:rFonts w:ascii="ITC Avant Garde" w:hAnsi="ITC Avant Garde"/>
          <w:color w:val="000000"/>
          <w:sz w:val="22"/>
          <w:szCs w:val="22"/>
        </w:rPr>
        <w:t>18 de abril de 2016</w:t>
      </w:r>
      <w:r w:rsidRPr="00A801E0">
        <w:rPr>
          <w:rFonts w:ascii="ITC Avant Garde" w:hAnsi="ITC Avant Garde"/>
          <w:color w:val="000000"/>
          <w:sz w:val="22"/>
          <w:szCs w:val="22"/>
        </w:rPr>
        <w:t>, la Unidad de Concesiones y Servicios de este Instituto, solicitó a la Secretaría</w:t>
      </w:r>
      <w:r w:rsidR="00AF59A9" w:rsidRPr="00A801E0">
        <w:rPr>
          <w:rFonts w:ascii="ITC Avant Garde" w:hAnsi="ITC Avant Garde"/>
          <w:color w:val="000000"/>
          <w:sz w:val="22"/>
          <w:szCs w:val="22"/>
        </w:rPr>
        <w:t xml:space="preserve"> de Comunicaciones y Transportes (la “Secretaría”)</w:t>
      </w:r>
      <w:r w:rsidRPr="00A801E0">
        <w:rPr>
          <w:rFonts w:ascii="ITC Avant Garde" w:hAnsi="ITC Avant Garde"/>
          <w:color w:val="000000"/>
          <w:sz w:val="22"/>
          <w:szCs w:val="22"/>
        </w:rPr>
        <w:t xml:space="preserve"> opinión respecto a la coordinación </w:t>
      </w:r>
      <w:r w:rsidR="00136F4F" w:rsidRPr="00A801E0">
        <w:rPr>
          <w:rFonts w:ascii="ITC Avant Garde" w:hAnsi="ITC Avant Garde"/>
          <w:color w:val="000000"/>
          <w:sz w:val="22"/>
          <w:szCs w:val="22"/>
        </w:rPr>
        <w:t xml:space="preserve">del satélite Amazonas 5 y la modificación de los rangos de frecuencia </w:t>
      </w:r>
      <w:r w:rsidRPr="00A801E0">
        <w:rPr>
          <w:rFonts w:ascii="ITC Avant Garde" w:hAnsi="ITC Avant Garde"/>
          <w:color w:val="000000"/>
          <w:sz w:val="22"/>
          <w:szCs w:val="22"/>
        </w:rPr>
        <w:t xml:space="preserve">de la red satelital </w:t>
      </w:r>
      <w:r w:rsidR="00F81874" w:rsidRPr="00A801E0">
        <w:rPr>
          <w:rFonts w:ascii="ITC Avant Garde" w:hAnsi="ITC Avant Garde"/>
          <w:color w:val="000000"/>
          <w:sz w:val="22"/>
          <w:szCs w:val="22"/>
        </w:rPr>
        <w:t xml:space="preserve">B-SAT-1Q </w:t>
      </w:r>
      <w:r w:rsidRPr="00A801E0">
        <w:rPr>
          <w:rFonts w:ascii="ITC Avant Garde" w:hAnsi="ITC Avant Garde"/>
          <w:color w:val="000000"/>
          <w:sz w:val="22"/>
          <w:szCs w:val="22"/>
        </w:rPr>
        <w:t xml:space="preserve">y si fuera el caso </w:t>
      </w:r>
      <w:r w:rsidR="007767D0" w:rsidRPr="00A801E0">
        <w:rPr>
          <w:rFonts w:ascii="ITC Avant Garde" w:hAnsi="ITC Avant Garde"/>
          <w:color w:val="000000"/>
          <w:sz w:val="22"/>
          <w:szCs w:val="22"/>
        </w:rPr>
        <w:t>la capacidad satelital</w:t>
      </w:r>
      <w:r w:rsidR="007128B8" w:rsidRPr="00A801E0">
        <w:rPr>
          <w:rFonts w:ascii="ITC Avant Garde" w:hAnsi="ITC Avant Garde"/>
          <w:color w:val="000000"/>
          <w:sz w:val="22"/>
          <w:szCs w:val="22"/>
        </w:rPr>
        <w:t xml:space="preserve"> para</w:t>
      </w:r>
      <w:r w:rsidRPr="00A801E0">
        <w:rPr>
          <w:rFonts w:ascii="ITC Avant Garde" w:hAnsi="ITC Avant Garde"/>
          <w:color w:val="000000"/>
          <w:sz w:val="22"/>
          <w:szCs w:val="22"/>
        </w:rPr>
        <w:t xml:space="preserve"> reserva del Estado</w:t>
      </w:r>
      <w:r w:rsidR="007128B8" w:rsidRPr="00A801E0">
        <w:rPr>
          <w:rFonts w:ascii="ITC Avant Garde" w:hAnsi="ITC Avant Garde"/>
          <w:color w:val="000000"/>
          <w:sz w:val="22"/>
          <w:szCs w:val="22"/>
        </w:rPr>
        <w:t xml:space="preserve"> que debería requerirse a </w:t>
      </w:r>
      <w:proofErr w:type="spellStart"/>
      <w:r w:rsidR="007128B8" w:rsidRPr="00A801E0">
        <w:rPr>
          <w:rFonts w:ascii="ITC Avant Garde" w:hAnsi="ITC Avant Garde"/>
          <w:color w:val="000000"/>
          <w:sz w:val="22"/>
          <w:szCs w:val="22"/>
        </w:rPr>
        <w:t>Hispasat</w:t>
      </w:r>
      <w:proofErr w:type="spellEnd"/>
      <w:r w:rsidRPr="00A801E0">
        <w:rPr>
          <w:rFonts w:ascii="ITC Avant Garde" w:hAnsi="ITC Avant Garde"/>
          <w:color w:val="000000"/>
          <w:sz w:val="22"/>
          <w:szCs w:val="22"/>
        </w:rPr>
        <w:t>.</w:t>
      </w:r>
    </w:p>
    <w:p w14:paraId="3CFD0D46" w14:textId="77777777" w:rsidR="00A801E0" w:rsidRPr="00A801E0" w:rsidRDefault="00142A3D" w:rsidP="00A801E0">
      <w:pPr>
        <w:numPr>
          <w:ilvl w:val="0"/>
          <w:numId w:val="8"/>
        </w:numPr>
        <w:spacing w:before="240" w:after="240" w:line="240" w:lineRule="auto"/>
        <w:ind w:left="0" w:firstLine="0"/>
        <w:jc w:val="both"/>
        <w:rPr>
          <w:rFonts w:ascii="ITC Avant Garde" w:hAnsi="ITC Avant Garde"/>
          <w:color w:val="000000"/>
        </w:rPr>
      </w:pPr>
      <w:r w:rsidRPr="00A801E0">
        <w:rPr>
          <w:rFonts w:ascii="ITC Avant Garde" w:hAnsi="ITC Avant Garde"/>
          <w:b/>
          <w:color w:val="000000"/>
        </w:rPr>
        <w:t xml:space="preserve">Opinión de la Secretaría. </w:t>
      </w:r>
      <w:r w:rsidRPr="00A801E0">
        <w:rPr>
          <w:rFonts w:ascii="ITC Avant Garde" w:hAnsi="ITC Avant Garde"/>
          <w:color w:val="000000"/>
          <w:lang w:val="es-ES" w:eastAsia="es-ES"/>
        </w:rPr>
        <w:t>Mediante oficio 2.1.-</w:t>
      </w:r>
      <w:r w:rsidR="00136F4F" w:rsidRPr="00A801E0">
        <w:rPr>
          <w:rFonts w:ascii="ITC Avant Garde" w:hAnsi="ITC Avant Garde"/>
          <w:color w:val="000000"/>
          <w:lang w:val="es-ES" w:eastAsia="es-ES"/>
        </w:rPr>
        <w:t>356/2016</w:t>
      </w:r>
      <w:r w:rsidRPr="00A801E0">
        <w:rPr>
          <w:rFonts w:ascii="ITC Avant Garde" w:hAnsi="ITC Avant Garde"/>
          <w:color w:val="000000"/>
          <w:lang w:val="es-ES" w:eastAsia="es-ES"/>
        </w:rPr>
        <w:t xml:space="preserve"> de fecha </w:t>
      </w:r>
      <w:r w:rsidR="00136F4F" w:rsidRPr="00A801E0">
        <w:rPr>
          <w:rFonts w:ascii="ITC Avant Garde" w:hAnsi="ITC Avant Garde"/>
          <w:color w:val="000000"/>
          <w:lang w:val="es-ES" w:eastAsia="es-ES"/>
        </w:rPr>
        <w:t>6 de mayo de 2016,</w:t>
      </w:r>
      <w:r w:rsidRPr="00A801E0">
        <w:rPr>
          <w:rFonts w:ascii="ITC Avant Garde" w:hAnsi="ITC Avant Garde"/>
          <w:color w:val="000000"/>
          <w:lang w:val="es-ES" w:eastAsia="es-ES"/>
        </w:rPr>
        <w:t xml:space="preserve"> la Dirección General de Política de Telecomunicaciones y de Radio</w:t>
      </w:r>
      <w:r w:rsidR="00302DFA" w:rsidRPr="00A801E0">
        <w:rPr>
          <w:rFonts w:ascii="ITC Avant Garde" w:hAnsi="ITC Avant Garde"/>
          <w:color w:val="000000"/>
          <w:lang w:val="es-ES" w:eastAsia="es-ES"/>
        </w:rPr>
        <w:t>difusión de la Secretaría informó que la red B-SAT-1Q se identificó</w:t>
      </w:r>
      <w:r w:rsidR="000A14B1" w:rsidRPr="00A801E0">
        <w:rPr>
          <w:rFonts w:ascii="ITC Avant Garde" w:hAnsi="ITC Avant Garde"/>
          <w:color w:val="000000"/>
          <w:lang w:val="es-ES" w:eastAsia="es-ES"/>
        </w:rPr>
        <w:t xml:space="preserve"> como posible afectante de redes satelitales MEXSAT-A-109.2 KA, MEXSAT-A-113.0 KA, MEXSAT-A-116.8 KA y MEXSAT-A-114.9 KA</w:t>
      </w:r>
      <w:r w:rsidR="00302DFA" w:rsidRPr="00A801E0">
        <w:rPr>
          <w:rFonts w:ascii="ITC Avant Garde" w:hAnsi="ITC Avant Garde"/>
          <w:color w:val="000000"/>
          <w:lang w:val="es-ES" w:eastAsia="es-ES"/>
        </w:rPr>
        <w:t xml:space="preserve">, sin embargo, </w:t>
      </w:r>
      <w:r w:rsidR="00877EB6" w:rsidRPr="00A801E0">
        <w:rPr>
          <w:rFonts w:ascii="ITC Avant Garde" w:hAnsi="ITC Avant Garde"/>
          <w:color w:val="000000"/>
          <w:lang w:val="es-ES" w:eastAsia="es-ES"/>
        </w:rPr>
        <w:t xml:space="preserve">señaló, </w:t>
      </w:r>
      <w:r w:rsidR="00302DFA" w:rsidRPr="00A801E0">
        <w:rPr>
          <w:rFonts w:ascii="ITC Avant Garde" w:hAnsi="ITC Avant Garde"/>
          <w:color w:val="000000"/>
          <w:lang w:val="es-ES" w:eastAsia="es-ES"/>
        </w:rPr>
        <w:t xml:space="preserve">dichas redes mexicanas fueron suprimidas de los registros de la Unión Internacional de Telecomunicaciones (“UIT”), por lo que la coordinación no es necesaria, adicionalmente </w:t>
      </w:r>
      <w:r w:rsidRPr="00A801E0">
        <w:rPr>
          <w:rFonts w:ascii="ITC Avant Garde" w:hAnsi="ITC Avant Garde" w:cs="Tahoma"/>
          <w:bCs/>
          <w:color w:val="000000" w:themeColor="text1"/>
          <w:lang w:eastAsia="es-MX"/>
        </w:rPr>
        <w:t xml:space="preserve">se pronunció respecto a la capacidad satelital </w:t>
      </w:r>
      <w:r w:rsidR="00723556" w:rsidRPr="00A801E0">
        <w:rPr>
          <w:rFonts w:ascii="ITC Avant Garde" w:hAnsi="ITC Avant Garde" w:cs="Tahoma"/>
          <w:bCs/>
          <w:color w:val="000000" w:themeColor="text1"/>
          <w:lang w:eastAsia="es-MX"/>
        </w:rPr>
        <w:t>e</w:t>
      </w:r>
      <w:r w:rsidRPr="00A801E0">
        <w:rPr>
          <w:rFonts w:ascii="ITC Avant Garde" w:hAnsi="ITC Avant Garde" w:cs="Tahoma"/>
          <w:bCs/>
          <w:color w:val="000000" w:themeColor="text1"/>
          <w:lang w:eastAsia="es-MX"/>
        </w:rPr>
        <w:t xml:space="preserve">stablecida como reserva del </w:t>
      </w:r>
      <w:r w:rsidR="00723556" w:rsidRPr="00A801E0">
        <w:rPr>
          <w:rFonts w:ascii="ITC Avant Garde" w:hAnsi="ITC Avant Garde" w:cs="Tahoma"/>
          <w:bCs/>
          <w:color w:val="000000" w:themeColor="text1"/>
          <w:lang w:eastAsia="es-MX"/>
        </w:rPr>
        <w:t>E</w:t>
      </w:r>
      <w:r w:rsidRPr="00A801E0">
        <w:rPr>
          <w:rFonts w:ascii="ITC Avant Garde" w:hAnsi="ITC Avant Garde" w:cs="Tahoma"/>
          <w:bCs/>
          <w:color w:val="000000" w:themeColor="text1"/>
          <w:lang w:eastAsia="es-MX"/>
        </w:rPr>
        <w:t>stado</w:t>
      </w:r>
      <w:r w:rsidR="00302DFA" w:rsidRPr="00A801E0">
        <w:rPr>
          <w:rFonts w:ascii="ITC Avant Garde" w:hAnsi="ITC Avant Garde" w:cs="Tahoma"/>
          <w:bCs/>
          <w:color w:val="000000" w:themeColor="text1"/>
          <w:lang w:eastAsia="es-MX"/>
        </w:rPr>
        <w:t xml:space="preserve"> indicando que no es necesario modificar la establecida actualmente en la Concesión</w:t>
      </w:r>
      <w:r w:rsidRPr="00A801E0">
        <w:rPr>
          <w:rFonts w:ascii="ITC Avant Garde" w:hAnsi="ITC Avant Garde" w:cs="Tahoma"/>
          <w:bCs/>
          <w:color w:val="000000" w:themeColor="text1"/>
          <w:lang w:eastAsia="es-MX"/>
        </w:rPr>
        <w:t>.</w:t>
      </w:r>
    </w:p>
    <w:p w14:paraId="50EF424F" w14:textId="77777777" w:rsidR="00A801E0" w:rsidRPr="00A801E0" w:rsidRDefault="00A05167" w:rsidP="00A801E0">
      <w:pPr>
        <w:spacing w:before="240" w:after="240"/>
        <w:jc w:val="both"/>
        <w:rPr>
          <w:rFonts w:ascii="ITC Avant Garde" w:hAnsi="ITC Avant Garde"/>
          <w:bCs/>
          <w:color w:val="000000"/>
          <w:lang w:eastAsia="es-MX"/>
        </w:rPr>
      </w:pPr>
      <w:r w:rsidRPr="00A801E0">
        <w:rPr>
          <w:rFonts w:ascii="ITC Avant Garde" w:hAnsi="ITC Avant Garde"/>
          <w:bCs/>
          <w:color w:val="000000"/>
          <w:lang w:eastAsia="es-MX"/>
        </w:rPr>
        <w:t>En virtud de los Antecedentes referidos, y</w:t>
      </w:r>
    </w:p>
    <w:p w14:paraId="0A7245F2" w14:textId="77777777" w:rsidR="00A801E0" w:rsidRPr="00A801E0" w:rsidRDefault="00A05167" w:rsidP="00A801E0">
      <w:pPr>
        <w:pStyle w:val="Ttulo2"/>
        <w:spacing w:after="240"/>
        <w:jc w:val="center"/>
        <w:rPr>
          <w:rFonts w:ascii="ITC Avant Garde" w:hAnsi="ITC Avant Garde"/>
          <w:b/>
          <w:color w:val="000000" w:themeColor="text1"/>
          <w:sz w:val="22"/>
          <w:szCs w:val="22"/>
        </w:rPr>
      </w:pPr>
      <w:r w:rsidRPr="00A801E0">
        <w:rPr>
          <w:rFonts w:ascii="ITC Avant Garde" w:hAnsi="ITC Avant Garde"/>
          <w:b/>
          <w:color w:val="000000" w:themeColor="text1"/>
          <w:sz w:val="22"/>
          <w:szCs w:val="22"/>
        </w:rPr>
        <w:t>CONSIDERANDO</w:t>
      </w:r>
    </w:p>
    <w:p w14:paraId="4EAB59CE" w14:textId="77777777" w:rsidR="00A801E0" w:rsidRPr="00A801E0" w:rsidRDefault="00A42017" w:rsidP="00A801E0">
      <w:pPr>
        <w:autoSpaceDE w:val="0"/>
        <w:autoSpaceDN w:val="0"/>
        <w:adjustRightInd w:val="0"/>
        <w:spacing w:before="240" w:after="240" w:line="240" w:lineRule="auto"/>
        <w:jc w:val="both"/>
        <w:rPr>
          <w:rFonts w:ascii="ITC Avant Garde" w:hAnsi="ITC Avant Garde"/>
          <w:color w:val="000000"/>
          <w:lang w:val="es-ES" w:eastAsia="es-ES"/>
        </w:rPr>
      </w:pPr>
      <w:r w:rsidRPr="00A801E0">
        <w:rPr>
          <w:rFonts w:ascii="ITC Avant Garde" w:hAnsi="ITC Avant Garde" w:cs="Arial"/>
          <w:b/>
          <w:bCs/>
          <w:color w:val="000000"/>
          <w:shd w:val="clear" w:color="auto" w:fill="FFFFFF"/>
        </w:rPr>
        <w:t>Primero.- Competencia</w:t>
      </w:r>
      <w:r w:rsidR="00DF2DCE" w:rsidRPr="00A801E0">
        <w:rPr>
          <w:rFonts w:ascii="ITC Avant Garde" w:hAnsi="ITC Avant Garde" w:cs="Arial"/>
          <w:b/>
          <w:bCs/>
          <w:color w:val="000000"/>
          <w:shd w:val="clear" w:color="auto" w:fill="FFFFFF"/>
        </w:rPr>
        <w:t xml:space="preserve"> del Instituto</w:t>
      </w:r>
      <w:r w:rsidRPr="00A801E0">
        <w:rPr>
          <w:rFonts w:ascii="ITC Avant Garde" w:hAnsi="ITC Avant Garde" w:cs="Arial"/>
          <w:b/>
          <w:bCs/>
          <w:color w:val="000000"/>
          <w:shd w:val="clear" w:color="auto" w:fill="FFFFFF"/>
        </w:rPr>
        <w:t>.</w:t>
      </w:r>
      <w:r w:rsidRPr="00A801E0">
        <w:rPr>
          <w:rFonts w:ascii="ITC Avant Garde" w:hAnsi="ITC Avant Garde" w:cs="Arial"/>
        </w:rPr>
        <w:t xml:space="preserve"> </w:t>
      </w:r>
      <w:r w:rsidRPr="00A801E0">
        <w:rPr>
          <w:rFonts w:ascii="ITC Avant Garde" w:hAnsi="ITC Avant Garde"/>
          <w:color w:val="000000"/>
          <w:lang w:val="es-ES" w:eastAsia="es-ES"/>
        </w:rPr>
        <w:t>Conforme lo dispone el artículo 28</w:t>
      </w:r>
      <w:r w:rsidR="00DF2DCE" w:rsidRPr="00A801E0">
        <w:rPr>
          <w:rFonts w:ascii="ITC Avant Garde" w:hAnsi="ITC Avant Garde"/>
          <w:color w:val="000000"/>
          <w:lang w:val="es-ES" w:eastAsia="es-ES"/>
        </w:rPr>
        <w:t>,</w:t>
      </w:r>
      <w:r w:rsidRPr="00A801E0">
        <w:rPr>
          <w:rFonts w:ascii="ITC Avant Garde" w:hAnsi="ITC Avant Garde"/>
          <w:color w:val="000000"/>
          <w:lang w:val="es-ES" w:eastAsia="es-ES"/>
        </w:rPr>
        <w:t xml:space="preserve"> párrafo décimo quinto</w:t>
      </w:r>
      <w:r w:rsidR="00DF2DCE" w:rsidRPr="00A801E0">
        <w:rPr>
          <w:rFonts w:ascii="ITC Avant Garde" w:hAnsi="ITC Avant Garde"/>
          <w:color w:val="000000"/>
          <w:lang w:val="es-ES" w:eastAsia="es-ES"/>
        </w:rPr>
        <w:t>,</w:t>
      </w:r>
      <w:r w:rsidRPr="00A801E0">
        <w:rPr>
          <w:rFonts w:ascii="ITC Avant Garde" w:hAnsi="ITC Avant Garde"/>
          <w:color w:val="000000"/>
          <w:lang w:val="es-ES" w:eastAsia="es-ES"/>
        </w:rPr>
        <w:t xml:space="preserve"> de la Constitución Política de los Estados Unidos Mexicanos (la “Constitución”), el Instituto es un órgano autónomo con personalidad jurídica y patrimonio propio, que tiene por objeto el desarrollo eficiente de la radiodifusión y las telecomunicaciones, acorde a </w:t>
      </w:r>
      <w:r w:rsidRPr="00A801E0">
        <w:rPr>
          <w:rFonts w:ascii="ITC Avant Garde" w:hAnsi="ITC Avant Garde"/>
          <w:color w:val="000000"/>
          <w:lang w:val="es-ES" w:eastAsia="es-ES"/>
        </w:rPr>
        <w:lastRenderedPageBreak/>
        <w:t>lo dispuesto por la propia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w:t>
      </w:r>
      <w:r w:rsidR="00DF2DCE" w:rsidRPr="00A801E0">
        <w:rPr>
          <w:rFonts w:ascii="ITC Avant Garde" w:hAnsi="ITC Avant Garde"/>
          <w:color w:val="000000"/>
          <w:lang w:val="es-ES" w:eastAsia="es-ES"/>
        </w:rPr>
        <w:t>,de la Constitución</w:t>
      </w:r>
      <w:r w:rsidRPr="00A801E0">
        <w:rPr>
          <w:rFonts w:ascii="ITC Avant Garde" w:hAnsi="ITC Avant Garde"/>
          <w:color w:val="000000"/>
          <w:lang w:val="es-ES" w:eastAsia="es-ES"/>
        </w:rPr>
        <w:t>.</w:t>
      </w:r>
    </w:p>
    <w:p w14:paraId="26DDD1C2" w14:textId="77777777" w:rsidR="00A801E0" w:rsidRPr="00A801E0" w:rsidRDefault="00A42017" w:rsidP="00A801E0">
      <w:pPr>
        <w:autoSpaceDE w:val="0"/>
        <w:autoSpaceDN w:val="0"/>
        <w:adjustRightInd w:val="0"/>
        <w:spacing w:before="240" w:after="240" w:line="240" w:lineRule="auto"/>
        <w:jc w:val="both"/>
        <w:rPr>
          <w:rFonts w:ascii="ITC Avant Garde" w:hAnsi="ITC Avant Garde"/>
          <w:color w:val="000000"/>
          <w:lang w:val="es-ES" w:eastAsia="es-ES"/>
        </w:rPr>
      </w:pPr>
      <w:r w:rsidRPr="00A801E0">
        <w:rPr>
          <w:rFonts w:ascii="ITC Avant Garde" w:hAnsi="ITC Avant Garde"/>
          <w:color w:val="000000"/>
          <w:lang w:val="es-ES" w:eastAsia="es-ES"/>
        </w:rPr>
        <w:t xml:space="preserve">Asimismo, </w:t>
      </w:r>
      <w:r w:rsidR="00DF2DCE" w:rsidRPr="00A801E0">
        <w:rPr>
          <w:rFonts w:ascii="ITC Avant Garde" w:hAnsi="ITC Avant Garde"/>
          <w:color w:val="000000"/>
          <w:lang w:val="es-ES" w:eastAsia="es-ES"/>
        </w:rPr>
        <w:t>de conformi</w:t>
      </w:r>
      <w:r w:rsidR="00385C51" w:rsidRPr="00A801E0">
        <w:rPr>
          <w:rFonts w:ascii="ITC Avant Garde" w:hAnsi="ITC Avant Garde"/>
          <w:color w:val="000000"/>
          <w:lang w:val="es-ES" w:eastAsia="es-ES"/>
        </w:rPr>
        <w:t xml:space="preserve">dad con el artículo 28, párrafo décimo sexto, de la Constitución </w:t>
      </w:r>
      <w:r w:rsidRPr="00A801E0">
        <w:rPr>
          <w:rFonts w:ascii="ITC Avant Garde" w:hAnsi="ITC Avant Garde"/>
          <w:color w:val="000000"/>
          <w:lang w:val="es-ES" w:eastAsia="es-ES"/>
        </w:rPr>
        <w:t>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concesionamiento y a la propiedad cruzada que controle varios medios de comunicación que sean concesionarios de radiodifusión y telecomunicaciones que sirvan a un mismo mercado o zona de cobertura geográfica</w:t>
      </w:r>
      <w:r w:rsidR="00A81B29" w:rsidRPr="00A801E0">
        <w:rPr>
          <w:rFonts w:ascii="ITC Avant Garde" w:hAnsi="ITC Avant Garde"/>
          <w:color w:val="000000"/>
          <w:lang w:val="es-ES" w:eastAsia="es-ES"/>
        </w:rPr>
        <w:t>.</w:t>
      </w:r>
    </w:p>
    <w:p w14:paraId="66A4232F" w14:textId="77777777" w:rsidR="00A801E0" w:rsidRPr="00A801E0" w:rsidRDefault="00A42017" w:rsidP="00A801E0">
      <w:pPr>
        <w:autoSpaceDE w:val="0"/>
        <w:autoSpaceDN w:val="0"/>
        <w:adjustRightInd w:val="0"/>
        <w:spacing w:before="240" w:after="240" w:line="240" w:lineRule="auto"/>
        <w:jc w:val="both"/>
        <w:rPr>
          <w:rFonts w:ascii="ITC Avant Garde" w:hAnsi="ITC Avant Garde"/>
          <w:bCs/>
        </w:rPr>
      </w:pPr>
      <w:r w:rsidRPr="00A801E0">
        <w:rPr>
          <w:rFonts w:ascii="ITC Avant Garde" w:hAnsi="ITC Avant Garde"/>
          <w:bCs/>
        </w:rPr>
        <w:t>Por su parte, el artículo 6</w:t>
      </w:r>
      <w:r w:rsidR="00385C51" w:rsidRPr="00A801E0">
        <w:rPr>
          <w:rFonts w:ascii="ITC Avant Garde" w:hAnsi="ITC Avant Garde"/>
          <w:bCs/>
        </w:rPr>
        <w:t>,</w:t>
      </w:r>
      <w:r w:rsidRPr="00A801E0">
        <w:rPr>
          <w:rFonts w:ascii="ITC Avant Garde" w:hAnsi="ITC Avant Garde"/>
          <w:bCs/>
        </w:rPr>
        <w:t xml:space="preserve"> fracción I</w:t>
      </w:r>
      <w:r w:rsidR="00385C51" w:rsidRPr="00A801E0">
        <w:rPr>
          <w:rFonts w:ascii="ITC Avant Garde" w:hAnsi="ITC Avant Garde"/>
          <w:bCs/>
        </w:rPr>
        <w:t>,</w:t>
      </w:r>
      <w:r w:rsidRPr="00A801E0">
        <w:rPr>
          <w:rFonts w:ascii="ITC Avant Garde" w:hAnsi="ITC Avant Garde"/>
          <w:bCs/>
        </w:rPr>
        <w:t xml:space="preserve"> del Estatuto Orgánico, establece la atribución del Pleno del Instituto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4BBAFAD8" w14:textId="77777777" w:rsidR="00A801E0" w:rsidRPr="00A801E0" w:rsidRDefault="00C1144F" w:rsidP="00A801E0">
      <w:pPr>
        <w:autoSpaceDE w:val="0"/>
        <w:autoSpaceDN w:val="0"/>
        <w:adjustRightInd w:val="0"/>
        <w:spacing w:before="240" w:after="240" w:line="240" w:lineRule="auto"/>
        <w:jc w:val="both"/>
        <w:rPr>
          <w:rFonts w:ascii="ITC Avant Garde" w:hAnsi="ITC Avant Garde"/>
          <w:bCs/>
        </w:rPr>
      </w:pPr>
      <w:r w:rsidRPr="00A801E0">
        <w:rPr>
          <w:rFonts w:ascii="ITC Avant Garde" w:hAnsi="ITC Avant Garde"/>
          <w:bCs/>
        </w:rPr>
        <w:t>Ahora bien, conforme a lo establecido en los artículos 15, fracción IV, y 17, fracción I</w:t>
      </w:r>
      <w:r w:rsidR="00385C51" w:rsidRPr="00A801E0">
        <w:rPr>
          <w:rFonts w:ascii="ITC Avant Garde" w:hAnsi="ITC Avant Garde"/>
          <w:bCs/>
        </w:rPr>
        <w:t>,</w:t>
      </w:r>
      <w:r w:rsidRPr="00A801E0">
        <w:rPr>
          <w:rFonts w:ascii="ITC Avant Garde" w:hAnsi="ITC Avant Garde"/>
          <w:bCs/>
        </w:rPr>
        <w:t xml:space="preserve"> de la Ley Federal de Telecomunicaciones y Radiodifusión (la “</w:t>
      </w:r>
      <w:proofErr w:type="spellStart"/>
      <w:r w:rsidRPr="00A801E0">
        <w:rPr>
          <w:rFonts w:ascii="ITC Avant Garde" w:hAnsi="ITC Avant Garde"/>
          <w:bCs/>
        </w:rPr>
        <w:t>LFTyR</w:t>
      </w:r>
      <w:proofErr w:type="spellEnd"/>
      <w:r w:rsidRPr="00A801E0">
        <w:rPr>
          <w:rFonts w:ascii="ITC Avant Garde" w:hAnsi="ITC Avant Garde"/>
          <w:bCs/>
        </w:rPr>
        <w:t xml:space="preserve">”), corresponde al Pleno del Instituto la facultad de manera exclusiva e indelegable </w:t>
      </w:r>
      <w:r w:rsidR="00AF59A9" w:rsidRPr="00A801E0">
        <w:rPr>
          <w:rFonts w:ascii="ITC Avant Garde" w:hAnsi="ITC Avant Garde"/>
          <w:bCs/>
        </w:rPr>
        <w:t xml:space="preserve">de </w:t>
      </w:r>
      <w:r w:rsidRPr="00A801E0">
        <w:rPr>
          <w:rFonts w:ascii="ITC Avant Garde" w:hAnsi="ITC Avant Garde"/>
          <w:bCs/>
        </w:rPr>
        <w:t>resolver sobre la modificación de las concesiones.</w:t>
      </w:r>
    </w:p>
    <w:p w14:paraId="39BFED25" w14:textId="77777777" w:rsidR="00A801E0" w:rsidRPr="00A801E0" w:rsidRDefault="00C1144F" w:rsidP="00A801E0">
      <w:pPr>
        <w:autoSpaceDE w:val="0"/>
        <w:autoSpaceDN w:val="0"/>
        <w:adjustRightInd w:val="0"/>
        <w:spacing w:before="240" w:after="240" w:line="240" w:lineRule="auto"/>
        <w:jc w:val="both"/>
        <w:rPr>
          <w:rFonts w:ascii="ITC Avant Garde" w:hAnsi="ITC Avant Garde"/>
          <w:bCs/>
        </w:rPr>
      </w:pPr>
      <w:r w:rsidRPr="00A801E0">
        <w:rPr>
          <w:rFonts w:ascii="ITC Avant Garde" w:hAnsi="ITC Avant Garde"/>
          <w:bCs/>
        </w:rPr>
        <w:t>Asimismo,</w:t>
      </w:r>
      <w:r w:rsidRPr="00A801E0">
        <w:rPr>
          <w:rFonts w:ascii="ITC Avant Garde" w:hAnsi="ITC Avant Garde" w:cs="Tahoma"/>
          <w:bCs/>
          <w:lang w:eastAsia="es-MX"/>
        </w:rPr>
        <w:t xml:space="preserve"> de acuerdo al artículo 32 del Estatuto Orgánico, corresponden originariamente a l</w:t>
      </w:r>
      <w:r w:rsidRPr="00A801E0">
        <w:rPr>
          <w:rFonts w:ascii="ITC Avant Garde" w:hAnsi="ITC Avant Garde"/>
          <w:bCs/>
        </w:rPr>
        <w:t xml:space="preserve">a Unidad de Concesiones y Servicios, las atribuciones de la </w:t>
      </w:r>
      <w:r w:rsidRPr="00A801E0">
        <w:rPr>
          <w:rFonts w:ascii="ITC Avant Garde" w:hAnsi="ITC Avant Garde" w:cs="Tahoma"/>
          <w:bCs/>
          <w:lang w:eastAsia="es-MX"/>
        </w:rPr>
        <w:t xml:space="preserve">Dirección General de Concesiones de Telecomunicaciones, ésta última de conformidad con el artículo 33, fracción II le </w:t>
      </w:r>
      <w:r w:rsidRPr="00A801E0">
        <w:rPr>
          <w:rFonts w:ascii="ITC Avant Garde" w:hAnsi="ITC Avant Garde"/>
          <w:bCs/>
        </w:rPr>
        <w:t xml:space="preserve">corresponde </w:t>
      </w:r>
      <w:r w:rsidRPr="00A801E0">
        <w:rPr>
          <w:rFonts w:ascii="ITC Avant Garde" w:hAnsi="ITC Avant Garde"/>
          <w:lang w:val="es-ES_tradnl"/>
        </w:rPr>
        <w:t xml:space="preserve">tramitar y evaluar las solicitudes de cesión, modificación o </w:t>
      </w:r>
      <w:r w:rsidRPr="00A801E0">
        <w:rPr>
          <w:rFonts w:ascii="ITC Avant Garde" w:hAnsi="ITC Avant Garde"/>
          <w:bCs/>
        </w:rPr>
        <w:t>prórroga de las concesiones en materia de telecomunicaciones, para someterlas a consideración del Pleno del Instituto.</w:t>
      </w:r>
    </w:p>
    <w:p w14:paraId="06C4F4F9" w14:textId="77777777" w:rsidR="00A801E0" w:rsidRPr="00A801E0" w:rsidRDefault="00A42017" w:rsidP="00A801E0">
      <w:pPr>
        <w:autoSpaceDE w:val="0"/>
        <w:autoSpaceDN w:val="0"/>
        <w:adjustRightInd w:val="0"/>
        <w:spacing w:before="240" w:after="240" w:line="240" w:lineRule="auto"/>
        <w:jc w:val="both"/>
        <w:rPr>
          <w:rFonts w:ascii="ITC Avant Garde" w:hAnsi="ITC Avant Garde"/>
          <w:bCs/>
        </w:rPr>
      </w:pPr>
      <w:r w:rsidRPr="00A801E0">
        <w:rPr>
          <w:rFonts w:ascii="ITC Avant Garde" w:hAnsi="ITC Avant Garde"/>
          <w:bCs/>
        </w:rPr>
        <w:t xml:space="preserve">En este orden de ideas, el Instituto tiene a su cargo la regulación, promoción y supervisión de las telecomunicaciones, así como la </w:t>
      </w:r>
      <w:r w:rsidR="00335EB3" w:rsidRPr="00A801E0">
        <w:rPr>
          <w:rFonts w:ascii="ITC Avant Garde" w:hAnsi="ITC Avant Garde"/>
          <w:bCs/>
        </w:rPr>
        <w:t>atribución</w:t>
      </w:r>
      <w:r w:rsidRPr="00A801E0">
        <w:rPr>
          <w:rFonts w:ascii="ITC Avant Garde" w:hAnsi="ITC Avant Garde"/>
          <w:bCs/>
        </w:rPr>
        <w:t xml:space="preserve"> de otorgar concesiones, prórrogas, modificación o terminación de las mismas, por lo que el Pleno</w:t>
      </w:r>
      <w:r w:rsidR="00C1144F" w:rsidRPr="00A801E0">
        <w:rPr>
          <w:rFonts w:ascii="ITC Avant Garde" w:hAnsi="ITC Avant Garde"/>
          <w:bCs/>
        </w:rPr>
        <w:t xml:space="preserve"> del Instituto</w:t>
      </w:r>
      <w:r w:rsidRPr="00A801E0">
        <w:rPr>
          <w:rFonts w:ascii="ITC Avant Garde" w:hAnsi="ITC Avant Garde"/>
          <w:bCs/>
        </w:rPr>
        <w:t xml:space="preserve">, como órgano máximo de gobierno del </w:t>
      </w:r>
      <w:r w:rsidR="00C1144F" w:rsidRPr="00A801E0">
        <w:rPr>
          <w:rFonts w:ascii="ITC Avant Garde" w:hAnsi="ITC Avant Garde"/>
          <w:bCs/>
        </w:rPr>
        <w:t>mismo</w:t>
      </w:r>
      <w:r w:rsidRPr="00A801E0">
        <w:rPr>
          <w:rFonts w:ascii="ITC Avant Garde" w:hAnsi="ITC Avant Garde"/>
          <w:bCs/>
        </w:rPr>
        <w:t>, se encuentra plenamente facultado para resolver la Solicitud de mérito.</w:t>
      </w:r>
    </w:p>
    <w:p w14:paraId="2CEE9500" w14:textId="77777777" w:rsidR="00A801E0" w:rsidRPr="00A801E0" w:rsidRDefault="00980477" w:rsidP="00A801E0">
      <w:pPr>
        <w:autoSpaceDE w:val="0"/>
        <w:autoSpaceDN w:val="0"/>
        <w:adjustRightInd w:val="0"/>
        <w:spacing w:before="240" w:after="240" w:line="240" w:lineRule="auto"/>
        <w:jc w:val="both"/>
        <w:rPr>
          <w:rFonts w:ascii="ITC Avant Garde" w:hAnsi="ITC Avant Garde"/>
          <w:bCs/>
        </w:rPr>
      </w:pPr>
      <w:r w:rsidRPr="00A801E0">
        <w:rPr>
          <w:rFonts w:ascii="ITC Avant Garde" w:hAnsi="ITC Avant Garde"/>
          <w:bCs/>
        </w:rPr>
        <w:t>Ahora bien</w:t>
      </w:r>
      <w:r w:rsidR="00302DFA" w:rsidRPr="00A801E0">
        <w:rPr>
          <w:rFonts w:ascii="ITC Avant Garde" w:hAnsi="ITC Avant Garde"/>
          <w:bCs/>
        </w:rPr>
        <w:t xml:space="preserve">, </w:t>
      </w:r>
      <w:r w:rsidR="00302DFA" w:rsidRPr="00A801E0">
        <w:rPr>
          <w:rFonts w:ascii="ITC Avant Garde" w:hAnsi="ITC Avant Garde"/>
          <w:bCs/>
          <w:color w:val="000000"/>
          <w:lang w:eastAsia="es-MX"/>
        </w:rPr>
        <w:t>la normatividad aplicable</w:t>
      </w:r>
      <w:r w:rsidR="00302DFA" w:rsidRPr="00A801E0">
        <w:rPr>
          <w:rFonts w:ascii="ITC Avant Garde" w:hAnsi="ITC Avant Garde"/>
          <w:bCs/>
        </w:rPr>
        <w:t xml:space="preserve"> que establece los requisitos de procedencia para solicitar y, en su caso, modificar concesiones, se encuentra contenida en la </w:t>
      </w:r>
      <w:proofErr w:type="spellStart"/>
      <w:r w:rsidR="00302DFA" w:rsidRPr="00A801E0">
        <w:rPr>
          <w:rFonts w:ascii="ITC Avant Garde" w:hAnsi="ITC Avant Garde"/>
          <w:bCs/>
        </w:rPr>
        <w:t>LFTyR</w:t>
      </w:r>
      <w:proofErr w:type="spellEnd"/>
      <w:r w:rsidR="00302DFA" w:rsidRPr="00A801E0">
        <w:rPr>
          <w:rFonts w:ascii="ITC Avant Garde" w:hAnsi="ITC Avant Garde"/>
          <w:bCs/>
        </w:rPr>
        <w:t xml:space="preserve"> y lo est</w:t>
      </w:r>
      <w:r w:rsidR="00335EB3" w:rsidRPr="00A801E0">
        <w:rPr>
          <w:rFonts w:ascii="ITC Avant Garde" w:hAnsi="ITC Avant Garde"/>
          <w:bCs/>
        </w:rPr>
        <w:t>ipulado</w:t>
      </w:r>
      <w:r w:rsidR="00302DFA" w:rsidRPr="00A801E0">
        <w:rPr>
          <w:rFonts w:ascii="ITC Avant Garde" w:hAnsi="ITC Avant Garde"/>
          <w:bCs/>
        </w:rPr>
        <w:t xml:space="preserve"> en los propios títulos de concesión.</w:t>
      </w:r>
    </w:p>
    <w:p w14:paraId="68E40F81" w14:textId="77777777" w:rsidR="00A801E0" w:rsidRPr="00A801E0" w:rsidRDefault="00302DFA" w:rsidP="00A801E0">
      <w:pPr>
        <w:autoSpaceDE w:val="0"/>
        <w:autoSpaceDN w:val="0"/>
        <w:adjustRightInd w:val="0"/>
        <w:spacing w:before="240" w:after="240" w:line="240" w:lineRule="auto"/>
        <w:jc w:val="both"/>
        <w:rPr>
          <w:rFonts w:ascii="ITC Avant Garde" w:hAnsi="ITC Avant Garde"/>
          <w:bCs/>
        </w:rPr>
      </w:pPr>
      <w:r w:rsidRPr="00A801E0">
        <w:rPr>
          <w:rFonts w:ascii="ITC Avant Garde" w:hAnsi="ITC Avant Garde"/>
          <w:bCs/>
        </w:rPr>
        <w:lastRenderedPageBreak/>
        <w:t xml:space="preserve">Asimismo, el </w:t>
      </w:r>
      <w:r w:rsidR="00AF59A9" w:rsidRPr="00A801E0">
        <w:rPr>
          <w:rFonts w:ascii="ITC Avant Garde" w:hAnsi="ITC Avant Garde"/>
          <w:bCs/>
        </w:rPr>
        <w:t xml:space="preserve">artículo 28 de la Constitución </w:t>
      </w:r>
      <w:r w:rsidR="00956D01" w:rsidRPr="00A801E0">
        <w:rPr>
          <w:rFonts w:ascii="ITC Avant Garde" w:hAnsi="ITC Avant Garde"/>
          <w:bCs/>
        </w:rPr>
        <w:t xml:space="preserve">y la </w:t>
      </w:r>
      <w:proofErr w:type="spellStart"/>
      <w:r w:rsidR="00956D01" w:rsidRPr="00A801E0">
        <w:rPr>
          <w:rFonts w:ascii="ITC Avant Garde" w:hAnsi="ITC Avant Garde"/>
          <w:bCs/>
        </w:rPr>
        <w:t>LFTyR</w:t>
      </w:r>
      <w:proofErr w:type="spellEnd"/>
      <w:r w:rsidRPr="00A801E0">
        <w:rPr>
          <w:rFonts w:ascii="ITC Avant Garde" w:hAnsi="ITC Avant Garde"/>
          <w:bCs/>
        </w:rPr>
        <w:t>, concede</w:t>
      </w:r>
      <w:r w:rsidR="00335EB3" w:rsidRPr="00A801E0">
        <w:rPr>
          <w:rFonts w:ascii="ITC Avant Garde" w:hAnsi="ITC Avant Garde"/>
          <w:bCs/>
        </w:rPr>
        <w:t>n</w:t>
      </w:r>
      <w:r w:rsidRPr="00A801E0">
        <w:rPr>
          <w:rFonts w:ascii="ITC Avant Garde" w:hAnsi="ITC Avant Garde"/>
          <w:bCs/>
        </w:rPr>
        <w:t xml:space="preserve"> la facultad al Instituto para otorgar concesiones</w:t>
      </w:r>
      <w:r w:rsidR="00335EB3" w:rsidRPr="00A801E0">
        <w:rPr>
          <w:rFonts w:ascii="ITC Avant Garde" w:hAnsi="ITC Avant Garde"/>
          <w:bCs/>
        </w:rPr>
        <w:t>,</w:t>
      </w:r>
      <w:r w:rsidRPr="00A801E0">
        <w:rPr>
          <w:rFonts w:ascii="ITC Avant Garde" w:hAnsi="ITC Avant Garde"/>
          <w:bCs/>
        </w:rPr>
        <w:t xml:space="preserve"> así como para resolver cualquier solicitud de modificación a las características técnicas y administrativas de dichas concesiones, como es la contenida en la presente Resolución.</w:t>
      </w:r>
    </w:p>
    <w:p w14:paraId="2D4FC8B2" w14:textId="77777777" w:rsidR="00A801E0" w:rsidRPr="00A801E0" w:rsidRDefault="00074A2E"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b/>
          <w:color w:val="000000"/>
          <w:sz w:val="22"/>
          <w:szCs w:val="22"/>
          <w:lang w:val="es-ES" w:eastAsia="es-ES"/>
        </w:rPr>
        <w:t>Segundo</w:t>
      </w:r>
      <w:r w:rsidR="00C614CA" w:rsidRPr="00A801E0">
        <w:rPr>
          <w:rFonts w:ascii="ITC Avant Garde" w:hAnsi="ITC Avant Garde"/>
          <w:b/>
          <w:color w:val="000000"/>
          <w:sz w:val="22"/>
          <w:szCs w:val="22"/>
          <w:lang w:val="es-ES" w:eastAsia="es-ES"/>
        </w:rPr>
        <w:t>.- Análisis de la</w:t>
      </w:r>
      <w:r w:rsidR="00430744" w:rsidRPr="00A801E0">
        <w:rPr>
          <w:rFonts w:ascii="ITC Avant Garde" w:hAnsi="ITC Avant Garde"/>
          <w:b/>
          <w:color w:val="000000"/>
          <w:sz w:val="22"/>
          <w:szCs w:val="22"/>
          <w:lang w:val="es-ES" w:eastAsia="es-ES"/>
        </w:rPr>
        <w:t xml:space="preserve"> Solicitud</w:t>
      </w:r>
      <w:r w:rsidR="008F2DF9" w:rsidRPr="00A801E0">
        <w:rPr>
          <w:rFonts w:ascii="ITC Avant Garde" w:hAnsi="ITC Avant Garde"/>
          <w:b/>
          <w:color w:val="000000"/>
          <w:sz w:val="22"/>
          <w:szCs w:val="22"/>
          <w:lang w:val="es-ES" w:eastAsia="es-ES"/>
        </w:rPr>
        <w:t xml:space="preserve"> de Modificación</w:t>
      </w:r>
      <w:r w:rsidR="00C614CA" w:rsidRPr="00A801E0">
        <w:rPr>
          <w:rFonts w:ascii="ITC Avant Garde" w:hAnsi="ITC Avant Garde"/>
          <w:b/>
          <w:color w:val="000000"/>
          <w:sz w:val="22"/>
          <w:szCs w:val="22"/>
          <w:lang w:val="es-ES" w:eastAsia="es-ES"/>
        </w:rPr>
        <w:t>.</w:t>
      </w:r>
      <w:r w:rsidR="00C614CA" w:rsidRPr="00A801E0">
        <w:rPr>
          <w:rFonts w:ascii="ITC Avant Garde" w:hAnsi="ITC Avant Garde"/>
          <w:color w:val="000000"/>
          <w:sz w:val="22"/>
          <w:szCs w:val="22"/>
          <w:lang w:val="es-ES" w:eastAsia="es-ES"/>
        </w:rPr>
        <w:t xml:space="preserve"> </w:t>
      </w:r>
      <w:r w:rsidR="00BE6213" w:rsidRPr="00A801E0">
        <w:rPr>
          <w:rFonts w:ascii="ITC Avant Garde" w:hAnsi="ITC Avant Garde"/>
          <w:color w:val="000000"/>
          <w:sz w:val="22"/>
          <w:szCs w:val="22"/>
          <w:lang w:val="es-ES" w:eastAsia="es-ES"/>
        </w:rPr>
        <w:t>La Condición 4.1</w:t>
      </w:r>
      <w:r w:rsidR="00C5328C" w:rsidRPr="00A801E0">
        <w:rPr>
          <w:rFonts w:ascii="ITC Avant Garde" w:hAnsi="ITC Avant Garde"/>
          <w:color w:val="000000"/>
          <w:sz w:val="22"/>
          <w:szCs w:val="22"/>
          <w:lang w:val="es-ES" w:eastAsia="es-ES"/>
        </w:rPr>
        <w:t>.</w:t>
      </w:r>
      <w:r w:rsidR="00BE6213" w:rsidRPr="00A801E0">
        <w:rPr>
          <w:rFonts w:ascii="ITC Avant Garde" w:hAnsi="ITC Avant Garde"/>
          <w:color w:val="000000"/>
          <w:sz w:val="22"/>
          <w:szCs w:val="22"/>
          <w:lang w:val="es-ES" w:eastAsia="es-ES"/>
        </w:rPr>
        <w:t xml:space="preserve"> </w:t>
      </w:r>
      <w:proofErr w:type="gramStart"/>
      <w:r w:rsidR="00BE6213" w:rsidRPr="00A801E0">
        <w:rPr>
          <w:rFonts w:ascii="ITC Avant Garde" w:hAnsi="ITC Avant Garde"/>
          <w:color w:val="000000"/>
          <w:sz w:val="22"/>
          <w:szCs w:val="22"/>
          <w:lang w:val="es-ES" w:eastAsia="es-ES"/>
        </w:rPr>
        <w:t>de</w:t>
      </w:r>
      <w:proofErr w:type="gramEnd"/>
      <w:r w:rsidR="00BE6213" w:rsidRPr="00A801E0">
        <w:rPr>
          <w:rFonts w:ascii="ITC Avant Garde" w:hAnsi="ITC Avant Garde"/>
          <w:color w:val="000000"/>
          <w:sz w:val="22"/>
          <w:szCs w:val="22"/>
          <w:lang w:val="es-ES" w:eastAsia="es-ES"/>
        </w:rPr>
        <w:t xml:space="preserve"> la Concesión señala textualmente:</w:t>
      </w:r>
    </w:p>
    <w:p w14:paraId="04F1877A" w14:textId="77777777" w:rsidR="00A801E0" w:rsidRPr="00A801E0" w:rsidRDefault="00BE6213" w:rsidP="00A801E0">
      <w:pPr>
        <w:pStyle w:val="NormalWeb"/>
        <w:spacing w:before="240" w:beforeAutospacing="0" w:after="240" w:afterAutospacing="0"/>
        <w:ind w:left="426" w:right="332"/>
        <w:jc w:val="both"/>
        <w:rPr>
          <w:rFonts w:ascii="ITC Avant Garde" w:hAnsi="ITC Avant Garde"/>
          <w:color w:val="000000"/>
          <w:sz w:val="20"/>
          <w:szCs w:val="20"/>
          <w:lang w:val="es-ES" w:eastAsia="es-ES"/>
        </w:rPr>
      </w:pPr>
      <w:r w:rsidRPr="00A801E0">
        <w:rPr>
          <w:rFonts w:ascii="ITC Avant Garde" w:hAnsi="ITC Avant Garde"/>
          <w:color w:val="000000"/>
          <w:sz w:val="20"/>
          <w:szCs w:val="20"/>
          <w:lang w:val="es-ES" w:eastAsia="es-ES"/>
        </w:rPr>
        <w:t>“</w:t>
      </w:r>
      <w:r w:rsidRPr="00A801E0">
        <w:rPr>
          <w:rFonts w:ascii="ITC Avant Garde" w:hAnsi="ITC Avant Garde"/>
          <w:b/>
          <w:color w:val="000000"/>
          <w:sz w:val="20"/>
          <w:szCs w:val="20"/>
          <w:lang w:val="es-ES" w:eastAsia="es-ES"/>
        </w:rPr>
        <w:t>4.1. Bandas de frecuencias, especificaciones técnicas y área de cobertura.</w:t>
      </w:r>
      <w:r w:rsidRPr="00A801E0">
        <w:rPr>
          <w:rFonts w:ascii="ITC Avant Garde" w:hAnsi="ITC Avant Garde"/>
          <w:color w:val="000000"/>
          <w:sz w:val="20"/>
          <w:szCs w:val="20"/>
          <w:lang w:val="es-ES" w:eastAsia="es-ES"/>
        </w:rPr>
        <w:t xml:space="preserve"> Las bandas de frecuencias de operación, las características de las trayectorias de las órbitas satelitales, las especificaciones técnicas de los sistemas satelitales extranjeros y la potencia requerida, serán las que se indiquen en el Anexo de la presente Concesión.”</w:t>
      </w:r>
    </w:p>
    <w:p w14:paraId="77FCE8CC" w14:textId="77777777" w:rsidR="00A801E0" w:rsidRPr="00A801E0" w:rsidRDefault="00BE6213"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 xml:space="preserve">Al respecto, la Condición </w:t>
      </w:r>
      <w:r w:rsidR="00923195" w:rsidRPr="00A801E0">
        <w:rPr>
          <w:rFonts w:ascii="ITC Avant Garde" w:hAnsi="ITC Avant Garde"/>
          <w:color w:val="000000"/>
          <w:sz w:val="22"/>
          <w:szCs w:val="22"/>
          <w:lang w:val="es-ES" w:eastAsia="es-ES"/>
        </w:rPr>
        <w:t>A.8</w:t>
      </w:r>
      <w:r w:rsidR="00C5328C" w:rsidRPr="00A801E0">
        <w:rPr>
          <w:rFonts w:ascii="ITC Avant Garde" w:hAnsi="ITC Avant Garde"/>
          <w:color w:val="000000"/>
          <w:sz w:val="22"/>
          <w:szCs w:val="22"/>
          <w:lang w:val="es-ES" w:eastAsia="es-ES"/>
        </w:rPr>
        <w:t>.</w:t>
      </w:r>
      <w:r w:rsidR="00C614CA" w:rsidRPr="00A801E0">
        <w:rPr>
          <w:rFonts w:ascii="ITC Avant Garde" w:hAnsi="ITC Avant Garde"/>
          <w:color w:val="000000"/>
          <w:sz w:val="22"/>
          <w:szCs w:val="22"/>
          <w:lang w:val="es-ES" w:eastAsia="es-ES"/>
        </w:rPr>
        <w:t xml:space="preserve"> </w:t>
      </w:r>
      <w:proofErr w:type="gramStart"/>
      <w:r w:rsidR="00C614CA" w:rsidRPr="00A801E0">
        <w:rPr>
          <w:rFonts w:ascii="ITC Avant Garde" w:hAnsi="ITC Avant Garde"/>
          <w:color w:val="000000"/>
          <w:sz w:val="22"/>
          <w:szCs w:val="22"/>
          <w:lang w:val="es-ES" w:eastAsia="es-ES"/>
        </w:rPr>
        <w:t>del</w:t>
      </w:r>
      <w:proofErr w:type="gramEnd"/>
      <w:r w:rsidR="00C614CA" w:rsidRPr="00A801E0">
        <w:rPr>
          <w:rFonts w:ascii="ITC Avant Garde" w:hAnsi="ITC Avant Garde"/>
          <w:color w:val="000000"/>
          <w:sz w:val="22"/>
          <w:szCs w:val="22"/>
          <w:lang w:val="es-ES" w:eastAsia="es-ES"/>
        </w:rPr>
        <w:t xml:space="preserve"> Anexo de la </w:t>
      </w:r>
      <w:r w:rsidR="003216AF" w:rsidRPr="00A801E0">
        <w:rPr>
          <w:rFonts w:ascii="ITC Avant Garde" w:hAnsi="ITC Avant Garde"/>
          <w:color w:val="000000"/>
          <w:sz w:val="22"/>
          <w:szCs w:val="22"/>
          <w:lang w:val="es-ES" w:eastAsia="es-ES"/>
        </w:rPr>
        <w:t>Concesión</w:t>
      </w:r>
      <w:r w:rsidR="00956D01" w:rsidRPr="00A801E0">
        <w:rPr>
          <w:rFonts w:ascii="ITC Avant Garde" w:hAnsi="ITC Avant Garde"/>
          <w:color w:val="000000"/>
          <w:sz w:val="22"/>
          <w:szCs w:val="22"/>
          <w:lang w:val="es-ES" w:eastAsia="es-ES"/>
        </w:rPr>
        <w:t xml:space="preserve"> </w:t>
      </w:r>
      <w:r w:rsidR="009966A2" w:rsidRPr="00A801E0">
        <w:rPr>
          <w:rFonts w:ascii="ITC Avant Garde" w:hAnsi="ITC Avant Garde"/>
          <w:color w:val="000000"/>
          <w:sz w:val="22"/>
          <w:szCs w:val="22"/>
          <w:lang w:val="es-ES" w:eastAsia="es-ES"/>
        </w:rPr>
        <w:t>s</w:t>
      </w:r>
      <w:r w:rsidR="00C614CA" w:rsidRPr="00A801E0">
        <w:rPr>
          <w:rFonts w:ascii="ITC Avant Garde" w:hAnsi="ITC Avant Garde"/>
          <w:color w:val="000000"/>
          <w:sz w:val="22"/>
          <w:szCs w:val="22"/>
          <w:lang w:val="es-ES" w:eastAsia="es-ES"/>
        </w:rPr>
        <w:t>eñala:</w:t>
      </w:r>
    </w:p>
    <w:p w14:paraId="7713F990" w14:textId="77777777" w:rsidR="00A801E0" w:rsidRPr="00A801E0" w:rsidRDefault="0017216D" w:rsidP="00A801E0">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A801E0">
        <w:rPr>
          <w:rFonts w:ascii="ITC Avant Garde" w:hAnsi="ITC Avant Garde"/>
          <w:color w:val="000000"/>
          <w:sz w:val="18"/>
          <w:szCs w:val="22"/>
          <w:lang w:val="es-ES" w:eastAsia="es-ES"/>
        </w:rPr>
        <w:t>“</w:t>
      </w:r>
      <w:r w:rsidR="00AE57EF" w:rsidRPr="00A801E0">
        <w:rPr>
          <w:rFonts w:ascii="ITC Avant Garde" w:hAnsi="ITC Avant Garde"/>
          <w:b/>
          <w:color w:val="000000"/>
          <w:sz w:val="18"/>
          <w:szCs w:val="22"/>
          <w:lang w:val="es-ES" w:eastAsia="es-ES"/>
        </w:rPr>
        <w:t>A.8. Modificaciones.</w:t>
      </w:r>
      <w:r w:rsidR="00AE57EF" w:rsidRPr="00A801E0">
        <w:rPr>
          <w:rFonts w:ascii="ITC Avant Garde" w:hAnsi="ITC Avant Garde"/>
          <w:color w:val="000000"/>
          <w:sz w:val="18"/>
          <w:szCs w:val="22"/>
          <w:lang w:val="es-ES" w:eastAsia="es-ES"/>
        </w:rPr>
        <w:t xml:space="preserve"> El Concesionario se obliga a solicitar la autorización del Instituto en caso de que se realicen modificaciones a las especificaciones técnicas que se indican en el numeral A.11 del presente Anexo.</w:t>
      </w:r>
    </w:p>
    <w:p w14:paraId="1E0EF48F" w14:textId="77777777" w:rsidR="00A801E0" w:rsidRPr="00A801E0" w:rsidRDefault="00AE57EF" w:rsidP="00A801E0">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A801E0">
        <w:rPr>
          <w:rFonts w:ascii="ITC Avant Garde" w:hAnsi="ITC Avant Garde"/>
          <w:color w:val="000000"/>
          <w:sz w:val="18"/>
          <w:szCs w:val="22"/>
          <w:lang w:val="es-ES" w:eastAsia="es-ES"/>
        </w:rPr>
        <w:t>Asimismo, el Concesionario deberá notificar al Instituto, con 30 (treinta) días naturales de anticipación, cualquier cambio del estado regulatorio de las redes identificadas ante la UIT que se indican en el numeral A.11</w:t>
      </w:r>
      <w:r w:rsidR="0076088C" w:rsidRPr="00A801E0">
        <w:rPr>
          <w:rFonts w:ascii="ITC Avant Garde" w:hAnsi="ITC Avant Garde"/>
          <w:color w:val="000000"/>
          <w:sz w:val="18"/>
          <w:szCs w:val="22"/>
          <w:lang w:val="es-ES" w:eastAsia="es-ES"/>
        </w:rPr>
        <w:t>.</w:t>
      </w:r>
      <w:r w:rsidRPr="00A801E0">
        <w:rPr>
          <w:rFonts w:ascii="ITC Avant Garde" w:hAnsi="ITC Avant Garde"/>
          <w:color w:val="000000"/>
          <w:sz w:val="18"/>
          <w:szCs w:val="22"/>
          <w:lang w:val="es-ES" w:eastAsia="es-ES"/>
        </w:rPr>
        <w:t xml:space="preserve"> del presente Anexo, así como en caso de cambio de satélites de los sistemas satelitales, siempre que cumplan con las características técnicas de operación indicadas en el numeral A.11., sin que sea necesario solicitar la modificación del título de concesión a éste Instituto.</w:t>
      </w:r>
    </w:p>
    <w:p w14:paraId="3C441EFB" w14:textId="77777777" w:rsidR="00A801E0" w:rsidRPr="00A801E0" w:rsidRDefault="00AE57EF" w:rsidP="00A801E0">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A801E0">
        <w:rPr>
          <w:rFonts w:ascii="ITC Avant Garde" w:hAnsi="ITC Avant Garde"/>
          <w:color w:val="000000"/>
          <w:sz w:val="18"/>
          <w:szCs w:val="22"/>
          <w:lang w:val="es-ES" w:eastAsia="es-ES"/>
        </w:rPr>
        <w:t>En caso de cambio del segmento satelital contratado con el operador satelital extranjero, el Concesionario requerirá de la autorización previa del Instituto, para lo cual deberá presentar el contrato actualizado.”</w:t>
      </w:r>
    </w:p>
    <w:p w14:paraId="743C088D" w14:textId="77777777" w:rsidR="00A801E0" w:rsidRPr="00A801E0" w:rsidRDefault="009E76D0"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 xml:space="preserve">Por otra parte, </w:t>
      </w:r>
      <w:r w:rsidR="00F355FD" w:rsidRPr="00A801E0">
        <w:rPr>
          <w:rFonts w:ascii="ITC Avant Garde" w:hAnsi="ITC Avant Garde"/>
          <w:color w:val="000000"/>
          <w:sz w:val="22"/>
          <w:szCs w:val="22"/>
          <w:lang w:val="es-ES" w:eastAsia="es-ES"/>
        </w:rPr>
        <w:t>la Condición</w:t>
      </w:r>
      <w:r w:rsidR="0017216D" w:rsidRPr="00A801E0">
        <w:rPr>
          <w:rFonts w:ascii="ITC Avant Garde" w:hAnsi="ITC Avant Garde"/>
          <w:color w:val="000000"/>
          <w:sz w:val="22"/>
          <w:szCs w:val="22"/>
          <w:lang w:val="es-ES" w:eastAsia="es-ES"/>
        </w:rPr>
        <w:t xml:space="preserve"> A.</w:t>
      </w:r>
      <w:r w:rsidR="00923195" w:rsidRPr="00A801E0">
        <w:rPr>
          <w:rFonts w:ascii="ITC Avant Garde" w:hAnsi="ITC Avant Garde"/>
          <w:color w:val="000000"/>
          <w:sz w:val="22"/>
          <w:szCs w:val="22"/>
          <w:lang w:val="es-ES" w:eastAsia="es-ES"/>
        </w:rPr>
        <w:t>11</w:t>
      </w:r>
      <w:r w:rsidR="00C5328C" w:rsidRPr="00A801E0">
        <w:rPr>
          <w:rFonts w:ascii="ITC Avant Garde" w:hAnsi="ITC Avant Garde"/>
          <w:color w:val="000000"/>
          <w:sz w:val="22"/>
          <w:szCs w:val="22"/>
          <w:lang w:val="es-ES" w:eastAsia="es-ES"/>
        </w:rPr>
        <w:t>.</w:t>
      </w:r>
      <w:r w:rsidR="00F355FD" w:rsidRPr="00A801E0">
        <w:rPr>
          <w:rFonts w:ascii="ITC Avant Garde" w:hAnsi="ITC Avant Garde"/>
          <w:color w:val="000000"/>
          <w:sz w:val="22"/>
          <w:szCs w:val="22"/>
          <w:lang w:val="es-ES" w:eastAsia="es-ES"/>
        </w:rPr>
        <w:t xml:space="preserve"> </w:t>
      </w:r>
      <w:proofErr w:type="gramStart"/>
      <w:r w:rsidR="00F355FD" w:rsidRPr="00A801E0">
        <w:rPr>
          <w:rFonts w:ascii="ITC Avant Garde" w:hAnsi="ITC Avant Garde"/>
          <w:color w:val="000000"/>
          <w:sz w:val="22"/>
          <w:szCs w:val="22"/>
          <w:lang w:val="es-ES" w:eastAsia="es-ES"/>
        </w:rPr>
        <w:t>del</w:t>
      </w:r>
      <w:proofErr w:type="gramEnd"/>
      <w:r w:rsidR="00F355FD" w:rsidRPr="00A801E0">
        <w:rPr>
          <w:rFonts w:ascii="ITC Avant Garde" w:hAnsi="ITC Avant Garde"/>
          <w:color w:val="000000"/>
          <w:sz w:val="22"/>
          <w:szCs w:val="22"/>
          <w:lang w:val="es-ES" w:eastAsia="es-ES"/>
        </w:rPr>
        <w:t xml:space="preserve"> Anexo de la </w:t>
      </w:r>
      <w:r w:rsidR="003216AF" w:rsidRPr="00A801E0">
        <w:rPr>
          <w:rFonts w:ascii="ITC Avant Garde" w:hAnsi="ITC Avant Garde"/>
          <w:color w:val="000000"/>
          <w:sz w:val="22"/>
          <w:szCs w:val="22"/>
          <w:lang w:val="es-ES" w:eastAsia="es-ES"/>
        </w:rPr>
        <w:t>Concesión</w:t>
      </w:r>
      <w:r w:rsidR="00DD1F8F" w:rsidRPr="00A801E0">
        <w:rPr>
          <w:rFonts w:ascii="ITC Avant Garde" w:hAnsi="ITC Avant Garde"/>
          <w:color w:val="000000"/>
          <w:sz w:val="22"/>
          <w:szCs w:val="22"/>
          <w:lang w:val="es-ES" w:eastAsia="es-ES"/>
        </w:rPr>
        <w:t xml:space="preserve"> </w:t>
      </w:r>
      <w:r w:rsidR="00F355FD" w:rsidRPr="00A801E0">
        <w:rPr>
          <w:rFonts w:ascii="ITC Avant Garde" w:hAnsi="ITC Avant Garde"/>
          <w:color w:val="000000"/>
          <w:sz w:val="22"/>
          <w:szCs w:val="22"/>
          <w:lang w:val="es-ES" w:eastAsia="es-ES"/>
        </w:rPr>
        <w:t>establece que:</w:t>
      </w:r>
    </w:p>
    <w:p w14:paraId="14428E9F" w14:textId="77777777" w:rsidR="00A801E0" w:rsidRPr="00A801E0" w:rsidRDefault="00AE57EF" w:rsidP="00A801E0">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A801E0">
        <w:rPr>
          <w:rFonts w:ascii="ITC Avant Garde" w:hAnsi="ITC Avant Garde"/>
          <w:color w:val="000000"/>
          <w:sz w:val="18"/>
          <w:szCs w:val="22"/>
          <w:lang w:val="es-ES" w:eastAsia="es-ES"/>
        </w:rPr>
        <w:t>“</w:t>
      </w:r>
      <w:r w:rsidRPr="00A801E0">
        <w:rPr>
          <w:rFonts w:ascii="ITC Avant Garde" w:hAnsi="ITC Avant Garde"/>
          <w:b/>
          <w:color w:val="000000"/>
          <w:sz w:val="18"/>
          <w:szCs w:val="22"/>
          <w:lang w:val="es-ES" w:eastAsia="es-ES"/>
        </w:rPr>
        <w:t>A.11. Especificaciones técnicas de los sistemas satelitales extranjeros.</w:t>
      </w:r>
      <w:r w:rsidRPr="00A801E0">
        <w:rPr>
          <w:rFonts w:ascii="ITC Avant Garde" w:hAnsi="ITC Avant Garde"/>
          <w:color w:val="000000"/>
          <w:sz w:val="18"/>
          <w:szCs w:val="22"/>
          <w:lang w:val="es-ES" w:eastAsia="es-ES"/>
        </w:rPr>
        <w:t xml:space="preserve"> El Concesionario se obliga a prestar los Servicios con las especificaciones técnicas, mismas que no podrá exceder de las redes identificadas ante la UIT</w:t>
      </w:r>
      <w:r w:rsidR="00D701B5" w:rsidRPr="00A801E0">
        <w:rPr>
          <w:rFonts w:ascii="ITC Avant Garde" w:hAnsi="ITC Avant Garde"/>
          <w:color w:val="000000"/>
          <w:sz w:val="18"/>
          <w:szCs w:val="22"/>
          <w:lang w:val="es-ES" w:eastAsia="es-ES"/>
        </w:rPr>
        <w:t xml:space="preserve"> que se resume a continuación</w:t>
      </w:r>
      <w:r w:rsidRPr="00A801E0">
        <w:rPr>
          <w:rFonts w:ascii="ITC Avant Garde" w:hAnsi="ITC Avant Garde"/>
          <w:color w:val="000000"/>
          <w:sz w:val="18"/>
          <w:szCs w:val="22"/>
          <w:lang w:val="es-ES" w:eastAsia="es-ES"/>
        </w:rPr>
        <w:t>:</w:t>
      </w:r>
      <w:r w:rsidR="00D455FD" w:rsidRPr="00A801E0">
        <w:rPr>
          <w:rFonts w:ascii="ITC Avant Garde" w:hAnsi="ITC Avant Garde"/>
          <w:color w:val="000000"/>
          <w:sz w:val="18"/>
          <w:szCs w:val="22"/>
          <w:lang w:val="es-ES" w:eastAsia="es-ES"/>
        </w:rPr>
        <w:t>…”</w:t>
      </w:r>
    </w:p>
    <w:p w14:paraId="61821310" w14:textId="77777777" w:rsidR="00A801E0" w:rsidRPr="00A801E0" w:rsidRDefault="00C614CA"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De la</w:t>
      </w:r>
      <w:r w:rsidR="0030333C" w:rsidRPr="00A801E0">
        <w:rPr>
          <w:rFonts w:ascii="ITC Avant Garde" w:hAnsi="ITC Avant Garde"/>
          <w:color w:val="000000"/>
          <w:sz w:val="22"/>
          <w:szCs w:val="22"/>
          <w:lang w:val="es-ES" w:eastAsia="es-ES"/>
        </w:rPr>
        <w:t>s transcripcio</w:t>
      </w:r>
      <w:r w:rsidRPr="00A801E0">
        <w:rPr>
          <w:rFonts w:ascii="ITC Avant Garde" w:hAnsi="ITC Avant Garde"/>
          <w:color w:val="000000"/>
          <w:sz w:val="22"/>
          <w:szCs w:val="22"/>
          <w:lang w:val="es-ES" w:eastAsia="es-ES"/>
        </w:rPr>
        <w:t>n</w:t>
      </w:r>
      <w:r w:rsidR="0030333C" w:rsidRPr="00A801E0">
        <w:rPr>
          <w:rFonts w:ascii="ITC Avant Garde" w:hAnsi="ITC Avant Garde"/>
          <w:color w:val="000000"/>
          <w:sz w:val="22"/>
          <w:szCs w:val="22"/>
          <w:lang w:val="es-ES" w:eastAsia="es-ES"/>
        </w:rPr>
        <w:t>es</w:t>
      </w:r>
      <w:r w:rsidRPr="00A801E0">
        <w:rPr>
          <w:rFonts w:ascii="ITC Avant Garde" w:hAnsi="ITC Avant Garde"/>
          <w:color w:val="000000"/>
          <w:sz w:val="22"/>
          <w:szCs w:val="22"/>
          <w:lang w:val="es-ES" w:eastAsia="es-ES"/>
        </w:rPr>
        <w:t xml:space="preserve"> anterior</w:t>
      </w:r>
      <w:r w:rsidR="0030333C" w:rsidRPr="00A801E0">
        <w:rPr>
          <w:rFonts w:ascii="ITC Avant Garde" w:hAnsi="ITC Avant Garde"/>
          <w:color w:val="000000"/>
          <w:sz w:val="22"/>
          <w:szCs w:val="22"/>
          <w:lang w:val="es-ES" w:eastAsia="es-ES"/>
        </w:rPr>
        <w:t>es</w:t>
      </w:r>
      <w:r w:rsidRPr="00A801E0">
        <w:rPr>
          <w:rFonts w:ascii="ITC Avant Garde" w:hAnsi="ITC Avant Garde"/>
          <w:color w:val="000000"/>
          <w:sz w:val="22"/>
          <w:szCs w:val="22"/>
          <w:lang w:val="es-ES" w:eastAsia="es-ES"/>
        </w:rPr>
        <w:t xml:space="preserve"> se desprende que la modificación a las especificaciones técnicas </w:t>
      </w:r>
      <w:r w:rsidR="006C37DB" w:rsidRPr="00A801E0">
        <w:rPr>
          <w:rFonts w:ascii="ITC Avant Garde" w:hAnsi="ITC Avant Garde"/>
          <w:color w:val="000000"/>
          <w:sz w:val="22"/>
          <w:szCs w:val="22"/>
          <w:lang w:val="es-ES" w:eastAsia="es-ES"/>
        </w:rPr>
        <w:t xml:space="preserve">señaladas en el Anexo </w:t>
      </w:r>
      <w:r w:rsidRPr="00A801E0">
        <w:rPr>
          <w:rFonts w:ascii="ITC Avant Garde" w:hAnsi="ITC Avant Garde"/>
          <w:color w:val="000000"/>
          <w:sz w:val="22"/>
          <w:szCs w:val="22"/>
          <w:lang w:val="es-ES" w:eastAsia="es-ES"/>
        </w:rPr>
        <w:t xml:space="preserve">de </w:t>
      </w:r>
      <w:r w:rsidR="003216AF" w:rsidRPr="00A801E0">
        <w:rPr>
          <w:rFonts w:ascii="ITC Avant Garde" w:hAnsi="ITC Avant Garde"/>
          <w:color w:val="000000"/>
          <w:sz w:val="22"/>
          <w:szCs w:val="22"/>
          <w:lang w:val="es-ES" w:eastAsia="es-ES"/>
        </w:rPr>
        <w:t>la Concesión</w:t>
      </w:r>
      <w:r w:rsidRPr="00A801E0">
        <w:rPr>
          <w:rFonts w:ascii="ITC Avant Garde" w:hAnsi="ITC Avant Garde"/>
          <w:color w:val="000000"/>
          <w:sz w:val="22"/>
          <w:szCs w:val="22"/>
          <w:lang w:val="es-ES" w:eastAsia="es-ES"/>
        </w:rPr>
        <w:t xml:space="preserve">, estará sujeta a que el Concesionario </w:t>
      </w:r>
      <w:r w:rsidR="00CB32E4" w:rsidRPr="00A801E0">
        <w:rPr>
          <w:rFonts w:ascii="ITC Avant Garde" w:hAnsi="ITC Avant Garde"/>
          <w:color w:val="000000"/>
          <w:sz w:val="22"/>
          <w:szCs w:val="22"/>
          <w:lang w:val="es-ES" w:eastAsia="es-ES"/>
        </w:rPr>
        <w:t xml:space="preserve">lo </w:t>
      </w:r>
      <w:r w:rsidRPr="00A801E0">
        <w:rPr>
          <w:rFonts w:ascii="ITC Avant Garde" w:hAnsi="ITC Avant Garde"/>
          <w:color w:val="000000"/>
          <w:sz w:val="22"/>
          <w:szCs w:val="22"/>
          <w:lang w:val="es-ES" w:eastAsia="es-ES"/>
        </w:rPr>
        <w:t xml:space="preserve">solicite </w:t>
      </w:r>
      <w:r w:rsidR="00142A3D" w:rsidRPr="00A801E0">
        <w:rPr>
          <w:rFonts w:ascii="ITC Avant Garde" w:hAnsi="ITC Avant Garde"/>
          <w:color w:val="000000"/>
          <w:sz w:val="22"/>
          <w:szCs w:val="22"/>
          <w:lang w:val="es-ES" w:eastAsia="es-ES"/>
        </w:rPr>
        <w:t>al Instituto</w:t>
      </w:r>
      <w:r w:rsidRPr="00A801E0">
        <w:rPr>
          <w:rFonts w:ascii="ITC Avant Garde" w:hAnsi="ITC Avant Garde"/>
          <w:color w:val="000000"/>
          <w:sz w:val="22"/>
          <w:szCs w:val="22"/>
          <w:lang w:val="es-ES" w:eastAsia="es-ES"/>
        </w:rPr>
        <w:t xml:space="preserve">, </w:t>
      </w:r>
      <w:r w:rsidR="003216AF" w:rsidRPr="00A801E0">
        <w:rPr>
          <w:rFonts w:ascii="ITC Avant Garde" w:hAnsi="ITC Avant Garde"/>
          <w:color w:val="000000"/>
          <w:sz w:val="22"/>
          <w:szCs w:val="22"/>
          <w:lang w:val="es-ES" w:eastAsia="es-ES"/>
        </w:rPr>
        <w:t>requisito ya solventado por el Concesionario con el escrito de solicitud de modificación a que se hac</w:t>
      </w:r>
      <w:r w:rsidR="00302DFA" w:rsidRPr="00A801E0">
        <w:rPr>
          <w:rFonts w:ascii="ITC Avant Garde" w:hAnsi="ITC Avant Garde"/>
          <w:color w:val="000000"/>
          <w:sz w:val="22"/>
          <w:szCs w:val="22"/>
          <w:lang w:val="es-ES" w:eastAsia="es-ES"/>
        </w:rPr>
        <w:t xml:space="preserve">e referencia en el Antecedente </w:t>
      </w:r>
      <w:r w:rsidR="003216AF" w:rsidRPr="00A801E0">
        <w:rPr>
          <w:rFonts w:ascii="ITC Avant Garde" w:hAnsi="ITC Avant Garde"/>
          <w:color w:val="000000"/>
          <w:sz w:val="22"/>
          <w:szCs w:val="22"/>
          <w:lang w:val="es-ES" w:eastAsia="es-ES"/>
        </w:rPr>
        <w:t>V</w:t>
      </w:r>
      <w:r w:rsidR="00302DFA" w:rsidRPr="00A801E0">
        <w:rPr>
          <w:rFonts w:ascii="ITC Avant Garde" w:hAnsi="ITC Avant Garde"/>
          <w:color w:val="000000"/>
          <w:sz w:val="22"/>
          <w:szCs w:val="22"/>
          <w:lang w:val="es-ES" w:eastAsia="es-ES"/>
        </w:rPr>
        <w:t>II</w:t>
      </w:r>
      <w:r w:rsidR="003216AF" w:rsidRPr="00A801E0">
        <w:rPr>
          <w:rFonts w:ascii="ITC Avant Garde" w:hAnsi="ITC Avant Garde"/>
          <w:color w:val="000000"/>
          <w:sz w:val="22"/>
          <w:szCs w:val="22"/>
          <w:lang w:val="es-ES" w:eastAsia="es-ES"/>
        </w:rPr>
        <w:t xml:space="preserve"> de la presente Resolución</w:t>
      </w:r>
      <w:r w:rsidR="00C621A7" w:rsidRPr="00A801E0">
        <w:rPr>
          <w:rFonts w:ascii="ITC Avant Garde" w:hAnsi="ITC Avant Garde"/>
          <w:color w:val="000000"/>
          <w:sz w:val="22"/>
          <w:szCs w:val="22"/>
          <w:lang w:val="es-ES" w:eastAsia="es-ES"/>
        </w:rPr>
        <w:t>.</w:t>
      </w:r>
    </w:p>
    <w:p w14:paraId="786AF83D" w14:textId="77777777" w:rsidR="00A801E0" w:rsidRPr="00A801E0" w:rsidRDefault="00F76EA6" w:rsidP="00A801E0">
      <w:pPr>
        <w:spacing w:before="240" w:after="240" w:line="240" w:lineRule="auto"/>
        <w:jc w:val="both"/>
        <w:rPr>
          <w:rFonts w:ascii="ITC Avant Garde" w:hAnsi="ITC Avant Garde"/>
          <w:b/>
          <w:bCs/>
          <w:color w:val="000000"/>
        </w:rPr>
      </w:pPr>
      <w:r w:rsidRPr="00A801E0">
        <w:rPr>
          <w:rFonts w:ascii="ITC Avant Garde" w:hAnsi="ITC Avant Garde" w:cs="Arial"/>
          <w:bCs/>
          <w:color w:val="000000"/>
          <w:shd w:val="clear" w:color="auto" w:fill="FFFFFF"/>
        </w:rPr>
        <w:t xml:space="preserve">En ese sentido, </w:t>
      </w:r>
      <w:r w:rsidR="003216AF" w:rsidRPr="00A801E0">
        <w:rPr>
          <w:rFonts w:ascii="ITC Avant Garde" w:hAnsi="ITC Avant Garde" w:cs="Arial"/>
          <w:bCs/>
          <w:color w:val="000000"/>
          <w:shd w:val="clear" w:color="auto" w:fill="FFFFFF"/>
        </w:rPr>
        <w:t xml:space="preserve">una vez analizada la Solicitud </w:t>
      </w:r>
      <w:r w:rsidRPr="00A801E0">
        <w:rPr>
          <w:rFonts w:ascii="ITC Avant Garde" w:hAnsi="ITC Avant Garde" w:cs="Arial"/>
          <w:bCs/>
          <w:color w:val="000000"/>
          <w:shd w:val="clear" w:color="auto" w:fill="FFFFFF"/>
        </w:rPr>
        <w:t xml:space="preserve">y con la finalidad de contar con mayores elementos para determinar la procedencia de la Solicitud de Modificación, </w:t>
      </w:r>
      <w:r w:rsidR="003216AF" w:rsidRPr="00A801E0">
        <w:rPr>
          <w:rFonts w:ascii="ITC Avant Garde" w:hAnsi="ITC Avant Garde" w:cs="Arial"/>
          <w:bCs/>
          <w:color w:val="000000"/>
          <w:shd w:val="clear" w:color="auto" w:fill="FFFFFF"/>
        </w:rPr>
        <w:t xml:space="preserve">se requirieron las opiniones de </w:t>
      </w:r>
      <w:r w:rsidR="003216AF" w:rsidRPr="00A801E0">
        <w:rPr>
          <w:rFonts w:ascii="ITC Avant Garde" w:hAnsi="ITC Avant Garde"/>
          <w:bCs/>
          <w:color w:val="000000"/>
          <w:lang w:eastAsia="es-MX"/>
        </w:rPr>
        <w:t xml:space="preserve">la Dirección General de Regulación del Espectro y Recursos Orbitales, adscrita a la UER de este Instituto, </w:t>
      </w:r>
      <w:r w:rsidR="001328D1" w:rsidRPr="00A801E0">
        <w:rPr>
          <w:rFonts w:ascii="ITC Avant Garde" w:hAnsi="ITC Avant Garde"/>
          <w:bCs/>
          <w:color w:val="000000"/>
          <w:lang w:eastAsia="es-MX"/>
        </w:rPr>
        <w:t>así como de</w:t>
      </w:r>
      <w:r w:rsidR="003216AF" w:rsidRPr="00A801E0">
        <w:rPr>
          <w:rFonts w:ascii="ITC Avant Garde" w:hAnsi="ITC Avant Garde"/>
          <w:bCs/>
          <w:color w:val="000000"/>
          <w:lang w:eastAsia="es-MX"/>
        </w:rPr>
        <w:t xml:space="preserve"> la Secretaría</w:t>
      </w:r>
      <w:r w:rsidR="00AF4972" w:rsidRPr="00A801E0">
        <w:rPr>
          <w:rFonts w:ascii="ITC Avant Garde" w:hAnsi="ITC Avant Garde"/>
          <w:bCs/>
          <w:color w:val="000000"/>
          <w:lang w:eastAsia="es-MX"/>
        </w:rPr>
        <w:t>.</w:t>
      </w:r>
    </w:p>
    <w:p w14:paraId="5C86F4D6" w14:textId="56222ED1" w:rsidR="00AF4972" w:rsidRPr="00A801E0" w:rsidRDefault="009C3A54"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Así, m</w:t>
      </w:r>
      <w:r w:rsidR="00AF4972" w:rsidRPr="00A801E0">
        <w:rPr>
          <w:rFonts w:ascii="ITC Avant Garde" w:hAnsi="ITC Avant Garde"/>
          <w:color w:val="000000"/>
          <w:sz w:val="22"/>
          <w:szCs w:val="22"/>
          <w:lang w:val="es-ES" w:eastAsia="es-ES"/>
        </w:rPr>
        <w:t>ediante oficio IFT/222/UER/DG-RERO/019/2016 de fecha 31 de marzo de 2016, la UER manifestó lo siguiente:</w:t>
      </w:r>
    </w:p>
    <w:p w14:paraId="4A2D9B1D" w14:textId="77777777" w:rsidR="00A801E0" w:rsidRPr="00A801E0" w:rsidRDefault="00212BC2" w:rsidP="00A801E0">
      <w:pPr>
        <w:spacing w:before="240" w:after="240" w:line="240" w:lineRule="auto"/>
        <w:ind w:left="567" w:right="629"/>
        <w:jc w:val="both"/>
        <w:rPr>
          <w:rFonts w:ascii="ITC Avant Garde" w:eastAsia="Times New Roman" w:hAnsi="ITC Avant Garde"/>
          <w:color w:val="000000"/>
          <w:sz w:val="18"/>
          <w:szCs w:val="24"/>
          <w:lang w:val="es-ES" w:eastAsia="es-ES"/>
        </w:rPr>
      </w:pPr>
      <w:r w:rsidRPr="00A801E0">
        <w:rPr>
          <w:rFonts w:ascii="ITC Avant Garde" w:eastAsia="Times New Roman" w:hAnsi="ITC Avant Garde"/>
          <w:color w:val="000000"/>
          <w:sz w:val="18"/>
          <w:szCs w:val="24"/>
          <w:lang w:val="es-ES" w:eastAsia="es-ES"/>
        </w:rPr>
        <w:lastRenderedPageBreak/>
        <w:t>“(…) en opinión de esta Dirección General, no se prevén afectaciones perjudiciales a los expedientes de redes satelitales nacionales existentes ni a los expedientes de redes satelitales nacionales en proyecto, provenientes del expediente de la red satelital B-SAT-1Q, en la POG 61° O.”</w:t>
      </w:r>
    </w:p>
    <w:p w14:paraId="0BF5B232" w14:textId="77777777" w:rsidR="00A801E0" w:rsidRPr="00A801E0" w:rsidRDefault="007C69FE" w:rsidP="00A801E0">
      <w:pPr>
        <w:spacing w:before="240" w:after="240" w:line="240" w:lineRule="auto"/>
        <w:jc w:val="both"/>
        <w:rPr>
          <w:rFonts w:ascii="ITC Avant Garde" w:eastAsia="Times New Roman" w:hAnsi="ITC Avant Garde"/>
          <w:color w:val="000000"/>
          <w:sz w:val="18"/>
          <w:szCs w:val="24"/>
          <w:lang w:val="es-ES" w:eastAsia="es-ES"/>
        </w:rPr>
      </w:pPr>
      <w:r w:rsidRPr="00A801E0">
        <w:rPr>
          <w:rFonts w:ascii="ITC Avant Garde" w:hAnsi="ITC Avant Garde" w:cs="Arial"/>
          <w:bCs/>
          <w:color w:val="000000"/>
          <w:shd w:val="clear" w:color="auto" w:fill="FFFFFF"/>
        </w:rPr>
        <w:t>Asimismo, l</w:t>
      </w:r>
      <w:r w:rsidR="000F1B3D" w:rsidRPr="00A801E0">
        <w:rPr>
          <w:rFonts w:ascii="ITC Avant Garde" w:hAnsi="ITC Avant Garde"/>
          <w:color w:val="000000"/>
          <w:lang w:val="es-ES" w:eastAsia="es-ES"/>
        </w:rPr>
        <w:t>a emisión y recepción de señales y bandas de frecuencia asociadas al sistema satelital extranjero, estará sujeta a no causar ninguna interferencia perjudicial que comprometa la operación de redes satelitales y servicios terrenales</w:t>
      </w:r>
    </w:p>
    <w:p w14:paraId="0A193177" w14:textId="77777777" w:rsidR="00A801E0" w:rsidRPr="00A801E0" w:rsidRDefault="004E7187" w:rsidP="00A801E0">
      <w:pPr>
        <w:spacing w:before="240" w:after="240" w:line="240" w:lineRule="auto"/>
        <w:jc w:val="both"/>
        <w:rPr>
          <w:rFonts w:ascii="ITC Avant Garde" w:hAnsi="ITC Avant Garde" w:cs="Arial"/>
          <w:bCs/>
          <w:color w:val="000000"/>
          <w:shd w:val="clear" w:color="auto" w:fill="FFFFFF"/>
        </w:rPr>
      </w:pPr>
      <w:r w:rsidRPr="00A801E0">
        <w:rPr>
          <w:rFonts w:ascii="ITC Avant Garde" w:hAnsi="ITC Avant Garde" w:cs="Arial"/>
          <w:bCs/>
          <w:color w:val="000000"/>
          <w:shd w:val="clear" w:color="auto" w:fill="FFFFFF"/>
        </w:rPr>
        <w:t xml:space="preserve">Es importante señalar, que la banda de frecuencia de 17.3 – 17.8 GHz (Tierra-espacio) es parte de las asignaciones que México tiene inscritas en el Plan del Servicio de Radiodifusión por Satélite de los Apéndices 30 y 30A del RR, en las </w:t>
      </w:r>
      <w:proofErr w:type="spellStart"/>
      <w:r w:rsidRPr="00A801E0">
        <w:rPr>
          <w:rFonts w:ascii="ITC Avant Garde" w:hAnsi="ITC Avant Garde" w:cs="Arial"/>
          <w:bCs/>
          <w:color w:val="000000"/>
          <w:shd w:val="clear" w:color="auto" w:fill="FFFFFF"/>
        </w:rPr>
        <w:t>POGs</w:t>
      </w:r>
      <w:proofErr w:type="spellEnd"/>
      <w:r w:rsidRPr="00A801E0">
        <w:rPr>
          <w:rFonts w:ascii="ITC Avant Garde" w:hAnsi="ITC Avant Garde" w:cs="Arial"/>
          <w:bCs/>
          <w:color w:val="000000"/>
          <w:shd w:val="clear" w:color="auto" w:fill="FFFFFF"/>
        </w:rPr>
        <w:t xml:space="preserve"> 69.2° Oeste, 77° Oeste, 127° Oeste y 136° Oeste (ver Notas CNAF MX245 y MX246).</w:t>
      </w:r>
    </w:p>
    <w:p w14:paraId="13EDCC39" w14:textId="77777777" w:rsidR="00A801E0" w:rsidRPr="00A801E0" w:rsidRDefault="00D06DB2" w:rsidP="00A801E0">
      <w:pPr>
        <w:spacing w:before="240" w:after="240" w:line="240" w:lineRule="auto"/>
        <w:jc w:val="both"/>
        <w:rPr>
          <w:rFonts w:ascii="ITC Avant Garde" w:hAnsi="ITC Avant Garde" w:cs="Arial"/>
          <w:bCs/>
          <w:color w:val="000000"/>
          <w:shd w:val="clear" w:color="auto" w:fill="FFFFFF"/>
        </w:rPr>
      </w:pPr>
      <w:r w:rsidRPr="00A801E0">
        <w:rPr>
          <w:rFonts w:ascii="ITC Avant Garde" w:hAnsi="ITC Avant Garde" w:cs="Arial"/>
          <w:bCs/>
          <w:color w:val="000000"/>
          <w:shd w:val="clear" w:color="auto" w:fill="FFFFFF"/>
        </w:rPr>
        <w:t xml:space="preserve">Cabe señalar, que la UIT considera bandas de frecuencias con el objeto de realizar estudios para futuros desarrollo de las Telecomunicaciones Móviles Internacionales (IMT), entre las cuales se encuentran </w:t>
      </w:r>
      <w:r w:rsidR="004650DC" w:rsidRPr="00A801E0">
        <w:rPr>
          <w:rFonts w:ascii="ITC Avant Garde" w:hAnsi="ITC Avant Garde" w:cs="Arial"/>
          <w:bCs/>
          <w:color w:val="000000"/>
          <w:shd w:val="clear" w:color="auto" w:fill="FFFFFF"/>
        </w:rPr>
        <w:t xml:space="preserve">porciones de la banda de frecuencia </w:t>
      </w:r>
      <w:r w:rsidRPr="00A801E0">
        <w:rPr>
          <w:rFonts w:ascii="ITC Avant Garde" w:hAnsi="ITC Avant Garde" w:cs="Arial"/>
          <w:bCs/>
          <w:color w:val="000000"/>
          <w:shd w:val="clear" w:color="auto" w:fill="FFFFFF"/>
        </w:rPr>
        <w:t>28/30 GHz. Dicha identificación no impide la utilización de estas bandas de frecuencias por cualquier aplicación de los servicios a los que están atribuidas, ni establece prioridad alguna en el Reglamento de Radiocomunicaciones. En tal virtud, el Instituto se reserva el derecho de otorgar concesiones o autorizaciones dentro de la banda de frecuencia 28/30 GHz, o porciones de la misma, en la misma área de operación. En tal caso, el uso de dicha banda contará con protección contra interferencias perjudiciales, de conformidad con lo establecido en la Ley, en el Cuadro Nacional de Atribución de Frecuencias y demás disposiciones aplicables.</w:t>
      </w:r>
    </w:p>
    <w:p w14:paraId="015959DF" w14:textId="77777777" w:rsidR="00A801E0" w:rsidRPr="00A801E0" w:rsidRDefault="00AF4972"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lang w:val="es-ES" w:eastAsia="es-ES"/>
        </w:rPr>
        <w:t xml:space="preserve">Mediante oficio </w:t>
      </w:r>
      <w:r w:rsidRPr="00A801E0">
        <w:rPr>
          <w:rFonts w:ascii="ITC Avant Garde" w:hAnsi="ITC Avant Garde"/>
          <w:color w:val="000000"/>
          <w:sz w:val="22"/>
          <w:szCs w:val="22"/>
          <w:lang w:val="es-ES" w:eastAsia="es-ES"/>
        </w:rPr>
        <w:t>2.1.-356/2016 de fecha 6 de mayo de 2016, la Secretaría manifestó lo siguiente:</w:t>
      </w:r>
    </w:p>
    <w:p w14:paraId="417DC515" w14:textId="77777777" w:rsidR="00A801E0" w:rsidRPr="00A801E0" w:rsidRDefault="00DA6059" w:rsidP="00A801E0">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A801E0">
        <w:rPr>
          <w:rFonts w:ascii="ITC Avant Garde" w:hAnsi="ITC Avant Garde"/>
          <w:color w:val="000000"/>
          <w:sz w:val="18"/>
          <w:szCs w:val="22"/>
          <w:lang w:val="es-ES" w:eastAsia="es-ES"/>
        </w:rPr>
        <w:t>“</w:t>
      </w:r>
      <w:r w:rsidR="00212BC2" w:rsidRPr="00A801E0">
        <w:rPr>
          <w:rFonts w:ascii="ITC Avant Garde" w:hAnsi="ITC Avant Garde"/>
          <w:color w:val="000000"/>
          <w:sz w:val="18"/>
          <w:szCs w:val="22"/>
          <w:lang w:val="es-ES" w:eastAsia="es-ES"/>
        </w:rPr>
        <w:t>(</w:t>
      </w:r>
      <w:r w:rsidRPr="00A801E0">
        <w:rPr>
          <w:rFonts w:ascii="ITC Avant Garde" w:hAnsi="ITC Avant Garde"/>
          <w:color w:val="000000"/>
          <w:sz w:val="18"/>
          <w:szCs w:val="22"/>
          <w:lang w:val="es-ES" w:eastAsia="es-ES"/>
        </w:rPr>
        <w:t>…</w:t>
      </w:r>
      <w:r w:rsidR="00212BC2" w:rsidRPr="00A801E0">
        <w:rPr>
          <w:rFonts w:ascii="ITC Avant Garde" w:hAnsi="ITC Avant Garde"/>
          <w:color w:val="000000"/>
          <w:sz w:val="18"/>
          <w:szCs w:val="22"/>
          <w:lang w:val="es-ES" w:eastAsia="es-ES"/>
        </w:rPr>
        <w:t>)</w:t>
      </w:r>
      <w:r w:rsidRPr="00A801E0">
        <w:rPr>
          <w:rFonts w:ascii="ITC Avant Garde" w:hAnsi="ITC Avant Garde"/>
          <w:color w:val="000000"/>
          <w:sz w:val="18"/>
          <w:szCs w:val="22"/>
          <w:lang w:val="es-ES" w:eastAsia="es-ES"/>
        </w:rPr>
        <w:t xml:space="preserve"> la red </w:t>
      </w:r>
      <w:r w:rsidR="00212BC2" w:rsidRPr="00A801E0">
        <w:rPr>
          <w:rFonts w:ascii="ITC Avant Garde" w:hAnsi="ITC Avant Garde"/>
          <w:color w:val="000000"/>
          <w:sz w:val="18"/>
          <w:szCs w:val="22"/>
          <w:lang w:val="es-ES" w:eastAsia="es-ES"/>
        </w:rPr>
        <w:t xml:space="preserve">satelital B-SAT-1Q,, </w:t>
      </w:r>
      <w:r w:rsidR="00595FA9" w:rsidRPr="00A801E0">
        <w:rPr>
          <w:rFonts w:ascii="ITC Avant Garde" w:hAnsi="ITC Avant Garde"/>
          <w:color w:val="000000"/>
          <w:sz w:val="18"/>
          <w:szCs w:val="22"/>
          <w:lang w:val="es-ES" w:eastAsia="es-ES"/>
        </w:rPr>
        <w:t>se identificó como posible afectante de las redes satelitales MEXSAT-A-109.2 KA, MEXSAT-A-113 KA, MEXSAT-A-116.8 KA y MEXSAT-114.9 KA, sin embargo dichas redes fueron suprimidas de los registros de la UIT, por lo que la coordinación no es necesaria.”</w:t>
      </w:r>
    </w:p>
    <w:p w14:paraId="657B99C6" w14:textId="5BD97C2E" w:rsidR="00140D5B" w:rsidRPr="00A801E0" w:rsidRDefault="00140D5B" w:rsidP="00A801E0">
      <w:pPr>
        <w:pStyle w:val="NormalWeb"/>
        <w:spacing w:before="240" w:beforeAutospacing="0" w:after="240" w:afterAutospacing="0"/>
        <w:ind w:left="426" w:right="332"/>
        <w:jc w:val="both"/>
        <w:rPr>
          <w:rFonts w:ascii="ITC Avant Garde" w:hAnsi="ITC Avant Garde"/>
          <w:color w:val="000000"/>
          <w:sz w:val="22"/>
          <w:szCs w:val="22"/>
          <w:lang w:val="es-ES" w:eastAsia="es-ES"/>
        </w:rPr>
      </w:pPr>
      <w:r w:rsidRPr="00A801E0">
        <w:rPr>
          <w:rFonts w:ascii="ITC Avant Garde" w:hAnsi="ITC Avant Garde"/>
          <w:color w:val="000000"/>
          <w:sz w:val="18"/>
          <w:szCs w:val="22"/>
          <w:lang w:val="es-ES" w:eastAsia="es-ES"/>
        </w:rPr>
        <w:t xml:space="preserve">(…) “considerando que el Instituto Federal de Telecomunicaciones con fecha 12 de agosto de 2014, autorizó la prórroga de concesión para explotar los derechos de emisión y recepción de señales de bandas de frecuencias asociadas a sistemas satelitales extranjeros que cubren y pueden prestar servicios en el territorio nacional, a favor de </w:t>
      </w:r>
      <w:proofErr w:type="spellStart"/>
      <w:r w:rsidRPr="00A801E0">
        <w:rPr>
          <w:rFonts w:ascii="ITC Avant Garde" w:hAnsi="ITC Avant Garde"/>
          <w:color w:val="000000"/>
          <w:sz w:val="18"/>
          <w:szCs w:val="22"/>
          <w:lang w:val="es-ES" w:eastAsia="es-ES"/>
        </w:rPr>
        <w:t>Hispasat</w:t>
      </w:r>
      <w:proofErr w:type="spellEnd"/>
      <w:r w:rsidRPr="00A801E0">
        <w:rPr>
          <w:rFonts w:ascii="ITC Avant Garde" w:hAnsi="ITC Avant Garde"/>
          <w:color w:val="000000"/>
          <w:sz w:val="18"/>
          <w:szCs w:val="22"/>
          <w:lang w:val="es-ES" w:eastAsia="es-ES"/>
        </w:rPr>
        <w:t>, y en la cual se estableció en la condición A.2., una contraprestación de 8 MHz continuos en las bandas de frecuencia asociadas a su sistema satelital, por lo que no es necesario modificar dicha capacidad.”</w:t>
      </w:r>
    </w:p>
    <w:p w14:paraId="2342772F" w14:textId="70C224DB" w:rsidR="000C415A" w:rsidRPr="00A801E0" w:rsidRDefault="000C415A" w:rsidP="00A801E0">
      <w:pPr>
        <w:pStyle w:val="NormalWeb"/>
        <w:spacing w:before="240" w:beforeAutospacing="0" w:after="240" w:afterAutospacing="0"/>
        <w:jc w:val="both"/>
        <w:rPr>
          <w:rFonts w:ascii="ITC Avant Garde" w:eastAsia="Calibri" w:hAnsi="ITC Avant Garde"/>
          <w:bCs/>
          <w:sz w:val="22"/>
          <w:szCs w:val="22"/>
          <w:lang w:eastAsia="en-US"/>
        </w:rPr>
      </w:pPr>
      <w:r w:rsidRPr="00A801E0">
        <w:rPr>
          <w:rFonts w:ascii="ITC Avant Garde" w:eastAsia="Calibri" w:hAnsi="ITC Avant Garde"/>
          <w:bCs/>
          <w:sz w:val="22"/>
          <w:szCs w:val="22"/>
          <w:lang w:eastAsia="en-US"/>
        </w:rPr>
        <w:t xml:space="preserve">Ahora bien, el Instituto tiene por objeto </w:t>
      </w:r>
      <w:r w:rsidR="00A81B49" w:rsidRPr="00A801E0">
        <w:rPr>
          <w:rFonts w:ascii="ITC Avant Garde" w:eastAsia="Calibri" w:hAnsi="ITC Avant Garde"/>
          <w:bCs/>
          <w:sz w:val="22"/>
          <w:szCs w:val="22"/>
          <w:lang w:eastAsia="en-US"/>
        </w:rPr>
        <w:t>p</w:t>
      </w:r>
      <w:r w:rsidRPr="00A801E0">
        <w:rPr>
          <w:rFonts w:ascii="ITC Avant Garde" w:eastAsia="Calibri" w:hAnsi="ITC Avant Garde"/>
          <w:bCs/>
          <w:sz w:val="22"/>
          <w:szCs w:val="22"/>
          <w:lang w:eastAsia="en-US"/>
        </w:rPr>
        <w:t>romover e impulsar condiciones para el acceso universal a las tecnologías de la información y servicios de telecomunicaciones y radiodifusión</w:t>
      </w:r>
      <w:r w:rsidR="00A81B49" w:rsidRPr="00A801E0">
        <w:rPr>
          <w:rFonts w:ascii="ITC Avant Garde" w:eastAsia="Calibri" w:hAnsi="ITC Avant Garde"/>
          <w:bCs/>
          <w:sz w:val="22"/>
          <w:szCs w:val="22"/>
          <w:lang w:eastAsia="en-US"/>
        </w:rPr>
        <w:t>, q</w:t>
      </w:r>
      <w:r w:rsidRPr="00A801E0">
        <w:rPr>
          <w:rFonts w:ascii="ITC Avant Garde" w:eastAsia="Calibri" w:hAnsi="ITC Avant Garde"/>
          <w:bCs/>
          <w:sz w:val="22"/>
          <w:szCs w:val="22"/>
          <w:lang w:eastAsia="en-US"/>
        </w:rPr>
        <w:t xml:space="preserve">ue </w:t>
      </w:r>
      <w:r w:rsidR="00A81B49" w:rsidRPr="00A801E0">
        <w:rPr>
          <w:rFonts w:ascii="ITC Avant Garde" w:eastAsia="Calibri" w:hAnsi="ITC Avant Garde"/>
          <w:bCs/>
          <w:sz w:val="22"/>
          <w:szCs w:val="22"/>
          <w:lang w:eastAsia="en-US"/>
        </w:rPr>
        <w:t>permita</w:t>
      </w:r>
      <w:r w:rsidR="00595DFE" w:rsidRPr="00A801E0">
        <w:rPr>
          <w:rFonts w:ascii="ITC Avant Garde" w:eastAsia="Calibri" w:hAnsi="ITC Avant Garde"/>
          <w:bCs/>
          <w:sz w:val="22"/>
          <w:szCs w:val="22"/>
          <w:lang w:eastAsia="en-US"/>
        </w:rPr>
        <w:t>n</w:t>
      </w:r>
      <w:r w:rsidR="00A81B49" w:rsidRPr="00A801E0">
        <w:rPr>
          <w:rFonts w:ascii="ITC Avant Garde" w:eastAsia="Calibri" w:hAnsi="ITC Avant Garde"/>
          <w:bCs/>
          <w:sz w:val="22"/>
          <w:szCs w:val="22"/>
          <w:lang w:eastAsia="en-US"/>
        </w:rPr>
        <w:t xml:space="preserve"> a </w:t>
      </w:r>
      <w:r w:rsidRPr="00A801E0">
        <w:rPr>
          <w:rFonts w:ascii="ITC Avant Garde" w:eastAsia="Calibri" w:hAnsi="ITC Avant Garde"/>
          <w:bCs/>
          <w:sz w:val="22"/>
          <w:szCs w:val="22"/>
          <w:lang w:eastAsia="en-US"/>
        </w:rPr>
        <w:t>los usuarios y las audiencias ten</w:t>
      </w:r>
      <w:r w:rsidR="00A81B49" w:rsidRPr="00A801E0">
        <w:rPr>
          <w:rFonts w:ascii="ITC Avant Garde" w:eastAsia="Calibri" w:hAnsi="ITC Avant Garde"/>
          <w:bCs/>
          <w:sz w:val="22"/>
          <w:szCs w:val="22"/>
          <w:lang w:eastAsia="en-US"/>
        </w:rPr>
        <w:t>er</w:t>
      </w:r>
      <w:r w:rsidRPr="00A801E0">
        <w:rPr>
          <w:rFonts w:ascii="ITC Avant Garde" w:eastAsia="Calibri" w:hAnsi="ITC Avant Garde"/>
          <w:bCs/>
          <w:sz w:val="22"/>
          <w:szCs w:val="22"/>
          <w:lang w:eastAsia="en-US"/>
        </w:rPr>
        <w:t xml:space="preserve"> mejores opciones de servicios públicos a precios asequibles, a través </w:t>
      </w:r>
      <w:r w:rsidR="00595DFE" w:rsidRPr="00A801E0">
        <w:rPr>
          <w:rFonts w:ascii="ITC Avant Garde" w:eastAsia="Calibri" w:hAnsi="ITC Avant Garde"/>
          <w:bCs/>
          <w:sz w:val="22"/>
          <w:szCs w:val="22"/>
          <w:lang w:eastAsia="en-US"/>
        </w:rPr>
        <w:t xml:space="preserve">más </w:t>
      </w:r>
      <w:r w:rsidRPr="00A801E0">
        <w:rPr>
          <w:rFonts w:ascii="ITC Avant Garde" w:eastAsia="Calibri" w:hAnsi="ITC Avant Garde"/>
          <w:bCs/>
          <w:sz w:val="22"/>
          <w:szCs w:val="22"/>
          <w:lang w:eastAsia="en-US"/>
        </w:rPr>
        <w:t>competencia y libre concurrencia de los sectores regulados.</w:t>
      </w:r>
    </w:p>
    <w:p w14:paraId="0FF948C7" w14:textId="77777777" w:rsidR="00A801E0" w:rsidRPr="00A801E0" w:rsidRDefault="00A81B49" w:rsidP="00A801E0">
      <w:pPr>
        <w:pStyle w:val="NormalWeb"/>
        <w:spacing w:before="240" w:beforeAutospacing="0" w:after="240" w:afterAutospacing="0"/>
        <w:jc w:val="both"/>
        <w:rPr>
          <w:rFonts w:ascii="ITC Avant Garde" w:hAnsi="ITC Avant Garde"/>
        </w:rPr>
      </w:pPr>
      <w:r w:rsidRPr="00A801E0">
        <w:rPr>
          <w:rFonts w:ascii="ITC Avant Garde" w:eastAsia="Calibri" w:hAnsi="ITC Avant Garde"/>
          <w:bCs/>
          <w:sz w:val="22"/>
          <w:szCs w:val="22"/>
          <w:lang w:eastAsia="en-US"/>
        </w:rPr>
        <w:t xml:space="preserve">En concordancia con lo anterior, el incremento del ancho de banda en la </w:t>
      </w:r>
      <w:r w:rsidR="000E56C0" w:rsidRPr="00A801E0">
        <w:rPr>
          <w:rFonts w:ascii="ITC Avant Garde" w:eastAsia="Calibri" w:hAnsi="ITC Avant Garde"/>
          <w:bCs/>
          <w:sz w:val="22"/>
          <w:szCs w:val="22"/>
          <w:lang w:eastAsia="en-US"/>
        </w:rPr>
        <w:t xml:space="preserve">denomina </w:t>
      </w:r>
      <w:r w:rsidRPr="00A801E0">
        <w:rPr>
          <w:rFonts w:ascii="ITC Avant Garde" w:eastAsia="Calibri" w:hAnsi="ITC Avant Garde"/>
          <w:bCs/>
          <w:sz w:val="22"/>
          <w:szCs w:val="22"/>
          <w:lang w:eastAsia="en-US"/>
        </w:rPr>
        <w:t xml:space="preserve">banda </w:t>
      </w:r>
      <w:proofErr w:type="spellStart"/>
      <w:r w:rsidRPr="00A801E0">
        <w:rPr>
          <w:rFonts w:ascii="ITC Avant Garde" w:eastAsia="Calibri" w:hAnsi="ITC Avant Garde"/>
          <w:bCs/>
          <w:sz w:val="22"/>
          <w:szCs w:val="22"/>
          <w:lang w:eastAsia="en-US"/>
        </w:rPr>
        <w:t>Ka</w:t>
      </w:r>
      <w:proofErr w:type="spellEnd"/>
      <w:r w:rsidR="00CF1B8C" w:rsidRPr="00A801E0">
        <w:rPr>
          <w:rFonts w:ascii="ITC Avant Garde" w:hAnsi="ITC Avant Garde"/>
          <w:color w:val="000000"/>
          <w:sz w:val="22"/>
          <w:szCs w:val="22"/>
          <w:lang w:val="es-ES" w:eastAsia="es-ES"/>
        </w:rPr>
        <w:t>,</w:t>
      </w:r>
      <w:r w:rsidRPr="00A801E0">
        <w:rPr>
          <w:rFonts w:ascii="ITC Avant Garde" w:eastAsia="Calibri" w:hAnsi="ITC Avant Garde"/>
          <w:bCs/>
          <w:sz w:val="22"/>
          <w:szCs w:val="22"/>
          <w:lang w:eastAsia="en-US"/>
        </w:rPr>
        <w:t xml:space="preserve"> promoverá</w:t>
      </w:r>
      <w:r w:rsidR="00CF1B8C" w:rsidRPr="00A801E0">
        <w:rPr>
          <w:rFonts w:ascii="ITC Avant Garde" w:eastAsia="Calibri" w:hAnsi="ITC Avant Garde"/>
          <w:bCs/>
          <w:sz w:val="22"/>
          <w:szCs w:val="22"/>
          <w:lang w:eastAsia="en-US"/>
        </w:rPr>
        <w:t xml:space="preserve"> condiciones que propician una mayor competencia en el mercado satelital, así como la oportunidad de brindar mayores servicios de banda </w:t>
      </w:r>
      <w:r w:rsidR="00CF1B8C" w:rsidRPr="00A801E0">
        <w:rPr>
          <w:rFonts w:ascii="ITC Avant Garde" w:eastAsia="Calibri" w:hAnsi="ITC Avant Garde"/>
          <w:bCs/>
          <w:sz w:val="22"/>
          <w:szCs w:val="22"/>
          <w:lang w:eastAsia="en-US"/>
        </w:rPr>
        <w:lastRenderedPageBreak/>
        <w:t xml:space="preserve">ancha </w:t>
      </w:r>
      <w:r w:rsidR="000E56C0" w:rsidRPr="00A801E0">
        <w:rPr>
          <w:rFonts w:ascii="ITC Avant Garde" w:eastAsia="Calibri" w:hAnsi="ITC Avant Garde"/>
          <w:bCs/>
          <w:sz w:val="22"/>
          <w:szCs w:val="22"/>
          <w:lang w:eastAsia="en-US"/>
        </w:rPr>
        <w:t xml:space="preserve">e internet </w:t>
      </w:r>
      <w:r w:rsidR="00CF1B8C" w:rsidRPr="00A801E0">
        <w:rPr>
          <w:rFonts w:ascii="ITC Avant Garde" w:eastAsia="Calibri" w:hAnsi="ITC Avant Garde"/>
          <w:bCs/>
          <w:sz w:val="22"/>
          <w:szCs w:val="22"/>
          <w:lang w:eastAsia="en-US"/>
        </w:rPr>
        <w:t xml:space="preserve">en el país, </w:t>
      </w:r>
      <w:r w:rsidR="000F54E5" w:rsidRPr="00A801E0">
        <w:rPr>
          <w:rFonts w:ascii="ITC Avant Garde" w:eastAsia="Calibri" w:hAnsi="ITC Avant Garde"/>
          <w:bCs/>
          <w:sz w:val="22"/>
          <w:szCs w:val="22"/>
          <w:lang w:eastAsia="en-US"/>
        </w:rPr>
        <w:t xml:space="preserve">permitiendo la conectividad a más mexicanos al cubrir </w:t>
      </w:r>
      <w:r w:rsidR="00CF1B8C" w:rsidRPr="00A801E0">
        <w:rPr>
          <w:rFonts w:ascii="ITC Avant Garde" w:eastAsia="Calibri" w:hAnsi="ITC Avant Garde"/>
          <w:bCs/>
          <w:sz w:val="22"/>
          <w:szCs w:val="22"/>
          <w:lang w:eastAsia="en-US"/>
        </w:rPr>
        <w:t xml:space="preserve"> tanto zonas rurales como urbanas</w:t>
      </w:r>
      <w:r w:rsidR="000E56C0" w:rsidRPr="00A801E0">
        <w:rPr>
          <w:rFonts w:ascii="ITC Avant Garde" w:hAnsi="ITC Avant Garde"/>
        </w:rPr>
        <w:t>.</w:t>
      </w:r>
    </w:p>
    <w:p w14:paraId="1963EBE6" w14:textId="77777777" w:rsidR="00A801E0" w:rsidRPr="00A801E0" w:rsidRDefault="000F54E5"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 xml:space="preserve">En ese mismo sentido </w:t>
      </w:r>
      <w:r w:rsidR="00595DFE" w:rsidRPr="00A801E0">
        <w:rPr>
          <w:rFonts w:ascii="ITC Avant Garde" w:hAnsi="ITC Avant Garde"/>
          <w:color w:val="000000"/>
          <w:sz w:val="22"/>
          <w:szCs w:val="22"/>
          <w:lang w:val="es-ES" w:eastAsia="es-ES"/>
        </w:rPr>
        <w:t xml:space="preserve">dicho incremento, </w:t>
      </w:r>
      <w:r w:rsidRPr="00A801E0">
        <w:rPr>
          <w:rFonts w:ascii="ITC Avant Garde" w:hAnsi="ITC Avant Garde"/>
          <w:color w:val="000000"/>
          <w:sz w:val="22"/>
          <w:szCs w:val="22"/>
          <w:lang w:val="es-ES" w:eastAsia="es-ES"/>
        </w:rPr>
        <w:t>contribu</w:t>
      </w:r>
      <w:r w:rsidR="00595DFE" w:rsidRPr="00A801E0">
        <w:rPr>
          <w:rFonts w:ascii="ITC Avant Garde" w:hAnsi="ITC Avant Garde"/>
          <w:color w:val="000000"/>
          <w:sz w:val="22"/>
          <w:szCs w:val="22"/>
          <w:lang w:val="es-ES" w:eastAsia="es-ES"/>
        </w:rPr>
        <w:t>irá</w:t>
      </w:r>
      <w:r w:rsidR="000E56C0" w:rsidRPr="00A801E0">
        <w:rPr>
          <w:rFonts w:ascii="ITC Avant Garde" w:hAnsi="ITC Avant Garde"/>
          <w:color w:val="000000"/>
          <w:sz w:val="22"/>
          <w:szCs w:val="22"/>
          <w:lang w:val="es-ES" w:eastAsia="es-ES"/>
        </w:rPr>
        <w:t xml:space="preserve"> al cumplimiento del derecho de acceso universal a las tecnologías de la información y comunicación,</w:t>
      </w:r>
      <w:r w:rsidRPr="00A801E0">
        <w:rPr>
          <w:rFonts w:ascii="ITC Avant Garde" w:hAnsi="ITC Avant Garde"/>
          <w:color w:val="000000"/>
          <w:sz w:val="22"/>
          <w:szCs w:val="22"/>
          <w:lang w:val="es-ES" w:eastAsia="es-ES"/>
        </w:rPr>
        <w:t xml:space="preserve"> </w:t>
      </w:r>
      <w:r w:rsidR="00047CCD" w:rsidRPr="00A801E0">
        <w:rPr>
          <w:rFonts w:ascii="ITC Avant Garde" w:hAnsi="ITC Avant Garde"/>
          <w:color w:val="000000"/>
          <w:sz w:val="22"/>
          <w:szCs w:val="22"/>
          <w:lang w:val="es-ES" w:eastAsia="es-ES"/>
        </w:rPr>
        <w:t>ya que se</w:t>
      </w:r>
      <w:r w:rsidR="000E56C0" w:rsidRPr="00A801E0">
        <w:rPr>
          <w:rFonts w:ascii="ITC Avant Garde" w:hAnsi="ITC Avant Garde"/>
          <w:color w:val="000000"/>
          <w:sz w:val="22"/>
          <w:szCs w:val="22"/>
          <w:lang w:val="es-ES" w:eastAsia="es-ES"/>
        </w:rPr>
        <w:t xml:space="preserve"> </w:t>
      </w:r>
      <w:r w:rsidR="00595DFE" w:rsidRPr="00A801E0">
        <w:rPr>
          <w:rFonts w:ascii="ITC Avant Garde" w:hAnsi="ITC Avant Garde"/>
          <w:color w:val="000000"/>
          <w:sz w:val="22"/>
          <w:szCs w:val="22"/>
          <w:lang w:val="es-ES" w:eastAsia="es-ES"/>
        </w:rPr>
        <w:t>promueve</w:t>
      </w:r>
      <w:r w:rsidR="000E56C0" w:rsidRPr="00A801E0">
        <w:rPr>
          <w:rFonts w:ascii="ITC Avant Garde" w:hAnsi="ITC Avant Garde"/>
          <w:color w:val="000000"/>
          <w:sz w:val="22"/>
          <w:szCs w:val="22"/>
          <w:lang w:val="es-ES" w:eastAsia="es-ES"/>
        </w:rPr>
        <w:t xml:space="preserve"> </w:t>
      </w:r>
      <w:r w:rsidR="00047CCD" w:rsidRPr="00A801E0">
        <w:rPr>
          <w:rFonts w:ascii="ITC Avant Garde" w:hAnsi="ITC Avant Garde"/>
          <w:color w:val="000000"/>
          <w:sz w:val="22"/>
          <w:szCs w:val="22"/>
          <w:lang w:val="es-ES" w:eastAsia="es-ES"/>
        </w:rPr>
        <w:t>la implementación</w:t>
      </w:r>
      <w:r w:rsidR="00595DFE" w:rsidRPr="00A801E0">
        <w:rPr>
          <w:rFonts w:ascii="ITC Avant Garde" w:hAnsi="ITC Avant Garde"/>
          <w:color w:val="000000"/>
          <w:sz w:val="22"/>
          <w:szCs w:val="22"/>
          <w:lang w:val="es-ES" w:eastAsia="es-ES"/>
        </w:rPr>
        <w:t xml:space="preserve"> de </w:t>
      </w:r>
      <w:r w:rsidR="000E56C0" w:rsidRPr="00A801E0">
        <w:rPr>
          <w:rFonts w:ascii="ITC Avant Garde" w:hAnsi="ITC Avant Garde"/>
          <w:color w:val="000000"/>
          <w:sz w:val="22"/>
          <w:szCs w:val="22"/>
          <w:lang w:val="es-ES" w:eastAsia="es-ES"/>
        </w:rPr>
        <w:t>nuevas tecnologías</w:t>
      </w:r>
      <w:r w:rsidR="000E56C0" w:rsidRPr="00A801E0">
        <w:rPr>
          <w:rFonts w:ascii="ITC Avant Garde" w:hAnsi="ITC Avant Garde"/>
        </w:rPr>
        <w:t xml:space="preserve"> </w:t>
      </w:r>
      <w:r w:rsidR="00595DFE" w:rsidRPr="00A801E0">
        <w:rPr>
          <w:rFonts w:ascii="ITC Avant Garde" w:hAnsi="ITC Avant Garde"/>
          <w:color w:val="000000"/>
          <w:sz w:val="22"/>
          <w:szCs w:val="22"/>
          <w:lang w:val="es-ES" w:eastAsia="es-ES"/>
        </w:rPr>
        <w:t>destinadas a proveer</w:t>
      </w:r>
      <w:r w:rsidR="00047CCD" w:rsidRPr="00A801E0">
        <w:rPr>
          <w:rFonts w:ascii="ITC Avant Garde" w:hAnsi="ITC Avant Garde"/>
          <w:color w:val="000000"/>
          <w:sz w:val="22"/>
          <w:szCs w:val="22"/>
          <w:lang w:val="es-ES" w:eastAsia="es-ES"/>
        </w:rPr>
        <w:t xml:space="preserve"> mejores</w:t>
      </w:r>
      <w:r w:rsidR="00595DFE" w:rsidRPr="00A801E0">
        <w:rPr>
          <w:rFonts w:ascii="ITC Avant Garde" w:hAnsi="ITC Avant Garde"/>
          <w:color w:val="000000"/>
          <w:sz w:val="22"/>
          <w:szCs w:val="22"/>
          <w:lang w:val="es-ES" w:eastAsia="es-ES"/>
        </w:rPr>
        <w:t xml:space="preserve"> </w:t>
      </w:r>
      <w:r w:rsidR="000E56C0" w:rsidRPr="00A801E0">
        <w:rPr>
          <w:rFonts w:ascii="ITC Avant Garde" w:hAnsi="ITC Avant Garde"/>
          <w:color w:val="000000"/>
          <w:sz w:val="22"/>
          <w:szCs w:val="22"/>
          <w:lang w:val="es-ES" w:eastAsia="es-ES"/>
        </w:rPr>
        <w:t>servicios de banda ancha e Internet.</w:t>
      </w:r>
    </w:p>
    <w:p w14:paraId="0922916E" w14:textId="77777777" w:rsidR="00A801E0" w:rsidRPr="00A801E0" w:rsidRDefault="000C415A" w:rsidP="00A801E0">
      <w:pPr>
        <w:pStyle w:val="NormalWeb"/>
        <w:spacing w:before="240" w:beforeAutospacing="0" w:after="240" w:afterAutospacing="0"/>
        <w:jc w:val="both"/>
        <w:rPr>
          <w:rFonts w:ascii="ITC Avant Garde" w:hAnsi="ITC Avant Garde"/>
          <w:color w:val="000000"/>
          <w:lang w:val="es-ES" w:eastAsia="es-ES"/>
        </w:rPr>
      </w:pPr>
      <w:r w:rsidRPr="00A801E0">
        <w:rPr>
          <w:rFonts w:ascii="ITC Avant Garde" w:hAnsi="ITC Avant Garde"/>
          <w:color w:val="000000"/>
          <w:sz w:val="22"/>
          <w:szCs w:val="22"/>
          <w:lang w:val="es-ES" w:eastAsia="es-ES"/>
        </w:rPr>
        <w:t>Derivado de</w:t>
      </w:r>
      <w:r w:rsidR="00212BC2" w:rsidRPr="00A801E0">
        <w:rPr>
          <w:rFonts w:ascii="ITC Avant Garde" w:hAnsi="ITC Avant Garde"/>
          <w:color w:val="000000"/>
          <w:sz w:val="22"/>
          <w:szCs w:val="22"/>
          <w:lang w:val="es-ES" w:eastAsia="es-ES"/>
        </w:rPr>
        <w:t xml:space="preserve"> lo </w:t>
      </w:r>
      <w:r w:rsidRPr="00A801E0">
        <w:rPr>
          <w:rFonts w:ascii="ITC Avant Garde" w:hAnsi="ITC Avant Garde"/>
          <w:color w:val="000000"/>
          <w:sz w:val="22"/>
          <w:szCs w:val="22"/>
          <w:lang w:val="es-ES" w:eastAsia="es-ES"/>
        </w:rPr>
        <w:t>anterior</w:t>
      </w:r>
      <w:r w:rsidR="00C60939" w:rsidRPr="00A801E0">
        <w:rPr>
          <w:rFonts w:ascii="ITC Avant Garde" w:hAnsi="ITC Avant Garde"/>
          <w:color w:val="000000"/>
          <w:sz w:val="22"/>
          <w:szCs w:val="22"/>
          <w:lang w:val="es-ES" w:eastAsia="es-ES"/>
        </w:rPr>
        <w:t>,</w:t>
      </w:r>
      <w:r w:rsidR="00212BC2" w:rsidRPr="00A801E0">
        <w:rPr>
          <w:rFonts w:ascii="ITC Avant Garde" w:hAnsi="ITC Avant Garde"/>
          <w:color w:val="000000"/>
          <w:sz w:val="22"/>
          <w:szCs w:val="22"/>
          <w:lang w:val="es-ES" w:eastAsia="es-ES"/>
        </w:rPr>
        <w:t xml:space="preserve"> se considera procedente la modificación </w:t>
      </w:r>
      <w:r w:rsidR="00F81874" w:rsidRPr="00A801E0">
        <w:rPr>
          <w:rFonts w:ascii="ITC Avant Garde" w:hAnsi="ITC Avant Garde"/>
          <w:color w:val="000000"/>
          <w:sz w:val="22"/>
          <w:szCs w:val="22"/>
          <w:lang w:val="es-ES" w:eastAsia="es-ES"/>
        </w:rPr>
        <w:t>del expediente B-SAT-1Q</w:t>
      </w:r>
      <w:r w:rsidR="00140D5B" w:rsidRPr="00A801E0">
        <w:rPr>
          <w:rFonts w:ascii="ITC Avant Garde" w:hAnsi="ITC Avant Garde"/>
          <w:color w:val="000000"/>
          <w:sz w:val="22"/>
          <w:szCs w:val="22"/>
          <w:lang w:val="es-ES" w:eastAsia="es-ES"/>
        </w:rPr>
        <w:t xml:space="preserve">, con el fin de considerar el rango de frecuencias </w:t>
      </w:r>
      <w:r w:rsidR="000D288A" w:rsidRPr="00A801E0">
        <w:rPr>
          <w:rFonts w:ascii="ITC Avant Garde" w:hAnsi="ITC Avant Garde"/>
          <w:color w:val="000000"/>
          <w:sz w:val="22"/>
          <w:szCs w:val="22"/>
          <w:lang w:val="es-ES" w:eastAsia="es-ES"/>
        </w:rPr>
        <w:t>para el enlace ascendente (Tierra-espacio) de 27.0 GHz hasta 30.0 GHz y enlace descendente (espacio-Tierra) de 17.7 GHz hasta 20.</w:t>
      </w:r>
      <w:r w:rsidR="00B85A5B" w:rsidRPr="00A801E0">
        <w:rPr>
          <w:rFonts w:ascii="ITC Avant Garde" w:hAnsi="ITC Avant Garde"/>
          <w:color w:val="000000"/>
          <w:sz w:val="22"/>
          <w:szCs w:val="22"/>
          <w:lang w:val="es-ES" w:eastAsia="es-ES"/>
        </w:rPr>
        <w:t xml:space="preserve">2 </w:t>
      </w:r>
      <w:r w:rsidR="000D288A" w:rsidRPr="00A801E0">
        <w:rPr>
          <w:rFonts w:ascii="ITC Avant Garde" w:hAnsi="ITC Avant Garde"/>
          <w:color w:val="000000"/>
          <w:sz w:val="22"/>
          <w:szCs w:val="22"/>
          <w:lang w:val="es-ES" w:eastAsia="es-ES"/>
        </w:rPr>
        <w:t>GHz</w:t>
      </w:r>
      <w:r w:rsidR="00140D5B" w:rsidRPr="00A801E0">
        <w:rPr>
          <w:rFonts w:ascii="ITC Avant Garde" w:hAnsi="ITC Avant Garde"/>
          <w:color w:val="000000"/>
          <w:sz w:val="22"/>
          <w:szCs w:val="22"/>
          <w:lang w:val="es-ES" w:eastAsia="es-ES"/>
        </w:rPr>
        <w:t>,</w:t>
      </w:r>
      <w:r w:rsidR="00F81874" w:rsidRPr="00A801E0" w:rsidDel="00F81874">
        <w:rPr>
          <w:rFonts w:ascii="ITC Avant Garde" w:hAnsi="ITC Avant Garde"/>
          <w:color w:val="000000"/>
          <w:sz w:val="22"/>
          <w:szCs w:val="22"/>
          <w:lang w:val="es-ES" w:eastAsia="es-ES"/>
        </w:rPr>
        <w:t xml:space="preserve"> </w:t>
      </w:r>
      <w:r w:rsidR="00F81874" w:rsidRPr="00A801E0">
        <w:rPr>
          <w:rFonts w:ascii="ITC Avant Garde" w:hAnsi="ITC Avant Garde"/>
          <w:color w:val="000000"/>
          <w:sz w:val="22"/>
          <w:szCs w:val="22"/>
          <w:lang w:val="es-ES" w:eastAsia="es-ES"/>
        </w:rPr>
        <w:t>e</w:t>
      </w:r>
      <w:r w:rsidR="00212BC2" w:rsidRPr="00A801E0">
        <w:rPr>
          <w:rFonts w:ascii="ITC Avant Garde" w:hAnsi="ITC Avant Garde"/>
          <w:color w:val="000000"/>
          <w:sz w:val="22"/>
          <w:szCs w:val="22"/>
          <w:lang w:val="es-ES" w:eastAsia="es-ES"/>
        </w:rPr>
        <w:t>n la posición orbital geoestacionaria 61° O</w:t>
      </w:r>
      <w:r w:rsidR="00F81874" w:rsidRPr="00A801E0">
        <w:rPr>
          <w:rFonts w:ascii="ITC Avant Garde" w:hAnsi="ITC Avant Garde"/>
          <w:color w:val="000000"/>
          <w:sz w:val="22"/>
          <w:szCs w:val="22"/>
          <w:lang w:val="es-ES" w:eastAsia="es-ES"/>
        </w:rPr>
        <w:t>.</w:t>
      </w:r>
      <w:r w:rsidR="00212BC2" w:rsidRPr="00A801E0">
        <w:rPr>
          <w:rFonts w:ascii="ITC Avant Garde" w:hAnsi="ITC Avant Garde"/>
          <w:color w:val="000000"/>
          <w:sz w:val="22"/>
          <w:szCs w:val="22"/>
          <w:lang w:val="es-ES" w:eastAsia="es-ES"/>
        </w:rPr>
        <w:t xml:space="preserve"> </w:t>
      </w:r>
    </w:p>
    <w:p w14:paraId="28F3F118" w14:textId="77777777" w:rsidR="00A801E0" w:rsidRPr="00A801E0" w:rsidRDefault="00140D5B" w:rsidP="00A801E0">
      <w:pPr>
        <w:spacing w:before="240" w:after="240" w:line="240" w:lineRule="auto"/>
        <w:ind w:right="48"/>
        <w:jc w:val="both"/>
        <w:rPr>
          <w:rFonts w:ascii="ITC Avant Garde" w:hAnsi="ITC Avant Garde"/>
          <w:bCs/>
        </w:rPr>
      </w:pPr>
      <w:r w:rsidRPr="00A801E0">
        <w:rPr>
          <w:rFonts w:ascii="ITC Avant Garde" w:hAnsi="ITC Avant Garde"/>
          <w:bCs/>
        </w:rPr>
        <w:t xml:space="preserve">Finalmente, por lo que hace al cumplimiento de lo establecido en el segundo párrafo del artículo 150 de la </w:t>
      </w:r>
      <w:proofErr w:type="spellStart"/>
      <w:r w:rsidRPr="00A801E0">
        <w:rPr>
          <w:rFonts w:ascii="ITC Avant Garde" w:hAnsi="ITC Avant Garde"/>
          <w:bCs/>
        </w:rPr>
        <w:t>LFTyR</w:t>
      </w:r>
      <w:proofErr w:type="spellEnd"/>
      <w:r w:rsidRPr="00A801E0">
        <w:rPr>
          <w:rFonts w:ascii="ITC Avant Garde" w:hAnsi="ITC Avant Garde"/>
          <w:bCs/>
        </w:rPr>
        <w:t>, referente al establecimiento de la obligación por parte de los concesionarios y autorizados de proporcionar una reserva de capacidad satelital suficiente y adecuada para las redes de seguridad nacional, servicios de carácter social y demás necesidades del Gobierno Federal, tomando en consideración lo manifestado por la Secretaría en su oficio 2.1.-356/2016 de fecha 6 de mayo de 2016</w:t>
      </w:r>
      <w:r w:rsidRPr="00A801E0">
        <w:rPr>
          <w:rFonts w:ascii="ITC Avant Garde" w:hAnsi="ITC Avant Garde"/>
          <w:color w:val="000000"/>
        </w:rPr>
        <w:t>,</w:t>
      </w:r>
      <w:r w:rsidR="004136DE" w:rsidRPr="00A801E0">
        <w:rPr>
          <w:rFonts w:ascii="ITC Avant Garde" w:hAnsi="ITC Avant Garde"/>
          <w:color w:val="000000"/>
        </w:rPr>
        <w:t xml:space="preserve"> de no modificar dicha capacidad, </w:t>
      </w:r>
      <w:r w:rsidR="004136DE" w:rsidRPr="00A801E0">
        <w:rPr>
          <w:rFonts w:ascii="ITC Avant Garde" w:hAnsi="ITC Avant Garde"/>
          <w:bCs/>
        </w:rPr>
        <w:t>se</w:t>
      </w:r>
      <w:r w:rsidR="00611D33" w:rsidRPr="00A801E0">
        <w:rPr>
          <w:rFonts w:ascii="ITC Avant Garde" w:hAnsi="ITC Avant Garde"/>
          <w:bCs/>
        </w:rPr>
        <w:t xml:space="preserve"> considera satisfecha la obligación del Instituto, contenida en el segundo párrafo del artículo 150 de la Ley, al existir la certeza que el solicitante proporciona la reserva de capacidad satelital suficiente y adecuada para las redes de seguridad nacional, servicios de carácter social y demás necesidades del gobierno, como lo precisó la Secretaría en la opinión citada.</w:t>
      </w:r>
    </w:p>
    <w:p w14:paraId="6FF008F5" w14:textId="77777777" w:rsidR="00A801E0" w:rsidRPr="00A801E0" w:rsidRDefault="00177A32" w:rsidP="00A801E0">
      <w:pPr>
        <w:autoSpaceDE w:val="0"/>
        <w:autoSpaceDN w:val="0"/>
        <w:adjustRightInd w:val="0"/>
        <w:spacing w:before="240" w:after="240" w:line="240" w:lineRule="auto"/>
        <w:jc w:val="both"/>
        <w:rPr>
          <w:rFonts w:ascii="ITC Avant Garde" w:hAnsi="ITC Avant Garde"/>
          <w:bCs/>
        </w:rPr>
      </w:pPr>
      <w:r w:rsidRPr="00A801E0">
        <w:rPr>
          <w:rFonts w:ascii="ITC Avant Garde" w:hAnsi="ITC Avant Garde"/>
          <w:bCs/>
        </w:rPr>
        <w:t>Por lo anteriormente señalado y con fundamento en los artículos 28 párrafo décimo quinto y décimo séptimo de la Constitución Política de los Estados Unidos Mexicanos; 15</w:t>
      </w:r>
      <w:r w:rsidR="004F61F7" w:rsidRPr="00A801E0">
        <w:rPr>
          <w:rFonts w:ascii="ITC Avant Garde" w:hAnsi="ITC Avant Garde"/>
          <w:bCs/>
        </w:rPr>
        <w:t>,</w:t>
      </w:r>
      <w:r w:rsidRPr="00A801E0">
        <w:rPr>
          <w:rFonts w:ascii="ITC Avant Garde" w:hAnsi="ITC Avant Garde"/>
          <w:bCs/>
        </w:rPr>
        <w:t xml:space="preserve"> fracción IV, 17, fracción I, </w:t>
      </w:r>
      <w:r w:rsidR="00D701B5" w:rsidRPr="00A801E0">
        <w:rPr>
          <w:rFonts w:ascii="ITC Avant Garde" w:hAnsi="ITC Avant Garde"/>
          <w:bCs/>
        </w:rPr>
        <w:t xml:space="preserve">y </w:t>
      </w:r>
      <w:r w:rsidRPr="00A801E0">
        <w:rPr>
          <w:rFonts w:ascii="ITC Avant Garde" w:hAnsi="ITC Avant Garde"/>
          <w:bCs/>
        </w:rPr>
        <w:t>150</w:t>
      </w:r>
      <w:r w:rsidR="004F61F7" w:rsidRPr="00A801E0">
        <w:rPr>
          <w:rFonts w:ascii="ITC Avant Garde" w:hAnsi="ITC Avant Garde"/>
          <w:bCs/>
        </w:rPr>
        <w:t>,</w:t>
      </w:r>
      <w:r w:rsidRPr="00A801E0">
        <w:rPr>
          <w:rFonts w:ascii="ITC Avant Garde" w:hAnsi="ITC Avant Garde"/>
          <w:bCs/>
        </w:rPr>
        <w:t xml:space="preserve"> segundo párrafo</w:t>
      </w:r>
      <w:r w:rsidR="004F61F7" w:rsidRPr="00A801E0">
        <w:rPr>
          <w:rFonts w:ascii="ITC Avant Garde" w:hAnsi="ITC Avant Garde"/>
          <w:bCs/>
        </w:rPr>
        <w:t>,</w:t>
      </w:r>
      <w:r w:rsidRPr="00A801E0">
        <w:rPr>
          <w:rFonts w:ascii="ITC Avant Garde" w:hAnsi="ITC Avant Garde"/>
          <w:bCs/>
        </w:rPr>
        <w:t xml:space="preserve"> de la Ley Federal de Telecomunicaciones y Radiodifusión; 35</w:t>
      </w:r>
      <w:r w:rsidR="004F61F7" w:rsidRPr="00A801E0">
        <w:rPr>
          <w:rFonts w:ascii="ITC Avant Garde" w:hAnsi="ITC Avant Garde"/>
          <w:bCs/>
        </w:rPr>
        <w:t>,</w:t>
      </w:r>
      <w:r w:rsidRPr="00A801E0">
        <w:rPr>
          <w:rFonts w:ascii="ITC Avant Garde" w:hAnsi="ITC Avant Garde"/>
          <w:bCs/>
        </w:rPr>
        <w:t xml:space="preserve"> fracción I, 36, 38 y 39 de la Ley Federal de Procedimiento Administrativo;</w:t>
      </w:r>
      <w:r w:rsidR="000C23E8" w:rsidRPr="00A801E0">
        <w:rPr>
          <w:rFonts w:ascii="ITC Avant Garde" w:hAnsi="ITC Avant Garde"/>
          <w:bCs/>
        </w:rPr>
        <w:t xml:space="preserve"> Condición A.8. </w:t>
      </w:r>
      <w:proofErr w:type="gramStart"/>
      <w:r w:rsidR="000C23E8" w:rsidRPr="00A801E0">
        <w:rPr>
          <w:rFonts w:ascii="ITC Avant Garde" w:hAnsi="ITC Avant Garde"/>
          <w:color w:val="000000"/>
          <w:lang w:val="es-ES" w:eastAsia="es-ES"/>
        </w:rPr>
        <w:t>del</w:t>
      </w:r>
      <w:proofErr w:type="gramEnd"/>
      <w:r w:rsidR="000C23E8" w:rsidRPr="00A801E0">
        <w:rPr>
          <w:rFonts w:ascii="ITC Avant Garde" w:hAnsi="ITC Avant Garde"/>
          <w:color w:val="000000"/>
          <w:lang w:val="es-ES" w:eastAsia="es-ES"/>
        </w:rPr>
        <w:t xml:space="preserve"> Anexo del Título de Concesión prorrogado para explotar los derechos de emisión y recepción de señales de bandas de frecuencias asociadas a sistemas satelitales extranjeros, que cubren y pueden prestar servicios en el territorio nacional; y artículos </w:t>
      </w:r>
      <w:r w:rsidRPr="00A801E0">
        <w:rPr>
          <w:rFonts w:ascii="ITC Avant Garde" w:hAnsi="ITC Avant Garde"/>
          <w:bCs/>
        </w:rPr>
        <w:t>1, 4</w:t>
      </w:r>
      <w:r w:rsidR="004F61F7" w:rsidRPr="00A801E0">
        <w:rPr>
          <w:rFonts w:ascii="ITC Avant Garde" w:hAnsi="ITC Avant Garde"/>
          <w:bCs/>
        </w:rPr>
        <w:t>,</w:t>
      </w:r>
      <w:r w:rsidRPr="00A801E0">
        <w:rPr>
          <w:rFonts w:ascii="ITC Avant Garde" w:hAnsi="ITC Avant Garde"/>
          <w:bCs/>
        </w:rPr>
        <w:t xml:space="preserve"> fracción I, 6</w:t>
      </w:r>
      <w:r w:rsidR="004F61F7" w:rsidRPr="00A801E0">
        <w:rPr>
          <w:rFonts w:ascii="ITC Avant Garde" w:hAnsi="ITC Avant Garde"/>
          <w:bCs/>
        </w:rPr>
        <w:t>,</w:t>
      </w:r>
      <w:r w:rsidRPr="00A801E0">
        <w:rPr>
          <w:rFonts w:ascii="ITC Avant Garde" w:hAnsi="ITC Avant Garde"/>
          <w:bCs/>
        </w:rPr>
        <w:t xml:space="preserve"> fracción I, 32 y 33, fracción II, del Estatuto Orgánico del Instituto Federal de Telecomunicaciones, este órgano autónomo emite los siguientes:</w:t>
      </w:r>
    </w:p>
    <w:p w14:paraId="6A5F9775" w14:textId="77777777" w:rsidR="00A801E0" w:rsidRPr="00A801E0" w:rsidRDefault="00C050BC" w:rsidP="00A801E0">
      <w:pPr>
        <w:pStyle w:val="Ttulo2"/>
        <w:spacing w:after="240"/>
        <w:jc w:val="center"/>
        <w:rPr>
          <w:rFonts w:ascii="ITC Avant Garde" w:hAnsi="ITC Avant Garde"/>
          <w:b/>
          <w:color w:val="000000" w:themeColor="text1"/>
          <w:sz w:val="22"/>
          <w:szCs w:val="22"/>
        </w:rPr>
      </w:pPr>
      <w:r w:rsidRPr="00A801E0">
        <w:rPr>
          <w:rFonts w:ascii="ITC Avant Garde" w:hAnsi="ITC Avant Garde"/>
          <w:b/>
          <w:color w:val="000000" w:themeColor="text1"/>
          <w:sz w:val="22"/>
          <w:szCs w:val="22"/>
        </w:rPr>
        <w:t>RESOLUTIVOS</w:t>
      </w:r>
    </w:p>
    <w:p w14:paraId="0791A53D" w14:textId="66948282" w:rsidR="00A56FCB" w:rsidRPr="00A801E0" w:rsidRDefault="004E66EE"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b/>
          <w:color w:val="000000"/>
          <w:sz w:val="22"/>
          <w:szCs w:val="22"/>
          <w:lang w:val="pt-BR" w:eastAsia="es-ES"/>
        </w:rPr>
        <w:t>PRIMERO. -</w:t>
      </w:r>
      <w:r w:rsidR="00C614CA" w:rsidRPr="00A801E0">
        <w:rPr>
          <w:rFonts w:ascii="ITC Avant Garde" w:hAnsi="ITC Avant Garde"/>
          <w:color w:val="000000"/>
          <w:sz w:val="22"/>
          <w:szCs w:val="22"/>
          <w:lang w:val="pt-BR" w:eastAsia="es-ES"/>
        </w:rPr>
        <w:t xml:space="preserve"> </w:t>
      </w:r>
      <w:r w:rsidR="007D4E35" w:rsidRPr="00A801E0">
        <w:rPr>
          <w:rFonts w:ascii="ITC Avant Garde" w:hAnsi="ITC Avant Garde"/>
          <w:color w:val="000000"/>
          <w:sz w:val="22"/>
          <w:szCs w:val="22"/>
          <w:lang w:val="es-ES" w:eastAsia="es-ES"/>
        </w:rPr>
        <w:t>El Pleno de este Instituto Federal de Telecomunicaciones</w:t>
      </w:r>
      <w:r w:rsidR="00C614CA" w:rsidRPr="00A801E0">
        <w:rPr>
          <w:rFonts w:ascii="ITC Avant Garde" w:hAnsi="ITC Avant Garde"/>
          <w:color w:val="000000"/>
          <w:sz w:val="22"/>
          <w:szCs w:val="22"/>
          <w:lang w:val="es-ES" w:eastAsia="es-ES"/>
        </w:rPr>
        <w:t xml:space="preserve">, autoriza a </w:t>
      </w:r>
      <w:proofErr w:type="spellStart"/>
      <w:r w:rsidR="00E24A90" w:rsidRPr="00A801E0">
        <w:rPr>
          <w:rFonts w:ascii="ITC Avant Garde" w:hAnsi="ITC Avant Garde"/>
          <w:color w:val="000000"/>
          <w:sz w:val="22"/>
          <w:szCs w:val="22"/>
          <w:lang w:val="es-ES" w:eastAsia="es-ES"/>
        </w:rPr>
        <w:t>Hispasat</w:t>
      </w:r>
      <w:proofErr w:type="spellEnd"/>
      <w:r w:rsidR="00E24A90" w:rsidRPr="00A801E0">
        <w:rPr>
          <w:rFonts w:ascii="ITC Avant Garde" w:hAnsi="ITC Avant Garde"/>
          <w:color w:val="000000"/>
          <w:sz w:val="22"/>
          <w:szCs w:val="22"/>
          <w:lang w:val="es-ES" w:eastAsia="es-ES"/>
        </w:rPr>
        <w:t xml:space="preserve"> México, S.A. de C.V.,</w:t>
      </w:r>
      <w:r w:rsidR="00C614CA" w:rsidRPr="00A801E0">
        <w:rPr>
          <w:rFonts w:ascii="ITC Avant Garde" w:hAnsi="ITC Avant Garde"/>
          <w:color w:val="000000"/>
          <w:sz w:val="22"/>
          <w:szCs w:val="22"/>
          <w:lang w:val="es-ES" w:eastAsia="es-ES"/>
        </w:rPr>
        <w:t xml:space="preserve"> la</w:t>
      </w:r>
      <w:r w:rsidR="00611D33" w:rsidRPr="00A801E0">
        <w:rPr>
          <w:rFonts w:ascii="ITC Avant Garde" w:hAnsi="ITC Avant Garde"/>
          <w:color w:val="000000"/>
          <w:sz w:val="22"/>
          <w:szCs w:val="22"/>
          <w:lang w:val="es-ES" w:eastAsia="es-ES"/>
        </w:rPr>
        <w:t xml:space="preserve"> </w:t>
      </w:r>
      <w:r w:rsidR="00C614CA" w:rsidRPr="00A801E0">
        <w:rPr>
          <w:rFonts w:ascii="ITC Avant Garde" w:hAnsi="ITC Avant Garde"/>
          <w:color w:val="000000"/>
          <w:sz w:val="22"/>
          <w:szCs w:val="22"/>
          <w:lang w:val="es-ES" w:eastAsia="es-ES"/>
        </w:rPr>
        <w:t>modificaci</w:t>
      </w:r>
      <w:r w:rsidR="00611D33" w:rsidRPr="00A801E0">
        <w:rPr>
          <w:rFonts w:ascii="ITC Avant Garde" w:hAnsi="ITC Avant Garde"/>
          <w:color w:val="000000"/>
          <w:sz w:val="22"/>
          <w:szCs w:val="22"/>
          <w:lang w:val="es-ES" w:eastAsia="es-ES"/>
        </w:rPr>
        <w:t>ó</w:t>
      </w:r>
      <w:r w:rsidR="00FF49BD" w:rsidRPr="00A801E0">
        <w:rPr>
          <w:rFonts w:ascii="ITC Avant Garde" w:hAnsi="ITC Avant Garde"/>
          <w:color w:val="000000"/>
          <w:sz w:val="22"/>
          <w:szCs w:val="22"/>
          <w:lang w:val="es-ES" w:eastAsia="es-ES"/>
        </w:rPr>
        <w:t>n</w:t>
      </w:r>
      <w:r w:rsidR="00611D33" w:rsidRPr="00A801E0">
        <w:rPr>
          <w:rFonts w:ascii="ITC Avant Garde" w:hAnsi="ITC Avant Garde"/>
          <w:color w:val="000000"/>
          <w:sz w:val="22"/>
          <w:szCs w:val="22"/>
          <w:lang w:val="es-ES" w:eastAsia="es-ES"/>
        </w:rPr>
        <w:t xml:space="preserve"> </w:t>
      </w:r>
      <w:r w:rsidR="00FF49BD" w:rsidRPr="00A801E0">
        <w:rPr>
          <w:rFonts w:ascii="ITC Avant Garde" w:hAnsi="ITC Avant Garde"/>
          <w:color w:val="000000"/>
          <w:sz w:val="22"/>
          <w:szCs w:val="22"/>
          <w:lang w:val="es-ES" w:eastAsia="es-ES"/>
        </w:rPr>
        <w:t>a</w:t>
      </w:r>
      <w:r w:rsidR="00C614CA" w:rsidRPr="00A801E0">
        <w:rPr>
          <w:rFonts w:ascii="ITC Avant Garde" w:hAnsi="ITC Avant Garde"/>
          <w:color w:val="000000"/>
          <w:sz w:val="22"/>
          <w:szCs w:val="22"/>
          <w:lang w:val="es-ES" w:eastAsia="es-ES"/>
        </w:rPr>
        <w:t>l</w:t>
      </w:r>
      <w:r w:rsidR="00433732" w:rsidRPr="00A801E0">
        <w:rPr>
          <w:rFonts w:ascii="ITC Avant Garde" w:hAnsi="ITC Avant Garde"/>
          <w:color w:val="000000"/>
          <w:sz w:val="22"/>
          <w:szCs w:val="22"/>
          <w:lang w:val="es-ES" w:eastAsia="es-ES"/>
        </w:rPr>
        <w:t xml:space="preserve"> numeral</w:t>
      </w:r>
      <w:r w:rsidR="00C614CA" w:rsidRPr="00A801E0">
        <w:rPr>
          <w:rFonts w:ascii="ITC Avant Garde" w:hAnsi="ITC Avant Garde"/>
          <w:color w:val="000000"/>
          <w:sz w:val="22"/>
          <w:szCs w:val="22"/>
          <w:lang w:val="es-ES" w:eastAsia="es-ES"/>
        </w:rPr>
        <w:t xml:space="preserve"> A.</w:t>
      </w:r>
      <w:r w:rsidR="00436708" w:rsidRPr="00A801E0">
        <w:rPr>
          <w:rFonts w:ascii="ITC Avant Garde" w:hAnsi="ITC Avant Garde"/>
          <w:color w:val="000000"/>
          <w:sz w:val="22"/>
          <w:szCs w:val="22"/>
          <w:lang w:val="es-ES" w:eastAsia="es-ES"/>
        </w:rPr>
        <w:t>11</w:t>
      </w:r>
      <w:r w:rsidR="00EC0E08" w:rsidRPr="00A801E0">
        <w:rPr>
          <w:rFonts w:ascii="ITC Avant Garde" w:hAnsi="ITC Avant Garde"/>
          <w:color w:val="000000"/>
          <w:sz w:val="22"/>
          <w:szCs w:val="22"/>
          <w:lang w:val="es-ES" w:eastAsia="es-ES"/>
        </w:rPr>
        <w:t>.</w:t>
      </w:r>
      <w:r w:rsidR="00C614CA" w:rsidRPr="00A801E0">
        <w:rPr>
          <w:rFonts w:ascii="ITC Avant Garde" w:hAnsi="ITC Avant Garde"/>
          <w:color w:val="000000"/>
          <w:sz w:val="22"/>
          <w:szCs w:val="22"/>
          <w:lang w:val="es-ES" w:eastAsia="es-ES"/>
        </w:rPr>
        <w:t xml:space="preserve"> </w:t>
      </w:r>
      <w:proofErr w:type="gramStart"/>
      <w:r w:rsidR="00C614CA" w:rsidRPr="00A801E0">
        <w:rPr>
          <w:rFonts w:ascii="ITC Avant Garde" w:hAnsi="ITC Avant Garde"/>
          <w:color w:val="000000"/>
          <w:sz w:val="22"/>
          <w:szCs w:val="22"/>
          <w:lang w:val="es-ES" w:eastAsia="es-ES"/>
        </w:rPr>
        <w:t>del</w:t>
      </w:r>
      <w:proofErr w:type="gramEnd"/>
      <w:r w:rsidR="00C614CA" w:rsidRPr="00A801E0">
        <w:rPr>
          <w:rFonts w:ascii="ITC Avant Garde" w:hAnsi="ITC Avant Garde"/>
          <w:color w:val="000000"/>
          <w:sz w:val="22"/>
          <w:szCs w:val="22"/>
          <w:lang w:val="es-ES" w:eastAsia="es-ES"/>
        </w:rPr>
        <w:t xml:space="preserve"> Anexo </w:t>
      </w:r>
      <w:r w:rsidR="003A6FF2" w:rsidRPr="00A801E0">
        <w:rPr>
          <w:rFonts w:ascii="ITC Avant Garde" w:hAnsi="ITC Avant Garde"/>
          <w:color w:val="000000"/>
          <w:sz w:val="22"/>
          <w:szCs w:val="22"/>
          <w:lang w:val="es-ES" w:eastAsia="es-ES"/>
        </w:rPr>
        <w:t>de</w:t>
      </w:r>
      <w:r w:rsidR="00177A32" w:rsidRPr="00A801E0">
        <w:rPr>
          <w:rFonts w:ascii="ITC Avant Garde" w:hAnsi="ITC Avant Garde"/>
          <w:color w:val="000000"/>
          <w:sz w:val="22"/>
          <w:szCs w:val="22"/>
          <w:lang w:val="es-ES" w:eastAsia="es-ES"/>
        </w:rPr>
        <w:t>l Título de Concesión</w:t>
      </w:r>
      <w:r w:rsidR="006F0179" w:rsidRPr="00A801E0">
        <w:rPr>
          <w:rFonts w:ascii="ITC Avant Garde" w:hAnsi="ITC Avant Garde"/>
          <w:color w:val="000000"/>
          <w:sz w:val="22"/>
          <w:szCs w:val="22"/>
          <w:lang w:val="es-ES" w:eastAsia="es-ES"/>
        </w:rPr>
        <w:t xml:space="preserve"> </w:t>
      </w:r>
      <w:r w:rsidR="00424A95" w:rsidRPr="00A801E0">
        <w:rPr>
          <w:rFonts w:ascii="ITC Avant Garde" w:hAnsi="ITC Avant Garde"/>
          <w:color w:val="000000"/>
          <w:sz w:val="22"/>
          <w:szCs w:val="22"/>
          <w:lang w:val="es-ES" w:eastAsia="es-ES"/>
        </w:rPr>
        <w:t xml:space="preserve">otorgado el 12 de agosto de 2014, </w:t>
      </w:r>
      <w:r w:rsidR="00177A32" w:rsidRPr="00A801E0">
        <w:rPr>
          <w:rFonts w:ascii="ITC Avant Garde" w:hAnsi="ITC Avant Garde"/>
          <w:color w:val="000000"/>
          <w:sz w:val="22"/>
          <w:szCs w:val="22"/>
          <w:lang w:val="es-ES" w:eastAsia="es-ES"/>
        </w:rPr>
        <w:t>para explotar los derechos de emisión y recepción de señales de bandas de frecuencias asociadas a sistemas satelitales extranjeros, que cubren y pueden prestar servicios en el territorio nacional</w:t>
      </w:r>
      <w:r w:rsidR="00611D33" w:rsidRPr="00A801E0">
        <w:rPr>
          <w:rFonts w:ascii="ITC Avant Garde" w:hAnsi="ITC Avant Garde"/>
          <w:color w:val="000000"/>
          <w:sz w:val="22"/>
          <w:szCs w:val="22"/>
          <w:lang w:val="es-ES" w:eastAsia="es-ES"/>
        </w:rPr>
        <w:t xml:space="preserve">, con el fin </w:t>
      </w:r>
      <w:r w:rsidR="00F81874" w:rsidRPr="00A801E0">
        <w:rPr>
          <w:rFonts w:ascii="ITC Avant Garde" w:hAnsi="ITC Avant Garde"/>
          <w:color w:val="000000"/>
          <w:sz w:val="22"/>
          <w:szCs w:val="22"/>
          <w:lang w:val="es-ES" w:eastAsia="es-ES"/>
        </w:rPr>
        <w:t>modificar</w:t>
      </w:r>
      <w:r w:rsidR="00B45E22" w:rsidRPr="00A801E0">
        <w:rPr>
          <w:rFonts w:ascii="ITC Avant Garde" w:hAnsi="ITC Avant Garde"/>
          <w:color w:val="000000"/>
          <w:sz w:val="22"/>
          <w:szCs w:val="22"/>
          <w:lang w:val="es-ES" w:eastAsia="es-ES"/>
        </w:rPr>
        <w:t xml:space="preserve"> el expediente de la red satelital </w:t>
      </w:r>
      <w:r w:rsidR="00611D33" w:rsidRPr="00A801E0">
        <w:rPr>
          <w:rFonts w:ascii="ITC Avant Garde" w:hAnsi="ITC Avant Garde"/>
          <w:color w:val="000000"/>
          <w:sz w:val="22"/>
          <w:szCs w:val="22"/>
          <w:lang w:val="es-ES" w:eastAsia="es-ES"/>
        </w:rPr>
        <w:t>B-SAT-1Q</w:t>
      </w:r>
      <w:r w:rsidR="0052478F" w:rsidRPr="00A801E0">
        <w:rPr>
          <w:rFonts w:ascii="ITC Avant Garde" w:hAnsi="ITC Avant Garde"/>
          <w:color w:val="000000"/>
          <w:sz w:val="22"/>
          <w:szCs w:val="22"/>
          <w:lang w:val="es-ES" w:eastAsia="es-ES"/>
        </w:rPr>
        <w:t xml:space="preserve">, notificada ante la Unión Internacional de Telecomunicaciones por la Administración de </w:t>
      </w:r>
      <w:r w:rsidR="000A14B1" w:rsidRPr="00A801E0">
        <w:rPr>
          <w:rFonts w:ascii="ITC Avant Garde" w:hAnsi="ITC Avant Garde"/>
          <w:color w:val="000000"/>
          <w:sz w:val="22"/>
          <w:szCs w:val="22"/>
          <w:lang w:val="es-ES" w:eastAsia="es-ES"/>
        </w:rPr>
        <w:t>Brasil</w:t>
      </w:r>
      <w:r w:rsidR="0052478F" w:rsidRPr="00A801E0">
        <w:rPr>
          <w:rFonts w:ascii="ITC Avant Garde" w:hAnsi="ITC Avant Garde"/>
          <w:color w:val="000000"/>
          <w:sz w:val="22"/>
          <w:szCs w:val="22"/>
          <w:lang w:val="es-ES" w:eastAsia="es-ES"/>
        </w:rPr>
        <w:t>,</w:t>
      </w:r>
      <w:r w:rsidR="00B45E22" w:rsidRPr="00A801E0">
        <w:rPr>
          <w:rFonts w:ascii="ITC Avant Garde" w:hAnsi="ITC Avant Garde"/>
          <w:color w:val="000000"/>
          <w:sz w:val="22"/>
          <w:szCs w:val="22"/>
          <w:lang w:val="es-ES" w:eastAsia="es-ES"/>
        </w:rPr>
        <w:t xml:space="preserve"> </w:t>
      </w:r>
      <w:r w:rsidR="00595FA9" w:rsidRPr="00A801E0">
        <w:rPr>
          <w:rFonts w:ascii="ITC Avant Garde" w:hAnsi="ITC Avant Garde"/>
          <w:color w:val="000000"/>
          <w:sz w:val="22"/>
          <w:szCs w:val="22"/>
          <w:lang w:val="es-ES" w:eastAsia="es-ES"/>
        </w:rPr>
        <w:t xml:space="preserve">con base </w:t>
      </w:r>
      <w:r w:rsidR="00B45E22" w:rsidRPr="00A801E0">
        <w:rPr>
          <w:rFonts w:ascii="ITC Avant Garde" w:hAnsi="ITC Avant Garde"/>
          <w:color w:val="000000"/>
          <w:sz w:val="22"/>
          <w:szCs w:val="22"/>
          <w:lang w:val="es-ES" w:eastAsia="es-ES"/>
        </w:rPr>
        <w:t xml:space="preserve"> en las siguientes especificaciones técnicas:</w:t>
      </w:r>
    </w:p>
    <w:p w14:paraId="4080523E" w14:textId="77777777" w:rsidR="00C37879" w:rsidRPr="00A801E0" w:rsidRDefault="00C37879" w:rsidP="00A801E0">
      <w:pPr>
        <w:pStyle w:val="NormalWeb"/>
        <w:spacing w:before="240" w:beforeAutospacing="0" w:after="240" w:afterAutospacing="0"/>
        <w:jc w:val="both"/>
        <w:rPr>
          <w:rFonts w:ascii="ITC Avant Garde" w:hAnsi="ITC Avant Garde"/>
          <w:color w:val="000000"/>
          <w:sz w:val="22"/>
          <w:szCs w:val="22"/>
          <w:lang w:val="es-ES" w:eastAsia="es-ES"/>
        </w:rPr>
      </w:pPr>
    </w:p>
    <w:tbl>
      <w:tblPr>
        <w:tblStyle w:val="Tabladecuadrcula4-nfasis61"/>
        <w:tblW w:w="6660" w:type="dxa"/>
        <w:jc w:val="center"/>
        <w:tblLook w:val="04A0" w:firstRow="1" w:lastRow="0" w:firstColumn="1" w:lastColumn="0" w:noHBand="0" w:noVBand="1"/>
        <w:tblCaption w:val="CARACTERÍSTICAS GENERALES Y ESPECIFICACIONES TÉCNICAS"/>
        <w:tblDescription w:val="En la tabla se proporcionan as características de la modificación autorizada."/>
      </w:tblPr>
      <w:tblGrid>
        <w:gridCol w:w="3640"/>
        <w:gridCol w:w="3020"/>
      </w:tblGrid>
      <w:tr w:rsidR="00A801E0" w:rsidRPr="00A801E0" w14:paraId="4C8B8327" w14:textId="77777777" w:rsidTr="00A801E0">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6660" w:type="dxa"/>
            <w:gridSpan w:val="2"/>
            <w:vAlign w:val="center"/>
            <w:hideMark/>
          </w:tcPr>
          <w:p w14:paraId="15DFFA21" w14:textId="77777777" w:rsidR="00C37879" w:rsidRPr="00A801E0" w:rsidRDefault="00C37879" w:rsidP="00A801E0">
            <w:pPr>
              <w:spacing w:before="240" w:after="240" w:line="240" w:lineRule="auto"/>
              <w:jc w:val="center"/>
              <w:rPr>
                <w:rFonts w:ascii="ITC Avant Garde" w:eastAsia="Times New Roman" w:hAnsi="ITC Avant Garde"/>
                <w:bCs w:val="0"/>
                <w:color w:val="000000" w:themeColor="text1"/>
                <w:sz w:val="16"/>
                <w:szCs w:val="16"/>
              </w:rPr>
            </w:pPr>
            <w:r w:rsidRPr="00A801E0">
              <w:rPr>
                <w:rFonts w:ascii="ITC Avant Garde" w:eastAsia="Times New Roman" w:hAnsi="ITC Avant Garde"/>
                <w:color w:val="000000" w:themeColor="text1"/>
                <w:sz w:val="16"/>
                <w:szCs w:val="16"/>
              </w:rPr>
              <w:t>CARACTERÍSTICAS GENERALES Y ESPECIFICACIONES TÉCNICAS</w:t>
            </w:r>
          </w:p>
        </w:tc>
      </w:tr>
      <w:tr w:rsidR="00C37879" w:rsidRPr="00A801E0" w14:paraId="57D1688E" w14:textId="77777777" w:rsidTr="00C378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1F334DBB" w14:textId="77777777" w:rsidR="00C37879" w:rsidRPr="00A801E0" w:rsidRDefault="00C37879" w:rsidP="00A801E0">
            <w:pPr>
              <w:spacing w:before="240" w:after="240" w:line="240" w:lineRule="auto"/>
              <w:jc w:val="center"/>
              <w:rPr>
                <w:rFonts w:ascii="ITC Avant Garde" w:eastAsia="Times New Roman" w:hAnsi="ITC Avant Garde"/>
                <w:b w:val="0"/>
                <w:bCs w:val="0"/>
                <w:color w:val="000000"/>
                <w:sz w:val="16"/>
                <w:szCs w:val="16"/>
              </w:rPr>
            </w:pPr>
            <w:r w:rsidRPr="00A801E0">
              <w:rPr>
                <w:rFonts w:ascii="ITC Avant Garde" w:eastAsia="Times New Roman" w:hAnsi="ITC Avant Garde"/>
                <w:color w:val="000000"/>
                <w:sz w:val="16"/>
                <w:szCs w:val="16"/>
              </w:rPr>
              <w:t>Parámetro</w:t>
            </w:r>
          </w:p>
        </w:tc>
        <w:tc>
          <w:tcPr>
            <w:tcW w:w="3020" w:type="dxa"/>
            <w:vAlign w:val="center"/>
            <w:hideMark/>
          </w:tcPr>
          <w:p w14:paraId="0E39BB41" w14:textId="77777777" w:rsidR="00C37879" w:rsidRPr="00A801E0" w:rsidRDefault="00C37879" w:rsidP="00A801E0">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b/>
                <w:bCs/>
                <w:color w:val="000000"/>
                <w:sz w:val="16"/>
                <w:szCs w:val="16"/>
              </w:rPr>
            </w:pPr>
            <w:r w:rsidRPr="00A801E0">
              <w:rPr>
                <w:rFonts w:ascii="ITC Avant Garde" w:eastAsia="Times New Roman" w:hAnsi="ITC Avant Garde"/>
                <w:b/>
                <w:bCs/>
                <w:color w:val="000000"/>
                <w:sz w:val="16"/>
                <w:szCs w:val="16"/>
              </w:rPr>
              <w:t>Valor que adopta el parámetro</w:t>
            </w:r>
          </w:p>
        </w:tc>
      </w:tr>
      <w:tr w:rsidR="00C37879" w:rsidRPr="00A801E0" w14:paraId="5BFA7AF6" w14:textId="77777777" w:rsidTr="00C37879">
        <w:trPr>
          <w:trHeight w:val="300"/>
          <w:jc w:val="center"/>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17A4F56B" w14:textId="77777777" w:rsidR="00C37879" w:rsidRPr="00A801E0" w:rsidRDefault="00C37879" w:rsidP="00A801E0">
            <w:pPr>
              <w:spacing w:before="240" w:after="240" w:line="240" w:lineRule="auto"/>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Denominación comercial del Satélite</w:t>
            </w:r>
          </w:p>
        </w:tc>
        <w:tc>
          <w:tcPr>
            <w:tcW w:w="3020" w:type="dxa"/>
            <w:vAlign w:val="center"/>
          </w:tcPr>
          <w:p w14:paraId="2E67B794" w14:textId="77777777" w:rsidR="00C37879" w:rsidRPr="00A801E0" w:rsidRDefault="00C37879" w:rsidP="00A801E0">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bCs/>
                <w:color w:val="000000"/>
                <w:sz w:val="16"/>
                <w:szCs w:val="16"/>
              </w:rPr>
            </w:pPr>
            <w:r w:rsidRPr="00A801E0">
              <w:rPr>
                <w:rFonts w:ascii="ITC Avant Garde" w:eastAsia="Times New Roman" w:hAnsi="ITC Avant Garde"/>
                <w:bCs/>
                <w:color w:val="000000"/>
                <w:sz w:val="16"/>
                <w:szCs w:val="16"/>
              </w:rPr>
              <w:t>Amazonas 5</w:t>
            </w:r>
          </w:p>
        </w:tc>
      </w:tr>
      <w:tr w:rsidR="00C37879" w:rsidRPr="00A801E0" w14:paraId="7173EBF1" w14:textId="77777777" w:rsidTr="00C378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334C132C" w14:textId="77777777" w:rsidR="00C37879" w:rsidRPr="00A801E0" w:rsidRDefault="00C37879" w:rsidP="00A801E0">
            <w:pPr>
              <w:spacing w:before="240" w:after="240" w:line="240" w:lineRule="auto"/>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Red Satelital (expediente ante la UIT)</w:t>
            </w:r>
          </w:p>
        </w:tc>
        <w:tc>
          <w:tcPr>
            <w:tcW w:w="3020" w:type="dxa"/>
            <w:vAlign w:val="center"/>
            <w:hideMark/>
          </w:tcPr>
          <w:p w14:paraId="088856BB" w14:textId="77777777" w:rsidR="00C37879" w:rsidRPr="00A801E0" w:rsidRDefault="00C37879" w:rsidP="00A801E0">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16"/>
              </w:rPr>
            </w:pPr>
            <w:r w:rsidRPr="00A801E0">
              <w:rPr>
                <w:rFonts w:ascii="ITC Avant Garde" w:eastAsia="Times New Roman" w:hAnsi="ITC Avant Garde"/>
                <w:color w:val="000000"/>
                <w:sz w:val="16"/>
                <w:szCs w:val="16"/>
              </w:rPr>
              <w:t>B-SAT-1Q</w:t>
            </w:r>
          </w:p>
        </w:tc>
      </w:tr>
      <w:tr w:rsidR="00C37879" w:rsidRPr="00A801E0" w14:paraId="05AD0981" w14:textId="77777777" w:rsidTr="00C37879">
        <w:trPr>
          <w:trHeight w:val="300"/>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072F7C9B" w14:textId="77777777" w:rsidR="00C37879" w:rsidRPr="00A801E0" w:rsidRDefault="00C37879" w:rsidP="00A801E0">
            <w:pPr>
              <w:spacing w:before="240" w:after="240" w:line="240" w:lineRule="auto"/>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Posición orbital geoestacionaria</w:t>
            </w:r>
          </w:p>
        </w:tc>
        <w:tc>
          <w:tcPr>
            <w:tcW w:w="3020" w:type="dxa"/>
            <w:vAlign w:val="center"/>
            <w:hideMark/>
          </w:tcPr>
          <w:p w14:paraId="43CC0A1E" w14:textId="77777777" w:rsidR="00C37879" w:rsidRPr="00A801E0" w:rsidRDefault="00C37879" w:rsidP="00A801E0">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sz w:val="16"/>
                <w:szCs w:val="16"/>
              </w:rPr>
            </w:pPr>
            <w:r w:rsidRPr="00A801E0">
              <w:rPr>
                <w:rFonts w:ascii="ITC Avant Garde" w:eastAsia="Times New Roman" w:hAnsi="ITC Avant Garde"/>
                <w:sz w:val="16"/>
                <w:szCs w:val="16"/>
              </w:rPr>
              <w:t>61° longitud Oeste</w:t>
            </w:r>
          </w:p>
        </w:tc>
      </w:tr>
      <w:tr w:rsidR="00C37879" w:rsidRPr="00A801E0" w14:paraId="1FF570BB" w14:textId="77777777" w:rsidTr="00C378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60" w:type="dxa"/>
            <w:gridSpan w:val="2"/>
            <w:vAlign w:val="center"/>
            <w:hideMark/>
          </w:tcPr>
          <w:p w14:paraId="5A523CDB" w14:textId="77777777" w:rsidR="00C37879" w:rsidRPr="00A801E0" w:rsidRDefault="00C37879" w:rsidP="00A801E0">
            <w:pPr>
              <w:spacing w:before="240" w:after="240" w:line="240" w:lineRule="auto"/>
              <w:jc w:val="center"/>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Rango de frecuencias nominal (MHz)</w:t>
            </w:r>
          </w:p>
        </w:tc>
      </w:tr>
      <w:tr w:rsidR="00C37879" w:rsidRPr="00A801E0" w14:paraId="5C99F321" w14:textId="77777777" w:rsidTr="00C37879">
        <w:trPr>
          <w:trHeight w:val="420"/>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25F2813D" w14:textId="77777777" w:rsidR="00C37879" w:rsidRPr="00A801E0" w:rsidRDefault="00C37879" w:rsidP="00A801E0">
            <w:pPr>
              <w:spacing w:before="240" w:after="240" w:line="240" w:lineRule="auto"/>
              <w:jc w:val="right"/>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Enlace descendente (MHz)</w:t>
            </w:r>
            <w:r w:rsidRPr="00A801E0">
              <w:rPr>
                <w:rFonts w:ascii="ITC Avant Garde" w:eastAsia="Times New Roman" w:hAnsi="ITC Avant Garde"/>
                <w:b w:val="0"/>
                <w:color w:val="000000"/>
                <w:sz w:val="16"/>
                <w:szCs w:val="16"/>
              </w:rPr>
              <w:br/>
              <w:t>(espacio - Tierra)</w:t>
            </w:r>
          </w:p>
        </w:tc>
        <w:tc>
          <w:tcPr>
            <w:tcW w:w="3020" w:type="dxa"/>
            <w:vAlign w:val="center"/>
            <w:hideMark/>
          </w:tcPr>
          <w:p w14:paraId="6354C9B0" w14:textId="77777777" w:rsidR="00C37879" w:rsidRPr="00A801E0" w:rsidRDefault="00C37879" w:rsidP="00A801E0">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sz w:val="16"/>
                <w:szCs w:val="16"/>
              </w:rPr>
            </w:pPr>
            <w:r w:rsidRPr="00A801E0">
              <w:rPr>
                <w:rFonts w:ascii="ITC Avant Garde" w:eastAsia="Times New Roman" w:hAnsi="ITC Avant Garde"/>
                <w:sz w:val="16"/>
                <w:szCs w:val="16"/>
              </w:rPr>
              <w:t>17700-20200</w:t>
            </w:r>
          </w:p>
          <w:p w14:paraId="46CA5E8C" w14:textId="77777777" w:rsidR="00C37879" w:rsidRPr="00A801E0" w:rsidRDefault="00C37879" w:rsidP="00A801E0">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sz w:val="16"/>
                <w:szCs w:val="16"/>
              </w:rPr>
            </w:pPr>
            <w:r w:rsidRPr="00A801E0">
              <w:rPr>
                <w:rFonts w:ascii="ITC Avant Garde" w:eastAsia="Times New Roman" w:hAnsi="ITC Avant Garde"/>
                <w:sz w:val="16"/>
                <w:szCs w:val="16"/>
              </w:rPr>
              <w:t xml:space="preserve">(banda </w:t>
            </w:r>
            <w:proofErr w:type="spellStart"/>
            <w:r w:rsidRPr="00A801E0">
              <w:rPr>
                <w:rFonts w:ascii="ITC Avant Garde" w:eastAsia="Times New Roman" w:hAnsi="ITC Avant Garde"/>
                <w:sz w:val="16"/>
                <w:szCs w:val="16"/>
              </w:rPr>
              <w:t>Ka</w:t>
            </w:r>
            <w:proofErr w:type="spellEnd"/>
            <w:r w:rsidRPr="00A801E0">
              <w:rPr>
                <w:rFonts w:ascii="ITC Avant Garde" w:eastAsia="Times New Roman" w:hAnsi="ITC Avant Garde"/>
                <w:sz w:val="16"/>
                <w:szCs w:val="16"/>
              </w:rPr>
              <w:t>)</w:t>
            </w:r>
          </w:p>
        </w:tc>
      </w:tr>
      <w:tr w:rsidR="00C37879" w:rsidRPr="00A801E0" w14:paraId="08530792" w14:textId="77777777" w:rsidTr="00C37879">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191123C4" w14:textId="77777777" w:rsidR="00C37879" w:rsidRPr="00A801E0" w:rsidRDefault="00C37879" w:rsidP="00A801E0">
            <w:pPr>
              <w:spacing w:before="240" w:after="240" w:line="240" w:lineRule="auto"/>
              <w:jc w:val="right"/>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Enlace ascendente (MHz)</w:t>
            </w:r>
            <w:r w:rsidRPr="00A801E0">
              <w:rPr>
                <w:rFonts w:ascii="ITC Avant Garde" w:eastAsia="Times New Roman" w:hAnsi="ITC Avant Garde"/>
                <w:b w:val="0"/>
                <w:color w:val="000000"/>
                <w:sz w:val="16"/>
                <w:szCs w:val="16"/>
              </w:rPr>
              <w:br/>
              <w:t>(Tierra - espacio)</w:t>
            </w:r>
          </w:p>
        </w:tc>
        <w:tc>
          <w:tcPr>
            <w:tcW w:w="3020" w:type="dxa"/>
            <w:vAlign w:val="center"/>
            <w:hideMark/>
          </w:tcPr>
          <w:p w14:paraId="4195C376" w14:textId="77777777" w:rsidR="00C37879" w:rsidRPr="00A801E0" w:rsidRDefault="00C37879" w:rsidP="00A801E0">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16"/>
              </w:rPr>
            </w:pPr>
            <w:r w:rsidRPr="00A801E0">
              <w:rPr>
                <w:rFonts w:ascii="ITC Avant Garde" w:eastAsia="Times New Roman" w:hAnsi="ITC Avant Garde"/>
                <w:color w:val="000000"/>
                <w:sz w:val="16"/>
                <w:szCs w:val="16"/>
              </w:rPr>
              <w:t>27000-30000</w:t>
            </w:r>
          </w:p>
          <w:p w14:paraId="2978549E" w14:textId="77777777" w:rsidR="00C37879" w:rsidRPr="00A801E0" w:rsidRDefault="00C37879" w:rsidP="00A801E0">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16"/>
              </w:rPr>
            </w:pPr>
            <w:r w:rsidRPr="00A801E0">
              <w:rPr>
                <w:rFonts w:ascii="ITC Avant Garde" w:eastAsia="Times New Roman" w:hAnsi="ITC Avant Garde"/>
                <w:color w:val="000000"/>
                <w:sz w:val="16"/>
                <w:szCs w:val="16"/>
              </w:rPr>
              <w:t xml:space="preserve">(banda </w:t>
            </w:r>
            <w:proofErr w:type="spellStart"/>
            <w:r w:rsidRPr="00A801E0">
              <w:rPr>
                <w:rFonts w:ascii="ITC Avant Garde" w:eastAsia="Times New Roman" w:hAnsi="ITC Avant Garde"/>
                <w:color w:val="000000"/>
                <w:sz w:val="16"/>
                <w:szCs w:val="16"/>
              </w:rPr>
              <w:t>Ka</w:t>
            </w:r>
            <w:proofErr w:type="spellEnd"/>
            <w:r w:rsidRPr="00A801E0">
              <w:rPr>
                <w:rFonts w:ascii="ITC Avant Garde" w:eastAsia="Times New Roman" w:hAnsi="ITC Avant Garde"/>
                <w:color w:val="000000"/>
                <w:sz w:val="16"/>
                <w:szCs w:val="16"/>
              </w:rPr>
              <w:t>)</w:t>
            </w:r>
          </w:p>
        </w:tc>
      </w:tr>
      <w:tr w:rsidR="00C37879" w:rsidRPr="00A801E0" w14:paraId="5E3FC1DB" w14:textId="77777777" w:rsidTr="00C37879">
        <w:trPr>
          <w:trHeight w:val="221"/>
          <w:jc w:val="center"/>
        </w:trPr>
        <w:tc>
          <w:tcPr>
            <w:cnfStyle w:val="001000000000" w:firstRow="0" w:lastRow="0" w:firstColumn="1" w:lastColumn="0" w:oddVBand="0" w:evenVBand="0" w:oddHBand="0" w:evenHBand="0" w:firstRowFirstColumn="0" w:firstRowLastColumn="0" w:lastRowFirstColumn="0" w:lastRowLastColumn="0"/>
            <w:tcW w:w="3640" w:type="dxa"/>
            <w:noWrap/>
            <w:vAlign w:val="center"/>
            <w:hideMark/>
          </w:tcPr>
          <w:p w14:paraId="74561B2B" w14:textId="77777777" w:rsidR="00C37879" w:rsidRPr="00A801E0" w:rsidRDefault="00C37879" w:rsidP="00A801E0">
            <w:pPr>
              <w:spacing w:before="240" w:after="240" w:line="240" w:lineRule="auto"/>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Atribución de la banda con base al CNAF</w:t>
            </w:r>
          </w:p>
        </w:tc>
        <w:tc>
          <w:tcPr>
            <w:tcW w:w="3020" w:type="dxa"/>
            <w:vAlign w:val="center"/>
            <w:hideMark/>
          </w:tcPr>
          <w:p w14:paraId="265D2421" w14:textId="77777777" w:rsidR="00C37879" w:rsidRPr="00A801E0" w:rsidRDefault="00C37879" w:rsidP="00A801E0">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sz w:val="16"/>
                <w:szCs w:val="16"/>
              </w:rPr>
            </w:pPr>
            <w:r w:rsidRPr="00A801E0">
              <w:rPr>
                <w:rFonts w:ascii="ITC Avant Garde" w:eastAsia="Times New Roman" w:hAnsi="ITC Avant Garde"/>
                <w:sz w:val="16"/>
                <w:szCs w:val="16"/>
              </w:rPr>
              <w:t>Fijo por Satélite</w:t>
            </w:r>
          </w:p>
        </w:tc>
      </w:tr>
      <w:tr w:rsidR="00C37879" w:rsidRPr="00A801E0" w14:paraId="58C8E9A2" w14:textId="77777777" w:rsidTr="00C37879">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3640" w:type="dxa"/>
            <w:noWrap/>
            <w:vAlign w:val="center"/>
          </w:tcPr>
          <w:p w14:paraId="4EFCCD6B" w14:textId="77777777" w:rsidR="00C37879" w:rsidRPr="00A801E0" w:rsidRDefault="00C37879" w:rsidP="00A801E0">
            <w:pPr>
              <w:spacing w:before="240" w:after="240" w:line="240" w:lineRule="auto"/>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Zona de servicio indicada</w:t>
            </w:r>
          </w:p>
        </w:tc>
        <w:tc>
          <w:tcPr>
            <w:tcW w:w="3020" w:type="dxa"/>
            <w:vAlign w:val="center"/>
          </w:tcPr>
          <w:p w14:paraId="53615A10" w14:textId="77777777" w:rsidR="00C37879" w:rsidRPr="00A801E0" w:rsidRDefault="00C37879" w:rsidP="00A801E0">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sz w:val="16"/>
                <w:szCs w:val="16"/>
              </w:rPr>
            </w:pPr>
            <w:r w:rsidRPr="00A801E0">
              <w:rPr>
                <w:rFonts w:ascii="ITC Avant Garde" w:eastAsia="Times New Roman" w:hAnsi="ITC Avant Garde"/>
                <w:sz w:val="16"/>
                <w:szCs w:val="16"/>
              </w:rPr>
              <w:t>Podrá prestar servicios en la totalidad del territorio nacional</w:t>
            </w:r>
          </w:p>
        </w:tc>
      </w:tr>
      <w:tr w:rsidR="00C37879" w:rsidRPr="00A801E0" w14:paraId="60C1C48E" w14:textId="77777777" w:rsidTr="00C37879">
        <w:trPr>
          <w:trHeight w:val="420"/>
          <w:jc w:val="center"/>
        </w:trPr>
        <w:tc>
          <w:tcPr>
            <w:cnfStyle w:val="001000000000" w:firstRow="0" w:lastRow="0" w:firstColumn="1" w:lastColumn="0" w:oddVBand="0" w:evenVBand="0" w:oddHBand="0" w:evenHBand="0" w:firstRowFirstColumn="0" w:firstRowLastColumn="0" w:lastRowFirstColumn="0" w:lastRowLastColumn="0"/>
            <w:tcW w:w="3640" w:type="dxa"/>
            <w:noWrap/>
            <w:vAlign w:val="center"/>
            <w:hideMark/>
          </w:tcPr>
          <w:p w14:paraId="2EB7D32E" w14:textId="77777777" w:rsidR="00C37879" w:rsidRPr="00A801E0" w:rsidRDefault="00C37879" w:rsidP="00A801E0">
            <w:pPr>
              <w:spacing w:before="240" w:after="240" w:line="240" w:lineRule="auto"/>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Tipo de polarización</w:t>
            </w:r>
          </w:p>
        </w:tc>
        <w:tc>
          <w:tcPr>
            <w:tcW w:w="3020" w:type="dxa"/>
            <w:vAlign w:val="center"/>
            <w:hideMark/>
          </w:tcPr>
          <w:p w14:paraId="5D2D51B1" w14:textId="77777777" w:rsidR="00C37879" w:rsidRPr="00A801E0" w:rsidRDefault="00C37879" w:rsidP="00A801E0">
            <w:pPr>
              <w:pStyle w:val="Prrafodelista"/>
              <w:numPr>
                <w:ilvl w:val="0"/>
                <w:numId w:val="14"/>
              </w:numPr>
              <w:spacing w:before="240" w:after="240"/>
              <w:contextualSpacing/>
              <w:cnfStyle w:val="000000000000" w:firstRow="0" w:lastRow="0" w:firstColumn="0" w:lastColumn="0" w:oddVBand="0" w:evenVBand="0" w:oddHBand="0" w:evenHBand="0" w:firstRowFirstColumn="0" w:firstRowLastColumn="0" w:lastRowFirstColumn="0" w:lastRowLastColumn="0"/>
              <w:rPr>
                <w:rFonts w:ascii="ITC Avant Garde" w:hAnsi="ITC Avant Garde" w:cstheme="minorBidi"/>
                <w:color w:val="000000"/>
                <w:sz w:val="16"/>
                <w:szCs w:val="16"/>
              </w:rPr>
            </w:pPr>
            <w:r w:rsidRPr="00A801E0">
              <w:rPr>
                <w:rFonts w:ascii="ITC Avant Garde" w:hAnsi="ITC Avant Garde" w:cstheme="minorBidi"/>
                <w:color w:val="000000"/>
                <w:sz w:val="16"/>
                <w:szCs w:val="16"/>
              </w:rPr>
              <w:t>Circular derecha</w:t>
            </w:r>
          </w:p>
          <w:p w14:paraId="2EA3E62B" w14:textId="77777777" w:rsidR="00C37879" w:rsidRPr="00A801E0" w:rsidRDefault="00C37879" w:rsidP="00A801E0">
            <w:pPr>
              <w:pStyle w:val="Prrafodelista"/>
              <w:numPr>
                <w:ilvl w:val="0"/>
                <w:numId w:val="14"/>
              </w:numPr>
              <w:spacing w:before="240" w:after="240"/>
              <w:contextualSpacing/>
              <w:cnfStyle w:val="000000000000" w:firstRow="0" w:lastRow="0" w:firstColumn="0" w:lastColumn="0" w:oddVBand="0" w:evenVBand="0" w:oddHBand="0" w:evenHBand="0" w:firstRowFirstColumn="0" w:firstRowLastColumn="0" w:lastRowFirstColumn="0" w:lastRowLastColumn="0"/>
              <w:rPr>
                <w:rFonts w:ascii="ITC Avant Garde" w:hAnsi="ITC Avant Garde" w:cstheme="minorBidi"/>
                <w:color w:val="000000"/>
                <w:sz w:val="16"/>
                <w:szCs w:val="16"/>
              </w:rPr>
            </w:pPr>
            <w:r w:rsidRPr="00A801E0">
              <w:rPr>
                <w:rFonts w:ascii="ITC Avant Garde" w:hAnsi="ITC Avant Garde" w:cstheme="minorBidi"/>
                <w:color w:val="000000"/>
                <w:sz w:val="16"/>
                <w:szCs w:val="16"/>
              </w:rPr>
              <w:t>Circular izquierda</w:t>
            </w:r>
          </w:p>
        </w:tc>
      </w:tr>
      <w:tr w:rsidR="00C37879" w:rsidRPr="00A801E0" w14:paraId="5D8A9A15" w14:textId="77777777" w:rsidTr="00C378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40" w:type="dxa"/>
            <w:noWrap/>
            <w:vAlign w:val="center"/>
            <w:hideMark/>
          </w:tcPr>
          <w:p w14:paraId="049E59A0" w14:textId="77777777" w:rsidR="00C37879" w:rsidRPr="00A801E0" w:rsidRDefault="00C37879" w:rsidP="00A801E0">
            <w:pPr>
              <w:spacing w:before="240" w:after="240" w:line="240" w:lineRule="auto"/>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Capacidad total</w:t>
            </w:r>
          </w:p>
        </w:tc>
        <w:tc>
          <w:tcPr>
            <w:tcW w:w="3020" w:type="dxa"/>
            <w:noWrap/>
            <w:vAlign w:val="center"/>
            <w:hideMark/>
          </w:tcPr>
          <w:p w14:paraId="49E10107" w14:textId="77777777" w:rsidR="00C37879" w:rsidRPr="00A801E0" w:rsidRDefault="00C37879" w:rsidP="00A801E0">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16"/>
              </w:rPr>
            </w:pPr>
            <w:r w:rsidRPr="00A801E0">
              <w:rPr>
                <w:rFonts w:ascii="ITC Avant Garde" w:eastAsia="Times New Roman" w:hAnsi="ITC Avant Garde"/>
                <w:color w:val="000000"/>
                <w:sz w:val="16"/>
                <w:szCs w:val="16"/>
              </w:rPr>
              <w:t>2500 MHz enlace descendente</w:t>
            </w:r>
          </w:p>
          <w:p w14:paraId="57F14255" w14:textId="77777777" w:rsidR="00C37879" w:rsidRPr="00A801E0" w:rsidRDefault="00C37879" w:rsidP="00A801E0">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16"/>
              </w:rPr>
            </w:pPr>
            <w:r w:rsidRPr="00A801E0">
              <w:rPr>
                <w:rFonts w:ascii="ITC Avant Garde" w:eastAsia="Times New Roman" w:hAnsi="ITC Avant Garde"/>
                <w:color w:val="000000"/>
                <w:sz w:val="16"/>
                <w:szCs w:val="16"/>
              </w:rPr>
              <w:t xml:space="preserve">3000 MHz enlace ascendente </w:t>
            </w:r>
          </w:p>
        </w:tc>
      </w:tr>
      <w:tr w:rsidR="00C37879" w:rsidRPr="00A801E0" w14:paraId="6EDCF88A" w14:textId="77777777" w:rsidTr="00C37879">
        <w:trPr>
          <w:trHeight w:val="1056"/>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2946045A" w14:textId="77777777" w:rsidR="00C37879" w:rsidRPr="00A801E0" w:rsidRDefault="00C37879" w:rsidP="00A801E0">
            <w:pPr>
              <w:spacing w:before="240" w:after="240" w:line="240" w:lineRule="auto"/>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t>Ganancia isotrópica de la antena de transmisión en la dirección de radiación máxima (</w:t>
            </w:r>
            <w:proofErr w:type="spellStart"/>
            <w:r w:rsidRPr="00A801E0">
              <w:rPr>
                <w:rFonts w:ascii="ITC Avant Garde" w:eastAsia="Times New Roman" w:hAnsi="ITC Avant Garde"/>
                <w:b w:val="0"/>
                <w:color w:val="000000"/>
                <w:sz w:val="16"/>
                <w:szCs w:val="16"/>
              </w:rPr>
              <w:t>dBi</w:t>
            </w:r>
            <w:proofErr w:type="spellEnd"/>
            <w:r w:rsidRPr="00A801E0">
              <w:rPr>
                <w:rFonts w:ascii="ITC Avant Garde" w:eastAsia="Times New Roman" w:hAnsi="ITC Avant Garde"/>
                <w:b w:val="0"/>
                <w:color w:val="000000"/>
                <w:sz w:val="16"/>
                <w:szCs w:val="16"/>
              </w:rPr>
              <w:t>)</w:t>
            </w:r>
            <w:r w:rsidRPr="00A801E0">
              <w:rPr>
                <w:rFonts w:ascii="ITC Avant Garde" w:eastAsia="Times New Roman" w:hAnsi="ITC Avant Garde"/>
                <w:b w:val="0"/>
                <w:color w:val="000000"/>
                <w:sz w:val="16"/>
                <w:szCs w:val="16"/>
              </w:rPr>
              <w:br/>
            </w:r>
            <w:r w:rsidRPr="00A801E0">
              <w:rPr>
                <w:rFonts w:ascii="ITC Avant Garde" w:eastAsia="Times New Roman" w:hAnsi="ITC Avant Garde"/>
                <w:b w:val="0"/>
                <w:color w:val="000000"/>
                <w:sz w:val="14"/>
                <w:szCs w:val="14"/>
              </w:rPr>
              <w:t>(este valor podrá variar en tanto no se exceda el valor de P.I.R.E indicado)</w:t>
            </w:r>
          </w:p>
        </w:tc>
        <w:tc>
          <w:tcPr>
            <w:tcW w:w="3020" w:type="dxa"/>
            <w:noWrap/>
            <w:vAlign w:val="center"/>
          </w:tcPr>
          <w:p w14:paraId="7E21B9AC" w14:textId="77777777" w:rsidR="00C37879" w:rsidRPr="00A801E0" w:rsidRDefault="00C37879" w:rsidP="00A801E0">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olor w:val="000000"/>
                <w:sz w:val="16"/>
                <w:szCs w:val="16"/>
                <w:highlight w:val="yellow"/>
              </w:rPr>
            </w:pPr>
            <w:r w:rsidRPr="00A801E0">
              <w:rPr>
                <w:rFonts w:ascii="ITC Avant Garde" w:eastAsia="Times New Roman" w:hAnsi="ITC Avant Garde"/>
                <w:color w:val="000000"/>
                <w:sz w:val="16"/>
                <w:szCs w:val="16"/>
              </w:rPr>
              <w:t>44</w:t>
            </w:r>
          </w:p>
        </w:tc>
      </w:tr>
      <w:tr w:rsidR="00C37879" w:rsidRPr="00A801E0" w14:paraId="3AF3C749" w14:textId="77777777" w:rsidTr="00C37879">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3640" w:type="dxa"/>
            <w:vAlign w:val="center"/>
            <w:hideMark/>
          </w:tcPr>
          <w:p w14:paraId="2E37A61E" w14:textId="77777777" w:rsidR="00C37879" w:rsidRPr="00A801E0" w:rsidRDefault="00C37879" w:rsidP="00A801E0">
            <w:pPr>
              <w:spacing w:before="240" w:after="240" w:line="240" w:lineRule="auto"/>
              <w:rPr>
                <w:rFonts w:ascii="ITC Avant Garde" w:eastAsia="Times New Roman" w:hAnsi="ITC Avant Garde"/>
                <w:b w:val="0"/>
                <w:color w:val="000000"/>
                <w:sz w:val="16"/>
                <w:szCs w:val="16"/>
              </w:rPr>
            </w:pPr>
            <w:r w:rsidRPr="00A801E0">
              <w:rPr>
                <w:rFonts w:ascii="ITC Avant Garde" w:eastAsia="Times New Roman" w:hAnsi="ITC Avant Garde"/>
                <w:b w:val="0"/>
                <w:color w:val="000000"/>
                <w:sz w:val="16"/>
                <w:szCs w:val="16"/>
              </w:rPr>
              <w:lastRenderedPageBreak/>
              <w:t>Potencia Isótropa Radiada Equivalente (P.I.R.E) máximo (</w:t>
            </w:r>
            <w:proofErr w:type="spellStart"/>
            <w:r w:rsidRPr="00A801E0">
              <w:rPr>
                <w:rFonts w:ascii="ITC Avant Garde" w:eastAsia="Times New Roman" w:hAnsi="ITC Avant Garde"/>
                <w:b w:val="0"/>
                <w:color w:val="000000"/>
                <w:sz w:val="16"/>
                <w:szCs w:val="16"/>
              </w:rPr>
              <w:t>dBW</w:t>
            </w:r>
            <w:proofErr w:type="spellEnd"/>
            <w:r w:rsidRPr="00A801E0">
              <w:rPr>
                <w:rFonts w:ascii="ITC Avant Garde" w:eastAsia="Times New Roman" w:hAnsi="ITC Avant Garde"/>
                <w:b w:val="0"/>
                <w:color w:val="000000"/>
                <w:sz w:val="16"/>
                <w:szCs w:val="16"/>
              </w:rPr>
              <w:t>)</w:t>
            </w:r>
          </w:p>
        </w:tc>
        <w:tc>
          <w:tcPr>
            <w:tcW w:w="3020" w:type="dxa"/>
            <w:noWrap/>
            <w:vAlign w:val="center"/>
            <w:hideMark/>
          </w:tcPr>
          <w:p w14:paraId="27EC9A9A" w14:textId="77777777" w:rsidR="00C37879" w:rsidRPr="00A801E0" w:rsidRDefault="00C37879" w:rsidP="00A801E0">
            <w:pPr>
              <w:spacing w:before="240" w:after="240" w:line="240" w:lineRule="auto"/>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olor w:val="000000"/>
                <w:sz w:val="16"/>
                <w:szCs w:val="16"/>
                <w:highlight w:val="yellow"/>
              </w:rPr>
            </w:pPr>
            <w:r w:rsidRPr="00A801E0">
              <w:rPr>
                <w:rFonts w:ascii="ITC Avant Garde" w:eastAsia="Times New Roman" w:hAnsi="ITC Avant Garde"/>
                <w:color w:val="000000"/>
                <w:sz w:val="16"/>
                <w:szCs w:val="16"/>
              </w:rPr>
              <w:t>66</w:t>
            </w:r>
          </w:p>
        </w:tc>
      </w:tr>
    </w:tbl>
    <w:p w14:paraId="7042425C" w14:textId="77777777" w:rsidR="00A801E0" w:rsidRPr="00A801E0" w:rsidRDefault="00A801E0" w:rsidP="00A801E0">
      <w:pPr>
        <w:pStyle w:val="Default"/>
        <w:spacing w:before="240" w:after="240"/>
        <w:jc w:val="center"/>
        <w:rPr>
          <w:rFonts w:ascii="ITC Avant Garde" w:hAnsi="ITC Avant Garde"/>
          <w:b/>
          <w:bCs/>
          <w:sz w:val="20"/>
          <w:szCs w:val="22"/>
        </w:rPr>
      </w:pPr>
    </w:p>
    <w:p w14:paraId="6EB2CA0D" w14:textId="77777777" w:rsidR="00FF49BD" w:rsidRPr="00A801E0" w:rsidRDefault="00FF49BD" w:rsidP="00A801E0">
      <w:pPr>
        <w:pStyle w:val="Default"/>
        <w:spacing w:before="240" w:after="240"/>
        <w:jc w:val="center"/>
        <w:rPr>
          <w:rFonts w:ascii="ITC Avant Garde" w:hAnsi="ITC Avant Garde"/>
          <w:b/>
          <w:bCs/>
          <w:sz w:val="20"/>
          <w:szCs w:val="22"/>
        </w:rPr>
      </w:pPr>
      <w:r w:rsidRPr="00A801E0">
        <w:rPr>
          <w:rFonts w:ascii="ITC Avant Garde" w:hAnsi="ITC Avant Garde"/>
          <w:b/>
          <w:bCs/>
          <w:sz w:val="20"/>
          <w:szCs w:val="22"/>
        </w:rPr>
        <w:t>Zona de servicio indicativa</w:t>
      </w:r>
    </w:p>
    <w:p w14:paraId="5BFE5154" w14:textId="6474163B" w:rsidR="00FF49BD" w:rsidRPr="00A801E0" w:rsidRDefault="00522C92" w:rsidP="00A801E0">
      <w:pPr>
        <w:pStyle w:val="Default"/>
        <w:spacing w:before="240" w:after="240"/>
        <w:jc w:val="center"/>
        <w:rPr>
          <w:rFonts w:ascii="ITC Avant Garde" w:hAnsi="ITC Avant Garde"/>
          <w:b/>
          <w:bCs/>
          <w:sz w:val="20"/>
          <w:szCs w:val="22"/>
        </w:rPr>
      </w:pPr>
      <w:r w:rsidRPr="00A801E0">
        <w:rPr>
          <w:rFonts w:ascii="ITC Avant Garde" w:hAnsi="ITC Avant Garde"/>
          <w:b/>
          <w:bCs/>
          <w:sz w:val="20"/>
          <w:szCs w:val="22"/>
        </w:rPr>
        <w:t>B-SAT-1Q</w:t>
      </w:r>
    </w:p>
    <w:p w14:paraId="3A3665B8" w14:textId="77777777" w:rsidR="00A801E0" w:rsidRPr="00A801E0" w:rsidRDefault="00522C92" w:rsidP="00A801E0">
      <w:pPr>
        <w:pStyle w:val="Default"/>
        <w:spacing w:before="240" w:after="240"/>
        <w:jc w:val="center"/>
        <w:rPr>
          <w:rFonts w:ascii="ITC Avant Garde" w:hAnsi="ITC Avant Garde"/>
          <w:b/>
          <w:bCs/>
          <w:sz w:val="20"/>
          <w:szCs w:val="22"/>
        </w:rPr>
      </w:pPr>
      <w:proofErr w:type="spellStart"/>
      <w:r w:rsidRPr="00A801E0">
        <w:rPr>
          <w:rFonts w:ascii="ITC Avant Garde" w:hAnsi="ITC Avant Garde"/>
          <w:b/>
          <w:bCs/>
          <w:sz w:val="20"/>
          <w:szCs w:val="22"/>
        </w:rPr>
        <w:t>Gmax</w:t>
      </w:r>
      <w:proofErr w:type="spellEnd"/>
      <w:r w:rsidRPr="00A801E0">
        <w:rPr>
          <w:rFonts w:ascii="ITC Avant Garde" w:hAnsi="ITC Avant Garde"/>
          <w:b/>
          <w:bCs/>
          <w:sz w:val="20"/>
          <w:szCs w:val="22"/>
        </w:rPr>
        <w:t>: 44</w:t>
      </w:r>
      <w:r w:rsidR="00FF49BD" w:rsidRPr="00A801E0">
        <w:rPr>
          <w:rFonts w:ascii="ITC Avant Garde" w:hAnsi="ITC Avant Garde"/>
          <w:b/>
          <w:bCs/>
          <w:sz w:val="20"/>
          <w:szCs w:val="22"/>
        </w:rPr>
        <w:t xml:space="preserve"> </w:t>
      </w:r>
      <w:proofErr w:type="spellStart"/>
      <w:r w:rsidR="00FF49BD" w:rsidRPr="00A801E0">
        <w:rPr>
          <w:rFonts w:ascii="ITC Avant Garde" w:hAnsi="ITC Avant Garde"/>
          <w:b/>
          <w:bCs/>
          <w:sz w:val="20"/>
          <w:szCs w:val="22"/>
        </w:rPr>
        <w:t>dBi</w:t>
      </w:r>
      <w:proofErr w:type="spellEnd"/>
    </w:p>
    <w:p w14:paraId="0F347236" w14:textId="38F8C1FA" w:rsidR="001D1EC6" w:rsidRPr="00A801E0" w:rsidRDefault="001D1EC6" w:rsidP="00A801E0">
      <w:pPr>
        <w:pStyle w:val="Default"/>
        <w:spacing w:before="240" w:after="240"/>
        <w:jc w:val="center"/>
        <w:rPr>
          <w:rFonts w:ascii="ITC Avant Garde" w:hAnsi="ITC Avant Garde"/>
          <w:b/>
          <w:bCs/>
          <w:sz w:val="20"/>
          <w:szCs w:val="22"/>
        </w:rPr>
      </w:pPr>
      <w:r w:rsidRPr="00A801E0">
        <w:rPr>
          <w:noProof/>
        </w:rPr>
        <w:drawing>
          <wp:inline distT="0" distB="0" distL="0" distR="0" wp14:anchorId="732912D4" wp14:editId="05BA988B">
            <wp:extent cx="2714625" cy="2609850"/>
            <wp:effectExtent l="0" t="0" r="9525" b="0"/>
            <wp:docPr id="2" name="Imagen 2" descr="La imagen muestra la zona de servicio indicativa a manera de globo terráqueo." title="Zona de servicio indicativa"/>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stretch>
                      <a:fillRect/>
                    </a:stretch>
                  </pic:blipFill>
                  <pic:spPr>
                    <a:xfrm>
                      <a:off x="0" y="0"/>
                      <a:ext cx="2714625" cy="2609850"/>
                    </a:xfrm>
                    <a:prstGeom prst="rect">
                      <a:avLst/>
                    </a:prstGeom>
                  </pic:spPr>
                </pic:pic>
              </a:graphicData>
            </a:graphic>
          </wp:inline>
        </w:drawing>
      </w:r>
    </w:p>
    <w:p w14:paraId="56DCCC99" w14:textId="6C912E5D" w:rsidR="00522C92" w:rsidRPr="00A801E0" w:rsidRDefault="00522C92"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La</w:t>
      </w:r>
      <w:r w:rsidR="00997C08" w:rsidRPr="00A801E0">
        <w:rPr>
          <w:rFonts w:ascii="ITC Avant Garde" w:hAnsi="ITC Avant Garde"/>
          <w:color w:val="000000"/>
          <w:sz w:val="22"/>
          <w:szCs w:val="22"/>
          <w:lang w:val="es-ES" w:eastAsia="es-ES"/>
        </w:rPr>
        <w:t xml:space="preserve"> emisión y recepción de señales y bandas de frecuencia asociadas al</w:t>
      </w:r>
      <w:r w:rsidRPr="00A801E0">
        <w:rPr>
          <w:rFonts w:ascii="ITC Avant Garde" w:hAnsi="ITC Avant Garde"/>
          <w:color w:val="000000"/>
          <w:sz w:val="22"/>
          <w:szCs w:val="22"/>
          <w:lang w:val="es-ES" w:eastAsia="es-ES"/>
        </w:rPr>
        <w:t xml:space="preserve"> sistema satelital </w:t>
      </w:r>
      <w:r w:rsidR="00997C08" w:rsidRPr="00A801E0">
        <w:rPr>
          <w:rFonts w:ascii="ITC Avant Garde" w:hAnsi="ITC Avant Garde"/>
          <w:color w:val="000000"/>
          <w:sz w:val="22"/>
          <w:szCs w:val="22"/>
          <w:lang w:val="es-ES" w:eastAsia="es-ES"/>
        </w:rPr>
        <w:t xml:space="preserve">extranjero, </w:t>
      </w:r>
      <w:r w:rsidRPr="00A801E0">
        <w:rPr>
          <w:rFonts w:ascii="ITC Avant Garde" w:hAnsi="ITC Avant Garde"/>
          <w:color w:val="000000"/>
          <w:sz w:val="22"/>
          <w:szCs w:val="22"/>
          <w:lang w:val="es-ES" w:eastAsia="es-ES"/>
        </w:rPr>
        <w:t xml:space="preserve">estará sujeta a no causar ninguna interferencia perjudicial que comprometa la operación de redes satelitales </w:t>
      </w:r>
      <w:r w:rsidR="00997C08" w:rsidRPr="00A801E0">
        <w:rPr>
          <w:rFonts w:ascii="ITC Avant Garde" w:hAnsi="ITC Avant Garde"/>
          <w:color w:val="000000"/>
          <w:sz w:val="22"/>
          <w:szCs w:val="22"/>
          <w:lang w:val="es-ES" w:eastAsia="es-ES"/>
        </w:rPr>
        <w:t xml:space="preserve">y </w:t>
      </w:r>
      <w:r w:rsidRPr="00A801E0">
        <w:rPr>
          <w:rFonts w:ascii="ITC Avant Garde" w:hAnsi="ITC Avant Garde"/>
          <w:color w:val="000000"/>
          <w:sz w:val="22"/>
          <w:szCs w:val="22"/>
          <w:lang w:val="es-ES" w:eastAsia="es-ES"/>
        </w:rPr>
        <w:t>servicios terrenales.</w:t>
      </w:r>
    </w:p>
    <w:p w14:paraId="09A8CC54" w14:textId="269B919E" w:rsidR="004E7187" w:rsidRPr="00A801E0" w:rsidRDefault="004E7187"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 xml:space="preserve">Es importante señalar, que la banda de frecuencia de 17.3 – 17.8 GHz (Tierra-espacio) es parte de las asignaciones que México tiene inscritas en el Plan del Servicio de Radiodifusión por Satélite de los Apéndices 30 y 30A del RR, en las </w:t>
      </w:r>
      <w:proofErr w:type="spellStart"/>
      <w:r w:rsidRPr="00A801E0">
        <w:rPr>
          <w:rFonts w:ascii="ITC Avant Garde" w:hAnsi="ITC Avant Garde"/>
          <w:color w:val="000000"/>
          <w:sz w:val="22"/>
          <w:szCs w:val="22"/>
          <w:lang w:val="es-ES" w:eastAsia="es-ES"/>
        </w:rPr>
        <w:t>POGs</w:t>
      </w:r>
      <w:proofErr w:type="spellEnd"/>
      <w:r w:rsidRPr="00A801E0">
        <w:rPr>
          <w:rFonts w:ascii="ITC Avant Garde" w:hAnsi="ITC Avant Garde"/>
          <w:color w:val="000000"/>
          <w:sz w:val="22"/>
          <w:szCs w:val="22"/>
          <w:lang w:val="es-ES" w:eastAsia="es-ES"/>
        </w:rPr>
        <w:t xml:space="preserve"> 69.2° Oeste, 77° Oeste, 127° Oeste y 136° Oeste (ver Notas CNAF MX245 y MX246).</w:t>
      </w:r>
    </w:p>
    <w:p w14:paraId="64FF1116" w14:textId="6F8A90FC" w:rsidR="00E32CF6" w:rsidRPr="00A801E0" w:rsidRDefault="00E32CF6"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 xml:space="preserve">Cabe  señalar, que la UIT considera bandas de frecuencias con el objeto de realizar estudios para futuros desarrollo de las Telecomunicaciones Móviles Internacionales (IMT), entre las cuales se encuentran </w:t>
      </w:r>
      <w:r w:rsidR="002413E7" w:rsidRPr="00A801E0">
        <w:rPr>
          <w:rFonts w:ascii="ITC Avant Garde" w:hAnsi="ITC Avant Garde"/>
          <w:color w:val="000000"/>
          <w:sz w:val="22"/>
          <w:szCs w:val="22"/>
          <w:lang w:val="es-ES" w:eastAsia="es-ES"/>
        </w:rPr>
        <w:t xml:space="preserve">porciones de la banda de frecuencia </w:t>
      </w:r>
      <w:r w:rsidRPr="00A801E0">
        <w:rPr>
          <w:rFonts w:ascii="ITC Avant Garde" w:hAnsi="ITC Avant Garde"/>
          <w:color w:val="000000"/>
          <w:sz w:val="22"/>
          <w:szCs w:val="22"/>
          <w:lang w:val="es-ES" w:eastAsia="es-ES"/>
        </w:rPr>
        <w:t xml:space="preserve">28/30 GHz. Dicha identificación no impide la utilización de estas bandas de frecuencias por cualquier aplicación de los servicios a los que están atribuidas, ni establece prioridad alguna en el Reglamento de Radiocomunicaciones. En tal virtud, el Instituto se reserva el derecho de otorgar concesiones o autorizaciones dentro de la banda de frecuencia 28/30 GHz, o </w:t>
      </w:r>
      <w:r w:rsidRPr="00A801E0">
        <w:rPr>
          <w:rFonts w:ascii="ITC Avant Garde" w:hAnsi="ITC Avant Garde"/>
          <w:color w:val="000000"/>
          <w:sz w:val="22"/>
          <w:szCs w:val="22"/>
          <w:lang w:val="es-ES" w:eastAsia="es-ES"/>
        </w:rPr>
        <w:lastRenderedPageBreak/>
        <w:t>porciones de la misma, en la misma área de operación. En tal caso, el uso de dicha banda contará con protección contra interferencias perjudiciales, de conformidad con lo establecido en la Ley, en el Cuadro Nacional de Atribución de Frecuencias y demás disposiciones aplicables.</w:t>
      </w:r>
    </w:p>
    <w:p w14:paraId="6FA1F8EC" w14:textId="77777777" w:rsidR="00522C92" w:rsidRPr="00A801E0" w:rsidRDefault="00522C92"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En caso de que se susciten problemas de interferencia a otros servicios autorizados, el Concesionario deberá sujetarse a los procedimientos de coordinación técnica a que haya lugar, a fin de garantizar el correcto funcionamiento de los sistemas que operen en las mismas bandas de frecuencia.</w:t>
      </w:r>
    </w:p>
    <w:p w14:paraId="2E759328" w14:textId="77777777" w:rsidR="00A801E0" w:rsidRPr="00A801E0" w:rsidRDefault="00522C92"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color w:val="000000"/>
          <w:sz w:val="22"/>
          <w:szCs w:val="22"/>
          <w:lang w:val="es-ES" w:eastAsia="es-ES"/>
        </w:rPr>
        <w:t>La emisión y recepción de señales y bandas de frecuencia asociados al sistema extranjero deberá ajustarse a las disposiciones técnico-administrativas y regulatorias aplicables y aquellas adicionales que sean emitidas por el Instituto.</w:t>
      </w:r>
    </w:p>
    <w:p w14:paraId="2FE9A78F" w14:textId="77777777" w:rsidR="00A801E0" w:rsidRPr="00A801E0" w:rsidRDefault="00D93E55"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b/>
          <w:bCs/>
          <w:color w:val="000000"/>
          <w:sz w:val="22"/>
          <w:szCs w:val="22"/>
        </w:rPr>
        <w:t>SEGUNDO</w:t>
      </w:r>
      <w:r w:rsidR="00FF49BD" w:rsidRPr="00A801E0">
        <w:rPr>
          <w:rFonts w:ascii="ITC Avant Garde" w:hAnsi="ITC Avant Garde"/>
          <w:b/>
          <w:bCs/>
          <w:color w:val="000000"/>
          <w:sz w:val="22"/>
          <w:szCs w:val="22"/>
        </w:rPr>
        <w:t>.-</w:t>
      </w:r>
      <w:r w:rsidR="00AB37BB" w:rsidRPr="00A801E0">
        <w:rPr>
          <w:rFonts w:ascii="ITC Avant Garde" w:hAnsi="ITC Avant Garde"/>
          <w:color w:val="000000"/>
          <w:sz w:val="22"/>
          <w:szCs w:val="22"/>
          <w:lang w:val="es-ES" w:eastAsia="es-ES"/>
        </w:rPr>
        <w:t xml:space="preserve"> </w:t>
      </w:r>
      <w:r w:rsidR="003D4601" w:rsidRPr="00A801E0">
        <w:rPr>
          <w:rFonts w:ascii="ITC Avant Garde" w:hAnsi="ITC Avant Garde"/>
          <w:color w:val="000000"/>
          <w:sz w:val="22"/>
          <w:szCs w:val="22"/>
          <w:lang w:val="es-ES" w:eastAsia="es-ES"/>
        </w:rPr>
        <w:t xml:space="preserve">Las presente </w:t>
      </w:r>
      <w:r w:rsidR="00B802A1" w:rsidRPr="00A801E0">
        <w:rPr>
          <w:rFonts w:ascii="ITC Avant Garde" w:hAnsi="ITC Avant Garde"/>
          <w:color w:val="000000"/>
          <w:sz w:val="22"/>
          <w:szCs w:val="22"/>
          <w:lang w:val="es-ES" w:eastAsia="es-ES"/>
        </w:rPr>
        <w:t>modificación</w:t>
      </w:r>
      <w:r w:rsidR="003D4601" w:rsidRPr="00A801E0">
        <w:rPr>
          <w:rFonts w:ascii="ITC Avant Garde" w:hAnsi="ITC Avant Garde"/>
          <w:color w:val="000000"/>
          <w:sz w:val="22"/>
          <w:szCs w:val="22"/>
          <w:lang w:val="es-ES" w:eastAsia="es-ES"/>
        </w:rPr>
        <w:t xml:space="preserve"> </w:t>
      </w:r>
      <w:r w:rsidR="00B802A1" w:rsidRPr="00A801E0">
        <w:rPr>
          <w:rFonts w:ascii="ITC Avant Garde" w:hAnsi="ITC Avant Garde"/>
          <w:color w:val="000000"/>
          <w:sz w:val="22"/>
          <w:szCs w:val="22"/>
          <w:lang w:val="es-ES" w:eastAsia="es-ES"/>
        </w:rPr>
        <w:t xml:space="preserve">sustituye las características </w:t>
      </w:r>
      <w:r w:rsidR="00881BD1" w:rsidRPr="00A801E0">
        <w:rPr>
          <w:rFonts w:ascii="ITC Avant Garde" w:hAnsi="ITC Avant Garde"/>
          <w:color w:val="000000"/>
          <w:sz w:val="22"/>
          <w:szCs w:val="22"/>
          <w:lang w:val="es-ES" w:eastAsia="es-ES"/>
        </w:rPr>
        <w:t xml:space="preserve">técnicas </w:t>
      </w:r>
      <w:r w:rsidR="00B802A1" w:rsidRPr="00A801E0">
        <w:rPr>
          <w:rFonts w:ascii="ITC Avant Garde" w:hAnsi="ITC Avant Garde"/>
          <w:color w:val="000000"/>
          <w:sz w:val="22"/>
          <w:szCs w:val="22"/>
          <w:lang w:val="es-ES" w:eastAsia="es-ES"/>
        </w:rPr>
        <w:t>de</w:t>
      </w:r>
      <w:r w:rsidR="00881BD1" w:rsidRPr="00A801E0">
        <w:rPr>
          <w:rFonts w:ascii="ITC Avant Garde" w:hAnsi="ITC Avant Garde"/>
          <w:color w:val="000000"/>
          <w:sz w:val="22"/>
          <w:szCs w:val="22"/>
          <w:lang w:val="es-ES" w:eastAsia="es-ES"/>
        </w:rPr>
        <w:t xml:space="preserve"> la</w:t>
      </w:r>
      <w:r w:rsidR="00B802A1" w:rsidRPr="00A801E0">
        <w:rPr>
          <w:rFonts w:ascii="ITC Avant Garde" w:hAnsi="ITC Avant Garde"/>
          <w:color w:val="000000"/>
          <w:sz w:val="22"/>
          <w:szCs w:val="22"/>
          <w:lang w:val="es-ES" w:eastAsia="es-ES"/>
        </w:rPr>
        <w:t xml:space="preserve"> red satelital B-SAT-1Q</w:t>
      </w:r>
      <w:r w:rsidR="003D4601" w:rsidRPr="00A801E0">
        <w:rPr>
          <w:rFonts w:ascii="ITC Avant Garde" w:hAnsi="ITC Avant Garde"/>
          <w:color w:val="000000"/>
          <w:sz w:val="22"/>
          <w:szCs w:val="22"/>
          <w:lang w:val="es-ES" w:eastAsia="es-ES"/>
        </w:rPr>
        <w:t xml:space="preserve"> del </w:t>
      </w:r>
      <w:r w:rsidR="006C5249" w:rsidRPr="00A801E0">
        <w:rPr>
          <w:rFonts w:ascii="ITC Avant Garde" w:hAnsi="ITC Avant Garde"/>
          <w:color w:val="000000"/>
          <w:sz w:val="22"/>
          <w:szCs w:val="22"/>
          <w:lang w:val="es-ES" w:eastAsia="es-ES"/>
        </w:rPr>
        <w:t>Título de Concesión</w:t>
      </w:r>
      <w:r w:rsidR="006F0179" w:rsidRPr="00A801E0">
        <w:rPr>
          <w:rFonts w:ascii="ITC Avant Garde" w:hAnsi="ITC Avant Garde"/>
          <w:color w:val="000000"/>
          <w:sz w:val="22"/>
          <w:szCs w:val="22"/>
          <w:lang w:val="es-ES" w:eastAsia="es-ES"/>
        </w:rPr>
        <w:t xml:space="preserve"> </w:t>
      </w:r>
      <w:r w:rsidR="00424A95" w:rsidRPr="00A801E0">
        <w:rPr>
          <w:rFonts w:ascii="ITC Avant Garde" w:hAnsi="ITC Avant Garde"/>
          <w:color w:val="000000"/>
          <w:sz w:val="22"/>
          <w:szCs w:val="22"/>
          <w:lang w:val="es-ES" w:eastAsia="es-ES"/>
        </w:rPr>
        <w:t xml:space="preserve">otorgado el 12 de agosto de 2014, </w:t>
      </w:r>
      <w:r w:rsidR="006C5249" w:rsidRPr="00A801E0">
        <w:rPr>
          <w:rFonts w:ascii="ITC Avant Garde" w:hAnsi="ITC Avant Garde"/>
          <w:color w:val="000000"/>
          <w:sz w:val="22"/>
          <w:szCs w:val="22"/>
          <w:lang w:val="es-ES" w:eastAsia="es-ES"/>
        </w:rPr>
        <w:t>para explotar los derechos de emisión y recepción de señales de bandas de frecuencias asociadas a sistemas satelitales extranjeros, que cubren y pueden prestar servicios en el territorio nacional.</w:t>
      </w:r>
    </w:p>
    <w:p w14:paraId="42755D3F" w14:textId="77777777" w:rsidR="00A801E0" w:rsidRPr="00A801E0" w:rsidRDefault="00D93E55" w:rsidP="00A801E0">
      <w:pPr>
        <w:spacing w:before="240" w:after="240" w:line="240" w:lineRule="auto"/>
        <w:jc w:val="both"/>
        <w:rPr>
          <w:rFonts w:ascii="ITC Avant Garde" w:hAnsi="ITC Avant Garde"/>
          <w:bCs/>
          <w:color w:val="000000"/>
          <w:lang w:eastAsia="es-MX"/>
        </w:rPr>
      </w:pPr>
      <w:r w:rsidRPr="00A801E0">
        <w:rPr>
          <w:rFonts w:ascii="ITC Avant Garde" w:hAnsi="ITC Avant Garde"/>
          <w:b/>
          <w:color w:val="000000"/>
          <w:lang w:val="es-ES" w:eastAsia="es-ES"/>
        </w:rPr>
        <w:t>TERCERO</w:t>
      </w:r>
      <w:r w:rsidR="00E65C36" w:rsidRPr="00A801E0">
        <w:rPr>
          <w:rFonts w:ascii="ITC Avant Garde" w:hAnsi="ITC Avant Garde"/>
          <w:b/>
          <w:color w:val="000000"/>
          <w:lang w:val="es-ES" w:eastAsia="es-ES"/>
        </w:rPr>
        <w:t>.-</w:t>
      </w:r>
      <w:r w:rsidR="00830F5B" w:rsidRPr="00A801E0">
        <w:rPr>
          <w:rFonts w:ascii="ITC Avant Garde" w:hAnsi="ITC Avant Garde"/>
          <w:b/>
          <w:color w:val="000000"/>
          <w:lang w:val="es-ES" w:eastAsia="es-ES"/>
        </w:rPr>
        <w:t xml:space="preserve"> </w:t>
      </w:r>
      <w:r w:rsidR="00AB37BB" w:rsidRPr="00A801E0">
        <w:rPr>
          <w:rFonts w:ascii="ITC Avant Garde" w:hAnsi="ITC Avant Garde"/>
          <w:color w:val="000000"/>
          <w:lang w:val="es-ES" w:eastAsia="es-ES"/>
        </w:rPr>
        <w:t xml:space="preserve">Las demás obligaciones establecidas en </w:t>
      </w:r>
      <w:r w:rsidR="006C5249" w:rsidRPr="00A801E0">
        <w:rPr>
          <w:rFonts w:ascii="ITC Avant Garde" w:hAnsi="ITC Avant Garde"/>
          <w:color w:val="000000"/>
          <w:lang w:val="es-ES" w:eastAsia="es-ES"/>
        </w:rPr>
        <w:t xml:space="preserve">Título de Concesión </w:t>
      </w:r>
      <w:r w:rsidR="00424A95" w:rsidRPr="00A801E0">
        <w:rPr>
          <w:rFonts w:ascii="ITC Avant Garde" w:hAnsi="ITC Avant Garde"/>
          <w:color w:val="000000"/>
          <w:lang w:val="es-ES" w:eastAsia="es-ES"/>
        </w:rPr>
        <w:t xml:space="preserve">otorgado el 12 de agosto de 2014, </w:t>
      </w:r>
      <w:r w:rsidR="006C5249" w:rsidRPr="00A801E0">
        <w:rPr>
          <w:rFonts w:ascii="ITC Avant Garde" w:hAnsi="ITC Avant Garde"/>
          <w:color w:val="000000"/>
          <w:lang w:val="es-ES" w:eastAsia="es-ES"/>
        </w:rPr>
        <w:t>para explotar los derechos de emisión y recepción de señales de bandas de frecuencias asociadas a sistemas satelitales extranjeros, que cubren y pueden prestar servicios en el territorio nacional</w:t>
      </w:r>
      <w:r w:rsidR="00AB37BB" w:rsidRPr="00A801E0">
        <w:rPr>
          <w:rFonts w:ascii="ITC Avant Garde" w:hAnsi="ITC Avant Garde"/>
          <w:color w:val="000000"/>
          <w:lang w:val="es-ES" w:eastAsia="es-ES"/>
        </w:rPr>
        <w:t>, subsisten en todos sus términos.</w:t>
      </w:r>
    </w:p>
    <w:p w14:paraId="7A627D57" w14:textId="77777777" w:rsidR="00A801E0" w:rsidRPr="00A801E0" w:rsidRDefault="00D93E55" w:rsidP="00A801E0">
      <w:pPr>
        <w:pStyle w:val="NormalWeb"/>
        <w:spacing w:before="240" w:beforeAutospacing="0" w:after="240" w:afterAutospacing="0"/>
        <w:jc w:val="both"/>
        <w:rPr>
          <w:rFonts w:ascii="ITC Avant Garde" w:hAnsi="ITC Avant Garde"/>
          <w:color w:val="000000"/>
          <w:sz w:val="22"/>
          <w:szCs w:val="22"/>
          <w:lang w:val="es-ES" w:eastAsia="es-ES"/>
        </w:rPr>
      </w:pPr>
      <w:r w:rsidRPr="00A801E0">
        <w:rPr>
          <w:rFonts w:ascii="ITC Avant Garde" w:hAnsi="ITC Avant Garde"/>
          <w:b/>
          <w:bCs/>
          <w:sz w:val="22"/>
          <w:szCs w:val="22"/>
        </w:rPr>
        <w:t>CUARTO</w:t>
      </w:r>
      <w:r w:rsidR="0026462F" w:rsidRPr="00A801E0">
        <w:rPr>
          <w:rFonts w:ascii="ITC Avant Garde" w:hAnsi="ITC Avant Garde"/>
          <w:b/>
          <w:bCs/>
          <w:sz w:val="22"/>
          <w:szCs w:val="22"/>
        </w:rPr>
        <w:t>.-</w:t>
      </w:r>
      <w:r w:rsidR="0026462F" w:rsidRPr="00A801E0">
        <w:rPr>
          <w:rFonts w:ascii="ITC Avant Garde" w:hAnsi="ITC Avant Garde"/>
          <w:b/>
          <w:bCs/>
          <w:sz w:val="22"/>
          <w:szCs w:val="22"/>
          <w:lang w:val="es-ES" w:eastAsia="es-ES"/>
        </w:rPr>
        <w:t xml:space="preserve"> </w:t>
      </w:r>
      <w:r w:rsidR="00AB37BB" w:rsidRPr="00A801E0">
        <w:rPr>
          <w:rFonts w:ascii="ITC Avant Garde" w:hAnsi="ITC Avant Garde"/>
          <w:bCs/>
          <w:color w:val="000000"/>
          <w:sz w:val="22"/>
          <w:szCs w:val="22"/>
        </w:rPr>
        <w:t xml:space="preserve">Se instruye a la Unidad de Concesiones y Servicios a notificar a </w:t>
      </w:r>
      <w:proofErr w:type="spellStart"/>
      <w:r w:rsidR="00AB37BB" w:rsidRPr="00A801E0">
        <w:rPr>
          <w:rFonts w:ascii="ITC Avant Garde" w:hAnsi="ITC Avant Garde"/>
          <w:color w:val="000000"/>
          <w:sz w:val="22"/>
          <w:szCs w:val="22"/>
          <w:lang w:val="es-ES" w:eastAsia="es-ES"/>
        </w:rPr>
        <w:t>Hispasat</w:t>
      </w:r>
      <w:proofErr w:type="spellEnd"/>
      <w:r w:rsidR="00AB37BB" w:rsidRPr="00A801E0">
        <w:rPr>
          <w:rFonts w:ascii="ITC Avant Garde" w:hAnsi="ITC Avant Garde"/>
          <w:color w:val="000000"/>
          <w:sz w:val="22"/>
          <w:szCs w:val="22"/>
          <w:lang w:val="es-ES" w:eastAsia="es-ES"/>
        </w:rPr>
        <w:t xml:space="preserve"> México, S</w:t>
      </w:r>
      <w:r w:rsidR="00522C92" w:rsidRPr="00A801E0">
        <w:rPr>
          <w:rFonts w:ascii="ITC Avant Garde" w:hAnsi="ITC Avant Garde"/>
          <w:color w:val="000000"/>
          <w:sz w:val="22"/>
          <w:szCs w:val="22"/>
          <w:lang w:val="es-ES" w:eastAsia="es-ES"/>
        </w:rPr>
        <w:t>.A. de C.V. el contenido de la presente Resolución.</w:t>
      </w:r>
    </w:p>
    <w:p w14:paraId="3FFBEE54" w14:textId="77777777" w:rsidR="00A801E0" w:rsidRPr="00A801E0" w:rsidRDefault="00D93E55" w:rsidP="00A801E0">
      <w:pPr>
        <w:spacing w:before="240" w:after="240" w:line="240" w:lineRule="auto"/>
        <w:jc w:val="both"/>
        <w:rPr>
          <w:rFonts w:ascii="ITC Avant Garde" w:hAnsi="ITC Avant Garde"/>
          <w:lang w:val="es-ES" w:eastAsia="es-ES"/>
        </w:rPr>
      </w:pPr>
      <w:r w:rsidRPr="00A801E0">
        <w:rPr>
          <w:rFonts w:ascii="ITC Avant Garde" w:hAnsi="ITC Avant Garde"/>
          <w:b/>
          <w:bCs/>
        </w:rPr>
        <w:t>QUINTO</w:t>
      </w:r>
      <w:r w:rsidR="0026462F" w:rsidRPr="00A801E0">
        <w:rPr>
          <w:rFonts w:ascii="ITC Avant Garde" w:hAnsi="ITC Avant Garde"/>
          <w:b/>
          <w:bCs/>
        </w:rPr>
        <w:t xml:space="preserve">.- </w:t>
      </w:r>
      <w:r w:rsidR="00772B6F" w:rsidRPr="00A801E0">
        <w:rPr>
          <w:rFonts w:ascii="ITC Avant Garde" w:hAnsi="ITC Avant Garde"/>
          <w:bCs/>
        </w:rPr>
        <w:t>Inscríbanse en el Registro Público de Concesiones las modificaciones a que se refiere la presente Resolución</w:t>
      </w:r>
      <w:r w:rsidR="006C5249" w:rsidRPr="00A801E0">
        <w:rPr>
          <w:rFonts w:ascii="ITC Avant Garde" w:hAnsi="ITC Avant Garde"/>
          <w:bCs/>
        </w:rPr>
        <w:t>, una vez cumplido lo referido en el Resolutivo Cuarto</w:t>
      </w:r>
      <w:r w:rsidR="00772B6F" w:rsidRPr="00A801E0">
        <w:rPr>
          <w:rFonts w:ascii="ITC Avant Garde" w:hAnsi="ITC Avant Garde"/>
          <w:bCs/>
        </w:rPr>
        <w:t>.</w:t>
      </w:r>
    </w:p>
    <w:p w14:paraId="02469820" w14:textId="188AE189" w:rsidR="00871088" w:rsidRPr="00A801E0" w:rsidRDefault="000C1968" w:rsidP="00A801E0">
      <w:pPr>
        <w:spacing w:before="240" w:after="240" w:line="240" w:lineRule="auto"/>
        <w:jc w:val="both"/>
        <w:rPr>
          <w:rFonts w:ascii="ITC Avant Garde" w:hAnsi="ITC Avant Garde"/>
          <w:sz w:val="14"/>
          <w:szCs w:val="20"/>
        </w:rPr>
      </w:pPr>
      <w:r w:rsidRPr="00A801E0">
        <w:rPr>
          <w:rFonts w:ascii="ITC Avant Garde" w:hAnsi="ITC Avant Garde"/>
          <w:sz w:val="14"/>
          <w:szCs w:val="20"/>
        </w:rPr>
        <w:t>La presente Resolución fue aprobada por el Pleno del Instituto Federal de Telecomunicaciones en su XXII Sesión Ordinaria celebrada el 13 de julio de 2016, por unanimidad de votos de los Comisionados presentes Gabriel Oswaldo Contreras Saldívar,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P/IFT/130716/382.</w:t>
      </w:r>
      <w:bookmarkEnd w:id="0"/>
    </w:p>
    <w:sectPr w:rsidR="00871088" w:rsidRPr="00A801E0" w:rsidSect="001D1EC6">
      <w:headerReference w:type="even" r:id="rId12"/>
      <w:footerReference w:type="default" r:id="rId13"/>
      <w:headerReference w:type="first" r:id="rId14"/>
      <w:footerReference w:type="first" r:id="rId15"/>
      <w:pgSz w:w="12240" w:h="15840"/>
      <w:pgMar w:top="2127" w:right="1418" w:bottom="1134" w:left="1418" w:header="709" w:footer="9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1B7AF" w14:textId="77777777" w:rsidR="0049308E" w:rsidRDefault="0049308E" w:rsidP="00072BC8">
      <w:pPr>
        <w:spacing w:after="0" w:line="240" w:lineRule="auto"/>
      </w:pPr>
      <w:r>
        <w:separator/>
      </w:r>
    </w:p>
  </w:endnote>
  <w:endnote w:type="continuationSeparator" w:id="0">
    <w:p w14:paraId="34F58B4F" w14:textId="77777777" w:rsidR="0049308E" w:rsidRDefault="0049308E"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TC Avant Garde Std Bk">
    <w:altName w:val="Century Gothic"/>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w:altName w:val="ITC Avant Garde"/>
    <w:panose1 w:val="020B04020202030203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6493409"/>
      <w:docPartObj>
        <w:docPartGallery w:val="Page Numbers (Bottom of Page)"/>
        <w:docPartUnique/>
      </w:docPartObj>
    </w:sdtPr>
    <w:sdtEndPr>
      <w:rPr>
        <w:rFonts w:ascii="ITC Avant Garde" w:hAnsi="ITC Avant Garde"/>
        <w:sz w:val="20"/>
        <w:szCs w:val="20"/>
      </w:rPr>
    </w:sdtEndPr>
    <w:sdtContent>
      <w:p w14:paraId="71A20547" w14:textId="04D9B849" w:rsidR="001D1EC6" w:rsidRPr="001D1EC6" w:rsidRDefault="001D1EC6">
        <w:pPr>
          <w:pStyle w:val="Piedepgina"/>
          <w:jc w:val="right"/>
          <w:rPr>
            <w:rFonts w:ascii="ITC Avant Garde" w:hAnsi="ITC Avant Garde"/>
            <w:sz w:val="20"/>
            <w:szCs w:val="20"/>
          </w:rPr>
        </w:pPr>
        <w:r w:rsidRPr="001D1EC6">
          <w:rPr>
            <w:rFonts w:ascii="ITC Avant Garde" w:hAnsi="ITC Avant Garde"/>
            <w:sz w:val="20"/>
            <w:szCs w:val="20"/>
          </w:rPr>
          <w:fldChar w:fldCharType="begin"/>
        </w:r>
        <w:r w:rsidRPr="001D1EC6">
          <w:rPr>
            <w:rFonts w:ascii="ITC Avant Garde" w:hAnsi="ITC Avant Garde"/>
            <w:sz w:val="20"/>
            <w:szCs w:val="20"/>
          </w:rPr>
          <w:instrText>PAGE   \* MERGEFORMAT</w:instrText>
        </w:r>
        <w:r w:rsidRPr="001D1EC6">
          <w:rPr>
            <w:rFonts w:ascii="ITC Avant Garde" w:hAnsi="ITC Avant Garde"/>
            <w:sz w:val="20"/>
            <w:szCs w:val="20"/>
          </w:rPr>
          <w:fldChar w:fldCharType="separate"/>
        </w:r>
        <w:r w:rsidR="00A801E0" w:rsidRPr="00A801E0">
          <w:rPr>
            <w:rFonts w:ascii="ITC Avant Garde" w:hAnsi="ITC Avant Garde"/>
            <w:noProof/>
            <w:sz w:val="20"/>
            <w:szCs w:val="20"/>
            <w:lang w:val="es-ES"/>
          </w:rPr>
          <w:t>7</w:t>
        </w:r>
        <w:r w:rsidRPr="001D1EC6">
          <w:rPr>
            <w:rFonts w:ascii="ITC Avant Garde" w:hAnsi="ITC Avant Garde"/>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389A9" w14:textId="607A9D1A" w:rsidR="00F4390F" w:rsidRPr="008448A0" w:rsidRDefault="00F4390F">
    <w:pPr>
      <w:pStyle w:val="Piedepgina"/>
      <w:jc w:val="right"/>
      <w:rPr>
        <w:rFonts w:ascii="ITC Avant Garde" w:hAnsi="ITC Avant Garde"/>
        <w:noProof/>
        <w:sz w:val="18"/>
        <w:szCs w:val="18"/>
      </w:rPr>
    </w:pPr>
    <w:r w:rsidRPr="008448A0">
      <w:rPr>
        <w:rFonts w:ascii="ITC Avant Garde" w:hAnsi="ITC Avant Garde"/>
        <w:noProof/>
        <w:sz w:val="18"/>
        <w:szCs w:val="18"/>
      </w:rPr>
      <w:fldChar w:fldCharType="begin"/>
    </w:r>
    <w:r w:rsidRPr="008448A0">
      <w:rPr>
        <w:rFonts w:ascii="ITC Avant Garde" w:hAnsi="ITC Avant Garde"/>
        <w:noProof/>
        <w:sz w:val="18"/>
        <w:szCs w:val="18"/>
      </w:rPr>
      <w:instrText>PAGE</w:instrText>
    </w:r>
    <w:r w:rsidRPr="008448A0">
      <w:rPr>
        <w:rFonts w:ascii="ITC Avant Garde" w:hAnsi="ITC Avant Garde"/>
        <w:noProof/>
        <w:sz w:val="18"/>
        <w:szCs w:val="18"/>
      </w:rPr>
      <w:fldChar w:fldCharType="separate"/>
    </w:r>
    <w:r w:rsidR="005E6D6C">
      <w:rPr>
        <w:rFonts w:ascii="ITC Avant Garde" w:hAnsi="ITC Avant Garde"/>
        <w:noProof/>
        <w:sz w:val="18"/>
        <w:szCs w:val="18"/>
      </w:rPr>
      <w:t>1</w:t>
    </w:r>
    <w:r w:rsidRPr="008448A0">
      <w:rPr>
        <w:rFonts w:ascii="ITC Avant Garde" w:hAnsi="ITC Avant Garde"/>
        <w:noProof/>
        <w:sz w:val="18"/>
        <w:szCs w:val="18"/>
      </w:rPr>
      <w:fldChar w:fldCharType="end"/>
    </w:r>
    <w:r w:rsidRPr="008448A0">
      <w:rPr>
        <w:rFonts w:ascii="ITC Avant Garde" w:hAnsi="ITC Avant Garde"/>
        <w:noProof/>
        <w:sz w:val="18"/>
        <w:szCs w:val="18"/>
      </w:rPr>
      <w:t xml:space="preserve"> de </w:t>
    </w:r>
    <w:r w:rsidRPr="008448A0">
      <w:rPr>
        <w:rFonts w:ascii="ITC Avant Garde" w:hAnsi="ITC Avant Garde"/>
        <w:noProof/>
        <w:sz w:val="18"/>
        <w:szCs w:val="18"/>
      </w:rPr>
      <w:fldChar w:fldCharType="begin"/>
    </w:r>
    <w:r w:rsidRPr="008448A0">
      <w:rPr>
        <w:rFonts w:ascii="ITC Avant Garde" w:hAnsi="ITC Avant Garde"/>
        <w:noProof/>
        <w:sz w:val="18"/>
        <w:szCs w:val="18"/>
      </w:rPr>
      <w:instrText>NUMPAGES</w:instrText>
    </w:r>
    <w:r w:rsidRPr="008448A0">
      <w:rPr>
        <w:rFonts w:ascii="ITC Avant Garde" w:hAnsi="ITC Avant Garde"/>
        <w:noProof/>
        <w:sz w:val="18"/>
        <w:szCs w:val="18"/>
      </w:rPr>
      <w:fldChar w:fldCharType="separate"/>
    </w:r>
    <w:r w:rsidR="008A2A60">
      <w:rPr>
        <w:rFonts w:ascii="ITC Avant Garde" w:hAnsi="ITC Avant Garde"/>
        <w:noProof/>
        <w:sz w:val="18"/>
        <w:szCs w:val="18"/>
      </w:rPr>
      <w:t>8</w:t>
    </w:r>
    <w:r w:rsidRPr="008448A0">
      <w:rPr>
        <w:rFonts w:ascii="ITC Avant Garde" w:hAnsi="ITC Avant Garde"/>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E297A" w14:textId="77777777" w:rsidR="0049308E" w:rsidRDefault="0049308E" w:rsidP="00072BC8">
      <w:pPr>
        <w:spacing w:after="0" w:line="240" w:lineRule="auto"/>
      </w:pPr>
      <w:r>
        <w:separator/>
      </w:r>
    </w:p>
  </w:footnote>
  <w:footnote w:type="continuationSeparator" w:id="0">
    <w:p w14:paraId="5DE0B892" w14:textId="77777777" w:rsidR="0049308E" w:rsidRDefault="0049308E" w:rsidP="00072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8210F" w14:textId="77777777" w:rsidR="00F4390F" w:rsidRDefault="0049308E">
    <w:pPr>
      <w:pStyle w:val="Encabezado"/>
    </w:pPr>
    <w:r>
      <w:rPr>
        <w:noProof/>
        <w:lang w:eastAsia="es-MX"/>
      </w:rPr>
      <w:pict w14:anchorId="7421E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A388B" w14:textId="77777777" w:rsidR="001A49BD" w:rsidRDefault="0049308E">
    <w:pPr>
      <w:pStyle w:val="Encabezado"/>
    </w:pPr>
    <w:r>
      <w:rPr>
        <w:noProof/>
        <w:lang w:eastAsia="es-MX"/>
      </w:rPr>
      <w:pict w14:anchorId="0AB8F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63" type="#_x0000_t75" style="position:absolute;margin-left:-73.15pt;margin-top:-120.25pt;width:612pt;height:11in;z-index:-251656704;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0EB2"/>
    <w:multiLevelType w:val="hybridMultilevel"/>
    <w:tmpl w:val="E95882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8960D7"/>
    <w:multiLevelType w:val="hybridMultilevel"/>
    <w:tmpl w:val="A2B4798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 w15:restartNumberingAfterBreak="0">
    <w:nsid w:val="1B6E0752"/>
    <w:multiLevelType w:val="hybridMultilevel"/>
    <w:tmpl w:val="DE2CEABE"/>
    <w:lvl w:ilvl="0" w:tplc="593CC0E0">
      <w:start w:val="1"/>
      <w:numFmt w:val="lowerLetter"/>
      <w:lvlText w:val="%1)"/>
      <w:lvlJc w:val="left"/>
      <w:pPr>
        <w:ind w:left="720" w:hanging="360"/>
      </w:pPr>
      <w:rPr>
        <w:rFonts w:ascii="ITC Avant Garde Std Bk" w:hAnsi="ITC Avant Garde Std Bk"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494432"/>
    <w:multiLevelType w:val="hybridMultilevel"/>
    <w:tmpl w:val="5E8A5DE8"/>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3D0AB6"/>
    <w:multiLevelType w:val="hybridMultilevel"/>
    <w:tmpl w:val="DDBE5D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2642A4"/>
    <w:multiLevelType w:val="hybridMultilevel"/>
    <w:tmpl w:val="D6A87A5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C57649"/>
    <w:multiLevelType w:val="hybridMultilevel"/>
    <w:tmpl w:val="3E084C60"/>
    <w:lvl w:ilvl="0" w:tplc="553C64E6">
      <w:start w:val="1"/>
      <w:numFmt w:val="ordinalText"/>
      <w:lvlText w:val="%1."/>
      <w:lvlJc w:val="left"/>
      <w:pPr>
        <w:ind w:left="3196" w:hanging="360"/>
      </w:pPr>
      <w:rPr>
        <w:rFonts w:hint="default"/>
        <w:b/>
        <w:i w:val="0"/>
        <w:caps/>
        <w:sz w:val="22"/>
      </w:rPr>
    </w:lvl>
    <w:lvl w:ilvl="1" w:tplc="080A0019" w:tentative="1">
      <w:start w:val="1"/>
      <w:numFmt w:val="lowerLetter"/>
      <w:lvlText w:val="%2."/>
      <w:lvlJc w:val="left"/>
      <w:pPr>
        <w:ind w:left="-1678" w:hanging="360"/>
      </w:pPr>
    </w:lvl>
    <w:lvl w:ilvl="2" w:tplc="080A001B" w:tentative="1">
      <w:start w:val="1"/>
      <w:numFmt w:val="lowerRoman"/>
      <w:lvlText w:val="%3."/>
      <w:lvlJc w:val="right"/>
      <w:pPr>
        <w:ind w:left="-958" w:hanging="180"/>
      </w:pPr>
    </w:lvl>
    <w:lvl w:ilvl="3" w:tplc="080A000F" w:tentative="1">
      <w:start w:val="1"/>
      <w:numFmt w:val="decimal"/>
      <w:lvlText w:val="%4."/>
      <w:lvlJc w:val="left"/>
      <w:pPr>
        <w:ind w:left="-238" w:hanging="360"/>
      </w:pPr>
    </w:lvl>
    <w:lvl w:ilvl="4" w:tplc="080A0019" w:tentative="1">
      <w:start w:val="1"/>
      <w:numFmt w:val="lowerLetter"/>
      <w:lvlText w:val="%5."/>
      <w:lvlJc w:val="left"/>
      <w:pPr>
        <w:ind w:left="482" w:hanging="360"/>
      </w:pPr>
    </w:lvl>
    <w:lvl w:ilvl="5" w:tplc="080A001B" w:tentative="1">
      <w:start w:val="1"/>
      <w:numFmt w:val="lowerRoman"/>
      <w:lvlText w:val="%6."/>
      <w:lvlJc w:val="right"/>
      <w:pPr>
        <w:ind w:left="1202" w:hanging="180"/>
      </w:pPr>
    </w:lvl>
    <w:lvl w:ilvl="6" w:tplc="080A000F" w:tentative="1">
      <w:start w:val="1"/>
      <w:numFmt w:val="decimal"/>
      <w:lvlText w:val="%7."/>
      <w:lvlJc w:val="left"/>
      <w:pPr>
        <w:ind w:left="1922" w:hanging="360"/>
      </w:pPr>
    </w:lvl>
    <w:lvl w:ilvl="7" w:tplc="080A0019" w:tentative="1">
      <w:start w:val="1"/>
      <w:numFmt w:val="lowerLetter"/>
      <w:lvlText w:val="%8."/>
      <w:lvlJc w:val="left"/>
      <w:pPr>
        <w:ind w:left="2642" w:hanging="360"/>
      </w:pPr>
    </w:lvl>
    <w:lvl w:ilvl="8" w:tplc="080A001B" w:tentative="1">
      <w:start w:val="1"/>
      <w:numFmt w:val="lowerRoman"/>
      <w:lvlText w:val="%9."/>
      <w:lvlJc w:val="right"/>
      <w:pPr>
        <w:ind w:left="3362" w:hanging="180"/>
      </w:pPr>
    </w:lvl>
  </w:abstractNum>
  <w:abstractNum w:abstractNumId="7" w15:restartNumberingAfterBreak="0">
    <w:nsid w:val="372E0EDC"/>
    <w:multiLevelType w:val="hybridMultilevel"/>
    <w:tmpl w:val="C632F8A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FC1FD2"/>
    <w:multiLevelType w:val="hybridMultilevel"/>
    <w:tmpl w:val="E0583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DE6DB7"/>
    <w:multiLevelType w:val="hybridMultilevel"/>
    <w:tmpl w:val="B3CAD3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9F298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042B83"/>
    <w:multiLevelType w:val="hybridMultilevel"/>
    <w:tmpl w:val="16A28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ED5F57"/>
    <w:multiLevelType w:val="hybridMultilevel"/>
    <w:tmpl w:val="8D825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3650E9"/>
    <w:multiLevelType w:val="hybridMultilevel"/>
    <w:tmpl w:val="71BEFE3C"/>
    <w:lvl w:ilvl="0" w:tplc="671613F2">
      <w:start w:val="2"/>
      <w:numFmt w:val="bullet"/>
      <w:lvlText w:val=""/>
      <w:lvlJc w:val="left"/>
      <w:pPr>
        <w:ind w:left="720" w:hanging="360"/>
      </w:pPr>
      <w:rPr>
        <w:rFonts w:ascii="Symbol" w:eastAsia="Times New Roman"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12"/>
  </w:num>
  <w:num w:numId="5">
    <w:abstractNumId w:val="9"/>
  </w:num>
  <w:num w:numId="6">
    <w:abstractNumId w:val="4"/>
  </w:num>
  <w:num w:numId="7">
    <w:abstractNumId w:val="6"/>
  </w:num>
  <w:num w:numId="8">
    <w:abstractNumId w:val="3"/>
  </w:num>
  <w:num w:numId="9">
    <w:abstractNumId w:val="5"/>
  </w:num>
  <w:num w:numId="10">
    <w:abstractNumId w:val="10"/>
  </w:num>
  <w:num w:numId="11">
    <w:abstractNumId w:val="2"/>
  </w:num>
  <w:num w:numId="12">
    <w:abstractNumId w:val="8"/>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4B9"/>
    <w:rsid w:val="000070D2"/>
    <w:rsid w:val="000147EB"/>
    <w:rsid w:val="000154B0"/>
    <w:rsid w:val="0001646F"/>
    <w:rsid w:val="00020D29"/>
    <w:rsid w:val="00021722"/>
    <w:rsid w:val="00021968"/>
    <w:rsid w:val="000311EE"/>
    <w:rsid w:val="0003255F"/>
    <w:rsid w:val="00033502"/>
    <w:rsid w:val="00034872"/>
    <w:rsid w:val="00045A70"/>
    <w:rsid w:val="000468BB"/>
    <w:rsid w:val="00047CCD"/>
    <w:rsid w:val="00050BBB"/>
    <w:rsid w:val="00050DDE"/>
    <w:rsid w:val="00053A1A"/>
    <w:rsid w:val="00055CC8"/>
    <w:rsid w:val="00056248"/>
    <w:rsid w:val="00057A17"/>
    <w:rsid w:val="00061746"/>
    <w:rsid w:val="00066CB1"/>
    <w:rsid w:val="00071BE9"/>
    <w:rsid w:val="0007221E"/>
    <w:rsid w:val="00072BC8"/>
    <w:rsid w:val="00074A2E"/>
    <w:rsid w:val="000760B6"/>
    <w:rsid w:val="00082170"/>
    <w:rsid w:val="0008564E"/>
    <w:rsid w:val="00085D00"/>
    <w:rsid w:val="00086AD6"/>
    <w:rsid w:val="0009105D"/>
    <w:rsid w:val="00095BDE"/>
    <w:rsid w:val="00095E61"/>
    <w:rsid w:val="000A110D"/>
    <w:rsid w:val="000A14B1"/>
    <w:rsid w:val="000A2979"/>
    <w:rsid w:val="000A4B55"/>
    <w:rsid w:val="000A6D7C"/>
    <w:rsid w:val="000B5D18"/>
    <w:rsid w:val="000C1968"/>
    <w:rsid w:val="000C23E8"/>
    <w:rsid w:val="000C3B85"/>
    <w:rsid w:val="000C415A"/>
    <w:rsid w:val="000C5E84"/>
    <w:rsid w:val="000D03DC"/>
    <w:rsid w:val="000D27D6"/>
    <w:rsid w:val="000D288A"/>
    <w:rsid w:val="000E161F"/>
    <w:rsid w:val="000E191D"/>
    <w:rsid w:val="000E4584"/>
    <w:rsid w:val="000E56C0"/>
    <w:rsid w:val="000F1B19"/>
    <w:rsid w:val="000F1B3D"/>
    <w:rsid w:val="000F54E5"/>
    <w:rsid w:val="000F570F"/>
    <w:rsid w:val="000F61F2"/>
    <w:rsid w:val="00100622"/>
    <w:rsid w:val="001013E2"/>
    <w:rsid w:val="00102309"/>
    <w:rsid w:val="00102A9F"/>
    <w:rsid w:val="001055BD"/>
    <w:rsid w:val="00106523"/>
    <w:rsid w:val="0011404A"/>
    <w:rsid w:val="00114370"/>
    <w:rsid w:val="00117D53"/>
    <w:rsid w:val="00120638"/>
    <w:rsid w:val="001206CE"/>
    <w:rsid w:val="00120E92"/>
    <w:rsid w:val="001224D4"/>
    <w:rsid w:val="0012545E"/>
    <w:rsid w:val="00125B3A"/>
    <w:rsid w:val="001261AE"/>
    <w:rsid w:val="00126DBE"/>
    <w:rsid w:val="00127323"/>
    <w:rsid w:val="00130678"/>
    <w:rsid w:val="001328D1"/>
    <w:rsid w:val="00136F4F"/>
    <w:rsid w:val="001402CD"/>
    <w:rsid w:val="00140D5B"/>
    <w:rsid w:val="00142A3D"/>
    <w:rsid w:val="001475F7"/>
    <w:rsid w:val="00157E3B"/>
    <w:rsid w:val="00170686"/>
    <w:rsid w:val="00171E8B"/>
    <w:rsid w:val="0017216D"/>
    <w:rsid w:val="00172818"/>
    <w:rsid w:val="00173617"/>
    <w:rsid w:val="00176A4F"/>
    <w:rsid w:val="00177A32"/>
    <w:rsid w:val="00180531"/>
    <w:rsid w:val="00185D66"/>
    <w:rsid w:val="00186125"/>
    <w:rsid w:val="00194922"/>
    <w:rsid w:val="00196EA9"/>
    <w:rsid w:val="001A0E4D"/>
    <w:rsid w:val="001A1D1A"/>
    <w:rsid w:val="001A49BD"/>
    <w:rsid w:val="001A62BE"/>
    <w:rsid w:val="001A7533"/>
    <w:rsid w:val="001B1F24"/>
    <w:rsid w:val="001B24EE"/>
    <w:rsid w:val="001B4DB1"/>
    <w:rsid w:val="001B58A1"/>
    <w:rsid w:val="001B5D90"/>
    <w:rsid w:val="001B67A3"/>
    <w:rsid w:val="001C01FD"/>
    <w:rsid w:val="001C4FE6"/>
    <w:rsid w:val="001C5F16"/>
    <w:rsid w:val="001D0D18"/>
    <w:rsid w:val="001D1EC6"/>
    <w:rsid w:val="001D25C0"/>
    <w:rsid w:val="001D3183"/>
    <w:rsid w:val="001D52AB"/>
    <w:rsid w:val="001D65C2"/>
    <w:rsid w:val="001D6691"/>
    <w:rsid w:val="001E3713"/>
    <w:rsid w:val="001E3BDA"/>
    <w:rsid w:val="001E576E"/>
    <w:rsid w:val="001E65A4"/>
    <w:rsid w:val="001E6CD6"/>
    <w:rsid w:val="001E6FD6"/>
    <w:rsid w:val="001F0E7A"/>
    <w:rsid w:val="001F4652"/>
    <w:rsid w:val="001F54E1"/>
    <w:rsid w:val="001F6CF3"/>
    <w:rsid w:val="00205F3B"/>
    <w:rsid w:val="00212BC2"/>
    <w:rsid w:val="0023077D"/>
    <w:rsid w:val="00230BA1"/>
    <w:rsid w:val="00233423"/>
    <w:rsid w:val="00233554"/>
    <w:rsid w:val="002352B4"/>
    <w:rsid w:val="00235E95"/>
    <w:rsid w:val="0024034D"/>
    <w:rsid w:val="00240D84"/>
    <w:rsid w:val="002413E7"/>
    <w:rsid w:val="00241E3F"/>
    <w:rsid w:val="00243D73"/>
    <w:rsid w:val="00243FB7"/>
    <w:rsid w:val="0024589B"/>
    <w:rsid w:val="00246FCA"/>
    <w:rsid w:val="002561F6"/>
    <w:rsid w:val="0025635D"/>
    <w:rsid w:val="00263D73"/>
    <w:rsid w:val="0026462F"/>
    <w:rsid w:val="0026532C"/>
    <w:rsid w:val="0027078C"/>
    <w:rsid w:val="0027439B"/>
    <w:rsid w:val="00274FE4"/>
    <w:rsid w:val="0027535F"/>
    <w:rsid w:val="00281061"/>
    <w:rsid w:val="002823B4"/>
    <w:rsid w:val="0028390E"/>
    <w:rsid w:val="00283A6B"/>
    <w:rsid w:val="002A15A4"/>
    <w:rsid w:val="002A3071"/>
    <w:rsid w:val="002A489F"/>
    <w:rsid w:val="002A76EC"/>
    <w:rsid w:val="002B335D"/>
    <w:rsid w:val="002B6BFB"/>
    <w:rsid w:val="002B74CC"/>
    <w:rsid w:val="002C0B72"/>
    <w:rsid w:val="002C3C4B"/>
    <w:rsid w:val="002C4198"/>
    <w:rsid w:val="002D0775"/>
    <w:rsid w:val="002D39C5"/>
    <w:rsid w:val="002D7D67"/>
    <w:rsid w:val="002E110F"/>
    <w:rsid w:val="002E2F96"/>
    <w:rsid w:val="002E3175"/>
    <w:rsid w:val="002E423C"/>
    <w:rsid w:val="002E6743"/>
    <w:rsid w:val="002F2BC7"/>
    <w:rsid w:val="002F51D1"/>
    <w:rsid w:val="002F74E3"/>
    <w:rsid w:val="002F79F5"/>
    <w:rsid w:val="00302DFA"/>
    <w:rsid w:val="0030333C"/>
    <w:rsid w:val="0030729F"/>
    <w:rsid w:val="003155C8"/>
    <w:rsid w:val="00316F17"/>
    <w:rsid w:val="003177E0"/>
    <w:rsid w:val="00320CFD"/>
    <w:rsid w:val="003216AF"/>
    <w:rsid w:val="00323C84"/>
    <w:rsid w:val="00326AA1"/>
    <w:rsid w:val="0032781F"/>
    <w:rsid w:val="00334FE4"/>
    <w:rsid w:val="00335EB3"/>
    <w:rsid w:val="003419E1"/>
    <w:rsid w:val="00352972"/>
    <w:rsid w:val="00352B35"/>
    <w:rsid w:val="00353965"/>
    <w:rsid w:val="00362630"/>
    <w:rsid w:val="00362EC2"/>
    <w:rsid w:val="00370238"/>
    <w:rsid w:val="003708B2"/>
    <w:rsid w:val="003729C9"/>
    <w:rsid w:val="00377AF1"/>
    <w:rsid w:val="00382545"/>
    <w:rsid w:val="00383F55"/>
    <w:rsid w:val="00384DA9"/>
    <w:rsid w:val="00385C51"/>
    <w:rsid w:val="00386A87"/>
    <w:rsid w:val="003939EA"/>
    <w:rsid w:val="0039643D"/>
    <w:rsid w:val="003A33E4"/>
    <w:rsid w:val="003A6FF2"/>
    <w:rsid w:val="003B4D1B"/>
    <w:rsid w:val="003B7A5D"/>
    <w:rsid w:val="003C011A"/>
    <w:rsid w:val="003C036F"/>
    <w:rsid w:val="003C05D1"/>
    <w:rsid w:val="003C337D"/>
    <w:rsid w:val="003C4498"/>
    <w:rsid w:val="003C4A3C"/>
    <w:rsid w:val="003D33E3"/>
    <w:rsid w:val="003D4601"/>
    <w:rsid w:val="003D59A1"/>
    <w:rsid w:val="003E182A"/>
    <w:rsid w:val="003F1568"/>
    <w:rsid w:val="003F4965"/>
    <w:rsid w:val="003F4DD2"/>
    <w:rsid w:val="00406046"/>
    <w:rsid w:val="004067C3"/>
    <w:rsid w:val="00406D3A"/>
    <w:rsid w:val="00412882"/>
    <w:rsid w:val="00412932"/>
    <w:rsid w:val="00413128"/>
    <w:rsid w:val="004136DE"/>
    <w:rsid w:val="00413FF3"/>
    <w:rsid w:val="004163FA"/>
    <w:rsid w:val="004214EB"/>
    <w:rsid w:val="00423711"/>
    <w:rsid w:val="00424A95"/>
    <w:rsid w:val="00425C27"/>
    <w:rsid w:val="0042699F"/>
    <w:rsid w:val="00426DF3"/>
    <w:rsid w:val="00427861"/>
    <w:rsid w:val="00427B02"/>
    <w:rsid w:val="00430744"/>
    <w:rsid w:val="00430B6C"/>
    <w:rsid w:val="00433732"/>
    <w:rsid w:val="0043583F"/>
    <w:rsid w:val="00436708"/>
    <w:rsid w:val="00445603"/>
    <w:rsid w:val="004473A9"/>
    <w:rsid w:val="00450168"/>
    <w:rsid w:val="00451AE2"/>
    <w:rsid w:val="00451F7D"/>
    <w:rsid w:val="00452055"/>
    <w:rsid w:val="0045401E"/>
    <w:rsid w:val="00455F78"/>
    <w:rsid w:val="004650DC"/>
    <w:rsid w:val="00471CBD"/>
    <w:rsid w:val="004835E0"/>
    <w:rsid w:val="00490678"/>
    <w:rsid w:val="0049104F"/>
    <w:rsid w:val="0049308E"/>
    <w:rsid w:val="004A2DAF"/>
    <w:rsid w:val="004A45ED"/>
    <w:rsid w:val="004A489A"/>
    <w:rsid w:val="004A4B8E"/>
    <w:rsid w:val="004A72C2"/>
    <w:rsid w:val="004B22BF"/>
    <w:rsid w:val="004B232D"/>
    <w:rsid w:val="004B2FD8"/>
    <w:rsid w:val="004B5520"/>
    <w:rsid w:val="004B6ECC"/>
    <w:rsid w:val="004C0B40"/>
    <w:rsid w:val="004C0EF8"/>
    <w:rsid w:val="004C6BFA"/>
    <w:rsid w:val="004C7A56"/>
    <w:rsid w:val="004D1D38"/>
    <w:rsid w:val="004D3697"/>
    <w:rsid w:val="004E260F"/>
    <w:rsid w:val="004E43F7"/>
    <w:rsid w:val="004E66EE"/>
    <w:rsid w:val="004E7187"/>
    <w:rsid w:val="004F101E"/>
    <w:rsid w:val="004F4B35"/>
    <w:rsid w:val="004F61F7"/>
    <w:rsid w:val="005013E0"/>
    <w:rsid w:val="00504FF0"/>
    <w:rsid w:val="0050514B"/>
    <w:rsid w:val="00506083"/>
    <w:rsid w:val="005079B4"/>
    <w:rsid w:val="00512A93"/>
    <w:rsid w:val="005134AB"/>
    <w:rsid w:val="00515F3F"/>
    <w:rsid w:val="005176BE"/>
    <w:rsid w:val="005177F2"/>
    <w:rsid w:val="00517B02"/>
    <w:rsid w:val="00517FC3"/>
    <w:rsid w:val="00522C7D"/>
    <w:rsid w:val="00522C92"/>
    <w:rsid w:val="0052478F"/>
    <w:rsid w:val="00527F58"/>
    <w:rsid w:val="005319BB"/>
    <w:rsid w:val="00531AD9"/>
    <w:rsid w:val="00531D56"/>
    <w:rsid w:val="00532DAE"/>
    <w:rsid w:val="00535D30"/>
    <w:rsid w:val="005416CB"/>
    <w:rsid w:val="00541780"/>
    <w:rsid w:val="0055134A"/>
    <w:rsid w:val="00551883"/>
    <w:rsid w:val="005546EE"/>
    <w:rsid w:val="0055583C"/>
    <w:rsid w:val="00557AC4"/>
    <w:rsid w:val="00562402"/>
    <w:rsid w:val="005644DD"/>
    <w:rsid w:val="00565808"/>
    <w:rsid w:val="005701C1"/>
    <w:rsid w:val="00573AC8"/>
    <w:rsid w:val="00573C6B"/>
    <w:rsid w:val="00580CAB"/>
    <w:rsid w:val="00587BC3"/>
    <w:rsid w:val="005911AF"/>
    <w:rsid w:val="00591BFA"/>
    <w:rsid w:val="00592BE3"/>
    <w:rsid w:val="00595145"/>
    <w:rsid w:val="00595D4B"/>
    <w:rsid w:val="00595DFE"/>
    <w:rsid w:val="00595E5B"/>
    <w:rsid w:val="00595FA9"/>
    <w:rsid w:val="005972F1"/>
    <w:rsid w:val="005978E9"/>
    <w:rsid w:val="005A2621"/>
    <w:rsid w:val="005A3AF4"/>
    <w:rsid w:val="005A579E"/>
    <w:rsid w:val="005A6479"/>
    <w:rsid w:val="005A66A9"/>
    <w:rsid w:val="005A67A9"/>
    <w:rsid w:val="005C02C7"/>
    <w:rsid w:val="005C19CE"/>
    <w:rsid w:val="005C477C"/>
    <w:rsid w:val="005C4981"/>
    <w:rsid w:val="005C5E00"/>
    <w:rsid w:val="005C7242"/>
    <w:rsid w:val="005C7CAC"/>
    <w:rsid w:val="005D175D"/>
    <w:rsid w:val="005D69EA"/>
    <w:rsid w:val="005D7A1D"/>
    <w:rsid w:val="005E0171"/>
    <w:rsid w:val="005E22CE"/>
    <w:rsid w:val="005E2594"/>
    <w:rsid w:val="005E3D29"/>
    <w:rsid w:val="005E4699"/>
    <w:rsid w:val="005E6D6C"/>
    <w:rsid w:val="005F00D5"/>
    <w:rsid w:val="005F19CD"/>
    <w:rsid w:val="005F38BE"/>
    <w:rsid w:val="005F51A9"/>
    <w:rsid w:val="006017F4"/>
    <w:rsid w:val="0060533F"/>
    <w:rsid w:val="00605500"/>
    <w:rsid w:val="00607C0E"/>
    <w:rsid w:val="00611D33"/>
    <w:rsid w:val="00616E2B"/>
    <w:rsid w:val="00626467"/>
    <w:rsid w:val="006307A9"/>
    <w:rsid w:val="0063174C"/>
    <w:rsid w:val="006334CA"/>
    <w:rsid w:val="00633E5D"/>
    <w:rsid w:val="006409DB"/>
    <w:rsid w:val="00642A9E"/>
    <w:rsid w:val="00645026"/>
    <w:rsid w:val="00652A5D"/>
    <w:rsid w:val="00654B8A"/>
    <w:rsid w:val="00655746"/>
    <w:rsid w:val="006626C1"/>
    <w:rsid w:val="006678D3"/>
    <w:rsid w:val="006714FF"/>
    <w:rsid w:val="0067162A"/>
    <w:rsid w:val="00673AA4"/>
    <w:rsid w:val="00674DE8"/>
    <w:rsid w:val="00675F6F"/>
    <w:rsid w:val="0068276C"/>
    <w:rsid w:val="00684D75"/>
    <w:rsid w:val="00687538"/>
    <w:rsid w:val="0069487B"/>
    <w:rsid w:val="006A111A"/>
    <w:rsid w:val="006A326E"/>
    <w:rsid w:val="006A6E24"/>
    <w:rsid w:val="006B29B2"/>
    <w:rsid w:val="006B6070"/>
    <w:rsid w:val="006B6A96"/>
    <w:rsid w:val="006C1C39"/>
    <w:rsid w:val="006C20E0"/>
    <w:rsid w:val="006C37DB"/>
    <w:rsid w:val="006C5249"/>
    <w:rsid w:val="006C53D3"/>
    <w:rsid w:val="006C590C"/>
    <w:rsid w:val="006C6048"/>
    <w:rsid w:val="006D51A1"/>
    <w:rsid w:val="006D72BD"/>
    <w:rsid w:val="006E25DE"/>
    <w:rsid w:val="006E27FF"/>
    <w:rsid w:val="006E28CA"/>
    <w:rsid w:val="006E54C9"/>
    <w:rsid w:val="006E6640"/>
    <w:rsid w:val="006E6E41"/>
    <w:rsid w:val="006E7B09"/>
    <w:rsid w:val="006F0179"/>
    <w:rsid w:val="006F222E"/>
    <w:rsid w:val="0070186B"/>
    <w:rsid w:val="0070213D"/>
    <w:rsid w:val="00705995"/>
    <w:rsid w:val="00711534"/>
    <w:rsid w:val="007128B8"/>
    <w:rsid w:val="00712B29"/>
    <w:rsid w:val="007169BF"/>
    <w:rsid w:val="00717BD7"/>
    <w:rsid w:val="007200F0"/>
    <w:rsid w:val="007202F2"/>
    <w:rsid w:val="0072036B"/>
    <w:rsid w:val="00722904"/>
    <w:rsid w:val="00723556"/>
    <w:rsid w:val="00723B14"/>
    <w:rsid w:val="0072573F"/>
    <w:rsid w:val="00735E84"/>
    <w:rsid w:val="007366CD"/>
    <w:rsid w:val="007372F3"/>
    <w:rsid w:val="00741DA2"/>
    <w:rsid w:val="00742A61"/>
    <w:rsid w:val="00744A7D"/>
    <w:rsid w:val="007457C5"/>
    <w:rsid w:val="00745EBD"/>
    <w:rsid w:val="00746B94"/>
    <w:rsid w:val="00751AF9"/>
    <w:rsid w:val="00753CBF"/>
    <w:rsid w:val="007550B7"/>
    <w:rsid w:val="00756686"/>
    <w:rsid w:val="0075722F"/>
    <w:rsid w:val="0076088C"/>
    <w:rsid w:val="00761C83"/>
    <w:rsid w:val="00762633"/>
    <w:rsid w:val="00772B6F"/>
    <w:rsid w:val="007767D0"/>
    <w:rsid w:val="00777770"/>
    <w:rsid w:val="00777F2E"/>
    <w:rsid w:val="00783460"/>
    <w:rsid w:val="00787F77"/>
    <w:rsid w:val="0079033C"/>
    <w:rsid w:val="007924C4"/>
    <w:rsid w:val="00795567"/>
    <w:rsid w:val="00797933"/>
    <w:rsid w:val="007A223F"/>
    <w:rsid w:val="007A36E1"/>
    <w:rsid w:val="007A5ED9"/>
    <w:rsid w:val="007B4FE9"/>
    <w:rsid w:val="007C32D4"/>
    <w:rsid w:val="007C5339"/>
    <w:rsid w:val="007C69FE"/>
    <w:rsid w:val="007C705C"/>
    <w:rsid w:val="007C7A00"/>
    <w:rsid w:val="007D3B2D"/>
    <w:rsid w:val="007D4E35"/>
    <w:rsid w:val="007D5494"/>
    <w:rsid w:val="007E1409"/>
    <w:rsid w:val="007E1482"/>
    <w:rsid w:val="007E28D3"/>
    <w:rsid w:val="007F597B"/>
    <w:rsid w:val="007F6B28"/>
    <w:rsid w:val="007F70CB"/>
    <w:rsid w:val="007F715F"/>
    <w:rsid w:val="008025AC"/>
    <w:rsid w:val="00813204"/>
    <w:rsid w:val="00820870"/>
    <w:rsid w:val="0082269E"/>
    <w:rsid w:val="00827B61"/>
    <w:rsid w:val="00830E35"/>
    <w:rsid w:val="00830F5B"/>
    <w:rsid w:val="00832411"/>
    <w:rsid w:val="008448A0"/>
    <w:rsid w:val="00844B7C"/>
    <w:rsid w:val="00846B3D"/>
    <w:rsid w:val="00846F62"/>
    <w:rsid w:val="00850C0A"/>
    <w:rsid w:val="00852A00"/>
    <w:rsid w:val="00852C0D"/>
    <w:rsid w:val="00853FED"/>
    <w:rsid w:val="00862F55"/>
    <w:rsid w:val="00866407"/>
    <w:rsid w:val="00867BCD"/>
    <w:rsid w:val="00870EBE"/>
    <w:rsid w:val="00871088"/>
    <w:rsid w:val="00877094"/>
    <w:rsid w:val="00877EB6"/>
    <w:rsid w:val="00881BD1"/>
    <w:rsid w:val="00882101"/>
    <w:rsid w:val="008821E6"/>
    <w:rsid w:val="0088388E"/>
    <w:rsid w:val="008841BB"/>
    <w:rsid w:val="00885004"/>
    <w:rsid w:val="00886DE3"/>
    <w:rsid w:val="00893B44"/>
    <w:rsid w:val="0089630F"/>
    <w:rsid w:val="008967E9"/>
    <w:rsid w:val="00896F8F"/>
    <w:rsid w:val="00897FDC"/>
    <w:rsid w:val="008A14A3"/>
    <w:rsid w:val="008A2A60"/>
    <w:rsid w:val="008A7FB4"/>
    <w:rsid w:val="008B2C92"/>
    <w:rsid w:val="008B47FC"/>
    <w:rsid w:val="008B4BF0"/>
    <w:rsid w:val="008B5094"/>
    <w:rsid w:val="008B548D"/>
    <w:rsid w:val="008B54F7"/>
    <w:rsid w:val="008C011F"/>
    <w:rsid w:val="008C0E4C"/>
    <w:rsid w:val="008C24E4"/>
    <w:rsid w:val="008C28BE"/>
    <w:rsid w:val="008C5CE0"/>
    <w:rsid w:val="008D22A7"/>
    <w:rsid w:val="008D279E"/>
    <w:rsid w:val="008D4057"/>
    <w:rsid w:val="008E0592"/>
    <w:rsid w:val="008E2665"/>
    <w:rsid w:val="008E6C18"/>
    <w:rsid w:val="008F01DE"/>
    <w:rsid w:val="008F2DF9"/>
    <w:rsid w:val="008F566F"/>
    <w:rsid w:val="008F5BEA"/>
    <w:rsid w:val="008F6959"/>
    <w:rsid w:val="00905C74"/>
    <w:rsid w:val="00906E2B"/>
    <w:rsid w:val="00911BFC"/>
    <w:rsid w:val="00912E85"/>
    <w:rsid w:val="009146B2"/>
    <w:rsid w:val="00915D30"/>
    <w:rsid w:val="00916A7E"/>
    <w:rsid w:val="00917516"/>
    <w:rsid w:val="00920D7A"/>
    <w:rsid w:val="00922A2A"/>
    <w:rsid w:val="00923195"/>
    <w:rsid w:val="00934586"/>
    <w:rsid w:val="00936E64"/>
    <w:rsid w:val="00954BC0"/>
    <w:rsid w:val="00956AD0"/>
    <w:rsid w:val="00956D01"/>
    <w:rsid w:val="00957088"/>
    <w:rsid w:val="009625AB"/>
    <w:rsid w:val="00973223"/>
    <w:rsid w:val="009744EA"/>
    <w:rsid w:val="00976F0F"/>
    <w:rsid w:val="00980477"/>
    <w:rsid w:val="009840BB"/>
    <w:rsid w:val="009843D9"/>
    <w:rsid w:val="0098578A"/>
    <w:rsid w:val="00985954"/>
    <w:rsid w:val="00987B85"/>
    <w:rsid w:val="009936CA"/>
    <w:rsid w:val="00994EEA"/>
    <w:rsid w:val="009966A2"/>
    <w:rsid w:val="00996EDD"/>
    <w:rsid w:val="00997C08"/>
    <w:rsid w:val="009A2101"/>
    <w:rsid w:val="009A2E24"/>
    <w:rsid w:val="009A43BE"/>
    <w:rsid w:val="009A6A0D"/>
    <w:rsid w:val="009A6C08"/>
    <w:rsid w:val="009A714C"/>
    <w:rsid w:val="009B0245"/>
    <w:rsid w:val="009B0D3B"/>
    <w:rsid w:val="009C3061"/>
    <w:rsid w:val="009C3A54"/>
    <w:rsid w:val="009C3F39"/>
    <w:rsid w:val="009C5DE4"/>
    <w:rsid w:val="009C79E6"/>
    <w:rsid w:val="009D6606"/>
    <w:rsid w:val="009E6123"/>
    <w:rsid w:val="009E76D0"/>
    <w:rsid w:val="009F0F69"/>
    <w:rsid w:val="009F1AB0"/>
    <w:rsid w:val="009F494D"/>
    <w:rsid w:val="009F6AB4"/>
    <w:rsid w:val="009F7F93"/>
    <w:rsid w:val="00A01E5E"/>
    <w:rsid w:val="00A05167"/>
    <w:rsid w:val="00A07F48"/>
    <w:rsid w:val="00A121B9"/>
    <w:rsid w:val="00A13776"/>
    <w:rsid w:val="00A145E0"/>
    <w:rsid w:val="00A15CA0"/>
    <w:rsid w:val="00A25134"/>
    <w:rsid w:val="00A25AD0"/>
    <w:rsid w:val="00A26291"/>
    <w:rsid w:val="00A31280"/>
    <w:rsid w:val="00A31FA0"/>
    <w:rsid w:val="00A34839"/>
    <w:rsid w:val="00A414B9"/>
    <w:rsid w:val="00A42017"/>
    <w:rsid w:val="00A43522"/>
    <w:rsid w:val="00A50CE3"/>
    <w:rsid w:val="00A53B2E"/>
    <w:rsid w:val="00A53E78"/>
    <w:rsid w:val="00A56FCB"/>
    <w:rsid w:val="00A600BA"/>
    <w:rsid w:val="00A64304"/>
    <w:rsid w:val="00A64C45"/>
    <w:rsid w:val="00A64D8D"/>
    <w:rsid w:val="00A667DB"/>
    <w:rsid w:val="00A72585"/>
    <w:rsid w:val="00A75C78"/>
    <w:rsid w:val="00A77012"/>
    <w:rsid w:val="00A801E0"/>
    <w:rsid w:val="00A81B29"/>
    <w:rsid w:val="00A81B49"/>
    <w:rsid w:val="00A830AA"/>
    <w:rsid w:val="00A8371E"/>
    <w:rsid w:val="00A90867"/>
    <w:rsid w:val="00AA24FD"/>
    <w:rsid w:val="00AA49D8"/>
    <w:rsid w:val="00AA4CBC"/>
    <w:rsid w:val="00AA52F0"/>
    <w:rsid w:val="00AB064F"/>
    <w:rsid w:val="00AB07C9"/>
    <w:rsid w:val="00AB0A56"/>
    <w:rsid w:val="00AB3353"/>
    <w:rsid w:val="00AB376A"/>
    <w:rsid w:val="00AB37BB"/>
    <w:rsid w:val="00AB3AA4"/>
    <w:rsid w:val="00AC1AB4"/>
    <w:rsid w:val="00AC7A75"/>
    <w:rsid w:val="00AD443D"/>
    <w:rsid w:val="00AE4374"/>
    <w:rsid w:val="00AE492B"/>
    <w:rsid w:val="00AE57EF"/>
    <w:rsid w:val="00AE6D12"/>
    <w:rsid w:val="00AF4972"/>
    <w:rsid w:val="00AF59A9"/>
    <w:rsid w:val="00AF5A25"/>
    <w:rsid w:val="00B004F0"/>
    <w:rsid w:val="00B13CC8"/>
    <w:rsid w:val="00B15779"/>
    <w:rsid w:val="00B16AE7"/>
    <w:rsid w:val="00B17D87"/>
    <w:rsid w:val="00B17EF9"/>
    <w:rsid w:val="00B201E6"/>
    <w:rsid w:val="00B214CF"/>
    <w:rsid w:val="00B240D9"/>
    <w:rsid w:val="00B24B84"/>
    <w:rsid w:val="00B2741A"/>
    <w:rsid w:val="00B325D9"/>
    <w:rsid w:val="00B34644"/>
    <w:rsid w:val="00B363E2"/>
    <w:rsid w:val="00B414C3"/>
    <w:rsid w:val="00B4200A"/>
    <w:rsid w:val="00B424D0"/>
    <w:rsid w:val="00B424E0"/>
    <w:rsid w:val="00B42632"/>
    <w:rsid w:val="00B45043"/>
    <w:rsid w:val="00B45E22"/>
    <w:rsid w:val="00B52BE1"/>
    <w:rsid w:val="00B6196A"/>
    <w:rsid w:val="00B6457F"/>
    <w:rsid w:val="00B65B45"/>
    <w:rsid w:val="00B70402"/>
    <w:rsid w:val="00B743FA"/>
    <w:rsid w:val="00B75BEA"/>
    <w:rsid w:val="00B77A68"/>
    <w:rsid w:val="00B77ED1"/>
    <w:rsid w:val="00B802A1"/>
    <w:rsid w:val="00B8071F"/>
    <w:rsid w:val="00B847F6"/>
    <w:rsid w:val="00B84D92"/>
    <w:rsid w:val="00B85A5B"/>
    <w:rsid w:val="00B91652"/>
    <w:rsid w:val="00B962C5"/>
    <w:rsid w:val="00B96CA7"/>
    <w:rsid w:val="00BA48E2"/>
    <w:rsid w:val="00BA71F9"/>
    <w:rsid w:val="00BB1210"/>
    <w:rsid w:val="00BB18B6"/>
    <w:rsid w:val="00BB22C6"/>
    <w:rsid w:val="00BB60AB"/>
    <w:rsid w:val="00BC4A61"/>
    <w:rsid w:val="00BC50D6"/>
    <w:rsid w:val="00BC61C4"/>
    <w:rsid w:val="00BD3520"/>
    <w:rsid w:val="00BD3CC9"/>
    <w:rsid w:val="00BD5173"/>
    <w:rsid w:val="00BD6AA9"/>
    <w:rsid w:val="00BD6E07"/>
    <w:rsid w:val="00BE251D"/>
    <w:rsid w:val="00BE2BD7"/>
    <w:rsid w:val="00BE474A"/>
    <w:rsid w:val="00BE6141"/>
    <w:rsid w:val="00BE6213"/>
    <w:rsid w:val="00BE6716"/>
    <w:rsid w:val="00BE6D5E"/>
    <w:rsid w:val="00BE752D"/>
    <w:rsid w:val="00BF1121"/>
    <w:rsid w:val="00BF2865"/>
    <w:rsid w:val="00BF7503"/>
    <w:rsid w:val="00BF762A"/>
    <w:rsid w:val="00C033FA"/>
    <w:rsid w:val="00C050BC"/>
    <w:rsid w:val="00C0617E"/>
    <w:rsid w:val="00C06EF6"/>
    <w:rsid w:val="00C07D27"/>
    <w:rsid w:val="00C10F27"/>
    <w:rsid w:val="00C1144F"/>
    <w:rsid w:val="00C131A1"/>
    <w:rsid w:val="00C14482"/>
    <w:rsid w:val="00C16E47"/>
    <w:rsid w:val="00C17A3C"/>
    <w:rsid w:val="00C231BF"/>
    <w:rsid w:val="00C245DA"/>
    <w:rsid w:val="00C25A86"/>
    <w:rsid w:val="00C340E7"/>
    <w:rsid w:val="00C344B3"/>
    <w:rsid w:val="00C349F8"/>
    <w:rsid w:val="00C37879"/>
    <w:rsid w:val="00C409BE"/>
    <w:rsid w:val="00C42A83"/>
    <w:rsid w:val="00C46C9F"/>
    <w:rsid w:val="00C50C25"/>
    <w:rsid w:val="00C52424"/>
    <w:rsid w:val="00C5291C"/>
    <w:rsid w:val="00C53250"/>
    <w:rsid w:val="00C5328C"/>
    <w:rsid w:val="00C53CDB"/>
    <w:rsid w:val="00C540B4"/>
    <w:rsid w:val="00C5625A"/>
    <w:rsid w:val="00C578BE"/>
    <w:rsid w:val="00C57BFB"/>
    <w:rsid w:val="00C60939"/>
    <w:rsid w:val="00C614CA"/>
    <w:rsid w:val="00C61999"/>
    <w:rsid w:val="00C62162"/>
    <w:rsid w:val="00C621A7"/>
    <w:rsid w:val="00C62C99"/>
    <w:rsid w:val="00C6528C"/>
    <w:rsid w:val="00C82D3C"/>
    <w:rsid w:val="00C82DC8"/>
    <w:rsid w:val="00C83C2F"/>
    <w:rsid w:val="00C90871"/>
    <w:rsid w:val="00C96382"/>
    <w:rsid w:val="00C974EE"/>
    <w:rsid w:val="00CA22FD"/>
    <w:rsid w:val="00CB1EF0"/>
    <w:rsid w:val="00CB20D0"/>
    <w:rsid w:val="00CB32E4"/>
    <w:rsid w:val="00CB3A73"/>
    <w:rsid w:val="00CB4360"/>
    <w:rsid w:val="00CB56B0"/>
    <w:rsid w:val="00CB5DFF"/>
    <w:rsid w:val="00CB71FF"/>
    <w:rsid w:val="00CC602B"/>
    <w:rsid w:val="00CC63E7"/>
    <w:rsid w:val="00CC7F22"/>
    <w:rsid w:val="00CD061D"/>
    <w:rsid w:val="00CD10B2"/>
    <w:rsid w:val="00CD1A74"/>
    <w:rsid w:val="00CD469B"/>
    <w:rsid w:val="00CD4FF2"/>
    <w:rsid w:val="00CD53DA"/>
    <w:rsid w:val="00CE0571"/>
    <w:rsid w:val="00CE24AD"/>
    <w:rsid w:val="00CE631E"/>
    <w:rsid w:val="00CF1B8C"/>
    <w:rsid w:val="00CF37A0"/>
    <w:rsid w:val="00CF469D"/>
    <w:rsid w:val="00D01D27"/>
    <w:rsid w:val="00D069A4"/>
    <w:rsid w:val="00D06DB2"/>
    <w:rsid w:val="00D06F5E"/>
    <w:rsid w:val="00D123EF"/>
    <w:rsid w:val="00D12A8D"/>
    <w:rsid w:val="00D13873"/>
    <w:rsid w:val="00D14521"/>
    <w:rsid w:val="00D200DA"/>
    <w:rsid w:val="00D23053"/>
    <w:rsid w:val="00D24E86"/>
    <w:rsid w:val="00D27C5F"/>
    <w:rsid w:val="00D27F19"/>
    <w:rsid w:val="00D309ED"/>
    <w:rsid w:val="00D31042"/>
    <w:rsid w:val="00D32B3B"/>
    <w:rsid w:val="00D34904"/>
    <w:rsid w:val="00D37279"/>
    <w:rsid w:val="00D4008B"/>
    <w:rsid w:val="00D4032B"/>
    <w:rsid w:val="00D441A2"/>
    <w:rsid w:val="00D455FD"/>
    <w:rsid w:val="00D50F99"/>
    <w:rsid w:val="00D54257"/>
    <w:rsid w:val="00D61A8B"/>
    <w:rsid w:val="00D701B5"/>
    <w:rsid w:val="00D749A2"/>
    <w:rsid w:val="00D75736"/>
    <w:rsid w:val="00D75A17"/>
    <w:rsid w:val="00D77AD9"/>
    <w:rsid w:val="00D80EB7"/>
    <w:rsid w:val="00D81E94"/>
    <w:rsid w:val="00D84555"/>
    <w:rsid w:val="00D8565C"/>
    <w:rsid w:val="00D87647"/>
    <w:rsid w:val="00D87C54"/>
    <w:rsid w:val="00D92AD9"/>
    <w:rsid w:val="00D93E55"/>
    <w:rsid w:val="00D95D89"/>
    <w:rsid w:val="00D96A20"/>
    <w:rsid w:val="00D9776C"/>
    <w:rsid w:val="00D978ED"/>
    <w:rsid w:val="00D97B71"/>
    <w:rsid w:val="00D97BB3"/>
    <w:rsid w:val="00DA1F58"/>
    <w:rsid w:val="00DA322B"/>
    <w:rsid w:val="00DA3CDD"/>
    <w:rsid w:val="00DA3EC0"/>
    <w:rsid w:val="00DA56D5"/>
    <w:rsid w:val="00DA6059"/>
    <w:rsid w:val="00DB17B9"/>
    <w:rsid w:val="00DB765E"/>
    <w:rsid w:val="00DC0B99"/>
    <w:rsid w:val="00DC712D"/>
    <w:rsid w:val="00DC7CD7"/>
    <w:rsid w:val="00DD1830"/>
    <w:rsid w:val="00DD1F8F"/>
    <w:rsid w:val="00DD3047"/>
    <w:rsid w:val="00DD3C29"/>
    <w:rsid w:val="00DE28E6"/>
    <w:rsid w:val="00DE2DD4"/>
    <w:rsid w:val="00DE35DD"/>
    <w:rsid w:val="00DE4647"/>
    <w:rsid w:val="00DE4D70"/>
    <w:rsid w:val="00DE56BA"/>
    <w:rsid w:val="00DE712C"/>
    <w:rsid w:val="00DF2358"/>
    <w:rsid w:val="00DF2A28"/>
    <w:rsid w:val="00DF2DCE"/>
    <w:rsid w:val="00DF3A53"/>
    <w:rsid w:val="00DF3D51"/>
    <w:rsid w:val="00E00390"/>
    <w:rsid w:val="00E0067E"/>
    <w:rsid w:val="00E00748"/>
    <w:rsid w:val="00E019C0"/>
    <w:rsid w:val="00E06F1F"/>
    <w:rsid w:val="00E10C68"/>
    <w:rsid w:val="00E13E28"/>
    <w:rsid w:val="00E1401A"/>
    <w:rsid w:val="00E24A90"/>
    <w:rsid w:val="00E26BC4"/>
    <w:rsid w:val="00E32725"/>
    <w:rsid w:val="00E32CF6"/>
    <w:rsid w:val="00E345C2"/>
    <w:rsid w:val="00E407CE"/>
    <w:rsid w:val="00E40E91"/>
    <w:rsid w:val="00E47787"/>
    <w:rsid w:val="00E513D2"/>
    <w:rsid w:val="00E51913"/>
    <w:rsid w:val="00E52AB8"/>
    <w:rsid w:val="00E539D3"/>
    <w:rsid w:val="00E551B0"/>
    <w:rsid w:val="00E55234"/>
    <w:rsid w:val="00E55655"/>
    <w:rsid w:val="00E557FE"/>
    <w:rsid w:val="00E56300"/>
    <w:rsid w:val="00E56EC9"/>
    <w:rsid w:val="00E620C3"/>
    <w:rsid w:val="00E62182"/>
    <w:rsid w:val="00E64B2A"/>
    <w:rsid w:val="00E65019"/>
    <w:rsid w:val="00E65C36"/>
    <w:rsid w:val="00E7045B"/>
    <w:rsid w:val="00E76010"/>
    <w:rsid w:val="00E80CC9"/>
    <w:rsid w:val="00E81FAB"/>
    <w:rsid w:val="00E83104"/>
    <w:rsid w:val="00E8390F"/>
    <w:rsid w:val="00E84196"/>
    <w:rsid w:val="00E844D5"/>
    <w:rsid w:val="00E85634"/>
    <w:rsid w:val="00E95167"/>
    <w:rsid w:val="00EA2B72"/>
    <w:rsid w:val="00EA4D44"/>
    <w:rsid w:val="00EB59BF"/>
    <w:rsid w:val="00EC0C8F"/>
    <w:rsid w:val="00EC0E08"/>
    <w:rsid w:val="00EC2246"/>
    <w:rsid w:val="00EC51F7"/>
    <w:rsid w:val="00ED04E1"/>
    <w:rsid w:val="00ED0C6D"/>
    <w:rsid w:val="00ED103E"/>
    <w:rsid w:val="00ED169B"/>
    <w:rsid w:val="00ED2D09"/>
    <w:rsid w:val="00ED2D0E"/>
    <w:rsid w:val="00ED3225"/>
    <w:rsid w:val="00ED5104"/>
    <w:rsid w:val="00ED523F"/>
    <w:rsid w:val="00EE102C"/>
    <w:rsid w:val="00EE4012"/>
    <w:rsid w:val="00EE6013"/>
    <w:rsid w:val="00EE7C64"/>
    <w:rsid w:val="00EF2CA5"/>
    <w:rsid w:val="00EF4D4D"/>
    <w:rsid w:val="00EF5B87"/>
    <w:rsid w:val="00F02C87"/>
    <w:rsid w:val="00F03230"/>
    <w:rsid w:val="00F0680A"/>
    <w:rsid w:val="00F0782F"/>
    <w:rsid w:val="00F10F00"/>
    <w:rsid w:val="00F141A2"/>
    <w:rsid w:val="00F1780C"/>
    <w:rsid w:val="00F227C8"/>
    <w:rsid w:val="00F23772"/>
    <w:rsid w:val="00F259CF"/>
    <w:rsid w:val="00F269C4"/>
    <w:rsid w:val="00F31569"/>
    <w:rsid w:val="00F31B9A"/>
    <w:rsid w:val="00F3548E"/>
    <w:rsid w:val="00F355FD"/>
    <w:rsid w:val="00F36127"/>
    <w:rsid w:val="00F40ED6"/>
    <w:rsid w:val="00F4202F"/>
    <w:rsid w:val="00F4390F"/>
    <w:rsid w:val="00F44065"/>
    <w:rsid w:val="00F45242"/>
    <w:rsid w:val="00F462E5"/>
    <w:rsid w:val="00F476B4"/>
    <w:rsid w:val="00F47C55"/>
    <w:rsid w:val="00F55295"/>
    <w:rsid w:val="00F61409"/>
    <w:rsid w:val="00F6238C"/>
    <w:rsid w:val="00F6405E"/>
    <w:rsid w:val="00F641DC"/>
    <w:rsid w:val="00F66364"/>
    <w:rsid w:val="00F667F2"/>
    <w:rsid w:val="00F6681A"/>
    <w:rsid w:val="00F72144"/>
    <w:rsid w:val="00F7360B"/>
    <w:rsid w:val="00F75BA6"/>
    <w:rsid w:val="00F76EA6"/>
    <w:rsid w:val="00F76F75"/>
    <w:rsid w:val="00F77946"/>
    <w:rsid w:val="00F77987"/>
    <w:rsid w:val="00F801C0"/>
    <w:rsid w:val="00F80676"/>
    <w:rsid w:val="00F81474"/>
    <w:rsid w:val="00F81874"/>
    <w:rsid w:val="00F844B0"/>
    <w:rsid w:val="00F85577"/>
    <w:rsid w:val="00F86DAC"/>
    <w:rsid w:val="00F9057F"/>
    <w:rsid w:val="00F906CC"/>
    <w:rsid w:val="00F91D7B"/>
    <w:rsid w:val="00F9330D"/>
    <w:rsid w:val="00F93FF5"/>
    <w:rsid w:val="00F97116"/>
    <w:rsid w:val="00F97CEF"/>
    <w:rsid w:val="00F97D1A"/>
    <w:rsid w:val="00FA63BF"/>
    <w:rsid w:val="00FB1A82"/>
    <w:rsid w:val="00FC41CB"/>
    <w:rsid w:val="00FC6CFA"/>
    <w:rsid w:val="00FD32AF"/>
    <w:rsid w:val="00FD610B"/>
    <w:rsid w:val="00FD68CF"/>
    <w:rsid w:val="00FE2E75"/>
    <w:rsid w:val="00FE55D7"/>
    <w:rsid w:val="00FE57C6"/>
    <w:rsid w:val="00FE6F6C"/>
    <w:rsid w:val="00FF49BD"/>
    <w:rsid w:val="00FF4CBC"/>
    <w:rsid w:val="00FF7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EBCB6FD"/>
  <w15:chartTrackingRefBased/>
  <w15:docId w15:val="{1E7F9449-D59E-4E13-9381-A51DE5FD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A801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801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qFormat/>
    <w:rsid w:val="00B214CF"/>
    <w:pPr>
      <w:spacing w:before="240" w:after="60" w:line="240" w:lineRule="auto"/>
      <w:outlineLvl w:val="4"/>
    </w:pPr>
    <w:rPr>
      <w:rFonts w:ascii="Arial" w:eastAsia="Times New Roman" w:hAnsi="Arial"/>
      <w:b/>
      <w:bCs/>
      <w:i/>
      <w:i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1013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013E2"/>
    <w:rPr>
      <w:rFonts w:ascii="Tahoma" w:hAnsi="Tahoma" w:cs="Tahoma"/>
      <w:sz w:val="16"/>
      <w:szCs w:val="16"/>
      <w:lang w:val="es-MX" w:eastAsia="en-US"/>
    </w:rPr>
  </w:style>
  <w:style w:type="character" w:customStyle="1" w:styleId="Ttulo5Car">
    <w:name w:val="Título 5 Car"/>
    <w:link w:val="Ttulo5"/>
    <w:rsid w:val="00B214CF"/>
    <w:rPr>
      <w:rFonts w:ascii="Arial" w:eastAsia="Times New Roman" w:hAnsi="Arial"/>
      <w:b/>
      <w:bCs/>
      <w:i/>
      <w:iCs/>
      <w:sz w:val="26"/>
      <w:szCs w:val="26"/>
      <w:lang w:val="es-ES" w:eastAsia="es-ES"/>
    </w:rPr>
  </w:style>
  <w:style w:type="paragraph" w:styleId="Sangradetextonormal">
    <w:name w:val="Body Text Indent"/>
    <w:basedOn w:val="Normal"/>
    <w:link w:val="SangradetextonormalCar"/>
    <w:rsid w:val="00B214CF"/>
    <w:pPr>
      <w:spacing w:after="0" w:line="240" w:lineRule="auto"/>
      <w:ind w:left="3540"/>
    </w:pPr>
    <w:rPr>
      <w:rFonts w:ascii="Arial" w:eastAsia="Times New Roman" w:hAnsi="Arial"/>
      <w:b/>
      <w:sz w:val="28"/>
      <w:szCs w:val="20"/>
      <w:lang w:eastAsia="es-ES"/>
    </w:rPr>
  </w:style>
  <w:style w:type="character" w:customStyle="1" w:styleId="SangradetextonormalCar">
    <w:name w:val="Sangría de texto normal Car"/>
    <w:link w:val="Sangradetextonormal"/>
    <w:rsid w:val="00B214CF"/>
    <w:rPr>
      <w:rFonts w:ascii="Arial" w:eastAsia="Times New Roman" w:hAnsi="Arial"/>
      <w:b/>
      <w:sz w:val="28"/>
      <w:lang w:eastAsia="es-ES"/>
    </w:rPr>
  </w:style>
  <w:style w:type="paragraph" w:styleId="Prrafodelista">
    <w:name w:val="List Paragraph"/>
    <w:basedOn w:val="Normal"/>
    <w:link w:val="PrrafodelistaCar"/>
    <w:uiPriority w:val="34"/>
    <w:qFormat/>
    <w:rsid w:val="00B214CF"/>
    <w:pPr>
      <w:spacing w:after="0" w:line="240" w:lineRule="auto"/>
      <w:ind w:left="708"/>
    </w:pPr>
    <w:rPr>
      <w:rFonts w:ascii="Arial" w:eastAsia="Times New Roman" w:hAnsi="Arial"/>
      <w:sz w:val="24"/>
      <w:szCs w:val="20"/>
      <w:lang w:val="es-ES" w:eastAsia="es-ES"/>
    </w:rPr>
  </w:style>
  <w:style w:type="table" w:styleId="Tablaconcuadrcula">
    <w:name w:val="Table Grid"/>
    <w:basedOn w:val="Tablanormal"/>
    <w:rsid w:val="00AA4C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448A0"/>
    <w:rPr>
      <w:color w:val="0000FF"/>
      <w:u w:val="single"/>
    </w:rPr>
  </w:style>
  <w:style w:type="character" w:styleId="Nmerodepgina">
    <w:name w:val="page number"/>
    <w:basedOn w:val="Fuentedeprrafopredeter"/>
    <w:rsid w:val="00C62162"/>
  </w:style>
  <w:style w:type="character" w:customStyle="1" w:styleId="PrrafodelistaCar">
    <w:name w:val="Párrafo de lista Car"/>
    <w:link w:val="Prrafodelista"/>
    <w:uiPriority w:val="34"/>
    <w:locked/>
    <w:rsid w:val="00976F0F"/>
    <w:rPr>
      <w:rFonts w:ascii="Arial" w:eastAsia="Times New Roman" w:hAnsi="Arial"/>
      <w:sz w:val="24"/>
      <w:lang w:val="es-ES" w:eastAsia="es-ES"/>
    </w:rPr>
  </w:style>
  <w:style w:type="character" w:styleId="Refdecomentario">
    <w:name w:val="annotation reference"/>
    <w:basedOn w:val="Fuentedeprrafopredeter"/>
    <w:uiPriority w:val="99"/>
    <w:semiHidden/>
    <w:unhideWhenUsed/>
    <w:rsid w:val="003216AF"/>
    <w:rPr>
      <w:sz w:val="16"/>
      <w:szCs w:val="16"/>
    </w:rPr>
  </w:style>
  <w:style w:type="paragraph" w:styleId="Textocomentario">
    <w:name w:val="annotation text"/>
    <w:basedOn w:val="Normal"/>
    <w:link w:val="TextocomentarioCar"/>
    <w:uiPriority w:val="99"/>
    <w:unhideWhenUsed/>
    <w:rsid w:val="003216AF"/>
    <w:pPr>
      <w:spacing w:line="240" w:lineRule="auto"/>
    </w:pPr>
    <w:rPr>
      <w:sz w:val="20"/>
      <w:szCs w:val="20"/>
    </w:rPr>
  </w:style>
  <w:style w:type="character" w:customStyle="1" w:styleId="TextocomentarioCar">
    <w:name w:val="Texto comentario Car"/>
    <w:basedOn w:val="Fuentedeprrafopredeter"/>
    <w:link w:val="Textocomentario"/>
    <w:uiPriority w:val="99"/>
    <w:rsid w:val="003216AF"/>
    <w:rPr>
      <w:lang w:eastAsia="en-US"/>
    </w:rPr>
  </w:style>
  <w:style w:type="paragraph" w:styleId="Asuntodelcomentario">
    <w:name w:val="annotation subject"/>
    <w:basedOn w:val="Textocomentario"/>
    <w:next w:val="Textocomentario"/>
    <w:link w:val="AsuntodelcomentarioCar"/>
    <w:uiPriority w:val="99"/>
    <w:semiHidden/>
    <w:unhideWhenUsed/>
    <w:rsid w:val="003216AF"/>
    <w:rPr>
      <w:b/>
      <w:bCs/>
    </w:rPr>
  </w:style>
  <w:style w:type="character" w:customStyle="1" w:styleId="AsuntodelcomentarioCar">
    <w:name w:val="Asunto del comentario Car"/>
    <w:basedOn w:val="TextocomentarioCar"/>
    <w:link w:val="Asuntodelcomentario"/>
    <w:uiPriority w:val="99"/>
    <w:semiHidden/>
    <w:rsid w:val="003216AF"/>
    <w:rPr>
      <w:b/>
      <w:bCs/>
      <w:lang w:eastAsia="en-US"/>
    </w:rPr>
  </w:style>
  <w:style w:type="character" w:styleId="Hipervnculovisitado">
    <w:name w:val="FollowedHyperlink"/>
    <w:basedOn w:val="Fuentedeprrafopredeter"/>
    <w:uiPriority w:val="99"/>
    <w:semiHidden/>
    <w:unhideWhenUsed/>
    <w:rsid w:val="004B22BF"/>
    <w:rPr>
      <w:color w:val="954F72" w:themeColor="followedHyperlink"/>
      <w:u w:val="single"/>
    </w:rPr>
  </w:style>
  <w:style w:type="paragraph" w:styleId="Revisin">
    <w:name w:val="Revision"/>
    <w:hidden/>
    <w:uiPriority w:val="99"/>
    <w:semiHidden/>
    <w:rsid w:val="008B2C92"/>
    <w:rPr>
      <w:sz w:val="22"/>
      <w:szCs w:val="22"/>
      <w:lang w:eastAsia="en-US"/>
    </w:rPr>
  </w:style>
  <w:style w:type="table" w:customStyle="1" w:styleId="Tabladecuadrcula4-nfasis61">
    <w:name w:val="Tabla de cuadrícula 4 - Énfasis 61"/>
    <w:basedOn w:val="Tablanormal"/>
    <w:next w:val="Tabladecuadrcula4-nfasis6"/>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A801E0"/>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A801E0"/>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10904">
      <w:bodyDiv w:val="1"/>
      <w:marLeft w:val="0"/>
      <w:marRight w:val="0"/>
      <w:marTop w:val="0"/>
      <w:marBottom w:val="0"/>
      <w:divBdr>
        <w:top w:val="none" w:sz="0" w:space="0" w:color="auto"/>
        <w:left w:val="none" w:sz="0" w:space="0" w:color="auto"/>
        <w:bottom w:val="none" w:sz="0" w:space="0" w:color="auto"/>
        <w:right w:val="none" w:sz="0" w:space="0" w:color="auto"/>
      </w:divBdr>
    </w:div>
    <w:div w:id="1014453237">
      <w:bodyDiv w:val="1"/>
      <w:marLeft w:val="0"/>
      <w:marRight w:val="0"/>
      <w:marTop w:val="0"/>
      <w:marBottom w:val="0"/>
      <w:divBdr>
        <w:top w:val="none" w:sz="0" w:space="0" w:color="auto"/>
        <w:left w:val="none" w:sz="0" w:space="0" w:color="auto"/>
        <w:bottom w:val="none" w:sz="0" w:space="0" w:color="auto"/>
        <w:right w:val="none" w:sz="0" w:space="0" w:color="auto"/>
      </w:divBdr>
    </w:div>
    <w:div w:id="1507095134">
      <w:bodyDiv w:val="1"/>
      <w:marLeft w:val="0"/>
      <w:marRight w:val="0"/>
      <w:marTop w:val="0"/>
      <w:marBottom w:val="0"/>
      <w:divBdr>
        <w:top w:val="none" w:sz="0" w:space="0" w:color="auto"/>
        <w:left w:val="none" w:sz="0" w:space="0" w:color="auto"/>
        <w:bottom w:val="none" w:sz="0" w:space="0" w:color="auto"/>
        <w:right w:val="none" w:sz="0" w:space="0" w:color="auto"/>
      </w:divBdr>
    </w:div>
    <w:div w:id="1547138094">
      <w:bodyDiv w:val="1"/>
      <w:marLeft w:val="0"/>
      <w:marRight w:val="0"/>
      <w:marTop w:val="0"/>
      <w:marBottom w:val="0"/>
      <w:divBdr>
        <w:top w:val="none" w:sz="0" w:space="0" w:color="auto"/>
        <w:left w:val="none" w:sz="0" w:space="0" w:color="auto"/>
        <w:bottom w:val="none" w:sz="0" w:space="0" w:color="auto"/>
        <w:right w:val="none" w:sz="0" w:space="0" w:color="auto"/>
      </w:divBdr>
    </w:div>
    <w:div w:id="1767074316">
      <w:bodyDiv w:val="1"/>
      <w:marLeft w:val="0"/>
      <w:marRight w:val="0"/>
      <w:marTop w:val="0"/>
      <w:marBottom w:val="0"/>
      <w:divBdr>
        <w:top w:val="none" w:sz="0" w:space="0" w:color="auto"/>
        <w:left w:val="none" w:sz="0" w:space="0" w:color="auto"/>
        <w:bottom w:val="none" w:sz="0" w:space="0" w:color="auto"/>
        <w:right w:val="none" w:sz="0" w:space="0" w:color="auto"/>
      </w:divBdr>
    </w:div>
    <w:div w:id="1773354356">
      <w:bodyDiv w:val="1"/>
      <w:marLeft w:val="0"/>
      <w:marRight w:val="0"/>
      <w:marTop w:val="0"/>
      <w:marBottom w:val="0"/>
      <w:divBdr>
        <w:top w:val="none" w:sz="0" w:space="0" w:color="auto"/>
        <w:left w:val="none" w:sz="0" w:space="0" w:color="auto"/>
        <w:bottom w:val="none" w:sz="0" w:space="0" w:color="auto"/>
        <w:right w:val="none" w:sz="0" w:space="0" w:color="auto"/>
      </w:divBdr>
    </w:div>
    <w:div w:id="178337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F9B726321B4A3448B30A47EA8E28E9E" ma:contentTypeVersion="0" ma:contentTypeDescription="Crear nuevo documento." ma:contentTypeScope="" ma:versionID="851f5ed8c775fa9975fc8daba841f4b5">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FA5AB-D5C4-44AC-BAF5-87ECDD6C54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E10C47-5676-4E6D-B1B3-C7702EF220C0}">
  <ds:schemaRefs>
    <ds:schemaRef ds:uri="http://schemas.microsoft.com/sharepoint/v3/contenttype/forms"/>
  </ds:schemaRefs>
</ds:datastoreItem>
</file>

<file path=customXml/itemProps3.xml><?xml version="1.0" encoding="utf-8"?>
<ds:datastoreItem xmlns:ds="http://schemas.openxmlformats.org/officeDocument/2006/customXml" ds:itemID="{D33381A4-9552-4A42-8F06-9DAA14666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B91CDCC-9732-4035-AB37-A3D4FD59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3448</Words>
  <Characters>18970</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UNIDAD DE SERVICIOS A LA INDUSTRIA</vt:lpstr>
    </vt:vector>
  </TitlesOfParts>
  <Company/>
  <LinksUpToDate>false</LinksUpToDate>
  <CharactersWithSpaces>22374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SERVICIOS A LA INDUSTRIA</dc:title>
  <dc:subject/>
  <dc:creator>Vicente Alejandro Patiño Ascencio</dc:creator>
  <cp:keywords/>
  <cp:lastModifiedBy>Maria del Consuelo Gonzalez Moreno</cp:lastModifiedBy>
  <cp:revision>7</cp:revision>
  <cp:lastPrinted>2016-06-13T22:21:00Z</cp:lastPrinted>
  <dcterms:created xsi:type="dcterms:W3CDTF">2016-08-05T15:59:00Z</dcterms:created>
  <dcterms:modified xsi:type="dcterms:W3CDTF">2016-12-29T23:27:00Z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0x0101001F9B726321B4A3448B30A47EA8E28E9E</vt:lpwstr>
  </property>
</Properties>
</file>