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D2" w:rsidRPr="00B613DB" w:rsidRDefault="00394255" w:rsidP="001975D2">
      <w:pPr>
        <w:pStyle w:val="Ttulo1"/>
        <w:jc w:val="both"/>
        <w:rPr>
          <w:rFonts w:ascii="ITC Avant Garde" w:hAnsi="ITC Avant Garde"/>
          <w:bCs/>
          <w:lang w:eastAsia="es-ES"/>
        </w:rPr>
      </w:pPr>
      <w:bookmarkStart w:id="0" w:name="_GoBack"/>
      <w:r w:rsidRPr="00B613DB">
        <w:rPr>
          <w:rFonts w:ascii="ITC Avant Garde" w:hAnsi="ITC Avant Garde"/>
          <w:bCs/>
          <w:lang w:val="es-ES" w:eastAsia="es-ES"/>
        </w:rPr>
        <w:t>RESOLUCIÓN MEDIANTE LA CUAL EL PLENO DEL INSTITUTO FEDERAL DE TELECOMUNICACIONES</w:t>
      </w:r>
      <w:r w:rsidR="00CD0C73" w:rsidRPr="00B613DB">
        <w:rPr>
          <w:rFonts w:ascii="ITC Avant Garde" w:hAnsi="ITC Avant Garde"/>
          <w:bCs/>
          <w:lang w:val="es-ES" w:eastAsia="es-ES"/>
        </w:rPr>
        <w:t xml:space="preserve"> </w:t>
      </w:r>
      <w:r w:rsidR="00CD0C73" w:rsidRPr="00B613DB">
        <w:rPr>
          <w:rFonts w:ascii="ITC Avant Garde" w:hAnsi="ITC Avant Garde"/>
        </w:rPr>
        <w:t>MODIFICA LA “RESOLUCIÓN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 EMITIDA MEDIANTE ACUERDO P/IFT/120815/372</w:t>
      </w:r>
      <w:r w:rsidR="00985084" w:rsidRPr="00B613DB">
        <w:rPr>
          <w:rFonts w:ascii="ITC Avant Garde" w:hAnsi="ITC Avant Garde"/>
        </w:rPr>
        <w:t xml:space="preserve">, Y DESINCORPORA DE LA </w:t>
      </w:r>
      <w:r w:rsidR="00A15627" w:rsidRPr="00B613DB">
        <w:rPr>
          <w:rFonts w:ascii="ITC Avant Garde" w:hAnsi="ITC Avant Garde"/>
        </w:rPr>
        <w:t xml:space="preserve">ESFERA </w:t>
      </w:r>
      <w:r w:rsidR="00985084" w:rsidRPr="00B613DB">
        <w:rPr>
          <w:rFonts w:ascii="ITC Avant Garde" w:hAnsi="ITC Avant Garde"/>
        </w:rPr>
        <w:t xml:space="preserve">JURÍDICA DE RADIOMÓVIL DIPSA, S.A. DE C.V. EL TERCER PÁRRAFO DEL ACUERDO PRIMERO DEL ACUERDO </w:t>
      </w:r>
      <w:r w:rsidR="00D73CAE" w:rsidRPr="00B613DB">
        <w:rPr>
          <w:rFonts w:ascii="ITC Avant Garde" w:hAnsi="ITC Avant Garde"/>
        </w:rPr>
        <w:t>P/IFT/EXT/181214/279,</w:t>
      </w:r>
      <w:r w:rsidR="00CD0C73" w:rsidRPr="00B613DB">
        <w:rPr>
          <w:rFonts w:ascii="ITC Avant Garde" w:hAnsi="ITC Avant Garde"/>
        </w:rPr>
        <w:t xml:space="preserve"> EN CUMPLIMIENTO A LA EJECUTORIA DE FECHA 21 DE JUNIO DE 2017 DE LA SEGUNDA SALA DE LA SUPREMA CORTE DE JUSTICIA DE LA NACIÓN CORRESPONDIENTE AL AMPARO EN REVISIÓN 329/2016</w:t>
      </w:r>
      <w:r w:rsidR="00A810F3" w:rsidRPr="00B613DB">
        <w:rPr>
          <w:rFonts w:ascii="ITC Avant Garde" w:hAnsi="ITC Avant Garde"/>
        </w:rPr>
        <w:t>.</w:t>
      </w:r>
    </w:p>
    <w:p w:rsidR="001975D2" w:rsidRPr="00B613DB" w:rsidRDefault="00C25F00" w:rsidP="001975D2">
      <w:pPr>
        <w:pStyle w:val="Ttulo2"/>
        <w:spacing w:before="240"/>
        <w:jc w:val="center"/>
        <w:rPr>
          <w:rFonts w:ascii="ITC Avant Garde" w:hAnsi="ITC Avant Garde"/>
          <w:szCs w:val="22"/>
        </w:rPr>
      </w:pPr>
      <w:r w:rsidRPr="00B613DB">
        <w:rPr>
          <w:rFonts w:ascii="ITC Avant Garde" w:hAnsi="ITC Avant Garde"/>
          <w:szCs w:val="22"/>
        </w:rPr>
        <w:t>ANTECEDENTES</w:t>
      </w:r>
    </w:p>
    <w:p w:rsidR="001975D2" w:rsidRPr="00B613DB" w:rsidRDefault="00736F67" w:rsidP="001975D2">
      <w:pPr>
        <w:pStyle w:val="Prrafodelista"/>
        <w:numPr>
          <w:ilvl w:val="0"/>
          <w:numId w:val="45"/>
        </w:numPr>
        <w:spacing w:before="240" w:line="276" w:lineRule="auto"/>
        <w:rPr>
          <w:rFonts w:ascii="ITC Avant Garde" w:eastAsia="Calibri" w:hAnsi="ITC Avant Garde"/>
          <w:bCs/>
          <w:szCs w:val="22"/>
          <w:lang w:eastAsia="en-US"/>
        </w:rPr>
      </w:pPr>
      <w:r w:rsidRPr="00B613DB">
        <w:rPr>
          <w:rFonts w:ascii="ITC Avant Garde" w:hAnsi="ITC Avant Garde"/>
          <w:b/>
          <w:bCs/>
        </w:rPr>
        <w:t xml:space="preserve">Concesiones de Pegaso PCS, S.A. de C.V. y Grupo de Telecomunicaciones Mexicanas, S.A. de C.V. </w:t>
      </w:r>
      <w:r w:rsidRPr="00B613DB">
        <w:rPr>
          <w:rFonts w:ascii="ITC Avant Garde" w:hAnsi="ITC Avant Garde"/>
          <w:bCs/>
        </w:rPr>
        <w:t xml:space="preserve">Pegaso PCS, S.A. de C.V., (en lo sucesivo, “Pegaso PCS”) y Grupo de Telecomunicaciones Mexicanas, S.A. de C.V., (en lo sucesivo, “GTM”), </w:t>
      </w:r>
      <w:r w:rsidRPr="00B613DB">
        <w:rPr>
          <w:rFonts w:ascii="ITC Avant Garde" w:eastAsia="Calibri" w:hAnsi="ITC Avant Garde"/>
          <w:bCs/>
          <w:szCs w:val="22"/>
          <w:lang w:eastAsia="en-US"/>
        </w:rPr>
        <w:t>son concesionarios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rsidR="001975D2" w:rsidRPr="00B613DB" w:rsidRDefault="002357E7" w:rsidP="001975D2">
      <w:pPr>
        <w:pStyle w:val="Prrafodelista"/>
        <w:numPr>
          <w:ilvl w:val="0"/>
          <w:numId w:val="45"/>
        </w:numPr>
        <w:spacing w:before="240" w:line="276" w:lineRule="auto"/>
        <w:rPr>
          <w:rFonts w:ascii="ITC Avant Garde" w:eastAsia="Calibri" w:hAnsi="ITC Avant Garde"/>
          <w:bCs/>
          <w:szCs w:val="22"/>
          <w:lang w:eastAsia="en-US"/>
        </w:rPr>
      </w:pPr>
      <w:r w:rsidRPr="00B613DB">
        <w:rPr>
          <w:rFonts w:ascii="ITC Avant Garde" w:hAnsi="ITC Avant Garde"/>
          <w:b/>
        </w:rPr>
        <w:t xml:space="preserve">Concesiones de </w:t>
      </w:r>
      <w:proofErr w:type="spellStart"/>
      <w:r w:rsidRPr="00B613DB">
        <w:rPr>
          <w:rFonts w:ascii="ITC Avant Garde" w:hAnsi="ITC Avant Garde"/>
          <w:b/>
        </w:rPr>
        <w:t>Radiomóvil</w:t>
      </w:r>
      <w:proofErr w:type="spellEnd"/>
      <w:r w:rsidRPr="00B613DB">
        <w:rPr>
          <w:rFonts w:ascii="ITC Avant Garde" w:hAnsi="ITC Avant Garde"/>
          <w:b/>
        </w:rPr>
        <w:t xml:space="preserve"> </w:t>
      </w:r>
      <w:proofErr w:type="spellStart"/>
      <w:r w:rsidRPr="00B613DB">
        <w:rPr>
          <w:rFonts w:ascii="ITC Avant Garde" w:hAnsi="ITC Avant Garde"/>
          <w:b/>
        </w:rPr>
        <w:t>Dipsa</w:t>
      </w:r>
      <w:proofErr w:type="spellEnd"/>
      <w:r w:rsidRPr="00B613DB">
        <w:rPr>
          <w:rFonts w:ascii="ITC Avant Garde" w:hAnsi="ITC Avant Garde"/>
          <w:b/>
        </w:rPr>
        <w:t>, S.A. de C.V.</w:t>
      </w:r>
      <w:r w:rsidR="00736F67" w:rsidRPr="00B613DB">
        <w:rPr>
          <w:rFonts w:ascii="ITC Avant Garde" w:hAnsi="ITC Avant Garde"/>
          <w:b/>
        </w:rPr>
        <w:t xml:space="preserve"> </w:t>
      </w:r>
      <w:proofErr w:type="spellStart"/>
      <w:r w:rsidR="00736F67" w:rsidRPr="00B613DB">
        <w:rPr>
          <w:rFonts w:ascii="ITC Avant Garde" w:hAnsi="ITC Avant Garde"/>
          <w:bCs/>
        </w:rPr>
        <w:t>Radiomóvil</w:t>
      </w:r>
      <w:proofErr w:type="spellEnd"/>
      <w:r w:rsidR="00736F67" w:rsidRPr="00B613DB">
        <w:rPr>
          <w:rFonts w:ascii="ITC Avant Garde" w:hAnsi="ITC Avant Garde"/>
          <w:bCs/>
        </w:rPr>
        <w:t xml:space="preserve"> </w:t>
      </w:r>
      <w:proofErr w:type="spellStart"/>
      <w:r w:rsidR="00736F67" w:rsidRPr="00B613DB">
        <w:rPr>
          <w:rFonts w:ascii="ITC Avant Garde" w:hAnsi="ITC Avant Garde"/>
          <w:bCs/>
        </w:rPr>
        <w:t>Dipsa</w:t>
      </w:r>
      <w:proofErr w:type="spellEnd"/>
      <w:r w:rsidR="00736F67" w:rsidRPr="00B613DB">
        <w:rPr>
          <w:rFonts w:ascii="ITC Avant Garde" w:hAnsi="ITC Avant Garde"/>
          <w:bCs/>
        </w:rPr>
        <w:t>, S.A. de C.V., (en lo sucesivo, “Telcel”) es</w:t>
      </w:r>
      <w:r w:rsidR="00736F67" w:rsidRPr="00B613DB">
        <w:rPr>
          <w:rFonts w:ascii="ITC Avant Garde" w:eastAsia="Calibri" w:hAnsi="ITC Avant Garde"/>
          <w:bCs/>
          <w:szCs w:val="22"/>
          <w:lang w:eastAsia="en-US"/>
        </w:rPr>
        <w:t xml:space="preserve">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rsidR="001975D2" w:rsidRPr="00B613DB" w:rsidRDefault="00DC4719" w:rsidP="001975D2">
      <w:pPr>
        <w:pStyle w:val="Prrafodelista"/>
        <w:numPr>
          <w:ilvl w:val="0"/>
          <w:numId w:val="45"/>
        </w:numPr>
        <w:spacing w:before="240" w:line="276" w:lineRule="auto"/>
        <w:rPr>
          <w:rFonts w:ascii="ITC Avant Garde" w:hAnsi="ITC Avant Garde" w:cs="Arial"/>
          <w:bCs/>
        </w:rPr>
      </w:pPr>
      <w:r w:rsidRPr="00B613DB">
        <w:rPr>
          <w:rFonts w:ascii="ITC Avant Garde" w:hAnsi="ITC Avant Garde" w:cs="Arial"/>
          <w:b/>
          <w:bCs/>
        </w:rPr>
        <w:t xml:space="preserve">Metodología para el cálculo de costos de interconexión. </w:t>
      </w:r>
      <w:r w:rsidRPr="00B613DB">
        <w:rPr>
          <w:rFonts w:ascii="ITC Avant Garde" w:hAnsi="ITC Avant Garde" w:cs="Arial"/>
          <w:bCs/>
        </w:rPr>
        <w:t xml:space="preserve">El 18 de diciembre de 2014, el Instituto publicó en el DOF, el “ACUERDO </w:t>
      </w:r>
      <w:r w:rsidR="00157BBE" w:rsidRPr="00B613DB">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B613DB">
        <w:rPr>
          <w:rFonts w:ascii="ITC Avant Garde" w:hAnsi="ITC Avant Garde" w:cs="Arial"/>
          <w:bCs/>
        </w:rPr>
        <w:t>”, aprobado mediante Acuerdo P/IFT/EXT//161214/277 (en lo sucesivo la “Metodología de Costos”).</w:t>
      </w:r>
    </w:p>
    <w:p w:rsidR="001975D2" w:rsidRPr="00B613DB" w:rsidRDefault="00DC4719" w:rsidP="001975D2">
      <w:pPr>
        <w:pStyle w:val="Prrafodelista"/>
        <w:numPr>
          <w:ilvl w:val="0"/>
          <w:numId w:val="45"/>
        </w:numPr>
        <w:spacing w:before="240" w:line="276" w:lineRule="auto"/>
        <w:rPr>
          <w:rFonts w:ascii="ITC Avant Garde" w:hAnsi="ITC Avant Garde" w:cs="Arial"/>
          <w:b/>
        </w:rPr>
      </w:pPr>
      <w:r w:rsidRPr="00B613DB">
        <w:rPr>
          <w:rFonts w:ascii="ITC Avant Garde" w:hAnsi="ITC Avant Garde" w:cs="Arial"/>
          <w:b/>
          <w:bCs/>
        </w:rPr>
        <w:t>Publicación</w:t>
      </w:r>
      <w:r w:rsidRPr="00B613DB">
        <w:rPr>
          <w:rFonts w:ascii="ITC Avant Garde" w:hAnsi="ITC Avant Garde" w:cs="Arial"/>
          <w:b/>
        </w:rPr>
        <w:t xml:space="preserve"> de Tarifas de Interconexión del año 2015. </w:t>
      </w:r>
      <w:r w:rsidRPr="00B613DB">
        <w:rPr>
          <w:rFonts w:ascii="ITC Avant Garde" w:hAnsi="ITC Avant Garde" w:cs="Arial"/>
        </w:rPr>
        <w:t xml:space="preserve">El 29 de diciembre de 2014, el Instituto publicó en el DOF el “ACUERDO </w:t>
      </w:r>
      <w:r w:rsidR="00157BBE" w:rsidRPr="00B613DB">
        <w:rPr>
          <w:rFonts w:ascii="ITC Avant Garde" w:hAnsi="ITC Avant Garde" w:cs="Arial"/>
        </w:rPr>
        <w:t xml:space="preserve">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w:t>
      </w:r>
      <w:r w:rsidR="00157BBE" w:rsidRPr="00B613DB">
        <w:rPr>
          <w:rFonts w:ascii="ITC Avant Garde" w:hAnsi="ITC Avant Garde" w:cs="Arial"/>
        </w:rPr>
        <w:lastRenderedPageBreak/>
        <w:t>aplicables al año 2015</w:t>
      </w:r>
      <w:r w:rsidRPr="00B613DB">
        <w:rPr>
          <w:rFonts w:ascii="ITC Avant Garde" w:hAnsi="ITC Avant Garde" w:cs="Arial"/>
        </w:rPr>
        <w:t>”, aprobado mediante Acuerdo P/IFT/EXT/191214/284 (en lo sucesivo, el “Acuerdo de Tarifas 2015”).</w:t>
      </w:r>
    </w:p>
    <w:p w:rsidR="001975D2" w:rsidRPr="00B613DB" w:rsidRDefault="00736F67" w:rsidP="001975D2">
      <w:pPr>
        <w:pStyle w:val="Prrafodelista"/>
        <w:numPr>
          <w:ilvl w:val="0"/>
          <w:numId w:val="45"/>
        </w:numPr>
        <w:spacing w:before="240" w:line="276" w:lineRule="auto"/>
        <w:rPr>
          <w:rFonts w:ascii="ITC Avant Garde" w:hAnsi="ITC Avant Garde"/>
          <w:bCs/>
          <w:lang w:val="es-ES"/>
        </w:rPr>
      </w:pPr>
      <w:r w:rsidRPr="00B613DB">
        <w:rPr>
          <w:rFonts w:ascii="ITC Avant Garde" w:hAnsi="ITC Avant Garde" w:cs="Arial"/>
          <w:b/>
          <w:bCs/>
        </w:rPr>
        <w:t>Procedimiento de resolución de condiciones de interconexión no convenidas</w:t>
      </w:r>
      <w:r w:rsidR="00747C81" w:rsidRPr="00B613DB">
        <w:rPr>
          <w:rFonts w:ascii="ITC Avant Garde" w:hAnsi="ITC Avant Garde"/>
          <w:lang w:val="es-ES"/>
        </w:rPr>
        <w:t>.</w:t>
      </w:r>
      <w:r w:rsidR="00394255" w:rsidRPr="00B613DB">
        <w:rPr>
          <w:rFonts w:ascii="ITC Avant Garde" w:hAnsi="ITC Avant Garde"/>
          <w:lang w:val="es-ES"/>
        </w:rPr>
        <w:t xml:space="preserve"> El</w:t>
      </w:r>
      <w:r w:rsidR="005D64CC" w:rsidRPr="00B613DB">
        <w:rPr>
          <w:rFonts w:ascii="ITC Avant Garde" w:hAnsi="ITC Avant Garde"/>
          <w:lang w:val="es-ES"/>
        </w:rPr>
        <w:t xml:space="preserve"> </w:t>
      </w:r>
      <w:r w:rsidR="0057073A" w:rsidRPr="00B613DB">
        <w:rPr>
          <w:rFonts w:ascii="ITC Avant Garde" w:hAnsi="ITC Avant Garde"/>
          <w:lang w:val="es-ES"/>
        </w:rPr>
        <w:t>5</w:t>
      </w:r>
      <w:r w:rsidR="005C00B9" w:rsidRPr="00B613DB">
        <w:rPr>
          <w:rFonts w:ascii="ITC Avant Garde" w:hAnsi="ITC Avant Garde"/>
          <w:lang w:val="es-ES"/>
        </w:rPr>
        <w:t xml:space="preserve"> de </w:t>
      </w:r>
      <w:r w:rsidR="0057073A" w:rsidRPr="00B613DB">
        <w:rPr>
          <w:rFonts w:ascii="ITC Avant Garde" w:hAnsi="ITC Avant Garde"/>
          <w:lang w:val="es-ES"/>
        </w:rPr>
        <w:t>mayo</w:t>
      </w:r>
      <w:r w:rsidR="001F2F07" w:rsidRPr="00B613DB">
        <w:rPr>
          <w:rFonts w:ascii="ITC Avant Garde" w:hAnsi="ITC Avant Garde"/>
          <w:lang w:val="es-ES"/>
        </w:rPr>
        <w:t xml:space="preserve"> de 2015</w:t>
      </w:r>
      <w:r w:rsidR="00394255" w:rsidRPr="00B613DB">
        <w:rPr>
          <w:rFonts w:ascii="ITC Avant Garde" w:hAnsi="ITC Avant Garde"/>
          <w:lang w:val="es-ES"/>
        </w:rPr>
        <w:t>, el representante legal</w:t>
      </w:r>
      <w:r w:rsidR="00747C81" w:rsidRPr="00B613DB">
        <w:rPr>
          <w:rFonts w:ascii="ITC Avant Garde" w:hAnsi="ITC Avant Garde"/>
          <w:lang w:val="es-ES"/>
        </w:rPr>
        <w:t xml:space="preserve"> de </w:t>
      </w:r>
      <w:r w:rsidR="002B3C91" w:rsidRPr="00B613DB">
        <w:rPr>
          <w:rFonts w:ascii="ITC Avant Garde" w:hAnsi="ITC Avant Garde"/>
          <w:lang w:val="es-ES"/>
        </w:rPr>
        <w:t>Telcel</w:t>
      </w:r>
      <w:r w:rsidR="00D813D3" w:rsidRPr="00B613DB">
        <w:rPr>
          <w:rFonts w:ascii="ITC Avant Garde" w:hAnsi="ITC Avant Garde"/>
          <w:lang w:val="es-ES"/>
        </w:rPr>
        <w:t xml:space="preserve"> present</w:t>
      </w:r>
      <w:r w:rsidR="00B72D5F" w:rsidRPr="00B613DB">
        <w:rPr>
          <w:rFonts w:ascii="ITC Avant Garde" w:hAnsi="ITC Avant Garde"/>
          <w:lang w:val="es-ES"/>
        </w:rPr>
        <w:t>ó</w:t>
      </w:r>
      <w:r w:rsidR="00394255" w:rsidRPr="00B613DB">
        <w:rPr>
          <w:rFonts w:ascii="ITC Avant Garde" w:hAnsi="ITC Avant Garde"/>
          <w:lang w:val="es-ES"/>
        </w:rPr>
        <w:t xml:space="preserve"> ante </w:t>
      </w:r>
      <w:r w:rsidR="002D1D4B" w:rsidRPr="00B613DB">
        <w:rPr>
          <w:rFonts w:ascii="ITC Avant Garde" w:hAnsi="ITC Avant Garde"/>
          <w:lang w:val="es-ES"/>
        </w:rPr>
        <w:t>el Instituto</w:t>
      </w:r>
      <w:r w:rsidR="00394255" w:rsidRPr="00B613DB">
        <w:rPr>
          <w:rFonts w:ascii="ITC Avant Garde" w:hAnsi="ITC Avant Garde"/>
          <w:lang w:val="es-ES"/>
        </w:rPr>
        <w:t>, e</w:t>
      </w:r>
      <w:r w:rsidR="00D813D3" w:rsidRPr="00B613DB">
        <w:rPr>
          <w:rFonts w:ascii="ITC Avant Garde" w:hAnsi="ITC Avant Garde"/>
          <w:lang w:val="es-ES"/>
        </w:rPr>
        <w:t>scrito</w:t>
      </w:r>
      <w:r w:rsidR="00FB6895" w:rsidRPr="00B613DB">
        <w:rPr>
          <w:rFonts w:ascii="ITC Avant Garde" w:hAnsi="ITC Avant Garde"/>
          <w:lang w:val="es-ES"/>
        </w:rPr>
        <w:t>s</w:t>
      </w:r>
      <w:r w:rsidR="00D813D3" w:rsidRPr="00B613DB">
        <w:rPr>
          <w:rFonts w:ascii="ITC Avant Garde" w:hAnsi="ITC Avant Garde"/>
          <w:lang w:val="es-ES"/>
        </w:rPr>
        <w:t xml:space="preserve"> mediante </w:t>
      </w:r>
      <w:r w:rsidR="00FB6895" w:rsidRPr="00B613DB">
        <w:rPr>
          <w:rFonts w:ascii="ITC Avant Garde" w:hAnsi="ITC Avant Garde"/>
          <w:lang w:val="es-ES"/>
        </w:rPr>
        <w:t>los</w:t>
      </w:r>
      <w:r w:rsidR="00D813D3" w:rsidRPr="00B613DB">
        <w:rPr>
          <w:rFonts w:ascii="ITC Avant Garde" w:hAnsi="ITC Avant Garde"/>
          <w:lang w:val="es-ES"/>
        </w:rPr>
        <w:t xml:space="preserve"> cual</w:t>
      </w:r>
      <w:r w:rsidR="00FB6895" w:rsidRPr="00B613DB">
        <w:rPr>
          <w:rFonts w:ascii="ITC Avant Garde" w:hAnsi="ITC Avant Garde"/>
          <w:lang w:val="es-ES"/>
        </w:rPr>
        <w:t>es</w:t>
      </w:r>
      <w:r w:rsidR="00B022BA" w:rsidRPr="00B613DB">
        <w:rPr>
          <w:rFonts w:ascii="ITC Avant Garde" w:hAnsi="ITC Avant Garde"/>
          <w:lang w:val="es-ES"/>
        </w:rPr>
        <w:t xml:space="preserve"> solicitó</w:t>
      </w:r>
      <w:r w:rsidR="00394255" w:rsidRPr="00B613DB">
        <w:rPr>
          <w:rFonts w:ascii="ITC Avant Garde" w:hAnsi="ITC Avant Garde"/>
          <w:lang w:val="es-ES"/>
        </w:rPr>
        <w:t xml:space="preserve"> su intervención para resolver los términos</w:t>
      </w:r>
      <w:r w:rsidR="00FE5895" w:rsidRPr="00B613DB">
        <w:rPr>
          <w:rFonts w:ascii="ITC Avant Garde" w:hAnsi="ITC Avant Garde"/>
          <w:lang w:val="es-ES"/>
        </w:rPr>
        <w:t>, tarifas</w:t>
      </w:r>
      <w:r w:rsidR="00394255" w:rsidRPr="00B613DB">
        <w:rPr>
          <w:rFonts w:ascii="ITC Avant Garde" w:hAnsi="ITC Avant Garde"/>
          <w:lang w:val="es-ES"/>
        </w:rPr>
        <w:t xml:space="preserve"> y condiciones que no pudo convenir con </w:t>
      </w:r>
      <w:r w:rsidR="005A74A8" w:rsidRPr="00B613DB">
        <w:rPr>
          <w:rFonts w:ascii="ITC Avant Garde" w:hAnsi="ITC Avant Garde"/>
          <w:lang w:val="es-ES"/>
        </w:rPr>
        <w:t>GTM y Pegaso PCS</w:t>
      </w:r>
      <w:r w:rsidR="009A09FA" w:rsidRPr="00B613DB">
        <w:rPr>
          <w:rFonts w:ascii="ITC Avant Garde" w:hAnsi="ITC Avant Garde"/>
          <w:lang w:val="es-ES"/>
        </w:rPr>
        <w:t xml:space="preserve"> </w:t>
      </w:r>
      <w:r w:rsidR="00394255" w:rsidRPr="00B613DB">
        <w:rPr>
          <w:rFonts w:ascii="ITC Avant Garde" w:hAnsi="ITC Avant Garde"/>
          <w:lang w:val="es-ES"/>
        </w:rPr>
        <w:t>para la interconexión de sus respectivas redes públicas de telecomunicaciones</w:t>
      </w:r>
      <w:r w:rsidR="00FE5895" w:rsidRPr="00B613DB">
        <w:rPr>
          <w:rFonts w:ascii="ITC Avant Garde" w:hAnsi="ITC Avant Garde"/>
          <w:lang w:val="es-ES"/>
        </w:rPr>
        <w:t xml:space="preserve"> que a</w:t>
      </w:r>
      <w:r w:rsidR="00927DE5" w:rsidRPr="00B613DB">
        <w:rPr>
          <w:rFonts w:ascii="ITC Avant Garde" w:hAnsi="ITC Avant Garde"/>
          <w:lang w:val="es-ES"/>
        </w:rPr>
        <w:t>plicar</w:t>
      </w:r>
      <w:r w:rsidR="00FB6895" w:rsidRPr="00B613DB">
        <w:rPr>
          <w:rFonts w:ascii="ITC Avant Garde" w:hAnsi="ITC Avant Garde"/>
          <w:lang w:val="es-ES"/>
        </w:rPr>
        <w:t>a</w:t>
      </w:r>
      <w:r w:rsidR="004511A0" w:rsidRPr="00B613DB">
        <w:rPr>
          <w:rFonts w:ascii="ITC Avant Garde" w:hAnsi="ITC Avant Garde"/>
          <w:lang w:val="es-ES"/>
        </w:rPr>
        <w:t>n para el ejercicio 2015</w:t>
      </w:r>
      <w:r w:rsidR="00D53327" w:rsidRPr="00B613DB">
        <w:rPr>
          <w:rFonts w:ascii="ITC Avant Garde" w:hAnsi="ITC Avant Garde"/>
          <w:lang w:val="es-ES"/>
        </w:rPr>
        <w:t xml:space="preserve"> y el ejercicio 2016</w:t>
      </w:r>
      <w:r w:rsidR="00394255" w:rsidRPr="00B613DB">
        <w:rPr>
          <w:rFonts w:ascii="ITC Avant Garde" w:hAnsi="ITC Avant Garde"/>
          <w:lang w:val="es-ES"/>
        </w:rPr>
        <w:t xml:space="preserve"> (en lo sucesivo, la</w:t>
      </w:r>
      <w:r w:rsidR="00FB6895" w:rsidRPr="00B613DB">
        <w:rPr>
          <w:rFonts w:ascii="ITC Avant Garde" w:hAnsi="ITC Avant Garde"/>
          <w:lang w:val="es-ES"/>
        </w:rPr>
        <w:t>s</w:t>
      </w:r>
      <w:r w:rsidR="00394255" w:rsidRPr="00B613DB">
        <w:rPr>
          <w:rFonts w:ascii="ITC Avant Garde" w:hAnsi="ITC Avant Garde"/>
          <w:lang w:val="es-ES"/>
        </w:rPr>
        <w:t xml:space="preserve"> “Solicitud</w:t>
      </w:r>
      <w:r w:rsidR="00FB6895" w:rsidRPr="00B613DB">
        <w:rPr>
          <w:rFonts w:ascii="ITC Avant Garde" w:hAnsi="ITC Avant Garde"/>
          <w:lang w:val="es-ES"/>
        </w:rPr>
        <w:t>es</w:t>
      </w:r>
      <w:r w:rsidR="00394255" w:rsidRPr="00B613DB">
        <w:rPr>
          <w:rFonts w:ascii="ITC Avant Garde" w:hAnsi="ITC Avant Garde"/>
          <w:lang w:val="es-ES"/>
        </w:rPr>
        <w:t xml:space="preserve"> de Resolución”).</w:t>
      </w:r>
    </w:p>
    <w:p w:rsidR="001975D2" w:rsidRPr="00B613DB" w:rsidRDefault="00736F67" w:rsidP="001975D2">
      <w:pPr>
        <w:pStyle w:val="Prrafodelista"/>
        <w:spacing w:before="240" w:line="276" w:lineRule="auto"/>
        <w:ind w:left="284"/>
        <w:rPr>
          <w:rFonts w:ascii="ITC Avant Garde" w:hAnsi="ITC Avant Garde"/>
          <w:bCs/>
        </w:rPr>
      </w:pPr>
      <w:r w:rsidRPr="00B613DB">
        <w:rPr>
          <w:rFonts w:ascii="ITC Avant Garde" w:hAnsi="ITC Avant Garde"/>
          <w:bCs/>
        </w:rPr>
        <w:t>Las Solicitudes de Resolución se admitieron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rsidR="001975D2" w:rsidRPr="00B613DB" w:rsidRDefault="00736F67" w:rsidP="001975D2">
      <w:pPr>
        <w:tabs>
          <w:tab w:val="left" w:pos="142"/>
        </w:tabs>
        <w:spacing w:before="240" w:after="0"/>
        <w:ind w:left="426" w:right="23"/>
        <w:jc w:val="both"/>
        <w:rPr>
          <w:rFonts w:ascii="ITC Avant Garde" w:eastAsia="Times New Roman" w:hAnsi="ITC Avant Garde"/>
          <w:szCs w:val="24"/>
          <w:lang w:eastAsia="es-ES"/>
        </w:rPr>
      </w:pPr>
      <w:r w:rsidRPr="00B613DB">
        <w:rPr>
          <w:rFonts w:ascii="ITC Avant Garde" w:hAnsi="ITC Avant Garde"/>
          <w:bCs/>
        </w:rPr>
        <w:t xml:space="preserve">Es así que con fecha </w:t>
      </w:r>
      <w:r w:rsidR="00F51B4F" w:rsidRPr="00B613DB">
        <w:rPr>
          <w:rFonts w:ascii="ITC Avant Garde" w:hAnsi="ITC Avant Garde"/>
          <w:lang w:val="es-ES"/>
        </w:rPr>
        <w:t>14</w:t>
      </w:r>
      <w:r w:rsidR="009B7E3F" w:rsidRPr="00B613DB">
        <w:rPr>
          <w:rFonts w:ascii="ITC Avant Garde" w:hAnsi="ITC Avant Garde"/>
          <w:lang w:val="es-ES"/>
        </w:rPr>
        <w:t xml:space="preserve"> </w:t>
      </w:r>
      <w:r w:rsidR="00FC561A" w:rsidRPr="00B613DB">
        <w:rPr>
          <w:rFonts w:ascii="ITC Avant Garde" w:hAnsi="ITC Avant Garde"/>
          <w:lang w:val="es-ES"/>
        </w:rPr>
        <w:t xml:space="preserve">de </w:t>
      </w:r>
      <w:r w:rsidR="00F51B4F" w:rsidRPr="00B613DB">
        <w:rPr>
          <w:rFonts w:ascii="ITC Avant Garde" w:hAnsi="ITC Avant Garde"/>
          <w:lang w:val="es-ES"/>
        </w:rPr>
        <w:t>julio</w:t>
      </w:r>
      <w:r w:rsidR="003E14D5" w:rsidRPr="00B613DB">
        <w:rPr>
          <w:rFonts w:ascii="ITC Avant Garde" w:hAnsi="ITC Avant Garde"/>
          <w:lang w:val="es-ES"/>
        </w:rPr>
        <w:t xml:space="preserve"> el Instituto </w:t>
      </w:r>
      <w:r w:rsidRPr="00B613DB">
        <w:rPr>
          <w:rFonts w:ascii="ITC Avant Garde" w:hAnsi="ITC Avant Garde"/>
          <w:lang w:val="es-ES"/>
        </w:rPr>
        <w:t>notificó a las partes que el procedimiento guardaba estado para que el Pleno del Instituto dictase la resolución correspondiente.</w:t>
      </w:r>
    </w:p>
    <w:p w:rsidR="001975D2" w:rsidRPr="00B613DB" w:rsidRDefault="007977CC" w:rsidP="001975D2">
      <w:pPr>
        <w:pStyle w:val="Prrafodelista"/>
        <w:numPr>
          <w:ilvl w:val="0"/>
          <w:numId w:val="45"/>
        </w:numPr>
        <w:spacing w:before="240" w:line="276" w:lineRule="auto"/>
        <w:rPr>
          <w:rFonts w:ascii="ITC Avant Garde" w:hAnsi="ITC Avant Garde" w:cs="Arial"/>
          <w:bCs/>
        </w:rPr>
      </w:pPr>
      <w:r w:rsidRPr="00B613DB">
        <w:rPr>
          <w:rFonts w:ascii="ITC Avant Garde" w:hAnsi="ITC Avant Garde"/>
          <w:b/>
          <w:lang w:val="es-ES"/>
        </w:rPr>
        <w:t>Emisión</w:t>
      </w:r>
      <w:r w:rsidRPr="00B613DB">
        <w:rPr>
          <w:rFonts w:ascii="ITC Avant Garde" w:hAnsi="ITC Avant Garde" w:cs="Arial"/>
          <w:b/>
          <w:szCs w:val="22"/>
        </w:rPr>
        <w:t xml:space="preserve"> del </w:t>
      </w:r>
      <w:r w:rsidRPr="00B613DB">
        <w:rPr>
          <w:rFonts w:ascii="ITC Avant Garde" w:hAnsi="ITC Avant Garde"/>
          <w:b/>
          <w:lang w:val="es-ES"/>
        </w:rPr>
        <w:t>Acuerdo</w:t>
      </w:r>
      <w:r w:rsidRPr="00B613DB">
        <w:rPr>
          <w:rFonts w:ascii="ITC Avant Garde" w:hAnsi="ITC Avant Garde" w:cs="Arial"/>
          <w:b/>
          <w:szCs w:val="22"/>
        </w:rPr>
        <w:t xml:space="preserve"> P/IFT/120815/372. </w:t>
      </w:r>
      <w:r w:rsidRPr="00B613DB">
        <w:rPr>
          <w:rFonts w:ascii="ITC Avant Garde" w:hAnsi="ITC Avant Garde" w:cs="Arial"/>
          <w:szCs w:val="22"/>
        </w:rPr>
        <w:t>El 12 de agosto de 2015, el Pleno del Instituto Federal de Telecomunicaciones en su XVI Sesión Ordinaria, mediante Acuerdo</w:t>
      </w:r>
      <w:r w:rsidRPr="00B613DB">
        <w:rPr>
          <w:rFonts w:ascii="ITC Avant Garde" w:hAnsi="ITC Avant Garde" w:cs="Arial"/>
          <w:b/>
          <w:szCs w:val="22"/>
        </w:rPr>
        <w:t xml:space="preserve"> </w:t>
      </w:r>
      <w:r w:rsidRPr="00B613DB">
        <w:rPr>
          <w:rFonts w:ascii="ITC Avant Garde" w:hAnsi="ITC Avant Garde" w:cs="Arial"/>
          <w:szCs w:val="22"/>
        </w:rPr>
        <w:t xml:space="preserve">P/IFT/120815/372, </w:t>
      </w:r>
      <w:r w:rsidRPr="00B613DB">
        <w:rPr>
          <w:rFonts w:ascii="ITC Avant Garde" w:hAnsi="ITC Avant Garde" w:cs="Arial"/>
          <w:bCs/>
        </w:rPr>
        <w:t>emitió la “RESOLUCIÓN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w:t>
      </w:r>
      <w:r w:rsidR="00304359" w:rsidRPr="00B613DB">
        <w:rPr>
          <w:rFonts w:ascii="ITC Avant Garde" w:hAnsi="ITC Avant Garde" w:cs="Arial"/>
          <w:bCs/>
        </w:rPr>
        <w:t>.</w:t>
      </w:r>
    </w:p>
    <w:p w:rsidR="001975D2" w:rsidRPr="00B613DB" w:rsidRDefault="00C32C27" w:rsidP="001975D2">
      <w:pPr>
        <w:pStyle w:val="Prrafodelista"/>
        <w:numPr>
          <w:ilvl w:val="0"/>
          <w:numId w:val="45"/>
        </w:numPr>
        <w:spacing w:before="240" w:line="276" w:lineRule="auto"/>
        <w:rPr>
          <w:rFonts w:ascii="ITC Avant Garde" w:hAnsi="ITC Avant Garde" w:cs="Arial"/>
          <w:bCs/>
        </w:rPr>
      </w:pPr>
      <w:r w:rsidRPr="00B613DB">
        <w:rPr>
          <w:rFonts w:ascii="ITC Avant Garde" w:hAnsi="ITC Avant Garde" w:cs="Arial"/>
          <w:b/>
          <w:szCs w:val="22"/>
        </w:rPr>
        <w:t>Fusión</w:t>
      </w:r>
      <w:r w:rsidRPr="00B613DB">
        <w:rPr>
          <w:rFonts w:ascii="ITC Avant Garde" w:hAnsi="ITC Avant Garde"/>
          <w:b/>
          <w:lang w:val="es-ES"/>
        </w:rPr>
        <w:t xml:space="preserve"> de GTM.</w:t>
      </w:r>
      <w:r w:rsidRPr="00B613DB">
        <w:rPr>
          <w:rFonts w:ascii="ITC Avant Garde" w:hAnsi="ITC Avant Garde"/>
          <w:lang w:val="es-ES"/>
        </w:rPr>
        <w:t xml:space="preserve"> Con fecha 11 de enero de 2017, el representante legal de Pegaso PCS notificó la fusión por absorción de fecha 31 de diciembre de 2016, entre Pegaso PCS en su carácter de </w:t>
      </w:r>
      <w:proofErr w:type="spellStart"/>
      <w:r w:rsidRPr="00B613DB">
        <w:rPr>
          <w:rFonts w:ascii="ITC Avant Garde" w:hAnsi="ITC Avant Garde"/>
          <w:lang w:val="es-ES"/>
        </w:rPr>
        <w:t>fusionante</w:t>
      </w:r>
      <w:proofErr w:type="spellEnd"/>
      <w:r w:rsidRPr="00B613DB">
        <w:rPr>
          <w:rFonts w:ascii="ITC Avant Garde" w:hAnsi="ITC Avant Garde"/>
          <w:lang w:val="es-ES"/>
        </w:rPr>
        <w:t>, y GTM en su carácter de fusionada.</w:t>
      </w:r>
    </w:p>
    <w:p w:rsidR="001975D2" w:rsidRPr="00B613DB" w:rsidRDefault="00C32C27" w:rsidP="001975D2">
      <w:pPr>
        <w:pStyle w:val="Prrafodelista"/>
        <w:tabs>
          <w:tab w:val="left" w:pos="567"/>
        </w:tabs>
        <w:spacing w:before="240" w:line="276" w:lineRule="auto"/>
        <w:ind w:left="284" w:right="48"/>
        <w:rPr>
          <w:rFonts w:ascii="ITC Avant Garde" w:hAnsi="ITC Avant Garde"/>
          <w:lang w:val="es-ES"/>
        </w:rPr>
      </w:pPr>
      <w:r w:rsidRPr="00B613DB">
        <w:rPr>
          <w:rFonts w:ascii="ITC Avant Garde" w:hAnsi="ITC Avant Garde"/>
          <w:lang w:val="es-ES"/>
        </w:rPr>
        <w:t>En virtud de lo anterior, mediante oficio IFT/223/UCS/DG-CTEL/069/2017 de fecha 12 de enero de 2017, la Unidad de Concesiones y Servicios del Instituto se dio por notificada del aviso de fusión y solicitó se inscribiera en el Registro Público de Concesiones la cesión de derechos y obligaciones de GTM a favor de Pegaso PCS.</w:t>
      </w:r>
    </w:p>
    <w:p w:rsidR="001975D2" w:rsidRPr="00B613DB" w:rsidRDefault="007977CC" w:rsidP="001975D2">
      <w:pPr>
        <w:pStyle w:val="Prrafodelista"/>
        <w:numPr>
          <w:ilvl w:val="0"/>
          <w:numId w:val="45"/>
        </w:numPr>
        <w:spacing w:before="240" w:line="276" w:lineRule="auto"/>
        <w:rPr>
          <w:rFonts w:ascii="ITC Avant Garde" w:hAnsi="ITC Avant Garde"/>
          <w:lang w:val="es-ES"/>
        </w:rPr>
      </w:pPr>
      <w:r w:rsidRPr="00B613DB">
        <w:rPr>
          <w:rFonts w:ascii="ITC Avant Garde" w:hAnsi="ITC Avant Garde" w:cs="Arial"/>
          <w:b/>
          <w:szCs w:val="22"/>
        </w:rPr>
        <w:t>Cumplimento</w:t>
      </w:r>
      <w:r w:rsidRPr="00B613DB">
        <w:rPr>
          <w:rFonts w:ascii="ITC Avant Garde" w:hAnsi="ITC Avant Garde" w:cs="Arial"/>
          <w:b/>
          <w:bCs/>
        </w:rPr>
        <w:t xml:space="preserve"> </w:t>
      </w:r>
      <w:r w:rsidRPr="00B613DB">
        <w:rPr>
          <w:rFonts w:ascii="ITC Avant Garde" w:hAnsi="ITC Avant Garde"/>
          <w:b/>
          <w:lang w:val="es-ES"/>
        </w:rPr>
        <w:t>a la ejecutoria de</w:t>
      </w:r>
      <w:r w:rsidR="008F44DC" w:rsidRPr="00B613DB">
        <w:rPr>
          <w:rFonts w:ascii="ITC Avant Garde" w:hAnsi="ITC Avant Garde"/>
          <w:b/>
          <w:lang w:val="es-ES"/>
        </w:rPr>
        <w:t>l</w:t>
      </w:r>
      <w:r w:rsidRPr="00B613DB">
        <w:rPr>
          <w:rFonts w:ascii="ITC Avant Garde" w:hAnsi="ITC Avant Garde"/>
          <w:b/>
          <w:lang w:val="es-ES"/>
        </w:rPr>
        <w:t xml:space="preserve"> amparo en revisión A.</w:t>
      </w:r>
      <w:r w:rsidR="00E84A52" w:rsidRPr="00B613DB">
        <w:rPr>
          <w:rFonts w:ascii="ITC Avant Garde" w:hAnsi="ITC Avant Garde"/>
          <w:b/>
          <w:lang w:val="es-ES"/>
        </w:rPr>
        <w:t>R.</w:t>
      </w:r>
      <w:r w:rsidR="008F44DC" w:rsidRPr="00B613DB">
        <w:rPr>
          <w:rFonts w:ascii="ITC Avant Garde" w:hAnsi="ITC Avant Garde"/>
          <w:b/>
          <w:lang w:val="es-ES"/>
        </w:rPr>
        <w:t xml:space="preserve"> 329/2016</w:t>
      </w:r>
      <w:r w:rsidRPr="00B613DB">
        <w:rPr>
          <w:rFonts w:ascii="ITC Avant Garde" w:hAnsi="ITC Avant Garde"/>
          <w:lang w:val="es-ES"/>
        </w:rPr>
        <w:t xml:space="preserve">. Mediante ejecutoria de fecha </w:t>
      </w:r>
      <w:r w:rsidR="008F44DC" w:rsidRPr="00B613DB">
        <w:rPr>
          <w:rFonts w:ascii="ITC Avant Garde" w:hAnsi="ITC Avant Garde"/>
          <w:lang w:val="es-ES"/>
        </w:rPr>
        <w:t>21 de junio</w:t>
      </w:r>
      <w:r w:rsidRPr="00B613DB">
        <w:rPr>
          <w:rFonts w:ascii="ITC Avant Garde" w:hAnsi="ITC Avant Garde"/>
          <w:lang w:val="es-ES"/>
        </w:rPr>
        <w:t xml:space="preserve"> de 2017 correspondiente </w:t>
      </w:r>
      <w:r w:rsidR="008F44DC" w:rsidRPr="00B613DB">
        <w:rPr>
          <w:rFonts w:ascii="ITC Avant Garde" w:hAnsi="ITC Avant Garde"/>
          <w:lang w:val="es-ES"/>
        </w:rPr>
        <w:t>al</w:t>
      </w:r>
      <w:r w:rsidRPr="00B613DB">
        <w:rPr>
          <w:rFonts w:ascii="ITC Avant Garde" w:hAnsi="ITC Avant Garde"/>
          <w:lang w:val="es-ES"/>
        </w:rPr>
        <w:t xml:space="preserve"> amparo en revisión A.</w:t>
      </w:r>
      <w:r w:rsidR="00E84A52" w:rsidRPr="00B613DB">
        <w:rPr>
          <w:rFonts w:ascii="ITC Avant Garde" w:hAnsi="ITC Avant Garde"/>
          <w:lang w:val="es-ES"/>
        </w:rPr>
        <w:t>R.</w:t>
      </w:r>
      <w:r w:rsidRPr="00B613DB">
        <w:rPr>
          <w:rFonts w:ascii="ITC Avant Garde" w:hAnsi="ITC Avant Garde"/>
          <w:lang w:val="es-ES"/>
        </w:rPr>
        <w:t xml:space="preserve"> </w:t>
      </w:r>
      <w:r w:rsidR="008F44DC" w:rsidRPr="00B613DB">
        <w:rPr>
          <w:rFonts w:ascii="ITC Avant Garde" w:hAnsi="ITC Avant Garde"/>
          <w:lang w:val="es-ES"/>
        </w:rPr>
        <w:lastRenderedPageBreak/>
        <w:t>329</w:t>
      </w:r>
      <w:r w:rsidRPr="00B613DB">
        <w:rPr>
          <w:rFonts w:ascii="ITC Avant Garde" w:hAnsi="ITC Avant Garde"/>
          <w:lang w:val="es-ES"/>
        </w:rPr>
        <w:t xml:space="preserve">/2016, </w:t>
      </w:r>
      <w:r w:rsidR="008F44DC" w:rsidRPr="00B613DB">
        <w:rPr>
          <w:rFonts w:ascii="ITC Avant Garde" w:hAnsi="ITC Avant Garde" w:cs="Arial"/>
          <w:szCs w:val="20"/>
        </w:rPr>
        <w:t>la Segunda Sala de la Suprema Corte de Justicia de la Nación</w:t>
      </w:r>
      <w:r w:rsidRPr="00B613DB">
        <w:rPr>
          <w:rFonts w:ascii="ITC Avant Garde" w:hAnsi="ITC Avant Garde"/>
          <w:lang w:val="es-ES"/>
        </w:rPr>
        <w:t xml:space="preserve">, </w:t>
      </w:r>
      <w:r w:rsidR="008F44DC" w:rsidRPr="00B613DB">
        <w:rPr>
          <w:rFonts w:ascii="ITC Avant Garde" w:hAnsi="ITC Avant Garde"/>
          <w:lang w:val="es-ES"/>
        </w:rPr>
        <w:t>resolvió negar el amparo respecto del artículo vigésimo transitorio, segundo párrafo</w:t>
      </w:r>
      <w:r w:rsidR="005906F6" w:rsidRPr="00B613DB">
        <w:t xml:space="preserve"> </w:t>
      </w:r>
      <w:r w:rsidR="005906F6" w:rsidRPr="00B613DB">
        <w:rPr>
          <w:rFonts w:ascii="ITC Avant Garde" w:hAnsi="ITC Avant Garde"/>
          <w:lang w:val="es-ES"/>
        </w:rPr>
        <w:t>del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w:t>
      </w:r>
      <w:r w:rsidR="008F44DC" w:rsidRPr="00B613DB">
        <w:rPr>
          <w:rFonts w:ascii="ITC Avant Garde" w:hAnsi="ITC Avant Garde"/>
          <w:lang w:val="es-ES"/>
        </w:rPr>
        <w:t xml:space="preserve"> y conceder respecto de los actos reclamados al </w:t>
      </w:r>
      <w:r w:rsidR="00FC491D" w:rsidRPr="00B613DB">
        <w:rPr>
          <w:rFonts w:ascii="ITC Avant Garde" w:hAnsi="ITC Avant Garde"/>
          <w:lang w:val="es-ES"/>
        </w:rPr>
        <w:t>Pleno</w:t>
      </w:r>
      <w:r w:rsidR="008F44DC" w:rsidRPr="00B613DB">
        <w:rPr>
          <w:rFonts w:ascii="ITC Avant Garde" w:hAnsi="ITC Avant Garde"/>
          <w:lang w:val="es-ES"/>
        </w:rPr>
        <w:t xml:space="preserve"> del Instituto.</w:t>
      </w:r>
    </w:p>
    <w:p w:rsidR="001975D2" w:rsidRPr="00B613DB" w:rsidRDefault="00F11878" w:rsidP="001975D2">
      <w:pPr>
        <w:widowControl w:val="0"/>
        <w:spacing w:before="240" w:after="0"/>
        <w:jc w:val="both"/>
        <w:rPr>
          <w:rFonts w:ascii="ITC Avant Garde" w:eastAsia="Times New Roman" w:hAnsi="ITC Avant Garde"/>
          <w:lang w:eastAsia="es-ES"/>
        </w:rPr>
      </w:pPr>
      <w:bookmarkStart w:id="1" w:name="HipótesisNormativa"/>
      <w:r w:rsidRPr="00B613DB">
        <w:rPr>
          <w:rFonts w:ascii="ITC Avant Garde" w:eastAsia="Times New Roman" w:hAnsi="ITC Avant Garde"/>
          <w:lang w:eastAsia="es-ES"/>
        </w:rPr>
        <w:t>En virtud de los referidos Antecedentes, y</w:t>
      </w:r>
    </w:p>
    <w:p w:rsidR="001975D2" w:rsidRPr="00B613DB" w:rsidRDefault="00F11878" w:rsidP="00CD4921">
      <w:pPr>
        <w:pStyle w:val="Ttulo2"/>
        <w:spacing w:before="240"/>
        <w:jc w:val="center"/>
        <w:rPr>
          <w:rFonts w:ascii="ITC Avant Garde" w:hAnsi="ITC Avant Garde"/>
          <w:szCs w:val="22"/>
        </w:rPr>
      </w:pPr>
      <w:r w:rsidRPr="00B613DB">
        <w:rPr>
          <w:rFonts w:ascii="ITC Avant Garde" w:hAnsi="ITC Avant Garde"/>
          <w:szCs w:val="22"/>
        </w:rPr>
        <w:t>CONSIDERANDO</w:t>
      </w:r>
    </w:p>
    <w:p w:rsidR="001975D2" w:rsidRPr="00B613DB" w:rsidRDefault="007977CC" w:rsidP="001975D2">
      <w:pPr>
        <w:widowControl w:val="0"/>
        <w:tabs>
          <w:tab w:val="left" w:pos="720"/>
          <w:tab w:val="center" w:pos="4419"/>
          <w:tab w:val="right" w:pos="8838"/>
        </w:tabs>
        <w:spacing w:before="240" w:after="0"/>
        <w:jc w:val="both"/>
        <w:rPr>
          <w:rFonts w:ascii="ITC Avant Garde" w:eastAsia="Times New Roman" w:hAnsi="ITC Avant Garde"/>
          <w:szCs w:val="20"/>
          <w:highlight w:val="yellow"/>
        </w:rPr>
      </w:pPr>
      <w:r w:rsidRPr="00B613DB">
        <w:rPr>
          <w:rFonts w:ascii="ITC Avant Garde" w:eastAsia="Times New Roman" w:hAnsi="ITC Avant Garde" w:cs="Arial"/>
          <w:b/>
          <w:szCs w:val="20"/>
        </w:rPr>
        <w:t xml:space="preserve">PRIMERO.- Cumplimiento a la ejecutoria </w:t>
      </w:r>
      <w:r w:rsidRPr="00B613DB">
        <w:rPr>
          <w:rFonts w:ascii="ITC Avant Garde" w:hAnsi="ITC Avant Garde"/>
          <w:b/>
          <w:lang w:val="es-ES"/>
        </w:rPr>
        <w:t>del amparo en revisión A.</w:t>
      </w:r>
      <w:r w:rsidR="00E84A52" w:rsidRPr="00B613DB">
        <w:rPr>
          <w:rFonts w:ascii="ITC Avant Garde" w:hAnsi="ITC Avant Garde"/>
          <w:b/>
          <w:lang w:val="es-ES"/>
        </w:rPr>
        <w:t>R.</w:t>
      </w:r>
      <w:r w:rsidRPr="00B613DB">
        <w:rPr>
          <w:rFonts w:ascii="ITC Avant Garde" w:hAnsi="ITC Avant Garde"/>
          <w:b/>
          <w:lang w:val="es-ES"/>
        </w:rPr>
        <w:t xml:space="preserve"> </w:t>
      </w:r>
      <w:r w:rsidR="00304359" w:rsidRPr="00B613DB">
        <w:rPr>
          <w:rFonts w:ascii="ITC Avant Garde" w:hAnsi="ITC Avant Garde"/>
          <w:b/>
          <w:lang w:val="es-ES"/>
        </w:rPr>
        <w:t>329</w:t>
      </w:r>
      <w:r w:rsidRPr="00B613DB">
        <w:rPr>
          <w:rFonts w:ascii="ITC Avant Garde" w:hAnsi="ITC Avant Garde"/>
          <w:b/>
          <w:lang w:val="es-ES"/>
        </w:rPr>
        <w:t>/2016</w:t>
      </w:r>
      <w:r w:rsidRPr="00B613DB">
        <w:rPr>
          <w:rFonts w:ascii="ITC Avant Garde" w:eastAsia="Times New Roman" w:hAnsi="ITC Avant Garde" w:cs="Arial"/>
          <w:b/>
          <w:szCs w:val="20"/>
        </w:rPr>
        <w:t xml:space="preserve">. </w:t>
      </w:r>
      <w:r w:rsidRPr="00B613DB">
        <w:rPr>
          <w:rFonts w:ascii="ITC Avant Garde" w:eastAsia="Times New Roman" w:hAnsi="ITC Avant Garde" w:cs="Arial"/>
          <w:szCs w:val="20"/>
        </w:rPr>
        <w:t xml:space="preserve">Con </w:t>
      </w:r>
      <w:r w:rsidRPr="00B613DB">
        <w:rPr>
          <w:rFonts w:ascii="ITC Avant Garde" w:eastAsia="Times New Roman" w:hAnsi="ITC Avant Garde"/>
          <w:szCs w:val="20"/>
        </w:rPr>
        <w:t xml:space="preserve">fecha </w:t>
      </w:r>
      <w:r w:rsidR="00304359" w:rsidRPr="00B613DB">
        <w:rPr>
          <w:rFonts w:ascii="ITC Avant Garde" w:eastAsia="Times New Roman" w:hAnsi="ITC Avant Garde"/>
          <w:szCs w:val="20"/>
        </w:rPr>
        <w:t>12 de agosto</w:t>
      </w:r>
      <w:r w:rsidRPr="00B613DB">
        <w:rPr>
          <w:rFonts w:ascii="ITC Avant Garde" w:eastAsia="Times New Roman" w:hAnsi="ITC Avant Garde"/>
          <w:szCs w:val="20"/>
        </w:rPr>
        <w:t xml:space="preserve"> de 201</w:t>
      </w:r>
      <w:r w:rsidR="00304359" w:rsidRPr="00B613DB">
        <w:rPr>
          <w:rFonts w:ascii="ITC Avant Garde" w:eastAsia="Times New Roman" w:hAnsi="ITC Avant Garde"/>
          <w:szCs w:val="20"/>
        </w:rPr>
        <w:t>5</w:t>
      </w:r>
      <w:r w:rsidRPr="00B613DB">
        <w:rPr>
          <w:rFonts w:ascii="ITC Avant Garde" w:eastAsia="Times New Roman" w:hAnsi="ITC Avant Garde"/>
          <w:szCs w:val="20"/>
        </w:rPr>
        <w:t>, el Pleno del Instituto emitió la “</w:t>
      </w:r>
      <w:r w:rsidR="00304359" w:rsidRPr="00B613DB">
        <w:rPr>
          <w:rFonts w:ascii="ITC Avant Garde" w:eastAsia="Times New Roman" w:hAnsi="ITC Avant Garde"/>
          <w:szCs w:val="20"/>
        </w:rPr>
        <w:t>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w:t>
      </w:r>
      <w:r w:rsidRPr="00B613DB">
        <w:rPr>
          <w:rFonts w:ascii="ITC Avant Garde" w:eastAsia="Times New Roman" w:hAnsi="ITC Avant Garde"/>
          <w:szCs w:val="20"/>
        </w:rPr>
        <w:t xml:space="preserve">”, aprobada en su </w:t>
      </w:r>
      <w:r w:rsidR="00304359" w:rsidRPr="00B613DB">
        <w:rPr>
          <w:rFonts w:ascii="ITC Avant Garde" w:eastAsia="Times New Roman" w:hAnsi="ITC Avant Garde"/>
          <w:szCs w:val="20"/>
        </w:rPr>
        <w:t>XVI Sesión Ordinaria</w:t>
      </w:r>
      <w:r w:rsidRPr="00B613DB">
        <w:rPr>
          <w:rFonts w:ascii="ITC Avant Garde" w:eastAsia="Times New Roman" w:hAnsi="ITC Avant Garde"/>
          <w:szCs w:val="20"/>
        </w:rPr>
        <w:t xml:space="preserve">, mediante Acuerdo </w:t>
      </w:r>
      <w:r w:rsidR="00304359" w:rsidRPr="00B613DB">
        <w:rPr>
          <w:rFonts w:ascii="ITC Avant Garde" w:eastAsia="Times New Roman" w:hAnsi="ITC Avant Garde"/>
          <w:szCs w:val="20"/>
        </w:rPr>
        <w:t>P/IFT/120815/372</w:t>
      </w:r>
      <w:r w:rsidRPr="00B613DB">
        <w:rPr>
          <w:rFonts w:ascii="ITC Avant Garde" w:eastAsia="Times New Roman" w:hAnsi="ITC Avant Garde"/>
          <w:szCs w:val="20"/>
        </w:rPr>
        <w:t>.</w:t>
      </w:r>
    </w:p>
    <w:p w:rsidR="001975D2" w:rsidRPr="00B613DB" w:rsidRDefault="007977CC" w:rsidP="001975D2">
      <w:pPr>
        <w:pStyle w:val="Piedepgina"/>
        <w:widowControl w:val="0"/>
        <w:tabs>
          <w:tab w:val="left" w:pos="720"/>
        </w:tabs>
        <w:spacing w:before="240" w:line="276" w:lineRule="auto"/>
        <w:jc w:val="both"/>
        <w:rPr>
          <w:rFonts w:ascii="ITC Avant Garde" w:hAnsi="ITC Avant Garde"/>
        </w:rPr>
      </w:pPr>
      <w:r w:rsidRPr="00B613DB">
        <w:rPr>
          <w:rFonts w:ascii="ITC Avant Garde" w:hAnsi="ITC Avant Garde"/>
        </w:rPr>
        <w:t xml:space="preserve">En consecuencia, el </w:t>
      </w:r>
      <w:r w:rsidR="004422C6" w:rsidRPr="00B613DB">
        <w:rPr>
          <w:rFonts w:ascii="ITC Avant Garde" w:hAnsi="ITC Avant Garde"/>
        </w:rPr>
        <w:t>11 de septiembre de 2015</w:t>
      </w:r>
      <w:r w:rsidRPr="00B613DB">
        <w:rPr>
          <w:rFonts w:ascii="ITC Avant Garde" w:hAnsi="ITC Avant Garde"/>
        </w:rPr>
        <w:t xml:space="preserve">, el representante legal de </w:t>
      </w:r>
      <w:r w:rsidR="004422C6" w:rsidRPr="00B613DB">
        <w:rPr>
          <w:rFonts w:ascii="ITC Avant Garde" w:hAnsi="ITC Avant Garde"/>
        </w:rPr>
        <w:t>Telcel</w:t>
      </w:r>
      <w:r w:rsidRPr="00B613DB">
        <w:rPr>
          <w:rFonts w:ascii="ITC Avant Garde" w:hAnsi="ITC Avant Garde"/>
        </w:rPr>
        <w:t xml:space="preserve"> presentó en la Oficina de Correspondencia Común de los Juzgados de Distrito y Tribunales Colegiados en Materia Administrativa Especializados en Competencia Económica, Radiodifusión y Telecomunicaciones, escrito mediante el cual demandó el amparo y protección de la justicia federal, señalando entre otros, como acto reclamado la resolución citada en el párrafo anterior.</w:t>
      </w:r>
    </w:p>
    <w:p w:rsidR="001975D2" w:rsidRPr="00B613DB" w:rsidRDefault="007977CC" w:rsidP="001975D2">
      <w:pPr>
        <w:pStyle w:val="Textoindependiente"/>
        <w:widowControl w:val="0"/>
        <w:tabs>
          <w:tab w:val="left" w:pos="720"/>
          <w:tab w:val="center" w:pos="4419"/>
          <w:tab w:val="right" w:pos="8838"/>
        </w:tabs>
        <w:spacing w:before="240" w:line="276" w:lineRule="auto"/>
        <w:rPr>
          <w:rFonts w:ascii="ITC Avant Garde" w:hAnsi="ITC Avant Garde" w:cs="Arial"/>
          <w:highlight w:val="yellow"/>
        </w:rPr>
      </w:pPr>
      <w:r w:rsidRPr="00B613DB">
        <w:rPr>
          <w:rFonts w:ascii="ITC Avant Garde" w:hAnsi="ITC Avant Garde" w:cs="Arial"/>
        </w:rPr>
        <w:t xml:space="preserve">Mediante Acuerdo de fecha </w:t>
      </w:r>
      <w:r w:rsidR="004422C6" w:rsidRPr="00B613DB">
        <w:rPr>
          <w:rFonts w:ascii="ITC Avant Garde" w:hAnsi="ITC Avant Garde" w:cs="Arial"/>
        </w:rPr>
        <w:t>15 de septiembre de 2015</w:t>
      </w:r>
      <w:r w:rsidRPr="00B613DB">
        <w:rPr>
          <w:rFonts w:ascii="ITC Avant Garde" w:hAnsi="ITC Avant Garde" w:cs="Arial"/>
        </w:rPr>
        <w:t xml:space="preserve">, la Juez </w:t>
      </w:r>
      <w:r w:rsidR="004422C6" w:rsidRPr="00B613DB">
        <w:rPr>
          <w:rFonts w:ascii="ITC Avant Garde" w:hAnsi="ITC Avant Garde" w:cs="Arial"/>
        </w:rPr>
        <w:t>Segundo</w:t>
      </w:r>
      <w:r w:rsidRPr="00B613DB">
        <w:rPr>
          <w:rFonts w:ascii="ITC Avant Garde" w:hAnsi="ITC Avant Garde" w:cs="Arial"/>
        </w:rPr>
        <w:t xml:space="preserve">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w:t>
      </w:r>
      <w:r w:rsidR="004422C6" w:rsidRPr="00B613DB">
        <w:rPr>
          <w:rFonts w:ascii="ITC Avant Garde" w:hAnsi="ITC Avant Garde" w:cs="Arial"/>
        </w:rPr>
        <w:t>1642/2015</w:t>
      </w:r>
      <w:r w:rsidRPr="00B613DB">
        <w:rPr>
          <w:rFonts w:ascii="ITC Avant Garde" w:hAnsi="ITC Avant Garde" w:cs="Arial"/>
        </w:rPr>
        <w:t xml:space="preserve"> admitió a trámite la demanda de amparo, solicitó a las autoridades señaladas como responsables su informe justificado, dio al Agente del Ministerio Público de la Federación la intervención que le compete; y seguidos los trámites de ley, el </w:t>
      </w:r>
      <w:r w:rsidR="004422C6" w:rsidRPr="00B613DB">
        <w:rPr>
          <w:rFonts w:ascii="ITC Avant Garde" w:hAnsi="ITC Avant Garde" w:cs="Arial"/>
        </w:rPr>
        <w:t>11 de diciembre de 2015</w:t>
      </w:r>
      <w:r w:rsidRPr="00B613DB">
        <w:rPr>
          <w:rFonts w:ascii="ITC Avant Garde" w:hAnsi="ITC Avant Garde" w:cs="Arial"/>
        </w:rPr>
        <w:t xml:space="preserve"> dictó sentencia, a través de la cual </w:t>
      </w:r>
      <w:r w:rsidR="004422C6" w:rsidRPr="00B613DB">
        <w:rPr>
          <w:rFonts w:ascii="ITC Avant Garde" w:hAnsi="ITC Avant Garde" w:cs="Arial"/>
        </w:rPr>
        <w:t xml:space="preserve">se </w:t>
      </w:r>
      <w:r w:rsidRPr="00B613DB">
        <w:rPr>
          <w:rFonts w:ascii="ITC Avant Garde" w:hAnsi="ITC Avant Garde" w:cs="Arial"/>
        </w:rPr>
        <w:t xml:space="preserve">negó </w:t>
      </w:r>
      <w:r w:rsidR="004422C6" w:rsidRPr="00B613DB">
        <w:rPr>
          <w:rFonts w:ascii="ITC Avant Garde" w:hAnsi="ITC Avant Garde" w:cs="Arial"/>
        </w:rPr>
        <w:t>el amparo</w:t>
      </w:r>
      <w:r w:rsidR="007928B4" w:rsidRPr="00B613DB">
        <w:rPr>
          <w:rFonts w:ascii="ITC Avant Garde" w:hAnsi="ITC Avant Garde" w:cs="Arial"/>
        </w:rPr>
        <w:t xml:space="preserve"> en contra del artículo Vigésimo Transitorio, párrafo segundo de</w:t>
      </w:r>
      <w:r w:rsidR="00EC17DD" w:rsidRPr="00B613DB">
        <w:rPr>
          <w:rFonts w:ascii="ITC Avant Garde" w:hAnsi="ITC Avant Garde" w:cs="Arial"/>
        </w:rPr>
        <w:t>l Decreto de Ley</w:t>
      </w:r>
      <w:r w:rsidR="007928B4" w:rsidRPr="00B613DB">
        <w:rPr>
          <w:rFonts w:ascii="ITC Avant Garde" w:hAnsi="ITC Avant Garde" w:cs="Arial"/>
        </w:rPr>
        <w:t xml:space="preserve"> y se consideró procedente conceder el amparo y protección de la Justicia Federal solicitado por Telcel para el efecto de que el Instituto, una vez que la sentencia alcance el grado de ejecutoria, desincorpore de sus esfera jurídica el Acuerdo de Tarifas 2015.</w:t>
      </w:r>
    </w:p>
    <w:p w:rsidR="001975D2" w:rsidRPr="00B613DB" w:rsidRDefault="007977CC" w:rsidP="001975D2">
      <w:pPr>
        <w:widowControl w:val="0"/>
        <w:tabs>
          <w:tab w:val="left" w:pos="720"/>
          <w:tab w:val="center" w:pos="4419"/>
          <w:tab w:val="right" w:pos="8838"/>
        </w:tabs>
        <w:spacing w:before="240" w:after="0"/>
        <w:jc w:val="both"/>
        <w:rPr>
          <w:rFonts w:ascii="ITC Avant Garde" w:eastAsia="Times New Roman" w:hAnsi="ITC Avant Garde" w:cs="Arial"/>
          <w:szCs w:val="20"/>
        </w:rPr>
      </w:pPr>
      <w:r w:rsidRPr="00B613DB">
        <w:rPr>
          <w:rFonts w:ascii="ITC Avant Garde" w:eastAsia="Times New Roman" w:hAnsi="ITC Avant Garde" w:cs="Arial"/>
          <w:szCs w:val="20"/>
        </w:rPr>
        <w:t xml:space="preserve">Ahora bien, dado que </w:t>
      </w:r>
      <w:r w:rsidR="008757C0" w:rsidRPr="00B613DB">
        <w:rPr>
          <w:rFonts w:ascii="ITC Avant Garde" w:eastAsia="Times New Roman" w:hAnsi="ITC Avant Garde" w:cs="Arial"/>
          <w:szCs w:val="20"/>
        </w:rPr>
        <w:t>el Instituto y las empresas Pegaso PCS y GTM</w:t>
      </w:r>
      <w:r w:rsidRPr="00B613DB">
        <w:rPr>
          <w:rFonts w:ascii="ITC Avant Garde" w:eastAsia="Times New Roman" w:hAnsi="ITC Avant Garde" w:cs="Arial"/>
          <w:szCs w:val="20"/>
        </w:rPr>
        <w:t xml:space="preserve"> qued</w:t>
      </w:r>
      <w:r w:rsidR="008757C0" w:rsidRPr="00B613DB">
        <w:rPr>
          <w:rFonts w:ascii="ITC Avant Garde" w:eastAsia="Times New Roman" w:hAnsi="ITC Avant Garde" w:cs="Arial"/>
          <w:szCs w:val="20"/>
        </w:rPr>
        <w:t xml:space="preserve">aron </w:t>
      </w:r>
      <w:r w:rsidR="008757C0" w:rsidRPr="00B613DB">
        <w:rPr>
          <w:rFonts w:ascii="ITC Avant Garde" w:eastAsia="Times New Roman" w:hAnsi="ITC Avant Garde" w:cs="Arial"/>
          <w:szCs w:val="20"/>
        </w:rPr>
        <w:lastRenderedPageBreak/>
        <w:t>inconformes</w:t>
      </w:r>
      <w:r w:rsidRPr="00B613DB">
        <w:rPr>
          <w:rFonts w:ascii="ITC Avant Garde" w:eastAsia="Times New Roman" w:hAnsi="ITC Avant Garde" w:cs="Arial"/>
          <w:szCs w:val="20"/>
        </w:rPr>
        <w:t xml:space="preserve"> con la sentencia, el </w:t>
      </w:r>
      <w:r w:rsidR="008757C0" w:rsidRPr="00B613DB">
        <w:rPr>
          <w:rFonts w:ascii="ITC Avant Garde" w:eastAsia="Times New Roman" w:hAnsi="ITC Avant Garde" w:cs="Arial"/>
          <w:szCs w:val="20"/>
        </w:rPr>
        <w:t>18</w:t>
      </w:r>
      <w:r w:rsidRPr="00B613DB">
        <w:rPr>
          <w:rFonts w:ascii="ITC Avant Garde" w:eastAsia="Times New Roman" w:hAnsi="ITC Avant Garde" w:cs="Arial"/>
          <w:szCs w:val="20"/>
        </w:rPr>
        <w:t xml:space="preserve"> de </w:t>
      </w:r>
      <w:r w:rsidR="008757C0" w:rsidRPr="00B613DB">
        <w:rPr>
          <w:rFonts w:ascii="ITC Avant Garde" w:eastAsia="Times New Roman" w:hAnsi="ITC Avant Garde" w:cs="Arial"/>
          <w:szCs w:val="20"/>
        </w:rPr>
        <w:t>diciembre de 2015 y 30 de enero de 2016, respectivamente</w:t>
      </w:r>
      <w:r w:rsidRPr="00B613DB">
        <w:rPr>
          <w:rFonts w:ascii="ITC Avant Garde" w:eastAsia="Times New Roman" w:hAnsi="ITC Avant Garde" w:cs="Arial"/>
          <w:szCs w:val="20"/>
        </w:rPr>
        <w:t>,</w:t>
      </w:r>
      <w:r w:rsidR="008757C0" w:rsidRPr="00B613DB">
        <w:rPr>
          <w:rFonts w:ascii="ITC Avant Garde" w:eastAsia="Times New Roman" w:hAnsi="ITC Avant Garde" w:cs="Arial"/>
          <w:szCs w:val="20"/>
        </w:rPr>
        <w:t xml:space="preserve"> </w:t>
      </w:r>
      <w:r w:rsidRPr="00B613DB">
        <w:rPr>
          <w:rFonts w:ascii="ITC Avant Garde" w:eastAsia="Times New Roman" w:hAnsi="ITC Avant Garde" w:cs="Arial"/>
          <w:szCs w:val="20"/>
        </w:rPr>
        <w:t>interpus</w:t>
      </w:r>
      <w:r w:rsidR="008757C0" w:rsidRPr="00B613DB">
        <w:rPr>
          <w:rFonts w:ascii="ITC Avant Garde" w:eastAsia="Times New Roman" w:hAnsi="ITC Avant Garde" w:cs="Arial"/>
          <w:szCs w:val="20"/>
        </w:rPr>
        <w:t>ieron</w:t>
      </w:r>
      <w:r w:rsidRPr="00B613DB">
        <w:rPr>
          <w:rFonts w:ascii="ITC Avant Garde" w:eastAsia="Times New Roman" w:hAnsi="ITC Avant Garde" w:cs="Arial"/>
          <w:szCs w:val="20"/>
        </w:rPr>
        <w:t xml:space="preserve"> recurso de revisión, el cual fue turnado al </w:t>
      </w:r>
      <w:r w:rsidR="00606147" w:rsidRPr="00B613DB">
        <w:rPr>
          <w:rFonts w:ascii="ITC Avant Garde" w:eastAsia="Times New Roman" w:hAnsi="ITC Avant Garde" w:cs="Arial"/>
          <w:szCs w:val="20"/>
        </w:rPr>
        <w:t>Segundo</w:t>
      </w:r>
      <w:r w:rsidRPr="00B613DB">
        <w:rPr>
          <w:rFonts w:ascii="ITC Avant Garde" w:eastAsia="Times New Roman" w:hAnsi="ITC Avant Garde" w:cs="Arial"/>
          <w:szCs w:val="20"/>
        </w:rPr>
        <w:t xml:space="preserve"> Tribunal Colegiado de Circuito </w:t>
      </w:r>
      <w:r w:rsidRPr="00B613DB">
        <w:rPr>
          <w:rFonts w:ascii="ITC Avant Garde" w:eastAsia="Times New Roman" w:hAnsi="ITC Avant Garde"/>
          <w:szCs w:val="20"/>
        </w:rPr>
        <w:t xml:space="preserve">en Materia Administrativa especializado en Competencia Económica, Radiodifusión y Telecomunicaciones </w:t>
      </w:r>
      <w:r w:rsidRPr="00B613DB">
        <w:rPr>
          <w:rFonts w:ascii="ITC Avant Garde" w:eastAsia="Times New Roman" w:hAnsi="ITC Avant Garde" w:cs="Arial"/>
          <w:szCs w:val="20"/>
        </w:rPr>
        <w:t xml:space="preserve">con residencia en la Ciudad de México y jurisdicción en toda la República, el cual, se admitió a trámite y se registró bajo el toca R.A. </w:t>
      </w:r>
      <w:r w:rsidR="00606147" w:rsidRPr="00B613DB">
        <w:rPr>
          <w:rFonts w:ascii="ITC Avant Garde" w:eastAsia="Times New Roman" w:hAnsi="ITC Avant Garde" w:cs="Arial"/>
          <w:szCs w:val="20"/>
        </w:rPr>
        <w:t>5</w:t>
      </w:r>
      <w:r w:rsidRPr="00B613DB">
        <w:rPr>
          <w:rFonts w:ascii="ITC Avant Garde" w:eastAsia="Times New Roman" w:hAnsi="ITC Avant Garde" w:cs="Arial"/>
          <w:szCs w:val="20"/>
        </w:rPr>
        <w:t>/2016, y en cuya ejecu</w:t>
      </w:r>
      <w:r w:rsidR="00606147" w:rsidRPr="00B613DB">
        <w:rPr>
          <w:rFonts w:ascii="ITC Avant Garde" w:eastAsia="Times New Roman" w:hAnsi="ITC Avant Garde" w:cs="Arial"/>
          <w:szCs w:val="20"/>
        </w:rPr>
        <w:t>toria de fecha 18 de marzo de 2016, ordenó la remisión del asunto a la Suprema Corte de Justicia de la Nación</w:t>
      </w:r>
      <w:r w:rsidR="00D81808" w:rsidRPr="00B613DB">
        <w:rPr>
          <w:rFonts w:ascii="ITC Avant Garde" w:eastAsia="Times New Roman" w:hAnsi="ITC Avant Garde" w:cs="Arial"/>
          <w:szCs w:val="20"/>
        </w:rPr>
        <w:t xml:space="preserve"> (en lo sucesivo, “SCJN”)</w:t>
      </w:r>
      <w:r w:rsidR="00606147" w:rsidRPr="00B613DB">
        <w:rPr>
          <w:rFonts w:ascii="ITC Avant Garde" w:eastAsia="Times New Roman" w:hAnsi="ITC Avant Garde" w:cs="Arial"/>
          <w:szCs w:val="20"/>
        </w:rPr>
        <w:t xml:space="preserve">, toda vez que subsistía un planteamiento de constitucionalidad sobre el artículo vigésimo transitorio, segundo párrafo </w:t>
      </w:r>
      <w:r w:rsidR="00EC17DD" w:rsidRPr="00B613DB">
        <w:rPr>
          <w:rFonts w:ascii="ITC Avant Garde" w:eastAsia="Times New Roman" w:hAnsi="ITC Avant Garde" w:cs="Arial"/>
          <w:szCs w:val="20"/>
        </w:rPr>
        <w:t>del Decreto de Ley</w:t>
      </w:r>
      <w:r w:rsidR="00606147" w:rsidRPr="00B613DB">
        <w:rPr>
          <w:rFonts w:ascii="ITC Avant Garde" w:eastAsia="Times New Roman" w:hAnsi="ITC Avant Garde" w:cs="Arial"/>
          <w:szCs w:val="20"/>
        </w:rPr>
        <w:t>.</w:t>
      </w:r>
    </w:p>
    <w:p w:rsidR="001975D2" w:rsidRPr="00B613DB" w:rsidRDefault="00FA27D2" w:rsidP="001975D2">
      <w:pPr>
        <w:widowControl w:val="0"/>
        <w:tabs>
          <w:tab w:val="left" w:pos="720"/>
          <w:tab w:val="center" w:pos="4419"/>
          <w:tab w:val="right" w:pos="8838"/>
        </w:tabs>
        <w:spacing w:before="240" w:after="0"/>
        <w:jc w:val="both"/>
        <w:rPr>
          <w:rFonts w:ascii="ITC Avant Garde" w:eastAsia="Times New Roman" w:hAnsi="ITC Avant Garde" w:cs="Arial"/>
          <w:szCs w:val="20"/>
        </w:rPr>
      </w:pPr>
      <w:r w:rsidRPr="00B613DB">
        <w:rPr>
          <w:rFonts w:ascii="ITC Avant Garde" w:eastAsia="Times New Roman" w:hAnsi="ITC Avant Garde" w:cs="Arial"/>
          <w:szCs w:val="20"/>
        </w:rPr>
        <w:t>Es así que</w:t>
      </w:r>
      <w:r w:rsidR="00606147" w:rsidRPr="00B613DB">
        <w:rPr>
          <w:rFonts w:ascii="ITC Avant Garde" w:eastAsia="Times New Roman" w:hAnsi="ITC Avant Garde" w:cs="Arial"/>
          <w:szCs w:val="20"/>
        </w:rPr>
        <w:t>, mediante proveído de fecha</w:t>
      </w:r>
      <w:r w:rsidR="00D81808" w:rsidRPr="00B613DB">
        <w:rPr>
          <w:rFonts w:ascii="ITC Avant Garde" w:eastAsia="Times New Roman" w:hAnsi="ITC Avant Garde" w:cs="Arial"/>
          <w:szCs w:val="20"/>
        </w:rPr>
        <w:t xml:space="preserve"> 7 de abril de 2016, el </w:t>
      </w:r>
      <w:r w:rsidR="00A15627" w:rsidRPr="00B613DB">
        <w:rPr>
          <w:rFonts w:ascii="ITC Avant Garde" w:eastAsia="Times New Roman" w:hAnsi="ITC Avant Garde" w:cs="Arial"/>
          <w:szCs w:val="20"/>
        </w:rPr>
        <w:t xml:space="preserve">Ministro </w:t>
      </w:r>
      <w:r w:rsidR="00D81808" w:rsidRPr="00B613DB">
        <w:rPr>
          <w:rFonts w:ascii="ITC Avant Garde" w:eastAsia="Times New Roman" w:hAnsi="ITC Avant Garde" w:cs="Arial"/>
          <w:szCs w:val="20"/>
        </w:rPr>
        <w:t>Presidente de la SCJN determinó que el Alto Tribunal asumiría su competencia originaria para conocer de los recursos de revisión, ordenó el registro del asunto con el número de amparo en revisión 3</w:t>
      </w:r>
      <w:r w:rsidR="00E84A52" w:rsidRPr="00B613DB">
        <w:rPr>
          <w:rFonts w:ascii="ITC Avant Garde" w:eastAsia="Times New Roman" w:hAnsi="ITC Avant Garde" w:cs="Arial"/>
          <w:szCs w:val="20"/>
        </w:rPr>
        <w:t>2</w:t>
      </w:r>
      <w:r w:rsidR="00D81808" w:rsidRPr="00B613DB">
        <w:rPr>
          <w:rFonts w:ascii="ITC Avant Garde" w:eastAsia="Times New Roman" w:hAnsi="ITC Avant Garde" w:cs="Arial"/>
          <w:szCs w:val="20"/>
        </w:rPr>
        <w:t>9/2016, turnó el expediente para su estudio al Ministro Eduardo Medina Mora</w:t>
      </w:r>
      <w:r w:rsidRPr="00B613DB">
        <w:rPr>
          <w:rFonts w:ascii="ITC Avant Garde" w:eastAsia="Times New Roman" w:hAnsi="ITC Avant Garde" w:cs="Arial"/>
          <w:szCs w:val="20"/>
        </w:rPr>
        <w:t xml:space="preserve"> I.</w:t>
      </w:r>
      <w:r w:rsidR="004F0BDB" w:rsidRPr="00B613DB">
        <w:rPr>
          <w:rFonts w:ascii="ITC Avant Garde" w:eastAsia="Times New Roman" w:hAnsi="ITC Avant Garde" w:cs="Arial"/>
          <w:szCs w:val="20"/>
        </w:rPr>
        <w:t>, ordenó su</w:t>
      </w:r>
      <w:r w:rsidRPr="00B613DB">
        <w:rPr>
          <w:rFonts w:ascii="ITC Avant Garde" w:eastAsia="Times New Roman" w:hAnsi="ITC Avant Garde" w:cs="Arial"/>
          <w:szCs w:val="20"/>
        </w:rPr>
        <w:t xml:space="preserve"> envío a la Sala de su adscripción y ordenó notificar al Agente del Ministerio Público de la Federación.</w:t>
      </w:r>
    </w:p>
    <w:p w:rsidR="001975D2" w:rsidRPr="00B613DB" w:rsidRDefault="00FA27D2" w:rsidP="001975D2">
      <w:pPr>
        <w:widowControl w:val="0"/>
        <w:tabs>
          <w:tab w:val="left" w:pos="720"/>
          <w:tab w:val="center" w:pos="4419"/>
          <w:tab w:val="right" w:pos="8838"/>
        </w:tabs>
        <w:spacing w:before="240" w:after="0"/>
        <w:jc w:val="both"/>
        <w:rPr>
          <w:rFonts w:ascii="ITC Avant Garde" w:eastAsia="Times New Roman" w:hAnsi="ITC Avant Garde" w:cs="Arial"/>
          <w:szCs w:val="20"/>
        </w:rPr>
      </w:pPr>
      <w:r w:rsidRPr="00B613DB">
        <w:rPr>
          <w:rFonts w:ascii="ITC Avant Garde" w:eastAsia="Times New Roman" w:hAnsi="ITC Avant Garde" w:cs="Arial"/>
          <w:szCs w:val="20"/>
        </w:rPr>
        <w:t xml:space="preserve">En tal virtud, mediante acuerdo de fecha 19 de agosto de 2016, el Presidente de la Segunda Sala de la SCJN, determinó que se avocaba al conocimiento del asunto y, por lo tanto ordenó remitir el expediente relativo al Ministro ponente para la elaboración del proyecto respectivo, en cuya sentencia de fecha </w:t>
      </w:r>
      <w:r w:rsidR="005A3106" w:rsidRPr="00B613DB">
        <w:rPr>
          <w:rFonts w:ascii="ITC Avant Garde" w:eastAsia="Times New Roman" w:hAnsi="ITC Avant Garde" w:cs="Arial"/>
          <w:szCs w:val="20"/>
        </w:rPr>
        <w:t>21 de junio de 2017, consideró lo siguiente:</w:t>
      </w:r>
    </w:p>
    <w:p w:rsidR="001975D2" w:rsidRPr="00B613DB" w:rsidRDefault="007977C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r w:rsidR="005A3106" w:rsidRPr="00B613DB">
        <w:rPr>
          <w:rFonts w:ascii="ITC Avant Garde" w:eastAsia="Times New Roman" w:hAnsi="ITC Avant Garde"/>
          <w:b/>
          <w:iCs/>
          <w:sz w:val="18"/>
          <w:szCs w:val="24"/>
          <w:lang w:val="es-ES" w:eastAsia="es-ES"/>
        </w:rPr>
        <w:t>CUARTO. Consideraciones previas (marco constitucional, legal y jurisprudencial).</w:t>
      </w:r>
      <w:r w:rsidR="005A3106" w:rsidRPr="00B613DB">
        <w:rPr>
          <w:rFonts w:ascii="ITC Avant Garde" w:eastAsia="Times New Roman" w:hAnsi="ITC Avant Garde"/>
          <w:iCs/>
          <w:sz w:val="18"/>
          <w:szCs w:val="24"/>
          <w:lang w:val="es-ES" w:eastAsia="es-ES"/>
        </w:rPr>
        <w:t xml:space="preserve"> A fin proceder al análisis de constitucionalidad</w:t>
      </w:r>
      <w:r w:rsidR="00007553" w:rsidRPr="00B613DB">
        <w:rPr>
          <w:rFonts w:ascii="ITC Avant Garde" w:eastAsia="Times New Roman" w:hAnsi="ITC Avant Garde"/>
          <w:iCs/>
          <w:sz w:val="18"/>
          <w:szCs w:val="24"/>
          <w:lang w:val="es-ES" w:eastAsia="es-ES"/>
        </w:rPr>
        <w:t xml:space="preserve"> del artículo vigésimo transitorio, segundo párrafo, de la Ley Federal de Telecomunicaciones y Radiodifusión es necesario referirse no solo al conjunto normativo o ámbito material de regulación al que pertenece tal precepto, sino también a su naturaleza jurídica de acuerdo con el ámbito temporal de validez que la legislación sectorial le confiera; aspecto, el último, que será materia del estudio de fondo de esta sentencia.</w:t>
      </w:r>
    </w:p>
    <w:p w:rsidR="001975D2" w:rsidRPr="00B613DB" w:rsidRDefault="0000755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Por lo que se refiere al primer aspecto, se tiene que el artículo vigésimo transitorio de la Ley Federal de Telecomunicaciones y Radiodifusión forma parte del </w:t>
      </w:r>
      <w:r w:rsidRPr="00B613DB">
        <w:rPr>
          <w:rFonts w:ascii="ITC Avant Garde" w:eastAsia="Times New Roman" w:hAnsi="ITC Avant Garde"/>
          <w:b/>
          <w:iCs/>
          <w:sz w:val="18"/>
          <w:szCs w:val="24"/>
          <w:lang w:val="es-ES" w:eastAsia="es-ES"/>
        </w:rPr>
        <w:t>conjunto de normas aplicables a la interconexión de redes públicas de telecomunicaciones.</w:t>
      </w:r>
    </w:p>
    <w:p w:rsidR="001975D2" w:rsidRPr="00B613DB" w:rsidRDefault="0000755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Al respecto, es importante señalar en primer término que existe consenso internacional respecto de la relevancia de la interconexión, esto es así puesto que la provisión </w:t>
      </w:r>
      <w:r w:rsidR="008A4430" w:rsidRPr="00B613DB">
        <w:rPr>
          <w:rFonts w:ascii="ITC Avant Garde" w:eastAsia="Times New Roman" w:hAnsi="ITC Avant Garde"/>
          <w:iCs/>
          <w:sz w:val="18"/>
          <w:szCs w:val="24"/>
          <w:lang w:val="es-ES" w:eastAsia="es-ES"/>
        </w:rPr>
        <w:t xml:space="preserve">eficiente de servicios de telecomunicaciones necesita de la complementariedad de las redes públicas de telecomunicaciones y la interconexión es el instrumento que garantiza la interoperabilidad de las redes y de los servicios, permitiendo que usuarios que tienen contratados </w:t>
      </w:r>
      <w:r w:rsidR="00036336" w:rsidRPr="00B613DB">
        <w:rPr>
          <w:rFonts w:ascii="ITC Avant Garde" w:eastAsia="Times New Roman" w:hAnsi="ITC Avant Garde"/>
          <w:iCs/>
          <w:sz w:val="18"/>
          <w:szCs w:val="24"/>
          <w:lang w:val="es-ES" w:eastAsia="es-ES"/>
        </w:rPr>
        <w:t>servicios con diferentes proveedores puedan comunicarse entre sí cursando tráfico conmutado; o bien, que un usuario pueda acceder a servicios de telecomunicaciones prestados por concesionarios diferentes al concesionario que le presta el acceso a la red.</w:t>
      </w:r>
    </w:p>
    <w:p w:rsidR="001975D2" w:rsidRPr="00B613DB" w:rsidRDefault="0003633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03633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lastRenderedPageBreak/>
        <w:t xml:space="preserve">En ese sentido, la interconexión resulta un elemento fundamental para el funcionamiento eficiente del sector, ya que contribuye a garantizar mejores condiciones en precio, calidad y diversidad de los servicios de telecomunicaciones, en beneficio de los consumidores. Lo anterior, es de particular relevancia en mercados como el mexicano que se caracterizan, según lo señaló el Constituyente en la reforma en materia de telecomunicaciones de junio de dos mil trece, por una alta concentración </w:t>
      </w:r>
      <w:r w:rsidR="00F248B6" w:rsidRPr="00B613DB">
        <w:rPr>
          <w:rFonts w:ascii="ITC Avant Garde" w:eastAsia="Times New Roman" w:hAnsi="ITC Avant Garde"/>
          <w:iCs/>
          <w:sz w:val="18"/>
          <w:szCs w:val="24"/>
          <w:lang w:val="es-ES" w:eastAsia="es-ES"/>
        </w:rPr>
        <w:t>que se expresa en tasas de crecimiento y penetración de los servicios por debajo de lo que requiere una economía dinámica e incluyente.</w:t>
      </w:r>
    </w:p>
    <w:p w:rsidR="001975D2" w:rsidRPr="00B613DB" w:rsidRDefault="00F248B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Es importante señalar que la interconexión tiene que darse de manera eficiente para que los usuarios de determinada red puedan comunicarse con los de una red distinta en condiciones que no distorsionen las condiciones de competencia y sin imponer costos excesivos a los usuarios; en ausencia de una adecuada regulación, se corre el riesgo de que los operadores establezcan tarifas u otras condiciones de interconexión excesivas con el fin de desplazar competidores del mercado o restringir la competencia efectiva entre los operadores establecidos.</w:t>
      </w:r>
    </w:p>
    <w:p w:rsidR="001975D2" w:rsidRPr="00B613DB" w:rsidRDefault="00F248B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De ahí que la fijación de precios de acceso sea un elemento clave de cualquier régimen de interconexión y deba proporcionar suficientes incentivos para que el proveedor de acceso invierta en nuevos activos para que quien busca acceso participe donde le resulte eficiente hacerlo. El criterio de regulación predominante en esta materia es el basado en costos; en particular, el de costos incrementales de largo plazo.</w:t>
      </w:r>
    </w:p>
    <w:p w:rsidR="001975D2" w:rsidRPr="00B613DB" w:rsidRDefault="0044376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44376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Ahora bien, a fin de contar con elementos necesarios para comprender el marco legal vigente en materia de interconexión es preciso referirse específicamente </w:t>
      </w:r>
      <w:r w:rsidR="00C125DD" w:rsidRPr="00B613DB">
        <w:rPr>
          <w:rFonts w:ascii="ITC Avant Garde" w:eastAsia="Times New Roman" w:hAnsi="ITC Avant Garde"/>
          <w:iCs/>
          <w:sz w:val="18"/>
          <w:szCs w:val="24"/>
          <w:lang w:val="es-ES" w:eastAsia="es-ES"/>
        </w:rPr>
        <w:t>a los contenidos normativos del Título Quinto (“Del Acceso y la Interconexión”) de la Ley Federal de Telecomunicaciones y Radiodifusión, así como otras disposiciones del mismo cuerpo legal. Sin embargo, cabe precisar que el presente apartado únicamente consiste en una exposición del marco legal de las interconexiones en nuestro país; sin que ello implique que esta Segunda Sala se pronuncie en el presente asunto sobre la validez constitucional de las disposiciones en cuestión.</w:t>
      </w:r>
    </w:p>
    <w:p w:rsidR="001975D2" w:rsidRPr="00B613DB" w:rsidRDefault="00C47B5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C47B56"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Habiendo descrito el marco legal que rige en materia de interconexión es importante señalar que esta materia ha sido objeto de análisis no solo por esta Segunda Sala, sino particularmente por el Tribunal del Pleno, de tal forma que esta Suprema Corte de Justicia de la Nación cuenta con un importante acervo de precedentes y criterios que si bien han sido generados, en su mayoría, con anterioridad a la reforma constitucional en materia de </w:t>
      </w:r>
      <w:r w:rsidR="00CD311B" w:rsidRPr="00B613DB">
        <w:rPr>
          <w:rFonts w:ascii="ITC Avant Garde" w:eastAsia="Times New Roman" w:hAnsi="ITC Avant Garde"/>
          <w:iCs/>
          <w:sz w:val="18"/>
          <w:szCs w:val="24"/>
          <w:lang w:val="es-ES" w:eastAsia="es-ES"/>
        </w:rPr>
        <w:t>telecomunicaciones, publicada en el Diario Oficial de la Federación el once de junio de dos mil trece y, por lo tanto, son previos a la entrada en vigor de la Ley Federal de Telecomunicaciones y Radiodifusión, lo cierto es que constituyen criterios susceptibles de ser aplicados a aquellos casos en los que los contenidos y fines normativos del nuevo marco constitucional y legal son coincidentes con el marco normativo previo.</w:t>
      </w:r>
    </w:p>
    <w:p w:rsidR="001975D2" w:rsidRPr="00B613DB" w:rsidRDefault="00CD311B"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A partir de tal consideración</w:t>
      </w:r>
      <w:r w:rsidR="00347EB7" w:rsidRPr="00B613DB">
        <w:rPr>
          <w:rFonts w:ascii="ITC Avant Garde" w:eastAsia="Times New Roman" w:hAnsi="ITC Avant Garde"/>
          <w:iCs/>
          <w:sz w:val="18"/>
          <w:szCs w:val="24"/>
          <w:lang w:val="es-ES" w:eastAsia="es-ES"/>
        </w:rPr>
        <w:t xml:space="preserve"> y en atención al supuesto normativo que es materia del análisis de constitucionalidad, esta Segunda Sala seguirá como premisas de interpretación los siguientes criterios:</w:t>
      </w:r>
    </w:p>
    <w:p w:rsidR="00347EB7" w:rsidRPr="00B613DB" w:rsidRDefault="00347EB7" w:rsidP="001975D2">
      <w:pPr>
        <w:spacing w:before="240" w:after="0"/>
        <w:ind w:left="567" w:right="567"/>
        <w:jc w:val="both"/>
        <w:rPr>
          <w:rFonts w:ascii="ITC Avant Garde" w:eastAsia="Times New Roman" w:hAnsi="ITC Avant Garde"/>
          <w:b/>
          <w:iCs/>
          <w:sz w:val="18"/>
          <w:szCs w:val="24"/>
          <w:lang w:val="es-ES" w:eastAsia="es-ES"/>
        </w:rPr>
      </w:pPr>
      <w:r w:rsidRPr="00B613DB">
        <w:rPr>
          <w:rFonts w:ascii="ITC Avant Garde" w:eastAsia="Times New Roman" w:hAnsi="ITC Avant Garde"/>
          <w:b/>
          <w:iCs/>
          <w:sz w:val="18"/>
          <w:szCs w:val="24"/>
          <w:lang w:val="es-ES" w:eastAsia="es-ES"/>
        </w:rPr>
        <w:lastRenderedPageBreak/>
        <w:t>1. Espectro e interconexión como servicios públicos de interés general sujetos a la rectoría económica del Estado.</w:t>
      </w:r>
    </w:p>
    <w:p w:rsidR="00347EB7" w:rsidRPr="00B613DB" w:rsidRDefault="00347EB7"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C125DD" w:rsidRPr="00B613DB" w:rsidRDefault="00347EB7" w:rsidP="001975D2">
      <w:pPr>
        <w:spacing w:before="240" w:after="0"/>
        <w:ind w:left="567" w:right="567"/>
        <w:jc w:val="both"/>
        <w:rPr>
          <w:rFonts w:ascii="ITC Avant Garde" w:eastAsia="Times New Roman" w:hAnsi="ITC Avant Garde"/>
          <w:b/>
          <w:iCs/>
          <w:sz w:val="18"/>
          <w:szCs w:val="24"/>
          <w:lang w:val="es-ES" w:eastAsia="es-ES"/>
        </w:rPr>
      </w:pPr>
      <w:r w:rsidRPr="00B613DB">
        <w:rPr>
          <w:rFonts w:ascii="ITC Avant Garde" w:eastAsia="Times New Roman" w:hAnsi="ITC Avant Garde"/>
          <w:b/>
          <w:iCs/>
          <w:sz w:val="18"/>
          <w:szCs w:val="24"/>
          <w:lang w:val="es-ES" w:eastAsia="es-ES"/>
        </w:rPr>
        <w:t>2. Procedimiento para resolver desacuerdos de interconexión y su naturaleza de orden público</w:t>
      </w:r>
    </w:p>
    <w:p w:rsidR="00347EB7" w:rsidRPr="00B613DB" w:rsidRDefault="00347EB7"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347EB7" w:rsidRPr="00B613DB" w:rsidRDefault="00347EB7" w:rsidP="001975D2">
      <w:pPr>
        <w:spacing w:before="240" w:after="0"/>
        <w:ind w:left="567" w:right="567"/>
        <w:jc w:val="both"/>
        <w:rPr>
          <w:rFonts w:ascii="ITC Avant Garde" w:eastAsia="Times New Roman" w:hAnsi="ITC Avant Garde"/>
          <w:b/>
          <w:iCs/>
          <w:sz w:val="18"/>
          <w:szCs w:val="24"/>
          <w:lang w:val="es-ES" w:eastAsia="es-ES"/>
        </w:rPr>
      </w:pPr>
      <w:r w:rsidRPr="00B613DB">
        <w:rPr>
          <w:rFonts w:ascii="ITC Avant Garde" w:eastAsia="Times New Roman" w:hAnsi="ITC Avant Garde"/>
          <w:b/>
          <w:iCs/>
          <w:sz w:val="18"/>
          <w:szCs w:val="24"/>
          <w:lang w:val="es-ES" w:eastAsia="es-ES"/>
        </w:rPr>
        <w:t>3. Determinación de tarifas de interconexión: libertad tarifaria, libertad contractual, seguridad jurídica y progresividad:</w:t>
      </w:r>
    </w:p>
    <w:p w:rsidR="00347EB7" w:rsidRPr="00B613DB" w:rsidRDefault="00347EB7"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347EB7" w:rsidRPr="00B613DB" w:rsidRDefault="00347EB7" w:rsidP="001975D2">
      <w:pPr>
        <w:spacing w:before="240" w:after="0"/>
        <w:ind w:left="567" w:right="567"/>
        <w:jc w:val="both"/>
        <w:rPr>
          <w:rFonts w:ascii="ITC Avant Garde" w:eastAsia="Times New Roman" w:hAnsi="ITC Avant Garde"/>
          <w:b/>
          <w:iCs/>
          <w:sz w:val="18"/>
          <w:szCs w:val="24"/>
          <w:lang w:val="es-ES" w:eastAsia="es-ES"/>
        </w:rPr>
      </w:pPr>
      <w:r w:rsidRPr="00B613DB">
        <w:rPr>
          <w:rFonts w:ascii="ITC Avant Garde" w:eastAsia="Times New Roman" w:hAnsi="ITC Avant Garde"/>
          <w:b/>
          <w:iCs/>
          <w:sz w:val="18"/>
          <w:szCs w:val="24"/>
          <w:lang w:val="es-ES" w:eastAsia="es-ES"/>
        </w:rPr>
        <w:t>4. Regulación asimétrica</w:t>
      </w:r>
    </w:p>
    <w:p w:rsidR="001975D2" w:rsidRPr="00B613DB" w:rsidRDefault="00347EB7"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347EB7"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t xml:space="preserve">QUINTO. Estudio de fondo. </w:t>
      </w:r>
      <w:r w:rsidRPr="00B613DB">
        <w:rPr>
          <w:rFonts w:ascii="ITC Avant Garde" w:eastAsia="Times New Roman" w:hAnsi="ITC Avant Garde"/>
          <w:iCs/>
          <w:sz w:val="18"/>
          <w:szCs w:val="24"/>
          <w:lang w:val="es-ES" w:eastAsia="es-ES"/>
        </w:rPr>
        <w:t>Una vez precisado lo anterior, es necesario reiterar que el artículo vigésimo transitorio, segundo párrafo, de la Ley Federal de Telecomunicaciones y Radiodifusión</w:t>
      </w:r>
      <w:r w:rsidR="004378DC" w:rsidRPr="00B613DB">
        <w:rPr>
          <w:rFonts w:ascii="ITC Avant Garde" w:eastAsia="Times New Roman" w:hAnsi="ITC Avant Garde"/>
          <w:iCs/>
          <w:sz w:val="18"/>
          <w:szCs w:val="24"/>
          <w:lang w:val="es-ES" w:eastAsia="es-ES"/>
        </w:rPr>
        <w:t>, cuya constitucionalidad fue combatida por la quejosa, establece lo siguiente:</w:t>
      </w:r>
    </w:p>
    <w:p w:rsidR="001975D2" w:rsidRPr="00B613DB" w:rsidRDefault="004378DC" w:rsidP="001975D2">
      <w:pPr>
        <w:spacing w:before="240" w:after="0"/>
        <w:ind w:left="1134" w:right="1182"/>
        <w:jc w:val="both"/>
        <w:rPr>
          <w:rFonts w:ascii="ITC Avant Garde" w:hAnsi="ITC Avant Garde"/>
          <w:sz w:val="18"/>
        </w:rPr>
      </w:pPr>
      <w:r w:rsidRPr="00B613DB">
        <w:rPr>
          <w:rFonts w:ascii="ITC Avant Garde" w:hAnsi="ITC Avant Garde"/>
          <w:sz w:val="18"/>
        </w:rPr>
        <w:t>“</w:t>
      </w:r>
      <w:r w:rsidRPr="00B613DB">
        <w:rPr>
          <w:rFonts w:ascii="ITC Avant Garde" w:hAnsi="ITC Avant Garde"/>
          <w:b/>
          <w:sz w:val="18"/>
        </w:rPr>
        <w:t>Vigésimo</w:t>
      </w:r>
      <w:r w:rsidRPr="00B613DB">
        <w:rPr>
          <w:rFonts w:ascii="ITC Avant Garde" w:hAnsi="ITC Avant Garde"/>
          <w:sz w:val="18"/>
        </w:rPr>
        <w:t>. 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1975D2" w:rsidRPr="00B613DB" w:rsidRDefault="004378DC" w:rsidP="001975D2">
      <w:pPr>
        <w:spacing w:before="240" w:after="0"/>
        <w:ind w:left="1134" w:right="1182"/>
        <w:jc w:val="both"/>
        <w:rPr>
          <w:rFonts w:ascii="ITC Avant Garde" w:hAnsi="ITC Avant Garde"/>
          <w:sz w:val="18"/>
        </w:rPr>
      </w:pPr>
      <w:r w:rsidRPr="00B613DB">
        <w:rPr>
          <w:rFonts w:ascii="ITC Avant Garde" w:hAnsi="ITC Avant Garde"/>
          <w:b/>
          <w:sz w:val="18"/>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r w:rsidRPr="00B613DB">
        <w:rPr>
          <w:rFonts w:ascii="ITC Avant Garde" w:hAnsi="ITC Avant Garde"/>
          <w:sz w:val="18"/>
        </w:rPr>
        <w:t>.”</w:t>
      </w:r>
    </w:p>
    <w:p w:rsidR="001975D2" w:rsidRPr="00B613DB" w:rsidRDefault="004378D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Así las cosas, la </w:t>
      </w:r>
      <w:proofErr w:type="spellStart"/>
      <w:r w:rsidRPr="00B613DB">
        <w:rPr>
          <w:rFonts w:ascii="ITC Avant Garde" w:eastAsia="Times New Roman" w:hAnsi="ITC Avant Garde"/>
          <w:iCs/>
          <w:sz w:val="18"/>
          <w:szCs w:val="24"/>
          <w:lang w:val="es-ES" w:eastAsia="es-ES"/>
        </w:rPr>
        <w:t>litis</w:t>
      </w:r>
      <w:proofErr w:type="spellEnd"/>
      <w:r w:rsidRPr="00B613DB">
        <w:rPr>
          <w:rFonts w:ascii="ITC Avant Garde" w:eastAsia="Times New Roman" w:hAnsi="ITC Avant Garde"/>
          <w:iCs/>
          <w:sz w:val="18"/>
          <w:szCs w:val="24"/>
          <w:lang w:val="es-ES" w:eastAsia="es-ES"/>
        </w:rPr>
        <w:t xml:space="preserve"> del presente amparo en revisión, consiste en dilucidar el contenido y alcance de la disposición antes transcrita, en tanto los recursos que fueron interpuestos se encuentran encaminados a determinar la interpretación que se debe realizar de la misma.</w:t>
      </w:r>
    </w:p>
    <w:p w:rsidR="001975D2" w:rsidRPr="00B613DB" w:rsidRDefault="004378D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Al respecto, debe señalarse en primer término que la disposición objeto de análisis forma parte del sistema normativo por el cual se regula la interconexión entre redes públicas de </w:t>
      </w:r>
      <w:r w:rsidRPr="00B613DB">
        <w:rPr>
          <w:rFonts w:ascii="ITC Avant Garde" w:eastAsia="Times New Roman" w:hAnsi="ITC Avant Garde"/>
          <w:iCs/>
          <w:sz w:val="18"/>
          <w:szCs w:val="24"/>
          <w:lang w:val="es-ES" w:eastAsia="es-ES"/>
        </w:rPr>
        <w:lastRenderedPageBreak/>
        <w:t>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rsidR="001975D2" w:rsidRPr="00B613DB" w:rsidRDefault="00577D1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Atendiendo a dicho sistema normativo, cabe señalar que en términos del penúltimo párrafo del artículo 129 de la Ley Federal de Telecomunicaciones y Radiodifusión,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w:t>
      </w:r>
      <w:r w:rsidRPr="00B613DB">
        <w:rPr>
          <w:rFonts w:ascii="ITC Avant Garde" w:eastAsia="Times New Roman" w:hAnsi="ITC Avant Garde"/>
          <w:b/>
          <w:iCs/>
          <w:sz w:val="18"/>
          <w:szCs w:val="24"/>
          <w:lang w:val="es-ES" w:eastAsia="es-ES"/>
        </w:rPr>
        <w:t>a más tardar el quince de julio de cada año.</w:t>
      </w:r>
    </w:p>
    <w:p w:rsidR="001975D2" w:rsidRPr="00B613DB" w:rsidRDefault="00577D1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Lo anterior tiene como objeto que el Instituto Federal de Telecomunicaciones pueda resolver, conforme al procedimiento que establece el propio artículo las condiciones no convenidas –incluidas las tarifas-, </w:t>
      </w:r>
      <w:r w:rsidRPr="00B613DB">
        <w:rPr>
          <w:rFonts w:ascii="ITC Avant Garde" w:eastAsia="Times New Roman" w:hAnsi="ITC Avant Garde"/>
          <w:b/>
          <w:iCs/>
          <w:sz w:val="18"/>
          <w:szCs w:val="24"/>
          <w:lang w:val="es-ES" w:eastAsia="es-ES"/>
        </w:rPr>
        <w:t xml:space="preserve">antes del quince de diciembre, </w:t>
      </w:r>
      <w:r w:rsidRPr="00B613DB">
        <w:rPr>
          <w:rFonts w:ascii="ITC Avant Garde" w:eastAsia="Times New Roman" w:hAnsi="ITC Avant Garde"/>
          <w:iCs/>
          <w:sz w:val="18"/>
          <w:szCs w:val="24"/>
          <w:lang w:val="es-ES" w:eastAsia="es-ES"/>
        </w:rPr>
        <w:t>para que así, las nuevas condiciones inicien su vigencia a partir del primero de enero del año siguiente.</w:t>
      </w:r>
    </w:p>
    <w:p w:rsidR="001975D2" w:rsidRPr="00B613DB" w:rsidRDefault="00577D1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rsidR="001975D2" w:rsidRPr="00B613DB" w:rsidRDefault="00577D1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w:t>
      </w:r>
      <w:r w:rsidRPr="00B613DB">
        <w:rPr>
          <w:rFonts w:ascii="ITC Avant Garde" w:eastAsia="Times New Roman" w:hAnsi="ITC Avant Garde"/>
          <w:b/>
          <w:iCs/>
          <w:sz w:val="18"/>
          <w:szCs w:val="24"/>
          <w:lang w:val="es-ES" w:eastAsia="es-ES"/>
        </w:rPr>
        <w:t>a más tardar el quince de julio de dos mil catorce.</w:t>
      </w:r>
    </w:p>
    <w:p w:rsidR="001975D2" w:rsidRPr="00B613DB" w:rsidRDefault="00577D1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w:t>
      </w:r>
      <w:r w:rsidR="006426A0" w:rsidRPr="00B613DB">
        <w:rPr>
          <w:rFonts w:ascii="ITC Avant Garde" w:eastAsia="Times New Roman" w:hAnsi="ITC Avant Garde"/>
          <w:iCs/>
          <w:sz w:val="18"/>
          <w:szCs w:val="24"/>
          <w:lang w:val="es-ES" w:eastAsia="es-ES"/>
        </w:rPr>
        <w:t>siguientes a la publicación.</w:t>
      </w:r>
    </w:p>
    <w:p w:rsidR="001975D2" w:rsidRPr="00B613DB" w:rsidRDefault="006426A0"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rsidR="001975D2" w:rsidRPr="00B613DB" w:rsidRDefault="006426A0"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6426A0"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w:t>
      </w:r>
      <w:r w:rsidRPr="00B613DB">
        <w:rPr>
          <w:rFonts w:ascii="ITC Avant Garde" w:eastAsia="Times New Roman" w:hAnsi="ITC Avant Garde"/>
          <w:iCs/>
          <w:sz w:val="18"/>
          <w:szCs w:val="24"/>
          <w:lang w:val="es-ES" w:eastAsia="es-ES"/>
        </w:rPr>
        <w:lastRenderedPageBreak/>
        <w:t xml:space="preserve">relaciones jurídicas sobre normas aplicables </w:t>
      </w:r>
      <w:r w:rsidR="00EC773D" w:rsidRPr="00B613DB">
        <w:rPr>
          <w:rFonts w:ascii="ITC Avant Garde" w:eastAsia="Times New Roman" w:hAnsi="ITC Avant Garde"/>
          <w:iCs/>
          <w:sz w:val="18"/>
          <w:szCs w:val="24"/>
          <w:lang w:val="es-ES" w:eastAsia="es-ES"/>
        </w:rPr>
        <w:t>y el modo en que los operadores del sistema deben llevar a cabo el tratamiento de situaciones de posible conflicto.</w:t>
      </w:r>
    </w:p>
    <w:p w:rsidR="001975D2" w:rsidRPr="00B613DB" w:rsidRDefault="00EC773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EC773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consideración a lo anterior, esta Segunda Sala advierte que la problemática concerniente a la fijación de las condiciones no convenidas entre concesionarios distintos al preponderante para dos mil quince, tratándose de las tarifas de terminación de tráfico, </w:t>
      </w:r>
      <w:r w:rsidRPr="00B613DB">
        <w:rPr>
          <w:rFonts w:ascii="ITC Avant Garde" w:eastAsia="Times New Roman" w:hAnsi="ITC Avant Garde"/>
          <w:b/>
          <w:iCs/>
          <w:sz w:val="18"/>
          <w:szCs w:val="24"/>
          <w:lang w:val="es-ES" w:eastAsia="es-ES"/>
        </w:rPr>
        <w:t>debe ser resuelta necesariamente</w:t>
      </w:r>
      <w:r w:rsidRPr="00B613DB">
        <w:rPr>
          <w:rFonts w:ascii="ITC Avant Garde" w:eastAsia="Times New Roman" w:hAnsi="ITC Avant Garde"/>
          <w:iCs/>
          <w:sz w:val="18"/>
          <w:szCs w:val="24"/>
          <w:lang w:val="es-ES" w:eastAsia="es-ES"/>
        </w:rPr>
        <w:t xml:space="preserve"> a través de la aplicación del artículo vigésimo, segundo párrafo; que es precisamente el numeral reclamado en el presente asunto.</w:t>
      </w:r>
    </w:p>
    <w:p w:rsidR="001975D2" w:rsidRPr="00B613DB" w:rsidRDefault="00EC773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w:t>
      </w:r>
      <w:r w:rsidR="00861C03" w:rsidRPr="00B613DB">
        <w:rPr>
          <w:rFonts w:ascii="ITC Avant Garde" w:eastAsia="Times New Roman" w:hAnsi="ITC Avant Garde"/>
          <w:iCs/>
          <w:sz w:val="18"/>
          <w:szCs w:val="24"/>
          <w:lang w:val="es-ES" w:eastAsia="es-ES"/>
        </w:rPr>
        <w:t xml:space="preserve"> entre concesionarios, distintos al preponderante, para dos mil quince, y la entrada en vigor de la citada ley federal.</w:t>
      </w:r>
    </w:p>
    <w:p w:rsidR="001975D2" w:rsidRPr="00B613DB" w:rsidRDefault="00861C0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Adicionalmente, por lo que respecta al campo de</w:t>
      </w:r>
      <w:r w:rsidR="00EC773D" w:rsidRPr="00B613DB">
        <w:rPr>
          <w:rFonts w:ascii="ITC Avant Garde" w:eastAsia="Times New Roman" w:hAnsi="ITC Avant Garde"/>
          <w:iCs/>
          <w:sz w:val="18"/>
          <w:szCs w:val="24"/>
          <w:lang w:val="es-ES" w:eastAsia="es-ES"/>
        </w:rPr>
        <w:t xml:space="preserve"> </w:t>
      </w:r>
      <w:r w:rsidRPr="00B613DB">
        <w:rPr>
          <w:rFonts w:ascii="ITC Avant Garde" w:eastAsia="Times New Roman" w:hAnsi="ITC Avant Garde"/>
          <w:iCs/>
          <w:sz w:val="18"/>
          <w:szCs w:val="24"/>
          <w:lang w:val="es-ES" w:eastAsia="es-ES"/>
        </w:rPr>
        <w:t xml:space="preserve">aplicación material del artículo reclamado, cabe puntualizar, a partir de una interpretación conjunta con el artículo 131 de la propia Ley Federal de Telecomunicaciones y Radiodifusión, que éste se actualiza en relación a las </w:t>
      </w:r>
      <w:r w:rsidRPr="00B613DB">
        <w:rPr>
          <w:rFonts w:ascii="ITC Avant Garde" w:eastAsia="Times New Roman" w:hAnsi="ITC Avant Garde"/>
          <w:b/>
          <w:iCs/>
          <w:sz w:val="18"/>
          <w:szCs w:val="24"/>
          <w:lang w:val="es-ES" w:eastAsia="es-ES"/>
        </w:rPr>
        <w:t>tarifas de terminación de tráfico</w:t>
      </w:r>
      <w:r w:rsidRPr="00B613DB">
        <w:rPr>
          <w:rFonts w:ascii="ITC Avant Garde" w:eastAsia="Times New Roman" w:hAnsi="ITC Avant Garde"/>
          <w:iCs/>
          <w:sz w:val="18"/>
          <w:szCs w:val="24"/>
          <w:lang w:val="es-ES" w:eastAsia="es-ES"/>
        </w:rPr>
        <w:t>, aunado a que el mismo se refiere a dos tipos de tarifas, en atención a que la terminación de tráfico sea en la red del agente económico preponderante, o bien, en la red del resto de los concesionarios.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rsidR="001975D2" w:rsidRPr="00B613DB" w:rsidRDefault="00E326E1"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rsidR="001975D2" w:rsidRPr="00B613DB" w:rsidRDefault="00E326E1"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(I) En primer término, la disposición es constitucional, debido a que permite que los concesionarios ejerzan su libertad de comercio, consistente en la fijación de tarifas de interconexión.</w:t>
      </w:r>
    </w:p>
    <w:p w:rsidR="001975D2" w:rsidRPr="00B613DB" w:rsidRDefault="00E326E1"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D3389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w:t>
      </w:r>
      <w:r w:rsidRPr="00B613DB">
        <w:rPr>
          <w:rFonts w:ascii="ITC Avant Garde" w:eastAsia="Times New Roman" w:hAnsi="ITC Avant Garde"/>
          <w:b/>
          <w:iCs/>
          <w:sz w:val="18"/>
          <w:szCs w:val="24"/>
          <w:lang w:val="es-ES" w:eastAsia="es-ES"/>
        </w:rPr>
        <w:t>hasta en tanto los concesionarios no acuerden las tarifas de interconexión</w:t>
      </w:r>
      <w:r w:rsidRPr="00B613DB">
        <w:rPr>
          <w:rFonts w:ascii="ITC Avant Garde" w:eastAsia="Times New Roman" w:hAnsi="ITC Avant Garde"/>
          <w:iCs/>
          <w:sz w:val="18"/>
          <w:szCs w:val="24"/>
          <w:lang w:val="es-ES" w:eastAsia="es-ES"/>
        </w:rPr>
        <w:t>, o el órgano regulador no resuelva la dispuesta, seguirán en vigor las que se venían aplicando.</w:t>
      </w:r>
    </w:p>
    <w:p w:rsidR="001975D2" w:rsidRPr="00B613DB" w:rsidRDefault="00D3389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D3389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lastRenderedPageBreak/>
        <w:t xml:space="preserve">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w:t>
      </w:r>
      <w:r w:rsidR="00291475" w:rsidRPr="00B613DB">
        <w:rPr>
          <w:rFonts w:ascii="ITC Avant Garde" w:eastAsia="Times New Roman" w:hAnsi="ITC Avant Garde"/>
          <w:iCs/>
          <w:sz w:val="18"/>
          <w:szCs w:val="24"/>
          <w:lang w:val="es-ES" w:eastAsia="es-ES"/>
        </w:rPr>
        <w:t xml:space="preserve">por un marco legal. Por tanto, atendiendo al numeral reclamado, </w:t>
      </w:r>
      <w:r w:rsidR="00291475" w:rsidRPr="00B613DB">
        <w:rPr>
          <w:rFonts w:ascii="ITC Avant Garde" w:eastAsia="Times New Roman" w:hAnsi="ITC Avant Garde"/>
          <w:b/>
          <w:iCs/>
          <w:sz w:val="18"/>
          <w:szCs w:val="24"/>
          <w:lang w:val="es-ES" w:eastAsia="es-ES"/>
        </w:rPr>
        <w:t>no existe una total libertad tarifaria en materia de interconexión</w:t>
      </w:r>
      <w:r w:rsidR="00291475" w:rsidRPr="00B613DB">
        <w:rPr>
          <w:rFonts w:ascii="ITC Avant Garde" w:eastAsia="Times New Roman" w:hAnsi="ITC Avant Garde"/>
          <w:iCs/>
          <w:sz w:val="18"/>
          <w:szCs w:val="24"/>
          <w:lang w:val="es-ES" w:eastAsia="es-ES"/>
        </w:rPr>
        <w:t>, pues incluso las tarifas convenidas entre las partes se encuentran limitadas por un marco legal que ha sido expuesto en la presente sentencia.</w:t>
      </w:r>
    </w:p>
    <w:p w:rsidR="001975D2" w:rsidRPr="00B613DB" w:rsidRDefault="0029147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(II) De igual forma, la disposición es constitucional, pues permite que el órgano regulador despliegue y ejerza de manera plena las facultades que constitucional y legalmente tiene asignadas.</w:t>
      </w:r>
    </w:p>
    <w:p w:rsidR="001975D2" w:rsidRPr="00B613DB" w:rsidRDefault="0029147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Lo anterior se debe a que el precepto reclamado reconoce que se continuará con las tarifas que se venían aplicando,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w:t>
      </w:r>
      <w:r w:rsidRPr="00B613DB">
        <w:rPr>
          <w:rFonts w:ascii="ITC Avant Garde" w:eastAsia="Times New Roman" w:hAnsi="ITC Avant Garde"/>
          <w:b/>
          <w:iCs/>
          <w:sz w:val="18"/>
          <w:szCs w:val="24"/>
          <w:lang w:val="es-ES" w:eastAsia="es-ES"/>
        </w:rPr>
        <w:t xml:space="preserve"> fijar las tarifas aplicables a todo dos mil quince</w:t>
      </w:r>
      <w:r w:rsidRPr="00B613DB">
        <w:rPr>
          <w:rFonts w:ascii="ITC Avant Garde" w:eastAsia="Times New Roman" w:hAnsi="ITC Avant Garde"/>
          <w:iCs/>
          <w:sz w:val="18"/>
          <w:szCs w:val="24"/>
          <w:lang w:val="es-ES" w:eastAsia="es-ES"/>
        </w:rPr>
        <w:t>, y no solamente las que se cobrarán a partir del dictado de la resolución.</w:t>
      </w:r>
    </w:p>
    <w:p w:rsidR="001975D2" w:rsidRPr="00B613DB" w:rsidRDefault="0029147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w:t>
      </w:r>
      <w:r w:rsidRPr="00B613DB">
        <w:rPr>
          <w:rFonts w:ascii="ITC Avant Garde" w:eastAsia="Times New Roman" w:hAnsi="ITC Avant Garde"/>
          <w:b/>
          <w:iCs/>
          <w:sz w:val="18"/>
          <w:szCs w:val="24"/>
          <w:lang w:val="es-ES" w:eastAsia="es-ES"/>
        </w:rPr>
        <w:t>a)</w:t>
      </w:r>
      <w:r w:rsidRPr="00B613DB">
        <w:rPr>
          <w:rFonts w:ascii="ITC Avant Garde" w:eastAsia="Times New Roman" w:hAnsi="ITC Avant Garde"/>
          <w:iCs/>
          <w:sz w:val="18"/>
          <w:szCs w:val="24"/>
          <w:lang w:val="es-ES" w:eastAsia="es-ES"/>
        </w:rPr>
        <w:t xml:space="preserve"> el regulador pueda declinar la resolución del desacuerdo de interconexión que se le presenta para el periodo ya transcurrido de dos mil quince hasta el dictado de su resolución; o </w:t>
      </w:r>
      <w:r w:rsidRPr="00B613DB">
        <w:rPr>
          <w:rFonts w:ascii="ITC Avant Garde" w:eastAsia="Times New Roman" w:hAnsi="ITC Avant Garde"/>
          <w:b/>
          <w:iCs/>
          <w:sz w:val="18"/>
          <w:szCs w:val="24"/>
          <w:lang w:val="es-ES" w:eastAsia="es-ES"/>
        </w:rPr>
        <w:t>b)</w:t>
      </w:r>
      <w:r w:rsidRPr="00B613DB">
        <w:rPr>
          <w:rFonts w:ascii="ITC Avant Garde" w:eastAsia="Times New Roman" w:hAnsi="ITC Avant Garde"/>
          <w:iCs/>
          <w:sz w:val="18"/>
          <w:szCs w:val="24"/>
          <w:lang w:val="es-ES" w:eastAsia="es-ES"/>
        </w:rPr>
        <w:t xml:space="preserve">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rsidR="001975D2" w:rsidRPr="00B613DB" w:rsidRDefault="00291475"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En otras palabras, no existe fundamento normativo para afirmar que la nueva tarifa únicamente pueda tener efectos a partir de la celebración del convenio</w:t>
      </w:r>
      <w:r w:rsidR="0014132B" w:rsidRPr="00B613DB">
        <w:rPr>
          <w:rFonts w:ascii="ITC Avant Garde" w:eastAsia="Times New Roman" w:hAnsi="ITC Avant Garde"/>
          <w:iCs/>
          <w:sz w:val="18"/>
          <w:szCs w:val="24"/>
          <w:lang w:val="es-ES" w:eastAsia="es-ES"/>
        </w:rPr>
        <w:t xml:space="preserve">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rsidR="001975D2" w:rsidRPr="00B613DB" w:rsidRDefault="0014132B"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14132B"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(III)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rsidR="001975D2" w:rsidRPr="00B613DB" w:rsidRDefault="005B2F82"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lastRenderedPageBreak/>
        <w:t>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rsidR="001975D2" w:rsidRPr="00B613DB" w:rsidRDefault="005B2F82"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rsidR="001975D2" w:rsidRPr="00B613DB" w:rsidRDefault="005B2F82"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(IV) Finalmente, la disposición reclamada es constitucional, en tanto en su interpretación y aplicación se tome en consideración la </w:t>
      </w:r>
      <w:r w:rsidR="00A03F23" w:rsidRPr="00B613DB">
        <w:rPr>
          <w:rFonts w:ascii="ITC Avant Garde" w:eastAsia="Times New Roman" w:hAnsi="ITC Avant Garde"/>
          <w:b/>
          <w:iCs/>
          <w:sz w:val="18"/>
          <w:szCs w:val="24"/>
          <w:lang w:val="es-ES" w:eastAsia="es-ES"/>
        </w:rPr>
        <w:t>necesaria compensación</w:t>
      </w:r>
      <w:r w:rsidR="00A03F23" w:rsidRPr="00B613DB">
        <w:rPr>
          <w:rFonts w:ascii="ITC Avant Garde" w:eastAsia="Times New Roman" w:hAnsi="ITC Avant Garde"/>
          <w:iCs/>
          <w:sz w:val="18"/>
          <w:szCs w:val="24"/>
          <w:lang w:val="es-ES" w:eastAsia="es-ES"/>
        </w:rPr>
        <w:t xml:space="preserve"> o </w:t>
      </w:r>
      <w:r w:rsidR="00A03F23" w:rsidRPr="00B613DB">
        <w:rPr>
          <w:rFonts w:ascii="ITC Avant Garde" w:eastAsia="Times New Roman" w:hAnsi="ITC Avant Garde"/>
          <w:b/>
          <w:iCs/>
          <w:sz w:val="18"/>
          <w:szCs w:val="24"/>
          <w:lang w:val="es-ES" w:eastAsia="es-ES"/>
        </w:rPr>
        <w:t>“pago por diferencias”</w:t>
      </w:r>
      <w:r w:rsidR="00A03F23" w:rsidRPr="00B613DB">
        <w:rPr>
          <w:rFonts w:ascii="ITC Avant Garde" w:eastAsia="Times New Roman" w:hAnsi="ITC Avant Garde"/>
          <w:iCs/>
          <w:sz w:val="18"/>
          <w:szCs w:val="24"/>
          <w:lang w:val="es-ES" w:eastAsia="es-ES"/>
        </w:rPr>
        <w:t xml:space="preserve"> que tiene que existir en torno a las tarifas que fueron cobradas antes de celebrado el convenio o previo a que el órgano regulador fijara las condiciones no convenidas.</w:t>
      </w:r>
    </w:p>
    <w:p w:rsidR="001975D2" w:rsidRPr="00B613DB" w:rsidRDefault="00A03F2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A03F2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Lo anterior, es coincidente con lo resuelto por el Tribunal Pleno de esta Suprema Corte en la </w:t>
      </w:r>
      <w:r w:rsidRPr="00B613DB">
        <w:rPr>
          <w:rFonts w:ascii="ITC Avant Garde" w:eastAsia="Times New Roman" w:hAnsi="ITC Avant Garde"/>
          <w:b/>
          <w:iCs/>
          <w:sz w:val="18"/>
          <w:szCs w:val="24"/>
          <w:lang w:val="es-ES" w:eastAsia="es-ES"/>
        </w:rPr>
        <w:t>contradicción de tesis 286/2010</w:t>
      </w:r>
      <w:r w:rsidRPr="00B613DB">
        <w:rPr>
          <w:rFonts w:ascii="ITC Avant Garde" w:eastAsia="Times New Roman" w:hAnsi="ITC Avant Garde"/>
          <w:iCs/>
          <w:sz w:val="18"/>
          <w:szCs w:val="24"/>
          <w:lang w:val="es-ES" w:eastAsia="es-ES"/>
        </w:rPr>
        <w:t xml:space="preserve">, en la que se determinó que las condiciones de interconexión siempre deben de considerarse de interés social, pues forman parte de todo un sistema </w:t>
      </w:r>
      <w:r w:rsidR="003D3249" w:rsidRPr="00B613DB">
        <w:rPr>
          <w:rFonts w:ascii="ITC Avant Garde" w:eastAsia="Times New Roman" w:hAnsi="ITC Avant Garde"/>
          <w:iCs/>
          <w:sz w:val="18"/>
          <w:szCs w:val="24"/>
          <w:lang w:val="es-ES" w:eastAsia="es-ES"/>
        </w:rPr>
        <w:t xml:space="preserve">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w:t>
      </w:r>
      <w:r w:rsidR="003D3249" w:rsidRPr="00B613DB">
        <w:rPr>
          <w:rFonts w:ascii="ITC Avant Garde" w:eastAsia="Times New Roman" w:hAnsi="ITC Avant Garde"/>
          <w:b/>
          <w:iCs/>
          <w:sz w:val="18"/>
          <w:szCs w:val="24"/>
          <w:lang w:val="es-ES" w:eastAsia="es-ES"/>
        </w:rPr>
        <w:t>hasta en tanto</w:t>
      </w:r>
      <w:r w:rsidR="003D3249" w:rsidRPr="00B613DB">
        <w:rPr>
          <w:rFonts w:ascii="ITC Avant Garde" w:eastAsia="Times New Roman" w:hAnsi="ITC Avant Garde"/>
          <w:iCs/>
          <w:sz w:val="18"/>
          <w:szCs w:val="24"/>
          <w:lang w:val="es-ES" w:eastAsia="es-ES"/>
        </w:rPr>
        <w:t xml:space="preserve"> no se resuelvan los aspectos no acordados por las partes, en el caso específico de las tarifas, </w:t>
      </w:r>
      <w:r w:rsidR="003D3249" w:rsidRPr="00B613DB">
        <w:rPr>
          <w:rFonts w:ascii="ITC Avant Garde" w:eastAsia="Times New Roman" w:hAnsi="ITC Avant Garde"/>
          <w:b/>
          <w:iCs/>
          <w:sz w:val="18"/>
          <w:szCs w:val="24"/>
          <w:lang w:val="es-ES" w:eastAsia="es-ES"/>
        </w:rPr>
        <w:t>regirá la que hasta ese momento se encontraba vigente.</w:t>
      </w:r>
    </w:p>
    <w:p w:rsidR="001975D2" w:rsidRPr="00B613DB" w:rsidRDefault="003D3249"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w:t>
      </w:r>
      <w:r w:rsidRPr="00B613DB">
        <w:rPr>
          <w:rFonts w:ascii="ITC Avant Garde" w:eastAsia="Times New Roman" w:hAnsi="ITC Avant Garde"/>
          <w:b/>
          <w:iCs/>
          <w:sz w:val="18"/>
          <w:szCs w:val="24"/>
          <w:lang w:val="es-ES" w:eastAsia="es-ES"/>
        </w:rPr>
        <w:t>pero una vez celebrado el convenio o emitida la resolución, se deberá realizar cuando así corresponda, el “pago por diferencias” para los montos que ya fueron cobrados, a efecto de que durante todo dos mil quince se cobren efectivamente las nuevas condiciones.</w:t>
      </w:r>
    </w:p>
    <w:p w:rsidR="001975D2" w:rsidRPr="00B613DB" w:rsidRDefault="00957C8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957C8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w:t>
      </w:r>
      <w:r w:rsidRPr="00B613DB">
        <w:rPr>
          <w:rFonts w:ascii="ITC Avant Garde" w:eastAsia="Times New Roman" w:hAnsi="ITC Avant Garde"/>
          <w:iCs/>
          <w:sz w:val="18"/>
          <w:szCs w:val="24"/>
          <w:lang w:val="es-ES" w:eastAsia="es-ES"/>
        </w:rPr>
        <w:lastRenderedPageBreak/>
        <w:t xml:space="preserve">fueron convenidas o fijadas para dos mil catorce. </w:t>
      </w:r>
      <w:r w:rsidRPr="00B613DB">
        <w:rPr>
          <w:rFonts w:ascii="ITC Avant Garde" w:eastAsia="Times New Roman" w:hAnsi="ITC Avant Garde"/>
          <w:b/>
          <w:iCs/>
          <w:sz w:val="18"/>
          <w:szCs w:val="24"/>
          <w:lang w:val="es-ES" w:eastAsia="es-ES"/>
        </w:rPr>
        <w:t xml:space="preserve">Pero lo anterior no es obstáculo para que se acuerden o fijen las tarifas para el periodo comprendido desde el primero de enero de dos mil quince, </w:t>
      </w:r>
      <w:r w:rsidRPr="00B613DB">
        <w:rPr>
          <w:rFonts w:ascii="ITC Avant Garde" w:eastAsia="Times New Roman" w:hAnsi="ITC Avant Garde"/>
          <w:iCs/>
          <w:sz w:val="18"/>
          <w:szCs w:val="24"/>
          <w:lang w:val="es-ES" w:eastAsia="es-ES"/>
        </w:rPr>
        <w:t xml:space="preserve">supuesto en el que </w:t>
      </w:r>
      <w:r w:rsidR="00706470" w:rsidRPr="00B613DB">
        <w:rPr>
          <w:rFonts w:ascii="ITC Avant Garde" w:eastAsia="Times New Roman" w:hAnsi="ITC Avant Garde"/>
          <w:iCs/>
          <w:sz w:val="18"/>
          <w:szCs w:val="24"/>
          <w:lang w:val="es-ES" w:eastAsia="es-ES"/>
        </w:rPr>
        <w:t>el</w:t>
      </w:r>
      <w:r w:rsidRPr="00B613DB">
        <w:rPr>
          <w:rFonts w:ascii="ITC Avant Garde" w:eastAsia="Times New Roman" w:hAnsi="ITC Avant Garde"/>
          <w:iCs/>
          <w:sz w:val="18"/>
          <w:szCs w:val="24"/>
          <w:lang w:val="es-ES" w:eastAsia="es-ES"/>
        </w:rPr>
        <w:t xml:space="preserve"> convenio o resolución señalará el modo de realizar el “pago por diferencias” para las tarifas que ya fueron cobradas.</w:t>
      </w:r>
    </w:p>
    <w:p w:rsidR="001975D2" w:rsidRPr="00B613DB" w:rsidRDefault="00957C8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957C8C"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las relatadas condiciones, y al haber resultado </w:t>
      </w:r>
      <w:r w:rsidRPr="00B613DB">
        <w:rPr>
          <w:rFonts w:ascii="ITC Avant Garde" w:eastAsia="Times New Roman" w:hAnsi="ITC Avant Garde"/>
          <w:b/>
          <w:iCs/>
          <w:sz w:val="18"/>
          <w:szCs w:val="24"/>
          <w:lang w:val="es-ES" w:eastAsia="es-ES"/>
        </w:rPr>
        <w:t>infundados</w:t>
      </w:r>
      <w:r w:rsidRPr="00B613DB">
        <w:rPr>
          <w:rFonts w:ascii="ITC Avant Garde" w:eastAsia="Times New Roman" w:hAnsi="ITC Avant Garde"/>
          <w:iCs/>
          <w:sz w:val="18"/>
          <w:szCs w:val="24"/>
          <w:lang w:val="es-ES" w:eastAsia="es-ES"/>
        </w:rPr>
        <w:t xml:space="preserve"> los agravios hechos vale</w:t>
      </w:r>
      <w:r w:rsidR="00BC2951" w:rsidRPr="00B613DB">
        <w:rPr>
          <w:rFonts w:ascii="ITC Avant Garde" w:eastAsia="Times New Roman" w:hAnsi="ITC Avant Garde"/>
          <w:iCs/>
          <w:sz w:val="18"/>
          <w:szCs w:val="24"/>
          <w:lang w:val="es-ES" w:eastAsia="es-ES"/>
        </w:rPr>
        <w:t>r</w:t>
      </w:r>
      <w:r w:rsidRPr="00B613DB">
        <w:rPr>
          <w:rFonts w:ascii="ITC Avant Garde" w:eastAsia="Times New Roman" w:hAnsi="ITC Avant Garde"/>
          <w:iCs/>
          <w:sz w:val="18"/>
          <w:szCs w:val="24"/>
          <w:lang w:val="es-ES" w:eastAsia="es-ES"/>
        </w:rPr>
        <w:t xml:space="preserve"> en los recursos de revisión, lo procedente es </w:t>
      </w:r>
      <w:r w:rsidRPr="00B613DB">
        <w:rPr>
          <w:rFonts w:ascii="ITC Avant Garde" w:eastAsia="Times New Roman" w:hAnsi="ITC Avant Garde"/>
          <w:b/>
          <w:iCs/>
          <w:sz w:val="18"/>
          <w:szCs w:val="24"/>
          <w:lang w:val="es-ES" w:eastAsia="es-ES"/>
        </w:rPr>
        <w:t xml:space="preserve">confirmar </w:t>
      </w:r>
      <w:r w:rsidRPr="00B613DB">
        <w:rPr>
          <w:rFonts w:ascii="ITC Avant Garde" w:eastAsia="Times New Roman" w:hAnsi="ITC Avant Garde"/>
          <w:iCs/>
          <w:sz w:val="18"/>
          <w:szCs w:val="24"/>
          <w:lang w:val="es-ES" w:eastAsia="es-ES"/>
        </w:rPr>
        <w:t xml:space="preserve">la sentencia recurrida y, por tanto, </w:t>
      </w:r>
      <w:r w:rsidRPr="00B613DB">
        <w:rPr>
          <w:rFonts w:ascii="ITC Avant Garde" w:eastAsia="Times New Roman" w:hAnsi="ITC Avant Garde"/>
          <w:b/>
          <w:iCs/>
          <w:sz w:val="18"/>
          <w:szCs w:val="24"/>
          <w:lang w:val="es-ES" w:eastAsia="es-ES"/>
        </w:rPr>
        <w:t>negar la protección constitucional</w:t>
      </w:r>
      <w:r w:rsidRPr="00B613DB">
        <w:rPr>
          <w:rFonts w:ascii="ITC Avant Garde" w:eastAsia="Times New Roman" w:hAnsi="ITC Avant Garde"/>
          <w:iCs/>
          <w:sz w:val="18"/>
          <w:szCs w:val="24"/>
          <w:lang w:val="es-ES" w:eastAsia="es-ES"/>
        </w:rPr>
        <w:t xml:space="preserve"> en relación con el artículo vigésimo transitorio, segundo párrafo, de la Ley Federal de Telecomunicaciones y Radiodifusión, en tanto el mismo </w:t>
      </w:r>
      <w:r w:rsidR="00C8512B" w:rsidRPr="00B613DB">
        <w:rPr>
          <w:rFonts w:ascii="ITC Avant Garde" w:eastAsia="Times New Roman" w:hAnsi="ITC Avant Garde"/>
          <w:iCs/>
          <w:sz w:val="18"/>
          <w:szCs w:val="24"/>
          <w:lang w:val="es-ES" w:eastAsia="es-ES"/>
        </w:rPr>
        <w:t>no resulta contrario a la libertad de comercio –en su vertiente de libertad tarifaria-, ni al resto de disposiciones concernientes al sistema de interconexión de redes públicas de interconexión.</w:t>
      </w:r>
    </w:p>
    <w:p w:rsidR="001975D2" w:rsidRPr="00B613DB" w:rsidRDefault="00C8512B"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 xml:space="preserve">En consecuencia, debe subsistir la concesión que del amparo se hizo en la sentencia recurrida, para el efecto de que el Pleno del Instituto Federal de Telecomunicaciones </w:t>
      </w:r>
      <w:r w:rsidR="008F44DC" w:rsidRPr="00B613DB">
        <w:rPr>
          <w:rFonts w:ascii="ITC Avant Garde" w:eastAsia="Times New Roman" w:hAnsi="ITC Avant Garde"/>
          <w:iCs/>
          <w:sz w:val="18"/>
          <w:szCs w:val="24"/>
          <w:lang w:val="es-ES" w:eastAsia="es-ES"/>
        </w:rPr>
        <w:t>desincorpore de la</w:t>
      </w:r>
      <w:r w:rsidRPr="00B613DB">
        <w:rPr>
          <w:rFonts w:ascii="ITC Avant Garde" w:eastAsia="Times New Roman" w:hAnsi="ITC Avant Garde"/>
          <w:iCs/>
          <w:sz w:val="18"/>
          <w:szCs w:val="24"/>
          <w:lang w:val="es-ES" w:eastAsia="es-ES"/>
        </w:rPr>
        <w:t xml:space="preserve"> esfera jurídica de la quejosa,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w:t>
      </w:r>
      <w:r w:rsidR="005973FD" w:rsidRPr="00B613DB">
        <w:rPr>
          <w:rFonts w:ascii="ITC Avant Garde" w:eastAsia="Times New Roman" w:hAnsi="ITC Avant Garde"/>
          <w:iCs/>
          <w:sz w:val="18"/>
          <w:szCs w:val="24"/>
          <w:lang w:val="es-ES" w:eastAsia="es-ES"/>
        </w:rPr>
        <w:t xml:space="preserve"> aplicables al año 2015”, en lo relativo a que dichas tarifas solo podrán ser aplicadas desde su resolución.</w:t>
      </w:r>
    </w:p>
    <w:p w:rsidR="001975D2" w:rsidRPr="00B613DB" w:rsidRDefault="005973F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De igual forma, debe subsistir la concesión del amparo en contra de la “Resolución</w:t>
      </w:r>
      <w:r w:rsidR="005D355D" w:rsidRPr="00B613DB">
        <w:rPr>
          <w:rFonts w:ascii="ITC Avant Garde" w:eastAsia="Times New Roman" w:hAnsi="ITC Avant Garde"/>
          <w:iCs/>
          <w:sz w:val="18"/>
          <w:szCs w:val="24"/>
          <w:lang w:val="es-ES" w:eastAsia="es-ES"/>
        </w:rPr>
        <w:t xml:space="preserve"> mediante la cual el Pleno del Instituto Federal de Telecomunicaciones determina las condiciones de interconexión no convenidas entre </w:t>
      </w:r>
      <w:proofErr w:type="spellStart"/>
      <w:r w:rsidR="005D355D" w:rsidRPr="00B613DB">
        <w:rPr>
          <w:rFonts w:ascii="ITC Avant Garde" w:eastAsia="Times New Roman" w:hAnsi="ITC Avant Garde"/>
          <w:iCs/>
          <w:sz w:val="18"/>
          <w:szCs w:val="24"/>
          <w:lang w:val="es-ES" w:eastAsia="es-ES"/>
        </w:rPr>
        <w:t>Radiomóvil</w:t>
      </w:r>
      <w:proofErr w:type="spellEnd"/>
      <w:r w:rsidR="005D355D" w:rsidRPr="00B613DB">
        <w:rPr>
          <w:rFonts w:ascii="ITC Avant Garde" w:eastAsia="Times New Roman" w:hAnsi="ITC Avant Garde"/>
          <w:iCs/>
          <w:sz w:val="18"/>
          <w:szCs w:val="24"/>
          <w:lang w:val="es-ES" w:eastAsia="es-ES"/>
        </w:rPr>
        <w:t xml:space="preserve"> </w:t>
      </w:r>
      <w:proofErr w:type="spellStart"/>
      <w:r w:rsidR="005D355D" w:rsidRPr="00B613DB">
        <w:rPr>
          <w:rFonts w:ascii="ITC Avant Garde" w:eastAsia="Times New Roman" w:hAnsi="ITC Avant Garde"/>
          <w:iCs/>
          <w:sz w:val="18"/>
          <w:szCs w:val="24"/>
          <w:lang w:val="es-ES" w:eastAsia="es-ES"/>
        </w:rPr>
        <w:t>Dipsa</w:t>
      </w:r>
      <w:proofErr w:type="spellEnd"/>
      <w:r w:rsidR="005D355D" w:rsidRPr="00B613DB">
        <w:rPr>
          <w:rFonts w:ascii="ITC Avant Garde" w:eastAsia="Times New Roman" w:hAnsi="ITC Avant Garde"/>
          <w:iCs/>
          <w:sz w:val="18"/>
          <w:szCs w:val="24"/>
          <w:lang w:val="es-ES" w:eastAsia="es-ES"/>
        </w:rPr>
        <w:t>, S.A. de C.V. y Grupo de Telecomunicaciones Mexicanas, S.A. de C.V. y Pegaso PCS, S.A. de C.V. aplicables del 1 de enero de 2015 al 31 de diciembre de 2016”, en lo relativo a las tarifas aplicables del uno de enero al once de agosto de dos mil quince, pues como se ha sostenido en la presente sentencia, dicha autoridad se encontraba obligada a resolver el desacuerdo de interconexión respecto de todo el año dos mil quince.</w:t>
      </w:r>
    </w:p>
    <w:p w:rsidR="001975D2" w:rsidRPr="00B613DB" w:rsidRDefault="005D355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Así las cosas, el Pleno del Instituto Federal de Telecomunicaciones deberá emitir una nueva resolución en la cual, para la fijación de las tarifas para el periodo del uno de enero al once de agosto de dos mil quince, atienda a la interpretación que del artículo vigésimo transitorio, segundo párrafo, de la Ley Federal de Telecomunicaciones y Radiodifusión, fijó esta Segunda Sala en la presente sentencia, y proceda a resolver el desacuerdo de interconexión respecto de todo el periodo que le fue solicitado.</w:t>
      </w:r>
    </w:p>
    <w:p w:rsidR="001975D2" w:rsidRPr="00B613DB" w:rsidRDefault="005D355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iCs/>
          <w:sz w:val="18"/>
          <w:szCs w:val="24"/>
          <w:lang w:val="es-ES" w:eastAsia="es-ES"/>
        </w:rPr>
        <w:t>[…]</w:t>
      </w:r>
    </w:p>
    <w:p w:rsidR="001975D2" w:rsidRPr="00B613DB" w:rsidRDefault="005D355D" w:rsidP="00EE574A">
      <w:pPr>
        <w:widowControl w:val="0"/>
        <w:tabs>
          <w:tab w:val="left" w:pos="720"/>
          <w:tab w:val="center" w:pos="4419"/>
          <w:tab w:val="right" w:pos="8838"/>
        </w:tabs>
        <w:spacing w:before="240" w:after="0"/>
        <w:jc w:val="center"/>
        <w:rPr>
          <w:rFonts w:ascii="ITC Avant Garde" w:hAnsi="ITC Avant Garde"/>
          <w:b/>
        </w:rPr>
      </w:pPr>
      <w:r w:rsidRPr="00B613DB">
        <w:rPr>
          <w:rFonts w:ascii="ITC Avant Garde" w:eastAsia="Times New Roman" w:hAnsi="ITC Avant Garde" w:cs="Arial"/>
          <w:b/>
          <w:szCs w:val="20"/>
        </w:rPr>
        <w:t>RESUELVE</w:t>
      </w:r>
      <w:r w:rsidRPr="00B613DB">
        <w:rPr>
          <w:rFonts w:ascii="ITC Avant Garde" w:hAnsi="ITC Avant Garde"/>
          <w:b/>
        </w:rPr>
        <w:t>:</w:t>
      </w:r>
    </w:p>
    <w:p w:rsidR="001975D2" w:rsidRPr="00B613DB" w:rsidRDefault="005D355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t>PRIMERO.</w:t>
      </w:r>
      <w:r w:rsidRPr="00B613DB">
        <w:rPr>
          <w:rFonts w:ascii="ITC Avant Garde" w:eastAsia="Times New Roman" w:hAnsi="ITC Avant Garde"/>
          <w:iCs/>
          <w:sz w:val="18"/>
          <w:szCs w:val="24"/>
          <w:lang w:val="es-ES" w:eastAsia="es-ES"/>
        </w:rPr>
        <w:t xml:space="preserve"> En la materia de la revisión, se </w:t>
      </w:r>
      <w:r w:rsidRPr="00B613DB">
        <w:rPr>
          <w:rFonts w:ascii="ITC Avant Garde" w:eastAsia="Times New Roman" w:hAnsi="ITC Avant Garde"/>
          <w:b/>
          <w:iCs/>
          <w:sz w:val="18"/>
          <w:szCs w:val="24"/>
          <w:lang w:val="es-ES" w:eastAsia="es-ES"/>
        </w:rPr>
        <w:t>confirma</w:t>
      </w:r>
      <w:r w:rsidRPr="00B613DB">
        <w:rPr>
          <w:rFonts w:ascii="ITC Avant Garde" w:eastAsia="Times New Roman" w:hAnsi="ITC Avant Garde"/>
          <w:iCs/>
          <w:sz w:val="18"/>
          <w:szCs w:val="24"/>
          <w:lang w:val="es-ES" w:eastAsia="es-ES"/>
        </w:rPr>
        <w:t xml:space="preserve"> la sentencia recurrida.</w:t>
      </w:r>
    </w:p>
    <w:p w:rsidR="001975D2" w:rsidRPr="00B613DB" w:rsidRDefault="005D355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t>SEGUNDO.</w:t>
      </w:r>
      <w:r w:rsidRPr="00B613DB">
        <w:rPr>
          <w:rFonts w:ascii="ITC Avant Garde" w:eastAsia="Times New Roman" w:hAnsi="ITC Avant Garde"/>
          <w:iCs/>
          <w:sz w:val="18"/>
          <w:szCs w:val="24"/>
          <w:lang w:val="es-ES" w:eastAsia="es-ES"/>
        </w:rPr>
        <w:t xml:space="preserve"> La Justicia de la Unión </w:t>
      </w:r>
      <w:r w:rsidRPr="00B613DB">
        <w:rPr>
          <w:rFonts w:ascii="ITC Avant Garde" w:eastAsia="Times New Roman" w:hAnsi="ITC Avant Garde"/>
          <w:b/>
          <w:iCs/>
          <w:sz w:val="18"/>
          <w:szCs w:val="24"/>
          <w:lang w:val="es-ES" w:eastAsia="es-ES"/>
        </w:rPr>
        <w:t>no ampara ni protege</w:t>
      </w:r>
      <w:r w:rsidRPr="00B613DB">
        <w:rPr>
          <w:rFonts w:ascii="ITC Avant Garde" w:eastAsia="Times New Roman" w:hAnsi="ITC Avant Garde"/>
          <w:iCs/>
          <w:sz w:val="18"/>
          <w:szCs w:val="24"/>
          <w:lang w:val="es-ES" w:eastAsia="es-ES"/>
        </w:rPr>
        <w:t xml:space="preserve"> a </w:t>
      </w:r>
      <w:proofErr w:type="spellStart"/>
      <w:r w:rsidRPr="00B613DB">
        <w:rPr>
          <w:rFonts w:ascii="ITC Avant Garde" w:eastAsia="Times New Roman" w:hAnsi="ITC Avant Garde"/>
          <w:iCs/>
          <w:sz w:val="18"/>
          <w:szCs w:val="24"/>
          <w:lang w:val="es-ES" w:eastAsia="es-ES"/>
        </w:rPr>
        <w:t>Radiomóvil</w:t>
      </w:r>
      <w:proofErr w:type="spellEnd"/>
      <w:r w:rsidRPr="00B613DB">
        <w:rPr>
          <w:rFonts w:ascii="ITC Avant Garde" w:eastAsia="Times New Roman" w:hAnsi="ITC Avant Garde"/>
          <w:iCs/>
          <w:sz w:val="18"/>
          <w:szCs w:val="24"/>
          <w:lang w:val="es-ES" w:eastAsia="es-ES"/>
        </w:rPr>
        <w:t xml:space="preserve"> </w:t>
      </w:r>
      <w:proofErr w:type="spellStart"/>
      <w:r w:rsidRPr="00B613DB">
        <w:rPr>
          <w:rFonts w:ascii="ITC Avant Garde" w:eastAsia="Times New Roman" w:hAnsi="ITC Avant Garde"/>
          <w:iCs/>
          <w:sz w:val="18"/>
          <w:szCs w:val="24"/>
          <w:lang w:val="es-ES" w:eastAsia="es-ES"/>
        </w:rPr>
        <w:t>Dipsa</w:t>
      </w:r>
      <w:proofErr w:type="spellEnd"/>
      <w:r w:rsidRPr="00B613DB">
        <w:rPr>
          <w:rFonts w:ascii="ITC Avant Garde" w:eastAsia="Times New Roman" w:hAnsi="ITC Avant Garde"/>
          <w:iCs/>
          <w:sz w:val="18"/>
          <w:szCs w:val="24"/>
          <w:lang w:val="es-ES" w:eastAsia="es-ES"/>
        </w:rPr>
        <w:t>, sociedad anónima de capital variable, en contra del artículo vigésimo transitorio, segundo párrafo, de la Ley Federal de Telecomunicaciones y Radiodifusión, de conformidad con la interpretación contenida en el considerando quinto de la presente sentencia.</w:t>
      </w:r>
    </w:p>
    <w:p w:rsidR="001975D2" w:rsidRPr="00B613DB" w:rsidRDefault="005D355D"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lastRenderedPageBreak/>
        <w:t>TERCERO.</w:t>
      </w:r>
      <w:r w:rsidRPr="00B613DB">
        <w:rPr>
          <w:rFonts w:ascii="ITC Avant Garde" w:eastAsia="Times New Roman" w:hAnsi="ITC Avant Garde"/>
          <w:iCs/>
          <w:sz w:val="18"/>
          <w:szCs w:val="24"/>
          <w:lang w:val="es-ES" w:eastAsia="es-ES"/>
        </w:rPr>
        <w:t xml:space="preserve"> La Justicia de la Unión </w:t>
      </w:r>
      <w:r w:rsidRPr="00B613DB">
        <w:rPr>
          <w:rFonts w:ascii="ITC Avant Garde" w:eastAsia="Times New Roman" w:hAnsi="ITC Avant Garde"/>
          <w:b/>
          <w:iCs/>
          <w:sz w:val="18"/>
          <w:szCs w:val="24"/>
          <w:lang w:val="es-ES" w:eastAsia="es-ES"/>
        </w:rPr>
        <w:t>ampara y protege</w:t>
      </w:r>
      <w:r w:rsidRPr="00B613DB">
        <w:rPr>
          <w:rFonts w:ascii="ITC Avant Garde" w:eastAsia="Times New Roman" w:hAnsi="ITC Avant Garde"/>
          <w:iCs/>
          <w:sz w:val="18"/>
          <w:szCs w:val="24"/>
          <w:lang w:val="es-ES" w:eastAsia="es-ES"/>
        </w:rPr>
        <w:t xml:space="preserve"> a </w:t>
      </w:r>
      <w:proofErr w:type="spellStart"/>
      <w:r w:rsidRPr="00B613DB">
        <w:rPr>
          <w:rFonts w:ascii="ITC Avant Garde" w:eastAsia="Times New Roman" w:hAnsi="ITC Avant Garde"/>
          <w:iCs/>
          <w:sz w:val="18"/>
          <w:szCs w:val="24"/>
          <w:lang w:val="es-ES" w:eastAsia="es-ES"/>
        </w:rPr>
        <w:t>Radiomóvil</w:t>
      </w:r>
      <w:proofErr w:type="spellEnd"/>
      <w:r w:rsidRPr="00B613DB">
        <w:rPr>
          <w:rFonts w:ascii="ITC Avant Garde" w:eastAsia="Times New Roman" w:hAnsi="ITC Avant Garde"/>
          <w:iCs/>
          <w:sz w:val="18"/>
          <w:szCs w:val="24"/>
          <w:lang w:val="es-ES" w:eastAsia="es-ES"/>
        </w:rPr>
        <w:t xml:space="preserve"> </w:t>
      </w:r>
      <w:proofErr w:type="spellStart"/>
      <w:r w:rsidRPr="00B613DB">
        <w:rPr>
          <w:rFonts w:ascii="ITC Avant Garde" w:eastAsia="Times New Roman" w:hAnsi="ITC Avant Garde"/>
          <w:iCs/>
          <w:sz w:val="18"/>
          <w:szCs w:val="24"/>
          <w:lang w:val="es-ES" w:eastAsia="es-ES"/>
        </w:rPr>
        <w:t>Dipsa</w:t>
      </w:r>
      <w:proofErr w:type="spellEnd"/>
      <w:r w:rsidRPr="00B613DB">
        <w:rPr>
          <w:rFonts w:ascii="ITC Avant Garde" w:eastAsia="Times New Roman" w:hAnsi="ITC Avant Garde"/>
          <w:iCs/>
          <w:sz w:val="18"/>
          <w:szCs w:val="24"/>
          <w:lang w:val="es-ES" w:eastAsia="es-ES"/>
        </w:rPr>
        <w:t>, sociedad anónima de capital variable, en contra de los actos reclamados al Pleno del Instituto Federal de Telecomunicaciones</w:t>
      </w:r>
      <w:r w:rsidR="00CD4659" w:rsidRPr="00B613DB">
        <w:rPr>
          <w:rFonts w:ascii="ITC Avant Garde" w:eastAsia="Times New Roman" w:hAnsi="ITC Avant Garde"/>
          <w:iCs/>
          <w:sz w:val="18"/>
          <w:szCs w:val="24"/>
          <w:lang w:val="es-ES" w:eastAsia="es-ES"/>
        </w:rPr>
        <w:t>, para los efectos precisados en el considerando cuarto de la presente sentencia.</w:t>
      </w:r>
    </w:p>
    <w:p w:rsidR="001975D2" w:rsidRPr="00B613DB" w:rsidRDefault="0022471E" w:rsidP="001975D2">
      <w:pPr>
        <w:spacing w:before="240" w:after="0"/>
        <w:ind w:left="567" w:right="567"/>
        <w:jc w:val="both"/>
        <w:rPr>
          <w:rFonts w:ascii="ITC Avant Garde" w:eastAsia="Times New Roman" w:hAnsi="ITC Avant Garde" w:cs="Arial"/>
          <w:sz w:val="18"/>
          <w:szCs w:val="20"/>
        </w:rPr>
      </w:pPr>
      <w:r w:rsidRPr="00B613DB">
        <w:rPr>
          <w:rFonts w:ascii="ITC Avant Garde" w:eastAsia="Times New Roman" w:hAnsi="ITC Avant Garde"/>
          <w:b/>
          <w:iCs/>
          <w:sz w:val="18"/>
          <w:szCs w:val="24"/>
          <w:lang w:val="es-ES" w:eastAsia="es-ES"/>
        </w:rPr>
        <w:t>CUARTO.</w:t>
      </w:r>
      <w:r w:rsidRPr="00B613DB">
        <w:rPr>
          <w:rFonts w:ascii="ITC Avant Garde" w:eastAsia="Times New Roman" w:hAnsi="ITC Avant Garde"/>
          <w:iCs/>
          <w:sz w:val="18"/>
          <w:szCs w:val="24"/>
          <w:lang w:val="es-ES" w:eastAsia="es-ES"/>
        </w:rPr>
        <w:t xml:space="preserve"> Queda </w:t>
      </w:r>
      <w:r w:rsidRPr="00B613DB">
        <w:rPr>
          <w:rFonts w:ascii="ITC Avant Garde" w:eastAsia="Times New Roman" w:hAnsi="ITC Avant Garde"/>
          <w:b/>
          <w:iCs/>
          <w:sz w:val="18"/>
          <w:szCs w:val="24"/>
          <w:lang w:val="es-ES" w:eastAsia="es-ES"/>
        </w:rPr>
        <w:t>sin materia</w:t>
      </w:r>
      <w:r w:rsidRPr="00B613DB">
        <w:rPr>
          <w:rFonts w:ascii="ITC Avant Garde" w:eastAsia="Times New Roman" w:hAnsi="ITC Avant Garde"/>
          <w:iCs/>
          <w:sz w:val="18"/>
          <w:szCs w:val="24"/>
          <w:lang w:val="es-ES" w:eastAsia="es-ES"/>
        </w:rPr>
        <w:t xml:space="preserve"> el recurso de revisión adhesivo.</w:t>
      </w:r>
    </w:p>
    <w:p w:rsidR="001975D2" w:rsidRPr="00B613DB" w:rsidRDefault="007977CC" w:rsidP="001975D2">
      <w:pPr>
        <w:widowControl w:val="0"/>
        <w:tabs>
          <w:tab w:val="left" w:pos="720"/>
          <w:tab w:val="center" w:pos="4419"/>
          <w:tab w:val="right" w:pos="8838"/>
        </w:tabs>
        <w:spacing w:before="240" w:after="0"/>
        <w:ind w:left="567" w:right="615"/>
        <w:jc w:val="both"/>
        <w:rPr>
          <w:rFonts w:ascii="ITC Avant Garde" w:eastAsia="Times New Roman" w:hAnsi="ITC Avant Garde" w:cs="Arial"/>
          <w:sz w:val="18"/>
          <w:szCs w:val="20"/>
        </w:rPr>
      </w:pPr>
      <w:r w:rsidRPr="00B613DB">
        <w:rPr>
          <w:rFonts w:ascii="ITC Avant Garde" w:eastAsia="Times New Roman" w:hAnsi="ITC Avant Garde" w:cs="Arial"/>
          <w:sz w:val="18"/>
          <w:szCs w:val="20"/>
        </w:rPr>
        <w:t>[…]»</w:t>
      </w:r>
    </w:p>
    <w:p w:rsidR="001975D2" w:rsidRPr="00B613DB" w:rsidRDefault="00445954" w:rsidP="001975D2">
      <w:pPr>
        <w:widowControl w:val="0"/>
        <w:tabs>
          <w:tab w:val="left" w:pos="720"/>
          <w:tab w:val="center" w:pos="4419"/>
          <w:tab w:val="right" w:pos="8838"/>
        </w:tabs>
        <w:spacing w:before="240" w:after="0"/>
        <w:jc w:val="both"/>
        <w:rPr>
          <w:rFonts w:ascii="ITC Avant Garde" w:eastAsia="Times New Roman" w:hAnsi="ITC Avant Garde" w:cs="Arial"/>
          <w:szCs w:val="20"/>
        </w:rPr>
      </w:pPr>
      <w:r w:rsidRPr="00B613DB">
        <w:rPr>
          <w:rFonts w:ascii="ITC Avant Garde" w:eastAsia="Times New Roman" w:hAnsi="ITC Avant Garde" w:cs="Arial"/>
          <w:szCs w:val="20"/>
        </w:rPr>
        <w:t>Es así que</w:t>
      </w:r>
      <w:r w:rsidR="007977CC" w:rsidRPr="00B613DB">
        <w:rPr>
          <w:rFonts w:ascii="ITC Avant Garde" w:eastAsia="Times New Roman" w:hAnsi="ITC Avant Garde" w:cs="Arial"/>
          <w:szCs w:val="20"/>
        </w:rPr>
        <w:t xml:space="preserve"> con fecha 1</w:t>
      </w:r>
      <w:r w:rsidR="0022471E" w:rsidRPr="00B613DB">
        <w:rPr>
          <w:rFonts w:ascii="ITC Avant Garde" w:eastAsia="Times New Roman" w:hAnsi="ITC Avant Garde" w:cs="Arial"/>
          <w:szCs w:val="20"/>
        </w:rPr>
        <w:t xml:space="preserve">5 de agosto de </w:t>
      </w:r>
      <w:r w:rsidR="007977CC" w:rsidRPr="00B613DB">
        <w:rPr>
          <w:rFonts w:ascii="ITC Avant Garde" w:eastAsia="Times New Roman" w:hAnsi="ITC Avant Garde" w:cs="Arial"/>
          <w:szCs w:val="20"/>
        </w:rPr>
        <w:t xml:space="preserve">2017, se recibió en la Oficialía de Partes de este Instituto, la ejecutoria correspondiente al amparo en revisión </w:t>
      </w:r>
      <w:r w:rsidR="0022471E" w:rsidRPr="00B613DB">
        <w:rPr>
          <w:rFonts w:ascii="ITC Avant Garde" w:eastAsia="Times New Roman" w:hAnsi="ITC Avant Garde" w:cs="Arial"/>
          <w:szCs w:val="20"/>
        </w:rPr>
        <w:t>3</w:t>
      </w:r>
      <w:r w:rsidR="00E84A52" w:rsidRPr="00B613DB">
        <w:rPr>
          <w:rFonts w:ascii="ITC Avant Garde" w:eastAsia="Times New Roman" w:hAnsi="ITC Avant Garde" w:cs="Arial"/>
          <w:szCs w:val="20"/>
        </w:rPr>
        <w:t>2</w:t>
      </w:r>
      <w:r w:rsidR="0022471E" w:rsidRPr="00B613DB">
        <w:rPr>
          <w:rFonts w:ascii="ITC Avant Garde" w:eastAsia="Times New Roman" w:hAnsi="ITC Avant Garde" w:cs="Arial"/>
          <w:szCs w:val="20"/>
        </w:rPr>
        <w:t>9/2016, de fecha 21</w:t>
      </w:r>
      <w:r w:rsidR="007977CC" w:rsidRPr="00B613DB">
        <w:rPr>
          <w:rFonts w:ascii="ITC Avant Garde" w:eastAsia="Times New Roman" w:hAnsi="ITC Avant Garde" w:cs="Arial"/>
          <w:szCs w:val="20"/>
        </w:rPr>
        <w:t xml:space="preserve"> de junio de 2017, emitida por </w:t>
      </w:r>
      <w:r w:rsidR="0022471E" w:rsidRPr="00B613DB">
        <w:rPr>
          <w:rFonts w:ascii="ITC Avant Garde" w:eastAsia="Times New Roman" w:hAnsi="ITC Avant Garde" w:cs="Arial"/>
          <w:szCs w:val="20"/>
        </w:rPr>
        <w:t>la Segunda Sala de la Suprema Corte de Justicia de la Nación</w:t>
      </w:r>
      <w:r w:rsidR="0022471E" w:rsidRPr="00B613DB">
        <w:rPr>
          <w:rFonts w:ascii="ITC Avant Garde" w:eastAsia="Times New Roman" w:hAnsi="ITC Avant Garde"/>
          <w:szCs w:val="20"/>
        </w:rPr>
        <w:t>.</w:t>
      </w:r>
    </w:p>
    <w:p w:rsidR="001975D2" w:rsidRPr="00B613DB" w:rsidRDefault="00445954" w:rsidP="001975D2">
      <w:pPr>
        <w:widowControl w:val="0"/>
        <w:tabs>
          <w:tab w:val="left" w:pos="720"/>
          <w:tab w:val="center" w:pos="4419"/>
          <w:tab w:val="right" w:pos="8838"/>
        </w:tabs>
        <w:spacing w:before="240" w:after="0"/>
        <w:jc w:val="both"/>
        <w:rPr>
          <w:rFonts w:ascii="ITC Avant Garde" w:eastAsia="Times New Roman" w:hAnsi="ITC Avant Garde" w:cs="Arial"/>
          <w:szCs w:val="20"/>
        </w:rPr>
      </w:pPr>
      <w:r w:rsidRPr="00B613DB">
        <w:rPr>
          <w:rFonts w:ascii="ITC Avant Garde" w:eastAsia="Times New Roman" w:hAnsi="ITC Avant Garde" w:cs="Arial"/>
          <w:szCs w:val="20"/>
        </w:rPr>
        <w:t>Asimismo, el 18 de agosto de 2017, se recibió en la Oficialía de Partes de este Instituto, proveído de fecha 17 de agosto de 2017 dictado en el cuaderno principal del juicio de amparo 1642/2015</w:t>
      </w:r>
      <w:r w:rsidR="00C56203" w:rsidRPr="00B613DB">
        <w:rPr>
          <w:rFonts w:ascii="ITC Avant Garde" w:eastAsia="Times New Roman" w:hAnsi="ITC Avant Garde" w:cs="Arial"/>
          <w:szCs w:val="20"/>
        </w:rPr>
        <w:t>, del que derivó el Amparo en Revisión 3</w:t>
      </w:r>
      <w:r w:rsidR="00E84A52" w:rsidRPr="00B613DB">
        <w:rPr>
          <w:rFonts w:ascii="ITC Avant Garde" w:eastAsia="Times New Roman" w:hAnsi="ITC Avant Garde" w:cs="Arial"/>
          <w:szCs w:val="20"/>
        </w:rPr>
        <w:t>2</w:t>
      </w:r>
      <w:r w:rsidR="00C56203" w:rsidRPr="00B613DB">
        <w:rPr>
          <w:rFonts w:ascii="ITC Avant Garde" w:eastAsia="Times New Roman" w:hAnsi="ITC Avant Garde" w:cs="Arial"/>
          <w:szCs w:val="20"/>
        </w:rPr>
        <w:t>9/2016</w:t>
      </w:r>
      <w:r w:rsidRPr="00B613DB">
        <w:rPr>
          <w:rFonts w:ascii="ITC Avant Garde" w:eastAsia="Times New Roman" w:hAnsi="ITC Avant Garde" w:cs="Arial"/>
          <w:szCs w:val="20"/>
        </w:rPr>
        <w:t xml:space="preserve">, mediante el cual la Juez Segundo de Distrito en Materia Administrativa Especializada en Competencia Económica, Radiodifusión y Telecomunicaciones, con residencia en la Ciudad de México y jurisdicción en toda la República, requirió al </w:t>
      </w:r>
      <w:r w:rsidR="00C56203" w:rsidRPr="00B613DB">
        <w:rPr>
          <w:rFonts w:ascii="ITC Avant Garde" w:eastAsia="Times New Roman" w:hAnsi="ITC Avant Garde" w:cs="Arial"/>
          <w:szCs w:val="20"/>
        </w:rPr>
        <w:t>Pleno del Instituto el cumplimiento del fallo protector en el siguiente sentido:</w:t>
      </w:r>
    </w:p>
    <w:p w:rsidR="001975D2" w:rsidRPr="00B613DB" w:rsidRDefault="00C5620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t xml:space="preserve">“I. </w:t>
      </w:r>
      <w:r w:rsidRPr="00B613DB">
        <w:rPr>
          <w:rFonts w:ascii="ITC Avant Garde" w:eastAsia="Times New Roman" w:hAnsi="ITC Avant Garde"/>
          <w:iCs/>
          <w:sz w:val="18"/>
          <w:szCs w:val="24"/>
          <w:lang w:val="es-ES" w:eastAsia="es-ES"/>
        </w:rPr>
        <w:t xml:space="preserve">Haber realizado las gestiones necesarias para </w:t>
      </w:r>
      <w:r w:rsidRPr="00B613DB">
        <w:rPr>
          <w:rFonts w:ascii="ITC Avant Garde" w:eastAsia="Times New Roman" w:hAnsi="ITC Avant Garde"/>
          <w:b/>
          <w:iCs/>
          <w:sz w:val="18"/>
          <w:szCs w:val="24"/>
          <w:u w:val="single"/>
          <w:lang w:val="es-ES" w:eastAsia="es-ES"/>
        </w:rPr>
        <w:t>desincorporar de la esfera jurídica</w:t>
      </w:r>
      <w:r w:rsidRPr="00B613DB">
        <w:rPr>
          <w:rFonts w:ascii="ITC Avant Garde" w:eastAsia="Times New Roman" w:hAnsi="ITC Avant Garde"/>
          <w:b/>
          <w:iCs/>
          <w:sz w:val="18"/>
          <w:szCs w:val="24"/>
          <w:lang w:val="es-ES" w:eastAsia="es-ES"/>
        </w:rPr>
        <w:t xml:space="preserve"> de la parte quejosa</w:t>
      </w:r>
      <w:r w:rsidRPr="00B613DB">
        <w:rPr>
          <w:rFonts w:ascii="ITC Avant Garde" w:eastAsia="Times New Roman" w:hAnsi="ITC Avant Garde"/>
          <w:iCs/>
          <w:sz w:val="18"/>
          <w:szCs w:val="24"/>
          <w:lang w:val="es-ES" w:eastAsia="es-ES"/>
        </w:rPr>
        <w:t xml:space="preserve">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publicado en el Diario Oficial de la Federación el veintinueve de diciembre de dos mil quince, </w:t>
      </w:r>
      <w:r w:rsidRPr="00B613DB">
        <w:rPr>
          <w:rFonts w:ascii="ITC Avant Garde" w:eastAsia="Times New Roman" w:hAnsi="ITC Avant Garde"/>
          <w:b/>
          <w:iCs/>
          <w:sz w:val="18"/>
          <w:szCs w:val="24"/>
          <w:lang w:val="es-ES" w:eastAsia="es-ES"/>
        </w:rPr>
        <w:t>únicamente en lo referente al antepenúltimo párrafo de su primer punto de acuerdo, es decir, en el que refiere que las tarifas ahí determinadas sólo podrán ser aplicables desde su resolución, a fin de que dicha determinación no les sea aplicada en el futuro</w:t>
      </w:r>
      <w:r w:rsidRPr="00B613DB">
        <w:rPr>
          <w:rFonts w:ascii="ITC Avant Garde" w:eastAsia="Times New Roman" w:hAnsi="ITC Avant Garde"/>
          <w:iCs/>
          <w:sz w:val="18"/>
          <w:szCs w:val="24"/>
          <w:lang w:val="es-ES" w:eastAsia="es-ES"/>
        </w:rPr>
        <w:t>.</w:t>
      </w:r>
    </w:p>
    <w:p w:rsidR="001975D2" w:rsidRPr="00B613DB" w:rsidRDefault="00C56203" w:rsidP="001975D2">
      <w:pPr>
        <w:spacing w:before="240" w:after="0"/>
        <w:ind w:left="567" w:right="567"/>
        <w:jc w:val="both"/>
        <w:rPr>
          <w:rFonts w:ascii="ITC Avant Garde" w:eastAsia="Times New Roman" w:hAnsi="ITC Avant Garde"/>
          <w:iCs/>
          <w:sz w:val="18"/>
          <w:szCs w:val="24"/>
          <w:lang w:val="es-ES" w:eastAsia="es-ES"/>
        </w:rPr>
      </w:pPr>
      <w:r w:rsidRPr="00B613DB">
        <w:rPr>
          <w:rFonts w:ascii="ITC Avant Garde" w:eastAsia="Times New Roman" w:hAnsi="ITC Avant Garde"/>
          <w:b/>
          <w:iCs/>
          <w:sz w:val="18"/>
          <w:szCs w:val="24"/>
          <w:lang w:val="es-ES" w:eastAsia="es-ES"/>
        </w:rPr>
        <w:t>II.</w:t>
      </w:r>
      <w:r w:rsidRPr="00B613DB">
        <w:rPr>
          <w:rFonts w:ascii="ITC Avant Garde" w:eastAsia="Times New Roman" w:hAnsi="ITC Avant Garde"/>
          <w:b/>
          <w:iCs/>
          <w:sz w:val="18"/>
          <w:szCs w:val="24"/>
          <w:u w:val="single"/>
          <w:lang w:val="es-ES" w:eastAsia="es-ES"/>
        </w:rPr>
        <w:t xml:space="preserve"> Haber dejado insubsistente</w:t>
      </w:r>
      <w:r w:rsidRPr="00B613DB">
        <w:rPr>
          <w:rFonts w:ascii="ITC Avant Garde" w:eastAsia="Times New Roman" w:hAnsi="ITC Avant Garde"/>
          <w:iCs/>
          <w:sz w:val="18"/>
          <w:szCs w:val="24"/>
          <w:lang w:val="es-ES" w:eastAsia="es-ES"/>
        </w:rPr>
        <w:t xml:space="preserve"> la resolución de desacuerdo de interconexión de doce de agosto de dos mil quince, </w:t>
      </w:r>
      <w:r w:rsidRPr="00B613DB">
        <w:rPr>
          <w:rFonts w:ascii="ITC Avant Garde" w:eastAsia="Times New Roman" w:hAnsi="ITC Avant Garde"/>
          <w:b/>
          <w:iCs/>
          <w:sz w:val="18"/>
          <w:szCs w:val="24"/>
          <w:lang w:val="es-ES" w:eastAsia="es-ES"/>
        </w:rPr>
        <w:t xml:space="preserve">sólo en la parte referente a que tratándose de los servicios de terminación en usuarios móviles y fijos, así como de mensajes cortos, para el período comprendido entre el uno de enero  al once de agosto de dos mil quince, debían hacerse extensivas las últimas tarifas que las partes hubieren convenido para el periodo inmediato anterior, </w:t>
      </w:r>
      <w:r w:rsidRPr="00B613DB">
        <w:rPr>
          <w:rFonts w:ascii="ITC Avant Garde" w:eastAsia="Times New Roman" w:hAnsi="ITC Avant Garde"/>
          <w:b/>
          <w:iCs/>
          <w:sz w:val="18"/>
          <w:szCs w:val="24"/>
          <w:u w:val="single"/>
          <w:lang w:val="es-ES" w:eastAsia="es-ES"/>
        </w:rPr>
        <w:t>y haber emitido una nueva</w:t>
      </w:r>
      <w:r w:rsidRPr="00B613DB">
        <w:rPr>
          <w:rFonts w:ascii="ITC Avant Garde" w:eastAsia="Times New Roman" w:hAnsi="ITC Avant Garde"/>
          <w:iCs/>
          <w:sz w:val="18"/>
          <w:szCs w:val="24"/>
          <w:lang w:val="es-ES" w:eastAsia="es-ES"/>
        </w:rPr>
        <w:t xml:space="preserve"> en la que fije las tarifas que la parte quejosa debe cubrir a las tercero interesadas, por concepto de los servicios de interconexión de mérito, para ese período, considerando que se encontraba obligada a resolver el desacuerdo planteado respecto de todo el año dos mil quince.” </w:t>
      </w:r>
    </w:p>
    <w:p w:rsidR="001975D2" w:rsidRPr="00B613DB" w:rsidRDefault="000461F3" w:rsidP="001975D2">
      <w:pPr>
        <w:spacing w:before="240" w:after="0"/>
        <w:jc w:val="both"/>
        <w:rPr>
          <w:rFonts w:ascii="ITC Avant Garde" w:hAnsi="ITC Avant Garde"/>
        </w:rPr>
      </w:pPr>
      <w:r w:rsidRPr="00B613DB">
        <w:rPr>
          <w:rFonts w:ascii="ITC Avant Garde" w:hAnsi="ITC Avant Garde"/>
        </w:rPr>
        <w:t>En tal virtud, es menester precisar que los efectos de la ejecutoria referida está</w:t>
      </w:r>
      <w:r w:rsidR="00134F28" w:rsidRPr="00B613DB">
        <w:rPr>
          <w:rFonts w:ascii="ITC Avant Garde" w:hAnsi="ITC Avant Garde"/>
        </w:rPr>
        <w:t>n</w:t>
      </w:r>
      <w:r w:rsidRPr="00B613DB">
        <w:rPr>
          <w:rFonts w:ascii="ITC Avant Garde" w:hAnsi="ITC Avant Garde"/>
        </w:rPr>
        <w:t xml:space="preserve"> acotado</w:t>
      </w:r>
      <w:r w:rsidR="00134F28" w:rsidRPr="00B613DB">
        <w:rPr>
          <w:rFonts w:ascii="ITC Avant Garde" w:hAnsi="ITC Avant Garde"/>
        </w:rPr>
        <w:t>s</w:t>
      </w:r>
      <w:r w:rsidRPr="00B613DB">
        <w:rPr>
          <w:rFonts w:ascii="ITC Avant Garde" w:hAnsi="ITC Avant Garde"/>
        </w:rPr>
        <w:t xml:space="preserve"> a lo siguiente:</w:t>
      </w:r>
    </w:p>
    <w:p w:rsidR="001975D2" w:rsidRPr="00B613DB" w:rsidRDefault="000461F3" w:rsidP="001975D2">
      <w:pPr>
        <w:pStyle w:val="Prrafodelista"/>
        <w:numPr>
          <w:ilvl w:val="0"/>
          <w:numId w:val="46"/>
        </w:numPr>
        <w:spacing w:before="240" w:line="276" w:lineRule="auto"/>
        <w:rPr>
          <w:rFonts w:ascii="ITC Avant Garde" w:hAnsi="ITC Avant Garde"/>
        </w:rPr>
      </w:pPr>
      <w:r w:rsidRPr="00B613DB">
        <w:rPr>
          <w:rFonts w:ascii="ITC Avant Garde" w:hAnsi="ITC Avant Garde"/>
        </w:rPr>
        <w:t xml:space="preserve">El Instituto debe desincorporar de la esfera jurídica de Telcel, el “Acuerdo mediante el cual el Pleno del Instituto Federal de Telecomunicaciones determina </w:t>
      </w:r>
      <w:r w:rsidRPr="00B613DB">
        <w:rPr>
          <w:rFonts w:ascii="ITC Avant Garde" w:hAnsi="ITC Avant Garde"/>
        </w:rPr>
        <w:lastRenderedPageBreak/>
        <w:t>las tarifas de interconexión resultado de la metodología para el cálculo de costos de interconexión que se utilizará para resolver los desacuerdos de interconexión que se presenten respecto de las condiciones aplicables al año 2015”, en lo relativo a que dichas tarifas solo podrán ser aplicadas desde su resolución.</w:t>
      </w:r>
    </w:p>
    <w:p w:rsidR="001975D2" w:rsidRPr="00B613DB" w:rsidRDefault="00B27009" w:rsidP="001975D2">
      <w:pPr>
        <w:pStyle w:val="Prrafodelista"/>
        <w:numPr>
          <w:ilvl w:val="0"/>
          <w:numId w:val="46"/>
        </w:numPr>
        <w:spacing w:before="240" w:line="276" w:lineRule="auto"/>
        <w:rPr>
          <w:rFonts w:ascii="ITC Avant Garde" w:hAnsi="ITC Avant Garde"/>
        </w:rPr>
      </w:pPr>
      <w:r w:rsidRPr="00B613DB">
        <w:rPr>
          <w:rFonts w:ascii="ITC Avant Garde" w:hAnsi="ITC Avant Garde"/>
        </w:rPr>
        <w:t xml:space="preserve">El Instituto debe determinar las tarifas de interconexión </w:t>
      </w:r>
      <w:r w:rsidR="00933D73" w:rsidRPr="00B613DB">
        <w:rPr>
          <w:rFonts w:ascii="ITC Avant Garde" w:hAnsi="ITC Avant Garde"/>
        </w:rPr>
        <w:t xml:space="preserve">para el periodo </w:t>
      </w:r>
      <w:r w:rsidRPr="00B613DB">
        <w:rPr>
          <w:rFonts w:ascii="ITC Avant Garde" w:hAnsi="ITC Avant Garde"/>
        </w:rPr>
        <w:t>del 1 de enero al 11 de agosto de 2015,</w:t>
      </w:r>
      <w:r w:rsidR="00933D73" w:rsidRPr="00B613DB">
        <w:rPr>
          <w:rFonts w:ascii="ITC Avant Garde" w:hAnsi="ITC Avant Garde"/>
        </w:rPr>
        <w:t xml:space="preserve"> lo </w:t>
      </w:r>
      <w:r w:rsidR="00D92638" w:rsidRPr="00B613DB">
        <w:rPr>
          <w:rFonts w:ascii="ITC Avant Garde" w:hAnsi="ITC Avant Garde"/>
        </w:rPr>
        <w:t xml:space="preserve">que </w:t>
      </w:r>
      <w:r w:rsidR="00933D73" w:rsidRPr="00B613DB">
        <w:rPr>
          <w:rFonts w:ascii="ITC Avant Garde" w:hAnsi="ITC Avant Garde"/>
        </w:rPr>
        <w:t xml:space="preserve">deberá realizar </w:t>
      </w:r>
      <w:r w:rsidRPr="00B613DB">
        <w:rPr>
          <w:rFonts w:ascii="ITC Avant Garde" w:hAnsi="ITC Avant Garde"/>
        </w:rPr>
        <w:t>atendiendo a la interpretación realizada por la Segunda Sala de la SCJN, esto es aplicando la metodología de costos que en términos de la ley vigente se considere, así como el modelo de costos correspondiente</w:t>
      </w:r>
      <w:r w:rsidR="00933D73" w:rsidRPr="00B613DB">
        <w:rPr>
          <w:rFonts w:ascii="ITC Avant Garde" w:hAnsi="ITC Avant Garde"/>
        </w:rPr>
        <w:t>;</w:t>
      </w:r>
      <w:r w:rsidRPr="00B613DB">
        <w:rPr>
          <w:rFonts w:ascii="ITC Avant Garde" w:hAnsi="ITC Avant Garde"/>
        </w:rPr>
        <w:t xml:space="preserve"> y que una vez fijadas</w:t>
      </w:r>
      <w:r w:rsidR="00933D73" w:rsidRPr="00B613DB">
        <w:rPr>
          <w:rFonts w:ascii="ITC Avant Garde" w:hAnsi="ITC Avant Garde"/>
        </w:rPr>
        <w:t xml:space="preserve"> las tarifas</w:t>
      </w:r>
      <w:r w:rsidRPr="00B613DB">
        <w:rPr>
          <w:rFonts w:ascii="ITC Avant Garde" w:hAnsi="ITC Avant Garde"/>
        </w:rPr>
        <w:t xml:space="preserve">, las partes </w:t>
      </w:r>
      <w:r w:rsidR="00933D73" w:rsidRPr="00B613DB">
        <w:rPr>
          <w:rFonts w:ascii="ITC Avant Garde" w:hAnsi="ITC Avant Garde"/>
        </w:rPr>
        <w:t>deberán proceder</w:t>
      </w:r>
      <w:r w:rsidRPr="00B613DB">
        <w:rPr>
          <w:rFonts w:ascii="ITC Avant Garde" w:hAnsi="ITC Avant Garde"/>
        </w:rPr>
        <w:t xml:space="preserve"> a realizar el pago por diferencias que corresponda.</w:t>
      </w:r>
    </w:p>
    <w:p w:rsidR="001975D2" w:rsidRPr="00B613DB" w:rsidRDefault="00B12A23" w:rsidP="001975D2">
      <w:pPr>
        <w:pStyle w:val="Textoindependiente"/>
        <w:spacing w:before="240" w:line="276" w:lineRule="auto"/>
        <w:rPr>
          <w:rFonts w:ascii="ITC Avant Garde" w:hAnsi="ITC Avant Garde" w:cs="Arial"/>
        </w:rPr>
      </w:pPr>
      <w:r w:rsidRPr="00B613DB">
        <w:rPr>
          <w:rFonts w:ascii="ITC Avant Garde" w:hAnsi="ITC Avant Garde" w:cs="Arial"/>
        </w:rPr>
        <w:t>En virtud de lo anterior</w:t>
      </w:r>
      <w:r w:rsidR="007977CC" w:rsidRPr="00B613DB">
        <w:rPr>
          <w:rFonts w:ascii="ITC Avant Garde" w:hAnsi="ITC Avant Garde" w:cs="Arial"/>
        </w:rPr>
        <w:t xml:space="preserve">, y en cumplimiento a la citada ejecutoria, el Pleno del Instituto </w:t>
      </w:r>
      <w:r w:rsidR="002D5AF6" w:rsidRPr="00B613DB">
        <w:rPr>
          <w:rFonts w:ascii="ITC Avant Garde" w:hAnsi="ITC Avant Garde" w:cs="Arial"/>
        </w:rPr>
        <w:t>desincorpora de la esfera jurídica de Telcel el antepenúltimo párrafo del Acuerdo PRIMERO del Acuerdo de Tarifas 2015, que a la letra señala lo siguiente:</w:t>
      </w:r>
    </w:p>
    <w:p w:rsidR="001975D2" w:rsidRPr="00B613DB" w:rsidRDefault="002D5AF6" w:rsidP="001975D2">
      <w:pPr>
        <w:pStyle w:val="Texto0"/>
        <w:spacing w:before="240" w:after="0" w:line="276" w:lineRule="auto"/>
        <w:ind w:left="567" w:right="615" w:firstLine="0"/>
        <w:rPr>
          <w:rFonts w:ascii="ITC Avant Garde" w:hAnsi="ITC Avant Garde"/>
        </w:rPr>
      </w:pPr>
      <w:r w:rsidRPr="00B613DB">
        <w:rPr>
          <w:rFonts w:ascii="ITC Avant Garde" w:hAnsi="ITC Avant Garde"/>
        </w:rPr>
        <w:t xml:space="preserve">“En términos de lo dispuesto por el artículo Vigésimo transitorio del Decreto de la </w:t>
      </w:r>
      <w:proofErr w:type="spellStart"/>
      <w:r w:rsidRPr="00B613DB">
        <w:rPr>
          <w:rFonts w:ascii="ITC Avant Garde" w:hAnsi="ITC Avant Garde"/>
        </w:rPr>
        <w:t>LFTyR</w:t>
      </w:r>
      <w:proofErr w:type="spellEnd"/>
      <w:r w:rsidRPr="00B613DB">
        <w:rPr>
          <w:rFonts w:ascii="ITC Avant Garde" w:hAnsi="ITC Avant Garde"/>
        </w:rPr>
        <w:t>, el Instituto resolverá los diferendos que se promuevan sobre las tarifas de interconexión por servicios prestados en el 2015 con base en las tarifas señaladas, mismas que serán aplicables desde su resolución.”</w:t>
      </w:r>
    </w:p>
    <w:p w:rsidR="001975D2" w:rsidRPr="00B613DB" w:rsidRDefault="002D5AF6" w:rsidP="001975D2">
      <w:pPr>
        <w:pStyle w:val="Textoindependiente"/>
        <w:spacing w:before="240" w:line="276" w:lineRule="auto"/>
        <w:rPr>
          <w:rFonts w:ascii="ITC Avant Garde" w:hAnsi="ITC Avant Garde" w:cs="Arial"/>
        </w:rPr>
      </w:pPr>
      <w:r w:rsidRPr="00B613DB">
        <w:rPr>
          <w:rFonts w:ascii="ITC Avant Garde" w:hAnsi="ITC Avant Garde" w:cs="Arial"/>
        </w:rPr>
        <w:t>Asimismo, se</w:t>
      </w:r>
      <w:r w:rsidR="00F46B44" w:rsidRPr="00B613DB">
        <w:rPr>
          <w:rFonts w:ascii="ITC Avant Garde" w:hAnsi="ITC Avant Garde" w:cs="Arial"/>
        </w:rPr>
        <w:t xml:space="preserve"> </w:t>
      </w:r>
      <w:r w:rsidR="007977CC" w:rsidRPr="00B613DB">
        <w:rPr>
          <w:rFonts w:ascii="ITC Avant Garde" w:hAnsi="ITC Avant Garde" w:cs="Arial"/>
        </w:rPr>
        <w:t xml:space="preserve">deja insubsistente la resolución de fecha </w:t>
      </w:r>
      <w:r w:rsidR="0022471E" w:rsidRPr="00B613DB">
        <w:rPr>
          <w:rFonts w:ascii="ITC Avant Garde" w:hAnsi="ITC Avant Garde" w:cs="Arial"/>
        </w:rPr>
        <w:t>12 de agosto de 2015</w:t>
      </w:r>
      <w:r w:rsidR="007977CC" w:rsidRPr="00B613DB">
        <w:rPr>
          <w:rFonts w:ascii="ITC Avant Garde" w:hAnsi="ITC Avant Garde" w:cs="Arial"/>
        </w:rPr>
        <w:t xml:space="preserve">, contenida en el Acuerdo </w:t>
      </w:r>
      <w:r w:rsidR="0022471E" w:rsidRPr="00B613DB">
        <w:rPr>
          <w:rFonts w:ascii="ITC Avant Garde" w:hAnsi="ITC Avant Garde" w:cs="Arial"/>
        </w:rPr>
        <w:t>P/IFT/120815/372</w:t>
      </w:r>
      <w:r w:rsidR="007977CC" w:rsidRPr="00B613DB">
        <w:rPr>
          <w:rFonts w:ascii="ITC Avant Garde" w:hAnsi="ITC Avant Garde" w:cs="Arial"/>
        </w:rPr>
        <w:t xml:space="preserve">, </w:t>
      </w:r>
      <w:r w:rsidR="00021EE1" w:rsidRPr="00B613DB">
        <w:rPr>
          <w:rFonts w:ascii="ITC Avant Garde" w:hAnsi="ITC Avant Garde" w:cs="Arial"/>
        </w:rPr>
        <w:t xml:space="preserve">sólo en la parte referente a que tratándose de los servicios de terminación en usuarios móviles y fijos, así como de mensajes cortos, para el periodo comprendido entre el 1 de enero al 11 de agosto de 2015, debían hacerse extensivas las últimas tarifas que las partes hubieren convenido para el periodo inmediato anterior, y </w:t>
      </w:r>
      <w:r w:rsidR="007977CC" w:rsidRPr="00B613DB">
        <w:rPr>
          <w:rFonts w:ascii="ITC Avant Garde" w:hAnsi="ITC Avant Garde" w:cs="Arial"/>
        </w:rPr>
        <w:t xml:space="preserve">en este acto </w:t>
      </w:r>
      <w:r w:rsidR="008F44DC" w:rsidRPr="00B613DB">
        <w:rPr>
          <w:rFonts w:ascii="ITC Avant Garde" w:hAnsi="ITC Avant Garde" w:cs="Arial"/>
        </w:rPr>
        <w:t xml:space="preserve">emitirá otra, </w:t>
      </w:r>
      <w:r w:rsidR="00B12A23" w:rsidRPr="00B613DB">
        <w:rPr>
          <w:rFonts w:ascii="ITC Avant Garde" w:hAnsi="ITC Avant Garde" w:cs="Arial"/>
        </w:rPr>
        <w:t xml:space="preserve">en la que se </w:t>
      </w:r>
      <w:r w:rsidR="00F344A9" w:rsidRPr="00B613DB">
        <w:rPr>
          <w:rFonts w:ascii="ITC Avant Garde" w:hAnsi="ITC Avant Garde" w:cs="Arial"/>
        </w:rPr>
        <w:t>determinen las tarifas de interconexión</w:t>
      </w:r>
      <w:r w:rsidR="00750668" w:rsidRPr="00B613DB">
        <w:rPr>
          <w:rFonts w:ascii="ITC Avant Garde" w:hAnsi="ITC Avant Garde" w:cs="Arial"/>
        </w:rPr>
        <w:t xml:space="preserve"> por servicios de terminación en usuarios móviles y fijos, así como de mensajes cortos</w:t>
      </w:r>
      <w:r w:rsidR="00F344A9" w:rsidRPr="00B613DB">
        <w:rPr>
          <w:rFonts w:ascii="ITC Avant Garde" w:hAnsi="ITC Avant Garde" w:cs="Arial"/>
        </w:rPr>
        <w:t xml:space="preserve"> para el periodo comprendido del 1 de enero al 11 de agosto de 2015 </w:t>
      </w:r>
      <w:r w:rsidR="008F2574" w:rsidRPr="00B613DB">
        <w:rPr>
          <w:rFonts w:ascii="ITC Avant Garde" w:hAnsi="ITC Avant Garde" w:cs="Arial"/>
        </w:rPr>
        <w:t>y</w:t>
      </w:r>
      <w:r w:rsidR="006809F7" w:rsidRPr="00B613DB">
        <w:rPr>
          <w:rFonts w:ascii="ITC Avant Garde" w:hAnsi="ITC Avant Garde" w:cs="Arial"/>
        </w:rPr>
        <w:t xml:space="preserve"> </w:t>
      </w:r>
      <w:r w:rsidR="00B12A23" w:rsidRPr="00B613DB">
        <w:rPr>
          <w:rFonts w:ascii="ITC Avant Garde" w:hAnsi="ITC Avant Garde" w:cs="Arial"/>
        </w:rPr>
        <w:t xml:space="preserve">se </w:t>
      </w:r>
      <w:r w:rsidR="008F2574" w:rsidRPr="00B613DB">
        <w:rPr>
          <w:rFonts w:ascii="ITC Avant Garde" w:hAnsi="ITC Avant Garde" w:cs="Arial"/>
        </w:rPr>
        <w:t>elimina el Resolutivo Séptimo de</w:t>
      </w:r>
      <w:r w:rsidR="00B12A23" w:rsidRPr="00B613DB">
        <w:rPr>
          <w:rFonts w:ascii="ITC Avant Garde" w:hAnsi="ITC Avant Garde" w:cs="Arial"/>
        </w:rPr>
        <w:t xml:space="preserve"> la “RESOLUCIÓN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 emitida mediante Acuerdo P/IFT/120815/372</w:t>
      </w:r>
      <w:r w:rsidR="008F2574" w:rsidRPr="00B613DB">
        <w:rPr>
          <w:rFonts w:ascii="ITC Avant Garde" w:hAnsi="ITC Avant Garde" w:cs="Arial"/>
        </w:rPr>
        <w:t xml:space="preserve">, a efecto de que se fijen </w:t>
      </w:r>
      <w:r w:rsidR="00021EE1" w:rsidRPr="00B613DB">
        <w:rPr>
          <w:rFonts w:ascii="ITC Avant Garde" w:hAnsi="ITC Avant Garde" w:cs="Arial"/>
        </w:rPr>
        <w:t xml:space="preserve">las tarifas que Telcel deberá pagar a Pegaso PCS por conceptos de servicios de interconexión para el periodo del 1 de enero al </w:t>
      </w:r>
      <w:r w:rsidR="00F344A9" w:rsidRPr="00B613DB">
        <w:rPr>
          <w:rFonts w:ascii="ITC Avant Garde" w:hAnsi="ITC Avant Garde" w:cs="Arial"/>
        </w:rPr>
        <w:t>11 de agosto</w:t>
      </w:r>
      <w:r w:rsidR="00021EE1" w:rsidRPr="00B613DB">
        <w:rPr>
          <w:rFonts w:ascii="ITC Avant Garde" w:hAnsi="ITC Avant Garde" w:cs="Arial"/>
        </w:rPr>
        <w:t xml:space="preserve"> de 2015.</w:t>
      </w:r>
    </w:p>
    <w:p w:rsidR="001975D2" w:rsidRPr="00B613DB" w:rsidRDefault="00B12A23" w:rsidP="001975D2">
      <w:pPr>
        <w:spacing w:before="240" w:after="0"/>
        <w:jc w:val="both"/>
        <w:rPr>
          <w:rFonts w:ascii="ITC Avant Garde" w:hAnsi="ITC Avant Garde"/>
          <w:spacing w:val="-4"/>
          <w:sz w:val="20"/>
        </w:rPr>
      </w:pPr>
      <w:r w:rsidRPr="00B613DB">
        <w:rPr>
          <w:rFonts w:ascii="ITC Avant Garde" w:hAnsi="ITC Avant Garde"/>
          <w:spacing w:val="-4"/>
        </w:rPr>
        <w:t>A</w:t>
      </w:r>
      <w:r w:rsidR="00011CFF" w:rsidRPr="00B613DB">
        <w:rPr>
          <w:rFonts w:ascii="ITC Avant Garde" w:hAnsi="ITC Avant Garde"/>
          <w:spacing w:val="-4"/>
        </w:rPr>
        <w:t xml:space="preserve">unado a lo anterior, </w:t>
      </w:r>
      <w:r w:rsidRPr="00B613DB">
        <w:rPr>
          <w:rFonts w:ascii="ITC Avant Garde" w:hAnsi="ITC Avant Garde"/>
          <w:spacing w:val="-4"/>
        </w:rPr>
        <w:t xml:space="preserve">y de conformidad con lo mandatado por la Segunda Sala de la Suprema Corte de Justicia de la Nación, </w:t>
      </w:r>
      <w:r w:rsidR="00445954" w:rsidRPr="00B613DB">
        <w:rPr>
          <w:rFonts w:ascii="ITC Avant Garde" w:hAnsi="ITC Avant Garde"/>
          <w:spacing w:val="-4"/>
        </w:rPr>
        <w:t xml:space="preserve">se deberá realizar el “pago por diferencias” para </w:t>
      </w:r>
      <w:r w:rsidR="00445954" w:rsidRPr="00B613DB">
        <w:rPr>
          <w:rFonts w:ascii="ITC Avant Garde" w:hAnsi="ITC Avant Garde"/>
          <w:spacing w:val="-4"/>
        </w:rPr>
        <w:lastRenderedPageBreak/>
        <w:t>los montos que ya fueron cobrados, a efecto de que durante todo dos mil quince se cobren efectivamente las nuevas condiciones</w:t>
      </w:r>
      <w:r w:rsidRPr="00B613DB">
        <w:rPr>
          <w:rFonts w:ascii="ITC Avant Garde" w:hAnsi="ITC Avant Garde"/>
          <w:spacing w:val="-4"/>
        </w:rPr>
        <w:t>.</w:t>
      </w:r>
    </w:p>
    <w:p w:rsidR="001975D2" w:rsidRPr="00B613DB" w:rsidRDefault="007977CC" w:rsidP="001975D2">
      <w:pPr>
        <w:pStyle w:val="Textoindependiente"/>
        <w:spacing w:before="240" w:line="276" w:lineRule="auto"/>
        <w:rPr>
          <w:rFonts w:ascii="ITC Avant Garde" w:hAnsi="ITC Avant Garde" w:cs="Arial"/>
          <w:bCs/>
          <w:szCs w:val="22"/>
        </w:rPr>
      </w:pPr>
      <w:r w:rsidRPr="00B613DB">
        <w:rPr>
          <w:rFonts w:ascii="ITC Avant Garde" w:hAnsi="ITC Avant Garde" w:cs="Arial"/>
          <w:b/>
          <w:bCs/>
          <w:lang w:val="es-ES"/>
        </w:rPr>
        <w:t>SEGUNDO</w:t>
      </w:r>
      <w:r w:rsidR="003B083D" w:rsidRPr="00B613DB">
        <w:rPr>
          <w:rFonts w:ascii="ITC Avant Garde" w:hAnsi="ITC Avant Garde" w:cs="Arial"/>
          <w:b/>
          <w:bCs/>
          <w:lang w:val="es-ES"/>
        </w:rPr>
        <w:t>.- Competencia del Instituto</w:t>
      </w:r>
      <w:r w:rsidR="003B083D" w:rsidRPr="00B613DB">
        <w:rPr>
          <w:rFonts w:ascii="ITC Avant Garde" w:hAnsi="ITC Avant Garde" w:cs="Arial"/>
          <w:bCs/>
          <w:lang w:val="es-ES"/>
        </w:rPr>
        <w:t xml:space="preserve">. </w:t>
      </w:r>
      <w:r w:rsidR="003B083D" w:rsidRPr="00B613DB">
        <w:rPr>
          <w:rFonts w:ascii="ITC Avant Garde" w:hAnsi="ITC Avant Garde" w:cs="Arial"/>
          <w:bCs/>
        </w:rPr>
        <w:t>De conformidad con los artículos 6</w:t>
      </w:r>
      <w:r w:rsidR="00572734" w:rsidRPr="00B613DB">
        <w:rPr>
          <w:rFonts w:ascii="ITC Avant Garde" w:hAnsi="ITC Avant Garde" w:cs="Arial"/>
          <w:bCs/>
        </w:rPr>
        <w:t>°</w:t>
      </w:r>
      <w:r w:rsidR="003B083D" w:rsidRPr="00B613DB">
        <w:rPr>
          <w:rFonts w:ascii="ITC Avant Garde" w:hAnsi="ITC Avant Garde" w:cs="Arial"/>
          <w:bCs/>
        </w:rPr>
        <w:t>,</w:t>
      </w:r>
      <w:r w:rsidR="00572734" w:rsidRPr="00B613DB">
        <w:rPr>
          <w:rFonts w:ascii="ITC Avant Garde" w:hAnsi="ITC Avant Garde" w:cs="Arial"/>
          <w:bCs/>
        </w:rPr>
        <w:t xml:space="preserve"> apartado B fracción II,</w:t>
      </w:r>
      <w:r w:rsidR="003B083D" w:rsidRPr="00B613DB">
        <w:rPr>
          <w:rFonts w:ascii="ITC Avant Garde" w:hAnsi="ITC Avant Garde" w:cs="Arial"/>
          <w:bCs/>
        </w:rPr>
        <w:t xml:space="preserve"> 28, párrafo</w:t>
      </w:r>
      <w:r w:rsidR="00572734" w:rsidRPr="00B613DB">
        <w:rPr>
          <w:rFonts w:ascii="ITC Avant Garde" w:hAnsi="ITC Avant Garde" w:cs="Arial"/>
          <w:bCs/>
        </w:rPr>
        <w:t>s</w:t>
      </w:r>
      <w:r w:rsidR="003B083D" w:rsidRPr="00B613DB">
        <w:rPr>
          <w:rFonts w:ascii="ITC Avant Garde" w:hAnsi="ITC Avant Garde" w:cs="Arial"/>
          <w:bCs/>
        </w:rPr>
        <w:t xml:space="preserve"> décimo quinto y décimo sexto de la Constitución </w:t>
      </w:r>
      <w:r w:rsidR="003B083D" w:rsidRPr="00B613DB">
        <w:rPr>
          <w:rFonts w:ascii="ITC Avant Garde" w:hAnsi="ITC Avant Garde" w:cs="Arial"/>
          <w:bCs/>
          <w:szCs w:val="22"/>
        </w:rPr>
        <w:t>y 7</w:t>
      </w:r>
      <w:r w:rsidR="00572734" w:rsidRPr="00B613DB">
        <w:rPr>
          <w:rFonts w:ascii="ITC Avant Garde" w:hAnsi="ITC Avant Garde" w:cs="Arial"/>
          <w:bCs/>
          <w:szCs w:val="22"/>
        </w:rPr>
        <w:t>, primer párrafo</w:t>
      </w:r>
      <w:r w:rsidR="003B083D" w:rsidRPr="00B613DB">
        <w:rPr>
          <w:rFonts w:ascii="ITC Avant Garde" w:hAnsi="ITC Avant Garde" w:cs="Arial"/>
          <w:bCs/>
          <w:szCs w:val="22"/>
        </w:rPr>
        <w:t xml:space="preserve">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r w:rsidR="00721E96" w:rsidRPr="00B613DB">
        <w:rPr>
          <w:rFonts w:ascii="ITC Avant Garde" w:hAnsi="ITC Avant Garde" w:cs="Arial"/>
          <w:bCs/>
          <w:szCs w:val="22"/>
        </w:rPr>
        <w:t>.</w:t>
      </w:r>
      <w:r w:rsidR="003B083D" w:rsidRPr="00B613DB">
        <w:rPr>
          <w:rFonts w:ascii="ITC Avant Garde" w:hAnsi="ITC Avant Garde" w:cs="Arial"/>
          <w:bCs/>
          <w:szCs w:val="22"/>
        </w:rPr>
        <w:t xml:space="preserve"> </w:t>
      </w:r>
    </w:p>
    <w:p w:rsidR="001975D2" w:rsidRPr="00B613DB" w:rsidRDefault="00572734" w:rsidP="001975D2">
      <w:pPr>
        <w:pStyle w:val="Textoindependiente"/>
        <w:spacing w:before="240" w:line="276" w:lineRule="auto"/>
        <w:rPr>
          <w:rFonts w:ascii="ITC Avant Garde" w:hAnsi="ITC Avant Garde" w:cs="Arial"/>
          <w:bCs/>
          <w:szCs w:val="22"/>
        </w:rPr>
      </w:pPr>
      <w:r w:rsidRPr="00B613DB">
        <w:rPr>
          <w:rFonts w:ascii="ITC Avant Garde" w:hAnsi="ITC Avant Garde" w:cs="Arial"/>
          <w:bCs/>
          <w:szCs w:val="22"/>
          <w:lang w:val="es-ES"/>
        </w:rPr>
        <w:t>Co</w:t>
      </w:r>
      <w:r w:rsidR="00536328" w:rsidRPr="00B613DB">
        <w:rPr>
          <w:rFonts w:ascii="ITC Avant Garde" w:hAnsi="ITC Avant Garde" w:cs="Arial"/>
          <w:bCs/>
          <w:szCs w:val="22"/>
          <w:lang w:val="es-ES"/>
        </w:rPr>
        <w:t>n</w:t>
      </w:r>
      <w:r w:rsidR="003B083D" w:rsidRPr="00B613DB">
        <w:rPr>
          <w:rFonts w:ascii="ITC Avant Garde" w:hAnsi="ITC Avant Garde" w:cs="Arial"/>
          <w:bCs/>
          <w:szCs w:val="22"/>
          <w:lang w:val="es-ES"/>
        </w:rPr>
        <w:t xml:space="preserve"> fundamento </w:t>
      </w:r>
      <w:r w:rsidR="003B083D" w:rsidRPr="00B613DB">
        <w:rPr>
          <w:rFonts w:ascii="ITC Avant Garde" w:hAnsi="ITC Avant Garde" w:cs="Arial"/>
          <w:bCs/>
          <w:szCs w:val="22"/>
        </w:rPr>
        <w:t>en los artículos 7, 15</w:t>
      </w:r>
      <w:r w:rsidR="00B72D5F" w:rsidRPr="00B613DB">
        <w:rPr>
          <w:rFonts w:ascii="ITC Avant Garde" w:hAnsi="ITC Avant Garde" w:cs="Arial"/>
          <w:bCs/>
          <w:szCs w:val="22"/>
        </w:rPr>
        <w:t>,</w:t>
      </w:r>
      <w:r w:rsidR="003B083D" w:rsidRPr="00B613DB">
        <w:rPr>
          <w:rFonts w:ascii="ITC Avant Garde" w:hAnsi="ITC Avant Garde" w:cs="Arial"/>
          <w:bCs/>
          <w:szCs w:val="22"/>
        </w:rPr>
        <w:t xml:space="preserve"> fracción X, 17</w:t>
      </w:r>
      <w:r w:rsidR="00B72D5F" w:rsidRPr="00B613DB">
        <w:rPr>
          <w:rFonts w:ascii="ITC Avant Garde" w:hAnsi="ITC Avant Garde" w:cs="Arial"/>
          <w:bCs/>
          <w:szCs w:val="22"/>
        </w:rPr>
        <w:t>,</w:t>
      </w:r>
      <w:r w:rsidR="003B083D" w:rsidRPr="00B613DB">
        <w:rPr>
          <w:rFonts w:ascii="ITC Avant Garde" w:hAnsi="ITC Avant Garde" w:cs="Arial"/>
          <w:bCs/>
          <w:szCs w:val="22"/>
        </w:rPr>
        <w:t xml:space="preserve"> fracción I, y 129 de la </w:t>
      </w:r>
      <w:proofErr w:type="spellStart"/>
      <w:r w:rsidR="003B083D" w:rsidRPr="00B613DB">
        <w:rPr>
          <w:rFonts w:ascii="ITC Avant Garde" w:hAnsi="ITC Avant Garde" w:cs="Arial"/>
          <w:bCs/>
          <w:szCs w:val="22"/>
        </w:rPr>
        <w:t>LFTyR</w:t>
      </w:r>
      <w:proofErr w:type="spellEnd"/>
      <w:r w:rsidR="003B083D" w:rsidRPr="00B613DB">
        <w:rPr>
          <w:rFonts w:ascii="ITC Avant Garde" w:hAnsi="ITC Avant Garde" w:cs="Arial"/>
          <w:bCs/>
          <w:szCs w:val="22"/>
        </w:rPr>
        <w:t>, el Pleno del Instituto está facultado</w:t>
      </w:r>
      <w:r w:rsidR="00B72D5F" w:rsidRPr="00B613DB">
        <w:rPr>
          <w:rFonts w:ascii="ITC Avant Garde" w:hAnsi="ITC Avant Garde" w:cs="Arial"/>
          <w:bCs/>
          <w:szCs w:val="22"/>
        </w:rPr>
        <w:t>, de manera exclusiva e indelegable,</w:t>
      </w:r>
      <w:r w:rsidR="003B083D" w:rsidRPr="00B613DB">
        <w:rPr>
          <w:rFonts w:ascii="ITC Avant Garde" w:hAnsi="ITC Avant Garde" w:cs="Arial"/>
          <w:bCs/>
          <w:szCs w:val="22"/>
        </w:rPr>
        <w:t xml:space="preserve"> para resolver y establecer los términos y condiciones de interconexión que no hayan podido convenir los concesionarios respecto de sus redes públicas de telecomunicaciones</w:t>
      </w:r>
      <w:r w:rsidR="00536328" w:rsidRPr="00B613DB">
        <w:rPr>
          <w:rFonts w:ascii="ITC Avant Garde" w:hAnsi="ITC Avant Garde" w:cs="Arial"/>
          <w:bCs/>
          <w:szCs w:val="22"/>
        </w:rPr>
        <w:t>, una vez que se solicite su intervención.</w:t>
      </w:r>
    </w:p>
    <w:p w:rsidR="001975D2" w:rsidRPr="00B613DB" w:rsidRDefault="00B72D5F" w:rsidP="001975D2">
      <w:pPr>
        <w:pStyle w:val="Textoindependiente"/>
        <w:spacing w:before="240" w:line="276" w:lineRule="auto"/>
        <w:rPr>
          <w:rFonts w:ascii="ITC Avant Garde" w:hAnsi="ITC Avant Garde" w:cs="Arial"/>
          <w:bCs/>
          <w:szCs w:val="22"/>
        </w:rPr>
      </w:pPr>
      <w:r w:rsidRPr="00B613DB">
        <w:rPr>
          <w:rFonts w:ascii="ITC Avant Garde" w:hAnsi="ITC Avant Garde" w:cs="Arial"/>
          <w:bCs/>
          <w:szCs w:val="22"/>
        </w:rPr>
        <w:t xml:space="preserve">Adicionalmente el </w:t>
      </w:r>
      <w:r w:rsidR="003B083D" w:rsidRPr="00B613DB">
        <w:rPr>
          <w:rFonts w:ascii="ITC Avant Garde" w:hAnsi="ITC Avant Garde" w:cs="Arial"/>
          <w:bCs/>
          <w:szCs w:val="22"/>
        </w:rPr>
        <w:t>artículo 6</w:t>
      </w:r>
      <w:r w:rsidR="00536328" w:rsidRPr="00B613DB">
        <w:rPr>
          <w:rFonts w:ascii="ITC Avant Garde" w:hAnsi="ITC Avant Garde" w:cs="Arial"/>
          <w:bCs/>
          <w:szCs w:val="22"/>
        </w:rPr>
        <w:t>°</w:t>
      </w:r>
      <w:r w:rsidRPr="00B613DB">
        <w:rPr>
          <w:rFonts w:ascii="ITC Avant Garde" w:hAnsi="ITC Avant Garde" w:cs="Arial"/>
          <w:bCs/>
          <w:szCs w:val="22"/>
        </w:rPr>
        <w:t>, fracción I,</w:t>
      </w:r>
      <w:r w:rsidR="003B083D" w:rsidRPr="00B613DB">
        <w:rPr>
          <w:rFonts w:ascii="ITC Avant Garde" w:hAnsi="ITC Avant Garde" w:cs="Arial"/>
          <w:bCs/>
          <w:szCs w:val="22"/>
        </w:rPr>
        <w:t xml:space="preserve">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1975D2" w:rsidRPr="00B613DB" w:rsidRDefault="003B083D" w:rsidP="001975D2">
      <w:pPr>
        <w:pStyle w:val="Textoindependiente"/>
        <w:spacing w:before="240" w:line="276" w:lineRule="auto"/>
        <w:rPr>
          <w:rFonts w:ascii="ITC Avant Garde" w:hAnsi="ITC Avant Garde"/>
          <w:szCs w:val="22"/>
        </w:rPr>
      </w:pPr>
      <w:r w:rsidRPr="00B613DB">
        <w:rPr>
          <w:rFonts w:ascii="ITC Avant Garde" w:hAnsi="ITC Avant Garde"/>
          <w:szCs w:val="22"/>
        </w:rPr>
        <w:t xml:space="preserve">Por lo anterior y de conformidad con lo dispuesto en los artículos indicados, el Pleno del Instituto resulta competente para emitir la presente </w:t>
      </w:r>
      <w:r w:rsidR="00B72D5F" w:rsidRPr="00B613DB">
        <w:rPr>
          <w:rFonts w:ascii="ITC Avant Garde" w:hAnsi="ITC Avant Garde"/>
          <w:szCs w:val="22"/>
        </w:rPr>
        <w:t>R</w:t>
      </w:r>
      <w:r w:rsidRPr="00B613DB">
        <w:rPr>
          <w:rFonts w:ascii="ITC Avant Garde" w:hAnsi="ITC Avant Garde"/>
          <w:szCs w:val="22"/>
        </w:rPr>
        <w:t xml:space="preserve">esolución que determina las condiciones de interconexión no convenidas entre </w:t>
      </w:r>
      <w:r w:rsidR="00B72D5F" w:rsidRPr="00B613DB">
        <w:rPr>
          <w:rFonts w:ascii="ITC Avant Garde" w:hAnsi="ITC Avant Garde"/>
          <w:szCs w:val="22"/>
        </w:rPr>
        <w:t xml:space="preserve">los </w:t>
      </w:r>
      <w:r w:rsidRPr="00B613DB">
        <w:rPr>
          <w:rFonts w:ascii="ITC Avant Garde" w:hAnsi="ITC Avant Garde"/>
          <w:szCs w:val="22"/>
        </w:rPr>
        <w:t>concesionarios de redes públicas de telecomunicaciones</w:t>
      </w:r>
      <w:r w:rsidR="00B72D5F" w:rsidRPr="00B613DB">
        <w:rPr>
          <w:rFonts w:ascii="ITC Avant Garde" w:hAnsi="ITC Avant Garde"/>
          <w:szCs w:val="22"/>
        </w:rPr>
        <w:t xml:space="preserve">, antes señalados. </w:t>
      </w:r>
      <w:bookmarkEnd w:id="1"/>
    </w:p>
    <w:p w:rsidR="001975D2" w:rsidRPr="00B613DB" w:rsidRDefault="002D5AF6" w:rsidP="001975D2">
      <w:pPr>
        <w:spacing w:before="240" w:after="0"/>
        <w:jc w:val="both"/>
        <w:rPr>
          <w:rFonts w:ascii="ITC Avant Garde" w:hAnsi="ITC Avant Garde" w:cs="Arial"/>
        </w:rPr>
      </w:pPr>
      <w:r w:rsidRPr="00B613DB">
        <w:rPr>
          <w:rFonts w:ascii="ITC Avant Garde" w:eastAsia="Times New Roman" w:hAnsi="ITC Avant Garde"/>
          <w:b/>
          <w:szCs w:val="24"/>
          <w:lang w:eastAsia="es-ES"/>
        </w:rPr>
        <w:t>TERCERO.-</w:t>
      </w:r>
      <w:r w:rsidRPr="00B613DB">
        <w:rPr>
          <w:rFonts w:ascii="ITC Avant Garde" w:eastAsia="Times New Roman" w:hAnsi="ITC Avant Garde"/>
          <w:szCs w:val="24"/>
          <w:lang w:eastAsia="es-ES"/>
        </w:rPr>
        <w:t xml:space="preserve"> </w:t>
      </w:r>
      <w:r w:rsidRPr="00B613DB">
        <w:rPr>
          <w:rFonts w:ascii="ITC Avant Garde" w:eastAsia="Times New Roman" w:hAnsi="ITC Avant Garde"/>
          <w:b/>
          <w:szCs w:val="24"/>
          <w:lang w:eastAsia="es-ES"/>
        </w:rPr>
        <w:t>Acuerdo de Tarifas 2015.-</w:t>
      </w:r>
      <w:r w:rsidRPr="00B613DB">
        <w:rPr>
          <w:rFonts w:ascii="ITC Avant Garde" w:eastAsia="Times New Roman" w:hAnsi="ITC Avant Garde"/>
          <w:szCs w:val="24"/>
          <w:lang w:eastAsia="es-ES"/>
        </w:rPr>
        <w:t xml:space="preserve"> El </w:t>
      </w:r>
      <w:r w:rsidRPr="00B613DB">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rsidR="001975D2" w:rsidRPr="00B613DB" w:rsidRDefault="002D5AF6" w:rsidP="001975D2">
      <w:pPr>
        <w:spacing w:before="240" w:after="0"/>
        <w:jc w:val="both"/>
        <w:rPr>
          <w:rFonts w:ascii="ITC Avant Garde" w:eastAsia="Times New Roman" w:hAnsi="ITC Avant Garde"/>
          <w:szCs w:val="24"/>
          <w:lang w:eastAsia="es-ES"/>
        </w:rPr>
      </w:pPr>
      <w:r w:rsidRPr="00B613DB">
        <w:rPr>
          <w:rFonts w:ascii="ITC Avant Garde" w:eastAsia="Times New Roman" w:hAnsi="ITC Avant Garde"/>
          <w:szCs w:val="24"/>
          <w:lang w:eastAsia="es-ES"/>
        </w:rPr>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1975D2" w:rsidRPr="00B613DB" w:rsidRDefault="002D5AF6" w:rsidP="001975D2">
      <w:pPr>
        <w:pStyle w:val="Textoindependiente"/>
        <w:spacing w:before="240" w:line="276" w:lineRule="auto"/>
        <w:rPr>
          <w:rFonts w:ascii="ITC Avant Garde" w:hAnsi="ITC Avant Garde"/>
          <w:szCs w:val="24"/>
          <w:lang w:eastAsia="es-ES"/>
        </w:rPr>
      </w:pPr>
      <w:r w:rsidRPr="00B613DB">
        <w:rPr>
          <w:rFonts w:ascii="ITC Avant Garde" w:hAnsi="ITC Avant Garde"/>
          <w:szCs w:val="24"/>
          <w:lang w:eastAsia="es-ES"/>
        </w:rPr>
        <w:lastRenderedPageBreak/>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rsidR="001975D2" w:rsidRPr="00B613DB" w:rsidRDefault="002D5AF6" w:rsidP="001975D2">
      <w:pPr>
        <w:pStyle w:val="Textoindependiente"/>
        <w:spacing w:before="240" w:line="276" w:lineRule="auto"/>
        <w:rPr>
          <w:rFonts w:ascii="ITC Avant Garde" w:hAnsi="ITC Avant Garde"/>
          <w:szCs w:val="24"/>
          <w:lang w:eastAsia="es-ES"/>
        </w:rPr>
      </w:pPr>
      <w:r w:rsidRPr="00B613DB">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rsidR="001975D2" w:rsidRPr="00B613DB" w:rsidRDefault="00A70124" w:rsidP="001975D2">
      <w:pPr>
        <w:spacing w:before="240" w:after="0"/>
        <w:jc w:val="both"/>
        <w:rPr>
          <w:rFonts w:ascii="ITC Avant Garde" w:hAnsi="ITC Avant Garde" w:cs="Arial"/>
        </w:rPr>
      </w:pPr>
      <w:r w:rsidRPr="00B613DB">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rsidR="001975D2" w:rsidRPr="00B613DB" w:rsidRDefault="00A70124" w:rsidP="001975D2">
      <w:pPr>
        <w:spacing w:before="240" w:after="0"/>
        <w:jc w:val="both"/>
        <w:rPr>
          <w:rFonts w:ascii="ITC Avant Garde" w:hAnsi="ITC Avant Garde" w:cs="Arial"/>
        </w:rPr>
      </w:pPr>
      <w:r w:rsidRPr="00B613DB">
        <w:rPr>
          <w:rFonts w:ascii="ITC Avant Garde" w:hAnsi="ITC Avant Garde" w:cs="Arial"/>
        </w:rPr>
        <w:t xml:space="preserve">Lo anterior, </w:t>
      </w:r>
      <w:r w:rsidR="007C5F0F" w:rsidRPr="00B613DB">
        <w:rPr>
          <w:rFonts w:ascii="ITC Avant Garde" w:hAnsi="ITC Avant Garde" w:cs="Arial"/>
        </w:rPr>
        <w:t>sin</w:t>
      </w:r>
      <w:r w:rsidR="00DC428B" w:rsidRPr="00B613DB">
        <w:rPr>
          <w:rFonts w:ascii="ITC Avant Garde" w:hAnsi="ITC Avant Garde" w:cs="Arial"/>
        </w:rPr>
        <w:t xml:space="preserve"> perjuicio de que </w:t>
      </w:r>
      <w:r w:rsidR="00A21FA6" w:rsidRPr="00B613DB">
        <w:rPr>
          <w:rFonts w:ascii="ITC Avant Garde" w:hAnsi="ITC Avant Garde" w:cs="Arial"/>
        </w:rPr>
        <w:t>Telcel</w:t>
      </w:r>
      <w:r w:rsidR="00B5560C" w:rsidRPr="00B613DB">
        <w:rPr>
          <w:rFonts w:ascii="ITC Avant Garde" w:hAnsi="ITC Avant Garde" w:cs="Arial"/>
        </w:rPr>
        <w:t xml:space="preserve"> y Pegaso PCS</w:t>
      </w:r>
      <w:r w:rsidRPr="00B613DB">
        <w:rPr>
          <w:rFonts w:ascii="ITC Avant Garde" w:hAnsi="ITC Avant Garde" w:cs="Arial"/>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w:t>
      </w:r>
      <w:r w:rsidR="00296796" w:rsidRPr="00B613DB">
        <w:rPr>
          <w:rFonts w:ascii="ITC Avant Garde" w:hAnsi="ITC Avant Garde" w:cs="Arial"/>
        </w:rPr>
        <w:t>28 y 177 fracción VII de la LFT</w:t>
      </w:r>
      <w:r w:rsidRPr="00B613DB">
        <w:rPr>
          <w:rFonts w:ascii="ITC Avant Garde" w:hAnsi="ITC Avant Garde" w:cs="Arial"/>
        </w:rPr>
        <w:t>R.</w:t>
      </w:r>
    </w:p>
    <w:p w:rsidR="001975D2" w:rsidRPr="00B613DB" w:rsidRDefault="00782965" w:rsidP="001975D2">
      <w:pPr>
        <w:spacing w:before="240" w:after="0"/>
        <w:jc w:val="both"/>
        <w:rPr>
          <w:rFonts w:ascii="ITC Avant Garde" w:hAnsi="ITC Avant Garde" w:cs="Arial"/>
        </w:rPr>
      </w:pPr>
      <w:bookmarkStart w:id="2" w:name="fundamentos"/>
      <w:r w:rsidRPr="00B613DB">
        <w:rPr>
          <w:rFonts w:ascii="ITC Avant Garde" w:hAnsi="ITC Avant Garde" w:cs="Arial"/>
        </w:rPr>
        <w:t xml:space="preserve">Con base en lo anterior y con fundamento en lo dispuesto por el artículo 28, párrafos décimo quinto y décimo sexto de la Constitución Política de los Estados Unidos Mexicanos </w:t>
      </w:r>
      <w:r w:rsidR="00B57EBF" w:rsidRPr="00B613DB">
        <w:rPr>
          <w:rFonts w:ascii="ITC Avant Garde" w:hAnsi="ITC Avant Garde" w:cs="Arial"/>
        </w:rPr>
        <w:t xml:space="preserve">72, 73, 74, </w:t>
      </w:r>
      <w:r w:rsidRPr="00B613DB">
        <w:rPr>
          <w:rFonts w:ascii="ITC Avant Garde" w:hAnsi="ITC Avant Garde" w:cs="Arial"/>
        </w:rPr>
        <w:t>197 y 202 del Código Federal de Procedimientos Civiles, 6, fracci</w:t>
      </w:r>
      <w:r w:rsidR="00BC194E" w:rsidRPr="00B613DB">
        <w:rPr>
          <w:rFonts w:ascii="ITC Avant Garde" w:hAnsi="ITC Avant Garde" w:cs="Arial"/>
        </w:rPr>
        <w:t>o</w:t>
      </w:r>
      <w:r w:rsidRPr="00B613DB">
        <w:rPr>
          <w:rFonts w:ascii="ITC Avant Garde" w:hAnsi="ITC Avant Garde" w:cs="Arial"/>
        </w:rPr>
        <w:t>n</w:t>
      </w:r>
      <w:r w:rsidR="00BC194E" w:rsidRPr="00B613DB">
        <w:rPr>
          <w:rFonts w:ascii="ITC Avant Garde" w:hAnsi="ITC Avant Garde" w:cs="Arial"/>
        </w:rPr>
        <w:t>es</w:t>
      </w:r>
      <w:r w:rsidRPr="00B613DB">
        <w:rPr>
          <w:rFonts w:ascii="ITC Avant Garde" w:hAnsi="ITC Avant Garde" w:cs="Arial"/>
        </w:rPr>
        <w:t xml:space="preserve"> IV</w:t>
      </w:r>
      <w:r w:rsidR="00BC194E" w:rsidRPr="00B613DB">
        <w:rPr>
          <w:rFonts w:ascii="ITC Avant Garde" w:hAnsi="ITC Avant Garde" w:cs="Arial"/>
        </w:rPr>
        <w:t xml:space="preserve"> y VII</w:t>
      </w:r>
      <w:r w:rsidRPr="00B613DB">
        <w:rPr>
          <w:rFonts w:ascii="ITC Avant Garde" w:hAnsi="ITC Avant Garde" w:cs="Arial"/>
        </w:rPr>
        <w:t>,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w:t>
      </w:r>
      <w:r w:rsidR="00BC194E" w:rsidRPr="00B613DB">
        <w:rPr>
          <w:rFonts w:ascii="ITC Avant Garde" w:hAnsi="ITC Avant Garde" w:cs="Arial"/>
        </w:rPr>
        <w:t>, 45</w:t>
      </w:r>
      <w:r w:rsidRPr="00B613DB">
        <w:rPr>
          <w:rFonts w:ascii="ITC Avant Garde" w:hAnsi="ITC Avant Garde" w:cs="Arial"/>
        </w:rPr>
        <w:t xml:space="preserve"> y 57 de la Ley Federal de Procedimiento Administrativo y 4 fracción I y 6, fracción XXXVII, del Estatuto Orgánico del Instituto Federal de Telecomunicaciones, el Pleno del Instituto Federal de Telecomunicaciones emite los siguientes:</w:t>
      </w:r>
      <w:bookmarkEnd w:id="2"/>
    </w:p>
    <w:p w:rsidR="001975D2" w:rsidRPr="00B613DB" w:rsidRDefault="00AC04A2" w:rsidP="00CD4921">
      <w:pPr>
        <w:pStyle w:val="Ttulo2"/>
        <w:spacing w:before="240"/>
        <w:jc w:val="center"/>
        <w:rPr>
          <w:rFonts w:ascii="ITC Avant Garde" w:hAnsi="ITC Avant Garde"/>
          <w:szCs w:val="22"/>
        </w:rPr>
      </w:pPr>
      <w:r w:rsidRPr="00B613DB">
        <w:rPr>
          <w:rFonts w:ascii="ITC Avant Garde" w:hAnsi="ITC Avant Garde"/>
          <w:szCs w:val="22"/>
        </w:rPr>
        <w:lastRenderedPageBreak/>
        <w:t>RESOLUTIVOS</w:t>
      </w:r>
    </w:p>
    <w:p w:rsidR="001975D2" w:rsidRPr="00B613DB" w:rsidRDefault="00946933" w:rsidP="001975D2">
      <w:pPr>
        <w:spacing w:before="240" w:after="0"/>
        <w:jc w:val="both"/>
        <w:rPr>
          <w:rFonts w:ascii="ITC Avant Garde" w:hAnsi="ITC Avant Garde" w:cs="Arial"/>
          <w:b/>
        </w:rPr>
      </w:pPr>
      <w:r w:rsidRPr="00B613DB">
        <w:rPr>
          <w:rFonts w:ascii="ITC Avant Garde" w:hAnsi="ITC Avant Garde" w:cs="Arial"/>
          <w:b/>
        </w:rPr>
        <w:t xml:space="preserve">PRIMERO.- </w:t>
      </w:r>
      <w:r w:rsidR="002D5AF6" w:rsidRPr="00B613DB">
        <w:rPr>
          <w:rFonts w:ascii="ITC Avant Garde" w:hAnsi="ITC Avant Garde" w:cs="Arial"/>
        </w:rPr>
        <w:t>En cumplimiento a la ejecutoria de fecha 21 de junio de 2017 emitida por Segunda Sala de la Suprema Corte de Justicia de la Nación correspondiente al amparo</w:t>
      </w:r>
      <w:r w:rsidR="00D16C87" w:rsidRPr="00B613DB">
        <w:rPr>
          <w:rFonts w:ascii="ITC Avant Garde" w:hAnsi="ITC Avant Garde" w:cs="Arial"/>
        </w:rPr>
        <w:t xml:space="preserve"> en revisión 329/2016, y a fin de que dicha determinación no le sea aplicada en el futuro,</w:t>
      </w:r>
      <w:r w:rsidR="002D5AF6" w:rsidRPr="00B613DB">
        <w:rPr>
          <w:rFonts w:ascii="ITC Avant Garde" w:hAnsi="ITC Avant Garde" w:cs="Arial"/>
        </w:rPr>
        <w:t xml:space="preserve"> se desincorpora de la esfera jurídica de </w:t>
      </w:r>
      <w:proofErr w:type="spellStart"/>
      <w:r w:rsidR="002D5AF6" w:rsidRPr="00B613DB">
        <w:rPr>
          <w:rFonts w:ascii="ITC Avant Garde" w:hAnsi="ITC Avant Garde" w:cs="Arial"/>
        </w:rPr>
        <w:t>Radiomóvil</w:t>
      </w:r>
      <w:proofErr w:type="spellEnd"/>
      <w:r w:rsidR="002D5AF6" w:rsidRPr="00B613DB">
        <w:rPr>
          <w:rFonts w:ascii="ITC Avant Garde" w:hAnsi="ITC Avant Garde" w:cs="Arial"/>
        </w:rPr>
        <w:t xml:space="preserve"> </w:t>
      </w:r>
      <w:proofErr w:type="spellStart"/>
      <w:r w:rsidR="002D5AF6" w:rsidRPr="00B613DB">
        <w:rPr>
          <w:rFonts w:ascii="ITC Avant Garde" w:hAnsi="ITC Avant Garde" w:cs="Arial"/>
        </w:rPr>
        <w:t>Dipsa</w:t>
      </w:r>
      <w:proofErr w:type="spellEnd"/>
      <w:r w:rsidR="002D5AF6" w:rsidRPr="00B613DB">
        <w:rPr>
          <w:rFonts w:ascii="ITC Avant Garde" w:hAnsi="ITC Avant Garde" w:cs="Arial"/>
        </w:rPr>
        <w:t xml:space="preserve">, S.A. de C.V. el </w:t>
      </w:r>
      <w:r w:rsidR="00D16C87" w:rsidRPr="00B613DB">
        <w:rPr>
          <w:rFonts w:ascii="ITC Avant Garde" w:hAnsi="ITC Avant Garde" w:cs="Arial"/>
        </w:rPr>
        <w:t xml:space="preserve">antepenúltimo </w:t>
      </w:r>
      <w:r w:rsidR="002D5AF6" w:rsidRPr="00B613DB">
        <w:rPr>
          <w:rFonts w:ascii="ITC Avant Garde" w:hAnsi="ITC Avant Garde" w:cs="Arial"/>
        </w:rPr>
        <w:t>párrafo del Acuerdo Primero del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publicado el 29 de diciembre de 2014 en el Diario Of</w:t>
      </w:r>
      <w:r w:rsidR="00D16C87" w:rsidRPr="00B613DB">
        <w:rPr>
          <w:rFonts w:ascii="ITC Avant Garde" w:hAnsi="ITC Avant Garde" w:cs="Arial"/>
        </w:rPr>
        <w:t>icial de la Federación</w:t>
      </w:r>
      <w:r w:rsidR="002D5AF6" w:rsidRPr="00B613DB">
        <w:rPr>
          <w:rFonts w:ascii="ITC Avant Garde" w:hAnsi="ITC Avant Garde" w:cs="Arial"/>
        </w:rPr>
        <w:t>, el cual señala que:</w:t>
      </w:r>
    </w:p>
    <w:p w:rsidR="001975D2" w:rsidRPr="00B613DB" w:rsidRDefault="002D5AF6" w:rsidP="001975D2">
      <w:pPr>
        <w:spacing w:before="240" w:after="0"/>
        <w:ind w:left="567" w:right="615"/>
        <w:jc w:val="both"/>
        <w:rPr>
          <w:rFonts w:ascii="ITC Avant Garde" w:hAnsi="ITC Avant Garde" w:cs="Arial"/>
        </w:rPr>
      </w:pPr>
      <w:r w:rsidRPr="00B613DB">
        <w:rPr>
          <w:rFonts w:ascii="ITC Avant Garde" w:hAnsi="ITC Avant Garde" w:cs="Arial"/>
        </w:rPr>
        <w:t xml:space="preserve">“En términos de lo dispuesto por el artículo Vigésimo transitorio del Decreto de la </w:t>
      </w:r>
      <w:proofErr w:type="spellStart"/>
      <w:r w:rsidRPr="00B613DB">
        <w:rPr>
          <w:rFonts w:ascii="ITC Avant Garde" w:hAnsi="ITC Avant Garde" w:cs="Arial"/>
        </w:rPr>
        <w:t>LFTyR</w:t>
      </w:r>
      <w:proofErr w:type="spellEnd"/>
      <w:r w:rsidRPr="00B613DB">
        <w:rPr>
          <w:rFonts w:ascii="ITC Avant Garde" w:hAnsi="ITC Avant Garde" w:cs="Arial"/>
        </w:rPr>
        <w:t>, el Instituto resolverá los diferendos que se promuevan sobre las tarifas de interconexión por servicios prestados en el 2015 con base en las tarifas señaladas, mismas que serán aplicables desde su resolución.”</w:t>
      </w:r>
    </w:p>
    <w:p w:rsidR="001975D2" w:rsidRPr="00B613DB" w:rsidRDefault="002D5AF6" w:rsidP="001975D2">
      <w:pPr>
        <w:spacing w:before="240" w:after="0"/>
        <w:jc w:val="both"/>
        <w:rPr>
          <w:rFonts w:ascii="ITC Avant Garde" w:hAnsi="ITC Avant Garde" w:cs="Arial"/>
        </w:rPr>
      </w:pPr>
      <w:r w:rsidRPr="00B613DB">
        <w:rPr>
          <w:rFonts w:ascii="ITC Avant Garde" w:hAnsi="ITC Avant Garde" w:cs="Arial"/>
          <w:b/>
        </w:rPr>
        <w:t xml:space="preserve">SEGUNDO.- </w:t>
      </w:r>
      <w:r w:rsidR="00F31C83" w:rsidRPr="00B613DB">
        <w:rPr>
          <w:rFonts w:ascii="ITC Avant Garde" w:hAnsi="ITC Avant Garde" w:cs="Arial"/>
        </w:rPr>
        <w:t>En términos de</w:t>
      </w:r>
      <w:r w:rsidR="00F60FE7" w:rsidRPr="00B613DB">
        <w:rPr>
          <w:rFonts w:ascii="ITC Avant Garde" w:hAnsi="ITC Avant Garde" w:cs="Arial"/>
        </w:rPr>
        <w:t xml:space="preserve"> </w:t>
      </w:r>
      <w:r w:rsidR="00F31C83" w:rsidRPr="00B613DB">
        <w:rPr>
          <w:rFonts w:ascii="ITC Avant Garde" w:hAnsi="ITC Avant Garde" w:cs="Arial"/>
        </w:rPr>
        <w:t>l</w:t>
      </w:r>
      <w:r w:rsidR="00F60FE7" w:rsidRPr="00B613DB">
        <w:rPr>
          <w:rFonts w:ascii="ITC Avant Garde" w:hAnsi="ITC Avant Garde" w:cs="Arial"/>
        </w:rPr>
        <w:t>o señalado en el</w:t>
      </w:r>
      <w:r w:rsidR="00F31C83" w:rsidRPr="00B613DB">
        <w:rPr>
          <w:rFonts w:ascii="ITC Avant Garde" w:hAnsi="ITC Avant Garde" w:cs="Arial"/>
        </w:rPr>
        <w:t xml:space="preserve"> Considerando </w:t>
      </w:r>
      <w:r w:rsidR="00F60FE7" w:rsidRPr="00B613DB">
        <w:rPr>
          <w:rFonts w:ascii="ITC Avant Garde" w:hAnsi="ITC Avant Garde" w:cs="Arial"/>
        </w:rPr>
        <w:t>PRIMERO de la presente Resolución, l</w:t>
      </w:r>
      <w:r w:rsidR="00617D3E" w:rsidRPr="00B613DB">
        <w:rPr>
          <w:rFonts w:ascii="ITC Avant Garde" w:hAnsi="ITC Avant Garde" w:cs="Arial"/>
        </w:rPr>
        <w:t xml:space="preserve">a tarifa de interconexión que </w:t>
      </w:r>
      <w:proofErr w:type="spellStart"/>
      <w:r w:rsidR="00DC05E1" w:rsidRPr="00B613DB">
        <w:rPr>
          <w:rFonts w:ascii="ITC Avant Garde" w:hAnsi="ITC Avant Garde" w:cs="Arial"/>
        </w:rPr>
        <w:t>Radiomóvil</w:t>
      </w:r>
      <w:proofErr w:type="spellEnd"/>
      <w:r w:rsidR="00DC05E1" w:rsidRPr="00B613DB">
        <w:rPr>
          <w:rFonts w:ascii="ITC Avant Garde" w:hAnsi="ITC Avant Garde" w:cs="Arial"/>
        </w:rPr>
        <w:t xml:space="preserve"> </w:t>
      </w:r>
      <w:proofErr w:type="spellStart"/>
      <w:r w:rsidR="00DC05E1" w:rsidRPr="00B613DB">
        <w:rPr>
          <w:rFonts w:ascii="ITC Avant Garde" w:hAnsi="ITC Avant Garde" w:cs="Arial"/>
        </w:rPr>
        <w:t>Dipsa</w:t>
      </w:r>
      <w:proofErr w:type="spellEnd"/>
      <w:r w:rsidR="00DC05E1" w:rsidRPr="00B613DB">
        <w:rPr>
          <w:rFonts w:ascii="ITC Avant Garde" w:hAnsi="ITC Avant Garde" w:cs="Arial"/>
        </w:rPr>
        <w:t>, S.A. de C.V.</w:t>
      </w:r>
      <w:r w:rsidR="00401334" w:rsidRPr="00B613DB">
        <w:rPr>
          <w:rFonts w:ascii="ITC Avant Garde" w:hAnsi="ITC Avant Garde" w:cs="Arial"/>
        </w:rPr>
        <w:t xml:space="preserve"> </w:t>
      </w:r>
      <w:r w:rsidR="00617D3E" w:rsidRPr="00B613DB">
        <w:rPr>
          <w:rFonts w:ascii="ITC Avant Garde" w:hAnsi="ITC Avant Garde" w:cs="Arial"/>
        </w:rPr>
        <w:t>deberá pagar a</w:t>
      </w:r>
      <w:r w:rsidR="00ED312D" w:rsidRPr="00B613DB">
        <w:rPr>
          <w:rFonts w:ascii="ITC Avant Garde" w:hAnsi="ITC Avant Garde" w:cs="Arial"/>
        </w:rPr>
        <w:t xml:space="preserve"> </w:t>
      </w:r>
      <w:r w:rsidR="00DC05E1" w:rsidRPr="00B613DB">
        <w:rPr>
          <w:rFonts w:ascii="ITC Avant Garde" w:hAnsi="ITC Avant Garde" w:cs="Arial"/>
        </w:rPr>
        <w:t>Pegaso PCS, S.A. de C.V.</w:t>
      </w:r>
      <w:r w:rsidR="00B5560C" w:rsidRPr="00B613DB">
        <w:rPr>
          <w:rFonts w:ascii="ITC Avant Garde" w:hAnsi="ITC Avant Garde" w:cs="Arial"/>
        </w:rPr>
        <w:t>,</w:t>
      </w:r>
      <w:r w:rsidR="00890F67" w:rsidRPr="00B613DB">
        <w:rPr>
          <w:rFonts w:ascii="ITC Avant Garde" w:hAnsi="ITC Avant Garde" w:cs="Arial"/>
        </w:rPr>
        <w:t xml:space="preserve"> </w:t>
      </w:r>
      <w:r w:rsidR="00617D3E" w:rsidRPr="00B613DB">
        <w:rPr>
          <w:rFonts w:ascii="ITC Avant Garde" w:hAnsi="ITC Avant Garde" w:cs="Arial"/>
        </w:rPr>
        <w:t>por servicios de terminación del Servicio Local en usuarios móviles bajo la modalidad “El que llama paga”, será la siguiente:</w:t>
      </w:r>
    </w:p>
    <w:p w:rsidR="001975D2" w:rsidRPr="00B613DB" w:rsidRDefault="00946933" w:rsidP="001975D2">
      <w:pPr>
        <w:pStyle w:val="Prrafodelista"/>
        <w:numPr>
          <w:ilvl w:val="0"/>
          <w:numId w:val="14"/>
        </w:numPr>
        <w:spacing w:before="240" w:line="276" w:lineRule="auto"/>
        <w:rPr>
          <w:rFonts w:ascii="ITC Avant Garde" w:hAnsi="ITC Avant Garde" w:cs="Arial"/>
          <w:b/>
        </w:rPr>
      </w:pPr>
      <w:r w:rsidRPr="00B613DB">
        <w:rPr>
          <w:rFonts w:ascii="ITC Avant Garde" w:hAnsi="ITC Avant Garde" w:cs="Arial"/>
          <w:b/>
        </w:rPr>
        <w:t xml:space="preserve">Del </w:t>
      </w:r>
      <w:r w:rsidR="00037A56" w:rsidRPr="00B613DB">
        <w:rPr>
          <w:rFonts w:ascii="ITC Avant Garde" w:hAnsi="ITC Avant Garde" w:cs="Arial"/>
          <w:b/>
        </w:rPr>
        <w:t xml:space="preserve">1 de enero </w:t>
      </w:r>
      <w:r w:rsidRPr="00B613DB">
        <w:rPr>
          <w:rFonts w:ascii="ITC Avant Garde" w:hAnsi="ITC Avant Garde" w:cs="Arial"/>
          <w:b/>
        </w:rPr>
        <w:t xml:space="preserve">al </w:t>
      </w:r>
      <w:r w:rsidR="00706470" w:rsidRPr="00B613DB">
        <w:rPr>
          <w:rFonts w:ascii="ITC Avant Garde" w:hAnsi="ITC Avant Garde" w:cs="Arial"/>
          <w:b/>
        </w:rPr>
        <w:t>11 de agosto</w:t>
      </w:r>
      <w:r w:rsidRPr="00B613DB">
        <w:rPr>
          <w:rFonts w:ascii="ITC Avant Garde" w:hAnsi="ITC Avant Garde" w:cs="Arial"/>
          <w:b/>
        </w:rPr>
        <w:t xml:space="preserve"> de 2015, $0.2505 pesos M.N. por minuto de interconexión.</w:t>
      </w:r>
    </w:p>
    <w:p w:rsidR="001975D2" w:rsidRPr="00B613DB" w:rsidRDefault="00E87EF9" w:rsidP="001975D2">
      <w:pPr>
        <w:spacing w:before="240" w:after="0"/>
        <w:jc w:val="both"/>
        <w:rPr>
          <w:rFonts w:ascii="ITC Avant Garde" w:hAnsi="ITC Avant Garde" w:cs="Arial"/>
        </w:rPr>
      </w:pPr>
      <w:r w:rsidRPr="00B613D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1975D2" w:rsidRPr="00B613DB" w:rsidRDefault="0050145B" w:rsidP="001975D2">
      <w:pPr>
        <w:spacing w:before="240" w:after="0"/>
        <w:rPr>
          <w:rFonts w:ascii="ITC Avant Garde" w:hAnsi="ITC Avant Garde" w:cs="Arial"/>
          <w:b/>
        </w:rPr>
      </w:pPr>
      <w:r w:rsidRPr="00B613DB">
        <w:rPr>
          <w:rFonts w:ascii="ITC Avant Garde" w:hAnsi="ITC Avant Garde"/>
        </w:rPr>
        <w:t>La</w:t>
      </w:r>
      <w:r w:rsidR="007238C9" w:rsidRPr="00B613DB">
        <w:rPr>
          <w:rFonts w:ascii="ITC Avant Garde" w:hAnsi="ITC Avant Garde"/>
        </w:rPr>
        <w:t>s</w:t>
      </w:r>
      <w:r w:rsidRPr="00B613DB">
        <w:rPr>
          <w:rFonts w:ascii="ITC Avant Garde" w:hAnsi="ITC Avant Garde"/>
        </w:rPr>
        <w:t xml:space="preserve"> tarifa</w:t>
      </w:r>
      <w:r w:rsidR="007238C9" w:rsidRPr="00B613DB">
        <w:rPr>
          <w:rFonts w:ascii="ITC Avant Garde" w:hAnsi="ITC Avant Garde"/>
        </w:rPr>
        <w:t>s</w:t>
      </w:r>
      <w:r w:rsidRPr="00B613DB">
        <w:rPr>
          <w:rFonts w:ascii="ITC Avant Garde" w:hAnsi="ITC Avant Garde"/>
        </w:rPr>
        <w:t xml:space="preserve"> anterior</w:t>
      </w:r>
      <w:r w:rsidR="007238C9" w:rsidRPr="00B613DB">
        <w:rPr>
          <w:rFonts w:ascii="ITC Avant Garde" w:hAnsi="ITC Avant Garde"/>
        </w:rPr>
        <w:t>es</w:t>
      </w:r>
      <w:r w:rsidRPr="00B613DB">
        <w:rPr>
          <w:rFonts w:ascii="ITC Avant Garde" w:hAnsi="ITC Avant Garde"/>
        </w:rPr>
        <w:t xml:space="preserve"> ya incluye</w:t>
      </w:r>
      <w:r w:rsidR="007238C9" w:rsidRPr="00B613DB">
        <w:rPr>
          <w:rFonts w:ascii="ITC Avant Garde" w:hAnsi="ITC Avant Garde"/>
        </w:rPr>
        <w:t>n</w:t>
      </w:r>
      <w:r w:rsidRPr="00B613DB">
        <w:rPr>
          <w:rFonts w:ascii="ITC Avant Garde" w:hAnsi="ITC Avant Garde"/>
        </w:rPr>
        <w:t xml:space="preserve"> el costo correspondiente a los puertos necesarios para la interconexión.</w:t>
      </w:r>
    </w:p>
    <w:p w:rsidR="001975D2" w:rsidRPr="00B613DB" w:rsidRDefault="00D16C87" w:rsidP="001975D2">
      <w:pPr>
        <w:spacing w:before="240" w:after="0"/>
        <w:jc w:val="both"/>
        <w:rPr>
          <w:rFonts w:ascii="ITC Avant Garde" w:hAnsi="ITC Avant Garde" w:cs="Arial"/>
        </w:rPr>
      </w:pPr>
      <w:r w:rsidRPr="00B613DB">
        <w:rPr>
          <w:rFonts w:ascii="ITC Avant Garde" w:hAnsi="ITC Avant Garde" w:cs="Arial"/>
          <w:b/>
        </w:rPr>
        <w:t>TERCERO</w:t>
      </w:r>
      <w:r w:rsidR="00991FE7" w:rsidRPr="00B613DB">
        <w:rPr>
          <w:rFonts w:ascii="ITC Avant Garde" w:hAnsi="ITC Avant Garde" w:cs="Arial"/>
        </w:rPr>
        <w:t xml:space="preserve">.- </w:t>
      </w:r>
      <w:r w:rsidR="00F60FE7" w:rsidRPr="00B613DB">
        <w:rPr>
          <w:rFonts w:ascii="ITC Avant Garde" w:hAnsi="ITC Avant Garde" w:cs="Arial"/>
        </w:rPr>
        <w:t>En términos de lo señalado en el Considerando PRIMERO de la presente Resolución, l</w:t>
      </w:r>
      <w:r w:rsidR="00991FE7" w:rsidRPr="00B613DB">
        <w:rPr>
          <w:rFonts w:ascii="ITC Avant Garde" w:hAnsi="ITC Avant Garde" w:cs="Arial"/>
        </w:rPr>
        <w:t xml:space="preserve">a tarifa de interconexión que </w:t>
      </w:r>
      <w:proofErr w:type="spellStart"/>
      <w:r w:rsidR="00DC05E1" w:rsidRPr="00B613DB">
        <w:rPr>
          <w:rFonts w:ascii="ITC Avant Garde" w:hAnsi="ITC Avant Garde" w:cs="Arial"/>
        </w:rPr>
        <w:t>Radiomóvil</w:t>
      </w:r>
      <w:proofErr w:type="spellEnd"/>
      <w:r w:rsidR="00DC05E1" w:rsidRPr="00B613DB">
        <w:rPr>
          <w:rFonts w:ascii="ITC Avant Garde" w:hAnsi="ITC Avant Garde" w:cs="Arial"/>
        </w:rPr>
        <w:t xml:space="preserve"> </w:t>
      </w:r>
      <w:proofErr w:type="spellStart"/>
      <w:r w:rsidR="00DC05E1" w:rsidRPr="00B613DB">
        <w:rPr>
          <w:rFonts w:ascii="ITC Avant Garde" w:hAnsi="ITC Avant Garde" w:cs="Arial"/>
        </w:rPr>
        <w:t>Dipsa</w:t>
      </w:r>
      <w:proofErr w:type="spellEnd"/>
      <w:r w:rsidR="00DC05E1" w:rsidRPr="00B613DB">
        <w:rPr>
          <w:rFonts w:ascii="ITC Avant Garde" w:hAnsi="ITC Avant Garde" w:cs="Arial"/>
        </w:rPr>
        <w:t xml:space="preserve">, S.A. de C.V. deberá pagar a </w:t>
      </w:r>
      <w:r w:rsidR="00482B0F" w:rsidRPr="00B613DB">
        <w:rPr>
          <w:rFonts w:ascii="ITC Avant Garde" w:hAnsi="ITC Avant Garde" w:cs="Arial"/>
        </w:rPr>
        <w:t>Pegaso PCS</w:t>
      </w:r>
      <w:r w:rsidR="00532589" w:rsidRPr="00B613DB">
        <w:rPr>
          <w:rFonts w:ascii="ITC Avant Garde" w:hAnsi="ITC Avant Garde" w:cs="Arial"/>
        </w:rPr>
        <w:t xml:space="preserve">, S.A. de C.V. </w:t>
      </w:r>
      <w:r w:rsidR="00991FE7" w:rsidRPr="00B613DB">
        <w:rPr>
          <w:rFonts w:ascii="ITC Avant Garde" w:hAnsi="ITC Avant Garde" w:cs="Arial"/>
        </w:rPr>
        <w:t>por servicios de terminación del Servicio Local en usuarios fijos, será la siguiente:</w:t>
      </w:r>
    </w:p>
    <w:p w:rsidR="001975D2" w:rsidRPr="00B613DB" w:rsidRDefault="00991FE7" w:rsidP="001975D2">
      <w:pPr>
        <w:pStyle w:val="Prrafodelista"/>
        <w:numPr>
          <w:ilvl w:val="0"/>
          <w:numId w:val="14"/>
        </w:numPr>
        <w:spacing w:before="240" w:line="276" w:lineRule="auto"/>
        <w:rPr>
          <w:rFonts w:ascii="ITC Avant Garde" w:hAnsi="ITC Avant Garde" w:cs="Arial"/>
          <w:b/>
        </w:rPr>
      </w:pPr>
      <w:r w:rsidRPr="00B613DB">
        <w:rPr>
          <w:rFonts w:ascii="ITC Avant Garde" w:hAnsi="ITC Avant Garde" w:cs="Arial"/>
          <w:b/>
        </w:rPr>
        <w:t xml:space="preserve">Del </w:t>
      </w:r>
      <w:r w:rsidR="00482B0F" w:rsidRPr="00B613DB">
        <w:rPr>
          <w:rFonts w:ascii="ITC Avant Garde" w:hAnsi="ITC Avant Garde" w:cs="Arial"/>
          <w:b/>
        </w:rPr>
        <w:t xml:space="preserve">1 de enero </w:t>
      </w:r>
      <w:r w:rsidRPr="00B613DB">
        <w:rPr>
          <w:rFonts w:ascii="ITC Avant Garde" w:hAnsi="ITC Avant Garde" w:cs="Arial"/>
          <w:b/>
        </w:rPr>
        <w:t xml:space="preserve">al </w:t>
      </w:r>
      <w:r w:rsidR="00706470" w:rsidRPr="00B613DB">
        <w:rPr>
          <w:rFonts w:ascii="ITC Avant Garde" w:hAnsi="ITC Avant Garde" w:cs="Arial"/>
          <w:b/>
        </w:rPr>
        <w:t>11 de agosto</w:t>
      </w:r>
      <w:r w:rsidRPr="00B613DB">
        <w:rPr>
          <w:rFonts w:ascii="ITC Avant Garde" w:hAnsi="ITC Avant Garde" w:cs="Arial"/>
          <w:b/>
        </w:rPr>
        <w:t xml:space="preserve"> de 2015, $0.004179 pesos M.N. por minuto de interconexión.</w:t>
      </w:r>
    </w:p>
    <w:p w:rsidR="001975D2" w:rsidRPr="00B613DB" w:rsidRDefault="00E87EF9" w:rsidP="001975D2">
      <w:pPr>
        <w:spacing w:before="240" w:after="0"/>
        <w:jc w:val="both"/>
        <w:rPr>
          <w:rFonts w:ascii="ITC Avant Garde" w:hAnsi="ITC Avant Garde" w:cs="Arial"/>
        </w:rPr>
      </w:pPr>
      <w:r w:rsidRPr="00B613DB">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rsidR="001975D2" w:rsidRPr="00B613DB" w:rsidRDefault="00991FE7" w:rsidP="001975D2">
      <w:pPr>
        <w:spacing w:before="240" w:after="0"/>
        <w:jc w:val="both"/>
        <w:rPr>
          <w:rFonts w:ascii="ITC Avant Garde" w:eastAsia="Times New Roman" w:hAnsi="ITC Avant Garde"/>
          <w:lang w:eastAsia="es-ES"/>
        </w:rPr>
      </w:pPr>
      <w:r w:rsidRPr="00B613DB">
        <w:rPr>
          <w:rFonts w:ascii="ITC Avant Garde" w:eastAsia="Times New Roman" w:hAnsi="ITC Avant Garde"/>
          <w:lang w:eastAsia="es-ES"/>
        </w:rPr>
        <w:t>La</w:t>
      </w:r>
      <w:r w:rsidR="007238C9" w:rsidRPr="00B613DB">
        <w:rPr>
          <w:rFonts w:ascii="ITC Avant Garde" w:eastAsia="Times New Roman" w:hAnsi="ITC Avant Garde"/>
          <w:lang w:eastAsia="es-ES"/>
        </w:rPr>
        <w:t>s</w:t>
      </w:r>
      <w:r w:rsidRPr="00B613DB">
        <w:rPr>
          <w:rFonts w:ascii="ITC Avant Garde" w:eastAsia="Times New Roman" w:hAnsi="ITC Avant Garde"/>
          <w:lang w:eastAsia="es-ES"/>
        </w:rPr>
        <w:t xml:space="preserve"> tarifa</w:t>
      </w:r>
      <w:r w:rsidR="007238C9" w:rsidRPr="00B613DB">
        <w:rPr>
          <w:rFonts w:ascii="ITC Avant Garde" w:eastAsia="Times New Roman" w:hAnsi="ITC Avant Garde"/>
          <w:lang w:eastAsia="es-ES"/>
        </w:rPr>
        <w:t>s</w:t>
      </w:r>
      <w:r w:rsidRPr="00B613DB">
        <w:rPr>
          <w:rFonts w:ascii="ITC Avant Garde" w:eastAsia="Times New Roman" w:hAnsi="ITC Avant Garde"/>
          <w:lang w:eastAsia="es-ES"/>
        </w:rPr>
        <w:t xml:space="preserve"> anterior</w:t>
      </w:r>
      <w:r w:rsidR="007238C9" w:rsidRPr="00B613DB">
        <w:rPr>
          <w:rFonts w:ascii="ITC Avant Garde" w:eastAsia="Times New Roman" w:hAnsi="ITC Avant Garde"/>
          <w:lang w:eastAsia="es-ES"/>
        </w:rPr>
        <w:t>es</w:t>
      </w:r>
      <w:r w:rsidRPr="00B613DB">
        <w:rPr>
          <w:rFonts w:ascii="ITC Avant Garde" w:eastAsia="Times New Roman" w:hAnsi="ITC Avant Garde"/>
          <w:lang w:eastAsia="es-ES"/>
        </w:rPr>
        <w:t xml:space="preserve"> ya incluye</w:t>
      </w:r>
      <w:r w:rsidR="007238C9" w:rsidRPr="00B613DB">
        <w:rPr>
          <w:rFonts w:ascii="ITC Avant Garde" w:eastAsia="Times New Roman" w:hAnsi="ITC Avant Garde"/>
          <w:lang w:eastAsia="es-ES"/>
        </w:rPr>
        <w:t>n</w:t>
      </w:r>
      <w:r w:rsidRPr="00B613DB">
        <w:rPr>
          <w:rFonts w:ascii="ITC Avant Garde" w:eastAsia="Times New Roman" w:hAnsi="ITC Avant Garde"/>
          <w:lang w:eastAsia="es-ES"/>
        </w:rPr>
        <w:t xml:space="preserve"> el costo correspondiente a los puertos necesarios para la interconexión.</w:t>
      </w:r>
    </w:p>
    <w:p w:rsidR="001975D2" w:rsidRPr="00B613DB" w:rsidRDefault="00D16C87" w:rsidP="001975D2">
      <w:pPr>
        <w:spacing w:before="240" w:after="0"/>
        <w:jc w:val="both"/>
        <w:rPr>
          <w:rFonts w:ascii="ITC Avant Garde" w:hAnsi="ITC Avant Garde" w:cs="Arial"/>
        </w:rPr>
      </w:pPr>
      <w:r w:rsidRPr="00B613DB">
        <w:rPr>
          <w:rFonts w:ascii="ITC Avant Garde" w:hAnsi="ITC Avant Garde" w:cs="Arial"/>
          <w:b/>
        </w:rPr>
        <w:t>CUARTO</w:t>
      </w:r>
      <w:r w:rsidR="00296796" w:rsidRPr="00B613DB">
        <w:rPr>
          <w:rFonts w:ascii="ITC Avant Garde" w:hAnsi="ITC Avant Garde" w:cs="Arial"/>
          <w:b/>
        </w:rPr>
        <w:t>.-</w:t>
      </w:r>
      <w:r w:rsidR="00296796" w:rsidRPr="00B613DB">
        <w:rPr>
          <w:rFonts w:ascii="ITC Avant Garde" w:hAnsi="ITC Avant Garde" w:cs="Arial"/>
        </w:rPr>
        <w:t xml:space="preserve"> </w:t>
      </w:r>
      <w:r w:rsidR="00F60FE7" w:rsidRPr="00B613DB">
        <w:rPr>
          <w:rFonts w:ascii="ITC Avant Garde" w:hAnsi="ITC Avant Garde" w:cs="Arial"/>
        </w:rPr>
        <w:t>En términos de lo señalado en el Considerando PRIMERO de la presente Resolución, l</w:t>
      </w:r>
      <w:r w:rsidR="00EC5FEF" w:rsidRPr="00B613DB">
        <w:rPr>
          <w:rFonts w:ascii="ITC Avant Garde" w:hAnsi="ITC Avant Garde" w:cs="Arial"/>
        </w:rPr>
        <w:t xml:space="preserve">a tarifa de interconexión que </w:t>
      </w:r>
      <w:proofErr w:type="spellStart"/>
      <w:r w:rsidR="00EC5FEF" w:rsidRPr="00B613DB">
        <w:rPr>
          <w:rFonts w:ascii="ITC Avant Garde" w:hAnsi="ITC Avant Garde" w:cs="Arial"/>
        </w:rPr>
        <w:t>Radiomóvil</w:t>
      </w:r>
      <w:proofErr w:type="spellEnd"/>
      <w:r w:rsidR="00EC5FEF" w:rsidRPr="00B613DB">
        <w:rPr>
          <w:rFonts w:ascii="ITC Avant Garde" w:hAnsi="ITC Avant Garde" w:cs="Arial"/>
        </w:rPr>
        <w:t xml:space="preserve"> </w:t>
      </w:r>
      <w:proofErr w:type="spellStart"/>
      <w:r w:rsidR="00EC5FEF" w:rsidRPr="00B613DB">
        <w:rPr>
          <w:rFonts w:ascii="ITC Avant Garde" w:hAnsi="ITC Avant Garde" w:cs="Arial"/>
        </w:rPr>
        <w:t>Dipsa</w:t>
      </w:r>
      <w:proofErr w:type="spellEnd"/>
      <w:r w:rsidR="00EC5FEF" w:rsidRPr="00B613DB">
        <w:rPr>
          <w:rFonts w:ascii="ITC Avant Garde" w:hAnsi="ITC Avant Garde" w:cs="Arial"/>
        </w:rPr>
        <w:t xml:space="preserve">, S.A. de C.V. deberá pagar a Pegaso PCS, S.A. de C.V., por </w:t>
      </w:r>
      <w:r w:rsidR="00C32CC6" w:rsidRPr="00B613DB">
        <w:rPr>
          <w:rFonts w:ascii="ITC Avant Garde" w:hAnsi="ITC Avant Garde" w:cs="Arial"/>
        </w:rPr>
        <w:t>el servicio</w:t>
      </w:r>
      <w:r w:rsidR="00EC5FEF" w:rsidRPr="00B613DB">
        <w:rPr>
          <w:rFonts w:ascii="ITC Avant Garde" w:hAnsi="ITC Avant Garde" w:cs="Arial"/>
        </w:rPr>
        <w:t xml:space="preserve"> de </w:t>
      </w:r>
      <w:r w:rsidR="00C32CC6" w:rsidRPr="00B613DB">
        <w:rPr>
          <w:rFonts w:ascii="ITC Avant Garde" w:hAnsi="ITC Avant Garde" w:cs="Arial"/>
        </w:rPr>
        <w:t>mensajes cortos</w:t>
      </w:r>
      <w:r w:rsidR="00532589" w:rsidRPr="00B613DB">
        <w:rPr>
          <w:rFonts w:ascii="ITC Avant Garde" w:hAnsi="ITC Avant Garde" w:cs="Arial"/>
        </w:rPr>
        <w:t xml:space="preserve"> (SMS) en usuarios móviles</w:t>
      </w:r>
      <w:r w:rsidR="00EC5FEF" w:rsidRPr="00B613DB">
        <w:rPr>
          <w:rFonts w:ascii="ITC Avant Garde" w:hAnsi="ITC Avant Garde" w:cs="Arial"/>
        </w:rPr>
        <w:t>, será la siguiente:</w:t>
      </w:r>
    </w:p>
    <w:p w:rsidR="001975D2" w:rsidRPr="00B613DB" w:rsidRDefault="00EC5FEF" w:rsidP="001975D2">
      <w:pPr>
        <w:pStyle w:val="Prrafodelista"/>
        <w:numPr>
          <w:ilvl w:val="0"/>
          <w:numId w:val="14"/>
        </w:numPr>
        <w:spacing w:before="240" w:line="276" w:lineRule="auto"/>
        <w:rPr>
          <w:rFonts w:ascii="ITC Avant Garde" w:hAnsi="ITC Avant Garde" w:cs="Arial"/>
          <w:b/>
        </w:rPr>
      </w:pPr>
      <w:r w:rsidRPr="00B613DB">
        <w:rPr>
          <w:rFonts w:ascii="ITC Avant Garde" w:hAnsi="ITC Avant Garde" w:cs="Arial"/>
          <w:b/>
        </w:rPr>
        <w:t xml:space="preserve">Del </w:t>
      </w:r>
      <w:r w:rsidR="00482B0F" w:rsidRPr="00B613DB">
        <w:rPr>
          <w:rFonts w:ascii="ITC Avant Garde" w:hAnsi="ITC Avant Garde" w:cs="Arial"/>
          <w:b/>
        </w:rPr>
        <w:t>1 de enero</w:t>
      </w:r>
      <w:r w:rsidRPr="00B613DB">
        <w:rPr>
          <w:rFonts w:ascii="ITC Avant Garde" w:hAnsi="ITC Avant Garde" w:cs="Arial"/>
          <w:b/>
        </w:rPr>
        <w:t xml:space="preserve"> al </w:t>
      </w:r>
      <w:r w:rsidR="00706470" w:rsidRPr="00B613DB">
        <w:rPr>
          <w:rFonts w:ascii="ITC Avant Garde" w:hAnsi="ITC Avant Garde" w:cs="Arial"/>
          <w:b/>
        </w:rPr>
        <w:t>11 de agosto</w:t>
      </w:r>
      <w:r w:rsidR="00B96E37" w:rsidRPr="00B613DB">
        <w:rPr>
          <w:rFonts w:ascii="ITC Avant Garde" w:hAnsi="ITC Avant Garde" w:cs="Arial"/>
          <w:b/>
        </w:rPr>
        <w:t xml:space="preserve"> de 2015, </w:t>
      </w:r>
      <w:r w:rsidR="009B68C0" w:rsidRPr="00B613DB">
        <w:rPr>
          <w:rFonts w:ascii="ITC Avant Garde" w:hAnsi="ITC Avant Garde" w:cs="Arial"/>
          <w:b/>
        </w:rPr>
        <w:t xml:space="preserve">$0.0261 </w:t>
      </w:r>
      <w:r w:rsidR="00B96E37" w:rsidRPr="00B613DB">
        <w:rPr>
          <w:rFonts w:ascii="ITC Avant Garde" w:hAnsi="ITC Avant Garde" w:cs="Arial"/>
          <w:b/>
        </w:rPr>
        <w:t>pesos M.N. por mensaje</w:t>
      </w:r>
      <w:r w:rsidRPr="00B613DB">
        <w:rPr>
          <w:rFonts w:ascii="ITC Avant Garde" w:hAnsi="ITC Avant Garde" w:cs="Arial"/>
          <w:b/>
        </w:rPr>
        <w:t>.</w:t>
      </w:r>
    </w:p>
    <w:p w:rsidR="0036760D" w:rsidRPr="00B613DB" w:rsidRDefault="0036760D" w:rsidP="001975D2">
      <w:pPr>
        <w:spacing w:before="240" w:after="0"/>
        <w:jc w:val="both"/>
        <w:rPr>
          <w:rFonts w:ascii="ITC Avant Garde" w:eastAsia="Times New Roman" w:hAnsi="ITC Avant Garde"/>
          <w:lang w:eastAsia="es-ES"/>
        </w:rPr>
      </w:pPr>
      <w:r w:rsidRPr="00B613DB">
        <w:rPr>
          <w:rFonts w:ascii="ITC Avant Garde" w:eastAsia="Times New Roman" w:hAnsi="ITC Avant Garde"/>
          <w:lang w:eastAsia="es-ES"/>
        </w:rPr>
        <w:t>Las tarifas anteriores ya incluyen el costo correspondiente a los puertos necesarios para la interconexión.</w:t>
      </w:r>
    </w:p>
    <w:p w:rsidR="001975D2" w:rsidRPr="00B613DB" w:rsidRDefault="00D16C87" w:rsidP="001975D2">
      <w:pPr>
        <w:spacing w:before="240" w:after="0"/>
        <w:jc w:val="both"/>
        <w:rPr>
          <w:rFonts w:ascii="ITC Avant Garde" w:hAnsi="ITC Avant Garde" w:cs="Arial"/>
        </w:rPr>
      </w:pPr>
      <w:r w:rsidRPr="00B613DB">
        <w:rPr>
          <w:rFonts w:ascii="ITC Avant Garde" w:eastAsia="Times New Roman" w:hAnsi="ITC Avant Garde"/>
          <w:b/>
          <w:bCs/>
          <w:lang w:eastAsia="es-ES"/>
        </w:rPr>
        <w:t>QUINTO</w:t>
      </w:r>
      <w:r w:rsidR="00B54661" w:rsidRPr="00B613DB">
        <w:rPr>
          <w:rFonts w:ascii="ITC Avant Garde" w:eastAsia="Times New Roman" w:hAnsi="ITC Avant Garde"/>
          <w:b/>
          <w:bCs/>
          <w:lang w:eastAsia="es-ES"/>
        </w:rPr>
        <w:t>.-</w:t>
      </w:r>
      <w:r w:rsidR="00B54661" w:rsidRPr="00B613DB">
        <w:rPr>
          <w:rFonts w:ascii="ITC Avant Garde" w:hAnsi="ITC Avant Garde"/>
        </w:rPr>
        <w:t xml:space="preserve"> </w:t>
      </w:r>
      <w:r w:rsidR="00482B0F" w:rsidRPr="00B613DB">
        <w:rPr>
          <w:rFonts w:ascii="ITC Avant Garde" w:hAnsi="ITC Avant Garde" w:cs="Arial"/>
        </w:rPr>
        <w:t xml:space="preserve">Se </w:t>
      </w:r>
      <w:r w:rsidR="00706470" w:rsidRPr="00B613DB">
        <w:rPr>
          <w:rFonts w:ascii="ITC Avant Garde" w:hAnsi="ITC Avant Garde" w:cs="Arial"/>
        </w:rPr>
        <w:t xml:space="preserve">deja insubsistente </w:t>
      </w:r>
      <w:r w:rsidR="00482B0F" w:rsidRPr="00B613DB">
        <w:rPr>
          <w:rFonts w:ascii="ITC Avant Garde" w:hAnsi="ITC Avant Garde" w:cs="Arial"/>
        </w:rPr>
        <w:t>el Resolutivo SÉPTIMO de la “RESOLUCIÓN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 emitida mediante Acuerdo P/IFT/120815/372 en cumplimiento a la ejecutoria de fecha 21 de junio de 2017 de la Segunda Sala de la Suprema Corte de Justicia de la Nación correspondiente al amparo en revisión 329/2016.</w:t>
      </w:r>
    </w:p>
    <w:p w:rsidR="001975D2" w:rsidRPr="00B613DB" w:rsidRDefault="00D16C87" w:rsidP="001975D2">
      <w:pPr>
        <w:spacing w:before="240" w:after="0"/>
        <w:jc w:val="both"/>
        <w:rPr>
          <w:rFonts w:ascii="ITC Avant Garde" w:hAnsi="ITC Avant Garde" w:cs="Arial"/>
        </w:rPr>
      </w:pPr>
      <w:r w:rsidRPr="00B613DB">
        <w:rPr>
          <w:rFonts w:ascii="ITC Avant Garde" w:hAnsi="ITC Avant Garde" w:cs="Arial"/>
          <w:b/>
        </w:rPr>
        <w:t>SEXTO.-</w:t>
      </w:r>
      <w:r w:rsidRPr="00B613DB">
        <w:rPr>
          <w:rFonts w:ascii="ITC Avant Garde" w:hAnsi="ITC Avant Garde" w:cs="Arial"/>
        </w:rPr>
        <w:t xml:space="preserve"> </w:t>
      </w:r>
      <w:r w:rsidR="00E678C8" w:rsidRPr="00B613DB">
        <w:rPr>
          <w:rFonts w:ascii="ITC Avant Garde" w:hAnsi="ITC Avant Garde" w:cs="Arial"/>
        </w:rPr>
        <w:t xml:space="preserve">En cumplimiento a la ejecutoria de fecha 21 de junio de 2017 emitida por Segunda Sala de la Suprema Corte de Justicia de la Nación correspondiente al amparo en revisión 329/2016, </w:t>
      </w:r>
      <w:r w:rsidR="009C32FE" w:rsidRPr="00B613DB">
        <w:rPr>
          <w:rFonts w:ascii="ITC Avant Garde" w:hAnsi="ITC Avant Garde" w:cs="Arial"/>
        </w:rPr>
        <w:t xml:space="preserve">para el periodo del 1 de enero al 11 de agosto de 2015, </w:t>
      </w:r>
      <w:r w:rsidR="00E678C8" w:rsidRPr="00B613DB">
        <w:rPr>
          <w:rFonts w:ascii="ITC Avant Garde" w:hAnsi="ITC Avant Garde" w:cs="Arial"/>
        </w:rPr>
        <w:t xml:space="preserve">las partes deberán pagarse las diferencias </w:t>
      </w:r>
      <w:r w:rsidR="009C32FE" w:rsidRPr="00B613DB">
        <w:rPr>
          <w:rFonts w:ascii="ITC Avant Garde" w:hAnsi="ITC Avant Garde" w:cs="Arial"/>
        </w:rPr>
        <w:t xml:space="preserve">que en su caso resulten, entre las tarifas que fueron efectivamente cobradas y las determinadas en la presente Resolución. </w:t>
      </w:r>
    </w:p>
    <w:p w:rsidR="001975D2" w:rsidRPr="00B613DB" w:rsidRDefault="00E678C8" w:rsidP="001975D2">
      <w:pPr>
        <w:spacing w:before="240" w:after="0"/>
        <w:jc w:val="both"/>
        <w:rPr>
          <w:rFonts w:ascii="ITC Avant Garde" w:hAnsi="ITC Avant Garde" w:cs="Arial"/>
        </w:rPr>
      </w:pPr>
      <w:r w:rsidRPr="00B613DB">
        <w:rPr>
          <w:rFonts w:ascii="ITC Avant Garde" w:hAnsi="ITC Avant Garde" w:cs="Arial"/>
          <w:b/>
        </w:rPr>
        <w:t>SÉPTIMO</w:t>
      </w:r>
      <w:r w:rsidR="00991FE7" w:rsidRPr="00B613DB">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EA37AC" w:rsidRPr="00B613DB">
        <w:rPr>
          <w:rFonts w:ascii="ITC Avant Garde" w:eastAsia="Times New Roman" w:hAnsi="ITC Avant Garde"/>
          <w:lang w:val="es-ES" w:eastAsia="es-ES"/>
        </w:rPr>
        <w:t>Radiomóvil</w:t>
      </w:r>
      <w:proofErr w:type="spellEnd"/>
      <w:r w:rsidR="00EA37AC" w:rsidRPr="00B613DB">
        <w:rPr>
          <w:rFonts w:ascii="ITC Avant Garde" w:eastAsia="Times New Roman" w:hAnsi="ITC Avant Garde"/>
          <w:lang w:val="es-ES" w:eastAsia="es-ES"/>
        </w:rPr>
        <w:t xml:space="preserve"> </w:t>
      </w:r>
      <w:proofErr w:type="spellStart"/>
      <w:r w:rsidR="00EA37AC" w:rsidRPr="00B613DB">
        <w:rPr>
          <w:rFonts w:ascii="ITC Avant Garde" w:eastAsia="Times New Roman" w:hAnsi="ITC Avant Garde"/>
          <w:lang w:val="es-ES" w:eastAsia="es-ES"/>
        </w:rPr>
        <w:t>Dipsa</w:t>
      </w:r>
      <w:proofErr w:type="spellEnd"/>
      <w:r w:rsidR="00EA37AC" w:rsidRPr="00B613DB">
        <w:rPr>
          <w:rFonts w:ascii="ITC Avant Garde" w:eastAsia="Times New Roman" w:hAnsi="ITC Avant Garde"/>
          <w:lang w:val="es-ES" w:eastAsia="es-ES"/>
        </w:rPr>
        <w:t>, S.A. de C.V.</w:t>
      </w:r>
      <w:r w:rsidR="00482B0F" w:rsidRPr="00B613DB">
        <w:rPr>
          <w:rFonts w:ascii="ITC Avant Garde" w:hAnsi="ITC Avant Garde" w:cs="Helvetica"/>
          <w:lang w:eastAsia="es-MX"/>
        </w:rPr>
        <w:t xml:space="preserve"> y</w:t>
      </w:r>
      <w:r w:rsidR="00EA37AC" w:rsidRPr="00B613DB">
        <w:rPr>
          <w:rFonts w:ascii="ITC Avant Garde" w:hAnsi="ITC Avant Garde" w:cs="Helvetica"/>
          <w:lang w:eastAsia="es-MX"/>
        </w:rPr>
        <w:t xml:space="preserve"> </w:t>
      </w:r>
      <w:r w:rsidR="001E2CA1" w:rsidRPr="00B613DB">
        <w:rPr>
          <w:rFonts w:ascii="ITC Avant Garde" w:hAnsi="ITC Avant Garde" w:cs="Helvetica"/>
          <w:lang w:eastAsia="es-MX"/>
        </w:rPr>
        <w:t>Pegaso PCS, S.A. de C.V.</w:t>
      </w:r>
      <w:r w:rsidR="001E2CA1" w:rsidRPr="00B613DB">
        <w:rPr>
          <w:rFonts w:ascii="ITC Avant Garde" w:eastAsia="Times New Roman" w:hAnsi="ITC Avant Garde"/>
          <w:bCs/>
          <w:lang w:val="es-ES" w:eastAsia="es-ES"/>
        </w:rPr>
        <w:t xml:space="preserve">, </w:t>
      </w:r>
      <w:r w:rsidR="00991FE7" w:rsidRPr="00B613DB">
        <w:rPr>
          <w:rFonts w:ascii="ITC Avant Garde" w:hAnsi="ITC Avant Garde" w:cs="Arial"/>
        </w:rPr>
        <w:t xml:space="preserve">deberán </w:t>
      </w:r>
      <w:r w:rsidR="000A281B" w:rsidRPr="00B613DB">
        <w:rPr>
          <w:rFonts w:ascii="ITC Avant Garde" w:eastAsia="Times New Roman" w:hAnsi="ITC Avant Garde" w:cs="Arial"/>
        </w:rPr>
        <w:t xml:space="preserve">suscribir </w:t>
      </w:r>
      <w:r w:rsidR="00991FE7" w:rsidRPr="00B613DB">
        <w:rPr>
          <w:rFonts w:ascii="ITC Avant Garde" w:hAnsi="ITC Avant Garde" w:cs="Arial"/>
        </w:rPr>
        <w:t>los convenios de interconexión de sus redes públicas de telecomunicaciones conforme a los términos y condiciones determin</w:t>
      </w:r>
      <w:r w:rsidR="000E2DBC" w:rsidRPr="00B613DB">
        <w:rPr>
          <w:rFonts w:ascii="ITC Avant Garde" w:hAnsi="ITC Avant Garde" w:cs="Arial"/>
        </w:rPr>
        <w:t xml:space="preserve">ados en los Resolutivos </w:t>
      </w:r>
      <w:r w:rsidR="008F2421" w:rsidRPr="00B613DB">
        <w:rPr>
          <w:rFonts w:ascii="ITC Avant Garde" w:hAnsi="ITC Avant Garde" w:cs="Arial"/>
        </w:rPr>
        <w:t>SEGUNDO</w:t>
      </w:r>
      <w:r w:rsidR="004D4C53" w:rsidRPr="00B613DB">
        <w:rPr>
          <w:rFonts w:ascii="ITC Avant Garde" w:hAnsi="ITC Avant Garde" w:cs="Arial"/>
        </w:rPr>
        <w:t>,</w:t>
      </w:r>
      <w:r w:rsidR="00296796" w:rsidRPr="00B613DB">
        <w:rPr>
          <w:rFonts w:ascii="ITC Avant Garde" w:hAnsi="ITC Avant Garde" w:cs="Arial"/>
        </w:rPr>
        <w:t xml:space="preserve"> </w:t>
      </w:r>
      <w:r w:rsidR="000E2DBC" w:rsidRPr="00B613DB">
        <w:rPr>
          <w:rFonts w:ascii="ITC Avant Garde" w:hAnsi="ITC Avant Garde" w:cs="Arial"/>
        </w:rPr>
        <w:t xml:space="preserve"> TERCERO</w:t>
      </w:r>
      <w:r w:rsidR="004D4C53" w:rsidRPr="00B613DB">
        <w:rPr>
          <w:rFonts w:ascii="ITC Avant Garde" w:hAnsi="ITC Avant Garde" w:cs="Arial"/>
        </w:rPr>
        <w:t>, CUARTO y SEXTO</w:t>
      </w:r>
      <w:r w:rsidR="00296796" w:rsidRPr="00B613DB">
        <w:rPr>
          <w:rFonts w:ascii="ITC Avant Garde" w:hAnsi="ITC Avant Garde" w:cs="Arial"/>
        </w:rPr>
        <w:t xml:space="preserve"> </w:t>
      </w:r>
      <w:r w:rsidR="00991FE7" w:rsidRPr="00B613DB">
        <w:rPr>
          <w:rFonts w:ascii="ITC Avant Garde" w:hAnsi="ITC Avant Garde" w:cs="Arial"/>
        </w:rPr>
        <w:t xml:space="preserve">de la presente Resolución. Celebrado el convenio correspondiente, deberán remitir conjunta o separadamente un ejemplar original o copia certificada del mismo a este Instituto </w:t>
      </w:r>
      <w:r w:rsidR="00991FE7" w:rsidRPr="00B613DB">
        <w:rPr>
          <w:rFonts w:ascii="ITC Avant Garde" w:hAnsi="ITC Avant Garde" w:cs="Arial"/>
        </w:rPr>
        <w:lastRenderedPageBreak/>
        <w:t>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rsidR="001975D2" w:rsidRPr="00B613DB" w:rsidRDefault="00E678C8" w:rsidP="001975D2">
      <w:pPr>
        <w:spacing w:before="240" w:after="0"/>
        <w:jc w:val="both"/>
        <w:rPr>
          <w:rFonts w:ascii="ITC Avant Garde" w:hAnsi="ITC Avant Garde"/>
          <w:lang w:eastAsia="es-ES"/>
        </w:rPr>
      </w:pPr>
      <w:r w:rsidRPr="00B613DB">
        <w:rPr>
          <w:rFonts w:ascii="ITC Avant Garde" w:hAnsi="ITC Avant Garde" w:cs="Arial"/>
          <w:b/>
        </w:rPr>
        <w:t>OCTAVO</w:t>
      </w:r>
      <w:r w:rsidR="00AF741C" w:rsidRPr="00B613DB">
        <w:rPr>
          <w:rFonts w:ascii="ITC Avant Garde" w:hAnsi="ITC Avant Garde" w:cs="Arial"/>
          <w:b/>
        </w:rPr>
        <w:t>.-</w:t>
      </w:r>
      <w:r w:rsidR="00DE6914" w:rsidRPr="00B613DB">
        <w:rPr>
          <w:rFonts w:ascii="ITC Avant Garde" w:hAnsi="ITC Avant Garde" w:cs="Arial"/>
        </w:rPr>
        <w:t xml:space="preserve"> </w:t>
      </w:r>
      <w:r w:rsidR="004F466B" w:rsidRPr="00B613DB">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2E5FBF" w:rsidRPr="00B613DB">
        <w:rPr>
          <w:rFonts w:ascii="ITC Avant Garde" w:eastAsia="Times New Roman" w:hAnsi="ITC Avant Garde"/>
          <w:lang w:val="es-ES" w:eastAsia="es-ES"/>
        </w:rPr>
        <w:t>Radiomóvil</w:t>
      </w:r>
      <w:proofErr w:type="spellEnd"/>
      <w:r w:rsidR="002E5FBF" w:rsidRPr="00B613DB">
        <w:rPr>
          <w:rFonts w:ascii="ITC Avant Garde" w:eastAsia="Times New Roman" w:hAnsi="ITC Avant Garde"/>
          <w:lang w:val="es-ES" w:eastAsia="es-ES"/>
        </w:rPr>
        <w:t xml:space="preserve"> </w:t>
      </w:r>
      <w:proofErr w:type="spellStart"/>
      <w:r w:rsidR="002E5FBF" w:rsidRPr="00B613DB">
        <w:rPr>
          <w:rFonts w:ascii="ITC Avant Garde" w:eastAsia="Times New Roman" w:hAnsi="ITC Avant Garde"/>
          <w:lang w:val="es-ES" w:eastAsia="es-ES"/>
        </w:rPr>
        <w:t>Dipsa</w:t>
      </w:r>
      <w:proofErr w:type="spellEnd"/>
      <w:r w:rsidR="002E5FBF" w:rsidRPr="00B613DB">
        <w:rPr>
          <w:rFonts w:ascii="ITC Avant Garde" w:eastAsia="Times New Roman" w:hAnsi="ITC Avant Garde"/>
          <w:lang w:val="es-ES" w:eastAsia="es-ES"/>
        </w:rPr>
        <w:t>, S.A. de C.V.</w:t>
      </w:r>
      <w:r w:rsidR="004F466B" w:rsidRPr="00B613DB">
        <w:rPr>
          <w:rFonts w:ascii="ITC Avant Garde" w:hAnsi="ITC Avant Garde" w:cs="Helvetica"/>
          <w:lang w:val="es-ES" w:eastAsia="es-MX"/>
        </w:rPr>
        <w:t xml:space="preserve"> y</w:t>
      </w:r>
      <w:r w:rsidR="002E5FBF" w:rsidRPr="00B613DB">
        <w:rPr>
          <w:rFonts w:ascii="ITC Avant Garde" w:hAnsi="ITC Avant Garde" w:cs="Helvetica"/>
          <w:lang w:eastAsia="es-MX"/>
        </w:rPr>
        <w:t xml:space="preserve"> Pegaso PCS, S.A. de C.V.</w:t>
      </w:r>
      <w:r w:rsidR="002E5FBF" w:rsidRPr="00B613DB">
        <w:rPr>
          <w:rFonts w:ascii="ITC Avant Garde" w:eastAsia="Times New Roman" w:hAnsi="ITC Avant Garde"/>
          <w:bCs/>
          <w:lang w:val="es-ES" w:eastAsia="es-ES"/>
        </w:rPr>
        <w:t xml:space="preserve"> </w:t>
      </w:r>
      <w:r w:rsidR="00782965" w:rsidRPr="00B613DB">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rsidR="001975D2" w:rsidRPr="00B613DB" w:rsidRDefault="00E678C8" w:rsidP="00AC1886">
      <w:pPr>
        <w:spacing w:before="240"/>
        <w:jc w:val="both"/>
        <w:rPr>
          <w:rFonts w:ascii="ITC Avant Garde" w:hAnsi="ITC Avant Garde" w:cs="Arial"/>
        </w:rPr>
      </w:pPr>
      <w:r w:rsidRPr="00B613DB">
        <w:rPr>
          <w:rFonts w:ascii="ITC Avant Garde" w:hAnsi="ITC Avant Garde" w:cs="Arial"/>
          <w:b/>
          <w:bCs/>
        </w:rPr>
        <w:t>NOVENO</w:t>
      </w:r>
      <w:r w:rsidR="00385CAB" w:rsidRPr="00B613DB">
        <w:rPr>
          <w:rFonts w:ascii="ITC Avant Garde" w:hAnsi="ITC Avant Garde" w:cs="Arial"/>
        </w:rPr>
        <w:t>.-</w:t>
      </w:r>
      <w:r w:rsidR="00BE252E" w:rsidRPr="00B613DB">
        <w:rPr>
          <w:rFonts w:ascii="ITC Avant Garde" w:hAnsi="ITC Avant Garde" w:cs="Arial"/>
        </w:rPr>
        <w:t xml:space="preserve"> Notifíquese personalmente a los representantes legales de </w:t>
      </w:r>
      <w:proofErr w:type="spellStart"/>
      <w:r w:rsidR="002E5FBF" w:rsidRPr="00B613DB">
        <w:rPr>
          <w:rFonts w:ascii="ITC Avant Garde" w:eastAsia="Times New Roman" w:hAnsi="ITC Avant Garde"/>
          <w:lang w:val="es-ES" w:eastAsia="es-ES"/>
        </w:rPr>
        <w:t>Radiomóvil</w:t>
      </w:r>
      <w:proofErr w:type="spellEnd"/>
      <w:r w:rsidR="002E5FBF" w:rsidRPr="00B613DB">
        <w:rPr>
          <w:rFonts w:ascii="ITC Avant Garde" w:eastAsia="Times New Roman" w:hAnsi="ITC Avant Garde"/>
          <w:lang w:val="es-ES" w:eastAsia="es-ES"/>
        </w:rPr>
        <w:t xml:space="preserve"> </w:t>
      </w:r>
      <w:proofErr w:type="spellStart"/>
      <w:r w:rsidR="002E5FBF" w:rsidRPr="00B613DB">
        <w:rPr>
          <w:rFonts w:ascii="ITC Avant Garde" w:eastAsia="Times New Roman" w:hAnsi="ITC Avant Garde"/>
          <w:lang w:val="es-ES" w:eastAsia="es-ES"/>
        </w:rPr>
        <w:t>Dipsa</w:t>
      </w:r>
      <w:proofErr w:type="spellEnd"/>
      <w:r w:rsidR="002E5FBF" w:rsidRPr="00B613DB">
        <w:rPr>
          <w:rFonts w:ascii="ITC Avant Garde" w:eastAsia="Times New Roman" w:hAnsi="ITC Avant Garde"/>
          <w:lang w:val="es-ES" w:eastAsia="es-ES"/>
        </w:rPr>
        <w:t>, S.A. de C.V.</w:t>
      </w:r>
      <w:r w:rsidR="004F466B" w:rsidRPr="00B613DB">
        <w:rPr>
          <w:rFonts w:ascii="ITC Avant Garde" w:hAnsi="ITC Avant Garde" w:cs="Helvetica"/>
          <w:lang w:val="es-ES" w:eastAsia="es-MX"/>
        </w:rPr>
        <w:t xml:space="preserve"> y</w:t>
      </w:r>
      <w:r w:rsidR="00296796" w:rsidRPr="00B613DB">
        <w:rPr>
          <w:rFonts w:ascii="ITC Avant Garde" w:hAnsi="ITC Avant Garde" w:cs="Helvetica"/>
          <w:lang w:val="es-ES" w:eastAsia="es-MX"/>
        </w:rPr>
        <w:t xml:space="preserve"> </w:t>
      </w:r>
      <w:r w:rsidR="002E5FBF" w:rsidRPr="00B613DB">
        <w:rPr>
          <w:rFonts w:ascii="ITC Avant Garde" w:hAnsi="ITC Avant Garde" w:cs="Helvetica"/>
          <w:lang w:eastAsia="es-MX"/>
        </w:rPr>
        <w:t>Pegaso PCS, S.A. de C.V.</w:t>
      </w:r>
      <w:r w:rsidR="002E5FBF" w:rsidRPr="00B613DB">
        <w:rPr>
          <w:rFonts w:ascii="ITC Avant Garde" w:eastAsia="Times New Roman" w:hAnsi="ITC Avant Garde"/>
          <w:bCs/>
          <w:lang w:val="es-ES" w:eastAsia="es-ES"/>
        </w:rPr>
        <w:t xml:space="preserve"> </w:t>
      </w:r>
      <w:r w:rsidR="00BE252E" w:rsidRPr="00B613DB">
        <w:rPr>
          <w:rFonts w:ascii="ITC Avant Garde" w:hAnsi="ITC Avant Garde" w:cs="Arial"/>
          <w:bCs/>
        </w:rPr>
        <w:t>el</w:t>
      </w:r>
      <w:r w:rsidR="00BE252E" w:rsidRPr="00B613DB">
        <w:rPr>
          <w:rFonts w:ascii="ITC Avant Garde" w:hAnsi="ITC Avant Garde" w:cs="Arial"/>
        </w:rPr>
        <w:t xml:space="preserve"> contenido de la presente Resolución, en términos d</w:t>
      </w:r>
      <w:r w:rsidR="005F0E25" w:rsidRPr="00B613DB">
        <w:rPr>
          <w:rFonts w:ascii="ITC Avant Garde" w:hAnsi="ITC Avant Garde" w:cs="Arial"/>
        </w:rPr>
        <w:t xml:space="preserve">e lo establecido en el artículo </w:t>
      </w:r>
      <w:r w:rsidR="00BE252E" w:rsidRPr="00B613DB">
        <w:rPr>
          <w:rFonts w:ascii="ITC Avant Garde" w:hAnsi="ITC Avant Garde" w:cs="Arial"/>
        </w:rPr>
        <w:t>129 fracción VIII de la Ley Federal de Telecomunicaciones y Radiodifusión.</w:t>
      </w:r>
    </w:p>
    <w:p w:rsidR="002E79B7" w:rsidRPr="00B613DB" w:rsidRDefault="002E79B7" w:rsidP="001975D2">
      <w:pPr>
        <w:spacing w:before="240" w:after="0" w:line="240" w:lineRule="auto"/>
        <w:contextualSpacing/>
        <w:jc w:val="both"/>
        <w:rPr>
          <w:rFonts w:ascii="ITC Avant Garde" w:hAnsi="ITC Avant Garde" w:cs="Arial"/>
        </w:rPr>
      </w:pPr>
      <w:r w:rsidRPr="00B613DB">
        <w:rPr>
          <w:rFonts w:ascii="ITC Avant Garde" w:hAnsi="ITC Avant Garde"/>
          <w:sz w:val="14"/>
          <w:szCs w:val="20"/>
          <w:lang w:eastAsia="es-MX"/>
        </w:rPr>
        <w:t xml:space="preserve">La presente Resolución fue aprobada por el Pleno del Instituto Federal de Telecomunicaciones en su XXXVII Sesión Ordinaria celebrada el 12 de septiembre de 2017, </w:t>
      </w:r>
      <w:r w:rsidRPr="00B613DB">
        <w:rPr>
          <w:rFonts w:ascii="ITC Avant Garde" w:hAnsi="ITC Avant Garde"/>
          <w:bCs/>
          <w:sz w:val="14"/>
          <w:szCs w:val="20"/>
          <w:lang w:eastAsia="es-MX"/>
        </w:rPr>
        <w:t>por unanimidad</w:t>
      </w:r>
      <w:r w:rsidRPr="00B613DB">
        <w:rPr>
          <w:rFonts w:ascii="ITC Avant Garde" w:hAnsi="ITC Avant Garde"/>
          <w:sz w:val="14"/>
          <w:szCs w:val="20"/>
          <w:lang w:eastAsia="es-MX"/>
        </w:rPr>
        <w:t xml:space="preserve"> de votos de los Comisionados Adriana Sofía </w:t>
      </w:r>
      <w:proofErr w:type="spellStart"/>
      <w:r w:rsidRPr="00B613DB">
        <w:rPr>
          <w:rFonts w:ascii="ITC Avant Garde" w:hAnsi="ITC Avant Garde"/>
          <w:sz w:val="14"/>
          <w:szCs w:val="20"/>
          <w:lang w:eastAsia="es-MX"/>
        </w:rPr>
        <w:t>Labardini</w:t>
      </w:r>
      <w:proofErr w:type="spellEnd"/>
      <w:r w:rsidRPr="00B613DB">
        <w:rPr>
          <w:rFonts w:ascii="ITC Avant Garde" w:hAnsi="ITC Avant Garde"/>
          <w:sz w:val="14"/>
          <w:szCs w:val="20"/>
          <w:lang w:eastAsia="es-MX"/>
        </w:rPr>
        <w:t xml:space="preserve"> </w:t>
      </w:r>
      <w:proofErr w:type="spellStart"/>
      <w:r w:rsidRPr="00B613DB">
        <w:rPr>
          <w:rFonts w:ascii="ITC Avant Garde" w:hAnsi="ITC Avant Garde"/>
          <w:sz w:val="14"/>
          <w:szCs w:val="20"/>
          <w:lang w:eastAsia="es-MX"/>
        </w:rPr>
        <w:t>Inzunza</w:t>
      </w:r>
      <w:proofErr w:type="spellEnd"/>
      <w:r w:rsidRPr="00B613DB">
        <w:rPr>
          <w:rFonts w:ascii="ITC Avant Garde" w:hAnsi="ITC Avant Garde"/>
          <w:sz w:val="14"/>
          <w:szCs w:val="20"/>
          <w:lang w:eastAsia="es-MX"/>
        </w:rPr>
        <w:t xml:space="preserve">, María Elena </w:t>
      </w:r>
      <w:proofErr w:type="spellStart"/>
      <w:r w:rsidRPr="00B613DB">
        <w:rPr>
          <w:rFonts w:ascii="ITC Avant Garde" w:hAnsi="ITC Avant Garde"/>
          <w:sz w:val="14"/>
          <w:szCs w:val="20"/>
          <w:lang w:eastAsia="es-MX"/>
        </w:rPr>
        <w:t>Estavillo</w:t>
      </w:r>
      <w:proofErr w:type="spellEnd"/>
      <w:r w:rsidRPr="00B613DB">
        <w:rPr>
          <w:rFonts w:ascii="ITC Avant Garde" w:hAnsi="ITC Avant Garde"/>
          <w:sz w:val="14"/>
          <w:szCs w:val="20"/>
          <w:lang w:eastAsia="es-MX"/>
        </w:rPr>
        <w:t xml:space="preserve"> Flores, Gabriel Oswaldo Contreras Saldívar, Mario Germán </w:t>
      </w:r>
      <w:proofErr w:type="spellStart"/>
      <w:r w:rsidRPr="00B613DB">
        <w:rPr>
          <w:rFonts w:ascii="ITC Avant Garde" w:hAnsi="ITC Avant Garde"/>
          <w:sz w:val="14"/>
          <w:szCs w:val="20"/>
          <w:lang w:eastAsia="es-MX"/>
        </w:rPr>
        <w:t>Fromow</w:t>
      </w:r>
      <w:proofErr w:type="spellEnd"/>
      <w:r w:rsidRPr="00B613DB">
        <w:rPr>
          <w:rFonts w:ascii="ITC Avant Garde" w:hAnsi="ITC Avant Garde"/>
          <w:sz w:val="14"/>
          <w:szCs w:val="20"/>
          <w:lang w:eastAsia="es-MX"/>
        </w:rPr>
        <w:t xml:space="preserve"> Rangel, Adolfo Cuevas Teja, Javier Juárez Mojica y Arturo Robles </w:t>
      </w:r>
      <w:proofErr w:type="spellStart"/>
      <w:r w:rsidRPr="00B613DB">
        <w:rPr>
          <w:rFonts w:ascii="ITC Avant Garde" w:hAnsi="ITC Avant Garde"/>
          <w:sz w:val="14"/>
          <w:szCs w:val="20"/>
          <w:lang w:eastAsia="es-MX"/>
        </w:rPr>
        <w:t>Rovalo</w:t>
      </w:r>
      <w:proofErr w:type="spellEnd"/>
      <w:r w:rsidRPr="00B613DB">
        <w:rPr>
          <w:rFonts w:ascii="ITC Avant Garde" w:hAnsi="ITC Avant Garde"/>
          <w:sz w:val="14"/>
          <w:szCs w:val="20"/>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P/IFT/120917/547.</w:t>
      </w:r>
      <w:bookmarkEnd w:id="0"/>
    </w:p>
    <w:sectPr w:rsidR="002E79B7" w:rsidRPr="00B613DB" w:rsidSect="00285757">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72" w:rsidRDefault="00377372" w:rsidP="00072BC8">
      <w:pPr>
        <w:spacing w:after="0" w:line="240" w:lineRule="auto"/>
      </w:pPr>
      <w:r>
        <w:separator/>
      </w:r>
    </w:p>
  </w:endnote>
  <w:endnote w:type="continuationSeparator" w:id="0">
    <w:p w:rsidR="00377372" w:rsidRDefault="0037737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09363"/>
      <w:docPartObj>
        <w:docPartGallery w:val="Page Numbers (Bottom of Page)"/>
        <w:docPartUnique/>
      </w:docPartObj>
    </w:sdtPr>
    <w:sdtEndPr>
      <w:rPr>
        <w:rFonts w:ascii="ITC Avant Garde" w:hAnsi="ITC Avant Garde"/>
        <w:sz w:val="20"/>
        <w:szCs w:val="20"/>
      </w:rPr>
    </w:sdtEndPr>
    <w:sdtContent>
      <w:p w:rsidR="005174EA" w:rsidRPr="00285757" w:rsidRDefault="005174EA">
        <w:pPr>
          <w:pStyle w:val="Piedepgina"/>
          <w:jc w:val="right"/>
          <w:rPr>
            <w:rFonts w:ascii="ITC Avant Garde" w:hAnsi="ITC Avant Garde"/>
            <w:sz w:val="20"/>
            <w:szCs w:val="20"/>
          </w:rPr>
        </w:pPr>
        <w:r w:rsidRPr="00285757">
          <w:rPr>
            <w:rFonts w:ascii="ITC Avant Garde" w:hAnsi="ITC Avant Garde"/>
            <w:sz w:val="20"/>
            <w:szCs w:val="20"/>
          </w:rPr>
          <w:fldChar w:fldCharType="begin"/>
        </w:r>
        <w:r w:rsidRPr="00285757">
          <w:rPr>
            <w:rFonts w:ascii="ITC Avant Garde" w:hAnsi="ITC Avant Garde"/>
            <w:sz w:val="20"/>
            <w:szCs w:val="20"/>
          </w:rPr>
          <w:instrText>PAGE   \* MERGEFORMAT</w:instrText>
        </w:r>
        <w:r w:rsidRPr="00285757">
          <w:rPr>
            <w:rFonts w:ascii="ITC Avant Garde" w:hAnsi="ITC Avant Garde"/>
            <w:sz w:val="20"/>
            <w:szCs w:val="20"/>
          </w:rPr>
          <w:fldChar w:fldCharType="separate"/>
        </w:r>
        <w:r w:rsidR="00B613DB" w:rsidRPr="00B613DB">
          <w:rPr>
            <w:rFonts w:ascii="ITC Avant Garde" w:hAnsi="ITC Avant Garde"/>
            <w:noProof/>
            <w:sz w:val="20"/>
            <w:szCs w:val="20"/>
            <w:lang w:val="es-ES"/>
          </w:rPr>
          <w:t>18</w:t>
        </w:r>
        <w:r w:rsidRPr="0028575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72" w:rsidRDefault="00377372" w:rsidP="00072BC8">
      <w:pPr>
        <w:spacing w:after="0" w:line="240" w:lineRule="auto"/>
      </w:pPr>
      <w:r>
        <w:separator/>
      </w:r>
    </w:p>
  </w:footnote>
  <w:footnote w:type="continuationSeparator" w:id="0">
    <w:p w:rsidR="00377372" w:rsidRDefault="0037737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0F" w:rsidRDefault="00377372">
    <w:pPr>
      <w:pStyle w:val="Encabezado"/>
    </w:pPr>
    <w:r>
      <w:rPr>
        <w:noProof/>
        <w:lang w:eastAsia="es-MX"/>
      </w:rPr>
      <w:pict w14:anchorId="3B680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0F" w:rsidRDefault="00377372">
    <w:pPr>
      <w:pStyle w:val="Encabezado"/>
    </w:pPr>
    <w:r>
      <w:rPr>
        <w:noProof/>
        <w:lang w:eastAsia="es-MX"/>
      </w:rPr>
      <w:pict w14:anchorId="222E6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6"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7" w15:restartNumberingAfterBreak="0">
    <w:nsid w:val="07FF6EAA"/>
    <w:multiLevelType w:val="hybridMultilevel"/>
    <w:tmpl w:val="CB061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16D758A2"/>
    <w:multiLevelType w:val="hybridMultilevel"/>
    <w:tmpl w:val="029EB35A"/>
    <w:lvl w:ilvl="0" w:tplc="63BC9772">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1E642513"/>
    <w:multiLevelType w:val="hybridMultilevel"/>
    <w:tmpl w:val="7CC8830E"/>
    <w:lvl w:ilvl="0" w:tplc="63BC9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07675F9"/>
    <w:multiLevelType w:val="hybridMultilevel"/>
    <w:tmpl w:val="6BD414DE"/>
    <w:lvl w:ilvl="0" w:tplc="933AB0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455032"/>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97F1AEE"/>
    <w:multiLevelType w:val="hybridMultilevel"/>
    <w:tmpl w:val="B90A2D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2DDC137B"/>
    <w:multiLevelType w:val="hybridMultilevel"/>
    <w:tmpl w:val="C95AFA12"/>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3" w15:restartNumberingAfterBreak="0">
    <w:nsid w:val="30F73D1A"/>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3EC66A36"/>
    <w:multiLevelType w:val="hybridMultilevel"/>
    <w:tmpl w:val="EC8C5960"/>
    <w:lvl w:ilvl="0" w:tplc="080A0001">
      <w:start w:val="1"/>
      <w:numFmt w:val="bullet"/>
      <w:lvlText w:val=""/>
      <w:lvlJc w:val="left"/>
      <w:pPr>
        <w:ind w:left="1777" w:hanging="360"/>
      </w:pPr>
      <w:rPr>
        <w:rFonts w:ascii="Symbol" w:hAnsi="Symbol" w:hint="default"/>
      </w:rPr>
    </w:lvl>
    <w:lvl w:ilvl="1" w:tplc="080A0003" w:tentative="1">
      <w:start w:val="1"/>
      <w:numFmt w:val="bullet"/>
      <w:lvlText w:val="o"/>
      <w:lvlJc w:val="left"/>
      <w:pPr>
        <w:ind w:left="2497" w:hanging="360"/>
      </w:pPr>
      <w:rPr>
        <w:rFonts w:ascii="Courier New" w:hAnsi="Courier New" w:cs="Courier New" w:hint="default"/>
      </w:rPr>
    </w:lvl>
    <w:lvl w:ilvl="2" w:tplc="080A0005" w:tentative="1">
      <w:start w:val="1"/>
      <w:numFmt w:val="bullet"/>
      <w:lvlText w:val=""/>
      <w:lvlJc w:val="left"/>
      <w:pPr>
        <w:ind w:left="3217" w:hanging="360"/>
      </w:pPr>
      <w:rPr>
        <w:rFonts w:ascii="Wingdings" w:hAnsi="Wingdings" w:hint="default"/>
      </w:rPr>
    </w:lvl>
    <w:lvl w:ilvl="3" w:tplc="080A0001" w:tentative="1">
      <w:start w:val="1"/>
      <w:numFmt w:val="bullet"/>
      <w:lvlText w:val=""/>
      <w:lvlJc w:val="left"/>
      <w:pPr>
        <w:ind w:left="3937" w:hanging="360"/>
      </w:pPr>
      <w:rPr>
        <w:rFonts w:ascii="Symbol" w:hAnsi="Symbol" w:hint="default"/>
      </w:rPr>
    </w:lvl>
    <w:lvl w:ilvl="4" w:tplc="080A0003" w:tentative="1">
      <w:start w:val="1"/>
      <w:numFmt w:val="bullet"/>
      <w:lvlText w:val="o"/>
      <w:lvlJc w:val="left"/>
      <w:pPr>
        <w:ind w:left="4657" w:hanging="360"/>
      </w:pPr>
      <w:rPr>
        <w:rFonts w:ascii="Courier New" w:hAnsi="Courier New" w:cs="Courier New" w:hint="default"/>
      </w:rPr>
    </w:lvl>
    <w:lvl w:ilvl="5" w:tplc="080A0005" w:tentative="1">
      <w:start w:val="1"/>
      <w:numFmt w:val="bullet"/>
      <w:lvlText w:val=""/>
      <w:lvlJc w:val="left"/>
      <w:pPr>
        <w:ind w:left="5377" w:hanging="360"/>
      </w:pPr>
      <w:rPr>
        <w:rFonts w:ascii="Wingdings" w:hAnsi="Wingdings" w:hint="default"/>
      </w:rPr>
    </w:lvl>
    <w:lvl w:ilvl="6" w:tplc="080A0001" w:tentative="1">
      <w:start w:val="1"/>
      <w:numFmt w:val="bullet"/>
      <w:lvlText w:val=""/>
      <w:lvlJc w:val="left"/>
      <w:pPr>
        <w:ind w:left="6097" w:hanging="360"/>
      </w:pPr>
      <w:rPr>
        <w:rFonts w:ascii="Symbol" w:hAnsi="Symbol" w:hint="default"/>
      </w:rPr>
    </w:lvl>
    <w:lvl w:ilvl="7" w:tplc="080A0003" w:tentative="1">
      <w:start w:val="1"/>
      <w:numFmt w:val="bullet"/>
      <w:lvlText w:val="o"/>
      <w:lvlJc w:val="left"/>
      <w:pPr>
        <w:ind w:left="6817" w:hanging="360"/>
      </w:pPr>
      <w:rPr>
        <w:rFonts w:ascii="Courier New" w:hAnsi="Courier New" w:cs="Courier New" w:hint="default"/>
      </w:rPr>
    </w:lvl>
    <w:lvl w:ilvl="8" w:tplc="080A0005" w:tentative="1">
      <w:start w:val="1"/>
      <w:numFmt w:val="bullet"/>
      <w:lvlText w:val=""/>
      <w:lvlJc w:val="left"/>
      <w:pPr>
        <w:ind w:left="7537" w:hanging="360"/>
      </w:pPr>
      <w:rPr>
        <w:rFonts w:ascii="Wingdings" w:hAnsi="Wingdings" w:hint="default"/>
      </w:r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B0BE0"/>
    <w:multiLevelType w:val="hybridMultilevel"/>
    <w:tmpl w:val="F9500E0E"/>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513A5552"/>
    <w:multiLevelType w:val="hybridMultilevel"/>
    <w:tmpl w:val="E988B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9"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0" w15:restartNumberingAfterBreak="0">
    <w:nsid w:val="6C7051F1"/>
    <w:multiLevelType w:val="hybridMultilevel"/>
    <w:tmpl w:val="B58C45D4"/>
    <w:lvl w:ilvl="0" w:tplc="623CF38C">
      <w:start w:val="1"/>
      <w:numFmt w:val="lowerLetter"/>
      <w:lvlText w:val="%1)"/>
      <w:lvlJc w:val="left"/>
      <w:pPr>
        <w:tabs>
          <w:tab w:val="num" w:pos="900"/>
        </w:tabs>
        <w:ind w:left="900" w:hanging="360"/>
      </w:pPr>
      <w:rPr>
        <w:b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1"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2"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3"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5" w15:restartNumberingAfterBreak="0">
    <w:nsid w:val="7F576E5C"/>
    <w:multiLevelType w:val="hybridMultilevel"/>
    <w:tmpl w:val="72BE7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2"/>
  </w:num>
  <w:num w:numId="3">
    <w:abstractNumId w:val="35"/>
  </w:num>
  <w:num w:numId="4">
    <w:abstractNumId w:val="0"/>
  </w:num>
  <w:num w:numId="5">
    <w:abstractNumId w:val="1"/>
  </w:num>
  <w:num w:numId="6">
    <w:abstractNumId w:val="28"/>
  </w:num>
  <w:num w:numId="7">
    <w:abstractNumId w:val="25"/>
  </w:num>
  <w:num w:numId="8">
    <w:abstractNumId w:val="32"/>
  </w:num>
  <w:num w:numId="9">
    <w:abstractNumId w:val="12"/>
  </w:num>
  <w:num w:numId="10">
    <w:abstractNumId w:val="27"/>
  </w:num>
  <w:num w:numId="11">
    <w:abstractNumId w:val="11"/>
  </w:num>
  <w:num w:numId="12">
    <w:abstractNumId w:val="36"/>
  </w:num>
  <w:num w:numId="13">
    <w:abstractNumId w:val="14"/>
  </w:num>
  <w:num w:numId="14">
    <w:abstractNumId w:val="37"/>
  </w:num>
  <w:num w:numId="15">
    <w:abstractNumId w:val="21"/>
  </w:num>
  <w:num w:numId="16">
    <w:abstractNumId w:val="24"/>
  </w:num>
  <w:num w:numId="17">
    <w:abstractNumId w:val="13"/>
  </w:num>
  <w:num w:numId="18">
    <w:abstractNumId w:val="7"/>
  </w:num>
  <w:num w:numId="19">
    <w:abstractNumId w:val="9"/>
  </w:num>
  <w:num w:numId="20">
    <w:abstractNumId w:val="29"/>
  </w:num>
  <w:num w:numId="21">
    <w:abstractNumId w:val="20"/>
  </w:num>
  <w:num w:numId="22">
    <w:abstractNumId w:val="30"/>
  </w:num>
  <w:num w:numId="23">
    <w:abstractNumId w:val="26"/>
  </w:num>
  <w:num w:numId="24">
    <w:abstractNumId w:val="40"/>
  </w:num>
  <w:num w:numId="25">
    <w:abstractNumId w:val="44"/>
  </w:num>
  <w:num w:numId="26">
    <w:abstractNumId w:val="41"/>
  </w:num>
  <w:num w:numId="27">
    <w:abstractNumId w:val="4"/>
  </w:num>
  <w:num w:numId="28">
    <w:abstractNumId w:val="6"/>
  </w:num>
  <w:num w:numId="29">
    <w:abstractNumId w:val="42"/>
  </w:num>
  <w:num w:numId="30">
    <w:abstractNumId w:val="39"/>
  </w:num>
  <w:num w:numId="31">
    <w:abstractNumId w:val="3"/>
  </w:num>
  <w:num w:numId="32">
    <w:abstractNumId w:val="38"/>
  </w:num>
  <w:num w:numId="33">
    <w:abstractNumId w:val="34"/>
  </w:num>
  <w:num w:numId="34">
    <w:abstractNumId w:val="5"/>
  </w:num>
  <w:num w:numId="35">
    <w:abstractNumId w:val="17"/>
  </w:num>
  <w:num w:numId="36">
    <w:abstractNumId w:val="16"/>
  </w:num>
  <w:num w:numId="37">
    <w:abstractNumId w:val="43"/>
  </w:num>
  <w:num w:numId="38">
    <w:abstractNumId w:val="45"/>
  </w:num>
  <w:num w:numId="39">
    <w:abstractNumId w:val="19"/>
  </w:num>
  <w:num w:numId="40">
    <w:abstractNumId w:val="23"/>
  </w:num>
  <w:num w:numId="41">
    <w:abstractNumId w:val="2"/>
  </w:num>
  <w:num w:numId="42">
    <w:abstractNumId w:val="15"/>
  </w:num>
  <w:num w:numId="43">
    <w:abstractNumId w:val="10"/>
  </w:num>
  <w:num w:numId="44">
    <w:abstractNumId w:val="31"/>
  </w:num>
  <w:num w:numId="45">
    <w:abstractNumId w:val="8"/>
  </w:num>
  <w:num w:numId="4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B0A"/>
    <w:rsid w:val="000036B5"/>
    <w:rsid w:val="000052D6"/>
    <w:rsid w:val="00006174"/>
    <w:rsid w:val="00007553"/>
    <w:rsid w:val="0001103B"/>
    <w:rsid w:val="00011447"/>
    <w:rsid w:val="00011910"/>
    <w:rsid w:val="00011CFF"/>
    <w:rsid w:val="000136DC"/>
    <w:rsid w:val="000154B0"/>
    <w:rsid w:val="00016856"/>
    <w:rsid w:val="00020418"/>
    <w:rsid w:val="000208BA"/>
    <w:rsid w:val="000211BE"/>
    <w:rsid w:val="00021B04"/>
    <w:rsid w:val="00021C46"/>
    <w:rsid w:val="00021EE1"/>
    <w:rsid w:val="0002211F"/>
    <w:rsid w:val="0002292E"/>
    <w:rsid w:val="0002308D"/>
    <w:rsid w:val="000244D5"/>
    <w:rsid w:val="00024CDF"/>
    <w:rsid w:val="00027F64"/>
    <w:rsid w:val="00030850"/>
    <w:rsid w:val="00031C1F"/>
    <w:rsid w:val="00031C63"/>
    <w:rsid w:val="00034953"/>
    <w:rsid w:val="000358CA"/>
    <w:rsid w:val="00036006"/>
    <w:rsid w:val="00036336"/>
    <w:rsid w:val="000377C2"/>
    <w:rsid w:val="00037A56"/>
    <w:rsid w:val="00042E7E"/>
    <w:rsid w:val="0004325F"/>
    <w:rsid w:val="000461F3"/>
    <w:rsid w:val="000477C5"/>
    <w:rsid w:val="00052CBB"/>
    <w:rsid w:val="00052DF6"/>
    <w:rsid w:val="00055DF9"/>
    <w:rsid w:val="00055E75"/>
    <w:rsid w:val="000563A7"/>
    <w:rsid w:val="00060D36"/>
    <w:rsid w:val="000637E5"/>
    <w:rsid w:val="00066708"/>
    <w:rsid w:val="00066950"/>
    <w:rsid w:val="00067018"/>
    <w:rsid w:val="00071002"/>
    <w:rsid w:val="00071382"/>
    <w:rsid w:val="000718F8"/>
    <w:rsid w:val="000720EE"/>
    <w:rsid w:val="0007254D"/>
    <w:rsid w:val="00072A16"/>
    <w:rsid w:val="00072B1B"/>
    <w:rsid w:val="00072BC8"/>
    <w:rsid w:val="00073C19"/>
    <w:rsid w:val="00073DDC"/>
    <w:rsid w:val="00074558"/>
    <w:rsid w:val="0007607F"/>
    <w:rsid w:val="0007621B"/>
    <w:rsid w:val="0007702F"/>
    <w:rsid w:val="000772A2"/>
    <w:rsid w:val="00077D2E"/>
    <w:rsid w:val="00081503"/>
    <w:rsid w:val="00081B3A"/>
    <w:rsid w:val="00081B80"/>
    <w:rsid w:val="00081CFB"/>
    <w:rsid w:val="0008218B"/>
    <w:rsid w:val="00083ECA"/>
    <w:rsid w:val="00084C7B"/>
    <w:rsid w:val="00085EF4"/>
    <w:rsid w:val="000901D2"/>
    <w:rsid w:val="00090BCF"/>
    <w:rsid w:val="000917BD"/>
    <w:rsid w:val="00094753"/>
    <w:rsid w:val="00094EFC"/>
    <w:rsid w:val="00095561"/>
    <w:rsid w:val="00096D65"/>
    <w:rsid w:val="00096FE1"/>
    <w:rsid w:val="00097822"/>
    <w:rsid w:val="000978F0"/>
    <w:rsid w:val="000A05E5"/>
    <w:rsid w:val="000A2091"/>
    <w:rsid w:val="000A281B"/>
    <w:rsid w:val="000A2AF8"/>
    <w:rsid w:val="000A5E4A"/>
    <w:rsid w:val="000A729F"/>
    <w:rsid w:val="000A7D62"/>
    <w:rsid w:val="000B0DC1"/>
    <w:rsid w:val="000B1FD6"/>
    <w:rsid w:val="000B334C"/>
    <w:rsid w:val="000B34CF"/>
    <w:rsid w:val="000B3735"/>
    <w:rsid w:val="000B48AE"/>
    <w:rsid w:val="000C1F38"/>
    <w:rsid w:val="000C27E7"/>
    <w:rsid w:val="000C2CF4"/>
    <w:rsid w:val="000C4877"/>
    <w:rsid w:val="000C6B4B"/>
    <w:rsid w:val="000C6FC6"/>
    <w:rsid w:val="000D0335"/>
    <w:rsid w:val="000D04CA"/>
    <w:rsid w:val="000D1032"/>
    <w:rsid w:val="000D1A16"/>
    <w:rsid w:val="000D2F82"/>
    <w:rsid w:val="000D3419"/>
    <w:rsid w:val="000D3646"/>
    <w:rsid w:val="000D4354"/>
    <w:rsid w:val="000D4A3A"/>
    <w:rsid w:val="000D5AED"/>
    <w:rsid w:val="000D6DAB"/>
    <w:rsid w:val="000D7748"/>
    <w:rsid w:val="000E2DBC"/>
    <w:rsid w:val="000E305E"/>
    <w:rsid w:val="000E4586"/>
    <w:rsid w:val="000E6467"/>
    <w:rsid w:val="000E64BE"/>
    <w:rsid w:val="000E6F53"/>
    <w:rsid w:val="000F0D2D"/>
    <w:rsid w:val="000F3659"/>
    <w:rsid w:val="000F3AAC"/>
    <w:rsid w:val="000F4101"/>
    <w:rsid w:val="000F561C"/>
    <w:rsid w:val="000F5BEC"/>
    <w:rsid w:val="00100A99"/>
    <w:rsid w:val="001021C6"/>
    <w:rsid w:val="00102C7D"/>
    <w:rsid w:val="00104C74"/>
    <w:rsid w:val="001054C0"/>
    <w:rsid w:val="00106523"/>
    <w:rsid w:val="00106952"/>
    <w:rsid w:val="001072E6"/>
    <w:rsid w:val="001100CF"/>
    <w:rsid w:val="0011030F"/>
    <w:rsid w:val="00110D47"/>
    <w:rsid w:val="00111CD0"/>
    <w:rsid w:val="00112004"/>
    <w:rsid w:val="0011208D"/>
    <w:rsid w:val="00112309"/>
    <w:rsid w:val="00112BB0"/>
    <w:rsid w:val="00113916"/>
    <w:rsid w:val="00113E68"/>
    <w:rsid w:val="00114E25"/>
    <w:rsid w:val="0011732C"/>
    <w:rsid w:val="001175D7"/>
    <w:rsid w:val="001217B7"/>
    <w:rsid w:val="0012304B"/>
    <w:rsid w:val="001231DE"/>
    <w:rsid w:val="00125193"/>
    <w:rsid w:val="00125F77"/>
    <w:rsid w:val="001272DB"/>
    <w:rsid w:val="00132D70"/>
    <w:rsid w:val="00132D7D"/>
    <w:rsid w:val="001344DD"/>
    <w:rsid w:val="0013473E"/>
    <w:rsid w:val="00134F28"/>
    <w:rsid w:val="00136E5E"/>
    <w:rsid w:val="0013723A"/>
    <w:rsid w:val="001400D5"/>
    <w:rsid w:val="00140622"/>
    <w:rsid w:val="00140E59"/>
    <w:rsid w:val="0014132B"/>
    <w:rsid w:val="001420A6"/>
    <w:rsid w:val="0014228B"/>
    <w:rsid w:val="0014251D"/>
    <w:rsid w:val="00143296"/>
    <w:rsid w:val="00143C2C"/>
    <w:rsid w:val="00145B42"/>
    <w:rsid w:val="0014609B"/>
    <w:rsid w:val="00146498"/>
    <w:rsid w:val="001501C1"/>
    <w:rsid w:val="001514AC"/>
    <w:rsid w:val="00152606"/>
    <w:rsid w:val="00153B79"/>
    <w:rsid w:val="00153C43"/>
    <w:rsid w:val="00153C73"/>
    <w:rsid w:val="00157BBE"/>
    <w:rsid w:val="0016023D"/>
    <w:rsid w:val="00160E21"/>
    <w:rsid w:val="00166B6D"/>
    <w:rsid w:val="00170283"/>
    <w:rsid w:val="00172449"/>
    <w:rsid w:val="00172BEA"/>
    <w:rsid w:val="001746C9"/>
    <w:rsid w:val="001755FC"/>
    <w:rsid w:val="00175EFA"/>
    <w:rsid w:val="00176F5F"/>
    <w:rsid w:val="001772B3"/>
    <w:rsid w:val="00180940"/>
    <w:rsid w:val="001813C5"/>
    <w:rsid w:val="0018198B"/>
    <w:rsid w:val="00183285"/>
    <w:rsid w:val="00183CC9"/>
    <w:rsid w:val="001840B6"/>
    <w:rsid w:val="0018446A"/>
    <w:rsid w:val="00186CD7"/>
    <w:rsid w:val="00186D69"/>
    <w:rsid w:val="00191F86"/>
    <w:rsid w:val="0019438F"/>
    <w:rsid w:val="0019449A"/>
    <w:rsid w:val="00194804"/>
    <w:rsid w:val="00195DC5"/>
    <w:rsid w:val="001960F0"/>
    <w:rsid w:val="001964FE"/>
    <w:rsid w:val="001975D2"/>
    <w:rsid w:val="001A0682"/>
    <w:rsid w:val="001A09C0"/>
    <w:rsid w:val="001A1184"/>
    <w:rsid w:val="001A3FAA"/>
    <w:rsid w:val="001A48DD"/>
    <w:rsid w:val="001A49CC"/>
    <w:rsid w:val="001A4C2D"/>
    <w:rsid w:val="001A514B"/>
    <w:rsid w:val="001A65AC"/>
    <w:rsid w:val="001A7B3A"/>
    <w:rsid w:val="001A7F98"/>
    <w:rsid w:val="001B33C4"/>
    <w:rsid w:val="001B3C0C"/>
    <w:rsid w:val="001B48C1"/>
    <w:rsid w:val="001B58A1"/>
    <w:rsid w:val="001B6768"/>
    <w:rsid w:val="001C042C"/>
    <w:rsid w:val="001C1198"/>
    <w:rsid w:val="001C229C"/>
    <w:rsid w:val="001C4877"/>
    <w:rsid w:val="001C5A3B"/>
    <w:rsid w:val="001D0167"/>
    <w:rsid w:val="001D0D90"/>
    <w:rsid w:val="001D169C"/>
    <w:rsid w:val="001D1FE8"/>
    <w:rsid w:val="001D2FA2"/>
    <w:rsid w:val="001D5636"/>
    <w:rsid w:val="001D5838"/>
    <w:rsid w:val="001D6BB4"/>
    <w:rsid w:val="001E0251"/>
    <w:rsid w:val="001E2831"/>
    <w:rsid w:val="001E2CA1"/>
    <w:rsid w:val="001E3CD3"/>
    <w:rsid w:val="001E3E45"/>
    <w:rsid w:val="001E5237"/>
    <w:rsid w:val="001E5B28"/>
    <w:rsid w:val="001E629D"/>
    <w:rsid w:val="001E681E"/>
    <w:rsid w:val="001F113D"/>
    <w:rsid w:val="001F1306"/>
    <w:rsid w:val="001F28A9"/>
    <w:rsid w:val="001F2F07"/>
    <w:rsid w:val="001F3BC9"/>
    <w:rsid w:val="001F469E"/>
    <w:rsid w:val="001F6384"/>
    <w:rsid w:val="001F7039"/>
    <w:rsid w:val="002007A5"/>
    <w:rsid w:val="002012FB"/>
    <w:rsid w:val="00201488"/>
    <w:rsid w:val="002032A7"/>
    <w:rsid w:val="002034A0"/>
    <w:rsid w:val="00204889"/>
    <w:rsid w:val="0020508C"/>
    <w:rsid w:val="00205FFD"/>
    <w:rsid w:val="00207FD9"/>
    <w:rsid w:val="00210F73"/>
    <w:rsid w:val="00212906"/>
    <w:rsid w:val="002135C2"/>
    <w:rsid w:val="00217CF8"/>
    <w:rsid w:val="00220A0E"/>
    <w:rsid w:val="00222630"/>
    <w:rsid w:val="00222BA2"/>
    <w:rsid w:val="00222E01"/>
    <w:rsid w:val="00223B93"/>
    <w:rsid w:val="0022471E"/>
    <w:rsid w:val="0023288D"/>
    <w:rsid w:val="00232B7C"/>
    <w:rsid w:val="00232C04"/>
    <w:rsid w:val="002335C3"/>
    <w:rsid w:val="002350F0"/>
    <w:rsid w:val="002357E7"/>
    <w:rsid w:val="002365A2"/>
    <w:rsid w:val="00236A1F"/>
    <w:rsid w:val="0023752B"/>
    <w:rsid w:val="002419C4"/>
    <w:rsid w:val="00243E2A"/>
    <w:rsid w:val="00244DCF"/>
    <w:rsid w:val="00244F4B"/>
    <w:rsid w:val="00246BA4"/>
    <w:rsid w:val="00250617"/>
    <w:rsid w:val="0025109B"/>
    <w:rsid w:val="00251217"/>
    <w:rsid w:val="00253E94"/>
    <w:rsid w:val="00254946"/>
    <w:rsid w:val="00255B8E"/>
    <w:rsid w:val="0025629C"/>
    <w:rsid w:val="00256DCA"/>
    <w:rsid w:val="00257A64"/>
    <w:rsid w:val="00262738"/>
    <w:rsid w:val="00262DD5"/>
    <w:rsid w:val="0026647A"/>
    <w:rsid w:val="00271AB0"/>
    <w:rsid w:val="00271BEF"/>
    <w:rsid w:val="00272B28"/>
    <w:rsid w:val="002803B3"/>
    <w:rsid w:val="00281965"/>
    <w:rsid w:val="0028340C"/>
    <w:rsid w:val="0028363B"/>
    <w:rsid w:val="00283C49"/>
    <w:rsid w:val="00284CA0"/>
    <w:rsid w:val="00285020"/>
    <w:rsid w:val="00285757"/>
    <w:rsid w:val="00291475"/>
    <w:rsid w:val="002915A5"/>
    <w:rsid w:val="0029172A"/>
    <w:rsid w:val="002920C0"/>
    <w:rsid w:val="00292465"/>
    <w:rsid w:val="00296796"/>
    <w:rsid w:val="0029760C"/>
    <w:rsid w:val="002A0325"/>
    <w:rsid w:val="002A2789"/>
    <w:rsid w:val="002A489F"/>
    <w:rsid w:val="002A5A6D"/>
    <w:rsid w:val="002A6915"/>
    <w:rsid w:val="002A7D74"/>
    <w:rsid w:val="002B1D27"/>
    <w:rsid w:val="002B20B2"/>
    <w:rsid w:val="002B3344"/>
    <w:rsid w:val="002B354A"/>
    <w:rsid w:val="002B3C91"/>
    <w:rsid w:val="002B4382"/>
    <w:rsid w:val="002B6986"/>
    <w:rsid w:val="002B72C8"/>
    <w:rsid w:val="002C004A"/>
    <w:rsid w:val="002C05D5"/>
    <w:rsid w:val="002C12B0"/>
    <w:rsid w:val="002C21CB"/>
    <w:rsid w:val="002C3971"/>
    <w:rsid w:val="002C3EC8"/>
    <w:rsid w:val="002C50F4"/>
    <w:rsid w:val="002C7E7A"/>
    <w:rsid w:val="002D0912"/>
    <w:rsid w:val="002D15BE"/>
    <w:rsid w:val="002D1D4B"/>
    <w:rsid w:val="002D2EF5"/>
    <w:rsid w:val="002D4C98"/>
    <w:rsid w:val="002D5AF6"/>
    <w:rsid w:val="002D6845"/>
    <w:rsid w:val="002D7D2A"/>
    <w:rsid w:val="002D7FBC"/>
    <w:rsid w:val="002E015C"/>
    <w:rsid w:val="002E08E2"/>
    <w:rsid w:val="002E1360"/>
    <w:rsid w:val="002E1682"/>
    <w:rsid w:val="002E56B9"/>
    <w:rsid w:val="002E5C1A"/>
    <w:rsid w:val="002E5FBF"/>
    <w:rsid w:val="002E6217"/>
    <w:rsid w:val="002E6C19"/>
    <w:rsid w:val="002E71F1"/>
    <w:rsid w:val="002E79B7"/>
    <w:rsid w:val="002F1D43"/>
    <w:rsid w:val="002F22E0"/>
    <w:rsid w:val="002F2C59"/>
    <w:rsid w:val="002F323A"/>
    <w:rsid w:val="002F3BC8"/>
    <w:rsid w:val="002F43AB"/>
    <w:rsid w:val="002F6D87"/>
    <w:rsid w:val="002F74AA"/>
    <w:rsid w:val="00300B5C"/>
    <w:rsid w:val="00302363"/>
    <w:rsid w:val="00303329"/>
    <w:rsid w:val="00304359"/>
    <w:rsid w:val="00305DF4"/>
    <w:rsid w:val="00307639"/>
    <w:rsid w:val="00307F97"/>
    <w:rsid w:val="003104DC"/>
    <w:rsid w:val="00311A21"/>
    <w:rsid w:val="0031277B"/>
    <w:rsid w:val="003144B7"/>
    <w:rsid w:val="00314B47"/>
    <w:rsid w:val="00315919"/>
    <w:rsid w:val="003207F3"/>
    <w:rsid w:val="00320B37"/>
    <w:rsid w:val="003216CA"/>
    <w:rsid w:val="00321C60"/>
    <w:rsid w:val="00331467"/>
    <w:rsid w:val="00334C9A"/>
    <w:rsid w:val="00337057"/>
    <w:rsid w:val="00343316"/>
    <w:rsid w:val="00343DDB"/>
    <w:rsid w:val="00347EB7"/>
    <w:rsid w:val="0035073C"/>
    <w:rsid w:val="0035286F"/>
    <w:rsid w:val="003539C1"/>
    <w:rsid w:val="00353A56"/>
    <w:rsid w:val="00355473"/>
    <w:rsid w:val="00360EC7"/>
    <w:rsid w:val="00360FFA"/>
    <w:rsid w:val="003617A8"/>
    <w:rsid w:val="0036191B"/>
    <w:rsid w:val="00363B63"/>
    <w:rsid w:val="00365D9C"/>
    <w:rsid w:val="00366F9B"/>
    <w:rsid w:val="0036760D"/>
    <w:rsid w:val="00370258"/>
    <w:rsid w:val="00370A5F"/>
    <w:rsid w:val="00370F9A"/>
    <w:rsid w:val="00371652"/>
    <w:rsid w:val="003719BA"/>
    <w:rsid w:val="003726CF"/>
    <w:rsid w:val="00372F0B"/>
    <w:rsid w:val="00373118"/>
    <w:rsid w:val="00373600"/>
    <w:rsid w:val="003755B5"/>
    <w:rsid w:val="00377372"/>
    <w:rsid w:val="003818F8"/>
    <w:rsid w:val="00381FA5"/>
    <w:rsid w:val="00384051"/>
    <w:rsid w:val="00385C0C"/>
    <w:rsid w:val="00385CAB"/>
    <w:rsid w:val="00386346"/>
    <w:rsid w:val="00386EC4"/>
    <w:rsid w:val="003872FA"/>
    <w:rsid w:val="00387422"/>
    <w:rsid w:val="00387614"/>
    <w:rsid w:val="00390CDA"/>
    <w:rsid w:val="0039193D"/>
    <w:rsid w:val="00391B11"/>
    <w:rsid w:val="00393BCB"/>
    <w:rsid w:val="00394255"/>
    <w:rsid w:val="00394A6D"/>
    <w:rsid w:val="00395548"/>
    <w:rsid w:val="003956A4"/>
    <w:rsid w:val="003958C4"/>
    <w:rsid w:val="00395B73"/>
    <w:rsid w:val="00395C00"/>
    <w:rsid w:val="00396E55"/>
    <w:rsid w:val="003A00FE"/>
    <w:rsid w:val="003A036C"/>
    <w:rsid w:val="003A06E0"/>
    <w:rsid w:val="003A1BA9"/>
    <w:rsid w:val="003A2FA7"/>
    <w:rsid w:val="003A3C8A"/>
    <w:rsid w:val="003A40A9"/>
    <w:rsid w:val="003A45BA"/>
    <w:rsid w:val="003A49C5"/>
    <w:rsid w:val="003A4A27"/>
    <w:rsid w:val="003A4D9B"/>
    <w:rsid w:val="003A5479"/>
    <w:rsid w:val="003A5C87"/>
    <w:rsid w:val="003A7B99"/>
    <w:rsid w:val="003B083D"/>
    <w:rsid w:val="003B1E82"/>
    <w:rsid w:val="003B20BE"/>
    <w:rsid w:val="003B255D"/>
    <w:rsid w:val="003B3CD2"/>
    <w:rsid w:val="003B3FCD"/>
    <w:rsid w:val="003B4F24"/>
    <w:rsid w:val="003B4F28"/>
    <w:rsid w:val="003B62A1"/>
    <w:rsid w:val="003B6AD6"/>
    <w:rsid w:val="003C0C79"/>
    <w:rsid w:val="003C3A01"/>
    <w:rsid w:val="003C657A"/>
    <w:rsid w:val="003C674F"/>
    <w:rsid w:val="003C6814"/>
    <w:rsid w:val="003C706B"/>
    <w:rsid w:val="003C7D96"/>
    <w:rsid w:val="003D0F61"/>
    <w:rsid w:val="003D1523"/>
    <w:rsid w:val="003D2034"/>
    <w:rsid w:val="003D2097"/>
    <w:rsid w:val="003D3249"/>
    <w:rsid w:val="003D32FB"/>
    <w:rsid w:val="003D5CCE"/>
    <w:rsid w:val="003D6FF0"/>
    <w:rsid w:val="003E14D5"/>
    <w:rsid w:val="003E20C2"/>
    <w:rsid w:val="003E2404"/>
    <w:rsid w:val="003E33CD"/>
    <w:rsid w:val="003E53A0"/>
    <w:rsid w:val="003E6836"/>
    <w:rsid w:val="003E75E6"/>
    <w:rsid w:val="003F0531"/>
    <w:rsid w:val="003F0CB6"/>
    <w:rsid w:val="003F1BC1"/>
    <w:rsid w:val="003F1DE0"/>
    <w:rsid w:val="003F299E"/>
    <w:rsid w:val="003F412E"/>
    <w:rsid w:val="003F5270"/>
    <w:rsid w:val="003F5758"/>
    <w:rsid w:val="003F5A0F"/>
    <w:rsid w:val="003F5ABC"/>
    <w:rsid w:val="003F6162"/>
    <w:rsid w:val="004007ED"/>
    <w:rsid w:val="00400C1F"/>
    <w:rsid w:val="00400F9A"/>
    <w:rsid w:val="00401334"/>
    <w:rsid w:val="00402273"/>
    <w:rsid w:val="00402F41"/>
    <w:rsid w:val="004070E4"/>
    <w:rsid w:val="00407F6B"/>
    <w:rsid w:val="004100BF"/>
    <w:rsid w:val="00412FE8"/>
    <w:rsid w:val="004169D0"/>
    <w:rsid w:val="00417496"/>
    <w:rsid w:val="004203C8"/>
    <w:rsid w:val="004203FE"/>
    <w:rsid w:val="00422A86"/>
    <w:rsid w:val="00422F3A"/>
    <w:rsid w:val="00425C7A"/>
    <w:rsid w:val="004265EF"/>
    <w:rsid w:val="004272A6"/>
    <w:rsid w:val="00434B05"/>
    <w:rsid w:val="00436827"/>
    <w:rsid w:val="00436B02"/>
    <w:rsid w:val="004378DC"/>
    <w:rsid w:val="00437A2F"/>
    <w:rsid w:val="00440B2B"/>
    <w:rsid w:val="00441635"/>
    <w:rsid w:val="004422C6"/>
    <w:rsid w:val="0044347E"/>
    <w:rsid w:val="0044376C"/>
    <w:rsid w:val="00443BA6"/>
    <w:rsid w:val="00445954"/>
    <w:rsid w:val="0044628C"/>
    <w:rsid w:val="00446383"/>
    <w:rsid w:val="004478DF"/>
    <w:rsid w:val="00450F7F"/>
    <w:rsid w:val="004511A0"/>
    <w:rsid w:val="00451FC4"/>
    <w:rsid w:val="004529C2"/>
    <w:rsid w:val="00452CF4"/>
    <w:rsid w:val="0045317D"/>
    <w:rsid w:val="00454FF7"/>
    <w:rsid w:val="004550A7"/>
    <w:rsid w:val="0045681D"/>
    <w:rsid w:val="00457370"/>
    <w:rsid w:val="00457AD2"/>
    <w:rsid w:val="00460408"/>
    <w:rsid w:val="00460F82"/>
    <w:rsid w:val="00461629"/>
    <w:rsid w:val="00461AC1"/>
    <w:rsid w:val="00462D87"/>
    <w:rsid w:val="00466BFD"/>
    <w:rsid w:val="00466E9A"/>
    <w:rsid w:val="00472451"/>
    <w:rsid w:val="00472905"/>
    <w:rsid w:val="004732C6"/>
    <w:rsid w:val="00473575"/>
    <w:rsid w:val="0047367A"/>
    <w:rsid w:val="0047395B"/>
    <w:rsid w:val="004766D2"/>
    <w:rsid w:val="00477C68"/>
    <w:rsid w:val="00482B0F"/>
    <w:rsid w:val="00482FB8"/>
    <w:rsid w:val="00483036"/>
    <w:rsid w:val="00484CCD"/>
    <w:rsid w:val="00486168"/>
    <w:rsid w:val="00486B6C"/>
    <w:rsid w:val="00493B6C"/>
    <w:rsid w:val="00496651"/>
    <w:rsid w:val="00496FD2"/>
    <w:rsid w:val="00497331"/>
    <w:rsid w:val="00497CA5"/>
    <w:rsid w:val="004A2786"/>
    <w:rsid w:val="004A3929"/>
    <w:rsid w:val="004A6AA1"/>
    <w:rsid w:val="004A7B00"/>
    <w:rsid w:val="004B1E4B"/>
    <w:rsid w:val="004B2CB1"/>
    <w:rsid w:val="004B3325"/>
    <w:rsid w:val="004B47EF"/>
    <w:rsid w:val="004B6638"/>
    <w:rsid w:val="004B7638"/>
    <w:rsid w:val="004B7CED"/>
    <w:rsid w:val="004C04C8"/>
    <w:rsid w:val="004C2199"/>
    <w:rsid w:val="004C417D"/>
    <w:rsid w:val="004D4C53"/>
    <w:rsid w:val="004D5E04"/>
    <w:rsid w:val="004D792B"/>
    <w:rsid w:val="004D7F42"/>
    <w:rsid w:val="004E02E7"/>
    <w:rsid w:val="004E1AE6"/>
    <w:rsid w:val="004E20D1"/>
    <w:rsid w:val="004E3E69"/>
    <w:rsid w:val="004E41F0"/>
    <w:rsid w:val="004E4767"/>
    <w:rsid w:val="004E5BF5"/>
    <w:rsid w:val="004E5E44"/>
    <w:rsid w:val="004E6845"/>
    <w:rsid w:val="004E6D1A"/>
    <w:rsid w:val="004F0BDB"/>
    <w:rsid w:val="004F466B"/>
    <w:rsid w:val="004F4672"/>
    <w:rsid w:val="00500269"/>
    <w:rsid w:val="0050145B"/>
    <w:rsid w:val="00502577"/>
    <w:rsid w:val="00504ACA"/>
    <w:rsid w:val="00504FF0"/>
    <w:rsid w:val="00505F27"/>
    <w:rsid w:val="00506798"/>
    <w:rsid w:val="00506B6B"/>
    <w:rsid w:val="00507DF9"/>
    <w:rsid w:val="005105EE"/>
    <w:rsid w:val="005112D1"/>
    <w:rsid w:val="00511783"/>
    <w:rsid w:val="005123BD"/>
    <w:rsid w:val="0051360D"/>
    <w:rsid w:val="0051432C"/>
    <w:rsid w:val="0051488F"/>
    <w:rsid w:val="00515337"/>
    <w:rsid w:val="005160CE"/>
    <w:rsid w:val="00516539"/>
    <w:rsid w:val="005168E6"/>
    <w:rsid w:val="00516A2D"/>
    <w:rsid w:val="00516B31"/>
    <w:rsid w:val="005174EA"/>
    <w:rsid w:val="00517C7D"/>
    <w:rsid w:val="00517FC6"/>
    <w:rsid w:val="00521A37"/>
    <w:rsid w:val="005265E4"/>
    <w:rsid w:val="00526B1D"/>
    <w:rsid w:val="00526C39"/>
    <w:rsid w:val="005306E4"/>
    <w:rsid w:val="00530C27"/>
    <w:rsid w:val="00531974"/>
    <w:rsid w:val="00532589"/>
    <w:rsid w:val="00532D4D"/>
    <w:rsid w:val="00532DC9"/>
    <w:rsid w:val="005339FC"/>
    <w:rsid w:val="00534DA1"/>
    <w:rsid w:val="00534E4E"/>
    <w:rsid w:val="00534F8E"/>
    <w:rsid w:val="005353D5"/>
    <w:rsid w:val="00536328"/>
    <w:rsid w:val="00536AD0"/>
    <w:rsid w:val="00537EAE"/>
    <w:rsid w:val="00541D04"/>
    <w:rsid w:val="00542F60"/>
    <w:rsid w:val="00543D44"/>
    <w:rsid w:val="005470FF"/>
    <w:rsid w:val="0054738F"/>
    <w:rsid w:val="00550BE4"/>
    <w:rsid w:val="005514C4"/>
    <w:rsid w:val="00551C2B"/>
    <w:rsid w:val="00554C75"/>
    <w:rsid w:val="00555F4A"/>
    <w:rsid w:val="00563BF8"/>
    <w:rsid w:val="00563F87"/>
    <w:rsid w:val="0056638E"/>
    <w:rsid w:val="00566E80"/>
    <w:rsid w:val="0057073A"/>
    <w:rsid w:val="00571EA1"/>
    <w:rsid w:val="00572386"/>
    <w:rsid w:val="00572734"/>
    <w:rsid w:val="00573FC3"/>
    <w:rsid w:val="005769DD"/>
    <w:rsid w:val="00577CC4"/>
    <w:rsid w:val="00577D1D"/>
    <w:rsid w:val="005811A6"/>
    <w:rsid w:val="00581DAA"/>
    <w:rsid w:val="005827D9"/>
    <w:rsid w:val="005839DD"/>
    <w:rsid w:val="005856F4"/>
    <w:rsid w:val="00585B2F"/>
    <w:rsid w:val="005906F6"/>
    <w:rsid w:val="00590724"/>
    <w:rsid w:val="00590A91"/>
    <w:rsid w:val="0059177E"/>
    <w:rsid w:val="00594AD8"/>
    <w:rsid w:val="00595689"/>
    <w:rsid w:val="00595F33"/>
    <w:rsid w:val="00595F36"/>
    <w:rsid w:val="00596401"/>
    <w:rsid w:val="00596B06"/>
    <w:rsid w:val="005972C2"/>
    <w:rsid w:val="00597392"/>
    <w:rsid w:val="005973FD"/>
    <w:rsid w:val="0059786F"/>
    <w:rsid w:val="00597908"/>
    <w:rsid w:val="00597E1E"/>
    <w:rsid w:val="005A076C"/>
    <w:rsid w:val="005A115B"/>
    <w:rsid w:val="005A1685"/>
    <w:rsid w:val="005A3106"/>
    <w:rsid w:val="005A3902"/>
    <w:rsid w:val="005A43CB"/>
    <w:rsid w:val="005A6547"/>
    <w:rsid w:val="005A6E7C"/>
    <w:rsid w:val="005A74A8"/>
    <w:rsid w:val="005A7F63"/>
    <w:rsid w:val="005B0A5C"/>
    <w:rsid w:val="005B0F21"/>
    <w:rsid w:val="005B1A19"/>
    <w:rsid w:val="005B2419"/>
    <w:rsid w:val="005B299D"/>
    <w:rsid w:val="005B2BA1"/>
    <w:rsid w:val="005B2F82"/>
    <w:rsid w:val="005C00B9"/>
    <w:rsid w:val="005C1F9F"/>
    <w:rsid w:val="005C25EB"/>
    <w:rsid w:val="005C2DBE"/>
    <w:rsid w:val="005C4D9E"/>
    <w:rsid w:val="005C5461"/>
    <w:rsid w:val="005D02ED"/>
    <w:rsid w:val="005D10CC"/>
    <w:rsid w:val="005D2C5D"/>
    <w:rsid w:val="005D355D"/>
    <w:rsid w:val="005D3B13"/>
    <w:rsid w:val="005D6448"/>
    <w:rsid w:val="005D64CC"/>
    <w:rsid w:val="005D6BF7"/>
    <w:rsid w:val="005E1461"/>
    <w:rsid w:val="005E2002"/>
    <w:rsid w:val="005E3257"/>
    <w:rsid w:val="005E483A"/>
    <w:rsid w:val="005E5BB3"/>
    <w:rsid w:val="005E6BB3"/>
    <w:rsid w:val="005E6BF9"/>
    <w:rsid w:val="005F0C9F"/>
    <w:rsid w:val="005F0E25"/>
    <w:rsid w:val="005F0FCA"/>
    <w:rsid w:val="005F2C5B"/>
    <w:rsid w:val="005F5681"/>
    <w:rsid w:val="005F56F0"/>
    <w:rsid w:val="005F641C"/>
    <w:rsid w:val="005F793E"/>
    <w:rsid w:val="006021BD"/>
    <w:rsid w:val="00604CCB"/>
    <w:rsid w:val="00606147"/>
    <w:rsid w:val="00611575"/>
    <w:rsid w:val="006135AB"/>
    <w:rsid w:val="006146B8"/>
    <w:rsid w:val="0061535D"/>
    <w:rsid w:val="0061672B"/>
    <w:rsid w:val="00617D3E"/>
    <w:rsid w:val="006213B5"/>
    <w:rsid w:val="00621B17"/>
    <w:rsid w:val="00622D5F"/>
    <w:rsid w:val="00623521"/>
    <w:rsid w:val="00625030"/>
    <w:rsid w:val="006259FF"/>
    <w:rsid w:val="00625D13"/>
    <w:rsid w:val="00626396"/>
    <w:rsid w:val="00626E46"/>
    <w:rsid w:val="00631D55"/>
    <w:rsid w:val="00632126"/>
    <w:rsid w:val="0063242C"/>
    <w:rsid w:val="006334C6"/>
    <w:rsid w:val="00637473"/>
    <w:rsid w:val="00637785"/>
    <w:rsid w:val="006402E2"/>
    <w:rsid w:val="00640D6D"/>
    <w:rsid w:val="00640D86"/>
    <w:rsid w:val="00641BAE"/>
    <w:rsid w:val="006426A0"/>
    <w:rsid w:val="00643238"/>
    <w:rsid w:val="00644D33"/>
    <w:rsid w:val="006451F4"/>
    <w:rsid w:val="00646E5B"/>
    <w:rsid w:val="006514BA"/>
    <w:rsid w:val="00652AF1"/>
    <w:rsid w:val="0065320D"/>
    <w:rsid w:val="00653494"/>
    <w:rsid w:val="00653AA8"/>
    <w:rsid w:val="00654BF8"/>
    <w:rsid w:val="00654EC5"/>
    <w:rsid w:val="00656863"/>
    <w:rsid w:val="006611A2"/>
    <w:rsid w:val="0066244F"/>
    <w:rsid w:val="006631C7"/>
    <w:rsid w:val="00663F7D"/>
    <w:rsid w:val="00664C22"/>
    <w:rsid w:val="006662D3"/>
    <w:rsid w:val="0066659E"/>
    <w:rsid w:val="00673A58"/>
    <w:rsid w:val="00675021"/>
    <w:rsid w:val="00675562"/>
    <w:rsid w:val="00676A1B"/>
    <w:rsid w:val="00677524"/>
    <w:rsid w:val="006809F7"/>
    <w:rsid w:val="00681BF7"/>
    <w:rsid w:val="00683197"/>
    <w:rsid w:val="006858B0"/>
    <w:rsid w:val="006873DC"/>
    <w:rsid w:val="00690651"/>
    <w:rsid w:val="00692AE5"/>
    <w:rsid w:val="0069339A"/>
    <w:rsid w:val="00696D02"/>
    <w:rsid w:val="006A003F"/>
    <w:rsid w:val="006A0F32"/>
    <w:rsid w:val="006A15A7"/>
    <w:rsid w:val="006A1679"/>
    <w:rsid w:val="006A6728"/>
    <w:rsid w:val="006A718C"/>
    <w:rsid w:val="006B001B"/>
    <w:rsid w:val="006B128D"/>
    <w:rsid w:val="006B1546"/>
    <w:rsid w:val="006B2068"/>
    <w:rsid w:val="006B2B17"/>
    <w:rsid w:val="006B41BB"/>
    <w:rsid w:val="006B7290"/>
    <w:rsid w:val="006C13BC"/>
    <w:rsid w:val="006C1D5C"/>
    <w:rsid w:val="006C2424"/>
    <w:rsid w:val="006C2B29"/>
    <w:rsid w:val="006C3B66"/>
    <w:rsid w:val="006C64FC"/>
    <w:rsid w:val="006C6BF2"/>
    <w:rsid w:val="006D1131"/>
    <w:rsid w:val="006D1173"/>
    <w:rsid w:val="006D5AF5"/>
    <w:rsid w:val="006D7C9E"/>
    <w:rsid w:val="006E1F9B"/>
    <w:rsid w:val="006E331A"/>
    <w:rsid w:val="006E61A4"/>
    <w:rsid w:val="006E655A"/>
    <w:rsid w:val="006E6F42"/>
    <w:rsid w:val="006E7757"/>
    <w:rsid w:val="006E7DBD"/>
    <w:rsid w:val="006F16EC"/>
    <w:rsid w:val="006F1D91"/>
    <w:rsid w:val="006F65FE"/>
    <w:rsid w:val="00700999"/>
    <w:rsid w:val="00704FE4"/>
    <w:rsid w:val="00706470"/>
    <w:rsid w:val="00706D65"/>
    <w:rsid w:val="00706E09"/>
    <w:rsid w:val="007101A1"/>
    <w:rsid w:val="00711D99"/>
    <w:rsid w:val="00711FEF"/>
    <w:rsid w:val="00714688"/>
    <w:rsid w:val="00714C80"/>
    <w:rsid w:val="00715703"/>
    <w:rsid w:val="007167AC"/>
    <w:rsid w:val="007173C1"/>
    <w:rsid w:val="0071769D"/>
    <w:rsid w:val="00720AA2"/>
    <w:rsid w:val="00720BA6"/>
    <w:rsid w:val="007219A5"/>
    <w:rsid w:val="00721E96"/>
    <w:rsid w:val="007226A8"/>
    <w:rsid w:val="00723322"/>
    <w:rsid w:val="007238C9"/>
    <w:rsid w:val="0072771B"/>
    <w:rsid w:val="00727B0B"/>
    <w:rsid w:val="0073018A"/>
    <w:rsid w:val="00733F2E"/>
    <w:rsid w:val="00736F67"/>
    <w:rsid w:val="00737377"/>
    <w:rsid w:val="007422A3"/>
    <w:rsid w:val="00743530"/>
    <w:rsid w:val="0074416D"/>
    <w:rsid w:val="00747C81"/>
    <w:rsid w:val="00750668"/>
    <w:rsid w:val="00752596"/>
    <w:rsid w:val="007527D3"/>
    <w:rsid w:val="00752CE4"/>
    <w:rsid w:val="0075370D"/>
    <w:rsid w:val="00753991"/>
    <w:rsid w:val="00753E5C"/>
    <w:rsid w:val="0075530B"/>
    <w:rsid w:val="00757212"/>
    <w:rsid w:val="00761C83"/>
    <w:rsid w:val="00763D2A"/>
    <w:rsid w:val="00764ADA"/>
    <w:rsid w:val="007660DB"/>
    <w:rsid w:val="00767E7D"/>
    <w:rsid w:val="007711CF"/>
    <w:rsid w:val="007716AB"/>
    <w:rsid w:val="00771928"/>
    <w:rsid w:val="00771D71"/>
    <w:rsid w:val="0077341C"/>
    <w:rsid w:val="00773807"/>
    <w:rsid w:val="00774479"/>
    <w:rsid w:val="007750C4"/>
    <w:rsid w:val="0077564F"/>
    <w:rsid w:val="007759EF"/>
    <w:rsid w:val="00775BE7"/>
    <w:rsid w:val="00777094"/>
    <w:rsid w:val="00780CEA"/>
    <w:rsid w:val="00781F67"/>
    <w:rsid w:val="00782965"/>
    <w:rsid w:val="00785CB9"/>
    <w:rsid w:val="00785DD8"/>
    <w:rsid w:val="00786EF1"/>
    <w:rsid w:val="00787AFF"/>
    <w:rsid w:val="007928B4"/>
    <w:rsid w:val="00792ACE"/>
    <w:rsid w:val="00793018"/>
    <w:rsid w:val="007946A1"/>
    <w:rsid w:val="00795AA6"/>
    <w:rsid w:val="00795AF2"/>
    <w:rsid w:val="00796567"/>
    <w:rsid w:val="00796F38"/>
    <w:rsid w:val="00797529"/>
    <w:rsid w:val="007977CC"/>
    <w:rsid w:val="007A01C4"/>
    <w:rsid w:val="007A31A5"/>
    <w:rsid w:val="007A36CD"/>
    <w:rsid w:val="007A6CA2"/>
    <w:rsid w:val="007B1C84"/>
    <w:rsid w:val="007B214A"/>
    <w:rsid w:val="007B2986"/>
    <w:rsid w:val="007B2A2F"/>
    <w:rsid w:val="007B613D"/>
    <w:rsid w:val="007B7624"/>
    <w:rsid w:val="007C0C30"/>
    <w:rsid w:val="007C0C52"/>
    <w:rsid w:val="007C1AD4"/>
    <w:rsid w:val="007C3CBD"/>
    <w:rsid w:val="007C4451"/>
    <w:rsid w:val="007C513B"/>
    <w:rsid w:val="007C5F0F"/>
    <w:rsid w:val="007C6A77"/>
    <w:rsid w:val="007C715C"/>
    <w:rsid w:val="007C75AA"/>
    <w:rsid w:val="007C7F0B"/>
    <w:rsid w:val="007D1BEE"/>
    <w:rsid w:val="007D2A03"/>
    <w:rsid w:val="007D41E4"/>
    <w:rsid w:val="007D554C"/>
    <w:rsid w:val="007D74D8"/>
    <w:rsid w:val="007D7E73"/>
    <w:rsid w:val="007E1048"/>
    <w:rsid w:val="007E18DA"/>
    <w:rsid w:val="007E1FA7"/>
    <w:rsid w:val="007E2CA1"/>
    <w:rsid w:val="007E2D20"/>
    <w:rsid w:val="007E3008"/>
    <w:rsid w:val="007E5602"/>
    <w:rsid w:val="007E5F5A"/>
    <w:rsid w:val="007F1C14"/>
    <w:rsid w:val="007F404F"/>
    <w:rsid w:val="007F568D"/>
    <w:rsid w:val="00800247"/>
    <w:rsid w:val="008014A6"/>
    <w:rsid w:val="00801E13"/>
    <w:rsid w:val="00806DA5"/>
    <w:rsid w:val="00810843"/>
    <w:rsid w:val="0081198D"/>
    <w:rsid w:val="0081218F"/>
    <w:rsid w:val="00813158"/>
    <w:rsid w:val="008131A5"/>
    <w:rsid w:val="00813237"/>
    <w:rsid w:val="00813928"/>
    <w:rsid w:val="00813A32"/>
    <w:rsid w:val="00813D61"/>
    <w:rsid w:val="0081546C"/>
    <w:rsid w:val="008204B3"/>
    <w:rsid w:val="00820646"/>
    <w:rsid w:val="00821BC8"/>
    <w:rsid w:val="00823B48"/>
    <w:rsid w:val="00826B38"/>
    <w:rsid w:val="00827986"/>
    <w:rsid w:val="00831745"/>
    <w:rsid w:val="008329A3"/>
    <w:rsid w:val="00832AC6"/>
    <w:rsid w:val="00833151"/>
    <w:rsid w:val="008339A0"/>
    <w:rsid w:val="0083675D"/>
    <w:rsid w:val="00837A85"/>
    <w:rsid w:val="008429A2"/>
    <w:rsid w:val="00842B3D"/>
    <w:rsid w:val="008456B1"/>
    <w:rsid w:val="00846B32"/>
    <w:rsid w:val="00851B4F"/>
    <w:rsid w:val="008526C3"/>
    <w:rsid w:val="00852C0D"/>
    <w:rsid w:val="00853BD3"/>
    <w:rsid w:val="00854040"/>
    <w:rsid w:val="008545B1"/>
    <w:rsid w:val="0085566D"/>
    <w:rsid w:val="00855833"/>
    <w:rsid w:val="00855EE2"/>
    <w:rsid w:val="0085614F"/>
    <w:rsid w:val="00856C37"/>
    <w:rsid w:val="00857B59"/>
    <w:rsid w:val="008604EC"/>
    <w:rsid w:val="008609AD"/>
    <w:rsid w:val="00860A7A"/>
    <w:rsid w:val="008611AA"/>
    <w:rsid w:val="00861C03"/>
    <w:rsid w:val="008628B4"/>
    <w:rsid w:val="00862D87"/>
    <w:rsid w:val="008648E7"/>
    <w:rsid w:val="00865478"/>
    <w:rsid w:val="008657B9"/>
    <w:rsid w:val="00865A8A"/>
    <w:rsid w:val="008702DD"/>
    <w:rsid w:val="008757C0"/>
    <w:rsid w:val="00875AA4"/>
    <w:rsid w:val="00877B03"/>
    <w:rsid w:val="00880192"/>
    <w:rsid w:val="008814D3"/>
    <w:rsid w:val="00883B29"/>
    <w:rsid w:val="00883BE7"/>
    <w:rsid w:val="008844B4"/>
    <w:rsid w:val="008855F5"/>
    <w:rsid w:val="00890F67"/>
    <w:rsid w:val="0089262B"/>
    <w:rsid w:val="00892BAB"/>
    <w:rsid w:val="00894574"/>
    <w:rsid w:val="00895C16"/>
    <w:rsid w:val="00896ACC"/>
    <w:rsid w:val="008A0EDD"/>
    <w:rsid w:val="008A1130"/>
    <w:rsid w:val="008A1492"/>
    <w:rsid w:val="008A1F1B"/>
    <w:rsid w:val="008A22B5"/>
    <w:rsid w:val="008A2BFA"/>
    <w:rsid w:val="008A2CCF"/>
    <w:rsid w:val="008A3215"/>
    <w:rsid w:val="008A4232"/>
    <w:rsid w:val="008A4430"/>
    <w:rsid w:val="008A6AA7"/>
    <w:rsid w:val="008A6B6E"/>
    <w:rsid w:val="008A7B3F"/>
    <w:rsid w:val="008B0482"/>
    <w:rsid w:val="008B2FB1"/>
    <w:rsid w:val="008B6100"/>
    <w:rsid w:val="008B720D"/>
    <w:rsid w:val="008B738D"/>
    <w:rsid w:val="008C0973"/>
    <w:rsid w:val="008C1596"/>
    <w:rsid w:val="008C1AEA"/>
    <w:rsid w:val="008C2685"/>
    <w:rsid w:val="008C26D2"/>
    <w:rsid w:val="008C2754"/>
    <w:rsid w:val="008C4697"/>
    <w:rsid w:val="008C47C1"/>
    <w:rsid w:val="008C6C14"/>
    <w:rsid w:val="008C718A"/>
    <w:rsid w:val="008C7DA6"/>
    <w:rsid w:val="008C7E17"/>
    <w:rsid w:val="008D036F"/>
    <w:rsid w:val="008D11E0"/>
    <w:rsid w:val="008D148E"/>
    <w:rsid w:val="008D1631"/>
    <w:rsid w:val="008D1A79"/>
    <w:rsid w:val="008D5992"/>
    <w:rsid w:val="008D5D21"/>
    <w:rsid w:val="008D6659"/>
    <w:rsid w:val="008D7869"/>
    <w:rsid w:val="008E045D"/>
    <w:rsid w:val="008E11FA"/>
    <w:rsid w:val="008E2485"/>
    <w:rsid w:val="008E46F2"/>
    <w:rsid w:val="008E48AC"/>
    <w:rsid w:val="008E5006"/>
    <w:rsid w:val="008E6E32"/>
    <w:rsid w:val="008E744A"/>
    <w:rsid w:val="008E7682"/>
    <w:rsid w:val="008E7BFA"/>
    <w:rsid w:val="008F1728"/>
    <w:rsid w:val="008F1B0D"/>
    <w:rsid w:val="008F1F51"/>
    <w:rsid w:val="008F1FC3"/>
    <w:rsid w:val="008F2421"/>
    <w:rsid w:val="008F2574"/>
    <w:rsid w:val="008F44DC"/>
    <w:rsid w:val="008F7393"/>
    <w:rsid w:val="009008F7"/>
    <w:rsid w:val="009023BA"/>
    <w:rsid w:val="00904329"/>
    <w:rsid w:val="0090537E"/>
    <w:rsid w:val="00905DD1"/>
    <w:rsid w:val="00911F3D"/>
    <w:rsid w:val="00912230"/>
    <w:rsid w:val="00914050"/>
    <w:rsid w:val="00914D23"/>
    <w:rsid w:val="0091646C"/>
    <w:rsid w:val="00916A7E"/>
    <w:rsid w:val="00916B56"/>
    <w:rsid w:val="009175FB"/>
    <w:rsid w:val="009230D8"/>
    <w:rsid w:val="00923221"/>
    <w:rsid w:val="009238F7"/>
    <w:rsid w:val="009244D4"/>
    <w:rsid w:val="00925F61"/>
    <w:rsid w:val="00927DE5"/>
    <w:rsid w:val="00930B28"/>
    <w:rsid w:val="009315C1"/>
    <w:rsid w:val="00932834"/>
    <w:rsid w:val="00932E9A"/>
    <w:rsid w:val="00933D73"/>
    <w:rsid w:val="00935C37"/>
    <w:rsid w:val="009368CE"/>
    <w:rsid w:val="009405B8"/>
    <w:rsid w:val="00940F68"/>
    <w:rsid w:val="0094254B"/>
    <w:rsid w:val="00942D2F"/>
    <w:rsid w:val="00943265"/>
    <w:rsid w:val="00943450"/>
    <w:rsid w:val="00943FFB"/>
    <w:rsid w:val="0094426B"/>
    <w:rsid w:val="009448F5"/>
    <w:rsid w:val="00944C3E"/>
    <w:rsid w:val="009455A2"/>
    <w:rsid w:val="009455AC"/>
    <w:rsid w:val="00945947"/>
    <w:rsid w:val="00945D02"/>
    <w:rsid w:val="00946933"/>
    <w:rsid w:val="00946B26"/>
    <w:rsid w:val="00947410"/>
    <w:rsid w:val="009512D4"/>
    <w:rsid w:val="0095504F"/>
    <w:rsid w:val="00955A87"/>
    <w:rsid w:val="00957C8C"/>
    <w:rsid w:val="00962602"/>
    <w:rsid w:val="00963957"/>
    <w:rsid w:val="00963F86"/>
    <w:rsid w:val="0096494E"/>
    <w:rsid w:val="00970B9F"/>
    <w:rsid w:val="00971FBE"/>
    <w:rsid w:val="00973367"/>
    <w:rsid w:val="00973AAE"/>
    <w:rsid w:val="00973B10"/>
    <w:rsid w:val="00973D49"/>
    <w:rsid w:val="009770DF"/>
    <w:rsid w:val="009773B4"/>
    <w:rsid w:val="0098189F"/>
    <w:rsid w:val="009829A7"/>
    <w:rsid w:val="00982A47"/>
    <w:rsid w:val="00983846"/>
    <w:rsid w:val="00985084"/>
    <w:rsid w:val="009852D7"/>
    <w:rsid w:val="00986149"/>
    <w:rsid w:val="009862B2"/>
    <w:rsid w:val="0099057C"/>
    <w:rsid w:val="00991FE7"/>
    <w:rsid w:val="009932C8"/>
    <w:rsid w:val="0099404A"/>
    <w:rsid w:val="00995520"/>
    <w:rsid w:val="009973B0"/>
    <w:rsid w:val="009A0049"/>
    <w:rsid w:val="009A09FA"/>
    <w:rsid w:val="009A1A86"/>
    <w:rsid w:val="009A4640"/>
    <w:rsid w:val="009A52AC"/>
    <w:rsid w:val="009A622F"/>
    <w:rsid w:val="009A6297"/>
    <w:rsid w:val="009B0277"/>
    <w:rsid w:val="009B07DB"/>
    <w:rsid w:val="009B0A90"/>
    <w:rsid w:val="009B2ACB"/>
    <w:rsid w:val="009B4C8C"/>
    <w:rsid w:val="009B68C0"/>
    <w:rsid w:val="009B6A33"/>
    <w:rsid w:val="009B7E3F"/>
    <w:rsid w:val="009C08F2"/>
    <w:rsid w:val="009C2D8E"/>
    <w:rsid w:val="009C307B"/>
    <w:rsid w:val="009C32FE"/>
    <w:rsid w:val="009C3918"/>
    <w:rsid w:val="009D02B5"/>
    <w:rsid w:val="009D0466"/>
    <w:rsid w:val="009D0C9B"/>
    <w:rsid w:val="009D116B"/>
    <w:rsid w:val="009D368F"/>
    <w:rsid w:val="009D3ED1"/>
    <w:rsid w:val="009D44D6"/>
    <w:rsid w:val="009D5111"/>
    <w:rsid w:val="009D5A07"/>
    <w:rsid w:val="009D7D03"/>
    <w:rsid w:val="009E0FF9"/>
    <w:rsid w:val="009E2300"/>
    <w:rsid w:val="009E45F3"/>
    <w:rsid w:val="009E4A70"/>
    <w:rsid w:val="009E65BF"/>
    <w:rsid w:val="009E6A7C"/>
    <w:rsid w:val="009E6E28"/>
    <w:rsid w:val="009F23FB"/>
    <w:rsid w:val="009F2794"/>
    <w:rsid w:val="009F3D3D"/>
    <w:rsid w:val="009F49C8"/>
    <w:rsid w:val="009F64E4"/>
    <w:rsid w:val="009F7C1A"/>
    <w:rsid w:val="00A00FC9"/>
    <w:rsid w:val="00A03F23"/>
    <w:rsid w:val="00A05656"/>
    <w:rsid w:val="00A05675"/>
    <w:rsid w:val="00A06D46"/>
    <w:rsid w:val="00A0722E"/>
    <w:rsid w:val="00A10BDB"/>
    <w:rsid w:val="00A11994"/>
    <w:rsid w:val="00A14098"/>
    <w:rsid w:val="00A15445"/>
    <w:rsid w:val="00A15627"/>
    <w:rsid w:val="00A1686D"/>
    <w:rsid w:val="00A16CCF"/>
    <w:rsid w:val="00A17918"/>
    <w:rsid w:val="00A201DD"/>
    <w:rsid w:val="00A20403"/>
    <w:rsid w:val="00A210F8"/>
    <w:rsid w:val="00A21FA6"/>
    <w:rsid w:val="00A22780"/>
    <w:rsid w:val="00A22D86"/>
    <w:rsid w:val="00A2333F"/>
    <w:rsid w:val="00A258E3"/>
    <w:rsid w:val="00A26337"/>
    <w:rsid w:val="00A264A8"/>
    <w:rsid w:val="00A26563"/>
    <w:rsid w:val="00A26A82"/>
    <w:rsid w:val="00A31649"/>
    <w:rsid w:val="00A33134"/>
    <w:rsid w:val="00A3330D"/>
    <w:rsid w:val="00A34E41"/>
    <w:rsid w:val="00A35CCE"/>
    <w:rsid w:val="00A36073"/>
    <w:rsid w:val="00A370BE"/>
    <w:rsid w:val="00A37CC8"/>
    <w:rsid w:val="00A40995"/>
    <w:rsid w:val="00A41A12"/>
    <w:rsid w:val="00A46086"/>
    <w:rsid w:val="00A46662"/>
    <w:rsid w:val="00A478B7"/>
    <w:rsid w:val="00A50269"/>
    <w:rsid w:val="00A51417"/>
    <w:rsid w:val="00A5312F"/>
    <w:rsid w:val="00A54117"/>
    <w:rsid w:val="00A54818"/>
    <w:rsid w:val="00A54D8E"/>
    <w:rsid w:val="00A62A6E"/>
    <w:rsid w:val="00A6391A"/>
    <w:rsid w:val="00A64B3F"/>
    <w:rsid w:val="00A653AD"/>
    <w:rsid w:val="00A65534"/>
    <w:rsid w:val="00A66049"/>
    <w:rsid w:val="00A67924"/>
    <w:rsid w:val="00A70124"/>
    <w:rsid w:val="00A73233"/>
    <w:rsid w:val="00A73259"/>
    <w:rsid w:val="00A73F0D"/>
    <w:rsid w:val="00A7512D"/>
    <w:rsid w:val="00A77507"/>
    <w:rsid w:val="00A77C88"/>
    <w:rsid w:val="00A77EE0"/>
    <w:rsid w:val="00A80224"/>
    <w:rsid w:val="00A80BCF"/>
    <w:rsid w:val="00A810F3"/>
    <w:rsid w:val="00A8213D"/>
    <w:rsid w:val="00A8259B"/>
    <w:rsid w:val="00A83A94"/>
    <w:rsid w:val="00A8499D"/>
    <w:rsid w:val="00A850C1"/>
    <w:rsid w:val="00A86A0C"/>
    <w:rsid w:val="00A87616"/>
    <w:rsid w:val="00A87EFE"/>
    <w:rsid w:val="00A91D02"/>
    <w:rsid w:val="00A91F6F"/>
    <w:rsid w:val="00A9282B"/>
    <w:rsid w:val="00A92F12"/>
    <w:rsid w:val="00A95361"/>
    <w:rsid w:val="00A96234"/>
    <w:rsid w:val="00AA1914"/>
    <w:rsid w:val="00AA2941"/>
    <w:rsid w:val="00AA53BF"/>
    <w:rsid w:val="00AA5B29"/>
    <w:rsid w:val="00AA6A37"/>
    <w:rsid w:val="00AA6B14"/>
    <w:rsid w:val="00AB04AF"/>
    <w:rsid w:val="00AB195A"/>
    <w:rsid w:val="00AB34F4"/>
    <w:rsid w:val="00AB3AFA"/>
    <w:rsid w:val="00AB5312"/>
    <w:rsid w:val="00AB5525"/>
    <w:rsid w:val="00AB663B"/>
    <w:rsid w:val="00AB6E82"/>
    <w:rsid w:val="00AC035E"/>
    <w:rsid w:val="00AC04A2"/>
    <w:rsid w:val="00AC0AAF"/>
    <w:rsid w:val="00AC0E4E"/>
    <w:rsid w:val="00AC13A4"/>
    <w:rsid w:val="00AC1886"/>
    <w:rsid w:val="00AC1EA7"/>
    <w:rsid w:val="00AC30E6"/>
    <w:rsid w:val="00AC3E6B"/>
    <w:rsid w:val="00AC5611"/>
    <w:rsid w:val="00AD0379"/>
    <w:rsid w:val="00AD1AA2"/>
    <w:rsid w:val="00AD234E"/>
    <w:rsid w:val="00AD2A27"/>
    <w:rsid w:val="00AD34A3"/>
    <w:rsid w:val="00AD53BD"/>
    <w:rsid w:val="00AD5F5A"/>
    <w:rsid w:val="00AD7B3F"/>
    <w:rsid w:val="00AE0144"/>
    <w:rsid w:val="00AE1A75"/>
    <w:rsid w:val="00AE29A5"/>
    <w:rsid w:val="00AE4963"/>
    <w:rsid w:val="00AE62DF"/>
    <w:rsid w:val="00AE6592"/>
    <w:rsid w:val="00AE7AAF"/>
    <w:rsid w:val="00AF0992"/>
    <w:rsid w:val="00AF2474"/>
    <w:rsid w:val="00AF33D3"/>
    <w:rsid w:val="00AF3F13"/>
    <w:rsid w:val="00AF4164"/>
    <w:rsid w:val="00AF4DD4"/>
    <w:rsid w:val="00AF6C28"/>
    <w:rsid w:val="00AF741C"/>
    <w:rsid w:val="00AF746D"/>
    <w:rsid w:val="00AF7A69"/>
    <w:rsid w:val="00B00254"/>
    <w:rsid w:val="00B00E0F"/>
    <w:rsid w:val="00B016AC"/>
    <w:rsid w:val="00B016B4"/>
    <w:rsid w:val="00B018AF"/>
    <w:rsid w:val="00B022BA"/>
    <w:rsid w:val="00B04D8E"/>
    <w:rsid w:val="00B053F4"/>
    <w:rsid w:val="00B110C1"/>
    <w:rsid w:val="00B11341"/>
    <w:rsid w:val="00B114A0"/>
    <w:rsid w:val="00B114F0"/>
    <w:rsid w:val="00B12060"/>
    <w:rsid w:val="00B12A23"/>
    <w:rsid w:val="00B12A7B"/>
    <w:rsid w:val="00B1374F"/>
    <w:rsid w:val="00B14911"/>
    <w:rsid w:val="00B20E30"/>
    <w:rsid w:val="00B2111D"/>
    <w:rsid w:val="00B217FC"/>
    <w:rsid w:val="00B2217A"/>
    <w:rsid w:val="00B2233D"/>
    <w:rsid w:val="00B24DB8"/>
    <w:rsid w:val="00B254FD"/>
    <w:rsid w:val="00B2563B"/>
    <w:rsid w:val="00B25AE9"/>
    <w:rsid w:val="00B2639D"/>
    <w:rsid w:val="00B27009"/>
    <w:rsid w:val="00B306E6"/>
    <w:rsid w:val="00B307CF"/>
    <w:rsid w:val="00B31474"/>
    <w:rsid w:val="00B32839"/>
    <w:rsid w:val="00B32EAF"/>
    <w:rsid w:val="00B331D0"/>
    <w:rsid w:val="00B333E6"/>
    <w:rsid w:val="00B35CA3"/>
    <w:rsid w:val="00B35EE2"/>
    <w:rsid w:val="00B36079"/>
    <w:rsid w:val="00B369CB"/>
    <w:rsid w:val="00B41821"/>
    <w:rsid w:val="00B42022"/>
    <w:rsid w:val="00B45493"/>
    <w:rsid w:val="00B45D43"/>
    <w:rsid w:val="00B46738"/>
    <w:rsid w:val="00B514ED"/>
    <w:rsid w:val="00B51A8D"/>
    <w:rsid w:val="00B51BF0"/>
    <w:rsid w:val="00B54661"/>
    <w:rsid w:val="00B54F1C"/>
    <w:rsid w:val="00B5560C"/>
    <w:rsid w:val="00B56ACF"/>
    <w:rsid w:val="00B57EBF"/>
    <w:rsid w:val="00B6064D"/>
    <w:rsid w:val="00B613DB"/>
    <w:rsid w:val="00B62BD2"/>
    <w:rsid w:val="00B63ABD"/>
    <w:rsid w:val="00B63D0F"/>
    <w:rsid w:val="00B647C0"/>
    <w:rsid w:val="00B65E04"/>
    <w:rsid w:val="00B67744"/>
    <w:rsid w:val="00B6794F"/>
    <w:rsid w:val="00B72D5F"/>
    <w:rsid w:val="00B73389"/>
    <w:rsid w:val="00B7367D"/>
    <w:rsid w:val="00B73E01"/>
    <w:rsid w:val="00B761D6"/>
    <w:rsid w:val="00B763E3"/>
    <w:rsid w:val="00B76A12"/>
    <w:rsid w:val="00B76CC0"/>
    <w:rsid w:val="00B814B0"/>
    <w:rsid w:val="00B825DE"/>
    <w:rsid w:val="00B84B7D"/>
    <w:rsid w:val="00B85774"/>
    <w:rsid w:val="00B90AEA"/>
    <w:rsid w:val="00B92ADB"/>
    <w:rsid w:val="00B92AE6"/>
    <w:rsid w:val="00B92BA2"/>
    <w:rsid w:val="00B9335C"/>
    <w:rsid w:val="00B93D94"/>
    <w:rsid w:val="00B9500F"/>
    <w:rsid w:val="00B954D3"/>
    <w:rsid w:val="00B95896"/>
    <w:rsid w:val="00B9618E"/>
    <w:rsid w:val="00B96E37"/>
    <w:rsid w:val="00BA0F40"/>
    <w:rsid w:val="00BA6EDA"/>
    <w:rsid w:val="00BA70B9"/>
    <w:rsid w:val="00BA70C1"/>
    <w:rsid w:val="00BA7508"/>
    <w:rsid w:val="00BA7770"/>
    <w:rsid w:val="00BA7DA7"/>
    <w:rsid w:val="00BB1103"/>
    <w:rsid w:val="00BB22C6"/>
    <w:rsid w:val="00BB399F"/>
    <w:rsid w:val="00BB504D"/>
    <w:rsid w:val="00BB71F5"/>
    <w:rsid w:val="00BC194E"/>
    <w:rsid w:val="00BC290C"/>
    <w:rsid w:val="00BC2951"/>
    <w:rsid w:val="00BC2CD3"/>
    <w:rsid w:val="00BC4508"/>
    <w:rsid w:val="00BC4EEF"/>
    <w:rsid w:val="00BD056B"/>
    <w:rsid w:val="00BD0BC9"/>
    <w:rsid w:val="00BD36B1"/>
    <w:rsid w:val="00BD4919"/>
    <w:rsid w:val="00BE1367"/>
    <w:rsid w:val="00BE24D2"/>
    <w:rsid w:val="00BE252E"/>
    <w:rsid w:val="00BE4234"/>
    <w:rsid w:val="00BE78E4"/>
    <w:rsid w:val="00BE7E9A"/>
    <w:rsid w:val="00BF1CFD"/>
    <w:rsid w:val="00BF30D8"/>
    <w:rsid w:val="00BF4887"/>
    <w:rsid w:val="00BF55ED"/>
    <w:rsid w:val="00BF5A34"/>
    <w:rsid w:val="00BF7C05"/>
    <w:rsid w:val="00BF7E06"/>
    <w:rsid w:val="00C00AAD"/>
    <w:rsid w:val="00C00B7C"/>
    <w:rsid w:val="00C00E18"/>
    <w:rsid w:val="00C00F77"/>
    <w:rsid w:val="00C01EF1"/>
    <w:rsid w:val="00C0536A"/>
    <w:rsid w:val="00C061C1"/>
    <w:rsid w:val="00C06664"/>
    <w:rsid w:val="00C11845"/>
    <w:rsid w:val="00C121DE"/>
    <w:rsid w:val="00C125DD"/>
    <w:rsid w:val="00C172FC"/>
    <w:rsid w:val="00C207AE"/>
    <w:rsid w:val="00C21F55"/>
    <w:rsid w:val="00C22617"/>
    <w:rsid w:val="00C23F80"/>
    <w:rsid w:val="00C25F00"/>
    <w:rsid w:val="00C2605C"/>
    <w:rsid w:val="00C27EC5"/>
    <w:rsid w:val="00C32053"/>
    <w:rsid w:val="00C32C27"/>
    <w:rsid w:val="00C32CC6"/>
    <w:rsid w:val="00C36A48"/>
    <w:rsid w:val="00C40805"/>
    <w:rsid w:val="00C41604"/>
    <w:rsid w:val="00C41CA6"/>
    <w:rsid w:val="00C41F4D"/>
    <w:rsid w:val="00C43133"/>
    <w:rsid w:val="00C43A28"/>
    <w:rsid w:val="00C43D50"/>
    <w:rsid w:val="00C454C4"/>
    <w:rsid w:val="00C47B56"/>
    <w:rsid w:val="00C5060B"/>
    <w:rsid w:val="00C548B1"/>
    <w:rsid w:val="00C54DC1"/>
    <w:rsid w:val="00C55E9D"/>
    <w:rsid w:val="00C56203"/>
    <w:rsid w:val="00C62307"/>
    <w:rsid w:val="00C63840"/>
    <w:rsid w:val="00C638BC"/>
    <w:rsid w:val="00C639E3"/>
    <w:rsid w:val="00C72962"/>
    <w:rsid w:val="00C73F82"/>
    <w:rsid w:val="00C745EE"/>
    <w:rsid w:val="00C747BB"/>
    <w:rsid w:val="00C75807"/>
    <w:rsid w:val="00C77595"/>
    <w:rsid w:val="00C8065B"/>
    <w:rsid w:val="00C81437"/>
    <w:rsid w:val="00C81999"/>
    <w:rsid w:val="00C82DC6"/>
    <w:rsid w:val="00C8323C"/>
    <w:rsid w:val="00C843BC"/>
    <w:rsid w:val="00C8512B"/>
    <w:rsid w:val="00C857FB"/>
    <w:rsid w:val="00C85A97"/>
    <w:rsid w:val="00C86701"/>
    <w:rsid w:val="00C87F2F"/>
    <w:rsid w:val="00C90862"/>
    <w:rsid w:val="00C91617"/>
    <w:rsid w:val="00C92C0A"/>
    <w:rsid w:val="00C94D87"/>
    <w:rsid w:val="00C95384"/>
    <w:rsid w:val="00C95888"/>
    <w:rsid w:val="00C97244"/>
    <w:rsid w:val="00C97322"/>
    <w:rsid w:val="00CA02D1"/>
    <w:rsid w:val="00CA3E31"/>
    <w:rsid w:val="00CA490C"/>
    <w:rsid w:val="00CA5AEA"/>
    <w:rsid w:val="00CA5C04"/>
    <w:rsid w:val="00CB006D"/>
    <w:rsid w:val="00CB2D9F"/>
    <w:rsid w:val="00CB45C7"/>
    <w:rsid w:val="00CB523C"/>
    <w:rsid w:val="00CB598C"/>
    <w:rsid w:val="00CB7632"/>
    <w:rsid w:val="00CC277D"/>
    <w:rsid w:val="00CC2D59"/>
    <w:rsid w:val="00CC3F97"/>
    <w:rsid w:val="00CC4DB6"/>
    <w:rsid w:val="00CC5B6D"/>
    <w:rsid w:val="00CC6021"/>
    <w:rsid w:val="00CC6A85"/>
    <w:rsid w:val="00CC6BAB"/>
    <w:rsid w:val="00CC7A9E"/>
    <w:rsid w:val="00CC7EB4"/>
    <w:rsid w:val="00CD0C73"/>
    <w:rsid w:val="00CD311B"/>
    <w:rsid w:val="00CD3FEF"/>
    <w:rsid w:val="00CD4659"/>
    <w:rsid w:val="00CD46BA"/>
    <w:rsid w:val="00CD4921"/>
    <w:rsid w:val="00CD5B38"/>
    <w:rsid w:val="00CD74E9"/>
    <w:rsid w:val="00CE0199"/>
    <w:rsid w:val="00CE0E73"/>
    <w:rsid w:val="00CE1A92"/>
    <w:rsid w:val="00CE26F6"/>
    <w:rsid w:val="00CE51BA"/>
    <w:rsid w:val="00CE579E"/>
    <w:rsid w:val="00CE5ADA"/>
    <w:rsid w:val="00CE712C"/>
    <w:rsid w:val="00CE7422"/>
    <w:rsid w:val="00CF07EF"/>
    <w:rsid w:val="00CF35D8"/>
    <w:rsid w:val="00CF37B9"/>
    <w:rsid w:val="00CF7111"/>
    <w:rsid w:val="00D007D7"/>
    <w:rsid w:val="00D03C94"/>
    <w:rsid w:val="00D064ED"/>
    <w:rsid w:val="00D121AD"/>
    <w:rsid w:val="00D12B30"/>
    <w:rsid w:val="00D13401"/>
    <w:rsid w:val="00D13D09"/>
    <w:rsid w:val="00D15548"/>
    <w:rsid w:val="00D16C87"/>
    <w:rsid w:val="00D16D16"/>
    <w:rsid w:val="00D179FF"/>
    <w:rsid w:val="00D20C63"/>
    <w:rsid w:val="00D20E96"/>
    <w:rsid w:val="00D2344F"/>
    <w:rsid w:val="00D2366D"/>
    <w:rsid w:val="00D24FEB"/>
    <w:rsid w:val="00D253D1"/>
    <w:rsid w:val="00D25CA6"/>
    <w:rsid w:val="00D27EFE"/>
    <w:rsid w:val="00D33895"/>
    <w:rsid w:val="00D357C8"/>
    <w:rsid w:val="00D4008B"/>
    <w:rsid w:val="00D4466C"/>
    <w:rsid w:val="00D4516C"/>
    <w:rsid w:val="00D46C0A"/>
    <w:rsid w:val="00D47E8F"/>
    <w:rsid w:val="00D508A1"/>
    <w:rsid w:val="00D50FF7"/>
    <w:rsid w:val="00D511D7"/>
    <w:rsid w:val="00D52B22"/>
    <w:rsid w:val="00D52D2B"/>
    <w:rsid w:val="00D52F25"/>
    <w:rsid w:val="00D53241"/>
    <w:rsid w:val="00D53327"/>
    <w:rsid w:val="00D53F28"/>
    <w:rsid w:val="00D57091"/>
    <w:rsid w:val="00D62702"/>
    <w:rsid w:val="00D65BBA"/>
    <w:rsid w:val="00D7110A"/>
    <w:rsid w:val="00D723A7"/>
    <w:rsid w:val="00D72466"/>
    <w:rsid w:val="00D73CAE"/>
    <w:rsid w:val="00D76001"/>
    <w:rsid w:val="00D77175"/>
    <w:rsid w:val="00D807B6"/>
    <w:rsid w:val="00D813D3"/>
    <w:rsid w:val="00D81808"/>
    <w:rsid w:val="00D82CB9"/>
    <w:rsid w:val="00D83776"/>
    <w:rsid w:val="00D84EAC"/>
    <w:rsid w:val="00D85DBB"/>
    <w:rsid w:val="00D862E4"/>
    <w:rsid w:val="00D90CB2"/>
    <w:rsid w:val="00D92638"/>
    <w:rsid w:val="00D929C5"/>
    <w:rsid w:val="00D92FB4"/>
    <w:rsid w:val="00D94F14"/>
    <w:rsid w:val="00D94FDF"/>
    <w:rsid w:val="00D95159"/>
    <w:rsid w:val="00D95B28"/>
    <w:rsid w:val="00D96107"/>
    <w:rsid w:val="00D97876"/>
    <w:rsid w:val="00D97E2E"/>
    <w:rsid w:val="00DA215B"/>
    <w:rsid w:val="00DA273E"/>
    <w:rsid w:val="00DA5497"/>
    <w:rsid w:val="00DA6F96"/>
    <w:rsid w:val="00DA7475"/>
    <w:rsid w:val="00DA7494"/>
    <w:rsid w:val="00DB1A9F"/>
    <w:rsid w:val="00DB5261"/>
    <w:rsid w:val="00DB57A5"/>
    <w:rsid w:val="00DB7886"/>
    <w:rsid w:val="00DC05E1"/>
    <w:rsid w:val="00DC08AF"/>
    <w:rsid w:val="00DC13AF"/>
    <w:rsid w:val="00DC428B"/>
    <w:rsid w:val="00DC4719"/>
    <w:rsid w:val="00DC5DF9"/>
    <w:rsid w:val="00DD1774"/>
    <w:rsid w:val="00DD289D"/>
    <w:rsid w:val="00DD33AB"/>
    <w:rsid w:val="00DD42C1"/>
    <w:rsid w:val="00DD48D8"/>
    <w:rsid w:val="00DD5863"/>
    <w:rsid w:val="00DD64F4"/>
    <w:rsid w:val="00DD7B5C"/>
    <w:rsid w:val="00DE0B69"/>
    <w:rsid w:val="00DE1194"/>
    <w:rsid w:val="00DE2153"/>
    <w:rsid w:val="00DE3D60"/>
    <w:rsid w:val="00DE45C4"/>
    <w:rsid w:val="00DE6914"/>
    <w:rsid w:val="00DE6CFC"/>
    <w:rsid w:val="00DE718B"/>
    <w:rsid w:val="00DF0FA4"/>
    <w:rsid w:val="00DF5BCF"/>
    <w:rsid w:val="00DF679F"/>
    <w:rsid w:val="00DF730F"/>
    <w:rsid w:val="00E03733"/>
    <w:rsid w:val="00E0391F"/>
    <w:rsid w:val="00E05FD7"/>
    <w:rsid w:val="00E06A0B"/>
    <w:rsid w:val="00E0705F"/>
    <w:rsid w:val="00E07AD3"/>
    <w:rsid w:val="00E11531"/>
    <w:rsid w:val="00E12BFD"/>
    <w:rsid w:val="00E135BC"/>
    <w:rsid w:val="00E13E7F"/>
    <w:rsid w:val="00E14195"/>
    <w:rsid w:val="00E153F3"/>
    <w:rsid w:val="00E17263"/>
    <w:rsid w:val="00E17977"/>
    <w:rsid w:val="00E2108E"/>
    <w:rsid w:val="00E229D9"/>
    <w:rsid w:val="00E2354C"/>
    <w:rsid w:val="00E279EC"/>
    <w:rsid w:val="00E306CE"/>
    <w:rsid w:val="00E31F63"/>
    <w:rsid w:val="00E3225B"/>
    <w:rsid w:val="00E325DC"/>
    <w:rsid w:val="00E326E1"/>
    <w:rsid w:val="00E33615"/>
    <w:rsid w:val="00E33D7E"/>
    <w:rsid w:val="00E342E5"/>
    <w:rsid w:val="00E353AA"/>
    <w:rsid w:val="00E35FA1"/>
    <w:rsid w:val="00E370AF"/>
    <w:rsid w:val="00E370CF"/>
    <w:rsid w:val="00E374C6"/>
    <w:rsid w:val="00E400B0"/>
    <w:rsid w:val="00E400F1"/>
    <w:rsid w:val="00E40EA9"/>
    <w:rsid w:val="00E41834"/>
    <w:rsid w:val="00E42FEB"/>
    <w:rsid w:val="00E4404F"/>
    <w:rsid w:val="00E44093"/>
    <w:rsid w:val="00E44391"/>
    <w:rsid w:val="00E44B15"/>
    <w:rsid w:val="00E45293"/>
    <w:rsid w:val="00E46A95"/>
    <w:rsid w:val="00E47CFA"/>
    <w:rsid w:val="00E52477"/>
    <w:rsid w:val="00E52655"/>
    <w:rsid w:val="00E5382F"/>
    <w:rsid w:val="00E540F9"/>
    <w:rsid w:val="00E54160"/>
    <w:rsid w:val="00E5440B"/>
    <w:rsid w:val="00E5533D"/>
    <w:rsid w:val="00E55B28"/>
    <w:rsid w:val="00E56F94"/>
    <w:rsid w:val="00E6022C"/>
    <w:rsid w:val="00E61383"/>
    <w:rsid w:val="00E64495"/>
    <w:rsid w:val="00E6488C"/>
    <w:rsid w:val="00E66881"/>
    <w:rsid w:val="00E67438"/>
    <w:rsid w:val="00E678C8"/>
    <w:rsid w:val="00E70613"/>
    <w:rsid w:val="00E70ADB"/>
    <w:rsid w:val="00E72296"/>
    <w:rsid w:val="00E747B2"/>
    <w:rsid w:val="00E75626"/>
    <w:rsid w:val="00E77A1A"/>
    <w:rsid w:val="00E8115E"/>
    <w:rsid w:val="00E811EC"/>
    <w:rsid w:val="00E81A0D"/>
    <w:rsid w:val="00E82AE2"/>
    <w:rsid w:val="00E8371E"/>
    <w:rsid w:val="00E84A52"/>
    <w:rsid w:val="00E84D1E"/>
    <w:rsid w:val="00E8727E"/>
    <w:rsid w:val="00E87B76"/>
    <w:rsid w:val="00E87E4B"/>
    <w:rsid w:val="00E87EF9"/>
    <w:rsid w:val="00E908F1"/>
    <w:rsid w:val="00E92352"/>
    <w:rsid w:val="00E93740"/>
    <w:rsid w:val="00E93764"/>
    <w:rsid w:val="00E95170"/>
    <w:rsid w:val="00E96C61"/>
    <w:rsid w:val="00E97A92"/>
    <w:rsid w:val="00EA02D7"/>
    <w:rsid w:val="00EA133E"/>
    <w:rsid w:val="00EA17CB"/>
    <w:rsid w:val="00EA2524"/>
    <w:rsid w:val="00EA2750"/>
    <w:rsid w:val="00EA28DD"/>
    <w:rsid w:val="00EA2DF1"/>
    <w:rsid w:val="00EA37AC"/>
    <w:rsid w:val="00EA7083"/>
    <w:rsid w:val="00EA7155"/>
    <w:rsid w:val="00EA7524"/>
    <w:rsid w:val="00EA77F7"/>
    <w:rsid w:val="00EB0186"/>
    <w:rsid w:val="00EB1811"/>
    <w:rsid w:val="00EB25D3"/>
    <w:rsid w:val="00EB4022"/>
    <w:rsid w:val="00EB73E1"/>
    <w:rsid w:val="00EC04BC"/>
    <w:rsid w:val="00EC1223"/>
    <w:rsid w:val="00EC176A"/>
    <w:rsid w:val="00EC17DD"/>
    <w:rsid w:val="00EC2013"/>
    <w:rsid w:val="00EC4E55"/>
    <w:rsid w:val="00EC575C"/>
    <w:rsid w:val="00EC5D5F"/>
    <w:rsid w:val="00EC5FEF"/>
    <w:rsid w:val="00EC636E"/>
    <w:rsid w:val="00EC766F"/>
    <w:rsid w:val="00EC773D"/>
    <w:rsid w:val="00EC7F37"/>
    <w:rsid w:val="00ED312D"/>
    <w:rsid w:val="00ED3B54"/>
    <w:rsid w:val="00ED7BAF"/>
    <w:rsid w:val="00EE1DEB"/>
    <w:rsid w:val="00EE555E"/>
    <w:rsid w:val="00EE574A"/>
    <w:rsid w:val="00EE584A"/>
    <w:rsid w:val="00EE5B70"/>
    <w:rsid w:val="00EE77C6"/>
    <w:rsid w:val="00EE7C64"/>
    <w:rsid w:val="00EF0B40"/>
    <w:rsid w:val="00EF1077"/>
    <w:rsid w:val="00EF17C0"/>
    <w:rsid w:val="00EF1883"/>
    <w:rsid w:val="00EF1F69"/>
    <w:rsid w:val="00EF2BE3"/>
    <w:rsid w:val="00EF4F8B"/>
    <w:rsid w:val="00EF6082"/>
    <w:rsid w:val="00EF7CA1"/>
    <w:rsid w:val="00F00350"/>
    <w:rsid w:val="00F0146A"/>
    <w:rsid w:val="00F03CA2"/>
    <w:rsid w:val="00F05667"/>
    <w:rsid w:val="00F07759"/>
    <w:rsid w:val="00F10B0F"/>
    <w:rsid w:val="00F113A9"/>
    <w:rsid w:val="00F11878"/>
    <w:rsid w:val="00F11CC8"/>
    <w:rsid w:val="00F145E2"/>
    <w:rsid w:val="00F14AE8"/>
    <w:rsid w:val="00F152B1"/>
    <w:rsid w:val="00F160F2"/>
    <w:rsid w:val="00F229DC"/>
    <w:rsid w:val="00F240A6"/>
    <w:rsid w:val="00F2451B"/>
    <w:rsid w:val="00F248B6"/>
    <w:rsid w:val="00F26098"/>
    <w:rsid w:val="00F2748D"/>
    <w:rsid w:val="00F277D6"/>
    <w:rsid w:val="00F3083F"/>
    <w:rsid w:val="00F31563"/>
    <w:rsid w:val="00F31C83"/>
    <w:rsid w:val="00F341FA"/>
    <w:rsid w:val="00F344A9"/>
    <w:rsid w:val="00F351B7"/>
    <w:rsid w:val="00F35456"/>
    <w:rsid w:val="00F3569B"/>
    <w:rsid w:val="00F407F3"/>
    <w:rsid w:val="00F413A3"/>
    <w:rsid w:val="00F420E1"/>
    <w:rsid w:val="00F42A47"/>
    <w:rsid w:val="00F43ED2"/>
    <w:rsid w:val="00F44769"/>
    <w:rsid w:val="00F45468"/>
    <w:rsid w:val="00F46125"/>
    <w:rsid w:val="00F46B44"/>
    <w:rsid w:val="00F46B6F"/>
    <w:rsid w:val="00F46E23"/>
    <w:rsid w:val="00F47C55"/>
    <w:rsid w:val="00F5075C"/>
    <w:rsid w:val="00F51428"/>
    <w:rsid w:val="00F51B2A"/>
    <w:rsid w:val="00F51B4F"/>
    <w:rsid w:val="00F52B88"/>
    <w:rsid w:val="00F537CA"/>
    <w:rsid w:val="00F538D1"/>
    <w:rsid w:val="00F5420D"/>
    <w:rsid w:val="00F54259"/>
    <w:rsid w:val="00F57E3C"/>
    <w:rsid w:val="00F60FE7"/>
    <w:rsid w:val="00F61165"/>
    <w:rsid w:val="00F62BDB"/>
    <w:rsid w:val="00F66FD9"/>
    <w:rsid w:val="00F672AB"/>
    <w:rsid w:val="00F67A5C"/>
    <w:rsid w:val="00F70817"/>
    <w:rsid w:val="00F76C4A"/>
    <w:rsid w:val="00F8182E"/>
    <w:rsid w:val="00F8187C"/>
    <w:rsid w:val="00F83853"/>
    <w:rsid w:val="00F84E5E"/>
    <w:rsid w:val="00F86A86"/>
    <w:rsid w:val="00F90964"/>
    <w:rsid w:val="00F90DAD"/>
    <w:rsid w:val="00F9232F"/>
    <w:rsid w:val="00F9242F"/>
    <w:rsid w:val="00F93247"/>
    <w:rsid w:val="00F94C2A"/>
    <w:rsid w:val="00F96FAC"/>
    <w:rsid w:val="00F971A0"/>
    <w:rsid w:val="00FA07C5"/>
    <w:rsid w:val="00FA27D2"/>
    <w:rsid w:val="00FA2C6E"/>
    <w:rsid w:val="00FA59B5"/>
    <w:rsid w:val="00FA6170"/>
    <w:rsid w:val="00FA7C65"/>
    <w:rsid w:val="00FB005C"/>
    <w:rsid w:val="00FB0229"/>
    <w:rsid w:val="00FB0436"/>
    <w:rsid w:val="00FB1CEC"/>
    <w:rsid w:val="00FB29A8"/>
    <w:rsid w:val="00FB2C3D"/>
    <w:rsid w:val="00FB392C"/>
    <w:rsid w:val="00FB4680"/>
    <w:rsid w:val="00FB4ADC"/>
    <w:rsid w:val="00FB4D4E"/>
    <w:rsid w:val="00FB6895"/>
    <w:rsid w:val="00FB7CC4"/>
    <w:rsid w:val="00FC0302"/>
    <w:rsid w:val="00FC0965"/>
    <w:rsid w:val="00FC1836"/>
    <w:rsid w:val="00FC266E"/>
    <w:rsid w:val="00FC491D"/>
    <w:rsid w:val="00FC4BCC"/>
    <w:rsid w:val="00FC561A"/>
    <w:rsid w:val="00FC58B6"/>
    <w:rsid w:val="00FC6C36"/>
    <w:rsid w:val="00FC77C8"/>
    <w:rsid w:val="00FD14EB"/>
    <w:rsid w:val="00FD183C"/>
    <w:rsid w:val="00FD58B3"/>
    <w:rsid w:val="00FD6147"/>
    <w:rsid w:val="00FD68BE"/>
    <w:rsid w:val="00FD6B06"/>
    <w:rsid w:val="00FE3FE1"/>
    <w:rsid w:val="00FE4F9D"/>
    <w:rsid w:val="00FE50BF"/>
    <w:rsid w:val="00FE5895"/>
    <w:rsid w:val="00FF02BD"/>
    <w:rsid w:val="00FF0BC0"/>
    <w:rsid w:val="00FF6728"/>
    <w:rsid w:val="00FF7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96319CC0-FE2D-410B-B402-D2EEF443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Ref,Footnotes refss,Texto de nota al pie,Appel note de bas de page,Style 13,Style 17,FR,callout,Italic"/>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381FA5"/>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381FA5"/>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A72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729F"/>
    <w:rPr>
      <w:lang w:eastAsia="en-US"/>
    </w:rPr>
  </w:style>
  <w:style w:type="character" w:styleId="Refdenotaalfinal">
    <w:name w:val="endnote reference"/>
    <w:basedOn w:val="Fuentedeprrafopredeter"/>
    <w:uiPriority w:val="99"/>
    <w:semiHidden/>
    <w:unhideWhenUsed/>
    <w:rsid w:val="000A729F"/>
    <w:rPr>
      <w:vertAlign w:val="superscript"/>
    </w:rPr>
  </w:style>
  <w:style w:type="table" w:customStyle="1" w:styleId="Tablanormal31">
    <w:name w:val="Tabla normal 31"/>
    <w:basedOn w:val="Tablanormal"/>
    <w:uiPriority w:val="43"/>
    <w:rsid w:val="006873DC"/>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46884933">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07006220">
      <w:bodyDiv w:val="1"/>
      <w:marLeft w:val="0"/>
      <w:marRight w:val="0"/>
      <w:marTop w:val="0"/>
      <w:marBottom w:val="0"/>
      <w:divBdr>
        <w:top w:val="none" w:sz="0" w:space="0" w:color="auto"/>
        <w:left w:val="none" w:sz="0" w:space="0" w:color="auto"/>
        <w:bottom w:val="none" w:sz="0" w:space="0" w:color="auto"/>
        <w:right w:val="none" w:sz="0" w:space="0" w:color="auto"/>
      </w:divBdr>
      <w:divsChild>
        <w:div w:id="1332759233">
          <w:marLeft w:val="288"/>
          <w:marRight w:val="720"/>
          <w:marTop w:val="0"/>
          <w:marBottom w:val="101"/>
          <w:divBdr>
            <w:top w:val="none" w:sz="0" w:space="0" w:color="auto"/>
            <w:left w:val="none" w:sz="0" w:space="0" w:color="auto"/>
            <w:bottom w:val="none" w:sz="0" w:space="0" w:color="auto"/>
            <w:right w:val="none" w:sz="0" w:space="0" w:color="auto"/>
          </w:divBdr>
        </w:div>
        <w:div w:id="2079356799">
          <w:marLeft w:val="288"/>
          <w:marRight w:val="720"/>
          <w:marTop w:val="0"/>
          <w:marBottom w:val="101"/>
          <w:divBdr>
            <w:top w:val="none" w:sz="0" w:space="0" w:color="auto"/>
            <w:left w:val="none" w:sz="0" w:space="0" w:color="auto"/>
            <w:bottom w:val="none" w:sz="0" w:space="0" w:color="auto"/>
            <w:right w:val="none" w:sz="0" w:space="0" w:color="auto"/>
          </w:divBdr>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A92E-B6AC-4ABB-8122-FD094ABD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1B975-AA33-4A0F-9EEB-D9932CA2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7991</Words>
  <Characters>43955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2015-02-27T18:54:00Z</cp:lastPrinted>
  <dcterms:created xsi:type="dcterms:W3CDTF">2017-09-12T19:08:00Z</dcterms:created>
  <dcterms:modified xsi:type="dcterms:W3CDTF">2017-10-09T16:48:00Z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y fmtid="{D5CDD505-2E9C-101B-9397-08002B2CF9AE}" pid="3" name="Order">
    <vt:r8>37500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