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772ED" w14:textId="62721416" w:rsidR="006E78DB" w:rsidRPr="00DD578F" w:rsidRDefault="006E78DB" w:rsidP="00DD578F">
      <w:pPr>
        <w:spacing w:after="0" w:line="360" w:lineRule="auto"/>
        <w:jc w:val="both"/>
        <w:rPr>
          <w:rFonts w:ascii="ITC Avant Garde" w:hAnsi="ITC Avant Garde" w:cs="Times New Roman"/>
          <w:b/>
        </w:rPr>
      </w:pPr>
      <w:r w:rsidRPr="00DD578F">
        <w:rPr>
          <w:rFonts w:ascii="ITC Avant Garde" w:hAnsi="ITC Avant Garde" w:cs="Times New Roman"/>
          <w:b/>
        </w:rPr>
        <w:t xml:space="preserve">ACUERDO MEDIANTE EL CUAL EL PLENO DEL INSTITUTO FEDERAL DE TELECOMUNICACIONES </w:t>
      </w:r>
      <w:r w:rsidR="00277689" w:rsidRPr="00DD578F">
        <w:rPr>
          <w:rFonts w:ascii="ITC Avant Garde" w:hAnsi="ITC Avant Garde" w:cs="Times New Roman"/>
          <w:b/>
        </w:rPr>
        <w:t>DETERMINA</w:t>
      </w:r>
      <w:r w:rsidR="00A1672A" w:rsidRPr="00DD578F">
        <w:rPr>
          <w:rFonts w:ascii="ITC Avant Garde" w:hAnsi="ITC Avant Garde" w:cs="Times New Roman"/>
          <w:b/>
        </w:rPr>
        <w:t xml:space="preserve"> </w:t>
      </w:r>
      <w:r w:rsidRPr="00DD578F">
        <w:rPr>
          <w:rFonts w:ascii="ITC Avant Garde" w:hAnsi="ITC Avant Garde" w:cs="Times New Roman"/>
          <w:b/>
        </w:rPr>
        <w:t>SOMETE</w:t>
      </w:r>
      <w:r w:rsidR="00A1672A" w:rsidRPr="00DD578F">
        <w:rPr>
          <w:rFonts w:ascii="ITC Avant Garde" w:hAnsi="ITC Avant Garde" w:cs="Times New Roman"/>
          <w:b/>
        </w:rPr>
        <w:t>R</w:t>
      </w:r>
      <w:r w:rsidRPr="00DD578F">
        <w:rPr>
          <w:rFonts w:ascii="ITC Avant Garde" w:hAnsi="ITC Avant Garde" w:cs="Times New Roman"/>
          <w:b/>
        </w:rPr>
        <w:t xml:space="preserve"> A CONSULTA PÚBLICA </w:t>
      </w:r>
      <w:r w:rsidR="00A1672A" w:rsidRPr="00DD578F">
        <w:rPr>
          <w:rFonts w:ascii="ITC Avant Garde" w:hAnsi="ITC Avant Garde" w:cs="Times New Roman"/>
          <w:b/>
        </w:rPr>
        <w:t xml:space="preserve">EL ANTEPROYECTO DE </w:t>
      </w:r>
      <w:r w:rsidRPr="00DD578F">
        <w:rPr>
          <w:rFonts w:ascii="ITC Avant Garde" w:hAnsi="ITC Avant Garde" w:cs="Times New Roman"/>
          <w:b/>
        </w:rPr>
        <w:t>LINEAMIENTOS GENERALES DE ACCESIBILIDAD A LOS SERVICIOS DE TELECOMUNICACIONES PARA USUARIOS CON DISCAPACIDAD.</w:t>
      </w:r>
    </w:p>
    <w:p w14:paraId="0601AACA" w14:textId="77777777" w:rsidR="006B1D62" w:rsidRPr="00DD578F" w:rsidRDefault="006B1D62" w:rsidP="00DD578F">
      <w:pPr>
        <w:spacing w:after="0" w:line="360" w:lineRule="auto"/>
        <w:rPr>
          <w:rFonts w:ascii="ITC Avant Garde" w:hAnsi="ITC Avant Garde" w:cs="Times New Roman"/>
          <w:b/>
        </w:rPr>
      </w:pPr>
    </w:p>
    <w:p w14:paraId="59597188" w14:textId="4CC2A649" w:rsidR="00DD578F" w:rsidRPr="00DD578F" w:rsidRDefault="006B1D62" w:rsidP="00DD578F">
      <w:pPr>
        <w:shd w:val="clear" w:color="auto" w:fill="FFFFFF"/>
        <w:spacing w:after="0" w:line="360" w:lineRule="auto"/>
        <w:jc w:val="center"/>
        <w:rPr>
          <w:rFonts w:ascii="ITC Avant Garde" w:eastAsia="Times New Roman" w:hAnsi="ITC Avant Garde" w:cs="Times"/>
          <w:b/>
          <w:bCs/>
          <w:lang w:eastAsia="es-MX"/>
        </w:rPr>
      </w:pPr>
      <w:r w:rsidRPr="00DD578F">
        <w:rPr>
          <w:rFonts w:ascii="ITC Avant Garde" w:eastAsia="Times New Roman" w:hAnsi="ITC Avant Garde" w:cs="Times"/>
          <w:b/>
          <w:bCs/>
          <w:lang w:eastAsia="es-MX"/>
        </w:rPr>
        <w:t>ANTECEDENTES</w:t>
      </w:r>
    </w:p>
    <w:p w14:paraId="201D161C" w14:textId="77777777" w:rsidR="006B1D62" w:rsidRPr="00DD578F" w:rsidRDefault="006B1D62" w:rsidP="00DD578F">
      <w:pPr>
        <w:shd w:val="clear" w:color="auto" w:fill="FFFFFF"/>
        <w:spacing w:after="0" w:line="360" w:lineRule="auto"/>
        <w:jc w:val="center"/>
        <w:rPr>
          <w:rFonts w:ascii="ITC Avant Garde" w:eastAsia="Times New Roman" w:hAnsi="ITC Avant Garde" w:cs="Times New Roman"/>
          <w:b/>
          <w:bCs/>
          <w:lang w:eastAsia="es-MX"/>
        </w:rPr>
      </w:pPr>
    </w:p>
    <w:p w14:paraId="16E5E406" w14:textId="0C0970E1"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1.-</w:t>
      </w:r>
      <w:r w:rsidRPr="00DD578F">
        <w:rPr>
          <w:rFonts w:ascii="ITC Avant Garde" w:eastAsia="Times New Roman" w:hAnsi="ITC Avant Garde" w:cs="Arial"/>
          <w:lang w:eastAsia="es-MX"/>
        </w:rPr>
        <w:t xml:space="preserve"> El 11 de junio de 2013, se publicó en el D</w:t>
      </w:r>
      <w:r w:rsidR="00C970F9" w:rsidRPr="00DD578F">
        <w:rPr>
          <w:rFonts w:ascii="ITC Avant Garde" w:eastAsia="Times New Roman" w:hAnsi="ITC Avant Garde" w:cs="Arial"/>
          <w:lang w:eastAsia="es-MX"/>
        </w:rPr>
        <w:t xml:space="preserve">iario </w:t>
      </w:r>
      <w:r w:rsidRPr="00DD578F">
        <w:rPr>
          <w:rFonts w:ascii="ITC Avant Garde" w:eastAsia="Times New Roman" w:hAnsi="ITC Avant Garde" w:cs="Arial"/>
          <w:lang w:eastAsia="es-MX"/>
        </w:rPr>
        <w:t>O</w:t>
      </w:r>
      <w:r w:rsidR="00C970F9" w:rsidRPr="00DD578F">
        <w:rPr>
          <w:rFonts w:ascii="ITC Avant Garde" w:eastAsia="Times New Roman" w:hAnsi="ITC Avant Garde" w:cs="Arial"/>
          <w:lang w:eastAsia="es-MX"/>
        </w:rPr>
        <w:t xml:space="preserve">ficial de la </w:t>
      </w:r>
      <w:r w:rsidRPr="00DD578F">
        <w:rPr>
          <w:rFonts w:ascii="ITC Avant Garde" w:eastAsia="Times New Roman" w:hAnsi="ITC Avant Garde" w:cs="Arial"/>
          <w:lang w:eastAsia="es-MX"/>
        </w:rPr>
        <w:t>F</w:t>
      </w:r>
      <w:r w:rsidR="00C970F9" w:rsidRPr="00DD578F">
        <w:rPr>
          <w:rFonts w:ascii="ITC Avant Garde" w:eastAsia="Times New Roman" w:hAnsi="ITC Avant Garde" w:cs="Arial"/>
          <w:lang w:eastAsia="es-MX"/>
        </w:rPr>
        <w:t>ederación (en lo sucesivo</w:t>
      </w:r>
      <w:r w:rsidR="00A82521" w:rsidRPr="00DD578F">
        <w:rPr>
          <w:rFonts w:ascii="ITC Avant Garde" w:eastAsia="Times New Roman" w:hAnsi="ITC Avant Garde" w:cs="Arial"/>
          <w:lang w:eastAsia="es-MX"/>
        </w:rPr>
        <w:t>, el</w:t>
      </w:r>
      <w:r w:rsidR="00C970F9" w:rsidRPr="00DD578F">
        <w:rPr>
          <w:rFonts w:ascii="ITC Avant Garde" w:eastAsia="Times New Roman" w:hAnsi="ITC Avant Garde" w:cs="Arial"/>
          <w:lang w:eastAsia="es-MX"/>
        </w:rPr>
        <w:t xml:space="preserve"> “DOF”)</w:t>
      </w:r>
      <w:r w:rsidRPr="00DD578F">
        <w:rPr>
          <w:rFonts w:ascii="ITC Avant Garde" w:eastAsia="Times New Roman" w:hAnsi="ITC Avant Garde" w:cs="Arial"/>
          <w:lang w:eastAsia="es-MX"/>
        </w:rPr>
        <w:t xml:space="preserve"> el </w:t>
      </w:r>
      <w:r w:rsidR="00A82521" w:rsidRPr="00DD578F">
        <w:rPr>
          <w:rFonts w:ascii="ITC Avant Garde" w:eastAsia="Times New Roman" w:hAnsi="ITC Avant Garde" w:cs="Arial"/>
          <w:lang w:eastAsia="es-MX"/>
        </w:rPr>
        <w:t>“</w:t>
      </w:r>
      <w:r w:rsidR="00A82521" w:rsidRPr="00DD578F">
        <w:rPr>
          <w:rFonts w:ascii="ITC Avant Garde" w:eastAsia="Times New Roman" w:hAnsi="ITC Avant Garde" w:cs="Arial"/>
          <w:i/>
          <w:lang w:eastAsia="es-MX"/>
        </w:rPr>
        <w:t xml:space="preserve">DECRETO </w:t>
      </w:r>
      <w:r w:rsidRPr="00DD578F">
        <w:rPr>
          <w:rFonts w:ascii="ITC Avant Garde" w:eastAsia="Times New Roman" w:hAnsi="ITC Avant Garde" w:cs="Arial"/>
          <w:i/>
          <w:lang w:eastAsia="es-MX"/>
        </w:rPr>
        <w:t>por el que se reforman y adicionan diversas disposiciones de los artículos 6o., 7o., 27, 28, 73, 78, 94 y 105 de la Constitución Política de los Estados Unidos Mexicanos, en materia de telecomunicaciones</w:t>
      </w:r>
      <w:r w:rsidR="00A82521" w:rsidRPr="00DD578F">
        <w:rPr>
          <w:rFonts w:ascii="ITC Avant Garde" w:eastAsia="Times New Roman" w:hAnsi="ITC Avant Garde" w:cs="Arial"/>
          <w:lang w:eastAsia="es-MX"/>
        </w:rPr>
        <w:t>”</w:t>
      </w:r>
      <w:r w:rsidR="00B76FEB">
        <w:rPr>
          <w:rFonts w:ascii="ITC Avant Garde" w:eastAsia="Times New Roman" w:hAnsi="ITC Avant Garde" w:cs="Arial"/>
          <w:lang w:eastAsia="es-MX"/>
        </w:rPr>
        <w:t xml:space="preserve"> (en lo sucesivo, el “Decreto”)</w:t>
      </w:r>
      <w:r w:rsidRPr="00DD578F">
        <w:rPr>
          <w:rFonts w:ascii="ITC Avant Garde" w:eastAsia="Times New Roman" w:hAnsi="ITC Avant Garde" w:cs="Arial"/>
          <w:lang w:eastAsia="es-MX"/>
        </w:rPr>
        <w:t>, mediante el cual se creó al Instituto Federal de Telecomunicaciones (</w:t>
      </w:r>
      <w:r w:rsidR="00A82521" w:rsidRPr="00DD578F">
        <w:rPr>
          <w:rFonts w:ascii="ITC Avant Garde" w:eastAsia="Times New Roman" w:hAnsi="ITC Avant Garde" w:cs="Arial"/>
          <w:lang w:eastAsia="es-MX"/>
        </w:rPr>
        <w:t xml:space="preserve">en lo sucesivo, </w:t>
      </w:r>
      <w:r w:rsidR="00330F81" w:rsidRPr="00DD578F">
        <w:rPr>
          <w:rFonts w:ascii="ITC Avant Garde" w:eastAsia="Times New Roman" w:hAnsi="ITC Avant Garde" w:cs="Arial"/>
          <w:lang w:eastAsia="es-MX"/>
        </w:rPr>
        <w:t>el “</w:t>
      </w:r>
      <w:r w:rsidRPr="00DD578F">
        <w:rPr>
          <w:rFonts w:ascii="ITC Avant Garde" w:eastAsia="Times New Roman" w:hAnsi="ITC Avant Garde" w:cs="Arial"/>
          <w:lang w:eastAsia="es-MX"/>
        </w:rPr>
        <w:t>Instituto</w:t>
      </w:r>
      <w:r w:rsidR="00330F81" w:rsidRPr="00DD578F">
        <w:rPr>
          <w:rFonts w:ascii="ITC Avant Garde" w:eastAsia="Times New Roman" w:hAnsi="ITC Avant Garde" w:cs="Arial"/>
          <w:lang w:eastAsia="es-MX"/>
        </w:rPr>
        <w:t>”</w:t>
      </w:r>
      <w:r w:rsidRPr="00DD578F">
        <w:rPr>
          <w:rFonts w:ascii="ITC Avant Garde" w:eastAsia="Times New Roman" w:hAnsi="ITC Avant Garde" w:cs="Arial"/>
          <w:lang w:eastAsia="es-MX"/>
        </w:rPr>
        <w:t>) como un órgano autónomo, con personalidad jurídica y patrimonio propio.</w:t>
      </w:r>
    </w:p>
    <w:p w14:paraId="0C698855" w14:textId="77777777"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p>
    <w:p w14:paraId="479FE9AA" w14:textId="76749AC7"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2.-</w:t>
      </w:r>
      <w:r w:rsidRPr="00DD578F">
        <w:rPr>
          <w:rFonts w:ascii="ITC Avant Garde" w:eastAsia="Times New Roman" w:hAnsi="ITC Avant Garde" w:cs="Arial"/>
          <w:lang w:eastAsia="es-MX"/>
        </w:rPr>
        <w:t xml:space="preserve"> El Pleno del I</w:t>
      </w:r>
      <w:r w:rsidR="00330F81" w:rsidRPr="00DD578F">
        <w:rPr>
          <w:rFonts w:ascii="ITC Avant Garde" w:eastAsia="Times New Roman" w:hAnsi="ITC Avant Garde" w:cs="Arial"/>
          <w:lang w:eastAsia="es-MX"/>
        </w:rPr>
        <w:t>nstituto</w:t>
      </w:r>
      <w:r w:rsidRPr="00DD578F">
        <w:rPr>
          <w:rFonts w:ascii="ITC Avant Garde" w:eastAsia="Times New Roman" w:hAnsi="ITC Avant Garde" w:cs="Arial"/>
          <w:lang w:eastAsia="es-MX"/>
        </w:rPr>
        <w:t xml:space="preserve"> quedó integrado el 10 de septiembre de 2013, en términos de lo dispuesto por el artículo Sexto </w:t>
      </w:r>
      <w:r w:rsidR="00A82521" w:rsidRPr="00DD578F">
        <w:rPr>
          <w:rFonts w:ascii="ITC Avant Garde" w:eastAsia="Times New Roman" w:hAnsi="ITC Avant Garde" w:cs="Arial"/>
          <w:lang w:eastAsia="es-MX"/>
        </w:rPr>
        <w:t>T</w:t>
      </w:r>
      <w:r w:rsidRPr="00DD578F">
        <w:rPr>
          <w:rFonts w:ascii="ITC Avant Garde" w:eastAsia="Times New Roman" w:hAnsi="ITC Avant Garde" w:cs="Arial"/>
          <w:lang w:eastAsia="es-MX"/>
        </w:rPr>
        <w:t>ransitorio del </w:t>
      </w:r>
      <w:r w:rsidR="00330F81" w:rsidRPr="00DD578F">
        <w:rPr>
          <w:rFonts w:ascii="ITC Avant Garde" w:eastAsia="Times New Roman" w:hAnsi="ITC Avant Garde" w:cs="Arial"/>
          <w:lang w:eastAsia="es-MX"/>
        </w:rPr>
        <w:t>Decreto</w:t>
      </w:r>
      <w:r w:rsidRPr="00DD578F">
        <w:rPr>
          <w:rFonts w:ascii="ITC Avant Garde" w:eastAsia="Times New Roman" w:hAnsi="ITC Avant Garde" w:cs="Arial"/>
          <w:lang w:eastAsia="es-MX"/>
        </w:rPr>
        <w:t xml:space="preserve">, al ratificar en esa fecha el Senado de la República a los </w:t>
      </w:r>
      <w:r w:rsidR="00A82521" w:rsidRPr="00DD578F">
        <w:rPr>
          <w:rFonts w:ascii="ITC Avant Garde" w:eastAsia="Times New Roman" w:hAnsi="ITC Avant Garde" w:cs="Arial"/>
          <w:lang w:eastAsia="es-MX"/>
        </w:rPr>
        <w:t>C</w:t>
      </w:r>
      <w:r w:rsidRPr="00DD578F">
        <w:rPr>
          <w:rFonts w:ascii="ITC Avant Garde" w:eastAsia="Times New Roman" w:hAnsi="ITC Avant Garde" w:cs="Arial"/>
          <w:lang w:eastAsia="es-MX"/>
        </w:rPr>
        <w:t>omisionados propuestos por el Ejecutivo Federal y al designar a su Presidente.</w:t>
      </w:r>
    </w:p>
    <w:p w14:paraId="5CD3EEDB" w14:textId="77777777"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p>
    <w:p w14:paraId="497F2811" w14:textId="27F55634"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3.-</w:t>
      </w:r>
      <w:r w:rsidRPr="00DD578F">
        <w:rPr>
          <w:rFonts w:ascii="ITC Avant Garde" w:eastAsia="Times New Roman" w:hAnsi="ITC Avant Garde" w:cs="Arial"/>
          <w:lang w:eastAsia="es-MX"/>
        </w:rPr>
        <w:t xml:space="preserve"> El 14 de julio de 2014</w:t>
      </w:r>
      <w:r w:rsidR="00C970F9" w:rsidRPr="00DD578F">
        <w:rPr>
          <w:rFonts w:ascii="ITC Avant Garde" w:eastAsia="Times New Roman" w:hAnsi="ITC Avant Garde" w:cs="Arial"/>
          <w:lang w:eastAsia="es-MX"/>
        </w:rPr>
        <w:t>,</w:t>
      </w:r>
      <w:r w:rsidRPr="00DD578F">
        <w:rPr>
          <w:rFonts w:ascii="ITC Avant Garde" w:eastAsia="Times New Roman" w:hAnsi="ITC Avant Garde" w:cs="Arial"/>
          <w:lang w:eastAsia="es-MX"/>
        </w:rPr>
        <w:t xml:space="preserve"> se publicó en el DOF el </w:t>
      </w:r>
      <w:r w:rsidR="00A82521" w:rsidRPr="00DD578F">
        <w:rPr>
          <w:rFonts w:ascii="ITC Avant Garde" w:eastAsia="Times New Roman" w:hAnsi="ITC Avant Garde" w:cs="Arial"/>
          <w:lang w:eastAsia="es-MX"/>
        </w:rPr>
        <w:t>“</w:t>
      </w:r>
      <w:r w:rsidR="00A82521" w:rsidRPr="00DD578F">
        <w:rPr>
          <w:rFonts w:ascii="ITC Avant Garde" w:eastAsia="Times New Roman" w:hAnsi="ITC Avant Garde" w:cs="Arial"/>
          <w:i/>
          <w:lang w:eastAsia="es-MX"/>
        </w:rPr>
        <w:t>DECRETO</w:t>
      </w:r>
      <w:r w:rsidRPr="00DD578F">
        <w:rPr>
          <w:rFonts w:ascii="ITC Avant Garde" w:eastAsia="Times New Roman" w:hAnsi="ITC Avant Garde" w:cs="Arial"/>
          <w:i/>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w:t>
      </w:r>
      <w:r w:rsidR="00A82521" w:rsidRPr="00DD578F">
        <w:rPr>
          <w:rFonts w:ascii="ITC Avant Garde" w:eastAsia="Times New Roman" w:hAnsi="ITC Avant Garde" w:cs="Arial"/>
          <w:lang w:eastAsia="es-MX"/>
        </w:rPr>
        <w:t>”</w:t>
      </w:r>
      <w:r w:rsidR="007F5937" w:rsidRPr="00DD578F">
        <w:rPr>
          <w:rFonts w:ascii="ITC Avant Garde" w:eastAsia="Times New Roman" w:hAnsi="ITC Avant Garde" w:cs="Arial"/>
          <w:lang w:eastAsia="es-MX"/>
        </w:rPr>
        <w:t xml:space="preserve"> (en lo sucesivo, la “</w:t>
      </w:r>
      <w:proofErr w:type="spellStart"/>
      <w:r w:rsidR="007F5937" w:rsidRPr="00DD578F">
        <w:rPr>
          <w:rFonts w:ascii="ITC Avant Garde" w:eastAsia="Times New Roman" w:hAnsi="ITC Avant Garde" w:cs="Arial"/>
          <w:lang w:eastAsia="es-MX"/>
        </w:rPr>
        <w:t>LFTyR</w:t>
      </w:r>
      <w:proofErr w:type="spellEnd"/>
      <w:r w:rsidR="007F5937" w:rsidRPr="00DD578F">
        <w:rPr>
          <w:rFonts w:ascii="ITC Avant Garde" w:eastAsia="Times New Roman" w:hAnsi="ITC Avant Garde" w:cs="Arial"/>
          <w:lang w:eastAsia="es-MX"/>
        </w:rPr>
        <w:t>”)</w:t>
      </w:r>
      <w:r w:rsidRPr="00DD578F">
        <w:rPr>
          <w:rFonts w:ascii="ITC Avant Garde" w:eastAsia="Times New Roman" w:hAnsi="ITC Avant Garde" w:cs="Arial"/>
          <w:lang w:eastAsia="es-MX"/>
        </w:rPr>
        <w:t xml:space="preserve">, mismo que </w:t>
      </w:r>
      <w:r w:rsidR="00A82521" w:rsidRPr="00DD578F">
        <w:rPr>
          <w:rFonts w:ascii="ITC Avant Garde" w:eastAsia="Times New Roman" w:hAnsi="ITC Avant Garde" w:cs="Arial"/>
          <w:lang w:eastAsia="es-MX"/>
        </w:rPr>
        <w:t xml:space="preserve">entró </w:t>
      </w:r>
      <w:r w:rsidRPr="00DD578F">
        <w:rPr>
          <w:rFonts w:ascii="ITC Avant Garde" w:eastAsia="Times New Roman" w:hAnsi="ITC Avant Garde" w:cs="Arial"/>
          <w:lang w:eastAsia="es-MX"/>
        </w:rPr>
        <w:t>en vigor el 13 de agosto de 2014.</w:t>
      </w:r>
    </w:p>
    <w:p w14:paraId="2E30EC38" w14:textId="77777777"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p>
    <w:p w14:paraId="25E2E43B" w14:textId="077D53F9" w:rsidR="006B1D62" w:rsidRPr="00DD578F" w:rsidRDefault="006B1D6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4.-</w:t>
      </w:r>
      <w:r w:rsidRPr="00DD578F">
        <w:rPr>
          <w:rFonts w:ascii="ITC Avant Garde" w:eastAsia="Times New Roman" w:hAnsi="ITC Avant Garde" w:cs="Arial"/>
          <w:lang w:eastAsia="es-MX"/>
        </w:rPr>
        <w:t xml:space="preserve"> </w:t>
      </w:r>
      <w:r w:rsidR="00CE769F" w:rsidRPr="00DD578F">
        <w:rPr>
          <w:rFonts w:ascii="ITC Avant Garde" w:eastAsia="Times New Roman" w:hAnsi="ITC Avant Garde" w:cs="Arial"/>
          <w:lang w:eastAsia="es-MX"/>
        </w:rPr>
        <w:t>El 4 de septiembre de 2014, se publicó en el DOF el “</w:t>
      </w:r>
      <w:r w:rsidR="00A82521" w:rsidRPr="00DD578F">
        <w:rPr>
          <w:rFonts w:ascii="ITC Avant Garde" w:eastAsia="Times New Roman" w:hAnsi="ITC Avant Garde" w:cs="Arial"/>
          <w:i/>
          <w:lang w:eastAsia="es-MX"/>
        </w:rPr>
        <w:t xml:space="preserve">ESTATUTO </w:t>
      </w:r>
      <w:r w:rsidR="00CE769F" w:rsidRPr="00DD578F">
        <w:rPr>
          <w:rFonts w:ascii="ITC Avant Garde" w:eastAsia="Times New Roman" w:hAnsi="ITC Avant Garde" w:cs="Arial"/>
          <w:i/>
          <w:lang w:eastAsia="es-MX"/>
        </w:rPr>
        <w:t xml:space="preserve">Orgánico del Instituto Federal de Telecomunicaciones” </w:t>
      </w:r>
      <w:r w:rsidR="00CE769F" w:rsidRPr="00DD578F">
        <w:rPr>
          <w:rFonts w:ascii="ITC Avant Garde" w:eastAsia="Times New Roman" w:hAnsi="ITC Avant Garde" w:cs="Arial"/>
          <w:lang w:eastAsia="es-MX"/>
        </w:rPr>
        <w:t>(</w:t>
      </w:r>
      <w:r w:rsidR="00A82521" w:rsidRPr="00DD578F">
        <w:rPr>
          <w:rFonts w:ascii="ITC Avant Garde" w:eastAsia="Times New Roman" w:hAnsi="ITC Avant Garde" w:cs="Arial"/>
          <w:lang w:eastAsia="es-MX"/>
        </w:rPr>
        <w:t xml:space="preserve">en lo sucesivo, </w:t>
      </w:r>
      <w:r w:rsidR="00CE769F" w:rsidRPr="00DD578F">
        <w:rPr>
          <w:rFonts w:ascii="ITC Avant Garde" w:eastAsia="Times New Roman" w:hAnsi="ITC Avant Garde" w:cs="Arial"/>
          <w:lang w:eastAsia="es-MX"/>
        </w:rPr>
        <w:t>el “Estatuto”), mismo que entró en vigor el 26 de septiembre de 2014.</w:t>
      </w:r>
    </w:p>
    <w:p w14:paraId="6196A393" w14:textId="77777777" w:rsidR="000E289A" w:rsidRPr="00DD578F" w:rsidRDefault="000E289A" w:rsidP="00DD578F">
      <w:pPr>
        <w:shd w:val="clear" w:color="auto" w:fill="FFFFFF"/>
        <w:spacing w:after="0" w:line="360" w:lineRule="auto"/>
        <w:jc w:val="both"/>
        <w:rPr>
          <w:rFonts w:ascii="ITC Avant Garde" w:eastAsia="Times New Roman" w:hAnsi="ITC Avant Garde" w:cs="Arial"/>
          <w:lang w:eastAsia="es-MX"/>
        </w:rPr>
      </w:pPr>
    </w:p>
    <w:p w14:paraId="1A1676C2" w14:textId="56531056" w:rsidR="00DD578F" w:rsidRDefault="000E289A"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lastRenderedPageBreak/>
        <w:t>5.-</w:t>
      </w:r>
      <w:r w:rsidRPr="00DD578F">
        <w:rPr>
          <w:rFonts w:ascii="ITC Avant Garde" w:eastAsia="Times New Roman" w:hAnsi="ITC Avant Garde" w:cs="Arial"/>
          <w:lang w:eastAsia="es-MX"/>
        </w:rPr>
        <w:t xml:space="preserve"> El 17 de octubre de 2014, se publicó en el DOF el “</w:t>
      </w:r>
      <w:r w:rsidRPr="00DD578F">
        <w:rPr>
          <w:rFonts w:ascii="ITC Avant Garde" w:eastAsia="Times New Roman" w:hAnsi="ITC Avant Garde" w:cs="Arial"/>
          <w:i/>
          <w:lang w:eastAsia="es-MX"/>
        </w:rPr>
        <w:t xml:space="preserve">ACUERDO por el que se modifica el Estatuto Orgánico del Instituto Federal de Telecomunicaciones”, </w:t>
      </w:r>
      <w:r w:rsidRPr="00DD578F">
        <w:rPr>
          <w:rFonts w:ascii="ITC Avant Garde" w:eastAsia="Times New Roman" w:hAnsi="ITC Avant Garde" w:cs="Arial"/>
          <w:lang w:eastAsia="es-MX"/>
        </w:rPr>
        <w:t>mismo que entró en vigor el 18 de octubre de 2014.</w:t>
      </w:r>
    </w:p>
    <w:p w14:paraId="07B7FF32" w14:textId="77777777" w:rsidR="00DD578F" w:rsidRPr="00DD578F" w:rsidRDefault="00DD578F" w:rsidP="00DD578F">
      <w:pPr>
        <w:shd w:val="clear" w:color="auto" w:fill="FFFFFF"/>
        <w:spacing w:after="0" w:line="360" w:lineRule="auto"/>
        <w:jc w:val="both"/>
        <w:rPr>
          <w:rFonts w:ascii="ITC Avant Garde" w:eastAsia="Times New Roman" w:hAnsi="ITC Avant Garde" w:cs="Arial"/>
          <w:lang w:eastAsia="es-MX"/>
        </w:rPr>
      </w:pPr>
    </w:p>
    <w:p w14:paraId="4A5E9B14" w14:textId="77777777" w:rsidR="00A667D2" w:rsidRPr="00DD578F" w:rsidRDefault="00A667D2" w:rsidP="00DD578F">
      <w:pPr>
        <w:shd w:val="clear" w:color="auto" w:fill="FFFFFF"/>
        <w:spacing w:after="0" w:line="360" w:lineRule="auto"/>
        <w:jc w:val="center"/>
        <w:rPr>
          <w:rFonts w:ascii="ITC Avant Garde" w:eastAsia="Times New Roman" w:hAnsi="ITC Avant Garde" w:cs="Times"/>
          <w:b/>
          <w:bCs/>
          <w:lang w:eastAsia="es-MX"/>
        </w:rPr>
      </w:pPr>
      <w:r w:rsidRPr="00DD578F">
        <w:rPr>
          <w:rFonts w:ascii="ITC Avant Garde" w:eastAsia="Times New Roman" w:hAnsi="ITC Avant Garde" w:cs="Times"/>
          <w:b/>
          <w:bCs/>
          <w:lang w:eastAsia="es-MX"/>
        </w:rPr>
        <w:t>CONSIDERANDO</w:t>
      </w:r>
    </w:p>
    <w:p w14:paraId="2A702FE6" w14:textId="77777777" w:rsidR="00A667D2" w:rsidRPr="00DD578F" w:rsidRDefault="00A667D2" w:rsidP="00DD578F">
      <w:pPr>
        <w:shd w:val="clear" w:color="auto" w:fill="FFFFFF"/>
        <w:spacing w:after="0" w:line="360" w:lineRule="auto"/>
        <w:jc w:val="center"/>
        <w:rPr>
          <w:rFonts w:ascii="ITC Avant Garde" w:eastAsia="Times New Roman" w:hAnsi="ITC Avant Garde" w:cs="Times New Roman"/>
          <w:b/>
          <w:bCs/>
          <w:lang w:eastAsia="es-MX"/>
        </w:rPr>
      </w:pPr>
    </w:p>
    <w:p w14:paraId="2CEA5808" w14:textId="1F5DF11C"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t xml:space="preserve">PRIMERO.- </w:t>
      </w:r>
      <w:r w:rsidRPr="00DD578F">
        <w:rPr>
          <w:rFonts w:ascii="ITC Avant Garde" w:eastAsia="Times New Roman" w:hAnsi="ITC Avant Garde" w:cs="Arial"/>
          <w:lang w:eastAsia="es-MX"/>
        </w:rPr>
        <w:t xml:space="preserve">De conformidad con los </w:t>
      </w:r>
      <w:r w:rsidRPr="00DD578F">
        <w:rPr>
          <w:rFonts w:ascii="ITC Avant Garde" w:hAnsi="ITC Avant Garde" w:cs="Arial"/>
        </w:rPr>
        <w:t xml:space="preserve">artículos 28, </w:t>
      </w:r>
      <w:r w:rsidRPr="00DD578F">
        <w:rPr>
          <w:rFonts w:ascii="ITC Avant Garde" w:eastAsia="Times New Roman" w:hAnsi="ITC Avant Garde" w:cs="Arial"/>
          <w:lang w:eastAsia="es-MX"/>
        </w:rPr>
        <w:t xml:space="preserve">párrafos décimo quinto y décimo sexto de la Constitución Política de los Estados Unidos Mexicanos (en lo sucesivo, la “Constitución”), y </w:t>
      </w:r>
      <w:r w:rsidRPr="00DD578F">
        <w:rPr>
          <w:rFonts w:ascii="ITC Avant Garde" w:hAnsi="ITC Avant Garde" w:cs="Arial"/>
        </w:rPr>
        <w:t xml:space="preserve">7 de </w:t>
      </w:r>
      <w:r w:rsidRPr="00DD578F">
        <w:rPr>
          <w:rFonts w:ascii="ITC Avant Garde" w:eastAsia="Times New Roman" w:hAnsi="ITC Avant Garde" w:cs="Arial"/>
          <w:lang w:eastAsia="es-MX"/>
        </w:rPr>
        <w:t xml:space="preserve">la </w:t>
      </w:r>
      <w:proofErr w:type="spellStart"/>
      <w:r w:rsidRPr="00DD578F">
        <w:rPr>
          <w:rFonts w:ascii="ITC Avant Garde" w:eastAsia="Times New Roman" w:hAnsi="ITC Avant Garde" w:cs="Arial"/>
          <w:lang w:eastAsia="es-MX"/>
        </w:rPr>
        <w:t>LFTyR</w:t>
      </w:r>
      <w:proofErr w:type="spellEnd"/>
      <w:r w:rsidRPr="00DD578F">
        <w:rPr>
          <w:rFonts w:ascii="ITC Avant Garde" w:eastAsia="Times New Roman" w:hAnsi="ITC Avant Garde" w:cs="Arial"/>
          <w:lang w:eastAsia="es-MX"/>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w:t>
      </w:r>
      <w:r w:rsidR="00A1672A" w:rsidRPr="00DD578F">
        <w:rPr>
          <w:rFonts w:ascii="ITC Avant Garde" w:eastAsia="Times New Roman" w:hAnsi="ITC Avant Garde" w:cs="Arial"/>
          <w:lang w:eastAsia="es-MX"/>
        </w:rPr>
        <w:t xml:space="preserve">propia </w:t>
      </w:r>
      <w:r w:rsidRPr="00DD578F">
        <w:rPr>
          <w:rFonts w:ascii="ITC Avant Garde" w:eastAsia="Times New Roman" w:hAnsi="ITC Avant Garde" w:cs="Arial"/>
          <w:lang w:eastAsia="es-MX"/>
        </w:rPr>
        <w:t xml:space="preserve">Constitución y en los términos que fija la </w:t>
      </w:r>
      <w:proofErr w:type="spellStart"/>
      <w:r w:rsidRPr="00DD578F">
        <w:rPr>
          <w:rFonts w:ascii="ITC Avant Garde" w:hAnsi="ITC Avant Garde" w:cs="Arial"/>
        </w:rPr>
        <w:t>LFTyR</w:t>
      </w:r>
      <w:proofErr w:type="spellEnd"/>
      <w:r w:rsidRPr="00DD578F">
        <w:rPr>
          <w:rFonts w:ascii="ITC Avant Garde" w:eastAsia="Times New Roman" w:hAnsi="ITC Avant Garde" w:cs="Arial"/>
          <w:lang w:eastAsia="es-MX"/>
        </w:rPr>
        <w:t xml:space="preserve"> y demás disposiciones aplicables.</w:t>
      </w:r>
    </w:p>
    <w:p w14:paraId="353FFDB4" w14:textId="77777777"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p>
    <w:p w14:paraId="72F4B136" w14:textId="77777777" w:rsidR="00A667D2" w:rsidRPr="00DD578F" w:rsidRDefault="00A667D2" w:rsidP="00DD578F">
      <w:pPr>
        <w:shd w:val="clear" w:color="auto" w:fill="FFFFFF"/>
        <w:spacing w:after="0" w:line="360" w:lineRule="auto"/>
        <w:jc w:val="both"/>
        <w:rPr>
          <w:rFonts w:ascii="ITC Avant Garde" w:hAnsi="ITC Avant Garde"/>
        </w:rPr>
      </w:pPr>
      <w:r w:rsidRPr="00DD578F">
        <w:rPr>
          <w:rFonts w:ascii="ITC Avant Garde" w:hAnsi="ITC Avant Garde"/>
        </w:rPr>
        <w:t>Además, el Instituto es también la autoridad en materia de competencia económica de los sectores de radiodifusión y telecomunicaciones, por lo que en éstos ejercerá en forma exclusiva las facultades que el artículo 28 de la Constitución y las leyes establecen para la Comisión Federal de Competencia Económica.</w:t>
      </w:r>
    </w:p>
    <w:p w14:paraId="303F681E" w14:textId="77777777"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p>
    <w:p w14:paraId="0B8A1859" w14:textId="77777777"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lang w:eastAsia="es-MX"/>
        </w:rPr>
        <w:t xml:space="preserve">Los artículos 15, fracción I y 51 de la </w:t>
      </w:r>
      <w:proofErr w:type="spellStart"/>
      <w:r w:rsidRPr="00DD578F">
        <w:rPr>
          <w:rFonts w:ascii="ITC Avant Garde" w:eastAsia="Times New Roman" w:hAnsi="ITC Avant Garde" w:cs="Arial"/>
          <w:lang w:eastAsia="es-MX"/>
        </w:rPr>
        <w:t>LFTyR</w:t>
      </w:r>
      <w:proofErr w:type="spellEnd"/>
      <w:r w:rsidRPr="00DD578F">
        <w:rPr>
          <w:rFonts w:ascii="ITC Avant Garde" w:eastAsia="Times New Roman" w:hAnsi="ITC Avant Garde" w:cs="Arial"/>
          <w:lang w:eastAsia="es-MX"/>
        </w:rPr>
        <w:t xml:space="preserve"> señala</w:t>
      </w:r>
      <w:bookmarkStart w:id="0" w:name="_GoBack"/>
      <w:bookmarkEnd w:id="0"/>
      <w:r w:rsidRPr="00DD578F">
        <w:rPr>
          <w:rFonts w:ascii="ITC Avant Garde" w:eastAsia="Times New Roman" w:hAnsi="ITC Avant Garde" w:cs="Arial"/>
          <w:lang w:eastAsia="es-MX"/>
        </w:rPr>
        <w:t>n, respectivamente, que el Instituto tiene la atribución de expedir disposiciones administrativas de carácter general y que para ello deberá realizar consultas públicas bajo los principios de transparencia y participación ciudadana.</w:t>
      </w:r>
    </w:p>
    <w:p w14:paraId="4BD4D2D1" w14:textId="77777777" w:rsidR="00A667D2" w:rsidRPr="00DD578F" w:rsidRDefault="00A667D2" w:rsidP="00DD578F">
      <w:pPr>
        <w:shd w:val="clear" w:color="auto" w:fill="FFFFFF"/>
        <w:tabs>
          <w:tab w:val="left" w:pos="1214"/>
        </w:tabs>
        <w:spacing w:after="0" w:line="360" w:lineRule="auto"/>
        <w:jc w:val="both"/>
        <w:rPr>
          <w:rFonts w:ascii="ITC Avant Garde" w:eastAsia="Times New Roman" w:hAnsi="ITC Avant Garde" w:cs="Arial"/>
          <w:lang w:eastAsia="es-MX"/>
        </w:rPr>
      </w:pPr>
    </w:p>
    <w:p w14:paraId="3EA87684" w14:textId="6E0B2742" w:rsidR="00A667D2" w:rsidRPr="00DD578F" w:rsidRDefault="00A667D2" w:rsidP="00DD578F">
      <w:pPr>
        <w:shd w:val="clear" w:color="auto" w:fill="FFFFFF"/>
        <w:tabs>
          <w:tab w:val="left" w:pos="1214"/>
        </w:tabs>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lang w:eastAsia="es-MX"/>
        </w:rPr>
        <w:t xml:space="preserve">Por lo anterior, con fundamento en los artículos 6o. y 28, párrafos décimo quinto y décimo sexto de la Constitución; 1, 2, 7, 15, fracción I, 17, fracciones I y XIII y 51 de la </w:t>
      </w:r>
      <w:proofErr w:type="spellStart"/>
      <w:r w:rsidRPr="00DD578F">
        <w:rPr>
          <w:rFonts w:ascii="ITC Avant Garde" w:eastAsia="Times New Roman" w:hAnsi="ITC Avant Garde" w:cs="Arial"/>
          <w:lang w:eastAsia="es-MX"/>
        </w:rPr>
        <w:t>LFTyR</w:t>
      </w:r>
      <w:proofErr w:type="spellEnd"/>
      <w:r w:rsidRPr="00DD578F">
        <w:rPr>
          <w:rFonts w:ascii="ITC Avant Garde" w:eastAsia="Times New Roman" w:hAnsi="ITC Avant Garde" w:cs="Arial"/>
          <w:lang w:eastAsia="es-MX"/>
        </w:rPr>
        <w:t>; 1, 4, fracción I y 6, fracción XXXVII del Estatuto, el Pleno del Instituto es competente para emitir el presente Acuerdo.</w:t>
      </w:r>
    </w:p>
    <w:p w14:paraId="5FD77095" w14:textId="77777777" w:rsidR="00A667D2" w:rsidRPr="00DD578F" w:rsidRDefault="00A667D2" w:rsidP="00DD578F">
      <w:pPr>
        <w:shd w:val="clear" w:color="auto" w:fill="FFFFFF"/>
        <w:tabs>
          <w:tab w:val="left" w:pos="1214"/>
        </w:tabs>
        <w:spacing w:after="0" w:line="360" w:lineRule="auto"/>
        <w:jc w:val="both"/>
        <w:rPr>
          <w:rFonts w:ascii="ITC Avant Garde" w:eastAsia="Times New Roman" w:hAnsi="ITC Avant Garde" w:cs="Arial"/>
          <w:lang w:eastAsia="es-MX"/>
        </w:rPr>
      </w:pPr>
    </w:p>
    <w:p w14:paraId="6706DAAB" w14:textId="77777777" w:rsidR="00A667D2" w:rsidRPr="00DD578F" w:rsidRDefault="00A667D2" w:rsidP="00DD578F">
      <w:pPr>
        <w:shd w:val="clear" w:color="auto" w:fill="FFFFFF"/>
        <w:tabs>
          <w:tab w:val="left" w:pos="1214"/>
        </w:tabs>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b/>
          <w:lang w:eastAsia="es-MX"/>
        </w:rPr>
        <w:lastRenderedPageBreak/>
        <w:t xml:space="preserve">SEGUNDO.- </w:t>
      </w:r>
      <w:r w:rsidRPr="00DD578F">
        <w:rPr>
          <w:rFonts w:ascii="ITC Avant Garde" w:eastAsia="Times New Roman" w:hAnsi="ITC Avant Garde" w:cs="Arial"/>
          <w:lang w:eastAsia="es-MX"/>
        </w:rPr>
        <w:t xml:space="preserve">El Título Noveno, Capítulo II, de la </w:t>
      </w:r>
      <w:proofErr w:type="spellStart"/>
      <w:r w:rsidRPr="00DD578F">
        <w:rPr>
          <w:rFonts w:ascii="ITC Avant Garde" w:eastAsia="Times New Roman" w:hAnsi="ITC Avant Garde" w:cs="Arial"/>
          <w:lang w:eastAsia="es-MX"/>
        </w:rPr>
        <w:t>LFTyR</w:t>
      </w:r>
      <w:proofErr w:type="spellEnd"/>
      <w:r w:rsidRPr="00DD578F">
        <w:rPr>
          <w:rFonts w:ascii="ITC Avant Garde" w:eastAsia="Times New Roman" w:hAnsi="ITC Avant Garde" w:cs="Arial"/>
          <w:lang w:eastAsia="es-MX"/>
        </w:rPr>
        <w:t xml:space="preserve"> relativo a los Derechos de los Usuarios con Discapacidad, establece en su artículo 199 que el Ejecutivo Federal y el Instituto, en sus respectivos ámbitos de competencia, promoverán que los usuarios con discapacidad tengan acceso a los servicios de telecomunicaciones en igualdad de condiciones con los demás usuarios. </w:t>
      </w:r>
    </w:p>
    <w:p w14:paraId="0CFFCA76" w14:textId="77777777" w:rsidR="00A667D2" w:rsidRPr="00DD578F" w:rsidRDefault="00A667D2" w:rsidP="00DD578F">
      <w:pPr>
        <w:shd w:val="clear" w:color="auto" w:fill="FFFFFF"/>
        <w:spacing w:after="0" w:line="360" w:lineRule="auto"/>
        <w:jc w:val="both"/>
        <w:rPr>
          <w:rFonts w:ascii="ITC Avant Garde" w:hAnsi="ITC Avant Garde"/>
        </w:rPr>
      </w:pPr>
    </w:p>
    <w:p w14:paraId="4C06B967" w14:textId="71F781B5" w:rsidR="00A667D2" w:rsidRPr="00DD578F" w:rsidRDefault="00A667D2" w:rsidP="00DD578F">
      <w:pPr>
        <w:shd w:val="clear" w:color="auto" w:fill="FFFFFF"/>
        <w:spacing w:after="0" w:line="360" w:lineRule="auto"/>
        <w:jc w:val="both"/>
        <w:rPr>
          <w:rFonts w:ascii="ITC Avant Garde" w:eastAsia="Times New Roman" w:hAnsi="ITC Avant Garde" w:cs="Arial"/>
          <w:b/>
          <w:u w:val="single"/>
          <w:lang w:eastAsia="es-MX"/>
        </w:rPr>
      </w:pPr>
      <w:r w:rsidRPr="00DD578F">
        <w:rPr>
          <w:rFonts w:ascii="ITC Avant Garde" w:eastAsia="Times New Roman" w:hAnsi="ITC Avant Garde" w:cs="Arial"/>
          <w:lang w:eastAsia="es-MX"/>
        </w:rPr>
        <w:t xml:space="preserve">Asimismo, los artículos 202 y 203 de la </w:t>
      </w:r>
      <w:proofErr w:type="spellStart"/>
      <w:r w:rsidRPr="00DD578F">
        <w:rPr>
          <w:rFonts w:ascii="ITC Avant Garde" w:eastAsia="Times New Roman" w:hAnsi="ITC Avant Garde" w:cs="Arial"/>
          <w:lang w:eastAsia="es-MX"/>
        </w:rPr>
        <w:t>LFTyR</w:t>
      </w:r>
      <w:proofErr w:type="spellEnd"/>
      <w:r w:rsidRPr="00DD578F">
        <w:rPr>
          <w:rFonts w:ascii="ITC Avant Garde" w:eastAsia="Times New Roman" w:hAnsi="ITC Avant Garde" w:cs="Arial"/>
          <w:lang w:eastAsia="es-MX"/>
        </w:rPr>
        <w:t xml:space="preserve"> establecen que el Ejecutivo Federal, de conformidad con la Estrategia Digital Nacional y el Instituto, en el ámbito de sus respectivas competencias, promoverán el acceso a las personas con discapacidad a los nuevos sistemas y tecnologías de la información y las comunicaciones, incluido el Internet, y de conformidad con los lineamientos que al efecto se emita</w:t>
      </w:r>
      <w:r w:rsidR="00A1672A" w:rsidRPr="00DD578F">
        <w:rPr>
          <w:rFonts w:ascii="ITC Avant Garde" w:eastAsia="Times New Roman" w:hAnsi="ITC Avant Garde" w:cs="Arial"/>
          <w:lang w:eastAsia="es-MX"/>
        </w:rPr>
        <w:t>n</w:t>
      </w:r>
      <w:r w:rsidRPr="00DD578F">
        <w:rPr>
          <w:rFonts w:ascii="ITC Avant Garde" w:eastAsia="Times New Roman" w:hAnsi="ITC Avant Garde" w:cs="Arial"/>
          <w:lang w:eastAsia="es-MX"/>
        </w:rPr>
        <w:t xml:space="preserve">. </w:t>
      </w:r>
      <w:r w:rsidRPr="00DD578F">
        <w:rPr>
          <w:rFonts w:ascii="ITC Avant Garde" w:eastAsia="Times New Roman" w:hAnsi="ITC Avant Garde" w:cs="Arial"/>
          <w:lang w:val="es-ES" w:eastAsia="es-MX"/>
        </w:rPr>
        <w:t>Para la definición de los lineamientos a cargo del Instituto en materia de accesibilidad para personas con discapacidad deberá atender a la normatividad y celebrar convenios con Instituciones públicas y privadas especializadas en la materia.</w:t>
      </w:r>
    </w:p>
    <w:p w14:paraId="39038886" w14:textId="77777777" w:rsidR="00A667D2" w:rsidRPr="00DD578F" w:rsidRDefault="00A667D2" w:rsidP="00DD578F">
      <w:pPr>
        <w:shd w:val="clear" w:color="auto" w:fill="FFFFFF"/>
        <w:spacing w:after="0" w:line="360" w:lineRule="auto"/>
        <w:jc w:val="both"/>
        <w:rPr>
          <w:rFonts w:ascii="ITC Avant Garde" w:hAnsi="ITC Avant Garde"/>
          <w:b/>
          <w:u w:val="single"/>
        </w:rPr>
      </w:pPr>
    </w:p>
    <w:p w14:paraId="579949EE" w14:textId="77777777"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lang w:eastAsia="es-MX"/>
        </w:rPr>
        <w:t xml:space="preserve">En virtud de lo anterior, y con fundamento en el artículo 15, fracción I de la </w:t>
      </w:r>
      <w:proofErr w:type="spellStart"/>
      <w:r w:rsidRPr="00DD578F">
        <w:rPr>
          <w:rFonts w:ascii="ITC Avant Garde" w:eastAsia="Times New Roman" w:hAnsi="ITC Avant Garde" w:cs="Arial"/>
          <w:lang w:eastAsia="es-MX"/>
        </w:rPr>
        <w:t>LFTyR</w:t>
      </w:r>
      <w:proofErr w:type="spellEnd"/>
      <w:r w:rsidRPr="00DD578F">
        <w:rPr>
          <w:rFonts w:ascii="ITC Avant Garde" w:eastAsia="Times New Roman" w:hAnsi="ITC Avant Garde" w:cs="Arial"/>
          <w:lang w:eastAsia="es-MX"/>
        </w:rPr>
        <w:t xml:space="preserve">, relativo a la expedición de disposiciones administrativas de carácter general, el Instituto debe emitir los Lineamientos Generales de Accesibilidad a los Servicios de Telecomunicaciones para los Usuarios con Discapacidad a que se refiere el artículo 203 de la </w:t>
      </w:r>
      <w:proofErr w:type="spellStart"/>
      <w:r w:rsidRPr="00DD578F">
        <w:rPr>
          <w:rFonts w:ascii="ITC Avant Garde" w:eastAsia="Times New Roman" w:hAnsi="ITC Avant Garde" w:cs="Arial"/>
          <w:lang w:eastAsia="es-MX"/>
        </w:rPr>
        <w:t>LFTyR</w:t>
      </w:r>
      <w:proofErr w:type="spellEnd"/>
      <w:r w:rsidRPr="00DD578F">
        <w:rPr>
          <w:rFonts w:ascii="ITC Avant Garde" w:eastAsia="Times New Roman" w:hAnsi="ITC Avant Garde" w:cs="Arial"/>
          <w:lang w:eastAsia="es-MX"/>
        </w:rPr>
        <w:t xml:space="preserve">, con la finalidad de promover la accesibilidad a los servicios de telecomunicaciones para personas con discapacidad. </w:t>
      </w:r>
    </w:p>
    <w:p w14:paraId="2EB613B7" w14:textId="77777777"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p>
    <w:p w14:paraId="1A1F2EAC" w14:textId="77777777" w:rsidR="00A667D2" w:rsidRPr="00DD578F" w:rsidRDefault="00A667D2" w:rsidP="00DD578F">
      <w:pPr>
        <w:spacing w:after="0" w:line="360" w:lineRule="auto"/>
        <w:jc w:val="both"/>
        <w:rPr>
          <w:rFonts w:ascii="ITC Avant Garde" w:hAnsi="ITC Avant Garde"/>
          <w:lang w:val="es-ES_tradnl"/>
        </w:rPr>
      </w:pPr>
      <w:r w:rsidRPr="00DD578F">
        <w:rPr>
          <w:rFonts w:ascii="ITC Avant Garde" w:hAnsi="ITC Avant Garde"/>
          <w:b/>
          <w:bCs/>
          <w:lang w:val="es-ES_tradnl"/>
        </w:rPr>
        <w:t xml:space="preserve">TERCERO. </w:t>
      </w:r>
      <w:r w:rsidRPr="00DD578F">
        <w:rPr>
          <w:rFonts w:ascii="ITC Avant Garde" w:hAnsi="ITC Avant Garde"/>
          <w:lang w:val="es-ES_tradnl"/>
        </w:rPr>
        <w:t xml:space="preserve">El artículo 51 de la </w:t>
      </w:r>
      <w:proofErr w:type="spellStart"/>
      <w:r w:rsidRPr="00DD578F">
        <w:rPr>
          <w:rFonts w:ascii="ITC Avant Garde" w:hAnsi="ITC Avant Garde"/>
          <w:lang w:val="es-ES_tradnl"/>
        </w:rPr>
        <w:t>LFTyR</w:t>
      </w:r>
      <w:proofErr w:type="spellEnd"/>
      <w:r w:rsidRPr="00DD578F">
        <w:rPr>
          <w:rFonts w:ascii="ITC Avant Garde" w:hAnsi="ITC Avant Garde"/>
          <w:lang w:val="es-ES_tradnl"/>
        </w:rPr>
        <w:t xml:space="preserve"> establece que para la emisión y modificación de reglas, lineamientos o disposiciones administrativas de carácter general, el Instituto deberá realizar consultas públicas bajo los principios de transparencia y participación ciudadana.</w:t>
      </w:r>
    </w:p>
    <w:p w14:paraId="394E3222" w14:textId="77777777" w:rsidR="00A667D2" w:rsidRDefault="00A667D2" w:rsidP="00DD578F">
      <w:pPr>
        <w:spacing w:after="0" w:line="360" w:lineRule="auto"/>
        <w:jc w:val="both"/>
        <w:rPr>
          <w:rFonts w:ascii="ITC Avant Garde" w:hAnsi="ITC Avant Garde"/>
        </w:rPr>
      </w:pPr>
    </w:p>
    <w:p w14:paraId="4BA68BCF" w14:textId="77777777" w:rsidR="00DD578F" w:rsidRPr="00DD578F" w:rsidRDefault="00DD578F" w:rsidP="00DD578F">
      <w:pPr>
        <w:spacing w:after="0" w:line="360" w:lineRule="auto"/>
        <w:jc w:val="both"/>
        <w:rPr>
          <w:rFonts w:ascii="ITC Avant Garde" w:hAnsi="ITC Avant Garde"/>
        </w:rPr>
      </w:pPr>
    </w:p>
    <w:p w14:paraId="07E61E4B" w14:textId="228FDA19" w:rsidR="00A667D2" w:rsidRPr="00DD578F" w:rsidRDefault="00A667D2" w:rsidP="00DD578F">
      <w:pPr>
        <w:spacing w:after="0" w:line="360" w:lineRule="auto"/>
        <w:jc w:val="both"/>
        <w:rPr>
          <w:rFonts w:ascii="ITC Avant Garde" w:hAnsi="ITC Avant Garde"/>
          <w:lang w:val="es-ES_tradnl"/>
        </w:rPr>
      </w:pPr>
      <w:r w:rsidRPr="00DD578F">
        <w:rPr>
          <w:rFonts w:ascii="ITC Avant Garde" w:hAnsi="ITC Avant Garde"/>
          <w:lang w:val="es-ES_tradnl"/>
        </w:rPr>
        <w:lastRenderedPageBreak/>
        <w:t xml:space="preserve">En este sentido, el Pleno del Instituto somete a consulta pública el </w:t>
      </w:r>
      <w:r w:rsidR="00A1672A" w:rsidRPr="00DD578F">
        <w:rPr>
          <w:rFonts w:ascii="ITC Avant Garde" w:hAnsi="ITC Avant Garde"/>
          <w:lang w:val="es-ES_tradnl"/>
        </w:rPr>
        <w:t xml:space="preserve">anteproyecto de </w:t>
      </w:r>
      <w:r w:rsidRPr="00DD578F">
        <w:rPr>
          <w:rFonts w:ascii="ITC Avant Garde" w:hAnsi="ITC Avant Garde"/>
          <w:lang w:val="es-ES_tradnl"/>
        </w:rPr>
        <w:t xml:space="preserve">“Lineamientos Generales de Accesibilidad </w:t>
      </w:r>
      <w:r w:rsidR="007F5937" w:rsidRPr="00DD578F">
        <w:rPr>
          <w:rFonts w:ascii="ITC Avant Garde" w:hAnsi="ITC Avant Garde"/>
          <w:lang w:val="es-ES_tradnl"/>
        </w:rPr>
        <w:t xml:space="preserve">a los </w:t>
      </w:r>
      <w:r w:rsidRPr="00DD578F">
        <w:rPr>
          <w:rFonts w:ascii="ITC Avant Garde" w:hAnsi="ITC Avant Garde"/>
          <w:lang w:val="es-ES_tradnl"/>
        </w:rPr>
        <w:t>Servicios de Telecomunicaciones</w:t>
      </w:r>
      <w:r w:rsidR="007F5937" w:rsidRPr="00DD578F">
        <w:rPr>
          <w:rFonts w:ascii="ITC Avant Garde" w:hAnsi="ITC Avant Garde"/>
          <w:lang w:val="es-ES_tradnl"/>
        </w:rPr>
        <w:t xml:space="preserve"> para Usuarios con Discapacidad</w:t>
      </w:r>
      <w:r w:rsidRPr="00DD578F">
        <w:rPr>
          <w:rFonts w:ascii="ITC Avant Garde" w:hAnsi="ITC Avant Garde"/>
          <w:lang w:val="es-ES_tradnl"/>
        </w:rPr>
        <w:t xml:space="preserve">”, mismo que forma parte integrante del presente Acuerdo como Anexo, el cual deberá estar sujeto a un proceso de consulta pública por un período razonable a fin de transparentar y fomentar la participación ciudadana en los procesos de emisión de disposiciones de carácter general que emita el Instituto, a efecto de dar cabal cumplimiento a lo establecido en la </w:t>
      </w:r>
      <w:proofErr w:type="spellStart"/>
      <w:r w:rsidRPr="00DD578F">
        <w:rPr>
          <w:rFonts w:ascii="ITC Avant Garde" w:hAnsi="ITC Avant Garde"/>
          <w:lang w:val="es-ES_tradnl"/>
        </w:rPr>
        <w:t>LFTyR</w:t>
      </w:r>
      <w:proofErr w:type="spellEnd"/>
      <w:r w:rsidRPr="00DD578F">
        <w:rPr>
          <w:rFonts w:ascii="ITC Avant Garde" w:hAnsi="ITC Avant Garde"/>
          <w:lang w:val="es-ES_tradnl"/>
        </w:rPr>
        <w:t>.</w:t>
      </w:r>
    </w:p>
    <w:p w14:paraId="2224D1DB" w14:textId="77777777" w:rsidR="00A667D2" w:rsidRPr="00DD578F" w:rsidRDefault="00A667D2" w:rsidP="00DD578F">
      <w:pPr>
        <w:spacing w:after="0" w:line="360" w:lineRule="auto"/>
        <w:jc w:val="both"/>
        <w:rPr>
          <w:rFonts w:ascii="ITC Avant Garde" w:hAnsi="ITC Avant Garde"/>
          <w:b/>
          <w:bCs/>
          <w:lang w:val="es-ES_tradnl"/>
        </w:rPr>
      </w:pPr>
    </w:p>
    <w:p w14:paraId="79937148" w14:textId="391B9C96" w:rsidR="00A667D2" w:rsidRPr="00DD578F" w:rsidRDefault="00A667D2" w:rsidP="00DD578F">
      <w:pPr>
        <w:shd w:val="clear" w:color="auto" w:fill="FFFFFF"/>
        <w:spacing w:after="0" w:line="360" w:lineRule="auto"/>
        <w:jc w:val="both"/>
        <w:rPr>
          <w:rFonts w:ascii="ITC Avant Garde" w:eastAsia="Times New Roman" w:hAnsi="ITC Avant Garde" w:cs="Arial"/>
          <w:lang w:eastAsia="es-MX"/>
        </w:rPr>
      </w:pPr>
      <w:r w:rsidRPr="00DD578F">
        <w:rPr>
          <w:rFonts w:ascii="ITC Avant Garde" w:eastAsia="Times New Roman" w:hAnsi="ITC Avant Garde" w:cs="Arial"/>
          <w:lang w:eastAsia="es-MX"/>
        </w:rPr>
        <w:t>Por lo anterior, con fundamento en los artículos 6o. y 28, párrafos décimo quinto y déc</w:t>
      </w:r>
      <w:r w:rsidR="00BD158A" w:rsidRPr="00DD578F">
        <w:rPr>
          <w:rFonts w:ascii="ITC Avant Garde" w:eastAsia="Times New Roman" w:hAnsi="ITC Avant Garde" w:cs="Arial"/>
          <w:lang w:eastAsia="es-MX"/>
        </w:rPr>
        <w:t>imo sexto de la Constitución</w:t>
      </w:r>
      <w:r w:rsidRPr="00DD578F">
        <w:rPr>
          <w:rFonts w:ascii="ITC Avant Garde" w:eastAsia="Times New Roman" w:hAnsi="ITC Avant Garde" w:cs="Arial"/>
          <w:lang w:eastAsia="es-MX"/>
        </w:rPr>
        <w:t>; 7, 15, fracción I, 17, fracción I, 51, 1</w:t>
      </w:r>
      <w:r w:rsidR="00BD158A" w:rsidRPr="00DD578F">
        <w:rPr>
          <w:rFonts w:ascii="ITC Avant Garde" w:eastAsia="Times New Roman" w:hAnsi="ITC Avant Garde" w:cs="Arial"/>
          <w:lang w:eastAsia="es-MX"/>
        </w:rPr>
        <w:t xml:space="preserve">99, 200, 201, 202 y 203 de la </w:t>
      </w:r>
      <w:proofErr w:type="spellStart"/>
      <w:r w:rsidR="00BD158A" w:rsidRPr="00DD578F">
        <w:rPr>
          <w:rFonts w:ascii="ITC Avant Garde" w:eastAsia="Times New Roman" w:hAnsi="ITC Avant Garde" w:cs="Arial"/>
          <w:lang w:eastAsia="es-MX"/>
        </w:rPr>
        <w:t>LFTyR</w:t>
      </w:r>
      <w:proofErr w:type="spellEnd"/>
      <w:r w:rsidRPr="00DD578F">
        <w:rPr>
          <w:rFonts w:ascii="ITC Avant Garde" w:eastAsia="Times New Roman" w:hAnsi="ITC Avant Garde" w:cs="Arial"/>
          <w:lang w:eastAsia="es-MX"/>
        </w:rPr>
        <w:t>, y 1, 4, fracción I y 6, fracción XXXVII del Estatuto, el Pleno del Instituto Federal de Telecomunicaciones emite el siguiente:</w:t>
      </w:r>
    </w:p>
    <w:p w14:paraId="286DD63D" w14:textId="77777777" w:rsidR="00A667D2" w:rsidRDefault="00A667D2" w:rsidP="00DD578F">
      <w:pPr>
        <w:shd w:val="clear" w:color="auto" w:fill="FFFFFF"/>
        <w:spacing w:after="0" w:line="360" w:lineRule="auto"/>
        <w:jc w:val="both"/>
        <w:rPr>
          <w:rFonts w:ascii="ITC Avant Garde" w:eastAsia="Times New Roman" w:hAnsi="ITC Avant Garde" w:cs="Arial"/>
          <w:lang w:eastAsia="es-MX"/>
        </w:rPr>
      </w:pPr>
    </w:p>
    <w:p w14:paraId="18C09809" w14:textId="77777777" w:rsidR="00A667D2" w:rsidRPr="00DD578F" w:rsidRDefault="00A667D2" w:rsidP="00DD578F">
      <w:pPr>
        <w:shd w:val="clear" w:color="auto" w:fill="FFFFFF"/>
        <w:spacing w:after="0" w:line="360" w:lineRule="auto"/>
        <w:jc w:val="center"/>
        <w:rPr>
          <w:rFonts w:ascii="ITC Avant Garde" w:eastAsia="Times New Roman" w:hAnsi="ITC Avant Garde" w:cs="Times"/>
          <w:b/>
          <w:bCs/>
          <w:lang w:eastAsia="es-MX"/>
        </w:rPr>
      </w:pPr>
      <w:r w:rsidRPr="00DD578F">
        <w:rPr>
          <w:rFonts w:ascii="ITC Avant Garde" w:eastAsia="Times New Roman" w:hAnsi="ITC Avant Garde" w:cs="Times"/>
          <w:b/>
          <w:bCs/>
          <w:lang w:eastAsia="es-MX"/>
        </w:rPr>
        <w:t>ACUERDO</w:t>
      </w:r>
    </w:p>
    <w:p w14:paraId="2F955BC0" w14:textId="77777777" w:rsidR="00A667D2" w:rsidRPr="00DD578F" w:rsidRDefault="00A667D2" w:rsidP="00DD578F">
      <w:pPr>
        <w:shd w:val="clear" w:color="auto" w:fill="FFFFFF"/>
        <w:spacing w:after="0" w:line="360" w:lineRule="auto"/>
        <w:jc w:val="center"/>
        <w:rPr>
          <w:rFonts w:ascii="ITC Avant Garde" w:eastAsia="Times New Roman" w:hAnsi="ITC Avant Garde" w:cs="Times New Roman"/>
          <w:b/>
          <w:bCs/>
          <w:lang w:eastAsia="es-MX"/>
        </w:rPr>
      </w:pPr>
    </w:p>
    <w:p w14:paraId="0FED9D5C" w14:textId="1F5FB304" w:rsidR="00A667D2" w:rsidRPr="00DD578F" w:rsidRDefault="00A667D2" w:rsidP="00DD578F">
      <w:pPr>
        <w:spacing w:after="0" w:line="360" w:lineRule="auto"/>
        <w:jc w:val="both"/>
        <w:rPr>
          <w:rFonts w:ascii="ITC Avant Garde" w:hAnsi="ITC Avant Garde" w:cs="Times New Roman"/>
          <w:b/>
        </w:rPr>
      </w:pPr>
      <w:r w:rsidRPr="00DD578F">
        <w:rPr>
          <w:rFonts w:ascii="ITC Avant Garde" w:eastAsia="Times New Roman" w:hAnsi="ITC Avant Garde" w:cs="Arial"/>
          <w:b/>
          <w:bCs/>
          <w:lang w:eastAsia="es-MX"/>
        </w:rPr>
        <w:t xml:space="preserve">PRIMERO.- </w:t>
      </w:r>
      <w:r w:rsidR="00710502" w:rsidRPr="00DD578F">
        <w:rPr>
          <w:rFonts w:ascii="ITC Avant Garde" w:eastAsia="Times New Roman" w:hAnsi="ITC Avant Garde" w:cs="Arial"/>
          <w:lang w:eastAsia="es-MX"/>
        </w:rPr>
        <w:t>Se determina someter</w:t>
      </w:r>
      <w:r w:rsidRPr="00DD578F">
        <w:rPr>
          <w:rFonts w:ascii="ITC Avant Garde" w:eastAsia="Times New Roman" w:hAnsi="ITC Avant Garde" w:cs="Arial"/>
          <w:lang w:eastAsia="es-MX"/>
        </w:rPr>
        <w:t xml:space="preserve"> a consulta pública, por un plazo de </w:t>
      </w:r>
      <w:r w:rsidR="008B0D97" w:rsidRPr="00DD578F">
        <w:rPr>
          <w:rFonts w:ascii="ITC Avant Garde" w:eastAsia="Times New Roman" w:hAnsi="ITC Avant Garde" w:cs="Arial"/>
          <w:lang w:eastAsia="es-MX"/>
        </w:rPr>
        <w:t>3</w:t>
      </w:r>
      <w:r w:rsidRPr="00DD578F">
        <w:rPr>
          <w:rFonts w:ascii="ITC Avant Garde" w:eastAsia="Times New Roman" w:hAnsi="ITC Avant Garde" w:cs="Arial"/>
          <w:lang w:eastAsia="es-MX"/>
        </w:rPr>
        <w:t>0 (</w:t>
      </w:r>
      <w:r w:rsidR="00C67025" w:rsidRPr="00DD578F">
        <w:rPr>
          <w:rFonts w:ascii="ITC Avant Garde" w:eastAsia="Times New Roman" w:hAnsi="ITC Avant Garde" w:cs="Arial"/>
          <w:lang w:eastAsia="es-MX"/>
        </w:rPr>
        <w:t>treinta</w:t>
      </w:r>
      <w:r w:rsidRPr="00DD578F">
        <w:rPr>
          <w:rFonts w:ascii="ITC Avant Garde" w:eastAsia="Times New Roman" w:hAnsi="ITC Avant Garde" w:cs="Arial"/>
          <w:lang w:eastAsia="es-MX"/>
        </w:rPr>
        <w:t>) días hábiles contados a partir del día hábil siguiente al de su publicación en el portal de Internet del Instituto Federal de Telecomunicaciones</w:t>
      </w:r>
      <w:r w:rsidR="00A1672A" w:rsidRPr="00DD578F">
        <w:rPr>
          <w:rFonts w:ascii="ITC Avant Garde" w:eastAsia="Times New Roman" w:hAnsi="ITC Avant Garde" w:cs="Arial"/>
          <w:lang w:eastAsia="es-MX"/>
        </w:rPr>
        <w:t xml:space="preserve"> el Anteproyecto de</w:t>
      </w:r>
      <w:r w:rsidRPr="00DD578F">
        <w:rPr>
          <w:rFonts w:ascii="ITC Avant Garde" w:eastAsia="Times New Roman" w:hAnsi="ITC Avant Garde" w:cs="Arial"/>
          <w:lang w:eastAsia="es-MX"/>
        </w:rPr>
        <w:t xml:space="preserve"> “</w:t>
      </w:r>
      <w:r w:rsidR="00620252" w:rsidRPr="00DD578F">
        <w:rPr>
          <w:rFonts w:ascii="ITC Avant Garde" w:hAnsi="ITC Avant Garde" w:cs="Times New Roman"/>
          <w:b/>
        </w:rPr>
        <w:t>LINEAMIENTOS GENERALES DE ACCESIBILIDAD A LOS SERVICIOS DE TELECOMUNICACIONES PARA USUARIOS CON DISCAPACIDAD</w:t>
      </w:r>
      <w:r w:rsidRPr="00DD578F">
        <w:rPr>
          <w:rFonts w:ascii="ITC Avant Garde" w:hAnsi="ITC Avant Garde"/>
        </w:rPr>
        <w:t xml:space="preserve">”, mismo que se agrega como </w:t>
      </w:r>
      <w:r w:rsidRPr="00DD578F">
        <w:rPr>
          <w:rFonts w:ascii="ITC Avant Garde" w:hAnsi="ITC Avant Garde"/>
          <w:b/>
        </w:rPr>
        <w:t xml:space="preserve">Anexo único </w:t>
      </w:r>
      <w:r w:rsidRPr="00DD578F">
        <w:rPr>
          <w:rFonts w:ascii="ITC Avant Garde" w:hAnsi="ITC Avant Garde"/>
        </w:rPr>
        <w:t>al presente Acuerdo.</w:t>
      </w:r>
    </w:p>
    <w:p w14:paraId="29BA8646" w14:textId="77777777" w:rsidR="00A667D2" w:rsidRPr="00DD578F" w:rsidRDefault="00A667D2" w:rsidP="00DD578F">
      <w:pPr>
        <w:shd w:val="clear" w:color="auto" w:fill="FFFFFF"/>
        <w:spacing w:after="0" w:line="360" w:lineRule="auto"/>
        <w:jc w:val="both"/>
        <w:rPr>
          <w:rFonts w:ascii="ITC Avant Garde" w:hAnsi="ITC Avant Garde"/>
        </w:rPr>
      </w:pPr>
    </w:p>
    <w:p w14:paraId="73BDF994" w14:textId="77777777" w:rsidR="00A667D2" w:rsidRPr="00DD578F" w:rsidRDefault="00A667D2" w:rsidP="00DD578F">
      <w:pPr>
        <w:shd w:val="clear" w:color="auto" w:fill="FFFFFF"/>
        <w:spacing w:after="0" w:line="360" w:lineRule="auto"/>
        <w:jc w:val="both"/>
        <w:rPr>
          <w:rFonts w:ascii="ITC Avant Garde" w:hAnsi="ITC Avant Garde"/>
        </w:rPr>
      </w:pPr>
      <w:r w:rsidRPr="00DD578F">
        <w:rPr>
          <w:rFonts w:ascii="ITC Avant Garde" w:hAnsi="ITC Avant Garde"/>
          <w:b/>
        </w:rPr>
        <w:t xml:space="preserve">SEGUNDO.- </w:t>
      </w:r>
      <w:r w:rsidRPr="00DD578F">
        <w:rPr>
          <w:rFonts w:ascii="ITC Avant Garde" w:hAnsi="ITC Avant Garde"/>
        </w:rPr>
        <w:t xml:space="preserve">Se instruye a la Coordinación General de Política del Usuario a recibir y dar la atención que corresponda, en el ámbito de sus atribuciones, a las opiniones que sean vertidas con motivo de la consulta pública materia del presente Acuerdo. </w:t>
      </w:r>
    </w:p>
    <w:p w14:paraId="5A1C8DE9" w14:textId="77777777" w:rsidR="00A667D2" w:rsidRDefault="00A667D2" w:rsidP="00DD578F">
      <w:pPr>
        <w:shd w:val="clear" w:color="auto" w:fill="FFFFFF"/>
        <w:spacing w:after="0" w:line="360" w:lineRule="auto"/>
        <w:jc w:val="both"/>
        <w:rPr>
          <w:rFonts w:ascii="ITC Avant Garde" w:hAnsi="ITC Avant Garde"/>
        </w:rPr>
      </w:pPr>
    </w:p>
    <w:p w14:paraId="147D1A42" w14:textId="77777777" w:rsidR="00A667D2" w:rsidRPr="00DD578F" w:rsidRDefault="00A667D2" w:rsidP="00DD578F">
      <w:pPr>
        <w:shd w:val="clear" w:color="auto" w:fill="FFFFFF"/>
        <w:spacing w:after="0" w:line="360" w:lineRule="auto"/>
        <w:jc w:val="both"/>
        <w:rPr>
          <w:rFonts w:ascii="ITC Avant Garde" w:hAnsi="ITC Avant Garde"/>
        </w:rPr>
      </w:pPr>
      <w:r w:rsidRPr="00DD578F">
        <w:rPr>
          <w:rFonts w:ascii="ITC Avant Garde" w:hAnsi="ITC Avant Garde"/>
          <w:b/>
        </w:rPr>
        <w:t>TERCERO.-</w:t>
      </w:r>
      <w:r w:rsidRPr="00DD578F">
        <w:rPr>
          <w:rFonts w:ascii="ITC Avant Garde" w:hAnsi="ITC Avant Garde"/>
        </w:rPr>
        <w:t xml:space="preserve"> Publíquese en la página de Internet del Instituto Federal de Telecomunicaciones. </w:t>
      </w:r>
    </w:p>
    <w:p w14:paraId="63A668DE" w14:textId="77777777" w:rsidR="00B50017" w:rsidRDefault="00B50017" w:rsidP="00B50017">
      <w:pPr>
        <w:spacing w:after="0" w:line="240" w:lineRule="auto"/>
        <w:ind w:right="44"/>
        <w:jc w:val="both"/>
        <w:rPr>
          <w:rFonts w:ascii="ITC Avant Garde" w:hAnsi="ITC Avant Garde"/>
          <w:bCs/>
          <w:sz w:val="16"/>
          <w:szCs w:val="16"/>
        </w:rPr>
      </w:pPr>
    </w:p>
    <w:p w14:paraId="3E5F3DBA" w14:textId="77777777" w:rsidR="00B50017" w:rsidRPr="00B50017" w:rsidRDefault="00B50017" w:rsidP="00B50017">
      <w:pPr>
        <w:spacing w:after="0" w:line="240" w:lineRule="auto"/>
        <w:ind w:right="44"/>
        <w:jc w:val="both"/>
        <w:rPr>
          <w:rFonts w:ascii="ITC Avant Garde" w:eastAsia="Calibri" w:hAnsi="ITC Avant Garde"/>
          <w:bCs/>
          <w:sz w:val="16"/>
          <w:szCs w:val="16"/>
        </w:rPr>
      </w:pPr>
      <w:r w:rsidRPr="00B50017">
        <w:rPr>
          <w:rFonts w:ascii="ITC Avant Garde" w:hAnsi="ITC Avant Garde"/>
          <w:bCs/>
          <w:sz w:val="16"/>
          <w:szCs w:val="16"/>
        </w:rPr>
        <w:t xml:space="preserve">El presente Acuerdo fue aprobado </w:t>
      </w:r>
      <w:r w:rsidRPr="00B50017">
        <w:rPr>
          <w:rFonts w:ascii="ITC Avant Garde" w:eastAsia="Arial Unicode MS" w:hAnsi="ITC Avant Garde"/>
          <w:sz w:val="16"/>
          <w:szCs w:val="16"/>
        </w:rPr>
        <w:t xml:space="preserve">por el Pleno del Instituto Federal de Telecomunicaciones en su XVI Sesión Ordinaria celebrada el 12 de agosto de 2015, por unanimidad de votos de los Comisionados presentes Gabriel Oswaldo Contreras Saldívar, Luis Fernando Borjón Figueroa, Ernesto Estrada González, Adriana Sofía Labardini </w:t>
      </w:r>
      <w:r w:rsidRPr="00B50017">
        <w:rPr>
          <w:rFonts w:ascii="ITC Avant Garde" w:eastAsia="Arial Unicode MS" w:hAnsi="ITC Avant Garde"/>
          <w:sz w:val="16"/>
          <w:szCs w:val="16"/>
        </w:rPr>
        <w:lastRenderedPageBreak/>
        <w:t>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P/IFT/120815/306.</w:t>
      </w:r>
    </w:p>
    <w:sectPr w:rsidR="00B50017" w:rsidRPr="00B50017" w:rsidSect="00DD578F">
      <w:footerReference w:type="default" r:id="rId8"/>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9CFC5" w14:textId="77777777" w:rsidR="00242B34" w:rsidRDefault="00242B34" w:rsidP="00D37E68">
      <w:pPr>
        <w:spacing w:after="0" w:line="240" w:lineRule="auto"/>
      </w:pPr>
      <w:r>
        <w:separator/>
      </w:r>
    </w:p>
  </w:endnote>
  <w:endnote w:type="continuationSeparator" w:id="0">
    <w:p w14:paraId="2CAC27F1" w14:textId="77777777" w:rsidR="00242B34" w:rsidRDefault="00242B34" w:rsidP="00D37E68">
      <w:pPr>
        <w:spacing w:after="0" w:line="240" w:lineRule="auto"/>
      </w:pPr>
      <w:r>
        <w:continuationSeparator/>
      </w:r>
    </w:p>
  </w:endnote>
  <w:endnote w:type="continuationNotice" w:id="1">
    <w:p w14:paraId="02ADE8B9" w14:textId="77777777" w:rsidR="00242B34" w:rsidRDefault="00242B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JULIAN">
    <w:altName w:val="Times New Roman"/>
    <w:charset w:val="00"/>
    <w:family w:val="auto"/>
    <w:pitch w:val="variable"/>
    <w:sig w:usb0="8000002F" w:usb1="0000000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AECPO+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694454"/>
      <w:docPartObj>
        <w:docPartGallery w:val="Page Numbers (Bottom of Page)"/>
        <w:docPartUnique/>
      </w:docPartObj>
    </w:sdtPr>
    <w:sdtEndPr>
      <w:rPr>
        <w:rFonts w:ascii="ITC Avant Garde" w:hAnsi="ITC Avant Garde"/>
        <w:sz w:val="20"/>
      </w:rPr>
    </w:sdtEndPr>
    <w:sdtContent>
      <w:p w14:paraId="3892F1FD" w14:textId="3D70D50F" w:rsidR="00F53F0A" w:rsidRPr="00F53F0A" w:rsidRDefault="00F53F0A">
        <w:pPr>
          <w:pStyle w:val="Piedepgina"/>
          <w:jc w:val="right"/>
          <w:rPr>
            <w:rFonts w:ascii="ITC Avant Garde" w:hAnsi="ITC Avant Garde"/>
            <w:sz w:val="20"/>
          </w:rPr>
        </w:pPr>
        <w:r w:rsidRPr="00F53F0A">
          <w:rPr>
            <w:rFonts w:ascii="ITC Avant Garde" w:hAnsi="ITC Avant Garde"/>
            <w:sz w:val="20"/>
          </w:rPr>
          <w:fldChar w:fldCharType="begin"/>
        </w:r>
        <w:r w:rsidRPr="00F53F0A">
          <w:rPr>
            <w:rFonts w:ascii="ITC Avant Garde" w:hAnsi="ITC Avant Garde"/>
            <w:sz w:val="20"/>
          </w:rPr>
          <w:instrText>PAGE   \* MERGEFORMAT</w:instrText>
        </w:r>
        <w:r w:rsidRPr="00F53F0A">
          <w:rPr>
            <w:rFonts w:ascii="ITC Avant Garde" w:hAnsi="ITC Avant Garde"/>
            <w:sz w:val="20"/>
          </w:rPr>
          <w:fldChar w:fldCharType="separate"/>
        </w:r>
        <w:r w:rsidR="00B76FEB" w:rsidRPr="00B76FEB">
          <w:rPr>
            <w:rFonts w:ascii="ITC Avant Garde" w:hAnsi="ITC Avant Garde"/>
            <w:noProof/>
            <w:sz w:val="20"/>
            <w:lang w:val="es-ES"/>
          </w:rPr>
          <w:t>5</w:t>
        </w:r>
        <w:r w:rsidRPr="00F53F0A">
          <w:rPr>
            <w:rFonts w:ascii="ITC Avant Garde" w:hAnsi="ITC Avant Garde"/>
            <w:sz w:val="20"/>
          </w:rPr>
          <w:fldChar w:fldCharType="end"/>
        </w:r>
      </w:p>
    </w:sdtContent>
  </w:sdt>
  <w:p w14:paraId="1AF799FA" w14:textId="77777777" w:rsidR="00714623" w:rsidRDefault="00714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616E3" w14:textId="77777777" w:rsidR="00242B34" w:rsidRDefault="00242B34" w:rsidP="00D37E68">
      <w:pPr>
        <w:spacing w:after="0" w:line="240" w:lineRule="auto"/>
      </w:pPr>
      <w:r>
        <w:separator/>
      </w:r>
    </w:p>
  </w:footnote>
  <w:footnote w:type="continuationSeparator" w:id="0">
    <w:p w14:paraId="6C10BCC0" w14:textId="77777777" w:rsidR="00242B34" w:rsidRDefault="00242B34" w:rsidP="00D37E68">
      <w:pPr>
        <w:spacing w:after="0" w:line="240" w:lineRule="auto"/>
      </w:pPr>
      <w:r>
        <w:continuationSeparator/>
      </w:r>
    </w:p>
  </w:footnote>
  <w:footnote w:type="continuationNotice" w:id="1">
    <w:p w14:paraId="2024C216" w14:textId="77777777" w:rsidR="00242B34" w:rsidRDefault="00242B3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06C"/>
    <w:multiLevelType w:val="hybridMultilevel"/>
    <w:tmpl w:val="281897E0"/>
    <w:lvl w:ilvl="0" w:tplc="47BA2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E096B"/>
    <w:multiLevelType w:val="hybridMultilevel"/>
    <w:tmpl w:val="B0ECD1C8"/>
    <w:lvl w:ilvl="0" w:tplc="4798E1D8">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6C7017"/>
    <w:multiLevelType w:val="hybridMultilevel"/>
    <w:tmpl w:val="F22C2C84"/>
    <w:lvl w:ilvl="0" w:tplc="7F2E86AC">
      <w:start w:val="1"/>
      <w:numFmt w:val="bullet"/>
      <w:lvlText w:val="›"/>
      <w:lvlJc w:val="left"/>
      <w:pPr>
        <w:ind w:left="720" w:hanging="360"/>
      </w:pPr>
      <w:rPr>
        <w:rFonts w:ascii="AR JULIAN" w:hAnsi="AR JULIAN" w:hint="default"/>
        <w:b/>
        <w:sz w:val="28"/>
        <w:szCs w:val="2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A5093B"/>
    <w:multiLevelType w:val="hybridMultilevel"/>
    <w:tmpl w:val="A98A8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87031"/>
    <w:multiLevelType w:val="hybridMultilevel"/>
    <w:tmpl w:val="E8D4A4A0"/>
    <w:lvl w:ilvl="0" w:tplc="1414A17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18CD2E15"/>
    <w:multiLevelType w:val="hybridMultilevel"/>
    <w:tmpl w:val="12C6B9F0"/>
    <w:lvl w:ilvl="0" w:tplc="7F2E86AC">
      <w:start w:val="1"/>
      <w:numFmt w:val="bullet"/>
      <w:lvlText w:val="›"/>
      <w:lvlJc w:val="left"/>
      <w:pPr>
        <w:ind w:left="720" w:hanging="360"/>
      </w:pPr>
      <w:rPr>
        <w:rFonts w:ascii="AR JULIAN" w:hAnsi="AR JULIAN" w:hint="default"/>
        <w:b/>
        <w:sz w:val="28"/>
        <w:szCs w:val="28"/>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21592C"/>
    <w:multiLevelType w:val="hybridMultilevel"/>
    <w:tmpl w:val="EB943236"/>
    <w:lvl w:ilvl="0" w:tplc="D1286994">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E70B22"/>
    <w:multiLevelType w:val="hybridMultilevel"/>
    <w:tmpl w:val="43E0419A"/>
    <w:lvl w:ilvl="0" w:tplc="25360C8C">
      <w:start w:val="1"/>
      <w:numFmt w:val="upperRoman"/>
      <w:lvlText w:val="%1."/>
      <w:lvlJc w:val="left"/>
      <w:pPr>
        <w:ind w:left="720" w:hanging="360"/>
      </w:pPr>
      <w:rPr>
        <w:rFonts w:hint="default"/>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A6048"/>
    <w:multiLevelType w:val="hybridMultilevel"/>
    <w:tmpl w:val="ED185CCE"/>
    <w:lvl w:ilvl="0" w:tplc="8FD438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D2B25"/>
    <w:multiLevelType w:val="hybridMultilevel"/>
    <w:tmpl w:val="81285BF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B9814F0"/>
    <w:multiLevelType w:val="multilevel"/>
    <w:tmpl w:val="D80E1D30"/>
    <w:lvl w:ilvl="0">
      <w:start w:val="1"/>
      <w:numFmt w:val="upperRoman"/>
      <w:lvlText w:val="%1."/>
      <w:lvlJc w:val="righ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D1656EF"/>
    <w:multiLevelType w:val="hybridMultilevel"/>
    <w:tmpl w:val="FA70592C"/>
    <w:lvl w:ilvl="0" w:tplc="9666344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C17C64"/>
    <w:multiLevelType w:val="multilevel"/>
    <w:tmpl w:val="D19A9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B0D1AF3"/>
    <w:multiLevelType w:val="hybridMultilevel"/>
    <w:tmpl w:val="D42046E4"/>
    <w:lvl w:ilvl="0" w:tplc="ECCE25D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8B34BCD"/>
    <w:multiLevelType w:val="hybridMultilevel"/>
    <w:tmpl w:val="26BA22A8"/>
    <w:lvl w:ilvl="0" w:tplc="8ADEE434">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F6A6D2D"/>
    <w:multiLevelType w:val="hybridMultilevel"/>
    <w:tmpl w:val="A5ECD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D4956"/>
    <w:multiLevelType w:val="hybridMultilevel"/>
    <w:tmpl w:val="780A7F9C"/>
    <w:lvl w:ilvl="0" w:tplc="080A0013">
      <w:start w:val="1"/>
      <w:numFmt w:val="upperRoman"/>
      <w:lvlText w:val="%1."/>
      <w:lvlJc w:val="righ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3C328D"/>
    <w:multiLevelType w:val="hybridMultilevel"/>
    <w:tmpl w:val="09CE6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5E36AC"/>
    <w:multiLevelType w:val="hybridMultilevel"/>
    <w:tmpl w:val="313C3A94"/>
    <w:lvl w:ilvl="0" w:tplc="2090A4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7B72F16"/>
    <w:multiLevelType w:val="hybridMultilevel"/>
    <w:tmpl w:val="0A9665B0"/>
    <w:lvl w:ilvl="0" w:tplc="861EA22C">
      <w:start w:val="1"/>
      <w:numFmt w:val="upperRoman"/>
      <w:lvlText w:val="%1."/>
      <w:lvlJc w:val="left"/>
      <w:pPr>
        <w:ind w:left="3340" w:hanging="720"/>
      </w:pPr>
      <w:rPr>
        <w:rFonts w:hint="default"/>
      </w:rPr>
    </w:lvl>
    <w:lvl w:ilvl="1" w:tplc="080A0019">
      <w:start w:val="1"/>
      <w:numFmt w:val="lowerLetter"/>
      <w:lvlText w:val="%2."/>
      <w:lvlJc w:val="left"/>
      <w:pPr>
        <w:ind w:left="3700" w:hanging="360"/>
      </w:pPr>
    </w:lvl>
    <w:lvl w:ilvl="2" w:tplc="080A001B" w:tentative="1">
      <w:start w:val="1"/>
      <w:numFmt w:val="lowerRoman"/>
      <w:lvlText w:val="%3."/>
      <w:lvlJc w:val="right"/>
      <w:pPr>
        <w:ind w:left="4420" w:hanging="180"/>
      </w:pPr>
    </w:lvl>
    <w:lvl w:ilvl="3" w:tplc="080A000F" w:tentative="1">
      <w:start w:val="1"/>
      <w:numFmt w:val="decimal"/>
      <w:lvlText w:val="%4."/>
      <w:lvlJc w:val="left"/>
      <w:pPr>
        <w:ind w:left="5140" w:hanging="360"/>
      </w:pPr>
    </w:lvl>
    <w:lvl w:ilvl="4" w:tplc="080A0019" w:tentative="1">
      <w:start w:val="1"/>
      <w:numFmt w:val="lowerLetter"/>
      <w:lvlText w:val="%5."/>
      <w:lvlJc w:val="left"/>
      <w:pPr>
        <w:ind w:left="5860" w:hanging="360"/>
      </w:pPr>
    </w:lvl>
    <w:lvl w:ilvl="5" w:tplc="080A001B" w:tentative="1">
      <w:start w:val="1"/>
      <w:numFmt w:val="lowerRoman"/>
      <w:lvlText w:val="%6."/>
      <w:lvlJc w:val="right"/>
      <w:pPr>
        <w:ind w:left="6580" w:hanging="180"/>
      </w:pPr>
    </w:lvl>
    <w:lvl w:ilvl="6" w:tplc="080A000F" w:tentative="1">
      <w:start w:val="1"/>
      <w:numFmt w:val="decimal"/>
      <w:lvlText w:val="%7."/>
      <w:lvlJc w:val="left"/>
      <w:pPr>
        <w:ind w:left="7300" w:hanging="360"/>
      </w:pPr>
    </w:lvl>
    <w:lvl w:ilvl="7" w:tplc="080A0019" w:tentative="1">
      <w:start w:val="1"/>
      <w:numFmt w:val="lowerLetter"/>
      <w:lvlText w:val="%8."/>
      <w:lvlJc w:val="left"/>
      <w:pPr>
        <w:ind w:left="8020" w:hanging="360"/>
      </w:pPr>
    </w:lvl>
    <w:lvl w:ilvl="8" w:tplc="080A001B" w:tentative="1">
      <w:start w:val="1"/>
      <w:numFmt w:val="lowerRoman"/>
      <w:lvlText w:val="%9."/>
      <w:lvlJc w:val="right"/>
      <w:pPr>
        <w:ind w:left="8740" w:hanging="180"/>
      </w:pPr>
    </w:lvl>
  </w:abstractNum>
  <w:abstractNum w:abstractNumId="20" w15:restartNumberingAfterBreak="0">
    <w:nsid w:val="68DA3039"/>
    <w:multiLevelType w:val="hybridMultilevel"/>
    <w:tmpl w:val="4F0E1D90"/>
    <w:lvl w:ilvl="0" w:tplc="966634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B46C21"/>
    <w:multiLevelType w:val="hybridMultilevel"/>
    <w:tmpl w:val="D7E4F0F8"/>
    <w:lvl w:ilvl="0" w:tplc="966634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8F08AA"/>
    <w:multiLevelType w:val="hybridMultilevel"/>
    <w:tmpl w:val="B7C0EFD2"/>
    <w:lvl w:ilvl="0" w:tplc="01206F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3EB4285"/>
    <w:multiLevelType w:val="hybridMultilevel"/>
    <w:tmpl w:val="561CDBDA"/>
    <w:lvl w:ilvl="0" w:tplc="31A8557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09230F"/>
    <w:multiLevelType w:val="hybridMultilevel"/>
    <w:tmpl w:val="36DE2AC2"/>
    <w:lvl w:ilvl="0" w:tplc="9508E6F8">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13"/>
  </w:num>
  <w:num w:numId="5">
    <w:abstractNumId w:val="23"/>
  </w:num>
  <w:num w:numId="6">
    <w:abstractNumId w:val="24"/>
  </w:num>
  <w:num w:numId="7">
    <w:abstractNumId w:val="20"/>
  </w:num>
  <w:num w:numId="8">
    <w:abstractNumId w:val="22"/>
  </w:num>
  <w:num w:numId="9">
    <w:abstractNumId w:val="19"/>
  </w:num>
  <w:num w:numId="10">
    <w:abstractNumId w:val="0"/>
  </w:num>
  <w:num w:numId="11">
    <w:abstractNumId w:val="3"/>
  </w:num>
  <w:num w:numId="12">
    <w:abstractNumId w:val="9"/>
  </w:num>
  <w:num w:numId="13">
    <w:abstractNumId w:val="2"/>
  </w:num>
  <w:num w:numId="14">
    <w:abstractNumId w:val="11"/>
  </w:num>
  <w:num w:numId="15">
    <w:abstractNumId w:val="5"/>
  </w:num>
  <w:num w:numId="16">
    <w:abstractNumId w:val="12"/>
  </w:num>
  <w:num w:numId="17">
    <w:abstractNumId w:val="21"/>
  </w:num>
  <w:num w:numId="18">
    <w:abstractNumId w:val="18"/>
  </w:num>
  <w:num w:numId="19">
    <w:abstractNumId w:val="15"/>
  </w:num>
  <w:num w:numId="20">
    <w:abstractNumId w:val="17"/>
  </w:num>
  <w:num w:numId="21">
    <w:abstractNumId w:val="8"/>
  </w:num>
  <w:num w:numId="22">
    <w:abstractNumId w:val="7"/>
  </w:num>
  <w:num w:numId="23">
    <w:abstractNumId w:val="10"/>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30"/>
    <w:rsid w:val="000021A5"/>
    <w:rsid w:val="00005B6C"/>
    <w:rsid w:val="000072E1"/>
    <w:rsid w:val="000121BB"/>
    <w:rsid w:val="0001316F"/>
    <w:rsid w:val="000135A0"/>
    <w:rsid w:val="00015B28"/>
    <w:rsid w:val="000203D0"/>
    <w:rsid w:val="00024776"/>
    <w:rsid w:val="00025636"/>
    <w:rsid w:val="00033976"/>
    <w:rsid w:val="0003430C"/>
    <w:rsid w:val="00034521"/>
    <w:rsid w:val="00036729"/>
    <w:rsid w:val="000373A1"/>
    <w:rsid w:val="000406C1"/>
    <w:rsid w:val="00042643"/>
    <w:rsid w:val="0005046F"/>
    <w:rsid w:val="00050E35"/>
    <w:rsid w:val="0005550E"/>
    <w:rsid w:val="000619CF"/>
    <w:rsid w:val="000658FA"/>
    <w:rsid w:val="00066F24"/>
    <w:rsid w:val="000726A5"/>
    <w:rsid w:val="00072B6C"/>
    <w:rsid w:val="00074075"/>
    <w:rsid w:val="00074403"/>
    <w:rsid w:val="00076BCE"/>
    <w:rsid w:val="00083852"/>
    <w:rsid w:val="00085C07"/>
    <w:rsid w:val="000862E8"/>
    <w:rsid w:val="000875BC"/>
    <w:rsid w:val="000943FC"/>
    <w:rsid w:val="00094437"/>
    <w:rsid w:val="00095905"/>
    <w:rsid w:val="000A0C33"/>
    <w:rsid w:val="000B052F"/>
    <w:rsid w:val="000B6445"/>
    <w:rsid w:val="000C2882"/>
    <w:rsid w:val="000C3782"/>
    <w:rsid w:val="000C3A78"/>
    <w:rsid w:val="000C49F3"/>
    <w:rsid w:val="000D0176"/>
    <w:rsid w:val="000D4858"/>
    <w:rsid w:val="000D6F5D"/>
    <w:rsid w:val="000E0BFA"/>
    <w:rsid w:val="000E0E3B"/>
    <w:rsid w:val="000E289A"/>
    <w:rsid w:val="000E2C85"/>
    <w:rsid w:val="000E46F3"/>
    <w:rsid w:val="000E4973"/>
    <w:rsid w:val="000E5768"/>
    <w:rsid w:val="000F4AEB"/>
    <w:rsid w:val="000F5489"/>
    <w:rsid w:val="000F5857"/>
    <w:rsid w:val="000F5C2B"/>
    <w:rsid w:val="000F6825"/>
    <w:rsid w:val="000F6BB8"/>
    <w:rsid w:val="001022D9"/>
    <w:rsid w:val="00106918"/>
    <w:rsid w:val="0010698C"/>
    <w:rsid w:val="00106D63"/>
    <w:rsid w:val="001075B4"/>
    <w:rsid w:val="00113619"/>
    <w:rsid w:val="001168A4"/>
    <w:rsid w:val="001229E7"/>
    <w:rsid w:val="001252CB"/>
    <w:rsid w:val="001257D1"/>
    <w:rsid w:val="00126B1D"/>
    <w:rsid w:val="001328A1"/>
    <w:rsid w:val="001367B1"/>
    <w:rsid w:val="0013771F"/>
    <w:rsid w:val="001400B1"/>
    <w:rsid w:val="0014397F"/>
    <w:rsid w:val="001472EA"/>
    <w:rsid w:val="00147B55"/>
    <w:rsid w:val="001545C1"/>
    <w:rsid w:val="00160E46"/>
    <w:rsid w:val="0016651E"/>
    <w:rsid w:val="00166FFF"/>
    <w:rsid w:val="0016774E"/>
    <w:rsid w:val="00170342"/>
    <w:rsid w:val="00173BA6"/>
    <w:rsid w:val="0018092C"/>
    <w:rsid w:val="00184D8B"/>
    <w:rsid w:val="00186DEC"/>
    <w:rsid w:val="00194F0F"/>
    <w:rsid w:val="00195A06"/>
    <w:rsid w:val="001A6D23"/>
    <w:rsid w:val="001B5577"/>
    <w:rsid w:val="001C2B09"/>
    <w:rsid w:val="001C5BF7"/>
    <w:rsid w:val="001D2B79"/>
    <w:rsid w:val="001D6C02"/>
    <w:rsid w:val="001D71C4"/>
    <w:rsid w:val="001E0A3F"/>
    <w:rsid w:val="001E306C"/>
    <w:rsid w:val="001E4199"/>
    <w:rsid w:val="001F1C9D"/>
    <w:rsid w:val="001F1CF4"/>
    <w:rsid w:val="0020136A"/>
    <w:rsid w:val="00207551"/>
    <w:rsid w:val="00213A63"/>
    <w:rsid w:val="00215410"/>
    <w:rsid w:val="00215CC3"/>
    <w:rsid w:val="00222D63"/>
    <w:rsid w:val="002271AF"/>
    <w:rsid w:val="00231745"/>
    <w:rsid w:val="00234096"/>
    <w:rsid w:val="00234354"/>
    <w:rsid w:val="002348F1"/>
    <w:rsid w:val="00236772"/>
    <w:rsid w:val="00240CFF"/>
    <w:rsid w:val="002426C9"/>
    <w:rsid w:val="00242B34"/>
    <w:rsid w:val="00243A0D"/>
    <w:rsid w:val="00244769"/>
    <w:rsid w:val="00251C2D"/>
    <w:rsid w:val="00257822"/>
    <w:rsid w:val="002618FD"/>
    <w:rsid w:val="002659E8"/>
    <w:rsid w:val="00265C14"/>
    <w:rsid w:val="002762E1"/>
    <w:rsid w:val="00277689"/>
    <w:rsid w:val="00287762"/>
    <w:rsid w:val="002A3161"/>
    <w:rsid w:val="002A33B7"/>
    <w:rsid w:val="002A7A1E"/>
    <w:rsid w:val="002B3491"/>
    <w:rsid w:val="002B56C8"/>
    <w:rsid w:val="002C1FCE"/>
    <w:rsid w:val="002C3B7A"/>
    <w:rsid w:val="002C4AFE"/>
    <w:rsid w:val="002D1C45"/>
    <w:rsid w:val="002D24C5"/>
    <w:rsid w:val="002D2BFD"/>
    <w:rsid w:val="002D569E"/>
    <w:rsid w:val="002E232A"/>
    <w:rsid w:val="002E6F6F"/>
    <w:rsid w:val="002E7E37"/>
    <w:rsid w:val="002F4136"/>
    <w:rsid w:val="002F4BD8"/>
    <w:rsid w:val="002F661B"/>
    <w:rsid w:val="002F76D4"/>
    <w:rsid w:val="00300467"/>
    <w:rsid w:val="003042F0"/>
    <w:rsid w:val="00304C7C"/>
    <w:rsid w:val="00306C39"/>
    <w:rsid w:val="003117F0"/>
    <w:rsid w:val="00313FCD"/>
    <w:rsid w:val="003158E8"/>
    <w:rsid w:val="0032085F"/>
    <w:rsid w:val="00322208"/>
    <w:rsid w:val="00323E4D"/>
    <w:rsid w:val="00325592"/>
    <w:rsid w:val="00326A4A"/>
    <w:rsid w:val="0033093E"/>
    <w:rsid w:val="00330F81"/>
    <w:rsid w:val="0033597E"/>
    <w:rsid w:val="00337653"/>
    <w:rsid w:val="00340400"/>
    <w:rsid w:val="003420DF"/>
    <w:rsid w:val="003430C3"/>
    <w:rsid w:val="003450E5"/>
    <w:rsid w:val="00346B67"/>
    <w:rsid w:val="003515DA"/>
    <w:rsid w:val="003517A2"/>
    <w:rsid w:val="003524BD"/>
    <w:rsid w:val="00353713"/>
    <w:rsid w:val="003553DE"/>
    <w:rsid w:val="003610AB"/>
    <w:rsid w:val="00361746"/>
    <w:rsid w:val="00362B90"/>
    <w:rsid w:val="00363BE7"/>
    <w:rsid w:val="0037063E"/>
    <w:rsid w:val="003720A2"/>
    <w:rsid w:val="00373832"/>
    <w:rsid w:val="003909E5"/>
    <w:rsid w:val="003920E3"/>
    <w:rsid w:val="00394BE0"/>
    <w:rsid w:val="00396D0B"/>
    <w:rsid w:val="003A0773"/>
    <w:rsid w:val="003A0E6A"/>
    <w:rsid w:val="003A439A"/>
    <w:rsid w:val="003A4949"/>
    <w:rsid w:val="003B18D8"/>
    <w:rsid w:val="003B7266"/>
    <w:rsid w:val="003B74B8"/>
    <w:rsid w:val="003C3DBB"/>
    <w:rsid w:val="003C4479"/>
    <w:rsid w:val="003C68A2"/>
    <w:rsid w:val="003C6FDA"/>
    <w:rsid w:val="003D0BB7"/>
    <w:rsid w:val="003D369E"/>
    <w:rsid w:val="003D3DB7"/>
    <w:rsid w:val="003D4A14"/>
    <w:rsid w:val="003E1F6C"/>
    <w:rsid w:val="003E2F4E"/>
    <w:rsid w:val="003E4207"/>
    <w:rsid w:val="003E76D8"/>
    <w:rsid w:val="003F1B89"/>
    <w:rsid w:val="003F4685"/>
    <w:rsid w:val="004046FA"/>
    <w:rsid w:val="00406C44"/>
    <w:rsid w:val="00407BEE"/>
    <w:rsid w:val="00407D40"/>
    <w:rsid w:val="00416070"/>
    <w:rsid w:val="00416D50"/>
    <w:rsid w:val="00422411"/>
    <w:rsid w:val="00425B5A"/>
    <w:rsid w:val="00425B96"/>
    <w:rsid w:val="00426A13"/>
    <w:rsid w:val="00426CDA"/>
    <w:rsid w:val="00427F53"/>
    <w:rsid w:val="00430BEA"/>
    <w:rsid w:val="00436303"/>
    <w:rsid w:val="00440C95"/>
    <w:rsid w:val="0044216B"/>
    <w:rsid w:val="00443C50"/>
    <w:rsid w:val="0044427A"/>
    <w:rsid w:val="00446C89"/>
    <w:rsid w:val="0045046C"/>
    <w:rsid w:val="00451AA8"/>
    <w:rsid w:val="00474737"/>
    <w:rsid w:val="00475D81"/>
    <w:rsid w:val="00477B3B"/>
    <w:rsid w:val="00481620"/>
    <w:rsid w:val="004817BB"/>
    <w:rsid w:val="004846C8"/>
    <w:rsid w:val="00484B5B"/>
    <w:rsid w:val="0048728D"/>
    <w:rsid w:val="00487C21"/>
    <w:rsid w:val="00491E32"/>
    <w:rsid w:val="00493825"/>
    <w:rsid w:val="00497258"/>
    <w:rsid w:val="004A229F"/>
    <w:rsid w:val="004A24E2"/>
    <w:rsid w:val="004A2C2F"/>
    <w:rsid w:val="004A526E"/>
    <w:rsid w:val="004B2AED"/>
    <w:rsid w:val="004B3780"/>
    <w:rsid w:val="004B3C79"/>
    <w:rsid w:val="004B5C6D"/>
    <w:rsid w:val="004B744D"/>
    <w:rsid w:val="004C533B"/>
    <w:rsid w:val="004C540F"/>
    <w:rsid w:val="004C5758"/>
    <w:rsid w:val="004C5E6C"/>
    <w:rsid w:val="004C758E"/>
    <w:rsid w:val="004D1ABC"/>
    <w:rsid w:val="004D4877"/>
    <w:rsid w:val="004E000E"/>
    <w:rsid w:val="004E1105"/>
    <w:rsid w:val="004E1CA5"/>
    <w:rsid w:val="004E4BAA"/>
    <w:rsid w:val="004F44DD"/>
    <w:rsid w:val="004F6149"/>
    <w:rsid w:val="004F64EC"/>
    <w:rsid w:val="004F67CB"/>
    <w:rsid w:val="004F6CDE"/>
    <w:rsid w:val="004F6F42"/>
    <w:rsid w:val="004F72C2"/>
    <w:rsid w:val="0050092C"/>
    <w:rsid w:val="00516CC2"/>
    <w:rsid w:val="005172E5"/>
    <w:rsid w:val="005203ED"/>
    <w:rsid w:val="005208BE"/>
    <w:rsid w:val="00524C4C"/>
    <w:rsid w:val="00525408"/>
    <w:rsid w:val="005312DB"/>
    <w:rsid w:val="0053248F"/>
    <w:rsid w:val="00543711"/>
    <w:rsid w:val="00546C07"/>
    <w:rsid w:val="005474D7"/>
    <w:rsid w:val="005538A3"/>
    <w:rsid w:val="00555219"/>
    <w:rsid w:val="00555B9C"/>
    <w:rsid w:val="00560261"/>
    <w:rsid w:val="005658D3"/>
    <w:rsid w:val="00567C37"/>
    <w:rsid w:val="00570FEB"/>
    <w:rsid w:val="00580CFD"/>
    <w:rsid w:val="00581C36"/>
    <w:rsid w:val="00582FEE"/>
    <w:rsid w:val="005966CD"/>
    <w:rsid w:val="005A2E10"/>
    <w:rsid w:val="005A371D"/>
    <w:rsid w:val="005B6526"/>
    <w:rsid w:val="005B7E49"/>
    <w:rsid w:val="005C108A"/>
    <w:rsid w:val="005C16C7"/>
    <w:rsid w:val="005D37E6"/>
    <w:rsid w:val="005D3A64"/>
    <w:rsid w:val="005D46B8"/>
    <w:rsid w:val="005D72AA"/>
    <w:rsid w:val="005E4CC4"/>
    <w:rsid w:val="005E4D60"/>
    <w:rsid w:val="005E7C4C"/>
    <w:rsid w:val="005F3458"/>
    <w:rsid w:val="005F366E"/>
    <w:rsid w:val="005F65D6"/>
    <w:rsid w:val="00611E00"/>
    <w:rsid w:val="00614043"/>
    <w:rsid w:val="00620252"/>
    <w:rsid w:val="00620E2F"/>
    <w:rsid w:val="00623398"/>
    <w:rsid w:val="006245DE"/>
    <w:rsid w:val="006252B4"/>
    <w:rsid w:val="006256E7"/>
    <w:rsid w:val="00636CA9"/>
    <w:rsid w:val="006400A5"/>
    <w:rsid w:val="0064423B"/>
    <w:rsid w:val="00646D40"/>
    <w:rsid w:val="00647FDB"/>
    <w:rsid w:val="006502BD"/>
    <w:rsid w:val="00651806"/>
    <w:rsid w:val="00653222"/>
    <w:rsid w:val="0065626F"/>
    <w:rsid w:val="0066317E"/>
    <w:rsid w:val="0066506E"/>
    <w:rsid w:val="00667D56"/>
    <w:rsid w:val="00670C8D"/>
    <w:rsid w:val="0067606C"/>
    <w:rsid w:val="006814FC"/>
    <w:rsid w:val="00685487"/>
    <w:rsid w:val="00690488"/>
    <w:rsid w:val="0069518A"/>
    <w:rsid w:val="00695BF7"/>
    <w:rsid w:val="006A1251"/>
    <w:rsid w:val="006A1ED4"/>
    <w:rsid w:val="006B0BF6"/>
    <w:rsid w:val="006B1413"/>
    <w:rsid w:val="006B1D62"/>
    <w:rsid w:val="006B27C1"/>
    <w:rsid w:val="006B54A1"/>
    <w:rsid w:val="006B6025"/>
    <w:rsid w:val="006B772F"/>
    <w:rsid w:val="006C0520"/>
    <w:rsid w:val="006C0E83"/>
    <w:rsid w:val="006C17D7"/>
    <w:rsid w:val="006C1B6D"/>
    <w:rsid w:val="006C3872"/>
    <w:rsid w:val="006C5E39"/>
    <w:rsid w:val="006D2E0B"/>
    <w:rsid w:val="006D3B4D"/>
    <w:rsid w:val="006D6EF2"/>
    <w:rsid w:val="006D70FF"/>
    <w:rsid w:val="006E0D06"/>
    <w:rsid w:val="006E2525"/>
    <w:rsid w:val="006E2B82"/>
    <w:rsid w:val="006E635F"/>
    <w:rsid w:val="006E78DB"/>
    <w:rsid w:val="006F01D8"/>
    <w:rsid w:val="006F5B42"/>
    <w:rsid w:val="00700F8C"/>
    <w:rsid w:val="0070346D"/>
    <w:rsid w:val="00705526"/>
    <w:rsid w:val="0070745B"/>
    <w:rsid w:val="00710502"/>
    <w:rsid w:val="00711532"/>
    <w:rsid w:val="00711BCA"/>
    <w:rsid w:val="00713B1D"/>
    <w:rsid w:val="00714623"/>
    <w:rsid w:val="007146B4"/>
    <w:rsid w:val="00717EB1"/>
    <w:rsid w:val="00722137"/>
    <w:rsid w:val="00727299"/>
    <w:rsid w:val="00727F44"/>
    <w:rsid w:val="00743EE7"/>
    <w:rsid w:val="00753215"/>
    <w:rsid w:val="00760760"/>
    <w:rsid w:val="00762E59"/>
    <w:rsid w:val="00764C85"/>
    <w:rsid w:val="00767566"/>
    <w:rsid w:val="007708D8"/>
    <w:rsid w:val="00772D86"/>
    <w:rsid w:val="007730A0"/>
    <w:rsid w:val="00782139"/>
    <w:rsid w:val="00785DE1"/>
    <w:rsid w:val="0078755D"/>
    <w:rsid w:val="0079040B"/>
    <w:rsid w:val="007924E8"/>
    <w:rsid w:val="00796040"/>
    <w:rsid w:val="007A596D"/>
    <w:rsid w:val="007A71B1"/>
    <w:rsid w:val="007A7D9A"/>
    <w:rsid w:val="007B1246"/>
    <w:rsid w:val="007B388E"/>
    <w:rsid w:val="007B3A4F"/>
    <w:rsid w:val="007B4551"/>
    <w:rsid w:val="007C0F48"/>
    <w:rsid w:val="007C4465"/>
    <w:rsid w:val="007C7C73"/>
    <w:rsid w:val="007D1419"/>
    <w:rsid w:val="007D7453"/>
    <w:rsid w:val="007E287D"/>
    <w:rsid w:val="007E29B2"/>
    <w:rsid w:val="007E4E38"/>
    <w:rsid w:val="007F3511"/>
    <w:rsid w:val="007F5937"/>
    <w:rsid w:val="00800A33"/>
    <w:rsid w:val="008011CE"/>
    <w:rsid w:val="00807ACE"/>
    <w:rsid w:val="00813E9B"/>
    <w:rsid w:val="00831010"/>
    <w:rsid w:val="0083415E"/>
    <w:rsid w:val="00842E48"/>
    <w:rsid w:val="00842FFC"/>
    <w:rsid w:val="008452A0"/>
    <w:rsid w:val="008469F4"/>
    <w:rsid w:val="00846CDB"/>
    <w:rsid w:val="00847FA7"/>
    <w:rsid w:val="0085168E"/>
    <w:rsid w:val="00854A76"/>
    <w:rsid w:val="00856A19"/>
    <w:rsid w:val="00857987"/>
    <w:rsid w:val="00863A9C"/>
    <w:rsid w:val="00863E4D"/>
    <w:rsid w:val="00866BB3"/>
    <w:rsid w:val="0087077E"/>
    <w:rsid w:val="008712E4"/>
    <w:rsid w:val="008739EC"/>
    <w:rsid w:val="00873D57"/>
    <w:rsid w:val="00874B30"/>
    <w:rsid w:val="008767E4"/>
    <w:rsid w:val="0088389D"/>
    <w:rsid w:val="00884D3B"/>
    <w:rsid w:val="00891A17"/>
    <w:rsid w:val="008948E2"/>
    <w:rsid w:val="0089659B"/>
    <w:rsid w:val="00897A7B"/>
    <w:rsid w:val="008A078B"/>
    <w:rsid w:val="008A5B33"/>
    <w:rsid w:val="008A652D"/>
    <w:rsid w:val="008B0D97"/>
    <w:rsid w:val="008B1179"/>
    <w:rsid w:val="008B276F"/>
    <w:rsid w:val="008B2BE1"/>
    <w:rsid w:val="008B7E76"/>
    <w:rsid w:val="008C391F"/>
    <w:rsid w:val="008D12BC"/>
    <w:rsid w:val="008D297A"/>
    <w:rsid w:val="008D4DF9"/>
    <w:rsid w:val="008D7036"/>
    <w:rsid w:val="008D79DB"/>
    <w:rsid w:val="008E2286"/>
    <w:rsid w:val="008E5D4C"/>
    <w:rsid w:val="008E7B80"/>
    <w:rsid w:val="008F1DEC"/>
    <w:rsid w:val="008F2289"/>
    <w:rsid w:val="008F3C6B"/>
    <w:rsid w:val="008F41A6"/>
    <w:rsid w:val="008F506D"/>
    <w:rsid w:val="008F5AA2"/>
    <w:rsid w:val="008F6197"/>
    <w:rsid w:val="00902C36"/>
    <w:rsid w:val="00902EC1"/>
    <w:rsid w:val="00904974"/>
    <w:rsid w:val="009049B6"/>
    <w:rsid w:val="009070F2"/>
    <w:rsid w:val="009110BD"/>
    <w:rsid w:val="009139D6"/>
    <w:rsid w:val="00916523"/>
    <w:rsid w:val="00921CB9"/>
    <w:rsid w:val="00925AE1"/>
    <w:rsid w:val="00925F27"/>
    <w:rsid w:val="00936F57"/>
    <w:rsid w:val="0094055B"/>
    <w:rsid w:val="00944320"/>
    <w:rsid w:val="00947DAF"/>
    <w:rsid w:val="00950291"/>
    <w:rsid w:val="009548F9"/>
    <w:rsid w:val="00954FCC"/>
    <w:rsid w:val="00964EAD"/>
    <w:rsid w:val="0096633C"/>
    <w:rsid w:val="00967596"/>
    <w:rsid w:val="00967DA8"/>
    <w:rsid w:val="00970B41"/>
    <w:rsid w:val="00970CAB"/>
    <w:rsid w:val="0097267D"/>
    <w:rsid w:val="00981A66"/>
    <w:rsid w:val="0098344F"/>
    <w:rsid w:val="009905FF"/>
    <w:rsid w:val="009927B3"/>
    <w:rsid w:val="00993782"/>
    <w:rsid w:val="00997295"/>
    <w:rsid w:val="009A1864"/>
    <w:rsid w:val="009A2BC8"/>
    <w:rsid w:val="009A3A61"/>
    <w:rsid w:val="009A3EBB"/>
    <w:rsid w:val="009A4DE4"/>
    <w:rsid w:val="009A4E8B"/>
    <w:rsid w:val="009A78EE"/>
    <w:rsid w:val="009B3019"/>
    <w:rsid w:val="009C2474"/>
    <w:rsid w:val="009D1286"/>
    <w:rsid w:val="009D3099"/>
    <w:rsid w:val="009D640F"/>
    <w:rsid w:val="009D75AF"/>
    <w:rsid w:val="009E1999"/>
    <w:rsid w:val="009E4312"/>
    <w:rsid w:val="009F1AE9"/>
    <w:rsid w:val="009F45F2"/>
    <w:rsid w:val="009F4C3F"/>
    <w:rsid w:val="00A05DBD"/>
    <w:rsid w:val="00A11C30"/>
    <w:rsid w:val="00A11D1D"/>
    <w:rsid w:val="00A12F4C"/>
    <w:rsid w:val="00A1672A"/>
    <w:rsid w:val="00A23D87"/>
    <w:rsid w:val="00A258EC"/>
    <w:rsid w:val="00A26924"/>
    <w:rsid w:val="00A27A55"/>
    <w:rsid w:val="00A370F3"/>
    <w:rsid w:val="00A41031"/>
    <w:rsid w:val="00A41F51"/>
    <w:rsid w:val="00A46FF8"/>
    <w:rsid w:val="00A47AB3"/>
    <w:rsid w:val="00A506BD"/>
    <w:rsid w:val="00A555D9"/>
    <w:rsid w:val="00A5583E"/>
    <w:rsid w:val="00A55EE8"/>
    <w:rsid w:val="00A567FC"/>
    <w:rsid w:val="00A568BB"/>
    <w:rsid w:val="00A57133"/>
    <w:rsid w:val="00A667D2"/>
    <w:rsid w:val="00A67264"/>
    <w:rsid w:val="00A72A2F"/>
    <w:rsid w:val="00A75FAC"/>
    <w:rsid w:val="00A7623E"/>
    <w:rsid w:val="00A809B1"/>
    <w:rsid w:val="00A82521"/>
    <w:rsid w:val="00A94F84"/>
    <w:rsid w:val="00AA0447"/>
    <w:rsid w:val="00AA2449"/>
    <w:rsid w:val="00AA4FDE"/>
    <w:rsid w:val="00AB2500"/>
    <w:rsid w:val="00AB3430"/>
    <w:rsid w:val="00AB72FF"/>
    <w:rsid w:val="00AB7F71"/>
    <w:rsid w:val="00AC1ECA"/>
    <w:rsid w:val="00AC2803"/>
    <w:rsid w:val="00AC443D"/>
    <w:rsid w:val="00AD3316"/>
    <w:rsid w:val="00AD4D04"/>
    <w:rsid w:val="00AD5048"/>
    <w:rsid w:val="00AE2F76"/>
    <w:rsid w:val="00AE380B"/>
    <w:rsid w:val="00AE38E7"/>
    <w:rsid w:val="00AE4947"/>
    <w:rsid w:val="00AE74E4"/>
    <w:rsid w:val="00AF3CCA"/>
    <w:rsid w:val="00AF3E82"/>
    <w:rsid w:val="00AF7FF0"/>
    <w:rsid w:val="00B03175"/>
    <w:rsid w:val="00B053BF"/>
    <w:rsid w:val="00B22CFB"/>
    <w:rsid w:val="00B26E2F"/>
    <w:rsid w:val="00B2734F"/>
    <w:rsid w:val="00B31AEA"/>
    <w:rsid w:val="00B32BA7"/>
    <w:rsid w:val="00B36003"/>
    <w:rsid w:val="00B4079D"/>
    <w:rsid w:val="00B4736A"/>
    <w:rsid w:val="00B50017"/>
    <w:rsid w:val="00B55F27"/>
    <w:rsid w:val="00B56D71"/>
    <w:rsid w:val="00B61557"/>
    <w:rsid w:val="00B7032B"/>
    <w:rsid w:val="00B7046C"/>
    <w:rsid w:val="00B71761"/>
    <w:rsid w:val="00B76FEB"/>
    <w:rsid w:val="00B81B53"/>
    <w:rsid w:val="00B822F8"/>
    <w:rsid w:val="00B835AB"/>
    <w:rsid w:val="00B90599"/>
    <w:rsid w:val="00B926ED"/>
    <w:rsid w:val="00BA1811"/>
    <w:rsid w:val="00BA4047"/>
    <w:rsid w:val="00BA4D16"/>
    <w:rsid w:val="00BA5506"/>
    <w:rsid w:val="00BA5B61"/>
    <w:rsid w:val="00BA6218"/>
    <w:rsid w:val="00BA6C08"/>
    <w:rsid w:val="00BB238E"/>
    <w:rsid w:val="00BC2F63"/>
    <w:rsid w:val="00BC4E7E"/>
    <w:rsid w:val="00BC5CF8"/>
    <w:rsid w:val="00BC6052"/>
    <w:rsid w:val="00BC65EC"/>
    <w:rsid w:val="00BD158A"/>
    <w:rsid w:val="00BD4D05"/>
    <w:rsid w:val="00BE463E"/>
    <w:rsid w:val="00BE613C"/>
    <w:rsid w:val="00C0649D"/>
    <w:rsid w:val="00C127E1"/>
    <w:rsid w:val="00C14186"/>
    <w:rsid w:val="00C16642"/>
    <w:rsid w:val="00C17158"/>
    <w:rsid w:val="00C20600"/>
    <w:rsid w:val="00C223F7"/>
    <w:rsid w:val="00C35E8C"/>
    <w:rsid w:val="00C373BA"/>
    <w:rsid w:val="00C43ABC"/>
    <w:rsid w:val="00C45DAF"/>
    <w:rsid w:val="00C6072E"/>
    <w:rsid w:val="00C63678"/>
    <w:rsid w:val="00C63E64"/>
    <w:rsid w:val="00C6471B"/>
    <w:rsid w:val="00C67025"/>
    <w:rsid w:val="00C712E2"/>
    <w:rsid w:val="00C7178E"/>
    <w:rsid w:val="00C750AA"/>
    <w:rsid w:val="00C76B5A"/>
    <w:rsid w:val="00C84326"/>
    <w:rsid w:val="00C85B09"/>
    <w:rsid w:val="00C8653A"/>
    <w:rsid w:val="00C925AD"/>
    <w:rsid w:val="00C94535"/>
    <w:rsid w:val="00C970F9"/>
    <w:rsid w:val="00CA2B54"/>
    <w:rsid w:val="00CA3252"/>
    <w:rsid w:val="00CA38B8"/>
    <w:rsid w:val="00CA63DD"/>
    <w:rsid w:val="00CA6A4B"/>
    <w:rsid w:val="00CB1F2A"/>
    <w:rsid w:val="00CC0DDD"/>
    <w:rsid w:val="00CC30D8"/>
    <w:rsid w:val="00CD1B8D"/>
    <w:rsid w:val="00CD4373"/>
    <w:rsid w:val="00CE0EC5"/>
    <w:rsid w:val="00CE19E7"/>
    <w:rsid w:val="00CE1B2E"/>
    <w:rsid w:val="00CE26E9"/>
    <w:rsid w:val="00CE39A7"/>
    <w:rsid w:val="00CE769F"/>
    <w:rsid w:val="00CF41D5"/>
    <w:rsid w:val="00CF5D34"/>
    <w:rsid w:val="00CF6BA4"/>
    <w:rsid w:val="00D004F3"/>
    <w:rsid w:val="00D00518"/>
    <w:rsid w:val="00D04A48"/>
    <w:rsid w:val="00D215C6"/>
    <w:rsid w:val="00D2650B"/>
    <w:rsid w:val="00D27FC7"/>
    <w:rsid w:val="00D32431"/>
    <w:rsid w:val="00D34D9D"/>
    <w:rsid w:val="00D36C71"/>
    <w:rsid w:val="00D37E68"/>
    <w:rsid w:val="00D40E12"/>
    <w:rsid w:val="00D421BD"/>
    <w:rsid w:val="00D42BBA"/>
    <w:rsid w:val="00D5376B"/>
    <w:rsid w:val="00D56F8B"/>
    <w:rsid w:val="00D6001B"/>
    <w:rsid w:val="00D6041C"/>
    <w:rsid w:val="00D61DED"/>
    <w:rsid w:val="00D62612"/>
    <w:rsid w:val="00D662BF"/>
    <w:rsid w:val="00D666C4"/>
    <w:rsid w:val="00D66F44"/>
    <w:rsid w:val="00D7201F"/>
    <w:rsid w:val="00D81CEE"/>
    <w:rsid w:val="00D839A7"/>
    <w:rsid w:val="00D84B9B"/>
    <w:rsid w:val="00D85636"/>
    <w:rsid w:val="00D859B0"/>
    <w:rsid w:val="00D85ABC"/>
    <w:rsid w:val="00D9356C"/>
    <w:rsid w:val="00DA2B46"/>
    <w:rsid w:val="00DA44D3"/>
    <w:rsid w:val="00DB0710"/>
    <w:rsid w:val="00DB223A"/>
    <w:rsid w:val="00DB6381"/>
    <w:rsid w:val="00DB671C"/>
    <w:rsid w:val="00DB7044"/>
    <w:rsid w:val="00DC2058"/>
    <w:rsid w:val="00DC26B0"/>
    <w:rsid w:val="00DC70F5"/>
    <w:rsid w:val="00DC7A92"/>
    <w:rsid w:val="00DD1BF8"/>
    <w:rsid w:val="00DD335F"/>
    <w:rsid w:val="00DD43DA"/>
    <w:rsid w:val="00DD4C8F"/>
    <w:rsid w:val="00DD578F"/>
    <w:rsid w:val="00DD58D8"/>
    <w:rsid w:val="00DD71B7"/>
    <w:rsid w:val="00DF21EF"/>
    <w:rsid w:val="00DF32B2"/>
    <w:rsid w:val="00DF7CFB"/>
    <w:rsid w:val="00E0445E"/>
    <w:rsid w:val="00E11407"/>
    <w:rsid w:val="00E16E42"/>
    <w:rsid w:val="00E2009F"/>
    <w:rsid w:val="00E2627A"/>
    <w:rsid w:val="00E27339"/>
    <w:rsid w:val="00E302B8"/>
    <w:rsid w:val="00E31071"/>
    <w:rsid w:val="00E31D33"/>
    <w:rsid w:val="00E33BF9"/>
    <w:rsid w:val="00E42299"/>
    <w:rsid w:val="00E42AEE"/>
    <w:rsid w:val="00E43763"/>
    <w:rsid w:val="00E44CF3"/>
    <w:rsid w:val="00E455EF"/>
    <w:rsid w:val="00E464AB"/>
    <w:rsid w:val="00E52081"/>
    <w:rsid w:val="00E52E39"/>
    <w:rsid w:val="00E602EA"/>
    <w:rsid w:val="00E70BEE"/>
    <w:rsid w:val="00E71D74"/>
    <w:rsid w:val="00E8335C"/>
    <w:rsid w:val="00E83D0B"/>
    <w:rsid w:val="00E8445E"/>
    <w:rsid w:val="00E8639C"/>
    <w:rsid w:val="00E955A9"/>
    <w:rsid w:val="00EA20B6"/>
    <w:rsid w:val="00EA4FED"/>
    <w:rsid w:val="00EA6C94"/>
    <w:rsid w:val="00EB32C9"/>
    <w:rsid w:val="00EB7B39"/>
    <w:rsid w:val="00EC0044"/>
    <w:rsid w:val="00EC2559"/>
    <w:rsid w:val="00EC6BBF"/>
    <w:rsid w:val="00ED2DD2"/>
    <w:rsid w:val="00ED73EE"/>
    <w:rsid w:val="00EE27A7"/>
    <w:rsid w:val="00EE2D65"/>
    <w:rsid w:val="00EF5D86"/>
    <w:rsid w:val="00EF5F21"/>
    <w:rsid w:val="00EF62E5"/>
    <w:rsid w:val="00EF7A37"/>
    <w:rsid w:val="00F00411"/>
    <w:rsid w:val="00F13C49"/>
    <w:rsid w:val="00F14773"/>
    <w:rsid w:val="00F20828"/>
    <w:rsid w:val="00F21F72"/>
    <w:rsid w:val="00F22555"/>
    <w:rsid w:val="00F33721"/>
    <w:rsid w:val="00F34E92"/>
    <w:rsid w:val="00F3601C"/>
    <w:rsid w:val="00F36AEB"/>
    <w:rsid w:val="00F37B7E"/>
    <w:rsid w:val="00F43FA2"/>
    <w:rsid w:val="00F44962"/>
    <w:rsid w:val="00F44DDD"/>
    <w:rsid w:val="00F45040"/>
    <w:rsid w:val="00F463B6"/>
    <w:rsid w:val="00F474FC"/>
    <w:rsid w:val="00F47FB3"/>
    <w:rsid w:val="00F52C09"/>
    <w:rsid w:val="00F533DC"/>
    <w:rsid w:val="00F53F0A"/>
    <w:rsid w:val="00F56DC1"/>
    <w:rsid w:val="00F6121F"/>
    <w:rsid w:val="00F626FE"/>
    <w:rsid w:val="00F65738"/>
    <w:rsid w:val="00F657BC"/>
    <w:rsid w:val="00F724CB"/>
    <w:rsid w:val="00F73E05"/>
    <w:rsid w:val="00F75DEF"/>
    <w:rsid w:val="00F80FAB"/>
    <w:rsid w:val="00F8559E"/>
    <w:rsid w:val="00F875AE"/>
    <w:rsid w:val="00F9416D"/>
    <w:rsid w:val="00F96088"/>
    <w:rsid w:val="00FA4393"/>
    <w:rsid w:val="00FA470E"/>
    <w:rsid w:val="00FA4B5B"/>
    <w:rsid w:val="00FB15B7"/>
    <w:rsid w:val="00FB40EF"/>
    <w:rsid w:val="00FB56A7"/>
    <w:rsid w:val="00FB6051"/>
    <w:rsid w:val="00FC0EBE"/>
    <w:rsid w:val="00FC2719"/>
    <w:rsid w:val="00FC7EBE"/>
    <w:rsid w:val="00FD13FF"/>
    <w:rsid w:val="00FD2099"/>
    <w:rsid w:val="00FD61F7"/>
    <w:rsid w:val="00FE29A8"/>
    <w:rsid w:val="00FF1792"/>
    <w:rsid w:val="00FF274F"/>
    <w:rsid w:val="00FF33CF"/>
    <w:rsid w:val="00FF638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33DC"/>
    <w:pPr>
      <w:ind w:left="720"/>
      <w:contextualSpacing/>
    </w:pPr>
  </w:style>
  <w:style w:type="paragraph" w:styleId="Textonotapie">
    <w:name w:val="footnote text"/>
    <w:basedOn w:val="Normal"/>
    <w:link w:val="TextonotapieCar"/>
    <w:uiPriority w:val="99"/>
    <w:unhideWhenUsed/>
    <w:rsid w:val="00D37E68"/>
    <w:pPr>
      <w:spacing w:after="0" w:line="240" w:lineRule="auto"/>
    </w:pPr>
    <w:rPr>
      <w:sz w:val="20"/>
      <w:szCs w:val="20"/>
    </w:rPr>
  </w:style>
  <w:style w:type="character" w:customStyle="1" w:styleId="TextonotapieCar">
    <w:name w:val="Texto nota pie Car"/>
    <w:basedOn w:val="Fuentedeprrafopredeter"/>
    <w:link w:val="Textonotapie"/>
    <w:uiPriority w:val="99"/>
    <w:rsid w:val="00D37E68"/>
    <w:rPr>
      <w:sz w:val="20"/>
      <w:szCs w:val="20"/>
    </w:rPr>
  </w:style>
  <w:style w:type="character" w:styleId="Refdenotaalpie">
    <w:name w:val="footnote reference"/>
    <w:basedOn w:val="Fuentedeprrafopredeter"/>
    <w:uiPriority w:val="99"/>
    <w:semiHidden/>
    <w:unhideWhenUsed/>
    <w:rsid w:val="00D37E68"/>
    <w:rPr>
      <w:vertAlign w:val="superscript"/>
    </w:rPr>
  </w:style>
  <w:style w:type="character" w:styleId="Hipervnculo">
    <w:name w:val="Hyperlink"/>
    <w:basedOn w:val="Fuentedeprrafopredeter"/>
    <w:uiPriority w:val="99"/>
    <w:unhideWhenUsed/>
    <w:rsid w:val="00D37E68"/>
    <w:rPr>
      <w:color w:val="0563C1" w:themeColor="hyperlink"/>
      <w:u w:val="single"/>
    </w:rPr>
  </w:style>
  <w:style w:type="character" w:customStyle="1" w:styleId="apple-converted-space">
    <w:name w:val="apple-converted-space"/>
    <w:basedOn w:val="Fuentedeprrafopredeter"/>
    <w:rsid w:val="00C127E1"/>
  </w:style>
  <w:style w:type="paragraph" w:styleId="NormalWeb">
    <w:name w:val="Normal (Web)"/>
    <w:basedOn w:val="Normal"/>
    <w:uiPriority w:val="99"/>
    <w:unhideWhenUsed/>
    <w:rsid w:val="0065180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66B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B67"/>
    <w:rPr>
      <w:rFonts w:ascii="Segoe UI" w:hAnsi="Segoe UI" w:cs="Segoe UI"/>
      <w:sz w:val="18"/>
      <w:szCs w:val="18"/>
    </w:rPr>
  </w:style>
  <w:style w:type="paragraph" w:customStyle="1" w:styleId="Default">
    <w:name w:val="Default"/>
    <w:rsid w:val="00E44CF3"/>
    <w:pPr>
      <w:autoSpaceDE w:val="0"/>
      <w:autoSpaceDN w:val="0"/>
      <w:adjustRightInd w:val="0"/>
      <w:spacing w:after="0" w:line="240" w:lineRule="auto"/>
    </w:pPr>
    <w:rPr>
      <w:rFonts w:ascii="LAECPO+Arial,Bold" w:hAnsi="LAECPO+Arial,Bold" w:cs="LAECPO+Arial,Bold"/>
      <w:color w:val="000000"/>
      <w:sz w:val="24"/>
      <w:szCs w:val="24"/>
    </w:rPr>
  </w:style>
  <w:style w:type="paragraph" w:styleId="Textoindependiente">
    <w:name w:val="Body Text"/>
    <w:basedOn w:val="Default"/>
    <w:next w:val="Default"/>
    <w:link w:val="TextoindependienteCar"/>
    <w:uiPriority w:val="99"/>
    <w:rsid w:val="00E44CF3"/>
    <w:rPr>
      <w:rFonts w:cstheme="minorBidi"/>
      <w:color w:val="auto"/>
    </w:rPr>
  </w:style>
  <w:style w:type="character" w:customStyle="1" w:styleId="TextoindependienteCar">
    <w:name w:val="Texto independiente Car"/>
    <w:basedOn w:val="Fuentedeprrafopredeter"/>
    <w:link w:val="Textoindependiente"/>
    <w:uiPriority w:val="99"/>
    <w:rsid w:val="00E44CF3"/>
    <w:rPr>
      <w:rFonts w:ascii="LAECPO+Arial,Bold" w:hAnsi="LAECPO+Arial,Bold"/>
      <w:sz w:val="24"/>
      <w:szCs w:val="24"/>
    </w:rPr>
  </w:style>
  <w:style w:type="character" w:styleId="Refdecomentario">
    <w:name w:val="annotation reference"/>
    <w:basedOn w:val="Fuentedeprrafopredeter"/>
    <w:uiPriority w:val="99"/>
    <w:semiHidden/>
    <w:unhideWhenUsed/>
    <w:rsid w:val="00866BB3"/>
    <w:rPr>
      <w:sz w:val="18"/>
      <w:szCs w:val="18"/>
    </w:rPr>
  </w:style>
  <w:style w:type="paragraph" w:styleId="Textocomentario">
    <w:name w:val="annotation text"/>
    <w:basedOn w:val="Normal"/>
    <w:link w:val="TextocomentarioCar"/>
    <w:uiPriority w:val="99"/>
    <w:unhideWhenUsed/>
    <w:rsid w:val="00866BB3"/>
    <w:pPr>
      <w:spacing w:line="240" w:lineRule="auto"/>
    </w:pPr>
    <w:rPr>
      <w:sz w:val="24"/>
      <w:szCs w:val="24"/>
    </w:rPr>
  </w:style>
  <w:style w:type="character" w:customStyle="1" w:styleId="TextocomentarioCar">
    <w:name w:val="Texto comentario Car"/>
    <w:basedOn w:val="Fuentedeprrafopredeter"/>
    <w:link w:val="Textocomentario"/>
    <w:uiPriority w:val="99"/>
    <w:rsid w:val="00866BB3"/>
    <w:rPr>
      <w:sz w:val="24"/>
      <w:szCs w:val="24"/>
    </w:rPr>
  </w:style>
  <w:style w:type="paragraph" w:styleId="Asuntodelcomentario">
    <w:name w:val="annotation subject"/>
    <w:basedOn w:val="Textocomentario"/>
    <w:next w:val="Textocomentario"/>
    <w:link w:val="AsuntodelcomentarioCar"/>
    <w:uiPriority w:val="99"/>
    <w:semiHidden/>
    <w:unhideWhenUsed/>
    <w:rsid w:val="00866BB3"/>
    <w:rPr>
      <w:b/>
      <w:bCs/>
      <w:sz w:val="20"/>
      <w:szCs w:val="20"/>
    </w:rPr>
  </w:style>
  <w:style w:type="character" w:customStyle="1" w:styleId="AsuntodelcomentarioCar">
    <w:name w:val="Asunto del comentario Car"/>
    <w:basedOn w:val="TextocomentarioCar"/>
    <w:link w:val="Asuntodelcomentario"/>
    <w:uiPriority w:val="99"/>
    <w:semiHidden/>
    <w:rsid w:val="00866BB3"/>
    <w:rPr>
      <w:b/>
      <w:bCs/>
      <w:sz w:val="20"/>
      <w:szCs w:val="20"/>
    </w:rPr>
  </w:style>
  <w:style w:type="paragraph" w:styleId="Encabezado">
    <w:name w:val="header"/>
    <w:basedOn w:val="Normal"/>
    <w:link w:val="EncabezadoCar"/>
    <w:uiPriority w:val="99"/>
    <w:unhideWhenUsed/>
    <w:rsid w:val="00866B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3"/>
  </w:style>
  <w:style w:type="paragraph" w:styleId="Piedepgina">
    <w:name w:val="footer"/>
    <w:basedOn w:val="Normal"/>
    <w:link w:val="PiedepginaCar"/>
    <w:uiPriority w:val="99"/>
    <w:unhideWhenUsed/>
    <w:rsid w:val="00866B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3"/>
  </w:style>
  <w:style w:type="paragraph" w:styleId="Revisin">
    <w:name w:val="Revision"/>
    <w:hidden/>
    <w:uiPriority w:val="99"/>
    <w:semiHidden/>
    <w:rsid w:val="00866BB3"/>
    <w:pPr>
      <w:spacing w:after="0" w:line="240" w:lineRule="auto"/>
    </w:pPr>
  </w:style>
  <w:style w:type="character" w:styleId="Textoennegrita">
    <w:name w:val="Strong"/>
    <w:basedOn w:val="Fuentedeprrafopredeter"/>
    <w:uiPriority w:val="22"/>
    <w:qFormat/>
    <w:rsid w:val="00194F0F"/>
    <w:rPr>
      <w:b/>
      <w:bCs/>
    </w:rPr>
  </w:style>
  <w:style w:type="character" w:styleId="nfasis">
    <w:name w:val="Emphasis"/>
    <w:basedOn w:val="Fuentedeprrafopredeter"/>
    <w:uiPriority w:val="20"/>
    <w:qFormat/>
    <w:rsid w:val="00194F0F"/>
    <w:rPr>
      <w:i/>
      <w:iCs/>
    </w:rPr>
  </w:style>
  <w:style w:type="paragraph" w:customStyle="1" w:styleId="Pa9">
    <w:name w:val="Pa9"/>
    <w:basedOn w:val="Default"/>
    <w:next w:val="Default"/>
    <w:uiPriority w:val="99"/>
    <w:rsid w:val="006C0E83"/>
    <w:pPr>
      <w:widowControl w:val="0"/>
      <w:spacing w:line="201" w:lineRule="atLeast"/>
    </w:pPr>
    <w:rPr>
      <w:rFonts w:ascii="Arial" w:hAnsi="Arial" w:cs="Times New Roman"/>
      <w:color w:val="auto"/>
      <w:lang w:val="en-US"/>
    </w:rPr>
  </w:style>
  <w:style w:type="paragraph" w:customStyle="1" w:styleId="Pa7">
    <w:name w:val="Pa7"/>
    <w:basedOn w:val="Default"/>
    <w:next w:val="Default"/>
    <w:uiPriority w:val="99"/>
    <w:rsid w:val="006C0E83"/>
    <w:pPr>
      <w:widowControl w:val="0"/>
      <w:spacing w:line="201" w:lineRule="atLeast"/>
    </w:pPr>
    <w:rPr>
      <w:rFonts w:ascii="Arial" w:hAnsi="Arial" w:cs="Times New Roman"/>
      <w:color w:val="auto"/>
      <w:lang w:val="en-US"/>
    </w:rPr>
  </w:style>
  <w:style w:type="table" w:styleId="Tablaconcuadrcula">
    <w:name w:val="Table Grid"/>
    <w:basedOn w:val="Tablanormal"/>
    <w:uiPriority w:val="39"/>
    <w:rsid w:val="00A66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474886">
      <w:bodyDiv w:val="1"/>
      <w:marLeft w:val="0"/>
      <w:marRight w:val="0"/>
      <w:marTop w:val="0"/>
      <w:marBottom w:val="0"/>
      <w:divBdr>
        <w:top w:val="none" w:sz="0" w:space="0" w:color="auto"/>
        <w:left w:val="none" w:sz="0" w:space="0" w:color="auto"/>
        <w:bottom w:val="none" w:sz="0" w:space="0" w:color="auto"/>
        <w:right w:val="none" w:sz="0" w:space="0" w:color="auto"/>
      </w:divBdr>
      <w:divsChild>
        <w:div w:id="49379951">
          <w:marLeft w:val="0"/>
          <w:marRight w:val="0"/>
          <w:marTop w:val="101"/>
          <w:marBottom w:val="101"/>
          <w:divBdr>
            <w:top w:val="none" w:sz="0" w:space="0" w:color="auto"/>
            <w:left w:val="none" w:sz="0" w:space="0" w:color="auto"/>
            <w:bottom w:val="none" w:sz="0" w:space="0" w:color="auto"/>
            <w:right w:val="none" w:sz="0" w:space="0" w:color="auto"/>
          </w:divBdr>
        </w:div>
        <w:div w:id="75442664">
          <w:marLeft w:val="0"/>
          <w:marRight w:val="0"/>
          <w:marTop w:val="0"/>
          <w:marBottom w:val="101"/>
          <w:divBdr>
            <w:top w:val="none" w:sz="0" w:space="0" w:color="auto"/>
            <w:left w:val="none" w:sz="0" w:space="0" w:color="auto"/>
            <w:bottom w:val="none" w:sz="0" w:space="0" w:color="auto"/>
            <w:right w:val="none" w:sz="0" w:space="0" w:color="auto"/>
          </w:divBdr>
        </w:div>
        <w:div w:id="242758321">
          <w:marLeft w:val="0"/>
          <w:marRight w:val="0"/>
          <w:marTop w:val="0"/>
          <w:marBottom w:val="101"/>
          <w:divBdr>
            <w:top w:val="none" w:sz="0" w:space="0" w:color="auto"/>
            <w:left w:val="none" w:sz="0" w:space="0" w:color="auto"/>
            <w:bottom w:val="none" w:sz="0" w:space="0" w:color="auto"/>
            <w:right w:val="none" w:sz="0" w:space="0" w:color="auto"/>
          </w:divBdr>
        </w:div>
        <w:div w:id="506091853">
          <w:marLeft w:val="0"/>
          <w:marRight w:val="0"/>
          <w:marTop w:val="0"/>
          <w:marBottom w:val="101"/>
          <w:divBdr>
            <w:top w:val="none" w:sz="0" w:space="0" w:color="auto"/>
            <w:left w:val="none" w:sz="0" w:space="0" w:color="auto"/>
            <w:bottom w:val="none" w:sz="0" w:space="0" w:color="auto"/>
            <w:right w:val="none" w:sz="0" w:space="0" w:color="auto"/>
          </w:divBdr>
        </w:div>
        <w:div w:id="510947131">
          <w:marLeft w:val="0"/>
          <w:marRight w:val="0"/>
          <w:marTop w:val="101"/>
          <w:marBottom w:val="101"/>
          <w:divBdr>
            <w:top w:val="none" w:sz="0" w:space="0" w:color="auto"/>
            <w:left w:val="none" w:sz="0" w:space="0" w:color="auto"/>
            <w:bottom w:val="none" w:sz="0" w:space="0" w:color="auto"/>
            <w:right w:val="none" w:sz="0" w:space="0" w:color="auto"/>
          </w:divBdr>
        </w:div>
        <w:div w:id="643390293">
          <w:marLeft w:val="0"/>
          <w:marRight w:val="0"/>
          <w:marTop w:val="0"/>
          <w:marBottom w:val="101"/>
          <w:divBdr>
            <w:top w:val="none" w:sz="0" w:space="0" w:color="auto"/>
            <w:left w:val="none" w:sz="0" w:space="0" w:color="auto"/>
            <w:bottom w:val="none" w:sz="0" w:space="0" w:color="auto"/>
            <w:right w:val="none" w:sz="0" w:space="0" w:color="auto"/>
          </w:divBdr>
        </w:div>
        <w:div w:id="851913921">
          <w:marLeft w:val="0"/>
          <w:marRight w:val="0"/>
          <w:marTop w:val="101"/>
          <w:marBottom w:val="101"/>
          <w:divBdr>
            <w:top w:val="none" w:sz="0" w:space="0" w:color="auto"/>
            <w:left w:val="none" w:sz="0" w:space="0" w:color="auto"/>
            <w:bottom w:val="none" w:sz="0" w:space="0" w:color="auto"/>
            <w:right w:val="none" w:sz="0" w:space="0" w:color="auto"/>
          </w:divBdr>
        </w:div>
        <w:div w:id="1091242153">
          <w:marLeft w:val="0"/>
          <w:marRight w:val="0"/>
          <w:marTop w:val="0"/>
          <w:marBottom w:val="101"/>
          <w:divBdr>
            <w:top w:val="none" w:sz="0" w:space="0" w:color="auto"/>
            <w:left w:val="none" w:sz="0" w:space="0" w:color="auto"/>
            <w:bottom w:val="none" w:sz="0" w:space="0" w:color="auto"/>
            <w:right w:val="none" w:sz="0" w:space="0" w:color="auto"/>
          </w:divBdr>
        </w:div>
        <w:div w:id="1191143415">
          <w:marLeft w:val="0"/>
          <w:marRight w:val="0"/>
          <w:marTop w:val="0"/>
          <w:marBottom w:val="101"/>
          <w:divBdr>
            <w:top w:val="none" w:sz="0" w:space="0" w:color="auto"/>
            <w:left w:val="none" w:sz="0" w:space="0" w:color="auto"/>
            <w:bottom w:val="none" w:sz="0" w:space="0" w:color="auto"/>
            <w:right w:val="none" w:sz="0" w:space="0" w:color="auto"/>
          </w:divBdr>
        </w:div>
        <w:div w:id="1209148915">
          <w:marLeft w:val="0"/>
          <w:marRight w:val="0"/>
          <w:marTop w:val="0"/>
          <w:marBottom w:val="101"/>
          <w:divBdr>
            <w:top w:val="none" w:sz="0" w:space="0" w:color="auto"/>
            <w:left w:val="none" w:sz="0" w:space="0" w:color="auto"/>
            <w:bottom w:val="none" w:sz="0" w:space="0" w:color="auto"/>
            <w:right w:val="none" w:sz="0" w:space="0" w:color="auto"/>
          </w:divBdr>
        </w:div>
        <w:div w:id="1451708580">
          <w:marLeft w:val="0"/>
          <w:marRight w:val="0"/>
          <w:marTop w:val="0"/>
          <w:marBottom w:val="101"/>
          <w:divBdr>
            <w:top w:val="none" w:sz="0" w:space="0" w:color="auto"/>
            <w:left w:val="none" w:sz="0" w:space="0" w:color="auto"/>
            <w:bottom w:val="none" w:sz="0" w:space="0" w:color="auto"/>
            <w:right w:val="none" w:sz="0" w:space="0" w:color="auto"/>
          </w:divBdr>
        </w:div>
        <w:div w:id="1530992384">
          <w:marLeft w:val="0"/>
          <w:marRight w:val="0"/>
          <w:marTop w:val="0"/>
          <w:marBottom w:val="101"/>
          <w:divBdr>
            <w:top w:val="none" w:sz="0" w:space="0" w:color="auto"/>
            <w:left w:val="none" w:sz="0" w:space="0" w:color="auto"/>
            <w:bottom w:val="none" w:sz="0" w:space="0" w:color="auto"/>
            <w:right w:val="none" w:sz="0" w:space="0" w:color="auto"/>
          </w:divBdr>
        </w:div>
        <w:div w:id="1554930501">
          <w:marLeft w:val="0"/>
          <w:marRight w:val="0"/>
          <w:marTop w:val="0"/>
          <w:marBottom w:val="101"/>
          <w:divBdr>
            <w:top w:val="none" w:sz="0" w:space="0" w:color="auto"/>
            <w:left w:val="none" w:sz="0" w:space="0" w:color="auto"/>
            <w:bottom w:val="none" w:sz="0" w:space="0" w:color="auto"/>
            <w:right w:val="none" w:sz="0" w:space="0" w:color="auto"/>
          </w:divBdr>
        </w:div>
        <w:div w:id="1646809974">
          <w:marLeft w:val="0"/>
          <w:marRight w:val="0"/>
          <w:marTop w:val="0"/>
          <w:marBottom w:val="101"/>
          <w:divBdr>
            <w:top w:val="none" w:sz="0" w:space="0" w:color="auto"/>
            <w:left w:val="none" w:sz="0" w:space="0" w:color="auto"/>
            <w:bottom w:val="none" w:sz="0" w:space="0" w:color="auto"/>
            <w:right w:val="none" w:sz="0" w:space="0" w:color="auto"/>
          </w:divBdr>
        </w:div>
        <w:div w:id="1710648218">
          <w:marLeft w:val="0"/>
          <w:marRight w:val="0"/>
          <w:marTop w:val="0"/>
          <w:marBottom w:val="101"/>
          <w:divBdr>
            <w:top w:val="none" w:sz="0" w:space="0" w:color="auto"/>
            <w:left w:val="none" w:sz="0" w:space="0" w:color="auto"/>
            <w:bottom w:val="none" w:sz="0" w:space="0" w:color="auto"/>
            <w:right w:val="none" w:sz="0" w:space="0" w:color="auto"/>
          </w:divBdr>
        </w:div>
        <w:div w:id="1763530692">
          <w:marLeft w:val="0"/>
          <w:marRight w:val="0"/>
          <w:marTop w:val="101"/>
          <w:marBottom w:val="101"/>
          <w:divBdr>
            <w:top w:val="none" w:sz="0" w:space="0" w:color="auto"/>
            <w:left w:val="none" w:sz="0" w:space="0" w:color="auto"/>
            <w:bottom w:val="none" w:sz="0" w:space="0" w:color="auto"/>
            <w:right w:val="none" w:sz="0" w:space="0" w:color="auto"/>
          </w:divBdr>
        </w:div>
        <w:div w:id="1893301065">
          <w:marLeft w:val="0"/>
          <w:marRight w:val="0"/>
          <w:marTop w:val="0"/>
          <w:marBottom w:val="101"/>
          <w:divBdr>
            <w:top w:val="none" w:sz="0" w:space="0" w:color="auto"/>
            <w:left w:val="none" w:sz="0" w:space="0" w:color="auto"/>
            <w:bottom w:val="none" w:sz="0" w:space="0" w:color="auto"/>
            <w:right w:val="none" w:sz="0" w:space="0" w:color="auto"/>
          </w:divBdr>
        </w:div>
        <w:div w:id="2132935674">
          <w:marLeft w:val="0"/>
          <w:marRight w:val="0"/>
          <w:marTop w:val="0"/>
          <w:marBottom w:val="101"/>
          <w:divBdr>
            <w:top w:val="none" w:sz="0" w:space="0" w:color="auto"/>
            <w:left w:val="none" w:sz="0" w:space="0" w:color="auto"/>
            <w:bottom w:val="none" w:sz="0" w:space="0" w:color="auto"/>
            <w:right w:val="none" w:sz="0" w:space="0" w:color="auto"/>
          </w:divBdr>
        </w:div>
      </w:divsChild>
    </w:div>
    <w:div w:id="372342052">
      <w:bodyDiv w:val="1"/>
      <w:marLeft w:val="0"/>
      <w:marRight w:val="0"/>
      <w:marTop w:val="0"/>
      <w:marBottom w:val="0"/>
      <w:divBdr>
        <w:top w:val="none" w:sz="0" w:space="0" w:color="auto"/>
        <w:left w:val="none" w:sz="0" w:space="0" w:color="auto"/>
        <w:bottom w:val="none" w:sz="0" w:space="0" w:color="auto"/>
        <w:right w:val="none" w:sz="0" w:space="0" w:color="auto"/>
      </w:divBdr>
      <w:divsChild>
        <w:div w:id="268245370">
          <w:marLeft w:val="0"/>
          <w:marRight w:val="0"/>
          <w:marTop w:val="0"/>
          <w:marBottom w:val="101"/>
          <w:divBdr>
            <w:top w:val="none" w:sz="0" w:space="0" w:color="auto"/>
            <w:left w:val="none" w:sz="0" w:space="0" w:color="auto"/>
            <w:bottom w:val="none" w:sz="0" w:space="0" w:color="auto"/>
            <w:right w:val="none" w:sz="0" w:space="0" w:color="auto"/>
          </w:divBdr>
        </w:div>
        <w:div w:id="306738769">
          <w:marLeft w:val="0"/>
          <w:marRight w:val="0"/>
          <w:marTop w:val="101"/>
          <w:marBottom w:val="101"/>
          <w:divBdr>
            <w:top w:val="none" w:sz="0" w:space="0" w:color="auto"/>
            <w:left w:val="none" w:sz="0" w:space="0" w:color="auto"/>
            <w:bottom w:val="none" w:sz="0" w:space="0" w:color="auto"/>
            <w:right w:val="none" w:sz="0" w:space="0" w:color="auto"/>
          </w:divBdr>
        </w:div>
        <w:div w:id="517085397">
          <w:marLeft w:val="0"/>
          <w:marRight w:val="0"/>
          <w:marTop w:val="0"/>
          <w:marBottom w:val="101"/>
          <w:divBdr>
            <w:top w:val="none" w:sz="0" w:space="0" w:color="auto"/>
            <w:left w:val="none" w:sz="0" w:space="0" w:color="auto"/>
            <w:bottom w:val="none" w:sz="0" w:space="0" w:color="auto"/>
            <w:right w:val="none" w:sz="0" w:space="0" w:color="auto"/>
          </w:divBdr>
        </w:div>
        <w:div w:id="628515260">
          <w:marLeft w:val="0"/>
          <w:marRight w:val="0"/>
          <w:marTop w:val="0"/>
          <w:marBottom w:val="101"/>
          <w:divBdr>
            <w:top w:val="none" w:sz="0" w:space="0" w:color="auto"/>
            <w:left w:val="none" w:sz="0" w:space="0" w:color="auto"/>
            <w:bottom w:val="none" w:sz="0" w:space="0" w:color="auto"/>
            <w:right w:val="none" w:sz="0" w:space="0" w:color="auto"/>
          </w:divBdr>
        </w:div>
        <w:div w:id="760027101">
          <w:marLeft w:val="0"/>
          <w:marRight w:val="0"/>
          <w:marTop w:val="0"/>
          <w:marBottom w:val="101"/>
          <w:divBdr>
            <w:top w:val="none" w:sz="0" w:space="0" w:color="auto"/>
            <w:left w:val="none" w:sz="0" w:space="0" w:color="auto"/>
            <w:bottom w:val="none" w:sz="0" w:space="0" w:color="auto"/>
            <w:right w:val="none" w:sz="0" w:space="0" w:color="auto"/>
          </w:divBdr>
        </w:div>
        <w:div w:id="1027874898">
          <w:marLeft w:val="0"/>
          <w:marRight w:val="0"/>
          <w:marTop w:val="0"/>
          <w:marBottom w:val="101"/>
          <w:divBdr>
            <w:top w:val="none" w:sz="0" w:space="0" w:color="auto"/>
            <w:left w:val="none" w:sz="0" w:space="0" w:color="auto"/>
            <w:bottom w:val="none" w:sz="0" w:space="0" w:color="auto"/>
            <w:right w:val="none" w:sz="0" w:space="0" w:color="auto"/>
          </w:divBdr>
        </w:div>
        <w:div w:id="1545755782">
          <w:marLeft w:val="0"/>
          <w:marRight w:val="0"/>
          <w:marTop w:val="0"/>
          <w:marBottom w:val="101"/>
          <w:divBdr>
            <w:top w:val="none" w:sz="0" w:space="0" w:color="auto"/>
            <w:left w:val="none" w:sz="0" w:space="0" w:color="auto"/>
            <w:bottom w:val="none" w:sz="0" w:space="0" w:color="auto"/>
            <w:right w:val="none" w:sz="0" w:space="0" w:color="auto"/>
          </w:divBdr>
        </w:div>
        <w:div w:id="1668440696">
          <w:marLeft w:val="0"/>
          <w:marRight w:val="0"/>
          <w:marTop w:val="101"/>
          <w:marBottom w:val="101"/>
          <w:divBdr>
            <w:top w:val="none" w:sz="0" w:space="0" w:color="auto"/>
            <w:left w:val="none" w:sz="0" w:space="0" w:color="auto"/>
            <w:bottom w:val="none" w:sz="0" w:space="0" w:color="auto"/>
            <w:right w:val="none" w:sz="0" w:space="0" w:color="auto"/>
          </w:divBdr>
        </w:div>
        <w:div w:id="2123650688">
          <w:marLeft w:val="0"/>
          <w:marRight w:val="0"/>
          <w:marTop w:val="0"/>
          <w:marBottom w:val="101"/>
          <w:divBdr>
            <w:top w:val="none" w:sz="0" w:space="0" w:color="auto"/>
            <w:left w:val="none" w:sz="0" w:space="0" w:color="auto"/>
            <w:bottom w:val="none" w:sz="0" w:space="0" w:color="auto"/>
            <w:right w:val="none" w:sz="0" w:space="0" w:color="auto"/>
          </w:divBdr>
        </w:div>
        <w:div w:id="2134663706">
          <w:marLeft w:val="0"/>
          <w:marRight w:val="0"/>
          <w:marTop w:val="0"/>
          <w:marBottom w:val="101"/>
          <w:divBdr>
            <w:top w:val="none" w:sz="0" w:space="0" w:color="auto"/>
            <w:left w:val="none" w:sz="0" w:space="0" w:color="auto"/>
            <w:bottom w:val="none" w:sz="0" w:space="0" w:color="auto"/>
            <w:right w:val="none" w:sz="0" w:space="0" w:color="auto"/>
          </w:divBdr>
        </w:div>
      </w:divsChild>
    </w:div>
    <w:div w:id="425931650">
      <w:bodyDiv w:val="1"/>
      <w:marLeft w:val="0"/>
      <w:marRight w:val="0"/>
      <w:marTop w:val="0"/>
      <w:marBottom w:val="0"/>
      <w:divBdr>
        <w:top w:val="none" w:sz="0" w:space="0" w:color="auto"/>
        <w:left w:val="none" w:sz="0" w:space="0" w:color="auto"/>
        <w:bottom w:val="none" w:sz="0" w:space="0" w:color="auto"/>
        <w:right w:val="none" w:sz="0" w:space="0" w:color="auto"/>
      </w:divBdr>
    </w:div>
    <w:div w:id="638000635">
      <w:bodyDiv w:val="1"/>
      <w:marLeft w:val="0"/>
      <w:marRight w:val="0"/>
      <w:marTop w:val="0"/>
      <w:marBottom w:val="0"/>
      <w:divBdr>
        <w:top w:val="none" w:sz="0" w:space="0" w:color="auto"/>
        <w:left w:val="none" w:sz="0" w:space="0" w:color="auto"/>
        <w:bottom w:val="none" w:sz="0" w:space="0" w:color="auto"/>
        <w:right w:val="none" w:sz="0" w:space="0" w:color="auto"/>
      </w:divBdr>
    </w:div>
    <w:div w:id="709383124">
      <w:bodyDiv w:val="1"/>
      <w:marLeft w:val="0"/>
      <w:marRight w:val="0"/>
      <w:marTop w:val="0"/>
      <w:marBottom w:val="0"/>
      <w:divBdr>
        <w:top w:val="none" w:sz="0" w:space="0" w:color="auto"/>
        <w:left w:val="none" w:sz="0" w:space="0" w:color="auto"/>
        <w:bottom w:val="none" w:sz="0" w:space="0" w:color="auto"/>
        <w:right w:val="none" w:sz="0" w:space="0" w:color="auto"/>
      </w:divBdr>
    </w:div>
    <w:div w:id="762653522">
      <w:bodyDiv w:val="1"/>
      <w:marLeft w:val="0"/>
      <w:marRight w:val="0"/>
      <w:marTop w:val="0"/>
      <w:marBottom w:val="0"/>
      <w:divBdr>
        <w:top w:val="none" w:sz="0" w:space="0" w:color="auto"/>
        <w:left w:val="none" w:sz="0" w:space="0" w:color="auto"/>
        <w:bottom w:val="none" w:sz="0" w:space="0" w:color="auto"/>
        <w:right w:val="none" w:sz="0" w:space="0" w:color="auto"/>
      </w:divBdr>
    </w:div>
    <w:div w:id="912277004">
      <w:bodyDiv w:val="1"/>
      <w:marLeft w:val="0"/>
      <w:marRight w:val="0"/>
      <w:marTop w:val="0"/>
      <w:marBottom w:val="0"/>
      <w:divBdr>
        <w:top w:val="none" w:sz="0" w:space="0" w:color="auto"/>
        <w:left w:val="none" w:sz="0" w:space="0" w:color="auto"/>
        <w:bottom w:val="none" w:sz="0" w:space="0" w:color="auto"/>
        <w:right w:val="none" w:sz="0" w:space="0" w:color="auto"/>
      </w:divBdr>
    </w:div>
    <w:div w:id="1063406920">
      <w:bodyDiv w:val="1"/>
      <w:marLeft w:val="0"/>
      <w:marRight w:val="0"/>
      <w:marTop w:val="0"/>
      <w:marBottom w:val="0"/>
      <w:divBdr>
        <w:top w:val="none" w:sz="0" w:space="0" w:color="auto"/>
        <w:left w:val="none" w:sz="0" w:space="0" w:color="auto"/>
        <w:bottom w:val="none" w:sz="0" w:space="0" w:color="auto"/>
        <w:right w:val="none" w:sz="0" w:space="0" w:color="auto"/>
      </w:divBdr>
    </w:div>
    <w:div w:id="1279873264">
      <w:bodyDiv w:val="1"/>
      <w:marLeft w:val="0"/>
      <w:marRight w:val="0"/>
      <w:marTop w:val="0"/>
      <w:marBottom w:val="0"/>
      <w:divBdr>
        <w:top w:val="none" w:sz="0" w:space="0" w:color="auto"/>
        <w:left w:val="none" w:sz="0" w:space="0" w:color="auto"/>
        <w:bottom w:val="none" w:sz="0" w:space="0" w:color="auto"/>
        <w:right w:val="none" w:sz="0" w:space="0" w:color="auto"/>
      </w:divBdr>
      <w:divsChild>
        <w:div w:id="91630785">
          <w:marLeft w:val="0"/>
          <w:marRight w:val="0"/>
          <w:marTop w:val="0"/>
          <w:marBottom w:val="101"/>
          <w:divBdr>
            <w:top w:val="none" w:sz="0" w:space="0" w:color="auto"/>
            <w:left w:val="none" w:sz="0" w:space="0" w:color="auto"/>
            <w:bottom w:val="none" w:sz="0" w:space="0" w:color="auto"/>
            <w:right w:val="none" w:sz="0" w:space="0" w:color="auto"/>
          </w:divBdr>
        </w:div>
        <w:div w:id="528105842">
          <w:marLeft w:val="0"/>
          <w:marRight w:val="0"/>
          <w:marTop w:val="0"/>
          <w:marBottom w:val="101"/>
          <w:divBdr>
            <w:top w:val="none" w:sz="0" w:space="0" w:color="auto"/>
            <w:left w:val="none" w:sz="0" w:space="0" w:color="auto"/>
            <w:bottom w:val="none" w:sz="0" w:space="0" w:color="auto"/>
            <w:right w:val="none" w:sz="0" w:space="0" w:color="auto"/>
          </w:divBdr>
        </w:div>
        <w:div w:id="1323239725">
          <w:marLeft w:val="0"/>
          <w:marRight w:val="0"/>
          <w:marTop w:val="0"/>
          <w:marBottom w:val="101"/>
          <w:divBdr>
            <w:top w:val="none" w:sz="0" w:space="0" w:color="auto"/>
            <w:left w:val="none" w:sz="0" w:space="0" w:color="auto"/>
            <w:bottom w:val="none" w:sz="0" w:space="0" w:color="auto"/>
            <w:right w:val="none" w:sz="0" w:space="0" w:color="auto"/>
          </w:divBdr>
        </w:div>
        <w:div w:id="1839810587">
          <w:marLeft w:val="0"/>
          <w:marRight w:val="0"/>
          <w:marTop w:val="0"/>
          <w:marBottom w:val="101"/>
          <w:divBdr>
            <w:top w:val="none" w:sz="0" w:space="0" w:color="auto"/>
            <w:left w:val="none" w:sz="0" w:space="0" w:color="auto"/>
            <w:bottom w:val="none" w:sz="0" w:space="0" w:color="auto"/>
            <w:right w:val="none" w:sz="0" w:space="0" w:color="auto"/>
          </w:divBdr>
        </w:div>
      </w:divsChild>
    </w:div>
    <w:div w:id="1344167895">
      <w:bodyDiv w:val="1"/>
      <w:marLeft w:val="0"/>
      <w:marRight w:val="0"/>
      <w:marTop w:val="0"/>
      <w:marBottom w:val="0"/>
      <w:divBdr>
        <w:top w:val="none" w:sz="0" w:space="0" w:color="auto"/>
        <w:left w:val="none" w:sz="0" w:space="0" w:color="auto"/>
        <w:bottom w:val="none" w:sz="0" w:space="0" w:color="auto"/>
        <w:right w:val="none" w:sz="0" w:space="0" w:color="auto"/>
      </w:divBdr>
      <w:divsChild>
        <w:div w:id="1991324308">
          <w:marLeft w:val="0"/>
          <w:marRight w:val="0"/>
          <w:marTop w:val="0"/>
          <w:marBottom w:val="101"/>
          <w:divBdr>
            <w:top w:val="none" w:sz="0" w:space="0" w:color="auto"/>
            <w:left w:val="none" w:sz="0" w:space="0" w:color="auto"/>
            <w:bottom w:val="none" w:sz="0" w:space="0" w:color="auto"/>
            <w:right w:val="none" w:sz="0" w:space="0" w:color="auto"/>
          </w:divBdr>
        </w:div>
        <w:div w:id="2059931154">
          <w:marLeft w:val="0"/>
          <w:marRight w:val="0"/>
          <w:marTop w:val="0"/>
          <w:marBottom w:val="101"/>
          <w:divBdr>
            <w:top w:val="none" w:sz="0" w:space="0" w:color="auto"/>
            <w:left w:val="none" w:sz="0" w:space="0" w:color="auto"/>
            <w:bottom w:val="none" w:sz="0" w:space="0" w:color="auto"/>
            <w:right w:val="none" w:sz="0" w:space="0" w:color="auto"/>
          </w:divBdr>
        </w:div>
      </w:divsChild>
    </w:div>
    <w:div w:id="1643925079">
      <w:bodyDiv w:val="1"/>
      <w:marLeft w:val="0"/>
      <w:marRight w:val="0"/>
      <w:marTop w:val="0"/>
      <w:marBottom w:val="0"/>
      <w:divBdr>
        <w:top w:val="none" w:sz="0" w:space="0" w:color="auto"/>
        <w:left w:val="none" w:sz="0" w:space="0" w:color="auto"/>
        <w:bottom w:val="none" w:sz="0" w:space="0" w:color="auto"/>
        <w:right w:val="none" w:sz="0" w:space="0" w:color="auto"/>
      </w:divBdr>
    </w:div>
    <w:div w:id="2064522276">
      <w:bodyDiv w:val="1"/>
      <w:marLeft w:val="0"/>
      <w:marRight w:val="0"/>
      <w:marTop w:val="0"/>
      <w:marBottom w:val="0"/>
      <w:divBdr>
        <w:top w:val="none" w:sz="0" w:space="0" w:color="auto"/>
        <w:left w:val="none" w:sz="0" w:space="0" w:color="auto"/>
        <w:bottom w:val="none" w:sz="0" w:space="0" w:color="auto"/>
        <w:right w:val="none" w:sz="0" w:space="0" w:color="auto"/>
      </w:divBdr>
      <w:divsChild>
        <w:div w:id="1119757341">
          <w:marLeft w:val="0"/>
          <w:marRight w:val="0"/>
          <w:marTop w:val="0"/>
          <w:marBottom w:val="0"/>
          <w:divBdr>
            <w:top w:val="none" w:sz="0" w:space="0" w:color="auto"/>
            <w:left w:val="none" w:sz="0" w:space="0" w:color="auto"/>
            <w:bottom w:val="none" w:sz="0" w:space="0" w:color="auto"/>
            <w:right w:val="none" w:sz="0" w:space="0" w:color="auto"/>
          </w:divBdr>
        </w:div>
        <w:div w:id="113090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E4B7-5089-474F-8100-F56AF13F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2015-08-13T18:11:00Z</dcterms:created>
  <dcterms:modified xsi:type="dcterms:W3CDTF">2015-12-11T15:35:00Z</dcterms:modified>
</cp:coreProperties>
</file>