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D1ADC" w14:textId="77777777" w:rsidR="006A1BCD" w:rsidRPr="00245998" w:rsidRDefault="00E62532" w:rsidP="00245998">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r w:rsidRPr="00245998">
        <w:rPr>
          <w:rFonts w:ascii="ITC Avant Garde" w:eastAsiaTheme="majorEastAsia" w:hAnsi="ITC Avant Garde" w:cstheme="majorBidi"/>
          <w:color w:val="000000" w:themeColor="text1"/>
          <w:sz w:val="22"/>
          <w:szCs w:val="22"/>
          <w:lang w:val="es-MX" w:eastAsia="es-MX"/>
        </w:rPr>
        <w:t xml:space="preserve">RESOLUCIÓN MEDIANTE LA CUAL EL PLENO DEL INSTITUTO FEDERAL DE TELECOMUNICACIONES AUTORIZA </w:t>
      </w:r>
      <w:r w:rsidR="000F2CDA" w:rsidRPr="00245998">
        <w:rPr>
          <w:rFonts w:ascii="ITC Avant Garde" w:eastAsiaTheme="majorEastAsia" w:hAnsi="ITC Avant Garde" w:cstheme="majorBidi"/>
          <w:color w:val="000000" w:themeColor="text1"/>
          <w:sz w:val="22"/>
          <w:szCs w:val="22"/>
          <w:lang w:val="es-MX" w:eastAsia="es-MX"/>
        </w:rPr>
        <w:t xml:space="preserve">LA </w:t>
      </w:r>
      <w:r w:rsidR="002478B6" w:rsidRPr="00245998">
        <w:rPr>
          <w:rFonts w:ascii="ITC Avant Garde" w:eastAsiaTheme="majorEastAsia" w:hAnsi="ITC Avant Garde" w:cstheme="majorBidi"/>
          <w:color w:val="000000" w:themeColor="text1"/>
          <w:sz w:val="22"/>
          <w:szCs w:val="22"/>
          <w:lang w:val="es-MX" w:eastAsia="es-MX"/>
        </w:rPr>
        <w:t>ENAJENACIÓN</w:t>
      </w:r>
      <w:r w:rsidR="000F2CDA" w:rsidRPr="00245998">
        <w:rPr>
          <w:rFonts w:ascii="ITC Avant Garde" w:eastAsiaTheme="majorEastAsia" w:hAnsi="ITC Avant Garde" w:cstheme="majorBidi"/>
          <w:color w:val="000000" w:themeColor="text1"/>
          <w:sz w:val="22"/>
          <w:szCs w:val="22"/>
          <w:lang w:val="es-MX" w:eastAsia="es-MX"/>
        </w:rPr>
        <w:t xml:space="preserve"> DE ACCIONES DE LA EMPRESA </w:t>
      </w:r>
      <w:r w:rsidR="006939C7" w:rsidRPr="00245998">
        <w:rPr>
          <w:rFonts w:ascii="ITC Avant Garde" w:eastAsiaTheme="majorEastAsia" w:hAnsi="ITC Avant Garde" w:cstheme="majorBidi"/>
          <w:color w:val="000000" w:themeColor="text1"/>
          <w:sz w:val="22"/>
          <w:szCs w:val="22"/>
          <w:lang w:val="es-MX" w:eastAsia="es-MX"/>
        </w:rPr>
        <w:t>TELECABLE DE TIERRA CALIENTE, S.A. DE C.V.</w:t>
      </w:r>
    </w:p>
    <w:p w14:paraId="27FBA6D5" w14:textId="77777777" w:rsidR="006A1BCD" w:rsidRPr="00245998" w:rsidRDefault="00067854" w:rsidP="00245998">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245998">
        <w:rPr>
          <w:rFonts w:ascii="ITC Avant Garde" w:eastAsiaTheme="majorEastAsia" w:hAnsi="ITC Avant Garde" w:cstheme="majorBidi"/>
          <w:color w:val="000000" w:themeColor="text1"/>
          <w:sz w:val="22"/>
          <w:szCs w:val="22"/>
          <w:lang w:eastAsia="en-US"/>
        </w:rPr>
        <w:t>ANTECEDENTES</w:t>
      </w:r>
    </w:p>
    <w:p w14:paraId="2EB9BF2E" w14:textId="073C1B9A" w:rsidR="006A1BCD" w:rsidRPr="006A1BCD" w:rsidRDefault="008E4EB4" w:rsidP="006A1BCD">
      <w:pPr>
        <w:numPr>
          <w:ilvl w:val="0"/>
          <w:numId w:val="24"/>
        </w:numPr>
        <w:spacing w:before="240" w:after="240"/>
        <w:ind w:left="567" w:hanging="425"/>
        <w:jc w:val="both"/>
        <w:rPr>
          <w:rFonts w:ascii="ITC Avant Garde" w:hAnsi="ITC Avant Garde"/>
          <w:bCs/>
          <w:color w:val="000000" w:themeColor="text1"/>
          <w:sz w:val="22"/>
          <w:szCs w:val="22"/>
          <w:lang w:eastAsia="es-MX"/>
        </w:rPr>
      </w:pPr>
      <w:r w:rsidRPr="006A1BCD">
        <w:rPr>
          <w:rFonts w:ascii="ITC Avant Garde" w:hAnsi="ITC Avant Garde"/>
          <w:b/>
          <w:bCs/>
          <w:color w:val="000000" w:themeColor="text1"/>
          <w:sz w:val="22"/>
          <w:szCs w:val="22"/>
          <w:lang w:eastAsia="es-MX"/>
        </w:rPr>
        <w:t>Otorgamiento de la Primera Concesión.</w:t>
      </w:r>
      <w:r w:rsidRPr="006A1BCD">
        <w:rPr>
          <w:rFonts w:ascii="ITC Avant Garde" w:hAnsi="ITC Avant Garde"/>
          <w:bCs/>
          <w:color w:val="000000" w:themeColor="text1"/>
          <w:sz w:val="22"/>
          <w:szCs w:val="22"/>
          <w:lang w:eastAsia="es-MX"/>
        </w:rPr>
        <w:t xml:space="preserve"> El 27 de diciembre de 1996, la Secretaría de Comunicaciones y Transportes (la “Secretaría”), otorgó a favor de </w:t>
      </w:r>
      <w:proofErr w:type="spellStart"/>
      <w:r w:rsidRPr="006A1BCD">
        <w:rPr>
          <w:rFonts w:ascii="ITC Avant Garde" w:hAnsi="ITC Avant Garde"/>
          <w:bCs/>
          <w:color w:val="000000" w:themeColor="text1"/>
          <w:sz w:val="22"/>
          <w:szCs w:val="22"/>
          <w:lang w:eastAsia="es-MX"/>
        </w:rPr>
        <w:t>Telecable</w:t>
      </w:r>
      <w:proofErr w:type="spellEnd"/>
      <w:r w:rsidRPr="006A1BCD">
        <w:rPr>
          <w:rFonts w:ascii="ITC Avant Garde" w:hAnsi="ITC Avant Garde"/>
          <w:bCs/>
          <w:color w:val="000000" w:themeColor="text1"/>
          <w:sz w:val="22"/>
          <w:szCs w:val="22"/>
          <w:lang w:eastAsia="es-MX"/>
        </w:rPr>
        <w:t xml:space="preserve"> de </w:t>
      </w:r>
      <w:proofErr w:type="spellStart"/>
      <w:r w:rsidRPr="006A1BCD">
        <w:rPr>
          <w:rFonts w:ascii="ITC Avant Garde" w:hAnsi="ITC Avant Garde"/>
          <w:bCs/>
          <w:color w:val="000000" w:themeColor="text1"/>
          <w:sz w:val="22"/>
          <w:szCs w:val="22"/>
          <w:lang w:eastAsia="es-MX"/>
        </w:rPr>
        <w:t>Huetamo</w:t>
      </w:r>
      <w:proofErr w:type="spellEnd"/>
      <w:r w:rsidRPr="006A1BCD">
        <w:rPr>
          <w:rFonts w:ascii="ITC Avant Garde" w:hAnsi="ITC Avant Garde"/>
          <w:bCs/>
          <w:color w:val="000000" w:themeColor="text1"/>
          <w:sz w:val="22"/>
          <w:szCs w:val="22"/>
          <w:lang w:eastAsia="es-MX"/>
        </w:rPr>
        <w:t xml:space="preserve">, S.A. de C.V., un título de concesión para instalar, operar y explotar una red pública de telecomunicaciones para prestar el servicio de televisión por cable, con cobertura en </w:t>
      </w:r>
      <w:proofErr w:type="spellStart"/>
      <w:r w:rsidRPr="006A1BCD">
        <w:rPr>
          <w:rFonts w:ascii="ITC Avant Garde" w:hAnsi="ITC Avant Garde"/>
          <w:bCs/>
          <w:color w:val="000000" w:themeColor="text1"/>
          <w:sz w:val="22"/>
          <w:szCs w:val="22"/>
          <w:lang w:eastAsia="es-MX"/>
        </w:rPr>
        <w:t>Huetamo</w:t>
      </w:r>
      <w:proofErr w:type="spellEnd"/>
      <w:r w:rsidRPr="006A1BCD">
        <w:rPr>
          <w:rFonts w:ascii="ITC Avant Garde" w:hAnsi="ITC Avant Garde"/>
          <w:bCs/>
          <w:color w:val="000000" w:themeColor="text1"/>
          <w:sz w:val="22"/>
          <w:szCs w:val="22"/>
          <w:lang w:eastAsia="es-MX"/>
        </w:rPr>
        <w:t>, en el estado de Michoacán; Altamirano, Arcelia y Coyuca de Catalán, en el Estado de Guerrero, con una vigencia de 30 (treinta) años contados a partir de su otorgamiento (la “Primera Concesión”).</w:t>
      </w:r>
    </w:p>
    <w:p w14:paraId="32CC0ADA" w14:textId="77777777" w:rsidR="006A1BCD" w:rsidRPr="006A1BCD" w:rsidRDefault="008E4EB4" w:rsidP="006A1BCD">
      <w:pPr>
        <w:pStyle w:val="Prrafodelista"/>
        <w:numPr>
          <w:ilvl w:val="0"/>
          <w:numId w:val="33"/>
        </w:numPr>
        <w:spacing w:before="240" w:after="240"/>
        <w:ind w:left="993"/>
        <w:jc w:val="both"/>
        <w:rPr>
          <w:rFonts w:ascii="ITC Avant Garde" w:hAnsi="ITC Avant Garde"/>
          <w:bCs/>
          <w:color w:val="000000" w:themeColor="text1"/>
          <w:sz w:val="22"/>
          <w:szCs w:val="22"/>
          <w:lang w:eastAsia="es-MX"/>
        </w:rPr>
      </w:pPr>
      <w:r w:rsidRPr="006A1BCD">
        <w:rPr>
          <w:rFonts w:ascii="ITC Avant Garde" w:hAnsi="ITC Avant Garde"/>
          <w:b/>
          <w:bCs/>
          <w:color w:val="000000" w:themeColor="text1"/>
          <w:sz w:val="22"/>
          <w:szCs w:val="22"/>
          <w:lang w:val="es-MX" w:eastAsia="es-MX"/>
        </w:rPr>
        <w:t>Cambio de denominación social</w:t>
      </w:r>
      <w:r w:rsidRPr="006A1BCD">
        <w:rPr>
          <w:rFonts w:ascii="ITC Avant Garde" w:hAnsi="ITC Avant Garde"/>
          <w:b/>
          <w:bCs/>
          <w:color w:val="000000" w:themeColor="text1"/>
          <w:sz w:val="22"/>
          <w:szCs w:val="22"/>
          <w:lang w:eastAsia="es-MX"/>
        </w:rPr>
        <w:t xml:space="preserve">. </w:t>
      </w:r>
      <w:r w:rsidRPr="006A1BCD">
        <w:rPr>
          <w:rFonts w:ascii="ITC Avant Garde" w:hAnsi="ITC Avant Garde"/>
          <w:bCs/>
          <w:color w:val="000000" w:themeColor="text1"/>
          <w:sz w:val="22"/>
          <w:szCs w:val="22"/>
          <w:lang w:val="es-MX" w:eastAsia="es-MX"/>
        </w:rPr>
        <w:t>El 28 de septiembre de 2001, mediante oficio 112.207.-</w:t>
      </w:r>
      <w:r w:rsidR="004C0C2D" w:rsidRPr="006A1BCD">
        <w:rPr>
          <w:rFonts w:ascii="ITC Avant Garde" w:hAnsi="ITC Avant Garde"/>
          <w:bCs/>
          <w:color w:val="000000" w:themeColor="text1"/>
          <w:sz w:val="22"/>
          <w:szCs w:val="22"/>
          <w:lang w:val="es-MX" w:eastAsia="es-MX"/>
        </w:rPr>
        <w:t xml:space="preserve">1616, </w:t>
      </w:r>
      <w:r w:rsidRPr="006A1BCD">
        <w:rPr>
          <w:rFonts w:ascii="ITC Avant Garde" w:hAnsi="ITC Avant Garde"/>
          <w:bCs/>
          <w:color w:val="000000" w:themeColor="text1"/>
          <w:sz w:val="22"/>
          <w:szCs w:val="22"/>
          <w:lang w:val="es-MX" w:eastAsia="es-MX"/>
        </w:rPr>
        <w:t xml:space="preserve">la Secretaría llevó a cabo la toma de nota respecto al cambio de denominación social de </w:t>
      </w:r>
      <w:proofErr w:type="spellStart"/>
      <w:r w:rsidRPr="006A1BCD">
        <w:rPr>
          <w:rFonts w:ascii="ITC Avant Garde" w:hAnsi="ITC Avant Garde"/>
          <w:bCs/>
          <w:color w:val="000000" w:themeColor="text1"/>
          <w:sz w:val="22"/>
          <w:szCs w:val="22"/>
          <w:lang w:val="es-MX" w:eastAsia="es-MX"/>
        </w:rPr>
        <w:t>Telecable</w:t>
      </w:r>
      <w:proofErr w:type="spellEnd"/>
      <w:r w:rsidRPr="006A1BCD">
        <w:rPr>
          <w:rFonts w:ascii="ITC Avant Garde" w:hAnsi="ITC Avant Garde"/>
          <w:bCs/>
          <w:color w:val="000000" w:themeColor="text1"/>
          <w:sz w:val="22"/>
          <w:szCs w:val="22"/>
          <w:lang w:val="es-MX" w:eastAsia="es-MX"/>
        </w:rPr>
        <w:t xml:space="preserve"> de </w:t>
      </w:r>
      <w:proofErr w:type="spellStart"/>
      <w:r w:rsidRPr="006A1BCD">
        <w:rPr>
          <w:rFonts w:ascii="ITC Avant Garde" w:hAnsi="ITC Avant Garde"/>
          <w:bCs/>
          <w:color w:val="000000" w:themeColor="text1"/>
          <w:sz w:val="22"/>
          <w:szCs w:val="22"/>
          <w:lang w:val="es-MX" w:eastAsia="es-MX"/>
        </w:rPr>
        <w:t>Huetamo</w:t>
      </w:r>
      <w:proofErr w:type="spellEnd"/>
      <w:r w:rsidRPr="006A1BCD">
        <w:rPr>
          <w:rFonts w:ascii="ITC Avant Garde" w:hAnsi="ITC Avant Garde"/>
          <w:bCs/>
          <w:color w:val="000000" w:themeColor="text1"/>
          <w:sz w:val="22"/>
          <w:szCs w:val="22"/>
          <w:lang w:val="es-MX" w:eastAsia="es-MX"/>
        </w:rPr>
        <w:t xml:space="preserve">, S.A. de C.V., por el de </w:t>
      </w:r>
      <w:proofErr w:type="spellStart"/>
      <w:r w:rsidRPr="006A1BCD">
        <w:rPr>
          <w:rFonts w:ascii="ITC Avant Garde" w:hAnsi="ITC Avant Garde"/>
          <w:bCs/>
          <w:color w:val="000000" w:themeColor="text1"/>
          <w:sz w:val="22"/>
          <w:szCs w:val="22"/>
          <w:lang w:val="es-MX" w:eastAsia="es-MX"/>
        </w:rPr>
        <w:t>Telecable</w:t>
      </w:r>
      <w:proofErr w:type="spellEnd"/>
      <w:r w:rsidRPr="006A1BCD">
        <w:rPr>
          <w:rFonts w:ascii="ITC Avant Garde" w:hAnsi="ITC Avant Garde"/>
          <w:bCs/>
          <w:color w:val="000000" w:themeColor="text1"/>
          <w:sz w:val="22"/>
          <w:szCs w:val="22"/>
          <w:lang w:val="es-MX" w:eastAsia="es-MX"/>
        </w:rPr>
        <w:t xml:space="preserve"> de Tierra Caliente, S.A. de C.V</w:t>
      </w:r>
      <w:r w:rsidRPr="006A1BCD">
        <w:rPr>
          <w:rFonts w:ascii="ITC Avant Garde" w:hAnsi="ITC Avant Garde"/>
          <w:bCs/>
          <w:color w:val="000000" w:themeColor="text1"/>
          <w:sz w:val="22"/>
          <w:szCs w:val="22"/>
          <w:lang w:eastAsia="es-MX"/>
        </w:rPr>
        <w:t>.</w:t>
      </w:r>
    </w:p>
    <w:p w14:paraId="36C34343" w14:textId="77777777" w:rsidR="006A1BCD" w:rsidRPr="006A1BCD" w:rsidRDefault="004C0C2D" w:rsidP="006A1BCD">
      <w:pPr>
        <w:pStyle w:val="Prrafodelista"/>
        <w:numPr>
          <w:ilvl w:val="0"/>
          <w:numId w:val="33"/>
        </w:numPr>
        <w:spacing w:before="240" w:after="240"/>
        <w:ind w:left="993"/>
        <w:jc w:val="both"/>
        <w:rPr>
          <w:rFonts w:ascii="ITC Avant Garde" w:hAnsi="ITC Avant Garde"/>
          <w:bCs/>
          <w:color w:val="000000" w:themeColor="text1"/>
          <w:sz w:val="22"/>
          <w:szCs w:val="22"/>
          <w:lang w:eastAsia="es-MX"/>
        </w:rPr>
      </w:pPr>
      <w:r w:rsidRPr="006A1BCD">
        <w:rPr>
          <w:rFonts w:ascii="ITC Avant Garde" w:eastAsia="Calibri" w:hAnsi="ITC Avant Garde"/>
          <w:b/>
          <w:bCs/>
          <w:color w:val="000000" w:themeColor="text1"/>
          <w:sz w:val="22"/>
          <w:szCs w:val="22"/>
          <w:lang w:val="es-MX" w:eastAsia="es-MX"/>
        </w:rPr>
        <w:t xml:space="preserve">Ampliación de Cobertura. </w:t>
      </w:r>
      <w:r w:rsidRPr="006A1BCD">
        <w:rPr>
          <w:rFonts w:ascii="ITC Avant Garde" w:hAnsi="ITC Avant Garde"/>
          <w:bCs/>
          <w:color w:val="000000" w:themeColor="text1"/>
          <w:sz w:val="22"/>
          <w:szCs w:val="22"/>
          <w:lang w:eastAsia="es-MX"/>
        </w:rPr>
        <w:t xml:space="preserve">Con fecha </w:t>
      </w:r>
      <w:r w:rsidRPr="006A1BCD">
        <w:rPr>
          <w:rFonts w:ascii="ITC Avant Garde" w:eastAsia="Calibri" w:hAnsi="ITC Avant Garde"/>
          <w:bCs/>
          <w:color w:val="000000" w:themeColor="text1"/>
          <w:sz w:val="22"/>
          <w:szCs w:val="22"/>
          <w:lang w:val="es-MX" w:eastAsia="es-MX"/>
        </w:rPr>
        <w:t>26 de abril de 2004</w:t>
      </w:r>
      <w:r w:rsidRPr="006A1BCD">
        <w:rPr>
          <w:rFonts w:ascii="ITC Avant Garde" w:hAnsi="ITC Avant Garde"/>
          <w:bCs/>
          <w:color w:val="000000" w:themeColor="text1"/>
          <w:sz w:val="22"/>
          <w:szCs w:val="22"/>
          <w:lang w:eastAsia="es-MX"/>
        </w:rPr>
        <w:t xml:space="preserve">, la Coordinación General de Servicios de Telecomunicaciones de la </w:t>
      </w:r>
      <w:r w:rsidR="002617D6" w:rsidRPr="006A1BCD">
        <w:rPr>
          <w:rFonts w:ascii="ITC Avant Garde" w:hAnsi="ITC Avant Garde"/>
          <w:bCs/>
          <w:color w:val="000000" w:themeColor="text1"/>
          <w:sz w:val="22"/>
          <w:szCs w:val="22"/>
          <w:lang w:eastAsia="es-MX"/>
        </w:rPr>
        <w:t xml:space="preserve">extinta </w:t>
      </w:r>
      <w:r w:rsidRPr="006A1BCD">
        <w:rPr>
          <w:rFonts w:ascii="ITC Avant Garde" w:hAnsi="ITC Avant Garde"/>
          <w:bCs/>
          <w:color w:val="000000" w:themeColor="text1"/>
          <w:sz w:val="22"/>
          <w:szCs w:val="22"/>
          <w:lang w:eastAsia="es-MX"/>
        </w:rPr>
        <w:t xml:space="preserve">Comisión Federal de Telecomunicaciones (la “Comisión”), a través de la Dirección General de Televisión y Audio Restringidos, mediante oficio CFT/D06/CGST/DGTVAR/4104/2004, autorizó a </w:t>
      </w:r>
      <w:proofErr w:type="spellStart"/>
      <w:r w:rsidRPr="006A1BCD">
        <w:rPr>
          <w:rFonts w:ascii="ITC Avant Garde" w:hAnsi="ITC Avant Garde"/>
          <w:bCs/>
          <w:color w:val="000000" w:themeColor="text1"/>
          <w:sz w:val="22"/>
          <w:szCs w:val="22"/>
          <w:lang w:val="es-MX" w:eastAsia="es-MX"/>
        </w:rPr>
        <w:t>Telecable</w:t>
      </w:r>
      <w:proofErr w:type="spellEnd"/>
      <w:r w:rsidRPr="006A1BCD">
        <w:rPr>
          <w:rFonts w:ascii="ITC Avant Garde" w:hAnsi="ITC Avant Garde"/>
          <w:bCs/>
          <w:color w:val="000000" w:themeColor="text1"/>
          <w:sz w:val="22"/>
          <w:szCs w:val="22"/>
          <w:lang w:val="es-MX" w:eastAsia="es-MX"/>
        </w:rPr>
        <w:t xml:space="preserve"> de Tierra Caliente</w:t>
      </w:r>
      <w:r w:rsidRPr="006A1BCD">
        <w:rPr>
          <w:rFonts w:ascii="ITC Avant Garde" w:hAnsi="ITC Avant Garde"/>
          <w:bCs/>
          <w:color w:val="000000" w:themeColor="text1"/>
          <w:sz w:val="22"/>
          <w:szCs w:val="22"/>
          <w:lang w:eastAsia="es-MX"/>
        </w:rPr>
        <w:t xml:space="preserve">, S.A. de C.V., la ampliación de cobertura de la Primera Concesión hacia </w:t>
      </w:r>
      <w:r w:rsidRPr="006A1BCD">
        <w:rPr>
          <w:rFonts w:ascii="ITC Avant Garde" w:eastAsia="Calibri" w:hAnsi="ITC Avant Garde"/>
          <w:bCs/>
          <w:color w:val="000000" w:themeColor="text1"/>
          <w:sz w:val="22"/>
          <w:szCs w:val="22"/>
          <w:lang w:val="es-MX" w:eastAsia="es-MX"/>
        </w:rPr>
        <w:t xml:space="preserve">hacia las localidades de Cutzamala y </w:t>
      </w:r>
      <w:proofErr w:type="spellStart"/>
      <w:r w:rsidRPr="006A1BCD">
        <w:rPr>
          <w:rFonts w:ascii="ITC Avant Garde" w:eastAsia="Calibri" w:hAnsi="ITC Avant Garde"/>
          <w:bCs/>
          <w:color w:val="000000" w:themeColor="text1"/>
          <w:sz w:val="22"/>
          <w:szCs w:val="22"/>
          <w:lang w:val="es-MX" w:eastAsia="es-MX"/>
        </w:rPr>
        <w:t>Zirándaro</w:t>
      </w:r>
      <w:proofErr w:type="spellEnd"/>
      <w:r w:rsidRPr="006A1BCD">
        <w:rPr>
          <w:rFonts w:ascii="ITC Avant Garde" w:eastAsia="Calibri" w:hAnsi="ITC Avant Garde"/>
          <w:bCs/>
          <w:color w:val="000000" w:themeColor="text1"/>
          <w:sz w:val="22"/>
          <w:szCs w:val="22"/>
          <w:lang w:val="es-MX" w:eastAsia="es-MX"/>
        </w:rPr>
        <w:t>, en el Estado de Guerrero.</w:t>
      </w:r>
    </w:p>
    <w:p w14:paraId="7D50C1E3" w14:textId="77777777" w:rsidR="006A1BCD" w:rsidRPr="006A1BCD" w:rsidRDefault="004C0C2D" w:rsidP="006A1BCD">
      <w:pPr>
        <w:pStyle w:val="Prrafodelista"/>
        <w:numPr>
          <w:ilvl w:val="0"/>
          <w:numId w:val="33"/>
        </w:numPr>
        <w:spacing w:before="240" w:after="240"/>
        <w:ind w:left="993"/>
        <w:jc w:val="both"/>
        <w:rPr>
          <w:rFonts w:ascii="ITC Avant Garde" w:hAnsi="ITC Avant Garde"/>
          <w:bCs/>
          <w:color w:val="000000" w:themeColor="text1"/>
          <w:sz w:val="22"/>
          <w:szCs w:val="22"/>
          <w:lang w:eastAsia="es-MX"/>
        </w:rPr>
      </w:pPr>
      <w:r w:rsidRPr="006A1BCD">
        <w:rPr>
          <w:rFonts w:ascii="ITC Avant Garde" w:hAnsi="ITC Avant Garde"/>
          <w:b/>
          <w:bCs/>
          <w:color w:val="000000" w:themeColor="text1"/>
          <w:sz w:val="22"/>
          <w:szCs w:val="22"/>
          <w:lang w:eastAsia="es-MX"/>
        </w:rPr>
        <w:t>Servicio de transmisión bidireccional de datos.</w:t>
      </w:r>
      <w:r w:rsidRPr="006A1BCD">
        <w:rPr>
          <w:rFonts w:ascii="ITC Avant Garde" w:hAnsi="ITC Avant Garde"/>
          <w:bCs/>
          <w:color w:val="000000" w:themeColor="text1"/>
          <w:sz w:val="22"/>
          <w:szCs w:val="22"/>
          <w:lang w:eastAsia="es-MX"/>
        </w:rPr>
        <w:t xml:space="preserve"> El 2 de julio de 2004, el representante legal de </w:t>
      </w:r>
      <w:proofErr w:type="spellStart"/>
      <w:r w:rsidRPr="006A1BCD">
        <w:rPr>
          <w:rFonts w:ascii="ITC Avant Garde" w:hAnsi="ITC Avant Garde"/>
          <w:bCs/>
          <w:color w:val="000000" w:themeColor="text1"/>
          <w:sz w:val="22"/>
          <w:szCs w:val="22"/>
          <w:lang w:eastAsia="es-MX"/>
        </w:rPr>
        <w:t>Telecable</w:t>
      </w:r>
      <w:proofErr w:type="spellEnd"/>
      <w:r w:rsidRPr="006A1BCD">
        <w:rPr>
          <w:rFonts w:ascii="ITC Avant Garde" w:hAnsi="ITC Avant Garde"/>
          <w:bCs/>
          <w:color w:val="000000" w:themeColor="text1"/>
          <w:sz w:val="22"/>
          <w:szCs w:val="22"/>
          <w:lang w:eastAsia="es-MX"/>
        </w:rPr>
        <w:t xml:space="preserve"> de Tierra Caliente, S.A. de C.V., presentó ante la Secretaría escrito mediante el cual hace de conocimiento que su representada daría inicio al servicio de transmisión bidireccional de datos a partir del 25 de julio de 2004, de conformidad con el “Acuerdo por el que se modifica el Anexo A y se adiciona, según corresponda, el Anexo B o C a los títulos de concesión para instalar, operar y explotar redes públicas de telecomunicaciones que comprenden el servicio de televisión restringida a través de redes cableadas, para incluir el servicio de transmisión bidireccional de datos”, publicado en el Diario Oficial de la Federación el 7 de octubre de 2003”.</w:t>
      </w:r>
    </w:p>
    <w:p w14:paraId="37AB2082" w14:textId="7BF83D33" w:rsidR="008E4EB4" w:rsidRPr="006A1BCD" w:rsidRDefault="004C0C2D" w:rsidP="006A1BCD">
      <w:pPr>
        <w:pStyle w:val="Prrafodelista"/>
        <w:numPr>
          <w:ilvl w:val="0"/>
          <w:numId w:val="33"/>
        </w:numPr>
        <w:spacing w:before="240" w:after="240"/>
        <w:ind w:left="993"/>
        <w:jc w:val="both"/>
        <w:rPr>
          <w:rFonts w:ascii="ITC Avant Garde" w:hAnsi="ITC Avant Garde"/>
          <w:bCs/>
          <w:color w:val="000000" w:themeColor="text1"/>
          <w:sz w:val="22"/>
          <w:szCs w:val="22"/>
          <w:lang w:eastAsia="es-MX"/>
        </w:rPr>
      </w:pPr>
      <w:r w:rsidRPr="006A1BCD">
        <w:rPr>
          <w:rFonts w:ascii="ITC Avant Garde" w:eastAsia="Calibri" w:hAnsi="ITC Avant Garde"/>
          <w:b/>
          <w:bCs/>
          <w:color w:val="000000" w:themeColor="text1"/>
          <w:sz w:val="22"/>
          <w:szCs w:val="22"/>
          <w:lang w:val="es-MX" w:eastAsia="es-MX"/>
        </w:rPr>
        <w:t xml:space="preserve">Constancia de Registro de Servicios de Valor Agregado. </w:t>
      </w:r>
      <w:r w:rsidRPr="006A1BCD">
        <w:rPr>
          <w:rFonts w:ascii="ITC Avant Garde" w:eastAsia="Calibri" w:hAnsi="ITC Avant Garde"/>
          <w:bCs/>
          <w:color w:val="000000" w:themeColor="text1"/>
          <w:sz w:val="22"/>
          <w:szCs w:val="22"/>
          <w:lang w:val="es-MX" w:eastAsia="es-MX"/>
        </w:rPr>
        <w:t xml:space="preserve">Con fecha 12 de septiembre de 2008, la Comisión notificó al representante legal de </w:t>
      </w:r>
      <w:proofErr w:type="spellStart"/>
      <w:r w:rsidRPr="006A1BCD">
        <w:rPr>
          <w:rFonts w:ascii="ITC Avant Garde" w:eastAsia="Calibri" w:hAnsi="ITC Avant Garde"/>
          <w:bCs/>
          <w:color w:val="000000" w:themeColor="text1"/>
          <w:sz w:val="22"/>
          <w:szCs w:val="22"/>
          <w:lang w:val="es-MX" w:eastAsia="es-MX"/>
        </w:rPr>
        <w:t>Telecable</w:t>
      </w:r>
      <w:proofErr w:type="spellEnd"/>
      <w:r w:rsidRPr="006A1BCD">
        <w:rPr>
          <w:rFonts w:ascii="ITC Avant Garde" w:eastAsia="Calibri" w:hAnsi="ITC Avant Garde"/>
          <w:bCs/>
          <w:color w:val="000000" w:themeColor="text1"/>
          <w:sz w:val="22"/>
          <w:szCs w:val="22"/>
          <w:lang w:val="es-MX" w:eastAsia="es-MX"/>
        </w:rPr>
        <w:t xml:space="preserve"> de Tierra Caliente, S.A. de C.V., la Constancia de Registro de Servicios de Valor Agregado que comprende el servicio de provisión de acceso a internet.</w:t>
      </w:r>
    </w:p>
    <w:p w14:paraId="783BA8EA" w14:textId="77777777" w:rsidR="006A1BCD" w:rsidRPr="006A1BCD" w:rsidRDefault="004C0C2D" w:rsidP="006A1BCD">
      <w:pPr>
        <w:numPr>
          <w:ilvl w:val="0"/>
          <w:numId w:val="24"/>
        </w:numPr>
        <w:spacing w:before="240" w:after="240"/>
        <w:ind w:left="567"/>
        <w:jc w:val="both"/>
        <w:rPr>
          <w:rFonts w:ascii="ITC Avant Garde" w:hAnsi="ITC Avant Garde"/>
          <w:bCs/>
          <w:color w:val="000000" w:themeColor="text1"/>
          <w:sz w:val="22"/>
          <w:szCs w:val="22"/>
          <w:lang w:eastAsia="es-MX"/>
        </w:rPr>
      </w:pPr>
      <w:r w:rsidRPr="006A1BCD">
        <w:rPr>
          <w:rFonts w:ascii="ITC Avant Garde" w:hAnsi="ITC Avant Garde"/>
          <w:b/>
          <w:bCs/>
          <w:color w:val="000000" w:themeColor="text1"/>
          <w:sz w:val="22"/>
          <w:szCs w:val="22"/>
          <w:lang w:eastAsia="es-MX"/>
        </w:rPr>
        <w:lastRenderedPageBreak/>
        <w:t>Otorgamiento de la Segunda Concesión.</w:t>
      </w:r>
      <w:r w:rsidRPr="006A1BCD">
        <w:rPr>
          <w:rFonts w:ascii="ITC Avant Garde" w:hAnsi="ITC Avant Garde"/>
          <w:bCs/>
          <w:color w:val="000000" w:themeColor="text1"/>
          <w:sz w:val="22"/>
          <w:szCs w:val="22"/>
          <w:lang w:eastAsia="es-MX"/>
        </w:rPr>
        <w:t xml:space="preserve"> El 19 de enero de 2006, la Secretaría otorgó a favor de </w:t>
      </w:r>
      <w:r w:rsidR="003010EC" w:rsidRPr="006A1BCD">
        <w:rPr>
          <w:rFonts w:ascii="ITC Avant Garde" w:hAnsi="ITC Avant Garde"/>
          <w:bCs/>
          <w:color w:val="000000" w:themeColor="text1"/>
          <w:sz w:val="22"/>
          <w:szCs w:val="22"/>
          <w:lang w:eastAsia="es-MX"/>
        </w:rPr>
        <w:t xml:space="preserve">la C. María Lucila García Rodríguez </w:t>
      </w:r>
      <w:r w:rsidRPr="006A1BCD">
        <w:rPr>
          <w:rFonts w:ascii="ITC Avant Garde" w:hAnsi="ITC Avant Garde"/>
          <w:bCs/>
          <w:color w:val="000000" w:themeColor="text1"/>
          <w:sz w:val="22"/>
          <w:szCs w:val="22"/>
          <w:lang w:eastAsia="es-MX"/>
        </w:rPr>
        <w:t xml:space="preserve">un título de concesión para instalar, operar y explotar una red pública de telecomunicaciones para prestar el servicio de televisión </w:t>
      </w:r>
      <w:r w:rsidR="003010EC" w:rsidRPr="006A1BCD">
        <w:rPr>
          <w:rFonts w:ascii="ITC Avant Garde" w:hAnsi="ITC Avant Garde"/>
          <w:bCs/>
          <w:color w:val="000000" w:themeColor="text1"/>
          <w:sz w:val="22"/>
          <w:szCs w:val="22"/>
          <w:lang w:eastAsia="es-MX"/>
        </w:rPr>
        <w:t>restringida</w:t>
      </w:r>
      <w:r w:rsidRPr="006A1BCD">
        <w:rPr>
          <w:rFonts w:ascii="ITC Avant Garde" w:hAnsi="ITC Avant Garde"/>
          <w:bCs/>
          <w:color w:val="000000" w:themeColor="text1"/>
          <w:sz w:val="22"/>
          <w:szCs w:val="22"/>
          <w:lang w:eastAsia="es-MX"/>
        </w:rPr>
        <w:t xml:space="preserve">, con cobertura en </w:t>
      </w:r>
      <w:proofErr w:type="spellStart"/>
      <w:r w:rsidR="003010EC" w:rsidRPr="006A1BCD">
        <w:rPr>
          <w:rFonts w:ascii="ITC Avant Garde" w:hAnsi="ITC Avant Garde"/>
          <w:bCs/>
          <w:color w:val="000000" w:themeColor="text1"/>
          <w:sz w:val="22"/>
          <w:szCs w:val="22"/>
          <w:lang w:eastAsia="es-MX"/>
        </w:rPr>
        <w:t>Tlapehuala</w:t>
      </w:r>
      <w:proofErr w:type="spellEnd"/>
      <w:r w:rsidR="003010EC" w:rsidRPr="006A1BCD">
        <w:rPr>
          <w:rFonts w:ascii="ITC Avant Garde" w:hAnsi="ITC Avant Garde"/>
          <w:bCs/>
          <w:color w:val="000000" w:themeColor="text1"/>
          <w:sz w:val="22"/>
          <w:szCs w:val="22"/>
          <w:lang w:eastAsia="es-MX"/>
        </w:rPr>
        <w:t xml:space="preserve"> y San José </w:t>
      </w:r>
      <w:proofErr w:type="spellStart"/>
      <w:r w:rsidR="003010EC" w:rsidRPr="006A1BCD">
        <w:rPr>
          <w:rFonts w:ascii="ITC Avant Garde" w:hAnsi="ITC Avant Garde"/>
          <w:bCs/>
          <w:color w:val="000000" w:themeColor="text1"/>
          <w:sz w:val="22"/>
          <w:szCs w:val="22"/>
          <w:lang w:eastAsia="es-MX"/>
        </w:rPr>
        <w:t>Poliutla</w:t>
      </w:r>
      <w:proofErr w:type="spellEnd"/>
      <w:r w:rsidR="003010EC" w:rsidRPr="006A1BCD">
        <w:rPr>
          <w:rFonts w:ascii="ITC Avant Garde" w:hAnsi="ITC Avant Garde"/>
          <w:bCs/>
          <w:color w:val="000000" w:themeColor="text1"/>
          <w:sz w:val="22"/>
          <w:szCs w:val="22"/>
          <w:lang w:eastAsia="es-MX"/>
        </w:rPr>
        <w:t>, en el Estado de Guerrero</w:t>
      </w:r>
      <w:r w:rsidRPr="006A1BCD">
        <w:rPr>
          <w:rFonts w:ascii="ITC Avant Garde" w:hAnsi="ITC Avant Garde"/>
          <w:bCs/>
          <w:color w:val="000000" w:themeColor="text1"/>
          <w:sz w:val="22"/>
          <w:szCs w:val="22"/>
          <w:lang w:eastAsia="es-MX"/>
        </w:rPr>
        <w:t xml:space="preserve">, con una vigencia de </w:t>
      </w:r>
      <w:r w:rsidR="003010EC" w:rsidRPr="006A1BCD">
        <w:rPr>
          <w:rFonts w:ascii="ITC Avant Garde" w:hAnsi="ITC Avant Garde"/>
          <w:bCs/>
          <w:color w:val="000000" w:themeColor="text1"/>
          <w:sz w:val="22"/>
          <w:szCs w:val="22"/>
          <w:lang w:eastAsia="es-MX"/>
        </w:rPr>
        <w:t>1</w:t>
      </w:r>
      <w:r w:rsidRPr="006A1BCD">
        <w:rPr>
          <w:rFonts w:ascii="ITC Avant Garde" w:hAnsi="ITC Avant Garde"/>
          <w:bCs/>
          <w:color w:val="000000" w:themeColor="text1"/>
          <w:sz w:val="22"/>
          <w:szCs w:val="22"/>
          <w:lang w:eastAsia="es-MX"/>
        </w:rPr>
        <w:t>0 (</w:t>
      </w:r>
      <w:r w:rsidR="003010EC" w:rsidRPr="006A1BCD">
        <w:rPr>
          <w:rFonts w:ascii="ITC Avant Garde" w:hAnsi="ITC Avant Garde"/>
          <w:bCs/>
          <w:color w:val="000000" w:themeColor="text1"/>
          <w:sz w:val="22"/>
          <w:szCs w:val="22"/>
          <w:lang w:eastAsia="es-MX"/>
        </w:rPr>
        <w:t>diez</w:t>
      </w:r>
      <w:r w:rsidRPr="006A1BCD">
        <w:rPr>
          <w:rFonts w:ascii="ITC Avant Garde" w:hAnsi="ITC Avant Garde"/>
          <w:bCs/>
          <w:color w:val="000000" w:themeColor="text1"/>
          <w:sz w:val="22"/>
          <w:szCs w:val="22"/>
          <w:lang w:eastAsia="es-MX"/>
        </w:rPr>
        <w:t>) años contados a partir de su otorgamiento (la “</w:t>
      </w:r>
      <w:r w:rsidR="003010EC" w:rsidRPr="006A1BCD">
        <w:rPr>
          <w:rFonts w:ascii="ITC Avant Garde" w:hAnsi="ITC Avant Garde"/>
          <w:bCs/>
          <w:color w:val="000000" w:themeColor="text1"/>
          <w:sz w:val="22"/>
          <w:szCs w:val="22"/>
          <w:lang w:eastAsia="es-MX"/>
        </w:rPr>
        <w:t>Segunda</w:t>
      </w:r>
      <w:r w:rsidRPr="006A1BCD">
        <w:rPr>
          <w:rFonts w:ascii="ITC Avant Garde" w:hAnsi="ITC Avant Garde"/>
          <w:bCs/>
          <w:color w:val="000000" w:themeColor="text1"/>
          <w:sz w:val="22"/>
          <w:szCs w:val="22"/>
          <w:lang w:eastAsia="es-MX"/>
        </w:rPr>
        <w:t xml:space="preserve"> Concesión”).</w:t>
      </w:r>
    </w:p>
    <w:p w14:paraId="69404F28" w14:textId="77777777" w:rsidR="006A1BCD" w:rsidRPr="006A1BCD" w:rsidRDefault="003010EC" w:rsidP="006A1BCD">
      <w:pPr>
        <w:pStyle w:val="Prrafodelista"/>
        <w:numPr>
          <w:ilvl w:val="0"/>
          <w:numId w:val="34"/>
        </w:numPr>
        <w:spacing w:before="240" w:after="240"/>
        <w:ind w:left="993"/>
        <w:jc w:val="both"/>
        <w:rPr>
          <w:rFonts w:ascii="ITC Avant Garde" w:hAnsi="ITC Avant Garde"/>
          <w:bCs/>
          <w:color w:val="000000" w:themeColor="text1"/>
          <w:sz w:val="22"/>
          <w:szCs w:val="22"/>
          <w:lang w:eastAsia="es-MX"/>
        </w:rPr>
      </w:pPr>
      <w:r w:rsidRPr="006A1BCD">
        <w:rPr>
          <w:rFonts w:ascii="ITC Avant Garde" w:hAnsi="ITC Avant Garde"/>
          <w:b/>
          <w:bCs/>
          <w:color w:val="000000" w:themeColor="text1"/>
          <w:sz w:val="22"/>
          <w:szCs w:val="22"/>
          <w:lang w:val="es-MX" w:eastAsia="es-MX"/>
        </w:rPr>
        <w:t>Cesión de derechos de la Segunda Concesión</w:t>
      </w:r>
      <w:r w:rsidRPr="006A1BCD">
        <w:rPr>
          <w:rFonts w:ascii="ITC Avant Garde" w:hAnsi="ITC Avant Garde"/>
          <w:b/>
          <w:bCs/>
          <w:color w:val="000000" w:themeColor="text1"/>
          <w:sz w:val="22"/>
          <w:szCs w:val="22"/>
          <w:lang w:eastAsia="es-MX"/>
        </w:rPr>
        <w:t xml:space="preserve">. </w:t>
      </w:r>
      <w:r w:rsidRPr="006A1BCD">
        <w:rPr>
          <w:rFonts w:ascii="ITC Avant Garde" w:eastAsia="Calibri" w:hAnsi="ITC Avant Garde"/>
          <w:bCs/>
          <w:color w:val="000000" w:themeColor="text1"/>
          <w:sz w:val="22"/>
          <w:szCs w:val="22"/>
          <w:lang w:val="es-MX" w:eastAsia="es-MX"/>
        </w:rPr>
        <w:t xml:space="preserve">Con oficio 2.-151/2012 de fecha 12 de agosto de 2012, la Subsecretaría de Comunicaciones adscrita a la Secretaría, autorizó la cesión de derechos de la Segunda Concesión, a favor de </w:t>
      </w:r>
      <w:proofErr w:type="spellStart"/>
      <w:r w:rsidRPr="006A1BCD">
        <w:rPr>
          <w:rFonts w:ascii="ITC Avant Garde" w:eastAsia="Calibri" w:hAnsi="ITC Avant Garde"/>
          <w:bCs/>
          <w:color w:val="000000" w:themeColor="text1"/>
          <w:sz w:val="22"/>
          <w:szCs w:val="22"/>
          <w:lang w:val="es-MX" w:eastAsia="es-MX"/>
        </w:rPr>
        <w:t>Telecable</w:t>
      </w:r>
      <w:proofErr w:type="spellEnd"/>
      <w:r w:rsidRPr="006A1BCD">
        <w:rPr>
          <w:rFonts w:ascii="ITC Avant Garde" w:eastAsia="Calibri" w:hAnsi="ITC Avant Garde"/>
          <w:bCs/>
          <w:color w:val="000000" w:themeColor="text1"/>
          <w:sz w:val="22"/>
          <w:szCs w:val="22"/>
          <w:lang w:val="es-MX" w:eastAsia="es-MX"/>
        </w:rPr>
        <w:t xml:space="preserve"> de Tierra Caliente, S.A. de C.V.</w:t>
      </w:r>
    </w:p>
    <w:p w14:paraId="4E3E9161" w14:textId="77777777" w:rsidR="006A1BCD" w:rsidRPr="006A1BCD" w:rsidRDefault="006D1BE0" w:rsidP="006A1BCD">
      <w:pPr>
        <w:pStyle w:val="Prrafodelista"/>
        <w:numPr>
          <w:ilvl w:val="0"/>
          <w:numId w:val="34"/>
        </w:numPr>
        <w:spacing w:before="240" w:after="240"/>
        <w:ind w:left="993"/>
        <w:jc w:val="both"/>
        <w:rPr>
          <w:rFonts w:ascii="ITC Avant Garde" w:hAnsi="ITC Avant Garde"/>
          <w:bCs/>
          <w:color w:val="000000" w:themeColor="text1"/>
          <w:sz w:val="22"/>
          <w:szCs w:val="22"/>
          <w:lang w:eastAsia="es-MX"/>
        </w:rPr>
      </w:pPr>
      <w:r w:rsidRPr="006A1BCD">
        <w:rPr>
          <w:rFonts w:ascii="ITC Avant Garde" w:hAnsi="ITC Avant Garde"/>
          <w:b/>
          <w:bCs/>
          <w:color w:val="000000" w:themeColor="text1"/>
          <w:sz w:val="22"/>
          <w:szCs w:val="22"/>
          <w:lang w:eastAsia="es-MX"/>
        </w:rPr>
        <w:t>Prórroga de vigencia de la Segunda Concesión</w:t>
      </w:r>
      <w:r w:rsidRPr="006A1BCD">
        <w:rPr>
          <w:rFonts w:ascii="ITC Avant Garde" w:hAnsi="ITC Avant Garde"/>
          <w:bCs/>
          <w:color w:val="000000" w:themeColor="text1"/>
          <w:sz w:val="22"/>
          <w:szCs w:val="22"/>
          <w:lang w:eastAsia="es-MX"/>
        </w:rPr>
        <w:t xml:space="preserve">. El </w:t>
      </w:r>
      <w:r w:rsidR="00BC0A2C" w:rsidRPr="006A1BCD">
        <w:rPr>
          <w:rFonts w:ascii="ITC Avant Garde" w:hAnsi="ITC Avant Garde"/>
          <w:bCs/>
          <w:color w:val="000000" w:themeColor="text1"/>
          <w:sz w:val="22"/>
          <w:szCs w:val="22"/>
          <w:lang w:eastAsia="es-MX"/>
        </w:rPr>
        <w:t xml:space="preserve">17 de marzo </w:t>
      </w:r>
      <w:r w:rsidRPr="006A1BCD">
        <w:rPr>
          <w:rFonts w:ascii="ITC Avant Garde" w:hAnsi="ITC Avant Garde"/>
          <w:bCs/>
          <w:color w:val="000000" w:themeColor="text1"/>
          <w:sz w:val="22"/>
          <w:szCs w:val="22"/>
          <w:lang w:eastAsia="es-MX"/>
        </w:rPr>
        <w:t>de 2016, el Pleno del Instituto</w:t>
      </w:r>
      <w:r w:rsidR="00BC0A2C" w:rsidRPr="006A1BCD">
        <w:rPr>
          <w:rFonts w:ascii="ITC Avant Garde" w:hAnsi="ITC Avant Garde"/>
          <w:bCs/>
          <w:color w:val="000000" w:themeColor="text1"/>
          <w:sz w:val="22"/>
          <w:szCs w:val="22"/>
          <w:lang w:eastAsia="es-MX"/>
        </w:rPr>
        <w:t xml:space="preserve"> Federal de Telecomunicaciones (el “Instituto”)</w:t>
      </w:r>
      <w:r w:rsidRPr="006A1BCD">
        <w:rPr>
          <w:rFonts w:ascii="ITC Avant Garde" w:hAnsi="ITC Avant Garde"/>
          <w:bCs/>
          <w:color w:val="000000" w:themeColor="text1"/>
          <w:sz w:val="22"/>
          <w:szCs w:val="22"/>
          <w:lang w:eastAsia="es-MX"/>
        </w:rPr>
        <w:t>, mediante Acuerdo P/IFT/</w:t>
      </w:r>
      <w:r w:rsidR="00BC0A2C" w:rsidRPr="006A1BCD">
        <w:rPr>
          <w:rFonts w:ascii="ITC Avant Garde" w:hAnsi="ITC Avant Garde"/>
          <w:bCs/>
          <w:color w:val="000000" w:themeColor="text1"/>
          <w:sz w:val="22"/>
          <w:szCs w:val="22"/>
          <w:lang w:eastAsia="es-MX"/>
        </w:rPr>
        <w:t>170317</w:t>
      </w:r>
      <w:r w:rsidRPr="006A1BCD">
        <w:rPr>
          <w:rFonts w:ascii="ITC Avant Garde" w:hAnsi="ITC Avant Garde"/>
          <w:bCs/>
          <w:color w:val="000000" w:themeColor="text1"/>
          <w:sz w:val="22"/>
          <w:szCs w:val="22"/>
          <w:lang w:eastAsia="es-MX"/>
        </w:rPr>
        <w:t>/</w:t>
      </w:r>
      <w:r w:rsidR="00BC0A2C" w:rsidRPr="006A1BCD">
        <w:rPr>
          <w:rFonts w:ascii="ITC Avant Garde" w:hAnsi="ITC Avant Garde"/>
          <w:bCs/>
          <w:color w:val="000000" w:themeColor="text1"/>
          <w:sz w:val="22"/>
          <w:szCs w:val="22"/>
          <w:lang w:eastAsia="es-MX"/>
        </w:rPr>
        <w:t>127</w:t>
      </w:r>
      <w:r w:rsidRPr="006A1BCD">
        <w:rPr>
          <w:rFonts w:ascii="ITC Avant Garde" w:hAnsi="ITC Avant Garde"/>
          <w:bCs/>
          <w:color w:val="000000" w:themeColor="text1"/>
          <w:sz w:val="22"/>
          <w:szCs w:val="22"/>
          <w:lang w:eastAsia="es-MX"/>
        </w:rPr>
        <w:t xml:space="preserve">, autorizó a </w:t>
      </w:r>
      <w:proofErr w:type="spellStart"/>
      <w:r w:rsidR="00BC0A2C" w:rsidRPr="006A1BCD">
        <w:rPr>
          <w:rFonts w:ascii="ITC Avant Garde" w:eastAsia="Calibri" w:hAnsi="ITC Avant Garde"/>
          <w:bCs/>
          <w:color w:val="000000" w:themeColor="text1"/>
          <w:sz w:val="22"/>
          <w:szCs w:val="22"/>
          <w:lang w:val="es-MX" w:eastAsia="es-MX"/>
        </w:rPr>
        <w:t>Telecable</w:t>
      </w:r>
      <w:proofErr w:type="spellEnd"/>
      <w:r w:rsidR="00BC0A2C" w:rsidRPr="006A1BCD">
        <w:rPr>
          <w:rFonts w:ascii="ITC Avant Garde" w:eastAsia="Calibri" w:hAnsi="ITC Avant Garde"/>
          <w:bCs/>
          <w:color w:val="000000" w:themeColor="text1"/>
          <w:sz w:val="22"/>
          <w:szCs w:val="22"/>
          <w:lang w:val="es-MX" w:eastAsia="es-MX"/>
        </w:rPr>
        <w:t xml:space="preserve"> de Tierra Caliente</w:t>
      </w:r>
      <w:r w:rsidRPr="006A1BCD">
        <w:rPr>
          <w:rFonts w:ascii="ITC Avant Garde" w:hAnsi="ITC Avant Garde"/>
          <w:bCs/>
          <w:color w:val="000000" w:themeColor="text1"/>
          <w:sz w:val="22"/>
          <w:szCs w:val="22"/>
          <w:lang w:eastAsia="es-MX"/>
        </w:rPr>
        <w:t xml:space="preserve">, S.A. de C.V. </w:t>
      </w:r>
      <w:r w:rsidR="00BC0A2C" w:rsidRPr="006A1BCD">
        <w:rPr>
          <w:rFonts w:ascii="ITC Avant Garde" w:hAnsi="ITC Avant Garde"/>
          <w:bCs/>
          <w:color w:val="000000" w:themeColor="text1"/>
          <w:sz w:val="22"/>
          <w:szCs w:val="22"/>
          <w:lang w:eastAsia="es-MX"/>
        </w:rPr>
        <w:t>la prórroga de la Segunda C</w:t>
      </w:r>
      <w:r w:rsidRPr="006A1BCD">
        <w:rPr>
          <w:rFonts w:ascii="ITC Avant Garde" w:hAnsi="ITC Avant Garde"/>
          <w:bCs/>
          <w:color w:val="000000" w:themeColor="text1"/>
          <w:sz w:val="22"/>
          <w:szCs w:val="22"/>
          <w:lang w:eastAsia="es-MX"/>
        </w:rPr>
        <w:t>oncesión.</w:t>
      </w:r>
    </w:p>
    <w:p w14:paraId="5343880D" w14:textId="77777777" w:rsidR="006A1BCD" w:rsidRPr="006A1BCD" w:rsidRDefault="006D1BE0" w:rsidP="006A1BCD">
      <w:pPr>
        <w:pStyle w:val="Prrafodelista"/>
        <w:spacing w:before="240" w:after="240"/>
        <w:ind w:left="993"/>
        <w:jc w:val="both"/>
        <w:rPr>
          <w:rFonts w:ascii="ITC Avant Garde" w:hAnsi="ITC Avant Garde"/>
          <w:bCs/>
          <w:color w:val="000000" w:themeColor="text1"/>
          <w:sz w:val="22"/>
          <w:szCs w:val="22"/>
          <w:lang w:eastAsia="es-MX"/>
        </w:rPr>
      </w:pPr>
      <w:r w:rsidRPr="006A1BCD">
        <w:rPr>
          <w:rFonts w:ascii="ITC Avant Garde" w:hAnsi="ITC Avant Garde"/>
          <w:bCs/>
          <w:color w:val="000000" w:themeColor="text1"/>
          <w:sz w:val="22"/>
          <w:szCs w:val="22"/>
          <w:lang w:eastAsia="es-MX"/>
        </w:rPr>
        <w:t xml:space="preserve">Como consecuencia de lo anterior, </w:t>
      </w:r>
      <w:r w:rsidR="00D937C4" w:rsidRPr="006A1BCD">
        <w:rPr>
          <w:rFonts w:ascii="ITC Avant Garde" w:hAnsi="ITC Avant Garde"/>
          <w:bCs/>
          <w:color w:val="000000" w:themeColor="text1"/>
          <w:sz w:val="22"/>
          <w:szCs w:val="22"/>
          <w:lang w:eastAsia="es-MX"/>
        </w:rPr>
        <w:t xml:space="preserve">el 5 de agosto de 2016 el Instituto </w:t>
      </w:r>
      <w:r w:rsidRPr="006A1BCD">
        <w:rPr>
          <w:rFonts w:ascii="ITC Avant Garde" w:hAnsi="ITC Avant Garde"/>
          <w:bCs/>
          <w:color w:val="000000" w:themeColor="text1"/>
          <w:sz w:val="22"/>
          <w:szCs w:val="22"/>
          <w:lang w:eastAsia="es-MX"/>
        </w:rPr>
        <w:t xml:space="preserve">entregó a </w:t>
      </w:r>
      <w:proofErr w:type="spellStart"/>
      <w:r w:rsidR="00BC0A2C" w:rsidRPr="006A1BCD">
        <w:rPr>
          <w:rFonts w:ascii="ITC Avant Garde" w:eastAsia="Calibri" w:hAnsi="ITC Avant Garde"/>
          <w:bCs/>
          <w:color w:val="000000" w:themeColor="text1"/>
          <w:sz w:val="22"/>
          <w:szCs w:val="22"/>
          <w:lang w:val="es-MX" w:eastAsia="es-MX"/>
        </w:rPr>
        <w:t>Telecable</w:t>
      </w:r>
      <w:proofErr w:type="spellEnd"/>
      <w:r w:rsidR="00BC0A2C" w:rsidRPr="006A1BCD">
        <w:rPr>
          <w:rFonts w:ascii="ITC Avant Garde" w:eastAsia="Calibri" w:hAnsi="ITC Avant Garde"/>
          <w:bCs/>
          <w:color w:val="000000" w:themeColor="text1"/>
          <w:sz w:val="22"/>
          <w:szCs w:val="22"/>
          <w:lang w:val="es-MX" w:eastAsia="es-MX"/>
        </w:rPr>
        <w:t xml:space="preserve"> de Tierra Caliente</w:t>
      </w:r>
      <w:r w:rsidRPr="006A1BCD">
        <w:rPr>
          <w:rFonts w:ascii="ITC Avant Garde" w:hAnsi="ITC Avant Garde"/>
          <w:bCs/>
          <w:color w:val="000000" w:themeColor="text1"/>
          <w:sz w:val="22"/>
          <w:szCs w:val="22"/>
          <w:lang w:eastAsia="es-MX"/>
        </w:rPr>
        <w:t xml:space="preserve">, S.A. de C.V. un título de concesión única para uso comercial, para prestar servicios públicos de telecomunicaciones y/o radiodifusión en el territorio nacional, con una vigencia de 30 (treinta) años contados a partir del </w:t>
      </w:r>
      <w:r w:rsidR="00BC0A2C" w:rsidRPr="006A1BCD">
        <w:rPr>
          <w:rFonts w:ascii="ITC Avant Garde" w:hAnsi="ITC Avant Garde"/>
          <w:bCs/>
          <w:color w:val="000000" w:themeColor="text1"/>
          <w:sz w:val="22"/>
          <w:szCs w:val="22"/>
          <w:lang w:eastAsia="es-MX"/>
        </w:rPr>
        <w:t>20 de enero de 2016</w:t>
      </w:r>
      <w:r w:rsidRPr="006A1BCD">
        <w:rPr>
          <w:rFonts w:ascii="ITC Avant Garde" w:hAnsi="ITC Avant Garde"/>
          <w:bCs/>
          <w:color w:val="000000" w:themeColor="text1"/>
          <w:sz w:val="22"/>
          <w:szCs w:val="22"/>
          <w:lang w:eastAsia="es-MX"/>
        </w:rPr>
        <w:t>.</w:t>
      </w:r>
    </w:p>
    <w:p w14:paraId="253BF9BA" w14:textId="77777777" w:rsidR="006A1BCD" w:rsidRPr="006A1BCD" w:rsidRDefault="00BC0A2C" w:rsidP="006A1BCD">
      <w:pPr>
        <w:numPr>
          <w:ilvl w:val="0"/>
          <w:numId w:val="24"/>
        </w:numPr>
        <w:spacing w:before="240" w:after="240"/>
        <w:ind w:left="567"/>
        <w:jc w:val="both"/>
        <w:rPr>
          <w:rFonts w:ascii="ITC Avant Garde" w:hAnsi="ITC Avant Garde"/>
          <w:bCs/>
          <w:color w:val="000000" w:themeColor="text1"/>
          <w:sz w:val="22"/>
          <w:szCs w:val="22"/>
          <w:lang w:eastAsia="es-MX"/>
        </w:rPr>
      </w:pPr>
      <w:r w:rsidRPr="006A1BCD">
        <w:rPr>
          <w:rFonts w:ascii="ITC Avant Garde" w:hAnsi="ITC Avant Garde"/>
          <w:b/>
          <w:bCs/>
          <w:color w:val="000000" w:themeColor="text1"/>
          <w:sz w:val="22"/>
          <w:szCs w:val="22"/>
          <w:lang w:eastAsia="es-MX"/>
        </w:rPr>
        <w:t>Otorgamiento de la Tercera Concesión.</w:t>
      </w:r>
      <w:r w:rsidRPr="006A1BCD">
        <w:rPr>
          <w:rFonts w:ascii="ITC Avant Garde" w:hAnsi="ITC Avant Garde"/>
          <w:bCs/>
          <w:color w:val="000000" w:themeColor="text1"/>
          <w:sz w:val="22"/>
          <w:szCs w:val="22"/>
          <w:lang w:eastAsia="es-MX"/>
        </w:rPr>
        <w:t xml:space="preserve"> El 25 de junio de 2010, la Secretaría otorgó a favor de </w:t>
      </w:r>
      <w:proofErr w:type="spellStart"/>
      <w:r w:rsidRPr="006A1BCD">
        <w:rPr>
          <w:rFonts w:ascii="ITC Avant Garde" w:eastAsia="Calibri" w:hAnsi="ITC Avant Garde"/>
          <w:bCs/>
          <w:color w:val="000000" w:themeColor="text1"/>
          <w:sz w:val="22"/>
          <w:szCs w:val="22"/>
          <w:lang w:val="es-MX" w:eastAsia="es-MX"/>
        </w:rPr>
        <w:t>Telecable</w:t>
      </w:r>
      <w:proofErr w:type="spellEnd"/>
      <w:r w:rsidRPr="006A1BCD">
        <w:rPr>
          <w:rFonts w:ascii="ITC Avant Garde" w:eastAsia="Calibri" w:hAnsi="ITC Avant Garde"/>
          <w:bCs/>
          <w:color w:val="000000" w:themeColor="text1"/>
          <w:sz w:val="22"/>
          <w:szCs w:val="22"/>
          <w:lang w:val="es-MX" w:eastAsia="es-MX"/>
        </w:rPr>
        <w:t xml:space="preserve"> de Tierra Caliente</w:t>
      </w:r>
      <w:r w:rsidRPr="006A1BCD">
        <w:rPr>
          <w:rFonts w:ascii="ITC Avant Garde" w:hAnsi="ITC Avant Garde"/>
          <w:bCs/>
          <w:color w:val="000000" w:themeColor="text1"/>
          <w:sz w:val="22"/>
          <w:szCs w:val="22"/>
          <w:lang w:eastAsia="es-MX"/>
        </w:rPr>
        <w:t>, S.A. de C.V. un título de concesión para instalar, operar y explotar una red pública de telecomunicaciones para prestar el servicio de televisión restringida, con cobertura en San Lucas, Vicente Riva Palacio (Riva Palacio), Salguero, Santa Cruz de Villa Gómez, Municipio de San Lucas, en el Estado de Michoacán, con una vigencia de 30 (treinta) años contados a partir de su otorgamiento.</w:t>
      </w:r>
    </w:p>
    <w:p w14:paraId="4D57CEAE" w14:textId="77777777" w:rsidR="006A1BCD" w:rsidRPr="006A1BCD" w:rsidRDefault="00EE1DF9" w:rsidP="006A1BCD">
      <w:pPr>
        <w:pStyle w:val="Prrafodelista"/>
        <w:numPr>
          <w:ilvl w:val="0"/>
          <w:numId w:val="24"/>
        </w:numPr>
        <w:spacing w:before="240" w:after="240"/>
        <w:ind w:left="567" w:hanging="709"/>
        <w:jc w:val="both"/>
        <w:rPr>
          <w:rFonts w:ascii="ITC Avant Garde" w:hAnsi="ITC Avant Garde"/>
          <w:bCs/>
          <w:color w:val="000000" w:themeColor="text1"/>
          <w:sz w:val="22"/>
          <w:szCs w:val="22"/>
          <w:lang w:eastAsia="es-MX"/>
        </w:rPr>
      </w:pPr>
      <w:r w:rsidRPr="006A1BCD">
        <w:rPr>
          <w:rFonts w:ascii="ITC Avant Garde" w:hAnsi="ITC Avant Garde"/>
          <w:b/>
          <w:bCs/>
          <w:color w:val="000000" w:themeColor="text1"/>
          <w:sz w:val="22"/>
          <w:szCs w:val="22"/>
          <w:lang w:eastAsia="es-MX"/>
        </w:rPr>
        <w:t xml:space="preserve">Decreto de Reforma Constitucional. </w:t>
      </w:r>
      <w:r w:rsidRPr="006A1BCD">
        <w:rPr>
          <w:rFonts w:ascii="ITC Avant Garde" w:hAnsi="ITC Avant Garde"/>
          <w:bCs/>
          <w:color w:val="000000" w:themeColor="text1"/>
          <w:sz w:val="22"/>
          <w:szCs w:val="22"/>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como un órgano autónomo que tiene por objeto el desarrollo eficiente de la radiodifusión y las telecomunicaciones.</w:t>
      </w:r>
    </w:p>
    <w:p w14:paraId="7E78DA9D" w14:textId="77777777" w:rsidR="006A1BCD" w:rsidRPr="006A1BCD" w:rsidRDefault="00EE1DF9" w:rsidP="006A1BCD">
      <w:pPr>
        <w:pStyle w:val="Prrafodelista"/>
        <w:numPr>
          <w:ilvl w:val="0"/>
          <w:numId w:val="24"/>
        </w:numPr>
        <w:spacing w:before="240" w:after="240"/>
        <w:ind w:left="567" w:hanging="709"/>
        <w:jc w:val="both"/>
        <w:rPr>
          <w:rFonts w:ascii="ITC Avant Garde" w:hAnsi="ITC Avant Garde"/>
          <w:bCs/>
          <w:color w:val="000000" w:themeColor="text1"/>
          <w:sz w:val="22"/>
          <w:szCs w:val="22"/>
          <w:lang w:eastAsia="es-MX"/>
        </w:rPr>
      </w:pPr>
      <w:r w:rsidRPr="006A1BCD">
        <w:rPr>
          <w:rFonts w:ascii="ITC Avant Garde" w:hAnsi="ITC Avant Garde"/>
          <w:b/>
          <w:bCs/>
          <w:color w:val="000000" w:themeColor="text1"/>
          <w:sz w:val="22"/>
          <w:szCs w:val="22"/>
          <w:lang w:eastAsia="es-MX"/>
        </w:rPr>
        <w:t xml:space="preserve">Decreto de Ley. </w:t>
      </w:r>
      <w:r w:rsidRPr="006A1BCD">
        <w:rPr>
          <w:rFonts w:ascii="ITC Avant Garde" w:hAnsi="ITC Avant Garde"/>
          <w:bCs/>
          <w:color w:val="000000" w:themeColor="text1"/>
          <w:sz w:val="22"/>
          <w:szCs w:val="22"/>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11341426" w14:textId="77777777" w:rsidR="006A1BCD" w:rsidRPr="006A1BCD" w:rsidRDefault="00EE1DF9" w:rsidP="006A1BCD">
      <w:pPr>
        <w:pStyle w:val="Prrafodelista"/>
        <w:numPr>
          <w:ilvl w:val="0"/>
          <w:numId w:val="24"/>
        </w:numPr>
        <w:spacing w:before="240" w:after="240"/>
        <w:ind w:left="567" w:hanging="709"/>
        <w:jc w:val="both"/>
        <w:rPr>
          <w:rFonts w:ascii="ITC Avant Garde" w:hAnsi="ITC Avant Garde"/>
          <w:bCs/>
          <w:color w:val="000000" w:themeColor="text1"/>
          <w:sz w:val="22"/>
          <w:szCs w:val="22"/>
          <w:lang w:eastAsia="es-MX"/>
        </w:rPr>
      </w:pPr>
      <w:r w:rsidRPr="006A1BCD">
        <w:rPr>
          <w:rFonts w:ascii="ITC Avant Garde" w:hAnsi="ITC Avant Garde" w:cs="Arial"/>
          <w:b/>
          <w:bCs/>
          <w:color w:val="000000" w:themeColor="text1"/>
          <w:sz w:val="22"/>
          <w:szCs w:val="22"/>
          <w:shd w:val="clear" w:color="auto" w:fill="FFFFFF"/>
        </w:rPr>
        <w:lastRenderedPageBreak/>
        <w:t>Estatuto Orgánico.</w:t>
      </w:r>
      <w:r w:rsidRPr="006A1BCD">
        <w:rPr>
          <w:rStyle w:val="apple-converted-space"/>
          <w:rFonts w:ascii="ITC Avant Garde" w:hAnsi="ITC Avant Garde" w:cs="Arial"/>
          <w:b/>
          <w:bCs/>
          <w:color w:val="000000" w:themeColor="text1"/>
          <w:sz w:val="22"/>
          <w:szCs w:val="22"/>
          <w:shd w:val="clear" w:color="auto" w:fill="FFFFFF"/>
        </w:rPr>
        <w:t xml:space="preserve"> </w:t>
      </w:r>
      <w:r w:rsidRPr="006A1BCD">
        <w:rPr>
          <w:rFonts w:ascii="ITC Avant Garde" w:hAnsi="ITC Avant Garde"/>
          <w:color w:val="000000" w:themeColor="text1"/>
          <w:sz w:val="22"/>
          <w:szCs w:val="22"/>
          <w:shd w:val="clear" w:color="auto" w:fill="FFFFFF"/>
        </w:rPr>
        <w:t>El 4 de septiembre de 2014, se publicó en el Diario Oficial de la Federación el “Estatuto Orgánico del Instituto Federal de Telecomunicaciones” (el “Estatuto Orgánico”), mismo que entró en vigo</w:t>
      </w:r>
      <w:r w:rsidR="0077242E" w:rsidRPr="006A1BCD">
        <w:rPr>
          <w:rFonts w:ascii="ITC Avant Garde" w:hAnsi="ITC Avant Garde"/>
          <w:color w:val="000000" w:themeColor="text1"/>
          <w:sz w:val="22"/>
          <w:szCs w:val="22"/>
          <w:shd w:val="clear" w:color="auto" w:fill="FFFFFF"/>
        </w:rPr>
        <w:t>r el 26 de septiembre de 2014,</w:t>
      </w:r>
      <w:r w:rsidRPr="006A1BCD">
        <w:rPr>
          <w:rFonts w:ascii="ITC Avant Garde" w:hAnsi="ITC Avant Garde"/>
          <w:color w:val="000000" w:themeColor="text1"/>
          <w:sz w:val="22"/>
          <w:szCs w:val="22"/>
          <w:shd w:val="clear" w:color="auto" w:fill="FFFFFF"/>
        </w:rPr>
        <w:t xml:space="preserve"> </w:t>
      </w:r>
      <w:r w:rsidR="0077242E" w:rsidRPr="006A1BCD">
        <w:rPr>
          <w:rFonts w:ascii="ITC Avant Garde" w:hAnsi="ITC Avant Garde"/>
          <w:color w:val="000000" w:themeColor="text1"/>
          <w:sz w:val="22"/>
          <w:szCs w:val="22"/>
          <w:shd w:val="clear" w:color="auto" w:fill="FFFFFF"/>
        </w:rPr>
        <w:t xml:space="preserve">y </w:t>
      </w:r>
      <w:r w:rsidRPr="006A1BCD">
        <w:rPr>
          <w:rFonts w:ascii="ITC Avant Garde" w:hAnsi="ITC Avant Garde"/>
          <w:color w:val="000000" w:themeColor="text1"/>
          <w:sz w:val="22"/>
          <w:szCs w:val="22"/>
          <w:shd w:val="clear" w:color="auto" w:fill="FFFFFF"/>
        </w:rPr>
        <w:t xml:space="preserve">fue modificado </w:t>
      </w:r>
      <w:r w:rsidR="0077242E" w:rsidRPr="006A1BCD">
        <w:rPr>
          <w:rFonts w:ascii="ITC Avant Garde" w:hAnsi="ITC Avant Garde"/>
          <w:color w:val="000000" w:themeColor="text1"/>
          <w:sz w:val="22"/>
          <w:szCs w:val="22"/>
          <w:shd w:val="clear" w:color="auto" w:fill="FFFFFF"/>
        </w:rPr>
        <w:t>por última vez el 17 de octubre de 2016</w:t>
      </w:r>
      <w:r w:rsidRPr="006A1BCD">
        <w:rPr>
          <w:rFonts w:ascii="ITC Avant Garde" w:hAnsi="ITC Avant Garde"/>
          <w:color w:val="000000" w:themeColor="text1"/>
          <w:sz w:val="22"/>
          <w:szCs w:val="22"/>
          <w:shd w:val="clear" w:color="auto" w:fill="FFFFFF"/>
        </w:rPr>
        <w:t>.</w:t>
      </w:r>
    </w:p>
    <w:p w14:paraId="084729CC" w14:textId="7D67C66C" w:rsidR="006A1BCD" w:rsidRPr="006A1BCD" w:rsidRDefault="00B85726" w:rsidP="006A1BCD">
      <w:pPr>
        <w:pStyle w:val="Prrafodelista"/>
        <w:numPr>
          <w:ilvl w:val="0"/>
          <w:numId w:val="24"/>
        </w:numPr>
        <w:spacing w:before="240" w:after="240"/>
        <w:ind w:left="567" w:hanging="709"/>
        <w:jc w:val="both"/>
        <w:rPr>
          <w:rFonts w:ascii="ITC Avant Garde" w:hAnsi="ITC Avant Garde"/>
          <w:bCs/>
          <w:color w:val="000000" w:themeColor="text1"/>
          <w:sz w:val="22"/>
          <w:szCs w:val="22"/>
          <w:lang w:val="es-MX" w:eastAsia="es-MX"/>
        </w:rPr>
      </w:pPr>
      <w:r w:rsidRPr="006A1BCD">
        <w:rPr>
          <w:rFonts w:ascii="ITC Avant Garde" w:hAnsi="ITC Avant Garde"/>
          <w:b/>
          <w:bCs/>
          <w:color w:val="000000" w:themeColor="text1"/>
          <w:sz w:val="22"/>
          <w:szCs w:val="22"/>
          <w:lang w:val="es-MX" w:eastAsia="es-MX"/>
        </w:rPr>
        <w:t xml:space="preserve">Solicitud </w:t>
      </w:r>
      <w:r w:rsidR="00AD3BA3" w:rsidRPr="006A1BCD">
        <w:rPr>
          <w:rFonts w:ascii="ITC Avant Garde" w:hAnsi="ITC Avant Garde"/>
          <w:b/>
          <w:bCs/>
          <w:color w:val="000000" w:themeColor="text1"/>
          <w:sz w:val="22"/>
          <w:szCs w:val="22"/>
          <w:lang w:val="es-MX" w:eastAsia="es-MX"/>
        </w:rPr>
        <w:t xml:space="preserve">de </w:t>
      </w:r>
      <w:r w:rsidR="00AB3915" w:rsidRPr="006A1BCD">
        <w:rPr>
          <w:rFonts w:ascii="ITC Avant Garde" w:hAnsi="ITC Avant Garde"/>
          <w:b/>
          <w:bCs/>
          <w:color w:val="000000" w:themeColor="text1"/>
          <w:sz w:val="22"/>
          <w:szCs w:val="22"/>
          <w:lang w:val="es-MX" w:eastAsia="es-MX"/>
        </w:rPr>
        <w:t xml:space="preserve">Enajenación </w:t>
      </w:r>
      <w:r w:rsidR="00B53214" w:rsidRPr="006A1BCD">
        <w:rPr>
          <w:rFonts w:ascii="ITC Avant Garde" w:hAnsi="ITC Avant Garde"/>
          <w:b/>
          <w:bCs/>
          <w:color w:val="000000" w:themeColor="text1"/>
          <w:sz w:val="22"/>
          <w:szCs w:val="22"/>
          <w:lang w:val="es-MX" w:eastAsia="es-MX"/>
        </w:rPr>
        <w:t>de Acciones</w:t>
      </w:r>
      <w:r w:rsidR="006203E4" w:rsidRPr="006A1BCD">
        <w:rPr>
          <w:rFonts w:ascii="ITC Avant Garde" w:hAnsi="ITC Avant Garde"/>
          <w:b/>
          <w:bCs/>
          <w:color w:val="000000" w:themeColor="text1"/>
          <w:sz w:val="22"/>
          <w:szCs w:val="22"/>
          <w:lang w:val="es-MX" w:eastAsia="es-MX"/>
        </w:rPr>
        <w:t>.</w:t>
      </w:r>
      <w:r w:rsidR="006203E4" w:rsidRPr="006A1BCD">
        <w:rPr>
          <w:rFonts w:ascii="ITC Avant Garde" w:hAnsi="ITC Avant Garde"/>
          <w:bCs/>
          <w:color w:val="000000" w:themeColor="text1"/>
          <w:sz w:val="22"/>
          <w:szCs w:val="22"/>
          <w:lang w:val="es-MX" w:eastAsia="es-MX"/>
        </w:rPr>
        <w:t xml:space="preserve"> </w:t>
      </w:r>
      <w:r w:rsidR="00FF2931" w:rsidRPr="006A1BCD">
        <w:rPr>
          <w:rFonts w:ascii="ITC Avant Garde" w:hAnsi="ITC Avant Garde"/>
          <w:bCs/>
          <w:color w:val="000000" w:themeColor="text1"/>
          <w:sz w:val="22"/>
          <w:szCs w:val="22"/>
          <w:lang w:val="es-MX" w:eastAsia="es-MX"/>
        </w:rPr>
        <w:t>El</w:t>
      </w:r>
      <w:r w:rsidR="00B53214" w:rsidRPr="006A1BCD">
        <w:rPr>
          <w:rFonts w:ascii="ITC Avant Garde" w:hAnsi="ITC Avant Garde"/>
          <w:bCs/>
          <w:color w:val="000000" w:themeColor="text1"/>
          <w:sz w:val="22"/>
          <w:szCs w:val="22"/>
          <w:lang w:val="es-MX" w:eastAsia="es-MX"/>
        </w:rPr>
        <w:t xml:space="preserve"> </w:t>
      </w:r>
      <w:r w:rsidR="005916D7" w:rsidRPr="006A1BCD">
        <w:rPr>
          <w:rFonts w:ascii="ITC Avant Garde" w:hAnsi="ITC Avant Garde"/>
          <w:bCs/>
          <w:color w:val="000000" w:themeColor="text1"/>
          <w:sz w:val="22"/>
          <w:szCs w:val="22"/>
          <w:lang w:val="es-MX" w:eastAsia="es-MX"/>
        </w:rPr>
        <w:t>25</w:t>
      </w:r>
      <w:r w:rsidR="00E12208" w:rsidRPr="006A1BCD">
        <w:rPr>
          <w:rFonts w:ascii="ITC Avant Garde" w:hAnsi="ITC Avant Garde"/>
          <w:bCs/>
          <w:color w:val="000000" w:themeColor="text1"/>
          <w:sz w:val="22"/>
          <w:szCs w:val="22"/>
          <w:lang w:val="es-MX" w:eastAsia="es-MX"/>
        </w:rPr>
        <w:t xml:space="preserve"> de </w:t>
      </w:r>
      <w:r w:rsidR="005C4A55" w:rsidRPr="006A1BCD">
        <w:rPr>
          <w:rFonts w:ascii="ITC Avant Garde" w:hAnsi="ITC Avant Garde"/>
          <w:bCs/>
          <w:color w:val="000000" w:themeColor="text1"/>
          <w:sz w:val="22"/>
          <w:szCs w:val="22"/>
          <w:lang w:val="es-MX" w:eastAsia="es-MX"/>
        </w:rPr>
        <w:t>mayo</w:t>
      </w:r>
      <w:r w:rsidR="00B53214" w:rsidRPr="006A1BCD">
        <w:rPr>
          <w:rFonts w:ascii="ITC Avant Garde" w:hAnsi="ITC Avant Garde"/>
          <w:bCs/>
          <w:color w:val="000000" w:themeColor="text1"/>
          <w:sz w:val="22"/>
          <w:szCs w:val="22"/>
          <w:lang w:val="es-MX" w:eastAsia="es-MX"/>
        </w:rPr>
        <w:t xml:space="preserve"> </w:t>
      </w:r>
      <w:r w:rsidR="00E12208" w:rsidRPr="006A1BCD">
        <w:rPr>
          <w:rFonts w:ascii="ITC Avant Garde" w:hAnsi="ITC Avant Garde"/>
          <w:bCs/>
          <w:color w:val="000000" w:themeColor="text1"/>
          <w:sz w:val="22"/>
          <w:szCs w:val="22"/>
          <w:lang w:val="es-MX" w:eastAsia="es-MX"/>
        </w:rPr>
        <w:t>de 2017</w:t>
      </w:r>
      <w:r w:rsidR="00B53214" w:rsidRPr="006A1BCD">
        <w:rPr>
          <w:rFonts w:ascii="ITC Avant Garde" w:hAnsi="ITC Avant Garde"/>
          <w:bCs/>
          <w:color w:val="000000" w:themeColor="text1"/>
          <w:sz w:val="22"/>
          <w:szCs w:val="22"/>
          <w:lang w:val="es-MX" w:eastAsia="es-MX"/>
        </w:rPr>
        <w:t xml:space="preserve">, </w:t>
      </w:r>
      <w:proofErr w:type="spellStart"/>
      <w:r w:rsidR="005916D7" w:rsidRPr="006A1BCD">
        <w:rPr>
          <w:rFonts w:ascii="ITC Avant Garde" w:hAnsi="ITC Avant Garde"/>
          <w:bCs/>
          <w:color w:val="000000" w:themeColor="text1"/>
          <w:sz w:val="22"/>
          <w:szCs w:val="22"/>
          <w:lang w:eastAsia="es-MX"/>
        </w:rPr>
        <w:t>Telecable</w:t>
      </w:r>
      <w:proofErr w:type="spellEnd"/>
      <w:r w:rsidR="005916D7" w:rsidRPr="006A1BCD">
        <w:rPr>
          <w:rFonts w:ascii="ITC Avant Garde" w:hAnsi="ITC Avant Garde"/>
          <w:bCs/>
          <w:color w:val="000000" w:themeColor="text1"/>
          <w:sz w:val="22"/>
          <w:szCs w:val="22"/>
          <w:lang w:eastAsia="es-MX"/>
        </w:rPr>
        <w:t xml:space="preserve"> de Tierra Caliente</w:t>
      </w:r>
      <w:r w:rsidR="005C4A55" w:rsidRPr="006A1BCD">
        <w:rPr>
          <w:rFonts w:ascii="ITC Avant Garde" w:hAnsi="ITC Avant Garde"/>
          <w:bCs/>
          <w:color w:val="000000" w:themeColor="text1"/>
          <w:sz w:val="22"/>
          <w:szCs w:val="22"/>
          <w:lang w:eastAsia="es-MX"/>
        </w:rPr>
        <w:t>, S.A. de C.V.</w:t>
      </w:r>
      <w:r w:rsidR="00E12208" w:rsidRPr="006A1BCD">
        <w:rPr>
          <w:rFonts w:ascii="ITC Avant Garde" w:hAnsi="ITC Avant Garde"/>
          <w:bCs/>
          <w:color w:val="000000" w:themeColor="text1"/>
          <w:sz w:val="22"/>
          <w:szCs w:val="22"/>
          <w:lang w:val="es-MX" w:eastAsia="es-MX"/>
        </w:rPr>
        <w:t>, a través de su representante legal</w:t>
      </w:r>
      <w:r w:rsidR="00E877FC" w:rsidRPr="006A1BCD">
        <w:rPr>
          <w:rFonts w:ascii="ITC Avant Garde" w:hAnsi="ITC Avant Garde"/>
          <w:bCs/>
          <w:color w:val="000000" w:themeColor="text1"/>
          <w:sz w:val="22"/>
          <w:szCs w:val="22"/>
          <w:lang w:val="es-MX" w:eastAsia="es-MX"/>
        </w:rPr>
        <w:t>,</w:t>
      </w:r>
      <w:r w:rsidR="00E12208" w:rsidRPr="006A1BCD">
        <w:rPr>
          <w:rFonts w:ascii="ITC Avant Garde" w:hAnsi="ITC Avant Garde"/>
          <w:bCs/>
          <w:color w:val="000000" w:themeColor="text1"/>
          <w:sz w:val="22"/>
          <w:szCs w:val="22"/>
          <w:lang w:val="es-MX" w:eastAsia="es-MX"/>
        </w:rPr>
        <w:t xml:space="preserve"> dio aviso de</w:t>
      </w:r>
      <w:r w:rsidR="00E7577F" w:rsidRPr="006A1BCD">
        <w:rPr>
          <w:rFonts w:ascii="ITC Avant Garde" w:hAnsi="ITC Avant Garde"/>
          <w:bCs/>
          <w:color w:val="000000" w:themeColor="text1"/>
          <w:sz w:val="22"/>
          <w:szCs w:val="22"/>
          <w:lang w:val="es-MX" w:eastAsia="es-MX"/>
        </w:rPr>
        <w:t xml:space="preserve"> la</w:t>
      </w:r>
      <w:r w:rsidR="00E12208" w:rsidRPr="006A1BCD">
        <w:rPr>
          <w:rFonts w:ascii="ITC Avant Garde" w:hAnsi="ITC Avant Garde"/>
          <w:bCs/>
          <w:color w:val="000000" w:themeColor="text1"/>
          <w:sz w:val="22"/>
          <w:szCs w:val="22"/>
          <w:lang w:val="es-MX" w:eastAsia="es-MX"/>
        </w:rPr>
        <w:t xml:space="preserve"> </w:t>
      </w:r>
      <w:r w:rsidR="00E7577F" w:rsidRPr="006A1BCD">
        <w:rPr>
          <w:rFonts w:ascii="ITC Avant Garde" w:hAnsi="ITC Avant Garde"/>
          <w:bCs/>
          <w:color w:val="000000" w:themeColor="text1"/>
          <w:sz w:val="22"/>
          <w:szCs w:val="22"/>
          <w:lang w:val="es-MX" w:eastAsia="es-MX"/>
        </w:rPr>
        <w:t>intención de</w:t>
      </w:r>
      <w:r w:rsidR="005C4A55" w:rsidRPr="006A1BCD">
        <w:rPr>
          <w:rFonts w:ascii="ITC Avant Garde" w:hAnsi="ITC Avant Garde"/>
          <w:bCs/>
          <w:color w:val="000000" w:themeColor="text1"/>
          <w:sz w:val="22"/>
          <w:szCs w:val="22"/>
          <w:lang w:val="es-MX" w:eastAsia="es-MX"/>
        </w:rPr>
        <w:t xml:space="preserve"> enajenar </w:t>
      </w:r>
      <w:r w:rsidR="005916D7" w:rsidRPr="006A1BCD">
        <w:rPr>
          <w:rFonts w:ascii="ITC Avant Garde" w:hAnsi="ITC Avant Garde"/>
          <w:bCs/>
          <w:color w:val="000000" w:themeColor="text1"/>
          <w:sz w:val="22"/>
          <w:szCs w:val="22"/>
          <w:lang w:val="es-MX" w:eastAsia="es-MX"/>
        </w:rPr>
        <w:t>40 acciones propiedad del C. Martín Antonio Huerta Carbajal a favor de la C. María Del Carmen Romero Ramírez</w:t>
      </w:r>
      <w:r w:rsidR="005C4A55" w:rsidRPr="006A1BCD">
        <w:rPr>
          <w:rFonts w:ascii="ITC Avant Garde" w:hAnsi="ITC Avant Garde"/>
          <w:bCs/>
          <w:color w:val="000000" w:themeColor="text1"/>
          <w:sz w:val="22"/>
          <w:szCs w:val="22"/>
          <w:lang w:val="es-MX" w:eastAsia="es-MX"/>
        </w:rPr>
        <w:t xml:space="preserve"> </w:t>
      </w:r>
      <w:r w:rsidR="002156ED" w:rsidRPr="006A1BCD">
        <w:rPr>
          <w:rFonts w:ascii="ITC Avant Garde" w:hAnsi="ITC Avant Garde"/>
          <w:bCs/>
          <w:color w:val="000000" w:themeColor="text1"/>
          <w:sz w:val="22"/>
          <w:szCs w:val="22"/>
          <w:lang w:val="es-MX" w:eastAsia="es-MX"/>
        </w:rPr>
        <w:t xml:space="preserve">(la “Solicitud de </w:t>
      </w:r>
      <w:r w:rsidR="005C4A55" w:rsidRPr="006A1BCD">
        <w:rPr>
          <w:rFonts w:ascii="ITC Avant Garde" w:hAnsi="ITC Avant Garde"/>
          <w:bCs/>
          <w:color w:val="000000" w:themeColor="text1"/>
          <w:sz w:val="22"/>
          <w:szCs w:val="22"/>
          <w:lang w:val="es-MX" w:eastAsia="es-MX"/>
        </w:rPr>
        <w:t xml:space="preserve">Enajenación </w:t>
      </w:r>
      <w:r w:rsidR="002156ED" w:rsidRPr="006A1BCD">
        <w:rPr>
          <w:rFonts w:ascii="ITC Avant Garde" w:hAnsi="ITC Avant Garde"/>
          <w:bCs/>
          <w:color w:val="000000" w:themeColor="text1"/>
          <w:sz w:val="22"/>
          <w:szCs w:val="22"/>
          <w:lang w:val="es-MX" w:eastAsia="es-MX"/>
        </w:rPr>
        <w:t>de Acciones”)</w:t>
      </w:r>
      <w:r w:rsidR="00E877FC" w:rsidRPr="006A1BCD">
        <w:rPr>
          <w:rFonts w:ascii="ITC Avant Garde" w:hAnsi="ITC Avant Garde"/>
          <w:bCs/>
          <w:color w:val="000000" w:themeColor="text1"/>
          <w:sz w:val="22"/>
          <w:szCs w:val="22"/>
          <w:lang w:val="es-MX" w:eastAsia="es-MX"/>
        </w:rPr>
        <w:t>.</w:t>
      </w:r>
      <w:r w:rsidR="00193464" w:rsidRPr="006A1BCD">
        <w:rPr>
          <w:rFonts w:ascii="ITC Avant Garde" w:hAnsi="ITC Avant Garde"/>
          <w:bCs/>
          <w:color w:val="000000" w:themeColor="text1"/>
          <w:sz w:val="22"/>
          <w:szCs w:val="22"/>
          <w:lang w:val="es-MX" w:eastAsia="es-MX"/>
        </w:rPr>
        <w:t xml:space="preserve"> </w:t>
      </w:r>
    </w:p>
    <w:p w14:paraId="0DF2EF3E" w14:textId="77777777" w:rsidR="006A1BCD" w:rsidRPr="006A1BCD" w:rsidRDefault="00E877FC" w:rsidP="006A1BCD">
      <w:pPr>
        <w:pStyle w:val="Prrafodelista"/>
        <w:spacing w:before="240" w:after="240"/>
        <w:ind w:left="567"/>
        <w:jc w:val="both"/>
        <w:rPr>
          <w:rFonts w:ascii="ITC Avant Garde" w:hAnsi="ITC Avant Garde"/>
          <w:bCs/>
          <w:color w:val="000000" w:themeColor="text1"/>
          <w:sz w:val="22"/>
          <w:szCs w:val="22"/>
          <w:lang w:val="es-MX" w:eastAsia="es-MX"/>
        </w:rPr>
      </w:pPr>
      <w:r w:rsidRPr="006A1BCD">
        <w:rPr>
          <w:rFonts w:ascii="ITC Avant Garde" w:hAnsi="ITC Avant Garde"/>
          <w:bCs/>
          <w:color w:val="000000" w:themeColor="text1"/>
          <w:sz w:val="22"/>
          <w:szCs w:val="22"/>
          <w:lang w:val="es-MX" w:eastAsia="es-MX"/>
        </w:rPr>
        <w:t xml:space="preserve">Posteriormente, </w:t>
      </w:r>
      <w:r w:rsidR="006605D5" w:rsidRPr="006A1BCD">
        <w:rPr>
          <w:rFonts w:ascii="ITC Avant Garde" w:hAnsi="ITC Avant Garde"/>
          <w:bCs/>
          <w:color w:val="000000" w:themeColor="text1"/>
          <w:sz w:val="22"/>
          <w:szCs w:val="22"/>
          <w:lang w:val="es-MX" w:eastAsia="es-MX"/>
        </w:rPr>
        <w:t>e</w:t>
      </w:r>
      <w:r w:rsidR="00102F38" w:rsidRPr="006A1BCD">
        <w:rPr>
          <w:rFonts w:ascii="ITC Avant Garde" w:hAnsi="ITC Avant Garde"/>
          <w:bCs/>
          <w:color w:val="000000" w:themeColor="text1"/>
          <w:sz w:val="22"/>
          <w:szCs w:val="22"/>
          <w:lang w:val="es-MX" w:eastAsia="es-MX"/>
        </w:rPr>
        <w:t>l</w:t>
      </w:r>
      <w:r w:rsidRPr="006A1BCD">
        <w:rPr>
          <w:rFonts w:ascii="ITC Avant Garde" w:hAnsi="ITC Avant Garde"/>
          <w:bCs/>
          <w:color w:val="000000" w:themeColor="text1"/>
          <w:sz w:val="22"/>
          <w:szCs w:val="22"/>
          <w:lang w:val="es-MX" w:eastAsia="es-MX"/>
        </w:rPr>
        <w:t xml:space="preserve"> </w:t>
      </w:r>
      <w:r w:rsidR="007C1AC7" w:rsidRPr="006A1BCD">
        <w:rPr>
          <w:rFonts w:ascii="ITC Avant Garde" w:hAnsi="ITC Avant Garde"/>
          <w:bCs/>
          <w:color w:val="000000" w:themeColor="text1"/>
          <w:sz w:val="22"/>
          <w:szCs w:val="22"/>
          <w:lang w:val="es-MX" w:eastAsia="es-MX"/>
        </w:rPr>
        <w:t>19</w:t>
      </w:r>
      <w:r w:rsidR="00951C38" w:rsidRPr="006A1BCD">
        <w:rPr>
          <w:rFonts w:ascii="ITC Avant Garde" w:hAnsi="ITC Avant Garde"/>
          <w:bCs/>
          <w:color w:val="000000" w:themeColor="text1"/>
          <w:sz w:val="22"/>
          <w:szCs w:val="22"/>
          <w:lang w:val="es-MX" w:eastAsia="es-MX"/>
        </w:rPr>
        <w:t xml:space="preserve"> de </w:t>
      </w:r>
      <w:r w:rsidR="007C1AC7" w:rsidRPr="006A1BCD">
        <w:rPr>
          <w:rFonts w:ascii="ITC Avant Garde" w:hAnsi="ITC Avant Garde"/>
          <w:bCs/>
          <w:color w:val="000000" w:themeColor="text1"/>
          <w:sz w:val="22"/>
          <w:szCs w:val="22"/>
          <w:lang w:val="es-MX" w:eastAsia="es-MX"/>
        </w:rPr>
        <w:t>junio</w:t>
      </w:r>
      <w:r w:rsidR="00951C38" w:rsidRPr="006A1BCD">
        <w:rPr>
          <w:rFonts w:ascii="ITC Avant Garde" w:hAnsi="ITC Avant Garde"/>
          <w:bCs/>
          <w:color w:val="000000" w:themeColor="text1"/>
          <w:sz w:val="22"/>
          <w:szCs w:val="22"/>
          <w:lang w:val="es-MX" w:eastAsia="es-MX"/>
        </w:rPr>
        <w:t xml:space="preserve"> </w:t>
      </w:r>
      <w:r w:rsidR="004914C7" w:rsidRPr="006A1BCD">
        <w:rPr>
          <w:rFonts w:ascii="ITC Avant Garde" w:hAnsi="ITC Avant Garde"/>
          <w:bCs/>
          <w:color w:val="000000" w:themeColor="text1"/>
          <w:sz w:val="22"/>
          <w:szCs w:val="22"/>
          <w:lang w:val="es-MX" w:eastAsia="es-MX"/>
        </w:rPr>
        <w:t>de 2017</w:t>
      </w:r>
      <w:r w:rsidRPr="006A1BCD">
        <w:rPr>
          <w:rFonts w:ascii="ITC Avant Garde" w:hAnsi="ITC Avant Garde"/>
          <w:bCs/>
          <w:color w:val="000000" w:themeColor="text1"/>
          <w:sz w:val="22"/>
          <w:szCs w:val="22"/>
          <w:lang w:val="es-MX" w:eastAsia="es-MX"/>
        </w:rPr>
        <w:t xml:space="preserve">, </w:t>
      </w:r>
      <w:proofErr w:type="spellStart"/>
      <w:r w:rsidR="006605D5" w:rsidRPr="006A1BCD">
        <w:rPr>
          <w:rFonts w:ascii="ITC Avant Garde" w:hAnsi="ITC Avant Garde"/>
          <w:bCs/>
          <w:color w:val="000000" w:themeColor="text1"/>
          <w:sz w:val="22"/>
          <w:szCs w:val="22"/>
          <w:lang w:val="es-MX" w:eastAsia="es-MX"/>
        </w:rPr>
        <w:t>Telecable</w:t>
      </w:r>
      <w:proofErr w:type="spellEnd"/>
      <w:r w:rsidR="006605D5" w:rsidRPr="006A1BCD">
        <w:rPr>
          <w:rFonts w:ascii="ITC Avant Garde" w:hAnsi="ITC Avant Garde"/>
          <w:bCs/>
          <w:color w:val="000000" w:themeColor="text1"/>
          <w:sz w:val="22"/>
          <w:szCs w:val="22"/>
          <w:lang w:val="es-MX" w:eastAsia="es-MX"/>
        </w:rPr>
        <w:t xml:space="preserve"> de Tierra Caliente</w:t>
      </w:r>
      <w:r w:rsidR="007C1AC7" w:rsidRPr="006A1BCD">
        <w:rPr>
          <w:rFonts w:ascii="ITC Avant Garde" w:hAnsi="ITC Avant Garde"/>
          <w:bCs/>
          <w:color w:val="000000" w:themeColor="text1"/>
          <w:sz w:val="22"/>
          <w:szCs w:val="22"/>
          <w:lang w:val="es-MX" w:eastAsia="es-MX"/>
        </w:rPr>
        <w:t>, S.A. de C.V</w:t>
      </w:r>
      <w:r w:rsidR="006605D5" w:rsidRPr="006A1BCD">
        <w:rPr>
          <w:rFonts w:ascii="ITC Avant Garde" w:hAnsi="ITC Avant Garde"/>
          <w:bCs/>
          <w:color w:val="000000" w:themeColor="text1"/>
          <w:sz w:val="22"/>
          <w:szCs w:val="22"/>
          <w:lang w:val="es-MX" w:eastAsia="es-MX"/>
        </w:rPr>
        <w:t>., dio respuesta a</w:t>
      </w:r>
      <w:r w:rsidR="007C1AC7" w:rsidRPr="006A1BCD">
        <w:rPr>
          <w:rFonts w:ascii="ITC Avant Garde" w:hAnsi="ITC Avant Garde"/>
          <w:bCs/>
          <w:color w:val="000000" w:themeColor="text1"/>
          <w:sz w:val="22"/>
          <w:szCs w:val="22"/>
          <w:lang w:val="es-MX" w:eastAsia="es-MX"/>
        </w:rPr>
        <w:t>l oficio IFT/223/UCS/DG-CTEL/123</w:t>
      </w:r>
      <w:r w:rsidR="006605D5" w:rsidRPr="006A1BCD">
        <w:rPr>
          <w:rFonts w:ascii="ITC Avant Garde" w:hAnsi="ITC Avant Garde"/>
          <w:bCs/>
          <w:color w:val="000000" w:themeColor="text1"/>
          <w:sz w:val="22"/>
          <w:szCs w:val="22"/>
          <w:lang w:val="es-MX" w:eastAsia="es-MX"/>
        </w:rPr>
        <w:t>3</w:t>
      </w:r>
      <w:r w:rsidR="007C1AC7" w:rsidRPr="006A1BCD">
        <w:rPr>
          <w:rFonts w:ascii="ITC Avant Garde" w:hAnsi="ITC Avant Garde"/>
          <w:bCs/>
          <w:color w:val="000000" w:themeColor="text1"/>
          <w:sz w:val="22"/>
          <w:szCs w:val="22"/>
          <w:lang w:val="es-MX" w:eastAsia="es-MX"/>
        </w:rPr>
        <w:t xml:space="preserve">/2017 de fecha </w:t>
      </w:r>
      <w:r w:rsidR="006605D5" w:rsidRPr="006A1BCD">
        <w:rPr>
          <w:rFonts w:ascii="ITC Avant Garde" w:hAnsi="ITC Avant Garde"/>
          <w:bCs/>
          <w:color w:val="000000" w:themeColor="text1"/>
          <w:sz w:val="22"/>
          <w:szCs w:val="22"/>
          <w:lang w:val="es-MX" w:eastAsia="es-MX"/>
        </w:rPr>
        <w:t>7</w:t>
      </w:r>
      <w:r w:rsidR="007C1AC7" w:rsidRPr="006A1BCD">
        <w:rPr>
          <w:rFonts w:ascii="ITC Avant Garde" w:hAnsi="ITC Avant Garde"/>
          <w:bCs/>
          <w:color w:val="000000" w:themeColor="text1"/>
          <w:sz w:val="22"/>
          <w:szCs w:val="22"/>
          <w:lang w:val="es-MX" w:eastAsia="es-MX"/>
        </w:rPr>
        <w:t xml:space="preserve"> de junio de 2017, mediante </w:t>
      </w:r>
      <w:r w:rsidR="006605D5" w:rsidRPr="006A1BCD">
        <w:rPr>
          <w:rFonts w:ascii="ITC Avant Garde" w:hAnsi="ITC Avant Garde"/>
          <w:bCs/>
          <w:color w:val="000000" w:themeColor="text1"/>
          <w:sz w:val="22"/>
          <w:szCs w:val="22"/>
          <w:lang w:val="es-MX" w:eastAsia="es-MX"/>
        </w:rPr>
        <w:t>e</w:t>
      </w:r>
      <w:r w:rsidR="007C1AC7" w:rsidRPr="006A1BCD">
        <w:rPr>
          <w:rFonts w:ascii="ITC Avant Garde" w:hAnsi="ITC Avant Garde"/>
          <w:bCs/>
          <w:color w:val="000000" w:themeColor="text1"/>
          <w:sz w:val="22"/>
          <w:szCs w:val="22"/>
          <w:lang w:val="es-MX" w:eastAsia="es-MX"/>
        </w:rPr>
        <w:t>l cual presentó diversa información en materia de competencia económica</w:t>
      </w:r>
      <w:r w:rsidRPr="006A1BCD">
        <w:rPr>
          <w:rFonts w:ascii="ITC Avant Garde" w:hAnsi="ITC Avant Garde"/>
          <w:bCs/>
          <w:color w:val="000000" w:themeColor="text1"/>
          <w:sz w:val="22"/>
          <w:szCs w:val="22"/>
          <w:lang w:val="es-MX" w:eastAsia="es-MX"/>
        </w:rPr>
        <w:t>.</w:t>
      </w:r>
    </w:p>
    <w:p w14:paraId="571C6595" w14:textId="77777777" w:rsidR="006A1BCD" w:rsidRPr="006A1BCD" w:rsidRDefault="00983506" w:rsidP="006A1BCD">
      <w:pPr>
        <w:pStyle w:val="Prrafodelista"/>
        <w:numPr>
          <w:ilvl w:val="0"/>
          <w:numId w:val="24"/>
        </w:numPr>
        <w:spacing w:before="240" w:after="240"/>
        <w:ind w:left="567" w:hanging="709"/>
        <w:jc w:val="both"/>
        <w:rPr>
          <w:rFonts w:ascii="ITC Avant Garde" w:hAnsi="ITC Avant Garde" w:cs="Arial"/>
          <w:bCs/>
          <w:color w:val="000000" w:themeColor="text1"/>
          <w:sz w:val="22"/>
          <w:szCs w:val="22"/>
          <w:shd w:val="clear" w:color="auto" w:fill="FFFFFF"/>
        </w:rPr>
      </w:pPr>
      <w:r w:rsidRPr="006A1BCD">
        <w:rPr>
          <w:rFonts w:ascii="ITC Avant Garde" w:hAnsi="ITC Avant Garde" w:cs="Arial"/>
          <w:b/>
          <w:bCs/>
          <w:color w:val="000000" w:themeColor="text1"/>
          <w:sz w:val="22"/>
          <w:szCs w:val="22"/>
          <w:shd w:val="clear" w:color="auto" w:fill="FFFFFF"/>
        </w:rPr>
        <w:t xml:space="preserve">Solicitud de </w:t>
      </w:r>
      <w:r w:rsidR="00075AB9" w:rsidRPr="006A1BCD">
        <w:rPr>
          <w:rFonts w:ascii="ITC Avant Garde" w:hAnsi="ITC Avant Garde" w:cs="Arial"/>
          <w:b/>
          <w:bCs/>
          <w:color w:val="000000" w:themeColor="text1"/>
          <w:sz w:val="22"/>
          <w:szCs w:val="22"/>
          <w:shd w:val="clear" w:color="auto" w:fill="FFFFFF"/>
        </w:rPr>
        <w:t>O</w:t>
      </w:r>
      <w:r w:rsidRPr="006A1BCD">
        <w:rPr>
          <w:rFonts w:ascii="ITC Avant Garde" w:hAnsi="ITC Avant Garde" w:cs="Arial"/>
          <w:b/>
          <w:bCs/>
          <w:color w:val="000000" w:themeColor="text1"/>
          <w:sz w:val="22"/>
          <w:szCs w:val="22"/>
          <w:shd w:val="clear" w:color="auto" w:fill="FFFFFF"/>
        </w:rPr>
        <w:t>pinión en materia de competencia económica.</w:t>
      </w:r>
      <w:r w:rsidRPr="006A1BCD">
        <w:rPr>
          <w:rFonts w:ascii="ITC Avant Garde" w:hAnsi="ITC Avant Garde" w:cs="Arial"/>
          <w:bCs/>
          <w:color w:val="000000" w:themeColor="text1"/>
          <w:sz w:val="22"/>
          <w:szCs w:val="22"/>
          <w:shd w:val="clear" w:color="auto" w:fill="FFFFFF"/>
        </w:rPr>
        <w:t xml:space="preserve"> Mediante oficio IFT/223/UCS/DG-CTEL/1174/2017, notificado el 2 de junio de 2017, la Dirección General de Concesiones de Telecomunicaciones, adscrita a la Unidad de Concesiones y Servicios del Instituto, solicitó a la Dirección General de Concentraciones y Concesiones de la Unidad de Competencia Econ</w:t>
      </w:r>
      <w:r w:rsidR="00075AB9" w:rsidRPr="006A1BCD">
        <w:rPr>
          <w:rFonts w:ascii="ITC Avant Garde" w:hAnsi="ITC Avant Garde" w:cs="Arial"/>
          <w:bCs/>
          <w:color w:val="000000" w:themeColor="text1"/>
          <w:sz w:val="22"/>
          <w:szCs w:val="22"/>
          <w:shd w:val="clear" w:color="auto" w:fill="FFFFFF"/>
        </w:rPr>
        <w:t>ómica, emitir opinión respecto de</w:t>
      </w:r>
      <w:r w:rsidRPr="006A1BCD">
        <w:rPr>
          <w:rFonts w:ascii="ITC Avant Garde" w:hAnsi="ITC Avant Garde" w:cs="Arial"/>
          <w:bCs/>
          <w:color w:val="000000" w:themeColor="text1"/>
          <w:sz w:val="22"/>
          <w:szCs w:val="22"/>
          <w:shd w:val="clear" w:color="auto" w:fill="FFFFFF"/>
        </w:rPr>
        <w:t xml:space="preserve"> la Solicitud de </w:t>
      </w:r>
      <w:r w:rsidRPr="006A1BCD">
        <w:rPr>
          <w:rFonts w:ascii="ITC Avant Garde" w:hAnsi="ITC Avant Garde"/>
          <w:bCs/>
          <w:color w:val="000000" w:themeColor="text1"/>
          <w:sz w:val="22"/>
          <w:szCs w:val="22"/>
          <w:lang w:val="es-MX" w:eastAsia="es-MX"/>
        </w:rPr>
        <w:t>Enajenación</w:t>
      </w:r>
      <w:r w:rsidRPr="006A1BCD">
        <w:rPr>
          <w:rFonts w:ascii="ITC Avant Garde" w:hAnsi="ITC Avant Garde" w:cs="Arial"/>
          <w:bCs/>
          <w:color w:val="000000" w:themeColor="text1"/>
          <w:sz w:val="22"/>
          <w:szCs w:val="22"/>
          <w:shd w:val="clear" w:color="auto" w:fill="FFFFFF"/>
        </w:rPr>
        <w:t xml:space="preserve"> de Acciones.</w:t>
      </w:r>
    </w:p>
    <w:p w14:paraId="675E17EF" w14:textId="77777777" w:rsidR="006A1BCD" w:rsidRPr="006A1BCD" w:rsidRDefault="00E91015" w:rsidP="006A1BCD">
      <w:pPr>
        <w:pStyle w:val="Prrafodelista"/>
        <w:numPr>
          <w:ilvl w:val="0"/>
          <w:numId w:val="24"/>
        </w:numPr>
        <w:spacing w:before="240" w:after="240"/>
        <w:ind w:left="567" w:hanging="709"/>
        <w:jc w:val="both"/>
        <w:rPr>
          <w:rFonts w:ascii="ITC Avant Garde" w:hAnsi="ITC Avant Garde" w:cs="Arial"/>
          <w:color w:val="000000" w:themeColor="text1"/>
          <w:sz w:val="22"/>
          <w:szCs w:val="22"/>
        </w:rPr>
      </w:pPr>
      <w:r w:rsidRPr="006A1BCD">
        <w:rPr>
          <w:rFonts w:ascii="ITC Avant Garde" w:hAnsi="ITC Avant Garde"/>
          <w:b/>
          <w:bCs/>
          <w:color w:val="000000" w:themeColor="text1"/>
          <w:sz w:val="22"/>
          <w:szCs w:val="22"/>
          <w:lang w:val="es-MX" w:eastAsia="es-MX"/>
        </w:rPr>
        <w:t xml:space="preserve">Solicitud de Opinión </w:t>
      </w:r>
      <w:r w:rsidR="00FD5868" w:rsidRPr="006A1BCD">
        <w:rPr>
          <w:rFonts w:ascii="ITC Avant Garde" w:hAnsi="ITC Avant Garde"/>
          <w:b/>
          <w:bCs/>
          <w:color w:val="000000" w:themeColor="text1"/>
          <w:sz w:val="22"/>
          <w:szCs w:val="22"/>
          <w:lang w:val="es-MX" w:eastAsia="es-MX"/>
        </w:rPr>
        <w:t>Técnica</w:t>
      </w:r>
      <w:r w:rsidRPr="006A1BCD">
        <w:rPr>
          <w:rFonts w:ascii="ITC Avant Garde" w:hAnsi="ITC Avant Garde"/>
          <w:b/>
          <w:bCs/>
          <w:color w:val="000000" w:themeColor="text1"/>
          <w:sz w:val="22"/>
          <w:szCs w:val="22"/>
          <w:lang w:val="es-MX" w:eastAsia="es-MX"/>
        </w:rPr>
        <w:t xml:space="preserve">. </w:t>
      </w:r>
      <w:r w:rsidR="00101675" w:rsidRPr="006A1BCD">
        <w:rPr>
          <w:rFonts w:ascii="ITC Avant Garde" w:hAnsi="ITC Avant Garde"/>
          <w:bCs/>
          <w:color w:val="000000" w:themeColor="text1"/>
          <w:sz w:val="22"/>
          <w:szCs w:val="22"/>
          <w:lang w:val="es-MX" w:eastAsia="es-MX"/>
        </w:rPr>
        <w:t>Mediante oficio IFT/223/UCS/</w:t>
      </w:r>
      <w:r w:rsidR="003F357E" w:rsidRPr="006A1BCD">
        <w:rPr>
          <w:rFonts w:ascii="ITC Avant Garde" w:hAnsi="ITC Avant Garde"/>
          <w:bCs/>
          <w:color w:val="000000" w:themeColor="text1"/>
          <w:sz w:val="22"/>
          <w:szCs w:val="22"/>
          <w:lang w:val="es-MX" w:eastAsia="es-MX"/>
        </w:rPr>
        <w:t>83</w:t>
      </w:r>
      <w:r w:rsidR="005F0415" w:rsidRPr="006A1BCD">
        <w:rPr>
          <w:rFonts w:ascii="ITC Avant Garde" w:hAnsi="ITC Avant Garde"/>
          <w:bCs/>
          <w:color w:val="000000" w:themeColor="text1"/>
          <w:sz w:val="22"/>
          <w:szCs w:val="22"/>
          <w:lang w:val="es-MX" w:eastAsia="es-MX"/>
        </w:rPr>
        <w:t>4</w:t>
      </w:r>
      <w:r w:rsidR="005D3DC0" w:rsidRPr="006A1BCD">
        <w:rPr>
          <w:rFonts w:ascii="ITC Avant Garde" w:hAnsi="ITC Avant Garde"/>
          <w:bCs/>
          <w:color w:val="000000" w:themeColor="text1"/>
          <w:sz w:val="22"/>
          <w:szCs w:val="22"/>
          <w:lang w:val="es-MX" w:eastAsia="es-MX"/>
        </w:rPr>
        <w:t>/2017</w:t>
      </w:r>
      <w:r w:rsidR="0087638B" w:rsidRPr="006A1BCD">
        <w:rPr>
          <w:rFonts w:ascii="ITC Avant Garde" w:hAnsi="ITC Avant Garde"/>
          <w:bCs/>
          <w:color w:val="000000" w:themeColor="text1"/>
          <w:sz w:val="22"/>
          <w:szCs w:val="22"/>
          <w:lang w:val="es-MX" w:eastAsia="es-MX"/>
        </w:rPr>
        <w:t>,</w:t>
      </w:r>
      <w:r w:rsidR="005D3DC0" w:rsidRPr="006A1BCD">
        <w:rPr>
          <w:rFonts w:ascii="ITC Avant Garde" w:hAnsi="ITC Avant Garde"/>
          <w:bCs/>
          <w:color w:val="000000" w:themeColor="text1"/>
          <w:sz w:val="22"/>
          <w:szCs w:val="22"/>
          <w:lang w:val="es-MX" w:eastAsia="es-MX"/>
        </w:rPr>
        <w:t xml:space="preserve"> </w:t>
      </w:r>
      <w:r w:rsidR="00101675" w:rsidRPr="006A1BCD">
        <w:rPr>
          <w:rFonts w:ascii="ITC Avant Garde" w:hAnsi="ITC Avant Garde"/>
          <w:bCs/>
          <w:color w:val="000000" w:themeColor="text1"/>
          <w:sz w:val="22"/>
          <w:szCs w:val="22"/>
          <w:lang w:val="es-MX" w:eastAsia="es-MX"/>
        </w:rPr>
        <w:t>notificado el</w:t>
      </w:r>
      <w:r w:rsidR="005D3DC0" w:rsidRPr="006A1BCD">
        <w:rPr>
          <w:rFonts w:ascii="ITC Avant Garde" w:hAnsi="ITC Avant Garde"/>
          <w:bCs/>
          <w:color w:val="000000" w:themeColor="text1"/>
          <w:sz w:val="22"/>
          <w:szCs w:val="22"/>
          <w:lang w:val="es-MX" w:eastAsia="es-MX"/>
        </w:rPr>
        <w:t xml:space="preserve"> </w:t>
      </w:r>
      <w:r w:rsidR="00E81D15" w:rsidRPr="006A1BCD">
        <w:rPr>
          <w:rFonts w:ascii="ITC Avant Garde" w:hAnsi="ITC Avant Garde"/>
          <w:bCs/>
          <w:color w:val="000000" w:themeColor="text1"/>
          <w:sz w:val="22"/>
          <w:szCs w:val="22"/>
          <w:lang w:val="es-MX" w:eastAsia="es-MX"/>
        </w:rPr>
        <w:t>5</w:t>
      </w:r>
      <w:r w:rsidR="00101675" w:rsidRPr="006A1BCD">
        <w:rPr>
          <w:rFonts w:ascii="ITC Avant Garde" w:hAnsi="ITC Avant Garde"/>
          <w:bCs/>
          <w:color w:val="000000" w:themeColor="text1"/>
          <w:sz w:val="22"/>
          <w:szCs w:val="22"/>
          <w:lang w:val="es-MX" w:eastAsia="es-MX"/>
        </w:rPr>
        <w:t xml:space="preserve"> de </w:t>
      </w:r>
      <w:r w:rsidR="005F0415" w:rsidRPr="006A1BCD">
        <w:rPr>
          <w:rFonts w:ascii="ITC Avant Garde" w:hAnsi="ITC Avant Garde"/>
          <w:bCs/>
          <w:color w:val="000000" w:themeColor="text1"/>
          <w:sz w:val="22"/>
          <w:szCs w:val="22"/>
          <w:lang w:val="es-MX" w:eastAsia="es-MX"/>
        </w:rPr>
        <w:t>junio</w:t>
      </w:r>
      <w:r w:rsidR="00101675" w:rsidRPr="006A1BCD">
        <w:rPr>
          <w:rFonts w:ascii="ITC Avant Garde" w:hAnsi="ITC Avant Garde"/>
          <w:bCs/>
          <w:color w:val="000000" w:themeColor="text1"/>
          <w:sz w:val="22"/>
          <w:szCs w:val="22"/>
          <w:lang w:val="es-MX" w:eastAsia="es-MX"/>
        </w:rPr>
        <w:t xml:space="preserve"> </w:t>
      </w:r>
      <w:r w:rsidR="00767895" w:rsidRPr="006A1BCD">
        <w:rPr>
          <w:rFonts w:ascii="ITC Avant Garde" w:hAnsi="ITC Avant Garde"/>
          <w:bCs/>
          <w:color w:val="000000" w:themeColor="text1"/>
          <w:sz w:val="22"/>
          <w:szCs w:val="22"/>
          <w:lang w:val="es-MX" w:eastAsia="es-MX"/>
        </w:rPr>
        <w:t>de 2017,</w:t>
      </w:r>
      <w:r w:rsidR="003F6851" w:rsidRPr="006A1BCD">
        <w:rPr>
          <w:rFonts w:ascii="ITC Avant Garde" w:hAnsi="ITC Avant Garde"/>
          <w:bCs/>
          <w:color w:val="000000" w:themeColor="text1"/>
          <w:sz w:val="22"/>
          <w:szCs w:val="22"/>
          <w:lang w:val="es-MX" w:eastAsia="es-MX"/>
        </w:rPr>
        <w:t xml:space="preserve"> </w:t>
      </w:r>
      <w:r w:rsidR="00767895" w:rsidRPr="006A1BCD">
        <w:rPr>
          <w:rFonts w:ascii="ITC Avant Garde" w:hAnsi="ITC Avant Garde"/>
          <w:bCs/>
          <w:color w:val="000000" w:themeColor="text1"/>
          <w:sz w:val="22"/>
          <w:szCs w:val="22"/>
          <w:lang w:val="es-MX" w:eastAsia="es-MX"/>
        </w:rPr>
        <w:t>la Unidad de Concesiones y Servicios</w:t>
      </w:r>
      <w:r w:rsidR="005D3DC0" w:rsidRPr="006A1BCD">
        <w:rPr>
          <w:rFonts w:ascii="ITC Avant Garde" w:hAnsi="ITC Avant Garde"/>
          <w:bCs/>
          <w:color w:val="000000" w:themeColor="text1"/>
          <w:sz w:val="22"/>
          <w:szCs w:val="22"/>
          <w:lang w:val="es-MX" w:eastAsia="es-MX"/>
        </w:rPr>
        <w:t xml:space="preserve"> del Instituto</w:t>
      </w:r>
      <w:r w:rsidR="00767895" w:rsidRPr="006A1BCD">
        <w:rPr>
          <w:rFonts w:ascii="ITC Avant Garde" w:hAnsi="ITC Avant Garde"/>
          <w:bCs/>
          <w:color w:val="000000" w:themeColor="text1"/>
          <w:sz w:val="22"/>
          <w:szCs w:val="22"/>
          <w:lang w:val="es-MX" w:eastAsia="es-MX"/>
        </w:rPr>
        <w:t xml:space="preserve"> solicitó</w:t>
      </w:r>
      <w:r w:rsidR="005D3DC0" w:rsidRPr="006A1BCD">
        <w:rPr>
          <w:rFonts w:ascii="ITC Avant Garde" w:hAnsi="ITC Avant Garde"/>
          <w:bCs/>
          <w:color w:val="000000" w:themeColor="text1"/>
          <w:sz w:val="22"/>
          <w:szCs w:val="22"/>
          <w:lang w:val="es-MX" w:eastAsia="es-MX"/>
        </w:rPr>
        <w:t xml:space="preserve"> a la Secretaría,</w:t>
      </w:r>
      <w:r w:rsidR="00767895" w:rsidRPr="006A1BCD">
        <w:rPr>
          <w:rFonts w:ascii="ITC Avant Garde" w:hAnsi="ITC Avant Garde"/>
          <w:bCs/>
          <w:color w:val="000000" w:themeColor="text1"/>
          <w:sz w:val="22"/>
          <w:szCs w:val="22"/>
          <w:lang w:val="es-MX" w:eastAsia="es-MX"/>
        </w:rPr>
        <w:t xml:space="preserve"> en términos del artículo 28 párrafo décimo séptimo de la Constitución Política de los Estados Unidos Mexicanos</w:t>
      </w:r>
      <w:r w:rsidR="00086E86" w:rsidRPr="006A1BCD">
        <w:rPr>
          <w:rFonts w:ascii="ITC Avant Garde" w:hAnsi="ITC Avant Garde"/>
          <w:bCs/>
          <w:color w:val="000000" w:themeColor="text1"/>
          <w:sz w:val="22"/>
          <w:szCs w:val="22"/>
          <w:lang w:val="es-MX" w:eastAsia="es-MX"/>
        </w:rPr>
        <w:t xml:space="preserve"> (la “Constitución”)</w:t>
      </w:r>
      <w:r w:rsidR="00767895" w:rsidRPr="006A1BCD">
        <w:rPr>
          <w:rFonts w:ascii="ITC Avant Garde" w:hAnsi="ITC Avant Garde"/>
          <w:bCs/>
          <w:color w:val="000000" w:themeColor="text1"/>
          <w:sz w:val="22"/>
          <w:szCs w:val="22"/>
          <w:lang w:val="es-MX" w:eastAsia="es-MX"/>
        </w:rPr>
        <w:t xml:space="preserve"> </w:t>
      </w:r>
      <w:r w:rsidR="00075AB9" w:rsidRPr="006A1BCD">
        <w:rPr>
          <w:rFonts w:ascii="ITC Avant Garde" w:hAnsi="ITC Avant Garde"/>
          <w:bCs/>
          <w:color w:val="000000" w:themeColor="text1"/>
          <w:sz w:val="22"/>
          <w:szCs w:val="22"/>
          <w:lang w:val="es-MX" w:eastAsia="es-MX"/>
        </w:rPr>
        <w:t xml:space="preserve">y la Ley Federal de Telecomunicaciones y Radiodifusión  (la “Ley”), </w:t>
      </w:r>
      <w:r w:rsidR="005D3DC0" w:rsidRPr="006A1BCD">
        <w:rPr>
          <w:rFonts w:ascii="ITC Avant Garde" w:hAnsi="ITC Avant Garde"/>
          <w:bCs/>
          <w:color w:val="000000" w:themeColor="text1"/>
          <w:sz w:val="22"/>
          <w:szCs w:val="22"/>
          <w:lang w:val="es-MX" w:eastAsia="es-MX"/>
        </w:rPr>
        <w:t>la o</w:t>
      </w:r>
      <w:r w:rsidR="00767895" w:rsidRPr="006A1BCD">
        <w:rPr>
          <w:rFonts w:ascii="ITC Avant Garde" w:hAnsi="ITC Avant Garde"/>
          <w:bCs/>
          <w:color w:val="000000" w:themeColor="text1"/>
          <w:sz w:val="22"/>
          <w:szCs w:val="22"/>
          <w:lang w:val="es-MX" w:eastAsia="es-MX"/>
        </w:rPr>
        <w:t xml:space="preserve">pinión técnica </w:t>
      </w:r>
      <w:r w:rsidR="005D3DC0" w:rsidRPr="006A1BCD">
        <w:rPr>
          <w:rFonts w:ascii="ITC Avant Garde" w:hAnsi="ITC Avant Garde"/>
          <w:bCs/>
          <w:color w:val="000000" w:themeColor="text1"/>
          <w:sz w:val="22"/>
          <w:szCs w:val="22"/>
          <w:lang w:val="es-MX" w:eastAsia="es-MX"/>
        </w:rPr>
        <w:t xml:space="preserve">que estimara procedente </w:t>
      </w:r>
      <w:r w:rsidR="006937BC" w:rsidRPr="006A1BCD">
        <w:rPr>
          <w:rFonts w:ascii="ITC Avant Garde" w:hAnsi="ITC Avant Garde"/>
          <w:bCs/>
          <w:color w:val="000000" w:themeColor="text1"/>
          <w:sz w:val="22"/>
          <w:szCs w:val="22"/>
          <w:lang w:val="es-MX" w:eastAsia="es-MX"/>
        </w:rPr>
        <w:t xml:space="preserve">respecto a la Solicitud de </w:t>
      </w:r>
      <w:r w:rsidR="00E81D15" w:rsidRPr="006A1BCD">
        <w:rPr>
          <w:rFonts w:ascii="ITC Avant Garde" w:hAnsi="ITC Avant Garde"/>
          <w:bCs/>
          <w:color w:val="000000" w:themeColor="text1"/>
          <w:sz w:val="22"/>
          <w:szCs w:val="22"/>
          <w:lang w:val="es-MX" w:eastAsia="es-MX"/>
        </w:rPr>
        <w:t>Enajenación</w:t>
      </w:r>
      <w:r w:rsidR="006937BC" w:rsidRPr="006A1BCD">
        <w:rPr>
          <w:rFonts w:ascii="ITC Avant Garde" w:hAnsi="ITC Avant Garde"/>
          <w:bCs/>
          <w:color w:val="000000" w:themeColor="text1"/>
          <w:sz w:val="22"/>
          <w:szCs w:val="22"/>
          <w:lang w:val="es-MX" w:eastAsia="es-MX"/>
        </w:rPr>
        <w:t xml:space="preserve"> de Acciones.</w:t>
      </w:r>
    </w:p>
    <w:p w14:paraId="6F27F54A" w14:textId="7771E4A9" w:rsidR="006A1BCD" w:rsidRPr="006A1BCD" w:rsidRDefault="00404CCE" w:rsidP="006A1BCD">
      <w:pPr>
        <w:pStyle w:val="Prrafodelista"/>
        <w:numPr>
          <w:ilvl w:val="0"/>
          <w:numId w:val="24"/>
        </w:numPr>
        <w:spacing w:before="240" w:after="240"/>
        <w:ind w:left="567" w:hanging="709"/>
        <w:jc w:val="both"/>
        <w:rPr>
          <w:rFonts w:ascii="ITC Avant Garde" w:hAnsi="ITC Avant Garde" w:cs="Arial"/>
          <w:bCs/>
          <w:color w:val="000000" w:themeColor="text1"/>
          <w:sz w:val="22"/>
          <w:szCs w:val="22"/>
          <w:shd w:val="clear" w:color="auto" w:fill="FFFFFF"/>
        </w:rPr>
      </w:pPr>
      <w:r w:rsidRPr="006A1BCD">
        <w:rPr>
          <w:rFonts w:ascii="ITC Avant Garde" w:hAnsi="ITC Avant Garde" w:cs="Arial"/>
          <w:b/>
          <w:bCs/>
          <w:color w:val="000000" w:themeColor="text1"/>
          <w:sz w:val="22"/>
          <w:szCs w:val="22"/>
          <w:shd w:val="clear" w:color="auto" w:fill="FFFFFF"/>
        </w:rPr>
        <w:t>Opinión en materia de competencia económica.</w:t>
      </w:r>
      <w:r w:rsidRPr="006A1BCD">
        <w:rPr>
          <w:rFonts w:ascii="ITC Avant Garde" w:hAnsi="ITC Avant Garde" w:cs="Arial"/>
          <w:bCs/>
          <w:color w:val="000000" w:themeColor="text1"/>
          <w:sz w:val="22"/>
          <w:szCs w:val="22"/>
          <w:shd w:val="clear" w:color="auto" w:fill="FFFFFF"/>
        </w:rPr>
        <w:t xml:space="preserve"> Con oficio IFT/226/UCE/DG-CCON/</w:t>
      </w:r>
      <w:r w:rsidR="006D58C9" w:rsidRPr="006A1BCD">
        <w:rPr>
          <w:rFonts w:ascii="ITC Avant Garde" w:hAnsi="ITC Avant Garde" w:cs="Arial"/>
          <w:bCs/>
          <w:color w:val="000000" w:themeColor="text1"/>
          <w:sz w:val="22"/>
          <w:szCs w:val="22"/>
          <w:shd w:val="clear" w:color="auto" w:fill="FFFFFF"/>
        </w:rPr>
        <w:t>471</w:t>
      </w:r>
      <w:r w:rsidRPr="006A1BCD">
        <w:rPr>
          <w:rFonts w:ascii="ITC Avant Garde" w:hAnsi="ITC Avant Garde" w:cs="Arial"/>
          <w:bCs/>
          <w:color w:val="000000" w:themeColor="text1"/>
          <w:sz w:val="22"/>
          <w:szCs w:val="22"/>
          <w:shd w:val="clear" w:color="auto" w:fill="FFFFFF"/>
        </w:rPr>
        <w:t xml:space="preserve">/2017 de fecha </w:t>
      </w:r>
      <w:r w:rsidR="006D58C9" w:rsidRPr="006A1BCD">
        <w:rPr>
          <w:rFonts w:ascii="ITC Avant Garde" w:hAnsi="ITC Avant Garde" w:cs="Arial"/>
          <w:bCs/>
          <w:color w:val="000000" w:themeColor="text1"/>
          <w:sz w:val="22"/>
          <w:szCs w:val="22"/>
          <w:shd w:val="clear" w:color="auto" w:fill="FFFFFF"/>
        </w:rPr>
        <w:t>3</w:t>
      </w:r>
      <w:r w:rsidRPr="006A1BCD">
        <w:rPr>
          <w:rFonts w:ascii="ITC Avant Garde" w:hAnsi="ITC Avant Garde" w:cs="Arial"/>
          <w:bCs/>
          <w:color w:val="000000" w:themeColor="text1"/>
          <w:sz w:val="22"/>
          <w:szCs w:val="22"/>
          <w:shd w:val="clear" w:color="auto" w:fill="FFFFFF"/>
        </w:rPr>
        <w:t xml:space="preserve"> de </w:t>
      </w:r>
      <w:r w:rsidR="006D58C9" w:rsidRPr="006A1BCD">
        <w:rPr>
          <w:rFonts w:ascii="ITC Avant Garde" w:hAnsi="ITC Avant Garde" w:cs="Arial"/>
          <w:bCs/>
          <w:color w:val="000000" w:themeColor="text1"/>
          <w:sz w:val="22"/>
          <w:szCs w:val="22"/>
          <w:shd w:val="clear" w:color="auto" w:fill="FFFFFF"/>
        </w:rPr>
        <w:t>julio</w:t>
      </w:r>
      <w:r w:rsidRPr="006A1BCD">
        <w:rPr>
          <w:rFonts w:ascii="ITC Avant Garde" w:hAnsi="ITC Avant Garde" w:cs="Arial"/>
          <w:bCs/>
          <w:color w:val="000000" w:themeColor="text1"/>
          <w:sz w:val="22"/>
          <w:szCs w:val="22"/>
          <w:shd w:val="clear" w:color="auto" w:fill="FFFFFF"/>
        </w:rPr>
        <w:t xml:space="preserve"> de 2017, la Dirección General de Concentraciones y Concesiones de la Unidad de Competencia Económica emitió la opinión correspondiente</w:t>
      </w:r>
      <w:r w:rsidR="0087638B" w:rsidRPr="006A1BCD">
        <w:rPr>
          <w:rFonts w:ascii="ITC Avant Garde" w:hAnsi="ITC Avant Garde" w:cs="Arial"/>
          <w:bCs/>
          <w:color w:val="000000" w:themeColor="text1"/>
          <w:sz w:val="22"/>
          <w:szCs w:val="22"/>
          <w:shd w:val="clear" w:color="auto" w:fill="FFFFFF"/>
        </w:rPr>
        <w:t>,</w:t>
      </w:r>
      <w:r w:rsidRPr="006A1BCD">
        <w:rPr>
          <w:rFonts w:ascii="ITC Avant Garde" w:hAnsi="ITC Avant Garde" w:cs="Arial"/>
          <w:bCs/>
          <w:color w:val="000000" w:themeColor="text1"/>
          <w:sz w:val="22"/>
          <w:szCs w:val="22"/>
          <w:shd w:val="clear" w:color="auto" w:fill="FFFFFF"/>
        </w:rPr>
        <w:t xml:space="preserve"> en sentido favorable.</w:t>
      </w:r>
    </w:p>
    <w:p w14:paraId="17751600" w14:textId="77777777" w:rsidR="006A1BCD" w:rsidRPr="006A1BCD" w:rsidRDefault="002451A7" w:rsidP="006A1BCD">
      <w:pPr>
        <w:pStyle w:val="Prrafodelista"/>
        <w:numPr>
          <w:ilvl w:val="0"/>
          <w:numId w:val="24"/>
        </w:numPr>
        <w:spacing w:before="240" w:after="240"/>
        <w:ind w:left="567" w:hanging="709"/>
        <w:jc w:val="both"/>
        <w:rPr>
          <w:rFonts w:ascii="ITC Avant Garde" w:hAnsi="ITC Avant Garde"/>
          <w:bCs/>
          <w:color w:val="000000" w:themeColor="text1"/>
          <w:sz w:val="22"/>
          <w:szCs w:val="22"/>
          <w:lang w:val="es-MX" w:eastAsia="es-MX"/>
        </w:rPr>
      </w:pPr>
      <w:r w:rsidRPr="006A1BCD">
        <w:rPr>
          <w:rFonts w:ascii="ITC Avant Garde" w:hAnsi="ITC Avant Garde" w:cs="Arial"/>
          <w:b/>
          <w:bCs/>
          <w:color w:val="000000" w:themeColor="text1"/>
          <w:sz w:val="22"/>
          <w:szCs w:val="22"/>
          <w:shd w:val="clear" w:color="auto" w:fill="FFFFFF"/>
        </w:rPr>
        <w:t>Opinión Técnica de la Secretaría.</w:t>
      </w:r>
      <w:r w:rsidR="00A73942" w:rsidRPr="006A1BCD">
        <w:rPr>
          <w:rFonts w:ascii="ITC Avant Garde" w:hAnsi="ITC Avant Garde"/>
          <w:bCs/>
          <w:color w:val="000000" w:themeColor="text1"/>
          <w:sz w:val="22"/>
          <w:szCs w:val="22"/>
          <w:lang w:eastAsia="es-MX"/>
        </w:rPr>
        <w:t xml:space="preserve"> El 10 de julio</w:t>
      </w:r>
      <w:r w:rsidRPr="006A1BCD">
        <w:rPr>
          <w:rFonts w:ascii="ITC Avant Garde" w:hAnsi="ITC Avant Garde"/>
          <w:bCs/>
          <w:color w:val="000000" w:themeColor="text1"/>
          <w:sz w:val="22"/>
          <w:szCs w:val="22"/>
          <w:lang w:eastAsia="es-MX"/>
        </w:rPr>
        <w:t xml:space="preserve"> de 2017, la Dirección General de Política de Telecomunicaciones y de Radiodifusión de la </w:t>
      </w:r>
      <w:r w:rsidRPr="006A1BCD">
        <w:rPr>
          <w:rFonts w:ascii="ITC Avant Garde" w:hAnsi="ITC Avant Garde"/>
          <w:color w:val="000000" w:themeColor="text1"/>
          <w:sz w:val="22"/>
          <w:szCs w:val="22"/>
          <w:shd w:val="clear" w:color="auto" w:fill="FFFFFF"/>
        </w:rPr>
        <w:t>Secretaría</w:t>
      </w:r>
      <w:r w:rsidR="00A73942" w:rsidRPr="006A1BCD">
        <w:rPr>
          <w:rFonts w:ascii="ITC Avant Garde" w:hAnsi="ITC Avant Garde"/>
          <w:bCs/>
          <w:color w:val="000000" w:themeColor="text1"/>
          <w:sz w:val="22"/>
          <w:szCs w:val="22"/>
          <w:lang w:eastAsia="es-MX"/>
        </w:rPr>
        <w:t xml:space="preserve"> remitió el oficio 2.1.-241</w:t>
      </w:r>
      <w:r w:rsidRPr="006A1BCD">
        <w:rPr>
          <w:rFonts w:ascii="ITC Avant Garde" w:hAnsi="ITC Avant Garde"/>
          <w:bCs/>
          <w:color w:val="000000" w:themeColor="text1"/>
          <w:sz w:val="22"/>
          <w:szCs w:val="22"/>
          <w:lang w:eastAsia="es-MX"/>
        </w:rPr>
        <w:t>/2017, mediante el</w:t>
      </w:r>
      <w:r w:rsidR="005B300C" w:rsidRPr="006A1BCD">
        <w:rPr>
          <w:rFonts w:ascii="ITC Avant Garde" w:hAnsi="ITC Avant Garde"/>
          <w:bCs/>
          <w:color w:val="000000" w:themeColor="text1"/>
          <w:sz w:val="22"/>
          <w:szCs w:val="22"/>
          <w:lang w:eastAsia="es-MX"/>
        </w:rPr>
        <w:t xml:space="preserve"> cual presentó el diverso 1.-157</w:t>
      </w:r>
      <w:r w:rsidRPr="006A1BCD">
        <w:rPr>
          <w:rFonts w:ascii="ITC Avant Garde" w:hAnsi="ITC Avant Garde"/>
          <w:bCs/>
          <w:color w:val="000000" w:themeColor="text1"/>
          <w:sz w:val="22"/>
          <w:szCs w:val="22"/>
          <w:lang w:eastAsia="es-MX"/>
        </w:rPr>
        <w:t xml:space="preserve"> que contiene la opinión técnica emitida por dicha Dependencia, en sentido favorable.</w:t>
      </w:r>
    </w:p>
    <w:p w14:paraId="02ADE599" w14:textId="77777777" w:rsidR="006A1BCD" w:rsidRPr="006A1BCD" w:rsidRDefault="00067854" w:rsidP="006A1BCD">
      <w:pPr>
        <w:spacing w:before="240" w:after="240"/>
        <w:jc w:val="both"/>
        <w:rPr>
          <w:rFonts w:ascii="ITC Avant Garde" w:hAnsi="ITC Avant Garde"/>
          <w:bCs/>
          <w:color w:val="000000" w:themeColor="text1"/>
          <w:sz w:val="22"/>
          <w:szCs w:val="22"/>
          <w:lang w:val="es-MX" w:eastAsia="es-MX"/>
        </w:rPr>
      </w:pPr>
      <w:r w:rsidRPr="006A1BCD">
        <w:rPr>
          <w:rFonts w:ascii="ITC Avant Garde" w:hAnsi="ITC Avant Garde"/>
          <w:bCs/>
          <w:color w:val="000000" w:themeColor="text1"/>
          <w:sz w:val="22"/>
          <w:szCs w:val="22"/>
          <w:lang w:val="es-MX" w:eastAsia="es-MX"/>
        </w:rPr>
        <w:t>En virtud de los Antecedentes referidos</w:t>
      </w:r>
      <w:r w:rsidR="00C25EEB" w:rsidRPr="006A1BCD">
        <w:rPr>
          <w:rFonts w:ascii="ITC Avant Garde" w:hAnsi="ITC Avant Garde"/>
          <w:bCs/>
          <w:color w:val="000000" w:themeColor="text1"/>
          <w:sz w:val="22"/>
          <w:szCs w:val="22"/>
          <w:lang w:val="es-MX" w:eastAsia="es-MX"/>
        </w:rPr>
        <w:t>,</w:t>
      </w:r>
      <w:r w:rsidRPr="006A1BCD">
        <w:rPr>
          <w:rFonts w:ascii="ITC Avant Garde" w:hAnsi="ITC Avant Garde"/>
          <w:bCs/>
          <w:color w:val="000000" w:themeColor="text1"/>
          <w:sz w:val="22"/>
          <w:szCs w:val="22"/>
          <w:lang w:val="es-MX" w:eastAsia="es-MX"/>
        </w:rPr>
        <w:t xml:space="preserve"> y</w:t>
      </w:r>
    </w:p>
    <w:p w14:paraId="1B09FDE6" w14:textId="77777777" w:rsidR="006A1BCD" w:rsidRPr="006A1BCD" w:rsidRDefault="00F80A22" w:rsidP="006A1BCD">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6A1BCD">
        <w:rPr>
          <w:rFonts w:ascii="ITC Avant Garde" w:eastAsiaTheme="majorEastAsia" w:hAnsi="ITC Avant Garde" w:cstheme="majorBidi"/>
          <w:color w:val="000000" w:themeColor="text1"/>
          <w:sz w:val="22"/>
          <w:szCs w:val="22"/>
          <w:lang w:eastAsia="en-US"/>
        </w:rPr>
        <w:t>CONSIDERANDO</w:t>
      </w:r>
    </w:p>
    <w:p w14:paraId="4AAF96DC" w14:textId="644DE2FD" w:rsidR="006A1BCD" w:rsidRPr="006A1BCD" w:rsidRDefault="00F80A22" w:rsidP="006A1BCD">
      <w:pPr>
        <w:autoSpaceDE w:val="0"/>
        <w:autoSpaceDN w:val="0"/>
        <w:adjustRightInd w:val="0"/>
        <w:spacing w:before="240" w:after="240"/>
        <w:jc w:val="both"/>
        <w:rPr>
          <w:rFonts w:ascii="ITC Avant Garde" w:hAnsi="ITC Avant Garde"/>
          <w:bCs/>
          <w:color w:val="000000" w:themeColor="text1"/>
          <w:sz w:val="22"/>
          <w:szCs w:val="22"/>
          <w:lang w:eastAsia="es-MX"/>
        </w:rPr>
      </w:pPr>
      <w:r w:rsidRPr="006A1BCD">
        <w:rPr>
          <w:rFonts w:ascii="ITC Avant Garde" w:hAnsi="ITC Avant Garde"/>
          <w:b/>
          <w:bCs/>
          <w:color w:val="000000" w:themeColor="text1"/>
          <w:sz w:val="22"/>
          <w:szCs w:val="22"/>
        </w:rPr>
        <w:t>Primero.-</w:t>
      </w:r>
      <w:r w:rsidRPr="006A1BCD">
        <w:rPr>
          <w:rFonts w:ascii="ITC Avant Garde" w:hAnsi="ITC Avant Garde"/>
          <w:bCs/>
          <w:color w:val="000000" w:themeColor="text1"/>
          <w:sz w:val="22"/>
          <w:szCs w:val="22"/>
        </w:rPr>
        <w:t xml:space="preserve"> </w:t>
      </w:r>
      <w:r w:rsidRPr="006A1BCD">
        <w:rPr>
          <w:rFonts w:ascii="ITC Avant Garde" w:hAnsi="ITC Avant Garde"/>
          <w:b/>
          <w:bCs/>
          <w:color w:val="000000" w:themeColor="text1"/>
          <w:sz w:val="22"/>
          <w:szCs w:val="22"/>
        </w:rPr>
        <w:t>Competencia.</w:t>
      </w:r>
      <w:r w:rsidRPr="006A1BCD">
        <w:rPr>
          <w:rFonts w:ascii="ITC Avant Garde" w:hAnsi="ITC Avant Garde"/>
          <w:bCs/>
          <w:color w:val="000000" w:themeColor="text1"/>
          <w:sz w:val="22"/>
          <w:szCs w:val="22"/>
        </w:rPr>
        <w:t xml:space="preserve"> </w:t>
      </w:r>
      <w:r w:rsidRPr="006A1BCD">
        <w:rPr>
          <w:rFonts w:ascii="ITC Avant Garde" w:hAnsi="ITC Avant Garde"/>
          <w:bCs/>
          <w:color w:val="000000" w:themeColor="text1"/>
          <w:sz w:val="22"/>
          <w:szCs w:val="22"/>
          <w:lang w:eastAsia="es-MX"/>
        </w:rPr>
        <w:t xml:space="preserve">Conforme lo dispone el artículo 28 párrafo décimo séptimo de la Constitución, corresponde al Instituto el otorgamiento, la revocación, así como la </w:t>
      </w:r>
      <w:r w:rsidRPr="006A1BCD">
        <w:rPr>
          <w:rFonts w:ascii="ITC Avant Garde" w:hAnsi="ITC Avant Garde"/>
          <w:bCs/>
          <w:color w:val="000000" w:themeColor="text1"/>
          <w:sz w:val="22"/>
          <w:szCs w:val="22"/>
          <w:lang w:eastAsia="es-MX"/>
        </w:rPr>
        <w:lastRenderedPageBreak/>
        <w:t>autorización de cesiones o cambios de control accionario, titularidad u operación de sociedades relacionadas con concesiones en materia de radiodifusión y telecomunicaciones.</w:t>
      </w:r>
    </w:p>
    <w:p w14:paraId="76926777" w14:textId="77777777" w:rsidR="006A1BCD" w:rsidRPr="006A1BCD" w:rsidRDefault="00F80A22" w:rsidP="006A1BCD">
      <w:pPr>
        <w:autoSpaceDE w:val="0"/>
        <w:autoSpaceDN w:val="0"/>
        <w:adjustRightInd w:val="0"/>
        <w:spacing w:before="240" w:after="240"/>
        <w:jc w:val="both"/>
        <w:rPr>
          <w:rFonts w:ascii="ITC Avant Garde" w:hAnsi="ITC Avant Garde"/>
          <w:bCs/>
          <w:color w:val="000000" w:themeColor="text1"/>
          <w:sz w:val="22"/>
          <w:szCs w:val="22"/>
          <w:lang w:eastAsia="es-MX"/>
        </w:rPr>
      </w:pPr>
      <w:r w:rsidRPr="006A1BCD">
        <w:rPr>
          <w:rFonts w:ascii="ITC Avant Garde" w:hAnsi="ITC Avant Garde"/>
          <w:bCs/>
          <w:color w:val="000000" w:themeColor="text1"/>
          <w:sz w:val="22"/>
          <w:szCs w:val="22"/>
          <w:lang w:eastAsia="es-MX"/>
        </w:rPr>
        <w:t>Asimismo, de conformidad con el párrafo décimo sexto del citado artículo, el Instituto es la autoridad en materia de competencia económica en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126B02CC" w14:textId="77777777" w:rsidR="006A1BCD" w:rsidRPr="006A1BCD" w:rsidRDefault="00F80A22" w:rsidP="006A1BCD">
      <w:pPr>
        <w:autoSpaceDE w:val="0"/>
        <w:autoSpaceDN w:val="0"/>
        <w:adjustRightInd w:val="0"/>
        <w:spacing w:before="240" w:after="240"/>
        <w:jc w:val="both"/>
        <w:rPr>
          <w:rFonts w:ascii="ITC Avant Garde" w:hAnsi="ITC Avant Garde"/>
          <w:bCs/>
          <w:color w:val="000000" w:themeColor="text1"/>
          <w:sz w:val="22"/>
          <w:szCs w:val="22"/>
          <w:lang w:eastAsia="es-MX"/>
        </w:rPr>
      </w:pPr>
      <w:r w:rsidRPr="006A1BCD">
        <w:rPr>
          <w:rFonts w:ascii="ITC Avant Garde" w:hAnsi="ITC Avant Garde"/>
          <w:bCs/>
          <w:color w:val="000000" w:themeColor="text1"/>
          <w:sz w:val="22"/>
          <w:szCs w:val="22"/>
          <w:lang w:eastAsia="es-MX"/>
        </w:rPr>
        <w:t>Ahora bien, el artículo 112 de la Ley establece que 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w:t>
      </w:r>
      <w:r w:rsidR="000359A4" w:rsidRPr="006A1BCD">
        <w:rPr>
          <w:rFonts w:ascii="ITC Avant Garde" w:hAnsi="ITC Avant Garde"/>
          <w:bCs/>
          <w:color w:val="000000" w:themeColor="text1"/>
          <w:sz w:val="22"/>
          <w:szCs w:val="22"/>
          <w:lang w:eastAsia="es-MX"/>
        </w:rPr>
        <w:t xml:space="preserve"> (la “Ley de Competencia”)</w:t>
      </w:r>
      <w:r w:rsidRPr="006A1BCD">
        <w:rPr>
          <w:rFonts w:ascii="ITC Avant Garde" w:hAnsi="ITC Avant Garde"/>
          <w:bCs/>
          <w:color w:val="000000" w:themeColor="text1"/>
          <w:sz w:val="22"/>
          <w:szCs w:val="22"/>
          <w:lang w:eastAsia="es-MX"/>
        </w:rPr>
        <w:t>, el concesionario estará obligado a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14:paraId="5E9FE0BC" w14:textId="77777777" w:rsidR="006A1BCD" w:rsidRPr="006A1BCD" w:rsidRDefault="00F80A22" w:rsidP="006A1BCD">
      <w:pPr>
        <w:autoSpaceDE w:val="0"/>
        <w:autoSpaceDN w:val="0"/>
        <w:adjustRightInd w:val="0"/>
        <w:spacing w:before="240" w:after="240"/>
        <w:jc w:val="both"/>
        <w:rPr>
          <w:rFonts w:ascii="ITC Avant Garde" w:hAnsi="ITC Avant Garde"/>
          <w:bCs/>
          <w:color w:val="000000" w:themeColor="text1"/>
          <w:sz w:val="22"/>
          <w:szCs w:val="22"/>
          <w:lang w:eastAsia="es-MX"/>
        </w:rPr>
      </w:pPr>
      <w:r w:rsidRPr="006A1BCD">
        <w:rPr>
          <w:rFonts w:ascii="ITC Avant Garde" w:hAnsi="ITC Avant Garde"/>
          <w:bCs/>
          <w:color w:val="000000" w:themeColor="text1"/>
          <w:sz w:val="22"/>
          <w:szCs w:val="22"/>
          <w:lang w:eastAsia="es-MX"/>
        </w:rPr>
        <w:t xml:space="preserve">De igual manera, corresponde al Pleno del Instituto conforme a lo establecido en los artículos 15 fracción IV y 17 </w:t>
      </w:r>
      <w:proofErr w:type="gramStart"/>
      <w:r w:rsidRPr="006A1BCD">
        <w:rPr>
          <w:rFonts w:ascii="ITC Avant Garde" w:hAnsi="ITC Avant Garde"/>
          <w:bCs/>
          <w:color w:val="000000" w:themeColor="text1"/>
          <w:sz w:val="22"/>
          <w:szCs w:val="22"/>
          <w:lang w:eastAsia="es-MX"/>
        </w:rPr>
        <w:t>fracción</w:t>
      </w:r>
      <w:proofErr w:type="gramEnd"/>
      <w:r w:rsidRPr="006A1BCD">
        <w:rPr>
          <w:rFonts w:ascii="ITC Avant Garde" w:hAnsi="ITC Avant Garde"/>
          <w:bCs/>
          <w:color w:val="000000" w:themeColor="text1"/>
          <w:sz w:val="22"/>
          <w:szCs w:val="22"/>
          <w:lang w:eastAsia="es-MX"/>
        </w:rPr>
        <w:t xml:space="preserve"> I</w:t>
      </w:r>
      <w:r w:rsidR="00670EBE" w:rsidRPr="006A1BCD">
        <w:rPr>
          <w:rFonts w:ascii="ITC Avant Garde" w:hAnsi="ITC Avant Garde"/>
          <w:bCs/>
          <w:color w:val="000000" w:themeColor="text1"/>
          <w:sz w:val="22"/>
          <w:szCs w:val="22"/>
          <w:lang w:eastAsia="es-MX"/>
        </w:rPr>
        <w:t xml:space="preserve"> de la Ley</w:t>
      </w:r>
      <w:r w:rsidRPr="006A1BCD">
        <w:rPr>
          <w:rFonts w:ascii="ITC Avant Garde" w:hAnsi="ITC Avant Garde"/>
          <w:bCs/>
          <w:color w:val="000000" w:themeColor="text1"/>
          <w:sz w:val="22"/>
          <w:szCs w:val="22"/>
          <w:lang w:eastAsia="es-MX"/>
        </w:rPr>
        <w:t>, la facultad de autorizar cesiones o cambios de control accionario, titularidad u operación de sociedades relacionadas con concesiones.</w:t>
      </w:r>
    </w:p>
    <w:p w14:paraId="0633E254" w14:textId="77777777" w:rsidR="006A1BCD" w:rsidRPr="006A1BCD" w:rsidRDefault="00F80A22" w:rsidP="006A1BCD">
      <w:pPr>
        <w:autoSpaceDE w:val="0"/>
        <w:autoSpaceDN w:val="0"/>
        <w:adjustRightInd w:val="0"/>
        <w:spacing w:before="240" w:after="240"/>
        <w:jc w:val="both"/>
        <w:rPr>
          <w:rFonts w:ascii="ITC Avant Garde" w:hAnsi="ITC Avant Garde"/>
          <w:bCs/>
          <w:color w:val="000000" w:themeColor="text1"/>
          <w:sz w:val="22"/>
          <w:szCs w:val="22"/>
          <w:lang w:eastAsia="es-MX"/>
        </w:rPr>
      </w:pPr>
      <w:r w:rsidRPr="006A1BCD">
        <w:rPr>
          <w:rFonts w:ascii="ITC Avant Garde" w:hAnsi="ITC Avant Garde"/>
          <w:bCs/>
          <w:color w:val="000000" w:themeColor="text1"/>
          <w:sz w:val="22"/>
          <w:szCs w:val="22"/>
          <w:lang w:eastAsia="es-MX"/>
        </w:rPr>
        <w:t>En este sentido, conforme a los artícu</w:t>
      </w:r>
      <w:r w:rsidR="00C00070" w:rsidRPr="006A1BCD">
        <w:rPr>
          <w:rFonts w:ascii="ITC Avant Garde" w:hAnsi="ITC Avant Garde"/>
          <w:bCs/>
          <w:color w:val="000000" w:themeColor="text1"/>
          <w:sz w:val="22"/>
          <w:szCs w:val="22"/>
          <w:lang w:eastAsia="es-MX"/>
        </w:rPr>
        <w:t>los 32 y 33 fracción</w:t>
      </w:r>
      <w:r w:rsidR="00B16771" w:rsidRPr="006A1BCD">
        <w:rPr>
          <w:rFonts w:ascii="ITC Avant Garde" w:hAnsi="ITC Avant Garde"/>
          <w:bCs/>
          <w:color w:val="000000" w:themeColor="text1"/>
          <w:sz w:val="22"/>
          <w:szCs w:val="22"/>
          <w:lang w:eastAsia="es-MX"/>
        </w:rPr>
        <w:t xml:space="preserve"> </w:t>
      </w:r>
      <w:r w:rsidRPr="006A1BCD">
        <w:rPr>
          <w:rFonts w:ascii="ITC Avant Garde" w:hAnsi="ITC Avant Garde"/>
          <w:bCs/>
          <w:color w:val="000000" w:themeColor="text1"/>
          <w:sz w:val="22"/>
          <w:szCs w:val="22"/>
          <w:lang w:eastAsia="es-MX"/>
        </w:rPr>
        <w:t>IV del Estatuto Orgánico corresponde a la Unidad de Concesiones y Servicios, a través de la Dirección General de Concesiones de Telecom</w:t>
      </w:r>
      <w:r w:rsidR="00B16771" w:rsidRPr="006A1BCD">
        <w:rPr>
          <w:rFonts w:ascii="ITC Avant Garde" w:hAnsi="ITC Avant Garde"/>
          <w:bCs/>
          <w:color w:val="000000" w:themeColor="text1"/>
          <w:sz w:val="22"/>
          <w:szCs w:val="22"/>
          <w:lang w:eastAsia="es-MX"/>
        </w:rPr>
        <w:t xml:space="preserve">unicaciones, tramitar y evaluar, entre otras, </w:t>
      </w:r>
      <w:r w:rsidR="00C00070" w:rsidRPr="006A1BCD">
        <w:rPr>
          <w:rFonts w:ascii="ITC Avant Garde" w:hAnsi="ITC Avant Garde"/>
          <w:bCs/>
          <w:color w:val="000000" w:themeColor="text1"/>
          <w:sz w:val="22"/>
          <w:szCs w:val="22"/>
          <w:lang w:eastAsia="es-MX"/>
        </w:rPr>
        <w:t>los</w:t>
      </w:r>
      <w:r w:rsidRPr="006A1BCD">
        <w:rPr>
          <w:rFonts w:ascii="ITC Avant Garde" w:hAnsi="ITC Avant Garde"/>
          <w:bCs/>
          <w:color w:val="000000" w:themeColor="text1"/>
          <w:sz w:val="22"/>
          <w:szCs w:val="22"/>
          <w:lang w:eastAsia="es-MX"/>
        </w:rPr>
        <w:t xml:space="preserve"> cambios de control accionario, titularidad u operación de sociedades relacionadas con concesiones en materia de telecomunicaciones, para someterlas a consideración del Pleno del Instituto.</w:t>
      </w:r>
    </w:p>
    <w:p w14:paraId="5AFC5404" w14:textId="77777777" w:rsidR="006A1BCD" w:rsidRPr="006A1BCD" w:rsidRDefault="00F80A22" w:rsidP="006A1BCD">
      <w:pPr>
        <w:autoSpaceDE w:val="0"/>
        <w:autoSpaceDN w:val="0"/>
        <w:adjustRightInd w:val="0"/>
        <w:spacing w:before="240" w:after="240"/>
        <w:jc w:val="both"/>
        <w:rPr>
          <w:rFonts w:ascii="ITC Avant Garde" w:hAnsi="ITC Avant Garde"/>
          <w:bCs/>
          <w:color w:val="000000" w:themeColor="text1"/>
          <w:sz w:val="22"/>
          <w:szCs w:val="22"/>
          <w:lang w:eastAsia="es-MX"/>
        </w:rPr>
      </w:pPr>
      <w:r w:rsidRPr="006A1BCD">
        <w:rPr>
          <w:rFonts w:ascii="ITC Avant Garde" w:hAnsi="ITC Avant Garde"/>
          <w:bCs/>
          <w:color w:val="000000" w:themeColor="text1"/>
          <w:sz w:val="22"/>
          <w:szCs w:val="22"/>
          <w:lang w:eastAsia="es-MX"/>
        </w:rPr>
        <w:t xml:space="preserve">En este orden de ideas, y considerando que el Instituto tiene a su cargo la regulación, promoción y supervisión de las telecomunicaciones, así como la facultad de autorizar cambios de control accionario, titularidad u operación de sociedades relacionadas con concesiones; el Pleno, como órgano máximo de gobierno y decisión del Instituto, se encuentra plenamente facultado para resolver la Solicitud de </w:t>
      </w:r>
      <w:r w:rsidR="00461C7A" w:rsidRPr="006A1BCD">
        <w:rPr>
          <w:rFonts w:ascii="ITC Avant Garde" w:hAnsi="ITC Avant Garde"/>
          <w:bCs/>
          <w:color w:val="000000" w:themeColor="text1"/>
          <w:sz w:val="22"/>
          <w:szCs w:val="22"/>
          <w:lang w:eastAsia="es-MX"/>
        </w:rPr>
        <w:t>Enajenación</w:t>
      </w:r>
      <w:r w:rsidRPr="006A1BCD">
        <w:rPr>
          <w:rFonts w:ascii="ITC Avant Garde" w:hAnsi="ITC Avant Garde"/>
          <w:bCs/>
          <w:color w:val="000000" w:themeColor="text1"/>
          <w:sz w:val="22"/>
          <w:szCs w:val="22"/>
          <w:lang w:eastAsia="es-MX"/>
        </w:rPr>
        <w:t xml:space="preserve"> de Acciones.</w:t>
      </w:r>
    </w:p>
    <w:p w14:paraId="13EDEE1C" w14:textId="695E1FF1" w:rsidR="006A1BCD" w:rsidRPr="006A1BCD" w:rsidRDefault="00F80A22" w:rsidP="006A1BCD">
      <w:pPr>
        <w:autoSpaceDE w:val="0"/>
        <w:autoSpaceDN w:val="0"/>
        <w:adjustRightInd w:val="0"/>
        <w:spacing w:before="240" w:after="240"/>
        <w:jc w:val="both"/>
        <w:rPr>
          <w:rFonts w:ascii="ITC Avant Garde" w:hAnsi="ITC Avant Garde"/>
          <w:bCs/>
          <w:color w:val="000000" w:themeColor="text1"/>
          <w:sz w:val="22"/>
          <w:szCs w:val="22"/>
          <w:lang w:eastAsia="es-MX"/>
        </w:rPr>
      </w:pPr>
      <w:r w:rsidRPr="006A1BCD">
        <w:rPr>
          <w:rFonts w:ascii="ITC Avant Garde" w:hAnsi="ITC Avant Garde"/>
          <w:b/>
          <w:bCs/>
          <w:color w:val="000000" w:themeColor="text1"/>
          <w:sz w:val="22"/>
          <w:szCs w:val="22"/>
        </w:rPr>
        <w:t>Segundo.-</w:t>
      </w:r>
      <w:r w:rsidRPr="006A1BCD">
        <w:rPr>
          <w:rFonts w:ascii="ITC Avant Garde" w:hAnsi="ITC Avant Garde"/>
          <w:bCs/>
          <w:color w:val="000000" w:themeColor="text1"/>
          <w:sz w:val="22"/>
          <w:szCs w:val="22"/>
        </w:rPr>
        <w:t xml:space="preserve"> </w:t>
      </w:r>
      <w:r w:rsidRPr="006A1BCD">
        <w:rPr>
          <w:rFonts w:ascii="ITC Avant Garde" w:hAnsi="ITC Avant Garde"/>
          <w:b/>
          <w:bCs/>
          <w:color w:val="000000" w:themeColor="text1"/>
          <w:sz w:val="22"/>
          <w:szCs w:val="22"/>
        </w:rPr>
        <w:t xml:space="preserve">Marco legal aplicable a la Solicitud de </w:t>
      </w:r>
      <w:r w:rsidR="00230D59" w:rsidRPr="006A1BCD">
        <w:rPr>
          <w:rFonts w:ascii="ITC Avant Garde" w:hAnsi="ITC Avant Garde"/>
          <w:b/>
          <w:bCs/>
          <w:color w:val="000000" w:themeColor="text1"/>
          <w:sz w:val="22"/>
          <w:szCs w:val="22"/>
        </w:rPr>
        <w:t xml:space="preserve">Enajenación </w:t>
      </w:r>
      <w:r w:rsidRPr="006A1BCD">
        <w:rPr>
          <w:rFonts w:ascii="ITC Avant Garde" w:hAnsi="ITC Avant Garde"/>
          <w:b/>
          <w:bCs/>
          <w:color w:val="000000" w:themeColor="text1"/>
          <w:sz w:val="22"/>
          <w:szCs w:val="22"/>
        </w:rPr>
        <w:t>de Acciones.</w:t>
      </w:r>
      <w:r w:rsidRPr="006A1BCD">
        <w:rPr>
          <w:rFonts w:ascii="ITC Avant Garde" w:hAnsi="ITC Avant Garde"/>
          <w:bCs/>
          <w:color w:val="000000" w:themeColor="text1"/>
          <w:sz w:val="22"/>
          <w:szCs w:val="22"/>
        </w:rPr>
        <w:t xml:space="preserve"> De </w:t>
      </w:r>
      <w:r w:rsidRPr="006A1BCD">
        <w:rPr>
          <w:rFonts w:ascii="ITC Avant Garde" w:hAnsi="ITC Avant Garde"/>
          <w:bCs/>
          <w:color w:val="000000" w:themeColor="text1"/>
          <w:sz w:val="22"/>
          <w:szCs w:val="22"/>
          <w:lang w:eastAsia="es-MX"/>
        </w:rPr>
        <w:t xml:space="preserve">conformidad con lo antes señalado, la normatividad aplicable que establece los requisitos de procedencia para solicitar la autorización para llevar a cabo la </w:t>
      </w:r>
      <w:r w:rsidR="00230D59" w:rsidRPr="006A1BCD">
        <w:rPr>
          <w:rFonts w:ascii="ITC Avant Garde" w:hAnsi="ITC Avant Garde"/>
          <w:bCs/>
          <w:color w:val="000000" w:themeColor="text1"/>
          <w:sz w:val="22"/>
          <w:szCs w:val="22"/>
          <w:lang w:eastAsia="es-MX"/>
        </w:rPr>
        <w:lastRenderedPageBreak/>
        <w:t>enajenación de acciones</w:t>
      </w:r>
      <w:r w:rsidRPr="006A1BCD">
        <w:rPr>
          <w:rFonts w:ascii="ITC Avant Garde" w:hAnsi="ITC Avant Garde"/>
          <w:bCs/>
          <w:color w:val="000000" w:themeColor="text1"/>
          <w:sz w:val="22"/>
          <w:szCs w:val="22"/>
          <w:lang w:eastAsia="es-MX"/>
        </w:rPr>
        <w:t xml:space="preserve"> o partes sociales del capital de una empresa, se encuentra contenida en el artículo 112 de la Ley, el cual establece lo siguiente:</w:t>
      </w:r>
    </w:p>
    <w:p w14:paraId="5187EF97" w14:textId="77777777" w:rsidR="006A1BCD" w:rsidRPr="006A1BCD" w:rsidRDefault="00F80A22" w:rsidP="006A1BCD">
      <w:pPr>
        <w:pStyle w:val="Prrafodelista"/>
        <w:autoSpaceDE w:val="0"/>
        <w:autoSpaceDN w:val="0"/>
        <w:adjustRightInd w:val="0"/>
        <w:spacing w:before="240" w:after="240"/>
        <w:ind w:left="1418" w:right="615"/>
        <w:jc w:val="both"/>
        <w:rPr>
          <w:rFonts w:ascii="ITC Avant Garde" w:hAnsi="ITC Avant Garde"/>
          <w:bCs/>
          <w:color w:val="000000" w:themeColor="text1"/>
          <w:sz w:val="18"/>
          <w:szCs w:val="18"/>
          <w:lang w:eastAsia="es-MX"/>
        </w:rPr>
      </w:pPr>
      <w:r w:rsidRPr="006A1BCD">
        <w:rPr>
          <w:rFonts w:ascii="ITC Avant Garde" w:hAnsi="ITC Avant Garde"/>
          <w:b/>
          <w:bCs/>
          <w:color w:val="000000" w:themeColor="text1"/>
          <w:sz w:val="18"/>
          <w:szCs w:val="18"/>
          <w:lang w:eastAsia="es-MX"/>
        </w:rPr>
        <w:t>“Artículo 112.</w:t>
      </w:r>
      <w:r w:rsidRPr="006A1BCD">
        <w:rPr>
          <w:rFonts w:ascii="ITC Avant Garde" w:hAnsi="ITC Avant Garde"/>
          <w:bCs/>
          <w:color w:val="000000" w:themeColor="text1"/>
          <w:sz w:val="18"/>
          <w:szCs w:val="18"/>
          <w:lang w:eastAsia="es-MX"/>
        </w:rPr>
        <w:t xml:space="preserve"> El concesionario, cuando sea una persona moral, presentará al Instituto, a más tardar el treinta de junio de cada año, su estructura accionaria o de partes sociales de que se trate, con sus respectivos porcentajes de participación, acompañando además una relación de los accionistas que sean titulares del cinco por ciento o más del capital social de la empresa, así como el nombre de las personas físicas que participen directa o indirectamente con el diez por ciento o más del capital social de la empresa, sus principales accionistas y sus respectivos porcentajes de participación, a la que acompañará la información en el formato que determine el Instituto.</w:t>
      </w:r>
    </w:p>
    <w:p w14:paraId="6C0F4EED" w14:textId="77777777" w:rsidR="006A1BCD" w:rsidRPr="006A1BCD" w:rsidRDefault="00F80A22" w:rsidP="006A1BCD">
      <w:pPr>
        <w:pStyle w:val="Prrafodelista"/>
        <w:autoSpaceDE w:val="0"/>
        <w:autoSpaceDN w:val="0"/>
        <w:adjustRightInd w:val="0"/>
        <w:spacing w:before="240" w:after="240"/>
        <w:ind w:left="1418" w:right="615"/>
        <w:jc w:val="both"/>
        <w:rPr>
          <w:rFonts w:ascii="ITC Avant Garde" w:hAnsi="ITC Avant Garde"/>
          <w:bCs/>
          <w:color w:val="000000" w:themeColor="text1"/>
          <w:sz w:val="18"/>
          <w:szCs w:val="18"/>
          <w:lang w:eastAsia="es-MX"/>
        </w:rPr>
      </w:pPr>
      <w:r w:rsidRPr="006A1BCD">
        <w:rPr>
          <w:rFonts w:ascii="ITC Avant Garde" w:hAnsi="ITC Avant Garde"/>
          <w:bCs/>
          <w:color w:val="000000" w:themeColor="text1"/>
          <w:sz w:val="18"/>
          <w:szCs w:val="18"/>
          <w:lang w:eastAsia="es-MX"/>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w:t>
      </w:r>
    </w:p>
    <w:p w14:paraId="05F32D69" w14:textId="77777777" w:rsidR="006A1BCD" w:rsidRPr="006A1BCD" w:rsidRDefault="00F80A22" w:rsidP="006A1BCD">
      <w:pPr>
        <w:pStyle w:val="Prrafodelista"/>
        <w:numPr>
          <w:ilvl w:val="0"/>
          <w:numId w:val="6"/>
        </w:numPr>
        <w:autoSpaceDE w:val="0"/>
        <w:autoSpaceDN w:val="0"/>
        <w:adjustRightInd w:val="0"/>
        <w:spacing w:before="240" w:after="240"/>
        <w:ind w:left="2127" w:right="757" w:hanging="567"/>
        <w:jc w:val="both"/>
        <w:rPr>
          <w:rFonts w:ascii="ITC Avant Garde" w:hAnsi="ITC Avant Garde"/>
          <w:bCs/>
          <w:color w:val="000000" w:themeColor="text1"/>
          <w:sz w:val="18"/>
          <w:szCs w:val="18"/>
          <w:lang w:eastAsia="es-MX"/>
        </w:rPr>
      </w:pPr>
      <w:r w:rsidRPr="006A1BCD">
        <w:rPr>
          <w:rFonts w:ascii="ITC Avant Garde" w:hAnsi="ITC Avant Garde"/>
          <w:bCs/>
          <w:color w:val="000000" w:themeColor="text1"/>
          <w:sz w:val="18"/>
          <w:szCs w:val="18"/>
          <w:lang w:eastAsia="es-MX"/>
        </w:rPr>
        <w:t>El concesionario deberá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14:paraId="74456B7E" w14:textId="77777777" w:rsidR="006A1BCD" w:rsidRPr="006A1BCD" w:rsidRDefault="00F80A22" w:rsidP="006A1BCD">
      <w:pPr>
        <w:pStyle w:val="Prrafodelista"/>
        <w:numPr>
          <w:ilvl w:val="0"/>
          <w:numId w:val="6"/>
        </w:numPr>
        <w:autoSpaceDE w:val="0"/>
        <w:autoSpaceDN w:val="0"/>
        <w:adjustRightInd w:val="0"/>
        <w:spacing w:before="240" w:after="240"/>
        <w:ind w:left="2127" w:right="757" w:hanging="567"/>
        <w:jc w:val="both"/>
        <w:rPr>
          <w:rFonts w:ascii="ITC Avant Garde" w:hAnsi="ITC Avant Garde"/>
          <w:bCs/>
          <w:color w:val="000000" w:themeColor="text1"/>
          <w:sz w:val="18"/>
          <w:szCs w:val="18"/>
          <w:lang w:eastAsia="es-MX"/>
        </w:rPr>
      </w:pPr>
      <w:r w:rsidRPr="006A1BCD">
        <w:rPr>
          <w:rFonts w:ascii="ITC Avant Garde" w:hAnsi="ITC Avant Garde"/>
          <w:bCs/>
          <w:color w:val="000000" w:themeColor="text1"/>
          <w:sz w:val="18"/>
          <w:szCs w:val="18"/>
          <w:lang w:eastAsia="es-MX"/>
        </w:rPr>
        <w:t>El Instituto tendrá un plazo de diez días hábiles contados a partir de la presentación del aviso, para solicitar la opinión de la Secretaría;</w:t>
      </w:r>
    </w:p>
    <w:p w14:paraId="0D1811C0" w14:textId="77777777" w:rsidR="006A1BCD" w:rsidRPr="006A1BCD" w:rsidRDefault="00F80A22" w:rsidP="006A1BCD">
      <w:pPr>
        <w:pStyle w:val="Prrafodelista"/>
        <w:numPr>
          <w:ilvl w:val="0"/>
          <w:numId w:val="6"/>
        </w:numPr>
        <w:autoSpaceDE w:val="0"/>
        <w:autoSpaceDN w:val="0"/>
        <w:adjustRightInd w:val="0"/>
        <w:spacing w:before="240" w:after="240"/>
        <w:ind w:left="2127" w:right="757" w:hanging="567"/>
        <w:jc w:val="both"/>
        <w:rPr>
          <w:rFonts w:ascii="ITC Avant Garde" w:hAnsi="ITC Avant Garde"/>
          <w:bCs/>
          <w:color w:val="000000" w:themeColor="text1"/>
          <w:sz w:val="18"/>
          <w:szCs w:val="18"/>
          <w:lang w:eastAsia="es-MX"/>
        </w:rPr>
      </w:pPr>
      <w:r w:rsidRPr="006A1BCD">
        <w:rPr>
          <w:rFonts w:ascii="ITC Avant Garde" w:hAnsi="ITC Avant Garde"/>
          <w:bCs/>
          <w:color w:val="000000" w:themeColor="text1"/>
          <w:sz w:val="18"/>
          <w:szCs w:val="18"/>
          <w:lang w:eastAsia="es-MX"/>
        </w:rPr>
        <w:t>La Secretaría tendrá un plazo de treinta días naturales para emitir opinión, y</w:t>
      </w:r>
    </w:p>
    <w:p w14:paraId="72ADDFDA" w14:textId="5F4B5250" w:rsidR="00F80A22" w:rsidRPr="006A1BCD" w:rsidRDefault="00F80A22" w:rsidP="006A1BCD">
      <w:pPr>
        <w:pStyle w:val="Prrafodelista"/>
        <w:numPr>
          <w:ilvl w:val="0"/>
          <w:numId w:val="6"/>
        </w:numPr>
        <w:autoSpaceDE w:val="0"/>
        <w:autoSpaceDN w:val="0"/>
        <w:adjustRightInd w:val="0"/>
        <w:spacing w:before="240" w:after="240"/>
        <w:ind w:left="2127" w:right="757" w:hanging="567"/>
        <w:jc w:val="both"/>
        <w:rPr>
          <w:rFonts w:ascii="ITC Avant Garde" w:hAnsi="ITC Avant Garde"/>
          <w:bCs/>
          <w:color w:val="000000" w:themeColor="text1"/>
          <w:sz w:val="18"/>
          <w:szCs w:val="18"/>
          <w:lang w:eastAsia="es-MX"/>
        </w:rPr>
      </w:pPr>
      <w:r w:rsidRPr="006A1BCD">
        <w:rPr>
          <w:rFonts w:ascii="ITC Avant Garde" w:hAnsi="ITC Avant Garde"/>
          <w:bCs/>
          <w:color w:val="000000" w:themeColor="text1"/>
          <w:sz w:val="18"/>
          <w:szCs w:val="18"/>
          <w:lang w:eastAsia="es-MX"/>
        </w:rPr>
        <w:t>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Transcurrido dicho plazo sin que la operación hubiere sido objetada por el Instituto, se tendrá por autorizada.</w:t>
      </w:r>
    </w:p>
    <w:p w14:paraId="5E075FCD" w14:textId="77777777" w:rsidR="006A1BCD" w:rsidRPr="006A1BCD" w:rsidRDefault="00F80A22" w:rsidP="006A1BCD">
      <w:pPr>
        <w:pStyle w:val="Prrafodelista"/>
        <w:autoSpaceDE w:val="0"/>
        <w:autoSpaceDN w:val="0"/>
        <w:adjustRightInd w:val="0"/>
        <w:spacing w:before="240" w:after="240"/>
        <w:ind w:left="1418" w:right="615"/>
        <w:jc w:val="both"/>
        <w:rPr>
          <w:rFonts w:ascii="ITC Avant Garde" w:hAnsi="ITC Avant Garde"/>
          <w:bCs/>
          <w:color w:val="000000" w:themeColor="text1"/>
          <w:sz w:val="18"/>
          <w:szCs w:val="18"/>
          <w:lang w:eastAsia="es-MX"/>
        </w:rPr>
      </w:pPr>
      <w:r w:rsidRPr="006A1BCD">
        <w:rPr>
          <w:rFonts w:ascii="ITC Avant Garde" w:hAnsi="ITC Avant Garde"/>
          <w:bCs/>
          <w:color w:val="000000" w:themeColor="text1"/>
          <w:sz w:val="18"/>
          <w:szCs w:val="18"/>
          <w:lang w:eastAsia="es-MX"/>
        </w:rPr>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14:paraId="170CB52B" w14:textId="77777777" w:rsidR="006A1BCD" w:rsidRPr="006A1BCD" w:rsidRDefault="00F80A22" w:rsidP="006A1BCD">
      <w:pPr>
        <w:pStyle w:val="Prrafodelista"/>
        <w:autoSpaceDE w:val="0"/>
        <w:autoSpaceDN w:val="0"/>
        <w:adjustRightInd w:val="0"/>
        <w:spacing w:before="240" w:after="240"/>
        <w:ind w:left="1418" w:right="615"/>
        <w:jc w:val="both"/>
        <w:rPr>
          <w:rFonts w:ascii="ITC Avant Garde" w:hAnsi="ITC Avant Garde"/>
          <w:bCs/>
          <w:color w:val="000000" w:themeColor="text1"/>
          <w:sz w:val="18"/>
          <w:szCs w:val="18"/>
          <w:lang w:eastAsia="es-MX"/>
        </w:rPr>
      </w:pPr>
      <w:r w:rsidRPr="006A1BCD">
        <w:rPr>
          <w:rFonts w:ascii="ITC Avant Garde" w:hAnsi="ITC Avant Garde"/>
          <w:bCs/>
          <w:color w:val="000000" w:themeColor="text1"/>
          <w:sz w:val="18"/>
          <w:szCs w:val="18"/>
          <w:lang w:eastAsia="es-MX"/>
        </w:rPr>
        <w:t>…</w:t>
      </w:r>
    </w:p>
    <w:p w14:paraId="50FDFDA5" w14:textId="77777777" w:rsidR="006A1BCD" w:rsidRPr="006A1BCD" w:rsidRDefault="00F80A22" w:rsidP="006A1BCD">
      <w:pPr>
        <w:pStyle w:val="Prrafodelista"/>
        <w:autoSpaceDE w:val="0"/>
        <w:autoSpaceDN w:val="0"/>
        <w:adjustRightInd w:val="0"/>
        <w:spacing w:before="240" w:after="240"/>
        <w:ind w:left="1418" w:right="615"/>
        <w:jc w:val="both"/>
        <w:rPr>
          <w:rFonts w:ascii="ITC Avant Garde" w:hAnsi="ITC Avant Garde"/>
          <w:bCs/>
          <w:color w:val="000000" w:themeColor="text1"/>
          <w:sz w:val="18"/>
          <w:szCs w:val="18"/>
          <w:lang w:eastAsia="es-MX"/>
        </w:rPr>
      </w:pPr>
      <w:r w:rsidRPr="006A1BCD">
        <w:rPr>
          <w:rFonts w:ascii="ITC Avant Garde" w:hAnsi="ITC Avant Garde"/>
          <w:bCs/>
          <w:color w:val="000000" w:themeColor="text1"/>
          <w:sz w:val="18"/>
          <w:szCs w:val="18"/>
          <w:lang w:eastAsia="es-MX"/>
        </w:rPr>
        <w:t>En caso de que el interesado en suscribir o adquirir acciones o partes sociales sea una persona moral, en el aviso al que se refiere la fracción I de este artículo, deberá presentar la información necesaria para que el Instituto conozca la identidad de las personas físicas que tengan intereses patrimoniales mayores al diez por ciento del capital de dicha persona moral.</w:t>
      </w:r>
    </w:p>
    <w:p w14:paraId="6CA675FF" w14:textId="77777777" w:rsidR="006A1BCD" w:rsidRPr="006A1BCD" w:rsidRDefault="00F80A22" w:rsidP="006A1BCD">
      <w:pPr>
        <w:pStyle w:val="Prrafodelista"/>
        <w:autoSpaceDE w:val="0"/>
        <w:autoSpaceDN w:val="0"/>
        <w:adjustRightInd w:val="0"/>
        <w:spacing w:before="240" w:after="240"/>
        <w:ind w:left="1418" w:right="615"/>
        <w:jc w:val="both"/>
        <w:rPr>
          <w:rFonts w:ascii="ITC Avant Garde" w:hAnsi="ITC Avant Garde"/>
          <w:bCs/>
          <w:color w:val="000000" w:themeColor="text1"/>
          <w:sz w:val="18"/>
          <w:szCs w:val="18"/>
          <w:lang w:eastAsia="es-MX"/>
        </w:rPr>
      </w:pPr>
      <w:r w:rsidRPr="006A1BCD">
        <w:rPr>
          <w:rFonts w:ascii="ITC Avant Garde" w:hAnsi="ITC Avant Garde"/>
          <w:bCs/>
          <w:color w:val="000000" w:themeColor="text1"/>
          <w:sz w:val="18"/>
          <w:szCs w:val="18"/>
          <w:lang w:eastAsia="es-MX"/>
        </w:rPr>
        <w:t xml:space="preserve">En caso de que se actualice la obligación de notificar una concentración conforme a lo previsto en la Ley Federal de Competencia Económica, el Instituto dará trámite </w:t>
      </w:r>
      <w:r w:rsidRPr="006A1BCD">
        <w:rPr>
          <w:rFonts w:ascii="ITC Avant Garde" w:hAnsi="ITC Avant Garde"/>
          <w:bCs/>
          <w:color w:val="000000" w:themeColor="text1"/>
          <w:sz w:val="18"/>
          <w:szCs w:val="18"/>
          <w:lang w:eastAsia="es-MX"/>
        </w:rPr>
        <w:lastRenderedPageBreak/>
        <w:t>a la solicitud conforme a lo previsto para dicho procedimiento en la ley de la materia, considerando además los criterios establecidos en esta Ley.</w:t>
      </w:r>
    </w:p>
    <w:p w14:paraId="53A7AFFF" w14:textId="77777777" w:rsidR="006A1BCD" w:rsidRPr="006A1BCD" w:rsidRDefault="00F80A22" w:rsidP="006A1BCD">
      <w:pPr>
        <w:pStyle w:val="Prrafodelista"/>
        <w:autoSpaceDE w:val="0"/>
        <w:autoSpaceDN w:val="0"/>
        <w:adjustRightInd w:val="0"/>
        <w:spacing w:before="240" w:after="240"/>
        <w:ind w:left="1418" w:right="615"/>
        <w:jc w:val="both"/>
        <w:rPr>
          <w:rFonts w:ascii="ITC Avant Garde" w:hAnsi="ITC Avant Garde"/>
          <w:bCs/>
          <w:color w:val="000000" w:themeColor="text1"/>
          <w:sz w:val="18"/>
          <w:szCs w:val="18"/>
          <w:lang w:eastAsia="es-MX"/>
        </w:rPr>
      </w:pPr>
      <w:r w:rsidRPr="006A1BCD">
        <w:rPr>
          <w:rFonts w:ascii="ITC Avant Garde" w:hAnsi="ITC Avant Garde"/>
          <w:bCs/>
          <w:color w:val="000000" w:themeColor="text1"/>
          <w:sz w:val="18"/>
          <w:szCs w:val="18"/>
          <w:lang w:eastAsia="es-MX"/>
        </w:rPr>
        <w:t>[…]”</w:t>
      </w:r>
    </w:p>
    <w:p w14:paraId="1D1DEE8A" w14:textId="77777777" w:rsidR="006A1BCD" w:rsidRPr="006A1BCD" w:rsidRDefault="00F80A22" w:rsidP="006A1BCD">
      <w:pPr>
        <w:autoSpaceDE w:val="0"/>
        <w:autoSpaceDN w:val="0"/>
        <w:adjustRightInd w:val="0"/>
        <w:spacing w:before="240" w:after="240"/>
        <w:jc w:val="both"/>
        <w:rPr>
          <w:rFonts w:ascii="ITC Avant Garde" w:hAnsi="ITC Avant Garde"/>
          <w:bCs/>
          <w:color w:val="000000" w:themeColor="text1"/>
          <w:sz w:val="22"/>
          <w:szCs w:val="22"/>
          <w:lang w:eastAsia="es-MX"/>
        </w:rPr>
      </w:pPr>
      <w:r w:rsidRPr="006A1BCD">
        <w:rPr>
          <w:rFonts w:ascii="ITC Avant Garde" w:hAnsi="ITC Avant Garde"/>
          <w:bCs/>
          <w:color w:val="000000" w:themeColor="text1"/>
          <w:sz w:val="22"/>
          <w:szCs w:val="22"/>
          <w:lang w:eastAsia="es-MX"/>
        </w:rPr>
        <w:t>Ahora bien, cabe destacar que para este tipo de solicitudes debe acatarse el requisito de procedencia establecido en el artículo 174-C fracción VII de la Ley Federal de Derechos, correspondiente al pago de derechos relativo a la suscripción o enajenación de acciones o partes sociales en las concesiones en materia de telecomunicaciones, como es el caso que nos ocupa.</w:t>
      </w:r>
    </w:p>
    <w:p w14:paraId="1EC6B7D4" w14:textId="6317A4E6" w:rsidR="006A1BCD" w:rsidRPr="006A1BCD" w:rsidRDefault="00F80A22" w:rsidP="006A1BCD">
      <w:pPr>
        <w:autoSpaceDE w:val="0"/>
        <w:autoSpaceDN w:val="0"/>
        <w:adjustRightInd w:val="0"/>
        <w:spacing w:before="240" w:after="240"/>
        <w:jc w:val="both"/>
        <w:rPr>
          <w:rFonts w:ascii="ITC Avant Garde" w:hAnsi="ITC Avant Garde"/>
          <w:bCs/>
          <w:color w:val="000000" w:themeColor="text1"/>
          <w:sz w:val="22"/>
          <w:szCs w:val="22"/>
          <w:lang w:eastAsia="es-MX"/>
        </w:rPr>
      </w:pPr>
      <w:r w:rsidRPr="006A1BCD">
        <w:rPr>
          <w:rFonts w:ascii="ITC Avant Garde" w:hAnsi="ITC Avant Garde"/>
          <w:b/>
          <w:bCs/>
          <w:color w:val="000000" w:themeColor="text1"/>
          <w:sz w:val="22"/>
          <w:szCs w:val="22"/>
        </w:rPr>
        <w:t>Tercero.- Concentración.</w:t>
      </w:r>
      <w:r w:rsidRPr="006A1BCD">
        <w:rPr>
          <w:rFonts w:ascii="ITC Avant Garde" w:hAnsi="ITC Avant Garde"/>
          <w:bCs/>
          <w:color w:val="000000" w:themeColor="text1"/>
          <w:sz w:val="22"/>
          <w:szCs w:val="22"/>
        </w:rPr>
        <w:t xml:space="preserve"> </w:t>
      </w:r>
      <w:r w:rsidRPr="006A1BCD">
        <w:rPr>
          <w:rFonts w:ascii="ITC Avant Garde" w:hAnsi="ITC Avant Garde"/>
          <w:bCs/>
          <w:color w:val="000000" w:themeColor="text1"/>
          <w:sz w:val="22"/>
          <w:szCs w:val="22"/>
          <w:lang w:eastAsia="es-MX"/>
        </w:rPr>
        <w:t>Como se señaló en el Considerando Primero de la presente Resolución, el Instituto es la autoridad en materia de competencia económica en los sectores de radiodifusión y telecomunicaciones, por lo que en estos ejercerá en forma exclusiva las facultades que las leyes establecen para la Comisión Federal de Competencia Económica y regulará de forma asimétrica a los participantes en estos mercados, con el objeto de eliminar eficazmente las barreras a la competencia y la libre concurrencia, garantizando lo dispuesto en los artículos 6o. y 7o. de la Constitución.</w:t>
      </w:r>
    </w:p>
    <w:p w14:paraId="0128C18C" w14:textId="77777777" w:rsidR="006A1BCD" w:rsidRPr="006A1BCD" w:rsidRDefault="00F80A22" w:rsidP="006A1BCD">
      <w:pPr>
        <w:autoSpaceDE w:val="0"/>
        <w:autoSpaceDN w:val="0"/>
        <w:adjustRightInd w:val="0"/>
        <w:spacing w:before="240" w:after="240"/>
        <w:jc w:val="both"/>
        <w:rPr>
          <w:rFonts w:ascii="ITC Avant Garde" w:hAnsi="ITC Avant Garde"/>
          <w:bCs/>
          <w:color w:val="000000" w:themeColor="text1"/>
          <w:sz w:val="22"/>
          <w:szCs w:val="22"/>
          <w:lang w:eastAsia="es-MX"/>
        </w:rPr>
      </w:pPr>
      <w:r w:rsidRPr="006A1BCD">
        <w:rPr>
          <w:rFonts w:ascii="ITC Avant Garde" w:hAnsi="ITC Avant Garde"/>
          <w:bCs/>
          <w:color w:val="000000" w:themeColor="text1"/>
          <w:sz w:val="22"/>
          <w:szCs w:val="22"/>
          <w:lang w:eastAsia="es-MX"/>
        </w:rPr>
        <w:t>En este sentido, la Ley en el artículo 112, establece como regla general la obligación que tienen a su cargo todos los concesionarios de telecomunicaciones y radiodifusión, de observar el régimen para cualquier supuesto de suscripción o enajenación de acciones o partes sociales en un acto o sucesión de actos, que represente el diez por ciento o más del monto de su capital social; siempre y cuando no se actualice la obligación del concesionario de notificar al Instituto una concentración conforme a lo previsto en la Ley de Compet</w:t>
      </w:r>
      <w:r w:rsidR="000359A4" w:rsidRPr="006A1BCD">
        <w:rPr>
          <w:rFonts w:ascii="ITC Avant Garde" w:hAnsi="ITC Avant Garde"/>
          <w:bCs/>
          <w:color w:val="000000" w:themeColor="text1"/>
          <w:sz w:val="22"/>
          <w:szCs w:val="22"/>
          <w:lang w:eastAsia="es-MX"/>
        </w:rPr>
        <w:t>encia</w:t>
      </w:r>
      <w:r w:rsidRPr="006A1BCD">
        <w:rPr>
          <w:rFonts w:ascii="ITC Avant Garde" w:hAnsi="ITC Avant Garde"/>
          <w:bCs/>
          <w:color w:val="000000" w:themeColor="text1"/>
          <w:sz w:val="22"/>
          <w:szCs w:val="22"/>
          <w:lang w:eastAsia="es-MX"/>
        </w:rPr>
        <w:t>.</w:t>
      </w:r>
    </w:p>
    <w:p w14:paraId="155A80C3" w14:textId="48871476" w:rsidR="00F80A22" w:rsidRPr="006A1BCD" w:rsidRDefault="00F80A22" w:rsidP="006A1BCD">
      <w:pPr>
        <w:autoSpaceDE w:val="0"/>
        <w:autoSpaceDN w:val="0"/>
        <w:adjustRightInd w:val="0"/>
        <w:spacing w:before="240" w:after="240"/>
        <w:jc w:val="both"/>
        <w:rPr>
          <w:rFonts w:ascii="ITC Avant Garde" w:hAnsi="ITC Avant Garde"/>
          <w:bCs/>
          <w:color w:val="000000" w:themeColor="text1"/>
          <w:sz w:val="22"/>
          <w:szCs w:val="22"/>
          <w:lang w:eastAsia="es-MX"/>
        </w:rPr>
      </w:pPr>
      <w:r w:rsidRPr="006A1BCD">
        <w:rPr>
          <w:rFonts w:ascii="ITC Avant Garde" w:hAnsi="ITC Avant Garde"/>
          <w:bCs/>
          <w:color w:val="000000" w:themeColor="text1"/>
          <w:sz w:val="22"/>
          <w:szCs w:val="22"/>
          <w:lang w:eastAsia="es-MX"/>
        </w:rPr>
        <w:t>Asimismo, el artículo 61 d</w:t>
      </w:r>
      <w:r w:rsidR="00670EBE" w:rsidRPr="006A1BCD">
        <w:rPr>
          <w:rFonts w:ascii="ITC Avant Garde" w:hAnsi="ITC Avant Garde"/>
          <w:bCs/>
          <w:color w:val="000000" w:themeColor="text1"/>
          <w:sz w:val="22"/>
          <w:szCs w:val="22"/>
          <w:lang w:eastAsia="es-MX"/>
        </w:rPr>
        <w:t>e la Ley Competencia, señala qué</w:t>
      </w:r>
      <w:r w:rsidRPr="006A1BCD">
        <w:rPr>
          <w:rFonts w:ascii="ITC Avant Garde" w:hAnsi="ITC Avant Garde"/>
          <w:bCs/>
          <w:color w:val="000000" w:themeColor="text1"/>
          <w:sz w:val="22"/>
          <w:szCs w:val="22"/>
          <w:lang w:eastAsia="es-MX"/>
        </w:rPr>
        <w:t xml:space="preserve">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w:t>
      </w:r>
    </w:p>
    <w:p w14:paraId="730E4647" w14:textId="77777777" w:rsidR="006A1BCD" w:rsidRPr="006A1BCD" w:rsidRDefault="00F80A22" w:rsidP="006A1BCD">
      <w:pPr>
        <w:autoSpaceDE w:val="0"/>
        <w:autoSpaceDN w:val="0"/>
        <w:adjustRightInd w:val="0"/>
        <w:spacing w:before="240" w:after="240"/>
        <w:jc w:val="both"/>
        <w:rPr>
          <w:rFonts w:ascii="ITC Avant Garde" w:hAnsi="ITC Avant Garde"/>
          <w:bCs/>
          <w:color w:val="000000" w:themeColor="text1"/>
          <w:sz w:val="22"/>
          <w:szCs w:val="22"/>
          <w:lang w:eastAsia="es-MX"/>
        </w:rPr>
      </w:pPr>
      <w:r w:rsidRPr="006A1BCD">
        <w:rPr>
          <w:rFonts w:ascii="ITC Avant Garde" w:hAnsi="ITC Avant Garde"/>
          <w:bCs/>
          <w:color w:val="000000" w:themeColor="text1"/>
          <w:sz w:val="22"/>
          <w:szCs w:val="22"/>
          <w:lang w:eastAsia="es-MX"/>
        </w:rPr>
        <w:t>En este tenor, el artículo 86 de la Ley de Competencia ordena textualmente lo siguiente:</w:t>
      </w:r>
    </w:p>
    <w:p w14:paraId="44DD91B1" w14:textId="1395C0B3" w:rsidR="00F80A22" w:rsidRPr="006A1BCD" w:rsidRDefault="00F80A22" w:rsidP="006A1BCD">
      <w:pPr>
        <w:pStyle w:val="Prrafodelista"/>
        <w:autoSpaceDE w:val="0"/>
        <w:autoSpaceDN w:val="0"/>
        <w:adjustRightInd w:val="0"/>
        <w:spacing w:before="240" w:after="240"/>
        <w:ind w:left="1418" w:right="615"/>
        <w:jc w:val="both"/>
        <w:rPr>
          <w:rFonts w:ascii="ITC Avant Garde" w:hAnsi="ITC Avant Garde"/>
          <w:bCs/>
          <w:color w:val="000000" w:themeColor="text1"/>
          <w:sz w:val="18"/>
          <w:szCs w:val="18"/>
        </w:rPr>
      </w:pPr>
      <w:r w:rsidRPr="006A1BCD">
        <w:rPr>
          <w:rFonts w:ascii="ITC Avant Garde" w:hAnsi="ITC Avant Garde"/>
          <w:bCs/>
          <w:color w:val="000000" w:themeColor="text1"/>
          <w:sz w:val="18"/>
          <w:szCs w:val="18"/>
        </w:rPr>
        <w:t>“</w:t>
      </w:r>
      <w:r w:rsidRPr="006A1BCD">
        <w:rPr>
          <w:rFonts w:ascii="ITC Avant Garde" w:hAnsi="ITC Avant Garde"/>
          <w:b/>
          <w:bCs/>
          <w:color w:val="000000" w:themeColor="text1"/>
          <w:sz w:val="18"/>
          <w:szCs w:val="18"/>
        </w:rPr>
        <w:t>Artículo 86.</w:t>
      </w:r>
      <w:r w:rsidRPr="006A1BCD">
        <w:rPr>
          <w:rFonts w:ascii="ITC Avant Garde" w:hAnsi="ITC Avant Garde"/>
          <w:bCs/>
          <w:color w:val="000000" w:themeColor="text1"/>
          <w:sz w:val="18"/>
          <w:szCs w:val="18"/>
        </w:rPr>
        <w:t xml:space="preserve"> Las siguientes concentraciones deberán ser autorizadas por la Comisión antes de que se lleven a cabo:</w:t>
      </w:r>
    </w:p>
    <w:p w14:paraId="0C3C23C0" w14:textId="274A5A0A" w:rsidR="006A1BCD" w:rsidRPr="006A1BCD" w:rsidRDefault="00F80A22" w:rsidP="006A1BCD">
      <w:pPr>
        <w:pStyle w:val="Prrafodelista"/>
        <w:numPr>
          <w:ilvl w:val="0"/>
          <w:numId w:val="7"/>
        </w:numPr>
        <w:autoSpaceDE w:val="0"/>
        <w:autoSpaceDN w:val="0"/>
        <w:adjustRightInd w:val="0"/>
        <w:spacing w:before="240" w:after="240"/>
        <w:ind w:left="1418" w:right="615"/>
        <w:jc w:val="both"/>
        <w:rPr>
          <w:rFonts w:ascii="ITC Avant Garde" w:hAnsi="ITC Avant Garde"/>
          <w:bCs/>
          <w:color w:val="000000" w:themeColor="text1"/>
          <w:sz w:val="18"/>
          <w:szCs w:val="18"/>
        </w:rPr>
      </w:pPr>
      <w:r w:rsidRPr="006A1BCD">
        <w:rPr>
          <w:rFonts w:ascii="ITC Avant Garde" w:hAnsi="ITC Avant Garde"/>
          <w:bCs/>
          <w:color w:val="000000" w:themeColor="text1"/>
          <w:sz w:val="18"/>
          <w:szCs w:val="18"/>
        </w:rPr>
        <w:t>Cuando el acto o sucesión de actos que les den origen, independientemente del lugar de su celebración, importen en el territorio nacional, directa o indirectamente, un monto superior al equivalente a dieciocho millones de veces el salario mínimo general diario vigente para el Distrito Federal;</w:t>
      </w:r>
    </w:p>
    <w:p w14:paraId="09CF3230" w14:textId="05AB006E" w:rsidR="00F80A22" w:rsidRPr="006A1BCD" w:rsidRDefault="00F80A22" w:rsidP="006A1BCD">
      <w:pPr>
        <w:pStyle w:val="Prrafodelista"/>
        <w:numPr>
          <w:ilvl w:val="0"/>
          <w:numId w:val="7"/>
        </w:numPr>
        <w:autoSpaceDE w:val="0"/>
        <w:autoSpaceDN w:val="0"/>
        <w:adjustRightInd w:val="0"/>
        <w:spacing w:before="240" w:after="240"/>
        <w:ind w:left="1418" w:right="615"/>
        <w:jc w:val="both"/>
        <w:rPr>
          <w:rFonts w:ascii="ITC Avant Garde" w:hAnsi="ITC Avant Garde"/>
          <w:bCs/>
          <w:color w:val="000000" w:themeColor="text1"/>
          <w:sz w:val="18"/>
          <w:szCs w:val="18"/>
        </w:rPr>
      </w:pPr>
      <w:r w:rsidRPr="006A1BCD">
        <w:rPr>
          <w:rFonts w:ascii="ITC Avant Garde" w:hAnsi="ITC Avant Garde"/>
          <w:bCs/>
          <w:color w:val="000000" w:themeColor="text1"/>
          <w:sz w:val="18"/>
          <w:szCs w:val="18"/>
        </w:rPr>
        <w:t>Cuando el acto o sucesión de actos que les den origen, impliquen la acumulación del treinta y cinco por ciento o más de los activos o acciones de un Agente Económico, cuyas ventas anuales originadas en el territorio nacional o activos en el territorio nacional importen más del equivalente a dieciocho millones de veces el salario mínimo general diario vigente para el Distrito Federal, o</w:t>
      </w:r>
    </w:p>
    <w:p w14:paraId="41C2F4DE" w14:textId="77777777" w:rsidR="006A1BCD" w:rsidRPr="006A1BCD" w:rsidRDefault="00F80A22" w:rsidP="006A1BCD">
      <w:pPr>
        <w:pStyle w:val="Prrafodelista"/>
        <w:numPr>
          <w:ilvl w:val="0"/>
          <w:numId w:val="7"/>
        </w:numPr>
        <w:autoSpaceDE w:val="0"/>
        <w:autoSpaceDN w:val="0"/>
        <w:adjustRightInd w:val="0"/>
        <w:spacing w:before="240" w:after="240"/>
        <w:ind w:left="1418" w:right="615"/>
        <w:jc w:val="both"/>
        <w:rPr>
          <w:rFonts w:ascii="ITC Avant Garde" w:hAnsi="ITC Avant Garde"/>
          <w:bCs/>
          <w:color w:val="000000" w:themeColor="text1"/>
          <w:sz w:val="18"/>
          <w:szCs w:val="18"/>
        </w:rPr>
      </w:pPr>
      <w:r w:rsidRPr="006A1BCD">
        <w:rPr>
          <w:rFonts w:ascii="ITC Avant Garde" w:hAnsi="ITC Avant Garde"/>
          <w:bCs/>
          <w:color w:val="000000" w:themeColor="text1"/>
          <w:sz w:val="18"/>
          <w:szCs w:val="18"/>
        </w:rPr>
        <w:lastRenderedPageBreak/>
        <w:t xml:space="preserve"> Cuando el acto o sucesión de actos que les den origen impliquen una acumulación en el territorio nacional de activos o capital social superior al equivalente a ocho millones cuatrocientas mil veces el salario mínimo general diario vigente para el Distrito Federal y en la concentración participen dos o más Agentes Económicos cuyas ventas anuales originadas en el territorio nacional o activos en el territorio nacional conjunta o separadamente, importen más de cuarenta y ocho millones de veces el salario mínimo general diario vigente para el Distrito Federal.</w:t>
      </w:r>
    </w:p>
    <w:p w14:paraId="708CBB71" w14:textId="77777777" w:rsidR="006A1BCD" w:rsidRPr="006A1BCD" w:rsidRDefault="00F80A22" w:rsidP="006A1BCD">
      <w:pPr>
        <w:pStyle w:val="Prrafodelista"/>
        <w:autoSpaceDE w:val="0"/>
        <w:autoSpaceDN w:val="0"/>
        <w:adjustRightInd w:val="0"/>
        <w:spacing w:before="240" w:after="240"/>
        <w:ind w:left="1418" w:right="615"/>
        <w:jc w:val="both"/>
        <w:rPr>
          <w:rFonts w:ascii="ITC Avant Garde" w:hAnsi="ITC Avant Garde"/>
          <w:bCs/>
          <w:color w:val="000000" w:themeColor="text1"/>
          <w:sz w:val="18"/>
          <w:szCs w:val="18"/>
        </w:rPr>
      </w:pPr>
      <w:r w:rsidRPr="006A1BCD">
        <w:rPr>
          <w:rFonts w:ascii="ITC Avant Garde" w:hAnsi="ITC Avant Garde"/>
          <w:bCs/>
          <w:color w:val="000000" w:themeColor="text1"/>
          <w:sz w:val="18"/>
          <w:szCs w:val="18"/>
        </w:rPr>
        <w:t>Los actos realizados en contravención a este artículo no producirán efectos jurídicos, sin perjuicio de la responsabilidad administrativa, civil o penal de los Agentes Económicos y de las personas que ordenaron o coadyuvaron en la ejecución, así como de los fedatarios públicos que hayan intervenido en los mismos.</w:t>
      </w:r>
    </w:p>
    <w:p w14:paraId="2C15E25E" w14:textId="77777777" w:rsidR="006A1BCD" w:rsidRPr="006A1BCD" w:rsidRDefault="00F80A22" w:rsidP="006A1BCD">
      <w:pPr>
        <w:pStyle w:val="Prrafodelista"/>
        <w:autoSpaceDE w:val="0"/>
        <w:autoSpaceDN w:val="0"/>
        <w:adjustRightInd w:val="0"/>
        <w:spacing w:before="240" w:after="240"/>
        <w:ind w:left="1418" w:right="615"/>
        <w:jc w:val="both"/>
        <w:rPr>
          <w:rFonts w:ascii="ITC Avant Garde" w:hAnsi="ITC Avant Garde"/>
          <w:bCs/>
          <w:color w:val="000000" w:themeColor="text1"/>
          <w:sz w:val="18"/>
          <w:szCs w:val="18"/>
        </w:rPr>
      </w:pPr>
      <w:r w:rsidRPr="006A1BCD">
        <w:rPr>
          <w:rFonts w:ascii="ITC Avant Garde" w:hAnsi="ITC Avant Garde"/>
          <w:bCs/>
          <w:color w:val="000000" w:themeColor="text1"/>
          <w:sz w:val="18"/>
          <w:szCs w:val="18"/>
        </w:rPr>
        <w:t>Los actos relativos a una concentración no podrán registrarse en los libros corporativos, formalizarse en instrumento público ni inscribirse en el Registro Público de Comercio hasta que se obtenga la autorización favorable de la Comisión o haya transcurrido el plazo a que se refiere el artículo 90, fracción V, sin que el Pleno haya emitido resolución.</w:t>
      </w:r>
    </w:p>
    <w:p w14:paraId="53EBBE32" w14:textId="77777777" w:rsidR="006A1BCD" w:rsidRPr="006A1BCD" w:rsidRDefault="00F80A22" w:rsidP="006A1BCD">
      <w:pPr>
        <w:pStyle w:val="Prrafodelista"/>
        <w:autoSpaceDE w:val="0"/>
        <w:autoSpaceDN w:val="0"/>
        <w:adjustRightInd w:val="0"/>
        <w:spacing w:before="240" w:after="240"/>
        <w:ind w:left="1418" w:right="615"/>
        <w:jc w:val="both"/>
        <w:rPr>
          <w:rFonts w:ascii="ITC Avant Garde" w:hAnsi="ITC Avant Garde"/>
          <w:bCs/>
          <w:color w:val="000000" w:themeColor="text1"/>
          <w:sz w:val="18"/>
          <w:szCs w:val="18"/>
        </w:rPr>
      </w:pPr>
      <w:r w:rsidRPr="006A1BCD">
        <w:rPr>
          <w:rFonts w:ascii="ITC Avant Garde" w:hAnsi="ITC Avant Garde"/>
          <w:bCs/>
          <w:color w:val="000000" w:themeColor="text1"/>
          <w:sz w:val="18"/>
          <w:szCs w:val="18"/>
        </w:rPr>
        <w:t xml:space="preserve">Los Agentes Económicos involucrados que no se encuentren en los supuestos establecidos en las fracciones I, II y III de este artículo podrán notificarla voluntariamente a la Comisión.” </w:t>
      </w:r>
    </w:p>
    <w:p w14:paraId="7192B0D5" w14:textId="77777777" w:rsidR="006A1BCD" w:rsidRPr="006A1BCD" w:rsidRDefault="00F80A22" w:rsidP="006A1BCD">
      <w:pPr>
        <w:autoSpaceDE w:val="0"/>
        <w:autoSpaceDN w:val="0"/>
        <w:adjustRightInd w:val="0"/>
        <w:spacing w:before="240" w:after="240"/>
        <w:jc w:val="both"/>
        <w:rPr>
          <w:rFonts w:ascii="ITC Avant Garde" w:hAnsi="ITC Avant Garde"/>
          <w:bCs/>
          <w:color w:val="000000" w:themeColor="text1"/>
          <w:sz w:val="22"/>
          <w:szCs w:val="22"/>
        </w:rPr>
      </w:pPr>
      <w:r w:rsidRPr="006A1BCD">
        <w:rPr>
          <w:rFonts w:ascii="ITC Avant Garde" w:hAnsi="ITC Avant Garde"/>
          <w:bCs/>
          <w:color w:val="000000" w:themeColor="text1"/>
          <w:sz w:val="22"/>
          <w:szCs w:val="22"/>
        </w:rPr>
        <w:t>Como se desprende del citado precepto, únicamente los casos que encuadren en los supuestos normativos indicados en las fracciones I, II y III del mismo, deberán ser autorizados previamente por este Instituto en términos de</w:t>
      </w:r>
      <w:r w:rsidR="00EB27DB" w:rsidRPr="006A1BCD">
        <w:rPr>
          <w:rFonts w:ascii="ITC Avant Garde" w:hAnsi="ITC Avant Garde"/>
          <w:bCs/>
          <w:color w:val="000000" w:themeColor="text1"/>
          <w:sz w:val="22"/>
          <w:szCs w:val="22"/>
        </w:rPr>
        <w:t xml:space="preserve"> </w:t>
      </w:r>
      <w:r w:rsidRPr="006A1BCD">
        <w:rPr>
          <w:rFonts w:ascii="ITC Avant Garde" w:hAnsi="ITC Avant Garde"/>
          <w:bCs/>
          <w:color w:val="000000" w:themeColor="text1"/>
          <w:sz w:val="22"/>
          <w:szCs w:val="22"/>
        </w:rPr>
        <w:t>l</w:t>
      </w:r>
      <w:r w:rsidR="00EB27DB" w:rsidRPr="006A1BCD">
        <w:rPr>
          <w:rFonts w:ascii="ITC Avant Garde" w:hAnsi="ITC Avant Garde"/>
          <w:bCs/>
          <w:color w:val="000000" w:themeColor="text1"/>
          <w:sz w:val="22"/>
          <w:szCs w:val="22"/>
        </w:rPr>
        <w:t>os</w:t>
      </w:r>
      <w:r w:rsidRPr="006A1BCD">
        <w:rPr>
          <w:rFonts w:ascii="ITC Avant Garde" w:hAnsi="ITC Avant Garde"/>
          <w:bCs/>
          <w:color w:val="000000" w:themeColor="text1"/>
          <w:sz w:val="22"/>
          <w:szCs w:val="22"/>
        </w:rPr>
        <w:t xml:space="preserve"> artículo</w:t>
      </w:r>
      <w:r w:rsidR="00EB27DB" w:rsidRPr="006A1BCD">
        <w:rPr>
          <w:rFonts w:ascii="ITC Avant Garde" w:hAnsi="ITC Avant Garde"/>
          <w:bCs/>
          <w:color w:val="000000" w:themeColor="text1"/>
          <w:sz w:val="22"/>
          <w:szCs w:val="22"/>
        </w:rPr>
        <w:t>s 5 y</w:t>
      </w:r>
      <w:r w:rsidRPr="006A1BCD">
        <w:rPr>
          <w:rFonts w:ascii="ITC Avant Garde" w:hAnsi="ITC Avant Garde"/>
          <w:bCs/>
          <w:color w:val="000000" w:themeColor="text1"/>
          <w:sz w:val="22"/>
          <w:szCs w:val="22"/>
        </w:rPr>
        <w:t xml:space="preserve"> 87 de la Ley de Competencia; y</w:t>
      </w:r>
      <w:r w:rsidR="0087638B" w:rsidRPr="006A1BCD">
        <w:rPr>
          <w:rFonts w:ascii="ITC Avant Garde" w:hAnsi="ITC Avant Garde"/>
          <w:bCs/>
          <w:color w:val="000000" w:themeColor="text1"/>
          <w:sz w:val="22"/>
          <w:szCs w:val="22"/>
        </w:rPr>
        <w:t>,</w:t>
      </w:r>
      <w:r w:rsidRPr="006A1BCD">
        <w:rPr>
          <w:rFonts w:ascii="ITC Avant Garde" w:hAnsi="ITC Avant Garde"/>
          <w:bCs/>
          <w:color w:val="000000" w:themeColor="text1"/>
          <w:sz w:val="22"/>
          <w:szCs w:val="22"/>
        </w:rPr>
        <w:t xml:space="preserve"> de igual forma, los Agentes Económicos que participen directamente en la concentración de que se trate están obligados a notificarla a este Instituto, tal y como lo dispone el artículo 88 de la Ley de Competencia.</w:t>
      </w:r>
    </w:p>
    <w:p w14:paraId="54C926A7" w14:textId="2054D596" w:rsidR="006A1BCD" w:rsidRPr="006A1BCD" w:rsidRDefault="00F80A22" w:rsidP="006A1BCD">
      <w:pPr>
        <w:autoSpaceDE w:val="0"/>
        <w:autoSpaceDN w:val="0"/>
        <w:adjustRightInd w:val="0"/>
        <w:spacing w:before="240" w:after="240"/>
        <w:jc w:val="both"/>
        <w:rPr>
          <w:rFonts w:ascii="ITC Avant Garde" w:hAnsi="ITC Avant Garde"/>
          <w:bCs/>
          <w:color w:val="000000" w:themeColor="text1"/>
          <w:sz w:val="22"/>
          <w:szCs w:val="22"/>
        </w:rPr>
      </w:pPr>
      <w:r w:rsidRPr="006A1BCD">
        <w:rPr>
          <w:rFonts w:ascii="ITC Avant Garde" w:hAnsi="ITC Avant Garde"/>
          <w:b/>
          <w:bCs/>
          <w:color w:val="000000" w:themeColor="text1"/>
          <w:sz w:val="22"/>
          <w:szCs w:val="22"/>
        </w:rPr>
        <w:t xml:space="preserve">Cuarto.- Análisis de la Solicitud de </w:t>
      </w:r>
      <w:r w:rsidR="004115B1" w:rsidRPr="006A1BCD">
        <w:rPr>
          <w:rFonts w:ascii="ITC Avant Garde" w:hAnsi="ITC Avant Garde"/>
          <w:b/>
          <w:bCs/>
          <w:color w:val="000000" w:themeColor="text1"/>
          <w:sz w:val="22"/>
          <w:szCs w:val="22"/>
        </w:rPr>
        <w:t>Enajenación</w:t>
      </w:r>
      <w:r w:rsidRPr="006A1BCD">
        <w:rPr>
          <w:rFonts w:ascii="ITC Avant Garde" w:hAnsi="ITC Avant Garde"/>
          <w:b/>
          <w:bCs/>
          <w:color w:val="000000" w:themeColor="text1"/>
          <w:sz w:val="22"/>
          <w:szCs w:val="22"/>
        </w:rPr>
        <w:t xml:space="preserve"> de Acciones.</w:t>
      </w:r>
      <w:r w:rsidRPr="006A1BCD">
        <w:rPr>
          <w:rFonts w:ascii="ITC Avant Garde" w:hAnsi="ITC Avant Garde"/>
          <w:bCs/>
          <w:color w:val="000000" w:themeColor="text1"/>
          <w:sz w:val="22"/>
          <w:szCs w:val="22"/>
        </w:rPr>
        <w:t xml:space="preserve"> De la revisión al marco legal aplicable, se concluye que los requisitos de procedencia que debe cumplir el concesionario que solicite autorización para llevar a cabo la suscripción o enajenación de acciones o partes sociales del capital, son:</w:t>
      </w:r>
    </w:p>
    <w:p w14:paraId="10362B7C" w14:textId="5E5A99BF" w:rsidR="00F80A22" w:rsidRPr="006A1BCD" w:rsidRDefault="00F80A22" w:rsidP="006A1BCD">
      <w:pPr>
        <w:pStyle w:val="Prrafodelista"/>
        <w:numPr>
          <w:ilvl w:val="0"/>
          <w:numId w:val="5"/>
        </w:numPr>
        <w:autoSpaceDE w:val="0"/>
        <w:autoSpaceDN w:val="0"/>
        <w:adjustRightInd w:val="0"/>
        <w:spacing w:before="240" w:after="240"/>
        <w:ind w:right="615"/>
        <w:jc w:val="both"/>
        <w:rPr>
          <w:rFonts w:ascii="ITC Avant Garde" w:eastAsia="Calibri" w:hAnsi="ITC Avant Garde"/>
          <w:bCs/>
          <w:color w:val="000000" w:themeColor="text1"/>
          <w:sz w:val="22"/>
          <w:szCs w:val="22"/>
          <w:lang w:val="es-MX" w:eastAsia="en-US"/>
        </w:rPr>
      </w:pPr>
      <w:r w:rsidRPr="006A1BCD">
        <w:rPr>
          <w:rFonts w:ascii="ITC Avant Garde" w:eastAsia="Calibri" w:hAnsi="ITC Avant Garde"/>
          <w:bCs/>
          <w:color w:val="000000" w:themeColor="text1"/>
          <w:sz w:val="22"/>
          <w:szCs w:val="22"/>
          <w:lang w:val="es-MX" w:eastAsia="en-US"/>
        </w:rPr>
        <w:t xml:space="preserve">Que el titular de la concesión dé aviso al Instituto por escrito que pretende llevar a cabo una </w:t>
      </w:r>
      <w:r w:rsidR="004D6698" w:rsidRPr="006A1BCD">
        <w:rPr>
          <w:rFonts w:ascii="ITC Avant Garde" w:eastAsia="Calibri" w:hAnsi="ITC Avant Garde"/>
          <w:bCs/>
          <w:color w:val="000000" w:themeColor="text1"/>
          <w:sz w:val="22"/>
          <w:szCs w:val="22"/>
          <w:lang w:val="es-MX" w:eastAsia="en-US"/>
        </w:rPr>
        <w:t>enajenación</w:t>
      </w:r>
      <w:r w:rsidR="008F2449" w:rsidRPr="006A1BCD">
        <w:rPr>
          <w:rFonts w:ascii="ITC Avant Garde" w:eastAsia="Calibri" w:hAnsi="ITC Avant Garde"/>
          <w:bCs/>
          <w:color w:val="000000" w:themeColor="text1"/>
          <w:sz w:val="22"/>
          <w:szCs w:val="22"/>
          <w:lang w:val="es-MX" w:eastAsia="en-US"/>
        </w:rPr>
        <w:t xml:space="preserve"> </w:t>
      </w:r>
      <w:r w:rsidRPr="006A1BCD">
        <w:rPr>
          <w:rFonts w:ascii="ITC Avant Garde" w:eastAsia="Calibri" w:hAnsi="ITC Avant Garde"/>
          <w:bCs/>
          <w:color w:val="000000" w:themeColor="text1"/>
          <w:sz w:val="22"/>
          <w:szCs w:val="22"/>
          <w:lang w:val="es-MX" w:eastAsia="en-US"/>
        </w:rPr>
        <w:t>de acciones, debiendo acompañar el aviso con la información detallada de las personas interesadas en adquirir las acciones o partes sociales.</w:t>
      </w:r>
    </w:p>
    <w:p w14:paraId="092EDFBC" w14:textId="77777777" w:rsidR="00F80A22" w:rsidRPr="006A1BCD" w:rsidRDefault="00F80A22" w:rsidP="006A1BCD">
      <w:pPr>
        <w:pStyle w:val="Prrafodelista"/>
        <w:numPr>
          <w:ilvl w:val="0"/>
          <w:numId w:val="5"/>
        </w:numPr>
        <w:autoSpaceDE w:val="0"/>
        <w:autoSpaceDN w:val="0"/>
        <w:adjustRightInd w:val="0"/>
        <w:spacing w:before="240" w:after="240"/>
        <w:ind w:right="615"/>
        <w:jc w:val="both"/>
        <w:rPr>
          <w:rFonts w:ascii="ITC Avant Garde" w:eastAsia="Calibri" w:hAnsi="ITC Avant Garde"/>
          <w:bCs/>
          <w:color w:val="000000" w:themeColor="text1"/>
          <w:sz w:val="22"/>
          <w:szCs w:val="22"/>
          <w:lang w:val="es-MX" w:eastAsia="en-US"/>
        </w:rPr>
      </w:pPr>
      <w:r w:rsidRPr="006A1BCD">
        <w:rPr>
          <w:rFonts w:ascii="ITC Avant Garde" w:eastAsia="Calibri" w:hAnsi="ITC Avant Garde"/>
          <w:bCs/>
          <w:color w:val="000000" w:themeColor="text1"/>
          <w:sz w:val="22"/>
          <w:szCs w:val="22"/>
          <w:lang w:val="es-MX" w:eastAsia="en-US"/>
        </w:rPr>
        <w:t>Que el concesionario exhiba comprobante de pago de derechos establecido en la Ley Federal de Derechos.</w:t>
      </w:r>
    </w:p>
    <w:p w14:paraId="042262C6" w14:textId="77777777" w:rsidR="006A1BCD" w:rsidRPr="006A1BCD" w:rsidRDefault="0063584B" w:rsidP="006A1BCD">
      <w:pPr>
        <w:pStyle w:val="Prrafodelista"/>
        <w:numPr>
          <w:ilvl w:val="0"/>
          <w:numId w:val="5"/>
        </w:numPr>
        <w:autoSpaceDE w:val="0"/>
        <w:autoSpaceDN w:val="0"/>
        <w:adjustRightInd w:val="0"/>
        <w:spacing w:before="240" w:after="240"/>
        <w:ind w:right="615"/>
        <w:jc w:val="both"/>
        <w:rPr>
          <w:rFonts w:ascii="ITC Avant Garde" w:eastAsia="Calibri" w:hAnsi="ITC Avant Garde"/>
          <w:bCs/>
          <w:color w:val="000000" w:themeColor="text1"/>
          <w:sz w:val="22"/>
          <w:szCs w:val="22"/>
          <w:lang w:val="es-MX" w:eastAsia="en-US"/>
        </w:rPr>
      </w:pPr>
      <w:r w:rsidRPr="006A1BCD">
        <w:rPr>
          <w:rFonts w:ascii="ITC Avant Garde" w:eastAsia="Calibri" w:hAnsi="ITC Avant Garde"/>
          <w:bCs/>
          <w:color w:val="000000" w:themeColor="text1"/>
          <w:sz w:val="22"/>
          <w:szCs w:val="22"/>
          <w:lang w:val="es-MX" w:eastAsia="en-US"/>
        </w:rPr>
        <w:t>Que</w:t>
      </w:r>
      <w:r w:rsidR="00CA35AD" w:rsidRPr="006A1BCD">
        <w:rPr>
          <w:rFonts w:ascii="ITC Avant Garde" w:eastAsia="Calibri" w:hAnsi="ITC Avant Garde"/>
          <w:bCs/>
          <w:color w:val="000000" w:themeColor="text1"/>
          <w:sz w:val="22"/>
          <w:szCs w:val="22"/>
          <w:lang w:val="es-MX" w:eastAsia="en-US"/>
        </w:rPr>
        <w:t xml:space="preserve"> se solicite a</w:t>
      </w:r>
      <w:r w:rsidR="004D6698" w:rsidRPr="006A1BCD">
        <w:rPr>
          <w:rFonts w:ascii="ITC Avant Garde" w:eastAsia="Calibri" w:hAnsi="ITC Avant Garde"/>
          <w:bCs/>
          <w:color w:val="000000" w:themeColor="text1"/>
          <w:sz w:val="22"/>
          <w:szCs w:val="22"/>
          <w:lang w:val="es-MX" w:eastAsia="en-US"/>
        </w:rPr>
        <w:t xml:space="preserve"> </w:t>
      </w:r>
      <w:r w:rsidR="00621D11" w:rsidRPr="006A1BCD">
        <w:rPr>
          <w:rFonts w:ascii="ITC Avant Garde" w:eastAsia="Calibri" w:hAnsi="ITC Avant Garde"/>
          <w:bCs/>
          <w:color w:val="000000" w:themeColor="text1"/>
          <w:sz w:val="22"/>
          <w:szCs w:val="22"/>
          <w:lang w:val="es-MX" w:eastAsia="en-US"/>
        </w:rPr>
        <w:t>la Secretaría</w:t>
      </w:r>
      <w:r w:rsidRPr="006A1BCD">
        <w:rPr>
          <w:rFonts w:ascii="ITC Avant Garde" w:eastAsia="Calibri" w:hAnsi="ITC Avant Garde"/>
          <w:bCs/>
          <w:color w:val="000000" w:themeColor="text1"/>
          <w:sz w:val="22"/>
          <w:szCs w:val="22"/>
          <w:lang w:val="es-MX" w:eastAsia="en-US"/>
        </w:rPr>
        <w:t xml:space="preserve"> la opinión técnica no vinculante, prevista en el artículo 28 párrafo décimo séptimo de la Constitución y el artículo 112 párrafo segundo fracción III de la Ley, respecto de la Solicitud de </w:t>
      </w:r>
      <w:r w:rsidR="004D6698" w:rsidRPr="006A1BCD">
        <w:rPr>
          <w:rFonts w:ascii="ITC Avant Garde" w:eastAsia="Calibri" w:hAnsi="ITC Avant Garde"/>
          <w:bCs/>
          <w:color w:val="000000" w:themeColor="text1"/>
          <w:sz w:val="22"/>
          <w:szCs w:val="22"/>
          <w:lang w:val="es-MX" w:eastAsia="en-US"/>
        </w:rPr>
        <w:t xml:space="preserve">Enajenación </w:t>
      </w:r>
      <w:r w:rsidRPr="006A1BCD">
        <w:rPr>
          <w:rFonts w:ascii="ITC Avant Garde" w:eastAsia="Calibri" w:hAnsi="ITC Avant Garde"/>
          <w:bCs/>
          <w:color w:val="000000" w:themeColor="text1"/>
          <w:sz w:val="22"/>
          <w:szCs w:val="22"/>
          <w:lang w:val="es-MX" w:eastAsia="en-US"/>
        </w:rPr>
        <w:t>de Acciones</w:t>
      </w:r>
      <w:r w:rsidR="00621D11" w:rsidRPr="006A1BCD">
        <w:rPr>
          <w:rFonts w:ascii="ITC Avant Garde" w:eastAsia="Calibri" w:hAnsi="ITC Avant Garde"/>
          <w:bCs/>
          <w:color w:val="000000" w:themeColor="text1"/>
          <w:sz w:val="22"/>
          <w:szCs w:val="22"/>
          <w:lang w:val="es-MX" w:eastAsia="en-US"/>
        </w:rPr>
        <w:t>.</w:t>
      </w:r>
    </w:p>
    <w:p w14:paraId="02448459" w14:textId="77777777" w:rsidR="006A1BCD" w:rsidRPr="006A1BCD" w:rsidRDefault="00F80A22" w:rsidP="006A1BCD">
      <w:pPr>
        <w:autoSpaceDE w:val="0"/>
        <w:autoSpaceDN w:val="0"/>
        <w:adjustRightInd w:val="0"/>
        <w:spacing w:before="240" w:after="240"/>
        <w:jc w:val="both"/>
        <w:rPr>
          <w:rFonts w:ascii="ITC Avant Garde" w:hAnsi="ITC Avant Garde"/>
          <w:bCs/>
          <w:color w:val="000000" w:themeColor="text1"/>
          <w:sz w:val="22"/>
          <w:szCs w:val="22"/>
        </w:rPr>
      </w:pPr>
      <w:r w:rsidRPr="006A1BCD">
        <w:rPr>
          <w:rFonts w:ascii="ITC Avant Garde" w:hAnsi="ITC Avant Garde"/>
          <w:bCs/>
          <w:color w:val="000000" w:themeColor="text1"/>
          <w:sz w:val="22"/>
          <w:szCs w:val="22"/>
        </w:rPr>
        <w:t>En primera instancia, destaca que en el expediente administrativo consta</w:t>
      </w:r>
      <w:r w:rsidR="00B71EF6" w:rsidRPr="006A1BCD">
        <w:rPr>
          <w:rFonts w:ascii="ITC Avant Garde" w:hAnsi="ITC Avant Garde"/>
          <w:bCs/>
          <w:color w:val="000000" w:themeColor="text1"/>
          <w:sz w:val="22"/>
          <w:szCs w:val="22"/>
        </w:rPr>
        <w:t xml:space="preserve"> </w:t>
      </w:r>
      <w:r w:rsidR="0090376A" w:rsidRPr="006A1BCD">
        <w:rPr>
          <w:rFonts w:ascii="ITC Avant Garde" w:hAnsi="ITC Avant Garde"/>
          <w:bCs/>
          <w:color w:val="000000" w:themeColor="text1"/>
          <w:sz w:val="22"/>
          <w:szCs w:val="22"/>
        </w:rPr>
        <w:t xml:space="preserve">el </w:t>
      </w:r>
      <w:r w:rsidR="00732BF9" w:rsidRPr="006A1BCD">
        <w:rPr>
          <w:rFonts w:ascii="ITC Avant Garde" w:hAnsi="ITC Avant Garde"/>
          <w:bCs/>
          <w:color w:val="000000" w:themeColor="text1"/>
          <w:sz w:val="22"/>
          <w:szCs w:val="22"/>
        </w:rPr>
        <w:t>escrito</w:t>
      </w:r>
      <w:r w:rsidR="00B71EF6" w:rsidRPr="006A1BCD">
        <w:rPr>
          <w:rFonts w:ascii="ITC Avant Garde" w:hAnsi="ITC Avant Garde"/>
          <w:bCs/>
          <w:color w:val="000000" w:themeColor="text1"/>
          <w:sz w:val="22"/>
          <w:szCs w:val="22"/>
        </w:rPr>
        <w:t xml:space="preserve"> </w:t>
      </w:r>
      <w:r w:rsidR="00B71EF6" w:rsidRPr="006A1BCD">
        <w:rPr>
          <w:rFonts w:ascii="ITC Avant Garde" w:hAnsi="ITC Avant Garde"/>
          <w:bCs/>
          <w:color w:val="000000" w:themeColor="text1"/>
          <w:sz w:val="22"/>
          <w:szCs w:val="22"/>
          <w:lang w:val="es-MX"/>
        </w:rPr>
        <w:t>presentado</w:t>
      </w:r>
      <w:r w:rsidR="008840B0" w:rsidRPr="006A1BCD">
        <w:rPr>
          <w:rFonts w:ascii="ITC Avant Garde" w:hAnsi="ITC Avant Garde"/>
          <w:bCs/>
          <w:color w:val="000000" w:themeColor="text1"/>
          <w:sz w:val="22"/>
          <w:szCs w:val="22"/>
        </w:rPr>
        <w:t xml:space="preserve"> ante el Instituto el </w:t>
      </w:r>
      <w:r w:rsidR="006859EE" w:rsidRPr="006A1BCD">
        <w:rPr>
          <w:rFonts w:ascii="ITC Avant Garde" w:hAnsi="ITC Avant Garde"/>
          <w:bCs/>
          <w:color w:val="000000" w:themeColor="text1"/>
          <w:sz w:val="22"/>
          <w:szCs w:val="22"/>
        </w:rPr>
        <w:t>25</w:t>
      </w:r>
      <w:r w:rsidR="008840B0" w:rsidRPr="006A1BCD">
        <w:rPr>
          <w:rFonts w:ascii="ITC Avant Garde" w:hAnsi="ITC Avant Garde"/>
          <w:bCs/>
          <w:color w:val="000000" w:themeColor="text1"/>
          <w:sz w:val="22"/>
          <w:szCs w:val="22"/>
        </w:rPr>
        <w:t xml:space="preserve"> de mayo de 2017</w:t>
      </w:r>
      <w:r w:rsidR="00B71EF6" w:rsidRPr="006A1BCD">
        <w:rPr>
          <w:rFonts w:ascii="ITC Avant Garde" w:hAnsi="ITC Avant Garde"/>
          <w:bCs/>
          <w:color w:val="000000" w:themeColor="text1"/>
          <w:sz w:val="22"/>
          <w:szCs w:val="22"/>
        </w:rPr>
        <w:t xml:space="preserve"> por </w:t>
      </w:r>
      <w:proofErr w:type="spellStart"/>
      <w:r w:rsidR="006859EE" w:rsidRPr="006A1BCD">
        <w:rPr>
          <w:rFonts w:ascii="ITC Avant Garde" w:hAnsi="ITC Avant Garde"/>
          <w:bCs/>
          <w:color w:val="000000" w:themeColor="text1"/>
          <w:sz w:val="22"/>
          <w:szCs w:val="22"/>
          <w:lang w:val="es-MX" w:eastAsia="es-MX"/>
        </w:rPr>
        <w:t>Telecable</w:t>
      </w:r>
      <w:proofErr w:type="spellEnd"/>
      <w:r w:rsidR="006859EE" w:rsidRPr="006A1BCD">
        <w:rPr>
          <w:rFonts w:ascii="ITC Avant Garde" w:hAnsi="ITC Avant Garde"/>
          <w:bCs/>
          <w:color w:val="000000" w:themeColor="text1"/>
          <w:sz w:val="22"/>
          <w:szCs w:val="22"/>
          <w:lang w:val="es-MX" w:eastAsia="es-MX"/>
        </w:rPr>
        <w:t xml:space="preserve"> de Tierra Caliente</w:t>
      </w:r>
      <w:r w:rsidR="00732BF9" w:rsidRPr="006A1BCD">
        <w:rPr>
          <w:rFonts w:ascii="ITC Avant Garde" w:hAnsi="ITC Avant Garde"/>
          <w:bCs/>
          <w:color w:val="000000" w:themeColor="text1"/>
          <w:sz w:val="22"/>
          <w:szCs w:val="22"/>
          <w:lang w:val="es-MX" w:eastAsia="es-MX"/>
        </w:rPr>
        <w:t>, S.A.</w:t>
      </w:r>
      <w:r w:rsidR="006859EE" w:rsidRPr="006A1BCD">
        <w:rPr>
          <w:rFonts w:ascii="ITC Avant Garde" w:hAnsi="ITC Avant Garde"/>
          <w:bCs/>
          <w:color w:val="000000" w:themeColor="text1"/>
          <w:sz w:val="22"/>
          <w:szCs w:val="22"/>
          <w:lang w:val="es-MX" w:eastAsia="es-MX"/>
        </w:rPr>
        <w:t xml:space="preserve"> </w:t>
      </w:r>
      <w:r w:rsidR="006859EE" w:rsidRPr="006A1BCD">
        <w:rPr>
          <w:rFonts w:ascii="ITC Avant Garde" w:hAnsi="ITC Avant Garde"/>
          <w:bCs/>
          <w:color w:val="000000" w:themeColor="text1"/>
          <w:sz w:val="22"/>
          <w:szCs w:val="22"/>
          <w:lang w:val="es-MX" w:eastAsia="es-MX"/>
        </w:rPr>
        <w:lastRenderedPageBreak/>
        <w:t>de C.V.,</w:t>
      </w:r>
      <w:r w:rsidR="00732BF9" w:rsidRPr="006A1BCD">
        <w:rPr>
          <w:rFonts w:ascii="ITC Avant Garde" w:hAnsi="ITC Avant Garde"/>
          <w:bCs/>
          <w:color w:val="000000" w:themeColor="text1"/>
          <w:sz w:val="22"/>
          <w:szCs w:val="22"/>
          <w:lang w:val="es-MX" w:eastAsia="es-MX"/>
        </w:rPr>
        <w:t xml:space="preserve"> </w:t>
      </w:r>
      <w:r w:rsidR="00AD26B2" w:rsidRPr="006A1BCD">
        <w:rPr>
          <w:rFonts w:ascii="ITC Avant Garde" w:hAnsi="ITC Avant Garde"/>
          <w:bCs/>
          <w:color w:val="000000" w:themeColor="text1"/>
          <w:sz w:val="22"/>
          <w:szCs w:val="22"/>
          <w:lang w:val="es-MX"/>
        </w:rPr>
        <w:t>a través de su representante legal</w:t>
      </w:r>
      <w:r w:rsidR="008840B0" w:rsidRPr="006A1BCD">
        <w:rPr>
          <w:rFonts w:ascii="ITC Avant Garde" w:hAnsi="ITC Avant Garde"/>
          <w:bCs/>
          <w:color w:val="000000" w:themeColor="text1"/>
          <w:sz w:val="22"/>
          <w:szCs w:val="22"/>
          <w:lang w:val="es-MX"/>
        </w:rPr>
        <w:t>, mediante el cual</w:t>
      </w:r>
      <w:r w:rsidR="00AD26B2" w:rsidRPr="006A1BCD">
        <w:rPr>
          <w:rFonts w:ascii="ITC Avant Garde" w:hAnsi="ITC Avant Garde"/>
          <w:bCs/>
          <w:color w:val="000000" w:themeColor="text1"/>
          <w:sz w:val="22"/>
          <w:szCs w:val="22"/>
          <w:lang w:val="es-MX"/>
        </w:rPr>
        <w:t xml:space="preserve"> dio aviso de la intención </w:t>
      </w:r>
      <w:r w:rsidR="006859EE" w:rsidRPr="006A1BCD">
        <w:rPr>
          <w:rFonts w:ascii="ITC Avant Garde" w:hAnsi="ITC Avant Garde"/>
          <w:bCs/>
          <w:color w:val="000000" w:themeColor="text1"/>
          <w:sz w:val="22"/>
          <w:szCs w:val="22"/>
          <w:lang w:val="es-MX"/>
        </w:rPr>
        <w:t>de enajenar 40 acciones propiedad del C. Martín Antonio Huerta Carbajal a favor de la C. María Del Carmen Romero Ramírez</w:t>
      </w:r>
      <w:r w:rsidR="00983506" w:rsidRPr="006A1BCD">
        <w:rPr>
          <w:rFonts w:ascii="ITC Avant Garde" w:hAnsi="ITC Avant Garde"/>
          <w:bCs/>
          <w:color w:val="000000" w:themeColor="text1"/>
          <w:sz w:val="22"/>
          <w:szCs w:val="22"/>
          <w:lang w:val="es-MX"/>
        </w:rPr>
        <w:t>.</w:t>
      </w:r>
    </w:p>
    <w:p w14:paraId="27933E44" w14:textId="77777777" w:rsidR="006A1BCD" w:rsidRPr="006A1BCD" w:rsidRDefault="00F80A22" w:rsidP="006A1BCD">
      <w:pPr>
        <w:autoSpaceDE w:val="0"/>
        <w:autoSpaceDN w:val="0"/>
        <w:adjustRightInd w:val="0"/>
        <w:spacing w:before="240" w:after="240"/>
        <w:jc w:val="both"/>
        <w:rPr>
          <w:rFonts w:ascii="ITC Avant Garde" w:hAnsi="ITC Avant Garde"/>
          <w:bCs/>
          <w:color w:val="000000" w:themeColor="text1"/>
          <w:sz w:val="22"/>
          <w:szCs w:val="22"/>
        </w:rPr>
      </w:pPr>
      <w:r w:rsidRPr="006A1BCD">
        <w:rPr>
          <w:rFonts w:ascii="ITC Avant Garde" w:hAnsi="ITC Avant Garde"/>
          <w:bCs/>
          <w:color w:val="000000" w:themeColor="text1"/>
          <w:sz w:val="22"/>
          <w:szCs w:val="22"/>
        </w:rPr>
        <w:t>De esta manera</w:t>
      </w:r>
      <w:r w:rsidR="000F5A77" w:rsidRPr="006A1BCD">
        <w:rPr>
          <w:rFonts w:ascii="ITC Avant Garde" w:hAnsi="ITC Avant Garde"/>
          <w:bCs/>
          <w:color w:val="000000" w:themeColor="text1"/>
          <w:sz w:val="22"/>
          <w:szCs w:val="22"/>
        </w:rPr>
        <w:t>,</w:t>
      </w:r>
      <w:r w:rsidR="00256557" w:rsidRPr="006A1BCD">
        <w:rPr>
          <w:rFonts w:ascii="ITC Avant Garde" w:hAnsi="ITC Avant Garde"/>
          <w:bCs/>
          <w:color w:val="000000" w:themeColor="text1"/>
          <w:sz w:val="22"/>
          <w:szCs w:val="22"/>
        </w:rPr>
        <w:t xml:space="preserve"> y </w:t>
      </w:r>
      <w:r w:rsidR="000F5A77" w:rsidRPr="006A1BCD">
        <w:rPr>
          <w:rFonts w:ascii="ITC Avant Garde" w:hAnsi="ITC Avant Garde"/>
          <w:bCs/>
          <w:color w:val="000000" w:themeColor="text1"/>
          <w:sz w:val="22"/>
          <w:szCs w:val="22"/>
        </w:rPr>
        <w:t xml:space="preserve">de conformidad con la información señalada en la Solicitud de </w:t>
      </w:r>
      <w:r w:rsidR="00D3079C" w:rsidRPr="006A1BCD">
        <w:rPr>
          <w:rFonts w:ascii="ITC Avant Garde" w:hAnsi="ITC Avant Garde"/>
          <w:bCs/>
          <w:color w:val="000000" w:themeColor="text1"/>
          <w:sz w:val="22"/>
          <w:szCs w:val="22"/>
        </w:rPr>
        <w:t xml:space="preserve">Enajenación </w:t>
      </w:r>
      <w:r w:rsidR="000F5A77" w:rsidRPr="006A1BCD">
        <w:rPr>
          <w:rFonts w:ascii="ITC Avant Garde" w:hAnsi="ITC Avant Garde"/>
          <w:bCs/>
          <w:color w:val="000000" w:themeColor="text1"/>
          <w:sz w:val="22"/>
          <w:szCs w:val="22"/>
        </w:rPr>
        <w:t>de Acciones</w:t>
      </w:r>
      <w:r w:rsidR="00D3079C" w:rsidRPr="006A1BCD">
        <w:rPr>
          <w:rFonts w:ascii="ITC Avant Garde" w:hAnsi="ITC Avant Garde"/>
          <w:bCs/>
          <w:color w:val="000000" w:themeColor="text1"/>
          <w:sz w:val="22"/>
          <w:szCs w:val="22"/>
        </w:rPr>
        <w:t xml:space="preserve">, </w:t>
      </w:r>
      <w:r w:rsidR="0090376A" w:rsidRPr="006A1BCD">
        <w:rPr>
          <w:rFonts w:ascii="ITC Avant Garde" w:hAnsi="ITC Avant Garde"/>
          <w:bCs/>
          <w:color w:val="000000" w:themeColor="text1"/>
          <w:sz w:val="22"/>
          <w:szCs w:val="22"/>
        </w:rPr>
        <w:t xml:space="preserve">se desprende que </w:t>
      </w:r>
      <w:r w:rsidR="000F5A77" w:rsidRPr="006A1BCD">
        <w:rPr>
          <w:rFonts w:ascii="ITC Avant Garde" w:hAnsi="ITC Avant Garde"/>
          <w:bCs/>
          <w:color w:val="000000" w:themeColor="text1"/>
          <w:sz w:val="22"/>
          <w:szCs w:val="22"/>
        </w:rPr>
        <w:t xml:space="preserve">la estructura accionaria de </w:t>
      </w:r>
      <w:proofErr w:type="spellStart"/>
      <w:r w:rsidR="006859EE" w:rsidRPr="006A1BCD">
        <w:rPr>
          <w:rFonts w:ascii="ITC Avant Garde" w:hAnsi="ITC Avant Garde"/>
          <w:bCs/>
          <w:color w:val="000000" w:themeColor="text1"/>
          <w:sz w:val="22"/>
          <w:szCs w:val="22"/>
          <w:lang w:val="es-MX" w:eastAsia="es-MX"/>
        </w:rPr>
        <w:t>Telecable</w:t>
      </w:r>
      <w:proofErr w:type="spellEnd"/>
      <w:r w:rsidR="006859EE" w:rsidRPr="006A1BCD">
        <w:rPr>
          <w:rFonts w:ascii="ITC Avant Garde" w:hAnsi="ITC Avant Garde"/>
          <w:bCs/>
          <w:color w:val="000000" w:themeColor="text1"/>
          <w:sz w:val="22"/>
          <w:szCs w:val="22"/>
          <w:lang w:val="es-MX" w:eastAsia="es-MX"/>
        </w:rPr>
        <w:t xml:space="preserve"> de Tierra Caliente, S.A. de C.V.,</w:t>
      </w:r>
      <w:r w:rsidR="00D3079C" w:rsidRPr="006A1BCD">
        <w:rPr>
          <w:rFonts w:ascii="ITC Avant Garde" w:hAnsi="ITC Avant Garde"/>
          <w:bCs/>
          <w:color w:val="000000" w:themeColor="text1"/>
          <w:sz w:val="22"/>
          <w:szCs w:val="22"/>
        </w:rPr>
        <w:t xml:space="preserve"> </w:t>
      </w:r>
      <w:r w:rsidR="00983506" w:rsidRPr="006A1BCD">
        <w:rPr>
          <w:rFonts w:ascii="ITC Avant Garde" w:hAnsi="ITC Avant Garde"/>
          <w:bCs/>
          <w:color w:val="000000" w:themeColor="text1"/>
          <w:sz w:val="22"/>
          <w:szCs w:val="22"/>
        </w:rPr>
        <w:t>antes</w:t>
      </w:r>
      <w:r w:rsidR="000F5A77" w:rsidRPr="006A1BCD">
        <w:rPr>
          <w:rFonts w:ascii="ITC Avant Garde" w:hAnsi="ITC Avant Garde"/>
          <w:bCs/>
          <w:color w:val="000000" w:themeColor="text1"/>
          <w:sz w:val="22"/>
          <w:szCs w:val="22"/>
        </w:rPr>
        <w:t xml:space="preserve"> </w:t>
      </w:r>
      <w:r w:rsidR="00983506" w:rsidRPr="006A1BCD">
        <w:rPr>
          <w:rFonts w:ascii="ITC Avant Garde" w:hAnsi="ITC Avant Garde"/>
          <w:bCs/>
          <w:color w:val="000000" w:themeColor="text1"/>
          <w:sz w:val="22"/>
          <w:szCs w:val="22"/>
        </w:rPr>
        <w:t>de</w:t>
      </w:r>
      <w:r w:rsidR="000F5A77" w:rsidRPr="006A1BCD">
        <w:rPr>
          <w:rFonts w:ascii="ITC Avant Garde" w:hAnsi="ITC Avant Garde"/>
          <w:bCs/>
          <w:color w:val="000000" w:themeColor="text1"/>
          <w:sz w:val="22"/>
          <w:szCs w:val="22"/>
        </w:rPr>
        <w:t xml:space="preserve"> que se lleve a cabo la operación se encuentra integrada de </w:t>
      </w:r>
      <w:r w:rsidR="000F5A77" w:rsidRPr="006A1BCD">
        <w:rPr>
          <w:rFonts w:ascii="ITC Avant Garde" w:hAnsi="ITC Avant Garde"/>
          <w:bCs/>
          <w:color w:val="000000" w:themeColor="text1"/>
          <w:sz w:val="22"/>
          <w:szCs w:val="22"/>
          <w:lang w:val="es-MX"/>
        </w:rPr>
        <w:t>la</w:t>
      </w:r>
      <w:r w:rsidR="000F5A77" w:rsidRPr="006A1BCD">
        <w:rPr>
          <w:rFonts w:ascii="ITC Avant Garde" w:hAnsi="ITC Avant Garde"/>
          <w:bCs/>
          <w:color w:val="000000" w:themeColor="text1"/>
          <w:sz w:val="22"/>
          <w:szCs w:val="22"/>
        </w:rPr>
        <w:t xml:space="preserve"> siguiente manera:</w:t>
      </w:r>
    </w:p>
    <w:tbl>
      <w:tblPr>
        <w:tblStyle w:val="Tablaconcuadrcula"/>
        <w:tblW w:w="7563" w:type="dxa"/>
        <w:jc w:val="center"/>
        <w:tblLayout w:type="fixed"/>
        <w:tblLook w:val="0000" w:firstRow="0" w:lastRow="0" w:firstColumn="0" w:lastColumn="0" w:noHBand="0" w:noVBand="0"/>
        <w:tblCaption w:val="Solicitud de enajenación de acciones"/>
        <w:tblDescription w:val="En una tabla de 3 columnas y 5 filas, se proporciona la estructura accionaria de Telecable de Tierra Caliente, S.A. de C.V."/>
      </w:tblPr>
      <w:tblGrid>
        <w:gridCol w:w="3350"/>
        <w:gridCol w:w="2421"/>
        <w:gridCol w:w="1792"/>
      </w:tblGrid>
      <w:tr w:rsidR="006A1BCD" w:rsidRPr="006A1BCD" w14:paraId="1827CF1C" w14:textId="77777777" w:rsidTr="00245998">
        <w:trPr>
          <w:trHeight w:val="653"/>
          <w:tblHeader/>
          <w:jc w:val="center"/>
        </w:trPr>
        <w:tc>
          <w:tcPr>
            <w:tcW w:w="3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AE39BBC" w14:textId="7C9DA94E" w:rsidR="006A1BCD" w:rsidRPr="006A1BCD" w:rsidRDefault="006A1BCD" w:rsidP="00245998">
            <w:pPr>
              <w:jc w:val="center"/>
              <w:rPr>
                <w:rFonts w:ascii="ITC Avant Garde" w:hAnsi="ITC Avant Garde" w:cs="Calibri"/>
                <w:b/>
                <w:bCs/>
                <w:color w:val="000000" w:themeColor="text1"/>
                <w:sz w:val="14"/>
                <w:szCs w:val="14"/>
              </w:rPr>
            </w:pPr>
            <w:r w:rsidRPr="006A1BCD">
              <w:rPr>
                <w:rFonts w:ascii="ITC Avant Garde" w:hAnsi="ITC Avant Garde" w:cs="Calibri"/>
                <w:b/>
                <w:bCs/>
                <w:color w:val="000000" w:themeColor="text1"/>
                <w:sz w:val="14"/>
                <w:szCs w:val="14"/>
              </w:rPr>
              <w:t>ACCIONISTAS</w:t>
            </w:r>
          </w:p>
        </w:tc>
        <w:tc>
          <w:tcPr>
            <w:tcW w:w="2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B42E6D" w14:textId="291C20E6" w:rsidR="006A1BCD" w:rsidRPr="006A1BCD" w:rsidRDefault="006A1BCD" w:rsidP="00245998">
            <w:pPr>
              <w:jc w:val="center"/>
              <w:rPr>
                <w:rFonts w:ascii="ITC Avant Garde" w:hAnsi="ITC Avant Garde" w:cs="Calibri"/>
                <w:b/>
                <w:bCs/>
                <w:color w:val="000000" w:themeColor="text1"/>
                <w:sz w:val="14"/>
                <w:szCs w:val="14"/>
              </w:rPr>
            </w:pPr>
            <w:r w:rsidRPr="006A1BCD">
              <w:rPr>
                <w:rFonts w:ascii="ITC Avant Garde" w:hAnsi="ITC Avant Garde" w:cs="Calibri"/>
                <w:b/>
                <w:bCs/>
                <w:color w:val="000000" w:themeColor="text1"/>
                <w:sz w:val="14"/>
                <w:szCs w:val="14"/>
              </w:rPr>
              <w:t>ACCIONES</w:t>
            </w:r>
          </w:p>
        </w:tc>
        <w:tc>
          <w:tcPr>
            <w:tcW w:w="17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65FFF5" w14:textId="07739812" w:rsidR="006A1BCD" w:rsidRPr="006A1BCD" w:rsidRDefault="006A1BCD" w:rsidP="00245998">
            <w:pPr>
              <w:jc w:val="center"/>
              <w:rPr>
                <w:rFonts w:ascii="ITC Avant Garde" w:hAnsi="ITC Avant Garde" w:cs="Calibri"/>
                <w:b/>
                <w:bCs/>
                <w:color w:val="000000" w:themeColor="text1"/>
                <w:sz w:val="14"/>
                <w:szCs w:val="14"/>
              </w:rPr>
            </w:pPr>
            <w:r w:rsidRPr="006A1BCD">
              <w:rPr>
                <w:rFonts w:ascii="ITC Avant Garde" w:hAnsi="ITC Avant Garde" w:cs="Calibri"/>
                <w:b/>
                <w:bCs/>
                <w:color w:val="000000" w:themeColor="text1"/>
                <w:sz w:val="14"/>
                <w:szCs w:val="14"/>
              </w:rPr>
              <w:t>PORCENTAJE DE PARTICIPACIÓN</w:t>
            </w:r>
          </w:p>
        </w:tc>
      </w:tr>
      <w:tr w:rsidR="006A1BCD" w:rsidRPr="006A1BCD" w14:paraId="70829732" w14:textId="77777777" w:rsidTr="00245998">
        <w:trPr>
          <w:trHeight w:val="356"/>
          <w:jc w:val="center"/>
        </w:trPr>
        <w:tc>
          <w:tcPr>
            <w:tcW w:w="3350" w:type="dxa"/>
            <w:tcBorders>
              <w:top w:val="single" w:sz="4" w:space="0" w:color="auto"/>
            </w:tcBorders>
          </w:tcPr>
          <w:p w14:paraId="4A411EA4" w14:textId="0B696444" w:rsidR="006A1BCD" w:rsidRPr="006A1BCD" w:rsidRDefault="006A1BCD" w:rsidP="00245998">
            <w:pP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Martín Antonio Huerta Carbajal</w:t>
            </w:r>
          </w:p>
        </w:tc>
        <w:tc>
          <w:tcPr>
            <w:tcW w:w="2421" w:type="dxa"/>
            <w:tcBorders>
              <w:top w:val="single" w:sz="4" w:space="0" w:color="auto"/>
            </w:tcBorders>
          </w:tcPr>
          <w:p w14:paraId="49FE8C76" w14:textId="437E9BEF" w:rsidR="006A1BCD" w:rsidRPr="006A1BCD" w:rsidRDefault="006A1BCD" w:rsidP="00245998">
            <w:pPr>
              <w:jc w:val="cente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40</w:t>
            </w:r>
          </w:p>
        </w:tc>
        <w:tc>
          <w:tcPr>
            <w:tcW w:w="1792" w:type="dxa"/>
            <w:tcBorders>
              <w:top w:val="single" w:sz="4" w:space="0" w:color="auto"/>
            </w:tcBorders>
          </w:tcPr>
          <w:p w14:paraId="455F7710" w14:textId="30C73FB3" w:rsidR="006A1BCD" w:rsidRPr="006A1BCD" w:rsidRDefault="006A1BCD" w:rsidP="00245998">
            <w:pPr>
              <w:jc w:val="center"/>
              <w:rPr>
                <w:rFonts w:ascii="ITC Avant Garde" w:hAnsi="ITC Avant Garde" w:cs="Calibri"/>
                <w:color w:val="000000" w:themeColor="text1"/>
                <w:sz w:val="14"/>
                <w:szCs w:val="14"/>
                <w:highlight w:val="yellow"/>
              </w:rPr>
            </w:pPr>
            <w:r w:rsidRPr="006A1BCD">
              <w:rPr>
                <w:rFonts w:ascii="ITC Avant Garde" w:hAnsi="ITC Avant Garde" w:cs="Calibri"/>
                <w:color w:val="000000" w:themeColor="text1"/>
                <w:sz w:val="14"/>
                <w:szCs w:val="14"/>
              </w:rPr>
              <w:t>40%</w:t>
            </w:r>
          </w:p>
        </w:tc>
      </w:tr>
      <w:tr w:rsidR="006A1BCD" w:rsidRPr="006A1BCD" w14:paraId="62441BE8" w14:textId="77777777" w:rsidTr="00245998">
        <w:trPr>
          <w:trHeight w:val="291"/>
          <w:jc w:val="center"/>
        </w:trPr>
        <w:tc>
          <w:tcPr>
            <w:tcW w:w="3350" w:type="dxa"/>
          </w:tcPr>
          <w:p w14:paraId="5CEF5CF6" w14:textId="02F4D9BD" w:rsidR="006A1BCD" w:rsidRPr="006A1BCD" w:rsidRDefault="006A1BCD" w:rsidP="00245998">
            <w:pP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María Del Carmen Romero Ramírez</w:t>
            </w:r>
          </w:p>
        </w:tc>
        <w:tc>
          <w:tcPr>
            <w:tcW w:w="2421" w:type="dxa"/>
          </w:tcPr>
          <w:p w14:paraId="3314D84D" w14:textId="51EC54A9" w:rsidR="006A1BCD" w:rsidRPr="006A1BCD" w:rsidRDefault="006A1BCD" w:rsidP="00245998">
            <w:pPr>
              <w:jc w:val="cente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15</w:t>
            </w:r>
          </w:p>
        </w:tc>
        <w:tc>
          <w:tcPr>
            <w:tcW w:w="1792" w:type="dxa"/>
          </w:tcPr>
          <w:p w14:paraId="41BADE0F" w14:textId="42C56CD0" w:rsidR="006A1BCD" w:rsidRPr="006A1BCD" w:rsidRDefault="006A1BCD" w:rsidP="00245998">
            <w:pPr>
              <w:jc w:val="center"/>
              <w:rPr>
                <w:rFonts w:ascii="ITC Avant Garde" w:hAnsi="ITC Avant Garde" w:cs="Calibri"/>
                <w:color w:val="000000" w:themeColor="text1"/>
                <w:sz w:val="14"/>
                <w:szCs w:val="14"/>
                <w:highlight w:val="yellow"/>
              </w:rPr>
            </w:pPr>
            <w:r w:rsidRPr="006A1BCD">
              <w:rPr>
                <w:rFonts w:ascii="ITC Avant Garde" w:hAnsi="ITC Avant Garde" w:cs="Calibri"/>
                <w:color w:val="000000" w:themeColor="text1"/>
                <w:sz w:val="14"/>
                <w:szCs w:val="14"/>
              </w:rPr>
              <w:t>15%</w:t>
            </w:r>
          </w:p>
        </w:tc>
      </w:tr>
      <w:tr w:rsidR="006A1BCD" w:rsidRPr="006A1BCD" w14:paraId="6439702B" w14:textId="77777777" w:rsidTr="00245998">
        <w:trPr>
          <w:trHeight w:val="291"/>
          <w:jc w:val="center"/>
        </w:trPr>
        <w:tc>
          <w:tcPr>
            <w:tcW w:w="3350" w:type="dxa"/>
          </w:tcPr>
          <w:p w14:paraId="69EF6CBE" w14:textId="40BE6F66" w:rsidR="006A1BCD" w:rsidRPr="006A1BCD" w:rsidRDefault="006A1BCD" w:rsidP="00245998">
            <w:pP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Rafael Huerta Romero</w:t>
            </w:r>
          </w:p>
        </w:tc>
        <w:tc>
          <w:tcPr>
            <w:tcW w:w="2421" w:type="dxa"/>
          </w:tcPr>
          <w:p w14:paraId="24220BC3" w14:textId="1C704E3F" w:rsidR="006A1BCD" w:rsidRPr="006A1BCD" w:rsidRDefault="006A1BCD" w:rsidP="00245998">
            <w:pPr>
              <w:jc w:val="cente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15</w:t>
            </w:r>
          </w:p>
        </w:tc>
        <w:tc>
          <w:tcPr>
            <w:tcW w:w="1792" w:type="dxa"/>
          </w:tcPr>
          <w:p w14:paraId="492A0431" w14:textId="43F20576" w:rsidR="006A1BCD" w:rsidRPr="006A1BCD" w:rsidRDefault="006A1BCD" w:rsidP="00245998">
            <w:pPr>
              <w:jc w:val="center"/>
              <w:rPr>
                <w:rFonts w:ascii="ITC Avant Garde" w:hAnsi="ITC Avant Garde" w:cs="Calibri"/>
                <w:color w:val="000000" w:themeColor="text1"/>
                <w:sz w:val="14"/>
                <w:szCs w:val="14"/>
                <w:highlight w:val="yellow"/>
              </w:rPr>
            </w:pPr>
            <w:r w:rsidRPr="006A1BCD">
              <w:rPr>
                <w:rFonts w:ascii="ITC Avant Garde" w:hAnsi="ITC Avant Garde" w:cs="Calibri"/>
                <w:color w:val="000000" w:themeColor="text1"/>
                <w:sz w:val="14"/>
                <w:szCs w:val="14"/>
              </w:rPr>
              <w:t>15%</w:t>
            </w:r>
          </w:p>
        </w:tc>
      </w:tr>
      <w:tr w:rsidR="006A1BCD" w:rsidRPr="006A1BCD" w14:paraId="53C4D3B2" w14:textId="77777777" w:rsidTr="00245998">
        <w:trPr>
          <w:trHeight w:val="291"/>
          <w:jc w:val="center"/>
        </w:trPr>
        <w:tc>
          <w:tcPr>
            <w:tcW w:w="3350" w:type="dxa"/>
          </w:tcPr>
          <w:p w14:paraId="3FEAE179" w14:textId="40FA3C6A" w:rsidR="006A1BCD" w:rsidRPr="006A1BCD" w:rsidRDefault="006A1BCD" w:rsidP="00245998">
            <w:pP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Francisco Javier Huerta Romero</w:t>
            </w:r>
          </w:p>
        </w:tc>
        <w:tc>
          <w:tcPr>
            <w:tcW w:w="2421" w:type="dxa"/>
          </w:tcPr>
          <w:p w14:paraId="30D8AEC2" w14:textId="2C3E0814" w:rsidR="006A1BCD" w:rsidRPr="006A1BCD" w:rsidRDefault="006A1BCD" w:rsidP="00245998">
            <w:pPr>
              <w:jc w:val="cente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15</w:t>
            </w:r>
          </w:p>
        </w:tc>
        <w:tc>
          <w:tcPr>
            <w:tcW w:w="1792" w:type="dxa"/>
          </w:tcPr>
          <w:p w14:paraId="03B50D1D" w14:textId="3FCA1F0E" w:rsidR="006A1BCD" w:rsidRPr="006A1BCD" w:rsidRDefault="006A1BCD" w:rsidP="00245998">
            <w:pPr>
              <w:jc w:val="cente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15%</w:t>
            </w:r>
          </w:p>
        </w:tc>
      </w:tr>
      <w:tr w:rsidR="006A1BCD" w:rsidRPr="006A1BCD" w14:paraId="21721746" w14:textId="77777777" w:rsidTr="00245998">
        <w:trPr>
          <w:trHeight w:val="291"/>
          <w:jc w:val="center"/>
        </w:trPr>
        <w:tc>
          <w:tcPr>
            <w:tcW w:w="3350" w:type="dxa"/>
          </w:tcPr>
          <w:p w14:paraId="6660A894" w14:textId="0C19E023" w:rsidR="006A1BCD" w:rsidRPr="006A1BCD" w:rsidRDefault="006A1BCD" w:rsidP="00245998">
            <w:pP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Juan José Huerta Romero</w:t>
            </w:r>
          </w:p>
        </w:tc>
        <w:tc>
          <w:tcPr>
            <w:tcW w:w="2421" w:type="dxa"/>
          </w:tcPr>
          <w:p w14:paraId="253023B0" w14:textId="47F8D943" w:rsidR="006A1BCD" w:rsidRPr="006A1BCD" w:rsidRDefault="006A1BCD" w:rsidP="00245998">
            <w:pPr>
              <w:jc w:val="cente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15</w:t>
            </w:r>
          </w:p>
        </w:tc>
        <w:tc>
          <w:tcPr>
            <w:tcW w:w="1792" w:type="dxa"/>
          </w:tcPr>
          <w:p w14:paraId="42D5DC52" w14:textId="16593FB2" w:rsidR="006A1BCD" w:rsidRPr="006A1BCD" w:rsidRDefault="006A1BCD" w:rsidP="00245998">
            <w:pPr>
              <w:jc w:val="cente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15%</w:t>
            </w:r>
          </w:p>
        </w:tc>
      </w:tr>
      <w:tr w:rsidR="006A1BCD" w:rsidRPr="006A1BCD" w14:paraId="3D43CC0B" w14:textId="77777777" w:rsidTr="00245998">
        <w:trPr>
          <w:trHeight w:val="255"/>
          <w:jc w:val="center"/>
        </w:trPr>
        <w:tc>
          <w:tcPr>
            <w:tcW w:w="3350" w:type="dxa"/>
          </w:tcPr>
          <w:p w14:paraId="0A911F94" w14:textId="77777777" w:rsidR="006A1BCD" w:rsidRPr="006A1BCD" w:rsidRDefault="006A1BCD" w:rsidP="00245998">
            <w:pPr>
              <w:jc w:val="center"/>
              <w:rPr>
                <w:rFonts w:ascii="ITC Avant Garde" w:hAnsi="ITC Avant Garde" w:cs="Calibri"/>
                <w:b/>
                <w:color w:val="000000" w:themeColor="text1"/>
                <w:sz w:val="14"/>
                <w:szCs w:val="14"/>
              </w:rPr>
            </w:pPr>
            <w:r w:rsidRPr="006A1BCD">
              <w:rPr>
                <w:rFonts w:ascii="ITC Avant Garde" w:hAnsi="ITC Avant Garde" w:cs="Calibri"/>
                <w:b/>
                <w:color w:val="000000" w:themeColor="text1"/>
                <w:sz w:val="14"/>
                <w:szCs w:val="14"/>
              </w:rPr>
              <w:t>Total de Acciones</w:t>
            </w:r>
          </w:p>
        </w:tc>
        <w:tc>
          <w:tcPr>
            <w:tcW w:w="2421" w:type="dxa"/>
          </w:tcPr>
          <w:p w14:paraId="36ED79D3" w14:textId="774488DE" w:rsidR="006A1BCD" w:rsidRPr="006A1BCD" w:rsidRDefault="006A1BCD" w:rsidP="00245998">
            <w:pPr>
              <w:jc w:val="center"/>
              <w:rPr>
                <w:rFonts w:ascii="ITC Avant Garde" w:hAnsi="ITC Avant Garde" w:cs="Calibri"/>
                <w:b/>
                <w:color w:val="000000" w:themeColor="text1"/>
                <w:sz w:val="14"/>
                <w:szCs w:val="14"/>
              </w:rPr>
            </w:pPr>
            <w:r w:rsidRPr="006A1BCD">
              <w:rPr>
                <w:rFonts w:ascii="ITC Avant Garde" w:hAnsi="ITC Avant Garde" w:cs="Calibri"/>
                <w:b/>
                <w:color w:val="000000" w:themeColor="text1"/>
                <w:sz w:val="14"/>
                <w:szCs w:val="14"/>
              </w:rPr>
              <w:t>100</w:t>
            </w:r>
          </w:p>
        </w:tc>
        <w:tc>
          <w:tcPr>
            <w:tcW w:w="1792" w:type="dxa"/>
          </w:tcPr>
          <w:p w14:paraId="4F6756B6" w14:textId="4382D33D" w:rsidR="006A1BCD" w:rsidRPr="006A1BCD" w:rsidRDefault="006A1BCD" w:rsidP="00245998">
            <w:pPr>
              <w:jc w:val="center"/>
              <w:rPr>
                <w:rFonts w:ascii="ITC Avant Garde" w:hAnsi="ITC Avant Garde" w:cs="Calibri"/>
                <w:b/>
                <w:color w:val="000000" w:themeColor="text1"/>
                <w:sz w:val="14"/>
                <w:szCs w:val="14"/>
              </w:rPr>
            </w:pPr>
            <w:r w:rsidRPr="006A1BCD">
              <w:rPr>
                <w:rFonts w:ascii="ITC Avant Garde" w:hAnsi="ITC Avant Garde" w:cs="Calibri"/>
                <w:b/>
                <w:color w:val="000000" w:themeColor="text1"/>
                <w:sz w:val="14"/>
                <w:szCs w:val="14"/>
              </w:rPr>
              <w:t>100%</w:t>
            </w:r>
          </w:p>
        </w:tc>
      </w:tr>
    </w:tbl>
    <w:p w14:paraId="0F12166B" w14:textId="77777777" w:rsidR="006A1BCD" w:rsidRPr="006A1BCD" w:rsidRDefault="00A94ADD" w:rsidP="00245998">
      <w:pPr>
        <w:autoSpaceDE w:val="0"/>
        <w:autoSpaceDN w:val="0"/>
        <w:adjustRightInd w:val="0"/>
        <w:spacing w:before="240" w:after="240"/>
        <w:jc w:val="both"/>
        <w:rPr>
          <w:rFonts w:ascii="ITC Avant Garde" w:hAnsi="ITC Avant Garde"/>
          <w:bCs/>
          <w:color w:val="000000" w:themeColor="text1"/>
          <w:sz w:val="22"/>
          <w:szCs w:val="22"/>
          <w:lang w:val="es-MX" w:eastAsia="es-MX"/>
        </w:rPr>
      </w:pPr>
      <w:r w:rsidRPr="006A1BCD">
        <w:rPr>
          <w:rFonts w:ascii="ITC Avant Garde" w:hAnsi="ITC Avant Garde"/>
          <w:bCs/>
          <w:color w:val="000000" w:themeColor="text1"/>
          <w:sz w:val="22"/>
          <w:szCs w:val="22"/>
          <w:lang w:val="es-MX" w:eastAsia="es-MX"/>
        </w:rPr>
        <w:t xml:space="preserve">De autorizarse la Solicitud de </w:t>
      </w:r>
      <w:r w:rsidR="003361AD" w:rsidRPr="006A1BCD">
        <w:rPr>
          <w:rFonts w:ascii="ITC Avant Garde" w:hAnsi="ITC Avant Garde"/>
          <w:bCs/>
          <w:color w:val="000000" w:themeColor="text1"/>
          <w:sz w:val="22"/>
          <w:szCs w:val="22"/>
          <w:lang w:val="es-MX" w:eastAsia="es-MX"/>
        </w:rPr>
        <w:t>Enajenación</w:t>
      </w:r>
      <w:r w:rsidRPr="006A1BCD">
        <w:rPr>
          <w:rFonts w:ascii="ITC Avant Garde" w:hAnsi="ITC Avant Garde"/>
          <w:bCs/>
          <w:color w:val="000000" w:themeColor="text1"/>
          <w:sz w:val="22"/>
          <w:szCs w:val="22"/>
          <w:lang w:val="es-MX" w:eastAsia="es-MX"/>
        </w:rPr>
        <w:t xml:space="preserve"> de Acciones y una vez que ésta se concrete, la estructura accionaria de </w:t>
      </w:r>
      <w:proofErr w:type="spellStart"/>
      <w:r w:rsidR="00ED7050" w:rsidRPr="006A1BCD">
        <w:rPr>
          <w:rFonts w:ascii="ITC Avant Garde" w:hAnsi="ITC Avant Garde"/>
          <w:bCs/>
          <w:color w:val="000000" w:themeColor="text1"/>
          <w:sz w:val="22"/>
          <w:szCs w:val="22"/>
          <w:lang w:val="es-MX" w:eastAsia="es-MX"/>
        </w:rPr>
        <w:t>Telecable</w:t>
      </w:r>
      <w:proofErr w:type="spellEnd"/>
      <w:r w:rsidR="00ED7050" w:rsidRPr="006A1BCD">
        <w:rPr>
          <w:rFonts w:ascii="ITC Avant Garde" w:hAnsi="ITC Avant Garde"/>
          <w:bCs/>
          <w:color w:val="000000" w:themeColor="text1"/>
          <w:sz w:val="22"/>
          <w:szCs w:val="22"/>
          <w:lang w:val="es-MX" w:eastAsia="es-MX"/>
        </w:rPr>
        <w:t xml:space="preserve"> de Tierra Caliente, S.A. de C.V.,</w:t>
      </w:r>
      <w:r w:rsidR="0080016B" w:rsidRPr="006A1BCD">
        <w:rPr>
          <w:rFonts w:ascii="ITC Avant Garde" w:hAnsi="ITC Avant Garde"/>
          <w:bCs/>
          <w:color w:val="000000" w:themeColor="text1"/>
          <w:sz w:val="22"/>
          <w:szCs w:val="22"/>
        </w:rPr>
        <w:t xml:space="preserve"> </w:t>
      </w:r>
      <w:r w:rsidRPr="006A1BCD">
        <w:rPr>
          <w:rFonts w:ascii="ITC Avant Garde" w:hAnsi="ITC Avant Garde"/>
          <w:bCs/>
          <w:color w:val="000000" w:themeColor="text1"/>
          <w:sz w:val="22"/>
          <w:szCs w:val="22"/>
          <w:lang w:val="es-MX" w:eastAsia="es-MX"/>
        </w:rPr>
        <w:t>quedaría de la siguiente forma:</w:t>
      </w:r>
    </w:p>
    <w:tbl>
      <w:tblPr>
        <w:tblStyle w:val="Tablaconcuadrcula"/>
        <w:tblW w:w="7563" w:type="dxa"/>
        <w:jc w:val="center"/>
        <w:tblLayout w:type="fixed"/>
        <w:tblLook w:val="0000" w:firstRow="0" w:lastRow="0" w:firstColumn="0" w:lastColumn="0" w:noHBand="0" w:noVBand="0"/>
        <w:tblCaption w:val="Porpuesta de estructura accionaria"/>
        <w:tblDescription w:val="En una tabla de 3 columnas y 5 filas, se proporciona cómo quedaría la estructura accionaria de Telecable de Tierra Caliente, S.A. de C.V. de ser aprobada la solicitud."/>
      </w:tblPr>
      <w:tblGrid>
        <w:gridCol w:w="3350"/>
        <w:gridCol w:w="2421"/>
        <w:gridCol w:w="1792"/>
      </w:tblGrid>
      <w:tr w:rsidR="00245998" w:rsidRPr="00245998" w14:paraId="09AC3B91" w14:textId="77777777" w:rsidTr="00245998">
        <w:trPr>
          <w:trHeight w:val="653"/>
          <w:tblHeader/>
          <w:jc w:val="center"/>
        </w:trPr>
        <w:tc>
          <w:tcPr>
            <w:tcW w:w="3350" w:type="dxa"/>
            <w:shd w:val="clear" w:color="auto" w:fill="BFBFBF" w:themeFill="background1" w:themeFillShade="BF"/>
            <w:noWrap/>
            <w:vAlign w:val="center"/>
          </w:tcPr>
          <w:p w14:paraId="50B9F9CA" w14:textId="3539613B" w:rsidR="00245998" w:rsidRPr="006A1BCD" w:rsidRDefault="00245998" w:rsidP="00245998">
            <w:pPr>
              <w:jc w:val="center"/>
              <w:rPr>
                <w:rFonts w:ascii="ITC Avant Garde" w:hAnsi="ITC Avant Garde" w:cs="Calibri"/>
                <w:b/>
                <w:bCs/>
                <w:color w:val="000000" w:themeColor="text1"/>
                <w:sz w:val="14"/>
                <w:szCs w:val="14"/>
              </w:rPr>
            </w:pPr>
            <w:r w:rsidRPr="006A1BCD">
              <w:rPr>
                <w:rFonts w:ascii="ITC Avant Garde" w:hAnsi="ITC Avant Garde" w:cs="Calibri"/>
                <w:b/>
                <w:bCs/>
                <w:color w:val="000000" w:themeColor="text1"/>
                <w:sz w:val="14"/>
                <w:szCs w:val="14"/>
              </w:rPr>
              <w:t>ACCIONISTAS</w:t>
            </w:r>
          </w:p>
        </w:tc>
        <w:tc>
          <w:tcPr>
            <w:tcW w:w="2421" w:type="dxa"/>
            <w:shd w:val="clear" w:color="auto" w:fill="BFBFBF" w:themeFill="background1" w:themeFillShade="BF"/>
            <w:vAlign w:val="center"/>
          </w:tcPr>
          <w:p w14:paraId="09B0ADA0" w14:textId="50017995" w:rsidR="00245998" w:rsidRPr="006A1BCD" w:rsidRDefault="00245998" w:rsidP="00245998">
            <w:pPr>
              <w:jc w:val="center"/>
              <w:rPr>
                <w:rFonts w:ascii="ITC Avant Garde" w:hAnsi="ITC Avant Garde" w:cs="Calibri"/>
                <w:b/>
                <w:bCs/>
                <w:color w:val="000000" w:themeColor="text1"/>
                <w:sz w:val="14"/>
                <w:szCs w:val="14"/>
              </w:rPr>
            </w:pPr>
            <w:r w:rsidRPr="006A1BCD">
              <w:rPr>
                <w:rFonts w:ascii="ITC Avant Garde" w:hAnsi="ITC Avant Garde" w:cs="Calibri"/>
                <w:b/>
                <w:bCs/>
                <w:color w:val="000000" w:themeColor="text1"/>
                <w:sz w:val="14"/>
                <w:szCs w:val="14"/>
              </w:rPr>
              <w:t>ACCIONES</w:t>
            </w:r>
          </w:p>
        </w:tc>
        <w:tc>
          <w:tcPr>
            <w:tcW w:w="1792" w:type="dxa"/>
            <w:shd w:val="clear" w:color="auto" w:fill="BFBFBF" w:themeFill="background1" w:themeFillShade="BF"/>
            <w:vAlign w:val="center"/>
          </w:tcPr>
          <w:p w14:paraId="5A019489" w14:textId="31655877" w:rsidR="00245998" w:rsidRPr="006A1BCD" w:rsidRDefault="00245998" w:rsidP="00245998">
            <w:pPr>
              <w:jc w:val="center"/>
              <w:rPr>
                <w:rFonts w:ascii="ITC Avant Garde" w:hAnsi="ITC Avant Garde" w:cs="Calibri"/>
                <w:b/>
                <w:bCs/>
                <w:color w:val="000000" w:themeColor="text1"/>
                <w:sz w:val="14"/>
                <w:szCs w:val="14"/>
              </w:rPr>
            </w:pPr>
            <w:r w:rsidRPr="006A1BCD">
              <w:rPr>
                <w:rFonts w:ascii="ITC Avant Garde" w:hAnsi="ITC Avant Garde" w:cs="Calibri"/>
                <w:b/>
                <w:bCs/>
                <w:color w:val="000000" w:themeColor="text1"/>
                <w:sz w:val="14"/>
                <w:szCs w:val="14"/>
              </w:rPr>
              <w:t>PORCENTAJE DE PARTICIPACIÓN</w:t>
            </w:r>
          </w:p>
        </w:tc>
      </w:tr>
      <w:tr w:rsidR="00245998" w:rsidRPr="006A1BCD" w14:paraId="1E50DA83" w14:textId="77777777" w:rsidTr="00245998">
        <w:trPr>
          <w:trHeight w:val="291"/>
          <w:jc w:val="center"/>
        </w:trPr>
        <w:tc>
          <w:tcPr>
            <w:tcW w:w="3350" w:type="dxa"/>
          </w:tcPr>
          <w:p w14:paraId="466BEA03" w14:textId="77777777" w:rsidR="00245998" w:rsidRPr="006A1BCD" w:rsidRDefault="00245998" w:rsidP="00245998">
            <w:pP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María Del Carmen Romero Ramírez</w:t>
            </w:r>
          </w:p>
        </w:tc>
        <w:tc>
          <w:tcPr>
            <w:tcW w:w="2421" w:type="dxa"/>
          </w:tcPr>
          <w:p w14:paraId="34FD61BD" w14:textId="7554E2FA" w:rsidR="00245998" w:rsidRPr="006A1BCD" w:rsidRDefault="00245998" w:rsidP="00245998">
            <w:pPr>
              <w:jc w:val="cente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55</w:t>
            </w:r>
          </w:p>
        </w:tc>
        <w:tc>
          <w:tcPr>
            <w:tcW w:w="1792" w:type="dxa"/>
          </w:tcPr>
          <w:p w14:paraId="779B5D22" w14:textId="22616C4C" w:rsidR="00245998" w:rsidRPr="006A1BCD" w:rsidRDefault="00245998" w:rsidP="00245998">
            <w:pPr>
              <w:jc w:val="center"/>
              <w:rPr>
                <w:rFonts w:ascii="ITC Avant Garde" w:hAnsi="ITC Avant Garde" w:cs="Calibri"/>
                <w:color w:val="000000" w:themeColor="text1"/>
                <w:sz w:val="14"/>
                <w:szCs w:val="14"/>
                <w:highlight w:val="yellow"/>
              </w:rPr>
            </w:pPr>
            <w:r w:rsidRPr="006A1BCD">
              <w:rPr>
                <w:rFonts w:ascii="ITC Avant Garde" w:hAnsi="ITC Avant Garde" w:cs="Calibri"/>
                <w:color w:val="000000" w:themeColor="text1"/>
                <w:sz w:val="14"/>
                <w:szCs w:val="14"/>
              </w:rPr>
              <w:t>55%</w:t>
            </w:r>
          </w:p>
        </w:tc>
      </w:tr>
      <w:tr w:rsidR="00245998" w:rsidRPr="006A1BCD" w14:paraId="4819D138" w14:textId="77777777" w:rsidTr="00245998">
        <w:trPr>
          <w:trHeight w:val="291"/>
          <w:jc w:val="center"/>
        </w:trPr>
        <w:tc>
          <w:tcPr>
            <w:tcW w:w="3350" w:type="dxa"/>
          </w:tcPr>
          <w:p w14:paraId="1EDBA27E" w14:textId="77777777" w:rsidR="00245998" w:rsidRPr="006A1BCD" w:rsidRDefault="00245998" w:rsidP="00245998">
            <w:pP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Rafael Huerta Romero</w:t>
            </w:r>
          </w:p>
        </w:tc>
        <w:tc>
          <w:tcPr>
            <w:tcW w:w="2421" w:type="dxa"/>
          </w:tcPr>
          <w:p w14:paraId="6AF57983" w14:textId="61AF0EF5" w:rsidR="00245998" w:rsidRPr="006A1BCD" w:rsidRDefault="00245998" w:rsidP="00245998">
            <w:pPr>
              <w:jc w:val="cente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15</w:t>
            </w:r>
          </w:p>
        </w:tc>
        <w:tc>
          <w:tcPr>
            <w:tcW w:w="1792" w:type="dxa"/>
          </w:tcPr>
          <w:p w14:paraId="66438A34" w14:textId="05FE3E76" w:rsidR="00245998" w:rsidRPr="006A1BCD" w:rsidRDefault="00245998" w:rsidP="00245998">
            <w:pPr>
              <w:jc w:val="center"/>
              <w:rPr>
                <w:rFonts w:ascii="ITC Avant Garde" w:hAnsi="ITC Avant Garde" w:cs="Calibri"/>
                <w:color w:val="000000" w:themeColor="text1"/>
                <w:sz w:val="14"/>
                <w:szCs w:val="14"/>
                <w:highlight w:val="yellow"/>
              </w:rPr>
            </w:pPr>
            <w:r w:rsidRPr="006A1BCD">
              <w:rPr>
                <w:rFonts w:ascii="ITC Avant Garde" w:hAnsi="ITC Avant Garde" w:cs="Calibri"/>
                <w:color w:val="000000" w:themeColor="text1"/>
                <w:sz w:val="14"/>
                <w:szCs w:val="14"/>
              </w:rPr>
              <w:t>15%</w:t>
            </w:r>
          </w:p>
        </w:tc>
      </w:tr>
      <w:tr w:rsidR="00245998" w:rsidRPr="006A1BCD" w14:paraId="392A9207" w14:textId="77777777" w:rsidTr="00245998">
        <w:trPr>
          <w:trHeight w:val="291"/>
          <w:jc w:val="center"/>
        </w:trPr>
        <w:tc>
          <w:tcPr>
            <w:tcW w:w="3350" w:type="dxa"/>
          </w:tcPr>
          <w:p w14:paraId="217C3381" w14:textId="77777777" w:rsidR="00245998" w:rsidRPr="006A1BCD" w:rsidRDefault="00245998" w:rsidP="00245998">
            <w:pP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Francisco Javier Huerta Romero</w:t>
            </w:r>
          </w:p>
        </w:tc>
        <w:tc>
          <w:tcPr>
            <w:tcW w:w="2421" w:type="dxa"/>
          </w:tcPr>
          <w:p w14:paraId="34D08D64" w14:textId="3CEB74E3" w:rsidR="00245998" w:rsidRPr="006A1BCD" w:rsidRDefault="00245998" w:rsidP="00245998">
            <w:pPr>
              <w:jc w:val="cente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15</w:t>
            </w:r>
          </w:p>
        </w:tc>
        <w:tc>
          <w:tcPr>
            <w:tcW w:w="1792" w:type="dxa"/>
          </w:tcPr>
          <w:p w14:paraId="3FCD11A4" w14:textId="211D14C4" w:rsidR="00245998" w:rsidRPr="006A1BCD" w:rsidRDefault="00245998" w:rsidP="00245998">
            <w:pPr>
              <w:jc w:val="cente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15%</w:t>
            </w:r>
          </w:p>
        </w:tc>
      </w:tr>
      <w:tr w:rsidR="00245998" w:rsidRPr="006A1BCD" w14:paraId="14BF33BB" w14:textId="77777777" w:rsidTr="00245998">
        <w:trPr>
          <w:trHeight w:val="291"/>
          <w:jc w:val="center"/>
        </w:trPr>
        <w:tc>
          <w:tcPr>
            <w:tcW w:w="3350" w:type="dxa"/>
          </w:tcPr>
          <w:p w14:paraId="3130DB07" w14:textId="77777777" w:rsidR="00245998" w:rsidRPr="006A1BCD" w:rsidRDefault="00245998" w:rsidP="00245998">
            <w:pP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Juan José Huerta Romero</w:t>
            </w:r>
          </w:p>
        </w:tc>
        <w:tc>
          <w:tcPr>
            <w:tcW w:w="2421" w:type="dxa"/>
          </w:tcPr>
          <w:p w14:paraId="3A4F7622" w14:textId="23FA2E81" w:rsidR="00245998" w:rsidRPr="006A1BCD" w:rsidRDefault="00245998" w:rsidP="00245998">
            <w:pPr>
              <w:jc w:val="cente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15</w:t>
            </w:r>
          </w:p>
        </w:tc>
        <w:tc>
          <w:tcPr>
            <w:tcW w:w="1792" w:type="dxa"/>
          </w:tcPr>
          <w:p w14:paraId="1573C0FC" w14:textId="1D0193E2" w:rsidR="00245998" w:rsidRPr="006A1BCD" w:rsidRDefault="00245998" w:rsidP="00245998">
            <w:pPr>
              <w:jc w:val="cente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15%</w:t>
            </w:r>
          </w:p>
        </w:tc>
      </w:tr>
      <w:tr w:rsidR="00245998" w:rsidRPr="006A1BCD" w14:paraId="4FAEA05D" w14:textId="77777777" w:rsidTr="00245998">
        <w:trPr>
          <w:trHeight w:val="255"/>
          <w:jc w:val="center"/>
        </w:trPr>
        <w:tc>
          <w:tcPr>
            <w:tcW w:w="3350" w:type="dxa"/>
          </w:tcPr>
          <w:p w14:paraId="0630388C" w14:textId="77777777" w:rsidR="00245998" w:rsidRPr="006A1BCD" w:rsidRDefault="00245998" w:rsidP="00245998">
            <w:pPr>
              <w:jc w:val="center"/>
              <w:rPr>
                <w:rFonts w:ascii="ITC Avant Garde" w:hAnsi="ITC Avant Garde" w:cs="Calibri"/>
                <w:b/>
                <w:color w:val="000000" w:themeColor="text1"/>
                <w:sz w:val="14"/>
                <w:szCs w:val="14"/>
              </w:rPr>
            </w:pPr>
            <w:r w:rsidRPr="006A1BCD">
              <w:rPr>
                <w:rFonts w:ascii="ITC Avant Garde" w:hAnsi="ITC Avant Garde" w:cs="Calibri"/>
                <w:b/>
                <w:color w:val="000000" w:themeColor="text1"/>
                <w:sz w:val="14"/>
                <w:szCs w:val="14"/>
              </w:rPr>
              <w:t>Total de Acciones</w:t>
            </w:r>
          </w:p>
        </w:tc>
        <w:tc>
          <w:tcPr>
            <w:tcW w:w="2421" w:type="dxa"/>
          </w:tcPr>
          <w:p w14:paraId="02F5FB66" w14:textId="7E536A20" w:rsidR="00245998" w:rsidRPr="006A1BCD" w:rsidRDefault="00245998" w:rsidP="00245998">
            <w:pPr>
              <w:jc w:val="center"/>
              <w:rPr>
                <w:rFonts w:ascii="ITC Avant Garde" w:hAnsi="ITC Avant Garde" w:cs="Calibri"/>
                <w:b/>
                <w:color w:val="000000" w:themeColor="text1"/>
                <w:sz w:val="14"/>
                <w:szCs w:val="14"/>
              </w:rPr>
            </w:pPr>
            <w:r w:rsidRPr="006A1BCD">
              <w:rPr>
                <w:rFonts w:ascii="ITC Avant Garde" w:hAnsi="ITC Avant Garde" w:cs="Calibri"/>
                <w:b/>
                <w:color w:val="000000" w:themeColor="text1"/>
                <w:sz w:val="14"/>
                <w:szCs w:val="14"/>
              </w:rPr>
              <w:t>100</w:t>
            </w:r>
          </w:p>
        </w:tc>
        <w:tc>
          <w:tcPr>
            <w:tcW w:w="1792" w:type="dxa"/>
          </w:tcPr>
          <w:p w14:paraId="31BA35CC" w14:textId="0464F444" w:rsidR="00245998" w:rsidRPr="006A1BCD" w:rsidRDefault="00245998" w:rsidP="00245998">
            <w:pPr>
              <w:jc w:val="center"/>
              <w:rPr>
                <w:rFonts w:ascii="ITC Avant Garde" w:hAnsi="ITC Avant Garde" w:cs="Calibri"/>
                <w:b/>
                <w:color w:val="000000" w:themeColor="text1"/>
                <w:sz w:val="14"/>
                <w:szCs w:val="14"/>
              </w:rPr>
            </w:pPr>
            <w:r w:rsidRPr="006A1BCD">
              <w:rPr>
                <w:rFonts w:ascii="ITC Avant Garde" w:hAnsi="ITC Avant Garde" w:cs="Calibri"/>
                <w:b/>
                <w:color w:val="000000" w:themeColor="text1"/>
                <w:sz w:val="14"/>
                <w:szCs w:val="14"/>
              </w:rPr>
              <w:t>100%</w:t>
            </w:r>
          </w:p>
        </w:tc>
      </w:tr>
    </w:tbl>
    <w:p w14:paraId="5111E372" w14:textId="77777777" w:rsidR="006A1BCD" w:rsidRPr="006A1BCD" w:rsidRDefault="00F80A22" w:rsidP="006A1BCD">
      <w:pPr>
        <w:autoSpaceDE w:val="0"/>
        <w:autoSpaceDN w:val="0"/>
        <w:adjustRightInd w:val="0"/>
        <w:spacing w:before="240" w:after="240"/>
        <w:jc w:val="both"/>
        <w:rPr>
          <w:rFonts w:ascii="ITC Avant Garde" w:hAnsi="ITC Avant Garde"/>
          <w:bCs/>
          <w:color w:val="000000" w:themeColor="text1"/>
          <w:sz w:val="22"/>
          <w:szCs w:val="22"/>
        </w:rPr>
      </w:pPr>
      <w:r w:rsidRPr="006A1BCD">
        <w:rPr>
          <w:rFonts w:ascii="ITC Avant Garde" w:hAnsi="ITC Avant Garde"/>
          <w:bCs/>
          <w:color w:val="000000" w:themeColor="text1"/>
          <w:sz w:val="22"/>
          <w:szCs w:val="22"/>
        </w:rPr>
        <w:t xml:space="preserve">Por otra parte, la Dirección General de Concentraciones y Concesiones, adscrita a la Unidad de Competencia Económica, emitió opinión respecto de la Solicitud de </w:t>
      </w:r>
      <w:r w:rsidR="00270AF5" w:rsidRPr="006A1BCD">
        <w:rPr>
          <w:rFonts w:ascii="ITC Avant Garde" w:hAnsi="ITC Avant Garde"/>
          <w:bCs/>
          <w:color w:val="000000" w:themeColor="text1"/>
          <w:sz w:val="22"/>
          <w:szCs w:val="22"/>
        </w:rPr>
        <w:t>Enajenación</w:t>
      </w:r>
      <w:r w:rsidRPr="006A1BCD">
        <w:rPr>
          <w:rFonts w:ascii="ITC Avant Garde" w:hAnsi="ITC Avant Garde"/>
          <w:bCs/>
          <w:color w:val="000000" w:themeColor="text1"/>
          <w:sz w:val="22"/>
          <w:szCs w:val="22"/>
        </w:rPr>
        <w:t xml:space="preserve"> de </w:t>
      </w:r>
      <w:r w:rsidRPr="00245998">
        <w:rPr>
          <w:rFonts w:ascii="ITC Avant Garde" w:hAnsi="ITC Avant Garde"/>
          <w:bCs/>
          <w:color w:val="000000" w:themeColor="text1"/>
          <w:sz w:val="22"/>
          <w:szCs w:val="22"/>
          <w:lang w:val="es-MX" w:eastAsia="es-MX"/>
        </w:rPr>
        <w:t>Acciones</w:t>
      </w:r>
      <w:r w:rsidR="009C4F5E" w:rsidRPr="006A1BCD">
        <w:rPr>
          <w:rFonts w:ascii="ITC Avant Garde" w:hAnsi="ITC Avant Garde"/>
          <w:bCs/>
          <w:color w:val="000000" w:themeColor="text1"/>
          <w:sz w:val="22"/>
          <w:szCs w:val="22"/>
        </w:rPr>
        <w:t xml:space="preserve"> a través del oficio IFT/226/UCE/DG-CCON/</w:t>
      </w:r>
      <w:r w:rsidR="00A82513" w:rsidRPr="006A1BCD">
        <w:rPr>
          <w:rFonts w:ascii="ITC Avant Garde" w:hAnsi="ITC Avant Garde"/>
          <w:bCs/>
          <w:color w:val="000000" w:themeColor="text1"/>
          <w:sz w:val="22"/>
          <w:szCs w:val="22"/>
        </w:rPr>
        <w:t>471</w:t>
      </w:r>
      <w:r w:rsidR="009C4F5E" w:rsidRPr="006A1BCD">
        <w:rPr>
          <w:rFonts w:ascii="ITC Avant Garde" w:hAnsi="ITC Avant Garde"/>
          <w:bCs/>
          <w:color w:val="000000" w:themeColor="text1"/>
          <w:sz w:val="22"/>
          <w:szCs w:val="22"/>
        </w:rPr>
        <w:t xml:space="preserve">/2017 de fecha </w:t>
      </w:r>
      <w:r w:rsidR="00A82513" w:rsidRPr="006A1BCD">
        <w:rPr>
          <w:rFonts w:ascii="ITC Avant Garde" w:hAnsi="ITC Avant Garde"/>
          <w:bCs/>
          <w:color w:val="000000" w:themeColor="text1"/>
          <w:sz w:val="22"/>
          <w:szCs w:val="22"/>
        </w:rPr>
        <w:t>3</w:t>
      </w:r>
      <w:r w:rsidR="009C4F5E" w:rsidRPr="006A1BCD">
        <w:rPr>
          <w:rFonts w:ascii="ITC Avant Garde" w:hAnsi="ITC Avant Garde"/>
          <w:bCs/>
          <w:color w:val="000000" w:themeColor="text1"/>
          <w:sz w:val="22"/>
          <w:szCs w:val="22"/>
        </w:rPr>
        <w:t xml:space="preserve"> de </w:t>
      </w:r>
      <w:r w:rsidR="00A82513" w:rsidRPr="006A1BCD">
        <w:rPr>
          <w:rFonts w:ascii="ITC Avant Garde" w:hAnsi="ITC Avant Garde"/>
          <w:bCs/>
          <w:color w:val="000000" w:themeColor="text1"/>
          <w:sz w:val="22"/>
          <w:szCs w:val="22"/>
        </w:rPr>
        <w:t>julio</w:t>
      </w:r>
      <w:r w:rsidR="009C4F5E" w:rsidRPr="006A1BCD">
        <w:rPr>
          <w:rFonts w:ascii="ITC Avant Garde" w:hAnsi="ITC Avant Garde"/>
          <w:bCs/>
          <w:color w:val="000000" w:themeColor="text1"/>
          <w:sz w:val="22"/>
          <w:szCs w:val="22"/>
        </w:rPr>
        <w:t xml:space="preserve"> de 2017</w:t>
      </w:r>
      <w:r w:rsidRPr="006A1BCD">
        <w:rPr>
          <w:rFonts w:ascii="ITC Avant Garde" w:hAnsi="ITC Avant Garde"/>
          <w:bCs/>
          <w:color w:val="000000" w:themeColor="text1"/>
          <w:sz w:val="22"/>
          <w:szCs w:val="22"/>
        </w:rPr>
        <w:t xml:space="preserve">, </w:t>
      </w:r>
      <w:r w:rsidR="009C4F5E" w:rsidRPr="006A1BCD">
        <w:rPr>
          <w:rFonts w:ascii="ITC Avant Garde" w:hAnsi="ITC Avant Garde"/>
          <w:bCs/>
          <w:color w:val="000000" w:themeColor="text1"/>
          <w:sz w:val="22"/>
          <w:szCs w:val="22"/>
        </w:rPr>
        <w:t>concluyendo</w:t>
      </w:r>
      <w:r w:rsidRPr="006A1BCD">
        <w:rPr>
          <w:rFonts w:ascii="ITC Avant Garde" w:hAnsi="ITC Avant Garde"/>
          <w:bCs/>
          <w:color w:val="000000" w:themeColor="text1"/>
          <w:sz w:val="22"/>
          <w:szCs w:val="22"/>
        </w:rPr>
        <w:t xml:space="preserve"> lo siguiente:</w:t>
      </w:r>
    </w:p>
    <w:p w14:paraId="6CCEDC52" w14:textId="77777777" w:rsidR="006A1BCD" w:rsidRPr="006A1BCD" w:rsidRDefault="00366A97" w:rsidP="00245998">
      <w:pPr>
        <w:autoSpaceDE w:val="0"/>
        <w:autoSpaceDN w:val="0"/>
        <w:adjustRightInd w:val="0"/>
        <w:spacing w:before="240" w:after="240"/>
        <w:ind w:left="709" w:right="615"/>
        <w:jc w:val="both"/>
        <w:rPr>
          <w:rFonts w:ascii="ITC Avant Garde" w:hAnsi="ITC Avant Garde"/>
          <w:bCs/>
          <w:color w:val="000000" w:themeColor="text1"/>
          <w:sz w:val="18"/>
          <w:szCs w:val="18"/>
        </w:rPr>
      </w:pPr>
      <w:r w:rsidRPr="006A1BCD">
        <w:rPr>
          <w:rFonts w:ascii="ITC Avant Garde" w:hAnsi="ITC Avant Garde"/>
          <w:bCs/>
          <w:color w:val="000000" w:themeColor="text1"/>
          <w:sz w:val="18"/>
          <w:szCs w:val="18"/>
        </w:rPr>
        <w:t>“</w:t>
      </w:r>
      <w:r w:rsidR="004115B1" w:rsidRPr="006A1BCD">
        <w:rPr>
          <w:rFonts w:ascii="ITC Avant Garde" w:hAnsi="ITC Avant Garde"/>
          <w:bCs/>
          <w:color w:val="000000" w:themeColor="text1"/>
          <w:sz w:val="18"/>
          <w:szCs w:val="18"/>
        </w:rPr>
        <w:t xml:space="preserve">Con base en la información disponible, se concluye que la enajenación de la totalidad de las acciones representativas del capital social de la empresa </w:t>
      </w:r>
      <w:proofErr w:type="spellStart"/>
      <w:r w:rsidR="004115B1" w:rsidRPr="006A1BCD">
        <w:rPr>
          <w:rFonts w:ascii="ITC Avant Garde" w:hAnsi="ITC Avant Garde"/>
          <w:bCs/>
          <w:color w:val="000000" w:themeColor="text1"/>
          <w:sz w:val="18"/>
          <w:szCs w:val="18"/>
        </w:rPr>
        <w:t>Telecable</w:t>
      </w:r>
      <w:proofErr w:type="spellEnd"/>
      <w:r w:rsidR="004115B1" w:rsidRPr="006A1BCD">
        <w:rPr>
          <w:rFonts w:ascii="ITC Avant Garde" w:hAnsi="ITC Avant Garde"/>
          <w:bCs/>
          <w:color w:val="000000" w:themeColor="text1"/>
          <w:sz w:val="18"/>
          <w:szCs w:val="18"/>
        </w:rPr>
        <w:t xml:space="preserve"> de Tierra Caliente, S.A. de C.V., por parte de su actual accionista Martín Antonio Huerta Carbajal, a favor de María del Carmen Romero Ramírez, previsiblemente no tendría efectos contrarios al proceso de competencia y libre concurrencia en la provisión de servicios de telecomunicaciones en México, y en particular en el servicio televisión restringida por cable y trasmisión bidireccional de datos en las localidades de San Lucas, Vicente Riva Palacio (Riva Palacio), Salguero, Santa Cruz De Villa Gomez, del Municipio de San Lucas, en el Estado de Michoacán; </w:t>
      </w:r>
      <w:proofErr w:type="spellStart"/>
      <w:r w:rsidR="004115B1" w:rsidRPr="006A1BCD">
        <w:rPr>
          <w:rFonts w:ascii="ITC Avant Garde" w:hAnsi="ITC Avant Garde"/>
          <w:bCs/>
          <w:color w:val="000000" w:themeColor="text1"/>
          <w:sz w:val="18"/>
          <w:szCs w:val="18"/>
        </w:rPr>
        <w:t>Tlapehuala</w:t>
      </w:r>
      <w:proofErr w:type="spellEnd"/>
      <w:r w:rsidR="004115B1" w:rsidRPr="006A1BCD">
        <w:rPr>
          <w:rFonts w:ascii="ITC Avant Garde" w:hAnsi="ITC Avant Garde"/>
          <w:bCs/>
          <w:color w:val="000000" w:themeColor="text1"/>
          <w:sz w:val="18"/>
          <w:szCs w:val="18"/>
        </w:rPr>
        <w:t xml:space="preserve">, San José </w:t>
      </w:r>
      <w:proofErr w:type="spellStart"/>
      <w:r w:rsidR="004115B1" w:rsidRPr="006A1BCD">
        <w:rPr>
          <w:rFonts w:ascii="ITC Avant Garde" w:hAnsi="ITC Avant Garde"/>
          <w:bCs/>
          <w:color w:val="000000" w:themeColor="text1"/>
          <w:sz w:val="18"/>
          <w:szCs w:val="18"/>
        </w:rPr>
        <w:t>Poliutla</w:t>
      </w:r>
      <w:proofErr w:type="spellEnd"/>
      <w:r w:rsidR="004115B1" w:rsidRPr="006A1BCD">
        <w:rPr>
          <w:rFonts w:ascii="ITC Avant Garde" w:hAnsi="ITC Avant Garde"/>
          <w:bCs/>
          <w:color w:val="000000" w:themeColor="text1"/>
          <w:sz w:val="18"/>
          <w:szCs w:val="18"/>
        </w:rPr>
        <w:t xml:space="preserve">, del municipio de </w:t>
      </w:r>
      <w:proofErr w:type="spellStart"/>
      <w:r w:rsidR="004115B1" w:rsidRPr="006A1BCD">
        <w:rPr>
          <w:rFonts w:ascii="ITC Avant Garde" w:hAnsi="ITC Avant Garde"/>
          <w:bCs/>
          <w:color w:val="000000" w:themeColor="text1"/>
          <w:sz w:val="18"/>
          <w:szCs w:val="18"/>
        </w:rPr>
        <w:t>Tlapehuala</w:t>
      </w:r>
      <w:proofErr w:type="spellEnd"/>
      <w:r w:rsidR="004115B1" w:rsidRPr="006A1BCD">
        <w:rPr>
          <w:rFonts w:ascii="ITC Avant Garde" w:hAnsi="ITC Avant Garde"/>
          <w:bCs/>
          <w:color w:val="000000" w:themeColor="text1"/>
          <w:sz w:val="18"/>
          <w:szCs w:val="18"/>
        </w:rPr>
        <w:t xml:space="preserve">, en el Estado de Guerrero; </w:t>
      </w:r>
      <w:proofErr w:type="spellStart"/>
      <w:r w:rsidR="004115B1" w:rsidRPr="006A1BCD">
        <w:rPr>
          <w:rFonts w:ascii="ITC Avant Garde" w:hAnsi="ITC Avant Garde"/>
          <w:bCs/>
          <w:color w:val="000000" w:themeColor="text1"/>
          <w:sz w:val="18"/>
          <w:szCs w:val="18"/>
        </w:rPr>
        <w:t>Huetamo</w:t>
      </w:r>
      <w:proofErr w:type="spellEnd"/>
      <w:r w:rsidR="004115B1" w:rsidRPr="006A1BCD">
        <w:rPr>
          <w:rFonts w:ascii="ITC Avant Garde" w:hAnsi="ITC Avant Garde"/>
          <w:bCs/>
          <w:color w:val="000000" w:themeColor="text1"/>
          <w:sz w:val="18"/>
          <w:szCs w:val="18"/>
        </w:rPr>
        <w:t xml:space="preserve">, Michoacán y Ciudad Altamirano, Arcelia, Coyuca De </w:t>
      </w:r>
      <w:proofErr w:type="spellStart"/>
      <w:r w:rsidR="004115B1" w:rsidRPr="006A1BCD">
        <w:rPr>
          <w:rFonts w:ascii="ITC Avant Garde" w:hAnsi="ITC Avant Garde"/>
          <w:bCs/>
          <w:color w:val="000000" w:themeColor="text1"/>
          <w:sz w:val="18"/>
          <w:szCs w:val="18"/>
        </w:rPr>
        <w:t>Catalan</w:t>
      </w:r>
      <w:proofErr w:type="spellEnd"/>
      <w:r w:rsidR="004115B1" w:rsidRPr="006A1BCD">
        <w:rPr>
          <w:rFonts w:ascii="ITC Avant Garde" w:hAnsi="ITC Avant Garde"/>
          <w:bCs/>
          <w:color w:val="000000" w:themeColor="text1"/>
          <w:sz w:val="18"/>
          <w:szCs w:val="18"/>
        </w:rPr>
        <w:t xml:space="preserve">, Cutzamala y </w:t>
      </w:r>
      <w:proofErr w:type="spellStart"/>
      <w:r w:rsidR="004115B1" w:rsidRPr="006A1BCD">
        <w:rPr>
          <w:rFonts w:ascii="ITC Avant Garde" w:hAnsi="ITC Avant Garde"/>
          <w:bCs/>
          <w:color w:val="000000" w:themeColor="text1"/>
          <w:sz w:val="18"/>
          <w:szCs w:val="18"/>
        </w:rPr>
        <w:t>Zirandaro</w:t>
      </w:r>
      <w:proofErr w:type="spellEnd"/>
      <w:r w:rsidR="004115B1" w:rsidRPr="006A1BCD">
        <w:rPr>
          <w:rFonts w:ascii="ITC Avant Garde" w:hAnsi="ITC Avant Garde"/>
          <w:bCs/>
          <w:color w:val="000000" w:themeColor="text1"/>
          <w:sz w:val="18"/>
          <w:szCs w:val="18"/>
        </w:rPr>
        <w:t xml:space="preserve">, Guerrero. Ello en virtud de que 1) la Operación, solamente se tratará de una </w:t>
      </w:r>
      <w:r w:rsidR="004115B1" w:rsidRPr="006A1BCD">
        <w:rPr>
          <w:rFonts w:ascii="ITC Avant Garde" w:hAnsi="ITC Avant Garde"/>
          <w:bCs/>
          <w:color w:val="000000" w:themeColor="text1"/>
          <w:sz w:val="18"/>
          <w:szCs w:val="18"/>
        </w:rPr>
        <w:lastRenderedPageBreak/>
        <w:t>reestructura ya que antes y después de la misma el control se ejerce por parte de la Familia Huerta Romero; 2) María del Carmen Romero Ramírez no es titular de concesiones y/o permisos en México ni cuenta con participación alguna en otras sociedades dedicadas a los sectores de telecomunicaciones y/o radiodifusión ni forma parte del Consejo de administración o detente cargos de dirección en empresas, sociedades o asociaciones en México, relacionadas con los sectores de telecomunicaciones o radiodifusión</w:t>
      </w:r>
      <w:r w:rsidR="00BE741F" w:rsidRPr="006A1BCD">
        <w:rPr>
          <w:rFonts w:ascii="ITC Avant Garde" w:hAnsi="ITC Avant Garde"/>
          <w:bCs/>
          <w:color w:val="000000" w:themeColor="text1"/>
          <w:sz w:val="18"/>
          <w:szCs w:val="18"/>
        </w:rPr>
        <w:t>.”</w:t>
      </w:r>
      <w:r w:rsidR="004115B1" w:rsidRPr="006A1BCD">
        <w:rPr>
          <w:rFonts w:ascii="ITC Avant Garde" w:hAnsi="ITC Avant Garde"/>
          <w:bCs/>
          <w:color w:val="000000" w:themeColor="text1"/>
          <w:sz w:val="18"/>
          <w:szCs w:val="18"/>
        </w:rPr>
        <w:t xml:space="preserve"> (Sic)</w:t>
      </w:r>
    </w:p>
    <w:p w14:paraId="2240C13B" w14:textId="2396D750" w:rsidR="006A1BCD" w:rsidRPr="006A1BCD" w:rsidRDefault="00D138C0" w:rsidP="006A1BCD">
      <w:pPr>
        <w:autoSpaceDE w:val="0"/>
        <w:autoSpaceDN w:val="0"/>
        <w:adjustRightInd w:val="0"/>
        <w:spacing w:before="240" w:after="240"/>
        <w:jc w:val="both"/>
        <w:rPr>
          <w:rFonts w:ascii="ITC Avant Garde" w:hAnsi="ITC Avant Garde"/>
          <w:bCs/>
          <w:color w:val="000000" w:themeColor="text1"/>
          <w:sz w:val="22"/>
          <w:szCs w:val="22"/>
        </w:rPr>
      </w:pPr>
      <w:r w:rsidRPr="006A1BCD">
        <w:rPr>
          <w:rFonts w:ascii="ITC Avant Garde" w:hAnsi="ITC Avant Garde"/>
          <w:bCs/>
          <w:color w:val="000000" w:themeColor="text1"/>
          <w:sz w:val="22"/>
          <w:szCs w:val="22"/>
        </w:rPr>
        <w:t>Por lo que se refiere al segundo requisito de procedencia, el 25 de mayo</w:t>
      </w:r>
      <w:r w:rsidR="004115B1" w:rsidRPr="006A1BCD">
        <w:rPr>
          <w:rFonts w:ascii="ITC Avant Garde" w:hAnsi="ITC Avant Garde"/>
          <w:bCs/>
          <w:color w:val="000000" w:themeColor="text1"/>
          <w:sz w:val="22"/>
          <w:szCs w:val="22"/>
        </w:rPr>
        <w:t xml:space="preserve"> de 2017</w:t>
      </w:r>
      <w:r w:rsidRPr="006A1BCD">
        <w:rPr>
          <w:rFonts w:ascii="ITC Avant Garde" w:hAnsi="ITC Avant Garde"/>
          <w:bCs/>
          <w:color w:val="000000" w:themeColor="text1"/>
          <w:sz w:val="22"/>
          <w:szCs w:val="22"/>
        </w:rPr>
        <w:t xml:space="preserve"> </w:t>
      </w:r>
      <w:proofErr w:type="spellStart"/>
      <w:r w:rsidRPr="006A1BCD">
        <w:rPr>
          <w:rFonts w:ascii="ITC Avant Garde" w:hAnsi="ITC Avant Garde"/>
          <w:bCs/>
          <w:color w:val="000000" w:themeColor="text1"/>
          <w:sz w:val="22"/>
          <w:szCs w:val="22"/>
        </w:rPr>
        <w:t>Telecable</w:t>
      </w:r>
      <w:proofErr w:type="spellEnd"/>
      <w:r w:rsidRPr="006A1BCD">
        <w:rPr>
          <w:rFonts w:ascii="ITC Avant Garde" w:hAnsi="ITC Avant Garde"/>
          <w:bCs/>
          <w:color w:val="000000" w:themeColor="text1"/>
          <w:sz w:val="22"/>
          <w:szCs w:val="22"/>
        </w:rPr>
        <w:t xml:space="preserve"> de Tierra Caliente, S.A. de C.V.</w:t>
      </w:r>
      <w:r w:rsidR="000606FB" w:rsidRPr="006A1BCD">
        <w:rPr>
          <w:rFonts w:ascii="ITC Avant Garde" w:hAnsi="ITC Avant Garde"/>
          <w:bCs/>
          <w:color w:val="000000" w:themeColor="text1"/>
          <w:sz w:val="22"/>
          <w:szCs w:val="22"/>
        </w:rPr>
        <w:t>,</w:t>
      </w:r>
      <w:r w:rsidRPr="006A1BCD">
        <w:rPr>
          <w:rFonts w:ascii="ITC Avant Garde" w:hAnsi="ITC Avant Garde"/>
          <w:bCs/>
          <w:color w:val="000000" w:themeColor="text1"/>
          <w:sz w:val="22"/>
          <w:szCs w:val="22"/>
        </w:rPr>
        <w:t xml:space="preserve"> acompañó a la Solicitud de Enajenación de Acciones la factura con número de folio 170006266, por el estudio y, en su caso, la autorización de </w:t>
      </w:r>
      <w:r w:rsidRPr="00245998">
        <w:rPr>
          <w:rFonts w:ascii="ITC Avant Garde" w:hAnsi="ITC Avant Garde"/>
          <w:bCs/>
          <w:color w:val="000000" w:themeColor="text1"/>
          <w:sz w:val="22"/>
          <w:szCs w:val="22"/>
          <w:lang w:val="es-MX" w:eastAsia="es-MX"/>
        </w:rPr>
        <w:t>solicitudes</w:t>
      </w:r>
      <w:r w:rsidRPr="006A1BCD">
        <w:rPr>
          <w:rFonts w:ascii="ITC Avant Garde" w:hAnsi="ITC Avant Garde"/>
          <w:bCs/>
          <w:color w:val="000000" w:themeColor="text1"/>
          <w:sz w:val="22"/>
          <w:szCs w:val="22"/>
        </w:rPr>
        <w:t xml:space="preserve"> de modificaciones técnicas, administrativas, operativas y legales, relativa a la suscripción o enajenación de acciones o partes sociales que requiera autorización en términos de la Ley, atendiendo de esta forma a lo dispuesto por el artículo 174-C fracción VII de la Ley Federal de Derechos.</w:t>
      </w:r>
    </w:p>
    <w:p w14:paraId="5A629E52" w14:textId="77777777" w:rsidR="006A1BCD" w:rsidRPr="006A1BCD" w:rsidRDefault="004A16AA" w:rsidP="00245998">
      <w:pPr>
        <w:autoSpaceDE w:val="0"/>
        <w:autoSpaceDN w:val="0"/>
        <w:adjustRightInd w:val="0"/>
        <w:spacing w:before="240" w:after="240"/>
        <w:jc w:val="both"/>
        <w:rPr>
          <w:rFonts w:ascii="ITC Avant Garde" w:hAnsi="ITC Avant Garde"/>
          <w:bCs/>
          <w:color w:val="000000" w:themeColor="text1"/>
          <w:sz w:val="22"/>
          <w:szCs w:val="22"/>
        </w:rPr>
      </w:pPr>
      <w:r w:rsidRPr="006A1BCD">
        <w:rPr>
          <w:rFonts w:ascii="ITC Avant Garde" w:hAnsi="ITC Avant Garde"/>
          <w:bCs/>
          <w:color w:val="000000" w:themeColor="text1"/>
          <w:sz w:val="22"/>
          <w:szCs w:val="22"/>
        </w:rPr>
        <w:t>Por otra parte</w:t>
      </w:r>
      <w:r w:rsidR="007C242C" w:rsidRPr="006A1BCD">
        <w:rPr>
          <w:rFonts w:ascii="ITC Avant Garde" w:hAnsi="ITC Avant Garde"/>
          <w:bCs/>
          <w:color w:val="000000" w:themeColor="text1"/>
          <w:sz w:val="22"/>
          <w:szCs w:val="22"/>
        </w:rPr>
        <w:t>, en relación con lo señalado en el párrafo décimo séptimo del artículo 28 de la Constitución, a través del oficio IFT/223/UCS/</w:t>
      </w:r>
      <w:r w:rsidR="001419EB" w:rsidRPr="006A1BCD">
        <w:rPr>
          <w:rFonts w:ascii="ITC Avant Garde" w:hAnsi="ITC Avant Garde"/>
          <w:bCs/>
          <w:color w:val="000000" w:themeColor="text1"/>
          <w:sz w:val="22"/>
          <w:szCs w:val="22"/>
        </w:rPr>
        <w:t>8</w:t>
      </w:r>
      <w:r w:rsidR="001978F5" w:rsidRPr="006A1BCD">
        <w:rPr>
          <w:rFonts w:ascii="ITC Avant Garde" w:hAnsi="ITC Avant Garde"/>
          <w:bCs/>
          <w:color w:val="000000" w:themeColor="text1"/>
          <w:sz w:val="22"/>
          <w:szCs w:val="22"/>
        </w:rPr>
        <w:t>34</w:t>
      </w:r>
      <w:r w:rsidR="007C242C" w:rsidRPr="006A1BCD">
        <w:rPr>
          <w:rFonts w:ascii="ITC Avant Garde" w:hAnsi="ITC Avant Garde"/>
          <w:bCs/>
          <w:color w:val="000000" w:themeColor="text1"/>
          <w:sz w:val="22"/>
          <w:szCs w:val="22"/>
        </w:rPr>
        <w:t xml:space="preserve">/2017 notificado el </w:t>
      </w:r>
      <w:r w:rsidR="001419EB" w:rsidRPr="006A1BCD">
        <w:rPr>
          <w:rFonts w:ascii="ITC Avant Garde" w:hAnsi="ITC Avant Garde"/>
          <w:bCs/>
          <w:color w:val="000000" w:themeColor="text1"/>
          <w:sz w:val="22"/>
          <w:szCs w:val="22"/>
        </w:rPr>
        <w:t>5</w:t>
      </w:r>
      <w:r w:rsidR="007C242C" w:rsidRPr="006A1BCD">
        <w:rPr>
          <w:rFonts w:ascii="ITC Avant Garde" w:hAnsi="ITC Avant Garde"/>
          <w:bCs/>
          <w:color w:val="000000" w:themeColor="text1"/>
          <w:sz w:val="22"/>
          <w:szCs w:val="22"/>
        </w:rPr>
        <w:t xml:space="preserve"> de </w:t>
      </w:r>
      <w:r w:rsidR="001978F5" w:rsidRPr="006A1BCD">
        <w:rPr>
          <w:rFonts w:ascii="ITC Avant Garde" w:hAnsi="ITC Avant Garde"/>
          <w:bCs/>
          <w:color w:val="000000" w:themeColor="text1"/>
          <w:sz w:val="22"/>
          <w:szCs w:val="22"/>
        </w:rPr>
        <w:t>junio</w:t>
      </w:r>
      <w:r w:rsidR="007C242C" w:rsidRPr="006A1BCD">
        <w:rPr>
          <w:rFonts w:ascii="ITC Avant Garde" w:hAnsi="ITC Avant Garde"/>
          <w:bCs/>
          <w:color w:val="000000" w:themeColor="text1"/>
          <w:sz w:val="22"/>
          <w:szCs w:val="22"/>
        </w:rPr>
        <w:t xml:space="preserve"> de 2017, el Instituto solicitó a la Secretaría opinión técnica correspondiente a la Solicitud de </w:t>
      </w:r>
      <w:r w:rsidR="001419EB" w:rsidRPr="006A1BCD">
        <w:rPr>
          <w:rFonts w:ascii="ITC Avant Garde" w:hAnsi="ITC Avant Garde"/>
          <w:bCs/>
          <w:color w:val="000000" w:themeColor="text1"/>
          <w:sz w:val="22"/>
          <w:szCs w:val="22"/>
        </w:rPr>
        <w:t>Enajenación</w:t>
      </w:r>
      <w:r w:rsidR="007C242C" w:rsidRPr="006A1BCD">
        <w:rPr>
          <w:rFonts w:ascii="ITC Avant Garde" w:hAnsi="ITC Avant Garde"/>
          <w:bCs/>
          <w:color w:val="000000" w:themeColor="text1"/>
          <w:sz w:val="22"/>
          <w:szCs w:val="22"/>
        </w:rPr>
        <w:t xml:space="preserve"> de Acciones. </w:t>
      </w:r>
      <w:r w:rsidR="007D7F46" w:rsidRPr="006A1BCD">
        <w:rPr>
          <w:rFonts w:ascii="ITC Avant Garde" w:hAnsi="ITC Avant Garde"/>
          <w:bCs/>
          <w:color w:val="000000" w:themeColor="text1"/>
          <w:sz w:val="22"/>
          <w:szCs w:val="22"/>
        </w:rPr>
        <w:t>Al respecto, mediante oficio 2.1.-241/2017 emitido por la Dirección General de Política de Telecomunicaciones y de Radiodifusión adscrita a la Secretaría, dicha unidad administrativa notificó el oficio 1.-157, mediante el cual la Secretaría emitió la opinión técnica, en sentido favorable.</w:t>
      </w:r>
    </w:p>
    <w:p w14:paraId="7C09E5E1" w14:textId="77777777" w:rsidR="006A1BCD" w:rsidRPr="006A1BCD" w:rsidRDefault="00F80A22" w:rsidP="006A1BCD">
      <w:pPr>
        <w:autoSpaceDE w:val="0"/>
        <w:autoSpaceDN w:val="0"/>
        <w:adjustRightInd w:val="0"/>
        <w:spacing w:before="240" w:after="240"/>
        <w:jc w:val="both"/>
        <w:rPr>
          <w:rFonts w:ascii="ITC Avant Garde" w:hAnsi="ITC Avant Garde"/>
          <w:bCs/>
          <w:color w:val="000000" w:themeColor="text1"/>
          <w:sz w:val="22"/>
          <w:szCs w:val="22"/>
        </w:rPr>
      </w:pPr>
      <w:r w:rsidRPr="006A1BCD">
        <w:rPr>
          <w:rFonts w:ascii="ITC Avant Garde" w:hAnsi="ITC Avant Garde"/>
          <w:bCs/>
          <w:color w:val="000000" w:themeColor="text1"/>
          <w:sz w:val="22"/>
          <w:szCs w:val="22"/>
        </w:rPr>
        <w:t xml:space="preserve">Por lo anteriormente señalado, y con fundamento en los artículos 28 párrafos décimo </w:t>
      </w:r>
      <w:r w:rsidR="00093253" w:rsidRPr="006A1BCD">
        <w:rPr>
          <w:rFonts w:ascii="ITC Avant Garde" w:hAnsi="ITC Avant Garde"/>
          <w:bCs/>
          <w:color w:val="000000" w:themeColor="text1"/>
          <w:sz w:val="22"/>
          <w:szCs w:val="22"/>
        </w:rPr>
        <w:t xml:space="preserve">quinto, </w:t>
      </w:r>
      <w:r w:rsidR="001C201F" w:rsidRPr="006A1BCD">
        <w:rPr>
          <w:rFonts w:ascii="ITC Avant Garde" w:hAnsi="ITC Avant Garde"/>
          <w:bCs/>
          <w:color w:val="000000" w:themeColor="text1"/>
          <w:sz w:val="22"/>
          <w:szCs w:val="22"/>
        </w:rPr>
        <w:t xml:space="preserve">décimo </w:t>
      </w:r>
      <w:r w:rsidRPr="006A1BCD">
        <w:rPr>
          <w:rFonts w:ascii="ITC Avant Garde" w:hAnsi="ITC Avant Garde"/>
          <w:bCs/>
          <w:color w:val="000000" w:themeColor="text1"/>
          <w:sz w:val="22"/>
          <w:szCs w:val="22"/>
        </w:rPr>
        <w:t>sexto y décimo séptimo de la Constitución Política de los Estados Unidos Mexicanos; 6 fracción IV, 7, 15 fracción IV, 17 fracción I</w:t>
      </w:r>
      <w:r w:rsidR="00BD0CEE" w:rsidRPr="006A1BCD">
        <w:rPr>
          <w:rFonts w:ascii="ITC Avant Garde" w:hAnsi="ITC Avant Garde"/>
          <w:bCs/>
          <w:color w:val="000000" w:themeColor="text1"/>
          <w:sz w:val="22"/>
          <w:szCs w:val="22"/>
        </w:rPr>
        <w:t xml:space="preserve">, </w:t>
      </w:r>
      <w:r w:rsidRPr="006A1BCD">
        <w:rPr>
          <w:rFonts w:ascii="ITC Avant Garde" w:hAnsi="ITC Avant Garde"/>
          <w:bCs/>
          <w:color w:val="000000" w:themeColor="text1"/>
          <w:sz w:val="22"/>
          <w:szCs w:val="22"/>
        </w:rPr>
        <w:t>112</w:t>
      </w:r>
      <w:r w:rsidR="00C80B3E" w:rsidRPr="006A1BCD">
        <w:rPr>
          <w:rFonts w:ascii="ITC Avant Garde" w:hAnsi="ITC Avant Garde"/>
          <w:bCs/>
          <w:color w:val="000000" w:themeColor="text1"/>
          <w:sz w:val="22"/>
          <w:szCs w:val="22"/>
        </w:rPr>
        <w:t xml:space="preserve"> y 177 fracciones XI</w:t>
      </w:r>
      <w:r w:rsidR="00CD3535" w:rsidRPr="006A1BCD">
        <w:rPr>
          <w:rFonts w:ascii="ITC Avant Garde" w:hAnsi="ITC Avant Garde"/>
          <w:bCs/>
          <w:color w:val="000000" w:themeColor="text1"/>
          <w:sz w:val="22"/>
          <w:szCs w:val="22"/>
        </w:rPr>
        <w:t xml:space="preserve"> </w:t>
      </w:r>
      <w:r w:rsidRPr="006A1BCD">
        <w:rPr>
          <w:rFonts w:ascii="ITC Avant Garde" w:hAnsi="ITC Avant Garde"/>
          <w:bCs/>
          <w:color w:val="000000" w:themeColor="text1"/>
          <w:sz w:val="22"/>
          <w:szCs w:val="22"/>
        </w:rPr>
        <w:t>de la Ley Federal de Teleco</w:t>
      </w:r>
      <w:r w:rsidR="002E3769" w:rsidRPr="006A1BCD">
        <w:rPr>
          <w:rFonts w:ascii="ITC Avant Garde" w:hAnsi="ITC Avant Garde"/>
          <w:bCs/>
          <w:color w:val="000000" w:themeColor="text1"/>
          <w:sz w:val="22"/>
          <w:szCs w:val="22"/>
        </w:rPr>
        <w:t>m</w:t>
      </w:r>
      <w:r w:rsidR="00EF13D2" w:rsidRPr="006A1BCD">
        <w:rPr>
          <w:rFonts w:ascii="ITC Avant Garde" w:hAnsi="ITC Avant Garde"/>
          <w:bCs/>
          <w:color w:val="000000" w:themeColor="text1"/>
          <w:sz w:val="22"/>
          <w:szCs w:val="22"/>
        </w:rPr>
        <w:t>unicaciones y Radiodifusión; 5 y</w:t>
      </w:r>
      <w:r w:rsidRPr="006A1BCD">
        <w:rPr>
          <w:rFonts w:ascii="ITC Avant Garde" w:hAnsi="ITC Avant Garde"/>
          <w:bCs/>
          <w:color w:val="000000" w:themeColor="text1"/>
          <w:sz w:val="22"/>
          <w:szCs w:val="22"/>
        </w:rPr>
        <w:t xml:space="preserve"> 86</w:t>
      </w:r>
      <w:r w:rsidR="00C80B3E" w:rsidRPr="006A1BCD">
        <w:rPr>
          <w:rFonts w:ascii="ITC Avant Garde" w:hAnsi="ITC Avant Garde"/>
          <w:bCs/>
          <w:color w:val="000000" w:themeColor="text1"/>
          <w:sz w:val="22"/>
          <w:szCs w:val="22"/>
        </w:rPr>
        <w:t xml:space="preserve"> </w:t>
      </w:r>
      <w:r w:rsidRPr="006A1BCD">
        <w:rPr>
          <w:rFonts w:ascii="ITC Avant Garde" w:hAnsi="ITC Avant Garde"/>
          <w:bCs/>
          <w:color w:val="000000" w:themeColor="text1"/>
          <w:sz w:val="22"/>
          <w:szCs w:val="22"/>
        </w:rPr>
        <w:t>de la Ley Federal de Competencia Económica;</w:t>
      </w:r>
      <w:r w:rsidR="00041FC1" w:rsidRPr="006A1BCD">
        <w:rPr>
          <w:rFonts w:ascii="ITC Avant Garde" w:hAnsi="ITC Avant Garde"/>
          <w:bCs/>
          <w:color w:val="000000" w:themeColor="text1"/>
          <w:sz w:val="22"/>
          <w:szCs w:val="22"/>
        </w:rPr>
        <w:t xml:space="preserve"> </w:t>
      </w:r>
      <w:r w:rsidRPr="006A1BCD">
        <w:rPr>
          <w:rFonts w:ascii="ITC Avant Garde" w:hAnsi="ITC Avant Garde"/>
          <w:bCs/>
          <w:color w:val="000000" w:themeColor="text1"/>
          <w:sz w:val="22"/>
          <w:szCs w:val="22"/>
        </w:rPr>
        <w:t xml:space="preserve">35 fracción I, 36, 38 y 39 de la Ley Federal de Procedimiento Administrativo; </w:t>
      </w:r>
      <w:r w:rsidRPr="006A1BCD">
        <w:rPr>
          <w:rFonts w:ascii="ITC Avant Garde" w:hAnsi="ITC Avant Garde"/>
          <w:bCs/>
          <w:color w:val="000000" w:themeColor="text1"/>
          <w:sz w:val="22"/>
          <w:szCs w:val="22"/>
          <w:lang w:eastAsia="es-MX"/>
        </w:rPr>
        <w:t>174-C, fracción VII, de la Ley Federal de Derechos</w:t>
      </w:r>
      <w:r w:rsidRPr="006A1BCD">
        <w:rPr>
          <w:rFonts w:ascii="ITC Avant Garde" w:hAnsi="ITC Avant Garde"/>
          <w:bCs/>
          <w:color w:val="000000" w:themeColor="text1"/>
          <w:sz w:val="22"/>
          <w:szCs w:val="22"/>
        </w:rPr>
        <w:t>; y 1, 6 fracción XXXVII</w:t>
      </w:r>
      <w:r w:rsidR="002E3769" w:rsidRPr="006A1BCD">
        <w:rPr>
          <w:rFonts w:ascii="ITC Avant Garde" w:hAnsi="ITC Avant Garde"/>
          <w:bCs/>
          <w:color w:val="000000" w:themeColor="text1"/>
          <w:sz w:val="22"/>
          <w:szCs w:val="22"/>
        </w:rPr>
        <w:t>I, 32, 33 fracción</w:t>
      </w:r>
      <w:r w:rsidR="00BD0CEE" w:rsidRPr="006A1BCD">
        <w:rPr>
          <w:rFonts w:ascii="ITC Avant Garde" w:hAnsi="ITC Avant Garde"/>
          <w:bCs/>
          <w:color w:val="000000" w:themeColor="text1"/>
          <w:sz w:val="22"/>
          <w:szCs w:val="22"/>
        </w:rPr>
        <w:t xml:space="preserve"> </w:t>
      </w:r>
      <w:r w:rsidR="00707A64" w:rsidRPr="006A1BCD">
        <w:rPr>
          <w:rFonts w:ascii="ITC Avant Garde" w:hAnsi="ITC Avant Garde"/>
          <w:bCs/>
          <w:color w:val="000000" w:themeColor="text1"/>
          <w:sz w:val="22"/>
          <w:szCs w:val="22"/>
        </w:rPr>
        <w:t xml:space="preserve">IV del Estatuto </w:t>
      </w:r>
      <w:r w:rsidRPr="006A1BCD">
        <w:rPr>
          <w:rFonts w:ascii="ITC Avant Garde" w:hAnsi="ITC Avant Garde"/>
          <w:bCs/>
          <w:color w:val="000000" w:themeColor="text1"/>
          <w:sz w:val="22"/>
          <w:szCs w:val="22"/>
        </w:rPr>
        <w:t>Orgánico del Instituto Federal de Telecomunicaciones, este órgano autónomo emite los siguientes:</w:t>
      </w:r>
    </w:p>
    <w:p w14:paraId="36725D0E" w14:textId="56E721D6" w:rsidR="006A1BCD" w:rsidRPr="00245998" w:rsidRDefault="00F80A22" w:rsidP="00245998">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245998">
        <w:rPr>
          <w:rFonts w:ascii="ITC Avant Garde" w:eastAsiaTheme="majorEastAsia" w:hAnsi="ITC Avant Garde" w:cstheme="majorBidi"/>
          <w:color w:val="000000" w:themeColor="text1"/>
          <w:sz w:val="22"/>
          <w:szCs w:val="22"/>
          <w:lang w:eastAsia="en-US"/>
        </w:rPr>
        <w:t>RESOLUTIVOS</w:t>
      </w:r>
    </w:p>
    <w:p w14:paraId="0A1546BE" w14:textId="3847D2E5" w:rsidR="00F80A22" w:rsidRPr="006A1BCD" w:rsidRDefault="00F80A22" w:rsidP="00245998">
      <w:pPr>
        <w:autoSpaceDE w:val="0"/>
        <w:autoSpaceDN w:val="0"/>
        <w:adjustRightInd w:val="0"/>
        <w:spacing w:before="240" w:after="240"/>
        <w:jc w:val="both"/>
        <w:rPr>
          <w:rFonts w:ascii="ITC Avant Garde" w:hAnsi="ITC Avant Garde"/>
          <w:bCs/>
          <w:color w:val="000000" w:themeColor="text1"/>
          <w:sz w:val="22"/>
          <w:szCs w:val="22"/>
        </w:rPr>
      </w:pPr>
      <w:r w:rsidRPr="006A1BCD">
        <w:rPr>
          <w:rFonts w:ascii="ITC Avant Garde" w:hAnsi="ITC Avant Garde"/>
          <w:b/>
          <w:bCs/>
          <w:color w:val="000000" w:themeColor="text1"/>
          <w:sz w:val="22"/>
          <w:szCs w:val="22"/>
        </w:rPr>
        <w:t xml:space="preserve">PRIMERO.- </w:t>
      </w:r>
      <w:r w:rsidRPr="006A1BCD">
        <w:rPr>
          <w:rFonts w:ascii="ITC Avant Garde" w:hAnsi="ITC Avant Garde"/>
          <w:bCs/>
          <w:color w:val="000000" w:themeColor="text1"/>
          <w:sz w:val="22"/>
          <w:szCs w:val="22"/>
        </w:rPr>
        <w:t xml:space="preserve">Se autoriza a la empresa </w:t>
      </w:r>
      <w:proofErr w:type="spellStart"/>
      <w:r w:rsidR="000606FB" w:rsidRPr="006A1BCD">
        <w:rPr>
          <w:rFonts w:ascii="ITC Avant Garde" w:hAnsi="ITC Avant Garde"/>
          <w:bCs/>
          <w:color w:val="000000" w:themeColor="text1"/>
          <w:sz w:val="22"/>
          <w:szCs w:val="22"/>
          <w:lang w:val="es-MX" w:eastAsia="es-MX"/>
        </w:rPr>
        <w:t>Telecable</w:t>
      </w:r>
      <w:proofErr w:type="spellEnd"/>
      <w:r w:rsidR="000606FB" w:rsidRPr="006A1BCD">
        <w:rPr>
          <w:rFonts w:ascii="ITC Avant Garde" w:hAnsi="ITC Avant Garde"/>
          <w:bCs/>
          <w:color w:val="000000" w:themeColor="text1"/>
          <w:sz w:val="22"/>
          <w:szCs w:val="22"/>
          <w:lang w:val="es-MX" w:eastAsia="es-MX"/>
        </w:rPr>
        <w:t xml:space="preserve"> de Tierra Caliente, S.A. de C.V.</w:t>
      </w:r>
      <w:r w:rsidR="006755AF" w:rsidRPr="006A1BCD">
        <w:rPr>
          <w:rFonts w:ascii="ITC Avant Garde" w:hAnsi="ITC Avant Garde"/>
          <w:bCs/>
          <w:color w:val="000000" w:themeColor="text1"/>
          <w:sz w:val="22"/>
          <w:szCs w:val="22"/>
          <w:lang w:val="es-MX" w:eastAsia="es-MX"/>
        </w:rPr>
        <w:t xml:space="preserve"> </w:t>
      </w:r>
      <w:r w:rsidRPr="006A1BCD">
        <w:rPr>
          <w:rFonts w:ascii="ITC Avant Garde" w:hAnsi="ITC Avant Garde"/>
          <w:bCs/>
          <w:color w:val="000000" w:themeColor="text1"/>
          <w:sz w:val="22"/>
          <w:szCs w:val="22"/>
        </w:rPr>
        <w:t xml:space="preserve">a llevar a cabo la </w:t>
      </w:r>
      <w:r w:rsidR="006755AF" w:rsidRPr="006A1BCD">
        <w:rPr>
          <w:rFonts w:ascii="ITC Avant Garde" w:hAnsi="ITC Avant Garde"/>
          <w:bCs/>
          <w:color w:val="000000" w:themeColor="text1"/>
          <w:sz w:val="22"/>
          <w:szCs w:val="22"/>
        </w:rPr>
        <w:t xml:space="preserve">enajenación </w:t>
      </w:r>
      <w:r w:rsidRPr="006A1BCD">
        <w:rPr>
          <w:rFonts w:ascii="ITC Avant Garde" w:hAnsi="ITC Avant Garde"/>
          <w:bCs/>
          <w:color w:val="000000" w:themeColor="text1"/>
          <w:sz w:val="22"/>
          <w:szCs w:val="22"/>
        </w:rPr>
        <w:t>de acciones solicitada</w:t>
      </w:r>
      <w:r w:rsidR="00CD3535" w:rsidRPr="006A1BCD">
        <w:rPr>
          <w:rFonts w:ascii="ITC Avant Garde" w:hAnsi="ITC Avant Garde"/>
          <w:bCs/>
          <w:color w:val="000000" w:themeColor="text1"/>
          <w:sz w:val="22"/>
          <w:szCs w:val="22"/>
        </w:rPr>
        <w:t xml:space="preserve">, en términos </w:t>
      </w:r>
      <w:r w:rsidR="005559A6" w:rsidRPr="006A1BCD">
        <w:rPr>
          <w:rFonts w:ascii="ITC Avant Garde" w:hAnsi="ITC Avant Garde"/>
          <w:bCs/>
          <w:color w:val="000000" w:themeColor="text1"/>
          <w:sz w:val="22"/>
          <w:szCs w:val="22"/>
        </w:rPr>
        <w:t>de</w:t>
      </w:r>
      <w:r w:rsidR="00CD3535" w:rsidRPr="006A1BCD">
        <w:rPr>
          <w:rFonts w:ascii="ITC Avant Garde" w:hAnsi="ITC Avant Garde"/>
          <w:bCs/>
          <w:color w:val="000000" w:themeColor="text1"/>
          <w:sz w:val="22"/>
          <w:szCs w:val="22"/>
        </w:rPr>
        <w:t xml:space="preserve"> lo señalado en el Considerando Cuarto de la presente Resolución</w:t>
      </w:r>
      <w:r w:rsidRPr="006A1BCD">
        <w:rPr>
          <w:rFonts w:ascii="ITC Avant Garde" w:hAnsi="ITC Avant Garde"/>
          <w:bCs/>
          <w:color w:val="000000" w:themeColor="text1"/>
          <w:sz w:val="22"/>
          <w:szCs w:val="22"/>
        </w:rPr>
        <w:t>, a efecto de que la estructura accionaria de dicha concesionaria quede de la siguiente manera:</w:t>
      </w:r>
    </w:p>
    <w:tbl>
      <w:tblPr>
        <w:tblStyle w:val="Tablaconcuadrcula"/>
        <w:tblW w:w="7563" w:type="dxa"/>
        <w:jc w:val="center"/>
        <w:tblLayout w:type="fixed"/>
        <w:tblLook w:val="0000" w:firstRow="0" w:lastRow="0" w:firstColumn="0" w:lastColumn="0" w:noHBand="0" w:noVBand="0"/>
        <w:tblCaption w:val="Estructura accionaria aprobada"/>
        <w:tblDescription w:val="En una tabla de 3 columnas y 5 filas, se proporciona la estructura accionaria aprobada para Telecable de Tierra Caliente, S.A. de C.V."/>
      </w:tblPr>
      <w:tblGrid>
        <w:gridCol w:w="3350"/>
        <w:gridCol w:w="2421"/>
        <w:gridCol w:w="1792"/>
      </w:tblGrid>
      <w:tr w:rsidR="00245998" w:rsidRPr="006A1BCD" w14:paraId="29E736E6" w14:textId="77777777" w:rsidTr="00245998">
        <w:trPr>
          <w:trHeight w:val="653"/>
          <w:tblHeader/>
          <w:jc w:val="center"/>
        </w:trPr>
        <w:tc>
          <w:tcPr>
            <w:tcW w:w="3350" w:type="dxa"/>
            <w:shd w:val="clear" w:color="auto" w:fill="BFBFBF" w:themeFill="background1" w:themeFillShade="BF"/>
            <w:noWrap/>
            <w:vAlign w:val="center"/>
          </w:tcPr>
          <w:p w14:paraId="22AB10AE" w14:textId="67D1B026" w:rsidR="00245998" w:rsidRPr="006A1BCD" w:rsidRDefault="00245998" w:rsidP="00245998">
            <w:pPr>
              <w:jc w:val="center"/>
              <w:rPr>
                <w:rFonts w:ascii="ITC Avant Garde" w:hAnsi="ITC Avant Garde" w:cs="Calibri"/>
                <w:b/>
                <w:bCs/>
                <w:color w:val="000000" w:themeColor="text1"/>
                <w:sz w:val="14"/>
                <w:szCs w:val="14"/>
              </w:rPr>
            </w:pPr>
            <w:r w:rsidRPr="006A1BCD">
              <w:rPr>
                <w:rFonts w:ascii="ITC Avant Garde" w:hAnsi="ITC Avant Garde" w:cs="Calibri"/>
                <w:b/>
                <w:bCs/>
                <w:color w:val="000000" w:themeColor="text1"/>
                <w:sz w:val="14"/>
                <w:szCs w:val="14"/>
              </w:rPr>
              <w:t>ACCIONISTAS</w:t>
            </w:r>
          </w:p>
        </w:tc>
        <w:tc>
          <w:tcPr>
            <w:tcW w:w="2421" w:type="dxa"/>
            <w:shd w:val="clear" w:color="auto" w:fill="BFBFBF" w:themeFill="background1" w:themeFillShade="BF"/>
            <w:vAlign w:val="center"/>
          </w:tcPr>
          <w:p w14:paraId="17ABA740" w14:textId="5208020C" w:rsidR="00245998" w:rsidRPr="006A1BCD" w:rsidRDefault="00245998" w:rsidP="00245998">
            <w:pPr>
              <w:jc w:val="center"/>
              <w:rPr>
                <w:rFonts w:ascii="ITC Avant Garde" w:hAnsi="ITC Avant Garde" w:cs="Calibri"/>
                <w:b/>
                <w:bCs/>
                <w:color w:val="000000" w:themeColor="text1"/>
                <w:sz w:val="14"/>
                <w:szCs w:val="14"/>
              </w:rPr>
            </w:pPr>
            <w:r w:rsidRPr="006A1BCD">
              <w:rPr>
                <w:rFonts w:ascii="ITC Avant Garde" w:hAnsi="ITC Avant Garde" w:cs="Calibri"/>
                <w:b/>
                <w:bCs/>
                <w:color w:val="000000" w:themeColor="text1"/>
                <w:sz w:val="14"/>
                <w:szCs w:val="14"/>
              </w:rPr>
              <w:t>ACCIONES</w:t>
            </w:r>
          </w:p>
        </w:tc>
        <w:tc>
          <w:tcPr>
            <w:tcW w:w="1792" w:type="dxa"/>
            <w:shd w:val="clear" w:color="auto" w:fill="BFBFBF" w:themeFill="background1" w:themeFillShade="BF"/>
            <w:vAlign w:val="center"/>
          </w:tcPr>
          <w:p w14:paraId="2F3BF308" w14:textId="720BBA6D" w:rsidR="00245998" w:rsidRPr="006A1BCD" w:rsidRDefault="00245998" w:rsidP="00245998">
            <w:pPr>
              <w:jc w:val="center"/>
              <w:rPr>
                <w:rFonts w:ascii="ITC Avant Garde" w:hAnsi="ITC Avant Garde" w:cs="Calibri"/>
                <w:b/>
                <w:bCs/>
                <w:color w:val="000000" w:themeColor="text1"/>
                <w:sz w:val="14"/>
                <w:szCs w:val="14"/>
              </w:rPr>
            </w:pPr>
            <w:r w:rsidRPr="006A1BCD">
              <w:rPr>
                <w:rFonts w:ascii="ITC Avant Garde" w:hAnsi="ITC Avant Garde" w:cs="Calibri"/>
                <w:b/>
                <w:bCs/>
                <w:color w:val="000000" w:themeColor="text1"/>
                <w:sz w:val="14"/>
                <w:szCs w:val="14"/>
              </w:rPr>
              <w:t>PORCENTAJE DE PARTICIPACIÓN</w:t>
            </w:r>
          </w:p>
        </w:tc>
      </w:tr>
      <w:tr w:rsidR="00245998" w:rsidRPr="006A1BCD" w14:paraId="305DA192" w14:textId="77777777" w:rsidTr="00245998">
        <w:trPr>
          <w:trHeight w:val="291"/>
          <w:jc w:val="center"/>
        </w:trPr>
        <w:tc>
          <w:tcPr>
            <w:tcW w:w="3350" w:type="dxa"/>
          </w:tcPr>
          <w:p w14:paraId="2631E9DA" w14:textId="77777777" w:rsidR="00245998" w:rsidRPr="006A1BCD" w:rsidRDefault="00245998" w:rsidP="00245998">
            <w:pP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María Del Carmen Romero Ramírez</w:t>
            </w:r>
          </w:p>
        </w:tc>
        <w:tc>
          <w:tcPr>
            <w:tcW w:w="2421" w:type="dxa"/>
          </w:tcPr>
          <w:p w14:paraId="63E510EE" w14:textId="788D6880" w:rsidR="00245998" w:rsidRPr="006A1BCD" w:rsidRDefault="00245998" w:rsidP="00245998">
            <w:pPr>
              <w:jc w:val="cente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55</w:t>
            </w:r>
          </w:p>
        </w:tc>
        <w:tc>
          <w:tcPr>
            <w:tcW w:w="1792" w:type="dxa"/>
          </w:tcPr>
          <w:p w14:paraId="65C77843" w14:textId="776D8F1E" w:rsidR="00245998" w:rsidRPr="006A1BCD" w:rsidRDefault="00245998" w:rsidP="00245998">
            <w:pPr>
              <w:jc w:val="center"/>
              <w:rPr>
                <w:rFonts w:ascii="ITC Avant Garde" w:hAnsi="ITC Avant Garde" w:cs="Calibri"/>
                <w:color w:val="000000" w:themeColor="text1"/>
                <w:sz w:val="14"/>
                <w:szCs w:val="14"/>
                <w:highlight w:val="yellow"/>
              </w:rPr>
            </w:pPr>
            <w:r w:rsidRPr="006A1BCD">
              <w:rPr>
                <w:rFonts w:ascii="ITC Avant Garde" w:hAnsi="ITC Avant Garde" w:cs="Calibri"/>
                <w:color w:val="000000" w:themeColor="text1"/>
                <w:sz w:val="14"/>
                <w:szCs w:val="14"/>
              </w:rPr>
              <w:t>55%</w:t>
            </w:r>
          </w:p>
        </w:tc>
      </w:tr>
      <w:tr w:rsidR="00245998" w:rsidRPr="006A1BCD" w14:paraId="11E0FF62" w14:textId="77777777" w:rsidTr="00245998">
        <w:trPr>
          <w:trHeight w:val="291"/>
          <w:jc w:val="center"/>
        </w:trPr>
        <w:tc>
          <w:tcPr>
            <w:tcW w:w="3350" w:type="dxa"/>
          </w:tcPr>
          <w:p w14:paraId="130C21DA" w14:textId="77777777" w:rsidR="00245998" w:rsidRPr="006A1BCD" w:rsidRDefault="00245998" w:rsidP="00245998">
            <w:pP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Rafael Huerta Romero</w:t>
            </w:r>
          </w:p>
        </w:tc>
        <w:tc>
          <w:tcPr>
            <w:tcW w:w="2421" w:type="dxa"/>
          </w:tcPr>
          <w:p w14:paraId="537B6A6E" w14:textId="5F368342" w:rsidR="00245998" w:rsidRPr="006A1BCD" w:rsidRDefault="00245998" w:rsidP="00245998">
            <w:pPr>
              <w:jc w:val="cente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15</w:t>
            </w:r>
          </w:p>
        </w:tc>
        <w:tc>
          <w:tcPr>
            <w:tcW w:w="1792" w:type="dxa"/>
          </w:tcPr>
          <w:p w14:paraId="40AEEDAE" w14:textId="5E7A083F" w:rsidR="00245998" w:rsidRPr="006A1BCD" w:rsidRDefault="00245998" w:rsidP="00245998">
            <w:pPr>
              <w:jc w:val="center"/>
              <w:rPr>
                <w:rFonts w:ascii="ITC Avant Garde" w:hAnsi="ITC Avant Garde" w:cs="Calibri"/>
                <w:color w:val="000000" w:themeColor="text1"/>
                <w:sz w:val="14"/>
                <w:szCs w:val="14"/>
                <w:highlight w:val="yellow"/>
              </w:rPr>
            </w:pPr>
            <w:r w:rsidRPr="006A1BCD">
              <w:rPr>
                <w:rFonts w:ascii="ITC Avant Garde" w:hAnsi="ITC Avant Garde" w:cs="Calibri"/>
                <w:color w:val="000000" w:themeColor="text1"/>
                <w:sz w:val="14"/>
                <w:szCs w:val="14"/>
              </w:rPr>
              <w:t>15%</w:t>
            </w:r>
          </w:p>
        </w:tc>
      </w:tr>
      <w:tr w:rsidR="00245998" w:rsidRPr="006A1BCD" w14:paraId="74AE9A8B" w14:textId="77777777" w:rsidTr="00245998">
        <w:trPr>
          <w:trHeight w:val="291"/>
          <w:jc w:val="center"/>
        </w:trPr>
        <w:tc>
          <w:tcPr>
            <w:tcW w:w="3350" w:type="dxa"/>
          </w:tcPr>
          <w:p w14:paraId="7FB21DE7" w14:textId="77777777" w:rsidR="00245998" w:rsidRPr="006A1BCD" w:rsidRDefault="00245998" w:rsidP="00245998">
            <w:pP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Francisco Javier Huerta Romero</w:t>
            </w:r>
          </w:p>
        </w:tc>
        <w:tc>
          <w:tcPr>
            <w:tcW w:w="2421" w:type="dxa"/>
          </w:tcPr>
          <w:p w14:paraId="6F3215CF" w14:textId="14FFCE0D" w:rsidR="00245998" w:rsidRPr="006A1BCD" w:rsidRDefault="00245998" w:rsidP="00245998">
            <w:pPr>
              <w:jc w:val="cente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15</w:t>
            </w:r>
          </w:p>
        </w:tc>
        <w:tc>
          <w:tcPr>
            <w:tcW w:w="1792" w:type="dxa"/>
          </w:tcPr>
          <w:p w14:paraId="6F7B9FCE" w14:textId="027992C4" w:rsidR="00245998" w:rsidRPr="006A1BCD" w:rsidRDefault="00245998" w:rsidP="00245998">
            <w:pPr>
              <w:jc w:val="cente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15%</w:t>
            </w:r>
          </w:p>
        </w:tc>
      </w:tr>
      <w:tr w:rsidR="00245998" w:rsidRPr="006A1BCD" w14:paraId="3717380E" w14:textId="77777777" w:rsidTr="00245998">
        <w:trPr>
          <w:trHeight w:val="291"/>
          <w:jc w:val="center"/>
        </w:trPr>
        <w:tc>
          <w:tcPr>
            <w:tcW w:w="3350" w:type="dxa"/>
          </w:tcPr>
          <w:p w14:paraId="696BB84F" w14:textId="77777777" w:rsidR="00245998" w:rsidRPr="006A1BCD" w:rsidRDefault="00245998" w:rsidP="00245998">
            <w:pP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Juan José Huerta Romero</w:t>
            </w:r>
          </w:p>
        </w:tc>
        <w:tc>
          <w:tcPr>
            <w:tcW w:w="2421" w:type="dxa"/>
          </w:tcPr>
          <w:p w14:paraId="648AAB9A" w14:textId="270A95EA" w:rsidR="00245998" w:rsidRPr="006A1BCD" w:rsidRDefault="00245998" w:rsidP="00245998">
            <w:pPr>
              <w:jc w:val="cente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15</w:t>
            </w:r>
          </w:p>
        </w:tc>
        <w:tc>
          <w:tcPr>
            <w:tcW w:w="1792" w:type="dxa"/>
          </w:tcPr>
          <w:p w14:paraId="36E62B48" w14:textId="5A7298B3" w:rsidR="00245998" w:rsidRPr="006A1BCD" w:rsidRDefault="00245998" w:rsidP="00245998">
            <w:pPr>
              <w:jc w:val="center"/>
              <w:rPr>
                <w:rFonts w:ascii="ITC Avant Garde" w:hAnsi="ITC Avant Garde" w:cs="Calibri"/>
                <w:color w:val="000000" w:themeColor="text1"/>
                <w:sz w:val="14"/>
                <w:szCs w:val="14"/>
              </w:rPr>
            </w:pPr>
            <w:r w:rsidRPr="006A1BCD">
              <w:rPr>
                <w:rFonts w:ascii="ITC Avant Garde" w:hAnsi="ITC Avant Garde" w:cs="Calibri"/>
                <w:color w:val="000000" w:themeColor="text1"/>
                <w:sz w:val="14"/>
                <w:szCs w:val="14"/>
              </w:rPr>
              <w:t>15%</w:t>
            </w:r>
          </w:p>
        </w:tc>
      </w:tr>
      <w:tr w:rsidR="00245998" w:rsidRPr="006A1BCD" w14:paraId="75EBC601" w14:textId="77777777" w:rsidTr="00245998">
        <w:trPr>
          <w:trHeight w:val="255"/>
          <w:jc w:val="center"/>
        </w:trPr>
        <w:tc>
          <w:tcPr>
            <w:tcW w:w="3350" w:type="dxa"/>
          </w:tcPr>
          <w:p w14:paraId="10CE5531" w14:textId="77777777" w:rsidR="00245998" w:rsidRPr="006A1BCD" w:rsidRDefault="00245998" w:rsidP="00245998">
            <w:pPr>
              <w:jc w:val="center"/>
              <w:rPr>
                <w:rFonts w:ascii="ITC Avant Garde" w:hAnsi="ITC Avant Garde" w:cs="Calibri"/>
                <w:b/>
                <w:color w:val="000000" w:themeColor="text1"/>
                <w:sz w:val="14"/>
                <w:szCs w:val="14"/>
              </w:rPr>
            </w:pPr>
            <w:r w:rsidRPr="006A1BCD">
              <w:rPr>
                <w:rFonts w:ascii="ITC Avant Garde" w:hAnsi="ITC Avant Garde" w:cs="Calibri"/>
                <w:b/>
                <w:color w:val="000000" w:themeColor="text1"/>
                <w:sz w:val="14"/>
                <w:szCs w:val="14"/>
              </w:rPr>
              <w:t>Total de Acciones</w:t>
            </w:r>
          </w:p>
        </w:tc>
        <w:tc>
          <w:tcPr>
            <w:tcW w:w="2421" w:type="dxa"/>
          </w:tcPr>
          <w:p w14:paraId="56A7060D" w14:textId="396243DC" w:rsidR="00245998" w:rsidRPr="006A1BCD" w:rsidRDefault="00245998" w:rsidP="00245998">
            <w:pPr>
              <w:jc w:val="center"/>
              <w:rPr>
                <w:rFonts w:ascii="ITC Avant Garde" w:hAnsi="ITC Avant Garde" w:cs="Calibri"/>
                <w:b/>
                <w:color w:val="000000" w:themeColor="text1"/>
                <w:sz w:val="14"/>
                <w:szCs w:val="14"/>
              </w:rPr>
            </w:pPr>
            <w:r w:rsidRPr="006A1BCD">
              <w:rPr>
                <w:rFonts w:ascii="ITC Avant Garde" w:hAnsi="ITC Avant Garde" w:cs="Calibri"/>
                <w:b/>
                <w:color w:val="000000" w:themeColor="text1"/>
                <w:sz w:val="14"/>
                <w:szCs w:val="14"/>
              </w:rPr>
              <w:t>100</w:t>
            </w:r>
          </w:p>
        </w:tc>
        <w:tc>
          <w:tcPr>
            <w:tcW w:w="1792" w:type="dxa"/>
          </w:tcPr>
          <w:p w14:paraId="60A004FA" w14:textId="65306D33" w:rsidR="00245998" w:rsidRPr="006A1BCD" w:rsidRDefault="00245998" w:rsidP="00245998">
            <w:pPr>
              <w:jc w:val="center"/>
              <w:rPr>
                <w:rFonts w:ascii="ITC Avant Garde" w:hAnsi="ITC Avant Garde" w:cs="Calibri"/>
                <w:b/>
                <w:color w:val="000000" w:themeColor="text1"/>
                <w:sz w:val="14"/>
                <w:szCs w:val="14"/>
              </w:rPr>
            </w:pPr>
            <w:r w:rsidRPr="006A1BCD">
              <w:rPr>
                <w:rFonts w:ascii="ITC Avant Garde" w:hAnsi="ITC Avant Garde" w:cs="Calibri"/>
                <w:b/>
                <w:color w:val="000000" w:themeColor="text1"/>
                <w:sz w:val="14"/>
                <w:szCs w:val="14"/>
              </w:rPr>
              <w:t>100%</w:t>
            </w:r>
          </w:p>
        </w:tc>
      </w:tr>
    </w:tbl>
    <w:p w14:paraId="789646F2" w14:textId="77777777" w:rsidR="006A1BCD" w:rsidRPr="006A1BCD" w:rsidRDefault="00F80A22" w:rsidP="006A1BCD">
      <w:pPr>
        <w:autoSpaceDE w:val="0"/>
        <w:autoSpaceDN w:val="0"/>
        <w:adjustRightInd w:val="0"/>
        <w:spacing w:before="240" w:after="240"/>
        <w:jc w:val="both"/>
        <w:rPr>
          <w:rFonts w:ascii="ITC Avant Garde" w:hAnsi="ITC Avant Garde"/>
          <w:bCs/>
          <w:color w:val="000000" w:themeColor="text1"/>
          <w:sz w:val="22"/>
          <w:szCs w:val="22"/>
        </w:rPr>
      </w:pPr>
      <w:r w:rsidRPr="006A1BCD">
        <w:rPr>
          <w:rFonts w:ascii="ITC Avant Garde" w:hAnsi="ITC Avant Garde"/>
          <w:b/>
          <w:bCs/>
          <w:color w:val="000000" w:themeColor="text1"/>
          <w:sz w:val="22"/>
          <w:szCs w:val="22"/>
        </w:rPr>
        <w:lastRenderedPageBreak/>
        <w:t>SEGUNDO.-</w:t>
      </w:r>
      <w:r w:rsidRPr="006A1BCD">
        <w:rPr>
          <w:rFonts w:ascii="ITC Avant Garde" w:hAnsi="ITC Avant Garde"/>
          <w:bCs/>
          <w:color w:val="000000" w:themeColor="text1"/>
          <w:sz w:val="22"/>
          <w:szCs w:val="22"/>
        </w:rPr>
        <w:t xml:space="preserve"> Se instruye a la Unidad de Concesiones y Servicios a notificar al representante legal </w:t>
      </w:r>
      <w:r w:rsidR="00BD0CEE" w:rsidRPr="006A1BCD">
        <w:rPr>
          <w:rFonts w:ascii="ITC Avant Garde" w:hAnsi="ITC Avant Garde"/>
          <w:bCs/>
          <w:color w:val="000000" w:themeColor="text1"/>
          <w:sz w:val="22"/>
          <w:szCs w:val="22"/>
        </w:rPr>
        <w:t xml:space="preserve">de </w:t>
      </w:r>
      <w:proofErr w:type="spellStart"/>
      <w:r w:rsidR="003B1A31" w:rsidRPr="006A1BCD">
        <w:rPr>
          <w:rFonts w:ascii="ITC Avant Garde" w:hAnsi="ITC Avant Garde"/>
          <w:bCs/>
          <w:color w:val="000000" w:themeColor="text1"/>
          <w:sz w:val="22"/>
          <w:szCs w:val="22"/>
          <w:lang w:val="es-MX" w:eastAsia="es-MX"/>
        </w:rPr>
        <w:t>Telecable</w:t>
      </w:r>
      <w:proofErr w:type="spellEnd"/>
      <w:r w:rsidR="003B1A31" w:rsidRPr="006A1BCD">
        <w:rPr>
          <w:rFonts w:ascii="ITC Avant Garde" w:hAnsi="ITC Avant Garde"/>
          <w:bCs/>
          <w:color w:val="000000" w:themeColor="text1"/>
          <w:sz w:val="22"/>
          <w:szCs w:val="22"/>
          <w:lang w:val="es-MX" w:eastAsia="es-MX"/>
        </w:rPr>
        <w:t xml:space="preserve"> de Tierra Caliente, S.A. de C.V.</w:t>
      </w:r>
      <w:r w:rsidR="006755AF" w:rsidRPr="006A1BCD">
        <w:rPr>
          <w:rFonts w:ascii="ITC Avant Garde" w:hAnsi="ITC Avant Garde"/>
          <w:bCs/>
          <w:color w:val="000000" w:themeColor="text1"/>
          <w:sz w:val="22"/>
          <w:szCs w:val="22"/>
          <w:lang w:val="es-MX" w:eastAsia="es-MX"/>
        </w:rPr>
        <w:t xml:space="preserve"> </w:t>
      </w:r>
      <w:r w:rsidR="002E3769" w:rsidRPr="006A1BCD">
        <w:rPr>
          <w:rFonts w:ascii="ITC Avant Garde" w:hAnsi="ITC Avant Garde"/>
          <w:bCs/>
          <w:color w:val="000000" w:themeColor="text1"/>
          <w:sz w:val="22"/>
          <w:szCs w:val="22"/>
        </w:rPr>
        <w:t>l</w:t>
      </w:r>
      <w:r w:rsidRPr="006A1BCD">
        <w:rPr>
          <w:rFonts w:ascii="ITC Avant Garde" w:hAnsi="ITC Avant Garde"/>
          <w:bCs/>
          <w:color w:val="000000" w:themeColor="text1"/>
          <w:sz w:val="22"/>
          <w:szCs w:val="22"/>
        </w:rPr>
        <w:t xml:space="preserve">a autorización para llevar a cabo la </w:t>
      </w:r>
      <w:r w:rsidR="006755AF" w:rsidRPr="006A1BCD">
        <w:rPr>
          <w:rFonts w:ascii="ITC Avant Garde" w:hAnsi="ITC Avant Garde"/>
          <w:bCs/>
          <w:color w:val="000000" w:themeColor="text1"/>
          <w:sz w:val="22"/>
          <w:szCs w:val="22"/>
        </w:rPr>
        <w:t>enajenación</w:t>
      </w:r>
      <w:r w:rsidRPr="006A1BCD">
        <w:rPr>
          <w:rFonts w:ascii="ITC Avant Garde" w:hAnsi="ITC Avant Garde"/>
          <w:bCs/>
          <w:color w:val="000000" w:themeColor="text1"/>
          <w:sz w:val="22"/>
          <w:szCs w:val="22"/>
        </w:rPr>
        <w:t xml:space="preserve"> de acciones a que se refiere la presente Resolución, de conformidad con el Resolutivo Primero anterior.</w:t>
      </w:r>
    </w:p>
    <w:p w14:paraId="3CCEDC27" w14:textId="22C4F275" w:rsidR="006A1BCD" w:rsidRPr="006A1BCD" w:rsidRDefault="00F80A22" w:rsidP="006A1BCD">
      <w:pPr>
        <w:autoSpaceDE w:val="0"/>
        <w:autoSpaceDN w:val="0"/>
        <w:adjustRightInd w:val="0"/>
        <w:spacing w:before="240" w:after="240"/>
        <w:contextualSpacing/>
        <w:jc w:val="both"/>
        <w:rPr>
          <w:rFonts w:ascii="ITC Avant Garde" w:hAnsi="ITC Avant Garde"/>
          <w:bCs/>
          <w:color w:val="000000" w:themeColor="text1"/>
          <w:sz w:val="22"/>
          <w:szCs w:val="22"/>
        </w:rPr>
      </w:pPr>
      <w:r w:rsidRPr="006A1BCD">
        <w:rPr>
          <w:rFonts w:ascii="ITC Avant Garde" w:hAnsi="ITC Avant Garde"/>
          <w:b/>
          <w:bCs/>
          <w:color w:val="000000" w:themeColor="text1"/>
          <w:sz w:val="22"/>
          <w:szCs w:val="22"/>
        </w:rPr>
        <w:t>TERCERO.-</w:t>
      </w:r>
      <w:r w:rsidRPr="006A1BCD">
        <w:rPr>
          <w:rFonts w:ascii="ITC Avant Garde" w:hAnsi="ITC Avant Garde"/>
          <w:bCs/>
          <w:color w:val="000000" w:themeColor="text1"/>
          <w:sz w:val="22"/>
          <w:szCs w:val="22"/>
        </w:rPr>
        <w:t xml:space="preserve"> La presente autorización tendrá una vigencia de 60 (sesenta) días naturales, contados a partir de aquel en que hubiere surtido efectos la notificación de la misma. </w:t>
      </w:r>
    </w:p>
    <w:p w14:paraId="4F4EC49A" w14:textId="77777777" w:rsidR="006A1BCD" w:rsidRPr="006A1BCD" w:rsidRDefault="00F80A22" w:rsidP="006A1BCD">
      <w:pPr>
        <w:autoSpaceDE w:val="0"/>
        <w:autoSpaceDN w:val="0"/>
        <w:adjustRightInd w:val="0"/>
        <w:spacing w:before="240" w:after="240"/>
        <w:jc w:val="both"/>
        <w:rPr>
          <w:rFonts w:ascii="ITC Avant Garde" w:hAnsi="ITC Avant Garde"/>
          <w:bCs/>
          <w:color w:val="000000" w:themeColor="text1"/>
          <w:sz w:val="22"/>
          <w:szCs w:val="22"/>
        </w:rPr>
      </w:pPr>
      <w:r w:rsidRPr="006A1BCD">
        <w:rPr>
          <w:rFonts w:ascii="ITC Avant Garde" w:hAnsi="ITC Avant Garde"/>
          <w:bCs/>
          <w:color w:val="000000" w:themeColor="text1"/>
          <w:sz w:val="22"/>
          <w:szCs w:val="22"/>
        </w:rPr>
        <w:t>Dentro de este plazo de vigencia</w:t>
      </w:r>
      <w:r w:rsidR="00BD0CEE" w:rsidRPr="006A1BCD">
        <w:rPr>
          <w:rFonts w:ascii="ITC Avant Garde" w:hAnsi="ITC Avant Garde"/>
          <w:bCs/>
          <w:color w:val="000000" w:themeColor="text1"/>
          <w:sz w:val="22"/>
          <w:szCs w:val="22"/>
        </w:rPr>
        <w:t xml:space="preserve"> </w:t>
      </w:r>
      <w:proofErr w:type="spellStart"/>
      <w:r w:rsidR="003B1A31" w:rsidRPr="006A1BCD">
        <w:rPr>
          <w:rFonts w:ascii="ITC Avant Garde" w:hAnsi="ITC Avant Garde"/>
          <w:bCs/>
          <w:color w:val="000000" w:themeColor="text1"/>
          <w:sz w:val="22"/>
          <w:szCs w:val="22"/>
          <w:lang w:val="es-MX" w:eastAsia="es-MX"/>
        </w:rPr>
        <w:t>Telecable</w:t>
      </w:r>
      <w:proofErr w:type="spellEnd"/>
      <w:r w:rsidR="003B1A31" w:rsidRPr="006A1BCD">
        <w:rPr>
          <w:rFonts w:ascii="ITC Avant Garde" w:hAnsi="ITC Avant Garde"/>
          <w:bCs/>
          <w:color w:val="000000" w:themeColor="text1"/>
          <w:sz w:val="22"/>
          <w:szCs w:val="22"/>
          <w:lang w:val="es-MX" w:eastAsia="es-MX"/>
        </w:rPr>
        <w:t xml:space="preserve"> de Tierra Caliente, S.A. de C.V.,</w:t>
      </w:r>
      <w:r w:rsidR="002E3769" w:rsidRPr="006A1BCD">
        <w:rPr>
          <w:rFonts w:ascii="ITC Avant Garde" w:hAnsi="ITC Avant Garde"/>
          <w:bCs/>
          <w:color w:val="000000" w:themeColor="text1"/>
          <w:sz w:val="22"/>
          <w:szCs w:val="22"/>
        </w:rPr>
        <w:t xml:space="preserve"> </w:t>
      </w:r>
      <w:r w:rsidRPr="006A1BCD">
        <w:rPr>
          <w:rFonts w:ascii="ITC Avant Garde" w:hAnsi="ITC Avant Garde"/>
          <w:bCs/>
          <w:color w:val="000000" w:themeColor="text1"/>
          <w:sz w:val="22"/>
          <w:szCs w:val="22"/>
        </w:rPr>
        <w:t xml:space="preserve">deberá presentar para su inscripción en el Registro Público de Concesiones, copia certificada del instrumento donde conste que se llevaron a cabo los movimientos a que se refiere el Resolutivo Primero anterior, en términos de los artículos 177 fracción XI, en relación con el 180 de la Ley Federal de Telecomunicaciones y Radiodifusión. Concluido dicho plazo, sin que se hubiere dado cumplimiento al presente Resolutivo, </w:t>
      </w:r>
      <w:proofErr w:type="spellStart"/>
      <w:r w:rsidR="003B1A31" w:rsidRPr="006A1BCD">
        <w:rPr>
          <w:rFonts w:ascii="ITC Avant Garde" w:hAnsi="ITC Avant Garde"/>
          <w:bCs/>
          <w:color w:val="000000" w:themeColor="text1"/>
          <w:sz w:val="22"/>
          <w:szCs w:val="22"/>
          <w:lang w:val="es-MX" w:eastAsia="es-MX"/>
        </w:rPr>
        <w:t>Telecable</w:t>
      </w:r>
      <w:proofErr w:type="spellEnd"/>
      <w:r w:rsidR="003B1A31" w:rsidRPr="006A1BCD">
        <w:rPr>
          <w:rFonts w:ascii="ITC Avant Garde" w:hAnsi="ITC Avant Garde"/>
          <w:bCs/>
          <w:color w:val="000000" w:themeColor="text1"/>
          <w:sz w:val="22"/>
          <w:szCs w:val="22"/>
          <w:lang w:val="es-MX" w:eastAsia="es-MX"/>
        </w:rPr>
        <w:t xml:space="preserve"> de Tierra Caliente, S.A. de C.V.,</w:t>
      </w:r>
      <w:r w:rsidRPr="006A1BCD">
        <w:rPr>
          <w:rFonts w:ascii="ITC Avant Garde" w:hAnsi="ITC Avant Garde"/>
          <w:bCs/>
          <w:color w:val="000000" w:themeColor="text1"/>
          <w:sz w:val="22"/>
          <w:szCs w:val="22"/>
        </w:rPr>
        <w:t xml:space="preserve"> deberá solicitar una nueva autorización.</w:t>
      </w:r>
    </w:p>
    <w:p w14:paraId="726DDF26" w14:textId="77777777" w:rsidR="006A1BCD" w:rsidRPr="006A1BCD" w:rsidRDefault="006755AF" w:rsidP="006A1BCD">
      <w:pPr>
        <w:autoSpaceDE w:val="0"/>
        <w:autoSpaceDN w:val="0"/>
        <w:adjustRightInd w:val="0"/>
        <w:spacing w:before="240" w:after="240"/>
        <w:jc w:val="both"/>
        <w:rPr>
          <w:rFonts w:ascii="ITC Avant Garde" w:hAnsi="ITC Avant Garde"/>
          <w:bCs/>
          <w:color w:val="000000" w:themeColor="text1"/>
          <w:sz w:val="22"/>
          <w:szCs w:val="22"/>
        </w:rPr>
      </w:pPr>
      <w:r w:rsidRPr="006A1BCD">
        <w:rPr>
          <w:rFonts w:ascii="ITC Avant Garde" w:hAnsi="ITC Avant Garde"/>
          <w:b/>
          <w:bCs/>
          <w:color w:val="000000" w:themeColor="text1"/>
          <w:sz w:val="22"/>
          <w:szCs w:val="22"/>
        </w:rPr>
        <w:t>CUARTO</w:t>
      </w:r>
      <w:r w:rsidR="004863B9" w:rsidRPr="006A1BCD">
        <w:rPr>
          <w:rFonts w:ascii="ITC Avant Garde" w:hAnsi="ITC Avant Garde"/>
          <w:b/>
          <w:bCs/>
          <w:color w:val="000000" w:themeColor="text1"/>
          <w:sz w:val="22"/>
          <w:szCs w:val="22"/>
        </w:rPr>
        <w:t xml:space="preserve">.- </w:t>
      </w:r>
      <w:r w:rsidR="00F80A22" w:rsidRPr="006A1BCD">
        <w:rPr>
          <w:rFonts w:ascii="ITC Avant Garde" w:hAnsi="ITC Avant Garde"/>
          <w:bCs/>
          <w:color w:val="000000" w:themeColor="text1"/>
          <w:sz w:val="22"/>
          <w:szCs w:val="22"/>
        </w:rPr>
        <w:t>La presente Resolución se emite en el ámbito de aplicación de</w:t>
      </w:r>
      <w:r w:rsidR="008224F0" w:rsidRPr="006A1BCD">
        <w:rPr>
          <w:rFonts w:ascii="ITC Avant Garde" w:hAnsi="ITC Avant Garde"/>
          <w:bCs/>
          <w:color w:val="000000" w:themeColor="text1"/>
          <w:sz w:val="22"/>
          <w:szCs w:val="22"/>
        </w:rPr>
        <w:t>l</w:t>
      </w:r>
      <w:r w:rsidR="00BD0CEE" w:rsidRPr="006A1BCD">
        <w:rPr>
          <w:rFonts w:ascii="ITC Avant Garde" w:hAnsi="ITC Avant Garde"/>
          <w:bCs/>
          <w:color w:val="000000" w:themeColor="text1"/>
          <w:sz w:val="22"/>
          <w:szCs w:val="22"/>
        </w:rPr>
        <w:t xml:space="preserve"> </w:t>
      </w:r>
      <w:r w:rsidR="00F80A22" w:rsidRPr="006A1BCD">
        <w:rPr>
          <w:rFonts w:ascii="ITC Avant Garde" w:hAnsi="ITC Avant Garde"/>
          <w:bCs/>
          <w:color w:val="000000" w:themeColor="text1"/>
          <w:sz w:val="22"/>
          <w:szCs w:val="22"/>
        </w:rPr>
        <w:t xml:space="preserve">artículo 112 de la Ley Federal de Telecomunicaciones y Radiodifusión y no prejuzga sobre las atribuciones que corresponda ejercer al Instituto Federal de Telecomunicaciones en </w:t>
      </w:r>
      <w:r w:rsidR="000D123D" w:rsidRPr="006A1BCD">
        <w:rPr>
          <w:rFonts w:ascii="ITC Avant Garde" w:hAnsi="ITC Avant Garde"/>
          <w:bCs/>
          <w:color w:val="000000" w:themeColor="text1"/>
          <w:sz w:val="22"/>
          <w:szCs w:val="22"/>
        </w:rPr>
        <w:t>materia de competencia económica</w:t>
      </w:r>
      <w:r w:rsidR="00F80A22" w:rsidRPr="006A1BCD">
        <w:rPr>
          <w:rFonts w:ascii="ITC Avant Garde" w:hAnsi="ITC Avant Garde"/>
          <w:bCs/>
          <w:color w:val="000000" w:themeColor="text1"/>
          <w:sz w:val="22"/>
          <w:szCs w:val="22"/>
        </w:rPr>
        <w:t>.</w:t>
      </w:r>
    </w:p>
    <w:p w14:paraId="7E589A63" w14:textId="1BD917AC" w:rsidR="006A1BCD" w:rsidRPr="006A1BCD" w:rsidRDefault="00F51767" w:rsidP="006A1BCD">
      <w:pPr>
        <w:pStyle w:val="Prrafodelista"/>
        <w:ind w:left="0"/>
        <w:jc w:val="both"/>
        <w:rPr>
          <w:rFonts w:ascii="ITC Avant Garde" w:hAnsi="ITC Avant Garde"/>
          <w:color w:val="000000" w:themeColor="text1"/>
          <w:sz w:val="13"/>
          <w:szCs w:val="13"/>
        </w:rPr>
      </w:pPr>
      <w:r w:rsidRPr="006A1BCD">
        <w:rPr>
          <w:rFonts w:ascii="ITC Avant Garde" w:hAnsi="ITC Avant Garde"/>
          <w:color w:val="000000" w:themeColor="text1"/>
          <w:sz w:val="13"/>
          <w:szCs w:val="13"/>
        </w:rPr>
        <w:t xml:space="preserve">La presente Resolución fue aprobada por el Pleno del Instituto Federal de Telecomunicaciones en su XXX Sesión Ordinaria celebrada el 12 de julio de 2017, </w:t>
      </w:r>
      <w:r w:rsidRPr="006A1BCD">
        <w:rPr>
          <w:rFonts w:ascii="ITC Avant Garde" w:hAnsi="ITC Avant Garde"/>
          <w:bCs/>
          <w:color w:val="000000" w:themeColor="text1"/>
          <w:sz w:val="13"/>
          <w:szCs w:val="13"/>
        </w:rPr>
        <w:t>por unanimidad</w:t>
      </w:r>
      <w:r w:rsidRPr="006A1BCD">
        <w:rPr>
          <w:rFonts w:ascii="ITC Avant Garde" w:hAnsi="ITC Avant Garde"/>
          <w:color w:val="000000" w:themeColor="text1"/>
          <w:sz w:val="13"/>
          <w:szCs w:val="13"/>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P/IFT/120717/445.</w:t>
      </w:r>
    </w:p>
    <w:p w14:paraId="0058E0C7" w14:textId="72D63939" w:rsidR="006A1BCD" w:rsidRPr="006A1BCD" w:rsidRDefault="00F51767" w:rsidP="006A1BCD">
      <w:pPr>
        <w:pStyle w:val="N1IFT"/>
        <w:spacing w:after="0" w:line="240" w:lineRule="auto"/>
        <w:rPr>
          <w:b w:val="0"/>
          <w:bCs w:val="0"/>
          <w:color w:val="000000" w:themeColor="text1"/>
          <w:sz w:val="13"/>
          <w:szCs w:val="13"/>
          <w:lang w:val="es-ES"/>
        </w:rPr>
      </w:pPr>
      <w:r w:rsidRPr="006A1BCD">
        <w:rPr>
          <w:b w:val="0"/>
          <w:bCs w:val="0"/>
          <w:color w:val="000000" w:themeColor="text1"/>
          <w:sz w:val="13"/>
          <w:szCs w:val="13"/>
          <w:lang w:val="es-ES"/>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bookmarkStart w:id="0" w:name="_GoBack"/>
      <w:bookmarkEnd w:id="0"/>
    </w:p>
    <w:sectPr w:rsidR="006A1BCD" w:rsidRPr="006A1BCD" w:rsidSect="00C8036A">
      <w:headerReference w:type="default" r:id="rId8"/>
      <w:footerReference w:type="even" r:id="rId9"/>
      <w:footerReference w:type="default" r:id="rId10"/>
      <w:headerReference w:type="first" r:id="rId11"/>
      <w:footerReference w:type="first" r:id="rId12"/>
      <w:pgSz w:w="12240" w:h="15840" w:code="1"/>
      <w:pgMar w:top="1985" w:right="1418" w:bottom="1418" w:left="1418" w:header="992" w:footer="4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379F6" w14:textId="77777777" w:rsidR="00AE3FDE" w:rsidRDefault="00AE3FDE">
      <w:r>
        <w:separator/>
      </w:r>
    </w:p>
  </w:endnote>
  <w:endnote w:type="continuationSeparator" w:id="0">
    <w:p w14:paraId="07093ACB" w14:textId="77777777" w:rsidR="00AE3FDE" w:rsidRDefault="00AE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altName w:val="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1D4C7" w14:textId="77777777" w:rsidR="006A1BCD" w:rsidRDefault="006A67C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6CEBD185" w:rsidR="006A67C2" w:rsidRDefault="006A67C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299930"/>
      <w:docPartObj>
        <w:docPartGallery w:val="Page Numbers (Bottom of Page)"/>
        <w:docPartUnique/>
      </w:docPartObj>
    </w:sdtPr>
    <w:sdtEndPr>
      <w:rPr>
        <w:rFonts w:ascii="ITC Avant Garde" w:hAnsi="ITC Avant Garde"/>
        <w:sz w:val="20"/>
      </w:rPr>
    </w:sdtEndPr>
    <w:sdtContent>
      <w:p w14:paraId="1A8ACE86" w14:textId="659D7196" w:rsidR="006A67C2" w:rsidRPr="00245998" w:rsidRDefault="00C8036A" w:rsidP="00245998">
        <w:pPr>
          <w:pStyle w:val="Piedepgina"/>
          <w:jc w:val="right"/>
          <w:rPr>
            <w:rFonts w:ascii="ITC Avant Garde" w:hAnsi="ITC Avant Garde"/>
            <w:sz w:val="20"/>
          </w:rPr>
        </w:pPr>
        <w:r w:rsidRPr="00A730D4">
          <w:rPr>
            <w:rFonts w:ascii="ITC Avant Garde" w:hAnsi="ITC Avant Garde"/>
            <w:sz w:val="20"/>
          </w:rPr>
          <w:fldChar w:fldCharType="begin"/>
        </w:r>
        <w:r w:rsidRPr="00A730D4">
          <w:rPr>
            <w:rFonts w:ascii="ITC Avant Garde" w:hAnsi="ITC Avant Garde"/>
            <w:sz w:val="20"/>
          </w:rPr>
          <w:instrText>PAGE   \* MERGEFORMAT</w:instrText>
        </w:r>
        <w:r w:rsidRPr="00A730D4">
          <w:rPr>
            <w:rFonts w:ascii="ITC Avant Garde" w:hAnsi="ITC Avant Garde"/>
            <w:sz w:val="20"/>
          </w:rPr>
          <w:fldChar w:fldCharType="separate"/>
        </w:r>
        <w:r w:rsidR="00245998">
          <w:rPr>
            <w:rFonts w:ascii="ITC Avant Garde" w:hAnsi="ITC Avant Garde"/>
            <w:noProof/>
            <w:sz w:val="20"/>
          </w:rPr>
          <w:t>9</w:t>
        </w:r>
        <w:r w:rsidRPr="00A730D4">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94342"/>
      <w:docPartObj>
        <w:docPartGallery w:val="Page Numbers (Bottom of Page)"/>
        <w:docPartUnique/>
      </w:docPartObj>
    </w:sdtPr>
    <w:sdtEndPr>
      <w:rPr>
        <w:rFonts w:ascii="ITC Avant Garde" w:hAnsi="ITC Avant Garde"/>
        <w:sz w:val="20"/>
      </w:rPr>
    </w:sdtEndPr>
    <w:sdtContent>
      <w:p w14:paraId="51DBA246" w14:textId="77777777" w:rsidR="006A1BCD" w:rsidRDefault="00C8036A">
        <w:pPr>
          <w:pStyle w:val="Piedepgina"/>
          <w:jc w:val="right"/>
          <w:rPr>
            <w:rFonts w:ascii="ITC Avant Garde" w:hAnsi="ITC Avant Garde"/>
            <w:sz w:val="20"/>
          </w:rPr>
        </w:pPr>
        <w:r w:rsidRPr="00C8036A">
          <w:rPr>
            <w:rFonts w:ascii="ITC Avant Garde" w:hAnsi="ITC Avant Garde"/>
            <w:sz w:val="20"/>
          </w:rPr>
          <w:fldChar w:fldCharType="begin"/>
        </w:r>
        <w:r w:rsidRPr="00C8036A">
          <w:rPr>
            <w:rFonts w:ascii="ITC Avant Garde" w:hAnsi="ITC Avant Garde"/>
            <w:sz w:val="20"/>
          </w:rPr>
          <w:instrText>PAGE   \* MERGEFORMAT</w:instrText>
        </w:r>
        <w:r w:rsidRPr="00C8036A">
          <w:rPr>
            <w:rFonts w:ascii="ITC Avant Garde" w:hAnsi="ITC Avant Garde"/>
            <w:sz w:val="20"/>
          </w:rPr>
          <w:fldChar w:fldCharType="separate"/>
        </w:r>
        <w:r w:rsidR="00245998">
          <w:rPr>
            <w:rFonts w:ascii="ITC Avant Garde" w:hAnsi="ITC Avant Garde"/>
            <w:noProof/>
            <w:sz w:val="20"/>
          </w:rPr>
          <w:t>1</w:t>
        </w:r>
        <w:r w:rsidRPr="00C8036A">
          <w:rPr>
            <w:rFonts w:ascii="ITC Avant Garde" w:hAnsi="ITC Avant Garde"/>
            <w:sz w:val="20"/>
          </w:rPr>
          <w:fldChar w:fldCharType="end"/>
        </w:r>
      </w:p>
    </w:sdtContent>
  </w:sdt>
  <w:p w14:paraId="13477A63" w14:textId="1ED7A4D8" w:rsidR="006A67C2" w:rsidRPr="004C7979" w:rsidRDefault="006A67C2" w:rsidP="00423DEC">
    <w:pPr>
      <w:pStyle w:val="Piedepgin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AD546" w14:textId="77777777" w:rsidR="00AE3FDE" w:rsidRDefault="00AE3FDE">
      <w:r>
        <w:separator/>
      </w:r>
    </w:p>
  </w:footnote>
  <w:footnote w:type="continuationSeparator" w:id="0">
    <w:p w14:paraId="3002ACC4" w14:textId="77777777" w:rsidR="00AE3FDE" w:rsidRDefault="00AE3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FD125" w14:textId="77777777" w:rsidR="006A67C2" w:rsidRDefault="006A67C2" w:rsidP="00C30C97">
    <w:pPr>
      <w:pStyle w:val="Encabezado"/>
      <w:ind w:left="5670"/>
      <w:rPr>
        <w:rFonts w:ascii="ITC Avant Garde" w:hAnsi="ITC Avant Garde" w:cs="Calibri"/>
        <w:b/>
        <w:noProof/>
        <w:sz w:val="22"/>
        <w:szCs w:val="22"/>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18DFC" w14:textId="2986D8EA" w:rsidR="006A67C2" w:rsidRDefault="006A67C2" w:rsidP="003E5296">
    <w:pPr>
      <w:tabs>
        <w:tab w:val="left" w:pos="9498"/>
      </w:tabs>
      <w:ind w:left="5670" w:right="278"/>
      <w:jc w:val="both"/>
      <w:rPr>
        <w:rFonts w:ascii="ITC Avant Garde" w:hAnsi="ITC Avant Garde" w:cs="Calibr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55B9"/>
    <w:multiLevelType w:val="hybridMultilevel"/>
    <w:tmpl w:val="FC34EA80"/>
    <w:lvl w:ilvl="0" w:tplc="141CDD56">
      <w:start w:val="1"/>
      <w:numFmt w:val="upperRoman"/>
      <w:lvlText w:val="%1."/>
      <w:lvlJc w:val="left"/>
      <w:pPr>
        <w:ind w:left="720" w:hanging="360"/>
      </w:pPr>
      <w:rPr>
        <w:rFonts w:ascii="ITC Avant Garde Std Bk" w:eastAsia="Calibri" w:hAnsi="ITC Avant Garde Std Bk" w:cs="Times New Roman"/>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FE7B19"/>
    <w:multiLevelType w:val="hybridMultilevel"/>
    <w:tmpl w:val="63F05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AF26D1"/>
    <w:multiLevelType w:val="hybridMultilevel"/>
    <w:tmpl w:val="868415E2"/>
    <w:lvl w:ilvl="0" w:tplc="C376225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BF4F09"/>
    <w:multiLevelType w:val="hybridMultilevel"/>
    <w:tmpl w:val="FDF41318"/>
    <w:lvl w:ilvl="0" w:tplc="42947E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6" w15:restartNumberingAfterBreak="0">
    <w:nsid w:val="22F55101"/>
    <w:multiLevelType w:val="hybridMultilevel"/>
    <w:tmpl w:val="87AC3CAA"/>
    <w:lvl w:ilvl="0" w:tplc="D3ECAB92">
      <w:start w:val="1"/>
      <w:numFmt w:val="upperRoman"/>
      <w:lvlText w:val="%1."/>
      <w:lvlJc w:val="left"/>
      <w:pPr>
        <w:ind w:left="1080" w:hanging="720"/>
      </w:pPr>
      <w:rPr>
        <w:rFonts w:ascii="ITC Avant Garde Std Bk" w:eastAsia="Calibri" w:hAnsi="ITC Avant Garde Std Bk" w:cs="Times New Roman"/>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4494432"/>
    <w:multiLevelType w:val="hybridMultilevel"/>
    <w:tmpl w:val="51C8BDFC"/>
    <w:lvl w:ilvl="0" w:tplc="F9CEF888">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F72AD6"/>
    <w:multiLevelType w:val="hybridMultilevel"/>
    <w:tmpl w:val="37BCB1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D21D65"/>
    <w:multiLevelType w:val="hybridMultilevel"/>
    <w:tmpl w:val="B73E3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1E5EC4"/>
    <w:multiLevelType w:val="hybridMultilevel"/>
    <w:tmpl w:val="9C8634B4"/>
    <w:lvl w:ilvl="0" w:tplc="DF7661D4">
      <w:start w:val="5"/>
      <w:numFmt w:val="decimal"/>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6B1F71"/>
    <w:multiLevelType w:val="hybridMultilevel"/>
    <w:tmpl w:val="C900B31E"/>
    <w:lvl w:ilvl="0" w:tplc="F7507C9E">
      <w:start w:val="8"/>
      <w:numFmt w:val="decimal"/>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CF4356"/>
    <w:multiLevelType w:val="hybridMultilevel"/>
    <w:tmpl w:val="61D0CA5C"/>
    <w:lvl w:ilvl="0" w:tplc="58BE0C9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4404052"/>
    <w:multiLevelType w:val="hybridMultilevel"/>
    <w:tmpl w:val="BDA051FE"/>
    <w:lvl w:ilvl="0" w:tplc="31FC1C52">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4" w15:restartNumberingAfterBreak="0">
    <w:nsid w:val="3555341A"/>
    <w:multiLevelType w:val="hybridMultilevel"/>
    <w:tmpl w:val="2A10FD0A"/>
    <w:lvl w:ilvl="0" w:tplc="080A0015">
      <w:start w:val="1"/>
      <w:numFmt w:val="upp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35BF29EB"/>
    <w:multiLevelType w:val="hybridMultilevel"/>
    <w:tmpl w:val="8A648AF2"/>
    <w:lvl w:ilvl="0" w:tplc="F80C681A">
      <w:start w:val="1"/>
      <w:numFmt w:val="decimal"/>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6" w15:restartNumberingAfterBreak="0">
    <w:nsid w:val="43043D99"/>
    <w:multiLevelType w:val="hybridMultilevel"/>
    <w:tmpl w:val="B3601E4E"/>
    <w:lvl w:ilvl="0" w:tplc="141CDD56">
      <w:start w:val="1"/>
      <w:numFmt w:val="upperRoman"/>
      <w:lvlText w:val="%1."/>
      <w:lvlJc w:val="left"/>
      <w:pPr>
        <w:ind w:left="720" w:hanging="360"/>
      </w:pPr>
      <w:rPr>
        <w:rFonts w:ascii="ITC Avant Garde Std Bk" w:eastAsia="Calibri" w:hAnsi="ITC Avant Garde Std Bk" w:cs="Times New Roman"/>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EE7362"/>
    <w:multiLevelType w:val="hybridMultilevel"/>
    <w:tmpl w:val="D8B08B9A"/>
    <w:lvl w:ilvl="0" w:tplc="D3ECAB92">
      <w:start w:val="1"/>
      <w:numFmt w:val="upperRoman"/>
      <w:lvlText w:val="%1."/>
      <w:lvlJc w:val="left"/>
      <w:pPr>
        <w:ind w:left="2563" w:hanging="720"/>
      </w:pPr>
      <w:rPr>
        <w:rFonts w:ascii="ITC Avant Garde Std Bk" w:eastAsia="Calibri" w:hAnsi="ITC Avant Garde Std Bk" w:cs="Times New Roman"/>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1420BCE"/>
    <w:multiLevelType w:val="hybridMultilevel"/>
    <w:tmpl w:val="AAB800DA"/>
    <w:lvl w:ilvl="0" w:tplc="4336F62C">
      <w:start w:val="30"/>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1421C86"/>
    <w:multiLevelType w:val="hybridMultilevel"/>
    <w:tmpl w:val="3E1C1138"/>
    <w:lvl w:ilvl="0" w:tplc="69C08128">
      <w:start w:val="1"/>
      <w:numFmt w:val="upperRoman"/>
      <w:lvlText w:val="%1."/>
      <w:lvlJc w:val="left"/>
      <w:pPr>
        <w:ind w:left="1996" w:hanging="720"/>
      </w:pPr>
      <w:rPr>
        <w:rFonts w:hint="default"/>
      </w:rPr>
    </w:lvl>
    <w:lvl w:ilvl="1" w:tplc="080A0019">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0" w15:restartNumberingAfterBreak="0">
    <w:nsid w:val="52E733EA"/>
    <w:multiLevelType w:val="hybridMultilevel"/>
    <w:tmpl w:val="C110335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1" w15:restartNumberingAfterBreak="0">
    <w:nsid w:val="54A50DE8"/>
    <w:multiLevelType w:val="hybridMultilevel"/>
    <w:tmpl w:val="D4D47C88"/>
    <w:lvl w:ilvl="0" w:tplc="D0561FE4">
      <w:start w:val="1"/>
      <w:numFmt w:val="low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2" w15:restartNumberingAfterBreak="0">
    <w:nsid w:val="55AB4C0B"/>
    <w:multiLevelType w:val="hybridMultilevel"/>
    <w:tmpl w:val="4C06FD72"/>
    <w:lvl w:ilvl="0" w:tplc="8BFE316C">
      <w:start w:val="1"/>
      <w:numFmt w:val="upperRoman"/>
      <w:lvlText w:val="%1."/>
      <w:lvlJc w:val="left"/>
      <w:pPr>
        <w:ind w:left="720" w:hanging="360"/>
      </w:pPr>
      <w:rPr>
        <w:rFonts w:ascii="ITC Avant Garde Std Bk" w:eastAsia="Calibri" w:hAnsi="ITC Avant Garde Std Bk" w:cs="Times New Roman"/>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DA439E"/>
    <w:multiLevelType w:val="hybridMultilevel"/>
    <w:tmpl w:val="D7CE8474"/>
    <w:lvl w:ilvl="0" w:tplc="83B2D32C">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4" w15:restartNumberingAfterBreak="0">
    <w:nsid w:val="59AB49B8"/>
    <w:multiLevelType w:val="hybridMultilevel"/>
    <w:tmpl w:val="61D0CA5C"/>
    <w:lvl w:ilvl="0" w:tplc="58BE0C9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E6B6A8F"/>
    <w:multiLevelType w:val="hybridMultilevel"/>
    <w:tmpl w:val="ABF218E2"/>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A56E74"/>
    <w:multiLevelType w:val="hybridMultilevel"/>
    <w:tmpl w:val="16A64B4E"/>
    <w:lvl w:ilvl="0" w:tplc="080A0017">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7" w15:restartNumberingAfterBreak="0">
    <w:nsid w:val="67156053"/>
    <w:multiLevelType w:val="hybridMultilevel"/>
    <w:tmpl w:val="217E496A"/>
    <w:lvl w:ilvl="0" w:tplc="141CDD56">
      <w:start w:val="1"/>
      <w:numFmt w:val="upperRoman"/>
      <w:lvlText w:val="%1."/>
      <w:lvlJc w:val="left"/>
      <w:pPr>
        <w:ind w:left="720" w:hanging="360"/>
      </w:pPr>
      <w:rPr>
        <w:rFonts w:ascii="ITC Avant Garde Std Bk" w:eastAsia="Calibri" w:hAnsi="ITC Avant Garde Std Bk" w:cs="Times New Roman"/>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7351662"/>
    <w:multiLevelType w:val="hybridMultilevel"/>
    <w:tmpl w:val="E8E2C59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15:restartNumberingAfterBreak="0">
    <w:nsid w:val="6ADF4989"/>
    <w:multiLevelType w:val="hybridMultilevel"/>
    <w:tmpl w:val="C0D4FF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6F655080"/>
    <w:multiLevelType w:val="hybridMultilevel"/>
    <w:tmpl w:val="A96E4EF8"/>
    <w:lvl w:ilvl="0" w:tplc="C4A22A9A">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1286D80"/>
    <w:multiLevelType w:val="hybridMultilevel"/>
    <w:tmpl w:val="D65293A0"/>
    <w:lvl w:ilvl="0" w:tplc="0DE2DD3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5A5F55"/>
    <w:multiLevelType w:val="hybridMultilevel"/>
    <w:tmpl w:val="868415E2"/>
    <w:lvl w:ilvl="0" w:tplc="C376225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BDB5E6A"/>
    <w:multiLevelType w:val="hybridMultilevel"/>
    <w:tmpl w:val="EE5492AC"/>
    <w:lvl w:ilvl="0" w:tplc="E70A2732">
      <w:start w:val="3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9"/>
  </w:num>
  <w:num w:numId="3">
    <w:abstractNumId w:val="12"/>
  </w:num>
  <w:num w:numId="4">
    <w:abstractNumId w:val="19"/>
  </w:num>
  <w:num w:numId="5">
    <w:abstractNumId w:val="4"/>
  </w:num>
  <w:num w:numId="6">
    <w:abstractNumId w:val="5"/>
  </w:num>
  <w:num w:numId="7">
    <w:abstractNumId w:val="8"/>
  </w:num>
  <w:num w:numId="8">
    <w:abstractNumId w:val="28"/>
  </w:num>
  <w:num w:numId="9">
    <w:abstractNumId w:val="25"/>
  </w:num>
  <w:num w:numId="10">
    <w:abstractNumId w:val="30"/>
  </w:num>
  <w:num w:numId="11">
    <w:abstractNumId w:val="1"/>
  </w:num>
  <w:num w:numId="12">
    <w:abstractNumId w:val="9"/>
  </w:num>
  <w:num w:numId="13">
    <w:abstractNumId w:val="20"/>
  </w:num>
  <w:num w:numId="14">
    <w:abstractNumId w:val="24"/>
  </w:num>
  <w:num w:numId="15">
    <w:abstractNumId w:val="3"/>
  </w:num>
  <w:num w:numId="16">
    <w:abstractNumId w:val="31"/>
  </w:num>
  <w:num w:numId="17">
    <w:abstractNumId w:val="13"/>
  </w:num>
  <w:num w:numId="18">
    <w:abstractNumId w:val="10"/>
  </w:num>
  <w:num w:numId="19">
    <w:abstractNumId w:val="11"/>
  </w:num>
  <w:num w:numId="20">
    <w:abstractNumId w:val="15"/>
  </w:num>
  <w:num w:numId="21">
    <w:abstractNumId w:val="21"/>
  </w:num>
  <w:num w:numId="22">
    <w:abstractNumId w:val="26"/>
  </w:num>
  <w:num w:numId="23">
    <w:abstractNumId w:val="23"/>
  </w:num>
  <w:num w:numId="24">
    <w:abstractNumId w:val="17"/>
  </w:num>
  <w:num w:numId="25">
    <w:abstractNumId w:val="14"/>
  </w:num>
  <w:num w:numId="26">
    <w:abstractNumId w:val="27"/>
  </w:num>
  <w:num w:numId="27">
    <w:abstractNumId w:val="16"/>
  </w:num>
  <w:num w:numId="28">
    <w:abstractNumId w:val="22"/>
  </w:num>
  <w:num w:numId="29">
    <w:abstractNumId w:val="0"/>
  </w:num>
  <w:num w:numId="30">
    <w:abstractNumId w:val="33"/>
  </w:num>
  <w:num w:numId="31">
    <w:abstractNumId w:val="6"/>
  </w:num>
  <w:num w:numId="32">
    <w:abstractNumId w:val="18"/>
  </w:num>
  <w:num w:numId="33">
    <w:abstractNumId w:val="32"/>
  </w:num>
  <w:num w:numId="34">
    <w:abstractNumId w:val="2"/>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7F"/>
    <w:rsid w:val="000025F2"/>
    <w:rsid w:val="000047FB"/>
    <w:rsid w:val="00004A1B"/>
    <w:rsid w:val="000051F4"/>
    <w:rsid w:val="000055FA"/>
    <w:rsid w:val="0000607E"/>
    <w:rsid w:val="000067ED"/>
    <w:rsid w:val="00006E01"/>
    <w:rsid w:val="00006F51"/>
    <w:rsid w:val="000074E2"/>
    <w:rsid w:val="00010729"/>
    <w:rsid w:val="00011AFB"/>
    <w:rsid w:val="00013843"/>
    <w:rsid w:val="000138AD"/>
    <w:rsid w:val="00013D3C"/>
    <w:rsid w:val="00014500"/>
    <w:rsid w:val="00015968"/>
    <w:rsid w:val="00015DBA"/>
    <w:rsid w:val="00017241"/>
    <w:rsid w:val="0001764E"/>
    <w:rsid w:val="000178CF"/>
    <w:rsid w:val="000200E5"/>
    <w:rsid w:val="00020212"/>
    <w:rsid w:val="000203A5"/>
    <w:rsid w:val="00020690"/>
    <w:rsid w:val="00020849"/>
    <w:rsid w:val="00020B7D"/>
    <w:rsid w:val="00022AA1"/>
    <w:rsid w:val="00022D0A"/>
    <w:rsid w:val="00022D3F"/>
    <w:rsid w:val="00023B92"/>
    <w:rsid w:val="00023FC3"/>
    <w:rsid w:val="00025D60"/>
    <w:rsid w:val="00025F7E"/>
    <w:rsid w:val="000276D8"/>
    <w:rsid w:val="00030964"/>
    <w:rsid w:val="00030A33"/>
    <w:rsid w:val="00030F1A"/>
    <w:rsid w:val="00030FC5"/>
    <w:rsid w:val="00031895"/>
    <w:rsid w:val="00031FB4"/>
    <w:rsid w:val="00032351"/>
    <w:rsid w:val="00033322"/>
    <w:rsid w:val="000333A0"/>
    <w:rsid w:val="00033B4C"/>
    <w:rsid w:val="00034023"/>
    <w:rsid w:val="000347B5"/>
    <w:rsid w:val="00034C16"/>
    <w:rsid w:val="00034FCF"/>
    <w:rsid w:val="000359A4"/>
    <w:rsid w:val="000363F8"/>
    <w:rsid w:val="000364BD"/>
    <w:rsid w:val="00036D34"/>
    <w:rsid w:val="00037297"/>
    <w:rsid w:val="000372C5"/>
    <w:rsid w:val="000378D9"/>
    <w:rsid w:val="00037F2D"/>
    <w:rsid w:val="00040D2E"/>
    <w:rsid w:val="00040E84"/>
    <w:rsid w:val="000413E7"/>
    <w:rsid w:val="00041BEC"/>
    <w:rsid w:val="00041FC1"/>
    <w:rsid w:val="0004241F"/>
    <w:rsid w:val="00042F69"/>
    <w:rsid w:val="00043113"/>
    <w:rsid w:val="0004373E"/>
    <w:rsid w:val="0004437B"/>
    <w:rsid w:val="00044F30"/>
    <w:rsid w:val="00045929"/>
    <w:rsid w:val="00046288"/>
    <w:rsid w:val="000463C3"/>
    <w:rsid w:val="00046C8C"/>
    <w:rsid w:val="00050B60"/>
    <w:rsid w:val="000515FD"/>
    <w:rsid w:val="00051AE6"/>
    <w:rsid w:val="00051D63"/>
    <w:rsid w:val="0005274E"/>
    <w:rsid w:val="00052829"/>
    <w:rsid w:val="00052D9F"/>
    <w:rsid w:val="000533A1"/>
    <w:rsid w:val="0005402F"/>
    <w:rsid w:val="0005451A"/>
    <w:rsid w:val="00054949"/>
    <w:rsid w:val="00055803"/>
    <w:rsid w:val="00056F87"/>
    <w:rsid w:val="00057FD1"/>
    <w:rsid w:val="000606FB"/>
    <w:rsid w:val="00061842"/>
    <w:rsid w:val="00061C64"/>
    <w:rsid w:val="000624EE"/>
    <w:rsid w:val="000627E2"/>
    <w:rsid w:val="00062AB7"/>
    <w:rsid w:val="00062B07"/>
    <w:rsid w:val="0006346B"/>
    <w:rsid w:val="000635C5"/>
    <w:rsid w:val="00063A27"/>
    <w:rsid w:val="000650D6"/>
    <w:rsid w:val="000659D0"/>
    <w:rsid w:val="00066A93"/>
    <w:rsid w:val="000673B3"/>
    <w:rsid w:val="00067854"/>
    <w:rsid w:val="00067C16"/>
    <w:rsid w:val="00067F82"/>
    <w:rsid w:val="000701E9"/>
    <w:rsid w:val="000704E0"/>
    <w:rsid w:val="000705A3"/>
    <w:rsid w:val="000705C0"/>
    <w:rsid w:val="00070EFF"/>
    <w:rsid w:val="00071099"/>
    <w:rsid w:val="000711FE"/>
    <w:rsid w:val="00072801"/>
    <w:rsid w:val="00073606"/>
    <w:rsid w:val="00074169"/>
    <w:rsid w:val="00074E75"/>
    <w:rsid w:val="00075479"/>
    <w:rsid w:val="00075A4E"/>
    <w:rsid w:val="00075AB9"/>
    <w:rsid w:val="0007776F"/>
    <w:rsid w:val="00077C72"/>
    <w:rsid w:val="00080445"/>
    <w:rsid w:val="000808CF"/>
    <w:rsid w:val="0008095F"/>
    <w:rsid w:val="00081E5C"/>
    <w:rsid w:val="00081FA3"/>
    <w:rsid w:val="00083218"/>
    <w:rsid w:val="000839A1"/>
    <w:rsid w:val="00083B87"/>
    <w:rsid w:val="00083DDC"/>
    <w:rsid w:val="00083FBA"/>
    <w:rsid w:val="00084D15"/>
    <w:rsid w:val="00084FA2"/>
    <w:rsid w:val="000852D5"/>
    <w:rsid w:val="00085950"/>
    <w:rsid w:val="00086145"/>
    <w:rsid w:val="00086454"/>
    <w:rsid w:val="00086B71"/>
    <w:rsid w:val="00086E86"/>
    <w:rsid w:val="00086F10"/>
    <w:rsid w:val="000872DE"/>
    <w:rsid w:val="00087C4D"/>
    <w:rsid w:val="00093253"/>
    <w:rsid w:val="00093370"/>
    <w:rsid w:val="000934F3"/>
    <w:rsid w:val="000939CC"/>
    <w:rsid w:val="00093CC4"/>
    <w:rsid w:val="000946A7"/>
    <w:rsid w:val="000948A0"/>
    <w:rsid w:val="00094EFD"/>
    <w:rsid w:val="00094FD7"/>
    <w:rsid w:val="00095600"/>
    <w:rsid w:val="0009592D"/>
    <w:rsid w:val="00095AE6"/>
    <w:rsid w:val="00095F7A"/>
    <w:rsid w:val="000966E9"/>
    <w:rsid w:val="000973F9"/>
    <w:rsid w:val="000977B6"/>
    <w:rsid w:val="000A0101"/>
    <w:rsid w:val="000A267F"/>
    <w:rsid w:val="000A4944"/>
    <w:rsid w:val="000A532A"/>
    <w:rsid w:val="000A5802"/>
    <w:rsid w:val="000A5BD3"/>
    <w:rsid w:val="000A5D2F"/>
    <w:rsid w:val="000A5E2A"/>
    <w:rsid w:val="000B0CBA"/>
    <w:rsid w:val="000B166C"/>
    <w:rsid w:val="000B2094"/>
    <w:rsid w:val="000B2548"/>
    <w:rsid w:val="000B2D65"/>
    <w:rsid w:val="000B3640"/>
    <w:rsid w:val="000B3DFF"/>
    <w:rsid w:val="000B436B"/>
    <w:rsid w:val="000B4E86"/>
    <w:rsid w:val="000B51C0"/>
    <w:rsid w:val="000B5478"/>
    <w:rsid w:val="000B57F2"/>
    <w:rsid w:val="000B6F2B"/>
    <w:rsid w:val="000B7735"/>
    <w:rsid w:val="000B7B62"/>
    <w:rsid w:val="000B7DEE"/>
    <w:rsid w:val="000C3297"/>
    <w:rsid w:val="000C32E0"/>
    <w:rsid w:val="000C7383"/>
    <w:rsid w:val="000C7B32"/>
    <w:rsid w:val="000D08BB"/>
    <w:rsid w:val="000D123D"/>
    <w:rsid w:val="000D1296"/>
    <w:rsid w:val="000D1EC7"/>
    <w:rsid w:val="000D23FD"/>
    <w:rsid w:val="000D474E"/>
    <w:rsid w:val="000D4E02"/>
    <w:rsid w:val="000D67F3"/>
    <w:rsid w:val="000D6B29"/>
    <w:rsid w:val="000D73CC"/>
    <w:rsid w:val="000D7607"/>
    <w:rsid w:val="000D7878"/>
    <w:rsid w:val="000D7C78"/>
    <w:rsid w:val="000E0803"/>
    <w:rsid w:val="000E0D15"/>
    <w:rsid w:val="000E0D7B"/>
    <w:rsid w:val="000E0D7F"/>
    <w:rsid w:val="000E0FC2"/>
    <w:rsid w:val="000E18D2"/>
    <w:rsid w:val="000E2405"/>
    <w:rsid w:val="000E2F60"/>
    <w:rsid w:val="000E38E4"/>
    <w:rsid w:val="000E42AF"/>
    <w:rsid w:val="000E4B54"/>
    <w:rsid w:val="000E61BE"/>
    <w:rsid w:val="000E6573"/>
    <w:rsid w:val="000E6DE8"/>
    <w:rsid w:val="000F02B1"/>
    <w:rsid w:val="000F0C7C"/>
    <w:rsid w:val="000F119B"/>
    <w:rsid w:val="000F1B10"/>
    <w:rsid w:val="000F238B"/>
    <w:rsid w:val="000F2472"/>
    <w:rsid w:val="000F25F4"/>
    <w:rsid w:val="000F2906"/>
    <w:rsid w:val="000F2BDC"/>
    <w:rsid w:val="000F2CDA"/>
    <w:rsid w:val="000F3BAB"/>
    <w:rsid w:val="000F41FA"/>
    <w:rsid w:val="000F47A9"/>
    <w:rsid w:val="000F490D"/>
    <w:rsid w:val="000F4E19"/>
    <w:rsid w:val="000F5441"/>
    <w:rsid w:val="000F5A77"/>
    <w:rsid w:val="000F68DA"/>
    <w:rsid w:val="000F7BD0"/>
    <w:rsid w:val="001004A4"/>
    <w:rsid w:val="00100662"/>
    <w:rsid w:val="00101477"/>
    <w:rsid w:val="00101675"/>
    <w:rsid w:val="0010169C"/>
    <w:rsid w:val="0010174B"/>
    <w:rsid w:val="00101DF0"/>
    <w:rsid w:val="00102D0F"/>
    <w:rsid w:val="00102F38"/>
    <w:rsid w:val="00103B77"/>
    <w:rsid w:val="00104A38"/>
    <w:rsid w:val="00104C40"/>
    <w:rsid w:val="00105458"/>
    <w:rsid w:val="001068CA"/>
    <w:rsid w:val="00106D48"/>
    <w:rsid w:val="00107503"/>
    <w:rsid w:val="00110AC2"/>
    <w:rsid w:val="00111A91"/>
    <w:rsid w:val="001120C4"/>
    <w:rsid w:val="001126EC"/>
    <w:rsid w:val="00112A9A"/>
    <w:rsid w:val="0011343A"/>
    <w:rsid w:val="00113AB3"/>
    <w:rsid w:val="001147B6"/>
    <w:rsid w:val="00114ABF"/>
    <w:rsid w:val="001151FC"/>
    <w:rsid w:val="00116552"/>
    <w:rsid w:val="001166E4"/>
    <w:rsid w:val="0011721A"/>
    <w:rsid w:val="001172F1"/>
    <w:rsid w:val="00117AF7"/>
    <w:rsid w:val="0012024D"/>
    <w:rsid w:val="00120803"/>
    <w:rsid w:val="00121BD6"/>
    <w:rsid w:val="00122D64"/>
    <w:rsid w:val="00123CE7"/>
    <w:rsid w:val="00124845"/>
    <w:rsid w:val="0012497F"/>
    <w:rsid w:val="00124B76"/>
    <w:rsid w:val="0012642E"/>
    <w:rsid w:val="00126441"/>
    <w:rsid w:val="00127010"/>
    <w:rsid w:val="001305DA"/>
    <w:rsid w:val="00131E87"/>
    <w:rsid w:val="00132BF6"/>
    <w:rsid w:val="00133255"/>
    <w:rsid w:val="00134442"/>
    <w:rsid w:val="00134D8E"/>
    <w:rsid w:val="00135C24"/>
    <w:rsid w:val="00135C45"/>
    <w:rsid w:val="00136A5D"/>
    <w:rsid w:val="00137876"/>
    <w:rsid w:val="0013791C"/>
    <w:rsid w:val="00137EE0"/>
    <w:rsid w:val="00140B5C"/>
    <w:rsid w:val="00140FBF"/>
    <w:rsid w:val="0014159A"/>
    <w:rsid w:val="001419EB"/>
    <w:rsid w:val="00141CDA"/>
    <w:rsid w:val="00141CF7"/>
    <w:rsid w:val="00141D4D"/>
    <w:rsid w:val="00143CF8"/>
    <w:rsid w:val="00143F9B"/>
    <w:rsid w:val="001449A3"/>
    <w:rsid w:val="001462C5"/>
    <w:rsid w:val="00146342"/>
    <w:rsid w:val="00146A83"/>
    <w:rsid w:val="00146F03"/>
    <w:rsid w:val="00147831"/>
    <w:rsid w:val="001478B7"/>
    <w:rsid w:val="00147DB2"/>
    <w:rsid w:val="0015046E"/>
    <w:rsid w:val="00150FE3"/>
    <w:rsid w:val="00151162"/>
    <w:rsid w:val="001524BD"/>
    <w:rsid w:val="0015590E"/>
    <w:rsid w:val="00155941"/>
    <w:rsid w:val="00156AEC"/>
    <w:rsid w:val="001574BC"/>
    <w:rsid w:val="00161A31"/>
    <w:rsid w:val="00161B53"/>
    <w:rsid w:val="0016262B"/>
    <w:rsid w:val="00162F64"/>
    <w:rsid w:val="0016430C"/>
    <w:rsid w:val="00164DD0"/>
    <w:rsid w:val="001650D0"/>
    <w:rsid w:val="001661EE"/>
    <w:rsid w:val="00166E66"/>
    <w:rsid w:val="00167D38"/>
    <w:rsid w:val="001707FA"/>
    <w:rsid w:val="0017192E"/>
    <w:rsid w:val="00171DF9"/>
    <w:rsid w:val="00171F4A"/>
    <w:rsid w:val="00172A3D"/>
    <w:rsid w:val="0017381D"/>
    <w:rsid w:val="00173D77"/>
    <w:rsid w:val="001740E3"/>
    <w:rsid w:val="00174541"/>
    <w:rsid w:val="00174FDC"/>
    <w:rsid w:val="00175A43"/>
    <w:rsid w:val="001763D8"/>
    <w:rsid w:val="001768B3"/>
    <w:rsid w:val="00177D5D"/>
    <w:rsid w:val="001820D4"/>
    <w:rsid w:val="001823D1"/>
    <w:rsid w:val="001833AA"/>
    <w:rsid w:val="001833F2"/>
    <w:rsid w:val="00184339"/>
    <w:rsid w:val="00187261"/>
    <w:rsid w:val="0019107E"/>
    <w:rsid w:val="00193464"/>
    <w:rsid w:val="00193B5B"/>
    <w:rsid w:val="00194C30"/>
    <w:rsid w:val="00195355"/>
    <w:rsid w:val="00195492"/>
    <w:rsid w:val="0019596D"/>
    <w:rsid w:val="0019694F"/>
    <w:rsid w:val="0019770A"/>
    <w:rsid w:val="001978F5"/>
    <w:rsid w:val="00197D54"/>
    <w:rsid w:val="001A1A21"/>
    <w:rsid w:val="001A4604"/>
    <w:rsid w:val="001A48FB"/>
    <w:rsid w:val="001A4BD8"/>
    <w:rsid w:val="001A51A5"/>
    <w:rsid w:val="001A55E4"/>
    <w:rsid w:val="001A6399"/>
    <w:rsid w:val="001A6F66"/>
    <w:rsid w:val="001A7036"/>
    <w:rsid w:val="001A760F"/>
    <w:rsid w:val="001A79E3"/>
    <w:rsid w:val="001B0E28"/>
    <w:rsid w:val="001B30EA"/>
    <w:rsid w:val="001B33F4"/>
    <w:rsid w:val="001B4C37"/>
    <w:rsid w:val="001B51F0"/>
    <w:rsid w:val="001B6138"/>
    <w:rsid w:val="001B636B"/>
    <w:rsid w:val="001B65C9"/>
    <w:rsid w:val="001C0366"/>
    <w:rsid w:val="001C07CF"/>
    <w:rsid w:val="001C1477"/>
    <w:rsid w:val="001C1A12"/>
    <w:rsid w:val="001C1A58"/>
    <w:rsid w:val="001C201F"/>
    <w:rsid w:val="001C2A9D"/>
    <w:rsid w:val="001C31AE"/>
    <w:rsid w:val="001C3DFA"/>
    <w:rsid w:val="001C4436"/>
    <w:rsid w:val="001C443E"/>
    <w:rsid w:val="001C4624"/>
    <w:rsid w:val="001C4A89"/>
    <w:rsid w:val="001C4AC9"/>
    <w:rsid w:val="001C4B3B"/>
    <w:rsid w:val="001C4E08"/>
    <w:rsid w:val="001C6B89"/>
    <w:rsid w:val="001C6B94"/>
    <w:rsid w:val="001C6CC2"/>
    <w:rsid w:val="001D0BC5"/>
    <w:rsid w:val="001D0E5A"/>
    <w:rsid w:val="001D17D3"/>
    <w:rsid w:val="001D24A2"/>
    <w:rsid w:val="001D2829"/>
    <w:rsid w:val="001D3349"/>
    <w:rsid w:val="001D3358"/>
    <w:rsid w:val="001D41A6"/>
    <w:rsid w:val="001D4AE3"/>
    <w:rsid w:val="001D4D5B"/>
    <w:rsid w:val="001D53C7"/>
    <w:rsid w:val="001D5ADB"/>
    <w:rsid w:val="001D5D4E"/>
    <w:rsid w:val="001D5DE2"/>
    <w:rsid w:val="001D679A"/>
    <w:rsid w:val="001D6A1F"/>
    <w:rsid w:val="001D6D66"/>
    <w:rsid w:val="001E04A7"/>
    <w:rsid w:val="001E05C4"/>
    <w:rsid w:val="001E06F7"/>
    <w:rsid w:val="001E0CBE"/>
    <w:rsid w:val="001E0D66"/>
    <w:rsid w:val="001E1576"/>
    <w:rsid w:val="001E30DB"/>
    <w:rsid w:val="001E33CE"/>
    <w:rsid w:val="001E3E15"/>
    <w:rsid w:val="001E47AA"/>
    <w:rsid w:val="001E5258"/>
    <w:rsid w:val="001E571D"/>
    <w:rsid w:val="001E5F01"/>
    <w:rsid w:val="001E70F1"/>
    <w:rsid w:val="001E7209"/>
    <w:rsid w:val="001F0027"/>
    <w:rsid w:val="001F08C9"/>
    <w:rsid w:val="001F3C6E"/>
    <w:rsid w:val="001F68CC"/>
    <w:rsid w:val="001F7293"/>
    <w:rsid w:val="001F761B"/>
    <w:rsid w:val="001F7DC7"/>
    <w:rsid w:val="00200B4D"/>
    <w:rsid w:val="00200B72"/>
    <w:rsid w:val="0020364B"/>
    <w:rsid w:val="00203C4F"/>
    <w:rsid w:val="00206DA3"/>
    <w:rsid w:val="00207018"/>
    <w:rsid w:val="00207678"/>
    <w:rsid w:val="00207D5F"/>
    <w:rsid w:val="002127F6"/>
    <w:rsid w:val="00212FA3"/>
    <w:rsid w:val="002138E6"/>
    <w:rsid w:val="00213B7E"/>
    <w:rsid w:val="00214AA5"/>
    <w:rsid w:val="002156ED"/>
    <w:rsid w:val="00215729"/>
    <w:rsid w:val="002210EE"/>
    <w:rsid w:val="00223297"/>
    <w:rsid w:val="00223BF7"/>
    <w:rsid w:val="002245E5"/>
    <w:rsid w:val="00224A5F"/>
    <w:rsid w:val="00224D5A"/>
    <w:rsid w:val="00224E0D"/>
    <w:rsid w:val="002250BD"/>
    <w:rsid w:val="0022538C"/>
    <w:rsid w:val="0022573F"/>
    <w:rsid w:val="0022617C"/>
    <w:rsid w:val="00227651"/>
    <w:rsid w:val="00227836"/>
    <w:rsid w:val="00230D59"/>
    <w:rsid w:val="0023126F"/>
    <w:rsid w:val="00231795"/>
    <w:rsid w:val="0023271D"/>
    <w:rsid w:val="00232983"/>
    <w:rsid w:val="00234946"/>
    <w:rsid w:val="00234A57"/>
    <w:rsid w:val="00234D9C"/>
    <w:rsid w:val="00235F5E"/>
    <w:rsid w:val="002363CE"/>
    <w:rsid w:val="002370DC"/>
    <w:rsid w:val="0023717A"/>
    <w:rsid w:val="002372A2"/>
    <w:rsid w:val="002373B1"/>
    <w:rsid w:val="002375C2"/>
    <w:rsid w:val="00237A51"/>
    <w:rsid w:val="00240605"/>
    <w:rsid w:val="00240889"/>
    <w:rsid w:val="00242E10"/>
    <w:rsid w:val="00243254"/>
    <w:rsid w:val="002451A7"/>
    <w:rsid w:val="00245998"/>
    <w:rsid w:val="002466A0"/>
    <w:rsid w:val="00246902"/>
    <w:rsid w:val="00246906"/>
    <w:rsid w:val="00246C5C"/>
    <w:rsid w:val="002478B6"/>
    <w:rsid w:val="00247ADA"/>
    <w:rsid w:val="00250E3F"/>
    <w:rsid w:val="00251061"/>
    <w:rsid w:val="00252DA7"/>
    <w:rsid w:val="00253771"/>
    <w:rsid w:val="00253B57"/>
    <w:rsid w:val="00253B7E"/>
    <w:rsid w:val="002543CF"/>
    <w:rsid w:val="002548EC"/>
    <w:rsid w:val="0025514D"/>
    <w:rsid w:val="00256557"/>
    <w:rsid w:val="00256BAC"/>
    <w:rsid w:val="00257CAC"/>
    <w:rsid w:val="0026000F"/>
    <w:rsid w:val="00260151"/>
    <w:rsid w:val="002605BF"/>
    <w:rsid w:val="002617D6"/>
    <w:rsid w:val="0026189C"/>
    <w:rsid w:val="00261B36"/>
    <w:rsid w:val="002627D3"/>
    <w:rsid w:val="00262DE5"/>
    <w:rsid w:val="00263460"/>
    <w:rsid w:val="002639C7"/>
    <w:rsid w:val="002661CB"/>
    <w:rsid w:val="00267CAB"/>
    <w:rsid w:val="00270AF5"/>
    <w:rsid w:val="00271479"/>
    <w:rsid w:val="00272CA1"/>
    <w:rsid w:val="0027386B"/>
    <w:rsid w:val="00274E52"/>
    <w:rsid w:val="0027509C"/>
    <w:rsid w:val="00275873"/>
    <w:rsid w:val="00275F9D"/>
    <w:rsid w:val="0027615B"/>
    <w:rsid w:val="0027663D"/>
    <w:rsid w:val="00277386"/>
    <w:rsid w:val="00280045"/>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BF2"/>
    <w:rsid w:val="00290920"/>
    <w:rsid w:val="00291A88"/>
    <w:rsid w:val="002924DB"/>
    <w:rsid w:val="002930DC"/>
    <w:rsid w:val="0029320B"/>
    <w:rsid w:val="0029482F"/>
    <w:rsid w:val="00295EA2"/>
    <w:rsid w:val="0029679C"/>
    <w:rsid w:val="002A0880"/>
    <w:rsid w:val="002A1002"/>
    <w:rsid w:val="002A104D"/>
    <w:rsid w:val="002A11BC"/>
    <w:rsid w:val="002A12BF"/>
    <w:rsid w:val="002A35D8"/>
    <w:rsid w:val="002A395A"/>
    <w:rsid w:val="002A3C0F"/>
    <w:rsid w:val="002A4389"/>
    <w:rsid w:val="002A4752"/>
    <w:rsid w:val="002A4767"/>
    <w:rsid w:val="002A544A"/>
    <w:rsid w:val="002A54A7"/>
    <w:rsid w:val="002A64ED"/>
    <w:rsid w:val="002A7487"/>
    <w:rsid w:val="002B1059"/>
    <w:rsid w:val="002B285E"/>
    <w:rsid w:val="002B2B25"/>
    <w:rsid w:val="002B3CBE"/>
    <w:rsid w:val="002B42F1"/>
    <w:rsid w:val="002B5012"/>
    <w:rsid w:val="002B574B"/>
    <w:rsid w:val="002B5A5F"/>
    <w:rsid w:val="002B61C5"/>
    <w:rsid w:val="002B6E5E"/>
    <w:rsid w:val="002B77A7"/>
    <w:rsid w:val="002B77DC"/>
    <w:rsid w:val="002C13F0"/>
    <w:rsid w:val="002C1E86"/>
    <w:rsid w:val="002C2039"/>
    <w:rsid w:val="002C2EE5"/>
    <w:rsid w:val="002C32B7"/>
    <w:rsid w:val="002C3E90"/>
    <w:rsid w:val="002C42CE"/>
    <w:rsid w:val="002C44A9"/>
    <w:rsid w:val="002C45B6"/>
    <w:rsid w:val="002C6E7E"/>
    <w:rsid w:val="002C7DAD"/>
    <w:rsid w:val="002D22CE"/>
    <w:rsid w:val="002D318B"/>
    <w:rsid w:val="002D3760"/>
    <w:rsid w:val="002D42C8"/>
    <w:rsid w:val="002D5138"/>
    <w:rsid w:val="002D7697"/>
    <w:rsid w:val="002D7DF0"/>
    <w:rsid w:val="002E04BD"/>
    <w:rsid w:val="002E18B2"/>
    <w:rsid w:val="002E2551"/>
    <w:rsid w:val="002E2761"/>
    <w:rsid w:val="002E33E5"/>
    <w:rsid w:val="002E3769"/>
    <w:rsid w:val="002E449D"/>
    <w:rsid w:val="002E4893"/>
    <w:rsid w:val="002E5636"/>
    <w:rsid w:val="002E584A"/>
    <w:rsid w:val="002E5BFD"/>
    <w:rsid w:val="002E5D42"/>
    <w:rsid w:val="002E656C"/>
    <w:rsid w:val="002E737F"/>
    <w:rsid w:val="002E7F0D"/>
    <w:rsid w:val="002F0754"/>
    <w:rsid w:val="002F0CFA"/>
    <w:rsid w:val="002F1446"/>
    <w:rsid w:val="002F194D"/>
    <w:rsid w:val="002F2699"/>
    <w:rsid w:val="002F37C0"/>
    <w:rsid w:val="002F3F37"/>
    <w:rsid w:val="002F4209"/>
    <w:rsid w:val="002F4882"/>
    <w:rsid w:val="002F4A51"/>
    <w:rsid w:val="002F4B02"/>
    <w:rsid w:val="002F4FC9"/>
    <w:rsid w:val="002F59AC"/>
    <w:rsid w:val="002F61D8"/>
    <w:rsid w:val="002F6DFF"/>
    <w:rsid w:val="002F7866"/>
    <w:rsid w:val="003010EC"/>
    <w:rsid w:val="003011F7"/>
    <w:rsid w:val="003015C0"/>
    <w:rsid w:val="00302145"/>
    <w:rsid w:val="003026F4"/>
    <w:rsid w:val="003027A1"/>
    <w:rsid w:val="00302948"/>
    <w:rsid w:val="0030331F"/>
    <w:rsid w:val="00303817"/>
    <w:rsid w:val="00303D0D"/>
    <w:rsid w:val="00304399"/>
    <w:rsid w:val="003069B7"/>
    <w:rsid w:val="00306FB1"/>
    <w:rsid w:val="003103DA"/>
    <w:rsid w:val="0031074A"/>
    <w:rsid w:val="00310964"/>
    <w:rsid w:val="003114DF"/>
    <w:rsid w:val="00311C72"/>
    <w:rsid w:val="00311DFE"/>
    <w:rsid w:val="00312FD7"/>
    <w:rsid w:val="0031427B"/>
    <w:rsid w:val="00314848"/>
    <w:rsid w:val="003152D5"/>
    <w:rsid w:val="00315469"/>
    <w:rsid w:val="0031602B"/>
    <w:rsid w:val="00316AA4"/>
    <w:rsid w:val="00316E48"/>
    <w:rsid w:val="00317048"/>
    <w:rsid w:val="0031765C"/>
    <w:rsid w:val="00317777"/>
    <w:rsid w:val="00317D1C"/>
    <w:rsid w:val="00320D45"/>
    <w:rsid w:val="00320D9F"/>
    <w:rsid w:val="00321599"/>
    <w:rsid w:val="00322A54"/>
    <w:rsid w:val="00323BCB"/>
    <w:rsid w:val="00324CAC"/>
    <w:rsid w:val="003251B9"/>
    <w:rsid w:val="00325F55"/>
    <w:rsid w:val="00325FA3"/>
    <w:rsid w:val="00326060"/>
    <w:rsid w:val="00326356"/>
    <w:rsid w:val="0032778E"/>
    <w:rsid w:val="00330401"/>
    <w:rsid w:val="003304E5"/>
    <w:rsid w:val="00330668"/>
    <w:rsid w:val="00330F29"/>
    <w:rsid w:val="00333730"/>
    <w:rsid w:val="00333D9E"/>
    <w:rsid w:val="00334F78"/>
    <w:rsid w:val="00335E7D"/>
    <w:rsid w:val="003361AA"/>
    <w:rsid w:val="003361AD"/>
    <w:rsid w:val="00336E77"/>
    <w:rsid w:val="0033755C"/>
    <w:rsid w:val="003402C2"/>
    <w:rsid w:val="00341C11"/>
    <w:rsid w:val="00343A04"/>
    <w:rsid w:val="00343C5E"/>
    <w:rsid w:val="0034428E"/>
    <w:rsid w:val="00344EBC"/>
    <w:rsid w:val="00345413"/>
    <w:rsid w:val="00345DB8"/>
    <w:rsid w:val="00346A9B"/>
    <w:rsid w:val="00346F3D"/>
    <w:rsid w:val="00347771"/>
    <w:rsid w:val="003478FC"/>
    <w:rsid w:val="00347D15"/>
    <w:rsid w:val="003501E5"/>
    <w:rsid w:val="00351F85"/>
    <w:rsid w:val="0035236F"/>
    <w:rsid w:val="0035238E"/>
    <w:rsid w:val="00352642"/>
    <w:rsid w:val="00352A02"/>
    <w:rsid w:val="00354EC7"/>
    <w:rsid w:val="00355ACE"/>
    <w:rsid w:val="003566CC"/>
    <w:rsid w:val="003568BA"/>
    <w:rsid w:val="003570ED"/>
    <w:rsid w:val="003600F8"/>
    <w:rsid w:val="0036014C"/>
    <w:rsid w:val="00360ACD"/>
    <w:rsid w:val="00360C58"/>
    <w:rsid w:val="003613FB"/>
    <w:rsid w:val="0036345D"/>
    <w:rsid w:val="00363746"/>
    <w:rsid w:val="00363A3C"/>
    <w:rsid w:val="00364981"/>
    <w:rsid w:val="00365034"/>
    <w:rsid w:val="00365C3D"/>
    <w:rsid w:val="00365D9D"/>
    <w:rsid w:val="00366121"/>
    <w:rsid w:val="00366A97"/>
    <w:rsid w:val="00366EF5"/>
    <w:rsid w:val="00367198"/>
    <w:rsid w:val="00367871"/>
    <w:rsid w:val="00370694"/>
    <w:rsid w:val="003718C6"/>
    <w:rsid w:val="00371A8D"/>
    <w:rsid w:val="0037291B"/>
    <w:rsid w:val="0037468B"/>
    <w:rsid w:val="00375217"/>
    <w:rsid w:val="00380287"/>
    <w:rsid w:val="003806ED"/>
    <w:rsid w:val="003807E3"/>
    <w:rsid w:val="00381199"/>
    <w:rsid w:val="0038134C"/>
    <w:rsid w:val="003815F9"/>
    <w:rsid w:val="003821C7"/>
    <w:rsid w:val="003829AE"/>
    <w:rsid w:val="00383516"/>
    <w:rsid w:val="003837BF"/>
    <w:rsid w:val="00383DC8"/>
    <w:rsid w:val="003846E0"/>
    <w:rsid w:val="00384EB1"/>
    <w:rsid w:val="00385C24"/>
    <w:rsid w:val="00385CA9"/>
    <w:rsid w:val="003866FB"/>
    <w:rsid w:val="0038763D"/>
    <w:rsid w:val="00387B95"/>
    <w:rsid w:val="003937A1"/>
    <w:rsid w:val="00393912"/>
    <w:rsid w:val="0039678F"/>
    <w:rsid w:val="00396BD0"/>
    <w:rsid w:val="00397378"/>
    <w:rsid w:val="00397AA2"/>
    <w:rsid w:val="003A2516"/>
    <w:rsid w:val="003A48D0"/>
    <w:rsid w:val="003A4AEF"/>
    <w:rsid w:val="003A5177"/>
    <w:rsid w:val="003A6D88"/>
    <w:rsid w:val="003A6D99"/>
    <w:rsid w:val="003A7C88"/>
    <w:rsid w:val="003A7EB7"/>
    <w:rsid w:val="003B0228"/>
    <w:rsid w:val="003B0361"/>
    <w:rsid w:val="003B0B32"/>
    <w:rsid w:val="003B1A31"/>
    <w:rsid w:val="003B1EDB"/>
    <w:rsid w:val="003B20F1"/>
    <w:rsid w:val="003B3060"/>
    <w:rsid w:val="003B3E14"/>
    <w:rsid w:val="003B477D"/>
    <w:rsid w:val="003B4B5D"/>
    <w:rsid w:val="003B5B97"/>
    <w:rsid w:val="003B72D8"/>
    <w:rsid w:val="003B74DA"/>
    <w:rsid w:val="003B7C71"/>
    <w:rsid w:val="003C011A"/>
    <w:rsid w:val="003C119E"/>
    <w:rsid w:val="003C3F3A"/>
    <w:rsid w:val="003C4618"/>
    <w:rsid w:val="003C49A6"/>
    <w:rsid w:val="003C4CA4"/>
    <w:rsid w:val="003C6807"/>
    <w:rsid w:val="003C6B0D"/>
    <w:rsid w:val="003C70A8"/>
    <w:rsid w:val="003C7446"/>
    <w:rsid w:val="003C7A5F"/>
    <w:rsid w:val="003D1324"/>
    <w:rsid w:val="003D178C"/>
    <w:rsid w:val="003D1998"/>
    <w:rsid w:val="003D1DD2"/>
    <w:rsid w:val="003D28A1"/>
    <w:rsid w:val="003D29A8"/>
    <w:rsid w:val="003D2A1A"/>
    <w:rsid w:val="003D3355"/>
    <w:rsid w:val="003D3969"/>
    <w:rsid w:val="003D3C84"/>
    <w:rsid w:val="003D41B4"/>
    <w:rsid w:val="003D4972"/>
    <w:rsid w:val="003D50D3"/>
    <w:rsid w:val="003D5EDD"/>
    <w:rsid w:val="003D5F02"/>
    <w:rsid w:val="003D6097"/>
    <w:rsid w:val="003D66C9"/>
    <w:rsid w:val="003D7285"/>
    <w:rsid w:val="003D757F"/>
    <w:rsid w:val="003E0B0B"/>
    <w:rsid w:val="003E1C84"/>
    <w:rsid w:val="003E2CE5"/>
    <w:rsid w:val="003E3927"/>
    <w:rsid w:val="003E3C31"/>
    <w:rsid w:val="003E3CD2"/>
    <w:rsid w:val="003E45C4"/>
    <w:rsid w:val="003E4699"/>
    <w:rsid w:val="003E4F8B"/>
    <w:rsid w:val="003E5296"/>
    <w:rsid w:val="003E6A12"/>
    <w:rsid w:val="003F15D1"/>
    <w:rsid w:val="003F1DD0"/>
    <w:rsid w:val="003F2774"/>
    <w:rsid w:val="003F357E"/>
    <w:rsid w:val="003F5158"/>
    <w:rsid w:val="003F60EB"/>
    <w:rsid w:val="003F61E9"/>
    <w:rsid w:val="003F6851"/>
    <w:rsid w:val="003F7DC4"/>
    <w:rsid w:val="004015D5"/>
    <w:rsid w:val="0040238E"/>
    <w:rsid w:val="00404646"/>
    <w:rsid w:val="00404CCE"/>
    <w:rsid w:val="00405E06"/>
    <w:rsid w:val="00406BDB"/>
    <w:rsid w:val="00407174"/>
    <w:rsid w:val="00407312"/>
    <w:rsid w:val="0040741D"/>
    <w:rsid w:val="00407812"/>
    <w:rsid w:val="00407D73"/>
    <w:rsid w:val="00410A47"/>
    <w:rsid w:val="004115B1"/>
    <w:rsid w:val="004117A9"/>
    <w:rsid w:val="00411A53"/>
    <w:rsid w:val="004124EE"/>
    <w:rsid w:val="00412664"/>
    <w:rsid w:val="00413FEF"/>
    <w:rsid w:val="00415652"/>
    <w:rsid w:val="00415D3A"/>
    <w:rsid w:val="00415FFA"/>
    <w:rsid w:val="00416C87"/>
    <w:rsid w:val="00422CD1"/>
    <w:rsid w:val="00423109"/>
    <w:rsid w:val="00423699"/>
    <w:rsid w:val="00423954"/>
    <w:rsid w:val="00423D7A"/>
    <w:rsid w:val="00423DEC"/>
    <w:rsid w:val="00424003"/>
    <w:rsid w:val="00424A72"/>
    <w:rsid w:val="00427AD9"/>
    <w:rsid w:val="00427CCA"/>
    <w:rsid w:val="00431544"/>
    <w:rsid w:val="00431C14"/>
    <w:rsid w:val="00432FC5"/>
    <w:rsid w:val="0043485D"/>
    <w:rsid w:val="00434954"/>
    <w:rsid w:val="004352C9"/>
    <w:rsid w:val="004358F8"/>
    <w:rsid w:val="004359ED"/>
    <w:rsid w:val="004378CA"/>
    <w:rsid w:val="004403DE"/>
    <w:rsid w:val="00440A77"/>
    <w:rsid w:val="004413BC"/>
    <w:rsid w:val="004415E2"/>
    <w:rsid w:val="00441630"/>
    <w:rsid w:val="00441C02"/>
    <w:rsid w:val="0044295F"/>
    <w:rsid w:val="004432C8"/>
    <w:rsid w:val="004440C3"/>
    <w:rsid w:val="00444D28"/>
    <w:rsid w:val="00444D3C"/>
    <w:rsid w:val="00445843"/>
    <w:rsid w:val="004465B5"/>
    <w:rsid w:val="004472BB"/>
    <w:rsid w:val="004476A2"/>
    <w:rsid w:val="0045152C"/>
    <w:rsid w:val="00451592"/>
    <w:rsid w:val="004517FD"/>
    <w:rsid w:val="00451CDB"/>
    <w:rsid w:val="00452E0D"/>
    <w:rsid w:val="0045446E"/>
    <w:rsid w:val="0045470B"/>
    <w:rsid w:val="0045501B"/>
    <w:rsid w:val="0045676D"/>
    <w:rsid w:val="00457C8E"/>
    <w:rsid w:val="00460E91"/>
    <w:rsid w:val="00460F50"/>
    <w:rsid w:val="004612B4"/>
    <w:rsid w:val="004617B2"/>
    <w:rsid w:val="00461C7A"/>
    <w:rsid w:val="004624D7"/>
    <w:rsid w:val="00463037"/>
    <w:rsid w:val="004633A2"/>
    <w:rsid w:val="00465956"/>
    <w:rsid w:val="0046596F"/>
    <w:rsid w:val="00465A9B"/>
    <w:rsid w:val="00465CDE"/>
    <w:rsid w:val="00465CE8"/>
    <w:rsid w:val="00466281"/>
    <w:rsid w:val="00466D51"/>
    <w:rsid w:val="004679D7"/>
    <w:rsid w:val="00467B06"/>
    <w:rsid w:val="00467C10"/>
    <w:rsid w:val="004706E3"/>
    <w:rsid w:val="00471777"/>
    <w:rsid w:val="00471CA9"/>
    <w:rsid w:val="0047392C"/>
    <w:rsid w:val="004743D4"/>
    <w:rsid w:val="00475BD2"/>
    <w:rsid w:val="00480010"/>
    <w:rsid w:val="004820EF"/>
    <w:rsid w:val="004821CF"/>
    <w:rsid w:val="00482314"/>
    <w:rsid w:val="00482577"/>
    <w:rsid w:val="0048331A"/>
    <w:rsid w:val="00483BB7"/>
    <w:rsid w:val="00483EB0"/>
    <w:rsid w:val="00484040"/>
    <w:rsid w:val="00484D65"/>
    <w:rsid w:val="00485A34"/>
    <w:rsid w:val="00485C86"/>
    <w:rsid w:val="004863B9"/>
    <w:rsid w:val="004865AA"/>
    <w:rsid w:val="0048696C"/>
    <w:rsid w:val="004878F9"/>
    <w:rsid w:val="004903F9"/>
    <w:rsid w:val="0049062D"/>
    <w:rsid w:val="00490B68"/>
    <w:rsid w:val="00490E42"/>
    <w:rsid w:val="004914C7"/>
    <w:rsid w:val="004917C9"/>
    <w:rsid w:val="004920AF"/>
    <w:rsid w:val="0049259E"/>
    <w:rsid w:val="00493604"/>
    <w:rsid w:val="00494D13"/>
    <w:rsid w:val="0049562A"/>
    <w:rsid w:val="0049602B"/>
    <w:rsid w:val="004960D4"/>
    <w:rsid w:val="0049695D"/>
    <w:rsid w:val="00496E28"/>
    <w:rsid w:val="00497805"/>
    <w:rsid w:val="004A0264"/>
    <w:rsid w:val="004A02A4"/>
    <w:rsid w:val="004A0FC0"/>
    <w:rsid w:val="004A13C8"/>
    <w:rsid w:val="004A16AA"/>
    <w:rsid w:val="004A1861"/>
    <w:rsid w:val="004A2BAD"/>
    <w:rsid w:val="004A404F"/>
    <w:rsid w:val="004A4451"/>
    <w:rsid w:val="004A4B45"/>
    <w:rsid w:val="004A4BC0"/>
    <w:rsid w:val="004A4BE6"/>
    <w:rsid w:val="004A4CE7"/>
    <w:rsid w:val="004A4E95"/>
    <w:rsid w:val="004A5222"/>
    <w:rsid w:val="004A7007"/>
    <w:rsid w:val="004A71DD"/>
    <w:rsid w:val="004B0370"/>
    <w:rsid w:val="004B07F7"/>
    <w:rsid w:val="004B2D75"/>
    <w:rsid w:val="004B480C"/>
    <w:rsid w:val="004B495E"/>
    <w:rsid w:val="004B545F"/>
    <w:rsid w:val="004B5F23"/>
    <w:rsid w:val="004B652D"/>
    <w:rsid w:val="004B6966"/>
    <w:rsid w:val="004B6D8A"/>
    <w:rsid w:val="004B73E2"/>
    <w:rsid w:val="004B774E"/>
    <w:rsid w:val="004C00A1"/>
    <w:rsid w:val="004C0C2D"/>
    <w:rsid w:val="004C12F1"/>
    <w:rsid w:val="004C208C"/>
    <w:rsid w:val="004C20B1"/>
    <w:rsid w:val="004C2541"/>
    <w:rsid w:val="004C2A13"/>
    <w:rsid w:val="004C31B5"/>
    <w:rsid w:val="004C3974"/>
    <w:rsid w:val="004C4BAB"/>
    <w:rsid w:val="004C57F7"/>
    <w:rsid w:val="004C5A91"/>
    <w:rsid w:val="004C7026"/>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383"/>
    <w:rsid w:val="004D5DDD"/>
    <w:rsid w:val="004D64C4"/>
    <w:rsid w:val="004D6698"/>
    <w:rsid w:val="004D7C66"/>
    <w:rsid w:val="004E129F"/>
    <w:rsid w:val="004E2DB4"/>
    <w:rsid w:val="004E33F4"/>
    <w:rsid w:val="004E3514"/>
    <w:rsid w:val="004E3A3D"/>
    <w:rsid w:val="004E4815"/>
    <w:rsid w:val="004E4DF1"/>
    <w:rsid w:val="004E4FBB"/>
    <w:rsid w:val="004E6925"/>
    <w:rsid w:val="004E6F50"/>
    <w:rsid w:val="004E7468"/>
    <w:rsid w:val="004F09B2"/>
    <w:rsid w:val="004F1CE0"/>
    <w:rsid w:val="004F2D4F"/>
    <w:rsid w:val="004F31D5"/>
    <w:rsid w:val="004F3342"/>
    <w:rsid w:val="004F3431"/>
    <w:rsid w:val="004F3E53"/>
    <w:rsid w:val="004F622F"/>
    <w:rsid w:val="004F6920"/>
    <w:rsid w:val="005007B9"/>
    <w:rsid w:val="00502206"/>
    <w:rsid w:val="0050238C"/>
    <w:rsid w:val="005029E9"/>
    <w:rsid w:val="005033E4"/>
    <w:rsid w:val="00503AC1"/>
    <w:rsid w:val="0050427D"/>
    <w:rsid w:val="005043EB"/>
    <w:rsid w:val="0050508F"/>
    <w:rsid w:val="005053DB"/>
    <w:rsid w:val="00506E1C"/>
    <w:rsid w:val="00506FBF"/>
    <w:rsid w:val="005073BC"/>
    <w:rsid w:val="0050779F"/>
    <w:rsid w:val="005079F4"/>
    <w:rsid w:val="00510659"/>
    <w:rsid w:val="0051183E"/>
    <w:rsid w:val="00511AE7"/>
    <w:rsid w:val="00512265"/>
    <w:rsid w:val="005124D9"/>
    <w:rsid w:val="005136F6"/>
    <w:rsid w:val="005139F7"/>
    <w:rsid w:val="00513AF9"/>
    <w:rsid w:val="00514C49"/>
    <w:rsid w:val="005156F8"/>
    <w:rsid w:val="0051579A"/>
    <w:rsid w:val="005163D2"/>
    <w:rsid w:val="00516D51"/>
    <w:rsid w:val="00517A3E"/>
    <w:rsid w:val="00517C6A"/>
    <w:rsid w:val="00517DD3"/>
    <w:rsid w:val="0052161E"/>
    <w:rsid w:val="0052277D"/>
    <w:rsid w:val="00522ED3"/>
    <w:rsid w:val="0052380A"/>
    <w:rsid w:val="005247EC"/>
    <w:rsid w:val="00524B6C"/>
    <w:rsid w:val="00524F06"/>
    <w:rsid w:val="005254C1"/>
    <w:rsid w:val="0052557F"/>
    <w:rsid w:val="005262A8"/>
    <w:rsid w:val="00527BAF"/>
    <w:rsid w:val="00532916"/>
    <w:rsid w:val="0053340C"/>
    <w:rsid w:val="0053371E"/>
    <w:rsid w:val="00534270"/>
    <w:rsid w:val="005343FE"/>
    <w:rsid w:val="00534C30"/>
    <w:rsid w:val="0053590C"/>
    <w:rsid w:val="00535B5B"/>
    <w:rsid w:val="00536437"/>
    <w:rsid w:val="005364F0"/>
    <w:rsid w:val="00536620"/>
    <w:rsid w:val="00536D4D"/>
    <w:rsid w:val="005408F6"/>
    <w:rsid w:val="00541876"/>
    <w:rsid w:val="00541C10"/>
    <w:rsid w:val="0054289D"/>
    <w:rsid w:val="005442A1"/>
    <w:rsid w:val="00544A7B"/>
    <w:rsid w:val="005451A3"/>
    <w:rsid w:val="00547226"/>
    <w:rsid w:val="005500E2"/>
    <w:rsid w:val="00551400"/>
    <w:rsid w:val="005548F5"/>
    <w:rsid w:val="00554DAF"/>
    <w:rsid w:val="00554E39"/>
    <w:rsid w:val="005559A6"/>
    <w:rsid w:val="00555D7A"/>
    <w:rsid w:val="0055627D"/>
    <w:rsid w:val="005602D9"/>
    <w:rsid w:val="00561F38"/>
    <w:rsid w:val="0056200C"/>
    <w:rsid w:val="0056308C"/>
    <w:rsid w:val="00564321"/>
    <w:rsid w:val="00564C55"/>
    <w:rsid w:val="0056615C"/>
    <w:rsid w:val="00567094"/>
    <w:rsid w:val="0056791D"/>
    <w:rsid w:val="00567EBB"/>
    <w:rsid w:val="0057089E"/>
    <w:rsid w:val="00570E4B"/>
    <w:rsid w:val="005716C7"/>
    <w:rsid w:val="0057302C"/>
    <w:rsid w:val="00573D70"/>
    <w:rsid w:val="00574633"/>
    <w:rsid w:val="005747E2"/>
    <w:rsid w:val="005748EE"/>
    <w:rsid w:val="00574AC5"/>
    <w:rsid w:val="0057529E"/>
    <w:rsid w:val="00575490"/>
    <w:rsid w:val="0057564E"/>
    <w:rsid w:val="005758B3"/>
    <w:rsid w:val="00575C58"/>
    <w:rsid w:val="00576309"/>
    <w:rsid w:val="00576CBA"/>
    <w:rsid w:val="00577273"/>
    <w:rsid w:val="005808A1"/>
    <w:rsid w:val="005808E9"/>
    <w:rsid w:val="005809DA"/>
    <w:rsid w:val="005814DC"/>
    <w:rsid w:val="0058292B"/>
    <w:rsid w:val="00583A88"/>
    <w:rsid w:val="00583E79"/>
    <w:rsid w:val="00585FBB"/>
    <w:rsid w:val="00586125"/>
    <w:rsid w:val="00586FEB"/>
    <w:rsid w:val="00590378"/>
    <w:rsid w:val="00590974"/>
    <w:rsid w:val="00590D87"/>
    <w:rsid w:val="00590FDF"/>
    <w:rsid w:val="005916D7"/>
    <w:rsid w:val="00591CFD"/>
    <w:rsid w:val="00592572"/>
    <w:rsid w:val="00593750"/>
    <w:rsid w:val="00593BA1"/>
    <w:rsid w:val="005942F4"/>
    <w:rsid w:val="00594ED5"/>
    <w:rsid w:val="00595550"/>
    <w:rsid w:val="0059568D"/>
    <w:rsid w:val="00595B1E"/>
    <w:rsid w:val="00595ECE"/>
    <w:rsid w:val="00597147"/>
    <w:rsid w:val="005A0407"/>
    <w:rsid w:val="005A2C9B"/>
    <w:rsid w:val="005A2E3F"/>
    <w:rsid w:val="005A3592"/>
    <w:rsid w:val="005A4131"/>
    <w:rsid w:val="005A57FB"/>
    <w:rsid w:val="005A6526"/>
    <w:rsid w:val="005A6BCF"/>
    <w:rsid w:val="005A6D67"/>
    <w:rsid w:val="005A705A"/>
    <w:rsid w:val="005A75F5"/>
    <w:rsid w:val="005B0823"/>
    <w:rsid w:val="005B1145"/>
    <w:rsid w:val="005B1651"/>
    <w:rsid w:val="005B218B"/>
    <w:rsid w:val="005B253B"/>
    <w:rsid w:val="005B300C"/>
    <w:rsid w:val="005B3BD0"/>
    <w:rsid w:val="005B4D74"/>
    <w:rsid w:val="005B5138"/>
    <w:rsid w:val="005B6435"/>
    <w:rsid w:val="005B6819"/>
    <w:rsid w:val="005B7279"/>
    <w:rsid w:val="005B7C06"/>
    <w:rsid w:val="005C008B"/>
    <w:rsid w:val="005C02D8"/>
    <w:rsid w:val="005C19B9"/>
    <w:rsid w:val="005C1CF8"/>
    <w:rsid w:val="005C2687"/>
    <w:rsid w:val="005C3822"/>
    <w:rsid w:val="005C4A55"/>
    <w:rsid w:val="005C4E2B"/>
    <w:rsid w:val="005C5EBA"/>
    <w:rsid w:val="005C663C"/>
    <w:rsid w:val="005C76B6"/>
    <w:rsid w:val="005D0312"/>
    <w:rsid w:val="005D07F0"/>
    <w:rsid w:val="005D101A"/>
    <w:rsid w:val="005D1FB4"/>
    <w:rsid w:val="005D2433"/>
    <w:rsid w:val="005D33AF"/>
    <w:rsid w:val="005D35F6"/>
    <w:rsid w:val="005D3C9B"/>
    <w:rsid w:val="005D3DC0"/>
    <w:rsid w:val="005D4C69"/>
    <w:rsid w:val="005D68BE"/>
    <w:rsid w:val="005D68F7"/>
    <w:rsid w:val="005D69FD"/>
    <w:rsid w:val="005D7CAA"/>
    <w:rsid w:val="005D7E8E"/>
    <w:rsid w:val="005E098F"/>
    <w:rsid w:val="005E0BFF"/>
    <w:rsid w:val="005E1541"/>
    <w:rsid w:val="005E22BC"/>
    <w:rsid w:val="005E39EB"/>
    <w:rsid w:val="005E46BD"/>
    <w:rsid w:val="005E551E"/>
    <w:rsid w:val="005E5B41"/>
    <w:rsid w:val="005E7238"/>
    <w:rsid w:val="005E7C43"/>
    <w:rsid w:val="005F00B3"/>
    <w:rsid w:val="005F02EC"/>
    <w:rsid w:val="005F0415"/>
    <w:rsid w:val="005F1BD0"/>
    <w:rsid w:val="005F2B54"/>
    <w:rsid w:val="005F2D01"/>
    <w:rsid w:val="005F3008"/>
    <w:rsid w:val="005F39D7"/>
    <w:rsid w:val="005F3EFE"/>
    <w:rsid w:val="005F5832"/>
    <w:rsid w:val="005F5908"/>
    <w:rsid w:val="005F5AC9"/>
    <w:rsid w:val="005F614E"/>
    <w:rsid w:val="005F6E25"/>
    <w:rsid w:val="005F7404"/>
    <w:rsid w:val="00600419"/>
    <w:rsid w:val="00600AB2"/>
    <w:rsid w:val="006015FC"/>
    <w:rsid w:val="00601705"/>
    <w:rsid w:val="006020D5"/>
    <w:rsid w:val="006054C5"/>
    <w:rsid w:val="00605C1C"/>
    <w:rsid w:val="00605F02"/>
    <w:rsid w:val="00606CB2"/>
    <w:rsid w:val="006071D3"/>
    <w:rsid w:val="0060753A"/>
    <w:rsid w:val="00607A2C"/>
    <w:rsid w:val="0061016F"/>
    <w:rsid w:val="00610EFC"/>
    <w:rsid w:val="00611433"/>
    <w:rsid w:val="006115A9"/>
    <w:rsid w:val="00611FAA"/>
    <w:rsid w:val="00612426"/>
    <w:rsid w:val="00612823"/>
    <w:rsid w:val="00612B08"/>
    <w:rsid w:val="00612D71"/>
    <w:rsid w:val="00613077"/>
    <w:rsid w:val="00613556"/>
    <w:rsid w:val="00613AFE"/>
    <w:rsid w:val="00613C73"/>
    <w:rsid w:val="006153FA"/>
    <w:rsid w:val="00615B34"/>
    <w:rsid w:val="00615DD5"/>
    <w:rsid w:val="0061696A"/>
    <w:rsid w:val="00616AB1"/>
    <w:rsid w:val="00616FA0"/>
    <w:rsid w:val="006203E4"/>
    <w:rsid w:val="00620B94"/>
    <w:rsid w:val="00620DDD"/>
    <w:rsid w:val="0062129E"/>
    <w:rsid w:val="00621D11"/>
    <w:rsid w:val="00622095"/>
    <w:rsid w:val="00622B52"/>
    <w:rsid w:val="00623BE9"/>
    <w:rsid w:val="00624B0F"/>
    <w:rsid w:val="00624BED"/>
    <w:rsid w:val="00624C74"/>
    <w:rsid w:val="00624EB2"/>
    <w:rsid w:val="00625446"/>
    <w:rsid w:val="00625517"/>
    <w:rsid w:val="006262BF"/>
    <w:rsid w:val="006306D2"/>
    <w:rsid w:val="006307DC"/>
    <w:rsid w:val="0063184D"/>
    <w:rsid w:val="00631E36"/>
    <w:rsid w:val="00632FD6"/>
    <w:rsid w:val="00633CD9"/>
    <w:rsid w:val="0063420F"/>
    <w:rsid w:val="006342B3"/>
    <w:rsid w:val="006347CF"/>
    <w:rsid w:val="00634EB1"/>
    <w:rsid w:val="0063584B"/>
    <w:rsid w:val="00635B8D"/>
    <w:rsid w:val="00636F97"/>
    <w:rsid w:val="00637C0E"/>
    <w:rsid w:val="00637F49"/>
    <w:rsid w:val="00640315"/>
    <w:rsid w:val="00640705"/>
    <w:rsid w:val="00640A34"/>
    <w:rsid w:val="00641ADC"/>
    <w:rsid w:val="0064260F"/>
    <w:rsid w:val="00642E6E"/>
    <w:rsid w:val="00643125"/>
    <w:rsid w:val="006431DC"/>
    <w:rsid w:val="006439C9"/>
    <w:rsid w:val="00643E5D"/>
    <w:rsid w:val="00644155"/>
    <w:rsid w:val="006445DD"/>
    <w:rsid w:val="00644B7A"/>
    <w:rsid w:val="0064524B"/>
    <w:rsid w:val="00645BDA"/>
    <w:rsid w:val="00645DB3"/>
    <w:rsid w:val="006508B9"/>
    <w:rsid w:val="00651997"/>
    <w:rsid w:val="00651ECC"/>
    <w:rsid w:val="00652624"/>
    <w:rsid w:val="00653D13"/>
    <w:rsid w:val="00654750"/>
    <w:rsid w:val="00656893"/>
    <w:rsid w:val="0065698E"/>
    <w:rsid w:val="00657691"/>
    <w:rsid w:val="00657736"/>
    <w:rsid w:val="00657CFF"/>
    <w:rsid w:val="006605D5"/>
    <w:rsid w:val="006618F0"/>
    <w:rsid w:val="00662F8F"/>
    <w:rsid w:val="00663A68"/>
    <w:rsid w:val="00663EEC"/>
    <w:rsid w:val="0066437C"/>
    <w:rsid w:val="006650C0"/>
    <w:rsid w:val="0066641F"/>
    <w:rsid w:val="0066686A"/>
    <w:rsid w:val="00667028"/>
    <w:rsid w:val="00667879"/>
    <w:rsid w:val="00667A4E"/>
    <w:rsid w:val="00670403"/>
    <w:rsid w:val="0067070A"/>
    <w:rsid w:val="00670842"/>
    <w:rsid w:val="00670E7A"/>
    <w:rsid w:val="00670EBE"/>
    <w:rsid w:val="00672C8E"/>
    <w:rsid w:val="006732BD"/>
    <w:rsid w:val="006733F7"/>
    <w:rsid w:val="00673431"/>
    <w:rsid w:val="006752A1"/>
    <w:rsid w:val="006755AF"/>
    <w:rsid w:val="00675993"/>
    <w:rsid w:val="00675E47"/>
    <w:rsid w:val="006768BB"/>
    <w:rsid w:val="00676B29"/>
    <w:rsid w:val="0068132E"/>
    <w:rsid w:val="00681433"/>
    <w:rsid w:val="006816D2"/>
    <w:rsid w:val="00682072"/>
    <w:rsid w:val="006829C2"/>
    <w:rsid w:val="00683168"/>
    <w:rsid w:val="00683227"/>
    <w:rsid w:val="006839F9"/>
    <w:rsid w:val="006859EE"/>
    <w:rsid w:val="006863A3"/>
    <w:rsid w:val="006863C0"/>
    <w:rsid w:val="0068656C"/>
    <w:rsid w:val="0068762A"/>
    <w:rsid w:val="00690247"/>
    <w:rsid w:val="00690CA6"/>
    <w:rsid w:val="00690E36"/>
    <w:rsid w:val="00692009"/>
    <w:rsid w:val="00692071"/>
    <w:rsid w:val="00692AEF"/>
    <w:rsid w:val="00692C2C"/>
    <w:rsid w:val="006930D5"/>
    <w:rsid w:val="006932EA"/>
    <w:rsid w:val="00693675"/>
    <w:rsid w:val="006937BC"/>
    <w:rsid w:val="006939C7"/>
    <w:rsid w:val="00693FDF"/>
    <w:rsid w:val="00694933"/>
    <w:rsid w:val="00695C2E"/>
    <w:rsid w:val="00695F54"/>
    <w:rsid w:val="0069608C"/>
    <w:rsid w:val="006A1423"/>
    <w:rsid w:val="006A156E"/>
    <w:rsid w:val="006A192F"/>
    <w:rsid w:val="006A1BCD"/>
    <w:rsid w:val="006A24AC"/>
    <w:rsid w:val="006A38DB"/>
    <w:rsid w:val="006A3E04"/>
    <w:rsid w:val="006A403B"/>
    <w:rsid w:val="006A4CE2"/>
    <w:rsid w:val="006A61BF"/>
    <w:rsid w:val="006A65F4"/>
    <w:rsid w:val="006A67C2"/>
    <w:rsid w:val="006B0615"/>
    <w:rsid w:val="006B0F55"/>
    <w:rsid w:val="006B1381"/>
    <w:rsid w:val="006B25E9"/>
    <w:rsid w:val="006B26D4"/>
    <w:rsid w:val="006B2818"/>
    <w:rsid w:val="006B38CD"/>
    <w:rsid w:val="006B5068"/>
    <w:rsid w:val="006B514A"/>
    <w:rsid w:val="006B5642"/>
    <w:rsid w:val="006B747D"/>
    <w:rsid w:val="006B7582"/>
    <w:rsid w:val="006B75C0"/>
    <w:rsid w:val="006C07D9"/>
    <w:rsid w:val="006C2C1F"/>
    <w:rsid w:val="006C31EE"/>
    <w:rsid w:val="006C32ED"/>
    <w:rsid w:val="006C32F7"/>
    <w:rsid w:val="006C4729"/>
    <w:rsid w:val="006C489E"/>
    <w:rsid w:val="006C4A66"/>
    <w:rsid w:val="006C4AE8"/>
    <w:rsid w:val="006C695F"/>
    <w:rsid w:val="006C7D97"/>
    <w:rsid w:val="006D0C2C"/>
    <w:rsid w:val="006D0DF6"/>
    <w:rsid w:val="006D1A08"/>
    <w:rsid w:val="006D1BE0"/>
    <w:rsid w:val="006D1F19"/>
    <w:rsid w:val="006D235F"/>
    <w:rsid w:val="006D251B"/>
    <w:rsid w:val="006D25AC"/>
    <w:rsid w:val="006D2A92"/>
    <w:rsid w:val="006D3110"/>
    <w:rsid w:val="006D35C6"/>
    <w:rsid w:val="006D4561"/>
    <w:rsid w:val="006D4828"/>
    <w:rsid w:val="006D4A69"/>
    <w:rsid w:val="006D5210"/>
    <w:rsid w:val="006D58C9"/>
    <w:rsid w:val="006D58D3"/>
    <w:rsid w:val="006D5CA4"/>
    <w:rsid w:val="006D6AF7"/>
    <w:rsid w:val="006D6B5D"/>
    <w:rsid w:val="006D6C36"/>
    <w:rsid w:val="006D7237"/>
    <w:rsid w:val="006D72EA"/>
    <w:rsid w:val="006E002D"/>
    <w:rsid w:val="006E4424"/>
    <w:rsid w:val="006E6489"/>
    <w:rsid w:val="006E69AB"/>
    <w:rsid w:val="006E6D7B"/>
    <w:rsid w:val="006E75C0"/>
    <w:rsid w:val="006E7765"/>
    <w:rsid w:val="006F0696"/>
    <w:rsid w:val="006F252C"/>
    <w:rsid w:val="006F27B0"/>
    <w:rsid w:val="006F3880"/>
    <w:rsid w:val="006F3AC9"/>
    <w:rsid w:val="006F4305"/>
    <w:rsid w:val="006F5A2A"/>
    <w:rsid w:val="006F5BF9"/>
    <w:rsid w:val="006F6837"/>
    <w:rsid w:val="006F6CEE"/>
    <w:rsid w:val="006F73D1"/>
    <w:rsid w:val="006F76A0"/>
    <w:rsid w:val="006F7EC4"/>
    <w:rsid w:val="0070027D"/>
    <w:rsid w:val="0070048F"/>
    <w:rsid w:val="00700B13"/>
    <w:rsid w:val="00700D9E"/>
    <w:rsid w:val="00701C92"/>
    <w:rsid w:val="00701E9D"/>
    <w:rsid w:val="00702CB2"/>
    <w:rsid w:val="0070380A"/>
    <w:rsid w:val="00704063"/>
    <w:rsid w:val="00705624"/>
    <w:rsid w:val="00705D72"/>
    <w:rsid w:val="007062BB"/>
    <w:rsid w:val="00706588"/>
    <w:rsid w:val="0070680A"/>
    <w:rsid w:val="00706FBE"/>
    <w:rsid w:val="00707A30"/>
    <w:rsid w:val="00707A64"/>
    <w:rsid w:val="00707F4B"/>
    <w:rsid w:val="0071061B"/>
    <w:rsid w:val="00710B2B"/>
    <w:rsid w:val="00711997"/>
    <w:rsid w:val="00712462"/>
    <w:rsid w:val="00712EC3"/>
    <w:rsid w:val="00713053"/>
    <w:rsid w:val="0071306B"/>
    <w:rsid w:val="00713966"/>
    <w:rsid w:val="0071424F"/>
    <w:rsid w:val="007149EF"/>
    <w:rsid w:val="00714D6D"/>
    <w:rsid w:val="00714E55"/>
    <w:rsid w:val="00715ADE"/>
    <w:rsid w:val="00715BF3"/>
    <w:rsid w:val="007167A9"/>
    <w:rsid w:val="00716BF9"/>
    <w:rsid w:val="00716FA2"/>
    <w:rsid w:val="00717187"/>
    <w:rsid w:val="00717ACB"/>
    <w:rsid w:val="00720FBD"/>
    <w:rsid w:val="007210F8"/>
    <w:rsid w:val="00721959"/>
    <w:rsid w:val="0072227A"/>
    <w:rsid w:val="00722D1B"/>
    <w:rsid w:val="00722FAB"/>
    <w:rsid w:val="00723A81"/>
    <w:rsid w:val="007258EE"/>
    <w:rsid w:val="00725CB5"/>
    <w:rsid w:val="0072614D"/>
    <w:rsid w:val="007263C6"/>
    <w:rsid w:val="007263E1"/>
    <w:rsid w:val="007271C6"/>
    <w:rsid w:val="00727562"/>
    <w:rsid w:val="007275A1"/>
    <w:rsid w:val="00730BB1"/>
    <w:rsid w:val="0073106B"/>
    <w:rsid w:val="00731BDA"/>
    <w:rsid w:val="00731ED4"/>
    <w:rsid w:val="00732BF9"/>
    <w:rsid w:val="00732E7A"/>
    <w:rsid w:val="00733136"/>
    <w:rsid w:val="0073365B"/>
    <w:rsid w:val="00734157"/>
    <w:rsid w:val="0073453A"/>
    <w:rsid w:val="00734FF0"/>
    <w:rsid w:val="00735546"/>
    <w:rsid w:val="00736FB2"/>
    <w:rsid w:val="007374F0"/>
    <w:rsid w:val="00737739"/>
    <w:rsid w:val="00737A07"/>
    <w:rsid w:val="00740961"/>
    <w:rsid w:val="00740A27"/>
    <w:rsid w:val="00742F72"/>
    <w:rsid w:val="007433AB"/>
    <w:rsid w:val="00743954"/>
    <w:rsid w:val="00744625"/>
    <w:rsid w:val="007454BE"/>
    <w:rsid w:val="00745BCB"/>
    <w:rsid w:val="0074600A"/>
    <w:rsid w:val="00746631"/>
    <w:rsid w:val="007466C4"/>
    <w:rsid w:val="007474E1"/>
    <w:rsid w:val="0074783C"/>
    <w:rsid w:val="00747E34"/>
    <w:rsid w:val="00750AAB"/>
    <w:rsid w:val="00750C07"/>
    <w:rsid w:val="00751679"/>
    <w:rsid w:val="0075199A"/>
    <w:rsid w:val="00751E5D"/>
    <w:rsid w:val="00752FF5"/>
    <w:rsid w:val="0075654E"/>
    <w:rsid w:val="007600D8"/>
    <w:rsid w:val="0076084E"/>
    <w:rsid w:val="00761399"/>
    <w:rsid w:val="007613C6"/>
    <w:rsid w:val="00761D07"/>
    <w:rsid w:val="00761EFB"/>
    <w:rsid w:val="007620BA"/>
    <w:rsid w:val="00762355"/>
    <w:rsid w:val="00762DFC"/>
    <w:rsid w:val="00763754"/>
    <w:rsid w:val="007637CC"/>
    <w:rsid w:val="00763BF1"/>
    <w:rsid w:val="007656F0"/>
    <w:rsid w:val="00766171"/>
    <w:rsid w:val="007665B3"/>
    <w:rsid w:val="007666F8"/>
    <w:rsid w:val="00766BF9"/>
    <w:rsid w:val="00766C17"/>
    <w:rsid w:val="00766DE7"/>
    <w:rsid w:val="0076706C"/>
    <w:rsid w:val="00767243"/>
    <w:rsid w:val="00767895"/>
    <w:rsid w:val="00772076"/>
    <w:rsid w:val="0077211F"/>
    <w:rsid w:val="0077242E"/>
    <w:rsid w:val="00772829"/>
    <w:rsid w:val="0077348E"/>
    <w:rsid w:val="007758AA"/>
    <w:rsid w:val="00775C8B"/>
    <w:rsid w:val="00776093"/>
    <w:rsid w:val="007761C4"/>
    <w:rsid w:val="00777A1C"/>
    <w:rsid w:val="00780143"/>
    <w:rsid w:val="007803DC"/>
    <w:rsid w:val="007804CA"/>
    <w:rsid w:val="00780954"/>
    <w:rsid w:val="00781D61"/>
    <w:rsid w:val="00782688"/>
    <w:rsid w:val="007830B8"/>
    <w:rsid w:val="00783333"/>
    <w:rsid w:val="007833F1"/>
    <w:rsid w:val="00785F7E"/>
    <w:rsid w:val="007870BC"/>
    <w:rsid w:val="00787457"/>
    <w:rsid w:val="00787509"/>
    <w:rsid w:val="0079014D"/>
    <w:rsid w:val="007915A3"/>
    <w:rsid w:val="007919B0"/>
    <w:rsid w:val="00792359"/>
    <w:rsid w:val="007929AC"/>
    <w:rsid w:val="00792E59"/>
    <w:rsid w:val="00792FC5"/>
    <w:rsid w:val="007931DC"/>
    <w:rsid w:val="007939B3"/>
    <w:rsid w:val="00794D64"/>
    <w:rsid w:val="00794DDA"/>
    <w:rsid w:val="00795D7E"/>
    <w:rsid w:val="00796128"/>
    <w:rsid w:val="00796C34"/>
    <w:rsid w:val="00797883"/>
    <w:rsid w:val="007A014A"/>
    <w:rsid w:val="007A11E0"/>
    <w:rsid w:val="007A12BB"/>
    <w:rsid w:val="007A1CBC"/>
    <w:rsid w:val="007A1F84"/>
    <w:rsid w:val="007A363E"/>
    <w:rsid w:val="007A3AC7"/>
    <w:rsid w:val="007A3B4E"/>
    <w:rsid w:val="007A63FB"/>
    <w:rsid w:val="007A6535"/>
    <w:rsid w:val="007A6781"/>
    <w:rsid w:val="007A67FE"/>
    <w:rsid w:val="007A7109"/>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B770A"/>
    <w:rsid w:val="007C17BE"/>
    <w:rsid w:val="007C188F"/>
    <w:rsid w:val="007C1AC7"/>
    <w:rsid w:val="007C2293"/>
    <w:rsid w:val="007C242C"/>
    <w:rsid w:val="007C31A6"/>
    <w:rsid w:val="007C4023"/>
    <w:rsid w:val="007C50C7"/>
    <w:rsid w:val="007C565A"/>
    <w:rsid w:val="007C5B9D"/>
    <w:rsid w:val="007C6DEF"/>
    <w:rsid w:val="007C6ED9"/>
    <w:rsid w:val="007C70FC"/>
    <w:rsid w:val="007D0116"/>
    <w:rsid w:val="007D02D2"/>
    <w:rsid w:val="007D18B0"/>
    <w:rsid w:val="007D1B3D"/>
    <w:rsid w:val="007D21F6"/>
    <w:rsid w:val="007D29C8"/>
    <w:rsid w:val="007D31B8"/>
    <w:rsid w:val="007D35B6"/>
    <w:rsid w:val="007D5A5B"/>
    <w:rsid w:val="007D5C60"/>
    <w:rsid w:val="007D6D06"/>
    <w:rsid w:val="007D7F46"/>
    <w:rsid w:val="007E08BD"/>
    <w:rsid w:val="007E1438"/>
    <w:rsid w:val="007E1E75"/>
    <w:rsid w:val="007E2062"/>
    <w:rsid w:val="007E227C"/>
    <w:rsid w:val="007E2ABE"/>
    <w:rsid w:val="007E2C59"/>
    <w:rsid w:val="007E6841"/>
    <w:rsid w:val="007E6A15"/>
    <w:rsid w:val="007E6A4B"/>
    <w:rsid w:val="007E6EF2"/>
    <w:rsid w:val="007E750B"/>
    <w:rsid w:val="007E7AA4"/>
    <w:rsid w:val="007F05D9"/>
    <w:rsid w:val="007F2040"/>
    <w:rsid w:val="007F2573"/>
    <w:rsid w:val="007F3137"/>
    <w:rsid w:val="007F3230"/>
    <w:rsid w:val="007F3ED7"/>
    <w:rsid w:val="007F43FF"/>
    <w:rsid w:val="007F52BC"/>
    <w:rsid w:val="007F5C0A"/>
    <w:rsid w:val="007F7858"/>
    <w:rsid w:val="007F7926"/>
    <w:rsid w:val="0080016B"/>
    <w:rsid w:val="008005DA"/>
    <w:rsid w:val="00800E31"/>
    <w:rsid w:val="00800F03"/>
    <w:rsid w:val="00800F88"/>
    <w:rsid w:val="008010C3"/>
    <w:rsid w:val="00801AF5"/>
    <w:rsid w:val="00801B8B"/>
    <w:rsid w:val="00801CFB"/>
    <w:rsid w:val="0080211C"/>
    <w:rsid w:val="0080311B"/>
    <w:rsid w:val="00803B5E"/>
    <w:rsid w:val="00803D49"/>
    <w:rsid w:val="00805CB9"/>
    <w:rsid w:val="00807235"/>
    <w:rsid w:val="00807FAB"/>
    <w:rsid w:val="00810777"/>
    <w:rsid w:val="008110AA"/>
    <w:rsid w:val="00812144"/>
    <w:rsid w:val="00812736"/>
    <w:rsid w:val="00812F6F"/>
    <w:rsid w:val="00814C60"/>
    <w:rsid w:val="00815C1A"/>
    <w:rsid w:val="00816591"/>
    <w:rsid w:val="00816723"/>
    <w:rsid w:val="00817052"/>
    <w:rsid w:val="0081738D"/>
    <w:rsid w:val="00820C12"/>
    <w:rsid w:val="00821939"/>
    <w:rsid w:val="00821BE6"/>
    <w:rsid w:val="00821E8C"/>
    <w:rsid w:val="008224F0"/>
    <w:rsid w:val="008225C0"/>
    <w:rsid w:val="008225CF"/>
    <w:rsid w:val="00824700"/>
    <w:rsid w:val="00824AB0"/>
    <w:rsid w:val="008251C0"/>
    <w:rsid w:val="00825FD6"/>
    <w:rsid w:val="0082679C"/>
    <w:rsid w:val="008274EE"/>
    <w:rsid w:val="00831F67"/>
    <w:rsid w:val="0083215A"/>
    <w:rsid w:val="0083235B"/>
    <w:rsid w:val="00832CC8"/>
    <w:rsid w:val="00832E63"/>
    <w:rsid w:val="0083348B"/>
    <w:rsid w:val="00833C15"/>
    <w:rsid w:val="00834ECB"/>
    <w:rsid w:val="00835F2D"/>
    <w:rsid w:val="00837AAC"/>
    <w:rsid w:val="00841570"/>
    <w:rsid w:val="00841C8A"/>
    <w:rsid w:val="008425A9"/>
    <w:rsid w:val="00842D00"/>
    <w:rsid w:val="00842FE5"/>
    <w:rsid w:val="008430D0"/>
    <w:rsid w:val="00843830"/>
    <w:rsid w:val="00844611"/>
    <w:rsid w:val="00844C37"/>
    <w:rsid w:val="00844E51"/>
    <w:rsid w:val="008454F9"/>
    <w:rsid w:val="00845F9F"/>
    <w:rsid w:val="00846984"/>
    <w:rsid w:val="00846CCB"/>
    <w:rsid w:val="0084733A"/>
    <w:rsid w:val="0084739E"/>
    <w:rsid w:val="0085056E"/>
    <w:rsid w:val="00850FA2"/>
    <w:rsid w:val="00851DB5"/>
    <w:rsid w:val="00852AAA"/>
    <w:rsid w:val="00852DEC"/>
    <w:rsid w:val="00853F45"/>
    <w:rsid w:val="00854C2B"/>
    <w:rsid w:val="008550B5"/>
    <w:rsid w:val="0085633E"/>
    <w:rsid w:val="00856844"/>
    <w:rsid w:val="00856851"/>
    <w:rsid w:val="00856856"/>
    <w:rsid w:val="008604AE"/>
    <w:rsid w:val="00861946"/>
    <w:rsid w:val="00861F8E"/>
    <w:rsid w:val="00862947"/>
    <w:rsid w:val="00863524"/>
    <w:rsid w:val="008636E2"/>
    <w:rsid w:val="00863A14"/>
    <w:rsid w:val="008641C3"/>
    <w:rsid w:val="00864FC9"/>
    <w:rsid w:val="008653CA"/>
    <w:rsid w:val="00865807"/>
    <w:rsid w:val="00866D6B"/>
    <w:rsid w:val="00866FB5"/>
    <w:rsid w:val="008676E4"/>
    <w:rsid w:val="00867EB0"/>
    <w:rsid w:val="00870061"/>
    <w:rsid w:val="0087029A"/>
    <w:rsid w:val="00870D02"/>
    <w:rsid w:val="0087159C"/>
    <w:rsid w:val="00871B3F"/>
    <w:rsid w:val="00872C21"/>
    <w:rsid w:val="00873FDF"/>
    <w:rsid w:val="00874A05"/>
    <w:rsid w:val="00874C09"/>
    <w:rsid w:val="00875C99"/>
    <w:rsid w:val="00876087"/>
    <w:rsid w:val="0087638B"/>
    <w:rsid w:val="00876583"/>
    <w:rsid w:val="008775F0"/>
    <w:rsid w:val="00881799"/>
    <w:rsid w:val="00881A12"/>
    <w:rsid w:val="00882B90"/>
    <w:rsid w:val="00883807"/>
    <w:rsid w:val="008838C7"/>
    <w:rsid w:val="00883E3C"/>
    <w:rsid w:val="00883EA0"/>
    <w:rsid w:val="008840B0"/>
    <w:rsid w:val="008844AE"/>
    <w:rsid w:val="00884C0A"/>
    <w:rsid w:val="00885945"/>
    <w:rsid w:val="00886A45"/>
    <w:rsid w:val="00886DC4"/>
    <w:rsid w:val="00887F64"/>
    <w:rsid w:val="00890503"/>
    <w:rsid w:val="0089118F"/>
    <w:rsid w:val="0089139B"/>
    <w:rsid w:val="00891556"/>
    <w:rsid w:val="00891F6E"/>
    <w:rsid w:val="008925DE"/>
    <w:rsid w:val="00892CDB"/>
    <w:rsid w:val="00895EAD"/>
    <w:rsid w:val="00896186"/>
    <w:rsid w:val="0089638C"/>
    <w:rsid w:val="008A06D5"/>
    <w:rsid w:val="008A12D1"/>
    <w:rsid w:val="008A142B"/>
    <w:rsid w:val="008A2250"/>
    <w:rsid w:val="008A37A6"/>
    <w:rsid w:val="008A3FE4"/>
    <w:rsid w:val="008A4116"/>
    <w:rsid w:val="008A4FA3"/>
    <w:rsid w:val="008A5E55"/>
    <w:rsid w:val="008A6124"/>
    <w:rsid w:val="008A7E18"/>
    <w:rsid w:val="008A7E7C"/>
    <w:rsid w:val="008B01E0"/>
    <w:rsid w:val="008B0FBB"/>
    <w:rsid w:val="008B2920"/>
    <w:rsid w:val="008B2C19"/>
    <w:rsid w:val="008B37F1"/>
    <w:rsid w:val="008B390C"/>
    <w:rsid w:val="008B39D7"/>
    <w:rsid w:val="008B3B8E"/>
    <w:rsid w:val="008B4417"/>
    <w:rsid w:val="008B4DF9"/>
    <w:rsid w:val="008B6251"/>
    <w:rsid w:val="008B66C2"/>
    <w:rsid w:val="008B773E"/>
    <w:rsid w:val="008C0443"/>
    <w:rsid w:val="008C1060"/>
    <w:rsid w:val="008C14DC"/>
    <w:rsid w:val="008C35AE"/>
    <w:rsid w:val="008C53FA"/>
    <w:rsid w:val="008C5C47"/>
    <w:rsid w:val="008C70E9"/>
    <w:rsid w:val="008D0F8B"/>
    <w:rsid w:val="008D1E02"/>
    <w:rsid w:val="008D2519"/>
    <w:rsid w:val="008D2739"/>
    <w:rsid w:val="008D3CC1"/>
    <w:rsid w:val="008D3FE9"/>
    <w:rsid w:val="008D577F"/>
    <w:rsid w:val="008D5C68"/>
    <w:rsid w:val="008D5F8D"/>
    <w:rsid w:val="008D7475"/>
    <w:rsid w:val="008D78B8"/>
    <w:rsid w:val="008E00E7"/>
    <w:rsid w:val="008E1D09"/>
    <w:rsid w:val="008E3A83"/>
    <w:rsid w:val="008E4EB4"/>
    <w:rsid w:val="008E5800"/>
    <w:rsid w:val="008E721D"/>
    <w:rsid w:val="008E7AB0"/>
    <w:rsid w:val="008E7DF2"/>
    <w:rsid w:val="008F0565"/>
    <w:rsid w:val="008F1546"/>
    <w:rsid w:val="008F2047"/>
    <w:rsid w:val="008F2449"/>
    <w:rsid w:val="008F2B19"/>
    <w:rsid w:val="008F2F34"/>
    <w:rsid w:val="008F33DD"/>
    <w:rsid w:val="008F34CE"/>
    <w:rsid w:val="008F42EF"/>
    <w:rsid w:val="008F4B7A"/>
    <w:rsid w:val="008F4F2E"/>
    <w:rsid w:val="008F579C"/>
    <w:rsid w:val="008F692A"/>
    <w:rsid w:val="008F6E54"/>
    <w:rsid w:val="008F744C"/>
    <w:rsid w:val="008F75F1"/>
    <w:rsid w:val="008F7791"/>
    <w:rsid w:val="00900155"/>
    <w:rsid w:val="00900DB5"/>
    <w:rsid w:val="00901008"/>
    <w:rsid w:val="009026A9"/>
    <w:rsid w:val="0090376A"/>
    <w:rsid w:val="00903D78"/>
    <w:rsid w:val="00904CD3"/>
    <w:rsid w:val="00906052"/>
    <w:rsid w:val="00906524"/>
    <w:rsid w:val="009077D1"/>
    <w:rsid w:val="00907FC2"/>
    <w:rsid w:val="00910066"/>
    <w:rsid w:val="0091006B"/>
    <w:rsid w:val="009105BF"/>
    <w:rsid w:val="00911E5D"/>
    <w:rsid w:val="0091268A"/>
    <w:rsid w:val="00912826"/>
    <w:rsid w:val="00912ABD"/>
    <w:rsid w:val="00912D9F"/>
    <w:rsid w:val="009136C9"/>
    <w:rsid w:val="00913E12"/>
    <w:rsid w:val="009143BC"/>
    <w:rsid w:val="00914C8A"/>
    <w:rsid w:val="009151E1"/>
    <w:rsid w:val="009153A6"/>
    <w:rsid w:val="00915DCD"/>
    <w:rsid w:val="0091658D"/>
    <w:rsid w:val="0091663A"/>
    <w:rsid w:val="00917A4E"/>
    <w:rsid w:val="009205E1"/>
    <w:rsid w:val="009206CE"/>
    <w:rsid w:val="00920894"/>
    <w:rsid w:val="009218B5"/>
    <w:rsid w:val="00922A4C"/>
    <w:rsid w:val="00922A5E"/>
    <w:rsid w:val="009234D5"/>
    <w:rsid w:val="0092359A"/>
    <w:rsid w:val="00923696"/>
    <w:rsid w:val="00924F1E"/>
    <w:rsid w:val="00925B6B"/>
    <w:rsid w:val="00927144"/>
    <w:rsid w:val="00927842"/>
    <w:rsid w:val="00930BB7"/>
    <w:rsid w:val="0093135C"/>
    <w:rsid w:val="00932E6F"/>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2B97"/>
    <w:rsid w:val="00943321"/>
    <w:rsid w:val="00943DBD"/>
    <w:rsid w:val="009440A5"/>
    <w:rsid w:val="00944198"/>
    <w:rsid w:val="00944321"/>
    <w:rsid w:val="00944607"/>
    <w:rsid w:val="00945822"/>
    <w:rsid w:val="0094595D"/>
    <w:rsid w:val="00945D13"/>
    <w:rsid w:val="00947727"/>
    <w:rsid w:val="00947D1A"/>
    <w:rsid w:val="00950144"/>
    <w:rsid w:val="00950725"/>
    <w:rsid w:val="00950A85"/>
    <w:rsid w:val="00951640"/>
    <w:rsid w:val="00951C38"/>
    <w:rsid w:val="00952299"/>
    <w:rsid w:val="0095240C"/>
    <w:rsid w:val="00952895"/>
    <w:rsid w:val="009536D0"/>
    <w:rsid w:val="0095551A"/>
    <w:rsid w:val="0095640D"/>
    <w:rsid w:val="009579A3"/>
    <w:rsid w:val="00957A1E"/>
    <w:rsid w:val="00960560"/>
    <w:rsid w:val="00963642"/>
    <w:rsid w:val="00963895"/>
    <w:rsid w:val="0096409A"/>
    <w:rsid w:val="0096441D"/>
    <w:rsid w:val="00964BE5"/>
    <w:rsid w:val="00965C34"/>
    <w:rsid w:val="009664C5"/>
    <w:rsid w:val="0096682C"/>
    <w:rsid w:val="00967878"/>
    <w:rsid w:val="00970C9F"/>
    <w:rsid w:val="00970EDB"/>
    <w:rsid w:val="0097110E"/>
    <w:rsid w:val="009718E1"/>
    <w:rsid w:val="00971C0E"/>
    <w:rsid w:val="00971E3A"/>
    <w:rsid w:val="00972152"/>
    <w:rsid w:val="00973576"/>
    <w:rsid w:val="00974936"/>
    <w:rsid w:val="00976B3A"/>
    <w:rsid w:val="00976D94"/>
    <w:rsid w:val="0097703F"/>
    <w:rsid w:val="0097739F"/>
    <w:rsid w:val="009773E0"/>
    <w:rsid w:val="00980D6C"/>
    <w:rsid w:val="009816BF"/>
    <w:rsid w:val="0098257F"/>
    <w:rsid w:val="00982852"/>
    <w:rsid w:val="00983127"/>
    <w:rsid w:val="0098327E"/>
    <w:rsid w:val="00983506"/>
    <w:rsid w:val="00983665"/>
    <w:rsid w:val="0098382C"/>
    <w:rsid w:val="00983E44"/>
    <w:rsid w:val="009842E7"/>
    <w:rsid w:val="00984310"/>
    <w:rsid w:val="0098434B"/>
    <w:rsid w:val="00984629"/>
    <w:rsid w:val="00985D77"/>
    <w:rsid w:val="009862BE"/>
    <w:rsid w:val="00986509"/>
    <w:rsid w:val="00986768"/>
    <w:rsid w:val="00987253"/>
    <w:rsid w:val="00990BE2"/>
    <w:rsid w:val="009917A8"/>
    <w:rsid w:val="0099295A"/>
    <w:rsid w:val="009938BC"/>
    <w:rsid w:val="00994905"/>
    <w:rsid w:val="00994923"/>
    <w:rsid w:val="009950AC"/>
    <w:rsid w:val="00995B19"/>
    <w:rsid w:val="00995B24"/>
    <w:rsid w:val="0099689B"/>
    <w:rsid w:val="009A1F22"/>
    <w:rsid w:val="009A2274"/>
    <w:rsid w:val="009A3110"/>
    <w:rsid w:val="009A34FA"/>
    <w:rsid w:val="009A37B9"/>
    <w:rsid w:val="009A44C0"/>
    <w:rsid w:val="009A4778"/>
    <w:rsid w:val="009A5E7A"/>
    <w:rsid w:val="009A6781"/>
    <w:rsid w:val="009A6EA1"/>
    <w:rsid w:val="009A7370"/>
    <w:rsid w:val="009A78B6"/>
    <w:rsid w:val="009B010B"/>
    <w:rsid w:val="009B025A"/>
    <w:rsid w:val="009B08AA"/>
    <w:rsid w:val="009B0AFB"/>
    <w:rsid w:val="009B0D36"/>
    <w:rsid w:val="009B24CC"/>
    <w:rsid w:val="009B2785"/>
    <w:rsid w:val="009B4280"/>
    <w:rsid w:val="009B4445"/>
    <w:rsid w:val="009B45C4"/>
    <w:rsid w:val="009B4E09"/>
    <w:rsid w:val="009B50A3"/>
    <w:rsid w:val="009B5AB6"/>
    <w:rsid w:val="009B6A91"/>
    <w:rsid w:val="009B6C24"/>
    <w:rsid w:val="009B738B"/>
    <w:rsid w:val="009B7510"/>
    <w:rsid w:val="009B7953"/>
    <w:rsid w:val="009B7AB7"/>
    <w:rsid w:val="009C0A25"/>
    <w:rsid w:val="009C0B1A"/>
    <w:rsid w:val="009C0B51"/>
    <w:rsid w:val="009C16E1"/>
    <w:rsid w:val="009C1B35"/>
    <w:rsid w:val="009C3783"/>
    <w:rsid w:val="009C407A"/>
    <w:rsid w:val="009C4196"/>
    <w:rsid w:val="009C4F5E"/>
    <w:rsid w:val="009C507A"/>
    <w:rsid w:val="009C55F4"/>
    <w:rsid w:val="009C5A7B"/>
    <w:rsid w:val="009C5FC0"/>
    <w:rsid w:val="009C64FD"/>
    <w:rsid w:val="009C654C"/>
    <w:rsid w:val="009C7A05"/>
    <w:rsid w:val="009D1045"/>
    <w:rsid w:val="009D1657"/>
    <w:rsid w:val="009D24D7"/>
    <w:rsid w:val="009D256A"/>
    <w:rsid w:val="009D300C"/>
    <w:rsid w:val="009D31FA"/>
    <w:rsid w:val="009D3311"/>
    <w:rsid w:val="009D382D"/>
    <w:rsid w:val="009D3D0B"/>
    <w:rsid w:val="009D3D6B"/>
    <w:rsid w:val="009D464B"/>
    <w:rsid w:val="009D5518"/>
    <w:rsid w:val="009D5C36"/>
    <w:rsid w:val="009D6887"/>
    <w:rsid w:val="009D6DAA"/>
    <w:rsid w:val="009D7738"/>
    <w:rsid w:val="009D789B"/>
    <w:rsid w:val="009E0839"/>
    <w:rsid w:val="009E0CBF"/>
    <w:rsid w:val="009E1CC5"/>
    <w:rsid w:val="009E1DF7"/>
    <w:rsid w:val="009E1E67"/>
    <w:rsid w:val="009E2149"/>
    <w:rsid w:val="009E23DA"/>
    <w:rsid w:val="009E27E7"/>
    <w:rsid w:val="009E3959"/>
    <w:rsid w:val="009E395D"/>
    <w:rsid w:val="009E3EC9"/>
    <w:rsid w:val="009E3F07"/>
    <w:rsid w:val="009E4CC1"/>
    <w:rsid w:val="009E54A0"/>
    <w:rsid w:val="009E6973"/>
    <w:rsid w:val="009E6D3F"/>
    <w:rsid w:val="009E7F03"/>
    <w:rsid w:val="009F0AC2"/>
    <w:rsid w:val="009F0D04"/>
    <w:rsid w:val="009F10DA"/>
    <w:rsid w:val="009F1842"/>
    <w:rsid w:val="009F37CC"/>
    <w:rsid w:val="009F3DBB"/>
    <w:rsid w:val="009F4C5A"/>
    <w:rsid w:val="009F5634"/>
    <w:rsid w:val="009F597A"/>
    <w:rsid w:val="009F6976"/>
    <w:rsid w:val="009F7DD8"/>
    <w:rsid w:val="00A0204F"/>
    <w:rsid w:val="00A031F1"/>
    <w:rsid w:val="00A03754"/>
    <w:rsid w:val="00A0400B"/>
    <w:rsid w:val="00A04739"/>
    <w:rsid w:val="00A04B51"/>
    <w:rsid w:val="00A05145"/>
    <w:rsid w:val="00A05676"/>
    <w:rsid w:val="00A071B7"/>
    <w:rsid w:val="00A07513"/>
    <w:rsid w:val="00A07BDB"/>
    <w:rsid w:val="00A1078A"/>
    <w:rsid w:val="00A1144C"/>
    <w:rsid w:val="00A11478"/>
    <w:rsid w:val="00A1167B"/>
    <w:rsid w:val="00A11D80"/>
    <w:rsid w:val="00A127A6"/>
    <w:rsid w:val="00A13002"/>
    <w:rsid w:val="00A13207"/>
    <w:rsid w:val="00A143F5"/>
    <w:rsid w:val="00A14688"/>
    <w:rsid w:val="00A1556C"/>
    <w:rsid w:val="00A16D5E"/>
    <w:rsid w:val="00A17463"/>
    <w:rsid w:val="00A17E64"/>
    <w:rsid w:val="00A206B5"/>
    <w:rsid w:val="00A21390"/>
    <w:rsid w:val="00A21B36"/>
    <w:rsid w:val="00A21EEA"/>
    <w:rsid w:val="00A2224E"/>
    <w:rsid w:val="00A22749"/>
    <w:rsid w:val="00A229A4"/>
    <w:rsid w:val="00A2362C"/>
    <w:rsid w:val="00A248CB"/>
    <w:rsid w:val="00A2540E"/>
    <w:rsid w:val="00A25537"/>
    <w:rsid w:val="00A25A91"/>
    <w:rsid w:val="00A25B8E"/>
    <w:rsid w:val="00A26296"/>
    <w:rsid w:val="00A263B5"/>
    <w:rsid w:val="00A26EDB"/>
    <w:rsid w:val="00A303B0"/>
    <w:rsid w:val="00A30B51"/>
    <w:rsid w:val="00A30B7A"/>
    <w:rsid w:val="00A30BD8"/>
    <w:rsid w:val="00A31D81"/>
    <w:rsid w:val="00A31FCE"/>
    <w:rsid w:val="00A327E7"/>
    <w:rsid w:val="00A32AFF"/>
    <w:rsid w:val="00A32F60"/>
    <w:rsid w:val="00A331D2"/>
    <w:rsid w:val="00A3405B"/>
    <w:rsid w:val="00A357CB"/>
    <w:rsid w:val="00A361E5"/>
    <w:rsid w:val="00A362FC"/>
    <w:rsid w:val="00A36D75"/>
    <w:rsid w:val="00A3797B"/>
    <w:rsid w:val="00A37DD4"/>
    <w:rsid w:val="00A37F6F"/>
    <w:rsid w:val="00A40528"/>
    <w:rsid w:val="00A405AF"/>
    <w:rsid w:val="00A4085F"/>
    <w:rsid w:val="00A40FED"/>
    <w:rsid w:val="00A41621"/>
    <w:rsid w:val="00A41E2A"/>
    <w:rsid w:val="00A42B0F"/>
    <w:rsid w:val="00A43383"/>
    <w:rsid w:val="00A43457"/>
    <w:rsid w:val="00A43728"/>
    <w:rsid w:val="00A44117"/>
    <w:rsid w:val="00A44512"/>
    <w:rsid w:val="00A447F1"/>
    <w:rsid w:val="00A46BAD"/>
    <w:rsid w:val="00A46C69"/>
    <w:rsid w:val="00A46CB5"/>
    <w:rsid w:val="00A47164"/>
    <w:rsid w:val="00A47738"/>
    <w:rsid w:val="00A47E41"/>
    <w:rsid w:val="00A52A1C"/>
    <w:rsid w:val="00A53195"/>
    <w:rsid w:val="00A531FD"/>
    <w:rsid w:val="00A53513"/>
    <w:rsid w:val="00A54316"/>
    <w:rsid w:val="00A54CAB"/>
    <w:rsid w:val="00A54EED"/>
    <w:rsid w:val="00A55EEB"/>
    <w:rsid w:val="00A56304"/>
    <w:rsid w:val="00A56C9D"/>
    <w:rsid w:val="00A57DA2"/>
    <w:rsid w:val="00A600A0"/>
    <w:rsid w:val="00A601A6"/>
    <w:rsid w:val="00A605C7"/>
    <w:rsid w:val="00A6081E"/>
    <w:rsid w:val="00A61144"/>
    <w:rsid w:val="00A61C22"/>
    <w:rsid w:val="00A61D59"/>
    <w:rsid w:val="00A62945"/>
    <w:rsid w:val="00A62E8B"/>
    <w:rsid w:val="00A63A23"/>
    <w:rsid w:val="00A64E82"/>
    <w:rsid w:val="00A65752"/>
    <w:rsid w:val="00A67547"/>
    <w:rsid w:val="00A67626"/>
    <w:rsid w:val="00A6770C"/>
    <w:rsid w:val="00A718B9"/>
    <w:rsid w:val="00A730D4"/>
    <w:rsid w:val="00A7379B"/>
    <w:rsid w:val="00A73942"/>
    <w:rsid w:val="00A73EEA"/>
    <w:rsid w:val="00A74C4A"/>
    <w:rsid w:val="00A7551A"/>
    <w:rsid w:val="00A75670"/>
    <w:rsid w:val="00A76D58"/>
    <w:rsid w:val="00A76F23"/>
    <w:rsid w:val="00A77616"/>
    <w:rsid w:val="00A805C6"/>
    <w:rsid w:val="00A80BD3"/>
    <w:rsid w:val="00A80CCB"/>
    <w:rsid w:val="00A80DAA"/>
    <w:rsid w:val="00A81486"/>
    <w:rsid w:val="00A82513"/>
    <w:rsid w:val="00A84085"/>
    <w:rsid w:val="00A84DEB"/>
    <w:rsid w:val="00A850C6"/>
    <w:rsid w:val="00A851EB"/>
    <w:rsid w:val="00A858D7"/>
    <w:rsid w:val="00A860D2"/>
    <w:rsid w:val="00A86BA7"/>
    <w:rsid w:val="00A87521"/>
    <w:rsid w:val="00A90C67"/>
    <w:rsid w:val="00A90F85"/>
    <w:rsid w:val="00A90FEE"/>
    <w:rsid w:val="00A91315"/>
    <w:rsid w:val="00A913DF"/>
    <w:rsid w:val="00A91C63"/>
    <w:rsid w:val="00A921BD"/>
    <w:rsid w:val="00A939CB"/>
    <w:rsid w:val="00A942D4"/>
    <w:rsid w:val="00A94ADD"/>
    <w:rsid w:val="00A94C09"/>
    <w:rsid w:val="00A969BF"/>
    <w:rsid w:val="00A96ECB"/>
    <w:rsid w:val="00A9708F"/>
    <w:rsid w:val="00A9728D"/>
    <w:rsid w:val="00A977D5"/>
    <w:rsid w:val="00AA00C2"/>
    <w:rsid w:val="00AA0145"/>
    <w:rsid w:val="00AA0839"/>
    <w:rsid w:val="00AA08B0"/>
    <w:rsid w:val="00AA174F"/>
    <w:rsid w:val="00AA2A69"/>
    <w:rsid w:val="00AA2F37"/>
    <w:rsid w:val="00AA308A"/>
    <w:rsid w:val="00AA32BF"/>
    <w:rsid w:val="00AA3393"/>
    <w:rsid w:val="00AA3BD4"/>
    <w:rsid w:val="00AA4125"/>
    <w:rsid w:val="00AA44E3"/>
    <w:rsid w:val="00AA4ABD"/>
    <w:rsid w:val="00AA4AE8"/>
    <w:rsid w:val="00AA532F"/>
    <w:rsid w:val="00AA5E48"/>
    <w:rsid w:val="00AA61C9"/>
    <w:rsid w:val="00AA6326"/>
    <w:rsid w:val="00AA6CC7"/>
    <w:rsid w:val="00AA7501"/>
    <w:rsid w:val="00AA7A89"/>
    <w:rsid w:val="00AA7D59"/>
    <w:rsid w:val="00AB0220"/>
    <w:rsid w:val="00AB0CF1"/>
    <w:rsid w:val="00AB2026"/>
    <w:rsid w:val="00AB222A"/>
    <w:rsid w:val="00AB297D"/>
    <w:rsid w:val="00AB35E5"/>
    <w:rsid w:val="00AB3915"/>
    <w:rsid w:val="00AB76DE"/>
    <w:rsid w:val="00AB7A98"/>
    <w:rsid w:val="00AB7EDD"/>
    <w:rsid w:val="00AB7F7D"/>
    <w:rsid w:val="00AC08F6"/>
    <w:rsid w:val="00AC0CA0"/>
    <w:rsid w:val="00AC1E81"/>
    <w:rsid w:val="00AC1FD3"/>
    <w:rsid w:val="00AC29C1"/>
    <w:rsid w:val="00AC2A49"/>
    <w:rsid w:val="00AC3680"/>
    <w:rsid w:val="00AC4F34"/>
    <w:rsid w:val="00AC7039"/>
    <w:rsid w:val="00AD02C0"/>
    <w:rsid w:val="00AD1013"/>
    <w:rsid w:val="00AD121D"/>
    <w:rsid w:val="00AD1527"/>
    <w:rsid w:val="00AD1AA9"/>
    <w:rsid w:val="00AD1EF1"/>
    <w:rsid w:val="00AD26B2"/>
    <w:rsid w:val="00AD3BA3"/>
    <w:rsid w:val="00AD4164"/>
    <w:rsid w:val="00AD42D8"/>
    <w:rsid w:val="00AD51F6"/>
    <w:rsid w:val="00AD55C8"/>
    <w:rsid w:val="00AD71F8"/>
    <w:rsid w:val="00AE01BD"/>
    <w:rsid w:val="00AE01DD"/>
    <w:rsid w:val="00AE02A1"/>
    <w:rsid w:val="00AE04B0"/>
    <w:rsid w:val="00AE0919"/>
    <w:rsid w:val="00AE0EC6"/>
    <w:rsid w:val="00AE1B0C"/>
    <w:rsid w:val="00AE1B3B"/>
    <w:rsid w:val="00AE34E6"/>
    <w:rsid w:val="00AE3C45"/>
    <w:rsid w:val="00AE3E6D"/>
    <w:rsid w:val="00AE3FDE"/>
    <w:rsid w:val="00AE59B4"/>
    <w:rsid w:val="00AE6093"/>
    <w:rsid w:val="00AE7A9C"/>
    <w:rsid w:val="00AF0843"/>
    <w:rsid w:val="00AF0E03"/>
    <w:rsid w:val="00AF1239"/>
    <w:rsid w:val="00AF14DE"/>
    <w:rsid w:val="00AF1DDD"/>
    <w:rsid w:val="00AF2202"/>
    <w:rsid w:val="00AF2D80"/>
    <w:rsid w:val="00AF4CD1"/>
    <w:rsid w:val="00AF51F1"/>
    <w:rsid w:val="00AF52EA"/>
    <w:rsid w:val="00AF5322"/>
    <w:rsid w:val="00AF7642"/>
    <w:rsid w:val="00B0191F"/>
    <w:rsid w:val="00B0282B"/>
    <w:rsid w:val="00B04A56"/>
    <w:rsid w:val="00B05113"/>
    <w:rsid w:val="00B0539D"/>
    <w:rsid w:val="00B06940"/>
    <w:rsid w:val="00B0700B"/>
    <w:rsid w:val="00B072D3"/>
    <w:rsid w:val="00B10474"/>
    <w:rsid w:val="00B10AC0"/>
    <w:rsid w:val="00B10F5D"/>
    <w:rsid w:val="00B1115F"/>
    <w:rsid w:val="00B131A5"/>
    <w:rsid w:val="00B138C9"/>
    <w:rsid w:val="00B13D99"/>
    <w:rsid w:val="00B16771"/>
    <w:rsid w:val="00B17D1D"/>
    <w:rsid w:val="00B20FC4"/>
    <w:rsid w:val="00B21312"/>
    <w:rsid w:val="00B217A5"/>
    <w:rsid w:val="00B21A63"/>
    <w:rsid w:val="00B21BE9"/>
    <w:rsid w:val="00B22E60"/>
    <w:rsid w:val="00B23A99"/>
    <w:rsid w:val="00B23EAA"/>
    <w:rsid w:val="00B2446C"/>
    <w:rsid w:val="00B2476A"/>
    <w:rsid w:val="00B260DE"/>
    <w:rsid w:val="00B2640E"/>
    <w:rsid w:val="00B26D56"/>
    <w:rsid w:val="00B27850"/>
    <w:rsid w:val="00B27AA1"/>
    <w:rsid w:val="00B27AAC"/>
    <w:rsid w:val="00B30794"/>
    <w:rsid w:val="00B30C77"/>
    <w:rsid w:val="00B315B5"/>
    <w:rsid w:val="00B31DFE"/>
    <w:rsid w:val="00B3252C"/>
    <w:rsid w:val="00B32E8A"/>
    <w:rsid w:val="00B332C3"/>
    <w:rsid w:val="00B335C4"/>
    <w:rsid w:val="00B34055"/>
    <w:rsid w:val="00B342FB"/>
    <w:rsid w:val="00B34E0A"/>
    <w:rsid w:val="00B34E6B"/>
    <w:rsid w:val="00B35109"/>
    <w:rsid w:val="00B35220"/>
    <w:rsid w:val="00B36A0B"/>
    <w:rsid w:val="00B36E39"/>
    <w:rsid w:val="00B370F7"/>
    <w:rsid w:val="00B37CCA"/>
    <w:rsid w:val="00B404A5"/>
    <w:rsid w:val="00B43124"/>
    <w:rsid w:val="00B4343A"/>
    <w:rsid w:val="00B441D6"/>
    <w:rsid w:val="00B45561"/>
    <w:rsid w:val="00B464CA"/>
    <w:rsid w:val="00B466EC"/>
    <w:rsid w:val="00B466FE"/>
    <w:rsid w:val="00B46956"/>
    <w:rsid w:val="00B47DCF"/>
    <w:rsid w:val="00B50081"/>
    <w:rsid w:val="00B500F5"/>
    <w:rsid w:val="00B50996"/>
    <w:rsid w:val="00B531B8"/>
    <w:rsid w:val="00B53214"/>
    <w:rsid w:val="00B546D5"/>
    <w:rsid w:val="00B54928"/>
    <w:rsid w:val="00B54A8F"/>
    <w:rsid w:val="00B54B47"/>
    <w:rsid w:val="00B55F22"/>
    <w:rsid w:val="00B56B3E"/>
    <w:rsid w:val="00B56C90"/>
    <w:rsid w:val="00B57D5A"/>
    <w:rsid w:val="00B61743"/>
    <w:rsid w:val="00B61F95"/>
    <w:rsid w:val="00B6238B"/>
    <w:rsid w:val="00B62FC9"/>
    <w:rsid w:val="00B6398C"/>
    <w:rsid w:val="00B63B2A"/>
    <w:rsid w:val="00B63BB6"/>
    <w:rsid w:val="00B6408F"/>
    <w:rsid w:val="00B6411C"/>
    <w:rsid w:val="00B6448B"/>
    <w:rsid w:val="00B65373"/>
    <w:rsid w:val="00B65806"/>
    <w:rsid w:val="00B66402"/>
    <w:rsid w:val="00B666BE"/>
    <w:rsid w:val="00B67312"/>
    <w:rsid w:val="00B70395"/>
    <w:rsid w:val="00B70428"/>
    <w:rsid w:val="00B70A91"/>
    <w:rsid w:val="00B71A9E"/>
    <w:rsid w:val="00B71EF6"/>
    <w:rsid w:val="00B71F8E"/>
    <w:rsid w:val="00B72335"/>
    <w:rsid w:val="00B7274F"/>
    <w:rsid w:val="00B728FF"/>
    <w:rsid w:val="00B743FC"/>
    <w:rsid w:val="00B7551E"/>
    <w:rsid w:val="00B7572A"/>
    <w:rsid w:val="00B75958"/>
    <w:rsid w:val="00B7627B"/>
    <w:rsid w:val="00B768CC"/>
    <w:rsid w:val="00B76D58"/>
    <w:rsid w:val="00B770D1"/>
    <w:rsid w:val="00B77EC0"/>
    <w:rsid w:val="00B804B5"/>
    <w:rsid w:val="00B80DDB"/>
    <w:rsid w:val="00B810F1"/>
    <w:rsid w:val="00B8139A"/>
    <w:rsid w:val="00B81496"/>
    <w:rsid w:val="00B82006"/>
    <w:rsid w:val="00B8232D"/>
    <w:rsid w:val="00B831A6"/>
    <w:rsid w:val="00B83976"/>
    <w:rsid w:val="00B848F2"/>
    <w:rsid w:val="00B84D08"/>
    <w:rsid w:val="00B85726"/>
    <w:rsid w:val="00B85D89"/>
    <w:rsid w:val="00B870C4"/>
    <w:rsid w:val="00B87249"/>
    <w:rsid w:val="00B87912"/>
    <w:rsid w:val="00B87D2A"/>
    <w:rsid w:val="00B909A3"/>
    <w:rsid w:val="00B90D79"/>
    <w:rsid w:val="00B91596"/>
    <w:rsid w:val="00B9226D"/>
    <w:rsid w:val="00B9241B"/>
    <w:rsid w:val="00B928CC"/>
    <w:rsid w:val="00B929BB"/>
    <w:rsid w:val="00B92A62"/>
    <w:rsid w:val="00B92AC1"/>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2F41"/>
    <w:rsid w:val="00BA3E0A"/>
    <w:rsid w:val="00BA5D69"/>
    <w:rsid w:val="00BA73B1"/>
    <w:rsid w:val="00BA749C"/>
    <w:rsid w:val="00BB0869"/>
    <w:rsid w:val="00BB0CD3"/>
    <w:rsid w:val="00BB2515"/>
    <w:rsid w:val="00BB31F0"/>
    <w:rsid w:val="00BB32E4"/>
    <w:rsid w:val="00BB3460"/>
    <w:rsid w:val="00BB4ABE"/>
    <w:rsid w:val="00BB7DAE"/>
    <w:rsid w:val="00BC04D6"/>
    <w:rsid w:val="00BC067F"/>
    <w:rsid w:val="00BC0A2C"/>
    <w:rsid w:val="00BC0ABE"/>
    <w:rsid w:val="00BC0DCE"/>
    <w:rsid w:val="00BC2188"/>
    <w:rsid w:val="00BC3492"/>
    <w:rsid w:val="00BC47C1"/>
    <w:rsid w:val="00BC4922"/>
    <w:rsid w:val="00BC53E2"/>
    <w:rsid w:val="00BC54D0"/>
    <w:rsid w:val="00BC5785"/>
    <w:rsid w:val="00BC5903"/>
    <w:rsid w:val="00BC600A"/>
    <w:rsid w:val="00BC6227"/>
    <w:rsid w:val="00BC7368"/>
    <w:rsid w:val="00BC79E7"/>
    <w:rsid w:val="00BC7AE9"/>
    <w:rsid w:val="00BD0140"/>
    <w:rsid w:val="00BD0892"/>
    <w:rsid w:val="00BD0AA2"/>
    <w:rsid w:val="00BD0CEE"/>
    <w:rsid w:val="00BD16EA"/>
    <w:rsid w:val="00BD258D"/>
    <w:rsid w:val="00BD31EC"/>
    <w:rsid w:val="00BD40F6"/>
    <w:rsid w:val="00BD4602"/>
    <w:rsid w:val="00BD490D"/>
    <w:rsid w:val="00BD4F4C"/>
    <w:rsid w:val="00BD65F9"/>
    <w:rsid w:val="00BD6733"/>
    <w:rsid w:val="00BD70B0"/>
    <w:rsid w:val="00BD74AD"/>
    <w:rsid w:val="00BD7623"/>
    <w:rsid w:val="00BD7890"/>
    <w:rsid w:val="00BD7D52"/>
    <w:rsid w:val="00BD7E50"/>
    <w:rsid w:val="00BE1EB4"/>
    <w:rsid w:val="00BE258E"/>
    <w:rsid w:val="00BE4366"/>
    <w:rsid w:val="00BE4930"/>
    <w:rsid w:val="00BE4940"/>
    <w:rsid w:val="00BE4970"/>
    <w:rsid w:val="00BE5C04"/>
    <w:rsid w:val="00BE5E94"/>
    <w:rsid w:val="00BE741F"/>
    <w:rsid w:val="00BE742C"/>
    <w:rsid w:val="00BE7899"/>
    <w:rsid w:val="00BF0693"/>
    <w:rsid w:val="00BF14EA"/>
    <w:rsid w:val="00BF28DE"/>
    <w:rsid w:val="00BF4012"/>
    <w:rsid w:val="00BF4401"/>
    <w:rsid w:val="00BF4983"/>
    <w:rsid w:val="00BF57B1"/>
    <w:rsid w:val="00BF6409"/>
    <w:rsid w:val="00BF65E0"/>
    <w:rsid w:val="00BF7017"/>
    <w:rsid w:val="00BF73DC"/>
    <w:rsid w:val="00BF7454"/>
    <w:rsid w:val="00BF75FF"/>
    <w:rsid w:val="00BF768F"/>
    <w:rsid w:val="00BF797F"/>
    <w:rsid w:val="00C00070"/>
    <w:rsid w:val="00C00156"/>
    <w:rsid w:val="00C00709"/>
    <w:rsid w:val="00C0089F"/>
    <w:rsid w:val="00C00FA0"/>
    <w:rsid w:val="00C012EC"/>
    <w:rsid w:val="00C04198"/>
    <w:rsid w:val="00C042C9"/>
    <w:rsid w:val="00C05732"/>
    <w:rsid w:val="00C058ED"/>
    <w:rsid w:val="00C059D2"/>
    <w:rsid w:val="00C07C71"/>
    <w:rsid w:val="00C07F33"/>
    <w:rsid w:val="00C113E5"/>
    <w:rsid w:val="00C1152F"/>
    <w:rsid w:val="00C11FC0"/>
    <w:rsid w:val="00C120CF"/>
    <w:rsid w:val="00C1215B"/>
    <w:rsid w:val="00C12B53"/>
    <w:rsid w:val="00C12BD6"/>
    <w:rsid w:val="00C13DDD"/>
    <w:rsid w:val="00C14EF2"/>
    <w:rsid w:val="00C15338"/>
    <w:rsid w:val="00C15621"/>
    <w:rsid w:val="00C15D49"/>
    <w:rsid w:val="00C163F1"/>
    <w:rsid w:val="00C16E64"/>
    <w:rsid w:val="00C17B5E"/>
    <w:rsid w:val="00C20B51"/>
    <w:rsid w:val="00C219B4"/>
    <w:rsid w:val="00C21EEF"/>
    <w:rsid w:val="00C22AF1"/>
    <w:rsid w:val="00C230FE"/>
    <w:rsid w:val="00C23BB6"/>
    <w:rsid w:val="00C2495A"/>
    <w:rsid w:val="00C249A7"/>
    <w:rsid w:val="00C25258"/>
    <w:rsid w:val="00C25EEB"/>
    <w:rsid w:val="00C26779"/>
    <w:rsid w:val="00C27935"/>
    <w:rsid w:val="00C3007F"/>
    <w:rsid w:val="00C30336"/>
    <w:rsid w:val="00C30C06"/>
    <w:rsid w:val="00C30C97"/>
    <w:rsid w:val="00C31AD1"/>
    <w:rsid w:val="00C324C4"/>
    <w:rsid w:val="00C32C57"/>
    <w:rsid w:val="00C33735"/>
    <w:rsid w:val="00C33D7E"/>
    <w:rsid w:val="00C35099"/>
    <w:rsid w:val="00C3534B"/>
    <w:rsid w:val="00C35847"/>
    <w:rsid w:val="00C35C93"/>
    <w:rsid w:val="00C35E4A"/>
    <w:rsid w:val="00C40704"/>
    <w:rsid w:val="00C44C5C"/>
    <w:rsid w:val="00C45377"/>
    <w:rsid w:val="00C4609A"/>
    <w:rsid w:val="00C47DD3"/>
    <w:rsid w:val="00C505F6"/>
    <w:rsid w:val="00C51F39"/>
    <w:rsid w:val="00C52545"/>
    <w:rsid w:val="00C52BB0"/>
    <w:rsid w:val="00C52D87"/>
    <w:rsid w:val="00C53EA3"/>
    <w:rsid w:val="00C54C71"/>
    <w:rsid w:val="00C55AEF"/>
    <w:rsid w:val="00C55EEC"/>
    <w:rsid w:val="00C56B94"/>
    <w:rsid w:val="00C57159"/>
    <w:rsid w:val="00C57E85"/>
    <w:rsid w:val="00C6022D"/>
    <w:rsid w:val="00C60EFF"/>
    <w:rsid w:val="00C6166C"/>
    <w:rsid w:val="00C61AF1"/>
    <w:rsid w:val="00C61CA8"/>
    <w:rsid w:val="00C61E1A"/>
    <w:rsid w:val="00C61F09"/>
    <w:rsid w:val="00C62453"/>
    <w:rsid w:val="00C6265A"/>
    <w:rsid w:val="00C628E7"/>
    <w:rsid w:val="00C63320"/>
    <w:rsid w:val="00C63F6D"/>
    <w:rsid w:val="00C64EDC"/>
    <w:rsid w:val="00C658E9"/>
    <w:rsid w:val="00C6716C"/>
    <w:rsid w:val="00C704AE"/>
    <w:rsid w:val="00C706AB"/>
    <w:rsid w:val="00C73EEE"/>
    <w:rsid w:val="00C74FFD"/>
    <w:rsid w:val="00C7514C"/>
    <w:rsid w:val="00C76BE5"/>
    <w:rsid w:val="00C77D19"/>
    <w:rsid w:val="00C8036A"/>
    <w:rsid w:val="00C80389"/>
    <w:rsid w:val="00C80B3E"/>
    <w:rsid w:val="00C82CDF"/>
    <w:rsid w:val="00C82DFD"/>
    <w:rsid w:val="00C84A35"/>
    <w:rsid w:val="00C84EB7"/>
    <w:rsid w:val="00C85F9C"/>
    <w:rsid w:val="00C862AB"/>
    <w:rsid w:val="00C877CE"/>
    <w:rsid w:val="00C87D73"/>
    <w:rsid w:val="00C9019C"/>
    <w:rsid w:val="00C903CC"/>
    <w:rsid w:val="00C904C3"/>
    <w:rsid w:val="00C907E5"/>
    <w:rsid w:val="00C90A05"/>
    <w:rsid w:val="00C90EE0"/>
    <w:rsid w:val="00C92019"/>
    <w:rsid w:val="00C926FD"/>
    <w:rsid w:val="00C935F8"/>
    <w:rsid w:val="00C93F69"/>
    <w:rsid w:val="00C941BC"/>
    <w:rsid w:val="00C95715"/>
    <w:rsid w:val="00C9592E"/>
    <w:rsid w:val="00C96121"/>
    <w:rsid w:val="00C9676D"/>
    <w:rsid w:val="00C96B1B"/>
    <w:rsid w:val="00CA15A6"/>
    <w:rsid w:val="00CA19DF"/>
    <w:rsid w:val="00CA1C6D"/>
    <w:rsid w:val="00CA201B"/>
    <w:rsid w:val="00CA2247"/>
    <w:rsid w:val="00CA256E"/>
    <w:rsid w:val="00CA2E52"/>
    <w:rsid w:val="00CA35AD"/>
    <w:rsid w:val="00CA42D6"/>
    <w:rsid w:val="00CA46BB"/>
    <w:rsid w:val="00CA517C"/>
    <w:rsid w:val="00CA53B4"/>
    <w:rsid w:val="00CA5D01"/>
    <w:rsid w:val="00CA5E61"/>
    <w:rsid w:val="00CA6580"/>
    <w:rsid w:val="00CA7279"/>
    <w:rsid w:val="00CA754D"/>
    <w:rsid w:val="00CA7D6A"/>
    <w:rsid w:val="00CA7DF3"/>
    <w:rsid w:val="00CB0E37"/>
    <w:rsid w:val="00CB11C5"/>
    <w:rsid w:val="00CB20AC"/>
    <w:rsid w:val="00CB3C1E"/>
    <w:rsid w:val="00CB42F0"/>
    <w:rsid w:val="00CB5845"/>
    <w:rsid w:val="00CB6347"/>
    <w:rsid w:val="00CB6808"/>
    <w:rsid w:val="00CB6887"/>
    <w:rsid w:val="00CB709C"/>
    <w:rsid w:val="00CC12F9"/>
    <w:rsid w:val="00CC1A07"/>
    <w:rsid w:val="00CC1AEF"/>
    <w:rsid w:val="00CC3F73"/>
    <w:rsid w:val="00CC3F9A"/>
    <w:rsid w:val="00CC435A"/>
    <w:rsid w:val="00CC5276"/>
    <w:rsid w:val="00CC5444"/>
    <w:rsid w:val="00CC5987"/>
    <w:rsid w:val="00CC5E86"/>
    <w:rsid w:val="00CC63E4"/>
    <w:rsid w:val="00CC68D7"/>
    <w:rsid w:val="00CC7B1D"/>
    <w:rsid w:val="00CD0770"/>
    <w:rsid w:val="00CD07E8"/>
    <w:rsid w:val="00CD0A29"/>
    <w:rsid w:val="00CD2DAD"/>
    <w:rsid w:val="00CD32F2"/>
    <w:rsid w:val="00CD3535"/>
    <w:rsid w:val="00CD48FD"/>
    <w:rsid w:val="00CD5933"/>
    <w:rsid w:val="00CD6768"/>
    <w:rsid w:val="00CD68B6"/>
    <w:rsid w:val="00CD6D9E"/>
    <w:rsid w:val="00CD73D7"/>
    <w:rsid w:val="00CD7A54"/>
    <w:rsid w:val="00CE05B2"/>
    <w:rsid w:val="00CE062A"/>
    <w:rsid w:val="00CE0889"/>
    <w:rsid w:val="00CE0A35"/>
    <w:rsid w:val="00CE0A76"/>
    <w:rsid w:val="00CE0E9E"/>
    <w:rsid w:val="00CE12BE"/>
    <w:rsid w:val="00CE1E77"/>
    <w:rsid w:val="00CE4951"/>
    <w:rsid w:val="00CE5801"/>
    <w:rsid w:val="00CE5D2D"/>
    <w:rsid w:val="00CE5D6C"/>
    <w:rsid w:val="00CE7270"/>
    <w:rsid w:val="00CF0028"/>
    <w:rsid w:val="00CF04ED"/>
    <w:rsid w:val="00CF0674"/>
    <w:rsid w:val="00CF0BE2"/>
    <w:rsid w:val="00CF0BEA"/>
    <w:rsid w:val="00CF14B3"/>
    <w:rsid w:val="00CF1745"/>
    <w:rsid w:val="00CF1B0D"/>
    <w:rsid w:val="00CF2EDD"/>
    <w:rsid w:val="00CF3503"/>
    <w:rsid w:val="00CF3EF6"/>
    <w:rsid w:val="00CF494D"/>
    <w:rsid w:val="00CF4E35"/>
    <w:rsid w:val="00CF4E87"/>
    <w:rsid w:val="00CF56FF"/>
    <w:rsid w:val="00CF6541"/>
    <w:rsid w:val="00CF7131"/>
    <w:rsid w:val="00CF7401"/>
    <w:rsid w:val="00CF7BE6"/>
    <w:rsid w:val="00CF7C7B"/>
    <w:rsid w:val="00CF7FD0"/>
    <w:rsid w:val="00D0101F"/>
    <w:rsid w:val="00D022FF"/>
    <w:rsid w:val="00D02812"/>
    <w:rsid w:val="00D02B1E"/>
    <w:rsid w:val="00D03356"/>
    <w:rsid w:val="00D03EF4"/>
    <w:rsid w:val="00D04C7A"/>
    <w:rsid w:val="00D0567D"/>
    <w:rsid w:val="00D05C7C"/>
    <w:rsid w:val="00D05FC6"/>
    <w:rsid w:val="00D063B1"/>
    <w:rsid w:val="00D0655B"/>
    <w:rsid w:val="00D10109"/>
    <w:rsid w:val="00D1014A"/>
    <w:rsid w:val="00D10A5E"/>
    <w:rsid w:val="00D10D76"/>
    <w:rsid w:val="00D11936"/>
    <w:rsid w:val="00D12450"/>
    <w:rsid w:val="00D12A7B"/>
    <w:rsid w:val="00D138C0"/>
    <w:rsid w:val="00D147F2"/>
    <w:rsid w:val="00D15489"/>
    <w:rsid w:val="00D16A88"/>
    <w:rsid w:val="00D20079"/>
    <w:rsid w:val="00D203F3"/>
    <w:rsid w:val="00D205AE"/>
    <w:rsid w:val="00D214F7"/>
    <w:rsid w:val="00D2184F"/>
    <w:rsid w:val="00D21B31"/>
    <w:rsid w:val="00D229D6"/>
    <w:rsid w:val="00D23A76"/>
    <w:rsid w:val="00D24508"/>
    <w:rsid w:val="00D277C7"/>
    <w:rsid w:val="00D3079C"/>
    <w:rsid w:val="00D30A14"/>
    <w:rsid w:val="00D30A39"/>
    <w:rsid w:val="00D30DC6"/>
    <w:rsid w:val="00D31A88"/>
    <w:rsid w:val="00D324D1"/>
    <w:rsid w:val="00D33287"/>
    <w:rsid w:val="00D33368"/>
    <w:rsid w:val="00D33A53"/>
    <w:rsid w:val="00D34067"/>
    <w:rsid w:val="00D344DB"/>
    <w:rsid w:val="00D349C8"/>
    <w:rsid w:val="00D34D85"/>
    <w:rsid w:val="00D34F2A"/>
    <w:rsid w:val="00D35D9B"/>
    <w:rsid w:val="00D367CB"/>
    <w:rsid w:val="00D36A40"/>
    <w:rsid w:val="00D379C4"/>
    <w:rsid w:val="00D37E8A"/>
    <w:rsid w:val="00D404B6"/>
    <w:rsid w:val="00D40FF1"/>
    <w:rsid w:val="00D4130F"/>
    <w:rsid w:val="00D41F33"/>
    <w:rsid w:val="00D4262C"/>
    <w:rsid w:val="00D43E78"/>
    <w:rsid w:val="00D43E98"/>
    <w:rsid w:val="00D44273"/>
    <w:rsid w:val="00D44E73"/>
    <w:rsid w:val="00D44EA9"/>
    <w:rsid w:val="00D45A41"/>
    <w:rsid w:val="00D45F32"/>
    <w:rsid w:val="00D46A5C"/>
    <w:rsid w:val="00D5111B"/>
    <w:rsid w:val="00D51E0F"/>
    <w:rsid w:val="00D5282A"/>
    <w:rsid w:val="00D52E55"/>
    <w:rsid w:val="00D530C9"/>
    <w:rsid w:val="00D532A7"/>
    <w:rsid w:val="00D551B9"/>
    <w:rsid w:val="00D55703"/>
    <w:rsid w:val="00D55CA3"/>
    <w:rsid w:val="00D55F88"/>
    <w:rsid w:val="00D568FE"/>
    <w:rsid w:val="00D56DD4"/>
    <w:rsid w:val="00D5738B"/>
    <w:rsid w:val="00D57AB8"/>
    <w:rsid w:val="00D613C8"/>
    <w:rsid w:val="00D619AA"/>
    <w:rsid w:val="00D621C9"/>
    <w:rsid w:val="00D6225A"/>
    <w:rsid w:val="00D62378"/>
    <w:rsid w:val="00D62574"/>
    <w:rsid w:val="00D62761"/>
    <w:rsid w:val="00D6374E"/>
    <w:rsid w:val="00D653FE"/>
    <w:rsid w:val="00D65E9F"/>
    <w:rsid w:val="00D666B3"/>
    <w:rsid w:val="00D66F18"/>
    <w:rsid w:val="00D677B6"/>
    <w:rsid w:val="00D718DA"/>
    <w:rsid w:val="00D71CEE"/>
    <w:rsid w:val="00D72631"/>
    <w:rsid w:val="00D72EE1"/>
    <w:rsid w:val="00D73AC8"/>
    <w:rsid w:val="00D73B62"/>
    <w:rsid w:val="00D73CA5"/>
    <w:rsid w:val="00D73F97"/>
    <w:rsid w:val="00D7451A"/>
    <w:rsid w:val="00D75109"/>
    <w:rsid w:val="00D76062"/>
    <w:rsid w:val="00D7637C"/>
    <w:rsid w:val="00D765EC"/>
    <w:rsid w:val="00D80791"/>
    <w:rsid w:val="00D80798"/>
    <w:rsid w:val="00D809EE"/>
    <w:rsid w:val="00D8139A"/>
    <w:rsid w:val="00D82628"/>
    <w:rsid w:val="00D83653"/>
    <w:rsid w:val="00D83B5F"/>
    <w:rsid w:val="00D84F95"/>
    <w:rsid w:val="00D853B8"/>
    <w:rsid w:val="00D86427"/>
    <w:rsid w:val="00D86FCD"/>
    <w:rsid w:val="00D87F68"/>
    <w:rsid w:val="00D90003"/>
    <w:rsid w:val="00D90F9B"/>
    <w:rsid w:val="00D91CBC"/>
    <w:rsid w:val="00D93328"/>
    <w:rsid w:val="00D937C4"/>
    <w:rsid w:val="00D9576B"/>
    <w:rsid w:val="00D965D8"/>
    <w:rsid w:val="00D966F7"/>
    <w:rsid w:val="00D9688B"/>
    <w:rsid w:val="00D96D5C"/>
    <w:rsid w:val="00D96FD3"/>
    <w:rsid w:val="00D9729D"/>
    <w:rsid w:val="00D97B89"/>
    <w:rsid w:val="00DA04C8"/>
    <w:rsid w:val="00DA0546"/>
    <w:rsid w:val="00DA10CA"/>
    <w:rsid w:val="00DA26D2"/>
    <w:rsid w:val="00DA32B8"/>
    <w:rsid w:val="00DA33DD"/>
    <w:rsid w:val="00DA3E61"/>
    <w:rsid w:val="00DA3EAD"/>
    <w:rsid w:val="00DA5F07"/>
    <w:rsid w:val="00DA7366"/>
    <w:rsid w:val="00DA757B"/>
    <w:rsid w:val="00DA7606"/>
    <w:rsid w:val="00DA7E41"/>
    <w:rsid w:val="00DB1C61"/>
    <w:rsid w:val="00DB1F36"/>
    <w:rsid w:val="00DB37F2"/>
    <w:rsid w:val="00DB3B3C"/>
    <w:rsid w:val="00DB51B6"/>
    <w:rsid w:val="00DB561D"/>
    <w:rsid w:val="00DB58CC"/>
    <w:rsid w:val="00DB5B84"/>
    <w:rsid w:val="00DB61F3"/>
    <w:rsid w:val="00DB6C9D"/>
    <w:rsid w:val="00DB7090"/>
    <w:rsid w:val="00DB74CD"/>
    <w:rsid w:val="00DB7B6A"/>
    <w:rsid w:val="00DC37BA"/>
    <w:rsid w:val="00DC3D5B"/>
    <w:rsid w:val="00DC3FAB"/>
    <w:rsid w:val="00DC4D80"/>
    <w:rsid w:val="00DC50F0"/>
    <w:rsid w:val="00DC5BD9"/>
    <w:rsid w:val="00DC6984"/>
    <w:rsid w:val="00DC78FC"/>
    <w:rsid w:val="00DC7AC6"/>
    <w:rsid w:val="00DC7D57"/>
    <w:rsid w:val="00DD06B9"/>
    <w:rsid w:val="00DD07F1"/>
    <w:rsid w:val="00DD0C4E"/>
    <w:rsid w:val="00DD1C35"/>
    <w:rsid w:val="00DD1CA7"/>
    <w:rsid w:val="00DD2279"/>
    <w:rsid w:val="00DD28C7"/>
    <w:rsid w:val="00DD298C"/>
    <w:rsid w:val="00DD46B0"/>
    <w:rsid w:val="00DD488D"/>
    <w:rsid w:val="00DD4D88"/>
    <w:rsid w:val="00DD4EEA"/>
    <w:rsid w:val="00DD608C"/>
    <w:rsid w:val="00DD7055"/>
    <w:rsid w:val="00DD70C0"/>
    <w:rsid w:val="00DD751B"/>
    <w:rsid w:val="00DD79C6"/>
    <w:rsid w:val="00DE0A17"/>
    <w:rsid w:val="00DE152B"/>
    <w:rsid w:val="00DE15F1"/>
    <w:rsid w:val="00DE198F"/>
    <w:rsid w:val="00DE288E"/>
    <w:rsid w:val="00DE2DA7"/>
    <w:rsid w:val="00DE3B55"/>
    <w:rsid w:val="00DE5796"/>
    <w:rsid w:val="00DE6215"/>
    <w:rsid w:val="00DE7069"/>
    <w:rsid w:val="00DE75E6"/>
    <w:rsid w:val="00DE77E3"/>
    <w:rsid w:val="00DE7FDA"/>
    <w:rsid w:val="00DF09E3"/>
    <w:rsid w:val="00DF196B"/>
    <w:rsid w:val="00DF219C"/>
    <w:rsid w:val="00DF2372"/>
    <w:rsid w:val="00DF2876"/>
    <w:rsid w:val="00DF2E19"/>
    <w:rsid w:val="00DF3248"/>
    <w:rsid w:val="00DF354F"/>
    <w:rsid w:val="00DF4BFB"/>
    <w:rsid w:val="00DF4E6A"/>
    <w:rsid w:val="00DF5B5F"/>
    <w:rsid w:val="00DF70E3"/>
    <w:rsid w:val="00DF7F96"/>
    <w:rsid w:val="00E00A3F"/>
    <w:rsid w:val="00E00A9D"/>
    <w:rsid w:val="00E00F81"/>
    <w:rsid w:val="00E01723"/>
    <w:rsid w:val="00E017C7"/>
    <w:rsid w:val="00E0201D"/>
    <w:rsid w:val="00E03073"/>
    <w:rsid w:val="00E03103"/>
    <w:rsid w:val="00E031C2"/>
    <w:rsid w:val="00E03E4D"/>
    <w:rsid w:val="00E040A2"/>
    <w:rsid w:val="00E04209"/>
    <w:rsid w:val="00E04568"/>
    <w:rsid w:val="00E0504C"/>
    <w:rsid w:val="00E05BCB"/>
    <w:rsid w:val="00E064AD"/>
    <w:rsid w:val="00E069AF"/>
    <w:rsid w:val="00E0744C"/>
    <w:rsid w:val="00E1065D"/>
    <w:rsid w:val="00E10B75"/>
    <w:rsid w:val="00E11428"/>
    <w:rsid w:val="00E12077"/>
    <w:rsid w:val="00E12208"/>
    <w:rsid w:val="00E127DF"/>
    <w:rsid w:val="00E13DB8"/>
    <w:rsid w:val="00E15289"/>
    <w:rsid w:val="00E156FB"/>
    <w:rsid w:val="00E15D54"/>
    <w:rsid w:val="00E16335"/>
    <w:rsid w:val="00E173D2"/>
    <w:rsid w:val="00E17D9C"/>
    <w:rsid w:val="00E17FB9"/>
    <w:rsid w:val="00E211CE"/>
    <w:rsid w:val="00E21E6B"/>
    <w:rsid w:val="00E222B0"/>
    <w:rsid w:val="00E228A4"/>
    <w:rsid w:val="00E22CBD"/>
    <w:rsid w:val="00E23093"/>
    <w:rsid w:val="00E2390D"/>
    <w:rsid w:val="00E23C3C"/>
    <w:rsid w:val="00E24303"/>
    <w:rsid w:val="00E24444"/>
    <w:rsid w:val="00E245D3"/>
    <w:rsid w:val="00E245F7"/>
    <w:rsid w:val="00E24925"/>
    <w:rsid w:val="00E24986"/>
    <w:rsid w:val="00E25CC7"/>
    <w:rsid w:val="00E264D5"/>
    <w:rsid w:val="00E265AD"/>
    <w:rsid w:val="00E27508"/>
    <w:rsid w:val="00E2784F"/>
    <w:rsid w:val="00E30F0F"/>
    <w:rsid w:val="00E30F90"/>
    <w:rsid w:val="00E31624"/>
    <w:rsid w:val="00E31717"/>
    <w:rsid w:val="00E32138"/>
    <w:rsid w:val="00E323DD"/>
    <w:rsid w:val="00E329FD"/>
    <w:rsid w:val="00E32D01"/>
    <w:rsid w:val="00E334DE"/>
    <w:rsid w:val="00E33C8C"/>
    <w:rsid w:val="00E34354"/>
    <w:rsid w:val="00E34CDE"/>
    <w:rsid w:val="00E3642A"/>
    <w:rsid w:val="00E405F7"/>
    <w:rsid w:val="00E40B23"/>
    <w:rsid w:val="00E41052"/>
    <w:rsid w:val="00E424B3"/>
    <w:rsid w:val="00E428D0"/>
    <w:rsid w:val="00E433DE"/>
    <w:rsid w:val="00E43A11"/>
    <w:rsid w:val="00E44050"/>
    <w:rsid w:val="00E44DD9"/>
    <w:rsid w:val="00E45ECE"/>
    <w:rsid w:val="00E4755A"/>
    <w:rsid w:val="00E47E22"/>
    <w:rsid w:val="00E5098C"/>
    <w:rsid w:val="00E50EBB"/>
    <w:rsid w:val="00E510D4"/>
    <w:rsid w:val="00E518E6"/>
    <w:rsid w:val="00E52939"/>
    <w:rsid w:val="00E536F8"/>
    <w:rsid w:val="00E54021"/>
    <w:rsid w:val="00E55879"/>
    <w:rsid w:val="00E559B0"/>
    <w:rsid w:val="00E55A22"/>
    <w:rsid w:val="00E55FC6"/>
    <w:rsid w:val="00E56F75"/>
    <w:rsid w:val="00E5789A"/>
    <w:rsid w:val="00E604F8"/>
    <w:rsid w:val="00E60C95"/>
    <w:rsid w:val="00E62532"/>
    <w:rsid w:val="00E628F1"/>
    <w:rsid w:val="00E6292E"/>
    <w:rsid w:val="00E63296"/>
    <w:rsid w:val="00E635F5"/>
    <w:rsid w:val="00E644D8"/>
    <w:rsid w:val="00E64EBB"/>
    <w:rsid w:val="00E65C0F"/>
    <w:rsid w:val="00E65E93"/>
    <w:rsid w:val="00E67120"/>
    <w:rsid w:val="00E67B3F"/>
    <w:rsid w:val="00E70188"/>
    <w:rsid w:val="00E71010"/>
    <w:rsid w:val="00E71020"/>
    <w:rsid w:val="00E72361"/>
    <w:rsid w:val="00E73219"/>
    <w:rsid w:val="00E73FB4"/>
    <w:rsid w:val="00E74269"/>
    <w:rsid w:val="00E74923"/>
    <w:rsid w:val="00E7577F"/>
    <w:rsid w:val="00E76C7B"/>
    <w:rsid w:val="00E76D9B"/>
    <w:rsid w:val="00E7799A"/>
    <w:rsid w:val="00E81D15"/>
    <w:rsid w:val="00E82625"/>
    <w:rsid w:val="00E82766"/>
    <w:rsid w:val="00E82E13"/>
    <w:rsid w:val="00E835FE"/>
    <w:rsid w:val="00E8383F"/>
    <w:rsid w:val="00E83CB6"/>
    <w:rsid w:val="00E83F1E"/>
    <w:rsid w:val="00E842AE"/>
    <w:rsid w:val="00E8475F"/>
    <w:rsid w:val="00E85E05"/>
    <w:rsid w:val="00E86741"/>
    <w:rsid w:val="00E877FC"/>
    <w:rsid w:val="00E87FE0"/>
    <w:rsid w:val="00E90043"/>
    <w:rsid w:val="00E901AB"/>
    <w:rsid w:val="00E90E81"/>
    <w:rsid w:val="00E91015"/>
    <w:rsid w:val="00E9399C"/>
    <w:rsid w:val="00E9520F"/>
    <w:rsid w:val="00E9653A"/>
    <w:rsid w:val="00E96E34"/>
    <w:rsid w:val="00E97796"/>
    <w:rsid w:val="00E9785F"/>
    <w:rsid w:val="00E979D2"/>
    <w:rsid w:val="00EA0B47"/>
    <w:rsid w:val="00EA1CD0"/>
    <w:rsid w:val="00EA20F8"/>
    <w:rsid w:val="00EA24E0"/>
    <w:rsid w:val="00EA337C"/>
    <w:rsid w:val="00EA3AD2"/>
    <w:rsid w:val="00EA3AD3"/>
    <w:rsid w:val="00EA402C"/>
    <w:rsid w:val="00EA42B2"/>
    <w:rsid w:val="00EA4D11"/>
    <w:rsid w:val="00EA52D7"/>
    <w:rsid w:val="00EA71A5"/>
    <w:rsid w:val="00EA77DE"/>
    <w:rsid w:val="00EA7B05"/>
    <w:rsid w:val="00EB0954"/>
    <w:rsid w:val="00EB0B8B"/>
    <w:rsid w:val="00EB10A0"/>
    <w:rsid w:val="00EB27DB"/>
    <w:rsid w:val="00EB2D3F"/>
    <w:rsid w:val="00EB3342"/>
    <w:rsid w:val="00EB35D5"/>
    <w:rsid w:val="00EB4039"/>
    <w:rsid w:val="00EB4CE2"/>
    <w:rsid w:val="00EB5D1F"/>
    <w:rsid w:val="00EB6449"/>
    <w:rsid w:val="00EB71A5"/>
    <w:rsid w:val="00EB7BFE"/>
    <w:rsid w:val="00EC112F"/>
    <w:rsid w:val="00EC3CCC"/>
    <w:rsid w:val="00EC581F"/>
    <w:rsid w:val="00EC5934"/>
    <w:rsid w:val="00EC5F4A"/>
    <w:rsid w:val="00EC6594"/>
    <w:rsid w:val="00ED0611"/>
    <w:rsid w:val="00ED19DE"/>
    <w:rsid w:val="00ED24E0"/>
    <w:rsid w:val="00ED2842"/>
    <w:rsid w:val="00ED4623"/>
    <w:rsid w:val="00ED4BDA"/>
    <w:rsid w:val="00ED5905"/>
    <w:rsid w:val="00ED5962"/>
    <w:rsid w:val="00ED60CD"/>
    <w:rsid w:val="00ED7050"/>
    <w:rsid w:val="00ED7B3A"/>
    <w:rsid w:val="00EE0F5F"/>
    <w:rsid w:val="00EE1DF9"/>
    <w:rsid w:val="00EE1FF0"/>
    <w:rsid w:val="00EE3986"/>
    <w:rsid w:val="00EE41CA"/>
    <w:rsid w:val="00EE4570"/>
    <w:rsid w:val="00EE4864"/>
    <w:rsid w:val="00EE5867"/>
    <w:rsid w:val="00EE5998"/>
    <w:rsid w:val="00EE5AD0"/>
    <w:rsid w:val="00EE5E74"/>
    <w:rsid w:val="00EE5FDA"/>
    <w:rsid w:val="00EE6A1D"/>
    <w:rsid w:val="00EE7BC8"/>
    <w:rsid w:val="00EE7E1F"/>
    <w:rsid w:val="00EF0068"/>
    <w:rsid w:val="00EF094F"/>
    <w:rsid w:val="00EF0DA2"/>
    <w:rsid w:val="00EF13D2"/>
    <w:rsid w:val="00EF24D5"/>
    <w:rsid w:val="00EF2B74"/>
    <w:rsid w:val="00EF2D91"/>
    <w:rsid w:val="00EF3131"/>
    <w:rsid w:val="00EF333F"/>
    <w:rsid w:val="00EF381A"/>
    <w:rsid w:val="00EF6308"/>
    <w:rsid w:val="00EF6325"/>
    <w:rsid w:val="00EF661D"/>
    <w:rsid w:val="00EF7156"/>
    <w:rsid w:val="00EF7248"/>
    <w:rsid w:val="00EF728A"/>
    <w:rsid w:val="00F00B7A"/>
    <w:rsid w:val="00F0145F"/>
    <w:rsid w:val="00F01758"/>
    <w:rsid w:val="00F02C60"/>
    <w:rsid w:val="00F035D8"/>
    <w:rsid w:val="00F03D93"/>
    <w:rsid w:val="00F0424D"/>
    <w:rsid w:val="00F04444"/>
    <w:rsid w:val="00F04B9F"/>
    <w:rsid w:val="00F04BC3"/>
    <w:rsid w:val="00F04F72"/>
    <w:rsid w:val="00F065AC"/>
    <w:rsid w:val="00F07420"/>
    <w:rsid w:val="00F107AF"/>
    <w:rsid w:val="00F10C4A"/>
    <w:rsid w:val="00F111D6"/>
    <w:rsid w:val="00F1126E"/>
    <w:rsid w:val="00F112C3"/>
    <w:rsid w:val="00F11346"/>
    <w:rsid w:val="00F11874"/>
    <w:rsid w:val="00F1187C"/>
    <w:rsid w:val="00F11FD9"/>
    <w:rsid w:val="00F123AA"/>
    <w:rsid w:val="00F1301E"/>
    <w:rsid w:val="00F1330B"/>
    <w:rsid w:val="00F1357E"/>
    <w:rsid w:val="00F1384A"/>
    <w:rsid w:val="00F15538"/>
    <w:rsid w:val="00F15999"/>
    <w:rsid w:val="00F161E1"/>
    <w:rsid w:val="00F164EF"/>
    <w:rsid w:val="00F174B7"/>
    <w:rsid w:val="00F203F9"/>
    <w:rsid w:val="00F211D8"/>
    <w:rsid w:val="00F219B0"/>
    <w:rsid w:val="00F21A03"/>
    <w:rsid w:val="00F22234"/>
    <w:rsid w:val="00F224DA"/>
    <w:rsid w:val="00F22714"/>
    <w:rsid w:val="00F22D7A"/>
    <w:rsid w:val="00F22FCF"/>
    <w:rsid w:val="00F232E4"/>
    <w:rsid w:val="00F23C6B"/>
    <w:rsid w:val="00F24975"/>
    <w:rsid w:val="00F24A56"/>
    <w:rsid w:val="00F258E0"/>
    <w:rsid w:val="00F26227"/>
    <w:rsid w:val="00F267E4"/>
    <w:rsid w:val="00F26810"/>
    <w:rsid w:val="00F2769A"/>
    <w:rsid w:val="00F27E27"/>
    <w:rsid w:val="00F31C86"/>
    <w:rsid w:val="00F321C5"/>
    <w:rsid w:val="00F32309"/>
    <w:rsid w:val="00F3262F"/>
    <w:rsid w:val="00F336E2"/>
    <w:rsid w:val="00F34480"/>
    <w:rsid w:val="00F34628"/>
    <w:rsid w:val="00F34B89"/>
    <w:rsid w:val="00F3500B"/>
    <w:rsid w:val="00F36306"/>
    <w:rsid w:val="00F36984"/>
    <w:rsid w:val="00F378B0"/>
    <w:rsid w:val="00F37A5D"/>
    <w:rsid w:val="00F408EC"/>
    <w:rsid w:val="00F40BBE"/>
    <w:rsid w:val="00F40BD7"/>
    <w:rsid w:val="00F410EF"/>
    <w:rsid w:val="00F44B2C"/>
    <w:rsid w:val="00F4525C"/>
    <w:rsid w:val="00F45952"/>
    <w:rsid w:val="00F46611"/>
    <w:rsid w:val="00F46781"/>
    <w:rsid w:val="00F5138B"/>
    <w:rsid w:val="00F51767"/>
    <w:rsid w:val="00F52496"/>
    <w:rsid w:val="00F52743"/>
    <w:rsid w:val="00F52BD3"/>
    <w:rsid w:val="00F52FDA"/>
    <w:rsid w:val="00F531B8"/>
    <w:rsid w:val="00F533CC"/>
    <w:rsid w:val="00F534BA"/>
    <w:rsid w:val="00F5387F"/>
    <w:rsid w:val="00F53AA6"/>
    <w:rsid w:val="00F540A0"/>
    <w:rsid w:val="00F54A73"/>
    <w:rsid w:val="00F55AF6"/>
    <w:rsid w:val="00F57806"/>
    <w:rsid w:val="00F57D1A"/>
    <w:rsid w:val="00F57F5C"/>
    <w:rsid w:val="00F611FF"/>
    <w:rsid w:val="00F61CD8"/>
    <w:rsid w:val="00F61D8C"/>
    <w:rsid w:val="00F626D1"/>
    <w:rsid w:val="00F629FA"/>
    <w:rsid w:val="00F62E9E"/>
    <w:rsid w:val="00F64720"/>
    <w:rsid w:val="00F64B45"/>
    <w:rsid w:val="00F65945"/>
    <w:rsid w:val="00F66907"/>
    <w:rsid w:val="00F70B83"/>
    <w:rsid w:val="00F71071"/>
    <w:rsid w:val="00F72CB0"/>
    <w:rsid w:val="00F731D7"/>
    <w:rsid w:val="00F73953"/>
    <w:rsid w:val="00F73B35"/>
    <w:rsid w:val="00F75647"/>
    <w:rsid w:val="00F75F1B"/>
    <w:rsid w:val="00F75F1F"/>
    <w:rsid w:val="00F76402"/>
    <w:rsid w:val="00F76C7B"/>
    <w:rsid w:val="00F77554"/>
    <w:rsid w:val="00F80195"/>
    <w:rsid w:val="00F8048E"/>
    <w:rsid w:val="00F804AF"/>
    <w:rsid w:val="00F80A22"/>
    <w:rsid w:val="00F810F8"/>
    <w:rsid w:val="00F81505"/>
    <w:rsid w:val="00F81EF0"/>
    <w:rsid w:val="00F82E4F"/>
    <w:rsid w:val="00F83E60"/>
    <w:rsid w:val="00F85A61"/>
    <w:rsid w:val="00F85F16"/>
    <w:rsid w:val="00F862C1"/>
    <w:rsid w:val="00F90326"/>
    <w:rsid w:val="00F91FF9"/>
    <w:rsid w:val="00F92B76"/>
    <w:rsid w:val="00F934F0"/>
    <w:rsid w:val="00F936D8"/>
    <w:rsid w:val="00F93956"/>
    <w:rsid w:val="00F9397E"/>
    <w:rsid w:val="00F93990"/>
    <w:rsid w:val="00F94744"/>
    <w:rsid w:val="00F9540A"/>
    <w:rsid w:val="00F96A40"/>
    <w:rsid w:val="00F973CA"/>
    <w:rsid w:val="00F97D88"/>
    <w:rsid w:val="00FA0244"/>
    <w:rsid w:val="00FA2603"/>
    <w:rsid w:val="00FA50C6"/>
    <w:rsid w:val="00FA5DAE"/>
    <w:rsid w:val="00FA62FA"/>
    <w:rsid w:val="00FA63B9"/>
    <w:rsid w:val="00FA6CC7"/>
    <w:rsid w:val="00FA7DE0"/>
    <w:rsid w:val="00FB10FB"/>
    <w:rsid w:val="00FB1204"/>
    <w:rsid w:val="00FB1D42"/>
    <w:rsid w:val="00FB311C"/>
    <w:rsid w:val="00FB5255"/>
    <w:rsid w:val="00FB5703"/>
    <w:rsid w:val="00FB5C48"/>
    <w:rsid w:val="00FB5E4A"/>
    <w:rsid w:val="00FB5E9D"/>
    <w:rsid w:val="00FB5F5B"/>
    <w:rsid w:val="00FC1245"/>
    <w:rsid w:val="00FC1324"/>
    <w:rsid w:val="00FC14E7"/>
    <w:rsid w:val="00FC26A4"/>
    <w:rsid w:val="00FC299B"/>
    <w:rsid w:val="00FC314E"/>
    <w:rsid w:val="00FC324E"/>
    <w:rsid w:val="00FC3540"/>
    <w:rsid w:val="00FC3E98"/>
    <w:rsid w:val="00FC46AC"/>
    <w:rsid w:val="00FC67EE"/>
    <w:rsid w:val="00FD03DE"/>
    <w:rsid w:val="00FD063D"/>
    <w:rsid w:val="00FD1300"/>
    <w:rsid w:val="00FD1556"/>
    <w:rsid w:val="00FD19FC"/>
    <w:rsid w:val="00FD1C6E"/>
    <w:rsid w:val="00FD27B9"/>
    <w:rsid w:val="00FD2F97"/>
    <w:rsid w:val="00FD4D13"/>
    <w:rsid w:val="00FD5508"/>
    <w:rsid w:val="00FD5715"/>
    <w:rsid w:val="00FD5868"/>
    <w:rsid w:val="00FD60C2"/>
    <w:rsid w:val="00FD6689"/>
    <w:rsid w:val="00FD68C7"/>
    <w:rsid w:val="00FD6F17"/>
    <w:rsid w:val="00FD7308"/>
    <w:rsid w:val="00FE0039"/>
    <w:rsid w:val="00FE01F3"/>
    <w:rsid w:val="00FE29D2"/>
    <w:rsid w:val="00FE3259"/>
    <w:rsid w:val="00FE36DC"/>
    <w:rsid w:val="00FE3719"/>
    <w:rsid w:val="00FE436C"/>
    <w:rsid w:val="00FE5177"/>
    <w:rsid w:val="00FE56C7"/>
    <w:rsid w:val="00FE5739"/>
    <w:rsid w:val="00FE5E2C"/>
    <w:rsid w:val="00FE72BE"/>
    <w:rsid w:val="00FE73FB"/>
    <w:rsid w:val="00FF2931"/>
    <w:rsid w:val="00FF2E03"/>
    <w:rsid w:val="00FF48B3"/>
    <w:rsid w:val="00FF5173"/>
    <w:rsid w:val="00FF57D7"/>
    <w:rsid w:val="00FF63D4"/>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62B051DE-0130-4575-855F-482360E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050"/>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7A6781"/>
    <w:pPr>
      <w:ind w:left="708"/>
    </w:pPr>
  </w:style>
  <w:style w:type="character" w:customStyle="1" w:styleId="TextoindependienteCar">
    <w:name w:val="Texto independiente Car"/>
    <w:link w:val="Textoindependiente"/>
    <w:uiPriority w:val="99"/>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styleId="nfasis">
    <w:name w:val="Emphasis"/>
    <w:basedOn w:val="Fuentedeprrafopredeter"/>
    <w:uiPriority w:val="20"/>
    <w:qFormat/>
    <w:rsid w:val="00320D45"/>
    <w:rPr>
      <w:i/>
      <w:iCs/>
    </w:rPr>
  </w:style>
  <w:style w:type="paragraph" w:styleId="HTMLconformatoprevio">
    <w:name w:val="HTML Preformatted"/>
    <w:basedOn w:val="Normal"/>
    <w:link w:val="HTMLconformatoprevioCar"/>
    <w:uiPriority w:val="99"/>
    <w:semiHidden/>
    <w:unhideWhenUsed/>
    <w:rsid w:val="00BA5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MX" w:eastAsia="es-MX"/>
    </w:rPr>
  </w:style>
  <w:style w:type="character" w:customStyle="1" w:styleId="HTMLconformatoprevioCar">
    <w:name w:val="HTML con formato previo Car"/>
    <w:basedOn w:val="Fuentedeprrafopredeter"/>
    <w:link w:val="HTMLconformatoprevio"/>
    <w:uiPriority w:val="99"/>
    <w:semiHidden/>
    <w:rsid w:val="00BA5D69"/>
    <w:rPr>
      <w:rFonts w:ascii="Courier New" w:hAnsi="Courier New" w:cs="Courier New"/>
    </w:rPr>
  </w:style>
  <w:style w:type="paragraph" w:styleId="Sinespaciado">
    <w:name w:val="No Spacing"/>
    <w:uiPriority w:val="1"/>
    <w:qFormat/>
    <w:rsid w:val="00BE741F"/>
    <w:rPr>
      <w:rFonts w:ascii="Calibri" w:eastAsia="Calibri" w:hAnsi="Calibri"/>
      <w:sz w:val="22"/>
      <w:szCs w:val="22"/>
      <w:lang w:eastAsia="en-US"/>
    </w:rPr>
  </w:style>
  <w:style w:type="character" w:customStyle="1" w:styleId="N1IFTCar">
    <w:name w:val="N1 IFT Car"/>
    <w:basedOn w:val="Fuentedeprrafopredeter"/>
    <w:link w:val="N1IFT"/>
    <w:locked/>
    <w:rsid w:val="00F51767"/>
    <w:rPr>
      <w:rFonts w:ascii="ITC Avant Garde" w:hAnsi="ITC Avant Garde"/>
      <w:b/>
      <w:bCs/>
      <w:color w:val="000000"/>
      <w:lang w:eastAsia="es-ES"/>
    </w:rPr>
  </w:style>
  <w:style w:type="paragraph" w:customStyle="1" w:styleId="N1IFT">
    <w:name w:val="N1 IFT"/>
    <w:basedOn w:val="Normal"/>
    <w:link w:val="N1IFTCar"/>
    <w:rsid w:val="00F51767"/>
    <w:pPr>
      <w:spacing w:after="200" w:line="276" w:lineRule="auto"/>
      <w:jc w:val="both"/>
    </w:pPr>
    <w:rPr>
      <w:rFonts w:ascii="ITC Avant Garde" w:hAnsi="ITC Avant Garde"/>
      <w:b/>
      <w:bCs/>
      <w:color w:val="000000"/>
      <w:sz w:val="20"/>
      <w:lang w:val="es-MX"/>
    </w:rPr>
  </w:style>
  <w:style w:type="character" w:customStyle="1" w:styleId="Ttulo2Car">
    <w:name w:val="Título 2 Car"/>
    <w:basedOn w:val="Fuentedeprrafopredeter"/>
    <w:link w:val="Ttulo2"/>
    <w:uiPriority w:val="9"/>
    <w:rsid w:val="006A1BCD"/>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32817">
      <w:bodyDiv w:val="1"/>
      <w:marLeft w:val="0"/>
      <w:marRight w:val="0"/>
      <w:marTop w:val="0"/>
      <w:marBottom w:val="0"/>
      <w:divBdr>
        <w:top w:val="none" w:sz="0" w:space="0" w:color="auto"/>
        <w:left w:val="none" w:sz="0" w:space="0" w:color="auto"/>
        <w:bottom w:val="none" w:sz="0" w:space="0" w:color="auto"/>
        <w:right w:val="none" w:sz="0" w:space="0" w:color="auto"/>
      </w:divBdr>
    </w:div>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410734656">
      <w:bodyDiv w:val="1"/>
      <w:marLeft w:val="0"/>
      <w:marRight w:val="0"/>
      <w:marTop w:val="0"/>
      <w:marBottom w:val="0"/>
      <w:divBdr>
        <w:top w:val="none" w:sz="0" w:space="0" w:color="auto"/>
        <w:left w:val="none" w:sz="0" w:space="0" w:color="auto"/>
        <w:bottom w:val="none" w:sz="0" w:space="0" w:color="auto"/>
        <w:right w:val="none" w:sz="0" w:space="0" w:color="auto"/>
      </w:divBdr>
    </w:div>
    <w:div w:id="603848972">
      <w:bodyDiv w:val="1"/>
      <w:marLeft w:val="0"/>
      <w:marRight w:val="0"/>
      <w:marTop w:val="0"/>
      <w:marBottom w:val="0"/>
      <w:divBdr>
        <w:top w:val="none" w:sz="0" w:space="0" w:color="auto"/>
        <w:left w:val="none" w:sz="0" w:space="0" w:color="auto"/>
        <w:bottom w:val="none" w:sz="0" w:space="0" w:color="auto"/>
        <w:right w:val="none" w:sz="0" w:space="0" w:color="auto"/>
      </w:divBdr>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913010387">
      <w:bodyDiv w:val="1"/>
      <w:marLeft w:val="0"/>
      <w:marRight w:val="0"/>
      <w:marTop w:val="0"/>
      <w:marBottom w:val="0"/>
      <w:divBdr>
        <w:top w:val="none" w:sz="0" w:space="0" w:color="auto"/>
        <w:left w:val="none" w:sz="0" w:space="0" w:color="auto"/>
        <w:bottom w:val="none" w:sz="0" w:space="0" w:color="auto"/>
        <w:right w:val="none" w:sz="0" w:space="0" w:color="auto"/>
      </w:divBdr>
    </w:div>
    <w:div w:id="1056589026">
      <w:bodyDiv w:val="1"/>
      <w:marLeft w:val="0"/>
      <w:marRight w:val="0"/>
      <w:marTop w:val="0"/>
      <w:marBottom w:val="0"/>
      <w:divBdr>
        <w:top w:val="none" w:sz="0" w:space="0" w:color="auto"/>
        <w:left w:val="none" w:sz="0" w:space="0" w:color="auto"/>
        <w:bottom w:val="none" w:sz="0" w:space="0" w:color="auto"/>
        <w:right w:val="none" w:sz="0" w:space="0" w:color="auto"/>
      </w:divBdr>
    </w:div>
    <w:div w:id="1233664617">
      <w:bodyDiv w:val="1"/>
      <w:marLeft w:val="0"/>
      <w:marRight w:val="0"/>
      <w:marTop w:val="0"/>
      <w:marBottom w:val="0"/>
      <w:divBdr>
        <w:top w:val="none" w:sz="0" w:space="0" w:color="auto"/>
        <w:left w:val="none" w:sz="0" w:space="0" w:color="auto"/>
        <w:bottom w:val="none" w:sz="0" w:space="0" w:color="auto"/>
        <w:right w:val="none" w:sz="0" w:space="0" w:color="auto"/>
      </w:divBdr>
    </w:div>
    <w:div w:id="1352564021">
      <w:bodyDiv w:val="1"/>
      <w:marLeft w:val="0"/>
      <w:marRight w:val="0"/>
      <w:marTop w:val="0"/>
      <w:marBottom w:val="0"/>
      <w:divBdr>
        <w:top w:val="none" w:sz="0" w:space="0" w:color="auto"/>
        <w:left w:val="none" w:sz="0" w:space="0" w:color="auto"/>
        <w:bottom w:val="none" w:sz="0" w:space="0" w:color="auto"/>
        <w:right w:val="none" w:sz="0" w:space="0" w:color="auto"/>
      </w:divBdr>
    </w:div>
    <w:div w:id="1412191885">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748377809">
      <w:bodyDiv w:val="1"/>
      <w:marLeft w:val="0"/>
      <w:marRight w:val="0"/>
      <w:marTop w:val="0"/>
      <w:marBottom w:val="0"/>
      <w:divBdr>
        <w:top w:val="none" w:sz="0" w:space="0" w:color="auto"/>
        <w:left w:val="none" w:sz="0" w:space="0" w:color="auto"/>
        <w:bottom w:val="none" w:sz="0" w:space="0" w:color="auto"/>
        <w:right w:val="none" w:sz="0" w:space="0" w:color="auto"/>
      </w:divBdr>
    </w:div>
    <w:div w:id="1839803913">
      <w:bodyDiv w:val="1"/>
      <w:marLeft w:val="0"/>
      <w:marRight w:val="0"/>
      <w:marTop w:val="0"/>
      <w:marBottom w:val="0"/>
      <w:divBdr>
        <w:top w:val="none" w:sz="0" w:space="0" w:color="auto"/>
        <w:left w:val="none" w:sz="0" w:space="0" w:color="auto"/>
        <w:bottom w:val="none" w:sz="0" w:space="0" w:color="auto"/>
        <w:right w:val="none" w:sz="0" w:space="0" w:color="auto"/>
      </w:divBdr>
    </w:div>
    <w:div w:id="1915553107">
      <w:bodyDiv w:val="1"/>
      <w:marLeft w:val="0"/>
      <w:marRight w:val="0"/>
      <w:marTop w:val="0"/>
      <w:marBottom w:val="0"/>
      <w:divBdr>
        <w:top w:val="none" w:sz="0" w:space="0" w:color="auto"/>
        <w:left w:val="none" w:sz="0" w:space="0" w:color="auto"/>
        <w:bottom w:val="none" w:sz="0" w:space="0" w:color="auto"/>
        <w:right w:val="none" w:sz="0" w:space="0" w:color="auto"/>
      </w:divBdr>
    </w:div>
    <w:div w:id="2055690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68142-B0DC-44B5-84AB-EC087CD4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4235</Words>
  <Characters>23297</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4</cp:revision>
  <cp:lastPrinted>2017-07-26T21:54:00Z</cp:lastPrinted>
  <dcterms:created xsi:type="dcterms:W3CDTF">2017-07-26T21:54:00Z</dcterms:created>
  <dcterms:modified xsi:type="dcterms:W3CDTF">2017-08-30T18:17:00Z</dcterms:modified>
</cp:coreProperties>
</file>