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E5EB" w14:textId="77777777" w:rsidR="004E7154" w:rsidRPr="00927C6B" w:rsidRDefault="00E62532" w:rsidP="00927C6B">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927C6B">
        <w:rPr>
          <w:rFonts w:ascii="ITC Avant Garde" w:eastAsiaTheme="majorEastAsia" w:hAnsi="ITC Avant Garde" w:cstheme="majorBidi"/>
          <w:color w:val="000000" w:themeColor="text1"/>
          <w:sz w:val="22"/>
          <w:szCs w:val="22"/>
          <w:lang w:val="es-MX" w:eastAsia="es-MX"/>
        </w:rPr>
        <w:t xml:space="preserve">RESOLUCIÓN MEDIANTE LA CUAL EL PLENO DEL INSTITUTO FEDERAL DE TELECOMUNICACIONES AUTORIZA </w:t>
      </w:r>
      <w:r w:rsidR="000F2CDA" w:rsidRPr="00927C6B">
        <w:rPr>
          <w:rFonts w:ascii="ITC Avant Garde" w:eastAsiaTheme="majorEastAsia" w:hAnsi="ITC Avant Garde" w:cstheme="majorBidi"/>
          <w:color w:val="000000" w:themeColor="text1"/>
          <w:sz w:val="22"/>
          <w:szCs w:val="22"/>
          <w:lang w:val="es-MX" w:eastAsia="es-MX"/>
        </w:rPr>
        <w:t xml:space="preserve">LA </w:t>
      </w:r>
      <w:r w:rsidR="002478B6" w:rsidRPr="00927C6B">
        <w:rPr>
          <w:rFonts w:ascii="ITC Avant Garde" w:eastAsiaTheme="majorEastAsia" w:hAnsi="ITC Avant Garde" w:cstheme="majorBidi"/>
          <w:color w:val="000000" w:themeColor="text1"/>
          <w:sz w:val="22"/>
          <w:szCs w:val="22"/>
          <w:lang w:val="es-MX" w:eastAsia="es-MX"/>
        </w:rPr>
        <w:t>ENAJENACIÓN</w:t>
      </w:r>
      <w:r w:rsidR="000F2CDA" w:rsidRPr="00927C6B">
        <w:rPr>
          <w:rFonts w:ascii="ITC Avant Garde" w:eastAsiaTheme="majorEastAsia" w:hAnsi="ITC Avant Garde" w:cstheme="majorBidi"/>
          <w:color w:val="000000" w:themeColor="text1"/>
          <w:sz w:val="22"/>
          <w:szCs w:val="22"/>
          <w:lang w:val="es-MX" w:eastAsia="es-MX"/>
        </w:rPr>
        <w:t xml:space="preserve"> DE ACCIONES DE LA EMPRESA </w:t>
      </w:r>
      <w:r w:rsidR="00BD7623" w:rsidRPr="00927C6B">
        <w:rPr>
          <w:rFonts w:ascii="ITC Avant Garde" w:eastAsiaTheme="majorEastAsia" w:hAnsi="ITC Avant Garde" w:cstheme="majorBidi"/>
          <w:color w:val="000000" w:themeColor="text1"/>
          <w:sz w:val="22"/>
          <w:szCs w:val="22"/>
          <w:lang w:val="es-MX" w:eastAsia="es-MX"/>
        </w:rPr>
        <w:t>ULTRACABLE DE AMÉRI</w:t>
      </w:r>
      <w:r w:rsidR="00BD0892" w:rsidRPr="00927C6B">
        <w:rPr>
          <w:rFonts w:ascii="ITC Avant Garde" w:eastAsiaTheme="majorEastAsia" w:hAnsi="ITC Avant Garde" w:cstheme="majorBidi"/>
          <w:color w:val="000000" w:themeColor="text1"/>
          <w:sz w:val="22"/>
          <w:szCs w:val="22"/>
          <w:lang w:val="es-MX" w:eastAsia="es-MX"/>
        </w:rPr>
        <w:t>CA</w:t>
      </w:r>
      <w:r w:rsidRPr="00927C6B">
        <w:rPr>
          <w:rFonts w:ascii="ITC Avant Garde" w:eastAsiaTheme="majorEastAsia" w:hAnsi="ITC Avant Garde" w:cstheme="majorBidi"/>
          <w:color w:val="000000" w:themeColor="text1"/>
          <w:sz w:val="22"/>
          <w:szCs w:val="22"/>
          <w:lang w:val="es-MX" w:eastAsia="es-MX"/>
        </w:rPr>
        <w:t xml:space="preserve">, S.A. DE C.V., </w:t>
      </w:r>
      <w:r w:rsidR="00516D51" w:rsidRPr="00927C6B">
        <w:rPr>
          <w:rFonts w:ascii="ITC Avant Garde" w:eastAsiaTheme="majorEastAsia" w:hAnsi="ITC Avant Garde" w:cstheme="majorBidi"/>
          <w:color w:val="000000" w:themeColor="text1"/>
          <w:sz w:val="22"/>
          <w:szCs w:val="22"/>
          <w:lang w:val="es-MX" w:eastAsia="es-MX"/>
        </w:rPr>
        <w:t xml:space="preserve">TITULAR DE UNA CONCESIÓN </w:t>
      </w:r>
      <w:r w:rsidR="00BD0892" w:rsidRPr="00927C6B">
        <w:rPr>
          <w:rFonts w:ascii="ITC Avant Garde" w:eastAsiaTheme="majorEastAsia" w:hAnsi="ITC Avant Garde" w:cstheme="majorBidi"/>
          <w:color w:val="000000" w:themeColor="text1"/>
          <w:sz w:val="22"/>
          <w:szCs w:val="22"/>
          <w:lang w:val="es-MX" w:eastAsia="es-MX"/>
        </w:rPr>
        <w:t>ÚNICA PARA USO COMERCIAL</w:t>
      </w:r>
      <w:r w:rsidR="000F2CDA" w:rsidRPr="00927C6B">
        <w:rPr>
          <w:rFonts w:ascii="ITC Avant Garde" w:eastAsiaTheme="majorEastAsia" w:hAnsi="ITC Avant Garde" w:cstheme="majorBidi"/>
          <w:color w:val="000000" w:themeColor="text1"/>
          <w:sz w:val="22"/>
          <w:szCs w:val="22"/>
          <w:lang w:val="es-MX" w:eastAsia="es-MX"/>
        </w:rPr>
        <w:t>.</w:t>
      </w:r>
    </w:p>
    <w:p w14:paraId="6984CE8A" w14:textId="77777777" w:rsidR="004E7154" w:rsidRPr="00927C6B" w:rsidRDefault="00067854" w:rsidP="00927C6B">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927C6B">
        <w:rPr>
          <w:rFonts w:ascii="ITC Avant Garde" w:eastAsiaTheme="majorEastAsia" w:hAnsi="ITC Avant Garde" w:cstheme="majorBidi"/>
          <w:color w:val="000000" w:themeColor="text1"/>
          <w:sz w:val="22"/>
          <w:szCs w:val="22"/>
          <w:lang w:eastAsia="en-US"/>
        </w:rPr>
        <w:t>ANTECEDENTES</w:t>
      </w:r>
    </w:p>
    <w:p w14:paraId="09B17505" w14:textId="77777777" w:rsidR="004E7154" w:rsidRPr="004E7154" w:rsidRDefault="00FD1300"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lang w:eastAsia="es-MX"/>
        </w:rPr>
        <w:t>Otorgamiento de la Concesión.</w:t>
      </w:r>
      <w:r w:rsidRPr="004E7154">
        <w:rPr>
          <w:rFonts w:ascii="ITC Avant Garde" w:hAnsi="ITC Avant Garde"/>
          <w:bCs/>
          <w:color w:val="000000" w:themeColor="text1"/>
          <w:sz w:val="22"/>
          <w:szCs w:val="22"/>
          <w:lang w:eastAsia="es-MX"/>
        </w:rPr>
        <w:t xml:space="preserve"> El 23 de julio de 2009, la Secretaría de Comunicaciones y Transportes (la “Secretaría”), otorgó en favor de </w:t>
      </w:r>
      <w:proofErr w:type="spellStart"/>
      <w:r w:rsidRPr="004E7154">
        <w:rPr>
          <w:rFonts w:ascii="ITC Avant Garde" w:hAnsi="ITC Avant Garde"/>
          <w:bCs/>
          <w:color w:val="000000" w:themeColor="text1"/>
          <w:sz w:val="22"/>
          <w:szCs w:val="22"/>
          <w:lang w:eastAsia="es-MX"/>
        </w:rPr>
        <w:t>Ultracable</w:t>
      </w:r>
      <w:proofErr w:type="spellEnd"/>
      <w:r w:rsidRPr="004E7154">
        <w:rPr>
          <w:rFonts w:ascii="ITC Avant Garde" w:hAnsi="ITC Avant Garde"/>
          <w:bCs/>
          <w:color w:val="000000" w:themeColor="text1"/>
          <w:sz w:val="22"/>
          <w:szCs w:val="22"/>
          <w:lang w:eastAsia="es-MX"/>
        </w:rPr>
        <w:t xml:space="preserve"> de América, S.A. de C.V., un título de concesión para instalar, operar y explotar una red pública de telecomunicaciones para prestar el servicio de televisión </w:t>
      </w:r>
      <w:r w:rsidR="00907032" w:rsidRPr="004E7154">
        <w:rPr>
          <w:rFonts w:ascii="ITC Avant Garde" w:hAnsi="ITC Avant Garde"/>
          <w:bCs/>
          <w:color w:val="000000" w:themeColor="text1"/>
          <w:sz w:val="22"/>
          <w:szCs w:val="22"/>
          <w:lang w:eastAsia="es-MX"/>
        </w:rPr>
        <w:t>restringida</w:t>
      </w:r>
      <w:r w:rsidRPr="004E7154">
        <w:rPr>
          <w:rFonts w:ascii="ITC Avant Garde" w:hAnsi="ITC Avant Garde"/>
          <w:bCs/>
          <w:color w:val="000000" w:themeColor="text1"/>
          <w:sz w:val="22"/>
          <w:szCs w:val="22"/>
          <w:lang w:eastAsia="es-MX"/>
        </w:rPr>
        <w:t xml:space="preserve">, con cobertura en la población de </w:t>
      </w:r>
      <w:proofErr w:type="spellStart"/>
      <w:r w:rsidRPr="004E7154">
        <w:rPr>
          <w:rFonts w:ascii="ITC Avant Garde" w:hAnsi="ITC Avant Garde"/>
          <w:bCs/>
          <w:color w:val="000000" w:themeColor="text1"/>
          <w:sz w:val="22"/>
          <w:szCs w:val="22"/>
          <w:lang w:eastAsia="es-MX"/>
        </w:rPr>
        <w:t>Teacapán</w:t>
      </w:r>
      <w:proofErr w:type="spellEnd"/>
      <w:r w:rsidRPr="004E7154">
        <w:rPr>
          <w:rFonts w:ascii="ITC Avant Garde" w:hAnsi="ITC Avant Garde"/>
          <w:bCs/>
          <w:color w:val="000000" w:themeColor="text1"/>
          <w:sz w:val="22"/>
          <w:szCs w:val="22"/>
          <w:lang w:eastAsia="es-MX"/>
        </w:rPr>
        <w:t xml:space="preserve">, Municipio de </w:t>
      </w:r>
      <w:proofErr w:type="spellStart"/>
      <w:r w:rsidRPr="004E7154">
        <w:rPr>
          <w:rFonts w:ascii="ITC Avant Garde" w:hAnsi="ITC Avant Garde"/>
          <w:bCs/>
          <w:color w:val="000000" w:themeColor="text1"/>
          <w:sz w:val="22"/>
          <w:szCs w:val="22"/>
          <w:lang w:eastAsia="es-MX"/>
        </w:rPr>
        <w:t>Escuinapa</w:t>
      </w:r>
      <w:proofErr w:type="spellEnd"/>
      <w:r w:rsidRPr="004E7154">
        <w:rPr>
          <w:rFonts w:ascii="ITC Avant Garde" w:hAnsi="ITC Avant Garde"/>
          <w:bCs/>
          <w:color w:val="000000" w:themeColor="text1"/>
          <w:sz w:val="22"/>
          <w:szCs w:val="22"/>
          <w:lang w:eastAsia="es-MX"/>
        </w:rPr>
        <w:t>, en el Estado de Sinaloa, con una vigencia de 30 (treinta) añ</w:t>
      </w:r>
      <w:bookmarkStart w:id="0" w:name="_GoBack"/>
      <w:bookmarkEnd w:id="0"/>
      <w:r w:rsidRPr="004E7154">
        <w:rPr>
          <w:rFonts w:ascii="ITC Avant Garde" w:hAnsi="ITC Avant Garde"/>
          <w:bCs/>
          <w:color w:val="000000" w:themeColor="text1"/>
          <w:sz w:val="22"/>
          <w:szCs w:val="22"/>
          <w:lang w:eastAsia="es-MX"/>
        </w:rPr>
        <w:t xml:space="preserve">os contados a partir de </w:t>
      </w:r>
      <w:r w:rsidR="00DD1B83" w:rsidRPr="004E7154">
        <w:rPr>
          <w:rFonts w:ascii="ITC Avant Garde" w:hAnsi="ITC Avant Garde"/>
          <w:bCs/>
          <w:color w:val="000000" w:themeColor="text1"/>
          <w:sz w:val="22"/>
          <w:szCs w:val="22"/>
          <w:lang w:eastAsia="es-MX"/>
        </w:rPr>
        <w:t>su otorgamiento</w:t>
      </w:r>
      <w:r w:rsidRPr="004E7154">
        <w:rPr>
          <w:rFonts w:ascii="ITC Avant Garde" w:hAnsi="ITC Avant Garde"/>
          <w:bCs/>
          <w:color w:val="000000" w:themeColor="text1"/>
          <w:sz w:val="22"/>
          <w:szCs w:val="22"/>
          <w:lang w:eastAsia="es-MX"/>
        </w:rPr>
        <w:t>.</w:t>
      </w:r>
    </w:p>
    <w:p w14:paraId="56922C23" w14:textId="77777777" w:rsidR="004E7154" w:rsidRPr="004E7154" w:rsidRDefault="00423954"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val="es-MX" w:eastAsia="es-MX"/>
        </w:rPr>
      </w:pPr>
      <w:r w:rsidRPr="004E7154">
        <w:rPr>
          <w:rFonts w:ascii="ITC Avant Garde" w:eastAsia="Calibri" w:hAnsi="ITC Avant Garde"/>
          <w:b/>
          <w:bCs/>
          <w:color w:val="000000" w:themeColor="text1"/>
          <w:sz w:val="22"/>
          <w:szCs w:val="22"/>
          <w:lang w:val="es-MX" w:eastAsia="es-MX"/>
        </w:rPr>
        <w:t xml:space="preserve">Constancia de Registro de Servicios de Valor Agregado. </w:t>
      </w:r>
      <w:r w:rsidR="007D1B3D" w:rsidRPr="004E7154">
        <w:rPr>
          <w:rFonts w:ascii="ITC Avant Garde" w:hAnsi="ITC Avant Garde"/>
          <w:bCs/>
          <w:color w:val="000000" w:themeColor="text1"/>
          <w:sz w:val="22"/>
          <w:szCs w:val="22"/>
          <w:lang w:val="es-MX" w:eastAsia="es-MX"/>
        </w:rPr>
        <w:t xml:space="preserve"> </w:t>
      </w:r>
      <w:r w:rsidRPr="004E7154">
        <w:rPr>
          <w:rFonts w:ascii="ITC Avant Garde" w:eastAsia="Calibri" w:hAnsi="ITC Avant Garde"/>
          <w:bCs/>
          <w:color w:val="000000" w:themeColor="text1"/>
          <w:sz w:val="22"/>
          <w:szCs w:val="22"/>
          <w:lang w:val="es-MX" w:eastAsia="es-MX"/>
        </w:rPr>
        <w:t xml:space="preserve">Con fecha 14 de octubre de 2010, la </w:t>
      </w:r>
      <w:r w:rsidR="00A67FBB" w:rsidRPr="004E7154">
        <w:rPr>
          <w:rFonts w:ascii="ITC Avant Garde" w:eastAsia="Calibri" w:hAnsi="ITC Avant Garde"/>
          <w:bCs/>
          <w:color w:val="000000" w:themeColor="text1"/>
          <w:sz w:val="22"/>
          <w:szCs w:val="22"/>
          <w:lang w:val="es-MX" w:eastAsia="es-MX"/>
        </w:rPr>
        <w:t xml:space="preserve">extinta </w:t>
      </w:r>
      <w:r w:rsidRPr="004E7154">
        <w:rPr>
          <w:rFonts w:ascii="ITC Avant Garde" w:eastAsia="Calibri" w:hAnsi="ITC Avant Garde"/>
          <w:bCs/>
          <w:color w:val="000000" w:themeColor="text1"/>
          <w:sz w:val="22"/>
          <w:szCs w:val="22"/>
          <w:lang w:val="es-MX" w:eastAsia="es-MX"/>
        </w:rPr>
        <w:t xml:space="preserve">Comisión Federal de Telecomunicaciones notificó al representante legal de </w:t>
      </w:r>
      <w:proofErr w:type="spellStart"/>
      <w:r w:rsidRPr="004E7154">
        <w:rPr>
          <w:rFonts w:ascii="ITC Avant Garde" w:eastAsia="Calibri" w:hAnsi="ITC Avant Garde"/>
          <w:bCs/>
          <w:color w:val="000000" w:themeColor="text1"/>
          <w:sz w:val="22"/>
          <w:szCs w:val="22"/>
          <w:lang w:val="es-MX" w:eastAsia="es-MX"/>
        </w:rPr>
        <w:t>Ultracable</w:t>
      </w:r>
      <w:proofErr w:type="spellEnd"/>
      <w:r w:rsidRPr="004E7154">
        <w:rPr>
          <w:rFonts w:ascii="ITC Avant Garde" w:eastAsia="Calibri" w:hAnsi="ITC Avant Garde"/>
          <w:bCs/>
          <w:color w:val="000000" w:themeColor="text1"/>
          <w:sz w:val="22"/>
          <w:szCs w:val="22"/>
          <w:lang w:val="es-MX" w:eastAsia="es-MX"/>
        </w:rPr>
        <w:t xml:space="preserve"> de América, S.A. de C.V., la Constancia de Registro de Servicios de Valor Agregado que comprende los servicios de intercambio electrónico de datos y </w:t>
      </w:r>
      <w:r w:rsidR="00A67FBB" w:rsidRPr="004E7154">
        <w:rPr>
          <w:rFonts w:ascii="ITC Avant Garde" w:eastAsia="Calibri" w:hAnsi="ITC Avant Garde"/>
          <w:bCs/>
          <w:color w:val="000000" w:themeColor="text1"/>
          <w:sz w:val="22"/>
          <w:szCs w:val="22"/>
          <w:lang w:val="es-MX" w:eastAsia="es-MX"/>
        </w:rPr>
        <w:t xml:space="preserve">provisión de </w:t>
      </w:r>
      <w:r w:rsidRPr="004E7154">
        <w:rPr>
          <w:rFonts w:ascii="ITC Avant Garde" w:eastAsia="Calibri" w:hAnsi="ITC Avant Garde"/>
          <w:bCs/>
          <w:color w:val="000000" w:themeColor="text1"/>
          <w:sz w:val="22"/>
          <w:szCs w:val="22"/>
          <w:lang w:val="es-MX" w:eastAsia="es-MX"/>
        </w:rPr>
        <w:t>acceso a Internet</w:t>
      </w:r>
      <w:r w:rsidR="007D1B3D" w:rsidRPr="004E7154">
        <w:rPr>
          <w:rFonts w:ascii="ITC Avant Garde" w:hAnsi="ITC Avant Garde"/>
          <w:bCs/>
          <w:color w:val="000000" w:themeColor="text1"/>
          <w:sz w:val="22"/>
          <w:szCs w:val="22"/>
          <w:lang w:val="es-MX" w:eastAsia="es-MX"/>
        </w:rPr>
        <w:t>.</w:t>
      </w:r>
    </w:p>
    <w:p w14:paraId="57296165" w14:textId="77777777" w:rsidR="004E7154" w:rsidRPr="004E7154" w:rsidRDefault="00AA32BF" w:rsidP="004E7154">
      <w:pPr>
        <w:pStyle w:val="Prrafodelista"/>
        <w:numPr>
          <w:ilvl w:val="0"/>
          <w:numId w:val="29"/>
        </w:numPr>
        <w:spacing w:before="240" w:after="240"/>
        <w:ind w:left="567" w:hanging="567"/>
        <w:jc w:val="both"/>
        <w:rPr>
          <w:rFonts w:ascii="ITC Avant Garde" w:eastAsia="Calibri" w:hAnsi="ITC Avant Garde"/>
          <w:bCs/>
          <w:color w:val="000000" w:themeColor="text1"/>
          <w:sz w:val="22"/>
          <w:szCs w:val="22"/>
          <w:lang w:val="es-MX" w:eastAsia="es-MX"/>
        </w:rPr>
      </w:pPr>
      <w:r w:rsidRPr="004E7154">
        <w:rPr>
          <w:rFonts w:ascii="ITC Avant Garde" w:eastAsia="Calibri" w:hAnsi="ITC Avant Garde"/>
          <w:b/>
          <w:bCs/>
          <w:color w:val="000000" w:themeColor="text1"/>
          <w:sz w:val="22"/>
          <w:szCs w:val="22"/>
          <w:lang w:val="es-MX" w:eastAsia="es-MX"/>
        </w:rPr>
        <w:t xml:space="preserve">Primera </w:t>
      </w:r>
      <w:r w:rsidR="004C4FCE" w:rsidRPr="004E7154">
        <w:rPr>
          <w:rFonts w:ascii="ITC Avant Garde" w:eastAsia="Calibri" w:hAnsi="ITC Avant Garde"/>
          <w:b/>
          <w:bCs/>
          <w:color w:val="000000" w:themeColor="text1"/>
          <w:sz w:val="22"/>
          <w:szCs w:val="22"/>
          <w:lang w:val="es-MX" w:eastAsia="es-MX"/>
        </w:rPr>
        <w:t>a</w:t>
      </w:r>
      <w:r w:rsidRPr="004E7154">
        <w:rPr>
          <w:rFonts w:ascii="ITC Avant Garde" w:eastAsia="Calibri" w:hAnsi="ITC Avant Garde"/>
          <w:b/>
          <w:bCs/>
          <w:color w:val="000000" w:themeColor="text1"/>
          <w:sz w:val="22"/>
          <w:szCs w:val="22"/>
          <w:lang w:val="es-MX" w:eastAsia="es-MX"/>
        </w:rPr>
        <w:t xml:space="preserve">mpliación de </w:t>
      </w:r>
      <w:r w:rsidR="004C4FCE" w:rsidRPr="004E7154">
        <w:rPr>
          <w:rFonts w:ascii="ITC Avant Garde" w:eastAsia="Calibri" w:hAnsi="ITC Avant Garde"/>
          <w:b/>
          <w:bCs/>
          <w:color w:val="000000" w:themeColor="text1"/>
          <w:sz w:val="22"/>
          <w:szCs w:val="22"/>
          <w:lang w:val="es-MX" w:eastAsia="es-MX"/>
        </w:rPr>
        <w:t>c</w:t>
      </w:r>
      <w:r w:rsidRPr="004E7154">
        <w:rPr>
          <w:rFonts w:ascii="ITC Avant Garde" w:eastAsia="Calibri" w:hAnsi="ITC Avant Garde"/>
          <w:b/>
          <w:bCs/>
          <w:color w:val="000000" w:themeColor="text1"/>
          <w:sz w:val="22"/>
          <w:szCs w:val="22"/>
          <w:lang w:val="es-MX" w:eastAsia="es-MX"/>
        </w:rPr>
        <w:t>obertura</w:t>
      </w:r>
      <w:r w:rsidR="007A014A" w:rsidRPr="004E7154">
        <w:rPr>
          <w:rFonts w:ascii="ITC Avant Garde" w:hAnsi="ITC Avant Garde"/>
          <w:b/>
          <w:bCs/>
          <w:color w:val="000000" w:themeColor="text1"/>
          <w:sz w:val="22"/>
          <w:szCs w:val="22"/>
          <w:lang w:val="es-MX" w:eastAsia="es-MX"/>
        </w:rPr>
        <w:t xml:space="preserve">. </w:t>
      </w:r>
      <w:r w:rsidRPr="004E7154">
        <w:rPr>
          <w:rFonts w:ascii="ITC Avant Garde" w:eastAsia="Calibri" w:hAnsi="ITC Avant Garde"/>
          <w:bCs/>
          <w:color w:val="000000" w:themeColor="text1"/>
          <w:sz w:val="22"/>
          <w:szCs w:val="22"/>
          <w:lang w:val="es-MX" w:eastAsia="es-MX"/>
        </w:rPr>
        <w:t>El 19 de octubre de 2010</w:t>
      </w:r>
      <w:r w:rsidR="00A67FBB" w:rsidRPr="004E7154">
        <w:rPr>
          <w:rFonts w:ascii="ITC Avant Garde" w:eastAsia="Calibri" w:hAnsi="ITC Avant Garde"/>
          <w:bCs/>
          <w:color w:val="000000" w:themeColor="text1"/>
          <w:sz w:val="22"/>
          <w:szCs w:val="22"/>
          <w:lang w:val="es-MX" w:eastAsia="es-MX"/>
        </w:rPr>
        <w:t>,</w:t>
      </w:r>
      <w:r w:rsidRPr="004E7154">
        <w:rPr>
          <w:rFonts w:ascii="ITC Avant Garde" w:eastAsia="Calibri" w:hAnsi="ITC Avant Garde"/>
          <w:bCs/>
          <w:color w:val="000000" w:themeColor="text1"/>
          <w:sz w:val="22"/>
          <w:szCs w:val="22"/>
          <w:lang w:val="es-MX" w:eastAsia="es-MX"/>
        </w:rPr>
        <w:t xml:space="preserve"> la Secretaría autorizó la</w:t>
      </w:r>
      <w:r w:rsidR="00DD1B83" w:rsidRPr="004E7154">
        <w:rPr>
          <w:rFonts w:ascii="ITC Avant Garde" w:eastAsia="Calibri" w:hAnsi="ITC Avant Garde"/>
          <w:bCs/>
          <w:color w:val="000000" w:themeColor="text1"/>
          <w:sz w:val="22"/>
          <w:szCs w:val="22"/>
          <w:lang w:val="es-MX" w:eastAsia="es-MX"/>
        </w:rPr>
        <w:t xml:space="preserve"> ampliación de cobertura de la c</w:t>
      </w:r>
      <w:r w:rsidRPr="004E7154">
        <w:rPr>
          <w:rFonts w:ascii="ITC Avant Garde" w:eastAsia="Calibri" w:hAnsi="ITC Avant Garde"/>
          <w:bCs/>
          <w:color w:val="000000" w:themeColor="text1"/>
          <w:sz w:val="22"/>
          <w:szCs w:val="22"/>
          <w:lang w:val="es-MX" w:eastAsia="es-MX"/>
        </w:rPr>
        <w:t xml:space="preserve">oncesión </w:t>
      </w:r>
      <w:r w:rsidR="00DD1B83" w:rsidRPr="004E7154">
        <w:rPr>
          <w:rFonts w:ascii="ITC Avant Garde" w:hAnsi="ITC Avant Garde"/>
          <w:bCs/>
          <w:color w:val="000000" w:themeColor="text1"/>
          <w:sz w:val="22"/>
          <w:szCs w:val="22"/>
          <w:lang w:eastAsia="es-MX"/>
        </w:rPr>
        <w:t xml:space="preserve">señalada en el Antecedente I de la presente Resolución, </w:t>
      </w:r>
      <w:r w:rsidRPr="004E7154">
        <w:rPr>
          <w:rFonts w:ascii="ITC Avant Garde" w:eastAsia="Calibri" w:hAnsi="ITC Avant Garde"/>
          <w:bCs/>
          <w:color w:val="000000" w:themeColor="text1"/>
          <w:sz w:val="22"/>
          <w:szCs w:val="22"/>
          <w:lang w:val="es-MX" w:eastAsia="es-MX"/>
        </w:rPr>
        <w:t xml:space="preserve">hacia las localidades de Palmito del Verde, Celaya, Las Cabras, Cristo Rey y Colonia Morelos, Municipio de </w:t>
      </w:r>
      <w:proofErr w:type="spellStart"/>
      <w:r w:rsidRPr="004E7154">
        <w:rPr>
          <w:rFonts w:ascii="ITC Avant Garde" w:eastAsia="Calibri" w:hAnsi="ITC Avant Garde"/>
          <w:bCs/>
          <w:color w:val="000000" w:themeColor="text1"/>
          <w:sz w:val="22"/>
          <w:szCs w:val="22"/>
          <w:lang w:val="es-MX" w:eastAsia="es-MX"/>
        </w:rPr>
        <w:t>Escuinapa</w:t>
      </w:r>
      <w:proofErr w:type="spellEnd"/>
      <w:r w:rsidRPr="004E7154">
        <w:rPr>
          <w:rFonts w:ascii="ITC Avant Garde" w:eastAsia="Calibri" w:hAnsi="ITC Avant Garde"/>
          <w:bCs/>
          <w:color w:val="000000" w:themeColor="text1"/>
          <w:sz w:val="22"/>
          <w:szCs w:val="22"/>
          <w:lang w:val="es-MX" w:eastAsia="es-MX"/>
        </w:rPr>
        <w:t>, en el Estado de Sinaloa.</w:t>
      </w:r>
    </w:p>
    <w:p w14:paraId="79408BE2" w14:textId="77777777" w:rsidR="004E7154" w:rsidRPr="004E7154" w:rsidRDefault="0096682C" w:rsidP="004E7154">
      <w:pPr>
        <w:pStyle w:val="Prrafodelista"/>
        <w:numPr>
          <w:ilvl w:val="0"/>
          <w:numId w:val="29"/>
        </w:numPr>
        <w:spacing w:before="240" w:after="240"/>
        <w:ind w:left="567" w:hanging="567"/>
        <w:jc w:val="both"/>
        <w:rPr>
          <w:rFonts w:ascii="ITC Avant Garde" w:hAnsi="ITC Avant Garde"/>
          <w:bCs/>
          <w:color w:val="000000" w:themeColor="text1"/>
          <w:lang w:eastAsia="es-MX"/>
        </w:rPr>
      </w:pPr>
      <w:r w:rsidRPr="004E7154">
        <w:rPr>
          <w:rFonts w:ascii="ITC Avant Garde" w:hAnsi="ITC Avant Garde"/>
          <w:b/>
          <w:bCs/>
          <w:color w:val="000000" w:themeColor="text1"/>
          <w:sz w:val="22"/>
          <w:szCs w:val="22"/>
          <w:lang w:eastAsia="es-MX"/>
        </w:rPr>
        <w:t xml:space="preserve">Segunda </w:t>
      </w:r>
      <w:r w:rsidR="004C4FCE" w:rsidRPr="004E7154">
        <w:rPr>
          <w:rFonts w:ascii="ITC Avant Garde" w:hAnsi="ITC Avant Garde"/>
          <w:b/>
          <w:bCs/>
          <w:color w:val="000000" w:themeColor="text1"/>
          <w:sz w:val="22"/>
          <w:szCs w:val="22"/>
          <w:lang w:eastAsia="es-MX"/>
        </w:rPr>
        <w:t>a</w:t>
      </w:r>
      <w:r w:rsidRPr="004E7154">
        <w:rPr>
          <w:rFonts w:ascii="ITC Avant Garde" w:hAnsi="ITC Avant Garde"/>
          <w:b/>
          <w:bCs/>
          <w:color w:val="000000" w:themeColor="text1"/>
          <w:sz w:val="22"/>
          <w:szCs w:val="22"/>
          <w:lang w:eastAsia="es-MX"/>
        </w:rPr>
        <w:t xml:space="preserve">mpliación de </w:t>
      </w:r>
      <w:r w:rsidR="004C4FCE" w:rsidRPr="004E7154">
        <w:rPr>
          <w:rFonts w:ascii="ITC Avant Garde" w:hAnsi="ITC Avant Garde"/>
          <w:b/>
          <w:bCs/>
          <w:color w:val="000000" w:themeColor="text1"/>
          <w:sz w:val="22"/>
          <w:szCs w:val="22"/>
          <w:lang w:eastAsia="es-MX"/>
        </w:rPr>
        <w:t>c</w:t>
      </w:r>
      <w:r w:rsidRPr="004E7154">
        <w:rPr>
          <w:rFonts w:ascii="ITC Avant Garde" w:hAnsi="ITC Avant Garde"/>
          <w:b/>
          <w:bCs/>
          <w:color w:val="000000" w:themeColor="text1"/>
          <w:sz w:val="22"/>
          <w:szCs w:val="22"/>
          <w:lang w:eastAsia="es-MX"/>
        </w:rPr>
        <w:t>obertura.</w:t>
      </w:r>
      <w:r w:rsidRPr="004E7154">
        <w:rPr>
          <w:rFonts w:ascii="ITC Avant Garde" w:hAnsi="ITC Avant Garde"/>
          <w:bCs/>
          <w:color w:val="000000" w:themeColor="text1"/>
          <w:sz w:val="22"/>
          <w:szCs w:val="22"/>
          <w:lang w:eastAsia="es-MX"/>
        </w:rPr>
        <w:t xml:space="preserve"> El 12 de mayo de 2011, la Secretaría autorizó la</w:t>
      </w:r>
      <w:r w:rsidR="00DD1B83" w:rsidRPr="004E7154">
        <w:rPr>
          <w:rFonts w:ascii="ITC Avant Garde" w:hAnsi="ITC Avant Garde"/>
          <w:bCs/>
          <w:color w:val="000000" w:themeColor="text1"/>
          <w:sz w:val="22"/>
          <w:szCs w:val="22"/>
          <w:lang w:eastAsia="es-MX"/>
        </w:rPr>
        <w:t xml:space="preserve"> ampliación de cobertura de la c</w:t>
      </w:r>
      <w:r w:rsidRPr="004E7154">
        <w:rPr>
          <w:rFonts w:ascii="ITC Avant Garde" w:hAnsi="ITC Avant Garde"/>
          <w:bCs/>
          <w:color w:val="000000" w:themeColor="text1"/>
          <w:sz w:val="22"/>
          <w:szCs w:val="22"/>
          <w:lang w:eastAsia="es-MX"/>
        </w:rPr>
        <w:t>oncesión</w:t>
      </w:r>
      <w:r w:rsidR="00DD1B83" w:rsidRPr="004E7154">
        <w:rPr>
          <w:rFonts w:ascii="ITC Avant Garde" w:hAnsi="ITC Avant Garde"/>
          <w:bCs/>
          <w:color w:val="000000" w:themeColor="text1"/>
          <w:sz w:val="22"/>
          <w:szCs w:val="22"/>
          <w:lang w:eastAsia="es-MX"/>
        </w:rPr>
        <w:t xml:space="preserve"> señalada en el Antecedente I de la presente Resolución,</w:t>
      </w:r>
      <w:r w:rsidRPr="004E7154">
        <w:rPr>
          <w:rFonts w:ascii="ITC Avant Garde" w:hAnsi="ITC Avant Garde"/>
          <w:bCs/>
          <w:color w:val="000000" w:themeColor="text1"/>
          <w:sz w:val="22"/>
          <w:szCs w:val="22"/>
          <w:lang w:eastAsia="es-MX"/>
        </w:rPr>
        <w:t xml:space="preserve"> hacia la localidad de Isla del Bosque, Municipio de </w:t>
      </w:r>
      <w:proofErr w:type="spellStart"/>
      <w:r w:rsidRPr="004E7154">
        <w:rPr>
          <w:rFonts w:ascii="ITC Avant Garde" w:hAnsi="ITC Avant Garde"/>
          <w:bCs/>
          <w:color w:val="000000" w:themeColor="text1"/>
          <w:sz w:val="22"/>
          <w:szCs w:val="22"/>
          <w:lang w:eastAsia="es-MX"/>
        </w:rPr>
        <w:t>Escuinapa</w:t>
      </w:r>
      <w:proofErr w:type="spellEnd"/>
      <w:r w:rsidRPr="004E7154">
        <w:rPr>
          <w:rFonts w:ascii="ITC Avant Garde" w:hAnsi="ITC Avant Garde"/>
          <w:bCs/>
          <w:color w:val="000000" w:themeColor="text1"/>
          <w:sz w:val="22"/>
          <w:szCs w:val="22"/>
          <w:lang w:eastAsia="es-MX"/>
        </w:rPr>
        <w:t>, en el Estado de Sinaloa</w:t>
      </w:r>
      <w:r w:rsidRPr="004E7154">
        <w:rPr>
          <w:rFonts w:ascii="ITC Avant Garde" w:hAnsi="ITC Avant Garde"/>
          <w:bCs/>
          <w:color w:val="000000" w:themeColor="text1"/>
          <w:lang w:eastAsia="es-MX"/>
        </w:rPr>
        <w:t>.</w:t>
      </w:r>
    </w:p>
    <w:p w14:paraId="7CE6E788" w14:textId="77777777" w:rsidR="004E7154" w:rsidRPr="004E7154" w:rsidRDefault="00EE1DF9"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lang w:eastAsia="es-MX"/>
        </w:rPr>
        <w:t xml:space="preserve">Decreto de Reforma Constitucional. </w:t>
      </w:r>
      <w:r w:rsidRPr="004E7154">
        <w:rPr>
          <w:rFonts w:ascii="ITC Avant Garde" w:hAnsi="ITC Avant Garde"/>
          <w:bCs/>
          <w:color w:val="000000" w:themeColor="text1"/>
          <w:sz w:val="22"/>
          <w:szCs w:val="22"/>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como un órgano autónomo que tiene por objeto el desarrollo eficiente de la radiodifusión y las telecomunicaciones.</w:t>
      </w:r>
    </w:p>
    <w:p w14:paraId="4C5E7B8E" w14:textId="77777777" w:rsidR="004E7154" w:rsidRPr="004E7154" w:rsidRDefault="00AB3915" w:rsidP="004E7154">
      <w:pPr>
        <w:pStyle w:val="Prrafodelista"/>
        <w:numPr>
          <w:ilvl w:val="0"/>
          <w:numId w:val="29"/>
        </w:numPr>
        <w:tabs>
          <w:tab w:val="left" w:pos="426"/>
        </w:tabs>
        <w:spacing w:before="240" w:after="240"/>
        <w:ind w:left="567" w:hanging="567"/>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lang w:eastAsia="es-MX"/>
        </w:rPr>
        <w:t xml:space="preserve">  </w:t>
      </w:r>
      <w:r w:rsidR="00EE1DF9" w:rsidRPr="004E7154">
        <w:rPr>
          <w:rFonts w:ascii="ITC Avant Garde" w:hAnsi="ITC Avant Garde"/>
          <w:b/>
          <w:bCs/>
          <w:color w:val="000000" w:themeColor="text1"/>
          <w:sz w:val="22"/>
          <w:szCs w:val="22"/>
          <w:lang w:eastAsia="es-MX"/>
        </w:rPr>
        <w:t xml:space="preserve">Decreto de Ley. </w:t>
      </w:r>
      <w:r w:rsidR="00EE1DF9" w:rsidRPr="004E7154">
        <w:rPr>
          <w:rFonts w:ascii="ITC Avant Garde" w:hAnsi="ITC Avant Garde"/>
          <w:bCs/>
          <w:color w:val="000000" w:themeColor="text1"/>
          <w:sz w:val="22"/>
          <w:szCs w:val="22"/>
          <w:lang w:eastAsia="es-MX"/>
        </w:rPr>
        <w:t xml:space="preserve">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w:t>
      </w:r>
      <w:r w:rsidR="00EE1DF9" w:rsidRPr="004E7154">
        <w:rPr>
          <w:rFonts w:ascii="ITC Avant Garde" w:hAnsi="ITC Avant Garde"/>
          <w:bCs/>
          <w:color w:val="000000" w:themeColor="text1"/>
          <w:sz w:val="22"/>
          <w:szCs w:val="22"/>
          <w:lang w:eastAsia="es-MX"/>
        </w:rPr>
        <w:lastRenderedPageBreak/>
        <w:t>telecomunicaciones y radiodifusión” (el “Decreto de Ley”), mismo que entró en vigor el 13 de agosto de 2014.</w:t>
      </w:r>
    </w:p>
    <w:p w14:paraId="048EC9F4" w14:textId="77777777" w:rsidR="004E7154" w:rsidRPr="004E7154" w:rsidRDefault="00EE1DF9"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eastAsia="es-MX"/>
        </w:rPr>
      </w:pPr>
      <w:r w:rsidRPr="004E7154">
        <w:rPr>
          <w:rFonts w:ascii="ITC Avant Garde" w:hAnsi="ITC Avant Garde" w:cs="Arial"/>
          <w:b/>
          <w:bCs/>
          <w:color w:val="000000" w:themeColor="text1"/>
          <w:sz w:val="22"/>
          <w:szCs w:val="22"/>
          <w:shd w:val="clear" w:color="auto" w:fill="FFFFFF"/>
        </w:rPr>
        <w:t>Estatuto Orgánico.</w:t>
      </w:r>
      <w:r w:rsidRPr="004E7154">
        <w:rPr>
          <w:rStyle w:val="apple-converted-space"/>
          <w:rFonts w:ascii="ITC Avant Garde" w:hAnsi="ITC Avant Garde" w:cs="Arial"/>
          <w:b/>
          <w:bCs/>
          <w:color w:val="000000" w:themeColor="text1"/>
          <w:sz w:val="22"/>
          <w:szCs w:val="22"/>
          <w:shd w:val="clear" w:color="auto" w:fill="FFFFFF"/>
        </w:rPr>
        <w:t xml:space="preserve"> </w:t>
      </w:r>
      <w:r w:rsidRPr="004E7154">
        <w:rPr>
          <w:rFonts w:ascii="ITC Avant Garde" w:hAnsi="ITC Avant Garde"/>
          <w:color w:val="000000" w:themeColor="text1"/>
          <w:sz w:val="22"/>
          <w:szCs w:val="22"/>
          <w:shd w:val="clear" w:color="auto" w:fill="FFFFFF"/>
        </w:rPr>
        <w:t xml:space="preserve">El 4 de septiembre de 2014, se publicó en el Diario Oficial de la Federación el “Estatuto Orgánico del Instituto Federal de Telecomunicaciones” (el “Estatuto Orgánico”), mismo que entró en vigor el 26 de septiembre de </w:t>
      </w:r>
      <w:r w:rsidRPr="004E7154">
        <w:rPr>
          <w:rFonts w:ascii="ITC Avant Garde" w:hAnsi="ITC Avant Garde"/>
          <w:bCs/>
          <w:color w:val="000000" w:themeColor="text1"/>
          <w:sz w:val="22"/>
          <w:szCs w:val="22"/>
          <w:lang w:eastAsia="es-MX"/>
        </w:rPr>
        <w:t xml:space="preserve">2014, </w:t>
      </w:r>
      <w:r w:rsidR="006F5B07" w:rsidRPr="004E7154">
        <w:rPr>
          <w:rFonts w:ascii="ITC Avant Garde" w:hAnsi="ITC Avant Garde"/>
          <w:bCs/>
          <w:color w:val="000000" w:themeColor="text1"/>
          <w:sz w:val="22"/>
          <w:szCs w:val="22"/>
          <w:lang w:eastAsia="es-MX"/>
        </w:rPr>
        <w:t>y fue modificado por última vez el 17 de octubre de 2016</w:t>
      </w:r>
      <w:r w:rsidRPr="004E7154">
        <w:rPr>
          <w:rFonts w:ascii="ITC Avant Garde" w:hAnsi="ITC Avant Garde"/>
          <w:bCs/>
          <w:color w:val="000000" w:themeColor="text1"/>
          <w:sz w:val="22"/>
          <w:szCs w:val="22"/>
          <w:lang w:eastAsia="es-MX"/>
        </w:rPr>
        <w:t>.</w:t>
      </w:r>
    </w:p>
    <w:p w14:paraId="0447F9D8" w14:textId="5FB6D824" w:rsidR="004E7154" w:rsidRPr="004E7154" w:rsidRDefault="0091544D"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lang w:eastAsia="es-MX"/>
        </w:rPr>
        <w:t>Transición del título de concesión de red pública de telecomunicaciones a concesión única para uso comercial</w:t>
      </w:r>
      <w:r w:rsidRPr="004E7154">
        <w:rPr>
          <w:rFonts w:ascii="ITC Avant Garde" w:hAnsi="ITC Avant Garde"/>
          <w:bCs/>
          <w:color w:val="000000" w:themeColor="text1"/>
          <w:sz w:val="22"/>
          <w:szCs w:val="22"/>
          <w:lang w:eastAsia="es-MX"/>
        </w:rPr>
        <w:t xml:space="preserve">. El 28 de junio </w:t>
      </w:r>
      <w:r w:rsidR="00011580" w:rsidRPr="004E7154">
        <w:rPr>
          <w:rFonts w:ascii="ITC Avant Garde" w:hAnsi="ITC Avant Garde"/>
          <w:bCs/>
          <w:color w:val="000000" w:themeColor="text1"/>
          <w:sz w:val="22"/>
          <w:szCs w:val="22"/>
          <w:lang w:eastAsia="es-MX"/>
        </w:rPr>
        <w:t>de 2016</w:t>
      </w:r>
      <w:r w:rsidRPr="004E7154">
        <w:rPr>
          <w:rFonts w:ascii="ITC Avant Garde" w:hAnsi="ITC Avant Garde"/>
          <w:bCs/>
          <w:color w:val="000000" w:themeColor="text1"/>
          <w:sz w:val="22"/>
          <w:szCs w:val="22"/>
          <w:lang w:eastAsia="es-MX"/>
        </w:rPr>
        <w:t xml:space="preserve">, el Pleno del Instituto, mediante Acuerdo P/IFT/280616/338, autorizó a </w:t>
      </w:r>
      <w:proofErr w:type="spellStart"/>
      <w:r w:rsidRPr="004E7154">
        <w:rPr>
          <w:rFonts w:ascii="ITC Avant Garde" w:hAnsi="ITC Avant Garde"/>
          <w:bCs/>
          <w:color w:val="000000" w:themeColor="text1"/>
          <w:sz w:val="22"/>
          <w:szCs w:val="22"/>
          <w:lang w:eastAsia="es-MX"/>
        </w:rPr>
        <w:t>Ultracable</w:t>
      </w:r>
      <w:proofErr w:type="spellEnd"/>
      <w:r w:rsidRPr="004E7154">
        <w:rPr>
          <w:rFonts w:ascii="ITC Avant Garde" w:hAnsi="ITC Avant Garde"/>
          <w:bCs/>
          <w:color w:val="000000" w:themeColor="text1"/>
          <w:sz w:val="22"/>
          <w:szCs w:val="22"/>
          <w:lang w:eastAsia="es-MX"/>
        </w:rPr>
        <w:t xml:space="preserve"> de América, S.A. de C.V. transitar la concesión señalada en el Antecedente I de la presente Resolución al régimen de concesión única para uso comercial.</w:t>
      </w:r>
    </w:p>
    <w:p w14:paraId="411FBA9D" w14:textId="77777777" w:rsidR="004E7154" w:rsidRPr="004E7154" w:rsidRDefault="0091544D" w:rsidP="004E7154">
      <w:pPr>
        <w:pStyle w:val="Prrafodelista"/>
        <w:spacing w:before="240" w:after="240"/>
        <w:ind w:left="567"/>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lang w:eastAsia="es-MX"/>
        </w:rPr>
        <w:t xml:space="preserve">Como consecuencia de lo anterior, </w:t>
      </w:r>
      <w:r w:rsidR="00D6649E" w:rsidRPr="004E7154">
        <w:rPr>
          <w:rFonts w:ascii="ITC Avant Garde" w:hAnsi="ITC Avant Garde"/>
          <w:bCs/>
          <w:color w:val="000000" w:themeColor="text1"/>
          <w:sz w:val="22"/>
          <w:szCs w:val="22"/>
          <w:lang w:eastAsia="es-MX"/>
        </w:rPr>
        <w:t xml:space="preserve">el 22 de noviembre de 2016 el Instituto </w:t>
      </w:r>
      <w:r w:rsidRPr="004E7154">
        <w:rPr>
          <w:rFonts w:ascii="ITC Avant Garde" w:hAnsi="ITC Avant Garde"/>
          <w:bCs/>
          <w:color w:val="000000" w:themeColor="text1"/>
          <w:sz w:val="22"/>
          <w:szCs w:val="22"/>
          <w:lang w:eastAsia="es-MX"/>
        </w:rPr>
        <w:t xml:space="preserve">entregó a </w:t>
      </w:r>
      <w:proofErr w:type="spellStart"/>
      <w:r w:rsidR="00011580" w:rsidRPr="004E7154">
        <w:rPr>
          <w:rFonts w:ascii="ITC Avant Garde" w:hAnsi="ITC Avant Garde"/>
          <w:bCs/>
          <w:color w:val="000000" w:themeColor="text1"/>
          <w:sz w:val="22"/>
          <w:szCs w:val="22"/>
          <w:lang w:eastAsia="es-MX"/>
        </w:rPr>
        <w:t>Ultracable</w:t>
      </w:r>
      <w:proofErr w:type="spellEnd"/>
      <w:r w:rsidR="00011580" w:rsidRPr="004E7154">
        <w:rPr>
          <w:rFonts w:ascii="ITC Avant Garde" w:hAnsi="ITC Avant Garde"/>
          <w:bCs/>
          <w:color w:val="000000" w:themeColor="text1"/>
          <w:sz w:val="22"/>
          <w:szCs w:val="22"/>
          <w:lang w:eastAsia="es-MX"/>
        </w:rPr>
        <w:t xml:space="preserve"> de América</w:t>
      </w:r>
      <w:r w:rsidRPr="004E7154">
        <w:rPr>
          <w:rFonts w:ascii="ITC Avant Garde" w:hAnsi="ITC Avant Garde"/>
          <w:bCs/>
          <w:color w:val="000000" w:themeColor="text1"/>
          <w:sz w:val="22"/>
          <w:szCs w:val="22"/>
          <w:lang w:eastAsia="es-MX"/>
        </w:rPr>
        <w:t xml:space="preserve">, S.A. de C.V. un título de concesión única para uso comercial, para prestar servicios públicos de telecomunicaciones y/o radiodifusión en el territorio nacional, con una vigencia de 30 (treinta) años contados a partir del </w:t>
      </w:r>
      <w:r w:rsidR="00011580" w:rsidRPr="004E7154">
        <w:rPr>
          <w:rFonts w:ascii="ITC Avant Garde" w:hAnsi="ITC Avant Garde"/>
          <w:bCs/>
          <w:color w:val="000000" w:themeColor="text1"/>
          <w:sz w:val="22"/>
          <w:szCs w:val="22"/>
          <w:lang w:eastAsia="es-MX"/>
        </w:rPr>
        <w:t xml:space="preserve">23 de julio de 2009 </w:t>
      </w:r>
      <w:r w:rsidRPr="004E7154">
        <w:rPr>
          <w:rFonts w:ascii="ITC Avant Garde" w:hAnsi="ITC Avant Garde"/>
          <w:bCs/>
          <w:color w:val="000000" w:themeColor="text1"/>
          <w:sz w:val="22"/>
          <w:szCs w:val="22"/>
          <w:lang w:eastAsia="es-MX"/>
        </w:rPr>
        <w:t>(la “Concesión”).</w:t>
      </w:r>
    </w:p>
    <w:p w14:paraId="36B10D30" w14:textId="74E64631" w:rsidR="004E7154" w:rsidRPr="004E7154" w:rsidRDefault="00011580"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val="es-MX" w:eastAsia="es-MX"/>
        </w:rPr>
      </w:pPr>
      <w:r w:rsidRPr="004E7154">
        <w:rPr>
          <w:rFonts w:ascii="ITC Avant Garde" w:hAnsi="ITC Avant Garde"/>
          <w:b/>
          <w:bCs/>
          <w:color w:val="000000" w:themeColor="text1"/>
          <w:sz w:val="22"/>
          <w:szCs w:val="22"/>
          <w:lang w:val="es-MX" w:eastAsia="es-MX"/>
        </w:rPr>
        <w:t>Registro de nuevas coberturas y servicios de conformidad con la concesión única para uso comercial</w:t>
      </w:r>
      <w:r w:rsidR="00C61AF1" w:rsidRPr="004E7154">
        <w:rPr>
          <w:rFonts w:ascii="ITC Avant Garde" w:hAnsi="ITC Avant Garde"/>
          <w:b/>
          <w:bCs/>
          <w:color w:val="000000" w:themeColor="text1"/>
          <w:sz w:val="22"/>
          <w:szCs w:val="22"/>
          <w:lang w:val="es-MX" w:eastAsia="es-MX"/>
        </w:rPr>
        <w:t xml:space="preserve">. </w:t>
      </w:r>
      <w:r w:rsidR="007E6A4B" w:rsidRPr="004E7154">
        <w:rPr>
          <w:rFonts w:ascii="ITC Avant Garde" w:hAnsi="ITC Avant Garde"/>
          <w:bCs/>
          <w:color w:val="000000" w:themeColor="text1"/>
          <w:sz w:val="22"/>
          <w:szCs w:val="22"/>
          <w:lang w:val="es-MX" w:eastAsia="es-MX"/>
        </w:rPr>
        <w:t>Con fecha 8 de diciembre de 2016,</w:t>
      </w:r>
      <w:r w:rsidR="004378CA" w:rsidRPr="004E7154">
        <w:rPr>
          <w:rFonts w:ascii="ITC Avant Garde" w:hAnsi="ITC Avant Garde"/>
          <w:bCs/>
          <w:color w:val="000000" w:themeColor="text1"/>
          <w:sz w:val="22"/>
          <w:szCs w:val="22"/>
          <w:lang w:val="es-MX" w:eastAsia="es-MX"/>
        </w:rPr>
        <w:t xml:space="preserve"> </w:t>
      </w:r>
      <w:proofErr w:type="spellStart"/>
      <w:r w:rsidR="00CB782A" w:rsidRPr="004E7154">
        <w:rPr>
          <w:rFonts w:ascii="ITC Avant Garde" w:hAnsi="ITC Avant Garde"/>
          <w:bCs/>
          <w:color w:val="000000" w:themeColor="text1"/>
          <w:sz w:val="22"/>
          <w:szCs w:val="22"/>
          <w:lang w:eastAsia="es-MX"/>
        </w:rPr>
        <w:t>Ultracable</w:t>
      </w:r>
      <w:proofErr w:type="spellEnd"/>
      <w:r w:rsidR="00CB782A" w:rsidRPr="004E7154">
        <w:rPr>
          <w:rFonts w:ascii="ITC Avant Garde" w:hAnsi="ITC Avant Garde"/>
          <w:bCs/>
          <w:color w:val="000000" w:themeColor="text1"/>
          <w:sz w:val="22"/>
          <w:szCs w:val="22"/>
          <w:lang w:eastAsia="es-MX"/>
        </w:rPr>
        <w:t xml:space="preserve"> de América, S.A. de C.V. a través de su representante legal, p</w:t>
      </w:r>
      <w:r w:rsidR="003A275F" w:rsidRPr="004E7154">
        <w:rPr>
          <w:rFonts w:ascii="ITC Avant Garde" w:hAnsi="ITC Avant Garde"/>
          <w:bCs/>
          <w:color w:val="000000" w:themeColor="text1"/>
          <w:sz w:val="22"/>
          <w:szCs w:val="22"/>
          <w:lang w:eastAsia="es-MX"/>
        </w:rPr>
        <w:t>resentó</w:t>
      </w:r>
      <w:r w:rsidR="00CB782A" w:rsidRPr="004E7154">
        <w:rPr>
          <w:rFonts w:ascii="ITC Avant Garde" w:hAnsi="ITC Avant Garde"/>
          <w:bCs/>
          <w:color w:val="000000" w:themeColor="text1"/>
          <w:sz w:val="22"/>
          <w:szCs w:val="22"/>
          <w:lang w:eastAsia="es-MX"/>
        </w:rPr>
        <w:t xml:space="preserve"> </w:t>
      </w:r>
      <w:r w:rsidRPr="004E7154">
        <w:rPr>
          <w:rFonts w:ascii="ITC Avant Garde" w:hAnsi="ITC Avant Garde"/>
          <w:bCs/>
          <w:color w:val="000000" w:themeColor="text1"/>
          <w:sz w:val="22"/>
          <w:szCs w:val="22"/>
          <w:lang w:eastAsia="es-MX"/>
        </w:rPr>
        <w:t xml:space="preserve">ante el Instituto </w:t>
      </w:r>
      <w:r w:rsidR="003A275F" w:rsidRPr="004E7154">
        <w:rPr>
          <w:rFonts w:ascii="ITC Avant Garde" w:hAnsi="ITC Avant Garde"/>
          <w:bCs/>
          <w:color w:val="000000" w:themeColor="text1"/>
          <w:sz w:val="22"/>
          <w:szCs w:val="22"/>
          <w:lang w:eastAsia="es-MX"/>
        </w:rPr>
        <w:t>escrito mediante el cual solicita la</w:t>
      </w:r>
      <w:r w:rsidR="00CB782A" w:rsidRPr="004E7154">
        <w:rPr>
          <w:rFonts w:ascii="ITC Avant Garde" w:hAnsi="ITC Avant Garde"/>
          <w:bCs/>
          <w:color w:val="000000" w:themeColor="text1"/>
          <w:sz w:val="22"/>
          <w:szCs w:val="22"/>
          <w:lang w:eastAsia="es-MX"/>
        </w:rPr>
        <w:t xml:space="preserve"> inscripción </w:t>
      </w:r>
      <w:r w:rsidR="003A275F" w:rsidRPr="004E7154">
        <w:rPr>
          <w:rFonts w:ascii="ITC Avant Garde" w:hAnsi="ITC Avant Garde"/>
          <w:bCs/>
          <w:color w:val="000000" w:themeColor="text1"/>
          <w:sz w:val="22"/>
          <w:szCs w:val="22"/>
          <w:lang w:eastAsia="es-MX"/>
        </w:rPr>
        <w:t xml:space="preserve">de </w:t>
      </w:r>
      <w:r w:rsidR="004378CA" w:rsidRPr="004E7154">
        <w:rPr>
          <w:rFonts w:ascii="ITC Avant Garde" w:hAnsi="ITC Avant Garde"/>
          <w:bCs/>
          <w:color w:val="000000" w:themeColor="text1"/>
          <w:sz w:val="22"/>
          <w:szCs w:val="22"/>
          <w:lang w:eastAsia="es-MX"/>
        </w:rPr>
        <w:t xml:space="preserve">los servicios de </w:t>
      </w:r>
      <w:r w:rsidR="003A275F" w:rsidRPr="004E7154">
        <w:rPr>
          <w:rFonts w:ascii="ITC Avant Garde" w:hAnsi="ITC Avant Garde"/>
          <w:bCs/>
          <w:color w:val="000000" w:themeColor="text1"/>
          <w:sz w:val="22"/>
          <w:szCs w:val="22"/>
          <w:lang w:eastAsia="es-MX"/>
        </w:rPr>
        <w:t xml:space="preserve">transmisión de datos y </w:t>
      </w:r>
      <w:r w:rsidR="005C4A55" w:rsidRPr="004E7154">
        <w:rPr>
          <w:rFonts w:ascii="ITC Avant Garde" w:hAnsi="ITC Avant Garde"/>
          <w:bCs/>
          <w:color w:val="000000" w:themeColor="text1"/>
          <w:sz w:val="22"/>
          <w:szCs w:val="22"/>
          <w:lang w:eastAsia="es-MX"/>
        </w:rPr>
        <w:t>acceso a Internet</w:t>
      </w:r>
      <w:r w:rsidR="004378CA" w:rsidRPr="004E7154">
        <w:rPr>
          <w:rFonts w:ascii="ITC Avant Garde" w:hAnsi="ITC Avant Garde"/>
          <w:bCs/>
          <w:color w:val="000000" w:themeColor="text1"/>
          <w:sz w:val="22"/>
          <w:szCs w:val="22"/>
          <w:lang w:eastAsia="es-MX"/>
        </w:rPr>
        <w:t>,</w:t>
      </w:r>
      <w:r w:rsidR="005C4A55" w:rsidRPr="004E7154">
        <w:rPr>
          <w:rFonts w:ascii="ITC Avant Garde" w:hAnsi="ITC Avant Garde"/>
          <w:bCs/>
          <w:color w:val="000000" w:themeColor="text1"/>
          <w:sz w:val="22"/>
          <w:szCs w:val="22"/>
          <w:lang w:eastAsia="es-MX"/>
        </w:rPr>
        <w:t xml:space="preserve"> </w:t>
      </w:r>
      <w:r w:rsidR="003A275F" w:rsidRPr="004E7154">
        <w:rPr>
          <w:rFonts w:ascii="ITC Avant Garde" w:hAnsi="ITC Avant Garde"/>
          <w:bCs/>
          <w:color w:val="000000" w:themeColor="text1"/>
          <w:sz w:val="22"/>
          <w:szCs w:val="22"/>
          <w:lang w:eastAsia="es-MX"/>
        </w:rPr>
        <w:t>en</w:t>
      </w:r>
      <w:r w:rsidR="004378CA" w:rsidRPr="004E7154">
        <w:rPr>
          <w:rFonts w:ascii="ITC Avant Garde" w:hAnsi="ITC Avant Garde"/>
          <w:bCs/>
          <w:color w:val="000000" w:themeColor="text1"/>
          <w:sz w:val="22"/>
          <w:szCs w:val="22"/>
          <w:lang w:eastAsia="es-MX"/>
        </w:rPr>
        <w:t xml:space="preserve"> las localidades de Monterrey, Municipio de Monterrey; San Pedro Garza García, Municipio de San Pedro Garza García; Guadalupe, Municipio de Guadalupe; Ciudad Benito Juárez, Municipio de Juárez; y Ciudad Apodaca, Municipio de Apodaca, en el Estado de Nuevo León, lo anterior </w:t>
      </w:r>
      <w:r w:rsidR="003A275F" w:rsidRPr="004E7154">
        <w:rPr>
          <w:rFonts w:ascii="ITC Avant Garde" w:hAnsi="ITC Avant Garde"/>
          <w:bCs/>
          <w:color w:val="000000" w:themeColor="text1"/>
          <w:sz w:val="22"/>
          <w:szCs w:val="22"/>
          <w:lang w:eastAsia="es-MX"/>
        </w:rPr>
        <w:t>de conformidad con</w:t>
      </w:r>
      <w:r w:rsidR="002C2EE5" w:rsidRPr="004E7154">
        <w:rPr>
          <w:rFonts w:ascii="ITC Avant Garde" w:hAnsi="ITC Avant Garde"/>
          <w:bCs/>
          <w:color w:val="000000" w:themeColor="text1"/>
          <w:sz w:val="22"/>
          <w:szCs w:val="22"/>
          <w:lang w:eastAsia="es-MX"/>
        </w:rPr>
        <w:t xml:space="preserve"> lo establecido en la condición 4. “Registro de Servicios”</w:t>
      </w:r>
      <w:r w:rsidR="00DC26C9" w:rsidRPr="004E7154">
        <w:rPr>
          <w:rFonts w:ascii="ITC Avant Garde" w:hAnsi="ITC Avant Garde"/>
          <w:bCs/>
          <w:color w:val="000000" w:themeColor="text1"/>
          <w:sz w:val="22"/>
          <w:szCs w:val="22"/>
          <w:lang w:eastAsia="es-MX"/>
        </w:rPr>
        <w:t xml:space="preserve"> de la</w:t>
      </w:r>
      <w:r w:rsidR="00DD1B83" w:rsidRPr="004E7154">
        <w:rPr>
          <w:rFonts w:ascii="ITC Avant Garde" w:hAnsi="ITC Avant Garde"/>
          <w:bCs/>
          <w:color w:val="000000" w:themeColor="text1"/>
          <w:sz w:val="22"/>
          <w:szCs w:val="22"/>
          <w:lang w:eastAsia="es-MX"/>
        </w:rPr>
        <w:t xml:space="preserve"> Concesión</w:t>
      </w:r>
      <w:r w:rsidR="008F2B19" w:rsidRPr="004E7154">
        <w:rPr>
          <w:rFonts w:ascii="ITC Avant Garde" w:hAnsi="ITC Avant Garde"/>
          <w:bCs/>
          <w:color w:val="000000" w:themeColor="text1"/>
          <w:sz w:val="22"/>
          <w:szCs w:val="22"/>
          <w:lang w:eastAsia="es-MX"/>
        </w:rPr>
        <w:t>.</w:t>
      </w:r>
    </w:p>
    <w:p w14:paraId="1E1EFE68" w14:textId="054EAF8B" w:rsidR="00AF2D80" w:rsidRPr="004E7154" w:rsidRDefault="00DC26C9" w:rsidP="004E7154">
      <w:pPr>
        <w:pStyle w:val="Prrafodelista"/>
        <w:spacing w:before="240" w:after="240"/>
        <w:ind w:left="567"/>
        <w:jc w:val="both"/>
        <w:rPr>
          <w:rFonts w:ascii="ITC Avant Garde" w:hAnsi="ITC Avant Garde"/>
          <w:bCs/>
          <w:color w:val="000000" w:themeColor="text1"/>
          <w:sz w:val="22"/>
          <w:szCs w:val="22"/>
          <w:lang w:val="es-MX" w:eastAsia="es-MX"/>
        </w:rPr>
      </w:pPr>
      <w:r w:rsidRPr="004E7154">
        <w:rPr>
          <w:rFonts w:ascii="ITC Avant Garde" w:hAnsi="ITC Avant Garde"/>
          <w:bCs/>
          <w:color w:val="000000" w:themeColor="text1"/>
          <w:sz w:val="22"/>
          <w:szCs w:val="22"/>
          <w:lang w:val="es-MX" w:eastAsia="es-MX"/>
        </w:rPr>
        <w:t>Al respecto, el 6 de marzo de 2017 quedaron inscritas en el Registro Público de Concesiones del Instituto, las coberturas y servicios mencionados en el párrafo anterior.</w:t>
      </w:r>
    </w:p>
    <w:p w14:paraId="41F7737F" w14:textId="77777777" w:rsidR="004E7154" w:rsidRPr="004E7154" w:rsidRDefault="00B85726" w:rsidP="004E7154">
      <w:pPr>
        <w:pStyle w:val="Prrafodelista"/>
        <w:numPr>
          <w:ilvl w:val="0"/>
          <w:numId w:val="29"/>
        </w:numPr>
        <w:spacing w:before="240" w:after="240"/>
        <w:ind w:left="567" w:hanging="567"/>
        <w:jc w:val="both"/>
        <w:rPr>
          <w:rFonts w:ascii="ITC Avant Garde" w:hAnsi="ITC Avant Garde"/>
          <w:bCs/>
          <w:color w:val="000000" w:themeColor="text1"/>
          <w:sz w:val="22"/>
          <w:szCs w:val="22"/>
          <w:lang w:val="es-MX" w:eastAsia="es-MX"/>
        </w:rPr>
      </w:pPr>
      <w:r w:rsidRPr="004E7154">
        <w:rPr>
          <w:rFonts w:ascii="ITC Avant Garde" w:hAnsi="ITC Avant Garde"/>
          <w:b/>
          <w:bCs/>
          <w:color w:val="000000" w:themeColor="text1"/>
          <w:sz w:val="22"/>
          <w:szCs w:val="22"/>
          <w:lang w:val="es-MX" w:eastAsia="es-MX"/>
        </w:rPr>
        <w:t xml:space="preserve">Solicitud </w:t>
      </w:r>
      <w:r w:rsidR="00AD3BA3" w:rsidRPr="004E7154">
        <w:rPr>
          <w:rFonts w:ascii="ITC Avant Garde" w:hAnsi="ITC Avant Garde"/>
          <w:b/>
          <w:bCs/>
          <w:color w:val="000000" w:themeColor="text1"/>
          <w:sz w:val="22"/>
          <w:szCs w:val="22"/>
          <w:lang w:val="es-MX" w:eastAsia="es-MX"/>
        </w:rPr>
        <w:t xml:space="preserve">de </w:t>
      </w:r>
      <w:r w:rsidR="00AB3915" w:rsidRPr="004E7154">
        <w:rPr>
          <w:rFonts w:ascii="ITC Avant Garde" w:hAnsi="ITC Avant Garde"/>
          <w:b/>
          <w:bCs/>
          <w:color w:val="000000" w:themeColor="text1"/>
          <w:sz w:val="22"/>
          <w:szCs w:val="22"/>
          <w:lang w:val="es-MX" w:eastAsia="es-MX"/>
        </w:rPr>
        <w:t xml:space="preserve">Enajenación </w:t>
      </w:r>
      <w:r w:rsidR="00B53214" w:rsidRPr="004E7154">
        <w:rPr>
          <w:rFonts w:ascii="ITC Avant Garde" w:hAnsi="ITC Avant Garde"/>
          <w:b/>
          <w:bCs/>
          <w:color w:val="000000" w:themeColor="text1"/>
          <w:sz w:val="22"/>
          <w:szCs w:val="22"/>
          <w:lang w:val="es-MX" w:eastAsia="es-MX"/>
        </w:rPr>
        <w:t>de Acciones</w:t>
      </w:r>
      <w:r w:rsidR="006203E4" w:rsidRPr="004E7154">
        <w:rPr>
          <w:rFonts w:ascii="ITC Avant Garde" w:hAnsi="ITC Avant Garde"/>
          <w:b/>
          <w:bCs/>
          <w:color w:val="000000" w:themeColor="text1"/>
          <w:sz w:val="22"/>
          <w:szCs w:val="22"/>
          <w:lang w:val="es-MX" w:eastAsia="es-MX"/>
        </w:rPr>
        <w:t>.</w:t>
      </w:r>
      <w:r w:rsidR="006203E4" w:rsidRPr="004E7154">
        <w:rPr>
          <w:rFonts w:ascii="ITC Avant Garde" w:hAnsi="ITC Avant Garde"/>
          <w:bCs/>
          <w:color w:val="000000" w:themeColor="text1"/>
          <w:sz w:val="22"/>
          <w:szCs w:val="22"/>
          <w:lang w:val="es-MX" w:eastAsia="es-MX"/>
        </w:rPr>
        <w:t xml:space="preserve"> </w:t>
      </w:r>
      <w:r w:rsidR="00FF2931" w:rsidRPr="004E7154">
        <w:rPr>
          <w:rFonts w:ascii="ITC Avant Garde" w:hAnsi="ITC Avant Garde"/>
          <w:bCs/>
          <w:color w:val="000000" w:themeColor="text1"/>
          <w:sz w:val="22"/>
          <w:szCs w:val="22"/>
          <w:lang w:val="es-MX" w:eastAsia="es-MX"/>
        </w:rPr>
        <w:t>El</w:t>
      </w:r>
      <w:r w:rsidR="00B53214" w:rsidRPr="004E7154">
        <w:rPr>
          <w:rFonts w:ascii="ITC Avant Garde" w:hAnsi="ITC Avant Garde"/>
          <w:bCs/>
          <w:color w:val="000000" w:themeColor="text1"/>
          <w:sz w:val="22"/>
          <w:szCs w:val="22"/>
          <w:lang w:val="es-MX" w:eastAsia="es-MX"/>
        </w:rPr>
        <w:t xml:space="preserve"> </w:t>
      </w:r>
      <w:r w:rsidR="00B61F95" w:rsidRPr="004E7154">
        <w:rPr>
          <w:rFonts w:ascii="ITC Avant Garde" w:hAnsi="ITC Avant Garde"/>
          <w:bCs/>
          <w:color w:val="000000" w:themeColor="text1"/>
          <w:sz w:val="22"/>
          <w:szCs w:val="22"/>
          <w:lang w:val="es-MX" w:eastAsia="es-MX"/>
        </w:rPr>
        <w:t>1</w:t>
      </w:r>
      <w:r w:rsidR="005C4A55" w:rsidRPr="004E7154">
        <w:rPr>
          <w:rFonts w:ascii="ITC Avant Garde" w:hAnsi="ITC Avant Garde"/>
          <w:bCs/>
          <w:color w:val="000000" w:themeColor="text1"/>
          <w:sz w:val="22"/>
          <w:szCs w:val="22"/>
          <w:lang w:val="es-MX" w:eastAsia="es-MX"/>
        </w:rPr>
        <w:t>1</w:t>
      </w:r>
      <w:r w:rsidR="00E12208" w:rsidRPr="004E7154">
        <w:rPr>
          <w:rFonts w:ascii="ITC Avant Garde" w:hAnsi="ITC Avant Garde"/>
          <w:bCs/>
          <w:color w:val="000000" w:themeColor="text1"/>
          <w:sz w:val="22"/>
          <w:szCs w:val="22"/>
          <w:lang w:val="es-MX" w:eastAsia="es-MX"/>
        </w:rPr>
        <w:t xml:space="preserve"> de </w:t>
      </w:r>
      <w:r w:rsidR="005C4A55" w:rsidRPr="004E7154">
        <w:rPr>
          <w:rFonts w:ascii="ITC Avant Garde" w:hAnsi="ITC Avant Garde"/>
          <w:bCs/>
          <w:color w:val="000000" w:themeColor="text1"/>
          <w:sz w:val="22"/>
          <w:szCs w:val="22"/>
          <w:lang w:val="es-MX" w:eastAsia="es-MX"/>
        </w:rPr>
        <w:t>mayo</w:t>
      </w:r>
      <w:r w:rsidR="00B53214" w:rsidRPr="004E7154">
        <w:rPr>
          <w:rFonts w:ascii="ITC Avant Garde" w:hAnsi="ITC Avant Garde"/>
          <w:bCs/>
          <w:color w:val="000000" w:themeColor="text1"/>
          <w:sz w:val="22"/>
          <w:szCs w:val="22"/>
          <w:lang w:val="es-MX" w:eastAsia="es-MX"/>
        </w:rPr>
        <w:t xml:space="preserve"> </w:t>
      </w:r>
      <w:r w:rsidR="00E12208" w:rsidRPr="004E7154">
        <w:rPr>
          <w:rFonts w:ascii="ITC Avant Garde" w:hAnsi="ITC Avant Garde"/>
          <w:bCs/>
          <w:color w:val="000000" w:themeColor="text1"/>
          <w:sz w:val="22"/>
          <w:szCs w:val="22"/>
          <w:lang w:val="es-MX" w:eastAsia="es-MX"/>
        </w:rPr>
        <w:t>de 2017</w:t>
      </w:r>
      <w:r w:rsidR="00B53214" w:rsidRPr="004E7154">
        <w:rPr>
          <w:rFonts w:ascii="ITC Avant Garde" w:hAnsi="ITC Avant Garde"/>
          <w:bCs/>
          <w:color w:val="000000" w:themeColor="text1"/>
          <w:sz w:val="22"/>
          <w:szCs w:val="22"/>
          <w:lang w:val="es-MX" w:eastAsia="es-MX"/>
        </w:rPr>
        <w:t xml:space="preserve">, </w:t>
      </w:r>
      <w:proofErr w:type="spellStart"/>
      <w:r w:rsidR="005C4A55" w:rsidRPr="004E7154">
        <w:rPr>
          <w:rFonts w:ascii="ITC Avant Garde" w:hAnsi="ITC Avant Garde"/>
          <w:bCs/>
          <w:color w:val="000000" w:themeColor="text1"/>
          <w:sz w:val="22"/>
          <w:szCs w:val="22"/>
          <w:lang w:eastAsia="es-MX"/>
        </w:rPr>
        <w:t>Ultracable</w:t>
      </w:r>
      <w:proofErr w:type="spellEnd"/>
      <w:r w:rsidR="005C4A55" w:rsidRPr="004E7154">
        <w:rPr>
          <w:rFonts w:ascii="ITC Avant Garde" w:hAnsi="ITC Avant Garde"/>
          <w:bCs/>
          <w:color w:val="000000" w:themeColor="text1"/>
          <w:sz w:val="22"/>
          <w:szCs w:val="22"/>
          <w:lang w:eastAsia="es-MX"/>
        </w:rPr>
        <w:t xml:space="preserve"> de América, S.A. de C.V.</w:t>
      </w:r>
      <w:r w:rsidR="00E12208" w:rsidRPr="004E7154">
        <w:rPr>
          <w:rFonts w:ascii="ITC Avant Garde" w:hAnsi="ITC Avant Garde"/>
          <w:bCs/>
          <w:color w:val="000000" w:themeColor="text1"/>
          <w:sz w:val="22"/>
          <w:szCs w:val="22"/>
          <w:lang w:val="es-MX" w:eastAsia="es-MX"/>
        </w:rPr>
        <w:t>, a través de su representante legal</w:t>
      </w:r>
      <w:r w:rsidR="00E877FC" w:rsidRPr="004E7154">
        <w:rPr>
          <w:rFonts w:ascii="ITC Avant Garde" w:hAnsi="ITC Avant Garde"/>
          <w:bCs/>
          <w:color w:val="000000" w:themeColor="text1"/>
          <w:sz w:val="22"/>
          <w:szCs w:val="22"/>
          <w:lang w:val="es-MX" w:eastAsia="es-MX"/>
        </w:rPr>
        <w:t>,</w:t>
      </w:r>
      <w:r w:rsidR="00E12208" w:rsidRPr="004E7154">
        <w:rPr>
          <w:rFonts w:ascii="ITC Avant Garde" w:hAnsi="ITC Avant Garde"/>
          <w:bCs/>
          <w:color w:val="000000" w:themeColor="text1"/>
          <w:sz w:val="22"/>
          <w:szCs w:val="22"/>
          <w:lang w:val="es-MX" w:eastAsia="es-MX"/>
        </w:rPr>
        <w:t xml:space="preserve"> dio aviso de</w:t>
      </w:r>
      <w:r w:rsidR="00E7577F" w:rsidRPr="004E7154">
        <w:rPr>
          <w:rFonts w:ascii="ITC Avant Garde" w:hAnsi="ITC Avant Garde"/>
          <w:bCs/>
          <w:color w:val="000000" w:themeColor="text1"/>
          <w:sz w:val="22"/>
          <w:szCs w:val="22"/>
          <w:lang w:val="es-MX" w:eastAsia="es-MX"/>
        </w:rPr>
        <w:t xml:space="preserve"> la</w:t>
      </w:r>
      <w:r w:rsidR="00E12208" w:rsidRPr="004E7154">
        <w:rPr>
          <w:rFonts w:ascii="ITC Avant Garde" w:hAnsi="ITC Avant Garde"/>
          <w:bCs/>
          <w:color w:val="000000" w:themeColor="text1"/>
          <w:sz w:val="22"/>
          <w:szCs w:val="22"/>
          <w:lang w:val="es-MX" w:eastAsia="es-MX"/>
        </w:rPr>
        <w:t xml:space="preserve"> </w:t>
      </w:r>
      <w:r w:rsidR="00E7577F" w:rsidRPr="004E7154">
        <w:rPr>
          <w:rFonts w:ascii="ITC Avant Garde" w:hAnsi="ITC Avant Garde"/>
          <w:bCs/>
          <w:color w:val="000000" w:themeColor="text1"/>
          <w:sz w:val="22"/>
          <w:szCs w:val="22"/>
          <w:lang w:val="es-MX" w:eastAsia="es-MX"/>
        </w:rPr>
        <w:t>intención de</w:t>
      </w:r>
      <w:r w:rsidR="005C4A55" w:rsidRPr="004E7154">
        <w:rPr>
          <w:rFonts w:ascii="ITC Avant Garde" w:hAnsi="ITC Avant Garde"/>
          <w:bCs/>
          <w:color w:val="000000" w:themeColor="text1"/>
          <w:sz w:val="22"/>
          <w:szCs w:val="22"/>
          <w:lang w:val="es-MX" w:eastAsia="es-MX"/>
        </w:rPr>
        <w:t xml:space="preserve"> enajenar 5,030 acciones serie A y B de dicha empresa, propiedad del C. Juan Francisco Millán Bermúdez, a favor del C. José Antonio Toledo Pinto</w:t>
      </w:r>
      <w:r w:rsidR="00DC26C9" w:rsidRPr="004E7154">
        <w:rPr>
          <w:rFonts w:ascii="ITC Avant Garde" w:hAnsi="ITC Avant Garde"/>
          <w:bCs/>
          <w:color w:val="000000" w:themeColor="text1"/>
          <w:sz w:val="22"/>
          <w:szCs w:val="22"/>
          <w:lang w:val="es-MX" w:eastAsia="es-MX"/>
        </w:rPr>
        <w:t>,</w:t>
      </w:r>
      <w:r w:rsidR="00AB222A" w:rsidRPr="004E7154">
        <w:rPr>
          <w:rFonts w:ascii="ITC Avant Garde" w:hAnsi="ITC Avant Garde"/>
          <w:bCs/>
          <w:color w:val="000000" w:themeColor="text1"/>
          <w:sz w:val="22"/>
          <w:szCs w:val="22"/>
          <w:lang w:val="es-MX" w:eastAsia="es-MX"/>
        </w:rPr>
        <w:t xml:space="preserve"> quien también acredita su personalidad como accionista de </w:t>
      </w:r>
      <w:proofErr w:type="spellStart"/>
      <w:r w:rsidR="00AB222A" w:rsidRPr="004E7154">
        <w:rPr>
          <w:rFonts w:ascii="ITC Avant Garde" w:hAnsi="ITC Avant Garde"/>
          <w:bCs/>
          <w:color w:val="000000" w:themeColor="text1"/>
          <w:sz w:val="22"/>
          <w:szCs w:val="22"/>
          <w:lang w:val="es-MX" w:eastAsia="es-MX"/>
        </w:rPr>
        <w:t>Ultracable</w:t>
      </w:r>
      <w:proofErr w:type="spellEnd"/>
      <w:r w:rsidR="00AB222A" w:rsidRPr="004E7154">
        <w:rPr>
          <w:rFonts w:ascii="ITC Avant Garde" w:hAnsi="ITC Avant Garde"/>
          <w:bCs/>
          <w:color w:val="000000" w:themeColor="text1"/>
          <w:sz w:val="22"/>
          <w:szCs w:val="22"/>
          <w:lang w:val="es-MX" w:eastAsia="es-MX"/>
        </w:rPr>
        <w:t xml:space="preserve"> de América, S.A. de C.V.</w:t>
      </w:r>
      <w:r w:rsidR="005C4A55" w:rsidRPr="004E7154">
        <w:rPr>
          <w:rFonts w:ascii="ITC Avant Garde" w:hAnsi="ITC Avant Garde"/>
          <w:bCs/>
          <w:color w:val="000000" w:themeColor="text1"/>
          <w:sz w:val="22"/>
          <w:szCs w:val="22"/>
          <w:lang w:val="es-MX" w:eastAsia="es-MX"/>
        </w:rPr>
        <w:t xml:space="preserve"> </w:t>
      </w:r>
      <w:r w:rsidR="002156ED" w:rsidRPr="004E7154">
        <w:rPr>
          <w:rFonts w:ascii="ITC Avant Garde" w:hAnsi="ITC Avant Garde"/>
          <w:bCs/>
          <w:color w:val="000000" w:themeColor="text1"/>
          <w:sz w:val="22"/>
          <w:szCs w:val="22"/>
          <w:lang w:val="es-MX" w:eastAsia="es-MX"/>
        </w:rPr>
        <w:t xml:space="preserve">(la “Solicitud de </w:t>
      </w:r>
      <w:r w:rsidR="005C4A55" w:rsidRPr="004E7154">
        <w:rPr>
          <w:rFonts w:ascii="ITC Avant Garde" w:hAnsi="ITC Avant Garde"/>
          <w:bCs/>
          <w:color w:val="000000" w:themeColor="text1"/>
          <w:sz w:val="22"/>
          <w:szCs w:val="22"/>
          <w:lang w:val="es-MX" w:eastAsia="es-MX"/>
        </w:rPr>
        <w:t xml:space="preserve">Enajenación </w:t>
      </w:r>
      <w:r w:rsidR="002156ED" w:rsidRPr="004E7154">
        <w:rPr>
          <w:rFonts w:ascii="ITC Avant Garde" w:hAnsi="ITC Avant Garde"/>
          <w:bCs/>
          <w:color w:val="000000" w:themeColor="text1"/>
          <w:sz w:val="22"/>
          <w:szCs w:val="22"/>
          <w:lang w:val="es-MX" w:eastAsia="es-MX"/>
        </w:rPr>
        <w:t>de Acciones”)</w:t>
      </w:r>
      <w:r w:rsidR="00E877FC" w:rsidRPr="004E7154">
        <w:rPr>
          <w:rFonts w:ascii="ITC Avant Garde" w:hAnsi="ITC Avant Garde"/>
          <w:bCs/>
          <w:color w:val="000000" w:themeColor="text1"/>
          <w:sz w:val="22"/>
          <w:szCs w:val="22"/>
          <w:lang w:val="es-MX" w:eastAsia="es-MX"/>
        </w:rPr>
        <w:t>.</w:t>
      </w:r>
      <w:r w:rsidR="00193464" w:rsidRPr="004E7154">
        <w:rPr>
          <w:rFonts w:ascii="ITC Avant Garde" w:hAnsi="ITC Avant Garde"/>
          <w:bCs/>
          <w:color w:val="000000" w:themeColor="text1"/>
          <w:sz w:val="22"/>
          <w:szCs w:val="22"/>
          <w:lang w:val="es-MX" w:eastAsia="es-MX"/>
        </w:rPr>
        <w:t xml:space="preserve"> </w:t>
      </w:r>
    </w:p>
    <w:p w14:paraId="32E8C126" w14:textId="77777777" w:rsidR="004E7154" w:rsidRPr="004E7154" w:rsidRDefault="00E877FC" w:rsidP="004E7154">
      <w:pPr>
        <w:pStyle w:val="Prrafodelista"/>
        <w:spacing w:before="240" w:after="240"/>
        <w:ind w:left="567"/>
        <w:jc w:val="both"/>
        <w:rPr>
          <w:rFonts w:ascii="ITC Avant Garde" w:hAnsi="ITC Avant Garde"/>
          <w:bCs/>
          <w:color w:val="000000" w:themeColor="text1"/>
          <w:sz w:val="22"/>
          <w:szCs w:val="22"/>
          <w:lang w:val="es-MX" w:eastAsia="es-MX"/>
        </w:rPr>
      </w:pPr>
      <w:r w:rsidRPr="004E7154">
        <w:rPr>
          <w:rFonts w:ascii="ITC Avant Garde" w:hAnsi="ITC Avant Garde"/>
          <w:bCs/>
          <w:color w:val="000000" w:themeColor="text1"/>
          <w:sz w:val="22"/>
          <w:szCs w:val="22"/>
          <w:lang w:val="es-MX" w:eastAsia="es-MX"/>
        </w:rPr>
        <w:t xml:space="preserve">Posteriormente, </w:t>
      </w:r>
      <w:r w:rsidR="00102F38" w:rsidRPr="004E7154">
        <w:rPr>
          <w:rFonts w:ascii="ITC Avant Garde" w:hAnsi="ITC Avant Garde"/>
          <w:bCs/>
          <w:color w:val="000000" w:themeColor="text1"/>
          <w:sz w:val="22"/>
          <w:szCs w:val="22"/>
          <w:lang w:val="es-MX" w:eastAsia="es-MX"/>
        </w:rPr>
        <w:t>l</w:t>
      </w:r>
      <w:r w:rsidR="004914C7" w:rsidRPr="004E7154">
        <w:rPr>
          <w:rFonts w:ascii="ITC Avant Garde" w:hAnsi="ITC Avant Garde"/>
          <w:bCs/>
          <w:color w:val="000000" w:themeColor="text1"/>
          <w:sz w:val="22"/>
          <w:szCs w:val="22"/>
          <w:lang w:val="es-MX" w:eastAsia="es-MX"/>
        </w:rPr>
        <w:t>os días</w:t>
      </w:r>
      <w:r w:rsidRPr="004E7154">
        <w:rPr>
          <w:rFonts w:ascii="ITC Avant Garde" w:hAnsi="ITC Avant Garde"/>
          <w:bCs/>
          <w:color w:val="000000" w:themeColor="text1"/>
          <w:sz w:val="22"/>
          <w:szCs w:val="22"/>
          <w:lang w:val="es-MX" w:eastAsia="es-MX"/>
        </w:rPr>
        <w:t xml:space="preserve"> </w:t>
      </w:r>
      <w:r w:rsidR="007C1AC7" w:rsidRPr="004E7154">
        <w:rPr>
          <w:rFonts w:ascii="ITC Avant Garde" w:hAnsi="ITC Avant Garde"/>
          <w:bCs/>
          <w:color w:val="000000" w:themeColor="text1"/>
          <w:sz w:val="22"/>
          <w:szCs w:val="22"/>
          <w:lang w:val="es-MX" w:eastAsia="es-MX"/>
        </w:rPr>
        <w:t>23</w:t>
      </w:r>
      <w:r w:rsidRPr="004E7154">
        <w:rPr>
          <w:rFonts w:ascii="ITC Avant Garde" w:hAnsi="ITC Avant Garde"/>
          <w:bCs/>
          <w:color w:val="000000" w:themeColor="text1"/>
          <w:sz w:val="22"/>
          <w:szCs w:val="22"/>
          <w:lang w:val="es-MX" w:eastAsia="es-MX"/>
        </w:rPr>
        <w:t xml:space="preserve"> de </w:t>
      </w:r>
      <w:r w:rsidR="00E47E22" w:rsidRPr="004E7154">
        <w:rPr>
          <w:rFonts w:ascii="ITC Avant Garde" w:hAnsi="ITC Avant Garde"/>
          <w:bCs/>
          <w:color w:val="000000" w:themeColor="text1"/>
          <w:sz w:val="22"/>
          <w:szCs w:val="22"/>
          <w:lang w:val="es-MX" w:eastAsia="es-MX"/>
        </w:rPr>
        <w:t>ma</w:t>
      </w:r>
      <w:r w:rsidR="007C1AC7" w:rsidRPr="004E7154">
        <w:rPr>
          <w:rFonts w:ascii="ITC Avant Garde" w:hAnsi="ITC Avant Garde"/>
          <w:bCs/>
          <w:color w:val="000000" w:themeColor="text1"/>
          <w:sz w:val="22"/>
          <w:szCs w:val="22"/>
          <w:lang w:val="es-MX" w:eastAsia="es-MX"/>
        </w:rPr>
        <w:t>y</w:t>
      </w:r>
      <w:r w:rsidR="00E47E22" w:rsidRPr="004E7154">
        <w:rPr>
          <w:rFonts w:ascii="ITC Avant Garde" w:hAnsi="ITC Avant Garde"/>
          <w:bCs/>
          <w:color w:val="000000" w:themeColor="text1"/>
          <w:sz w:val="22"/>
          <w:szCs w:val="22"/>
          <w:lang w:val="es-MX" w:eastAsia="es-MX"/>
        </w:rPr>
        <w:t>o</w:t>
      </w:r>
      <w:r w:rsidR="007C1AC7" w:rsidRPr="004E7154">
        <w:rPr>
          <w:rFonts w:ascii="ITC Avant Garde" w:hAnsi="ITC Avant Garde"/>
          <w:bCs/>
          <w:color w:val="000000" w:themeColor="text1"/>
          <w:sz w:val="22"/>
          <w:szCs w:val="22"/>
          <w:lang w:val="es-MX" w:eastAsia="es-MX"/>
        </w:rPr>
        <w:t xml:space="preserve"> </w:t>
      </w:r>
      <w:r w:rsidR="00951C38" w:rsidRPr="004E7154">
        <w:rPr>
          <w:rFonts w:ascii="ITC Avant Garde" w:hAnsi="ITC Avant Garde"/>
          <w:bCs/>
          <w:color w:val="000000" w:themeColor="text1"/>
          <w:sz w:val="22"/>
          <w:szCs w:val="22"/>
          <w:lang w:val="es-MX" w:eastAsia="es-MX"/>
        </w:rPr>
        <w:t xml:space="preserve">y </w:t>
      </w:r>
      <w:r w:rsidR="007C1AC7" w:rsidRPr="004E7154">
        <w:rPr>
          <w:rFonts w:ascii="ITC Avant Garde" w:hAnsi="ITC Avant Garde"/>
          <w:bCs/>
          <w:color w:val="000000" w:themeColor="text1"/>
          <w:sz w:val="22"/>
          <w:szCs w:val="22"/>
          <w:lang w:val="es-MX" w:eastAsia="es-MX"/>
        </w:rPr>
        <w:t>19</w:t>
      </w:r>
      <w:r w:rsidR="00951C38" w:rsidRPr="004E7154">
        <w:rPr>
          <w:rFonts w:ascii="ITC Avant Garde" w:hAnsi="ITC Avant Garde"/>
          <w:bCs/>
          <w:color w:val="000000" w:themeColor="text1"/>
          <w:sz w:val="22"/>
          <w:szCs w:val="22"/>
          <w:lang w:val="es-MX" w:eastAsia="es-MX"/>
        </w:rPr>
        <w:t xml:space="preserve"> de </w:t>
      </w:r>
      <w:r w:rsidR="007C1AC7" w:rsidRPr="004E7154">
        <w:rPr>
          <w:rFonts w:ascii="ITC Avant Garde" w:hAnsi="ITC Avant Garde"/>
          <w:bCs/>
          <w:color w:val="000000" w:themeColor="text1"/>
          <w:sz w:val="22"/>
          <w:szCs w:val="22"/>
          <w:lang w:val="es-MX" w:eastAsia="es-MX"/>
        </w:rPr>
        <w:t>junio</w:t>
      </w:r>
      <w:r w:rsidR="00951C38" w:rsidRPr="004E7154">
        <w:rPr>
          <w:rFonts w:ascii="ITC Avant Garde" w:hAnsi="ITC Avant Garde"/>
          <w:bCs/>
          <w:color w:val="000000" w:themeColor="text1"/>
          <w:sz w:val="22"/>
          <w:szCs w:val="22"/>
          <w:lang w:val="es-MX" w:eastAsia="es-MX"/>
        </w:rPr>
        <w:t xml:space="preserve"> </w:t>
      </w:r>
      <w:r w:rsidR="004914C7" w:rsidRPr="004E7154">
        <w:rPr>
          <w:rFonts w:ascii="ITC Avant Garde" w:hAnsi="ITC Avant Garde"/>
          <w:bCs/>
          <w:color w:val="000000" w:themeColor="text1"/>
          <w:sz w:val="22"/>
          <w:szCs w:val="22"/>
          <w:lang w:val="es-MX" w:eastAsia="es-MX"/>
        </w:rPr>
        <w:t>de 2017</w:t>
      </w:r>
      <w:r w:rsidRPr="004E7154">
        <w:rPr>
          <w:rFonts w:ascii="ITC Avant Garde" w:hAnsi="ITC Avant Garde"/>
          <w:bCs/>
          <w:color w:val="000000" w:themeColor="text1"/>
          <w:sz w:val="22"/>
          <w:szCs w:val="22"/>
          <w:lang w:val="es-MX" w:eastAsia="es-MX"/>
        </w:rPr>
        <w:t xml:space="preserve">, </w:t>
      </w:r>
      <w:proofErr w:type="spellStart"/>
      <w:r w:rsidR="007C1AC7" w:rsidRPr="004E7154">
        <w:rPr>
          <w:rFonts w:ascii="ITC Avant Garde" w:hAnsi="ITC Avant Garde"/>
          <w:bCs/>
          <w:color w:val="000000" w:themeColor="text1"/>
          <w:sz w:val="22"/>
          <w:szCs w:val="22"/>
          <w:lang w:val="es-MX" w:eastAsia="es-MX"/>
        </w:rPr>
        <w:t>Ultracable</w:t>
      </w:r>
      <w:proofErr w:type="spellEnd"/>
      <w:r w:rsidR="007C1AC7" w:rsidRPr="004E7154">
        <w:rPr>
          <w:rFonts w:ascii="ITC Avant Garde" w:hAnsi="ITC Avant Garde"/>
          <w:bCs/>
          <w:color w:val="000000" w:themeColor="text1"/>
          <w:sz w:val="22"/>
          <w:szCs w:val="22"/>
          <w:lang w:val="es-MX" w:eastAsia="es-MX"/>
        </w:rPr>
        <w:t xml:space="preserve"> de América, S.A. de C.V., dio respuesta a los oficios IFT/223/UCS/DG-CTEL/1100/2017 de fecha 16 de mayo de 2017 e IFT/223/UCS/DG-CTEL/1235/2017 de fecha 8 de junio de 2017, mediante los cuales presentó ante el Instituto el comprobante de pago</w:t>
      </w:r>
      <w:r w:rsidR="00DC26C9" w:rsidRPr="004E7154">
        <w:rPr>
          <w:rFonts w:ascii="ITC Avant Garde" w:hAnsi="ITC Avant Garde"/>
          <w:bCs/>
          <w:color w:val="000000" w:themeColor="text1"/>
          <w:sz w:val="22"/>
          <w:szCs w:val="22"/>
          <w:lang w:val="es-MX" w:eastAsia="es-MX"/>
        </w:rPr>
        <w:t xml:space="preserve"> de </w:t>
      </w:r>
      <w:r w:rsidR="00DC26C9" w:rsidRPr="004E7154">
        <w:rPr>
          <w:rFonts w:ascii="ITC Avant Garde" w:hAnsi="ITC Avant Garde"/>
          <w:bCs/>
          <w:color w:val="000000" w:themeColor="text1"/>
          <w:sz w:val="22"/>
          <w:szCs w:val="22"/>
          <w:lang w:val="es-MX" w:eastAsia="es-MX"/>
        </w:rPr>
        <w:lastRenderedPageBreak/>
        <w:t>derechos</w:t>
      </w:r>
      <w:r w:rsidR="007C1AC7" w:rsidRPr="004E7154">
        <w:rPr>
          <w:rFonts w:ascii="ITC Avant Garde" w:hAnsi="ITC Avant Garde"/>
          <w:bCs/>
          <w:color w:val="000000" w:themeColor="text1"/>
          <w:sz w:val="22"/>
          <w:szCs w:val="22"/>
          <w:lang w:val="es-MX" w:eastAsia="es-MX"/>
        </w:rPr>
        <w:t xml:space="preserve"> por el estudio de la Solicitud de Enajenación de Acciones, así como diversa información en materia de competencia económica</w:t>
      </w:r>
      <w:r w:rsidR="00DC26C9" w:rsidRPr="004E7154">
        <w:rPr>
          <w:rFonts w:ascii="ITC Avant Garde" w:hAnsi="ITC Avant Garde"/>
          <w:bCs/>
          <w:color w:val="000000" w:themeColor="text1"/>
          <w:sz w:val="22"/>
          <w:szCs w:val="22"/>
          <w:lang w:val="es-MX" w:eastAsia="es-MX"/>
        </w:rPr>
        <w:t>,</w:t>
      </w:r>
      <w:r w:rsidR="007C1AC7" w:rsidRPr="004E7154">
        <w:rPr>
          <w:rFonts w:ascii="ITC Avant Garde" w:hAnsi="ITC Avant Garde"/>
          <w:bCs/>
          <w:color w:val="000000" w:themeColor="text1"/>
          <w:sz w:val="22"/>
          <w:szCs w:val="22"/>
          <w:lang w:val="es-MX" w:eastAsia="es-MX"/>
        </w:rPr>
        <w:t xml:space="preserve"> respectivamente</w:t>
      </w:r>
      <w:r w:rsidRPr="004E7154">
        <w:rPr>
          <w:rFonts w:ascii="ITC Avant Garde" w:hAnsi="ITC Avant Garde"/>
          <w:bCs/>
          <w:color w:val="000000" w:themeColor="text1"/>
          <w:sz w:val="22"/>
          <w:szCs w:val="22"/>
          <w:lang w:val="es-MX" w:eastAsia="es-MX"/>
        </w:rPr>
        <w:t>.</w:t>
      </w:r>
    </w:p>
    <w:p w14:paraId="00618C60" w14:textId="77777777" w:rsidR="004E7154" w:rsidRPr="004E7154" w:rsidRDefault="00E91015" w:rsidP="004E7154">
      <w:pPr>
        <w:pStyle w:val="Prrafodelista"/>
        <w:numPr>
          <w:ilvl w:val="0"/>
          <w:numId w:val="29"/>
        </w:numPr>
        <w:spacing w:before="240" w:after="240"/>
        <w:ind w:left="567" w:hanging="567"/>
        <w:jc w:val="both"/>
        <w:rPr>
          <w:rFonts w:ascii="ITC Avant Garde" w:hAnsi="ITC Avant Garde" w:cs="Arial"/>
          <w:color w:val="000000" w:themeColor="text1"/>
          <w:sz w:val="18"/>
          <w:szCs w:val="18"/>
        </w:rPr>
      </w:pPr>
      <w:r w:rsidRPr="004E7154">
        <w:rPr>
          <w:rFonts w:ascii="ITC Avant Garde" w:hAnsi="ITC Avant Garde"/>
          <w:b/>
          <w:bCs/>
          <w:color w:val="000000" w:themeColor="text1"/>
          <w:sz w:val="22"/>
          <w:szCs w:val="22"/>
          <w:lang w:val="es-MX" w:eastAsia="es-MX"/>
        </w:rPr>
        <w:t xml:space="preserve">Solicitud de Opinión </w:t>
      </w:r>
      <w:r w:rsidR="003A6994" w:rsidRPr="004E7154">
        <w:rPr>
          <w:rFonts w:ascii="ITC Avant Garde" w:hAnsi="ITC Avant Garde"/>
          <w:b/>
          <w:bCs/>
          <w:color w:val="000000" w:themeColor="text1"/>
          <w:sz w:val="22"/>
          <w:szCs w:val="22"/>
          <w:lang w:val="es-MX" w:eastAsia="es-MX"/>
        </w:rPr>
        <w:t>Técnica</w:t>
      </w:r>
      <w:r w:rsidRPr="004E7154">
        <w:rPr>
          <w:rFonts w:ascii="ITC Avant Garde" w:hAnsi="ITC Avant Garde"/>
          <w:b/>
          <w:bCs/>
          <w:color w:val="000000" w:themeColor="text1"/>
          <w:sz w:val="22"/>
          <w:szCs w:val="22"/>
          <w:lang w:val="es-MX" w:eastAsia="es-MX"/>
        </w:rPr>
        <w:t xml:space="preserve">. </w:t>
      </w:r>
      <w:r w:rsidR="00101675" w:rsidRPr="004E7154">
        <w:rPr>
          <w:rFonts w:ascii="ITC Avant Garde" w:hAnsi="ITC Avant Garde"/>
          <w:bCs/>
          <w:color w:val="000000" w:themeColor="text1"/>
          <w:sz w:val="22"/>
          <w:szCs w:val="22"/>
          <w:lang w:val="es-MX" w:eastAsia="es-MX"/>
        </w:rPr>
        <w:t>Mediante oficio IFT/223/UCS/</w:t>
      </w:r>
      <w:r w:rsidR="00E81D15" w:rsidRPr="004E7154">
        <w:rPr>
          <w:rFonts w:ascii="ITC Avant Garde" w:hAnsi="ITC Avant Garde"/>
          <w:bCs/>
          <w:color w:val="000000" w:themeColor="text1"/>
          <w:sz w:val="22"/>
          <w:szCs w:val="22"/>
          <w:lang w:val="es-MX" w:eastAsia="es-MX"/>
        </w:rPr>
        <w:t>800</w:t>
      </w:r>
      <w:r w:rsidR="005D3DC0" w:rsidRPr="004E7154">
        <w:rPr>
          <w:rFonts w:ascii="ITC Avant Garde" w:hAnsi="ITC Avant Garde"/>
          <w:bCs/>
          <w:color w:val="000000" w:themeColor="text1"/>
          <w:sz w:val="22"/>
          <w:szCs w:val="22"/>
          <w:lang w:val="es-MX" w:eastAsia="es-MX"/>
        </w:rPr>
        <w:t>/2017</w:t>
      </w:r>
      <w:r w:rsidR="0087638B" w:rsidRPr="004E7154">
        <w:rPr>
          <w:rFonts w:ascii="ITC Avant Garde" w:hAnsi="ITC Avant Garde"/>
          <w:bCs/>
          <w:color w:val="000000" w:themeColor="text1"/>
          <w:sz w:val="22"/>
          <w:szCs w:val="22"/>
          <w:lang w:val="es-MX" w:eastAsia="es-MX"/>
        </w:rPr>
        <w:t>,</w:t>
      </w:r>
      <w:r w:rsidR="005D3DC0" w:rsidRPr="004E7154">
        <w:rPr>
          <w:rFonts w:ascii="ITC Avant Garde" w:hAnsi="ITC Avant Garde"/>
          <w:bCs/>
          <w:color w:val="000000" w:themeColor="text1"/>
          <w:sz w:val="22"/>
          <w:szCs w:val="22"/>
          <w:lang w:val="es-MX" w:eastAsia="es-MX"/>
        </w:rPr>
        <w:t xml:space="preserve"> </w:t>
      </w:r>
      <w:r w:rsidR="00101675" w:rsidRPr="004E7154">
        <w:rPr>
          <w:rFonts w:ascii="ITC Avant Garde" w:hAnsi="ITC Avant Garde"/>
          <w:bCs/>
          <w:color w:val="000000" w:themeColor="text1"/>
          <w:sz w:val="22"/>
          <w:szCs w:val="22"/>
          <w:lang w:val="es-MX" w:eastAsia="es-MX"/>
        </w:rPr>
        <w:t>notificado el</w:t>
      </w:r>
      <w:r w:rsidR="005D3DC0" w:rsidRPr="004E7154">
        <w:rPr>
          <w:rFonts w:ascii="ITC Avant Garde" w:hAnsi="ITC Avant Garde"/>
          <w:bCs/>
          <w:color w:val="000000" w:themeColor="text1"/>
          <w:sz w:val="22"/>
          <w:szCs w:val="22"/>
          <w:lang w:val="es-MX" w:eastAsia="es-MX"/>
        </w:rPr>
        <w:t xml:space="preserve"> </w:t>
      </w:r>
      <w:r w:rsidR="00102F38" w:rsidRPr="004E7154">
        <w:rPr>
          <w:rFonts w:ascii="ITC Avant Garde" w:hAnsi="ITC Avant Garde"/>
          <w:bCs/>
          <w:color w:val="000000" w:themeColor="text1"/>
          <w:sz w:val="22"/>
          <w:szCs w:val="22"/>
          <w:lang w:val="es-MX" w:eastAsia="es-MX"/>
        </w:rPr>
        <w:t>2</w:t>
      </w:r>
      <w:r w:rsidR="00E81D15" w:rsidRPr="004E7154">
        <w:rPr>
          <w:rFonts w:ascii="ITC Avant Garde" w:hAnsi="ITC Avant Garde"/>
          <w:bCs/>
          <w:color w:val="000000" w:themeColor="text1"/>
          <w:sz w:val="22"/>
          <w:szCs w:val="22"/>
          <w:lang w:val="es-MX" w:eastAsia="es-MX"/>
        </w:rPr>
        <w:t>5</w:t>
      </w:r>
      <w:r w:rsidR="00101675" w:rsidRPr="004E7154">
        <w:rPr>
          <w:rFonts w:ascii="ITC Avant Garde" w:hAnsi="ITC Avant Garde"/>
          <w:bCs/>
          <w:color w:val="000000" w:themeColor="text1"/>
          <w:sz w:val="22"/>
          <w:szCs w:val="22"/>
          <w:lang w:val="es-MX" w:eastAsia="es-MX"/>
        </w:rPr>
        <w:t xml:space="preserve"> de </w:t>
      </w:r>
      <w:r w:rsidR="000977B6" w:rsidRPr="004E7154">
        <w:rPr>
          <w:rFonts w:ascii="ITC Avant Garde" w:hAnsi="ITC Avant Garde"/>
          <w:bCs/>
          <w:color w:val="000000" w:themeColor="text1"/>
          <w:sz w:val="22"/>
          <w:szCs w:val="22"/>
          <w:lang w:val="es-MX" w:eastAsia="es-MX"/>
        </w:rPr>
        <w:t>ma</w:t>
      </w:r>
      <w:r w:rsidR="00E81D15" w:rsidRPr="004E7154">
        <w:rPr>
          <w:rFonts w:ascii="ITC Avant Garde" w:hAnsi="ITC Avant Garde"/>
          <w:bCs/>
          <w:color w:val="000000" w:themeColor="text1"/>
          <w:sz w:val="22"/>
          <w:szCs w:val="22"/>
          <w:lang w:val="es-MX" w:eastAsia="es-MX"/>
        </w:rPr>
        <w:t>y</w:t>
      </w:r>
      <w:r w:rsidR="000977B6" w:rsidRPr="004E7154">
        <w:rPr>
          <w:rFonts w:ascii="ITC Avant Garde" w:hAnsi="ITC Avant Garde"/>
          <w:bCs/>
          <w:color w:val="000000" w:themeColor="text1"/>
          <w:sz w:val="22"/>
          <w:szCs w:val="22"/>
          <w:lang w:val="es-MX" w:eastAsia="es-MX"/>
        </w:rPr>
        <w:t>o</w:t>
      </w:r>
      <w:r w:rsidR="00101675" w:rsidRPr="004E7154">
        <w:rPr>
          <w:rFonts w:ascii="ITC Avant Garde" w:hAnsi="ITC Avant Garde"/>
          <w:bCs/>
          <w:color w:val="000000" w:themeColor="text1"/>
          <w:sz w:val="22"/>
          <w:szCs w:val="22"/>
          <w:lang w:val="es-MX" w:eastAsia="es-MX"/>
        </w:rPr>
        <w:t xml:space="preserve"> </w:t>
      </w:r>
      <w:r w:rsidR="00767895" w:rsidRPr="004E7154">
        <w:rPr>
          <w:rFonts w:ascii="ITC Avant Garde" w:hAnsi="ITC Avant Garde"/>
          <w:bCs/>
          <w:color w:val="000000" w:themeColor="text1"/>
          <w:sz w:val="22"/>
          <w:szCs w:val="22"/>
          <w:lang w:val="es-MX" w:eastAsia="es-MX"/>
        </w:rPr>
        <w:t>de 2017,</w:t>
      </w:r>
      <w:r w:rsidR="003F6851" w:rsidRPr="004E7154">
        <w:rPr>
          <w:rFonts w:ascii="ITC Avant Garde" w:hAnsi="ITC Avant Garde"/>
          <w:bCs/>
          <w:color w:val="000000" w:themeColor="text1"/>
          <w:sz w:val="22"/>
          <w:szCs w:val="22"/>
          <w:lang w:val="es-MX" w:eastAsia="es-MX"/>
        </w:rPr>
        <w:t xml:space="preserve"> </w:t>
      </w:r>
      <w:r w:rsidR="00767895" w:rsidRPr="004E7154">
        <w:rPr>
          <w:rFonts w:ascii="ITC Avant Garde" w:hAnsi="ITC Avant Garde"/>
          <w:bCs/>
          <w:color w:val="000000" w:themeColor="text1"/>
          <w:sz w:val="22"/>
          <w:szCs w:val="22"/>
          <w:lang w:val="es-MX" w:eastAsia="es-MX"/>
        </w:rPr>
        <w:t>la Unidad de Concesiones y Servicios</w:t>
      </w:r>
      <w:r w:rsidR="005D3DC0" w:rsidRPr="004E7154">
        <w:rPr>
          <w:rFonts w:ascii="ITC Avant Garde" w:hAnsi="ITC Avant Garde"/>
          <w:bCs/>
          <w:color w:val="000000" w:themeColor="text1"/>
          <w:sz w:val="22"/>
          <w:szCs w:val="22"/>
          <w:lang w:val="es-MX" w:eastAsia="es-MX"/>
        </w:rPr>
        <w:t xml:space="preserve"> del Instituto</w:t>
      </w:r>
      <w:r w:rsidR="00767895" w:rsidRPr="004E7154">
        <w:rPr>
          <w:rFonts w:ascii="ITC Avant Garde" w:hAnsi="ITC Avant Garde"/>
          <w:bCs/>
          <w:color w:val="000000" w:themeColor="text1"/>
          <w:sz w:val="22"/>
          <w:szCs w:val="22"/>
          <w:lang w:val="es-MX" w:eastAsia="es-MX"/>
        </w:rPr>
        <w:t xml:space="preserve"> solicitó</w:t>
      </w:r>
      <w:r w:rsidR="005D3DC0" w:rsidRPr="004E7154">
        <w:rPr>
          <w:rFonts w:ascii="ITC Avant Garde" w:hAnsi="ITC Avant Garde"/>
          <w:bCs/>
          <w:color w:val="000000" w:themeColor="text1"/>
          <w:sz w:val="22"/>
          <w:szCs w:val="22"/>
          <w:lang w:val="es-MX" w:eastAsia="es-MX"/>
        </w:rPr>
        <w:t xml:space="preserve"> a la Secretaría,</w:t>
      </w:r>
      <w:r w:rsidR="00767895" w:rsidRPr="004E7154">
        <w:rPr>
          <w:rFonts w:ascii="ITC Avant Garde" w:hAnsi="ITC Avant Garde"/>
          <w:bCs/>
          <w:color w:val="000000" w:themeColor="text1"/>
          <w:sz w:val="22"/>
          <w:szCs w:val="22"/>
          <w:lang w:val="es-MX" w:eastAsia="es-MX"/>
        </w:rPr>
        <w:t xml:space="preserve"> en términos del artículo 28 párrafo décimo séptimo de la Constitución Política de los Estados Unidos Mexicanos</w:t>
      </w:r>
      <w:r w:rsidR="00086E86" w:rsidRPr="004E7154">
        <w:rPr>
          <w:rFonts w:ascii="ITC Avant Garde" w:hAnsi="ITC Avant Garde"/>
          <w:bCs/>
          <w:color w:val="000000" w:themeColor="text1"/>
          <w:sz w:val="22"/>
          <w:szCs w:val="22"/>
          <w:lang w:val="es-MX" w:eastAsia="es-MX"/>
        </w:rPr>
        <w:t xml:space="preserve"> (la “Constitución”)</w:t>
      </w:r>
      <w:r w:rsidR="004C4FCE" w:rsidRPr="004E7154">
        <w:rPr>
          <w:rFonts w:ascii="ITC Avant Garde" w:hAnsi="ITC Avant Garde"/>
          <w:bCs/>
          <w:color w:val="000000" w:themeColor="text1"/>
          <w:sz w:val="22"/>
          <w:szCs w:val="22"/>
          <w:lang w:val="es-MX" w:eastAsia="es-MX"/>
        </w:rPr>
        <w:t xml:space="preserve"> y la Ley Federal de Telecomunicaciones y Radiodifusión</w:t>
      </w:r>
      <w:r w:rsidR="003A6994" w:rsidRPr="004E7154">
        <w:rPr>
          <w:rFonts w:ascii="ITC Avant Garde" w:hAnsi="ITC Avant Garde"/>
          <w:bCs/>
          <w:color w:val="000000" w:themeColor="text1"/>
          <w:sz w:val="22"/>
          <w:szCs w:val="22"/>
          <w:lang w:val="es-MX" w:eastAsia="es-MX"/>
        </w:rPr>
        <w:t xml:space="preserve"> (la “Ley”)</w:t>
      </w:r>
      <w:r w:rsidR="00767895" w:rsidRPr="004E7154">
        <w:rPr>
          <w:rFonts w:ascii="ITC Avant Garde" w:hAnsi="ITC Avant Garde"/>
          <w:bCs/>
          <w:color w:val="000000" w:themeColor="text1"/>
          <w:sz w:val="22"/>
          <w:szCs w:val="22"/>
          <w:lang w:val="es-MX" w:eastAsia="es-MX"/>
        </w:rPr>
        <w:t xml:space="preserve">, </w:t>
      </w:r>
      <w:r w:rsidR="005D3DC0" w:rsidRPr="004E7154">
        <w:rPr>
          <w:rFonts w:ascii="ITC Avant Garde" w:hAnsi="ITC Avant Garde"/>
          <w:bCs/>
          <w:color w:val="000000" w:themeColor="text1"/>
          <w:sz w:val="22"/>
          <w:szCs w:val="22"/>
          <w:lang w:val="es-MX" w:eastAsia="es-MX"/>
        </w:rPr>
        <w:t>la o</w:t>
      </w:r>
      <w:r w:rsidR="00767895" w:rsidRPr="004E7154">
        <w:rPr>
          <w:rFonts w:ascii="ITC Avant Garde" w:hAnsi="ITC Avant Garde"/>
          <w:bCs/>
          <w:color w:val="000000" w:themeColor="text1"/>
          <w:sz w:val="22"/>
          <w:szCs w:val="22"/>
          <w:lang w:val="es-MX" w:eastAsia="es-MX"/>
        </w:rPr>
        <w:t xml:space="preserve">pinión técnica </w:t>
      </w:r>
      <w:r w:rsidR="005D3DC0" w:rsidRPr="004E7154">
        <w:rPr>
          <w:rFonts w:ascii="ITC Avant Garde" w:hAnsi="ITC Avant Garde"/>
          <w:bCs/>
          <w:color w:val="000000" w:themeColor="text1"/>
          <w:sz w:val="22"/>
          <w:szCs w:val="22"/>
          <w:lang w:val="es-MX" w:eastAsia="es-MX"/>
        </w:rPr>
        <w:t xml:space="preserve">que estimara procedente </w:t>
      </w:r>
      <w:r w:rsidR="006937BC" w:rsidRPr="004E7154">
        <w:rPr>
          <w:rFonts w:ascii="ITC Avant Garde" w:hAnsi="ITC Avant Garde"/>
          <w:bCs/>
          <w:color w:val="000000" w:themeColor="text1"/>
          <w:sz w:val="22"/>
          <w:szCs w:val="22"/>
          <w:lang w:val="es-MX" w:eastAsia="es-MX"/>
        </w:rPr>
        <w:t xml:space="preserve">respecto </w:t>
      </w:r>
      <w:r w:rsidR="004C4FCE" w:rsidRPr="004E7154">
        <w:rPr>
          <w:rFonts w:ascii="ITC Avant Garde" w:hAnsi="ITC Avant Garde"/>
          <w:bCs/>
          <w:color w:val="000000" w:themeColor="text1"/>
          <w:sz w:val="22"/>
          <w:szCs w:val="22"/>
          <w:lang w:val="es-MX" w:eastAsia="es-MX"/>
        </w:rPr>
        <w:t xml:space="preserve">de </w:t>
      </w:r>
      <w:r w:rsidR="006937BC" w:rsidRPr="004E7154">
        <w:rPr>
          <w:rFonts w:ascii="ITC Avant Garde" w:hAnsi="ITC Avant Garde"/>
          <w:bCs/>
          <w:color w:val="000000" w:themeColor="text1"/>
          <w:sz w:val="22"/>
          <w:szCs w:val="22"/>
          <w:lang w:val="es-MX" w:eastAsia="es-MX"/>
        </w:rPr>
        <w:t xml:space="preserve">la Solicitud de </w:t>
      </w:r>
      <w:r w:rsidR="00E81D15" w:rsidRPr="004E7154">
        <w:rPr>
          <w:rFonts w:ascii="ITC Avant Garde" w:hAnsi="ITC Avant Garde"/>
          <w:bCs/>
          <w:color w:val="000000" w:themeColor="text1"/>
          <w:sz w:val="22"/>
          <w:szCs w:val="22"/>
          <w:lang w:val="es-MX" w:eastAsia="es-MX"/>
        </w:rPr>
        <w:t>Enajenación</w:t>
      </w:r>
      <w:r w:rsidR="006937BC" w:rsidRPr="004E7154">
        <w:rPr>
          <w:rFonts w:ascii="ITC Avant Garde" w:hAnsi="ITC Avant Garde"/>
          <w:bCs/>
          <w:color w:val="000000" w:themeColor="text1"/>
          <w:sz w:val="22"/>
          <w:szCs w:val="22"/>
          <w:lang w:val="es-MX" w:eastAsia="es-MX"/>
        </w:rPr>
        <w:t xml:space="preserve"> de Acciones.</w:t>
      </w:r>
    </w:p>
    <w:p w14:paraId="3DFFFA2E" w14:textId="77777777" w:rsidR="004E7154" w:rsidRPr="004E7154" w:rsidRDefault="002E4893" w:rsidP="004E7154">
      <w:pPr>
        <w:pStyle w:val="Prrafodelista"/>
        <w:numPr>
          <w:ilvl w:val="0"/>
          <w:numId w:val="29"/>
        </w:numPr>
        <w:spacing w:before="240" w:after="240"/>
        <w:ind w:left="567" w:hanging="567"/>
        <w:jc w:val="both"/>
        <w:rPr>
          <w:rFonts w:ascii="ITC Avant Garde" w:hAnsi="ITC Avant Garde" w:cs="Arial"/>
          <w:bCs/>
          <w:color w:val="000000" w:themeColor="text1"/>
          <w:sz w:val="22"/>
          <w:szCs w:val="22"/>
          <w:shd w:val="clear" w:color="auto" w:fill="FFFFFF"/>
        </w:rPr>
      </w:pPr>
      <w:r w:rsidRPr="004E7154">
        <w:rPr>
          <w:rFonts w:ascii="ITC Avant Garde" w:hAnsi="ITC Avant Garde" w:cs="Arial"/>
          <w:b/>
          <w:bCs/>
          <w:color w:val="000000" w:themeColor="text1"/>
          <w:sz w:val="22"/>
          <w:szCs w:val="22"/>
          <w:shd w:val="clear" w:color="auto" w:fill="FFFFFF"/>
        </w:rPr>
        <w:t xml:space="preserve">Solicitud de </w:t>
      </w:r>
      <w:r w:rsidR="004C4FCE" w:rsidRPr="004E7154">
        <w:rPr>
          <w:rFonts w:ascii="ITC Avant Garde" w:hAnsi="ITC Avant Garde" w:cs="Arial"/>
          <w:b/>
          <w:bCs/>
          <w:color w:val="000000" w:themeColor="text1"/>
          <w:sz w:val="22"/>
          <w:szCs w:val="22"/>
          <w:shd w:val="clear" w:color="auto" w:fill="FFFFFF"/>
        </w:rPr>
        <w:t>O</w:t>
      </w:r>
      <w:r w:rsidR="00FE0039" w:rsidRPr="004E7154">
        <w:rPr>
          <w:rFonts w:ascii="ITC Avant Garde" w:hAnsi="ITC Avant Garde" w:cs="Arial"/>
          <w:b/>
          <w:bCs/>
          <w:color w:val="000000" w:themeColor="text1"/>
          <w:sz w:val="22"/>
          <w:szCs w:val="22"/>
          <w:shd w:val="clear" w:color="auto" w:fill="FFFFFF"/>
        </w:rPr>
        <w:t xml:space="preserve">pinión </w:t>
      </w:r>
      <w:r w:rsidRPr="004E7154">
        <w:rPr>
          <w:rFonts w:ascii="ITC Avant Garde" w:hAnsi="ITC Avant Garde" w:cs="Arial"/>
          <w:b/>
          <w:bCs/>
          <w:color w:val="000000" w:themeColor="text1"/>
          <w:sz w:val="22"/>
          <w:szCs w:val="22"/>
          <w:shd w:val="clear" w:color="auto" w:fill="FFFFFF"/>
        </w:rPr>
        <w:t>en materia de competencia económica.</w:t>
      </w:r>
      <w:r w:rsidRPr="004E7154">
        <w:rPr>
          <w:rFonts w:ascii="ITC Avant Garde" w:hAnsi="ITC Avant Garde" w:cs="Arial"/>
          <w:bCs/>
          <w:color w:val="000000" w:themeColor="text1"/>
          <w:sz w:val="22"/>
          <w:szCs w:val="22"/>
          <w:shd w:val="clear" w:color="auto" w:fill="FFFFFF"/>
        </w:rPr>
        <w:t xml:space="preserve"> </w:t>
      </w:r>
      <w:r w:rsidR="00E173D2" w:rsidRPr="004E7154">
        <w:rPr>
          <w:rFonts w:ascii="ITC Avant Garde" w:hAnsi="ITC Avant Garde" w:cs="Arial"/>
          <w:bCs/>
          <w:color w:val="000000" w:themeColor="text1"/>
          <w:sz w:val="22"/>
          <w:szCs w:val="22"/>
          <w:shd w:val="clear" w:color="auto" w:fill="FFFFFF"/>
        </w:rPr>
        <w:t>Mediante oficio IFT</w:t>
      </w:r>
      <w:r w:rsidR="00554DAF" w:rsidRPr="004E7154">
        <w:rPr>
          <w:rFonts w:ascii="ITC Avant Garde" w:hAnsi="ITC Avant Garde" w:cs="Arial"/>
          <w:bCs/>
          <w:color w:val="000000" w:themeColor="text1"/>
          <w:sz w:val="22"/>
          <w:szCs w:val="22"/>
          <w:shd w:val="clear" w:color="auto" w:fill="FFFFFF"/>
        </w:rPr>
        <w:t>/223/UCS/DG-CTEL/</w:t>
      </w:r>
      <w:r w:rsidR="00F11874" w:rsidRPr="004E7154">
        <w:rPr>
          <w:rFonts w:ascii="ITC Avant Garde" w:hAnsi="ITC Avant Garde" w:cs="Arial"/>
          <w:bCs/>
          <w:color w:val="000000" w:themeColor="text1"/>
          <w:sz w:val="22"/>
          <w:szCs w:val="22"/>
          <w:shd w:val="clear" w:color="auto" w:fill="FFFFFF"/>
        </w:rPr>
        <w:t>1158</w:t>
      </w:r>
      <w:r w:rsidR="00321599" w:rsidRPr="004E7154">
        <w:rPr>
          <w:rFonts w:ascii="ITC Avant Garde" w:hAnsi="ITC Avant Garde" w:cs="Arial"/>
          <w:bCs/>
          <w:color w:val="000000" w:themeColor="text1"/>
          <w:sz w:val="22"/>
          <w:szCs w:val="22"/>
          <w:shd w:val="clear" w:color="auto" w:fill="FFFFFF"/>
        </w:rPr>
        <w:t xml:space="preserve">/2017, </w:t>
      </w:r>
      <w:r w:rsidR="00B46956" w:rsidRPr="004E7154">
        <w:rPr>
          <w:rFonts w:ascii="ITC Avant Garde" w:hAnsi="ITC Avant Garde" w:cs="Arial"/>
          <w:bCs/>
          <w:color w:val="000000" w:themeColor="text1"/>
          <w:sz w:val="22"/>
          <w:szCs w:val="22"/>
          <w:shd w:val="clear" w:color="auto" w:fill="FFFFFF"/>
        </w:rPr>
        <w:t>notificado el</w:t>
      </w:r>
      <w:r w:rsidR="00321599" w:rsidRPr="004E7154">
        <w:rPr>
          <w:rFonts w:ascii="ITC Avant Garde" w:hAnsi="ITC Avant Garde" w:cs="Arial"/>
          <w:bCs/>
          <w:color w:val="000000" w:themeColor="text1"/>
          <w:sz w:val="22"/>
          <w:szCs w:val="22"/>
          <w:shd w:val="clear" w:color="auto" w:fill="FFFFFF"/>
        </w:rPr>
        <w:t xml:space="preserve"> </w:t>
      </w:r>
      <w:r w:rsidR="004914C7" w:rsidRPr="004E7154">
        <w:rPr>
          <w:rFonts w:ascii="ITC Avant Garde" w:hAnsi="ITC Avant Garde" w:cs="Arial"/>
          <w:bCs/>
          <w:color w:val="000000" w:themeColor="text1"/>
          <w:sz w:val="22"/>
          <w:szCs w:val="22"/>
          <w:shd w:val="clear" w:color="auto" w:fill="FFFFFF"/>
        </w:rPr>
        <w:t>2</w:t>
      </w:r>
      <w:r w:rsidRPr="004E7154">
        <w:rPr>
          <w:rFonts w:ascii="ITC Avant Garde" w:hAnsi="ITC Avant Garde" w:cs="Arial"/>
          <w:bCs/>
          <w:color w:val="000000" w:themeColor="text1"/>
          <w:sz w:val="22"/>
          <w:szCs w:val="22"/>
          <w:shd w:val="clear" w:color="auto" w:fill="FFFFFF"/>
        </w:rPr>
        <w:t xml:space="preserve"> de </w:t>
      </w:r>
      <w:r w:rsidR="00B46956" w:rsidRPr="004E7154">
        <w:rPr>
          <w:rFonts w:ascii="ITC Avant Garde" w:hAnsi="ITC Avant Garde" w:cs="Arial"/>
          <w:bCs/>
          <w:color w:val="000000" w:themeColor="text1"/>
          <w:sz w:val="22"/>
          <w:szCs w:val="22"/>
          <w:shd w:val="clear" w:color="auto" w:fill="FFFFFF"/>
        </w:rPr>
        <w:t>junio</w:t>
      </w:r>
      <w:r w:rsidRPr="004E7154">
        <w:rPr>
          <w:rFonts w:ascii="ITC Avant Garde" w:hAnsi="ITC Avant Garde" w:cs="Arial"/>
          <w:bCs/>
          <w:color w:val="000000" w:themeColor="text1"/>
          <w:sz w:val="22"/>
          <w:szCs w:val="22"/>
          <w:shd w:val="clear" w:color="auto" w:fill="FFFFFF"/>
        </w:rPr>
        <w:t xml:space="preserve"> de 2017, la Dirección General de Concesiones de Telecomunicaciones, adscrita a la Unidad de Concesiones y Servicios del Instituto, solicitó a la Dirección General de Concentraciones y Concesiones de la Unidad de Competencia Económica</w:t>
      </w:r>
      <w:r w:rsidR="00851DB5" w:rsidRPr="004E7154">
        <w:rPr>
          <w:rFonts w:ascii="ITC Avant Garde" w:hAnsi="ITC Avant Garde" w:cs="Arial"/>
          <w:bCs/>
          <w:color w:val="000000" w:themeColor="text1"/>
          <w:sz w:val="22"/>
          <w:szCs w:val="22"/>
          <w:shd w:val="clear" w:color="auto" w:fill="FFFFFF"/>
        </w:rPr>
        <w:t>,</w:t>
      </w:r>
      <w:r w:rsidRPr="004E7154">
        <w:rPr>
          <w:rFonts w:ascii="ITC Avant Garde" w:hAnsi="ITC Avant Garde" w:cs="Arial"/>
          <w:bCs/>
          <w:color w:val="000000" w:themeColor="text1"/>
          <w:sz w:val="22"/>
          <w:szCs w:val="22"/>
          <w:shd w:val="clear" w:color="auto" w:fill="FFFFFF"/>
        </w:rPr>
        <w:t xml:space="preserve"> </w:t>
      </w:r>
      <w:r w:rsidR="00554DAF" w:rsidRPr="004E7154">
        <w:rPr>
          <w:rFonts w:ascii="ITC Avant Garde" w:hAnsi="ITC Avant Garde" w:cs="Arial"/>
          <w:bCs/>
          <w:color w:val="000000" w:themeColor="text1"/>
          <w:sz w:val="22"/>
          <w:szCs w:val="22"/>
          <w:shd w:val="clear" w:color="auto" w:fill="FFFFFF"/>
        </w:rPr>
        <w:t>emitir</w:t>
      </w:r>
      <w:r w:rsidRPr="004E7154">
        <w:rPr>
          <w:rFonts w:ascii="ITC Avant Garde" w:hAnsi="ITC Avant Garde" w:cs="Arial"/>
          <w:bCs/>
          <w:color w:val="000000" w:themeColor="text1"/>
          <w:sz w:val="22"/>
          <w:szCs w:val="22"/>
          <w:shd w:val="clear" w:color="auto" w:fill="FFFFFF"/>
        </w:rPr>
        <w:t xml:space="preserve"> opinión</w:t>
      </w:r>
      <w:r w:rsidR="00554DAF" w:rsidRPr="004E7154">
        <w:rPr>
          <w:rFonts w:ascii="ITC Avant Garde" w:hAnsi="ITC Avant Garde" w:cs="Arial"/>
          <w:bCs/>
          <w:color w:val="000000" w:themeColor="text1"/>
          <w:sz w:val="22"/>
          <w:szCs w:val="22"/>
          <w:shd w:val="clear" w:color="auto" w:fill="FFFFFF"/>
        </w:rPr>
        <w:t xml:space="preserve"> respecto </w:t>
      </w:r>
      <w:r w:rsidR="004C4FCE" w:rsidRPr="004E7154">
        <w:rPr>
          <w:rFonts w:ascii="ITC Avant Garde" w:hAnsi="ITC Avant Garde" w:cs="Arial"/>
          <w:bCs/>
          <w:color w:val="000000" w:themeColor="text1"/>
          <w:sz w:val="22"/>
          <w:szCs w:val="22"/>
          <w:shd w:val="clear" w:color="auto" w:fill="FFFFFF"/>
        </w:rPr>
        <w:t xml:space="preserve">de </w:t>
      </w:r>
      <w:r w:rsidR="00554DAF" w:rsidRPr="004E7154">
        <w:rPr>
          <w:rFonts w:ascii="ITC Avant Garde" w:hAnsi="ITC Avant Garde" w:cs="Arial"/>
          <w:bCs/>
          <w:color w:val="000000" w:themeColor="text1"/>
          <w:sz w:val="22"/>
          <w:szCs w:val="22"/>
          <w:shd w:val="clear" w:color="auto" w:fill="FFFFFF"/>
        </w:rPr>
        <w:t xml:space="preserve">la Solicitud de </w:t>
      </w:r>
      <w:r w:rsidR="00F11874" w:rsidRPr="004E7154">
        <w:rPr>
          <w:rFonts w:ascii="ITC Avant Garde" w:hAnsi="ITC Avant Garde"/>
          <w:bCs/>
          <w:color w:val="000000" w:themeColor="text1"/>
          <w:sz w:val="22"/>
          <w:szCs w:val="22"/>
          <w:lang w:val="es-MX" w:eastAsia="es-MX"/>
        </w:rPr>
        <w:t>Enajenación</w:t>
      </w:r>
      <w:r w:rsidR="00554DAF" w:rsidRPr="004E7154">
        <w:rPr>
          <w:rFonts w:ascii="ITC Avant Garde" w:hAnsi="ITC Avant Garde" w:cs="Arial"/>
          <w:bCs/>
          <w:color w:val="000000" w:themeColor="text1"/>
          <w:sz w:val="22"/>
          <w:szCs w:val="22"/>
          <w:shd w:val="clear" w:color="auto" w:fill="FFFFFF"/>
        </w:rPr>
        <w:t xml:space="preserve"> de Acciones.</w:t>
      </w:r>
    </w:p>
    <w:p w14:paraId="0E4BCBB1" w14:textId="77777777" w:rsidR="004E7154" w:rsidRPr="004E7154" w:rsidRDefault="00404CCE" w:rsidP="004E7154">
      <w:pPr>
        <w:pStyle w:val="Prrafodelista"/>
        <w:numPr>
          <w:ilvl w:val="0"/>
          <w:numId w:val="29"/>
        </w:numPr>
        <w:spacing w:before="240" w:after="240"/>
        <w:ind w:left="567" w:hanging="567"/>
        <w:jc w:val="both"/>
        <w:rPr>
          <w:rFonts w:ascii="ITC Avant Garde" w:hAnsi="ITC Avant Garde" w:cs="Arial"/>
          <w:bCs/>
          <w:color w:val="000000" w:themeColor="text1"/>
          <w:sz w:val="22"/>
          <w:szCs w:val="22"/>
          <w:shd w:val="clear" w:color="auto" w:fill="FFFFFF"/>
        </w:rPr>
      </w:pPr>
      <w:r w:rsidRPr="004E7154">
        <w:rPr>
          <w:rFonts w:ascii="ITC Avant Garde" w:hAnsi="ITC Avant Garde" w:cs="Arial"/>
          <w:b/>
          <w:bCs/>
          <w:color w:val="000000" w:themeColor="text1"/>
          <w:sz w:val="22"/>
          <w:szCs w:val="22"/>
          <w:shd w:val="clear" w:color="auto" w:fill="FFFFFF"/>
        </w:rPr>
        <w:t>Opinión en materia de competencia económica.</w:t>
      </w:r>
      <w:r w:rsidRPr="004E7154">
        <w:rPr>
          <w:rFonts w:ascii="ITC Avant Garde" w:hAnsi="ITC Avant Garde" w:cs="Arial"/>
          <w:bCs/>
          <w:color w:val="000000" w:themeColor="text1"/>
          <w:sz w:val="22"/>
          <w:szCs w:val="22"/>
          <w:shd w:val="clear" w:color="auto" w:fill="FFFFFF"/>
        </w:rPr>
        <w:t xml:space="preserve"> Con oficio IFT/226/UCE/DG-CCON/</w:t>
      </w:r>
      <w:r w:rsidR="00C80389" w:rsidRPr="004E7154">
        <w:rPr>
          <w:rFonts w:ascii="ITC Avant Garde" w:hAnsi="ITC Avant Garde" w:cs="Arial"/>
          <w:bCs/>
          <w:color w:val="000000" w:themeColor="text1"/>
          <w:sz w:val="22"/>
          <w:szCs w:val="22"/>
          <w:shd w:val="clear" w:color="auto" w:fill="FFFFFF"/>
        </w:rPr>
        <w:t>47</w:t>
      </w:r>
      <w:r w:rsidR="005A6BE1" w:rsidRPr="004E7154">
        <w:rPr>
          <w:rFonts w:ascii="ITC Avant Garde" w:hAnsi="ITC Avant Garde" w:cs="Arial"/>
          <w:bCs/>
          <w:color w:val="000000" w:themeColor="text1"/>
          <w:sz w:val="22"/>
          <w:szCs w:val="22"/>
          <w:shd w:val="clear" w:color="auto" w:fill="FFFFFF"/>
        </w:rPr>
        <w:t>2</w:t>
      </w:r>
      <w:r w:rsidRPr="004E7154">
        <w:rPr>
          <w:rFonts w:ascii="ITC Avant Garde" w:hAnsi="ITC Avant Garde" w:cs="Arial"/>
          <w:bCs/>
          <w:color w:val="000000" w:themeColor="text1"/>
          <w:sz w:val="22"/>
          <w:szCs w:val="22"/>
          <w:shd w:val="clear" w:color="auto" w:fill="FFFFFF"/>
        </w:rPr>
        <w:t xml:space="preserve">/2017 de fecha </w:t>
      </w:r>
      <w:r w:rsidR="005A6BE1" w:rsidRPr="004E7154">
        <w:rPr>
          <w:rFonts w:ascii="ITC Avant Garde" w:hAnsi="ITC Avant Garde" w:cs="Arial"/>
          <w:bCs/>
          <w:color w:val="000000" w:themeColor="text1"/>
          <w:sz w:val="22"/>
          <w:szCs w:val="22"/>
          <w:shd w:val="clear" w:color="auto" w:fill="FFFFFF"/>
        </w:rPr>
        <w:t xml:space="preserve">3 de julio </w:t>
      </w:r>
      <w:r w:rsidRPr="004E7154">
        <w:rPr>
          <w:rFonts w:ascii="ITC Avant Garde" w:hAnsi="ITC Avant Garde" w:cs="Arial"/>
          <w:bCs/>
          <w:color w:val="000000" w:themeColor="text1"/>
          <w:sz w:val="22"/>
          <w:szCs w:val="22"/>
          <w:shd w:val="clear" w:color="auto" w:fill="FFFFFF"/>
        </w:rPr>
        <w:t>de 2017, la Dirección General de Concentraciones y Concesiones de la Unidad de Competencia Económica emitió la opinión correspondiente</w:t>
      </w:r>
      <w:r w:rsidR="0087638B" w:rsidRPr="004E7154">
        <w:rPr>
          <w:rFonts w:ascii="ITC Avant Garde" w:hAnsi="ITC Avant Garde" w:cs="Arial"/>
          <w:bCs/>
          <w:color w:val="000000" w:themeColor="text1"/>
          <w:sz w:val="22"/>
          <w:szCs w:val="22"/>
          <w:shd w:val="clear" w:color="auto" w:fill="FFFFFF"/>
        </w:rPr>
        <w:t>,</w:t>
      </w:r>
      <w:r w:rsidRPr="004E7154">
        <w:rPr>
          <w:rFonts w:ascii="ITC Avant Garde" w:hAnsi="ITC Avant Garde" w:cs="Arial"/>
          <w:bCs/>
          <w:color w:val="000000" w:themeColor="text1"/>
          <w:sz w:val="22"/>
          <w:szCs w:val="22"/>
          <w:shd w:val="clear" w:color="auto" w:fill="FFFFFF"/>
        </w:rPr>
        <w:t xml:space="preserve"> en sentido favorable.</w:t>
      </w:r>
    </w:p>
    <w:p w14:paraId="6FF0E890" w14:textId="77777777" w:rsidR="004E7154" w:rsidRPr="004E7154" w:rsidRDefault="0091136C" w:rsidP="004E7154">
      <w:pPr>
        <w:pStyle w:val="Prrafodelista"/>
        <w:numPr>
          <w:ilvl w:val="0"/>
          <w:numId w:val="29"/>
        </w:numPr>
        <w:spacing w:before="240" w:after="240"/>
        <w:ind w:left="567" w:hanging="567"/>
        <w:jc w:val="both"/>
        <w:rPr>
          <w:rFonts w:ascii="ITC Avant Garde" w:hAnsi="ITC Avant Garde" w:cs="Arial"/>
          <w:bCs/>
          <w:color w:val="000000" w:themeColor="text1"/>
          <w:sz w:val="22"/>
          <w:szCs w:val="22"/>
          <w:shd w:val="clear" w:color="auto" w:fill="FFFFFF"/>
        </w:rPr>
      </w:pPr>
      <w:r w:rsidRPr="004E7154">
        <w:rPr>
          <w:rFonts w:ascii="ITC Avant Garde" w:hAnsi="ITC Avant Garde"/>
          <w:b/>
          <w:bCs/>
          <w:color w:val="000000" w:themeColor="text1"/>
          <w:sz w:val="22"/>
          <w:szCs w:val="22"/>
          <w:lang w:eastAsia="es-MX"/>
        </w:rPr>
        <w:t xml:space="preserve">Opinión Técnica de la Secretaría. </w:t>
      </w:r>
      <w:r w:rsidRPr="004E7154">
        <w:rPr>
          <w:rFonts w:ascii="ITC Avant Garde" w:hAnsi="ITC Avant Garde"/>
          <w:bCs/>
          <w:color w:val="000000" w:themeColor="text1"/>
          <w:sz w:val="22"/>
          <w:szCs w:val="22"/>
          <w:lang w:eastAsia="es-MX"/>
        </w:rPr>
        <w:t xml:space="preserve">El 4 de julio de 2017, mediante oficio 2.1.-236/2017 la Dirección General de Política de Telecomunicaciones y de Radiodifusión de la Secretaría, remitió al Instituto el oficio 1.-151 de fecha 4 de julio de 2017, con la opinión técnica de dicha Dependencia respecto </w:t>
      </w:r>
      <w:r w:rsidR="004C4FCE" w:rsidRPr="004E7154">
        <w:rPr>
          <w:rFonts w:ascii="ITC Avant Garde" w:hAnsi="ITC Avant Garde"/>
          <w:bCs/>
          <w:color w:val="000000" w:themeColor="text1"/>
          <w:sz w:val="22"/>
          <w:szCs w:val="22"/>
          <w:lang w:eastAsia="es-MX"/>
        </w:rPr>
        <w:t xml:space="preserve">de </w:t>
      </w:r>
      <w:r w:rsidRPr="004E7154">
        <w:rPr>
          <w:rFonts w:ascii="ITC Avant Garde" w:hAnsi="ITC Avant Garde"/>
          <w:bCs/>
          <w:color w:val="000000" w:themeColor="text1"/>
          <w:sz w:val="22"/>
          <w:szCs w:val="22"/>
          <w:lang w:eastAsia="es-MX"/>
        </w:rPr>
        <w:t>la Solicitud de Enajenación de Acciones.</w:t>
      </w:r>
    </w:p>
    <w:p w14:paraId="6A8B7A0E" w14:textId="0CD20405" w:rsidR="00F80A22" w:rsidRPr="004E7154" w:rsidRDefault="00067854" w:rsidP="004E7154">
      <w:pPr>
        <w:spacing w:before="240" w:after="240"/>
        <w:jc w:val="both"/>
        <w:rPr>
          <w:rFonts w:ascii="ITC Avant Garde" w:hAnsi="ITC Avant Garde"/>
          <w:bCs/>
          <w:color w:val="000000" w:themeColor="text1"/>
          <w:sz w:val="22"/>
          <w:szCs w:val="22"/>
          <w:lang w:val="es-MX" w:eastAsia="es-MX"/>
        </w:rPr>
      </w:pPr>
      <w:r w:rsidRPr="004E7154">
        <w:rPr>
          <w:rFonts w:ascii="ITC Avant Garde" w:hAnsi="ITC Avant Garde"/>
          <w:bCs/>
          <w:color w:val="000000" w:themeColor="text1"/>
          <w:sz w:val="22"/>
          <w:szCs w:val="22"/>
          <w:lang w:val="es-MX" w:eastAsia="es-MX"/>
        </w:rPr>
        <w:t>En virtud de los Antecedentes referidos</w:t>
      </w:r>
      <w:r w:rsidR="00C25EEB" w:rsidRPr="004E7154">
        <w:rPr>
          <w:rFonts w:ascii="ITC Avant Garde" w:hAnsi="ITC Avant Garde"/>
          <w:bCs/>
          <w:color w:val="000000" w:themeColor="text1"/>
          <w:sz w:val="22"/>
          <w:szCs w:val="22"/>
          <w:lang w:val="es-MX" w:eastAsia="es-MX"/>
        </w:rPr>
        <w:t>,</w:t>
      </w:r>
      <w:r w:rsidRPr="004E7154">
        <w:rPr>
          <w:rFonts w:ascii="ITC Avant Garde" w:hAnsi="ITC Avant Garde"/>
          <w:bCs/>
          <w:color w:val="000000" w:themeColor="text1"/>
          <w:sz w:val="22"/>
          <w:szCs w:val="22"/>
          <w:lang w:val="es-MX" w:eastAsia="es-MX"/>
        </w:rPr>
        <w:t xml:space="preserve"> y</w:t>
      </w:r>
    </w:p>
    <w:p w14:paraId="6F5E8DF9" w14:textId="77777777" w:rsidR="004E7154" w:rsidRPr="004E7154" w:rsidRDefault="00F80A22" w:rsidP="00927C6B">
      <w:pPr>
        <w:pStyle w:val="Ttulo2"/>
        <w:keepLines/>
        <w:spacing w:before="40" w:after="240" w:line="276" w:lineRule="auto"/>
        <w:ind w:firstLine="0"/>
        <w:jc w:val="center"/>
        <w:rPr>
          <w:rFonts w:ascii="ITC Avant Garde" w:hAnsi="ITC Avant Garde"/>
          <w:b w:val="0"/>
          <w:bCs/>
          <w:color w:val="000000" w:themeColor="text1"/>
          <w:sz w:val="22"/>
          <w:szCs w:val="22"/>
        </w:rPr>
      </w:pPr>
      <w:r w:rsidRPr="00927C6B">
        <w:rPr>
          <w:rFonts w:ascii="ITC Avant Garde" w:eastAsiaTheme="majorEastAsia" w:hAnsi="ITC Avant Garde" w:cstheme="majorBidi"/>
          <w:color w:val="000000" w:themeColor="text1"/>
          <w:sz w:val="22"/>
          <w:szCs w:val="22"/>
          <w:lang w:eastAsia="en-US"/>
        </w:rPr>
        <w:t>CONSIDERANDO</w:t>
      </w:r>
    </w:p>
    <w:p w14:paraId="2DE5EDFA" w14:textId="0816D7B9"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rPr>
        <w:t>Primero.-</w:t>
      </w:r>
      <w:r w:rsidRPr="004E7154">
        <w:rPr>
          <w:rFonts w:ascii="ITC Avant Garde" w:hAnsi="ITC Avant Garde"/>
          <w:bCs/>
          <w:color w:val="000000" w:themeColor="text1"/>
          <w:sz w:val="22"/>
          <w:szCs w:val="22"/>
        </w:rPr>
        <w:t xml:space="preserve"> </w:t>
      </w:r>
      <w:r w:rsidRPr="004E7154">
        <w:rPr>
          <w:rFonts w:ascii="ITC Avant Garde" w:hAnsi="ITC Avant Garde"/>
          <w:b/>
          <w:bCs/>
          <w:color w:val="000000" w:themeColor="text1"/>
          <w:sz w:val="22"/>
          <w:szCs w:val="22"/>
        </w:rPr>
        <w:t>Competencia.</w:t>
      </w:r>
      <w:r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lang w:eastAsia="es-MX"/>
        </w:rPr>
        <w:t>Conforme lo dispone el artículo 28 párrafo décimo séptimo de la Constitución, corresponde al Instituto el otorgamiento, la revocación, así como la autorización de cesiones o cambios de control accionario, titularidad u operación de sociedades relacionadas con concesiones en materia de radiodifusión y telecomunicaciones.</w:t>
      </w:r>
    </w:p>
    <w:p w14:paraId="0EE4A00E"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lang w:eastAsia="es-MX"/>
        </w:rPr>
        <w:t>Asimismo, de conformidad con el párrafo décimo sexto del citado artículo, el Instituto es la autoridad en materia de competencia económica en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w:t>
      </w:r>
      <w:r w:rsidRPr="004E7154">
        <w:rPr>
          <w:rFonts w:ascii="ITC Avant Garde" w:hAnsi="ITC Avant Garde"/>
          <w:bCs/>
          <w:color w:val="000000" w:themeColor="text1"/>
          <w:sz w:val="22"/>
          <w:szCs w:val="22"/>
        </w:rPr>
        <w:t xml:space="preserve"> y telecomunicaciones que sirvan a un mismo mercado </w:t>
      </w:r>
      <w:r w:rsidRPr="004E7154">
        <w:rPr>
          <w:rFonts w:ascii="ITC Avant Garde" w:hAnsi="ITC Avant Garde"/>
          <w:bCs/>
          <w:color w:val="000000" w:themeColor="text1"/>
          <w:sz w:val="22"/>
          <w:szCs w:val="22"/>
        </w:rPr>
        <w:lastRenderedPageBreak/>
        <w:t>o zona de cobertura geográfica, garantizando lo dispuesto en los artículos 6o. y 7o. de la Constitución.</w:t>
      </w:r>
    </w:p>
    <w:p w14:paraId="7EDC116D"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rPr>
        <w:t xml:space="preserve">Ahora bien, </w:t>
      </w:r>
      <w:r w:rsidRPr="004E7154">
        <w:rPr>
          <w:rFonts w:ascii="ITC Avant Garde" w:hAnsi="ITC Avant Garde"/>
          <w:bCs/>
          <w:color w:val="000000" w:themeColor="text1"/>
          <w:sz w:val="22"/>
          <w:szCs w:val="22"/>
          <w:lang w:eastAsia="es-MX"/>
        </w:rPr>
        <w:t>el artículo 112 de la Ley establece que 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w:t>
      </w:r>
      <w:r w:rsidR="00DD1B83" w:rsidRPr="004E7154">
        <w:rPr>
          <w:rFonts w:ascii="ITC Avant Garde" w:hAnsi="ITC Avant Garde"/>
          <w:bCs/>
          <w:color w:val="000000" w:themeColor="text1"/>
          <w:sz w:val="22"/>
          <w:szCs w:val="22"/>
          <w:lang w:eastAsia="es-MX"/>
        </w:rPr>
        <w:t xml:space="preserve"> (la “Ley de Competencia”)</w:t>
      </w:r>
      <w:r w:rsidRPr="004E7154">
        <w:rPr>
          <w:rFonts w:ascii="ITC Avant Garde" w:hAnsi="ITC Avant Garde"/>
          <w:bCs/>
          <w:color w:val="000000" w:themeColor="text1"/>
          <w:sz w:val="22"/>
          <w:szCs w:val="22"/>
          <w:lang w:eastAsia="es-MX"/>
        </w:rPr>
        <w:t>, el concesionario estará obligado a dar aviso al Instituto de la intención de los interesados en realizar la suscripción o enajenación de las acciones o partes sociales, ya sea directa o indirectamente, debiendo acompañar el aviso con la información detallada de las personas interesadas en adquirir las acciones o partes sociales.</w:t>
      </w:r>
    </w:p>
    <w:p w14:paraId="132C3430"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lang w:eastAsia="es-MX"/>
        </w:rPr>
        <w:t xml:space="preserve">De igual manera, corresponde al Pleno del Instituto conforme a lo establecido en los artículos 15 fracción IV y 17 </w:t>
      </w:r>
      <w:proofErr w:type="gramStart"/>
      <w:r w:rsidRPr="004E7154">
        <w:rPr>
          <w:rFonts w:ascii="ITC Avant Garde" w:hAnsi="ITC Avant Garde"/>
          <w:bCs/>
          <w:color w:val="000000" w:themeColor="text1"/>
          <w:sz w:val="22"/>
          <w:szCs w:val="22"/>
          <w:lang w:eastAsia="es-MX"/>
        </w:rPr>
        <w:t>fracción</w:t>
      </w:r>
      <w:proofErr w:type="gramEnd"/>
      <w:r w:rsidRPr="004E7154">
        <w:rPr>
          <w:rFonts w:ascii="ITC Avant Garde" w:hAnsi="ITC Avant Garde"/>
          <w:bCs/>
          <w:color w:val="000000" w:themeColor="text1"/>
          <w:sz w:val="22"/>
          <w:szCs w:val="22"/>
          <w:lang w:eastAsia="es-MX"/>
        </w:rPr>
        <w:t xml:space="preserve"> I</w:t>
      </w:r>
      <w:r w:rsidR="00670EBE" w:rsidRPr="004E7154">
        <w:rPr>
          <w:rFonts w:ascii="ITC Avant Garde" w:hAnsi="ITC Avant Garde"/>
          <w:bCs/>
          <w:color w:val="000000" w:themeColor="text1"/>
          <w:sz w:val="22"/>
          <w:szCs w:val="22"/>
          <w:lang w:eastAsia="es-MX"/>
        </w:rPr>
        <w:t xml:space="preserve"> de la Ley</w:t>
      </w:r>
      <w:r w:rsidRPr="004E7154">
        <w:rPr>
          <w:rFonts w:ascii="ITC Avant Garde" w:hAnsi="ITC Avant Garde"/>
          <w:bCs/>
          <w:color w:val="000000" w:themeColor="text1"/>
          <w:sz w:val="22"/>
          <w:szCs w:val="22"/>
          <w:lang w:eastAsia="es-MX"/>
        </w:rPr>
        <w:t>, la facultad de autorizar cesiones o cambios de control accionario, titularidad u operación de sociedades relacionadas con concesiones.</w:t>
      </w:r>
    </w:p>
    <w:p w14:paraId="607D34A3"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lang w:eastAsia="es-MX"/>
        </w:rPr>
        <w:t>En este sentido, conforme a los artícu</w:t>
      </w:r>
      <w:r w:rsidR="00C00070" w:rsidRPr="004E7154">
        <w:rPr>
          <w:rFonts w:ascii="ITC Avant Garde" w:hAnsi="ITC Avant Garde"/>
          <w:bCs/>
          <w:color w:val="000000" w:themeColor="text1"/>
          <w:sz w:val="22"/>
          <w:szCs w:val="22"/>
          <w:lang w:eastAsia="es-MX"/>
        </w:rPr>
        <w:t>los 32 y 33 fracción</w:t>
      </w:r>
      <w:r w:rsidR="00B16771" w:rsidRPr="004E7154">
        <w:rPr>
          <w:rFonts w:ascii="ITC Avant Garde" w:hAnsi="ITC Avant Garde"/>
          <w:bCs/>
          <w:color w:val="000000" w:themeColor="text1"/>
          <w:sz w:val="22"/>
          <w:szCs w:val="22"/>
          <w:lang w:eastAsia="es-MX"/>
        </w:rPr>
        <w:t xml:space="preserve"> </w:t>
      </w:r>
      <w:r w:rsidRPr="004E7154">
        <w:rPr>
          <w:rFonts w:ascii="ITC Avant Garde" w:hAnsi="ITC Avant Garde"/>
          <w:bCs/>
          <w:color w:val="000000" w:themeColor="text1"/>
          <w:sz w:val="22"/>
          <w:szCs w:val="22"/>
          <w:lang w:eastAsia="es-MX"/>
        </w:rPr>
        <w:t>IV del Estatuto Orgánico corresponde a la Unidad de Concesiones y Servicios, a través de la Dirección General de Concesiones de Telecom</w:t>
      </w:r>
      <w:r w:rsidR="00B16771" w:rsidRPr="004E7154">
        <w:rPr>
          <w:rFonts w:ascii="ITC Avant Garde" w:hAnsi="ITC Avant Garde"/>
          <w:bCs/>
          <w:color w:val="000000" w:themeColor="text1"/>
          <w:sz w:val="22"/>
          <w:szCs w:val="22"/>
          <w:lang w:eastAsia="es-MX"/>
        </w:rPr>
        <w:t xml:space="preserve">unicaciones, tramitar y evaluar, entre otras, </w:t>
      </w:r>
      <w:r w:rsidR="00C00070" w:rsidRPr="004E7154">
        <w:rPr>
          <w:rFonts w:ascii="ITC Avant Garde" w:hAnsi="ITC Avant Garde"/>
          <w:bCs/>
          <w:color w:val="000000" w:themeColor="text1"/>
          <w:sz w:val="22"/>
          <w:szCs w:val="22"/>
          <w:lang w:eastAsia="es-MX"/>
        </w:rPr>
        <w:t>los</w:t>
      </w:r>
      <w:r w:rsidRPr="004E7154">
        <w:rPr>
          <w:rFonts w:ascii="ITC Avant Garde" w:hAnsi="ITC Avant Garde"/>
          <w:bCs/>
          <w:color w:val="000000" w:themeColor="text1"/>
          <w:sz w:val="22"/>
          <w:szCs w:val="22"/>
          <w:lang w:eastAsia="es-MX"/>
        </w:rPr>
        <w:t xml:space="preserve"> cambios de control accionario, titularidad u operación de sociedades relacionadas con concesiones en materia de telecomunicaciones, para someterlas a consideración del Pleno del Instituto.</w:t>
      </w:r>
    </w:p>
    <w:p w14:paraId="66E5073D"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lang w:eastAsia="es-MX"/>
        </w:rPr>
        <w:t xml:space="preserve">En este orden de ideas, y considerando que el Instituto tiene a su cargo la regulación, promoción y supervisión de las telecomunicaciones, así como la facultad de autorizar cambios de control accionario, titularidad u operación de sociedades relacionadas con concesiones; el Pleno, como órgano máximo de gobierno y decisión del Instituto, se encuentra plenamente facultado para resolver la Solicitud de </w:t>
      </w:r>
      <w:r w:rsidR="00461C7A" w:rsidRPr="004E7154">
        <w:rPr>
          <w:rFonts w:ascii="ITC Avant Garde" w:hAnsi="ITC Avant Garde"/>
          <w:bCs/>
          <w:color w:val="000000" w:themeColor="text1"/>
          <w:sz w:val="22"/>
          <w:szCs w:val="22"/>
          <w:lang w:eastAsia="es-MX"/>
        </w:rPr>
        <w:t>Enajenación</w:t>
      </w:r>
      <w:r w:rsidRPr="004E7154">
        <w:rPr>
          <w:rFonts w:ascii="ITC Avant Garde" w:hAnsi="ITC Avant Garde"/>
          <w:bCs/>
          <w:color w:val="000000" w:themeColor="text1"/>
          <w:sz w:val="22"/>
          <w:szCs w:val="22"/>
          <w:lang w:eastAsia="es-MX"/>
        </w:rPr>
        <w:t xml:space="preserve"> de Acciones.</w:t>
      </w:r>
    </w:p>
    <w:p w14:paraId="12BDADFF" w14:textId="19798B63"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
          <w:bCs/>
          <w:color w:val="000000" w:themeColor="text1"/>
          <w:sz w:val="22"/>
          <w:szCs w:val="22"/>
        </w:rPr>
        <w:t>Segundo.-</w:t>
      </w:r>
      <w:r w:rsidRPr="004E7154">
        <w:rPr>
          <w:rFonts w:ascii="ITC Avant Garde" w:hAnsi="ITC Avant Garde"/>
          <w:bCs/>
          <w:color w:val="000000" w:themeColor="text1"/>
          <w:sz w:val="22"/>
          <w:szCs w:val="22"/>
        </w:rPr>
        <w:t xml:space="preserve"> </w:t>
      </w:r>
      <w:r w:rsidRPr="004E7154">
        <w:rPr>
          <w:rFonts w:ascii="ITC Avant Garde" w:hAnsi="ITC Avant Garde"/>
          <w:b/>
          <w:bCs/>
          <w:color w:val="000000" w:themeColor="text1"/>
          <w:sz w:val="22"/>
          <w:szCs w:val="22"/>
        </w:rPr>
        <w:t xml:space="preserve">Marco legal aplicable a la Solicitud de </w:t>
      </w:r>
      <w:r w:rsidR="00230D59" w:rsidRPr="004E7154">
        <w:rPr>
          <w:rFonts w:ascii="ITC Avant Garde" w:hAnsi="ITC Avant Garde"/>
          <w:b/>
          <w:bCs/>
          <w:color w:val="000000" w:themeColor="text1"/>
          <w:sz w:val="22"/>
          <w:szCs w:val="22"/>
        </w:rPr>
        <w:t xml:space="preserve">Enajenación </w:t>
      </w:r>
      <w:r w:rsidRPr="004E7154">
        <w:rPr>
          <w:rFonts w:ascii="ITC Avant Garde" w:hAnsi="ITC Avant Garde"/>
          <w:b/>
          <w:bCs/>
          <w:color w:val="000000" w:themeColor="text1"/>
          <w:sz w:val="22"/>
          <w:szCs w:val="22"/>
        </w:rPr>
        <w:t>de Acciones.</w:t>
      </w:r>
      <w:r w:rsidRPr="004E7154">
        <w:rPr>
          <w:rFonts w:ascii="ITC Avant Garde" w:hAnsi="ITC Avant Garde"/>
          <w:bCs/>
          <w:color w:val="000000" w:themeColor="text1"/>
          <w:sz w:val="22"/>
          <w:szCs w:val="22"/>
        </w:rPr>
        <w:t xml:space="preserve"> De </w:t>
      </w:r>
      <w:r w:rsidRPr="004E7154">
        <w:rPr>
          <w:rFonts w:ascii="ITC Avant Garde" w:hAnsi="ITC Avant Garde"/>
          <w:bCs/>
          <w:color w:val="000000" w:themeColor="text1"/>
          <w:sz w:val="22"/>
          <w:szCs w:val="22"/>
          <w:lang w:eastAsia="es-MX"/>
        </w:rPr>
        <w:t xml:space="preserve">conformidad con lo antes señalado, la normatividad aplicable que establece los requisitos de procedencia para solicitar la autorización para llevar a cabo la </w:t>
      </w:r>
      <w:r w:rsidR="00230D59" w:rsidRPr="004E7154">
        <w:rPr>
          <w:rFonts w:ascii="ITC Avant Garde" w:hAnsi="ITC Avant Garde"/>
          <w:bCs/>
          <w:color w:val="000000" w:themeColor="text1"/>
          <w:sz w:val="22"/>
          <w:szCs w:val="22"/>
          <w:lang w:eastAsia="es-MX"/>
        </w:rPr>
        <w:t>enajenación de acciones</w:t>
      </w:r>
      <w:r w:rsidRPr="004E7154">
        <w:rPr>
          <w:rFonts w:ascii="ITC Avant Garde" w:hAnsi="ITC Avant Garde"/>
          <w:bCs/>
          <w:color w:val="000000" w:themeColor="text1"/>
          <w:sz w:val="22"/>
          <w:szCs w:val="22"/>
          <w:lang w:eastAsia="es-MX"/>
        </w:rPr>
        <w:t xml:space="preserve"> o partes sociales del capital de una empresa, se encuentra contenida en el artículo 112 de la Ley, el cual establece lo siguiente:</w:t>
      </w:r>
    </w:p>
    <w:p w14:paraId="5CB8AF4D"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
          <w:bCs/>
          <w:color w:val="000000" w:themeColor="text1"/>
          <w:sz w:val="18"/>
          <w:szCs w:val="18"/>
          <w:lang w:eastAsia="es-MX"/>
        </w:rPr>
        <w:t>“Artículo 112.</w:t>
      </w:r>
      <w:r w:rsidRPr="004E7154">
        <w:rPr>
          <w:rFonts w:ascii="ITC Avant Garde" w:hAnsi="ITC Avant Garde"/>
          <w:bCs/>
          <w:color w:val="000000" w:themeColor="text1"/>
          <w:sz w:val="18"/>
          <w:szCs w:val="18"/>
          <w:lang w:eastAsia="es-MX"/>
        </w:rPr>
        <w:t xml:space="preserve"> El concesionario, cuando sea una persona moral, presentará al Instituto, a más tardar el treinta de junio de cada año, su estructura accionaria o de partes sociales de que se trate, con sus respectivos porcentajes de participación, acompañando además una relación de los accionistas que sean titulares del cinco por ciento o más del capital social de la empresa, así como el nombre de las personas físicas que participen directa o indirectamente con el diez por ciento o más del capital social de la empresa, sus principales accionistas y sus respectivos porcentajes de participación, a la que acompañará la información en el formato que determine el Instituto.</w:t>
      </w:r>
    </w:p>
    <w:p w14:paraId="4CF08D11"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lastRenderedPageBreak/>
        <w:t>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 el concesionario estará obligado a observar el régimen siguiente:</w:t>
      </w:r>
    </w:p>
    <w:p w14:paraId="6AAD660C" w14:textId="77777777" w:rsidR="004E7154" w:rsidRPr="004E7154" w:rsidRDefault="00F80A22" w:rsidP="004E7154">
      <w:pPr>
        <w:pStyle w:val="Prrafodelista"/>
        <w:numPr>
          <w:ilvl w:val="0"/>
          <w:numId w:val="7"/>
        </w:numPr>
        <w:autoSpaceDE w:val="0"/>
        <w:autoSpaceDN w:val="0"/>
        <w:adjustRightInd w:val="0"/>
        <w:spacing w:before="240" w:after="240"/>
        <w:ind w:left="2127" w:right="757" w:hanging="567"/>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 xml:space="preserve">El concesionario deberá dar aviso al Instituto de la intención de los interesados en realizar la suscripción o enajenación de las acciones o partes </w:t>
      </w:r>
      <w:r w:rsidRPr="004E7154">
        <w:rPr>
          <w:rFonts w:ascii="ITC Avant Garde" w:hAnsi="ITC Avant Garde"/>
          <w:bCs/>
          <w:color w:val="000000" w:themeColor="text1"/>
          <w:sz w:val="18"/>
          <w:szCs w:val="18"/>
        </w:rPr>
        <w:t>sociales</w:t>
      </w:r>
      <w:r w:rsidRPr="004E7154">
        <w:rPr>
          <w:rFonts w:ascii="ITC Avant Garde" w:hAnsi="ITC Avant Garde"/>
          <w:bCs/>
          <w:color w:val="000000" w:themeColor="text1"/>
          <w:sz w:val="18"/>
          <w:szCs w:val="18"/>
          <w:lang w:eastAsia="es-MX"/>
        </w:rPr>
        <w:t>, ya sea directa o indirectamente, debiendo acompañar el aviso con la información detallada de las personas interesadas en adquirir las acciones o partes sociales;</w:t>
      </w:r>
    </w:p>
    <w:p w14:paraId="0171812C" w14:textId="77777777" w:rsidR="004E7154" w:rsidRPr="004E7154" w:rsidRDefault="00F80A22" w:rsidP="004E7154">
      <w:pPr>
        <w:pStyle w:val="Prrafodelista"/>
        <w:numPr>
          <w:ilvl w:val="0"/>
          <w:numId w:val="7"/>
        </w:numPr>
        <w:autoSpaceDE w:val="0"/>
        <w:autoSpaceDN w:val="0"/>
        <w:adjustRightInd w:val="0"/>
        <w:spacing w:before="240" w:after="240"/>
        <w:ind w:left="2127" w:right="757" w:hanging="567"/>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El Instituto tendrá un plazo de diez días hábiles contados a partir de la presentación del aviso, para solicitar la opinión de la Secretaría;</w:t>
      </w:r>
    </w:p>
    <w:p w14:paraId="7967C204" w14:textId="77777777" w:rsidR="004E7154" w:rsidRPr="004E7154" w:rsidRDefault="00F80A22" w:rsidP="004E7154">
      <w:pPr>
        <w:pStyle w:val="Prrafodelista"/>
        <w:numPr>
          <w:ilvl w:val="0"/>
          <w:numId w:val="7"/>
        </w:numPr>
        <w:autoSpaceDE w:val="0"/>
        <w:autoSpaceDN w:val="0"/>
        <w:adjustRightInd w:val="0"/>
        <w:spacing w:before="240" w:after="240"/>
        <w:ind w:left="2127" w:right="757" w:hanging="567"/>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La Secretaría tendrá un plazo de treinta días naturales para emitir opinión, y</w:t>
      </w:r>
    </w:p>
    <w:p w14:paraId="1B5909FE" w14:textId="55DD148C" w:rsidR="004E7154" w:rsidRPr="004E7154" w:rsidRDefault="00F80A22" w:rsidP="004E7154">
      <w:pPr>
        <w:pStyle w:val="Prrafodelista"/>
        <w:numPr>
          <w:ilvl w:val="0"/>
          <w:numId w:val="7"/>
        </w:numPr>
        <w:autoSpaceDE w:val="0"/>
        <w:autoSpaceDN w:val="0"/>
        <w:adjustRightInd w:val="0"/>
        <w:spacing w:before="240" w:after="240"/>
        <w:ind w:left="2127" w:right="757" w:hanging="567"/>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El Instituto tendrá un plazo de quince días hábiles contados a partir de que reciba la opinión de la Secretaría o en caso que no se hubiere emitido opinión, a partir de que fenezca el plazo referido en la fracción que antecede, para objetar con causa justificada la operación de que se trate. Transcurrido dicho plazo sin que la operación hubiere sido objetada por el Instituto, se tendrá por autorizada.</w:t>
      </w:r>
    </w:p>
    <w:p w14:paraId="72868EFF"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Las operaciones que no hubieren sido objetadas por el Instituto deberán inscribirse en el libro de registro de accionistas o socios de la persona moral, sin perjuicio de las autorizaciones que se requieran de otras autoridades conforme a las disposiciones legales, reglamentarias y administrativas aplicables.</w:t>
      </w:r>
    </w:p>
    <w:p w14:paraId="4784311A"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w:t>
      </w:r>
    </w:p>
    <w:p w14:paraId="3A593FE0"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En caso de que el interesado en suscribir o adquirir acciones o partes sociales sea una persona moral, en el aviso al que se refiere la fracción I de este artículo, deberá presentar la información necesaria para que el Instituto conozca la identidad de las personas físicas que tengan intereses patrimoniales mayores al diez por ciento del capital de dicha persona moral.</w:t>
      </w:r>
    </w:p>
    <w:p w14:paraId="0FDFEE65"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En caso de que se actualice la obligación de notificar una concentración conforme a lo previsto en la Ley Federal de Competencia Económica, el Instituto dará trámite a la solicitud conforme a lo previsto para dicho procedimiento en la ley de la materia, considerando además los criterios establecidos en esta Ley.</w:t>
      </w:r>
    </w:p>
    <w:p w14:paraId="53CBFC58"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lang w:eastAsia="es-MX"/>
        </w:rPr>
      </w:pPr>
      <w:r w:rsidRPr="004E7154">
        <w:rPr>
          <w:rFonts w:ascii="ITC Avant Garde" w:hAnsi="ITC Avant Garde"/>
          <w:bCs/>
          <w:color w:val="000000" w:themeColor="text1"/>
          <w:sz w:val="18"/>
          <w:szCs w:val="18"/>
          <w:lang w:eastAsia="es-MX"/>
        </w:rPr>
        <w:t>[…]”</w:t>
      </w:r>
    </w:p>
    <w:p w14:paraId="3C4B13EB"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lang w:eastAsia="es-MX"/>
        </w:rPr>
        <w:t>Ahora bien, cabe destacar que para este tipo de solicitudes debe acatarse el requisito de procedencia establecido en el artículo 174-C fracción VII de la Ley Federal de Derechos, correspondiente al pago de derechos relativo a la suscripción o enajenación de acciones o partes sociales en las concesiones en materia de telecomunicaciones, como es el caso que nos ocupa.</w:t>
      </w:r>
    </w:p>
    <w:p w14:paraId="5C53CA23" w14:textId="539CAAA3"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t>Tercero.- Concentración.</w:t>
      </w:r>
      <w:r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lang w:eastAsia="es-MX"/>
        </w:rPr>
        <w:t xml:space="preserve">Como se señaló en el Considerando Primero de la presente Resolución, el Instituto es la autoridad en materia de competencia económica en los </w:t>
      </w:r>
      <w:r w:rsidRPr="004E7154">
        <w:rPr>
          <w:rFonts w:ascii="ITC Avant Garde" w:hAnsi="ITC Avant Garde"/>
          <w:bCs/>
          <w:color w:val="000000" w:themeColor="text1"/>
          <w:sz w:val="22"/>
          <w:szCs w:val="22"/>
          <w:lang w:eastAsia="es-MX"/>
        </w:rPr>
        <w:lastRenderedPageBreak/>
        <w:t xml:space="preserve">sectores de radiodifusión y telecomunicaciones, por lo que en estos ejercerá en forma exclusiva las facultades que las leyes establecen para la Comisión Federal de Competencia Económica y regulará de forma asimétrica a los participantes en estos mercados, con el objeto de eliminar eficazmente las barreras a la competencia y la libre </w:t>
      </w:r>
      <w:r w:rsidRPr="004E7154">
        <w:rPr>
          <w:rFonts w:ascii="ITC Avant Garde" w:hAnsi="ITC Avant Garde"/>
          <w:bCs/>
          <w:color w:val="000000" w:themeColor="text1"/>
          <w:sz w:val="22"/>
          <w:szCs w:val="22"/>
        </w:rPr>
        <w:t>concurrencia, garantizando lo dispuesto en los artículos 6o. y 7o. de la Constitución.</w:t>
      </w:r>
    </w:p>
    <w:p w14:paraId="350473A6"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 xml:space="preserve">En este sentido, la Ley en el artículo 112, establece como regla general la obligación que tienen a su cargo todos los concesionarios de telecomunicaciones y radiodifusión, de observar el régimen para cualquier supuesto de suscripción o enajenación de acciones o partes sociales en un acto o sucesión de actos, que represente el diez por ciento o más del monto de su capital social; siempre y cuando no se actualice la obligación del concesionario de notificar al Instituto una concentración conforme a lo previsto en </w:t>
      </w:r>
      <w:r w:rsidR="00DD1B83" w:rsidRPr="004E7154">
        <w:rPr>
          <w:rFonts w:ascii="ITC Avant Garde" w:hAnsi="ITC Avant Garde"/>
          <w:bCs/>
          <w:color w:val="000000" w:themeColor="text1"/>
          <w:sz w:val="22"/>
          <w:szCs w:val="22"/>
        </w:rPr>
        <w:t>la</w:t>
      </w:r>
      <w:r w:rsidRPr="004E7154">
        <w:rPr>
          <w:rFonts w:ascii="ITC Avant Garde" w:hAnsi="ITC Avant Garde"/>
          <w:bCs/>
          <w:color w:val="000000" w:themeColor="text1"/>
          <w:sz w:val="22"/>
          <w:szCs w:val="22"/>
        </w:rPr>
        <w:t xml:space="preserve"> </w:t>
      </w:r>
      <w:r w:rsidR="00DD1B83" w:rsidRPr="004E7154">
        <w:rPr>
          <w:rFonts w:ascii="ITC Avant Garde" w:hAnsi="ITC Avant Garde"/>
          <w:bCs/>
          <w:color w:val="000000" w:themeColor="text1"/>
          <w:sz w:val="22"/>
          <w:szCs w:val="22"/>
        </w:rPr>
        <w:t>Ley de Competencia</w:t>
      </w:r>
      <w:r w:rsidRPr="004E7154">
        <w:rPr>
          <w:rFonts w:ascii="ITC Avant Garde" w:hAnsi="ITC Avant Garde"/>
          <w:bCs/>
          <w:color w:val="000000" w:themeColor="text1"/>
          <w:sz w:val="22"/>
          <w:szCs w:val="22"/>
        </w:rPr>
        <w:t>.</w:t>
      </w:r>
    </w:p>
    <w:p w14:paraId="469D4790"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Asimismo, el artículo 61 d</w:t>
      </w:r>
      <w:r w:rsidR="00670EBE" w:rsidRPr="004E7154">
        <w:rPr>
          <w:rFonts w:ascii="ITC Avant Garde" w:hAnsi="ITC Avant Garde"/>
          <w:bCs/>
          <w:color w:val="000000" w:themeColor="text1"/>
          <w:sz w:val="22"/>
          <w:szCs w:val="22"/>
        </w:rPr>
        <w:t>e la Ley Competencia, señala qué</w:t>
      </w:r>
      <w:r w:rsidRPr="004E7154">
        <w:rPr>
          <w:rFonts w:ascii="ITC Avant Garde" w:hAnsi="ITC Avant Garde"/>
          <w:bCs/>
          <w:color w:val="000000" w:themeColor="text1"/>
          <w:sz w:val="22"/>
          <w:szCs w:val="22"/>
        </w:rPr>
        <w:t xml:space="preserve"> se entiende por Concentración: la fusión, adquisición del control o cualquier acto por virtud del cual se unan sociedades, asociaciones, acciones, partes sociales, fideicomisos o activos en general que se realice entre competidores, proveedores, clientes o cualesquiera otros agentes económicos.</w:t>
      </w:r>
    </w:p>
    <w:p w14:paraId="1BBC143D"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lang w:eastAsia="es-MX"/>
        </w:rPr>
      </w:pPr>
      <w:r w:rsidRPr="004E7154">
        <w:rPr>
          <w:rFonts w:ascii="ITC Avant Garde" w:hAnsi="ITC Avant Garde"/>
          <w:bCs/>
          <w:color w:val="000000" w:themeColor="text1"/>
          <w:sz w:val="22"/>
          <w:szCs w:val="22"/>
        </w:rPr>
        <w:t>En este tenor</w:t>
      </w:r>
      <w:r w:rsidRPr="004E7154">
        <w:rPr>
          <w:rFonts w:ascii="ITC Avant Garde" w:hAnsi="ITC Avant Garde"/>
          <w:bCs/>
          <w:color w:val="000000" w:themeColor="text1"/>
          <w:sz w:val="22"/>
          <w:szCs w:val="22"/>
          <w:lang w:eastAsia="es-MX"/>
        </w:rPr>
        <w:t>, el artículo 86 de la Ley de Competencia ordena textualmente lo siguiente:</w:t>
      </w:r>
    </w:p>
    <w:p w14:paraId="44DD91B1" w14:textId="1ACF3F4C" w:rsidR="00F80A22"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w:t>
      </w:r>
      <w:r w:rsidRPr="004E7154">
        <w:rPr>
          <w:rFonts w:ascii="ITC Avant Garde" w:hAnsi="ITC Avant Garde"/>
          <w:b/>
          <w:bCs/>
          <w:color w:val="000000" w:themeColor="text1"/>
          <w:sz w:val="18"/>
          <w:szCs w:val="18"/>
        </w:rPr>
        <w:t>Artículo 86.</w:t>
      </w:r>
      <w:r w:rsidRPr="004E7154">
        <w:rPr>
          <w:rFonts w:ascii="ITC Avant Garde" w:hAnsi="ITC Avant Garde"/>
          <w:bCs/>
          <w:color w:val="000000" w:themeColor="text1"/>
          <w:sz w:val="18"/>
          <w:szCs w:val="18"/>
        </w:rPr>
        <w:t xml:space="preserve"> Las siguientes concentraciones deberán ser autorizadas por la Comisión antes de que se lleven a cabo:</w:t>
      </w:r>
    </w:p>
    <w:p w14:paraId="3E7681FD" w14:textId="1914E61C" w:rsidR="004E7154" w:rsidRPr="004E7154" w:rsidRDefault="00F80A22" w:rsidP="00DD018A">
      <w:pPr>
        <w:pStyle w:val="Prrafodelista"/>
        <w:numPr>
          <w:ilvl w:val="0"/>
          <w:numId w:val="31"/>
        </w:numPr>
        <w:autoSpaceDE w:val="0"/>
        <w:autoSpaceDN w:val="0"/>
        <w:adjustRightInd w:val="0"/>
        <w:spacing w:before="240" w:after="240"/>
        <w:ind w:left="1418"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Cuando el acto o sucesión de actos que les den origen, independientemente del lugar de su celebración, importen en el territorio nacional, directa o indirectamente, un monto superior al equivalente a dieciocho millones de veces el salario mínimo general diario vigente para el Distrito Federal;</w:t>
      </w:r>
    </w:p>
    <w:p w14:paraId="09CF3230" w14:textId="19612288" w:rsidR="00F80A22" w:rsidRPr="004E7154" w:rsidRDefault="00F80A22" w:rsidP="00DD018A">
      <w:pPr>
        <w:pStyle w:val="Prrafodelista"/>
        <w:numPr>
          <w:ilvl w:val="0"/>
          <w:numId w:val="31"/>
        </w:numPr>
        <w:autoSpaceDE w:val="0"/>
        <w:autoSpaceDN w:val="0"/>
        <w:adjustRightInd w:val="0"/>
        <w:spacing w:before="240" w:after="240"/>
        <w:ind w:left="1418" w:right="615" w:hanging="42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Cuando el acto o sucesión de actos que les den origen, impliquen la acumulación del treinta y cinco por ciento o más de los activos o acciones de un Agente Económico, cuyas ventas anuales originadas en el territorio nacional o activos en el territorio nacional importen más del equivalente a dieciocho millones de veces el salario mínimo general diario vigente para el Distrito Federal, o</w:t>
      </w:r>
    </w:p>
    <w:p w14:paraId="4D6FF070" w14:textId="77777777" w:rsidR="004E7154" w:rsidRPr="004E7154" w:rsidRDefault="00F80A22" w:rsidP="00DD018A">
      <w:pPr>
        <w:pStyle w:val="Prrafodelista"/>
        <w:numPr>
          <w:ilvl w:val="0"/>
          <w:numId w:val="31"/>
        </w:numPr>
        <w:autoSpaceDE w:val="0"/>
        <w:autoSpaceDN w:val="0"/>
        <w:adjustRightInd w:val="0"/>
        <w:spacing w:before="240" w:after="240"/>
        <w:ind w:left="1418" w:right="615" w:hanging="42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 xml:space="preserve"> Cuando el acto o sucesión de actos que les den origen impliquen una acumulación en el territorio nacional de activos o capital social superior al equivalente a ocho millones cuatrocientas mil veces el salario mínimo general diario vigente para el Distrito Federal y en la concentración participen dos o más Agentes Económicos cuyas ventas anuales originadas en el territorio nacional o activos en el territorio nacional conjunta o separadamente, importen más de cuarenta y ocho millones de veces el salario mínimo general diario vigente para el Distrito Federal.</w:t>
      </w:r>
    </w:p>
    <w:p w14:paraId="5D184A4C"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Los actos realizados en contravención a este artículo no producirán efectos jurídicos, sin perjuicio de la responsabilidad administrativa, civil o penal de los Agentes Económicos y de las personas que ordenaron o coadyuvaron en la ejecución, así como de los fedatarios públicos que hayan intervenido en los mismos.</w:t>
      </w:r>
    </w:p>
    <w:p w14:paraId="4C90E3B4"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 xml:space="preserve">Los actos relativos a una concentración no podrán registrarse en los libros corporativos, formalizarse en instrumento público ni inscribirse en el Registro Público </w:t>
      </w:r>
      <w:r w:rsidRPr="004E7154">
        <w:rPr>
          <w:rFonts w:ascii="ITC Avant Garde" w:hAnsi="ITC Avant Garde"/>
          <w:bCs/>
          <w:color w:val="000000" w:themeColor="text1"/>
          <w:sz w:val="18"/>
          <w:szCs w:val="18"/>
        </w:rPr>
        <w:lastRenderedPageBreak/>
        <w:t>de Comercio hasta que se obtenga la autorización favorable de la Comisión o haya transcurrido el plazo a que se refiere el artículo 90, fracción V, sin que el Pleno haya emitido resolución.</w:t>
      </w:r>
    </w:p>
    <w:p w14:paraId="53301701" w14:textId="77777777" w:rsidR="004E7154" w:rsidRPr="004E7154" w:rsidRDefault="00F80A22" w:rsidP="004E7154">
      <w:pPr>
        <w:pStyle w:val="Prrafodelista"/>
        <w:autoSpaceDE w:val="0"/>
        <w:autoSpaceDN w:val="0"/>
        <w:adjustRightInd w:val="0"/>
        <w:spacing w:before="240" w:after="240"/>
        <w:ind w:left="1418"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 xml:space="preserve">Los Agentes Económicos involucrados que no se encuentren en los supuestos establecidos en las fracciones I, II y III de este artículo podrán notificarla voluntariamente a la Comisión.” </w:t>
      </w:r>
    </w:p>
    <w:p w14:paraId="0FC1F904"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Como se desprende del citado precepto, únicamente los casos que encuadren en los supuestos normativos indicados en las fracciones I, II y III del mismo, deberán ser autorizados previamente por este Instituto en términos de</w:t>
      </w:r>
      <w:r w:rsidR="00EB27DB"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l</w:t>
      </w:r>
      <w:r w:rsidR="00EB27DB" w:rsidRPr="004E7154">
        <w:rPr>
          <w:rFonts w:ascii="ITC Avant Garde" w:hAnsi="ITC Avant Garde"/>
          <w:bCs/>
          <w:color w:val="000000" w:themeColor="text1"/>
          <w:sz w:val="22"/>
          <w:szCs w:val="22"/>
        </w:rPr>
        <w:t>os</w:t>
      </w:r>
      <w:r w:rsidRPr="004E7154">
        <w:rPr>
          <w:rFonts w:ascii="ITC Avant Garde" w:hAnsi="ITC Avant Garde"/>
          <w:bCs/>
          <w:color w:val="000000" w:themeColor="text1"/>
          <w:sz w:val="22"/>
          <w:szCs w:val="22"/>
        </w:rPr>
        <w:t xml:space="preserve"> artículo</w:t>
      </w:r>
      <w:r w:rsidR="00EB27DB" w:rsidRPr="004E7154">
        <w:rPr>
          <w:rFonts w:ascii="ITC Avant Garde" w:hAnsi="ITC Avant Garde"/>
          <w:bCs/>
          <w:color w:val="000000" w:themeColor="text1"/>
          <w:sz w:val="22"/>
          <w:szCs w:val="22"/>
        </w:rPr>
        <w:t>s 5 y</w:t>
      </w:r>
      <w:r w:rsidRPr="004E7154">
        <w:rPr>
          <w:rFonts w:ascii="ITC Avant Garde" w:hAnsi="ITC Avant Garde"/>
          <w:bCs/>
          <w:color w:val="000000" w:themeColor="text1"/>
          <w:sz w:val="22"/>
          <w:szCs w:val="22"/>
        </w:rPr>
        <w:t xml:space="preserve"> 87 de la Ley de Competencia; y</w:t>
      </w:r>
      <w:r w:rsidR="0087638B" w:rsidRPr="004E7154">
        <w:rPr>
          <w:rFonts w:ascii="ITC Avant Garde" w:hAnsi="ITC Avant Garde"/>
          <w:bCs/>
          <w:color w:val="000000" w:themeColor="text1"/>
          <w:sz w:val="22"/>
          <w:szCs w:val="22"/>
        </w:rPr>
        <w:t>,</w:t>
      </w:r>
      <w:r w:rsidRPr="004E7154">
        <w:rPr>
          <w:rFonts w:ascii="ITC Avant Garde" w:hAnsi="ITC Avant Garde"/>
          <w:bCs/>
          <w:color w:val="000000" w:themeColor="text1"/>
          <w:sz w:val="22"/>
          <w:szCs w:val="22"/>
        </w:rPr>
        <w:t xml:space="preserve"> de igual forma, los Agentes Económicos que participen directamente en la concentración de que se trate están obligados a notificarla a este Instituto, tal y como lo dispone el artículo 88 de la Ley de Competencia.</w:t>
      </w:r>
    </w:p>
    <w:p w14:paraId="70E85661" w14:textId="2747FD02"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t xml:space="preserve">Cuarto.- Análisis de la Solicitud de </w:t>
      </w:r>
      <w:r w:rsidR="00117488" w:rsidRPr="004E7154">
        <w:rPr>
          <w:rFonts w:ascii="ITC Avant Garde" w:hAnsi="ITC Avant Garde"/>
          <w:b/>
          <w:bCs/>
          <w:color w:val="000000" w:themeColor="text1"/>
          <w:sz w:val="22"/>
          <w:szCs w:val="22"/>
        </w:rPr>
        <w:t xml:space="preserve">Enajenación </w:t>
      </w:r>
      <w:r w:rsidRPr="004E7154">
        <w:rPr>
          <w:rFonts w:ascii="ITC Avant Garde" w:hAnsi="ITC Avant Garde"/>
          <w:b/>
          <w:bCs/>
          <w:color w:val="000000" w:themeColor="text1"/>
          <w:sz w:val="22"/>
          <w:szCs w:val="22"/>
        </w:rPr>
        <w:t>de Acciones.</w:t>
      </w:r>
      <w:r w:rsidRPr="004E7154">
        <w:rPr>
          <w:rFonts w:ascii="ITC Avant Garde" w:hAnsi="ITC Avant Garde"/>
          <w:bCs/>
          <w:color w:val="000000" w:themeColor="text1"/>
          <w:sz w:val="22"/>
          <w:szCs w:val="22"/>
        </w:rPr>
        <w:t xml:space="preserve"> De la revisión al marco legal aplicable, se concluye que los requisitos de procedencia que debe cumplir el concesionario que solicite autorización para llevar a cabo la suscripción o enajenación de acciones o partes sociales del capital, son:</w:t>
      </w:r>
    </w:p>
    <w:p w14:paraId="10362B7C" w14:textId="55A9C56A" w:rsidR="00F80A22" w:rsidRPr="004E7154" w:rsidRDefault="00F80A22" w:rsidP="004E7154">
      <w:pPr>
        <w:pStyle w:val="Prrafodelista"/>
        <w:numPr>
          <w:ilvl w:val="0"/>
          <w:numId w:val="5"/>
        </w:numPr>
        <w:autoSpaceDE w:val="0"/>
        <w:autoSpaceDN w:val="0"/>
        <w:adjustRightInd w:val="0"/>
        <w:spacing w:before="240" w:after="240"/>
        <w:ind w:right="615"/>
        <w:jc w:val="both"/>
        <w:rPr>
          <w:rFonts w:ascii="ITC Avant Garde" w:eastAsia="Calibri" w:hAnsi="ITC Avant Garde"/>
          <w:bCs/>
          <w:color w:val="000000" w:themeColor="text1"/>
          <w:sz w:val="22"/>
          <w:szCs w:val="22"/>
          <w:lang w:val="es-MX" w:eastAsia="en-US"/>
        </w:rPr>
      </w:pPr>
      <w:r w:rsidRPr="004E7154">
        <w:rPr>
          <w:rFonts w:ascii="ITC Avant Garde" w:eastAsia="Calibri" w:hAnsi="ITC Avant Garde"/>
          <w:bCs/>
          <w:color w:val="000000" w:themeColor="text1"/>
          <w:sz w:val="22"/>
          <w:szCs w:val="22"/>
          <w:lang w:val="es-MX" w:eastAsia="en-US"/>
        </w:rPr>
        <w:t xml:space="preserve">Que el titular de la concesión dé aviso al Instituto por escrito que pretende llevar a cabo una </w:t>
      </w:r>
      <w:r w:rsidR="004D6698" w:rsidRPr="004E7154">
        <w:rPr>
          <w:rFonts w:ascii="ITC Avant Garde" w:eastAsia="Calibri" w:hAnsi="ITC Avant Garde"/>
          <w:bCs/>
          <w:color w:val="000000" w:themeColor="text1"/>
          <w:sz w:val="22"/>
          <w:szCs w:val="22"/>
          <w:lang w:val="es-MX" w:eastAsia="en-US"/>
        </w:rPr>
        <w:t>enajenación</w:t>
      </w:r>
      <w:r w:rsidR="008F2449" w:rsidRPr="004E7154">
        <w:rPr>
          <w:rFonts w:ascii="ITC Avant Garde" w:eastAsia="Calibri" w:hAnsi="ITC Avant Garde"/>
          <w:bCs/>
          <w:color w:val="000000" w:themeColor="text1"/>
          <w:sz w:val="22"/>
          <w:szCs w:val="22"/>
          <w:lang w:val="es-MX" w:eastAsia="en-US"/>
        </w:rPr>
        <w:t xml:space="preserve"> </w:t>
      </w:r>
      <w:r w:rsidRPr="004E7154">
        <w:rPr>
          <w:rFonts w:ascii="ITC Avant Garde" w:eastAsia="Calibri" w:hAnsi="ITC Avant Garde"/>
          <w:bCs/>
          <w:color w:val="000000" w:themeColor="text1"/>
          <w:sz w:val="22"/>
          <w:szCs w:val="22"/>
          <w:lang w:val="es-MX" w:eastAsia="en-US"/>
        </w:rPr>
        <w:t>de acciones, debiendo acompañar el aviso con la información detallada de las personas interesadas en adquirir las acciones o partes sociales.</w:t>
      </w:r>
    </w:p>
    <w:p w14:paraId="092EDFBC" w14:textId="77777777" w:rsidR="00F80A22" w:rsidRPr="004E7154" w:rsidRDefault="00F80A22" w:rsidP="004E7154">
      <w:pPr>
        <w:pStyle w:val="Prrafodelista"/>
        <w:numPr>
          <w:ilvl w:val="0"/>
          <w:numId w:val="5"/>
        </w:numPr>
        <w:autoSpaceDE w:val="0"/>
        <w:autoSpaceDN w:val="0"/>
        <w:adjustRightInd w:val="0"/>
        <w:spacing w:before="240" w:after="240"/>
        <w:ind w:right="615"/>
        <w:jc w:val="both"/>
        <w:rPr>
          <w:rFonts w:ascii="ITC Avant Garde" w:eastAsia="Calibri" w:hAnsi="ITC Avant Garde"/>
          <w:bCs/>
          <w:color w:val="000000" w:themeColor="text1"/>
          <w:sz w:val="22"/>
          <w:szCs w:val="22"/>
          <w:lang w:val="es-MX" w:eastAsia="en-US"/>
        </w:rPr>
      </w:pPr>
      <w:r w:rsidRPr="004E7154">
        <w:rPr>
          <w:rFonts w:ascii="ITC Avant Garde" w:eastAsia="Calibri" w:hAnsi="ITC Avant Garde"/>
          <w:bCs/>
          <w:color w:val="000000" w:themeColor="text1"/>
          <w:sz w:val="22"/>
          <w:szCs w:val="22"/>
          <w:lang w:val="es-MX" w:eastAsia="en-US"/>
        </w:rPr>
        <w:t>Que el concesionario exhiba comprobante de pago de derechos establecido en la Ley Federal de Derechos.</w:t>
      </w:r>
    </w:p>
    <w:p w14:paraId="5E533A5A" w14:textId="77777777" w:rsidR="004E7154" w:rsidRPr="004E7154" w:rsidRDefault="0072367C" w:rsidP="004E7154">
      <w:pPr>
        <w:pStyle w:val="Prrafodelista"/>
        <w:numPr>
          <w:ilvl w:val="0"/>
          <w:numId w:val="5"/>
        </w:numPr>
        <w:autoSpaceDE w:val="0"/>
        <w:autoSpaceDN w:val="0"/>
        <w:adjustRightInd w:val="0"/>
        <w:spacing w:before="240" w:after="240"/>
        <w:ind w:right="615"/>
        <w:jc w:val="both"/>
        <w:rPr>
          <w:rFonts w:ascii="ITC Avant Garde" w:eastAsia="Calibri" w:hAnsi="ITC Avant Garde"/>
          <w:bCs/>
          <w:color w:val="000000" w:themeColor="text1"/>
          <w:sz w:val="22"/>
          <w:szCs w:val="22"/>
          <w:lang w:val="es-MX" w:eastAsia="en-US"/>
        </w:rPr>
      </w:pPr>
      <w:r w:rsidRPr="004E7154">
        <w:rPr>
          <w:rFonts w:ascii="ITC Avant Garde" w:eastAsia="Calibri" w:hAnsi="ITC Avant Garde"/>
          <w:bCs/>
          <w:color w:val="000000" w:themeColor="text1"/>
          <w:sz w:val="22"/>
          <w:szCs w:val="22"/>
          <w:lang w:val="es-MX" w:eastAsia="en-US"/>
        </w:rPr>
        <w:t xml:space="preserve">Que se solicite a la Secretaría </w:t>
      </w:r>
      <w:r w:rsidR="0063584B" w:rsidRPr="004E7154">
        <w:rPr>
          <w:rFonts w:ascii="ITC Avant Garde" w:eastAsia="Calibri" w:hAnsi="ITC Avant Garde"/>
          <w:bCs/>
          <w:color w:val="000000" w:themeColor="text1"/>
          <w:sz w:val="22"/>
          <w:szCs w:val="22"/>
          <w:lang w:val="es-MX" w:eastAsia="en-US"/>
        </w:rPr>
        <w:t xml:space="preserve">la opinión técnica no vinculante, prevista en el artículo 28 párrafo décimo séptimo de la Constitución y el artículo 112 párrafo segundo fracción III de la Ley, respecto de la Solicitud de </w:t>
      </w:r>
      <w:r w:rsidR="004D6698" w:rsidRPr="004E7154">
        <w:rPr>
          <w:rFonts w:ascii="ITC Avant Garde" w:eastAsia="Calibri" w:hAnsi="ITC Avant Garde"/>
          <w:bCs/>
          <w:color w:val="000000" w:themeColor="text1"/>
          <w:sz w:val="22"/>
          <w:szCs w:val="22"/>
          <w:lang w:val="es-MX" w:eastAsia="en-US"/>
        </w:rPr>
        <w:t xml:space="preserve">Enajenación </w:t>
      </w:r>
      <w:r w:rsidR="0063584B" w:rsidRPr="004E7154">
        <w:rPr>
          <w:rFonts w:ascii="ITC Avant Garde" w:eastAsia="Calibri" w:hAnsi="ITC Avant Garde"/>
          <w:bCs/>
          <w:color w:val="000000" w:themeColor="text1"/>
          <w:sz w:val="22"/>
          <w:szCs w:val="22"/>
          <w:lang w:val="es-MX" w:eastAsia="en-US"/>
        </w:rPr>
        <w:t>de Acciones</w:t>
      </w:r>
      <w:r w:rsidR="00621D11" w:rsidRPr="004E7154">
        <w:rPr>
          <w:rFonts w:ascii="ITC Avant Garde" w:eastAsia="Calibri" w:hAnsi="ITC Avant Garde"/>
          <w:bCs/>
          <w:color w:val="000000" w:themeColor="text1"/>
          <w:sz w:val="22"/>
          <w:szCs w:val="22"/>
          <w:lang w:val="es-MX" w:eastAsia="en-US"/>
        </w:rPr>
        <w:t>.</w:t>
      </w:r>
    </w:p>
    <w:p w14:paraId="287809B4"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En primera instancia, destaca que en el expediente administrativo consta</w:t>
      </w:r>
      <w:r w:rsidR="00B71EF6" w:rsidRPr="004E7154">
        <w:rPr>
          <w:rFonts w:ascii="ITC Avant Garde" w:hAnsi="ITC Avant Garde"/>
          <w:bCs/>
          <w:color w:val="000000" w:themeColor="text1"/>
          <w:sz w:val="22"/>
          <w:szCs w:val="22"/>
        </w:rPr>
        <w:t xml:space="preserve"> </w:t>
      </w:r>
      <w:r w:rsidR="0090376A" w:rsidRPr="004E7154">
        <w:rPr>
          <w:rFonts w:ascii="ITC Avant Garde" w:hAnsi="ITC Avant Garde"/>
          <w:bCs/>
          <w:color w:val="000000" w:themeColor="text1"/>
          <w:sz w:val="22"/>
          <w:szCs w:val="22"/>
        </w:rPr>
        <w:t xml:space="preserve">el </w:t>
      </w:r>
      <w:r w:rsidR="00732BF9" w:rsidRPr="004E7154">
        <w:rPr>
          <w:rFonts w:ascii="ITC Avant Garde" w:hAnsi="ITC Avant Garde"/>
          <w:bCs/>
          <w:color w:val="000000" w:themeColor="text1"/>
          <w:sz w:val="22"/>
          <w:szCs w:val="22"/>
        </w:rPr>
        <w:t>escrito</w:t>
      </w:r>
      <w:r w:rsidR="00B71EF6" w:rsidRPr="004E7154">
        <w:rPr>
          <w:rFonts w:ascii="ITC Avant Garde" w:hAnsi="ITC Avant Garde"/>
          <w:bCs/>
          <w:color w:val="000000" w:themeColor="text1"/>
          <w:sz w:val="22"/>
          <w:szCs w:val="22"/>
        </w:rPr>
        <w:t xml:space="preserve"> presentado</w:t>
      </w:r>
      <w:r w:rsidR="008840B0" w:rsidRPr="004E7154">
        <w:rPr>
          <w:rFonts w:ascii="ITC Avant Garde" w:hAnsi="ITC Avant Garde"/>
          <w:bCs/>
          <w:color w:val="000000" w:themeColor="text1"/>
          <w:sz w:val="22"/>
          <w:szCs w:val="22"/>
        </w:rPr>
        <w:t xml:space="preserve"> ante el Instituto el 11 de mayo de 2017</w:t>
      </w:r>
      <w:r w:rsidR="00B71EF6" w:rsidRPr="004E7154">
        <w:rPr>
          <w:rFonts w:ascii="ITC Avant Garde" w:hAnsi="ITC Avant Garde"/>
          <w:bCs/>
          <w:color w:val="000000" w:themeColor="text1"/>
          <w:sz w:val="22"/>
          <w:szCs w:val="22"/>
        </w:rPr>
        <w:t xml:space="preserve"> por </w:t>
      </w:r>
      <w:proofErr w:type="spellStart"/>
      <w:r w:rsidR="00AD26B2" w:rsidRPr="004E7154">
        <w:rPr>
          <w:rFonts w:ascii="ITC Avant Garde" w:hAnsi="ITC Avant Garde"/>
          <w:bCs/>
          <w:color w:val="000000" w:themeColor="text1"/>
          <w:sz w:val="22"/>
          <w:szCs w:val="22"/>
          <w:lang w:val="es-MX" w:eastAsia="es-MX"/>
        </w:rPr>
        <w:t>Ultracable</w:t>
      </w:r>
      <w:proofErr w:type="spellEnd"/>
      <w:r w:rsidR="00AD26B2" w:rsidRPr="004E7154">
        <w:rPr>
          <w:rFonts w:ascii="ITC Avant Garde" w:hAnsi="ITC Avant Garde"/>
          <w:bCs/>
          <w:color w:val="000000" w:themeColor="text1"/>
          <w:sz w:val="22"/>
          <w:szCs w:val="22"/>
          <w:lang w:val="es-MX" w:eastAsia="es-MX"/>
        </w:rPr>
        <w:t xml:space="preserve"> de América</w:t>
      </w:r>
      <w:r w:rsidR="00732BF9" w:rsidRPr="004E7154">
        <w:rPr>
          <w:rFonts w:ascii="ITC Avant Garde" w:hAnsi="ITC Avant Garde"/>
          <w:bCs/>
          <w:color w:val="000000" w:themeColor="text1"/>
          <w:sz w:val="22"/>
          <w:szCs w:val="22"/>
          <w:lang w:val="es-MX" w:eastAsia="es-MX"/>
        </w:rPr>
        <w:t xml:space="preserve">, S.A. </w:t>
      </w:r>
      <w:r w:rsidR="007D42A5" w:rsidRPr="004E7154">
        <w:rPr>
          <w:rFonts w:ascii="ITC Avant Garde" w:hAnsi="ITC Avant Garde"/>
          <w:bCs/>
          <w:color w:val="000000" w:themeColor="text1"/>
          <w:sz w:val="22"/>
          <w:szCs w:val="22"/>
          <w:lang w:val="es-MX" w:eastAsia="es-MX"/>
        </w:rPr>
        <w:t xml:space="preserve">de C.V. </w:t>
      </w:r>
      <w:r w:rsidR="00AD26B2" w:rsidRPr="004E7154">
        <w:rPr>
          <w:rFonts w:ascii="ITC Avant Garde" w:hAnsi="ITC Avant Garde"/>
          <w:bCs/>
          <w:color w:val="000000" w:themeColor="text1"/>
          <w:sz w:val="22"/>
          <w:szCs w:val="22"/>
          <w:lang w:val="es-MX"/>
        </w:rPr>
        <w:t>a través de su representante legal</w:t>
      </w:r>
      <w:r w:rsidR="008840B0" w:rsidRPr="004E7154">
        <w:rPr>
          <w:rFonts w:ascii="ITC Avant Garde" w:hAnsi="ITC Avant Garde"/>
          <w:bCs/>
          <w:color w:val="000000" w:themeColor="text1"/>
          <w:sz w:val="22"/>
          <w:szCs w:val="22"/>
          <w:lang w:val="es-MX"/>
        </w:rPr>
        <w:t>, mediante el cual</w:t>
      </w:r>
      <w:r w:rsidR="00AD26B2" w:rsidRPr="004E7154">
        <w:rPr>
          <w:rFonts w:ascii="ITC Avant Garde" w:hAnsi="ITC Avant Garde"/>
          <w:bCs/>
          <w:color w:val="000000" w:themeColor="text1"/>
          <w:sz w:val="22"/>
          <w:szCs w:val="22"/>
          <w:lang w:val="es-MX"/>
        </w:rPr>
        <w:t xml:space="preserve"> dio aviso de la intención de enajenar 5,030 </w:t>
      </w:r>
      <w:r w:rsidR="00AD26B2" w:rsidRPr="004E7154">
        <w:rPr>
          <w:rFonts w:ascii="ITC Avant Garde" w:hAnsi="ITC Avant Garde"/>
          <w:bCs/>
          <w:color w:val="000000" w:themeColor="text1"/>
          <w:sz w:val="22"/>
          <w:szCs w:val="22"/>
        </w:rPr>
        <w:t>acciones</w:t>
      </w:r>
      <w:r w:rsidR="00AD26B2" w:rsidRPr="004E7154">
        <w:rPr>
          <w:rFonts w:ascii="ITC Avant Garde" w:hAnsi="ITC Avant Garde"/>
          <w:bCs/>
          <w:color w:val="000000" w:themeColor="text1"/>
          <w:sz w:val="22"/>
          <w:szCs w:val="22"/>
          <w:lang w:val="es-MX"/>
        </w:rPr>
        <w:t xml:space="preserve"> serie A y B de dicha empresa, propiedad del C. Juan Francisco Millán Bermúdez, a favor del C. </w:t>
      </w:r>
      <w:r w:rsidR="00AD26B2" w:rsidRPr="004E7154">
        <w:rPr>
          <w:rFonts w:ascii="ITC Avant Garde" w:hAnsi="ITC Avant Garde"/>
          <w:bCs/>
          <w:color w:val="000000" w:themeColor="text1"/>
          <w:sz w:val="22"/>
          <w:szCs w:val="22"/>
        </w:rPr>
        <w:t>José</w:t>
      </w:r>
      <w:r w:rsidR="00AD26B2" w:rsidRPr="004E7154">
        <w:rPr>
          <w:rFonts w:ascii="ITC Avant Garde" w:hAnsi="ITC Avant Garde"/>
          <w:bCs/>
          <w:color w:val="000000" w:themeColor="text1"/>
          <w:sz w:val="22"/>
          <w:szCs w:val="22"/>
          <w:lang w:val="es-MX"/>
        </w:rPr>
        <w:t xml:space="preserve"> Antonio Toledo Pinto quien también </w:t>
      </w:r>
      <w:r w:rsidR="0072367C" w:rsidRPr="004E7154">
        <w:rPr>
          <w:rFonts w:ascii="ITC Avant Garde" w:hAnsi="ITC Avant Garde"/>
          <w:bCs/>
          <w:color w:val="000000" w:themeColor="text1"/>
          <w:sz w:val="22"/>
          <w:szCs w:val="22"/>
          <w:lang w:val="es-MX"/>
        </w:rPr>
        <w:t>participa</w:t>
      </w:r>
      <w:r w:rsidR="00AD26B2" w:rsidRPr="004E7154">
        <w:rPr>
          <w:rFonts w:ascii="ITC Avant Garde" w:hAnsi="ITC Avant Garde"/>
          <w:bCs/>
          <w:color w:val="000000" w:themeColor="text1"/>
          <w:sz w:val="22"/>
          <w:szCs w:val="22"/>
          <w:lang w:val="es-MX"/>
        </w:rPr>
        <w:t xml:space="preserve"> como accionista </w:t>
      </w:r>
      <w:r w:rsidR="0072367C" w:rsidRPr="004E7154">
        <w:rPr>
          <w:rFonts w:ascii="ITC Avant Garde" w:hAnsi="ITC Avant Garde"/>
          <w:bCs/>
          <w:color w:val="000000" w:themeColor="text1"/>
          <w:sz w:val="22"/>
          <w:szCs w:val="22"/>
          <w:lang w:val="es-MX"/>
        </w:rPr>
        <w:t xml:space="preserve">en </w:t>
      </w:r>
      <w:proofErr w:type="spellStart"/>
      <w:r w:rsidR="00AD26B2" w:rsidRPr="004E7154">
        <w:rPr>
          <w:rFonts w:ascii="ITC Avant Garde" w:hAnsi="ITC Avant Garde"/>
          <w:bCs/>
          <w:color w:val="000000" w:themeColor="text1"/>
          <w:sz w:val="22"/>
          <w:szCs w:val="22"/>
          <w:lang w:val="es-MX"/>
        </w:rPr>
        <w:t>Ultracable</w:t>
      </w:r>
      <w:proofErr w:type="spellEnd"/>
      <w:r w:rsidR="00AD26B2" w:rsidRPr="004E7154">
        <w:rPr>
          <w:rFonts w:ascii="ITC Avant Garde" w:hAnsi="ITC Avant Garde"/>
          <w:bCs/>
          <w:color w:val="000000" w:themeColor="text1"/>
          <w:sz w:val="22"/>
          <w:szCs w:val="22"/>
          <w:lang w:val="es-MX"/>
        </w:rPr>
        <w:t xml:space="preserve"> de América, S.A. de C.V.</w:t>
      </w:r>
    </w:p>
    <w:p w14:paraId="5858CBC5" w14:textId="39F288D4" w:rsidR="000F5A77"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De esta manera</w:t>
      </w:r>
      <w:r w:rsidR="000F5A77" w:rsidRPr="004E7154">
        <w:rPr>
          <w:rFonts w:ascii="ITC Avant Garde" w:hAnsi="ITC Avant Garde"/>
          <w:bCs/>
          <w:color w:val="000000" w:themeColor="text1"/>
          <w:sz w:val="22"/>
          <w:szCs w:val="22"/>
        </w:rPr>
        <w:t>,</w:t>
      </w:r>
      <w:r w:rsidR="00256557" w:rsidRPr="004E7154">
        <w:rPr>
          <w:rFonts w:ascii="ITC Avant Garde" w:hAnsi="ITC Avant Garde"/>
          <w:bCs/>
          <w:color w:val="000000" w:themeColor="text1"/>
          <w:sz w:val="22"/>
          <w:szCs w:val="22"/>
        </w:rPr>
        <w:t xml:space="preserve"> y </w:t>
      </w:r>
      <w:r w:rsidR="000F5A77" w:rsidRPr="004E7154">
        <w:rPr>
          <w:rFonts w:ascii="ITC Avant Garde" w:hAnsi="ITC Avant Garde"/>
          <w:bCs/>
          <w:color w:val="000000" w:themeColor="text1"/>
          <w:sz w:val="22"/>
          <w:szCs w:val="22"/>
        </w:rPr>
        <w:t xml:space="preserve">de conformidad con la información señalada en la Solicitud de </w:t>
      </w:r>
      <w:r w:rsidR="00D3079C" w:rsidRPr="004E7154">
        <w:rPr>
          <w:rFonts w:ascii="ITC Avant Garde" w:hAnsi="ITC Avant Garde"/>
          <w:bCs/>
          <w:color w:val="000000" w:themeColor="text1"/>
          <w:sz w:val="22"/>
          <w:szCs w:val="22"/>
        </w:rPr>
        <w:t xml:space="preserve">Enajenación </w:t>
      </w:r>
      <w:r w:rsidR="000F5A77" w:rsidRPr="004E7154">
        <w:rPr>
          <w:rFonts w:ascii="ITC Avant Garde" w:hAnsi="ITC Avant Garde"/>
          <w:bCs/>
          <w:color w:val="000000" w:themeColor="text1"/>
          <w:sz w:val="22"/>
          <w:szCs w:val="22"/>
        </w:rPr>
        <w:t>de Acciones</w:t>
      </w:r>
      <w:r w:rsidR="00D3079C" w:rsidRPr="004E7154">
        <w:rPr>
          <w:rFonts w:ascii="ITC Avant Garde" w:hAnsi="ITC Avant Garde"/>
          <w:bCs/>
          <w:color w:val="000000" w:themeColor="text1"/>
          <w:sz w:val="22"/>
          <w:szCs w:val="22"/>
        </w:rPr>
        <w:t xml:space="preserve">, </w:t>
      </w:r>
      <w:r w:rsidR="0090376A" w:rsidRPr="004E7154">
        <w:rPr>
          <w:rFonts w:ascii="ITC Avant Garde" w:hAnsi="ITC Avant Garde"/>
          <w:bCs/>
          <w:color w:val="000000" w:themeColor="text1"/>
          <w:sz w:val="22"/>
          <w:szCs w:val="22"/>
        </w:rPr>
        <w:t xml:space="preserve">se desprende que </w:t>
      </w:r>
      <w:r w:rsidR="000F5A77" w:rsidRPr="004E7154">
        <w:rPr>
          <w:rFonts w:ascii="ITC Avant Garde" w:hAnsi="ITC Avant Garde"/>
          <w:bCs/>
          <w:color w:val="000000" w:themeColor="text1"/>
          <w:sz w:val="22"/>
          <w:szCs w:val="22"/>
        </w:rPr>
        <w:t xml:space="preserve">la estructura accionaria de </w:t>
      </w:r>
      <w:proofErr w:type="spellStart"/>
      <w:r w:rsidR="00D3079C" w:rsidRPr="004E7154">
        <w:rPr>
          <w:rFonts w:ascii="ITC Avant Garde" w:hAnsi="ITC Avant Garde"/>
          <w:bCs/>
          <w:color w:val="000000" w:themeColor="text1"/>
          <w:sz w:val="22"/>
          <w:szCs w:val="22"/>
          <w:lang w:val="es-MX" w:eastAsia="es-MX"/>
        </w:rPr>
        <w:t>Ultracable</w:t>
      </w:r>
      <w:proofErr w:type="spellEnd"/>
      <w:r w:rsidR="00D3079C" w:rsidRPr="004E7154">
        <w:rPr>
          <w:rFonts w:ascii="ITC Avant Garde" w:hAnsi="ITC Avant Garde"/>
          <w:bCs/>
          <w:color w:val="000000" w:themeColor="text1"/>
          <w:sz w:val="22"/>
          <w:szCs w:val="22"/>
          <w:lang w:val="es-MX" w:eastAsia="es-MX"/>
        </w:rPr>
        <w:t xml:space="preserve"> de América, S.A. de C.V.</w:t>
      </w:r>
      <w:r w:rsidR="00D3079C" w:rsidRPr="004E7154">
        <w:rPr>
          <w:rFonts w:ascii="ITC Avant Garde" w:hAnsi="ITC Avant Garde"/>
          <w:bCs/>
          <w:color w:val="000000" w:themeColor="text1"/>
          <w:sz w:val="22"/>
          <w:szCs w:val="22"/>
        </w:rPr>
        <w:t xml:space="preserve"> </w:t>
      </w:r>
      <w:r w:rsidR="004A7B76" w:rsidRPr="004E7154">
        <w:rPr>
          <w:rFonts w:ascii="ITC Avant Garde" w:hAnsi="ITC Avant Garde"/>
          <w:bCs/>
          <w:color w:val="000000" w:themeColor="text1"/>
          <w:sz w:val="22"/>
          <w:szCs w:val="22"/>
        </w:rPr>
        <w:t>antes de</w:t>
      </w:r>
      <w:r w:rsidR="000F5A77" w:rsidRPr="004E7154">
        <w:rPr>
          <w:rFonts w:ascii="ITC Avant Garde" w:hAnsi="ITC Avant Garde"/>
          <w:bCs/>
          <w:color w:val="000000" w:themeColor="text1"/>
          <w:sz w:val="22"/>
          <w:szCs w:val="22"/>
        </w:rPr>
        <w:t xml:space="preserve"> que se lleve a cabo la operación</w:t>
      </w:r>
      <w:r w:rsidR="0072367C" w:rsidRPr="004E7154">
        <w:rPr>
          <w:rFonts w:ascii="ITC Avant Garde" w:hAnsi="ITC Avant Garde"/>
          <w:bCs/>
          <w:color w:val="000000" w:themeColor="text1"/>
          <w:sz w:val="22"/>
          <w:szCs w:val="22"/>
        </w:rPr>
        <w:t>,</w:t>
      </w:r>
      <w:r w:rsidR="000F5A77" w:rsidRPr="004E7154">
        <w:rPr>
          <w:rFonts w:ascii="ITC Avant Garde" w:hAnsi="ITC Avant Garde"/>
          <w:bCs/>
          <w:color w:val="000000" w:themeColor="text1"/>
          <w:sz w:val="22"/>
          <w:szCs w:val="22"/>
        </w:rPr>
        <w:t xml:space="preserve"> se encuentra integrada de la siguiente manera:</w:t>
      </w:r>
    </w:p>
    <w:tbl>
      <w:tblPr>
        <w:tblStyle w:val="Tablaconcuadrcula"/>
        <w:tblW w:w="7486" w:type="dxa"/>
        <w:jc w:val="center"/>
        <w:tblLayout w:type="fixed"/>
        <w:tblLook w:val="0000" w:firstRow="0" w:lastRow="0" w:firstColumn="0" w:lastColumn="0" w:noHBand="0" w:noVBand="0"/>
        <w:tblCaption w:val="Solicitud de Enajenación de Acciones"/>
        <w:tblDescription w:val="En una tabla de 3 columnas y 5 filas, se proporciona la estructura accionaria de Ultracable de América, S.A. de C.V. "/>
      </w:tblPr>
      <w:tblGrid>
        <w:gridCol w:w="3114"/>
        <w:gridCol w:w="2410"/>
        <w:gridCol w:w="1962"/>
      </w:tblGrid>
      <w:tr w:rsidR="00582E27" w:rsidRPr="004E7154" w14:paraId="1827CF1C" w14:textId="77777777" w:rsidTr="00582E27">
        <w:trPr>
          <w:trHeight w:val="197"/>
          <w:tblHeader/>
          <w:jc w:val="center"/>
        </w:trPr>
        <w:tc>
          <w:tcPr>
            <w:tcW w:w="3114" w:type="dxa"/>
            <w:shd w:val="clear" w:color="auto" w:fill="BFBFBF" w:themeFill="background1" w:themeFillShade="BF"/>
            <w:noWrap/>
            <w:vAlign w:val="center"/>
          </w:tcPr>
          <w:p w14:paraId="1AE39BBC" w14:textId="4D84296B"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ACCIONISTA</w:t>
            </w:r>
          </w:p>
        </w:tc>
        <w:tc>
          <w:tcPr>
            <w:tcW w:w="2410" w:type="dxa"/>
            <w:shd w:val="clear" w:color="auto" w:fill="BFBFBF" w:themeFill="background1" w:themeFillShade="BF"/>
            <w:vAlign w:val="center"/>
          </w:tcPr>
          <w:p w14:paraId="55B42E6D" w14:textId="4C7F2282"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ACCIONES SERIE “A” Y “B”</w:t>
            </w:r>
          </w:p>
        </w:tc>
        <w:tc>
          <w:tcPr>
            <w:tcW w:w="1962" w:type="dxa"/>
            <w:shd w:val="clear" w:color="auto" w:fill="BFBFBF" w:themeFill="background1" w:themeFillShade="BF"/>
            <w:vAlign w:val="center"/>
          </w:tcPr>
          <w:p w14:paraId="7C65FFF5" w14:textId="7F754374"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PORCENTAJE DE PARTICIPACIÓN</w:t>
            </w:r>
          </w:p>
        </w:tc>
      </w:tr>
      <w:tr w:rsidR="00582E27" w:rsidRPr="004E7154" w14:paraId="70829732" w14:textId="77777777" w:rsidTr="00582E27">
        <w:trPr>
          <w:trHeight w:val="385"/>
          <w:jc w:val="center"/>
        </w:trPr>
        <w:tc>
          <w:tcPr>
            <w:tcW w:w="3114" w:type="dxa"/>
          </w:tcPr>
          <w:p w14:paraId="4A411EA4" w14:textId="4AE00E1C" w:rsidR="00582E27" w:rsidRPr="004E7154" w:rsidRDefault="00582E27" w:rsidP="004E7154">
            <w:pP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José Antonio Toledo Pinto</w:t>
            </w:r>
          </w:p>
        </w:tc>
        <w:tc>
          <w:tcPr>
            <w:tcW w:w="2410" w:type="dxa"/>
          </w:tcPr>
          <w:p w14:paraId="49FE8C76" w14:textId="56426D24" w:rsidR="00582E27" w:rsidRPr="004E7154" w:rsidRDefault="00582E27" w:rsidP="004E7154">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3,772</w:t>
            </w:r>
          </w:p>
        </w:tc>
        <w:tc>
          <w:tcPr>
            <w:tcW w:w="1962" w:type="dxa"/>
          </w:tcPr>
          <w:p w14:paraId="455F7710" w14:textId="19E8739F" w:rsidR="00582E27" w:rsidRPr="004E7154" w:rsidRDefault="00582E27" w:rsidP="004E7154">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29.99%</w:t>
            </w:r>
          </w:p>
        </w:tc>
      </w:tr>
      <w:tr w:rsidR="00582E27" w:rsidRPr="004E7154" w14:paraId="62441BE8" w14:textId="77777777" w:rsidTr="00582E27">
        <w:trPr>
          <w:trHeight w:val="314"/>
          <w:jc w:val="center"/>
        </w:trPr>
        <w:tc>
          <w:tcPr>
            <w:tcW w:w="3114" w:type="dxa"/>
          </w:tcPr>
          <w:p w14:paraId="5CEF5CF6" w14:textId="1E280030" w:rsidR="00582E27" w:rsidRPr="004E7154" w:rsidRDefault="00582E27" w:rsidP="004E7154">
            <w:pP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lastRenderedPageBreak/>
              <w:t xml:space="preserve">José Antonio Toledo </w:t>
            </w:r>
            <w:proofErr w:type="spellStart"/>
            <w:r w:rsidRPr="004E7154">
              <w:rPr>
                <w:rFonts w:ascii="ITC Avant Garde" w:hAnsi="ITC Avant Garde" w:cs="Calibri"/>
                <w:color w:val="000000" w:themeColor="text1"/>
                <w:sz w:val="14"/>
                <w:szCs w:val="14"/>
              </w:rPr>
              <w:t>Ortíz</w:t>
            </w:r>
            <w:proofErr w:type="spellEnd"/>
          </w:p>
        </w:tc>
        <w:tc>
          <w:tcPr>
            <w:tcW w:w="2410" w:type="dxa"/>
          </w:tcPr>
          <w:p w14:paraId="3314D84D" w14:textId="3DF5A06C" w:rsidR="00582E27" w:rsidRPr="004E7154" w:rsidRDefault="00582E27" w:rsidP="004E7154">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3,773</w:t>
            </w:r>
          </w:p>
        </w:tc>
        <w:tc>
          <w:tcPr>
            <w:tcW w:w="1962" w:type="dxa"/>
          </w:tcPr>
          <w:p w14:paraId="41BADE0F" w14:textId="263B5B69" w:rsidR="00582E27" w:rsidRPr="004E7154" w:rsidRDefault="00582E27" w:rsidP="004E7154">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30.01%</w:t>
            </w:r>
          </w:p>
        </w:tc>
      </w:tr>
      <w:tr w:rsidR="00582E27" w:rsidRPr="004E7154" w14:paraId="6439702B" w14:textId="77777777" w:rsidTr="00582E27">
        <w:trPr>
          <w:trHeight w:val="314"/>
          <w:jc w:val="center"/>
        </w:trPr>
        <w:tc>
          <w:tcPr>
            <w:tcW w:w="3114" w:type="dxa"/>
          </w:tcPr>
          <w:p w14:paraId="69EF6CBE" w14:textId="62DFA5AE" w:rsidR="00582E27" w:rsidRPr="004E7154" w:rsidRDefault="00582E27" w:rsidP="004E7154">
            <w:pP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Juan Francisco Millán Bermúdez</w:t>
            </w:r>
          </w:p>
        </w:tc>
        <w:tc>
          <w:tcPr>
            <w:tcW w:w="2410" w:type="dxa"/>
          </w:tcPr>
          <w:p w14:paraId="24220BC3" w14:textId="20CFD0DF" w:rsidR="00582E27" w:rsidRPr="004E7154" w:rsidRDefault="00582E27" w:rsidP="004E7154">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5,030</w:t>
            </w:r>
          </w:p>
        </w:tc>
        <w:tc>
          <w:tcPr>
            <w:tcW w:w="1962" w:type="dxa"/>
          </w:tcPr>
          <w:p w14:paraId="492A0431" w14:textId="6AB9348A" w:rsidR="00582E27" w:rsidRPr="004E7154" w:rsidRDefault="00582E27" w:rsidP="004E7154">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40.0%</w:t>
            </w:r>
          </w:p>
        </w:tc>
      </w:tr>
      <w:tr w:rsidR="00582E27" w:rsidRPr="004E7154" w14:paraId="3D43CC0B" w14:textId="77777777" w:rsidTr="00582E27">
        <w:trPr>
          <w:trHeight w:val="276"/>
          <w:jc w:val="center"/>
        </w:trPr>
        <w:tc>
          <w:tcPr>
            <w:tcW w:w="3114" w:type="dxa"/>
          </w:tcPr>
          <w:p w14:paraId="0A911F94" w14:textId="77777777"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Total de Acciones</w:t>
            </w:r>
          </w:p>
        </w:tc>
        <w:tc>
          <w:tcPr>
            <w:tcW w:w="2410" w:type="dxa"/>
          </w:tcPr>
          <w:p w14:paraId="36ED79D3" w14:textId="336ABEF2"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12,575</w:t>
            </w:r>
          </w:p>
        </w:tc>
        <w:tc>
          <w:tcPr>
            <w:tcW w:w="1962" w:type="dxa"/>
          </w:tcPr>
          <w:p w14:paraId="4F6756B6" w14:textId="48D26098"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100%</w:t>
            </w:r>
          </w:p>
        </w:tc>
      </w:tr>
    </w:tbl>
    <w:p w14:paraId="4EC4B7D6" w14:textId="1CC50CC5" w:rsidR="00256557" w:rsidRPr="004E7154" w:rsidRDefault="00A94ADD" w:rsidP="004E7154">
      <w:pPr>
        <w:autoSpaceDE w:val="0"/>
        <w:autoSpaceDN w:val="0"/>
        <w:adjustRightInd w:val="0"/>
        <w:spacing w:before="240" w:after="240"/>
        <w:jc w:val="both"/>
        <w:rPr>
          <w:rFonts w:ascii="ITC Avant Garde" w:hAnsi="ITC Avant Garde"/>
          <w:bCs/>
          <w:color w:val="000000" w:themeColor="text1"/>
          <w:sz w:val="22"/>
          <w:szCs w:val="22"/>
          <w:lang w:val="es-MX" w:eastAsia="es-MX"/>
        </w:rPr>
      </w:pPr>
      <w:r w:rsidRPr="004E7154">
        <w:rPr>
          <w:rFonts w:ascii="ITC Avant Garde" w:hAnsi="ITC Avant Garde"/>
          <w:bCs/>
          <w:color w:val="000000" w:themeColor="text1"/>
          <w:sz w:val="22"/>
          <w:szCs w:val="22"/>
          <w:lang w:val="es-MX" w:eastAsia="es-MX"/>
        </w:rPr>
        <w:t xml:space="preserve">De autorizarse la Solicitud de </w:t>
      </w:r>
      <w:r w:rsidR="003361AD" w:rsidRPr="004E7154">
        <w:rPr>
          <w:rFonts w:ascii="ITC Avant Garde" w:hAnsi="ITC Avant Garde"/>
          <w:bCs/>
          <w:color w:val="000000" w:themeColor="text1"/>
          <w:sz w:val="22"/>
          <w:szCs w:val="22"/>
          <w:lang w:val="es-MX" w:eastAsia="es-MX"/>
        </w:rPr>
        <w:t>Enajenación</w:t>
      </w:r>
      <w:r w:rsidRPr="004E7154">
        <w:rPr>
          <w:rFonts w:ascii="ITC Avant Garde" w:hAnsi="ITC Avant Garde"/>
          <w:bCs/>
          <w:color w:val="000000" w:themeColor="text1"/>
          <w:sz w:val="22"/>
          <w:szCs w:val="22"/>
          <w:lang w:val="es-MX" w:eastAsia="es-MX"/>
        </w:rPr>
        <w:t xml:space="preserve"> de Acciones y una vez que ésta se concrete, la </w:t>
      </w:r>
      <w:r w:rsidRPr="004E7154">
        <w:rPr>
          <w:rFonts w:ascii="ITC Avant Garde" w:hAnsi="ITC Avant Garde"/>
          <w:bCs/>
          <w:color w:val="000000" w:themeColor="text1"/>
          <w:sz w:val="22"/>
          <w:szCs w:val="22"/>
        </w:rPr>
        <w:t>estructura</w:t>
      </w:r>
      <w:r w:rsidRPr="004E7154">
        <w:rPr>
          <w:rFonts w:ascii="ITC Avant Garde" w:hAnsi="ITC Avant Garde"/>
          <w:bCs/>
          <w:color w:val="000000" w:themeColor="text1"/>
          <w:sz w:val="22"/>
          <w:szCs w:val="22"/>
          <w:lang w:val="es-MX" w:eastAsia="es-MX"/>
        </w:rPr>
        <w:t xml:space="preserve"> accionaria de </w:t>
      </w:r>
      <w:proofErr w:type="spellStart"/>
      <w:r w:rsidR="003361AD" w:rsidRPr="004E7154">
        <w:rPr>
          <w:rFonts w:ascii="ITC Avant Garde" w:hAnsi="ITC Avant Garde"/>
          <w:bCs/>
          <w:color w:val="000000" w:themeColor="text1"/>
          <w:sz w:val="22"/>
          <w:szCs w:val="22"/>
          <w:lang w:val="es-MX" w:eastAsia="es-MX"/>
        </w:rPr>
        <w:t>Ultracable</w:t>
      </w:r>
      <w:proofErr w:type="spellEnd"/>
      <w:r w:rsidR="003361AD" w:rsidRPr="004E7154">
        <w:rPr>
          <w:rFonts w:ascii="ITC Avant Garde" w:hAnsi="ITC Avant Garde"/>
          <w:bCs/>
          <w:color w:val="000000" w:themeColor="text1"/>
          <w:sz w:val="22"/>
          <w:szCs w:val="22"/>
          <w:lang w:val="es-MX" w:eastAsia="es-MX"/>
        </w:rPr>
        <w:t xml:space="preserve"> de América, S.A. de C.V.</w:t>
      </w:r>
      <w:r w:rsidR="0080016B"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lang w:val="es-MX" w:eastAsia="es-MX"/>
        </w:rPr>
        <w:t>quedaría de la siguiente forma:</w:t>
      </w:r>
    </w:p>
    <w:tbl>
      <w:tblPr>
        <w:tblStyle w:val="Tablaconcuadrcula"/>
        <w:tblW w:w="7563" w:type="dxa"/>
        <w:jc w:val="center"/>
        <w:tblLayout w:type="fixed"/>
        <w:tblLook w:val="0000" w:firstRow="0" w:lastRow="0" w:firstColumn="0" w:lastColumn="0" w:noHBand="0" w:noVBand="0"/>
        <w:tblCaption w:val="Propuesta de estructura accionaria"/>
        <w:tblDescription w:val="En una tabla de 3 columnas y 5 filas, se proporciona cómo quedaría la estructura accionaria de Ultracable de América, S.A. de C.V. de ser aprobada la solicitud."/>
      </w:tblPr>
      <w:tblGrid>
        <w:gridCol w:w="2689"/>
        <w:gridCol w:w="2693"/>
        <w:gridCol w:w="2181"/>
      </w:tblGrid>
      <w:tr w:rsidR="00582E27" w:rsidRPr="004E7154" w14:paraId="017F4F0C" w14:textId="77777777" w:rsidTr="00582E27">
        <w:trPr>
          <w:trHeight w:val="230"/>
          <w:tblHeader/>
          <w:jc w:val="center"/>
        </w:trPr>
        <w:tc>
          <w:tcPr>
            <w:tcW w:w="2689" w:type="dxa"/>
            <w:shd w:val="clear" w:color="auto" w:fill="BFBFBF" w:themeFill="background1" w:themeFillShade="BF"/>
            <w:noWrap/>
          </w:tcPr>
          <w:p w14:paraId="1EBC34AD" w14:textId="7798835E" w:rsidR="00582E27" w:rsidRPr="004E7154" w:rsidRDefault="00582E27" w:rsidP="004E7154">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ACCIONISTA</w:t>
            </w:r>
          </w:p>
        </w:tc>
        <w:tc>
          <w:tcPr>
            <w:tcW w:w="2693" w:type="dxa"/>
            <w:shd w:val="clear" w:color="auto" w:fill="BFBFBF" w:themeFill="background1" w:themeFillShade="BF"/>
          </w:tcPr>
          <w:p w14:paraId="353DA538" w14:textId="513CE211" w:rsidR="00582E27" w:rsidRPr="004E7154" w:rsidRDefault="00582E27" w:rsidP="004E7154">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ACCIONES SERIE “A” Y “B”</w:t>
            </w:r>
          </w:p>
        </w:tc>
        <w:tc>
          <w:tcPr>
            <w:tcW w:w="2181" w:type="dxa"/>
            <w:shd w:val="clear" w:color="auto" w:fill="BFBFBF" w:themeFill="background1" w:themeFillShade="BF"/>
          </w:tcPr>
          <w:p w14:paraId="18F81D0E" w14:textId="0064DE96" w:rsidR="00582E27" w:rsidRPr="004E7154" w:rsidRDefault="00582E27" w:rsidP="004E7154">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PORCENTAJE DE PARTICIPACIÓN</w:t>
            </w:r>
          </w:p>
        </w:tc>
      </w:tr>
      <w:tr w:rsidR="00582E27" w:rsidRPr="004E7154" w14:paraId="4FC6244E" w14:textId="77777777" w:rsidTr="00582E27">
        <w:trPr>
          <w:trHeight w:val="356"/>
          <w:jc w:val="center"/>
        </w:trPr>
        <w:tc>
          <w:tcPr>
            <w:tcW w:w="2689" w:type="dxa"/>
          </w:tcPr>
          <w:p w14:paraId="0C08323D" w14:textId="5E8DD63F" w:rsidR="00582E27" w:rsidRPr="004E7154" w:rsidRDefault="00582E27" w:rsidP="004E7154">
            <w:pP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José Antonio Toledo Pinto</w:t>
            </w:r>
          </w:p>
        </w:tc>
        <w:tc>
          <w:tcPr>
            <w:tcW w:w="2693" w:type="dxa"/>
          </w:tcPr>
          <w:p w14:paraId="317C0E73" w14:textId="65EE17DC" w:rsidR="00582E27" w:rsidRPr="004E7154" w:rsidRDefault="00582E27" w:rsidP="004E7154">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8,802</w:t>
            </w:r>
          </w:p>
        </w:tc>
        <w:tc>
          <w:tcPr>
            <w:tcW w:w="2181" w:type="dxa"/>
          </w:tcPr>
          <w:p w14:paraId="7F433145" w14:textId="3D8AA8C1" w:rsidR="00582E27" w:rsidRPr="004E7154" w:rsidRDefault="00582E27" w:rsidP="004E7154">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69.99%</w:t>
            </w:r>
          </w:p>
        </w:tc>
      </w:tr>
      <w:tr w:rsidR="00582E27" w:rsidRPr="004E7154" w14:paraId="61C641D0" w14:textId="77777777" w:rsidTr="00582E27">
        <w:trPr>
          <w:trHeight w:val="291"/>
          <w:jc w:val="center"/>
        </w:trPr>
        <w:tc>
          <w:tcPr>
            <w:tcW w:w="2689" w:type="dxa"/>
          </w:tcPr>
          <w:p w14:paraId="7F6BACB5" w14:textId="6380EC3C" w:rsidR="00582E27" w:rsidRPr="004E7154" w:rsidRDefault="00582E27" w:rsidP="004E7154">
            <w:pP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 xml:space="preserve">José Antonio Toledo </w:t>
            </w:r>
            <w:proofErr w:type="spellStart"/>
            <w:r w:rsidRPr="004E7154">
              <w:rPr>
                <w:rFonts w:ascii="ITC Avant Garde" w:hAnsi="ITC Avant Garde" w:cs="Calibri"/>
                <w:color w:val="000000" w:themeColor="text1"/>
                <w:sz w:val="14"/>
                <w:szCs w:val="14"/>
              </w:rPr>
              <w:t>Ortíz</w:t>
            </w:r>
            <w:proofErr w:type="spellEnd"/>
          </w:p>
        </w:tc>
        <w:tc>
          <w:tcPr>
            <w:tcW w:w="2693" w:type="dxa"/>
          </w:tcPr>
          <w:p w14:paraId="60CD9CEE" w14:textId="439FB9E5" w:rsidR="00582E27" w:rsidRPr="004E7154" w:rsidRDefault="00582E27" w:rsidP="004E7154">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3,773</w:t>
            </w:r>
          </w:p>
        </w:tc>
        <w:tc>
          <w:tcPr>
            <w:tcW w:w="2181" w:type="dxa"/>
          </w:tcPr>
          <w:p w14:paraId="4B0A35FF" w14:textId="368A23E8" w:rsidR="00582E27" w:rsidRPr="004E7154" w:rsidRDefault="00582E27" w:rsidP="004E7154">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30.01%</w:t>
            </w:r>
          </w:p>
        </w:tc>
      </w:tr>
      <w:tr w:rsidR="00582E27" w:rsidRPr="004E7154" w14:paraId="7615567A" w14:textId="77777777" w:rsidTr="00582E27">
        <w:trPr>
          <w:trHeight w:val="255"/>
          <w:jc w:val="center"/>
        </w:trPr>
        <w:tc>
          <w:tcPr>
            <w:tcW w:w="2689" w:type="dxa"/>
          </w:tcPr>
          <w:p w14:paraId="453A5B81" w14:textId="77777777"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Total de Acciones</w:t>
            </w:r>
          </w:p>
        </w:tc>
        <w:tc>
          <w:tcPr>
            <w:tcW w:w="2693" w:type="dxa"/>
          </w:tcPr>
          <w:p w14:paraId="6AD53CE0" w14:textId="0628693D"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12,575</w:t>
            </w:r>
          </w:p>
        </w:tc>
        <w:tc>
          <w:tcPr>
            <w:tcW w:w="2181" w:type="dxa"/>
          </w:tcPr>
          <w:p w14:paraId="118D557D" w14:textId="75809610" w:rsidR="00582E27" w:rsidRPr="004E7154" w:rsidRDefault="00582E27" w:rsidP="004E7154">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100%</w:t>
            </w:r>
          </w:p>
        </w:tc>
      </w:tr>
    </w:tbl>
    <w:p w14:paraId="441551A2"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 xml:space="preserve">Por otra parte, la Dirección General de Concentraciones y Concesiones, adscrita a la Unidad de Competencia Económica, emitió opinión respecto de la Solicitud de </w:t>
      </w:r>
      <w:r w:rsidR="00270AF5" w:rsidRPr="004E7154">
        <w:rPr>
          <w:rFonts w:ascii="ITC Avant Garde" w:hAnsi="ITC Avant Garde"/>
          <w:bCs/>
          <w:color w:val="000000" w:themeColor="text1"/>
          <w:sz w:val="22"/>
          <w:szCs w:val="22"/>
        </w:rPr>
        <w:t>Enajenación</w:t>
      </w:r>
      <w:r w:rsidRPr="004E7154">
        <w:rPr>
          <w:rFonts w:ascii="ITC Avant Garde" w:hAnsi="ITC Avant Garde"/>
          <w:bCs/>
          <w:color w:val="000000" w:themeColor="text1"/>
          <w:sz w:val="22"/>
          <w:szCs w:val="22"/>
        </w:rPr>
        <w:t xml:space="preserve"> de Acciones</w:t>
      </w:r>
      <w:r w:rsidR="009C4F5E" w:rsidRPr="004E7154">
        <w:rPr>
          <w:rFonts w:ascii="ITC Avant Garde" w:hAnsi="ITC Avant Garde"/>
          <w:bCs/>
          <w:color w:val="000000" w:themeColor="text1"/>
          <w:sz w:val="22"/>
          <w:szCs w:val="22"/>
        </w:rPr>
        <w:t xml:space="preserve"> a través del oficio IFT/226/UCE/DG-CCON/</w:t>
      </w:r>
      <w:r w:rsidR="00F410EF" w:rsidRPr="004E7154">
        <w:rPr>
          <w:rFonts w:ascii="ITC Avant Garde" w:hAnsi="ITC Avant Garde"/>
          <w:bCs/>
          <w:color w:val="000000" w:themeColor="text1"/>
          <w:sz w:val="22"/>
          <w:szCs w:val="22"/>
        </w:rPr>
        <w:t>47</w:t>
      </w:r>
      <w:r w:rsidR="0072367C" w:rsidRPr="004E7154">
        <w:rPr>
          <w:rFonts w:ascii="ITC Avant Garde" w:hAnsi="ITC Avant Garde"/>
          <w:bCs/>
          <w:color w:val="000000" w:themeColor="text1"/>
          <w:sz w:val="22"/>
          <w:szCs w:val="22"/>
        </w:rPr>
        <w:t>2</w:t>
      </w:r>
      <w:r w:rsidR="009C4F5E" w:rsidRPr="004E7154">
        <w:rPr>
          <w:rFonts w:ascii="ITC Avant Garde" w:hAnsi="ITC Avant Garde"/>
          <w:bCs/>
          <w:color w:val="000000" w:themeColor="text1"/>
          <w:sz w:val="22"/>
          <w:szCs w:val="22"/>
        </w:rPr>
        <w:t xml:space="preserve">/2017 de fecha </w:t>
      </w:r>
      <w:r w:rsidR="0072367C" w:rsidRPr="004E7154">
        <w:rPr>
          <w:rFonts w:ascii="ITC Avant Garde" w:hAnsi="ITC Avant Garde"/>
          <w:bCs/>
          <w:color w:val="000000" w:themeColor="text1"/>
          <w:sz w:val="22"/>
          <w:szCs w:val="22"/>
        </w:rPr>
        <w:t xml:space="preserve">3 de julio </w:t>
      </w:r>
      <w:r w:rsidR="009C4F5E" w:rsidRPr="004E7154">
        <w:rPr>
          <w:rFonts w:ascii="ITC Avant Garde" w:hAnsi="ITC Avant Garde"/>
          <w:bCs/>
          <w:color w:val="000000" w:themeColor="text1"/>
          <w:sz w:val="22"/>
          <w:szCs w:val="22"/>
        </w:rPr>
        <w:t>de 2017</w:t>
      </w:r>
      <w:r w:rsidRPr="004E7154">
        <w:rPr>
          <w:rFonts w:ascii="ITC Avant Garde" w:hAnsi="ITC Avant Garde"/>
          <w:bCs/>
          <w:color w:val="000000" w:themeColor="text1"/>
          <w:sz w:val="22"/>
          <w:szCs w:val="22"/>
        </w:rPr>
        <w:t xml:space="preserve">, </w:t>
      </w:r>
      <w:r w:rsidR="009C4F5E" w:rsidRPr="004E7154">
        <w:rPr>
          <w:rFonts w:ascii="ITC Avant Garde" w:hAnsi="ITC Avant Garde"/>
          <w:bCs/>
          <w:color w:val="000000" w:themeColor="text1"/>
          <w:sz w:val="22"/>
          <w:szCs w:val="22"/>
        </w:rPr>
        <w:t>concluyendo</w:t>
      </w:r>
      <w:r w:rsidRPr="004E7154">
        <w:rPr>
          <w:rFonts w:ascii="ITC Avant Garde" w:hAnsi="ITC Avant Garde"/>
          <w:bCs/>
          <w:color w:val="000000" w:themeColor="text1"/>
          <w:sz w:val="22"/>
          <w:szCs w:val="22"/>
        </w:rPr>
        <w:t xml:space="preserve"> lo siguiente:</w:t>
      </w:r>
    </w:p>
    <w:p w14:paraId="19892103" w14:textId="77777777" w:rsidR="004E7154" w:rsidRPr="004E7154" w:rsidRDefault="0072367C" w:rsidP="004E7154">
      <w:pPr>
        <w:autoSpaceDE w:val="0"/>
        <w:autoSpaceDN w:val="0"/>
        <w:adjustRightInd w:val="0"/>
        <w:spacing w:before="240" w:after="240"/>
        <w:ind w:left="709" w:right="615"/>
        <w:jc w:val="both"/>
        <w:rPr>
          <w:rFonts w:ascii="ITC Avant Garde" w:hAnsi="ITC Avant Garde"/>
          <w:bCs/>
          <w:color w:val="000000" w:themeColor="text1"/>
          <w:sz w:val="18"/>
          <w:szCs w:val="18"/>
        </w:rPr>
      </w:pPr>
      <w:r w:rsidRPr="004E7154">
        <w:rPr>
          <w:rFonts w:ascii="ITC Avant Garde" w:hAnsi="ITC Avant Garde"/>
          <w:bCs/>
          <w:color w:val="000000" w:themeColor="text1"/>
          <w:sz w:val="18"/>
          <w:szCs w:val="18"/>
        </w:rPr>
        <w:t xml:space="preserve">“Con base en la información disponible, se concluye que la enajenación de la totalidad de las acciones representativas del capital social de la empresa </w:t>
      </w:r>
      <w:proofErr w:type="spellStart"/>
      <w:r w:rsidRPr="004E7154">
        <w:rPr>
          <w:rFonts w:ascii="ITC Avant Garde" w:hAnsi="ITC Avant Garde"/>
          <w:bCs/>
          <w:color w:val="000000" w:themeColor="text1"/>
          <w:sz w:val="18"/>
          <w:szCs w:val="18"/>
        </w:rPr>
        <w:t>Ultracable</w:t>
      </w:r>
      <w:proofErr w:type="spellEnd"/>
      <w:r w:rsidRPr="004E7154">
        <w:rPr>
          <w:rFonts w:ascii="ITC Avant Garde" w:hAnsi="ITC Avant Garde"/>
          <w:bCs/>
          <w:color w:val="000000" w:themeColor="text1"/>
          <w:sz w:val="18"/>
          <w:szCs w:val="18"/>
        </w:rPr>
        <w:t xml:space="preserve"> de América, S.A. de C.V., por parte de su actual accionista Juan Francisco Millán Bermúdez, a favor de José Antonio Toledo Pinto, previsiblemente no tendría efectos contrarios al proceso de competencia y libre concurrencia en la provisión de servicios de telecomunicaciones en México, y en particular en el servicio de televisión restringida por cable, acceso a internet y transmisión de datos en las localidades de </w:t>
      </w:r>
      <w:proofErr w:type="spellStart"/>
      <w:r w:rsidRPr="004E7154">
        <w:rPr>
          <w:rFonts w:ascii="ITC Avant Garde" w:hAnsi="ITC Avant Garde"/>
          <w:bCs/>
          <w:color w:val="000000" w:themeColor="text1"/>
          <w:sz w:val="18"/>
          <w:szCs w:val="18"/>
        </w:rPr>
        <w:t>Teacapán</w:t>
      </w:r>
      <w:proofErr w:type="spellEnd"/>
      <w:r w:rsidRPr="004E7154">
        <w:rPr>
          <w:rFonts w:ascii="ITC Avant Garde" w:hAnsi="ITC Avant Garde"/>
          <w:bCs/>
          <w:color w:val="000000" w:themeColor="text1"/>
          <w:sz w:val="18"/>
          <w:szCs w:val="18"/>
        </w:rPr>
        <w:t xml:space="preserve">, Colonia Morelos, Palmito Del Verde, Celaya, Las Cabras, Cristo Rey, Isla Del Bosque pertenecientes al municipio de </w:t>
      </w:r>
      <w:proofErr w:type="spellStart"/>
      <w:r w:rsidRPr="004E7154">
        <w:rPr>
          <w:rFonts w:ascii="ITC Avant Garde" w:hAnsi="ITC Avant Garde"/>
          <w:bCs/>
          <w:color w:val="000000" w:themeColor="text1"/>
          <w:sz w:val="18"/>
          <w:szCs w:val="18"/>
        </w:rPr>
        <w:t>Escuinapa</w:t>
      </w:r>
      <w:proofErr w:type="spellEnd"/>
      <w:r w:rsidRPr="004E7154">
        <w:rPr>
          <w:rFonts w:ascii="ITC Avant Garde" w:hAnsi="ITC Avant Garde"/>
          <w:bCs/>
          <w:color w:val="000000" w:themeColor="text1"/>
          <w:sz w:val="18"/>
          <w:szCs w:val="18"/>
        </w:rPr>
        <w:t xml:space="preserve">, Sinaloa; así como Monterrey, San Pedro Garza García, Guadalupe, Ciudad Benito Juárez y Ciudad Apodaca del Estado de Nuevo León. Ello en virtud de que José Antonio Toledo Pinto -adquirente o comprador- y sus familiares hasta el cuarto grado no son titulares de concesiones y/o permisos en México ni cuenta con participación alguna en otras sociedades dedicadas a los sectores de telecomunicaciones y/o radiodifusión, ni  forman parte del Consejo de administración o detente cargos de dirección en empresas, sociedades o asociaciones en </w:t>
      </w:r>
      <w:r w:rsidRPr="004E7154">
        <w:rPr>
          <w:rFonts w:ascii="ITC Avant Garde" w:hAnsi="ITC Avant Garde"/>
          <w:bCs/>
          <w:color w:val="000000" w:themeColor="text1"/>
          <w:sz w:val="22"/>
          <w:szCs w:val="22"/>
        </w:rPr>
        <w:t>México</w:t>
      </w:r>
      <w:r w:rsidRPr="004E7154">
        <w:rPr>
          <w:rFonts w:ascii="ITC Avant Garde" w:hAnsi="ITC Avant Garde"/>
          <w:bCs/>
          <w:color w:val="000000" w:themeColor="text1"/>
          <w:sz w:val="18"/>
          <w:szCs w:val="18"/>
        </w:rPr>
        <w:t>, relacionadas con los sectores de telecomunicaciones o radiodifusión</w:t>
      </w:r>
      <w:r w:rsidR="00BE741F" w:rsidRPr="004E7154">
        <w:rPr>
          <w:rFonts w:ascii="ITC Avant Garde" w:hAnsi="ITC Avant Garde"/>
          <w:bCs/>
          <w:color w:val="000000" w:themeColor="text1"/>
          <w:sz w:val="18"/>
          <w:szCs w:val="18"/>
        </w:rPr>
        <w:t>.”</w:t>
      </w:r>
    </w:p>
    <w:p w14:paraId="39818715" w14:textId="00E98467" w:rsidR="004E7154" w:rsidRPr="004E7154" w:rsidRDefault="007C188F"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Por lo que se refiere al segundo requisito de procedencia</w:t>
      </w:r>
      <w:r w:rsidR="00F80A22" w:rsidRPr="004E7154">
        <w:rPr>
          <w:rFonts w:ascii="ITC Avant Garde" w:hAnsi="ITC Avant Garde"/>
          <w:bCs/>
          <w:color w:val="000000" w:themeColor="text1"/>
          <w:sz w:val="22"/>
          <w:szCs w:val="22"/>
        </w:rPr>
        <w:t xml:space="preserve">, </w:t>
      </w:r>
      <w:r w:rsidR="0063584B" w:rsidRPr="004E7154">
        <w:rPr>
          <w:rFonts w:ascii="ITC Avant Garde" w:hAnsi="ITC Avant Garde"/>
          <w:bCs/>
          <w:color w:val="000000" w:themeColor="text1"/>
          <w:sz w:val="22"/>
          <w:szCs w:val="22"/>
        </w:rPr>
        <w:t xml:space="preserve">el </w:t>
      </w:r>
      <w:r w:rsidR="006D251B" w:rsidRPr="004E7154">
        <w:rPr>
          <w:rFonts w:ascii="ITC Avant Garde" w:hAnsi="ITC Avant Garde"/>
          <w:bCs/>
          <w:color w:val="000000" w:themeColor="text1"/>
          <w:sz w:val="22"/>
          <w:szCs w:val="22"/>
        </w:rPr>
        <w:t>23</w:t>
      </w:r>
      <w:r w:rsidR="0063584B" w:rsidRPr="004E7154">
        <w:rPr>
          <w:rFonts w:ascii="ITC Avant Garde" w:hAnsi="ITC Avant Garde"/>
          <w:bCs/>
          <w:color w:val="000000" w:themeColor="text1"/>
          <w:sz w:val="22"/>
          <w:szCs w:val="22"/>
        </w:rPr>
        <w:t xml:space="preserve"> de </w:t>
      </w:r>
      <w:r w:rsidR="006D251B" w:rsidRPr="004E7154">
        <w:rPr>
          <w:rFonts w:ascii="ITC Avant Garde" w:hAnsi="ITC Avant Garde"/>
          <w:bCs/>
          <w:color w:val="000000" w:themeColor="text1"/>
          <w:sz w:val="22"/>
          <w:szCs w:val="22"/>
        </w:rPr>
        <w:t>mayo</w:t>
      </w:r>
      <w:r w:rsidR="0063584B" w:rsidRPr="004E7154">
        <w:rPr>
          <w:rFonts w:ascii="ITC Avant Garde" w:hAnsi="ITC Avant Garde"/>
          <w:bCs/>
          <w:color w:val="000000" w:themeColor="text1"/>
          <w:sz w:val="22"/>
          <w:szCs w:val="22"/>
        </w:rPr>
        <w:t xml:space="preserve"> de 2017 </w:t>
      </w:r>
      <w:proofErr w:type="spellStart"/>
      <w:r w:rsidR="006D251B" w:rsidRPr="004E7154">
        <w:rPr>
          <w:rFonts w:ascii="ITC Avant Garde" w:hAnsi="ITC Avant Garde"/>
          <w:bCs/>
          <w:color w:val="000000" w:themeColor="text1"/>
          <w:sz w:val="22"/>
          <w:szCs w:val="22"/>
          <w:lang w:val="es-MX" w:eastAsia="es-MX"/>
        </w:rPr>
        <w:t>Ultracable</w:t>
      </w:r>
      <w:proofErr w:type="spellEnd"/>
      <w:r w:rsidR="006D251B" w:rsidRPr="004E7154">
        <w:rPr>
          <w:rFonts w:ascii="ITC Avant Garde" w:hAnsi="ITC Avant Garde"/>
          <w:bCs/>
          <w:color w:val="000000" w:themeColor="text1"/>
          <w:sz w:val="22"/>
          <w:szCs w:val="22"/>
          <w:lang w:val="es-MX" w:eastAsia="es-MX"/>
        </w:rPr>
        <w:t xml:space="preserve"> </w:t>
      </w:r>
      <w:r w:rsidR="006D251B" w:rsidRPr="004E7154">
        <w:rPr>
          <w:rFonts w:ascii="ITC Avant Garde" w:hAnsi="ITC Avant Garde"/>
          <w:bCs/>
          <w:color w:val="000000" w:themeColor="text1"/>
          <w:sz w:val="22"/>
          <w:szCs w:val="22"/>
        </w:rPr>
        <w:t>de América, S.A. de C.V.</w:t>
      </w:r>
      <w:r w:rsidR="004863B9" w:rsidRPr="004E7154">
        <w:rPr>
          <w:rFonts w:ascii="ITC Avant Garde" w:hAnsi="ITC Avant Garde"/>
          <w:bCs/>
          <w:color w:val="000000" w:themeColor="text1"/>
          <w:sz w:val="22"/>
          <w:szCs w:val="22"/>
        </w:rPr>
        <w:t>,</w:t>
      </w:r>
      <w:r w:rsidR="006D251B" w:rsidRPr="004E7154">
        <w:rPr>
          <w:rFonts w:ascii="ITC Avant Garde" w:hAnsi="ITC Avant Garde"/>
          <w:bCs/>
          <w:color w:val="000000" w:themeColor="text1"/>
          <w:sz w:val="22"/>
          <w:szCs w:val="22"/>
        </w:rPr>
        <w:t xml:space="preserve"> en respuesta al oficio IFT/223/UCS/DG-CTEL/1100/2017 de fecha 16 de mayo de 2017, presentó el comprobante</w:t>
      </w:r>
      <w:r w:rsidR="00E82625" w:rsidRPr="004E7154">
        <w:rPr>
          <w:rFonts w:ascii="ITC Avant Garde" w:hAnsi="ITC Avant Garde"/>
          <w:bCs/>
          <w:color w:val="000000" w:themeColor="text1"/>
          <w:sz w:val="22"/>
          <w:szCs w:val="22"/>
        </w:rPr>
        <w:t xml:space="preserve"> de pago de derechos por el estudio y, en su caso, la autorización de solicitudes de modificaciones técnicas, administrativas, operativas y legales, relativa a la suscripción o enajenación de acciones o partes sociales que requiera autorización en términos de la Ley, atendiendo de esta forma a lo dispuesto por el artículo 174-C fracción VII de la Ley Federal de Derechos, anexando el comprobante fiscal digital con número de factura 170006229.</w:t>
      </w:r>
    </w:p>
    <w:p w14:paraId="4E7D0268" w14:textId="77777777" w:rsidR="004E7154" w:rsidRPr="004E7154" w:rsidRDefault="004A16AA"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Por otra parte</w:t>
      </w:r>
      <w:r w:rsidR="007C242C" w:rsidRPr="004E7154">
        <w:rPr>
          <w:rFonts w:ascii="ITC Avant Garde" w:hAnsi="ITC Avant Garde"/>
          <w:bCs/>
          <w:color w:val="000000" w:themeColor="text1"/>
          <w:sz w:val="22"/>
          <w:szCs w:val="22"/>
        </w:rPr>
        <w:t>, en relación con lo señalado en el párrafo décimo séptimo del artículo 28 de la Constitución, a través del oficio IFT/223/UCS/</w:t>
      </w:r>
      <w:r w:rsidR="001419EB" w:rsidRPr="004E7154">
        <w:rPr>
          <w:rFonts w:ascii="ITC Avant Garde" w:hAnsi="ITC Avant Garde"/>
          <w:bCs/>
          <w:color w:val="000000" w:themeColor="text1"/>
          <w:sz w:val="22"/>
          <w:szCs w:val="22"/>
        </w:rPr>
        <w:t>800</w:t>
      </w:r>
      <w:r w:rsidR="007C242C" w:rsidRPr="004E7154">
        <w:rPr>
          <w:rFonts w:ascii="ITC Avant Garde" w:hAnsi="ITC Avant Garde"/>
          <w:bCs/>
          <w:color w:val="000000" w:themeColor="text1"/>
          <w:sz w:val="22"/>
          <w:szCs w:val="22"/>
        </w:rPr>
        <w:t xml:space="preserve">/2017 notificado el </w:t>
      </w:r>
      <w:r w:rsidR="00CA1C6D" w:rsidRPr="004E7154">
        <w:rPr>
          <w:rFonts w:ascii="ITC Avant Garde" w:hAnsi="ITC Avant Garde"/>
          <w:bCs/>
          <w:color w:val="000000" w:themeColor="text1"/>
          <w:sz w:val="22"/>
          <w:szCs w:val="22"/>
        </w:rPr>
        <w:t>2</w:t>
      </w:r>
      <w:r w:rsidR="001419EB" w:rsidRPr="004E7154">
        <w:rPr>
          <w:rFonts w:ascii="ITC Avant Garde" w:hAnsi="ITC Avant Garde"/>
          <w:bCs/>
          <w:color w:val="000000" w:themeColor="text1"/>
          <w:sz w:val="22"/>
          <w:szCs w:val="22"/>
        </w:rPr>
        <w:t>5</w:t>
      </w:r>
      <w:r w:rsidR="007C242C" w:rsidRPr="004E7154">
        <w:rPr>
          <w:rFonts w:ascii="ITC Avant Garde" w:hAnsi="ITC Avant Garde"/>
          <w:bCs/>
          <w:color w:val="000000" w:themeColor="text1"/>
          <w:sz w:val="22"/>
          <w:szCs w:val="22"/>
        </w:rPr>
        <w:t xml:space="preserve"> de </w:t>
      </w:r>
      <w:r w:rsidR="003E3927" w:rsidRPr="004E7154">
        <w:rPr>
          <w:rFonts w:ascii="ITC Avant Garde" w:hAnsi="ITC Avant Garde"/>
          <w:bCs/>
          <w:color w:val="000000" w:themeColor="text1"/>
          <w:sz w:val="22"/>
          <w:szCs w:val="22"/>
        </w:rPr>
        <w:t>ma</w:t>
      </w:r>
      <w:r w:rsidR="001419EB" w:rsidRPr="004E7154">
        <w:rPr>
          <w:rFonts w:ascii="ITC Avant Garde" w:hAnsi="ITC Avant Garde"/>
          <w:bCs/>
          <w:color w:val="000000" w:themeColor="text1"/>
          <w:sz w:val="22"/>
          <w:szCs w:val="22"/>
        </w:rPr>
        <w:t>y</w:t>
      </w:r>
      <w:r w:rsidR="003E3927" w:rsidRPr="004E7154">
        <w:rPr>
          <w:rFonts w:ascii="ITC Avant Garde" w:hAnsi="ITC Avant Garde"/>
          <w:bCs/>
          <w:color w:val="000000" w:themeColor="text1"/>
          <w:sz w:val="22"/>
          <w:szCs w:val="22"/>
        </w:rPr>
        <w:t>o</w:t>
      </w:r>
      <w:r w:rsidR="007C242C" w:rsidRPr="004E7154">
        <w:rPr>
          <w:rFonts w:ascii="ITC Avant Garde" w:hAnsi="ITC Avant Garde"/>
          <w:bCs/>
          <w:color w:val="000000" w:themeColor="text1"/>
          <w:sz w:val="22"/>
          <w:szCs w:val="22"/>
        </w:rPr>
        <w:t xml:space="preserve"> de </w:t>
      </w:r>
      <w:r w:rsidR="007C242C" w:rsidRPr="004E7154">
        <w:rPr>
          <w:rFonts w:ascii="ITC Avant Garde" w:hAnsi="ITC Avant Garde"/>
          <w:bCs/>
          <w:color w:val="000000" w:themeColor="text1"/>
          <w:sz w:val="22"/>
          <w:szCs w:val="22"/>
        </w:rPr>
        <w:lastRenderedPageBreak/>
        <w:t xml:space="preserve">2017, el Instituto solicitó a la Secretaría opinión técnica correspondiente a la Solicitud de </w:t>
      </w:r>
      <w:r w:rsidR="001419EB" w:rsidRPr="004E7154">
        <w:rPr>
          <w:rFonts w:ascii="ITC Avant Garde" w:hAnsi="ITC Avant Garde"/>
          <w:bCs/>
          <w:color w:val="000000" w:themeColor="text1"/>
          <w:sz w:val="22"/>
          <w:szCs w:val="22"/>
        </w:rPr>
        <w:t>Enajenación</w:t>
      </w:r>
      <w:r w:rsidR="007C242C" w:rsidRPr="004E7154">
        <w:rPr>
          <w:rFonts w:ascii="ITC Avant Garde" w:hAnsi="ITC Avant Garde"/>
          <w:bCs/>
          <w:color w:val="000000" w:themeColor="text1"/>
          <w:sz w:val="22"/>
          <w:szCs w:val="22"/>
        </w:rPr>
        <w:t xml:space="preserve"> de Acciones. </w:t>
      </w:r>
      <w:r w:rsidR="0091136C" w:rsidRPr="004E7154">
        <w:rPr>
          <w:rFonts w:ascii="ITC Avant Garde" w:hAnsi="ITC Avant Garde"/>
          <w:bCs/>
          <w:color w:val="000000" w:themeColor="text1"/>
          <w:sz w:val="22"/>
          <w:szCs w:val="22"/>
        </w:rPr>
        <w:t>En virtud de lo anterior, mediante oficio 2.1.-236/2017 recibido en el Instituto el 4 de julio de 2017, la Dirección General de Política de Telecomunicaciones y de Radiodifusión remitió el oficio 1.-151, mediante el cual la Secretaría emitió la opinión técnica correspondiente a la Solicitud de Enajenación de Acciones</w:t>
      </w:r>
      <w:r w:rsidR="007C242C" w:rsidRPr="004E7154">
        <w:rPr>
          <w:rFonts w:ascii="ITC Avant Garde" w:hAnsi="ITC Avant Garde"/>
          <w:bCs/>
          <w:color w:val="000000" w:themeColor="text1"/>
          <w:sz w:val="22"/>
          <w:szCs w:val="22"/>
        </w:rPr>
        <w:t>.</w:t>
      </w:r>
    </w:p>
    <w:p w14:paraId="4D5B7A6A"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 xml:space="preserve">Por lo anteriormente señalado, y con fundamento en los artículos 28 párrafos décimo </w:t>
      </w:r>
      <w:r w:rsidR="00093253" w:rsidRPr="004E7154">
        <w:rPr>
          <w:rFonts w:ascii="ITC Avant Garde" w:hAnsi="ITC Avant Garde"/>
          <w:bCs/>
          <w:color w:val="000000" w:themeColor="text1"/>
          <w:sz w:val="22"/>
          <w:szCs w:val="22"/>
        </w:rPr>
        <w:t xml:space="preserve">quinto, </w:t>
      </w:r>
      <w:r w:rsidR="001C201F" w:rsidRPr="004E7154">
        <w:rPr>
          <w:rFonts w:ascii="ITC Avant Garde" w:hAnsi="ITC Avant Garde"/>
          <w:bCs/>
          <w:color w:val="000000" w:themeColor="text1"/>
          <w:sz w:val="22"/>
          <w:szCs w:val="22"/>
        </w:rPr>
        <w:t xml:space="preserve">décimo </w:t>
      </w:r>
      <w:r w:rsidRPr="004E7154">
        <w:rPr>
          <w:rFonts w:ascii="ITC Avant Garde" w:hAnsi="ITC Avant Garde"/>
          <w:bCs/>
          <w:color w:val="000000" w:themeColor="text1"/>
          <w:sz w:val="22"/>
          <w:szCs w:val="22"/>
        </w:rPr>
        <w:t>sexto y décimo séptimo de la Constitución Política de los Estados Unidos Mexicanos; 6 fracción IV, 7, 15 fracción IV, 17 fracción I</w:t>
      </w:r>
      <w:r w:rsidR="00BD0CEE"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112</w:t>
      </w:r>
      <w:r w:rsidR="00C80B3E" w:rsidRPr="004E7154">
        <w:rPr>
          <w:rFonts w:ascii="ITC Avant Garde" w:hAnsi="ITC Avant Garde"/>
          <w:bCs/>
          <w:color w:val="000000" w:themeColor="text1"/>
          <w:sz w:val="22"/>
          <w:szCs w:val="22"/>
        </w:rPr>
        <w:t xml:space="preserve"> y 177 fracciones XI</w:t>
      </w:r>
      <w:r w:rsidR="00CD3535"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de la Ley Federal de Teleco</w:t>
      </w:r>
      <w:r w:rsidR="002E3769" w:rsidRPr="004E7154">
        <w:rPr>
          <w:rFonts w:ascii="ITC Avant Garde" w:hAnsi="ITC Avant Garde"/>
          <w:bCs/>
          <w:color w:val="000000" w:themeColor="text1"/>
          <w:sz w:val="22"/>
          <w:szCs w:val="22"/>
        </w:rPr>
        <w:t>m</w:t>
      </w:r>
      <w:r w:rsidR="00EF13D2" w:rsidRPr="004E7154">
        <w:rPr>
          <w:rFonts w:ascii="ITC Avant Garde" w:hAnsi="ITC Avant Garde"/>
          <w:bCs/>
          <w:color w:val="000000" w:themeColor="text1"/>
          <w:sz w:val="22"/>
          <w:szCs w:val="22"/>
        </w:rPr>
        <w:t>unicaciones y Radiodifusión; 5 y</w:t>
      </w:r>
      <w:r w:rsidRPr="004E7154">
        <w:rPr>
          <w:rFonts w:ascii="ITC Avant Garde" w:hAnsi="ITC Avant Garde"/>
          <w:bCs/>
          <w:color w:val="000000" w:themeColor="text1"/>
          <w:sz w:val="22"/>
          <w:szCs w:val="22"/>
        </w:rPr>
        <w:t xml:space="preserve"> 86</w:t>
      </w:r>
      <w:r w:rsidR="00C80B3E"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de la Ley Federal de Competencia Económica;</w:t>
      </w:r>
      <w:r w:rsidR="00041FC1"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35 fracción I, 36, 38 y 39 de la Ley Federal de Procedimiento Administrativo; 174-C fracción VII, de la Ley Federal de Derechos; y 1, 6 fracción XXXVII</w:t>
      </w:r>
      <w:r w:rsidR="002E3769" w:rsidRPr="004E7154">
        <w:rPr>
          <w:rFonts w:ascii="ITC Avant Garde" w:hAnsi="ITC Avant Garde"/>
          <w:bCs/>
          <w:color w:val="000000" w:themeColor="text1"/>
          <w:sz w:val="22"/>
          <w:szCs w:val="22"/>
        </w:rPr>
        <w:t>I, 32, 33 fracción</w:t>
      </w:r>
      <w:r w:rsidR="00BD0CEE" w:rsidRPr="004E7154">
        <w:rPr>
          <w:rFonts w:ascii="ITC Avant Garde" w:hAnsi="ITC Avant Garde"/>
          <w:bCs/>
          <w:color w:val="000000" w:themeColor="text1"/>
          <w:sz w:val="22"/>
          <w:szCs w:val="22"/>
        </w:rPr>
        <w:t xml:space="preserve"> </w:t>
      </w:r>
      <w:r w:rsidR="00707A64" w:rsidRPr="004E7154">
        <w:rPr>
          <w:rFonts w:ascii="ITC Avant Garde" w:hAnsi="ITC Avant Garde"/>
          <w:bCs/>
          <w:color w:val="000000" w:themeColor="text1"/>
          <w:sz w:val="22"/>
          <w:szCs w:val="22"/>
        </w:rPr>
        <w:t xml:space="preserve">IV del Estatuto </w:t>
      </w:r>
      <w:r w:rsidRPr="004E7154">
        <w:rPr>
          <w:rFonts w:ascii="ITC Avant Garde" w:hAnsi="ITC Avant Garde"/>
          <w:bCs/>
          <w:color w:val="000000" w:themeColor="text1"/>
          <w:sz w:val="22"/>
          <w:szCs w:val="22"/>
        </w:rPr>
        <w:t>Orgánico del Instituto Federal de Telecomunicaciones, este órgano autónomo emite los siguientes:</w:t>
      </w:r>
    </w:p>
    <w:p w14:paraId="069EC3C1" w14:textId="77777777" w:rsidR="004E7154" w:rsidRPr="00927C6B" w:rsidRDefault="00F80A22" w:rsidP="00927C6B">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927C6B">
        <w:rPr>
          <w:rFonts w:ascii="ITC Avant Garde" w:eastAsiaTheme="majorEastAsia" w:hAnsi="ITC Avant Garde" w:cstheme="majorBidi"/>
          <w:color w:val="000000" w:themeColor="text1"/>
          <w:sz w:val="22"/>
          <w:szCs w:val="22"/>
          <w:lang w:eastAsia="en-US"/>
        </w:rPr>
        <w:t>RESOLUTIVOS</w:t>
      </w:r>
    </w:p>
    <w:p w14:paraId="3F11BFD1" w14:textId="49741D8F"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t xml:space="preserve">PRIMERO.- </w:t>
      </w:r>
      <w:r w:rsidRPr="004E7154">
        <w:rPr>
          <w:rFonts w:ascii="ITC Avant Garde" w:hAnsi="ITC Avant Garde"/>
          <w:bCs/>
          <w:color w:val="000000" w:themeColor="text1"/>
          <w:sz w:val="22"/>
          <w:szCs w:val="22"/>
        </w:rPr>
        <w:t xml:space="preserve">Se autoriza a la empresa </w:t>
      </w:r>
      <w:proofErr w:type="spellStart"/>
      <w:r w:rsidR="006755AF" w:rsidRPr="004E7154">
        <w:rPr>
          <w:rFonts w:ascii="ITC Avant Garde" w:hAnsi="ITC Avant Garde"/>
          <w:bCs/>
          <w:color w:val="000000" w:themeColor="text1"/>
          <w:sz w:val="22"/>
          <w:szCs w:val="22"/>
          <w:lang w:val="es-MX" w:eastAsia="es-MX"/>
        </w:rPr>
        <w:t>Ultracable</w:t>
      </w:r>
      <w:proofErr w:type="spellEnd"/>
      <w:r w:rsidR="006755AF" w:rsidRPr="004E7154">
        <w:rPr>
          <w:rFonts w:ascii="ITC Avant Garde" w:hAnsi="ITC Avant Garde"/>
          <w:bCs/>
          <w:color w:val="000000" w:themeColor="text1"/>
          <w:sz w:val="22"/>
          <w:szCs w:val="22"/>
          <w:lang w:val="es-MX" w:eastAsia="es-MX"/>
        </w:rPr>
        <w:t xml:space="preserve"> de América, S.A. de C.V. </w:t>
      </w:r>
      <w:r w:rsidRPr="004E7154">
        <w:rPr>
          <w:rFonts w:ascii="ITC Avant Garde" w:hAnsi="ITC Avant Garde"/>
          <w:bCs/>
          <w:color w:val="000000" w:themeColor="text1"/>
          <w:sz w:val="22"/>
          <w:szCs w:val="22"/>
        </w:rPr>
        <w:t xml:space="preserve">a llevar a cabo la </w:t>
      </w:r>
      <w:r w:rsidR="006755AF" w:rsidRPr="004E7154">
        <w:rPr>
          <w:rFonts w:ascii="ITC Avant Garde" w:hAnsi="ITC Avant Garde"/>
          <w:bCs/>
          <w:color w:val="000000" w:themeColor="text1"/>
          <w:sz w:val="22"/>
          <w:szCs w:val="22"/>
        </w:rPr>
        <w:t xml:space="preserve">enajenación </w:t>
      </w:r>
      <w:r w:rsidRPr="004E7154">
        <w:rPr>
          <w:rFonts w:ascii="ITC Avant Garde" w:hAnsi="ITC Avant Garde"/>
          <w:bCs/>
          <w:color w:val="000000" w:themeColor="text1"/>
          <w:sz w:val="22"/>
          <w:szCs w:val="22"/>
        </w:rPr>
        <w:t>de acciones solicitada</w:t>
      </w:r>
      <w:r w:rsidR="00CD3535" w:rsidRPr="004E7154">
        <w:rPr>
          <w:rFonts w:ascii="ITC Avant Garde" w:hAnsi="ITC Avant Garde"/>
          <w:bCs/>
          <w:color w:val="000000" w:themeColor="text1"/>
          <w:sz w:val="22"/>
          <w:szCs w:val="22"/>
        </w:rPr>
        <w:t xml:space="preserve">, en términos </w:t>
      </w:r>
      <w:r w:rsidR="005559A6" w:rsidRPr="004E7154">
        <w:rPr>
          <w:rFonts w:ascii="ITC Avant Garde" w:hAnsi="ITC Avant Garde"/>
          <w:bCs/>
          <w:color w:val="000000" w:themeColor="text1"/>
          <w:sz w:val="22"/>
          <w:szCs w:val="22"/>
        </w:rPr>
        <w:t>de</w:t>
      </w:r>
      <w:r w:rsidR="00CD3535" w:rsidRPr="004E7154">
        <w:rPr>
          <w:rFonts w:ascii="ITC Avant Garde" w:hAnsi="ITC Avant Garde"/>
          <w:bCs/>
          <w:color w:val="000000" w:themeColor="text1"/>
          <w:sz w:val="22"/>
          <w:szCs w:val="22"/>
        </w:rPr>
        <w:t xml:space="preserve"> lo señalado en el Considerando Cuarto de la presente Resolución</w:t>
      </w:r>
      <w:r w:rsidRPr="004E7154">
        <w:rPr>
          <w:rFonts w:ascii="ITC Avant Garde" w:hAnsi="ITC Avant Garde"/>
          <w:bCs/>
          <w:color w:val="000000" w:themeColor="text1"/>
          <w:sz w:val="22"/>
          <w:szCs w:val="22"/>
        </w:rPr>
        <w:t>, a efecto de que la estructura accionaria de dicha concesionaria quede de la siguiente manera:</w:t>
      </w:r>
    </w:p>
    <w:tbl>
      <w:tblPr>
        <w:tblStyle w:val="Tablaconcuadrcula"/>
        <w:tblW w:w="8517" w:type="dxa"/>
        <w:jc w:val="center"/>
        <w:tblLayout w:type="fixed"/>
        <w:tblLook w:val="0000" w:firstRow="0" w:lastRow="0" w:firstColumn="0" w:lastColumn="0" w:noHBand="0" w:noVBand="0"/>
        <w:tblCaption w:val="Estructura accionaria"/>
        <w:tblDescription w:val="En una tabla de 3 columnas y 5 filas, se proporciona la estructura accionaria aprobada para Ultracable de América, S.A. de C.V. "/>
      </w:tblPr>
      <w:tblGrid>
        <w:gridCol w:w="3254"/>
        <w:gridCol w:w="2837"/>
        <w:gridCol w:w="2426"/>
      </w:tblGrid>
      <w:tr w:rsidR="00582E27" w:rsidRPr="004E7154" w14:paraId="06F20D16" w14:textId="77777777" w:rsidTr="00582E27">
        <w:trPr>
          <w:trHeight w:val="173"/>
          <w:tblHeader/>
          <w:jc w:val="center"/>
        </w:trPr>
        <w:tc>
          <w:tcPr>
            <w:tcW w:w="3254" w:type="dxa"/>
            <w:shd w:val="clear" w:color="auto" w:fill="BFBFBF" w:themeFill="background1" w:themeFillShade="BF"/>
            <w:noWrap/>
          </w:tcPr>
          <w:p w14:paraId="43708573" w14:textId="6A26B8C7"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ACCIONISTA</w:t>
            </w:r>
          </w:p>
        </w:tc>
        <w:tc>
          <w:tcPr>
            <w:tcW w:w="2837" w:type="dxa"/>
            <w:shd w:val="clear" w:color="auto" w:fill="BFBFBF" w:themeFill="background1" w:themeFillShade="BF"/>
          </w:tcPr>
          <w:p w14:paraId="4EBC63C5" w14:textId="50F43D77"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ACCIONES SERIE “A” Y “B”</w:t>
            </w:r>
          </w:p>
        </w:tc>
        <w:tc>
          <w:tcPr>
            <w:tcW w:w="2426" w:type="dxa"/>
            <w:shd w:val="clear" w:color="auto" w:fill="BFBFBF" w:themeFill="background1" w:themeFillShade="BF"/>
          </w:tcPr>
          <w:p w14:paraId="2C4C51FC" w14:textId="221129DE" w:rsidR="00582E27" w:rsidRPr="004E7154" w:rsidRDefault="00582E27" w:rsidP="00582E27">
            <w:pPr>
              <w:jc w:val="center"/>
              <w:rPr>
                <w:rFonts w:ascii="ITC Avant Garde" w:hAnsi="ITC Avant Garde" w:cs="Calibri"/>
                <w:b/>
                <w:bCs/>
                <w:color w:val="000000" w:themeColor="text1"/>
                <w:sz w:val="14"/>
                <w:szCs w:val="14"/>
              </w:rPr>
            </w:pPr>
            <w:r w:rsidRPr="004E7154">
              <w:rPr>
                <w:rFonts w:ascii="ITC Avant Garde" w:hAnsi="ITC Avant Garde" w:cs="Calibri"/>
                <w:b/>
                <w:bCs/>
                <w:color w:val="000000" w:themeColor="text1"/>
                <w:sz w:val="14"/>
                <w:szCs w:val="14"/>
              </w:rPr>
              <w:t>PORCENTAJE DE PARTICIPACIÓN</w:t>
            </w:r>
          </w:p>
        </w:tc>
      </w:tr>
      <w:tr w:rsidR="00582E27" w:rsidRPr="004E7154" w14:paraId="629AE7CE" w14:textId="77777777" w:rsidTr="00582E27">
        <w:trPr>
          <w:trHeight w:val="487"/>
          <w:jc w:val="center"/>
        </w:trPr>
        <w:tc>
          <w:tcPr>
            <w:tcW w:w="3254" w:type="dxa"/>
          </w:tcPr>
          <w:p w14:paraId="0EECC4FC" w14:textId="5FB84ED6" w:rsidR="00582E27" w:rsidRPr="004E7154" w:rsidRDefault="00582E27" w:rsidP="00582E27">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José Antonio Toledo Pinto</w:t>
            </w:r>
          </w:p>
        </w:tc>
        <w:tc>
          <w:tcPr>
            <w:tcW w:w="2837" w:type="dxa"/>
          </w:tcPr>
          <w:p w14:paraId="2C4DAFAB" w14:textId="4E6B9753" w:rsidR="00582E27" w:rsidRPr="004E7154" w:rsidRDefault="00582E27" w:rsidP="00582E27">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8,802</w:t>
            </w:r>
          </w:p>
        </w:tc>
        <w:tc>
          <w:tcPr>
            <w:tcW w:w="2426" w:type="dxa"/>
          </w:tcPr>
          <w:p w14:paraId="3B590ED5" w14:textId="4CC7E1CD" w:rsidR="00582E27" w:rsidRPr="004E7154" w:rsidRDefault="00582E27" w:rsidP="00582E27">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69.99%</w:t>
            </w:r>
          </w:p>
        </w:tc>
      </w:tr>
      <w:tr w:rsidR="00582E27" w:rsidRPr="004E7154" w14:paraId="0B850548" w14:textId="77777777" w:rsidTr="00582E27">
        <w:trPr>
          <w:trHeight w:val="397"/>
          <w:jc w:val="center"/>
        </w:trPr>
        <w:tc>
          <w:tcPr>
            <w:tcW w:w="3254" w:type="dxa"/>
          </w:tcPr>
          <w:p w14:paraId="6BBBAF49" w14:textId="107F445B" w:rsidR="00582E27" w:rsidRPr="004E7154" w:rsidRDefault="00582E27" w:rsidP="00582E27">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 xml:space="preserve">José Antonio Toledo </w:t>
            </w:r>
            <w:proofErr w:type="spellStart"/>
            <w:r w:rsidRPr="004E7154">
              <w:rPr>
                <w:rFonts w:ascii="ITC Avant Garde" w:hAnsi="ITC Avant Garde" w:cs="Calibri"/>
                <w:color w:val="000000" w:themeColor="text1"/>
                <w:sz w:val="14"/>
                <w:szCs w:val="14"/>
              </w:rPr>
              <w:t>Ortíz</w:t>
            </w:r>
            <w:proofErr w:type="spellEnd"/>
          </w:p>
        </w:tc>
        <w:tc>
          <w:tcPr>
            <w:tcW w:w="2837" w:type="dxa"/>
          </w:tcPr>
          <w:p w14:paraId="1A40817A" w14:textId="60719BD2" w:rsidR="00582E27" w:rsidRPr="004E7154" w:rsidRDefault="00582E27" w:rsidP="00582E27">
            <w:pPr>
              <w:jc w:val="center"/>
              <w:rPr>
                <w:rFonts w:ascii="ITC Avant Garde" w:hAnsi="ITC Avant Garde" w:cs="Calibri"/>
                <w:color w:val="000000" w:themeColor="text1"/>
                <w:sz w:val="14"/>
                <w:szCs w:val="14"/>
              </w:rPr>
            </w:pPr>
            <w:r w:rsidRPr="004E7154">
              <w:rPr>
                <w:rFonts w:ascii="ITC Avant Garde" w:hAnsi="ITC Avant Garde" w:cs="Calibri"/>
                <w:color w:val="000000" w:themeColor="text1"/>
                <w:sz w:val="14"/>
                <w:szCs w:val="14"/>
              </w:rPr>
              <w:t>3,773</w:t>
            </w:r>
          </w:p>
        </w:tc>
        <w:tc>
          <w:tcPr>
            <w:tcW w:w="2426" w:type="dxa"/>
          </w:tcPr>
          <w:p w14:paraId="37B3E5D6" w14:textId="2C129150" w:rsidR="00582E27" w:rsidRPr="004E7154" w:rsidRDefault="00582E27" w:rsidP="00582E27">
            <w:pPr>
              <w:jc w:val="center"/>
              <w:rPr>
                <w:rFonts w:ascii="ITC Avant Garde" w:hAnsi="ITC Avant Garde" w:cs="Calibri"/>
                <w:color w:val="000000" w:themeColor="text1"/>
                <w:sz w:val="14"/>
                <w:szCs w:val="14"/>
                <w:highlight w:val="yellow"/>
              </w:rPr>
            </w:pPr>
            <w:r w:rsidRPr="004E7154">
              <w:rPr>
                <w:rFonts w:ascii="ITC Avant Garde" w:hAnsi="ITC Avant Garde" w:cs="Calibri"/>
                <w:color w:val="000000" w:themeColor="text1"/>
                <w:sz w:val="14"/>
                <w:szCs w:val="14"/>
              </w:rPr>
              <w:t>30.01%</w:t>
            </w:r>
          </w:p>
        </w:tc>
      </w:tr>
      <w:tr w:rsidR="00582E27" w:rsidRPr="004E7154" w14:paraId="5E3AF3A8" w14:textId="77777777" w:rsidTr="00582E27">
        <w:trPr>
          <w:trHeight w:val="349"/>
          <w:jc w:val="center"/>
        </w:trPr>
        <w:tc>
          <w:tcPr>
            <w:tcW w:w="3254" w:type="dxa"/>
          </w:tcPr>
          <w:p w14:paraId="09285A06" w14:textId="77777777" w:rsidR="00582E27" w:rsidRPr="004E7154" w:rsidRDefault="00582E27" w:rsidP="00582E27">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Total de Acciones</w:t>
            </w:r>
          </w:p>
        </w:tc>
        <w:tc>
          <w:tcPr>
            <w:tcW w:w="2837" w:type="dxa"/>
          </w:tcPr>
          <w:p w14:paraId="6C125ADD" w14:textId="4DA2AD85" w:rsidR="00582E27" w:rsidRPr="004E7154" w:rsidRDefault="00582E27" w:rsidP="00582E27">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12,575</w:t>
            </w:r>
          </w:p>
        </w:tc>
        <w:tc>
          <w:tcPr>
            <w:tcW w:w="2426" w:type="dxa"/>
          </w:tcPr>
          <w:p w14:paraId="1734C374" w14:textId="1DD711EB" w:rsidR="00582E27" w:rsidRPr="004E7154" w:rsidRDefault="00582E27" w:rsidP="00582E27">
            <w:pPr>
              <w:jc w:val="center"/>
              <w:rPr>
                <w:rFonts w:ascii="ITC Avant Garde" w:hAnsi="ITC Avant Garde" w:cs="Calibri"/>
                <w:b/>
                <w:color w:val="000000" w:themeColor="text1"/>
                <w:sz w:val="14"/>
                <w:szCs w:val="14"/>
              </w:rPr>
            </w:pPr>
            <w:r w:rsidRPr="004E7154">
              <w:rPr>
                <w:rFonts w:ascii="ITC Avant Garde" w:hAnsi="ITC Avant Garde" w:cs="Calibri"/>
                <w:b/>
                <w:color w:val="000000" w:themeColor="text1"/>
                <w:sz w:val="14"/>
                <w:szCs w:val="14"/>
              </w:rPr>
              <w:t>100%</w:t>
            </w:r>
          </w:p>
        </w:tc>
      </w:tr>
    </w:tbl>
    <w:p w14:paraId="0D85A481"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t>SEGUNDO.-</w:t>
      </w:r>
      <w:r w:rsidRPr="004E7154">
        <w:rPr>
          <w:rFonts w:ascii="ITC Avant Garde" w:hAnsi="ITC Avant Garde"/>
          <w:bCs/>
          <w:color w:val="000000" w:themeColor="text1"/>
          <w:sz w:val="22"/>
          <w:szCs w:val="22"/>
        </w:rPr>
        <w:t xml:space="preserve"> Se instruye a la Unidad de Concesiones y Servicios a notificar al representante legal </w:t>
      </w:r>
      <w:r w:rsidR="00BD0CEE" w:rsidRPr="004E7154">
        <w:rPr>
          <w:rFonts w:ascii="ITC Avant Garde" w:hAnsi="ITC Avant Garde"/>
          <w:bCs/>
          <w:color w:val="000000" w:themeColor="text1"/>
          <w:sz w:val="22"/>
          <w:szCs w:val="22"/>
        </w:rPr>
        <w:t xml:space="preserve">de </w:t>
      </w:r>
      <w:proofErr w:type="spellStart"/>
      <w:r w:rsidR="006755AF" w:rsidRPr="004E7154">
        <w:rPr>
          <w:rFonts w:ascii="ITC Avant Garde" w:hAnsi="ITC Avant Garde"/>
          <w:bCs/>
          <w:color w:val="000000" w:themeColor="text1"/>
          <w:sz w:val="22"/>
          <w:szCs w:val="22"/>
          <w:lang w:val="es-MX" w:eastAsia="es-MX"/>
        </w:rPr>
        <w:t>Ultracable</w:t>
      </w:r>
      <w:proofErr w:type="spellEnd"/>
      <w:r w:rsidR="006755AF" w:rsidRPr="004E7154">
        <w:rPr>
          <w:rFonts w:ascii="ITC Avant Garde" w:hAnsi="ITC Avant Garde"/>
          <w:bCs/>
          <w:color w:val="000000" w:themeColor="text1"/>
          <w:sz w:val="22"/>
          <w:szCs w:val="22"/>
          <w:lang w:val="es-MX" w:eastAsia="es-MX"/>
        </w:rPr>
        <w:t xml:space="preserve"> de América, S.A. de C.V. </w:t>
      </w:r>
      <w:r w:rsidR="002E3769" w:rsidRPr="004E7154">
        <w:rPr>
          <w:rFonts w:ascii="ITC Avant Garde" w:hAnsi="ITC Avant Garde"/>
          <w:bCs/>
          <w:color w:val="000000" w:themeColor="text1"/>
          <w:sz w:val="22"/>
          <w:szCs w:val="22"/>
        </w:rPr>
        <w:t>l</w:t>
      </w:r>
      <w:r w:rsidRPr="004E7154">
        <w:rPr>
          <w:rFonts w:ascii="ITC Avant Garde" w:hAnsi="ITC Avant Garde"/>
          <w:bCs/>
          <w:color w:val="000000" w:themeColor="text1"/>
          <w:sz w:val="22"/>
          <w:szCs w:val="22"/>
        </w:rPr>
        <w:t xml:space="preserve">a autorización para llevar a cabo la </w:t>
      </w:r>
      <w:r w:rsidR="006755AF" w:rsidRPr="004E7154">
        <w:rPr>
          <w:rFonts w:ascii="ITC Avant Garde" w:hAnsi="ITC Avant Garde"/>
          <w:bCs/>
          <w:color w:val="000000" w:themeColor="text1"/>
          <w:sz w:val="22"/>
          <w:szCs w:val="22"/>
        </w:rPr>
        <w:t>enajenación</w:t>
      </w:r>
      <w:r w:rsidRPr="004E7154">
        <w:rPr>
          <w:rFonts w:ascii="ITC Avant Garde" w:hAnsi="ITC Avant Garde"/>
          <w:bCs/>
          <w:color w:val="000000" w:themeColor="text1"/>
          <w:sz w:val="22"/>
          <w:szCs w:val="22"/>
        </w:rPr>
        <w:t xml:space="preserve"> de acciones a que se refiere la presente Resolución, de conformidad con el Resolutivo Primero anterior.</w:t>
      </w:r>
    </w:p>
    <w:p w14:paraId="37539F4D" w14:textId="13C87D8F" w:rsidR="004E7154" w:rsidRPr="004E7154" w:rsidRDefault="00F80A22" w:rsidP="004E7154">
      <w:pPr>
        <w:autoSpaceDE w:val="0"/>
        <w:autoSpaceDN w:val="0"/>
        <w:adjustRightInd w:val="0"/>
        <w:spacing w:before="240" w:after="240"/>
        <w:contextualSpacing/>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t>TERCERO.-</w:t>
      </w:r>
      <w:r w:rsidRPr="004E7154">
        <w:rPr>
          <w:rFonts w:ascii="ITC Avant Garde" w:hAnsi="ITC Avant Garde"/>
          <w:bCs/>
          <w:color w:val="000000" w:themeColor="text1"/>
          <w:sz w:val="22"/>
          <w:szCs w:val="22"/>
        </w:rPr>
        <w:t xml:space="preserve"> La presente autorización tendrá una vigencia de 60 (sesenta) días naturales, contados a partir de aquel en que hubiere surtido efectos la notificación de la misma. </w:t>
      </w:r>
    </w:p>
    <w:p w14:paraId="5AEBA768" w14:textId="77777777" w:rsidR="004E7154" w:rsidRPr="004E7154" w:rsidRDefault="00F80A22"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Cs/>
          <w:color w:val="000000" w:themeColor="text1"/>
          <w:sz w:val="22"/>
          <w:szCs w:val="22"/>
        </w:rPr>
        <w:t>Dentro de este plazo de vigencia</w:t>
      </w:r>
      <w:r w:rsidR="00BD0CEE" w:rsidRPr="004E7154">
        <w:rPr>
          <w:rFonts w:ascii="ITC Avant Garde" w:hAnsi="ITC Avant Garde"/>
          <w:bCs/>
          <w:color w:val="000000" w:themeColor="text1"/>
          <w:sz w:val="22"/>
          <w:szCs w:val="22"/>
        </w:rPr>
        <w:t xml:space="preserve"> </w:t>
      </w:r>
      <w:proofErr w:type="spellStart"/>
      <w:r w:rsidR="006755AF" w:rsidRPr="004E7154">
        <w:rPr>
          <w:rFonts w:ascii="ITC Avant Garde" w:hAnsi="ITC Avant Garde"/>
          <w:bCs/>
          <w:color w:val="000000" w:themeColor="text1"/>
          <w:sz w:val="22"/>
          <w:szCs w:val="22"/>
          <w:lang w:val="es-MX" w:eastAsia="es-MX"/>
        </w:rPr>
        <w:t>Ultracable</w:t>
      </w:r>
      <w:proofErr w:type="spellEnd"/>
      <w:r w:rsidR="006755AF" w:rsidRPr="004E7154">
        <w:rPr>
          <w:rFonts w:ascii="ITC Avant Garde" w:hAnsi="ITC Avant Garde"/>
          <w:bCs/>
          <w:color w:val="000000" w:themeColor="text1"/>
          <w:sz w:val="22"/>
          <w:szCs w:val="22"/>
          <w:lang w:val="es-MX" w:eastAsia="es-MX"/>
        </w:rPr>
        <w:t xml:space="preserve"> de América, S.A. de C.V.</w:t>
      </w:r>
      <w:r w:rsidR="002E3769" w:rsidRPr="004E7154">
        <w:rPr>
          <w:rFonts w:ascii="ITC Avant Garde" w:hAnsi="ITC Avant Garde"/>
          <w:bCs/>
          <w:color w:val="000000" w:themeColor="text1"/>
          <w:sz w:val="22"/>
          <w:szCs w:val="22"/>
        </w:rPr>
        <w:t xml:space="preserve">, </w:t>
      </w:r>
      <w:r w:rsidRPr="004E7154">
        <w:rPr>
          <w:rFonts w:ascii="ITC Avant Garde" w:hAnsi="ITC Avant Garde"/>
          <w:bCs/>
          <w:color w:val="000000" w:themeColor="text1"/>
          <w:sz w:val="22"/>
          <w:szCs w:val="22"/>
        </w:rPr>
        <w:t xml:space="preserve">deberá presentar para su inscripción en el Registro Público de Concesiones, copia certificada del instrumento donde conste que se llevaron a cabo los movimientos a que se refiere el Resolutivo Primero anterior, en términos de los artículos 177 fracción XI, en relación con el 180 de la Ley Federal de Telecomunicaciones y Radiodifusión. Concluido dicho plazo, sin que se hubiere dado cumplimiento al presente Resolutivo, </w:t>
      </w:r>
      <w:proofErr w:type="spellStart"/>
      <w:r w:rsidR="006755AF" w:rsidRPr="004E7154">
        <w:rPr>
          <w:rFonts w:ascii="ITC Avant Garde" w:hAnsi="ITC Avant Garde"/>
          <w:bCs/>
          <w:color w:val="000000" w:themeColor="text1"/>
          <w:sz w:val="22"/>
          <w:szCs w:val="22"/>
          <w:lang w:val="es-MX" w:eastAsia="es-MX"/>
        </w:rPr>
        <w:t>Ultracable</w:t>
      </w:r>
      <w:proofErr w:type="spellEnd"/>
      <w:r w:rsidR="006755AF" w:rsidRPr="004E7154">
        <w:rPr>
          <w:rFonts w:ascii="ITC Avant Garde" w:hAnsi="ITC Avant Garde"/>
          <w:bCs/>
          <w:color w:val="000000" w:themeColor="text1"/>
          <w:sz w:val="22"/>
          <w:szCs w:val="22"/>
          <w:lang w:val="es-MX" w:eastAsia="es-MX"/>
        </w:rPr>
        <w:t xml:space="preserve"> de América, S.A. de C.V.</w:t>
      </w:r>
      <w:r w:rsidRPr="004E7154">
        <w:rPr>
          <w:rFonts w:ascii="ITC Avant Garde" w:hAnsi="ITC Avant Garde"/>
          <w:bCs/>
          <w:color w:val="000000" w:themeColor="text1"/>
          <w:sz w:val="22"/>
          <w:szCs w:val="22"/>
        </w:rPr>
        <w:t>, deberá solicitar una nueva autorización.</w:t>
      </w:r>
    </w:p>
    <w:p w14:paraId="23D0F119" w14:textId="77777777" w:rsidR="004E7154" w:rsidRPr="004E7154" w:rsidRDefault="006755AF" w:rsidP="004E7154">
      <w:pPr>
        <w:autoSpaceDE w:val="0"/>
        <w:autoSpaceDN w:val="0"/>
        <w:adjustRightInd w:val="0"/>
        <w:spacing w:before="240" w:after="240"/>
        <w:jc w:val="both"/>
        <w:rPr>
          <w:rFonts w:ascii="ITC Avant Garde" w:hAnsi="ITC Avant Garde"/>
          <w:bCs/>
          <w:color w:val="000000" w:themeColor="text1"/>
          <w:sz w:val="22"/>
          <w:szCs w:val="22"/>
        </w:rPr>
      </w:pPr>
      <w:r w:rsidRPr="004E7154">
        <w:rPr>
          <w:rFonts w:ascii="ITC Avant Garde" w:hAnsi="ITC Avant Garde"/>
          <w:b/>
          <w:bCs/>
          <w:color w:val="000000" w:themeColor="text1"/>
          <w:sz w:val="22"/>
          <w:szCs w:val="22"/>
        </w:rPr>
        <w:lastRenderedPageBreak/>
        <w:t>CUARTO</w:t>
      </w:r>
      <w:r w:rsidR="004863B9" w:rsidRPr="004E7154">
        <w:rPr>
          <w:rFonts w:ascii="ITC Avant Garde" w:hAnsi="ITC Avant Garde"/>
          <w:b/>
          <w:bCs/>
          <w:color w:val="000000" w:themeColor="text1"/>
          <w:sz w:val="22"/>
          <w:szCs w:val="22"/>
        </w:rPr>
        <w:t xml:space="preserve">.- </w:t>
      </w:r>
      <w:r w:rsidR="00F80A22" w:rsidRPr="004E7154">
        <w:rPr>
          <w:rFonts w:ascii="ITC Avant Garde" w:hAnsi="ITC Avant Garde"/>
          <w:bCs/>
          <w:color w:val="000000" w:themeColor="text1"/>
          <w:sz w:val="22"/>
          <w:szCs w:val="22"/>
        </w:rPr>
        <w:t>La presente Resolución se emite en el ámbito de aplicación de</w:t>
      </w:r>
      <w:r w:rsidR="008224F0" w:rsidRPr="004E7154">
        <w:rPr>
          <w:rFonts w:ascii="ITC Avant Garde" w:hAnsi="ITC Avant Garde"/>
          <w:bCs/>
          <w:color w:val="000000" w:themeColor="text1"/>
          <w:sz w:val="22"/>
          <w:szCs w:val="22"/>
        </w:rPr>
        <w:t>l</w:t>
      </w:r>
      <w:r w:rsidR="00BD0CEE" w:rsidRPr="004E7154">
        <w:rPr>
          <w:rFonts w:ascii="ITC Avant Garde" w:hAnsi="ITC Avant Garde"/>
          <w:bCs/>
          <w:color w:val="000000" w:themeColor="text1"/>
          <w:sz w:val="22"/>
          <w:szCs w:val="22"/>
        </w:rPr>
        <w:t xml:space="preserve"> </w:t>
      </w:r>
      <w:r w:rsidR="00F80A22" w:rsidRPr="004E7154">
        <w:rPr>
          <w:rFonts w:ascii="ITC Avant Garde" w:hAnsi="ITC Avant Garde"/>
          <w:bCs/>
          <w:color w:val="000000" w:themeColor="text1"/>
          <w:sz w:val="22"/>
          <w:szCs w:val="22"/>
        </w:rPr>
        <w:t xml:space="preserve">artículo 112 de la Ley Federal de Telecomunicaciones y Radiodifusión y no prejuzga sobre las atribuciones que corresponda ejercer al Instituto Federal de Telecomunicaciones en </w:t>
      </w:r>
      <w:r w:rsidR="000D123D" w:rsidRPr="004E7154">
        <w:rPr>
          <w:rFonts w:ascii="ITC Avant Garde" w:hAnsi="ITC Avant Garde"/>
          <w:bCs/>
          <w:color w:val="000000" w:themeColor="text1"/>
          <w:sz w:val="22"/>
          <w:szCs w:val="22"/>
        </w:rPr>
        <w:t>materia de competencia económica</w:t>
      </w:r>
      <w:r w:rsidR="00F80A22" w:rsidRPr="004E7154">
        <w:rPr>
          <w:rFonts w:ascii="ITC Avant Garde" w:hAnsi="ITC Avant Garde"/>
          <w:bCs/>
          <w:color w:val="000000" w:themeColor="text1"/>
          <w:sz w:val="22"/>
          <w:szCs w:val="22"/>
        </w:rPr>
        <w:t>.</w:t>
      </w:r>
    </w:p>
    <w:p w14:paraId="1BC7ACDB" w14:textId="1D821E4B" w:rsidR="004E7154" w:rsidRPr="004E7154" w:rsidRDefault="005B6E5E" w:rsidP="004E7154">
      <w:pPr>
        <w:pStyle w:val="Prrafodelista"/>
        <w:ind w:left="0"/>
        <w:jc w:val="both"/>
        <w:rPr>
          <w:rFonts w:ascii="ITC Avant Garde" w:hAnsi="ITC Avant Garde"/>
          <w:color w:val="000000" w:themeColor="text1"/>
          <w:sz w:val="13"/>
          <w:szCs w:val="13"/>
        </w:rPr>
      </w:pPr>
      <w:r w:rsidRPr="004E7154">
        <w:rPr>
          <w:rFonts w:ascii="ITC Avant Garde" w:hAnsi="ITC Avant Garde"/>
          <w:color w:val="000000" w:themeColor="text1"/>
          <w:sz w:val="13"/>
          <w:szCs w:val="13"/>
        </w:rPr>
        <w:t xml:space="preserve">La presente Resolución fue aprobada por el Pleno del Instituto Federal de Telecomunicaciones en su XXX Sesión Ordinaria celebrada el 12 de julio de 2017, </w:t>
      </w:r>
      <w:r w:rsidRPr="004E7154">
        <w:rPr>
          <w:rFonts w:ascii="ITC Avant Garde" w:hAnsi="ITC Avant Garde"/>
          <w:bCs/>
          <w:color w:val="000000" w:themeColor="text1"/>
          <w:sz w:val="13"/>
          <w:szCs w:val="13"/>
        </w:rPr>
        <w:t>por unanimidad</w:t>
      </w:r>
      <w:r w:rsidRPr="004E7154">
        <w:rPr>
          <w:rFonts w:ascii="ITC Avant Garde" w:hAnsi="ITC Avant Garde"/>
          <w:color w:val="000000" w:themeColor="text1"/>
          <w:sz w:val="13"/>
          <w:szCs w:val="13"/>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P/IFT/120717/444.</w:t>
      </w:r>
    </w:p>
    <w:p w14:paraId="7D4A789C" w14:textId="317FAB7A" w:rsidR="004E7154" w:rsidRPr="004E7154" w:rsidRDefault="005B6E5E" w:rsidP="004E7154">
      <w:pPr>
        <w:pStyle w:val="N1IFT"/>
        <w:spacing w:after="0" w:line="240" w:lineRule="auto"/>
        <w:rPr>
          <w:b w:val="0"/>
          <w:bCs w:val="0"/>
          <w:color w:val="000000" w:themeColor="text1"/>
          <w:sz w:val="13"/>
          <w:szCs w:val="13"/>
          <w:lang w:val="es-ES"/>
        </w:rPr>
      </w:pPr>
      <w:r w:rsidRPr="004E7154">
        <w:rPr>
          <w:b w:val="0"/>
          <w:bCs w:val="0"/>
          <w:color w:val="000000" w:themeColor="text1"/>
          <w:sz w:val="13"/>
          <w:szCs w:val="13"/>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4E7154" w:rsidRPr="004E7154" w:rsidSect="001F381F">
      <w:headerReference w:type="default" r:id="rId8"/>
      <w:footerReference w:type="even" r:id="rId9"/>
      <w:footerReference w:type="default" r:id="rId10"/>
      <w:headerReference w:type="first" r:id="rId11"/>
      <w:footerReference w:type="first" r:id="rId12"/>
      <w:pgSz w:w="12240" w:h="15840" w:code="1"/>
      <w:pgMar w:top="1985" w:right="1418" w:bottom="1418"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80813" w14:textId="77777777" w:rsidR="00DA3568" w:rsidRDefault="00DA3568">
      <w:r>
        <w:separator/>
      </w:r>
    </w:p>
  </w:endnote>
  <w:endnote w:type="continuationSeparator" w:id="0">
    <w:p w14:paraId="36D2019C" w14:textId="77777777" w:rsidR="00DA3568" w:rsidRDefault="00DA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00B7A" w14:textId="77777777" w:rsidR="004E7154" w:rsidRDefault="006A67C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35AD0831" w:rsidR="006A67C2" w:rsidRDefault="006A67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770727"/>
      <w:docPartObj>
        <w:docPartGallery w:val="Page Numbers (Bottom of Page)"/>
        <w:docPartUnique/>
      </w:docPartObj>
    </w:sdtPr>
    <w:sdtEndPr>
      <w:rPr>
        <w:rFonts w:ascii="ITC Avant Garde" w:hAnsi="ITC Avant Garde"/>
        <w:sz w:val="20"/>
      </w:rPr>
    </w:sdtEndPr>
    <w:sdtContent>
      <w:p w14:paraId="1A8ACE86" w14:textId="3A97FF3A" w:rsidR="006A67C2" w:rsidRPr="004E7154" w:rsidRDefault="001F381F" w:rsidP="004E7154">
        <w:pPr>
          <w:pStyle w:val="Piedepgina"/>
          <w:jc w:val="right"/>
          <w:rPr>
            <w:rFonts w:ascii="ITC Avant Garde" w:hAnsi="ITC Avant Garde"/>
            <w:sz w:val="20"/>
          </w:rPr>
        </w:pPr>
        <w:r w:rsidRPr="001F381F">
          <w:rPr>
            <w:rFonts w:ascii="ITC Avant Garde" w:hAnsi="ITC Avant Garde"/>
            <w:sz w:val="20"/>
          </w:rPr>
          <w:fldChar w:fldCharType="begin"/>
        </w:r>
        <w:r w:rsidRPr="001F381F">
          <w:rPr>
            <w:rFonts w:ascii="ITC Avant Garde" w:hAnsi="ITC Avant Garde"/>
            <w:sz w:val="20"/>
          </w:rPr>
          <w:instrText>PAGE   \* MERGEFORMAT</w:instrText>
        </w:r>
        <w:r w:rsidRPr="001F381F">
          <w:rPr>
            <w:rFonts w:ascii="ITC Avant Garde" w:hAnsi="ITC Avant Garde"/>
            <w:sz w:val="20"/>
          </w:rPr>
          <w:fldChar w:fldCharType="separate"/>
        </w:r>
        <w:r w:rsidR="00615B42">
          <w:rPr>
            <w:rFonts w:ascii="ITC Avant Garde" w:hAnsi="ITC Avant Garde"/>
            <w:noProof/>
            <w:sz w:val="20"/>
          </w:rPr>
          <w:t>3</w:t>
        </w:r>
        <w:r w:rsidRPr="001F381F">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161916"/>
      <w:docPartObj>
        <w:docPartGallery w:val="Page Numbers (Bottom of Page)"/>
        <w:docPartUnique/>
      </w:docPartObj>
    </w:sdtPr>
    <w:sdtEndPr>
      <w:rPr>
        <w:rFonts w:ascii="ITC Avant Garde" w:hAnsi="ITC Avant Garde"/>
        <w:sz w:val="20"/>
      </w:rPr>
    </w:sdtEndPr>
    <w:sdtContent>
      <w:p w14:paraId="13477A63" w14:textId="210157A8" w:rsidR="006A67C2" w:rsidRPr="004E7154" w:rsidRDefault="001F381F" w:rsidP="004E7154">
        <w:pPr>
          <w:pStyle w:val="Piedepgina"/>
          <w:jc w:val="right"/>
          <w:rPr>
            <w:rFonts w:ascii="ITC Avant Garde" w:hAnsi="ITC Avant Garde"/>
            <w:sz w:val="20"/>
          </w:rPr>
        </w:pPr>
        <w:r w:rsidRPr="001F381F">
          <w:rPr>
            <w:rFonts w:ascii="ITC Avant Garde" w:hAnsi="ITC Avant Garde"/>
            <w:sz w:val="20"/>
          </w:rPr>
          <w:fldChar w:fldCharType="begin"/>
        </w:r>
        <w:r w:rsidRPr="001F381F">
          <w:rPr>
            <w:rFonts w:ascii="ITC Avant Garde" w:hAnsi="ITC Avant Garde"/>
            <w:sz w:val="20"/>
          </w:rPr>
          <w:instrText>PAGE   \* MERGEFORMAT</w:instrText>
        </w:r>
        <w:r w:rsidRPr="001F381F">
          <w:rPr>
            <w:rFonts w:ascii="ITC Avant Garde" w:hAnsi="ITC Avant Garde"/>
            <w:sz w:val="20"/>
          </w:rPr>
          <w:fldChar w:fldCharType="separate"/>
        </w:r>
        <w:r w:rsidR="00615B42">
          <w:rPr>
            <w:rFonts w:ascii="ITC Avant Garde" w:hAnsi="ITC Avant Garde"/>
            <w:noProof/>
            <w:sz w:val="20"/>
          </w:rPr>
          <w:t>1</w:t>
        </w:r>
        <w:r w:rsidRPr="001F381F">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84F30" w14:textId="77777777" w:rsidR="00DA3568" w:rsidRDefault="00DA3568">
      <w:r>
        <w:separator/>
      </w:r>
    </w:p>
  </w:footnote>
  <w:footnote w:type="continuationSeparator" w:id="0">
    <w:p w14:paraId="4055E625" w14:textId="77777777" w:rsidR="00DA3568" w:rsidRDefault="00DA3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D125" w14:textId="77777777" w:rsidR="006A67C2" w:rsidRDefault="006A67C2" w:rsidP="00C30C97">
    <w:pPr>
      <w:pStyle w:val="Encabezado"/>
      <w:ind w:left="5670"/>
      <w:rPr>
        <w:rFonts w:ascii="ITC Avant Garde" w:hAnsi="ITC Avant Garde" w:cs="Calibri"/>
        <w:b/>
        <w:noProof/>
        <w:sz w:val="22"/>
        <w:szCs w:val="2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18DFC" w14:textId="4C00941A" w:rsidR="006A67C2" w:rsidRDefault="006A67C2" w:rsidP="001F381F">
    <w:pPr>
      <w:tabs>
        <w:tab w:val="left" w:pos="9498"/>
      </w:tabs>
      <w:ind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5B9"/>
    <w:multiLevelType w:val="hybridMultilevel"/>
    <w:tmpl w:val="FC34EA80"/>
    <w:lvl w:ilvl="0" w:tplc="141CDD56">
      <w:start w:val="1"/>
      <w:numFmt w:val="upperRoman"/>
      <w:lvlText w:val="%1."/>
      <w:lvlJc w:val="left"/>
      <w:pPr>
        <w:ind w:left="720" w:hanging="360"/>
      </w:pPr>
      <w:rPr>
        <w:rFonts w:ascii="ITC Avant Garde Std Bk" w:eastAsia="Calibri" w:hAnsi="ITC Avant Garde Std Bk" w:cs="Times New Roman"/>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E7B19"/>
    <w:multiLevelType w:val="hybridMultilevel"/>
    <w:tmpl w:val="63F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BF4F09"/>
    <w:multiLevelType w:val="hybridMultilevel"/>
    <w:tmpl w:val="FDF41318"/>
    <w:lvl w:ilvl="0" w:tplc="42947E6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 w15:restartNumberingAfterBreak="0">
    <w:nsid w:val="24494432"/>
    <w:multiLevelType w:val="hybridMultilevel"/>
    <w:tmpl w:val="51C8BDFC"/>
    <w:lvl w:ilvl="0" w:tplc="F9CEF888">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F72AD6"/>
    <w:multiLevelType w:val="hybridMultilevel"/>
    <w:tmpl w:val="37BCB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D21D65"/>
    <w:multiLevelType w:val="hybridMultilevel"/>
    <w:tmpl w:val="B73E3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1E5EC4"/>
    <w:multiLevelType w:val="hybridMultilevel"/>
    <w:tmpl w:val="9C8634B4"/>
    <w:lvl w:ilvl="0" w:tplc="DF7661D4">
      <w:start w:val="5"/>
      <w:numFmt w:val="decimal"/>
      <w:lvlText w:val="%1."/>
      <w:lvlJc w:val="left"/>
      <w:pPr>
        <w:ind w:left="149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6B1F71"/>
    <w:multiLevelType w:val="hybridMultilevel"/>
    <w:tmpl w:val="C900B31E"/>
    <w:lvl w:ilvl="0" w:tplc="F7507C9E">
      <w:start w:val="8"/>
      <w:numFmt w:val="decimal"/>
      <w:lvlText w:val="%1."/>
      <w:lvlJc w:val="left"/>
      <w:pPr>
        <w:ind w:left="149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4356"/>
    <w:multiLevelType w:val="hybridMultilevel"/>
    <w:tmpl w:val="61D0CA5C"/>
    <w:lvl w:ilvl="0" w:tplc="58BE0C9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4404052"/>
    <w:multiLevelType w:val="hybridMultilevel"/>
    <w:tmpl w:val="BDA051FE"/>
    <w:lvl w:ilvl="0" w:tplc="31FC1C52">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555341A"/>
    <w:multiLevelType w:val="hybridMultilevel"/>
    <w:tmpl w:val="2A10FD0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5BF29EB"/>
    <w:multiLevelType w:val="hybridMultilevel"/>
    <w:tmpl w:val="8A648AF2"/>
    <w:lvl w:ilvl="0" w:tplc="F80C681A">
      <w:start w:val="1"/>
      <w:numFmt w:val="decimal"/>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43043D99"/>
    <w:multiLevelType w:val="hybridMultilevel"/>
    <w:tmpl w:val="B3601E4E"/>
    <w:lvl w:ilvl="0" w:tplc="141CDD56">
      <w:start w:val="1"/>
      <w:numFmt w:val="upperRoman"/>
      <w:lvlText w:val="%1."/>
      <w:lvlJc w:val="left"/>
      <w:pPr>
        <w:ind w:left="720" w:hanging="360"/>
      </w:pPr>
      <w:rPr>
        <w:rFonts w:ascii="ITC Avant Garde Std Bk" w:eastAsia="Calibri" w:hAnsi="ITC Avant Garde Std Bk"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EE7362"/>
    <w:multiLevelType w:val="hybridMultilevel"/>
    <w:tmpl w:val="87AC3CAA"/>
    <w:lvl w:ilvl="0" w:tplc="D3ECAB92">
      <w:start w:val="1"/>
      <w:numFmt w:val="upperRoman"/>
      <w:lvlText w:val="%1."/>
      <w:lvlJc w:val="left"/>
      <w:pPr>
        <w:ind w:left="1080" w:hanging="720"/>
      </w:pPr>
      <w:rPr>
        <w:rFonts w:ascii="ITC Avant Garde Std Bk" w:eastAsia="Calibri" w:hAnsi="ITC Avant Garde Std Bk" w:cs="Times New Roman"/>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7E53DE"/>
    <w:multiLevelType w:val="hybridMultilevel"/>
    <w:tmpl w:val="CD62C640"/>
    <w:lvl w:ilvl="0" w:tplc="FDE61E6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1421C86"/>
    <w:multiLevelType w:val="hybridMultilevel"/>
    <w:tmpl w:val="3E1C1138"/>
    <w:lvl w:ilvl="0" w:tplc="69C08128">
      <w:start w:val="1"/>
      <w:numFmt w:val="upperRoman"/>
      <w:lvlText w:val="%1."/>
      <w:lvlJc w:val="left"/>
      <w:pPr>
        <w:ind w:left="1996" w:hanging="720"/>
      </w:pPr>
      <w:rPr>
        <w:rFonts w:hint="default"/>
      </w:rPr>
    </w:lvl>
    <w:lvl w:ilvl="1" w:tplc="080A0019">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8" w15:restartNumberingAfterBreak="0">
    <w:nsid w:val="52E733EA"/>
    <w:multiLevelType w:val="hybridMultilevel"/>
    <w:tmpl w:val="C110335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54A50DE8"/>
    <w:multiLevelType w:val="hybridMultilevel"/>
    <w:tmpl w:val="D4D47C88"/>
    <w:lvl w:ilvl="0" w:tplc="D0561FE4">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15:restartNumberingAfterBreak="0">
    <w:nsid w:val="55AB4C0B"/>
    <w:multiLevelType w:val="hybridMultilevel"/>
    <w:tmpl w:val="4C06FD72"/>
    <w:lvl w:ilvl="0" w:tplc="8BFE316C">
      <w:start w:val="1"/>
      <w:numFmt w:val="upperRoman"/>
      <w:lvlText w:val="%1."/>
      <w:lvlJc w:val="left"/>
      <w:pPr>
        <w:ind w:left="720" w:hanging="360"/>
      </w:pPr>
      <w:rPr>
        <w:rFonts w:ascii="ITC Avant Garde Std Bk" w:eastAsia="Calibri" w:hAnsi="ITC Avant Garde Std Bk" w:cs="Times New Roman"/>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BA1433"/>
    <w:multiLevelType w:val="hybridMultilevel"/>
    <w:tmpl w:val="37BCB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A439E"/>
    <w:multiLevelType w:val="hybridMultilevel"/>
    <w:tmpl w:val="D7CE8474"/>
    <w:lvl w:ilvl="0" w:tplc="83B2D32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59AB49B8"/>
    <w:multiLevelType w:val="hybridMultilevel"/>
    <w:tmpl w:val="61D0CA5C"/>
    <w:lvl w:ilvl="0" w:tplc="58BE0C9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E6B6A8F"/>
    <w:multiLevelType w:val="hybridMultilevel"/>
    <w:tmpl w:val="ABF218E2"/>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A56E74"/>
    <w:multiLevelType w:val="hybridMultilevel"/>
    <w:tmpl w:val="16A64B4E"/>
    <w:lvl w:ilvl="0" w:tplc="080A0017">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67156053"/>
    <w:multiLevelType w:val="hybridMultilevel"/>
    <w:tmpl w:val="217E496A"/>
    <w:lvl w:ilvl="0" w:tplc="141CDD56">
      <w:start w:val="1"/>
      <w:numFmt w:val="upperRoman"/>
      <w:lvlText w:val="%1."/>
      <w:lvlJc w:val="left"/>
      <w:pPr>
        <w:ind w:left="720" w:hanging="360"/>
      </w:pPr>
      <w:rPr>
        <w:rFonts w:ascii="ITC Avant Garde Std Bk" w:eastAsia="Calibri" w:hAnsi="ITC Avant Garde Std Bk"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351662"/>
    <w:multiLevelType w:val="hybridMultilevel"/>
    <w:tmpl w:val="E8E2C5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ADF4989"/>
    <w:multiLevelType w:val="hybridMultilevel"/>
    <w:tmpl w:val="C0D4FF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F655080"/>
    <w:multiLevelType w:val="hybridMultilevel"/>
    <w:tmpl w:val="A96E4EF8"/>
    <w:lvl w:ilvl="0" w:tplc="C4A22A9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1286D80"/>
    <w:multiLevelType w:val="hybridMultilevel"/>
    <w:tmpl w:val="D65293A0"/>
    <w:lvl w:ilvl="0" w:tplc="0DE2DD3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8"/>
  </w:num>
  <w:num w:numId="3">
    <w:abstractNumId w:val="10"/>
  </w:num>
  <w:num w:numId="4">
    <w:abstractNumId w:val="17"/>
  </w:num>
  <w:num w:numId="5">
    <w:abstractNumId w:val="3"/>
  </w:num>
  <w:num w:numId="6">
    <w:abstractNumId w:val="4"/>
  </w:num>
  <w:num w:numId="7">
    <w:abstractNumId w:val="6"/>
  </w:num>
  <w:num w:numId="8">
    <w:abstractNumId w:val="27"/>
  </w:num>
  <w:num w:numId="9">
    <w:abstractNumId w:val="24"/>
  </w:num>
  <w:num w:numId="10">
    <w:abstractNumId w:val="29"/>
  </w:num>
  <w:num w:numId="11">
    <w:abstractNumId w:val="1"/>
  </w:num>
  <w:num w:numId="12">
    <w:abstractNumId w:val="7"/>
  </w:num>
  <w:num w:numId="13">
    <w:abstractNumId w:val="18"/>
  </w:num>
  <w:num w:numId="14">
    <w:abstractNumId w:val="23"/>
  </w:num>
  <w:num w:numId="15">
    <w:abstractNumId w:val="2"/>
  </w:num>
  <w:num w:numId="16">
    <w:abstractNumId w:val="30"/>
  </w:num>
  <w:num w:numId="17">
    <w:abstractNumId w:val="11"/>
  </w:num>
  <w:num w:numId="18">
    <w:abstractNumId w:val="8"/>
  </w:num>
  <w:num w:numId="19">
    <w:abstractNumId w:val="9"/>
  </w:num>
  <w:num w:numId="20">
    <w:abstractNumId w:val="13"/>
  </w:num>
  <w:num w:numId="21">
    <w:abstractNumId w:val="19"/>
  </w:num>
  <w:num w:numId="22">
    <w:abstractNumId w:val="25"/>
  </w:num>
  <w:num w:numId="23">
    <w:abstractNumId w:val="22"/>
  </w:num>
  <w:num w:numId="24">
    <w:abstractNumId w:val="15"/>
  </w:num>
  <w:num w:numId="25">
    <w:abstractNumId w:val="12"/>
  </w:num>
  <w:num w:numId="26">
    <w:abstractNumId w:val="26"/>
  </w:num>
  <w:num w:numId="27">
    <w:abstractNumId w:val="14"/>
  </w:num>
  <w:num w:numId="28">
    <w:abstractNumId w:val="20"/>
  </w:num>
  <w:num w:numId="29">
    <w:abstractNumId w:val="0"/>
  </w:num>
  <w:num w:numId="30">
    <w:abstractNumId w:val="16"/>
  </w:num>
  <w:num w:numId="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1580"/>
    <w:rsid w:val="00011AFB"/>
    <w:rsid w:val="00013843"/>
    <w:rsid w:val="000138AD"/>
    <w:rsid w:val="00013D3C"/>
    <w:rsid w:val="00014500"/>
    <w:rsid w:val="00015968"/>
    <w:rsid w:val="00015DBA"/>
    <w:rsid w:val="00017241"/>
    <w:rsid w:val="0001764E"/>
    <w:rsid w:val="000178CF"/>
    <w:rsid w:val="000200E5"/>
    <w:rsid w:val="00020212"/>
    <w:rsid w:val="000203A5"/>
    <w:rsid w:val="00020690"/>
    <w:rsid w:val="00020849"/>
    <w:rsid w:val="00020B7D"/>
    <w:rsid w:val="00022AA1"/>
    <w:rsid w:val="00022D0A"/>
    <w:rsid w:val="00022D3F"/>
    <w:rsid w:val="00023B92"/>
    <w:rsid w:val="00023FC3"/>
    <w:rsid w:val="00025D60"/>
    <w:rsid w:val="00025F7E"/>
    <w:rsid w:val="000276D8"/>
    <w:rsid w:val="00030964"/>
    <w:rsid w:val="00030A33"/>
    <w:rsid w:val="00030F1A"/>
    <w:rsid w:val="00030FC5"/>
    <w:rsid w:val="00031895"/>
    <w:rsid w:val="00031FB4"/>
    <w:rsid w:val="00032351"/>
    <w:rsid w:val="00033322"/>
    <w:rsid w:val="000333A0"/>
    <w:rsid w:val="00033B4C"/>
    <w:rsid w:val="00034023"/>
    <w:rsid w:val="000347B5"/>
    <w:rsid w:val="00034C16"/>
    <w:rsid w:val="00034FCF"/>
    <w:rsid w:val="000363F8"/>
    <w:rsid w:val="000364BD"/>
    <w:rsid w:val="00036D34"/>
    <w:rsid w:val="00037297"/>
    <w:rsid w:val="000372C5"/>
    <w:rsid w:val="000378D9"/>
    <w:rsid w:val="00037F2D"/>
    <w:rsid w:val="00040D2E"/>
    <w:rsid w:val="00040E84"/>
    <w:rsid w:val="000413E7"/>
    <w:rsid w:val="00041BEC"/>
    <w:rsid w:val="00041FC1"/>
    <w:rsid w:val="0004241F"/>
    <w:rsid w:val="00042F69"/>
    <w:rsid w:val="00043113"/>
    <w:rsid w:val="0004373E"/>
    <w:rsid w:val="0004437B"/>
    <w:rsid w:val="00044F30"/>
    <w:rsid w:val="00045929"/>
    <w:rsid w:val="00046288"/>
    <w:rsid w:val="000463C3"/>
    <w:rsid w:val="00046C8C"/>
    <w:rsid w:val="00050B60"/>
    <w:rsid w:val="000515FD"/>
    <w:rsid w:val="00051AE6"/>
    <w:rsid w:val="00051D63"/>
    <w:rsid w:val="0005274E"/>
    <w:rsid w:val="00052829"/>
    <w:rsid w:val="00052D9F"/>
    <w:rsid w:val="000533A1"/>
    <w:rsid w:val="0005402F"/>
    <w:rsid w:val="0005451A"/>
    <w:rsid w:val="00054949"/>
    <w:rsid w:val="00055803"/>
    <w:rsid w:val="00056F87"/>
    <w:rsid w:val="00057FD1"/>
    <w:rsid w:val="00061842"/>
    <w:rsid w:val="00061C64"/>
    <w:rsid w:val="000624EE"/>
    <w:rsid w:val="000627E2"/>
    <w:rsid w:val="00062AB7"/>
    <w:rsid w:val="00062B07"/>
    <w:rsid w:val="0006346B"/>
    <w:rsid w:val="000635C5"/>
    <w:rsid w:val="00063A27"/>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3FBA"/>
    <w:rsid w:val="00084D15"/>
    <w:rsid w:val="000852D5"/>
    <w:rsid w:val="00085950"/>
    <w:rsid w:val="00086145"/>
    <w:rsid w:val="00086454"/>
    <w:rsid w:val="00086B71"/>
    <w:rsid w:val="00086E86"/>
    <w:rsid w:val="00086F10"/>
    <w:rsid w:val="000872DE"/>
    <w:rsid w:val="00087C4D"/>
    <w:rsid w:val="00093253"/>
    <w:rsid w:val="00093370"/>
    <w:rsid w:val="000934F3"/>
    <w:rsid w:val="000939CC"/>
    <w:rsid w:val="00093CC4"/>
    <w:rsid w:val="000946A7"/>
    <w:rsid w:val="000948A0"/>
    <w:rsid w:val="00094D30"/>
    <w:rsid w:val="00094EFD"/>
    <w:rsid w:val="00094FD7"/>
    <w:rsid w:val="00095600"/>
    <w:rsid w:val="0009592D"/>
    <w:rsid w:val="00095AE6"/>
    <w:rsid w:val="00095F7A"/>
    <w:rsid w:val="000966E9"/>
    <w:rsid w:val="000973F9"/>
    <w:rsid w:val="000977B6"/>
    <w:rsid w:val="000A0101"/>
    <w:rsid w:val="000A267F"/>
    <w:rsid w:val="000A4944"/>
    <w:rsid w:val="000A532A"/>
    <w:rsid w:val="000A5802"/>
    <w:rsid w:val="000A5BD3"/>
    <w:rsid w:val="000A5D2F"/>
    <w:rsid w:val="000A5E2A"/>
    <w:rsid w:val="000B0CBA"/>
    <w:rsid w:val="000B166C"/>
    <w:rsid w:val="000B2094"/>
    <w:rsid w:val="000B2548"/>
    <w:rsid w:val="000B2D65"/>
    <w:rsid w:val="000B3640"/>
    <w:rsid w:val="000B3DFF"/>
    <w:rsid w:val="000B4E86"/>
    <w:rsid w:val="000B51C0"/>
    <w:rsid w:val="000B5478"/>
    <w:rsid w:val="000B57F2"/>
    <w:rsid w:val="000B6F2B"/>
    <w:rsid w:val="000B7735"/>
    <w:rsid w:val="000B7B62"/>
    <w:rsid w:val="000B7DEE"/>
    <w:rsid w:val="000C3297"/>
    <w:rsid w:val="000C32E0"/>
    <w:rsid w:val="000C7383"/>
    <w:rsid w:val="000C7B32"/>
    <w:rsid w:val="000D08BB"/>
    <w:rsid w:val="000D123D"/>
    <w:rsid w:val="000D1296"/>
    <w:rsid w:val="000D1EC7"/>
    <w:rsid w:val="000D23FD"/>
    <w:rsid w:val="000D474E"/>
    <w:rsid w:val="000D4E02"/>
    <w:rsid w:val="000D67F3"/>
    <w:rsid w:val="000D6B29"/>
    <w:rsid w:val="000D73CC"/>
    <w:rsid w:val="000D7607"/>
    <w:rsid w:val="000D7878"/>
    <w:rsid w:val="000D7C78"/>
    <w:rsid w:val="000E0D15"/>
    <w:rsid w:val="000E0D7B"/>
    <w:rsid w:val="000E0D7F"/>
    <w:rsid w:val="000E0FC2"/>
    <w:rsid w:val="000E18D2"/>
    <w:rsid w:val="000E2405"/>
    <w:rsid w:val="000E2F60"/>
    <w:rsid w:val="000E42AF"/>
    <w:rsid w:val="000E4B54"/>
    <w:rsid w:val="000E61BE"/>
    <w:rsid w:val="000E6DE8"/>
    <w:rsid w:val="000F02B1"/>
    <w:rsid w:val="000F0C7C"/>
    <w:rsid w:val="000F119B"/>
    <w:rsid w:val="000F1B10"/>
    <w:rsid w:val="000F238B"/>
    <w:rsid w:val="000F2472"/>
    <w:rsid w:val="000F25F4"/>
    <w:rsid w:val="000F2906"/>
    <w:rsid w:val="000F2BDC"/>
    <w:rsid w:val="000F2CDA"/>
    <w:rsid w:val="000F3BAB"/>
    <w:rsid w:val="000F41FA"/>
    <w:rsid w:val="000F47A9"/>
    <w:rsid w:val="000F490D"/>
    <w:rsid w:val="000F4E19"/>
    <w:rsid w:val="000F5441"/>
    <w:rsid w:val="000F5A77"/>
    <w:rsid w:val="000F68DA"/>
    <w:rsid w:val="000F7BD0"/>
    <w:rsid w:val="001004A4"/>
    <w:rsid w:val="00100662"/>
    <w:rsid w:val="00101477"/>
    <w:rsid w:val="00101675"/>
    <w:rsid w:val="0010169C"/>
    <w:rsid w:val="0010174B"/>
    <w:rsid w:val="00101DF0"/>
    <w:rsid w:val="00102D0F"/>
    <w:rsid w:val="00102F38"/>
    <w:rsid w:val="00103B77"/>
    <w:rsid w:val="00104A38"/>
    <w:rsid w:val="00104C40"/>
    <w:rsid w:val="00105458"/>
    <w:rsid w:val="001068CA"/>
    <w:rsid w:val="00106D48"/>
    <w:rsid w:val="00107503"/>
    <w:rsid w:val="00110AC2"/>
    <w:rsid w:val="00111A91"/>
    <w:rsid w:val="001126EC"/>
    <w:rsid w:val="00112A9A"/>
    <w:rsid w:val="0011343A"/>
    <w:rsid w:val="00113AB3"/>
    <w:rsid w:val="001147B6"/>
    <w:rsid w:val="00114ABF"/>
    <w:rsid w:val="001151FC"/>
    <w:rsid w:val="00116552"/>
    <w:rsid w:val="001166E4"/>
    <w:rsid w:val="0011721A"/>
    <w:rsid w:val="001172F1"/>
    <w:rsid w:val="00117488"/>
    <w:rsid w:val="00117AF7"/>
    <w:rsid w:val="0012024D"/>
    <w:rsid w:val="00120803"/>
    <w:rsid w:val="00121BD6"/>
    <w:rsid w:val="00122D64"/>
    <w:rsid w:val="00123CE7"/>
    <w:rsid w:val="00124845"/>
    <w:rsid w:val="0012497F"/>
    <w:rsid w:val="00124B76"/>
    <w:rsid w:val="0012642E"/>
    <w:rsid w:val="00126441"/>
    <w:rsid w:val="00127010"/>
    <w:rsid w:val="001305DA"/>
    <w:rsid w:val="00131E87"/>
    <w:rsid w:val="00132BF6"/>
    <w:rsid w:val="00133255"/>
    <w:rsid w:val="00133BE3"/>
    <w:rsid w:val="00134442"/>
    <w:rsid w:val="00134D8E"/>
    <w:rsid w:val="00135C24"/>
    <w:rsid w:val="00135C45"/>
    <w:rsid w:val="00136A5D"/>
    <w:rsid w:val="00137876"/>
    <w:rsid w:val="0013791C"/>
    <w:rsid w:val="00137EE0"/>
    <w:rsid w:val="00140B5C"/>
    <w:rsid w:val="00140FBF"/>
    <w:rsid w:val="0014159A"/>
    <w:rsid w:val="001419EB"/>
    <w:rsid w:val="00141CDA"/>
    <w:rsid w:val="00141CF7"/>
    <w:rsid w:val="00141D4D"/>
    <w:rsid w:val="00143CF8"/>
    <w:rsid w:val="00143F9B"/>
    <w:rsid w:val="001449A3"/>
    <w:rsid w:val="00144AB9"/>
    <w:rsid w:val="001462C5"/>
    <w:rsid w:val="00146342"/>
    <w:rsid w:val="00146A83"/>
    <w:rsid w:val="00146F03"/>
    <w:rsid w:val="00147831"/>
    <w:rsid w:val="001478B7"/>
    <w:rsid w:val="00147DB2"/>
    <w:rsid w:val="0015046E"/>
    <w:rsid w:val="00150FE3"/>
    <w:rsid w:val="00151162"/>
    <w:rsid w:val="001524BD"/>
    <w:rsid w:val="00155941"/>
    <w:rsid w:val="00156AEC"/>
    <w:rsid w:val="001574BC"/>
    <w:rsid w:val="00161A31"/>
    <w:rsid w:val="0016262B"/>
    <w:rsid w:val="00162F64"/>
    <w:rsid w:val="0016430C"/>
    <w:rsid w:val="00164DD0"/>
    <w:rsid w:val="001650D0"/>
    <w:rsid w:val="001661EE"/>
    <w:rsid w:val="00166E66"/>
    <w:rsid w:val="00167D38"/>
    <w:rsid w:val="001707FA"/>
    <w:rsid w:val="0017192E"/>
    <w:rsid w:val="00171DF9"/>
    <w:rsid w:val="00171F4A"/>
    <w:rsid w:val="00172A3D"/>
    <w:rsid w:val="0017381D"/>
    <w:rsid w:val="00173D77"/>
    <w:rsid w:val="001740E3"/>
    <w:rsid w:val="00174541"/>
    <w:rsid w:val="00174FDC"/>
    <w:rsid w:val="00175A43"/>
    <w:rsid w:val="001763D8"/>
    <w:rsid w:val="001768B3"/>
    <w:rsid w:val="00177D5D"/>
    <w:rsid w:val="001820D4"/>
    <w:rsid w:val="001823D1"/>
    <w:rsid w:val="001833AA"/>
    <w:rsid w:val="001833F2"/>
    <w:rsid w:val="00184339"/>
    <w:rsid w:val="00187261"/>
    <w:rsid w:val="0019107E"/>
    <w:rsid w:val="00193464"/>
    <w:rsid w:val="00193B5B"/>
    <w:rsid w:val="00194C30"/>
    <w:rsid w:val="00195355"/>
    <w:rsid w:val="00195492"/>
    <w:rsid w:val="0019596D"/>
    <w:rsid w:val="0019694F"/>
    <w:rsid w:val="0019770A"/>
    <w:rsid w:val="00197D54"/>
    <w:rsid w:val="001A1A21"/>
    <w:rsid w:val="001A4604"/>
    <w:rsid w:val="001A48FB"/>
    <w:rsid w:val="001A4BD8"/>
    <w:rsid w:val="001A51A5"/>
    <w:rsid w:val="001A55E4"/>
    <w:rsid w:val="001A6399"/>
    <w:rsid w:val="001A6F66"/>
    <w:rsid w:val="001A7036"/>
    <w:rsid w:val="001A760F"/>
    <w:rsid w:val="001A79E3"/>
    <w:rsid w:val="001B0E28"/>
    <w:rsid w:val="001B30EA"/>
    <w:rsid w:val="001B33F4"/>
    <w:rsid w:val="001B4C37"/>
    <w:rsid w:val="001B51F0"/>
    <w:rsid w:val="001B6138"/>
    <w:rsid w:val="001B636B"/>
    <w:rsid w:val="001B65C9"/>
    <w:rsid w:val="001C0366"/>
    <w:rsid w:val="001C07CF"/>
    <w:rsid w:val="001C1477"/>
    <w:rsid w:val="001C1A12"/>
    <w:rsid w:val="001C1A58"/>
    <w:rsid w:val="001C201F"/>
    <w:rsid w:val="001C26D7"/>
    <w:rsid w:val="001C2A9D"/>
    <w:rsid w:val="001C31AE"/>
    <w:rsid w:val="001C3DFA"/>
    <w:rsid w:val="001C4436"/>
    <w:rsid w:val="001C443E"/>
    <w:rsid w:val="001C4624"/>
    <w:rsid w:val="001C4A89"/>
    <w:rsid w:val="001C4AC9"/>
    <w:rsid w:val="001C4B3B"/>
    <w:rsid w:val="001C4E08"/>
    <w:rsid w:val="001C6B89"/>
    <w:rsid w:val="001C6B94"/>
    <w:rsid w:val="001C6CC2"/>
    <w:rsid w:val="001D0BC5"/>
    <w:rsid w:val="001D0E5A"/>
    <w:rsid w:val="001D17D3"/>
    <w:rsid w:val="001D24A2"/>
    <w:rsid w:val="001D2829"/>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CBE"/>
    <w:rsid w:val="001E0D66"/>
    <w:rsid w:val="001E1576"/>
    <w:rsid w:val="001E30DB"/>
    <w:rsid w:val="001E33CE"/>
    <w:rsid w:val="001E3E15"/>
    <w:rsid w:val="001E5258"/>
    <w:rsid w:val="001E571D"/>
    <w:rsid w:val="001E5F01"/>
    <w:rsid w:val="001E70F1"/>
    <w:rsid w:val="001E7209"/>
    <w:rsid w:val="001F0027"/>
    <w:rsid w:val="001F08C9"/>
    <w:rsid w:val="001F381F"/>
    <w:rsid w:val="001F3C6E"/>
    <w:rsid w:val="001F7293"/>
    <w:rsid w:val="001F761B"/>
    <w:rsid w:val="001F7DC7"/>
    <w:rsid w:val="00200B4D"/>
    <w:rsid w:val="0020364B"/>
    <w:rsid w:val="00203C4F"/>
    <w:rsid w:val="00206DA3"/>
    <w:rsid w:val="00207018"/>
    <w:rsid w:val="00207678"/>
    <w:rsid w:val="00207D5F"/>
    <w:rsid w:val="002127F6"/>
    <w:rsid w:val="00212FA3"/>
    <w:rsid w:val="002138E6"/>
    <w:rsid w:val="00213B7E"/>
    <w:rsid w:val="00214AA5"/>
    <w:rsid w:val="002156ED"/>
    <w:rsid w:val="00215729"/>
    <w:rsid w:val="002210EE"/>
    <w:rsid w:val="00223297"/>
    <w:rsid w:val="00223BF7"/>
    <w:rsid w:val="002245E5"/>
    <w:rsid w:val="00224A5F"/>
    <w:rsid w:val="00224D5A"/>
    <w:rsid w:val="00224E0D"/>
    <w:rsid w:val="002250BD"/>
    <w:rsid w:val="0022538C"/>
    <w:rsid w:val="0022573F"/>
    <w:rsid w:val="0022617C"/>
    <w:rsid w:val="00227651"/>
    <w:rsid w:val="00227836"/>
    <w:rsid w:val="00230D59"/>
    <w:rsid w:val="0023126F"/>
    <w:rsid w:val="00231795"/>
    <w:rsid w:val="0023271D"/>
    <w:rsid w:val="00234946"/>
    <w:rsid w:val="00234A57"/>
    <w:rsid w:val="00234D9C"/>
    <w:rsid w:val="00235F5E"/>
    <w:rsid w:val="002363CE"/>
    <w:rsid w:val="002370DC"/>
    <w:rsid w:val="0023717A"/>
    <w:rsid w:val="002372A2"/>
    <w:rsid w:val="002373B1"/>
    <w:rsid w:val="002375C2"/>
    <w:rsid w:val="00237A51"/>
    <w:rsid w:val="00240605"/>
    <w:rsid w:val="00240889"/>
    <w:rsid w:val="00242E10"/>
    <w:rsid w:val="00243254"/>
    <w:rsid w:val="002466A0"/>
    <w:rsid w:val="00246902"/>
    <w:rsid w:val="00246906"/>
    <w:rsid w:val="00246C5C"/>
    <w:rsid w:val="002478B6"/>
    <w:rsid w:val="00247ADA"/>
    <w:rsid w:val="00250E3F"/>
    <w:rsid w:val="00251061"/>
    <w:rsid w:val="00252DA7"/>
    <w:rsid w:val="00253771"/>
    <w:rsid w:val="00253B57"/>
    <w:rsid w:val="00253B7E"/>
    <w:rsid w:val="002543CF"/>
    <w:rsid w:val="002548EC"/>
    <w:rsid w:val="0025514D"/>
    <w:rsid w:val="00256557"/>
    <w:rsid w:val="00256BAC"/>
    <w:rsid w:val="00257CAC"/>
    <w:rsid w:val="0026000F"/>
    <w:rsid w:val="00260151"/>
    <w:rsid w:val="002605BF"/>
    <w:rsid w:val="0026189C"/>
    <w:rsid w:val="00261B36"/>
    <w:rsid w:val="002627D3"/>
    <w:rsid w:val="00262DE5"/>
    <w:rsid w:val="00263460"/>
    <w:rsid w:val="002639C7"/>
    <w:rsid w:val="002661CB"/>
    <w:rsid w:val="00267CAB"/>
    <w:rsid w:val="00270AF5"/>
    <w:rsid w:val="00271479"/>
    <w:rsid w:val="00272CA1"/>
    <w:rsid w:val="0027386B"/>
    <w:rsid w:val="00274E52"/>
    <w:rsid w:val="0027509C"/>
    <w:rsid w:val="00275873"/>
    <w:rsid w:val="00275F9D"/>
    <w:rsid w:val="0027615B"/>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BF2"/>
    <w:rsid w:val="00290920"/>
    <w:rsid w:val="00291A88"/>
    <w:rsid w:val="002924DB"/>
    <w:rsid w:val="002930DC"/>
    <w:rsid w:val="0029320B"/>
    <w:rsid w:val="0029482F"/>
    <w:rsid w:val="0029679C"/>
    <w:rsid w:val="002A0880"/>
    <w:rsid w:val="002A1002"/>
    <w:rsid w:val="002A104D"/>
    <w:rsid w:val="002A11BC"/>
    <w:rsid w:val="002A12BF"/>
    <w:rsid w:val="002A35D8"/>
    <w:rsid w:val="002A395A"/>
    <w:rsid w:val="002A3C0F"/>
    <w:rsid w:val="002A4752"/>
    <w:rsid w:val="002A4767"/>
    <w:rsid w:val="002A544A"/>
    <w:rsid w:val="002A54A7"/>
    <w:rsid w:val="002A64ED"/>
    <w:rsid w:val="002A7487"/>
    <w:rsid w:val="002B1059"/>
    <w:rsid w:val="002B2736"/>
    <w:rsid w:val="002B285E"/>
    <w:rsid w:val="002B2B25"/>
    <w:rsid w:val="002B3CBE"/>
    <w:rsid w:val="002B42F1"/>
    <w:rsid w:val="002B5012"/>
    <w:rsid w:val="002B574B"/>
    <w:rsid w:val="002B5A5F"/>
    <w:rsid w:val="002B61C5"/>
    <w:rsid w:val="002B6E5E"/>
    <w:rsid w:val="002B77A7"/>
    <w:rsid w:val="002B77DC"/>
    <w:rsid w:val="002C13F0"/>
    <w:rsid w:val="002C1E86"/>
    <w:rsid w:val="002C2039"/>
    <w:rsid w:val="002C2EE5"/>
    <w:rsid w:val="002C32B7"/>
    <w:rsid w:val="002C3E90"/>
    <w:rsid w:val="002C42CE"/>
    <w:rsid w:val="002C44A9"/>
    <w:rsid w:val="002C45B6"/>
    <w:rsid w:val="002C6E7E"/>
    <w:rsid w:val="002C7DAD"/>
    <w:rsid w:val="002D22CE"/>
    <w:rsid w:val="002D3760"/>
    <w:rsid w:val="002D42C8"/>
    <w:rsid w:val="002D5138"/>
    <w:rsid w:val="002D7697"/>
    <w:rsid w:val="002D7DF0"/>
    <w:rsid w:val="002E04BD"/>
    <w:rsid w:val="002E18B2"/>
    <w:rsid w:val="002E2551"/>
    <w:rsid w:val="002E2761"/>
    <w:rsid w:val="002E33E5"/>
    <w:rsid w:val="002E3769"/>
    <w:rsid w:val="002E449D"/>
    <w:rsid w:val="002E4893"/>
    <w:rsid w:val="002E5636"/>
    <w:rsid w:val="002E584A"/>
    <w:rsid w:val="002E5BFD"/>
    <w:rsid w:val="002E5D42"/>
    <w:rsid w:val="002E656C"/>
    <w:rsid w:val="002E737F"/>
    <w:rsid w:val="002E7F0D"/>
    <w:rsid w:val="002F0754"/>
    <w:rsid w:val="002F0CFA"/>
    <w:rsid w:val="002F1446"/>
    <w:rsid w:val="002F194D"/>
    <w:rsid w:val="002F2699"/>
    <w:rsid w:val="002F37C0"/>
    <w:rsid w:val="002F3F37"/>
    <w:rsid w:val="002F4209"/>
    <w:rsid w:val="002F4882"/>
    <w:rsid w:val="002F4A51"/>
    <w:rsid w:val="002F4B02"/>
    <w:rsid w:val="002F4FC9"/>
    <w:rsid w:val="002F59AC"/>
    <w:rsid w:val="002F61D8"/>
    <w:rsid w:val="002F7866"/>
    <w:rsid w:val="003011F7"/>
    <w:rsid w:val="003015C0"/>
    <w:rsid w:val="00302145"/>
    <w:rsid w:val="003026F4"/>
    <w:rsid w:val="003027A1"/>
    <w:rsid w:val="00302948"/>
    <w:rsid w:val="0030331F"/>
    <w:rsid w:val="00303817"/>
    <w:rsid w:val="00303D0D"/>
    <w:rsid w:val="00304399"/>
    <w:rsid w:val="003069B7"/>
    <w:rsid w:val="00306FB1"/>
    <w:rsid w:val="003103DA"/>
    <w:rsid w:val="0031074A"/>
    <w:rsid w:val="00310964"/>
    <w:rsid w:val="003114DF"/>
    <w:rsid w:val="00311C72"/>
    <w:rsid w:val="00312FD7"/>
    <w:rsid w:val="0031427B"/>
    <w:rsid w:val="00314848"/>
    <w:rsid w:val="003152D5"/>
    <w:rsid w:val="00315469"/>
    <w:rsid w:val="0031602B"/>
    <w:rsid w:val="00316AA4"/>
    <w:rsid w:val="00316E48"/>
    <w:rsid w:val="00317048"/>
    <w:rsid w:val="0031765C"/>
    <w:rsid w:val="00317777"/>
    <w:rsid w:val="00317D1C"/>
    <w:rsid w:val="00320D45"/>
    <w:rsid w:val="00320D9F"/>
    <w:rsid w:val="00321599"/>
    <w:rsid w:val="00322A54"/>
    <w:rsid w:val="00323BCB"/>
    <w:rsid w:val="00324CAC"/>
    <w:rsid w:val="003251B9"/>
    <w:rsid w:val="00325F55"/>
    <w:rsid w:val="00325FA3"/>
    <w:rsid w:val="00326060"/>
    <w:rsid w:val="00326356"/>
    <w:rsid w:val="0032778E"/>
    <w:rsid w:val="00330401"/>
    <w:rsid w:val="003304E5"/>
    <w:rsid w:val="00330668"/>
    <w:rsid w:val="00330F29"/>
    <w:rsid w:val="00333730"/>
    <w:rsid w:val="00333D9E"/>
    <w:rsid w:val="00334F78"/>
    <w:rsid w:val="00335E7D"/>
    <w:rsid w:val="003361AA"/>
    <w:rsid w:val="003361AD"/>
    <w:rsid w:val="00336E77"/>
    <w:rsid w:val="0033755C"/>
    <w:rsid w:val="003402C2"/>
    <w:rsid w:val="00341C11"/>
    <w:rsid w:val="00343A04"/>
    <w:rsid w:val="00343C5E"/>
    <w:rsid w:val="0034428E"/>
    <w:rsid w:val="00344EBC"/>
    <w:rsid w:val="00345413"/>
    <w:rsid w:val="00345DB8"/>
    <w:rsid w:val="00346A9B"/>
    <w:rsid w:val="00346F3D"/>
    <w:rsid w:val="00347771"/>
    <w:rsid w:val="003478FC"/>
    <w:rsid w:val="00347D15"/>
    <w:rsid w:val="003501E5"/>
    <w:rsid w:val="00351F85"/>
    <w:rsid w:val="0035236F"/>
    <w:rsid w:val="0035238E"/>
    <w:rsid w:val="00352642"/>
    <w:rsid w:val="00352A02"/>
    <w:rsid w:val="00354EC7"/>
    <w:rsid w:val="00355ACE"/>
    <w:rsid w:val="003566CC"/>
    <w:rsid w:val="003568BA"/>
    <w:rsid w:val="003570ED"/>
    <w:rsid w:val="003600F8"/>
    <w:rsid w:val="0036014C"/>
    <w:rsid w:val="00360ACD"/>
    <w:rsid w:val="00360C58"/>
    <w:rsid w:val="003613FB"/>
    <w:rsid w:val="0036345D"/>
    <w:rsid w:val="00363746"/>
    <w:rsid w:val="00363A3C"/>
    <w:rsid w:val="00364981"/>
    <w:rsid w:val="00365034"/>
    <w:rsid w:val="00365C3D"/>
    <w:rsid w:val="00365D9D"/>
    <w:rsid w:val="00366121"/>
    <w:rsid w:val="00366A97"/>
    <w:rsid w:val="00366EF5"/>
    <w:rsid w:val="00367198"/>
    <w:rsid w:val="00367871"/>
    <w:rsid w:val="00370694"/>
    <w:rsid w:val="003718C6"/>
    <w:rsid w:val="00371A8D"/>
    <w:rsid w:val="0037291B"/>
    <w:rsid w:val="0037468B"/>
    <w:rsid w:val="00375217"/>
    <w:rsid w:val="00380287"/>
    <w:rsid w:val="003806ED"/>
    <w:rsid w:val="003807E3"/>
    <w:rsid w:val="00381199"/>
    <w:rsid w:val="0038134C"/>
    <w:rsid w:val="003815F9"/>
    <w:rsid w:val="003821C7"/>
    <w:rsid w:val="003829AE"/>
    <w:rsid w:val="00383516"/>
    <w:rsid w:val="003837BF"/>
    <w:rsid w:val="00383DC8"/>
    <w:rsid w:val="003846E0"/>
    <w:rsid w:val="00384EB1"/>
    <w:rsid w:val="00385CA9"/>
    <w:rsid w:val="003866FB"/>
    <w:rsid w:val="00387B95"/>
    <w:rsid w:val="003937A1"/>
    <w:rsid w:val="00393912"/>
    <w:rsid w:val="00393C48"/>
    <w:rsid w:val="0039678F"/>
    <w:rsid w:val="00396BD0"/>
    <w:rsid w:val="00397378"/>
    <w:rsid w:val="00397AA2"/>
    <w:rsid w:val="003A2516"/>
    <w:rsid w:val="003A275F"/>
    <w:rsid w:val="003A48D0"/>
    <w:rsid w:val="003A4AEF"/>
    <w:rsid w:val="003A5177"/>
    <w:rsid w:val="003A6994"/>
    <w:rsid w:val="003A6D88"/>
    <w:rsid w:val="003A6D99"/>
    <w:rsid w:val="003A7C88"/>
    <w:rsid w:val="003A7EB7"/>
    <w:rsid w:val="003B0228"/>
    <w:rsid w:val="003B0361"/>
    <w:rsid w:val="003B0B32"/>
    <w:rsid w:val="003B1EDB"/>
    <w:rsid w:val="003B20F1"/>
    <w:rsid w:val="003B3060"/>
    <w:rsid w:val="003B3E14"/>
    <w:rsid w:val="003B477D"/>
    <w:rsid w:val="003B4B5D"/>
    <w:rsid w:val="003B5B97"/>
    <w:rsid w:val="003B72D8"/>
    <w:rsid w:val="003B74DA"/>
    <w:rsid w:val="003B7C71"/>
    <w:rsid w:val="003C011A"/>
    <w:rsid w:val="003C119E"/>
    <w:rsid w:val="003C12AC"/>
    <w:rsid w:val="003C3F3A"/>
    <w:rsid w:val="003C4618"/>
    <w:rsid w:val="003C49A6"/>
    <w:rsid w:val="003C4CA4"/>
    <w:rsid w:val="003C6807"/>
    <w:rsid w:val="003C6B0D"/>
    <w:rsid w:val="003C70A8"/>
    <w:rsid w:val="003C7446"/>
    <w:rsid w:val="003C7A5F"/>
    <w:rsid w:val="003D1324"/>
    <w:rsid w:val="003D178C"/>
    <w:rsid w:val="003D1998"/>
    <w:rsid w:val="003D1DD2"/>
    <w:rsid w:val="003D28A1"/>
    <w:rsid w:val="003D29A8"/>
    <w:rsid w:val="003D2A1A"/>
    <w:rsid w:val="003D3355"/>
    <w:rsid w:val="003D3969"/>
    <w:rsid w:val="003D3C84"/>
    <w:rsid w:val="003D41B4"/>
    <w:rsid w:val="003D4972"/>
    <w:rsid w:val="003D50D3"/>
    <w:rsid w:val="003D5EDD"/>
    <w:rsid w:val="003D5F02"/>
    <w:rsid w:val="003D6097"/>
    <w:rsid w:val="003D66C9"/>
    <w:rsid w:val="003D7285"/>
    <w:rsid w:val="003D757F"/>
    <w:rsid w:val="003E0B0B"/>
    <w:rsid w:val="003E1C84"/>
    <w:rsid w:val="003E2CE5"/>
    <w:rsid w:val="003E3927"/>
    <w:rsid w:val="003E3C31"/>
    <w:rsid w:val="003E3CD2"/>
    <w:rsid w:val="003E45C4"/>
    <w:rsid w:val="003E4699"/>
    <w:rsid w:val="003E4F8B"/>
    <w:rsid w:val="003E5296"/>
    <w:rsid w:val="003E6A12"/>
    <w:rsid w:val="003F15D1"/>
    <w:rsid w:val="003F1DD0"/>
    <w:rsid w:val="003F2774"/>
    <w:rsid w:val="003F5158"/>
    <w:rsid w:val="003F61E9"/>
    <w:rsid w:val="003F6851"/>
    <w:rsid w:val="003F7DC4"/>
    <w:rsid w:val="004015D5"/>
    <w:rsid w:val="0040238E"/>
    <w:rsid w:val="00404646"/>
    <w:rsid w:val="00404CCE"/>
    <w:rsid w:val="00405E06"/>
    <w:rsid w:val="00406BDB"/>
    <w:rsid w:val="00407174"/>
    <w:rsid w:val="00407312"/>
    <w:rsid w:val="0040741D"/>
    <w:rsid w:val="00407812"/>
    <w:rsid w:val="00407D73"/>
    <w:rsid w:val="00410A47"/>
    <w:rsid w:val="004117A9"/>
    <w:rsid w:val="00411A53"/>
    <w:rsid w:val="004124EE"/>
    <w:rsid w:val="00412664"/>
    <w:rsid w:val="00413FEF"/>
    <w:rsid w:val="00415652"/>
    <w:rsid w:val="00415D3A"/>
    <w:rsid w:val="00415FFA"/>
    <w:rsid w:val="00416C87"/>
    <w:rsid w:val="00422CD1"/>
    <w:rsid w:val="00423109"/>
    <w:rsid w:val="00423699"/>
    <w:rsid w:val="00423954"/>
    <w:rsid w:val="00423D7A"/>
    <w:rsid w:val="00423DEC"/>
    <w:rsid w:val="00424003"/>
    <w:rsid w:val="00424A72"/>
    <w:rsid w:val="00427AD9"/>
    <w:rsid w:val="00427CCA"/>
    <w:rsid w:val="00431544"/>
    <w:rsid w:val="00431C14"/>
    <w:rsid w:val="00432FC5"/>
    <w:rsid w:val="0043485D"/>
    <w:rsid w:val="00434954"/>
    <w:rsid w:val="004352C9"/>
    <w:rsid w:val="004358F8"/>
    <w:rsid w:val="004359ED"/>
    <w:rsid w:val="004378CA"/>
    <w:rsid w:val="004403DE"/>
    <w:rsid w:val="00440A77"/>
    <w:rsid w:val="004413BC"/>
    <w:rsid w:val="004415E2"/>
    <w:rsid w:val="00441630"/>
    <w:rsid w:val="00441C02"/>
    <w:rsid w:val="0044295F"/>
    <w:rsid w:val="004432C8"/>
    <w:rsid w:val="004440C3"/>
    <w:rsid w:val="00444D28"/>
    <w:rsid w:val="00444D3C"/>
    <w:rsid w:val="00445843"/>
    <w:rsid w:val="004465B5"/>
    <w:rsid w:val="004472BB"/>
    <w:rsid w:val="004476A2"/>
    <w:rsid w:val="0045152C"/>
    <w:rsid w:val="00451592"/>
    <w:rsid w:val="004517FD"/>
    <w:rsid w:val="00451CDB"/>
    <w:rsid w:val="00452E0D"/>
    <w:rsid w:val="0045446E"/>
    <w:rsid w:val="0045470B"/>
    <w:rsid w:val="0045501B"/>
    <w:rsid w:val="0045676D"/>
    <w:rsid w:val="00457C8E"/>
    <w:rsid w:val="00460E91"/>
    <w:rsid w:val="00460F50"/>
    <w:rsid w:val="004612B4"/>
    <w:rsid w:val="004617B2"/>
    <w:rsid w:val="00461C7A"/>
    <w:rsid w:val="004624D7"/>
    <w:rsid w:val="00463037"/>
    <w:rsid w:val="004633A2"/>
    <w:rsid w:val="00465956"/>
    <w:rsid w:val="00465A9B"/>
    <w:rsid w:val="00465CDE"/>
    <w:rsid w:val="00465CE8"/>
    <w:rsid w:val="00466281"/>
    <w:rsid w:val="00466D51"/>
    <w:rsid w:val="004679D7"/>
    <w:rsid w:val="00467B06"/>
    <w:rsid w:val="00467C10"/>
    <w:rsid w:val="004706E3"/>
    <w:rsid w:val="00471777"/>
    <w:rsid w:val="00471CA9"/>
    <w:rsid w:val="0047392C"/>
    <w:rsid w:val="004743D4"/>
    <w:rsid w:val="00475BD2"/>
    <w:rsid w:val="00480010"/>
    <w:rsid w:val="004820EF"/>
    <w:rsid w:val="004821CF"/>
    <w:rsid w:val="00482314"/>
    <w:rsid w:val="00482577"/>
    <w:rsid w:val="0048331A"/>
    <w:rsid w:val="00483BB7"/>
    <w:rsid w:val="00483EB0"/>
    <w:rsid w:val="00484040"/>
    <w:rsid w:val="00484D65"/>
    <w:rsid w:val="00485A34"/>
    <w:rsid w:val="00485C86"/>
    <w:rsid w:val="004863B9"/>
    <w:rsid w:val="004865AA"/>
    <w:rsid w:val="0048696C"/>
    <w:rsid w:val="004878F9"/>
    <w:rsid w:val="004903F9"/>
    <w:rsid w:val="0049062D"/>
    <w:rsid w:val="00490B68"/>
    <w:rsid w:val="00490E42"/>
    <w:rsid w:val="004914C7"/>
    <w:rsid w:val="004917C9"/>
    <w:rsid w:val="004920AF"/>
    <w:rsid w:val="0049259E"/>
    <w:rsid w:val="00493604"/>
    <w:rsid w:val="00494D13"/>
    <w:rsid w:val="0049562A"/>
    <w:rsid w:val="0049602B"/>
    <w:rsid w:val="004960D4"/>
    <w:rsid w:val="0049695D"/>
    <w:rsid w:val="00496E28"/>
    <w:rsid w:val="00497805"/>
    <w:rsid w:val="004A0264"/>
    <w:rsid w:val="004A02A4"/>
    <w:rsid w:val="004A0FC0"/>
    <w:rsid w:val="004A13C8"/>
    <w:rsid w:val="004A16AA"/>
    <w:rsid w:val="004A1861"/>
    <w:rsid w:val="004A2BAD"/>
    <w:rsid w:val="004A404F"/>
    <w:rsid w:val="004A4451"/>
    <w:rsid w:val="004A4B45"/>
    <w:rsid w:val="004A4BC0"/>
    <w:rsid w:val="004A4BE6"/>
    <w:rsid w:val="004A4CE7"/>
    <w:rsid w:val="004A4E95"/>
    <w:rsid w:val="004A5222"/>
    <w:rsid w:val="004A7007"/>
    <w:rsid w:val="004A71DD"/>
    <w:rsid w:val="004A7B76"/>
    <w:rsid w:val="004B0370"/>
    <w:rsid w:val="004B07F7"/>
    <w:rsid w:val="004B2D75"/>
    <w:rsid w:val="004B480C"/>
    <w:rsid w:val="004B495E"/>
    <w:rsid w:val="004B545F"/>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BAB"/>
    <w:rsid w:val="004C4FCE"/>
    <w:rsid w:val="004C57F7"/>
    <w:rsid w:val="004C5A91"/>
    <w:rsid w:val="004C7026"/>
    <w:rsid w:val="004C7215"/>
    <w:rsid w:val="004C74D3"/>
    <w:rsid w:val="004C7979"/>
    <w:rsid w:val="004D011F"/>
    <w:rsid w:val="004D0439"/>
    <w:rsid w:val="004D04F0"/>
    <w:rsid w:val="004D091D"/>
    <w:rsid w:val="004D11C8"/>
    <w:rsid w:val="004D13EB"/>
    <w:rsid w:val="004D2B96"/>
    <w:rsid w:val="004D2BDF"/>
    <w:rsid w:val="004D323B"/>
    <w:rsid w:val="004D4454"/>
    <w:rsid w:val="004D4781"/>
    <w:rsid w:val="004D4E63"/>
    <w:rsid w:val="004D5383"/>
    <w:rsid w:val="004D5DDD"/>
    <w:rsid w:val="004D64C4"/>
    <w:rsid w:val="004D6698"/>
    <w:rsid w:val="004D7C66"/>
    <w:rsid w:val="004E129F"/>
    <w:rsid w:val="004E2DB4"/>
    <w:rsid w:val="004E33F4"/>
    <w:rsid w:val="004E3A3D"/>
    <w:rsid w:val="004E4815"/>
    <w:rsid w:val="004E4DF1"/>
    <w:rsid w:val="004E4FBB"/>
    <w:rsid w:val="004E6925"/>
    <w:rsid w:val="004E6F50"/>
    <w:rsid w:val="004E7154"/>
    <w:rsid w:val="004E7468"/>
    <w:rsid w:val="004F09B2"/>
    <w:rsid w:val="004F1CE0"/>
    <w:rsid w:val="004F2D4F"/>
    <w:rsid w:val="004F31D5"/>
    <w:rsid w:val="004F3342"/>
    <w:rsid w:val="004F3431"/>
    <w:rsid w:val="004F3E53"/>
    <w:rsid w:val="004F622F"/>
    <w:rsid w:val="004F6920"/>
    <w:rsid w:val="005007B9"/>
    <w:rsid w:val="00502206"/>
    <w:rsid w:val="0050238C"/>
    <w:rsid w:val="005029E9"/>
    <w:rsid w:val="005033E4"/>
    <w:rsid w:val="00503AC1"/>
    <w:rsid w:val="0050427D"/>
    <w:rsid w:val="005043EB"/>
    <w:rsid w:val="0050508F"/>
    <w:rsid w:val="005053DB"/>
    <w:rsid w:val="00506E1C"/>
    <w:rsid w:val="00506FBF"/>
    <w:rsid w:val="005073BC"/>
    <w:rsid w:val="0050779F"/>
    <w:rsid w:val="005079F4"/>
    <w:rsid w:val="00510659"/>
    <w:rsid w:val="0051183E"/>
    <w:rsid w:val="00511AE7"/>
    <w:rsid w:val="00512265"/>
    <w:rsid w:val="005124D9"/>
    <w:rsid w:val="005136F6"/>
    <w:rsid w:val="005139F7"/>
    <w:rsid w:val="00513AF9"/>
    <w:rsid w:val="00514C49"/>
    <w:rsid w:val="005156F8"/>
    <w:rsid w:val="0051579A"/>
    <w:rsid w:val="005163D2"/>
    <w:rsid w:val="00516D51"/>
    <w:rsid w:val="00517A3E"/>
    <w:rsid w:val="00517C6A"/>
    <w:rsid w:val="00517DD3"/>
    <w:rsid w:val="0052161E"/>
    <w:rsid w:val="0052277D"/>
    <w:rsid w:val="00522ED3"/>
    <w:rsid w:val="005247EC"/>
    <w:rsid w:val="00524B6C"/>
    <w:rsid w:val="00524F06"/>
    <w:rsid w:val="005254C1"/>
    <w:rsid w:val="0052557F"/>
    <w:rsid w:val="005262A8"/>
    <w:rsid w:val="00527BAF"/>
    <w:rsid w:val="00532916"/>
    <w:rsid w:val="0053340C"/>
    <w:rsid w:val="0053371E"/>
    <w:rsid w:val="00534270"/>
    <w:rsid w:val="005343FE"/>
    <w:rsid w:val="00534C30"/>
    <w:rsid w:val="0053590C"/>
    <w:rsid w:val="00535B5B"/>
    <w:rsid w:val="00536437"/>
    <w:rsid w:val="005364F0"/>
    <w:rsid w:val="00536620"/>
    <w:rsid w:val="00536D4D"/>
    <w:rsid w:val="005408F6"/>
    <w:rsid w:val="00541876"/>
    <w:rsid w:val="00541C10"/>
    <w:rsid w:val="0054289D"/>
    <w:rsid w:val="005442A1"/>
    <w:rsid w:val="00544A7B"/>
    <w:rsid w:val="005451A3"/>
    <w:rsid w:val="00547226"/>
    <w:rsid w:val="005500E2"/>
    <w:rsid w:val="00551400"/>
    <w:rsid w:val="005548F5"/>
    <w:rsid w:val="00554DAF"/>
    <w:rsid w:val="00554E39"/>
    <w:rsid w:val="005559A6"/>
    <w:rsid w:val="00555D7A"/>
    <w:rsid w:val="0055627D"/>
    <w:rsid w:val="005602D9"/>
    <w:rsid w:val="00561F38"/>
    <w:rsid w:val="0056200C"/>
    <w:rsid w:val="0056308C"/>
    <w:rsid w:val="00564321"/>
    <w:rsid w:val="00564C55"/>
    <w:rsid w:val="0056615C"/>
    <w:rsid w:val="00567094"/>
    <w:rsid w:val="0056791D"/>
    <w:rsid w:val="00567EBB"/>
    <w:rsid w:val="0057089E"/>
    <w:rsid w:val="00570E4B"/>
    <w:rsid w:val="005716C7"/>
    <w:rsid w:val="0057302C"/>
    <w:rsid w:val="00573D70"/>
    <w:rsid w:val="00574633"/>
    <w:rsid w:val="005747E2"/>
    <w:rsid w:val="005748EE"/>
    <w:rsid w:val="00574AC5"/>
    <w:rsid w:val="0057529E"/>
    <w:rsid w:val="00575490"/>
    <w:rsid w:val="0057564E"/>
    <w:rsid w:val="005758B3"/>
    <w:rsid w:val="00575C58"/>
    <w:rsid w:val="00576309"/>
    <w:rsid w:val="00576CBA"/>
    <w:rsid w:val="00577273"/>
    <w:rsid w:val="005808A1"/>
    <w:rsid w:val="005808E9"/>
    <w:rsid w:val="005809DA"/>
    <w:rsid w:val="005814DC"/>
    <w:rsid w:val="0058292B"/>
    <w:rsid w:val="00582E27"/>
    <w:rsid w:val="00583A88"/>
    <w:rsid w:val="00583E79"/>
    <w:rsid w:val="00585FBB"/>
    <w:rsid w:val="00586125"/>
    <w:rsid w:val="00586FEB"/>
    <w:rsid w:val="00590378"/>
    <w:rsid w:val="00590974"/>
    <w:rsid w:val="00590D87"/>
    <w:rsid w:val="00590FDF"/>
    <w:rsid w:val="00591CFD"/>
    <w:rsid w:val="00592572"/>
    <w:rsid w:val="00593750"/>
    <w:rsid w:val="00593BA1"/>
    <w:rsid w:val="005942F4"/>
    <w:rsid w:val="00594ED5"/>
    <w:rsid w:val="00595550"/>
    <w:rsid w:val="0059568D"/>
    <w:rsid w:val="00595B1E"/>
    <w:rsid w:val="00595ECE"/>
    <w:rsid w:val="00597147"/>
    <w:rsid w:val="005A0407"/>
    <w:rsid w:val="005A2C9B"/>
    <w:rsid w:val="005A2E3F"/>
    <w:rsid w:val="005A3592"/>
    <w:rsid w:val="005A4131"/>
    <w:rsid w:val="005A57FB"/>
    <w:rsid w:val="005A6526"/>
    <w:rsid w:val="005A6BCF"/>
    <w:rsid w:val="005A6BE1"/>
    <w:rsid w:val="005A6D67"/>
    <w:rsid w:val="005A705A"/>
    <w:rsid w:val="005A75F5"/>
    <w:rsid w:val="005B0823"/>
    <w:rsid w:val="005B1145"/>
    <w:rsid w:val="005B1651"/>
    <w:rsid w:val="005B218B"/>
    <w:rsid w:val="005B253B"/>
    <w:rsid w:val="005B3BD0"/>
    <w:rsid w:val="005B4D74"/>
    <w:rsid w:val="005B5138"/>
    <w:rsid w:val="005B6435"/>
    <w:rsid w:val="005B6819"/>
    <w:rsid w:val="005B6E5E"/>
    <w:rsid w:val="005B7279"/>
    <w:rsid w:val="005B7C06"/>
    <w:rsid w:val="005C008B"/>
    <w:rsid w:val="005C02D8"/>
    <w:rsid w:val="005C19B9"/>
    <w:rsid w:val="005C1CF8"/>
    <w:rsid w:val="005C2687"/>
    <w:rsid w:val="005C3822"/>
    <w:rsid w:val="005C4A55"/>
    <w:rsid w:val="005C4E2B"/>
    <w:rsid w:val="005C5EBA"/>
    <w:rsid w:val="005C663C"/>
    <w:rsid w:val="005C76B6"/>
    <w:rsid w:val="005D0312"/>
    <w:rsid w:val="005D07F0"/>
    <w:rsid w:val="005D101A"/>
    <w:rsid w:val="005D1FB4"/>
    <w:rsid w:val="005D2433"/>
    <w:rsid w:val="005D33AF"/>
    <w:rsid w:val="005D35F6"/>
    <w:rsid w:val="005D3C9B"/>
    <w:rsid w:val="005D3DC0"/>
    <w:rsid w:val="005D4C69"/>
    <w:rsid w:val="005D68BE"/>
    <w:rsid w:val="005D68F7"/>
    <w:rsid w:val="005D69FD"/>
    <w:rsid w:val="005D7CAA"/>
    <w:rsid w:val="005D7E8E"/>
    <w:rsid w:val="005E098F"/>
    <w:rsid w:val="005E0BFF"/>
    <w:rsid w:val="005E1541"/>
    <w:rsid w:val="005E22BC"/>
    <w:rsid w:val="005E39EB"/>
    <w:rsid w:val="005E551E"/>
    <w:rsid w:val="005E5B41"/>
    <w:rsid w:val="005E7238"/>
    <w:rsid w:val="005E7661"/>
    <w:rsid w:val="005E7C43"/>
    <w:rsid w:val="005F00B3"/>
    <w:rsid w:val="005F02EC"/>
    <w:rsid w:val="005F1BD0"/>
    <w:rsid w:val="005F2B54"/>
    <w:rsid w:val="005F2D01"/>
    <w:rsid w:val="005F3008"/>
    <w:rsid w:val="005F39D7"/>
    <w:rsid w:val="005F3EFE"/>
    <w:rsid w:val="005F5832"/>
    <w:rsid w:val="005F5908"/>
    <w:rsid w:val="005F5AC9"/>
    <w:rsid w:val="005F614E"/>
    <w:rsid w:val="005F6E25"/>
    <w:rsid w:val="005F7404"/>
    <w:rsid w:val="00600419"/>
    <w:rsid w:val="00600AB2"/>
    <w:rsid w:val="006015FC"/>
    <w:rsid w:val="00601705"/>
    <w:rsid w:val="006020D5"/>
    <w:rsid w:val="006054C5"/>
    <w:rsid w:val="00605C1C"/>
    <w:rsid w:val="00605F02"/>
    <w:rsid w:val="00606CB2"/>
    <w:rsid w:val="006071D3"/>
    <w:rsid w:val="0060753A"/>
    <w:rsid w:val="00607A2C"/>
    <w:rsid w:val="0061016F"/>
    <w:rsid w:val="00610EFC"/>
    <w:rsid w:val="00611433"/>
    <w:rsid w:val="006115A9"/>
    <w:rsid w:val="00611FAA"/>
    <w:rsid w:val="00612426"/>
    <w:rsid w:val="00612823"/>
    <w:rsid w:val="00612B08"/>
    <w:rsid w:val="00612D71"/>
    <w:rsid w:val="00613077"/>
    <w:rsid w:val="00613556"/>
    <w:rsid w:val="00613AFE"/>
    <w:rsid w:val="00613C73"/>
    <w:rsid w:val="006153FA"/>
    <w:rsid w:val="00615B42"/>
    <w:rsid w:val="00615DD5"/>
    <w:rsid w:val="0061696A"/>
    <w:rsid w:val="00616AB1"/>
    <w:rsid w:val="00616FA0"/>
    <w:rsid w:val="006203E4"/>
    <w:rsid w:val="00620B94"/>
    <w:rsid w:val="00620DDD"/>
    <w:rsid w:val="0062129E"/>
    <w:rsid w:val="00621D11"/>
    <w:rsid w:val="00622095"/>
    <w:rsid w:val="00622B52"/>
    <w:rsid w:val="00623BE9"/>
    <w:rsid w:val="00624B0F"/>
    <w:rsid w:val="00624BED"/>
    <w:rsid w:val="00624C74"/>
    <w:rsid w:val="00624EB2"/>
    <w:rsid w:val="00625446"/>
    <w:rsid w:val="00625517"/>
    <w:rsid w:val="006262BF"/>
    <w:rsid w:val="006306D2"/>
    <w:rsid w:val="006307DC"/>
    <w:rsid w:val="0063184D"/>
    <w:rsid w:val="00631E36"/>
    <w:rsid w:val="00632FD6"/>
    <w:rsid w:val="00633CD9"/>
    <w:rsid w:val="0063420F"/>
    <w:rsid w:val="006342B3"/>
    <w:rsid w:val="006347CF"/>
    <w:rsid w:val="00634EB1"/>
    <w:rsid w:val="0063584B"/>
    <w:rsid w:val="00635B8D"/>
    <w:rsid w:val="00636F97"/>
    <w:rsid w:val="00637C0E"/>
    <w:rsid w:val="00637F49"/>
    <w:rsid w:val="00640315"/>
    <w:rsid w:val="00640705"/>
    <w:rsid w:val="00640A34"/>
    <w:rsid w:val="00641ADC"/>
    <w:rsid w:val="0064260F"/>
    <w:rsid w:val="00642E6E"/>
    <w:rsid w:val="00643125"/>
    <w:rsid w:val="006431DC"/>
    <w:rsid w:val="006439C9"/>
    <w:rsid w:val="00643E5D"/>
    <w:rsid w:val="00644155"/>
    <w:rsid w:val="006445DD"/>
    <w:rsid w:val="00644B7A"/>
    <w:rsid w:val="0064524B"/>
    <w:rsid w:val="00645BDA"/>
    <w:rsid w:val="006508B9"/>
    <w:rsid w:val="00651997"/>
    <w:rsid w:val="00651ECC"/>
    <w:rsid w:val="00652624"/>
    <w:rsid w:val="00653D13"/>
    <w:rsid w:val="00654750"/>
    <w:rsid w:val="00656893"/>
    <w:rsid w:val="0065698E"/>
    <w:rsid w:val="00657691"/>
    <w:rsid w:val="00657736"/>
    <w:rsid w:val="00657CFF"/>
    <w:rsid w:val="006618F0"/>
    <w:rsid w:val="00663A68"/>
    <w:rsid w:val="00663EEC"/>
    <w:rsid w:val="0066437C"/>
    <w:rsid w:val="006650C0"/>
    <w:rsid w:val="0066641F"/>
    <w:rsid w:val="0066686A"/>
    <w:rsid w:val="00667028"/>
    <w:rsid w:val="00667879"/>
    <w:rsid w:val="00667A4E"/>
    <w:rsid w:val="00670403"/>
    <w:rsid w:val="0067070A"/>
    <w:rsid w:val="00670842"/>
    <w:rsid w:val="00670E7A"/>
    <w:rsid w:val="00670EBE"/>
    <w:rsid w:val="00672C8E"/>
    <w:rsid w:val="006732BD"/>
    <w:rsid w:val="006733F7"/>
    <w:rsid w:val="006752A1"/>
    <w:rsid w:val="006755AF"/>
    <w:rsid w:val="00675993"/>
    <w:rsid w:val="00675E47"/>
    <w:rsid w:val="006768BB"/>
    <w:rsid w:val="00676B29"/>
    <w:rsid w:val="0068132E"/>
    <w:rsid w:val="00681433"/>
    <w:rsid w:val="006816D2"/>
    <w:rsid w:val="00682072"/>
    <w:rsid w:val="006829C2"/>
    <w:rsid w:val="00683168"/>
    <w:rsid w:val="00683227"/>
    <w:rsid w:val="006839F9"/>
    <w:rsid w:val="006863A3"/>
    <w:rsid w:val="006863C0"/>
    <w:rsid w:val="0068656C"/>
    <w:rsid w:val="0068762A"/>
    <w:rsid w:val="00690247"/>
    <w:rsid w:val="00690CA6"/>
    <w:rsid w:val="00690E36"/>
    <w:rsid w:val="00692009"/>
    <w:rsid w:val="00692071"/>
    <w:rsid w:val="00692AEF"/>
    <w:rsid w:val="00692C2C"/>
    <w:rsid w:val="006930D5"/>
    <w:rsid w:val="006932EA"/>
    <w:rsid w:val="00693675"/>
    <w:rsid w:val="006937BC"/>
    <w:rsid w:val="00693FDF"/>
    <w:rsid w:val="00694933"/>
    <w:rsid w:val="00695C2E"/>
    <w:rsid w:val="00695F54"/>
    <w:rsid w:val="0069608C"/>
    <w:rsid w:val="006A1423"/>
    <w:rsid w:val="006A156E"/>
    <w:rsid w:val="006A192F"/>
    <w:rsid w:val="006A24AC"/>
    <w:rsid w:val="006A38DB"/>
    <w:rsid w:val="006A3E04"/>
    <w:rsid w:val="006A403B"/>
    <w:rsid w:val="006A4CE2"/>
    <w:rsid w:val="006A61BF"/>
    <w:rsid w:val="006A65F4"/>
    <w:rsid w:val="006A67C2"/>
    <w:rsid w:val="006B0615"/>
    <w:rsid w:val="006B0F55"/>
    <w:rsid w:val="006B1381"/>
    <w:rsid w:val="006B25E9"/>
    <w:rsid w:val="006B26D4"/>
    <w:rsid w:val="006B2818"/>
    <w:rsid w:val="006B38CD"/>
    <w:rsid w:val="006B5068"/>
    <w:rsid w:val="006B514A"/>
    <w:rsid w:val="006B5642"/>
    <w:rsid w:val="006B747D"/>
    <w:rsid w:val="006B7582"/>
    <w:rsid w:val="006B75C0"/>
    <w:rsid w:val="006C07D9"/>
    <w:rsid w:val="006C2C1F"/>
    <w:rsid w:val="006C31EE"/>
    <w:rsid w:val="006C32ED"/>
    <w:rsid w:val="006C32F7"/>
    <w:rsid w:val="006C4729"/>
    <w:rsid w:val="006C489E"/>
    <w:rsid w:val="006C4A66"/>
    <w:rsid w:val="006C4AE8"/>
    <w:rsid w:val="006C695F"/>
    <w:rsid w:val="006C7D97"/>
    <w:rsid w:val="006D0C2C"/>
    <w:rsid w:val="006D0DF6"/>
    <w:rsid w:val="006D1A08"/>
    <w:rsid w:val="006D1F19"/>
    <w:rsid w:val="006D235F"/>
    <w:rsid w:val="006D251B"/>
    <w:rsid w:val="006D25AC"/>
    <w:rsid w:val="006D2A92"/>
    <w:rsid w:val="006D3110"/>
    <w:rsid w:val="006D35C6"/>
    <w:rsid w:val="006D4561"/>
    <w:rsid w:val="006D4A69"/>
    <w:rsid w:val="006D5210"/>
    <w:rsid w:val="006D58D3"/>
    <w:rsid w:val="006D5CA4"/>
    <w:rsid w:val="006D6AF7"/>
    <w:rsid w:val="006D6B5D"/>
    <w:rsid w:val="006D6C36"/>
    <w:rsid w:val="006D7237"/>
    <w:rsid w:val="006D72EA"/>
    <w:rsid w:val="006E002D"/>
    <w:rsid w:val="006E4424"/>
    <w:rsid w:val="006E6489"/>
    <w:rsid w:val="006E69AB"/>
    <w:rsid w:val="006E6D7B"/>
    <w:rsid w:val="006E75C0"/>
    <w:rsid w:val="006E7765"/>
    <w:rsid w:val="006F0696"/>
    <w:rsid w:val="006F252C"/>
    <w:rsid w:val="006F27B0"/>
    <w:rsid w:val="006F3880"/>
    <w:rsid w:val="006F3AC9"/>
    <w:rsid w:val="006F4305"/>
    <w:rsid w:val="006F5A2A"/>
    <w:rsid w:val="006F5B07"/>
    <w:rsid w:val="006F5BF9"/>
    <w:rsid w:val="006F6837"/>
    <w:rsid w:val="006F6CEE"/>
    <w:rsid w:val="006F73D1"/>
    <w:rsid w:val="006F76A0"/>
    <w:rsid w:val="006F7EC4"/>
    <w:rsid w:val="0070027D"/>
    <w:rsid w:val="0070048F"/>
    <w:rsid w:val="00700B13"/>
    <w:rsid w:val="00700D9E"/>
    <w:rsid w:val="00701C92"/>
    <w:rsid w:val="00701E9D"/>
    <w:rsid w:val="0070380A"/>
    <w:rsid w:val="00704063"/>
    <w:rsid w:val="00705624"/>
    <w:rsid w:val="00705D72"/>
    <w:rsid w:val="007062BB"/>
    <w:rsid w:val="00706588"/>
    <w:rsid w:val="0070680A"/>
    <w:rsid w:val="00706FBE"/>
    <w:rsid w:val="00707A30"/>
    <w:rsid w:val="00707A64"/>
    <w:rsid w:val="00707F4B"/>
    <w:rsid w:val="0071061B"/>
    <w:rsid w:val="00710B2B"/>
    <w:rsid w:val="00711997"/>
    <w:rsid w:val="00712462"/>
    <w:rsid w:val="00712EC3"/>
    <w:rsid w:val="00713053"/>
    <w:rsid w:val="0071306B"/>
    <w:rsid w:val="00713966"/>
    <w:rsid w:val="0071424F"/>
    <w:rsid w:val="007149EF"/>
    <w:rsid w:val="00714D6D"/>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67C"/>
    <w:rsid w:val="00723A81"/>
    <w:rsid w:val="007258EE"/>
    <w:rsid w:val="00725CB5"/>
    <w:rsid w:val="0072614D"/>
    <w:rsid w:val="007263C6"/>
    <w:rsid w:val="007263E1"/>
    <w:rsid w:val="007271C6"/>
    <w:rsid w:val="00727562"/>
    <w:rsid w:val="007275A1"/>
    <w:rsid w:val="00730BB1"/>
    <w:rsid w:val="0073106B"/>
    <w:rsid w:val="00731BDA"/>
    <w:rsid w:val="00731ED4"/>
    <w:rsid w:val="00732BF9"/>
    <w:rsid w:val="00732E7A"/>
    <w:rsid w:val="00733136"/>
    <w:rsid w:val="0073365B"/>
    <w:rsid w:val="00734157"/>
    <w:rsid w:val="0073453A"/>
    <w:rsid w:val="007347EB"/>
    <w:rsid w:val="00734FF0"/>
    <w:rsid w:val="00735546"/>
    <w:rsid w:val="00736FB2"/>
    <w:rsid w:val="007374F0"/>
    <w:rsid w:val="00737739"/>
    <w:rsid w:val="00737A07"/>
    <w:rsid w:val="00740961"/>
    <w:rsid w:val="00740A27"/>
    <w:rsid w:val="00742F72"/>
    <w:rsid w:val="007433AB"/>
    <w:rsid w:val="00743954"/>
    <w:rsid w:val="00744625"/>
    <w:rsid w:val="007454BE"/>
    <w:rsid w:val="00745BCB"/>
    <w:rsid w:val="0074600A"/>
    <w:rsid w:val="00746631"/>
    <w:rsid w:val="007466C4"/>
    <w:rsid w:val="007474E1"/>
    <w:rsid w:val="0074783C"/>
    <w:rsid w:val="00747E34"/>
    <w:rsid w:val="00750AAB"/>
    <w:rsid w:val="00750C07"/>
    <w:rsid w:val="00751679"/>
    <w:rsid w:val="0075199A"/>
    <w:rsid w:val="00751E5D"/>
    <w:rsid w:val="00752FF5"/>
    <w:rsid w:val="0075654E"/>
    <w:rsid w:val="007600D8"/>
    <w:rsid w:val="0076084E"/>
    <w:rsid w:val="00761399"/>
    <w:rsid w:val="007613C6"/>
    <w:rsid w:val="00761D07"/>
    <w:rsid w:val="00761EFB"/>
    <w:rsid w:val="007620BA"/>
    <w:rsid w:val="00762355"/>
    <w:rsid w:val="00762DFC"/>
    <w:rsid w:val="00763754"/>
    <w:rsid w:val="007637CC"/>
    <w:rsid w:val="00763BF1"/>
    <w:rsid w:val="007656F0"/>
    <w:rsid w:val="00766171"/>
    <w:rsid w:val="007665B3"/>
    <w:rsid w:val="007666F8"/>
    <w:rsid w:val="00766BF9"/>
    <w:rsid w:val="00766C17"/>
    <w:rsid w:val="00766DE7"/>
    <w:rsid w:val="0076706C"/>
    <w:rsid w:val="00767243"/>
    <w:rsid w:val="00767895"/>
    <w:rsid w:val="00772076"/>
    <w:rsid w:val="0077211F"/>
    <w:rsid w:val="00772829"/>
    <w:rsid w:val="0077348E"/>
    <w:rsid w:val="007758AA"/>
    <w:rsid w:val="00775C8B"/>
    <w:rsid w:val="00776093"/>
    <w:rsid w:val="007761C4"/>
    <w:rsid w:val="00777A1C"/>
    <w:rsid w:val="00780143"/>
    <w:rsid w:val="007803DC"/>
    <w:rsid w:val="007804CA"/>
    <w:rsid w:val="00780954"/>
    <w:rsid w:val="00781D61"/>
    <w:rsid w:val="00782688"/>
    <w:rsid w:val="007830B8"/>
    <w:rsid w:val="007833F1"/>
    <w:rsid w:val="00785F7E"/>
    <w:rsid w:val="007870BC"/>
    <w:rsid w:val="00787457"/>
    <w:rsid w:val="00787509"/>
    <w:rsid w:val="0079014D"/>
    <w:rsid w:val="007915A3"/>
    <w:rsid w:val="007919B0"/>
    <w:rsid w:val="00792359"/>
    <w:rsid w:val="007929AC"/>
    <w:rsid w:val="00792E59"/>
    <w:rsid w:val="00792FC5"/>
    <w:rsid w:val="007931DC"/>
    <w:rsid w:val="007939B3"/>
    <w:rsid w:val="00794D64"/>
    <w:rsid w:val="00794DDA"/>
    <w:rsid w:val="00795D7E"/>
    <w:rsid w:val="00796128"/>
    <w:rsid w:val="00796C34"/>
    <w:rsid w:val="00797883"/>
    <w:rsid w:val="007A014A"/>
    <w:rsid w:val="007A11E0"/>
    <w:rsid w:val="007A12BB"/>
    <w:rsid w:val="007A1CBC"/>
    <w:rsid w:val="007A1F84"/>
    <w:rsid w:val="007A363E"/>
    <w:rsid w:val="007A3AC7"/>
    <w:rsid w:val="007A3B4E"/>
    <w:rsid w:val="007A63FB"/>
    <w:rsid w:val="007A6535"/>
    <w:rsid w:val="007A6781"/>
    <w:rsid w:val="007A67FE"/>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B770A"/>
    <w:rsid w:val="007C17BE"/>
    <w:rsid w:val="007C188F"/>
    <w:rsid w:val="007C1AC7"/>
    <w:rsid w:val="007C2293"/>
    <w:rsid w:val="007C242C"/>
    <w:rsid w:val="007C31A6"/>
    <w:rsid w:val="007C4023"/>
    <w:rsid w:val="007C50C7"/>
    <w:rsid w:val="007C565A"/>
    <w:rsid w:val="007C5B9D"/>
    <w:rsid w:val="007C6DEF"/>
    <w:rsid w:val="007C6ED9"/>
    <w:rsid w:val="007C70FC"/>
    <w:rsid w:val="007D0116"/>
    <w:rsid w:val="007D02D2"/>
    <w:rsid w:val="007D18B0"/>
    <w:rsid w:val="007D1B3D"/>
    <w:rsid w:val="007D21F6"/>
    <w:rsid w:val="007D29C8"/>
    <w:rsid w:val="007D31B8"/>
    <w:rsid w:val="007D35B6"/>
    <w:rsid w:val="007D42A5"/>
    <w:rsid w:val="007D5A5B"/>
    <w:rsid w:val="007D5C60"/>
    <w:rsid w:val="007D6D06"/>
    <w:rsid w:val="007E08BD"/>
    <w:rsid w:val="007E1438"/>
    <w:rsid w:val="007E1E75"/>
    <w:rsid w:val="007E2062"/>
    <w:rsid w:val="007E227C"/>
    <w:rsid w:val="007E2ABE"/>
    <w:rsid w:val="007E2C59"/>
    <w:rsid w:val="007E6841"/>
    <w:rsid w:val="007E6A15"/>
    <w:rsid w:val="007E6A4B"/>
    <w:rsid w:val="007E6EF2"/>
    <w:rsid w:val="007E750B"/>
    <w:rsid w:val="007E7AA4"/>
    <w:rsid w:val="007F05D9"/>
    <w:rsid w:val="007F2040"/>
    <w:rsid w:val="007F2573"/>
    <w:rsid w:val="007F3137"/>
    <w:rsid w:val="007F3230"/>
    <w:rsid w:val="007F3ED7"/>
    <w:rsid w:val="007F43FF"/>
    <w:rsid w:val="007F52BC"/>
    <w:rsid w:val="007F5C0A"/>
    <w:rsid w:val="007F7858"/>
    <w:rsid w:val="007F7926"/>
    <w:rsid w:val="0080016B"/>
    <w:rsid w:val="008005DA"/>
    <w:rsid w:val="00800E31"/>
    <w:rsid w:val="00800F03"/>
    <w:rsid w:val="00800F88"/>
    <w:rsid w:val="008010C3"/>
    <w:rsid w:val="00801AF5"/>
    <w:rsid w:val="00801B8B"/>
    <w:rsid w:val="00801CFB"/>
    <w:rsid w:val="0080211C"/>
    <w:rsid w:val="0080311B"/>
    <w:rsid w:val="00803B5E"/>
    <w:rsid w:val="00803D49"/>
    <w:rsid w:val="00805CB9"/>
    <w:rsid w:val="00805DF9"/>
    <w:rsid w:val="00807235"/>
    <w:rsid w:val="00807FAB"/>
    <w:rsid w:val="00810777"/>
    <w:rsid w:val="008110AA"/>
    <w:rsid w:val="00812144"/>
    <w:rsid w:val="00812736"/>
    <w:rsid w:val="00812F6F"/>
    <w:rsid w:val="00814C60"/>
    <w:rsid w:val="00815C1A"/>
    <w:rsid w:val="00816591"/>
    <w:rsid w:val="00816723"/>
    <w:rsid w:val="00817052"/>
    <w:rsid w:val="0081738D"/>
    <w:rsid w:val="00820C12"/>
    <w:rsid w:val="00821939"/>
    <w:rsid w:val="00821BE6"/>
    <w:rsid w:val="00821E8C"/>
    <w:rsid w:val="008224F0"/>
    <w:rsid w:val="008225C0"/>
    <w:rsid w:val="008225CF"/>
    <w:rsid w:val="00824700"/>
    <w:rsid w:val="00824AB0"/>
    <w:rsid w:val="008251C0"/>
    <w:rsid w:val="00825FD6"/>
    <w:rsid w:val="0082679C"/>
    <w:rsid w:val="008274EE"/>
    <w:rsid w:val="00831F67"/>
    <w:rsid w:val="0083215A"/>
    <w:rsid w:val="0083235B"/>
    <w:rsid w:val="00832CC8"/>
    <w:rsid w:val="00832E63"/>
    <w:rsid w:val="0083348B"/>
    <w:rsid w:val="00833C15"/>
    <w:rsid w:val="00834ECB"/>
    <w:rsid w:val="00835F2D"/>
    <w:rsid w:val="00837AAC"/>
    <w:rsid w:val="00841570"/>
    <w:rsid w:val="00841C8A"/>
    <w:rsid w:val="008425A9"/>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1DB5"/>
    <w:rsid w:val="00852AAA"/>
    <w:rsid w:val="00852DEC"/>
    <w:rsid w:val="00853F45"/>
    <w:rsid w:val="00854C2B"/>
    <w:rsid w:val="008550B5"/>
    <w:rsid w:val="0085633E"/>
    <w:rsid w:val="00856844"/>
    <w:rsid w:val="00856851"/>
    <w:rsid w:val="00856856"/>
    <w:rsid w:val="008604AE"/>
    <w:rsid w:val="00861946"/>
    <w:rsid w:val="00861F8E"/>
    <w:rsid w:val="00862947"/>
    <w:rsid w:val="00863524"/>
    <w:rsid w:val="008636E2"/>
    <w:rsid w:val="00863A14"/>
    <w:rsid w:val="008641C3"/>
    <w:rsid w:val="00864FC9"/>
    <w:rsid w:val="008653CA"/>
    <w:rsid w:val="00865807"/>
    <w:rsid w:val="00866D6B"/>
    <w:rsid w:val="00866FB5"/>
    <w:rsid w:val="008676E4"/>
    <w:rsid w:val="00867EB0"/>
    <w:rsid w:val="00870061"/>
    <w:rsid w:val="0087029A"/>
    <w:rsid w:val="00870D02"/>
    <w:rsid w:val="0087159C"/>
    <w:rsid w:val="00871B3F"/>
    <w:rsid w:val="00872C21"/>
    <w:rsid w:val="00873FDF"/>
    <w:rsid w:val="00874A05"/>
    <w:rsid w:val="00874C09"/>
    <w:rsid w:val="00875C99"/>
    <w:rsid w:val="00876087"/>
    <w:rsid w:val="0087638B"/>
    <w:rsid w:val="00876583"/>
    <w:rsid w:val="008775F0"/>
    <w:rsid w:val="00881799"/>
    <w:rsid w:val="00881A12"/>
    <w:rsid w:val="00882B90"/>
    <w:rsid w:val="00883807"/>
    <w:rsid w:val="008838C7"/>
    <w:rsid w:val="00883E3C"/>
    <w:rsid w:val="00883EA0"/>
    <w:rsid w:val="008840B0"/>
    <w:rsid w:val="008844AE"/>
    <w:rsid w:val="00884C0A"/>
    <w:rsid w:val="00885945"/>
    <w:rsid w:val="00886A45"/>
    <w:rsid w:val="00886DC4"/>
    <w:rsid w:val="00887F64"/>
    <w:rsid w:val="00890503"/>
    <w:rsid w:val="0089118F"/>
    <w:rsid w:val="0089139B"/>
    <w:rsid w:val="00891556"/>
    <w:rsid w:val="00891F6E"/>
    <w:rsid w:val="008925DE"/>
    <w:rsid w:val="00892CDB"/>
    <w:rsid w:val="00895EAD"/>
    <w:rsid w:val="00896186"/>
    <w:rsid w:val="0089638C"/>
    <w:rsid w:val="008A06D5"/>
    <w:rsid w:val="008A12D1"/>
    <w:rsid w:val="008A142B"/>
    <w:rsid w:val="008A2250"/>
    <w:rsid w:val="008A37A6"/>
    <w:rsid w:val="008A3FE4"/>
    <w:rsid w:val="008A4116"/>
    <w:rsid w:val="008A4FA3"/>
    <w:rsid w:val="008A5E55"/>
    <w:rsid w:val="008A6124"/>
    <w:rsid w:val="008A7E18"/>
    <w:rsid w:val="008A7E7C"/>
    <w:rsid w:val="008B01E0"/>
    <w:rsid w:val="008B0FBB"/>
    <w:rsid w:val="008B2920"/>
    <w:rsid w:val="008B2C19"/>
    <w:rsid w:val="008B37F1"/>
    <w:rsid w:val="008B390C"/>
    <w:rsid w:val="008B39D7"/>
    <w:rsid w:val="008B3B8E"/>
    <w:rsid w:val="008B4417"/>
    <w:rsid w:val="008B4DF9"/>
    <w:rsid w:val="008B6251"/>
    <w:rsid w:val="008B66C2"/>
    <w:rsid w:val="008B773E"/>
    <w:rsid w:val="008C0443"/>
    <w:rsid w:val="008C1060"/>
    <w:rsid w:val="008C14DC"/>
    <w:rsid w:val="008C35AE"/>
    <w:rsid w:val="008C53FA"/>
    <w:rsid w:val="008C5C47"/>
    <w:rsid w:val="008C70E9"/>
    <w:rsid w:val="008D0F8B"/>
    <w:rsid w:val="008D1E02"/>
    <w:rsid w:val="008D2519"/>
    <w:rsid w:val="008D2739"/>
    <w:rsid w:val="008D3CC1"/>
    <w:rsid w:val="008D3FE9"/>
    <w:rsid w:val="008D577F"/>
    <w:rsid w:val="008D5C68"/>
    <w:rsid w:val="008D5F8D"/>
    <w:rsid w:val="008D7475"/>
    <w:rsid w:val="008D78B8"/>
    <w:rsid w:val="008E00E7"/>
    <w:rsid w:val="008E1D09"/>
    <w:rsid w:val="008E3A83"/>
    <w:rsid w:val="008E5800"/>
    <w:rsid w:val="008E721D"/>
    <w:rsid w:val="008E7AB0"/>
    <w:rsid w:val="008E7DF2"/>
    <w:rsid w:val="008F0565"/>
    <w:rsid w:val="008F1546"/>
    <w:rsid w:val="008F2047"/>
    <w:rsid w:val="008F2449"/>
    <w:rsid w:val="008F2B19"/>
    <w:rsid w:val="008F2F34"/>
    <w:rsid w:val="008F33DD"/>
    <w:rsid w:val="008F34CE"/>
    <w:rsid w:val="008F42EF"/>
    <w:rsid w:val="008F4B7A"/>
    <w:rsid w:val="008F4F2E"/>
    <w:rsid w:val="008F579C"/>
    <w:rsid w:val="008F692A"/>
    <w:rsid w:val="008F6E54"/>
    <w:rsid w:val="008F744C"/>
    <w:rsid w:val="008F75F1"/>
    <w:rsid w:val="008F7791"/>
    <w:rsid w:val="00900155"/>
    <w:rsid w:val="00900DB5"/>
    <w:rsid w:val="00901008"/>
    <w:rsid w:val="009026A9"/>
    <w:rsid w:val="0090376A"/>
    <w:rsid w:val="00903D78"/>
    <w:rsid w:val="00904CD3"/>
    <w:rsid w:val="00906052"/>
    <w:rsid w:val="00906524"/>
    <w:rsid w:val="00907032"/>
    <w:rsid w:val="009077D1"/>
    <w:rsid w:val="00907FC2"/>
    <w:rsid w:val="00910066"/>
    <w:rsid w:val="0091006B"/>
    <w:rsid w:val="009105BF"/>
    <w:rsid w:val="0091136C"/>
    <w:rsid w:val="00911E5D"/>
    <w:rsid w:val="0091268A"/>
    <w:rsid w:val="00912826"/>
    <w:rsid w:val="00912ABD"/>
    <w:rsid w:val="00912D9F"/>
    <w:rsid w:val="009136C9"/>
    <w:rsid w:val="00913E12"/>
    <w:rsid w:val="009143BC"/>
    <w:rsid w:val="00914C8A"/>
    <w:rsid w:val="009151E1"/>
    <w:rsid w:val="009153A6"/>
    <w:rsid w:val="0091544D"/>
    <w:rsid w:val="00915DCD"/>
    <w:rsid w:val="0091658D"/>
    <w:rsid w:val="0091663A"/>
    <w:rsid w:val="00917A4E"/>
    <w:rsid w:val="009205E1"/>
    <w:rsid w:val="009206CE"/>
    <w:rsid w:val="00920894"/>
    <w:rsid w:val="009218B5"/>
    <w:rsid w:val="00922A4C"/>
    <w:rsid w:val="00922A5E"/>
    <w:rsid w:val="009234D5"/>
    <w:rsid w:val="0092359A"/>
    <w:rsid w:val="00923696"/>
    <w:rsid w:val="00924F1E"/>
    <w:rsid w:val="00925B6B"/>
    <w:rsid w:val="00927144"/>
    <w:rsid w:val="00927842"/>
    <w:rsid w:val="00927C6B"/>
    <w:rsid w:val="00930BB7"/>
    <w:rsid w:val="0093135C"/>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2B97"/>
    <w:rsid w:val="00943321"/>
    <w:rsid w:val="00943DBD"/>
    <w:rsid w:val="009440A5"/>
    <w:rsid w:val="00944198"/>
    <w:rsid w:val="00944321"/>
    <w:rsid w:val="00944607"/>
    <w:rsid w:val="00945822"/>
    <w:rsid w:val="0094595D"/>
    <w:rsid w:val="00945D13"/>
    <w:rsid w:val="00947727"/>
    <w:rsid w:val="00947D1A"/>
    <w:rsid w:val="00950144"/>
    <w:rsid w:val="00950A85"/>
    <w:rsid w:val="00951640"/>
    <w:rsid w:val="00951C38"/>
    <w:rsid w:val="00952299"/>
    <w:rsid w:val="0095240C"/>
    <w:rsid w:val="00952895"/>
    <w:rsid w:val="009536D0"/>
    <w:rsid w:val="0095551A"/>
    <w:rsid w:val="0095640D"/>
    <w:rsid w:val="009579A3"/>
    <w:rsid w:val="00957A1E"/>
    <w:rsid w:val="00960560"/>
    <w:rsid w:val="00963642"/>
    <w:rsid w:val="00963895"/>
    <w:rsid w:val="0096409A"/>
    <w:rsid w:val="00964BE5"/>
    <w:rsid w:val="00965C34"/>
    <w:rsid w:val="009664C5"/>
    <w:rsid w:val="0096682C"/>
    <w:rsid w:val="00967878"/>
    <w:rsid w:val="00970C9F"/>
    <w:rsid w:val="00970EDB"/>
    <w:rsid w:val="0097110E"/>
    <w:rsid w:val="009718E1"/>
    <w:rsid w:val="00971C0E"/>
    <w:rsid w:val="00971E3A"/>
    <w:rsid w:val="00972152"/>
    <w:rsid w:val="00973576"/>
    <w:rsid w:val="00974936"/>
    <w:rsid w:val="00976B3A"/>
    <w:rsid w:val="00976D94"/>
    <w:rsid w:val="0097703F"/>
    <w:rsid w:val="0097739F"/>
    <w:rsid w:val="009773E0"/>
    <w:rsid w:val="00980D6C"/>
    <w:rsid w:val="009816BF"/>
    <w:rsid w:val="0098257F"/>
    <w:rsid w:val="00982852"/>
    <w:rsid w:val="00983127"/>
    <w:rsid w:val="0098327E"/>
    <w:rsid w:val="00983665"/>
    <w:rsid w:val="0098382C"/>
    <w:rsid w:val="00983E44"/>
    <w:rsid w:val="009842E7"/>
    <w:rsid w:val="00984310"/>
    <w:rsid w:val="0098434B"/>
    <w:rsid w:val="00984629"/>
    <w:rsid w:val="00985D77"/>
    <w:rsid w:val="009862BE"/>
    <w:rsid w:val="00986509"/>
    <w:rsid w:val="00986768"/>
    <w:rsid w:val="00987253"/>
    <w:rsid w:val="00990BE2"/>
    <w:rsid w:val="009917A8"/>
    <w:rsid w:val="0099295A"/>
    <w:rsid w:val="009938BC"/>
    <w:rsid w:val="00994905"/>
    <w:rsid w:val="00994923"/>
    <w:rsid w:val="009950AC"/>
    <w:rsid w:val="00995B19"/>
    <w:rsid w:val="00995B24"/>
    <w:rsid w:val="0099689B"/>
    <w:rsid w:val="009A1F22"/>
    <w:rsid w:val="009A2274"/>
    <w:rsid w:val="009A3110"/>
    <w:rsid w:val="009A34FA"/>
    <w:rsid w:val="009A37B9"/>
    <w:rsid w:val="009A44C0"/>
    <w:rsid w:val="009A4778"/>
    <w:rsid w:val="009A5E7A"/>
    <w:rsid w:val="009A6781"/>
    <w:rsid w:val="009A6EA1"/>
    <w:rsid w:val="009A7370"/>
    <w:rsid w:val="009A78B6"/>
    <w:rsid w:val="009B010B"/>
    <w:rsid w:val="009B025A"/>
    <w:rsid w:val="009B08AA"/>
    <w:rsid w:val="009B0AFB"/>
    <w:rsid w:val="009B0D36"/>
    <w:rsid w:val="009B24CC"/>
    <w:rsid w:val="009B2785"/>
    <w:rsid w:val="009B4280"/>
    <w:rsid w:val="009B4445"/>
    <w:rsid w:val="009B45C4"/>
    <w:rsid w:val="009B4E09"/>
    <w:rsid w:val="009B50A3"/>
    <w:rsid w:val="009B5AB6"/>
    <w:rsid w:val="009B6A91"/>
    <w:rsid w:val="009B6C24"/>
    <w:rsid w:val="009B738B"/>
    <w:rsid w:val="009B7510"/>
    <w:rsid w:val="009B7953"/>
    <w:rsid w:val="009B7AB7"/>
    <w:rsid w:val="009C0A25"/>
    <w:rsid w:val="009C0B1A"/>
    <w:rsid w:val="009C0B51"/>
    <w:rsid w:val="009C16E1"/>
    <w:rsid w:val="009C1B35"/>
    <w:rsid w:val="009C3783"/>
    <w:rsid w:val="009C407A"/>
    <w:rsid w:val="009C4196"/>
    <w:rsid w:val="009C4F5E"/>
    <w:rsid w:val="009C507A"/>
    <w:rsid w:val="009C55F4"/>
    <w:rsid w:val="009C5A7B"/>
    <w:rsid w:val="009C5FC0"/>
    <w:rsid w:val="009C64FD"/>
    <w:rsid w:val="009C654C"/>
    <w:rsid w:val="009C7A05"/>
    <w:rsid w:val="009D1045"/>
    <w:rsid w:val="009D1657"/>
    <w:rsid w:val="009D24D7"/>
    <w:rsid w:val="009D256A"/>
    <w:rsid w:val="009D300C"/>
    <w:rsid w:val="009D31FA"/>
    <w:rsid w:val="009D3311"/>
    <w:rsid w:val="009D382D"/>
    <w:rsid w:val="009D3D0B"/>
    <w:rsid w:val="009D3D6B"/>
    <w:rsid w:val="009D464B"/>
    <w:rsid w:val="009D5518"/>
    <w:rsid w:val="009D6887"/>
    <w:rsid w:val="009D6DAA"/>
    <w:rsid w:val="009D7738"/>
    <w:rsid w:val="009D789B"/>
    <w:rsid w:val="009E0839"/>
    <w:rsid w:val="009E0CBF"/>
    <w:rsid w:val="009E1CC5"/>
    <w:rsid w:val="009E1DF7"/>
    <w:rsid w:val="009E1E67"/>
    <w:rsid w:val="009E2149"/>
    <w:rsid w:val="009E23DA"/>
    <w:rsid w:val="009E27E7"/>
    <w:rsid w:val="009E3959"/>
    <w:rsid w:val="009E395D"/>
    <w:rsid w:val="009E3EC9"/>
    <w:rsid w:val="009E3F07"/>
    <w:rsid w:val="009E4CC1"/>
    <w:rsid w:val="009E6973"/>
    <w:rsid w:val="009E6D3F"/>
    <w:rsid w:val="009E7F03"/>
    <w:rsid w:val="009F0AC2"/>
    <w:rsid w:val="009F0D04"/>
    <w:rsid w:val="009F10DA"/>
    <w:rsid w:val="009F1842"/>
    <w:rsid w:val="009F37CC"/>
    <w:rsid w:val="009F3DBB"/>
    <w:rsid w:val="009F4C5A"/>
    <w:rsid w:val="009F5634"/>
    <w:rsid w:val="009F597A"/>
    <w:rsid w:val="009F6976"/>
    <w:rsid w:val="009F7DD8"/>
    <w:rsid w:val="00A0204F"/>
    <w:rsid w:val="00A031F1"/>
    <w:rsid w:val="00A03754"/>
    <w:rsid w:val="00A0400B"/>
    <w:rsid w:val="00A04739"/>
    <w:rsid w:val="00A04B51"/>
    <w:rsid w:val="00A05145"/>
    <w:rsid w:val="00A05676"/>
    <w:rsid w:val="00A071B7"/>
    <w:rsid w:val="00A07513"/>
    <w:rsid w:val="00A07BDB"/>
    <w:rsid w:val="00A1078A"/>
    <w:rsid w:val="00A1144C"/>
    <w:rsid w:val="00A11478"/>
    <w:rsid w:val="00A1167B"/>
    <w:rsid w:val="00A11D80"/>
    <w:rsid w:val="00A127A6"/>
    <w:rsid w:val="00A13002"/>
    <w:rsid w:val="00A13207"/>
    <w:rsid w:val="00A143F5"/>
    <w:rsid w:val="00A14688"/>
    <w:rsid w:val="00A1556C"/>
    <w:rsid w:val="00A16D5E"/>
    <w:rsid w:val="00A17463"/>
    <w:rsid w:val="00A17E64"/>
    <w:rsid w:val="00A206B5"/>
    <w:rsid w:val="00A21390"/>
    <w:rsid w:val="00A21B36"/>
    <w:rsid w:val="00A2224E"/>
    <w:rsid w:val="00A22749"/>
    <w:rsid w:val="00A229A4"/>
    <w:rsid w:val="00A2362C"/>
    <w:rsid w:val="00A248CB"/>
    <w:rsid w:val="00A2540E"/>
    <w:rsid w:val="00A25537"/>
    <w:rsid w:val="00A25A91"/>
    <w:rsid w:val="00A25B8E"/>
    <w:rsid w:val="00A26296"/>
    <w:rsid w:val="00A263B5"/>
    <w:rsid w:val="00A26EDB"/>
    <w:rsid w:val="00A303B0"/>
    <w:rsid w:val="00A30B51"/>
    <w:rsid w:val="00A30B7A"/>
    <w:rsid w:val="00A30BD8"/>
    <w:rsid w:val="00A31D81"/>
    <w:rsid w:val="00A31FCE"/>
    <w:rsid w:val="00A327E7"/>
    <w:rsid w:val="00A32AFF"/>
    <w:rsid w:val="00A32F60"/>
    <w:rsid w:val="00A331D2"/>
    <w:rsid w:val="00A3405B"/>
    <w:rsid w:val="00A357CB"/>
    <w:rsid w:val="00A361E5"/>
    <w:rsid w:val="00A362FC"/>
    <w:rsid w:val="00A36D75"/>
    <w:rsid w:val="00A3797B"/>
    <w:rsid w:val="00A37DD4"/>
    <w:rsid w:val="00A37F6F"/>
    <w:rsid w:val="00A40528"/>
    <w:rsid w:val="00A405AF"/>
    <w:rsid w:val="00A4085F"/>
    <w:rsid w:val="00A40FED"/>
    <w:rsid w:val="00A41621"/>
    <w:rsid w:val="00A41E2A"/>
    <w:rsid w:val="00A42B0F"/>
    <w:rsid w:val="00A43383"/>
    <w:rsid w:val="00A43457"/>
    <w:rsid w:val="00A43728"/>
    <w:rsid w:val="00A44117"/>
    <w:rsid w:val="00A44512"/>
    <w:rsid w:val="00A447F1"/>
    <w:rsid w:val="00A46BAD"/>
    <w:rsid w:val="00A46CB5"/>
    <w:rsid w:val="00A47164"/>
    <w:rsid w:val="00A47738"/>
    <w:rsid w:val="00A47E41"/>
    <w:rsid w:val="00A500BB"/>
    <w:rsid w:val="00A52A1C"/>
    <w:rsid w:val="00A53195"/>
    <w:rsid w:val="00A531FD"/>
    <w:rsid w:val="00A53513"/>
    <w:rsid w:val="00A54316"/>
    <w:rsid w:val="00A54CAB"/>
    <w:rsid w:val="00A54EED"/>
    <w:rsid w:val="00A55EEB"/>
    <w:rsid w:val="00A56304"/>
    <w:rsid w:val="00A56C9D"/>
    <w:rsid w:val="00A57DA2"/>
    <w:rsid w:val="00A600A0"/>
    <w:rsid w:val="00A601A6"/>
    <w:rsid w:val="00A605C7"/>
    <w:rsid w:val="00A6081E"/>
    <w:rsid w:val="00A61144"/>
    <w:rsid w:val="00A61C22"/>
    <w:rsid w:val="00A61D59"/>
    <w:rsid w:val="00A62945"/>
    <w:rsid w:val="00A62E8B"/>
    <w:rsid w:val="00A639E6"/>
    <w:rsid w:val="00A63A23"/>
    <w:rsid w:val="00A64E82"/>
    <w:rsid w:val="00A65752"/>
    <w:rsid w:val="00A67547"/>
    <w:rsid w:val="00A67626"/>
    <w:rsid w:val="00A6770C"/>
    <w:rsid w:val="00A67FBB"/>
    <w:rsid w:val="00A718B9"/>
    <w:rsid w:val="00A7379B"/>
    <w:rsid w:val="00A73EEA"/>
    <w:rsid w:val="00A74C4A"/>
    <w:rsid w:val="00A7551A"/>
    <w:rsid w:val="00A75670"/>
    <w:rsid w:val="00A76F23"/>
    <w:rsid w:val="00A77616"/>
    <w:rsid w:val="00A805C6"/>
    <w:rsid w:val="00A80BD3"/>
    <w:rsid w:val="00A80CCB"/>
    <w:rsid w:val="00A80DAA"/>
    <w:rsid w:val="00A81486"/>
    <w:rsid w:val="00A84085"/>
    <w:rsid w:val="00A84DEB"/>
    <w:rsid w:val="00A850C6"/>
    <w:rsid w:val="00A851EB"/>
    <w:rsid w:val="00A858D7"/>
    <w:rsid w:val="00A860D2"/>
    <w:rsid w:val="00A86BA7"/>
    <w:rsid w:val="00A87521"/>
    <w:rsid w:val="00A90C67"/>
    <w:rsid w:val="00A90F85"/>
    <w:rsid w:val="00A90FEE"/>
    <w:rsid w:val="00A91315"/>
    <w:rsid w:val="00A913DF"/>
    <w:rsid w:val="00A91C63"/>
    <w:rsid w:val="00A921BD"/>
    <w:rsid w:val="00A939CB"/>
    <w:rsid w:val="00A942D4"/>
    <w:rsid w:val="00A94ADD"/>
    <w:rsid w:val="00A94C09"/>
    <w:rsid w:val="00A969BF"/>
    <w:rsid w:val="00A96ECB"/>
    <w:rsid w:val="00A9708F"/>
    <w:rsid w:val="00A9728D"/>
    <w:rsid w:val="00A977D5"/>
    <w:rsid w:val="00AA00C2"/>
    <w:rsid w:val="00AA0145"/>
    <w:rsid w:val="00AA0839"/>
    <w:rsid w:val="00AA08B0"/>
    <w:rsid w:val="00AA174F"/>
    <w:rsid w:val="00AA2A69"/>
    <w:rsid w:val="00AA2F37"/>
    <w:rsid w:val="00AA308A"/>
    <w:rsid w:val="00AA32BF"/>
    <w:rsid w:val="00AA3393"/>
    <w:rsid w:val="00AA3BD4"/>
    <w:rsid w:val="00AA4125"/>
    <w:rsid w:val="00AA44E3"/>
    <w:rsid w:val="00AA4ABD"/>
    <w:rsid w:val="00AA4AE8"/>
    <w:rsid w:val="00AA532F"/>
    <w:rsid w:val="00AA5E48"/>
    <w:rsid w:val="00AA61C9"/>
    <w:rsid w:val="00AA6326"/>
    <w:rsid w:val="00AA6CC7"/>
    <w:rsid w:val="00AA7501"/>
    <w:rsid w:val="00AB0220"/>
    <w:rsid w:val="00AB0CF1"/>
    <w:rsid w:val="00AB2026"/>
    <w:rsid w:val="00AB222A"/>
    <w:rsid w:val="00AB297D"/>
    <w:rsid w:val="00AB35E5"/>
    <w:rsid w:val="00AB3915"/>
    <w:rsid w:val="00AB76DE"/>
    <w:rsid w:val="00AB7A98"/>
    <w:rsid w:val="00AB7EDD"/>
    <w:rsid w:val="00AB7F7D"/>
    <w:rsid w:val="00AC08F6"/>
    <w:rsid w:val="00AC0CA0"/>
    <w:rsid w:val="00AC1E81"/>
    <w:rsid w:val="00AC1FD3"/>
    <w:rsid w:val="00AC29C1"/>
    <w:rsid w:val="00AC2A49"/>
    <w:rsid w:val="00AC3680"/>
    <w:rsid w:val="00AC4F34"/>
    <w:rsid w:val="00AC7039"/>
    <w:rsid w:val="00AD02C0"/>
    <w:rsid w:val="00AD1013"/>
    <w:rsid w:val="00AD121D"/>
    <w:rsid w:val="00AD1527"/>
    <w:rsid w:val="00AD1AA9"/>
    <w:rsid w:val="00AD1EF1"/>
    <w:rsid w:val="00AD26B2"/>
    <w:rsid w:val="00AD3BA3"/>
    <w:rsid w:val="00AD4164"/>
    <w:rsid w:val="00AD42D8"/>
    <w:rsid w:val="00AD51F6"/>
    <w:rsid w:val="00AD55C8"/>
    <w:rsid w:val="00AD71F8"/>
    <w:rsid w:val="00AE01BD"/>
    <w:rsid w:val="00AE01DD"/>
    <w:rsid w:val="00AE02A1"/>
    <w:rsid w:val="00AE04B0"/>
    <w:rsid w:val="00AE0919"/>
    <w:rsid w:val="00AE1B0C"/>
    <w:rsid w:val="00AE1B3B"/>
    <w:rsid w:val="00AE34E6"/>
    <w:rsid w:val="00AE3C45"/>
    <w:rsid w:val="00AE3E6D"/>
    <w:rsid w:val="00AE59B4"/>
    <w:rsid w:val="00AE6093"/>
    <w:rsid w:val="00AE7A9C"/>
    <w:rsid w:val="00AF0843"/>
    <w:rsid w:val="00AF0E03"/>
    <w:rsid w:val="00AF1239"/>
    <w:rsid w:val="00AF14DE"/>
    <w:rsid w:val="00AF1DDD"/>
    <w:rsid w:val="00AF2202"/>
    <w:rsid w:val="00AF2D80"/>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6771"/>
    <w:rsid w:val="00B17D1D"/>
    <w:rsid w:val="00B20FC4"/>
    <w:rsid w:val="00B21312"/>
    <w:rsid w:val="00B217A5"/>
    <w:rsid w:val="00B21A63"/>
    <w:rsid w:val="00B21BE9"/>
    <w:rsid w:val="00B22E60"/>
    <w:rsid w:val="00B23A99"/>
    <w:rsid w:val="00B23EAA"/>
    <w:rsid w:val="00B2446C"/>
    <w:rsid w:val="00B2476A"/>
    <w:rsid w:val="00B260DE"/>
    <w:rsid w:val="00B2640E"/>
    <w:rsid w:val="00B26D56"/>
    <w:rsid w:val="00B27850"/>
    <w:rsid w:val="00B27AA1"/>
    <w:rsid w:val="00B27AAC"/>
    <w:rsid w:val="00B30794"/>
    <w:rsid w:val="00B30C77"/>
    <w:rsid w:val="00B315B5"/>
    <w:rsid w:val="00B31DFE"/>
    <w:rsid w:val="00B3252C"/>
    <w:rsid w:val="00B32E8A"/>
    <w:rsid w:val="00B332C3"/>
    <w:rsid w:val="00B335C4"/>
    <w:rsid w:val="00B34055"/>
    <w:rsid w:val="00B342FB"/>
    <w:rsid w:val="00B34E0A"/>
    <w:rsid w:val="00B34E6B"/>
    <w:rsid w:val="00B35109"/>
    <w:rsid w:val="00B35220"/>
    <w:rsid w:val="00B36A0B"/>
    <w:rsid w:val="00B36E39"/>
    <w:rsid w:val="00B370F7"/>
    <w:rsid w:val="00B37CCA"/>
    <w:rsid w:val="00B404A5"/>
    <w:rsid w:val="00B43124"/>
    <w:rsid w:val="00B4343A"/>
    <w:rsid w:val="00B441D6"/>
    <w:rsid w:val="00B45561"/>
    <w:rsid w:val="00B464CA"/>
    <w:rsid w:val="00B466EC"/>
    <w:rsid w:val="00B466FE"/>
    <w:rsid w:val="00B46956"/>
    <w:rsid w:val="00B47DCF"/>
    <w:rsid w:val="00B50081"/>
    <w:rsid w:val="00B500F5"/>
    <w:rsid w:val="00B50996"/>
    <w:rsid w:val="00B531B8"/>
    <w:rsid w:val="00B53214"/>
    <w:rsid w:val="00B546D5"/>
    <w:rsid w:val="00B54928"/>
    <w:rsid w:val="00B54A8F"/>
    <w:rsid w:val="00B54B47"/>
    <w:rsid w:val="00B55F22"/>
    <w:rsid w:val="00B56B3E"/>
    <w:rsid w:val="00B56C90"/>
    <w:rsid w:val="00B57D5A"/>
    <w:rsid w:val="00B61743"/>
    <w:rsid w:val="00B61F95"/>
    <w:rsid w:val="00B6238B"/>
    <w:rsid w:val="00B62FC9"/>
    <w:rsid w:val="00B6398C"/>
    <w:rsid w:val="00B63B2A"/>
    <w:rsid w:val="00B63BB6"/>
    <w:rsid w:val="00B6408F"/>
    <w:rsid w:val="00B6411C"/>
    <w:rsid w:val="00B6448B"/>
    <w:rsid w:val="00B65373"/>
    <w:rsid w:val="00B65806"/>
    <w:rsid w:val="00B66402"/>
    <w:rsid w:val="00B666BE"/>
    <w:rsid w:val="00B67312"/>
    <w:rsid w:val="00B70395"/>
    <w:rsid w:val="00B70428"/>
    <w:rsid w:val="00B70A91"/>
    <w:rsid w:val="00B71A9E"/>
    <w:rsid w:val="00B71EF6"/>
    <w:rsid w:val="00B71F8E"/>
    <w:rsid w:val="00B72335"/>
    <w:rsid w:val="00B7274F"/>
    <w:rsid w:val="00B728FF"/>
    <w:rsid w:val="00B743FC"/>
    <w:rsid w:val="00B74C8F"/>
    <w:rsid w:val="00B7551E"/>
    <w:rsid w:val="00B75958"/>
    <w:rsid w:val="00B7627B"/>
    <w:rsid w:val="00B768CC"/>
    <w:rsid w:val="00B76D58"/>
    <w:rsid w:val="00B770D1"/>
    <w:rsid w:val="00B77EC0"/>
    <w:rsid w:val="00B804B5"/>
    <w:rsid w:val="00B80DDB"/>
    <w:rsid w:val="00B8139A"/>
    <w:rsid w:val="00B81496"/>
    <w:rsid w:val="00B82006"/>
    <w:rsid w:val="00B8232D"/>
    <w:rsid w:val="00B831A6"/>
    <w:rsid w:val="00B83976"/>
    <w:rsid w:val="00B848F2"/>
    <w:rsid w:val="00B84BB0"/>
    <w:rsid w:val="00B84D08"/>
    <w:rsid w:val="00B85726"/>
    <w:rsid w:val="00B85D89"/>
    <w:rsid w:val="00B870C4"/>
    <w:rsid w:val="00B87249"/>
    <w:rsid w:val="00B87912"/>
    <w:rsid w:val="00B87D2A"/>
    <w:rsid w:val="00B909A3"/>
    <w:rsid w:val="00B90D79"/>
    <w:rsid w:val="00B91596"/>
    <w:rsid w:val="00B9226D"/>
    <w:rsid w:val="00B9241B"/>
    <w:rsid w:val="00B928CC"/>
    <w:rsid w:val="00B929BB"/>
    <w:rsid w:val="00B92A62"/>
    <w:rsid w:val="00B92AC1"/>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2F41"/>
    <w:rsid w:val="00BA3E0A"/>
    <w:rsid w:val="00BA5D69"/>
    <w:rsid w:val="00BA73B1"/>
    <w:rsid w:val="00BA749C"/>
    <w:rsid w:val="00BB0869"/>
    <w:rsid w:val="00BB0CD3"/>
    <w:rsid w:val="00BB2515"/>
    <w:rsid w:val="00BB31F0"/>
    <w:rsid w:val="00BB32E4"/>
    <w:rsid w:val="00BB3460"/>
    <w:rsid w:val="00BB4ABE"/>
    <w:rsid w:val="00BB7DAE"/>
    <w:rsid w:val="00BC04D6"/>
    <w:rsid w:val="00BC067F"/>
    <w:rsid w:val="00BC0ABE"/>
    <w:rsid w:val="00BC0DCE"/>
    <w:rsid w:val="00BC2188"/>
    <w:rsid w:val="00BC3492"/>
    <w:rsid w:val="00BC47C1"/>
    <w:rsid w:val="00BC4922"/>
    <w:rsid w:val="00BC53E2"/>
    <w:rsid w:val="00BC54D0"/>
    <w:rsid w:val="00BC5785"/>
    <w:rsid w:val="00BC5903"/>
    <w:rsid w:val="00BC600A"/>
    <w:rsid w:val="00BC6227"/>
    <w:rsid w:val="00BC7368"/>
    <w:rsid w:val="00BC79E7"/>
    <w:rsid w:val="00BC7AE9"/>
    <w:rsid w:val="00BD0140"/>
    <w:rsid w:val="00BD0892"/>
    <w:rsid w:val="00BD0AA2"/>
    <w:rsid w:val="00BD0CEE"/>
    <w:rsid w:val="00BD16EA"/>
    <w:rsid w:val="00BD258D"/>
    <w:rsid w:val="00BD31EC"/>
    <w:rsid w:val="00BD40F6"/>
    <w:rsid w:val="00BD4602"/>
    <w:rsid w:val="00BD490D"/>
    <w:rsid w:val="00BD4F4C"/>
    <w:rsid w:val="00BD65F9"/>
    <w:rsid w:val="00BD6733"/>
    <w:rsid w:val="00BD70B0"/>
    <w:rsid w:val="00BD74AD"/>
    <w:rsid w:val="00BD7623"/>
    <w:rsid w:val="00BD7890"/>
    <w:rsid w:val="00BD7D52"/>
    <w:rsid w:val="00BD7E50"/>
    <w:rsid w:val="00BE1EB4"/>
    <w:rsid w:val="00BE258E"/>
    <w:rsid w:val="00BE4366"/>
    <w:rsid w:val="00BE4930"/>
    <w:rsid w:val="00BE4940"/>
    <w:rsid w:val="00BE4970"/>
    <w:rsid w:val="00BE5C04"/>
    <w:rsid w:val="00BE5E94"/>
    <w:rsid w:val="00BE741F"/>
    <w:rsid w:val="00BE742C"/>
    <w:rsid w:val="00BE7899"/>
    <w:rsid w:val="00BF0693"/>
    <w:rsid w:val="00BF14EA"/>
    <w:rsid w:val="00BF28DE"/>
    <w:rsid w:val="00BF4012"/>
    <w:rsid w:val="00BF4401"/>
    <w:rsid w:val="00BF4983"/>
    <w:rsid w:val="00BF57B1"/>
    <w:rsid w:val="00BF6409"/>
    <w:rsid w:val="00BF65E0"/>
    <w:rsid w:val="00BF7017"/>
    <w:rsid w:val="00BF73DC"/>
    <w:rsid w:val="00BF7454"/>
    <w:rsid w:val="00BF768F"/>
    <w:rsid w:val="00BF797F"/>
    <w:rsid w:val="00C00070"/>
    <w:rsid w:val="00C00156"/>
    <w:rsid w:val="00C00709"/>
    <w:rsid w:val="00C0089F"/>
    <w:rsid w:val="00C00FA0"/>
    <w:rsid w:val="00C012EC"/>
    <w:rsid w:val="00C04198"/>
    <w:rsid w:val="00C042C9"/>
    <w:rsid w:val="00C05732"/>
    <w:rsid w:val="00C058ED"/>
    <w:rsid w:val="00C059D2"/>
    <w:rsid w:val="00C07C71"/>
    <w:rsid w:val="00C07F33"/>
    <w:rsid w:val="00C113E5"/>
    <w:rsid w:val="00C1152F"/>
    <w:rsid w:val="00C11FC0"/>
    <w:rsid w:val="00C120CF"/>
    <w:rsid w:val="00C1215B"/>
    <w:rsid w:val="00C12B53"/>
    <w:rsid w:val="00C12BD6"/>
    <w:rsid w:val="00C13DDD"/>
    <w:rsid w:val="00C14EF2"/>
    <w:rsid w:val="00C15338"/>
    <w:rsid w:val="00C15621"/>
    <w:rsid w:val="00C15D49"/>
    <w:rsid w:val="00C163F1"/>
    <w:rsid w:val="00C16E64"/>
    <w:rsid w:val="00C17B5E"/>
    <w:rsid w:val="00C20B51"/>
    <w:rsid w:val="00C219B4"/>
    <w:rsid w:val="00C21EEF"/>
    <w:rsid w:val="00C22AF1"/>
    <w:rsid w:val="00C230FE"/>
    <w:rsid w:val="00C23BB6"/>
    <w:rsid w:val="00C2495A"/>
    <w:rsid w:val="00C249A7"/>
    <w:rsid w:val="00C25258"/>
    <w:rsid w:val="00C25EEB"/>
    <w:rsid w:val="00C26779"/>
    <w:rsid w:val="00C27935"/>
    <w:rsid w:val="00C3007F"/>
    <w:rsid w:val="00C30336"/>
    <w:rsid w:val="00C30C06"/>
    <w:rsid w:val="00C30C97"/>
    <w:rsid w:val="00C31AD1"/>
    <w:rsid w:val="00C324C4"/>
    <w:rsid w:val="00C32C57"/>
    <w:rsid w:val="00C33735"/>
    <w:rsid w:val="00C33D7E"/>
    <w:rsid w:val="00C35099"/>
    <w:rsid w:val="00C3534B"/>
    <w:rsid w:val="00C35847"/>
    <w:rsid w:val="00C35C93"/>
    <w:rsid w:val="00C35E4A"/>
    <w:rsid w:val="00C40704"/>
    <w:rsid w:val="00C44C5C"/>
    <w:rsid w:val="00C45377"/>
    <w:rsid w:val="00C4609A"/>
    <w:rsid w:val="00C47DD3"/>
    <w:rsid w:val="00C505F6"/>
    <w:rsid w:val="00C51F39"/>
    <w:rsid w:val="00C52545"/>
    <w:rsid w:val="00C52BB0"/>
    <w:rsid w:val="00C52D87"/>
    <w:rsid w:val="00C53EA3"/>
    <w:rsid w:val="00C54C71"/>
    <w:rsid w:val="00C55AEF"/>
    <w:rsid w:val="00C55EEC"/>
    <w:rsid w:val="00C56B94"/>
    <w:rsid w:val="00C57159"/>
    <w:rsid w:val="00C57E85"/>
    <w:rsid w:val="00C6022D"/>
    <w:rsid w:val="00C60EFF"/>
    <w:rsid w:val="00C6166C"/>
    <w:rsid w:val="00C61AF1"/>
    <w:rsid w:val="00C61CA8"/>
    <w:rsid w:val="00C61E1A"/>
    <w:rsid w:val="00C61F09"/>
    <w:rsid w:val="00C6265A"/>
    <w:rsid w:val="00C628E7"/>
    <w:rsid w:val="00C63320"/>
    <w:rsid w:val="00C63F6D"/>
    <w:rsid w:val="00C64EDC"/>
    <w:rsid w:val="00C658E9"/>
    <w:rsid w:val="00C6716C"/>
    <w:rsid w:val="00C704AE"/>
    <w:rsid w:val="00C706AB"/>
    <w:rsid w:val="00C73EEE"/>
    <w:rsid w:val="00C74FFD"/>
    <w:rsid w:val="00C7514C"/>
    <w:rsid w:val="00C76BE5"/>
    <w:rsid w:val="00C77D19"/>
    <w:rsid w:val="00C80389"/>
    <w:rsid w:val="00C80B3E"/>
    <w:rsid w:val="00C82CDF"/>
    <w:rsid w:val="00C82DFD"/>
    <w:rsid w:val="00C84A35"/>
    <w:rsid w:val="00C84EB7"/>
    <w:rsid w:val="00C85F9C"/>
    <w:rsid w:val="00C862AB"/>
    <w:rsid w:val="00C877CE"/>
    <w:rsid w:val="00C87D73"/>
    <w:rsid w:val="00C9019C"/>
    <w:rsid w:val="00C903CC"/>
    <w:rsid w:val="00C904C3"/>
    <w:rsid w:val="00C907E5"/>
    <w:rsid w:val="00C90A05"/>
    <w:rsid w:val="00C90EE0"/>
    <w:rsid w:val="00C92019"/>
    <w:rsid w:val="00C926FD"/>
    <w:rsid w:val="00C935F8"/>
    <w:rsid w:val="00C93F69"/>
    <w:rsid w:val="00C941BC"/>
    <w:rsid w:val="00C95715"/>
    <w:rsid w:val="00C9592E"/>
    <w:rsid w:val="00C96121"/>
    <w:rsid w:val="00C9676D"/>
    <w:rsid w:val="00C96B1B"/>
    <w:rsid w:val="00CA15A6"/>
    <w:rsid w:val="00CA19DF"/>
    <w:rsid w:val="00CA1C6D"/>
    <w:rsid w:val="00CA201B"/>
    <w:rsid w:val="00CA2247"/>
    <w:rsid w:val="00CA256E"/>
    <w:rsid w:val="00CA2E52"/>
    <w:rsid w:val="00CA42D6"/>
    <w:rsid w:val="00CA46BB"/>
    <w:rsid w:val="00CA517C"/>
    <w:rsid w:val="00CA53B4"/>
    <w:rsid w:val="00CA5D01"/>
    <w:rsid w:val="00CA5E61"/>
    <w:rsid w:val="00CA6580"/>
    <w:rsid w:val="00CA7279"/>
    <w:rsid w:val="00CA754D"/>
    <w:rsid w:val="00CA7D6A"/>
    <w:rsid w:val="00CA7DF3"/>
    <w:rsid w:val="00CB0E37"/>
    <w:rsid w:val="00CB11C5"/>
    <w:rsid w:val="00CB20AC"/>
    <w:rsid w:val="00CB3C1E"/>
    <w:rsid w:val="00CB42F0"/>
    <w:rsid w:val="00CB5845"/>
    <w:rsid w:val="00CB6347"/>
    <w:rsid w:val="00CB6808"/>
    <w:rsid w:val="00CB6887"/>
    <w:rsid w:val="00CB709C"/>
    <w:rsid w:val="00CB782A"/>
    <w:rsid w:val="00CC12F9"/>
    <w:rsid w:val="00CC1A07"/>
    <w:rsid w:val="00CC1AEF"/>
    <w:rsid w:val="00CC3F73"/>
    <w:rsid w:val="00CC3F9A"/>
    <w:rsid w:val="00CC435A"/>
    <w:rsid w:val="00CC5276"/>
    <w:rsid w:val="00CC5444"/>
    <w:rsid w:val="00CC5987"/>
    <w:rsid w:val="00CC5E86"/>
    <w:rsid w:val="00CC63E4"/>
    <w:rsid w:val="00CC68D7"/>
    <w:rsid w:val="00CC7B1D"/>
    <w:rsid w:val="00CD0770"/>
    <w:rsid w:val="00CD07E8"/>
    <w:rsid w:val="00CD0A29"/>
    <w:rsid w:val="00CD2DAD"/>
    <w:rsid w:val="00CD32F2"/>
    <w:rsid w:val="00CD3535"/>
    <w:rsid w:val="00CD48FD"/>
    <w:rsid w:val="00CD5933"/>
    <w:rsid w:val="00CD6768"/>
    <w:rsid w:val="00CD68B6"/>
    <w:rsid w:val="00CD6D9E"/>
    <w:rsid w:val="00CD73D7"/>
    <w:rsid w:val="00CD7A54"/>
    <w:rsid w:val="00CE05B2"/>
    <w:rsid w:val="00CE062A"/>
    <w:rsid w:val="00CE0889"/>
    <w:rsid w:val="00CE0A76"/>
    <w:rsid w:val="00CE0E9E"/>
    <w:rsid w:val="00CE12BE"/>
    <w:rsid w:val="00CE1E77"/>
    <w:rsid w:val="00CE4951"/>
    <w:rsid w:val="00CE5801"/>
    <w:rsid w:val="00CE5D2D"/>
    <w:rsid w:val="00CE5D6C"/>
    <w:rsid w:val="00CE7270"/>
    <w:rsid w:val="00CF0028"/>
    <w:rsid w:val="00CF04ED"/>
    <w:rsid w:val="00CF0674"/>
    <w:rsid w:val="00CF0BE2"/>
    <w:rsid w:val="00CF0BEA"/>
    <w:rsid w:val="00CF14B3"/>
    <w:rsid w:val="00CF1745"/>
    <w:rsid w:val="00CF1B0D"/>
    <w:rsid w:val="00CF2EDD"/>
    <w:rsid w:val="00CF3503"/>
    <w:rsid w:val="00CF3EF6"/>
    <w:rsid w:val="00CF494D"/>
    <w:rsid w:val="00CF4E35"/>
    <w:rsid w:val="00CF4E87"/>
    <w:rsid w:val="00CF56FF"/>
    <w:rsid w:val="00CF6541"/>
    <w:rsid w:val="00CF7131"/>
    <w:rsid w:val="00CF7401"/>
    <w:rsid w:val="00CF7BE6"/>
    <w:rsid w:val="00CF7C7B"/>
    <w:rsid w:val="00CF7FD0"/>
    <w:rsid w:val="00D0101F"/>
    <w:rsid w:val="00D022FF"/>
    <w:rsid w:val="00D02812"/>
    <w:rsid w:val="00D02B1E"/>
    <w:rsid w:val="00D03356"/>
    <w:rsid w:val="00D03EF4"/>
    <w:rsid w:val="00D04C7A"/>
    <w:rsid w:val="00D0567D"/>
    <w:rsid w:val="00D05C7C"/>
    <w:rsid w:val="00D05FC6"/>
    <w:rsid w:val="00D063B1"/>
    <w:rsid w:val="00D0655B"/>
    <w:rsid w:val="00D10109"/>
    <w:rsid w:val="00D1014A"/>
    <w:rsid w:val="00D10A5E"/>
    <w:rsid w:val="00D10D76"/>
    <w:rsid w:val="00D11936"/>
    <w:rsid w:val="00D12450"/>
    <w:rsid w:val="00D12A7B"/>
    <w:rsid w:val="00D147F2"/>
    <w:rsid w:val="00D16A88"/>
    <w:rsid w:val="00D20079"/>
    <w:rsid w:val="00D203F3"/>
    <w:rsid w:val="00D205AE"/>
    <w:rsid w:val="00D214F7"/>
    <w:rsid w:val="00D2184F"/>
    <w:rsid w:val="00D21B31"/>
    <w:rsid w:val="00D229D6"/>
    <w:rsid w:val="00D23A76"/>
    <w:rsid w:val="00D24508"/>
    <w:rsid w:val="00D277C7"/>
    <w:rsid w:val="00D3079C"/>
    <w:rsid w:val="00D30A14"/>
    <w:rsid w:val="00D30A39"/>
    <w:rsid w:val="00D30DC6"/>
    <w:rsid w:val="00D31A88"/>
    <w:rsid w:val="00D324D1"/>
    <w:rsid w:val="00D33287"/>
    <w:rsid w:val="00D33368"/>
    <w:rsid w:val="00D33A53"/>
    <w:rsid w:val="00D34067"/>
    <w:rsid w:val="00D344DB"/>
    <w:rsid w:val="00D349C8"/>
    <w:rsid w:val="00D34D85"/>
    <w:rsid w:val="00D34F2A"/>
    <w:rsid w:val="00D35D9B"/>
    <w:rsid w:val="00D367CB"/>
    <w:rsid w:val="00D36A40"/>
    <w:rsid w:val="00D379C4"/>
    <w:rsid w:val="00D37E8A"/>
    <w:rsid w:val="00D404B6"/>
    <w:rsid w:val="00D40FF1"/>
    <w:rsid w:val="00D4130F"/>
    <w:rsid w:val="00D41F33"/>
    <w:rsid w:val="00D4262C"/>
    <w:rsid w:val="00D43E78"/>
    <w:rsid w:val="00D44273"/>
    <w:rsid w:val="00D44E73"/>
    <w:rsid w:val="00D44EA9"/>
    <w:rsid w:val="00D45A41"/>
    <w:rsid w:val="00D45F32"/>
    <w:rsid w:val="00D46A5C"/>
    <w:rsid w:val="00D5111B"/>
    <w:rsid w:val="00D51E0F"/>
    <w:rsid w:val="00D5282A"/>
    <w:rsid w:val="00D52E55"/>
    <w:rsid w:val="00D530C9"/>
    <w:rsid w:val="00D532A7"/>
    <w:rsid w:val="00D551B9"/>
    <w:rsid w:val="00D55703"/>
    <w:rsid w:val="00D55CA3"/>
    <w:rsid w:val="00D55F88"/>
    <w:rsid w:val="00D568FE"/>
    <w:rsid w:val="00D56DD4"/>
    <w:rsid w:val="00D5738B"/>
    <w:rsid w:val="00D57AB8"/>
    <w:rsid w:val="00D613C8"/>
    <w:rsid w:val="00D619AA"/>
    <w:rsid w:val="00D621C9"/>
    <w:rsid w:val="00D6225A"/>
    <w:rsid w:val="00D62378"/>
    <w:rsid w:val="00D62574"/>
    <w:rsid w:val="00D62761"/>
    <w:rsid w:val="00D6374E"/>
    <w:rsid w:val="00D653FE"/>
    <w:rsid w:val="00D65E9F"/>
    <w:rsid w:val="00D6649E"/>
    <w:rsid w:val="00D666B3"/>
    <w:rsid w:val="00D66F18"/>
    <w:rsid w:val="00D677B6"/>
    <w:rsid w:val="00D718DA"/>
    <w:rsid w:val="00D71CEE"/>
    <w:rsid w:val="00D72631"/>
    <w:rsid w:val="00D72EE1"/>
    <w:rsid w:val="00D73AC8"/>
    <w:rsid w:val="00D73B62"/>
    <w:rsid w:val="00D73CA5"/>
    <w:rsid w:val="00D73F97"/>
    <w:rsid w:val="00D7451A"/>
    <w:rsid w:val="00D75109"/>
    <w:rsid w:val="00D76062"/>
    <w:rsid w:val="00D7637C"/>
    <w:rsid w:val="00D765EC"/>
    <w:rsid w:val="00D80791"/>
    <w:rsid w:val="00D80798"/>
    <w:rsid w:val="00D809EE"/>
    <w:rsid w:val="00D8139A"/>
    <w:rsid w:val="00D83653"/>
    <w:rsid w:val="00D83B5F"/>
    <w:rsid w:val="00D84F95"/>
    <w:rsid w:val="00D853B8"/>
    <w:rsid w:val="00D86427"/>
    <w:rsid w:val="00D86FCD"/>
    <w:rsid w:val="00D87F68"/>
    <w:rsid w:val="00D90003"/>
    <w:rsid w:val="00D90F9B"/>
    <w:rsid w:val="00D91CBC"/>
    <w:rsid w:val="00D93328"/>
    <w:rsid w:val="00D9576B"/>
    <w:rsid w:val="00D965D8"/>
    <w:rsid w:val="00D966F7"/>
    <w:rsid w:val="00D9688B"/>
    <w:rsid w:val="00D96D5C"/>
    <w:rsid w:val="00D96FD3"/>
    <w:rsid w:val="00D9729D"/>
    <w:rsid w:val="00D97B89"/>
    <w:rsid w:val="00DA04C8"/>
    <w:rsid w:val="00DA0546"/>
    <w:rsid w:val="00DA10CA"/>
    <w:rsid w:val="00DA26D2"/>
    <w:rsid w:val="00DA32B8"/>
    <w:rsid w:val="00DA33DD"/>
    <w:rsid w:val="00DA3568"/>
    <w:rsid w:val="00DA3E61"/>
    <w:rsid w:val="00DA3EAD"/>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B74CD"/>
    <w:rsid w:val="00DB7B6A"/>
    <w:rsid w:val="00DC26C9"/>
    <w:rsid w:val="00DC37BA"/>
    <w:rsid w:val="00DC3D5B"/>
    <w:rsid w:val="00DC3FAB"/>
    <w:rsid w:val="00DC4D80"/>
    <w:rsid w:val="00DC50F0"/>
    <w:rsid w:val="00DC5BD9"/>
    <w:rsid w:val="00DC6984"/>
    <w:rsid w:val="00DC78FC"/>
    <w:rsid w:val="00DC7AC6"/>
    <w:rsid w:val="00DC7D57"/>
    <w:rsid w:val="00DD018A"/>
    <w:rsid w:val="00DD06B9"/>
    <w:rsid w:val="00DD07F1"/>
    <w:rsid w:val="00DD0C4E"/>
    <w:rsid w:val="00DD1B83"/>
    <w:rsid w:val="00DD1C35"/>
    <w:rsid w:val="00DD1CA7"/>
    <w:rsid w:val="00DD2279"/>
    <w:rsid w:val="00DD28C7"/>
    <w:rsid w:val="00DD298C"/>
    <w:rsid w:val="00DD46B0"/>
    <w:rsid w:val="00DD488D"/>
    <w:rsid w:val="00DD4D88"/>
    <w:rsid w:val="00DD4EEA"/>
    <w:rsid w:val="00DD608C"/>
    <w:rsid w:val="00DD7055"/>
    <w:rsid w:val="00DD70C0"/>
    <w:rsid w:val="00DD751B"/>
    <w:rsid w:val="00DD79C6"/>
    <w:rsid w:val="00DE0A17"/>
    <w:rsid w:val="00DE152B"/>
    <w:rsid w:val="00DE15F1"/>
    <w:rsid w:val="00DE198F"/>
    <w:rsid w:val="00DE288E"/>
    <w:rsid w:val="00DE2DA7"/>
    <w:rsid w:val="00DE3B55"/>
    <w:rsid w:val="00DE5796"/>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DF7F96"/>
    <w:rsid w:val="00E00A3F"/>
    <w:rsid w:val="00E00A9D"/>
    <w:rsid w:val="00E01723"/>
    <w:rsid w:val="00E017C7"/>
    <w:rsid w:val="00E0201D"/>
    <w:rsid w:val="00E03073"/>
    <w:rsid w:val="00E03103"/>
    <w:rsid w:val="00E031C2"/>
    <w:rsid w:val="00E03E4D"/>
    <w:rsid w:val="00E040A2"/>
    <w:rsid w:val="00E04209"/>
    <w:rsid w:val="00E04568"/>
    <w:rsid w:val="00E0504C"/>
    <w:rsid w:val="00E05BCB"/>
    <w:rsid w:val="00E064AD"/>
    <w:rsid w:val="00E069AF"/>
    <w:rsid w:val="00E0744C"/>
    <w:rsid w:val="00E1065D"/>
    <w:rsid w:val="00E10B75"/>
    <w:rsid w:val="00E11428"/>
    <w:rsid w:val="00E12077"/>
    <w:rsid w:val="00E12208"/>
    <w:rsid w:val="00E15289"/>
    <w:rsid w:val="00E156FB"/>
    <w:rsid w:val="00E15D54"/>
    <w:rsid w:val="00E16335"/>
    <w:rsid w:val="00E173D2"/>
    <w:rsid w:val="00E17D9C"/>
    <w:rsid w:val="00E17FB9"/>
    <w:rsid w:val="00E211CE"/>
    <w:rsid w:val="00E21E6B"/>
    <w:rsid w:val="00E222B0"/>
    <w:rsid w:val="00E228A4"/>
    <w:rsid w:val="00E22CBD"/>
    <w:rsid w:val="00E23093"/>
    <w:rsid w:val="00E2390D"/>
    <w:rsid w:val="00E23C3C"/>
    <w:rsid w:val="00E24444"/>
    <w:rsid w:val="00E245D3"/>
    <w:rsid w:val="00E245F7"/>
    <w:rsid w:val="00E24925"/>
    <w:rsid w:val="00E24986"/>
    <w:rsid w:val="00E25CC7"/>
    <w:rsid w:val="00E264D5"/>
    <w:rsid w:val="00E265AD"/>
    <w:rsid w:val="00E27508"/>
    <w:rsid w:val="00E2784F"/>
    <w:rsid w:val="00E30F0F"/>
    <w:rsid w:val="00E30F90"/>
    <w:rsid w:val="00E31624"/>
    <w:rsid w:val="00E31717"/>
    <w:rsid w:val="00E32138"/>
    <w:rsid w:val="00E323DD"/>
    <w:rsid w:val="00E329FD"/>
    <w:rsid w:val="00E32D01"/>
    <w:rsid w:val="00E334DE"/>
    <w:rsid w:val="00E33C8C"/>
    <w:rsid w:val="00E34354"/>
    <w:rsid w:val="00E34CDE"/>
    <w:rsid w:val="00E3642A"/>
    <w:rsid w:val="00E405F7"/>
    <w:rsid w:val="00E40B23"/>
    <w:rsid w:val="00E41052"/>
    <w:rsid w:val="00E424B3"/>
    <w:rsid w:val="00E428D0"/>
    <w:rsid w:val="00E433DE"/>
    <w:rsid w:val="00E43A11"/>
    <w:rsid w:val="00E44050"/>
    <w:rsid w:val="00E44DD9"/>
    <w:rsid w:val="00E45ECE"/>
    <w:rsid w:val="00E4755A"/>
    <w:rsid w:val="00E47E22"/>
    <w:rsid w:val="00E5098C"/>
    <w:rsid w:val="00E50EBB"/>
    <w:rsid w:val="00E510D4"/>
    <w:rsid w:val="00E518E6"/>
    <w:rsid w:val="00E52939"/>
    <w:rsid w:val="00E536F8"/>
    <w:rsid w:val="00E54021"/>
    <w:rsid w:val="00E55879"/>
    <w:rsid w:val="00E559B0"/>
    <w:rsid w:val="00E55A22"/>
    <w:rsid w:val="00E55FC6"/>
    <w:rsid w:val="00E56F75"/>
    <w:rsid w:val="00E5789A"/>
    <w:rsid w:val="00E604F8"/>
    <w:rsid w:val="00E60C95"/>
    <w:rsid w:val="00E62532"/>
    <w:rsid w:val="00E628F1"/>
    <w:rsid w:val="00E6292E"/>
    <w:rsid w:val="00E63296"/>
    <w:rsid w:val="00E635F5"/>
    <w:rsid w:val="00E644D8"/>
    <w:rsid w:val="00E64EBB"/>
    <w:rsid w:val="00E65C0F"/>
    <w:rsid w:val="00E65E93"/>
    <w:rsid w:val="00E67120"/>
    <w:rsid w:val="00E67B3F"/>
    <w:rsid w:val="00E70188"/>
    <w:rsid w:val="00E71010"/>
    <w:rsid w:val="00E71020"/>
    <w:rsid w:val="00E72361"/>
    <w:rsid w:val="00E73219"/>
    <w:rsid w:val="00E73FB4"/>
    <w:rsid w:val="00E74269"/>
    <w:rsid w:val="00E74923"/>
    <w:rsid w:val="00E7577F"/>
    <w:rsid w:val="00E76C7B"/>
    <w:rsid w:val="00E76D9B"/>
    <w:rsid w:val="00E7799A"/>
    <w:rsid w:val="00E81D15"/>
    <w:rsid w:val="00E82625"/>
    <w:rsid w:val="00E82766"/>
    <w:rsid w:val="00E82E13"/>
    <w:rsid w:val="00E835FE"/>
    <w:rsid w:val="00E8383F"/>
    <w:rsid w:val="00E839C3"/>
    <w:rsid w:val="00E83CB6"/>
    <w:rsid w:val="00E83F1E"/>
    <w:rsid w:val="00E842AE"/>
    <w:rsid w:val="00E8475F"/>
    <w:rsid w:val="00E85E05"/>
    <w:rsid w:val="00E86741"/>
    <w:rsid w:val="00E877FC"/>
    <w:rsid w:val="00E87FE0"/>
    <w:rsid w:val="00E90043"/>
    <w:rsid w:val="00E901AB"/>
    <w:rsid w:val="00E90E81"/>
    <w:rsid w:val="00E91015"/>
    <w:rsid w:val="00E9399C"/>
    <w:rsid w:val="00E9520F"/>
    <w:rsid w:val="00E9653A"/>
    <w:rsid w:val="00E96E34"/>
    <w:rsid w:val="00E97796"/>
    <w:rsid w:val="00E9785F"/>
    <w:rsid w:val="00E979D2"/>
    <w:rsid w:val="00EA0B47"/>
    <w:rsid w:val="00EA1CD0"/>
    <w:rsid w:val="00EA20F8"/>
    <w:rsid w:val="00EA24E0"/>
    <w:rsid w:val="00EA337C"/>
    <w:rsid w:val="00EA3AD2"/>
    <w:rsid w:val="00EA3AD3"/>
    <w:rsid w:val="00EA402C"/>
    <w:rsid w:val="00EA42B2"/>
    <w:rsid w:val="00EA4D11"/>
    <w:rsid w:val="00EA52D7"/>
    <w:rsid w:val="00EA71A5"/>
    <w:rsid w:val="00EA77DE"/>
    <w:rsid w:val="00EA7B05"/>
    <w:rsid w:val="00EB0954"/>
    <w:rsid w:val="00EB0B8B"/>
    <w:rsid w:val="00EB10A0"/>
    <w:rsid w:val="00EB27DB"/>
    <w:rsid w:val="00EB2D3F"/>
    <w:rsid w:val="00EB3342"/>
    <w:rsid w:val="00EB35D5"/>
    <w:rsid w:val="00EB4039"/>
    <w:rsid w:val="00EB4CE2"/>
    <w:rsid w:val="00EB5D1F"/>
    <w:rsid w:val="00EB6449"/>
    <w:rsid w:val="00EB71A5"/>
    <w:rsid w:val="00EB7BFE"/>
    <w:rsid w:val="00EC112F"/>
    <w:rsid w:val="00EC3CCC"/>
    <w:rsid w:val="00EC581F"/>
    <w:rsid w:val="00EC5934"/>
    <w:rsid w:val="00EC5F4A"/>
    <w:rsid w:val="00EC6594"/>
    <w:rsid w:val="00ED0611"/>
    <w:rsid w:val="00ED19DE"/>
    <w:rsid w:val="00ED24E0"/>
    <w:rsid w:val="00ED2842"/>
    <w:rsid w:val="00ED4623"/>
    <w:rsid w:val="00ED4BDA"/>
    <w:rsid w:val="00ED5905"/>
    <w:rsid w:val="00ED5962"/>
    <w:rsid w:val="00ED60CD"/>
    <w:rsid w:val="00ED7B3A"/>
    <w:rsid w:val="00EE0F5F"/>
    <w:rsid w:val="00EE1DF9"/>
    <w:rsid w:val="00EE1FF0"/>
    <w:rsid w:val="00EE3986"/>
    <w:rsid w:val="00EE41CA"/>
    <w:rsid w:val="00EE4570"/>
    <w:rsid w:val="00EE4864"/>
    <w:rsid w:val="00EE5867"/>
    <w:rsid w:val="00EE5998"/>
    <w:rsid w:val="00EE5AD0"/>
    <w:rsid w:val="00EE5E74"/>
    <w:rsid w:val="00EE5FDA"/>
    <w:rsid w:val="00EE6A1D"/>
    <w:rsid w:val="00EE7BC8"/>
    <w:rsid w:val="00EE7E1F"/>
    <w:rsid w:val="00EF0068"/>
    <w:rsid w:val="00EF075C"/>
    <w:rsid w:val="00EF094F"/>
    <w:rsid w:val="00EF0DA2"/>
    <w:rsid w:val="00EF13D2"/>
    <w:rsid w:val="00EF24D5"/>
    <w:rsid w:val="00EF2B74"/>
    <w:rsid w:val="00EF2D91"/>
    <w:rsid w:val="00EF3131"/>
    <w:rsid w:val="00EF333F"/>
    <w:rsid w:val="00EF381A"/>
    <w:rsid w:val="00EF6308"/>
    <w:rsid w:val="00EF6325"/>
    <w:rsid w:val="00EF661D"/>
    <w:rsid w:val="00EF7156"/>
    <w:rsid w:val="00EF7248"/>
    <w:rsid w:val="00EF728A"/>
    <w:rsid w:val="00F00B7A"/>
    <w:rsid w:val="00F0145F"/>
    <w:rsid w:val="00F01758"/>
    <w:rsid w:val="00F02C60"/>
    <w:rsid w:val="00F035D8"/>
    <w:rsid w:val="00F03D93"/>
    <w:rsid w:val="00F0424D"/>
    <w:rsid w:val="00F04444"/>
    <w:rsid w:val="00F04B9F"/>
    <w:rsid w:val="00F04BC3"/>
    <w:rsid w:val="00F04F72"/>
    <w:rsid w:val="00F065AC"/>
    <w:rsid w:val="00F07420"/>
    <w:rsid w:val="00F107AF"/>
    <w:rsid w:val="00F10C4A"/>
    <w:rsid w:val="00F111D6"/>
    <w:rsid w:val="00F1126E"/>
    <w:rsid w:val="00F112C3"/>
    <w:rsid w:val="00F11346"/>
    <w:rsid w:val="00F11874"/>
    <w:rsid w:val="00F1187C"/>
    <w:rsid w:val="00F11FD9"/>
    <w:rsid w:val="00F1301E"/>
    <w:rsid w:val="00F1330B"/>
    <w:rsid w:val="00F1357E"/>
    <w:rsid w:val="00F1384A"/>
    <w:rsid w:val="00F15538"/>
    <w:rsid w:val="00F15999"/>
    <w:rsid w:val="00F161E1"/>
    <w:rsid w:val="00F164EF"/>
    <w:rsid w:val="00F174B7"/>
    <w:rsid w:val="00F203F9"/>
    <w:rsid w:val="00F211D8"/>
    <w:rsid w:val="00F219B0"/>
    <w:rsid w:val="00F21A03"/>
    <w:rsid w:val="00F22234"/>
    <w:rsid w:val="00F224DA"/>
    <w:rsid w:val="00F22714"/>
    <w:rsid w:val="00F22D7A"/>
    <w:rsid w:val="00F22FCF"/>
    <w:rsid w:val="00F232E4"/>
    <w:rsid w:val="00F23C6B"/>
    <w:rsid w:val="00F24975"/>
    <w:rsid w:val="00F24A56"/>
    <w:rsid w:val="00F258E0"/>
    <w:rsid w:val="00F26227"/>
    <w:rsid w:val="00F267E4"/>
    <w:rsid w:val="00F26810"/>
    <w:rsid w:val="00F2769A"/>
    <w:rsid w:val="00F27E27"/>
    <w:rsid w:val="00F31C86"/>
    <w:rsid w:val="00F321C5"/>
    <w:rsid w:val="00F32309"/>
    <w:rsid w:val="00F3262F"/>
    <w:rsid w:val="00F336E2"/>
    <w:rsid w:val="00F34480"/>
    <w:rsid w:val="00F34628"/>
    <w:rsid w:val="00F34B89"/>
    <w:rsid w:val="00F3500B"/>
    <w:rsid w:val="00F36306"/>
    <w:rsid w:val="00F36984"/>
    <w:rsid w:val="00F378B0"/>
    <w:rsid w:val="00F37A5D"/>
    <w:rsid w:val="00F408EC"/>
    <w:rsid w:val="00F40BBE"/>
    <w:rsid w:val="00F40BD7"/>
    <w:rsid w:val="00F410EF"/>
    <w:rsid w:val="00F44B2C"/>
    <w:rsid w:val="00F4525C"/>
    <w:rsid w:val="00F45952"/>
    <w:rsid w:val="00F46611"/>
    <w:rsid w:val="00F46781"/>
    <w:rsid w:val="00F5138B"/>
    <w:rsid w:val="00F52496"/>
    <w:rsid w:val="00F52743"/>
    <w:rsid w:val="00F52BD3"/>
    <w:rsid w:val="00F52FDA"/>
    <w:rsid w:val="00F531B8"/>
    <w:rsid w:val="00F533CC"/>
    <w:rsid w:val="00F534BA"/>
    <w:rsid w:val="00F5387F"/>
    <w:rsid w:val="00F53AA6"/>
    <w:rsid w:val="00F540A0"/>
    <w:rsid w:val="00F54A73"/>
    <w:rsid w:val="00F55AF6"/>
    <w:rsid w:val="00F57425"/>
    <w:rsid w:val="00F57806"/>
    <w:rsid w:val="00F57D1A"/>
    <w:rsid w:val="00F57F5C"/>
    <w:rsid w:val="00F611FF"/>
    <w:rsid w:val="00F61CD8"/>
    <w:rsid w:val="00F61D8C"/>
    <w:rsid w:val="00F626D1"/>
    <w:rsid w:val="00F629FA"/>
    <w:rsid w:val="00F62E9E"/>
    <w:rsid w:val="00F64720"/>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0A22"/>
    <w:rsid w:val="00F810F8"/>
    <w:rsid w:val="00F81505"/>
    <w:rsid w:val="00F81EF0"/>
    <w:rsid w:val="00F82E4F"/>
    <w:rsid w:val="00F83E60"/>
    <w:rsid w:val="00F85A61"/>
    <w:rsid w:val="00F85F16"/>
    <w:rsid w:val="00F862C1"/>
    <w:rsid w:val="00F90326"/>
    <w:rsid w:val="00F91FF9"/>
    <w:rsid w:val="00F92B76"/>
    <w:rsid w:val="00F934F0"/>
    <w:rsid w:val="00F936D8"/>
    <w:rsid w:val="00F93956"/>
    <w:rsid w:val="00F9397E"/>
    <w:rsid w:val="00F93990"/>
    <w:rsid w:val="00F94744"/>
    <w:rsid w:val="00F9540A"/>
    <w:rsid w:val="00F96A40"/>
    <w:rsid w:val="00F973CA"/>
    <w:rsid w:val="00F97D88"/>
    <w:rsid w:val="00FA0244"/>
    <w:rsid w:val="00FA2603"/>
    <w:rsid w:val="00FA50C6"/>
    <w:rsid w:val="00FA5DAE"/>
    <w:rsid w:val="00FA62FA"/>
    <w:rsid w:val="00FA63B9"/>
    <w:rsid w:val="00FA6CC7"/>
    <w:rsid w:val="00FA7DE0"/>
    <w:rsid w:val="00FB10FB"/>
    <w:rsid w:val="00FB1204"/>
    <w:rsid w:val="00FB1D42"/>
    <w:rsid w:val="00FB311C"/>
    <w:rsid w:val="00FB5255"/>
    <w:rsid w:val="00FB5703"/>
    <w:rsid w:val="00FB5C48"/>
    <w:rsid w:val="00FB5E4A"/>
    <w:rsid w:val="00FB5F5B"/>
    <w:rsid w:val="00FC1245"/>
    <w:rsid w:val="00FC1324"/>
    <w:rsid w:val="00FC14E7"/>
    <w:rsid w:val="00FC26A4"/>
    <w:rsid w:val="00FC299B"/>
    <w:rsid w:val="00FC314E"/>
    <w:rsid w:val="00FC324E"/>
    <w:rsid w:val="00FC3540"/>
    <w:rsid w:val="00FC3E98"/>
    <w:rsid w:val="00FC46AC"/>
    <w:rsid w:val="00FC67EE"/>
    <w:rsid w:val="00FD03DE"/>
    <w:rsid w:val="00FD063D"/>
    <w:rsid w:val="00FD1300"/>
    <w:rsid w:val="00FD1556"/>
    <w:rsid w:val="00FD19FC"/>
    <w:rsid w:val="00FD1C6E"/>
    <w:rsid w:val="00FD27B9"/>
    <w:rsid w:val="00FD2F97"/>
    <w:rsid w:val="00FD4D13"/>
    <w:rsid w:val="00FD5508"/>
    <w:rsid w:val="00FD5715"/>
    <w:rsid w:val="00FD60C2"/>
    <w:rsid w:val="00FD68C7"/>
    <w:rsid w:val="00FD6F17"/>
    <w:rsid w:val="00FD7308"/>
    <w:rsid w:val="00FE0039"/>
    <w:rsid w:val="00FE01F3"/>
    <w:rsid w:val="00FE29D2"/>
    <w:rsid w:val="00FE3259"/>
    <w:rsid w:val="00FE36DC"/>
    <w:rsid w:val="00FE3719"/>
    <w:rsid w:val="00FE436C"/>
    <w:rsid w:val="00FE5177"/>
    <w:rsid w:val="00FE56C7"/>
    <w:rsid w:val="00FE5739"/>
    <w:rsid w:val="00FE5E2C"/>
    <w:rsid w:val="00FE72BE"/>
    <w:rsid w:val="00FE73FB"/>
    <w:rsid w:val="00FF2931"/>
    <w:rsid w:val="00FF2E03"/>
    <w:rsid w:val="00FF48B3"/>
    <w:rsid w:val="00FF5173"/>
    <w:rsid w:val="00FF57D7"/>
    <w:rsid w:val="00FF63D4"/>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53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A6781"/>
    <w:pPr>
      <w:ind w:left="708"/>
    </w:pPr>
  </w:style>
  <w:style w:type="character" w:customStyle="1" w:styleId="TextoindependienteCar">
    <w:name w:val="Texto independiente Car"/>
    <w:link w:val="Textoindependiente"/>
    <w:uiPriority w:val="99"/>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styleId="nfasis">
    <w:name w:val="Emphasis"/>
    <w:basedOn w:val="Fuentedeprrafopredeter"/>
    <w:uiPriority w:val="20"/>
    <w:qFormat/>
    <w:rsid w:val="00320D45"/>
    <w:rPr>
      <w:i/>
      <w:iCs/>
    </w:rPr>
  </w:style>
  <w:style w:type="paragraph" w:styleId="HTMLconformatoprevio">
    <w:name w:val="HTML Preformatted"/>
    <w:basedOn w:val="Normal"/>
    <w:link w:val="HTMLconformatoprevioCar"/>
    <w:uiPriority w:val="99"/>
    <w:semiHidden/>
    <w:unhideWhenUsed/>
    <w:rsid w:val="00BA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MX" w:eastAsia="es-MX"/>
    </w:rPr>
  </w:style>
  <w:style w:type="character" w:customStyle="1" w:styleId="HTMLconformatoprevioCar">
    <w:name w:val="HTML con formato previo Car"/>
    <w:basedOn w:val="Fuentedeprrafopredeter"/>
    <w:link w:val="HTMLconformatoprevio"/>
    <w:uiPriority w:val="99"/>
    <w:semiHidden/>
    <w:rsid w:val="00BA5D69"/>
    <w:rPr>
      <w:rFonts w:ascii="Courier New" w:hAnsi="Courier New" w:cs="Courier New"/>
    </w:rPr>
  </w:style>
  <w:style w:type="paragraph" w:styleId="Sinespaciado">
    <w:name w:val="No Spacing"/>
    <w:uiPriority w:val="1"/>
    <w:qFormat/>
    <w:rsid w:val="00BE741F"/>
    <w:rPr>
      <w:rFonts w:ascii="Calibri" w:eastAsia="Calibri" w:hAnsi="Calibri"/>
      <w:sz w:val="22"/>
      <w:szCs w:val="22"/>
      <w:lang w:eastAsia="en-US"/>
    </w:rPr>
  </w:style>
  <w:style w:type="character" w:customStyle="1" w:styleId="N1IFTCar">
    <w:name w:val="N1 IFT Car"/>
    <w:basedOn w:val="Fuentedeprrafopredeter"/>
    <w:link w:val="N1IFT"/>
    <w:locked/>
    <w:rsid w:val="005B6E5E"/>
    <w:rPr>
      <w:rFonts w:ascii="ITC Avant Garde" w:hAnsi="ITC Avant Garde"/>
      <w:b/>
      <w:bCs/>
      <w:color w:val="000000"/>
      <w:lang w:eastAsia="es-ES"/>
    </w:rPr>
  </w:style>
  <w:style w:type="paragraph" w:customStyle="1" w:styleId="N1IFT">
    <w:name w:val="N1 IFT"/>
    <w:basedOn w:val="Normal"/>
    <w:link w:val="N1IFTCar"/>
    <w:rsid w:val="005B6E5E"/>
    <w:pPr>
      <w:spacing w:after="200" w:line="276" w:lineRule="auto"/>
      <w:jc w:val="both"/>
    </w:pPr>
    <w:rPr>
      <w:rFonts w:ascii="ITC Avant Garde" w:hAnsi="ITC Avant Garde"/>
      <w:b/>
      <w:bCs/>
      <w:color w:val="000000"/>
      <w:sz w:val="20"/>
      <w:lang w:val="es-MX"/>
    </w:rPr>
  </w:style>
  <w:style w:type="character" w:customStyle="1" w:styleId="Ttulo2Car">
    <w:name w:val="Título 2 Car"/>
    <w:basedOn w:val="Fuentedeprrafopredeter"/>
    <w:link w:val="Ttulo2"/>
    <w:uiPriority w:val="9"/>
    <w:rsid w:val="00927C6B"/>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2817">
      <w:bodyDiv w:val="1"/>
      <w:marLeft w:val="0"/>
      <w:marRight w:val="0"/>
      <w:marTop w:val="0"/>
      <w:marBottom w:val="0"/>
      <w:divBdr>
        <w:top w:val="none" w:sz="0" w:space="0" w:color="auto"/>
        <w:left w:val="none" w:sz="0" w:space="0" w:color="auto"/>
        <w:bottom w:val="none" w:sz="0" w:space="0" w:color="auto"/>
        <w:right w:val="none" w:sz="0" w:space="0" w:color="auto"/>
      </w:divBdr>
    </w:div>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410734656">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056589026">
      <w:bodyDiv w:val="1"/>
      <w:marLeft w:val="0"/>
      <w:marRight w:val="0"/>
      <w:marTop w:val="0"/>
      <w:marBottom w:val="0"/>
      <w:divBdr>
        <w:top w:val="none" w:sz="0" w:space="0" w:color="auto"/>
        <w:left w:val="none" w:sz="0" w:space="0" w:color="auto"/>
        <w:bottom w:val="none" w:sz="0" w:space="0" w:color="auto"/>
        <w:right w:val="none" w:sz="0" w:space="0" w:color="auto"/>
      </w:divBdr>
    </w:div>
    <w:div w:id="1233664617">
      <w:bodyDiv w:val="1"/>
      <w:marLeft w:val="0"/>
      <w:marRight w:val="0"/>
      <w:marTop w:val="0"/>
      <w:marBottom w:val="0"/>
      <w:divBdr>
        <w:top w:val="none" w:sz="0" w:space="0" w:color="auto"/>
        <w:left w:val="none" w:sz="0" w:space="0" w:color="auto"/>
        <w:bottom w:val="none" w:sz="0" w:space="0" w:color="auto"/>
        <w:right w:val="none" w:sz="0" w:space="0" w:color="auto"/>
      </w:divBdr>
    </w:div>
    <w:div w:id="1352564021">
      <w:bodyDiv w:val="1"/>
      <w:marLeft w:val="0"/>
      <w:marRight w:val="0"/>
      <w:marTop w:val="0"/>
      <w:marBottom w:val="0"/>
      <w:divBdr>
        <w:top w:val="none" w:sz="0" w:space="0" w:color="auto"/>
        <w:left w:val="none" w:sz="0" w:space="0" w:color="auto"/>
        <w:bottom w:val="none" w:sz="0" w:space="0" w:color="auto"/>
        <w:right w:val="none" w:sz="0" w:space="0" w:color="auto"/>
      </w:divBdr>
    </w:div>
    <w:div w:id="1412191885">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748377809">
      <w:bodyDiv w:val="1"/>
      <w:marLeft w:val="0"/>
      <w:marRight w:val="0"/>
      <w:marTop w:val="0"/>
      <w:marBottom w:val="0"/>
      <w:divBdr>
        <w:top w:val="none" w:sz="0" w:space="0" w:color="auto"/>
        <w:left w:val="none" w:sz="0" w:space="0" w:color="auto"/>
        <w:bottom w:val="none" w:sz="0" w:space="0" w:color="auto"/>
        <w:right w:val="none" w:sz="0" w:space="0" w:color="auto"/>
      </w:divBdr>
    </w:div>
    <w:div w:id="1839803913">
      <w:bodyDiv w:val="1"/>
      <w:marLeft w:val="0"/>
      <w:marRight w:val="0"/>
      <w:marTop w:val="0"/>
      <w:marBottom w:val="0"/>
      <w:divBdr>
        <w:top w:val="none" w:sz="0" w:space="0" w:color="auto"/>
        <w:left w:val="none" w:sz="0" w:space="0" w:color="auto"/>
        <w:bottom w:val="none" w:sz="0" w:space="0" w:color="auto"/>
        <w:right w:val="none" w:sz="0" w:space="0" w:color="auto"/>
      </w:divBdr>
    </w:div>
    <w:div w:id="1915553107">
      <w:bodyDiv w:val="1"/>
      <w:marLeft w:val="0"/>
      <w:marRight w:val="0"/>
      <w:marTop w:val="0"/>
      <w:marBottom w:val="0"/>
      <w:divBdr>
        <w:top w:val="none" w:sz="0" w:space="0" w:color="auto"/>
        <w:left w:val="none" w:sz="0" w:space="0" w:color="auto"/>
        <w:bottom w:val="none" w:sz="0" w:space="0" w:color="auto"/>
        <w:right w:val="none" w:sz="0" w:space="0" w:color="auto"/>
      </w:divBdr>
    </w:div>
    <w:div w:id="2055690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F39A-ABBA-411F-AE18-3EB863BC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4112</Words>
  <Characters>22617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7</cp:revision>
  <cp:lastPrinted>2017-08-14T23:41:00Z</cp:lastPrinted>
  <dcterms:created xsi:type="dcterms:W3CDTF">2017-07-26T20:09:00Z</dcterms:created>
  <dcterms:modified xsi:type="dcterms:W3CDTF">2017-08-30T19:28:00Z</dcterms:modified>
</cp:coreProperties>
</file>