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F97" w:rsidRPr="00206B14" w:rsidRDefault="00FA0F97" w:rsidP="00206B14">
      <w:pPr>
        <w:pStyle w:val="Ttulo1"/>
        <w:spacing w:before="180" w:after="180"/>
        <w:jc w:val="both"/>
        <w:rPr>
          <w:rFonts w:ascii="ITC Avant Garde" w:hAnsi="ITC Avant Garde"/>
          <w:iCs/>
        </w:rPr>
      </w:pPr>
      <w:bookmarkStart w:id="0" w:name="_GoBack"/>
      <w:bookmarkEnd w:id="0"/>
      <w:r w:rsidRPr="00206B14">
        <w:rPr>
          <w:rFonts w:ascii="ITC Avant Garde" w:hAnsi="ITC Avant Garde"/>
          <w:lang w:val="es-ES"/>
        </w:rPr>
        <w:t xml:space="preserve">RESOLUCIÓN MEDIANTE LA CUAL EL PLENO DEL INSTITUTO FEDERAL DE TELECOMUNICACIONES DETERMINA LAS CONDICIONES DE INTERCONEXIÓN NO CONVENIDAS ENTRE LAS EMPRESAS AXTEL, S.A.B. DE C.V. Y </w:t>
      </w:r>
      <w:proofErr w:type="spellStart"/>
      <w:r w:rsidRPr="00206B14">
        <w:rPr>
          <w:rFonts w:ascii="ITC Avant Garde" w:hAnsi="ITC Avant Garde"/>
          <w:lang w:val="es-ES"/>
        </w:rPr>
        <w:t>AVANTEL</w:t>
      </w:r>
      <w:proofErr w:type="spellEnd"/>
      <w:r w:rsidRPr="00206B14">
        <w:rPr>
          <w:rFonts w:ascii="ITC Avant Garde" w:hAnsi="ITC Avant Garde"/>
          <w:lang w:val="es-ES"/>
        </w:rPr>
        <w:t xml:space="preserve">, S. DE R.L. DE C.V. Y LAS EMPRESAS </w:t>
      </w:r>
      <w:r w:rsidRPr="00206B14">
        <w:rPr>
          <w:rFonts w:ascii="ITC Avant Garde" w:hAnsi="ITC Avant Garde"/>
          <w:iCs/>
        </w:rPr>
        <w:t xml:space="preserve">AT&amp;T </w:t>
      </w:r>
      <w:proofErr w:type="spellStart"/>
      <w:r w:rsidRPr="00206B14">
        <w:rPr>
          <w:rFonts w:ascii="ITC Avant Garde" w:hAnsi="ITC Avant Garde"/>
          <w:iCs/>
        </w:rPr>
        <w:t>OPCO</w:t>
      </w:r>
      <w:proofErr w:type="spellEnd"/>
      <w:r w:rsidRPr="00206B14">
        <w:rPr>
          <w:rFonts w:ascii="ITC Avant Garde" w:hAnsi="ITC Avant Garde"/>
          <w:iCs/>
        </w:rPr>
        <w:t xml:space="preserve"> UNE </w:t>
      </w:r>
      <w:proofErr w:type="spellStart"/>
      <w:r w:rsidRPr="00206B14">
        <w:rPr>
          <w:rFonts w:ascii="ITC Avant Garde" w:hAnsi="ITC Avant Garde"/>
          <w:iCs/>
        </w:rPr>
        <w:t>MEX</w:t>
      </w:r>
      <w:proofErr w:type="spellEnd"/>
      <w:r w:rsidRPr="00206B14">
        <w:rPr>
          <w:rFonts w:ascii="ITC Avant Garde" w:hAnsi="ITC Avant Garde"/>
          <w:iCs/>
        </w:rPr>
        <w:t xml:space="preserve">, S. DE R.L. DE C.V., AT&amp;T DESARROLLO EN COMUNICACIONES DE MÉXICO, S. DE R.L. DE C.V., AT&amp;T DEL GOLFO, S. DE R.L. DE C.V., AT&amp;T </w:t>
      </w:r>
      <w:proofErr w:type="spellStart"/>
      <w:r w:rsidRPr="00206B14">
        <w:rPr>
          <w:rFonts w:ascii="ITC Avant Garde" w:hAnsi="ITC Avant Garde"/>
          <w:iCs/>
        </w:rPr>
        <w:t>COMCENTRO</w:t>
      </w:r>
      <w:proofErr w:type="spellEnd"/>
      <w:r w:rsidRPr="00206B14">
        <w:rPr>
          <w:rFonts w:ascii="ITC Avant Garde" w:hAnsi="ITC Avant Garde"/>
          <w:iCs/>
        </w:rPr>
        <w:t>, S. DE R.L. DE C.V., AT&amp;T DEL OCCIDENTE, S. DE R.L. DE C.V., AT&amp;T SURESTE, S. DE R.L. DE C.V., AT&amp;T NORTE, S. DE R.L. DE C.V. Y AT&amp;T CENTRAL, S. DE R.L. DE C.V. APLICABLES DEL 1 DE ENERO AL 31 DE DICIEMBRE DE 2016.</w:t>
      </w:r>
    </w:p>
    <w:p w:rsidR="00FA0F97" w:rsidRPr="00206B14" w:rsidRDefault="00FA0F97" w:rsidP="00206B14">
      <w:pPr>
        <w:pStyle w:val="Ttulo2"/>
        <w:spacing w:before="180" w:after="180"/>
        <w:jc w:val="center"/>
        <w:rPr>
          <w:rFonts w:ascii="ITC Avant Garde" w:hAnsi="ITC Avant Garde"/>
          <w:b w:val="0"/>
        </w:rPr>
      </w:pPr>
      <w:r w:rsidRPr="00206B14">
        <w:rPr>
          <w:rFonts w:ascii="ITC Avant Garde" w:hAnsi="ITC Avant Garde"/>
        </w:rPr>
        <w:t>ANTECEDENTES</w:t>
      </w:r>
    </w:p>
    <w:p w:rsidR="00FA0F97" w:rsidRPr="00C032D9" w:rsidRDefault="00FA0F97" w:rsidP="00206B14">
      <w:pPr>
        <w:numPr>
          <w:ilvl w:val="0"/>
          <w:numId w:val="13"/>
        </w:numPr>
        <w:tabs>
          <w:tab w:val="left" w:pos="567"/>
        </w:tabs>
        <w:spacing w:before="180" w:after="180"/>
        <w:ind w:left="567" w:right="48" w:hanging="567"/>
        <w:jc w:val="both"/>
        <w:rPr>
          <w:rFonts w:ascii="ITC Avant Garde" w:hAnsi="ITC Avant Garde"/>
        </w:rPr>
      </w:pPr>
      <w:r w:rsidRPr="00C032D9">
        <w:rPr>
          <w:rFonts w:ascii="ITC Avant Garde" w:hAnsi="ITC Avant Garde" w:cs="Arial"/>
          <w:b/>
          <w:bCs/>
        </w:rPr>
        <w:t xml:space="preserve">Concesiones de Axtel, S.A.B de C.V. </w:t>
      </w:r>
      <w:r w:rsidRPr="00C032D9">
        <w:rPr>
          <w:rFonts w:ascii="ITC Avant Garde" w:hAnsi="ITC Avant Garde" w:cs="Arial"/>
        </w:rPr>
        <w:t xml:space="preserve">El 17 de junio de 1996, la </w:t>
      </w:r>
      <w:r w:rsidRPr="00C032D9">
        <w:rPr>
          <w:rFonts w:ascii="ITC Avant Garde" w:hAnsi="ITC Avant Garde" w:cs="Arial"/>
          <w:bCs/>
        </w:rPr>
        <w:t xml:space="preserve">Secretaría de Comunicaciones y Transportes (en lo sucesivo, la “Secretaría) </w:t>
      </w:r>
      <w:r w:rsidRPr="00C032D9">
        <w:rPr>
          <w:rFonts w:ascii="ITC Avant Garde" w:hAnsi="ITC Avant Garde" w:cs="Arial"/>
        </w:rPr>
        <w:t xml:space="preserve">otorgó originalmente a </w:t>
      </w:r>
      <w:r w:rsidRPr="00C032D9">
        <w:rPr>
          <w:rFonts w:ascii="ITC Avant Garde" w:hAnsi="ITC Avant Garde" w:cs="Arial"/>
          <w:bCs/>
        </w:rPr>
        <w:t>Telefonía</w:t>
      </w:r>
      <w:r w:rsidRPr="00C032D9">
        <w:rPr>
          <w:rFonts w:ascii="ITC Avant Garde" w:hAnsi="ITC Avant Garde" w:cs="Arial"/>
        </w:rPr>
        <w:t xml:space="preserve"> Inalámbrica del Norte, S.A. de C.V., actualmente Axtel, S.A.B. de C.V. (en lo sucesivo, “Axtel”), un título de concesión para instalar, operar y explotar una red pública de telecomunicaciones para prestar, entre otros, el servicio público de telefonía básica de larga distancia nacional e internacional. </w:t>
      </w:r>
    </w:p>
    <w:p w:rsidR="00FA0F97" w:rsidRPr="00C032D9" w:rsidRDefault="00FA0F97" w:rsidP="00206B14">
      <w:pPr>
        <w:tabs>
          <w:tab w:val="left" w:pos="567"/>
        </w:tabs>
        <w:spacing w:before="180" w:after="180"/>
        <w:ind w:left="567" w:right="48"/>
        <w:jc w:val="both"/>
        <w:rPr>
          <w:rFonts w:ascii="ITC Avant Garde" w:hAnsi="ITC Avant Garde"/>
        </w:rPr>
      </w:pPr>
      <w:r w:rsidRPr="00C032D9">
        <w:rPr>
          <w:rFonts w:ascii="ITC Avant Garde" w:hAnsi="ITC Avant Garde" w:cs="Arial"/>
        </w:rPr>
        <w:t>Asimismo, el 7 de octubre de 1998, la Secretaría otorgó Axtel un título de concesión para instalar, operar y explotar una red pública de telecomunicaciones para prestar servicios de acceso inalámbrico fijo o móvil; en las 9 (nueve) regiones en que se dividió el territorio nacional y 9 (nueve) títulos de concesión para usar, aprovechar y explotar bandas de frecuencias del espectro radioeléctrico para prestar servicios de acceso inalámbrico fijo o móvil, para cada una de las 9 (nueve) regiones en que se dividió el territorio nacional.</w:t>
      </w:r>
    </w:p>
    <w:p w:rsidR="00FA0F97" w:rsidRPr="00C032D9" w:rsidRDefault="00FA0F97" w:rsidP="00206B14">
      <w:pPr>
        <w:numPr>
          <w:ilvl w:val="0"/>
          <w:numId w:val="13"/>
        </w:numPr>
        <w:tabs>
          <w:tab w:val="left" w:pos="567"/>
        </w:tabs>
        <w:spacing w:before="180" w:after="180"/>
        <w:ind w:left="567" w:right="48" w:hanging="567"/>
        <w:jc w:val="both"/>
        <w:rPr>
          <w:rFonts w:ascii="ITC Avant Garde" w:hAnsi="ITC Avant Garde" w:cs="Arial"/>
        </w:rPr>
      </w:pPr>
      <w:r w:rsidRPr="00C032D9">
        <w:rPr>
          <w:rFonts w:ascii="ITC Avant Garde" w:hAnsi="ITC Avant Garde"/>
          <w:b/>
          <w:bCs/>
        </w:rPr>
        <w:t xml:space="preserve">Concesiones de </w:t>
      </w:r>
      <w:proofErr w:type="spellStart"/>
      <w:r w:rsidRPr="00C032D9">
        <w:rPr>
          <w:rFonts w:ascii="ITC Avant Garde" w:hAnsi="ITC Avant Garde" w:cs="Arial"/>
          <w:b/>
          <w:bCs/>
        </w:rPr>
        <w:t>Avantel</w:t>
      </w:r>
      <w:proofErr w:type="spellEnd"/>
      <w:r w:rsidRPr="00C032D9">
        <w:rPr>
          <w:rFonts w:ascii="ITC Avant Garde" w:hAnsi="ITC Avant Garde" w:cs="Arial"/>
          <w:b/>
          <w:bCs/>
        </w:rPr>
        <w:t xml:space="preserve">, S. de R.L. de C.V. </w:t>
      </w:r>
      <w:r w:rsidRPr="00C032D9">
        <w:rPr>
          <w:rFonts w:ascii="ITC Avant Garde" w:hAnsi="ITC Avant Garde" w:cs="Arial"/>
          <w:bCs/>
        </w:rPr>
        <w:t xml:space="preserve">El 15 de septiembre de 1995, la Secretaría </w:t>
      </w:r>
      <w:r w:rsidRPr="00C032D9">
        <w:rPr>
          <w:rFonts w:ascii="ITC Avant Garde" w:hAnsi="ITC Avant Garde" w:cs="Arial"/>
        </w:rPr>
        <w:t xml:space="preserve">otorgó a </w:t>
      </w:r>
      <w:proofErr w:type="spellStart"/>
      <w:r w:rsidRPr="00C032D9">
        <w:rPr>
          <w:rFonts w:ascii="ITC Avant Garde" w:hAnsi="ITC Avant Garde" w:cs="Arial"/>
        </w:rPr>
        <w:t>Avantel</w:t>
      </w:r>
      <w:proofErr w:type="spellEnd"/>
      <w:r w:rsidRPr="00C032D9">
        <w:rPr>
          <w:rFonts w:ascii="ITC Avant Garde" w:hAnsi="ITC Avant Garde" w:cs="Arial"/>
        </w:rPr>
        <w:t>, S. de R.L. de C.V. (en lo sucesivo, “</w:t>
      </w:r>
      <w:proofErr w:type="spellStart"/>
      <w:r w:rsidRPr="00C032D9">
        <w:rPr>
          <w:rFonts w:ascii="ITC Avant Garde" w:hAnsi="ITC Avant Garde" w:cs="Arial"/>
        </w:rPr>
        <w:t>Avantel</w:t>
      </w:r>
      <w:proofErr w:type="spellEnd"/>
      <w:r w:rsidRPr="00C032D9">
        <w:rPr>
          <w:rFonts w:ascii="ITC Avant Garde" w:hAnsi="ITC Avant Garde" w:cs="Arial"/>
        </w:rPr>
        <w:t>”), un título de concesión para instalar, operar y explotar una red pública de telecomunicaciones para prestar entre otros, el servicio público de telefonía básica de larga distancia nacional e internacional.</w:t>
      </w:r>
    </w:p>
    <w:p w:rsidR="00FA0F97" w:rsidRPr="00C032D9" w:rsidRDefault="00FA0F97" w:rsidP="00206B14">
      <w:pPr>
        <w:tabs>
          <w:tab w:val="left" w:pos="567"/>
        </w:tabs>
        <w:spacing w:before="180" w:after="180"/>
        <w:ind w:left="567" w:right="48"/>
        <w:jc w:val="both"/>
        <w:rPr>
          <w:rFonts w:ascii="ITC Avant Garde" w:hAnsi="ITC Avant Garde" w:cs="Arial"/>
        </w:rPr>
      </w:pPr>
      <w:r w:rsidRPr="00C032D9">
        <w:rPr>
          <w:rFonts w:ascii="ITC Avant Garde" w:hAnsi="ITC Avant Garde" w:cs="Arial"/>
        </w:rPr>
        <w:t xml:space="preserve">Asimismo, el 12 de abril de 1999, la Secretaría otorgó a </w:t>
      </w:r>
      <w:proofErr w:type="spellStart"/>
      <w:r w:rsidRPr="00C032D9">
        <w:rPr>
          <w:rFonts w:ascii="ITC Avant Garde" w:hAnsi="ITC Avant Garde" w:cs="Arial"/>
        </w:rPr>
        <w:t>Avantel</w:t>
      </w:r>
      <w:proofErr w:type="spellEnd"/>
      <w:r w:rsidRPr="00C032D9">
        <w:rPr>
          <w:rFonts w:ascii="ITC Avant Garde" w:hAnsi="ITC Avant Garde" w:cs="Arial"/>
        </w:rPr>
        <w:t xml:space="preserve"> un título de concesión para instalar, operar y explotar una red pública de telecomunicaciones para prestar entre otros, el servicio de telefonía local.</w:t>
      </w:r>
    </w:p>
    <w:p w:rsidR="00FA0F97" w:rsidRPr="00C032D9" w:rsidRDefault="00FA0F97" w:rsidP="00206B14">
      <w:pPr>
        <w:numPr>
          <w:ilvl w:val="0"/>
          <w:numId w:val="13"/>
        </w:numPr>
        <w:tabs>
          <w:tab w:val="left" w:pos="9356"/>
        </w:tabs>
        <w:spacing w:before="180" w:after="180"/>
        <w:ind w:left="567" w:hanging="567"/>
        <w:jc w:val="both"/>
        <w:rPr>
          <w:rFonts w:ascii="ITC Avant Garde" w:hAnsi="ITC Avant Garde"/>
        </w:rPr>
      </w:pPr>
      <w:r w:rsidRPr="00C032D9">
        <w:rPr>
          <w:rFonts w:ascii="ITC Avant Garde" w:hAnsi="ITC Avant Garde"/>
          <w:b/>
          <w:lang w:eastAsia="es-ES"/>
        </w:rPr>
        <w:t xml:space="preserve">Concesiones de AT&amp;T </w:t>
      </w:r>
      <w:proofErr w:type="spellStart"/>
      <w:r w:rsidRPr="00C032D9">
        <w:rPr>
          <w:rFonts w:ascii="ITC Avant Garde" w:hAnsi="ITC Avant Garde"/>
          <w:b/>
          <w:lang w:eastAsia="es-ES"/>
        </w:rPr>
        <w:t>Opco</w:t>
      </w:r>
      <w:proofErr w:type="spellEnd"/>
      <w:r w:rsidRPr="00C032D9">
        <w:rPr>
          <w:rFonts w:ascii="ITC Avant Garde" w:hAnsi="ITC Avant Garde"/>
          <w:b/>
          <w:lang w:eastAsia="es-ES"/>
        </w:rPr>
        <w:t xml:space="preserve"> Une </w:t>
      </w:r>
      <w:proofErr w:type="spellStart"/>
      <w:r w:rsidRPr="00C032D9">
        <w:rPr>
          <w:rFonts w:ascii="ITC Avant Garde" w:hAnsi="ITC Avant Garde"/>
          <w:b/>
          <w:lang w:eastAsia="es-ES"/>
        </w:rPr>
        <w:t>Mex</w:t>
      </w:r>
      <w:proofErr w:type="spellEnd"/>
      <w:r w:rsidRPr="00C032D9">
        <w:rPr>
          <w:rFonts w:ascii="ITC Avant Garde" w:hAnsi="ITC Avant Garde"/>
          <w:b/>
          <w:lang w:eastAsia="es-ES"/>
        </w:rPr>
        <w:t xml:space="preserve">, S. de R.L. de C.V. </w:t>
      </w:r>
      <w:r w:rsidRPr="00C032D9">
        <w:rPr>
          <w:rFonts w:ascii="ITC Avant Garde" w:hAnsi="ITC Avant Garde"/>
          <w:lang w:eastAsia="es-ES"/>
        </w:rPr>
        <w:t xml:space="preserve">El 23 de junio de 1998, la Secretaría, otorgó a Sistemas Profesionales de Comunicación, S.A. de </w:t>
      </w:r>
      <w:proofErr w:type="spellStart"/>
      <w:r w:rsidRPr="00C032D9">
        <w:rPr>
          <w:rFonts w:ascii="ITC Avant Garde" w:hAnsi="ITC Avant Garde"/>
          <w:lang w:eastAsia="es-ES"/>
        </w:rPr>
        <w:t>C.V</w:t>
      </w:r>
      <w:proofErr w:type="spellEnd"/>
      <w:r w:rsidRPr="00C032D9">
        <w:rPr>
          <w:rFonts w:ascii="ITC Avant Garde" w:hAnsi="ITC Avant Garde"/>
          <w:lang w:eastAsia="es-ES"/>
        </w:rPr>
        <w:t xml:space="preserve"> un título de concesión para instalar, operar y explotar una red pública de telecomunicaciones para prestar servicios de acceso inalámbrico fijo o móvil en las nueve regiones en que se dividió el territorio nacional. Mediante oficio 111.207.-2123 de fecha 1 de octubre de 1999, la Secretaría autorizó el cambio de denominación </w:t>
      </w:r>
      <w:r w:rsidRPr="00C032D9">
        <w:rPr>
          <w:rFonts w:ascii="ITC Avant Garde" w:hAnsi="ITC Avant Garde"/>
          <w:lang w:eastAsia="es-ES"/>
        </w:rPr>
        <w:lastRenderedPageBreak/>
        <w:t xml:space="preserve">social para quedar como a Operadora Unefon, S.A. de C.V. (en lo sucesivo, “Unefon”). </w:t>
      </w:r>
    </w:p>
    <w:p w:rsidR="00FA0F97" w:rsidRPr="00C032D9" w:rsidRDefault="00FA0F97" w:rsidP="00206B14">
      <w:pPr>
        <w:tabs>
          <w:tab w:val="left" w:pos="9356"/>
        </w:tabs>
        <w:spacing w:before="180" w:after="180"/>
        <w:ind w:left="567"/>
        <w:jc w:val="both"/>
        <w:rPr>
          <w:rFonts w:ascii="ITC Avant Garde" w:eastAsia="Times New Roman" w:hAnsi="ITC Avant Garde"/>
          <w:lang w:eastAsia="es-ES"/>
        </w:rPr>
      </w:pPr>
      <w:r w:rsidRPr="00C032D9">
        <w:rPr>
          <w:rFonts w:ascii="ITC Avant Garde" w:eastAsia="Times New Roman" w:hAnsi="ITC Avant Garde"/>
          <w:lang w:eastAsia="es-ES"/>
        </w:rPr>
        <w:t>Asimismo, el 27 de septiembre de 1999, la Secretaría otorgó a Unefon, nueve (9) títulos de concesión para usar, aprovechar y explotar bandas de frecuencias del espectro radioeléctrico para prestar servicios de acceso inalámbrico fijo o móvil, para cada una de las nueve regiones en que se dividió el territorio nacional.</w:t>
      </w:r>
    </w:p>
    <w:p w:rsidR="00FA0F97" w:rsidRPr="00C032D9" w:rsidRDefault="00FA0F97" w:rsidP="00206B14">
      <w:pPr>
        <w:pStyle w:val="Textoindependiente"/>
        <w:tabs>
          <w:tab w:val="left" w:pos="9356"/>
        </w:tabs>
        <w:spacing w:before="180" w:after="180" w:line="276" w:lineRule="auto"/>
        <w:ind w:left="567" w:right="48"/>
        <w:rPr>
          <w:rFonts w:ascii="ITC Avant Garde" w:hAnsi="ITC Avant Garde"/>
        </w:rPr>
      </w:pPr>
      <w:r w:rsidRPr="00C032D9">
        <w:rPr>
          <w:rFonts w:ascii="ITC Avant Garde" w:hAnsi="ITC Avant Garde"/>
        </w:rPr>
        <w:t xml:space="preserve">Mediante oficio número IFT/223/UCS/2138/2015 de fecha 15 de octubre de 2015, el titular de la Unidad de Concesiones y Servicios de este Instituto, tomó nota de la </w:t>
      </w:r>
      <w:r w:rsidRPr="00C032D9">
        <w:rPr>
          <w:rFonts w:ascii="ITC Avant Garde" w:hAnsi="ITC Avant Garde" w:cs="Arial"/>
          <w:bCs/>
          <w:lang w:eastAsia="es-ES"/>
        </w:rPr>
        <w:t>modificación</w:t>
      </w:r>
      <w:r w:rsidRPr="00C032D9">
        <w:rPr>
          <w:rFonts w:ascii="ITC Avant Garde" w:hAnsi="ITC Avant Garde"/>
        </w:rPr>
        <w:t xml:space="preserve"> de estatutos sociales de la empresa Unefon, consistente en el cambio de denominación social de Operadora Unefon, S.A. de C.V. para quedar como AT&amp;T </w:t>
      </w:r>
      <w:proofErr w:type="spellStart"/>
      <w:r w:rsidRPr="00C032D9">
        <w:rPr>
          <w:rFonts w:ascii="ITC Avant Garde" w:hAnsi="ITC Avant Garde"/>
        </w:rPr>
        <w:t>Opco</w:t>
      </w:r>
      <w:proofErr w:type="spellEnd"/>
      <w:r w:rsidRPr="00C032D9">
        <w:rPr>
          <w:rFonts w:ascii="ITC Avant Garde" w:hAnsi="ITC Avant Garde"/>
        </w:rPr>
        <w:t xml:space="preserve"> Une </w:t>
      </w:r>
      <w:proofErr w:type="spellStart"/>
      <w:r w:rsidRPr="00C032D9">
        <w:rPr>
          <w:rFonts w:ascii="ITC Avant Garde" w:hAnsi="ITC Avant Garde"/>
        </w:rPr>
        <w:t>Mex</w:t>
      </w:r>
      <w:proofErr w:type="spellEnd"/>
      <w:r w:rsidRPr="00C032D9">
        <w:rPr>
          <w:rFonts w:ascii="ITC Avant Garde" w:hAnsi="ITC Avant Garde"/>
        </w:rPr>
        <w:t xml:space="preserve">, S. de R.L. de C.V. (en lo sucesivo, “AT&amp;T </w:t>
      </w:r>
      <w:proofErr w:type="spellStart"/>
      <w:r w:rsidRPr="00C032D9">
        <w:rPr>
          <w:rFonts w:ascii="ITC Avant Garde" w:hAnsi="ITC Avant Garde"/>
        </w:rPr>
        <w:t>Opco</w:t>
      </w:r>
      <w:proofErr w:type="spellEnd"/>
      <w:r w:rsidRPr="00C032D9">
        <w:rPr>
          <w:rFonts w:ascii="ITC Avant Garde" w:hAnsi="ITC Avant Garde"/>
        </w:rPr>
        <w:t xml:space="preserve"> Une </w:t>
      </w:r>
      <w:proofErr w:type="spellStart"/>
      <w:r w:rsidRPr="00C032D9">
        <w:rPr>
          <w:rFonts w:ascii="ITC Avant Garde" w:hAnsi="ITC Avant Garde"/>
        </w:rPr>
        <w:t>Mex</w:t>
      </w:r>
      <w:proofErr w:type="spellEnd"/>
      <w:r w:rsidRPr="00C032D9">
        <w:rPr>
          <w:rFonts w:ascii="ITC Avant Garde" w:hAnsi="ITC Avant Garde"/>
        </w:rPr>
        <w:t>”).</w:t>
      </w:r>
    </w:p>
    <w:p w:rsidR="00FA0F97" w:rsidRPr="00C032D9" w:rsidRDefault="00FA0F97" w:rsidP="00206B14">
      <w:pPr>
        <w:numPr>
          <w:ilvl w:val="0"/>
          <w:numId w:val="13"/>
        </w:numPr>
        <w:tabs>
          <w:tab w:val="left" w:pos="9356"/>
        </w:tabs>
        <w:spacing w:before="180" w:after="180"/>
        <w:ind w:left="567" w:hanging="567"/>
        <w:jc w:val="both"/>
        <w:rPr>
          <w:rFonts w:ascii="ITC Avant Garde" w:eastAsia="Times New Roman" w:hAnsi="ITC Avant Garde"/>
          <w:lang w:eastAsia="es-ES"/>
        </w:rPr>
      </w:pPr>
      <w:r w:rsidRPr="00C032D9">
        <w:rPr>
          <w:rFonts w:ascii="ITC Avant Garde" w:eastAsia="Times New Roman" w:hAnsi="ITC Avant Garde"/>
          <w:b/>
          <w:lang w:eastAsia="es-ES"/>
        </w:rPr>
        <w:t>Concesión AT&amp;T Desarrollo en Comunicaciones de México, S. de R.L. de C.V</w:t>
      </w:r>
      <w:r w:rsidRPr="00C032D9">
        <w:rPr>
          <w:rFonts w:ascii="ITC Avant Garde" w:eastAsia="Times New Roman" w:hAnsi="ITC Avant Garde"/>
          <w:lang w:eastAsia="es-ES"/>
        </w:rPr>
        <w:t xml:space="preserve">. </w:t>
      </w:r>
      <w:r w:rsidRPr="00C032D9">
        <w:rPr>
          <w:rFonts w:ascii="ITC Avant Garde" w:hAnsi="ITC Avant Garde"/>
        </w:rPr>
        <w:t>El 27 de abril de 2005, la Secretaría otorgó a Iusacell PCS de México, S.A. de C.V., (en lo sucesivo, “Iusacell PCS de México”) una concesión para instalar, operar y explotar una red pública de telecomunicaciones para prestar el servicio de acceso inalámbrico fijo o móvil, y siete (7) concesiones para usar, aprovechar y explotar bandas de frecuencias del espectro radioeléctrico para uso determinado para la prestación del servicio de acceso inalámbrico fijo o móvil en las regiones  2, 3, 5, 6, 7, 8 y 9.</w:t>
      </w:r>
    </w:p>
    <w:p w:rsidR="00FA0F97" w:rsidRPr="00C032D9" w:rsidRDefault="00FA0F97" w:rsidP="00206B14">
      <w:pPr>
        <w:tabs>
          <w:tab w:val="left" w:pos="9356"/>
        </w:tabs>
        <w:spacing w:before="180" w:after="180"/>
        <w:ind w:left="567"/>
        <w:jc w:val="both"/>
        <w:rPr>
          <w:rFonts w:ascii="ITC Avant Garde" w:hAnsi="ITC Avant Garde"/>
        </w:rPr>
      </w:pPr>
      <w:r w:rsidRPr="00C032D9">
        <w:rPr>
          <w:rFonts w:ascii="ITC Avant Garde" w:hAnsi="ITC Avant Garde"/>
        </w:rPr>
        <w:t>Mediante oficio número IFT/223/UCS/2137/2015 de fecha 15 de octubre de 2015, el titular de la Unidad de Concesiones y Servicios de este Instituto, tomó nota de la modificación de estatutos sociales de la empresa Iusacell PCS de México, consistente en el cambio de denominación social de Iusacell PCS de México, S.A. de C.V., para quedar como AT</w:t>
      </w:r>
      <w:r w:rsidRPr="00C032D9">
        <w:rPr>
          <w:rFonts w:ascii="ITC Avant Garde" w:hAnsi="ITC Avant Garde"/>
          <w:bCs/>
          <w:iCs/>
        </w:rPr>
        <w:t>&amp;T  Desarrollo en Comunicaciones de México, S. de R.L. de C.V.</w:t>
      </w:r>
      <w:r w:rsidRPr="00C032D9">
        <w:rPr>
          <w:rFonts w:ascii="ITC Avant Garde" w:hAnsi="ITC Avant Garde"/>
        </w:rPr>
        <w:t xml:space="preserve"> (en lo sucesivo, “</w:t>
      </w:r>
      <w:r w:rsidRPr="00C032D9">
        <w:rPr>
          <w:rFonts w:ascii="ITC Avant Garde" w:hAnsi="ITC Avant Garde"/>
          <w:bCs/>
          <w:iCs/>
        </w:rPr>
        <w:t>AT&amp;T Desarrollo en Comunicaciones de México</w:t>
      </w:r>
      <w:r w:rsidRPr="00C032D9">
        <w:rPr>
          <w:rFonts w:ascii="ITC Avant Garde" w:hAnsi="ITC Avant Garde"/>
        </w:rPr>
        <w:t>”).</w:t>
      </w:r>
    </w:p>
    <w:p w:rsidR="00FA0F97" w:rsidRPr="00C032D9" w:rsidRDefault="00FA0F97" w:rsidP="00206B14">
      <w:pPr>
        <w:numPr>
          <w:ilvl w:val="0"/>
          <w:numId w:val="13"/>
        </w:numPr>
        <w:tabs>
          <w:tab w:val="left" w:pos="9356"/>
        </w:tabs>
        <w:spacing w:before="180" w:after="180"/>
        <w:ind w:left="567" w:hanging="567"/>
        <w:jc w:val="both"/>
        <w:rPr>
          <w:rFonts w:ascii="ITC Avant Garde" w:eastAsia="Times New Roman" w:hAnsi="ITC Avant Garde"/>
          <w:lang w:eastAsia="es-ES"/>
        </w:rPr>
      </w:pPr>
      <w:r w:rsidRPr="00C032D9">
        <w:rPr>
          <w:rFonts w:ascii="ITC Avant Garde" w:eastAsia="Times New Roman" w:hAnsi="ITC Avant Garde"/>
          <w:b/>
          <w:lang w:eastAsia="es-ES"/>
        </w:rPr>
        <w:t>Concesión de AT&amp;T del Golfo, S. de R.L. de C.V.</w:t>
      </w:r>
      <w:r w:rsidRPr="00C032D9">
        <w:rPr>
          <w:rFonts w:ascii="ITC Avant Garde" w:eastAsia="Times New Roman" w:hAnsi="ITC Avant Garde"/>
          <w:lang w:eastAsia="es-ES"/>
        </w:rPr>
        <w:t xml:space="preserve"> El 21 de mayo de 2010, la Secretaría otorgó a Telecomunicaciones del Golfo, S.A. de C.V. (en lo sucesivo, “</w:t>
      </w:r>
      <w:proofErr w:type="spellStart"/>
      <w:r w:rsidRPr="00C032D9">
        <w:rPr>
          <w:rFonts w:ascii="ITC Avant Garde" w:eastAsia="Times New Roman" w:hAnsi="ITC Avant Garde"/>
          <w:lang w:eastAsia="es-ES"/>
        </w:rPr>
        <w:t>Telgolfo</w:t>
      </w:r>
      <w:proofErr w:type="spellEnd"/>
      <w:r w:rsidRPr="00C032D9">
        <w:rPr>
          <w:rFonts w:ascii="ITC Avant Garde" w:eastAsia="Times New Roman" w:hAnsi="ITC Avant Garde"/>
          <w:lang w:eastAsia="es-ES"/>
        </w:rPr>
        <w:t xml:space="preserve">”), una prórroga y modificación de concesión para instalar, operar y explotar una red pública de telecomunicaciones en la región 7, mediante la cual se autoriza la prestación de cualquier servicio de telecomunicaciones que técnicamente le permita su infraestructura, salvo radiodifusión. </w:t>
      </w:r>
    </w:p>
    <w:p w:rsidR="00FA0F97" w:rsidRPr="00C032D9" w:rsidRDefault="00FA0F97" w:rsidP="00206B14">
      <w:pPr>
        <w:tabs>
          <w:tab w:val="left" w:pos="9356"/>
        </w:tabs>
        <w:spacing w:before="180" w:after="180"/>
        <w:ind w:left="567"/>
        <w:jc w:val="both"/>
        <w:rPr>
          <w:rFonts w:ascii="ITC Avant Garde" w:eastAsia="Times New Roman" w:hAnsi="ITC Avant Garde"/>
          <w:lang w:eastAsia="es-ES"/>
        </w:rPr>
      </w:pPr>
      <w:r w:rsidRPr="00C032D9">
        <w:rPr>
          <w:rFonts w:ascii="ITC Avant Garde" w:eastAsia="Times New Roman" w:hAnsi="ITC Avant Garde"/>
          <w:lang w:eastAsia="es-ES"/>
        </w:rPr>
        <w:t xml:space="preserve">Mediante oficio número IFT/223/UCS/2142/2015 de fecha 15 de octubre de 2015, el titular de la Unidad de Concesiones y Servicios de este Instituto, tomó nota de la modificación de estatutos sociales de la empresa </w:t>
      </w:r>
      <w:proofErr w:type="spellStart"/>
      <w:r w:rsidRPr="00C032D9">
        <w:rPr>
          <w:rFonts w:ascii="ITC Avant Garde" w:eastAsia="Times New Roman" w:hAnsi="ITC Avant Garde"/>
          <w:lang w:eastAsia="es-ES"/>
        </w:rPr>
        <w:t>Telgolfo</w:t>
      </w:r>
      <w:proofErr w:type="spellEnd"/>
      <w:r w:rsidRPr="00C032D9">
        <w:rPr>
          <w:rFonts w:ascii="ITC Avant Garde" w:eastAsia="Times New Roman" w:hAnsi="ITC Avant Garde"/>
          <w:lang w:eastAsia="es-ES"/>
        </w:rPr>
        <w:t xml:space="preserve">, consistente en el cambio de denominación social de Telecomunicaciones del Golfo, S.A. de C.V., </w:t>
      </w:r>
      <w:r w:rsidRPr="00C032D9">
        <w:rPr>
          <w:rFonts w:ascii="ITC Avant Garde" w:eastAsia="Times New Roman" w:hAnsi="ITC Avant Garde"/>
          <w:lang w:eastAsia="es-ES"/>
        </w:rPr>
        <w:lastRenderedPageBreak/>
        <w:t>para quedar como AT&amp;T del Golfo, S. de R.L. de C.V. (en lo sucesivo, “AT&amp;T del Golfo”).</w:t>
      </w:r>
    </w:p>
    <w:p w:rsidR="00FA0F97" w:rsidRPr="00C032D9" w:rsidRDefault="00FA0F97" w:rsidP="00206B14">
      <w:pPr>
        <w:numPr>
          <w:ilvl w:val="0"/>
          <w:numId w:val="13"/>
        </w:numPr>
        <w:tabs>
          <w:tab w:val="left" w:pos="9356"/>
        </w:tabs>
        <w:spacing w:before="180" w:after="180"/>
        <w:ind w:left="567" w:hanging="567"/>
        <w:jc w:val="both"/>
        <w:rPr>
          <w:rFonts w:ascii="ITC Avant Garde" w:eastAsia="Times New Roman" w:hAnsi="ITC Avant Garde"/>
          <w:lang w:eastAsia="es-ES"/>
        </w:rPr>
      </w:pPr>
      <w:r w:rsidRPr="00C032D9">
        <w:rPr>
          <w:rFonts w:ascii="ITC Avant Garde" w:eastAsia="Times New Roman" w:hAnsi="ITC Avant Garde"/>
          <w:b/>
          <w:lang w:eastAsia="es-ES"/>
        </w:rPr>
        <w:t xml:space="preserve">Concesión de AT&amp;T </w:t>
      </w:r>
      <w:proofErr w:type="spellStart"/>
      <w:r w:rsidRPr="00C032D9">
        <w:rPr>
          <w:rFonts w:ascii="ITC Avant Garde" w:eastAsia="Times New Roman" w:hAnsi="ITC Avant Garde"/>
          <w:b/>
          <w:lang w:eastAsia="es-ES"/>
        </w:rPr>
        <w:t>Comcentro</w:t>
      </w:r>
      <w:proofErr w:type="spellEnd"/>
      <w:r w:rsidRPr="00C032D9">
        <w:rPr>
          <w:rFonts w:ascii="ITC Avant Garde" w:eastAsia="Times New Roman" w:hAnsi="ITC Avant Garde"/>
          <w:b/>
          <w:lang w:eastAsia="es-ES"/>
        </w:rPr>
        <w:t>, S. de R.L. de C.V.</w:t>
      </w:r>
      <w:r w:rsidRPr="00C032D9">
        <w:rPr>
          <w:rFonts w:ascii="ITC Avant Garde" w:eastAsia="Times New Roman" w:hAnsi="ITC Avant Garde"/>
          <w:lang w:eastAsia="es-ES"/>
        </w:rPr>
        <w:t xml:space="preserve"> </w:t>
      </w:r>
      <w:r w:rsidRPr="00C032D9">
        <w:rPr>
          <w:rFonts w:ascii="ITC Avant Garde" w:hAnsi="ITC Avant Garde"/>
        </w:rPr>
        <w:t>El 21 de mayo de 2010, la Secretaría otorgó a Sistemas Telefónicos Portátiles Celulares, S.A. de C.V., (en lo sucesivo, “</w:t>
      </w:r>
      <w:proofErr w:type="spellStart"/>
      <w:r w:rsidRPr="00C032D9">
        <w:rPr>
          <w:rFonts w:ascii="ITC Avant Garde" w:hAnsi="ITC Avant Garde"/>
        </w:rPr>
        <w:t>Sistepor</w:t>
      </w:r>
      <w:proofErr w:type="spellEnd"/>
      <w:r w:rsidRPr="00C032D9">
        <w:rPr>
          <w:rFonts w:ascii="ITC Avant Garde" w:hAnsi="ITC Avant Garde"/>
        </w:rPr>
        <w:t>”), una prórroga y modificación de concesión para instalar, operar y explotar una red pública de telecomunicaciones en la región 6, mediante la cual se autoriza la prestación de cualquier servicio de telecomunicaciones que técnicamente le permita su infraestructura, salvo radiodifusión.</w:t>
      </w:r>
    </w:p>
    <w:p w:rsidR="00FA0F97" w:rsidRPr="00C032D9" w:rsidRDefault="00FA0F97" w:rsidP="00206B14">
      <w:pPr>
        <w:tabs>
          <w:tab w:val="left" w:pos="9356"/>
        </w:tabs>
        <w:spacing w:before="180" w:after="180"/>
        <w:ind w:left="567"/>
        <w:jc w:val="both"/>
        <w:rPr>
          <w:rFonts w:ascii="ITC Avant Garde" w:eastAsia="Times New Roman" w:hAnsi="ITC Avant Garde"/>
          <w:lang w:eastAsia="es-ES"/>
        </w:rPr>
      </w:pPr>
      <w:r w:rsidRPr="00C032D9">
        <w:rPr>
          <w:rFonts w:ascii="ITC Avant Garde" w:eastAsia="Times New Roman" w:hAnsi="ITC Avant Garde"/>
          <w:lang w:eastAsia="es-ES"/>
        </w:rPr>
        <w:t xml:space="preserve">Mediante oficio número IFT/223/UCS/2134/2015 de fecha 15 de octubre de 2015, el titular de la Unidad de Concesiones y Servicios de este Instituto, tomó nota de la modificación de estatutos sociales de la empresa </w:t>
      </w:r>
      <w:proofErr w:type="spellStart"/>
      <w:r w:rsidRPr="00C032D9">
        <w:rPr>
          <w:rFonts w:ascii="ITC Avant Garde" w:eastAsia="Times New Roman" w:hAnsi="ITC Avant Garde"/>
          <w:lang w:eastAsia="es-ES"/>
        </w:rPr>
        <w:t>Sistepor</w:t>
      </w:r>
      <w:proofErr w:type="spellEnd"/>
      <w:r w:rsidRPr="00C032D9">
        <w:rPr>
          <w:rFonts w:ascii="ITC Avant Garde" w:eastAsia="Times New Roman" w:hAnsi="ITC Avant Garde"/>
          <w:lang w:eastAsia="es-ES"/>
        </w:rPr>
        <w:t xml:space="preserve">, consistente en el cambio de denominación social de Sistemas Telefónicos Portátiles Celulares, S.A. de C.V., para quedar como AT&amp;T </w:t>
      </w:r>
      <w:proofErr w:type="spellStart"/>
      <w:r w:rsidRPr="00C032D9">
        <w:rPr>
          <w:rFonts w:ascii="ITC Avant Garde" w:eastAsia="Times New Roman" w:hAnsi="ITC Avant Garde"/>
          <w:lang w:eastAsia="es-ES"/>
        </w:rPr>
        <w:t>Comcentro</w:t>
      </w:r>
      <w:proofErr w:type="spellEnd"/>
      <w:r w:rsidRPr="00C032D9">
        <w:rPr>
          <w:rFonts w:ascii="ITC Avant Garde" w:eastAsia="Times New Roman" w:hAnsi="ITC Avant Garde"/>
          <w:lang w:eastAsia="es-ES"/>
        </w:rPr>
        <w:t xml:space="preserve">, S. de R.L. de C.V. (en lo sucesivo, “AT&amp;T </w:t>
      </w:r>
      <w:proofErr w:type="spellStart"/>
      <w:r w:rsidRPr="00C032D9">
        <w:rPr>
          <w:rFonts w:ascii="ITC Avant Garde" w:eastAsia="Times New Roman" w:hAnsi="ITC Avant Garde"/>
          <w:lang w:eastAsia="es-ES"/>
        </w:rPr>
        <w:t>Comcentro</w:t>
      </w:r>
      <w:proofErr w:type="spellEnd"/>
      <w:r w:rsidRPr="00C032D9">
        <w:rPr>
          <w:rFonts w:ascii="ITC Avant Garde" w:eastAsia="Times New Roman" w:hAnsi="ITC Avant Garde"/>
          <w:lang w:eastAsia="es-ES"/>
        </w:rPr>
        <w:t>”).</w:t>
      </w:r>
    </w:p>
    <w:p w:rsidR="00FA0F97" w:rsidRPr="00C032D9" w:rsidRDefault="00FA0F97" w:rsidP="00206B14">
      <w:pPr>
        <w:numPr>
          <w:ilvl w:val="0"/>
          <w:numId w:val="13"/>
        </w:numPr>
        <w:tabs>
          <w:tab w:val="left" w:pos="9356"/>
        </w:tabs>
        <w:spacing w:before="180" w:after="180"/>
        <w:ind w:left="567" w:hanging="567"/>
        <w:jc w:val="both"/>
        <w:rPr>
          <w:rFonts w:ascii="ITC Avant Garde" w:eastAsia="Times New Roman" w:hAnsi="ITC Avant Garde"/>
          <w:lang w:eastAsia="es-ES"/>
        </w:rPr>
      </w:pPr>
      <w:r w:rsidRPr="00C032D9">
        <w:rPr>
          <w:rFonts w:ascii="ITC Avant Garde" w:eastAsia="Times New Roman" w:hAnsi="ITC Avant Garde"/>
          <w:b/>
          <w:lang w:eastAsia="es-ES"/>
        </w:rPr>
        <w:t>Concesión de AT&amp;T del Occidente, S. de R.L. de C.V.</w:t>
      </w:r>
      <w:r w:rsidRPr="00C032D9">
        <w:rPr>
          <w:rFonts w:ascii="ITC Avant Garde" w:eastAsia="Times New Roman" w:hAnsi="ITC Avant Garde"/>
          <w:lang w:eastAsia="es-ES"/>
        </w:rPr>
        <w:t xml:space="preserve"> El 21 de mayo de 2010, la Secretaría otorgó a Comunicaciones Celulares de Occidente, S.A. de C.V. (en lo sucesivo, “Comcel”), una prórroga y modificación de concesión para instalar, operar y explotar una red pública de telecomunicaciones en la región 5, mediante la cual se autoriza la prestación de cualquier servicio de telecomunicaciones que técnicamente le permita su infraestructura, salvo radiodifusión. </w:t>
      </w:r>
    </w:p>
    <w:p w:rsidR="00FA0F97" w:rsidRPr="00C032D9" w:rsidRDefault="00FA0F97" w:rsidP="00206B14">
      <w:pPr>
        <w:tabs>
          <w:tab w:val="left" w:pos="9356"/>
        </w:tabs>
        <w:spacing w:before="180" w:after="180"/>
        <w:ind w:left="567"/>
        <w:jc w:val="both"/>
        <w:rPr>
          <w:rFonts w:ascii="ITC Avant Garde" w:hAnsi="ITC Avant Garde"/>
        </w:rPr>
      </w:pPr>
      <w:r w:rsidRPr="00C032D9">
        <w:rPr>
          <w:rFonts w:ascii="ITC Avant Garde" w:eastAsia="Times New Roman" w:hAnsi="ITC Avant Garde"/>
          <w:lang w:eastAsia="es-ES"/>
        </w:rPr>
        <w:t>Mediante oficio número IFT/223/UCS/2139/2015 de fecha 15 de octubre de 2015, el titular de la Unidad de Concesiones y Servicios de este Instituto, tomó nota de la modificación de estatutos sociales de la empresa Comcel, consistente en el cambio de denominación social de Comunicaciones Celulares de Occidente, S.A. de C.V., para quedar como AT</w:t>
      </w:r>
      <w:r w:rsidRPr="00C032D9">
        <w:rPr>
          <w:rFonts w:ascii="ITC Avant Garde" w:hAnsi="ITC Avant Garde"/>
          <w:bCs/>
          <w:iCs/>
          <w:lang w:eastAsia="es-ES"/>
        </w:rPr>
        <w:t xml:space="preserve">&amp;T del Occidente, S. </w:t>
      </w:r>
      <w:r w:rsidRPr="00C032D9">
        <w:rPr>
          <w:rFonts w:ascii="ITC Avant Garde" w:hAnsi="ITC Avant Garde"/>
          <w:bCs/>
          <w:iCs/>
        </w:rPr>
        <w:t xml:space="preserve">de </w:t>
      </w:r>
      <w:r w:rsidRPr="00C032D9">
        <w:rPr>
          <w:rFonts w:ascii="ITC Avant Garde" w:hAnsi="ITC Avant Garde"/>
          <w:bCs/>
          <w:iCs/>
          <w:lang w:eastAsia="es-ES"/>
        </w:rPr>
        <w:t xml:space="preserve">R.L. </w:t>
      </w:r>
      <w:r w:rsidRPr="00C032D9">
        <w:rPr>
          <w:rFonts w:ascii="ITC Avant Garde" w:hAnsi="ITC Avant Garde"/>
          <w:bCs/>
          <w:iCs/>
        </w:rPr>
        <w:t xml:space="preserve">de </w:t>
      </w:r>
      <w:r w:rsidRPr="00C032D9">
        <w:rPr>
          <w:rFonts w:ascii="ITC Avant Garde" w:hAnsi="ITC Avant Garde"/>
          <w:bCs/>
          <w:iCs/>
          <w:lang w:eastAsia="es-ES"/>
        </w:rPr>
        <w:t>C.V.</w:t>
      </w:r>
      <w:r w:rsidRPr="00C032D9">
        <w:rPr>
          <w:rFonts w:ascii="ITC Avant Garde" w:hAnsi="ITC Avant Garde"/>
        </w:rPr>
        <w:t xml:space="preserve"> (en lo sucesivo, “</w:t>
      </w:r>
      <w:r w:rsidRPr="00C032D9">
        <w:rPr>
          <w:rFonts w:ascii="ITC Avant Garde" w:hAnsi="ITC Avant Garde"/>
          <w:bCs/>
          <w:iCs/>
          <w:lang w:eastAsia="es-ES"/>
        </w:rPr>
        <w:t>AT&amp;T del Occidente</w:t>
      </w:r>
      <w:r w:rsidRPr="00C032D9">
        <w:rPr>
          <w:rFonts w:ascii="ITC Avant Garde" w:hAnsi="ITC Avant Garde"/>
        </w:rPr>
        <w:t>”).</w:t>
      </w:r>
    </w:p>
    <w:p w:rsidR="00FA0F97" w:rsidRPr="00C032D9" w:rsidRDefault="00FA0F97" w:rsidP="00206B14">
      <w:pPr>
        <w:numPr>
          <w:ilvl w:val="0"/>
          <w:numId w:val="13"/>
        </w:numPr>
        <w:tabs>
          <w:tab w:val="left" w:pos="9356"/>
        </w:tabs>
        <w:spacing w:before="180" w:after="180"/>
        <w:ind w:left="567" w:hanging="567"/>
        <w:jc w:val="both"/>
        <w:rPr>
          <w:rFonts w:ascii="ITC Avant Garde" w:eastAsia="Times New Roman" w:hAnsi="ITC Avant Garde"/>
          <w:lang w:eastAsia="es-ES"/>
        </w:rPr>
      </w:pPr>
      <w:r w:rsidRPr="00C032D9">
        <w:rPr>
          <w:rFonts w:ascii="ITC Avant Garde" w:eastAsia="Times New Roman" w:hAnsi="ITC Avant Garde"/>
          <w:b/>
          <w:lang w:eastAsia="es-ES"/>
        </w:rPr>
        <w:t>Concesión de AT&amp;T Sureste, S. de R.L. de C.V.</w:t>
      </w:r>
      <w:r w:rsidRPr="00C032D9">
        <w:rPr>
          <w:rFonts w:ascii="ITC Avant Garde" w:eastAsia="Times New Roman" w:hAnsi="ITC Avant Garde"/>
          <w:lang w:eastAsia="es-ES"/>
        </w:rPr>
        <w:t xml:space="preserve"> El 21 de mayo de 2010, la Secretaría otorgó a Portatel del Sureste, S.A. de C.V. (en lo sucesivo, “Portatel”), una prórroga y modificación de concesión para instalar, operar y explotar una red pública de telecomunicaciones en la región 8, mediante la cual se autoriza la prestación de cualquier servicio de telecomunicaciones que técnicamente le permita su infraestructura, salvo radiodifusión.</w:t>
      </w:r>
    </w:p>
    <w:p w:rsidR="00FA0F97" w:rsidRPr="00C032D9" w:rsidRDefault="00FA0F97" w:rsidP="00206B14">
      <w:pPr>
        <w:pStyle w:val="Textoindependiente"/>
        <w:spacing w:before="180" w:after="180" w:line="276" w:lineRule="auto"/>
        <w:ind w:left="567" w:right="48"/>
        <w:rPr>
          <w:rFonts w:ascii="ITC Avant Garde" w:hAnsi="ITC Avant Garde"/>
        </w:rPr>
      </w:pPr>
      <w:r w:rsidRPr="00C032D9">
        <w:rPr>
          <w:rFonts w:ascii="ITC Avant Garde" w:hAnsi="ITC Avant Garde"/>
        </w:rPr>
        <w:t xml:space="preserve">Mediante oficio número IFT/223/UCS/2136/2015 de fecha 15 de octubre de 2015, el titular de la Unidad de Concesiones y Servicios de este Instituto, tomó nota de la </w:t>
      </w:r>
      <w:r w:rsidRPr="00C032D9">
        <w:rPr>
          <w:rFonts w:ascii="ITC Avant Garde" w:hAnsi="ITC Avant Garde" w:cs="Arial"/>
          <w:bCs/>
          <w:lang w:eastAsia="es-ES"/>
        </w:rPr>
        <w:t>modificación</w:t>
      </w:r>
      <w:r w:rsidRPr="00C032D9">
        <w:rPr>
          <w:rFonts w:ascii="ITC Avant Garde" w:hAnsi="ITC Avant Garde"/>
        </w:rPr>
        <w:t xml:space="preserve"> de estatutos sociales de la empresa Portatel, consistente en el </w:t>
      </w:r>
      <w:r w:rsidRPr="00C032D9">
        <w:rPr>
          <w:rFonts w:ascii="ITC Avant Garde" w:hAnsi="ITC Avant Garde"/>
        </w:rPr>
        <w:lastRenderedPageBreak/>
        <w:t xml:space="preserve">cambio de denominación social de Portatel del Sureste, S.A. de C.V., para quedar como </w:t>
      </w:r>
      <w:r w:rsidRPr="00C032D9">
        <w:rPr>
          <w:rFonts w:ascii="ITC Avant Garde" w:hAnsi="ITC Avant Garde"/>
          <w:bCs/>
          <w:iCs/>
          <w:lang w:eastAsia="es-ES"/>
        </w:rPr>
        <w:t xml:space="preserve">AT&amp;T Sureste, S. </w:t>
      </w:r>
      <w:r w:rsidRPr="00C032D9">
        <w:rPr>
          <w:rFonts w:ascii="ITC Avant Garde" w:hAnsi="ITC Avant Garde"/>
          <w:bCs/>
          <w:iCs/>
        </w:rPr>
        <w:t xml:space="preserve">de </w:t>
      </w:r>
      <w:r w:rsidRPr="00C032D9">
        <w:rPr>
          <w:rFonts w:ascii="ITC Avant Garde" w:hAnsi="ITC Avant Garde"/>
          <w:bCs/>
          <w:iCs/>
          <w:lang w:eastAsia="es-ES"/>
        </w:rPr>
        <w:t xml:space="preserve">R.L. </w:t>
      </w:r>
      <w:r w:rsidRPr="00C032D9">
        <w:rPr>
          <w:rFonts w:ascii="ITC Avant Garde" w:hAnsi="ITC Avant Garde"/>
          <w:bCs/>
          <w:iCs/>
        </w:rPr>
        <w:t xml:space="preserve">de </w:t>
      </w:r>
      <w:r w:rsidRPr="00C032D9">
        <w:rPr>
          <w:rFonts w:ascii="ITC Avant Garde" w:hAnsi="ITC Avant Garde"/>
          <w:bCs/>
          <w:iCs/>
          <w:lang w:eastAsia="es-ES"/>
        </w:rPr>
        <w:t>C.V.</w:t>
      </w:r>
      <w:r w:rsidRPr="00C032D9">
        <w:rPr>
          <w:rFonts w:ascii="ITC Avant Garde" w:hAnsi="ITC Avant Garde"/>
        </w:rPr>
        <w:t xml:space="preserve"> (en lo sucesivo, “</w:t>
      </w:r>
      <w:r w:rsidRPr="00C032D9">
        <w:rPr>
          <w:rFonts w:ascii="ITC Avant Garde" w:hAnsi="ITC Avant Garde"/>
          <w:bCs/>
          <w:iCs/>
          <w:lang w:eastAsia="es-ES"/>
        </w:rPr>
        <w:t>AT&amp;T Sureste</w:t>
      </w:r>
      <w:r w:rsidRPr="00C032D9">
        <w:rPr>
          <w:rFonts w:ascii="ITC Avant Garde" w:hAnsi="ITC Avant Garde"/>
        </w:rPr>
        <w:t>”).</w:t>
      </w:r>
    </w:p>
    <w:p w:rsidR="00FA0F97" w:rsidRPr="00C032D9" w:rsidRDefault="00FA0F97" w:rsidP="00206B14">
      <w:pPr>
        <w:numPr>
          <w:ilvl w:val="0"/>
          <w:numId w:val="13"/>
        </w:numPr>
        <w:tabs>
          <w:tab w:val="left" w:pos="9356"/>
        </w:tabs>
        <w:spacing w:before="180" w:after="180"/>
        <w:ind w:left="567" w:hanging="567"/>
        <w:jc w:val="both"/>
        <w:rPr>
          <w:rFonts w:ascii="ITC Avant Garde" w:eastAsia="Times New Roman" w:hAnsi="ITC Avant Garde"/>
          <w:lang w:eastAsia="es-ES"/>
        </w:rPr>
      </w:pPr>
      <w:r w:rsidRPr="00C032D9">
        <w:rPr>
          <w:rFonts w:ascii="ITC Avant Garde" w:eastAsia="Times New Roman" w:hAnsi="ITC Avant Garde"/>
          <w:b/>
          <w:lang w:eastAsia="es-ES"/>
        </w:rPr>
        <w:t>Concesión AT&amp;T Norte, S. de R.L. de C.V.</w:t>
      </w:r>
      <w:r w:rsidRPr="00C032D9">
        <w:rPr>
          <w:rFonts w:ascii="ITC Avant Garde" w:eastAsia="Times New Roman" w:hAnsi="ITC Avant Garde"/>
          <w:lang w:eastAsia="es-ES"/>
        </w:rPr>
        <w:t xml:space="preserve"> </w:t>
      </w:r>
      <w:r w:rsidRPr="00C032D9">
        <w:rPr>
          <w:rFonts w:ascii="ITC Avant Garde" w:hAnsi="ITC Avant Garde"/>
        </w:rPr>
        <w:t>El 1 de octubre de 2010, la Secretaría otorgó a Iusacell PCS, S.A. de C.V. (en lo sucesivo, “Iusacell PCS”) siete (7) concesiones para usar, aprovechar y explotar bandas de frecuencias del espectro radioeléctrico para usos determinados en las regiones 1, 2, 3, 4, 5, 6 y 7. Asimismo, el 11 de julio de 2011, la Secretaría otorgó a Iusacell PCS la concesión para instalar, operar y explotar una red pública de telecomunicaciones con cobertura en las reglones 2, 3. 5, 6 y 7.</w:t>
      </w:r>
    </w:p>
    <w:p w:rsidR="00FA0F97" w:rsidRPr="00C032D9" w:rsidRDefault="00FA0F97" w:rsidP="00206B14">
      <w:pPr>
        <w:tabs>
          <w:tab w:val="left" w:pos="9356"/>
        </w:tabs>
        <w:spacing w:before="180" w:after="180"/>
        <w:ind w:left="567"/>
        <w:jc w:val="both"/>
        <w:rPr>
          <w:rFonts w:ascii="ITC Avant Garde" w:eastAsia="Times New Roman" w:hAnsi="ITC Avant Garde"/>
          <w:lang w:eastAsia="es-ES"/>
        </w:rPr>
      </w:pPr>
      <w:r w:rsidRPr="00C032D9">
        <w:rPr>
          <w:rFonts w:ascii="ITC Avant Garde" w:eastAsia="Times New Roman" w:hAnsi="ITC Avant Garde"/>
          <w:lang w:eastAsia="es-ES"/>
        </w:rPr>
        <w:t>Mediante oficio número IFT/223/UCS/2135/2015 de fecha 15 de octubre de 2015, el titular de la Unidad de Concesiones y Servicios de este Instituto, tomó nota de la modificación de estatutos sociales de la empresa Iusacell PCS, consistente en el cambio de denominación social de Iusacell PCS, S.A. de C.V., para quedar como AT</w:t>
      </w:r>
      <w:r w:rsidRPr="00C032D9">
        <w:rPr>
          <w:rFonts w:ascii="ITC Avant Garde" w:hAnsi="ITC Avant Garde"/>
          <w:bCs/>
          <w:iCs/>
          <w:lang w:eastAsia="es-ES"/>
        </w:rPr>
        <w:t xml:space="preserve">&amp;T  Norte, S. </w:t>
      </w:r>
      <w:r w:rsidRPr="00C032D9">
        <w:rPr>
          <w:rFonts w:ascii="ITC Avant Garde" w:hAnsi="ITC Avant Garde"/>
          <w:bCs/>
          <w:iCs/>
        </w:rPr>
        <w:t xml:space="preserve">de </w:t>
      </w:r>
      <w:r w:rsidRPr="00C032D9">
        <w:rPr>
          <w:rFonts w:ascii="ITC Avant Garde" w:hAnsi="ITC Avant Garde"/>
          <w:bCs/>
          <w:iCs/>
          <w:lang w:eastAsia="es-ES"/>
        </w:rPr>
        <w:t xml:space="preserve">R.L. </w:t>
      </w:r>
      <w:r w:rsidRPr="00C032D9">
        <w:rPr>
          <w:rFonts w:ascii="ITC Avant Garde" w:hAnsi="ITC Avant Garde"/>
          <w:bCs/>
          <w:iCs/>
        </w:rPr>
        <w:t xml:space="preserve">de </w:t>
      </w:r>
      <w:r w:rsidRPr="00C032D9">
        <w:rPr>
          <w:rFonts w:ascii="ITC Avant Garde" w:hAnsi="ITC Avant Garde"/>
          <w:bCs/>
          <w:iCs/>
          <w:lang w:eastAsia="es-ES"/>
        </w:rPr>
        <w:t>C.V.</w:t>
      </w:r>
      <w:r w:rsidRPr="00C032D9">
        <w:rPr>
          <w:rFonts w:ascii="ITC Avant Garde" w:hAnsi="ITC Avant Garde"/>
        </w:rPr>
        <w:t xml:space="preserve"> (en lo sucesivo, “</w:t>
      </w:r>
      <w:r w:rsidRPr="00C032D9">
        <w:rPr>
          <w:rFonts w:ascii="ITC Avant Garde" w:hAnsi="ITC Avant Garde"/>
          <w:bCs/>
          <w:iCs/>
          <w:lang w:eastAsia="es-ES"/>
        </w:rPr>
        <w:t>AT&amp;T Norte</w:t>
      </w:r>
      <w:r w:rsidRPr="00C032D9">
        <w:rPr>
          <w:rFonts w:ascii="ITC Avant Garde" w:hAnsi="ITC Avant Garde"/>
        </w:rPr>
        <w:t>”).</w:t>
      </w:r>
    </w:p>
    <w:p w:rsidR="00FA0F97" w:rsidRPr="00C032D9" w:rsidRDefault="00FA0F97" w:rsidP="00206B14">
      <w:pPr>
        <w:numPr>
          <w:ilvl w:val="0"/>
          <w:numId w:val="13"/>
        </w:numPr>
        <w:tabs>
          <w:tab w:val="left" w:pos="9356"/>
        </w:tabs>
        <w:spacing w:before="180" w:after="180"/>
        <w:ind w:left="567" w:hanging="567"/>
        <w:jc w:val="both"/>
        <w:rPr>
          <w:rFonts w:ascii="ITC Avant Garde" w:eastAsia="Times New Roman" w:hAnsi="ITC Avant Garde"/>
          <w:lang w:eastAsia="es-ES"/>
        </w:rPr>
      </w:pPr>
      <w:r w:rsidRPr="00C032D9">
        <w:rPr>
          <w:rFonts w:ascii="ITC Avant Garde" w:eastAsia="Times New Roman" w:hAnsi="ITC Avant Garde"/>
          <w:b/>
          <w:lang w:eastAsia="es-ES"/>
        </w:rPr>
        <w:t>Concesión de AT&amp;T Central, S. de R.L. de C.V.</w:t>
      </w:r>
      <w:r w:rsidRPr="00C032D9">
        <w:rPr>
          <w:rFonts w:ascii="ITC Avant Garde" w:eastAsia="Times New Roman" w:hAnsi="ITC Avant Garde"/>
          <w:lang w:eastAsia="es-ES"/>
        </w:rPr>
        <w:t xml:space="preserve"> El 22 de noviembre de 2012, la Secretaría otorgó a SOS Telecomunicaciones, S.A. de C.V., (en lo sucesivo, “SOS”), una prórroga y modificación de concesión para instalar, operar y explotar una red pública de telecomunicaciones en la región 9, mediante la cual se autoriza la prestación de cualquier servicio de telecomunicaciones que técnicamente le permita su infraestructura, salvo radiodifusión.</w:t>
      </w:r>
    </w:p>
    <w:p w:rsidR="00FA0F97" w:rsidRPr="00C032D9" w:rsidRDefault="00FA0F97" w:rsidP="00206B14">
      <w:pPr>
        <w:tabs>
          <w:tab w:val="left" w:pos="9356"/>
        </w:tabs>
        <w:spacing w:before="180" w:after="180"/>
        <w:ind w:left="567"/>
        <w:jc w:val="both"/>
        <w:rPr>
          <w:rFonts w:ascii="ITC Avant Garde" w:hAnsi="ITC Avant Garde"/>
        </w:rPr>
      </w:pPr>
      <w:r w:rsidRPr="00C032D9">
        <w:rPr>
          <w:rFonts w:ascii="ITC Avant Garde" w:hAnsi="ITC Avant Garde"/>
        </w:rPr>
        <w:t xml:space="preserve">Mediante oficio número IFT/223/UCS/2143/2015 de fecha 15 de octubre de 2015, el titular de la Unidad de Concesiones y Servicios de este Instituto, tomó nota de la </w:t>
      </w:r>
      <w:r w:rsidRPr="00C032D9">
        <w:rPr>
          <w:rFonts w:ascii="ITC Avant Garde" w:hAnsi="ITC Avant Garde" w:cs="Arial"/>
          <w:bCs/>
          <w:lang w:eastAsia="es-ES"/>
        </w:rPr>
        <w:t>modificación</w:t>
      </w:r>
      <w:r w:rsidRPr="00C032D9">
        <w:rPr>
          <w:rFonts w:ascii="ITC Avant Garde" w:hAnsi="ITC Avant Garde"/>
        </w:rPr>
        <w:t xml:space="preserve"> de estatutos sociales de la empresa SOS, consistente en el cambio de denominación social de SOS Telecomunicaciones, S.A. de C.V. para quedar como AT&amp;T Central, S. de R.L. de C.V. (en lo sucesivo, “AT&amp;T Central”).</w:t>
      </w:r>
    </w:p>
    <w:p w:rsidR="00FA0F97" w:rsidRPr="00C032D9" w:rsidRDefault="00FA0F97" w:rsidP="00206B14">
      <w:pPr>
        <w:pStyle w:val="Prrafodelista"/>
        <w:widowControl w:val="0"/>
        <w:numPr>
          <w:ilvl w:val="0"/>
          <w:numId w:val="13"/>
        </w:numPr>
        <w:tabs>
          <w:tab w:val="left" w:pos="8789"/>
        </w:tabs>
        <w:spacing w:before="180" w:after="180" w:line="276" w:lineRule="auto"/>
        <w:ind w:left="567" w:hanging="567"/>
        <w:rPr>
          <w:rFonts w:ascii="ITC Avant Garde" w:hAnsi="ITC Avant Garde"/>
          <w:bCs/>
        </w:rPr>
      </w:pPr>
      <w:r w:rsidRPr="00C032D9">
        <w:rPr>
          <w:rFonts w:ascii="ITC Avant Garde" w:hAnsi="ITC Avant Garde"/>
          <w:b/>
          <w:bCs/>
        </w:rPr>
        <w:t>Decreto de Reforma Constitucional.</w:t>
      </w:r>
      <w:r w:rsidRPr="00C032D9">
        <w:rPr>
          <w:rFonts w:ascii="ITC Avant Garde" w:hAnsi="ITC Avant Garde"/>
          <w:bCs/>
        </w:rPr>
        <w:t xml:space="preserve"> El 11 de junio de 2013, se publicó en el Diario Oficial de la Federación (en lo sucesivo, el “DOF”), el “</w:t>
      </w:r>
      <w:r w:rsidRPr="00C032D9">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C032D9">
        <w:rPr>
          <w:rFonts w:ascii="ITC Avant Garde" w:hAnsi="ITC Avant Garde"/>
          <w:bCs/>
        </w:rPr>
        <w:t xml:space="preserve">” (en lo sucesivo, el “Decreto”), mediante el cual se creó al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lo sucesivo, la “Constitución”) y en los términos que fijen las leyes, teniendo a su cargo la regulación, promoción y supervisión del uso, aprovechamiento y explotación del </w:t>
      </w:r>
      <w:r w:rsidRPr="00C032D9">
        <w:rPr>
          <w:rFonts w:ascii="ITC Avant Garde" w:hAnsi="ITC Avant Garde"/>
          <w:bCs/>
        </w:rPr>
        <w:lastRenderedPageBreak/>
        <w:t>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FA0F97" w:rsidRPr="00C032D9" w:rsidRDefault="00FA0F97" w:rsidP="00206B14">
      <w:pPr>
        <w:pStyle w:val="Prrafodelista"/>
        <w:widowControl w:val="0"/>
        <w:tabs>
          <w:tab w:val="left" w:pos="8789"/>
        </w:tabs>
        <w:spacing w:before="180" w:after="180" w:line="276" w:lineRule="auto"/>
        <w:ind w:left="567"/>
        <w:rPr>
          <w:rFonts w:ascii="ITC Avant Garde" w:hAnsi="ITC Avant Garde"/>
          <w:bCs/>
        </w:rPr>
      </w:pPr>
      <w:r w:rsidRPr="00C032D9">
        <w:rPr>
          <w:rFonts w:ascii="ITC Avant Garde" w:hAnsi="ITC Avant Garde"/>
          <w:bCs/>
        </w:rPr>
        <w:t>Por otra parte, el órgano de gobierno del Instituto se integra por siete Comisionados, incluyendo al Comisionado Presidente, designados en forma escalonada a propuesta del Ejecutivo Federal con la ratificación del Senado de la República.</w:t>
      </w:r>
    </w:p>
    <w:p w:rsidR="00FA0F97" w:rsidRPr="00C032D9" w:rsidRDefault="00FA0F97" w:rsidP="00206B14">
      <w:pPr>
        <w:numPr>
          <w:ilvl w:val="0"/>
          <w:numId w:val="13"/>
        </w:numPr>
        <w:tabs>
          <w:tab w:val="left" w:pos="8789"/>
        </w:tabs>
        <w:spacing w:before="180" w:after="180"/>
        <w:ind w:left="567" w:hanging="567"/>
        <w:jc w:val="both"/>
        <w:rPr>
          <w:rFonts w:ascii="ITC Avant Garde" w:eastAsia="Times New Roman" w:hAnsi="ITC Avant Garde"/>
          <w:i/>
          <w:lang w:eastAsia="es-ES"/>
        </w:rPr>
      </w:pPr>
      <w:r w:rsidRPr="00C032D9">
        <w:rPr>
          <w:rFonts w:ascii="ITC Avant Garde" w:eastAsia="Times New Roman" w:hAnsi="ITC Avant Garde"/>
          <w:b/>
          <w:lang w:val="es-ES" w:eastAsia="es-ES"/>
        </w:rPr>
        <w:t xml:space="preserve">Publicación de la Ley Federal de Telecomunicaciones y Radiodifusión. </w:t>
      </w:r>
      <w:r w:rsidRPr="00C032D9">
        <w:rPr>
          <w:rFonts w:ascii="ITC Avant Garde" w:eastAsia="Times New Roman" w:hAnsi="ITC Avant Garde"/>
          <w:lang w:val="es-ES" w:eastAsia="es-ES"/>
        </w:rPr>
        <w:t>El 14 de julio de 2014, se publicó en el DOF el</w:t>
      </w:r>
      <w:r w:rsidRPr="00C032D9">
        <w:rPr>
          <w:rFonts w:ascii="ITC Avant Garde" w:eastAsia="Times New Roman" w:hAnsi="ITC Avant Garde"/>
          <w:i/>
          <w:lang w:val="es-ES" w:eastAsia="es-ES"/>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 </w:t>
      </w:r>
      <w:r w:rsidRPr="00C032D9">
        <w:rPr>
          <w:rFonts w:ascii="ITC Avant Garde" w:eastAsia="Times New Roman" w:hAnsi="ITC Avant Garde"/>
          <w:lang w:val="es-ES" w:eastAsia="es-ES"/>
        </w:rPr>
        <w:t>(en lo sucesivo, el “Decreto de Ley”),</w:t>
      </w:r>
      <w:r w:rsidRPr="00C032D9">
        <w:rPr>
          <w:rFonts w:ascii="ITC Avant Garde" w:eastAsia="Times New Roman" w:hAnsi="ITC Avant Garde"/>
          <w:i/>
          <w:lang w:val="es-ES" w:eastAsia="es-ES"/>
        </w:rPr>
        <w:t xml:space="preserve"> </w:t>
      </w:r>
      <w:r w:rsidRPr="00C032D9">
        <w:rPr>
          <w:rFonts w:ascii="ITC Avant Garde" w:eastAsia="Times New Roman" w:hAnsi="ITC Avant Garde"/>
          <w:lang w:val="es-ES" w:eastAsia="es-ES"/>
        </w:rPr>
        <w:t>entrando en vigor la Ley Federal de Telecomunicaciones y Radiodifusión (en lo sucesivo, la “LFTyR”)</w:t>
      </w:r>
      <w:r w:rsidRPr="00C032D9">
        <w:rPr>
          <w:rFonts w:ascii="ITC Avant Garde" w:eastAsia="Times New Roman" w:hAnsi="ITC Avant Garde"/>
          <w:i/>
          <w:lang w:val="es-ES" w:eastAsia="es-ES"/>
        </w:rPr>
        <w:t xml:space="preserve"> </w:t>
      </w:r>
      <w:r w:rsidRPr="00C032D9">
        <w:rPr>
          <w:rFonts w:ascii="ITC Avant Garde" w:eastAsia="Times New Roman" w:hAnsi="ITC Avant Garde"/>
          <w:lang w:val="es-ES" w:eastAsia="es-ES"/>
        </w:rPr>
        <w:t>el 13 de agosto del 2014, de conformidad a lo establecido en el artículo Primero Transitorio del citado Decreto de Ley.</w:t>
      </w:r>
    </w:p>
    <w:p w:rsidR="00FA0F97" w:rsidRPr="00C032D9" w:rsidRDefault="00FA0F97" w:rsidP="00206B14">
      <w:pPr>
        <w:numPr>
          <w:ilvl w:val="0"/>
          <w:numId w:val="13"/>
        </w:numPr>
        <w:tabs>
          <w:tab w:val="left" w:pos="8789"/>
        </w:tabs>
        <w:spacing w:before="180" w:after="180"/>
        <w:ind w:left="567" w:hanging="567"/>
        <w:jc w:val="both"/>
        <w:rPr>
          <w:rFonts w:ascii="ITC Avant Garde" w:eastAsia="Times New Roman" w:hAnsi="ITC Avant Garde"/>
          <w:i/>
          <w:lang w:val="es-ES" w:eastAsia="es-ES"/>
        </w:rPr>
      </w:pPr>
      <w:bookmarkStart w:id="1" w:name="antecedente6"/>
      <w:r w:rsidRPr="00C032D9">
        <w:rPr>
          <w:rFonts w:ascii="ITC Avant Garde" w:eastAsia="Times New Roman" w:hAnsi="ITC Avant Garde"/>
          <w:b/>
          <w:lang w:val="es-ES" w:eastAsia="es-ES"/>
        </w:rPr>
        <w:t>Publicación del Estatuto Orgánico del Instituto Federal de Telecomunicaciones.</w:t>
      </w:r>
      <w:r w:rsidRPr="00C032D9">
        <w:rPr>
          <w:rFonts w:ascii="ITC Avant Garde" w:eastAsia="Times New Roman" w:hAnsi="ITC Avant Garde"/>
          <w:lang w:val="es-ES" w:eastAsia="es-ES"/>
        </w:rPr>
        <w:t xml:space="preserve"> El 4 de septiembre de 2014 se publicó en el DOF el </w:t>
      </w:r>
      <w:r w:rsidRPr="00C032D9">
        <w:rPr>
          <w:rFonts w:ascii="ITC Avant Garde" w:eastAsia="Times New Roman" w:hAnsi="ITC Avant Garde"/>
          <w:i/>
          <w:lang w:val="es-ES" w:eastAsia="es-ES"/>
        </w:rPr>
        <w:t xml:space="preserve">“ESTATUTO Orgánico del Instituto Federal de Telecomunicaciones” </w:t>
      </w:r>
      <w:r w:rsidRPr="00C032D9">
        <w:rPr>
          <w:rFonts w:ascii="ITC Avant Garde" w:eastAsia="Times New Roman" w:hAnsi="ITC Avant Garde"/>
          <w:lang w:val="es-ES" w:eastAsia="es-ES"/>
        </w:rPr>
        <w:t>(en lo sucesivo, el “Estatuto”), mismo que entró en vigor el 26 de septiembre de 2014 y fue modificado el 17 de octubre de 2014.</w:t>
      </w:r>
    </w:p>
    <w:bookmarkEnd w:id="1"/>
    <w:p w:rsidR="00FA0F97" w:rsidRPr="00C032D9" w:rsidRDefault="00FA0F97" w:rsidP="00206B14">
      <w:pPr>
        <w:numPr>
          <w:ilvl w:val="0"/>
          <w:numId w:val="13"/>
        </w:numPr>
        <w:tabs>
          <w:tab w:val="left" w:pos="8789"/>
        </w:tabs>
        <w:spacing w:before="180" w:after="180"/>
        <w:ind w:left="567" w:hanging="567"/>
        <w:jc w:val="both"/>
        <w:rPr>
          <w:rFonts w:ascii="ITC Avant Garde" w:hAnsi="ITC Avant Garde" w:cs="Arial"/>
          <w:bCs/>
          <w:i/>
        </w:rPr>
      </w:pPr>
      <w:r w:rsidRPr="00C032D9">
        <w:rPr>
          <w:rFonts w:ascii="ITC Avant Garde" w:hAnsi="ITC Avant Garde" w:cs="Arial"/>
          <w:b/>
          <w:bCs/>
        </w:rPr>
        <w:t xml:space="preserve">Metodología para el cálculo de costos de interconexión. </w:t>
      </w:r>
      <w:r w:rsidRPr="00C032D9">
        <w:rPr>
          <w:rFonts w:ascii="ITC Avant Garde" w:hAnsi="ITC Avant Garde" w:cs="Arial"/>
          <w:bCs/>
        </w:rPr>
        <w:t>El 18 de diciembre de 2014, el Instituto publicó en el DOF, el “</w:t>
      </w:r>
      <w:r w:rsidRPr="00C032D9">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C032D9">
        <w:rPr>
          <w:rFonts w:ascii="ITC Avant Garde" w:hAnsi="ITC Avant Garde" w:cs="Arial"/>
          <w:bCs/>
        </w:rPr>
        <w:t>aprobado mediante Acuerdo P/IFT/EXT/161214/277 (en lo</w:t>
      </w:r>
      <w:r w:rsidRPr="00C032D9">
        <w:rPr>
          <w:rFonts w:ascii="ITC Avant Garde" w:hAnsi="ITC Avant Garde" w:cs="Arial"/>
          <w:bCs/>
          <w:i/>
        </w:rPr>
        <w:t xml:space="preserve"> </w:t>
      </w:r>
      <w:r w:rsidRPr="00C032D9">
        <w:rPr>
          <w:rFonts w:ascii="ITC Avant Garde" w:hAnsi="ITC Avant Garde" w:cs="Arial"/>
          <w:bCs/>
        </w:rPr>
        <w:t>sucesivo la “Metodología de Costos”).</w:t>
      </w:r>
    </w:p>
    <w:p w:rsidR="00FA0F97" w:rsidRPr="00C032D9" w:rsidRDefault="00FA0F97" w:rsidP="00206B14">
      <w:pPr>
        <w:numPr>
          <w:ilvl w:val="0"/>
          <w:numId w:val="13"/>
        </w:numPr>
        <w:tabs>
          <w:tab w:val="left" w:pos="8789"/>
        </w:tabs>
        <w:spacing w:before="180" w:after="180"/>
        <w:ind w:left="567" w:hanging="567"/>
        <w:jc w:val="both"/>
        <w:rPr>
          <w:rFonts w:ascii="ITC Avant Garde" w:hAnsi="ITC Avant Garde" w:cs="Arial"/>
          <w:b/>
        </w:rPr>
      </w:pPr>
      <w:r w:rsidRPr="00C032D9">
        <w:rPr>
          <w:rFonts w:ascii="ITC Avant Garde" w:hAnsi="ITC Avant Garde"/>
          <w:b/>
          <w:bCs/>
          <w:lang w:val="es-ES" w:eastAsia="es-ES"/>
        </w:rPr>
        <w:t>Sistema Electrónico de Solicitudes de Interconexión.</w:t>
      </w:r>
      <w:r w:rsidRPr="00C032D9">
        <w:rPr>
          <w:rFonts w:ascii="ITC Avant Garde" w:hAnsi="ITC Avant Garde"/>
          <w:bCs/>
          <w:lang w:val="es-ES" w:eastAsia="es-ES"/>
        </w:rPr>
        <w:t xml:space="preserve"> El 29 de diciembre de 2014 se publicó en el DOF el </w:t>
      </w:r>
      <w:r w:rsidRPr="00C032D9">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C032D9">
        <w:rPr>
          <w:rFonts w:ascii="ITC Avant Garde" w:hAnsi="ITC Avant Garde"/>
          <w:bCs/>
          <w:lang w:val="es-ES" w:eastAsia="es-ES"/>
        </w:rPr>
        <w:t>(en lo sucesivo, el “Acuerdo del Sistema”), mediante el cual se estableció el Sistema Electrónico de Solicitudes de Interconexión, (en lo sucesivo, el “</w:t>
      </w:r>
      <w:proofErr w:type="spellStart"/>
      <w:r w:rsidRPr="00C032D9">
        <w:rPr>
          <w:rFonts w:ascii="ITC Avant Garde" w:hAnsi="ITC Avant Garde"/>
          <w:bCs/>
          <w:lang w:val="es-ES" w:eastAsia="es-ES"/>
        </w:rPr>
        <w:t>SESI</w:t>
      </w:r>
      <w:proofErr w:type="spellEnd"/>
      <w:r w:rsidRPr="00C032D9">
        <w:rPr>
          <w:rFonts w:ascii="ITC Avant Garde" w:hAnsi="ITC Avant Garde"/>
          <w:bCs/>
          <w:lang w:val="es-ES" w:eastAsia="es-ES"/>
        </w:rPr>
        <w:t>”).</w:t>
      </w:r>
    </w:p>
    <w:p w:rsidR="00FA0F97" w:rsidRPr="00C032D9" w:rsidRDefault="00FA0F97" w:rsidP="00206B14">
      <w:pPr>
        <w:numPr>
          <w:ilvl w:val="0"/>
          <w:numId w:val="13"/>
        </w:numPr>
        <w:tabs>
          <w:tab w:val="left" w:pos="8789"/>
        </w:tabs>
        <w:spacing w:before="180" w:after="180"/>
        <w:ind w:left="567" w:hanging="567"/>
        <w:jc w:val="both"/>
        <w:rPr>
          <w:rFonts w:ascii="ITC Avant Garde" w:eastAsia="Times New Roman" w:hAnsi="ITC Avant Garde"/>
          <w:bCs/>
          <w:lang w:val="es-ES" w:eastAsia="es-ES"/>
        </w:rPr>
      </w:pPr>
      <w:bookmarkStart w:id="2" w:name="antecedente10"/>
      <w:r w:rsidRPr="00C032D9">
        <w:rPr>
          <w:rFonts w:ascii="ITC Avant Garde" w:eastAsia="Times New Roman" w:hAnsi="ITC Avant Garde"/>
          <w:b/>
          <w:bCs/>
          <w:lang w:val="es-ES" w:eastAsia="es-ES"/>
        </w:rPr>
        <w:t xml:space="preserve">Solicitud de resolución de condiciones de interconexión no convenidas. </w:t>
      </w:r>
      <w:r w:rsidRPr="00C032D9">
        <w:rPr>
          <w:rFonts w:ascii="ITC Avant Garde" w:eastAsia="Times New Roman" w:hAnsi="ITC Avant Garde"/>
          <w:lang w:val="es-ES" w:eastAsia="es-ES"/>
        </w:rPr>
        <w:t xml:space="preserve">El 25 de septiembre de 2015, el apoderado legal de Axtel y </w:t>
      </w:r>
      <w:proofErr w:type="spellStart"/>
      <w:r w:rsidRPr="00C032D9">
        <w:rPr>
          <w:rFonts w:ascii="ITC Avant Garde" w:eastAsia="Times New Roman" w:hAnsi="ITC Avant Garde"/>
          <w:lang w:val="es-ES" w:eastAsia="es-ES"/>
        </w:rPr>
        <w:t>Avantel</w:t>
      </w:r>
      <w:proofErr w:type="spellEnd"/>
      <w:r w:rsidRPr="00C032D9">
        <w:rPr>
          <w:rFonts w:ascii="ITC Avant Garde" w:eastAsia="Times New Roman" w:hAnsi="ITC Avant Garde"/>
          <w:lang w:val="es-ES" w:eastAsia="es-ES"/>
        </w:rPr>
        <w:t xml:space="preserve"> presentó ante el Instituto, escrito mediante el cual solicitó su intervención para resolver los términos, tarifas y condiciones que no pudo convenir con Unefon, Iusacell PCS de México, </w:t>
      </w:r>
      <w:proofErr w:type="spellStart"/>
      <w:r w:rsidRPr="00C032D9">
        <w:rPr>
          <w:rFonts w:ascii="ITC Avant Garde" w:eastAsia="Times New Roman" w:hAnsi="ITC Avant Garde"/>
          <w:lang w:val="es-ES" w:eastAsia="es-ES"/>
        </w:rPr>
        <w:t>Telgolfo</w:t>
      </w:r>
      <w:proofErr w:type="spellEnd"/>
      <w:r w:rsidRPr="00C032D9">
        <w:rPr>
          <w:rFonts w:ascii="ITC Avant Garde" w:eastAsia="Times New Roman" w:hAnsi="ITC Avant Garde"/>
          <w:lang w:val="es-ES" w:eastAsia="es-ES"/>
        </w:rPr>
        <w:t xml:space="preserve">, </w:t>
      </w:r>
      <w:proofErr w:type="spellStart"/>
      <w:r w:rsidRPr="00C032D9">
        <w:rPr>
          <w:rFonts w:ascii="ITC Avant Garde" w:eastAsia="Times New Roman" w:hAnsi="ITC Avant Garde"/>
          <w:lang w:val="es-ES" w:eastAsia="es-ES"/>
        </w:rPr>
        <w:t>Sistepor</w:t>
      </w:r>
      <w:proofErr w:type="spellEnd"/>
      <w:r w:rsidRPr="00C032D9">
        <w:rPr>
          <w:rFonts w:ascii="ITC Avant Garde" w:eastAsia="Times New Roman" w:hAnsi="ITC Avant Garde"/>
          <w:lang w:val="es-ES" w:eastAsia="es-ES"/>
        </w:rPr>
        <w:t xml:space="preserve">, Comcel, Portatel, Iusacell PCS y SOS (en lo sucesivo </w:t>
      </w:r>
      <w:r w:rsidRPr="00C032D9">
        <w:rPr>
          <w:rFonts w:ascii="ITC Avant Garde" w:eastAsia="Times New Roman" w:hAnsi="ITC Avant Garde"/>
          <w:lang w:val="es-ES" w:eastAsia="es-ES"/>
        </w:rPr>
        <w:lastRenderedPageBreak/>
        <w:t>conjuntamente, “Grupo AT&amp;T”)</w:t>
      </w:r>
      <w:r w:rsidRPr="00C032D9">
        <w:rPr>
          <w:rFonts w:ascii="ITC Avant Garde" w:eastAsia="Times New Roman" w:hAnsi="ITC Avant Garde" w:cs="Arial"/>
          <w:b/>
          <w:bCs/>
          <w:lang w:eastAsia="es-ES"/>
        </w:rPr>
        <w:t xml:space="preserve">, </w:t>
      </w:r>
      <w:r w:rsidRPr="00C032D9">
        <w:rPr>
          <w:rFonts w:ascii="ITC Avant Garde" w:eastAsia="Times New Roman" w:hAnsi="ITC Avant Garde"/>
          <w:lang w:val="es-ES" w:eastAsia="es-ES"/>
        </w:rPr>
        <w:t>para la interconexión de sus respectivas redes públicas de telecomunicaciones que aplicarán para el ejercicio del 1 de enero al 31 de diciembre del 2016 (en lo sucesivo, la “Solicitud de Resolución”).</w:t>
      </w:r>
    </w:p>
    <w:bookmarkEnd w:id="2"/>
    <w:p w:rsidR="00FA0F97" w:rsidRPr="00C032D9" w:rsidRDefault="00FA0F97" w:rsidP="00206B14">
      <w:pPr>
        <w:spacing w:before="180" w:after="180"/>
        <w:ind w:left="567"/>
        <w:rPr>
          <w:lang w:val="es-ES" w:eastAsia="es-ES"/>
        </w:rPr>
      </w:pPr>
      <w:r w:rsidRPr="008E6A33">
        <w:rPr>
          <w:rFonts w:ascii="ITC Avant Garde" w:eastAsia="Times New Roman" w:hAnsi="ITC Avant Garde"/>
          <w:lang w:val="es-ES" w:eastAsia="es-ES"/>
        </w:rPr>
        <w:t xml:space="preserve">Para efectos de lo anterior, el apoderado legal de Axtel y </w:t>
      </w:r>
      <w:proofErr w:type="spellStart"/>
      <w:r w:rsidRPr="008E6A33">
        <w:rPr>
          <w:rFonts w:ascii="ITC Avant Garde" w:eastAsia="Times New Roman" w:hAnsi="ITC Avant Garde"/>
          <w:lang w:val="es-ES" w:eastAsia="es-ES"/>
        </w:rPr>
        <w:t>Avantel</w:t>
      </w:r>
      <w:proofErr w:type="spellEnd"/>
      <w:r w:rsidRPr="008E6A33">
        <w:rPr>
          <w:rFonts w:ascii="ITC Avant Garde" w:eastAsia="Times New Roman" w:hAnsi="ITC Avant Garde"/>
          <w:lang w:val="es-ES" w:eastAsia="es-ES"/>
        </w:rPr>
        <w:t xml:space="preserve"> manifestó que mediante solicitudes en el </w:t>
      </w:r>
      <w:proofErr w:type="spellStart"/>
      <w:r w:rsidRPr="008E6A33">
        <w:rPr>
          <w:rFonts w:ascii="ITC Avant Garde" w:eastAsia="Times New Roman" w:hAnsi="ITC Avant Garde"/>
          <w:lang w:val="es-ES" w:eastAsia="es-ES"/>
        </w:rPr>
        <w:t>SESI</w:t>
      </w:r>
      <w:proofErr w:type="spellEnd"/>
      <w:r w:rsidRPr="008E6A33">
        <w:rPr>
          <w:rFonts w:ascii="ITC Avant Garde" w:eastAsia="Times New Roman" w:hAnsi="ITC Avant Garde"/>
          <w:lang w:val="es-ES" w:eastAsia="es-ES"/>
        </w:rPr>
        <w:t xml:space="preserve"> de fecha 15 de mayo de 2015, solicitó formalmente a Grupo AT&amp;T el inicio de negociaciones de interconexión para el establecimiento de las condiciones, términos y tarifas aplicables del 1 de enero al 31 de diciembre de 2016.</w:t>
      </w:r>
    </w:p>
    <w:p w:rsidR="00FA0F97" w:rsidRPr="00C032D9" w:rsidRDefault="00FA0F97" w:rsidP="00206B14">
      <w:pPr>
        <w:tabs>
          <w:tab w:val="left" w:pos="8789"/>
        </w:tabs>
        <w:spacing w:before="180" w:after="180"/>
        <w:ind w:left="567"/>
        <w:jc w:val="both"/>
        <w:rPr>
          <w:rFonts w:ascii="ITC Avant Garde" w:eastAsia="Times New Roman" w:hAnsi="ITC Avant Garde"/>
          <w:lang w:val="es-ES" w:eastAsia="es-ES"/>
        </w:rPr>
      </w:pPr>
      <w:r w:rsidRPr="00C032D9">
        <w:rPr>
          <w:rFonts w:ascii="ITC Avant Garde" w:eastAsia="Times New Roman" w:hAnsi="ITC Avant Garde"/>
          <w:lang w:val="es-ES" w:eastAsia="es-ES"/>
        </w:rPr>
        <w:t xml:space="preserve">Cabe mencionar que mediante solicitud IFT/UPR/1412 e IFT/UPR/1415, del </w:t>
      </w:r>
      <w:proofErr w:type="spellStart"/>
      <w:r w:rsidRPr="00C032D9">
        <w:rPr>
          <w:rFonts w:ascii="ITC Avant Garde" w:eastAsia="Times New Roman" w:hAnsi="ITC Avant Garde"/>
          <w:lang w:val="es-ES" w:eastAsia="es-ES"/>
        </w:rPr>
        <w:t>SESI</w:t>
      </w:r>
      <w:proofErr w:type="spellEnd"/>
      <w:r w:rsidRPr="00C032D9">
        <w:rPr>
          <w:rFonts w:ascii="ITC Avant Garde" w:eastAsia="Times New Roman" w:hAnsi="ITC Avant Garde"/>
          <w:lang w:val="es-ES" w:eastAsia="es-ES"/>
        </w:rPr>
        <w:t xml:space="preserve">, las negociaciones materia de la Solicitud de Resolución entre Axtel, </w:t>
      </w:r>
      <w:proofErr w:type="spellStart"/>
      <w:r w:rsidRPr="00C032D9">
        <w:rPr>
          <w:rFonts w:ascii="ITC Avant Garde" w:eastAsia="Times New Roman" w:hAnsi="ITC Avant Garde"/>
          <w:lang w:val="es-ES" w:eastAsia="es-ES"/>
        </w:rPr>
        <w:t>Avantel</w:t>
      </w:r>
      <w:proofErr w:type="spellEnd"/>
      <w:r w:rsidRPr="00C032D9">
        <w:rPr>
          <w:rFonts w:ascii="ITC Avant Garde" w:eastAsia="Times New Roman" w:hAnsi="ITC Avant Garde"/>
          <w:lang w:val="es-ES" w:eastAsia="es-ES"/>
        </w:rPr>
        <w:t xml:space="preserve"> y Grupo AT&amp;T iniciaron su trámite dentro de dicho sistema, teniéndose así por satisfechos los requisitos de </w:t>
      </w:r>
      <w:proofErr w:type="spellStart"/>
      <w:r w:rsidRPr="00C032D9">
        <w:rPr>
          <w:rFonts w:ascii="ITC Avant Garde" w:eastAsia="Times New Roman" w:hAnsi="ITC Avant Garde"/>
          <w:lang w:val="es-ES" w:eastAsia="es-ES"/>
        </w:rPr>
        <w:t>procedibilidad</w:t>
      </w:r>
      <w:proofErr w:type="spellEnd"/>
      <w:r w:rsidRPr="00C032D9">
        <w:rPr>
          <w:rFonts w:ascii="ITC Avant Garde" w:eastAsia="Times New Roman" w:hAnsi="ITC Avant Garde"/>
          <w:lang w:val="es-ES" w:eastAsia="es-ES"/>
        </w:rPr>
        <w:t xml:space="preserve"> que marca el artículo 129 de la LFTyR.</w:t>
      </w:r>
    </w:p>
    <w:p w:rsidR="00FA0F97" w:rsidRPr="00C032D9" w:rsidRDefault="00FA0F97" w:rsidP="00206B14">
      <w:pPr>
        <w:numPr>
          <w:ilvl w:val="0"/>
          <w:numId w:val="13"/>
        </w:numPr>
        <w:tabs>
          <w:tab w:val="left" w:pos="567"/>
          <w:tab w:val="left" w:pos="8789"/>
        </w:tabs>
        <w:spacing w:before="180" w:after="180"/>
        <w:ind w:left="567" w:hanging="567"/>
        <w:jc w:val="both"/>
        <w:rPr>
          <w:rFonts w:ascii="ITC Avant Garde" w:eastAsia="Times New Roman" w:hAnsi="ITC Avant Garde"/>
          <w:lang w:val="es-ES" w:eastAsia="es-ES"/>
        </w:rPr>
      </w:pPr>
      <w:r w:rsidRPr="00C032D9">
        <w:rPr>
          <w:rFonts w:ascii="ITC Avant Garde" w:hAnsi="ITC Avant Garde" w:cs="Arial"/>
          <w:b/>
          <w:bCs/>
        </w:rPr>
        <w:t xml:space="preserve">Acuerdo de Admisión y </w:t>
      </w:r>
      <w:r w:rsidRPr="00C032D9">
        <w:rPr>
          <w:rFonts w:ascii="ITC Avant Garde" w:eastAsia="Times New Roman" w:hAnsi="ITC Avant Garde"/>
          <w:b/>
          <w:lang w:val="es-ES" w:eastAsia="es-ES"/>
        </w:rPr>
        <w:t>Oficio de Vista.</w:t>
      </w:r>
      <w:r w:rsidRPr="00C032D9">
        <w:rPr>
          <w:rFonts w:ascii="ITC Avant Garde" w:eastAsia="Times New Roman" w:hAnsi="ITC Avant Garde"/>
          <w:lang w:val="es-ES" w:eastAsia="es-ES"/>
        </w:rPr>
        <w:t xml:space="preserve"> </w:t>
      </w:r>
      <w:r w:rsidRPr="00C032D9">
        <w:rPr>
          <w:rFonts w:ascii="ITC Avant Garde" w:hAnsi="ITC Avant Garde" w:cs="Arial"/>
          <w:bCs/>
        </w:rPr>
        <w:t xml:space="preserve">Mediante Acuerdo número 30/09/001/2015, de fecha 30 de septiembre de 2015, notificado a las partes el 9 de octubre de 2015, se tuvo por reconocida la personalidad con que se ostentó el apoderado legal de Axtel y </w:t>
      </w:r>
      <w:proofErr w:type="spellStart"/>
      <w:r w:rsidRPr="00C032D9">
        <w:rPr>
          <w:rFonts w:ascii="ITC Avant Garde" w:hAnsi="ITC Avant Garde" w:cs="Arial"/>
          <w:bCs/>
        </w:rPr>
        <w:t>Avantel</w:t>
      </w:r>
      <w:proofErr w:type="spellEnd"/>
      <w:r w:rsidRPr="00C032D9">
        <w:rPr>
          <w:rFonts w:ascii="ITC Avant Garde" w:hAnsi="ITC Avant Garde" w:cs="Arial"/>
          <w:bCs/>
        </w:rPr>
        <w:t xml:space="preserve">, admitiéndose a trámite su Solicitud de Resolución para el periodo del 1 de enero al 31 de diciembre de 2016. </w:t>
      </w:r>
    </w:p>
    <w:p w:rsidR="00FA0F97" w:rsidRPr="00C032D9" w:rsidRDefault="00FA0F97" w:rsidP="00206B14">
      <w:pPr>
        <w:tabs>
          <w:tab w:val="left" w:pos="567"/>
          <w:tab w:val="left" w:pos="8789"/>
        </w:tabs>
        <w:spacing w:before="180" w:after="180"/>
        <w:ind w:left="567"/>
        <w:jc w:val="both"/>
        <w:rPr>
          <w:rFonts w:ascii="ITC Avant Garde" w:eastAsia="Times New Roman" w:hAnsi="ITC Avant Garde"/>
          <w:bCs/>
          <w:lang w:val="es-ES" w:eastAsia="es-ES"/>
        </w:rPr>
      </w:pPr>
      <w:r w:rsidRPr="00C032D9">
        <w:rPr>
          <w:rFonts w:ascii="ITC Avant Garde" w:hAnsi="ITC Avant Garde" w:cs="Arial"/>
          <w:bCs/>
        </w:rPr>
        <w:t xml:space="preserve">Asimismo, en términos de la fracción III del artículo 129 de la LFTyR, se dio vista a Grupo AT&amp;T de la Solicitud de Resolución y </w:t>
      </w:r>
      <w:r w:rsidRPr="00C032D9">
        <w:rPr>
          <w:rFonts w:ascii="ITC Avant Garde" w:eastAsia="Times New Roman" w:hAnsi="ITC Avant Garde"/>
          <w:lang w:val="es-ES" w:eastAsia="es-ES"/>
        </w:rPr>
        <w:t xml:space="preserve">se requirió </w:t>
      </w:r>
      <w:r w:rsidRPr="00C032D9">
        <w:rPr>
          <w:rFonts w:ascii="ITC Avant Garde" w:eastAsia="Times New Roman" w:hAnsi="ITC Avant Garde"/>
          <w:bCs/>
          <w:lang w:val="es-ES" w:eastAsia="es-ES"/>
        </w:rPr>
        <w:t xml:space="preserve">para </w:t>
      </w:r>
      <w:r w:rsidRPr="00C032D9">
        <w:rPr>
          <w:rFonts w:ascii="ITC Avant Garde" w:eastAsia="Times New Roman" w:hAnsi="ITC Avant Garde"/>
          <w:lang w:val="es-ES" w:eastAsia="es-ES"/>
        </w:rPr>
        <w:t xml:space="preserve">que en un plazo no mayor a cinco (5) días hábiles, </w:t>
      </w:r>
      <w:r w:rsidRPr="00C032D9">
        <w:rPr>
          <w:rFonts w:ascii="ITC Avant Garde" w:hAnsi="ITC Avant Garde" w:cs="Arial"/>
          <w:bCs/>
        </w:rPr>
        <w:t>contados a partir del día hábil siguiente al en que hubiese sido notificado el Acuerdo,</w:t>
      </w:r>
      <w:r w:rsidRPr="00C032D9">
        <w:rPr>
          <w:rFonts w:ascii="ITC Avant Garde" w:eastAsia="Times New Roman" w:hAnsi="ITC Avant Garde"/>
          <w:lang w:val="es-ES" w:eastAsia="es-ES"/>
        </w:rPr>
        <w:t xml:space="preserve"> manifestara lo que a su derecho conviniera e informara si existían condiciones que no había podido convenir con Axtel y </w:t>
      </w:r>
      <w:proofErr w:type="spellStart"/>
      <w:r w:rsidRPr="00C032D9">
        <w:rPr>
          <w:rFonts w:ascii="ITC Avant Garde" w:eastAsia="Times New Roman" w:hAnsi="ITC Avant Garde"/>
          <w:lang w:val="es-ES" w:eastAsia="es-ES"/>
        </w:rPr>
        <w:t>Avantel</w:t>
      </w:r>
      <w:proofErr w:type="spellEnd"/>
      <w:r w:rsidRPr="00C032D9">
        <w:rPr>
          <w:rFonts w:ascii="ITC Avant Garde" w:eastAsia="Times New Roman" w:hAnsi="ITC Avant Garde"/>
          <w:lang w:val="es-ES" w:eastAsia="es-ES"/>
        </w:rPr>
        <w:t xml:space="preserve"> y, de ser el caso, señalara expresamente en qué consistían los desacuerdos, fijara su postura al respecto y ofreciera los elementos de prueba que estimara pertinentes </w:t>
      </w:r>
      <w:r w:rsidRPr="00C032D9">
        <w:rPr>
          <w:rFonts w:ascii="ITC Avant Garde" w:eastAsia="Times New Roman" w:hAnsi="ITC Avant Garde"/>
          <w:bCs/>
          <w:lang w:val="es-ES" w:eastAsia="es-ES"/>
        </w:rPr>
        <w:t>(en lo sucesivo, el “Oficio de Vista”).</w:t>
      </w:r>
    </w:p>
    <w:p w:rsidR="00FA0F97" w:rsidRPr="00C032D9" w:rsidRDefault="00FA0F97" w:rsidP="00206B14">
      <w:pPr>
        <w:numPr>
          <w:ilvl w:val="0"/>
          <w:numId w:val="13"/>
        </w:numPr>
        <w:tabs>
          <w:tab w:val="left" w:pos="567"/>
        </w:tabs>
        <w:spacing w:before="180" w:after="180"/>
        <w:ind w:left="567" w:hanging="567"/>
        <w:jc w:val="both"/>
        <w:rPr>
          <w:rFonts w:ascii="ITC Avant Garde" w:eastAsia="Times New Roman" w:hAnsi="ITC Avant Garde"/>
          <w:lang w:val="es-ES" w:eastAsia="es-ES"/>
        </w:rPr>
      </w:pPr>
      <w:r w:rsidRPr="00C032D9">
        <w:rPr>
          <w:rFonts w:ascii="ITC Avant Garde" w:hAnsi="ITC Avant Garde" w:cs="Arial"/>
          <w:b/>
          <w:bCs/>
        </w:rPr>
        <w:t xml:space="preserve">Publicación de Tarifas de Interconexión del año 2016. </w:t>
      </w:r>
      <w:r w:rsidRPr="00C032D9">
        <w:rPr>
          <w:rFonts w:ascii="ITC Avant Garde" w:hAnsi="ITC Avant Garde" w:cs="Arial"/>
          <w:bCs/>
        </w:rPr>
        <w:t>El 1 de octubre de 2015, el Instituto</w:t>
      </w:r>
      <w:r w:rsidRPr="00C032D9">
        <w:rPr>
          <w:rFonts w:ascii="ITC Avant Garde" w:hAnsi="ITC Avant Garde" w:cs="Arial"/>
        </w:rPr>
        <w:t xml:space="preserve"> publicó en el DOF el “</w:t>
      </w:r>
      <w:r w:rsidRPr="00C032D9">
        <w:rPr>
          <w:rFonts w:ascii="ITC Avant Garde" w:hAnsi="ITC Avant Garde" w:cs="Arial"/>
          <w:i/>
        </w:rPr>
        <w:t>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2016”,</w:t>
      </w:r>
      <w:r w:rsidRPr="00C032D9">
        <w:rPr>
          <w:rFonts w:ascii="ITC Avant Garde" w:hAnsi="ITC Avant Garde" w:cs="Arial"/>
        </w:rPr>
        <w:t xml:space="preserve"> aprobado mediante Acuerdo P/IFT/120815/347 (en lo sucesivo, el “Acuerdo de Tarifas 2016”).</w:t>
      </w:r>
    </w:p>
    <w:p w:rsidR="00FA0F97" w:rsidRDefault="00FA0F97" w:rsidP="00206B14">
      <w:pPr>
        <w:numPr>
          <w:ilvl w:val="0"/>
          <w:numId w:val="13"/>
        </w:numPr>
        <w:tabs>
          <w:tab w:val="left" w:pos="567"/>
          <w:tab w:val="left" w:pos="8789"/>
        </w:tabs>
        <w:spacing w:before="180" w:after="180"/>
        <w:ind w:left="567" w:hanging="567"/>
        <w:jc w:val="both"/>
        <w:rPr>
          <w:rFonts w:ascii="ITC Avant Garde" w:eastAsia="Times New Roman" w:hAnsi="ITC Avant Garde"/>
          <w:lang w:val="es-ES" w:eastAsia="es-ES"/>
        </w:rPr>
      </w:pPr>
      <w:r w:rsidRPr="00C032D9">
        <w:rPr>
          <w:rFonts w:ascii="ITC Avant Garde" w:eastAsia="Times New Roman" w:hAnsi="ITC Avant Garde"/>
          <w:b/>
          <w:lang w:val="es-ES" w:eastAsia="es-ES"/>
        </w:rPr>
        <w:t xml:space="preserve">Respuesta al Oficio de Vista. </w:t>
      </w:r>
      <w:r w:rsidRPr="00C032D9">
        <w:rPr>
          <w:rFonts w:ascii="ITC Avant Garde" w:eastAsia="Times New Roman" w:hAnsi="ITC Avant Garde"/>
          <w:lang w:val="es-ES" w:eastAsia="es-ES"/>
        </w:rPr>
        <w:t>El 16 de octubre de 2015 el apoderado legal de Grupo AT&amp;T presentó, ante el Instituto, escrito mediante el cual dio contestación al Oficio de Vista. En dicho escrito, Grupo AT&amp;T</w:t>
      </w:r>
      <w:r w:rsidRPr="00C032D9" w:rsidDel="00642729">
        <w:rPr>
          <w:rFonts w:ascii="ITC Avant Garde" w:eastAsia="Times New Roman" w:hAnsi="ITC Avant Garde"/>
          <w:lang w:val="es-ES" w:eastAsia="es-ES"/>
        </w:rPr>
        <w:t xml:space="preserve"> </w:t>
      </w:r>
      <w:r w:rsidRPr="00C032D9">
        <w:rPr>
          <w:rFonts w:ascii="ITC Avant Garde" w:eastAsia="Times New Roman" w:hAnsi="ITC Avant Garde"/>
          <w:lang w:val="es-ES" w:eastAsia="es-ES"/>
        </w:rPr>
        <w:t>manifestó lo que a su derecho convino y fijó su postura (en lo sucesivo, la “Respuesta de Grupo AT&amp;T”).</w:t>
      </w:r>
    </w:p>
    <w:p w:rsidR="00FA0F97" w:rsidRPr="00C032D9" w:rsidRDefault="00FA0F97" w:rsidP="00206B14">
      <w:pPr>
        <w:numPr>
          <w:ilvl w:val="0"/>
          <w:numId w:val="13"/>
        </w:numPr>
        <w:tabs>
          <w:tab w:val="left" w:pos="567"/>
          <w:tab w:val="left" w:pos="8789"/>
        </w:tabs>
        <w:spacing w:before="180" w:after="180"/>
        <w:ind w:left="567" w:hanging="567"/>
        <w:jc w:val="both"/>
        <w:rPr>
          <w:rFonts w:ascii="ITC Avant Garde" w:eastAsia="Times New Roman" w:hAnsi="ITC Avant Garde"/>
          <w:lang w:val="es-ES" w:eastAsia="es-ES"/>
        </w:rPr>
      </w:pPr>
      <w:r>
        <w:rPr>
          <w:rFonts w:ascii="ITC Avant Garde" w:eastAsia="Times New Roman" w:hAnsi="ITC Avant Garde"/>
          <w:lang w:val="es-ES" w:eastAsia="es-ES"/>
        </w:rPr>
        <w:lastRenderedPageBreak/>
        <w:t xml:space="preserve">Desahogo de Pruebas. Mediante Acuerdo 27/10/002/2015 de fecha 27 de octubre de 2015, se acreditó la personalidad con la que se ostenta el apoderado legal de Grupo AT&amp;T y se acordó en términos del artículo 129, fracciones IV y V de la LFTyR la admisión y desahogo de pruebas ofrecidas por los concesionarios, se tuvo por fijada la litis y se les otorgó a las partes un plazo no mayor a dos (2) días hábiles para que presentaran sus alegatos por escrito ante el Instituto. Dicho Acuerdo fue notificado por instructivos a Axtel y </w:t>
      </w:r>
      <w:proofErr w:type="spellStart"/>
      <w:r>
        <w:rPr>
          <w:rFonts w:ascii="ITC Avant Garde" w:eastAsia="Times New Roman" w:hAnsi="ITC Avant Garde"/>
          <w:lang w:val="es-ES" w:eastAsia="es-ES"/>
        </w:rPr>
        <w:t>Avantel</w:t>
      </w:r>
      <w:proofErr w:type="spellEnd"/>
      <w:r>
        <w:rPr>
          <w:rFonts w:ascii="ITC Avant Garde" w:eastAsia="Times New Roman" w:hAnsi="ITC Avant Garde"/>
          <w:lang w:val="es-ES" w:eastAsia="es-ES"/>
        </w:rPr>
        <w:t>, así como a Grupo AT&amp;T el 29 de octubre de 2015.</w:t>
      </w:r>
    </w:p>
    <w:p w:rsidR="00FA0F97" w:rsidRPr="00C032D9" w:rsidRDefault="00FA0F97" w:rsidP="00206B14">
      <w:pPr>
        <w:tabs>
          <w:tab w:val="left" w:pos="567"/>
          <w:tab w:val="left" w:pos="8789"/>
        </w:tabs>
        <w:spacing w:before="180" w:after="180"/>
        <w:ind w:left="567"/>
        <w:jc w:val="both"/>
        <w:rPr>
          <w:rFonts w:ascii="ITC Avant Garde" w:hAnsi="ITC Avant Garde"/>
          <w:lang w:val="es-ES"/>
        </w:rPr>
      </w:pPr>
      <w:r w:rsidRPr="00C032D9">
        <w:rPr>
          <w:rFonts w:ascii="ITC Avant Garde" w:eastAsia="Times New Roman" w:hAnsi="ITC Avant Garde"/>
          <w:lang w:val="es-ES" w:eastAsia="es-ES"/>
        </w:rPr>
        <w:t xml:space="preserve">Cabe señalar que Grupo AT&amp;T no </w:t>
      </w:r>
      <w:r w:rsidRPr="00C032D9">
        <w:rPr>
          <w:rFonts w:ascii="ITC Avant Garde" w:hAnsi="ITC Avant Garde"/>
          <w:lang w:val="es-ES"/>
        </w:rPr>
        <w:t>ofreció probanza alguna.</w:t>
      </w:r>
    </w:p>
    <w:p w:rsidR="00FA0F97" w:rsidRPr="00C032D9" w:rsidRDefault="00FA0F97" w:rsidP="00206B14">
      <w:pPr>
        <w:numPr>
          <w:ilvl w:val="0"/>
          <w:numId w:val="13"/>
        </w:numPr>
        <w:tabs>
          <w:tab w:val="left" w:pos="567"/>
          <w:tab w:val="left" w:pos="8789"/>
        </w:tabs>
        <w:spacing w:before="180" w:after="180"/>
        <w:ind w:left="567" w:hanging="567"/>
        <w:jc w:val="both"/>
        <w:rPr>
          <w:rFonts w:ascii="ITC Avant Garde" w:eastAsia="Times New Roman" w:hAnsi="ITC Avant Garde"/>
          <w:lang w:val="es-ES" w:eastAsia="es-ES"/>
        </w:rPr>
      </w:pPr>
      <w:r w:rsidRPr="00C032D9">
        <w:rPr>
          <w:rFonts w:ascii="ITC Avant Garde" w:eastAsia="Times New Roman" w:hAnsi="ITC Avant Garde"/>
          <w:b/>
          <w:lang w:val="es-ES" w:eastAsia="es-ES"/>
        </w:rPr>
        <w:t xml:space="preserve">Alegatos. </w:t>
      </w:r>
      <w:r w:rsidRPr="00C032D9">
        <w:rPr>
          <w:rFonts w:ascii="ITC Avant Garde" w:eastAsia="Times New Roman" w:hAnsi="ITC Avant Garde"/>
          <w:lang w:val="es-ES" w:eastAsia="es-ES"/>
        </w:rPr>
        <w:t>El 30 de octubre de 2015, el apoderado legal de Grupo AT&amp;T presentó ante el Instituto escrito por el que formuló sus correspondientes alegatos (en lo sucesivo, los “Alegatos de Grupo AT&amp;T”).</w:t>
      </w:r>
    </w:p>
    <w:p w:rsidR="00FA0F97" w:rsidRPr="00C032D9" w:rsidRDefault="00FA0F97" w:rsidP="00206B14">
      <w:pPr>
        <w:tabs>
          <w:tab w:val="left" w:pos="8789"/>
        </w:tabs>
        <w:spacing w:before="180" w:after="180"/>
        <w:ind w:left="567"/>
        <w:jc w:val="both"/>
        <w:rPr>
          <w:rFonts w:ascii="ITC Avant Garde" w:hAnsi="ITC Avant Garde" w:cs="Arial"/>
        </w:rPr>
      </w:pPr>
      <w:r w:rsidRPr="00C032D9">
        <w:rPr>
          <w:rFonts w:ascii="ITC Avant Garde" w:hAnsi="ITC Avant Garde" w:cs="Arial"/>
        </w:rPr>
        <w:t xml:space="preserve">Por su parte, </w:t>
      </w:r>
      <w:r w:rsidRPr="00C032D9">
        <w:rPr>
          <w:rFonts w:ascii="ITC Avant Garde" w:hAnsi="ITC Avant Garde" w:cs="Arial"/>
          <w:bCs/>
        </w:rPr>
        <w:t xml:space="preserve">el 2 de noviembre de 2015 el apoderado legal de Axtel y </w:t>
      </w:r>
      <w:proofErr w:type="spellStart"/>
      <w:r w:rsidRPr="00C032D9">
        <w:rPr>
          <w:rFonts w:ascii="ITC Avant Garde" w:hAnsi="ITC Avant Garde" w:cs="Arial"/>
          <w:bCs/>
        </w:rPr>
        <w:t>Avantel</w:t>
      </w:r>
      <w:proofErr w:type="spellEnd"/>
      <w:r w:rsidRPr="00C032D9">
        <w:rPr>
          <w:rFonts w:ascii="ITC Avant Garde" w:hAnsi="ITC Avant Garde" w:cs="Arial"/>
          <w:bCs/>
        </w:rPr>
        <w:t xml:space="preserve">, </w:t>
      </w:r>
      <w:r w:rsidRPr="00C032D9">
        <w:rPr>
          <w:rFonts w:ascii="ITC Avant Garde" w:eastAsia="Times New Roman" w:hAnsi="ITC Avant Garde"/>
          <w:lang w:val="es-ES" w:eastAsia="es-ES"/>
        </w:rPr>
        <w:t>presentó</w:t>
      </w:r>
      <w:r w:rsidRPr="00C032D9">
        <w:rPr>
          <w:rFonts w:ascii="ITC Avant Garde" w:hAnsi="ITC Avant Garde" w:cs="Arial"/>
          <w:bCs/>
        </w:rPr>
        <w:t xml:space="preserve"> ante el Instituto escritos mediante los cuales solicitó una prórroga al término concedido en el </w:t>
      </w:r>
      <w:proofErr w:type="spellStart"/>
      <w:r w:rsidRPr="00C032D9">
        <w:rPr>
          <w:rFonts w:ascii="ITC Avant Garde" w:hAnsi="ITC Avant Garde" w:cs="Arial"/>
          <w:bCs/>
        </w:rPr>
        <w:t>Acuerdo27</w:t>
      </w:r>
      <w:proofErr w:type="spellEnd"/>
      <w:r w:rsidRPr="00C032D9">
        <w:rPr>
          <w:rFonts w:ascii="ITC Avant Garde" w:hAnsi="ITC Avant Garde" w:cs="Arial"/>
          <w:bCs/>
        </w:rPr>
        <w:t>/10/002/2015 para formular alegatos.</w:t>
      </w:r>
    </w:p>
    <w:p w:rsidR="00FA0F97" w:rsidRPr="00C032D9" w:rsidRDefault="00FA0F97" w:rsidP="00206B14">
      <w:pPr>
        <w:tabs>
          <w:tab w:val="left" w:pos="8789"/>
        </w:tabs>
        <w:spacing w:before="180" w:after="180"/>
        <w:ind w:left="567"/>
        <w:jc w:val="both"/>
        <w:rPr>
          <w:rFonts w:ascii="ITC Avant Garde" w:hAnsi="ITC Avant Garde" w:cs="Arial"/>
          <w:spacing w:val="-2"/>
        </w:rPr>
      </w:pPr>
      <w:r w:rsidRPr="00C032D9">
        <w:rPr>
          <w:rFonts w:ascii="ITC Avant Garde" w:hAnsi="ITC Avant Garde" w:cs="Arial"/>
          <w:spacing w:val="-2"/>
        </w:rPr>
        <w:t xml:space="preserve">Mediante Acuerdo 04/11/003/2015, notificado por instructivo el 9 de noviembre de 2015, se le concedió a </w:t>
      </w:r>
      <w:proofErr w:type="spellStart"/>
      <w:r w:rsidRPr="00C032D9">
        <w:rPr>
          <w:rFonts w:ascii="ITC Avant Garde" w:hAnsi="ITC Avant Garde" w:cs="Arial"/>
          <w:spacing w:val="-2"/>
        </w:rPr>
        <w:t>Avantel</w:t>
      </w:r>
      <w:proofErr w:type="spellEnd"/>
      <w:r w:rsidRPr="00C032D9">
        <w:rPr>
          <w:rFonts w:ascii="ITC Avant Garde" w:hAnsi="ITC Avant Garde" w:cs="Arial"/>
          <w:spacing w:val="-2"/>
        </w:rPr>
        <w:t xml:space="preserve"> y Axtel una ampliación de un (1) día hábil contado a </w:t>
      </w:r>
      <w:r w:rsidRPr="00C032D9">
        <w:rPr>
          <w:rFonts w:ascii="ITC Avant Garde" w:hAnsi="ITC Avant Garde" w:cs="Arial"/>
          <w:bCs/>
        </w:rPr>
        <w:t>partir</w:t>
      </w:r>
      <w:r w:rsidRPr="00C032D9">
        <w:rPr>
          <w:rFonts w:ascii="ITC Avant Garde" w:hAnsi="ITC Avant Garde" w:cs="Arial"/>
          <w:spacing w:val="-2"/>
        </w:rPr>
        <w:t xml:space="preserve"> del día siguiente a la fecha de notificación para que presentaran sus alegatos.</w:t>
      </w:r>
    </w:p>
    <w:p w:rsidR="00FA0F97" w:rsidRPr="00C032D9" w:rsidRDefault="00FA0F97" w:rsidP="00206B14">
      <w:pPr>
        <w:tabs>
          <w:tab w:val="left" w:pos="8789"/>
        </w:tabs>
        <w:spacing w:before="180" w:after="180"/>
        <w:ind w:left="567"/>
        <w:jc w:val="both"/>
        <w:rPr>
          <w:rFonts w:ascii="ITC Avant Garde" w:eastAsia="Times New Roman" w:hAnsi="ITC Avant Garde"/>
          <w:lang w:val="es-ES" w:eastAsia="es-ES"/>
        </w:rPr>
      </w:pPr>
      <w:r w:rsidRPr="00C032D9">
        <w:rPr>
          <w:rFonts w:ascii="ITC Avant Garde" w:hAnsi="ITC Avant Garde" w:cs="Arial"/>
        </w:rPr>
        <w:t xml:space="preserve">El 9 de noviembre de 2015 el apoderado legal de </w:t>
      </w:r>
      <w:proofErr w:type="spellStart"/>
      <w:r w:rsidRPr="00C032D9">
        <w:rPr>
          <w:rFonts w:ascii="ITC Avant Garde" w:hAnsi="ITC Avant Garde" w:cs="Arial"/>
        </w:rPr>
        <w:t>Avantel</w:t>
      </w:r>
      <w:proofErr w:type="spellEnd"/>
      <w:r w:rsidRPr="00C032D9">
        <w:rPr>
          <w:rFonts w:ascii="ITC Avant Garde" w:hAnsi="ITC Avant Garde" w:cs="Arial"/>
        </w:rPr>
        <w:t xml:space="preserve"> y Axtel presentó ante el Instituto escritos mediante los cuales rindió sus correspondientes alegatos </w:t>
      </w:r>
      <w:r w:rsidRPr="00C032D9">
        <w:rPr>
          <w:rFonts w:ascii="ITC Avant Garde" w:eastAsia="Times New Roman" w:hAnsi="ITC Avant Garde"/>
          <w:lang w:val="es-ES" w:eastAsia="es-ES"/>
        </w:rPr>
        <w:t xml:space="preserve">(en lo sucesivo, los “Alegatos de Axtel y </w:t>
      </w:r>
      <w:proofErr w:type="spellStart"/>
      <w:r w:rsidRPr="00C032D9">
        <w:rPr>
          <w:rFonts w:ascii="ITC Avant Garde" w:eastAsia="Times New Roman" w:hAnsi="ITC Avant Garde"/>
          <w:lang w:val="es-ES" w:eastAsia="es-ES"/>
        </w:rPr>
        <w:t>Avantel</w:t>
      </w:r>
      <w:proofErr w:type="spellEnd"/>
      <w:r w:rsidRPr="00C032D9">
        <w:rPr>
          <w:rFonts w:ascii="ITC Avant Garde" w:eastAsia="Times New Roman" w:hAnsi="ITC Avant Garde"/>
          <w:lang w:val="es-ES" w:eastAsia="es-ES"/>
        </w:rPr>
        <w:t>”).</w:t>
      </w:r>
    </w:p>
    <w:p w:rsidR="00FA0F97" w:rsidRPr="00C032D9" w:rsidRDefault="00FA0F97" w:rsidP="00206B14">
      <w:pPr>
        <w:numPr>
          <w:ilvl w:val="0"/>
          <w:numId w:val="13"/>
        </w:numPr>
        <w:tabs>
          <w:tab w:val="left" w:pos="567"/>
          <w:tab w:val="left" w:pos="8789"/>
        </w:tabs>
        <w:spacing w:before="180" w:after="180"/>
        <w:ind w:left="567" w:hanging="567"/>
        <w:jc w:val="both"/>
        <w:rPr>
          <w:rFonts w:ascii="ITC Avant Garde" w:eastAsia="Times New Roman" w:hAnsi="ITC Avant Garde"/>
          <w:lang w:val="es-ES" w:eastAsia="es-ES"/>
        </w:rPr>
      </w:pPr>
      <w:r w:rsidRPr="00C032D9">
        <w:rPr>
          <w:rFonts w:ascii="ITC Avant Garde" w:eastAsia="Times New Roman" w:hAnsi="ITC Avant Garde"/>
          <w:b/>
          <w:lang w:val="es-ES" w:eastAsia="es-ES"/>
        </w:rPr>
        <w:t>Cierre de la instrucción.</w:t>
      </w:r>
      <w:r w:rsidRPr="00C032D9">
        <w:rPr>
          <w:rFonts w:ascii="ITC Avant Garde" w:eastAsia="Times New Roman" w:hAnsi="ITC Avant Garde"/>
          <w:lang w:val="es-ES" w:eastAsia="es-ES"/>
        </w:rPr>
        <w:t xml:space="preserve"> El 17 de noviembre de 2015, el Instituto notificó a Axtel y </w:t>
      </w:r>
      <w:proofErr w:type="spellStart"/>
      <w:r w:rsidRPr="00C032D9">
        <w:rPr>
          <w:rFonts w:ascii="ITC Avant Garde" w:eastAsia="Times New Roman" w:hAnsi="ITC Avant Garde"/>
          <w:lang w:val="es-ES" w:eastAsia="es-ES"/>
        </w:rPr>
        <w:t>Avantel</w:t>
      </w:r>
      <w:proofErr w:type="spellEnd"/>
      <w:r w:rsidRPr="00C032D9">
        <w:rPr>
          <w:rFonts w:ascii="ITC Avant Garde" w:eastAsia="Times New Roman" w:hAnsi="ITC Avant Garde"/>
          <w:lang w:val="es-ES" w:eastAsia="es-ES"/>
        </w:rPr>
        <w:t>, así como a Grupo AT&amp;T, el Acuerdo 12/11/004/2015 de fecha 12 de noviembre de 2015, mediante el cual se acordó que toda vez que el plazo para formular alegatos había concluido, el procedimiento guardaba estado para que el Pleno del Instituto dictase la resolución sobre las cuestiones planteadas por las partes.</w:t>
      </w:r>
    </w:p>
    <w:p w:rsidR="00FA0F97" w:rsidRPr="00C032D9" w:rsidRDefault="00FA0F97" w:rsidP="00206B14">
      <w:pPr>
        <w:widowControl w:val="0"/>
        <w:spacing w:before="180" w:after="180"/>
        <w:jc w:val="both"/>
        <w:rPr>
          <w:rFonts w:ascii="ITC Avant Garde" w:eastAsia="Times New Roman" w:hAnsi="ITC Avant Garde"/>
          <w:lang w:eastAsia="es-ES"/>
        </w:rPr>
      </w:pPr>
      <w:bookmarkStart w:id="3" w:name="HipótesisNormativa"/>
      <w:r w:rsidRPr="00C032D9">
        <w:rPr>
          <w:rFonts w:ascii="ITC Avant Garde" w:eastAsia="Times New Roman" w:hAnsi="ITC Avant Garde"/>
          <w:lang w:eastAsia="es-ES"/>
        </w:rPr>
        <w:t>En virtud de los referidos Antecedentes, y</w:t>
      </w:r>
    </w:p>
    <w:p w:rsidR="00FA0F97" w:rsidRPr="00206B14" w:rsidRDefault="00FA0F97" w:rsidP="00206B14">
      <w:pPr>
        <w:pStyle w:val="Ttulo2"/>
        <w:spacing w:before="180" w:after="180"/>
        <w:jc w:val="center"/>
        <w:rPr>
          <w:rFonts w:ascii="ITC Avant Garde" w:hAnsi="ITC Avant Garde"/>
        </w:rPr>
      </w:pPr>
      <w:r w:rsidRPr="00206B14">
        <w:rPr>
          <w:rFonts w:ascii="ITC Avant Garde" w:hAnsi="ITC Avant Garde"/>
        </w:rPr>
        <w:t>CONSIDERANDO</w:t>
      </w:r>
    </w:p>
    <w:p w:rsidR="00FA0F97" w:rsidRPr="00C032D9" w:rsidRDefault="00FA0F97" w:rsidP="00206B14">
      <w:pPr>
        <w:pStyle w:val="Textoindependiente"/>
        <w:spacing w:before="180" w:after="180" w:line="276" w:lineRule="auto"/>
        <w:rPr>
          <w:rFonts w:ascii="ITC Avant Garde" w:hAnsi="ITC Avant Garde" w:cs="Arial"/>
          <w:bCs/>
          <w:szCs w:val="22"/>
        </w:rPr>
      </w:pPr>
      <w:bookmarkStart w:id="4" w:name="primero"/>
      <w:r w:rsidRPr="00C032D9">
        <w:rPr>
          <w:rFonts w:ascii="ITC Avant Garde" w:hAnsi="ITC Avant Garde" w:cs="Arial"/>
          <w:b/>
          <w:bCs/>
          <w:lang w:val="es-ES"/>
        </w:rPr>
        <w:t>PRIMERO.- Competencia del Instituto</w:t>
      </w:r>
      <w:r w:rsidRPr="00C032D9">
        <w:rPr>
          <w:rFonts w:ascii="ITC Avant Garde" w:hAnsi="ITC Avant Garde" w:cs="Arial"/>
          <w:bCs/>
          <w:lang w:val="es-ES"/>
        </w:rPr>
        <w:t xml:space="preserve">. </w:t>
      </w:r>
      <w:r w:rsidRPr="00C032D9">
        <w:rPr>
          <w:rFonts w:ascii="ITC Avant Garde" w:hAnsi="ITC Avant Garde" w:cs="Arial"/>
          <w:bCs/>
        </w:rPr>
        <w:t xml:space="preserve">De conformidad con los artículos 6°, apartado B fracción II, 28, párrafos décimo quinto y décimo sexto de la Constitución </w:t>
      </w:r>
      <w:r w:rsidRPr="00C032D9">
        <w:rPr>
          <w:rFonts w:ascii="ITC Avant Garde" w:hAnsi="ITC Avant Garde" w:cs="Arial"/>
          <w:bCs/>
          <w:szCs w:val="22"/>
        </w:rPr>
        <w:t xml:space="preserve">y 7°, primer párrafo de la LFTyR; el Instituto es un órgano público autónomo, independiente en sus decisiones y funcionamiento, con personalidad jurídica y patrimonio propio, que tiene por objeto regular y promover la competencia y el desarrollo eficiente de las </w:t>
      </w:r>
      <w:r w:rsidRPr="00C032D9">
        <w:rPr>
          <w:rFonts w:ascii="ITC Avant Garde" w:hAnsi="ITC Avant Garde" w:cs="Arial"/>
          <w:bCs/>
          <w:szCs w:val="22"/>
        </w:rPr>
        <w:lastRenderedPageBreak/>
        <w:t xml:space="preserve">telecomunicaciones y la radiodifusión en el ámbito de las atribuciones que le confiere la Constitución y en los términos que fijan la LFTyR y demás disposiciones aplicables. </w:t>
      </w:r>
    </w:p>
    <w:p w:rsidR="00FA0F97" w:rsidRPr="00C032D9" w:rsidRDefault="00FA0F97" w:rsidP="00206B14">
      <w:pPr>
        <w:pStyle w:val="Textoindependiente"/>
        <w:spacing w:before="180" w:after="180" w:line="276" w:lineRule="auto"/>
        <w:rPr>
          <w:rFonts w:ascii="ITC Avant Garde" w:hAnsi="ITC Avant Garde" w:cs="Arial"/>
          <w:bCs/>
          <w:szCs w:val="22"/>
        </w:rPr>
      </w:pPr>
      <w:r w:rsidRPr="00C032D9">
        <w:rPr>
          <w:rFonts w:ascii="ITC Avant Garde" w:hAnsi="ITC Avant Garde" w:cs="Arial"/>
          <w:bCs/>
          <w:szCs w:val="22"/>
          <w:lang w:val="es-ES"/>
        </w:rPr>
        <w:t xml:space="preserve">Con fundamento </w:t>
      </w:r>
      <w:r w:rsidRPr="00C032D9">
        <w:rPr>
          <w:rFonts w:ascii="ITC Avant Garde" w:hAnsi="ITC Avant Garde" w:cs="Arial"/>
          <w:bCs/>
          <w:szCs w:val="22"/>
        </w:rPr>
        <w:t>en los artículos 7, 15, fracción X, 17, fracción I, y 129 de la LFTyR, el Pleno del Instituto está facultado, de manera exclusiva e indelegable, para resolver y establecer los términos y condiciones de interconexión que no hayan podido convenir los concesionarios respecto de sus redes públicas de telecomunicaciones, una vez que se solicite su intervención.</w:t>
      </w:r>
    </w:p>
    <w:p w:rsidR="00FA0F97" w:rsidRPr="00C032D9" w:rsidRDefault="00FA0F97" w:rsidP="00206B14">
      <w:pPr>
        <w:pStyle w:val="Textoindependiente"/>
        <w:spacing w:before="180" w:after="180" w:line="276" w:lineRule="auto"/>
        <w:rPr>
          <w:rFonts w:ascii="ITC Avant Garde" w:hAnsi="ITC Avant Garde" w:cs="Arial"/>
          <w:bCs/>
          <w:szCs w:val="22"/>
        </w:rPr>
      </w:pPr>
      <w:r w:rsidRPr="00C032D9">
        <w:rPr>
          <w:rFonts w:ascii="ITC Avant Garde" w:hAnsi="ITC Avant Garde" w:cs="Arial"/>
          <w:bCs/>
          <w:szCs w:val="22"/>
        </w:rPr>
        <w:t>Adicionalmente el artículo 6°, fracción I, del Estatuto establece que corresponde al Pleno, además de las atribuciones establecidas como indelegables en la LFTyR,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FA0F97" w:rsidRPr="00C032D9" w:rsidRDefault="00FA0F97" w:rsidP="00206B14">
      <w:pPr>
        <w:pStyle w:val="Textoindependiente"/>
        <w:spacing w:before="180" w:after="180" w:line="276" w:lineRule="auto"/>
        <w:rPr>
          <w:rFonts w:ascii="ITC Avant Garde" w:hAnsi="ITC Avant Garde"/>
          <w:szCs w:val="22"/>
        </w:rPr>
      </w:pPr>
      <w:r w:rsidRPr="00C032D9">
        <w:rPr>
          <w:rFonts w:ascii="ITC Avant Garde" w:hAnsi="ITC Avant Garde"/>
          <w:szCs w:val="22"/>
        </w:rPr>
        <w:t>Por lo anterior y de conformidad con lo dispuesto en los artículos indicados, el Pleno del Instituto resulta competente para emitir la presente Resolución que determina las condiciones de interconexión no convenidas entre los concesionarios de redes públicas de telecomunicaciones, antes señalados.</w:t>
      </w:r>
    </w:p>
    <w:p w:rsidR="00FA0F97" w:rsidRPr="00C032D9" w:rsidRDefault="00FA0F97" w:rsidP="00206B14">
      <w:pPr>
        <w:pStyle w:val="Textoindependiente"/>
        <w:spacing w:before="180" w:after="180" w:line="276" w:lineRule="auto"/>
        <w:rPr>
          <w:rFonts w:ascii="ITC Avant Garde" w:eastAsiaTheme="minorHAnsi" w:hAnsi="ITC Avant Garde"/>
        </w:rPr>
      </w:pPr>
      <w:bookmarkStart w:id="5" w:name="segundo"/>
      <w:bookmarkEnd w:id="4"/>
      <w:r w:rsidRPr="00C032D9">
        <w:rPr>
          <w:rFonts w:ascii="ITC Avant Garde" w:hAnsi="ITC Avant Garde" w:cs="Arial"/>
          <w:b/>
        </w:rPr>
        <w:t>SEGUNDO.- Importancia de la interconexión e Interés Público.-</w:t>
      </w:r>
      <w:r w:rsidRPr="00C032D9">
        <w:rPr>
          <w:rFonts w:ascii="ITC Avant Garde" w:hAnsi="ITC Avant Garde" w:cs="Arial"/>
        </w:rPr>
        <w:t xml:space="preserve"> </w:t>
      </w:r>
      <w:r w:rsidRPr="00C032D9">
        <w:rPr>
          <w:rFonts w:ascii="ITC Avant Garde" w:hAnsi="ITC Avant Garde"/>
        </w:rPr>
        <w:t>El artículo 6°, apartado B, fracción II, de la Constitución establece que las telecomunicaciones son servicios públicos de interés general, y es deber del Estado garantizar que se presten en condiciones de competencia, calidad, pluralidad, cobertura universal, interconexión, convergencia, continuidad, acceso libre y sin injerencias arbitrarias.</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De conformidad con el tercer párrafo del artículo 25 constitucional, el Estado planeará, conducirá, coordinará y orientará la actividad económica nacional, llevando a cabo la regulación y fomento de las actividades que demande el interés general en el marco que otorga la propia Constitución.</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Aunado a lo anterior, y del análisis de los artículos 25 y 28 de la Constitución, se desprende que las telecomunicaciones constituyen un área importante para el desarrollo nacional al propiciar condiciones para la mayor eficacia de toda una serie de derechos fundamentales, como a la información, a la libertad de expresión, a la educación, de participación democrática, la integración de las comunidades indígenas, entre otros.</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 xml:space="preserve">Por su parte, el artículo 2° de la LFTyR en concordancia con el artículo 6, de la Constitución señala que las telecomunicaciones son servicios públicos de interés general; y que corresponde al Estado ejercer la rectoría en la materia, proteger la </w:t>
      </w:r>
      <w:r w:rsidRPr="00C032D9">
        <w:rPr>
          <w:rFonts w:ascii="ITC Avant Garde" w:hAnsi="ITC Avant Garde" w:cs="Arial"/>
          <w:szCs w:val="22"/>
        </w:rPr>
        <w:lastRenderedPageBreak/>
        <w:t>seguridad y la soberanía de la nación y garantizar su eficiente prestación, y que para tales efectos establecerá condiciones de competencia efectiva en la prestación de dichos servicios. En este sentido, se observa que es a través del desarrollo y la promoción de una competencia efectiva que se garantizan mejores condiciones para el país.</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 xml:space="preserve">En este tenor, la LFTyR establece el deber del Estado de garantizar la competencia en el sector telecomunicaciones, por lo tanto se requiere de una regulación adecuada, precisa e imparcial de la interconexión, misma que debe promover y facilitar el uso eficiente de las redes, fomentar la entrada en el mercado de competidores eficientes, y permitir la expansión de los existentes, incorpore nuevas tecnologías y servicios, y promover un entorno de sana competencia y libre concurrencia entre los operadores. </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 xml:space="preserve">Al respecto, las telecomunicaciones son estratégicas para el crecimiento económico y social de cualquier país. El desarrollo de la infraestructura y de las redes de comunicación se ha convertido en una prioridad inaplazable particularmente para países como México, en el que se requiere un aumento en la tasa de penetración de los servicios de telecomunicaciones. </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 xml:space="preserve">El desarrollo tecnológico así como la marcada tendencia de globalización y convergencia de las telecomunicaciones, han promovido que las fuerzas del mercado asuman un papel más activo en la asignación de los recursos incentivando el surgimiento de nuevas empresas, las cuales requieren de un entorno regulatorio que permita la acción natural de las fuerzas de mercado y de la sana competencia entre todos los participantes mediante la rectoría del Estado. </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En este tenor, la competencia es un factor decisivo para la innovación y el desarrollo de los mercados de las telecomunicaciones. Un mercado en competencia implica la existencia de distintos prestadores de servicios, a fin de permitir que los usuarios elijan libremente a aquel concesionario que ofrezca las mejores condiciones en precio, calidad y diversidad. Es en este contexto de competencia en el que la interconexión entre redes se convierte en un factor de interés público, en tanto a que cualquier comunicación que inicie pueda llegar a su destino, independientemente de la red pública de telecomunicaciones que se utilice; evitando que una determinada empresa pueda tomar ventaja de su tamaño de red, y permitiendo que la decisión de contratar los servicios por parte de los usuarios sea por factores de precio, calidad y diversidad.</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 xml:space="preserve">Uno de los elementos que el usuario considera para contratar los servicios de telecomunicaciones es el número de usuarios con los cuales podrá comunicarse. A medida que las redes interconectadas cuenten con un mayor número de usuarios suscritos, mayor será el beneficio que se obtenga de conectarse a la misma, lo que se conoce como externalidad de red en los servicios de telecomunicaciones. En caso de </w:t>
      </w:r>
      <w:r w:rsidRPr="00C032D9">
        <w:rPr>
          <w:rFonts w:ascii="ITC Avant Garde" w:hAnsi="ITC Avant Garde" w:cs="Arial"/>
          <w:szCs w:val="22"/>
        </w:rPr>
        <w:lastRenderedPageBreak/>
        <w:t xml:space="preserve">no existir interconexión, el usuario tendría que contratar necesariamente los servicios de telecomunicaciones con todas las redes existentes para asegurar que su universo de llamadas llegue a su destino. De esta forma, sólo podría establecer comunicación con los usuarios que también hayan contratado los servicios de telecomunicaciones con la red a la que él se encuentre suscrito. Esta situación repercutiría en la toma de decisión para adquirir dichos servicios, ya que estaría afectada sensiblemente por el tamaño de las redes, haciendo a un lado criterios relacionados con precio, calidad y diversidad y eliminando el beneficio social de la externalidad de red en los servicios de telecomunicaciones. </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Por ello, el legislador estableció (i) la obligación de todos los concesionarios de redes públicas de telecomunicaciones de adoptar diseños de arquitectura abierta para garantizar la interconexión e interoperabilidad de sus redes, contenida en el artículo 124, de la LFTyR, (ii) la obligación de los concesionarios de redes públicas de interconectar sus redes de conformidad con lo establecido en el artículo 125, de la LFTyR, y (iii) los concesionarios que operen redes públicas de telecomunicaciones deberán interconectar sus redes con las de otros concesionarios en condiciones no discriminatorias, transparentes y basadas en criterios objetivos y a tal efecto, suscribirán un convenio en un plazo no mayor a sesenta (60) días naturales, transcurrido dicho plazo sin que se hubiera celebrado el convenio, a solicitud de uno o ambos concesionarios, el Instituto deberá resolver sobre las condiciones términos y tarifas que no hayan podido convenir, de conformidad en el artículo 129 de la LFTyR.</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 xml:space="preserve">En este sentido, la interconexión se ha convertido en los últimos años en un factor crítico debido al desarrollo tecnológico y al surgimiento de nuevos servicios, ya que ésta permite que los distintos concesionarios coexistan para ofrecer sus servicios a todos los usuarios y a su vez compitan por el mercado de las telecomunicaciones. </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 xml:space="preserve">El principio a salvaguardar es el interés público, ya que otorga al usuario la oportunidad de adquirir servicios a menor precio, mayor calidad y diversidad, de ahí que los concesionarios estén obligados a entregar el tráfico a su destino final o a un concesionario o combinación de concesionarios que puedan hacerlo, proveyendo los servicios de interconexión a que los obliga la normatividad de la materia. </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Para lograr lo anterior, el Instituto, tiene dentro de sus facultades promover y vigilar la eficiente interconexión de los equipos y redes públicas de telecomunicaciones, determinando las condiciones que, en materia de interconexión, no han podido convenirse entre los concesionarios de redes públicas de telecomunicaciones.</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 xml:space="preserve">La emisión de las resoluciones en materia de desacuerdos de interconexión, como expresión de la rectoría que ejerce el Estado en materia de telecomunicaciones, tiende </w:t>
      </w:r>
      <w:r w:rsidRPr="00C032D9">
        <w:rPr>
          <w:rFonts w:ascii="ITC Avant Garde" w:hAnsi="ITC Avant Garde" w:cs="Arial"/>
          <w:szCs w:val="22"/>
        </w:rPr>
        <w:lastRenderedPageBreak/>
        <w:t>a procurar una sana competencia entre los concesionarios, sin dejar de priorizar, de manera preponderante, los intereses de los usuarios o consumidores finales, en términos de lo establecido en los artículos 7º, 124 y 125 de la LFTyR.</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La Suprema Corte de Justicia de la Nación (en lo sucesivo, la “</w:t>
      </w:r>
      <w:proofErr w:type="spellStart"/>
      <w:r w:rsidRPr="00C032D9">
        <w:rPr>
          <w:rFonts w:ascii="ITC Avant Garde" w:hAnsi="ITC Avant Garde" w:cs="Arial"/>
          <w:szCs w:val="22"/>
        </w:rPr>
        <w:t>SCJN</w:t>
      </w:r>
      <w:proofErr w:type="spellEnd"/>
      <w:r w:rsidRPr="00C032D9">
        <w:rPr>
          <w:rFonts w:ascii="ITC Avant Garde" w:hAnsi="ITC Avant Garde" w:cs="Arial"/>
          <w:szCs w:val="22"/>
        </w:rPr>
        <w:t xml:space="preserve">”) ha sostenido que los servicios de interconexión son considerados como básicos para el desarrollo del país y coadyuvan a mejorar las condiciones de vida en sociedad. </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 xml:space="preserve">Dicha determinación encuentra sustento en la Tesis de Jurisprudencia </w:t>
      </w:r>
      <w:proofErr w:type="spellStart"/>
      <w:r w:rsidRPr="00C032D9">
        <w:rPr>
          <w:rFonts w:ascii="ITC Avant Garde" w:hAnsi="ITC Avant Garde" w:cs="Arial"/>
          <w:szCs w:val="22"/>
        </w:rPr>
        <w:t>2a</w:t>
      </w:r>
      <w:proofErr w:type="spellEnd"/>
      <w:r w:rsidRPr="00C032D9">
        <w:rPr>
          <w:rFonts w:ascii="ITC Avant Garde" w:hAnsi="ITC Avant Garde" w:cs="Arial"/>
          <w:szCs w:val="22"/>
        </w:rPr>
        <w:t xml:space="preserve">./J. 112/2004, con número de Registro 180524, emitida por la Segunda Sala de la </w:t>
      </w:r>
      <w:proofErr w:type="spellStart"/>
      <w:r w:rsidRPr="00C032D9">
        <w:rPr>
          <w:rFonts w:ascii="ITC Avant Garde" w:hAnsi="ITC Avant Garde" w:cs="Arial"/>
          <w:szCs w:val="22"/>
        </w:rPr>
        <w:t>SCJN</w:t>
      </w:r>
      <w:proofErr w:type="spellEnd"/>
      <w:r w:rsidRPr="00C032D9">
        <w:rPr>
          <w:rFonts w:ascii="ITC Avant Garde" w:hAnsi="ITC Avant Garde" w:cs="Arial"/>
          <w:szCs w:val="22"/>
        </w:rPr>
        <w:t>, Localizada en el Semanario Judicial de la Federación y su Gaceta, Tomo XX, Septiembre de 2004, Página 230.</w:t>
      </w:r>
      <w:r w:rsidRPr="00C032D9">
        <w:rPr>
          <w:rFonts w:ascii="ITC Avant Garde" w:hAnsi="ITC Avant Garde" w:cs="Arial"/>
          <w:szCs w:val="22"/>
        </w:rPr>
        <w:footnoteReference w:customMarkFollows="1" w:id="1"/>
        <w:t>[1]</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Resulta inherente a estas resoluciones el interés público, pues al resolver las cuestiones no acordadas entre las partes sobre las condiciones de interconexión, obligación de interconectar y fijación de tarifas, no se debe atender preponderantemente al interés particular de los concesionarios, sino al del público usuario, ya que se deben tomar en consideración los principios establecidos en la LFTyR, entre los que destaca la competencia efectiva.</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En efecto, las disposiciones de la LFTyR relativas a la interconexión son de orden público e interés social, la propia ley atribuye ese carácter al ordenamiento en general, tomando en cuenta que el fin inmediato y directo de esas normas y el actuar del Instituto es tutelar los derechos de la colectividad para evitarle algún trastorno o desventaja, como sucedería con la falta de interconexión o con una interconexión que dificultara la competitividad de los concesionarios en los mercados finales; y para procurarle la satisfacción de necesidades, o algún provecho o beneficio, como sería el desarrollo de nuevos concesionarios y servicios de comunicaciones, además de la posibilidad de tarifas mejores.</w:t>
      </w:r>
    </w:p>
    <w:p w:rsidR="00FA0F97" w:rsidRPr="00C032D9" w:rsidRDefault="00FA0F97" w:rsidP="00206B14">
      <w:pPr>
        <w:pStyle w:val="Textoindependiente"/>
        <w:spacing w:before="180" w:after="180" w:line="276" w:lineRule="auto"/>
        <w:rPr>
          <w:rFonts w:ascii="ITC Avant Garde" w:hAnsi="ITC Avant Garde" w:cs="Arial"/>
          <w:szCs w:val="22"/>
        </w:rPr>
      </w:pPr>
      <w:bookmarkStart w:id="6" w:name="tercero1"/>
      <w:bookmarkEnd w:id="5"/>
      <w:r w:rsidRPr="00C032D9">
        <w:rPr>
          <w:rFonts w:ascii="ITC Avant Garde" w:hAnsi="ITC Avant Garde" w:cs="Arial"/>
          <w:b/>
          <w:szCs w:val="22"/>
        </w:rPr>
        <w:t>TERCERO.- Obligatoriedad de la interconexión.-</w:t>
      </w:r>
      <w:r w:rsidRPr="00C032D9">
        <w:rPr>
          <w:rFonts w:ascii="ITC Avant Garde" w:hAnsi="ITC Avant Garde" w:cs="Arial"/>
          <w:szCs w:val="22"/>
        </w:rPr>
        <w:t xml:space="preserve"> En el artículo 125 de la LFTyR está previsto que los concesionarios de redes públicas de telecomunicaciones tienen la obligación de interconectar sus redes con las de otros concesionarios, en condiciones no discriminatorias, transparentes y basadas en criterios objetivos. </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lastRenderedPageBreak/>
        <w:t xml:space="preserve">Lo anterior pone de manifiesto que no existe supuesto normativo alguno en la LFTyR que prevea la posibilidad de que los concesionarios de redes públicas de telecomunicaciones nieguen dicha interconexión, al ser una obligación. </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 xml:space="preserve">Ahora bien, el artículo 129 de la LFTyR dispone que los concesionarios que operen redes públicas de telecomunicaciones, deberán interconectar sus redes, y a tal efecto, suscribirán un convenio en un plazo no mayor de sesenta días naturales contados a partir de que sea presentada la solicitud correspondiente. Esto es, los concesionarios de redes públicas de telecomunicaciones tienen la libertad de negociar los términos, condiciones y tarifas de la interconexión, mismos que deberán reflejarse en el convenio que al efecto suscriban, sin embargo, dicha libertad de negociación no implica de modo alguno negarse a interconectar sus redes públicas de telecomunicaciones. </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En este sentido, la</w:t>
      </w:r>
      <w:r w:rsidRPr="00C032D9">
        <w:rPr>
          <w:rFonts w:ascii="ITC Avant Garde" w:hAnsi="ITC Avant Garde"/>
          <w:lang w:eastAsia="es-ES"/>
        </w:rPr>
        <w:t xml:space="preserve"> LFTyR en su artículo 298 </w:t>
      </w:r>
      <w:proofErr w:type="gramStart"/>
      <w:r w:rsidRPr="00C032D9">
        <w:rPr>
          <w:rFonts w:ascii="ITC Avant Garde" w:hAnsi="ITC Avant Garde"/>
          <w:lang w:eastAsia="es-ES"/>
        </w:rPr>
        <w:t>inciso</w:t>
      </w:r>
      <w:proofErr w:type="gramEnd"/>
      <w:r w:rsidRPr="00C032D9">
        <w:rPr>
          <w:rFonts w:ascii="ITC Avant Garde" w:hAnsi="ITC Avant Garde"/>
          <w:lang w:eastAsia="es-ES"/>
        </w:rPr>
        <w:t xml:space="preserve"> D) fracción I, establece la sanción aplicable al concesionario que incumpla con las obligaciones en materia de operación e interconexión de redes de telecomunicaciones.</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 xml:space="preserve">La interconexión, se encuentra definida en el artículo 3º, fracción XXX de la LFTyR como: </w:t>
      </w:r>
    </w:p>
    <w:p w:rsidR="00FA0F97" w:rsidRPr="00C032D9" w:rsidRDefault="00FA0F97" w:rsidP="00206B14">
      <w:pPr>
        <w:pStyle w:val="Textoindependiente"/>
        <w:spacing w:before="180" w:after="180" w:line="276" w:lineRule="auto"/>
        <w:ind w:left="1417" w:right="1417"/>
        <w:rPr>
          <w:rFonts w:ascii="ITC Avant Garde" w:hAnsi="ITC Avant Garde" w:cs="Arial"/>
          <w:szCs w:val="22"/>
        </w:rPr>
      </w:pPr>
      <w:r w:rsidRPr="00C032D9">
        <w:rPr>
          <w:rFonts w:ascii="ITC Avant Garde" w:hAnsi="ITC Avant Garde" w:cs="Arial"/>
          <w:i/>
          <w:sz w:val="18"/>
          <w:szCs w:val="18"/>
        </w:rPr>
        <w:t>“Conexión física o virtual,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w:t>
      </w:r>
      <w:r w:rsidRPr="00C032D9">
        <w:rPr>
          <w:rFonts w:ascii="ITC Avant Garde" w:hAnsi="ITC Avant Garde" w:cs="Arial"/>
          <w:szCs w:val="22"/>
        </w:rPr>
        <w:t xml:space="preserve"> </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En este sentido la interconexión es el instrumento que garantiza la interoperabilidad de las redes y de los servicios, esto es, que los usuarios de una red puedan conectarse y comunicarse con los usuarios de otra y viceversa, o utilizar servicios proporcionados por la otra red. La obligatoriedad de la interconexión incluye ofrecer de manera no discriminatoria aquellas funciones necesarias para llevar a cabo la interconexión, en las mismas condiciones y con cuando menos la misma calidad de servicio que se otorguen a otros concesionarios que utilicen servicios de interconexión, capacidades o funciones similares.</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 xml:space="preserve">El bien jurídico tutelado por los artículos 124 y 125 de la LFTyR es permitir la comunicación de los usuarios con independencia de la red de telecomunicaciones con quien tenga contratados los servicios, y de este modo consumar la interconexión de redes públicas de telecomunicaciones para que los usuarios de una red (A) puedan comunicarse con los usuarios de otra red distinta (B). Si no hubiere interconexión entre la red A y la red B, un usuario necesariamente tendría que contratar sus servicios con ambas redes para </w:t>
      </w:r>
      <w:r w:rsidRPr="00C032D9">
        <w:rPr>
          <w:rFonts w:ascii="ITC Avant Garde" w:hAnsi="ITC Avant Garde" w:cs="Arial"/>
          <w:szCs w:val="22"/>
        </w:rPr>
        <w:lastRenderedPageBreak/>
        <w:t>asegurar que su universo de llamadas llegue a su destino. En caso de no hacerlo de esta forma, sólo podría establecer comunicación con los usuarios que también hayan contratado sus servicios con la red que él haya contratado. Esta situación repercutiría en que su decisión para adquirir sus servicios estaría afectada sensiblemente por la cobertura de las redes haciendo a un lado criterios relacionados con precio, calidad y diversidad de servicios.</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Es así que el artículo 125 de la LFTyR es garante del derecho que asiste a los usuarios de servicios de telecomunicaciones de tener comunicación con usuarios conectados a otras redes públicas de telecomunicaciones, así como de poder utilizar servicios proporcionados por otras redes, lo cual se logra con el cumplimiento de la obligación de todo concesionario de interconectar su red para garantizar el citado derecho de los usuarios. El objetivo último de un convenio de interconexión es que mediante la interconexión de las redes públicas de telecomunicaciones, se privilegie el interés público al permitir que los usuarios de una red puedan comunicarse con los usuarios de otra red y viceversa, o utilizar servicios proporcionados por la otra red.</w:t>
      </w:r>
    </w:p>
    <w:p w:rsidR="00FA0F97" w:rsidRPr="00C032D9" w:rsidRDefault="00FA0F97" w:rsidP="00206B14">
      <w:pPr>
        <w:pStyle w:val="Textoindependiente"/>
        <w:spacing w:before="180" w:after="180" w:line="276" w:lineRule="auto"/>
        <w:rPr>
          <w:rFonts w:ascii="ITC Avant Garde" w:hAnsi="ITC Avant Garde" w:cs="Arial"/>
        </w:rPr>
      </w:pPr>
      <w:r w:rsidRPr="00C032D9">
        <w:rPr>
          <w:rFonts w:ascii="ITC Avant Garde" w:hAnsi="ITC Avant Garde" w:cs="Arial"/>
        </w:rPr>
        <w:t xml:space="preserve">El artículo 129 de la LFTyR faculta a la autoridad para que, a solicitud de parte, intervenga tanto en el caso en que no exista convenio de condiciones de interconexión previo o interconexión de redes públicas de telecomunicaciones, así como en el caso en que algún concesionario solicite el inicio de negociaciones para convenir nuevos términos, condiciones o tarifas de interconexión, los cuales no estén acordados en convenios de interconexión previamente celebrados. </w:t>
      </w:r>
    </w:p>
    <w:p w:rsidR="00FA0F97" w:rsidRPr="00C032D9" w:rsidRDefault="00FA0F97" w:rsidP="00206B14">
      <w:pPr>
        <w:pStyle w:val="Textoindependiente"/>
        <w:spacing w:before="180" w:after="180" w:line="276" w:lineRule="auto"/>
        <w:rPr>
          <w:rFonts w:ascii="ITC Avant Garde" w:hAnsi="ITC Avant Garde" w:cs="Arial"/>
          <w:szCs w:val="22"/>
        </w:rPr>
      </w:pPr>
      <w:bookmarkStart w:id="7" w:name="tercero2"/>
      <w:bookmarkEnd w:id="6"/>
      <w:r w:rsidRPr="00C032D9">
        <w:rPr>
          <w:rFonts w:ascii="ITC Avant Garde" w:hAnsi="ITC Avant Garde" w:cs="Arial"/>
        </w:rPr>
        <w:t xml:space="preserve">En virtud de lo anterior, se concluye que: (i) la interconexión es el mecanismo que materializa la interoperabilidad de las redes y de los servicios, esto es, </w:t>
      </w:r>
      <w:r w:rsidRPr="00C032D9">
        <w:rPr>
          <w:rFonts w:ascii="ITC Avant Garde" w:hAnsi="ITC Avant Garde"/>
        </w:rPr>
        <w:t>que los usuarios de una de las redes públicas de telecomunicaciones puedan conectarse e intercambiar tráfico con los usuarios de la otra red pública de telecomunicaciones y viceversa, o bien permite a los usuarios de una red pública de telecomunicaciones la utilización de servicios de telecomunicaciones</w:t>
      </w:r>
      <w:r w:rsidRPr="00C032D9">
        <w:rPr>
          <w:rFonts w:ascii="ITC Avant Garde" w:hAnsi="ITC Avant Garde" w:cs="Arial"/>
        </w:rPr>
        <w:t xml:space="preserve">; (ii) los concesionarios están obligados a interconectar sus redes y, a tal efecto, suscribir un convenio en un plazo no mayor de sesenta (60) días naturales contados a partir de que alguno de ellos lo solicite; (iii) transcurridos los sesenta (60) días naturales a que hace alusión el artículo 129 de la LFTyR, sin que las partes hayan llegado a un acuerdo, a solicitud de parte, el Instituto resolverá los términos y condiciones de interconexión no convenidos sometidas a su competencia, dicha solicitud deberá someterse al Instituto dentro del plazo de  los cuarenta y cinco (45) días hábiles siguientes a que haya </w:t>
      </w:r>
      <w:r w:rsidRPr="00C032D9">
        <w:rPr>
          <w:rFonts w:ascii="ITC Avant Garde" w:hAnsi="ITC Avant Garde" w:cs="Arial"/>
          <w:szCs w:val="22"/>
        </w:rPr>
        <w:t>concluido el periodo de los sesenta (60) días naturales, y (iv) la obligatoriedad de la interconexión incluye el ofrecer de manera no discriminatoria aquellas funciones necesarias para llevar a cabo la interconexión, en las mismas condiciones y con cuando menos la misma calidad de servicio con que se presten a la propia operación, a las filiales y subsidiarias.</w:t>
      </w:r>
    </w:p>
    <w:p w:rsidR="00FA0F97" w:rsidRPr="00C032D9" w:rsidRDefault="00FA0F97" w:rsidP="00206B14">
      <w:pPr>
        <w:pStyle w:val="Textoindependiente"/>
        <w:spacing w:before="180" w:after="180" w:line="276" w:lineRule="auto"/>
        <w:rPr>
          <w:rFonts w:ascii="ITC Avant Garde" w:hAnsi="ITC Avant Garde" w:cs="Arial"/>
          <w:spacing w:val="-2"/>
          <w:szCs w:val="22"/>
        </w:rPr>
      </w:pPr>
      <w:r w:rsidRPr="00C032D9">
        <w:rPr>
          <w:rFonts w:ascii="ITC Avant Garde" w:hAnsi="ITC Avant Garde" w:cs="Arial"/>
          <w:spacing w:val="-2"/>
          <w:szCs w:val="22"/>
        </w:rPr>
        <w:lastRenderedPageBreak/>
        <w:t>Una vez analizado el marco regulatorio se desprende que los únicos requisitos para ser sujeto de la obligación de interconexión son: (i) ser concesionario que opere una red pública de telecomunicaciones, y (ii) que un concesionario que opere una red pública de telecomunicaciones la solicite a otro.</w:t>
      </w:r>
    </w:p>
    <w:p w:rsidR="00FA0F97" w:rsidRPr="00C032D9" w:rsidRDefault="00FA0F97" w:rsidP="00206B14">
      <w:pPr>
        <w:pStyle w:val="Textoindependiente"/>
        <w:spacing w:before="180" w:after="180" w:line="276" w:lineRule="auto"/>
        <w:rPr>
          <w:rFonts w:ascii="ITC Avant Garde" w:hAnsi="ITC Avant Garde" w:cs="Arial"/>
          <w:spacing w:val="-2"/>
          <w:szCs w:val="22"/>
          <w:lang w:val="es-ES"/>
        </w:rPr>
      </w:pPr>
      <w:r w:rsidRPr="00C032D9">
        <w:rPr>
          <w:rFonts w:ascii="ITC Avant Garde" w:hAnsi="ITC Avant Garde" w:cs="Arial"/>
          <w:spacing w:val="-2"/>
          <w:szCs w:val="22"/>
        </w:rPr>
        <w:t xml:space="preserve">En consecuencia, en autos está acreditado que las empresas Axtel y </w:t>
      </w:r>
      <w:proofErr w:type="spellStart"/>
      <w:r w:rsidRPr="00C032D9">
        <w:rPr>
          <w:rFonts w:ascii="ITC Avant Garde" w:hAnsi="ITC Avant Garde" w:cs="Arial"/>
          <w:spacing w:val="-2"/>
          <w:szCs w:val="22"/>
        </w:rPr>
        <w:t>Avantel</w:t>
      </w:r>
      <w:proofErr w:type="spellEnd"/>
      <w:r w:rsidRPr="00C032D9">
        <w:rPr>
          <w:rFonts w:ascii="ITC Avant Garde" w:hAnsi="ITC Avant Garde" w:cs="Arial"/>
          <w:spacing w:val="-2"/>
          <w:szCs w:val="22"/>
        </w:rPr>
        <w:t xml:space="preserve">, así como  Grupo AT&amp;T tienen el carácter de concesionarios que operan una de red pública de telecomunicaciones y que efectivamente Axtel y </w:t>
      </w:r>
      <w:proofErr w:type="spellStart"/>
      <w:r w:rsidRPr="00C032D9">
        <w:rPr>
          <w:rFonts w:ascii="ITC Avant Garde" w:hAnsi="ITC Avant Garde" w:cs="Arial"/>
          <w:spacing w:val="-2"/>
          <w:szCs w:val="22"/>
        </w:rPr>
        <w:t>Avantel</w:t>
      </w:r>
      <w:proofErr w:type="spellEnd"/>
      <w:r w:rsidRPr="00C032D9">
        <w:rPr>
          <w:rFonts w:ascii="ITC Avant Garde" w:hAnsi="ITC Avant Garde" w:cs="Arial"/>
          <w:spacing w:val="-2"/>
          <w:szCs w:val="22"/>
        </w:rPr>
        <w:t xml:space="preserve"> requirieron a Grupo AT&amp;T el inicio de negociaciones para convenir los términos, condiciones y tarifas de interconexión, según se desprende de los Antecedentes I, II, III, IV, V, VI, VII, VIII, IX y XIV de la presente Resolución. </w:t>
      </w:r>
    </w:p>
    <w:p w:rsidR="00FA0F97" w:rsidRPr="00C032D9" w:rsidRDefault="00FA0F97" w:rsidP="00206B14">
      <w:pPr>
        <w:pStyle w:val="Textoindependiente"/>
        <w:spacing w:before="180" w:after="180" w:line="276" w:lineRule="auto"/>
        <w:rPr>
          <w:rFonts w:ascii="ITC Avant Garde" w:hAnsi="ITC Avant Garde" w:cs="Arial"/>
          <w:szCs w:val="22"/>
        </w:rPr>
      </w:pPr>
      <w:r w:rsidRPr="00C032D9">
        <w:rPr>
          <w:rFonts w:ascii="ITC Avant Garde" w:hAnsi="ITC Avant Garde" w:cs="Arial"/>
          <w:szCs w:val="22"/>
        </w:rPr>
        <w:t xml:space="preserve">Por ello, conforme al artículo 124 de la LFTyR, </w:t>
      </w:r>
      <w:r w:rsidRPr="00C032D9">
        <w:rPr>
          <w:rFonts w:ascii="ITC Avant Garde" w:hAnsi="ITC Avant Garde" w:cs="Arial"/>
          <w:spacing w:val="-2"/>
          <w:szCs w:val="22"/>
        </w:rPr>
        <w:t xml:space="preserve">Axtel y </w:t>
      </w:r>
      <w:proofErr w:type="spellStart"/>
      <w:r w:rsidRPr="00C032D9">
        <w:rPr>
          <w:rFonts w:ascii="ITC Avant Garde" w:hAnsi="ITC Avant Garde" w:cs="Arial"/>
          <w:spacing w:val="-2"/>
          <w:szCs w:val="22"/>
        </w:rPr>
        <w:t>Avantel</w:t>
      </w:r>
      <w:proofErr w:type="spellEnd"/>
      <w:r w:rsidRPr="00C032D9">
        <w:rPr>
          <w:rFonts w:ascii="ITC Avant Garde" w:hAnsi="ITC Avant Garde" w:cs="Arial"/>
          <w:spacing w:val="-2"/>
          <w:szCs w:val="22"/>
        </w:rPr>
        <w:t>, así como Grupo AT&amp;T</w:t>
      </w:r>
      <w:r w:rsidRPr="00C032D9">
        <w:rPr>
          <w:rFonts w:ascii="ITC Avant Garde" w:hAnsi="ITC Avant Garde" w:cs="Arial"/>
          <w:szCs w:val="22"/>
        </w:rPr>
        <w:t xml:space="preserve"> están obligados a garantizar la eficiente interconexión de sus respectivas redes públicas de telecomunicaciones, formalizando en todo caso, la suscripción del convenio respectivo que estipule los términos, condiciones y tarifas aplicables.</w:t>
      </w:r>
    </w:p>
    <w:bookmarkEnd w:id="7"/>
    <w:p w:rsidR="00FA0F97" w:rsidRPr="00C032D9" w:rsidRDefault="00FA0F97" w:rsidP="00206B14">
      <w:pPr>
        <w:pStyle w:val="Textoindependiente"/>
        <w:spacing w:before="180" w:after="180" w:line="276" w:lineRule="auto"/>
        <w:rPr>
          <w:rFonts w:ascii="ITC Avant Garde" w:hAnsi="ITC Avant Garde"/>
          <w:szCs w:val="22"/>
        </w:rPr>
      </w:pPr>
      <w:r w:rsidRPr="00C032D9">
        <w:rPr>
          <w:rFonts w:ascii="ITC Avant Garde" w:hAnsi="ITC Avant Garde"/>
          <w:b/>
          <w:bCs/>
        </w:rPr>
        <w:t>CUARTO.- Plazos.-</w:t>
      </w:r>
      <w:r w:rsidRPr="00C032D9">
        <w:rPr>
          <w:rFonts w:ascii="ITC Avant Garde" w:hAnsi="ITC Avant Garde"/>
        </w:rPr>
        <w:t xml:space="preserve"> En virtud de que </w:t>
      </w:r>
      <w:r w:rsidRPr="00C032D9">
        <w:rPr>
          <w:rFonts w:ascii="ITC Avant Garde" w:hAnsi="ITC Avant Garde" w:cs="Arial"/>
          <w:spacing w:val="-2"/>
          <w:szCs w:val="22"/>
        </w:rPr>
        <w:t xml:space="preserve">Axtel y </w:t>
      </w:r>
      <w:proofErr w:type="spellStart"/>
      <w:r w:rsidRPr="00C032D9">
        <w:rPr>
          <w:rFonts w:ascii="ITC Avant Garde" w:hAnsi="ITC Avant Garde" w:cs="Arial"/>
          <w:spacing w:val="-2"/>
          <w:szCs w:val="22"/>
        </w:rPr>
        <w:t>Avantel</w:t>
      </w:r>
      <w:proofErr w:type="spellEnd"/>
      <w:r w:rsidRPr="00C032D9">
        <w:rPr>
          <w:rFonts w:ascii="ITC Avant Garde" w:hAnsi="ITC Avant Garde" w:cs="Arial"/>
          <w:spacing w:val="-2"/>
          <w:szCs w:val="22"/>
        </w:rPr>
        <w:t xml:space="preserve"> </w:t>
      </w:r>
      <w:r w:rsidRPr="00C032D9">
        <w:rPr>
          <w:rFonts w:ascii="ITC Avant Garde" w:hAnsi="ITC Avant Garde"/>
        </w:rPr>
        <w:t>notificaron a Grupo AT&amp;T, con fecha 15 de mayo de 2015</w:t>
      </w:r>
      <w:r w:rsidRPr="00C032D9">
        <w:rPr>
          <w:rFonts w:ascii="ITC Avant Garde" w:hAnsi="ITC Avant Garde" w:cs="Arial"/>
        </w:rPr>
        <w:t xml:space="preserve">, </w:t>
      </w:r>
      <w:r w:rsidRPr="00C032D9">
        <w:rPr>
          <w:rFonts w:ascii="ITC Avant Garde" w:hAnsi="ITC Avant Garde" w:cs="Arial"/>
          <w:bCs/>
        </w:rPr>
        <w:t>el inicio de las gestiones para establecer términos, condiciones y tarifas aplicables a la interconexión entre las respectivas redes públicas de telecomunicaciones</w:t>
      </w:r>
      <w:r w:rsidRPr="00C032D9">
        <w:rPr>
          <w:rFonts w:ascii="ITC Avant Garde" w:hAnsi="ITC Avant Garde" w:cs="Arial"/>
          <w:bCs/>
          <w:szCs w:val="22"/>
        </w:rPr>
        <w:t xml:space="preserve"> </w:t>
      </w:r>
      <w:r w:rsidRPr="00C032D9">
        <w:rPr>
          <w:rFonts w:ascii="ITC Avant Garde" w:hAnsi="ITC Avant Garde"/>
        </w:rPr>
        <w:t xml:space="preserve">de dichos concesionarios </w:t>
      </w:r>
      <w:r w:rsidRPr="00C032D9">
        <w:rPr>
          <w:rFonts w:ascii="ITC Avant Garde" w:hAnsi="ITC Avant Garde"/>
          <w:szCs w:val="22"/>
        </w:rPr>
        <w:t>y dado que ha transcurrido en exceso el plazo legal de sesenta (60) días naturales, sin que a la fecha de emisión de la presente Resolución las partes hayan acordado los mencionados términos, condiciones y tarifas de interconexión, el Instituto, de conformidad con el artículo 129 de la LFTyR, resolverá sobre aquellos puntos de desacuerdo que se someten a su consideración.</w:t>
      </w:r>
    </w:p>
    <w:p w:rsidR="00FA0F97" w:rsidRPr="00C032D9" w:rsidRDefault="00FA0F97" w:rsidP="00206B14">
      <w:pPr>
        <w:pStyle w:val="Textoindependiente"/>
        <w:spacing w:before="180" w:after="180" w:line="276" w:lineRule="auto"/>
        <w:rPr>
          <w:rFonts w:ascii="ITC Avant Garde" w:hAnsi="ITC Avant Garde"/>
        </w:rPr>
      </w:pPr>
      <w:r w:rsidRPr="00C032D9">
        <w:rPr>
          <w:rFonts w:ascii="ITC Avant Garde" w:hAnsi="ITC Avant Garde"/>
          <w:szCs w:val="22"/>
        </w:rPr>
        <w:t xml:space="preserve">Asimismo se acredita que Axtel y </w:t>
      </w:r>
      <w:proofErr w:type="spellStart"/>
      <w:r w:rsidRPr="00C032D9">
        <w:rPr>
          <w:rFonts w:ascii="ITC Avant Garde" w:hAnsi="ITC Avant Garde"/>
          <w:szCs w:val="22"/>
        </w:rPr>
        <w:t>Avantel</w:t>
      </w:r>
      <w:proofErr w:type="spellEnd"/>
      <w:r w:rsidRPr="00C032D9">
        <w:rPr>
          <w:rFonts w:ascii="ITC Avant Garde" w:hAnsi="ITC Avant Garde"/>
          <w:szCs w:val="22"/>
        </w:rPr>
        <w:t xml:space="preserve"> </w:t>
      </w:r>
      <w:r w:rsidRPr="00C032D9">
        <w:rPr>
          <w:rFonts w:ascii="ITC Avant Garde" w:hAnsi="ITC Avant Garde"/>
        </w:rPr>
        <w:t>solicitaron la intervención del Instituto para la resolución del desacuerdo dentro de los 45 días hábiles contados a partir del día hábil siguiente al plazo de 60 días antes mencionado. Todo ello de conformidad con la fracción I del artículo 129 de la LFTyR.</w:t>
      </w:r>
    </w:p>
    <w:p w:rsidR="00FA0F97" w:rsidRPr="00C032D9" w:rsidRDefault="00FA0F97" w:rsidP="00206B14">
      <w:pPr>
        <w:pStyle w:val="Textoindependiente"/>
        <w:spacing w:before="180" w:after="180" w:line="276" w:lineRule="auto"/>
        <w:rPr>
          <w:rFonts w:ascii="ITC Avant Garde" w:hAnsi="ITC Avant Garde"/>
          <w:bCs/>
          <w:lang w:val="es-ES" w:eastAsia="es-ES"/>
        </w:rPr>
      </w:pPr>
      <w:r w:rsidRPr="00C032D9">
        <w:rPr>
          <w:rFonts w:ascii="ITC Avant Garde" w:hAnsi="ITC Avant Garde"/>
          <w:bCs/>
          <w:lang w:val="es-ES" w:eastAsia="es-ES"/>
        </w:rPr>
        <w:t xml:space="preserve">Cabe mencionar que mediante trámites IFT/UPR/1412 e IFT/UPR/1415 del </w:t>
      </w:r>
      <w:proofErr w:type="spellStart"/>
      <w:r w:rsidRPr="00C032D9">
        <w:rPr>
          <w:rFonts w:ascii="ITC Avant Garde" w:hAnsi="ITC Avant Garde"/>
          <w:bCs/>
          <w:lang w:val="es-ES" w:eastAsia="es-ES"/>
        </w:rPr>
        <w:t>SESI</w:t>
      </w:r>
      <w:proofErr w:type="spellEnd"/>
      <w:r w:rsidRPr="00C032D9">
        <w:rPr>
          <w:rFonts w:ascii="ITC Avant Garde" w:hAnsi="ITC Avant Garde"/>
          <w:bCs/>
          <w:lang w:val="es-ES" w:eastAsia="es-ES"/>
        </w:rPr>
        <w:t xml:space="preserve">, las negociaciones materia de la Solicitud de Resolución entre </w:t>
      </w:r>
      <w:r w:rsidRPr="00C032D9">
        <w:rPr>
          <w:rFonts w:ascii="ITC Avant Garde" w:hAnsi="ITC Avant Garde" w:cs="Arial"/>
          <w:spacing w:val="-2"/>
          <w:szCs w:val="22"/>
        </w:rPr>
        <w:t xml:space="preserve">Axtel, </w:t>
      </w:r>
      <w:proofErr w:type="spellStart"/>
      <w:r w:rsidRPr="00C032D9">
        <w:rPr>
          <w:rFonts w:ascii="ITC Avant Garde" w:hAnsi="ITC Avant Garde" w:cs="Arial"/>
          <w:spacing w:val="-2"/>
          <w:szCs w:val="22"/>
        </w:rPr>
        <w:t>Avantel</w:t>
      </w:r>
      <w:proofErr w:type="spellEnd"/>
      <w:r w:rsidRPr="00C032D9">
        <w:rPr>
          <w:rFonts w:ascii="ITC Avant Garde" w:hAnsi="ITC Avant Garde" w:cs="Arial"/>
          <w:spacing w:val="-2"/>
          <w:szCs w:val="22"/>
        </w:rPr>
        <w:t xml:space="preserve"> </w:t>
      </w:r>
      <w:r w:rsidRPr="00C032D9">
        <w:rPr>
          <w:rFonts w:ascii="ITC Avant Garde" w:hAnsi="ITC Avant Garde"/>
          <w:bCs/>
          <w:lang w:val="es-ES" w:eastAsia="es-ES"/>
        </w:rPr>
        <w:t>y Grupo AT&amp;T iniciaron su trámite dentro de dicho sistema, teniéndose así por satisfechos los requisitos que marca el artículo 129 de la LFTyR.</w:t>
      </w:r>
    </w:p>
    <w:p w:rsidR="00FA0F97" w:rsidRPr="00C032D9" w:rsidRDefault="00FA0F97" w:rsidP="00206B14">
      <w:pPr>
        <w:pStyle w:val="Textoindependiente"/>
        <w:spacing w:before="180" w:after="180" w:line="276" w:lineRule="auto"/>
        <w:rPr>
          <w:rFonts w:ascii="ITC Avant Garde" w:hAnsi="ITC Avant Garde"/>
          <w:szCs w:val="22"/>
        </w:rPr>
      </w:pPr>
      <w:r w:rsidRPr="00C032D9">
        <w:rPr>
          <w:rFonts w:ascii="ITC Avant Garde" w:hAnsi="ITC Avant Garde"/>
          <w:szCs w:val="22"/>
        </w:rPr>
        <w:t xml:space="preserve">Asimismo, </w:t>
      </w:r>
      <w:r w:rsidRPr="00C032D9">
        <w:rPr>
          <w:rFonts w:ascii="ITC Avant Garde" w:hAnsi="ITC Avant Garde" w:cs="Arial"/>
          <w:spacing w:val="-2"/>
          <w:szCs w:val="22"/>
        </w:rPr>
        <w:t xml:space="preserve">Axtel y </w:t>
      </w:r>
      <w:proofErr w:type="spellStart"/>
      <w:r w:rsidRPr="00C032D9">
        <w:rPr>
          <w:rFonts w:ascii="ITC Avant Garde" w:hAnsi="ITC Avant Garde" w:cs="Arial"/>
          <w:spacing w:val="-2"/>
          <w:szCs w:val="22"/>
        </w:rPr>
        <w:t>Avantel</w:t>
      </w:r>
      <w:proofErr w:type="spellEnd"/>
      <w:r w:rsidRPr="00C032D9">
        <w:rPr>
          <w:rFonts w:ascii="ITC Avant Garde" w:hAnsi="ITC Avant Garde" w:cs="Arial"/>
          <w:spacing w:val="-2"/>
          <w:szCs w:val="22"/>
        </w:rPr>
        <w:t xml:space="preserve"> </w:t>
      </w:r>
      <w:r w:rsidRPr="00C032D9">
        <w:rPr>
          <w:rFonts w:ascii="ITC Avant Garde" w:hAnsi="ITC Avant Garde"/>
          <w:szCs w:val="22"/>
        </w:rPr>
        <w:t xml:space="preserve">manifestaron que no habían alcanzado un acuerdo con Grupo AT&amp;T. Lo cual quedó corroborado con la Respuesta de Grupo AT&amp;T, de la cual se desprende que no ha convenido las condiciones de interconexión propuestas por </w:t>
      </w:r>
      <w:r w:rsidRPr="00C032D9">
        <w:rPr>
          <w:rFonts w:ascii="ITC Avant Garde" w:hAnsi="ITC Avant Garde" w:cs="Arial"/>
          <w:spacing w:val="-2"/>
          <w:szCs w:val="22"/>
        </w:rPr>
        <w:t xml:space="preserve">Axtel y </w:t>
      </w:r>
      <w:proofErr w:type="spellStart"/>
      <w:r w:rsidRPr="00C032D9">
        <w:rPr>
          <w:rFonts w:ascii="ITC Avant Garde" w:hAnsi="ITC Avant Garde" w:cs="Arial"/>
          <w:spacing w:val="-2"/>
          <w:szCs w:val="22"/>
        </w:rPr>
        <w:t>Avantel</w:t>
      </w:r>
      <w:proofErr w:type="spellEnd"/>
      <w:r w:rsidRPr="00C032D9">
        <w:rPr>
          <w:rFonts w:ascii="ITC Avant Garde" w:hAnsi="ITC Avant Garde"/>
          <w:szCs w:val="22"/>
        </w:rPr>
        <w:t xml:space="preserve">. </w:t>
      </w:r>
    </w:p>
    <w:p w:rsidR="00FA0F97" w:rsidRPr="00C032D9" w:rsidRDefault="00FA0F97" w:rsidP="00206B14">
      <w:pPr>
        <w:pStyle w:val="Piedepgina"/>
        <w:widowControl w:val="0"/>
        <w:tabs>
          <w:tab w:val="left" w:pos="720"/>
        </w:tabs>
        <w:spacing w:before="180" w:after="180" w:line="276" w:lineRule="auto"/>
        <w:jc w:val="both"/>
        <w:rPr>
          <w:rFonts w:ascii="ITC Avant Garde" w:hAnsi="ITC Avant Garde" w:cs="Arial"/>
        </w:rPr>
      </w:pPr>
      <w:r w:rsidRPr="00C032D9">
        <w:rPr>
          <w:rFonts w:ascii="ITC Avant Garde" w:hAnsi="ITC Avant Garde" w:cs="Arial"/>
        </w:rPr>
        <w:t xml:space="preserve">Por tanto, se materializa la hipótesis normativa prevista en segundo párrafo del artículo </w:t>
      </w:r>
      <w:r w:rsidRPr="00C032D9">
        <w:rPr>
          <w:rFonts w:ascii="ITC Avant Garde" w:hAnsi="ITC Avant Garde" w:cs="Arial"/>
        </w:rPr>
        <w:lastRenderedPageBreak/>
        <w:t>129 de la LFTyR, por lo que el Instituto se encuentra plenamente facultado para resolver aquellas condiciones de interconexión no convenidas entre las partes, es decir, los términos, condiciones y tarifas relacionadas con la interconexión de las redes públicas de telecomunicaciones de dichos concesionarios.</w:t>
      </w:r>
    </w:p>
    <w:p w:rsidR="00FA0F97" w:rsidRPr="00C032D9" w:rsidRDefault="00FA0F97" w:rsidP="00206B14">
      <w:pPr>
        <w:spacing w:before="180" w:after="180"/>
        <w:jc w:val="both"/>
        <w:rPr>
          <w:rFonts w:ascii="ITC Avant Garde" w:hAnsi="ITC Avant Garde" w:cs="Arial"/>
        </w:rPr>
      </w:pPr>
      <w:r w:rsidRPr="00C032D9">
        <w:rPr>
          <w:rFonts w:ascii="ITC Avant Garde" w:hAnsi="ITC Avant Garde" w:cs="Arial"/>
          <w:b/>
        </w:rPr>
        <w:t xml:space="preserve">QUINTO.- Valoración de las pruebas ofrecidas por las partes. </w:t>
      </w:r>
      <w:r w:rsidRPr="00C032D9">
        <w:rPr>
          <w:rFonts w:ascii="ITC Avant Garde" w:hAnsi="ITC Avant Garde" w:cs="Arial"/>
        </w:rPr>
        <w:t>En términos generales la prueba es el medio de demostración de la realidad de un hecho o de la existencia de un acto. Es así que dentro del procedimiento de mérito, la prueba cumple la siguiente función: i) fija los hechos materia del desacuerdo, ii) generar certeza acerca de las afirmaciones y alegaciones de los concesionarios sujetos del desacuerdo.</w:t>
      </w:r>
    </w:p>
    <w:p w:rsidR="00FA0F97" w:rsidRPr="00C032D9" w:rsidRDefault="00FA0F97" w:rsidP="00206B14">
      <w:pPr>
        <w:spacing w:before="180" w:after="180"/>
        <w:jc w:val="both"/>
        <w:rPr>
          <w:rFonts w:ascii="ITC Avant Garde" w:hAnsi="ITC Avant Garde" w:cs="Arial"/>
        </w:rPr>
      </w:pPr>
      <w:r w:rsidRPr="00C032D9">
        <w:rPr>
          <w:rFonts w:ascii="ITC Avant Garde" w:hAnsi="ITC Avant Garde" w:cs="Arial"/>
        </w:rPr>
        <w:t>Por su parte la Ley Federal de Procedimiento Administrativo (en lo sucesivo, la “</w:t>
      </w:r>
      <w:proofErr w:type="spellStart"/>
      <w:r w:rsidRPr="00C032D9">
        <w:rPr>
          <w:rFonts w:ascii="ITC Avant Garde" w:hAnsi="ITC Avant Garde" w:cs="Arial"/>
        </w:rPr>
        <w:t>LFPA</w:t>
      </w:r>
      <w:proofErr w:type="spellEnd"/>
      <w:r w:rsidRPr="00C032D9">
        <w:rPr>
          <w:rFonts w:ascii="ITC Avant Garde" w:hAnsi="ITC Avant Garde" w:cs="Arial"/>
        </w:rPr>
        <w:t>”) y el Código Federal de Procedimientos Civiles (en lo sucesivo, el “</w:t>
      </w:r>
      <w:proofErr w:type="spellStart"/>
      <w:r w:rsidRPr="00C032D9">
        <w:rPr>
          <w:rFonts w:ascii="ITC Avant Garde" w:hAnsi="ITC Avant Garde" w:cs="Arial"/>
        </w:rPr>
        <w:t>CFPC</w:t>
      </w:r>
      <w:proofErr w:type="spellEnd"/>
      <w:r w:rsidRPr="00C032D9">
        <w:rPr>
          <w:rFonts w:ascii="ITC Avant Garde" w:hAnsi="ITC Avant Garde" w:cs="Arial"/>
        </w:rPr>
        <w:t xml:space="preserve">”) establecen que en los procedimientos administrativos se admitirán toda clase de pruebas, excepto la confesional de las autoridades. Asimismo, establece en cuanto a su valoración que la autoridad goza de la más amplia libertad para hacer el análisis de las pruebas rendidas; para determinar el valor de las mismas, y para fijar el resultado final de dicha valuación. </w:t>
      </w:r>
    </w:p>
    <w:p w:rsidR="00FA0F97" w:rsidRPr="00C032D9" w:rsidRDefault="00FA0F97" w:rsidP="00206B14">
      <w:pPr>
        <w:spacing w:before="180" w:after="180"/>
        <w:jc w:val="both"/>
        <w:rPr>
          <w:rFonts w:ascii="ITC Avant Garde" w:hAnsi="ITC Avant Garde"/>
          <w:b/>
          <w:szCs w:val="24"/>
        </w:rPr>
      </w:pPr>
      <w:r w:rsidRPr="00C032D9">
        <w:rPr>
          <w:rFonts w:ascii="ITC Avant Garde" w:hAnsi="ITC Avant Garde"/>
          <w:b/>
          <w:szCs w:val="24"/>
        </w:rPr>
        <w:t xml:space="preserve">5.1 Pruebas ofrecidas por </w:t>
      </w:r>
      <w:r w:rsidRPr="00C032D9">
        <w:rPr>
          <w:rFonts w:ascii="ITC Avant Garde" w:hAnsi="ITC Avant Garde" w:cs="Arial"/>
          <w:b/>
          <w:spacing w:val="-2"/>
        </w:rPr>
        <w:t>Axtel-</w:t>
      </w:r>
      <w:proofErr w:type="spellStart"/>
      <w:r w:rsidRPr="00C032D9">
        <w:rPr>
          <w:rFonts w:ascii="ITC Avant Garde" w:hAnsi="ITC Avant Garde" w:cs="Arial"/>
          <w:b/>
          <w:spacing w:val="-2"/>
        </w:rPr>
        <w:t>Avantel</w:t>
      </w:r>
      <w:proofErr w:type="spellEnd"/>
      <w:r w:rsidRPr="00C032D9">
        <w:rPr>
          <w:rFonts w:ascii="ITC Avant Garde" w:hAnsi="ITC Avant Garde"/>
          <w:b/>
          <w:szCs w:val="24"/>
        </w:rPr>
        <w:t>.</w:t>
      </w:r>
    </w:p>
    <w:p w:rsidR="00FA0F97" w:rsidRPr="00C032D9" w:rsidRDefault="00FA0F97" w:rsidP="00206B14">
      <w:pPr>
        <w:spacing w:before="180" w:after="180"/>
        <w:jc w:val="both"/>
        <w:rPr>
          <w:rFonts w:ascii="ITC Avant Garde" w:hAnsi="ITC Avant Garde"/>
          <w:szCs w:val="24"/>
        </w:rPr>
      </w:pPr>
      <w:r w:rsidRPr="00C032D9">
        <w:rPr>
          <w:rFonts w:ascii="ITC Avant Garde" w:hAnsi="ITC Avant Garde" w:cs="Arial"/>
        </w:rPr>
        <w:t xml:space="preserve">En ese sentido, respecto a las pruebas ofrecidas por </w:t>
      </w:r>
      <w:r w:rsidRPr="00C032D9">
        <w:rPr>
          <w:rFonts w:ascii="ITC Avant Garde" w:hAnsi="ITC Avant Garde" w:cs="Arial"/>
          <w:spacing w:val="-2"/>
        </w:rPr>
        <w:t xml:space="preserve">Axtel y </w:t>
      </w:r>
      <w:proofErr w:type="spellStart"/>
      <w:r w:rsidRPr="00C032D9">
        <w:rPr>
          <w:rFonts w:ascii="ITC Avant Garde" w:hAnsi="ITC Avant Garde" w:cs="Arial"/>
          <w:spacing w:val="-2"/>
        </w:rPr>
        <w:t>Avantel</w:t>
      </w:r>
      <w:proofErr w:type="spellEnd"/>
      <w:r w:rsidRPr="00C032D9">
        <w:rPr>
          <w:rFonts w:ascii="ITC Avant Garde" w:hAnsi="ITC Avant Garde" w:cs="Arial"/>
        </w:rPr>
        <w:t xml:space="preserve"> en el procedimiento de mérito, este Instituto valora las pruebas ofrecidas en el sentido siguiente:</w:t>
      </w:r>
    </w:p>
    <w:p w:rsidR="00FA0F97" w:rsidRPr="00C032D9" w:rsidRDefault="00FA0F97" w:rsidP="00206B14">
      <w:pPr>
        <w:numPr>
          <w:ilvl w:val="0"/>
          <w:numId w:val="27"/>
        </w:numPr>
        <w:tabs>
          <w:tab w:val="left" w:pos="567"/>
        </w:tabs>
        <w:spacing w:before="180" w:after="180"/>
        <w:ind w:left="567" w:right="48" w:hanging="283"/>
        <w:jc w:val="both"/>
        <w:rPr>
          <w:rFonts w:ascii="ITC Avant Garde" w:eastAsia="Times New Roman" w:hAnsi="ITC Avant Garde"/>
          <w:bCs/>
          <w:lang w:val="es-ES" w:eastAsia="es-ES"/>
        </w:rPr>
      </w:pPr>
      <w:r w:rsidRPr="00C032D9">
        <w:rPr>
          <w:rFonts w:ascii="ITC Avant Garde" w:hAnsi="ITC Avant Garde"/>
          <w:bCs/>
          <w:lang w:val="es-ES"/>
        </w:rPr>
        <w:t xml:space="preserve">Respecto a las Documentales privadas ofrecidas por </w:t>
      </w:r>
      <w:r w:rsidRPr="00C032D9">
        <w:rPr>
          <w:rFonts w:ascii="ITC Avant Garde" w:hAnsi="ITC Avant Garde" w:cs="Arial"/>
          <w:spacing w:val="-2"/>
        </w:rPr>
        <w:t>Axtel-</w:t>
      </w:r>
      <w:proofErr w:type="spellStart"/>
      <w:r w:rsidRPr="00C032D9">
        <w:rPr>
          <w:rFonts w:ascii="ITC Avant Garde" w:hAnsi="ITC Avant Garde" w:cs="Arial"/>
          <w:spacing w:val="-2"/>
        </w:rPr>
        <w:t>Avantel</w:t>
      </w:r>
      <w:proofErr w:type="spellEnd"/>
      <w:r w:rsidRPr="00C032D9">
        <w:rPr>
          <w:rFonts w:ascii="ITC Avant Garde" w:hAnsi="ITC Avant Garde"/>
          <w:bCs/>
          <w:lang w:val="es-ES"/>
        </w:rPr>
        <w:t xml:space="preserve"> </w:t>
      </w:r>
      <w:r w:rsidRPr="00C032D9">
        <w:rPr>
          <w:rFonts w:ascii="ITC Avant Garde" w:hAnsi="ITC Avant Garde"/>
        </w:rPr>
        <w:t xml:space="preserve">consiste en las cuatro cartas dadas de alta el 15 de mayo de 2015 en el </w:t>
      </w:r>
      <w:proofErr w:type="spellStart"/>
      <w:r w:rsidRPr="00C032D9">
        <w:rPr>
          <w:rFonts w:ascii="ITC Avant Garde" w:hAnsi="ITC Avant Garde"/>
        </w:rPr>
        <w:t>SESI</w:t>
      </w:r>
      <w:proofErr w:type="spellEnd"/>
      <w:r w:rsidRPr="00C032D9">
        <w:rPr>
          <w:rFonts w:ascii="ITC Avant Garde" w:hAnsi="ITC Avant Garde"/>
        </w:rPr>
        <w:t xml:space="preserve">, este Instituto le da valor probatorio en términos de lo establecido en los artículos </w:t>
      </w:r>
      <w:r w:rsidRPr="00C032D9">
        <w:rPr>
          <w:rFonts w:ascii="ITC Avant Garde" w:eastAsia="Times New Roman" w:hAnsi="ITC Avant Garde"/>
          <w:bCs/>
          <w:lang w:val="es-ES" w:eastAsia="es-ES"/>
        </w:rPr>
        <w:t xml:space="preserve">133, 197, 203 y 210-A del </w:t>
      </w:r>
      <w:proofErr w:type="spellStart"/>
      <w:r w:rsidRPr="00C032D9">
        <w:rPr>
          <w:rFonts w:ascii="ITC Avant Garde" w:eastAsia="Times New Roman" w:hAnsi="ITC Avant Garde"/>
          <w:bCs/>
          <w:lang w:val="es-ES" w:eastAsia="es-ES"/>
        </w:rPr>
        <w:t>CFPC</w:t>
      </w:r>
      <w:proofErr w:type="spellEnd"/>
      <w:r w:rsidRPr="00C032D9">
        <w:rPr>
          <w:rFonts w:ascii="ITC Avant Garde" w:eastAsia="Times New Roman" w:hAnsi="ITC Avant Garde"/>
          <w:bCs/>
          <w:lang w:val="es-ES" w:eastAsia="es-ES"/>
        </w:rPr>
        <w:t>,</w:t>
      </w:r>
      <w:r w:rsidRPr="00C032D9">
        <w:rPr>
          <w:rFonts w:ascii="ITC Avant Garde" w:hAnsi="ITC Avant Garde"/>
        </w:rPr>
        <w:t xml:space="preserve"> de aplicación supletoria conforme al artículo 6° fracción VII de la LFTyR, al hacer prueba plena de los hechos legalmente afirmados consistente </w:t>
      </w:r>
      <w:r w:rsidRPr="00C032D9">
        <w:rPr>
          <w:rFonts w:ascii="ITC Avant Garde" w:eastAsia="Times New Roman" w:hAnsi="ITC Avant Garde"/>
          <w:bCs/>
          <w:lang w:val="es-ES" w:eastAsia="es-ES"/>
        </w:rPr>
        <w:t xml:space="preserve">en que el inicio de negociaciones tendientes a convenir las condiciones, términos y tarifas de interconexión aplicables del 1 de enero al 31 de diciembre de 2016, se llevó a cabo a través del </w:t>
      </w:r>
      <w:proofErr w:type="spellStart"/>
      <w:r w:rsidRPr="00C032D9">
        <w:rPr>
          <w:rFonts w:ascii="ITC Avant Garde" w:eastAsia="Times New Roman" w:hAnsi="ITC Avant Garde"/>
          <w:bCs/>
          <w:lang w:val="es-ES" w:eastAsia="es-ES"/>
        </w:rPr>
        <w:t>SESI</w:t>
      </w:r>
      <w:proofErr w:type="spellEnd"/>
      <w:r w:rsidRPr="00C032D9">
        <w:rPr>
          <w:rFonts w:ascii="ITC Avant Garde" w:eastAsia="Times New Roman" w:hAnsi="ITC Avant Garde"/>
          <w:bCs/>
          <w:lang w:val="es-ES" w:eastAsia="es-ES"/>
        </w:rPr>
        <w:t xml:space="preserve">, por lo que este Instituto considera que la petición de  Axtel y </w:t>
      </w:r>
      <w:proofErr w:type="spellStart"/>
      <w:r w:rsidRPr="00C032D9">
        <w:rPr>
          <w:rFonts w:ascii="ITC Avant Garde" w:eastAsia="Times New Roman" w:hAnsi="ITC Avant Garde"/>
          <w:bCs/>
          <w:lang w:val="es-ES" w:eastAsia="es-ES"/>
        </w:rPr>
        <w:t>Avantel</w:t>
      </w:r>
      <w:proofErr w:type="spellEnd"/>
      <w:r w:rsidRPr="00C032D9">
        <w:rPr>
          <w:rFonts w:ascii="ITC Avant Garde" w:eastAsia="Times New Roman" w:hAnsi="ITC Avant Garde"/>
          <w:bCs/>
          <w:lang w:val="es-ES" w:eastAsia="es-ES"/>
        </w:rPr>
        <w:t xml:space="preserve"> se encuentra debidamente acreditada. </w:t>
      </w:r>
    </w:p>
    <w:p w:rsidR="00FA0F97" w:rsidRPr="00C032D9" w:rsidRDefault="00FA0F97" w:rsidP="00206B14">
      <w:pPr>
        <w:numPr>
          <w:ilvl w:val="0"/>
          <w:numId w:val="27"/>
        </w:numPr>
        <w:tabs>
          <w:tab w:val="left" w:pos="567"/>
        </w:tabs>
        <w:spacing w:before="180" w:after="180"/>
        <w:ind w:left="567" w:right="-1" w:hanging="283"/>
        <w:jc w:val="both"/>
        <w:rPr>
          <w:rFonts w:ascii="ITC Avant Garde" w:hAnsi="ITC Avant Garde"/>
          <w:bCs/>
          <w:lang w:val="es-ES" w:eastAsia="es-MX"/>
        </w:rPr>
      </w:pPr>
      <w:r w:rsidRPr="00C032D9">
        <w:rPr>
          <w:rFonts w:ascii="ITC Avant Garde" w:hAnsi="ITC Avant Garde"/>
          <w:bCs/>
          <w:lang w:val="es-ES"/>
        </w:rPr>
        <w:t xml:space="preserve">Respecto a la Documental privada consistente en el reporte </w:t>
      </w:r>
      <w:proofErr w:type="spellStart"/>
      <w:r w:rsidRPr="00C032D9">
        <w:rPr>
          <w:rFonts w:ascii="ITC Avant Garde" w:hAnsi="ITC Avant Garde"/>
          <w:bCs/>
          <w:lang w:val="es-ES"/>
        </w:rPr>
        <w:t>WIK-Consultant</w:t>
      </w:r>
      <w:proofErr w:type="spellEnd"/>
      <w:r w:rsidRPr="00C032D9">
        <w:rPr>
          <w:rFonts w:ascii="ITC Avant Garde" w:hAnsi="ITC Avant Garde"/>
          <w:bCs/>
          <w:lang w:val="es-ES"/>
        </w:rPr>
        <w:t xml:space="preserve"> titulado “</w:t>
      </w:r>
      <w:proofErr w:type="spellStart"/>
      <w:r w:rsidRPr="00C032D9">
        <w:rPr>
          <w:rFonts w:ascii="ITC Avant Garde" w:hAnsi="ITC Avant Garde"/>
          <w:bCs/>
          <w:i/>
          <w:lang w:val="es-ES"/>
        </w:rPr>
        <w:t>Mexican</w:t>
      </w:r>
      <w:proofErr w:type="spellEnd"/>
      <w:r w:rsidRPr="00C032D9">
        <w:rPr>
          <w:rFonts w:ascii="ITC Avant Garde" w:hAnsi="ITC Avant Garde"/>
          <w:bCs/>
          <w:i/>
          <w:lang w:val="es-ES"/>
        </w:rPr>
        <w:t xml:space="preserve"> </w:t>
      </w:r>
      <w:proofErr w:type="spellStart"/>
      <w:r w:rsidRPr="00C032D9">
        <w:rPr>
          <w:rFonts w:ascii="ITC Avant Garde" w:hAnsi="ITC Avant Garde"/>
          <w:bCs/>
          <w:i/>
          <w:lang w:val="es-ES"/>
        </w:rPr>
        <w:t>Fixed</w:t>
      </w:r>
      <w:proofErr w:type="spellEnd"/>
      <w:r w:rsidRPr="00C032D9">
        <w:rPr>
          <w:rFonts w:ascii="ITC Avant Garde" w:hAnsi="ITC Avant Garde"/>
          <w:bCs/>
          <w:i/>
          <w:lang w:val="es-ES"/>
        </w:rPr>
        <w:t xml:space="preserve"> and Mobile </w:t>
      </w:r>
      <w:proofErr w:type="spellStart"/>
      <w:r w:rsidRPr="00C032D9">
        <w:rPr>
          <w:rFonts w:ascii="ITC Avant Garde" w:hAnsi="ITC Avant Garde"/>
          <w:bCs/>
          <w:i/>
          <w:lang w:val="es-ES"/>
        </w:rPr>
        <w:t>Termination</w:t>
      </w:r>
      <w:proofErr w:type="spellEnd"/>
      <w:r w:rsidRPr="00C032D9">
        <w:rPr>
          <w:rFonts w:ascii="ITC Avant Garde" w:hAnsi="ITC Avant Garde"/>
          <w:bCs/>
          <w:i/>
          <w:lang w:val="es-ES"/>
        </w:rPr>
        <w:t xml:space="preserve"> </w:t>
      </w:r>
      <w:proofErr w:type="spellStart"/>
      <w:r w:rsidRPr="00C032D9">
        <w:rPr>
          <w:rFonts w:ascii="ITC Avant Garde" w:hAnsi="ITC Avant Garde"/>
          <w:bCs/>
          <w:i/>
          <w:lang w:val="es-ES"/>
        </w:rPr>
        <w:t>Rate</w:t>
      </w:r>
      <w:proofErr w:type="spellEnd"/>
      <w:r w:rsidRPr="00C032D9">
        <w:rPr>
          <w:rFonts w:ascii="ITC Avant Garde" w:hAnsi="ITC Avant Garde"/>
          <w:bCs/>
          <w:i/>
          <w:lang w:val="es-ES"/>
        </w:rPr>
        <w:t xml:space="preserve"> </w:t>
      </w:r>
      <w:proofErr w:type="spellStart"/>
      <w:r w:rsidRPr="00C032D9">
        <w:rPr>
          <w:rFonts w:ascii="ITC Avant Garde" w:hAnsi="ITC Avant Garde"/>
          <w:bCs/>
          <w:i/>
          <w:lang w:val="es-ES"/>
        </w:rPr>
        <w:t>model</w:t>
      </w:r>
      <w:proofErr w:type="spellEnd"/>
      <w:r w:rsidRPr="00C032D9">
        <w:rPr>
          <w:rFonts w:ascii="ITC Avant Garde" w:hAnsi="ITC Avant Garde"/>
          <w:bCs/>
          <w:i/>
          <w:lang w:val="es-ES"/>
        </w:rPr>
        <w:t xml:space="preserve"> </w:t>
      </w:r>
      <w:proofErr w:type="spellStart"/>
      <w:r w:rsidRPr="00C032D9">
        <w:rPr>
          <w:rFonts w:ascii="ITC Avant Garde" w:hAnsi="ITC Avant Garde"/>
          <w:bCs/>
          <w:i/>
          <w:lang w:val="es-ES"/>
        </w:rPr>
        <w:t>analysis</w:t>
      </w:r>
      <w:proofErr w:type="spellEnd"/>
      <w:r w:rsidRPr="00C032D9">
        <w:rPr>
          <w:rFonts w:ascii="ITC Avant Garde" w:hAnsi="ITC Avant Garde"/>
          <w:bCs/>
          <w:i/>
          <w:lang w:val="es-ES"/>
        </w:rPr>
        <w:t xml:space="preserve"> and </w:t>
      </w:r>
      <w:proofErr w:type="spellStart"/>
      <w:r w:rsidRPr="00C032D9">
        <w:rPr>
          <w:rFonts w:ascii="ITC Avant Garde" w:hAnsi="ITC Avant Garde"/>
          <w:bCs/>
          <w:i/>
          <w:lang w:val="es-ES"/>
        </w:rPr>
        <w:t>sensitivity</w:t>
      </w:r>
      <w:proofErr w:type="spellEnd"/>
      <w:r w:rsidRPr="00C032D9">
        <w:rPr>
          <w:rFonts w:ascii="ITC Avant Garde" w:hAnsi="ITC Avant Garde"/>
          <w:bCs/>
          <w:i/>
          <w:lang w:val="es-ES"/>
        </w:rPr>
        <w:t xml:space="preserve"> </w:t>
      </w:r>
      <w:proofErr w:type="spellStart"/>
      <w:r w:rsidRPr="00C032D9">
        <w:rPr>
          <w:rFonts w:ascii="ITC Avant Garde" w:hAnsi="ITC Avant Garde"/>
          <w:bCs/>
          <w:i/>
          <w:lang w:val="es-ES"/>
        </w:rPr>
        <w:t>considerations</w:t>
      </w:r>
      <w:proofErr w:type="spellEnd"/>
      <w:r w:rsidRPr="00C032D9">
        <w:rPr>
          <w:rFonts w:ascii="ITC Avant Garde" w:hAnsi="ITC Avant Garde"/>
          <w:bCs/>
          <w:lang w:val="es-ES"/>
        </w:rPr>
        <w:t xml:space="preserve">”, que analiza los modelos de costos utilizados por el Instituto para determinar las tarifas de interconexión en redes fijas y móviles, se otorga valor probatorio, en términos de los artículos 197 y 203 del </w:t>
      </w:r>
      <w:proofErr w:type="spellStart"/>
      <w:r w:rsidRPr="00C032D9">
        <w:rPr>
          <w:rFonts w:ascii="ITC Avant Garde" w:hAnsi="ITC Avant Garde"/>
          <w:bCs/>
          <w:lang w:val="es-ES"/>
        </w:rPr>
        <w:t>CFPC</w:t>
      </w:r>
      <w:proofErr w:type="spellEnd"/>
      <w:r w:rsidRPr="00C032D9">
        <w:rPr>
          <w:rFonts w:ascii="ITC Avant Garde" w:hAnsi="ITC Avant Garde"/>
          <w:bCs/>
          <w:lang w:val="es-ES"/>
        </w:rPr>
        <w:t>, no obstante</w:t>
      </w:r>
      <w:r w:rsidRPr="00C032D9">
        <w:rPr>
          <w:rFonts w:ascii="ITC Avant Garde" w:hAnsi="ITC Avant Garde"/>
          <w:bCs/>
          <w:lang w:val="es-ES" w:eastAsia="es-MX"/>
        </w:rPr>
        <w:t xml:space="preserve"> este Instituto considera que dicho documento no genera convicción,  ya que como refiere los Antecedentes XIV y XVIII  de la presente resolución, este órgano ya se pronunció y ha definido la Metodología de Costos aplicable a las tarifas de terminación que </w:t>
      </w:r>
      <w:r w:rsidRPr="00C032D9">
        <w:rPr>
          <w:rFonts w:ascii="ITC Avant Garde" w:hAnsi="ITC Avant Garde"/>
          <w:bCs/>
          <w:lang w:val="es-ES" w:eastAsia="es-MX"/>
        </w:rPr>
        <w:lastRenderedPageBreak/>
        <w:t>estarán vigentes para el año 2016, como se encuentra señalado previamente en los antecedentes.</w:t>
      </w:r>
    </w:p>
    <w:p w:rsidR="00FA0F97" w:rsidRPr="00C032D9" w:rsidRDefault="00FA0F97" w:rsidP="00206B14">
      <w:pPr>
        <w:spacing w:before="180" w:after="180"/>
        <w:ind w:left="567" w:right="48"/>
        <w:jc w:val="both"/>
        <w:rPr>
          <w:rFonts w:ascii="ITC Avant Garde" w:hAnsi="ITC Avant Garde"/>
          <w:bCs/>
          <w:lang w:val="es-ES"/>
        </w:rPr>
      </w:pPr>
      <w:r w:rsidRPr="00C032D9">
        <w:rPr>
          <w:rFonts w:ascii="ITC Avant Garde" w:hAnsi="ITC Avant Garde"/>
          <w:bCs/>
          <w:lang w:val="es-ES"/>
        </w:rPr>
        <w:t>Asimismo, el artículo 131 de la LFTyR establece que el Instituto resolverá cualquier disputa respecto de las tarifas, términos y condiciones de los convenios de interconexión, con base en la Metodología de Costos que determine, es así, que dicha Metodología constituye el marco regulatorio a través de cual se determinan las tarifas de interconexión materia del presente procedimiento.</w:t>
      </w:r>
    </w:p>
    <w:p w:rsidR="00FA0F97" w:rsidRPr="00C032D9" w:rsidRDefault="00FA0F97" w:rsidP="00206B14">
      <w:pPr>
        <w:numPr>
          <w:ilvl w:val="0"/>
          <w:numId w:val="27"/>
        </w:numPr>
        <w:tabs>
          <w:tab w:val="left" w:pos="567"/>
        </w:tabs>
        <w:spacing w:before="180" w:after="180"/>
        <w:ind w:left="567" w:right="48" w:hanging="283"/>
        <w:jc w:val="both"/>
        <w:rPr>
          <w:rFonts w:ascii="ITC Avant Garde" w:hAnsi="ITC Avant Garde"/>
          <w:bCs/>
          <w:lang w:val="es-ES"/>
        </w:rPr>
      </w:pPr>
      <w:r w:rsidRPr="00C032D9">
        <w:rPr>
          <w:rFonts w:ascii="ITC Avant Garde" w:hAnsi="ITC Avant Garde"/>
          <w:bCs/>
          <w:lang w:val="es-ES"/>
        </w:rPr>
        <w:t xml:space="preserve">En relación a la </w:t>
      </w:r>
      <w:proofErr w:type="spellStart"/>
      <w:r w:rsidRPr="00C032D9">
        <w:rPr>
          <w:rFonts w:ascii="ITC Avant Garde" w:hAnsi="ITC Avant Garde"/>
          <w:bCs/>
          <w:lang w:val="es-ES"/>
        </w:rPr>
        <w:t>Presuncional</w:t>
      </w:r>
      <w:proofErr w:type="spellEnd"/>
      <w:r w:rsidRPr="00C032D9">
        <w:rPr>
          <w:rFonts w:ascii="ITC Avant Garde" w:hAnsi="ITC Avant Garde"/>
          <w:bCs/>
          <w:lang w:val="es-ES"/>
        </w:rPr>
        <w:t xml:space="preserve">, en su doble aspecto, legal y humana, ofrecida como prueba, se les da valor probatorio en términos del artículo 218 del </w:t>
      </w:r>
      <w:proofErr w:type="spellStart"/>
      <w:r w:rsidRPr="00C032D9">
        <w:rPr>
          <w:rFonts w:ascii="ITC Avant Garde" w:hAnsi="ITC Avant Garde"/>
          <w:bCs/>
          <w:lang w:val="es-ES"/>
        </w:rPr>
        <w:t>CFPC</w:t>
      </w:r>
      <w:proofErr w:type="spellEnd"/>
      <w:r w:rsidRPr="00C032D9">
        <w:rPr>
          <w:rFonts w:ascii="ITC Avant Garde" w:hAnsi="ITC Avant Garde"/>
          <w:bCs/>
          <w:lang w:val="es-ES"/>
        </w:rPr>
        <w:t xml:space="preserve"> al ser ésta la consecuencia lógica y natural de hechos conocidos y probados al momento de hacer la deducción respectiva.</w:t>
      </w:r>
    </w:p>
    <w:p w:rsidR="00FA0F97" w:rsidRPr="00C032D9" w:rsidRDefault="00FA0F97" w:rsidP="00206B14">
      <w:pPr>
        <w:numPr>
          <w:ilvl w:val="0"/>
          <w:numId w:val="27"/>
        </w:numPr>
        <w:tabs>
          <w:tab w:val="left" w:pos="567"/>
        </w:tabs>
        <w:spacing w:before="180" w:after="180"/>
        <w:ind w:left="567" w:right="48" w:hanging="283"/>
        <w:jc w:val="both"/>
        <w:rPr>
          <w:rFonts w:ascii="ITC Avant Garde" w:hAnsi="ITC Avant Garde"/>
          <w:bCs/>
          <w:lang w:val="es-ES"/>
        </w:rPr>
      </w:pPr>
      <w:r w:rsidRPr="00C032D9">
        <w:rPr>
          <w:rFonts w:ascii="ITC Avant Garde" w:hAnsi="ITC Avant Garde" w:cs="Arial"/>
        </w:rPr>
        <w:t>Respecto a las Instrumental de actuaciones, consistente en todo lo actuado en el presente procedimiento, se les da valor probatorio al constituirse dicha prueba con las constancias que obran en el sumario y en términos del principio ontológico de la prueba, conforme al cual lo ordinario se presume.</w:t>
      </w:r>
    </w:p>
    <w:p w:rsidR="00FA0F97" w:rsidRPr="00C032D9" w:rsidRDefault="00FA0F97" w:rsidP="00206B14">
      <w:pPr>
        <w:spacing w:before="180" w:after="180"/>
        <w:jc w:val="both"/>
        <w:rPr>
          <w:rFonts w:ascii="ITC Avant Garde" w:hAnsi="ITC Avant Garde"/>
          <w:b/>
          <w:szCs w:val="24"/>
        </w:rPr>
      </w:pPr>
      <w:r w:rsidRPr="00C032D9">
        <w:rPr>
          <w:rFonts w:ascii="ITC Avant Garde" w:hAnsi="ITC Avant Garde"/>
          <w:b/>
          <w:szCs w:val="24"/>
        </w:rPr>
        <w:t>5.2 Pruebas ofrecidas por Grupo AT&amp;T.</w:t>
      </w:r>
    </w:p>
    <w:p w:rsidR="00FA0F97" w:rsidRPr="00C032D9" w:rsidRDefault="00FA0F97" w:rsidP="00206B14">
      <w:pPr>
        <w:spacing w:before="180" w:after="180"/>
        <w:jc w:val="both"/>
        <w:rPr>
          <w:rFonts w:ascii="ITC Avant Garde" w:hAnsi="ITC Avant Garde"/>
        </w:rPr>
      </w:pPr>
      <w:r w:rsidRPr="00C032D9">
        <w:rPr>
          <w:rFonts w:ascii="ITC Avant Garde" w:hAnsi="ITC Avant Garde"/>
        </w:rPr>
        <w:t xml:space="preserve">Derivado del escrito de fecha 16 de octubre de 2015, mediante el cual el apoderado legal de Grupo AT&amp;T, da contestación a la vista otorgada en el Acuerdo 30/09/001/2015, se puede constatar que no ofreció prueba alguna, de tal manera que en términos del artículo 288 del </w:t>
      </w:r>
      <w:proofErr w:type="spellStart"/>
      <w:r w:rsidRPr="00C032D9">
        <w:rPr>
          <w:rFonts w:ascii="ITC Avant Garde" w:hAnsi="ITC Avant Garde"/>
        </w:rPr>
        <w:t>CFPC</w:t>
      </w:r>
      <w:proofErr w:type="spellEnd"/>
      <w:r w:rsidRPr="00C032D9">
        <w:rPr>
          <w:rFonts w:ascii="ITC Avant Garde" w:hAnsi="ITC Avant Garde"/>
        </w:rPr>
        <w:t>, se tuvo por perdido su derecho al haber sido omiso de ofrecer pruebas en el plazo estipulado en el artículo 129 de la LFTyR.</w:t>
      </w:r>
    </w:p>
    <w:p w:rsidR="00FA0F97" w:rsidRPr="00C032D9" w:rsidRDefault="00FA0F97" w:rsidP="00206B14">
      <w:pPr>
        <w:pStyle w:val="Textoindependiente"/>
        <w:spacing w:before="180" w:after="180" w:line="276" w:lineRule="auto"/>
        <w:ind w:left="1417" w:right="1417"/>
        <w:rPr>
          <w:rFonts w:ascii="ITC Avant Garde" w:hAnsi="ITC Avant Garde" w:cs="Arial"/>
          <w:i/>
          <w:sz w:val="18"/>
          <w:szCs w:val="18"/>
        </w:rPr>
      </w:pPr>
      <w:r w:rsidRPr="00C032D9">
        <w:rPr>
          <w:rFonts w:ascii="ITC Avant Garde" w:hAnsi="ITC Avant Garde"/>
          <w:i/>
        </w:rPr>
        <w:t>“</w:t>
      </w:r>
      <w:r w:rsidRPr="00C032D9">
        <w:rPr>
          <w:rFonts w:ascii="ITC Avant Garde" w:hAnsi="ITC Avant Garde"/>
          <w:b/>
          <w:i/>
          <w:sz w:val="18"/>
          <w:szCs w:val="18"/>
        </w:rPr>
        <w:t>ARTICULO 288</w:t>
      </w:r>
      <w:r w:rsidRPr="00C032D9">
        <w:rPr>
          <w:rFonts w:ascii="ITC Avant Garde" w:hAnsi="ITC Avant Garde"/>
          <w:i/>
          <w:sz w:val="18"/>
          <w:szCs w:val="18"/>
        </w:rPr>
        <w:t>.- Concluidos los términos fijados a las partes, se tendrá por perdido el derecho que dentro de ellos debió ejercitarse, sin necesidad de acuse de rebeldía.”</w:t>
      </w:r>
    </w:p>
    <w:p w:rsidR="00FA0F97" w:rsidRPr="00C032D9" w:rsidRDefault="00FA0F97" w:rsidP="00206B14">
      <w:pPr>
        <w:pStyle w:val="Piedepgina"/>
        <w:widowControl w:val="0"/>
        <w:tabs>
          <w:tab w:val="left" w:pos="720"/>
        </w:tabs>
        <w:spacing w:before="180" w:after="180" w:line="276" w:lineRule="auto"/>
        <w:jc w:val="both"/>
        <w:rPr>
          <w:rFonts w:ascii="ITC Avant Garde" w:hAnsi="ITC Avant Garde" w:cs="Arial"/>
        </w:rPr>
      </w:pPr>
      <w:r w:rsidRPr="00C032D9">
        <w:rPr>
          <w:rFonts w:ascii="ITC Avant Garde" w:eastAsia="Times New Roman" w:hAnsi="ITC Avant Garde"/>
          <w:b/>
          <w:lang w:eastAsia="es-ES"/>
        </w:rPr>
        <w:t xml:space="preserve">SEXTO.- </w:t>
      </w:r>
      <w:bookmarkEnd w:id="3"/>
      <w:r w:rsidRPr="00C032D9">
        <w:rPr>
          <w:rFonts w:ascii="ITC Avant Garde" w:eastAsia="Times New Roman" w:hAnsi="ITC Avant Garde"/>
          <w:b/>
          <w:lang w:eastAsia="es-ES"/>
        </w:rPr>
        <w:t>Condiciones no convenidas sujetas a resolución</w:t>
      </w:r>
      <w:r w:rsidRPr="00C032D9">
        <w:rPr>
          <w:rFonts w:ascii="ITC Avant Garde" w:eastAsia="Times New Roman" w:hAnsi="ITC Avant Garde"/>
          <w:lang w:eastAsia="es-ES"/>
        </w:rPr>
        <w:t xml:space="preserve">.- </w:t>
      </w:r>
      <w:r w:rsidRPr="00C032D9">
        <w:rPr>
          <w:rFonts w:ascii="ITC Avant Garde" w:hAnsi="ITC Avant Garde"/>
        </w:rPr>
        <w:t xml:space="preserve">En la Solicitud de Resolución, el apoderado legal de Axtel y </w:t>
      </w:r>
      <w:proofErr w:type="spellStart"/>
      <w:r w:rsidRPr="00C032D9">
        <w:rPr>
          <w:rFonts w:ascii="ITC Avant Garde" w:hAnsi="ITC Avant Garde"/>
        </w:rPr>
        <w:t>Avantel</w:t>
      </w:r>
      <w:proofErr w:type="spellEnd"/>
      <w:r w:rsidRPr="00C032D9">
        <w:rPr>
          <w:rFonts w:ascii="ITC Avant Garde" w:hAnsi="ITC Avant Garde"/>
        </w:rPr>
        <w:t xml:space="preserve"> </w:t>
      </w:r>
      <w:r w:rsidRPr="00C032D9">
        <w:rPr>
          <w:rFonts w:ascii="ITC Avant Garde" w:eastAsia="Times New Roman" w:hAnsi="ITC Avant Garde"/>
          <w:lang w:eastAsia="es-ES"/>
        </w:rPr>
        <w:t>plantea las siguientes condiciones, términos y tarifas de interconexión que no pudo convenir con Grupo AT&amp;T:</w:t>
      </w:r>
    </w:p>
    <w:p w:rsidR="00FA0F97" w:rsidRPr="00C032D9" w:rsidRDefault="00FA0F97" w:rsidP="00206B14">
      <w:pPr>
        <w:pStyle w:val="Prrafodelista"/>
        <w:numPr>
          <w:ilvl w:val="0"/>
          <w:numId w:val="28"/>
        </w:numPr>
        <w:spacing w:before="180" w:after="180" w:line="276" w:lineRule="auto"/>
        <w:rPr>
          <w:rFonts w:ascii="ITC Avant Garde" w:hAnsi="ITC Avant Garde"/>
        </w:rPr>
      </w:pPr>
      <w:r w:rsidRPr="00C032D9">
        <w:rPr>
          <w:rFonts w:ascii="ITC Avant Garde" w:hAnsi="ITC Avant Garde"/>
        </w:rPr>
        <w:t>Tarifas de interconexión. La tarifa de interconexión que Grupo Iusacell (ahora Grupo AT&amp;T) aplica a sí mismo por la terminación de llamadas locales y de larga distancia de sus usuarios con destino a números bajo la modalidad “El Que Llama Paga” y el “El Que Llama Paga Nacional”, para el periodo del 1 de enero al 31 de diciembre de 2016.</w:t>
      </w:r>
    </w:p>
    <w:p w:rsidR="00FA0F97" w:rsidRPr="00C032D9" w:rsidRDefault="00FA0F97" w:rsidP="00206B14">
      <w:pPr>
        <w:pStyle w:val="Prrafodelista"/>
        <w:numPr>
          <w:ilvl w:val="0"/>
          <w:numId w:val="28"/>
        </w:numPr>
        <w:spacing w:before="180" w:after="180" w:line="276" w:lineRule="auto"/>
        <w:rPr>
          <w:rFonts w:ascii="ITC Avant Garde" w:hAnsi="ITC Avant Garde"/>
        </w:rPr>
      </w:pPr>
      <w:r w:rsidRPr="00C032D9">
        <w:rPr>
          <w:rFonts w:ascii="ITC Avant Garde" w:hAnsi="ITC Avant Garde"/>
        </w:rPr>
        <w:t>Esquema de facturación, con base en la duración real de las llamadas, medidas en segundos.</w:t>
      </w:r>
    </w:p>
    <w:p w:rsidR="00FA0F97" w:rsidRPr="00C032D9" w:rsidRDefault="00FA0F97" w:rsidP="00206B14">
      <w:pPr>
        <w:pStyle w:val="Prrafodelista"/>
        <w:numPr>
          <w:ilvl w:val="0"/>
          <w:numId w:val="28"/>
        </w:numPr>
        <w:spacing w:before="180" w:after="180" w:line="276" w:lineRule="auto"/>
        <w:rPr>
          <w:rFonts w:ascii="ITC Avant Garde" w:hAnsi="ITC Avant Garde"/>
        </w:rPr>
      </w:pPr>
      <w:r w:rsidRPr="00C032D9">
        <w:rPr>
          <w:rFonts w:ascii="ITC Avant Garde" w:hAnsi="ITC Avant Garde"/>
        </w:rPr>
        <w:lastRenderedPageBreak/>
        <w:t xml:space="preserve">Bill and </w:t>
      </w:r>
      <w:proofErr w:type="spellStart"/>
      <w:r w:rsidRPr="00C032D9">
        <w:rPr>
          <w:rFonts w:ascii="ITC Avant Garde" w:hAnsi="ITC Avant Garde"/>
        </w:rPr>
        <w:t>Keep</w:t>
      </w:r>
      <w:proofErr w:type="spellEnd"/>
      <w:r w:rsidRPr="00C032D9">
        <w:rPr>
          <w:rFonts w:ascii="ITC Avant Garde" w:hAnsi="ITC Avant Garde"/>
        </w:rPr>
        <w:t>.</w:t>
      </w:r>
    </w:p>
    <w:p w:rsidR="00FA0F97" w:rsidRPr="00C032D9" w:rsidRDefault="00FA0F97" w:rsidP="00206B14">
      <w:pPr>
        <w:spacing w:before="180" w:after="180"/>
        <w:rPr>
          <w:rFonts w:ascii="ITC Avant Garde" w:hAnsi="ITC Avant Garde"/>
        </w:rPr>
      </w:pPr>
      <w:r w:rsidRPr="00C032D9">
        <w:rPr>
          <w:rFonts w:ascii="ITC Avant Garde" w:eastAsia="Times New Roman" w:hAnsi="ITC Avant Garde"/>
        </w:rPr>
        <w:t xml:space="preserve">Por su parte, Grupo AT&amp;T </w:t>
      </w:r>
      <w:r w:rsidRPr="00C032D9">
        <w:rPr>
          <w:rFonts w:ascii="ITC Avant Garde" w:hAnsi="ITC Avant Garde"/>
        </w:rPr>
        <w:t>en su correspondiente escrito de Respuesta presentado en el procedimiento en que se actúa, señaló adicionalmente como condición no convenida la siguiente:</w:t>
      </w:r>
    </w:p>
    <w:p w:rsidR="00FA0F97" w:rsidRPr="00C032D9" w:rsidRDefault="00FA0F97" w:rsidP="00206B14">
      <w:pPr>
        <w:pStyle w:val="Prrafodelista"/>
        <w:numPr>
          <w:ilvl w:val="0"/>
          <w:numId w:val="28"/>
        </w:numPr>
        <w:spacing w:before="180" w:after="180" w:line="276" w:lineRule="auto"/>
        <w:rPr>
          <w:rFonts w:ascii="ITC Avant Garde" w:hAnsi="ITC Avant Garde"/>
        </w:rPr>
      </w:pPr>
      <w:r w:rsidRPr="00C032D9">
        <w:rPr>
          <w:rFonts w:ascii="ITC Avant Garde" w:hAnsi="ITC Avant Garde"/>
        </w:rPr>
        <w:t xml:space="preserve">Tarifa de terminación local fija que Grupo AT&amp;T deberá pagar a Axtel y </w:t>
      </w:r>
      <w:proofErr w:type="spellStart"/>
      <w:r w:rsidRPr="00C032D9">
        <w:rPr>
          <w:rFonts w:ascii="ITC Avant Garde" w:hAnsi="ITC Avant Garde"/>
        </w:rPr>
        <w:t>Avantel</w:t>
      </w:r>
      <w:proofErr w:type="spellEnd"/>
      <w:r w:rsidRPr="00C032D9">
        <w:rPr>
          <w:rFonts w:ascii="ITC Avant Garde" w:hAnsi="ITC Avant Garde"/>
        </w:rPr>
        <w:t xml:space="preserve"> durante el periodo comprendido del 1 de enero al 31 de diciembre de 2016.</w:t>
      </w:r>
    </w:p>
    <w:p w:rsidR="00FA0F97" w:rsidRPr="00C032D9" w:rsidRDefault="00FA0F97" w:rsidP="00206B14">
      <w:pPr>
        <w:spacing w:before="180" w:after="180"/>
        <w:jc w:val="both"/>
        <w:rPr>
          <w:rFonts w:ascii="ITC Avant Garde" w:eastAsia="Times New Roman" w:hAnsi="ITC Avant Garde"/>
        </w:rPr>
      </w:pPr>
      <w:r w:rsidRPr="00C032D9">
        <w:rPr>
          <w:rFonts w:ascii="ITC Avant Garde" w:eastAsia="Times New Roman" w:hAnsi="ITC Avant Garde"/>
        </w:rPr>
        <w:t>Al respecto, el artículo 129 de la LFTyR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rsidR="00FA0F97" w:rsidRPr="00C032D9" w:rsidRDefault="00FA0F97" w:rsidP="00206B14">
      <w:pPr>
        <w:spacing w:before="180" w:after="180"/>
        <w:jc w:val="both"/>
        <w:rPr>
          <w:rFonts w:ascii="ITC Avant Garde" w:eastAsia="Times New Roman" w:hAnsi="ITC Avant Garde"/>
        </w:rPr>
      </w:pPr>
      <w:r w:rsidRPr="00C032D9">
        <w:rPr>
          <w:rFonts w:ascii="ITC Avant Garde" w:eastAsia="Times New Roman" w:hAnsi="ITC Avant Garde"/>
        </w:rPr>
        <w:t>El mencionado artículo 129, prevé la obligación de los concesionarios de interconectar las redes públicas de telecomunicaciones, y tal efecto, suscribirán un convenio de interconexión. Asimismo, dicho precepto señala que en el caso de concesionarios cuyas redes públicas de telecomunicaciones se encuentren interconectadas y con motivo de la terminación de la vigencia de sus convenios los concesionarios pueden acordar nuevas condiciones de interconexión, conforme al procedimiento administrativo aludido, esto es dentro de un plazo de sesenta días naturales por lo tanto, se entiende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rsidR="00FA0F97" w:rsidRPr="00C032D9" w:rsidRDefault="00FA0F97" w:rsidP="00206B14">
      <w:pPr>
        <w:spacing w:before="180" w:after="180"/>
        <w:jc w:val="both"/>
        <w:rPr>
          <w:rFonts w:ascii="ITC Avant Garde" w:eastAsia="Times New Roman" w:hAnsi="ITC Avant Garde"/>
        </w:rPr>
      </w:pPr>
      <w:r w:rsidRPr="00C032D9">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rsidR="00FA0F97" w:rsidRPr="00C032D9" w:rsidRDefault="00FA0F97" w:rsidP="00206B14">
      <w:pPr>
        <w:spacing w:before="180" w:after="180"/>
        <w:jc w:val="both"/>
        <w:rPr>
          <w:rFonts w:ascii="ITC Avant Garde" w:eastAsia="Times New Roman" w:hAnsi="ITC Avant Garde"/>
        </w:rPr>
      </w:pPr>
      <w:r w:rsidRPr="00C032D9">
        <w:rPr>
          <w:rFonts w:ascii="ITC Avant Garde" w:eastAsia="Times New Roman" w:hAnsi="ITC Avant Garde"/>
        </w:rPr>
        <w:t xml:space="preserve">Ahora bien, toda vez que se actualizó el supuesto de que los concesionarios llevaron a cabo las negociaciones durante los sesenta días naturales que marca el artículo 129, se hace necesario determinar cuáles son las condiciones no convenidas, en este sentido toda vez que Axtel y </w:t>
      </w:r>
      <w:proofErr w:type="spellStart"/>
      <w:r w:rsidRPr="00C032D9">
        <w:rPr>
          <w:rFonts w:ascii="ITC Avant Garde" w:eastAsia="Times New Roman" w:hAnsi="ITC Avant Garde"/>
        </w:rPr>
        <w:t>Avantel</w:t>
      </w:r>
      <w:proofErr w:type="spellEnd"/>
      <w:r w:rsidRPr="00C032D9">
        <w:rPr>
          <w:rFonts w:ascii="ITC Avant Garde" w:eastAsia="Times New Roman" w:hAnsi="ITC Avant Garde"/>
        </w:rPr>
        <w:t xml:space="preserve"> dio inicio al procedimiento es que en su escrito de Solicitud de Resolución planteó las que por su parte consideraba con tal carácter, por lo tanto se </w:t>
      </w:r>
      <w:r w:rsidRPr="00C032D9">
        <w:rPr>
          <w:rFonts w:ascii="ITC Avant Garde" w:eastAsia="Times New Roman" w:hAnsi="ITC Avant Garde"/>
        </w:rPr>
        <w:lastRenderedPageBreak/>
        <w:t>necesitaba conocer cuáles eran las que la contraparte en el presente procedimiento consideraba como tales.</w:t>
      </w:r>
    </w:p>
    <w:p w:rsidR="00FA0F97" w:rsidRPr="00C032D9" w:rsidRDefault="00FA0F97" w:rsidP="00206B14">
      <w:pPr>
        <w:spacing w:before="180" w:after="180"/>
        <w:jc w:val="both"/>
        <w:rPr>
          <w:rFonts w:ascii="ITC Avant Garde" w:eastAsia="Times New Roman" w:hAnsi="ITC Avant Garde"/>
          <w:lang w:val="es-ES" w:eastAsia="es-ES"/>
        </w:rPr>
      </w:pPr>
      <w:r w:rsidRPr="00C032D9">
        <w:rPr>
          <w:rFonts w:ascii="ITC Avant Garde" w:eastAsia="Times New Roman" w:hAnsi="ITC Avant Garde"/>
        </w:rPr>
        <w:t xml:space="preserve">Es así que mediante el Acuerdo de Admisión el Instituto le solicitó expresamente a Grupo AT&amp;T que </w:t>
      </w:r>
      <w:r w:rsidRPr="00C032D9">
        <w:rPr>
          <w:rFonts w:ascii="ITC Avant Garde" w:eastAsia="Times New Roman" w:hAnsi="ITC Avant Garde"/>
          <w:lang w:val="es-ES" w:eastAsia="es-ES"/>
        </w:rPr>
        <w:t xml:space="preserve">manifestara lo que a su derecho conviniera e informara si existían condiciones que no había podido convenir con Axtel y </w:t>
      </w:r>
      <w:proofErr w:type="spellStart"/>
      <w:r w:rsidRPr="00C032D9">
        <w:rPr>
          <w:rFonts w:ascii="ITC Avant Garde" w:eastAsia="Times New Roman" w:hAnsi="ITC Avant Garde"/>
          <w:lang w:val="es-ES" w:eastAsia="es-ES"/>
        </w:rPr>
        <w:t>Avantel</w:t>
      </w:r>
      <w:proofErr w:type="spellEnd"/>
      <w:r w:rsidRPr="00C032D9">
        <w:rPr>
          <w:rFonts w:ascii="ITC Avant Garde" w:eastAsia="Times New Roman" w:hAnsi="ITC Avant Garde"/>
          <w:lang w:val="es-ES" w:eastAsia="es-ES"/>
        </w:rPr>
        <w:t xml:space="preserve"> y, de ser el caso, señalaran expresamente en qué consistían los desacuerdos, fijaran su postura al respecto y ofrecieran los elementos de prueba que estimaran pertinentes, por lo que mediante la Respuesta de Grupo AT&amp;T dicho concesionario fijó su postura y señaló adicionalmente como condición no convenida la indicada en el inciso d).</w:t>
      </w:r>
    </w:p>
    <w:p w:rsidR="00FA0F97" w:rsidRPr="00C032D9" w:rsidRDefault="00FA0F97" w:rsidP="00206B14">
      <w:pPr>
        <w:spacing w:before="180" w:after="180"/>
        <w:jc w:val="both"/>
        <w:rPr>
          <w:rFonts w:ascii="ITC Avant Garde" w:eastAsia="Times New Roman" w:hAnsi="ITC Avant Garde"/>
        </w:rPr>
      </w:pPr>
      <w:r w:rsidRPr="00C032D9">
        <w:rPr>
          <w:rFonts w:ascii="ITC Avant Garde" w:eastAsia="Times New Roman" w:hAnsi="ITC Avant Garde"/>
        </w:rPr>
        <w:t xml:space="preserve">De lo anterior, y toda vez que Axtel y </w:t>
      </w:r>
      <w:proofErr w:type="spellStart"/>
      <w:r w:rsidRPr="00C032D9">
        <w:rPr>
          <w:rFonts w:ascii="ITC Avant Garde" w:eastAsia="Times New Roman" w:hAnsi="ITC Avant Garde"/>
        </w:rPr>
        <w:t>Avantel</w:t>
      </w:r>
      <w:proofErr w:type="spellEnd"/>
      <w:r w:rsidRPr="00C032D9">
        <w:rPr>
          <w:rFonts w:ascii="ITC Avant Garde" w:eastAsia="Times New Roman" w:hAnsi="ITC Avant Garde"/>
        </w:rPr>
        <w:t xml:space="preserve">, así como Grupo AT&amp;T señalaron expresamente a éste Instituto cuáles eran las condiciones no convenidas en el procedimiento en el que se actúa, éste Instituto determina que para que proceda eficazmente la prestación de los servicios de interconexión entre sus redes públicas de telecomunicaciones se deberá resolver todas y cada una de las condiciones solicitadas por los concesionarios. </w:t>
      </w:r>
    </w:p>
    <w:p w:rsidR="00FA0F97" w:rsidRPr="00C032D9" w:rsidRDefault="00FA0F97" w:rsidP="00206B14">
      <w:pPr>
        <w:spacing w:before="180" w:after="180"/>
        <w:jc w:val="both"/>
        <w:rPr>
          <w:rFonts w:ascii="ITC Avant Garde" w:hAnsi="ITC Avant Garde"/>
          <w:spacing w:val="-4"/>
        </w:rPr>
      </w:pPr>
      <w:r w:rsidRPr="00C032D9">
        <w:rPr>
          <w:rFonts w:ascii="ITC Avant Garde" w:eastAsia="Times New Roman" w:hAnsi="ITC Avant Garde"/>
        </w:rPr>
        <w:t xml:space="preserve">Cabe mencionar que en relación a la condición no convenida identificada en el inciso a), si bien Axtel y </w:t>
      </w:r>
      <w:proofErr w:type="spellStart"/>
      <w:r w:rsidRPr="00C032D9">
        <w:rPr>
          <w:rFonts w:ascii="ITC Avant Garde" w:eastAsia="Times New Roman" w:hAnsi="ITC Avant Garde"/>
        </w:rPr>
        <w:t>Avantel</w:t>
      </w:r>
      <w:proofErr w:type="spellEnd"/>
      <w:r w:rsidRPr="00C032D9">
        <w:rPr>
          <w:rFonts w:ascii="ITC Avant Garde" w:eastAsia="Times New Roman" w:hAnsi="ITC Avant Garde"/>
        </w:rPr>
        <w:t xml:space="preserve"> solicitan la </w:t>
      </w:r>
      <w:r w:rsidRPr="00C032D9">
        <w:rPr>
          <w:rFonts w:ascii="ITC Avant Garde" w:hAnsi="ITC Avant Garde"/>
        </w:rPr>
        <w:t>tarifa de interconexión que deberán pagar bajo la modalidad “el que llama paga” y “el que llama paga nacional”, es preciso mencionar que con base en el “</w:t>
      </w:r>
      <w:r w:rsidRPr="00C032D9">
        <w:rPr>
          <w:rFonts w:ascii="ITC Avant Garde" w:hAnsi="ITC Avant Garde"/>
          <w:i/>
        </w:rPr>
        <w:t>A</w:t>
      </w:r>
      <w:r w:rsidRPr="00C032D9">
        <w:rPr>
          <w:rFonts w:ascii="ITC Avant Garde" w:hAnsi="ITC Avant Garde"/>
          <w:i/>
          <w:spacing w:val="-4"/>
        </w:rPr>
        <w:t>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w:t>
      </w:r>
      <w:r w:rsidRPr="00C032D9">
        <w:rPr>
          <w:rFonts w:ascii="ITC Avant Garde" w:hAnsi="ITC Avant Garde"/>
          <w:spacing w:val="-4"/>
        </w:rPr>
        <w:t>”, publicado el 24 de diciembre en el DOF, se estableció en el Considerando Tercero a la letra lo siguiente:</w:t>
      </w:r>
    </w:p>
    <w:p w:rsidR="00FA0F97" w:rsidRPr="00C032D9" w:rsidRDefault="00FA0F97" w:rsidP="00206B14">
      <w:pPr>
        <w:pStyle w:val="Normal2"/>
        <w:spacing w:before="180" w:after="180"/>
        <w:ind w:left="567" w:right="615"/>
        <w:jc w:val="both"/>
        <w:rPr>
          <w:rFonts w:ascii="ITC Avant Garde" w:eastAsia="Calibri" w:hAnsi="ITC Avant Garde" w:cs="Calibri"/>
          <w:i/>
          <w:color w:val="auto"/>
          <w:sz w:val="18"/>
          <w:szCs w:val="18"/>
          <w:lang w:val="es-ES_tradnl"/>
        </w:rPr>
      </w:pPr>
      <w:r w:rsidRPr="00C032D9">
        <w:rPr>
          <w:rFonts w:ascii="ITC Avant Garde" w:eastAsia="Calibri" w:hAnsi="ITC Avant Garde" w:cs="Calibri"/>
          <w:b/>
          <w:i/>
          <w:color w:val="auto"/>
          <w:sz w:val="18"/>
          <w:szCs w:val="18"/>
          <w:lang w:val="es-ES_tradnl"/>
        </w:rPr>
        <w:t xml:space="preserve">“TERCERO. Consolidación de Áreas de Servicio Local. </w:t>
      </w:r>
      <w:r w:rsidRPr="00C032D9">
        <w:rPr>
          <w:rFonts w:ascii="ITC Avant Garde" w:eastAsia="Calibri" w:hAnsi="ITC Avant Garde" w:cs="Calibri"/>
          <w:i/>
          <w:color w:val="auto"/>
          <w:sz w:val="18"/>
          <w:szCs w:val="18"/>
          <w:lang w:val="es-ES_tradnl"/>
        </w:rPr>
        <w:t>En atención al artículo Vigésimo Quinto Transitorio del Decreto de Ley, las disposiciones que se emiten a través del presente acuerdo contemplan la consolidación de “todas las áreas de servicio local existentes en el país”, por lo que a partir del 1º de enero de 2015 todo el territorio nacional será una sola Área de Servicio Local. Este proceso culminará con la migración obligatoria a la marcación uniforme de 10 dígitos de acuerdo con lo señalado en el considerando Segundo.</w:t>
      </w:r>
    </w:p>
    <w:p w:rsidR="00FA0F97" w:rsidRPr="00C032D9" w:rsidRDefault="00FA0F97" w:rsidP="00206B14">
      <w:pPr>
        <w:pStyle w:val="Normal2"/>
        <w:spacing w:before="180" w:after="180"/>
        <w:ind w:left="567" w:right="615"/>
        <w:jc w:val="both"/>
        <w:rPr>
          <w:rFonts w:ascii="ITC Avant Garde" w:eastAsia="Calibri" w:hAnsi="ITC Avant Garde" w:cs="Calibri"/>
          <w:i/>
          <w:color w:val="auto"/>
          <w:sz w:val="18"/>
          <w:szCs w:val="18"/>
          <w:lang w:val="es-ES_tradnl"/>
        </w:rPr>
      </w:pPr>
      <w:r w:rsidRPr="00C032D9">
        <w:rPr>
          <w:rFonts w:ascii="ITC Avant Garde" w:eastAsia="Calibri" w:hAnsi="ITC Avant Garde" w:cs="Calibri"/>
          <w:i/>
          <w:color w:val="auto"/>
          <w:sz w:val="18"/>
          <w:szCs w:val="18"/>
          <w:lang w:val="es-ES_tradnl"/>
        </w:rPr>
        <w:t>(…)”</w:t>
      </w:r>
    </w:p>
    <w:p w:rsidR="00FA0F97" w:rsidRPr="00C032D9" w:rsidRDefault="00FA0F97" w:rsidP="00206B14">
      <w:pPr>
        <w:spacing w:before="180" w:after="180"/>
        <w:jc w:val="both"/>
        <w:rPr>
          <w:rFonts w:ascii="ITC Avant Garde" w:hAnsi="ITC Avant Garde"/>
          <w:spacing w:val="-4"/>
        </w:rPr>
      </w:pPr>
      <w:r w:rsidRPr="00C032D9">
        <w:rPr>
          <w:rFonts w:ascii="ITC Avant Garde" w:hAnsi="ITC Avant Garde"/>
          <w:spacing w:val="-4"/>
        </w:rPr>
        <w:t>Asimismo, en la Disposición Séptima se determinó que:</w:t>
      </w:r>
    </w:p>
    <w:p w:rsidR="00FA0F97" w:rsidRPr="00C032D9" w:rsidRDefault="00FA0F97" w:rsidP="00206B14">
      <w:pPr>
        <w:spacing w:before="180" w:after="180"/>
        <w:ind w:left="567" w:right="615"/>
        <w:jc w:val="both"/>
        <w:rPr>
          <w:rFonts w:ascii="ITC Avant Garde" w:hAnsi="ITC Avant Garde"/>
          <w:i/>
          <w:spacing w:val="-4"/>
          <w:sz w:val="18"/>
          <w:szCs w:val="18"/>
        </w:rPr>
      </w:pPr>
      <w:r w:rsidRPr="00C032D9">
        <w:rPr>
          <w:rFonts w:ascii="ITC Avant Garde" w:hAnsi="ITC Avant Garde"/>
          <w:i/>
          <w:spacing w:val="-4"/>
          <w:sz w:val="18"/>
          <w:szCs w:val="18"/>
        </w:rPr>
        <w:t>“</w:t>
      </w:r>
      <w:r w:rsidRPr="00C032D9">
        <w:rPr>
          <w:rFonts w:ascii="ITC Avant Garde" w:hAnsi="ITC Avant Garde"/>
          <w:b/>
          <w:i/>
          <w:spacing w:val="-4"/>
          <w:sz w:val="18"/>
          <w:szCs w:val="18"/>
        </w:rPr>
        <w:t>Séptima. Eliminación de tarifas de larga distancia nacional.</w:t>
      </w:r>
      <w:r w:rsidRPr="00C032D9">
        <w:rPr>
          <w:rFonts w:ascii="ITC Avant Garde" w:hAnsi="ITC Avant Garde"/>
          <w:i/>
          <w:spacing w:val="-4"/>
          <w:sz w:val="18"/>
          <w:szCs w:val="18"/>
        </w:rPr>
        <w:t xml:space="preserve"> Los concesionarios, permisionarios y autorizados solamente podrán registrar o mantener tarifas del Servicio Local que no incorpore componente alguno en función de la distancia. Lo anterior sin perjuicio de las tarifas que en su caso registren o tengan registradas para el servicio de larga distancia internacional.</w:t>
      </w:r>
    </w:p>
    <w:p w:rsidR="00FA0F97" w:rsidRPr="00C032D9" w:rsidRDefault="00FA0F97" w:rsidP="00206B14">
      <w:pPr>
        <w:spacing w:before="180" w:after="180"/>
        <w:ind w:left="567" w:right="615"/>
        <w:jc w:val="both"/>
        <w:rPr>
          <w:rFonts w:ascii="ITC Avant Garde" w:hAnsi="ITC Avant Garde"/>
          <w:i/>
          <w:spacing w:val="-4"/>
          <w:sz w:val="18"/>
          <w:szCs w:val="18"/>
        </w:rPr>
      </w:pPr>
      <w:r w:rsidRPr="00C032D9">
        <w:rPr>
          <w:rFonts w:ascii="ITC Avant Garde" w:hAnsi="ITC Avant Garde"/>
          <w:i/>
          <w:spacing w:val="-4"/>
          <w:sz w:val="18"/>
          <w:szCs w:val="18"/>
        </w:rPr>
        <w:lastRenderedPageBreak/>
        <w:t>Las tarifas que se registren y apliquen a los usuarios no podrán ser diferentes para las llamadas que requieran de la marcación de los prefijos de acceso 044 y 045, tratándose de destinos del Servicio Móvil en la modalidad “el que llama paga”. Tampoco podrá existir diferencia tarifaria cuando se realicen llamadas mediante la marcación de los prefijos de acceso 01 y la marcación directa de 7 u 8 dígitos, tratándose de destinos del Servicio Móvil en la modalidad “el que recibe paga” o del Servicio Fijo.</w:t>
      </w:r>
    </w:p>
    <w:p w:rsidR="00FA0F97" w:rsidRPr="00C032D9" w:rsidRDefault="00FA0F97" w:rsidP="00206B14">
      <w:pPr>
        <w:spacing w:before="180" w:after="180"/>
        <w:ind w:left="567" w:right="615"/>
        <w:jc w:val="both"/>
        <w:rPr>
          <w:rFonts w:ascii="ITC Avant Garde" w:hAnsi="ITC Avant Garde"/>
          <w:i/>
          <w:spacing w:val="-4"/>
          <w:sz w:val="18"/>
          <w:szCs w:val="18"/>
        </w:rPr>
      </w:pPr>
      <w:r w:rsidRPr="00C032D9">
        <w:rPr>
          <w:rFonts w:ascii="ITC Avant Garde" w:hAnsi="ITC Avant Garde"/>
          <w:i/>
          <w:spacing w:val="-4"/>
          <w:sz w:val="18"/>
          <w:szCs w:val="18"/>
        </w:rPr>
        <w:t>(…)”</w:t>
      </w:r>
    </w:p>
    <w:p w:rsidR="00FA0F97" w:rsidRPr="00C032D9" w:rsidRDefault="00FA0F97" w:rsidP="00206B14">
      <w:pPr>
        <w:spacing w:before="180" w:after="180"/>
        <w:jc w:val="both"/>
        <w:rPr>
          <w:rFonts w:ascii="ITC Avant Garde" w:eastAsia="Times New Roman" w:hAnsi="ITC Avant Garde"/>
        </w:rPr>
      </w:pPr>
      <w:r w:rsidRPr="00C032D9">
        <w:rPr>
          <w:rFonts w:ascii="ITC Avant Garde" w:hAnsi="ITC Avant Garde"/>
        </w:rPr>
        <w:t>En tal virtud y toda vez que a partir del 1 de enero de 2015 se ha eliminado la prestación del servicio de larga distancia, se sigue que las llamadas que se marcan bajo el prefijo 045 pasan a formar parte de la modalidad “El que llama paga”, es así que en ese sentido se pronunciará el Instituto.</w:t>
      </w:r>
    </w:p>
    <w:p w:rsidR="00FA0F97" w:rsidRPr="00C032D9" w:rsidRDefault="00FA0F97" w:rsidP="00206B14">
      <w:pPr>
        <w:spacing w:before="180" w:after="180"/>
        <w:jc w:val="both"/>
        <w:rPr>
          <w:rFonts w:ascii="ITC Avant Garde" w:eastAsia="Times New Roman" w:hAnsi="ITC Avant Garde"/>
        </w:rPr>
      </w:pPr>
      <w:r w:rsidRPr="00C032D9">
        <w:rPr>
          <w:rFonts w:ascii="ITC Avant Garde" w:hAnsi="ITC Avant Garde"/>
          <w:bCs/>
        </w:rPr>
        <w:t xml:space="preserve">Por lo que, </w:t>
      </w:r>
      <w:r w:rsidRPr="00C032D9">
        <w:rPr>
          <w:rFonts w:ascii="ITC Avant Garde" w:eastAsia="Times New Roman" w:hAnsi="ITC Avant Garde"/>
        </w:rPr>
        <w:t xml:space="preserve">en términos del artículo 129 de la LFTyR es procedente resolver las condiciones solicitadas por Axtel y </w:t>
      </w:r>
      <w:proofErr w:type="spellStart"/>
      <w:r w:rsidRPr="00C032D9">
        <w:rPr>
          <w:rFonts w:ascii="ITC Avant Garde" w:eastAsia="Times New Roman" w:hAnsi="ITC Avant Garde"/>
        </w:rPr>
        <w:t>Avantel</w:t>
      </w:r>
      <w:proofErr w:type="spellEnd"/>
      <w:r w:rsidRPr="00C032D9">
        <w:rPr>
          <w:rFonts w:ascii="ITC Avant Garde" w:eastAsia="Times New Roman" w:hAnsi="ITC Avant Garde"/>
        </w:rPr>
        <w:t xml:space="preserve">, así como por Grupo AT&amp;T, en específico las condiciones no </w:t>
      </w:r>
      <w:proofErr w:type="gramStart"/>
      <w:r w:rsidRPr="00C032D9">
        <w:rPr>
          <w:rFonts w:ascii="ITC Avant Garde" w:eastAsia="Times New Roman" w:hAnsi="ITC Avant Garde"/>
        </w:rPr>
        <w:t>convenidas sobre</w:t>
      </w:r>
      <w:proofErr w:type="gramEnd"/>
      <w:r w:rsidRPr="00C032D9">
        <w:rPr>
          <w:rFonts w:ascii="ITC Avant Garde" w:eastAsia="Times New Roman" w:hAnsi="ITC Avant Garde"/>
        </w:rPr>
        <w:t xml:space="preserve"> las cuales se pronunciará el Instituto serán las siguientes:</w:t>
      </w:r>
    </w:p>
    <w:p w:rsidR="00FA0F97" w:rsidRPr="00C032D9" w:rsidRDefault="00FA0F97" w:rsidP="00206B14">
      <w:pPr>
        <w:pStyle w:val="Prrafodelista"/>
        <w:numPr>
          <w:ilvl w:val="0"/>
          <w:numId w:val="30"/>
        </w:numPr>
        <w:spacing w:before="180" w:after="180" w:line="276" w:lineRule="auto"/>
        <w:ind w:left="426" w:hanging="426"/>
        <w:rPr>
          <w:rFonts w:ascii="ITC Avant Garde" w:hAnsi="ITC Avant Garde"/>
        </w:rPr>
      </w:pPr>
      <w:r w:rsidRPr="00C032D9">
        <w:rPr>
          <w:rFonts w:ascii="ITC Avant Garde" w:hAnsi="ITC Avant Garde"/>
        </w:rPr>
        <w:t xml:space="preserve">La tarifa de interconexión que Axtel y </w:t>
      </w:r>
      <w:proofErr w:type="spellStart"/>
      <w:r w:rsidRPr="00C032D9">
        <w:rPr>
          <w:rFonts w:ascii="ITC Avant Garde" w:hAnsi="ITC Avant Garde"/>
        </w:rPr>
        <w:t>Avantel</w:t>
      </w:r>
      <w:proofErr w:type="spellEnd"/>
      <w:r w:rsidRPr="00C032D9">
        <w:rPr>
          <w:rFonts w:ascii="ITC Avant Garde" w:hAnsi="ITC Avant Garde"/>
        </w:rPr>
        <w:t xml:space="preserve"> deberán pagar a Grupo AT&amp;T por servicios de terminación del Servicio Local en usuarios móviles bajo la modalidad “el que llama paga” para el periodo del 1 de enero al 31 de diciembre de 2016.</w:t>
      </w:r>
    </w:p>
    <w:p w:rsidR="00FA0F97" w:rsidRPr="00C032D9" w:rsidRDefault="00FA0F97" w:rsidP="00206B14">
      <w:pPr>
        <w:pStyle w:val="Prrafodelista"/>
        <w:numPr>
          <w:ilvl w:val="0"/>
          <w:numId w:val="30"/>
        </w:numPr>
        <w:spacing w:before="180" w:after="180" w:line="276" w:lineRule="auto"/>
        <w:ind w:left="426" w:hanging="426"/>
        <w:rPr>
          <w:rFonts w:ascii="ITC Avant Garde" w:hAnsi="ITC Avant Garde"/>
        </w:rPr>
      </w:pPr>
      <w:r w:rsidRPr="00C032D9">
        <w:rPr>
          <w:rFonts w:ascii="ITC Avant Garde" w:hAnsi="ITC Avant Garde"/>
        </w:rPr>
        <w:t>Esquema de facturación.</w:t>
      </w:r>
    </w:p>
    <w:p w:rsidR="00FA0F97" w:rsidRPr="00C032D9" w:rsidRDefault="00FA0F97" w:rsidP="00206B14">
      <w:pPr>
        <w:pStyle w:val="Prrafodelista"/>
        <w:numPr>
          <w:ilvl w:val="0"/>
          <w:numId w:val="30"/>
        </w:numPr>
        <w:spacing w:before="180" w:after="180" w:line="276" w:lineRule="auto"/>
        <w:ind w:left="426" w:hanging="426"/>
        <w:rPr>
          <w:rFonts w:ascii="ITC Avant Garde" w:hAnsi="ITC Avant Garde"/>
        </w:rPr>
      </w:pPr>
      <w:r w:rsidRPr="00C032D9">
        <w:rPr>
          <w:rFonts w:ascii="ITC Avant Garde" w:hAnsi="ITC Avant Garde"/>
        </w:rPr>
        <w:t xml:space="preserve">Acuerdos compensatorios (Bill and </w:t>
      </w:r>
      <w:proofErr w:type="spellStart"/>
      <w:r w:rsidRPr="00C032D9">
        <w:rPr>
          <w:rFonts w:ascii="ITC Avant Garde" w:hAnsi="ITC Avant Garde"/>
        </w:rPr>
        <w:t>Keep</w:t>
      </w:r>
      <w:proofErr w:type="spellEnd"/>
      <w:r w:rsidRPr="00C032D9">
        <w:rPr>
          <w:rFonts w:ascii="ITC Avant Garde" w:hAnsi="ITC Avant Garde"/>
        </w:rPr>
        <w:t>).</w:t>
      </w:r>
    </w:p>
    <w:p w:rsidR="00FA0F97" w:rsidRPr="00C032D9" w:rsidRDefault="00FA0F97" w:rsidP="00206B14">
      <w:pPr>
        <w:pStyle w:val="Prrafodelista"/>
        <w:numPr>
          <w:ilvl w:val="0"/>
          <w:numId w:val="30"/>
        </w:numPr>
        <w:spacing w:before="180" w:after="180" w:line="276" w:lineRule="auto"/>
        <w:ind w:left="426" w:hanging="426"/>
        <w:rPr>
          <w:rFonts w:ascii="ITC Avant Garde" w:hAnsi="ITC Avant Garde"/>
        </w:rPr>
      </w:pPr>
      <w:r w:rsidRPr="00C032D9">
        <w:rPr>
          <w:rFonts w:ascii="ITC Avant Garde" w:hAnsi="ITC Avant Garde"/>
        </w:rPr>
        <w:t xml:space="preserve">La tarifa de interconexión que Grupo AT&amp;T deberá pagar a Axtel y </w:t>
      </w:r>
      <w:proofErr w:type="spellStart"/>
      <w:r w:rsidRPr="00C032D9">
        <w:rPr>
          <w:rFonts w:ascii="ITC Avant Garde" w:hAnsi="ITC Avant Garde"/>
        </w:rPr>
        <w:t>Avantel</w:t>
      </w:r>
      <w:proofErr w:type="spellEnd"/>
      <w:r w:rsidRPr="00C032D9">
        <w:rPr>
          <w:rFonts w:ascii="ITC Avant Garde" w:hAnsi="ITC Avant Garde"/>
        </w:rPr>
        <w:t xml:space="preserve"> por servicios de terminación del Servicio Local en usuarios fijos para el periodo del 1 de enero al 31 de diciembre de 2016.</w:t>
      </w:r>
    </w:p>
    <w:p w:rsidR="00FA0F97" w:rsidRPr="00C032D9" w:rsidRDefault="00FA0F97" w:rsidP="00206B14">
      <w:pPr>
        <w:spacing w:before="180" w:after="180"/>
        <w:jc w:val="both"/>
        <w:rPr>
          <w:rFonts w:ascii="ITC Avant Garde" w:hAnsi="ITC Avant Garde"/>
          <w:bCs/>
        </w:rPr>
      </w:pPr>
      <w:r w:rsidRPr="00C032D9">
        <w:rPr>
          <w:rFonts w:ascii="ITC Avant Garde" w:eastAsia="Times New Roman" w:hAnsi="ITC Avant Garde"/>
        </w:rPr>
        <w:t xml:space="preserve">Ahora bien, previo al análisis de las condiciones no convenidas, el Instituto procede, en primera instancia, a resolver específicamente las argumentaciones de </w:t>
      </w:r>
      <w:proofErr w:type="spellStart"/>
      <w:r w:rsidRPr="00C032D9">
        <w:rPr>
          <w:rFonts w:ascii="ITC Avant Garde" w:eastAsia="Times New Roman" w:hAnsi="ITC Avant Garde"/>
        </w:rPr>
        <w:t>Avantel</w:t>
      </w:r>
      <w:proofErr w:type="spellEnd"/>
      <w:r w:rsidRPr="00C032D9">
        <w:rPr>
          <w:rFonts w:ascii="ITC Avant Garde" w:eastAsia="Times New Roman" w:hAnsi="ITC Avant Garde"/>
        </w:rPr>
        <w:t xml:space="preserve">, Axtel y Grupo AT&amp;T, para posteriormente abocarse a resolver sobre </w:t>
      </w:r>
      <w:r w:rsidRPr="00C032D9">
        <w:rPr>
          <w:rFonts w:ascii="ITC Avant Garde" w:hAnsi="ITC Avant Garde" w:cs="Arial"/>
          <w:lang w:val="es-ES"/>
        </w:rPr>
        <w:t>aquellos puntos de desacuerdo que en materia de interconexión fueron sometidos por las partes.</w:t>
      </w:r>
    </w:p>
    <w:p w:rsidR="00FA0F97" w:rsidRPr="00C032D9" w:rsidRDefault="00FA0F97" w:rsidP="00206B14">
      <w:pPr>
        <w:pStyle w:val="Prrafodelista"/>
        <w:numPr>
          <w:ilvl w:val="0"/>
          <w:numId w:val="23"/>
        </w:numPr>
        <w:spacing w:before="180" w:after="180" w:line="276" w:lineRule="auto"/>
        <w:ind w:left="426" w:hanging="426"/>
        <w:rPr>
          <w:rFonts w:ascii="ITC Avant Garde" w:hAnsi="ITC Avant Garde"/>
          <w:b/>
        </w:rPr>
      </w:pPr>
      <w:r w:rsidRPr="00C032D9">
        <w:rPr>
          <w:rFonts w:ascii="ITC Avant Garde" w:hAnsi="ITC Avant Garde"/>
          <w:b/>
        </w:rPr>
        <w:t xml:space="preserve">Manifestaciones Generales </w:t>
      </w:r>
    </w:p>
    <w:p w:rsidR="00FA0F97" w:rsidRPr="00C032D9" w:rsidRDefault="00FA0F97" w:rsidP="00206B14">
      <w:pPr>
        <w:pStyle w:val="Prrafodelista"/>
        <w:numPr>
          <w:ilvl w:val="1"/>
          <w:numId w:val="23"/>
        </w:numPr>
        <w:tabs>
          <w:tab w:val="left" w:pos="426"/>
        </w:tabs>
        <w:spacing w:before="180" w:after="180" w:line="276" w:lineRule="auto"/>
        <w:ind w:left="0" w:firstLine="0"/>
        <w:rPr>
          <w:rFonts w:ascii="ITC Avant Garde" w:hAnsi="ITC Avant Garde"/>
          <w:b/>
          <w:lang w:val="es-ES"/>
        </w:rPr>
      </w:pPr>
      <w:r w:rsidRPr="00C032D9">
        <w:rPr>
          <w:rFonts w:ascii="ITC Avant Garde" w:hAnsi="ITC Avant Garde"/>
          <w:b/>
          <w:lang w:val="es-ES"/>
        </w:rPr>
        <w:t>Modelo de Costos del Instituto</w:t>
      </w:r>
    </w:p>
    <w:p w:rsidR="00FA0F97" w:rsidRPr="00C032D9" w:rsidRDefault="00FA0F97" w:rsidP="00206B14">
      <w:pPr>
        <w:pStyle w:val="Prrafodelista"/>
        <w:tabs>
          <w:tab w:val="left" w:pos="567"/>
        </w:tabs>
        <w:spacing w:before="180" w:after="180" w:line="276" w:lineRule="auto"/>
        <w:ind w:left="0"/>
        <w:rPr>
          <w:rFonts w:ascii="ITC Avant Garde" w:hAnsi="ITC Avant Garde"/>
          <w:b/>
          <w:lang w:val="es-ES"/>
        </w:rPr>
      </w:pPr>
      <w:r w:rsidRPr="00C032D9">
        <w:rPr>
          <w:rFonts w:ascii="ITC Avant Garde" w:hAnsi="ITC Avant Garde"/>
          <w:b/>
          <w:lang w:val="es-ES"/>
        </w:rPr>
        <w:t>Argumentos de las partes</w:t>
      </w:r>
    </w:p>
    <w:p w:rsidR="00FA0F97" w:rsidRPr="00C032D9" w:rsidRDefault="00FA0F97" w:rsidP="00206B14">
      <w:pPr>
        <w:spacing w:before="180" w:after="180"/>
        <w:jc w:val="both"/>
        <w:rPr>
          <w:rFonts w:ascii="ITC Avant Garde" w:hAnsi="ITC Avant Garde"/>
          <w:lang w:val="es-ES"/>
        </w:rPr>
      </w:pPr>
      <w:proofErr w:type="spellStart"/>
      <w:r w:rsidRPr="00C032D9">
        <w:rPr>
          <w:rFonts w:ascii="ITC Avant Garde" w:hAnsi="ITC Avant Garde"/>
          <w:lang w:val="es-ES"/>
        </w:rPr>
        <w:t>Avantel</w:t>
      </w:r>
      <w:proofErr w:type="spellEnd"/>
      <w:r w:rsidRPr="00C032D9">
        <w:rPr>
          <w:rFonts w:ascii="ITC Avant Garde" w:hAnsi="ITC Avant Garde"/>
          <w:lang w:val="es-ES"/>
        </w:rPr>
        <w:t xml:space="preserve"> y Axtel señalan que en caso de que el Instituto opte por aplicar el modelo de costos que dio como resultado las tarifas determinadas en el Acuerdo del 29 de diciembre de 2014, consideran que dicho modelo de costos posee los siguientes errores en sus supuestos y consideraciones para que las tarifas aplicadas sean correctas y no discriminatorias, a saber menciona lo siguiente:</w:t>
      </w:r>
    </w:p>
    <w:p w:rsidR="00FA0F97" w:rsidRPr="00C032D9" w:rsidRDefault="00FA0F97" w:rsidP="00206B14">
      <w:pPr>
        <w:pStyle w:val="Prrafodelista"/>
        <w:numPr>
          <w:ilvl w:val="0"/>
          <w:numId w:val="24"/>
        </w:numPr>
        <w:spacing w:before="180" w:after="180" w:line="276" w:lineRule="auto"/>
        <w:rPr>
          <w:rFonts w:ascii="ITC Avant Garde" w:hAnsi="ITC Avant Garde" w:cs="Arial"/>
          <w:b/>
        </w:rPr>
      </w:pPr>
      <w:r w:rsidRPr="00C032D9">
        <w:rPr>
          <w:rFonts w:ascii="ITC Avant Garde" w:hAnsi="ITC Avant Garde" w:cs="Arial"/>
          <w:b/>
        </w:rPr>
        <w:lastRenderedPageBreak/>
        <w:t>Factor de gradualidad</w:t>
      </w:r>
    </w:p>
    <w:p w:rsidR="00FA0F97" w:rsidRPr="00C032D9" w:rsidRDefault="00FA0F97" w:rsidP="00206B14">
      <w:pPr>
        <w:spacing w:before="180" w:after="180"/>
        <w:jc w:val="both"/>
        <w:rPr>
          <w:rFonts w:ascii="ITC Avant Garde" w:hAnsi="ITC Avant Garde" w:cs="Arial"/>
          <w:b/>
        </w:rPr>
      </w:pPr>
      <w:r w:rsidRPr="00C032D9">
        <w:rPr>
          <w:rFonts w:ascii="ITC Avant Garde" w:hAnsi="ITC Avant Garde" w:cs="Arial"/>
          <w:b/>
        </w:rPr>
        <w:t xml:space="preserve">Argumentos de las partes </w:t>
      </w:r>
    </w:p>
    <w:p w:rsidR="00FA0F97" w:rsidRPr="00C032D9" w:rsidRDefault="00FA0F97" w:rsidP="00206B14">
      <w:pPr>
        <w:spacing w:before="180" w:after="180"/>
        <w:jc w:val="both"/>
        <w:rPr>
          <w:rFonts w:ascii="ITC Avant Garde" w:hAnsi="ITC Avant Garde"/>
          <w:lang w:val="es-ES"/>
        </w:rPr>
      </w:pPr>
      <w:proofErr w:type="spellStart"/>
      <w:r w:rsidRPr="00C032D9">
        <w:rPr>
          <w:rFonts w:ascii="ITC Avant Garde" w:hAnsi="ITC Avant Garde"/>
          <w:lang w:val="es-ES"/>
        </w:rPr>
        <w:t>Avantel</w:t>
      </w:r>
      <w:proofErr w:type="spellEnd"/>
      <w:r w:rsidRPr="00C032D9">
        <w:rPr>
          <w:rFonts w:ascii="ITC Avant Garde" w:hAnsi="ITC Avant Garde"/>
          <w:lang w:val="es-ES"/>
        </w:rPr>
        <w:t xml:space="preserve"> y Axtel manifiestan que el factor de gradualidad del 50% que el Instituto aplicó para las tarifas de interconexión del 2015 además de no tener justificación alguna, no debe de ser incluido en las tarifas de interconexión del 2016, de acuerdo con el propio criterio del Instituto contenido en el Acuerdo del 29 de diciembre de 2014.</w:t>
      </w:r>
    </w:p>
    <w:p w:rsidR="00FA0F97" w:rsidRPr="00C032D9" w:rsidRDefault="00FA0F97" w:rsidP="00206B14">
      <w:pPr>
        <w:spacing w:before="180" w:after="180"/>
        <w:jc w:val="both"/>
        <w:rPr>
          <w:rFonts w:ascii="ITC Avant Garde" w:hAnsi="ITC Avant Garde" w:cs="Arial"/>
          <w:b/>
        </w:rPr>
      </w:pPr>
      <w:r w:rsidRPr="00C032D9">
        <w:rPr>
          <w:rFonts w:ascii="ITC Avant Garde" w:hAnsi="ITC Avant Garde" w:cs="Arial"/>
          <w:b/>
        </w:rPr>
        <w:t>Consideraciones del Instituto</w:t>
      </w:r>
    </w:p>
    <w:p w:rsidR="00FA0F97" w:rsidRPr="00C032D9" w:rsidRDefault="00FA0F97" w:rsidP="00206B14">
      <w:pPr>
        <w:spacing w:before="180" w:after="180"/>
        <w:jc w:val="both"/>
        <w:rPr>
          <w:rFonts w:ascii="ITC Avant Garde" w:hAnsi="ITC Avant Garde"/>
          <w:lang w:val="es-ES"/>
        </w:rPr>
      </w:pPr>
      <w:r w:rsidRPr="00C032D9">
        <w:rPr>
          <w:rFonts w:ascii="ITC Avant Garde" w:hAnsi="ITC Avant Garde"/>
          <w:lang w:val="es-ES"/>
        </w:rPr>
        <w:t>Al respecto, este Instituto señala que toda vez que las tarifas solicitadas por las partes se refieren al periodo comprendido del 1 de enero al 31 de diciembre de 2016, la determinación de las mismas se hará con base en el Acuerdo de Tarifas 2016 y no así, con base en el “</w:t>
      </w:r>
      <w:r w:rsidRPr="00C032D9">
        <w:rPr>
          <w:rFonts w:ascii="ITC Avant Garde" w:hAnsi="ITC Avant Garde" w:cs="Arial"/>
          <w:i/>
        </w:rPr>
        <w:t xml:space="preserve">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 </w:t>
      </w:r>
      <w:r w:rsidRPr="00C032D9">
        <w:rPr>
          <w:rFonts w:ascii="ITC Avant Garde" w:hAnsi="ITC Avant Garde" w:cs="Arial"/>
        </w:rPr>
        <w:t xml:space="preserve">publicado en el DOF </w:t>
      </w:r>
      <w:r w:rsidRPr="00C032D9">
        <w:rPr>
          <w:rFonts w:ascii="ITC Avant Garde" w:hAnsi="ITC Avant Garde"/>
          <w:lang w:val="es-ES"/>
        </w:rPr>
        <w:t xml:space="preserve"> el 29 de diciembre de 2014, como lo señalan </w:t>
      </w:r>
      <w:proofErr w:type="spellStart"/>
      <w:r w:rsidRPr="00C032D9">
        <w:rPr>
          <w:rFonts w:ascii="ITC Avant Garde" w:hAnsi="ITC Avant Garde"/>
          <w:lang w:val="es-ES"/>
        </w:rPr>
        <w:t>Avantel</w:t>
      </w:r>
      <w:proofErr w:type="spellEnd"/>
      <w:r w:rsidRPr="00C032D9">
        <w:rPr>
          <w:rFonts w:ascii="ITC Avant Garde" w:hAnsi="ITC Avant Garde"/>
          <w:lang w:val="es-ES"/>
        </w:rPr>
        <w:t xml:space="preserve"> y Axtel.</w:t>
      </w:r>
    </w:p>
    <w:p w:rsidR="00FA0F97" w:rsidRPr="00C032D9" w:rsidRDefault="00FA0F97" w:rsidP="00206B14">
      <w:pPr>
        <w:spacing w:before="180" w:after="180"/>
        <w:jc w:val="both"/>
        <w:rPr>
          <w:rFonts w:ascii="ITC Avant Garde" w:hAnsi="ITC Avant Garde"/>
        </w:rPr>
      </w:pPr>
      <w:r w:rsidRPr="00C032D9">
        <w:rPr>
          <w:rFonts w:ascii="ITC Avant Garde" w:hAnsi="ITC Avant Garde"/>
          <w:lang w:val="es-ES"/>
        </w:rPr>
        <w:t xml:space="preserve">En este sentido, la determinación de las tarifas para 2016 será indubitablemente igual al costo determinado en el Costo Incremental de Largo Plazo Puro, es decir, sin añadir un margen adicional de gradualidad, toda vez que como lo manifiestan </w:t>
      </w:r>
      <w:proofErr w:type="spellStart"/>
      <w:r w:rsidRPr="00C032D9">
        <w:rPr>
          <w:rFonts w:ascii="ITC Avant Garde" w:hAnsi="ITC Avant Garde"/>
          <w:lang w:val="es-ES"/>
        </w:rPr>
        <w:t>Avantel</w:t>
      </w:r>
      <w:proofErr w:type="spellEnd"/>
      <w:r w:rsidRPr="00C032D9">
        <w:rPr>
          <w:rFonts w:ascii="ITC Avant Garde" w:hAnsi="ITC Avant Garde"/>
          <w:lang w:val="es-ES"/>
        </w:rPr>
        <w:t xml:space="preserve"> y Axtel, el factor de gradualidad </w:t>
      </w:r>
      <w:r w:rsidRPr="00C032D9">
        <w:rPr>
          <w:rFonts w:ascii="ITC Avant Garde" w:hAnsi="ITC Avant Garde"/>
        </w:rPr>
        <w:t>que el Instituto determinó para el periodo de transición del año 2015, tuvo como finalidad precisamente, transitar a un nuevo esquema en la determinación de tarifas de interconexión que es más estricto en cuanto a la determinación de tarifas de interconexión, de manera gradual, con el objetivo de evitar un impacto adverso en los operadores, así como en sus usuarios que son receptores netos de llamadas.</w:t>
      </w:r>
    </w:p>
    <w:p w:rsidR="00FA0F97" w:rsidRPr="00C032D9" w:rsidRDefault="00FA0F97" w:rsidP="00206B14">
      <w:pPr>
        <w:spacing w:before="180" w:after="180"/>
        <w:jc w:val="both"/>
        <w:rPr>
          <w:rFonts w:ascii="ITC Avant Garde" w:hAnsi="ITC Avant Garde"/>
        </w:rPr>
      </w:pPr>
      <w:r w:rsidRPr="00C032D9">
        <w:rPr>
          <w:rFonts w:ascii="ITC Avant Garde" w:hAnsi="ITC Avant Garde"/>
        </w:rPr>
        <w:t xml:space="preserve">De esta forma, el periodo de transición permitiría a los concesionarios de redes públicas de telecomunicaciones ajustar los precios relativos de sus servicios y modificar sus planes de negocios toda vez que tuvieron conocimiento previo de que la recuperación de los costos comunes y compartidos se realizará bajo un nuevo entorno regulatorio ya sin factor de gradualidad para el año 2016, por lo que los argumentos de </w:t>
      </w:r>
      <w:proofErr w:type="spellStart"/>
      <w:r w:rsidRPr="00C032D9">
        <w:rPr>
          <w:rFonts w:ascii="ITC Avant Garde" w:hAnsi="ITC Avant Garde"/>
        </w:rPr>
        <w:t>Avantel</w:t>
      </w:r>
      <w:proofErr w:type="spellEnd"/>
      <w:r w:rsidRPr="00C032D9">
        <w:rPr>
          <w:rFonts w:ascii="ITC Avant Garde" w:hAnsi="ITC Avant Garde"/>
        </w:rPr>
        <w:t xml:space="preserve"> y Axtel ya fueron atendidos en el Acuerdo de Tarifas 2016.</w:t>
      </w:r>
    </w:p>
    <w:p w:rsidR="00FA0F97" w:rsidRPr="00C032D9" w:rsidRDefault="00FA0F97" w:rsidP="00206B14">
      <w:pPr>
        <w:pStyle w:val="Prrafodelista"/>
        <w:numPr>
          <w:ilvl w:val="0"/>
          <w:numId w:val="24"/>
        </w:numPr>
        <w:spacing w:before="180" w:after="180" w:line="276" w:lineRule="auto"/>
        <w:rPr>
          <w:rFonts w:ascii="ITC Avant Garde" w:hAnsi="ITC Avant Garde" w:cs="Arial"/>
          <w:b/>
        </w:rPr>
      </w:pPr>
      <w:r w:rsidRPr="00C032D9">
        <w:rPr>
          <w:rFonts w:ascii="ITC Avant Garde" w:hAnsi="ITC Avant Garde" w:cs="Arial"/>
          <w:b/>
        </w:rPr>
        <w:t>Tecnología</w:t>
      </w:r>
    </w:p>
    <w:p w:rsidR="00FA0F97" w:rsidRPr="00C032D9" w:rsidRDefault="00FA0F97" w:rsidP="00206B14">
      <w:pPr>
        <w:pStyle w:val="Textoindependiente"/>
        <w:spacing w:before="180" w:after="180" w:line="276" w:lineRule="auto"/>
        <w:rPr>
          <w:rFonts w:ascii="ITC Avant Garde" w:hAnsi="ITC Avant Garde" w:cs="Arial"/>
          <w:b/>
          <w:bCs/>
        </w:rPr>
      </w:pPr>
      <w:r w:rsidRPr="00C032D9">
        <w:rPr>
          <w:rFonts w:ascii="ITC Avant Garde" w:hAnsi="ITC Avant Garde" w:cs="Arial"/>
          <w:b/>
          <w:bCs/>
        </w:rPr>
        <w:t>Argumentos de las partes</w:t>
      </w:r>
    </w:p>
    <w:p w:rsidR="00FA0F97" w:rsidRPr="00C032D9" w:rsidRDefault="00FA0F97" w:rsidP="00206B14">
      <w:pPr>
        <w:spacing w:before="180" w:after="180"/>
        <w:jc w:val="both"/>
        <w:rPr>
          <w:rFonts w:ascii="ITC Avant Garde" w:hAnsi="ITC Avant Garde" w:cs="Arial"/>
        </w:rPr>
      </w:pPr>
      <w:r w:rsidRPr="00C032D9">
        <w:rPr>
          <w:rFonts w:ascii="ITC Avant Garde" w:hAnsi="ITC Avant Garde" w:cs="Arial"/>
        </w:rPr>
        <w:t xml:space="preserve">Por lo que respecta a la tecnología utilizada en el modelo de costos, </w:t>
      </w:r>
      <w:proofErr w:type="spellStart"/>
      <w:r w:rsidRPr="00C032D9">
        <w:rPr>
          <w:rFonts w:ascii="ITC Avant Garde" w:hAnsi="ITC Avant Garde" w:cs="Arial"/>
        </w:rPr>
        <w:t>Avantel</w:t>
      </w:r>
      <w:proofErr w:type="spellEnd"/>
      <w:r w:rsidRPr="00C032D9">
        <w:rPr>
          <w:rFonts w:ascii="ITC Avant Garde" w:hAnsi="ITC Avant Garde" w:cs="Arial"/>
        </w:rPr>
        <w:t xml:space="preserve"> y Axtel manifiestan que no existe justificación técnica para que el modelo de costos de las redes </w:t>
      </w:r>
      <w:r w:rsidRPr="00C032D9">
        <w:rPr>
          <w:rFonts w:ascii="ITC Avant Garde" w:hAnsi="ITC Avant Garde" w:cs="Arial"/>
        </w:rPr>
        <w:lastRenderedPageBreak/>
        <w:t>fijas contemple tecnologías de nueva generación (</w:t>
      </w:r>
      <w:proofErr w:type="spellStart"/>
      <w:r w:rsidRPr="00C032D9">
        <w:rPr>
          <w:rFonts w:ascii="ITC Avant Garde" w:hAnsi="ITC Avant Garde" w:cs="Arial"/>
        </w:rPr>
        <w:t>NGN</w:t>
      </w:r>
      <w:proofErr w:type="spellEnd"/>
      <w:r w:rsidRPr="00C032D9">
        <w:rPr>
          <w:rFonts w:ascii="ITC Avant Garde" w:hAnsi="ITC Avant Garde" w:cs="Arial"/>
        </w:rPr>
        <w:t xml:space="preserve">) mientras que el modelo de costos para redes móviles no contemple las tecnologías más eficientes, como lo es </w:t>
      </w:r>
      <w:proofErr w:type="spellStart"/>
      <w:r w:rsidRPr="00C032D9">
        <w:rPr>
          <w:rFonts w:ascii="ITC Avant Garde" w:hAnsi="ITC Avant Garde" w:cs="Arial"/>
        </w:rPr>
        <w:t>VoLTE</w:t>
      </w:r>
      <w:proofErr w:type="spellEnd"/>
      <w:r w:rsidRPr="00C032D9">
        <w:rPr>
          <w:rFonts w:ascii="ITC Avant Garde" w:hAnsi="ITC Avant Garde" w:cs="Arial"/>
        </w:rPr>
        <w:t xml:space="preserve">, lo cual constituye un tratamiento discriminatorio y favorable hacia los concesionarios de las redes móviles sobre los concesionarios fijos. </w:t>
      </w:r>
    </w:p>
    <w:p w:rsidR="00FA0F97" w:rsidRPr="00C032D9" w:rsidRDefault="00FA0F97" w:rsidP="00206B14">
      <w:pPr>
        <w:pStyle w:val="Textoindependiente"/>
        <w:spacing w:before="180" w:after="180" w:line="276" w:lineRule="auto"/>
        <w:rPr>
          <w:rFonts w:ascii="ITC Avant Garde" w:hAnsi="ITC Avant Garde" w:cs="Arial"/>
          <w:b/>
          <w:bCs/>
        </w:rPr>
      </w:pPr>
      <w:r w:rsidRPr="00C032D9">
        <w:rPr>
          <w:rFonts w:ascii="ITC Avant Garde" w:hAnsi="ITC Avant Garde" w:cs="Arial"/>
          <w:b/>
          <w:bCs/>
        </w:rPr>
        <w:t>Consideraciones del Instituto</w:t>
      </w:r>
    </w:p>
    <w:p w:rsidR="00FA0F97" w:rsidRPr="00C032D9" w:rsidRDefault="00FA0F97" w:rsidP="00206B14">
      <w:pPr>
        <w:pStyle w:val="Textoindependiente"/>
        <w:spacing w:before="180" w:after="180" w:line="276" w:lineRule="auto"/>
        <w:rPr>
          <w:rFonts w:ascii="ITC Avant Garde" w:hAnsi="ITC Avant Garde" w:cs="Arial"/>
          <w:bCs/>
        </w:rPr>
      </w:pPr>
      <w:r w:rsidRPr="00C032D9">
        <w:rPr>
          <w:rFonts w:ascii="ITC Avant Garde" w:hAnsi="ITC Avant Garde" w:cs="Arial"/>
          <w:bCs/>
        </w:rPr>
        <w:t xml:space="preserve">Los argumentos de Axtel y </w:t>
      </w:r>
      <w:proofErr w:type="spellStart"/>
      <w:r w:rsidRPr="00C032D9">
        <w:rPr>
          <w:rFonts w:ascii="ITC Avant Garde" w:hAnsi="ITC Avant Garde" w:cs="Arial"/>
          <w:bCs/>
        </w:rPr>
        <w:t>Avantel</w:t>
      </w:r>
      <w:proofErr w:type="spellEnd"/>
      <w:r w:rsidRPr="00C032D9">
        <w:rPr>
          <w:rFonts w:ascii="ITC Avant Garde" w:hAnsi="ITC Avant Garde" w:cs="Arial"/>
          <w:bCs/>
        </w:rPr>
        <w:t xml:space="preserve"> son imprecisos toda vez que tanto en el modelo fijo como en el modelo móvil se utilizó una arquitectura de red que reflejara las tecnologías modernas equivalentes; esto es tecnologías disponibles y probadas con el costo más bajo previsto a lo largo de su vida útil.</w:t>
      </w:r>
    </w:p>
    <w:p w:rsidR="00FA0F97" w:rsidRPr="00C032D9" w:rsidRDefault="00FA0F97" w:rsidP="00206B14">
      <w:pPr>
        <w:pStyle w:val="Textoindependiente"/>
        <w:spacing w:before="180" w:after="180" w:line="276" w:lineRule="auto"/>
        <w:rPr>
          <w:rFonts w:ascii="ITC Avant Garde" w:hAnsi="ITC Avant Garde" w:cs="Arial"/>
          <w:bCs/>
        </w:rPr>
      </w:pPr>
      <w:r w:rsidRPr="00C032D9">
        <w:rPr>
          <w:rFonts w:ascii="ITC Avant Garde" w:hAnsi="ITC Avant Garde" w:cs="Arial"/>
          <w:bCs/>
        </w:rPr>
        <w:t>En el caso de las redes fijas se decidió modelar una red troncal basada en redes de nueva generación (</w:t>
      </w:r>
      <w:proofErr w:type="spellStart"/>
      <w:r w:rsidRPr="00C032D9">
        <w:rPr>
          <w:rFonts w:ascii="ITC Avant Garde" w:hAnsi="ITC Avant Garde" w:cs="Arial"/>
          <w:bCs/>
        </w:rPr>
        <w:t>NGN</w:t>
      </w:r>
      <w:proofErr w:type="spellEnd"/>
      <w:r w:rsidRPr="00C032D9">
        <w:rPr>
          <w:rFonts w:ascii="ITC Avant Garde" w:hAnsi="ITC Avant Garde" w:cs="Arial"/>
          <w:bCs/>
        </w:rPr>
        <w:t xml:space="preserve">) toda vez que es la tecnología que utilizaría un nuevo entrante en el despliegue de sus redes. Que un operador que comenzara su operación en unos 4 o 5 años utilizaría en el despliegue de sus redes, es decir, no desplegaría una red telefónica conmutada en la red troncal sino una red multiservicio </w:t>
      </w:r>
      <w:proofErr w:type="spellStart"/>
      <w:r w:rsidRPr="00C032D9">
        <w:rPr>
          <w:rFonts w:ascii="ITC Avant Garde" w:hAnsi="ITC Avant Garde" w:cs="Arial"/>
          <w:bCs/>
        </w:rPr>
        <w:t>NGN</w:t>
      </w:r>
      <w:proofErr w:type="spellEnd"/>
      <w:r w:rsidRPr="00C032D9">
        <w:rPr>
          <w:rFonts w:ascii="ITC Avant Garde" w:hAnsi="ITC Avant Garde" w:cs="Arial"/>
          <w:bCs/>
        </w:rPr>
        <w:t xml:space="preserve"> basada en todo sobre IP. Lo anterior es consistente con la tecnología utilizada en la red de transmisión y en la red de conmutación del modelo móvil; ahora bien, por lo que hace a la capa de radio del modelo móvil la utilización de la tecnología </w:t>
      </w:r>
      <w:proofErr w:type="spellStart"/>
      <w:r w:rsidRPr="00C032D9">
        <w:rPr>
          <w:rFonts w:ascii="ITC Avant Garde" w:hAnsi="ITC Avant Garde" w:cs="Arial"/>
          <w:bCs/>
        </w:rPr>
        <w:t>LTE</w:t>
      </w:r>
      <w:proofErr w:type="spellEnd"/>
      <w:r w:rsidRPr="00C032D9">
        <w:rPr>
          <w:rFonts w:ascii="ITC Avant Garde" w:hAnsi="ITC Avant Garde" w:cs="Arial"/>
          <w:bCs/>
        </w:rPr>
        <w:t xml:space="preserve"> no respondía al principio de utilizar tecnologías modernas y eficientes por diversas razones como son que en el mediano plazo se concentrarán en el transporte de servicios móviles de datos de alta velocidad; que las bandas disponibles (1.7-2.1 GHz) son menos adecuadas para despliegues de alta cobertura, y que, en consecuencia es menos probable que se utilicen para la terminación de grandes volúmenes de voz de telefonía móvil a corto o mediano plazo.</w:t>
      </w:r>
    </w:p>
    <w:p w:rsidR="00FA0F97" w:rsidRPr="00C032D9" w:rsidRDefault="00FA0F97" w:rsidP="00206B14">
      <w:pPr>
        <w:pStyle w:val="Prrafodelista"/>
        <w:numPr>
          <w:ilvl w:val="0"/>
          <w:numId w:val="24"/>
        </w:numPr>
        <w:spacing w:before="180" w:after="180" w:line="276" w:lineRule="auto"/>
        <w:rPr>
          <w:rFonts w:ascii="ITC Avant Garde" w:hAnsi="ITC Avant Garde" w:cs="Arial"/>
          <w:b/>
        </w:rPr>
      </w:pPr>
      <w:r w:rsidRPr="00C032D9">
        <w:rPr>
          <w:rFonts w:ascii="ITC Avant Garde" w:hAnsi="ITC Avant Garde" w:cs="Arial"/>
          <w:b/>
        </w:rPr>
        <w:t>Costo de capital</w:t>
      </w:r>
    </w:p>
    <w:p w:rsidR="00FA0F97" w:rsidRPr="00C032D9" w:rsidRDefault="00FA0F97" w:rsidP="00206B14">
      <w:pPr>
        <w:pStyle w:val="Textoindependiente"/>
        <w:spacing w:before="180" w:after="180" w:line="276" w:lineRule="auto"/>
        <w:rPr>
          <w:rFonts w:ascii="ITC Avant Garde" w:hAnsi="ITC Avant Garde" w:cs="Arial"/>
          <w:b/>
          <w:bCs/>
        </w:rPr>
      </w:pPr>
      <w:r w:rsidRPr="00C032D9">
        <w:rPr>
          <w:rFonts w:ascii="ITC Avant Garde" w:hAnsi="ITC Avant Garde" w:cs="Arial"/>
          <w:b/>
          <w:bCs/>
        </w:rPr>
        <w:t>Argumentos de las partes</w:t>
      </w:r>
    </w:p>
    <w:p w:rsidR="00FA0F97" w:rsidRPr="00C032D9" w:rsidRDefault="00FA0F97" w:rsidP="00206B14">
      <w:pPr>
        <w:spacing w:before="180" w:after="180"/>
        <w:jc w:val="both"/>
        <w:rPr>
          <w:rFonts w:ascii="ITC Avant Garde" w:hAnsi="ITC Avant Garde" w:cs="Arial"/>
        </w:rPr>
      </w:pPr>
      <w:r w:rsidRPr="00C032D9">
        <w:rPr>
          <w:rFonts w:ascii="ITC Avant Garde" w:hAnsi="ITC Avant Garde" w:cs="Arial"/>
        </w:rPr>
        <w:t xml:space="preserve">Por lo que hace al costo del capital, </w:t>
      </w:r>
      <w:proofErr w:type="spellStart"/>
      <w:r w:rsidRPr="00C032D9">
        <w:rPr>
          <w:rFonts w:ascii="ITC Avant Garde" w:hAnsi="ITC Avant Garde" w:cs="Arial"/>
        </w:rPr>
        <w:t>Avantel</w:t>
      </w:r>
      <w:proofErr w:type="spellEnd"/>
      <w:r w:rsidRPr="00C032D9">
        <w:rPr>
          <w:rFonts w:ascii="ITC Avant Garde" w:hAnsi="ITC Avant Garde" w:cs="Arial"/>
        </w:rPr>
        <w:t xml:space="preserve"> y Axtel manifiestan que no se encuentra justificación económica para considerar que los operadores no preponderantes fijos posean un costo de capital del 7%, mientras que el costo de capital utilizado en el modelo de costos para redes móviles es de 9.7%. </w:t>
      </w:r>
    </w:p>
    <w:p w:rsidR="00FA0F97" w:rsidRPr="00C032D9" w:rsidRDefault="00FA0F97" w:rsidP="00206B14">
      <w:pPr>
        <w:spacing w:before="180" w:after="180"/>
        <w:jc w:val="both"/>
        <w:rPr>
          <w:rFonts w:ascii="ITC Avant Garde" w:hAnsi="ITC Avant Garde" w:cs="Arial"/>
          <w:b/>
          <w:bCs/>
        </w:rPr>
      </w:pPr>
      <w:r w:rsidRPr="00C032D9">
        <w:rPr>
          <w:rFonts w:ascii="ITC Avant Garde" w:hAnsi="ITC Avant Garde" w:cs="Arial"/>
          <w:b/>
          <w:bCs/>
        </w:rPr>
        <w:t>Consideraciones del Instituto</w:t>
      </w:r>
    </w:p>
    <w:p w:rsidR="00FA0F97" w:rsidRPr="00C032D9" w:rsidRDefault="00FA0F97" w:rsidP="00206B14">
      <w:pPr>
        <w:pStyle w:val="Textoindependiente"/>
        <w:spacing w:before="180" w:after="180" w:line="276" w:lineRule="auto"/>
        <w:rPr>
          <w:rFonts w:ascii="ITC Avant Garde" w:hAnsi="ITC Avant Garde" w:cs="Arial"/>
          <w:bCs/>
        </w:rPr>
      </w:pPr>
      <w:r w:rsidRPr="00C032D9">
        <w:rPr>
          <w:rFonts w:ascii="ITC Avant Garde" w:hAnsi="ITC Avant Garde" w:cs="Arial"/>
          <w:bCs/>
        </w:rPr>
        <w:t>El costo de capital se ha calculado con base en la Metodología de Costo de Capital Promedio Ponderado mientras que el costo de capital accionario se realiza mediante el modelo de evaluación de activos financieros (</w:t>
      </w:r>
      <w:proofErr w:type="spellStart"/>
      <w:r w:rsidRPr="00C032D9">
        <w:rPr>
          <w:rFonts w:ascii="ITC Avant Garde" w:hAnsi="ITC Avant Garde" w:cs="Arial"/>
          <w:bCs/>
        </w:rPr>
        <w:t>CAPM</w:t>
      </w:r>
      <w:proofErr w:type="spellEnd"/>
      <w:r w:rsidRPr="00C032D9">
        <w:rPr>
          <w:rFonts w:ascii="ITC Avant Garde" w:hAnsi="ITC Avant Garde" w:cs="Arial"/>
          <w:bCs/>
        </w:rPr>
        <w:t>), los cuales son ampliamente utilizados en todas las industrias.</w:t>
      </w:r>
    </w:p>
    <w:p w:rsidR="00FA0F97" w:rsidRPr="00C032D9" w:rsidRDefault="00FA0F97" w:rsidP="00206B14">
      <w:pPr>
        <w:pStyle w:val="Textoindependiente"/>
        <w:spacing w:before="180" w:after="180" w:line="276" w:lineRule="auto"/>
        <w:rPr>
          <w:rFonts w:ascii="ITC Avant Garde" w:hAnsi="ITC Avant Garde" w:cs="Arial"/>
          <w:bCs/>
        </w:rPr>
      </w:pPr>
      <w:r w:rsidRPr="00C032D9">
        <w:rPr>
          <w:rFonts w:ascii="ITC Avant Garde" w:hAnsi="ITC Avant Garde" w:cs="Arial"/>
          <w:bCs/>
        </w:rPr>
        <w:lastRenderedPageBreak/>
        <w:t xml:space="preserve">Asimismo, los datos para el cálculo de la prima de riesgo de capital accionario proceden de una fuente reconocida y pública como es la página del profesor </w:t>
      </w:r>
      <w:proofErr w:type="spellStart"/>
      <w:r w:rsidRPr="00C032D9">
        <w:rPr>
          <w:rFonts w:ascii="ITC Avant Garde" w:hAnsi="ITC Avant Garde" w:cs="Arial"/>
          <w:bCs/>
        </w:rPr>
        <w:t>Aswath</w:t>
      </w:r>
      <w:proofErr w:type="spellEnd"/>
      <w:r w:rsidRPr="00C032D9">
        <w:rPr>
          <w:rFonts w:ascii="ITC Avant Garde" w:hAnsi="ITC Avant Garde" w:cs="Arial"/>
          <w:bCs/>
        </w:rPr>
        <w:t xml:space="preserve"> </w:t>
      </w:r>
      <w:proofErr w:type="spellStart"/>
      <w:r w:rsidRPr="00C032D9">
        <w:rPr>
          <w:rFonts w:ascii="ITC Avant Garde" w:hAnsi="ITC Avant Garde" w:cs="Arial"/>
          <w:bCs/>
        </w:rPr>
        <w:t>Damodaran</w:t>
      </w:r>
      <w:proofErr w:type="spellEnd"/>
      <w:r w:rsidRPr="00C032D9">
        <w:rPr>
          <w:rStyle w:val="Refdenotaalpie"/>
          <w:rFonts w:ascii="ITC Avant Garde" w:hAnsi="ITC Avant Garde" w:cs="Arial"/>
          <w:bCs/>
        </w:rPr>
        <w:footnoteReference w:id="2"/>
      </w:r>
      <w:r w:rsidRPr="00C032D9">
        <w:rPr>
          <w:rFonts w:ascii="ITC Avant Garde" w:hAnsi="ITC Avant Garde" w:cs="Arial"/>
          <w:bCs/>
        </w:rPr>
        <w:t xml:space="preserve">, con lo cual son replicables y verificables; mientras que no existe ninguna razón por la cual a priori se pueda señalar que el </w:t>
      </w:r>
      <w:proofErr w:type="spellStart"/>
      <w:r w:rsidRPr="00C032D9">
        <w:rPr>
          <w:rFonts w:ascii="ITC Avant Garde" w:hAnsi="ITC Avant Garde" w:cs="Arial"/>
          <w:bCs/>
        </w:rPr>
        <w:t>WACC</w:t>
      </w:r>
      <w:proofErr w:type="spellEnd"/>
      <w:r w:rsidRPr="00C032D9">
        <w:rPr>
          <w:rFonts w:ascii="ITC Avant Garde" w:hAnsi="ITC Avant Garde" w:cs="Arial"/>
          <w:bCs/>
        </w:rPr>
        <w:t xml:space="preserve"> de un operador móvil deba ser menor o mayor al de un operador fijo.</w:t>
      </w:r>
    </w:p>
    <w:p w:rsidR="00FA0F97" w:rsidRPr="00C032D9" w:rsidRDefault="00FA0F97" w:rsidP="00206B14">
      <w:pPr>
        <w:pStyle w:val="Prrafodelista"/>
        <w:numPr>
          <w:ilvl w:val="0"/>
          <w:numId w:val="24"/>
        </w:numPr>
        <w:spacing w:before="180" w:after="180" w:line="276" w:lineRule="auto"/>
        <w:rPr>
          <w:rFonts w:ascii="ITC Avant Garde" w:hAnsi="ITC Avant Garde" w:cs="Arial"/>
          <w:b/>
        </w:rPr>
      </w:pPr>
      <w:r w:rsidRPr="00C032D9">
        <w:rPr>
          <w:rFonts w:ascii="ITC Avant Garde" w:hAnsi="ITC Avant Garde" w:cs="Arial"/>
          <w:b/>
        </w:rPr>
        <w:t>Participación de mercado</w:t>
      </w:r>
    </w:p>
    <w:p w:rsidR="00FA0F97" w:rsidRPr="00C032D9" w:rsidRDefault="00FA0F97" w:rsidP="00206B14">
      <w:pPr>
        <w:spacing w:before="180" w:after="180"/>
        <w:rPr>
          <w:rFonts w:ascii="ITC Avant Garde" w:hAnsi="ITC Avant Garde" w:cs="Arial"/>
          <w:b/>
        </w:rPr>
      </w:pPr>
      <w:r w:rsidRPr="00C032D9">
        <w:rPr>
          <w:rFonts w:ascii="ITC Avant Garde" w:hAnsi="ITC Avant Garde" w:cs="Arial"/>
          <w:b/>
        </w:rPr>
        <w:t>Argumentos de las partes</w:t>
      </w:r>
    </w:p>
    <w:p w:rsidR="00FA0F97" w:rsidRPr="00C032D9" w:rsidRDefault="00FA0F97" w:rsidP="00206B14">
      <w:pPr>
        <w:widowControl w:val="0"/>
        <w:spacing w:before="180" w:after="180"/>
        <w:jc w:val="both"/>
        <w:rPr>
          <w:rFonts w:ascii="ITC Avant Garde" w:hAnsi="ITC Avant Garde" w:cs="Arial"/>
        </w:rPr>
      </w:pPr>
      <w:r w:rsidRPr="00C032D9">
        <w:rPr>
          <w:rFonts w:ascii="ITC Avant Garde" w:hAnsi="ITC Avant Garde" w:cs="Arial"/>
        </w:rPr>
        <w:t xml:space="preserve">Argumentan Axtel y </w:t>
      </w:r>
      <w:proofErr w:type="spellStart"/>
      <w:r w:rsidRPr="00C032D9">
        <w:rPr>
          <w:rFonts w:ascii="ITC Avant Garde" w:hAnsi="ITC Avant Garde" w:cs="Arial"/>
        </w:rPr>
        <w:t>Avantel</w:t>
      </w:r>
      <w:proofErr w:type="spellEnd"/>
      <w:r w:rsidRPr="00C032D9">
        <w:rPr>
          <w:rFonts w:ascii="ITC Avant Garde" w:hAnsi="ITC Avant Garde" w:cs="Arial"/>
        </w:rPr>
        <w:t xml:space="preserve"> que debe revisarse la participación de mercado que se utilizó para modelar las redes fijas y móviles, en específico la cuota de mercado de los operadores no preponderantes fijos del 36%, cuando el operador fijo no preponderante de mayor tamaño, Axtel, posee una participación de mercado nacional que no sobrepasa el 5%. Esta situación contrasta notablemente con el supuesto utilizando para la cuota de mercado del operador móvil, en donde se asume que el operador no preponderante móvil posee una participación de mercado del 16%, cuando tan sólo el segundo operador móvil de mayor tamaño posee una participación de mercado de 22%.</w:t>
      </w:r>
    </w:p>
    <w:p w:rsidR="00FA0F97" w:rsidRPr="00C032D9" w:rsidRDefault="00FA0F97" w:rsidP="00206B14">
      <w:pPr>
        <w:widowControl w:val="0"/>
        <w:spacing w:before="180" w:after="180"/>
        <w:jc w:val="both"/>
        <w:rPr>
          <w:rFonts w:ascii="ITC Avant Garde" w:eastAsia="Times New Roman" w:hAnsi="ITC Avant Garde" w:cs="Arial"/>
          <w:b/>
        </w:rPr>
      </w:pPr>
      <w:r w:rsidRPr="00C032D9">
        <w:rPr>
          <w:rFonts w:ascii="ITC Avant Garde" w:eastAsia="Times New Roman" w:hAnsi="ITC Avant Garde" w:cs="Arial"/>
          <w:b/>
        </w:rPr>
        <w:t>Consideraciones del Instituto</w:t>
      </w:r>
    </w:p>
    <w:p w:rsidR="00FA0F97" w:rsidRPr="00C032D9" w:rsidRDefault="00FA0F97" w:rsidP="00206B14">
      <w:pPr>
        <w:spacing w:before="180" w:after="180"/>
        <w:jc w:val="both"/>
        <w:rPr>
          <w:rFonts w:ascii="ITC Avant Garde" w:eastAsia="Times New Roman" w:hAnsi="ITC Avant Garde" w:cs="Arial"/>
          <w:lang w:val="es-ES" w:eastAsia="es-ES"/>
        </w:rPr>
      </w:pPr>
      <w:r w:rsidRPr="00C032D9">
        <w:rPr>
          <w:rFonts w:ascii="ITC Avant Garde" w:eastAsia="Times New Roman" w:hAnsi="ITC Avant Garde" w:cs="Segoe UI"/>
          <w:lang w:eastAsia="es-MX"/>
        </w:rPr>
        <w:t>Al respecto, el Instituto considera que</w:t>
      </w:r>
      <w:r w:rsidRPr="00C032D9">
        <w:rPr>
          <w:rFonts w:ascii="ITC Avant Garde" w:eastAsia="Times New Roman" w:hAnsi="ITC Avant Garde" w:cs="Arial"/>
          <w:lang w:val="es-ES" w:eastAsia="es-ES"/>
        </w:rPr>
        <w:t xml:space="preserve"> las manifestaciones hechas por Axtel y </w:t>
      </w:r>
      <w:proofErr w:type="spellStart"/>
      <w:r w:rsidRPr="00C032D9">
        <w:rPr>
          <w:rFonts w:ascii="ITC Avant Garde" w:eastAsia="Times New Roman" w:hAnsi="ITC Avant Garde" w:cs="Arial"/>
          <w:lang w:val="es-ES" w:eastAsia="es-ES"/>
        </w:rPr>
        <w:t>Avantel</w:t>
      </w:r>
      <w:proofErr w:type="spellEnd"/>
      <w:r w:rsidRPr="00C032D9">
        <w:rPr>
          <w:rFonts w:ascii="ITC Avant Garde" w:eastAsia="Times New Roman" w:hAnsi="ITC Avant Garde" w:cs="Arial"/>
          <w:lang w:val="es-ES" w:eastAsia="es-ES"/>
        </w:rPr>
        <w:t xml:space="preserve"> son infundadas dado que el tamaño del operador a modelar está primordialmente determinado por el número de operadores existentes en cada uno de los mercados (fijo y móvil). </w:t>
      </w:r>
    </w:p>
    <w:p w:rsidR="00FA0F97" w:rsidRPr="00C032D9" w:rsidRDefault="00FA0F97" w:rsidP="00206B14">
      <w:pPr>
        <w:spacing w:before="180" w:after="180"/>
        <w:jc w:val="both"/>
        <w:rPr>
          <w:rFonts w:ascii="ITC Avant Garde" w:eastAsia="Times New Roman" w:hAnsi="ITC Avant Garde" w:cs="Arial"/>
          <w:lang w:val="es-ES" w:eastAsia="es-ES"/>
        </w:rPr>
      </w:pPr>
      <w:r w:rsidRPr="00C032D9">
        <w:rPr>
          <w:rFonts w:ascii="ITC Avant Garde" w:eastAsia="Times New Roman" w:hAnsi="ITC Avant Garde" w:cs="Arial"/>
          <w:lang w:val="es-ES" w:eastAsia="es-ES"/>
        </w:rPr>
        <w:t>Es decir, la decisión de modelar un mercado móvil con tres operadores se justifica en la cantidad de espectro disponible y utilizado actualmente por los operadores. Mientras que, en el mercado fijo se observa que salvo ciertas zonas rurales, la mayor parte de la población del país podría contar cuando menos con dos opciones de operador, el Agente Económico Preponderante y un operador alternativo y/o algún operador de cable. Aun cuando la participación de mercado del Agente Económico Preponderante no refleja esta situación ya que sigue ostentando una participación de mercado significativa, para efectos del modelo se puede considerar un mercado de dos operadores.</w:t>
      </w:r>
    </w:p>
    <w:p w:rsidR="00FA0F97" w:rsidRPr="00C032D9" w:rsidRDefault="00FA0F97" w:rsidP="00206B14">
      <w:pPr>
        <w:spacing w:before="180" w:after="180"/>
        <w:jc w:val="both"/>
        <w:rPr>
          <w:rFonts w:ascii="ITC Avant Garde" w:eastAsia="Times New Roman" w:hAnsi="ITC Avant Garde" w:cs="Arial"/>
          <w:lang w:val="es-ES" w:eastAsia="es-ES"/>
        </w:rPr>
      </w:pPr>
      <w:r w:rsidRPr="00C032D9">
        <w:rPr>
          <w:rFonts w:ascii="ITC Avant Garde" w:eastAsia="Times New Roman" w:hAnsi="ITC Avant Garde" w:cs="Arial"/>
          <w:lang w:val="es-ES" w:eastAsia="es-ES"/>
        </w:rPr>
        <w:t xml:space="preserve">Por lo que, la participación de mercado de los operadores fijos modelados fue de 64% para el operador fijo de escala y alcance del Agente Económico Preponderante y 36% para el operador alternativo, correspondiente a la participación de mercado en una </w:t>
      </w:r>
      <w:r w:rsidRPr="00C032D9">
        <w:rPr>
          <w:rFonts w:ascii="ITC Avant Garde" w:eastAsia="Times New Roman" w:hAnsi="ITC Avant Garde" w:cs="Arial"/>
          <w:lang w:val="es-ES" w:eastAsia="es-ES"/>
        </w:rPr>
        <w:lastRenderedPageBreak/>
        <w:t xml:space="preserve">región en el que se puede asumir que cada usuario tiene al menos dos opciones de operador. </w:t>
      </w:r>
    </w:p>
    <w:p w:rsidR="00FA0F97" w:rsidRPr="00C032D9" w:rsidRDefault="00FA0F97" w:rsidP="00206B14">
      <w:pPr>
        <w:spacing w:before="180" w:after="180"/>
        <w:jc w:val="both"/>
        <w:rPr>
          <w:rFonts w:ascii="ITC Avant Garde" w:eastAsia="Times New Roman" w:hAnsi="ITC Avant Garde" w:cs="Arial"/>
          <w:lang w:val="es-ES" w:eastAsia="es-ES"/>
        </w:rPr>
      </w:pPr>
      <w:r w:rsidRPr="00C032D9">
        <w:rPr>
          <w:rFonts w:ascii="ITC Avant Garde" w:eastAsia="Times New Roman" w:hAnsi="ITC Avant Garde" w:cs="Arial"/>
          <w:lang w:val="es-ES" w:eastAsia="es-ES"/>
        </w:rPr>
        <w:t>Para el caso de los operadores móviles, la participación de mercado fue del 16% para el operador móvil alternativo hipotético no preponderante, correspondiente a la cuota de mercado asociado a un mercado de 3 operadores compuesto por un operador de escala y alcance del AEP y otros dos operadores alternativos que compiten por la cuota de mercado restante.</w:t>
      </w:r>
    </w:p>
    <w:p w:rsidR="00FA0F97" w:rsidRPr="00C032D9" w:rsidRDefault="00FA0F97" w:rsidP="00206B14">
      <w:pPr>
        <w:pStyle w:val="Prrafodelista"/>
        <w:numPr>
          <w:ilvl w:val="0"/>
          <w:numId w:val="24"/>
        </w:numPr>
        <w:spacing w:before="180" w:after="180" w:line="276" w:lineRule="auto"/>
        <w:rPr>
          <w:rFonts w:ascii="ITC Avant Garde" w:hAnsi="ITC Avant Garde" w:cs="Arial"/>
          <w:b/>
        </w:rPr>
      </w:pPr>
      <w:r w:rsidRPr="00C032D9">
        <w:rPr>
          <w:rFonts w:ascii="ITC Avant Garde" w:hAnsi="ITC Avant Garde" w:cs="Arial"/>
          <w:b/>
        </w:rPr>
        <w:t>Inconsistencias en las tarifas de interconexión</w:t>
      </w:r>
    </w:p>
    <w:p w:rsidR="00FA0F97" w:rsidRDefault="00FA0F97" w:rsidP="00206B14">
      <w:pPr>
        <w:spacing w:before="180" w:after="180"/>
        <w:rPr>
          <w:rFonts w:ascii="ITC Avant Garde" w:hAnsi="ITC Avant Garde" w:cs="Arial"/>
          <w:b/>
        </w:rPr>
      </w:pPr>
      <w:r w:rsidRPr="00C032D9">
        <w:rPr>
          <w:rFonts w:ascii="ITC Avant Garde" w:hAnsi="ITC Avant Garde" w:cs="Arial"/>
          <w:b/>
        </w:rPr>
        <w:t>Argumentos de las partes</w:t>
      </w:r>
    </w:p>
    <w:p w:rsidR="00FA0F97" w:rsidRPr="00C032D9" w:rsidRDefault="00FA0F97" w:rsidP="00206B14">
      <w:pPr>
        <w:widowControl w:val="0"/>
        <w:spacing w:before="180" w:after="180"/>
        <w:jc w:val="both"/>
        <w:rPr>
          <w:rFonts w:ascii="ITC Avant Garde" w:hAnsi="ITC Avant Garde" w:cs="Arial"/>
        </w:rPr>
      </w:pPr>
      <w:r w:rsidRPr="00C032D9">
        <w:rPr>
          <w:rFonts w:ascii="ITC Avant Garde" w:hAnsi="ITC Avant Garde" w:cs="Arial"/>
        </w:rPr>
        <w:t xml:space="preserve">Argumentan Axtel y </w:t>
      </w:r>
      <w:proofErr w:type="spellStart"/>
      <w:r w:rsidRPr="00C032D9">
        <w:rPr>
          <w:rFonts w:ascii="ITC Avant Garde" w:hAnsi="ITC Avant Garde" w:cs="Arial"/>
        </w:rPr>
        <w:t>Avantel</w:t>
      </w:r>
      <w:proofErr w:type="spellEnd"/>
      <w:r w:rsidRPr="00C032D9">
        <w:rPr>
          <w:rFonts w:ascii="ITC Avant Garde" w:hAnsi="ITC Avant Garde" w:cs="Arial"/>
        </w:rPr>
        <w:t xml:space="preserve"> que existen inconsistencias en las tarifas de interconexión de los modelos de costos del Instituto, pues mientras los escenarios de terminación y </w:t>
      </w:r>
      <w:proofErr w:type="spellStart"/>
      <w:r w:rsidRPr="00C032D9">
        <w:rPr>
          <w:rFonts w:ascii="ITC Avant Garde" w:hAnsi="ITC Avant Garde" w:cs="Arial"/>
        </w:rPr>
        <w:t>originación</w:t>
      </w:r>
      <w:proofErr w:type="spellEnd"/>
      <w:r w:rsidRPr="00C032D9">
        <w:rPr>
          <w:rFonts w:ascii="ITC Avant Garde" w:hAnsi="ITC Avant Garde" w:cs="Arial"/>
        </w:rPr>
        <w:t xml:space="preserve">, en el modelo de la red fija, requieren mayores recursos de red, dado que no solo requiere de procesamiento a nivel de las centrales, sino que además implica la utilización de los elementos de terminación de la última milla, las tarifas determinadas para estos servicios son menores que las de tránsito, mismas que sólo requieren de procesamiento a nivel de las centrales, sino que además necesitan de pocos recursos de transporte ya que la comunicación entre centrales se realiza generalmente en una </w:t>
      </w:r>
      <w:proofErr w:type="spellStart"/>
      <w:r w:rsidRPr="00C032D9">
        <w:rPr>
          <w:rFonts w:ascii="ITC Avant Garde" w:hAnsi="ITC Avant Garde" w:cs="Arial"/>
        </w:rPr>
        <w:t>coubicación</w:t>
      </w:r>
      <w:proofErr w:type="spellEnd"/>
      <w:r w:rsidRPr="00C032D9">
        <w:rPr>
          <w:rFonts w:ascii="ITC Avant Garde" w:hAnsi="ITC Avant Garde" w:cs="Arial"/>
        </w:rPr>
        <w:t xml:space="preserve"> que alberga las redes de los tres operadores en una central.</w:t>
      </w:r>
    </w:p>
    <w:p w:rsidR="00FA0F97" w:rsidRPr="00C032D9" w:rsidRDefault="00FA0F97" w:rsidP="00206B14">
      <w:pPr>
        <w:widowControl w:val="0"/>
        <w:spacing w:before="180" w:after="180"/>
        <w:jc w:val="both"/>
        <w:rPr>
          <w:rFonts w:ascii="ITC Avant Garde" w:hAnsi="ITC Avant Garde" w:cs="Arial"/>
        </w:rPr>
      </w:pPr>
      <w:r w:rsidRPr="00C032D9">
        <w:rPr>
          <w:rFonts w:ascii="ITC Avant Garde" w:hAnsi="ITC Avant Garde" w:cs="Arial"/>
        </w:rPr>
        <w:t xml:space="preserve">Por lo que, señalan </w:t>
      </w:r>
      <w:proofErr w:type="spellStart"/>
      <w:r w:rsidRPr="00C032D9">
        <w:rPr>
          <w:rFonts w:ascii="ITC Avant Garde" w:hAnsi="ITC Avant Garde" w:cs="Arial"/>
        </w:rPr>
        <w:t>Avantel</w:t>
      </w:r>
      <w:proofErr w:type="spellEnd"/>
      <w:r w:rsidRPr="00C032D9">
        <w:rPr>
          <w:rFonts w:ascii="ITC Avant Garde" w:hAnsi="ITC Avant Garde" w:cs="Arial"/>
        </w:rPr>
        <w:t xml:space="preserve"> y Axtel que si en lugar de analizar los elementos de red, y los costos que estos implican, se estudiara la cantidad de tráfico medida en minutos que cada uno de los servicios representan, pues existe una relación inversamente proporcional entre la tarifas y los minutos de los servicios prestados.</w:t>
      </w:r>
    </w:p>
    <w:p w:rsidR="00FA0F97" w:rsidRPr="00C032D9" w:rsidRDefault="00FA0F97" w:rsidP="00206B14">
      <w:pPr>
        <w:widowControl w:val="0"/>
        <w:spacing w:before="180" w:after="180"/>
        <w:jc w:val="both"/>
        <w:rPr>
          <w:rFonts w:ascii="ITC Avant Garde" w:hAnsi="ITC Avant Garde" w:cs="Arial"/>
        </w:rPr>
      </w:pPr>
      <w:r w:rsidRPr="00C032D9">
        <w:rPr>
          <w:rFonts w:ascii="ITC Avant Garde" w:hAnsi="ITC Avant Garde" w:cs="Arial"/>
        </w:rPr>
        <w:t>Toda vez que el operador preponderante tiene interconexión con la mayoría de los operadores, es una práctica común que utilicen la interconexión directa que existe con el preponderante para transmitir el tráfico entre operadores, lo que significa que requieren del servicio de tránsito del operador preponderante para poder interconectarse.</w:t>
      </w:r>
    </w:p>
    <w:p w:rsidR="00FA0F97" w:rsidRPr="00C032D9" w:rsidRDefault="00FA0F97" w:rsidP="00206B14">
      <w:pPr>
        <w:widowControl w:val="0"/>
        <w:spacing w:before="180" w:after="180"/>
        <w:jc w:val="both"/>
        <w:rPr>
          <w:rFonts w:ascii="ITC Avant Garde" w:hAnsi="ITC Avant Garde" w:cs="Arial"/>
        </w:rPr>
      </w:pPr>
      <w:r w:rsidRPr="00C032D9">
        <w:rPr>
          <w:rFonts w:ascii="ITC Avant Garde" w:hAnsi="ITC Avant Garde" w:cs="Arial"/>
        </w:rPr>
        <w:t xml:space="preserve">Debido a lo anterior, es de esperarse que los minutos relativos a los servicios de tránsito de Telmex/Telnor superen los minutos de terminación y </w:t>
      </w:r>
      <w:proofErr w:type="spellStart"/>
      <w:r w:rsidRPr="00C032D9">
        <w:rPr>
          <w:rFonts w:ascii="ITC Avant Garde" w:hAnsi="ITC Avant Garde" w:cs="Arial"/>
        </w:rPr>
        <w:t>originación</w:t>
      </w:r>
      <w:proofErr w:type="spellEnd"/>
      <w:r w:rsidRPr="00C032D9">
        <w:rPr>
          <w:rFonts w:ascii="ITC Avant Garde" w:hAnsi="ITC Avant Garde" w:cs="Arial"/>
        </w:rPr>
        <w:t xml:space="preserve"> de los operadores que se interconectan con ellos, como es el caso de Axtel y </w:t>
      </w:r>
      <w:proofErr w:type="spellStart"/>
      <w:r w:rsidRPr="00C032D9">
        <w:rPr>
          <w:rFonts w:ascii="ITC Avant Garde" w:hAnsi="ITC Avant Garde" w:cs="Arial"/>
        </w:rPr>
        <w:t>Avantel</w:t>
      </w:r>
      <w:proofErr w:type="spellEnd"/>
      <w:r w:rsidRPr="00C032D9">
        <w:rPr>
          <w:rFonts w:ascii="ITC Avant Garde" w:hAnsi="ITC Avant Garde" w:cs="Arial"/>
        </w:rPr>
        <w:t>.</w:t>
      </w:r>
    </w:p>
    <w:p w:rsidR="00FA0F97" w:rsidRPr="00C032D9" w:rsidRDefault="00FA0F97" w:rsidP="00206B14">
      <w:pPr>
        <w:widowControl w:val="0"/>
        <w:spacing w:before="180" w:after="180"/>
        <w:jc w:val="both"/>
        <w:rPr>
          <w:rFonts w:ascii="ITC Avant Garde" w:hAnsi="ITC Avant Garde" w:cs="Arial"/>
        </w:rPr>
      </w:pPr>
      <w:r w:rsidRPr="00C032D9">
        <w:rPr>
          <w:rFonts w:ascii="ITC Avant Garde" w:hAnsi="ITC Avant Garde" w:cs="Arial"/>
        </w:rPr>
        <w:t xml:space="preserve">Siendo así, dado que por un lado, los elementos necesarios para realizar el tránsito son menores que los requeridos para la terminación y </w:t>
      </w:r>
      <w:proofErr w:type="spellStart"/>
      <w:r w:rsidRPr="00C032D9">
        <w:rPr>
          <w:rFonts w:ascii="ITC Avant Garde" w:hAnsi="ITC Avant Garde" w:cs="Arial"/>
        </w:rPr>
        <w:t>originación</w:t>
      </w:r>
      <w:proofErr w:type="spellEnd"/>
      <w:r w:rsidRPr="00C032D9">
        <w:rPr>
          <w:rFonts w:ascii="ITC Avant Garde" w:hAnsi="ITC Avant Garde" w:cs="Arial"/>
        </w:rPr>
        <w:t xml:space="preserve">; y además, los minutos brindados por Telmex/Telnor para los servicios de tránsito son mayores que los minutos en los que incurren los operadores que se interconectan con ellos por la terminación y </w:t>
      </w:r>
      <w:proofErr w:type="spellStart"/>
      <w:r w:rsidRPr="00C032D9">
        <w:rPr>
          <w:rFonts w:ascii="ITC Avant Garde" w:hAnsi="ITC Avant Garde" w:cs="Arial"/>
        </w:rPr>
        <w:t>originación</w:t>
      </w:r>
      <w:proofErr w:type="spellEnd"/>
      <w:r w:rsidRPr="00C032D9">
        <w:rPr>
          <w:rFonts w:ascii="ITC Avant Garde" w:hAnsi="ITC Avant Garde" w:cs="Arial"/>
        </w:rPr>
        <w:t xml:space="preserve">, resulta poco razonable que las tarifas estimadas por el Instituto para los </w:t>
      </w:r>
      <w:r w:rsidRPr="00C032D9">
        <w:rPr>
          <w:rFonts w:ascii="ITC Avant Garde" w:hAnsi="ITC Avant Garde" w:cs="Arial"/>
        </w:rPr>
        <w:lastRenderedPageBreak/>
        <w:t xml:space="preserve">servicios de terminación y </w:t>
      </w:r>
      <w:proofErr w:type="spellStart"/>
      <w:r w:rsidRPr="00C032D9">
        <w:rPr>
          <w:rFonts w:ascii="ITC Avant Garde" w:hAnsi="ITC Avant Garde" w:cs="Arial"/>
        </w:rPr>
        <w:t>originación</w:t>
      </w:r>
      <w:proofErr w:type="spellEnd"/>
      <w:r w:rsidRPr="00C032D9">
        <w:rPr>
          <w:rFonts w:ascii="ITC Avant Garde" w:hAnsi="ITC Avant Garde" w:cs="Arial"/>
        </w:rPr>
        <w:t xml:space="preserve"> sean menores que las tarifas por los servicios de tránsito que Telmex/Telnor ofrecen.</w:t>
      </w:r>
    </w:p>
    <w:p w:rsidR="00FA0F97" w:rsidRPr="00C032D9" w:rsidRDefault="00FA0F97" w:rsidP="00206B14">
      <w:pPr>
        <w:widowControl w:val="0"/>
        <w:spacing w:before="180" w:after="180"/>
        <w:jc w:val="both"/>
        <w:rPr>
          <w:rFonts w:ascii="ITC Avant Garde" w:eastAsia="Times New Roman" w:hAnsi="ITC Avant Garde" w:cs="Arial"/>
          <w:b/>
        </w:rPr>
      </w:pPr>
      <w:r w:rsidRPr="00C032D9">
        <w:rPr>
          <w:rFonts w:ascii="ITC Avant Garde" w:eastAsia="Times New Roman" w:hAnsi="ITC Avant Garde" w:cs="Arial"/>
          <w:b/>
        </w:rPr>
        <w:t>Consideraciones del Instituto</w:t>
      </w:r>
    </w:p>
    <w:p w:rsidR="00FA0F97" w:rsidRDefault="00FA0F97" w:rsidP="00206B14">
      <w:pPr>
        <w:spacing w:before="180" w:after="180"/>
        <w:jc w:val="both"/>
        <w:rPr>
          <w:rFonts w:ascii="ITC Avant Garde" w:eastAsia="Times New Roman" w:hAnsi="ITC Avant Garde"/>
          <w:lang w:eastAsia="es-ES"/>
        </w:rPr>
      </w:pPr>
      <w:r w:rsidRPr="00C032D9">
        <w:rPr>
          <w:rFonts w:ascii="ITC Avant Garde" w:eastAsia="Times New Roman" w:hAnsi="ITC Avant Garde"/>
          <w:lang w:eastAsia="es-ES"/>
        </w:rPr>
        <w:t xml:space="preserve">Los argumentos de </w:t>
      </w:r>
      <w:proofErr w:type="spellStart"/>
      <w:r w:rsidRPr="00C032D9">
        <w:rPr>
          <w:rFonts w:ascii="ITC Avant Garde" w:eastAsia="Times New Roman" w:hAnsi="ITC Avant Garde"/>
          <w:lang w:eastAsia="es-ES"/>
        </w:rPr>
        <w:t>Avantel</w:t>
      </w:r>
      <w:proofErr w:type="spellEnd"/>
      <w:r w:rsidRPr="00C032D9">
        <w:rPr>
          <w:rFonts w:ascii="ITC Avant Garde" w:eastAsia="Times New Roman" w:hAnsi="ITC Avant Garde"/>
          <w:lang w:eastAsia="es-ES"/>
        </w:rPr>
        <w:t xml:space="preserve"> y Axtel resultan imprecisos toda vez que en el modelo de costos fijos, el escenario de tránsito considera una sola tarifa a nivel nacional, es decir, se tiene en cuenta que en virtud de la eliminación del servicio de larga distancia a partir del 1 de enero de 2015, los puntos de interconexión del Agente Económico Preponderante (en lo sucesivo, el “AEP”) son nacionales, es decir se entrega la llamada en un punto de interconexión y dicho concesionario está obligado a realizar el tránsito entregando la llamada al tercer concesionario en cualquier otro punto de interconexión del país.</w:t>
      </w:r>
    </w:p>
    <w:p w:rsidR="00FA0F97" w:rsidRPr="00C032D9" w:rsidRDefault="00FA0F97" w:rsidP="00206B14">
      <w:pPr>
        <w:spacing w:before="180" w:after="180"/>
        <w:jc w:val="both"/>
        <w:rPr>
          <w:rFonts w:ascii="ITC Avant Garde" w:eastAsia="Times New Roman" w:hAnsi="ITC Avant Garde"/>
          <w:lang w:eastAsia="es-ES"/>
        </w:rPr>
      </w:pPr>
      <w:r w:rsidRPr="00C032D9">
        <w:rPr>
          <w:rFonts w:ascii="ITC Avant Garde" w:eastAsia="Times New Roman" w:hAnsi="ITC Avant Garde"/>
          <w:lang w:eastAsia="es-ES"/>
        </w:rPr>
        <w:t xml:space="preserve">Es así que la tarifa de tránsito promedia el costo de la prestación del servicio en todo el país, mientras que la tarifa de terminación únicamente tiene en cuenta la terminación que antes era una determinada Área de Servicio Local, con lo cual resulta lógico que la tarifa de tránsito del AEP sea superior a la tarifa de terminación del concesionario alternativo toda vez que toma en cuenta mayores elementos de red. </w:t>
      </w:r>
    </w:p>
    <w:p w:rsidR="00FA0F97" w:rsidRPr="00C032D9" w:rsidRDefault="00FA0F97" w:rsidP="00206B14">
      <w:pPr>
        <w:spacing w:before="180" w:after="180"/>
        <w:jc w:val="both"/>
        <w:rPr>
          <w:rFonts w:ascii="ITC Avant Garde" w:hAnsi="ITC Avant Garde" w:cs="Arial"/>
          <w:lang w:val="es-ES"/>
        </w:rPr>
      </w:pPr>
      <w:r w:rsidRPr="00C032D9">
        <w:rPr>
          <w:rFonts w:ascii="ITC Avant Garde" w:eastAsia="Times New Roman" w:hAnsi="ITC Avant Garde"/>
        </w:rPr>
        <w:t>Una</w:t>
      </w:r>
      <w:r w:rsidRPr="00C032D9">
        <w:rPr>
          <w:rFonts w:ascii="ITC Avant Garde" w:hAnsi="ITC Avant Garde" w:cs="Arial"/>
          <w:bCs/>
        </w:rPr>
        <w:t xml:space="preserve"> vez analizadas las manifestaciones generales</w:t>
      </w:r>
      <w:r w:rsidRPr="00C032D9">
        <w:rPr>
          <w:rFonts w:ascii="ITC Avant Garde" w:hAnsi="ITC Avant Garde"/>
          <w:bCs/>
        </w:rPr>
        <w:t xml:space="preserve"> en términos de lo dispuesto por los artículos 15 fracción X, 124, 125, 131 y 132 de la LFTyR y 6° fracción XXXVII del Estatuto,</w:t>
      </w:r>
      <w:r w:rsidRPr="00C032D9">
        <w:rPr>
          <w:rFonts w:ascii="ITC Avant Garde" w:eastAsia="Times New Roman" w:hAnsi="ITC Avant Garde"/>
        </w:rPr>
        <w:t xml:space="preserve"> el Instituto resolverá sobre </w:t>
      </w:r>
      <w:r w:rsidRPr="00C032D9">
        <w:rPr>
          <w:rFonts w:ascii="ITC Avant Garde" w:hAnsi="ITC Avant Garde" w:cs="Arial"/>
          <w:lang w:val="es-ES"/>
        </w:rPr>
        <w:t>aquellos puntos de desacuerdo que en materia de interconexión fueron sometidos por las partes.</w:t>
      </w:r>
    </w:p>
    <w:p w:rsidR="00FA0F97" w:rsidRPr="00C032D9" w:rsidRDefault="00FA0F97" w:rsidP="00206B14">
      <w:pPr>
        <w:pStyle w:val="Prrafodelista"/>
        <w:numPr>
          <w:ilvl w:val="1"/>
          <w:numId w:val="23"/>
        </w:numPr>
        <w:tabs>
          <w:tab w:val="left" w:pos="426"/>
        </w:tabs>
        <w:spacing w:before="180" w:after="180" w:line="276" w:lineRule="auto"/>
        <w:ind w:left="0" w:firstLine="0"/>
        <w:rPr>
          <w:rFonts w:ascii="ITC Avant Garde" w:hAnsi="ITC Avant Garde"/>
          <w:b/>
          <w:bCs/>
        </w:rPr>
      </w:pPr>
      <w:r w:rsidRPr="00C032D9">
        <w:rPr>
          <w:rFonts w:ascii="ITC Avant Garde" w:hAnsi="ITC Avant Garde" w:cs="Arial"/>
          <w:b/>
          <w:lang w:val="es-ES"/>
        </w:rPr>
        <w:t>Competencia efectiva y competitividad</w:t>
      </w:r>
    </w:p>
    <w:p w:rsidR="00FA0F97" w:rsidRPr="00C032D9" w:rsidRDefault="00FA0F97" w:rsidP="00206B14">
      <w:pPr>
        <w:spacing w:before="180" w:after="180"/>
        <w:jc w:val="both"/>
        <w:rPr>
          <w:rFonts w:ascii="ITC Avant Garde" w:hAnsi="ITC Avant Garde" w:cs="Arial"/>
          <w:b/>
          <w:lang w:val="es-ES"/>
        </w:rPr>
      </w:pPr>
      <w:r w:rsidRPr="00C032D9">
        <w:rPr>
          <w:rFonts w:ascii="ITC Avant Garde" w:hAnsi="ITC Avant Garde" w:cs="Arial"/>
          <w:b/>
          <w:lang w:val="es-ES"/>
        </w:rPr>
        <w:t>Argumentos de las partes</w:t>
      </w:r>
    </w:p>
    <w:p w:rsidR="00FA0F97" w:rsidRPr="00C032D9" w:rsidRDefault="00FA0F97" w:rsidP="00206B14">
      <w:pPr>
        <w:spacing w:before="180" w:after="180"/>
        <w:jc w:val="both"/>
        <w:rPr>
          <w:rFonts w:ascii="ITC Avant Garde" w:hAnsi="ITC Avant Garde" w:cs="Arial"/>
          <w:lang w:val="es-ES"/>
        </w:rPr>
      </w:pPr>
      <w:r w:rsidRPr="00C032D9">
        <w:rPr>
          <w:rFonts w:ascii="ITC Avant Garde" w:hAnsi="ITC Avant Garde" w:cs="Arial"/>
          <w:lang w:val="es-ES"/>
        </w:rPr>
        <w:t xml:space="preserve">Argumenta Grupo AT&amp;T que la determinación de las tarifas de interconexión establecidas por el Instituto para los Agentes Económicos que no han sido declarados preponderantes, utilizando un </w:t>
      </w:r>
      <w:r w:rsidRPr="00C032D9">
        <w:rPr>
          <w:rFonts w:ascii="ITC Avant Garde" w:hAnsi="ITC Avant Garde" w:cs="Arial"/>
          <w:bCs/>
        </w:rPr>
        <w:t>modelo de Costo Incremental de Largo Plazo Puro (</w:t>
      </w:r>
      <w:proofErr w:type="spellStart"/>
      <w:r w:rsidRPr="00C032D9">
        <w:rPr>
          <w:rFonts w:ascii="ITC Avant Garde" w:hAnsi="ITC Avant Garde" w:cs="Arial"/>
          <w:bCs/>
        </w:rPr>
        <w:t>CILPP</w:t>
      </w:r>
      <w:proofErr w:type="spellEnd"/>
      <w:r w:rsidRPr="00C032D9">
        <w:rPr>
          <w:rFonts w:ascii="ITC Avant Garde" w:hAnsi="ITC Avant Garde" w:cs="Arial"/>
          <w:bCs/>
        </w:rPr>
        <w:t>), tiene un efecto contrario a lo buscado por la Constitución Federal, que es el de generar un mercado en el cual se contrarreste el poder del agente económico preponderante y se fortalezca a los competidores a través de regulación asimétrica, generando así empresas competitivas en condiciones de competencia efectiva.</w:t>
      </w:r>
    </w:p>
    <w:p w:rsidR="00FA0F97" w:rsidRPr="00C032D9" w:rsidRDefault="00FA0F97" w:rsidP="00206B14">
      <w:pPr>
        <w:spacing w:before="180" w:after="180"/>
        <w:jc w:val="both"/>
        <w:rPr>
          <w:rFonts w:ascii="ITC Avant Garde" w:hAnsi="ITC Avant Garde" w:cs="Arial"/>
          <w:lang w:val="es-ES"/>
        </w:rPr>
      </w:pPr>
      <w:r w:rsidRPr="00C032D9">
        <w:rPr>
          <w:rFonts w:ascii="ITC Avant Garde" w:hAnsi="ITC Avant Garde" w:cs="Arial"/>
          <w:lang w:val="es-ES"/>
        </w:rPr>
        <w:t xml:space="preserve">Refiere también Grupo AT&amp;T que la tarifa obtenida utilizando el modelo </w:t>
      </w:r>
      <w:proofErr w:type="spellStart"/>
      <w:r w:rsidRPr="00C032D9">
        <w:rPr>
          <w:rFonts w:ascii="ITC Avant Garde" w:hAnsi="ITC Avant Garde" w:cs="Arial"/>
          <w:lang w:val="es-ES"/>
        </w:rPr>
        <w:t>CILPP</w:t>
      </w:r>
      <w:proofErr w:type="spellEnd"/>
      <w:r w:rsidRPr="00C032D9">
        <w:rPr>
          <w:rFonts w:ascii="ITC Avant Garde" w:hAnsi="ITC Avant Garde" w:cs="Arial"/>
          <w:lang w:val="es-ES"/>
        </w:rPr>
        <w:t xml:space="preserve"> tiene como consecuencia para los agentes no preponderantes el tener una tarifa que no atiende sus economías de escala y no permite nivelar el entorno competitivo, puesto que la tarifa de interconexión resultado de aplicar un modelo </w:t>
      </w:r>
      <w:proofErr w:type="spellStart"/>
      <w:r w:rsidRPr="00C032D9">
        <w:rPr>
          <w:rFonts w:ascii="ITC Avant Garde" w:hAnsi="ITC Avant Garde" w:cs="Arial"/>
          <w:lang w:val="es-ES"/>
        </w:rPr>
        <w:t>LRIC</w:t>
      </w:r>
      <w:proofErr w:type="spellEnd"/>
      <w:r w:rsidRPr="00C032D9">
        <w:rPr>
          <w:rFonts w:ascii="ITC Avant Garde" w:hAnsi="ITC Avant Garde" w:cs="Arial"/>
          <w:lang w:val="es-ES"/>
        </w:rPr>
        <w:t xml:space="preserve"> Puro, converge a la tarifa “0” establecida para el preponderante, es decir la política regulatoria aplicada </w:t>
      </w:r>
      <w:r w:rsidRPr="00C032D9">
        <w:rPr>
          <w:rFonts w:ascii="ITC Avant Garde" w:hAnsi="ITC Avant Garde" w:cs="Arial"/>
          <w:lang w:val="es-ES"/>
        </w:rPr>
        <w:lastRenderedPageBreak/>
        <w:t>por el Instituto reduce la brecha entre la tarifa del preponderante y la de los no preponderantes.</w:t>
      </w:r>
    </w:p>
    <w:p w:rsidR="00FA0F97" w:rsidRPr="00C032D9" w:rsidRDefault="00FA0F97" w:rsidP="00206B14">
      <w:pPr>
        <w:spacing w:before="180" w:after="180"/>
        <w:jc w:val="both"/>
        <w:rPr>
          <w:rFonts w:ascii="ITC Avant Garde" w:eastAsia="Times New Roman" w:hAnsi="ITC Avant Garde"/>
          <w:b/>
          <w:szCs w:val="24"/>
          <w:lang w:eastAsia="es-ES"/>
        </w:rPr>
      </w:pPr>
      <w:r w:rsidRPr="00C032D9">
        <w:rPr>
          <w:rFonts w:ascii="ITC Avant Garde" w:eastAsia="Times New Roman" w:hAnsi="ITC Avant Garde"/>
          <w:b/>
          <w:szCs w:val="24"/>
          <w:lang w:eastAsia="es-ES"/>
        </w:rPr>
        <w:t>Consideraciones del Instituto</w:t>
      </w:r>
    </w:p>
    <w:p w:rsidR="00FA0F97" w:rsidRPr="00C032D9" w:rsidRDefault="00FA0F97" w:rsidP="00206B14">
      <w:pPr>
        <w:spacing w:before="180" w:after="180"/>
        <w:jc w:val="both"/>
        <w:rPr>
          <w:rFonts w:ascii="ITC Avant Garde" w:hAnsi="ITC Avant Garde" w:cs="Arial"/>
          <w:bCs/>
        </w:rPr>
      </w:pPr>
      <w:r w:rsidRPr="00C032D9">
        <w:rPr>
          <w:rFonts w:ascii="ITC Avant Garde" w:hAnsi="ITC Avant Garde" w:cs="Arial"/>
          <w:bCs/>
        </w:rPr>
        <w:t>En un escenario donde debe prevalecer la competencia en la prestación de todos los servicios de telecomunicaciones, es necesario establecer condiciones de interconexión que no distorsionen el crecimiento eficiente del sector, ya que todos los participantes del mercado acceden a un elemento básico, sin que ninguno obtenga ventajas extraordinarias en la prestación de dicho servicio.</w:t>
      </w:r>
    </w:p>
    <w:p w:rsidR="00FA0F97" w:rsidRPr="00C032D9" w:rsidRDefault="00FA0F97" w:rsidP="00206B14">
      <w:pPr>
        <w:spacing w:before="180" w:after="180"/>
        <w:jc w:val="both"/>
        <w:rPr>
          <w:rFonts w:ascii="ITC Avant Garde" w:hAnsi="ITC Avant Garde" w:cs="Arial"/>
          <w:bCs/>
        </w:rPr>
      </w:pPr>
      <w:r w:rsidRPr="00C032D9">
        <w:rPr>
          <w:rFonts w:ascii="ITC Avant Garde" w:hAnsi="ITC Avant Garde" w:cs="Arial"/>
          <w:bCs/>
        </w:rPr>
        <w:t>Es así que las pretensiones Grupo AT&amp;T en el sentido de que se le establezcan tarifas que reflejen costos reales es contrario al principio de simular condiciones de competencia, enunciado anteriormente, toda vez que sus pretensiones implicarían que dicha empresa cobrara una tarifa de interconexión más alta que el resto de los competidores distintos al AEP, justificado en el argumento de que detenta una menor participación en el mercado.</w:t>
      </w:r>
    </w:p>
    <w:p w:rsidR="00FA0F97" w:rsidRPr="00C032D9" w:rsidRDefault="00FA0F97" w:rsidP="00206B14">
      <w:pPr>
        <w:spacing w:before="180" w:after="180"/>
        <w:jc w:val="both"/>
        <w:rPr>
          <w:rFonts w:ascii="ITC Avant Garde" w:hAnsi="ITC Avant Garde" w:cs="Arial"/>
          <w:bCs/>
        </w:rPr>
      </w:pPr>
      <w:r w:rsidRPr="00C032D9">
        <w:rPr>
          <w:rFonts w:ascii="ITC Avant Garde" w:hAnsi="ITC Avant Garde" w:cs="Arial"/>
          <w:bCs/>
        </w:rPr>
        <w:t>A mayor abundamiento, se señala que Grupo AT&amp;T ofrece servicios de telecomunicaciones a los usuarios finales compitiendo con el resto de los agentes en el mercado incluyendo al AEP, para lo cual debe ofrecer condiciones de precio y calidad que sean lo suficientemente atractivas a efecto de atraer clientes, en este sentido en un mercado en el que dicho agente observa mayor competencia no puede cobrar tarifas más altas que las de sus competidores bajo el argumento de que detenta una menor participación en el mercado.</w:t>
      </w:r>
    </w:p>
    <w:p w:rsidR="00FA0F97" w:rsidRPr="00C032D9" w:rsidRDefault="00FA0F97" w:rsidP="00206B14">
      <w:pPr>
        <w:spacing w:before="180" w:after="180"/>
        <w:jc w:val="both"/>
        <w:rPr>
          <w:rFonts w:ascii="ITC Avant Garde" w:hAnsi="ITC Avant Garde" w:cs="Arial"/>
          <w:bCs/>
        </w:rPr>
      </w:pPr>
      <w:r w:rsidRPr="00C032D9">
        <w:rPr>
          <w:rFonts w:ascii="ITC Avant Garde" w:hAnsi="ITC Avant Garde" w:cs="Arial"/>
          <w:bCs/>
        </w:rPr>
        <w:t>En este tenor, el establecimiento de tarifas de interconexión mayores únicamente pretendería aprovechar la existencia de menores condiciones de competencia en el servicio de interconexión en donde cada operador ejerce poder en el establecimiento de precios de terminación de las llamadas.</w:t>
      </w:r>
    </w:p>
    <w:p w:rsidR="00FA0F97" w:rsidRPr="00C032D9" w:rsidRDefault="00FA0F97" w:rsidP="00206B14">
      <w:pPr>
        <w:spacing w:before="180" w:after="180"/>
        <w:jc w:val="both"/>
        <w:rPr>
          <w:rFonts w:ascii="ITC Avant Garde" w:hAnsi="ITC Avant Garde"/>
          <w:bCs/>
        </w:rPr>
      </w:pPr>
      <w:r w:rsidRPr="00C032D9">
        <w:rPr>
          <w:rFonts w:ascii="ITC Avant Garde" w:hAnsi="ITC Avant Garde" w:cs="Arial"/>
          <w:bCs/>
        </w:rPr>
        <w:t>Es por ello que resulta incierto  el argumento de Grupo AT&amp;T en el sentido de que el establecimiento de la metodología de costos incrementales de largo plazo puros (</w:t>
      </w:r>
      <w:proofErr w:type="spellStart"/>
      <w:r w:rsidRPr="00C032D9">
        <w:rPr>
          <w:rFonts w:ascii="ITC Avant Garde" w:hAnsi="ITC Avant Garde" w:cs="Arial"/>
          <w:bCs/>
        </w:rPr>
        <w:t>CILP</w:t>
      </w:r>
      <w:proofErr w:type="spellEnd"/>
      <w:r w:rsidRPr="00C032D9">
        <w:rPr>
          <w:rFonts w:ascii="ITC Avant Garde" w:hAnsi="ITC Avant Garde" w:cs="Arial"/>
          <w:bCs/>
        </w:rPr>
        <w:t xml:space="preserve"> Puro), transgrede el mandato Constitucional, toda vez que como se ha mencionado antes dicha argumentación se sostiene en la equivocada concepción de que una empresa con menor participación en el mercado, debe cobrar una tarifa de interconexión más alta que el resto de los competidores, y que esas tarifas de interconexión más elevadas promueven el desarrollo de la competencia.</w:t>
      </w:r>
    </w:p>
    <w:p w:rsidR="00FA0F97" w:rsidRPr="00C032D9" w:rsidRDefault="00FA0F97" w:rsidP="00206B14">
      <w:pPr>
        <w:pStyle w:val="Prrafodelista"/>
        <w:numPr>
          <w:ilvl w:val="0"/>
          <w:numId w:val="23"/>
        </w:numPr>
        <w:spacing w:before="180" w:after="180" w:line="276" w:lineRule="auto"/>
        <w:ind w:left="426" w:hanging="426"/>
        <w:rPr>
          <w:rFonts w:ascii="ITC Avant Garde" w:hAnsi="ITC Avant Garde"/>
          <w:b/>
        </w:rPr>
      </w:pPr>
      <w:r w:rsidRPr="00C032D9">
        <w:rPr>
          <w:rFonts w:ascii="ITC Avant Garde" w:hAnsi="ITC Avant Garde"/>
          <w:b/>
        </w:rPr>
        <w:t>Tarifas de interconexión para el ejercicio 2016</w:t>
      </w:r>
    </w:p>
    <w:p w:rsidR="00FA0F97" w:rsidRPr="00C032D9" w:rsidRDefault="00FA0F97" w:rsidP="00206B14">
      <w:pPr>
        <w:spacing w:before="180" w:after="180"/>
        <w:jc w:val="both"/>
        <w:rPr>
          <w:rFonts w:ascii="ITC Avant Garde" w:eastAsia="Times New Roman" w:hAnsi="ITC Avant Garde"/>
          <w:b/>
          <w:szCs w:val="24"/>
          <w:lang w:eastAsia="es-ES"/>
        </w:rPr>
      </w:pPr>
      <w:r w:rsidRPr="00C032D9">
        <w:rPr>
          <w:rFonts w:ascii="ITC Avant Garde" w:eastAsia="Times New Roman" w:hAnsi="ITC Avant Garde"/>
          <w:b/>
          <w:szCs w:val="24"/>
          <w:lang w:eastAsia="es-ES"/>
        </w:rPr>
        <w:t xml:space="preserve">Argumentos de las partes </w:t>
      </w:r>
    </w:p>
    <w:p w:rsidR="00FA0F97" w:rsidRPr="00C032D9" w:rsidRDefault="00FA0F97" w:rsidP="00206B14">
      <w:pPr>
        <w:spacing w:before="180" w:after="180"/>
        <w:jc w:val="both"/>
        <w:rPr>
          <w:rFonts w:ascii="ITC Avant Garde" w:eastAsia="Times New Roman" w:hAnsi="ITC Avant Garde" w:cs="Arial"/>
        </w:rPr>
      </w:pPr>
      <w:r w:rsidRPr="00C032D9">
        <w:rPr>
          <w:rFonts w:ascii="ITC Avant Garde" w:eastAsia="Times New Roman" w:hAnsi="ITC Avant Garde" w:cs="Arial"/>
        </w:rPr>
        <w:lastRenderedPageBreak/>
        <w:t xml:space="preserve">Axtel y </w:t>
      </w:r>
      <w:proofErr w:type="spellStart"/>
      <w:r w:rsidRPr="00C032D9">
        <w:rPr>
          <w:rFonts w:ascii="ITC Avant Garde" w:eastAsia="Times New Roman" w:hAnsi="ITC Avant Garde" w:cs="Arial"/>
        </w:rPr>
        <w:t>Avantel</w:t>
      </w:r>
      <w:proofErr w:type="spellEnd"/>
      <w:r w:rsidRPr="00C032D9">
        <w:rPr>
          <w:rFonts w:ascii="ITC Avant Garde" w:eastAsia="Times New Roman" w:hAnsi="ITC Avant Garde" w:cs="Arial"/>
        </w:rPr>
        <w:t xml:space="preserve"> manifiestan en su Solicitud de Resolución como en sus respectivos alegatos que dado que el Instituto es la autoridad competente para sustanciar y resolver los términos y condiciones de interconexión de los concesionarios de redes públicas de telecomunicaciones que no hayan podido convenir como es el caso que nos ocupa, solicita que se resuelva y se determinen las condiciones que no han podido convenirse entre Axtel y </w:t>
      </w:r>
      <w:proofErr w:type="spellStart"/>
      <w:r w:rsidRPr="00C032D9">
        <w:rPr>
          <w:rFonts w:ascii="ITC Avant Garde" w:eastAsia="Times New Roman" w:hAnsi="ITC Avant Garde" w:cs="Arial"/>
        </w:rPr>
        <w:t>Avantel</w:t>
      </w:r>
      <w:proofErr w:type="spellEnd"/>
      <w:r w:rsidRPr="00C032D9">
        <w:rPr>
          <w:rFonts w:ascii="ITC Avant Garde" w:eastAsia="Times New Roman" w:hAnsi="ITC Avant Garde" w:cs="Arial"/>
        </w:rPr>
        <w:t xml:space="preserve"> y Grupo AT&amp;T, que serán aplicables desde el 1 de enero de 2016 hasta el 31 de diciembre de 2016, fijando tarifas de interconexión entre dichos concesionarios, para las modalidades “el que llama paga” y “el que llama paga nacional”.</w:t>
      </w:r>
    </w:p>
    <w:p w:rsidR="00FA0F97" w:rsidRPr="00C032D9" w:rsidRDefault="00FA0F97" w:rsidP="00206B14">
      <w:pPr>
        <w:spacing w:before="180" w:after="180"/>
        <w:jc w:val="both"/>
        <w:rPr>
          <w:rFonts w:ascii="ITC Avant Garde" w:eastAsia="Times New Roman" w:hAnsi="ITC Avant Garde" w:cs="Arial"/>
        </w:rPr>
      </w:pPr>
      <w:r w:rsidRPr="00C032D9">
        <w:rPr>
          <w:rFonts w:ascii="ITC Avant Garde" w:eastAsia="Times New Roman" w:hAnsi="ITC Avant Garde" w:cs="Arial"/>
        </w:rPr>
        <w:t xml:space="preserve">Por su parte, Grupo AT&amp;T manifiesta que no llegó a un acuerdo con Axtel y </w:t>
      </w:r>
      <w:proofErr w:type="spellStart"/>
      <w:r w:rsidRPr="00C032D9">
        <w:rPr>
          <w:rFonts w:ascii="ITC Avant Garde" w:eastAsia="Times New Roman" w:hAnsi="ITC Avant Garde" w:cs="Arial"/>
        </w:rPr>
        <w:t>Avantel</w:t>
      </w:r>
      <w:proofErr w:type="spellEnd"/>
      <w:r w:rsidRPr="00C032D9">
        <w:rPr>
          <w:rFonts w:ascii="ITC Avant Garde" w:eastAsia="Times New Roman" w:hAnsi="ITC Avant Garde" w:cs="Arial"/>
        </w:rPr>
        <w:t xml:space="preserve"> respecto de las tarifas de terminación local móvil del tipo “el que llama paga” que deberá liquidar Axtel y </w:t>
      </w:r>
      <w:proofErr w:type="spellStart"/>
      <w:r w:rsidRPr="00C032D9">
        <w:rPr>
          <w:rFonts w:ascii="ITC Avant Garde" w:eastAsia="Times New Roman" w:hAnsi="ITC Avant Garde" w:cs="Arial"/>
        </w:rPr>
        <w:t>Avantel</w:t>
      </w:r>
      <w:proofErr w:type="spellEnd"/>
      <w:r w:rsidRPr="00C032D9">
        <w:rPr>
          <w:rFonts w:ascii="ITC Avant Garde" w:eastAsia="Times New Roman" w:hAnsi="ITC Avant Garde" w:cs="Arial"/>
        </w:rPr>
        <w:t xml:space="preserve"> a AT&amp;T Digital del 1 de enero al 31 de diciembre de 2016, así como la tarifa de terminación local fija que Grupo AT&amp;T deberá pagar a Axtel y </w:t>
      </w:r>
      <w:proofErr w:type="spellStart"/>
      <w:r w:rsidRPr="00C032D9">
        <w:rPr>
          <w:rFonts w:ascii="ITC Avant Garde" w:eastAsia="Times New Roman" w:hAnsi="ITC Avant Garde" w:cs="Arial"/>
        </w:rPr>
        <w:t>Avantel</w:t>
      </w:r>
      <w:proofErr w:type="spellEnd"/>
      <w:r w:rsidRPr="00C032D9">
        <w:rPr>
          <w:rFonts w:ascii="ITC Avant Garde" w:eastAsia="Times New Roman" w:hAnsi="ITC Avant Garde" w:cs="Arial"/>
        </w:rPr>
        <w:t xml:space="preserve">  durante el mencionado periodo.  En ese sentido, es que solicita a este Instituto resolver dichas tarifas aplicables al periodo 1 de enero al 31 de diciembre de 2016, en base a las consideraciones vertidas en sus escritos de Respuesta a la Solicitud y alegatos.</w:t>
      </w:r>
    </w:p>
    <w:p w:rsidR="00FA0F97" w:rsidRPr="00C032D9" w:rsidRDefault="00FA0F97" w:rsidP="00206B14">
      <w:pPr>
        <w:spacing w:before="180" w:after="180"/>
        <w:ind w:right="48"/>
        <w:jc w:val="both"/>
        <w:rPr>
          <w:rFonts w:ascii="ITC Avant Garde" w:hAnsi="ITC Avant Garde"/>
          <w:b/>
        </w:rPr>
      </w:pPr>
      <w:r w:rsidRPr="00C032D9">
        <w:rPr>
          <w:rFonts w:ascii="ITC Avant Garde" w:hAnsi="ITC Avant Garde"/>
          <w:b/>
        </w:rPr>
        <w:t xml:space="preserve">Consideraciones del Instituto </w:t>
      </w:r>
    </w:p>
    <w:p w:rsidR="00FA0F97" w:rsidRPr="00C032D9" w:rsidRDefault="00FA0F97" w:rsidP="00206B14">
      <w:pPr>
        <w:spacing w:before="180" w:after="180"/>
        <w:jc w:val="both"/>
        <w:rPr>
          <w:rFonts w:ascii="ITC Avant Garde" w:eastAsia="Times New Roman" w:hAnsi="ITC Avant Garde" w:cs="Arial"/>
        </w:rPr>
      </w:pPr>
      <w:bookmarkStart w:id="8" w:name="vitalimportancia"/>
      <w:r w:rsidRPr="00C032D9">
        <w:rPr>
          <w:rFonts w:ascii="ITC Avant Garde" w:hAnsi="ITC Avant Garde"/>
        </w:rPr>
        <w:t>La</w:t>
      </w:r>
      <w:r w:rsidRPr="00C032D9">
        <w:rPr>
          <w:rFonts w:ascii="ITC Avant Garde" w:eastAsia="Times New Roman" w:hAnsi="ITC Avant Garde" w:cs="Arial"/>
        </w:rPr>
        <w:t xml:space="preserve"> interconexión es de vital importancia para el desarrollo de una sana competencia porque asegura que cualquier comunicación que inicie un usuario pueda llegar a su destino, independientemente de la red pública de telecomunicaciones que se utilice; propiciando así que la decisión de con qué empresa contratar los servicios, esté sustentada en factores de precio, calidad y diversidad.</w:t>
      </w:r>
    </w:p>
    <w:p w:rsidR="00FA0F97" w:rsidRPr="00C032D9" w:rsidRDefault="00FA0F97" w:rsidP="00206B14">
      <w:pPr>
        <w:pStyle w:val="Textoindependiente"/>
        <w:spacing w:before="180" w:after="180" w:line="276" w:lineRule="auto"/>
        <w:rPr>
          <w:rFonts w:ascii="ITC Avant Garde" w:hAnsi="ITC Avant Garde" w:cs="Arial"/>
          <w:szCs w:val="22"/>
          <w:lang w:eastAsia="es-ES"/>
        </w:rPr>
      </w:pPr>
      <w:r w:rsidRPr="00C032D9">
        <w:rPr>
          <w:rFonts w:ascii="ITC Avant Garde" w:hAnsi="ITC Avant Garde" w:cs="Arial"/>
          <w:szCs w:val="22"/>
          <w:lang w:eastAsia="es-ES"/>
        </w:rPr>
        <w:t xml:space="preserve">En este sentido, se considera que en un escenario donde se fomenta la competencia en la prestación de todos los servicios de telecomunicaciones, es necesario establecer tarifas que estén basadas en costos, ya que esto constituye una política que promueve el desarrollo de la competencia, en la medida que no se distorsiona el crecimiento eficiente del sector, ya que todos los participantes del mercado acceden a un elemento básico como lo es la interconexión, sin que ninguno obtenga ventajas extraordinarias en la prestación de dicho servicio. </w:t>
      </w:r>
    </w:p>
    <w:p w:rsidR="00FA0F97" w:rsidRPr="00C032D9" w:rsidRDefault="00FA0F97" w:rsidP="00206B14">
      <w:pPr>
        <w:spacing w:before="180" w:after="180"/>
        <w:jc w:val="both"/>
        <w:rPr>
          <w:rFonts w:ascii="ITC Avant Garde" w:hAnsi="ITC Avant Garde" w:cs="Arial"/>
        </w:rPr>
      </w:pPr>
      <w:r w:rsidRPr="00C032D9">
        <w:rPr>
          <w:rFonts w:ascii="ITC Avant Garde" w:hAnsi="ITC Avant Garde" w:cs="Arial"/>
        </w:rPr>
        <w:t xml:space="preserve">En tal virtud, para la determinación de las tarifas de interconexión en las redes públicas de telecomunicaciones de </w:t>
      </w:r>
      <w:proofErr w:type="spellStart"/>
      <w:r w:rsidRPr="00C032D9">
        <w:rPr>
          <w:rFonts w:ascii="ITC Avant Garde" w:hAnsi="ITC Avant Garde" w:cs="Arial"/>
        </w:rPr>
        <w:t>Avantel</w:t>
      </w:r>
      <w:proofErr w:type="spellEnd"/>
      <w:r w:rsidRPr="00C032D9">
        <w:rPr>
          <w:rFonts w:ascii="ITC Avant Garde" w:hAnsi="ITC Avant Garde" w:cs="Arial"/>
        </w:rPr>
        <w:t>, Axtel y Grupo AT&amp;T, se debe considerar que los objetivos plasmados en la LFTyR establecen las bases para la fijación de las tarifas de interconexión con base en costos.</w:t>
      </w:r>
    </w:p>
    <w:p w:rsidR="00FA0F97" w:rsidRPr="00C032D9" w:rsidRDefault="00FA0F97" w:rsidP="00206B14">
      <w:pPr>
        <w:widowControl w:val="0"/>
        <w:spacing w:before="180" w:after="180"/>
        <w:jc w:val="both"/>
        <w:rPr>
          <w:rFonts w:ascii="ITC Avant Garde" w:eastAsia="Times New Roman" w:hAnsi="ITC Avant Garde" w:cs="Arial"/>
        </w:rPr>
      </w:pPr>
      <w:r w:rsidRPr="00C032D9">
        <w:rPr>
          <w:rFonts w:ascii="ITC Avant Garde" w:eastAsia="Times New Roman" w:hAnsi="ITC Avant Garde" w:cs="Arial"/>
        </w:rPr>
        <w:t>A tal efecto, el artículo 124 de la LFTyR establece lo siguiente:</w:t>
      </w:r>
    </w:p>
    <w:p w:rsidR="00FA0F97" w:rsidRPr="00C032D9" w:rsidRDefault="00FA0F97" w:rsidP="00206B14">
      <w:pPr>
        <w:spacing w:before="180" w:after="180"/>
        <w:ind w:left="1417" w:right="1417"/>
        <w:jc w:val="both"/>
        <w:rPr>
          <w:rFonts w:ascii="ITC Avant Garde" w:hAnsi="ITC Avant Garde" w:cs="Arial"/>
          <w:i/>
          <w:sz w:val="18"/>
        </w:rPr>
      </w:pPr>
      <w:r w:rsidRPr="00C032D9">
        <w:rPr>
          <w:rFonts w:ascii="ITC Avant Garde" w:hAnsi="ITC Avant Garde" w:cs="Arial"/>
        </w:rPr>
        <w:lastRenderedPageBreak/>
        <w:t>“</w:t>
      </w:r>
      <w:r w:rsidRPr="00C032D9">
        <w:rPr>
          <w:rFonts w:ascii="ITC Avant Garde" w:hAnsi="ITC Avant Garde" w:cs="Arial"/>
          <w:b/>
          <w:i/>
          <w:sz w:val="18"/>
        </w:rPr>
        <w:t>Artículo 124.</w:t>
      </w:r>
      <w:r w:rsidRPr="00C032D9">
        <w:rPr>
          <w:rFonts w:ascii="ITC Avant Garde" w:hAnsi="ITC Avant Garde" w:cs="Arial"/>
          <w:i/>
          <w:sz w:val="18"/>
        </w:rPr>
        <w:t xml:space="preserve"> Los concesionarios que operen redes públicas de telecomunicaciones deberán adoptar diseños de arquitectura abierta de red para garantizar la interconexión e interoperabilidad de sus redes.</w:t>
      </w:r>
    </w:p>
    <w:p w:rsidR="00FA0F97" w:rsidRPr="00C032D9" w:rsidRDefault="00FA0F97" w:rsidP="00206B14">
      <w:pPr>
        <w:spacing w:before="180" w:after="180"/>
        <w:ind w:left="1417" w:right="1417"/>
        <w:jc w:val="both"/>
        <w:rPr>
          <w:rFonts w:ascii="ITC Avant Garde" w:hAnsi="ITC Avant Garde" w:cs="Arial"/>
          <w:i/>
          <w:sz w:val="18"/>
        </w:rPr>
      </w:pPr>
      <w:r w:rsidRPr="00C032D9">
        <w:rPr>
          <w:rFonts w:ascii="ITC Avant Garde" w:hAnsi="ITC Avant Garde" w:cs="Arial"/>
          <w:i/>
          <w:sz w:val="18"/>
        </w:rPr>
        <w:t>A tal efecto, 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 Dichos planes deberán considerar los intereses de los usuarios y de los concesionarios, prevaleciendo los de los primeros y podrán tomar en cuenta las recomendaciones y mejores prácticas internacionales, teniendo los siguientes objetivos:</w:t>
      </w:r>
    </w:p>
    <w:p w:rsidR="00FA0F97" w:rsidRPr="00C032D9" w:rsidRDefault="00FA0F97" w:rsidP="00206B14">
      <w:pPr>
        <w:spacing w:before="180" w:after="180"/>
        <w:ind w:left="1417" w:right="1417"/>
        <w:jc w:val="both"/>
        <w:rPr>
          <w:rFonts w:ascii="ITC Avant Garde" w:hAnsi="ITC Avant Garde" w:cs="Arial"/>
          <w:i/>
          <w:sz w:val="18"/>
        </w:rPr>
      </w:pPr>
      <w:r w:rsidRPr="00C032D9">
        <w:rPr>
          <w:rFonts w:ascii="ITC Avant Garde" w:hAnsi="ITC Avant Garde" w:cs="Arial"/>
          <w:i/>
          <w:sz w:val="18"/>
        </w:rPr>
        <w:t xml:space="preserve">I. Promover un amplio desarrollo de nuevos concesionarios, tecnologías, infraestructuras y servicios de telecomunicaciones, por medio del despliegue y la inversión en redes de telecomunicaciones y el fomento de la innovación; </w:t>
      </w:r>
    </w:p>
    <w:p w:rsidR="00FA0F97" w:rsidRPr="00C032D9" w:rsidRDefault="00FA0F97" w:rsidP="00206B14">
      <w:pPr>
        <w:spacing w:before="180" w:after="180"/>
        <w:ind w:left="1417" w:right="1417"/>
        <w:jc w:val="both"/>
        <w:rPr>
          <w:rFonts w:ascii="ITC Avant Garde" w:hAnsi="ITC Avant Garde" w:cs="Arial"/>
          <w:i/>
          <w:sz w:val="18"/>
        </w:rPr>
      </w:pPr>
      <w:r w:rsidRPr="00C032D9">
        <w:rPr>
          <w:rFonts w:ascii="ITC Avant Garde" w:hAnsi="ITC Avant Garde" w:cs="Arial"/>
          <w:i/>
          <w:sz w:val="18"/>
        </w:rPr>
        <w:t xml:space="preserve">II. Dar un trato no discriminatorio a los concesionarios excepto por las medidas asimétricas o específicas que dispone esta Ley; </w:t>
      </w:r>
    </w:p>
    <w:p w:rsidR="00FA0F97" w:rsidRPr="00C032D9" w:rsidRDefault="00FA0F97" w:rsidP="00206B14">
      <w:pPr>
        <w:spacing w:before="180" w:after="180"/>
        <w:ind w:left="1417" w:right="1417"/>
        <w:jc w:val="both"/>
        <w:rPr>
          <w:rFonts w:ascii="ITC Avant Garde" w:hAnsi="ITC Avant Garde" w:cs="Arial"/>
          <w:i/>
          <w:sz w:val="18"/>
        </w:rPr>
      </w:pPr>
      <w:r w:rsidRPr="00C032D9">
        <w:rPr>
          <w:rFonts w:ascii="ITC Avant Garde" w:hAnsi="ITC Avant Garde" w:cs="Arial"/>
          <w:i/>
          <w:sz w:val="18"/>
        </w:rPr>
        <w:t>[…]</w:t>
      </w:r>
    </w:p>
    <w:p w:rsidR="00FA0F97" w:rsidRPr="00C032D9" w:rsidRDefault="00FA0F97" w:rsidP="00206B14">
      <w:pPr>
        <w:spacing w:before="180" w:after="180"/>
        <w:ind w:left="1417" w:right="1417"/>
        <w:jc w:val="both"/>
        <w:rPr>
          <w:rFonts w:ascii="ITC Avant Garde" w:hAnsi="ITC Avant Garde" w:cs="Arial"/>
          <w:i/>
          <w:sz w:val="18"/>
        </w:rPr>
      </w:pPr>
      <w:r w:rsidRPr="00C032D9">
        <w:rPr>
          <w:rFonts w:ascii="ITC Avant Garde" w:hAnsi="ITC Avant Garde" w:cs="Arial"/>
          <w:i/>
          <w:sz w:val="18"/>
        </w:rPr>
        <w:t>V. Fomentar condiciones de competencia efectiva;</w:t>
      </w:r>
    </w:p>
    <w:p w:rsidR="00FA0F97" w:rsidRPr="00C032D9" w:rsidRDefault="00FA0F97" w:rsidP="00206B14">
      <w:pPr>
        <w:spacing w:before="180" w:after="180"/>
        <w:ind w:left="1417" w:right="1417"/>
        <w:jc w:val="both"/>
        <w:rPr>
          <w:rFonts w:ascii="ITC Avant Garde" w:hAnsi="ITC Avant Garde" w:cs="Arial"/>
          <w:i/>
          <w:sz w:val="18"/>
        </w:rPr>
      </w:pPr>
      <w:r w:rsidRPr="00C032D9">
        <w:rPr>
          <w:rFonts w:ascii="ITC Avant Garde" w:hAnsi="ITC Avant Garde" w:cs="Arial"/>
          <w:i/>
          <w:sz w:val="18"/>
        </w:rPr>
        <w:t>[…]”</w:t>
      </w:r>
    </w:p>
    <w:p w:rsidR="00FA0F97" w:rsidRPr="00C032D9" w:rsidRDefault="00FA0F97" w:rsidP="00206B14">
      <w:pPr>
        <w:spacing w:before="180" w:after="180"/>
        <w:jc w:val="both"/>
        <w:rPr>
          <w:rFonts w:ascii="ITC Avant Garde" w:hAnsi="ITC Avant Garde" w:cs="Arial"/>
        </w:rPr>
      </w:pPr>
      <w:r w:rsidRPr="00C032D9">
        <w:rPr>
          <w:rFonts w:ascii="ITC Avant Garde" w:hAnsi="ITC Avant Garde" w:cs="Arial"/>
        </w:rPr>
        <w:t>Asimismo, el Artículo 131 de la LFTyR dispone lo siguiente:</w:t>
      </w:r>
    </w:p>
    <w:p w:rsidR="00FA0F97" w:rsidRPr="00C032D9" w:rsidRDefault="00FA0F97" w:rsidP="00206B14">
      <w:pPr>
        <w:spacing w:before="180" w:after="180"/>
        <w:ind w:left="1417" w:right="1417"/>
        <w:jc w:val="both"/>
        <w:rPr>
          <w:rFonts w:ascii="ITC Avant Garde" w:hAnsi="ITC Avant Garde" w:cs="Arial"/>
          <w:i/>
          <w:sz w:val="18"/>
          <w:szCs w:val="18"/>
        </w:rPr>
      </w:pPr>
      <w:r w:rsidRPr="00C032D9">
        <w:rPr>
          <w:rFonts w:ascii="ITC Avant Garde" w:hAnsi="ITC Avant Garde" w:cs="Arial"/>
          <w:i/>
          <w:sz w:val="18"/>
          <w:szCs w:val="18"/>
        </w:rPr>
        <w:t>“</w:t>
      </w:r>
      <w:r w:rsidRPr="00C032D9">
        <w:rPr>
          <w:rFonts w:ascii="ITC Avant Garde" w:hAnsi="ITC Avant Garde" w:cs="Arial"/>
          <w:b/>
          <w:i/>
          <w:sz w:val="18"/>
          <w:szCs w:val="18"/>
        </w:rPr>
        <w:t>Artículo 131.</w:t>
      </w:r>
      <w:r w:rsidRPr="00C032D9">
        <w:rPr>
          <w:rFonts w:ascii="ITC Avant Garde" w:hAnsi="ITC Avant Garde" w:cs="Arial"/>
          <w:i/>
          <w:sz w:val="18"/>
          <w:szCs w:val="18"/>
        </w:rPr>
        <w:t xml:space="preserve"> […]</w:t>
      </w:r>
    </w:p>
    <w:p w:rsidR="00FA0F97" w:rsidRPr="00C032D9" w:rsidRDefault="00FA0F97" w:rsidP="00206B14">
      <w:pPr>
        <w:spacing w:before="180" w:after="180"/>
        <w:ind w:left="1417" w:right="1417"/>
        <w:jc w:val="both"/>
        <w:rPr>
          <w:rFonts w:ascii="ITC Avant Garde" w:hAnsi="ITC Avant Garde" w:cs="Arial"/>
          <w:i/>
          <w:sz w:val="18"/>
          <w:szCs w:val="18"/>
        </w:rPr>
      </w:pPr>
      <w:r w:rsidRPr="00C032D9">
        <w:rPr>
          <w:rFonts w:ascii="ITC Avant Garde" w:hAnsi="ITC Avant Garde" w:cs="Arial"/>
          <w:i/>
          <w:sz w:val="18"/>
          <w:szCs w:val="18"/>
        </w:rPr>
        <w:t>[…]</w:t>
      </w:r>
    </w:p>
    <w:p w:rsidR="00FA0F97" w:rsidRPr="00C032D9" w:rsidRDefault="00FA0F97" w:rsidP="00206B14">
      <w:pPr>
        <w:spacing w:before="180" w:after="180"/>
        <w:ind w:left="1417" w:right="1417"/>
        <w:jc w:val="both"/>
        <w:rPr>
          <w:rFonts w:ascii="ITC Avant Garde" w:hAnsi="ITC Avant Garde" w:cs="Arial"/>
          <w:i/>
          <w:sz w:val="18"/>
          <w:szCs w:val="18"/>
        </w:rPr>
      </w:pPr>
      <w:r w:rsidRPr="00C032D9">
        <w:rPr>
          <w:rFonts w:ascii="ITC Avant Garde" w:hAnsi="ITC Avant Garde" w:cs="Arial"/>
          <w:i/>
          <w:sz w:val="18"/>
          <w:szCs w:val="18"/>
        </w:rPr>
        <w:t>b) Para el tráfico que termine en la red de los demás concesionarios, la tarifa de interconexión será negociada libremente.</w:t>
      </w:r>
    </w:p>
    <w:p w:rsidR="00FA0F97" w:rsidRPr="00C032D9" w:rsidRDefault="00FA0F97" w:rsidP="00206B14">
      <w:pPr>
        <w:spacing w:before="180" w:after="180"/>
        <w:ind w:left="1417" w:right="1417"/>
        <w:jc w:val="both"/>
        <w:rPr>
          <w:rFonts w:ascii="ITC Avant Garde" w:hAnsi="ITC Avant Garde" w:cs="Arial"/>
          <w:i/>
          <w:sz w:val="18"/>
          <w:szCs w:val="18"/>
        </w:rPr>
      </w:pPr>
      <w:r w:rsidRPr="00C032D9">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rsidR="00FA0F97" w:rsidRPr="00C032D9" w:rsidRDefault="00FA0F97" w:rsidP="00206B14">
      <w:pPr>
        <w:spacing w:before="180" w:after="180"/>
        <w:ind w:left="1417" w:right="1417"/>
        <w:jc w:val="both"/>
        <w:rPr>
          <w:rFonts w:ascii="ITC Avant Garde" w:hAnsi="ITC Avant Garde" w:cs="Arial"/>
          <w:i/>
          <w:sz w:val="18"/>
          <w:szCs w:val="18"/>
        </w:rPr>
      </w:pPr>
      <w:r w:rsidRPr="00C032D9">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rsidR="00FA0F97" w:rsidRPr="00C032D9" w:rsidRDefault="00FA0F97" w:rsidP="00206B14">
      <w:pPr>
        <w:spacing w:before="180" w:after="180"/>
        <w:ind w:left="1417" w:right="1417"/>
        <w:jc w:val="both"/>
        <w:rPr>
          <w:rFonts w:ascii="ITC Avant Garde" w:hAnsi="ITC Avant Garde" w:cs="Arial"/>
          <w:i/>
          <w:sz w:val="18"/>
          <w:szCs w:val="18"/>
        </w:rPr>
      </w:pPr>
      <w:r w:rsidRPr="00C032D9">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rsidR="00FA0F97" w:rsidRPr="00C032D9" w:rsidRDefault="00FA0F97" w:rsidP="00206B14">
      <w:pPr>
        <w:spacing w:before="180" w:after="180"/>
        <w:ind w:left="1417" w:right="1417"/>
        <w:jc w:val="both"/>
        <w:rPr>
          <w:rFonts w:ascii="ITC Avant Garde" w:hAnsi="ITC Avant Garde" w:cs="Arial"/>
          <w:i/>
          <w:sz w:val="18"/>
          <w:szCs w:val="18"/>
        </w:rPr>
      </w:pPr>
      <w:r w:rsidRPr="00C032D9">
        <w:rPr>
          <w:rFonts w:ascii="ITC Avant Garde" w:hAnsi="ITC Avant Garde" w:cs="Arial"/>
          <w:i/>
          <w:sz w:val="18"/>
          <w:szCs w:val="18"/>
        </w:rPr>
        <w:lastRenderedPageBreak/>
        <w:t>[…]”</w:t>
      </w:r>
    </w:p>
    <w:p w:rsidR="00FA0F97" w:rsidRPr="00C032D9" w:rsidRDefault="00FA0F97" w:rsidP="00206B14">
      <w:pPr>
        <w:spacing w:before="180" w:after="180"/>
        <w:ind w:right="20"/>
        <w:jc w:val="both"/>
        <w:rPr>
          <w:rFonts w:ascii="ITC Avant Garde" w:hAnsi="ITC Avant Garde" w:cs="Arial"/>
        </w:rPr>
      </w:pPr>
      <w:r w:rsidRPr="00C032D9">
        <w:rPr>
          <w:rFonts w:ascii="ITC Avant Garde" w:hAnsi="ITC Avant Garde" w:cs="Arial"/>
        </w:rPr>
        <w:t>En este orden de ideas, el artículo 137 de la LFTyR señala a la letra lo siguiente:</w:t>
      </w:r>
    </w:p>
    <w:p w:rsidR="00FA0F97" w:rsidRPr="00C032D9" w:rsidRDefault="00FA0F97" w:rsidP="00206B14">
      <w:pPr>
        <w:spacing w:before="180" w:after="180"/>
        <w:ind w:left="1417" w:right="1417"/>
        <w:jc w:val="both"/>
        <w:rPr>
          <w:rFonts w:ascii="ITC Avant Garde" w:hAnsi="ITC Avant Garde" w:cs="Arial"/>
          <w:i/>
          <w:sz w:val="18"/>
          <w:szCs w:val="18"/>
        </w:rPr>
      </w:pPr>
      <w:r w:rsidRPr="00C032D9">
        <w:rPr>
          <w:rFonts w:ascii="ITC Avant Garde" w:hAnsi="ITC Avant Garde" w:cs="Arial"/>
          <w:b/>
          <w:i/>
          <w:sz w:val="18"/>
          <w:szCs w:val="18"/>
        </w:rPr>
        <w:t>“Artículo 137.</w:t>
      </w:r>
      <w:r w:rsidRPr="00C032D9">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rsidR="00FA0F97" w:rsidRPr="00C032D9" w:rsidRDefault="00FA0F97" w:rsidP="00206B14">
      <w:pPr>
        <w:spacing w:before="180" w:after="180"/>
        <w:ind w:right="20"/>
        <w:jc w:val="both"/>
        <w:rPr>
          <w:rFonts w:ascii="ITC Avant Garde" w:hAnsi="ITC Avant Garde" w:cs="Arial"/>
        </w:rPr>
      </w:pPr>
      <w:r w:rsidRPr="00C032D9">
        <w:rPr>
          <w:rFonts w:ascii="ITC Avant Garde" w:hAnsi="ITC Avant Garde" w:cs="Arial"/>
        </w:rPr>
        <w:t>En estricto cumplimiento al artículo citado, el Instituto debió emitir una metodología de costos, así como publicar en el DOF las tarifas que estarían vigentes durante 2016.</w:t>
      </w:r>
    </w:p>
    <w:p w:rsidR="00FA0F97" w:rsidRPr="00C032D9" w:rsidRDefault="00FA0F97" w:rsidP="00206B14">
      <w:pPr>
        <w:spacing w:before="180" w:after="180"/>
        <w:ind w:right="20"/>
        <w:jc w:val="both"/>
        <w:rPr>
          <w:rFonts w:ascii="ITC Avant Garde" w:hAnsi="ITC Avant Garde" w:cs="Arial"/>
          <w:b/>
        </w:rPr>
      </w:pPr>
      <w:r w:rsidRPr="00C032D9">
        <w:rPr>
          <w:rFonts w:ascii="ITC Avant Garde" w:hAnsi="ITC Avant Garde" w:cs="Arial"/>
        </w:rPr>
        <w:t>Es así que el 18 de diciembre de 2014 el Instituto publicó en el DOF la Metodología de Costos, misma que establece los principios básicos a los cuales se deberá sujetar la autoridad reguladora al momento de elaborar los modelos de costos que calculen las tarifas de interconexión.</w:t>
      </w:r>
    </w:p>
    <w:p w:rsidR="00FA0F97" w:rsidRPr="00C032D9" w:rsidRDefault="00FA0F97" w:rsidP="00206B14">
      <w:pPr>
        <w:spacing w:before="180" w:after="180"/>
        <w:jc w:val="both"/>
        <w:rPr>
          <w:rFonts w:ascii="ITC Avant Garde" w:eastAsia="Times New Roman" w:hAnsi="ITC Avant Garde" w:cs="Arial"/>
        </w:rPr>
      </w:pPr>
      <w:r w:rsidRPr="00C032D9">
        <w:rPr>
          <w:rFonts w:ascii="ITC Avant Garde" w:eastAsia="Times New Roman" w:hAnsi="ITC Avant Garde" w:cs="Arial"/>
        </w:rPr>
        <w:t>Dentro de los objetivos de la LFTyR está el de promover un desarrollo eficiente de las telecomunicaciones; ejercer la rectoría del Estado en esa materia para garantizar la soberanía nacional; fomentar una sana competencia entre los concesionarios, permisionarios e intermediarios (servicios de interconexión) a fin de que se presten mejores servicios y se otorguen precios adecuados en beneficio de los usuarios, promoviendo una adecuada cobertura social.</w:t>
      </w:r>
    </w:p>
    <w:p w:rsidR="00FA0F97" w:rsidRPr="00C032D9" w:rsidRDefault="00FA0F97" w:rsidP="00206B14">
      <w:pPr>
        <w:spacing w:before="180" w:after="180"/>
        <w:jc w:val="both"/>
        <w:rPr>
          <w:rFonts w:ascii="ITC Avant Garde" w:eastAsia="Times New Roman" w:hAnsi="ITC Avant Garde" w:cs="Arial"/>
        </w:rPr>
      </w:pPr>
      <w:r w:rsidRPr="00C032D9">
        <w:rPr>
          <w:rFonts w:ascii="ITC Avant Garde" w:eastAsia="Times New Roman" w:hAnsi="ITC Avant Garde" w:cs="Arial"/>
          <w:szCs w:val="20"/>
        </w:rPr>
        <w:t xml:space="preserve">Es por ello que </w:t>
      </w:r>
      <w:r w:rsidRPr="00C032D9">
        <w:rPr>
          <w:rFonts w:ascii="ITC Avant Garde" w:eastAsia="Times New Roman" w:hAnsi="ITC Avant Garde" w:cs="Arial"/>
        </w:rPr>
        <w:t>la emisión de las resoluciones en materia de desacuerdos de interconexión, como expresión de la rectoría que ejerce el Estado en materia de telecomunicaciones, tiende a procurar una sana competencia entre los concesionarios, sin dejar de considerar, de manera preponderante, los intereses de los usuarios o consumidores finales, en términos de lo establecido en los artículos 7º, 124 y 125 de la LFTyR.</w:t>
      </w:r>
    </w:p>
    <w:p w:rsidR="00FA0F97" w:rsidRPr="00C032D9" w:rsidRDefault="00FA0F97" w:rsidP="00206B14">
      <w:pPr>
        <w:spacing w:before="180" w:after="180"/>
        <w:jc w:val="both"/>
        <w:rPr>
          <w:rFonts w:ascii="ITC Avant Garde" w:eastAsia="Times New Roman" w:hAnsi="ITC Avant Garde"/>
          <w:b/>
          <w:szCs w:val="24"/>
          <w:lang w:eastAsia="es-ES"/>
        </w:rPr>
      </w:pPr>
      <w:r w:rsidRPr="00C032D9">
        <w:rPr>
          <w:rFonts w:ascii="ITC Avant Garde" w:hAnsi="ITC Avant Garde" w:cs="Arial"/>
        </w:rPr>
        <w:t xml:space="preserve">Por lo anterior, se observa que el objetivo de la política en materia de tarifas de interconexión que ha definido el Instituto es regular y promover la competencia y el desarrollo eficiente de las telecomunicaciones y que en el contexto actual dicho objetivo se cumple mediante la aplicación de la ya señalada Metodología de Costos, la cual, en el caso de las tarifas de terminación, consiste en el cálculo de costos con base en el </w:t>
      </w:r>
      <w:proofErr w:type="spellStart"/>
      <w:r w:rsidRPr="00C032D9">
        <w:rPr>
          <w:rFonts w:ascii="ITC Avant Garde" w:hAnsi="ITC Avant Garde" w:cs="Arial"/>
        </w:rPr>
        <w:t>CILP</w:t>
      </w:r>
      <w:proofErr w:type="spellEnd"/>
      <w:r w:rsidRPr="00C032D9">
        <w:rPr>
          <w:rFonts w:ascii="ITC Avant Garde" w:hAnsi="ITC Avant Garde" w:cs="Arial"/>
        </w:rPr>
        <w:t xml:space="preserve"> Puro.</w:t>
      </w:r>
    </w:p>
    <w:p w:rsidR="00FA0F97" w:rsidRPr="00C032D9" w:rsidRDefault="00FA0F97" w:rsidP="00206B14">
      <w:pPr>
        <w:spacing w:before="180" w:after="180"/>
        <w:ind w:right="20"/>
        <w:jc w:val="both"/>
        <w:rPr>
          <w:rFonts w:ascii="ITC Avant Garde" w:hAnsi="ITC Avant Garde"/>
          <w:spacing w:val="-4"/>
        </w:rPr>
      </w:pPr>
      <w:r w:rsidRPr="00C032D9">
        <w:rPr>
          <w:rFonts w:ascii="ITC Avant Garde" w:hAnsi="ITC Avant Garde"/>
          <w:spacing w:val="-4"/>
        </w:rPr>
        <w:t>Ahora bien, por lo que hace a las tarifas de interconexión que deberán estar vigentes durante 2016, previstas en el citado artículo 137 de la LFTyR, el Instituto publicó en el DOF el 1 de octubre de 2015 el Acuerdo de Tarifas 2016, en los cuales determinó las tarifas por los Servicios de Interconexión que han resultado de la metodología para el cálculo de costos de interconexión de conformidad con la LFTyR, y que utilizará para resolver los desacuerdos de interconexión que se presenten.</w:t>
      </w:r>
    </w:p>
    <w:p w:rsidR="00FA0F97" w:rsidRPr="00C032D9" w:rsidRDefault="00FA0F97" w:rsidP="00206B14">
      <w:pPr>
        <w:spacing w:before="180" w:after="180"/>
        <w:ind w:right="20"/>
        <w:jc w:val="both"/>
        <w:rPr>
          <w:rFonts w:ascii="ITC Avant Garde" w:hAnsi="ITC Avant Garde" w:cs="Arial"/>
        </w:rPr>
      </w:pPr>
      <w:r w:rsidRPr="00C032D9">
        <w:rPr>
          <w:rFonts w:ascii="ITC Avant Garde" w:hAnsi="ITC Avant Garde" w:cs="Arial"/>
        </w:rPr>
        <w:lastRenderedPageBreak/>
        <w:t>En consecuencia, las tarifas de interconexión, objeto del presente procedimiento, han sido determinadas por la autoridad en el Acuerdo antes citado a partir de la aplicación de la metodología respectiva.</w:t>
      </w:r>
    </w:p>
    <w:p w:rsidR="00FA0F97" w:rsidRPr="00C032D9" w:rsidRDefault="00FA0F97" w:rsidP="00206B14">
      <w:pPr>
        <w:spacing w:before="180" w:after="180"/>
        <w:ind w:right="20"/>
        <w:jc w:val="both"/>
        <w:rPr>
          <w:rFonts w:ascii="ITC Avant Garde" w:hAnsi="ITC Avant Garde"/>
          <w:spacing w:val="-4"/>
          <w:lang w:val="es-ES"/>
        </w:rPr>
      </w:pPr>
      <w:r w:rsidRPr="00C032D9">
        <w:rPr>
          <w:rFonts w:ascii="ITC Avant Garde" w:hAnsi="ITC Avant Garde" w:cs="Arial"/>
        </w:rPr>
        <w:t>En tal virtud, l</w:t>
      </w:r>
      <w:r w:rsidRPr="00C032D9">
        <w:rPr>
          <w:rFonts w:ascii="ITC Avant Garde" w:hAnsi="ITC Avant Garde"/>
          <w:spacing w:val="-4"/>
          <w:lang w:val="es-ES"/>
        </w:rPr>
        <w:t xml:space="preserve">a tarifa por los Servicios de Interconexión que </w:t>
      </w:r>
      <w:proofErr w:type="spellStart"/>
      <w:r w:rsidRPr="00C032D9">
        <w:rPr>
          <w:rFonts w:ascii="ITC Avant Garde" w:hAnsi="ITC Avant Garde"/>
          <w:spacing w:val="-4"/>
          <w:lang w:val="es-ES"/>
        </w:rPr>
        <w:t>Avantel</w:t>
      </w:r>
      <w:proofErr w:type="spellEnd"/>
      <w:r w:rsidRPr="00C032D9">
        <w:rPr>
          <w:rFonts w:ascii="ITC Avant Garde" w:hAnsi="ITC Avant Garde"/>
          <w:spacing w:val="-4"/>
          <w:lang w:val="es-ES"/>
        </w:rPr>
        <w:t>, Axtel deberán pagar a Grupo AT&amp;T por los</w:t>
      </w:r>
      <w:r w:rsidRPr="00C032D9">
        <w:rPr>
          <w:rFonts w:ascii="ITC Avant Garde" w:hAnsi="ITC Avant Garde"/>
          <w:spacing w:val="-4"/>
        </w:rPr>
        <w:t xml:space="preserve"> servicios de terminación del Servicio Local en usuarios móviles bajo la modalidad “el que llama paga”</w:t>
      </w:r>
      <w:r w:rsidRPr="00C032D9">
        <w:rPr>
          <w:rFonts w:ascii="ITC Avant Garde" w:hAnsi="ITC Avant Garde"/>
          <w:spacing w:val="-4"/>
          <w:lang w:val="es-ES"/>
        </w:rPr>
        <w:t>, será la siguiente:</w:t>
      </w:r>
    </w:p>
    <w:bookmarkEnd w:id="8"/>
    <w:p w:rsidR="00FA0F97" w:rsidRPr="00C032D9" w:rsidRDefault="00FA0F97" w:rsidP="00206B14">
      <w:pPr>
        <w:pStyle w:val="Prrafodelista"/>
        <w:numPr>
          <w:ilvl w:val="0"/>
          <w:numId w:val="25"/>
        </w:numPr>
        <w:spacing w:before="180" w:after="180" w:line="276" w:lineRule="auto"/>
        <w:rPr>
          <w:rFonts w:ascii="ITC Avant Garde" w:hAnsi="ITC Avant Garde"/>
          <w:b/>
          <w:spacing w:val="-4"/>
          <w:lang w:val="es-ES_tradnl"/>
        </w:rPr>
      </w:pPr>
      <w:r w:rsidRPr="00C032D9">
        <w:rPr>
          <w:rFonts w:ascii="ITC Avant Garde" w:hAnsi="ITC Avant Garde"/>
          <w:b/>
          <w:spacing w:val="-4"/>
          <w:lang w:val="es-ES_tradnl"/>
        </w:rPr>
        <w:t>Del 1 de enero al 31 de diciembre de 2016, $0.1869 pesos M.N. por minuto de interconexión.</w:t>
      </w:r>
    </w:p>
    <w:p w:rsidR="00FA0F97" w:rsidRPr="00C032D9" w:rsidRDefault="00FA0F97" w:rsidP="00206B14">
      <w:pPr>
        <w:spacing w:before="180" w:after="180"/>
        <w:jc w:val="both"/>
        <w:rPr>
          <w:rFonts w:ascii="ITC Avant Garde" w:hAnsi="ITC Avant Garde" w:cs="Arial"/>
        </w:rPr>
      </w:pPr>
      <w:r w:rsidRPr="00C032D9">
        <w:rPr>
          <w:rFonts w:ascii="ITC Avant Garde" w:hAnsi="ITC Avant Garde" w:cs="Arial"/>
        </w:rPr>
        <w:t>Las tarifas anteriores ya incluyen el costo correspondiente a los puertos necesarios para la interconexión.</w:t>
      </w:r>
    </w:p>
    <w:p w:rsidR="00FA0F97" w:rsidRPr="00C032D9" w:rsidRDefault="00FA0F97" w:rsidP="00206B14">
      <w:pPr>
        <w:spacing w:before="180" w:after="180"/>
        <w:jc w:val="both"/>
        <w:rPr>
          <w:rFonts w:ascii="ITC Avant Garde" w:hAnsi="ITC Avant Garde" w:cs="Arial"/>
          <w:sz w:val="15"/>
          <w:szCs w:val="15"/>
          <w:shd w:val="clear" w:color="auto" w:fill="FFFFFF"/>
        </w:rPr>
      </w:pPr>
      <w:r w:rsidRPr="00C032D9">
        <w:rPr>
          <w:rFonts w:ascii="ITC Avant Garde" w:hAnsi="ITC Avant Garde"/>
          <w:spacing w:val="-4"/>
        </w:rPr>
        <w:t>La aplicación de las tarifas anteriores se calculará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r w:rsidRPr="00C032D9">
        <w:rPr>
          <w:rFonts w:ascii="ITC Avant Garde" w:hAnsi="ITC Avant Garde" w:cs="Arial"/>
          <w:sz w:val="15"/>
          <w:szCs w:val="15"/>
          <w:shd w:val="clear" w:color="auto" w:fill="FFFFFF"/>
        </w:rPr>
        <w:t>.</w:t>
      </w:r>
    </w:p>
    <w:p w:rsidR="00FA0F97" w:rsidRPr="00C032D9" w:rsidRDefault="00FA0F97" w:rsidP="00206B14">
      <w:pPr>
        <w:spacing w:before="180" w:after="180"/>
        <w:jc w:val="both"/>
        <w:rPr>
          <w:rFonts w:ascii="ITC Avant Garde" w:hAnsi="ITC Avant Garde"/>
          <w:spacing w:val="-4"/>
          <w:lang w:val="es-ES"/>
        </w:rPr>
      </w:pPr>
      <w:r w:rsidRPr="00C032D9">
        <w:rPr>
          <w:rFonts w:ascii="ITC Avant Garde" w:hAnsi="ITC Avant Garde"/>
          <w:spacing w:val="-4"/>
        </w:rPr>
        <w:t xml:space="preserve">Asimismo, la tarifa por los Servicios de Interconexión </w:t>
      </w:r>
      <w:r w:rsidRPr="00C032D9">
        <w:rPr>
          <w:rFonts w:ascii="ITC Avant Garde" w:hAnsi="ITC Avant Garde"/>
          <w:spacing w:val="-4"/>
          <w:lang w:val="es-ES"/>
        </w:rPr>
        <w:t xml:space="preserve">que Grupo AT&amp;T deberá pagar a  Axtel y </w:t>
      </w:r>
      <w:proofErr w:type="spellStart"/>
      <w:r w:rsidRPr="00C032D9">
        <w:rPr>
          <w:rFonts w:ascii="ITC Avant Garde" w:hAnsi="ITC Avant Garde"/>
          <w:spacing w:val="-4"/>
          <w:lang w:val="es-ES"/>
        </w:rPr>
        <w:t>Avantel</w:t>
      </w:r>
      <w:proofErr w:type="spellEnd"/>
      <w:r w:rsidRPr="00C032D9">
        <w:rPr>
          <w:rFonts w:ascii="ITC Avant Garde" w:hAnsi="ITC Avant Garde"/>
          <w:spacing w:val="-4"/>
          <w:lang w:val="es-ES"/>
        </w:rPr>
        <w:t xml:space="preserve"> por </w:t>
      </w:r>
      <w:r w:rsidRPr="00C032D9">
        <w:rPr>
          <w:rFonts w:ascii="ITC Avant Garde" w:hAnsi="ITC Avant Garde"/>
          <w:spacing w:val="-4"/>
        </w:rPr>
        <w:t xml:space="preserve">los </w:t>
      </w:r>
      <w:r w:rsidRPr="00C032D9">
        <w:rPr>
          <w:rFonts w:ascii="ITC Avant Garde" w:hAnsi="ITC Avant Garde"/>
          <w:spacing w:val="-4"/>
          <w:lang w:val="es-ES"/>
        </w:rPr>
        <w:t>servicios de terminación del Servicio Local en usuarios fijo, será la siguiente:</w:t>
      </w:r>
    </w:p>
    <w:p w:rsidR="00FA0F97" w:rsidRPr="00C032D9" w:rsidRDefault="00FA0F97" w:rsidP="00206B14">
      <w:pPr>
        <w:pStyle w:val="Prrafodelista"/>
        <w:numPr>
          <w:ilvl w:val="0"/>
          <w:numId w:val="31"/>
        </w:numPr>
        <w:spacing w:before="180" w:after="180" w:line="276" w:lineRule="auto"/>
        <w:rPr>
          <w:rFonts w:ascii="ITC Avant Garde" w:hAnsi="ITC Avant Garde"/>
          <w:b/>
          <w:spacing w:val="-4"/>
          <w:lang w:val="es-ES_tradnl"/>
        </w:rPr>
      </w:pPr>
      <w:r w:rsidRPr="00C032D9">
        <w:rPr>
          <w:rFonts w:ascii="ITC Avant Garde" w:hAnsi="ITC Avant Garde"/>
          <w:b/>
          <w:spacing w:val="-4"/>
          <w:lang w:val="es-ES_tradnl"/>
        </w:rPr>
        <w:t>Del 1 de enero al 31 de diciembre de 2016, $0.003088 pesos M.N. por minuto de interconexión.</w:t>
      </w:r>
    </w:p>
    <w:p w:rsidR="00FA0F97" w:rsidRPr="00C032D9" w:rsidRDefault="00FA0F97" w:rsidP="00206B14">
      <w:pPr>
        <w:spacing w:before="180" w:after="180"/>
        <w:jc w:val="both"/>
        <w:rPr>
          <w:rFonts w:ascii="ITC Avant Garde" w:hAnsi="ITC Avant Garde" w:cs="Arial"/>
          <w:shd w:val="clear" w:color="auto" w:fill="FFFFFF"/>
        </w:rPr>
      </w:pPr>
      <w:r w:rsidRPr="00C032D9">
        <w:rPr>
          <w:rFonts w:ascii="ITC Avant Garde" w:hAnsi="ITC Avant Garde"/>
          <w:spacing w:val="-4"/>
        </w:rPr>
        <w:t>La aplicación de estas tarifas se calculará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r w:rsidRPr="00C032D9">
        <w:rPr>
          <w:rFonts w:ascii="ITC Avant Garde" w:hAnsi="ITC Avant Garde" w:cs="Arial"/>
          <w:sz w:val="15"/>
          <w:szCs w:val="15"/>
          <w:shd w:val="clear" w:color="auto" w:fill="FFFFFF"/>
        </w:rPr>
        <w:t>.</w:t>
      </w:r>
    </w:p>
    <w:p w:rsidR="00FA0F97" w:rsidRPr="00C032D9" w:rsidRDefault="00FA0F97" w:rsidP="00206B14">
      <w:pPr>
        <w:spacing w:before="180" w:after="180"/>
        <w:jc w:val="both"/>
        <w:rPr>
          <w:rFonts w:ascii="ITC Avant Garde" w:hAnsi="ITC Avant Garde" w:cs="Arial"/>
        </w:rPr>
      </w:pPr>
      <w:r w:rsidRPr="00C032D9">
        <w:rPr>
          <w:rFonts w:ascii="ITC Avant Garde" w:hAnsi="ITC Avant Garde" w:cs="Arial"/>
        </w:rPr>
        <w:t>Asimismo, dichas tarifas ya incluyen el costo correspondiente a los puertos necesarios para la interconexión</w:t>
      </w:r>
    </w:p>
    <w:p w:rsidR="00FA0F97" w:rsidRPr="00C032D9" w:rsidRDefault="00FA0F97" w:rsidP="00206B14">
      <w:pPr>
        <w:pStyle w:val="Prrafodelista"/>
        <w:numPr>
          <w:ilvl w:val="0"/>
          <w:numId w:val="23"/>
        </w:numPr>
        <w:spacing w:before="180" w:after="180" w:line="276" w:lineRule="auto"/>
        <w:ind w:left="426" w:hanging="426"/>
        <w:rPr>
          <w:rFonts w:ascii="ITC Avant Garde" w:hAnsi="ITC Avant Garde"/>
          <w:b/>
        </w:rPr>
      </w:pPr>
      <w:r w:rsidRPr="00C032D9">
        <w:rPr>
          <w:rFonts w:ascii="ITC Avant Garde" w:hAnsi="ITC Avant Garde"/>
          <w:b/>
        </w:rPr>
        <w:t xml:space="preserve">Acuerdo compensatorio. (Bill &amp; </w:t>
      </w:r>
      <w:proofErr w:type="spellStart"/>
      <w:r w:rsidRPr="00C032D9">
        <w:rPr>
          <w:rFonts w:ascii="ITC Avant Garde" w:hAnsi="ITC Avant Garde"/>
          <w:b/>
        </w:rPr>
        <w:t>Keep</w:t>
      </w:r>
      <w:proofErr w:type="spellEnd"/>
      <w:r w:rsidRPr="00C032D9">
        <w:rPr>
          <w:rFonts w:ascii="ITC Avant Garde" w:hAnsi="ITC Avant Garde"/>
          <w:b/>
        </w:rPr>
        <w:t>)</w:t>
      </w:r>
    </w:p>
    <w:p w:rsidR="00FA0F97" w:rsidRPr="00C032D9" w:rsidRDefault="00FA0F97" w:rsidP="00206B14">
      <w:pPr>
        <w:spacing w:before="180" w:after="180"/>
        <w:jc w:val="both"/>
        <w:rPr>
          <w:rFonts w:ascii="ITC Avant Garde" w:hAnsi="ITC Avant Garde"/>
          <w:b/>
        </w:rPr>
      </w:pPr>
      <w:r w:rsidRPr="00C032D9">
        <w:rPr>
          <w:rFonts w:ascii="ITC Avant Garde" w:hAnsi="ITC Avant Garde"/>
          <w:b/>
        </w:rPr>
        <w:t>Argumentos de las partes</w:t>
      </w:r>
    </w:p>
    <w:p w:rsidR="00FA0F97" w:rsidRPr="00C032D9" w:rsidRDefault="00FA0F97" w:rsidP="00206B14">
      <w:pPr>
        <w:spacing w:before="180" w:after="180"/>
        <w:jc w:val="both"/>
        <w:rPr>
          <w:rFonts w:ascii="ITC Avant Garde" w:hAnsi="ITC Avant Garde"/>
          <w:bCs/>
        </w:rPr>
      </w:pPr>
      <w:r w:rsidRPr="00C032D9">
        <w:rPr>
          <w:rFonts w:ascii="ITC Avant Garde" w:hAnsi="ITC Avant Garde"/>
          <w:bCs/>
        </w:rPr>
        <w:t xml:space="preserve">Argumenta Axtel y </w:t>
      </w:r>
      <w:proofErr w:type="spellStart"/>
      <w:r w:rsidRPr="00C032D9">
        <w:rPr>
          <w:rFonts w:ascii="ITC Avant Garde" w:hAnsi="ITC Avant Garde"/>
          <w:bCs/>
        </w:rPr>
        <w:t>Avantel</w:t>
      </w:r>
      <w:proofErr w:type="spellEnd"/>
      <w:r w:rsidRPr="00C032D9">
        <w:rPr>
          <w:rFonts w:ascii="ITC Avant Garde" w:hAnsi="ITC Avant Garde"/>
          <w:bCs/>
        </w:rPr>
        <w:t xml:space="preserve"> que el Instituto deberá incluir dentro de los términos y condiciones la obligatoriedad de firmar acuerdos de Bill and </w:t>
      </w:r>
      <w:proofErr w:type="spellStart"/>
      <w:r w:rsidRPr="00C032D9">
        <w:rPr>
          <w:rFonts w:ascii="ITC Avant Garde" w:hAnsi="ITC Avant Garde"/>
          <w:bCs/>
        </w:rPr>
        <w:t>Keep</w:t>
      </w:r>
      <w:proofErr w:type="spellEnd"/>
      <w:r w:rsidRPr="00C032D9">
        <w:rPr>
          <w:rFonts w:ascii="ITC Avant Garde" w:hAnsi="ITC Avant Garde"/>
          <w:bCs/>
        </w:rPr>
        <w:t>, los cuales están contenidos en las propuestas de la redes locales de Axtel/</w:t>
      </w:r>
      <w:proofErr w:type="spellStart"/>
      <w:r w:rsidRPr="00C032D9">
        <w:rPr>
          <w:rFonts w:ascii="ITC Avant Garde" w:hAnsi="ITC Avant Garde"/>
          <w:bCs/>
        </w:rPr>
        <w:t>Avantel</w:t>
      </w:r>
      <w:proofErr w:type="spellEnd"/>
      <w:r w:rsidRPr="00C032D9">
        <w:rPr>
          <w:rFonts w:ascii="ITC Avant Garde" w:hAnsi="ITC Avant Garde"/>
          <w:bCs/>
        </w:rPr>
        <w:t xml:space="preserve"> de los convenios de interconexión que enviaron a Grupo Iusacell para tal propósito, ya que lo esquemas del tipo Bill and </w:t>
      </w:r>
      <w:proofErr w:type="spellStart"/>
      <w:r w:rsidRPr="00C032D9">
        <w:rPr>
          <w:rFonts w:ascii="ITC Avant Garde" w:hAnsi="ITC Avant Garde"/>
          <w:bCs/>
        </w:rPr>
        <w:t>Keep</w:t>
      </w:r>
      <w:proofErr w:type="spellEnd"/>
      <w:r w:rsidRPr="00C032D9">
        <w:rPr>
          <w:rFonts w:ascii="ITC Avant Garde" w:hAnsi="ITC Avant Garde"/>
          <w:bCs/>
        </w:rPr>
        <w:t xml:space="preserve"> reducen las tarifas al público e incremental los minutos de uso promedio, lo que a su vez incentiva las llamadas, aunado a que es una figura de la Ley </w:t>
      </w:r>
      <w:r w:rsidRPr="00C032D9">
        <w:rPr>
          <w:rFonts w:ascii="ITC Avant Garde" w:hAnsi="ITC Avant Garde"/>
          <w:bCs/>
        </w:rPr>
        <w:lastRenderedPageBreak/>
        <w:t>que lo reconoce como ideal para el funcionamiento sano de los mercados, por lo que no existe ninguna justificación para seguir demorando su aplicación en la industria.</w:t>
      </w:r>
    </w:p>
    <w:p w:rsidR="00FA0F97" w:rsidRPr="00C032D9" w:rsidRDefault="00FA0F97" w:rsidP="00206B14">
      <w:pPr>
        <w:spacing w:before="180" w:after="180"/>
        <w:jc w:val="both"/>
        <w:rPr>
          <w:rFonts w:ascii="ITC Avant Garde" w:hAnsi="ITC Avant Garde"/>
          <w:bCs/>
        </w:rPr>
      </w:pPr>
      <w:r w:rsidRPr="00C032D9">
        <w:rPr>
          <w:rFonts w:ascii="ITC Avant Garde" w:hAnsi="ITC Avant Garde"/>
          <w:bCs/>
        </w:rPr>
        <w:t>Por su parte Grupo AT&amp;T, refiere que no se encuentra obligado a celebrar dichos acuerdos por dos razones, la primera es que de conformidad con el artículo 131 de la LFTyR el Instituto establecerá de manera obligatoria acuerdos de compensación recíproca de tráfico cuando considere que existen condiciones de competencia efectiva en el sector de las telecomunicaciones, sin embargo, al existir un AEP las condiciones del mercado de telecomunicaciones no son de competencia efectiva, por lo que no se puede establecer acuerdos de compensación reciproca de trafico de acuerdo al mandato de la ley. Además de que los servicios que prestan son completamente diferentes y con variables distintas.</w:t>
      </w:r>
    </w:p>
    <w:p w:rsidR="00FA0F97" w:rsidRPr="00C032D9" w:rsidRDefault="00FA0F97" w:rsidP="00206B14">
      <w:pPr>
        <w:spacing w:before="180" w:after="180"/>
        <w:jc w:val="both"/>
        <w:rPr>
          <w:rFonts w:ascii="ITC Avant Garde" w:hAnsi="ITC Avant Garde"/>
          <w:b/>
        </w:rPr>
      </w:pPr>
      <w:r w:rsidRPr="00C032D9">
        <w:rPr>
          <w:rFonts w:ascii="ITC Avant Garde" w:hAnsi="ITC Avant Garde"/>
          <w:b/>
        </w:rPr>
        <w:t>Consideraciones del Instituto</w:t>
      </w:r>
    </w:p>
    <w:p w:rsidR="00FA0F97" w:rsidRPr="00C032D9" w:rsidRDefault="00FA0F97" w:rsidP="00206B14">
      <w:pPr>
        <w:spacing w:before="180" w:after="180"/>
        <w:jc w:val="both"/>
        <w:rPr>
          <w:rFonts w:ascii="ITC Avant Garde" w:eastAsia="Times New Roman" w:hAnsi="ITC Avant Garde" w:cs="Arial"/>
          <w:lang w:eastAsia="es-ES"/>
        </w:rPr>
      </w:pPr>
      <w:r w:rsidRPr="00C032D9">
        <w:rPr>
          <w:rFonts w:ascii="ITC Avant Garde" w:eastAsia="Times New Roman" w:hAnsi="ITC Avant Garde" w:cs="Arial"/>
          <w:lang w:eastAsia="es-ES"/>
        </w:rPr>
        <w:t xml:space="preserve">Un acuerdo compensatorio se origina en virtud de que al interconectarse dos redes que prestan el mismo servicio, el intercambio de tráfico entre las redes tiende a equilibrase y bajo ciertas condiciones resulta factible adoptar acuerdos compensatorios, conocidos como </w:t>
      </w:r>
      <w:r w:rsidRPr="00C032D9">
        <w:rPr>
          <w:rFonts w:ascii="ITC Avant Garde" w:eastAsia="Times New Roman" w:hAnsi="ITC Avant Garde" w:cs="Arial"/>
          <w:i/>
          <w:lang w:eastAsia="es-ES"/>
        </w:rPr>
        <w:t xml:space="preserve">“Bill &amp; </w:t>
      </w:r>
      <w:proofErr w:type="spellStart"/>
      <w:r w:rsidRPr="00C032D9">
        <w:rPr>
          <w:rFonts w:ascii="ITC Avant Garde" w:eastAsia="Times New Roman" w:hAnsi="ITC Avant Garde" w:cs="Arial"/>
          <w:i/>
          <w:lang w:eastAsia="es-ES"/>
        </w:rPr>
        <w:t>Keep</w:t>
      </w:r>
      <w:proofErr w:type="spellEnd"/>
      <w:r w:rsidRPr="00C032D9">
        <w:rPr>
          <w:rFonts w:ascii="ITC Avant Garde" w:eastAsia="Times New Roman" w:hAnsi="ITC Avant Garde" w:cs="Arial"/>
          <w:i/>
          <w:lang w:eastAsia="es-ES"/>
        </w:rPr>
        <w:t>”</w:t>
      </w:r>
      <w:r w:rsidRPr="00C032D9">
        <w:rPr>
          <w:rFonts w:ascii="ITC Avant Garde" w:eastAsia="Times New Roman" w:hAnsi="ITC Avant Garde" w:cs="Arial"/>
          <w:lang w:eastAsia="es-ES"/>
        </w:rPr>
        <w:t>, cuya función es evitar facturarse el servicio.</w:t>
      </w:r>
    </w:p>
    <w:p w:rsidR="00FA0F97" w:rsidRPr="00C032D9" w:rsidRDefault="00FA0F97" w:rsidP="00206B14">
      <w:pPr>
        <w:spacing w:before="180" w:after="180"/>
        <w:jc w:val="both"/>
        <w:rPr>
          <w:rFonts w:ascii="ITC Avant Garde" w:eastAsia="Times New Roman" w:hAnsi="ITC Avant Garde" w:cs="Arial"/>
          <w:lang w:eastAsia="es-ES"/>
        </w:rPr>
      </w:pPr>
      <w:r w:rsidRPr="00C032D9">
        <w:rPr>
          <w:rFonts w:ascii="ITC Avant Garde" w:eastAsia="Times New Roman" w:hAnsi="ITC Avant Garde" w:cs="Arial"/>
          <w:lang w:eastAsia="es-ES"/>
        </w:rPr>
        <w:t>No obstante, el artículo 131 de la LFTyR establece claramente los supuestos bajo los cuales el Instituto podrá determinar la celebración obligatoria de acuerdos compensatorios, a saber:</w:t>
      </w:r>
    </w:p>
    <w:p w:rsidR="00FA0F97" w:rsidRPr="00C032D9" w:rsidRDefault="00FA0F97" w:rsidP="00206B14">
      <w:pPr>
        <w:spacing w:before="180" w:after="180"/>
        <w:ind w:left="567" w:right="615"/>
        <w:jc w:val="both"/>
        <w:rPr>
          <w:rFonts w:ascii="ITC Avant Garde" w:eastAsia="Times New Roman" w:hAnsi="ITC Avant Garde" w:cs="Arial"/>
          <w:i/>
          <w:sz w:val="18"/>
          <w:szCs w:val="18"/>
          <w:lang w:eastAsia="es-ES"/>
        </w:rPr>
      </w:pPr>
      <w:r w:rsidRPr="00C032D9">
        <w:rPr>
          <w:rFonts w:ascii="ITC Avant Garde" w:eastAsia="Times New Roman" w:hAnsi="ITC Avant Garde" w:cs="Arial"/>
          <w:i/>
          <w:sz w:val="18"/>
          <w:szCs w:val="18"/>
          <w:lang w:eastAsia="es-ES"/>
        </w:rPr>
        <w:t>“</w:t>
      </w:r>
      <w:r w:rsidRPr="00C032D9">
        <w:rPr>
          <w:rFonts w:ascii="ITC Avant Garde" w:eastAsia="Times New Roman" w:hAnsi="ITC Avant Garde" w:cs="Arial"/>
          <w:b/>
          <w:i/>
          <w:sz w:val="18"/>
          <w:szCs w:val="18"/>
          <w:lang w:eastAsia="es-ES"/>
        </w:rPr>
        <w:t>Artículo 131.</w:t>
      </w:r>
      <w:r w:rsidRPr="00C032D9">
        <w:rPr>
          <w:rFonts w:ascii="ITC Avant Garde" w:eastAsia="Times New Roman" w:hAnsi="ITC Avant Garde" w:cs="Arial"/>
          <w:i/>
          <w:sz w:val="18"/>
          <w:szCs w:val="18"/>
          <w:lang w:eastAsia="es-ES"/>
        </w:rPr>
        <w:t xml:space="preserve"> Cuando el Instituto considere que existen condiciones de competencia efectiva en el sector de las telecomunicaciones, determinará los criterios conforme a los cuales los concesionarios de redes públicas de telecomunicaciones, fijas y móviles, celebrarán de manera obligatoria acuerdos de compensación recíproca de tráfico, sin cargo alguno por terminación, incluyendo llamadas y mensajes cortos.</w:t>
      </w:r>
    </w:p>
    <w:p w:rsidR="00FA0F97" w:rsidRPr="00C032D9" w:rsidRDefault="00FA0F97" w:rsidP="00206B14">
      <w:pPr>
        <w:spacing w:before="180" w:after="180"/>
        <w:ind w:left="567" w:right="615"/>
        <w:jc w:val="both"/>
        <w:rPr>
          <w:rFonts w:ascii="ITC Avant Garde" w:eastAsia="Times New Roman" w:hAnsi="ITC Avant Garde" w:cs="Arial"/>
          <w:i/>
          <w:sz w:val="18"/>
          <w:szCs w:val="18"/>
          <w:lang w:eastAsia="es-ES"/>
        </w:rPr>
      </w:pPr>
      <w:r w:rsidRPr="00C032D9">
        <w:rPr>
          <w:rFonts w:ascii="ITC Avant Garde" w:eastAsia="Times New Roman" w:hAnsi="ITC Avant Garde" w:cs="Arial"/>
          <w:i/>
          <w:sz w:val="18"/>
          <w:szCs w:val="18"/>
          <w:lang w:eastAsia="es-ES"/>
        </w:rPr>
        <w:t>Durante el tiempo en que exista un agente económico preponderante en el sector de las telecomunicaciones o un agente económico que cuente directamente o indirectamente con una participación nacional mayor al cincuenta por ciento en el sector de las telecomunicaciones, medido este porcentaje ya sea por el número de usuarios, suscriptores, por el tráfico en sus redes o por la capacidad utilizada de las mismas de acuerdo con los datos con que disponga el Instituto, las tarifas de terminación de tráfico fijo y móvil, incluyendo llamadas y mensajes cortos, serán asimétricas conforme a lo siguiente:</w:t>
      </w:r>
    </w:p>
    <w:p w:rsidR="00FA0F97" w:rsidRPr="00C032D9" w:rsidRDefault="00FA0F97" w:rsidP="00206B14">
      <w:pPr>
        <w:spacing w:before="180" w:after="180"/>
        <w:ind w:left="567" w:right="615"/>
        <w:jc w:val="both"/>
        <w:rPr>
          <w:rFonts w:ascii="ITC Avant Garde" w:eastAsia="Times New Roman" w:hAnsi="ITC Avant Garde" w:cs="Arial"/>
          <w:i/>
          <w:sz w:val="18"/>
          <w:szCs w:val="18"/>
          <w:lang w:eastAsia="es-ES"/>
        </w:rPr>
      </w:pPr>
      <w:r w:rsidRPr="00C032D9">
        <w:rPr>
          <w:rFonts w:ascii="ITC Avant Garde" w:eastAsia="Times New Roman" w:hAnsi="ITC Avant Garde" w:cs="Arial"/>
          <w:i/>
          <w:sz w:val="18"/>
          <w:szCs w:val="18"/>
          <w:lang w:eastAsia="es-ES"/>
        </w:rPr>
        <w:t>a) Los agentes a los que se refiere el párrafo anterior, no cobrarán a los demás concesionarios por el tráfico que termine en su red, y</w:t>
      </w:r>
    </w:p>
    <w:p w:rsidR="00FA0F97" w:rsidRPr="00C032D9" w:rsidRDefault="00FA0F97" w:rsidP="00206B14">
      <w:pPr>
        <w:spacing w:before="180" w:after="180"/>
        <w:ind w:left="567" w:right="615"/>
        <w:jc w:val="both"/>
        <w:rPr>
          <w:rFonts w:ascii="ITC Avant Garde" w:eastAsia="Times New Roman" w:hAnsi="ITC Avant Garde" w:cs="Arial"/>
          <w:i/>
          <w:sz w:val="18"/>
          <w:szCs w:val="18"/>
          <w:lang w:eastAsia="es-ES"/>
        </w:rPr>
      </w:pPr>
      <w:r w:rsidRPr="00C032D9">
        <w:rPr>
          <w:rFonts w:ascii="ITC Avant Garde" w:eastAsia="Times New Roman" w:hAnsi="ITC Avant Garde" w:cs="Arial"/>
          <w:i/>
          <w:sz w:val="18"/>
          <w:szCs w:val="18"/>
          <w:lang w:eastAsia="es-ES"/>
        </w:rPr>
        <w:t>b) Para el tráfico que termine en la red de los demás concesionarios, la tarifa de interconexión será negociada libremente.</w:t>
      </w:r>
    </w:p>
    <w:p w:rsidR="00FA0F97" w:rsidRPr="00C032D9" w:rsidRDefault="00FA0F97" w:rsidP="00206B14">
      <w:pPr>
        <w:spacing w:before="180" w:after="180"/>
        <w:ind w:left="567" w:right="615"/>
        <w:jc w:val="both"/>
        <w:rPr>
          <w:rFonts w:ascii="ITC Avant Garde" w:eastAsia="Times New Roman" w:hAnsi="ITC Avant Garde" w:cs="Arial"/>
          <w:i/>
          <w:sz w:val="18"/>
          <w:szCs w:val="18"/>
          <w:lang w:eastAsia="es-ES"/>
        </w:rPr>
      </w:pPr>
      <w:r w:rsidRPr="00C032D9">
        <w:rPr>
          <w:rFonts w:ascii="ITC Avant Garde" w:eastAsia="Times New Roman" w:hAnsi="ITC Avant Garde" w:cs="Arial"/>
          <w:i/>
          <w:sz w:val="18"/>
          <w:szCs w:val="18"/>
          <w:lang w:eastAsia="es-ES"/>
        </w:rPr>
        <w:t xml:space="preserve">El Instituto resolverá cualquier disputa respecto de las tarifas, términos y/o condiciones de los convenios de interconexión a que se refiere el inciso b) de este artículo, con base en la metodología de costos que determine, tomando en cuenta las asimetrías naturales de las </w:t>
      </w:r>
      <w:r w:rsidRPr="00C032D9">
        <w:rPr>
          <w:rFonts w:ascii="ITC Avant Garde" w:eastAsia="Times New Roman" w:hAnsi="ITC Avant Garde" w:cs="Arial"/>
          <w:i/>
          <w:sz w:val="18"/>
          <w:szCs w:val="18"/>
          <w:lang w:eastAsia="es-ES"/>
        </w:rPr>
        <w:lastRenderedPageBreak/>
        <w:t>redes a ser interconectadas, la participación de mercado o cualquier otro factor, fijando las tarifas, términos y/o condiciones en consecuencia.</w:t>
      </w:r>
    </w:p>
    <w:p w:rsidR="00FA0F97" w:rsidRDefault="00FA0F97" w:rsidP="00206B14">
      <w:pPr>
        <w:spacing w:before="180" w:after="180"/>
        <w:ind w:left="567" w:right="615"/>
        <w:jc w:val="both"/>
        <w:rPr>
          <w:rFonts w:ascii="ITC Avant Garde" w:eastAsia="Times New Roman" w:hAnsi="ITC Avant Garde" w:cs="Arial"/>
          <w:i/>
          <w:sz w:val="18"/>
          <w:szCs w:val="18"/>
          <w:lang w:eastAsia="es-ES"/>
        </w:rPr>
      </w:pPr>
      <w:r w:rsidRPr="00C032D9">
        <w:rPr>
          <w:rFonts w:ascii="ITC Avant Garde" w:eastAsia="Times New Roman" w:hAnsi="ITC Avant Garde" w:cs="Arial"/>
          <w:i/>
          <w:sz w:val="18"/>
          <w:szCs w:val="18"/>
          <w:lang w:eastAsia="es-ES"/>
        </w:rPr>
        <w:t>(…)”</w:t>
      </w:r>
    </w:p>
    <w:p w:rsidR="00FA0F97" w:rsidRPr="00C032D9" w:rsidRDefault="00FA0F97" w:rsidP="00206B14">
      <w:pPr>
        <w:spacing w:before="180" w:after="180"/>
        <w:jc w:val="both"/>
        <w:rPr>
          <w:rFonts w:ascii="ITC Avant Garde" w:eastAsia="Times New Roman" w:hAnsi="ITC Avant Garde" w:cs="Arial"/>
          <w:lang w:eastAsia="es-ES"/>
        </w:rPr>
      </w:pPr>
      <w:r w:rsidRPr="00C032D9">
        <w:rPr>
          <w:rFonts w:ascii="ITC Avant Garde" w:eastAsia="Times New Roman" w:hAnsi="ITC Avant Garde" w:cs="Arial"/>
          <w:lang w:eastAsia="es-ES"/>
        </w:rPr>
        <w:t xml:space="preserve">De la transcripción anterior, se desprende que hasta cuando el Instituto considere que existen condiciones de competencia efectiva en el sector de las telecomunicaciones, determinará los criterios conforme a los cuales los concesionarios de redes públicas de telecomunicaciones, fijas y móviles, celebrarán de manera obligatoria acuerdos de compensación recíproca de tráfico, por lo que durante el tiempo en que exista un agente económico preponderante en el sector de las telecomunicaciones, las tarifas de terminación de tráfico fijo y móvil, serán asimétricas conforme a la metodología señalada en el inciso b) del citado artículo. </w:t>
      </w:r>
    </w:p>
    <w:p w:rsidR="00FA0F97" w:rsidRDefault="00FA0F97" w:rsidP="00206B14">
      <w:pPr>
        <w:widowControl w:val="0"/>
        <w:tabs>
          <w:tab w:val="left" w:pos="567"/>
        </w:tabs>
        <w:spacing w:before="180" w:after="180"/>
        <w:ind w:right="48"/>
        <w:jc w:val="both"/>
        <w:rPr>
          <w:rFonts w:ascii="ITC Avant Garde" w:eastAsia="Times New Roman" w:hAnsi="ITC Avant Garde" w:cs="Arial"/>
          <w:lang w:eastAsia="es-ES"/>
        </w:rPr>
      </w:pPr>
      <w:r w:rsidRPr="00C032D9">
        <w:rPr>
          <w:rFonts w:ascii="ITC Avant Garde" w:eastAsia="Times New Roman" w:hAnsi="ITC Avant Garde" w:cs="Arial"/>
          <w:lang w:eastAsia="es-ES"/>
        </w:rPr>
        <w:t>En tal virtud, dado que en la “</w:t>
      </w:r>
      <w:r w:rsidRPr="00C032D9">
        <w:rPr>
          <w:rFonts w:ascii="ITC Avant Garde" w:eastAsia="Times New Roman" w:hAnsi="ITC Avant Garde"/>
          <w:bCs/>
          <w:i/>
          <w:szCs w:val="24"/>
          <w:lang w:eastAsia="es-ES"/>
        </w:rPr>
        <w:t xml:space="preserve">RESOLUCIÓN MEDIANTE LA CUAL EL PLENO DEL INSTITUTO FEDERAL DE TELECOMUNICACIONES DETERMINA AL GRUPO DE INTERÉS ECONÓMICO DEL QUE FORMAN PARTE AMÉRICA MÓVIL, S.A.B. DE C.V., TELÉFONOS DE MÉXICO, S.A.B. DE C.V., TELÉFONOS DEL NOROESTE, S.A. DE C.V., RADIOMÓVIL </w:t>
      </w:r>
      <w:proofErr w:type="spellStart"/>
      <w:r w:rsidRPr="00C032D9">
        <w:rPr>
          <w:rFonts w:ascii="ITC Avant Garde" w:eastAsia="Times New Roman" w:hAnsi="ITC Avant Garde"/>
          <w:bCs/>
          <w:i/>
          <w:szCs w:val="24"/>
          <w:lang w:eastAsia="es-ES"/>
        </w:rPr>
        <w:t>DIPSA</w:t>
      </w:r>
      <w:proofErr w:type="spellEnd"/>
      <w:r w:rsidRPr="00C032D9">
        <w:rPr>
          <w:rFonts w:ascii="ITC Avant Garde" w:eastAsia="Times New Roman" w:hAnsi="ITC Avant Garde"/>
          <w:bCs/>
          <w:i/>
          <w:szCs w:val="24"/>
          <w:lang w:eastAsia="es-ES"/>
        </w:rPr>
        <w:t>, S.A.B. DE C. V., GRUPO CARSO, S.A.B. DE C.V., Y GRUPO FINANCIERO INBURSA, S.A.B. DE C.V., COMO AGENTE ECONÓMICO PREPONDERANTE EN EL SECTOR DE TELECOMUNICACIONES Y LE IMPONE LAS MEDIDAS NECESARIAS PARA EVITAR QUE SE AFECTE LA COMPETENCIA Y LA LIBRE CONCURRENCIA</w:t>
      </w:r>
      <w:r w:rsidRPr="00C032D9">
        <w:rPr>
          <w:rFonts w:ascii="ITC Avant Garde" w:eastAsia="Times New Roman" w:hAnsi="ITC Avant Garde"/>
          <w:bCs/>
          <w:szCs w:val="24"/>
          <w:lang w:eastAsia="es-ES"/>
        </w:rPr>
        <w:t xml:space="preserve">”, </w:t>
      </w:r>
      <w:r w:rsidRPr="00C032D9">
        <w:rPr>
          <w:rFonts w:ascii="ITC Avant Garde" w:eastAsia="Times New Roman" w:hAnsi="ITC Avant Garde" w:cs="Arial"/>
          <w:lang w:eastAsia="es-ES"/>
        </w:rPr>
        <w:t>el Instituto determinó la existencia de un Agente Económico Preponderante, se actualiza el supuesto normativo señalado, en el sentido de que para el tráfico que termine en la red de los concesionarios distintos al Agente Económico Preponderante, el Instituto resolverá las tarifas resultado de la metodología que al efecto determine.</w:t>
      </w:r>
    </w:p>
    <w:p w:rsidR="00FA0F97" w:rsidRPr="00C032D9" w:rsidRDefault="00FA0F97" w:rsidP="00206B14">
      <w:pPr>
        <w:spacing w:before="180" w:after="180"/>
        <w:jc w:val="both"/>
        <w:rPr>
          <w:rFonts w:ascii="ITC Avant Garde" w:eastAsia="Times New Roman" w:hAnsi="ITC Avant Garde" w:cs="Arial"/>
          <w:lang w:eastAsia="es-ES"/>
        </w:rPr>
      </w:pPr>
      <w:r w:rsidRPr="00C032D9">
        <w:rPr>
          <w:rFonts w:ascii="ITC Avant Garde" w:eastAsia="Times New Roman" w:hAnsi="ITC Avant Garde" w:cs="Arial"/>
          <w:lang w:eastAsia="es-ES"/>
        </w:rPr>
        <w:t>Como parte de la política regulatoria, el Instituto mediante Acuerdo P/IFT/EXT/161214/277 determinó la Metodología de Costos a que se refiere el citado artículo 131, de la LFTyR, en la cual se pronunció acerca de cuál es el enfoque eficiente en la determinación de las tarifas de interconexión, en los siguientes términos:</w:t>
      </w:r>
    </w:p>
    <w:p w:rsidR="00FA0F97" w:rsidRPr="00C032D9" w:rsidRDefault="00FA0F97" w:rsidP="00206B14">
      <w:pPr>
        <w:spacing w:before="180" w:after="180"/>
        <w:ind w:left="567" w:right="615"/>
        <w:jc w:val="both"/>
        <w:rPr>
          <w:rFonts w:ascii="ITC Avant Garde" w:eastAsia="Times New Roman" w:hAnsi="ITC Avant Garde" w:cs="Arial"/>
          <w:i/>
          <w:sz w:val="18"/>
          <w:szCs w:val="18"/>
          <w:lang w:eastAsia="es-ES"/>
        </w:rPr>
      </w:pPr>
      <w:r w:rsidRPr="00C032D9">
        <w:rPr>
          <w:rFonts w:ascii="ITC Avant Garde" w:eastAsia="Times New Roman" w:hAnsi="ITC Avant Garde" w:cs="Arial"/>
          <w:i/>
          <w:sz w:val="18"/>
          <w:szCs w:val="18"/>
          <w:lang w:eastAsia="es-ES"/>
        </w:rPr>
        <w:t>Con base en lo anteriormente expuesto, este Instituto considera que el enfoque a utilizar para determinar las tarifas de Interconexión para el servicio de conducción de tráfico será el de Costos Incrementales de Largo Plazo Puros, toda vez que permite una recuperación más eficiente de los costos comunes y compartidos a través de los servicios minoristas en los cuales la existencia de una mayor presión competitiva impide el establecimiento de altos márgenes por los mismos. Asimismo, reduce las diferencias en tarifas de interconexión entre servicios fijos y móviles fomentando una mayor competencia. Finalmente, una reducción en el precio de un insumo como es la interconexión, como la evidencia lo indica, permitirá ofrecer menores precios a los usuarios finales incrementando el consumo de llamadas y con ello el bienestar de los usuarios de servicios de telecomunicaciones.</w:t>
      </w:r>
    </w:p>
    <w:p w:rsidR="00FA0F97" w:rsidRPr="00C032D9" w:rsidRDefault="00FA0F97" w:rsidP="00206B14">
      <w:pPr>
        <w:spacing w:before="180" w:after="180"/>
        <w:jc w:val="both"/>
        <w:rPr>
          <w:rFonts w:ascii="ITC Avant Garde" w:hAnsi="ITC Avant Garde" w:cs="Arial"/>
        </w:rPr>
      </w:pPr>
      <w:r w:rsidRPr="00C032D9">
        <w:rPr>
          <w:rFonts w:ascii="ITC Avant Garde" w:hAnsi="ITC Avant Garde" w:cs="Arial"/>
        </w:rPr>
        <w:lastRenderedPageBreak/>
        <w:t xml:space="preserve">Por lo anterior, se observa que el objetivo de la política en materia de tarifas de interconexión que ha definido el Instituto es regular y promover la competencia y el desarrollo eficiente de las telecomunicaciones y que en el contexto actual dicho objetivo se cumple mediante la aplicación de la ya señalada Metodología de Costos, la cual en el caso de las tarifas de terminación, consiste en el cálculo de costos con base en el </w:t>
      </w:r>
      <w:proofErr w:type="spellStart"/>
      <w:r w:rsidRPr="00C032D9">
        <w:rPr>
          <w:rFonts w:ascii="ITC Avant Garde" w:hAnsi="ITC Avant Garde" w:cs="Arial"/>
        </w:rPr>
        <w:t>CILP</w:t>
      </w:r>
      <w:proofErr w:type="spellEnd"/>
      <w:r w:rsidRPr="00C032D9">
        <w:rPr>
          <w:rFonts w:ascii="ITC Avant Garde" w:hAnsi="ITC Avant Garde" w:cs="Arial"/>
        </w:rPr>
        <w:t xml:space="preserve"> Puro.</w:t>
      </w:r>
    </w:p>
    <w:p w:rsidR="00FA0F97" w:rsidRPr="00C032D9" w:rsidRDefault="00FA0F97" w:rsidP="00206B14">
      <w:pPr>
        <w:spacing w:before="180" w:after="180"/>
        <w:jc w:val="both"/>
        <w:rPr>
          <w:rFonts w:ascii="ITC Avant Garde" w:hAnsi="ITC Avant Garde" w:cs="Arial"/>
        </w:rPr>
      </w:pPr>
      <w:r w:rsidRPr="00C032D9">
        <w:rPr>
          <w:rFonts w:ascii="ITC Avant Garde" w:hAnsi="ITC Avant Garde" w:cs="Arial"/>
        </w:rPr>
        <w:t>En este tenor, a efecto de ser consistente con lo ya determinado por el Instituto en diversos Acuerdos de carácter general, no es procedente la determinación de un esquema de acuerdos compensatorios para este caso en particular, debido a que dichos acuerdos compensatorios tendrían efectos prácticos en las tarifas de interconexión por terminación, para las cuales el Instituto ya ha definido lo que consideró una política regulatoria adecuada en el contexto actual del sector.</w:t>
      </w:r>
    </w:p>
    <w:p w:rsidR="00FA0F97" w:rsidRPr="00C032D9" w:rsidRDefault="00FA0F97" w:rsidP="00206B14">
      <w:pPr>
        <w:spacing w:before="180" w:after="180"/>
        <w:jc w:val="both"/>
        <w:rPr>
          <w:rFonts w:ascii="ITC Avant Garde" w:hAnsi="ITC Avant Garde"/>
          <w:bCs/>
        </w:rPr>
      </w:pPr>
      <w:r w:rsidRPr="00C032D9">
        <w:rPr>
          <w:rFonts w:ascii="ITC Avant Garde" w:hAnsi="ITC Avant Garde" w:cs="Arial"/>
        </w:rPr>
        <w:t xml:space="preserve">Es así que en una interpretación armónica de los preceptos legales anteriormente referidos, no ha lugar a que este Instituto ordene la suscripción de acuerdos compensatorios entre Axtel, </w:t>
      </w:r>
      <w:proofErr w:type="spellStart"/>
      <w:r w:rsidRPr="00C032D9">
        <w:rPr>
          <w:rFonts w:ascii="ITC Avant Garde" w:hAnsi="ITC Avant Garde" w:cs="Arial"/>
        </w:rPr>
        <w:t>Avantel</w:t>
      </w:r>
      <w:proofErr w:type="spellEnd"/>
      <w:r w:rsidRPr="00C032D9">
        <w:rPr>
          <w:rFonts w:ascii="ITC Avant Garde" w:hAnsi="ITC Avant Garde" w:cs="Arial"/>
        </w:rPr>
        <w:t xml:space="preserve"> y Grupo AT&amp;T.</w:t>
      </w:r>
    </w:p>
    <w:p w:rsidR="00FA0F97" w:rsidRPr="00C032D9" w:rsidRDefault="00FA0F97" w:rsidP="00206B14">
      <w:pPr>
        <w:spacing w:before="180" w:after="180"/>
        <w:jc w:val="both"/>
        <w:rPr>
          <w:rFonts w:ascii="ITC Avant Garde" w:hAnsi="ITC Avant Garde" w:cs="Arial"/>
        </w:rPr>
      </w:pPr>
      <w:r w:rsidRPr="00C032D9">
        <w:rPr>
          <w:rFonts w:ascii="ITC Avant Garde" w:hAnsi="ITC Avant Garde" w:cs="Arial"/>
        </w:rPr>
        <w:t>Por otra parte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LFTyR, la presente Resolución será inscrita en el Registro Público de Telecomunicaciones a cargo del propio Instituto.</w:t>
      </w:r>
    </w:p>
    <w:p w:rsidR="00FA0F97" w:rsidRPr="00C032D9" w:rsidRDefault="00FA0F97" w:rsidP="00206B14">
      <w:pPr>
        <w:spacing w:before="180" w:after="180"/>
        <w:ind w:right="20"/>
        <w:jc w:val="both"/>
        <w:rPr>
          <w:rFonts w:ascii="ITC Avant Garde" w:hAnsi="ITC Avant Garde" w:cs="Arial"/>
        </w:rPr>
      </w:pPr>
      <w:r w:rsidRPr="00C032D9">
        <w:rPr>
          <w:rFonts w:ascii="ITC Avant Garde" w:hAnsi="ITC Avant Garde" w:cs="Arial"/>
        </w:rPr>
        <w:t xml:space="preserve">Lo anterior, sin perjuicio de que Axtel, </w:t>
      </w:r>
      <w:proofErr w:type="spellStart"/>
      <w:r w:rsidRPr="00C032D9">
        <w:rPr>
          <w:rFonts w:ascii="ITC Avant Garde" w:hAnsi="ITC Avant Garde" w:cs="Arial"/>
        </w:rPr>
        <w:t>Avantel</w:t>
      </w:r>
      <w:proofErr w:type="spellEnd"/>
      <w:r w:rsidRPr="00C032D9">
        <w:rPr>
          <w:rFonts w:ascii="ITC Avant Garde" w:hAnsi="ITC Avant Garde" w:cs="Arial"/>
        </w:rPr>
        <w:t xml:space="preserve"> y Grupo AT&amp;T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 fracción VII de la LFTyR.</w:t>
      </w:r>
    </w:p>
    <w:p w:rsidR="00FA0F97" w:rsidRPr="00C032D9" w:rsidRDefault="00FA0F97" w:rsidP="00206B14">
      <w:pPr>
        <w:spacing w:before="180" w:after="180"/>
        <w:ind w:right="20"/>
        <w:jc w:val="both"/>
        <w:rPr>
          <w:rFonts w:ascii="ITC Avant Garde" w:hAnsi="ITC Avant Garde" w:cs="Arial"/>
        </w:rPr>
      </w:pPr>
      <w:bookmarkStart w:id="9" w:name="fundamentos"/>
      <w:r w:rsidRPr="00C032D9">
        <w:rPr>
          <w:rFonts w:ascii="ITC Avant Garde" w:hAnsi="ITC Avant Garde" w:cs="Arial"/>
        </w:rPr>
        <w:t xml:space="preserve">Con base en lo anterior y con fundamento en lo dispuesto por los artículos 28, párrafo décimo quinto y décimo sexto de la Constitución Política de los Estados Unidos Mexicanos, 6, fracciones IV y VII, 15, fracción X, 17, fracción I, 125, 128 y 129, 176, 177 fracción VII, 312 y 313 de la Ley Federal de Telecomunicaciones y Radiodifusión; 16 fracción X, 32, 35, fracción I, 36, 38, 39 y 57 fracción I de la Ley Federal de Procedimiento Administrativo, 197, 203, 210-A y 218 del Código Federal de Procedimientos Civiles,  y 4 fracción I y 6, fracción XXXVII del Estatuto Orgánico del Instituto Federal de </w:t>
      </w:r>
      <w:r w:rsidRPr="00C032D9">
        <w:rPr>
          <w:rFonts w:ascii="ITC Avant Garde" w:hAnsi="ITC Avant Garde" w:cs="Arial"/>
        </w:rPr>
        <w:lastRenderedPageBreak/>
        <w:t>Telecomunicaciones, el Pleno del Instituto Federal de Telecomunicaciones emite los siguientes:</w:t>
      </w:r>
    </w:p>
    <w:bookmarkEnd w:id="9"/>
    <w:p w:rsidR="00FA0F97" w:rsidRPr="00206B14" w:rsidRDefault="00FA0F97" w:rsidP="00206B14">
      <w:pPr>
        <w:pStyle w:val="Ttulo2"/>
        <w:spacing w:before="180" w:after="180"/>
        <w:jc w:val="center"/>
        <w:rPr>
          <w:rFonts w:ascii="ITC Avant Garde" w:hAnsi="ITC Avant Garde"/>
        </w:rPr>
      </w:pPr>
      <w:r w:rsidRPr="00206B14">
        <w:rPr>
          <w:rFonts w:ascii="ITC Avant Garde" w:hAnsi="ITC Avant Garde"/>
        </w:rPr>
        <w:t>RESOLUTIVOS</w:t>
      </w:r>
    </w:p>
    <w:p w:rsidR="00FA0F97" w:rsidRPr="00206B14" w:rsidRDefault="00FA0F97" w:rsidP="00206B14">
      <w:pPr>
        <w:spacing w:before="180" w:after="180"/>
        <w:jc w:val="both"/>
        <w:rPr>
          <w:rFonts w:ascii="ITC Avant Garde" w:eastAsia="Times New Roman" w:hAnsi="ITC Avant Garde"/>
          <w:lang w:eastAsia="es-ES"/>
        </w:rPr>
      </w:pPr>
      <w:r w:rsidRPr="00206B14">
        <w:rPr>
          <w:rFonts w:ascii="ITC Avant Garde" w:eastAsia="Times New Roman" w:hAnsi="ITC Avant Garde"/>
          <w:b/>
          <w:lang w:eastAsia="es-ES"/>
        </w:rPr>
        <w:t>PRIMERO.-</w:t>
      </w:r>
      <w:r w:rsidRPr="00206B14">
        <w:rPr>
          <w:rFonts w:ascii="ITC Avant Garde" w:eastAsia="Times New Roman" w:hAnsi="ITC Avant Garde"/>
          <w:lang w:eastAsia="es-ES"/>
        </w:rPr>
        <w:t xml:space="preserve"> La tarifa de interconexión que Axtel, S.A.B. de C.V. y </w:t>
      </w:r>
      <w:proofErr w:type="spellStart"/>
      <w:r w:rsidRPr="00206B14">
        <w:rPr>
          <w:rFonts w:ascii="ITC Avant Garde" w:eastAsia="Times New Roman" w:hAnsi="ITC Avant Garde"/>
          <w:lang w:eastAsia="es-ES"/>
        </w:rPr>
        <w:t>Avantel</w:t>
      </w:r>
      <w:proofErr w:type="spellEnd"/>
      <w:r w:rsidRPr="00206B14">
        <w:rPr>
          <w:rFonts w:ascii="ITC Avant Garde" w:eastAsia="Times New Roman" w:hAnsi="ITC Avant Garde"/>
          <w:lang w:eastAsia="es-ES"/>
        </w:rPr>
        <w:t xml:space="preserve">, S. de R.L. de C.V., deberán pagar a las empresas AT&amp;T </w:t>
      </w:r>
      <w:proofErr w:type="spellStart"/>
      <w:r w:rsidRPr="00206B14">
        <w:rPr>
          <w:rFonts w:ascii="ITC Avant Garde" w:eastAsia="Times New Roman" w:hAnsi="ITC Avant Garde"/>
          <w:lang w:eastAsia="es-ES"/>
        </w:rPr>
        <w:t>Opco</w:t>
      </w:r>
      <w:proofErr w:type="spellEnd"/>
      <w:r w:rsidRPr="00206B14">
        <w:rPr>
          <w:rFonts w:ascii="ITC Avant Garde" w:eastAsia="Times New Roman" w:hAnsi="ITC Avant Garde"/>
          <w:lang w:eastAsia="es-ES"/>
        </w:rPr>
        <w:t xml:space="preserve"> Une </w:t>
      </w:r>
      <w:proofErr w:type="spellStart"/>
      <w:r w:rsidRPr="00206B14">
        <w:rPr>
          <w:rFonts w:ascii="ITC Avant Garde" w:eastAsia="Times New Roman" w:hAnsi="ITC Avant Garde"/>
          <w:lang w:eastAsia="es-ES"/>
        </w:rPr>
        <w:t>Mex</w:t>
      </w:r>
      <w:proofErr w:type="spellEnd"/>
      <w:r w:rsidRPr="00206B14">
        <w:rPr>
          <w:rFonts w:ascii="ITC Avant Garde" w:eastAsia="Times New Roman" w:hAnsi="ITC Avant Garde"/>
          <w:lang w:eastAsia="es-ES"/>
        </w:rPr>
        <w:t xml:space="preserve">, S. de R.L. de C.V., AT&amp;T Desarrollo en Comunicaciones de México, S. de R.L. de C.V., AT&amp;T Del Golfo, S. de R.L. de C.V., AT&amp;T </w:t>
      </w:r>
      <w:proofErr w:type="spellStart"/>
      <w:r w:rsidRPr="00206B14">
        <w:rPr>
          <w:rFonts w:ascii="ITC Avant Garde" w:eastAsia="Times New Roman" w:hAnsi="ITC Avant Garde"/>
          <w:lang w:eastAsia="es-ES"/>
        </w:rPr>
        <w:t>Comcentro</w:t>
      </w:r>
      <w:proofErr w:type="spellEnd"/>
      <w:r w:rsidRPr="00206B14">
        <w:rPr>
          <w:rFonts w:ascii="ITC Avant Garde" w:eastAsia="Times New Roman" w:hAnsi="ITC Avant Garde"/>
          <w:lang w:eastAsia="es-ES"/>
        </w:rPr>
        <w:t>, S. de R.L. de C.V., AT&amp;T del Occidente, S. de R.L. de C.V., AT&amp;T Sureste, S. de R.L. de C.V., AT&amp;T Norte, S. de R.L. de C.V. y AT&amp;T Central, S. de R.L. de C.V., por servicios de terminación del Servicio Local en usuarios móviles bajo la modalidad “El que llama paga”, será la siguiente:</w:t>
      </w:r>
    </w:p>
    <w:p w:rsidR="00FA0F97" w:rsidRPr="00C032D9" w:rsidRDefault="00FA0F97" w:rsidP="00206B14">
      <w:pPr>
        <w:pStyle w:val="Prrafodelista"/>
        <w:numPr>
          <w:ilvl w:val="0"/>
          <w:numId w:val="21"/>
        </w:numPr>
        <w:spacing w:before="180" w:after="180" w:line="276" w:lineRule="auto"/>
        <w:rPr>
          <w:rFonts w:ascii="ITC Avant Garde" w:hAnsi="ITC Avant Garde" w:cs="Arial"/>
          <w:b/>
        </w:rPr>
      </w:pPr>
      <w:r w:rsidRPr="00C032D9">
        <w:rPr>
          <w:rFonts w:ascii="ITC Avant Garde" w:hAnsi="ITC Avant Garde" w:cs="Arial"/>
          <w:b/>
        </w:rPr>
        <w:t>Del 1 de enero al 31 de diciembre de 2016, $0.1869 pesos M.N. por minuto de interconexión.</w:t>
      </w:r>
    </w:p>
    <w:p w:rsidR="00FA0F97" w:rsidRPr="00C032D9" w:rsidRDefault="00FA0F97" w:rsidP="00206B14">
      <w:pPr>
        <w:spacing w:before="180" w:after="180"/>
        <w:jc w:val="both"/>
        <w:rPr>
          <w:rFonts w:ascii="ITC Avant Garde" w:eastAsia="Times New Roman" w:hAnsi="ITC Avant Garde"/>
          <w:lang w:eastAsia="es-ES"/>
        </w:rPr>
      </w:pPr>
      <w:r w:rsidRPr="00C032D9">
        <w:rPr>
          <w:rFonts w:ascii="ITC Avant Garde" w:eastAsia="Times New Roman" w:hAnsi="ITC Avant Garde"/>
          <w:lang w:eastAsia="es-ES"/>
        </w:rPr>
        <w:t>La tarifa anterior ya incluye el costo correspondiente a los puertos necesarios para la interconexión.</w:t>
      </w:r>
    </w:p>
    <w:p w:rsidR="00FA0F97" w:rsidRPr="00206B14" w:rsidRDefault="00FA0F97" w:rsidP="00206B14">
      <w:pPr>
        <w:spacing w:before="180" w:after="180"/>
        <w:jc w:val="both"/>
        <w:rPr>
          <w:rFonts w:ascii="ITC Avant Garde" w:eastAsia="Times New Roman" w:hAnsi="ITC Avant Garde"/>
          <w:lang w:eastAsia="es-ES"/>
        </w:rPr>
      </w:pPr>
      <w:r w:rsidRPr="00206B14">
        <w:rPr>
          <w:rFonts w:ascii="ITC Avant Garde" w:eastAsia="Times New Roman" w:hAnsi="ITC Avant Garde"/>
          <w:b/>
          <w:lang w:eastAsia="es-ES"/>
        </w:rPr>
        <w:t>SEGUNDO.-</w:t>
      </w:r>
      <w:r w:rsidRPr="00206B14">
        <w:rPr>
          <w:rFonts w:ascii="ITC Avant Garde" w:eastAsia="Times New Roman" w:hAnsi="ITC Avant Garde"/>
          <w:lang w:eastAsia="es-ES"/>
        </w:rPr>
        <w:t xml:space="preserve"> La tarifa de interconexión que AT&amp;T </w:t>
      </w:r>
      <w:proofErr w:type="spellStart"/>
      <w:r w:rsidRPr="00206B14">
        <w:rPr>
          <w:rFonts w:ascii="ITC Avant Garde" w:eastAsia="Times New Roman" w:hAnsi="ITC Avant Garde"/>
          <w:lang w:eastAsia="es-ES"/>
        </w:rPr>
        <w:t>Opco</w:t>
      </w:r>
      <w:proofErr w:type="spellEnd"/>
      <w:r w:rsidRPr="00206B14">
        <w:rPr>
          <w:rFonts w:ascii="ITC Avant Garde" w:eastAsia="Times New Roman" w:hAnsi="ITC Avant Garde"/>
          <w:lang w:eastAsia="es-ES"/>
        </w:rPr>
        <w:t xml:space="preserve"> Une </w:t>
      </w:r>
      <w:proofErr w:type="spellStart"/>
      <w:r w:rsidRPr="00206B14">
        <w:rPr>
          <w:rFonts w:ascii="ITC Avant Garde" w:eastAsia="Times New Roman" w:hAnsi="ITC Avant Garde"/>
          <w:lang w:eastAsia="es-ES"/>
        </w:rPr>
        <w:t>Mex</w:t>
      </w:r>
      <w:proofErr w:type="spellEnd"/>
      <w:r w:rsidRPr="00206B14">
        <w:rPr>
          <w:rFonts w:ascii="ITC Avant Garde" w:eastAsia="Times New Roman" w:hAnsi="ITC Avant Garde"/>
          <w:lang w:eastAsia="es-ES"/>
        </w:rPr>
        <w:t xml:space="preserve">, S. de R.L. de C.V., AT&amp;T Desarrollo en Comunicaciones de México, S. de R.L. de C.V., AT&amp;T Del Golfo, S. de R.L. de C.V., AT&amp;T </w:t>
      </w:r>
      <w:proofErr w:type="spellStart"/>
      <w:r w:rsidRPr="00206B14">
        <w:rPr>
          <w:rFonts w:ascii="ITC Avant Garde" w:eastAsia="Times New Roman" w:hAnsi="ITC Avant Garde"/>
          <w:lang w:eastAsia="es-ES"/>
        </w:rPr>
        <w:t>Comcentro</w:t>
      </w:r>
      <w:proofErr w:type="spellEnd"/>
      <w:r w:rsidRPr="00206B14">
        <w:rPr>
          <w:rFonts w:ascii="ITC Avant Garde" w:eastAsia="Times New Roman" w:hAnsi="ITC Avant Garde"/>
          <w:lang w:eastAsia="es-ES"/>
        </w:rPr>
        <w:t xml:space="preserve">, S. de R.L. de C.V., AT&amp;T del Occidente, S. de R.L. de C.V., AT&amp;T Sureste, S. de R.L. de C.V., AT&amp;T Norte, S. de R.L. de C.V. y AT&amp;T Central, S. de R.L. de C.V., deberán pagar a Axtel, S.A.B. de C.V. y </w:t>
      </w:r>
      <w:proofErr w:type="spellStart"/>
      <w:r w:rsidRPr="00206B14">
        <w:rPr>
          <w:rFonts w:ascii="ITC Avant Garde" w:eastAsia="Times New Roman" w:hAnsi="ITC Avant Garde"/>
          <w:lang w:eastAsia="es-ES"/>
        </w:rPr>
        <w:t>Avantel</w:t>
      </w:r>
      <w:proofErr w:type="spellEnd"/>
      <w:r w:rsidRPr="00206B14">
        <w:rPr>
          <w:rFonts w:ascii="ITC Avant Garde" w:eastAsia="Times New Roman" w:hAnsi="ITC Avant Garde"/>
          <w:lang w:eastAsia="es-ES"/>
        </w:rPr>
        <w:t>, S. de R.L. de C.V., por servicios de terminación del Servicio Local en usuarios fijos, será la siguiente:</w:t>
      </w:r>
    </w:p>
    <w:p w:rsidR="00FA0F97" w:rsidRPr="00C032D9" w:rsidRDefault="00FA0F97" w:rsidP="00206B14">
      <w:pPr>
        <w:pStyle w:val="Prrafodelista"/>
        <w:numPr>
          <w:ilvl w:val="0"/>
          <w:numId w:val="21"/>
        </w:numPr>
        <w:spacing w:before="180" w:after="180" w:line="276" w:lineRule="auto"/>
        <w:rPr>
          <w:rFonts w:ascii="ITC Avant Garde" w:hAnsi="ITC Avant Garde" w:cs="Arial"/>
          <w:b/>
        </w:rPr>
      </w:pPr>
      <w:r w:rsidRPr="00C032D9">
        <w:rPr>
          <w:rFonts w:ascii="ITC Avant Garde" w:hAnsi="ITC Avant Garde" w:cs="Arial"/>
          <w:b/>
        </w:rPr>
        <w:t>Del 1 de enero al 31 de diciembre de 2016, $0.003088 pesos M.N. por minuto de interconexión.</w:t>
      </w:r>
    </w:p>
    <w:p w:rsidR="00FA0F97" w:rsidRPr="00C032D9" w:rsidRDefault="00FA0F97" w:rsidP="00206B14">
      <w:pPr>
        <w:spacing w:before="180" w:after="180"/>
        <w:jc w:val="both"/>
        <w:rPr>
          <w:rFonts w:ascii="ITC Avant Garde" w:eastAsia="Times New Roman" w:hAnsi="ITC Avant Garde"/>
          <w:lang w:eastAsia="es-ES"/>
        </w:rPr>
      </w:pPr>
      <w:r w:rsidRPr="00C032D9">
        <w:rPr>
          <w:rFonts w:ascii="ITC Avant Garde" w:eastAsia="Times New Roman" w:hAnsi="ITC Avant Garde"/>
          <w:lang w:eastAsia="es-ES"/>
        </w:rPr>
        <w:t>La tarifa anterior ya incluye el costo correspondiente a los puertos necesarios para la interconexión.</w:t>
      </w:r>
    </w:p>
    <w:p w:rsidR="00FA0F97" w:rsidRPr="00C032D9" w:rsidRDefault="00FA0F97" w:rsidP="00206B14">
      <w:pPr>
        <w:spacing w:before="180" w:after="180"/>
        <w:jc w:val="both"/>
        <w:rPr>
          <w:rFonts w:ascii="ITC Avant Garde" w:hAnsi="ITC Avant Garde" w:cs="Arial"/>
        </w:rPr>
      </w:pPr>
      <w:r w:rsidRPr="00C032D9">
        <w:rPr>
          <w:rFonts w:ascii="ITC Avant Garde" w:eastAsia="Times New Roman" w:hAnsi="ITC Avant Garde"/>
          <w:b/>
          <w:bCs/>
          <w:lang w:eastAsia="es-ES"/>
        </w:rPr>
        <w:t>TERCERO.-</w:t>
      </w:r>
      <w:r w:rsidRPr="00C032D9">
        <w:rPr>
          <w:rFonts w:ascii="ITC Avant Garde" w:hAnsi="ITC Avant Garde"/>
        </w:rPr>
        <w:t xml:space="preserve"> </w:t>
      </w:r>
      <w:r w:rsidRPr="00C032D9">
        <w:rPr>
          <w:rFonts w:ascii="ITC Avant Garde" w:hAnsi="ITC Avant Garde" w:cs="Arial"/>
        </w:rPr>
        <w:t>Las contraprestaciones a las que se refieren los resolutivos PRIMERO y SEGUNDO, se calcularán sumando la duración de todas las llamadas completadas en el período de facturación correspondiente, medidas en segundos, y multiplicando los minutos equivalentes a dicha suma, por la tarifa correspondiente.</w:t>
      </w:r>
    </w:p>
    <w:p w:rsidR="00FA0F97" w:rsidRPr="00C032D9" w:rsidRDefault="00FA0F97" w:rsidP="00206B14">
      <w:pPr>
        <w:spacing w:before="180" w:after="180"/>
        <w:jc w:val="both"/>
        <w:rPr>
          <w:rFonts w:ascii="ITC Avant Garde" w:eastAsia="Times New Roman" w:hAnsi="ITC Avant Garde"/>
          <w:lang w:eastAsia="es-ES"/>
        </w:rPr>
      </w:pPr>
      <w:r w:rsidRPr="00C032D9">
        <w:rPr>
          <w:rFonts w:ascii="ITC Avant Garde" w:hAnsi="ITC Avant Garde"/>
          <w:b/>
        </w:rPr>
        <w:t>CUARTO.-</w:t>
      </w:r>
      <w:r w:rsidRPr="00C032D9">
        <w:rPr>
          <w:rFonts w:ascii="ITC Avant Garde" w:hAnsi="ITC Avant Garde" w:cs="Arial"/>
          <w:b/>
        </w:rPr>
        <w:t xml:space="preserve"> </w:t>
      </w:r>
      <w:r w:rsidRPr="00C032D9">
        <w:rPr>
          <w:rFonts w:ascii="ITC Avant Garde" w:hAnsi="ITC Avant Garde"/>
        </w:rPr>
        <w:t xml:space="preserve">No ha lugar a la suscripción del acuerdo compensatorio denominado Bill &amp; </w:t>
      </w:r>
      <w:proofErr w:type="spellStart"/>
      <w:r w:rsidRPr="00C032D9">
        <w:rPr>
          <w:rFonts w:ascii="ITC Avant Garde" w:hAnsi="ITC Avant Garde"/>
        </w:rPr>
        <w:t>Keep</w:t>
      </w:r>
      <w:proofErr w:type="spellEnd"/>
      <w:r w:rsidRPr="00C032D9">
        <w:rPr>
          <w:rFonts w:ascii="ITC Avant Garde" w:hAnsi="ITC Avant Garde"/>
        </w:rPr>
        <w:t xml:space="preserve"> entre Axtel, S.A.B. de C.V., </w:t>
      </w:r>
      <w:proofErr w:type="spellStart"/>
      <w:r w:rsidRPr="00C032D9">
        <w:rPr>
          <w:rFonts w:ascii="ITC Avant Garde" w:hAnsi="ITC Avant Garde"/>
        </w:rPr>
        <w:t>Avantel</w:t>
      </w:r>
      <w:proofErr w:type="spellEnd"/>
      <w:r w:rsidRPr="00C032D9">
        <w:rPr>
          <w:rFonts w:ascii="ITC Avant Garde" w:hAnsi="ITC Avant Garde"/>
        </w:rPr>
        <w:t xml:space="preserve">, S. de R.L. de C.V. y las empresas </w:t>
      </w:r>
      <w:r w:rsidRPr="00C032D9">
        <w:rPr>
          <w:rFonts w:ascii="ITC Avant Garde" w:eastAsia="Times New Roman" w:hAnsi="ITC Avant Garde"/>
          <w:bCs/>
          <w:iCs/>
          <w:lang w:eastAsia="es-ES"/>
        </w:rPr>
        <w:t xml:space="preserve">AT&amp;T </w:t>
      </w:r>
      <w:proofErr w:type="spellStart"/>
      <w:r w:rsidRPr="00C032D9">
        <w:rPr>
          <w:rFonts w:ascii="ITC Avant Garde" w:eastAsia="Times New Roman" w:hAnsi="ITC Avant Garde"/>
          <w:bCs/>
          <w:iCs/>
          <w:lang w:eastAsia="es-ES"/>
        </w:rPr>
        <w:t>Opco</w:t>
      </w:r>
      <w:proofErr w:type="spellEnd"/>
      <w:r w:rsidRPr="00C032D9">
        <w:rPr>
          <w:rFonts w:ascii="ITC Avant Garde" w:eastAsia="Times New Roman" w:hAnsi="ITC Avant Garde"/>
          <w:bCs/>
          <w:iCs/>
          <w:lang w:eastAsia="es-ES"/>
        </w:rPr>
        <w:t xml:space="preserve"> Une </w:t>
      </w:r>
      <w:proofErr w:type="spellStart"/>
      <w:r w:rsidRPr="00C032D9">
        <w:rPr>
          <w:rFonts w:ascii="ITC Avant Garde" w:eastAsia="Times New Roman" w:hAnsi="ITC Avant Garde"/>
          <w:bCs/>
          <w:iCs/>
          <w:lang w:eastAsia="es-ES"/>
        </w:rPr>
        <w:t>Mex</w:t>
      </w:r>
      <w:proofErr w:type="spellEnd"/>
      <w:r w:rsidRPr="00C032D9">
        <w:rPr>
          <w:rFonts w:ascii="ITC Avant Garde" w:eastAsia="Times New Roman" w:hAnsi="ITC Avant Garde"/>
          <w:bCs/>
          <w:iCs/>
          <w:lang w:eastAsia="es-ES"/>
        </w:rPr>
        <w:t xml:space="preserve">, S. de R.L. de C.V., AT&amp;T Desarrollo en Comunicaciones de México, S. de R.L. de C.V., AT&amp;T Del Golfo, S. de R.L. de C.V., AT&amp;T </w:t>
      </w:r>
      <w:proofErr w:type="spellStart"/>
      <w:r w:rsidRPr="00C032D9">
        <w:rPr>
          <w:rFonts w:ascii="ITC Avant Garde" w:eastAsia="Times New Roman" w:hAnsi="ITC Avant Garde"/>
          <w:bCs/>
          <w:iCs/>
          <w:lang w:eastAsia="es-ES"/>
        </w:rPr>
        <w:t>Comcentro</w:t>
      </w:r>
      <w:proofErr w:type="spellEnd"/>
      <w:r w:rsidRPr="00C032D9">
        <w:rPr>
          <w:rFonts w:ascii="ITC Avant Garde" w:eastAsia="Times New Roman" w:hAnsi="ITC Avant Garde"/>
          <w:bCs/>
          <w:iCs/>
          <w:lang w:eastAsia="es-ES"/>
        </w:rPr>
        <w:t>, S. de R.L. de C.V., AT&amp;T del Occidente, S. de R.L. de C.V., AT&amp;T Sureste, S. de R.L. de C.V., AT&amp;T Norte, S. de R.L. de C.V. y AT&amp;T Central, S. de R.L. de C.V.</w:t>
      </w:r>
    </w:p>
    <w:p w:rsidR="00FA0F97" w:rsidRPr="00C032D9" w:rsidRDefault="00FA0F97" w:rsidP="00206B14">
      <w:pPr>
        <w:spacing w:before="180" w:after="180"/>
        <w:jc w:val="both"/>
        <w:rPr>
          <w:rFonts w:ascii="ITC Avant Garde" w:hAnsi="ITC Avant Garde" w:cs="Arial"/>
        </w:rPr>
      </w:pPr>
      <w:r w:rsidRPr="00C032D9">
        <w:rPr>
          <w:rFonts w:ascii="ITC Avant Garde" w:hAnsi="ITC Avant Garde" w:cs="Arial"/>
          <w:b/>
        </w:rPr>
        <w:lastRenderedPageBreak/>
        <w:t xml:space="preserve">QUINTO.- </w:t>
      </w:r>
      <w:r w:rsidRPr="00C032D9">
        <w:rPr>
          <w:rFonts w:ascii="ITC Avant Garde" w:hAnsi="ITC Avant Garde" w:cs="Arial"/>
        </w:rPr>
        <w:t xml:space="preserve">Dentro de los 10 (diez)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las empresas </w:t>
      </w:r>
      <w:r w:rsidRPr="00C032D9">
        <w:rPr>
          <w:rFonts w:ascii="ITC Avant Garde" w:eastAsia="Times New Roman" w:hAnsi="ITC Avant Garde"/>
          <w:bCs/>
          <w:lang w:val="es-ES" w:eastAsia="es-ES"/>
        </w:rPr>
        <w:t xml:space="preserve">Axtel, S.A.B. de C.V., </w:t>
      </w:r>
      <w:proofErr w:type="spellStart"/>
      <w:r w:rsidRPr="00C032D9">
        <w:rPr>
          <w:rFonts w:ascii="ITC Avant Garde" w:eastAsia="Times New Roman" w:hAnsi="ITC Avant Garde"/>
          <w:bCs/>
          <w:lang w:val="es-ES" w:eastAsia="es-ES"/>
        </w:rPr>
        <w:t>Avantel</w:t>
      </w:r>
      <w:proofErr w:type="spellEnd"/>
      <w:r w:rsidRPr="00C032D9">
        <w:rPr>
          <w:rFonts w:ascii="ITC Avant Garde" w:eastAsia="Times New Roman" w:hAnsi="ITC Avant Garde"/>
          <w:bCs/>
          <w:lang w:val="es-ES" w:eastAsia="es-ES"/>
        </w:rPr>
        <w:t xml:space="preserve">, S. de R.L. de C.V., y </w:t>
      </w:r>
      <w:r w:rsidRPr="00C032D9">
        <w:rPr>
          <w:rFonts w:ascii="ITC Avant Garde" w:hAnsi="ITC Avant Garde"/>
        </w:rPr>
        <w:t xml:space="preserve">las empresas </w:t>
      </w:r>
      <w:r w:rsidRPr="00C032D9">
        <w:rPr>
          <w:rFonts w:ascii="ITC Avant Garde" w:eastAsia="Times New Roman" w:hAnsi="ITC Avant Garde"/>
          <w:bCs/>
          <w:iCs/>
          <w:lang w:eastAsia="es-ES"/>
        </w:rPr>
        <w:t xml:space="preserve">AT&amp;T </w:t>
      </w:r>
      <w:proofErr w:type="spellStart"/>
      <w:r w:rsidRPr="00C032D9">
        <w:rPr>
          <w:rFonts w:ascii="ITC Avant Garde" w:eastAsia="Times New Roman" w:hAnsi="ITC Avant Garde"/>
          <w:bCs/>
          <w:iCs/>
          <w:lang w:eastAsia="es-ES"/>
        </w:rPr>
        <w:t>Opco</w:t>
      </w:r>
      <w:proofErr w:type="spellEnd"/>
      <w:r w:rsidRPr="00C032D9">
        <w:rPr>
          <w:rFonts w:ascii="ITC Avant Garde" w:eastAsia="Times New Roman" w:hAnsi="ITC Avant Garde"/>
          <w:bCs/>
          <w:iCs/>
          <w:lang w:eastAsia="es-ES"/>
        </w:rPr>
        <w:t xml:space="preserve"> Une </w:t>
      </w:r>
      <w:proofErr w:type="spellStart"/>
      <w:r w:rsidRPr="00C032D9">
        <w:rPr>
          <w:rFonts w:ascii="ITC Avant Garde" w:eastAsia="Times New Roman" w:hAnsi="ITC Avant Garde"/>
          <w:bCs/>
          <w:iCs/>
          <w:lang w:eastAsia="es-ES"/>
        </w:rPr>
        <w:t>Mex</w:t>
      </w:r>
      <w:proofErr w:type="spellEnd"/>
      <w:r w:rsidRPr="00C032D9">
        <w:rPr>
          <w:rFonts w:ascii="ITC Avant Garde" w:eastAsia="Times New Roman" w:hAnsi="ITC Avant Garde"/>
          <w:bCs/>
          <w:iCs/>
          <w:lang w:eastAsia="es-ES"/>
        </w:rPr>
        <w:t xml:space="preserve">, S. de R.L. de C.V., AT&amp;T Desarrollo en Comunicaciones de México, S. de R.L. de C.V., AT&amp;T Del Golfo, S. de R.L. de C.V., AT&amp;T </w:t>
      </w:r>
      <w:proofErr w:type="spellStart"/>
      <w:r w:rsidRPr="00C032D9">
        <w:rPr>
          <w:rFonts w:ascii="ITC Avant Garde" w:eastAsia="Times New Roman" w:hAnsi="ITC Avant Garde"/>
          <w:bCs/>
          <w:iCs/>
          <w:lang w:eastAsia="es-ES"/>
        </w:rPr>
        <w:t>Comcentro</w:t>
      </w:r>
      <w:proofErr w:type="spellEnd"/>
      <w:r w:rsidRPr="00C032D9">
        <w:rPr>
          <w:rFonts w:ascii="ITC Avant Garde" w:eastAsia="Times New Roman" w:hAnsi="ITC Avant Garde"/>
          <w:bCs/>
          <w:iCs/>
          <w:lang w:eastAsia="es-ES"/>
        </w:rPr>
        <w:t xml:space="preserve">, S. de R.L. de C.V., AT&amp;T del Occidente, S. de R.L. de C.V., AT&amp;T Sureste, S. de R.L. de C.V., AT&amp;T Norte, S. de R.L. de C.V. y AT&amp;T Central, S. de R.L. de C.V., </w:t>
      </w:r>
      <w:r w:rsidRPr="00C032D9">
        <w:rPr>
          <w:rFonts w:ascii="ITC Avant Garde" w:hAnsi="ITC Avant Garde" w:cs="Arial"/>
        </w:rPr>
        <w:t>deberán celebrar los convenios de interconexión respectivos de sus redes públicas de telecomunicaciones conforme a los términos y condiciones de la presente resolución y lo determinado en los Resolutivos PRIMERO, SEGUNDO y TERCERO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rsidR="00FA0F97" w:rsidRPr="00C032D9" w:rsidRDefault="00FA0F97" w:rsidP="00206B14">
      <w:pPr>
        <w:spacing w:before="180" w:after="180"/>
        <w:jc w:val="both"/>
        <w:rPr>
          <w:rFonts w:ascii="ITC Avant Garde" w:hAnsi="ITC Avant Garde" w:cs="Arial"/>
          <w:b/>
        </w:rPr>
      </w:pPr>
      <w:r w:rsidRPr="00C032D9">
        <w:rPr>
          <w:rFonts w:ascii="ITC Avant Garde" w:eastAsia="Times New Roman" w:hAnsi="ITC Avant Garde"/>
          <w:b/>
          <w:bCs/>
          <w:lang w:eastAsia="es-ES"/>
        </w:rPr>
        <w:t>SEXTO.-</w:t>
      </w:r>
      <w:r w:rsidRPr="00C032D9">
        <w:rPr>
          <w:rFonts w:ascii="ITC Avant Garde" w:hAnsi="ITC Avant Garde"/>
        </w:rPr>
        <w:t xml:space="preserve"> </w:t>
      </w:r>
      <w:r w:rsidRPr="00C032D9">
        <w:rPr>
          <w:rFonts w:ascii="ITC Avant Garde" w:hAnsi="ITC Avant Garde"/>
          <w:shd w:val="clear" w:color="auto" w:fill="FFFFFF"/>
        </w:rPr>
        <w:t xml:space="preserve">En cumplimiento a lo dispuesto en los artículos 312 y 313 de la Ley Federal de Telecomunicaciones y Radiodifusión, se hace del conocimiento de las empresas </w:t>
      </w:r>
      <w:r w:rsidRPr="00C032D9">
        <w:rPr>
          <w:rFonts w:ascii="ITC Avant Garde" w:eastAsia="Times New Roman" w:hAnsi="ITC Avant Garde"/>
          <w:bCs/>
          <w:lang w:val="es-ES" w:eastAsia="es-ES"/>
        </w:rPr>
        <w:t xml:space="preserve">Axtel, S.A.B. de C.V., </w:t>
      </w:r>
      <w:proofErr w:type="spellStart"/>
      <w:r w:rsidRPr="00C032D9">
        <w:rPr>
          <w:rFonts w:ascii="ITC Avant Garde" w:eastAsia="Times New Roman" w:hAnsi="ITC Avant Garde"/>
          <w:bCs/>
          <w:lang w:val="es-ES" w:eastAsia="es-ES"/>
        </w:rPr>
        <w:t>Avantel</w:t>
      </w:r>
      <w:proofErr w:type="spellEnd"/>
      <w:r w:rsidRPr="00C032D9">
        <w:rPr>
          <w:rFonts w:ascii="ITC Avant Garde" w:eastAsia="Times New Roman" w:hAnsi="ITC Avant Garde"/>
          <w:bCs/>
          <w:lang w:val="es-ES" w:eastAsia="es-ES"/>
        </w:rPr>
        <w:t xml:space="preserve">, S. de R.L. de C.V., </w:t>
      </w:r>
      <w:r w:rsidRPr="00C032D9">
        <w:rPr>
          <w:rFonts w:ascii="ITC Avant Garde" w:hAnsi="ITC Avant Garde"/>
          <w:shd w:val="clear" w:color="auto" w:fill="FFFFFF"/>
        </w:rPr>
        <w:t xml:space="preserve">y </w:t>
      </w:r>
      <w:r w:rsidRPr="00C032D9">
        <w:rPr>
          <w:rFonts w:ascii="ITC Avant Garde" w:hAnsi="ITC Avant Garde"/>
        </w:rPr>
        <w:t xml:space="preserve">las empresas </w:t>
      </w:r>
      <w:r w:rsidRPr="00C032D9">
        <w:rPr>
          <w:rFonts w:ascii="ITC Avant Garde" w:eastAsia="Times New Roman" w:hAnsi="ITC Avant Garde"/>
          <w:bCs/>
          <w:iCs/>
          <w:lang w:eastAsia="es-ES"/>
        </w:rPr>
        <w:t xml:space="preserve">AT&amp;T </w:t>
      </w:r>
      <w:proofErr w:type="spellStart"/>
      <w:r w:rsidRPr="00C032D9">
        <w:rPr>
          <w:rFonts w:ascii="ITC Avant Garde" w:eastAsia="Times New Roman" w:hAnsi="ITC Avant Garde"/>
          <w:bCs/>
          <w:iCs/>
          <w:lang w:eastAsia="es-ES"/>
        </w:rPr>
        <w:t>Opco</w:t>
      </w:r>
      <w:proofErr w:type="spellEnd"/>
      <w:r w:rsidRPr="00C032D9">
        <w:rPr>
          <w:rFonts w:ascii="ITC Avant Garde" w:eastAsia="Times New Roman" w:hAnsi="ITC Avant Garde"/>
          <w:bCs/>
          <w:iCs/>
          <w:lang w:eastAsia="es-ES"/>
        </w:rPr>
        <w:t xml:space="preserve"> Une </w:t>
      </w:r>
      <w:proofErr w:type="spellStart"/>
      <w:r w:rsidRPr="00C032D9">
        <w:rPr>
          <w:rFonts w:ascii="ITC Avant Garde" w:eastAsia="Times New Roman" w:hAnsi="ITC Avant Garde"/>
          <w:bCs/>
          <w:iCs/>
          <w:lang w:eastAsia="es-ES"/>
        </w:rPr>
        <w:t>Mex</w:t>
      </w:r>
      <w:proofErr w:type="spellEnd"/>
      <w:r w:rsidRPr="00C032D9">
        <w:rPr>
          <w:rFonts w:ascii="ITC Avant Garde" w:eastAsia="Times New Roman" w:hAnsi="ITC Avant Garde"/>
          <w:bCs/>
          <w:iCs/>
          <w:lang w:eastAsia="es-ES"/>
        </w:rPr>
        <w:t xml:space="preserve">, S. de R.L. de C.V., AT&amp;T Desarrollo en Comunicaciones de México, S. de R.L. de C.V., AT&amp;T Del Golfo, S. de R.L. de C.V., AT&amp;T </w:t>
      </w:r>
      <w:proofErr w:type="spellStart"/>
      <w:r w:rsidRPr="00C032D9">
        <w:rPr>
          <w:rFonts w:ascii="ITC Avant Garde" w:eastAsia="Times New Roman" w:hAnsi="ITC Avant Garde"/>
          <w:bCs/>
          <w:iCs/>
          <w:lang w:eastAsia="es-ES"/>
        </w:rPr>
        <w:t>Comcentro</w:t>
      </w:r>
      <w:proofErr w:type="spellEnd"/>
      <w:r w:rsidRPr="00C032D9">
        <w:rPr>
          <w:rFonts w:ascii="ITC Avant Garde" w:eastAsia="Times New Roman" w:hAnsi="ITC Avant Garde"/>
          <w:bCs/>
          <w:iCs/>
          <w:lang w:eastAsia="es-ES"/>
        </w:rPr>
        <w:t xml:space="preserve">, S. de R.L. de C.V., AT&amp;T del Occidente, S. de R.L. de C.V., AT&amp;T Sureste, S. de R.L. de C.V., AT&amp;T Norte, S. de R.L. de C.V. y AT&amp;T Central, S. de R.L. de C.V.,  </w:t>
      </w:r>
      <w:r w:rsidRPr="00C032D9">
        <w:rPr>
          <w:rFonts w:ascii="ITC Avant Garde" w:hAnsi="ITC Avant Garde"/>
          <w:shd w:val="clear" w:color="auto" w:fill="FFFFFF"/>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rsidR="00FA0F97" w:rsidRDefault="00FA0F97" w:rsidP="00206B14">
      <w:pPr>
        <w:spacing w:before="180" w:after="180"/>
        <w:jc w:val="both"/>
        <w:rPr>
          <w:rFonts w:ascii="ITC Avant Garde" w:hAnsi="ITC Avant Garde" w:cs="Arial"/>
        </w:rPr>
      </w:pPr>
      <w:r w:rsidRPr="00C032D9">
        <w:rPr>
          <w:rFonts w:ascii="ITC Avant Garde" w:hAnsi="ITC Avant Garde"/>
          <w:b/>
        </w:rPr>
        <w:t xml:space="preserve">SÉPTIMO.- </w:t>
      </w:r>
      <w:r w:rsidRPr="00C032D9">
        <w:rPr>
          <w:rFonts w:ascii="ITC Avant Garde" w:hAnsi="ITC Avant Garde" w:cs="Arial"/>
        </w:rPr>
        <w:t xml:space="preserve">Notifíquese personalmente a los representantes legales de </w:t>
      </w:r>
      <w:r w:rsidRPr="00C032D9">
        <w:rPr>
          <w:rFonts w:ascii="ITC Avant Garde" w:eastAsia="Times New Roman" w:hAnsi="ITC Avant Garde"/>
          <w:bCs/>
          <w:lang w:val="es-ES" w:eastAsia="es-ES"/>
        </w:rPr>
        <w:t xml:space="preserve">Axtel, S.A.B. de C.V., </w:t>
      </w:r>
      <w:proofErr w:type="spellStart"/>
      <w:r w:rsidRPr="00C032D9">
        <w:rPr>
          <w:rFonts w:ascii="ITC Avant Garde" w:eastAsia="Times New Roman" w:hAnsi="ITC Avant Garde"/>
          <w:bCs/>
          <w:lang w:val="es-ES" w:eastAsia="es-ES"/>
        </w:rPr>
        <w:t>Avantel</w:t>
      </w:r>
      <w:proofErr w:type="spellEnd"/>
      <w:r w:rsidRPr="00C032D9">
        <w:rPr>
          <w:rFonts w:ascii="ITC Avant Garde" w:eastAsia="Times New Roman" w:hAnsi="ITC Avant Garde"/>
          <w:bCs/>
          <w:lang w:val="es-ES" w:eastAsia="es-ES"/>
        </w:rPr>
        <w:t xml:space="preserve">, S. de R.L. de C.V., </w:t>
      </w:r>
      <w:r w:rsidRPr="00C032D9">
        <w:rPr>
          <w:rFonts w:ascii="ITC Avant Garde" w:hAnsi="ITC Avant Garde" w:cs="Helvetica"/>
          <w:lang w:eastAsia="es-MX"/>
        </w:rPr>
        <w:t xml:space="preserve">y </w:t>
      </w:r>
      <w:r w:rsidRPr="00C032D9">
        <w:rPr>
          <w:rFonts w:ascii="ITC Avant Garde" w:hAnsi="ITC Avant Garde"/>
        </w:rPr>
        <w:t xml:space="preserve">de </w:t>
      </w:r>
      <w:r w:rsidRPr="00C032D9">
        <w:rPr>
          <w:rFonts w:ascii="ITC Avant Garde" w:eastAsia="Times New Roman" w:hAnsi="ITC Avant Garde"/>
          <w:bCs/>
          <w:iCs/>
          <w:lang w:eastAsia="es-ES"/>
        </w:rPr>
        <w:t xml:space="preserve">AT&amp;T </w:t>
      </w:r>
      <w:proofErr w:type="spellStart"/>
      <w:r w:rsidRPr="00C032D9">
        <w:rPr>
          <w:rFonts w:ascii="ITC Avant Garde" w:eastAsia="Times New Roman" w:hAnsi="ITC Avant Garde"/>
          <w:bCs/>
          <w:iCs/>
          <w:lang w:eastAsia="es-ES"/>
        </w:rPr>
        <w:t>Opco</w:t>
      </w:r>
      <w:proofErr w:type="spellEnd"/>
      <w:r w:rsidRPr="00C032D9">
        <w:rPr>
          <w:rFonts w:ascii="ITC Avant Garde" w:eastAsia="Times New Roman" w:hAnsi="ITC Avant Garde"/>
          <w:bCs/>
          <w:iCs/>
          <w:lang w:eastAsia="es-ES"/>
        </w:rPr>
        <w:t xml:space="preserve"> Une </w:t>
      </w:r>
      <w:proofErr w:type="spellStart"/>
      <w:r w:rsidRPr="00C032D9">
        <w:rPr>
          <w:rFonts w:ascii="ITC Avant Garde" w:eastAsia="Times New Roman" w:hAnsi="ITC Avant Garde"/>
          <w:bCs/>
          <w:iCs/>
          <w:lang w:eastAsia="es-ES"/>
        </w:rPr>
        <w:t>Mex</w:t>
      </w:r>
      <w:proofErr w:type="spellEnd"/>
      <w:r w:rsidRPr="00C032D9">
        <w:rPr>
          <w:rFonts w:ascii="ITC Avant Garde" w:eastAsia="Times New Roman" w:hAnsi="ITC Avant Garde"/>
          <w:bCs/>
          <w:iCs/>
          <w:lang w:eastAsia="es-ES"/>
        </w:rPr>
        <w:t xml:space="preserve">, S. de R.L. de C.V., AT&amp;T Desarrollo en Comunicaciones de México, S. de R.L. de C.V., AT&amp;T Del Golfo, S. de R.L. de C.V., AT&amp;T </w:t>
      </w:r>
      <w:proofErr w:type="spellStart"/>
      <w:r w:rsidRPr="00C032D9">
        <w:rPr>
          <w:rFonts w:ascii="ITC Avant Garde" w:eastAsia="Times New Roman" w:hAnsi="ITC Avant Garde"/>
          <w:bCs/>
          <w:iCs/>
          <w:lang w:eastAsia="es-ES"/>
        </w:rPr>
        <w:t>Comcentro</w:t>
      </w:r>
      <w:proofErr w:type="spellEnd"/>
      <w:r w:rsidRPr="00C032D9">
        <w:rPr>
          <w:rFonts w:ascii="ITC Avant Garde" w:eastAsia="Times New Roman" w:hAnsi="ITC Avant Garde"/>
          <w:bCs/>
          <w:iCs/>
          <w:lang w:eastAsia="es-ES"/>
        </w:rPr>
        <w:t xml:space="preserve">, S. de R.L. de C.V., AT&amp;T del Occidente, S. de R.L. de C.V., AT&amp;T Sureste, S. de R.L. de C.V., AT&amp;T Norte, S. de R.L. de C.V. y AT&amp;T Central, S. de R.L. de C.V., </w:t>
      </w:r>
      <w:r w:rsidRPr="00C032D9">
        <w:rPr>
          <w:rFonts w:ascii="ITC Avant Garde" w:hAnsi="ITC Avant Garde" w:cs="Arial"/>
          <w:bCs/>
        </w:rPr>
        <w:t>el</w:t>
      </w:r>
      <w:r w:rsidRPr="00C032D9">
        <w:rPr>
          <w:rFonts w:ascii="ITC Avant Garde" w:hAnsi="ITC Avant Garde" w:cs="Arial"/>
        </w:rPr>
        <w:t xml:space="preserve"> contenido de la presente Resolución, en términos de lo establecido en el artículo 129 fracción VIII, de la Ley Federal de Telecomunicaciones y Radiodifusión.</w:t>
      </w:r>
    </w:p>
    <w:p w:rsidR="00FA0F97" w:rsidRPr="00723079" w:rsidRDefault="00FA0F97" w:rsidP="00206B14">
      <w:pPr>
        <w:pStyle w:val="Sinespaciado"/>
        <w:spacing w:before="180" w:after="180"/>
        <w:jc w:val="both"/>
        <w:rPr>
          <w:rFonts w:ascii="ITC Avant Garde" w:hAnsi="ITC Avant Garde"/>
          <w:color w:val="000000"/>
          <w:sz w:val="13"/>
          <w:szCs w:val="13"/>
        </w:rPr>
      </w:pPr>
      <w:r w:rsidRPr="00723079">
        <w:rPr>
          <w:rFonts w:ascii="ITC Avant Garde" w:hAnsi="ITC Avant Garde"/>
          <w:color w:val="000000"/>
          <w:sz w:val="13"/>
          <w:szCs w:val="13"/>
        </w:rPr>
        <w:lastRenderedPageBreak/>
        <w:t>La presente Resolución fue aprobada por el Pleno del Instituto Federal de Telecomunicaciones en su XXVIII Sesión Ordinaria celebrada el 11 de diciembre de 2015, en lo general por unanimidad de votos de los Comisionados presentes Gabriel Oswaldo Contreras Saldívar, Luis Fernando Borjón Figueroa, Ernesto Estrada González, Adriana Sofía Labardini Inzunza, María Elena Estavillo Flores, Mario Germán Fromow Rangel y Adolfo Cuevas Teja.</w:t>
      </w:r>
    </w:p>
    <w:p w:rsidR="00FA0F97" w:rsidRPr="00723079" w:rsidRDefault="00FA0F97" w:rsidP="00206B14">
      <w:pPr>
        <w:pStyle w:val="Sinespaciado"/>
        <w:spacing w:before="180" w:after="180"/>
        <w:jc w:val="both"/>
        <w:rPr>
          <w:rFonts w:ascii="ITC Avant Garde" w:hAnsi="ITC Avant Garde"/>
          <w:sz w:val="13"/>
          <w:szCs w:val="13"/>
        </w:rPr>
      </w:pPr>
      <w:r w:rsidRPr="00723079">
        <w:rPr>
          <w:rFonts w:ascii="ITC Avant Garde" w:hAnsi="ITC Avant Garde"/>
          <w:sz w:val="13"/>
          <w:szCs w:val="13"/>
        </w:rPr>
        <w:t xml:space="preserve">El Comisionado Luis Fernando Borjón Figueroa manifestó voto en contra de los Resolutivos Primero y Segundo, así como de los Resolutivos Tercero y Quinto en lo conducente a los Resolutivos Primero y Segundo. </w:t>
      </w:r>
    </w:p>
    <w:p w:rsidR="00FA0F97" w:rsidRPr="0071134B" w:rsidRDefault="00FA0F97" w:rsidP="00206B14">
      <w:pPr>
        <w:pStyle w:val="Sinespaciado"/>
        <w:spacing w:before="180" w:after="180"/>
        <w:jc w:val="both"/>
        <w:rPr>
          <w:rFonts w:ascii="ITC Avant Garde" w:hAnsi="ITC Avant Garde"/>
          <w:sz w:val="13"/>
          <w:szCs w:val="13"/>
        </w:rPr>
      </w:pPr>
      <w:r w:rsidRPr="00723079">
        <w:rPr>
          <w:rFonts w:ascii="ITC Avant Garde" w:hAnsi="ITC Avant Garde"/>
          <w:sz w:val="13"/>
          <w:szCs w:val="13"/>
        </w:rPr>
        <w:t>La Comisionada María Elena Estavillo Flores manifestó voto en contra del Resolutivo Primero, en relación con la determinación de las tarifas para 2016, y por apartarse de la mención de la modalidad “El que llama paga”; del Resolutivo Segundo respecto a la determinación de las tarifas para 2016; y del Resolutivo Quinto, en la parte que refiere a la</w:t>
      </w:r>
      <w:r>
        <w:rPr>
          <w:rFonts w:ascii="ITC Avant Garde" w:hAnsi="ITC Avant Garde"/>
          <w:sz w:val="13"/>
          <w:szCs w:val="13"/>
        </w:rPr>
        <w:t xml:space="preserve"> celebración del convenio con las</w:t>
      </w:r>
      <w:r w:rsidRPr="00723079">
        <w:rPr>
          <w:rFonts w:ascii="ITC Avant Garde" w:hAnsi="ITC Avant Garde"/>
          <w:sz w:val="13"/>
          <w:szCs w:val="13"/>
        </w:rPr>
        <w:t xml:space="preserve"> tarifas para 2016; así como voto concurrent</w:t>
      </w:r>
      <w:r>
        <w:rPr>
          <w:rFonts w:ascii="ITC Avant Garde" w:hAnsi="ITC Avant Garde"/>
          <w:sz w:val="13"/>
          <w:szCs w:val="13"/>
        </w:rPr>
        <w:t xml:space="preserve">e respecto al Resolutivo Cuarto, </w:t>
      </w:r>
      <w:r w:rsidRPr="0071134B">
        <w:rPr>
          <w:rFonts w:ascii="ITC Avant Garde" w:hAnsi="ITC Avant Garde"/>
          <w:sz w:val="13"/>
          <w:szCs w:val="13"/>
        </w:rPr>
        <w:t>por no coincidir con el razonamiento para no definir el acuerdo compensatorio.</w:t>
      </w:r>
    </w:p>
    <w:p w:rsidR="00FA0F97" w:rsidRDefault="00FA0F97" w:rsidP="00206B14">
      <w:pPr>
        <w:pStyle w:val="Sinespaciado"/>
        <w:spacing w:before="180" w:after="180"/>
        <w:jc w:val="both"/>
        <w:rPr>
          <w:rFonts w:ascii="ITC Avant Garde" w:hAnsi="ITC Avant Garde"/>
          <w:sz w:val="13"/>
          <w:szCs w:val="13"/>
        </w:rPr>
      </w:pPr>
      <w:r w:rsidRPr="00723079">
        <w:rPr>
          <w:rFonts w:ascii="ITC Avant Garde" w:hAnsi="ITC Avant Garde"/>
          <w:sz w:val="13"/>
          <w:szCs w:val="13"/>
        </w:rPr>
        <w:t>El Comisionado Adolfo Cuevas Teja manifestó su voto en contra de los Resolutivos Primero y Segundo respecto a las tarifas establecidas; así como del Resolutivo Quinto, en lo referente a ordenar la celebración de convenios de interconexión conforme a las tarifas señalados en los Resolutivos Primero y Segundo.</w:t>
      </w:r>
    </w:p>
    <w:p w:rsidR="00CE2AFF" w:rsidRPr="00FA0F97" w:rsidRDefault="00FA0F97" w:rsidP="0097118F">
      <w:pPr>
        <w:pStyle w:val="Sinespaciado"/>
        <w:spacing w:before="180" w:after="180"/>
        <w:jc w:val="both"/>
      </w:pPr>
      <w:r w:rsidRPr="00723079">
        <w:rPr>
          <w:rFonts w:ascii="ITC Avant Garde" w:hAnsi="ITC Avant Garde"/>
          <w:color w:val="000000"/>
          <w:sz w:val="13"/>
          <w:szCs w:val="13"/>
        </w:rPr>
        <w:t xml:space="preserve">Lo anterior, con fundamento en los párrafos vigésimo, fracciones I y III; y vigésimo primero, del artículo 28 de la Constitución Política de los Estados Unidos Mexicanos; artículos 7, 16 y 45 de la </w:t>
      </w:r>
      <w:r w:rsidRPr="0071134B">
        <w:rPr>
          <w:rFonts w:ascii="ITC Avant Garde" w:hAnsi="ITC Avant Garde"/>
          <w:sz w:val="13"/>
          <w:szCs w:val="13"/>
        </w:rPr>
        <w:t>Ley</w:t>
      </w:r>
      <w:r w:rsidRPr="00723079">
        <w:rPr>
          <w:rFonts w:ascii="ITC Avant Garde" w:hAnsi="ITC Avant Garde"/>
          <w:color w:val="000000"/>
          <w:sz w:val="13"/>
          <w:szCs w:val="13"/>
        </w:rPr>
        <w:t xml:space="preserve"> Federal de Telecomunicaciones y Radiodifusión; así como en los artículos 1, 7, 8 y 12 del Estatuto Orgánico del Instituto Federal de Telecomunicaciones, mediante Acuerdo P/IFT/111215/566.</w:t>
      </w:r>
    </w:p>
    <w:sectPr w:rsidR="00CE2AFF" w:rsidRPr="00FA0F97" w:rsidSect="00934ECB">
      <w:headerReference w:type="even" r:id="rId7"/>
      <w:headerReference w:type="first" r:id="rId8"/>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42E" w:rsidRDefault="0008342E" w:rsidP="00FA0F97">
      <w:pPr>
        <w:spacing w:after="0" w:line="240" w:lineRule="auto"/>
      </w:pPr>
      <w:r>
        <w:separator/>
      </w:r>
    </w:p>
  </w:endnote>
  <w:endnote w:type="continuationSeparator" w:id="0">
    <w:p w:rsidR="0008342E" w:rsidRDefault="0008342E" w:rsidP="00FA0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42E" w:rsidRDefault="0008342E" w:rsidP="00FA0F97">
      <w:pPr>
        <w:spacing w:after="0" w:line="240" w:lineRule="auto"/>
      </w:pPr>
      <w:r>
        <w:separator/>
      </w:r>
    </w:p>
  </w:footnote>
  <w:footnote w:type="continuationSeparator" w:id="0">
    <w:p w:rsidR="0008342E" w:rsidRDefault="0008342E" w:rsidP="00FA0F97">
      <w:pPr>
        <w:spacing w:after="0" w:line="240" w:lineRule="auto"/>
      </w:pPr>
      <w:r>
        <w:continuationSeparator/>
      </w:r>
    </w:p>
  </w:footnote>
  <w:footnote w:id="1">
    <w:p w:rsidR="00FA0F97" w:rsidRDefault="00FA0F97" w:rsidP="00FA0F97">
      <w:pPr>
        <w:pStyle w:val="Textonotapie"/>
        <w:jc w:val="both"/>
        <w:rPr>
          <w:rFonts w:eastAsiaTheme="minorHAnsi"/>
          <w:sz w:val="22"/>
          <w:szCs w:val="22"/>
        </w:rPr>
      </w:pPr>
      <w:r>
        <w:rPr>
          <w:rStyle w:val="Refdenotaalpie"/>
        </w:rPr>
        <w:t>[1]</w:t>
      </w:r>
      <w:r>
        <w:t xml:space="preserve"> </w:t>
      </w:r>
      <w:r>
        <w:rPr>
          <w:rFonts w:ascii="ITC Avant Garde" w:hAnsi="ITC Avant Garde"/>
          <w:sz w:val="18"/>
          <w:szCs w:val="18"/>
        </w:rPr>
        <w:t>Producción y servicios. el artículo 18, fracciones I, II, III, V, VI, VII, X y XI, de la Ley del Impuesto Especial relativo (vigente durante el año de 2002), en cuanto concede exenciones por la prestación de servicios de telefonía, internet e interconexión, mas no por el de televisión por cable, no es violatorio del principio de equidad tributaria.</w:t>
      </w:r>
    </w:p>
  </w:footnote>
  <w:footnote w:id="2">
    <w:p w:rsidR="00FA0F97" w:rsidRPr="005C7891" w:rsidRDefault="00FA0F97" w:rsidP="00FA0F97">
      <w:pPr>
        <w:pStyle w:val="Textonotapie"/>
        <w:rPr>
          <w:rFonts w:ascii="ITC Avant Garde" w:hAnsi="ITC Avant Garde"/>
          <w:sz w:val="16"/>
          <w:szCs w:val="16"/>
          <w:lang w:val="es-MX"/>
        </w:rPr>
      </w:pPr>
      <w:r w:rsidRPr="005C7891">
        <w:rPr>
          <w:rStyle w:val="Refdenotaalpie"/>
          <w:rFonts w:ascii="ITC Avant Garde" w:hAnsi="ITC Avant Garde"/>
          <w:sz w:val="16"/>
          <w:szCs w:val="16"/>
        </w:rPr>
        <w:footnoteRef/>
      </w:r>
      <w:r w:rsidRPr="005C7891">
        <w:rPr>
          <w:rFonts w:ascii="ITC Avant Garde" w:hAnsi="ITC Avant Garde"/>
          <w:sz w:val="16"/>
          <w:szCs w:val="16"/>
        </w:rPr>
        <w:t xml:space="preserve"> </w:t>
      </w:r>
      <w:r w:rsidRPr="00C566E7">
        <w:rPr>
          <w:rFonts w:ascii="ITC Avant Garde" w:hAnsi="ITC Avant Garde"/>
          <w:sz w:val="16"/>
          <w:szCs w:val="16"/>
        </w:rPr>
        <w:t>http://people.stern.nyu.edu/adamodar/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0DD" w:rsidRDefault="0008342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0DD" w:rsidRDefault="0008342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8D924C1"/>
    <w:multiLevelType w:val="hybridMultilevel"/>
    <w:tmpl w:val="9822C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53E7B"/>
    <w:multiLevelType w:val="multilevel"/>
    <w:tmpl w:val="6A420104"/>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5"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6" w15:restartNumberingAfterBreak="0">
    <w:nsid w:val="214B7524"/>
    <w:multiLevelType w:val="hybridMultilevel"/>
    <w:tmpl w:val="806E6896"/>
    <w:lvl w:ilvl="0" w:tplc="080A0001">
      <w:start w:val="1"/>
      <w:numFmt w:val="bullet"/>
      <w:lvlText w:val=""/>
      <w:lvlJc w:val="left"/>
      <w:pPr>
        <w:ind w:left="1777" w:hanging="360"/>
      </w:pPr>
      <w:rPr>
        <w:rFonts w:ascii="Symbol" w:hAnsi="Symbol" w:hint="default"/>
      </w:rPr>
    </w:lvl>
    <w:lvl w:ilvl="1" w:tplc="080A0003" w:tentative="1">
      <w:start w:val="1"/>
      <w:numFmt w:val="bullet"/>
      <w:lvlText w:val="o"/>
      <w:lvlJc w:val="left"/>
      <w:pPr>
        <w:ind w:left="2497" w:hanging="360"/>
      </w:pPr>
      <w:rPr>
        <w:rFonts w:ascii="Courier New" w:hAnsi="Courier New" w:cs="Courier New" w:hint="default"/>
      </w:rPr>
    </w:lvl>
    <w:lvl w:ilvl="2" w:tplc="080A0005" w:tentative="1">
      <w:start w:val="1"/>
      <w:numFmt w:val="bullet"/>
      <w:lvlText w:val=""/>
      <w:lvlJc w:val="left"/>
      <w:pPr>
        <w:ind w:left="3217" w:hanging="360"/>
      </w:pPr>
      <w:rPr>
        <w:rFonts w:ascii="Wingdings" w:hAnsi="Wingdings" w:hint="default"/>
      </w:rPr>
    </w:lvl>
    <w:lvl w:ilvl="3" w:tplc="080A0001" w:tentative="1">
      <w:start w:val="1"/>
      <w:numFmt w:val="bullet"/>
      <w:lvlText w:val=""/>
      <w:lvlJc w:val="left"/>
      <w:pPr>
        <w:ind w:left="3937" w:hanging="360"/>
      </w:pPr>
      <w:rPr>
        <w:rFonts w:ascii="Symbol" w:hAnsi="Symbol" w:hint="default"/>
      </w:rPr>
    </w:lvl>
    <w:lvl w:ilvl="4" w:tplc="080A0003" w:tentative="1">
      <w:start w:val="1"/>
      <w:numFmt w:val="bullet"/>
      <w:lvlText w:val="o"/>
      <w:lvlJc w:val="left"/>
      <w:pPr>
        <w:ind w:left="4657" w:hanging="360"/>
      </w:pPr>
      <w:rPr>
        <w:rFonts w:ascii="Courier New" w:hAnsi="Courier New" w:cs="Courier New" w:hint="default"/>
      </w:rPr>
    </w:lvl>
    <w:lvl w:ilvl="5" w:tplc="080A0005" w:tentative="1">
      <w:start w:val="1"/>
      <w:numFmt w:val="bullet"/>
      <w:lvlText w:val=""/>
      <w:lvlJc w:val="left"/>
      <w:pPr>
        <w:ind w:left="5377" w:hanging="360"/>
      </w:pPr>
      <w:rPr>
        <w:rFonts w:ascii="Wingdings" w:hAnsi="Wingdings" w:hint="default"/>
      </w:rPr>
    </w:lvl>
    <w:lvl w:ilvl="6" w:tplc="080A0001" w:tentative="1">
      <w:start w:val="1"/>
      <w:numFmt w:val="bullet"/>
      <w:lvlText w:val=""/>
      <w:lvlJc w:val="left"/>
      <w:pPr>
        <w:ind w:left="6097" w:hanging="360"/>
      </w:pPr>
      <w:rPr>
        <w:rFonts w:ascii="Symbol" w:hAnsi="Symbol" w:hint="default"/>
      </w:rPr>
    </w:lvl>
    <w:lvl w:ilvl="7" w:tplc="080A0003" w:tentative="1">
      <w:start w:val="1"/>
      <w:numFmt w:val="bullet"/>
      <w:lvlText w:val="o"/>
      <w:lvlJc w:val="left"/>
      <w:pPr>
        <w:ind w:left="6817" w:hanging="360"/>
      </w:pPr>
      <w:rPr>
        <w:rFonts w:ascii="Courier New" w:hAnsi="Courier New" w:cs="Courier New" w:hint="default"/>
      </w:rPr>
    </w:lvl>
    <w:lvl w:ilvl="8" w:tplc="080A0005" w:tentative="1">
      <w:start w:val="1"/>
      <w:numFmt w:val="bullet"/>
      <w:lvlText w:val=""/>
      <w:lvlJc w:val="left"/>
      <w:pPr>
        <w:ind w:left="7537" w:hanging="360"/>
      </w:pPr>
      <w:rPr>
        <w:rFonts w:ascii="Wingdings" w:hAnsi="Wingdings" w:hint="default"/>
      </w:rPr>
    </w:lvl>
  </w:abstractNum>
  <w:abstractNum w:abstractNumId="7"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9" w15:restartNumberingAfterBreak="0">
    <w:nsid w:val="329C565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39C567F6"/>
    <w:multiLevelType w:val="hybridMultilevel"/>
    <w:tmpl w:val="05DC02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6460F"/>
    <w:multiLevelType w:val="hybridMultilevel"/>
    <w:tmpl w:val="3F7AB45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E70EA2"/>
    <w:multiLevelType w:val="hybridMultilevel"/>
    <w:tmpl w:val="181EB392"/>
    <w:lvl w:ilvl="0" w:tplc="B002CAD6">
      <w:start w:val="1"/>
      <w:numFmt w:val="upperRoman"/>
      <w:lvlText w:val="%1.-"/>
      <w:lvlJc w:val="left"/>
      <w:pPr>
        <w:ind w:left="1211" w:hanging="360"/>
      </w:pPr>
      <w:rPr>
        <w:rFonts w:ascii="Arial" w:hAnsi="Arial"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277725A"/>
    <w:multiLevelType w:val="hybridMultilevel"/>
    <w:tmpl w:val="270698E4"/>
    <w:lvl w:ilvl="0" w:tplc="D7BE266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B2C03B4"/>
    <w:multiLevelType w:val="hybridMultilevel"/>
    <w:tmpl w:val="23C21E4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B7248"/>
    <w:multiLevelType w:val="hybridMultilevel"/>
    <w:tmpl w:val="15D84ADE"/>
    <w:lvl w:ilvl="0" w:tplc="AC38711C">
      <w:start w:val="5"/>
      <w:numFmt w:val="upperRoman"/>
      <w:lvlText w:val="%1.-"/>
      <w:lvlJc w:val="left"/>
      <w:pPr>
        <w:tabs>
          <w:tab w:val="num" w:pos="9044"/>
        </w:tabs>
        <w:ind w:left="9044" w:hanging="680"/>
      </w:pPr>
      <w:rPr>
        <w:rFonts w:ascii="Arial" w:hAnsi="Arial" w:hint="default"/>
        <w:b/>
        <w:i w:val="0"/>
        <w:color w:val="auto"/>
        <w:sz w:val="22"/>
      </w:rPr>
    </w:lvl>
    <w:lvl w:ilvl="1" w:tplc="080A0019" w:tentative="1">
      <w:start w:val="1"/>
      <w:numFmt w:val="lowerLetter"/>
      <w:lvlText w:val="%2."/>
      <w:lvlJc w:val="left"/>
      <w:pPr>
        <w:ind w:left="9804" w:hanging="360"/>
      </w:pPr>
    </w:lvl>
    <w:lvl w:ilvl="2" w:tplc="080A001B" w:tentative="1">
      <w:start w:val="1"/>
      <w:numFmt w:val="lowerRoman"/>
      <w:lvlText w:val="%3."/>
      <w:lvlJc w:val="right"/>
      <w:pPr>
        <w:ind w:left="10524" w:hanging="180"/>
      </w:pPr>
    </w:lvl>
    <w:lvl w:ilvl="3" w:tplc="080A000F" w:tentative="1">
      <w:start w:val="1"/>
      <w:numFmt w:val="decimal"/>
      <w:lvlText w:val="%4."/>
      <w:lvlJc w:val="left"/>
      <w:pPr>
        <w:ind w:left="11244" w:hanging="360"/>
      </w:pPr>
    </w:lvl>
    <w:lvl w:ilvl="4" w:tplc="080A0019" w:tentative="1">
      <w:start w:val="1"/>
      <w:numFmt w:val="lowerLetter"/>
      <w:lvlText w:val="%5."/>
      <w:lvlJc w:val="left"/>
      <w:pPr>
        <w:ind w:left="11964" w:hanging="360"/>
      </w:pPr>
    </w:lvl>
    <w:lvl w:ilvl="5" w:tplc="080A001B" w:tentative="1">
      <w:start w:val="1"/>
      <w:numFmt w:val="lowerRoman"/>
      <w:lvlText w:val="%6."/>
      <w:lvlJc w:val="right"/>
      <w:pPr>
        <w:ind w:left="12684" w:hanging="180"/>
      </w:pPr>
    </w:lvl>
    <w:lvl w:ilvl="6" w:tplc="080A000F" w:tentative="1">
      <w:start w:val="1"/>
      <w:numFmt w:val="decimal"/>
      <w:lvlText w:val="%7."/>
      <w:lvlJc w:val="left"/>
      <w:pPr>
        <w:ind w:left="13404" w:hanging="360"/>
      </w:pPr>
    </w:lvl>
    <w:lvl w:ilvl="7" w:tplc="080A0019" w:tentative="1">
      <w:start w:val="1"/>
      <w:numFmt w:val="lowerLetter"/>
      <w:lvlText w:val="%8."/>
      <w:lvlJc w:val="left"/>
      <w:pPr>
        <w:ind w:left="14124" w:hanging="360"/>
      </w:pPr>
    </w:lvl>
    <w:lvl w:ilvl="8" w:tplc="080A001B" w:tentative="1">
      <w:start w:val="1"/>
      <w:numFmt w:val="lowerRoman"/>
      <w:lvlText w:val="%9."/>
      <w:lvlJc w:val="right"/>
      <w:pPr>
        <w:ind w:left="14844" w:hanging="180"/>
      </w:pPr>
    </w:lvl>
  </w:abstractNum>
  <w:abstractNum w:abstractNumId="23" w15:restartNumberingAfterBreak="0">
    <w:nsid w:val="642B0C0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C44AC9"/>
    <w:multiLevelType w:val="hybridMultilevel"/>
    <w:tmpl w:val="270698E4"/>
    <w:lvl w:ilvl="0" w:tplc="D7BE266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051EBB"/>
    <w:multiLevelType w:val="multilevel"/>
    <w:tmpl w:val="6A420104"/>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27" w15:restartNumberingAfterBreak="0">
    <w:nsid w:val="70BE02B2"/>
    <w:multiLevelType w:val="hybridMultilevel"/>
    <w:tmpl w:val="270698E4"/>
    <w:lvl w:ilvl="0" w:tplc="D7BE266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3D441F"/>
    <w:multiLevelType w:val="multilevel"/>
    <w:tmpl w:val="9650F2A8"/>
    <w:lvl w:ilvl="0">
      <w:start w:val="1"/>
      <w:numFmt w:val="upperRoman"/>
      <w:lvlText w:val="%1."/>
      <w:lvlJc w:val="left"/>
      <w:pPr>
        <w:tabs>
          <w:tab w:val="num" w:pos="567"/>
        </w:tabs>
        <w:ind w:left="567" w:hanging="567"/>
      </w:pPr>
      <w:rPr>
        <w:rFonts w:ascii="Arial" w:hAnsi="Arial" w:cs="Times New Roman" w:hint="default"/>
        <w:b/>
        <w:i w:val="0"/>
      </w:rPr>
    </w:lvl>
    <w:lvl w:ilvl="1">
      <w:start w:val="1"/>
      <w:numFmt w:val="decimal"/>
      <w:lvlText w:val="%2."/>
      <w:lvlJc w:val="left"/>
      <w:pPr>
        <w:tabs>
          <w:tab w:val="num" w:pos="567"/>
        </w:tabs>
        <w:ind w:left="1134" w:hanging="567"/>
      </w:pPr>
      <w:rPr>
        <w:rFonts w:ascii="Arial" w:hAnsi="Arial" w:cs="Times New Roman" w:hint="default"/>
        <w:b/>
        <w:i w:val="0"/>
      </w:rPr>
    </w:lvl>
    <w:lvl w:ilvl="2">
      <w:start w:val="1"/>
      <w:numFmt w:val="lowerLetter"/>
      <w:lvlText w:val="%3)"/>
      <w:lvlJc w:val="left"/>
      <w:pPr>
        <w:tabs>
          <w:tab w:val="num" w:pos="1701"/>
        </w:tabs>
        <w:ind w:left="1701" w:hanging="567"/>
      </w:pPr>
      <w:rPr>
        <w:rFonts w:ascii="ITC Avant Garde" w:hAnsi="ITC Avant Garde" w:hint="default"/>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872719A"/>
    <w:multiLevelType w:val="hybridMultilevel"/>
    <w:tmpl w:val="4080FD7C"/>
    <w:lvl w:ilvl="0" w:tplc="400A2AD6">
      <w:start w:val="1"/>
      <w:numFmt w:val="low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8B2D83"/>
    <w:multiLevelType w:val="hybridMultilevel"/>
    <w:tmpl w:val="92FEAC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0"/>
  </w:num>
  <w:num w:numId="3">
    <w:abstractNumId w:val="0"/>
  </w:num>
  <w:num w:numId="4">
    <w:abstractNumId w:val="1"/>
  </w:num>
  <w:num w:numId="5">
    <w:abstractNumId w:val="15"/>
  </w:num>
  <w:num w:numId="6">
    <w:abstractNumId w:val="10"/>
  </w:num>
  <w:num w:numId="7">
    <w:abstractNumId w:val="18"/>
  </w:num>
  <w:num w:numId="8">
    <w:abstractNumId w:val="5"/>
  </w:num>
  <w:num w:numId="9">
    <w:abstractNumId w:val="12"/>
  </w:num>
  <w:num w:numId="10">
    <w:abstractNumId w:val="3"/>
  </w:num>
  <w:num w:numId="11">
    <w:abstractNumId w:val="21"/>
  </w:num>
  <w:num w:numId="12">
    <w:abstractNumId w:val="7"/>
  </w:num>
  <w:num w:numId="13">
    <w:abstractNumId w:val="16"/>
  </w:num>
  <w:num w:numId="14">
    <w:abstractNumId w:val="19"/>
  </w:num>
  <w:num w:numId="15">
    <w:abstractNumId w:val="2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0"/>
  </w:num>
  <w:num w:numId="19">
    <w:abstractNumId w:val="4"/>
  </w:num>
  <w:num w:numId="20">
    <w:abstractNumId w:val="6"/>
  </w:num>
  <w:num w:numId="21">
    <w:abstractNumId w:val="24"/>
  </w:num>
  <w:num w:numId="22">
    <w:abstractNumId w:val="2"/>
  </w:num>
  <w:num w:numId="23">
    <w:abstractNumId w:val="9"/>
  </w:num>
  <w:num w:numId="24">
    <w:abstractNumId w:val="11"/>
  </w:num>
  <w:num w:numId="25">
    <w:abstractNumId w:val="13"/>
  </w:num>
  <w:num w:numId="26">
    <w:abstractNumId w:val="22"/>
  </w:num>
  <w:num w:numId="27">
    <w:abstractNumId w:val="29"/>
  </w:num>
  <w:num w:numId="28">
    <w:abstractNumId w:val="27"/>
  </w:num>
  <w:num w:numId="29">
    <w:abstractNumId w:val="25"/>
  </w:num>
  <w:num w:numId="30">
    <w:abstractNumId w:val="1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97"/>
    <w:rsid w:val="0008342E"/>
    <w:rsid w:val="00117FC9"/>
    <w:rsid w:val="00137C2F"/>
    <w:rsid w:val="00206B14"/>
    <w:rsid w:val="0052379F"/>
    <w:rsid w:val="007A24BC"/>
    <w:rsid w:val="008E6A33"/>
    <w:rsid w:val="0097118F"/>
    <w:rsid w:val="00A468A8"/>
    <w:rsid w:val="00C552C1"/>
    <w:rsid w:val="00C566E7"/>
    <w:rsid w:val="00CE2AFF"/>
    <w:rsid w:val="00D405D8"/>
    <w:rsid w:val="00DF1C72"/>
    <w:rsid w:val="00ED6A3D"/>
    <w:rsid w:val="00FA0F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8F9D9651-9FAC-4770-BA4B-C46553CE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F97"/>
    <w:pPr>
      <w:spacing w:after="200" w:line="276" w:lineRule="auto"/>
    </w:pPr>
    <w:rPr>
      <w:rFonts w:ascii="Calibri" w:eastAsia="Calibri" w:hAnsi="Calibri" w:cs="Times New Roman"/>
    </w:rPr>
  </w:style>
  <w:style w:type="paragraph" w:styleId="Ttulo1">
    <w:name w:val="heading 1"/>
    <w:aliases w:val="h1"/>
    <w:basedOn w:val="Normal"/>
    <w:next w:val="Normal"/>
    <w:link w:val="Ttulo1Car"/>
    <w:uiPriority w:val="9"/>
    <w:qFormat/>
    <w:rsid w:val="00FA0F97"/>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A0F97"/>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A0F97"/>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A0F97"/>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A0F97"/>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A0F97"/>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A0F97"/>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A0F97"/>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A0F97"/>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 1_"/>
    <w:basedOn w:val="Normal"/>
    <w:link w:val="Ttulo1Car0"/>
    <w:qFormat/>
    <w:rsid w:val="00117FC9"/>
    <w:pPr>
      <w:spacing w:after="0"/>
      <w:jc w:val="center"/>
    </w:pPr>
    <w:rPr>
      <w:rFonts w:ascii="ITC Avant Garde" w:hAnsi="ITC Avant Garde"/>
      <w:b/>
      <w:bCs/>
      <w:color w:val="000000"/>
      <w:lang w:eastAsia="es-MX"/>
    </w:rPr>
  </w:style>
  <w:style w:type="character" w:customStyle="1" w:styleId="Ttulo1Car0">
    <w:name w:val="Título 1_ Car"/>
    <w:basedOn w:val="Fuentedeprrafopredeter"/>
    <w:link w:val="Ttulo10"/>
    <w:rsid w:val="00117FC9"/>
    <w:rPr>
      <w:rFonts w:ascii="ITC Avant Garde" w:eastAsia="Calibri" w:hAnsi="ITC Avant Garde" w:cs="Times New Roman"/>
      <w:b/>
      <w:bCs/>
      <w:color w:val="000000"/>
      <w:lang w:eastAsia="es-MX"/>
    </w:rPr>
  </w:style>
  <w:style w:type="character" w:customStyle="1" w:styleId="Ttulo1Car">
    <w:name w:val="Título 1 Car"/>
    <w:aliases w:val="h1 Car"/>
    <w:basedOn w:val="Fuentedeprrafopredeter"/>
    <w:link w:val="Ttulo1"/>
    <w:uiPriority w:val="9"/>
    <w:rsid w:val="00FA0F97"/>
    <w:rPr>
      <w:rFonts w:ascii="Arial" w:eastAsia="Times New Roman" w:hAnsi="Arial" w:cs="Times New Roman"/>
      <w:b/>
      <w:szCs w:val="20"/>
    </w:rPr>
  </w:style>
  <w:style w:type="character" w:customStyle="1" w:styleId="Ttulo2Car">
    <w:name w:val="Título 2 Car"/>
    <w:aliases w:val="h2 Car"/>
    <w:basedOn w:val="Fuentedeprrafopredeter"/>
    <w:link w:val="Ttulo2"/>
    <w:uiPriority w:val="9"/>
    <w:rsid w:val="00FA0F97"/>
    <w:rPr>
      <w:rFonts w:ascii="Arial" w:eastAsia="Times New Roman" w:hAnsi="Arial" w:cs="Times New Roman"/>
      <w:b/>
      <w:szCs w:val="20"/>
    </w:rPr>
  </w:style>
  <w:style w:type="character" w:customStyle="1" w:styleId="Ttulo3Car">
    <w:name w:val="Título 3 Car"/>
    <w:aliases w:val="h3 Car"/>
    <w:basedOn w:val="Fuentedeprrafopredeter"/>
    <w:link w:val="Ttulo3"/>
    <w:uiPriority w:val="9"/>
    <w:rsid w:val="00FA0F97"/>
    <w:rPr>
      <w:rFonts w:ascii="Arial" w:eastAsia="Times New Roman" w:hAnsi="Arial" w:cs="Arial"/>
      <w:b/>
      <w:bCs/>
      <w:szCs w:val="20"/>
    </w:rPr>
  </w:style>
  <w:style w:type="character" w:customStyle="1" w:styleId="Ttulo4Car">
    <w:name w:val="Título 4 Car"/>
    <w:basedOn w:val="Fuentedeprrafopredeter"/>
    <w:link w:val="Ttulo4"/>
    <w:uiPriority w:val="9"/>
    <w:rsid w:val="00FA0F97"/>
    <w:rPr>
      <w:rFonts w:ascii="Times New Roman" w:eastAsia="Times New Roman" w:hAnsi="Times New Roman" w:cs="Times New Roman"/>
      <w:b/>
      <w:bCs/>
      <w:sz w:val="28"/>
      <w:szCs w:val="28"/>
      <w:lang w:eastAsia="es-ES"/>
    </w:rPr>
  </w:style>
  <w:style w:type="character" w:customStyle="1" w:styleId="Ttulo5Car">
    <w:name w:val="Título 5 Car"/>
    <w:aliases w:val="Considerando Car"/>
    <w:basedOn w:val="Fuentedeprrafopredeter"/>
    <w:link w:val="Ttulo5"/>
    <w:rsid w:val="00FA0F97"/>
    <w:rPr>
      <w:rFonts w:ascii="Arial" w:eastAsia="Times New Roman" w:hAnsi="Arial" w:cs="Times New Roman"/>
      <w:b/>
      <w:sz w:val="20"/>
      <w:szCs w:val="20"/>
    </w:rPr>
  </w:style>
  <w:style w:type="character" w:customStyle="1" w:styleId="Ttulo6Car">
    <w:name w:val="Título 6 Car"/>
    <w:basedOn w:val="Fuentedeprrafopredeter"/>
    <w:link w:val="Ttulo6"/>
    <w:rsid w:val="00FA0F97"/>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FA0F97"/>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A0F97"/>
    <w:rPr>
      <w:rFonts w:ascii="Arial" w:eastAsia="Times New Roman" w:hAnsi="Arial" w:cs="Times New Roman"/>
      <w:b/>
      <w:szCs w:val="20"/>
      <w:lang w:eastAsia="es-ES"/>
    </w:rPr>
  </w:style>
  <w:style w:type="character" w:customStyle="1" w:styleId="Ttulo9Car">
    <w:name w:val="Título 9 Car"/>
    <w:aliases w:val="Citaciones Car"/>
    <w:basedOn w:val="Fuentedeprrafopredeter"/>
    <w:link w:val="Ttulo9"/>
    <w:rsid w:val="00FA0F97"/>
    <w:rPr>
      <w:rFonts w:ascii="Arial" w:eastAsia="Times New Roman" w:hAnsi="Arial" w:cs="Arial"/>
      <w:lang w:eastAsia="es-ES"/>
    </w:rPr>
  </w:style>
  <w:style w:type="paragraph" w:styleId="Encabezado">
    <w:name w:val="header"/>
    <w:basedOn w:val="Normal"/>
    <w:link w:val="EncabezadoCar"/>
    <w:uiPriority w:val="99"/>
    <w:unhideWhenUsed/>
    <w:rsid w:val="00FA0F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0F97"/>
    <w:rPr>
      <w:rFonts w:ascii="Calibri" w:eastAsia="Calibri" w:hAnsi="Calibri" w:cs="Times New Roman"/>
    </w:rPr>
  </w:style>
  <w:style w:type="paragraph" w:styleId="Piedepgina">
    <w:name w:val="footer"/>
    <w:basedOn w:val="Normal"/>
    <w:link w:val="PiedepginaCar"/>
    <w:uiPriority w:val="99"/>
    <w:unhideWhenUsed/>
    <w:rsid w:val="00FA0F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0F97"/>
    <w:rPr>
      <w:rFonts w:ascii="Calibri" w:eastAsia="Calibri" w:hAnsi="Calibri" w:cs="Times New Roman"/>
    </w:rPr>
  </w:style>
  <w:style w:type="paragraph" w:customStyle="1" w:styleId="estilo30">
    <w:name w:val="estilo30"/>
    <w:basedOn w:val="Normal"/>
    <w:rsid w:val="00FA0F97"/>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FA0F97"/>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FA0F97"/>
    <w:pPr>
      <w:autoSpaceDE w:val="0"/>
      <w:autoSpaceDN w:val="0"/>
      <w:adjustRightInd w:val="0"/>
      <w:spacing w:after="0" w:line="240" w:lineRule="auto"/>
    </w:pPr>
    <w:rPr>
      <w:rFonts w:ascii="Tahoma" w:eastAsia="Calibri" w:hAnsi="Tahoma" w:cs="Tahoma"/>
      <w:color w:val="000000"/>
      <w:sz w:val="24"/>
      <w:szCs w:val="24"/>
      <w:lang w:eastAsia="es-MX"/>
    </w:rPr>
  </w:style>
  <w:style w:type="numbering" w:customStyle="1" w:styleId="Sinlista1">
    <w:name w:val="Sin lista1"/>
    <w:next w:val="Sinlista"/>
    <w:uiPriority w:val="99"/>
    <w:semiHidden/>
    <w:unhideWhenUsed/>
    <w:rsid w:val="00FA0F97"/>
  </w:style>
  <w:style w:type="paragraph" w:styleId="Textoindependiente">
    <w:name w:val="Body Text"/>
    <w:basedOn w:val="Normal"/>
    <w:link w:val="TextoindependienteCar"/>
    <w:rsid w:val="00FA0F97"/>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A0F97"/>
    <w:rPr>
      <w:rFonts w:ascii="Arial" w:eastAsia="Times New Roman" w:hAnsi="Arial" w:cs="Times New Roman"/>
      <w:szCs w:val="20"/>
    </w:rPr>
  </w:style>
  <w:style w:type="character" w:styleId="Nmerodepgina">
    <w:name w:val="page number"/>
    <w:basedOn w:val="Fuentedeprrafopredeter"/>
    <w:rsid w:val="00FA0F97"/>
  </w:style>
  <w:style w:type="paragraph" w:styleId="Puesto">
    <w:name w:val="Title"/>
    <w:basedOn w:val="Normal"/>
    <w:link w:val="PuestoCar"/>
    <w:qFormat/>
    <w:rsid w:val="00FA0F97"/>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A0F97"/>
    <w:rPr>
      <w:rFonts w:ascii="Arial" w:eastAsia="Times New Roman" w:hAnsi="Arial" w:cs="Times New Roman"/>
      <w:b/>
      <w:szCs w:val="20"/>
    </w:rPr>
  </w:style>
  <w:style w:type="paragraph" w:styleId="Sangra2detindependiente">
    <w:name w:val="Body Text Indent 2"/>
    <w:basedOn w:val="Normal"/>
    <w:link w:val="Sangra2detindependienteCar"/>
    <w:rsid w:val="00FA0F97"/>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A0F97"/>
    <w:rPr>
      <w:rFonts w:ascii="Arial" w:eastAsia="Times New Roman" w:hAnsi="Arial" w:cs="Times New Roman"/>
      <w:szCs w:val="20"/>
    </w:rPr>
  </w:style>
  <w:style w:type="paragraph" w:styleId="Subttulo">
    <w:name w:val="Subtitle"/>
    <w:basedOn w:val="Normal"/>
    <w:link w:val="SubttuloCar"/>
    <w:qFormat/>
    <w:rsid w:val="00FA0F97"/>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A0F97"/>
    <w:rPr>
      <w:rFonts w:ascii="Arial" w:eastAsia="Times New Roman" w:hAnsi="Arial" w:cs="Arial"/>
      <w:b/>
      <w:szCs w:val="24"/>
      <w:lang w:eastAsia="es-ES"/>
    </w:rPr>
  </w:style>
  <w:style w:type="paragraph" w:styleId="Textoindependiente3">
    <w:name w:val="Body Text 3"/>
    <w:basedOn w:val="Normal"/>
    <w:link w:val="Textoindependiente3Car"/>
    <w:rsid w:val="00FA0F97"/>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A0F97"/>
    <w:rPr>
      <w:rFonts w:ascii="Arial" w:eastAsia="Times New Roman" w:hAnsi="Arial" w:cs="Arial"/>
      <w:szCs w:val="24"/>
      <w:lang w:eastAsia="es-ES"/>
    </w:rPr>
  </w:style>
  <w:style w:type="paragraph" w:styleId="Sangradetextonormal">
    <w:name w:val="Body Text Indent"/>
    <w:basedOn w:val="Normal"/>
    <w:link w:val="SangradetextonormalCar"/>
    <w:rsid w:val="00FA0F97"/>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A0F97"/>
    <w:rPr>
      <w:rFonts w:ascii="Arial" w:eastAsia="Times New Roman" w:hAnsi="Arial" w:cs="Arial"/>
      <w:b/>
      <w:szCs w:val="24"/>
      <w:lang w:eastAsia="es-ES"/>
    </w:rPr>
  </w:style>
  <w:style w:type="paragraph" w:styleId="Textoindependiente2">
    <w:name w:val="Body Text 2"/>
    <w:basedOn w:val="Normal"/>
    <w:link w:val="Textoindependiente2Car"/>
    <w:rsid w:val="00FA0F97"/>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A0F97"/>
    <w:rPr>
      <w:rFonts w:ascii="Arial" w:eastAsia="Times New Roman" w:hAnsi="Arial" w:cs="Times New Roman"/>
      <w:szCs w:val="20"/>
      <w:lang w:eastAsia="es-ES"/>
    </w:rPr>
  </w:style>
  <w:style w:type="paragraph" w:styleId="Sangra3detindependiente">
    <w:name w:val="Body Text Indent 3"/>
    <w:basedOn w:val="Normal"/>
    <w:link w:val="Sangra3detindependienteCar"/>
    <w:rsid w:val="00FA0F97"/>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A0F97"/>
    <w:rPr>
      <w:rFonts w:ascii="Arial" w:eastAsia="Times New Roman" w:hAnsi="Arial" w:cs="Times New Roman"/>
      <w:i/>
      <w:sz w:val="20"/>
      <w:szCs w:val="20"/>
      <w:lang w:eastAsia="es-ES"/>
    </w:rPr>
  </w:style>
  <w:style w:type="character" w:styleId="Refdenotaalpie">
    <w:name w:val="footnote reference"/>
    <w:aliases w:val="(NECG) Footnote Reference,o,fr,Style 3,Appel note de bas de p,Style 12,Style 124,Ref,de nota al pie,Ref. de nota al pie 2"/>
    <w:uiPriority w:val="99"/>
    <w:qFormat/>
    <w:rsid w:val="00FA0F97"/>
    <w:rPr>
      <w:vertAlign w:val="superscript"/>
    </w:rPr>
  </w:style>
  <w:style w:type="character" w:styleId="Hipervnculo">
    <w:name w:val="Hyperlink"/>
    <w:uiPriority w:val="99"/>
    <w:rsid w:val="00FA0F97"/>
    <w:rPr>
      <w:color w:val="0000FF"/>
      <w:u w:val="single"/>
    </w:rPr>
  </w:style>
  <w:style w:type="paragraph" w:customStyle="1" w:styleId="TEXT">
    <w:name w:val="TEXT"/>
    <w:basedOn w:val="Normal"/>
    <w:rsid w:val="00FA0F97"/>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A0F97"/>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A0F97"/>
    <w:rPr>
      <w:rFonts w:ascii="Times New Roman" w:eastAsia="Times New Roman" w:hAnsi="Times New Roman" w:cs="Times New Roman"/>
      <w:sz w:val="20"/>
      <w:szCs w:val="20"/>
      <w:lang w:val="es-ES" w:eastAsia="es-ES"/>
    </w:rPr>
  </w:style>
  <w:style w:type="paragraph" w:customStyle="1" w:styleId="CM13">
    <w:name w:val="CM13"/>
    <w:basedOn w:val="Normal"/>
    <w:next w:val="Normal"/>
    <w:rsid w:val="00FA0F97"/>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A0F97"/>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A0F97"/>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A0F97"/>
  </w:style>
  <w:style w:type="paragraph" w:styleId="Prrafodelista">
    <w:name w:val="List Paragraph"/>
    <w:basedOn w:val="Normal"/>
    <w:link w:val="PrrafodelistaCar"/>
    <w:uiPriority w:val="34"/>
    <w:qFormat/>
    <w:rsid w:val="00FA0F97"/>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A0F97"/>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A0F97"/>
    <w:rPr>
      <w:rFonts w:ascii="Tahoma" w:eastAsia="Times New Roman" w:hAnsi="Tahoma" w:cs="Tahoma"/>
      <w:sz w:val="16"/>
      <w:szCs w:val="16"/>
      <w:lang w:eastAsia="es-ES"/>
    </w:rPr>
  </w:style>
  <w:style w:type="paragraph" w:customStyle="1" w:styleId="call">
    <w:name w:val="call"/>
    <w:basedOn w:val="Normal"/>
    <w:next w:val="Normal"/>
    <w:rsid w:val="00FA0F97"/>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A0F97"/>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A0F97"/>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A0F97"/>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A0F97"/>
    <w:rPr>
      <w:rFonts w:ascii="Courier New" w:eastAsia="Times New Roman" w:hAnsi="Courier New" w:cs="Courier New"/>
      <w:sz w:val="20"/>
      <w:szCs w:val="20"/>
      <w:lang w:eastAsia="es-ES"/>
    </w:rPr>
  </w:style>
  <w:style w:type="character" w:styleId="Refdecomentario">
    <w:name w:val="annotation reference"/>
    <w:uiPriority w:val="99"/>
    <w:rsid w:val="00FA0F97"/>
    <w:rPr>
      <w:sz w:val="16"/>
      <w:szCs w:val="16"/>
    </w:rPr>
  </w:style>
  <w:style w:type="paragraph" w:customStyle="1" w:styleId="TextoCar">
    <w:name w:val="Texto Car"/>
    <w:basedOn w:val="Normal"/>
    <w:rsid w:val="00FA0F97"/>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A0F97"/>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0F97"/>
    <w:rPr>
      <w:rFonts w:ascii="Times New Roman" w:eastAsia="Times New Roman" w:hAnsi="Times New Roman" w:cs="Times New Roman"/>
      <w:sz w:val="20"/>
      <w:szCs w:val="20"/>
      <w:lang w:val="es-ES" w:eastAsia="es-ES"/>
    </w:rPr>
  </w:style>
  <w:style w:type="character" w:customStyle="1" w:styleId="estilo71">
    <w:name w:val="estilo71"/>
    <w:rsid w:val="00FA0F97"/>
    <w:rPr>
      <w:rFonts w:ascii="Arial" w:hAnsi="Arial" w:cs="Arial" w:hint="default"/>
      <w:sz w:val="15"/>
      <w:szCs w:val="15"/>
    </w:rPr>
  </w:style>
  <w:style w:type="paragraph" w:customStyle="1" w:styleId="contenidos">
    <w:name w:val="contenidos"/>
    <w:basedOn w:val="Normal"/>
    <w:rsid w:val="00FA0F97"/>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A0F97"/>
    <w:rPr>
      <w:rFonts w:ascii="Arial" w:hAnsi="Arial" w:cs="Arial" w:hint="default"/>
      <w:b/>
      <w:bCs/>
      <w:strike w:val="0"/>
      <w:dstrike w:val="0"/>
      <w:color w:val="8F840D"/>
      <w:sz w:val="24"/>
      <w:szCs w:val="24"/>
      <w:u w:val="none"/>
      <w:effect w:val="none"/>
    </w:rPr>
  </w:style>
  <w:style w:type="character" w:customStyle="1" w:styleId="contenidos1">
    <w:name w:val="contenidos1"/>
    <w:rsid w:val="00FA0F97"/>
    <w:rPr>
      <w:rFonts w:ascii="Verdana" w:hAnsi="Verdana" w:hint="default"/>
      <w:color w:val="000000"/>
      <w:sz w:val="18"/>
      <w:szCs w:val="18"/>
    </w:rPr>
  </w:style>
  <w:style w:type="character" w:customStyle="1" w:styleId="linkconta1">
    <w:name w:val="linkconta1"/>
    <w:rsid w:val="00FA0F97"/>
    <w:rPr>
      <w:rFonts w:ascii="Verdana" w:hAnsi="Verdana" w:hint="default"/>
      <w:sz w:val="18"/>
      <w:szCs w:val="18"/>
    </w:rPr>
  </w:style>
  <w:style w:type="character" w:styleId="Textoennegrita">
    <w:name w:val="Strong"/>
    <w:qFormat/>
    <w:rsid w:val="00FA0F97"/>
    <w:rPr>
      <w:b/>
      <w:bCs/>
    </w:rPr>
  </w:style>
  <w:style w:type="paragraph" w:styleId="Textodebloque">
    <w:name w:val="Block Text"/>
    <w:basedOn w:val="Normal"/>
    <w:rsid w:val="00FA0F97"/>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A0F97"/>
    <w:rPr>
      <w:color w:val="800080"/>
      <w:u w:val="single"/>
    </w:rPr>
  </w:style>
  <w:style w:type="paragraph" w:styleId="Asuntodelcomentario">
    <w:name w:val="annotation subject"/>
    <w:basedOn w:val="Textocomentario"/>
    <w:next w:val="Textocomentario"/>
    <w:link w:val="AsuntodelcomentarioCar"/>
    <w:uiPriority w:val="99"/>
    <w:unhideWhenUsed/>
    <w:rsid w:val="00FA0F97"/>
    <w:rPr>
      <w:b/>
      <w:bCs/>
    </w:rPr>
  </w:style>
  <w:style w:type="character" w:customStyle="1" w:styleId="AsuntodelcomentarioCar">
    <w:name w:val="Asunto del comentario Car"/>
    <w:basedOn w:val="TextocomentarioCar"/>
    <w:link w:val="Asuntodelcomentario"/>
    <w:uiPriority w:val="99"/>
    <w:rsid w:val="00FA0F97"/>
    <w:rPr>
      <w:rFonts w:ascii="Times New Roman" w:eastAsia="Times New Roman" w:hAnsi="Times New Roman" w:cs="Times New Roman"/>
      <w:b/>
      <w:bCs/>
      <w:sz w:val="20"/>
      <w:szCs w:val="20"/>
      <w:lang w:val="es-ES" w:eastAsia="es-ES"/>
    </w:rPr>
  </w:style>
  <w:style w:type="paragraph" w:styleId="Lista">
    <w:name w:val="List"/>
    <w:basedOn w:val="Normal"/>
    <w:rsid w:val="00FA0F97"/>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A0F97"/>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A0F97"/>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A0F9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A0F97"/>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A0F97"/>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A0F97"/>
    <w:rPr>
      <w:rFonts w:ascii="Times New Roman" w:eastAsia="Times New Roman" w:hAnsi="Times New Roman" w:cs="Times New Roman"/>
      <w:sz w:val="24"/>
      <w:szCs w:val="24"/>
      <w:lang w:val="es-ES" w:eastAsia="es-ES"/>
    </w:rPr>
  </w:style>
  <w:style w:type="paragraph" w:styleId="Listaconvietas2">
    <w:name w:val="List Bullet 2"/>
    <w:basedOn w:val="Normal"/>
    <w:link w:val="Listaconvietas2Car"/>
    <w:uiPriority w:val="99"/>
    <w:qFormat/>
    <w:rsid w:val="00FA0F97"/>
    <w:pPr>
      <w:numPr>
        <w:numId w:val="3"/>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A0F97"/>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A0F97"/>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A0F97"/>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A0F97"/>
    <w:rPr>
      <w:sz w:val="24"/>
      <w:szCs w:val="24"/>
      <w:lang w:val="es-ES" w:eastAsia="es-MX"/>
    </w:rPr>
  </w:style>
  <w:style w:type="paragraph" w:styleId="Textoindependienteprimerasangra">
    <w:name w:val="Body Text First Indent"/>
    <w:basedOn w:val="Textoindependiente"/>
    <w:link w:val="TextoindependienteprimerasangraCar"/>
    <w:rsid w:val="00FA0F97"/>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A0F97"/>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FA0F97"/>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A0F97"/>
    <w:rPr>
      <w:rFonts w:ascii="Times New Roman" w:eastAsia="Times New Roman" w:hAnsi="Times New Roman" w:cs="Times New Roman"/>
      <w:b w:val="0"/>
      <w:sz w:val="24"/>
      <w:szCs w:val="24"/>
      <w:lang w:val="es-ES" w:eastAsia="es-ES"/>
    </w:rPr>
  </w:style>
  <w:style w:type="paragraph" w:styleId="Mapadeldocumento">
    <w:name w:val="Document Map"/>
    <w:basedOn w:val="Normal"/>
    <w:link w:val="MapadeldocumentoCar"/>
    <w:rsid w:val="00FA0F97"/>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A0F97"/>
    <w:rPr>
      <w:rFonts w:ascii="Tahoma" w:eastAsia="Times New Roman" w:hAnsi="Tahoma" w:cs="Tahoma"/>
      <w:sz w:val="20"/>
      <w:szCs w:val="20"/>
      <w:shd w:val="clear" w:color="auto" w:fill="000080"/>
      <w:lang w:val="es-ES" w:eastAsia="es-ES"/>
    </w:rPr>
  </w:style>
  <w:style w:type="paragraph" w:styleId="Sinespaciado">
    <w:name w:val="No Spacing"/>
    <w:uiPriority w:val="1"/>
    <w:qFormat/>
    <w:rsid w:val="00FA0F97"/>
    <w:pPr>
      <w:spacing w:after="0" w:line="240" w:lineRule="auto"/>
    </w:pPr>
    <w:rPr>
      <w:rFonts w:ascii="Calibri" w:eastAsia="Calibri" w:hAnsi="Calibri" w:cs="Times New Roman"/>
    </w:rPr>
  </w:style>
  <w:style w:type="paragraph" w:customStyle="1" w:styleId="ANOTACION">
    <w:name w:val="ANOTACION"/>
    <w:basedOn w:val="Normal"/>
    <w:rsid w:val="00FA0F97"/>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A0F97"/>
    <w:rPr>
      <w:rFonts w:ascii="EUAlbertina" w:eastAsia="Times New Roman" w:hAnsi="EUAlbertina" w:cs="Times New Roman"/>
      <w:color w:val="auto"/>
      <w:lang w:val="es-ES" w:eastAsia="es-ES"/>
    </w:rPr>
  </w:style>
  <w:style w:type="character" w:customStyle="1" w:styleId="eacep1">
    <w:name w:val="eacep1"/>
    <w:rsid w:val="00FA0F97"/>
    <w:rPr>
      <w:color w:val="000000"/>
    </w:rPr>
  </w:style>
  <w:style w:type="paragraph" w:styleId="Listaconvietas">
    <w:name w:val="List Bullet"/>
    <w:basedOn w:val="Normal"/>
    <w:uiPriority w:val="99"/>
    <w:qFormat/>
    <w:rsid w:val="00FA0F97"/>
    <w:pPr>
      <w:numPr>
        <w:numId w:val="4"/>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A0F97"/>
    <w:rPr>
      <w:rFonts w:ascii="Arial" w:eastAsia="Times New Roman" w:hAnsi="Arial" w:cs="Times New Roman"/>
      <w:szCs w:val="24"/>
      <w:lang w:eastAsia="es-ES"/>
    </w:rPr>
  </w:style>
  <w:style w:type="paragraph" w:customStyle="1" w:styleId="Captionsmall">
    <w:name w:val="Caption: small"/>
    <w:basedOn w:val="Descripcin"/>
    <w:next w:val="Normal"/>
    <w:qFormat/>
    <w:rsid w:val="00FA0F97"/>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A0F97"/>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A0F97"/>
    <w:pPr>
      <w:numPr>
        <w:numId w:val="2"/>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A0F97"/>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A0F97"/>
    <w:pPr>
      <w:numPr>
        <w:numId w:val="5"/>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A0F97"/>
    <w:rPr>
      <w:rFonts w:ascii="Times New Roman" w:eastAsia="Calibri" w:hAnsi="Times New Roman" w:cs="Times New Roman"/>
      <w:sz w:val="20"/>
      <w:szCs w:val="20"/>
      <w:lang w:val="es-ES" w:eastAsia="es-ES"/>
    </w:rPr>
  </w:style>
  <w:style w:type="paragraph" w:customStyle="1" w:styleId="Tablecells">
    <w:name w:val="Table: cells"/>
    <w:qFormat/>
    <w:rsid w:val="00FA0F97"/>
    <w:pPr>
      <w:spacing w:before="40" w:after="40" w:line="240" w:lineRule="exact"/>
      <w:ind w:right="113"/>
    </w:pPr>
    <w:rPr>
      <w:rFonts w:ascii="Arial" w:eastAsia="Calibri" w:hAnsi="Arial" w:cs="Times New Roman"/>
      <w:sz w:val="18"/>
      <w:lang w:val="en-GB"/>
    </w:rPr>
  </w:style>
  <w:style w:type="paragraph" w:customStyle="1" w:styleId="Tableheading">
    <w:name w:val="Table: heading"/>
    <w:basedOn w:val="Tablecells"/>
    <w:next w:val="Tablecells"/>
    <w:qFormat/>
    <w:rsid w:val="00FA0F97"/>
    <w:pPr>
      <w:keepNext/>
    </w:pPr>
    <w:rPr>
      <w:b/>
      <w:color w:val="FFFFFF"/>
    </w:rPr>
  </w:style>
  <w:style w:type="table" w:styleId="Tablaconcuadrcula">
    <w:name w:val="Table Grid"/>
    <w:basedOn w:val="Tablanormal"/>
    <w:uiPriority w:val="59"/>
    <w:rsid w:val="00FA0F9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A0F97"/>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A0F97"/>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A0F97"/>
    <w:pPr>
      <w:spacing w:after="600" w:line="320" w:lineRule="atLeast"/>
      <w:jc w:val="center"/>
    </w:pPr>
    <w:rPr>
      <w:rFonts w:ascii="Times New Roman" w:eastAsia="Calibri" w:hAnsi="Times New Roman" w:cs="Times New Roman"/>
      <w:lang w:val="en-GB"/>
    </w:rPr>
  </w:style>
  <w:style w:type="paragraph" w:customStyle="1" w:styleId="ListBullet2Compact">
    <w:name w:val="List Bullet 2 Compact"/>
    <w:basedOn w:val="Listaconvietas2"/>
    <w:qFormat/>
    <w:rsid w:val="00FA0F97"/>
    <w:pPr>
      <w:keepLines/>
      <w:numPr>
        <w:numId w:val="1"/>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A0F97"/>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A0F97"/>
    <w:rPr>
      <w:rFonts w:ascii="Times New Roman" w:eastAsia="Calibri" w:hAnsi="Times New Roman" w:cs="Times New Roman"/>
      <w:lang w:val="es-ES"/>
    </w:rPr>
  </w:style>
  <w:style w:type="paragraph" w:customStyle="1" w:styleId="SBSheader">
    <w:name w:val="SBS: header"/>
    <w:basedOn w:val="Normal"/>
    <w:qFormat/>
    <w:rsid w:val="00FA0F97"/>
    <w:pPr>
      <w:spacing w:after="240" w:line="320" w:lineRule="atLeast"/>
    </w:pPr>
    <w:rPr>
      <w:rFonts w:ascii="Times New Roman" w:hAnsi="Times New Roman"/>
      <w:i/>
      <w:lang w:val="es-ES"/>
    </w:rPr>
  </w:style>
  <w:style w:type="paragraph" w:customStyle="1" w:styleId="L1">
    <w:name w:val="L1"/>
    <w:basedOn w:val="ListBulletCompact"/>
    <w:link w:val="L1Char"/>
    <w:qFormat/>
    <w:rsid w:val="00FA0F97"/>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A0F97"/>
    <w:rPr>
      <w:rFonts w:ascii="Times New Roman" w:eastAsia="Calibri" w:hAnsi="Times New Roman" w:cs="Times New Roman"/>
      <w:sz w:val="20"/>
      <w:szCs w:val="20"/>
      <w:lang w:val="es-ES" w:eastAsia="es-ES"/>
    </w:rPr>
  </w:style>
  <w:style w:type="character" w:customStyle="1" w:styleId="apple-converted-space">
    <w:name w:val="apple-converted-space"/>
    <w:rsid w:val="00FA0F97"/>
  </w:style>
  <w:style w:type="table" w:customStyle="1" w:styleId="Sombreadomedio2-nfasis11">
    <w:name w:val="Sombreado medio 2 - Énfasis 11"/>
    <w:basedOn w:val="Tablanormal"/>
    <w:uiPriority w:val="64"/>
    <w:rsid w:val="00FA0F97"/>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A0F97"/>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A0F97"/>
    <w:rPr>
      <w:rFonts w:ascii="Arial" w:hAnsi="Arial"/>
      <w:sz w:val="16"/>
    </w:rPr>
  </w:style>
  <w:style w:type="character" w:customStyle="1" w:styleId="Listaconvietas2Car">
    <w:name w:val="Lista con viñetas 2 Car"/>
    <w:link w:val="Listaconvietas2"/>
    <w:uiPriority w:val="99"/>
    <w:rsid w:val="00FA0F97"/>
    <w:rPr>
      <w:rFonts w:ascii="Times New Roman" w:eastAsia="Times New Roman" w:hAnsi="Times New Roman" w:cs="Times New Roman"/>
      <w:sz w:val="24"/>
      <w:szCs w:val="24"/>
      <w:lang w:val="es-ES" w:eastAsia="es-ES"/>
    </w:rPr>
  </w:style>
  <w:style w:type="character" w:customStyle="1" w:styleId="FooterChar">
    <w:name w:val="Footer Char"/>
    <w:uiPriority w:val="99"/>
    <w:rsid w:val="00FA0F97"/>
    <w:rPr>
      <w:rFonts w:ascii="Arial" w:hAnsi="Arial"/>
      <w:sz w:val="16"/>
    </w:rPr>
  </w:style>
  <w:style w:type="paragraph" w:customStyle="1" w:styleId="Annex1">
    <w:name w:val="Annex 1"/>
    <w:next w:val="Normal"/>
    <w:qFormat/>
    <w:rsid w:val="00FA0F97"/>
    <w:pPr>
      <w:keepNext/>
      <w:pageBreakBefore/>
      <w:numPr>
        <w:numId w:val="8"/>
      </w:numPr>
      <w:tabs>
        <w:tab w:val="clear" w:pos="1134"/>
      </w:tabs>
      <w:spacing w:after="600" w:line="560" w:lineRule="exact"/>
      <w:ind w:left="720" w:hanging="360"/>
      <w:outlineLvl w:val="0"/>
    </w:pPr>
    <w:rPr>
      <w:rFonts w:ascii="Times New Roman" w:eastAsia="Calibri" w:hAnsi="Times New Roman" w:cs="Times New Roman"/>
      <w:sz w:val="36"/>
      <w:lang w:val="en-GB"/>
    </w:rPr>
  </w:style>
  <w:style w:type="numbering" w:styleId="1ai">
    <w:name w:val="Outline List 1"/>
    <w:basedOn w:val="Sinlista"/>
    <w:uiPriority w:val="99"/>
    <w:unhideWhenUsed/>
    <w:rsid w:val="00FA0F97"/>
    <w:pPr>
      <w:numPr>
        <w:numId w:val="9"/>
      </w:numPr>
    </w:pPr>
  </w:style>
  <w:style w:type="paragraph" w:customStyle="1" w:styleId="LL">
    <w:name w:val="LL"/>
    <w:basedOn w:val="ListBullet2Compact"/>
    <w:rsid w:val="00FA0F97"/>
    <w:pPr>
      <w:numPr>
        <w:numId w:val="7"/>
      </w:numPr>
      <w:ind w:left="714" w:hanging="357"/>
    </w:pPr>
  </w:style>
  <w:style w:type="paragraph" w:customStyle="1" w:styleId="Tablenote">
    <w:name w:val="Table: note"/>
    <w:basedOn w:val="Tablecells"/>
    <w:qFormat/>
    <w:rsid w:val="00FA0F97"/>
    <w:pPr>
      <w:pBdr>
        <w:bottom w:val="single" w:sz="4" w:space="9" w:color="auto"/>
      </w:pBdr>
      <w:spacing w:before="100" w:after="0"/>
      <w:ind w:left="357" w:right="0" w:hanging="357"/>
    </w:pPr>
  </w:style>
  <w:style w:type="paragraph" w:customStyle="1" w:styleId="Tablebullet">
    <w:name w:val="Table: bullet"/>
    <w:basedOn w:val="Tablecells"/>
    <w:qFormat/>
    <w:rsid w:val="00FA0F97"/>
    <w:pPr>
      <w:numPr>
        <w:numId w:val="10"/>
      </w:numPr>
      <w:tabs>
        <w:tab w:val="num" w:pos="567"/>
      </w:tabs>
      <w:ind w:left="227" w:hanging="227"/>
    </w:pPr>
  </w:style>
  <w:style w:type="paragraph" w:styleId="TDC2">
    <w:name w:val="toc 2"/>
    <w:basedOn w:val="TDC1"/>
    <w:next w:val="Normal"/>
    <w:autoRedefine/>
    <w:uiPriority w:val="39"/>
    <w:unhideWhenUsed/>
    <w:rsid w:val="00FA0F97"/>
    <w:pPr>
      <w:keepNext w:val="0"/>
      <w:spacing w:before="0"/>
    </w:pPr>
    <w:rPr>
      <w:b w:val="0"/>
      <w:noProof/>
    </w:rPr>
  </w:style>
  <w:style w:type="character" w:customStyle="1" w:styleId="ConfidentialFooter">
    <w:name w:val="ConfidentialFooter"/>
    <w:rsid w:val="00FA0F97"/>
    <w:rPr>
      <w:color w:val="FFFFFF"/>
      <w:sz w:val="2"/>
    </w:rPr>
  </w:style>
  <w:style w:type="paragraph" w:customStyle="1" w:styleId="ConfidentialFront">
    <w:name w:val="ConfidentialFront"/>
    <w:basedOn w:val="Normal"/>
    <w:qFormat/>
    <w:rsid w:val="00FA0F97"/>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A0F97"/>
    <w:pPr>
      <w:keepNext/>
      <w:numPr>
        <w:numId w:val="11"/>
      </w:numPr>
      <w:spacing w:line="320" w:lineRule="atLeast"/>
      <w:ind w:left="357" w:hanging="357"/>
      <w:jc w:val="both"/>
    </w:pPr>
    <w:rPr>
      <w:rFonts w:ascii="Times New Roman" w:hAnsi="Times New Roman"/>
      <w:i/>
      <w:lang w:val="es-ES"/>
    </w:rPr>
  </w:style>
  <w:style w:type="character" w:customStyle="1" w:styleId="H5Char">
    <w:name w:val="H5 Char"/>
    <w:link w:val="H5"/>
    <w:rsid w:val="00FA0F97"/>
    <w:rPr>
      <w:rFonts w:ascii="Times New Roman" w:eastAsia="Calibri" w:hAnsi="Times New Roman" w:cs="Times New Roman"/>
      <w:i/>
      <w:lang w:val="es-ES"/>
    </w:rPr>
  </w:style>
  <w:style w:type="paragraph" w:styleId="TDC1">
    <w:name w:val="toc 1"/>
    <w:basedOn w:val="Normal"/>
    <w:next w:val="Normal"/>
    <w:autoRedefine/>
    <w:uiPriority w:val="39"/>
    <w:unhideWhenUsed/>
    <w:rsid w:val="00FA0F97"/>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A0F97"/>
    <w:rPr>
      <w:sz w:val="20"/>
    </w:rPr>
  </w:style>
  <w:style w:type="paragraph" w:styleId="TDC4">
    <w:name w:val="toc 4"/>
    <w:basedOn w:val="TDC3"/>
    <w:next w:val="Normal"/>
    <w:autoRedefine/>
    <w:uiPriority w:val="39"/>
    <w:unhideWhenUsed/>
    <w:rsid w:val="00FA0F97"/>
  </w:style>
  <w:style w:type="paragraph" w:customStyle="1" w:styleId="Annex2">
    <w:name w:val="Annex 2"/>
    <w:next w:val="Normal"/>
    <w:qFormat/>
    <w:rsid w:val="00FA0F97"/>
    <w:pPr>
      <w:keepNext/>
      <w:numPr>
        <w:ilvl w:val="1"/>
        <w:numId w:val="8"/>
      </w:numPr>
      <w:spacing w:before="360" w:after="200" w:line="320" w:lineRule="atLeast"/>
      <w:ind w:left="1440" w:hanging="360"/>
    </w:pPr>
    <w:rPr>
      <w:rFonts w:ascii="Times New Roman" w:eastAsia="Calibri" w:hAnsi="Times New Roman" w:cs="Times New Roman"/>
      <w:b/>
      <w:sz w:val="24"/>
      <w:lang w:val="en-GB"/>
    </w:rPr>
  </w:style>
  <w:style w:type="paragraph" w:customStyle="1" w:styleId="Annex3">
    <w:name w:val="Annex 3"/>
    <w:next w:val="Normal"/>
    <w:qFormat/>
    <w:rsid w:val="00FA0F97"/>
    <w:pPr>
      <w:keepNext/>
      <w:numPr>
        <w:ilvl w:val="2"/>
        <w:numId w:val="8"/>
      </w:numPr>
      <w:spacing w:before="360" w:after="240" w:line="320" w:lineRule="atLeast"/>
      <w:ind w:left="2160" w:hanging="180"/>
    </w:pPr>
    <w:rPr>
      <w:rFonts w:ascii="Times New Roman" w:eastAsia="Calibri" w:hAnsi="Times New Roman" w:cs="Times New Roman"/>
      <w:b/>
      <w:lang w:val="en-GB"/>
    </w:rPr>
  </w:style>
  <w:style w:type="paragraph" w:customStyle="1" w:styleId="Annex4">
    <w:name w:val="Annex 4"/>
    <w:next w:val="Normal"/>
    <w:qFormat/>
    <w:rsid w:val="00FA0F97"/>
    <w:pPr>
      <w:keepNext/>
      <w:numPr>
        <w:ilvl w:val="3"/>
        <w:numId w:val="8"/>
      </w:numPr>
      <w:spacing w:before="360" w:after="240" w:line="320" w:lineRule="atLeast"/>
      <w:ind w:left="2880" w:hanging="360"/>
    </w:pPr>
    <w:rPr>
      <w:rFonts w:ascii="Times New Roman" w:eastAsia="Calibri" w:hAnsi="Times New Roman" w:cs="Times New Roman"/>
      <w:i/>
      <w:lang w:val="en-GB"/>
    </w:rPr>
  </w:style>
  <w:style w:type="paragraph" w:customStyle="1" w:styleId="cvcont">
    <w:name w:val="cvcont"/>
    <w:basedOn w:val="Normal"/>
    <w:next w:val="Normal"/>
    <w:qFormat/>
    <w:rsid w:val="00FA0F97"/>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A0F97"/>
    <w:pPr>
      <w:spacing w:before="2240" w:after="240" w:line="510" w:lineRule="exact"/>
      <w:ind w:left="5103" w:right="-397"/>
    </w:pPr>
    <w:rPr>
      <w:rFonts w:ascii="Arial" w:eastAsia="Times New Roman" w:hAnsi="Arial" w:cs="Times New Roman"/>
      <w:b/>
      <w:bCs/>
      <w:color w:val="003352"/>
      <w:spacing w:val="8"/>
      <w:sz w:val="24"/>
      <w:szCs w:val="24"/>
      <w:lang w:val="es-ES"/>
    </w:rPr>
  </w:style>
  <w:style w:type="paragraph" w:customStyle="1" w:styleId="Titlemain">
    <w:name w:val="Title: main"/>
    <w:next w:val="Titleauthor"/>
    <w:qFormat/>
    <w:rsid w:val="00FA0F97"/>
    <w:pPr>
      <w:spacing w:after="40" w:line="510" w:lineRule="exact"/>
      <w:ind w:left="5103" w:right="-397"/>
    </w:pPr>
    <w:rPr>
      <w:rFonts w:ascii="Arial" w:eastAsia="Times New Roman" w:hAnsi="Arial" w:cs="Times New Roman"/>
      <w:bCs/>
      <w:spacing w:val="8"/>
      <w:sz w:val="34"/>
      <w:szCs w:val="34"/>
      <w:lang w:val="en-GB"/>
    </w:rPr>
  </w:style>
  <w:style w:type="paragraph" w:customStyle="1" w:styleId="Titleauthor">
    <w:name w:val="Title: author"/>
    <w:basedOn w:val="Titletype"/>
    <w:next w:val="Titledate"/>
    <w:qFormat/>
    <w:rsid w:val="00FA0F97"/>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A0F97"/>
    <w:pPr>
      <w:spacing w:after="160"/>
    </w:pPr>
    <w:rPr>
      <w:i/>
      <w:color w:val="003352"/>
      <w:sz w:val="24"/>
      <w:szCs w:val="24"/>
    </w:rPr>
  </w:style>
  <w:style w:type="paragraph" w:customStyle="1" w:styleId="TitleRefNo">
    <w:name w:val="Title: RefNo"/>
    <w:basedOn w:val="Titledate"/>
    <w:next w:val="Normal"/>
    <w:qFormat/>
    <w:rsid w:val="00FA0F97"/>
    <w:rPr>
      <w:i w:val="0"/>
      <w:sz w:val="22"/>
    </w:rPr>
  </w:style>
  <w:style w:type="paragraph" w:customStyle="1" w:styleId="Contentsheading">
    <w:name w:val="Contents: heading"/>
    <w:basedOn w:val="Normal"/>
    <w:next w:val="TDC1"/>
    <w:qFormat/>
    <w:rsid w:val="00FA0F97"/>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A0F97"/>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A0F97"/>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A0F97"/>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A0F97"/>
    <w:pPr>
      <w:spacing w:after="0" w:line="320" w:lineRule="atLeast"/>
      <w:jc w:val="both"/>
    </w:pPr>
    <w:rPr>
      <w:rFonts w:ascii="Times New Roman" w:hAnsi="Times New Roman"/>
      <w:lang w:val="es-ES"/>
    </w:rPr>
  </w:style>
  <w:style w:type="paragraph" w:customStyle="1" w:styleId="Titleaddress">
    <w:name w:val="Title: address"/>
    <w:basedOn w:val="01"/>
    <w:qFormat/>
    <w:rsid w:val="00FA0F97"/>
    <w:pPr>
      <w:ind w:left="567"/>
    </w:pPr>
  </w:style>
  <w:style w:type="paragraph" w:customStyle="1" w:styleId="Titleversion">
    <w:name w:val="Title: version"/>
    <w:basedOn w:val="Normal"/>
    <w:rsid w:val="00FA0F97"/>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A0F9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A0F97"/>
  </w:style>
  <w:style w:type="table" w:styleId="Tablaclsica2">
    <w:name w:val="Table Classic 2"/>
    <w:basedOn w:val="Tablanormal"/>
    <w:rsid w:val="00FA0F97"/>
    <w:pPr>
      <w:spacing w:after="0" w:line="240" w:lineRule="auto"/>
      <w:jc w:val="both"/>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A0F97"/>
    <w:pPr>
      <w:spacing w:after="0" w:line="240" w:lineRule="auto"/>
      <w:jc w:val="both"/>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A0F97"/>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A0F97"/>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A0F97"/>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A0F97"/>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A0F97"/>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A0F97"/>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A0F97"/>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A0F97"/>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A0F97"/>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A0F97"/>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A0F97"/>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A0F97"/>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A0F97"/>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A0F97"/>
    <w:pPr>
      <w:spacing w:after="0" w:line="240" w:lineRule="auto"/>
      <w:jc w:val="both"/>
    </w:pPr>
    <w:rPr>
      <w:rFonts w:ascii="Times New Roman" w:eastAsia="Times New Roman" w:hAnsi="Times New Roman" w:cs="Times New Roman"/>
      <w:color w:val="000080"/>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A0F97"/>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A0F97"/>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A0F97"/>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A0F97"/>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A0F97"/>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A0F97"/>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A0F97"/>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A0F97"/>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A0F97"/>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A0F97"/>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A0F97"/>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A0F97"/>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A0F97"/>
  </w:style>
  <w:style w:type="numbering" w:customStyle="1" w:styleId="Sinlista11">
    <w:name w:val="Sin lista11"/>
    <w:next w:val="Sinlista"/>
    <w:semiHidden/>
    <w:unhideWhenUsed/>
    <w:rsid w:val="00FA0F97"/>
  </w:style>
  <w:style w:type="numbering" w:customStyle="1" w:styleId="Sinlista2">
    <w:name w:val="Sin lista2"/>
    <w:next w:val="Sinlista"/>
    <w:semiHidden/>
    <w:rsid w:val="00FA0F97"/>
  </w:style>
  <w:style w:type="numbering" w:customStyle="1" w:styleId="Sinlista3">
    <w:name w:val="Sin lista3"/>
    <w:next w:val="Sinlista"/>
    <w:uiPriority w:val="99"/>
    <w:semiHidden/>
    <w:unhideWhenUsed/>
    <w:rsid w:val="00FA0F97"/>
  </w:style>
  <w:style w:type="numbering" w:customStyle="1" w:styleId="Sinlista4">
    <w:name w:val="Sin lista4"/>
    <w:next w:val="Sinlista"/>
    <w:uiPriority w:val="99"/>
    <w:semiHidden/>
    <w:unhideWhenUsed/>
    <w:rsid w:val="00FA0F97"/>
  </w:style>
  <w:style w:type="numbering" w:customStyle="1" w:styleId="1ai1">
    <w:name w:val="1 / a / i1"/>
    <w:basedOn w:val="Sinlista"/>
    <w:next w:val="1ai"/>
    <w:uiPriority w:val="99"/>
    <w:unhideWhenUsed/>
    <w:rsid w:val="00FA0F97"/>
    <w:pPr>
      <w:numPr>
        <w:numId w:val="6"/>
      </w:numPr>
    </w:pPr>
  </w:style>
  <w:style w:type="paragraph" w:customStyle="1" w:styleId="xl69">
    <w:name w:val="xl69"/>
    <w:basedOn w:val="Normal"/>
    <w:rsid w:val="00FA0F97"/>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A0F97"/>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A0F97"/>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A0F97"/>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A0F9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A0F97"/>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A0F97"/>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A0F97"/>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A0F97"/>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A0F97"/>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A0F9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A0F97"/>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A0F97"/>
  </w:style>
  <w:style w:type="numbering" w:customStyle="1" w:styleId="Sinlista111">
    <w:name w:val="Sin lista111"/>
    <w:next w:val="Sinlista"/>
    <w:semiHidden/>
    <w:unhideWhenUsed/>
    <w:rsid w:val="00FA0F97"/>
  </w:style>
  <w:style w:type="table" w:customStyle="1" w:styleId="Tablaconcuadrcula1">
    <w:name w:val="Tabla con cuadrícula1"/>
    <w:basedOn w:val="Tablanormal"/>
    <w:next w:val="Tablaconcuadrcula"/>
    <w:uiPriority w:val="59"/>
    <w:rsid w:val="00FA0F9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A0F97"/>
  </w:style>
  <w:style w:type="numbering" w:customStyle="1" w:styleId="Sinlista31">
    <w:name w:val="Sin lista31"/>
    <w:next w:val="Sinlista"/>
    <w:uiPriority w:val="99"/>
    <w:semiHidden/>
    <w:unhideWhenUsed/>
    <w:rsid w:val="00FA0F97"/>
  </w:style>
  <w:style w:type="numbering" w:customStyle="1" w:styleId="Sinlista41">
    <w:name w:val="Sin lista41"/>
    <w:next w:val="Sinlista"/>
    <w:uiPriority w:val="99"/>
    <w:semiHidden/>
    <w:unhideWhenUsed/>
    <w:rsid w:val="00FA0F97"/>
  </w:style>
  <w:style w:type="paragraph" w:customStyle="1" w:styleId="Titulo1">
    <w:name w:val="Titulo 1"/>
    <w:basedOn w:val="Texto0"/>
    <w:rsid w:val="00FA0F97"/>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FA0F97"/>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A0F97"/>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A0F97"/>
    <w:rPr>
      <w:rFonts w:ascii="Arial" w:eastAsia="Times New Roman" w:hAnsi="Arial" w:cs="Times New Roman"/>
      <w:sz w:val="30"/>
      <w:szCs w:val="30"/>
      <w:lang w:val="es-ES_tradnl" w:eastAsia="es-ES"/>
    </w:rPr>
  </w:style>
  <w:style w:type="table" w:customStyle="1" w:styleId="Tablanormal31">
    <w:name w:val="Tabla normal 31"/>
    <w:basedOn w:val="Tablanormal"/>
    <w:uiPriority w:val="43"/>
    <w:rsid w:val="00FA0F97"/>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FA0F97"/>
    <w:pPr>
      <w:spacing w:after="0" w:line="240" w:lineRule="auto"/>
    </w:pPr>
    <w:rPr>
      <w:rFonts w:ascii="Calibri" w:eastAsia="Calibri" w:hAnsi="Calibri" w:cs="Times New Roman"/>
    </w:rPr>
  </w:style>
  <w:style w:type="character" w:customStyle="1" w:styleId="ROMANOSCar">
    <w:name w:val="ROMANOS Car"/>
    <w:link w:val="ROMANOS"/>
    <w:locked/>
    <w:rsid w:val="00FA0F97"/>
    <w:rPr>
      <w:rFonts w:ascii="Arial" w:eastAsia="Times New Roman" w:hAnsi="Arial" w:cs="Times New Roman"/>
      <w:sz w:val="18"/>
      <w:szCs w:val="20"/>
      <w:lang w:val="es-ES_tradnl" w:eastAsia="es-ES"/>
    </w:rPr>
  </w:style>
  <w:style w:type="paragraph" w:customStyle="1" w:styleId="Normal2">
    <w:name w:val="Normal2"/>
    <w:rsid w:val="00FA0F97"/>
    <w:pPr>
      <w:spacing w:after="0" w:line="276" w:lineRule="auto"/>
    </w:pPr>
    <w:rPr>
      <w:rFonts w:ascii="Arial" w:eastAsia="Arial" w:hAnsi="Arial" w:cs="Arial"/>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35</Pages>
  <Words>14149</Words>
  <Characters>77820</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3</cp:revision>
  <dcterms:created xsi:type="dcterms:W3CDTF">2016-02-24T01:50:00Z</dcterms:created>
  <dcterms:modified xsi:type="dcterms:W3CDTF">2016-02-24T02:13:00Z</dcterms:modified>
</cp:coreProperties>
</file>