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718525" w14:textId="77777777" w:rsidR="00510083" w:rsidRPr="00510083" w:rsidRDefault="005F4624" w:rsidP="00510083">
      <w:pPr>
        <w:pStyle w:val="Ttulo1"/>
        <w:spacing w:after="240" w:line="240" w:lineRule="auto"/>
        <w:jc w:val="both"/>
        <w:rPr>
          <w:rFonts w:ascii="ITC Avant Garde" w:hAnsi="ITC Avant Garde"/>
          <w:b/>
          <w:color w:val="000000" w:themeColor="text1"/>
          <w:sz w:val="22"/>
          <w:szCs w:val="22"/>
          <w:lang w:eastAsia="es-MX"/>
        </w:rPr>
      </w:pPr>
      <w:r w:rsidRPr="00510083">
        <w:rPr>
          <w:rFonts w:ascii="ITC Avant Garde" w:hAnsi="ITC Avant Garde"/>
          <w:b/>
          <w:color w:val="000000" w:themeColor="text1"/>
          <w:sz w:val="22"/>
          <w:szCs w:val="22"/>
          <w:lang w:eastAsia="es-MX"/>
        </w:rPr>
        <w:t>RESOLUCIÓN POR LA CUAL EL PLENO DEL INSTITUTO FEDERAL DE TELECOMUNICACIONES MODIFICA EL TÍTULO DE CONCESIÓN OTORGADO A SISTEMAS SATELITALES DE MÉXICO, S. DE R.L. DE C.V., PARA EXPLOTAR LOS DERECHOS DE EMISIÓN Y RECEPCIÓN DE SEÑALES DE BANDAS DE FRECUENCIAS ASOCIADAS A SATÉLITES EXTRANJEROS QUE CUBREN Y PUEDEN PRESTAR SERVICIOS EN EL TERRITORIO NACIONAL</w:t>
      </w:r>
      <w:r w:rsidR="00693E93" w:rsidRPr="00510083">
        <w:rPr>
          <w:rFonts w:ascii="ITC Avant Garde" w:hAnsi="ITC Avant Garde"/>
          <w:b/>
          <w:color w:val="000000" w:themeColor="text1"/>
          <w:sz w:val="22"/>
          <w:szCs w:val="22"/>
          <w:lang w:eastAsia="es-MX"/>
        </w:rPr>
        <w:t>.</w:t>
      </w:r>
    </w:p>
    <w:p w14:paraId="5333FB10" w14:textId="77777777" w:rsidR="00510083" w:rsidRPr="00510083" w:rsidRDefault="00A05167" w:rsidP="00510083">
      <w:pPr>
        <w:pStyle w:val="Ttulo2"/>
        <w:spacing w:after="240"/>
        <w:jc w:val="center"/>
        <w:rPr>
          <w:rFonts w:ascii="ITC Avant Garde" w:hAnsi="ITC Avant Garde"/>
          <w:b/>
          <w:color w:val="000000" w:themeColor="text1"/>
          <w:sz w:val="22"/>
          <w:szCs w:val="22"/>
        </w:rPr>
      </w:pPr>
      <w:r w:rsidRPr="00510083">
        <w:rPr>
          <w:rFonts w:ascii="ITC Avant Garde" w:hAnsi="ITC Avant Garde"/>
          <w:b/>
          <w:color w:val="000000" w:themeColor="text1"/>
          <w:sz w:val="22"/>
          <w:szCs w:val="22"/>
        </w:rPr>
        <w:t>ANTECEDENTES</w:t>
      </w:r>
    </w:p>
    <w:p w14:paraId="2F9586E6" w14:textId="77777777" w:rsidR="00510083" w:rsidRPr="00510083" w:rsidRDefault="005F4624" w:rsidP="00510083">
      <w:pPr>
        <w:numPr>
          <w:ilvl w:val="0"/>
          <w:numId w:val="8"/>
        </w:numPr>
        <w:spacing w:before="240" w:after="240" w:line="240" w:lineRule="auto"/>
        <w:ind w:left="0" w:firstLine="0"/>
        <w:jc w:val="both"/>
        <w:rPr>
          <w:rFonts w:ascii="ITC Avant Garde" w:hAnsi="ITC Avant Garde"/>
          <w:bCs/>
          <w:color w:val="000000"/>
          <w:lang w:eastAsia="es-MX"/>
        </w:rPr>
      </w:pPr>
      <w:r w:rsidRPr="00510083">
        <w:rPr>
          <w:rFonts w:ascii="ITC Avant Garde" w:hAnsi="ITC Avant Garde"/>
          <w:b/>
          <w:color w:val="000000"/>
          <w:lang w:eastAsia="es-ES"/>
        </w:rPr>
        <w:t>Prórroga y Modificación de la Concesión.</w:t>
      </w:r>
      <w:r w:rsidRPr="00510083">
        <w:rPr>
          <w:rFonts w:ascii="ITC Avant Garde" w:hAnsi="ITC Avant Garde"/>
          <w:color w:val="000000"/>
          <w:lang w:eastAsia="es-ES"/>
        </w:rPr>
        <w:t xml:space="preserve"> Con fecha 26 de septiembre de 2011, la Secretaría de Comunicaciones y Transportes (</w:t>
      </w:r>
      <w:r w:rsidR="00B93BCC" w:rsidRPr="00510083">
        <w:rPr>
          <w:rFonts w:ascii="ITC Avant Garde" w:hAnsi="ITC Avant Garde"/>
          <w:color w:val="000000"/>
          <w:lang w:eastAsia="es-ES"/>
        </w:rPr>
        <w:t xml:space="preserve">la </w:t>
      </w:r>
      <w:r w:rsidRPr="00510083">
        <w:rPr>
          <w:rFonts w:ascii="ITC Avant Garde" w:hAnsi="ITC Avant Garde"/>
          <w:color w:val="000000"/>
          <w:lang w:eastAsia="es-ES"/>
        </w:rPr>
        <w:t>“Secretaría</w:t>
      </w:r>
      <w:r w:rsidR="007F7038" w:rsidRPr="00510083">
        <w:rPr>
          <w:rFonts w:ascii="ITC Avant Garde" w:hAnsi="ITC Avant Garde"/>
          <w:color w:val="000000"/>
          <w:lang w:eastAsia="es-ES"/>
        </w:rPr>
        <w:t>”</w:t>
      </w:r>
      <w:r w:rsidRPr="00510083">
        <w:rPr>
          <w:rFonts w:ascii="ITC Avant Garde" w:hAnsi="ITC Avant Garde"/>
          <w:color w:val="000000"/>
          <w:lang w:eastAsia="es-ES"/>
        </w:rPr>
        <w:t>) autorizó a Sistemas Satelitales de México, S de R.L. de C.V. (</w:t>
      </w:r>
      <w:r w:rsidR="00B93BCC" w:rsidRPr="00510083">
        <w:rPr>
          <w:rFonts w:ascii="ITC Avant Garde" w:hAnsi="ITC Avant Garde"/>
          <w:color w:val="000000"/>
          <w:lang w:eastAsia="es-ES"/>
        </w:rPr>
        <w:t xml:space="preserve">el </w:t>
      </w:r>
      <w:r w:rsidRPr="00510083">
        <w:rPr>
          <w:rFonts w:ascii="ITC Avant Garde" w:hAnsi="ITC Avant Garde"/>
          <w:color w:val="000000"/>
          <w:lang w:eastAsia="es-ES"/>
        </w:rPr>
        <w:t>“Concesionario”) la Prórroga y Modificación de Título de Concesión para explotar los derechos de emisión y recepción de señales de bandas de frecuencias asociados a los satélites extranjeros AMC-1, AMC-2, AMC-3, AMC-4, AMC-5, AMC-6, AMC-7, AMC-9, AMC-10, AMC-11, AMC-12, AMC-15, AMC-16, AMC-18, AMC-21, NSS-5, NSS-7, NSS-9, NSS-806, SES-1 y SES-4, que cubre</w:t>
      </w:r>
      <w:r w:rsidR="00B93BCC" w:rsidRPr="00510083">
        <w:rPr>
          <w:rFonts w:ascii="ITC Avant Garde" w:hAnsi="ITC Avant Garde"/>
          <w:color w:val="000000"/>
          <w:lang w:eastAsia="es-ES"/>
        </w:rPr>
        <w:t>n</w:t>
      </w:r>
      <w:r w:rsidRPr="00510083">
        <w:rPr>
          <w:rFonts w:ascii="ITC Avant Garde" w:hAnsi="ITC Avant Garde"/>
          <w:color w:val="000000"/>
          <w:lang w:eastAsia="es-ES"/>
        </w:rPr>
        <w:t xml:space="preserve"> y pueden prestar serv</w:t>
      </w:r>
      <w:r w:rsidR="00B93BCC" w:rsidRPr="00510083">
        <w:rPr>
          <w:rFonts w:ascii="ITC Avant Garde" w:hAnsi="ITC Avant Garde"/>
          <w:color w:val="000000"/>
          <w:lang w:eastAsia="es-ES"/>
        </w:rPr>
        <w:t>icios en el territorio nacional</w:t>
      </w:r>
      <w:r w:rsidRPr="00510083" w:rsidDel="00B445F8">
        <w:rPr>
          <w:rFonts w:ascii="ITC Avant Garde" w:hAnsi="ITC Avant Garde"/>
          <w:color w:val="000000"/>
          <w:lang w:eastAsia="es-ES"/>
        </w:rPr>
        <w:t xml:space="preserve"> </w:t>
      </w:r>
      <w:r w:rsidRPr="00510083">
        <w:rPr>
          <w:rFonts w:ascii="ITC Avant Garde" w:hAnsi="ITC Avant Garde"/>
          <w:color w:val="000000"/>
          <w:lang w:eastAsia="es-ES"/>
        </w:rPr>
        <w:t>(</w:t>
      </w:r>
      <w:r w:rsidR="00B93BCC" w:rsidRPr="00510083">
        <w:rPr>
          <w:rFonts w:ascii="ITC Avant Garde" w:hAnsi="ITC Avant Garde"/>
          <w:color w:val="000000"/>
          <w:lang w:eastAsia="es-ES"/>
        </w:rPr>
        <w:t xml:space="preserve">la </w:t>
      </w:r>
      <w:r w:rsidRPr="00510083">
        <w:rPr>
          <w:rFonts w:ascii="ITC Avant Garde" w:hAnsi="ITC Avant Garde"/>
          <w:color w:val="000000"/>
          <w:lang w:eastAsia="es-ES"/>
        </w:rPr>
        <w:t>“Concesión”).</w:t>
      </w:r>
    </w:p>
    <w:p w14:paraId="37316AB5" w14:textId="77777777" w:rsidR="00510083" w:rsidRPr="00510083" w:rsidRDefault="005F4624" w:rsidP="00510083">
      <w:pPr>
        <w:numPr>
          <w:ilvl w:val="0"/>
          <w:numId w:val="8"/>
        </w:numPr>
        <w:spacing w:before="240" w:after="240" w:line="240" w:lineRule="auto"/>
        <w:ind w:left="0" w:firstLine="0"/>
        <w:jc w:val="both"/>
        <w:rPr>
          <w:rFonts w:ascii="ITC Avant Garde" w:hAnsi="ITC Avant Garde"/>
          <w:bCs/>
          <w:color w:val="000000"/>
          <w:lang w:eastAsia="es-MX"/>
        </w:rPr>
      </w:pPr>
      <w:r w:rsidRPr="00510083">
        <w:rPr>
          <w:rFonts w:ascii="ITC Avant Garde" w:hAnsi="ITC Avant Garde"/>
          <w:b/>
          <w:color w:val="000000"/>
          <w:lang w:eastAsia="es-ES"/>
        </w:rPr>
        <w:t>Modificaciones a la Concesión.</w:t>
      </w:r>
      <w:r w:rsidRPr="00510083">
        <w:rPr>
          <w:rFonts w:ascii="ITC Avant Garde" w:hAnsi="ITC Avant Garde"/>
          <w:color w:val="000000"/>
          <w:lang w:eastAsia="es-ES"/>
        </w:rPr>
        <w:t xml:space="preserve"> Con fecha 12 de abril de 2012, la Secretaría modificó la Concesión, a fin de incluir la banda </w:t>
      </w:r>
      <w:proofErr w:type="spellStart"/>
      <w:r w:rsidRPr="00510083">
        <w:rPr>
          <w:rFonts w:ascii="ITC Avant Garde" w:hAnsi="ITC Avant Garde"/>
          <w:color w:val="000000"/>
          <w:lang w:eastAsia="es-ES"/>
        </w:rPr>
        <w:t>Ka</w:t>
      </w:r>
      <w:proofErr w:type="spellEnd"/>
      <w:r w:rsidRPr="00510083">
        <w:rPr>
          <w:rFonts w:ascii="ITC Avant Garde" w:hAnsi="ITC Avant Garde"/>
          <w:color w:val="000000"/>
          <w:lang w:eastAsia="es-ES"/>
        </w:rPr>
        <w:t xml:space="preserve"> en los satélites AMC-15 (ubicado en la posición orbital geoestacionaria,</w:t>
      </w:r>
      <w:r w:rsidR="00AE7AA5" w:rsidRPr="00510083">
        <w:rPr>
          <w:rFonts w:ascii="ITC Avant Garde" w:hAnsi="ITC Avant Garde"/>
          <w:color w:val="000000"/>
          <w:lang w:eastAsia="es-ES"/>
        </w:rPr>
        <w:t xml:space="preserve"> </w:t>
      </w:r>
      <w:r w:rsidRPr="00510083">
        <w:rPr>
          <w:rFonts w:ascii="ITC Avant Garde" w:hAnsi="ITC Avant Garde"/>
          <w:color w:val="000000"/>
          <w:lang w:eastAsia="es-ES"/>
        </w:rPr>
        <w:t>“POG”, 105° Oeste) y AMC-16 (ubicado en la POG 85° Oeste), así como la adición del satélite NSS-703 (ubicado en la POG 47° Oeste) en la banda C convencional operando en órbita inclinada, y la reubicación del satélite NSS-7 de la POG 22° Oeste a la POG 20° Oeste.</w:t>
      </w:r>
    </w:p>
    <w:p w14:paraId="4C93C013" w14:textId="77777777" w:rsidR="00510083" w:rsidRPr="00510083" w:rsidRDefault="005F4624" w:rsidP="00510083">
      <w:pPr>
        <w:spacing w:before="240" w:after="240" w:line="240" w:lineRule="auto"/>
        <w:jc w:val="both"/>
        <w:rPr>
          <w:rFonts w:ascii="ITC Avant Garde" w:hAnsi="ITC Avant Garde"/>
          <w:color w:val="000000"/>
          <w:lang w:eastAsia="es-ES"/>
        </w:rPr>
      </w:pPr>
      <w:r w:rsidRPr="00510083">
        <w:rPr>
          <w:rFonts w:ascii="ITC Avant Garde" w:hAnsi="ITC Avant Garde"/>
          <w:color w:val="000000"/>
          <w:lang w:eastAsia="es-ES"/>
        </w:rPr>
        <w:t xml:space="preserve">Con fecha 17 de mayo de 2012, la Secretaría modificó la Concesión a fin de reemplazar el satélite AMC-3 (ubicado en la POG 87° Oeste) por el satélite SES-2 en la misma POG en las bandas C y </w:t>
      </w:r>
      <w:proofErr w:type="spellStart"/>
      <w:r w:rsidRPr="00510083">
        <w:rPr>
          <w:rFonts w:ascii="ITC Avant Garde" w:hAnsi="ITC Avant Garde"/>
          <w:color w:val="000000"/>
          <w:lang w:eastAsia="es-ES"/>
        </w:rPr>
        <w:t>Ku</w:t>
      </w:r>
      <w:proofErr w:type="spellEnd"/>
      <w:r w:rsidRPr="00510083">
        <w:rPr>
          <w:rFonts w:ascii="ITC Avant Garde" w:hAnsi="ITC Avant Garde"/>
          <w:color w:val="000000"/>
          <w:lang w:eastAsia="es-ES"/>
        </w:rPr>
        <w:t xml:space="preserve"> convencionales, así como reubicar el satélite AMC-3 en la POG 67° Oeste.</w:t>
      </w:r>
    </w:p>
    <w:p w14:paraId="397DAF86" w14:textId="77777777" w:rsidR="00510083" w:rsidRPr="00510083" w:rsidRDefault="005F4624" w:rsidP="00510083">
      <w:pPr>
        <w:spacing w:before="240" w:after="240" w:line="240" w:lineRule="auto"/>
        <w:jc w:val="both"/>
        <w:rPr>
          <w:rFonts w:ascii="ITC Avant Garde" w:hAnsi="ITC Avant Garde"/>
          <w:color w:val="000000"/>
        </w:rPr>
      </w:pPr>
      <w:r w:rsidRPr="00510083">
        <w:rPr>
          <w:rFonts w:ascii="ITC Avant Garde" w:hAnsi="ITC Avant Garde"/>
          <w:color w:val="000000"/>
        </w:rPr>
        <w:t>Con oficio IFT/D03/USI/97/2014, de fecha 12 de febrero de 2014, la entonces Unidad de Servicios a la Industria (</w:t>
      </w:r>
      <w:r w:rsidR="00D7647F" w:rsidRPr="00510083">
        <w:rPr>
          <w:rFonts w:ascii="ITC Avant Garde" w:hAnsi="ITC Avant Garde"/>
          <w:color w:val="000000"/>
        </w:rPr>
        <w:t xml:space="preserve">la </w:t>
      </w:r>
      <w:r w:rsidRPr="00510083">
        <w:rPr>
          <w:rFonts w:ascii="ITC Avant Garde" w:hAnsi="ITC Avant Garde"/>
          <w:color w:val="000000"/>
        </w:rPr>
        <w:t>“USI”) del Instituto Federal de Telecomunicaciones</w:t>
      </w:r>
      <w:r w:rsidR="00D7647F" w:rsidRPr="00510083">
        <w:rPr>
          <w:rFonts w:ascii="ITC Avant Garde" w:hAnsi="ITC Avant Garde"/>
          <w:color w:val="000000"/>
        </w:rPr>
        <w:t xml:space="preserve"> (el “Instituto”)</w:t>
      </w:r>
      <w:r w:rsidRPr="00510083">
        <w:rPr>
          <w:rFonts w:ascii="ITC Avant Garde" w:hAnsi="ITC Avant Garde"/>
          <w:color w:val="000000"/>
        </w:rPr>
        <w:t>, autorizó la modificación a la Concesión a fin de reemplazar el satélite NSS-806 por el satélite SES-6 (ubicado en la POG 40.5° Oeste), eliminar los satélites AMC-2 (ubicado en la POG 79° Oeste) y NSS-5 (ubicado en la POG 20° Oeste), y adicionar el sistema satelital extranjero no geoestacionario (de órbita media) denominado O3b.</w:t>
      </w:r>
    </w:p>
    <w:p w14:paraId="5686716C" w14:textId="77777777" w:rsidR="00510083" w:rsidRPr="00510083" w:rsidRDefault="005F4624" w:rsidP="00510083">
      <w:pPr>
        <w:spacing w:before="240" w:after="240" w:line="240" w:lineRule="auto"/>
        <w:jc w:val="both"/>
        <w:rPr>
          <w:rFonts w:ascii="ITC Avant Garde" w:hAnsi="ITC Avant Garde"/>
          <w:color w:val="000000"/>
        </w:rPr>
      </w:pPr>
      <w:r w:rsidRPr="00510083">
        <w:rPr>
          <w:rFonts w:ascii="ITC Avant Garde" w:hAnsi="ITC Avant Garde"/>
          <w:color w:val="000000"/>
        </w:rPr>
        <w:t xml:space="preserve">Con oficio IFT/D03/USI/861/2014, de fecha 9 de abril de 2014, la USI autorizó la modificación a la Concesión a fin de adicionar el satélite NSS-806 (ubicado en la POG 47.5° Oeste) en las bandas C y </w:t>
      </w:r>
      <w:proofErr w:type="spellStart"/>
      <w:r w:rsidRPr="00510083">
        <w:rPr>
          <w:rFonts w:ascii="ITC Avant Garde" w:hAnsi="ITC Avant Garde"/>
          <w:color w:val="000000"/>
        </w:rPr>
        <w:t>Ku</w:t>
      </w:r>
      <w:proofErr w:type="spellEnd"/>
      <w:r w:rsidRPr="00510083">
        <w:rPr>
          <w:rFonts w:ascii="ITC Avant Garde" w:hAnsi="ITC Avant Garde"/>
          <w:color w:val="000000"/>
        </w:rPr>
        <w:t>.</w:t>
      </w:r>
    </w:p>
    <w:p w14:paraId="73C9B224" w14:textId="25C375AF" w:rsidR="005F4624" w:rsidRPr="00510083" w:rsidRDefault="005F4624" w:rsidP="00510083">
      <w:pPr>
        <w:spacing w:before="240" w:after="240" w:line="240" w:lineRule="auto"/>
        <w:jc w:val="both"/>
        <w:rPr>
          <w:rFonts w:ascii="ITC Avant Garde" w:hAnsi="ITC Avant Garde"/>
          <w:color w:val="000000"/>
          <w:lang w:eastAsia="es-ES"/>
        </w:rPr>
      </w:pPr>
      <w:r w:rsidRPr="00510083">
        <w:rPr>
          <w:rFonts w:ascii="ITC Avant Garde" w:hAnsi="ITC Avant Garde"/>
          <w:color w:val="000000"/>
        </w:rPr>
        <w:t xml:space="preserve">Con oficio IFT/D03/USI/1207/2014, de fecha 29 de mayo de 2014, la USI autorizó la modificación a la Concesión a fin de adicionar el satélite NIMIQ-1 (ubicado en la POG 86.5° Oeste) en la banda </w:t>
      </w:r>
      <w:proofErr w:type="spellStart"/>
      <w:r w:rsidRPr="00510083">
        <w:rPr>
          <w:rFonts w:ascii="ITC Avant Garde" w:hAnsi="ITC Avant Garde"/>
          <w:color w:val="000000"/>
        </w:rPr>
        <w:t>Ku</w:t>
      </w:r>
      <w:proofErr w:type="spellEnd"/>
      <w:r w:rsidRPr="00510083">
        <w:rPr>
          <w:rFonts w:ascii="ITC Avant Garde" w:hAnsi="ITC Avant Garde"/>
          <w:color w:val="000000"/>
        </w:rPr>
        <w:t>.</w:t>
      </w:r>
    </w:p>
    <w:p w14:paraId="43B42B29" w14:textId="77777777" w:rsidR="00510083" w:rsidRPr="00510083" w:rsidRDefault="001B6173"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lastRenderedPageBreak/>
        <w:t xml:space="preserve">Con fecha 14 de octubre de 2015, el Pleno del Instituto, modificó la Condición A.9. </w:t>
      </w:r>
      <w:proofErr w:type="gramStart"/>
      <w:r w:rsidRPr="00510083">
        <w:rPr>
          <w:rFonts w:ascii="ITC Avant Garde" w:hAnsi="ITC Avant Garde"/>
          <w:color w:val="000000"/>
          <w:sz w:val="22"/>
          <w:szCs w:val="22"/>
          <w:lang w:eastAsia="es-ES"/>
        </w:rPr>
        <w:t>de</w:t>
      </w:r>
      <w:proofErr w:type="gramEnd"/>
      <w:r w:rsidRPr="00510083">
        <w:rPr>
          <w:rFonts w:ascii="ITC Avant Garde" w:hAnsi="ITC Avant Garde"/>
          <w:color w:val="000000"/>
          <w:sz w:val="22"/>
          <w:szCs w:val="22"/>
          <w:lang w:eastAsia="es-ES"/>
        </w:rPr>
        <w:t xml:space="preserve"> la Concesión con el fin de adicionar 4 (cuatro) satélites a los 8 (ocho) autorizados del sistema satelital extranjero no geoestacionario de órbita media, denominado O3b.</w:t>
      </w:r>
    </w:p>
    <w:p w14:paraId="04C6FDA9" w14:textId="77777777" w:rsidR="00510083" w:rsidRPr="00510083" w:rsidRDefault="001B6173"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 xml:space="preserve">Con fecha 22 de febrero de 2017, el Pleno del Instituto, a solicitud del Concesionario, modificó la Condición A.9. </w:t>
      </w:r>
      <w:proofErr w:type="gramStart"/>
      <w:r w:rsidRPr="00510083">
        <w:rPr>
          <w:rFonts w:ascii="ITC Avant Garde" w:hAnsi="ITC Avant Garde"/>
          <w:color w:val="000000"/>
          <w:sz w:val="22"/>
          <w:szCs w:val="22"/>
          <w:lang w:eastAsia="es-ES"/>
        </w:rPr>
        <w:t>de</w:t>
      </w:r>
      <w:proofErr w:type="gramEnd"/>
      <w:r w:rsidRPr="00510083">
        <w:rPr>
          <w:rFonts w:ascii="ITC Avant Garde" w:hAnsi="ITC Avant Garde"/>
          <w:color w:val="000000"/>
          <w:sz w:val="22"/>
          <w:szCs w:val="22"/>
          <w:lang w:eastAsia="es-ES"/>
        </w:rPr>
        <w:t xml:space="preserve"> la Concesión con el fin de reubicar el satélite AMC-6 de la POG 72° O a la POG 67° O.</w:t>
      </w:r>
    </w:p>
    <w:p w14:paraId="0A637E9E" w14:textId="77777777" w:rsidR="00510083" w:rsidRPr="00510083" w:rsidRDefault="001C4FE6" w:rsidP="00510083">
      <w:pPr>
        <w:numPr>
          <w:ilvl w:val="0"/>
          <w:numId w:val="8"/>
        </w:numPr>
        <w:spacing w:before="240" w:after="240" w:line="240" w:lineRule="auto"/>
        <w:ind w:left="0" w:firstLine="0"/>
        <w:jc w:val="both"/>
        <w:rPr>
          <w:rFonts w:ascii="ITC Avant Garde" w:hAnsi="ITC Avant Garde"/>
          <w:bCs/>
          <w:color w:val="000000"/>
          <w:lang w:eastAsia="es-MX"/>
        </w:rPr>
      </w:pPr>
      <w:r w:rsidRPr="00510083">
        <w:rPr>
          <w:rFonts w:ascii="ITC Avant Garde" w:hAnsi="ITC Avant Garde"/>
          <w:b/>
          <w:bCs/>
          <w:color w:val="000000"/>
          <w:lang w:eastAsia="es-MX"/>
        </w:rPr>
        <w:t xml:space="preserve">Decreto de Reforma Constitucional. </w:t>
      </w:r>
      <w:r w:rsidRPr="00510083">
        <w:rPr>
          <w:rFonts w:ascii="ITC Avant Garde" w:hAnsi="ITC Avant Garde"/>
          <w:bCs/>
          <w:color w:val="000000"/>
          <w:lang w:eastAsia="es-MX"/>
        </w:rPr>
        <w:t>Con fecha 11 de junio de 2013, se publicó en el Diario Oficial de la Federación (</w:t>
      </w:r>
      <w:r w:rsidR="00D7647F" w:rsidRPr="00510083">
        <w:rPr>
          <w:rFonts w:ascii="ITC Avant Garde" w:hAnsi="ITC Avant Garde"/>
          <w:bCs/>
          <w:color w:val="000000"/>
          <w:lang w:eastAsia="es-MX"/>
        </w:rPr>
        <w:t xml:space="preserve">el </w:t>
      </w:r>
      <w:r w:rsidRPr="00510083">
        <w:rPr>
          <w:rFonts w:ascii="ITC Avant Garde" w:hAnsi="ITC Avant Garde"/>
          <w:bCs/>
          <w:color w:val="000000"/>
          <w:lang w:eastAsia="es-MX"/>
        </w:rPr>
        <w:t>“DOF”) el “</w:t>
      </w:r>
      <w:r w:rsidR="00C93671" w:rsidRPr="00510083">
        <w:rPr>
          <w:rFonts w:ascii="ITC Avant Garde" w:hAnsi="ITC Avant Garde"/>
          <w:bCs/>
          <w:color w:val="000000"/>
          <w:lang w:eastAsia="es-MX"/>
        </w:rPr>
        <w:t>DECRETO</w:t>
      </w:r>
      <w:r w:rsidRPr="00510083">
        <w:rPr>
          <w:rFonts w:ascii="ITC Avant Garde" w:hAnsi="ITC Avant Garde"/>
          <w:bCs/>
          <w:color w:val="000000"/>
          <w:lang w:eastAsia="es-MX"/>
        </w:rPr>
        <w:t xml:space="preserve"> por el que se reforman y adicionan diversas disposiciones de los artículos 6o., 7o., 27, 28, 73, 78, 94 y 105 de la Constitución Política de los Estados Unidos Mexicanos, en materia de telecomunicaciones</w:t>
      </w:r>
      <w:r w:rsidR="00C93671" w:rsidRPr="00510083">
        <w:rPr>
          <w:rFonts w:ascii="ITC Avant Garde" w:hAnsi="ITC Avant Garde"/>
          <w:bCs/>
          <w:color w:val="000000"/>
          <w:lang w:eastAsia="es-MX"/>
        </w:rPr>
        <w:t>.</w:t>
      </w:r>
      <w:r w:rsidRPr="00510083">
        <w:rPr>
          <w:rFonts w:ascii="ITC Avant Garde" w:hAnsi="ITC Avant Garde"/>
          <w:bCs/>
          <w:color w:val="000000"/>
          <w:lang w:eastAsia="es-MX"/>
        </w:rPr>
        <w:t>” (</w:t>
      </w:r>
      <w:r w:rsidR="007467DB" w:rsidRPr="00510083">
        <w:rPr>
          <w:rFonts w:ascii="ITC Avant Garde" w:hAnsi="ITC Avant Garde"/>
          <w:bCs/>
          <w:color w:val="000000"/>
          <w:lang w:eastAsia="es-MX"/>
        </w:rPr>
        <w:t xml:space="preserve">el </w:t>
      </w:r>
      <w:r w:rsidRPr="00510083">
        <w:rPr>
          <w:rFonts w:ascii="ITC Avant Garde" w:hAnsi="ITC Avant Garde"/>
          <w:bCs/>
          <w:color w:val="000000"/>
          <w:lang w:eastAsia="es-MX"/>
        </w:rPr>
        <w:t>“Decreto de Reforma Constitucional”), mediante el cual se cre</w:t>
      </w:r>
      <w:r w:rsidR="00D12A8D" w:rsidRPr="00510083">
        <w:rPr>
          <w:rFonts w:ascii="ITC Avant Garde" w:hAnsi="ITC Avant Garde"/>
          <w:bCs/>
          <w:color w:val="000000"/>
          <w:lang w:eastAsia="es-MX"/>
        </w:rPr>
        <w:t>ó</w:t>
      </w:r>
      <w:r w:rsidRPr="00510083">
        <w:rPr>
          <w:rFonts w:ascii="ITC Avant Garde" w:hAnsi="ITC Avant Garde"/>
          <w:bCs/>
          <w:color w:val="000000"/>
          <w:lang w:eastAsia="es-MX"/>
        </w:rPr>
        <w:t xml:space="preserve"> el Instituto</w:t>
      </w:r>
      <w:r w:rsidR="00D7647F" w:rsidRPr="00510083">
        <w:rPr>
          <w:rFonts w:ascii="ITC Avant Garde" w:hAnsi="ITC Avant Garde"/>
          <w:bCs/>
          <w:color w:val="000000"/>
          <w:lang w:eastAsia="es-MX"/>
        </w:rPr>
        <w:t xml:space="preserve"> Federal de Telecomunicaciones</w:t>
      </w:r>
      <w:r w:rsidRPr="00510083">
        <w:rPr>
          <w:rFonts w:ascii="ITC Avant Garde" w:hAnsi="ITC Avant Garde"/>
          <w:bCs/>
          <w:color w:val="000000"/>
          <w:lang w:eastAsia="es-MX"/>
        </w:rPr>
        <w:t>.</w:t>
      </w:r>
    </w:p>
    <w:p w14:paraId="7AAF7DB8" w14:textId="77777777" w:rsidR="00510083" w:rsidRPr="00510083" w:rsidRDefault="00EF5B87" w:rsidP="00510083">
      <w:pPr>
        <w:numPr>
          <w:ilvl w:val="0"/>
          <w:numId w:val="8"/>
        </w:numPr>
        <w:spacing w:before="240" w:after="240" w:line="240" w:lineRule="auto"/>
        <w:ind w:left="0" w:firstLine="0"/>
        <w:jc w:val="both"/>
        <w:rPr>
          <w:rFonts w:ascii="ITC Avant Garde" w:hAnsi="ITC Avant Garde"/>
          <w:color w:val="000000"/>
          <w:lang w:eastAsia="es-ES"/>
        </w:rPr>
      </w:pPr>
      <w:r w:rsidRPr="00510083">
        <w:rPr>
          <w:rFonts w:ascii="ITC Avant Garde" w:hAnsi="ITC Avant Garde"/>
          <w:b/>
          <w:bCs/>
          <w:color w:val="000000"/>
          <w:lang w:eastAsia="es-MX"/>
        </w:rPr>
        <w:t xml:space="preserve">Decreto de Ley. </w:t>
      </w:r>
      <w:r w:rsidRPr="00510083">
        <w:rPr>
          <w:rFonts w:ascii="ITC Avant Garde" w:hAnsi="ITC Avant Garde"/>
          <w:bCs/>
          <w:color w:val="000000"/>
          <w:lang w:eastAsia="es-MX"/>
        </w:rPr>
        <w:t>El 14 de julio de 2014, se publicó en el DOF el “</w:t>
      </w:r>
      <w:r w:rsidR="00C93671" w:rsidRPr="00510083">
        <w:rPr>
          <w:rFonts w:ascii="ITC Avant Garde" w:hAnsi="ITC Avant Garde"/>
          <w:bCs/>
          <w:color w:val="000000"/>
          <w:lang w:eastAsia="es-MX"/>
        </w:rPr>
        <w:t>DECRETO</w:t>
      </w:r>
      <w:r w:rsidRPr="00510083">
        <w:rPr>
          <w:rFonts w:ascii="ITC Avant Garde" w:hAnsi="ITC Avant Garde"/>
          <w:bCs/>
          <w:color w:val="000000"/>
          <w:lang w:eastAsia="es-MX"/>
        </w:rPr>
        <w:t xml:space="preserve"> por el que se expiden la Ley Federal de Telecomunicaciones y Radiodifusión, y la Ley del Sistema Público de Radiodifusión del Estado Mexicano; y se reforman, adicionan y derogan diversas disposiciones en materia de telecomunicaciones y radiodifusión</w:t>
      </w:r>
      <w:r w:rsidR="00C93671" w:rsidRPr="00510083">
        <w:rPr>
          <w:rFonts w:ascii="ITC Avant Garde" w:hAnsi="ITC Avant Garde"/>
          <w:bCs/>
          <w:color w:val="000000"/>
          <w:lang w:eastAsia="es-MX"/>
        </w:rPr>
        <w:t>.</w:t>
      </w:r>
      <w:r w:rsidRPr="00510083">
        <w:rPr>
          <w:rFonts w:ascii="ITC Avant Garde" w:hAnsi="ITC Avant Garde"/>
          <w:bCs/>
          <w:color w:val="000000"/>
          <w:lang w:eastAsia="es-MX"/>
        </w:rPr>
        <w:t>”</w:t>
      </w:r>
      <w:r w:rsidR="00D81EED" w:rsidRPr="00510083">
        <w:rPr>
          <w:rFonts w:ascii="ITC Avant Garde" w:hAnsi="ITC Avant Garde"/>
          <w:bCs/>
          <w:color w:val="000000"/>
          <w:lang w:eastAsia="es-MX"/>
        </w:rPr>
        <w:t>,</w:t>
      </w:r>
      <w:r w:rsidRPr="00510083">
        <w:rPr>
          <w:rFonts w:ascii="ITC Avant Garde" w:hAnsi="ITC Avant Garde"/>
          <w:bCs/>
          <w:color w:val="000000"/>
          <w:lang w:eastAsia="es-MX"/>
        </w:rPr>
        <w:t xml:space="preserve"> mismo que entró en vigor el 13 de agosto de 2014</w:t>
      </w:r>
      <w:r w:rsidR="009B139E" w:rsidRPr="00510083">
        <w:rPr>
          <w:rFonts w:ascii="ITC Avant Garde" w:hAnsi="ITC Avant Garde"/>
          <w:bCs/>
          <w:color w:val="000000"/>
          <w:lang w:eastAsia="es-MX"/>
        </w:rPr>
        <w:t xml:space="preserve"> (la “</w:t>
      </w:r>
      <w:proofErr w:type="spellStart"/>
      <w:r w:rsidR="009B139E" w:rsidRPr="00510083">
        <w:rPr>
          <w:rFonts w:ascii="ITC Avant Garde" w:hAnsi="ITC Avant Garde"/>
          <w:bCs/>
          <w:color w:val="000000"/>
          <w:lang w:eastAsia="es-MX"/>
        </w:rPr>
        <w:t>LFTyR</w:t>
      </w:r>
      <w:proofErr w:type="spellEnd"/>
      <w:r w:rsidR="009B139E" w:rsidRPr="00510083">
        <w:rPr>
          <w:rFonts w:ascii="ITC Avant Garde" w:hAnsi="ITC Avant Garde"/>
          <w:bCs/>
          <w:color w:val="000000"/>
          <w:lang w:eastAsia="es-MX"/>
        </w:rPr>
        <w:t>”)</w:t>
      </w:r>
      <w:r w:rsidRPr="00510083">
        <w:rPr>
          <w:rFonts w:ascii="ITC Avant Garde" w:hAnsi="ITC Avant Garde"/>
          <w:bCs/>
          <w:color w:val="000000"/>
          <w:lang w:eastAsia="es-MX"/>
        </w:rPr>
        <w:t>.</w:t>
      </w:r>
    </w:p>
    <w:p w14:paraId="21E74A2E" w14:textId="77777777" w:rsidR="00510083" w:rsidRPr="00510083" w:rsidRDefault="00EF5B87" w:rsidP="00510083">
      <w:pPr>
        <w:numPr>
          <w:ilvl w:val="0"/>
          <w:numId w:val="8"/>
        </w:numPr>
        <w:spacing w:before="240" w:after="240" w:line="240" w:lineRule="auto"/>
        <w:ind w:left="0" w:firstLine="0"/>
        <w:jc w:val="both"/>
        <w:rPr>
          <w:rFonts w:ascii="ITC Avant Garde" w:hAnsi="ITC Avant Garde"/>
          <w:color w:val="000000"/>
          <w:lang w:eastAsia="es-ES"/>
        </w:rPr>
      </w:pPr>
      <w:r w:rsidRPr="00510083">
        <w:rPr>
          <w:rFonts w:ascii="ITC Avant Garde" w:hAnsi="ITC Avant Garde"/>
          <w:b/>
          <w:bCs/>
          <w:color w:val="000000"/>
          <w:lang w:eastAsia="es-MX"/>
        </w:rPr>
        <w:t>Estatuto Orgánico.</w:t>
      </w:r>
      <w:r w:rsidRPr="00510083">
        <w:rPr>
          <w:rFonts w:ascii="ITC Avant Garde" w:hAnsi="ITC Avant Garde"/>
          <w:b/>
          <w:lang w:eastAsia="es-MX"/>
        </w:rPr>
        <w:t xml:space="preserve"> </w:t>
      </w:r>
      <w:r w:rsidRPr="00510083">
        <w:rPr>
          <w:rFonts w:ascii="ITC Avant Garde" w:hAnsi="ITC Avant Garde"/>
          <w:bCs/>
          <w:color w:val="000000"/>
          <w:lang w:eastAsia="es-MX"/>
        </w:rPr>
        <w:t>El 4 de septiembre de 2014, se publicó en el D</w:t>
      </w:r>
      <w:r w:rsidR="00D701B5" w:rsidRPr="00510083">
        <w:rPr>
          <w:rFonts w:ascii="ITC Avant Garde" w:hAnsi="ITC Avant Garde"/>
          <w:bCs/>
          <w:color w:val="000000"/>
          <w:lang w:eastAsia="es-MX"/>
        </w:rPr>
        <w:t>OF</w:t>
      </w:r>
      <w:r w:rsidRPr="00510083">
        <w:rPr>
          <w:rFonts w:ascii="ITC Avant Garde" w:hAnsi="ITC Avant Garde"/>
          <w:bCs/>
          <w:color w:val="000000"/>
          <w:lang w:eastAsia="es-MX"/>
        </w:rPr>
        <w:t xml:space="preserve"> el “Estatuto Orgánico del Instituto Federal de Telecomunicaciones” (</w:t>
      </w:r>
      <w:r w:rsidR="007467DB" w:rsidRPr="00510083">
        <w:rPr>
          <w:rFonts w:ascii="ITC Avant Garde" w:hAnsi="ITC Avant Garde"/>
          <w:bCs/>
          <w:color w:val="000000"/>
          <w:lang w:eastAsia="es-MX"/>
        </w:rPr>
        <w:t xml:space="preserve">el </w:t>
      </w:r>
      <w:r w:rsidRPr="00510083">
        <w:rPr>
          <w:rFonts w:ascii="ITC Avant Garde" w:hAnsi="ITC Avant Garde"/>
          <w:bCs/>
          <w:color w:val="000000"/>
          <w:lang w:eastAsia="es-MX"/>
        </w:rPr>
        <w:t>“Estatuto Orgánico”), mismo que entró en vigor el 26 de septiembre de 2014.</w:t>
      </w:r>
    </w:p>
    <w:p w14:paraId="74A63F70" w14:textId="77777777" w:rsidR="00510083" w:rsidRPr="00510083" w:rsidRDefault="00723556" w:rsidP="00510083">
      <w:pPr>
        <w:numPr>
          <w:ilvl w:val="0"/>
          <w:numId w:val="8"/>
        </w:numPr>
        <w:spacing w:before="240" w:after="240" w:line="240" w:lineRule="auto"/>
        <w:ind w:left="0" w:firstLine="0"/>
        <w:jc w:val="both"/>
        <w:rPr>
          <w:rFonts w:ascii="ITC Avant Garde" w:hAnsi="ITC Avant Garde"/>
          <w:color w:val="000000"/>
          <w:lang w:eastAsia="es-ES"/>
        </w:rPr>
      </w:pPr>
      <w:r w:rsidRPr="00510083">
        <w:rPr>
          <w:rFonts w:ascii="ITC Avant Garde" w:hAnsi="ITC Avant Garde"/>
          <w:b/>
          <w:color w:val="000000"/>
          <w:lang w:eastAsia="es-ES"/>
        </w:rPr>
        <w:t>Modificaci</w:t>
      </w:r>
      <w:r w:rsidR="002D056C" w:rsidRPr="00510083">
        <w:rPr>
          <w:rFonts w:ascii="ITC Avant Garde" w:hAnsi="ITC Avant Garde"/>
          <w:b/>
          <w:color w:val="000000"/>
          <w:lang w:eastAsia="es-ES"/>
        </w:rPr>
        <w:t>o</w:t>
      </w:r>
      <w:r w:rsidRPr="00510083">
        <w:rPr>
          <w:rFonts w:ascii="ITC Avant Garde" w:hAnsi="ITC Avant Garde"/>
          <w:b/>
          <w:color w:val="000000"/>
          <w:lang w:eastAsia="es-ES"/>
        </w:rPr>
        <w:t>n</w:t>
      </w:r>
      <w:r w:rsidR="002D056C" w:rsidRPr="00510083">
        <w:rPr>
          <w:rFonts w:ascii="ITC Avant Garde" w:hAnsi="ITC Avant Garde"/>
          <w:b/>
          <w:color w:val="000000"/>
          <w:lang w:eastAsia="es-ES"/>
        </w:rPr>
        <w:t>es</w:t>
      </w:r>
      <w:r w:rsidRPr="00510083">
        <w:rPr>
          <w:rFonts w:ascii="ITC Avant Garde" w:hAnsi="ITC Avant Garde"/>
          <w:b/>
          <w:color w:val="000000"/>
          <w:lang w:eastAsia="es-ES"/>
        </w:rPr>
        <w:t xml:space="preserve"> </w:t>
      </w:r>
      <w:r w:rsidR="00A132B8" w:rsidRPr="00510083">
        <w:rPr>
          <w:rFonts w:ascii="ITC Avant Garde" w:hAnsi="ITC Avant Garde"/>
          <w:b/>
          <w:color w:val="000000"/>
          <w:lang w:eastAsia="es-ES"/>
        </w:rPr>
        <w:t>al</w:t>
      </w:r>
      <w:r w:rsidRPr="00510083">
        <w:rPr>
          <w:rFonts w:ascii="ITC Avant Garde" w:hAnsi="ITC Avant Garde"/>
          <w:b/>
          <w:color w:val="000000"/>
          <w:lang w:eastAsia="es-ES"/>
        </w:rPr>
        <w:t xml:space="preserve"> Estatuto Orgánico</w:t>
      </w:r>
      <w:r w:rsidRPr="00510083">
        <w:rPr>
          <w:rFonts w:ascii="ITC Avant Garde" w:hAnsi="ITC Avant Garde"/>
          <w:color w:val="000000"/>
          <w:lang w:eastAsia="es-ES"/>
        </w:rPr>
        <w:t xml:space="preserve">. El 17 de octubre de 2014, se publicó en el DOF el </w:t>
      </w:r>
      <w:r w:rsidR="008025AC" w:rsidRPr="00510083">
        <w:rPr>
          <w:rFonts w:ascii="ITC Avant Garde" w:hAnsi="ITC Avant Garde"/>
          <w:color w:val="000000"/>
          <w:lang w:eastAsia="es-ES"/>
        </w:rPr>
        <w:t>“</w:t>
      </w:r>
      <w:r w:rsidRPr="00510083">
        <w:rPr>
          <w:rFonts w:ascii="ITC Avant Garde" w:hAnsi="ITC Avant Garde"/>
          <w:color w:val="000000"/>
          <w:lang w:eastAsia="es-ES"/>
        </w:rPr>
        <w:t>ACUERDO por el que se modifica el Estatuto Orgánico del Instituto Federal de Telecomunicaciones</w:t>
      </w:r>
      <w:r w:rsidR="008025AC" w:rsidRPr="00510083">
        <w:rPr>
          <w:rFonts w:ascii="ITC Avant Garde" w:hAnsi="ITC Avant Garde"/>
          <w:color w:val="000000"/>
          <w:lang w:eastAsia="es-ES"/>
        </w:rPr>
        <w:t>”</w:t>
      </w:r>
      <w:r w:rsidR="002D056C" w:rsidRPr="00510083">
        <w:rPr>
          <w:rFonts w:ascii="ITC Avant Garde" w:hAnsi="ITC Avant Garde"/>
          <w:color w:val="000000"/>
          <w:lang w:eastAsia="es-ES"/>
        </w:rPr>
        <w:t>.</w:t>
      </w:r>
    </w:p>
    <w:p w14:paraId="315422B0" w14:textId="77777777" w:rsidR="00510083" w:rsidRPr="00510083" w:rsidRDefault="00F565B8" w:rsidP="00510083">
      <w:pPr>
        <w:spacing w:before="240" w:after="240" w:line="240" w:lineRule="auto"/>
        <w:jc w:val="both"/>
        <w:rPr>
          <w:rFonts w:ascii="ITC Avant Garde" w:hAnsi="ITC Avant Garde"/>
          <w:color w:val="000000"/>
          <w:lang w:eastAsia="es-ES"/>
        </w:rPr>
      </w:pPr>
      <w:r w:rsidRPr="00510083">
        <w:rPr>
          <w:rFonts w:ascii="ITC Avant Garde" w:hAnsi="ITC Avant Garde"/>
          <w:color w:val="000000"/>
          <w:lang w:eastAsia="es-ES"/>
        </w:rPr>
        <w:t>Así también e</w:t>
      </w:r>
      <w:r w:rsidR="002D056C" w:rsidRPr="00510083">
        <w:rPr>
          <w:rFonts w:ascii="ITC Avant Garde" w:hAnsi="ITC Avant Garde"/>
          <w:color w:val="000000"/>
          <w:lang w:eastAsia="es-ES"/>
        </w:rPr>
        <w:t>l 17 de octubre de 2016, se publicó en el DOF el “ACUERDO por el que se modifica el Estatuto Orgánico del Instituto Federal de Telecomunicaciones”.</w:t>
      </w:r>
    </w:p>
    <w:p w14:paraId="7E5FC99D" w14:textId="77777777" w:rsidR="00510083" w:rsidRPr="00510083" w:rsidRDefault="00326AA1" w:rsidP="00510083">
      <w:pPr>
        <w:numPr>
          <w:ilvl w:val="0"/>
          <w:numId w:val="8"/>
        </w:numPr>
        <w:spacing w:before="240" w:after="240" w:line="240" w:lineRule="auto"/>
        <w:ind w:left="0" w:firstLine="0"/>
        <w:jc w:val="both"/>
        <w:rPr>
          <w:rFonts w:ascii="ITC Avant Garde" w:hAnsi="ITC Avant Garde"/>
          <w:bCs/>
          <w:color w:val="000000"/>
          <w:lang w:eastAsia="es-MX"/>
        </w:rPr>
      </w:pPr>
      <w:r w:rsidRPr="00510083">
        <w:rPr>
          <w:rFonts w:ascii="ITC Avant Garde" w:hAnsi="ITC Avant Garde"/>
          <w:b/>
          <w:bCs/>
          <w:color w:val="000000"/>
          <w:lang w:eastAsia="es-MX"/>
        </w:rPr>
        <w:t>Solicitud de Modificación de la Concesión.</w:t>
      </w:r>
      <w:r w:rsidRPr="00510083">
        <w:rPr>
          <w:rFonts w:ascii="ITC Avant Garde" w:hAnsi="ITC Avant Garde"/>
          <w:bCs/>
          <w:color w:val="000000"/>
          <w:lang w:eastAsia="es-MX"/>
        </w:rPr>
        <w:t xml:space="preserve"> </w:t>
      </w:r>
      <w:r w:rsidR="001B6173" w:rsidRPr="00510083">
        <w:rPr>
          <w:rFonts w:ascii="ITC Avant Garde" w:hAnsi="ITC Avant Garde"/>
          <w:color w:val="000000"/>
          <w:lang w:eastAsia="es-ES"/>
        </w:rPr>
        <w:t xml:space="preserve">Mediante escrito presentado ante el Instituto el 27 de abril de 2016, </w:t>
      </w:r>
      <w:r w:rsidR="001B6173" w:rsidRPr="00510083">
        <w:rPr>
          <w:rFonts w:ascii="ITC Avant Garde" w:hAnsi="ITC Avant Garde"/>
          <w:bCs/>
          <w:color w:val="000000"/>
          <w:lang w:eastAsia="es-MX"/>
        </w:rPr>
        <w:t>el Concesionario, a través de su representante legal, solicitó la autorización de este Instituto para modificar los parámetros técnicos de la Concesión, con el fin de adicionar el satélite SES-10 en la POG 67° O, al amparo de los expedientes de las redes satelitales SIMÓN BOLIVAR 2, LUX-G8-47 y USAT-67W, y retirar de la lista de satélites autorizados el satélite NSS-703 en al POG 47° O (la “Solicitud”).</w:t>
      </w:r>
    </w:p>
    <w:p w14:paraId="086271BE" w14:textId="03C38206" w:rsidR="00884602" w:rsidRPr="00510083" w:rsidRDefault="00884602" w:rsidP="00510083">
      <w:pPr>
        <w:pStyle w:val="Prrafodelista"/>
        <w:numPr>
          <w:ilvl w:val="0"/>
          <w:numId w:val="8"/>
        </w:numPr>
        <w:spacing w:before="240" w:after="240"/>
        <w:ind w:left="0" w:firstLine="0"/>
        <w:jc w:val="both"/>
        <w:rPr>
          <w:rFonts w:ascii="ITC Avant Garde" w:hAnsi="ITC Avant Garde"/>
          <w:color w:val="000000"/>
          <w:sz w:val="22"/>
          <w:szCs w:val="22"/>
          <w:lang w:val="es-MX"/>
        </w:rPr>
      </w:pPr>
      <w:r w:rsidRPr="00510083">
        <w:rPr>
          <w:rFonts w:ascii="ITC Avant Garde" w:hAnsi="ITC Avant Garde"/>
          <w:b/>
          <w:color w:val="000000"/>
          <w:sz w:val="22"/>
          <w:szCs w:val="22"/>
          <w:lang w:val="es-MX"/>
        </w:rPr>
        <w:t xml:space="preserve">Solicitud de opinión a </w:t>
      </w:r>
      <w:r w:rsidRPr="00510083">
        <w:rPr>
          <w:rFonts w:ascii="ITC Avant Garde" w:hAnsi="ITC Avant Garde"/>
          <w:b/>
          <w:color w:val="000000"/>
          <w:sz w:val="22"/>
          <w:szCs w:val="22"/>
        </w:rPr>
        <w:t>la Unidad de Espectro Radioeléctrico</w:t>
      </w:r>
      <w:r w:rsidRPr="00510083">
        <w:rPr>
          <w:rFonts w:ascii="ITC Avant Garde" w:hAnsi="ITC Avant Garde"/>
          <w:b/>
          <w:color w:val="000000"/>
          <w:sz w:val="22"/>
          <w:szCs w:val="22"/>
          <w:lang w:val="es-MX"/>
        </w:rPr>
        <w:t xml:space="preserve">. </w:t>
      </w:r>
      <w:r w:rsidR="001B6173" w:rsidRPr="00510083">
        <w:rPr>
          <w:rFonts w:ascii="ITC Avant Garde" w:hAnsi="ITC Avant Garde"/>
          <w:color w:val="000000"/>
          <w:sz w:val="22"/>
          <w:szCs w:val="22"/>
          <w:lang w:val="es-MX"/>
        </w:rPr>
        <w:t>Mediante oficio IFT/223/UCS/DG-AUSE/2173/2016 de fecha 2 de mayo de 2016, la Unidad de Concesiones y Servicios (la “UCS”) de este Instituto, solicitó a la Unidad de Espectro Radioeléctrico (la “UER”) opinión y comentarios respecto a la procedencia de la Solicitud.</w:t>
      </w:r>
    </w:p>
    <w:p w14:paraId="47D1566E" w14:textId="77777777" w:rsidR="00510083" w:rsidRPr="00510083" w:rsidRDefault="001C1CCF" w:rsidP="00510083">
      <w:pPr>
        <w:pStyle w:val="Prrafodelista"/>
        <w:numPr>
          <w:ilvl w:val="0"/>
          <w:numId w:val="8"/>
        </w:numPr>
        <w:spacing w:before="240" w:after="240"/>
        <w:ind w:left="0" w:firstLine="0"/>
        <w:jc w:val="both"/>
        <w:rPr>
          <w:rFonts w:ascii="ITC Avant Garde" w:hAnsi="ITC Avant Garde"/>
          <w:color w:val="000000"/>
          <w:sz w:val="22"/>
          <w:szCs w:val="22"/>
          <w:lang w:val="es-MX"/>
        </w:rPr>
      </w:pPr>
      <w:r w:rsidRPr="00510083">
        <w:rPr>
          <w:rFonts w:ascii="ITC Avant Garde" w:hAnsi="ITC Avant Garde"/>
          <w:b/>
          <w:color w:val="000000"/>
          <w:sz w:val="22"/>
          <w:szCs w:val="22"/>
          <w:lang w:val="es-MX"/>
        </w:rPr>
        <w:lastRenderedPageBreak/>
        <w:t xml:space="preserve">Solicitud de opinión a la Secretaría. </w:t>
      </w:r>
      <w:r w:rsidR="001B6173" w:rsidRPr="00510083">
        <w:rPr>
          <w:rFonts w:ascii="ITC Avant Garde" w:hAnsi="ITC Avant Garde"/>
          <w:color w:val="000000"/>
          <w:sz w:val="22"/>
          <w:szCs w:val="22"/>
          <w:lang w:val="es-MX"/>
        </w:rPr>
        <w:t>Mediante oficios IFT/223/UCS/DG-AUSE/2174/2016 e IFT/223/UCS/DG-AUSE/0991/2017de fechas 2 de mayo de 2016 y 27 de febrero de 2017, la UCS solicitó a la Secretaría opinión y comentarios respecto a la coordinación del satélite SES-10, la eliminación del satélite NSS-703, y en su caso indique la reserva de capacidad satelital que se deberá establecer como reserva del Estado.</w:t>
      </w:r>
    </w:p>
    <w:p w14:paraId="6B87F768" w14:textId="77777777" w:rsidR="00510083" w:rsidRPr="00510083" w:rsidRDefault="001B6173" w:rsidP="00510083">
      <w:pPr>
        <w:numPr>
          <w:ilvl w:val="0"/>
          <w:numId w:val="8"/>
        </w:numPr>
        <w:spacing w:before="240" w:after="240" w:line="240" w:lineRule="auto"/>
        <w:ind w:left="0" w:firstLine="0"/>
        <w:jc w:val="both"/>
        <w:rPr>
          <w:rFonts w:ascii="ITC Avant Garde" w:hAnsi="ITC Avant Garde"/>
          <w:color w:val="000000"/>
        </w:rPr>
      </w:pPr>
      <w:r w:rsidRPr="00510083">
        <w:rPr>
          <w:rFonts w:ascii="ITC Avant Garde" w:hAnsi="ITC Avant Garde"/>
          <w:b/>
          <w:color w:val="000000"/>
          <w:lang w:eastAsia="es-ES"/>
        </w:rPr>
        <w:t>Opinión de la Unidad de Espectro Radioeléctrico.</w:t>
      </w:r>
      <w:r w:rsidRPr="00510083">
        <w:rPr>
          <w:rFonts w:ascii="ITC Avant Garde" w:hAnsi="ITC Avant Garde"/>
          <w:color w:val="000000"/>
          <w:lang w:eastAsia="es-ES"/>
        </w:rPr>
        <w:t xml:space="preserve"> Mediante oficio IFT/222/UER/DG-RERO/044/2017 de fecha 17 de febrero de 2017, la UER</w:t>
      </w:r>
      <w:r w:rsidRPr="00510083">
        <w:rPr>
          <w:rFonts w:ascii="ITC Avant Garde" w:hAnsi="ITC Avant Garde"/>
          <w:color w:val="000000"/>
        </w:rPr>
        <w:t xml:space="preserve"> </w:t>
      </w:r>
      <w:r w:rsidRPr="00510083">
        <w:rPr>
          <w:rFonts w:ascii="ITC Avant Garde" w:hAnsi="ITC Avant Garde"/>
          <w:color w:val="000000"/>
          <w:lang w:eastAsia="es-ES"/>
        </w:rPr>
        <w:t>consideró técnicamente viable la adición del satélite denominado SES-10</w:t>
      </w:r>
      <w:r w:rsidRPr="00510083">
        <w:rPr>
          <w:rFonts w:ascii="ITC Avant Garde" w:hAnsi="ITC Avant Garde"/>
          <w:color w:val="000000"/>
        </w:rPr>
        <w:t xml:space="preserve"> en la POG 67° O.</w:t>
      </w:r>
    </w:p>
    <w:p w14:paraId="48929EF4" w14:textId="77777777" w:rsidR="00510083" w:rsidRPr="00510083" w:rsidRDefault="001B6173" w:rsidP="00510083">
      <w:pPr>
        <w:spacing w:before="240" w:after="240" w:line="240" w:lineRule="auto"/>
        <w:jc w:val="both"/>
        <w:rPr>
          <w:rFonts w:ascii="ITC Avant Garde" w:hAnsi="ITC Avant Garde"/>
          <w:color w:val="000000"/>
        </w:rPr>
      </w:pPr>
      <w:r w:rsidRPr="00510083">
        <w:rPr>
          <w:rFonts w:ascii="ITC Avant Garde" w:hAnsi="ITC Avant Garde"/>
          <w:color w:val="000000"/>
        </w:rPr>
        <w:t>Asimismo, desde el punto de vista técnico consideró procedente la eliminación del satélite NSS-703 de la flotilla autorizada en la Concesión.</w:t>
      </w:r>
    </w:p>
    <w:p w14:paraId="6FAC582B" w14:textId="77777777" w:rsidR="00510083" w:rsidRPr="00510083" w:rsidRDefault="00891916" w:rsidP="00510083">
      <w:pPr>
        <w:numPr>
          <w:ilvl w:val="0"/>
          <w:numId w:val="8"/>
        </w:numPr>
        <w:spacing w:before="240" w:after="240" w:line="240" w:lineRule="auto"/>
        <w:ind w:left="0" w:firstLine="0"/>
        <w:jc w:val="both"/>
        <w:rPr>
          <w:rFonts w:ascii="ITC Avant Garde" w:hAnsi="ITC Avant Garde"/>
          <w:color w:val="000000"/>
        </w:rPr>
      </w:pPr>
      <w:r w:rsidRPr="00510083">
        <w:rPr>
          <w:rFonts w:ascii="ITC Avant Garde" w:hAnsi="ITC Avant Garde"/>
          <w:b/>
          <w:color w:val="000000"/>
        </w:rPr>
        <w:t>Opinión de la Secretaría</w:t>
      </w:r>
      <w:r w:rsidR="001E7622" w:rsidRPr="00510083">
        <w:rPr>
          <w:rFonts w:ascii="ITC Avant Garde" w:hAnsi="ITC Avant Garde"/>
          <w:b/>
          <w:color w:val="000000"/>
        </w:rPr>
        <w:t xml:space="preserve">. </w:t>
      </w:r>
      <w:r w:rsidR="001B6173" w:rsidRPr="00510083">
        <w:rPr>
          <w:rFonts w:ascii="ITC Avant Garde" w:hAnsi="ITC Avant Garde"/>
          <w:color w:val="000000"/>
          <w:lang w:eastAsia="es-ES"/>
        </w:rPr>
        <w:t xml:space="preserve">Mediante oficios 2.1.-095/2017 y 2.1.-113/2017 de fechas 24 de febrero de 2017 y 23 de marzo de 2017 respectivamente, la Dirección General de Política de Telecomunicaciones y de Radiodifusión de la Secretaría, </w:t>
      </w:r>
      <w:r w:rsidR="001B6173" w:rsidRPr="00510083">
        <w:rPr>
          <w:rFonts w:ascii="ITC Avant Garde" w:hAnsi="ITC Avant Garde" w:cs="Tahoma"/>
          <w:bCs/>
          <w:color w:val="000000" w:themeColor="text1"/>
          <w:lang w:eastAsia="es-MX"/>
        </w:rPr>
        <w:t>manifestó que no se identificó inconveniente alguno para la operación de las redes satelitales SIMÓN BOLIVAR 2 y LUX-G8-47. Asimismo sobre la red satelital USAT-67W concedió la opinión favorable únicamente bajo ciertos parámetros técnicos acordados.</w:t>
      </w:r>
    </w:p>
    <w:p w14:paraId="66B8FBEB" w14:textId="77777777" w:rsidR="00510083" w:rsidRPr="00510083" w:rsidRDefault="001B6173" w:rsidP="00510083">
      <w:pPr>
        <w:spacing w:before="240" w:after="240" w:line="240" w:lineRule="auto"/>
        <w:jc w:val="both"/>
        <w:rPr>
          <w:rFonts w:ascii="ITC Avant Garde" w:hAnsi="ITC Avant Garde"/>
          <w:color w:val="000000"/>
        </w:rPr>
      </w:pPr>
      <w:r w:rsidRPr="00510083">
        <w:rPr>
          <w:rFonts w:ascii="ITC Avant Garde" w:hAnsi="ITC Avant Garde" w:cs="Tahoma"/>
          <w:bCs/>
          <w:color w:val="000000" w:themeColor="text1"/>
          <w:lang w:eastAsia="es-MX"/>
        </w:rPr>
        <w:t xml:space="preserve">Ahora bien, en relación a la eliminación del satélite NSS-703, dicha Dependencia no tuvo inconveniente alguno con dicha eliminación.  Finalmente consideró que no es necesario modificar la capacidad satelital establecida en la condición A.4. </w:t>
      </w:r>
      <w:proofErr w:type="gramStart"/>
      <w:r w:rsidRPr="00510083">
        <w:rPr>
          <w:rFonts w:ascii="ITC Avant Garde" w:hAnsi="ITC Avant Garde" w:cs="Tahoma"/>
          <w:bCs/>
          <w:color w:val="000000" w:themeColor="text1"/>
          <w:lang w:eastAsia="es-MX"/>
        </w:rPr>
        <w:t>de</w:t>
      </w:r>
      <w:proofErr w:type="gramEnd"/>
      <w:r w:rsidRPr="00510083">
        <w:rPr>
          <w:rFonts w:ascii="ITC Avant Garde" w:hAnsi="ITC Avant Garde" w:cs="Tahoma"/>
          <w:bCs/>
          <w:color w:val="000000" w:themeColor="text1"/>
          <w:lang w:eastAsia="es-MX"/>
        </w:rPr>
        <w:t xml:space="preserve"> la Concesión. </w:t>
      </w:r>
    </w:p>
    <w:p w14:paraId="1E4C2A62" w14:textId="77777777" w:rsidR="00510083" w:rsidRPr="00510083" w:rsidRDefault="00A05167" w:rsidP="00510083">
      <w:pPr>
        <w:spacing w:before="240" w:after="240" w:line="240" w:lineRule="auto"/>
        <w:jc w:val="both"/>
        <w:rPr>
          <w:rFonts w:ascii="ITC Avant Garde" w:hAnsi="ITC Avant Garde"/>
          <w:bCs/>
          <w:color w:val="000000"/>
          <w:lang w:eastAsia="es-MX"/>
        </w:rPr>
      </w:pPr>
      <w:r w:rsidRPr="00510083">
        <w:rPr>
          <w:rFonts w:ascii="ITC Avant Garde" w:hAnsi="ITC Avant Garde"/>
          <w:bCs/>
          <w:color w:val="000000"/>
          <w:lang w:eastAsia="es-MX"/>
        </w:rPr>
        <w:t xml:space="preserve">En </w:t>
      </w:r>
      <w:r w:rsidR="00BF41C1" w:rsidRPr="00510083">
        <w:rPr>
          <w:rFonts w:ascii="ITC Avant Garde" w:hAnsi="ITC Avant Garde"/>
          <w:bCs/>
          <w:color w:val="000000"/>
          <w:lang w:eastAsia="es-MX"/>
        </w:rPr>
        <w:t>atención a</w:t>
      </w:r>
      <w:r w:rsidRPr="00510083">
        <w:rPr>
          <w:rFonts w:ascii="ITC Avant Garde" w:hAnsi="ITC Avant Garde"/>
          <w:bCs/>
          <w:color w:val="000000"/>
          <w:lang w:eastAsia="es-MX"/>
        </w:rPr>
        <w:t xml:space="preserve"> los Antecedentes referidos, y</w:t>
      </w:r>
    </w:p>
    <w:p w14:paraId="61528D1D" w14:textId="77777777" w:rsidR="00510083" w:rsidRPr="00510083" w:rsidRDefault="00A05167" w:rsidP="00510083">
      <w:pPr>
        <w:pStyle w:val="Ttulo2"/>
        <w:spacing w:after="240"/>
        <w:jc w:val="center"/>
        <w:rPr>
          <w:rFonts w:ascii="ITC Avant Garde" w:hAnsi="ITC Avant Garde"/>
          <w:b/>
          <w:color w:val="000000" w:themeColor="text1"/>
          <w:sz w:val="22"/>
          <w:szCs w:val="22"/>
        </w:rPr>
      </w:pPr>
      <w:r w:rsidRPr="00510083">
        <w:rPr>
          <w:rFonts w:ascii="ITC Avant Garde" w:hAnsi="ITC Avant Garde"/>
          <w:b/>
          <w:color w:val="000000" w:themeColor="text1"/>
          <w:sz w:val="22"/>
          <w:szCs w:val="22"/>
        </w:rPr>
        <w:t>CONSIDERANDO</w:t>
      </w:r>
    </w:p>
    <w:p w14:paraId="10AF6583" w14:textId="77777777" w:rsidR="00510083" w:rsidRPr="00510083" w:rsidRDefault="00A42017" w:rsidP="00510083">
      <w:pPr>
        <w:autoSpaceDE w:val="0"/>
        <w:autoSpaceDN w:val="0"/>
        <w:adjustRightInd w:val="0"/>
        <w:spacing w:before="240" w:after="240" w:line="240" w:lineRule="auto"/>
        <w:jc w:val="both"/>
        <w:rPr>
          <w:rFonts w:ascii="ITC Avant Garde" w:hAnsi="ITC Avant Garde"/>
          <w:color w:val="000000"/>
          <w:lang w:eastAsia="es-ES"/>
        </w:rPr>
      </w:pPr>
      <w:r w:rsidRPr="00510083">
        <w:rPr>
          <w:rFonts w:ascii="ITC Avant Garde" w:hAnsi="ITC Avant Garde" w:cs="Arial"/>
          <w:b/>
          <w:bCs/>
          <w:color w:val="000000"/>
          <w:shd w:val="clear" w:color="auto" w:fill="FFFFFF"/>
        </w:rPr>
        <w:t>Primero.- Competencia</w:t>
      </w:r>
      <w:r w:rsidR="00DF2DCE" w:rsidRPr="00510083">
        <w:rPr>
          <w:rFonts w:ascii="ITC Avant Garde" w:hAnsi="ITC Avant Garde" w:cs="Arial"/>
          <w:b/>
          <w:bCs/>
          <w:color w:val="000000"/>
          <w:shd w:val="clear" w:color="auto" w:fill="FFFFFF"/>
        </w:rPr>
        <w:t xml:space="preserve"> del Instituto</w:t>
      </w:r>
      <w:r w:rsidRPr="00510083">
        <w:rPr>
          <w:rFonts w:ascii="ITC Avant Garde" w:hAnsi="ITC Avant Garde" w:cs="Arial"/>
          <w:b/>
          <w:bCs/>
          <w:color w:val="000000"/>
          <w:shd w:val="clear" w:color="auto" w:fill="FFFFFF"/>
        </w:rPr>
        <w:t>.</w:t>
      </w:r>
      <w:r w:rsidRPr="00510083">
        <w:rPr>
          <w:rFonts w:ascii="ITC Avant Garde" w:hAnsi="ITC Avant Garde" w:cs="Arial"/>
        </w:rPr>
        <w:t xml:space="preserve"> </w:t>
      </w:r>
      <w:r w:rsidRPr="00510083">
        <w:rPr>
          <w:rFonts w:ascii="ITC Avant Garde" w:hAnsi="ITC Avant Garde"/>
          <w:color w:val="000000"/>
          <w:lang w:eastAsia="es-ES"/>
        </w:rPr>
        <w:t>Conforme</w:t>
      </w:r>
      <w:r w:rsidR="00C7403B" w:rsidRPr="00510083">
        <w:rPr>
          <w:rFonts w:ascii="ITC Avant Garde" w:hAnsi="ITC Avant Garde"/>
          <w:color w:val="000000"/>
          <w:lang w:eastAsia="es-ES"/>
        </w:rPr>
        <w:t xml:space="preserve"> </w:t>
      </w:r>
      <w:r w:rsidRPr="00510083">
        <w:rPr>
          <w:rFonts w:ascii="ITC Avant Garde" w:hAnsi="ITC Avant Garde"/>
          <w:color w:val="000000"/>
          <w:lang w:eastAsia="es-ES"/>
        </w:rPr>
        <w:t>lo dispone el artículo 28</w:t>
      </w:r>
      <w:r w:rsidR="00DF2DCE" w:rsidRPr="00510083">
        <w:rPr>
          <w:rFonts w:ascii="ITC Avant Garde" w:hAnsi="ITC Avant Garde"/>
          <w:color w:val="000000"/>
          <w:lang w:eastAsia="es-ES"/>
        </w:rPr>
        <w:t>,</w:t>
      </w:r>
      <w:r w:rsidRPr="00510083">
        <w:rPr>
          <w:rFonts w:ascii="ITC Avant Garde" w:hAnsi="ITC Avant Garde"/>
          <w:color w:val="000000"/>
          <w:lang w:eastAsia="es-ES"/>
        </w:rPr>
        <w:t xml:space="preserve"> párrafo décimo quinto</w:t>
      </w:r>
      <w:r w:rsidR="00DF2DCE" w:rsidRPr="00510083">
        <w:rPr>
          <w:rFonts w:ascii="ITC Avant Garde" w:hAnsi="ITC Avant Garde"/>
          <w:color w:val="000000"/>
          <w:lang w:eastAsia="es-ES"/>
        </w:rPr>
        <w:t>,</w:t>
      </w:r>
      <w:r w:rsidRPr="00510083">
        <w:rPr>
          <w:rFonts w:ascii="ITC Avant Garde" w:hAnsi="ITC Avant Garde"/>
          <w:color w:val="000000"/>
          <w:lang w:eastAsia="es-ES"/>
        </w:rPr>
        <w:t xml:space="preserve"> de la Constitución Política de los Estados Unidos Mexicanos (la “Constitución”), el Instituto es un órgano autónomo con personalidad jurídica y patrimonio propio, que tiene por objeto el desarrollo eficiente de la radiodifusión y las telecomunicaciones, acorde a 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w:t>
      </w:r>
      <w:r w:rsidR="00DF2DCE" w:rsidRPr="00510083">
        <w:rPr>
          <w:rFonts w:ascii="ITC Avant Garde" w:hAnsi="ITC Avant Garde"/>
          <w:color w:val="000000"/>
          <w:lang w:eastAsia="es-ES"/>
        </w:rPr>
        <w:t>,de la Constitución</w:t>
      </w:r>
      <w:r w:rsidRPr="00510083">
        <w:rPr>
          <w:rFonts w:ascii="ITC Avant Garde" w:hAnsi="ITC Avant Garde"/>
          <w:color w:val="000000"/>
          <w:lang w:eastAsia="es-ES"/>
        </w:rPr>
        <w:t>.</w:t>
      </w:r>
    </w:p>
    <w:p w14:paraId="333DDCA9" w14:textId="77777777" w:rsidR="00510083" w:rsidRPr="00510083" w:rsidRDefault="00A42017" w:rsidP="00510083">
      <w:pPr>
        <w:autoSpaceDE w:val="0"/>
        <w:autoSpaceDN w:val="0"/>
        <w:adjustRightInd w:val="0"/>
        <w:spacing w:before="240" w:after="240" w:line="240" w:lineRule="auto"/>
        <w:jc w:val="both"/>
        <w:rPr>
          <w:rFonts w:ascii="ITC Avant Garde" w:hAnsi="ITC Avant Garde"/>
          <w:color w:val="000000"/>
          <w:lang w:eastAsia="es-ES"/>
        </w:rPr>
      </w:pPr>
      <w:r w:rsidRPr="00510083">
        <w:rPr>
          <w:rFonts w:ascii="ITC Avant Garde" w:hAnsi="ITC Avant Garde"/>
          <w:color w:val="000000"/>
          <w:lang w:eastAsia="es-ES"/>
        </w:rPr>
        <w:t xml:space="preserve">Asimismo, </w:t>
      </w:r>
      <w:r w:rsidR="00DF2DCE" w:rsidRPr="00510083">
        <w:rPr>
          <w:rFonts w:ascii="ITC Avant Garde" w:hAnsi="ITC Avant Garde"/>
          <w:color w:val="000000"/>
          <w:lang w:eastAsia="es-ES"/>
        </w:rPr>
        <w:t>de conformi</w:t>
      </w:r>
      <w:r w:rsidR="00385C51" w:rsidRPr="00510083">
        <w:rPr>
          <w:rFonts w:ascii="ITC Avant Garde" w:hAnsi="ITC Avant Garde"/>
          <w:color w:val="000000"/>
          <w:lang w:eastAsia="es-ES"/>
        </w:rPr>
        <w:t>dad con el artículo 28, párrafo décimo sexto, de la Constitución</w:t>
      </w:r>
      <w:r w:rsidR="00F565B8" w:rsidRPr="00510083">
        <w:rPr>
          <w:rFonts w:ascii="ITC Avant Garde" w:hAnsi="ITC Avant Garde"/>
          <w:color w:val="000000"/>
          <w:lang w:eastAsia="es-ES"/>
        </w:rPr>
        <w:t>,</w:t>
      </w:r>
      <w:r w:rsidR="00385C51" w:rsidRPr="00510083">
        <w:rPr>
          <w:rFonts w:ascii="ITC Avant Garde" w:hAnsi="ITC Avant Garde"/>
          <w:color w:val="000000"/>
          <w:lang w:eastAsia="es-ES"/>
        </w:rPr>
        <w:t xml:space="preserve"> </w:t>
      </w:r>
      <w:r w:rsidRPr="00510083">
        <w:rPr>
          <w:rFonts w:ascii="ITC Avant Garde" w:hAnsi="ITC Avant Garde"/>
          <w:color w:val="000000"/>
          <w:lang w:eastAsia="es-ES"/>
        </w:rPr>
        <w:t xml:space="preserve">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w:t>
      </w:r>
      <w:proofErr w:type="spellStart"/>
      <w:r w:rsidRPr="00510083">
        <w:rPr>
          <w:rFonts w:ascii="ITC Avant Garde" w:hAnsi="ITC Avant Garde"/>
          <w:color w:val="000000"/>
          <w:lang w:eastAsia="es-ES"/>
        </w:rPr>
        <w:t>concesionamiento</w:t>
      </w:r>
      <w:proofErr w:type="spellEnd"/>
      <w:r w:rsidRPr="00510083">
        <w:rPr>
          <w:rFonts w:ascii="ITC Avant Garde" w:hAnsi="ITC Avant Garde"/>
          <w:color w:val="000000"/>
          <w:lang w:eastAsia="es-ES"/>
        </w:rPr>
        <w:t xml:space="preserve"> y a la propiedad cruzada que controle varios medios de </w:t>
      </w:r>
      <w:r w:rsidRPr="00510083">
        <w:rPr>
          <w:rFonts w:ascii="ITC Avant Garde" w:hAnsi="ITC Avant Garde"/>
          <w:color w:val="000000"/>
          <w:lang w:eastAsia="es-ES"/>
        </w:rPr>
        <w:lastRenderedPageBreak/>
        <w:t>comunicación que sean concesionarios de radiodifusión y telecomunicaciones que sirvan a un mismo mercado o zona de cobertura geográfica</w:t>
      </w:r>
      <w:r w:rsidR="00A81B29" w:rsidRPr="00510083">
        <w:rPr>
          <w:rFonts w:ascii="ITC Avant Garde" w:hAnsi="ITC Avant Garde"/>
          <w:color w:val="000000"/>
          <w:lang w:eastAsia="es-ES"/>
        </w:rPr>
        <w:t>.</w:t>
      </w:r>
    </w:p>
    <w:p w14:paraId="2D5AE793" w14:textId="77777777" w:rsidR="00510083" w:rsidRPr="00510083" w:rsidRDefault="00A42017" w:rsidP="00510083">
      <w:pPr>
        <w:autoSpaceDE w:val="0"/>
        <w:autoSpaceDN w:val="0"/>
        <w:adjustRightInd w:val="0"/>
        <w:spacing w:before="240" w:after="240" w:line="240" w:lineRule="auto"/>
        <w:jc w:val="both"/>
        <w:rPr>
          <w:rFonts w:ascii="ITC Avant Garde" w:hAnsi="ITC Avant Garde"/>
          <w:bCs/>
        </w:rPr>
      </w:pPr>
      <w:r w:rsidRPr="00510083">
        <w:rPr>
          <w:rFonts w:ascii="ITC Avant Garde" w:hAnsi="ITC Avant Garde"/>
          <w:bCs/>
        </w:rPr>
        <w:t>Por su parte, el artículo 6</w:t>
      </w:r>
      <w:r w:rsidR="00385C51" w:rsidRPr="00510083">
        <w:rPr>
          <w:rFonts w:ascii="ITC Avant Garde" w:hAnsi="ITC Avant Garde"/>
          <w:bCs/>
        </w:rPr>
        <w:t>,</w:t>
      </w:r>
      <w:r w:rsidRPr="00510083">
        <w:rPr>
          <w:rFonts w:ascii="ITC Avant Garde" w:hAnsi="ITC Avant Garde"/>
          <w:bCs/>
        </w:rPr>
        <w:t xml:space="preserve"> fracción I</w:t>
      </w:r>
      <w:r w:rsidR="00385C51" w:rsidRPr="00510083">
        <w:rPr>
          <w:rFonts w:ascii="ITC Avant Garde" w:hAnsi="ITC Avant Garde"/>
          <w:bCs/>
        </w:rPr>
        <w:t>,</w:t>
      </w:r>
      <w:r w:rsidRPr="00510083">
        <w:rPr>
          <w:rFonts w:ascii="ITC Avant Garde" w:hAnsi="ITC Avant Garde"/>
          <w:bCs/>
        </w:rPr>
        <w:t xml:space="preserve">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339414E8" w14:textId="77777777" w:rsidR="00510083" w:rsidRPr="00510083" w:rsidRDefault="00C1144F" w:rsidP="00510083">
      <w:pPr>
        <w:autoSpaceDE w:val="0"/>
        <w:autoSpaceDN w:val="0"/>
        <w:adjustRightInd w:val="0"/>
        <w:spacing w:before="240" w:after="240" w:line="240" w:lineRule="auto"/>
        <w:jc w:val="both"/>
        <w:rPr>
          <w:rFonts w:ascii="ITC Avant Garde" w:hAnsi="ITC Avant Garde"/>
          <w:bCs/>
        </w:rPr>
      </w:pPr>
      <w:r w:rsidRPr="00510083">
        <w:rPr>
          <w:rFonts w:ascii="ITC Avant Garde" w:hAnsi="ITC Avant Garde"/>
          <w:bCs/>
        </w:rPr>
        <w:t xml:space="preserve">Ahora bien, conforme lo </w:t>
      </w:r>
      <w:r w:rsidR="007F7038" w:rsidRPr="00510083">
        <w:rPr>
          <w:rFonts w:ascii="ITC Avant Garde" w:hAnsi="ITC Avant Garde"/>
          <w:bCs/>
        </w:rPr>
        <w:t xml:space="preserve">disponen </w:t>
      </w:r>
      <w:r w:rsidRPr="00510083">
        <w:rPr>
          <w:rFonts w:ascii="ITC Avant Garde" w:hAnsi="ITC Avant Garde"/>
          <w:bCs/>
        </w:rPr>
        <w:t>los artículos 15, fracción IV, y 17, fracción I</w:t>
      </w:r>
      <w:r w:rsidR="00385C51" w:rsidRPr="00510083">
        <w:rPr>
          <w:rFonts w:ascii="ITC Avant Garde" w:hAnsi="ITC Avant Garde"/>
          <w:bCs/>
        </w:rPr>
        <w:t>,</w:t>
      </w:r>
      <w:r w:rsidRPr="00510083">
        <w:rPr>
          <w:rFonts w:ascii="ITC Avant Garde" w:hAnsi="ITC Avant Garde"/>
          <w:bCs/>
        </w:rPr>
        <w:t xml:space="preserve"> de la Ley Federal de Telecomunicaciones y Radiodifusión</w:t>
      </w:r>
      <w:r w:rsidR="009B139E" w:rsidRPr="00510083">
        <w:rPr>
          <w:rFonts w:ascii="ITC Avant Garde" w:hAnsi="ITC Avant Garde"/>
          <w:bCs/>
        </w:rPr>
        <w:t>,</w:t>
      </w:r>
      <w:r w:rsidRPr="00510083">
        <w:rPr>
          <w:rFonts w:ascii="ITC Avant Garde" w:hAnsi="ITC Avant Garde"/>
          <w:bCs/>
        </w:rPr>
        <w:t xml:space="preserve"> corresponde al Pleno del Instituto la facultad de manera exclusiva e indelegable </w:t>
      </w:r>
      <w:r w:rsidR="00AF59A9" w:rsidRPr="00510083">
        <w:rPr>
          <w:rFonts w:ascii="ITC Avant Garde" w:hAnsi="ITC Avant Garde"/>
          <w:bCs/>
        </w:rPr>
        <w:t xml:space="preserve">de </w:t>
      </w:r>
      <w:r w:rsidRPr="00510083">
        <w:rPr>
          <w:rFonts w:ascii="ITC Avant Garde" w:hAnsi="ITC Avant Garde"/>
          <w:bCs/>
        </w:rPr>
        <w:t>resolver sobre la modificación de las concesiones.</w:t>
      </w:r>
    </w:p>
    <w:p w14:paraId="49E81BCC" w14:textId="77777777" w:rsidR="00510083" w:rsidRPr="00510083" w:rsidRDefault="00C1144F" w:rsidP="00510083">
      <w:pPr>
        <w:autoSpaceDE w:val="0"/>
        <w:autoSpaceDN w:val="0"/>
        <w:adjustRightInd w:val="0"/>
        <w:spacing w:before="240" w:after="240" w:line="240" w:lineRule="auto"/>
        <w:jc w:val="both"/>
        <w:rPr>
          <w:rFonts w:ascii="ITC Avant Garde" w:hAnsi="ITC Avant Garde"/>
          <w:bCs/>
        </w:rPr>
      </w:pPr>
      <w:r w:rsidRPr="00510083">
        <w:rPr>
          <w:rFonts w:ascii="ITC Avant Garde" w:hAnsi="ITC Avant Garde"/>
          <w:bCs/>
        </w:rPr>
        <w:t>Asimismo,</w:t>
      </w:r>
      <w:r w:rsidRPr="00510083">
        <w:rPr>
          <w:rFonts w:ascii="ITC Avant Garde" w:hAnsi="ITC Avant Garde" w:cs="Tahoma"/>
          <w:bCs/>
          <w:lang w:eastAsia="es-MX"/>
        </w:rPr>
        <w:t xml:space="preserve"> de acuerdo al artículo 32 del Estatuto Orgánico, corresponden originariamente a l</w:t>
      </w:r>
      <w:r w:rsidRPr="00510083">
        <w:rPr>
          <w:rFonts w:ascii="ITC Avant Garde" w:hAnsi="ITC Avant Garde"/>
          <w:bCs/>
        </w:rPr>
        <w:t xml:space="preserve">a Unidad de Concesiones y Servicios, las atribuciones de la </w:t>
      </w:r>
      <w:r w:rsidRPr="00510083">
        <w:rPr>
          <w:rFonts w:ascii="ITC Avant Garde" w:hAnsi="ITC Avant Garde" w:cs="Tahoma"/>
          <w:bCs/>
          <w:lang w:eastAsia="es-MX"/>
        </w:rPr>
        <w:t>Dirección General de Concesiones de Telecomunicaciones, ésta última de conformidad con el artículo 33, fracción II</w:t>
      </w:r>
      <w:r w:rsidR="00957DD5" w:rsidRPr="00510083">
        <w:rPr>
          <w:rFonts w:ascii="ITC Avant Garde" w:hAnsi="ITC Avant Garde" w:cs="Tahoma"/>
          <w:bCs/>
          <w:lang w:eastAsia="es-MX"/>
        </w:rPr>
        <w:t>,</w:t>
      </w:r>
      <w:r w:rsidRPr="00510083">
        <w:rPr>
          <w:rFonts w:ascii="ITC Avant Garde" w:hAnsi="ITC Avant Garde" w:cs="Tahoma"/>
          <w:bCs/>
          <w:lang w:eastAsia="es-MX"/>
        </w:rPr>
        <w:t xml:space="preserve"> </w:t>
      </w:r>
      <w:r w:rsidR="007F7038" w:rsidRPr="00510083">
        <w:rPr>
          <w:rFonts w:ascii="ITC Avant Garde" w:hAnsi="ITC Avant Garde" w:cs="Tahoma"/>
          <w:bCs/>
          <w:lang w:eastAsia="es-MX"/>
        </w:rPr>
        <w:t>es competente</w:t>
      </w:r>
      <w:r w:rsidR="007F7038" w:rsidRPr="00510083">
        <w:rPr>
          <w:rFonts w:ascii="ITC Avant Garde" w:hAnsi="ITC Avant Garde"/>
          <w:bCs/>
        </w:rPr>
        <w:t xml:space="preserve"> para</w:t>
      </w:r>
      <w:r w:rsidRPr="00510083">
        <w:rPr>
          <w:rFonts w:ascii="ITC Avant Garde" w:hAnsi="ITC Avant Garde"/>
          <w:bCs/>
        </w:rPr>
        <w:t xml:space="preserve"> </w:t>
      </w:r>
      <w:r w:rsidRPr="00510083">
        <w:rPr>
          <w:rFonts w:ascii="ITC Avant Garde" w:hAnsi="ITC Avant Garde"/>
        </w:rPr>
        <w:t xml:space="preserve">tramitar y evaluar las solicitudes de cesión, modificación o </w:t>
      </w:r>
      <w:r w:rsidRPr="00510083">
        <w:rPr>
          <w:rFonts w:ascii="ITC Avant Garde" w:hAnsi="ITC Avant Garde"/>
          <w:bCs/>
        </w:rPr>
        <w:t>prórroga de las concesiones en materia de telecomunicaciones, para someterlas a consideración del Pleno del Instituto.</w:t>
      </w:r>
    </w:p>
    <w:p w14:paraId="74168D2C" w14:textId="77777777" w:rsidR="00510083" w:rsidRPr="00510083" w:rsidRDefault="00A42017" w:rsidP="00510083">
      <w:pPr>
        <w:autoSpaceDE w:val="0"/>
        <w:autoSpaceDN w:val="0"/>
        <w:adjustRightInd w:val="0"/>
        <w:spacing w:before="240" w:after="240" w:line="240" w:lineRule="auto"/>
        <w:jc w:val="both"/>
        <w:rPr>
          <w:rFonts w:ascii="ITC Avant Garde" w:hAnsi="ITC Avant Garde"/>
          <w:bCs/>
        </w:rPr>
      </w:pPr>
      <w:r w:rsidRPr="00510083">
        <w:rPr>
          <w:rFonts w:ascii="ITC Avant Garde" w:hAnsi="ITC Avant Garde"/>
          <w:bCs/>
        </w:rPr>
        <w:t xml:space="preserve">En este orden de ideas, el Instituto tiene a su cargo la regulación, promoción y supervisión de las telecomunicaciones, así como la </w:t>
      </w:r>
      <w:r w:rsidR="00335EB3" w:rsidRPr="00510083">
        <w:rPr>
          <w:rFonts w:ascii="ITC Avant Garde" w:hAnsi="ITC Avant Garde"/>
          <w:bCs/>
        </w:rPr>
        <w:t>atribución</w:t>
      </w:r>
      <w:r w:rsidRPr="00510083">
        <w:rPr>
          <w:rFonts w:ascii="ITC Avant Garde" w:hAnsi="ITC Avant Garde"/>
          <w:bCs/>
        </w:rPr>
        <w:t xml:space="preserve"> de otorgar concesiones, prórrogas, modificación o terminación de las mismas, por lo que el Pleno</w:t>
      </w:r>
      <w:r w:rsidR="00C1144F" w:rsidRPr="00510083">
        <w:rPr>
          <w:rFonts w:ascii="ITC Avant Garde" w:hAnsi="ITC Avant Garde"/>
          <w:bCs/>
        </w:rPr>
        <w:t xml:space="preserve"> del Instituto</w:t>
      </w:r>
      <w:r w:rsidRPr="00510083">
        <w:rPr>
          <w:rFonts w:ascii="ITC Avant Garde" w:hAnsi="ITC Avant Garde"/>
          <w:bCs/>
        </w:rPr>
        <w:t xml:space="preserve">, como órgano máximo de gobierno del </w:t>
      </w:r>
      <w:r w:rsidR="00C1144F" w:rsidRPr="00510083">
        <w:rPr>
          <w:rFonts w:ascii="ITC Avant Garde" w:hAnsi="ITC Avant Garde"/>
          <w:bCs/>
        </w:rPr>
        <w:t>mismo</w:t>
      </w:r>
      <w:r w:rsidRPr="00510083">
        <w:rPr>
          <w:rFonts w:ascii="ITC Avant Garde" w:hAnsi="ITC Avant Garde"/>
          <w:bCs/>
        </w:rPr>
        <w:t>, se encuentra plenamente facultado para resolver la Solicitud de mérito.</w:t>
      </w:r>
    </w:p>
    <w:p w14:paraId="54CA1BA3" w14:textId="77777777" w:rsidR="00510083" w:rsidRPr="00510083" w:rsidRDefault="00CA0FA5" w:rsidP="00510083">
      <w:pPr>
        <w:autoSpaceDE w:val="0"/>
        <w:autoSpaceDN w:val="0"/>
        <w:adjustRightInd w:val="0"/>
        <w:spacing w:before="240" w:after="240" w:line="240" w:lineRule="auto"/>
        <w:jc w:val="both"/>
        <w:rPr>
          <w:rFonts w:ascii="ITC Avant Garde" w:hAnsi="ITC Avant Garde"/>
          <w:bCs/>
        </w:rPr>
      </w:pPr>
      <w:r w:rsidRPr="00510083">
        <w:rPr>
          <w:rFonts w:ascii="ITC Avant Garde" w:hAnsi="ITC Avant Garde"/>
          <w:bCs/>
        </w:rPr>
        <w:t>Por otro lado</w:t>
      </w:r>
      <w:r w:rsidR="00302DFA" w:rsidRPr="00510083">
        <w:rPr>
          <w:rFonts w:ascii="ITC Avant Garde" w:hAnsi="ITC Avant Garde"/>
          <w:bCs/>
        </w:rPr>
        <w:t xml:space="preserve">, </w:t>
      </w:r>
      <w:r w:rsidR="00302DFA" w:rsidRPr="00510083">
        <w:rPr>
          <w:rFonts w:ascii="ITC Avant Garde" w:hAnsi="ITC Avant Garde"/>
          <w:bCs/>
          <w:color w:val="000000"/>
          <w:lang w:eastAsia="es-MX"/>
        </w:rPr>
        <w:t xml:space="preserve">la normatividad </w:t>
      </w:r>
      <w:r w:rsidR="00302DFA" w:rsidRPr="00510083">
        <w:rPr>
          <w:rFonts w:ascii="ITC Avant Garde" w:hAnsi="ITC Avant Garde"/>
          <w:bCs/>
        </w:rPr>
        <w:t xml:space="preserve">que establece los requisitos de procedencia para solicitar y, en su caso, modificar concesiones, se encuentra contenida en la </w:t>
      </w:r>
      <w:proofErr w:type="spellStart"/>
      <w:r w:rsidR="00302DFA" w:rsidRPr="00510083">
        <w:rPr>
          <w:rFonts w:ascii="ITC Avant Garde" w:hAnsi="ITC Avant Garde"/>
          <w:bCs/>
        </w:rPr>
        <w:t>LFTyR</w:t>
      </w:r>
      <w:proofErr w:type="spellEnd"/>
      <w:r w:rsidR="0050610D" w:rsidRPr="00510083">
        <w:rPr>
          <w:rFonts w:ascii="ITC Avant Garde" w:hAnsi="ITC Avant Garde"/>
          <w:bCs/>
        </w:rPr>
        <w:t>, así como en</w:t>
      </w:r>
      <w:r w:rsidR="00302DFA" w:rsidRPr="00510083">
        <w:rPr>
          <w:rFonts w:ascii="ITC Avant Garde" w:hAnsi="ITC Avant Garde"/>
          <w:bCs/>
        </w:rPr>
        <w:t xml:space="preserve"> lo est</w:t>
      </w:r>
      <w:r w:rsidR="00335EB3" w:rsidRPr="00510083">
        <w:rPr>
          <w:rFonts w:ascii="ITC Avant Garde" w:hAnsi="ITC Avant Garde"/>
          <w:bCs/>
        </w:rPr>
        <w:t>ipulado</w:t>
      </w:r>
      <w:r w:rsidR="00302DFA" w:rsidRPr="00510083">
        <w:rPr>
          <w:rFonts w:ascii="ITC Avant Garde" w:hAnsi="ITC Avant Garde"/>
          <w:bCs/>
        </w:rPr>
        <w:t xml:space="preserve"> en los propios títulos de concesión.</w:t>
      </w:r>
    </w:p>
    <w:p w14:paraId="6F45F74C" w14:textId="77777777" w:rsidR="00510083" w:rsidRPr="00510083" w:rsidRDefault="00053412" w:rsidP="00510083">
      <w:pPr>
        <w:autoSpaceDE w:val="0"/>
        <w:autoSpaceDN w:val="0"/>
        <w:adjustRightInd w:val="0"/>
        <w:spacing w:before="240" w:after="240" w:line="240" w:lineRule="auto"/>
        <w:jc w:val="both"/>
        <w:rPr>
          <w:rFonts w:ascii="ITC Avant Garde" w:hAnsi="ITC Avant Garde"/>
          <w:bCs/>
        </w:rPr>
      </w:pPr>
      <w:r w:rsidRPr="00510083">
        <w:rPr>
          <w:rFonts w:ascii="ITC Avant Garde" w:hAnsi="ITC Avant Garde"/>
          <w:bCs/>
        </w:rPr>
        <w:t xml:space="preserve">Conforme a lo </w:t>
      </w:r>
      <w:r w:rsidR="00F232B3" w:rsidRPr="00510083">
        <w:rPr>
          <w:rFonts w:ascii="ITC Avant Garde" w:hAnsi="ITC Avant Garde"/>
          <w:bCs/>
        </w:rPr>
        <w:t>anterior</w:t>
      </w:r>
      <w:r w:rsidR="00302DFA" w:rsidRPr="00510083">
        <w:rPr>
          <w:rFonts w:ascii="ITC Avant Garde" w:hAnsi="ITC Avant Garde"/>
          <w:bCs/>
        </w:rPr>
        <w:t xml:space="preserve">, el </w:t>
      </w:r>
      <w:r w:rsidR="00AF59A9" w:rsidRPr="00510083">
        <w:rPr>
          <w:rFonts w:ascii="ITC Avant Garde" w:hAnsi="ITC Avant Garde"/>
          <w:bCs/>
        </w:rPr>
        <w:t xml:space="preserve">artículo 28 de la Constitución </w:t>
      </w:r>
      <w:r w:rsidR="00956D01" w:rsidRPr="00510083">
        <w:rPr>
          <w:rFonts w:ascii="ITC Avant Garde" w:hAnsi="ITC Avant Garde"/>
          <w:bCs/>
        </w:rPr>
        <w:t xml:space="preserve">y la </w:t>
      </w:r>
      <w:proofErr w:type="spellStart"/>
      <w:r w:rsidR="00956D01" w:rsidRPr="00510083">
        <w:rPr>
          <w:rFonts w:ascii="ITC Avant Garde" w:hAnsi="ITC Avant Garde"/>
          <w:bCs/>
        </w:rPr>
        <w:t>LFTyR</w:t>
      </w:r>
      <w:proofErr w:type="spellEnd"/>
      <w:r w:rsidR="00302DFA" w:rsidRPr="00510083">
        <w:rPr>
          <w:rFonts w:ascii="ITC Avant Garde" w:hAnsi="ITC Avant Garde"/>
          <w:bCs/>
        </w:rPr>
        <w:t>, faculta</w:t>
      </w:r>
      <w:r w:rsidR="00B858FF" w:rsidRPr="00510083">
        <w:rPr>
          <w:rFonts w:ascii="ITC Avant Garde" w:hAnsi="ITC Avant Garde"/>
          <w:bCs/>
        </w:rPr>
        <w:t>n</w:t>
      </w:r>
      <w:r w:rsidR="00302DFA" w:rsidRPr="00510083">
        <w:rPr>
          <w:rFonts w:ascii="ITC Avant Garde" w:hAnsi="ITC Avant Garde"/>
          <w:bCs/>
        </w:rPr>
        <w:t xml:space="preserve"> al Instituto para otorgar concesiones</w:t>
      </w:r>
      <w:r w:rsidR="00335EB3" w:rsidRPr="00510083">
        <w:rPr>
          <w:rFonts w:ascii="ITC Avant Garde" w:hAnsi="ITC Avant Garde"/>
          <w:bCs/>
        </w:rPr>
        <w:t>,</w:t>
      </w:r>
      <w:r w:rsidR="00302DFA" w:rsidRPr="00510083">
        <w:rPr>
          <w:rFonts w:ascii="ITC Avant Garde" w:hAnsi="ITC Avant Garde"/>
          <w:bCs/>
        </w:rPr>
        <w:t xml:space="preserve"> así como para resolver cualquier solicitud de modificación a las características técnicas y administrativas de dichas concesiones, como es la contenida en la presente Resolución.</w:t>
      </w:r>
    </w:p>
    <w:p w14:paraId="5D0FE53F" w14:textId="77777777" w:rsidR="00510083" w:rsidRPr="00510083" w:rsidRDefault="00074A2E" w:rsidP="00510083">
      <w:pPr>
        <w:pStyle w:val="NormalWeb"/>
        <w:spacing w:before="240" w:beforeAutospacing="0" w:after="240" w:afterAutospacing="0"/>
        <w:jc w:val="both"/>
        <w:rPr>
          <w:rFonts w:ascii="ITC Avant Garde" w:hAnsi="ITC Avant Garde"/>
          <w:color w:val="000000"/>
          <w:sz w:val="22"/>
          <w:szCs w:val="22"/>
          <w:lang w:val="es-ES" w:eastAsia="es-ES"/>
        </w:rPr>
      </w:pPr>
      <w:r w:rsidRPr="00510083">
        <w:rPr>
          <w:rFonts w:ascii="ITC Avant Garde" w:hAnsi="ITC Avant Garde"/>
          <w:b/>
          <w:color w:val="000000"/>
          <w:sz w:val="22"/>
          <w:szCs w:val="22"/>
          <w:lang w:eastAsia="es-ES"/>
        </w:rPr>
        <w:t>Segundo</w:t>
      </w:r>
      <w:r w:rsidR="00C614CA" w:rsidRPr="00510083">
        <w:rPr>
          <w:rFonts w:ascii="ITC Avant Garde" w:hAnsi="ITC Avant Garde"/>
          <w:b/>
          <w:color w:val="000000"/>
          <w:sz w:val="22"/>
          <w:szCs w:val="22"/>
          <w:lang w:eastAsia="es-ES"/>
        </w:rPr>
        <w:t>.- Análisis de la</w:t>
      </w:r>
      <w:r w:rsidR="00430744" w:rsidRPr="00510083">
        <w:rPr>
          <w:rFonts w:ascii="ITC Avant Garde" w:hAnsi="ITC Avant Garde"/>
          <w:b/>
          <w:color w:val="000000"/>
          <w:sz w:val="22"/>
          <w:szCs w:val="22"/>
          <w:lang w:eastAsia="es-ES"/>
        </w:rPr>
        <w:t xml:space="preserve"> Solicitud</w:t>
      </w:r>
      <w:r w:rsidR="008F2DF9" w:rsidRPr="00510083">
        <w:rPr>
          <w:rFonts w:ascii="ITC Avant Garde" w:hAnsi="ITC Avant Garde"/>
          <w:b/>
          <w:color w:val="000000"/>
          <w:sz w:val="22"/>
          <w:szCs w:val="22"/>
          <w:lang w:eastAsia="es-ES"/>
        </w:rPr>
        <w:t xml:space="preserve"> de Modificación</w:t>
      </w:r>
      <w:r w:rsidR="00C614CA" w:rsidRPr="00510083">
        <w:rPr>
          <w:rFonts w:ascii="ITC Avant Garde" w:hAnsi="ITC Avant Garde"/>
          <w:b/>
          <w:color w:val="000000"/>
          <w:sz w:val="22"/>
          <w:szCs w:val="22"/>
          <w:lang w:eastAsia="es-ES"/>
        </w:rPr>
        <w:t>.</w:t>
      </w:r>
      <w:r w:rsidR="00C614CA" w:rsidRPr="00510083">
        <w:rPr>
          <w:rFonts w:ascii="ITC Avant Garde" w:hAnsi="ITC Avant Garde"/>
          <w:color w:val="000000"/>
          <w:sz w:val="22"/>
          <w:szCs w:val="22"/>
          <w:lang w:eastAsia="es-ES"/>
        </w:rPr>
        <w:t xml:space="preserve"> </w:t>
      </w:r>
      <w:r w:rsidR="0064266B" w:rsidRPr="00510083">
        <w:rPr>
          <w:rFonts w:ascii="ITC Avant Garde" w:hAnsi="ITC Avant Garde"/>
          <w:color w:val="000000"/>
          <w:sz w:val="22"/>
          <w:szCs w:val="22"/>
          <w:lang w:eastAsia="es-ES"/>
        </w:rPr>
        <w:t xml:space="preserve">Como quedo establecido en el antecedente VII el Concesionario </w:t>
      </w:r>
      <w:r w:rsidR="0064266B" w:rsidRPr="00510083">
        <w:rPr>
          <w:rFonts w:ascii="ITC Avant Garde" w:hAnsi="ITC Avant Garde"/>
          <w:bCs/>
          <w:color w:val="000000"/>
          <w:sz w:val="22"/>
          <w:szCs w:val="22"/>
        </w:rPr>
        <w:t>solicitó la autorización de este Instituto para modificar los parámetros técnicos de la Concesión, con el fin de</w:t>
      </w:r>
      <w:r w:rsidR="001B6173" w:rsidRPr="00510083">
        <w:rPr>
          <w:rFonts w:ascii="ITC Avant Garde" w:hAnsi="ITC Avant Garde"/>
          <w:bCs/>
          <w:color w:val="000000"/>
          <w:sz w:val="22"/>
          <w:szCs w:val="22"/>
        </w:rPr>
        <w:t xml:space="preserve"> adicionar el satélite SES-10 en la POG 67° O y la eliminación del satélite NSS-703 en la POG 47° O</w:t>
      </w:r>
      <w:r w:rsidR="0064266B" w:rsidRPr="00510083">
        <w:rPr>
          <w:rFonts w:ascii="ITC Avant Garde" w:hAnsi="ITC Avant Garde"/>
          <w:bCs/>
          <w:color w:val="000000"/>
          <w:sz w:val="22"/>
          <w:szCs w:val="22"/>
        </w:rPr>
        <w:t xml:space="preserve">, para lo cual </w:t>
      </w:r>
      <w:r w:rsidR="0064266B" w:rsidRPr="00510083">
        <w:rPr>
          <w:rFonts w:ascii="ITC Avant Garde" w:hAnsi="ITC Avant Garde"/>
          <w:color w:val="000000"/>
          <w:sz w:val="22"/>
          <w:szCs w:val="22"/>
          <w:lang w:val="es-ES" w:eastAsia="es-ES"/>
        </w:rPr>
        <w:t>l</w:t>
      </w:r>
      <w:r w:rsidR="00D4158E" w:rsidRPr="00510083">
        <w:rPr>
          <w:rFonts w:ascii="ITC Avant Garde" w:hAnsi="ITC Avant Garde"/>
          <w:color w:val="000000"/>
          <w:sz w:val="22"/>
          <w:szCs w:val="22"/>
          <w:lang w:val="es-ES" w:eastAsia="es-ES"/>
        </w:rPr>
        <w:t xml:space="preserve">a Condición 2.1. </w:t>
      </w:r>
      <w:proofErr w:type="gramStart"/>
      <w:r w:rsidR="00D4158E" w:rsidRPr="00510083">
        <w:rPr>
          <w:rFonts w:ascii="ITC Avant Garde" w:hAnsi="ITC Avant Garde"/>
          <w:color w:val="000000"/>
          <w:sz w:val="22"/>
          <w:szCs w:val="22"/>
          <w:lang w:val="es-ES" w:eastAsia="es-ES"/>
        </w:rPr>
        <w:t>de</w:t>
      </w:r>
      <w:proofErr w:type="gramEnd"/>
      <w:r w:rsidR="00D4158E" w:rsidRPr="00510083">
        <w:rPr>
          <w:rFonts w:ascii="ITC Avant Garde" w:hAnsi="ITC Avant Garde"/>
          <w:color w:val="000000"/>
          <w:sz w:val="22"/>
          <w:szCs w:val="22"/>
          <w:lang w:val="es-ES" w:eastAsia="es-ES"/>
        </w:rPr>
        <w:t xml:space="preserve"> la Concesión señala textualmente:</w:t>
      </w:r>
    </w:p>
    <w:p w14:paraId="6B2AF055" w14:textId="77777777" w:rsidR="00510083" w:rsidRPr="00510083" w:rsidRDefault="00D4158E" w:rsidP="00510083">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510083">
        <w:rPr>
          <w:rFonts w:ascii="ITC Avant Garde" w:hAnsi="ITC Avant Garde"/>
          <w:color w:val="000000"/>
          <w:sz w:val="20"/>
          <w:szCs w:val="22"/>
          <w:lang w:val="es-ES" w:eastAsia="es-ES"/>
        </w:rPr>
        <w:t>“</w:t>
      </w:r>
      <w:r w:rsidRPr="00510083">
        <w:rPr>
          <w:rFonts w:ascii="ITC Avant Garde" w:hAnsi="ITC Avant Garde"/>
          <w:b/>
          <w:color w:val="000000"/>
          <w:sz w:val="18"/>
          <w:szCs w:val="22"/>
          <w:lang w:val="es-ES" w:eastAsia="es-ES"/>
        </w:rPr>
        <w:t>2.1. Condiciones técnicas de operación</w:t>
      </w:r>
      <w:r w:rsidRPr="00510083">
        <w:rPr>
          <w:rFonts w:ascii="ITC Avant Garde" w:hAnsi="ITC Avant Garde"/>
          <w:color w:val="000000"/>
          <w:sz w:val="18"/>
          <w:szCs w:val="22"/>
          <w:lang w:val="es-ES" w:eastAsia="es-ES"/>
        </w:rPr>
        <w:t xml:space="preserve">. El Concesionario acepta que las condiciones técnicas de operación de la explotación de los derechos de emisión y recepción de señales de bandas de frecuencias asociadas al sistema satelital extranjero a que se refiere el Anexo de la presente Concesión, se sujetarán a lo dispuesto en la Ley, así como a los tratados internacionales, leyes, </w:t>
      </w:r>
      <w:r w:rsidRPr="00510083">
        <w:rPr>
          <w:rFonts w:ascii="ITC Avant Garde" w:hAnsi="ITC Avant Garde"/>
          <w:color w:val="000000"/>
          <w:sz w:val="18"/>
          <w:szCs w:val="22"/>
          <w:lang w:val="es-ES" w:eastAsia="es-ES"/>
        </w:rPr>
        <w:lastRenderedPageBreak/>
        <w:t xml:space="preserve">reglamentos, decretos, normas oficiales mexicanas, resoluciones, acuerdos, y demás disposiciones legales, reglamentarias y administrativas aplicables. Las condiciones técnicas de operación para los servicios que se presten en México, podrán ser modificadas, previa autorización de la Secretaría. </w:t>
      </w:r>
    </w:p>
    <w:p w14:paraId="2C137F2D" w14:textId="77777777" w:rsidR="00510083" w:rsidRPr="00510083" w:rsidRDefault="00D4158E" w:rsidP="00510083">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510083">
        <w:rPr>
          <w:rFonts w:ascii="ITC Avant Garde" w:hAnsi="ITC Avant Garde"/>
          <w:color w:val="000000"/>
          <w:sz w:val="18"/>
          <w:szCs w:val="22"/>
          <w:lang w:val="es-ES" w:eastAsia="es-ES"/>
        </w:rPr>
        <w:t>De conformidad con lo dispuesto en el artículo 13 del Reglamento, la Comisión podrá, previa opinión del Concesionario, modificar las características técnicas y operativas de la Concesión en los casos señalados por dicho artículo.”</w:t>
      </w:r>
    </w:p>
    <w:p w14:paraId="170B3DB2" w14:textId="77777777" w:rsidR="00510083" w:rsidRPr="00510083" w:rsidRDefault="00D4158E" w:rsidP="00510083">
      <w:pPr>
        <w:pStyle w:val="NormalWeb"/>
        <w:spacing w:before="240" w:beforeAutospacing="0" w:after="240" w:afterAutospacing="0"/>
        <w:jc w:val="both"/>
        <w:rPr>
          <w:rFonts w:ascii="ITC Avant Garde" w:hAnsi="ITC Avant Garde"/>
          <w:color w:val="000000"/>
          <w:sz w:val="22"/>
          <w:szCs w:val="22"/>
          <w:lang w:val="es-ES" w:eastAsia="es-ES"/>
        </w:rPr>
      </w:pPr>
      <w:r w:rsidRPr="00510083">
        <w:rPr>
          <w:rFonts w:ascii="ITC Avant Garde" w:hAnsi="ITC Avant Garde"/>
          <w:color w:val="000000"/>
          <w:sz w:val="22"/>
          <w:szCs w:val="22"/>
          <w:lang w:val="es-ES" w:eastAsia="es-ES"/>
        </w:rPr>
        <w:t>Al respecto, la Condición A.6</w:t>
      </w:r>
      <w:r w:rsidR="00B858FF" w:rsidRPr="00510083">
        <w:rPr>
          <w:rFonts w:ascii="ITC Avant Garde" w:hAnsi="ITC Avant Garde"/>
          <w:color w:val="000000"/>
          <w:sz w:val="22"/>
          <w:szCs w:val="22"/>
          <w:lang w:val="es-ES" w:eastAsia="es-ES"/>
        </w:rPr>
        <w:t>.</w:t>
      </w:r>
      <w:r w:rsidRPr="00510083">
        <w:rPr>
          <w:rFonts w:ascii="ITC Avant Garde" w:hAnsi="ITC Avant Garde"/>
          <w:color w:val="000000"/>
          <w:sz w:val="22"/>
          <w:szCs w:val="22"/>
          <w:lang w:val="es-ES" w:eastAsia="es-ES"/>
        </w:rPr>
        <w:t xml:space="preserve"> </w:t>
      </w:r>
      <w:proofErr w:type="gramStart"/>
      <w:r w:rsidRPr="00510083">
        <w:rPr>
          <w:rFonts w:ascii="ITC Avant Garde" w:hAnsi="ITC Avant Garde"/>
          <w:color w:val="000000"/>
          <w:sz w:val="22"/>
          <w:szCs w:val="22"/>
          <w:lang w:val="es-ES" w:eastAsia="es-ES"/>
        </w:rPr>
        <w:t>del</w:t>
      </w:r>
      <w:proofErr w:type="gramEnd"/>
      <w:r w:rsidRPr="00510083">
        <w:rPr>
          <w:rFonts w:ascii="ITC Avant Garde" w:hAnsi="ITC Avant Garde"/>
          <w:color w:val="000000"/>
          <w:sz w:val="22"/>
          <w:szCs w:val="22"/>
          <w:lang w:val="es-ES" w:eastAsia="es-ES"/>
        </w:rPr>
        <w:t xml:space="preserve"> Anexo de la Concesión señala textualmente:</w:t>
      </w:r>
    </w:p>
    <w:p w14:paraId="3892E636" w14:textId="77777777" w:rsidR="00510083" w:rsidRPr="00510083" w:rsidRDefault="00D4158E" w:rsidP="00510083">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510083">
        <w:rPr>
          <w:rFonts w:ascii="ITC Avant Garde" w:hAnsi="ITC Avant Garde"/>
          <w:color w:val="000000"/>
          <w:sz w:val="18"/>
          <w:szCs w:val="22"/>
          <w:lang w:val="es-ES" w:eastAsia="es-ES"/>
        </w:rPr>
        <w:t>“</w:t>
      </w:r>
      <w:r w:rsidRPr="00510083">
        <w:rPr>
          <w:rFonts w:ascii="ITC Avant Garde" w:hAnsi="ITC Avant Garde"/>
          <w:b/>
          <w:color w:val="000000"/>
          <w:sz w:val="18"/>
          <w:szCs w:val="22"/>
          <w:lang w:val="es-ES" w:eastAsia="es-ES"/>
        </w:rPr>
        <w:t>A.6. Modificaciones</w:t>
      </w:r>
      <w:r w:rsidRPr="00510083">
        <w:rPr>
          <w:rFonts w:ascii="ITC Avant Garde" w:hAnsi="ITC Avant Garde"/>
          <w:color w:val="000000"/>
          <w:sz w:val="18"/>
          <w:szCs w:val="22"/>
          <w:lang w:val="es-ES" w:eastAsia="es-ES"/>
        </w:rPr>
        <w:t xml:space="preserve">. El Concesionario se obliga a solicitar la autorización de la Secretaría en caso de que se realicen modificaciones a las especificaciones técnicas que se indican en el numeral A.9. </w:t>
      </w:r>
      <w:proofErr w:type="gramStart"/>
      <w:r w:rsidRPr="00510083">
        <w:rPr>
          <w:rFonts w:ascii="ITC Avant Garde" w:hAnsi="ITC Avant Garde"/>
          <w:color w:val="000000"/>
          <w:sz w:val="18"/>
          <w:szCs w:val="22"/>
          <w:lang w:val="es-ES" w:eastAsia="es-ES"/>
        </w:rPr>
        <w:t>del</w:t>
      </w:r>
      <w:proofErr w:type="gramEnd"/>
      <w:r w:rsidRPr="00510083">
        <w:rPr>
          <w:rFonts w:ascii="ITC Avant Garde" w:hAnsi="ITC Avant Garde"/>
          <w:color w:val="000000"/>
          <w:sz w:val="18"/>
          <w:szCs w:val="22"/>
          <w:lang w:val="es-ES" w:eastAsia="es-ES"/>
        </w:rPr>
        <w:t xml:space="preserve"> presente Anexo, para los servicios prestados en territorio nacional, en un plazo de 30 (treinta) días hábiles, contado a partir de que se lleven a cabo dichas modificaciones.</w:t>
      </w:r>
    </w:p>
    <w:p w14:paraId="02CD6969" w14:textId="77777777" w:rsidR="00510083" w:rsidRPr="00510083" w:rsidRDefault="00D4158E" w:rsidP="00510083">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510083">
        <w:rPr>
          <w:rFonts w:ascii="ITC Avant Garde" w:hAnsi="ITC Avant Garde"/>
          <w:color w:val="000000"/>
          <w:sz w:val="18"/>
          <w:szCs w:val="22"/>
          <w:lang w:val="es-ES" w:eastAsia="es-ES"/>
        </w:rPr>
        <w:t>Asimismo, en caso de cambio del segmento satelital contratado con el operador satelital extranjero, el Concesionario requerirá de la autorización previa de la Secretaría, para lo cual deberá presentar el contrato actualizado.”</w:t>
      </w:r>
    </w:p>
    <w:p w14:paraId="5C2CFB8A" w14:textId="77777777" w:rsidR="00510083" w:rsidRPr="00510083" w:rsidRDefault="00D4158E" w:rsidP="00510083">
      <w:pPr>
        <w:pStyle w:val="NormalWeb"/>
        <w:spacing w:before="240" w:beforeAutospacing="0" w:after="240" w:afterAutospacing="0"/>
        <w:jc w:val="both"/>
        <w:rPr>
          <w:rFonts w:ascii="ITC Avant Garde" w:hAnsi="ITC Avant Garde"/>
          <w:color w:val="000000"/>
          <w:sz w:val="22"/>
          <w:szCs w:val="22"/>
          <w:lang w:val="es-ES" w:eastAsia="es-ES"/>
        </w:rPr>
      </w:pPr>
      <w:r w:rsidRPr="00510083">
        <w:rPr>
          <w:rFonts w:ascii="ITC Avant Garde" w:hAnsi="ITC Avant Garde"/>
          <w:color w:val="000000"/>
          <w:sz w:val="22"/>
          <w:szCs w:val="22"/>
          <w:lang w:val="es-ES" w:eastAsia="es-ES"/>
        </w:rPr>
        <w:t>Por otra parte, la Condición A.9</w:t>
      </w:r>
      <w:r w:rsidR="00D17D20" w:rsidRPr="00510083">
        <w:rPr>
          <w:rFonts w:ascii="ITC Avant Garde" w:hAnsi="ITC Avant Garde"/>
          <w:color w:val="000000"/>
          <w:sz w:val="22"/>
          <w:szCs w:val="22"/>
          <w:lang w:val="es-ES" w:eastAsia="es-ES"/>
        </w:rPr>
        <w:t>.</w:t>
      </w:r>
      <w:r w:rsidRPr="00510083">
        <w:rPr>
          <w:rFonts w:ascii="ITC Avant Garde" w:hAnsi="ITC Avant Garde"/>
          <w:color w:val="000000"/>
          <w:sz w:val="22"/>
          <w:szCs w:val="22"/>
          <w:lang w:val="es-ES" w:eastAsia="es-ES"/>
        </w:rPr>
        <w:t xml:space="preserve"> </w:t>
      </w:r>
      <w:proofErr w:type="gramStart"/>
      <w:r w:rsidRPr="00510083">
        <w:rPr>
          <w:rFonts w:ascii="ITC Avant Garde" w:hAnsi="ITC Avant Garde"/>
          <w:color w:val="000000"/>
          <w:sz w:val="22"/>
          <w:szCs w:val="22"/>
          <w:lang w:val="es-ES" w:eastAsia="es-ES"/>
        </w:rPr>
        <w:t>del</w:t>
      </w:r>
      <w:proofErr w:type="gramEnd"/>
      <w:r w:rsidRPr="00510083">
        <w:rPr>
          <w:rFonts w:ascii="ITC Avant Garde" w:hAnsi="ITC Avant Garde"/>
          <w:color w:val="000000"/>
          <w:sz w:val="22"/>
          <w:szCs w:val="22"/>
          <w:lang w:val="es-ES" w:eastAsia="es-ES"/>
        </w:rPr>
        <w:t xml:space="preserve"> Anexo de la Concesión establece que:</w:t>
      </w:r>
    </w:p>
    <w:p w14:paraId="4DA4F69D" w14:textId="77777777" w:rsidR="00510083" w:rsidRPr="00510083" w:rsidRDefault="00D4158E" w:rsidP="00510083">
      <w:pPr>
        <w:pStyle w:val="NormalWeb"/>
        <w:spacing w:before="240" w:beforeAutospacing="0" w:after="240" w:afterAutospacing="0"/>
        <w:ind w:left="550"/>
        <w:jc w:val="both"/>
        <w:rPr>
          <w:rFonts w:ascii="ITC Avant Garde" w:hAnsi="ITC Avant Garde"/>
          <w:color w:val="000000"/>
          <w:sz w:val="18"/>
          <w:szCs w:val="22"/>
          <w:lang w:val="es-ES" w:eastAsia="es-ES"/>
        </w:rPr>
      </w:pPr>
      <w:r w:rsidRPr="00510083">
        <w:rPr>
          <w:rFonts w:ascii="ITC Avant Garde" w:hAnsi="ITC Avant Garde"/>
          <w:color w:val="000000"/>
          <w:sz w:val="18"/>
          <w:szCs w:val="22"/>
          <w:lang w:val="es-ES" w:eastAsia="es-ES"/>
        </w:rPr>
        <w:t>“</w:t>
      </w:r>
      <w:r w:rsidRPr="00510083">
        <w:rPr>
          <w:rFonts w:ascii="ITC Avant Garde" w:hAnsi="ITC Avant Garde"/>
          <w:b/>
          <w:color w:val="000000"/>
          <w:sz w:val="18"/>
          <w:szCs w:val="22"/>
          <w:lang w:val="es-ES" w:eastAsia="es-ES"/>
        </w:rPr>
        <w:t>A.9. Especificaciones técnicas de los satélites extranjeros.</w:t>
      </w:r>
      <w:r w:rsidRPr="00510083">
        <w:rPr>
          <w:rFonts w:ascii="ITC Avant Garde" w:hAnsi="ITC Avant Garde"/>
          <w:color w:val="000000"/>
          <w:sz w:val="18"/>
          <w:szCs w:val="22"/>
          <w:lang w:val="es-ES" w:eastAsia="es-ES"/>
        </w:rPr>
        <w:t xml:space="preserve"> El Concesionario se obliga a prestar los servicios cuando menos con las especificaciones técnicas de los satélites extranjeros, empleados en la prestación de los servicios, mismas que se transcriben a continuación:</w:t>
      </w:r>
    </w:p>
    <w:p w14:paraId="2AB0E78E" w14:textId="382C0B54" w:rsidR="00510083" w:rsidRPr="00510083" w:rsidRDefault="00D4158E" w:rsidP="00510083">
      <w:pPr>
        <w:pStyle w:val="NormalWeb"/>
        <w:spacing w:before="240" w:beforeAutospacing="0" w:after="240" w:afterAutospacing="0"/>
        <w:ind w:left="550"/>
        <w:jc w:val="both"/>
        <w:rPr>
          <w:rFonts w:ascii="ITC Avant Garde" w:hAnsi="ITC Avant Garde"/>
          <w:color w:val="000000"/>
          <w:sz w:val="18"/>
          <w:szCs w:val="22"/>
          <w:lang w:val="es-ES" w:eastAsia="es-ES"/>
        </w:rPr>
      </w:pPr>
      <w:r w:rsidRPr="00510083">
        <w:rPr>
          <w:rFonts w:ascii="ITC Avant Garde" w:hAnsi="ITC Avant Garde"/>
          <w:color w:val="000000"/>
          <w:sz w:val="18"/>
          <w:szCs w:val="22"/>
          <w:lang w:val="es-ES" w:eastAsia="es-ES"/>
        </w:rPr>
        <w:t>(…)”</w:t>
      </w:r>
    </w:p>
    <w:p w14:paraId="7B0E1A7D" w14:textId="77777777" w:rsidR="00510083" w:rsidRPr="00510083" w:rsidRDefault="00C614CA"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De la</w:t>
      </w:r>
      <w:r w:rsidR="0030333C" w:rsidRPr="00510083">
        <w:rPr>
          <w:rFonts w:ascii="ITC Avant Garde" w:hAnsi="ITC Avant Garde"/>
          <w:color w:val="000000"/>
          <w:sz w:val="22"/>
          <w:szCs w:val="22"/>
          <w:lang w:eastAsia="es-ES"/>
        </w:rPr>
        <w:t>s transcripcio</w:t>
      </w:r>
      <w:r w:rsidRPr="00510083">
        <w:rPr>
          <w:rFonts w:ascii="ITC Avant Garde" w:hAnsi="ITC Avant Garde"/>
          <w:color w:val="000000"/>
          <w:sz w:val="22"/>
          <w:szCs w:val="22"/>
          <w:lang w:eastAsia="es-ES"/>
        </w:rPr>
        <w:t>n</w:t>
      </w:r>
      <w:r w:rsidR="0030333C" w:rsidRPr="00510083">
        <w:rPr>
          <w:rFonts w:ascii="ITC Avant Garde" w:hAnsi="ITC Avant Garde"/>
          <w:color w:val="000000"/>
          <w:sz w:val="22"/>
          <w:szCs w:val="22"/>
          <w:lang w:eastAsia="es-ES"/>
        </w:rPr>
        <w:t>es</w:t>
      </w:r>
      <w:r w:rsidRPr="00510083">
        <w:rPr>
          <w:rFonts w:ascii="ITC Avant Garde" w:hAnsi="ITC Avant Garde"/>
          <w:color w:val="000000"/>
          <w:sz w:val="22"/>
          <w:szCs w:val="22"/>
          <w:lang w:eastAsia="es-ES"/>
        </w:rPr>
        <w:t xml:space="preserve"> anterior</w:t>
      </w:r>
      <w:r w:rsidR="0030333C" w:rsidRPr="00510083">
        <w:rPr>
          <w:rFonts w:ascii="ITC Avant Garde" w:hAnsi="ITC Avant Garde"/>
          <w:color w:val="000000"/>
          <w:sz w:val="22"/>
          <w:szCs w:val="22"/>
          <w:lang w:eastAsia="es-ES"/>
        </w:rPr>
        <w:t>es</w:t>
      </w:r>
      <w:r w:rsidRPr="00510083">
        <w:rPr>
          <w:rFonts w:ascii="ITC Avant Garde" w:hAnsi="ITC Avant Garde"/>
          <w:color w:val="000000"/>
          <w:sz w:val="22"/>
          <w:szCs w:val="22"/>
          <w:lang w:eastAsia="es-ES"/>
        </w:rPr>
        <w:t xml:space="preserve"> se </w:t>
      </w:r>
      <w:r w:rsidR="00554A53" w:rsidRPr="00510083">
        <w:rPr>
          <w:rFonts w:ascii="ITC Avant Garde" w:hAnsi="ITC Avant Garde"/>
          <w:color w:val="000000"/>
          <w:sz w:val="22"/>
          <w:szCs w:val="22"/>
          <w:lang w:eastAsia="es-ES"/>
        </w:rPr>
        <w:t xml:space="preserve">infiere </w:t>
      </w:r>
      <w:r w:rsidRPr="00510083">
        <w:rPr>
          <w:rFonts w:ascii="ITC Avant Garde" w:hAnsi="ITC Avant Garde"/>
          <w:color w:val="000000"/>
          <w:sz w:val="22"/>
          <w:szCs w:val="22"/>
          <w:lang w:eastAsia="es-ES"/>
        </w:rPr>
        <w:t xml:space="preserve">que la modificación a las especificaciones técnicas </w:t>
      </w:r>
      <w:r w:rsidR="00F1642A" w:rsidRPr="00510083">
        <w:rPr>
          <w:rFonts w:ascii="ITC Avant Garde" w:hAnsi="ITC Avant Garde"/>
          <w:color w:val="000000"/>
          <w:sz w:val="22"/>
          <w:szCs w:val="22"/>
          <w:lang w:eastAsia="es-ES"/>
        </w:rPr>
        <w:t xml:space="preserve">aludidas </w:t>
      </w:r>
      <w:r w:rsidR="006C37DB" w:rsidRPr="00510083">
        <w:rPr>
          <w:rFonts w:ascii="ITC Avant Garde" w:hAnsi="ITC Avant Garde"/>
          <w:color w:val="000000"/>
          <w:sz w:val="22"/>
          <w:szCs w:val="22"/>
          <w:lang w:eastAsia="es-ES"/>
        </w:rPr>
        <w:t xml:space="preserve">en el Anexo </w:t>
      </w:r>
      <w:r w:rsidRPr="00510083">
        <w:rPr>
          <w:rFonts w:ascii="ITC Avant Garde" w:hAnsi="ITC Avant Garde"/>
          <w:color w:val="000000"/>
          <w:sz w:val="22"/>
          <w:szCs w:val="22"/>
          <w:lang w:eastAsia="es-ES"/>
        </w:rPr>
        <w:t xml:space="preserve">de </w:t>
      </w:r>
      <w:r w:rsidR="003216AF" w:rsidRPr="00510083">
        <w:rPr>
          <w:rFonts w:ascii="ITC Avant Garde" w:hAnsi="ITC Avant Garde"/>
          <w:color w:val="000000"/>
          <w:sz w:val="22"/>
          <w:szCs w:val="22"/>
          <w:lang w:eastAsia="es-ES"/>
        </w:rPr>
        <w:t>la Concesión</w:t>
      </w:r>
      <w:r w:rsidRPr="00510083">
        <w:rPr>
          <w:rFonts w:ascii="ITC Avant Garde" w:hAnsi="ITC Avant Garde"/>
          <w:color w:val="000000"/>
          <w:sz w:val="22"/>
          <w:szCs w:val="22"/>
          <w:lang w:eastAsia="es-ES"/>
        </w:rPr>
        <w:t xml:space="preserve">, estará sujeta a que el Concesionario </w:t>
      </w:r>
      <w:r w:rsidR="00CB32E4" w:rsidRPr="00510083">
        <w:rPr>
          <w:rFonts w:ascii="ITC Avant Garde" w:hAnsi="ITC Avant Garde"/>
          <w:color w:val="000000"/>
          <w:sz w:val="22"/>
          <w:szCs w:val="22"/>
          <w:lang w:eastAsia="es-ES"/>
        </w:rPr>
        <w:t xml:space="preserve">lo </w:t>
      </w:r>
      <w:r w:rsidRPr="00510083">
        <w:rPr>
          <w:rFonts w:ascii="ITC Avant Garde" w:hAnsi="ITC Avant Garde"/>
          <w:color w:val="000000"/>
          <w:sz w:val="22"/>
          <w:szCs w:val="22"/>
          <w:lang w:eastAsia="es-ES"/>
        </w:rPr>
        <w:t xml:space="preserve">solicite </w:t>
      </w:r>
      <w:r w:rsidR="00554A53" w:rsidRPr="00510083">
        <w:rPr>
          <w:rFonts w:ascii="ITC Avant Garde" w:hAnsi="ITC Avant Garde"/>
          <w:color w:val="000000"/>
          <w:sz w:val="22"/>
          <w:szCs w:val="22"/>
          <w:lang w:eastAsia="es-ES"/>
        </w:rPr>
        <w:t xml:space="preserve">expresamente </w:t>
      </w:r>
      <w:r w:rsidR="00142A3D" w:rsidRPr="00510083">
        <w:rPr>
          <w:rFonts w:ascii="ITC Avant Garde" w:hAnsi="ITC Avant Garde"/>
          <w:color w:val="000000"/>
          <w:sz w:val="22"/>
          <w:szCs w:val="22"/>
          <w:lang w:eastAsia="es-ES"/>
        </w:rPr>
        <w:t>a</w:t>
      </w:r>
      <w:r w:rsidR="00D4158E" w:rsidRPr="00510083">
        <w:rPr>
          <w:rFonts w:ascii="ITC Avant Garde" w:hAnsi="ITC Avant Garde"/>
          <w:color w:val="000000"/>
          <w:sz w:val="22"/>
          <w:szCs w:val="22"/>
          <w:lang w:eastAsia="es-ES"/>
        </w:rPr>
        <w:t xml:space="preserve"> </w:t>
      </w:r>
      <w:r w:rsidR="00142A3D" w:rsidRPr="00510083">
        <w:rPr>
          <w:rFonts w:ascii="ITC Avant Garde" w:hAnsi="ITC Avant Garde"/>
          <w:color w:val="000000"/>
          <w:sz w:val="22"/>
          <w:szCs w:val="22"/>
          <w:lang w:eastAsia="es-ES"/>
        </w:rPr>
        <w:t>l</w:t>
      </w:r>
      <w:r w:rsidR="00D4158E" w:rsidRPr="00510083">
        <w:rPr>
          <w:rFonts w:ascii="ITC Avant Garde" w:hAnsi="ITC Avant Garde"/>
          <w:color w:val="000000"/>
          <w:sz w:val="22"/>
          <w:szCs w:val="22"/>
          <w:lang w:eastAsia="es-ES"/>
        </w:rPr>
        <w:t>a</w:t>
      </w:r>
      <w:r w:rsidR="00142A3D" w:rsidRPr="00510083">
        <w:rPr>
          <w:rFonts w:ascii="ITC Avant Garde" w:hAnsi="ITC Avant Garde"/>
          <w:color w:val="000000"/>
          <w:sz w:val="22"/>
          <w:szCs w:val="22"/>
          <w:lang w:eastAsia="es-ES"/>
        </w:rPr>
        <w:t xml:space="preserve"> </w:t>
      </w:r>
      <w:r w:rsidR="00D4158E" w:rsidRPr="00510083">
        <w:rPr>
          <w:rFonts w:ascii="ITC Avant Garde" w:hAnsi="ITC Avant Garde"/>
          <w:color w:val="000000"/>
          <w:sz w:val="22"/>
          <w:szCs w:val="22"/>
          <w:lang w:eastAsia="es-ES"/>
        </w:rPr>
        <w:t>autoridad competente</w:t>
      </w:r>
      <w:r w:rsidRPr="00510083">
        <w:rPr>
          <w:rFonts w:ascii="ITC Avant Garde" w:hAnsi="ITC Avant Garde"/>
          <w:color w:val="000000"/>
          <w:sz w:val="22"/>
          <w:szCs w:val="22"/>
          <w:lang w:eastAsia="es-ES"/>
        </w:rPr>
        <w:t xml:space="preserve">, </w:t>
      </w:r>
      <w:r w:rsidR="003216AF" w:rsidRPr="00510083">
        <w:rPr>
          <w:rFonts w:ascii="ITC Avant Garde" w:hAnsi="ITC Avant Garde"/>
          <w:color w:val="000000"/>
          <w:sz w:val="22"/>
          <w:szCs w:val="22"/>
          <w:lang w:eastAsia="es-ES"/>
        </w:rPr>
        <w:t xml:space="preserve">requisito ya solventado por el Concesionario con </w:t>
      </w:r>
      <w:r w:rsidR="00554A53" w:rsidRPr="00510083">
        <w:rPr>
          <w:rFonts w:ascii="ITC Avant Garde" w:hAnsi="ITC Avant Garde"/>
          <w:color w:val="000000"/>
          <w:sz w:val="22"/>
          <w:szCs w:val="22"/>
          <w:lang w:eastAsia="es-ES"/>
        </w:rPr>
        <w:t>la presentación d</w:t>
      </w:r>
      <w:r w:rsidR="003216AF" w:rsidRPr="00510083">
        <w:rPr>
          <w:rFonts w:ascii="ITC Avant Garde" w:hAnsi="ITC Avant Garde"/>
          <w:color w:val="000000"/>
          <w:sz w:val="22"/>
          <w:szCs w:val="22"/>
          <w:lang w:eastAsia="es-ES"/>
        </w:rPr>
        <w:t>el escrito de solicitud de modificación</w:t>
      </w:r>
      <w:r w:rsidR="0064266B" w:rsidRPr="00510083">
        <w:rPr>
          <w:rFonts w:ascii="ITC Avant Garde" w:hAnsi="ITC Avant Garde"/>
          <w:color w:val="000000"/>
          <w:sz w:val="22"/>
          <w:szCs w:val="22"/>
          <w:lang w:eastAsia="es-ES"/>
        </w:rPr>
        <w:t>.</w:t>
      </w:r>
      <w:r w:rsidR="003216AF" w:rsidRPr="00510083">
        <w:rPr>
          <w:rFonts w:ascii="ITC Avant Garde" w:hAnsi="ITC Avant Garde"/>
          <w:color w:val="000000"/>
          <w:sz w:val="22"/>
          <w:szCs w:val="22"/>
          <w:lang w:eastAsia="es-ES"/>
        </w:rPr>
        <w:t xml:space="preserve"> </w:t>
      </w:r>
    </w:p>
    <w:p w14:paraId="17DFDB4D" w14:textId="77777777" w:rsidR="00510083" w:rsidRPr="00510083" w:rsidRDefault="0003435D" w:rsidP="00510083">
      <w:pPr>
        <w:spacing w:before="240" w:after="240" w:line="240" w:lineRule="auto"/>
        <w:jc w:val="both"/>
        <w:rPr>
          <w:rFonts w:ascii="ITC Avant Garde" w:hAnsi="ITC Avant Garde"/>
          <w:bCs/>
          <w:color w:val="000000"/>
          <w:lang w:eastAsia="es-MX"/>
        </w:rPr>
      </w:pPr>
      <w:r w:rsidRPr="00510083">
        <w:rPr>
          <w:rFonts w:ascii="ITC Avant Garde" w:hAnsi="ITC Avant Garde"/>
          <w:bCs/>
          <w:color w:val="000000"/>
          <w:lang w:eastAsia="es-MX"/>
        </w:rPr>
        <w:t xml:space="preserve">En ese sentido, en caso de que el Concesionario modifique el segmento espacial contratado con el operador satelital extranjero, deberá solicitarlo previamente a la autoridad competente presentando el contrato actualizado, por ello, el Concesionario presentó anexo a la Solicitud, un contrato modificatorio suscrito entre el Concesionario y el operador satelital extranjero que tiene por objeto sustituir el Anexo E del contrato original y que contiene el listado de satélites contratados, entre los cuales se encuentran los actualmente autorizados y el satélite SES-10. </w:t>
      </w:r>
    </w:p>
    <w:p w14:paraId="7588BCA5" w14:textId="77777777" w:rsidR="00510083" w:rsidRPr="00510083" w:rsidRDefault="003B28BF" w:rsidP="00510083">
      <w:pPr>
        <w:spacing w:before="240" w:after="240" w:line="240" w:lineRule="auto"/>
        <w:jc w:val="both"/>
        <w:rPr>
          <w:rFonts w:ascii="ITC Avant Garde" w:hAnsi="ITC Avant Garde"/>
          <w:b/>
          <w:bCs/>
          <w:color w:val="000000"/>
        </w:rPr>
      </w:pPr>
      <w:r w:rsidRPr="00510083">
        <w:rPr>
          <w:rFonts w:ascii="ITC Avant Garde" w:hAnsi="ITC Avant Garde" w:cs="Arial"/>
          <w:bCs/>
          <w:color w:val="000000"/>
          <w:shd w:val="clear" w:color="auto" w:fill="FFFFFF"/>
        </w:rPr>
        <w:t>U</w:t>
      </w:r>
      <w:r w:rsidR="003216AF" w:rsidRPr="00510083">
        <w:rPr>
          <w:rFonts w:ascii="ITC Avant Garde" w:hAnsi="ITC Avant Garde" w:cs="Arial"/>
          <w:bCs/>
          <w:color w:val="000000"/>
          <w:shd w:val="clear" w:color="auto" w:fill="FFFFFF"/>
        </w:rPr>
        <w:t xml:space="preserve">na vez analizada la Solicitud </w:t>
      </w:r>
      <w:r w:rsidR="00F76EA6" w:rsidRPr="00510083">
        <w:rPr>
          <w:rFonts w:ascii="ITC Avant Garde" w:hAnsi="ITC Avant Garde" w:cs="Arial"/>
          <w:bCs/>
          <w:color w:val="000000"/>
          <w:shd w:val="clear" w:color="auto" w:fill="FFFFFF"/>
        </w:rPr>
        <w:t xml:space="preserve">y con la finalidad de contar con mayores elementos para determinar la procedencia de la </w:t>
      </w:r>
      <w:r w:rsidR="003D7585" w:rsidRPr="00510083">
        <w:rPr>
          <w:rFonts w:ascii="ITC Avant Garde" w:hAnsi="ITC Avant Garde" w:cs="Arial"/>
          <w:bCs/>
          <w:color w:val="000000"/>
          <w:shd w:val="clear" w:color="auto" w:fill="FFFFFF"/>
        </w:rPr>
        <w:t>misma</w:t>
      </w:r>
      <w:r w:rsidR="00F76EA6" w:rsidRPr="00510083">
        <w:rPr>
          <w:rFonts w:ascii="ITC Avant Garde" w:hAnsi="ITC Avant Garde" w:cs="Arial"/>
          <w:bCs/>
          <w:color w:val="000000"/>
          <w:shd w:val="clear" w:color="auto" w:fill="FFFFFF"/>
        </w:rPr>
        <w:t xml:space="preserve">, </w:t>
      </w:r>
      <w:r w:rsidR="00F30667" w:rsidRPr="00510083">
        <w:rPr>
          <w:rFonts w:ascii="ITC Avant Garde" w:hAnsi="ITC Avant Garde" w:cs="Arial"/>
          <w:bCs/>
          <w:color w:val="000000"/>
          <w:shd w:val="clear" w:color="auto" w:fill="FFFFFF"/>
        </w:rPr>
        <w:t xml:space="preserve">la </w:t>
      </w:r>
      <w:r w:rsidR="009B139E" w:rsidRPr="00510083">
        <w:rPr>
          <w:rFonts w:ascii="ITC Avant Garde" w:hAnsi="ITC Avant Garde" w:cs="Arial"/>
          <w:bCs/>
          <w:color w:val="000000"/>
          <w:shd w:val="clear" w:color="auto" w:fill="FFFFFF"/>
        </w:rPr>
        <w:t>UCS</w:t>
      </w:r>
      <w:r w:rsidR="00F30667" w:rsidRPr="00510083">
        <w:rPr>
          <w:rFonts w:ascii="ITC Avant Garde" w:hAnsi="ITC Avant Garde" w:cs="Arial"/>
          <w:bCs/>
          <w:color w:val="000000"/>
          <w:shd w:val="clear" w:color="auto" w:fill="FFFFFF"/>
        </w:rPr>
        <w:t xml:space="preserve"> </w:t>
      </w:r>
      <w:r w:rsidR="003216AF" w:rsidRPr="00510083">
        <w:rPr>
          <w:rFonts w:ascii="ITC Avant Garde" w:hAnsi="ITC Avant Garde" w:cs="Arial"/>
          <w:bCs/>
          <w:color w:val="000000"/>
          <w:shd w:val="clear" w:color="auto" w:fill="FFFFFF"/>
        </w:rPr>
        <w:t>requiri</w:t>
      </w:r>
      <w:r w:rsidR="00F30667" w:rsidRPr="00510083">
        <w:rPr>
          <w:rFonts w:ascii="ITC Avant Garde" w:hAnsi="ITC Avant Garde" w:cs="Arial"/>
          <w:bCs/>
          <w:color w:val="000000"/>
          <w:shd w:val="clear" w:color="auto" w:fill="FFFFFF"/>
        </w:rPr>
        <w:t>ó</w:t>
      </w:r>
      <w:r w:rsidR="003216AF" w:rsidRPr="00510083">
        <w:rPr>
          <w:rFonts w:ascii="ITC Avant Garde" w:hAnsi="ITC Avant Garde" w:cs="Arial"/>
          <w:bCs/>
          <w:color w:val="000000"/>
          <w:shd w:val="clear" w:color="auto" w:fill="FFFFFF"/>
        </w:rPr>
        <w:t xml:space="preserve"> la opini</w:t>
      </w:r>
      <w:r w:rsidR="00554A53" w:rsidRPr="00510083">
        <w:rPr>
          <w:rFonts w:ascii="ITC Avant Garde" w:hAnsi="ITC Avant Garde" w:cs="Arial"/>
          <w:bCs/>
          <w:color w:val="000000"/>
          <w:shd w:val="clear" w:color="auto" w:fill="FFFFFF"/>
        </w:rPr>
        <w:t>ón técnica</w:t>
      </w:r>
      <w:r w:rsidR="003216AF" w:rsidRPr="00510083">
        <w:rPr>
          <w:rFonts w:ascii="ITC Avant Garde" w:hAnsi="ITC Avant Garde" w:cs="Arial"/>
          <w:bCs/>
          <w:color w:val="000000"/>
          <w:shd w:val="clear" w:color="auto" w:fill="FFFFFF"/>
        </w:rPr>
        <w:t xml:space="preserve"> de </w:t>
      </w:r>
      <w:r w:rsidR="003216AF" w:rsidRPr="00510083">
        <w:rPr>
          <w:rFonts w:ascii="ITC Avant Garde" w:hAnsi="ITC Avant Garde"/>
          <w:bCs/>
          <w:color w:val="000000"/>
          <w:lang w:eastAsia="es-MX"/>
        </w:rPr>
        <w:t xml:space="preserve">la Dirección General de Regulación del Espectro y Recursos Orbitales, adscrita a la UER, </w:t>
      </w:r>
      <w:r w:rsidR="001328D1" w:rsidRPr="00510083">
        <w:rPr>
          <w:rFonts w:ascii="ITC Avant Garde" w:hAnsi="ITC Avant Garde"/>
          <w:bCs/>
          <w:color w:val="000000"/>
          <w:lang w:eastAsia="es-MX"/>
        </w:rPr>
        <w:t xml:space="preserve">así como </w:t>
      </w:r>
      <w:r w:rsidR="00554A53" w:rsidRPr="00510083">
        <w:rPr>
          <w:rFonts w:ascii="ITC Avant Garde" w:hAnsi="ITC Avant Garde"/>
          <w:bCs/>
          <w:color w:val="000000"/>
          <w:lang w:eastAsia="es-MX"/>
        </w:rPr>
        <w:t xml:space="preserve">también </w:t>
      </w:r>
      <w:r w:rsidR="001328D1" w:rsidRPr="00510083">
        <w:rPr>
          <w:rFonts w:ascii="ITC Avant Garde" w:hAnsi="ITC Avant Garde"/>
          <w:bCs/>
          <w:color w:val="000000"/>
          <w:lang w:eastAsia="es-MX"/>
        </w:rPr>
        <w:t>de</w:t>
      </w:r>
      <w:r w:rsidR="003216AF" w:rsidRPr="00510083">
        <w:rPr>
          <w:rFonts w:ascii="ITC Avant Garde" w:hAnsi="ITC Avant Garde"/>
          <w:bCs/>
          <w:color w:val="000000"/>
          <w:lang w:eastAsia="es-MX"/>
        </w:rPr>
        <w:t xml:space="preserve"> la Secretaría</w:t>
      </w:r>
      <w:r w:rsidR="00FE4AA1" w:rsidRPr="00510083">
        <w:rPr>
          <w:rFonts w:ascii="ITC Avant Garde" w:hAnsi="ITC Avant Garde"/>
          <w:bCs/>
          <w:color w:val="000000"/>
          <w:lang w:eastAsia="es-MX"/>
        </w:rPr>
        <w:t xml:space="preserve"> respecto </w:t>
      </w:r>
      <w:r w:rsidR="001B6173" w:rsidRPr="00510083">
        <w:rPr>
          <w:rFonts w:ascii="ITC Avant Garde" w:hAnsi="ITC Avant Garde"/>
          <w:bCs/>
          <w:color w:val="000000"/>
          <w:lang w:eastAsia="es-MX"/>
        </w:rPr>
        <w:t>a la Solicitud</w:t>
      </w:r>
      <w:r w:rsidR="00D4158E" w:rsidRPr="00510083">
        <w:rPr>
          <w:rFonts w:ascii="ITC Avant Garde" w:hAnsi="ITC Avant Garde"/>
          <w:bCs/>
          <w:color w:val="000000"/>
          <w:lang w:eastAsia="es-MX"/>
        </w:rPr>
        <w:t xml:space="preserve">, y en su caso la </w:t>
      </w:r>
      <w:r w:rsidR="00FE4AA1" w:rsidRPr="00510083">
        <w:rPr>
          <w:rFonts w:ascii="ITC Avant Garde" w:hAnsi="ITC Avant Garde"/>
          <w:bCs/>
          <w:color w:val="000000"/>
          <w:lang w:eastAsia="es-MX"/>
        </w:rPr>
        <w:t xml:space="preserve">capacidad </w:t>
      </w:r>
      <w:proofErr w:type="gramStart"/>
      <w:r w:rsidR="00FE4AA1" w:rsidRPr="00510083">
        <w:rPr>
          <w:rFonts w:ascii="ITC Avant Garde" w:hAnsi="ITC Avant Garde"/>
          <w:bCs/>
          <w:color w:val="000000"/>
          <w:lang w:eastAsia="es-MX"/>
        </w:rPr>
        <w:t>satelital</w:t>
      </w:r>
      <w:proofErr w:type="gramEnd"/>
      <w:r w:rsidR="00FE4AA1" w:rsidRPr="00510083">
        <w:rPr>
          <w:rFonts w:ascii="ITC Avant Garde" w:hAnsi="ITC Avant Garde"/>
          <w:bCs/>
          <w:color w:val="000000"/>
          <w:lang w:eastAsia="es-MX"/>
        </w:rPr>
        <w:t xml:space="preserve"> </w:t>
      </w:r>
      <w:r w:rsidR="00D4158E" w:rsidRPr="00510083">
        <w:rPr>
          <w:rFonts w:ascii="ITC Avant Garde" w:hAnsi="ITC Avant Garde"/>
          <w:bCs/>
          <w:color w:val="000000"/>
          <w:lang w:eastAsia="es-MX"/>
        </w:rPr>
        <w:t xml:space="preserve">que se </w:t>
      </w:r>
      <w:r w:rsidR="00FE4AA1" w:rsidRPr="00510083">
        <w:rPr>
          <w:rFonts w:ascii="ITC Avant Garde" w:hAnsi="ITC Avant Garde"/>
          <w:bCs/>
          <w:color w:val="000000"/>
          <w:lang w:eastAsia="es-MX"/>
        </w:rPr>
        <w:t>establec</w:t>
      </w:r>
      <w:r w:rsidR="00F1642A" w:rsidRPr="00510083">
        <w:rPr>
          <w:rFonts w:ascii="ITC Avant Garde" w:hAnsi="ITC Avant Garde"/>
          <w:bCs/>
          <w:color w:val="000000"/>
          <w:lang w:eastAsia="es-MX"/>
        </w:rPr>
        <w:t>erá</w:t>
      </w:r>
      <w:r w:rsidR="00FE4AA1" w:rsidRPr="00510083">
        <w:rPr>
          <w:rFonts w:ascii="ITC Avant Garde" w:hAnsi="ITC Avant Garde"/>
          <w:bCs/>
          <w:color w:val="000000"/>
          <w:lang w:eastAsia="es-MX"/>
        </w:rPr>
        <w:t xml:space="preserve"> como reserva del Estado</w:t>
      </w:r>
      <w:r w:rsidR="00AF4972" w:rsidRPr="00510083">
        <w:rPr>
          <w:rFonts w:ascii="ITC Avant Garde" w:hAnsi="ITC Avant Garde"/>
          <w:bCs/>
          <w:color w:val="000000"/>
          <w:lang w:eastAsia="es-MX"/>
        </w:rPr>
        <w:t>.</w:t>
      </w:r>
    </w:p>
    <w:p w14:paraId="0CD32D00" w14:textId="77777777" w:rsidR="00510083" w:rsidRPr="00510083" w:rsidRDefault="00B15976"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M</w:t>
      </w:r>
      <w:r w:rsidR="00AF4972" w:rsidRPr="00510083">
        <w:rPr>
          <w:rFonts w:ascii="ITC Avant Garde" w:hAnsi="ITC Avant Garde"/>
          <w:color w:val="000000"/>
          <w:sz w:val="22"/>
          <w:szCs w:val="22"/>
          <w:lang w:eastAsia="es-ES"/>
        </w:rPr>
        <w:t xml:space="preserve">ediante oficio </w:t>
      </w:r>
      <w:r w:rsidR="001B6173" w:rsidRPr="00510083">
        <w:rPr>
          <w:rFonts w:ascii="ITC Avant Garde" w:hAnsi="ITC Avant Garde"/>
          <w:color w:val="000000"/>
          <w:sz w:val="22"/>
          <w:szCs w:val="22"/>
          <w:lang w:eastAsia="es-ES"/>
        </w:rPr>
        <w:t>IFT/222/UER/DG-RERO/044/2017 de fecha 17 de febrero de 2017</w:t>
      </w:r>
      <w:r w:rsidR="00AF4972" w:rsidRPr="00510083">
        <w:rPr>
          <w:rFonts w:ascii="ITC Avant Garde" w:hAnsi="ITC Avant Garde"/>
          <w:color w:val="000000"/>
          <w:sz w:val="22"/>
          <w:szCs w:val="22"/>
          <w:lang w:eastAsia="es-ES"/>
        </w:rPr>
        <w:t>,</w:t>
      </w:r>
      <w:r w:rsidR="00F30667" w:rsidRPr="00510083">
        <w:rPr>
          <w:rFonts w:ascii="ITC Avant Garde" w:hAnsi="ITC Avant Garde"/>
          <w:color w:val="000000"/>
          <w:sz w:val="22"/>
          <w:szCs w:val="22"/>
          <w:lang w:eastAsia="es-ES"/>
        </w:rPr>
        <w:t xml:space="preserve"> </w:t>
      </w:r>
      <w:r w:rsidR="00F30667" w:rsidRPr="00510083">
        <w:rPr>
          <w:rFonts w:ascii="ITC Avant Garde" w:hAnsi="ITC Avant Garde"/>
          <w:bCs/>
          <w:color w:val="000000"/>
          <w:sz w:val="22"/>
          <w:szCs w:val="22"/>
        </w:rPr>
        <w:t>la Dirección General de Regulación del Espectro y Recursos Orbitales</w:t>
      </w:r>
      <w:r w:rsidR="00F30667" w:rsidRPr="00510083">
        <w:rPr>
          <w:rFonts w:ascii="ITC Avant Garde" w:hAnsi="ITC Avant Garde"/>
          <w:color w:val="000000"/>
          <w:sz w:val="22"/>
          <w:szCs w:val="22"/>
          <w:lang w:eastAsia="es-ES"/>
        </w:rPr>
        <w:t xml:space="preserve"> </w:t>
      </w:r>
      <w:r w:rsidR="00AF4972" w:rsidRPr="00510083">
        <w:rPr>
          <w:rFonts w:ascii="ITC Avant Garde" w:hAnsi="ITC Avant Garde"/>
          <w:color w:val="000000"/>
          <w:sz w:val="22"/>
          <w:szCs w:val="22"/>
          <w:lang w:eastAsia="es-ES"/>
        </w:rPr>
        <w:t>manifestó lo siguiente:</w:t>
      </w:r>
    </w:p>
    <w:p w14:paraId="6126F588" w14:textId="77777777" w:rsidR="00510083" w:rsidRPr="00510083" w:rsidRDefault="00212BC2" w:rsidP="00510083">
      <w:pPr>
        <w:spacing w:before="240" w:after="240" w:line="240" w:lineRule="auto"/>
        <w:ind w:left="567" w:right="629"/>
        <w:jc w:val="both"/>
        <w:rPr>
          <w:rFonts w:ascii="ITC Avant Garde" w:eastAsia="Times New Roman" w:hAnsi="ITC Avant Garde"/>
          <w:color w:val="000000"/>
          <w:sz w:val="18"/>
          <w:szCs w:val="24"/>
          <w:lang w:eastAsia="es-ES"/>
        </w:rPr>
      </w:pPr>
      <w:r w:rsidRPr="00510083">
        <w:rPr>
          <w:rFonts w:ascii="ITC Avant Garde" w:eastAsia="Times New Roman" w:hAnsi="ITC Avant Garde"/>
          <w:color w:val="000000"/>
          <w:sz w:val="18"/>
          <w:szCs w:val="24"/>
          <w:lang w:eastAsia="es-ES"/>
        </w:rPr>
        <w:lastRenderedPageBreak/>
        <w:t>“</w:t>
      </w:r>
      <w:r w:rsidR="006A3E41" w:rsidRPr="00510083">
        <w:rPr>
          <w:rFonts w:ascii="ITC Avant Garde" w:eastAsia="Times New Roman" w:hAnsi="ITC Avant Garde"/>
          <w:color w:val="000000"/>
          <w:sz w:val="18"/>
          <w:szCs w:val="24"/>
          <w:lang w:eastAsia="es-ES"/>
        </w:rPr>
        <w:t>(…)</w:t>
      </w:r>
    </w:p>
    <w:p w14:paraId="3A876CE1" w14:textId="77777777" w:rsidR="00510083" w:rsidRPr="00510083" w:rsidRDefault="006A3E41" w:rsidP="00510083">
      <w:pPr>
        <w:spacing w:before="240" w:after="240" w:line="240" w:lineRule="auto"/>
        <w:ind w:left="567" w:right="629"/>
        <w:jc w:val="both"/>
        <w:rPr>
          <w:rFonts w:ascii="ITC Avant Garde" w:eastAsia="Times New Roman" w:hAnsi="ITC Avant Garde"/>
          <w:color w:val="000000"/>
          <w:sz w:val="18"/>
          <w:szCs w:val="24"/>
          <w:lang w:eastAsia="es-ES"/>
        </w:rPr>
      </w:pPr>
      <w:r w:rsidRPr="00510083">
        <w:rPr>
          <w:rFonts w:ascii="ITC Avant Garde" w:eastAsia="Times New Roman" w:hAnsi="ITC Avant Garde"/>
          <w:b/>
          <w:color w:val="000000"/>
          <w:sz w:val="18"/>
          <w:szCs w:val="24"/>
          <w:lang w:eastAsia="es-ES"/>
        </w:rPr>
        <w:t>Expediente de la red satelital USAT-67W</w:t>
      </w:r>
      <w:r w:rsidRPr="00510083">
        <w:rPr>
          <w:rFonts w:ascii="ITC Avant Garde" w:eastAsia="Times New Roman" w:hAnsi="ITC Avant Garde"/>
          <w:color w:val="000000"/>
          <w:sz w:val="18"/>
          <w:szCs w:val="24"/>
          <w:lang w:eastAsia="es-ES"/>
        </w:rPr>
        <w:t>. En lo relativo al expediente de la red satelital USAT-67W en la POG 67° O que se encuentra en etapa de modificación al Plan del SRS, la Administración de México es identificada como afectada respecto a los expedientes de las redes satelitales del SRS MEX01SUR, MEX02NTE, MEX-TDH1, QUETZSAT-77.</w:t>
      </w:r>
    </w:p>
    <w:p w14:paraId="654AB377" w14:textId="77777777" w:rsidR="00510083" w:rsidRPr="00510083" w:rsidRDefault="006A3E41" w:rsidP="00510083">
      <w:pPr>
        <w:spacing w:before="240" w:after="240" w:line="240" w:lineRule="auto"/>
        <w:ind w:left="567" w:right="629"/>
        <w:jc w:val="both"/>
        <w:rPr>
          <w:rFonts w:ascii="ITC Avant Garde" w:eastAsia="Times New Roman" w:hAnsi="ITC Avant Garde"/>
          <w:color w:val="000000"/>
          <w:sz w:val="18"/>
          <w:szCs w:val="24"/>
          <w:lang w:eastAsia="es-ES"/>
        </w:rPr>
      </w:pPr>
      <w:r w:rsidRPr="00510083">
        <w:rPr>
          <w:rFonts w:ascii="ITC Avant Garde" w:eastAsia="Times New Roman" w:hAnsi="ITC Avant Garde"/>
          <w:color w:val="000000"/>
          <w:sz w:val="18"/>
          <w:szCs w:val="24"/>
          <w:lang w:eastAsia="es-ES"/>
        </w:rPr>
        <w:t>(…)</w:t>
      </w:r>
    </w:p>
    <w:p w14:paraId="408644FC" w14:textId="77777777" w:rsidR="00510083" w:rsidRPr="00510083" w:rsidRDefault="006A3E41" w:rsidP="00510083">
      <w:pPr>
        <w:pStyle w:val="Prrafodelista"/>
        <w:numPr>
          <w:ilvl w:val="0"/>
          <w:numId w:val="18"/>
        </w:numPr>
        <w:spacing w:before="240" w:after="240"/>
        <w:ind w:right="629"/>
        <w:jc w:val="both"/>
        <w:rPr>
          <w:rFonts w:ascii="ITC Avant Garde" w:hAnsi="ITC Avant Garde"/>
          <w:color w:val="000000"/>
          <w:sz w:val="18"/>
          <w:szCs w:val="24"/>
        </w:rPr>
      </w:pPr>
      <w:r w:rsidRPr="00510083">
        <w:rPr>
          <w:rFonts w:ascii="ITC Avant Garde" w:hAnsi="ITC Avant Garde"/>
          <w:b/>
          <w:color w:val="000000"/>
          <w:sz w:val="18"/>
          <w:szCs w:val="24"/>
        </w:rPr>
        <w:t xml:space="preserve">Coordinación del expediente de la red satelital USAT-67W. </w:t>
      </w:r>
      <w:r w:rsidRPr="00510083">
        <w:rPr>
          <w:rFonts w:ascii="ITC Avant Garde" w:hAnsi="ITC Avant Garde"/>
          <w:color w:val="000000"/>
          <w:sz w:val="18"/>
          <w:szCs w:val="24"/>
        </w:rPr>
        <w:t>En atención a lo anterior, con base a lo establecido en la fracción VIII del artículo 28 del Estatuto Orgánico, personal de esta Dirección General colaboró en la coordinación con la Secretaría de Comunicaciones y Transportes (SCT), llevando a cabo la coordinación técnica y operacional con personal del operador satelital SES para el expediente USAT-67W en la POG 67° O respecto las asignaciones que tiene México en el Plan para el SRS.</w:t>
      </w:r>
    </w:p>
    <w:p w14:paraId="03C2A7C8" w14:textId="77777777" w:rsidR="00510083" w:rsidRPr="00510083" w:rsidRDefault="006A3E41" w:rsidP="00510083">
      <w:pPr>
        <w:pStyle w:val="Prrafodelista"/>
        <w:spacing w:before="240" w:after="240"/>
        <w:ind w:left="927" w:right="629"/>
        <w:jc w:val="both"/>
        <w:rPr>
          <w:rFonts w:ascii="ITC Avant Garde" w:hAnsi="ITC Avant Garde"/>
          <w:color w:val="000000"/>
          <w:sz w:val="18"/>
          <w:szCs w:val="24"/>
        </w:rPr>
      </w:pPr>
      <w:r w:rsidRPr="00510083">
        <w:rPr>
          <w:rFonts w:ascii="ITC Avant Garde" w:hAnsi="ITC Avant Garde"/>
          <w:color w:val="000000"/>
          <w:sz w:val="18"/>
          <w:szCs w:val="24"/>
        </w:rPr>
        <w:t xml:space="preserve">Como resultado de lo anterior, se coordinó exclusivamente el haz RX3R del enlace ascendente en la banda de 17.3 a 17.55 GHz para su operación en territorio nacional con una densidad de flujo de potencia de -53.6 </w:t>
      </w:r>
      <w:proofErr w:type="spellStart"/>
      <w:r w:rsidRPr="00510083">
        <w:rPr>
          <w:rFonts w:ascii="ITC Avant Garde" w:hAnsi="ITC Avant Garde"/>
          <w:color w:val="000000"/>
          <w:sz w:val="18"/>
          <w:szCs w:val="24"/>
        </w:rPr>
        <w:t>dBW</w:t>
      </w:r>
      <w:proofErr w:type="spellEnd"/>
      <w:r w:rsidRPr="00510083">
        <w:rPr>
          <w:rFonts w:ascii="ITC Avant Garde" w:hAnsi="ITC Avant Garde"/>
          <w:color w:val="000000"/>
          <w:sz w:val="18"/>
          <w:szCs w:val="24"/>
        </w:rPr>
        <w:t>/Hz. Lo anterior se manifestó a la SCT a efecto de que contara con los elementos suficientes para que en su caso, conforme a sus atribuciones en materia de coordinación, emita el acuerdo correspondiente.</w:t>
      </w:r>
    </w:p>
    <w:p w14:paraId="10998C45" w14:textId="77777777" w:rsidR="00510083" w:rsidRPr="00510083" w:rsidRDefault="006A3E41" w:rsidP="00510083">
      <w:pPr>
        <w:spacing w:before="240" w:after="240" w:line="240" w:lineRule="auto"/>
        <w:ind w:left="567" w:right="629"/>
        <w:jc w:val="both"/>
        <w:rPr>
          <w:rFonts w:ascii="ITC Avant Garde" w:eastAsia="Times New Roman" w:hAnsi="ITC Avant Garde"/>
          <w:color w:val="000000"/>
          <w:sz w:val="18"/>
          <w:szCs w:val="24"/>
          <w:lang w:eastAsia="es-ES"/>
        </w:rPr>
      </w:pPr>
      <w:r w:rsidRPr="00510083">
        <w:rPr>
          <w:rFonts w:ascii="ITC Avant Garde" w:eastAsia="Times New Roman" w:hAnsi="ITC Avant Garde"/>
          <w:color w:val="000000"/>
          <w:sz w:val="18"/>
          <w:szCs w:val="24"/>
          <w:lang w:eastAsia="es-ES"/>
        </w:rPr>
        <w:t>(…)</w:t>
      </w:r>
    </w:p>
    <w:p w14:paraId="36ECF3E9" w14:textId="77777777" w:rsidR="00510083" w:rsidRPr="00510083" w:rsidRDefault="006A3E41" w:rsidP="00510083">
      <w:pPr>
        <w:spacing w:before="240" w:after="240" w:line="240" w:lineRule="auto"/>
        <w:ind w:left="567" w:right="629"/>
        <w:jc w:val="both"/>
        <w:rPr>
          <w:rFonts w:ascii="ITC Avant Garde" w:eastAsia="Times New Roman" w:hAnsi="ITC Avant Garde"/>
          <w:color w:val="000000"/>
          <w:sz w:val="18"/>
          <w:szCs w:val="24"/>
          <w:lang w:eastAsia="es-ES"/>
        </w:rPr>
      </w:pPr>
      <w:r w:rsidRPr="00510083">
        <w:rPr>
          <w:rFonts w:ascii="ITC Avant Garde" w:eastAsia="Times New Roman" w:hAnsi="ITC Avant Garde"/>
          <w:b/>
          <w:color w:val="000000"/>
          <w:sz w:val="18"/>
          <w:szCs w:val="24"/>
          <w:lang w:eastAsia="es-ES"/>
        </w:rPr>
        <w:t xml:space="preserve">6. Opinión respecto a la solicitud. </w:t>
      </w:r>
      <w:r w:rsidRPr="00510083">
        <w:rPr>
          <w:rFonts w:ascii="ITC Avant Garde" w:eastAsia="Times New Roman" w:hAnsi="ITC Avant Garde"/>
          <w:color w:val="000000"/>
          <w:sz w:val="18"/>
          <w:szCs w:val="24"/>
          <w:lang w:eastAsia="es-ES"/>
        </w:rPr>
        <w:t xml:space="preserve">Derivado de lo anterior, en lo tocante a la solicitud de SSM para modificar la Concesión a efecto de adicionar el satélite SES-10, </w:t>
      </w:r>
      <w:r w:rsidR="00AB64D4" w:rsidRPr="00510083">
        <w:rPr>
          <w:rFonts w:ascii="ITC Avant Garde" w:eastAsia="Times New Roman" w:hAnsi="ITC Avant Garde"/>
          <w:color w:val="000000"/>
          <w:sz w:val="18"/>
          <w:szCs w:val="24"/>
          <w:lang w:eastAsia="es-ES"/>
        </w:rPr>
        <w:t>en opinión de esta Dirección General, no se prevén afectaciones perjudiciales a los expedientes de redes satelitales nacionales existentes ni a  los expedientes de redes satelitales nacionales en proyecto, provenientes de los expedientes de las redes satelitales SIMON BOLIVAR 2, LUX-G8-47 y USAT-67W en la POG 67° O</w:t>
      </w:r>
      <w:r w:rsidR="006C7EC7" w:rsidRPr="00510083">
        <w:rPr>
          <w:rFonts w:ascii="ITC Avant Garde" w:eastAsia="Times New Roman" w:hAnsi="ITC Avant Garde"/>
          <w:color w:val="000000"/>
          <w:sz w:val="18"/>
          <w:szCs w:val="24"/>
          <w:lang w:eastAsia="es-ES"/>
        </w:rPr>
        <w:t>, este último bajo los parámetro técnicos de operación acordados.</w:t>
      </w:r>
    </w:p>
    <w:p w14:paraId="6DB5F4B8" w14:textId="77777777" w:rsidR="00510083" w:rsidRPr="00510083" w:rsidRDefault="00AB64D4" w:rsidP="00510083">
      <w:pPr>
        <w:spacing w:before="240" w:after="240" w:line="240" w:lineRule="auto"/>
        <w:ind w:left="567" w:right="629"/>
        <w:jc w:val="both"/>
        <w:rPr>
          <w:rFonts w:ascii="ITC Avant Garde" w:hAnsi="ITC Avant Garde"/>
          <w:color w:val="000000"/>
          <w:sz w:val="18"/>
          <w:szCs w:val="24"/>
        </w:rPr>
      </w:pPr>
      <w:r w:rsidRPr="00510083">
        <w:rPr>
          <w:rFonts w:ascii="ITC Avant Garde" w:eastAsia="Times New Roman" w:hAnsi="ITC Avant Garde"/>
          <w:color w:val="000000"/>
          <w:sz w:val="18"/>
          <w:szCs w:val="24"/>
          <w:lang w:eastAsia="es-ES"/>
        </w:rPr>
        <w:t>Asimismo, en opinión de esta Dirección General, desde el punto de vista técnico resulta procedente la solicitud de SSM respecto a la eliminación del satélite NSS-703 de la flotilla autorizada al amparo de la Concesión, dado que las bandas de frecuencia y la cobertura de dicho satélite en el territorio nacional, pueden ser sustituidas y provistas por otros satélites autorizados en su concesión cuyas bandas de frecuencias y coberturas son iguales.”</w:t>
      </w:r>
    </w:p>
    <w:p w14:paraId="0073FD95" w14:textId="77777777" w:rsidR="00510083" w:rsidRPr="00510083" w:rsidRDefault="007C69FE" w:rsidP="00510083">
      <w:pPr>
        <w:spacing w:before="240" w:after="240" w:line="240" w:lineRule="auto"/>
        <w:jc w:val="both"/>
        <w:rPr>
          <w:rFonts w:ascii="ITC Avant Garde" w:hAnsi="ITC Avant Garde" w:cs="Arial"/>
          <w:bCs/>
          <w:color w:val="000000"/>
          <w:shd w:val="clear" w:color="auto" w:fill="FFFFFF"/>
        </w:rPr>
      </w:pPr>
      <w:r w:rsidRPr="00510083">
        <w:rPr>
          <w:rFonts w:ascii="ITC Avant Garde" w:hAnsi="ITC Avant Garde" w:cs="Arial"/>
          <w:bCs/>
          <w:color w:val="000000"/>
          <w:shd w:val="clear" w:color="auto" w:fill="FFFFFF"/>
        </w:rPr>
        <w:t>Asimismo,</w:t>
      </w:r>
      <w:r w:rsidR="008F1945" w:rsidRPr="00510083">
        <w:rPr>
          <w:rFonts w:ascii="ITC Avant Garde" w:hAnsi="ITC Avant Garde" w:cs="Arial"/>
          <w:bCs/>
          <w:color w:val="000000"/>
          <w:shd w:val="clear" w:color="auto" w:fill="FFFFFF"/>
        </w:rPr>
        <w:t xml:space="preserve"> </w:t>
      </w:r>
      <w:r w:rsidR="003E70C8" w:rsidRPr="00510083">
        <w:rPr>
          <w:rFonts w:ascii="ITC Avant Garde" w:hAnsi="ITC Avant Garde" w:cs="Arial"/>
          <w:bCs/>
          <w:color w:val="000000"/>
          <w:shd w:val="clear" w:color="auto" w:fill="FFFFFF"/>
        </w:rPr>
        <w:t xml:space="preserve">señaló que </w:t>
      </w:r>
      <w:r w:rsidR="00334BE0" w:rsidRPr="00510083">
        <w:rPr>
          <w:rFonts w:ascii="ITC Avant Garde" w:hAnsi="ITC Avant Garde" w:cs="Arial"/>
          <w:bCs/>
          <w:color w:val="000000"/>
          <w:shd w:val="clear" w:color="auto" w:fill="FFFFFF"/>
        </w:rPr>
        <w:t xml:space="preserve">la </w:t>
      </w:r>
      <w:r w:rsidR="000F1B3D" w:rsidRPr="00510083">
        <w:rPr>
          <w:rFonts w:ascii="ITC Avant Garde" w:hAnsi="ITC Avant Garde" w:cs="Arial"/>
          <w:bCs/>
          <w:color w:val="000000"/>
          <w:shd w:val="clear" w:color="auto" w:fill="FFFFFF"/>
        </w:rPr>
        <w:t xml:space="preserve">emisión y recepción de señales y bandas de frecuencia asociadas al sistema satelital extranjero, estará sujeta a </w:t>
      </w:r>
      <w:r w:rsidR="00D17D20" w:rsidRPr="00510083">
        <w:rPr>
          <w:rFonts w:ascii="ITC Avant Garde" w:hAnsi="ITC Avant Garde" w:cs="Arial"/>
          <w:bCs/>
          <w:color w:val="000000"/>
          <w:shd w:val="clear" w:color="auto" w:fill="FFFFFF"/>
        </w:rPr>
        <w:t xml:space="preserve">que no se </w:t>
      </w:r>
      <w:r w:rsidR="000F1B3D" w:rsidRPr="00510083">
        <w:rPr>
          <w:rFonts w:ascii="ITC Avant Garde" w:hAnsi="ITC Avant Garde" w:cs="Arial"/>
          <w:bCs/>
          <w:color w:val="000000"/>
          <w:shd w:val="clear" w:color="auto" w:fill="FFFFFF"/>
        </w:rPr>
        <w:t>caus</w:t>
      </w:r>
      <w:r w:rsidR="00D17D20" w:rsidRPr="00510083">
        <w:rPr>
          <w:rFonts w:ascii="ITC Avant Garde" w:hAnsi="ITC Avant Garde" w:cs="Arial"/>
          <w:bCs/>
          <w:color w:val="000000"/>
          <w:shd w:val="clear" w:color="auto" w:fill="FFFFFF"/>
        </w:rPr>
        <w:t>e</w:t>
      </w:r>
      <w:r w:rsidR="000F1B3D" w:rsidRPr="00510083">
        <w:rPr>
          <w:rFonts w:ascii="ITC Avant Garde" w:hAnsi="ITC Avant Garde" w:cs="Arial"/>
          <w:bCs/>
          <w:color w:val="000000"/>
          <w:shd w:val="clear" w:color="auto" w:fill="FFFFFF"/>
        </w:rPr>
        <w:t xml:space="preserve"> ninguna interferencia perjudicial que comprometa la operación de redes satelitales y servicios terrenales</w:t>
      </w:r>
      <w:r w:rsidR="008F1945" w:rsidRPr="00510083">
        <w:rPr>
          <w:rFonts w:ascii="ITC Avant Garde" w:hAnsi="ITC Avant Garde" w:cs="Arial"/>
          <w:bCs/>
          <w:color w:val="000000"/>
          <w:shd w:val="clear" w:color="auto" w:fill="FFFFFF"/>
        </w:rPr>
        <w:t>.</w:t>
      </w:r>
    </w:p>
    <w:p w14:paraId="66AE9F6A" w14:textId="77777777" w:rsidR="00510083" w:rsidRPr="00510083" w:rsidRDefault="00A74A84" w:rsidP="00510083">
      <w:pPr>
        <w:spacing w:before="240" w:after="240" w:line="240" w:lineRule="auto"/>
        <w:jc w:val="both"/>
        <w:rPr>
          <w:rFonts w:ascii="ITC Avant Garde" w:hAnsi="ITC Avant Garde"/>
          <w:color w:val="000000"/>
          <w:lang w:eastAsia="es-ES"/>
        </w:rPr>
      </w:pPr>
      <w:r w:rsidRPr="00510083">
        <w:rPr>
          <w:rFonts w:ascii="ITC Avant Garde" w:hAnsi="ITC Avant Garde"/>
          <w:color w:val="000000"/>
          <w:lang w:eastAsia="es-ES"/>
        </w:rPr>
        <w:t>En esa virtud y d</w:t>
      </w:r>
      <w:r w:rsidR="003120DE" w:rsidRPr="00510083">
        <w:rPr>
          <w:rFonts w:ascii="ITC Avant Garde" w:hAnsi="ITC Avant Garde"/>
          <w:color w:val="000000"/>
          <w:lang w:eastAsia="es-ES"/>
        </w:rPr>
        <w:t xml:space="preserve">e conformidad con lo establecido en la </w:t>
      </w:r>
      <w:proofErr w:type="spellStart"/>
      <w:r w:rsidR="00945433" w:rsidRPr="00510083">
        <w:rPr>
          <w:rFonts w:ascii="ITC Avant Garde" w:hAnsi="ITC Avant Garde"/>
          <w:color w:val="000000"/>
          <w:lang w:eastAsia="es-ES"/>
        </w:rPr>
        <w:t>LFTyR</w:t>
      </w:r>
      <w:proofErr w:type="spellEnd"/>
      <w:r w:rsidR="003120DE" w:rsidRPr="00510083">
        <w:rPr>
          <w:rFonts w:ascii="ITC Avant Garde" w:hAnsi="ITC Avant Garde"/>
          <w:color w:val="000000"/>
          <w:lang w:eastAsia="es-ES"/>
        </w:rPr>
        <w:t>, en el C</w:t>
      </w:r>
      <w:r w:rsidR="00945433" w:rsidRPr="00510083">
        <w:rPr>
          <w:rFonts w:ascii="ITC Avant Garde" w:hAnsi="ITC Avant Garde"/>
          <w:color w:val="000000"/>
          <w:lang w:eastAsia="es-ES"/>
        </w:rPr>
        <w:t xml:space="preserve">uadro </w:t>
      </w:r>
      <w:r w:rsidR="003120DE" w:rsidRPr="00510083">
        <w:rPr>
          <w:rFonts w:ascii="ITC Avant Garde" w:hAnsi="ITC Avant Garde"/>
          <w:color w:val="000000"/>
          <w:lang w:eastAsia="es-ES"/>
        </w:rPr>
        <w:t>N</w:t>
      </w:r>
      <w:r w:rsidR="00945433" w:rsidRPr="00510083">
        <w:rPr>
          <w:rFonts w:ascii="ITC Avant Garde" w:hAnsi="ITC Avant Garde"/>
          <w:color w:val="000000"/>
          <w:lang w:eastAsia="es-ES"/>
        </w:rPr>
        <w:t xml:space="preserve">acional de </w:t>
      </w:r>
      <w:r w:rsidR="003120DE" w:rsidRPr="00510083">
        <w:rPr>
          <w:rFonts w:ascii="ITC Avant Garde" w:hAnsi="ITC Avant Garde"/>
          <w:color w:val="000000"/>
          <w:lang w:eastAsia="es-ES"/>
        </w:rPr>
        <w:t>A</w:t>
      </w:r>
      <w:r w:rsidR="00945433" w:rsidRPr="00510083">
        <w:rPr>
          <w:rFonts w:ascii="ITC Avant Garde" w:hAnsi="ITC Avant Garde"/>
          <w:color w:val="000000"/>
          <w:lang w:eastAsia="es-ES"/>
        </w:rPr>
        <w:t xml:space="preserve">tribución de </w:t>
      </w:r>
      <w:r w:rsidR="003120DE" w:rsidRPr="00510083">
        <w:rPr>
          <w:rFonts w:ascii="ITC Avant Garde" w:hAnsi="ITC Avant Garde"/>
          <w:color w:val="000000"/>
          <w:lang w:eastAsia="es-ES"/>
        </w:rPr>
        <w:t>F</w:t>
      </w:r>
      <w:r w:rsidR="00945433" w:rsidRPr="00510083">
        <w:rPr>
          <w:rFonts w:ascii="ITC Avant Garde" w:hAnsi="ITC Avant Garde"/>
          <w:color w:val="000000"/>
          <w:lang w:eastAsia="es-ES"/>
        </w:rPr>
        <w:t>recuencias</w:t>
      </w:r>
      <w:r w:rsidR="00F1642A" w:rsidRPr="00510083">
        <w:rPr>
          <w:rFonts w:ascii="ITC Avant Garde" w:hAnsi="ITC Avant Garde"/>
          <w:color w:val="000000"/>
          <w:lang w:eastAsia="es-ES"/>
        </w:rPr>
        <w:t>,</w:t>
      </w:r>
      <w:r w:rsidR="003120DE" w:rsidRPr="00510083">
        <w:rPr>
          <w:rFonts w:ascii="ITC Avant Garde" w:hAnsi="ITC Avant Garde"/>
          <w:color w:val="000000"/>
          <w:lang w:eastAsia="es-ES"/>
        </w:rPr>
        <w:t xml:space="preserve"> y demás disposiciones aplicables, el Instituto</w:t>
      </w:r>
      <w:r w:rsidR="00982D7B" w:rsidRPr="00510083">
        <w:rPr>
          <w:rFonts w:ascii="ITC Avant Garde" w:hAnsi="ITC Avant Garde"/>
          <w:color w:val="000000"/>
          <w:lang w:eastAsia="es-ES"/>
        </w:rPr>
        <w:t xml:space="preserve"> se </w:t>
      </w:r>
      <w:r w:rsidR="003120DE" w:rsidRPr="00510083">
        <w:rPr>
          <w:rFonts w:ascii="ITC Avant Garde" w:hAnsi="ITC Avant Garde"/>
          <w:color w:val="000000"/>
          <w:lang w:eastAsia="es-ES"/>
        </w:rPr>
        <w:t>reserva el derecho de otorgar concesiones o autorizaciones dentro de las bandas de frecuencias objeto de la present</w:t>
      </w:r>
      <w:r w:rsidR="005D5BAE" w:rsidRPr="00510083">
        <w:rPr>
          <w:rFonts w:ascii="ITC Avant Garde" w:hAnsi="ITC Avant Garde"/>
          <w:color w:val="000000"/>
          <w:lang w:eastAsia="es-ES"/>
        </w:rPr>
        <w:t>e</w:t>
      </w:r>
      <w:r w:rsidR="003120DE" w:rsidRPr="00510083">
        <w:rPr>
          <w:rFonts w:ascii="ITC Avant Garde" w:hAnsi="ITC Avant Garde"/>
          <w:color w:val="000000"/>
          <w:lang w:eastAsia="es-ES"/>
        </w:rPr>
        <w:t xml:space="preserve"> </w:t>
      </w:r>
      <w:r w:rsidR="006950D6" w:rsidRPr="00510083">
        <w:rPr>
          <w:rFonts w:ascii="ITC Avant Garde" w:hAnsi="ITC Avant Garde"/>
          <w:color w:val="000000"/>
          <w:lang w:eastAsia="es-ES"/>
        </w:rPr>
        <w:t>S</w:t>
      </w:r>
      <w:r w:rsidR="003120DE" w:rsidRPr="00510083">
        <w:rPr>
          <w:rFonts w:ascii="ITC Avant Garde" w:hAnsi="ITC Avant Garde"/>
          <w:color w:val="000000"/>
          <w:lang w:eastAsia="es-ES"/>
        </w:rPr>
        <w:t xml:space="preserve">olicitud, o porciones de </w:t>
      </w:r>
      <w:r w:rsidRPr="00510083">
        <w:rPr>
          <w:rFonts w:ascii="ITC Avant Garde" w:hAnsi="ITC Avant Garde"/>
          <w:color w:val="000000"/>
          <w:lang w:eastAsia="es-ES"/>
        </w:rPr>
        <w:t>ellas</w:t>
      </w:r>
      <w:r w:rsidR="003120DE" w:rsidRPr="00510083">
        <w:rPr>
          <w:rFonts w:ascii="ITC Avant Garde" w:hAnsi="ITC Avant Garde"/>
          <w:color w:val="000000"/>
          <w:lang w:eastAsia="es-ES"/>
        </w:rPr>
        <w:t>, en la misma área de operación.</w:t>
      </w:r>
    </w:p>
    <w:p w14:paraId="6817DB27" w14:textId="77777777" w:rsidR="00510083" w:rsidRPr="00510083" w:rsidRDefault="00AF4972"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Mediante oficio</w:t>
      </w:r>
      <w:r w:rsidR="00B15612" w:rsidRPr="00510083">
        <w:rPr>
          <w:rFonts w:ascii="ITC Avant Garde" w:hAnsi="ITC Avant Garde"/>
          <w:color w:val="000000"/>
          <w:sz w:val="22"/>
          <w:szCs w:val="22"/>
          <w:lang w:eastAsia="es-ES"/>
        </w:rPr>
        <w:t>s</w:t>
      </w:r>
      <w:r w:rsidRPr="00510083">
        <w:rPr>
          <w:rFonts w:ascii="ITC Avant Garde" w:hAnsi="ITC Avant Garde"/>
          <w:color w:val="000000"/>
          <w:sz w:val="22"/>
          <w:szCs w:val="22"/>
          <w:lang w:eastAsia="es-ES"/>
        </w:rPr>
        <w:t xml:space="preserve"> </w:t>
      </w:r>
      <w:r w:rsidR="00B15612" w:rsidRPr="00510083">
        <w:rPr>
          <w:rFonts w:ascii="ITC Avant Garde" w:hAnsi="ITC Avant Garde"/>
          <w:color w:val="000000"/>
          <w:sz w:val="22"/>
          <w:szCs w:val="22"/>
          <w:lang w:eastAsia="es-ES"/>
        </w:rPr>
        <w:t>2.1.-095/2017 y 2.1.-113/2017 de fechas 24 de febrero de 2017 y 23 de marzo de 2017</w:t>
      </w:r>
      <w:r w:rsidRPr="00510083">
        <w:rPr>
          <w:rFonts w:ascii="ITC Avant Garde" w:hAnsi="ITC Avant Garde"/>
          <w:color w:val="000000"/>
          <w:sz w:val="22"/>
          <w:szCs w:val="22"/>
          <w:lang w:eastAsia="es-ES"/>
        </w:rPr>
        <w:t>, la Secretaría manifestó lo siguiente:</w:t>
      </w:r>
    </w:p>
    <w:p w14:paraId="75122B5C" w14:textId="77777777" w:rsidR="00510083" w:rsidRPr="00510083" w:rsidRDefault="004A5B66" w:rsidP="00510083">
      <w:pPr>
        <w:pStyle w:val="NormalWeb"/>
        <w:spacing w:before="240" w:beforeAutospacing="0" w:after="240" w:afterAutospacing="0"/>
        <w:ind w:left="426" w:right="332"/>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Oficio 2.1.-095/2017:</w:t>
      </w:r>
    </w:p>
    <w:p w14:paraId="55D5A999" w14:textId="77777777" w:rsidR="00510083" w:rsidRPr="00510083" w:rsidRDefault="00DA6059" w:rsidP="00510083">
      <w:pPr>
        <w:pStyle w:val="NormalWeb"/>
        <w:spacing w:before="240" w:beforeAutospacing="0" w:after="240" w:afterAutospacing="0"/>
        <w:ind w:left="426" w:right="332"/>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lastRenderedPageBreak/>
        <w:t>“</w:t>
      </w:r>
      <w:r w:rsidR="00212BC2" w:rsidRPr="00510083">
        <w:rPr>
          <w:rFonts w:ascii="ITC Avant Garde" w:hAnsi="ITC Avant Garde"/>
          <w:color w:val="000000"/>
          <w:sz w:val="18"/>
          <w:szCs w:val="22"/>
          <w:lang w:eastAsia="es-ES"/>
        </w:rPr>
        <w:t>(</w:t>
      </w:r>
      <w:r w:rsidRPr="00510083">
        <w:rPr>
          <w:rFonts w:ascii="ITC Avant Garde" w:hAnsi="ITC Avant Garde"/>
          <w:color w:val="000000"/>
          <w:sz w:val="18"/>
          <w:szCs w:val="22"/>
          <w:lang w:eastAsia="es-ES"/>
        </w:rPr>
        <w:t>…</w:t>
      </w:r>
      <w:r w:rsidR="00212BC2" w:rsidRPr="00510083">
        <w:rPr>
          <w:rFonts w:ascii="ITC Avant Garde" w:hAnsi="ITC Avant Garde"/>
          <w:color w:val="000000"/>
          <w:sz w:val="18"/>
          <w:szCs w:val="22"/>
          <w:lang w:eastAsia="es-ES"/>
        </w:rPr>
        <w:t>)</w:t>
      </w:r>
      <w:r w:rsidRPr="00510083">
        <w:rPr>
          <w:rFonts w:ascii="ITC Avant Garde" w:hAnsi="ITC Avant Garde"/>
          <w:color w:val="000000"/>
          <w:sz w:val="18"/>
          <w:szCs w:val="22"/>
          <w:lang w:eastAsia="es-ES"/>
        </w:rPr>
        <w:t xml:space="preserve"> </w:t>
      </w:r>
      <w:r w:rsidR="002A7688" w:rsidRPr="00510083">
        <w:rPr>
          <w:rFonts w:ascii="ITC Avant Garde" w:hAnsi="ITC Avant Garde"/>
          <w:color w:val="000000"/>
          <w:sz w:val="18"/>
          <w:szCs w:val="22"/>
          <w:lang w:eastAsia="es-ES"/>
        </w:rPr>
        <w:t xml:space="preserve">hago de su conocimiento que </w:t>
      </w:r>
      <w:r w:rsidR="004A5B66" w:rsidRPr="00510083">
        <w:rPr>
          <w:rFonts w:ascii="ITC Avant Garde" w:hAnsi="ITC Avant Garde"/>
          <w:color w:val="000000"/>
          <w:sz w:val="18"/>
          <w:szCs w:val="22"/>
          <w:lang w:eastAsia="es-ES"/>
        </w:rPr>
        <w:t xml:space="preserve">derivado del análisis </w:t>
      </w:r>
      <w:r w:rsidR="0035726D" w:rsidRPr="00510083">
        <w:rPr>
          <w:rFonts w:ascii="ITC Avant Garde" w:hAnsi="ITC Avant Garde"/>
          <w:color w:val="000000"/>
          <w:sz w:val="18"/>
          <w:szCs w:val="22"/>
          <w:lang w:eastAsia="es-ES"/>
        </w:rPr>
        <w:t xml:space="preserve">de la información </w:t>
      </w:r>
      <w:r w:rsidR="002845E3" w:rsidRPr="00510083">
        <w:rPr>
          <w:rFonts w:ascii="ITC Avant Garde" w:hAnsi="ITC Avant Garde"/>
          <w:color w:val="000000"/>
          <w:sz w:val="18"/>
          <w:szCs w:val="22"/>
          <w:lang w:eastAsia="es-ES"/>
        </w:rPr>
        <w:t>contenida</w:t>
      </w:r>
      <w:r w:rsidR="0035726D" w:rsidRPr="00510083">
        <w:rPr>
          <w:rFonts w:ascii="ITC Avant Garde" w:hAnsi="ITC Avant Garde"/>
          <w:color w:val="000000"/>
          <w:sz w:val="18"/>
          <w:szCs w:val="22"/>
          <w:lang w:eastAsia="es-ES"/>
        </w:rPr>
        <w:t xml:space="preserve"> en las bases de datos de </w:t>
      </w:r>
      <w:r w:rsidRPr="00510083">
        <w:rPr>
          <w:rFonts w:ascii="ITC Avant Garde" w:hAnsi="ITC Avant Garde"/>
          <w:color w:val="000000"/>
          <w:sz w:val="18"/>
          <w:szCs w:val="22"/>
          <w:lang w:eastAsia="es-ES"/>
        </w:rPr>
        <w:t xml:space="preserve">la </w:t>
      </w:r>
      <w:r w:rsidR="002A7688" w:rsidRPr="00510083">
        <w:rPr>
          <w:rFonts w:ascii="ITC Avant Garde" w:hAnsi="ITC Avant Garde"/>
          <w:color w:val="000000"/>
          <w:sz w:val="18"/>
          <w:szCs w:val="22"/>
          <w:lang w:eastAsia="es-ES"/>
        </w:rPr>
        <w:t xml:space="preserve">Unión Internacional de </w:t>
      </w:r>
      <w:r w:rsidR="002E0AA4" w:rsidRPr="00510083">
        <w:rPr>
          <w:rFonts w:ascii="ITC Avant Garde" w:hAnsi="ITC Avant Garde"/>
          <w:color w:val="000000"/>
          <w:sz w:val="18"/>
          <w:szCs w:val="22"/>
          <w:lang w:eastAsia="es-ES"/>
        </w:rPr>
        <w:t>Telecomunicaciones</w:t>
      </w:r>
      <w:r w:rsidR="0035726D" w:rsidRPr="00510083">
        <w:rPr>
          <w:rFonts w:ascii="ITC Avant Garde" w:hAnsi="ITC Avant Garde"/>
          <w:color w:val="000000"/>
          <w:sz w:val="18"/>
          <w:szCs w:val="22"/>
          <w:lang w:eastAsia="es-ES"/>
        </w:rPr>
        <w:t xml:space="preserve"> (UIT) se informa lo siguiente:</w:t>
      </w:r>
    </w:p>
    <w:p w14:paraId="016C0E8E" w14:textId="77777777" w:rsidR="00510083" w:rsidRPr="00510083" w:rsidRDefault="0035726D" w:rsidP="00510083">
      <w:pPr>
        <w:pStyle w:val="NormalWeb"/>
        <w:numPr>
          <w:ilvl w:val="0"/>
          <w:numId w:val="17"/>
        </w:numPr>
        <w:spacing w:before="240" w:beforeAutospacing="0" w:after="240" w:afterAutospacing="0"/>
        <w:ind w:right="899"/>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t xml:space="preserve">Se encontró que la red USAT-67W la cual ampara al satélite SES-10, fue identificado como posible afectante de las redes satelitales planificadas mexicanas, por lo que fue necesario solicitar el apoyo de las áreas técnicas especializadas del IFT para llevar a </w:t>
      </w:r>
      <w:r w:rsidR="002845E3" w:rsidRPr="00510083">
        <w:rPr>
          <w:rFonts w:ascii="ITC Avant Garde" w:hAnsi="ITC Avant Garde"/>
          <w:color w:val="000000"/>
          <w:sz w:val="18"/>
          <w:szCs w:val="22"/>
          <w:lang w:eastAsia="es-ES"/>
        </w:rPr>
        <w:t>cabo</w:t>
      </w:r>
      <w:r w:rsidRPr="00510083">
        <w:rPr>
          <w:rFonts w:ascii="ITC Avant Garde" w:hAnsi="ITC Avant Garde"/>
          <w:color w:val="000000"/>
          <w:sz w:val="18"/>
          <w:szCs w:val="22"/>
          <w:lang w:eastAsia="es-ES"/>
        </w:rPr>
        <w:t xml:space="preserve"> la coordinación.</w:t>
      </w:r>
    </w:p>
    <w:p w14:paraId="58354BB7" w14:textId="77777777" w:rsidR="00510083" w:rsidRPr="00510083" w:rsidRDefault="0035726D" w:rsidP="00510083">
      <w:pPr>
        <w:pStyle w:val="NormalWeb"/>
        <w:spacing w:before="240" w:beforeAutospacing="0" w:after="240" w:afterAutospacing="0"/>
        <w:ind w:left="1146" w:right="899"/>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t>En este sentido, derivado del análisis realizado por el Instituto, con información proporcionada por el personal de SES, se considera viable la operación del satélite SES</w:t>
      </w:r>
      <w:r w:rsidR="009625DB" w:rsidRPr="00510083">
        <w:rPr>
          <w:rFonts w:ascii="ITC Avant Garde" w:hAnsi="ITC Avant Garde"/>
          <w:color w:val="000000"/>
          <w:sz w:val="18"/>
          <w:szCs w:val="22"/>
          <w:lang w:eastAsia="es-ES"/>
        </w:rPr>
        <w:t>-</w:t>
      </w:r>
      <w:r w:rsidRPr="00510083">
        <w:rPr>
          <w:rFonts w:ascii="ITC Avant Garde" w:hAnsi="ITC Avant Garde"/>
          <w:color w:val="000000"/>
          <w:sz w:val="18"/>
          <w:szCs w:val="22"/>
          <w:lang w:eastAsia="es-ES"/>
        </w:rPr>
        <w:t>10</w:t>
      </w:r>
      <w:r w:rsidR="009625DB" w:rsidRPr="00510083">
        <w:rPr>
          <w:rFonts w:ascii="ITC Avant Garde" w:hAnsi="ITC Avant Garde"/>
          <w:color w:val="000000"/>
          <w:sz w:val="18"/>
          <w:szCs w:val="22"/>
          <w:lang w:eastAsia="es-ES"/>
        </w:rPr>
        <w:t xml:space="preserve"> al amparo del expediente USAT-67W exclusivamente en lo que respecta al enlace ascendente en la banda  de 17.3-17.55 GHz con una densidad de flujo de potencia de -53.6 DBW/Hz. Por lo anterior, se concede la opinión favorable a dicha solicitud, </w:t>
      </w:r>
      <w:r w:rsidR="009625DB" w:rsidRPr="00510083">
        <w:rPr>
          <w:rFonts w:ascii="ITC Avant Garde" w:hAnsi="ITC Avant Garde"/>
          <w:b/>
          <w:color w:val="000000"/>
          <w:sz w:val="18"/>
          <w:szCs w:val="22"/>
          <w:lang w:eastAsia="es-ES"/>
        </w:rPr>
        <w:t>únicamente</w:t>
      </w:r>
      <w:r w:rsidR="009625DB" w:rsidRPr="00510083">
        <w:rPr>
          <w:rFonts w:ascii="ITC Avant Garde" w:hAnsi="ITC Avant Garde"/>
          <w:color w:val="000000"/>
          <w:sz w:val="18"/>
          <w:szCs w:val="22"/>
          <w:lang w:eastAsia="es-ES"/>
        </w:rPr>
        <w:t xml:space="preserve"> bajo los parámetros acordados.</w:t>
      </w:r>
    </w:p>
    <w:p w14:paraId="03A16D91" w14:textId="77777777" w:rsidR="00510083" w:rsidRPr="00510083" w:rsidRDefault="009625DB" w:rsidP="00510083">
      <w:pPr>
        <w:pStyle w:val="NormalWeb"/>
        <w:numPr>
          <w:ilvl w:val="0"/>
          <w:numId w:val="17"/>
        </w:numPr>
        <w:spacing w:before="240" w:beforeAutospacing="0" w:after="240" w:afterAutospacing="0"/>
        <w:ind w:right="899"/>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t>En relación a la eliminación del satélite NSS-703, esta dependencia no tiene inconveniente alguno para la eliminación de dicho satélite.</w:t>
      </w:r>
    </w:p>
    <w:p w14:paraId="6B3D4A90" w14:textId="77777777" w:rsidR="00510083" w:rsidRPr="00510083" w:rsidRDefault="00E73078" w:rsidP="00510083">
      <w:pPr>
        <w:pStyle w:val="NormalWeb"/>
        <w:spacing w:before="240" w:beforeAutospacing="0" w:after="240" w:afterAutospacing="0"/>
        <w:ind w:left="426" w:right="332"/>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t>(…)</w:t>
      </w:r>
      <w:r w:rsidR="000F7382" w:rsidRPr="00510083">
        <w:rPr>
          <w:rFonts w:ascii="ITC Avant Garde" w:hAnsi="ITC Avant Garde"/>
          <w:color w:val="000000"/>
          <w:sz w:val="18"/>
          <w:szCs w:val="22"/>
          <w:lang w:eastAsia="es-ES"/>
        </w:rPr>
        <w:t xml:space="preserve">considerando que </w:t>
      </w:r>
      <w:r w:rsidRPr="00510083">
        <w:rPr>
          <w:rFonts w:ascii="ITC Avant Garde" w:hAnsi="ITC Avant Garde"/>
          <w:color w:val="000000"/>
          <w:sz w:val="18"/>
          <w:szCs w:val="22"/>
          <w:lang w:eastAsia="es-ES"/>
        </w:rPr>
        <w:t xml:space="preserve">la Secretaría de Comunicaciones y Transportes con fecha 26 de septiembre de 2011, autorizó la prórroga de concesión </w:t>
      </w:r>
      <w:r w:rsidR="000F7382" w:rsidRPr="00510083">
        <w:rPr>
          <w:rFonts w:ascii="ITC Avant Garde" w:hAnsi="ITC Avant Garde"/>
          <w:color w:val="000000"/>
          <w:sz w:val="18"/>
          <w:szCs w:val="22"/>
          <w:lang w:eastAsia="es-ES"/>
        </w:rPr>
        <w:t xml:space="preserve">para explotar los derechos de emisión y recepción de señales de bandas de frecuencias asociadas a sistemas satelitales extranjeros que cubren y pueden prestar servicios en el territorio nacional, a favor de </w:t>
      </w:r>
      <w:r w:rsidRPr="00510083">
        <w:rPr>
          <w:rFonts w:ascii="ITC Avant Garde" w:hAnsi="ITC Avant Garde"/>
          <w:color w:val="000000"/>
          <w:sz w:val="18"/>
          <w:szCs w:val="22"/>
          <w:lang w:eastAsia="es-ES"/>
        </w:rPr>
        <w:t>SSM</w:t>
      </w:r>
      <w:r w:rsidR="000F7382" w:rsidRPr="00510083">
        <w:rPr>
          <w:rFonts w:ascii="ITC Avant Garde" w:hAnsi="ITC Avant Garde"/>
          <w:color w:val="000000"/>
          <w:sz w:val="18"/>
          <w:szCs w:val="22"/>
          <w:lang w:eastAsia="es-ES"/>
        </w:rPr>
        <w:t>, y en l</w:t>
      </w:r>
      <w:r w:rsidR="00A13092" w:rsidRPr="00510083">
        <w:rPr>
          <w:rFonts w:ascii="ITC Avant Garde" w:hAnsi="ITC Avant Garde"/>
          <w:color w:val="000000"/>
          <w:sz w:val="18"/>
          <w:szCs w:val="22"/>
          <w:lang w:eastAsia="es-ES"/>
        </w:rPr>
        <w:t>a</w:t>
      </w:r>
      <w:r w:rsidR="000F7382" w:rsidRPr="00510083">
        <w:rPr>
          <w:rFonts w:ascii="ITC Avant Garde" w:hAnsi="ITC Avant Garde"/>
          <w:color w:val="000000"/>
          <w:sz w:val="18"/>
          <w:szCs w:val="22"/>
          <w:lang w:eastAsia="es-ES"/>
        </w:rPr>
        <w:t xml:space="preserve"> cual se estableció en la condición A.</w:t>
      </w:r>
      <w:r w:rsidRPr="00510083">
        <w:rPr>
          <w:rFonts w:ascii="ITC Avant Garde" w:hAnsi="ITC Avant Garde"/>
          <w:color w:val="000000"/>
          <w:sz w:val="18"/>
          <w:szCs w:val="22"/>
          <w:lang w:eastAsia="es-ES"/>
        </w:rPr>
        <w:t>4</w:t>
      </w:r>
      <w:r w:rsidR="000F7382" w:rsidRPr="00510083">
        <w:rPr>
          <w:rFonts w:ascii="ITC Avant Garde" w:hAnsi="ITC Avant Garde"/>
          <w:color w:val="000000"/>
          <w:sz w:val="18"/>
          <w:szCs w:val="22"/>
          <w:lang w:eastAsia="es-ES"/>
        </w:rPr>
        <w:t xml:space="preserve">., una contraprestación de 8 MHz continuos </w:t>
      </w:r>
      <w:r w:rsidRPr="00510083">
        <w:rPr>
          <w:rFonts w:ascii="ITC Avant Garde" w:hAnsi="ITC Avant Garde"/>
          <w:color w:val="000000"/>
          <w:sz w:val="18"/>
          <w:szCs w:val="22"/>
          <w:lang w:eastAsia="es-ES"/>
        </w:rPr>
        <w:t xml:space="preserve">y distribuidos como lo determine la Secretaría </w:t>
      </w:r>
      <w:r w:rsidR="005440F1" w:rsidRPr="00510083">
        <w:rPr>
          <w:rFonts w:ascii="ITC Avant Garde" w:hAnsi="ITC Avant Garde"/>
          <w:color w:val="000000"/>
          <w:sz w:val="18"/>
          <w:szCs w:val="22"/>
          <w:lang w:eastAsia="es-ES"/>
        </w:rPr>
        <w:t xml:space="preserve">en cualquier banda C y/o </w:t>
      </w:r>
      <w:proofErr w:type="spellStart"/>
      <w:r w:rsidR="005440F1" w:rsidRPr="00510083">
        <w:rPr>
          <w:rFonts w:ascii="ITC Avant Garde" w:hAnsi="ITC Avant Garde"/>
          <w:color w:val="000000"/>
          <w:sz w:val="18"/>
          <w:szCs w:val="22"/>
          <w:lang w:eastAsia="es-ES"/>
        </w:rPr>
        <w:t>Ku</w:t>
      </w:r>
      <w:proofErr w:type="spellEnd"/>
      <w:r w:rsidR="005440F1" w:rsidRPr="00510083">
        <w:rPr>
          <w:rFonts w:ascii="ITC Avant Garde" w:hAnsi="ITC Avant Garde"/>
          <w:color w:val="000000"/>
          <w:sz w:val="18"/>
          <w:szCs w:val="22"/>
          <w:lang w:eastAsia="es-ES"/>
        </w:rPr>
        <w:t xml:space="preserve">, </w:t>
      </w:r>
      <w:r w:rsidR="000F7382" w:rsidRPr="00510083">
        <w:rPr>
          <w:rFonts w:ascii="ITC Avant Garde" w:hAnsi="ITC Avant Garde"/>
          <w:color w:val="000000"/>
          <w:sz w:val="18"/>
          <w:szCs w:val="22"/>
          <w:lang w:eastAsia="es-ES"/>
        </w:rPr>
        <w:t>por lo que no es necesario modificar dicha capacidad.</w:t>
      </w:r>
      <w:r w:rsidR="00CA0FA5" w:rsidRPr="00510083">
        <w:rPr>
          <w:rFonts w:ascii="ITC Avant Garde" w:hAnsi="ITC Avant Garde"/>
          <w:color w:val="000000"/>
          <w:sz w:val="18"/>
          <w:szCs w:val="22"/>
          <w:lang w:eastAsia="es-ES"/>
        </w:rPr>
        <w:t>”</w:t>
      </w:r>
    </w:p>
    <w:p w14:paraId="419D355F" w14:textId="77777777" w:rsidR="00510083" w:rsidRPr="00510083" w:rsidRDefault="009625DB" w:rsidP="00510083">
      <w:pPr>
        <w:pStyle w:val="NormalWeb"/>
        <w:spacing w:before="240" w:beforeAutospacing="0" w:after="240" w:afterAutospacing="0"/>
        <w:ind w:left="426" w:right="332"/>
        <w:jc w:val="both"/>
        <w:rPr>
          <w:rFonts w:ascii="ITC Avant Garde" w:eastAsia="Calibri" w:hAnsi="ITC Avant Garde"/>
          <w:bCs/>
          <w:sz w:val="22"/>
          <w:szCs w:val="22"/>
          <w:lang w:eastAsia="en-US"/>
        </w:rPr>
      </w:pPr>
      <w:r w:rsidRPr="00510083">
        <w:rPr>
          <w:rFonts w:ascii="ITC Avant Garde" w:eastAsia="Calibri" w:hAnsi="ITC Avant Garde"/>
          <w:bCs/>
          <w:sz w:val="22"/>
          <w:szCs w:val="22"/>
          <w:lang w:eastAsia="en-US"/>
        </w:rPr>
        <w:t>Oficio 2.1.-113/2017</w:t>
      </w:r>
    </w:p>
    <w:p w14:paraId="1A20B9B9" w14:textId="77777777" w:rsidR="00510083" w:rsidRPr="00510083" w:rsidRDefault="009625DB" w:rsidP="00510083">
      <w:pPr>
        <w:pStyle w:val="NormalWeb"/>
        <w:spacing w:before="240" w:beforeAutospacing="0" w:after="240" w:afterAutospacing="0"/>
        <w:ind w:left="426" w:right="332"/>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t xml:space="preserve">“(…) hago de su conocimiento que derivado del análisis de la información </w:t>
      </w:r>
      <w:r w:rsidR="002845E3" w:rsidRPr="00510083">
        <w:rPr>
          <w:rFonts w:ascii="ITC Avant Garde" w:hAnsi="ITC Avant Garde"/>
          <w:color w:val="000000"/>
          <w:sz w:val="18"/>
          <w:szCs w:val="22"/>
          <w:lang w:eastAsia="es-ES"/>
        </w:rPr>
        <w:t>contenida</w:t>
      </w:r>
      <w:r w:rsidRPr="00510083">
        <w:rPr>
          <w:rFonts w:ascii="ITC Avant Garde" w:hAnsi="ITC Avant Garde"/>
          <w:color w:val="000000"/>
          <w:sz w:val="18"/>
          <w:szCs w:val="22"/>
          <w:lang w:eastAsia="es-ES"/>
        </w:rPr>
        <w:t xml:space="preserve"> en las bases de datos de la Unión Internacional de Telecomunicaciones (UIT) se informa lo siguiente:</w:t>
      </w:r>
    </w:p>
    <w:p w14:paraId="133E05E8" w14:textId="30BAC333" w:rsidR="009625DB" w:rsidRPr="00510083" w:rsidRDefault="009625DB" w:rsidP="00510083">
      <w:pPr>
        <w:pStyle w:val="NormalWeb"/>
        <w:numPr>
          <w:ilvl w:val="0"/>
          <w:numId w:val="17"/>
        </w:numPr>
        <w:spacing w:before="240" w:beforeAutospacing="0" w:after="240" w:afterAutospacing="0"/>
        <w:ind w:right="899"/>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t>La red satelital SIMON BOLIVAR 2, no ha sido identificada como posible afectante de los sistemas satelitales mexicanos, por lo que no es necesaria la coordinación.</w:t>
      </w:r>
    </w:p>
    <w:p w14:paraId="2C1628E5" w14:textId="77777777" w:rsidR="00510083" w:rsidRPr="00510083" w:rsidRDefault="009625DB" w:rsidP="00510083">
      <w:pPr>
        <w:pStyle w:val="NormalWeb"/>
        <w:numPr>
          <w:ilvl w:val="0"/>
          <w:numId w:val="17"/>
        </w:numPr>
        <w:spacing w:before="240" w:beforeAutospacing="0" w:after="240" w:afterAutospacing="0"/>
        <w:ind w:right="899"/>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t xml:space="preserve">Por otra parte, la red satelital LUX-G8-47 ha sido identificada como posible afectante de las redes satelitales mexicanas MEXSAT-114.9 KA y MEX01SUR, así como de los servicios para los cuales el Reglamento de Radiocomunicaciones indica que se requiere la coordinación bajo el numeral 9.21/C. Sin embargo, la red satelital MEXSAT-114. 9 KA se encuentra suprimida. Asimismo, los rangos de frecuencias 12500-12750 MHZ en los que se identifica como afectada la red satelital </w:t>
      </w:r>
      <w:r w:rsidR="002B73F6" w:rsidRPr="00510083">
        <w:rPr>
          <w:rFonts w:ascii="ITC Avant Garde" w:hAnsi="ITC Avant Garde"/>
          <w:color w:val="000000"/>
          <w:sz w:val="18"/>
          <w:szCs w:val="22"/>
          <w:lang w:eastAsia="es-ES"/>
        </w:rPr>
        <w:t>MEX01SUR, no fueron solicitados por el interesado. Por su parte los rangos de frecuencia 17900- 8025 MHZ, que necesitan coordinación bajo el numeral 9.21/C tampoco fueron solicitados por el interesado.</w:t>
      </w:r>
    </w:p>
    <w:p w14:paraId="6756D0D7" w14:textId="7481A14E" w:rsidR="002B73F6" w:rsidRPr="00510083" w:rsidRDefault="002B73F6" w:rsidP="00510083">
      <w:pPr>
        <w:pStyle w:val="NormalWeb"/>
        <w:numPr>
          <w:ilvl w:val="0"/>
          <w:numId w:val="17"/>
        </w:numPr>
        <w:spacing w:before="240" w:beforeAutospacing="0" w:after="240" w:afterAutospacing="0"/>
        <w:ind w:right="899"/>
        <w:jc w:val="both"/>
        <w:rPr>
          <w:rFonts w:ascii="ITC Avant Garde" w:hAnsi="ITC Avant Garde"/>
          <w:color w:val="000000"/>
          <w:sz w:val="18"/>
          <w:szCs w:val="22"/>
          <w:lang w:eastAsia="es-ES"/>
        </w:rPr>
      </w:pPr>
      <w:r w:rsidRPr="00510083">
        <w:rPr>
          <w:rFonts w:ascii="ITC Avant Garde" w:hAnsi="ITC Avant Garde"/>
          <w:color w:val="000000"/>
          <w:sz w:val="18"/>
          <w:szCs w:val="22"/>
          <w:lang w:eastAsia="es-ES"/>
        </w:rPr>
        <w:t>Finalmente, la red satelital USAT-67W fue identificada como posible afectante de nuestras redes satelitales planificadas, por lo que fue necesario iniciar el proceso de coordinación. Para ello, se solicitó el apoyo de las áreas técnicas especializadas del Instituto Federal de Telecomunicaciones. Con base en los resultados del IFT, esta Dirección General se pronunció sobre el estado de coordinación de la red USAT-67W mediante oficio 2.1.-095/2017, el cual se adjunta al presente para pronta referencia.</w:t>
      </w:r>
    </w:p>
    <w:p w14:paraId="49C86AE0" w14:textId="77777777" w:rsidR="00510083" w:rsidRPr="00510083" w:rsidRDefault="002B73F6" w:rsidP="00510083">
      <w:pPr>
        <w:pStyle w:val="Prrafodelista"/>
        <w:spacing w:before="240" w:after="240"/>
        <w:ind w:left="426"/>
        <w:rPr>
          <w:rFonts w:ascii="ITC Avant Garde" w:hAnsi="ITC Avant Garde"/>
          <w:color w:val="000000"/>
          <w:sz w:val="18"/>
          <w:szCs w:val="22"/>
        </w:rPr>
      </w:pPr>
      <w:r w:rsidRPr="00510083">
        <w:rPr>
          <w:rFonts w:ascii="ITC Avant Garde" w:hAnsi="ITC Avant Garde"/>
          <w:color w:val="000000"/>
          <w:sz w:val="18"/>
          <w:szCs w:val="22"/>
        </w:rPr>
        <w:t>Derivado de lo anterior, en lo que respecta a la coordinación de las redes SIMON BOLIVAR 2 y LUX-G8-4 7, no se identifica ningún inconveniente para emitir una opinión favorable. Asimismo, sobre la red satelital USA T- 67W se sugiere conceder la opinión favorable a dicha solicitud, únicamente bajo los parámetros acordados.”</w:t>
      </w:r>
    </w:p>
    <w:p w14:paraId="595A29B0" w14:textId="77777777" w:rsidR="00510083" w:rsidRPr="00510083" w:rsidRDefault="00673B35"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lastRenderedPageBreak/>
        <w:t>En ese sentido, y toda vez que no se prevén interferencias perjudiciales a las redes satelitales nacionales existentes y en proyecto, así como a los servicios terrenales del país,</w:t>
      </w:r>
      <w:r w:rsidR="00A753A7" w:rsidRPr="00510083">
        <w:rPr>
          <w:rFonts w:ascii="ITC Avant Garde" w:hAnsi="ITC Avant Garde"/>
          <w:color w:val="000000"/>
          <w:sz w:val="22"/>
          <w:szCs w:val="22"/>
          <w:lang w:eastAsia="es-ES"/>
        </w:rPr>
        <w:t xml:space="preserve"> </w:t>
      </w:r>
      <w:r w:rsidR="00617FBE" w:rsidRPr="00510083">
        <w:rPr>
          <w:rFonts w:ascii="ITC Avant Garde" w:hAnsi="ITC Avant Garde"/>
          <w:color w:val="000000"/>
          <w:sz w:val="22"/>
          <w:szCs w:val="22"/>
          <w:lang w:eastAsia="es-ES"/>
        </w:rPr>
        <w:t xml:space="preserve">se </w:t>
      </w:r>
      <w:r w:rsidRPr="00510083">
        <w:rPr>
          <w:rFonts w:ascii="ITC Avant Garde" w:hAnsi="ITC Avant Garde"/>
          <w:color w:val="000000"/>
          <w:sz w:val="22"/>
          <w:szCs w:val="22"/>
          <w:lang w:eastAsia="es-ES"/>
        </w:rPr>
        <w:t>consider</w:t>
      </w:r>
      <w:r w:rsidR="00617FBE" w:rsidRPr="00510083">
        <w:rPr>
          <w:rFonts w:ascii="ITC Avant Garde" w:hAnsi="ITC Avant Garde"/>
          <w:color w:val="000000"/>
          <w:sz w:val="22"/>
          <w:szCs w:val="22"/>
          <w:lang w:eastAsia="es-ES"/>
        </w:rPr>
        <w:t>a</w:t>
      </w:r>
      <w:r w:rsidRPr="00510083">
        <w:rPr>
          <w:rFonts w:ascii="ITC Avant Garde" w:hAnsi="ITC Avant Garde"/>
          <w:color w:val="000000"/>
          <w:sz w:val="22"/>
          <w:szCs w:val="22"/>
          <w:lang w:eastAsia="es-ES"/>
        </w:rPr>
        <w:t xml:space="preserve"> técnica y regulatoriamente procedente la modificación solicitada</w:t>
      </w:r>
      <w:r w:rsidR="002B73F6" w:rsidRPr="00510083">
        <w:rPr>
          <w:rFonts w:ascii="ITC Avant Garde" w:hAnsi="ITC Avant Garde"/>
          <w:color w:val="000000"/>
          <w:sz w:val="22"/>
          <w:szCs w:val="22"/>
          <w:lang w:eastAsia="es-ES"/>
        </w:rPr>
        <w:t xml:space="preserve"> con las reservas indicadas por la Secretaría en su oficio 2.1.-095/2017</w:t>
      </w:r>
      <w:r w:rsidR="006C7EC7" w:rsidRPr="00510083">
        <w:rPr>
          <w:rFonts w:ascii="ITC Avant Garde" w:hAnsi="ITC Avant Garde"/>
          <w:color w:val="000000"/>
          <w:sz w:val="22"/>
          <w:szCs w:val="22"/>
          <w:lang w:eastAsia="es-ES"/>
        </w:rPr>
        <w:t xml:space="preserve">, también señaladas en el oficio IFT/222/UER/DG-RERO/044/2017de </w:t>
      </w:r>
      <w:r w:rsidR="006C7EC7" w:rsidRPr="00510083">
        <w:rPr>
          <w:rFonts w:ascii="ITC Avant Garde" w:hAnsi="ITC Avant Garde"/>
          <w:bCs/>
          <w:color w:val="000000"/>
          <w:sz w:val="22"/>
          <w:szCs w:val="22"/>
        </w:rPr>
        <w:t>la Dirección General de Regulación del Espectro y Recursos Orbitales,</w:t>
      </w:r>
      <w:r w:rsidR="006C7EC7" w:rsidRPr="00510083">
        <w:rPr>
          <w:rFonts w:ascii="ITC Avant Garde" w:hAnsi="ITC Avant Garde"/>
          <w:color w:val="000000"/>
          <w:sz w:val="22"/>
          <w:szCs w:val="22"/>
          <w:lang w:eastAsia="es-ES"/>
        </w:rPr>
        <w:t xml:space="preserve"> </w:t>
      </w:r>
      <w:r w:rsidR="002B73F6" w:rsidRPr="00510083">
        <w:rPr>
          <w:rFonts w:ascii="ITC Avant Garde" w:hAnsi="ITC Avant Garde"/>
          <w:color w:val="000000"/>
          <w:sz w:val="22"/>
          <w:szCs w:val="22"/>
          <w:lang w:eastAsia="es-ES"/>
        </w:rPr>
        <w:t>para la banda 17.3-17.55 GHz</w:t>
      </w:r>
      <w:r w:rsidRPr="00510083">
        <w:rPr>
          <w:rFonts w:ascii="ITC Avant Garde" w:hAnsi="ITC Avant Garde"/>
          <w:color w:val="000000"/>
          <w:sz w:val="22"/>
          <w:szCs w:val="22"/>
          <w:lang w:eastAsia="es-ES"/>
        </w:rPr>
        <w:t>.</w:t>
      </w:r>
    </w:p>
    <w:p w14:paraId="190F540E" w14:textId="77777777" w:rsidR="00510083" w:rsidRPr="00510083" w:rsidRDefault="00140D5B" w:rsidP="00510083">
      <w:pPr>
        <w:spacing w:before="240" w:after="240" w:line="240" w:lineRule="auto"/>
        <w:ind w:right="48"/>
        <w:jc w:val="both"/>
        <w:rPr>
          <w:rFonts w:ascii="ITC Avant Garde" w:hAnsi="ITC Avant Garde"/>
          <w:color w:val="000000"/>
        </w:rPr>
      </w:pPr>
      <w:r w:rsidRPr="00510083">
        <w:rPr>
          <w:rFonts w:ascii="ITC Avant Garde" w:hAnsi="ITC Avant Garde"/>
          <w:bCs/>
        </w:rPr>
        <w:t xml:space="preserve">Finalmente, por lo que hace al cumplimiento de lo establecido en el segundo párrafo del artículo 150 de la </w:t>
      </w:r>
      <w:proofErr w:type="spellStart"/>
      <w:r w:rsidRPr="00510083">
        <w:rPr>
          <w:rFonts w:ascii="ITC Avant Garde" w:hAnsi="ITC Avant Garde"/>
          <w:bCs/>
        </w:rPr>
        <w:t>LFTyR</w:t>
      </w:r>
      <w:proofErr w:type="spellEnd"/>
      <w:r w:rsidRPr="00510083">
        <w:rPr>
          <w:rFonts w:ascii="ITC Avant Garde" w:hAnsi="ITC Avant Garde"/>
          <w:bCs/>
        </w:rPr>
        <w:t>, referente a</w:t>
      </w:r>
      <w:r w:rsidR="00EE1F7D" w:rsidRPr="00510083">
        <w:rPr>
          <w:rFonts w:ascii="ITC Avant Garde" w:hAnsi="ITC Avant Garde"/>
          <w:bCs/>
        </w:rPr>
        <w:t xml:space="preserve"> </w:t>
      </w:r>
      <w:r w:rsidRPr="00510083">
        <w:rPr>
          <w:rFonts w:ascii="ITC Avant Garde" w:hAnsi="ITC Avant Garde"/>
          <w:bCs/>
        </w:rPr>
        <w:t>la obligación</w:t>
      </w:r>
      <w:r w:rsidR="008E32D7" w:rsidRPr="00510083">
        <w:rPr>
          <w:rFonts w:ascii="ITC Avant Garde" w:hAnsi="ITC Avant Garde"/>
          <w:bCs/>
        </w:rPr>
        <w:t xml:space="preserve"> del Instituto de asegurarse que</w:t>
      </w:r>
      <w:r w:rsidRPr="00510083">
        <w:rPr>
          <w:rFonts w:ascii="ITC Avant Garde" w:hAnsi="ITC Avant Garde"/>
          <w:bCs/>
        </w:rPr>
        <w:t xml:space="preserve"> los concesionarios y autorizados proporcion</w:t>
      </w:r>
      <w:r w:rsidR="008E32D7" w:rsidRPr="00510083">
        <w:rPr>
          <w:rFonts w:ascii="ITC Avant Garde" w:hAnsi="ITC Avant Garde"/>
          <w:bCs/>
        </w:rPr>
        <w:t>en</w:t>
      </w:r>
      <w:r w:rsidRPr="00510083">
        <w:rPr>
          <w:rFonts w:ascii="ITC Avant Garde" w:hAnsi="ITC Avant Garde"/>
          <w:bCs/>
        </w:rPr>
        <w:t xml:space="preserve"> una reserva de capacidad satelital para las redes de seguridad nacional, servicios de carácter social y demás necesidades del Gobierno Federal</w:t>
      </w:r>
      <w:r w:rsidR="00EE1F7D" w:rsidRPr="00510083">
        <w:rPr>
          <w:rFonts w:ascii="ITC Avant Garde" w:hAnsi="ITC Avant Garde"/>
          <w:bCs/>
        </w:rPr>
        <w:t>;</w:t>
      </w:r>
      <w:r w:rsidRPr="00510083">
        <w:rPr>
          <w:rFonts w:ascii="ITC Avant Garde" w:hAnsi="ITC Avant Garde"/>
          <w:bCs/>
        </w:rPr>
        <w:t xml:space="preserve"> tomando en consideración lo manifestado por la Secretaría en su oficio </w:t>
      </w:r>
      <w:r w:rsidR="002B73F6" w:rsidRPr="00510083">
        <w:rPr>
          <w:rFonts w:ascii="ITC Avant Garde" w:hAnsi="ITC Avant Garde"/>
          <w:bCs/>
        </w:rPr>
        <w:t>2.1.-095/2017</w:t>
      </w:r>
      <w:r w:rsidRPr="00510083">
        <w:rPr>
          <w:rFonts w:ascii="ITC Avant Garde" w:hAnsi="ITC Avant Garde"/>
          <w:bCs/>
        </w:rPr>
        <w:t xml:space="preserve"> de fecha </w:t>
      </w:r>
      <w:r w:rsidR="002B73F6" w:rsidRPr="00510083">
        <w:rPr>
          <w:rFonts w:ascii="ITC Avant Garde" w:hAnsi="ITC Avant Garde"/>
          <w:bCs/>
        </w:rPr>
        <w:t>24 de febrero de 2017</w:t>
      </w:r>
      <w:r w:rsidRPr="00510083">
        <w:rPr>
          <w:rFonts w:ascii="ITC Avant Garde" w:hAnsi="ITC Avant Garde"/>
          <w:color w:val="000000"/>
        </w:rPr>
        <w:t>,</w:t>
      </w:r>
      <w:r w:rsidR="004136DE" w:rsidRPr="00510083">
        <w:rPr>
          <w:rFonts w:ascii="ITC Avant Garde" w:hAnsi="ITC Avant Garde"/>
          <w:color w:val="000000"/>
        </w:rPr>
        <w:t xml:space="preserve"> </w:t>
      </w:r>
      <w:r w:rsidR="00077761" w:rsidRPr="00510083">
        <w:rPr>
          <w:rFonts w:ascii="ITC Avant Garde" w:hAnsi="ITC Avant Garde"/>
          <w:color w:val="000000"/>
        </w:rPr>
        <w:t>referente a</w:t>
      </w:r>
      <w:r w:rsidR="004136DE" w:rsidRPr="00510083">
        <w:rPr>
          <w:rFonts w:ascii="ITC Avant Garde" w:hAnsi="ITC Avant Garde"/>
          <w:color w:val="000000"/>
        </w:rPr>
        <w:t xml:space="preserve"> no modificar </w:t>
      </w:r>
      <w:r w:rsidR="00971BBD" w:rsidRPr="00510083">
        <w:rPr>
          <w:rFonts w:ascii="ITC Avant Garde" w:hAnsi="ITC Avant Garde"/>
          <w:color w:val="000000"/>
        </w:rPr>
        <w:t>la capacidad satelital establecida en la condición A.</w:t>
      </w:r>
      <w:r w:rsidR="005440F1" w:rsidRPr="00510083">
        <w:rPr>
          <w:rFonts w:ascii="ITC Avant Garde" w:hAnsi="ITC Avant Garde"/>
          <w:color w:val="000000"/>
        </w:rPr>
        <w:t>4.</w:t>
      </w:r>
      <w:r w:rsidR="00971BBD" w:rsidRPr="00510083">
        <w:rPr>
          <w:rFonts w:ascii="ITC Avant Garde" w:hAnsi="ITC Avant Garde"/>
          <w:color w:val="000000"/>
        </w:rPr>
        <w:t xml:space="preserve"> de la Concesión</w:t>
      </w:r>
      <w:r w:rsidR="004136DE" w:rsidRPr="00510083">
        <w:rPr>
          <w:rFonts w:ascii="ITC Avant Garde" w:hAnsi="ITC Avant Garde"/>
          <w:color w:val="000000"/>
        </w:rPr>
        <w:t xml:space="preserve">, </w:t>
      </w:r>
      <w:r w:rsidR="004136DE" w:rsidRPr="00510083">
        <w:rPr>
          <w:rFonts w:ascii="ITC Avant Garde" w:hAnsi="ITC Avant Garde"/>
          <w:bCs/>
        </w:rPr>
        <w:t>se</w:t>
      </w:r>
      <w:r w:rsidR="00611D33" w:rsidRPr="00510083">
        <w:rPr>
          <w:rFonts w:ascii="ITC Avant Garde" w:hAnsi="ITC Avant Garde"/>
          <w:bCs/>
        </w:rPr>
        <w:t xml:space="preserve"> considera satisfecha la obligación del Instituto, contenida en el segundo párrafo del artículo 150 de la Ley, al existir la certeza que el </w:t>
      </w:r>
      <w:r w:rsidR="00795677" w:rsidRPr="00510083">
        <w:rPr>
          <w:rFonts w:ascii="ITC Avant Garde" w:hAnsi="ITC Avant Garde"/>
          <w:bCs/>
        </w:rPr>
        <w:t>Concesionario</w:t>
      </w:r>
      <w:r w:rsidR="00611D33" w:rsidRPr="00510083">
        <w:rPr>
          <w:rFonts w:ascii="ITC Avant Garde" w:hAnsi="ITC Avant Garde"/>
          <w:bCs/>
        </w:rPr>
        <w:t xml:space="preserve"> </w:t>
      </w:r>
      <w:r w:rsidR="00795677" w:rsidRPr="00510083">
        <w:rPr>
          <w:rFonts w:ascii="ITC Avant Garde" w:hAnsi="ITC Avant Garde"/>
          <w:bCs/>
        </w:rPr>
        <w:t xml:space="preserve">se encuentra obligado a </w:t>
      </w:r>
      <w:r w:rsidR="00611D33" w:rsidRPr="00510083">
        <w:rPr>
          <w:rFonts w:ascii="ITC Avant Garde" w:hAnsi="ITC Avant Garde"/>
          <w:bCs/>
        </w:rPr>
        <w:t>proporciona</w:t>
      </w:r>
      <w:r w:rsidR="00795677" w:rsidRPr="00510083">
        <w:rPr>
          <w:rFonts w:ascii="ITC Avant Garde" w:hAnsi="ITC Avant Garde"/>
          <w:bCs/>
        </w:rPr>
        <w:t>r</w:t>
      </w:r>
      <w:r w:rsidR="00611D33" w:rsidRPr="00510083">
        <w:rPr>
          <w:rFonts w:ascii="ITC Avant Garde" w:hAnsi="ITC Avant Garde"/>
          <w:bCs/>
        </w:rPr>
        <w:t xml:space="preserve"> </w:t>
      </w:r>
      <w:r w:rsidR="00795677" w:rsidRPr="00510083">
        <w:rPr>
          <w:rFonts w:ascii="ITC Avant Garde" w:hAnsi="ITC Avant Garde"/>
          <w:bCs/>
        </w:rPr>
        <w:t>un</w:t>
      </w:r>
      <w:r w:rsidR="00611D33" w:rsidRPr="00510083">
        <w:rPr>
          <w:rFonts w:ascii="ITC Avant Garde" w:hAnsi="ITC Avant Garde"/>
          <w:bCs/>
        </w:rPr>
        <w:t xml:space="preserve"> reserva de capacidad satelital </w:t>
      </w:r>
      <w:r w:rsidR="00945433" w:rsidRPr="00510083">
        <w:rPr>
          <w:rFonts w:ascii="ITC Avant Garde" w:hAnsi="ITC Avant Garde"/>
          <w:bCs/>
        </w:rPr>
        <w:t>suficiente</w:t>
      </w:r>
      <w:r w:rsidR="00C90205" w:rsidRPr="00510083">
        <w:rPr>
          <w:rFonts w:ascii="ITC Avant Garde" w:hAnsi="ITC Avant Garde"/>
          <w:bCs/>
        </w:rPr>
        <w:t xml:space="preserve"> </w:t>
      </w:r>
      <w:r w:rsidR="00611D33" w:rsidRPr="00510083">
        <w:rPr>
          <w:rFonts w:ascii="ITC Avant Garde" w:hAnsi="ITC Avant Garde"/>
          <w:bCs/>
        </w:rPr>
        <w:t xml:space="preserve">y adecuada para las redes de seguridad nacional, servicios de carácter social y </w:t>
      </w:r>
      <w:r w:rsidR="00795677" w:rsidRPr="00510083">
        <w:rPr>
          <w:rFonts w:ascii="ITC Avant Garde" w:hAnsi="ITC Avant Garde"/>
          <w:bCs/>
        </w:rPr>
        <w:t>demás necesidades del gobierno</w:t>
      </w:r>
      <w:r w:rsidR="00611D33" w:rsidRPr="00510083">
        <w:rPr>
          <w:rFonts w:ascii="ITC Avant Garde" w:hAnsi="ITC Avant Garde"/>
          <w:bCs/>
        </w:rPr>
        <w:t>.</w:t>
      </w:r>
    </w:p>
    <w:p w14:paraId="4DF3DDAC" w14:textId="77777777" w:rsidR="00510083" w:rsidRPr="00510083" w:rsidRDefault="00177A32" w:rsidP="00510083">
      <w:pPr>
        <w:autoSpaceDE w:val="0"/>
        <w:autoSpaceDN w:val="0"/>
        <w:adjustRightInd w:val="0"/>
        <w:spacing w:before="240" w:after="240" w:line="240" w:lineRule="auto"/>
        <w:jc w:val="both"/>
        <w:rPr>
          <w:rFonts w:ascii="ITC Avant Garde" w:hAnsi="ITC Avant Garde"/>
          <w:bCs/>
        </w:rPr>
      </w:pPr>
      <w:r w:rsidRPr="00510083">
        <w:rPr>
          <w:rFonts w:ascii="ITC Avant Garde" w:hAnsi="ITC Avant Garde"/>
          <w:bCs/>
        </w:rPr>
        <w:t>Por lo anteriormente señalado y con fundamento en los artículos 28 párrafo décimo quinto y décimo séptimo</w:t>
      </w:r>
      <w:r w:rsidR="00464555" w:rsidRPr="00510083">
        <w:rPr>
          <w:rFonts w:ascii="ITC Avant Garde" w:hAnsi="ITC Avant Garde"/>
          <w:bCs/>
        </w:rPr>
        <w:t>,</w:t>
      </w:r>
      <w:r w:rsidRPr="00510083">
        <w:rPr>
          <w:rFonts w:ascii="ITC Avant Garde" w:hAnsi="ITC Avant Garde"/>
          <w:bCs/>
        </w:rPr>
        <w:t xml:space="preserve"> de la Constitución Política de los Estados Unidos Mexicanos; 15</w:t>
      </w:r>
      <w:r w:rsidR="004F61F7" w:rsidRPr="00510083">
        <w:rPr>
          <w:rFonts w:ascii="ITC Avant Garde" w:hAnsi="ITC Avant Garde"/>
          <w:bCs/>
        </w:rPr>
        <w:t>,</w:t>
      </w:r>
      <w:r w:rsidRPr="00510083">
        <w:rPr>
          <w:rFonts w:ascii="ITC Avant Garde" w:hAnsi="ITC Avant Garde"/>
          <w:bCs/>
        </w:rPr>
        <w:t xml:space="preserve"> fracción IV, 17, fracción I, </w:t>
      </w:r>
      <w:r w:rsidR="00D701B5" w:rsidRPr="00510083">
        <w:rPr>
          <w:rFonts w:ascii="ITC Avant Garde" w:hAnsi="ITC Avant Garde"/>
          <w:bCs/>
        </w:rPr>
        <w:t xml:space="preserve">y </w:t>
      </w:r>
      <w:r w:rsidRPr="00510083">
        <w:rPr>
          <w:rFonts w:ascii="ITC Avant Garde" w:hAnsi="ITC Avant Garde"/>
          <w:bCs/>
        </w:rPr>
        <w:t>150</w:t>
      </w:r>
      <w:r w:rsidR="004F61F7" w:rsidRPr="00510083">
        <w:rPr>
          <w:rFonts w:ascii="ITC Avant Garde" w:hAnsi="ITC Avant Garde"/>
          <w:bCs/>
        </w:rPr>
        <w:t>,</w:t>
      </w:r>
      <w:r w:rsidRPr="00510083">
        <w:rPr>
          <w:rFonts w:ascii="ITC Avant Garde" w:hAnsi="ITC Avant Garde"/>
          <w:bCs/>
        </w:rPr>
        <w:t xml:space="preserve"> segundo párrafo</w:t>
      </w:r>
      <w:r w:rsidR="004F61F7" w:rsidRPr="00510083">
        <w:rPr>
          <w:rFonts w:ascii="ITC Avant Garde" w:hAnsi="ITC Avant Garde"/>
          <w:bCs/>
        </w:rPr>
        <w:t>,</w:t>
      </w:r>
      <w:r w:rsidRPr="00510083">
        <w:rPr>
          <w:rFonts w:ascii="ITC Avant Garde" w:hAnsi="ITC Avant Garde"/>
          <w:bCs/>
        </w:rPr>
        <w:t xml:space="preserve"> de la Ley Federal de Telecomunicaciones y Radiodifusión; 35</w:t>
      </w:r>
      <w:r w:rsidR="004F61F7" w:rsidRPr="00510083">
        <w:rPr>
          <w:rFonts w:ascii="ITC Avant Garde" w:hAnsi="ITC Avant Garde"/>
          <w:bCs/>
        </w:rPr>
        <w:t>,</w:t>
      </w:r>
      <w:r w:rsidRPr="00510083">
        <w:rPr>
          <w:rFonts w:ascii="ITC Avant Garde" w:hAnsi="ITC Avant Garde"/>
          <w:bCs/>
        </w:rPr>
        <w:t xml:space="preserve"> fracción I, 36, 38 y 39 de la Ley Federal de Procedimiento Administrativo;</w:t>
      </w:r>
      <w:r w:rsidR="000C23E8" w:rsidRPr="00510083">
        <w:rPr>
          <w:rFonts w:ascii="ITC Avant Garde" w:hAnsi="ITC Avant Garde"/>
          <w:bCs/>
        </w:rPr>
        <w:t xml:space="preserve"> Condición </w:t>
      </w:r>
      <w:r w:rsidR="009010D2" w:rsidRPr="00510083">
        <w:rPr>
          <w:rFonts w:ascii="ITC Avant Garde" w:hAnsi="ITC Avant Garde"/>
          <w:bCs/>
        </w:rPr>
        <w:t>A.</w:t>
      </w:r>
      <w:r w:rsidR="00F0241A" w:rsidRPr="00510083">
        <w:rPr>
          <w:rFonts w:ascii="ITC Avant Garde" w:hAnsi="ITC Avant Garde"/>
          <w:bCs/>
        </w:rPr>
        <w:t>4</w:t>
      </w:r>
      <w:r w:rsidR="00EE1F7D" w:rsidRPr="00510083">
        <w:rPr>
          <w:rFonts w:ascii="ITC Avant Garde" w:hAnsi="ITC Avant Garde"/>
          <w:bCs/>
        </w:rPr>
        <w:t>.</w:t>
      </w:r>
      <w:r w:rsidR="009010D2" w:rsidRPr="00510083">
        <w:rPr>
          <w:rFonts w:ascii="ITC Avant Garde" w:hAnsi="ITC Avant Garde"/>
          <w:bCs/>
        </w:rPr>
        <w:t xml:space="preserve"> </w:t>
      </w:r>
      <w:proofErr w:type="gramStart"/>
      <w:r w:rsidR="009010D2" w:rsidRPr="00510083">
        <w:rPr>
          <w:rFonts w:ascii="ITC Avant Garde" w:hAnsi="ITC Avant Garde"/>
          <w:bCs/>
        </w:rPr>
        <w:t>y</w:t>
      </w:r>
      <w:proofErr w:type="gramEnd"/>
      <w:r w:rsidR="009010D2" w:rsidRPr="00510083">
        <w:rPr>
          <w:rFonts w:ascii="ITC Avant Garde" w:hAnsi="ITC Avant Garde"/>
          <w:bCs/>
        </w:rPr>
        <w:t xml:space="preserve"> </w:t>
      </w:r>
      <w:r w:rsidR="000C23E8" w:rsidRPr="00510083">
        <w:rPr>
          <w:rFonts w:ascii="ITC Avant Garde" w:hAnsi="ITC Avant Garde"/>
          <w:bCs/>
        </w:rPr>
        <w:t>A.</w:t>
      </w:r>
      <w:r w:rsidR="00F0241A" w:rsidRPr="00510083">
        <w:rPr>
          <w:rFonts w:ascii="ITC Avant Garde" w:hAnsi="ITC Avant Garde"/>
          <w:bCs/>
        </w:rPr>
        <w:t>6</w:t>
      </w:r>
      <w:r w:rsidR="000C23E8" w:rsidRPr="00510083">
        <w:rPr>
          <w:rFonts w:ascii="ITC Avant Garde" w:hAnsi="ITC Avant Garde"/>
          <w:bCs/>
        </w:rPr>
        <w:t xml:space="preserve">. </w:t>
      </w:r>
      <w:proofErr w:type="gramStart"/>
      <w:r w:rsidR="000C23E8" w:rsidRPr="00510083">
        <w:rPr>
          <w:rFonts w:ascii="ITC Avant Garde" w:hAnsi="ITC Avant Garde"/>
          <w:color w:val="000000"/>
          <w:lang w:eastAsia="es-ES"/>
        </w:rPr>
        <w:t>del</w:t>
      </w:r>
      <w:proofErr w:type="gramEnd"/>
      <w:r w:rsidR="000C23E8" w:rsidRPr="00510083">
        <w:rPr>
          <w:rFonts w:ascii="ITC Avant Garde" w:hAnsi="ITC Avant Garde"/>
          <w:color w:val="000000"/>
          <w:lang w:eastAsia="es-ES"/>
        </w:rPr>
        <w:t xml:space="preserve"> Anexo del</w:t>
      </w:r>
      <w:r w:rsidR="005D5BAE" w:rsidRPr="00510083">
        <w:rPr>
          <w:rFonts w:ascii="ITC Avant Garde" w:hAnsi="ITC Avant Garde"/>
          <w:color w:val="000000"/>
          <w:lang w:eastAsia="es-ES"/>
        </w:rPr>
        <w:t xml:space="preserve"> </w:t>
      </w:r>
      <w:r w:rsidR="009010D2" w:rsidRPr="00510083">
        <w:rPr>
          <w:rFonts w:ascii="ITC Avant Garde" w:hAnsi="ITC Avant Garde"/>
          <w:color w:val="000000"/>
          <w:lang w:eastAsia="es-ES"/>
        </w:rPr>
        <w:t xml:space="preserve">Título de Concesión </w:t>
      </w:r>
      <w:r w:rsidR="000C23E8" w:rsidRPr="00510083">
        <w:rPr>
          <w:rFonts w:ascii="ITC Avant Garde" w:hAnsi="ITC Avant Garde"/>
          <w:color w:val="000000"/>
          <w:lang w:eastAsia="es-ES"/>
        </w:rPr>
        <w:t xml:space="preserve">para explotar los derechos de emisión y recepción de señales de bandas de frecuencias </w:t>
      </w:r>
      <w:r w:rsidR="00F0241A" w:rsidRPr="00510083">
        <w:rPr>
          <w:rFonts w:ascii="ITC Avant Garde" w:hAnsi="ITC Avant Garde"/>
          <w:bCs/>
          <w:color w:val="000000"/>
        </w:rPr>
        <w:t>asociadas a satélites extranjeros</w:t>
      </w:r>
      <w:r w:rsidR="000C23E8" w:rsidRPr="00510083">
        <w:rPr>
          <w:rFonts w:ascii="ITC Avant Garde" w:hAnsi="ITC Avant Garde"/>
          <w:color w:val="000000"/>
          <w:lang w:eastAsia="es-ES"/>
        </w:rPr>
        <w:t xml:space="preserve">, que cubren y pueden prestar servicios en el territorio nacional; y artículos </w:t>
      </w:r>
      <w:r w:rsidRPr="00510083">
        <w:rPr>
          <w:rFonts w:ascii="ITC Avant Garde" w:hAnsi="ITC Avant Garde"/>
          <w:bCs/>
        </w:rPr>
        <w:t>1, 4</w:t>
      </w:r>
      <w:r w:rsidR="004F61F7" w:rsidRPr="00510083">
        <w:rPr>
          <w:rFonts w:ascii="ITC Avant Garde" w:hAnsi="ITC Avant Garde"/>
          <w:bCs/>
        </w:rPr>
        <w:t>,</w:t>
      </w:r>
      <w:r w:rsidRPr="00510083">
        <w:rPr>
          <w:rFonts w:ascii="ITC Avant Garde" w:hAnsi="ITC Avant Garde"/>
          <w:bCs/>
        </w:rPr>
        <w:t xml:space="preserve"> fracción I, 6</w:t>
      </w:r>
      <w:r w:rsidR="004F61F7" w:rsidRPr="00510083">
        <w:rPr>
          <w:rFonts w:ascii="ITC Avant Garde" w:hAnsi="ITC Avant Garde"/>
          <w:bCs/>
        </w:rPr>
        <w:t>,</w:t>
      </w:r>
      <w:r w:rsidRPr="00510083">
        <w:rPr>
          <w:rFonts w:ascii="ITC Avant Garde" w:hAnsi="ITC Avant Garde"/>
          <w:bCs/>
        </w:rPr>
        <w:t xml:space="preserve"> fracción I, 32 y 33, fracción II, del Estatuto Orgánico del Instituto Federal de Telecomunicaciones, este órgano autónomo emite los siguientes:</w:t>
      </w:r>
    </w:p>
    <w:p w14:paraId="5457F446" w14:textId="77777777" w:rsidR="00510083" w:rsidRPr="00510083" w:rsidRDefault="00C050BC" w:rsidP="00510083">
      <w:pPr>
        <w:pStyle w:val="Ttulo2"/>
        <w:spacing w:after="240"/>
        <w:jc w:val="center"/>
        <w:rPr>
          <w:rFonts w:ascii="ITC Avant Garde" w:hAnsi="ITC Avant Garde"/>
          <w:b/>
          <w:color w:val="000000" w:themeColor="text1"/>
          <w:sz w:val="22"/>
          <w:szCs w:val="22"/>
        </w:rPr>
      </w:pPr>
      <w:r w:rsidRPr="00510083">
        <w:rPr>
          <w:rFonts w:ascii="ITC Avant Garde" w:hAnsi="ITC Avant Garde"/>
          <w:b/>
          <w:color w:val="000000" w:themeColor="text1"/>
          <w:sz w:val="22"/>
          <w:szCs w:val="22"/>
        </w:rPr>
        <w:t>RESOLUTIVOS</w:t>
      </w:r>
    </w:p>
    <w:p w14:paraId="1E9A0D23" w14:textId="77777777" w:rsidR="00510083" w:rsidRPr="00510083" w:rsidRDefault="004E66EE"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b/>
          <w:color w:val="000000"/>
          <w:sz w:val="22"/>
          <w:szCs w:val="22"/>
          <w:lang w:eastAsia="es-ES"/>
        </w:rPr>
        <w:t>PRIMERO. -</w:t>
      </w:r>
      <w:r w:rsidR="00C614CA" w:rsidRPr="00510083">
        <w:rPr>
          <w:rFonts w:ascii="ITC Avant Garde" w:hAnsi="ITC Avant Garde"/>
          <w:color w:val="000000"/>
          <w:sz w:val="22"/>
          <w:szCs w:val="22"/>
          <w:lang w:eastAsia="es-ES"/>
        </w:rPr>
        <w:t xml:space="preserve"> </w:t>
      </w:r>
      <w:r w:rsidR="008D079F" w:rsidRPr="00510083">
        <w:rPr>
          <w:rFonts w:ascii="ITC Avant Garde" w:hAnsi="ITC Avant Garde"/>
          <w:color w:val="000000"/>
          <w:sz w:val="22"/>
          <w:szCs w:val="22"/>
          <w:lang w:eastAsia="es-ES"/>
        </w:rPr>
        <w:t xml:space="preserve">El Pleno de este Instituto Federal de Telecomunicaciones, modifica la condición A.2. </w:t>
      </w:r>
      <w:proofErr w:type="gramStart"/>
      <w:r w:rsidR="008D079F" w:rsidRPr="00510083">
        <w:rPr>
          <w:rFonts w:ascii="ITC Avant Garde" w:hAnsi="ITC Avant Garde"/>
          <w:color w:val="000000"/>
          <w:sz w:val="22"/>
          <w:szCs w:val="22"/>
          <w:lang w:eastAsia="es-ES"/>
        </w:rPr>
        <w:t>del</w:t>
      </w:r>
      <w:proofErr w:type="gramEnd"/>
      <w:r w:rsidR="008D079F" w:rsidRPr="00510083">
        <w:rPr>
          <w:rFonts w:ascii="ITC Avant Garde" w:hAnsi="ITC Avant Garde"/>
          <w:color w:val="000000"/>
          <w:sz w:val="22"/>
          <w:szCs w:val="22"/>
          <w:lang w:eastAsia="es-ES"/>
        </w:rPr>
        <w:t xml:space="preserve"> Anexo del Título de Concesión para explotar los derechos de emisión y recepción de señales de bandas de frecuencias asociadas a los satélites extranjeros que cubren y pueden prestar servicios en el territorio nacional, otorgado el 26 de septiembre de 2011</w:t>
      </w:r>
      <w:r w:rsidR="00CD0B38" w:rsidRPr="00510083">
        <w:rPr>
          <w:rFonts w:ascii="ITC Avant Garde" w:hAnsi="ITC Avant Garde"/>
          <w:color w:val="000000"/>
          <w:sz w:val="22"/>
          <w:szCs w:val="22"/>
          <w:lang w:eastAsia="es-ES"/>
        </w:rPr>
        <w:t xml:space="preserve"> </w:t>
      </w:r>
      <w:r w:rsidR="008D079F" w:rsidRPr="00510083">
        <w:rPr>
          <w:rFonts w:ascii="ITC Avant Garde" w:hAnsi="ITC Avant Garde"/>
          <w:color w:val="000000"/>
          <w:sz w:val="22"/>
          <w:szCs w:val="22"/>
          <w:lang w:eastAsia="es-ES"/>
        </w:rPr>
        <w:t xml:space="preserve">a favor de Sistemas Satelitales de México, S. de R.L. de C.V. </w:t>
      </w:r>
      <w:r w:rsidR="00494DC0" w:rsidRPr="00510083">
        <w:rPr>
          <w:rFonts w:ascii="ITC Avant Garde" w:hAnsi="ITC Avant Garde"/>
          <w:color w:val="000000"/>
          <w:sz w:val="22"/>
          <w:szCs w:val="22"/>
          <w:lang w:eastAsia="es-ES"/>
        </w:rPr>
        <w:t>suprimiendo</w:t>
      </w:r>
      <w:r w:rsidR="002845E3" w:rsidRPr="00510083">
        <w:rPr>
          <w:rFonts w:ascii="ITC Avant Garde" w:hAnsi="ITC Avant Garde"/>
          <w:color w:val="000000"/>
          <w:sz w:val="22"/>
          <w:szCs w:val="22"/>
          <w:lang w:eastAsia="es-ES"/>
        </w:rPr>
        <w:t xml:space="preserve"> el satélite NSS</w:t>
      </w:r>
      <w:r w:rsidR="00CD0B38" w:rsidRPr="00510083">
        <w:rPr>
          <w:rFonts w:ascii="ITC Avant Garde" w:hAnsi="ITC Avant Garde"/>
          <w:color w:val="000000"/>
          <w:sz w:val="22"/>
          <w:szCs w:val="22"/>
          <w:lang w:eastAsia="es-ES"/>
        </w:rPr>
        <w:t xml:space="preserve"> -7</w:t>
      </w:r>
      <w:r w:rsidR="00632CBC" w:rsidRPr="00510083">
        <w:rPr>
          <w:rFonts w:ascii="ITC Avant Garde" w:hAnsi="ITC Avant Garde"/>
          <w:color w:val="000000"/>
          <w:sz w:val="22"/>
          <w:szCs w:val="22"/>
          <w:lang w:eastAsia="es-ES"/>
        </w:rPr>
        <w:t>03 y adiciona</w:t>
      </w:r>
      <w:r w:rsidR="00494DC0" w:rsidRPr="00510083">
        <w:rPr>
          <w:rFonts w:ascii="ITC Avant Garde" w:hAnsi="ITC Avant Garde"/>
          <w:color w:val="000000"/>
          <w:sz w:val="22"/>
          <w:szCs w:val="22"/>
          <w:lang w:eastAsia="es-ES"/>
        </w:rPr>
        <w:t>ndo</w:t>
      </w:r>
      <w:r w:rsidR="00632CBC" w:rsidRPr="00510083">
        <w:rPr>
          <w:rFonts w:ascii="ITC Avant Garde" w:hAnsi="ITC Avant Garde"/>
          <w:color w:val="000000"/>
          <w:sz w:val="22"/>
          <w:szCs w:val="22"/>
          <w:lang w:eastAsia="es-ES"/>
        </w:rPr>
        <w:t xml:space="preserve"> el satélite SES-10</w:t>
      </w:r>
      <w:r w:rsidR="00494DC0" w:rsidRPr="00510083">
        <w:rPr>
          <w:rFonts w:ascii="ITC Avant Garde" w:hAnsi="ITC Avant Garde"/>
          <w:color w:val="000000"/>
          <w:sz w:val="22"/>
          <w:szCs w:val="22"/>
          <w:lang w:eastAsia="es-ES"/>
        </w:rPr>
        <w:t>, para quedar como sigue:</w:t>
      </w:r>
    </w:p>
    <w:p w14:paraId="1F0CE4A4" w14:textId="4D43016A" w:rsidR="008D079F" w:rsidRPr="00510083" w:rsidRDefault="008D079F" w:rsidP="00510083">
      <w:pPr>
        <w:pStyle w:val="NormalWeb"/>
        <w:spacing w:before="240" w:beforeAutospacing="0" w:after="240" w:afterAutospacing="0"/>
        <w:ind w:left="425" w:right="335"/>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w:t>
      </w:r>
      <w:r w:rsidRPr="00510083">
        <w:rPr>
          <w:rFonts w:ascii="ITC Avant Garde" w:hAnsi="ITC Avant Garde"/>
          <w:b/>
          <w:color w:val="000000"/>
          <w:sz w:val="22"/>
          <w:szCs w:val="22"/>
          <w:lang w:eastAsia="es-ES"/>
        </w:rPr>
        <w:t>A.2. Servicio Comprendido</w:t>
      </w:r>
      <w:r w:rsidRPr="00510083">
        <w:rPr>
          <w:rFonts w:ascii="ITC Avant Garde" w:hAnsi="ITC Avant Garde"/>
          <w:color w:val="000000"/>
          <w:sz w:val="22"/>
          <w:szCs w:val="22"/>
          <w:lang w:eastAsia="es-ES"/>
        </w:rPr>
        <w:t>. El Concesionario acepta y se obliga a prestar el servicio descrito en adelante, únicamente a las personas físicas y morales definidas como Usuarios.</w:t>
      </w:r>
    </w:p>
    <w:p w14:paraId="111ABC94" w14:textId="77777777" w:rsidR="00510083" w:rsidRPr="00510083" w:rsidRDefault="008D079F" w:rsidP="00510083">
      <w:pPr>
        <w:pStyle w:val="NormalWeb"/>
        <w:spacing w:before="240" w:beforeAutospacing="0" w:after="240" w:afterAutospacing="0"/>
        <w:ind w:left="425" w:right="335"/>
        <w:jc w:val="both"/>
        <w:rPr>
          <w:rFonts w:ascii="ITC Avant Garde" w:hAnsi="ITC Avant Garde"/>
          <w:color w:val="000000"/>
          <w:sz w:val="22"/>
          <w:szCs w:val="22"/>
          <w:lang w:eastAsia="es-ES"/>
        </w:rPr>
      </w:pPr>
      <w:r w:rsidRPr="00510083">
        <w:rPr>
          <w:rFonts w:ascii="ITC Avant Garde" w:hAnsi="ITC Avant Garde"/>
          <w:b/>
          <w:color w:val="000000"/>
          <w:sz w:val="22"/>
          <w:szCs w:val="22"/>
          <w:lang w:eastAsia="es-ES"/>
        </w:rPr>
        <w:t>A.2.1.</w:t>
      </w:r>
      <w:r w:rsidRPr="00510083">
        <w:rPr>
          <w:rFonts w:ascii="ITC Avant Garde" w:hAnsi="ITC Avant Garde"/>
          <w:color w:val="000000"/>
          <w:sz w:val="22"/>
          <w:szCs w:val="22"/>
          <w:lang w:eastAsia="es-ES"/>
        </w:rPr>
        <w:t xml:space="preserve"> La provisión de la capacidad satelital asociada a los satélites extranjeros </w:t>
      </w:r>
      <w:r w:rsidR="00A73FF3" w:rsidRPr="00510083">
        <w:rPr>
          <w:rFonts w:ascii="ITC Avant Garde" w:hAnsi="ITC Avant Garde"/>
          <w:color w:val="000000"/>
          <w:sz w:val="22"/>
          <w:szCs w:val="22"/>
          <w:lang w:eastAsia="es-ES"/>
        </w:rPr>
        <w:t xml:space="preserve">AMC-1 (103° O), AMC-3 (67° O), AMC-4 (67° O), AMC-5 (79° O), AMC-6 (67° O), AMC-7 (137° O), AMC-9 (83° O), AMC-10 (135° O), AMC-11 (131° O), AMC-12 (37.5° O), AMC-15 (105° O), AMC-16 (85°O), AMC-18 (105° O), AMC-21 (125° O), NSS-7 </w:t>
      </w:r>
      <w:r w:rsidR="00A73FF3" w:rsidRPr="00510083">
        <w:rPr>
          <w:rFonts w:ascii="ITC Avant Garde" w:hAnsi="ITC Avant Garde"/>
          <w:color w:val="000000"/>
          <w:sz w:val="22"/>
          <w:szCs w:val="22"/>
          <w:lang w:eastAsia="es-ES"/>
        </w:rPr>
        <w:lastRenderedPageBreak/>
        <w:t xml:space="preserve">(20° O), NSS-9 (177° O), </w:t>
      </w:r>
      <w:r w:rsidR="00762CB4" w:rsidRPr="00510083">
        <w:rPr>
          <w:rFonts w:ascii="ITC Avant Garde" w:hAnsi="ITC Avant Garde"/>
          <w:color w:val="000000"/>
          <w:sz w:val="22"/>
          <w:szCs w:val="22"/>
          <w:lang w:eastAsia="es-ES"/>
        </w:rPr>
        <w:t xml:space="preserve">NSS-806 (47.5° O), NIMIQ-1 (86.5° O), SES-1 (101° O), SES-2 (87° O), SES-4 (22° O), </w:t>
      </w:r>
      <w:r w:rsidR="00A73FF3" w:rsidRPr="00510083">
        <w:rPr>
          <w:rFonts w:ascii="ITC Avant Garde" w:hAnsi="ITC Avant Garde"/>
          <w:color w:val="000000"/>
          <w:sz w:val="22"/>
          <w:szCs w:val="22"/>
          <w:lang w:eastAsia="es-ES"/>
        </w:rPr>
        <w:t xml:space="preserve">SES-6 (40.5° O), </w:t>
      </w:r>
      <w:r w:rsidR="00762CB4" w:rsidRPr="00510083">
        <w:rPr>
          <w:rFonts w:ascii="ITC Avant Garde" w:hAnsi="ITC Avant Garde"/>
          <w:color w:val="000000"/>
          <w:sz w:val="22"/>
          <w:szCs w:val="22"/>
          <w:lang w:eastAsia="es-ES"/>
        </w:rPr>
        <w:t>SES-10 (67° O) y Sistema de Órbita Media O3b (N-GSO).</w:t>
      </w:r>
    </w:p>
    <w:p w14:paraId="138CAE37" w14:textId="77777777" w:rsidR="00510083" w:rsidRPr="00510083" w:rsidRDefault="00632CBC" w:rsidP="00510083">
      <w:pPr>
        <w:pStyle w:val="NormalWeb"/>
        <w:spacing w:before="240" w:beforeAutospacing="0" w:after="240" w:afterAutospacing="0"/>
        <w:ind w:left="425" w:right="335"/>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El servicio comprendido en la Concesión, se debe entender limitativamente; por tanto, cualquier otro servicio que el concesionario pretenda proporcionar al amparo de esta Concesión, requerirá de la respectiva concesión o autorización del Instituto, de acuerdo con lo establecido en las disposiciones legales, reglamentarias y administrativas aplicables.”</w:t>
      </w:r>
    </w:p>
    <w:p w14:paraId="194AFFCF" w14:textId="49C1314A" w:rsidR="00632CBC" w:rsidRDefault="00632CBC"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b/>
          <w:color w:val="000000"/>
          <w:sz w:val="22"/>
          <w:szCs w:val="22"/>
          <w:lang w:eastAsia="es-ES"/>
        </w:rPr>
        <w:t>SEGUNDO. -</w:t>
      </w:r>
      <w:r w:rsidRPr="00510083">
        <w:rPr>
          <w:rFonts w:ascii="ITC Avant Garde" w:hAnsi="ITC Avant Garde"/>
          <w:color w:val="000000"/>
          <w:sz w:val="22"/>
          <w:szCs w:val="22"/>
          <w:lang w:eastAsia="es-ES"/>
        </w:rPr>
        <w:t xml:space="preserve"> El Pleno de este Instituto Federal de Telecomunicaciones, modifica </w:t>
      </w:r>
      <w:r w:rsidR="003F3E60" w:rsidRPr="00510083">
        <w:rPr>
          <w:rFonts w:ascii="ITC Avant Garde" w:hAnsi="ITC Avant Garde"/>
          <w:color w:val="000000"/>
          <w:sz w:val="22"/>
          <w:szCs w:val="22"/>
          <w:lang w:eastAsia="es-ES"/>
        </w:rPr>
        <w:t xml:space="preserve">la </w:t>
      </w:r>
      <w:r w:rsidR="002F683A" w:rsidRPr="00510083">
        <w:rPr>
          <w:rFonts w:ascii="ITC Avant Garde" w:hAnsi="ITC Avant Garde"/>
          <w:color w:val="000000"/>
          <w:sz w:val="22"/>
          <w:szCs w:val="22"/>
          <w:lang w:eastAsia="es-ES"/>
        </w:rPr>
        <w:t xml:space="preserve">condición </w:t>
      </w:r>
      <w:r w:rsidRPr="00510083">
        <w:rPr>
          <w:rFonts w:ascii="ITC Avant Garde" w:hAnsi="ITC Avant Garde"/>
          <w:color w:val="000000"/>
          <w:sz w:val="22"/>
          <w:szCs w:val="22"/>
          <w:lang w:eastAsia="es-ES"/>
        </w:rPr>
        <w:t>A.9. del Anexo del Título de Concesión para explotar los derechos de emisión y recepción de señales de bandas de frecuencias asociadas a sistemas satélites extranjeros, que cubren y pueden prestar servicios en el territorio nacional, otorgado el 26 de septiembre de 2011, a efecto de suprimir el satélite NSS-703 en la posición orbital geoestacionaria 47° O, y adicionar el satélite SES-10 en la posición orbital geoestacionaria 67° O, al amparo de los expedientes de las redes satelitales SIMON BOLIVAR 2, LUX-G8-47 y USAT-67W, conforme a las siguientes especificaciones técnicas:</w:t>
      </w:r>
    </w:p>
    <w:p w14:paraId="41CB108D" w14:textId="2646BD94" w:rsidR="00510083" w:rsidRPr="00510083" w:rsidRDefault="00510083" w:rsidP="00510083">
      <w:pPr>
        <w:pStyle w:val="NormalWeb"/>
        <w:spacing w:before="240" w:beforeAutospacing="0" w:after="240" w:afterAutospacing="0"/>
        <w:jc w:val="center"/>
        <w:rPr>
          <w:rFonts w:ascii="ITC Avant Garde" w:hAnsi="ITC Avant Garde"/>
          <w:b/>
          <w:color w:val="000000"/>
          <w:sz w:val="22"/>
          <w:szCs w:val="22"/>
          <w:lang w:eastAsia="es-ES"/>
        </w:rPr>
      </w:pPr>
      <w:r w:rsidRPr="00510083">
        <w:rPr>
          <w:rFonts w:ascii="ITC Avant Garde" w:hAnsi="ITC Avant Garde"/>
          <w:b/>
          <w:sz w:val="16"/>
          <w:szCs w:val="16"/>
        </w:rPr>
        <w:t>CARACTERÍSTICAS GENERALES Y ESPECIFICACIONES TÉCNICAS</w:t>
      </w:r>
    </w:p>
    <w:tbl>
      <w:tblPr>
        <w:tblStyle w:val="Tablaconcuadrcula"/>
        <w:tblW w:w="6660" w:type="dxa"/>
        <w:jc w:val="center"/>
        <w:tblLook w:val="04A0" w:firstRow="1" w:lastRow="0" w:firstColumn="1" w:lastColumn="0" w:noHBand="0" w:noVBand="1"/>
        <w:tblCaption w:val="CARACTERÍSTICAS GENERALES Y ESPECIFICACIONES TÉCNICAS"/>
        <w:tblDescription w:val="En una tabla de 2 columnas, se proporciona del lado izquierdo los parámetros y del lado derecho los valores que adopta el parámetro, así como los rangos de frecuencias nominales en MHz."/>
      </w:tblPr>
      <w:tblGrid>
        <w:gridCol w:w="3640"/>
        <w:gridCol w:w="3020"/>
      </w:tblGrid>
      <w:tr w:rsidR="00A82BF4" w:rsidRPr="00510083" w14:paraId="189D9D68" w14:textId="77777777" w:rsidTr="00510083">
        <w:trPr>
          <w:trHeight w:val="300"/>
          <w:tblHeader/>
          <w:jc w:val="center"/>
        </w:trPr>
        <w:tc>
          <w:tcPr>
            <w:tcW w:w="3640" w:type="dxa"/>
            <w:shd w:val="clear" w:color="auto" w:fill="70AD47" w:themeFill="accent6"/>
            <w:vAlign w:val="center"/>
            <w:hideMark/>
          </w:tcPr>
          <w:p w14:paraId="1233BB65" w14:textId="77777777" w:rsidR="00A82BF4" w:rsidRPr="00510083" w:rsidRDefault="00A82BF4" w:rsidP="00510083">
            <w:pPr>
              <w:spacing w:after="0" w:line="240" w:lineRule="auto"/>
              <w:jc w:val="center"/>
              <w:rPr>
                <w:rFonts w:ascii="ITC Avant Garde" w:hAnsi="ITC Avant Garde"/>
                <w:b/>
                <w:color w:val="000000"/>
                <w:sz w:val="16"/>
                <w:szCs w:val="16"/>
              </w:rPr>
            </w:pPr>
            <w:r w:rsidRPr="00510083">
              <w:rPr>
                <w:rFonts w:ascii="ITC Avant Garde" w:hAnsi="ITC Avant Garde"/>
                <w:b/>
                <w:color w:val="000000"/>
                <w:sz w:val="16"/>
                <w:szCs w:val="16"/>
              </w:rPr>
              <w:t>Parámetro</w:t>
            </w:r>
          </w:p>
        </w:tc>
        <w:tc>
          <w:tcPr>
            <w:tcW w:w="3020" w:type="dxa"/>
            <w:shd w:val="clear" w:color="auto" w:fill="70AD47" w:themeFill="accent6"/>
            <w:vAlign w:val="center"/>
            <w:hideMark/>
          </w:tcPr>
          <w:p w14:paraId="65A8D26D" w14:textId="77777777" w:rsidR="00A82BF4" w:rsidRPr="00510083" w:rsidRDefault="00A82BF4" w:rsidP="00510083">
            <w:pPr>
              <w:spacing w:after="0" w:line="240" w:lineRule="auto"/>
              <w:jc w:val="center"/>
              <w:rPr>
                <w:rFonts w:ascii="ITC Avant Garde" w:hAnsi="ITC Avant Garde"/>
                <w:b/>
                <w:bCs/>
                <w:color w:val="000000"/>
                <w:sz w:val="16"/>
                <w:szCs w:val="16"/>
              </w:rPr>
            </w:pPr>
            <w:r w:rsidRPr="00510083">
              <w:rPr>
                <w:rFonts w:ascii="ITC Avant Garde" w:hAnsi="ITC Avant Garde"/>
                <w:b/>
                <w:bCs/>
                <w:color w:val="000000"/>
                <w:sz w:val="16"/>
                <w:szCs w:val="16"/>
              </w:rPr>
              <w:t>Valor que adopta el parámetro</w:t>
            </w:r>
          </w:p>
        </w:tc>
      </w:tr>
      <w:tr w:rsidR="00A82BF4" w:rsidRPr="00510083" w14:paraId="5E867C30" w14:textId="77777777" w:rsidTr="00510083">
        <w:trPr>
          <w:trHeight w:val="300"/>
          <w:jc w:val="center"/>
        </w:trPr>
        <w:tc>
          <w:tcPr>
            <w:tcW w:w="3640" w:type="dxa"/>
            <w:shd w:val="clear" w:color="auto" w:fill="A8D08D" w:themeFill="accent6" w:themeFillTint="99"/>
          </w:tcPr>
          <w:p w14:paraId="71AC5148" w14:textId="77777777" w:rsidR="00A82BF4" w:rsidRPr="00510083" w:rsidRDefault="00A82BF4" w:rsidP="00510083">
            <w:pPr>
              <w:spacing w:after="0" w:line="240" w:lineRule="auto"/>
              <w:jc w:val="center"/>
              <w:rPr>
                <w:rFonts w:ascii="ITC Avant Garde" w:hAnsi="ITC Avant Garde"/>
                <w:b/>
                <w:color w:val="000000"/>
                <w:sz w:val="16"/>
                <w:szCs w:val="16"/>
              </w:rPr>
            </w:pPr>
            <w:r w:rsidRPr="00510083">
              <w:rPr>
                <w:rFonts w:ascii="ITC Avant Garde" w:hAnsi="ITC Avant Garde"/>
                <w:color w:val="000000"/>
                <w:sz w:val="16"/>
                <w:szCs w:val="16"/>
              </w:rPr>
              <w:t xml:space="preserve">Denominación comercial del satélite </w:t>
            </w:r>
          </w:p>
        </w:tc>
        <w:tc>
          <w:tcPr>
            <w:tcW w:w="3020" w:type="dxa"/>
            <w:shd w:val="clear" w:color="auto" w:fill="A8D08D" w:themeFill="accent6" w:themeFillTint="99"/>
          </w:tcPr>
          <w:p w14:paraId="7AB72154" w14:textId="77777777" w:rsidR="00A82BF4" w:rsidRPr="00510083" w:rsidRDefault="00A82BF4" w:rsidP="00510083">
            <w:pPr>
              <w:spacing w:after="0" w:line="240" w:lineRule="auto"/>
              <w:jc w:val="center"/>
              <w:rPr>
                <w:rFonts w:ascii="ITC Avant Garde" w:hAnsi="ITC Avant Garde"/>
                <w:bCs/>
                <w:color w:val="000000"/>
                <w:sz w:val="16"/>
                <w:szCs w:val="16"/>
              </w:rPr>
            </w:pPr>
            <w:r w:rsidRPr="00510083">
              <w:rPr>
                <w:rFonts w:ascii="ITC Avant Garde" w:hAnsi="ITC Avant Garde"/>
                <w:bCs/>
                <w:color w:val="000000"/>
                <w:sz w:val="16"/>
                <w:szCs w:val="16"/>
              </w:rPr>
              <w:t xml:space="preserve">SES–10 </w:t>
            </w:r>
          </w:p>
        </w:tc>
      </w:tr>
      <w:tr w:rsidR="00A82BF4" w:rsidRPr="00510083" w14:paraId="1589E86B" w14:textId="77777777" w:rsidTr="00510083">
        <w:trPr>
          <w:trHeight w:val="300"/>
          <w:jc w:val="center"/>
        </w:trPr>
        <w:tc>
          <w:tcPr>
            <w:tcW w:w="3640" w:type="dxa"/>
            <w:hideMark/>
          </w:tcPr>
          <w:p w14:paraId="68573432"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Red Satelital (expediente ante la UIT)</w:t>
            </w:r>
          </w:p>
        </w:tc>
        <w:tc>
          <w:tcPr>
            <w:tcW w:w="3020" w:type="dxa"/>
            <w:hideMark/>
          </w:tcPr>
          <w:p w14:paraId="747A5E8B"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SIMON BOLIVAR 2</w:t>
            </w:r>
          </w:p>
        </w:tc>
      </w:tr>
      <w:tr w:rsidR="00A82BF4" w:rsidRPr="00510083" w14:paraId="386C5239" w14:textId="77777777" w:rsidTr="00510083">
        <w:trPr>
          <w:trHeight w:val="300"/>
          <w:jc w:val="center"/>
        </w:trPr>
        <w:tc>
          <w:tcPr>
            <w:tcW w:w="3640" w:type="dxa"/>
            <w:shd w:val="clear" w:color="auto" w:fill="A8D08D" w:themeFill="accent6" w:themeFillTint="99"/>
          </w:tcPr>
          <w:p w14:paraId="0E420DBD" w14:textId="1275211D"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Administración notificante</w:t>
            </w:r>
          </w:p>
        </w:tc>
        <w:tc>
          <w:tcPr>
            <w:tcW w:w="3020" w:type="dxa"/>
            <w:shd w:val="clear" w:color="auto" w:fill="A8D08D" w:themeFill="accent6" w:themeFillTint="99"/>
          </w:tcPr>
          <w:p w14:paraId="1715BFD0" w14:textId="1D28E40E"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CLM / ASA</w:t>
            </w:r>
          </w:p>
        </w:tc>
      </w:tr>
      <w:tr w:rsidR="00A82BF4" w:rsidRPr="00510083" w14:paraId="5CCDF183" w14:textId="77777777" w:rsidTr="0037530E">
        <w:trPr>
          <w:trHeight w:val="300"/>
          <w:jc w:val="center"/>
        </w:trPr>
        <w:tc>
          <w:tcPr>
            <w:tcW w:w="3640" w:type="dxa"/>
            <w:tcBorders>
              <w:bottom w:val="single" w:sz="4" w:space="0" w:color="auto"/>
            </w:tcBorders>
            <w:hideMark/>
          </w:tcPr>
          <w:p w14:paraId="66A61654"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Posición orbital geoestacionaria</w:t>
            </w:r>
          </w:p>
        </w:tc>
        <w:tc>
          <w:tcPr>
            <w:tcW w:w="3020" w:type="dxa"/>
            <w:tcBorders>
              <w:bottom w:val="single" w:sz="4" w:space="0" w:color="auto"/>
            </w:tcBorders>
            <w:hideMark/>
          </w:tcPr>
          <w:p w14:paraId="0CB37CF8" w14:textId="77777777" w:rsidR="00A82BF4" w:rsidRPr="00510083" w:rsidRDefault="00A82BF4" w:rsidP="00510083">
            <w:pPr>
              <w:spacing w:after="0" w:line="240" w:lineRule="auto"/>
              <w:jc w:val="center"/>
              <w:rPr>
                <w:rFonts w:ascii="ITC Avant Garde" w:hAnsi="ITC Avant Garde"/>
                <w:sz w:val="16"/>
                <w:szCs w:val="16"/>
              </w:rPr>
            </w:pPr>
            <w:r w:rsidRPr="00510083">
              <w:rPr>
                <w:rFonts w:ascii="ITC Avant Garde" w:hAnsi="ITC Avant Garde"/>
                <w:sz w:val="16"/>
                <w:szCs w:val="16"/>
              </w:rPr>
              <w:t>67° longitud Oeste</w:t>
            </w:r>
          </w:p>
        </w:tc>
      </w:tr>
      <w:tr w:rsidR="0037530E" w:rsidRPr="00510083" w14:paraId="000792EC" w14:textId="77777777" w:rsidTr="0037530E">
        <w:trPr>
          <w:trHeight w:val="300"/>
          <w:jc w:val="center"/>
        </w:trPr>
        <w:tc>
          <w:tcPr>
            <w:tcW w:w="3640" w:type="dxa"/>
            <w:tcBorders>
              <w:left w:val="single" w:sz="4" w:space="0" w:color="auto"/>
              <w:right w:val="single" w:sz="4" w:space="0" w:color="auto"/>
            </w:tcBorders>
            <w:shd w:val="clear" w:color="auto" w:fill="70AD47" w:themeFill="accent6"/>
            <w:hideMark/>
          </w:tcPr>
          <w:p w14:paraId="37A5AF88" w14:textId="77777777" w:rsidR="0037530E" w:rsidRPr="00510083" w:rsidRDefault="0037530E" w:rsidP="0037530E">
            <w:pPr>
              <w:spacing w:after="0" w:line="240" w:lineRule="auto"/>
              <w:jc w:val="center"/>
              <w:rPr>
                <w:rFonts w:ascii="ITC Avant Garde" w:hAnsi="ITC Avant Garde"/>
                <w:b/>
                <w:color w:val="000000"/>
                <w:sz w:val="16"/>
                <w:szCs w:val="16"/>
              </w:rPr>
            </w:pPr>
            <w:r w:rsidRPr="00510083">
              <w:rPr>
                <w:rFonts w:ascii="ITC Avant Garde" w:hAnsi="ITC Avant Garde"/>
                <w:b/>
                <w:color w:val="000000"/>
                <w:sz w:val="16"/>
                <w:szCs w:val="16"/>
              </w:rPr>
              <w:t>Rango de frecuencias nominal (MHz)</w:t>
            </w:r>
          </w:p>
        </w:tc>
        <w:tc>
          <w:tcPr>
            <w:tcW w:w="3020" w:type="dxa"/>
            <w:tcBorders>
              <w:left w:val="single" w:sz="4" w:space="0" w:color="auto"/>
            </w:tcBorders>
            <w:shd w:val="clear" w:color="auto" w:fill="70AD47" w:themeFill="accent6"/>
          </w:tcPr>
          <w:p w14:paraId="63B70A00" w14:textId="56E3A5AB" w:rsidR="0037530E" w:rsidRPr="007D3EC9" w:rsidRDefault="0037530E" w:rsidP="0037530E">
            <w:pPr>
              <w:spacing w:after="0" w:line="240" w:lineRule="auto"/>
              <w:jc w:val="center"/>
              <w:rPr>
                <w:rFonts w:ascii="ITC Avant Garde" w:hAnsi="ITC Avant Garde"/>
                <w:b/>
                <w:color w:val="000000"/>
                <w:sz w:val="2"/>
                <w:szCs w:val="2"/>
              </w:rPr>
            </w:pPr>
            <w:r w:rsidRPr="00510083">
              <w:rPr>
                <w:rFonts w:ascii="ITC Avant Garde" w:hAnsi="ITC Avant Garde"/>
                <w:b/>
                <w:color w:val="000000"/>
                <w:sz w:val="16"/>
                <w:szCs w:val="16"/>
              </w:rPr>
              <w:t>Rango de frecuencias nominal (MHz)</w:t>
            </w:r>
          </w:p>
        </w:tc>
      </w:tr>
      <w:tr w:rsidR="0037530E" w:rsidRPr="00510083" w14:paraId="33323057" w14:textId="77777777" w:rsidTr="00510083">
        <w:trPr>
          <w:trHeight w:val="420"/>
          <w:jc w:val="center"/>
        </w:trPr>
        <w:tc>
          <w:tcPr>
            <w:tcW w:w="3640" w:type="dxa"/>
            <w:hideMark/>
          </w:tcPr>
          <w:p w14:paraId="3D9C10F2" w14:textId="77777777" w:rsidR="0037530E" w:rsidRPr="00510083" w:rsidRDefault="0037530E" w:rsidP="0037530E">
            <w:pPr>
              <w:spacing w:after="0" w:line="240" w:lineRule="auto"/>
              <w:jc w:val="right"/>
              <w:rPr>
                <w:rFonts w:ascii="ITC Avant Garde" w:hAnsi="ITC Avant Garde"/>
                <w:b/>
                <w:color w:val="000000"/>
                <w:sz w:val="16"/>
                <w:szCs w:val="16"/>
              </w:rPr>
            </w:pPr>
            <w:r w:rsidRPr="00510083">
              <w:rPr>
                <w:rFonts w:ascii="ITC Avant Garde" w:hAnsi="ITC Avant Garde"/>
                <w:color w:val="000000"/>
                <w:sz w:val="16"/>
                <w:szCs w:val="16"/>
              </w:rPr>
              <w:t>Enlace descendente (MHz)</w:t>
            </w:r>
            <w:r w:rsidRPr="00510083">
              <w:rPr>
                <w:rFonts w:ascii="ITC Avant Garde" w:hAnsi="ITC Avant Garde"/>
                <w:color w:val="000000"/>
                <w:sz w:val="16"/>
                <w:szCs w:val="16"/>
              </w:rPr>
              <w:br/>
              <w:t>(espacio – Tierra)</w:t>
            </w:r>
          </w:p>
        </w:tc>
        <w:tc>
          <w:tcPr>
            <w:tcW w:w="3020" w:type="dxa"/>
            <w:hideMark/>
          </w:tcPr>
          <w:p w14:paraId="31F22BA4" w14:textId="41EFFB25" w:rsidR="0037530E" w:rsidRPr="00510083" w:rsidRDefault="0037530E" w:rsidP="0037530E">
            <w:pPr>
              <w:spacing w:after="0" w:line="240" w:lineRule="auto"/>
              <w:jc w:val="center"/>
              <w:rPr>
                <w:rFonts w:ascii="ITC Avant Garde" w:hAnsi="ITC Avant Garde"/>
                <w:sz w:val="16"/>
                <w:szCs w:val="16"/>
              </w:rPr>
            </w:pPr>
            <w:r w:rsidRPr="00510083">
              <w:rPr>
                <w:rFonts w:ascii="ITC Avant Garde" w:hAnsi="ITC Avant Garde"/>
                <w:sz w:val="16"/>
                <w:szCs w:val="16"/>
              </w:rPr>
              <w:t xml:space="preserve">11450–11700 </w:t>
            </w:r>
            <w:r w:rsidRPr="00510083">
              <w:rPr>
                <w:rFonts w:ascii="ITC Avant Garde" w:hAnsi="ITC Avant Garde"/>
                <w:sz w:val="12"/>
                <w:szCs w:val="12"/>
              </w:rPr>
              <w:t xml:space="preserve">(banda </w:t>
            </w:r>
            <w:proofErr w:type="spellStart"/>
            <w:r w:rsidRPr="00510083">
              <w:rPr>
                <w:rFonts w:ascii="ITC Avant Garde" w:hAnsi="ITC Avant Garde"/>
                <w:sz w:val="12"/>
                <w:szCs w:val="12"/>
              </w:rPr>
              <w:t>Ku</w:t>
            </w:r>
            <w:proofErr w:type="spellEnd"/>
            <w:r w:rsidRPr="00510083">
              <w:rPr>
                <w:rFonts w:ascii="ITC Avant Garde" w:hAnsi="ITC Avant Garde"/>
                <w:sz w:val="12"/>
                <w:szCs w:val="12"/>
              </w:rPr>
              <w:t xml:space="preserve"> </w:t>
            </w:r>
            <w:proofErr w:type="spellStart"/>
            <w:r w:rsidRPr="00510083">
              <w:rPr>
                <w:rFonts w:ascii="ITC Avant Garde" w:hAnsi="ITC Avant Garde"/>
                <w:sz w:val="12"/>
                <w:szCs w:val="12"/>
              </w:rPr>
              <w:t>ext</w:t>
            </w:r>
            <w:proofErr w:type="spellEnd"/>
            <w:r w:rsidRPr="00510083">
              <w:rPr>
                <w:rFonts w:ascii="ITC Avant Garde" w:hAnsi="ITC Avant Garde"/>
                <w:sz w:val="12"/>
                <w:szCs w:val="12"/>
              </w:rPr>
              <w:t>)</w:t>
            </w:r>
          </w:p>
          <w:p w14:paraId="4D182AE3" w14:textId="5F7462E0" w:rsidR="0037530E" w:rsidRPr="00510083" w:rsidRDefault="0037530E" w:rsidP="0037530E">
            <w:pPr>
              <w:spacing w:after="0" w:line="240" w:lineRule="auto"/>
              <w:jc w:val="center"/>
              <w:rPr>
                <w:rFonts w:ascii="ITC Avant Garde" w:hAnsi="ITC Avant Garde"/>
                <w:sz w:val="16"/>
                <w:szCs w:val="16"/>
              </w:rPr>
            </w:pPr>
            <w:r w:rsidRPr="00510083">
              <w:rPr>
                <w:rFonts w:ascii="ITC Avant Garde" w:hAnsi="ITC Avant Garde"/>
                <w:sz w:val="16"/>
                <w:szCs w:val="16"/>
              </w:rPr>
              <w:t xml:space="preserve">11700–12200 </w:t>
            </w:r>
            <w:r w:rsidRPr="00510083">
              <w:rPr>
                <w:rFonts w:ascii="ITC Avant Garde" w:hAnsi="ITC Avant Garde"/>
                <w:sz w:val="12"/>
                <w:szCs w:val="12"/>
              </w:rPr>
              <w:t xml:space="preserve">(banda </w:t>
            </w:r>
            <w:proofErr w:type="spellStart"/>
            <w:r w:rsidRPr="00510083">
              <w:rPr>
                <w:rFonts w:ascii="ITC Avant Garde" w:hAnsi="ITC Avant Garde"/>
                <w:sz w:val="12"/>
                <w:szCs w:val="12"/>
              </w:rPr>
              <w:t>Ku</w:t>
            </w:r>
            <w:proofErr w:type="spellEnd"/>
            <w:r w:rsidRPr="00510083">
              <w:rPr>
                <w:rFonts w:ascii="ITC Avant Garde" w:hAnsi="ITC Avant Garde"/>
                <w:sz w:val="12"/>
                <w:szCs w:val="12"/>
              </w:rPr>
              <w:t>)</w:t>
            </w:r>
          </w:p>
        </w:tc>
      </w:tr>
      <w:tr w:rsidR="0037530E" w:rsidRPr="00510083" w14:paraId="22741958" w14:textId="77777777" w:rsidTr="00510083">
        <w:trPr>
          <w:trHeight w:val="215"/>
          <w:jc w:val="center"/>
        </w:trPr>
        <w:tc>
          <w:tcPr>
            <w:tcW w:w="3640" w:type="dxa"/>
            <w:hideMark/>
          </w:tcPr>
          <w:p w14:paraId="27754655" w14:textId="77777777" w:rsidR="0037530E" w:rsidRPr="00510083" w:rsidRDefault="0037530E" w:rsidP="0037530E">
            <w:pPr>
              <w:spacing w:after="0" w:line="240" w:lineRule="auto"/>
              <w:jc w:val="right"/>
              <w:rPr>
                <w:rFonts w:ascii="ITC Avant Garde" w:hAnsi="ITC Avant Garde"/>
                <w:b/>
                <w:color w:val="000000"/>
                <w:sz w:val="16"/>
                <w:szCs w:val="16"/>
              </w:rPr>
            </w:pPr>
            <w:r w:rsidRPr="00510083">
              <w:rPr>
                <w:rFonts w:ascii="ITC Avant Garde" w:hAnsi="ITC Avant Garde"/>
                <w:color w:val="000000"/>
                <w:sz w:val="16"/>
                <w:szCs w:val="16"/>
              </w:rPr>
              <w:t>Enlace ascendente (MHz)</w:t>
            </w:r>
            <w:r w:rsidRPr="00510083">
              <w:rPr>
                <w:rFonts w:ascii="ITC Avant Garde" w:hAnsi="ITC Avant Garde"/>
                <w:color w:val="000000"/>
                <w:sz w:val="16"/>
                <w:szCs w:val="16"/>
              </w:rPr>
              <w:br/>
              <w:t>(Tierra – espacio)</w:t>
            </w:r>
          </w:p>
        </w:tc>
        <w:tc>
          <w:tcPr>
            <w:tcW w:w="3020" w:type="dxa"/>
            <w:hideMark/>
          </w:tcPr>
          <w:p w14:paraId="591804B7" w14:textId="5C217A0E" w:rsidR="0037530E" w:rsidRPr="00510083" w:rsidRDefault="0037530E" w:rsidP="0037530E">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13750</w:t>
            </w:r>
            <w:r w:rsidRPr="00510083">
              <w:rPr>
                <w:rFonts w:ascii="ITC Avant Garde" w:hAnsi="ITC Avant Garde"/>
                <w:sz w:val="16"/>
                <w:szCs w:val="16"/>
              </w:rPr>
              <w:t>–</w:t>
            </w:r>
            <w:r w:rsidRPr="00510083">
              <w:rPr>
                <w:rFonts w:ascii="ITC Avant Garde" w:hAnsi="ITC Avant Garde"/>
                <w:color w:val="000000"/>
                <w:sz w:val="16"/>
                <w:szCs w:val="16"/>
              </w:rPr>
              <w:t xml:space="preserve">14000 </w:t>
            </w:r>
            <w:r w:rsidRPr="00510083">
              <w:rPr>
                <w:rFonts w:ascii="ITC Avant Garde" w:hAnsi="ITC Avant Garde"/>
                <w:sz w:val="12"/>
                <w:szCs w:val="12"/>
              </w:rPr>
              <w:t xml:space="preserve">(banda </w:t>
            </w:r>
            <w:proofErr w:type="spellStart"/>
            <w:r w:rsidRPr="00510083">
              <w:rPr>
                <w:rFonts w:ascii="ITC Avant Garde" w:hAnsi="ITC Avant Garde"/>
                <w:sz w:val="12"/>
                <w:szCs w:val="12"/>
              </w:rPr>
              <w:t>Ku</w:t>
            </w:r>
            <w:proofErr w:type="spellEnd"/>
            <w:r w:rsidRPr="00510083">
              <w:rPr>
                <w:rFonts w:ascii="ITC Avant Garde" w:hAnsi="ITC Avant Garde"/>
                <w:sz w:val="12"/>
                <w:szCs w:val="12"/>
              </w:rPr>
              <w:t xml:space="preserve"> </w:t>
            </w:r>
            <w:proofErr w:type="spellStart"/>
            <w:r w:rsidRPr="00510083">
              <w:rPr>
                <w:rFonts w:ascii="ITC Avant Garde" w:hAnsi="ITC Avant Garde"/>
                <w:sz w:val="12"/>
                <w:szCs w:val="12"/>
              </w:rPr>
              <w:t>ext</w:t>
            </w:r>
            <w:proofErr w:type="spellEnd"/>
            <w:r w:rsidRPr="00510083">
              <w:rPr>
                <w:rFonts w:ascii="ITC Avant Garde" w:hAnsi="ITC Avant Garde"/>
                <w:sz w:val="12"/>
                <w:szCs w:val="12"/>
              </w:rPr>
              <w:t>)</w:t>
            </w:r>
          </w:p>
          <w:p w14:paraId="0979D885" w14:textId="73366555" w:rsidR="0037530E" w:rsidRPr="00510083" w:rsidRDefault="0037530E" w:rsidP="0037530E">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14000</w:t>
            </w:r>
            <w:r w:rsidRPr="00510083">
              <w:rPr>
                <w:rFonts w:ascii="ITC Avant Garde" w:hAnsi="ITC Avant Garde"/>
                <w:sz w:val="16"/>
                <w:szCs w:val="16"/>
              </w:rPr>
              <w:t>–</w:t>
            </w:r>
            <w:r w:rsidRPr="00510083">
              <w:rPr>
                <w:rFonts w:ascii="ITC Avant Garde" w:hAnsi="ITC Avant Garde"/>
                <w:color w:val="000000"/>
                <w:sz w:val="16"/>
                <w:szCs w:val="16"/>
              </w:rPr>
              <w:t xml:space="preserve">14500 </w:t>
            </w:r>
            <w:r w:rsidRPr="00510083">
              <w:rPr>
                <w:rFonts w:ascii="ITC Avant Garde" w:hAnsi="ITC Avant Garde"/>
                <w:sz w:val="12"/>
                <w:szCs w:val="12"/>
              </w:rPr>
              <w:t xml:space="preserve">(banda </w:t>
            </w:r>
            <w:proofErr w:type="spellStart"/>
            <w:r w:rsidRPr="00510083">
              <w:rPr>
                <w:rFonts w:ascii="ITC Avant Garde" w:hAnsi="ITC Avant Garde"/>
                <w:sz w:val="12"/>
                <w:szCs w:val="12"/>
              </w:rPr>
              <w:t>Ku</w:t>
            </w:r>
            <w:proofErr w:type="spellEnd"/>
            <w:r w:rsidRPr="00510083">
              <w:rPr>
                <w:rFonts w:ascii="ITC Avant Garde" w:hAnsi="ITC Avant Garde"/>
                <w:sz w:val="12"/>
                <w:szCs w:val="12"/>
              </w:rPr>
              <w:t>)</w:t>
            </w:r>
          </w:p>
        </w:tc>
      </w:tr>
      <w:tr w:rsidR="0037530E" w:rsidRPr="00510083" w14:paraId="691F7359" w14:textId="77777777" w:rsidTr="00510083">
        <w:trPr>
          <w:trHeight w:val="221"/>
          <w:jc w:val="center"/>
        </w:trPr>
        <w:tc>
          <w:tcPr>
            <w:tcW w:w="3640" w:type="dxa"/>
            <w:noWrap/>
            <w:hideMark/>
          </w:tcPr>
          <w:p w14:paraId="5AFD1331" w14:textId="77777777" w:rsidR="0037530E" w:rsidRPr="00510083" w:rsidRDefault="0037530E" w:rsidP="0037530E">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Atribución correspondiente de la banda conforme al CNAF</w:t>
            </w:r>
          </w:p>
        </w:tc>
        <w:tc>
          <w:tcPr>
            <w:tcW w:w="3020" w:type="dxa"/>
            <w:hideMark/>
          </w:tcPr>
          <w:p w14:paraId="39D630EB" w14:textId="77777777" w:rsidR="0037530E" w:rsidRPr="00510083" w:rsidRDefault="0037530E" w:rsidP="0037530E">
            <w:pPr>
              <w:spacing w:after="0" w:line="240" w:lineRule="auto"/>
              <w:jc w:val="center"/>
              <w:rPr>
                <w:rFonts w:ascii="ITC Avant Garde" w:hAnsi="ITC Avant Garde"/>
                <w:sz w:val="16"/>
                <w:szCs w:val="16"/>
              </w:rPr>
            </w:pPr>
            <w:r w:rsidRPr="00510083">
              <w:rPr>
                <w:rFonts w:ascii="ITC Avant Garde" w:hAnsi="ITC Avant Garde"/>
                <w:sz w:val="16"/>
                <w:szCs w:val="16"/>
              </w:rPr>
              <w:t>Fijo por Satélite</w:t>
            </w:r>
          </w:p>
        </w:tc>
      </w:tr>
      <w:tr w:rsidR="0037530E" w:rsidRPr="00510083" w14:paraId="2618FC25" w14:textId="77777777" w:rsidTr="00510083">
        <w:trPr>
          <w:trHeight w:val="348"/>
          <w:jc w:val="center"/>
        </w:trPr>
        <w:tc>
          <w:tcPr>
            <w:tcW w:w="3640" w:type="dxa"/>
            <w:noWrap/>
            <w:hideMark/>
          </w:tcPr>
          <w:p w14:paraId="7698FE36" w14:textId="77777777" w:rsidR="0037530E" w:rsidRPr="00510083" w:rsidRDefault="0037530E" w:rsidP="0037530E">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Zona de servicio indicada</w:t>
            </w:r>
          </w:p>
        </w:tc>
        <w:tc>
          <w:tcPr>
            <w:tcW w:w="3020" w:type="dxa"/>
            <w:hideMark/>
          </w:tcPr>
          <w:p w14:paraId="665D587F" w14:textId="4E2DB122" w:rsidR="0037530E" w:rsidRPr="00510083" w:rsidRDefault="0037530E" w:rsidP="0037530E">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 xml:space="preserve">Cubre el territorio </w:t>
            </w:r>
            <w:proofErr w:type="spellStart"/>
            <w:r w:rsidRPr="00510083">
              <w:rPr>
                <w:rFonts w:ascii="ITC Avant Garde" w:hAnsi="ITC Avant Garde"/>
                <w:color w:val="000000"/>
                <w:sz w:val="16"/>
                <w:szCs w:val="16"/>
              </w:rPr>
              <w:t>nacinal</w:t>
            </w:r>
            <w:proofErr w:type="spellEnd"/>
          </w:p>
        </w:tc>
      </w:tr>
      <w:tr w:rsidR="0037530E" w:rsidRPr="00510083" w14:paraId="3FF1A9F2" w14:textId="77777777" w:rsidTr="00510083">
        <w:trPr>
          <w:trHeight w:val="420"/>
          <w:jc w:val="center"/>
        </w:trPr>
        <w:tc>
          <w:tcPr>
            <w:tcW w:w="3640" w:type="dxa"/>
            <w:noWrap/>
            <w:hideMark/>
          </w:tcPr>
          <w:p w14:paraId="278DE285" w14:textId="77777777" w:rsidR="0037530E" w:rsidRPr="00510083" w:rsidRDefault="0037530E" w:rsidP="0037530E">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Tipo de polarización</w:t>
            </w:r>
          </w:p>
        </w:tc>
        <w:tc>
          <w:tcPr>
            <w:tcW w:w="3020" w:type="dxa"/>
            <w:hideMark/>
          </w:tcPr>
          <w:p w14:paraId="0937E24F" w14:textId="49F1554B" w:rsidR="0037530E" w:rsidRPr="00510083" w:rsidRDefault="0037530E" w:rsidP="0037530E">
            <w:pPr>
              <w:pStyle w:val="Prrafodelista"/>
              <w:numPr>
                <w:ilvl w:val="0"/>
                <w:numId w:val="18"/>
              </w:numPr>
              <w:ind w:left="925"/>
              <w:contextualSpacing/>
              <w:jc w:val="both"/>
              <w:rPr>
                <w:rFonts w:ascii="ITC Avant Garde" w:hAnsi="ITC Avant Garde"/>
                <w:color w:val="000000"/>
                <w:sz w:val="16"/>
                <w:szCs w:val="16"/>
              </w:rPr>
            </w:pPr>
            <w:r w:rsidRPr="00510083">
              <w:rPr>
                <w:rFonts w:ascii="ITC Avant Garde" w:hAnsi="ITC Avant Garde"/>
                <w:color w:val="000000"/>
                <w:sz w:val="16"/>
                <w:szCs w:val="16"/>
              </w:rPr>
              <w:t xml:space="preserve">Horizontal </w:t>
            </w:r>
            <w:proofErr w:type="spellStart"/>
            <w:r w:rsidRPr="00510083">
              <w:rPr>
                <w:rFonts w:ascii="ITC Avant Garde" w:hAnsi="ITC Avant Garde"/>
                <w:color w:val="000000"/>
                <w:sz w:val="16"/>
                <w:szCs w:val="16"/>
              </w:rPr>
              <w:t>LinealVertical</w:t>
            </w:r>
            <w:proofErr w:type="spellEnd"/>
            <w:r w:rsidRPr="00510083">
              <w:rPr>
                <w:rFonts w:ascii="ITC Avant Garde" w:hAnsi="ITC Avant Garde"/>
                <w:color w:val="000000"/>
                <w:sz w:val="16"/>
                <w:szCs w:val="16"/>
              </w:rPr>
              <w:t xml:space="preserve"> Lineal</w:t>
            </w:r>
          </w:p>
        </w:tc>
      </w:tr>
      <w:tr w:rsidR="0037530E" w:rsidRPr="00510083" w14:paraId="4933B818" w14:textId="77777777" w:rsidTr="00510083">
        <w:trPr>
          <w:trHeight w:val="300"/>
          <w:jc w:val="center"/>
        </w:trPr>
        <w:tc>
          <w:tcPr>
            <w:tcW w:w="3640" w:type="dxa"/>
            <w:noWrap/>
            <w:hideMark/>
          </w:tcPr>
          <w:p w14:paraId="35117A10" w14:textId="55515769" w:rsidR="0037530E" w:rsidRPr="00510083" w:rsidRDefault="0037530E" w:rsidP="0037530E">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Capacidad total</w:t>
            </w:r>
          </w:p>
        </w:tc>
        <w:tc>
          <w:tcPr>
            <w:tcW w:w="3020" w:type="dxa"/>
            <w:noWrap/>
            <w:hideMark/>
          </w:tcPr>
          <w:p w14:paraId="7A8486C9" w14:textId="77777777" w:rsidR="0037530E" w:rsidRPr="00510083" w:rsidRDefault="0037530E" w:rsidP="0037530E">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 xml:space="preserve">750 MHz x 2 </w:t>
            </w:r>
          </w:p>
        </w:tc>
      </w:tr>
      <w:tr w:rsidR="0037530E" w:rsidRPr="00510083" w14:paraId="5AB5D66C" w14:textId="77777777" w:rsidTr="00510083">
        <w:trPr>
          <w:trHeight w:val="1056"/>
          <w:jc w:val="center"/>
        </w:trPr>
        <w:tc>
          <w:tcPr>
            <w:tcW w:w="3640" w:type="dxa"/>
            <w:hideMark/>
          </w:tcPr>
          <w:p w14:paraId="602A39EC" w14:textId="77777777" w:rsidR="0037530E" w:rsidRPr="00510083" w:rsidRDefault="0037530E" w:rsidP="0037530E">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Ganancia isotrópica de la antena de transmisión en la dirección de radiación máxima (</w:t>
            </w:r>
            <w:proofErr w:type="spellStart"/>
            <w:r w:rsidRPr="00510083">
              <w:rPr>
                <w:rFonts w:ascii="ITC Avant Garde" w:hAnsi="ITC Avant Garde"/>
                <w:color w:val="000000"/>
                <w:sz w:val="16"/>
                <w:szCs w:val="16"/>
              </w:rPr>
              <w:t>dBi</w:t>
            </w:r>
            <w:proofErr w:type="spellEnd"/>
            <w:r w:rsidRPr="00510083">
              <w:rPr>
                <w:rFonts w:ascii="ITC Avant Garde" w:hAnsi="ITC Avant Garde"/>
                <w:color w:val="000000"/>
                <w:sz w:val="16"/>
                <w:szCs w:val="16"/>
              </w:rPr>
              <w:t>)</w:t>
            </w:r>
            <w:r w:rsidRPr="00510083">
              <w:rPr>
                <w:rFonts w:ascii="ITC Avant Garde" w:hAnsi="ITC Avant Garde"/>
                <w:color w:val="000000"/>
                <w:sz w:val="16"/>
                <w:szCs w:val="16"/>
              </w:rPr>
              <w:br/>
            </w:r>
            <w:r w:rsidRPr="00510083">
              <w:rPr>
                <w:rFonts w:ascii="ITC Avant Garde" w:hAnsi="ITC Avant Garde"/>
                <w:color w:val="000000"/>
                <w:sz w:val="14"/>
                <w:szCs w:val="14"/>
              </w:rPr>
              <w:t>(este valor podrá variar en tanto no se exceda el valor de P.I.R.E indicado)</w:t>
            </w:r>
          </w:p>
        </w:tc>
        <w:tc>
          <w:tcPr>
            <w:tcW w:w="3020" w:type="dxa"/>
            <w:noWrap/>
          </w:tcPr>
          <w:p w14:paraId="4EFCFE55" w14:textId="77777777" w:rsidR="0037530E" w:rsidRPr="00510083" w:rsidRDefault="0037530E" w:rsidP="0037530E">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42</w:t>
            </w:r>
          </w:p>
        </w:tc>
      </w:tr>
      <w:tr w:rsidR="0037530E" w:rsidRPr="00510083" w14:paraId="26C7FA2A" w14:textId="77777777" w:rsidTr="00510083">
        <w:trPr>
          <w:trHeight w:val="516"/>
          <w:jc w:val="center"/>
        </w:trPr>
        <w:tc>
          <w:tcPr>
            <w:tcW w:w="3640" w:type="dxa"/>
            <w:hideMark/>
          </w:tcPr>
          <w:p w14:paraId="0CEFDB62" w14:textId="77777777" w:rsidR="0037530E" w:rsidRPr="00510083" w:rsidRDefault="0037530E" w:rsidP="0037530E">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Potencia Isótropa Radiada Equivalente (P.I.R.E) máximo (</w:t>
            </w:r>
            <w:proofErr w:type="spellStart"/>
            <w:r w:rsidRPr="00510083">
              <w:rPr>
                <w:rFonts w:ascii="ITC Avant Garde" w:hAnsi="ITC Avant Garde"/>
                <w:color w:val="000000"/>
                <w:sz w:val="16"/>
                <w:szCs w:val="16"/>
              </w:rPr>
              <w:t>dBW</w:t>
            </w:r>
            <w:proofErr w:type="spellEnd"/>
            <w:r w:rsidRPr="00510083">
              <w:rPr>
                <w:rFonts w:ascii="ITC Avant Garde" w:hAnsi="ITC Avant Garde"/>
                <w:color w:val="000000"/>
                <w:sz w:val="16"/>
                <w:szCs w:val="16"/>
              </w:rPr>
              <w:t>)</w:t>
            </w:r>
          </w:p>
        </w:tc>
        <w:tc>
          <w:tcPr>
            <w:tcW w:w="3020" w:type="dxa"/>
            <w:noWrap/>
            <w:hideMark/>
          </w:tcPr>
          <w:p w14:paraId="68BFF286" w14:textId="77777777" w:rsidR="0037530E" w:rsidRPr="00510083" w:rsidRDefault="0037530E" w:rsidP="0037530E">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53</w:t>
            </w:r>
          </w:p>
        </w:tc>
      </w:tr>
    </w:tbl>
    <w:p w14:paraId="70A9AD58" w14:textId="77777777" w:rsidR="00510083" w:rsidRDefault="00510083" w:rsidP="00510083">
      <w:pPr>
        <w:autoSpaceDE w:val="0"/>
        <w:autoSpaceDN w:val="0"/>
        <w:adjustRightInd w:val="0"/>
        <w:spacing w:before="240" w:after="240" w:line="240" w:lineRule="auto"/>
        <w:jc w:val="center"/>
        <w:rPr>
          <w:rFonts w:ascii="ITC Avant Garde" w:hAnsi="ITC Avant Garde" w:cs="Tahoma"/>
          <w:b/>
          <w:bCs/>
          <w:color w:val="000000"/>
          <w:lang w:eastAsia="es-MX"/>
        </w:rPr>
      </w:pPr>
      <w:r>
        <w:rPr>
          <w:rFonts w:ascii="ITC Avant Garde" w:hAnsi="ITC Avant Garde" w:cs="Tahoma"/>
          <w:b/>
          <w:bCs/>
          <w:color w:val="000000"/>
          <w:lang w:eastAsia="es-MX"/>
        </w:rPr>
        <w:br w:type="page"/>
      </w:r>
    </w:p>
    <w:p w14:paraId="61527735" w14:textId="3FA67A2C" w:rsidR="00A82BF4" w:rsidRPr="00510083" w:rsidRDefault="00A82BF4" w:rsidP="00510083">
      <w:pPr>
        <w:autoSpaceDE w:val="0"/>
        <w:autoSpaceDN w:val="0"/>
        <w:adjustRightInd w:val="0"/>
        <w:spacing w:before="240" w:after="240" w:line="240" w:lineRule="auto"/>
        <w:jc w:val="center"/>
        <w:rPr>
          <w:rFonts w:ascii="ITC Avant Garde" w:hAnsi="ITC Avant Garde" w:cs="Tahoma"/>
          <w:b/>
          <w:bCs/>
          <w:color w:val="000000"/>
          <w:lang w:eastAsia="es-MX"/>
        </w:rPr>
      </w:pPr>
      <w:r w:rsidRPr="00510083">
        <w:rPr>
          <w:rFonts w:ascii="ITC Avant Garde" w:hAnsi="ITC Avant Garde" w:cs="Tahoma"/>
          <w:b/>
          <w:bCs/>
          <w:color w:val="000000"/>
          <w:lang w:eastAsia="es-MX"/>
        </w:rPr>
        <w:lastRenderedPageBreak/>
        <w:t>Zona de servicio indicativa</w:t>
      </w:r>
    </w:p>
    <w:p w14:paraId="167E78C3" w14:textId="77777777" w:rsidR="00510083" w:rsidRPr="00510083" w:rsidRDefault="00A82BF4" w:rsidP="00510083">
      <w:pPr>
        <w:autoSpaceDE w:val="0"/>
        <w:autoSpaceDN w:val="0"/>
        <w:adjustRightInd w:val="0"/>
        <w:spacing w:before="240" w:after="240" w:line="240" w:lineRule="auto"/>
        <w:jc w:val="center"/>
        <w:rPr>
          <w:rFonts w:ascii="ITC Avant Garde" w:hAnsi="ITC Avant Garde" w:cs="Tahoma"/>
          <w:b/>
          <w:bCs/>
          <w:color w:val="000000"/>
          <w:lang w:eastAsia="es-MX"/>
        </w:rPr>
      </w:pPr>
      <w:r w:rsidRPr="00510083">
        <w:rPr>
          <w:rFonts w:ascii="ITC Avant Garde" w:hAnsi="ITC Avant Garde" w:cs="Tahoma"/>
          <w:b/>
          <w:bCs/>
          <w:color w:val="000000"/>
          <w:lang w:eastAsia="es-MX"/>
        </w:rPr>
        <w:t>SIMON BOLIVAR 2</w:t>
      </w:r>
    </w:p>
    <w:p w14:paraId="7B820914" w14:textId="77777777" w:rsidR="00510083" w:rsidRDefault="00A82BF4" w:rsidP="00510083">
      <w:pPr>
        <w:autoSpaceDE w:val="0"/>
        <w:autoSpaceDN w:val="0"/>
        <w:adjustRightInd w:val="0"/>
        <w:spacing w:before="240" w:after="240" w:line="240" w:lineRule="auto"/>
        <w:jc w:val="center"/>
        <w:rPr>
          <w:rFonts w:ascii="ITC Avant Garde" w:eastAsia="Times New Roman" w:hAnsi="ITC Avant Garde"/>
          <w:sz w:val="16"/>
          <w:szCs w:val="16"/>
        </w:rPr>
      </w:pPr>
      <w:r w:rsidRPr="00510083">
        <w:rPr>
          <w:rFonts w:ascii="ITC Avant Garde" w:hAnsi="ITC Avant Garde" w:cs="Tahoma"/>
          <w:bCs/>
          <w:noProof/>
          <w:color w:val="000000"/>
          <w:lang w:eastAsia="es-MX"/>
        </w:rPr>
        <w:drawing>
          <wp:inline distT="0" distB="0" distL="0" distR="0" wp14:anchorId="375FC2C1" wp14:editId="175AE752">
            <wp:extent cx="2173115" cy="2171700"/>
            <wp:effectExtent l="0" t="0" r="0" b="0"/>
            <wp:docPr id="5" name="Imagen 5" descr="La imagen muestra globo terráqueo con la zona de servicio indicativa." title="Zona de servicio ind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854" cy="2178435"/>
                    </a:xfrm>
                    <a:prstGeom prst="rect">
                      <a:avLst/>
                    </a:prstGeom>
                    <a:noFill/>
                    <a:ln>
                      <a:noFill/>
                    </a:ln>
                  </pic:spPr>
                </pic:pic>
              </a:graphicData>
            </a:graphic>
          </wp:inline>
        </w:drawing>
      </w:r>
    </w:p>
    <w:p w14:paraId="64812FDE" w14:textId="46A347EA" w:rsidR="000071D4" w:rsidRPr="00510083" w:rsidRDefault="00510083" w:rsidP="00510083">
      <w:pPr>
        <w:autoSpaceDE w:val="0"/>
        <w:autoSpaceDN w:val="0"/>
        <w:adjustRightInd w:val="0"/>
        <w:spacing w:before="240" w:after="240" w:line="240" w:lineRule="auto"/>
        <w:jc w:val="center"/>
        <w:rPr>
          <w:rFonts w:ascii="ITC Avant Garde" w:hAnsi="ITC Avant Garde" w:cs="Tahoma"/>
          <w:b/>
          <w:bCs/>
          <w:color w:val="000000"/>
          <w:lang w:eastAsia="es-MX"/>
        </w:rPr>
      </w:pPr>
      <w:r w:rsidRPr="00510083">
        <w:rPr>
          <w:rFonts w:ascii="ITC Avant Garde" w:eastAsia="Times New Roman" w:hAnsi="ITC Avant Garde"/>
          <w:b/>
          <w:sz w:val="16"/>
          <w:szCs w:val="16"/>
        </w:rPr>
        <w:t>CARACTERÍSTICAS GENERALES Y ESPECIFICACIONES TÉCNICAS</w:t>
      </w:r>
    </w:p>
    <w:tbl>
      <w:tblPr>
        <w:tblStyle w:val="Tablaconcuadrcula"/>
        <w:tblW w:w="6660" w:type="dxa"/>
        <w:jc w:val="center"/>
        <w:tblLook w:val="04A0" w:firstRow="1" w:lastRow="0" w:firstColumn="1" w:lastColumn="0" w:noHBand="0" w:noVBand="1"/>
        <w:tblCaption w:val="CARACTERÍSTICAS GENERALES Y ESPECIFICACIONES TÉCNICAS"/>
        <w:tblDescription w:val="En una tabla de 2 columnas, se proporciona del lado izquierdo los parámetros y del lado derecho los valores que adopta el parámetro, así como los rangos de frecuencias nominales en MHz."/>
      </w:tblPr>
      <w:tblGrid>
        <w:gridCol w:w="3640"/>
        <w:gridCol w:w="3020"/>
      </w:tblGrid>
      <w:tr w:rsidR="00A82BF4" w:rsidRPr="00510083" w14:paraId="6A3E3BC3" w14:textId="77777777" w:rsidTr="007D3EC9">
        <w:trPr>
          <w:trHeight w:val="300"/>
          <w:tblHeader/>
          <w:jc w:val="center"/>
        </w:trPr>
        <w:tc>
          <w:tcPr>
            <w:tcW w:w="3640" w:type="dxa"/>
            <w:shd w:val="clear" w:color="auto" w:fill="70AD47" w:themeFill="accent6"/>
            <w:hideMark/>
          </w:tcPr>
          <w:p w14:paraId="55C77ADB" w14:textId="77777777" w:rsidR="00A82BF4" w:rsidRPr="00510083" w:rsidRDefault="00A82BF4" w:rsidP="00510083">
            <w:pPr>
              <w:spacing w:after="0" w:line="240" w:lineRule="auto"/>
              <w:jc w:val="center"/>
              <w:rPr>
                <w:rFonts w:ascii="ITC Avant Garde" w:hAnsi="ITC Avant Garde"/>
                <w:b/>
                <w:color w:val="000000"/>
                <w:sz w:val="16"/>
                <w:szCs w:val="16"/>
              </w:rPr>
            </w:pPr>
            <w:r w:rsidRPr="00510083">
              <w:rPr>
                <w:rFonts w:ascii="ITC Avant Garde" w:hAnsi="ITC Avant Garde"/>
                <w:b/>
                <w:color w:val="000000"/>
                <w:sz w:val="16"/>
                <w:szCs w:val="16"/>
              </w:rPr>
              <w:t>Parámetro</w:t>
            </w:r>
          </w:p>
        </w:tc>
        <w:tc>
          <w:tcPr>
            <w:tcW w:w="3020" w:type="dxa"/>
            <w:shd w:val="clear" w:color="auto" w:fill="70AD47" w:themeFill="accent6"/>
            <w:hideMark/>
          </w:tcPr>
          <w:p w14:paraId="60C1148C" w14:textId="77777777" w:rsidR="00A82BF4" w:rsidRPr="00510083" w:rsidRDefault="00A82BF4" w:rsidP="00510083">
            <w:pPr>
              <w:spacing w:after="0" w:line="240" w:lineRule="auto"/>
              <w:jc w:val="center"/>
              <w:rPr>
                <w:rFonts w:ascii="ITC Avant Garde" w:hAnsi="ITC Avant Garde"/>
                <w:b/>
                <w:bCs/>
                <w:color w:val="000000"/>
                <w:sz w:val="16"/>
                <w:szCs w:val="16"/>
              </w:rPr>
            </w:pPr>
            <w:r w:rsidRPr="00510083">
              <w:rPr>
                <w:rFonts w:ascii="ITC Avant Garde" w:hAnsi="ITC Avant Garde"/>
                <w:b/>
                <w:bCs/>
                <w:color w:val="000000"/>
                <w:sz w:val="16"/>
                <w:szCs w:val="16"/>
              </w:rPr>
              <w:t>Valor que adopta el parámetro</w:t>
            </w:r>
          </w:p>
        </w:tc>
      </w:tr>
      <w:tr w:rsidR="00A82BF4" w:rsidRPr="00510083" w14:paraId="33BB2E11" w14:textId="77777777" w:rsidTr="007D3EC9">
        <w:trPr>
          <w:trHeight w:val="300"/>
          <w:tblHeader/>
          <w:jc w:val="center"/>
        </w:trPr>
        <w:tc>
          <w:tcPr>
            <w:tcW w:w="3640" w:type="dxa"/>
          </w:tcPr>
          <w:p w14:paraId="7087A02C" w14:textId="77777777" w:rsidR="00A82BF4" w:rsidRPr="00510083" w:rsidRDefault="00A82BF4" w:rsidP="00510083">
            <w:pPr>
              <w:spacing w:after="0" w:line="240" w:lineRule="auto"/>
              <w:jc w:val="center"/>
              <w:rPr>
                <w:rFonts w:ascii="ITC Avant Garde" w:hAnsi="ITC Avant Garde"/>
                <w:b/>
                <w:color w:val="000000"/>
                <w:sz w:val="16"/>
                <w:szCs w:val="16"/>
              </w:rPr>
            </w:pPr>
            <w:r w:rsidRPr="00510083">
              <w:rPr>
                <w:rFonts w:ascii="ITC Avant Garde" w:hAnsi="ITC Avant Garde"/>
                <w:color w:val="000000"/>
                <w:sz w:val="16"/>
                <w:szCs w:val="16"/>
              </w:rPr>
              <w:t xml:space="preserve">Denominación comercial del satélite </w:t>
            </w:r>
          </w:p>
        </w:tc>
        <w:tc>
          <w:tcPr>
            <w:tcW w:w="3020" w:type="dxa"/>
          </w:tcPr>
          <w:p w14:paraId="1E18AD40" w14:textId="77777777" w:rsidR="00A82BF4" w:rsidRPr="00510083" w:rsidRDefault="00A82BF4" w:rsidP="00510083">
            <w:pPr>
              <w:spacing w:after="0" w:line="240" w:lineRule="auto"/>
              <w:jc w:val="center"/>
              <w:rPr>
                <w:rFonts w:ascii="ITC Avant Garde" w:hAnsi="ITC Avant Garde"/>
                <w:bCs/>
                <w:color w:val="000000"/>
                <w:sz w:val="16"/>
                <w:szCs w:val="16"/>
              </w:rPr>
            </w:pPr>
            <w:r w:rsidRPr="00510083">
              <w:rPr>
                <w:rFonts w:ascii="ITC Avant Garde" w:hAnsi="ITC Avant Garde"/>
                <w:bCs/>
                <w:color w:val="000000"/>
                <w:sz w:val="16"/>
                <w:szCs w:val="16"/>
              </w:rPr>
              <w:t xml:space="preserve">SES–10 </w:t>
            </w:r>
          </w:p>
        </w:tc>
      </w:tr>
      <w:tr w:rsidR="00A82BF4" w:rsidRPr="00510083" w14:paraId="7E2F7A36" w14:textId="77777777" w:rsidTr="007D3EC9">
        <w:trPr>
          <w:trHeight w:val="300"/>
          <w:tblHeader/>
          <w:jc w:val="center"/>
        </w:trPr>
        <w:tc>
          <w:tcPr>
            <w:tcW w:w="3640" w:type="dxa"/>
            <w:hideMark/>
          </w:tcPr>
          <w:p w14:paraId="2EE31666"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Red Satelital (expediente ante la UIT)</w:t>
            </w:r>
          </w:p>
        </w:tc>
        <w:tc>
          <w:tcPr>
            <w:tcW w:w="3020" w:type="dxa"/>
            <w:hideMark/>
          </w:tcPr>
          <w:p w14:paraId="58DF00D3"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LUX–G8–47</w:t>
            </w:r>
          </w:p>
        </w:tc>
      </w:tr>
      <w:tr w:rsidR="00A82BF4" w:rsidRPr="00510083" w14:paraId="32FCF86A" w14:textId="77777777" w:rsidTr="007D3EC9">
        <w:trPr>
          <w:trHeight w:val="300"/>
          <w:tblHeader/>
          <w:jc w:val="center"/>
        </w:trPr>
        <w:tc>
          <w:tcPr>
            <w:tcW w:w="3640" w:type="dxa"/>
          </w:tcPr>
          <w:p w14:paraId="7BB4A10B" w14:textId="0CDE43DC"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Administración notificante</w:t>
            </w:r>
          </w:p>
        </w:tc>
        <w:tc>
          <w:tcPr>
            <w:tcW w:w="3020" w:type="dxa"/>
          </w:tcPr>
          <w:p w14:paraId="5B930A3F" w14:textId="45DE0ADD"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LUX</w:t>
            </w:r>
          </w:p>
        </w:tc>
      </w:tr>
      <w:tr w:rsidR="00A82BF4" w:rsidRPr="00510083" w14:paraId="66F51AAB" w14:textId="77777777" w:rsidTr="0037530E">
        <w:trPr>
          <w:trHeight w:val="300"/>
          <w:tblHeader/>
          <w:jc w:val="center"/>
        </w:trPr>
        <w:tc>
          <w:tcPr>
            <w:tcW w:w="3640" w:type="dxa"/>
            <w:tcBorders>
              <w:bottom w:val="single" w:sz="4" w:space="0" w:color="auto"/>
            </w:tcBorders>
            <w:hideMark/>
          </w:tcPr>
          <w:p w14:paraId="7E706878"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Posición orbital geoestacionaria</w:t>
            </w:r>
          </w:p>
        </w:tc>
        <w:tc>
          <w:tcPr>
            <w:tcW w:w="3020" w:type="dxa"/>
            <w:tcBorders>
              <w:bottom w:val="single" w:sz="4" w:space="0" w:color="auto"/>
            </w:tcBorders>
            <w:hideMark/>
          </w:tcPr>
          <w:p w14:paraId="3964B15D" w14:textId="77777777" w:rsidR="00A82BF4" w:rsidRPr="00510083" w:rsidRDefault="00A82BF4" w:rsidP="00510083">
            <w:pPr>
              <w:spacing w:after="0" w:line="240" w:lineRule="auto"/>
              <w:jc w:val="center"/>
              <w:rPr>
                <w:rFonts w:ascii="ITC Avant Garde" w:hAnsi="ITC Avant Garde"/>
                <w:sz w:val="16"/>
                <w:szCs w:val="16"/>
              </w:rPr>
            </w:pPr>
            <w:r w:rsidRPr="00510083">
              <w:rPr>
                <w:rFonts w:ascii="ITC Avant Garde" w:hAnsi="ITC Avant Garde"/>
                <w:sz w:val="16"/>
                <w:szCs w:val="16"/>
              </w:rPr>
              <w:t>67° longitud Oeste</w:t>
            </w:r>
          </w:p>
        </w:tc>
      </w:tr>
      <w:tr w:rsidR="007D3EC9" w:rsidRPr="00510083" w14:paraId="6231C698" w14:textId="77777777" w:rsidTr="0037530E">
        <w:trPr>
          <w:trHeight w:val="300"/>
          <w:tblHeader/>
          <w:jc w:val="center"/>
        </w:trPr>
        <w:tc>
          <w:tcPr>
            <w:tcW w:w="3640" w:type="dxa"/>
            <w:tcBorders>
              <w:right w:val="single" w:sz="4" w:space="0" w:color="auto"/>
            </w:tcBorders>
            <w:shd w:val="clear" w:color="auto" w:fill="70AD47" w:themeFill="accent6"/>
            <w:hideMark/>
          </w:tcPr>
          <w:p w14:paraId="7C72A8A0" w14:textId="77777777" w:rsidR="007D3EC9" w:rsidRPr="00510083" w:rsidRDefault="007D3EC9" w:rsidP="00510083">
            <w:pPr>
              <w:spacing w:after="0" w:line="240" w:lineRule="auto"/>
              <w:jc w:val="center"/>
              <w:rPr>
                <w:rFonts w:ascii="ITC Avant Garde" w:hAnsi="ITC Avant Garde"/>
                <w:b/>
                <w:color w:val="000000"/>
                <w:sz w:val="16"/>
                <w:szCs w:val="16"/>
              </w:rPr>
            </w:pPr>
            <w:r w:rsidRPr="00510083">
              <w:rPr>
                <w:rFonts w:ascii="ITC Avant Garde" w:hAnsi="ITC Avant Garde"/>
                <w:b/>
                <w:color w:val="000000"/>
                <w:sz w:val="16"/>
                <w:szCs w:val="16"/>
              </w:rPr>
              <w:t>Rango de frecuencias nominal (MHz)</w:t>
            </w:r>
          </w:p>
        </w:tc>
        <w:tc>
          <w:tcPr>
            <w:tcW w:w="3020" w:type="dxa"/>
            <w:tcBorders>
              <w:left w:val="single" w:sz="4" w:space="0" w:color="auto"/>
            </w:tcBorders>
            <w:shd w:val="clear" w:color="auto" w:fill="70AD47" w:themeFill="accent6"/>
          </w:tcPr>
          <w:p w14:paraId="640D02D0" w14:textId="3C0C94A6" w:rsidR="007D3EC9" w:rsidRPr="007D3EC9" w:rsidRDefault="0037530E" w:rsidP="00510083">
            <w:pPr>
              <w:spacing w:after="0" w:line="240" w:lineRule="auto"/>
              <w:jc w:val="center"/>
              <w:rPr>
                <w:rFonts w:ascii="ITC Avant Garde" w:hAnsi="ITC Avant Garde"/>
                <w:color w:val="000000"/>
                <w:sz w:val="2"/>
                <w:szCs w:val="2"/>
              </w:rPr>
            </w:pPr>
            <w:r w:rsidRPr="00510083">
              <w:rPr>
                <w:rFonts w:ascii="ITC Avant Garde" w:hAnsi="ITC Avant Garde"/>
                <w:b/>
                <w:color w:val="000000"/>
                <w:sz w:val="16"/>
                <w:szCs w:val="16"/>
              </w:rPr>
              <w:t>Rango de frecuencias nominal (MHz)</w:t>
            </w:r>
          </w:p>
        </w:tc>
      </w:tr>
      <w:tr w:rsidR="00A82BF4" w:rsidRPr="00510083" w14:paraId="3354E274" w14:textId="77777777" w:rsidTr="007D3EC9">
        <w:trPr>
          <w:trHeight w:val="420"/>
          <w:tblHeader/>
          <w:jc w:val="center"/>
        </w:trPr>
        <w:tc>
          <w:tcPr>
            <w:tcW w:w="3640" w:type="dxa"/>
            <w:hideMark/>
          </w:tcPr>
          <w:p w14:paraId="2A9C97AD" w14:textId="77777777" w:rsidR="00A82BF4" w:rsidRPr="00510083" w:rsidRDefault="00A82BF4" w:rsidP="00510083">
            <w:pPr>
              <w:spacing w:after="0" w:line="240" w:lineRule="auto"/>
              <w:jc w:val="right"/>
              <w:rPr>
                <w:rFonts w:ascii="ITC Avant Garde" w:hAnsi="ITC Avant Garde"/>
                <w:b/>
                <w:color w:val="000000"/>
                <w:sz w:val="16"/>
                <w:szCs w:val="16"/>
              </w:rPr>
            </w:pPr>
            <w:r w:rsidRPr="00510083">
              <w:rPr>
                <w:rFonts w:ascii="ITC Avant Garde" w:hAnsi="ITC Avant Garde"/>
                <w:color w:val="000000"/>
                <w:sz w:val="16"/>
                <w:szCs w:val="16"/>
              </w:rPr>
              <w:t>Enlace descendente (MHz)</w:t>
            </w:r>
            <w:r w:rsidRPr="00510083">
              <w:rPr>
                <w:rFonts w:ascii="ITC Avant Garde" w:hAnsi="ITC Avant Garde"/>
                <w:color w:val="000000"/>
                <w:sz w:val="16"/>
                <w:szCs w:val="16"/>
              </w:rPr>
              <w:br/>
              <w:t>(espacio – Tierra)</w:t>
            </w:r>
          </w:p>
        </w:tc>
        <w:tc>
          <w:tcPr>
            <w:tcW w:w="3020" w:type="dxa"/>
            <w:hideMark/>
          </w:tcPr>
          <w:p w14:paraId="5473953F" w14:textId="693C3F2A" w:rsidR="00A82BF4" w:rsidRPr="00510083" w:rsidRDefault="00510083" w:rsidP="00510083">
            <w:pPr>
              <w:spacing w:after="0" w:line="240" w:lineRule="auto"/>
              <w:jc w:val="center"/>
              <w:rPr>
                <w:rFonts w:ascii="ITC Avant Garde" w:hAnsi="ITC Avant Garde"/>
                <w:sz w:val="16"/>
                <w:szCs w:val="16"/>
              </w:rPr>
            </w:pPr>
            <w:r>
              <w:rPr>
                <w:rFonts w:ascii="ITC Avant Garde" w:hAnsi="ITC Avant Garde"/>
                <w:sz w:val="16"/>
                <w:szCs w:val="16"/>
              </w:rPr>
              <w:t>10950</w:t>
            </w:r>
            <w:r w:rsidR="00A82BF4" w:rsidRPr="00510083">
              <w:rPr>
                <w:rFonts w:ascii="ITC Avant Garde" w:hAnsi="ITC Avant Garde"/>
                <w:sz w:val="16"/>
                <w:szCs w:val="16"/>
              </w:rPr>
              <w:t xml:space="preserve">–11200 </w:t>
            </w:r>
            <w:r w:rsidR="00A82BF4" w:rsidRPr="00510083">
              <w:rPr>
                <w:rFonts w:ascii="ITC Avant Garde" w:hAnsi="ITC Avant Garde" w:cs="Calibri"/>
                <w:sz w:val="12"/>
                <w:szCs w:val="12"/>
              </w:rPr>
              <w:t xml:space="preserve">(banda </w:t>
            </w:r>
            <w:proofErr w:type="spellStart"/>
            <w:r w:rsidR="00A82BF4" w:rsidRPr="00510083">
              <w:rPr>
                <w:rFonts w:ascii="ITC Avant Garde" w:hAnsi="ITC Avant Garde" w:cs="Calibri"/>
                <w:sz w:val="12"/>
                <w:szCs w:val="12"/>
              </w:rPr>
              <w:t>Ku</w:t>
            </w:r>
            <w:proofErr w:type="spellEnd"/>
            <w:r w:rsidR="00A82BF4" w:rsidRPr="00510083">
              <w:rPr>
                <w:rFonts w:ascii="ITC Avant Garde" w:hAnsi="ITC Avant Garde" w:cs="Calibri"/>
                <w:sz w:val="12"/>
                <w:szCs w:val="12"/>
              </w:rPr>
              <w:t xml:space="preserve"> </w:t>
            </w:r>
            <w:proofErr w:type="spellStart"/>
            <w:r w:rsidR="00A82BF4" w:rsidRPr="00510083">
              <w:rPr>
                <w:rFonts w:ascii="ITC Avant Garde" w:hAnsi="ITC Avant Garde" w:cs="Calibri"/>
                <w:sz w:val="12"/>
                <w:szCs w:val="12"/>
              </w:rPr>
              <w:t>ext</w:t>
            </w:r>
            <w:proofErr w:type="spellEnd"/>
            <w:r w:rsidR="00A82BF4" w:rsidRPr="00510083">
              <w:rPr>
                <w:rFonts w:ascii="ITC Avant Garde" w:hAnsi="ITC Avant Garde" w:cs="Calibri"/>
                <w:sz w:val="12"/>
                <w:szCs w:val="12"/>
              </w:rPr>
              <w:t>)</w:t>
            </w:r>
          </w:p>
          <w:p w14:paraId="165DE528" w14:textId="73334190" w:rsidR="00C577B5" w:rsidRPr="00510083" w:rsidRDefault="00510083" w:rsidP="00510083">
            <w:pPr>
              <w:spacing w:after="0" w:line="240" w:lineRule="auto"/>
              <w:jc w:val="center"/>
              <w:rPr>
                <w:rFonts w:ascii="ITC Avant Garde" w:hAnsi="ITC Avant Garde"/>
                <w:sz w:val="16"/>
                <w:szCs w:val="16"/>
              </w:rPr>
            </w:pPr>
            <w:r>
              <w:rPr>
                <w:rFonts w:ascii="ITC Avant Garde" w:hAnsi="ITC Avant Garde"/>
                <w:sz w:val="16"/>
                <w:szCs w:val="16"/>
              </w:rPr>
              <w:t>11450</w:t>
            </w:r>
            <w:r w:rsidR="00C577B5" w:rsidRPr="00510083">
              <w:rPr>
                <w:rFonts w:ascii="ITC Avant Garde" w:hAnsi="ITC Avant Garde"/>
                <w:sz w:val="16"/>
                <w:szCs w:val="16"/>
              </w:rPr>
              <w:t xml:space="preserve">–11700 </w:t>
            </w:r>
            <w:r w:rsidR="00C577B5" w:rsidRPr="00510083">
              <w:rPr>
                <w:rFonts w:ascii="ITC Avant Garde" w:hAnsi="ITC Avant Garde" w:cs="Calibri"/>
                <w:sz w:val="12"/>
                <w:szCs w:val="12"/>
              </w:rPr>
              <w:t xml:space="preserve">(banda </w:t>
            </w:r>
            <w:proofErr w:type="spellStart"/>
            <w:r w:rsidR="00C577B5" w:rsidRPr="00510083">
              <w:rPr>
                <w:rFonts w:ascii="ITC Avant Garde" w:hAnsi="ITC Avant Garde" w:cs="Calibri"/>
                <w:sz w:val="12"/>
                <w:szCs w:val="12"/>
              </w:rPr>
              <w:t>Ku</w:t>
            </w:r>
            <w:proofErr w:type="spellEnd"/>
            <w:r w:rsidR="00C577B5" w:rsidRPr="00510083">
              <w:rPr>
                <w:rFonts w:ascii="ITC Avant Garde" w:hAnsi="ITC Avant Garde" w:cs="Calibri"/>
                <w:sz w:val="12"/>
                <w:szCs w:val="12"/>
              </w:rPr>
              <w:t xml:space="preserve"> </w:t>
            </w:r>
            <w:proofErr w:type="spellStart"/>
            <w:r w:rsidR="00C577B5" w:rsidRPr="00510083">
              <w:rPr>
                <w:rFonts w:ascii="ITC Avant Garde" w:hAnsi="ITC Avant Garde" w:cs="Calibri"/>
                <w:sz w:val="12"/>
                <w:szCs w:val="12"/>
              </w:rPr>
              <w:t>ext</w:t>
            </w:r>
            <w:proofErr w:type="spellEnd"/>
            <w:r w:rsidR="00C577B5" w:rsidRPr="00510083">
              <w:rPr>
                <w:rFonts w:ascii="ITC Avant Garde" w:hAnsi="ITC Avant Garde" w:cs="Calibri"/>
                <w:sz w:val="12"/>
                <w:szCs w:val="12"/>
              </w:rPr>
              <w:t>)</w:t>
            </w:r>
          </w:p>
          <w:p w14:paraId="13A4C637" w14:textId="622B4364" w:rsidR="00A82BF4" w:rsidRPr="00510083" w:rsidRDefault="00A82BF4" w:rsidP="00510083">
            <w:pPr>
              <w:spacing w:after="0" w:line="240" w:lineRule="auto"/>
              <w:jc w:val="center"/>
              <w:rPr>
                <w:rFonts w:ascii="ITC Avant Garde" w:hAnsi="ITC Avant Garde"/>
                <w:sz w:val="16"/>
                <w:szCs w:val="16"/>
              </w:rPr>
            </w:pPr>
            <w:r w:rsidRPr="00510083">
              <w:rPr>
                <w:rFonts w:ascii="ITC Avant Garde" w:hAnsi="ITC Avant Garde"/>
                <w:sz w:val="16"/>
                <w:szCs w:val="16"/>
              </w:rPr>
              <w:t xml:space="preserve">11700–12200 </w:t>
            </w:r>
            <w:r w:rsidRPr="00510083">
              <w:rPr>
                <w:rFonts w:ascii="ITC Avant Garde" w:hAnsi="ITC Avant Garde" w:cs="Calibri"/>
                <w:sz w:val="12"/>
                <w:szCs w:val="12"/>
              </w:rPr>
              <w:t xml:space="preserve">(banda </w:t>
            </w:r>
            <w:proofErr w:type="spellStart"/>
            <w:r w:rsidRPr="00510083">
              <w:rPr>
                <w:rFonts w:ascii="ITC Avant Garde" w:hAnsi="ITC Avant Garde" w:cs="Calibri"/>
                <w:sz w:val="12"/>
                <w:szCs w:val="12"/>
              </w:rPr>
              <w:t>Ku</w:t>
            </w:r>
            <w:proofErr w:type="spellEnd"/>
            <w:r w:rsidRPr="00510083">
              <w:rPr>
                <w:rFonts w:ascii="ITC Avant Garde" w:hAnsi="ITC Avant Garde" w:cs="Calibri"/>
                <w:sz w:val="12"/>
                <w:szCs w:val="12"/>
              </w:rPr>
              <w:t>)</w:t>
            </w:r>
          </w:p>
        </w:tc>
      </w:tr>
      <w:tr w:rsidR="00A82BF4" w:rsidRPr="00510083" w14:paraId="58C876FA" w14:textId="77777777" w:rsidTr="007D3EC9">
        <w:trPr>
          <w:trHeight w:val="215"/>
          <w:tblHeader/>
          <w:jc w:val="center"/>
        </w:trPr>
        <w:tc>
          <w:tcPr>
            <w:tcW w:w="3640" w:type="dxa"/>
            <w:hideMark/>
          </w:tcPr>
          <w:p w14:paraId="5A805800" w14:textId="77777777" w:rsidR="00A82BF4" w:rsidRPr="00510083" w:rsidRDefault="00A82BF4" w:rsidP="00510083">
            <w:pPr>
              <w:spacing w:after="0" w:line="240" w:lineRule="auto"/>
              <w:jc w:val="right"/>
              <w:rPr>
                <w:rFonts w:ascii="ITC Avant Garde" w:hAnsi="ITC Avant Garde"/>
                <w:b/>
                <w:color w:val="000000"/>
                <w:sz w:val="16"/>
                <w:szCs w:val="16"/>
              </w:rPr>
            </w:pPr>
            <w:r w:rsidRPr="00510083">
              <w:rPr>
                <w:rFonts w:ascii="ITC Avant Garde" w:hAnsi="ITC Avant Garde"/>
                <w:color w:val="000000"/>
                <w:sz w:val="16"/>
                <w:szCs w:val="16"/>
              </w:rPr>
              <w:t>Enlace ascendente (MHz)</w:t>
            </w:r>
            <w:r w:rsidRPr="00510083">
              <w:rPr>
                <w:rFonts w:ascii="ITC Avant Garde" w:hAnsi="ITC Avant Garde"/>
                <w:color w:val="000000"/>
                <w:sz w:val="16"/>
                <w:szCs w:val="16"/>
              </w:rPr>
              <w:br/>
              <w:t>(Tierra – espacio)</w:t>
            </w:r>
          </w:p>
        </w:tc>
        <w:tc>
          <w:tcPr>
            <w:tcW w:w="3020" w:type="dxa"/>
            <w:hideMark/>
          </w:tcPr>
          <w:p w14:paraId="08BCEC5E" w14:textId="19202840"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13750</w:t>
            </w:r>
            <w:r w:rsidRPr="00510083">
              <w:rPr>
                <w:rFonts w:ascii="ITC Avant Garde" w:hAnsi="ITC Avant Garde"/>
                <w:sz w:val="16"/>
                <w:szCs w:val="16"/>
              </w:rPr>
              <w:t>–</w:t>
            </w:r>
            <w:r w:rsidRPr="00510083">
              <w:rPr>
                <w:rFonts w:ascii="ITC Avant Garde" w:hAnsi="ITC Avant Garde"/>
                <w:color w:val="000000"/>
                <w:sz w:val="16"/>
                <w:szCs w:val="16"/>
              </w:rPr>
              <w:t xml:space="preserve">14000 </w:t>
            </w:r>
            <w:r w:rsidRPr="00510083">
              <w:rPr>
                <w:rFonts w:ascii="ITC Avant Garde" w:hAnsi="ITC Avant Garde" w:cs="Calibri"/>
                <w:sz w:val="12"/>
                <w:szCs w:val="12"/>
              </w:rPr>
              <w:t xml:space="preserve">(banda </w:t>
            </w:r>
            <w:proofErr w:type="spellStart"/>
            <w:r w:rsidRPr="00510083">
              <w:rPr>
                <w:rFonts w:ascii="ITC Avant Garde" w:hAnsi="ITC Avant Garde" w:cs="Calibri"/>
                <w:sz w:val="12"/>
                <w:szCs w:val="12"/>
              </w:rPr>
              <w:t>Ku</w:t>
            </w:r>
            <w:proofErr w:type="spellEnd"/>
            <w:r w:rsidRPr="00510083">
              <w:rPr>
                <w:rFonts w:ascii="ITC Avant Garde" w:hAnsi="ITC Avant Garde" w:cs="Calibri"/>
                <w:sz w:val="12"/>
                <w:szCs w:val="12"/>
              </w:rPr>
              <w:t xml:space="preserve"> </w:t>
            </w:r>
            <w:proofErr w:type="spellStart"/>
            <w:r w:rsidRPr="00510083">
              <w:rPr>
                <w:rFonts w:ascii="ITC Avant Garde" w:hAnsi="ITC Avant Garde" w:cs="Calibri"/>
                <w:sz w:val="12"/>
                <w:szCs w:val="12"/>
              </w:rPr>
              <w:t>ext</w:t>
            </w:r>
            <w:proofErr w:type="spellEnd"/>
            <w:r w:rsidRPr="00510083">
              <w:rPr>
                <w:rFonts w:ascii="ITC Avant Garde" w:hAnsi="ITC Avant Garde" w:cs="Calibri"/>
                <w:sz w:val="12"/>
                <w:szCs w:val="12"/>
              </w:rPr>
              <w:t>)</w:t>
            </w:r>
          </w:p>
          <w:p w14:paraId="52C488FF" w14:textId="12F644DF"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14000</w:t>
            </w:r>
            <w:r w:rsidRPr="00510083">
              <w:rPr>
                <w:rFonts w:ascii="ITC Avant Garde" w:hAnsi="ITC Avant Garde"/>
                <w:sz w:val="16"/>
                <w:szCs w:val="16"/>
              </w:rPr>
              <w:t>–</w:t>
            </w:r>
            <w:r w:rsidRPr="00510083">
              <w:rPr>
                <w:rFonts w:ascii="ITC Avant Garde" w:hAnsi="ITC Avant Garde"/>
                <w:color w:val="000000"/>
                <w:sz w:val="16"/>
                <w:szCs w:val="16"/>
              </w:rPr>
              <w:t xml:space="preserve">14500 </w:t>
            </w:r>
            <w:r w:rsidRPr="00510083">
              <w:rPr>
                <w:rFonts w:ascii="ITC Avant Garde" w:hAnsi="ITC Avant Garde" w:cs="Calibri"/>
                <w:sz w:val="12"/>
                <w:szCs w:val="12"/>
              </w:rPr>
              <w:t xml:space="preserve">(banda </w:t>
            </w:r>
            <w:proofErr w:type="spellStart"/>
            <w:r w:rsidRPr="00510083">
              <w:rPr>
                <w:rFonts w:ascii="ITC Avant Garde" w:hAnsi="ITC Avant Garde" w:cs="Calibri"/>
                <w:sz w:val="12"/>
                <w:szCs w:val="12"/>
              </w:rPr>
              <w:t>Ku</w:t>
            </w:r>
            <w:proofErr w:type="spellEnd"/>
            <w:r w:rsidRPr="00510083">
              <w:rPr>
                <w:rFonts w:ascii="ITC Avant Garde" w:hAnsi="ITC Avant Garde" w:cs="Calibri"/>
                <w:sz w:val="12"/>
                <w:szCs w:val="12"/>
              </w:rPr>
              <w:t>)</w:t>
            </w:r>
          </w:p>
        </w:tc>
      </w:tr>
      <w:tr w:rsidR="00A82BF4" w:rsidRPr="00510083" w14:paraId="72CEA1ED" w14:textId="77777777" w:rsidTr="007D3EC9">
        <w:trPr>
          <w:trHeight w:val="221"/>
          <w:tblHeader/>
          <w:jc w:val="center"/>
        </w:trPr>
        <w:tc>
          <w:tcPr>
            <w:tcW w:w="3640" w:type="dxa"/>
            <w:noWrap/>
            <w:hideMark/>
          </w:tcPr>
          <w:p w14:paraId="1D893495"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Atribución correspondiente de la banda conforme al CNAF</w:t>
            </w:r>
          </w:p>
        </w:tc>
        <w:tc>
          <w:tcPr>
            <w:tcW w:w="3020" w:type="dxa"/>
            <w:hideMark/>
          </w:tcPr>
          <w:p w14:paraId="33B2F0DA" w14:textId="77777777" w:rsidR="00A82BF4" w:rsidRPr="00510083" w:rsidRDefault="00A82BF4" w:rsidP="00510083">
            <w:pPr>
              <w:spacing w:after="0" w:line="240" w:lineRule="auto"/>
              <w:jc w:val="center"/>
              <w:rPr>
                <w:rFonts w:ascii="ITC Avant Garde" w:hAnsi="ITC Avant Garde"/>
                <w:sz w:val="16"/>
                <w:szCs w:val="16"/>
              </w:rPr>
            </w:pPr>
            <w:r w:rsidRPr="00510083">
              <w:rPr>
                <w:rFonts w:ascii="ITC Avant Garde" w:hAnsi="ITC Avant Garde"/>
                <w:sz w:val="16"/>
                <w:szCs w:val="16"/>
              </w:rPr>
              <w:t>Fijo por Satélite</w:t>
            </w:r>
          </w:p>
        </w:tc>
      </w:tr>
      <w:tr w:rsidR="00A82BF4" w:rsidRPr="00510083" w14:paraId="6B0FC904" w14:textId="77777777" w:rsidTr="007D3EC9">
        <w:trPr>
          <w:trHeight w:val="408"/>
          <w:tblHeader/>
          <w:jc w:val="center"/>
        </w:trPr>
        <w:tc>
          <w:tcPr>
            <w:tcW w:w="3640" w:type="dxa"/>
            <w:noWrap/>
            <w:hideMark/>
          </w:tcPr>
          <w:p w14:paraId="7C26ECEB"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Zona de servicio indicada</w:t>
            </w:r>
          </w:p>
        </w:tc>
        <w:tc>
          <w:tcPr>
            <w:tcW w:w="3020" w:type="dxa"/>
            <w:hideMark/>
          </w:tcPr>
          <w:p w14:paraId="7C5BDBE5"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Cubre el territorio nacional</w:t>
            </w:r>
          </w:p>
        </w:tc>
      </w:tr>
      <w:tr w:rsidR="00A82BF4" w:rsidRPr="00510083" w14:paraId="6D521012" w14:textId="77777777" w:rsidTr="007D3EC9">
        <w:trPr>
          <w:trHeight w:val="420"/>
          <w:tblHeader/>
          <w:jc w:val="center"/>
        </w:trPr>
        <w:tc>
          <w:tcPr>
            <w:tcW w:w="3640" w:type="dxa"/>
            <w:noWrap/>
            <w:hideMark/>
          </w:tcPr>
          <w:p w14:paraId="579F7CC9"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Tipo de polarización</w:t>
            </w:r>
          </w:p>
        </w:tc>
        <w:tc>
          <w:tcPr>
            <w:tcW w:w="3020" w:type="dxa"/>
            <w:hideMark/>
          </w:tcPr>
          <w:p w14:paraId="3EAB743F" w14:textId="4A620652" w:rsidR="004613D2" w:rsidRPr="00510083" w:rsidRDefault="002F683A" w:rsidP="00510083">
            <w:pPr>
              <w:pStyle w:val="Prrafodelista"/>
              <w:ind w:left="927"/>
              <w:contextualSpacing/>
              <w:jc w:val="both"/>
              <w:rPr>
                <w:rFonts w:ascii="ITC Avant Garde" w:hAnsi="ITC Avant Garde"/>
                <w:color w:val="000000"/>
                <w:sz w:val="16"/>
                <w:szCs w:val="16"/>
              </w:rPr>
            </w:pPr>
            <w:r w:rsidRPr="00510083">
              <w:rPr>
                <w:rFonts w:ascii="ITC Avant Garde" w:hAnsi="ITC Avant Garde"/>
                <w:color w:val="000000"/>
                <w:sz w:val="16"/>
                <w:szCs w:val="16"/>
              </w:rPr>
              <w:t>Horizontal</w:t>
            </w:r>
            <w:r w:rsidR="004613D2" w:rsidRPr="00510083">
              <w:rPr>
                <w:rFonts w:ascii="ITC Avant Garde" w:hAnsi="ITC Avant Garde"/>
                <w:color w:val="000000"/>
                <w:sz w:val="16"/>
                <w:szCs w:val="16"/>
              </w:rPr>
              <w:t xml:space="preserve"> Lineal</w:t>
            </w:r>
          </w:p>
          <w:p w14:paraId="1C831F3C" w14:textId="52977BB0" w:rsidR="00A82BF4" w:rsidRPr="00510083" w:rsidRDefault="002F683A" w:rsidP="00510083">
            <w:pPr>
              <w:pStyle w:val="Prrafodelista"/>
              <w:numPr>
                <w:ilvl w:val="0"/>
                <w:numId w:val="18"/>
              </w:numPr>
              <w:contextualSpacing/>
              <w:jc w:val="both"/>
              <w:rPr>
                <w:rFonts w:ascii="ITC Avant Garde" w:hAnsi="ITC Avant Garde"/>
                <w:color w:val="000000"/>
                <w:sz w:val="16"/>
                <w:szCs w:val="16"/>
              </w:rPr>
            </w:pPr>
            <w:r w:rsidRPr="00510083">
              <w:rPr>
                <w:rFonts w:ascii="ITC Avant Garde" w:hAnsi="ITC Avant Garde"/>
                <w:color w:val="000000"/>
                <w:sz w:val="16"/>
                <w:szCs w:val="16"/>
              </w:rPr>
              <w:t>Vertical</w:t>
            </w:r>
            <w:r w:rsidR="004613D2" w:rsidRPr="00510083">
              <w:rPr>
                <w:rFonts w:ascii="ITC Avant Garde" w:hAnsi="ITC Avant Garde"/>
                <w:color w:val="000000"/>
                <w:sz w:val="16"/>
                <w:szCs w:val="16"/>
              </w:rPr>
              <w:t xml:space="preserve"> Lineal</w:t>
            </w:r>
          </w:p>
        </w:tc>
      </w:tr>
      <w:tr w:rsidR="00A82BF4" w:rsidRPr="00510083" w14:paraId="1EA37C06" w14:textId="77777777" w:rsidTr="007D3EC9">
        <w:trPr>
          <w:trHeight w:val="300"/>
          <w:tblHeader/>
          <w:jc w:val="center"/>
        </w:trPr>
        <w:tc>
          <w:tcPr>
            <w:tcW w:w="3640" w:type="dxa"/>
            <w:noWrap/>
            <w:hideMark/>
          </w:tcPr>
          <w:p w14:paraId="003F6320"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Capacidad total</w:t>
            </w:r>
          </w:p>
        </w:tc>
        <w:tc>
          <w:tcPr>
            <w:tcW w:w="3020" w:type="dxa"/>
            <w:noWrap/>
            <w:hideMark/>
          </w:tcPr>
          <w:p w14:paraId="1ACA7B59"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1000 MHz enlace descendente</w:t>
            </w:r>
          </w:p>
          <w:p w14:paraId="64EACC10" w14:textId="4536F351"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750 MHz enlace ascendente</w:t>
            </w:r>
          </w:p>
        </w:tc>
      </w:tr>
      <w:tr w:rsidR="00A82BF4" w:rsidRPr="00510083" w14:paraId="7E64D574" w14:textId="77777777" w:rsidTr="007D3EC9">
        <w:trPr>
          <w:trHeight w:val="1056"/>
          <w:tblHeader/>
          <w:jc w:val="center"/>
        </w:trPr>
        <w:tc>
          <w:tcPr>
            <w:tcW w:w="3640" w:type="dxa"/>
            <w:hideMark/>
          </w:tcPr>
          <w:p w14:paraId="00D9AF7A"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Ganancia isotrópica de la antena de transmisión en la dirección de radiación máxima (</w:t>
            </w:r>
            <w:proofErr w:type="spellStart"/>
            <w:r w:rsidRPr="00510083">
              <w:rPr>
                <w:rFonts w:ascii="ITC Avant Garde" w:hAnsi="ITC Avant Garde"/>
                <w:color w:val="000000"/>
                <w:sz w:val="16"/>
                <w:szCs w:val="16"/>
              </w:rPr>
              <w:t>dBi</w:t>
            </w:r>
            <w:proofErr w:type="spellEnd"/>
            <w:r w:rsidRPr="00510083">
              <w:rPr>
                <w:rFonts w:ascii="ITC Avant Garde" w:hAnsi="ITC Avant Garde"/>
                <w:color w:val="000000"/>
                <w:sz w:val="16"/>
                <w:szCs w:val="16"/>
              </w:rPr>
              <w:t>)</w:t>
            </w:r>
            <w:r w:rsidRPr="00510083">
              <w:rPr>
                <w:rFonts w:ascii="ITC Avant Garde" w:hAnsi="ITC Avant Garde"/>
                <w:color w:val="000000"/>
                <w:sz w:val="16"/>
                <w:szCs w:val="16"/>
              </w:rPr>
              <w:br/>
            </w:r>
            <w:r w:rsidRPr="00510083">
              <w:rPr>
                <w:rFonts w:ascii="ITC Avant Garde" w:hAnsi="ITC Avant Garde"/>
                <w:color w:val="000000"/>
                <w:sz w:val="14"/>
                <w:szCs w:val="14"/>
              </w:rPr>
              <w:t>(este valor podrá variar en tanto no se exceda el valor de P.I.R.E indicado)</w:t>
            </w:r>
          </w:p>
        </w:tc>
        <w:tc>
          <w:tcPr>
            <w:tcW w:w="3020" w:type="dxa"/>
            <w:noWrap/>
          </w:tcPr>
          <w:p w14:paraId="3A2D7EC3"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38.5</w:t>
            </w:r>
          </w:p>
        </w:tc>
      </w:tr>
      <w:tr w:rsidR="00A82BF4" w:rsidRPr="00510083" w14:paraId="311B37A1" w14:textId="77777777" w:rsidTr="007D3EC9">
        <w:trPr>
          <w:trHeight w:val="516"/>
          <w:tblHeader/>
          <w:jc w:val="center"/>
        </w:trPr>
        <w:tc>
          <w:tcPr>
            <w:tcW w:w="3640" w:type="dxa"/>
            <w:hideMark/>
          </w:tcPr>
          <w:p w14:paraId="7D5DCDE8"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Potencia Isótropa Radiada Equivalente (P.I.R.E) máximo (</w:t>
            </w:r>
            <w:proofErr w:type="spellStart"/>
            <w:r w:rsidRPr="00510083">
              <w:rPr>
                <w:rFonts w:ascii="ITC Avant Garde" w:hAnsi="ITC Avant Garde"/>
                <w:color w:val="000000"/>
                <w:sz w:val="16"/>
                <w:szCs w:val="16"/>
              </w:rPr>
              <w:t>dBW</w:t>
            </w:r>
            <w:proofErr w:type="spellEnd"/>
            <w:r w:rsidRPr="00510083">
              <w:rPr>
                <w:rFonts w:ascii="ITC Avant Garde" w:hAnsi="ITC Avant Garde"/>
                <w:color w:val="000000"/>
                <w:sz w:val="16"/>
                <w:szCs w:val="16"/>
              </w:rPr>
              <w:t>)</w:t>
            </w:r>
          </w:p>
        </w:tc>
        <w:tc>
          <w:tcPr>
            <w:tcW w:w="3020" w:type="dxa"/>
            <w:noWrap/>
            <w:hideMark/>
          </w:tcPr>
          <w:p w14:paraId="12B12669"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53</w:t>
            </w:r>
          </w:p>
        </w:tc>
      </w:tr>
    </w:tbl>
    <w:p w14:paraId="660D7F56" w14:textId="07BE643F" w:rsidR="00510083" w:rsidRDefault="00510083" w:rsidP="00510083">
      <w:pPr>
        <w:autoSpaceDE w:val="0"/>
        <w:autoSpaceDN w:val="0"/>
        <w:adjustRightInd w:val="0"/>
        <w:spacing w:before="240" w:after="240" w:line="240" w:lineRule="auto"/>
        <w:rPr>
          <w:rFonts w:ascii="ITC Avant Garde" w:hAnsi="ITC Avant Garde" w:cs="Tahoma"/>
          <w:bCs/>
          <w:color w:val="000000"/>
          <w:lang w:eastAsia="es-MX"/>
        </w:rPr>
      </w:pPr>
      <w:r>
        <w:rPr>
          <w:rFonts w:ascii="ITC Avant Garde" w:hAnsi="ITC Avant Garde" w:cs="Tahoma"/>
          <w:bCs/>
          <w:color w:val="000000"/>
          <w:lang w:eastAsia="es-MX"/>
        </w:rPr>
        <w:br w:type="page"/>
      </w:r>
    </w:p>
    <w:p w14:paraId="1F563A77" w14:textId="77777777" w:rsidR="00A82BF4" w:rsidRPr="00510083" w:rsidRDefault="00A82BF4" w:rsidP="00510083">
      <w:pPr>
        <w:autoSpaceDE w:val="0"/>
        <w:autoSpaceDN w:val="0"/>
        <w:adjustRightInd w:val="0"/>
        <w:spacing w:before="240" w:after="240" w:line="240" w:lineRule="auto"/>
        <w:jc w:val="center"/>
        <w:rPr>
          <w:rFonts w:ascii="ITC Avant Garde" w:hAnsi="ITC Avant Garde" w:cs="Tahoma"/>
          <w:b/>
          <w:bCs/>
          <w:color w:val="000000"/>
          <w:lang w:eastAsia="es-MX"/>
        </w:rPr>
      </w:pPr>
      <w:r w:rsidRPr="00510083">
        <w:rPr>
          <w:rFonts w:ascii="ITC Avant Garde" w:hAnsi="ITC Avant Garde" w:cs="Tahoma"/>
          <w:b/>
          <w:bCs/>
          <w:color w:val="000000"/>
          <w:lang w:eastAsia="es-MX"/>
        </w:rPr>
        <w:lastRenderedPageBreak/>
        <w:t>Zona de servicio indicativa</w:t>
      </w:r>
    </w:p>
    <w:p w14:paraId="22D55DA0" w14:textId="77777777" w:rsidR="00510083" w:rsidRPr="00510083" w:rsidRDefault="00A82BF4" w:rsidP="00510083">
      <w:pPr>
        <w:autoSpaceDE w:val="0"/>
        <w:autoSpaceDN w:val="0"/>
        <w:adjustRightInd w:val="0"/>
        <w:spacing w:before="240" w:after="240" w:line="240" w:lineRule="auto"/>
        <w:jc w:val="center"/>
        <w:rPr>
          <w:rFonts w:ascii="ITC Avant Garde" w:hAnsi="ITC Avant Garde" w:cs="Tahoma"/>
          <w:b/>
          <w:bCs/>
          <w:color w:val="000000"/>
          <w:lang w:eastAsia="es-MX"/>
        </w:rPr>
      </w:pPr>
      <w:r w:rsidRPr="00510083">
        <w:rPr>
          <w:rFonts w:ascii="ITC Avant Garde" w:hAnsi="ITC Avant Garde" w:cs="Tahoma"/>
          <w:b/>
          <w:bCs/>
          <w:color w:val="000000"/>
          <w:lang w:eastAsia="es-MX"/>
        </w:rPr>
        <w:t>LUX–G8–47</w:t>
      </w:r>
    </w:p>
    <w:p w14:paraId="471E1A0F" w14:textId="77777777" w:rsidR="00510083" w:rsidRDefault="00A82BF4" w:rsidP="00510083">
      <w:pPr>
        <w:autoSpaceDE w:val="0"/>
        <w:autoSpaceDN w:val="0"/>
        <w:adjustRightInd w:val="0"/>
        <w:spacing w:before="240" w:after="240" w:line="240" w:lineRule="auto"/>
        <w:jc w:val="center"/>
        <w:rPr>
          <w:rFonts w:ascii="ITC Avant Garde" w:eastAsia="Times New Roman" w:hAnsi="ITC Avant Garde"/>
          <w:sz w:val="16"/>
          <w:szCs w:val="16"/>
        </w:rPr>
      </w:pPr>
      <w:r w:rsidRPr="00510083">
        <w:rPr>
          <w:rFonts w:ascii="ITC Avant Garde" w:hAnsi="ITC Avant Garde" w:cs="Tahoma"/>
          <w:b/>
          <w:bCs/>
          <w:noProof/>
          <w:color w:val="000000"/>
          <w:lang w:eastAsia="es-MX"/>
        </w:rPr>
        <w:drawing>
          <wp:inline distT="0" distB="0" distL="0" distR="0" wp14:anchorId="185E35CC" wp14:editId="34FA7A86">
            <wp:extent cx="2319260" cy="2317750"/>
            <wp:effectExtent l="0" t="0" r="5080" b="6350"/>
            <wp:docPr id="6" name="Imagen 6" descr="La imagen muestra globo terráqueo con la zona de servicio indicativa." title="Zona de servicio ind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700" cy="2329183"/>
                    </a:xfrm>
                    <a:prstGeom prst="rect">
                      <a:avLst/>
                    </a:prstGeom>
                    <a:noFill/>
                    <a:ln>
                      <a:noFill/>
                    </a:ln>
                  </pic:spPr>
                </pic:pic>
              </a:graphicData>
            </a:graphic>
          </wp:inline>
        </w:drawing>
      </w:r>
    </w:p>
    <w:p w14:paraId="00754835" w14:textId="68DA81C5" w:rsidR="000E31C6" w:rsidRPr="00510083" w:rsidRDefault="00510083" w:rsidP="00510083">
      <w:pPr>
        <w:autoSpaceDE w:val="0"/>
        <w:autoSpaceDN w:val="0"/>
        <w:adjustRightInd w:val="0"/>
        <w:spacing w:before="240" w:after="240" w:line="240" w:lineRule="auto"/>
        <w:jc w:val="center"/>
        <w:rPr>
          <w:rFonts w:ascii="ITC Avant Garde" w:hAnsi="ITC Avant Garde" w:cs="Tahoma"/>
          <w:b/>
          <w:bCs/>
          <w:color w:val="000000"/>
          <w:lang w:eastAsia="es-MX"/>
        </w:rPr>
      </w:pPr>
      <w:r w:rsidRPr="00510083">
        <w:rPr>
          <w:rFonts w:ascii="ITC Avant Garde" w:eastAsia="Times New Roman" w:hAnsi="ITC Avant Garde"/>
          <w:b/>
          <w:sz w:val="16"/>
          <w:szCs w:val="16"/>
        </w:rPr>
        <w:t>CARACTERÍSTICAS GENERALES Y ESPECIFICACIONES TÉCNICAS</w:t>
      </w:r>
    </w:p>
    <w:tbl>
      <w:tblPr>
        <w:tblStyle w:val="Tablaconcuadrcula"/>
        <w:tblW w:w="6660" w:type="dxa"/>
        <w:jc w:val="center"/>
        <w:tblLook w:val="04A0" w:firstRow="1" w:lastRow="0" w:firstColumn="1" w:lastColumn="0" w:noHBand="0" w:noVBand="1"/>
        <w:tblCaption w:val="CARACTERÍSTICAS GENERALES Y ESPECIFICACIONES TÉCNICAS"/>
        <w:tblDescription w:val="En una tabla de 2 columnas, se proporciona del lado izquierdo los parámetros y del lado derecho los valores que adopta el parámetro, así como los rangos de frecuencias nominales en MHz."/>
      </w:tblPr>
      <w:tblGrid>
        <w:gridCol w:w="3640"/>
        <w:gridCol w:w="3020"/>
      </w:tblGrid>
      <w:tr w:rsidR="00A82BF4" w:rsidRPr="00510083" w14:paraId="2FD114C0" w14:textId="77777777" w:rsidTr="007D3EC9">
        <w:trPr>
          <w:trHeight w:val="300"/>
          <w:tblHeader/>
          <w:jc w:val="center"/>
        </w:trPr>
        <w:tc>
          <w:tcPr>
            <w:tcW w:w="3640" w:type="dxa"/>
            <w:shd w:val="clear" w:color="auto" w:fill="70AD47" w:themeFill="accent6"/>
            <w:hideMark/>
          </w:tcPr>
          <w:p w14:paraId="5F7BAD6F" w14:textId="77777777" w:rsidR="00A82BF4" w:rsidRPr="00510083" w:rsidRDefault="00A82BF4" w:rsidP="00510083">
            <w:pPr>
              <w:spacing w:after="0" w:line="240" w:lineRule="auto"/>
              <w:jc w:val="center"/>
              <w:rPr>
                <w:rFonts w:ascii="ITC Avant Garde" w:hAnsi="ITC Avant Garde"/>
                <w:b/>
                <w:color w:val="000000"/>
                <w:sz w:val="16"/>
                <w:szCs w:val="16"/>
              </w:rPr>
            </w:pPr>
            <w:r w:rsidRPr="00510083">
              <w:rPr>
                <w:rFonts w:ascii="ITC Avant Garde" w:hAnsi="ITC Avant Garde"/>
                <w:b/>
                <w:color w:val="000000"/>
                <w:sz w:val="16"/>
                <w:szCs w:val="16"/>
              </w:rPr>
              <w:t>Parámetro</w:t>
            </w:r>
          </w:p>
        </w:tc>
        <w:tc>
          <w:tcPr>
            <w:tcW w:w="3020" w:type="dxa"/>
            <w:shd w:val="clear" w:color="auto" w:fill="70AD47" w:themeFill="accent6"/>
            <w:hideMark/>
          </w:tcPr>
          <w:p w14:paraId="26B95A7C" w14:textId="77777777" w:rsidR="00A82BF4" w:rsidRPr="00510083" w:rsidRDefault="00A82BF4" w:rsidP="00510083">
            <w:pPr>
              <w:spacing w:after="0" w:line="240" w:lineRule="auto"/>
              <w:jc w:val="center"/>
              <w:rPr>
                <w:rFonts w:ascii="ITC Avant Garde" w:hAnsi="ITC Avant Garde"/>
                <w:b/>
                <w:bCs/>
                <w:color w:val="000000"/>
                <w:sz w:val="16"/>
                <w:szCs w:val="16"/>
              </w:rPr>
            </w:pPr>
            <w:r w:rsidRPr="00510083">
              <w:rPr>
                <w:rFonts w:ascii="ITC Avant Garde" w:hAnsi="ITC Avant Garde"/>
                <w:b/>
                <w:bCs/>
                <w:color w:val="000000"/>
                <w:sz w:val="16"/>
                <w:szCs w:val="16"/>
              </w:rPr>
              <w:t>Valor que adopta el parámetro</w:t>
            </w:r>
          </w:p>
        </w:tc>
      </w:tr>
      <w:tr w:rsidR="00A82BF4" w:rsidRPr="00510083" w14:paraId="4FC27730" w14:textId="77777777" w:rsidTr="00510083">
        <w:trPr>
          <w:trHeight w:val="300"/>
          <w:jc w:val="center"/>
        </w:trPr>
        <w:tc>
          <w:tcPr>
            <w:tcW w:w="3640" w:type="dxa"/>
            <w:shd w:val="clear" w:color="auto" w:fill="A8D08D" w:themeFill="accent6" w:themeFillTint="99"/>
          </w:tcPr>
          <w:p w14:paraId="0315CB17" w14:textId="77777777" w:rsidR="00A82BF4" w:rsidRPr="00510083" w:rsidRDefault="00A82BF4" w:rsidP="00510083">
            <w:pPr>
              <w:spacing w:after="0" w:line="240" w:lineRule="auto"/>
              <w:jc w:val="center"/>
              <w:rPr>
                <w:rFonts w:ascii="ITC Avant Garde" w:hAnsi="ITC Avant Garde"/>
                <w:b/>
                <w:color w:val="000000"/>
                <w:sz w:val="16"/>
                <w:szCs w:val="16"/>
              </w:rPr>
            </w:pPr>
            <w:r w:rsidRPr="00510083">
              <w:rPr>
                <w:rFonts w:ascii="ITC Avant Garde" w:hAnsi="ITC Avant Garde"/>
                <w:color w:val="000000"/>
                <w:sz w:val="16"/>
                <w:szCs w:val="16"/>
              </w:rPr>
              <w:t xml:space="preserve">Denominación comercial del satélite </w:t>
            </w:r>
          </w:p>
        </w:tc>
        <w:tc>
          <w:tcPr>
            <w:tcW w:w="3020" w:type="dxa"/>
            <w:shd w:val="clear" w:color="auto" w:fill="A8D08D" w:themeFill="accent6" w:themeFillTint="99"/>
          </w:tcPr>
          <w:p w14:paraId="761CF3D0" w14:textId="77777777" w:rsidR="00A82BF4" w:rsidRPr="00510083" w:rsidRDefault="00A82BF4" w:rsidP="00510083">
            <w:pPr>
              <w:spacing w:after="0" w:line="240" w:lineRule="auto"/>
              <w:jc w:val="center"/>
              <w:rPr>
                <w:rFonts w:ascii="ITC Avant Garde" w:hAnsi="ITC Avant Garde"/>
                <w:bCs/>
                <w:color w:val="000000"/>
                <w:sz w:val="16"/>
                <w:szCs w:val="16"/>
              </w:rPr>
            </w:pPr>
            <w:r w:rsidRPr="00510083">
              <w:rPr>
                <w:rFonts w:ascii="ITC Avant Garde" w:hAnsi="ITC Avant Garde"/>
                <w:bCs/>
                <w:color w:val="000000"/>
                <w:sz w:val="16"/>
                <w:szCs w:val="16"/>
              </w:rPr>
              <w:t xml:space="preserve">SES–10 </w:t>
            </w:r>
          </w:p>
        </w:tc>
      </w:tr>
      <w:tr w:rsidR="00A82BF4" w:rsidRPr="00510083" w14:paraId="057C7BB8" w14:textId="77777777" w:rsidTr="00510083">
        <w:trPr>
          <w:trHeight w:val="300"/>
          <w:jc w:val="center"/>
        </w:trPr>
        <w:tc>
          <w:tcPr>
            <w:tcW w:w="3640" w:type="dxa"/>
            <w:hideMark/>
          </w:tcPr>
          <w:p w14:paraId="72634A52"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Red Satelital (expediente ante la UIT)</w:t>
            </w:r>
          </w:p>
        </w:tc>
        <w:tc>
          <w:tcPr>
            <w:tcW w:w="3020" w:type="dxa"/>
            <w:hideMark/>
          </w:tcPr>
          <w:p w14:paraId="66271C7B"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USAT–67W</w:t>
            </w:r>
          </w:p>
        </w:tc>
      </w:tr>
      <w:tr w:rsidR="00A82BF4" w:rsidRPr="00510083" w14:paraId="6EAB71A4" w14:textId="77777777" w:rsidTr="00510083">
        <w:trPr>
          <w:trHeight w:val="300"/>
          <w:jc w:val="center"/>
        </w:trPr>
        <w:tc>
          <w:tcPr>
            <w:tcW w:w="3640" w:type="dxa"/>
            <w:shd w:val="clear" w:color="auto" w:fill="A8D08D" w:themeFill="accent6" w:themeFillTint="99"/>
          </w:tcPr>
          <w:p w14:paraId="5C245EA7" w14:textId="5013BCC4"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Administración notificante</w:t>
            </w:r>
          </w:p>
        </w:tc>
        <w:tc>
          <w:tcPr>
            <w:tcW w:w="3020" w:type="dxa"/>
            <w:shd w:val="clear" w:color="auto" w:fill="A8D08D" w:themeFill="accent6" w:themeFillTint="99"/>
          </w:tcPr>
          <w:p w14:paraId="7A501E68" w14:textId="203D954E"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G</w:t>
            </w:r>
          </w:p>
        </w:tc>
      </w:tr>
      <w:tr w:rsidR="00A82BF4" w:rsidRPr="00510083" w14:paraId="3BB445AF" w14:textId="77777777" w:rsidTr="0037530E">
        <w:trPr>
          <w:trHeight w:val="300"/>
          <w:jc w:val="center"/>
        </w:trPr>
        <w:tc>
          <w:tcPr>
            <w:tcW w:w="3640" w:type="dxa"/>
            <w:tcBorders>
              <w:bottom w:val="single" w:sz="4" w:space="0" w:color="auto"/>
            </w:tcBorders>
            <w:hideMark/>
          </w:tcPr>
          <w:p w14:paraId="13A2FDF0"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Posición orbital geoestacionaria</w:t>
            </w:r>
          </w:p>
        </w:tc>
        <w:tc>
          <w:tcPr>
            <w:tcW w:w="3020" w:type="dxa"/>
            <w:tcBorders>
              <w:bottom w:val="single" w:sz="4" w:space="0" w:color="auto"/>
            </w:tcBorders>
            <w:hideMark/>
          </w:tcPr>
          <w:p w14:paraId="6EF4AD96" w14:textId="77777777" w:rsidR="00A82BF4" w:rsidRPr="00510083" w:rsidRDefault="00A82BF4" w:rsidP="00510083">
            <w:pPr>
              <w:spacing w:after="0" w:line="240" w:lineRule="auto"/>
              <w:jc w:val="center"/>
              <w:rPr>
                <w:rFonts w:ascii="ITC Avant Garde" w:hAnsi="ITC Avant Garde"/>
                <w:sz w:val="16"/>
                <w:szCs w:val="16"/>
              </w:rPr>
            </w:pPr>
            <w:r w:rsidRPr="00510083">
              <w:rPr>
                <w:rFonts w:ascii="ITC Avant Garde" w:hAnsi="ITC Avant Garde"/>
                <w:sz w:val="16"/>
                <w:szCs w:val="16"/>
              </w:rPr>
              <w:t>67° longitud Oeste</w:t>
            </w:r>
          </w:p>
        </w:tc>
      </w:tr>
      <w:tr w:rsidR="007D3EC9" w:rsidRPr="00510083" w14:paraId="36935414" w14:textId="77777777" w:rsidTr="0037530E">
        <w:trPr>
          <w:trHeight w:val="300"/>
          <w:jc w:val="center"/>
        </w:trPr>
        <w:tc>
          <w:tcPr>
            <w:tcW w:w="3640" w:type="dxa"/>
            <w:tcBorders>
              <w:right w:val="single" w:sz="4" w:space="0" w:color="auto"/>
            </w:tcBorders>
            <w:shd w:val="clear" w:color="auto" w:fill="70AD47" w:themeFill="accent6"/>
            <w:hideMark/>
          </w:tcPr>
          <w:p w14:paraId="05FBEDFE" w14:textId="77777777" w:rsidR="007D3EC9" w:rsidRPr="00510083" w:rsidRDefault="007D3EC9" w:rsidP="00510083">
            <w:pPr>
              <w:spacing w:after="0" w:line="240" w:lineRule="auto"/>
              <w:jc w:val="center"/>
              <w:rPr>
                <w:rFonts w:ascii="ITC Avant Garde" w:hAnsi="ITC Avant Garde"/>
                <w:b/>
                <w:color w:val="000000"/>
                <w:sz w:val="16"/>
                <w:szCs w:val="16"/>
              </w:rPr>
            </w:pPr>
            <w:r w:rsidRPr="00510083">
              <w:rPr>
                <w:rFonts w:ascii="ITC Avant Garde" w:hAnsi="ITC Avant Garde"/>
                <w:b/>
                <w:color w:val="000000"/>
                <w:sz w:val="16"/>
                <w:szCs w:val="16"/>
              </w:rPr>
              <w:t>Rango de frecuencias nominal (MHz)</w:t>
            </w:r>
          </w:p>
        </w:tc>
        <w:tc>
          <w:tcPr>
            <w:tcW w:w="3020" w:type="dxa"/>
            <w:tcBorders>
              <w:left w:val="single" w:sz="4" w:space="0" w:color="auto"/>
            </w:tcBorders>
            <w:shd w:val="clear" w:color="auto" w:fill="70AD47" w:themeFill="accent6"/>
          </w:tcPr>
          <w:p w14:paraId="0DE21D86" w14:textId="1075BE37" w:rsidR="007D3EC9" w:rsidRPr="007D3EC9" w:rsidRDefault="0037530E" w:rsidP="00510083">
            <w:pPr>
              <w:spacing w:after="0" w:line="240" w:lineRule="auto"/>
              <w:jc w:val="center"/>
              <w:rPr>
                <w:rFonts w:ascii="ITC Avant Garde" w:hAnsi="ITC Avant Garde"/>
                <w:b/>
                <w:color w:val="000000"/>
                <w:sz w:val="2"/>
                <w:szCs w:val="2"/>
              </w:rPr>
            </w:pPr>
            <w:bookmarkStart w:id="0" w:name="_GoBack"/>
            <w:bookmarkEnd w:id="0"/>
            <w:r w:rsidRPr="00510083">
              <w:rPr>
                <w:rFonts w:ascii="ITC Avant Garde" w:hAnsi="ITC Avant Garde"/>
                <w:b/>
                <w:color w:val="000000"/>
                <w:sz w:val="16"/>
                <w:szCs w:val="16"/>
              </w:rPr>
              <w:t>Rango de frecuencias nominal (MHz)</w:t>
            </w:r>
          </w:p>
        </w:tc>
      </w:tr>
      <w:tr w:rsidR="00A82BF4" w:rsidRPr="00510083" w14:paraId="430D494A" w14:textId="77777777" w:rsidTr="00510083">
        <w:trPr>
          <w:trHeight w:val="420"/>
          <w:jc w:val="center"/>
        </w:trPr>
        <w:tc>
          <w:tcPr>
            <w:tcW w:w="3640" w:type="dxa"/>
            <w:hideMark/>
          </w:tcPr>
          <w:p w14:paraId="4D0D5829" w14:textId="77777777" w:rsidR="00A82BF4" w:rsidRPr="00510083" w:rsidRDefault="00A82BF4" w:rsidP="00510083">
            <w:pPr>
              <w:spacing w:after="0" w:line="240" w:lineRule="auto"/>
              <w:jc w:val="right"/>
              <w:rPr>
                <w:rFonts w:ascii="ITC Avant Garde" w:hAnsi="ITC Avant Garde"/>
                <w:b/>
                <w:color w:val="000000"/>
                <w:sz w:val="16"/>
                <w:szCs w:val="16"/>
              </w:rPr>
            </w:pPr>
            <w:r w:rsidRPr="00510083">
              <w:rPr>
                <w:rFonts w:ascii="ITC Avant Garde" w:hAnsi="ITC Avant Garde"/>
                <w:color w:val="000000"/>
                <w:sz w:val="16"/>
                <w:szCs w:val="16"/>
              </w:rPr>
              <w:t>Enlace descendente (MHz)</w:t>
            </w:r>
            <w:r w:rsidRPr="00510083">
              <w:rPr>
                <w:rFonts w:ascii="ITC Avant Garde" w:hAnsi="ITC Avant Garde"/>
                <w:color w:val="000000"/>
                <w:sz w:val="16"/>
                <w:szCs w:val="16"/>
              </w:rPr>
              <w:br/>
              <w:t>(espacio – Tierra)</w:t>
            </w:r>
          </w:p>
        </w:tc>
        <w:tc>
          <w:tcPr>
            <w:tcW w:w="3020" w:type="dxa"/>
            <w:hideMark/>
          </w:tcPr>
          <w:p w14:paraId="13FBEF05" w14:textId="77777777" w:rsidR="00A82BF4" w:rsidRPr="00510083" w:rsidRDefault="00A82BF4" w:rsidP="00510083">
            <w:pPr>
              <w:spacing w:after="0" w:line="240" w:lineRule="auto"/>
              <w:jc w:val="center"/>
              <w:rPr>
                <w:rFonts w:ascii="ITC Avant Garde" w:hAnsi="ITC Avant Garde"/>
                <w:sz w:val="16"/>
                <w:szCs w:val="16"/>
              </w:rPr>
            </w:pPr>
            <w:r w:rsidRPr="00510083">
              <w:rPr>
                <w:rFonts w:ascii="ITC Avant Garde" w:hAnsi="ITC Avant Garde"/>
                <w:sz w:val="16"/>
                <w:szCs w:val="16"/>
              </w:rPr>
              <w:t>No solicitado</w:t>
            </w:r>
          </w:p>
        </w:tc>
      </w:tr>
      <w:tr w:rsidR="00A82BF4" w:rsidRPr="00510083" w14:paraId="7C17BB3F" w14:textId="77777777" w:rsidTr="00510083">
        <w:trPr>
          <w:trHeight w:val="215"/>
          <w:jc w:val="center"/>
        </w:trPr>
        <w:tc>
          <w:tcPr>
            <w:tcW w:w="3640" w:type="dxa"/>
            <w:hideMark/>
          </w:tcPr>
          <w:p w14:paraId="6FC177BE" w14:textId="77777777" w:rsidR="00A82BF4" w:rsidRPr="00510083" w:rsidRDefault="00A82BF4" w:rsidP="00510083">
            <w:pPr>
              <w:spacing w:after="0" w:line="240" w:lineRule="auto"/>
              <w:jc w:val="right"/>
              <w:rPr>
                <w:rFonts w:ascii="ITC Avant Garde" w:hAnsi="ITC Avant Garde"/>
                <w:b/>
                <w:color w:val="000000"/>
                <w:sz w:val="16"/>
                <w:szCs w:val="16"/>
              </w:rPr>
            </w:pPr>
            <w:r w:rsidRPr="00510083">
              <w:rPr>
                <w:rFonts w:ascii="ITC Avant Garde" w:hAnsi="ITC Avant Garde"/>
                <w:color w:val="000000"/>
                <w:sz w:val="16"/>
                <w:szCs w:val="16"/>
              </w:rPr>
              <w:t>Enlace ascendente (MHz)</w:t>
            </w:r>
            <w:r w:rsidRPr="00510083">
              <w:rPr>
                <w:rFonts w:ascii="ITC Avant Garde" w:hAnsi="ITC Avant Garde"/>
                <w:color w:val="000000"/>
                <w:sz w:val="16"/>
                <w:szCs w:val="16"/>
              </w:rPr>
              <w:br/>
              <w:t>(Tierra – espacio)</w:t>
            </w:r>
          </w:p>
        </w:tc>
        <w:tc>
          <w:tcPr>
            <w:tcW w:w="3020" w:type="dxa"/>
            <w:hideMark/>
          </w:tcPr>
          <w:p w14:paraId="239020B8" w14:textId="77777777" w:rsidR="006A3E41" w:rsidRPr="00510083" w:rsidRDefault="006A3E41" w:rsidP="00510083">
            <w:pPr>
              <w:spacing w:after="0" w:line="240" w:lineRule="auto"/>
              <w:jc w:val="center"/>
              <w:rPr>
                <w:rFonts w:ascii="ITC Avant Garde" w:hAnsi="ITC Avant Garde"/>
                <w:sz w:val="16"/>
                <w:szCs w:val="16"/>
              </w:rPr>
            </w:pPr>
            <w:r w:rsidRPr="00510083">
              <w:rPr>
                <w:rFonts w:ascii="ITC Avant Garde" w:hAnsi="ITC Avant Garde"/>
                <w:sz w:val="16"/>
                <w:szCs w:val="16"/>
              </w:rPr>
              <w:t>Haz RX3R</w:t>
            </w:r>
          </w:p>
          <w:p w14:paraId="6C1BA862" w14:textId="2A579386"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sz w:val="16"/>
                <w:szCs w:val="16"/>
              </w:rPr>
              <w:t xml:space="preserve">17300 – 17550 </w:t>
            </w:r>
            <w:r w:rsidR="009B0394" w:rsidRPr="00510083">
              <w:rPr>
                <w:rFonts w:ascii="ITC Avant Garde" w:hAnsi="ITC Avant Garde" w:cs="Calibri"/>
                <w:sz w:val="12"/>
                <w:szCs w:val="12"/>
              </w:rPr>
              <w:t xml:space="preserve"> </w:t>
            </w:r>
          </w:p>
        </w:tc>
      </w:tr>
      <w:tr w:rsidR="00A82BF4" w:rsidRPr="00510083" w14:paraId="770675B6" w14:textId="77777777" w:rsidTr="00510083">
        <w:trPr>
          <w:trHeight w:val="221"/>
          <w:jc w:val="center"/>
        </w:trPr>
        <w:tc>
          <w:tcPr>
            <w:tcW w:w="3640" w:type="dxa"/>
            <w:noWrap/>
            <w:hideMark/>
          </w:tcPr>
          <w:p w14:paraId="357765A2" w14:textId="6B43FDFF"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Atribución correspondiente de la banda conforme al CNAF</w:t>
            </w:r>
          </w:p>
        </w:tc>
        <w:tc>
          <w:tcPr>
            <w:tcW w:w="3020" w:type="dxa"/>
            <w:hideMark/>
          </w:tcPr>
          <w:p w14:paraId="4082DA88" w14:textId="77777777" w:rsidR="00A82BF4" w:rsidRPr="00510083" w:rsidRDefault="00A82BF4" w:rsidP="00510083">
            <w:pPr>
              <w:spacing w:after="0" w:line="240" w:lineRule="auto"/>
              <w:jc w:val="center"/>
              <w:rPr>
                <w:rFonts w:ascii="ITC Avant Garde" w:hAnsi="ITC Avant Garde"/>
                <w:sz w:val="16"/>
                <w:szCs w:val="16"/>
              </w:rPr>
            </w:pPr>
            <w:r w:rsidRPr="00510083">
              <w:rPr>
                <w:rFonts w:ascii="ITC Avant Garde" w:hAnsi="ITC Avant Garde"/>
                <w:sz w:val="16"/>
                <w:szCs w:val="16"/>
              </w:rPr>
              <w:t>Fijo por Satélite</w:t>
            </w:r>
          </w:p>
        </w:tc>
      </w:tr>
      <w:tr w:rsidR="00A82BF4" w:rsidRPr="00510083" w14:paraId="2245DC9E" w14:textId="77777777" w:rsidTr="00510083">
        <w:trPr>
          <w:trHeight w:val="408"/>
          <w:jc w:val="center"/>
        </w:trPr>
        <w:tc>
          <w:tcPr>
            <w:tcW w:w="3640" w:type="dxa"/>
            <w:noWrap/>
            <w:hideMark/>
          </w:tcPr>
          <w:p w14:paraId="4DDEACF2"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Zona de servicio indicada</w:t>
            </w:r>
          </w:p>
        </w:tc>
        <w:tc>
          <w:tcPr>
            <w:tcW w:w="3020" w:type="dxa"/>
            <w:hideMark/>
          </w:tcPr>
          <w:p w14:paraId="729D940E"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Cubre el territorio nacional</w:t>
            </w:r>
          </w:p>
        </w:tc>
      </w:tr>
      <w:tr w:rsidR="00A82BF4" w:rsidRPr="00510083" w14:paraId="31486027" w14:textId="77777777" w:rsidTr="00510083">
        <w:trPr>
          <w:trHeight w:val="420"/>
          <w:jc w:val="center"/>
        </w:trPr>
        <w:tc>
          <w:tcPr>
            <w:tcW w:w="3640" w:type="dxa"/>
            <w:noWrap/>
            <w:hideMark/>
          </w:tcPr>
          <w:p w14:paraId="6D2D52DE"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Tipo de polarización</w:t>
            </w:r>
          </w:p>
        </w:tc>
        <w:tc>
          <w:tcPr>
            <w:tcW w:w="3020" w:type="dxa"/>
            <w:hideMark/>
          </w:tcPr>
          <w:p w14:paraId="7ED0F4B3" w14:textId="6AD49695" w:rsidR="00A82BF4" w:rsidRPr="00510083" w:rsidRDefault="006C7EC7" w:rsidP="00510083">
            <w:pPr>
              <w:numPr>
                <w:ilvl w:val="0"/>
                <w:numId w:val="12"/>
              </w:numPr>
              <w:spacing w:after="0" w:line="240" w:lineRule="auto"/>
              <w:contextualSpacing/>
              <w:rPr>
                <w:rFonts w:ascii="ITC Avant Garde" w:hAnsi="ITC Avant Garde"/>
                <w:color w:val="000000"/>
                <w:sz w:val="16"/>
                <w:szCs w:val="16"/>
              </w:rPr>
            </w:pPr>
            <w:r w:rsidRPr="00510083">
              <w:rPr>
                <w:rFonts w:ascii="ITC Avant Garde" w:hAnsi="ITC Avant Garde"/>
                <w:color w:val="000000"/>
                <w:sz w:val="16"/>
                <w:szCs w:val="16"/>
              </w:rPr>
              <w:t>Lineal</w:t>
            </w:r>
          </w:p>
        </w:tc>
      </w:tr>
      <w:tr w:rsidR="00A82BF4" w:rsidRPr="00510083" w14:paraId="69D49330" w14:textId="77777777" w:rsidTr="00510083">
        <w:trPr>
          <w:trHeight w:val="300"/>
          <w:jc w:val="center"/>
        </w:trPr>
        <w:tc>
          <w:tcPr>
            <w:tcW w:w="3640" w:type="dxa"/>
            <w:noWrap/>
            <w:hideMark/>
          </w:tcPr>
          <w:p w14:paraId="409D8C03" w14:textId="77777777" w:rsidR="00A82BF4" w:rsidRPr="00510083" w:rsidRDefault="00A82BF4" w:rsidP="00510083">
            <w:pPr>
              <w:spacing w:after="0" w:line="240" w:lineRule="auto"/>
              <w:rPr>
                <w:rFonts w:ascii="ITC Avant Garde" w:hAnsi="ITC Avant Garde"/>
                <w:b/>
                <w:color w:val="000000"/>
                <w:sz w:val="16"/>
                <w:szCs w:val="16"/>
              </w:rPr>
            </w:pPr>
            <w:r w:rsidRPr="00510083">
              <w:rPr>
                <w:rFonts w:ascii="ITC Avant Garde" w:hAnsi="ITC Avant Garde"/>
                <w:color w:val="000000"/>
                <w:sz w:val="16"/>
                <w:szCs w:val="16"/>
              </w:rPr>
              <w:t>Capacidad total</w:t>
            </w:r>
          </w:p>
        </w:tc>
        <w:tc>
          <w:tcPr>
            <w:tcW w:w="3020" w:type="dxa"/>
            <w:noWrap/>
            <w:hideMark/>
          </w:tcPr>
          <w:p w14:paraId="771132BE" w14:textId="77777777" w:rsidR="00A82BF4" w:rsidRPr="00510083" w:rsidRDefault="00A82BF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250 MHz enlace ascendente</w:t>
            </w:r>
          </w:p>
        </w:tc>
      </w:tr>
      <w:tr w:rsidR="009B0394" w:rsidRPr="00510083" w14:paraId="37672C71" w14:textId="77777777" w:rsidTr="00510083">
        <w:trPr>
          <w:trHeight w:val="300"/>
          <w:jc w:val="center"/>
        </w:trPr>
        <w:tc>
          <w:tcPr>
            <w:tcW w:w="3640" w:type="dxa"/>
            <w:noWrap/>
          </w:tcPr>
          <w:p w14:paraId="65BD97C2" w14:textId="4B9C1F5C" w:rsidR="009B0394" w:rsidRPr="00510083" w:rsidRDefault="009B0394" w:rsidP="00510083">
            <w:pPr>
              <w:spacing w:after="0" w:line="240" w:lineRule="auto"/>
              <w:rPr>
                <w:rFonts w:ascii="ITC Avant Garde" w:hAnsi="ITC Avant Garde"/>
                <w:b/>
                <w:color w:val="000000"/>
                <w:sz w:val="16"/>
                <w:szCs w:val="16"/>
              </w:rPr>
            </w:pPr>
            <w:r w:rsidRPr="00510083">
              <w:rPr>
                <w:rFonts w:ascii="ITC Avant Garde" w:hAnsi="ITC Avant Garde" w:cs="Tahoma"/>
                <w:color w:val="000000"/>
                <w:sz w:val="16"/>
                <w:szCs w:val="16"/>
                <w:lang w:eastAsia="es-MX"/>
              </w:rPr>
              <w:t>Densidad de flujo de potencia para el enlace ascendente.</w:t>
            </w:r>
          </w:p>
        </w:tc>
        <w:tc>
          <w:tcPr>
            <w:tcW w:w="3020" w:type="dxa"/>
            <w:noWrap/>
          </w:tcPr>
          <w:p w14:paraId="3573D2B5" w14:textId="31463B40" w:rsidR="009B0394" w:rsidRPr="00510083" w:rsidRDefault="009B0394" w:rsidP="00510083">
            <w:pPr>
              <w:spacing w:after="0" w:line="240" w:lineRule="auto"/>
              <w:jc w:val="center"/>
              <w:rPr>
                <w:rFonts w:ascii="ITC Avant Garde" w:hAnsi="ITC Avant Garde"/>
                <w:color w:val="000000"/>
                <w:sz w:val="16"/>
                <w:szCs w:val="16"/>
              </w:rPr>
            </w:pPr>
            <w:r w:rsidRPr="00510083">
              <w:rPr>
                <w:rFonts w:ascii="ITC Avant Garde" w:hAnsi="ITC Avant Garde"/>
                <w:color w:val="000000"/>
                <w:sz w:val="16"/>
                <w:szCs w:val="16"/>
              </w:rPr>
              <w:t xml:space="preserve">-53.6 </w:t>
            </w:r>
            <w:proofErr w:type="spellStart"/>
            <w:r w:rsidRPr="00510083">
              <w:rPr>
                <w:rFonts w:ascii="ITC Avant Garde" w:hAnsi="ITC Avant Garde"/>
                <w:color w:val="000000"/>
                <w:sz w:val="16"/>
                <w:szCs w:val="16"/>
              </w:rPr>
              <w:t>dBW</w:t>
            </w:r>
            <w:proofErr w:type="spellEnd"/>
            <w:r w:rsidRPr="00510083">
              <w:rPr>
                <w:rFonts w:ascii="ITC Avant Garde" w:hAnsi="ITC Avant Garde"/>
                <w:color w:val="000000"/>
                <w:sz w:val="16"/>
                <w:szCs w:val="16"/>
              </w:rPr>
              <w:t>/Hz</w:t>
            </w:r>
          </w:p>
        </w:tc>
      </w:tr>
    </w:tbl>
    <w:p w14:paraId="16929E33" w14:textId="24BD6261" w:rsidR="00510083" w:rsidRDefault="00510083" w:rsidP="00510083">
      <w:pPr>
        <w:autoSpaceDE w:val="0"/>
        <w:autoSpaceDN w:val="0"/>
        <w:adjustRightInd w:val="0"/>
        <w:spacing w:before="240" w:after="240" w:line="240" w:lineRule="auto"/>
        <w:jc w:val="center"/>
        <w:rPr>
          <w:rFonts w:ascii="ITC Avant Garde" w:hAnsi="ITC Avant Garde" w:cs="Tahoma"/>
          <w:b/>
          <w:bCs/>
          <w:color w:val="000000"/>
          <w:lang w:eastAsia="es-MX"/>
        </w:rPr>
      </w:pPr>
      <w:r>
        <w:rPr>
          <w:rFonts w:ascii="ITC Avant Garde" w:hAnsi="ITC Avant Garde" w:cs="Tahoma"/>
          <w:b/>
          <w:bCs/>
          <w:color w:val="000000"/>
          <w:lang w:eastAsia="es-MX"/>
        </w:rPr>
        <w:br w:type="page"/>
      </w:r>
    </w:p>
    <w:p w14:paraId="5F2D1B3A" w14:textId="77777777" w:rsidR="00A82BF4" w:rsidRPr="00510083" w:rsidRDefault="00A82BF4" w:rsidP="00510083">
      <w:pPr>
        <w:autoSpaceDE w:val="0"/>
        <w:autoSpaceDN w:val="0"/>
        <w:adjustRightInd w:val="0"/>
        <w:spacing w:before="240" w:after="240" w:line="240" w:lineRule="auto"/>
        <w:jc w:val="center"/>
        <w:rPr>
          <w:rFonts w:ascii="ITC Avant Garde" w:hAnsi="ITC Avant Garde" w:cs="Tahoma"/>
          <w:b/>
          <w:bCs/>
          <w:color w:val="000000"/>
          <w:lang w:eastAsia="es-MX"/>
        </w:rPr>
      </w:pPr>
      <w:r w:rsidRPr="00510083">
        <w:rPr>
          <w:rFonts w:ascii="ITC Avant Garde" w:hAnsi="ITC Avant Garde" w:cs="Tahoma"/>
          <w:b/>
          <w:bCs/>
          <w:color w:val="000000"/>
          <w:lang w:eastAsia="es-MX"/>
        </w:rPr>
        <w:lastRenderedPageBreak/>
        <w:t>Zona de servicio indicativa</w:t>
      </w:r>
    </w:p>
    <w:p w14:paraId="079CEA80" w14:textId="77777777" w:rsidR="00510083" w:rsidRPr="00510083" w:rsidRDefault="00A82BF4" w:rsidP="00510083">
      <w:pPr>
        <w:autoSpaceDE w:val="0"/>
        <w:autoSpaceDN w:val="0"/>
        <w:adjustRightInd w:val="0"/>
        <w:spacing w:before="240" w:after="240" w:line="240" w:lineRule="auto"/>
        <w:jc w:val="center"/>
        <w:rPr>
          <w:rFonts w:ascii="ITC Avant Garde" w:hAnsi="ITC Avant Garde" w:cs="Tahoma"/>
          <w:b/>
          <w:bCs/>
          <w:color w:val="000000"/>
          <w:lang w:eastAsia="es-MX"/>
        </w:rPr>
      </w:pPr>
      <w:r w:rsidRPr="00510083">
        <w:rPr>
          <w:rFonts w:ascii="ITC Avant Garde" w:hAnsi="ITC Avant Garde" w:cs="Tahoma"/>
          <w:b/>
          <w:bCs/>
          <w:color w:val="000000"/>
          <w:lang w:eastAsia="es-MX"/>
        </w:rPr>
        <w:t xml:space="preserve">USAT–67W </w:t>
      </w:r>
    </w:p>
    <w:p w14:paraId="1FB0C2DA" w14:textId="77777777" w:rsidR="00510083" w:rsidRPr="00510083" w:rsidRDefault="00A82BF4" w:rsidP="00510083">
      <w:pPr>
        <w:autoSpaceDE w:val="0"/>
        <w:autoSpaceDN w:val="0"/>
        <w:adjustRightInd w:val="0"/>
        <w:spacing w:before="240" w:after="240" w:line="240" w:lineRule="auto"/>
        <w:jc w:val="center"/>
      </w:pPr>
      <w:r w:rsidRPr="00510083">
        <w:rPr>
          <w:rFonts w:ascii="ITC Avant Garde" w:hAnsi="ITC Avant Garde" w:cs="Tahoma"/>
          <w:noProof/>
          <w:color w:val="000000"/>
          <w:lang w:eastAsia="es-MX"/>
        </w:rPr>
        <w:drawing>
          <wp:inline distT="0" distB="0" distL="0" distR="0" wp14:anchorId="20C77371" wp14:editId="7F36CCEF">
            <wp:extent cx="2325615" cy="2324100"/>
            <wp:effectExtent l="0" t="0" r="0" b="0"/>
            <wp:docPr id="7" name="Imagen 7" descr="La imagen muestra globo terráqueo con la zona de servicio ind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789" cy="2345260"/>
                    </a:xfrm>
                    <a:prstGeom prst="rect">
                      <a:avLst/>
                    </a:prstGeom>
                    <a:noFill/>
                    <a:ln>
                      <a:noFill/>
                    </a:ln>
                  </pic:spPr>
                </pic:pic>
              </a:graphicData>
            </a:graphic>
          </wp:inline>
        </w:drawing>
      </w:r>
    </w:p>
    <w:p w14:paraId="55CFAE86" w14:textId="2A8A88D9" w:rsidR="00510083" w:rsidRPr="00510083" w:rsidRDefault="00840D8D"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La operación del sistema satelital estará sujeta a que no se cause interferencia perjudicial que comprometa la operación de redes satelitales nacionales y de servicios terrenales en territorio del país, así como, al Reglamento de Radiocomunicaciones de la UIT y a los Acuerdos de Coordinación de Frecuencias entre la Administración Mexicana con sus pares.</w:t>
      </w:r>
    </w:p>
    <w:p w14:paraId="60DF3DBE" w14:textId="77777777" w:rsidR="00510083" w:rsidRPr="00510083" w:rsidRDefault="00522C92"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 xml:space="preserve">En caso de que se susciten problemas de interferencia a otros servicios autorizados, </w:t>
      </w:r>
      <w:r w:rsidR="004E1891" w:rsidRPr="00510083">
        <w:rPr>
          <w:rFonts w:ascii="ITC Avant Garde" w:hAnsi="ITC Avant Garde"/>
          <w:color w:val="000000"/>
          <w:sz w:val="22"/>
          <w:szCs w:val="22"/>
          <w:lang w:eastAsia="es-ES"/>
        </w:rPr>
        <w:t xml:space="preserve">Sistemas Satelitales de </w:t>
      </w:r>
      <w:r w:rsidR="00DD2461" w:rsidRPr="00510083">
        <w:rPr>
          <w:rFonts w:ascii="ITC Avant Garde" w:hAnsi="ITC Avant Garde"/>
          <w:color w:val="000000"/>
          <w:sz w:val="22"/>
          <w:szCs w:val="22"/>
          <w:lang w:eastAsia="es-ES"/>
        </w:rPr>
        <w:t>México, S.</w:t>
      </w:r>
      <w:r w:rsidR="004E1891" w:rsidRPr="00510083">
        <w:rPr>
          <w:rFonts w:ascii="ITC Avant Garde" w:hAnsi="ITC Avant Garde"/>
          <w:color w:val="000000"/>
          <w:sz w:val="22"/>
          <w:szCs w:val="22"/>
          <w:lang w:eastAsia="es-ES"/>
        </w:rPr>
        <w:t xml:space="preserve"> de R.L.</w:t>
      </w:r>
      <w:r w:rsidR="00DD2461" w:rsidRPr="00510083">
        <w:rPr>
          <w:rFonts w:ascii="ITC Avant Garde" w:hAnsi="ITC Avant Garde"/>
          <w:color w:val="000000"/>
          <w:sz w:val="22"/>
          <w:szCs w:val="22"/>
          <w:lang w:eastAsia="es-ES"/>
        </w:rPr>
        <w:t xml:space="preserve"> de C.V.</w:t>
      </w:r>
      <w:r w:rsidRPr="00510083">
        <w:rPr>
          <w:rFonts w:ascii="ITC Avant Garde" w:hAnsi="ITC Avant Garde"/>
          <w:color w:val="000000"/>
          <w:sz w:val="22"/>
          <w:szCs w:val="22"/>
          <w:lang w:eastAsia="es-ES"/>
        </w:rPr>
        <w:t xml:space="preserve"> deberá sujetarse a los procedimientos de coordinación técnica a que haya lugar, a fin de garantizar el correcto funcionamiento de los sistemas que operen en las mismas bandas de frecuencia.</w:t>
      </w:r>
    </w:p>
    <w:p w14:paraId="589A6D7F" w14:textId="77777777" w:rsidR="00510083" w:rsidRPr="00510083" w:rsidRDefault="00AC7E0B" w:rsidP="00510083">
      <w:pPr>
        <w:pStyle w:val="NormalWeb"/>
        <w:spacing w:before="240" w:beforeAutospacing="0" w:after="240" w:afterAutospacing="0"/>
        <w:jc w:val="both"/>
        <w:rPr>
          <w:rFonts w:ascii="ITC Avant Garde" w:hAnsi="ITC Avant Garde"/>
          <w:color w:val="000000"/>
          <w:sz w:val="22"/>
          <w:szCs w:val="22"/>
          <w:lang w:eastAsia="es-ES"/>
        </w:rPr>
      </w:pPr>
      <w:r w:rsidRPr="00510083">
        <w:rPr>
          <w:rFonts w:ascii="ITC Avant Garde" w:hAnsi="ITC Avant Garde"/>
          <w:color w:val="000000"/>
          <w:sz w:val="22"/>
          <w:szCs w:val="22"/>
          <w:lang w:eastAsia="es-ES"/>
        </w:rPr>
        <w:t>La emisión y recepción de señales y bandas de frecuencia asociados al sistema extranjero deberá ajustarse a las disposiciones técnico-administrativas y regulatorias aplicables y aquellas adicionales que sean emitidas por el Instituto.</w:t>
      </w:r>
      <w:r w:rsidR="005532F8" w:rsidRPr="00510083">
        <w:rPr>
          <w:rFonts w:ascii="ITC Avant Garde" w:hAnsi="ITC Avant Garde"/>
          <w:color w:val="000000"/>
          <w:sz w:val="22"/>
          <w:szCs w:val="22"/>
          <w:lang w:eastAsia="es-ES"/>
        </w:rPr>
        <w:t xml:space="preserve"> Asimismo, por lo que hace a</w:t>
      </w:r>
      <w:r w:rsidR="005532F8" w:rsidRPr="00510083">
        <w:t xml:space="preserve"> </w:t>
      </w:r>
      <w:r w:rsidR="005532F8" w:rsidRPr="00510083">
        <w:rPr>
          <w:rFonts w:ascii="ITC Avant Garde" w:hAnsi="ITC Avant Garde"/>
          <w:color w:val="000000"/>
          <w:sz w:val="22"/>
          <w:szCs w:val="22"/>
          <w:lang w:eastAsia="es-ES"/>
        </w:rPr>
        <w:t>la prestación de los servicios sobre el territorio nacional, éstos no deberán sufrir afectación alguna, manteniendo la continuidad de los mismos.</w:t>
      </w:r>
    </w:p>
    <w:p w14:paraId="36C5640B" w14:textId="5B2FECC0" w:rsidR="00510083" w:rsidRPr="00510083" w:rsidRDefault="00762CB4" w:rsidP="00510083">
      <w:pPr>
        <w:spacing w:before="240" w:after="240" w:line="240" w:lineRule="auto"/>
        <w:jc w:val="both"/>
        <w:rPr>
          <w:rFonts w:ascii="ITC Avant Garde" w:hAnsi="ITC Avant Garde"/>
          <w:b/>
          <w:color w:val="000000"/>
          <w:lang w:eastAsia="es-ES"/>
        </w:rPr>
      </w:pPr>
      <w:r w:rsidRPr="00510083">
        <w:rPr>
          <w:rFonts w:ascii="ITC Avant Garde" w:hAnsi="ITC Avant Garde"/>
          <w:b/>
          <w:color w:val="000000"/>
          <w:lang w:eastAsia="es-ES"/>
        </w:rPr>
        <w:t>TERCERO</w:t>
      </w:r>
      <w:r w:rsidR="00E65C36" w:rsidRPr="00510083">
        <w:rPr>
          <w:rFonts w:ascii="ITC Avant Garde" w:hAnsi="ITC Avant Garde"/>
          <w:b/>
          <w:color w:val="000000"/>
          <w:lang w:eastAsia="es-ES"/>
        </w:rPr>
        <w:t>.-</w:t>
      </w:r>
      <w:r w:rsidR="00830F5B" w:rsidRPr="00510083">
        <w:rPr>
          <w:rFonts w:ascii="ITC Avant Garde" w:hAnsi="ITC Avant Garde"/>
          <w:b/>
          <w:color w:val="000000"/>
          <w:lang w:eastAsia="es-ES"/>
        </w:rPr>
        <w:t xml:space="preserve"> </w:t>
      </w:r>
      <w:r w:rsidR="001A3172" w:rsidRPr="00510083">
        <w:rPr>
          <w:rFonts w:ascii="ITC Avant Garde" w:hAnsi="ITC Avant Garde"/>
          <w:color w:val="000000"/>
          <w:lang w:eastAsia="es-ES"/>
        </w:rPr>
        <w:t xml:space="preserve">La </w:t>
      </w:r>
      <w:r w:rsidR="00840D8D" w:rsidRPr="00510083">
        <w:rPr>
          <w:rFonts w:ascii="ITC Avant Garde" w:hAnsi="ITC Avant Garde"/>
          <w:color w:val="000000"/>
          <w:lang w:val="es-ES" w:eastAsia="es-ES"/>
        </w:rPr>
        <w:t xml:space="preserve">presente modificación forma parte integral del </w:t>
      </w:r>
      <w:r w:rsidR="00840D8D" w:rsidRPr="00510083">
        <w:rPr>
          <w:rFonts w:ascii="ITC Avant Garde" w:hAnsi="ITC Avant Garde"/>
          <w:color w:val="000000"/>
          <w:lang w:eastAsia="es-ES"/>
        </w:rPr>
        <w:t>Título de Concesión otorgado a favor de Sistemas Satelitales de México, S. de R.L. de C.V</w:t>
      </w:r>
      <w:r w:rsidR="000C3012" w:rsidRPr="00510083">
        <w:rPr>
          <w:rFonts w:ascii="ITC Avant Garde" w:hAnsi="ITC Avant Garde"/>
          <w:color w:val="000000"/>
          <w:lang w:eastAsia="es-ES"/>
        </w:rPr>
        <w:t>., el 26 de septiembre de 2011</w:t>
      </w:r>
      <w:r w:rsidR="00632CBC" w:rsidRPr="00510083">
        <w:rPr>
          <w:rFonts w:ascii="ITC Avant Garde" w:hAnsi="ITC Avant Garde"/>
          <w:color w:val="000000"/>
          <w:lang w:val="es-ES" w:eastAsia="es-ES"/>
        </w:rPr>
        <w:t>,</w:t>
      </w:r>
      <w:r w:rsidR="00632CBC" w:rsidRPr="00510083">
        <w:rPr>
          <w:rFonts w:ascii="ITC Avant Garde" w:hAnsi="ITC Avant Garde"/>
          <w:bCs/>
          <w:color w:val="000000"/>
        </w:rPr>
        <w:t xml:space="preserve"> para</w:t>
      </w:r>
      <w:r w:rsidR="00840D8D" w:rsidRPr="00510083">
        <w:rPr>
          <w:rFonts w:ascii="ITC Avant Garde" w:hAnsi="ITC Avant Garde"/>
          <w:bCs/>
          <w:color w:val="000000"/>
        </w:rPr>
        <w:t xml:space="preserve"> explotar los derechos de emisión y recepción de señales de bandas de frecuencias asociadas a satélites extranjeros, que cubren y pueden prestar servicios en el territorio nacional</w:t>
      </w:r>
    </w:p>
    <w:p w14:paraId="6D6B324D" w14:textId="77777777" w:rsidR="00510083" w:rsidRPr="00510083" w:rsidRDefault="00A75087" w:rsidP="00510083">
      <w:pPr>
        <w:spacing w:before="240" w:after="240" w:line="240" w:lineRule="auto"/>
        <w:jc w:val="both"/>
        <w:rPr>
          <w:rFonts w:ascii="ITC Avant Garde" w:hAnsi="ITC Avant Garde"/>
          <w:color w:val="000000"/>
          <w:lang w:eastAsia="es-ES"/>
        </w:rPr>
      </w:pPr>
      <w:r w:rsidRPr="00510083">
        <w:rPr>
          <w:rFonts w:ascii="ITC Avant Garde" w:hAnsi="ITC Avant Garde"/>
          <w:color w:val="000000"/>
          <w:lang w:eastAsia="es-ES"/>
        </w:rPr>
        <w:t xml:space="preserve">Las demás obligaciones establecidas en </w:t>
      </w:r>
      <w:r w:rsidR="002C15E0" w:rsidRPr="00510083">
        <w:rPr>
          <w:rFonts w:ascii="ITC Avant Garde" w:hAnsi="ITC Avant Garde"/>
          <w:color w:val="000000"/>
          <w:lang w:eastAsia="es-ES"/>
        </w:rPr>
        <w:t>dicho</w:t>
      </w:r>
      <w:r w:rsidRPr="00510083">
        <w:rPr>
          <w:rFonts w:ascii="ITC Avant Garde" w:hAnsi="ITC Avant Garde"/>
          <w:color w:val="000000"/>
          <w:lang w:eastAsia="es-ES"/>
        </w:rPr>
        <w:t xml:space="preserve"> </w:t>
      </w:r>
      <w:r w:rsidR="00131155" w:rsidRPr="00510083">
        <w:rPr>
          <w:rFonts w:ascii="ITC Avant Garde" w:hAnsi="ITC Avant Garde"/>
          <w:color w:val="000000"/>
          <w:lang w:eastAsia="es-ES"/>
        </w:rPr>
        <w:t xml:space="preserve">Título </w:t>
      </w:r>
      <w:r w:rsidRPr="00510083">
        <w:rPr>
          <w:rFonts w:ascii="ITC Avant Garde" w:hAnsi="ITC Avant Garde"/>
          <w:color w:val="000000"/>
          <w:lang w:eastAsia="es-ES"/>
        </w:rPr>
        <w:t xml:space="preserve">de </w:t>
      </w:r>
      <w:r w:rsidR="005D5BAE" w:rsidRPr="00510083">
        <w:rPr>
          <w:rFonts w:ascii="ITC Avant Garde" w:hAnsi="ITC Avant Garde"/>
          <w:color w:val="000000"/>
          <w:lang w:eastAsia="es-ES"/>
        </w:rPr>
        <w:t>C</w:t>
      </w:r>
      <w:r w:rsidRPr="00510083">
        <w:rPr>
          <w:rFonts w:ascii="ITC Avant Garde" w:hAnsi="ITC Avant Garde"/>
          <w:color w:val="000000"/>
          <w:lang w:eastAsia="es-ES"/>
        </w:rPr>
        <w:t>oncesión subsisten en todos sus términos.</w:t>
      </w:r>
    </w:p>
    <w:p w14:paraId="190ACD4E" w14:textId="77777777" w:rsidR="00510083" w:rsidRPr="00510083" w:rsidRDefault="00CC44D6" w:rsidP="00510083">
      <w:pPr>
        <w:spacing w:before="240" w:after="240" w:line="240" w:lineRule="auto"/>
        <w:jc w:val="both"/>
        <w:rPr>
          <w:rFonts w:ascii="ITC Avant Garde" w:hAnsi="ITC Avant Garde"/>
          <w:color w:val="000000"/>
          <w:lang w:eastAsia="es-ES"/>
        </w:rPr>
      </w:pPr>
      <w:r w:rsidRPr="00510083">
        <w:rPr>
          <w:rFonts w:ascii="ITC Avant Garde" w:hAnsi="ITC Avant Garde"/>
          <w:b/>
          <w:color w:val="000000"/>
          <w:lang w:eastAsia="es-ES"/>
        </w:rPr>
        <w:t>CUARTO</w:t>
      </w:r>
      <w:r w:rsidR="0026462F" w:rsidRPr="00510083">
        <w:rPr>
          <w:rFonts w:ascii="ITC Avant Garde" w:hAnsi="ITC Avant Garde"/>
          <w:color w:val="000000"/>
          <w:lang w:eastAsia="es-ES"/>
        </w:rPr>
        <w:t xml:space="preserve">.- </w:t>
      </w:r>
      <w:r w:rsidR="00AB37BB" w:rsidRPr="00510083">
        <w:rPr>
          <w:rFonts w:ascii="ITC Avant Garde" w:hAnsi="ITC Avant Garde"/>
          <w:color w:val="000000"/>
          <w:lang w:eastAsia="es-ES"/>
        </w:rPr>
        <w:t>Se instruye a la Unidad de Concesiones y Servicios a notificar</w:t>
      </w:r>
      <w:r w:rsidR="00AC7E0B" w:rsidRPr="00510083">
        <w:rPr>
          <w:rFonts w:ascii="ITC Avant Garde" w:hAnsi="ITC Avant Garde"/>
          <w:color w:val="000000"/>
          <w:lang w:eastAsia="es-ES"/>
        </w:rPr>
        <w:t xml:space="preserve"> a</w:t>
      </w:r>
      <w:r w:rsidR="00AB37BB" w:rsidRPr="00510083">
        <w:rPr>
          <w:rFonts w:ascii="ITC Avant Garde" w:hAnsi="ITC Avant Garde"/>
          <w:color w:val="000000"/>
          <w:lang w:eastAsia="es-ES"/>
        </w:rPr>
        <w:t xml:space="preserve"> </w:t>
      </w:r>
      <w:r w:rsidR="004E1891" w:rsidRPr="00510083">
        <w:rPr>
          <w:rFonts w:ascii="ITC Avant Garde" w:hAnsi="ITC Avant Garde"/>
          <w:color w:val="000000"/>
          <w:lang w:eastAsia="es-ES"/>
        </w:rPr>
        <w:t>Sistemas Satelitales de México, S. de R.L. de C.V.</w:t>
      </w:r>
      <w:r w:rsidR="00AC7E0B" w:rsidRPr="00510083">
        <w:rPr>
          <w:rFonts w:ascii="ITC Avant Garde" w:hAnsi="ITC Avant Garde"/>
          <w:color w:val="000000"/>
          <w:lang w:eastAsia="es-ES"/>
        </w:rPr>
        <w:t xml:space="preserve"> el contenido de </w:t>
      </w:r>
      <w:r w:rsidR="00A75087" w:rsidRPr="00510083">
        <w:rPr>
          <w:rFonts w:ascii="ITC Avant Garde" w:hAnsi="ITC Avant Garde"/>
          <w:color w:val="000000"/>
          <w:lang w:eastAsia="es-ES"/>
        </w:rPr>
        <w:t>la presente Resolución</w:t>
      </w:r>
      <w:r w:rsidR="00AC7E0B" w:rsidRPr="00510083">
        <w:rPr>
          <w:rFonts w:ascii="ITC Avant Garde" w:hAnsi="ITC Avant Garde"/>
          <w:color w:val="000000"/>
          <w:lang w:eastAsia="es-ES"/>
        </w:rPr>
        <w:t>.</w:t>
      </w:r>
      <w:r w:rsidR="00AB37BB" w:rsidRPr="00510083">
        <w:rPr>
          <w:rFonts w:ascii="ITC Avant Garde" w:hAnsi="ITC Avant Garde"/>
          <w:color w:val="000000"/>
          <w:lang w:eastAsia="es-ES"/>
        </w:rPr>
        <w:t xml:space="preserve"> </w:t>
      </w:r>
    </w:p>
    <w:p w14:paraId="4EEEED6D" w14:textId="77777777" w:rsidR="00510083" w:rsidRPr="00510083" w:rsidRDefault="00CC44D6" w:rsidP="00510083">
      <w:pPr>
        <w:spacing w:before="240" w:after="240" w:line="240" w:lineRule="auto"/>
        <w:jc w:val="both"/>
        <w:rPr>
          <w:rFonts w:ascii="ITC Avant Garde" w:hAnsi="ITC Avant Garde"/>
          <w:bCs/>
        </w:rPr>
      </w:pPr>
      <w:r w:rsidRPr="00510083">
        <w:rPr>
          <w:rFonts w:ascii="ITC Avant Garde" w:hAnsi="ITC Avant Garde"/>
          <w:b/>
          <w:bCs/>
        </w:rPr>
        <w:lastRenderedPageBreak/>
        <w:t>QUINTO</w:t>
      </w:r>
      <w:r w:rsidR="00AC7E0B" w:rsidRPr="00510083">
        <w:rPr>
          <w:rFonts w:ascii="ITC Avant Garde" w:hAnsi="ITC Avant Garde"/>
          <w:b/>
          <w:bCs/>
        </w:rPr>
        <w:t>.</w:t>
      </w:r>
      <w:r w:rsidR="0026462F" w:rsidRPr="00510083">
        <w:rPr>
          <w:rFonts w:ascii="ITC Avant Garde" w:hAnsi="ITC Avant Garde"/>
          <w:b/>
          <w:bCs/>
        </w:rPr>
        <w:t xml:space="preserve">- </w:t>
      </w:r>
      <w:r w:rsidR="00772B6F" w:rsidRPr="00510083">
        <w:rPr>
          <w:rFonts w:ascii="ITC Avant Garde" w:hAnsi="ITC Avant Garde"/>
          <w:bCs/>
        </w:rPr>
        <w:t>Inscríbanse en el Registro Público de Concesiones las modificaciones a que se refiere la presente Resolución</w:t>
      </w:r>
      <w:r w:rsidR="005569BA" w:rsidRPr="00510083">
        <w:rPr>
          <w:rFonts w:ascii="ITC Avant Garde" w:hAnsi="ITC Avant Garde"/>
          <w:bCs/>
        </w:rPr>
        <w:t>.</w:t>
      </w:r>
      <w:r w:rsidR="006C5249" w:rsidRPr="00510083">
        <w:rPr>
          <w:rFonts w:ascii="ITC Avant Garde" w:hAnsi="ITC Avant Garde"/>
          <w:bCs/>
        </w:rPr>
        <w:t xml:space="preserve">, una vez cumplido lo </w:t>
      </w:r>
      <w:r w:rsidR="00646679" w:rsidRPr="00510083">
        <w:rPr>
          <w:rFonts w:ascii="ITC Avant Garde" w:hAnsi="ITC Avant Garde"/>
          <w:bCs/>
        </w:rPr>
        <w:t xml:space="preserve">mandatado </w:t>
      </w:r>
      <w:r w:rsidR="006C5249" w:rsidRPr="00510083">
        <w:rPr>
          <w:rFonts w:ascii="ITC Avant Garde" w:hAnsi="ITC Avant Garde"/>
          <w:bCs/>
        </w:rPr>
        <w:t xml:space="preserve">en el </w:t>
      </w:r>
      <w:r w:rsidR="00C577B5" w:rsidRPr="00510083">
        <w:rPr>
          <w:rFonts w:ascii="ITC Avant Garde" w:hAnsi="ITC Avant Garde"/>
          <w:bCs/>
        </w:rPr>
        <w:t>Resolutivo CUARTO</w:t>
      </w:r>
      <w:r w:rsidR="00AC7E0B" w:rsidRPr="00510083">
        <w:rPr>
          <w:rFonts w:ascii="ITC Avant Garde" w:hAnsi="ITC Avant Garde"/>
          <w:bCs/>
        </w:rPr>
        <w:t>.</w:t>
      </w:r>
    </w:p>
    <w:p w14:paraId="26572FF4" w14:textId="77777777" w:rsidR="00510083" w:rsidRPr="00510083" w:rsidRDefault="007C6408" w:rsidP="00510083">
      <w:pPr>
        <w:spacing w:before="240" w:after="240" w:line="240" w:lineRule="auto"/>
        <w:jc w:val="both"/>
        <w:rPr>
          <w:rFonts w:ascii="ITC Avant Garde" w:hAnsi="ITC Avant Garde"/>
          <w:sz w:val="14"/>
          <w:szCs w:val="14"/>
          <w:lang w:eastAsia="es-ES"/>
        </w:rPr>
      </w:pPr>
      <w:r w:rsidRPr="00510083">
        <w:rPr>
          <w:rFonts w:ascii="ITC Avant Garde" w:hAnsi="ITC Avant Garde"/>
          <w:sz w:val="14"/>
          <w:szCs w:val="14"/>
          <w:lang w:eastAsia="es-ES"/>
        </w:rPr>
        <w:t xml:space="preserve">La presente Resolución fue aprobada por el Pleno del Instituto Federal de Telecomunicaciones en su XVII Sesión Ordinaria celebrada el 11 de mayo de 2017, por unanimidad de votos de los Comisionados Gabriel Oswaldo Contreras Saldívar, Adriana Sofía Labardini Inzunza, María Elena Estavillo Flores, Mario Germán Fromow Rangel, Adolfo Cuevas Teja, Javier Juárez Mojica y Arturo Robles </w:t>
      </w:r>
      <w:proofErr w:type="spellStart"/>
      <w:r w:rsidRPr="00510083">
        <w:rPr>
          <w:rFonts w:ascii="ITC Avant Garde" w:hAnsi="ITC Avant Garde"/>
          <w:sz w:val="14"/>
          <w:szCs w:val="14"/>
          <w:lang w:eastAsia="es-ES"/>
        </w:rPr>
        <w:t>Rovalo</w:t>
      </w:r>
      <w:proofErr w:type="spellEnd"/>
      <w:r w:rsidRPr="00510083">
        <w:rPr>
          <w:rFonts w:ascii="ITC Avant Garde" w:hAnsi="ITC Avant Garde"/>
          <w:sz w:val="14"/>
          <w:szCs w:val="14"/>
          <w:lang w:eastAsia="es-ES"/>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P/IFT/110517/229.</w:t>
      </w:r>
    </w:p>
    <w:p w14:paraId="532CA183" w14:textId="3F9DDDEA" w:rsidR="000E31C6" w:rsidRPr="00510083" w:rsidRDefault="007C6408" w:rsidP="00510083">
      <w:pPr>
        <w:spacing w:before="240" w:after="240" w:line="240" w:lineRule="auto"/>
        <w:jc w:val="both"/>
        <w:rPr>
          <w:rFonts w:ascii="ITC Avant Garde" w:hAnsi="ITC Avant Garde"/>
          <w:sz w:val="14"/>
          <w:szCs w:val="14"/>
          <w:lang w:eastAsia="es-ES"/>
        </w:rPr>
      </w:pPr>
      <w:r w:rsidRPr="00510083">
        <w:rPr>
          <w:rFonts w:ascii="ITC Avant Garde" w:hAnsi="ITC Avant Garde"/>
          <w:sz w:val="14"/>
          <w:szCs w:val="14"/>
          <w:lang w:eastAsia="es-ES"/>
        </w:rPr>
        <w:t>Las Comisionadas Adriana Sofía Labardini Inzunza y María Elena Estavillo Flores, previendo su ausencia justificada a la sesión, emitieron su voto razonado por escrito, en términos de los artículos 45 tercer párrafo de la Ley Federal de Telecomunicaciones y Radiodifusión, y 8 segundo párrafo del Estatuto Orgánico del Instituto Federal de Telecomunicaciones.</w:t>
      </w:r>
    </w:p>
    <w:sectPr w:rsidR="000E31C6" w:rsidRPr="00510083" w:rsidSect="000E31C6">
      <w:headerReference w:type="even" r:id="rId14"/>
      <w:footerReference w:type="default" r:id="rId15"/>
      <w:headerReference w:type="first" r:id="rId16"/>
      <w:footerReference w:type="first" r:id="rId17"/>
      <w:pgSz w:w="12240" w:h="15840"/>
      <w:pgMar w:top="1985" w:right="1418" w:bottom="1418"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C5610" w14:textId="77777777" w:rsidR="00BF75B3" w:rsidRDefault="00BF75B3" w:rsidP="00072BC8">
      <w:pPr>
        <w:spacing w:after="0" w:line="240" w:lineRule="auto"/>
      </w:pPr>
      <w:r>
        <w:separator/>
      </w:r>
    </w:p>
  </w:endnote>
  <w:endnote w:type="continuationSeparator" w:id="0">
    <w:p w14:paraId="497E3C0E" w14:textId="77777777" w:rsidR="00BF75B3" w:rsidRDefault="00BF75B3"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TC Avant Garde Std Bk">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altName w:val="Century Gothic"/>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416904"/>
      <w:docPartObj>
        <w:docPartGallery w:val="Page Numbers (Bottom of Page)"/>
        <w:docPartUnique/>
      </w:docPartObj>
    </w:sdtPr>
    <w:sdtEndPr/>
    <w:sdtContent>
      <w:p w14:paraId="08DB640C" w14:textId="0E03AA07" w:rsidR="00F4390F" w:rsidRDefault="000E31C6" w:rsidP="00510083">
        <w:pPr>
          <w:pStyle w:val="Piedepgina"/>
          <w:jc w:val="right"/>
        </w:pPr>
        <w:r>
          <w:fldChar w:fldCharType="begin"/>
        </w:r>
        <w:r>
          <w:instrText>PAGE   \* MERGEFORMAT</w:instrText>
        </w:r>
        <w:r>
          <w:fldChar w:fldCharType="separate"/>
        </w:r>
        <w:r w:rsidR="0037530E" w:rsidRPr="0037530E">
          <w:rPr>
            <w:noProof/>
            <w:lang w:val="es-ES"/>
          </w:rPr>
          <w:t>13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389A9" w14:textId="607A9D1A" w:rsidR="00F4390F" w:rsidRPr="008448A0" w:rsidRDefault="00F4390F">
    <w:pPr>
      <w:pStyle w:val="Piedepgina"/>
      <w:jc w:val="right"/>
      <w:rPr>
        <w:rFonts w:ascii="ITC Avant Garde" w:hAnsi="ITC Avant Garde"/>
        <w:noProof/>
        <w:sz w:val="18"/>
        <w:szCs w:val="18"/>
      </w:rPr>
    </w:pPr>
    <w:r w:rsidRPr="008448A0">
      <w:rPr>
        <w:rFonts w:ascii="ITC Avant Garde" w:hAnsi="ITC Avant Garde"/>
        <w:noProof/>
        <w:sz w:val="18"/>
        <w:szCs w:val="18"/>
      </w:rPr>
      <w:fldChar w:fldCharType="begin"/>
    </w:r>
    <w:r w:rsidRPr="008448A0">
      <w:rPr>
        <w:rFonts w:ascii="ITC Avant Garde" w:hAnsi="ITC Avant Garde"/>
        <w:noProof/>
        <w:sz w:val="18"/>
        <w:szCs w:val="18"/>
      </w:rPr>
      <w:instrText>PAGE</w:instrText>
    </w:r>
    <w:r w:rsidRPr="008448A0">
      <w:rPr>
        <w:rFonts w:ascii="ITC Avant Garde" w:hAnsi="ITC Avant Garde"/>
        <w:noProof/>
        <w:sz w:val="18"/>
        <w:szCs w:val="18"/>
      </w:rPr>
      <w:fldChar w:fldCharType="separate"/>
    </w:r>
    <w:r w:rsidR="005E6D6C">
      <w:rPr>
        <w:rFonts w:ascii="ITC Avant Garde" w:hAnsi="ITC Avant Garde"/>
        <w:noProof/>
        <w:sz w:val="18"/>
        <w:szCs w:val="18"/>
      </w:rPr>
      <w:t>1</w:t>
    </w:r>
    <w:r w:rsidRPr="008448A0">
      <w:rPr>
        <w:rFonts w:ascii="ITC Avant Garde" w:hAnsi="ITC Avant Garde"/>
        <w:noProof/>
        <w:sz w:val="18"/>
        <w:szCs w:val="18"/>
      </w:rPr>
      <w:fldChar w:fldCharType="end"/>
    </w:r>
    <w:r w:rsidRPr="008448A0">
      <w:rPr>
        <w:rFonts w:ascii="ITC Avant Garde" w:hAnsi="ITC Avant Garde"/>
        <w:noProof/>
        <w:sz w:val="18"/>
        <w:szCs w:val="18"/>
      </w:rPr>
      <w:t xml:space="preserve"> de </w:t>
    </w:r>
    <w:r w:rsidRPr="008448A0">
      <w:rPr>
        <w:rFonts w:ascii="ITC Avant Garde" w:hAnsi="ITC Avant Garde"/>
        <w:noProof/>
        <w:sz w:val="18"/>
        <w:szCs w:val="18"/>
      </w:rPr>
      <w:fldChar w:fldCharType="begin"/>
    </w:r>
    <w:r w:rsidRPr="008448A0">
      <w:rPr>
        <w:rFonts w:ascii="ITC Avant Garde" w:hAnsi="ITC Avant Garde"/>
        <w:noProof/>
        <w:sz w:val="18"/>
        <w:szCs w:val="18"/>
      </w:rPr>
      <w:instrText>NUMPAGES</w:instrText>
    </w:r>
    <w:r w:rsidRPr="008448A0">
      <w:rPr>
        <w:rFonts w:ascii="ITC Avant Garde" w:hAnsi="ITC Avant Garde"/>
        <w:noProof/>
        <w:sz w:val="18"/>
        <w:szCs w:val="18"/>
      </w:rPr>
      <w:fldChar w:fldCharType="separate"/>
    </w:r>
    <w:r w:rsidR="00945433">
      <w:rPr>
        <w:rFonts w:ascii="ITC Avant Garde" w:hAnsi="ITC Avant Garde"/>
        <w:noProof/>
        <w:sz w:val="18"/>
        <w:szCs w:val="18"/>
      </w:rPr>
      <w:t>9</w:t>
    </w:r>
    <w:r w:rsidRPr="008448A0">
      <w:rPr>
        <w:rFonts w:ascii="ITC Avant Garde" w:hAnsi="ITC Avant Garde"/>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C97A5" w14:textId="77777777" w:rsidR="00BF75B3" w:rsidRDefault="00BF75B3" w:rsidP="00072BC8">
      <w:pPr>
        <w:spacing w:after="0" w:line="240" w:lineRule="auto"/>
      </w:pPr>
      <w:r>
        <w:separator/>
      </w:r>
    </w:p>
  </w:footnote>
  <w:footnote w:type="continuationSeparator" w:id="0">
    <w:p w14:paraId="22D01E98" w14:textId="77777777" w:rsidR="00BF75B3" w:rsidRDefault="00BF75B3" w:rsidP="00072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8210F" w14:textId="77777777" w:rsidR="00F4390F" w:rsidRDefault="00BF75B3">
    <w:pPr>
      <w:pStyle w:val="Encabezado"/>
    </w:pPr>
    <w:r>
      <w:rPr>
        <w:noProof/>
        <w:lang w:eastAsia="es-MX"/>
      </w:rPr>
      <w:pict w14:anchorId="7421E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A388B" w14:textId="77777777" w:rsidR="001A49BD" w:rsidRDefault="00BF75B3">
    <w:pPr>
      <w:pStyle w:val="Encabezado"/>
    </w:pPr>
    <w:r>
      <w:rPr>
        <w:noProof/>
        <w:lang w:eastAsia="es-MX"/>
      </w:rPr>
      <w:pict w14:anchorId="0AB8F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63" type="#_x0000_t75" style="position:absolute;margin-left:-73.15pt;margin-top:-120.25pt;width:612pt;height:11in;z-index:-251656704;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0EB2"/>
    <w:multiLevelType w:val="hybridMultilevel"/>
    <w:tmpl w:val="E9588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8960D7"/>
    <w:multiLevelType w:val="hybridMultilevel"/>
    <w:tmpl w:val="A2B4798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 w15:restartNumberingAfterBreak="0">
    <w:nsid w:val="1B6E0752"/>
    <w:multiLevelType w:val="hybridMultilevel"/>
    <w:tmpl w:val="DE2CEABE"/>
    <w:lvl w:ilvl="0" w:tplc="593CC0E0">
      <w:start w:val="1"/>
      <w:numFmt w:val="lowerLetter"/>
      <w:lvlText w:val="%1)"/>
      <w:lvlJc w:val="left"/>
      <w:pPr>
        <w:ind w:left="720" w:hanging="360"/>
      </w:pPr>
      <w:rPr>
        <w:rFonts w:ascii="ITC Avant Garde Std Bk" w:hAnsi="ITC Avant Garde Std Bk"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B554DC"/>
    <w:multiLevelType w:val="hybridMultilevel"/>
    <w:tmpl w:val="1F3C9CCA"/>
    <w:lvl w:ilvl="0" w:tplc="3962D702">
      <w:numFmt w:val="bullet"/>
      <w:lvlText w:val=""/>
      <w:lvlJc w:val="left"/>
      <w:pPr>
        <w:ind w:left="927" w:hanging="360"/>
      </w:pPr>
      <w:rPr>
        <w:rFonts w:ascii="Symbol" w:eastAsia="Times New Roman" w:hAnsi="Symbol"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494432"/>
    <w:multiLevelType w:val="hybridMultilevel"/>
    <w:tmpl w:val="5E8A5DE8"/>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3D0AB6"/>
    <w:multiLevelType w:val="hybridMultilevel"/>
    <w:tmpl w:val="DDBE5D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2642A4"/>
    <w:multiLevelType w:val="hybridMultilevel"/>
    <w:tmpl w:val="D6A87A5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C57649"/>
    <w:multiLevelType w:val="hybridMultilevel"/>
    <w:tmpl w:val="3E084C60"/>
    <w:lvl w:ilvl="0" w:tplc="553C64E6">
      <w:start w:val="1"/>
      <w:numFmt w:val="ordinalText"/>
      <w:lvlText w:val="%1."/>
      <w:lvlJc w:val="left"/>
      <w:pPr>
        <w:ind w:left="3196" w:hanging="360"/>
      </w:pPr>
      <w:rPr>
        <w:rFonts w:hint="default"/>
        <w:b/>
        <w:i w:val="0"/>
        <w:caps/>
        <w:sz w:val="22"/>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958" w:hanging="180"/>
      </w:pPr>
    </w:lvl>
    <w:lvl w:ilvl="3" w:tplc="080A000F" w:tentative="1">
      <w:start w:val="1"/>
      <w:numFmt w:val="decimal"/>
      <w:lvlText w:val="%4."/>
      <w:lvlJc w:val="left"/>
      <w:pPr>
        <w:ind w:left="-238" w:hanging="360"/>
      </w:pPr>
    </w:lvl>
    <w:lvl w:ilvl="4" w:tplc="080A0019" w:tentative="1">
      <w:start w:val="1"/>
      <w:numFmt w:val="lowerLetter"/>
      <w:lvlText w:val="%5."/>
      <w:lvlJc w:val="left"/>
      <w:pPr>
        <w:ind w:left="482" w:hanging="360"/>
      </w:pPr>
    </w:lvl>
    <w:lvl w:ilvl="5" w:tplc="080A001B" w:tentative="1">
      <w:start w:val="1"/>
      <w:numFmt w:val="lowerRoman"/>
      <w:lvlText w:val="%6."/>
      <w:lvlJc w:val="right"/>
      <w:pPr>
        <w:ind w:left="1202" w:hanging="180"/>
      </w:pPr>
    </w:lvl>
    <w:lvl w:ilvl="6" w:tplc="080A000F" w:tentative="1">
      <w:start w:val="1"/>
      <w:numFmt w:val="decimal"/>
      <w:lvlText w:val="%7."/>
      <w:lvlJc w:val="left"/>
      <w:pPr>
        <w:ind w:left="1922" w:hanging="360"/>
      </w:pPr>
    </w:lvl>
    <w:lvl w:ilvl="7" w:tplc="080A0019" w:tentative="1">
      <w:start w:val="1"/>
      <w:numFmt w:val="lowerLetter"/>
      <w:lvlText w:val="%8."/>
      <w:lvlJc w:val="left"/>
      <w:pPr>
        <w:ind w:left="2642" w:hanging="360"/>
      </w:pPr>
    </w:lvl>
    <w:lvl w:ilvl="8" w:tplc="080A001B" w:tentative="1">
      <w:start w:val="1"/>
      <w:numFmt w:val="lowerRoman"/>
      <w:lvlText w:val="%9."/>
      <w:lvlJc w:val="right"/>
      <w:pPr>
        <w:ind w:left="3362" w:hanging="180"/>
      </w:pPr>
    </w:lvl>
  </w:abstractNum>
  <w:abstractNum w:abstractNumId="8" w15:restartNumberingAfterBreak="0">
    <w:nsid w:val="372E0EDC"/>
    <w:multiLevelType w:val="hybridMultilevel"/>
    <w:tmpl w:val="C632F8A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FC1FD2"/>
    <w:multiLevelType w:val="hybridMultilevel"/>
    <w:tmpl w:val="E0583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AA797C"/>
    <w:multiLevelType w:val="hybridMultilevel"/>
    <w:tmpl w:val="07024090"/>
    <w:lvl w:ilvl="0" w:tplc="BDD8BE02">
      <w:numFmt w:val="bullet"/>
      <w:lvlText w:val=""/>
      <w:lvlJc w:val="left"/>
      <w:pPr>
        <w:ind w:left="1287" w:hanging="360"/>
      </w:pPr>
      <w:rPr>
        <w:rFonts w:ascii="Symbol" w:eastAsia="Times New Roman" w:hAnsi="Symbol" w:cs="Times New Roman"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414F414D"/>
    <w:multiLevelType w:val="hybridMultilevel"/>
    <w:tmpl w:val="03CE6000"/>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43DE6DB7"/>
    <w:multiLevelType w:val="hybridMultilevel"/>
    <w:tmpl w:val="B3CAD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9F298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042B83"/>
    <w:multiLevelType w:val="hybridMultilevel"/>
    <w:tmpl w:val="16A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ED5F57"/>
    <w:multiLevelType w:val="hybridMultilevel"/>
    <w:tmpl w:val="8D825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B25A60"/>
    <w:multiLevelType w:val="hybridMultilevel"/>
    <w:tmpl w:val="B16AB548"/>
    <w:lvl w:ilvl="0" w:tplc="FB186E08">
      <w:numFmt w:val="bullet"/>
      <w:lvlText w:val=""/>
      <w:lvlJc w:val="left"/>
      <w:pPr>
        <w:ind w:left="927" w:hanging="360"/>
      </w:pPr>
      <w:rPr>
        <w:rFonts w:ascii="Symbol" w:eastAsia="Times New Roman" w:hAnsi="Symbol"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7" w15:restartNumberingAfterBreak="0">
    <w:nsid w:val="6B3650E9"/>
    <w:multiLevelType w:val="hybridMultilevel"/>
    <w:tmpl w:val="71BEFE3C"/>
    <w:lvl w:ilvl="0" w:tplc="671613F2">
      <w:start w:val="2"/>
      <w:numFmt w:val="bullet"/>
      <w:lvlText w:val=""/>
      <w:lvlJc w:val="left"/>
      <w:pPr>
        <w:ind w:left="720" w:hanging="360"/>
      </w:pPr>
      <w:rPr>
        <w:rFonts w:ascii="Symbol" w:eastAsia="Times New Roman"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15"/>
  </w:num>
  <w:num w:numId="5">
    <w:abstractNumId w:val="12"/>
  </w:num>
  <w:num w:numId="6">
    <w:abstractNumId w:val="5"/>
  </w:num>
  <w:num w:numId="7">
    <w:abstractNumId w:val="7"/>
  </w:num>
  <w:num w:numId="8">
    <w:abstractNumId w:val="4"/>
  </w:num>
  <w:num w:numId="9">
    <w:abstractNumId w:val="6"/>
  </w:num>
  <w:num w:numId="10">
    <w:abstractNumId w:val="13"/>
  </w:num>
  <w:num w:numId="11">
    <w:abstractNumId w:val="2"/>
  </w:num>
  <w:num w:numId="12">
    <w:abstractNumId w:val="9"/>
  </w:num>
  <w:num w:numId="13">
    <w:abstractNumId w:val="8"/>
  </w:num>
  <w:num w:numId="14">
    <w:abstractNumId w:val="17"/>
  </w:num>
  <w:num w:numId="15">
    <w:abstractNumId w:val="16"/>
  </w:num>
  <w:num w:numId="16">
    <w:abstractNumId w:val="10"/>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4B9"/>
    <w:rsid w:val="00000885"/>
    <w:rsid w:val="000070D2"/>
    <w:rsid w:val="000071D4"/>
    <w:rsid w:val="000110CC"/>
    <w:rsid w:val="0001355C"/>
    <w:rsid w:val="000147EB"/>
    <w:rsid w:val="000154B0"/>
    <w:rsid w:val="0001646F"/>
    <w:rsid w:val="00020D29"/>
    <w:rsid w:val="00021722"/>
    <w:rsid w:val="00021968"/>
    <w:rsid w:val="00023550"/>
    <w:rsid w:val="00027946"/>
    <w:rsid w:val="000311EE"/>
    <w:rsid w:val="0003255F"/>
    <w:rsid w:val="00033502"/>
    <w:rsid w:val="0003435D"/>
    <w:rsid w:val="00034872"/>
    <w:rsid w:val="00045A70"/>
    <w:rsid w:val="000468BB"/>
    <w:rsid w:val="00050BBB"/>
    <w:rsid w:val="00050DDE"/>
    <w:rsid w:val="000519B0"/>
    <w:rsid w:val="00053412"/>
    <w:rsid w:val="00053A1A"/>
    <w:rsid w:val="00055CC8"/>
    <w:rsid w:val="00056248"/>
    <w:rsid w:val="00057A17"/>
    <w:rsid w:val="00061746"/>
    <w:rsid w:val="00065AD9"/>
    <w:rsid w:val="00066CB1"/>
    <w:rsid w:val="00070146"/>
    <w:rsid w:val="00071BE9"/>
    <w:rsid w:val="0007221E"/>
    <w:rsid w:val="00072BC8"/>
    <w:rsid w:val="00074A2E"/>
    <w:rsid w:val="000760B6"/>
    <w:rsid w:val="00077761"/>
    <w:rsid w:val="00077838"/>
    <w:rsid w:val="00082170"/>
    <w:rsid w:val="00082E60"/>
    <w:rsid w:val="0008564E"/>
    <w:rsid w:val="00085D00"/>
    <w:rsid w:val="00086AD6"/>
    <w:rsid w:val="0009105D"/>
    <w:rsid w:val="00092924"/>
    <w:rsid w:val="00095BDE"/>
    <w:rsid w:val="00095E61"/>
    <w:rsid w:val="00096C58"/>
    <w:rsid w:val="00097BF9"/>
    <w:rsid w:val="000A0A74"/>
    <w:rsid w:val="000A110D"/>
    <w:rsid w:val="000A14B1"/>
    <w:rsid w:val="000A2979"/>
    <w:rsid w:val="000A4B55"/>
    <w:rsid w:val="000A6D7C"/>
    <w:rsid w:val="000B1BBF"/>
    <w:rsid w:val="000B5D18"/>
    <w:rsid w:val="000C23E8"/>
    <w:rsid w:val="000C3012"/>
    <w:rsid w:val="000C3B85"/>
    <w:rsid w:val="000C3BB8"/>
    <w:rsid w:val="000C415A"/>
    <w:rsid w:val="000C5E84"/>
    <w:rsid w:val="000D03DC"/>
    <w:rsid w:val="000D27D6"/>
    <w:rsid w:val="000D288A"/>
    <w:rsid w:val="000E161F"/>
    <w:rsid w:val="000E191D"/>
    <w:rsid w:val="000E31C6"/>
    <w:rsid w:val="000E4584"/>
    <w:rsid w:val="000E56C0"/>
    <w:rsid w:val="000F1B19"/>
    <w:rsid w:val="000F1B3D"/>
    <w:rsid w:val="000F54E5"/>
    <w:rsid w:val="000F570F"/>
    <w:rsid w:val="000F61F2"/>
    <w:rsid w:val="000F7382"/>
    <w:rsid w:val="000F7523"/>
    <w:rsid w:val="00100622"/>
    <w:rsid w:val="001013E2"/>
    <w:rsid w:val="00102309"/>
    <w:rsid w:val="00102A9F"/>
    <w:rsid w:val="001055BD"/>
    <w:rsid w:val="00106523"/>
    <w:rsid w:val="00110051"/>
    <w:rsid w:val="00112805"/>
    <w:rsid w:val="0011404A"/>
    <w:rsid w:val="00114370"/>
    <w:rsid w:val="00117D53"/>
    <w:rsid w:val="00120638"/>
    <w:rsid w:val="001206CE"/>
    <w:rsid w:val="00120E92"/>
    <w:rsid w:val="001224D4"/>
    <w:rsid w:val="0012545E"/>
    <w:rsid w:val="00125B3A"/>
    <w:rsid w:val="001261AE"/>
    <w:rsid w:val="001262F4"/>
    <w:rsid w:val="00126DBE"/>
    <w:rsid w:val="00127323"/>
    <w:rsid w:val="00130678"/>
    <w:rsid w:val="00131155"/>
    <w:rsid w:val="001328D1"/>
    <w:rsid w:val="00136F4F"/>
    <w:rsid w:val="001402CD"/>
    <w:rsid w:val="00140D5B"/>
    <w:rsid w:val="00142A3D"/>
    <w:rsid w:val="0014551D"/>
    <w:rsid w:val="001475F7"/>
    <w:rsid w:val="00147E74"/>
    <w:rsid w:val="00157E3B"/>
    <w:rsid w:val="00170686"/>
    <w:rsid w:val="00171E8B"/>
    <w:rsid w:val="00171EB4"/>
    <w:rsid w:val="0017216D"/>
    <w:rsid w:val="00172818"/>
    <w:rsid w:val="00173617"/>
    <w:rsid w:val="00176A4F"/>
    <w:rsid w:val="00177A32"/>
    <w:rsid w:val="00180531"/>
    <w:rsid w:val="00185D66"/>
    <w:rsid w:val="00186125"/>
    <w:rsid w:val="00186493"/>
    <w:rsid w:val="00194922"/>
    <w:rsid w:val="00196EA9"/>
    <w:rsid w:val="001A0E4D"/>
    <w:rsid w:val="001A1D1A"/>
    <w:rsid w:val="001A3172"/>
    <w:rsid w:val="001A3823"/>
    <w:rsid w:val="001A3C75"/>
    <w:rsid w:val="001A49BD"/>
    <w:rsid w:val="001A62BE"/>
    <w:rsid w:val="001A7533"/>
    <w:rsid w:val="001B1F24"/>
    <w:rsid w:val="001B24EE"/>
    <w:rsid w:val="001B4DB1"/>
    <w:rsid w:val="001B58A1"/>
    <w:rsid w:val="001B5D90"/>
    <w:rsid w:val="001B6173"/>
    <w:rsid w:val="001B67A3"/>
    <w:rsid w:val="001C01FD"/>
    <w:rsid w:val="001C1CCF"/>
    <w:rsid w:val="001C4FE6"/>
    <w:rsid w:val="001C5F16"/>
    <w:rsid w:val="001D0D18"/>
    <w:rsid w:val="001D25C0"/>
    <w:rsid w:val="001D3183"/>
    <w:rsid w:val="001D52AB"/>
    <w:rsid w:val="001D6691"/>
    <w:rsid w:val="001E3713"/>
    <w:rsid w:val="001E3BDA"/>
    <w:rsid w:val="001E576E"/>
    <w:rsid w:val="001E6CD6"/>
    <w:rsid w:val="001E6FD6"/>
    <w:rsid w:val="001E7622"/>
    <w:rsid w:val="001F0B02"/>
    <w:rsid w:val="001F0E7A"/>
    <w:rsid w:val="001F4652"/>
    <w:rsid w:val="001F54E1"/>
    <w:rsid w:val="001F6CF3"/>
    <w:rsid w:val="001F78A4"/>
    <w:rsid w:val="00205F3B"/>
    <w:rsid w:val="00212BC2"/>
    <w:rsid w:val="0022585F"/>
    <w:rsid w:val="0023077D"/>
    <w:rsid w:val="00230BA1"/>
    <w:rsid w:val="00233423"/>
    <w:rsid w:val="00233554"/>
    <w:rsid w:val="002352B4"/>
    <w:rsid w:val="00235E95"/>
    <w:rsid w:val="0024034D"/>
    <w:rsid w:val="00240D84"/>
    <w:rsid w:val="00241E3F"/>
    <w:rsid w:val="00243D73"/>
    <w:rsid w:val="00243FB7"/>
    <w:rsid w:val="00246FCA"/>
    <w:rsid w:val="002561F6"/>
    <w:rsid w:val="0025635D"/>
    <w:rsid w:val="00263D73"/>
    <w:rsid w:val="0026462F"/>
    <w:rsid w:val="0026532C"/>
    <w:rsid w:val="0027078C"/>
    <w:rsid w:val="0027439B"/>
    <w:rsid w:val="00274FE4"/>
    <w:rsid w:val="0027535F"/>
    <w:rsid w:val="00281061"/>
    <w:rsid w:val="002822E9"/>
    <w:rsid w:val="002823B4"/>
    <w:rsid w:val="00283A6B"/>
    <w:rsid w:val="002845E3"/>
    <w:rsid w:val="002960F6"/>
    <w:rsid w:val="00297BE6"/>
    <w:rsid w:val="002A15A4"/>
    <w:rsid w:val="002A3071"/>
    <w:rsid w:val="002A489F"/>
    <w:rsid w:val="002A7688"/>
    <w:rsid w:val="002A76EC"/>
    <w:rsid w:val="002B335D"/>
    <w:rsid w:val="002B6BFB"/>
    <w:rsid w:val="002B73F6"/>
    <w:rsid w:val="002B74CC"/>
    <w:rsid w:val="002C0B15"/>
    <w:rsid w:val="002C0B72"/>
    <w:rsid w:val="002C15E0"/>
    <w:rsid w:val="002C2CEC"/>
    <w:rsid w:val="002C3C4B"/>
    <w:rsid w:val="002C4198"/>
    <w:rsid w:val="002D056C"/>
    <w:rsid w:val="002D0775"/>
    <w:rsid w:val="002D39C5"/>
    <w:rsid w:val="002D63A3"/>
    <w:rsid w:val="002D7D67"/>
    <w:rsid w:val="002D7EBA"/>
    <w:rsid w:val="002E0AA4"/>
    <w:rsid w:val="002E110F"/>
    <w:rsid w:val="002E2F96"/>
    <w:rsid w:val="002E3175"/>
    <w:rsid w:val="002E3CF5"/>
    <w:rsid w:val="002E423C"/>
    <w:rsid w:val="002E573D"/>
    <w:rsid w:val="002E6743"/>
    <w:rsid w:val="002F1B86"/>
    <w:rsid w:val="002F2BC7"/>
    <w:rsid w:val="002F51D1"/>
    <w:rsid w:val="002F683A"/>
    <w:rsid w:val="002F74E3"/>
    <w:rsid w:val="002F79F5"/>
    <w:rsid w:val="00302DFA"/>
    <w:rsid w:val="0030333C"/>
    <w:rsid w:val="00306108"/>
    <w:rsid w:val="0030729F"/>
    <w:rsid w:val="003120DE"/>
    <w:rsid w:val="003155C8"/>
    <w:rsid w:val="00316F17"/>
    <w:rsid w:val="003177E0"/>
    <w:rsid w:val="00320CFD"/>
    <w:rsid w:val="003215F9"/>
    <w:rsid w:val="003216AF"/>
    <w:rsid w:val="00323C84"/>
    <w:rsid w:val="00326AA1"/>
    <w:rsid w:val="0032781F"/>
    <w:rsid w:val="00334BE0"/>
    <w:rsid w:val="00334FE4"/>
    <w:rsid w:val="00335EB3"/>
    <w:rsid w:val="003419E1"/>
    <w:rsid w:val="003465AE"/>
    <w:rsid w:val="003472A2"/>
    <w:rsid w:val="003514BA"/>
    <w:rsid w:val="00352972"/>
    <w:rsid w:val="00352B35"/>
    <w:rsid w:val="00353965"/>
    <w:rsid w:val="0035726D"/>
    <w:rsid w:val="003621B9"/>
    <w:rsid w:val="00362630"/>
    <w:rsid w:val="00362EC2"/>
    <w:rsid w:val="00370238"/>
    <w:rsid w:val="003708B2"/>
    <w:rsid w:val="003729C9"/>
    <w:rsid w:val="0037530E"/>
    <w:rsid w:val="00377AF1"/>
    <w:rsid w:val="00382545"/>
    <w:rsid w:val="00384DA9"/>
    <w:rsid w:val="00385C51"/>
    <w:rsid w:val="00386A87"/>
    <w:rsid w:val="0039643D"/>
    <w:rsid w:val="003A33E4"/>
    <w:rsid w:val="003A6FF2"/>
    <w:rsid w:val="003B28BF"/>
    <w:rsid w:val="003B4D1B"/>
    <w:rsid w:val="003B592B"/>
    <w:rsid w:val="003B7A5D"/>
    <w:rsid w:val="003C011A"/>
    <w:rsid w:val="003C036F"/>
    <w:rsid w:val="003C05D1"/>
    <w:rsid w:val="003C337D"/>
    <w:rsid w:val="003C4498"/>
    <w:rsid w:val="003C4A3C"/>
    <w:rsid w:val="003C6EEF"/>
    <w:rsid w:val="003D33E3"/>
    <w:rsid w:val="003D4601"/>
    <w:rsid w:val="003D570F"/>
    <w:rsid w:val="003D59A1"/>
    <w:rsid w:val="003D7585"/>
    <w:rsid w:val="003E182A"/>
    <w:rsid w:val="003E2D21"/>
    <w:rsid w:val="003E70C8"/>
    <w:rsid w:val="003F1568"/>
    <w:rsid w:val="003F3E60"/>
    <w:rsid w:val="003F4965"/>
    <w:rsid w:val="003F4DD2"/>
    <w:rsid w:val="00406046"/>
    <w:rsid w:val="004067C3"/>
    <w:rsid w:val="00406D3A"/>
    <w:rsid w:val="004072D5"/>
    <w:rsid w:val="00412882"/>
    <w:rsid w:val="00412932"/>
    <w:rsid w:val="00413128"/>
    <w:rsid w:val="004136DE"/>
    <w:rsid w:val="00413FF3"/>
    <w:rsid w:val="004163FA"/>
    <w:rsid w:val="004214EB"/>
    <w:rsid w:val="00423711"/>
    <w:rsid w:val="00424A95"/>
    <w:rsid w:val="00425C27"/>
    <w:rsid w:val="0042699F"/>
    <w:rsid w:val="00426DF3"/>
    <w:rsid w:val="00427861"/>
    <w:rsid w:val="00427B02"/>
    <w:rsid w:val="00430744"/>
    <w:rsid w:val="00430B6C"/>
    <w:rsid w:val="00433732"/>
    <w:rsid w:val="0043583F"/>
    <w:rsid w:val="00436708"/>
    <w:rsid w:val="004436C5"/>
    <w:rsid w:val="00445603"/>
    <w:rsid w:val="004473A9"/>
    <w:rsid w:val="00447714"/>
    <w:rsid w:val="00450168"/>
    <w:rsid w:val="00451AE2"/>
    <w:rsid w:val="00451F7D"/>
    <w:rsid w:val="00452055"/>
    <w:rsid w:val="0045401E"/>
    <w:rsid w:val="00455F78"/>
    <w:rsid w:val="004613D2"/>
    <w:rsid w:val="00464555"/>
    <w:rsid w:val="00471CBD"/>
    <w:rsid w:val="004835E0"/>
    <w:rsid w:val="00490678"/>
    <w:rsid w:val="0049104F"/>
    <w:rsid w:val="00494DC0"/>
    <w:rsid w:val="0049509D"/>
    <w:rsid w:val="00497D23"/>
    <w:rsid w:val="004A2DAF"/>
    <w:rsid w:val="004A45ED"/>
    <w:rsid w:val="004A489A"/>
    <w:rsid w:val="004A4B8E"/>
    <w:rsid w:val="004A5B66"/>
    <w:rsid w:val="004A729D"/>
    <w:rsid w:val="004A72C2"/>
    <w:rsid w:val="004B22BF"/>
    <w:rsid w:val="004B232D"/>
    <w:rsid w:val="004B2FD8"/>
    <w:rsid w:val="004B3B14"/>
    <w:rsid w:val="004B5520"/>
    <w:rsid w:val="004B6ECC"/>
    <w:rsid w:val="004B706B"/>
    <w:rsid w:val="004C0B40"/>
    <w:rsid w:val="004C0EF8"/>
    <w:rsid w:val="004C7A56"/>
    <w:rsid w:val="004D1D38"/>
    <w:rsid w:val="004D2D6F"/>
    <w:rsid w:val="004D3697"/>
    <w:rsid w:val="004D3987"/>
    <w:rsid w:val="004D5416"/>
    <w:rsid w:val="004E1891"/>
    <w:rsid w:val="004E260F"/>
    <w:rsid w:val="004E43F7"/>
    <w:rsid w:val="004E66EE"/>
    <w:rsid w:val="004E7187"/>
    <w:rsid w:val="004F101E"/>
    <w:rsid w:val="004F346E"/>
    <w:rsid w:val="004F4B35"/>
    <w:rsid w:val="004F61F7"/>
    <w:rsid w:val="005013E0"/>
    <w:rsid w:val="00504FF0"/>
    <w:rsid w:val="0050514B"/>
    <w:rsid w:val="00506083"/>
    <w:rsid w:val="0050610D"/>
    <w:rsid w:val="005079B4"/>
    <w:rsid w:val="00510083"/>
    <w:rsid w:val="00512A93"/>
    <w:rsid w:val="005134AB"/>
    <w:rsid w:val="0051446F"/>
    <w:rsid w:val="005176BE"/>
    <w:rsid w:val="005177F2"/>
    <w:rsid w:val="00517B02"/>
    <w:rsid w:val="00517FC3"/>
    <w:rsid w:val="00522C7D"/>
    <w:rsid w:val="00522C92"/>
    <w:rsid w:val="0052478F"/>
    <w:rsid w:val="00527F58"/>
    <w:rsid w:val="005319BB"/>
    <w:rsid w:val="00531AD9"/>
    <w:rsid w:val="00531D56"/>
    <w:rsid w:val="00532DAE"/>
    <w:rsid w:val="00535D30"/>
    <w:rsid w:val="005416CB"/>
    <w:rsid w:val="00541780"/>
    <w:rsid w:val="00543FA5"/>
    <w:rsid w:val="005440F1"/>
    <w:rsid w:val="0055134A"/>
    <w:rsid w:val="00551883"/>
    <w:rsid w:val="005532F8"/>
    <w:rsid w:val="005546EE"/>
    <w:rsid w:val="00554A53"/>
    <w:rsid w:val="0055583C"/>
    <w:rsid w:val="005569BA"/>
    <w:rsid w:val="00557AC4"/>
    <w:rsid w:val="00562402"/>
    <w:rsid w:val="005644DD"/>
    <w:rsid w:val="00565808"/>
    <w:rsid w:val="005701C1"/>
    <w:rsid w:val="00571408"/>
    <w:rsid w:val="00573AC8"/>
    <w:rsid w:val="00573C6B"/>
    <w:rsid w:val="00580CAB"/>
    <w:rsid w:val="00587BC3"/>
    <w:rsid w:val="005911AF"/>
    <w:rsid w:val="00591BFA"/>
    <w:rsid w:val="00592BE3"/>
    <w:rsid w:val="00595145"/>
    <w:rsid w:val="00595D4B"/>
    <w:rsid w:val="00595E5B"/>
    <w:rsid w:val="00595FA9"/>
    <w:rsid w:val="005972F1"/>
    <w:rsid w:val="005978E9"/>
    <w:rsid w:val="005A2621"/>
    <w:rsid w:val="005A3AF4"/>
    <w:rsid w:val="005A579E"/>
    <w:rsid w:val="005A6479"/>
    <w:rsid w:val="005A66A9"/>
    <w:rsid w:val="005A67A9"/>
    <w:rsid w:val="005B0D88"/>
    <w:rsid w:val="005B55F0"/>
    <w:rsid w:val="005C02C7"/>
    <w:rsid w:val="005C19CE"/>
    <w:rsid w:val="005C477C"/>
    <w:rsid w:val="005C4981"/>
    <w:rsid w:val="005C4A58"/>
    <w:rsid w:val="005C5E00"/>
    <w:rsid w:val="005C7242"/>
    <w:rsid w:val="005C7CAC"/>
    <w:rsid w:val="005D175D"/>
    <w:rsid w:val="005D5BAE"/>
    <w:rsid w:val="005D69EA"/>
    <w:rsid w:val="005D7A1D"/>
    <w:rsid w:val="005E22CE"/>
    <w:rsid w:val="005E2594"/>
    <w:rsid w:val="005E3D29"/>
    <w:rsid w:val="005E4699"/>
    <w:rsid w:val="005E6D6C"/>
    <w:rsid w:val="005F00D5"/>
    <w:rsid w:val="005F19CD"/>
    <w:rsid w:val="005F2BCF"/>
    <w:rsid w:val="005F38BE"/>
    <w:rsid w:val="005F4624"/>
    <w:rsid w:val="005F51A9"/>
    <w:rsid w:val="005F51FD"/>
    <w:rsid w:val="006017F4"/>
    <w:rsid w:val="0060533F"/>
    <w:rsid w:val="00605500"/>
    <w:rsid w:val="00607C0E"/>
    <w:rsid w:val="00611D33"/>
    <w:rsid w:val="00612BF6"/>
    <w:rsid w:val="00616E2B"/>
    <w:rsid w:val="00617FBE"/>
    <w:rsid w:val="00626467"/>
    <w:rsid w:val="006307A9"/>
    <w:rsid w:val="0063174C"/>
    <w:rsid w:val="00632CBC"/>
    <w:rsid w:val="006334CA"/>
    <w:rsid w:val="00633E5D"/>
    <w:rsid w:val="006342A9"/>
    <w:rsid w:val="0063543F"/>
    <w:rsid w:val="006409DB"/>
    <w:rsid w:val="00641D0F"/>
    <w:rsid w:val="0064266B"/>
    <w:rsid w:val="00642A9E"/>
    <w:rsid w:val="00645026"/>
    <w:rsid w:val="00646679"/>
    <w:rsid w:val="00652A5D"/>
    <w:rsid w:val="00654B8A"/>
    <w:rsid w:val="00655746"/>
    <w:rsid w:val="006626C1"/>
    <w:rsid w:val="00663FBC"/>
    <w:rsid w:val="006678D3"/>
    <w:rsid w:val="006714FF"/>
    <w:rsid w:val="0067162A"/>
    <w:rsid w:val="00673AA4"/>
    <w:rsid w:val="00673B35"/>
    <w:rsid w:val="00674DE8"/>
    <w:rsid w:val="00675F6F"/>
    <w:rsid w:val="00681059"/>
    <w:rsid w:val="006816E7"/>
    <w:rsid w:val="0068276C"/>
    <w:rsid w:val="00684C1C"/>
    <w:rsid w:val="00684D75"/>
    <w:rsid w:val="00687538"/>
    <w:rsid w:val="00692426"/>
    <w:rsid w:val="00693E93"/>
    <w:rsid w:val="0069487B"/>
    <w:rsid w:val="006950D6"/>
    <w:rsid w:val="00697F97"/>
    <w:rsid w:val="006A0E01"/>
    <w:rsid w:val="006A111A"/>
    <w:rsid w:val="006A326E"/>
    <w:rsid w:val="006A3E41"/>
    <w:rsid w:val="006A57D8"/>
    <w:rsid w:val="006A6E24"/>
    <w:rsid w:val="006B29B2"/>
    <w:rsid w:val="006B6070"/>
    <w:rsid w:val="006B6A96"/>
    <w:rsid w:val="006C05F5"/>
    <w:rsid w:val="006C1C39"/>
    <w:rsid w:val="006C20E0"/>
    <w:rsid w:val="006C37DB"/>
    <w:rsid w:val="006C5249"/>
    <w:rsid w:val="006C53D3"/>
    <w:rsid w:val="006C590C"/>
    <w:rsid w:val="006C6048"/>
    <w:rsid w:val="006C7EC7"/>
    <w:rsid w:val="006D51A1"/>
    <w:rsid w:val="006D54F2"/>
    <w:rsid w:val="006D72BD"/>
    <w:rsid w:val="006E0E0F"/>
    <w:rsid w:val="006E25DE"/>
    <w:rsid w:val="006E27FF"/>
    <w:rsid w:val="006E28CA"/>
    <w:rsid w:val="006E54C9"/>
    <w:rsid w:val="006E5B28"/>
    <w:rsid w:val="006E6640"/>
    <w:rsid w:val="006E6E41"/>
    <w:rsid w:val="006E7B09"/>
    <w:rsid w:val="006F0179"/>
    <w:rsid w:val="006F1C3A"/>
    <w:rsid w:val="006F222E"/>
    <w:rsid w:val="0070186B"/>
    <w:rsid w:val="0070213D"/>
    <w:rsid w:val="00705995"/>
    <w:rsid w:val="00711534"/>
    <w:rsid w:val="007128B8"/>
    <w:rsid w:val="00712B29"/>
    <w:rsid w:val="007169BF"/>
    <w:rsid w:val="00717BD7"/>
    <w:rsid w:val="007200F0"/>
    <w:rsid w:val="007202F2"/>
    <w:rsid w:val="0072036B"/>
    <w:rsid w:val="0072163E"/>
    <w:rsid w:val="00722904"/>
    <w:rsid w:val="00723556"/>
    <w:rsid w:val="00723B14"/>
    <w:rsid w:val="0072573F"/>
    <w:rsid w:val="00735E84"/>
    <w:rsid w:val="007366CD"/>
    <w:rsid w:val="007372F3"/>
    <w:rsid w:val="007402A4"/>
    <w:rsid w:val="00741DA2"/>
    <w:rsid w:val="0074230B"/>
    <w:rsid w:val="00742A61"/>
    <w:rsid w:val="00744A7D"/>
    <w:rsid w:val="007457C5"/>
    <w:rsid w:val="00745EBD"/>
    <w:rsid w:val="007467DB"/>
    <w:rsid w:val="00746B94"/>
    <w:rsid w:val="00751AF9"/>
    <w:rsid w:val="007539D2"/>
    <w:rsid w:val="00753CBF"/>
    <w:rsid w:val="007550B7"/>
    <w:rsid w:val="00756686"/>
    <w:rsid w:val="0075722F"/>
    <w:rsid w:val="0076088C"/>
    <w:rsid w:val="00761C83"/>
    <w:rsid w:val="00761CB7"/>
    <w:rsid w:val="00762633"/>
    <w:rsid w:val="007629BC"/>
    <w:rsid w:val="00762CB4"/>
    <w:rsid w:val="00772B6F"/>
    <w:rsid w:val="007767D0"/>
    <w:rsid w:val="00777770"/>
    <w:rsid w:val="00777F2E"/>
    <w:rsid w:val="00783460"/>
    <w:rsid w:val="0078412B"/>
    <w:rsid w:val="00787F77"/>
    <w:rsid w:val="0079033C"/>
    <w:rsid w:val="00792086"/>
    <w:rsid w:val="007924C4"/>
    <w:rsid w:val="00795567"/>
    <w:rsid w:val="00795677"/>
    <w:rsid w:val="00797933"/>
    <w:rsid w:val="007A223F"/>
    <w:rsid w:val="007A2543"/>
    <w:rsid w:val="007A36E1"/>
    <w:rsid w:val="007A7312"/>
    <w:rsid w:val="007B4FE9"/>
    <w:rsid w:val="007B6A33"/>
    <w:rsid w:val="007C32D4"/>
    <w:rsid w:val="007C4C7B"/>
    <w:rsid w:val="007C5339"/>
    <w:rsid w:val="007C6408"/>
    <w:rsid w:val="007C69FE"/>
    <w:rsid w:val="007C705C"/>
    <w:rsid w:val="007C7A00"/>
    <w:rsid w:val="007D3B2D"/>
    <w:rsid w:val="007D3EC9"/>
    <w:rsid w:val="007D4E35"/>
    <w:rsid w:val="007D5494"/>
    <w:rsid w:val="007E1409"/>
    <w:rsid w:val="007E1482"/>
    <w:rsid w:val="007E28D3"/>
    <w:rsid w:val="007E593D"/>
    <w:rsid w:val="007E63D6"/>
    <w:rsid w:val="007F32E3"/>
    <w:rsid w:val="007F597B"/>
    <w:rsid w:val="007F6B28"/>
    <w:rsid w:val="007F6DE5"/>
    <w:rsid w:val="007F7038"/>
    <w:rsid w:val="007F70CB"/>
    <w:rsid w:val="007F715F"/>
    <w:rsid w:val="008025AC"/>
    <w:rsid w:val="00813204"/>
    <w:rsid w:val="00820870"/>
    <w:rsid w:val="0082269E"/>
    <w:rsid w:val="00827B61"/>
    <w:rsid w:val="00830E35"/>
    <w:rsid w:val="00830F5B"/>
    <w:rsid w:val="00832411"/>
    <w:rsid w:val="00840D8D"/>
    <w:rsid w:val="008448A0"/>
    <w:rsid w:val="00844B7C"/>
    <w:rsid w:val="00846B3D"/>
    <w:rsid w:val="00846F62"/>
    <w:rsid w:val="00850C0A"/>
    <w:rsid w:val="00852A00"/>
    <w:rsid w:val="00852C0D"/>
    <w:rsid w:val="00853FED"/>
    <w:rsid w:val="0086057B"/>
    <w:rsid w:val="00862F55"/>
    <w:rsid w:val="00866407"/>
    <w:rsid w:val="00867BCD"/>
    <w:rsid w:val="00870EBE"/>
    <w:rsid w:val="00871088"/>
    <w:rsid w:val="00876587"/>
    <w:rsid w:val="00877094"/>
    <w:rsid w:val="00877EB6"/>
    <w:rsid w:val="00881BD1"/>
    <w:rsid w:val="00882101"/>
    <w:rsid w:val="008821E6"/>
    <w:rsid w:val="0088388E"/>
    <w:rsid w:val="008841BB"/>
    <w:rsid w:val="00884602"/>
    <w:rsid w:val="00884FA3"/>
    <w:rsid w:val="00885004"/>
    <w:rsid w:val="00886DE3"/>
    <w:rsid w:val="00891916"/>
    <w:rsid w:val="00893B44"/>
    <w:rsid w:val="008941A4"/>
    <w:rsid w:val="0089630F"/>
    <w:rsid w:val="008967E9"/>
    <w:rsid w:val="00896F8F"/>
    <w:rsid w:val="00897FDC"/>
    <w:rsid w:val="008A14A3"/>
    <w:rsid w:val="008A2A60"/>
    <w:rsid w:val="008A520A"/>
    <w:rsid w:val="008A7524"/>
    <w:rsid w:val="008A7FB4"/>
    <w:rsid w:val="008B2C92"/>
    <w:rsid w:val="008B47FC"/>
    <w:rsid w:val="008B4BF0"/>
    <w:rsid w:val="008B5094"/>
    <w:rsid w:val="008B548D"/>
    <w:rsid w:val="008B54F7"/>
    <w:rsid w:val="008C011F"/>
    <w:rsid w:val="008C0E4C"/>
    <w:rsid w:val="008C24E4"/>
    <w:rsid w:val="008C28BE"/>
    <w:rsid w:val="008C5CE0"/>
    <w:rsid w:val="008D079F"/>
    <w:rsid w:val="008D22A7"/>
    <w:rsid w:val="008D279E"/>
    <w:rsid w:val="008D4057"/>
    <w:rsid w:val="008D5482"/>
    <w:rsid w:val="008E0592"/>
    <w:rsid w:val="008E2665"/>
    <w:rsid w:val="008E32D7"/>
    <w:rsid w:val="008E6C18"/>
    <w:rsid w:val="008F01DE"/>
    <w:rsid w:val="008F1945"/>
    <w:rsid w:val="008F2DF9"/>
    <w:rsid w:val="008F37F9"/>
    <w:rsid w:val="008F566F"/>
    <w:rsid w:val="008F5BEA"/>
    <w:rsid w:val="008F6959"/>
    <w:rsid w:val="009010D2"/>
    <w:rsid w:val="00905C74"/>
    <w:rsid w:val="00906E2B"/>
    <w:rsid w:val="00911BFC"/>
    <w:rsid w:val="00912E85"/>
    <w:rsid w:val="009146B2"/>
    <w:rsid w:val="00915D30"/>
    <w:rsid w:val="00916A7E"/>
    <w:rsid w:val="009173A4"/>
    <w:rsid w:val="00917516"/>
    <w:rsid w:val="00920D7A"/>
    <w:rsid w:val="00922A2A"/>
    <w:rsid w:val="00923195"/>
    <w:rsid w:val="00931DD3"/>
    <w:rsid w:val="009330F9"/>
    <w:rsid w:val="00934586"/>
    <w:rsid w:val="00936E64"/>
    <w:rsid w:val="00945433"/>
    <w:rsid w:val="00954BC0"/>
    <w:rsid w:val="00956AD0"/>
    <w:rsid w:val="00956D01"/>
    <w:rsid w:val="00957088"/>
    <w:rsid w:val="00957DD5"/>
    <w:rsid w:val="009625AB"/>
    <w:rsid w:val="009625DB"/>
    <w:rsid w:val="00970014"/>
    <w:rsid w:val="00971BBD"/>
    <w:rsid w:val="00971D1E"/>
    <w:rsid w:val="0097309F"/>
    <w:rsid w:val="00973223"/>
    <w:rsid w:val="009744EA"/>
    <w:rsid w:val="00976E9B"/>
    <w:rsid w:val="00976F0F"/>
    <w:rsid w:val="00980477"/>
    <w:rsid w:val="00982D7B"/>
    <w:rsid w:val="009840BB"/>
    <w:rsid w:val="009843D9"/>
    <w:rsid w:val="0098578A"/>
    <w:rsid w:val="00985954"/>
    <w:rsid w:val="00987B85"/>
    <w:rsid w:val="00991D5B"/>
    <w:rsid w:val="009936CA"/>
    <w:rsid w:val="00994EEA"/>
    <w:rsid w:val="009966A2"/>
    <w:rsid w:val="00996EDD"/>
    <w:rsid w:val="00997C08"/>
    <w:rsid w:val="009A08BA"/>
    <w:rsid w:val="009A2101"/>
    <w:rsid w:val="009A2E24"/>
    <w:rsid w:val="009A43BE"/>
    <w:rsid w:val="009A6A0D"/>
    <w:rsid w:val="009A6C08"/>
    <w:rsid w:val="009A714C"/>
    <w:rsid w:val="009B0245"/>
    <w:rsid w:val="009B0394"/>
    <w:rsid w:val="009B0D3B"/>
    <w:rsid w:val="009B139E"/>
    <w:rsid w:val="009C3061"/>
    <w:rsid w:val="009C3A54"/>
    <w:rsid w:val="009C3F39"/>
    <w:rsid w:val="009C5DE4"/>
    <w:rsid w:val="009C79E6"/>
    <w:rsid w:val="009D6606"/>
    <w:rsid w:val="009E063E"/>
    <w:rsid w:val="009E4DE5"/>
    <w:rsid w:val="009E6123"/>
    <w:rsid w:val="009E76D0"/>
    <w:rsid w:val="009F0779"/>
    <w:rsid w:val="009F0F69"/>
    <w:rsid w:val="009F1AB0"/>
    <w:rsid w:val="009F494D"/>
    <w:rsid w:val="009F6AB4"/>
    <w:rsid w:val="009F7F93"/>
    <w:rsid w:val="00A01DEF"/>
    <w:rsid w:val="00A01E5E"/>
    <w:rsid w:val="00A040CB"/>
    <w:rsid w:val="00A05167"/>
    <w:rsid w:val="00A07F48"/>
    <w:rsid w:val="00A121B9"/>
    <w:rsid w:val="00A121E3"/>
    <w:rsid w:val="00A13092"/>
    <w:rsid w:val="00A132B8"/>
    <w:rsid w:val="00A13776"/>
    <w:rsid w:val="00A145E0"/>
    <w:rsid w:val="00A15CA0"/>
    <w:rsid w:val="00A25134"/>
    <w:rsid w:val="00A25AD0"/>
    <w:rsid w:val="00A26291"/>
    <w:rsid w:val="00A31280"/>
    <w:rsid w:val="00A31FA0"/>
    <w:rsid w:val="00A32FDD"/>
    <w:rsid w:val="00A34839"/>
    <w:rsid w:val="00A414B9"/>
    <w:rsid w:val="00A42017"/>
    <w:rsid w:val="00A43522"/>
    <w:rsid w:val="00A50CE3"/>
    <w:rsid w:val="00A53B2E"/>
    <w:rsid w:val="00A53E78"/>
    <w:rsid w:val="00A56FCB"/>
    <w:rsid w:val="00A600BA"/>
    <w:rsid w:val="00A64304"/>
    <w:rsid w:val="00A64C45"/>
    <w:rsid w:val="00A64D8D"/>
    <w:rsid w:val="00A667DB"/>
    <w:rsid w:val="00A72585"/>
    <w:rsid w:val="00A73FF3"/>
    <w:rsid w:val="00A74A84"/>
    <w:rsid w:val="00A75087"/>
    <w:rsid w:val="00A753A7"/>
    <w:rsid w:val="00A75C78"/>
    <w:rsid w:val="00A77012"/>
    <w:rsid w:val="00A81B29"/>
    <w:rsid w:val="00A81B49"/>
    <w:rsid w:val="00A8249F"/>
    <w:rsid w:val="00A82BF4"/>
    <w:rsid w:val="00A830AA"/>
    <w:rsid w:val="00A8371E"/>
    <w:rsid w:val="00A90867"/>
    <w:rsid w:val="00AA24FD"/>
    <w:rsid w:val="00AA49D8"/>
    <w:rsid w:val="00AA4CBC"/>
    <w:rsid w:val="00AA52F0"/>
    <w:rsid w:val="00AB064F"/>
    <w:rsid w:val="00AB07C9"/>
    <w:rsid w:val="00AB0A56"/>
    <w:rsid w:val="00AB3353"/>
    <w:rsid w:val="00AB376A"/>
    <w:rsid w:val="00AB37BB"/>
    <w:rsid w:val="00AB3AA4"/>
    <w:rsid w:val="00AB47BE"/>
    <w:rsid w:val="00AB64D4"/>
    <w:rsid w:val="00AC1AB4"/>
    <w:rsid w:val="00AC2B71"/>
    <w:rsid w:val="00AC644B"/>
    <w:rsid w:val="00AC7A75"/>
    <w:rsid w:val="00AC7E0B"/>
    <w:rsid w:val="00AD0E6A"/>
    <w:rsid w:val="00AD443D"/>
    <w:rsid w:val="00AE4374"/>
    <w:rsid w:val="00AE492B"/>
    <w:rsid w:val="00AE57EF"/>
    <w:rsid w:val="00AE6D12"/>
    <w:rsid w:val="00AE7AA5"/>
    <w:rsid w:val="00AF02E8"/>
    <w:rsid w:val="00AF4972"/>
    <w:rsid w:val="00AF59A9"/>
    <w:rsid w:val="00AF5A25"/>
    <w:rsid w:val="00B004F0"/>
    <w:rsid w:val="00B13CC8"/>
    <w:rsid w:val="00B15612"/>
    <w:rsid w:val="00B15779"/>
    <w:rsid w:val="00B15976"/>
    <w:rsid w:val="00B16AE7"/>
    <w:rsid w:val="00B17D87"/>
    <w:rsid w:val="00B17EF9"/>
    <w:rsid w:val="00B201E6"/>
    <w:rsid w:val="00B214CF"/>
    <w:rsid w:val="00B240D9"/>
    <w:rsid w:val="00B24224"/>
    <w:rsid w:val="00B24B84"/>
    <w:rsid w:val="00B2741A"/>
    <w:rsid w:val="00B325D9"/>
    <w:rsid w:val="00B34644"/>
    <w:rsid w:val="00B363E2"/>
    <w:rsid w:val="00B414C3"/>
    <w:rsid w:val="00B4200A"/>
    <w:rsid w:val="00B424D0"/>
    <w:rsid w:val="00B424E0"/>
    <w:rsid w:val="00B42632"/>
    <w:rsid w:val="00B45043"/>
    <w:rsid w:val="00B45E22"/>
    <w:rsid w:val="00B527A5"/>
    <w:rsid w:val="00B52BE1"/>
    <w:rsid w:val="00B6196A"/>
    <w:rsid w:val="00B6457F"/>
    <w:rsid w:val="00B65B45"/>
    <w:rsid w:val="00B70402"/>
    <w:rsid w:val="00B72249"/>
    <w:rsid w:val="00B743FA"/>
    <w:rsid w:val="00B75BEA"/>
    <w:rsid w:val="00B76DE2"/>
    <w:rsid w:val="00B77A68"/>
    <w:rsid w:val="00B77ED1"/>
    <w:rsid w:val="00B802A1"/>
    <w:rsid w:val="00B8071F"/>
    <w:rsid w:val="00B847F6"/>
    <w:rsid w:val="00B84D92"/>
    <w:rsid w:val="00B858FF"/>
    <w:rsid w:val="00B85A5B"/>
    <w:rsid w:val="00B85B3F"/>
    <w:rsid w:val="00B91652"/>
    <w:rsid w:val="00B93BCC"/>
    <w:rsid w:val="00B962C5"/>
    <w:rsid w:val="00B96CA7"/>
    <w:rsid w:val="00BA48E2"/>
    <w:rsid w:val="00BA71F9"/>
    <w:rsid w:val="00BB004C"/>
    <w:rsid w:val="00BB1210"/>
    <w:rsid w:val="00BB18B6"/>
    <w:rsid w:val="00BB22C6"/>
    <w:rsid w:val="00BB60AB"/>
    <w:rsid w:val="00BC4A61"/>
    <w:rsid w:val="00BC50D6"/>
    <w:rsid w:val="00BC61C4"/>
    <w:rsid w:val="00BD3520"/>
    <w:rsid w:val="00BD3CC9"/>
    <w:rsid w:val="00BD5173"/>
    <w:rsid w:val="00BD6AA9"/>
    <w:rsid w:val="00BD6E07"/>
    <w:rsid w:val="00BE251D"/>
    <w:rsid w:val="00BE2BD7"/>
    <w:rsid w:val="00BE474A"/>
    <w:rsid w:val="00BE6141"/>
    <w:rsid w:val="00BE6213"/>
    <w:rsid w:val="00BE6716"/>
    <w:rsid w:val="00BE6D5E"/>
    <w:rsid w:val="00BE752D"/>
    <w:rsid w:val="00BF1121"/>
    <w:rsid w:val="00BF2865"/>
    <w:rsid w:val="00BF41C1"/>
    <w:rsid w:val="00BF75B3"/>
    <w:rsid w:val="00BF762A"/>
    <w:rsid w:val="00C033FA"/>
    <w:rsid w:val="00C050BC"/>
    <w:rsid w:val="00C05616"/>
    <w:rsid w:val="00C0617E"/>
    <w:rsid w:val="00C06EF6"/>
    <w:rsid w:val="00C07D27"/>
    <w:rsid w:val="00C10F27"/>
    <w:rsid w:val="00C1144F"/>
    <w:rsid w:val="00C131A1"/>
    <w:rsid w:val="00C14482"/>
    <w:rsid w:val="00C16E47"/>
    <w:rsid w:val="00C17A3C"/>
    <w:rsid w:val="00C231BF"/>
    <w:rsid w:val="00C245DA"/>
    <w:rsid w:val="00C25A86"/>
    <w:rsid w:val="00C328F8"/>
    <w:rsid w:val="00C340E7"/>
    <w:rsid w:val="00C344B3"/>
    <w:rsid w:val="00C349F8"/>
    <w:rsid w:val="00C409BE"/>
    <w:rsid w:val="00C42A83"/>
    <w:rsid w:val="00C46C9F"/>
    <w:rsid w:val="00C50C25"/>
    <w:rsid w:val="00C52424"/>
    <w:rsid w:val="00C5291C"/>
    <w:rsid w:val="00C53250"/>
    <w:rsid w:val="00C5328C"/>
    <w:rsid w:val="00C53CDB"/>
    <w:rsid w:val="00C540B4"/>
    <w:rsid w:val="00C5625A"/>
    <w:rsid w:val="00C56F04"/>
    <w:rsid w:val="00C577B5"/>
    <w:rsid w:val="00C578BE"/>
    <w:rsid w:val="00C57BFB"/>
    <w:rsid w:val="00C60939"/>
    <w:rsid w:val="00C614CA"/>
    <w:rsid w:val="00C61999"/>
    <w:rsid w:val="00C62162"/>
    <w:rsid w:val="00C621A7"/>
    <w:rsid w:val="00C62C99"/>
    <w:rsid w:val="00C6528C"/>
    <w:rsid w:val="00C712D6"/>
    <w:rsid w:val="00C7403B"/>
    <w:rsid w:val="00C82D3C"/>
    <w:rsid w:val="00C82DC8"/>
    <w:rsid w:val="00C83C2F"/>
    <w:rsid w:val="00C90205"/>
    <w:rsid w:val="00C90871"/>
    <w:rsid w:val="00C9147D"/>
    <w:rsid w:val="00C93671"/>
    <w:rsid w:val="00C94495"/>
    <w:rsid w:val="00C96382"/>
    <w:rsid w:val="00C974EE"/>
    <w:rsid w:val="00CA0FA5"/>
    <w:rsid w:val="00CA22FD"/>
    <w:rsid w:val="00CB1EF0"/>
    <w:rsid w:val="00CB20D0"/>
    <w:rsid w:val="00CB32E4"/>
    <w:rsid w:val="00CB3858"/>
    <w:rsid w:val="00CB3A73"/>
    <w:rsid w:val="00CB4360"/>
    <w:rsid w:val="00CB56B0"/>
    <w:rsid w:val="00CB5DFF"/>
    <w:rsid w:val="00CB71FF"/>
    <w:rsid w:val="00CC42A3"/>
    <w:rsid w:val="00CC44D6"/>
    <w:rsid w:val="00CC602B"/>
    <w:rsid w:val="00CC63E7"/>
    <w:rsid w:val="00CC7F22"/>
    <w:rsid w:val="00CD061D"/>
    <w:rsid w:val="00CD0B38"/>
    <w:rsid w:val="00CD10B2"/>
    <w:rsid w:val="00CD1A74"/>
    <w:rsid w:val="00CD469B"/>
    <w:rsid w:val="00CD4FF2"/>
    <w:rsid w:val="00CD53DA"/>
    <w:rsid w:val="00CE0571"/>
    <w:rsid w:val="00CE0649"/>
    <w:rsid w:val="00CE24AD"/>
    <w:rsid w:val="00CE591C"/>
    <w:rsid w:val="00CE631E"/>
    <w:rsid w:val="00CF1B8C"/>
    <w:rsid w:val="00CF1D98"/>
    <w:rsid w:val="00CF37A0"/>
    <w:rsid w:val="00CF469D"/>
    <w:rsid w:val="00CF49FB"/>
    <w:rsid w:val="00D01D27"/>
    <w:rsid w:val="00D069A4"/>
    <w:rsid w:val="00D06F5E"/>
    <w:rsid w:val="00D123EF"/>
    <w:rsid w:val="00D12A8D"/>
    <w:rsid w:val="00D13873"/>
    <w:rsid w:val="00D14521"/>
    <w:rsid w:val="00D17D20"/>
    <w:rsid w:val="00D200DA"/>
    <w:rsid w:val="00D23053"/>
    <w:rsid w:val="00D24E86"/>
    <w:rsid w:val="00D27C5F"/>
    <w:rsid w:val="00D27F19"/>
    <w:rsid w:val="00D309ED"/>
    <w:rsid w:val="00D30DA5"/>
    <w:rsid w:val="00D31042"/>
    <w:rsid w:val="00D32B3B"/>
    <w:rsid w:val="00D335FD"/>
    <w:rsid w:val="00D34904"/>
    <w:rsid w:val="00D37279"/>
    <w:rsid w:val="00D4008B"/>
    <w:rsid w:val="00D4032B"/>
    <w:rsid w:val="00D4158E"/>
    <w:rsid w:val="00D441A2"/>
    <w:rsid w:val="00D455FD"/>
    <w:rsid w:val="00D50F99"/>
    <w:rsid w:val="00D53EC8"/>
    <w:rsid w:val="00D54257"/>
    <w:rsid w:val="00D608D7"/>
    <w:rsid w:val="00D61A8B"/>
    <w:rsid w:val="00D64229"/>
    <w:rsid w:val="00D701B5"/>
    <w:rsid w:val="00D749A2"/>
    <w:rsid w:val="00D75736"/>
    <w:rsid w:val="00D75A17"/>
    <w:rsid w:val="00D7647F"/>
    <w:rsid w:val="00D77AD9"/>
    <w:rsid w:val="00D80EB7"/>
    <w:rsid w:val="00D81E94"/>
    <w:rsid w:val="00D81EED"/>
    <w:rsid w:val="00D84555"/>
    <w:rsid w:val="00D8565C"/>
    <w:rsid w:val="00D87647"/>
    <w:rsid w:val="00D87C54"/>
    <w:rsid w:val="00D9015C"/>
    <w:rsid w:val="00D92AD9"/>
    <w:rsid w:val="00D93E55"/>
    <w:rsid w:val="00D95D89"/>
    <w:rsid w:val="00D96A20"/>
    <w:rsid w:val="00D9776C"/>
    <w:rsid w:val="00D978ED"/>
    <w:rsid w:val="00D97B71"/>
    <w:rsid w:val="00D97BB3"/>
    <w:rsid w:val="00DA1729"/>
    <w:rsid w:val="00DA1F58"/>
    <w:rsid w:val="00DA322B"/>
    <w:rsid w:val="00DA3CDD"/>
    <w:rsid w:val="00DA3EC0"/>
    <w:rsid w:val="00DA56D5"/>
    <w:rsid w:val="00DA6059"/>
    <w:rsid w:val="00DB17B9"/>
    <w:rsid w:val="00DB1F54"/>
    <w:rsid w:val="00DB2E2C"/>
    <w:rsid w:val="00DB765E"/>
    <w:rsid w:val="00DC712D"/>
    <w:rsid w:val="00DC7CD7"/>
    <w:rsid w:val="00DD1830"/>
    <w:rsid w:val="00DD1F8F"/>
    <w:rsid w:val="00DD2461"/>
    <w:rsid w:val="00DD3047"/>
    <w:rsid w:val="00DD376A"/>
    <w:rsid w:val="00DD3C29"/>
    <w:rsid w:val="00DE28E6"/>
    <w:rsid w:val="00DE2DD4"/>
    <w:rsid w:val="00DE35DD"/>
    <w:rsid w:val="00DE4647"/>
    <w:rsid w:val="00DE4D70"/>
    <w:rsid w:val="00DE56BA"/>
    <w:rsid w:val="00DE712C"/>
    <w:rsid w:val="00DF2358"/>
    <w:rsid w:val="00DF2A28"/>
    <w:rsid w:val="00DF2DCE"/>
    <w:rsid w:val="00DF3A53"/>
    <w:rsid w:val="00DF3D51"/>
    <w:rsid w:val="00DF43E9"/>
    <w:rsid w:val="00E00390"/>
    <w:rsid w:val="00E0067E"/>
    <w:rsid w:val="00E00748"/>
    <w:rsid w:val="00E019C0"/>
    <w:rsid w:val="00E06284"/>
    <w:rsid w:val="00E07F1E"/>
    <w:rsid w:val="00E10C68"/>
    <w:rsid w:val="00E13E28"/>
    <w:rsid w:val="00E1401A"/>
    <w:rsid w:val="00E16E49"/>
    <w:rsid w:val="00E24A90"/>
    <w:rsid w:val="00E26BC4"/>
    <w:rsid w:val="00E32725"/>
    <w:rsid w:val="00E345C2"/>
    <w:rsid w:val="00E407CE"/>
    <w:rsid w:val="00E47787"/>
    <w:rsid w:val="00E50515"/>
    <w:rsid w:val="00E513D2"/>
    <w:rsid w:val="00E51913"/>
    <w:rsid w:val="00E52AB8"/>
    <w:rsid w:val="00E539D3"/>
    <w:rsid w:val="00E551B0"/>
    <w:rsid w:val="00E55234"/>
    <w:rsid w:val="00E55655"/>
    <w:rsid w:val="00E557FE"/>
    <w:rsid w:val="00E56300"/>
    <w:rsid w:val="00E56EC9"/>
    <w:rsid w:val="00E620C3"/>
    <w:rsid w:val="00E62182"/>
    <w:rsid w:val="00E63841"/>
    <w:rsid w:val="00E64B2A"/>
    <w:rsid w:val="00E65019"/>
    <w:rsid w:val="00E6571F"/>
    <w:rsid w:val="00E65C36"/>
    <w:rsid w:val="00E7045B"/>
    <w:rsid w:val="00E73078"/>
    <w:rsid w:val="00E76010"/>
    <w:rsid w:val="00E77620"/>
    <w:rsid w:val="00E80CC9"/>
    <w:rsid w:val="00E81FAB"/>
    <w:rsid w:val="00E83104"/>
    <w:rsid w:val="00E8390F"/>
    <w:rsid w:val="00E84196"/>
    <w:rsid w:val="00E844D5"/>
    <w:rsid w:val="00E85634"/>
    <w:rsid w:val="00E91A77"/>
    <w:rsid w:val="00E94466"/>
    <w:rsid w:val="00E95167"/>
    <w:rsid w:val="00EA2B72"/>
    <w:rsid w:val="00EA4D44"/>
    <w:rsid w:val="00EA673C"/>
    <w:rsid w:val="00EB477C"/>
    <w:rsid w:val="00EB59BF"/>
    <w:rsid w:val="00EC0C8F"/>
    <w:rsid w:val="00EC0E08"/>
    <w:rsid w:val="00EC2246"/>
    <w:rsid w:val="00EC51F7"/>
    <w:rsid w:val="00ED04E1"/>
    <w:rsid w:val="00ED0C6D"/>
    <w:rsid w:val="00ED103E"/>
    <w:rsid w:val="00ED169B"/>
    <w:rsid w:val="00ED2D09"/>
    <w:rsid w:val="00ED2D0E"/>
    <w:rsid w:val="00ED3225"/>
    <w:rsid w:val="00ED44CA"/>
    <w:rsid w:val="00ED5104"/>
    <w:rsid w:val="00ED523F"/>
    <w:rsid w:val="00EE102C"/>
    <w:rsid w:val="00EE1F7D"/>
    <w:rsid w:val="00EE4012"/>
    <w:rsid w:val="00EE6013"/>
    <w:rsid w:val="00EE6123"/>
    <w:rsid w:val="00EE7C64"/>
    <w:rsid w:val="00EF2CA5"/>
    <w:rsid w:val="00EF4D4D"/>
    <w:rsid w:val="00EF5B87"/>
    <w:rsid w:val="00EF6388"/>
    <w:rsid w:val="00F0241A"/>
    <w:rsid w:val="00F03230"/>
    <w:rsid w:val="00F0680A"/>
    <w:rsid w:val="00F0782F"/>
    <w:rsid w:val="00F07954"/>
    <w:rsid w:val="00F10F00"/>
    <w:rsid w:val="00F14054"/>
    <w:rsid w:val="00F141A2"/>
    <w:rsid w:val="00F1642A"/>
    <w:rsid w:val="00F1780C"/>
    <w:rsid w:val="00F227C8"/>
    <w:rsid w:val="00F232B3"/>
    <w:rsid w:val="00F23772"/>
    <w:rsid w:val="00F259CF"/>
    <w:rsid w:val="00F269C4"/>
    <w:rsid w:val="00F30667"/>
    <w:rsid w:val="00F31569"/>
    <w:rsid w:val="00F31B9A"/>
    <w:rsid w:val="00F3270F"/>
    <w:rsid w:val="00F3548E"/>
    <w:rsid w:val="00F355FD"/>
    <w:rsid w:val="00F36127"/>
    <w:rsid w:val="00F40ED6"/>
    <w:rsid w:val="00F4202F"/>
    <w:rsid w:val="00F4390F"/>
    <w:rsid w:val="00F44065"/>
    <w:rsid w:val="00F45242"/>
    <w:rsid w:val="00F476B4"/>
    <w:rsid w:val="00F47C55"/>
    <w:rsid w:val="00F55295"/>
    <w:rsid w:val="00F565B8"/>
    <w:rsid w:val="00F61409"/>
    <w:rsid w:val="00F6238C"/>
    <w:rsid w:val="00F6405E"/>
    <w:rsid w:val="00F641DC"/>
    <w:rsid w:val="00F667F2"/>
    <w:rsid w:val="00F6681A"/>
    <w:rsid w:val="00F72144"/>
    <w:rsid w:val="00F7360B"/>
    <w:rsid w:val="00F75BA6"/>
    <w:rsid w:val="00F76EA6"/>
    <w:rsid w:val="00F76F75"/>
    <w:rsid w:val="00F77946"/>
    <w:rsid w:val="00F77987"/>
    <w:rsid w:val="00F801C0"/>
    <w:rsid w:val="00F80676"/>
    <w:rsid w:val="00F81474"/>
    <w:rsid w:val="00F81874"/>
    <w:rsid w:val="00F844B0"/>
    <w:rsid w:val="00F85577"/>
    <w:rsid w:val="00F866E8"/>
    <w:rsid w:val="00F86DAC"/>
    <w:rsid w:val="00F9057F"/>
    <w:rsid w:val="00F906CC"/>
    <w:rsid w:val="00F91D7B"/>
    <w:rsid w:val="00F9330D"/>
    <w:rsid w:val="00F93FF5"/>
    <w:rsid w:val="00F96FD2"/>
    <w:rsid w:val="00F97116"/>
    <w:rsid w:val="00F97CEF"/>
    <w:rsid w:val="00F97D1A"/>
    <w:rsid w:val="00FA0D54"/>
    <w:rsid w:val="00FA63BF"/>
    <w:rsid w:val="00FB1A82"/>
    <w:rsid w:val="00FC3227"/>
    <w:rsid w:val="00FC3607"/>
    <w:rsid w:val="00FC41CB"/>
    <w:rsid w:val="00FD32AF"/>
    <w:rsid w:val="00FD610B"/>
    <w:rsid w:val="00FD68CF"/>
    <w:rsid w:val="00FE2E75"/>
    <w:rsid w:val="00FE4AA1"/>
    <w:rsid w:val="00FE55D7"/>
    <w:rsid w:val="00FE57C6"/>
    <w:rsid w:val="00FE6F6C"/>
    <w:rsid w:val="00FF49BD"/>
    <w:rsid w:val="00FF4CBC"/>
    <w:rsid w:val="00FF7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EBCB6FD"/>
  <w15:chartTrackingRefBased/>
  <w15:docId w15:val="{1E7F9449-D59E-4E13-9381-A51DE5FD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5100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100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qFormat/>
    <w:rsid w:val="00B214CF"/>
    <w:pPr>
      <w:spacing w:before="240" w:after="60" w:line="240" w:lineRule="auto"/>
      <w:outlineLvl w:val="4"/>
    </w:pPr>
    <w:rPr>
      <w:rFonts w:ascii="Arial" w:eastAsia="Times New Roman" w:hAnsi="Arial"/>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1013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013E2"/>
    <w:rPr>
      <w:rFonts w:ascii="Tahoma" w:hAnsi="Tahoma" w:cs="Tahoma"/>
      <w:sz w:val="16"/>
      <w:szCs w:val="16"/>
      <w:lang w:val="es-MX" w:eastAsia="en-US"/>
    </w:rPr>
  </w:style>
  <w:style w:type="character" w:customStyle="1" w:styleId="Ttulo5Car">
    <w:name w:val="Título 5 Car"/>
    <w:link w:val="Ttulo5"/>
    <w:rsid w:val="00B214CF"/>
    <w:rPr>
      <w:rFonts w:ascii="Arial" w:eastAsia="Times New Roman" w:hAnsi="Arial"/>
      <w:b/>
      <w:bCs/>
      <w:i/>
      <w:iCs/>
      <w:sz w:val="26"/>
      <w:szCs w:val="26"/>
      <w:lang w:val="es-ES" w:eastAsia="es-ES"/>
    </w:rPr>
  </w:style>
  <w:style w:type="paragraph" w:styleId="Sangradetextonormal">
    <w:name w:val="Body Text Indent"/>
    <w:basedOn w:val="Normal"/>
    <w:link w:val="SangradetextonormalCar"/>
    <w:rsid w:val="00B214CF"/>
    <w:pPr>
      <w:spacing w:after="0" w:line="240" w:lineRule="auto"/>
      <w:ind w:left="3540"/>
    </w:pPr>
    <w:rPr>
      <w:rFonts w:ascii="Arial" w:eastAsia="Times New Roman" w:hAnsi="Arial"/>
      <w:b/>
      <w:sz w:val="28"/>
      <w:szCs w:val="20"/>
      <w:lang w:eastAsia="es-ES"/>
    </w:rPr>
  </w:style>
  <w:style w:type="character" w:customStyle="1" w:styleId="SangradetextonormalCar">
    <w:name w:val="Sangría de texto normal Car"/>
    <w:link w:val="Sangradetextonormal"/>
    <w:rsid w:val="00B214CF"/>
    <w:rPr>
      <w:rFonts w:ascii="Arial" w:eastAsia="Times New Roman" w:hAnsi="Arial"/>
      <w:b/>
      <w:sz w:val="28"/>
      <w:lang w:eastAsia="es-ES"/>
    </w:rPr>
  </w:style>
  <w:style w:type="paragraph" w:styleId="Prrafodelista">
    <w:name w:val="List Paragraph"/>
    <w:basedOn w:val="Normal"/>
    <w:link w:val="PrrafodelistaCar"/>
    <w:uiPriority w:val="34"/>
    <w:qFormat/>
    <w:rsid w:val="00B214CF"/>
    <w:pPr>
      <w:spacing w:after="0" w:line="240" w:lineRule="auto"/>
      <w:ind w:left="708"/>
    </w:pPr>
    <w:rPr>
      <w:rFonts w:ascii="Arial" w:eastAsia="Times New Roman" w:hAnsi="Arial"/>
      <w:sz w:val="24"/>
      <w:szCs w:val="20"/>
      <w:lang w:val="es-ES" w:eastAsia="es-ES"/>
    </w:rPr>
  </w:style>
  <w:style w:type="table" w:styleId="Tablaconcuadrcula">
    <w:name w:val="Table Grid"/>
    <w:basedOn w:val="Tablanormal"/>
    <w:rsid w:val="00AA4C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448A0"/>
    <w:rPr>
      <w:color w:val="0000FF"/>
      <w:u w:val="single"/>
    </w:rPr>
  </w:style>
  <w:style w:type="character" w:styleId="Nmerodepgina">
    <w:name w:val="page number"/>
    <w:basedOn w:val="Fuentedeprrafopredeter"/>
    <w:rsid w:val="00C62162"/>
  </w:style>
  <w:style w:type="character" w:customStyle="1" w:styleId="PrrafodelistaCar">
    <w:name w:val="Párrafo de lista Car"/>
    <w:link w:val="Prrafodelista"/>
    <w:uiPriority w:val="34"/>
    <w:locked/>
    <w:rsid w:val="00976F0F"/>
    <w:rPr>
      <w:rFonts w:ascii="Arial" w:eastAsia="Times New Roman" w:hAnsi="Arial"/>
      <w:sz w:val="24"/>
      <w:lang w:val="es-ES" w:eastAsia="es-ES"/>
    </w:rPr>
  </w:style>
  <w:style w:type="character" w:styleId="Refdecomentario">
    <w:name w:val="annotation reference"/>
    <w:basedOn w:val="Fuentedeprrafopredeter"/>
    <w:uiPriority w:val="99"/>
    <w:semiHidden/>
    <w:unhideWhenUsed/>
    <w:rsid w:val="003216AF"/>
    <w:rPr>
      <w:sz w:val="16"/>
      <w:szCs w:val="16"/>
    </w:rPr>
  </w:style>
  <w:style w:type="paragraph" w:styleId="Textocomentario">
    <w:name w:val="annotation text"/>
    <w:basedOn w:val="Normal"/>
    <w:link w:val="TextocomentarioCar"/>
    <w:uiPriority w:val="99"/>
    <w:unhideWhenUsed/>
    <w:rsid w:val="003216AF"/>
    <w:pPr>
      <w:spacing w:line="240" w:lineRule="auto"/>
    </w:pPr>
    <w:rPr>
      <w:sz w:val="20"/>
      <w:szCs w:val="20"/>
    </w:rPr>
  </w:style>
  <w:style w:type="character" w:customStyle="1" w:styleId="TextocomentarioCar">
    <w:name w:val="Texto comentario Car"/>
    <w:basedOn w:val="Fuentedeprrafopredeter"/>
    <w:link w:val="Textocomentario"/>
    <w:uiPriority w:val="99"/>
    <w:rsid w:val="003216AF"/>
    <w:rPr>
      <w:lang w:eastAsia="en-US"/>
    </w:rPr>
  </w:style>
  <w:style w:type="paragraph" w:styleId="Asuntodelcomentario">
    <w:name w:val="annotation subject"/>
    <w:basedOn w:val="Textocomentario"/>
    <w:next w:val="Textocomentario"/>
    <w:link w:val="AsuntodelcomentarioCar"/>
    <w:uiPriority w:val="99"/>
    <w:semiHidden/>
    <w:unhideWhenUsed/>
    <w:rsid w:val="003216AF"/>
    <w:rPr>
      <w:b/>
      <w:bCs/>
    </w:rPr>
  </w:style>
  <w:style w:type="character" w:customStyle="1" w:styleId="AsuntodelcomentarioCar">
    <w:name w:val="Asunto del comentario Car"/>
    <w:basedOn w:val="TextocomentarioCar"/>
    <w:link w:val="Asuntodelcomentario"/>
    <w:uiPriority w:val="99"/>
    <w:semiHidden/>
    <w:rsid w:val="003216AF"/>
    <w:rPr>
      <w:b/>
      <w:bCs/>
      <w:lang w:eastAsia="en-US"/>
    </w:rPr>
  </w:style>
  <w:style w:type="character" w:styleId="Hipervnculovisitado">
    <w:name w:val="FollowedHyperlink"/>
    <w:basedOn w:val="Fuentedeprrafopredeter"/>
    <w:uiPriority w:val="99"/>
    <w:semiHidden/>
    <w:unhideWhenUsed/>
    <w:rsid w:val="004B22BF"/>
    <w:rPr>
      <w:color w:val="954F72" w:themeColor="followedHyperlink"/>
      <w:u w:val="single"/>
    </w:rPr>
  </w:style>
  <w:style w:type="paragraph" w:styleId="Revisin">
    <w:name w:val="Revision"/>
    <w:hidden/>
    <w:uiPriority w:val="99"/>
    <w:semiHidden/>
    <w:rsid w:val="008B2C92"/>
    <w:rPr>
      <w:sz w:val="22"/>
      <w:szCs w:val="22"/>
      <w:lang w:eastAsia="en-US"/>
    </w:rPr>
  </w:style>
  <w:style w:type="table" w:customStyle="1" w:styleId="Tabladecuadrcula4-nfasis61">
    <w:name w:val="Tabla de cuadrícula 4 - Énfasis 61"/>
    <w:basedOn w:val="Tablanormal"/>
    <w:next w:val="Tabladecuadrcula4-nfasis6"/>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2">
    <w:name w:val="Tabla de cuadrícula 4 - Énfasis 62"/>
    <w:basedOn w:val="Tablanormal"/>
    <w:next w:val="Tabladecuadrcula4-nfasis6"/>
    <w:uiPriority w:val="49"/>
    <w:rsid w:val="00A82BF4"/>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510083"/>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510083"/>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637093">
      <w:bodyDiv w:val="1"/>
      <w:marLeft w:val="0"/>
      <w:marRight w:val="0"/>
      <w:marTop w:val="0"/>
      <w:marBottom w:val="0"/>
      <w:divBdr>
        <w:top w:val="none" w:sz="0" w:space="0" w:color="auto"/>
        <w:left w:val="none" w:sz="0" w:space="0" w:color="auto"/>
        <w:bottom w:val="none" w:sz="0" w:space="0" w:color="auto"/>
        <w:right w:val="none" w:sz="0" w:space="0" w:color="auto"/>
      </w:divBdr>
    </w:div>
    <w:div w:id="454910904">
      <w:bodyDiv w:val="1"/>
      <w:marLeft w:val="0"/>
      <w:marRight w:val="0"/>
      <w:marTop w:val="0"/>
      <w:marBottom w:val="0"/>
      <w:divBdr>
        <w:top w:val="none" w:sz="0" w:space="0" w:color="auto"/>
        <w:left w:val="none" w:sz="0" w:space="0" w:color="auto"/>
        <w:bottom w:val="none" w:sz="0" w:space="0" w:color="auto"/>
        <w:right w:val="none" w:sz="0" w:space="0" w:color="auto"/>
      </w:divBdr>
    </w:div>
    <w:div w:id="539241018">
      <w:bodyDiv w:val="1"/>
      <w:marLeft w:val="0"/>
      <w:marRight w:val="0"/>
      <w:marTop w:val="0"/>
      <w:marBottom w:val="0"/>
      <w:divBdr>
        <w:top w:val="none" w:sz="0" w:space="0" w:color="auto"/>
        <w:left w:val="none" w:sz="0" w:space="0" w:color="auto"/>
        <w:bottom w:val="none" w:sz="0" w:space="0" w:color="auto"/>
        <w:right w:val="none" w:sz="0" w:space="0" w:color="auto"/>
      </w:divBdr>
    </w:div>
    <w:div w:id="1014453237">
      <w:bodyDiv w:val="1"/>
      <w:marLeft w:val="0"/>
      <w:marRight w:val="0"/>
      <w:marTop w:val="0"/>
      <w:marBottom w:val="0"/>
      <w:divBdr>
        <w:top w:val="none" w:sz="0" w:space="0" w:color="auto"/>
        <w:left w:val="none" w:sz="0" w:space="0" w:color="auto"/>
        <w:bottom w:val="none" w:sz="0" w:space="0" w:color="auto"/>
        <w:right w:val="none" w:sz="0" w:space="0" w:color="auto"/>
      </w:divBdr>
    </w:div>
    <w:div w:id="1023819906">
      <w:bodyDiv w:val="1"/>
      <w:marLeft w:val="0"/>
      <w:marRight w:val="0"/>
      <w:marTop w:val="0"/>
      <w:marBottom w:val="0"/>
      <w:divBdr>
        <w:top w:val="none" w:sz="0" w:space="0" w:color="auto"/>
        <w:left w:val="none" w:sz="0" w:space="0" w:color="auto"/>
        <w:bottom w:val="none" w:sz="0" w:space="0" w:color="auto"/>
        <w:right w:val="none" w:sz="0" w:space="0" w:color="auto"/>
      </w:divBdr>
    </w:div>
    <w:div w:id="1057242415">
      <w:bodyDiv w:val="1"/>
      <w:marLeft w:val="0"/>
      <w:marRight w:val="0"/>
      <w:marTop w:val="0"/>
      <w:marBottom w:val="0"/>
      <w:divBdr>
        <w:top w:val="none" w:sz="0" w:space="0" w:color="auto"/>
        <w:left w:val="none" w:sz="0" w:space="0" w:color="auto"/>
        <w:bottom w:val="none" w:sz="0" w:space="0" w:color="auto"/>
        <w:right w:val="none" w:sz="0" w:space="0" w:color="auto"/>
      </w:divBdr>
    </w:div>
    <w:div w:id="1507095134">
      <w:bodyDiv w:val="1"/>
      <w:marLeft w:val="0"/>
      <w:marRight w:val="0"/>
      <w:marTop w:val="0"/>
      <w:marBottom w:val="0"/>
      <w:divBdr>
        <w:top w:val="none" w:sz="0" w:space="0" w:color="auto"/>
        <w:left w:val="none" w:sz="0" w:space="0" w:color="auto"/>
        <w:bottom w:val="none" w:sz="0" w:space="0" w:color="auto"/>
        <w:right w:val="none" w:sz="0" w:space="0" w:color="auto"/>
      </w:divBdr>
    </w:div>
    <w:div w:id="1547138094">
      <w:bodyDiv w:val="1"/>
      <w:marLeft w:val="0"/>
      <w:marRight w:val="0"/>
      <w:marTop w:val="0"/>
      <w:marBottom w:val="0"/>
      <w:divBdr>
        <w:top w:val="none" w:sz="0" w:space="0" w:color="auto"/>
        <w:left w:val="none" w:sz="0" w:space="0" w:color="auto"/>
        <w:bottom w:val="none" w:sz="0" w:space="0" w:color="auto"/>
        <w:right w:val="none" w:sz="0" w:space="0" w:color="auto"/>
      </w:divBdr>
    </w:div>
    <w:div w:id="1767074316">
      <w:bodyDiv w:val="1"/>
      <w:marLeft w:val="0"/>
      <w:marRight w:val="0"/>
      <w:marTop w:val="0"/>
      <w:marBottom w:val="0"/>
      <w:divBdr>
        <w:top w:val="none" w:sz="0" w:space="0" w:color="auto"/>
        <w:left w:val="none" w:sz="0" w:space="0" w:color="auto"/>
        <w:bottom w:val="none" w:sz="0" w:space="0" w:color="auto"/>
        <w:right w:val="none" w:sz="0" w:space="0" w:color="auto"/>
      </w:divBdr>
    </w:div>
    <w:div w:id="17833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F9B726321B4A3448B30A47EA8E28E9E" ma:contentTypeVersion="0" ma:contentTypeDescription="Crear nuevo documento." ma:contentTypeScope="" ma:versionID="851f5ed8c775fa9975fc8daba841f4b5">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FA5AB-D5C4-44AC-BAF5-87ECDD6C54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E10C47-5676-4E6D-B1B3-C7702EF220C0}">
  <ds:schemaRefs>
    <ds:schemaRef ds:uri="http://schemas.microsoft.com/sharepoint/v3/contenttype/forms"/>
  </ds:schemaRefs>
</ds:datastoreItem>
</file>

<file path=customXml/itemProps3.xml><?xml version="1.0" encoding="utf-8"?>
<ds:datastoreItem xmlns:ds="http://schemas.openxmlformats.org/officeDocument/2006/customXml" ds:itemID="{D33381A4-9552-4A42-8F06-9DAA14666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2236D97-4185-40DA-A135-618A38F5D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4799</Words>
  <Characters>26395</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UNIDAD DE SERVICIOS A LA INDUSTRIA</vt:lpstr>
    </vt:vector>
  </TitlesOfParts>
  <Company/>
  <LinksUpToDate>false</LinksUpToDate>
  <CharactersWithSpaces>31132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A LA INDUSTRIA</dc:title>
  <dc:subject/>
  <dc:creator>pedro.marquez@ift.org.mx</dc:creator>
  <cp:keywords/>
  <cp:lastModifiedBy>Maria del Consuelo Gonzalez Moreno</cp:lastModifiedBy>
  <cp:revision>8</cp:revision>
  <cp:lastPrinted>2016-09-08T23:01:00Z</cp:lastPrinted>
  <dcterms:created xsi:type="dcterms:W3CDTF">2017-05-11T02:26:00Z</dcterms:created>
  <dcterms:modified xsi:type="dcterms:W3CDTF">2017-05-30T21:31:00Z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0x0101001F9B726321B4A3448B30A47EA8E28E9E</vt:lpwstr>
  </property>
</Properties>
</file>