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58828" w14:textId="77777777" w:rsidR="00750659" w:rsidRPr="000C5A29" w:rsidRDefault="00052579" w:rsidP="000C5A29">
      <w:pPr>
        <w:pStyle w:val="Ttulo1"/>
        <w:keepNext w:val="0"/>
        <w:widowControl w:val="0"/>
        <w:spacing w:after="200" w:line="276" w:lineRule="auto"/>
        <w:jc w:val="both"/>
        <w:rPr>
          <w:rFonts w:ascii="ITC Avant Garde" w:hAnsi="ITC Avant Garde"/>
          <w:szCs w:val="22"/>
        </w:rPr>
      </w:pPr>
      <w:r w:rsidRPr="000C5A29">
        <w:rPr>
          <w:rFonts w:ascii="ITC Avant Garde" w:hAnsi="ITC Avant Garde"/>
          <w:bCs/>
          <w:szCs w:val="22"/>
        </w:rPr>
        <w:t xml:space="preserve">RESOLUCIÓN MEDIANTE LA CUAL EL PLENO DEL INSTITUTO FEDERAL DE TELECOMUNICACIONES EN CUMPLIMIENTO A LA EJECUTORIA DEL AMPARO EN REVISIÓN R.A. 123/2017 DEJA SIN EFECTOS EL RESOLUTIVO SEGUNDO DE LA RESOLUCIÓN APROBADA MEDIANTE ACUERDO P/IFT/191016/567. </w:t>
      </w:r>
    </w:p>
    <w:p w14:paraId="1F9E67FF" w14:textId="77777777" w:rsidR="00750659" w:rsidRDefault="00C25F00" w:rsidP="000C5A29">
      <w:pPr>
        <w:pStyle w:val="Ttulo2"/>
        <w:spacing w:after="200"/>
        <w:jc w:val="center"/>
        <w:rPr>
          <w:rFonts w:ascii="ITC Avant Garde" w:hAnsi="ITC Avant Garde"/>
          <w:szCs w:val="22"/>
        </w:rPr>
      </w:pPr>
      <w:r w:rsidRPr="00EB10A1">
        <w:rPr>
          <w:rFonts w:ascii="ITC Avant Garde" w:hAnsi="ITC Avant Garde"/>
          <w:szCs w:val="22"/>
        </w:rPr>
        <w:t>ANTECEDENTES</w:t>
      </w:r>
    </w:p>
    <w:p w14:paraId="29C18AB1" w14:textId="77777777" w:rsidR="00750659" w:rsidRDefault="007C02DF" w:rsidP="00750659">
      <w:pPr>
        <w:numPr>
          <w:ilvl w:val="0"/>
          <w:numId w:val="1"/>
        </w:numPr>
        <w:tabs>
          <w:tab w:val="clear" w:pos="8761"/>
          <w:tab w:val="num" w:pos="680"/>
        </w:tabs>
        <w:ind w:left="680"/>
        <w:jc w:val="both"/>
        <w:rPr>
          <w:rFonts w:ascii="ITC Avant Garde" w:eastAsia="Times New Roman" w:hAnsi="ITC Avant Garde" w:cs="Arial"/>
          <w:b/>
          <w:bCs/>
          <w:lang w:eastAsia="es-ES"/>
        </w:rPr>
      </w:pPr>
      <w:r w:rsidRPr="00EB10A1">
        <w:rPr>
          <w:rFonts w:ascii="ITC Avant Garde" w:hAnsi="ITC Avant Garde"/>
          <w:b/>
          <w:bCs/>
        </w:rPr>
        <w:t xml:space="preserve">Concesiones de </w:t>
      </w:r>
      <w:proofErr w:type="spellStart"/>
      <w:r w:rsidRPr="00EB10A1">
        <w:rPr>
          <w:rFonts w:ascii="ITC Avant Garde" w:hAnsi="ITC Avant Garde"/>
          <w:b/>
          <w:bCs/>
        </w:rPr>
        <w:t>Radiomóvil</w:t>
      </w:r>
      <w:proofErr w:type="spellEnd"/>
      <w:r w:rsidRPr="00EB10A1">
        <w:rPr>
          <w:rFonts w:ascii="ITC Avant Garde" w:hAnsi="ITC Avant Garde"/>
          <w:b/>
          <w:bCs/>
        </w:rPr>
        <w:t xml:space="preserve"> </w:t>
      </w:r>
      <w:proofErr w:type="spellStart"/>
      <w:r w:rsidRPr="00EB10A1">
        <w:rPr>
          <w:rFonts w:ascii="ITC Avant Garde" w:hAnsi="ITC Avant Garde"/>
          <w:b/>
          <w:bCs/>
        </w:rPr>
        <w:t>Dipsa</w:t>
      </w:r>
      <w:proofErr w:type="spellEnd"/>
      <w:r w:rsidRPr="00EB10A1">
        <w:rPr>
          <w:rFonts w:ascii="ITC Avant Garde" w:hAnsi="ITC Avant Garde"/>
          <w:b/>
          <w:bCs/>
        </w:rPr>
        <w:t xml:space="preserve">, S.A. de C.V. </w:t>
      </w:r>
      <w:r w:rsidRPr="00EB10A1">
        <w:rPr>
          <w:rFonts w:ascii="ITC Avant Garde" w:eastAsia="Times New Roman" w:hAnsi="ITC Avant Garde" w:cs="Arial"/>
          <w:b/>
          <w:bCs/>
          <w:lang w:eastAsia="es-ES"/>
        </w:rPr>
        <w:t xml:space="preserve">(en lo sucesivo, “Telcel”), </w:t>
      </w:r>
      <w:r w:rsidRPr="00EB10A1">
        <w:rPr>
          <w:rFonts w:ascii="ITC Avant Garde" w:eastAsia="Times New Roman" w:hAnsi="ITC Avant Garde" w:cs="Arial"/>
          <w:bCs/>
          <w:lang w:eastAsia="es-ES"/>
        </w:rPr>
        <w:t xml:space="preserve">es un operador que cuenta </w:t>
      </w:r>
      <w:r w:rsidRPr="00EB10A1">
        <w:rPr>
          <w:rFonts w:ascii="ITC Avant Garde" w:hAnsi="ITC Avant Garde" w:cs="Arial"/>
          <w:bCs/>
          <w:snapToGrid w:val="0"/>
        </w:rPr>
        <w:t>concesiones p</w:t>
      </w:r>
      <w:r w:rsidRPr="00EB10A1">
        <w:rPr>
          <w:rFonts w:ascii="ITC Avant Garde" w:eastAsia="Times New Roman" w:hAnsi="ITC Avant Garde"/>
          <w:lang w:eastAsia="es-ES"/>
        </w:rPr>
        <w:t>ara instalar, operar y explotar una red pública de telecomunicaciones</w:t>
      </w:r>
      <w:r w:rsidRPr="00EB10A1">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6FEDCDFA" w14:textId="77777777" w:rsidR="00750659" w:rsidRDefault="00C9549E" w:rsidP="00750659">
      <w:pPr>
        <w:numPr>
          <w:ilvl w:val="0"/>
          <w:numId w:val="1"/>
        </w:numPr>
        <w:tabs>
          <w:tab w:val="left" w:pos="142"/>
        </w:tabs>
        <w:ind w:left="709" w:right="23" w:hanging="709"/>
        <w:jc w:val="both"/>
        <w:rPr>
          <w:rFonts w:ascii="ITC Avant Garde" w:hAnsi="ITC Avant Garde" w:cs="Arial"/>
          <w:bCs/>
        </w:rPr>
      </w:pPr>
      <w:r w:rsidRPr="00EB10A1">
        <w:rPr>
          <w:rFonts w:ascii="ITC Avant Garde" w:hAnsi="ITC Avant Garde" w:cs="Arial"/>
          <w:b/>
          <w:bCs/>
        </w:rPr>
        <w:t>Concesi</w:t>
      </w:r>
      <w:r w:rsidR="002A5E74" w:rsidRPr="00EB10A1">
        <w:rPr>
          <w:rFonts w:ascii="ITC Avant Garde" w:hAnsi="ITC Avant Garde" w:cs="Arial"/>
          <w:b/>
          <w:bCs/>
        </w:rPr>
        <w:t>ón de</w:t>
      </w:r>
      <w:r w:rsidR="00F878AE" w:rsidRPr="00EB10A1">
        <w:rPr>
          <w:rFonts w:ascii="ITC Avant Garde" w:hAnsi="ITC Avant Garde" w:cs="Arial"/>
          <w:b/>
          <w:bCs/>
        </w:rPr>
        <w:t xml:space="preserve"> </w:t>
      </w:r>
      <w:proofErr w:type="spellStart"/>
      <w:r w:rsidR="003B09FF" w:rsidRPr="00EB10A1">
        <w:rPr>
          <w:rFonts w:ascii="ITC Avant Garde" w:hAnsi="ITC Avant Garde"/>
          <w:b/>
          <w:bCs/>
        </w:rPr>
        <w:t>Marcatel</w:t>
      </w:r>
      <w:proofErr w:type="spellEnd"/>
      <w:r w:rsidR="00F878AE" w:rsidRPr="00EB10A1">
        <w:rPr>
          <w:rFonts w:ascii="ITC Avant Garde" w:hAnsi="ITC Avant Garde"/>
          <w:b/>
          <w:bCs/>
        </w:rPr>
        <w:t xml:space="preserve"> </w:t>
      </w:r>
      <w:proofErr w:type="spellStart"/>
      <w:r w:rsidR="00F878AE" w:rsidRPr="00EB10A1">
        <w:rPr>
          <w:rFonts w:ascii="ITC Avant Garde" w:hAnsi="ITC Avant Garde"/>
          <w:b/>
          <w:bCs/>
        </w:rPr>
        <w:t>Com</w:t>
      </w:r>
      <w:proofErr w:type="spellEnd"/>
      <w:r w:rsidR="00F878AE" w:rsidRPr="00EB10A1">
        <w:rPr>
          <w:rFonts w:ascii="ITC Avant Garde" w:hAnsi="ITC Avant Garde"/>
          <w:b/>
          <w:bCs/>
        </w:rPr>
        <w:t xml:space="preserve">, </w:t>
      </w:r>
      <w:r w:rsidR="00F878AE" w:rsidRPr="00EB10A1">
        <w:rPr>
          <w:rFonts w:ascii="ITC Avant Garde" w:hAnsi="ITC Avant Garde" w:cs="Arial"/>
          <w:b/>
          <w:bCs/>
          <w:snapToGrid w:val="0"/>
        </w:rPr>
        <w:t xml:space="preserve">S.A. de C.V. </w:t>
      </w:r>
      <w:r w:rsidR="00F878AE" w:rsidRPr="00EB10A1">
        <w:rPr>
          <w:rFonts w:ascii="ITC Avant Garde" w:eastAsia="Times New Roman" w:hAnsi="ITC Avant Garde" w:cs="Arial"/>
          <w:b/>
          <w:bCs/>
          <w:lang w:eastAsia="es-ES"/>
        </w:rPr>
        <w:t>(en lo sucesivo, “</w:t>
      </w:r>
      <w:proofErr w:type="spellStart"/>
      <w:r w:rsidR="003B09FF" w:rsidRPr="00EB10A1">
        <w:rPr>
          <w:rFonts w:ascii="ITC Avant Garde" w:eastAsia="Times New Roman" w:hAnsi="ITC Avant Garde" w:cs="Arial"/>
          <w:b/>
          <w:bCs/>
          <w:lang w:eastAsia="es-ES"/>
        </w:rPr>
        <w:t>Marcatel</w:t>
      </w:r>
      <w:proofErr w:type="spellEnd"/>
      <w:r w:rsidR="00F878AE" w:rsidRPr="00EB10A1">
        <w:rPr>
          <w:rFonts w:ascii="ITC Avant Garde" w:eastAsia="Times New Roman" w:hAnsi="ITC Avant Garde" w:cs="Arial"/>
          <w:b/>
          <w:bCs/>
          <w:lang w:eastAsia="es-ES"/>
        </w:rPr>
        <w:t xml:space="preserve">”), </w:t>
      </w:r>
      <w:r w:rsidR="00F878AE" w:rsidRPr="00EB10A1">
        <w:rPr>
          <w:rFonts w:ascii="ITC Avant Garde" w:eastAsia="Times New Roman" w:hAnsi="ITC Avant Garde" w:cs="Arial"/>
          <w:bCs/>
          <w:lang w:eastAsia="es-ES"/>
        </w:rPr>
        <w:t xml:space="preserve">es un operador que cuenta con una </w:t>
      </w:r>
      <w:r w:rsidR="00F878AE" w:rsidRPr="00EB10A1">
        <w:rPr>
          <w:rFonts w:ascii="ITC Avant Garde" w:hAnsi="ITC Avant Garde" w:cs="Arial"/>
          <w:bCs/>
          <w:snapToGrid w:val="0"/>
        </w:rPr>
        <w:t>concesión p</w:t>
      </w:r>
      <w:r w:rsidR="00F878AE" w:rsidRPr="00EB10A1">
        <w:rPr>
          <w:rFonts w:ascii="ITC Avant Garde" w:eastAsia="Times New Roman" w:hAnsi="ITC Avant Garde"/>
          <w:lang w:eastAsia="es-ES"/>
        </w:rPr>
        <w:t xml:space="preserve">ara instalar, operar y explotar una red pública de telecomunicaciones </w:t>
      </w:r>
      <w:r w:rsidR="00F878AE" w:rsidRPr="00EB10A1">
        <w:rPr>
          <w:rFonts w:ascii="ITC Avant Garde" w:eastAsia="Times New Roman" w:hAnsi="ITC Avant Garde" w:cs="Arial"/>
          <w:bCs/>
          <w:lang w:eastAsia="es-ES"/>
        </w:rPr>
        <w:t>al amparo de los títulos de concesión otorgados conforme a legislación aplicable e inscritos en el Registro Público de Concesiones del Instituto.</w:t>
      </w:r>
    </w:p>
    <w:p w14:paraId="5AE32417" w14:textId="77777777" w:rsidR="00750659" w:rsidRDefault="00931F49" w:rsidP="00750659">
      <w:pPr>
        <w:numPr>
          <w:ilvl w:val="0"/>
          <w:numId w:val="1"/>
        </w:numPr>
        <w:tabs>
          <w:tab w:val="clear" w:pos="8761"/>
          <w:tab w:val="num" w:pos="680"/>
        </w:tabs>
        <w:ind w:left="680"/>
        <w:jc w:val="both"/>
        <w:rPr>
          <w:rFonts w:ascii="ITC Avant Garde" w:hAnsi="ITC Avant Garde"/>
          <w:bCs/>
          <w:lang w:val="es-ES" w:eastAsia="es-ES"/>
        </w:rPr>
      </w:pPr>
      <w:r>
        <w:rPr>
          <w:rFonts w:ascii="ITC Avant Garde" w:hAnsi="ITC Avant Garde"/>
          <w:b/>
          <w:bCs/>
          <w:lang w:val="es-ES" w:eastAsia="es-ES"/>
        </w:rPr>
        <w:t>Emisión del Acuerdo P/IFT/191016/567</w:t>
      </w:r>
      <w:r w:rsidRPr="00DD60CF">
        <w:rPr>
          <w:rFonts w:ascii="ITC Avant Garde" w:hAnsi="ITC Avant Garde"/>
          <w:bCs/>
          <w:lang w:val="es-ES" w:eastAsia="es-ES"/>
        </w:rPr>
        <w:t>.</w:t>
      </w:r>
      <w:r>
        <w:rPr>
          <w:rFonts w:ascii="ITC Avant Garde" w:hAnsi="ITC Avant Garde"/>
          <w:bCs/>
          <w:lang w:val="es-ES" w:eastAsia="es-ES"/>
        </w:rPr>
        <w:t xml:space="preserve"> </w:t>
      </w:r>
      <w:r w:rsidRPr="00DD60CF">
        <w:rPr>
          <w:rFonts w:ascii="ITC Avant Garde" w:hAnsi="ITC Avant Garde"/>
          <w:bCs/>
          <w:lang w:val="es-ES" w:eastAsia="es-ES"/>
        </w:rPr>
        <w:t>El 19 de octubre de 2016, el Pleno del Instituto</w:t>
      </w:r>
      <w:r w:rsidR="008F33F6">
        <w:rPr>
          <w:rFonts w:ascii="ITC Avant Garde" w:hAnsi="ITC Avant Garde"/>
          <w:bCs/>
          <w:lang w:val="es-ES" w:eastAsia="es-ES"/>
        </w:rPr>
        <w:t xml:space="preserve"> </w:t>
      </w:r>
      <w:r w:rsidR="008F33F6" w:rsidRPr="008F33F6">
        <w:rPr>
          <w:rFonts w:ascii="ITC Avant Garde" w:hAnsi="ITC Avant Garde"/>
          <w:bCs/>
          <w:lang w:eastAsia="es-ES"/>
        </w:rPr>
        <w:t>en su XXXIV Sesión Ordinaria</w:t>
      </w:r>
      <w:r w:rsidR="008F33F6">
        <w:rPr>
          <w:rFonts w:ascii="ITC Avant Garde" w:hAnsi="ITC Avant Garde"/>
          <w:bCs/>
          <w:lang w:eastAsia="es-ES"/>
        </w:rPr>
        <w:t xml:space="preserve">, aprobó mediante Acuerdo P/IFT/191016/567, la </w:t>
      </w:r>
      <w:r w:rsidR="008F33F6" w:rsidRPr="008F33F6">
        <w:rPr>
          <w:rFonts w:ascii="ITC Avant Garde" w:hAnsi="ITC Avant Garde"/>
          <w:bCs/>
          <w:lang w:eastAsia="es-ES"/>
        </w:rPr>
        <w:t>“</w:t>
      </w:r>
      <w:r w:rsidR="008F33F6" w:rsidRPr="00DD60CF">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F33F6" w:rsidRPr="00DD60CF">
        <w:rPr>
          <w:rFonts w:ascii="ITC Avant Garde" w:hAnsi="ITC Avant Garde" w:cs="Helvetica"/>
          <w:lang w:eastAsia="es-MX"/>
        </w:rPr>
        <w:t>ENTRE RADIOMÓVIL DIPSA, S.A. DE C.V. Y MARCATEL COM, S.A. DE C.V.</w:t>
      </w:r>
      <w:r w:rsidR="008F33F6" w:rsidRPr="00DD60CF">
        <w:rPr>
          <w:rFonts w:ascii="ITC Avant Garde" w:hAnsi="ITC Avant Garde" w:cs="Arial"/>
          <w:iCs/>
        </w:rPr>
        <w:t xml:space="preserve">, </w:t>
      </w:r>
      <w:r w:rsidR="008F33F6" w:rsidRPr="00DD60CF">
        <w:rPr>
          <w:rFonts w:ascii="ITC Avant Garde" w:eastAsia="Times New Roman" w:hAnsi="ITC Avant Garde"/>
          <w:bCs/>
          <w:iCs/>
          <w:lang w:eastAsia="es-ES"/>
        </w:rPr>
        <w:t>APLICABLES DEL 1 DE ENERO AL 31 DE DICIEMBRE DE 2017”.</w:t>
      </w:r>
      <w:r w:rsidR="008F33F6">
        <w:rPr>
          <w:rFonts w:ascii="ITC Avant Garde" w:hAnsi="ITC Avant Garde"/>
          <w:bCs/>
          <w:lang w:eastAsia="es-ES"/>
        </w:rPr>
        <w:t xml:space="preserve"> </w:t>
      </w:r>
    </w:p>
    <w:p w14:paraId="4843EC88" w14:textId="77777777" w:rsidR="00750659" w:rsidRDefault="00616E56" w:rsidP="00750659">
      <w:pPr>
        <w:numPr>
          <w:ilvl w:val="0"/>
          <w:numId w:val="1"/>
        </w:numPr>
        <w:tabs>
          <w:tab w:val="clear" w:pos="8761"/>
          <w:tab w:val="num" w:pos="680"/>
        </w:tabs>
        <w:ind w:left="680"/>
        <w:jc w:val="both"/>
        <w:rPr>
          <w:rFonts w:ascii="ITC Avant Garde" w:hAnsi="ITC Avant Garde"/>
          <w:bCs/>
          <w:lang w:val="es-ES" w:eastAsia="es-ES"/>
        </w:rPr>
      </w:pPr>
      <w:r w:rsidRPr="00DD60CF">
        <w:rPr>
          <w:rFonts w:ascii="ITC Avant Garde" w:hAnsi="ITC Avant Garde"/>
          <w:b/>
          <w:bCs/>
          <w:lang w:val="es-ES" w:eastAsia="es-ES"/>
        </w:rPr>
        <w:t>Ejecut</w:t>
      </w:r>
      <w:r w:rsidR="00665C0E" w:rsidRPr="00665C0E">
        <w:rPr>
          <w:rFonts w:ascii="ITC Avant Garde" w:hAnsi="ITC Avant Garde"/>
          <w:b/>
          <w:bCs/>
          <w:lang w:val="es-ES" w:eastAsia="es-ES"/>
        </w:rPr>
        <w:t>oria del amparo en revisión R.A.</w:t>
      </w:r>
      <w:r w:rsidRPr="00DD60CF">
        <w:rPr>
          <w:rFonts w:ascii="ITC Avant Garde" w:hAnsi="ITC Avant Garde"/>
          <w:b/>
          <w:bCs/>
          <w:lang w:val="es-ES" w:eastAsia="es-ES"/>
        </w:rPr>
        <w:t xml:space="preserve"> 1100/2015. </w:t>
      </w:r>
      <w:r w:rsidRPr="00742FAF">
        <w:rPr>
          <w:rFonts w:ascii="ITC Avant Garde" w:hAnsi="ITC Avant Garde"/>
          <w:bCs/>
          <w:lang w:val="es-ES" w:eastAsia="es-ES"/>
        </w:rPr>
        <w:t xml:space="preserve">Mediante ejecutoria de fecha 16 de agosto de 2017 correspondiente al amparo en revisión A.R. 1100/2015, la Segunda Sala de la Suprema Corte de Justicia de la Nación, resolvió amparar y proteger a </w:t>
      </w:r>
      <w:proofErr w:type="spellStart"/>
      <w:r w:rsidRPr="00742FAF">
        <w:rPr>
          <w:rFonts w:ascii="ITC Avant Garde" w:hAnsi="ITC Avant Garde"/>
          <w:bCs/>
          <w:lang w:val="es-ES" w:eastAsia="es-ES"/>
        </w:rPr>
        <w:t>Radiomóvil</w:t>
      </w:r>
      <w:proofErr w:type="spellEnd"/>
      <w:r w:rsidRPr="00742FAF">
        <w:rPr>
          <w:rFonts w:ascii="ITC Avant Garde" w:hAnsi="ITC Avant Garde"/>
          <w:bCs/>
          <w:lang w:val="es-ES" w:eastAsia="es-ES"/>
        </w:rPr>
        <w:t xml:space="preserve"> </w:t>
      </w:r>
      <w:proofErr w:type="spellStart"/>
      <w:r w:rsidRPr="00742FAF">
        <w:rPr>
          <w:rFonts w:ascii="ITC Avant Garde" w:hAnsi="ITC Avant Garde"/>
          <w:bCs/>
          <w:lang w:val="es-ES" w:eastAsia="es-ES"/>
        </w:rPr>
        <w:t>Dipsa</w:t>
      </w:r>
      <w:proofErr w:type="spellEnd"/>
      <w:r w:rsidRPr="00742FAF">
        <w:rPr>
          <w:rFonts w:ascii="ITC Avant Garde" w:hAnsi="ITC Avant Garde"/>
          <w:bCs/>
          <w:lang w:val="es-ES" w:eastAsia="es-ES"/>
        </w:rPr>
        <w:t>, S.A. de C.V. en contra de los artículos 131, segundo pá</w:t>
      </w:r>
      <w:r w:rsidRPr="00665C0E">
        <w:rPr>
          <w:rFonts w:ascii="ITC Avant Garde" w:hAnsi="ITC Avant Garde"/>
          <w:bCs/>
          <w:lang w:val="es-ES" w:eastAsia="es-ES"/>
        </w:rPr>
        <w:t>rrafo inciso a), y párrafo tercero; Sexto, Vigésimo y Trigésimo Quinto transitorios, en las porciones referidas en la propia ejecutoria, de la Ley Federal de Telecomunicaciones y Radiodifusión, para los efectos precisados en la sentencia.</w:t>
      </w:r>
    </w:p>
    <w:p w14:paraId="5989B3EE" w14:textId="77777777" w:rsidR="00750659" w:rsidRDefault="000D5F6A" w:rsidP="00750659">
      <w:pPr>
        <w:numPr>
          <w:ilvl w:val="0"/>
          <w:numId w:val="1"/>
        </w:numPr>
        <w:tabs>
          <w:tab w:val="clear" w:pos="8761"/>
          <w:tab w:val="num" w:pos="680"/>
        </w:tabs>
        <w:ind w:left="680"/>
        <w:jc w:val="both"/>
        <w:rPr>
          <w:rFonts w:ascii="ITC Avant Garde" w:hAnsi="ITC Avant Garde"/>
          <w:bCs/>
          <w:lang w:val="es-ES" w:eastAsia="es-ES"/>
        </w:rPr>
      </w:pPr>
      <w:r w:rsidRPr="009D67C2">
        <w:rPr>
          <w:rFonts w:ascii="ITC Avant Garde" w:hAnsi="ITC Avant Garde"/>
          <w:b/>
          <w:bCs/>
          <w:lang w:val="es-ES" w:eastAsia="es-ES"/>
        </w:rPr>
        <w:t>Cumplimiento a la ejecutoria y aclaración del amparo en revisión R.A. 123/2017.</w:t>
      </w:r>
      <w:r>
        <w:rPr>
          <w:rFonts w:ascii="ITC Avant Garde" w:hAnsi="ITC Avant Garde"/>
          <w:bCs/>
          <w:lang w:val="es-ES" w:eastAsia="es-ES"/>
        </w:rPr>
        <w:t xml:space="preserve"> Mediante</w:t>
      </w:r>
      <w:r w:rsidR="00C453DA">
        <w:rPr>
          <w:rFonts w:ascii="ITC Avant Garde" w:hAnsi="ITC Avant Garde"/>
          <w:bCs/>
          <w:lang w:val="es-ES" w:eastAsia="es-ES"/>
        </w:rPr>
        <w:t xml:space="preserve"> ejecutoria de fecha 1 de febrero de 2018, </w:t>
      </w:r>
      <w:r w:rsidR="00C453DA">
        <w:rPr>
          <w:rFonts w:ascii="ITC Avant Garde" w:hAnsi="ITC Avant Garde"/>
          <w:bCs/>
          <w:lang w:val="es-ES" w:eastAsia="es-ES"/>
        </w:rPr>
        <w:lastRenderedPageBreak/>
        <w:t xml:space="preserve">correspondiente al amparo en revisión R.A. 123/2017, el Primer Tribunal Colegiado </w:t>
      </w:r>
      <w:r w:rsidR="00C453DA" w:rsidRPr="0003028F">
        <w:rPr>
          <w:rFonts w:ascii="ITC Avant Garde" w:hAnsi="ITC Avant Garde"/>
          <w:color w:val="000000" w:themeColor="text1"/>
          <w:lang w:val="es-ES"/>
        </w:rPr>
        <w:t>en Materia Administrativa Especializado en Competencia Económica, Radiodifusión y Telecomunicaciones</w:t>
      </w:r>
      <w:r w:rsidR="00C453DA">
        <w:rPr>
          <w:rFonts w:ascii="ITC Avant Garde" w:hAnsi="ITC Avant Garde"/>
          <w:color w:val="000000" w:themeColor="text1"/>
          <w:lang w:val="es-ES"/>
        </w:rPr>
        <w:t xml:space="preserve"> (en lo subsecuente Tribunal Colegiado o el Tribunal)</w:t>
      </w:r>
      <w:r w:rsidR="00C453DA" w:rsidRPr="0003028F">
        <w:rPr>
          <w:rFonts w:ascii="ITC Avant Garde" w:hAnsi="ITC Avant Garde"/>
          <w:color w:val="000000" w:themeColor="text1"/>
          <w:lang w:val="es-ES"/>
        </w:rPr>
        <w:t>,</w:t>
      </w:r>
      <w:r w:rsidR="00C453DA">
        <w:rPr>
          <w:rFonts w:ascii="ITC Avant Garde" w:hAnsi="ITC Avant Garde"/>
          <w:color w:val="000000" w:themeColor="text1"/>
          <w:lang w:val="es-ES"/>
        </w:rPr>
        <w:t xml:space="preserve"> revocó la sentencia del amparo 172/2016, </w:t>
      </w:r>
      <w:r w:rsidR="00C453DA" w:rsidRPr="004007DE">
        <w:rPr>
          <w:rFonts w:ascii="ITC Avant Garde" w:hAnsi="ITC Avant Garde"/>
          <w:bCs/>
          <w:lang w:val="es-ES"/>
        </w:rPr>
        <w:t xml:space="preserve">del índice del Juzgado </w:t>
      </w:r>
      <w:r w:rsidR="00C453DA">
        <w:rPr>
          <w:rFonts w:ascii="ITC Avant Garde" w:hAnsi="ITC Avant Garde"/>
          <w:bCs/>
          <w:lang w:val="es-ES"/>
        </w:rPr>
        <w:t xml:space="preserve">Primero </w:t>
      </w:r>
      <w:r w:rsidR="00C453DA" w:rsidRPr="004007DE">
        <w:rPr>
          <w:rFonts w:ascii="ITC Avant Garde" w:hAnsi="ITC Avant Garde"/>
          <w:bCs/>
          <w:lang w:val="es-ES"/>
        </w:rPr>
        <w:t>de Distrito en Materia Administrativa Especializado en Competencia Económica, Radiodifusión y Telecomunicaciones,</w:t>
      </w:r>
      <w:r w:rsidR="00C453DA">
        <w:rPr>
          <w:rFonts w:ascii="ITC Avant Garde" w:hAnsi="ITC Avant Garde"/>
          <w:bCs/>
          <w:lang w:val="es-ES"/>
        </w:rPr>
        <w:t xml:space="preserve"> y concedió el amparo a Telcel</w:t>
      </w:r>
      <w:r w:rsidR="00A03FBA">
        <w:rPr>
          <w:rFonts w:ascii="ITC Avant Garde" w:hAnsi="ITC Avant Garde"/>
          <w:bCs/>
          <w:lang w:val="es-ES"/>
        </w:rPr>
        <w:t xml:space="preserve"> respecto de la resolución aprobada mediante </w:t>
      </w:r>
      <w:r w:rsidR="00A03FBA" w:rsidRPr="00A03FBA">
        <w:rPr>
          <w:rFonts w:ascii="ITC Avant Garde" w:hAnsi="ITC Avant Garde"/>
          <w:bCs/>
          <w:lang w:val="es-ES"/>
        </w:rPr>
        <w:t xml:space="preserve">Acuerdo </w:t>
      </w:r>
      <w:r w:rsidR="00A03FBA" w:rsidRPr="009D67C2">
        <w:rPr>
          <w:rFonts w:ascii="ITC Avant Garde" w:hAnsi="ITC Avant Garde"/>
          <w:bCs/>
          <w:lang w:val="es-ES" w:eastAsia="es-ES"/>
        </w:rPr>
        <w:t>P/IFT/191016/567</w:t>
      </w:r>
      <w:r w:rsidR="00A03FBA">
        <w:rPr>
          <w:rFonts w:ascii="ITC Avant Garde" w:hAnsi="ITC Avant Garde"/>
          <w:bCs/>
          <w:lang w:val="es-ES" w:eastAsia="es-ES"/>
        </w:rPr>
        <w:t xml:space="preserve"> para el efecto de que este Instituto, en los términos de dicha ejecutoria, deje de aplicar a Telcel el precepto normativo declarado inconstitucional. </w:t>
      </w:r>
    </w:p>
    <w:p w14:paraId="35E1F4A0" w14:textId="77777777" w:rsidR="00750659" w:rsidRDefault="00A03FBA" w:rsidP="00750659">
      <w:pPr>
        <w:ind w:left="680"/>
        <w:jc w:val="both"/>
        <w:rPr>
          <w:rFonts w:ascii="ITC Avant Garde" w:hAnsi="ITC Avant Garde"/>
          <w:bCs/>
          <w:lang w:val="es-ES" w:eastAsia="es-ES"/>
        </w:rPr>
      </w:pPr>
      <w:r>
        <w:rPr>
          <w:rFonts w:ascii="ITC Avant Garde" w:hAnsi="ITC Avant Garde"/>
          <w:bCs/>
          <w:lang w:val="es-ES" w:eastAsia="es-ES"/>
        </w:rPr>
        <w:t>Con fecha 1 de marzo de 2018, dicho Tribunal Colegiado emitió la aclaración de sentencia correspondiente al amparo en revisión R.A. 123/2017</w:t>
      </w:r>
      <w:r w:rsidR="00927D99">
        <w:rPr>
          <w:rFonts w:ascii="ITC Avant Garde" w:hAnsi="ITC Avant Garde"/>
          <w:bCs/>
          <w:lang w:val="es-ES" w:eastAsia="es-ES"/>
        </w:rPr>
        <w:t>, en la que aclaró emitir una nueva resolución, en la cual se incluya una acotación, en el sentido de que en ningún supuesto, dichas tarifas se debían considerar extensibles a ningún día del año dos mil dieciocho, ya que a partir del 1 de enero de 2018, la regulación asimétrica relativa a las tarifas de interconexión por la terminación de tráfico en la red de Telcel, en su carácter de AEP, serán resultado no de las aplicaciones de las disposiciones declaradas inconstitucionales, sino de las determinadas con base en las atribuciones del órgano regulador.</w:t>
      </w:r>
    </w:p>
    <w:p w14:paraId="170737B8" w14:textId="77777777" w:rsidR="00750659" w:rsidRDefault="007A2313" w:rsidP="00750659">
      <w:pPr>
        <w:widowControl w:val="0"/>
        <w:jc w:val="both"/>
        <w:rPr>
          <w:rFonts w:ascii="ITC Avant Garde" w:eastAsia="Times New Roman" w:hAnsi="ITC Avant Garde"/>
          <w:lang w:eastAsia="es-ES"/>
        </w:rPr>
      </w:pPr>
      <w:r w:rsidRPr="00EB10A1">
        <w:rPr>
          <w:rFonts w:ascii="ITC Avant Garde" w:eastAsia="Times New Roman" w:hAnsi="ITC Avant Garde"/>
          <w:lang w:eastAsia="es-ES"/>
        </w:rPr>
        <w:t>En virtud de los referidos Antecedentes, y</w:t>
      </w:r>
    </w:p>
    <w:p w14:paraId="68184DC8" w14:textId="77777777" w:rsidR="00750659" w:rsidRPr="000C5A29" w:rsidRDefault="00F11878" w:rsidP="000C5A29">
      <w:pPr>
        <w:pStyle w:val="Ttulo2"/>
        <w:spacing w:after="200"/>
        <w:jc w:val="center"/>
        <w:rPr>
          <w:rFonts w:ascii="ITC Avant Garde" w:hAnsi="ITC Avant Garde"/>
          <w:szCs w:val="22"/>
        </w:rPr>
      </w:pPr>
      <w:bookmarkStart w:id="0" w:name="HipótesisNormativa"/>
      <w:r w:rsidRPr="000C5A29">
        <w:rPr>
          <w:rFonts w:ascii="ITC Avant Garde" w:hAnsi="ITC Avant Garde"/>
          <w:szCs w:val="22"/>
        </w:rPr>
        <w:t>CONSIDERANDO</w:t>
      </w:r>
    </w:p>
    <w:p w14:paraId="1DBDF167" w14:textId="77777777" w:rsidR="00750659" w:rsidRDefault="009375B7" w:rsidP="00750659">
      <w:pPr>
        <w:pStyle w:val="Textoindependiente"/>
        <w:spacing w:after="200" w:line="276" w:lineRule="auto"/>
        <w:rPr>
          <w:rFonts w:ascii="ITC Avant Garde" w:hAnsi="ITC Avant Garde"/>
          <w:bCs/>
          <w:lang w:eastAsia="es-ES"/>
        </w:rPr>
      </w:pPr>
      <w:bookmarkStart w:id="1" w:name="primero"/>
      <w:bookmarkStart w:id="2" w:name="quinto"/>
      <w:proofErr w:type="gramStart"/>
      <w:r w:rsidRPr="00EB10A1">
        <w:rPr>
          <w:rFonts w:ascii="ITC Avant Garde" w:hAnsi="ITC Avant Garde" w:cs="Arial"/>
          <w:b/>
          <w:bCs/>
          <w:lang w:val="es-ES"/>
        </w:rPr>
        <w:t>PRIMERO.-</w:t>
      </w:r>
      <w:proofErr w:type="gramEnd"/>
      <w:r w:rsidR="00537771">
        <w:rPr>
          <w:rFonts w:ascii="ITC Avant Garde" w:hAnsi="ITC Avant Garde" w:cs="Arial"/>
          <w:b/>
          <w:bCs/>
          <w:lang w:val="es-ES"/>
        </w:rPr>
        <w:t xml:space="preserve"> </w:t>
      </w:r>
      <w:r w:rsidR="00537771" w:rsidRPr="0074244F">
        <w:rPr>
          <w:rFonts w:ascii="ITC Avant Garde" w:hAnsi="ITC Avant Garde"/>
          <w:b/>
          <w:bCs/>
          <w:lang w:val="es-ES" w:eastAsia="es-ES"/>
        </w:rPr>
        <w:t>Cumplimiento a la ejecutoria y aclaración del amparo en revisión R.A. 123/2017.</w:t>
      </w:r>
      <w:r w:rsidR="00E63CA4">
        <w:rPr>
          <w:rFonts w:ascii="ITC Avant Garde" w:hAnsi="ITC Avant Garde"/>
          <w:b/>
          <w:bCs/>
          <w:lang w:val="es-ES" w:eastAsia="es-ES"/>
        </w:rPr>
        <w:t xml:space="preserve"> </w:t>
      </w:r>
      <w:r w:rsidR="004A5FEE" w:rsidRPr="00F63A59">
        <w:rPr>
          <w:rFonts w:ascii="ITC Avant Garde" w:hAnsi="ITC Avant Garde" w:cs="Arial"/>
          <w:bCs/>
          <w:lang w:val="es-ES"/>
        </w:rPr>
        <w:t xml:space="preserve">Con fecha 19 de octubre de </w:t>
      </w:r>
      <w:r w:rsidR="004A5FEE">
        <w:rPr>
          <w:rFonts w:ascii="ITC Avant Garde" w:hAnsi="ITC Avant Garde" w:cs="Arial"/>
          <w:bCs/>
          <w:lang w:val="es-ES"/>
        </w:rPr>
        <w:t>2016</w:t>
      </w:r>
      <w:r w:rsidR="004A5FEE" w:rsidRPr="00F63A59">
        <w:rPr>
          <w:rFonts w:ascii="ITC Avant Garde" w:hAnsi="ITC Avant Garde" w:cs="Arial"/>
          <w:bCs/>
          <w:lang w:val="es-ES"/>
        </w:rPr>
        <w:t>, el Pleno del Instituto emiti</w:t>
      </w:r>
      <w:r w:rsidR="004A5FEE" w:rsidRPr="004A5FEE">
        <w:rPr>
          <w:rFonts w:ascii="ITC Avant Garde" w:hAnsi="ITC Avant Garde" w:cs="Arial"/>
          <w:bCs/>
          <w:lang w:val="es-ES"/>
        </w:rPr>
        <w:t xml:space="preserve">ó la </w:t>
      </w:r>
      <w:r w:rsidR="004A5FEE" w:rsidRPr="00F63A59">
        <w:rPr>
          <w:rFonts w:ascii="ITC Avant Garde" w:hAnsi="ITC Avant Garde" w:cs="Arial"/>
          <w:bCs/>
          <w:lang w:val="es-ES"/>
        </w:rPr>
        <w:t>“</w:t>
      </w:r>
      <w:r w:rsidR="004A5FEE" w:rsidRPr="0074244F">
        <w:rPr>
          <w:rFonts w:ascii="ITC Avant Garde" w:hAnsi="ITC Avant Garde"/>
          <w:bCs/>
          <w:lang w:val="es-ES" w:eastAsia="es-ES"/>
        </w:rPr>
        <w:t xml:space="preserve">RESOLUCIÓN MEDIANTE LA CUAL EL PLENO DEL INSTITUTO FEDERAL DE TELECOMUNICACIONES DETERMINA LAS CONDICIONES DE INTERCONEXIÓN NO CONVENIDAS </w:t>
      </w:r>
      <w:r w:rsidR="004A5FEE" w:rsidRPr="0074244F">
        <w:rPr>
          <w:rFonts w:ascii="ITC Avant Garde" w:hAnsi="ITC Avant Garde" w:cs="Helvetica"/>
          <w:lang w:eastAsia="es-MX"/>
        </w:rPr>
        <w:t>ENTRE RADIOMÓVIL DIPSA, S.A. DE C.V. Y MARCATEL COM, S.A. DE C.V.</w:t>
      </w:r>
      <w:r w:rsidR="004A5FEE" w:rsidRPr="0074244F">
        <w:rPr>
          <w:rFonts w:ascii="ITC Avant Garde" w:hAnsi="ITC Avant Garde" w:cs="Arial"/>
          <w:iCs/>
        </w:rPr>
        <w:t xml:space="preserve">, </w:t>
      </w:r>
      <w:r w:rsidR="004A5FEE" w:rsidRPr="0074244F">
        <w:rPr>
          <w:rFonts w:ascii="ITC Avant Garde" w:hAnsi="ITC Avant Garde"/>
          <w:bCs/>
          <w:iCs/>
          <w:lang w:eastAsia="es-ES"/>
        </w:rPr>
        <w:t>APLICABLES DEL 1 DE E</w:t>
      </w:r>
      <w:r w:rsidR="004A5FEE">
        <w:rPr>
          <w:rFonts w:ascii="ITC Avant Garde" w:hAnsi="ITC Avant Garde"/>
          <w:bCs/>
          <w:iCs/>
          <w:lang w:eastAsia="es-ES"/>
        </w:rPr>
        <w:t xml:space="preserve">NERO AL 31 DE DICIEMBRE DE 2017” aprobada en </w:t>
      </w:r>
      <w:r w:rsidR="004A5FEE" w:rsidRPr="008F33F6">
        <w:rPr>
          <w:rFonts w:ascii="ITC Avant Garde" w:hAnsi="ITC Avant Garde"/>
          <w:bCs/>
          <w:lang w:eastAsia="es-ES"/>
        </w:rPr>
        <w:t>su XXXIV Sesión Ordinaria</w:t>
      </w:r>
      <w:r w:rsidR="004A5FEE">
        <w:rPr>
          <w:rFonts w:ascii="ITC Avant Garde" w:hAnsi="ITC Avant Garde"/>
          <w:bCs/>
          <w:lang w:eastAsia="es-ES"/>
        </w:rPr>
        <w:t>, mediante Acuerdo P/IFT/191016/567.</w:t>
      </w:r>
    </w:p>
    <w:p w14:paraId="363BE51F" w14:textId="72B4D0DF" w:rsidR="00750659" w:rsidRDefault="004A5FEE" w:rsidP="00750659">
      <w:pPr>
        <w:pStyle w:val="Piedepgina"/>
        <w:widowControl w:val="0"/>
        <w:tabs>
          <w:tab w:val="left" w:pos="720"/>
        </w:tabs>
        <w:spacing w:after="200" w:line="276" w:lineRule="auto"/>
        <w:jc w:val="both"/>
        <w:rPr>
          <w:rFonts w:ascii="ITC Avant Garde" w:hAnsi="ITC Avant Garde"/>
        </w:rPr>
      </w:pPr>
      <w:r>
        <w:rPr>
          <w:rFonts w:ascii="ITC Avant Garde" w:hAnsi="ITC Avant Garde"/>
          <w:bCs/>
          <w:lang w:eastAsia="es-ES"/>
        </w:rPr>
        <w:t xml:space="preserve">En consecuencia, por escrito presentado el 22 de noviembre de 2016, en la Oficina de Correspondencia Común de los Juzgados de Distrito y Tribunales Colegiados en Materia Administrativa </w:t>
      </w:r>
      <w:r w:rsidRPr="004007DE">
        <w:rPr>
          <w:rFonts w:ascii="ITC Avant Garde" w:hAnsi="ITC Avant Garde"/>
        </w:rPr>
        <w:t xml:space="preserve">Especializados en Competencia Económica, Radiodifusión y Telecomunicaciones, </w:t>
      </w:r>
      <w:r>
        <w:rPr>
          <w:rFonts w:ascii="ITC Avant Garde" w:hAnsi="ITC Avant Garde"/>
        </w:rPr>
        <w:t>Telcel demandó el amparo y protección de la Justicia F</w:t>
      </w:r>
      <w:r w:rsidRPr="004007DE">
        <w:rPr>
          <w:rFonts w:ascii="ITC Avant Garde" w:hAnsi="ITC Avant Garde"/>
        </w:rPr>
        <w:t xml:space="preserve">ederal, señalando entre otros, como acto reclamado la resolución </w:t>
      </w:r>
      <w:r w:rsidRPr="004007DE">
        <w:rPr>
          <w:rFonts w:ascii="ITC Avant Garde" w:hAnsi="ITC Avant Garde"/>
        </w:rPr>
        <w:lastRenderedPageBreak/>
        <w:t>citada en el párrafo anterior.</w:t>
      </w:r>
    </w:p>
    <w:p w14:paraId="2E5E29A6" w14:textId="77777777" w:rsidR="00750659" w:rsidRDefault="0016434D" w:rsidP="00750659">
      <w:pPr>
        <w:pStyle w:val="Textoindependiente"/>
        <w:spacing w:after="200" w:line="276" w:lineRule="auto"/>
        <w:rPr>
          <w:rFonts w:ascii="ITC Avant Garde" w:hAnsi="ITC Avant Garde" w:cs="Arial"/>
        </w:rPr>
      </w:pPr>
      <w:r>
        <w:rPr>
          <w:rFonts w:ascii="ITC Avant Garde" w:hAnsi="ITC Avant Garde" w:cs="Arial"/>
          <w:bCs/>
          <w:szCs w:val="22"/>
          <w:lang w:val="es-ES"/>
        </w:rPr>
        <w:t xml:space="preserve">Mediante proveído de fecha 23 de noviembre de 2016, el Juzgado Primero </w:t>
      </w:r>
      <w:r w:rsidRPr="004007DE">
        <w:rPr>
          <w:rFonts w:ascii="ITC Avant Garde" w:hAnsi="ITC Avant Garde" w:cs="Arial"/>
        </w:rPr>
        <w:t>de Dist</w:t>
      </w:r>
      <w:r>
        <w:rPr>
          <w:rFonts w:ascii="ITC Avant Garde" w:hAnsi="ITC Avant Garde" w:cs="Arial"/>
        </w:rPr>
        <w:t>rito en Materia Administrativa Especializado</w:t>
      </w:r>
      <w:r w:rsidRPr="004007DE">
        <w:rPr>
          <w:rFonts w:ascii="ITC Avant Garde" w:hAnsi="ITC Avant Garde" w:cs="Arial"/>
        </w:rPr>
        <w:t xml:space="preserve"> en Competencia Económica, Radiodifusión y Telecomunicaciones con residencia en la Ciudad de México y jurisdicción en toda la República, a quien por turno correspondió conocer del asunto</w:t>
      </w:r>
      <w:r>
        <w:rPr>
          <w:rFonts w:ascii="ITC Avant Garde" w:hAnsi="ITC Avant Garde" w:cs="Arial"/>
        </w:rPr>
        <w:t>, registró el expediente con el número 172/2016, admitió la demanda y solicitó de las autoridades señaladas como responsables su informe justificado, dio al Agente del Ministerio Público de la Federación de su adscripción la intervención legal que le compete y, seguidos los trámites de ley, el 2</w:t>
      </w:r>
      <w:r w:rsidR="00B65577">
        <w:rPr>
          <w:rFonts w:ascii="ITC Avant Garde" w:hAnsi="ITC Avant Garde" w:cs="Arial"/>
        </w:rPr>
        <w:t>9</w:t>
      </w:r>
      <w:r>
        <w:rPr>
          <w:rFonts w:ascii="ITC Avant Garde" w:hAnsi="ITC Avant Garde" w:cs="Arial"/>
        </w:rPr>
        <w:t xml:space="preserve"> de </w:t>
      </w:r>
      <w:r w:rsidR="00B65577">
        <w:rPr>
          <w:rFonts w:ascii="ITC Avant Garde" w:hAnsi="ITC Avant Garde" w:cs="Arial"/>
        </w:rPr>
        <w:t>junio</w:t>
      </w:r>
      <w:r>
        <w:rPr>
          <w:rFonts w:ascii="ITC Avant Garde" w:hAnsi="ITC Avant Garde" w:cs="Arial"/>
        </w:rPr>
        <w:t xml:space="preserve"> de 2017, dictó sentencia en la que determinó negar la protección constitucional a Telcel.</w:t>
      </w:r>
    </w:p>
    <w:p w14:paraId="12B055F9" w14:textId="77777777" w:rsidR="00750659" w:rsidRDefault="00301A44" w:rsidP="00750659">
      <w:pPr>
        <w:pStyle w:val="Piedepgina"/>
        <w:widowControl w:val="0"/>
        <w:tabs>
          <w:tab w:val="left" w:pos="720"/>
        </w:tabs>
        <w:spacing w:after="200" w:line="276" w:lineRule="auto"/>
        <w:jc w:val="both"/>
        <w:rPr>
          <w:rFonts w:ascii="ITC Avant Garde" w:hAnsi="ITC Avant Garde" w:cs="Arial"/>
        </w:rPr>
      </w:pPr>
      <w:r>
        <w:rPr>
          <w:rFonts w:ascii="ITC Avant Garde" w:hAnsi="ITC Avant Garde" w:cs="Arial"/>
        </w:rPr>
        <w:t xml:space="preserve">Dado que Telcel quedó inconforme con dicha sentencia, </w:t>
      </w:r>
      <w:r>
        <w:rPr>
          <w:rFonts w:ascii="ITC Avant Garde" w:hAnsi="ITC Avant Garde" w:cs="Arial"/>
          <w:bCs/>
          <w:lang w:val="es-ES"/>
        </w:rPr>
        <w:t xml:space="preserve">interpuso recurso de revisión, el cual fue turnado </w:t>
      </w:r>
      <w:r w:rsidRPr="00D11403">
        <w:rPr>
          <w:rFonts w:ascii="ITC Avant Garde" w:hAnsi="ITC Avant Garde" w:cs="Arial"/>
        </w:rPr>
        <w:t xml:space="preserve">al </w:t>
      </w:r>
      <w:r w:rsidR="000A29DB">
        <w:rPr>
          <w:rFonts w:ascii="ITC Avant Garde" w:hAnsi="ITC Avant Garde" w:cs="Arial"/>
        </w:rPr>
        <w:t xml:space="preserve">Primer </w:t>
      </w:r>
      <w:r w:rsidRPr="00D11403">
        <w:rPr>
          <w:rFonts w:ascii="ITC Avant Garde" w:hAnsi="ITC Avant Garde" w:cs="Arial"/>
        </w:rPr>
        <w:t xml:space="preserve">Tribunal Colegiado de Circuito </w:t>
      </w:r>
      <w:r w:rsidRPr="00D11403">
        <w:rPr>
          <w:rFonts w:ascii="ITC Avant Garde" w:hAnsi="ITC Avant Garde"/>
        </w:rPr>
        <w:t xml:space="preserve">en Materia Administrativa </w:t>
      </w:r>
      <w:r>
        <w:rPr>
          <w:rFonts w:ascii="ITC Avant Garde" w:hAnsi="ITC Avant Garde"/>
        </w:rPr>
        <w:t>E</w:t>
      </w:r>
      <w:r w:rsidRPr="00D11403">
        <w:rPr>
          <w:rFonts w:ascii="ITC Avant Garde" w:hAnsi="ITC Avant Garde"/>
        </w:rPr>
        <w:t xml:space="preserve">specializado en Competencia Económica, Radiodifusión y Telecomunicaciones </w:t>
      </w:r>
      <w:r w:rsidRPr="00D11403">
        <w:rPr>
          <w:rFonts w:ascii="ITC Avant Garde" w:hAnsi="ITC Avant Garde" w:cs="Arial"/>
        </w:rPr>
        <w:t xml:space="preserve">con residencia en la Ciudad de México y jurisdicción en toda la República, mismo que se admitió a trámite y se registró bajo </w:t>
      </w:r>
      <w:proofErr w:type="gramStart"/>
      <w:r w:rsidRPr="00D11403">
        <w:rPr>
          <w:rFonts w:ascii="ITC Avant Garde" w:hAnsi="ITC Avant Garde" w:cs="Arial"/>
        </w:rPr>
        <w:t>el toca</w:t>
      </w:r>
      <w:proofErr w:type="gramEnd"/>
      <w:r w:rsidRPr="00D11403">
        <w:rPr>
          <w:rFonts w:ascii="ITC Avant Garde" w:hAnsi="ITC Avant Garde" w:cs="Arial"/>
        </w:rPr>
        <w:t xml:space="preserve"> R.A. </w:t>
      </w:r>
      <w:r w:rsidR="000A29DB">
        <w:rPr>
          <w:rFonts w:ascii="ITC Avant Garde" w:hAnsi="ITC Avant Garde" w:cs="Arial"/>
        </w:rPr>
        <w:t>123</w:t>
      </w:r>
      <w:r w:rsidRPr="00D11403">
        <w:rPr>
          <w:rFonts w:ascii="ITC Avant Garde" w:hAnsi="ITC Avant Garde" w:cs="Arial"/>
        </w:rPr>
        <w:t>/201</w:t>
      </w:r>
      <w:r w:rsidR="00D31069">
        <w:rPr>
          <w:rFonts w:ascii="ITC Avant Garde" w:hAnsi="ITC Avant Garde" w:cs="Arial"/>
        </w:rPr>
        <w:t>7.</w:t>
      </w:r>
    </w:p>
    <w:p w14:paraId="2FD62CED" w14:textId="77777777" w:rsidR="00750659" w:rsidRDefault="00D31069" w:rsidP="00750659">
      <w:pPr>
        <w:pStyle w:val="Piedepgina"/>
        <w:widowControl w:val="0"/>
        <w:tabs>
          <w:tab w:val="left" w:pos="720"/>
        </w:tabs>
        <w:spacing w:after="200" w:line="276" w:lineRule="auto"/>
        <w:jc w:val="both"/>
        <w:rPr>
          <w:rFonts w:ascii="ITC Avant Garde" w:hAnsi="ITC Avant Garde"/>
          <w:bCs/>
          <w:lang w:val="es-ES" w:eastAsia="es-ES"/>
        </w:rPr>
      </w:pPr>
      <w:r>
        <w:rPr>
          <w:rFonts w:ascii="ITC Avant Garde" w:hAnsi="ITC Avant Garde" w:cs="Arial"/>
        </w:rPr>
        <w:t xml:space="preserve">Con fecha 1 de febrero de 2018, dictó ejecutoria en la que </w:t>
      </w:r>
      <w:r>
        <w:rPr>
          <w:rFonts w:ascii="ITC Avant Garde" w:hAnsi="ITC Avant Garde"/>
          <w:bCs/>
          <w:lang w:val="es-ES"/>
        </w:rPr>
        <w:t xml:space="preserve">concedió el amparo a Telcel respecto de la resolución aprobada mediante </w:t>
      </w:r>
      <w:r w:rsidRPr="00A03FBA">
        <w:rPr>
          <w:rFonts w:ascii="ITC Avant Garde" w:hAnsi="ITC Avant Garde"/>
          <w:bCs/>
          <w:lang w:val="es-ES"/>
        </w:rPr>
        <w:t xml:space="preserve">Acuerdo </w:t>
      </w:r>
      <w:r w:rsidRPr="00DA3C6A">
        <w:rPr>
          <w:rFonts w:ascii="ITC Avant Garde" w:hAnsi="ITC Avant Garde"/>
          <w:bCs/>
          <w:lang w:val="es-ES" w:eastAsia="es-ES"/>
        </w:rPr>
        <w:t>P/IFT/191016/567</w:t>
      </w:r>
      <w:r>
        <w:rPr>
          <w:rFonts w:ascii="ITC Avant Garde" w:hAnsi="ITC Avant Garde"/>
          <w:bCs/>
          <w:lang w:val="es-ES" w:eastAsia="es-ES"/>
        </w:rPr>
        <w:t xml:space="preserve"> para el efecto de que este Instituto, en los términos de dicha ejecutoria, deje de aplicar a Telcel el precepto normativo declarado inconstitucional.</w:t>
      </w:r>
    </w:p>
    <w:p w14:paraId="2B6E9B46" w14:textId="77777777" w:rsidR="00750659" w:rsidRDefault="00D31069" w:rsidP="00750659">
      <w:pPr>
        <w:pStyle w:val="Piedepgina"/>
        <w:widowControl w:val="0"/>
        <w:tabs>
          <w:tab w:val="left" w:pos="720"/>
        </w:tabs>
        <w:spacing w:after="200" w:line="276" w:lineRule="auto"/>
        <w:jc w:val="both"/>
        <w:rPr>
          <w:rFonts w:ascii="ITC Avant Garde" w:hAnsi="ITC Avant Garde" w:cs="Arial"/>
        </w:rPr>
      </w:pPr>
      <w:r>
        <w:rPr>
          <w:rFonts w:ascii="ITC Avant Garde" w:hAnsi="ITC Avant Garde"/>
          <w:bCs/>
          <w:lang w:val="es-ES" w:eastAsia="es-ES"/>
        </w:rPr>
        <w:t>Posteriormente, con fecha 1 de marzo de 2018</w:t>
      </w:r>
      <w:r w:rsidR="00AB015C">
        <w:rPr>
          <w:rFonts w:ascii="ITC Avant Garde" w:hAnsi="ITC Avant Garde" w:cs="Arial"/>
        </w:rPr>
        <w:t xml:space="preserve"> el Primer Tribunal Colegiado emitió de manera oficiosa, la aclaración de sentencia correspondiente a la ejecutoria antes descrita, a efecto de subsanar las imprecisiones cometidas al dictar los efectos de la concesión del amparo en los siguientes términos:</w:t>
      </w:r>
    </w:p>
    <w:p w14:paraId="4FD6C158" w14:textId="77777777" w:rsidR="00750659" w:rsidRDefault="00803801"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sz w:val="18"/>
          <w:szCs w:val="18"/>
        </w:rPr>
        <w:t>“En este orden de ideas, conviene precisar que el amparo se concedió en virtud de lo determinado por la Suprema Corte de Justicia de la Nación en el amparo en revisión 1100/2015, en el cual se resolvió la inconstitucionalidad de los artículos 131, párrafo segundo, inciso a), Sexto, Vigésimo, párrafo primero y Trigésimo Quinto Transitorios, de la Ley Federal de Telecomunicaciones y Radiodifusión.</w:t>
      </w:r>
    </w:p>
    <w:p w14:paraId="0AE6B253" w14:textId="77777777" w:rsidR="00750659" w:rsidRDefault="00803801" w:rsidP="00750659">
      <w:pPr>
        <w:pStyle w:val="Textoindependiente"/>
        <w:spacing w:after="200" w:line="276" w:lineRule="auto"/>
        <w:ind w:left="1134" w:right="502"/>
        <w:rPr>
          <w:rFonts w:ascii="ITC Avant Garde" w:hAnsi="ITC Avant Garde" w:cs="Arial"/>
          <w:sz w:val="18"/>
          <w:szCs w:val="18"/>
        </w:rPr>
      </w:pPr>
      <w:r w:rsidRPr="00F63A59">
        <w:rPr>
          <w:rFonts w:ascii="ITC Avant Garde" w:hAnsi="ITC Avant Garde" w:cs="Arial"/>
          <w:sz w:val="18"/>
          <w:szCs w:val="18"/>
        </w:rPr>
        <w:t>En el amparo en revisión citado, nuestro máximo Tribunal determinó como efectos de la sentencia los siguientes:</w:t>
      </w:r>
    </w:p>
    <w:p w14:paraId="5DF5E04C" w14:textId="77777777" w:rsidR="00750659" w:rsidRDefault="00803801" w:rsidP="00750659">
      <w:pPr>
        <w:pStyle w:val="Textoindependiente"/>
        <w:spacing w:after="200" w:line="276" w:lineRule="auto"/>
        <w:ind w:left="1134" w:right="502"/>
        <w:rPr>
          <w:rFonts w:ascii="ITC Avant Garde" w:hAnsi="ITC Avant Garde" w:cs="Arial"/>
          <w:sz w:val="18"/>
          <w:szCs w:val="18"/>
        </w:rPr>
      </w:pPr>
      <w:r>
        <w:rPr>
          <w:rFonts w:ascii="ITC Avant Garde" w:hAnsi="ITC Avant Garde" w:cs="Arial"/>
          <w:sz w:val="18"/>
          <w:szCs w:val="18"/>
        </w:rPr>
        <w:t>…</w:t>
      </w:r>
    </w:p>
    <w:p w14:paraId="783358C6" w14:textId="77777777" w:rsidR="00750659" w:rsidRDefault="00803801" w:rsidP="00750659">
      <w:pPr>
        <w:autoSpaceDE w:val="0"/>
        <w:autoSpaceDN w:val="0"/>
        <w:adjustRightInd w:val="0"/>
        <w:spacing w:line="240" w:lineRule="auto"/>
        <w:ind w:left="1134" w:right="502"/>
        <w:jc w:val="both"/>
        <w:rPr>
          <w:rFonts w:ascii="ITC Avant Garde" w:hAnsi="ITC Avant Garde" w:cs="Arial"/>
          <w:bCs/>
          <w:iCs/>
          <w:sz w:val="18"/>
          <w:szCs w:val="18"/>
        </w:rPr>
      </w:pPr>
      <w:r w:rsidRPr="00F63A59">
        <w:rPr>
          <w:rFonts w:ascii="ITC Avant Garde" w:hAnsi="ITC Avant Garde" w:cs="Arial"/>
          <w:bCs/>
          <w:iCs/>
          <w:sz w:val="18"/>
          <w:szCs w:val="18"/>
        </w:rPr>
        <w:t xml:space="preserve">Por tanto, el alto tribunal declaró la inconstitucionalidad de las disposiciones reclamadas, al considerar que las mismas fueron dictadas por una autoridad </w:t>
      </w:r>
      <w:r w:rsidRPr="00F63A59">
        <w:rPr>
          <w:rFonts w:ascii="ITC Avant Garde" w:hAnsi="ITC Avant Garde" w:cs="Arial"/>
          <w:bCs/>
          <w:iCs/>
          <w:sz w:val="18"/>
          <w:szCs w:val="18"/>
        </w:rPr>
        <w:lastRenderedPageBreak/>
        <w:t xml:space="preserve">incompetente, pues el Congreso de la Unión fijó de manera directa la tarifa de interconexión correspondiente al servicio de terminación de redes fijas y móviles tratándose del agente preponderante, siendo dicha competencia exclusiva del Instituto Federal de Telecomunicaciones; por lo que estableció que por razones de interés público y para no afectar a terceros respecto de actos y operaciones iniciados previamente a la declaratoria de inconstitucionalidad de los preceptos reclamados, el citado Instituto debería determinar las tarifas de interconexión por la terminación de tráfico en la red de </w:t>
      </w:r>
      <w:proofErr w:type="spellStart"/>
      <w:r w:rsidRPr="00F63A59">
        <w:rPr>
          <w:rFonts w:ascii="ITC Avant Garde" w:hAnsi="ITC Avant Garde" w:cs="Arial"/>
          <w:bCs/>
          <w:iCs/>
          <w:sz w:val="18"/>
          <w:szCs w:val="18"/>
        </w:rPr>
        <w:t>Radiomóvil</w:t>
      </w:r>
      <w:proofErr w:type="spellEnd"/>
      <w:r w:rsidRPr="00F63A59">
        <w:rPr>
          <w:rFonts w:ascii="ITC Avant Garde" w:hAnsi="ITC Avant Garde" w:cs="Arial"/>
          <w:bCs/>
          <w:iCs/>
          <w:sz w:val="18"/>
          <w:szCs w:val="18"/>
        </w:rPr>
        <w:t xml:space="preserve"> </w:t>
      </w:r>
      <w:proofErr w:type="spellStart"/>
      <w:r w:rsidRPr="00F63A59">
        <w:rPr>
          <w:rFonts w:ascii="ITC Avant Garde" w:hAnsi="ITC Avant Garde" w:cs="Arial"/>
          <w:bCs/>
          <w:iCs/>
          <w:sz w:val="18"/>
          <w:szCs w:val="18"/>
        </w:rPr>
        <w:t>Dipsa</w:t>
      </w:r>
      <w:proofErr w:type="spellEnd"/>
      <w:r w:rsidRPr="00F63A59">
        <w:rPr>
          <w:rFonts w:ascii="ITC Avant Garde" w:hAnsi="ITC Avant Garde" w:cs="Arial"/>
          <w:bCs/>
          <w:iCs/>
          <w:sz w:val="18"/>
          <w:szCs w:val="18"/>
        </w:rPr>
        <w:t xml:space="preserve">, en su carácter de agente económico preponderante, correspondientes al periodo posterior al uno de enero de dos mil dieciocho, ello con el fin de salvaguardar la seguridad jurídica en el sector de las telecomunicaciones y preservar los acuerdos o convenios de interconexión celebrados entre </w:t>
      </w:r>
      <w:proofErr w:type="spellStart"/>
      <w:r w:rsidRPr="00F63A59">
        <w:rPr>
          <w:rFonts w:ascii="ITC Avant Garde" w:hAnsi="ITC Avant Garde" w:cs="Arial"/>
          <w:bCs/>
          <w:iCs/>
          <w:sz w:val="18"/>
          <w:szCs w:val="18"/>
        </w:rPr>
        <w:t>Radiomóvil</w:t>
      </w:r>
      <w:proofErr w:type="spellEnd"/>
      <w:r w:rsidRPr="00F63A59">
        <w:rPr>
          <w:rFonts w:ascii="ITC Avant Garde" w:hAnsi="ITC Avant Garde" w:cs="Arial"/>
          <w:bCs/>
          <w:iCs/>
          <w:sz w:val="18"/>
          <w:szCs w:val="18"/>
        </w:rPr>
        <w:t xml:space="preserve"> </w:t>
      </w:r>
      <w:proofErr w:type="spellStart"/>
      <w:r w:rsidRPr="00F63A59">
        <w:rPr>
          <w:rFonts w:ascii="ITC Avant Garde" w:hAnsi="ITC Avant Garde" w:cs="Arial"/>
          <w:bCs/>
          <w:iCs/>
          <w:sz w:val="18"/>
          <w:szCs w:val="18"/>
        </w:rPr>
        <w:t>Dipsa</w:t>
      </w:r>
      <w:proofErr w:type="spellEnd"/>
      <w:r w:rsidRPr="00F63A59">
        <w:rPr>
          <w:rFonts w:ascii="ITC Avant Garde" w:hAnsi="ITC Avant Garde" w:cs="Arial"/>
          <w:bCs/>
          <w:iCs/>
          <w:sz w:val="18"/>
          <w:szCs w:val="18"/>
        </w:rPr>
        <w:t xml:space="preserve"> y los distintos concesionarios.</w:t>
      </w:r>
    </w:p>
    <w:p w14:paraId="3EEF8346" w14:textId="77777777" w:rsidR="00750659" w:rsidRDefault="00803801"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bCs/>
          <w:iCs/>
          <w:sz w:val="18"/>
          <w:szCs w:val="18"/>
        </w:rPr>
        <w:t>En efecto,</w:t>
      </w:r>
      <w:r w:rsidRPr="00F63A59">
        <w:rPr>
          <w:rFonts w:ascii="ITC Avant Garde" w:hAnsi="ITC Avant Garde" w:cs="Arial"/>
          <w:bCs/>
          <w:i/>
          <w:iCs/>
          <w:sz w:val="18"/>
          <w:szCs w:val="18"/>
        </w:rPr>
        <w:t xml:space="preserve"> </w:t>
      </w:r>
      <w:r w:rsidRPr="00F63A59">
        <w:rPr>
          <w:rFonts w:ascii="ITC Avant Garde" w:hAnsi="ITC Avant Garde" w:cs="Arial"/>
          <w:sz w:val="18"/>
          <w:szCs w:val="18"/>
        </w:rPr>
        <w:t>la Suprema Corte de Justicia de la Nación señaló que como resultado de la concesión del amparo contra las normas generales reclamadas, éstas se consideran inaplicables en los actos y operaciones posteriores a la fecha indicada, de manera que las tarifas por el servicio de interconexión en la modalidad de terminación de llamadas en las redes del agente económico preponderante, deberían fijarse por el Instituto Federal de Telecomunicaciones, a partir del uno de enero de dos mil dieciocho.</w:t>
      </w:r>
    </w:p>
    <w:p w14:paraId="612FE20B" w14:textId="77777777" w:rsidR="00750659" w:rsidRDefault="00803801"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sz w:val="18"/>
          <w:szCs w:val="18"/>
        </w:rPr>
        <w:t>De ahí que sea procedente aclarar la sentencia dictada en el amparo en revisión R.A. 123/2017, con el fin de precisar los efectos de la concesión del amparo.</w:t>
      </w:r>
    </w:p>
    <w:p w14:paraId="5E8C4397" w14:textId="77777777" w:rsidR="00750659" w:rsidRDefault="00803801"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sz w:val="18"/>
          <w:szCs w:val="18"/>
        </w:rPr>
        <w:t xml:space="preserve">En este contexto, atento a lo dispuesto en la ejecutoria del amparo, en revisión 1100/2015, la concesión del amparo debe entenderse limitada a los efectos del acto de aplicación reclamado que sean posteriores a la fecha indicada. Por tanto, se aclara que en el R.A. 123/2017 se concede el amparo para el efecto de que el Instituto responsable deje sin efectos </w:t>
      </w:r>
      <w:r w:rsidRPr="00F63A59">
        <w:rPr>
          <w:rFonts w:ascii="ITC Avant Garde" w:hAnsi="ITC Avant Garde" w:cs="Arial"/>
          <w:i/>
          <w:iCs/>
          <w:sz w:val="18"/>
          <w:szCs w:val="18"/>
        </w:rPr>
        <w:t xml:space="preserve">la “Resolución mediante la cual el Pleno del Instituto Federal de Telecomunicaciones determina las condiciones de interconexión no convenidas entre </w:t>
      </w:r>
      <w:proofErr w:type="spellStart"/>
      <w:r w:rsidRPr="00F63A59">
        <w:rPr>
          <w:rFonts w:ascii="ITC Avant Garde" w:hAnsi="ITC Avant Garde" w:cs="Arial"/>
          <w:i/>
          <w:iCs/>
          <w:sz w:val="18"/>
          <w:szCs w:val="18"/>
        </w:rPr>
        <w:t>Radiomóvil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i/>
          <w:iCs/>
          <w:sz w:val="18"/>
          <w:szCs w:val="18"/>
        </w:rPr>
        <w:t>Dipsa</w:t>
      </w:r>
      <w:proofErr w:type="spellEnd"/>
      <w:r w:rsidRPr="00F63A59">
        <w:rPr>
          <w:rFonts w:ascii="ITC Avant Garde" w:hAnsi="ITC Avant Garde" w:cs="Arial"/>
          <w:i/>
          <w:iCs/>
          <w:sz w:val="18"/>
          <w:szCs w:val="18"/>
        </w:rPr>
        <w:t xml:space="preserve">, S.A. de </w:t>
      </w:r>
      <w:r w:rsidRPr="00F63A59">
        <w:rPr>
          <w:rFonts w:ascii="ITC Avant Garde" w:hAnsi="ITC Avant Garde"/>
          <w:sz w:val="18"/>
          <w:szCs w:val="18"/>
        </w:rPr>
        <w:t xml:space="preserve">C. </w:t>
      </w:r>
      <w:r w:rsidRPr="00F63A59">
        <w:rPr>
          <w:rFonts w:ascii="ITC Avant Garde" w:hAnsi="ITC Avant Garde" w:cs="Arial"/>
          <w:i/>
          <w:iCs/>
          <w:sz w:val="18"/>
          <w:szCs w:val="18"/>
        </w:rPr>
        <w:t xml:space="preserve">V. y </w:t>
      </w:r>
      <w:proofErr w:type="spellStart"/>
      <w:r w:rsidRPr="00F63A59">
        <w:rPr>
          <w:rFonts w:ascii="ITC Avant Garde" w:hAnsi="ITC Avant Garde" w:cs="Arial"/>
          <w:i/>
          <w:iCs/>
          <w:sz w:val="18"/>
          <w:szCs w:val="18"/>
        </w:rPr>
        <w:t>Marcatel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sz w:val="18"/>
          <w:szCs w:val="18"/>
        </w:rPr>
        <w:t>Com</w:t>
      </w:r>
      <w:proofErr w:type="spellEnd"/>
      <w:r w:rsidRPr="00F63A59">
        <w:rPr>
          <w:rFonts w:ascii="ITC Avant Garde" w:hAnsi="ITC Avant Garde"/>
          <w:sz w:val="18"/>
          <w:szCs w:val="18"/>
        </w:rPr>
        <w:t xml:space="preserve">, </w:t>
      </w:r>
      <w:r w:rsidRPr="00F63A59">
        <w:rPr>
          <w:rFonts w:ascii="ITC Avant Garde" w:hAnsi="ITC Avant Garde" w:cs="Arial"/>
          <w:i/>
          <w:iCs/>
          <w:sz w:val="18"/>
          <w:szCs w:val="18"/>
        </w:rPr>
        <w:t xml:space="preserve">S.A. de </w:t>
      </w:r>
      <w:r w:rsidRPr="00F63A59">
        <w:rPr>
          <w:rFonts w:ascii="ITC Avant Garde" w:hAnsi="ITC Avant Garde"/>
          <w:sz w:val="18"/>
          <w:szCs w:val="18"/>
        </w:rPr>
        <w:t xml:space="preserve">C. </w:t>
      </w:r>
      <w:r w:rsidRPr="00F63A59">
        <w:rPr>
          <w:rFonts w:ascii="ITC Avant Garde" w:hAnsi="ITC Avant Garde"/>
          <w:i/>
          <w:iCs/>
          <w:sz w:val="18"/>
          <w:szCs w:val="18"/>
        </w:rPr>
        <w:t xml:space="preserve">V. </w:t>
      </w:r>
      <w:r w:rsidRPr="00F63A59">
        <w:rPr>
          <w:rFonts w:ascii="ITC Avant Garde" w:hAnsi="ITC Avant Garde" w:cs="Arial"/>
          <w:i/>
          <w:iCs/>
          <w:sz w:val="18"/>
          <w:szCs w:val="18"/>
        </w:rPr>
        <w:t xml:space="preserve">aplicables del 1 de enero al 31 de diciembre de 2017", y emita </w:t>
      </w:r>
      <w:r w:rsidRPr="00F63A59">
        <w:rPr>
          <w:rFonts w:ascii="ITC Avant Garde" w:hAnsi="ITC Avant Garde" w:cs="Arial"/>
          <w:sz w:val="18"/>
          <w:szCs w:val="18"/>
        </w:rPr>
        <w:t xml:space="preserve">una nueva resolución, en la cual se incluya una acotación, en el sentido de que en ningún supuesto dichas tarifas se debían considerar extensibles a ningún día del año dos mil dieciocho, ya que a partir del uno de enero de la presente anualidad, la regulación asimétrica relativa a las tarifas de interconexión por la terminación de tráfico en la red de </w:t>
      </w:r>
      <w:proofErr w:type="spellStart"/>
      <w:r w:rsidRPr="00F63A59">
        <w:rPr>
          <w:rFonts w:ascii="ITC Avant Garde" w:hAnsi="ITC Avant Garde" w:cs="Arial"/>
          <w:sz w:val="18"/>
          <w:szCs w:val="18"/>
        </w:rPr>
        <w:t>Radiomóvil</w:t>
      </w:r>
      <w:proofErr w:type="spellEnd"/>
      <w:r w:rsidRPr="00F63A59">
        <w:rPr>
          <w:rFonts w:ascii="ITC Avant Garde" w:hAnsi="ITC Avant Garde" w:cs="Arial"/>
          <w:sz w:val="18"/>
          <w:szCs w:val="18"/>
        </w:rPr>
        <w:t xml:space="preserve"> </w:t>
      </w:r>
      <w:proofErr w:type="spellStart"/>
      <w:r w:rsidRPr="00F63A59">
        <w:rPr>
          <w:rFonts w:ascii="ITC Avant Garde" w:hAnsi="ITC Avant Garde" w:cs="Arial"/>
          <w:sz w:val="18"/>
          <w:szCs w:val="18"/>
        </w:rPr>
        <w:t>Dipsa</w:t>
      </w:r>
      <w:proofErr w:type="spellEnd"/>
      <w:r w:rsidRPr="00F63A59">
        <w:rPr>
          <w:rFonts w:ascii="ITC Avant Garde" w:hAnsi="ITC Avant Garde" w:cs="Arial"/>
          <w:sz w:val="18"/>
          <w:szCs w:val="18"/>
        </w:rPr>
        <w:t>, en su carácter de agente económico preponderante, serán resultado, no de la aplicación de las disposiciones declaradas inconstitucionales, sino de las determinadas con base en las atribuciones del órgano regulador.</w:t>
      </w:r>
    </w:p>
    <w:p w14:paraId="05BADD6E" w14:textId="77777777" w:rsidR="00750659" w:rsidRDefault="00803801"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sz w:val="18"/>
          <w:szCs w:val="18"/>
        </w:rPr>
        <w:t>Por tanto, dicho fallo debe decir:</w:t>
      </w:r>
    </w:p>
    <w:p w14:paraId="20BA9C10" w14:textId="77777777" w:rsidR="00750659" w:rsidRDefault="00803801" w:rsidP="00750659">
      <w:pPr>
        <w:autoSpaceDE w:val="0"/>
        <w:autoSpaceDN w:val="0"/>
        <w:adjustRightInd w:val="0"/>
        <w:spacing w:line="240" w:lineRule="auto"/>
        <w:ind w:left="1418" w:right="644"/>
        <w:jc w:val="both"/>
        <w:rPr>
          <w:rFonts w:ascii="ITC Avant Garde" w:hAnsi="ITC Avant Garde" w:cs="Arial"/>
          <w:i/>
          <w:iCs/>
          <w:sz w:val="18"/>
          <w:szCs w:val="18"/>
        </w:rPr>
      </w:pPr>
      <w:r w:rsidRPr="00F63A59">
        <w:rPr>
          <w:rFonts w:ascii="ITC Avant Garde" w:hAnsi="ITC Avant Garde" w:cs="Arial"/>
          <w:i/>
          <w:iCs/>
          <w:sz w:val="18"/>
          <w:szCs w:val="18"/>
        </w:rPr>
        <w:t xml:space="preserve">"99. Por tanto, ya que en el amparo en revisión </w:t>
      </w:r>
      <w:r w:rsidRPr="00F63A59">
        <w:rPr>
          <w:rFonts w:ascii="ITC Avant Garde" w:hAnsi="ITC Avant Garde"/>
          <w:i/>
          <w:iCs/>
          <w:sz w:val="18"/>
          <w:szCs w:val="18"/>
        </w:rPr>
        <w:t xml:space="preserve">1100/2015 </w:t>
      </w:r>
      <w:r w:rsidRPr="00F63A59">
        <w:rPr>
          <w:rFonts w:ascii="ITC Avant Garde" w:hAnsi="ITC Avant Garde" w:cs="Arial"/>
          <w:i/>
          <w:iCs/>
          <w:sz w:val="18"/>
          <w:szCs w:val="18"/>
        </w:rPr>
        <w:t xml:space="preserve">nuestro Máximo Tribunal determinó conceder el amparo respecto </w:t>
      </w:r>
      <w:r w:rsidRPr="00F63A59">
        <w:rPr>
          <w:rFonts w:ascii="ITC Avant Garde" w:hAnsi="ITC Avant Garde" w:cs="Arial"/>
          <w:sz w:val="18"/>
          <w:szCs w:val="18"/>
        </w:rPr>
        <w:t xml:space="preserve">a </w:t>
      </w:r>
      <w:r w:rsidRPr="00F63A59">
        <w:rPr>
          <w:rFonts w:ascii="ITC Avant Garde" w:hAnsi="ITC Avant Garde" w:cs="Arial"/>
          <w:i/>
          <w:iCs/>
          <w:sz w:val="18"/>
          <w:szCs w:val="18"/>
        </w:rPr>
        <w:t xml:space="preserve">los artículos 131, segundo párrafo inciso a), Sexto, Vigésimo primer párrafo y Trigésimo Quinto transitorios del Decreto por el que se expide la Ley Federal de Telecomunicaciones y Radiodifusión; este Tribunal considera que se debe conceder el amparo </w:t>
      </w:r>
      <w:r w:rsidRPr="00F63A59">
        <w:rPr>
          <w:rFonts w:ascii="ITC Avant Garde" w:hAnsi="ITC Avant Garde" w:cs="Arial"/>
          <w:sz w:val="18"/>
          <w:szCs w:val="18"/>
        </w:rPr>
        <w:t xml:space="preserve">a </w:t>
      </w:r>
      <w:proofErr w:type="spellStart"/>
      <w:r w:rsidRPr="00F63A59">
        <w:rPr>
          <w:rFonts w:ascii="ITC Avant Garde" w:hAnsi="ITC Avant Garde" w:cs="Arial"/>
          <w:i/>
          <w:iCs/>
          <w:sz w:val="18"/>
          <w:szCs w:val="18"/>
        </w:rPr>
        <w:t>Radiomóvil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i/>
          <w:iCs/>
          <w:sz w:val="18"/>
          <w:szCs w:val="18"/>
        </w:rPr>
        <w:t>Dipsa</w:t>
      </w:r>
      <w:proofErr w:type="spellEnd"/>
      <w:r w:rsidRPr="00F63A59">
        <w:rPr>
          <w:rFonts w:ascii="ITC Avant Garde" w:hAnsi="ITC Avant Garde" w:cs="Arial"/>
          <w:i/>
          <w:iCs/>
          <w:sz w:val="18"/>
          <w:szCs w:val="18"/>
        </w:rPr>
        <w:t xml:space="preserve">, S.A. de C.V. respecto del acto consistente en la “Resolución mediante el cual el Pleno del Instituto Federal de Telecomunicaciones determina las condiciones de interconexión no </w:t>
      </w:r>
      <w:r w:rsidRPr="00F63A59">
        <w:rPr>
          <w:rFonts w:ascii="ITC Avant Garde" w:hAnsi="ITC Avant Garde" w:cs="Arial"/>
          <w:i/>
          <w:iCs/>
          <w:sz w:val="18"/>
          <w:szCs w:val="18"/>
        </w:rPr>
        <w:lastRenderedPageBreak/>
        <w:t xml:space="preserve">convenidas entre </w:t>
      </w:r>
      <w:proofErr w:type="spellStart"/>
      <w:r w:rsidRPr="00F63A59">
        <w:rPr>
          <w:rFonts w:ascii="ITC Avant Garde" w:hAnsi="ITC Avant Garde" w:cs="Arial"/>
          <w:i/>
          <w:iCs/>
          <w:sz w:val="18"/>
          <w:szCs w:val="18"/>
        </w:rPr>
        <w:t>Radiomóvil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i/>
          <w:iCs/>
          <w:sz w:val="18"/>
          <w:szCs w:val="18"/>
        </w:rPr>
        <w:t>Dipsa</w:t>
      </w:r>
      <w:proofErr w:type="spellEnd"/>
      <w:r w:rsidRPr="00F63A59">
        <w:rPr>
          <w:rFonts w:ascii="ITC Avant Garde" w:hAnsi="ITC Avant Garde" w:cs="Arial"/>
          <w:i/>
          <w:iCs/>
          <w:sz w:val="18"/>
          <w:szCs w:val="18"/>
        </w:rPr>
        <w:t xml:space="preserve">, S.A. de C.V. y </w:t>
      </w:r>
      <w:proofErr w:type="spellStart"/>
      <w:r w:rsidRPr="00F63A59">
        <w:rPr>
          <w:rFonts w:ascii="ITC Avant Garde" w:hAnsi="ITC Avant Garde" w:cs="Arial"/>
          <w:i/>
          <w:iCs/>
          <w:sz w:val="18"/>
          <w:szCs w:val="18"/>
        </w:rPr>
        <w:t>Marcatel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i/>
          <w:iCs/>
          <w:sz w:val="18"/>
          <w:szCs w:val="18"/>
        </w:rPr>
        <w:t>Com</w:t>
      </w:r>
      <w:proofErr w:type="spellEnd"/>
      <w:r w:rsidRPr="00F63A59">
        <w:rPr>
          <w:rFonts w:ascii="ITC Avant Garde" w:hAnsi="ITC Avant Garde" w:cs="Arial"/>
          <w:i/>
          <w:iCs/>
          <w:sz w:val="18"/>
          <w:szCs w:val="18"/>
        </w:rPr>
        <w:t>, S.A. de C.V. aplicables del 1 de enero al 31 de diciembre de 2017”</w:t>
      </w:r>
    </w:p>
    <w:p w14:paraId="093F7674" w14:textId="77777777" w:rsidR="00750659" w:rsidRDefault="009E3D7D" w:rsidP="00750659">
      <w:pPr>
        <w:autoSpaceDE w:val="0"/>
        <w:autoSpaceDN w:val="0"/>
        <w:adjustRightInd w:val="0"/>
        <w:spacing w:line="240" w:lineRule="auto"/>
        <w:ind w:left="1418" w:right="644"/>
        <w:jc w:val="both"/>
        <w:rPr>
          <w:rFonts w:ascii="ITC Avant Garde" w:hAnsi="ITC Avant Garde" w:cs="Arial"/>
          <w:i/>
          <w:iCs/>
          <w:sz w:val="18"/>
          <w:szCs w:val="18"/>
        </w:rPr>
      </w:pPr>
      <w:r>
        <w:rPr>
          <w:rFonts w:ascii="ITC Avant Garde" w:hAnsi="ITC Avant Garde" w:cs="Arial"/>
          <w:i/>
          <w:iCs/>
          <w:sz w:val="18"/>
          <w:szCs w:val="18"/>
        </w:rPr>
        <w:t>…</w:t>
      </w:r>
    </w:p>
    <w:p w14:paraId="157D6AEA" w14:textId="77777777" w:rsidR="00750659" w:rsidRDefault="00803801" w:rsidP="00750659">
      <w:pPr>
        <w:autoSpaceDE w:val="0"/>
        <w:autoSpaceDN w:val="0"/>
        <w:adjustRightInd w:val="0"/>
        <w:spacing w:line="240" w:lineRule="auto"/>
        <w:ind w:left="1418" w:right="644"/>
        <w:jc w:val="both"/>
        <w:rPr>
          <w:rFonts w:ascii="ITC Avant Garde" w:hAnsi="ITC Avant Garde" w:cs="Arial"/>
          <w:b/>
          <w:bCs/>
          <w:i/>
          <w:iCs/>
          <w:sz w:val="18"/>
          <w:szCs w:val="18"/>
        </w:rPr>
      </w:pPr>
      <w:r w:rsidRPr="00F63A59">
        <w:rPr>
          <w:rFonts w:ascii="ITC Avant Garde" w:hAnsi="ITC Avant Garde" w:cs="Arial"/>
          <w:b/>
          <w:bCs/>
          <w:i/>
          <w:iCs/>
          <w:sz w:val="18"/>
          <w:szCs w:val="18"/>
        </w:rPr>
        <w:t>Consecuencias del fallo.</w:t>
      </w:r>
    </w:p>
    <w:p w14:paraId="21C43845" w14:textId="77777777" w:rsidR="00750659" w:rsidRDefault="00803801" w:rsidP="00750659">
      <w:pPr>
        <w:autoSpaceDE w:val="0"/>
        <w:autoSpaceDN w:val="0"/>
        <w:adjustRightInd w:val="0"/>
        <w:spacing w:line="240" w:lineRule="auto"/>
        <w:ind w:left="1418" w:right="644"/>
        <w:jc w:val="both"/>
        <w:rPr>
          <w:rFonts w:ascii="ITC Avant Garde" w:hAnsi="ITC Avant Garde" w:cs="Arial"/>
          <w:i/>
          <w:iCs/>
          <w:sz w:val="18"/>
          <w:szCs w:val="18"/>
        </w:rPr>
      </w:pPr>
      <w:r w:rsidRPr="00F63A59">
        <w:rPr>
          <w:rFonts w:ascii="ITC Avant Garde" w:hAnsi="ITC Avant Garde" w:cs="Arial"/>
          <w:i/>
          <w:iCs/>
          <w:sz w:val="18"/>
          <w:szCs w:val="18"/>
        </w:rPr>
        <w:t xml:space="preserve">101. Atento al resultado del análisis de las pretensiones deducidas, es que debe concederse el amparo y protección de la justicia federal solicitada para el efecto de que el Instituto responsable deje sin efectos  la "Resolución mediante la cual el Pleno del Instituto Federal de Telecomunicaciones determina las condiciones de interconexión no convenidas entre </w:t>
      </w:r>
      <w:proofErr w:type="spellStart"/>
      <w:r w:rsidRPr="00F63A59">
        <w:rPr>
          <w:rFonts w:ascii="ITC Avant Garde" w:hAnsi="ITC Avant Garde" w:cs="Arial"/>
          <w:i/>
          <w:iCs/>
          <w:sz w:val="18"/>
          <w:szCs w:val="18"/>
        </w:rPr>
        <w:t>Radiomóvil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i/>
          <w:iCs/>
          <w:sz w:val="18"/>
          <w:szCs w:val="18"/>
        </w:rPr>
        <w:t>Dipsa</w:t>
      </w:r>
      <w:proofErr w:type="spellEnd"/>
      <w:r w:rsidRPr="00F63A59">
        <w:rPr>
          <w:rFonts w:ascii="ITC Avant Garde" w:hAnsi="ITC Avant Garde" w:cs="Arial"/>
          <w:i/>
          <w:iCs/>
          <w:sz w:val="18"/>
          <w:szCs w:val="18"/>
        </w:rPr>
        <w:t xml:space="preserve">, S.A. de </w:t>
      </w:r>
      <w:r w:rsidRPr="00F63A59">
        <w:rPr>
          <w:rFonts w:ascii="ITC Avant Garde" w:hAnsi="ITC Avant Garde" w:cs="Arial"/>
          <w:sz w:val="18"/>
          <w:szCs w:val="18"/>
        </w:rPr>
        <w:t xml:space="preserve">C. </w:t>
      </w:r>
      <w:r w:rsidRPr="00F63A59">
        <w:rPr>
          <w:rFonts w:ascii="ITC Avant Garde" w:hAnsi="ITC Avant Garde" w:cs="Arial"/>
          <w:i/>
          <w:iCs/>
          <w:sz w:val="18"/>
          <w:szCs w:val="18"/>
        </w:rPr>
        <w:t xml:space="preserve">V. y </w:t>
      </w:r>
      <w:proofErr w:type="spellStart"/>
      <w:r w:rsidRPr="00F63A59">
        <w:rPr>
          <w:rFonts w:ascii="ITC Avant Garde" w:hAnsi="ITC Avant Garde" w:cs="Arial"/>
          <w:i/>
          <w:iCs/>
          <w:sz w:val="18"/>
          <w:szCs w:val="18"/>
        </w:rPr>
        <w:t>Marcatel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sz w:val="18"/>
          <w:szCs w:val="18"/>
        </w:rPr>
        <w:t>Com</w:t>
      </w:r>
      <w:proofErr w:type="spellEnd"/>
      <w:r w:rsidRPr="00F63A59">
        <w:rPr>
          <w:rFonts w:ascii="ITC Avant Garde" w:hAnsi="ITC Avant Garde" w:cs="Arial"/>
          <w:sz w:val="18"/>
          <w:szCs w:val="18"/>
        </w:rPr>
        <w:t xml:space="preserve">, </w:t>
      </w:r>
      <w:r w:rsidRPr="00F63A59">
        <w:rPr>
          <w:rFonts w:ascii="ITC Avant Garde" w:hAnsi="ITC Avant Garde" w:cs="Arial"/>
          <w:i/>
          <w:iCs/>
          <w:sz w:val="18"/>
          <w:szCs w:val="18"/>
        </w:rPr>
        <w:t xml:space="preserve">S.A. de </w:t>
      </w:r>
      <w:r w:rsidRPr="00F63A59">
        <w:rPr>
          <w:rFonts w:ascii="ITC Avant Garde" w:hAnsi="ITC Avant Garde" w:cs="Arial"/>
          <w:sz w:val="18"/>
          <w:szCs w:val="18"/>
        </w:rPr>
        <w:t xml:space="preserve">C.V. aplicables del 1 de enero al 31 de diciembre de 2017” y emita una nueva resolución, en la cual se incluya una acotación, en el sentido de que en ningún supuesto dichas tarifas se debían considerar </w:t>
      </w:r>
      <w:r w:rsidRPr="00F63A59">
        <w:rPr>
          <w:rFonts w:ascii="ITC Avant Garde" w:hAnsi="ITC Avant Garde" w:cs="Arial"/>
          <w:i/>
          <w:iCs/>
          <w:sz w:val="18"/>
          <w:szCs w:val="18"/>
        </w:rPr>
        <w:t xml:space="preserve">extensibles </w:t>
      </w:r>
      <w:r w:rsidRPr="00F63A59">
        <w:rPr>
          <w:rFonts w:ascii="ITC Avant Garde" w:hAnsi="ITC Avant Garde" w:cs="Arial"/>
          <w:sz w:val="18"/>
          <w:szCs w:val="18"/>
        </w:rPr>
        <w:t xml:space="preserve">a </w:t>
      </w:r>
      <w:r w:rsidRPr="00F63A59">
        <w:rPr>
          <w:rFonts w:ascii="ITC Avant Garde" w:hAnsi="ITC Avant Garde" w:cs="Arial"/>
          <w:i/>
          <w:iCs/>
          <w:sz w:val="18"/>
          <w:szCs w:val="18"/>
        </w:rPr>
        <w:t xml:space="preserve">ningún día del año dos mil dieciocho, ya que </w:t>
      </w:r>
      <w:r w:rsidRPr="00F63A59">
        <w:rPr>
          <w:rFonts w:ascii="ITC Avant Garde" w:hAnsi="ITC Avant Garde"/>
          <w:sz w:val="18"/>
          <w:szCs w:val="18"/>
        </w:rPr>
        <w:t xml:space="preserve">a </w:t>
      </w:r>
      <w:r w:rsidRPr="00F63A59">
        <w:rPr>
          <w:rFonts w:ascii="ITC Avant Garde" w:hAnsi="ITC Avant Garde" w:cs="Arial"/>
          <w:i/>
          <w:iCs/>
          <w:sz w:val="18"/>
          <w:szCs w:val="18"/>
        </w:rPr>
        <w:t xml:space="preserve">partir del uno de enero de la presente anualidad, la regulación asimétrica relativa </w:t>
      </w:r>
      <w:r w:rsidRPr="00F63A59">
        <w:rPr>
          <w:rFonts w:ascii="ITC Avant Garde" w:hAnsi="ITC Avant Garde" w:cs="Arial"/>
          <w:sz w:val="18"/>
          <w:szCs w:val="18"/>
        </w:rPr>
        <w:t xml:space="preserve">a </w:t>
      </w:r>
      <w:r w:rsidRPr="00F63A59">
        <w:rPr>
          <w:rFonts w:ascii="ITC Avant Garde" w:hAnsi="ITC Avant Garde" w:cs="Arial"/>
          <w:i/>
          <w:iCs/>
          <w:sz w:val="18"/>
          <w:szCs w:val="18"/>
        </w:rPr>
        <w:t xml:space="preserve">las tarifas de interconexión por la terminación de tráfico en la red de </w:t>
      </w:r>
      <w:proofErr w:type="spellStart"/>
      <w:r w:rsidRPr="00F63A59">
        <w:rPr>
          <w:rFonts w:ascii="ITC Avant Garde" w:hAnsi="ITC Avant Garde" w:cs="Arial"/>
          <w:i/>
          <w:iCs/>
          <w:sz w:val="18"/>
          <w:szCs w:val="18"/>
        </w:rPr>
        <w:t>Radiomóvil</w:t>
      </w:r>
      <w:proofErr w:type="spellEnd"/>
      <w:r w:rsidRPr="00F63A59">
        <w:rPr>
          <w:rFonts w:ascii="ITC Avant Garde" w:hAnsi="ITC Avant Garde" w:cs="Arial"/>
          <w:i/>
          <w:iCs/>
          <w:sz w:val="18"/>
          <w:szCs w:val="18"/>
        </w:rPr>
        <w:t xml:space="preserve"> </w:t>
      </w:r>
      <w:proofErr w:type="spellStart"/>
      <w:r w:rsidRPr="00F63A59">
        <w:rPr>
          <w:rFonts w:ascii="ITC Avant Garde" w:hAnsi="ITC Avant Garde" w:cs="Arial"/>
          <w:i/>
          <w:iCs/>
          <w:sz w:val="18"/>
          <w:szCs w:val="18"/>
        </w:rPr>
        <w:t>Dipsa</w:t>
      </w:r>
      <w:proofErr w:type="spellEnd"/>
      <w:r w:rsidRPr="00F63A59">
        <w:rPr>
          <w:rFonts w:ascii="ITC Avant Garde" w:hAnsi="ITC Avant Garde" w:cs="Arial"/>
          <w:i/>
          <w:iCs/>
          <w:sz w:val="18"/>
          <w:szCs w:val="18"/>
        </w:rPr>
        <w:t>, en su carácter de agente económico preponderante, serán resultado, no de la aplicaciones de las disposiciones declaradas inconstitucionales, sino de las determinadas con base en las atribuciones del órgano regulador.</w:t>
      </w:r>
      <w:r w:rsidR="009E3D7D">
        <w:rPr>
          <w:rFonts w:ascii="ITC Avant Garde" w:hAnsi="ITC Avant Garde" w:cs="Arial"/>
          <w:i/>
          <w:iCs/>
          <w:sz w:val="18"/>
          <w:szCs w:val="18"/>
        </w:rPr>
        <w:t>”</w:t>
      </w:r>
    </w:p>
    <w:p w14:paraId="086F68A2" w14:textId="77777777" w:rsidR="00750659" w:rsidRDefault="009E3D7D"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sz w:val="18"/>
          <w:szCs w:val="18"/>
        </w:rPr>
        <w:t>En consecuencia</w:t>
      </w:r>
      <w:r w:rsidR="00002B46" w:rsidRPr="00F63A59">
        <w:rPr>
          <w:rFonts w:ascii="ITC Avant Garde" w:hAnsi="ITC Avant Garde" w:cs="Arial"/>
          <w:sz w:val="18"/>
          <w:szCs w:val="18"/>
        </w:rPr>
        <w:t>, se aclara la resolución pronunciada por este tribunal el día uno de febrero de dos mil dieciocho, en el amparo en revisión 123/2017.</w:t>
      </w:r>
    </w:p>
    <w:p w14:paraId="6E68C537" w14:textId="77777777" w:rsidR="00750659" w:rsidRDefault="009335DB" w:rsidP="00750659">
      <w:pPr>
        <w:autoSpaceDE w:val="0"/>
        <w:autoSpaceDN w:val="0"/>
        <w:adjustRightInd w:val="0"/>
        <w:spacing w:line="240" w:lineRule="auto"/>
        <w:ind w:left="1134" w:right="502"/>
        <w:jc w:val="both"/>
        <w:rPr>
          <w:rFonts w:ascii="ITC Avant Garde" w:hAnsi="ITC Avant Garde" w:cs="Arial"/>
          <w:sz w:val="18"/>
          <w:szCs w:val="18"/>
        </w:rPr>
      </w:pPr>
      <w:r>
        <w:rPr>
          <w:rFonts w:ascii="ITC Avant Garde" w:hAnsi="ITC Avant Garde" w:cs="Arial"/>
          <w:sz w:val="18"/>
          <w:szCs w:val="18"/>
        </w:rPr>
        <w:t>Por lo expuesto y fundado, se</w:t>
      </w:r>
    </w:p>
    <w:p w14:paraId="1D45D4BD" w14:textId="77777777" w:rsidR="00750659" w:rsidRDefault="009335DB" w:rsidP="00750659">
      <w:pPr>
        <w:autoSpaceDE w:val="0"/>
        <w:autoSpaceDN w:val="0"/>
        <w:adjustRightInd w:val="0"/>
        <w:spacing w:line="240" w:lineRule="auto"/>
        <w:ind w:left="1134" w:right="502"/>
        <w:jc w:val="center"/>
        <w:rPr>
          <w:rFonts w:ascii="ITC Avant Garde" w:hAnsi="ITC Avant Garde" w:cs="Arial"/>
          <w:b/>
          <w:sz w:val="18"/>
          <w:szCs w:val="18"/>
        </w:rPr>
      </w:pPr>
      <w:r w:rsidRPr="00F63A59">
        <w:rPr>
          <w:rFonts w:ascii="ITC Avant Garde" w:hAnsi="ITC Avant Garde" w:cs="Arial"/>
          <w:b/>
          <w:sz w:val="18"/>
          <w:szCs w:val="18"/>
        </w:rPr>
        <w:t>R E S U E L V E</w:t>
      </w:r>
      <w:r w:rsidR="00A7763C" w:rsidRPr="00F63A59">
        <w:rPr>
          <w:rFonts w:ascii="ITC Avant Garde" w:hAnsi="ITC Avant Garde" w:cs="Arial"/>
          <w:b/>
          <w:sz w:val="18"/>
          <w:szCs w:val="18"/>
        </w:rPr>
        <w:t>:</w:t>
      </w:r>
    </w:p>
    <w:p w14:paraId="46A781B4" w14:textId="77777777" w:rsidR="00750659" w:rsidRDefault="009335DB" w:rsidP="00750659">
      <w:pPr>
        <w:autoSpaceDE w:val="0"/>
        <w:autoSpaceDN w:val="0"/>
        <w:adjustRightInd w:val="0"/>
        <w:spacing w:line="240" w:lineRule="auto"/>
        <w:ind w:left="1134" w:right="502"/>
        <w:jc w:val="both"/>
        <w:rPr>
          <w:rFonts w:ascii="ITC Avant Garde" w:hAnsi="ITC Avant Garde" w:cs="Arial"/>
          <w:sz w:val="18"/>
          <w:szCs w:val="18"/>
        </w:rPr>
      </w:pPr>
      <w:r w:rsidRPr="00F63A59">
        <w:rPr>
          <w:rFonts w:ascii="ITC Avant Garde" w:hAnsi="ITC Avant Garde" w:cs="Arial"/>
          <w:b/>
          <w:sz w:val="18"/>
          <w:szCs w:val="18"/>
        </w:rPr>
        <w:t>ÚNICO.</w:t>
      </w:r>
      <w:r>
        <w:rPr>
          <w:rFonts w:ascii="ITC Avant Garde" w:hAnsi="ITC Avant Garde" w:cs="Arial"/>
          <w:sz w:val="18"/>
          <w:szCs w:val="18"/>
        </w:rPr>
        <w:t xml:space="preserve"> Se ACLARA la resolución dictada</w:t>
      </w:r>
      <w:r w:rsidR="00A7763C">
        <w:rPr>
          <w:rFonts w:ascii="ITC Avant Garde" w:hAnsi="ITC Avant Garde" w:cs="Arial"/>
          <w:sz w:val="18"/>
          <w:szCs w:val="18"/>
        </w:rPr>
        <w:t xml:space="preserve"> el uno de febrero de dos mil dieciocho, en el amparo en revisión R.A. 123/2017, en los términos indicados en la parte final del considerando segundo de esta resolución.</w:t>
      </w:r>
    </w:p>
    <w:p w14:paraId="45613071" w14:textId="77777777" w:rsidR="00750659" w:rsidRDefault="00A7763C" w:rsidP="00750659">
      <w:pPr>
        <w:autoSpaceDE w:val="0"/>
        <w:autoSpaceDN w:val="0"/>
        <w:adjustRightInd w:val="0"/>
        <w:spacing w:line="240" w:lineRule="auto"/>
        <w:ind w:left="1134" w:right="502"/>
        <w:jc w:val="both"/>
        <w:rPr>
          <w:rFonts w:ascii="ITC Avant Garde" w:hAnsi="ITC Avant Garde" w:cs="Arial"/>
          <w:sz w:val="18"/>
          <w:szCs w:val="18"/>
        </w:rPr>
      </w:pPr>
      <w:r>
        <w:rPr>
          <w:rFonts w:ascii="ITC Avant Garde" w:hAnsi="ITC Avant Garde" w:cs="Arial"/>
          <w:sz w:val="18"/>
          <w:szCs w:val="18"/>
        </w:rPr>
        <w:t>Notifíquese personalmente a la parte quejosa y tercero interesada y por oficio al juzgado de origen y a la autoridad responsable; agréguese copia certificada de esta resolución al amparo revisión R.A. 123/2017, para los efectos legales a que haya lugar; y en su oportunidad, archívese el presente expediente como asunto concluido.”</w:t>
      </w:r>
    </w:p>
    <w:p w14:paraId="693BC256" w14:textId="77777777" w:rsidR="00750659" w:rsidRDefault="00A87735" w:rsidP="00750659">
      <w:pPr>
        <w:pStyle w:val="Textoindependiente"/>
        <w:spacing w:after="200" w:line="276" w:lineRule="auto"/>
        <w:rPr>
          <w:rFonts w:ascii="ITC Avant Garde" w:hAnsi="ITC Avant Garde" w:cs="Arial"/>
        </w:rPr>
      </w:pPr>
      <w:r>
        <w:rPr>
          <w:rFonts w:ascii="ITC Avant Garde" w:hAnsi="ITC Avant Garde" w:cs="Arial"/>
        </w:rPr>
        <w:t>Es así, que con f</w:t>
      </w:r>
      <w:r w:rsidR="00AA270E">
        <w:rPr>
          <w:rFonts w:ascii="ITC Avant Garde" w:hAnsi="ITC Avant Garde" w:cs="Arial"/>
        </w:rPr>
        <w:t xml:space="preserve">echa 13 de febrero y 7 de marzo de 2018, </w:t>
      </w:r>
      <w:r>
        <w:rPr>
          <w:rFonts w:ascii="ITC Avant Garde" w:hAnsi="ITC Avant Garde" w:cs="Arial"/>
        </w:rPr>
        <w:t>se recibi</w:t>
      </w:r>
      <w:r w:rsidR="00AA270E">
        <w:rPr>
          <w:rFonts w:ascii="ITC Avant Garde" w:hAnsi="ITC Avant Garde" w:cs="Arial"/>
        </w:rPr>
        <w:t xml:space="preserve">ó </w:t>
      </w:r>
      <w:r>
        <w:rPr>
          <w:rFonts w:ascii="ITC Avant Garde" w:hAnsi="ITC Avant Garde" w:cs="Arial"/>
        </w:rPr>
        <w:t>en la Oficialía de Partes de este Instituto, la ejecutoria y su aclaraci</w:t>
      </w:r>
      <w:r w:rsidR="00AA270E">
        <w:rPr>
          <w:rFonts w:ascii="ITC Avant Garde" w:hAnsi="ITC Avant Garde" w:cs="Arial"/>
        </w:rPr>
        <w:t xml:space="preserve">ón, respectivamente, emitidas por dicho Tribunal Colegiado, por lo </w:t>
      </w:r>
      <w:r w:rsidR="00F03508">
        <w:rPr>
          <w:rFonts w:ascii="ITC Avant Garde" w:hAnsi="ITC Avant Garde" w:cs="Arial"/>
        </w:rPr>
        <w:t>que,</w:t>
      </w:r>
      <w:r w:rsidR="00AA270E">
        <w:rPr>
          <w:rFonts w:ascii="ITC Avant Garde" w:hAnsi="ITC Avant Garde" w:cs="Arial"/>
        </w:rPr>
        <w:t xml:space="preserve"> a efecto de dar debido cumplimiento a la ejecutoria de mérito, este Instituto debe dejar sin efectos </w:t>
      </w:r>
      <w:r w:rsidR="005616D1">
        <w:rPr>
          <w:rFonts w:ascii="ITC Avant Garde" w:hAnsi="ITC Avant Garde" w:cs="Arial"/>
        </w:rPr>
        <w:t xml:space="preserve">el Resolutivo Segundo de </w:t>
      </w:r>
      <w:r w:rsidR="00AA270E">
        <w:rPr>
          <w:rFonts w:ascii="ITC Avant Garde" w:hAnsi="ITC Avant Garde" w:cs="Arial"/>
        </w:rPr>
        <w:t>la resolución</w:t>
      </w:r>
      <w:r w:rsidR="00F03508">
        <w:rPr>
          <w:rFonts w:ascii="ITC Avant Garde" w:hAnsi="ITC Avant Garde" w:cs="Arial"/>
        </w:rPr>
        <w:t xml:space="preserve"> de fecha 19 de octubre de 2016, contenida en el Acuerdo P/IFT/191016/567,</w:t>
      </w:r>
      <w:r w:rsidR="00C86AF5">
        <w:rPr>
          <w:rFonts w:ascii="ITC Avant Garde" w:hAnsi="ITC Avant Garde" w:cs="Arial"/>
        </w:rPr>
        <w:t>toda vez que es el único resolutivo referente a la aplicación del artículo 131 inciso a) de la Ley Federal de Telecomunicaciones y Radiodifusión (en lo sucesivo, “LFTR”)</w:t>
      </w:r>
      <w:r w:rsidR="00F03508">
        <w:rPr>
          <w:rFonts w:ascii="ITC Avant Garde" w:hAnsi="ITC Avant Garde" w:cs="Arial"/>
        </w:rPr>
        <w:t xml:space="preserve"> y en términos de lo manifestado por el Primer Tribunal Colegiado en la aclaración de sentencia, </w:t>
      </w:r>
      <w:r w:rsidR="00147B35">
        <w:rPr>
          <w:rFonts w:ascii="ITC Avant Garde" w:hAnsi="ITC Avant Garde" w:cs="Arial"/>
        </w:rPr>
        <w:t xml:space="preserve">emitir una nueva resolución, en la cual </w:t>
      </w:r>
      <w:r w:rsidR="00147B35">
        <w:rPr>
          <w:rFonts w:ascii="ITC Avant Garde" w:hAnsi="ITC Avant Garde" w:cs="Arial"/>
        </w:rPr>
        <w:lastRenderedPageBreak/>
        <w:t>se incluya una acotación, en el sentido de que en ningún supuesto dichas tarifas se debían considerar extensibles a ningún día del año dos mil dieciocho.</w:t>
      </w:r>
    </w:p>
    <w:p w14:paraId="4462F25B" w14:textId="77777777" w:rsidR="00750659" w:rsidRDefault="007C1FE2" w:rsidP="00750659">
      <w:pPr>
        <w:pStyle w:val="Textoindependiente"/>
        <w:spacing w:after="200" w:line="276" w:lineRule="auto"/>
        <w:rPr>
          <w:rFonts w:ascii="ITC Avant Garde" w:hAnsi="ITC Avant Garde" w:cs="Arial"/>
          <w:bCs/>
          <w:szCs w:val="22"/>
        </w:rPr>
      </w:pPr>
      <w:proofErr w:type="gramStart"/>
      <w:r>
        <w:rPr>
          <w:rFonts w:ascii="ITC Avant Garde" w:hAnsi="ITC Avant Garde" w:cs="Arial"/>
          <w:b/>
          <w:bCs/>
          <w:lang w:val="es-ES"/>
        </w:rPr>
        <w:t>SEGUNDO.-</w:t>
      </w:r>
      <w:proofErr w:type="gramEnd"/>
      <w:r>
        <w:rPr>
          <w:rFonts w:ascii="ITC Avant Garde" w:hAnsi="ITC Avant Garde" w:cs="Arial"/>
          <w:b/>
          <w:bCs/>
          <w:lang w:val="es-ES"/>
        </w:rPr>
        <w:t xml:space="preserve"> </w:t>
      </w:r>
      <w:r w:rsidR="009375B7" w:rsidRPr="00EB10A1">
        <w:rPr>
          <w:rFonts w:ascii="ITC Avant Garde" w:hAnsi="ITC Avant Garde" w:cs="Arial"/>
          <w:b/>
          <w:bCs/>
          <w:lang w:val="es-ES"/>
        </w:rPr>
        <w:t>Competencia del Instituto</w:t>
      </w:r>
      <w:r w:rsidR="009375B7" w:rsidRPr="00EB10A1">
        <w:rPr>
          <w:rFonts w:ascii="ITC Avant Garde" w:hAnsi="ITC Avant Garde" w:cs="Arial"/>
          <w:bCs/>
          <w:lang w:val="es-ES"/>
        </w:rPr>
        <w:t xml:space="preserve">. </w:t>
      </w:r>
      <w:r w:rsidR="009375B7" w:rsidRPr="00EB10A1">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009375B7" w:rsidRPr="00EB10A1">
        <w:rPr>
          <w:rFonts w:ascii="ITC Avant Garde" w:hAnsi="ITC Avant Garde" w:cs="Arial"/>
          <w:bCs/>
          <w:szCs w:val="22"/>
        </w:rPr>
        <w:t xml:space="preserve">y 7 de la </w:t>
      </w:r>
      <w:proofErr w:type="spellStart"/>
      <w:r w:rsidR="009375B7" w:rsidRPr="00EB10A1">
        <w:rPr>
          <w:rFonts w:ascii="ITC Avant Garde" w:hAnsi="ITC Avant Garde" w:cs="Arial"/>
          <w:bCs/>
          <w:szCs w:val="22"/>
        </w:rPr>
        <w:t>LFTyR</w:t>
      </w:r>
      <w:proofErr w:type="spellEnd"/>
      <w:r w:rsidR="009375B7" w:rsidRPr="00EB10A1">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009375B7" w:rsidRPr="00EB10A1">
        <w:rPr>
          <w:rFonts w:ascii="ITC Avant Garde" w:hAnsi="ITC Avant Garde" w:cs="Arial"/>
          <w:bCs/>
          <w:szCs w:val="22"/>
        </w:rPr>
        <w:t>LFTyR</w:t>
      </w:r>
      <w:proofErr w:type="spellEnd"/>
      <w:r w:rsidR="009375B7" w:rsidRPr="00EB10A1">
        <w:rPr>
          <w:rFonts w:ascii="ITC Avant Garde" w:hAnsi="ITC Avant Garde" w:cs="Arial"/>
          <w:bCs/>
          <w:szCs w:val="22"/>
        </w:rPr>
        <w:t xml:space="preserve"> y demás disposiciones aplicables. </w:t>
      </w:r>
    </w:p>
    <w:p w14:paraId="312E1918" w14:textId="77777777" w:rsidR="00750659" w:rsidRDefault="009375B7" w:rsidP="00750659">
      <w:pPr>
        <w:pStyle w:val="Textoindependiente"/>
        <w:spacing w:after="200" w:line="276" w:lineRule="auto"/>
        <w:rPr>
          <w:rFonts w:ascii="ITC Avant Garde" w:hAnsi="ITC Avant Garde" w:cs="Arial"/>
          <w:bCs/>
          <w:szCs w:val="22"/>
        </w:rPr>
      </w:pPr>
      <w:r w:rsidRPr="00EB10A1">
        <w:rPr>
          <w:rFonts w:ascii="ITC Avant Garde" w:hAnsi="ITC Avant Garde" w:cs="Arial"/>
          <w:bCs/>
          <w:szCs w:val="22"/>
          <w:lang w:val="es-ES"/>
        </w:rPr>
        <w:t xml:space="preserve">Con fundamento </w:t>
      </w:r>
      <w:r w:rsidRPr="00EB10A1">
        <w:rPr>
          <w:rFonts w:ascii="ITC Avant Garde" w:hAnsi="ITC Avant Garde" w:cs="Arial"/>
          <w:bCs/>
          <w:szCs w:val="22"/>
        </w:rPr>
        <w:t xml:space="preserve">en los artículos 7, 15, fracción X, 17, fracción I y 129 de la </w:t>
      </w:r>
      <w:proofErr w:type="spellStart"/>
      <w:r w:rsidRPr="00EB10A1">
        <w:rPr>
          <w:rFonts w:ascii="ITC Avant Garde" w:hAnsi="ITC Avant Garde" w:cs="Arial"/>
          <w:bCs/>
          <w:szCs w:val="22"/>
        </w:rPr>
        <w:t>LFTyR</w:t>
      </w:r>
      <w:proofErr w:type="spellEnd"/>
      <w:r w:rsidRPr="00EB10A1">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2D10D8B2" w14:textId="77777777" w:rsidR="00750659" w:rsidRDefault="009375B7" w:rsidP="00750659">
      <w:pPr>
        <w:pStyle w:val="Textoindependiente"/>
        <w:spacing w:after="200" w:line="276" w:lineRule="auto"/>
        <w:rPr>
          <w:rFonts w:ascii="ITC Avant Garde" w:hAnsi="ITC Avant Garde"/>
          <w:szCs w:val="22"/>
        </w:rPr>
      </w:pPr>
      <w:r w:rsidRPr="00EB10A1">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256F29" w:rsidRPr="00EB10A1">
        <w:rPr>
          <w:rFonts w:ascii="ITC Avant Garde" w:hAnsi="ITC Avant Garde"/>
          <w:szCs w:val="22"/>
        </w:rPr>
        <w:t xml:space="preserve">que operan </w:t>
      </w:r>
      <w:r w:rsidRPr="00EB10A1">
        <w:rPr>
          <w:rFonts w:ascii="ITC Avant Garde" w:hAnsi="ITC Avant Garde"/>
          <w:szCs w:val="22"/>
        </w:rPr>
        <w:t>redes públicas de telecomunicaciones, que forman parte en el presente procedimiento.</w:t>
      </w:r>
      <w:bookmarkEnd w:id="0"/>
      <w:bookmarkEnd w:id="1"/>
      <w:bookmarkEnd w:id="2"/>
    </w:p>
    <w:p w14:paraId="4F98B1F7" w14:textId="77777777" w:rsidR="00750659" w:rsidRDefault="00F63A59" w:rsidP="00750659">
      <w:pPr>
        <w:jc w:val="both"/>
        <w:rPr>
          <w:rFonts w:ascii="ITC Avant Garde" w:hAnsi="ITC Avant Garde" w:cs="Arial"/>
        </w:rPr>
      </w:pPr>
      <w:r>
        <w:rPr>
          <w:rFonts w:ascii="ITC Avant Garde" w:hAnsi="ITC Avant Garde" w:cs="Arial"/>
          <w:b/>
        </w:rPr>
        <w:t>TERCERO</w:t>
      </w:r>
      <w:r w:rsidR="009D337F" w:rsidRPr="00F63A59">
        <w:rPr>
          <w:rFonts w:ascii="ITC Avant Garde" w:hAnsi="ITC Avant Garde" w:cs="Arial"/>
          <w:b/>
        </w:rPr>
        <w:t xml:space="preserve">. -Tarifa </w:t>
      </w:r>
      <w:r w:rsidR="00476418">
        <w:rPr>
          <w:rFonts w:ascii="ITC Avant Garde" w:hAnsi="ITC Avant Garde" w:cs="Arial"/>
          <w:b/>
        </w:rPr>
        <w:t xml:space="preserve">por servicios de </w:t>
      </w:r>
      <w:r w:rsidR="009D337F" w:rsidRPr="00F63A59">
        <w:rPr>
          <w:rFonts w:ascii="ITC Avant Garde" w:hAnsi="ITC Avant Garde" w:cs="Arial"/>
          <w:b/>
        </w:rPr>
        <w:t xml:space="preserve">terminación </w:t>
      </w:r>
      <w:r w:rsidR="00476418">
        <w:rPr>
          <w:rFonts w:ascii="ITC Avant Garde" w:hAnsi="ITC Avant Garde" w:cs="Arial"/>
          <w:b/>
        </w:rPr>
        <w:t xml:space="preserve">de tráfico </w:t>
      </w:r>
      <w:r w:rsidR="009D337F" w:rsidRPr="00F63A59">
        <w:rPr>
          <w:rFonts w:ascii="ITC Avant Garde" w:hAnsi="ITC Avant Garde" w:cs="Arial"/>
          <w:b/>
        </w:rPr>
        <w:t xml:space="preserve">en la red móvil de </w:t>
      </w:r>
      <w:r>
        <w:rPr>
          <w:rFonts w:ascii="ITC Avant Garde" w:hAnsi="ITC Avant Garde" w:cs="Arial"/>
          <w:b/>
        </w:rPr>
        <w:t xml:space="preserve">Telcel. </w:t>
      </w:r>
      <w:r w:rsidR="00510789">
        <w:rPr>
          <w:rFonts w:ascii="ITC Avant Garde" w:hAnsi="ITC Avant Garde" w:cs="Arial"/>
        </w:rPr>
        <w:t>Con fecha 1 de marzo de 2018, el Primer Tribunal Colegiado emitió la aclaración de sentencia correspondiente al amparo en revisión R.A. 123/2017</w:t>
      </w:r>
      <w:r w:rsidR="005E2666">
        <w:rPr>
          <w:rFonts w:ascii="ITC Avant Garde" w:hAnsi="ITC Avant Garde" w:cs="Arial"/>
        </w:rPr>
        <w:t xml:space="preserve"> en el que resolvió conceder el Amparo y Protección de la Justicia Federal a Telcel.</w:t>
      </w:r>
    </w:p>
    <w:p w14:paraId="2E7DD39B" w14:textId="77777777" w:rsidR="00750659" w:rsidRDefault="005149F5" w:rsidP="00750659">
      <w:pPr>
        <w:jc w:val="both"/>
        <w:rPr>
          <w:rFonts w:ascii="ITC Avant Garde" w:hAnsi="ITC Avant Garde" w:cs="Arial"/>
        </w:rPr>
      </w:pPr>
      <w:r>
        <w:rPr>
          <w:rFonts w:ascii="ITC Avant Garde" w:hAnsi="ITC Avant Garde" w:cs="Arial"/>
        </w:rPr>
        <w:t xml:space="preserve">El Tribunal Colegiado estimó que </w:t>
      </w:r>
      <w:r w:rsidR="00510789">
        <w:rPr>
          <w:rFonts w:ascii="ITC Avant Garde" w:hAnsi="ITC Avant Garde" w:cs="Arial"/>
        </w:rPr>
        <w:t>derivado del amparo que le fue concedido a Telcel por la Suprema Corte de Justicia de la Nación en e</w:t>
      </w:r>
      <w:r>
        <w:rPr>
          <w:rFonts w:ascii="ITC Avant Garde" w:hAnsi="ITC Avant Garde" w:cs="Arial"/>
        </w:rPr>
        <w:t xml:space="preserve">l amparo en revisión 1100/2015 en el que </w:t>
      </w:r>
      <w:r w:rsidR="00510789">
        <w:rPr>
          <w:rFonts w:ascii="ITC Avant Garde" w:hAnsi="ITC Avant Garde" w:cs="Arial"/>
        </w:rPr>
        <w:t xml:space="preserve">resolvió la inconstitucionalidad </w:t>
      </w:r>
      <w:r w:rsidR="00510789" w:rsidRPr="00510789">
        <w:rPr>
          <w:rFonts w:ascii="ITC Avant Garde" w:hAnsi="ITC Avant Garde" w:cs="Arial"/>
        </w:rPr>
        <w:t>de los artículos 131, párrafo segundo, inciso a), Sexto, Vigésimo, párrafo primero y Trigésimo Quinto Transitorios, de la Ley Federal de Tel</w:t>
      </w:r>
      <w:r w:rsidR="00510789">
        <w:rPr>
          <w:rFonts w:ascii="ITC Avant Garde" w:hAnsi="ITC Avant Garde" w:cs="Arial"/>
        </w:rPr>
        <w:t>ecomunicaciones y Radiodifusión, consideró que</w:t>
      </w:r>
      <w:r>
        <w:rPr>
          <w:rFonts w:ascii="ITC Avant Garde" w:hAnsi="ITC Avant Garde" w:cs="Arial"/>
        </w:rPr>
        <w:t xml:space="preserve"> debía conceder el amparo respecto del acto consistente </w:t>
      </w:r>
      <w:r w:rsidR="0028701D">
        <w:rPr>
          <w:rFonts w:ascii="ITC Avant Garde" w:hAnsi="ITC Avant Garde" w:cs="Arial"/>
        </w:rPr>
        <w:t xml:space="preserve">en el Acuerdo P/IFT/191016/567, y </w:t>
      </w:r>
      <w:r w:rsidR="0028701D" w:rsidRPr="0028701D">
        <w:rPr>
          <w:rFonts w:ascii="ITC Avant Garde" w:hAnsi="ITC Avant Garde" w:cs="Arial"/>
        </w:rPr>
        <w:t>emit</w:t>
      </w:r>
      <w:r w:rsidR="0028701D">
        <w:rPr>
          <w:rFonts w:ascii="ITC Avant Garde" w:hAnsi="ITC Avant Garde" w:cs="Arial"/>
        </w:rPr>
        <w:t xml:space="preserve">ir </w:t>
      </w:r>
      <w:r w:rsidR="0028701D" w:rsidRPr="0028701D">
        <w:rPr>
          <w:rFonts w:ascii="ITC Avant Garde" w:hAnsi="ITC Avant Garde" w:cs="Arial"/>
        </w:rPr>
        <w:t xml:space="preserve">una nueva resolución, en la cual se incluya una acotación, en el sentido de que en ningún supuesto dichas tarifas se debían </w:t>
      </w:r>
      <w:r w:rsidR="0028701D" w:rsidRPr="0028701D">
        <w:rPr>
          <w:rFonts w:ascii="ITC Avant Garde" w:hAnsi="ITC Avant Garde" w:cs="Arial"/>
        </w:rPr>
        <w:lastRenderedPageBreak/>
        <w:t xml:space="preserve">considerar extensibles a ningún día del año </w:t>
      </w:r>
      <w:r w:rsidR="0028701D">
        <w:rPr>
          <w:rFonts w:ascii="ITC Avant Garde" w:hAnsi="ITC Avant Garde" w:cs="Arial"/>
        </w:rPr>
        <w:t>2018, ya que a partir</w:t>
      </w:r>
      <w:r w:rsidR="005701F5">
        <w:rPr>
          <w:rFonts w:ascii="ITC Avant Garde" w:hAnsi="ITC Avant Garde" w:cs="Arial"/>
        </w:rPr>
        <w:t xml:space="preserve"> del </w:t>
      </w:r>
      <w:r w:rsidR="0028701D">
        <w:rPr>
          <w:rFonts w:ascii="ITC Avant Garde" w:hAnsi="ITC Avant Garde" w:cs="Arial"/>
        </w:rPr>
        <w:t xml:space="preserve">1 de enero de 2018, </w:t>
      </w:r>
      <w:r w:rsidR="0028701D" w:rsidRPr="0028701D">
        <w:rPr>
          <w:rFonts w:ascii="ITC Avant Garde" w:hAnsi="ITC Avant Garde" w:cs="Arial"/>
        </w:rPr>
        <w:t xml:space="preserve">las tarifas de interconexión por la terminación de tráfico en la red de </w:t>
      </w:r>
      <w:r w:rsidR="0028701D">
        <w:rPr>
          <w:rFonts w:ascii="ITC Avant Garde" w:hAnsi="ITC Avant Garde" w:cs="Arial"/>
        </w:rPr>
        <w:t>Telcel</w:t>
      </w:r>
      <w:r w:rsidR="0028701D" w:rsidRPr="0028701D">
        <w:rPr>
          <w:rFonts w:ascii="ITC Avant Garde" w:hAnsi="ITC Avant Garde" w:cs="Arial"/>
        </w:rPr>
        <w:t xml:space="preserve">, en su carácter de </w:t>
      </w:r>
      <w:r w:rsidR="0028701D">
        <w:rPr>
          <w:rFonts w:ascii="ITC Avant Garde" w:hAnsi="ITC Avant Garde" w:cs="Arial"/>
        </w:rPr>
        <w:t>AEP</w:t>
      </w:r>
      <w:r w:rsidR="0028701D" w:rsidRPr="0028701D">
        <w:rPr>
          <w:rFonts w:ascii="ITC Avant Garde" w:hAnsi="ITC Avant Garde" w:cs="Arial"/>
        </w:rPr>
        <w:t>, serán resultado, no de la aplicaciones de las disposiciones declaradas inconstitucionales, sino de las determinadas con base en las atribuciones del órgano regulador</w:t>
      </w:r>
      <w:r w:rsidR="0028701D">
        <w:rPr>
          <w:rFonts w:ascii="ITC Avant Garde" w:hAnsi="ITC Avant Garde" w:cs="Arial"/>
        </w:rPr>
        <w:t>.</w:t>
      </w:r>
    </w:p>
    <w:p w14:paraId="21C6545D" w14:textId="77777777" w:rsidR="00750659" w:rsidRDefault="0028701D" w:rsidP="00750659">
      <w:pPr>
        <w:jc w:val="both"/>
        <w:rPr>
          <w:rFonts w:ascii="ITC Avant Garde" w:hAnsi="ITC Avant Garde" w:cs="Arial"/>
        </w:rPr>
      </w:pPr>
      <w:r>
        <w:rPr>
          <w:rFonts w:ascii="ITC Avant Garde" w:hAnsi="ITC Avant Garde" w:cs="Arial"/>
        </w:rPr>
        <w:t xml:space="preserve">Es importante señalar que, la Suprema Corte de Justicia de la Nación resolvió la inconstitucionalidad de las disposiciones contenidas en los artículos </w:t>
      </w:r>
      <w:r w:rsidRPr="00510789">
        <w:rPr>
          <w:rFonts w:ascii="ITC Avant Garde" w:hAnsi="ITC Avant Garde" w:cs="Arial"/>
        </w:rPr>
        <w:t>131, párrafo segundo, inciso a), Sexto, Vigésimo, párrafo primero y Trigésimo Quinto Transitorios, de la Ley Federal de Tel</w:t>
      </w:r>
      <w:r>
        <w:rPr>
          <w:rFonts w:ascii="ITC Avant Garde" w:hAnsi="ITC Avant Garde" w:cs="Arial"/>
        </w:rPr>
        <w:t xml:space="preserve">ecomunicaciones y Radiodifusión, al considerar que las mismas </w:t>
      </w:r>
      <w:r w:rsidR="00510789" w:rsidRPr="00F63A59">
        <w:rPr>
          <w:rFonts w:ascii="ITC Avant Garde" w:hAnsi="ITC Avant Garde" w:cs="Arial"/>
        </w:rPr>
        <w:t>fueron dictadas por una autoridad incompetente, pues el Congreso de la Unión fijó de manera directa la tarifa de interconexión correspondiente al servicio de terminación de redes fijas y móviles tratándose del agente preponderante, siendo dicha competencia exclusiva del Instituto Federal de Telecomunicaciones</w:t>
      </w:r>
      <w:r>
        <w:rPr>
          <w:rFonts w:ascii="ITC Avant Garde" w:hAnsi="ITC Avant Garde" w:cs="Arial"/>
        </w:rPr>
        <w:t xml:space="preserve">, </w:t>
      </w:r>
      <w:r w:rsidR="00510789" w:rsidRPr="00F63A59">
        <w:rPr>
          <w:rFonts w:ascii="ITC Avant Garde" w:hAnsi="ITC Avant Garde" w:cs="Arial"/>
        </w:rPr>
        <w:t xml:space="preserve"> por lo que estableció que por razones de interés público y para no afectar a terceros respecto de actos y operaciones iniciados previamente a la declaratoria de inconstitucionalidad de los preceptos reclamados, </w:t>
      </w:r>
      <w:r>
        <w:rPr>
          <w:rFonts w:ascii="ITC Avant Garde" w:hAnsi="ITC Avant Garde" w:cs="Arial"/>
        </w:rPr>
        <w:t xml:space="preserve">este Instituto debía </w:t>
      </w:r>
      <w:r w:rsidR="00510789" w:rsidRPr="00F63A59">
        <w:rPr>
          <w:rFonts w:ascii="ITC Avant Garde" w:hAnsi="ITC Avant Garde" w:cs="Arial"/>
        </w:rPr>
        <w:t xml:space="preserve">determinar las tarifas de interconexión por la terminación de tráfico en la red de </w:t>
      </w:r>
      <w:r>
        <w:rPr>
          <w:rFonts w:ascii="ITC Avant Garde" w:hAnsi="ITC Avant Garde" w:cs="Arial"/>
        </w:rPr>
        <w:t xml:space="preserve">Telcel en su </w:t>
      </w:r>
      <w:r w:rsidR="00510789" w:rsidRPr="00F63A59">
        <w:rPr>
          <w:rFonts w:ascii="ITC Avant Garde" w:hAnsi="ITC Avant Garde" w:cs="Arial"/>
        </w:rPr>
        <w:t xml:space="preserve">carácter de </w:t>
      </w:r>
      <w:r>
        <w:rPr>
          <w:rFonts w:ascii="ITC Avant Garde" w:hAnsi="ITC Avant Garde" w:cs="Arial"/>
        </w:rPr>
        <w:t>AEP</w:t>
      </w:r>
      <w:r w:rsidR="00510789" w:rsidRPr="00F63A59">
        <w:rPr>
          <w:rFonts w:ascii="ITC Avant Garde" w:hAnsi="ITC Avant Garde" w:cs="Arial"/>
        </w:rPr>
        <w:t>,</w:t>
      </w:r>
      <w:r>
        <w:rPr>
          <w:rFonts w:ascii="ITC Avant Garde" w:hAnsi="ITC Avant Garde" w:cs="Arial"/>
        </w:rPr>
        <w:t xml:space="preserve"> </w:t>
      </w:r>
      <w:r w:rsidRPr="00F63A59">
        <w:rPr>
          <w:rFonts w:ascii="ITC Avant Garde" w:hAnsi="ITC Avant Garde" w:cs="Arial"/>
          <w:b/>
        </w:rPr>
        <w:t>a partir del 1 de enero de 2018</w:t>
      </w:r>
      <w:r w:rsidRPr="0028701D">
        <w:rPr>
          <w:rFonts w:ascii="ITC Avant Garde" w:hAnsi="ITC Avant Garde" w:cs="Arial"/>
        </w:rPr>
        <w:t xml:space="preserve">, </w:t>
      </w:r>
      <w:r w:rsidR="00510789" w:rsidRPr="00F63A59">
        <w:rPr>
          <w:rFonts w:ascii="ITC Avant Garde" w:hAnsi="ITC Avant Garde" w:cs="Arial"/>
        </w:rPr>
        <w:t xml:space="preserve">ello con el fin de salvaguardar la seguridad jurídica en el sector de las telecomunicaciones y preservar los acuerdos o convenios de interconexión celebrados entre </w:t>
      </w:r>
      <w:r>
        <w:rPr>
          <w:rFonts w:ascii="ITC Avant Garde" w:hAnsi="ITC Avant Garde" w:cs="Arial"/>
        </w:rPr>
        <w:t xml:space="preserve">Telcel </w:t>
      </w:r>
      <w:r w:rsidR="00510789" w:rsidRPr="00F63A59">
        <w:rPr>
          <w:rFonts w:ascii="ITC Avant Garde" w:hAnsi="ITC Avant Garde" w:cs="Arial"/>
        </w:rPr>
        <w:t>y los distintos concesionarios.</w:t>
      </w:r>
    </w:p>
    <w:p w14:paraId="05757E39" w14:textId="77777777" w:rsidR="00750659" w:rsidRDefault="00941BB9" w:rsidP="00750659">
      <w:pPr>
        <w:jc w:val="both"/>
        <w:rPr>
          <w:rFonts w:ascii="ITC Avant Garde" w:hAnsi="ITC Avant Garde" w:cs="Arial"/>
        </w:rPr>
      </w:pPr>
      <w:r>
        <w:rPr>
          <w:rFonts w:ascii="ITC Avant Garde" w:hAnsi="ITC Avant Garde" w:cs="Arial"/>
        </w:rPr>
        <w:t xml:space="preserve">Es así que, el Tribunal Colegiado estimó procedente conceder el amparo a Telcel y precisar los efectos del amparo en revisión R.A. 123/2017, consistentes en dejar sin efectos la resolución aprobada mediante Acuerdo P/IFT/191016/567, y emitir una nueva en la que se acote que bajo ningún supuesto dichas tarifas se debían considerar extensibles a </w:t>
      </w:r>
      <w:r w:rsidR="006C3512">
        <w:rPr>
          <w:rFonts w:ascii="ITC Avant Garde" w:hAnsi="ITC Avant Garde" w:cs="Arial"/>
        </w:rPr>
        <w:t>ningún día del año 2018.</w:t>
      </w:r>
    </w:p>
    <w:p w14:paraId="2073A5B3" w14:textId="77777777" w:rsidR="00750659" w:rsidRDefault="00397E75" w:rsidP="00750659">
      <w:pPr>
        <w:jc w:val="both"/>
        <w:rPr>
          <w:rFonts w:ascii="ITC Avant Garde" w:hAnsi="ITC Avant Garde" w:cs="Arial"/>
        </w:rPr>
      </w:pPr>
      <w:r>
        <w:rPr>
          <w:rFonts w:ascii="ITC Avant Garde" w:hAnsi="ITC Avant Garde" w:cs="Arial"/>
        </w:rPr>
        <w:t>Por otra parte, no debe perderse de vista que en el amparo en revisión R.A. 1100/2015, nuestro Máximo Tribun</w:t>
      </w:r>
      <w:r w:rsidR="00095BBC">
        <w:rPr>
          <w:rFonts w:ascii="ITC Avant Garde" w:hAnsi="ITC Avant Garde" w:cs="Arial"/>
        </w:rPr>
        <w:t xml:space="preserve">al se pronunció en el sentido que si bien es cierto que por regla general debe declararse la invalidez de aquellos actos de aplicación que hayan tenido como fundamento </w:t>
      </w:r>
      <w:r w:rsidR="00095BBC" w:rsidRPr="00095BBC">
        <w:rPr>
          <w:rFonts w:ascii="ITC Avant Garde" w:hAnsi="ITC Avant Garde" w:cs="Arial"/>
        </w:rPr>
        <w:t xml:space="preserve">la norma declarada inconstitucional (en lo relativo al régimen de gratuidad, o tarifa cero, únicamente por lo que se refiere a </w:t>
      </w:r>
      <w:r w:rsidR="00095BBC">
        <w:rPr>
          <w:rFonts w:ascii="ITC Avant Garde" w:hAnsi="ITC Avant Garde" w:cs="Arial"/>
        </w:rPr>
        <w:t>Telcel</w:t>
      </w:r>
      <w:r w:rsidR="00095BBC" w:rsidRPr="00095BBC">
        <w:rPr>
          <w:rFonts w:ascii="ITC Avant Garde" w:hAnsi="ITC Avant Garde" w:cs="Arial"/>
        </w:rPr>
        <w:t xml:space="preserve">), no </w:t>
      </w:r>
      <w:r w:rsidR="00095BBC">
        <w:rPr>
          <w:rFonts w:ascii="ITC Avant Garde" w:hAnsi="ITC Avant Garde" w:cs="Arial"/>
        </w:rPr>
        <w:t>debe pasar inadvertido que</w:t>
      </w:r>
      <w:r w:rsidR="00AE4900">
        <w:rPr>
          <w:rFonts w:ascii="ITC Avant Garde" w:hAnsi="ITC Avant Garde" w:cs="Arial"/>
        </w:rPr>
        <w:t>,</w:t>
      </w:r>
      <w:r w:rsidR="00095BBC">
        <w:rPr>
          <w:rFonts w:ascii="ITC Avant Garde" w:hAnsi="ITC Avant Garde" w:cs="Arial"/>
        </w:rPr>
        <w:t xml:space="preserve"> </w:t>
      </w:r>
      <w:r w:rsidR="00095BBC" w:rsidRPr="00095BBC">
        <w:rPr>
          <w:rFonts w:ascii="ITC Avant Garde" w:hAnsi="ITC Avant Garde" w:cs="Arial"/>
        </w:rPr>
        <w:t xml:space="preserve">en la medida que el régimen de gratuidad se haya aplicado </w:t>
      </w:r>
      <w:r w:rsidR="00095BBC" w:rsidRPr="00AE4900">
        <w:rPr>
          <w:rFonts w:ascii="ITC Avant Garde" w:hAnsi="ITC Avant Garde" w:cs="Arial"/>
        </w:rPr>
        <w:t xml:space="preserve">en </w:t>
      </w:r>
      <w:r w:rsidR="00AE4900" w:rsidRPr="00F63A59">
        <w:rPr>
          <w:rFonts w:ascii="ITC Avant Garde" w:hAnsi="ITC Avant Garde" w:cs="Arial"/>
        </w:rPr>
        <w:t xml:space="preserve">los </w:t>
      </w:r>
      <w:r w:rsidR="00095BBC" w:rsidRPr="00AE4900">
        <w:rPr>
          <w:rFonts w:ascii="ITC Avant Garde" w:hAnsi="ITC Avant Garde" w:cs="Arial"/>
        </w:rPr>
        <w:t>acuerdos y convenios de interconexión</w:t>
      </w:r>
      <w:r w:rsidR="00095BBC" w:rsidRPr="00095BBC">
        <w:rPr>
          <w:rFonts w:ascii="ITC Avant Garde" w:hAnsi="ITC Avant Garde" w:cs="Arial"/>
        </w:rPr>
        <w:t xml:space="preserve">, entonces deberá considerarse que, como parte de esa relación jurídica bilateral, existen otros concesionarios que utilizan los servicios de </w:t>
      </w:r>
      <w:r w:rsidR="00095BBC" w:rsidRPr="00095BBC">
        <w:rPr>
          <w:rFonts w:ascii="ITC Avant Garde" w:hAnsi="ITC Avant Garde" w:cs="Arial"/>
        </w:rPr>
        <w:lastRenderedPageBreak/>
        <w:t>terminación de llamadas en redes móviles que presta el preponderante; es decir, concesionarios</w:t>
      </w:r>
      <w:r w:rsidR="00AD0C43">
        <w:rPr>
          <w:rFonts w:ascii="ITC Avant Garde" w:hAnsi="ITC Avant Garde" w:cs="Arial"/>
        </w:rPr>
        <w:t xml:space="preserve"> respecto de los cuales </w:t>
      </w:r>
      <w:r w:rsidR="00095BBC" w:rsidRPr="00095BBC">
        <w:rPr>
          <w:rFonts w:ascii="ITC Avant Garde" w:hAnsi="ITC Avant Garde" w:cs="Arial"/>
        </w:rPr>
        <w:t xml:space="preserve">también </w:t>
      </w:r>
      <w:r w:rsidR="00AD0C43">
        <w:rPr>
          <w:rFonts w:ascii="ITC Avant Garde" w:hAnsi="ITC Avant Garde" w:cs="Arial"/>
        </w:rPr>
        <w:t xml:space="preserve">se ha aplicado </w:t>
      </w:r>
      <w:r w:rsidR="00095BBC" w:rsidRPr="00095BBC">
        <w:rPr>
          <w:rFonts w:ascii="ITC Avant Garde" w:hAnsi="ITC Avant Garde" w:cs="Arial"/>
        </w:rPr>
        <w:t xml:space="preserve">la tarifa cero. </w:t>
      </w:r>
      <w:r>
        <w:rPr>
          <w:rFonts w:ascii="ITC Avant Garde" w:hAnsi="ITC Avant Garde" w:cs="Arial"/>
        </w:rPr>
        <w:t xml:space="preserve"> </w:t>
      </w:r>
    </w:p>
    <w:p w14:paraId="4F3C47AB" w14:textId="77777777" w:rsidR="00750659" w:rsidRDefault="00095BBC" w:rsidP="00750659">
      <w:pPr>
        <w:jc w:val="both"/>
        <w:rPr>
          <w:rFonts w:ascii="ITC Avant Garde" w:hAnsi="ITC Avant Garde" w:cs="Arial"/>
        </w:rPr>
      </w:pPr>
      <w:r>
        <w:rPr>
          <w:rFonts w:ascii="ITC Avant Garde" w:hAnsi="ITC Avant Garde" w:cs="Arial"/>
        </w:rPr>
        <w:t xml:space="preserve">En reconocimiento a dicha situación, nuestro Máximo Tribunal consideró que </w:t>
      </w:r>
      <w:r w:rsidRPr="00095BBC">
        <w:rPr>
          <w:rFonts w:ascii="ITC Avant Garde" w:hAnsi="ITC Avant Garde" w:cs="Arial"/>
        </w:rPr>
        <w:t xml:space="preserve">a pesar de que dichos acuerdos o convenios emitidos por </w:t>
      </w:r>
      <w:r>
        <w:rPr>
          <w:rFonts w:ascii="ITC Avant Garde" w:hAnsi="ITC Avant Garde" w:cs="Arial"/>
        </w:rPr>
        <w:t xml:space="preserve">este Instituto prevén la porción normativa </w:t>
      </w:r>
      <w:r w:rsidRPr="00095BBC">
        <w:rPr>
          <w:rFonts w:ascii="ITC Avant Garde" w:hAnsi="ITC Avant Garde" w:cs="Arial"/>
        </w:rPr>
        <w:t xml:space="preserve">declarada inconstitucional, los mismos deben de subsistir, pues los otros concesionarios que participaron en los respectivos procedimientos de interconexión, al no haber sido parte en </w:t>
      </w:r>
      <w:r>
        <w:rPr>
          <w:rFonts w:ascii="ITC Avant Garde" w:hAnsi="ITC Avant Garde" w:cs="Arial"/>
        </w:rPr>
        <w:t>los respectivos juicios de amparo</w:t>
      </w:r>
      <w:r w:rsidR="00302932">
        <w:rPr>
          <w:rFonts w:ascii="ITC Avant Garde" w:hAnsi="ITC Avant Garde" w:cs="Arial"/>
        </w:rPr>
        <w:t xml:space="preserve">, </w:t>
      </w:r>
      <w:r w:rsidRPr="00095BBC">
        <w:rPr>
          <w:rFonts w:ascii="ITC Avant Garde" w:hAnsi="ITC Avant Garde" w:cs="Arial"/>
        </w:rPr>
        <w:t>no pueden verse afectados como resultado de la co</w:t>
      </w:r>
      <w:r w:rsidR="00302932">
        <w:rPr>
          <w:rFonts w:ascii="ITC Avant Garde" w:hAnsi="ITC Avant Garde" w:cs="Arial"/>
        </w:rPr>
        <w:t xml:space="preserve">ncesión de la protección de la Justicia Federal, por lo que </w:t>
      </w:r>
      <w:r w:rsidRPr="00095BBC">
        <w:rPr>
          <w:rFonts w:ascii="ITC Avant Garde" w:hAnsi="ITC Avant Garde" w:cs="Arial"/>
        </w:rPr>
        <w:t>de hacer extensivas las consecuencias de</w:t>
      </w:r>
      <w:r w:rsidR="00302932">
        <w:rPr>
          <w:rFonts w:ascii="ITC Avant Garde" w:hAnsi="ITC Avant Garde" w:cs="Arial"/>
        </w:rPr>
        <w:t xml:space="preserve"> dicho </w:t>
      </w:r>
      <w:r w:rsidRPr="00095BBC">
        <w:rPr>
          <w:rFonts w:ascii="ITC Avant Garde" w:hAnsi="ITC Avant Garde" w:cs="Arial"/>
        </w:rPr>
        <w:t xml:space="preserve">fallo a </w:t>
      </w:r>
      <w:r w:rsidR="00302932">
        <w:rPr>
          <w:rFonts w:ascii="ITC Avant Garde" w:hAnsi="ITC Avant Garde" w:cs="Arial"/>
        </w:rPr>
        <w:t>tales</w:t>
      </w:r>
      <w:r w:rsidR="00302932" w:rsidRPr="00095BBC">
        <w:rPr>
          <w:rFonts w:ascii="ITC Avant Garde" w:hAnsi="ITC Avant Garde" w:cs="Arial"/>
        </w:rPr>
        <w:t xml:space="preserve"> actuaciones</w:t>
      </w:r>
      <w:r w:rsidRPr="00095BBC">
        <w:rPr>
          <w:rFonts w:ascii="ITC Avant Garde" w:hAnsi="ITC Avant Garde" w:cs="Arial"/>
        </w:rPr>
        <w:t>, se violaría en su perjuicio la garantía de seguridad jurídica, pues no podrían tener a su alcance un recurso efectivo en contra de dicha determinación.</w:t>
      </w:r>
    </w:p>
    <w:p w14:paraId="60C601AC" w14:textId="77777777" w:rsidR="00750659" w:rsidRDefault="00302932" w:rsidP="00750659">
      <w:pPr>
        <w:jc w:val="both"/>
        <w:rPr>
          <w:rFonts w:ascii="ITC Avant Garde" w:hAnsi="ITC Avant Garde" w:cs="Arial"/>
        </w:rPr>
      </w:pPr>
      <w:r>
        <w:rPr>
          <w:rFonts w:ascii="ITC Avant Garde" w:hAnsi="ITC Avant Garde" w:cs="Arial"/>
        </w:rPr>
        <w:t xml:space="preserve">Asimismo, estimó que </w:t>
      </w:r>
      <w:r w:rsidRPr="00302932">
        <w:rPr>
          <w:rFonts w:ascii="ITC Avant Garde" w:hAnsi="ITC Avant Garde" w:cs="Arial"/>
        </w:rPr>
        <w:t>si la disposición reclamada forma parte del capítulo de la Ley que regula la interconexión entre concesionarios, ello significa que éstos en sus dos extremos</w:t>
      </w:r>
      <w:r w:rsidR="00FD6A9F">
        <w:rPr>
          <w:rFonts w:ascii="ITC Avant Garde" w:hAnsi="ITC Avant Garde" w:cs="Arial"/>
        </w:rPr>
        <w:t>, así</w:t>
      </w:r>
      <w:r w:rsidR="00EE5852">
        <w:rPr>
          <w:rFonts w:ascii="ITC Avant Garde" w:hAnsi="ITC Avant Garde" w:cs="Arial"/>
        </w:rPr>
        <w:t xml:space="preserve"> como </w:t>
      </w:r>
      <w:r w:rsidRPr="00302932">
        <w:rPr>
          <w:rFonts w:ascii="ITC Avant Garde" w:hAnsi="ITC Avant Garde" w:cs="Arial"/>
        </w:rPr>
        <w:t>e</w:t>
      </w:r>
      <w:r w:rsidR="00EE5852">
        <w:rPr>
          <w:rFonts w:ascii="ITC Avant Garde" w:hAnsi="ITC Avant Garde" w:cs="Arial"/>
        </w:rPr>
        <w:t xml:space="preserve">ste </w:t>
      </w:r>
      <w:r w:rsidRPr="00302932">
        <w:rPr>
          <w:rFonts w:ascii="ITC Avant Garde" w:hAnsi="ITC Avant Garde" w:cs="Arial"/>
        </w:rPr>
        <w:t>órgano regulado</w:t>
      </w:r>
      <w:r w:rsidR="00EE5852">
        <w:rPr>
          <w:rFonts w:ascii="ITC Avant Garde" w:hAnsi="ITC Avant Garde" w:cs="Arial"/>
        </w:rPr>
        <w:t xml:space="preserve">r, </w:t>
      </w:r>
      <w:r w:rsidRPr="00302932">
        <w:rPr>
          <w:rFonts w:ascii="ITC Avant Garde" w:hAnsi="ITC Avant Garde" w:cs="Arial"/>
        </w:rPr>
        <w:t>han llevado a cabo actos jurídicos propios de la obligación de interconectarse, siempre bajo un contexto normativo</w:t>
      </w:r>
      <w:r w:rsidR="00FD6A9F">
        <w:rPr>
          <w:rFonts w:ascii="ITC Avant Garde" w:hAnsi="ITC Avant Garde" w:cs="Arial"/>
        </w:rPr>
        <w:t xml:space="preserve"> que se presumió constitucional.</w:t>
      </w:r>
    </w:p>
    <w:p w14:paraId="1EA798B9" w14:textId="77777777" w:rsidR="00750659" w:rsidRDefault="00FD6A9F" w:rsidP="00750659">
      <w:pPr>
        <w:jc w:val="both"/>
        <w:rPr>
          <w:rFonts w:ascii="ITC Avant Garde" w:hAnsi="ITC Avant Garde" w:cs="Arial"/>
        </w:rPr>
      </w:pPr>
      <w:r>
        <w:rPr>
          <w:rFonts w:ascii="ITC Avant Garde" w:hAnsi="ITC Avant Garde" w:cs="Arial"/>
        </w:rPr>
        <w:t xml:space="preserve">En efecto, la Segunda Sala de la Suprema Corte estimó </w:t>
      </w:r>
      <w:r w:rsidR="00302932" w:rsidRPr="00302932">
        <w:rPr>
          <w:rFonts w:ascii="ITC Avant Garde" w:hAnsi="ITC Avant Garde" w:cs="Arial"/>
        </w:rPr>
        <w:t xml:space="preserve">como resultado de la protección otorgada a </w:t>
      </w:r>
      <w:r>
        <w:rPr>
          <w:rFonts w:ascii="ITC Avant Garde" w:hAnsi="ITC Avant Garde" w:cs="Arial"/>
        </w:rPr>
        <w:t xml:space="preserve">Telcel, </w:t>
      </w:r>
      <w:r w:rsidR="00302932" w:rsidRPr="00302932">
        <w:rPr>
          <w:rFonts w:ascii="ITC Avant Garde" w:hAnsi="ITC Avant Garde" w:cs="Arial"/>
        </w:rPr>
        <w:t>el no afectar aquellas situaciones surgidas en función de la disposición cuestionada, es decir, respetando los derechos ya ejercidos por aquellos concesionarios que realizaron actos jurídicos en un régimen qu</w:t>
      </w:r>
      <w:r>
        <w:rPr>
          <w:rFonts w:ascii="ITC Avant Garde" w:hAnsi="ITC Avant Garde" w:cs="Arial"/>
        </w:rPr>
        <w:t>e hasta antes del dictado de es</w:t>
      </w:r>
      <w:r w:rsidR="00302932" w:rsidRPr="00302932">
        <w:rPr>
          <w:rFonts w:ascii="ITC Avant Garde" w:hAnsi="ITC Avant Garde" w:cs="Arial"/>
        </w:rPr>
        <w:t>a ejecutoria se entendía regular o conforme a derecho, ello porque actuaron dent</w:t>
      </w:r>
      <w:r>
        <w:rPr>
          <w:rFonts w:ascii="ITC Avant Garde" w:hAnsi="ITC Avant Garde" w:cs="Arial"/>
        </w:rPr>
        <w:t>ro del marco previsto en la ley,</w:t>
      </w:r>
      <w:r w:rsidR="00302932" w:rsidRPr="00302932">
        <w:rPr>
          <w:rFonts w:ascii="ITC Avant Garde" w:hAnsi="ITC Avant Garde" w:cs="Arial"/>
        </w:rPr>
        <w:t xml:space="preserve"> </w:t>
      </w:r>
      <w:r>
        <w:rPr>
          <w:rFonts w:ascii="ITC Avant Garde" w:hAnsi="ITC Avant Garde" w:cs="Arial"/>
        </w:rPr>
        <w:t xml:space="preserve">por lo que consideró no afectar </w:t>
      </w:r>
      <w:r w:rsidR="00302932" w:rsidRPr="00302932">
        <w:rPr>
          <w:rFonts w:ascii="ITC Avant Garde" w:hAnsi="ITC Avant Garde" w:cs="Arial"/>
        </w:rPr>
        <w:t>situaciones particulares ya verificadas con terceros.</w:t>
      </w:r>
    </w:p>
    <w:p w14:paraId="2D61E29C" w14:textId="77777777" w:rsidR="00750659" w:rsidRDefault="00FD6A9F" w:rsidP="00750659">
      <w:pPr>
        <w:jc w:val="both"/>
        <w:rPr>
          <w:rFonts w:ascii="ITC Avant Garde" w:hAnsi="ITC Avant Garde" w:cs="Arial"/>
        </w:rPr>
      </w:pPr>
      <w:r>
        <w:rPr>
          <w:rFonts w:ascii="ITC Avant Garde" w:hAnsi="ITC Avant Garde" w:cs="Arial"/>
        </w:rPr>
        <w:t>Esto</w:t>
      </w:r>
      <w:r w:rsidR="0065157E">
        <w:rPr>
          <w:rFonts w:ascii="ITC Avant Garde" w:hAnsi="ITC Avant Garde" w:cs="Arial"/>
        </w:rPr>
        <w:t xml:space="preserve"> es, en la ejecutoria </w:t>
      </w:r>
      <w:r w:rsidR="00C81EF2">
        <w:rPr>
          <w:rFonts w:ascii="ITC Avant Garde" w:hAnsi="ITC Avant Garde" w:cs="Arial"/>
        </w:rPr>
        <w:t>dictada por la Segunda Sala de la Suprema Corte de Justicia de la Nación correspondiente al amparo en revis</w:t>
      </w:r>
      <w:r w:rsidR="00AF14D2">
        <w:rPr>
          <w:rFonts w:ascii="ITC Avant Garde" w:hAnsi="ITC Avant Garde" w:cs="Arial"/>
        </w:rPr>
        <w:t>ión R.A. 1100/2015, se otorgó el amparo y protección de la Justicia de la Unión a Telcel para</w:t>
      </w:r>
      <w:r w:rsidR="00B65577">
        <w:rPr>
          <w:rFonts w:ascii="ITC Avant Garde" w:hAnsi="ITC Avant Garde" w:cs="Arial"/>
        </w:rPr>
        <w:t>, entre otros,</w:t>
      </w:r>
      <w:r w:rsidR="00AF14D2">
        <w:rPr>
          <w:rFonts w:ascii="ITC Avant Garde" w:hAnsi="ITC Avant Garde" w:cs="Arial"/>
        </w:rPr>
        <w:t xml:space="preserve"> el efecto de: i) dejar de aplicar a Telcel el sistema normativo declarado inconstitucional, ii) todos aquellos concesionarios que suscribieron convenios de interconexión con Telcel, no podrían ser constreñidos al pago de compensaciones que pudiesen derivar de la determinación de tarifas por parte del Instituto resultado de la inaplicación de la norma impugnada, y iii) a fin de salvaguardar la seguridad jurídica en el sector </w:t>
      </w:r>
      <w:r w:rsidR="00AF14D2" w:rsidRPr="00AF14D2">
        <w:rPr>
          <w:rFonts w:ascii="ITC Avant Garde" w:hAnsi="ITC Avant Garde" w:cs="Arial"/>
        </w:rPr>
        <w:t xml:space="preserve">de las telecomunicaciones y preservar los acuerdos o convenios de interconexión celebrados entre </w:t>
      </w:r>
      <w:proofErr w:type="spellStart"/>
      <w:r w:rsidR="00AF14D2" w:rsidRPr="00AF14D2">
        <w:rPr>
          <w:rFonts w:ascii="ITC Avant Garde" w:hAnsi="ITC Avant Garde" w:cs="Arial"/>
        </w:rPr>
        <w:t>Radiomóvil</w:t>
      </w:r>
      <w:proofErr w:type="spellEnd"/>
      <w:r w:rsidR="00AF14D2" w:rsidRPr="00AF14D2">
        <w:rPr>
          <w:rFonts w:ascii="ITC Avant Garde" w:hAnsi="ITC Avant Garde" w:cs="Arial"/>
        </w:rPr>
        <w:t xml:space="preserve"> </w:t>
      </w:r>
      <w:proofErr w:type="spellStart"/>
      <w:r w:rsidR="00AF14D2" w:rsidRPr="00AF14D2">
        <w:rPr>
          <w:rFonts w:ascii="ITC Avant Garde" w:hAnsi="ITC Avant Garde" w:cs="Arial"/>
        </w:rPr>
        <w:t>Dipsa</w:t>
      </w:r>
      <w:proofErr w:type="spellEnd"/>
      <w:r w:rsidR="00AF14D2" w:rsidRPr="00AF14D2">
        <w:rPr>
          <w:rFonts w:ascii="ITC Avant Garde" w:hAnsi="ITC Avant Garde" w:cs="Arial"/>
        </w:rPr>
        <w:t xml:space="preserve"> y los distintos </w:t>
      </w:r>
      <w:r w:rsidR="00AF14D2" w:rsidRPr="00AF14D2">
        <w:rPr>
          <w:rFonts w:ascii="ITC Avant Garde" w:hAnsi="ITC Avant Garde" w:cs="Arial"/>
        </w:rPr>
        <w:lastRenderedPageBreak/>
        <w:t>concesionarios, y con el objeto de no afectar a los usuarios finales, las tarifas que determine el Instituto entrarán en vigor a partir del uno de enero de dos mil dieciocho</w:t>
      </w:r>
      <w:r w:rsidR="00AF14D2">
        <w:rPr>
          <w:rFonts w:ascii="ITC Avant Garde" w:hAnsi="ITC Avant Garde" w:cs="Arial"/>
        </w:rPr>
        <w:t>.</w:t>
      </w:r>
    </w:p>
    <w:p w14:paraId="5A5805BF" w14:textId="77777777" w:rsidR="00750659" w:rsidRDefault="00AF14D2" w:rsidP="00750659">
      <w:pPr>
        <w:jc w:val="both"/>
        <w:rPr>
          <w:rFonts w:ascii="ITC Avant Garde" w:hAnsi="ITC Avant Garde" w:cs="Arial"/>
        </w:rPr>
      </w:pPr>
      <w:r>
        <w:rPr>
          <w:rFonts w:ascii="ITC Avant Garde" w:hAnsi="ITC Avant Garde" w:cs="Arial"/>
        </w:rPr>
        <w:t xml:space="preserve">Es así que, </w:t>
      </w:r>
      <w:r w:rsidR="00E11377">
        <w:rPr>
          <w:rFonts w:ascii="ITC Avant Garde" w:hAnsi="ITC Avant Garde" w:cs="Arial"/>
        </w:rPr>
        <w:t xml:space="preserve">en este caso particular, </w:t>
      </w:r>
      <w:r>
        <w:rPr>
          <w:rFonts w:ascii="ITC Avant Garde" w:hAnsi="ITC Avant Garde" w:cs="Arial"/>
        </w:rPr>
        <w:t xml:space="preserve">no puede ser exigible </w:t>
      </w:r>
      <w:r w:rsidR="00C81EF2">
        <w:rPr>
          <w:rFonts w:ascii="ITC Avant Garde" w:hAnsi="ITC Avant Garde" w:cs="Arial"/>
        </w:rPr>
        <w:t>por parte de</w:t>
      </w:r>
      <w:r>
        <w:rPr>
          <w:rFonts w:ascii="ITC Avant Garde" w:hAnsi="ITC Avant Garde" w:cs="Arial"/>
        </w:rPr>
        <w:t xml:space="preserve"> Telcel</w:t>
      </w:r>
      <w:r w:rsidR="00C81EF2">
        <w:rPr>
          <w:rFonts w:ascii="ITC Avant Garde" w:hAnsi="ITC Avant Garde" w:cs="Arial"/>
        </w:rPr>
        <w:t xml:space="preserve"> </w:t>
      </w:r>
      <w:r w:rsidR="00C81EF2" w:rsidRPr="00FD6A9F">
        <w:rPr>
          <w:rFonts w:ascii="ITC Avant Garde" w:hAnsi="ITC Avant Garde" w:cs="Arial"/>
        </w:rPr>
        <w:t xml:space="preserve">la compensación tarifaria que, en su caso, llegase a resultar como consecuencia de </w:t>
      </w:r>
      <w:r w:rsidR="00C81EF2">
        <w:rPr>
          <w:rFonts w:ascii="ITC Avant Garde" w:hAnsi="ITC Avant Garde" w:cs="Arial"/>
        </w:rPr>
        <w:t xml:space="preserve">la </w:t>
      </w:r>
      <w:r w:rsidR="00C81EF2" w:rsidRPr="00FD6A9F">
        <w:rPr>
          <w:rFonts w:ascii="ITC Avant Garde" w:hAnsi="ITC Avant Garde" w:cs="Arial"/>
        </w:rPr>
        <w:t>decla</w:t>
      </w:r>
      <w:r w:rsidR="00C81EF2">
        <w:rPr>
          <w:rFonts w:ascii="ITC Avant Garde" w:hAnsi="ITC Avant Garde" w:cs="Arial"/>
        </w:rPr>
        <w:t xml:space="preserve">ratoria de inconstitucionalidad, </w:t>
      </w:r>
      <w:r w:rsidR="00C81EF2" w:rsidRPr="00FD6A9F">
        <w:rPr>
          <w:rFonts w:ascii="ITC Avant Garde" w:hAnsi="ITC Avant Garde" w:cs="Arial"/>
        </w:rPr>
        <w:t>pues ello llevaría a retrotraer los efectos del amparo a situaciones jurídicas regulares que se realizaron en un contexto legal válido hasta antes de esa declaratoria.</w:t>
      </w:r>
    </w:p>
    <w:p w14:paraId="47062373" w14:textId="77777777" w:rsidR="00750659" w:rsidRDefault="00C81EF2" w:rsidP="00750659">
      <w:pPr>
        <w:jc w:val="both"/>
        <w:rPr>
          <w:rFonts w:ascii="ITC Avant Garde" w:hAnsi="ITC Avant Garde" w:cs="Arial"/>
        </w:rPr>
      </w:pPr>
      <w:r>
        <w:rPr>
          <w:rFonts w:ascii="ITC Avant Garde" w:hAnsi="ITC Avant Garde" w:cs="Arial"/>
        </w:rPr>
        <w:t xml:space="preserve">Por lo tanto, </w:t>
      </w:r>
      <w:r w:rsidR="00AF14D2">
        <w:rPr>
          <w:rFonts w:ascii="ITC Avant Garde" w:hAnsi="ITC Avant Garde" w:cs="Arial"/>
        </w:rPr>
        <w:t xml:space="preserve">atendiendo a la función de orden público de la interconexión, </w:t>
      </w:r>
      <w:r w:rsidRPr="000E27BC">
        <w:rPr>
          <w:rFonts w:ascii="ITC Avant Garde" w:hAnsi="ITC Avant Garde" w:cs="Arial"/>
        </w:rPr>
        <w:t xml:space="preserve">ni en el carácter de autoridad responsable, ni en el de autoridad encargada de ejecutar el cumplimiento de </w:t>
      </w:r>
      <w:r w:rsidR="00AF14D2">
        <w:rPr>
          <w:rFonts w:ascii="ITC Avant Garde" w:hAnsi="ITC Avant Garde" w:cs="Arial"/>
        </w:rPr>
        <w:t>dicha ejecutoria</w:t>
      </w:r>
      <w:r w:rsidRPr="000E27BC">
        <w:rPr>
          <w:rFonts w:ascii="ITC Avant Garde" w:hAnsi="ITC Avant Garde" w:cs="Arial"/>
        </w:rPr>
        <w:t xml:space="preserve">, </w:t>
      </w:r>
      <w:r>
        <w:rPr>
          <w:rFonts w:ascii="ITC Avant Garde" w:hAnsi="ITC Avant Garde" w:cs="Arial"/>
        </w:rPr>
        <w:t xml:space="preserve">este Instituto puede extender </w:t>
      </w:r>
      <w:r w:rsidRPr="000E27BC">
        <w:rPr>
          <w:rFonts w:ascii="ITC Avant Garde" w:hAnsi="ITC Avant Garde" w:cs="Arial"/>
        </w:rPr>
        <w:t xml:space="preserve">parte o la totalidad del efecto de cumplimiento de </w:t>
      </w:r>
      <w:r>
        <w:rPr>
          <w:rFonts w:ascii="ITC Avant Garde" w:hAnsi="ITC Avant Garde" w:cs="Arial"/>
        </w:rPr>
        <w:t xml:space="preserve">dicha </w:t>
      </w:r>
      <w:r w:rsidRPr="000E27BC">
        <w:rPr>
          <w:rFonts w:ascii="ITC Avant Garde" w:hAnsi="ITC Avant Garde" w:cs="Arial"/>
        </w:rPr>
        <w:t>sentencia a los concesionarios que sean parte del acuerdo o convenio de interconexión en el que haya sido establecida la tarifa cero</w:t>
      </w:r>
      <w:r w:rsidR="00C65B3C">
        <w:rPr>
          <w:rFonts w:ascii="ITC Avant Garde" w:hAnsi="ITC Avant Garde" w:cs="Arial"/>
        </w:rPr>
        <w:t>.</w:t>
      </w:r>
    </w:p>
    <w:p w14:paraId="545A20C2" w14:textId="77777777" w:rsidR="00750659" w:rsidRDefault="0095673F" w:rsidP="00750659">
      <w:pPr>
        <w:jc w:val="both"/>
        <w:rPr>
          <w:rFonts w:ascii="ITC Avant Garde" w:hAnsi="ITC Avant Garde" w:cs="Arial"/>
        </w:rPr>
      </w:pPr>
      <w:r>
        <w:rPr>
          <w:rFonts w:ascii="ITC Avant Garde" w:hAnsi="ITC Avant Garde" w:cs="Arial"/>
        </w:rPr>
        <w:t>En virtud de lo anterior, y de conformidad con lo resuelto por nuestro Máximo Tribunal</w:t>
      </w:r>
      <w:r w:rsidR="002C735C">
        <w:rPr>
          <w:rFonts w:ascii="ITC Avant Garde" w:hAnsi="ITC Avant Garde" w:cs="Arial"/>
        </w:rPr>
        <w:t>,</w:t>
      </w:r>
      <w:r>
        <w:rPr>
          <w:rFonts w:ascii="ITC Avant Garde" w:hAnsi="ITC Avant Garde" w:cs="Arial"/>
        </w:rPr>
        <w:t xml:space="preserve"> en atención al interés público, </w:t>
      </w:r>
      <w:r w:rsidRPr="0095673F">
        <w:rPr>
          <w:rFonts w:ascii="ITC Avant Garde" w:hAnsi="ITC Avant Garde" w:cs="Arial"/>
        </w:rPr>
        <w:t>la compensación o pago por diferencias que, hubiera podido cobrar la quejosa en relación a los ejercicios en los que se le aplicó el régimen de gratuidad, deben de considerarse de imposible ejecución</w:t>
      </w:r>
      <w:r>
        <w:rPr>
          <w:rFonts w:ascii="ITC Avant Garde" w:hAnsi="ITC Avant Garde" w:cs="Arial"/>
        </w:rPr>
        <w:t xml:space="preserve">, </w:t>
      </w:r>
      <w:r w:rsidRPr="0095673F">
        <w:rPr>
          <w:rFonts w:ascii="ITC Avant Garde" w:hAnsi="ITC Avant Garde" w:cs="Arial"/>
        </w:rPr>
        <w:t>en otras palabras, la ausencia de pago debe considerarse consumada de manera irreparable.</w:t>
      </w:r>
    </w:p>
    <w:p w14:paraId="5ADAE1C3" w14:textId="77777777" w:rsidR="00750659" w:rsidRDefault="009B15B1" w:rsidP="00750659">
      <w:pPr>
        <w:jc w:val="both"/>
        <w:rPr>
          <w:rFonts w:ascii="ITC Avant Garde" w:hAnsi="ITC Avant Garde" w:cs="Arial"/>
        </w:rPr>
      </w:pPr>
      <w:r w:rsidRPr="00EB10A1">
        <w:rPr>
          <w:rFonts w:ascii="ITC Avant Garde" w:hAnsi="ITC Avant Garde" w:cs="Arial"/>
        </w:rPr>
        <w:t xml:space="preserve">Por lo que, para efectos de la tarifa de terminación de tráfico en la red móvil de Telcel se deberá estar a lo </w:t>
      </w:r>
      <w:r w:rsidR="006C3512">
        <w:rPr>
          <w:rFonts w:ascii="ITC Avant Garde" w:hAnsi="ITC Avant Garde" w:cs="Arial"/>
        </w:rPr>
        <w:t xml:space="preserve">mandatado por </w:t>
      </w:r>
      <w:r w:rsidR="0095673F">
        <w:rPr>
          <w:rFonts w:ascii="ITC Avant Garde" w:hAnsi="ITC Avant Garde" w:cs="Arial"/>
        </w:rPr>
        <w:t xml:space="preserve">la Suprema Corte de Justicia de la Nación en el amparo en revisión R.A. 1100/2015, </w:t>
      </w:r>
      <w:r w:rsidR="00A00B20">
        <w:rPr>
          <w:rFonts w:ascii="ITC Avant Garde" w:hAnsi="ITC Avant Garde" w:cs="Arial"/>
        </w:rPr>
        <w:t xml:space="preserve">y </w:t>
      </w:r>
      <w:r w:rsidR="0095673F">
        <w:rPr>
          <w:rFonts w:ascii="ITC Avant Garde" w:hAnsi="ITC Avant Garde" w:cs="Arial"/>
        </w:rPr>
        <w:t xml:space="preserve">a la aclaración de sentencia del amparo en revisión R.A. 123/2017 dictada por el Primer </w:t>
      </w:r>
      <w:r w:rsidR="006C3512">
        <w:rPr>
          <w:rFonts w:ascii="ITC Avant Garde" w:hAnsi="ITC Avant Garde" w:cs="Arial"/>
        </w:rPr>
        <w:t xml:space="preserve">Tribunal Colegiado </w:t>
      </w:r>
      <w:r w:rsidR="0095673F">
        <w:rPr>
          <w:rFonts w:ascii="ITC Avant Garde" w:hAnsi="ITC Avant Garde" w:cs="Arial"/>
        </w:rPr>
        <w:t>Especializado</w:t>
      </w:r>
      <w:r w:rsidR="00C65B3C">
        <w:rPr>
          <w:rFonts w:ascii="ITC Avant Garde" w:hAnsi="ITC Avant Garde" w:cs="Arial"/>
        </w:rPr>
        <w:t xml:space="preserve">. </w:t>
      </w:r>
    </w:p>
    <w:p w14:paraId="08EFEB66" w14:textId="77777777" w:rsidR="00750659" w:rsidRDefault="00B15D4E" w:rsidP="00750659">
      <w:pPr>
        <w:jc w:val="both"/>
        <w:rPr>
          <w:rFonts w:ascii="ITC Avant Garde" w:hAnsi="ITC Avant Garde" w:cs="Arial"/>
        </w:rPr>
      </w:pPr>
      <w:r w:rsidRPr="00EB10A1">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w:t>
      </w:r>
      <w:r w:rsidR="00A00B20">
        <w:rPr>
          <w:rFonts w:ascii="ITC Avant Garde" w:hAnsi="ITC Avant Garde" w:cs="Arial"/>
        </w:rPr>
        <w:t xml:space="preserve">racción X, 17, fracción I y 125 </w:t>
      </w:r>
      <w:r w:rsidRPr="00EB10A1">
        <w:rPr>
          <w:rFonts w:ascii="ITC Avant Garde" w:hAnsi="ITC Avant Garde" w:cs="Arial"/>
        </w:rPr>
        <w:t>de la Ley Federal de Telecomunicaciones y Radiodifusión; 32,</w:t>
      </w:r>
      <w:r w:rsidR="00A00B20">
        <w:rPr>
          <w:rFonts w:ascii="ITC Avant Garde" w:hAnsi="ITC Avant Garde" w:cs="Arial"/>
        </w:rPr>
        <w:t xml:space="preserve"> 35, fracción I, 36, 38 y </w:t>
      </w:r>
      <w:r w:rsidR="00BB682C" w:rsidRPr="00EB10A1">
        <w:rPr>
          <w:rFonts w:ascii="ITC Avant Garde" w:hAnsi="ITC Avant Garde" w:cs="Arial"/>
        </w:rPr>
        <w:t>39</w:t>
      </w:r>
      <w:r w:rsidR="00A00B20">
        <w:rPr>
          <w:rFonts w:ascii="ITC Avant Garde" w:hAnsi="ITC Avant Garde" w:cs="Arial"/>
        </w:rPr>
        <w:t xml:space="preserve"> </w:t>
      </w:r>
      <w:r w:rsidRPr="00EB10A1">
        <w:rPr>
          <w:rFonts w:ascii="ITC Avant Garde" w:hAnsi="ITC Avant Garde" w:cs="Arial"/>
        </w:rPr>
        <w:t>de la Ley Federal de Procedimiento A</w:t>
      </w:r>
      <w:r w:rsidR="00A00B20">
        <w:rPr>
          <w:rFonts w:ascii="ITC Avant Garde" w:hAnsi="ITC Avant Garde" w:cs="Arial"/>
        </w:rPr>
        <w:t xml:space="preserve">dministrativo; </w:t>
      </w:r>
      <w:r w:rsidRPr="00EB10A1">
        <w:rPr>
          <w:rFonts w:ascii="ITC Avant Garde" w:hAnsi="ITC Avant Garde" w:cs="Arial"/>
        </w:rPr>
        <w:t>y 4 fracción I y 6, fracción XXXVII del Estatuto Orgánico del Instituto Federal de Telecomunicaciones, el Pleno del Instituto Federal de Telecomunicaciones emite los siguientes:</w:t>
      </w:r>
    </w:p>
    <w:p w14:paraId="15C5FFC1" w14:textId="77777777" w:rsidR="00750659" w:rsidRPr="000C5A29" w:rsidRDefault="00AC04A2" w:rsidP="000C5A29">
      <w:pPr>
        <w:pStyle w:val="Ttulo2"/>
        <w:spacing w:after="200"/>
        <w:jc w:val="center"/>
        <w:rPr>
          <w:rFonts w:ascii="ITC Avant Garde" w:hAnsi="ITC Avant Garde"/>
          <w:szCs w:val="22"/>
        </w:rPr>
      </w:pPr>
      <w:r w:rsidRPr="000C5A29">
        <w:rPr>
          <w:rFonts w:ascii="ITC Avant Garde" w:hAnsi="ITC Avant Garde"/>
          <w:szCs w:val="22"/>
        </w:rPr>
        <w:lastRenderedPageBreak/>
        <w:t>RESOLUTIVOS</w:t>
      </w:r>
    </w:p>
    <w:p w14:paraId="14C7AE2F" w14:textId="77777777" w:rsidR="00750659" w:rsidRDefault="00000AEB" w:rsidP="00750659">
      <w:pPr>
        <w:pStyle w:val="Textoindependiente"/>
        <w:spacing w:after="200" w:line="276" w:lineRule="auto"/>
        <w:rPr>
          <w:rFonts w:ascii="ITC Avant Garde" w:hAnsi="ITC Avant Garde" w:cs="Arial"/>
          <w:bCs/>
          <w:szCs w:val="22"/>
          <w:lang w:val="es-ES"/>
        </w:rPr>
      </w:pPr>
      <w:r w:rsidRPr="00EB10A1">
        <w:rPr>
          <w:rFonts w:ascii="ITC Avant Garde" w:hAnsi="ITC Avant Garde" w:cs="Arial"/>
          <w:b/>
        </w:rPr>
        <w:t>PRIMERO</w:t>
      </w:r>
      <w:r w:rsidRPr="00EB10A1">
        <w:rPr>
          <w:rFonts w:ascii="ITC Avant Garde" w:hAnsi="ITC Avant Garde" w:cs="Arial"/>
        </w:rPr>
        <w:t>. -</w:t>
      </w:r>
      <w:r w:rsidR="00471F86">
        <w:rPr>
          <w:rFonts w:ascii="ITC Avant Garde" w:hAnsi="ITC Avant Garde" w:cs="Arial"/>
        </w:rPr>
        <w:t xml:space="preserve"> Se deja sin efectos </w:t>
      </w:r>
      <w:r w:rsidR="00CC7275">
        <w:rPr>
          <w:rFonts w:ascii="ITC Avant Garde" w:hAnsi="ITC Avant Garde" w:cs="Arial"/>
        </w:rPr>
        <w:t xml:space="preserve">el Resolutivo Segundo de </w:t>
      </w:r>
      <w:r w:rsidR="00471F86">
        <w:rPr>
          <w:rFonts w:ascii="ITC Avant Garde" w:hAnsi="ITC Avant Garde" w:cs="Arial"/>
        </w:rPr>
        <w:t xml:space="preserve">la RESOLUCIÓN </w:t>
      </w:r>
      <w:r w:rsidR="00471F86" w:rsidRPr="00471F86">
        <w:rPr>
          <w:rFonts w:ascii="ITC Avant Garde" w:hAnsi="ITC Avant Garde" w:cs="Arial"/>
        </w:rPr>
        <w:t>MEDIANTE LA CUAL EL PLENO DEL INSTITUTO FEDERAL DE TELECOMUNICACIONES DETERMINA LAS CONDICIONES DE INTERCONEXIÓN NO CONVENIDAS ENTRE RADIOMÓVIL DIPSA, S.A. DE C.V. Y MARCATEL COM, S.A. DE C.V., APLICABLES DEL 1 DE ENERO AL 31 DE DICIEMBRE DE 2017</w:t>
      </w:r>
      <w:r w:rsidR="00471F86">
        <w:rPr>
          <w:rFonts w:ascii="ITC Avant Garde" w:hAnsi="ITC Avant Garde" w:cs="Arial"/>
        </w:rPr>
        <w:t xml:space="preserve">, aprobada mediante Acuerdo </w:t>
      </w:r>
      <w:r w:rsidR="00471F86" w:rsidRPr="00471F86">
        <w:rPr>
          <w:rFonts w:ascii="ITC Avant Garde" w:hAnsi="ITC Avant Garde" w:cs="Arial"/>
        </w:rPr>
        <w:t>P/IFT/191016/567</w:t>
      </w:r>
      <w:r w:rsidR="00471F86">
        <w:rPr>
          <w:rFonts w:ascii="ITC Avant Garde" w:hAnsi="ITC Avant Garde" w:cs="Arial"/>
        </w:rPr>
        <w:t>, en cumplimiento a la ac</w:t>
      </w:r>
      <w:r w:rsidR="00AE60CE">
        <w:rPr>
          <w:rFonts w:ascii="ITC Avant Garde" w:hAnsi="ITC Avant Garde" w:cs="Arial"/>
        </w:rPr>
        <w:t xml:space="preserve">laración de sentencia de fecha </w:t>
      </w:r>
      <w:r w:rsidR="00471F86">
        <w:rPr>
          <w:rFonts w:ascii="ITC Avant Garde" w:hAnsi="ITC Avant Garde" w:cs="Arial"/>
        </w:rPr>
        <w:t xml:space="preserve">1 de marzo de 2018, emitida por el Primer </w:t>
      </w:r>
      <w:r w:rsidR="00471F86" w:rsidRPr="00E433F4">
        <w:rPr>
          <w:rFonts w:ascii="ITC Avant Garde" w:hAnsi="ITC Avant Garde" w:cs="Arial"/>
        </w:rPr>
        <w:t xml:space="preserve">Tribunal Colegiado de Circuito en Materia Administrativa Especializado en Competencia Económica, Radiodifusión y Telecomunicaciones correspondiente al amparo en revisión R.A. </w:t>
      </w:r>
      <w:r w:rsidR="00471F86">
        <w:rPr>
          <w:rFonts w:ascii="ITC Avant Garde" w:hAnsi="ITC Avant Garde" w:cs="Arial"/>
        </w:rPr>
        <w:t>123</w:t>
      </w:r>
      <w:r w:rsidR="00471F86" w:rsidRPr="00E433F4">
        <w:rPr>
          <w:rFonts w:ascii="ITC Avant Garde" w:hAnsi="ITC Avant Garde" w:cs="Arial"/>
        </w:rPr>
        <w:t>/201</w:t>
      </w:r>
      <w:r w:rsidR="00471F86">
        <w:rPr>
          <w:rFonts w:ascii="ITC Avant Garde" w:hAnsi="ITC Avant Garde" w:cs="Arial"/>
        </w:rPr>
        <w:t>7</w:t>
      </w:r>
      <w:r w:rsidR="00471F86" w:rsidRPr="00E433F4">
        <w:rPr>
          <w:rFonts w:ascii="ITC Avant Garde" w:hAnsi="ITC Avant Garde" w:cs="Arial"/>
        </w:rPr>
        <w:t>.</w:t>
      </w:r>
    </w:p>
    <w:p w14:paraId="2CB7463A" w14:textId="1E935244" w:rsidR="00750659" w:rsidRDefault="009B15B1" w:rsidP="00750659">
      <w:pPr>
        <w:pStyle w:val="Textoindependiente"/>
        <w:spacing w:after="200" w:line="276" w:lineRule="auto"/>
        <w:rPr>
          <w:rFonts w:ascii="ITC Avant Garde" w:hAnsi="ITC Avant Garde" w:cs="Arial"/>
          <w:bCs/>
        </w:rPr>
      </w:pPr>
      <w:proofErr w:type="gramStart"/>
      <w:r w:rsidRPr="00EB10A1">
        <w:rPr>
          <w:rFonts w:ascii="ITC Avant Garde" w:hAnsi="ITC Avant Garde" w:cs="Arial"/>
          <w:b/>
          <w:bCs/>
        </w:rPr>
        <w:t>SEGUNDO.-</w:t>
      </w:r>
      <w:proofErr w:type="gramEnd"/>
      <w:r w:rsidRPr="00EB10A1">
        <w:rPr>
          <w:rFonts w:ascii="ITC Avant Garde" w:hAnsi="ITC Avant Garde" w:cs="Arial"/>
          <w:b/>
          <w:bCs/>
        </w:rPr>
        <w:t xml:space="preserve"> </w:t>
      </w:r>
      <w:r w:rsidR="000E6EA4">
        <w:rPr>
          <w:rFonts w:ascii="ITC Avant Garde" w:hAnsi="ITC Avant Garde" w:cs="Arial"/>
          <w:b/>
          <w:bCs/>
        </w:rPr>
        <w:t xml:space="preserve"> </w:t>
      </w:r>
      <w:r w:rsidR="000E6EA4" w:rsidRPr="00F63A59">
        <w:rPr>
          <w:rFonts w:ascii="ITC Avant Garde" w:hAnsi="ITC Avant Garde" w:cs="Arial"/>
          <w:bCs/>
        </w:rPr>
        <w:t xml:space="preserve">Es inaplicable a </w:t>
      </w:r>
      <w:proofErr w:type="spellStart"/>
      <w:r w:rsidR="000E6EA4" w:rsidRPr="00F63A59">
        <w:rPr>
          <w:rFonts w:ascii="ITC Avant Garde" w:hAnsi="ITC Avant Garde" w:cs="Arial"/>
          <w:bCs/>
        </w:rPr>
        <w:t>Radiomóvil</w:t>
      </w:r>
      <w:proofErr w:type="spellEnd"/>
      <w:r w:rsidR="000E6EA4" w:rsidRPr="00F63A59">
        <w:rPr>
          <w:rFonts w:ascii="ITC Avant Garde" w:hAnsi="ITC Avant Garde" w:cs="Arial"/>
          <w:bCs/>
        </w:rPr>
        <w:t xml:space="preserve"> </w:t>
      </w:r>
      <w:proofErr w:type="spellStart"/>
      <w:r w:rsidR="000E6EA4" w:rsidRPr="00F63A59">
        <w:rPr>
          <w:rFonts w:ascii="ITC Avant Garde" w:hAnsi="ITC Avant Garde" w:cs="Arial"/>
          <w:bCs/>
        </w:rPr>
        <w:t>Dipsa</w:t>
      </w:r>
      <w:proofErr w:type="spellEnd"/>
      <w:r w:rsidR="000E6EA4" w:rsidRPr="00F63A59">
        <w:rPr>
          <w:rFonts w:ascii="ITC Avant Garde" w:hAnsi="ITC Avant Garde" w:cs="Arial"/>
          <w:bCs/>
        </w:rPr>
        <w:t>, S.A. de C.V.</w:t>
      </w:r>
      <w:r w:rsidR="000E6EA4">
        <w:rPr>
          <w:rFonts w:ascii="ITC Avant Garde" w:hAnsi="ITC Avant Garde" w:cs="Arial"/>
          <w:bCs/>
        </w:rPr>
        <w:t xml:space="preserve"> el artículo 131 inciso a) de la Ley Federal de Tele</w:t>
      </w:r>
      <w:r w:rsidR="000372DF">
        <w:rPr>
          <w:rFonts w:ascii="ITC Avant Garde" w:hAnsi="ITC Avant Garde" w:cs="Arial"/>
          <w:bCs/>
        </w:rPr>
        <w:t>comunicaciones y Radiodifusión.</w:t>
      </w:r>
    </w:p>
    <w:p w14:paraId="6C8644FD" w14:textId="77777777" w:rsidR="00750659" w:rsidRDefault="000372DF" w:rsidP="00750659">
      <w:pPr>
        <w:pStyle w:val="Textoindependiente"/>
        <w:spacing w:after="200" w:line="276" w:lineRule="auto"/>
        <w:rPr>
          <w:rFonts w:ascii="ITC Avant Garde" w:hAnsi="ITC Avant Garde" w:cs="Arial"/>
        </w:rPr>
      </w:pPr>
      <w:r>
        <w:rPr>
          <w:rFonts w:ascii="ITC Avant Garde" w:hAnsi="ITC Avant Garde" w:cs="Arial"/>
          <w:bCs/>
        </w:rPr>
        <w:t>De conformidad con el párrafo 181, inciso d, de la ejecutoria del amparo en revisión R.A. 1100/2015 dictada por la Segunda Sala de la Suprema Corte de Justicia de la Nación</w:t>
      </w:r>
      <w:r w:rsidR="00F63A59">
        <w:rPr>
          <w:rFonts w:ascii="ITC Avant Garde" w:hAnsi="ITC Avant Garde" w:cs="Arial"/>
          <w:bCs/>
        </w:rPr>
        <w:t>,</w:t>
      </w:r>
      <w:r>
        <w:rPr>
          <w:rFonts w:ascii="ITC Avant Garde" w:hAnsi="ITC Avant Garde" w:cs="Arial"/>
          <w:bCs/>
        </w:rPr>
        <w:t xml:space="preserve"> </w:t>
      </w:r>
      <w:r>
        <w:rPr>
          <w:rFonts w:ascii="ITC Avant Garde" w:hAnsi="ITC Avant Garde" w:cs="Arial"/>
        </w:rPr>
        <w:t xml:space="preserve">las tarifas determinadas por la terminación de tráfico público conmutado en la red móvil de </w:t>
      </w:r>
      <w:proofErr w:type="spellStart"/>
      <w:r>
        <w:rPr>
          <w:rFonts w:ascii="ITC Avant Garde" w:hAnsi="ITC Avant Garde" w:cs="Arial"/>
        </w:rPr>
        <w:t>Radiomóvil</w:t>
      </w:r>
      <w:proofErr w:type="spellEnd"/>
      <w:r>
        <w:rPr>
          <w:rFonts w:ascii="ITC Avant Garde" w:hAnsi="ITC Avant Garde" w:cs="Arial"/>
        </w:rPr>
        <w:t xml:space="preserve"> </w:t>
      </w:r>
      <w:proofErr w:type="spellStart"/>
      <w:r>
        <w:rPr>
          <w:rFonts w:ascii="ITC Avant Garde" w:hAnsi="ITC Avant Garde" w:cs="Arial"/>
        </w:rPr>
        <w:t>Dipsa</w:t>
      </w:r>
      <w:proofErr w:type="spellEnd"/>
      <w:r>
        <w:rPr>
          <w:rFonts w:ascii="ITC Avant Garde" w:hAnsi="ITC Avant Garde" w:cs="Arial"/>
        </w:rPr>
        <w:t xml:space="preserve">, S.A. de C.V. </w:t>
      </w:r>
      <w:r w:rsidRPr="001101C8">
        <w:rPr>
          <w:rFonts w:ascii="ITC Avant Garde" w:hAnsi="ITC Avant Garde" w:cs="Arial"/>
        </w:rPr>
        <w:t xml:space="preserve">entrarán en vigor a partir del </w:t>
      </w:r>
      <w:r>
        <w:rPr>
          <w:rFonts w:ascii="ITC Avant Garde" w:hAnsi="ITC Avant Garde" w:cs="Arial"/>
        </w:rPr>
        <w:t xml:space="preserve">1 </w:t>
      </w:r>
      <w:r w:rsidRPr="001101C8">
        <w:rPr>
          <w:rFonts w:ascii="ITC Avant Garde" w:hAnsi="ITC Avant Garde" w:cs="Arial"/>
        </w:rPr>
        <w:t xml:space="preserve">de enero de </w:t>
      </w:r>
      <w:r>
        <w:rPr>
          <w:rFonts w:ascii="ITC Avant Garde" w:hAnsi="ITC Avant Garde" w:cs="Arial"/>
        </w:rPr>
        <w:t>2018, sin que haya lugar al pago de compensaciones como resultado de la inaplicación del marco normativo declarado inconstitucional.</w:t>
      </w:r>
    </w:p>
    <w:p w14:paraId="047E26A5" w14:textId="4B71EC62" w:rsidR="00750659" w:rsidRDefault="000372DF" w:rsidP="00750659">
      <w:pPr>
        <w:ind w:right="20"/>
        <w:jc w:val="both"/>
        <w:rPr>
          <w:rFonts w:ascii="ITC Avant Garde" w:eastAsia="Times New Roman" w:hAnsi="ITC Avant Garde" w:cs="Arial"/>
        </w:rPr>
      </w:pPr>
      <w:proofErr w:type="gramStart"/>
      <w:r>
        <w:rPr>
          <w:rFonts w:ascii="ITC Avant Garde" w:hAnsi="ITC Avant Garde" w:cs="Arial"/>
          <w:b/>
        </w:rPr>
        <w:t>TERCERO</w:t>
      </w:r>
      <w:r w:rsidR="00FB3FFB" w:rsidRPr="00EB10A1">
        <w:rPr>
          <w:rFonts w:ascii="ITC Avant Garde" w:hAnsi="ITC Avant Garde" w:cs="Arial"/>
        </w:rPr>
        <w:t>.-</w:t>
      </w:r>
      <w:proofErr w:type="gramEnd"/>
      <w:r w:rsidR="00FB3FFB" w:rsidRPr="00EB10A1">
        <w:rPr>
          <w:rFonts w:ascii="ITC Avant Garde" w:hAnsi="ITC Avant Garde" w:cs="Arial"/>
        </w:rPr>
        <w:t xml:space="preserve"> </w:t>
      </w:r>
      <w:r w:rsidR="00257B71" w:rsidRPr="00EB10A1">
        <w:rPr>
          <w:rFonts w:ascii="ITC Avant Garde" w:hAnsi="ITC Avant Garde" w:cs="Arial"/>
        </w:rPr>
        <w:t>Notifíquese personalmente a</w:t>
      </w:r>
      <w:r w:rsidR="006B3F67" w:rsidRPr="00EB10A1">
        <w:rPr>
          <w:rFonts w:ascii="ITC Avant Garde" w:hAnsi="ITC Avant Garde" w:cs="Arial"/>
        </w:rPr>
        <w:t xml:space="preserve"> </w:t>
      </w:r>
      <w:r w:rsidR="00257B71" w:rsidRPr="00EB10A1">
        <w:rPr>
          <w:rFonts w:ascii="ITC Avant Garde" w:hAnsi="ITC Avant Garde" w:cs="Arial"/>
        </w:rPr>
        <w:t>l</w:t>
      </w:r>
      <w:r w:rsidR="006B3F67" w:rsidRPr="00EB10A1">
        <w:rPr>
          <w:rFonts w:ascii="ITC Avant Garde" w:hAnsi="ITC Avant Garde" w:cs="Arial"/>
        </w:rPr>
        <w:t>os</w:t>
      </w:r>
      <w:r w:rsidR="00257B71" w:rsidRPr="00EB10A1">
        <w:rPr>
          <w:rFonts w:ascii="ITC Avant Garde" w:hAnsi="ITC Avant Garde" w:cs="Arial"/>
        </w:rPr>
        <w:t xml:space="preserve"> representante</w:t>
      </w:r>
      <w:r w:rsidR="006B3F67" w:rsidRPr="00EB10A1">
        <w:rPr>
          <w:rFonts w:ascii="ITC Avant Garde" w:hAnsi="ITC Avant Garde" w:cs="Arial"/>
        </w:rPr>
        <w:t>s</w:t>
      </w:r>
      <w:r w:rsidR="00257B71" w:rsidRPr="00EB10A1">
        <w:rPr>
          <w:rFonts w:ascii="ITC Avant Garde" w:hAnsi="ITC Avant Garde" w:cs="Arial"/>
        </w:rPr>
        <w:t xml:space="preserve"> legal</w:t>
      </w:r>
      <w:r w:rsidR="006B3F67" w:rsidRPr="00EB10A1">
        <w:rPr>
          <w:rFonts w:ascii="ITC Avant Garde" w:hAnsi="ITC Avant Garde" w:cs="Arial"/>
        </w:rPr>
        <w:t>es</w:t>
      </w:r>
      <w:r w:rsidR="00257B71" w:rsidRPr="00EB10A1">
        <w:rPr>
          <w:rFonts w:ascii="ITC Avant Garde" w:hAnsi="ITC Avant Garde" w:cs="Arial"/>
        </w:rPr>
        <w:t xml:space="preserve"> de </w:t>
      </w:r>
      <w:proofErr w:type="spellStart"/>
      <w:r w:rsidR="00257B71" w:rsidRPr="00EB10A1">
        <w:rPr>
          <w:rFonts w:ascii="ITC Avant Garde" w:hAnsi="ITC Avant Garde" w:cs="Arial"/>
        </w:rPr>
        <w:t>Radiomóvil</w:t>
      </w:r>
      <w:proofErr w:type="spellEnd"/>
      <w:r w:rsidR="00257B71" w:rsidRPr="00EB10A1">
        <w:rPr>
          <w:rFonts w:ascii="ITC Avant Garde" w:hAnsi="ITC Avant Garde" w:cs="Arial"/>
        </w:rPr>
        <w:t xml:space="preserve"> </w:t>
      </w:r>
      <w:proofErr w:type="spellStart"/>
      <w:r w:rsidR="00257B71" w:rsidRPr="00EB10A1">
        <w:rPr>
          <w:rFonts w:ascii="ITC Avant Garde" w:hAnsi="ITC Avant Garde" w:cs="Arial"/>
        </w:rPr>
        <w:t>Dipsa</w:t>
      </w:r>
      <w:proofErr w:type="spellEnd"/>
      <w:r w:rsidR="00257B71" w:rsidRPr="00EB10A1">
        <w:rPr>
          <w:rFonts w:ascii="ITC Avant Garde" w:hAnsi="ITC Avant Garde" w:cs="Arial"/>
        </w:rPr>
        <w:t xml:space="preserve">, S.A. de C.V. y </w:t>
      </w:r>
      <w:proofErr w:type="spellStart"/>
      <w:r w:rsidR="00BC0AB6" w:rsidRPr="00EB10A1">
        <w:rPr>
          <w:rFonts w:ascii="ITC Avant Garde" w:eastAsia="Times New Roman" w:hAnsi="ITC Avant Garde" w:cs="Arial"/>
        </w:rPr>
        <w:t>Marcatel</w:t>
      </w:r>
      <w:proofErr w:type="spellEnd"/>
      <w:r w:rsidR="00BC0AB6" w:rsidRPr="00EB10A1">
        <w:rPr>
          <w:rFonts w:ascii="ITC Avant Garde" w:eastAsia="Times New Roman" w:hAnsi="ITC Avant Garde" w:cs="Arial"/>
        </w:rPr>
        <w:t xml:space="preserve"> </w:t>
      </w:r>
      <w:proofErr w:type="spellStart"/>
      <w:r w:rsidR="00BC0AB6" w:rsidRPr="00EB10A1">
        <w:rPr>
          <w:rFonts w:ascii="ITC Avant Garde" w:eastAsia="Times New Roman" w:hAnsi="ITC Avant Garde" w:cs="Arial"/>
        </w:rPr>
        <w:t>Com</w:t>
      </w:r>
      <w:proofErr w:type="spellEnd"/>
      <w:r w:rsidR="00BC0AB6" w:rsidRPr="00EB10A1">
        <w:rPr>
          <w:rFonts w:ascii="ITC Avant Garde" w:eastAsia="Times New Roman" w:hAnsi="ITC Avant Garde" w:cs="Arial"/>
        </w:rPr>
        <w:t>, S.A. de C.V.</w:t>
      </w:r>
      <w:r w:rsidR="00CF047B" w:rsidRPr="00EB10A1">
        <w:rPr>
          <w:rFonts w:ascii="ITC Avant Garde" w:eastAsia="Times New Roman" w:hAnsi="ITC Avant Garde"/>
          <w:bCs/>
          <w:lang w:val="es-ES" w:eastAsia="es-ES"/>
        </w:rPr>
        <w:t>,</w:t>
      </w:r>
      <w:r w:rsidR="00CF047B" w:rsidRPr="00EB10A1">
        <w:rPr>
          <w:rFonts w:ascii="ITC Avant Garde" w:hAnsi="ITC Avant Garde"/>
        </w:rPr>
        <w:t xml:space="preserve"> </w:t>
      </w:r>
      <w:r w:rsidR="00E57C5A" w:rsidRPr="00EB10A1">
        <w:rPr>
          <w:rFonts w:ascii="ITC Avant Garde" w:hAnsi="ITC Avant Garde" w:cs="Arial"/>
          <w:bCs/>
        </w:rPr>
        <w:t>el</w:t>
      </w:r>
      <w:r w:rsidR="00E57C5A" w:rsidRPr="00EB10A1">
        <w:rPr>
          <w:rFonts w:ascii="ITC Avant Garde" w:hAnsi="ITC Avant Garde" w:cs="Arial"/>
        </w:rPr>
        <w:t xml:space="preserve"> contenido de la presente Resolución, en términos de lo establecido en el artículo 129 fracción VIII de la Ley Federal de Telecomunicaciones y Radiodifusión.</w:t>
      </w:r>
    </w:p>
    <w:p w14:paraId="3895C4AC" w14:textId="77777777" w:rsidR="000C5A29" w:rsidRDefault="000C5A29" w:rsidP="00750659">
      <w:pPr>
        <w:spacing w:line="240" w:lineRule="auto"/>
        <w:jc w:val="both"/>
        <w:rPr>
          <w:rFonts w:ascii="ITC Avant Garde" w:hAnsi="ITC Avant Garde"/>
          <w:sz w:val="14"/>
          <w:szCs w:val="14"/>
          <w:lang w:eastAsia="es-MX"/>
        </w:rPr>
      </w:pPr>
    </w:p>
    <w:p w14:paraId="105DBA2B" w14:textId="77777777" w:rsidR="000C5A29" w:rsidRDefault="000C5A29" w:rsidP="00750659">
      <w:pPr>
        <w:spacing w:line="240" w:lineRule="auto"/>
        <w:jc w:val="both"/>
        <w:rPr>
          <w:rFonts w:ascii="ITC Avant Garde" w:hAnsi="ITC Avant Garde"/>
          <w:sz w:val="14"/>
          <w:szCs w:val="14"/>
          <w:lang w:eastAsia="es-MX"/>
        </w:rPr>
      </w:pPr>
    </w:p>
    <w:p w14:paraId="7CCDE52C" w14:textId="41DE833E" w:rsidR="00955533" w:rsidRPr="00824C1F" w:rsidRDefault="00824C1F" w:rsidP="00750659">
      <w:pPr>
        <w:spacing w:line="240" w:lineRule="auto"/>
        <w:jc w:val="both"/>
        <w:rPr>
          <w:rFonts w:ascii="ITC Avant Garde" w:hAnsi="ITC Avant Garde"/>
          <w:sz w:val="14"/>
          <w:szCs w:val="14"/>
          <w:lang w:eastAsia="es-MX"/>
        </w:rPr>
      </w:pPr>
      <w:bookmarkStart w:id="3" w:name="_GoBack"/>
      <w:bookmarkEnd w:id="3"/>
      <w:r w:rsidRPr="00824C1F">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824C1F">
        <w:rPr>
          <w:rFonts w:ascii="ITC Avant Garde" w:hAnsi="ITC Avant Garde"/>
          <w:bCs/>
          <w:sz w:val="14"/>
          <w:szCs w:val="14"/>
          <w:lang w:eastAsia="es-MX"/>
        </w:rPr>
        <w:t>por</w:t>
      </w:r>
      <w:r w:rsidRPr="00824C1F">
        <w:rPr>
          <w:rFonts w:ascii="ITC Avant Garde" w:hAnsi="ITC Avant Garde"/>
          <w:sz w:val="14"/>
          <w:szCs w:val="14"/>
          <w:lang w:eastAsia="es-MX"/>
        </w:rPr>
        <w:t xml:space="preserve"> </w:t>
      </w:r>
      <w:r w:rsidRPr="00824C1F">
        <w:rPr>
          <w:rFonts w:ascii="ITC Avant Garde" w:hAnsi="ITC Avant Garde"/>
          <w:bCs/>
          <w:sz w:val="14"/>
          <w:szCs w:val="14"/>
          <w:lang w:eastAsia="es-MX"/>
        </w:rPr>
        <w:t>unanimidad</w:t>
      </w:r>
      <w:r w:rsidRPr="00824C1F">
        <w:rPr>
          <w:rFonts w:ascii="ITC Avant Garde" w:hAnsi="ITC Avant Garde"/>
          <w:sz w:val="14"/>
          <w:szCs w:val="14"/>
          <w:lang w:eastAsia="es-MX"/>
        </w:rPr>
        <w:t xml:space="preserve"> de votos de los Comisionados Gabriel Oswaldo Contreras Saldívar, María Elena </w:t>
      </w:r>
      <w:proofErr w:type="spellStart"/>
      <w:r w:rsidRPr="00824C1F">
        <w:rPr>
          <w:rFonts w:ascii="ITC Avant Garde" w:hAnsi="ITC Avant Garde"/>
          <w:sz w:val="14"/>
          <w:szCs w:val="14"/>
          <w:lang w:eastAsia="es-MX"/>
        </w:rPr>
        <w:t>Estavillo</w:t>
      </w:r>
      <w:proofErr w:type="spellEnd"/>
      <w:r w:rsidRPr="00824C1F">
        <w:rPr>
          <w:rFonts w:ascii="ITC Avant Garde" w:hAnsi="ITC Avant Garde"/>
          <w:sz w:val="14"/>
          <w:szCs w:val="14"/>
          <w:lang w:eastAsia="es-MX"/>
        </w:rPr>
        <w:t xml:space="preserve"> Flores, Mario Germán </w:t>
      </w:r>
      <w:proofErr w:type="spellStart"/>
      <w:r w:rsidRPr="00824C1F">
        <w:rPr>
          <w:rFonts w:ascii="ITC Avant Garde" w:hAnsi="ITC Avant Garde"/>
          <w:sz w:val="14"/>
          <w:szCs w:val="14"/>
          <w:lang w:eastAsia="es-MX"/>
        </w:rPr>
        <w:t>Fromow</w:t>
      </w:r>
      <w:proofErr w:type="spellEnd"/>
      <w:r w:rsidRPr="00824C1F">
        <w:rPr>
          <w:rFonts w:ascii="ITC Avant Garde" w:hAnsi="ITC Avant Garde"/>
          <w:sz w:val="14"/>
          <w:szCs w:val="14"/>
          <w:lang w:eastAsia="es-MX"/>
        </w:rPr>
        <w:t xml:space="preserve"> Rangel, Adolfo Cuevas Teja, Javier Juárez Mojica y Arturo Robles </w:t>
      </w:r>
      <w:proofErr w:type="spellStart"/>
      <w:r w:rsidRPr="00824C1F">
        <w:rPr>
          <w:rFonts w:ascii="ITC Avant Garde" w:hAnsi="ITC Avant Garde"/>
          <w:sz w:val="14"/>
          <w:szCs w:val="14"/>
          <w:lang w:eastAsia="es-MX"/>
        </w:rPr>
        <w:t>Rovalo</w:t>
      </w:r>
      <w:proofErr w:type="spellEnd"/>
      <w:r w:rsidRPr="00824C1F">
        <w:rPr>
          <w:rFonts w:ascii="ITC Avant Garde" w:hAnsi="ITC Avant Garde"/>
          <w:sz w:val="14"/>
          <w:szCs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P/IFT/110418/250.</w:t>
      </w:r>
    </w:p>
    <w:sectPr w:rsidR="00955533" w:rsidRPr="00824C1F" w:rsidSect="00824C1F">
      <w:headerReference w:type="even" r:id="rId11"/>
      <w:footerReference w:type="default" r:id="rId12"/>
      <w:headerReference w:type="first" r:id="rId13"/>
      <w:pgSz w:w="12240" w:h="15840"/>
      <w:pgMar w:top="2268" w:right="1758" w:bottom="1985" w:left="175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8204C" w16cid:durableId="1E761C9E"/>
  <w16cid:commentId w16cid:paraId="46B7BA26" w16cid:durableId="1E761C9F"/>
  <w16cid:commentId w16cid:paraId="2AD4012D" w16cid:durableId="1E761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5899" w14:textId="77777777" w:rsidR="00E11377" w:rsidRDefault="00E11377" w:rsidP="00072BC8">
      <w:pPr>
        <w:spacing w:after="0" w:line="240" w:lineRule="auto"/>
      </w:pPr>
      <w:r>
        <w:separator/>
      </w:r>
    </w:p>
  </w:endnote>
  <w:endnote w:type="continuationSeparator" w:id="0">
    <w:p w14:paraId="24C2C68B" w14:textId="77777777" w:rsidR="00E11377" w:rsidRDefault="00E1137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854235"/>
      <w:docPartObj>
        <w:docPartGallery w:val="Page Numbers (Bottom of Page)"/>
        <w:docPartUnique/>
      </w:docPartObj>
    </w:sdtPr>
    <w:sdtEndPr/>
    <w:sdtContent>
      <w:p w14:paraId="5CCC0D4E" w14:textId="022A68BC" w:rsidR="00E11377" w:rsidRDefault="00E11377">
        <w:pPr>
          <w:pStyle w:val="Piedepgina"/>
          <w:jc w:val="right"/>
        </w:pPr>
        <w:r>
          <w:fldChar w:fldCharType="begin"/>
        </w:r>
        <w:r>
          <w:instrText>PAGE   \* MERGEFORMAT</w:instrText>
        </w:r>
        <w:r>
          <w:fldChar w:fldCharType="separate"/>
        </w:r>
        <w:r w:rsidR="000C5A29" w:rsidRPr="000C5A29">
          <w:rPr>
            <w:noProof/>
            <w:lang w:val="es-ES"/>
          </w:rPr>
          <w:t>10</w:t>
        </w:r>
        <w:r>
          <w:fldChar w:fldCharType="end"/>
        </w:r>
      </w:p>
    </w:sdtContent>
  </w:sdt>
  <w:p w14:paraId="1B275ADB" w14:textId="77777777" w:rsidR="00E11377" w:rsidRPr="00DB22C1" w:rsidRDefault="00E11377">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31A09" w14:textId="77777777" w:rsidR="00E11377" w:rsidRDefault="00E11377" w:rsidP="00072BC8">
      <w:pPr>
        <w:spacing w:after="0" w:line="240" w:lineRule="auto"/>
      </w:pPr>
      <w:r>
        <w:separator/>
      </w:r>
    </w:p>
  </w:footnote>
  <w:footnote w:type="continuationSeparator" w:id="0">
    <w:p w14:paraId="49DAC81A" w14:textId="77777777" w:rsidR="00E11377" w:rsidRDefault="00E11377"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71F1" w14:textId="77777777" w:rsidR="00E11377" w:rsidRDefault="000C5A29">
    <w:pPr>
      <w:pStyle w:val="Encabezado"/>
    </w:pPr>
    <w:r>
      <w:rPr>
        <w:noProof/>
        <w:lang w:eastAsia="es-MX"/>
      </w:rPr>
      <w:pict w14:anchorId="14AA1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4098" type="#_x0000_t75" alt="hoja membretada s dir-01"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39A8" w14:textId="77777777" w:rsidR="00E11377" w:rsidRDefault="000C5A29">
    <w:pPr>
      <w:pStyle w:val="Encabezado"/>
    </w:pPr>
    <w:r>
      <w:rPr>
        <w:noProof/>
        <w:lang w:eastAsia="es-MX"/>
      </w:rPr>
      <w:pict w14:anchorId="42A0A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4097" type="#_x0000_t75" alt="hoja membretada s dir-01" style="position:absolute;margin-left:0;margin-top:0;width:612pt;height:11in;z-index:-251659776;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31672D"/>
    <w:multiLevelType w:val="multilevel"/>
    <w:tmpl w:val="49FE056A"/>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1B4E9E"/>
    <w:multiLevelType w:val="hybridMultilevel"/>
    <w:tmpl w:val="BE067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B7263"/>
    <w:multiLevelType w:val="hybridMultilevel"/>
    <w:tmpl w:val="EAB84E2A"/>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954C46"/>
    <w:multiLevelType w:val="hybridMultilevel"/>
    <w:tmpl w:val="84C63A54"/>
    <w:lvl w:ilvl="0" w:tplc="FB7ED4D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8D2AAB"/>
    <w:multiLevelType w:val="hybridMultilevel"/>
    <w:tmpl w:val="00CCFD7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97A47AE"/>
    <w:multiLevelType w:val="hybridMultilevel"/>
    <w:tmpl w:val="A12CB93C"/>
    <w:lvl w:ilvl="0" w:tplc="D35E42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47DA8"/>
    <w:multiLevelType w:val="hybridMultilevel"/>
    <w:tmpl w:val="AE58E6E4"/>
    <w:lvl w:ilvl="0" w:tplc="08ECC596">
      <w:start w:val="153"/>
      <w:numFmt w:val="decimal"/>
      <w:lvlText w:val="%1."/>
      <w:lvlJc w:val="left"/>
      <w:pPr>
        <w:ind w:left="0" w:hanging="360"/>
      </w:pPr>
      <w:rPr>
        <w:rFonts w:hint="default"/>
        <w:b/>
      </w:rPr>
    </w:lvl>
    <w:lvl w:ilvl="1" w:tplc="0C0A0019">
      <w:start w:val="1"/>
      <w:numFmt w:val="lowerLetter"/>
      <w:lvlText w:val="%2."/>
      <w:lvlJc w:val="left"/>
      <w:pPr>
        <w:ind w:left="720" w:hanging="360"/>
      </w:p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2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BE7681"/>
    <w:multiLevelType w:val="hybridMultilevel"/>
    <w:tmpl w:val="EA043692"/>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E70EA2"/>
    <w:multiLevelType w:val="hybridMultilevel"/>
    <w:tmpl w:val="67AEDF34"/>
    <w:lvl w:ilvl="0" w:tplc="75F26170">
      <w:start w:val="1"/>
      <w:numFmt w:val="upperRoman"/>
      <w:suff w:val="nothing"/>
      <w:lvlText w:val="%1.-"/>
      <w:lvlJc w:val="left"/>
      <w:pPr>
        <w:ind w:left="7373" w:hanging="284"/>
      </w:pPr>
      <w:rPr>
        <w:rFonts w:ascii="Arial" w:hAnsi="Arial" w:hint="default"/>
        <w:b/>
        <w:i w:val="0"/>
        <w:color w:val="auto"/>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5"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E51325"/>
    <w:multiLevelType w:val="hybridMultilevel"/>
    <w:tmpl w:val="4AD67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F514816E"/>
    <w:lvl w:ilvl="0" w:tplc="BD02AF8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33"/>
  </w:num>
  <w:num w:numId="2">
    <w:abstractNumId w:val="18"/>
  </w:num>
  <w:num w:numId="3">
    <w:abstractNumId w:val="34"/>
  </w:num>
  <w:num w:numId="4">
    <w:abstractNumId w:val="0"/>
  </w:num>
  <w:num w:numId="5">
    <w:abstractNumId w:val="1"/>
  </w:num>
  <w:num w:numId="6">
    <w:abstractNumId w:val="26"/>
  </w:num>
  <w:num w:numId="7">
    <w:abstractNumId w:val="20"/>
  </w:num>
  <w:num w:numId="8">
    <w:abstractNumId w:val="32"/>
  </w:num>
  <w:num w:numId="9">
    <w:abstractNumId w:val="11"/>
  </w:num>
  <w:num w:numId="10">
    <w:abstractNumId w:val="24"/>
  </w:num>
  <w:num w:numId="11">
    <w:abstractNumId w:val="8"/>
  </w:num>
  <w:num w:numId="12">
    <w:abstractNumId w:val="36"/>
  </w:num>
  <w:num w:numId="13">
    <w:abstractNumId w:val="37"/>
  </w:num>
  <w:num w:numId="14">
    <w:abstractNumId w:val="25"/>
  </w:num>
  <w:num w:numId="15">
    <w:abstractNumId w:val="14"/>
  </w:num>
  <w:num w:numId="16">
    <w:abstractNumId w:val="23"/>
  </w:num>
  <w:num w:numId="17">
    <w:abstractNumId w:val="21"/>
  </w:num>
  <w:num w:numId="18">
    <w:abstractNumId w:val="40"/>
  </w:num>
  <w:num w:numId="19">
    <w:abstractNumId w:val="41"/>
  </w:num>
  <w:num w:numId="20">
    <w:abstractNumId w:val="38"/>
  </w:num>
  <w:num w:numId="21">
    <w:abstractNumId w:val="15"/>
  </w:num>
  <w:num w:numId="22">
    <w:abstractNumId w:val="10"/>
  </w:num>
  <w:num w:numId="23">
    <w:abstractNumId w:val="6"/>
  </w:num>
  <w:num w:numId="24">
    <w:abstractNumId w:val="29"/>
  </w:num>
  <w:num w:numId="25">
    <w:abstractNumId w:val="27"/>
  </w:num>
  <w:num w:numId="26">
    <w:abstractNumId w:val="19"/>
  </w:num>
  <w:num w:numId="27">
    <w:abstractNumId w:val="12"/>
  </w:num>
  <w:num w:numId="28">
    <w:abstractNumId w:val="9"/>
  </w:num>
  <w:num w:numId="29">
    <w:abstractNumId w:val="31"/>
  </w:num>
  <w:num w:numId="30">
    <w:abstractNumId w:val="5"/>
  </w:num>
  <w:num w:numId="31">
    <w:abstractNumId w:val="17"/>
  </w:num>
  <w:num w:numId="32">
    <w:abstractNumId w:val="2"/>
  </w:num>
  <w:num w:numId="33">
    <w:abstractNumId w:val="3"/>
  </w:num>
  <w:num w:numId="34">
    <w:abstractNumId w:val="7"/>
  </w:num>
  <w:num w:numId="35">
    <w:abstractNumId w:val="28"/>
  </w:num>
  <w:num w:numId="36">
    <w:abstractNumId w:val="13"/>
  </w:num>
  <w:num w:numId="37">
    <w:abstractNumId w:val="35"/>
  </w:num>
  <w:num w:numId="38">
    <w:abstractNumId w:val="42"/>
  </w:num>
  <w:num w:numId="39">
    <w:abstractNumId w:val="39"/>
  </w:num>
  <w:num w:numId="40">
    <w:abstractNumId w:val="30"/>
  </w:num>
  <w:num w:numId="41">
    <w:abstractNumId w:val="16"/>
  </w:num>
  <w:num w:numId="42">
    <w:abstractNumId w:val="4"/>
  </w:num>
  <w:num w:numId="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AEB"/>
    <w:rsid w:val="00001EC5"/>
    <w:rsid w:val="00002B46"/>
    <w:rsid w:val="000036B5"/>
    <w:rsid w:val="00004CF8"/>
    <w:rsid w:val="00005A46"/>
    <w:rsid w:val="00010595"/>
    <w:rsid w:val="00011447"/>
    <w:rsid w:val="00011561"/>
    <w:rsid w:val="00011680"/>
    <w:rsid w:val="000154B0"/>
    <w:rsid w:val="000163D7"/>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2DF"/>
    <w:rsid w:val="000377C2"/>
    <w:rsid w:val="000377CB"/>
    <w:rsid w:val="00037AD4"/>
    <w:rsid w:val="000414D2"/>
    <w:rsid w:val="00041B8A"/>
    <w:rsid w:val="00042E7E"/>
    <w:rsid w:val="00043036"/>
    <w:rsid w:val="00044BB8"/>
    <w:rsid w:val="000477FB"/>
    <w:rsid w:val="00047986"/>
    <w:rsid w:val="00052044"/>
    <w:rsid w:val="00052579"/>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D7D"/>
    <w:rsid w:val="00087E0C"/>
    <w:rsid w:val="00090096"/>
    <w:rsid w:val="000901D2"/>
    <w:rsid w:val="00091012"/>
    <w:rsid w:val="00091E75"/>
    <w:rsid w:val="00092A24"/>
    <w:rsid w:val="000937E4"/>
    <w:rsid w:val="00094E76"/>
    <w:rsid w:val="00095BBC"/>
    <w:rsid w:val="00096D65"/>
    <w:rsid w:val="00096FE1"/>
    <w:rsid w:val="00097822"/>
    <w:rsid w:val="000978F0"/>
    <w:rsid w:val="00097FCE"/>
    <w:rsid w:val="000A05E5"/>
    <w:rsid w:val="000A0E6D"/>
    <w:rsid w:val="000A166C"/>
    <w:rsid w:val="000A2091"/>
    <w:rsid w:val="000A22EB"/>
    <w:rsid w:val="000A29DB"/>
    <w:rsid w:val="000A2AF8"/>
    <w:rsid w:val="000A4589"/>
    <w:rsid w:val="000A50DB"/>
    <w:rsid w:val="000A5E4A"/>
    <w:rsid w:val="000A7D62"/>
    <w:rsid w:val="000B0A21"/>
    <w:rsid w:val="000B0DC1"/>
    <w:rsid w:val="000B334C"/>
    <w:rsid w:val="000B35DB"/>
    <w:rsid w:val="000B3735"/>
    <w:rsid w:val="000B4852"/>
    <w:rsid w:val="000B48AE"/>
    <w:rsid w:val="000B6473"/>
    <w:rsid w:val="000B6B78"/>
    <w:rsid w:val="000B7FC8"/>
    <w:rsid w:val="000C19AB"/>
    <w:rsid w:val="000C1F38"/>
    <w:rsid w:val="000C27E7"/>
    <w:rsid w:val="000C2B60"/>
    <w:rsid w:val="000C2CF4"/>
    <w:rsid w:val="000C324D"/>
    <w:rsid w:val="000C3F9A"/>
    <w:rsid w:val="000C47A0"/>
    <w:rsid w:val="000C4877"/>
    <w:rsid w:val="000C4A6B"/>
    <w:rsid w:val="000C4D79"/>
    <w:rsid w:val="000C539F"/>
    <w:rsid w:val="000C5A29"/>
    <w:rsid w:val="000C6697"/>
    <w:rsid w:val="000C6A74"/>
    <w:rsid w:val="000C6FC6"/>
    <w:rsid w:val="000C79DF"/>
    <w:rsid w:val="000D04CA"/>
    <w:rsid w:val="000D063B"/>
    <w:rsid w:val="000D0953"/>
    <w:rsid w:val="000D140A"/>
    <w:rsid w:val="000D1A16"/>
    <w:rsid w:val="000D1C22"/>
    <w:rsid w:val="000D30C6"/>
    <w:rsid w:val="000D32C5"/>
    <w:rsid w:val="000D4A3A"/>
    <w:rsid w:val="000D5F6A"/>
    <w:rsid w:val="000D6A88"/>
    <w:rsid w:val="000D6F52"/>
    <w:rsid w:val="000D7404"/>
    <w:rsid w:val="000E2BD4"/>
    <w:rsid w:val="000E305E"/>
    <w:rsid w:val="000E4C0A"/>
    <w:rsid w:val="000E6467"/>
    <w:rsid w:val="000E661E"/>
    <w:rsid w:val="000E6A28"/>
    <w:rsid w:val="000E6DA8"/>
    <w:rsid w:val="000E6EA4"/>
    <w:rsid w:val="000E6F53"/>
    <w:rsid w:val="000F144E"/>
    <w:rsid w:val="000F1509"/>
    <w:rsid w:val="000F21AB"/>
    <w:rsid w:val="000F2B01"/>
    <w:rsid w:val="000F3AAC"/>
    <w:rsid w:val="000F4101"/>
    <w:rsid w:val="000F48B3"/>
    <w:rsid w:val="000F5BEC"/>
    <w:rsid w:val="00101EDA"/>
    <w:rsid w:val="00102C7D"/>
    <w:rsid w:val="001034E2"/>
    <w:rsid w:val="00103FB4"/>
    <w:rsid w:val="00104C74"/>
    <w:rsid w:val="0010524D"/>
    <w:rsid w:val="00106523"/>
    <w:rsid w:val="00107A7F"/>
    <w:rsid w:val="001100CF"/>
    <w:rsid w:val="001101C8"/>
    <w:rsid w:val="0011030F"/>
    <w:rsid w:val="00111434"/>
    <w:rsid w:val="001120B4"/>
    <w:rsid w:val="00112824"/>
    <w:rsid w:val="0011309A"/>
    <w:rsid w:val="00113106"/>
    <w:rsid w:val="00113E2E"/>
    <w:rsid w:val="0011636A"/>
    <w:rsid w:val="00116976"/>
    <w:rsid w:val="00116D89"/>
    <w:rsid w:val="001175D7"/>
    <w:rsid w:val="001203BA"/>
    <w:rsid w:val="00120922"/>
    <w:rsid w:val="00120E4C"/>
    <w:rsid w:val="00121E8F"/>
    <w:rsid w:val="001226C1"/>
    <w:rsid w:val="0012304B"/>
    <w:rsid w:val="00125061"/>
    <w:rsid w:val="00125F77"/>
    <w:rsid w:val="001272DB"/>
    <w:rsid w:val="00127EB9"/>
    <w:rsid w:val="001305D6"/>
    <w:rsid w:val="001306BB"/>
    <w:rsid w:val="00130DF7"/>
    <w:rsid w:val="001318C4"/>
    <w:rsid w:val="00132D70"/>
    <w:rsid w:val="00133107"/>
    <w:rsid w:val="001335BC"/>
    <w:rsid w:val="00133CDF"/>
    <w:rsid w:val="0013466E"/>
    <w:rsid w:val="0013473E"/>
    <w:rsid w:val="00136101"/>
    <w:rsid w:val="00140E59"/>
    <w:rsid w:val="0014228B"/>
    <w:rsid w:val="0014251D"/>
    <w:rsid w:val="00144D4A"/>
    <w:rsid w:val="00147AF2"/>
    <w:rsid w:val="00147B35"/>
    <w:rsid w:val="00147E33"/>
    <w:rsid w:val="00150A05"/>
    <w:rsid w:val="001514AC"/>
    <w:rsid w:val="00153C43"/>
    <w:rsid w:val="00153C44"/>
    <w:rsid w:val="00153FA4"/>
    <w:rsid w:val="00154F47"/>
    <w:rsid w:val="001566D4"/>
    <w:rsid w:val="0015727F"/>
    <w:rsid w:val="00157BBE"/>
    <w:rsid w:val="00160FBA"/>
    <w:rsid w:val="001624C3"/>
    <w:rsid w:val="0016331C"/>
    <w:rsid w:val="00163E8A"/>
    <w:rsid w:val="0016434D"/>
    <w:rsid w:val="001659E6"/>
    <w:rsid w:val="00166B05"/>
    <w:rsid w:val="00170029"/>
    <w:rsid w:val="001709BB"/>
    <w:rsid w:val="00172834"/>
    <w:rsid w:val="00173767"/>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045"/>
    <w:rsid w:val="001A79F6"/>
    <w:rsid w:val="001A7B3A"/>
    <w:rsid w:val="001A7F98"/>
    <w:rsid w:val="001B1169"/>
    <w:rsid w:val="001B130F"/>
    <w:rsid w:val="001B33C4"/>
    <w:rsid w:val="001B395D"/>
    <w:rsid w:val="001B48C1"/>
    <w:rsid w:val="001B58A1"/>
    <w:rsid w:val="001B6768"/>
    <w:rsid w:val="001B67EF"/>
    <w:rsid w:val="001B7A8B"/>
    <w:rsid w:val="001C020F"/>
    <w:rsid w:val="001C0C35"/>
    <w:rsid w:val="001C5A3B"/>
    <w:rsid w:val="001C5A91"/>
    <w:rsid w:val="001C756D"/>
    <w:rsid w:val="001C77DD"/>
    <w:rsid w:val="001D0589"/>
    <w:rsid w:val="001D0D90"/>
    <w:rsid w:val="001D169C"/>
    <w:rsid w:val="001D2FA2"/>
    <w:rsid w:val="001D5838"/>
    <w:rsid w:val="001E0251"/>
    <w:rsid w:val="001E0D08"/>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2A1"/>
    <w:rsid w:val="0021053A"/>
    <w:rsid w:val="00210F73"/>
    <w:rsid w:val="002114BF"/>
    <w:rsid w:val="00214D9A"/>
    <w:rsid w:val="00215C44"/>
    <w:rsid w:val="00217CF8"/>
    <w:rsid w:val="00220B22"/>
    <w:rsid w:val="0022183B"/>
    <w:rsid w:val="00223B93"/>
    <w:rsid w:val="0022460D"/>
    <w:rsid w:val="00226EB0"/>
    <w:rsid w:val="0022730A"/>
    <w:rsid w:val="00231937"/>
    <w:rsid w:val="002325C3"/>
    <w:rsid w:val="0023288D"/>
    <w:rsid w:val="00233F5F"/>
    <w:rsid w:val="0023450F"/>
    <w:rsid w:val="00236930"/>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54C61"/>
    <w:rsid w:val="00254F7D"/>
    <w:rsid w:val="00256911"/>
    <w:rsid w:val="00256F29"/>
    <w:rsid w:val="00257B71"/>
    <w:rsid w:val="002626DD"/>
    <w:rsid w:val="00263859"/>
    <w:rsid w:val="002659C5"/>
    <w:rsid w:val="00266493"/>
    <w:rsid w:val="002679D7"/>
    <w:rsid w:val="0027250C"/>
    <w:rsid w:val="00272721"/>
    <w:rsid w:val="00272B28"/>
    <w:rsid w:val="00275284"/>
    <w:rsid w:val="00275EE5"/>
    <w:rsid w:val="002803B3"/>
    <w:rsid w:val="00281965"/>
    <w:rsid w:val="00282030"/>
    <w:rsid w:val="00282DC3"/>
    <w:rsid w:val="00283348"/>
    <w:rsid w:val="0028363B"/>
    <w:rsid w:val="00285020"/>
    <w:rsid w:val="0028701D"/>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5E74"/>
    <w:rsid w:val="002A7A43"/>
    <w:rsid w:val="002B20B2"/>
    <w:rsid w:val="002B2F19"/>
    <w:rsid w:val="002B32CE"/>
    <w:rsid w:val="002B4382"/>
    <w:rsid w:val="002B538E"/>
    <w:rsid w:val="002B543F"/>
    <w:rsid w:val="002B711E"/>
    <w:rsid w:val="002C05D5"/>
    <w:rsid w:val="002C12B0"/>
    <w:rsid w:val="002C21CB"/>
    <w:rsid w:val="002C2BC0"/>
    <w:rsid w:val="002C50F4"/>
    <w:rsid w:val="002C54E2"/>
    <w:rsid w:val="002C735C"/>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2F7E50"/>
    <w:rsid w:val="00301A44"/>
    <w:rsid w:val="00302363"/>
    <w:rsid w:val="00302932"/>
    <w:rsid w:val="003031D9"/>
    <w:rsid w:val="00305B3A"/>
    <w:rsid w:val="00306567"/>
    <w:rsid w:val="003073EE"/>
    <w:rsid w:val="00307639"/>
    <w:rsid w:val="00307F97"/>
    <w:rsid w:val="00310933"/>
    <w:rsid w:val="00311A21"/>
    <w:rsid w:val="0031277B"/>
    <w:rsid w:val="00313E5E"/>
    <w:rsid w:val="00315285"/>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126"/>
    <w:rsid w:val="003407A1"/>
    <w:rsid w:val="00343316"/>
    <w:rsid w:val="003471D2"/>
    <w:rsid w:val="003509E2"/>
    <w:rsid w:val="00351B83"/>
    <w:rsid w:val="00352302"/>
    <w:rsid w:val="003536FC"/>
    <w:rsid w:val="003538F5"/>
    <w:rsid w:val="00353A56"/>
    <w:rsid w:val="0035405F"/>
    <w:rsid w:val="00356263"/>
    <w:rsid w:val="0035779A"/>
    <w:rsid w:val="003577A5"/>
    <w:rsid w:val="00360A82"/>
    <w:rsid w:val="00360FFA"/>
    <w:rsid w:val="00361031"/>
    <w:rsid w:val="00361168"/>
    <w:rsid w:val="00361CDC"/>
    <w:rsid w:val="00365A3C"/>
    <w:rsid w:val="0036663C"/>
    <w:rsid w:val="00367B4C"/>
    <w:rsid w:val="00370258"/>
    <w:rsid w:val="00370542"/>
    <w:rsid w:val="00370F9A"/>
    <w:rsid w:val="003719BA"/>
    <w:rsid w:val="00373118"/>
    <w:rsid w:val="00373D57"/>
    <w:rsid w:val="00376BF1"/>
    <w:rsid w:val="00377C23"/>
    <w:rsid w:val="00383334"/>
    <w:rsid w:val="0038359B"/>
    <w:rsid w:val="00384051"/>
    <w:rsid w:val="00385515"/>
    <w:rsid w:val="00385C0C"/>
    <w:rsid w:val="00390026"/>
    <w:rsid w:val="00390CDA"/>
    <w:rsid w:val="0039193D"/>
    <w:rsid w:val="003939FF"/>
    <w:rsid w:val="00394255"/>
    <w:rsid w:val="0039446C"/>
    <w:rsid w:val="00394A6D"/>
    <w:rsid w:val="00397E75"/>
    <w:rsid w:val="003A0616"/>
    <w:rsid w:val="003A1489"/>
    <w:rsid w:val="003A1BA9"/>
    <w:rsid w:val="003A1D21"/>
    <w:rsid w:val="003A2FA7"/>
    <w:rsid w:val="003A3264"/>
    <w:rsid w:val="003A3C8A"/>
    <w:rsid w:val="003A43C1"/>
    <w:rsid w:val="003A49C5"/>
    <w:rsid w:val="003A5479"/>
    <w:rsid w:val="003A5C87"/>
    <w:rsid w:val="003A7B99"/>
    <w:rsid w:val="003A7FE8"/>
    <w:rsid w:val="003B083D"/>
    <w:rsid w:val="003B09FF"/>
    <w:rsid w:val="003B2065"/>
    <w:rsid w:val="003B3180"/>
    <w:rsid w:val="003B3FCD"/>
    <w:rsid w:val="003B4523"/>
    <w:rsid w:val="003B46D5"/>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3F7363"/>
    <w:rsid w:val="004007ED"/>
    <w:rsid w:val="00400F9A"/>
    <w:rsid w:val="0040181F"/>
    <w:rsid w:val="004027E1"/>
    <w:rsid w:val="00405520"/>
    <w:rsid w:val="0040735F"/>
    <w:rsid w:val="0040765B"/>
    <w:rsid w:val="00413744"/>
    <w:rsid w:val="00415366"/>
    <w:rsid w:val="00415AD6"/>
    <w:rsid w:val="0041760B"/>
    <w:rsid w:val="00417C54"/>
    <w:rsid w:val="00417E33"/>
    <w:rsid w:val="004203FE"/>
    <w:rsid w:val="00424AC8"/>
    <w:rsid w:val="0042597A"/>
    <w:rsid w:val="00425C7A"/>
    <w:rsid w:val="00426594"/>
    <w:rsid w:val="004265EF"/>
    <w:rsid w:val="00430EEC"/>
    <w:rsid w:val="004314EB"/>
    <w:rsid w:val="0043174E"/>
    <w:rsid w:val="00432927"/>
    <w:rsid w:val="00434B05"/>
    <w:rsid w:val="00436827"/>
    <w:rsid w:val="00436B02"/>
    <w:rsid w:val="00437335"/>
    <w:rsid w:val="00437DD2"/>
    <w:rsid w:val="00440DF7"/>
    <w:rsid w:val="00442714"/>
    <w:rsid w:val="00443A5C"/>
    <w:rsid w:val="00446FCC"/>
    <w:rsid w:val="00447777"/>
    <w:rsid w:val="00450136"/>
    <w:rsid w:val="00450698"/>
    <w:rsid w:val="004509CC"/>
    <w:rsid w:val="00450D28"/>
    <w:rsid w:val="00450F7F"/>
    <w:rsid w:val="00450FC0"/>
    <w:rsid w:val="004511A0"/>
    <w:rsid w:val="00455896"/>
    <w:rsid w:val="00455C11"/>
    <w:rsid w:val="0045681D"/>
    <w:rsid w:val="00457370"/>
    <w:rsid w:val="00457B8D"/>
    <w:rsid w:val="00457B8E"/>
    <w:rsid w:val="00457CA4"/>
    <w:rsid w:val="00460408"/>
    <w:rsid w:val="00460F82"/>
    <w:rsid w:val="004611DB"/>
    <w:rsid w:val="00461629"/>
    <w:rsid w:val="00461B5B"/>
    <w:rsid w:val="00461E94"/>
    <w:rsid w:val="00463743"/>
    <w:rsid w:val="00463A03"/>
    <w:rsid w:val="004653C4"/>
    <w:rsid w:val="00466E9A"/>
    <w:rsid w:val="004709AF"/>
    <w:rsid w:val="00471F86"/>
    <w:rsid w:val="00473F14"/>
    <w:rsid w:val="00476418"/>
    <w:rsid w:val="00481148"/>
    <w:rsid w:val="00482DF7"/>
    <w:rsid w:val="00482FDD"/>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A5FEE"/>
    <w:rsid w:val="004B1184"/>
    <w:rsid w:val="004B7269"/>
    <w:rsid w:val="004C04C8"/>
    <w:rsid w:val="004C290A"/>
    <w:rsid w:val="004C3956"/>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0789"/>
    <w:rsid w:val="0051108D"/>
    <w:rsid w:val="005112D1"/>
    <w:rsid w:val="0051181D"/>
    <w:rsid w:val="005120CD"/>
    <w:rsid w:val="00513122"/>
    <w:rsid w:val="0051432C"/>
    <w:rsid w:val="0051488F"/>
    <w:rsid w:val="005149F5"/>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771"/>
    <w:rsid w:val="00537EAE"/>
    <w:rsid w:val="005406C4"/>
    <w:rsid w:val="00543D44"/>
    <w:rsid w:val="0054490A"/>
    <w:rsid w:val="0054738F"/>
    <w:rsid w:val="00550904"/>
    <w:rsid w:val="005511F4"/>
    <w:rsid w:val="00554EFC"/>
    <w:rsid w:val="00556985"/>
    <w:rsid w:val="00557E14"/>
    <w:rsid w:val="005603B9"/>
    <w:rsid w:val="005616D1"/>
    <w:rsid w:val="00561E24"/>
    <w:rsid w:val="00563BF8"/>
    <w:rsid w:val="00563F87"/>
    <w:rsid w:val="0056638E"/>
    <w:rsid w:val="0056671C"/>
    <w:rsid w:val="00566B41"/>
    <w:rsid w:val="00567BE7"/>
    <w:rsid w:val="00567FDE"/>
    <w:rsid w:val="005701F5"/>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3D49"/>
    <w:rsid w:val="005A55FF"/>
    <w:rsid w:val="005A6024"/>
    <w:rsid w:val="005A71F5"/>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709D"/>
    <w:rsid w:val="005D723B"/>
    <w:rsid w:val="005D7585"/>
    <w:rsid w:val="005E2570"/>
    <w:rsid w:val="005E2666"/>
    <w:rsid w:val="005E3257"/>
    <w:rsid w:val="005E3BAE"/>
    <w:rsid w:val="005E55D1"/>
    <w:rsid w:val="005E59FF"/>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6E56"/>
    <w:rsid w:val="00617D3E"/>
    <w:rsid w:val="00620F74"/>
    <w:rsid w:val="00621B17"/>
    <w:rsid w:val="006222EF"/>
    <w:rsid w:val="00623521"/>
    <w:rsid w:val="006247D2"/>
    <w:rsid w:val="00625030"/>
    <w:rsid w:val="006259FF"/>
    <w:rsid w:val="00625D13"/>
    <w:rsid w:val="00631D55"/>
    <w:rsid w:val="00633E3E"/>
    <w:rsid w:val="00634F7D"/>
    <w:rsid w:val="00635D9B"/>
    <w:rsid w:val="00636A4E"/>
    <w:rsid w:val="00637AA1"/>
    <w:rsid w:val="00637C82"/>
    <w:rsid w:val="00640A10"/>
    <w:rsid w:val="00640D6D"/>
    <w:rsid w:val="00640D86"/>
    <w:rsid w:val="00641BAE"/>
    <w:rsid w:val="00642729"/>
    <w:rsid w:val="00642DA1"/>
    <w:rsid w:val="006432EB"/>
    <w:rsid w:val="00644742"/>
    <w:rsid w:val="00644C80"/>
    <w:rsid w:val="00644D33"/>
    <w:rsid w:val="006451F4"/>
    <w:rsid w:val="00645733"/>
    <w:rsid w:val="00645AC6"/>
    <w:rsid w:val="00646BCE"/>
    <w:rsid w:val="00646E5B"/>
    <w:rsid w:val="00647A0C"/>
    <w:rsid w:val="00650A16"/>
    <w:rsid w:val="00650FBB"/>
    <w:rsid w:val="0065157E"/>
    <w:rsid w:val="00653AA8"/>
    <w:rsid w:val="00654A1E"/>
    <w:rsid w:val="00654BF8"/>
    <w:rsid w:val="00654EC5"/>
    <w:rsid w:val="00655AD8"/>
    <w:rsid w:val="00656863"/>
    <w:rsid w:val="00656F26"/>
    <w:rsid w:val="006575ED"/>
    <w:rsid w:val="0065777D"/>
    <w:rsid w:val="006617FD"/>
    <w:rsid w:val="00663108"/>
    <w:rsid w:val="00663124"/>
    <w:rsid w:val="00663F7D"/>
    <w:rsid w:val="006659FA"/>
    <w:rsid w:val="00665C0E"/>
    <w:rsid w:val="00666A7A"/>
    <w:rsid w:val="00673A58"/>
    <w:rsid w:val="00674E6D"/>
    <w:rsid w:val="00674FBD"/>
    <w:rsid w:val="00675562"/>
    <w:rsid w:val="00676A1B"/>
    <w:rsid w:val="00677524"/>
    <w:rsid w:val="006829BE"/>
    <w:rsid w:val="006842B5"/>
    <w:rsid w:val="00684443"/>
    <w:rsid w:val="006858B0"/>
    <w:rsid w:val="00685C8E"/>
    <w:rsid w:val="00685CA2"/>
    <w:rsid w:val="00685E34"/>
    <w:rsid w:val="00687B5F"/>
    <w:rsid w:val="00690651"/>
    <w:rsid w:val="00691B5A"/>
    <w:rsid w:val="00691DB5"/>
    <w:rsid w:val="00692096"/>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512"/>
    <w:rsid w:val="006C3B66"/>
    <w:rsid w:val="006C64FC"/>
    <w:rsid w:val="006D03D1"/>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5707"/>
    <w:rsid w:val="006F6A8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37A1F"/>
    <w:rsid w:val="00741CD1"/>
    <w:rsid w:val="007422A3"/>
    <w:rsid w:val="00742557"/>
    <w:rsid w:val="007427F8"/>
    <w:rsid w:val="00742FAF"/>
    <w:rsid w:val="00743530"/>
    <w:rsid w:val="0074370A"/>
    <w:rsid w:val="0074416D"/>
    <w:rsid w:val="0074542F"/>
    <w:rsid w:val="00750659"/>
    <w:rsid w:val="007509AE"/>
    <w:rsid w:val="00753E5C"/>
    <w:rsid w:val="00754FD1"/>
    <w:rsid w:val="00755E7D"/>
    <w:rsid w:val="00761C83"/>
    <w:rsid w:val="00763D2A"/>
    <w:rsid w:val="00763E68"/>
    <w:rsid w:val="00764618"/>
    <w:rsid w:val="007660DB"/>
    <w:rsid w:val="007711CF"/>
    <w:rsid w:val="00773679"/>
    <w:rsid w:val="00773807"/>
    <w:rsid w:val="00773887"/>
    <w:rsid w:val="007759EF"/>
    <w:rsid w:val="00775BE7"/>
    <w:rsid w:val="0077601E"/>
    <w:rsid w:val="007761CB"/>
    <w:rsid w:val="0077684D"/>
    <w:rsid w:val="00776CDC"/>
    <w:rsid w:val="00780562"/>
    <w:rsid w:val="00781ED0"/>
    <w:rsid w:val="00781F67"/>
    <w:rsid w:val="00782DA8"/>
    <w:rsid w:val="00784C7E"/>
    <w:rsid w:val="00785CB9"/>
    <w:rsid w:val="007902F7"/>
    <w:rsid w:val="00791448"/>
    <w:rsid w:val="0079173B"/>
    <w:rsid w:val="00795AF2"/>
    <w:rsid w:val="007964DF"/>
    <w:rsid w:val="00796567"/>
    <w:rsid w:val="007965D4"/>
    <w:rsid w:val="007977EA"/>
    <w:rsid w:val="00797958"/>
    <w:rsid w:val="007A0F2F"/>
    <w:rsid w:val="007A0F7D"/>
    <w:rsid w:val="007A2313"/>
    <w:rsid w:val="007A43DC"/>
    <w:rsid w:val="007A6263"/>
    <w:rsid w:val="007A7742"/>
    <w:rsid w:val="007B0516"/>
    <w:rsid w:val="007B1C84"/>
    <w:rsid w:val="007B2A2F"/>
    <w:rsid w:val="007B3CE5"/>
    <w:rsid w:val="007B613D"/>
    <w:rsid w:val="007C02DF"/>
    <w:rsid w:val="007C1FE2"/>
    <w:rsid w:val="007C1FFB"/>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2889"/>
    <w:rsid w:val="007F3DB0"/>
    <w:rsid w:val="007F4187"/>
    <w:rsid w:val="007F4C22"/>
    <w:rsid w:val="007F6785"/>
    <w:rsid w:val="00800247"/>
    <w:rsid w:val="008019C0"/>
    <w:rsid w:val="00801C4D"/>
    <w:rsid w:val="00802115"/>
    <w:rsid w:val="0080307E"/>
    <w:rsid w:val="00803153"/>
    <w:rsid w:val="008035E9"/>
    <w:rsid w:val="00803801"/>
    <w:rsid w:val="008058D7"/>
    <w:rsid w:val="00810133"/>
    <w:rsid w:val="0081246E"/>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4C1F"/>
    <w:rsid w:val="00826BE0"/>
    <w:rsid w:val="0083159A"/>
    <w:rsid w:val="0083195E"/>
    <w:rsid w:val="00832075"/>
    <w:rsid w:val="00832979"/>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7645D"/>
    <w:rsid w:val="00880192"/>
    <w:rsid w:val="008814D3"/>
    <w:rsid w:val="00883BE7"/>
    <w:rsid w:val="0088423D"/>
    <w:rsid w:val="008871BE"/>
    <w:rsid w:val="008913A3"/>
    <w:rsid w:val="00892BAB"/>
    <w:rsid w:val="0089433F"/>
    <w:rsid w:val="00895C16"/>
    <w:rsid w:val="00895E8C"/>
    <w:rsid w:val="00896366"/>
    <w:rsid w:val="00896630"/>
    <w:rsid w:val="008A0208"/>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B5D"/>
    <w:rsid w:val="008F1F51"/>
    <w:rsid w:val="008F27BA"/>
    <w:rsid w:val="008F2F37"/>
    <w:rsid w:val="008F33F6"/>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269CE"/>
    <w:rsid w:val="00927D99"/>
    <w:rsid w:val="00930549"/>
    <w:rsid w:val="00930964"/>
    <w:rsid w:val="00931F49"/>
    <w:rsid w:val="009335DB"/>
    <w:rsid w:val="00934DD7"/>
    <w:rsid w:val="009360BF"/>
    <w:rsid w:val="009367D6"/>
    <w:rsid w:val="009368CE"/>
    <w:rsid w:val="009375B7"/>
    <w:rsid w:val="00937F0D"/>
    <w:rsid w:val="0094022B"/>
    <w:rsid w:val="00941BB9"/>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59B3"/>
    <w:rsid w:val="0095633D"/>
    <w:rsid w:val="0095673F"/>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5BCF"/>
    <w:rsid w:val="009A658C"/>
    <w:rsid w:val="009B07DB"/>
    <w:rsid w:val="009B088D"/>
    <w:rsid w:val="009B0D32"/>
    <w:rsid w:val="009B15B1"/>
    <w:rsid w:val="009B4EBE"/>
    <w:rsid w:val="009B4EF5"/>
    <w:rsid w:val="009B5967"/>
    <w:rsid w:val="009B63A8"/>
    <w:rsid w:val="009B67B9"/>
    <w:rsid w:val="009B7766"/>
    <w:rsid w:val="009B7E3F"/>
    <w:rsid w:val="009C281B"/>
    <w:rsid w:val="009C307B"/>
    <w:rsid w:val="009C3918"/>
    <w:rsid w:val="009C5BB5"/>
    <w:rsid w:val="009D02B5"/>
    <w:rsid w:val="009D0466"/>
    <w:rsid w:val="009D0C9B"/>
    <w:rsid w:val="009D2077"/>
    <w:rsid w:val="009D337F"/>
    <w:rsid w:val="009D368F"/>
    <w:rsid w:val="009D3E31"/>
    <w:rsid w:val="009D438F"/>
    <w:rsid w:val="009D5A07"/>
    <w:rsid w:val="009D62C1"/>
    <w:rsid w:val="009D67C2"/>
    <w:rsid w:val="009D765C"/>
    <w:rsid w:val="009D78CF"/>
    <w:rsid w:val="009D7D03"/>
    <w:rsid w:val="009E3D7D"/>
    <w:rsid w:val="009E4A70"/>
    <w:rsid w:val="009E60FD"/>
    <w:rsid w:val="009E65BF"/>
    <w:rsid w:val="009E665D"/>
    <w:rsid w:val="009E6976"/>
    <w:rsid w:val="009E6A4B"/>
    <w:rsid w:val="009E766C"/>
    <w:rsid w:val="009F163B"/>
    <w:rsid w:val="009F23FB"/>
    <w:rsid w:val="009F3709"/>
    <w:rsid w:val="009F3D3D"/>
    <w:rsid w:val="009F49C0"/>
    <w:rsid w:val="009F6E19"/>
    <w:rsid w:val="00A004AD"/>
    <w:rsid w:val="00A00B20"/>
    <w:rsid w:val="00A01830"/>
    <w:rsid w:val="00A03FBA"/>
    <w:rsid w:val="00A04894"/>
    <w:rsid w:val="00A06D46"/>
    <w:rsid w:val="00A06D8A"/>
    <w:rsid w:val="00A06F44"/>
    <w:rsid w:val="00A0721E"/>
    <w:rsid w:val="00A074BC"/>
    <w:rsid w:val="00A13DB3"/>
    <w:rsid w:val="00A144E9"/>
    <w:rsid w:val="00A1540A"/>
    <w:rsid w:val="00A17918"/>
    <w:rsid w:val="00A202B6"/>
    <w:rsid w:val="00A20403"/>
    <w:rsid w:val="00A22B97"/>
    <w:rsid w:val="00A22DFC"/>
    <w:rsid w:val="00A22F88"/>
    <w:rsid w:val="00A2333F"/>
    <w:rsid w:val="00A25873"/>
    <w:rsid w:val="00A258E3"/>
    <w:rsid w:val="00A25BED"/>
    <w:rsid w:val="00A26A82"/>
    <w:rsid w:val="00A3082A"/>
    <w:rsid w:val="00A30B0E"/>
    <w:rsid w:val="00A30C74"/>
    <w:rsid w:val="00A31178"/>
    <w:rsid w:val="00A31649"/>
    <w:rsid w:val="00A330A2"/>
    <w:rsid w:val="00A33134"/>
    <w:rsid w:val="00A352C8"/>
    <w:rsid w:val="00A36073"/>
    <w:rsid w:val="00A4017F"/>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AC1"/>
    <w:rsid w:val="00A64CFA"/>
    <w:rsid w:val="00A66049"/>
    <w:rsid w:val="00A67924"/>
    <w:rsid w:val="00A70124"/>
    <w:rsid w:val="00A73BF8"/>
    <w:rsid w:val="00A7512D"/>
    <w:rsid w:val="00A76511"/>
    <w:rsid w:val="00A76B69"/>
    <w:rsid w:val="00A76DF5"/>
    <w:rsid w:val="00A7763C"/>
    <w:rsid w:val="00A77EE0"/>
    <w:rsid w:val="00A815BD"/>
    <w:rsid w:val="00A8213D"/>
    <w:rsid w:val="00A8499D"/>
    <w:rsid w:val="00A84C0E"/>
    <w:rsid w:val="00A850C1"/>
    <w:rsid w:val="00A851FC"/>
    <w:rsid w:val="00A86A0C"/>
    <w:rsid w:val="00A86E00"/>
    <w:rsid w:val="00A87735"/>
    <w:rsid w:val="00A90326"/>
    <w:rsid w:val="00A90D43"/>
    <w:rsid w:val="00A91D02"/>
    <w:rsid w:val="00A91F6F"/>
    <w:rsid w:val="00A92C7B"/>
    <w:rsid w:val="00A92E0D"/>
    <w:rsid w:val="00A95021"/>
    <w:rsid w:val="00A95361"/>
    <w:rsid w:val="00AA1914"/>
    <w:rsid w:val="00AA270E"/>
    <w:rsid w:val="00AA6A37"/>
    <w:rsid w:val="00AA7356"/>
    <w:rsid w:val="00AB015C"/>
    <w:rsid w:val="00AB04AF"/>
    <w:rsid w:val="00AB2257"/>
    <w:rsid w:val="00AB229C"/>
    <w:rsid w:val="00AB36F9"/>
    <w:rsid w:val="00AB3AFA"/>
    <w:rsid w:val="00AB3E3E"/>
    <w:rsid w:val="00AB5806"/>
    <w:rsid w:val="00AB66F6"/>
    <w:rsid w:val="00AB79E4"/>
    <w:rsid w:val="00AB7BD4"/>
    <w:rsid w:val="00AC035E"/>
    <w:rsid w:val="00AC04A2"/>
    <w:rsid w:val="00AC289A"/>
    <w:rsid w:val="00AC2B91"/>
    <w:rsid w:val="00AC30E6"/>
    <w:rsid w:val="00AC3E75"/>
    <w:rsid w:val="00AC5611"/>
    <w:rsid w:val="00AC7E9C"/>
    <w:rsid w:val="00AD0379"/>
    <w:rsid w:val="00AD0C43"/>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00"/>
    <w:rsid w:val="00AE4963"/>
    <w:rsid w:val="00AE4ABE"/>
    <w:rsid w:val="00AE51E1"/>
    <w:rsid w:val="00AE60CE"/>
    <w:rsid w:val="00AE6C5F"/>
    <w:rsid w:val="00AF0586"/>
    <w:rsid w:val="00AF07EB"/>
    <w:rsid w:val="00AF0992"/>
    <w:rsid w:val="00AF14D2"/>
    <w:rsid w:val="00AF2315"/>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3986"/>
    <w:rsid w:val="00B34DDA"/>
    <w:rsid w:val="00B35558"/>
    <w:rsid w:val="00B35CC7"/>
    <w:rsid w:val="00B35EE2"/>
    <w:rsid w:val="00B36640"/>
    <w:rsid w:val="00B36CC4"/>
    <w:rsid w:val="00B37432"/>
    <w:rsid w:val="00B41EFF"/>
    <w:rsid w:val="00B41F21"/>
    <w:rsid w:val="00B433F1"/>
    <w:rsid w:val="00B44A7F"/>
    <w:rsid w:val="00B44E80"/>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5577"/>
    <w:rsid w:val="00B67744"/>
    <w:rsid w:val="00B703B6"/>
    <w:rsid w:val="00B726DA"/>
    <w:rsid w:val="00B7617B"/>
    <w:rsid w:val="00B761D6"/>
    <w:rsid w:val="00B763E3"/>
    <w:rsid w:val="00B80067"/>
    <w:rsid w:val="00B8167B"/>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0AB6"/>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89E"/>
    <w:rsid w:val="00BF1CFD"/>
    <w:rsid w:val="00BF30D8"/>
    <w:rsid w:val="00BF55ED"/>
    <w:rsid w:val="00BF571E"/>
    <w:rsid w:val="00BF61D7"/>
    <w:rsid w:val="00BF65AD"/>
    <w:rsid w:val="00BF6785"/>
    <w:rsid w:val="00C00AAD"/>
    <w:rsid w:val="00C00B59"/>
    <w:rsid w:val="00C00B7C"/>
    <w:rsid w:val="00C05F42"/>
    <w:rsid w:val="00C061C1"/>
    <w:rsid w:val="00C06FCF"/>
    <w:rsid w:val="00C0737E"/>
    <w:rsid w:val="00C07A78"/>
    <w:rsid w:val="00C10CEC"/>
    <w:rsid w:val="00C121DE"/>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32D78"/>
    <w:rsid w:val="00C40381"/>
    <w:rsid w:val="00C41ADF"/>
    <w:rsid w:val="00C42477"/>
    <w:rsid w:val="00C43215"/>
    <w:rsid w:val="00C4383C"/>
    <w:rsid w:val="00C43A66"/>
    <w:rsid w:val="00C453DA"/>
    <w:rsid w:val="00C46CFD"/>
    <w:rsid w:val="00C524A0"/>
    <w:rsid w:val="00C54025"/>
    <w:rsid w:val="00C555D2"/>
    <w:rsid w:val="00C57D73"/>
    <w:rsid w:val="00C62307"/>
    <w:rsid w:val="00C63840"/>
    <w:rsid w:val="00C638BC"/>
    <w:rsid w:val="00C639E3"/>
    <w:rsid w:val="00C640EB"/>
    <w:rsid w:val="00C65893"/>
    <w:rsid w:val="00C65B3C"/>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1EF2"/>
    <w:rsid w:val="00C8323C"/>
    <w:rsid w:val="00C84779"/>
    <w:rsid w:val="00C84AAA"/>
    <w:rsid w:val="00C852BF"/>
    <w:rsid w:val="00C85B0E"/>
    <w:rsid w:val="00C86AF5"/>
    <w:rsid w:val="00C90862"/>
    <w:rsid w:val="00C92C0A"/>
    <w:rsid w:val="00C92EBC"/>
    <w:rsid w:val="00C93805"/>
    <w:rsid w:val="00C94B0E"/>
    <w:rsid w:val="00C9549E"/>
    <w:rsid w:val="00C95652"/>
    <w:rsid w:val="00C95888"/>
    <w:rsid w:val="00CA02D1"/>
    <w:rsid w:val="00CA04CA"/>
    <w:rsid w:val="00CA1B60"/>
    <w:rsid w:val="00CA490C"/>
    <w:rsid w:val="00CA4C86"/>
    <w:rsid w:val="00CA4DFD"/>
    <w:rsid w:val="00CA5F40"/>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275"/>
    <w:rsid w:val="00CC7A9E"/>
    <w:rsid w:val="00CD0EB4"/>
    <w:rsid w:val="00CD2E71"/>
    <w:rsid w:val="00CD330D"/>
    <w:rsid w:val="00CD3AF0"/>
    <w:rsid w:val="00CD46BA"/>
    <w:rsid w:val="00CD663D"/>
    <w:rsid w:val="00CD6E9F"/>
    <w:rsid w:val="00CD74E9"/>
    <w:rsid w:val="00CD7772"/>
    <w:rsid w:val="00CD7AAC"/>
    <w:rsid w:val="00CD7BAD"/>
    <w:rsid w:val="00CD7BFE"/>
    <w:rsid w:val="00CE0199"/>
    <w:rsid w:val="00CE05CA"/>
    <w:rsid w:val="00CE1F04"/>
    <w:rsid w:val="00CE2304"/>
    <w:rsid w:val="00CE24E9"/>
    <w:rsid w:val="00CE51BA"/>
    <w:rsid w:val="00CE712C"/>
    <w:rsid w:val="00CE788F"/>
    <w:rsid w:val="00CF047B"/>
    <w:rsid w:val="00CF09B7"/>
    <w:rsid w:val="00CF35D8"/>
    <w:rsid w:val="00CF671E"/>
    <w:rsid w:val="00CF6E47"/>
    <w:rsid w:val="00D0096C"/>
    <w:rsid w:val="00D0142E"/>
    <w:rsid w:val="00D02459"/>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366D"/>
    <w:rsid w:val="00D2553A"/>
    <w:rsid w:val="00D25575"/>
    <w:rsid w:val="00D25CA6"/>
    <w:rsid w:val="00D26E54"/>
    <w:rsid w:val="00D27358"/>
    <w:rsid w:val="00D31069"/>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56B62"/>
    <w:rsid w:val="00D600BA"/>
    <w:rsid w:val="00D607EA"/>
    <w:rsid w:val="00D62D38"/>
    <w:rsid w:val="00D637C7"/>
    <w:rsid w:val="00D67DF2"/>
    <w:rsid w:val="00D73861"/>
    <w:rsid w:val="00D74F1B"/>
    <w:rsid w:val="00D75307"/>
    <w:rsid w:val="00D7666F"/>
    <w:rsid w:val="00D76F7A"/>
    <w:rsid w:val="00D80268"/>
    <w:rsid w:val="00D80891"/>
    <w:rsid w:val="00D80B2F"/>
    <w:rsid w:val="00D8186B"/>
    <w:rsid w:val="00D8520D"/>
    <w:rsid w:val="00D85766"/>
    <w:rsid w:val="00D85CE3"/>
    <w:rsid w:val="00D862E4"/>
    <w:rsid w:val="00D8670A"/>
    <w:rsid w:val="00D877B4"/>
    <w:rsid w:val="00D94FDF"/>
    <w:rsid w:val="00D95B28"/>
    <w:rsid w:val="00D96107"/>
    <w:rsid w:val="00D97E2E"/>
    <w:rsid w:val="00D97EEC"/>
    <w:rsid w:val="00DA12E5"/>
    <w:rsid w:val="00DA1E5E"/>
    <w:rsid w:val="00DA20FD"/>
    <w:rsid w:val="00DA344F"/>
    <w:rsid w:val="00DA49D9"/>
    <w:rsid w:val="00DA4F05"/>
    <w:rsid w:val="00DB1610"/>
    <w:rsid w:val="00DB22C1"/>
    <w:rsid w:val="00DB41AC"/>
    <w:rsid w:val="00DB57A5"/>
    <w:rsid w:val="00DB6943"/>
    <w:rsid w:val="00DC08AF"/>
    <w:rsid w:val="00DC3AD1"/>
    <w:rsid w:val="00DC4682"/>
    <w:rsid w:val="00DC4719"/>
    <w:rsid w:val="00DC5789"/>
    <w:rsid w:val="00DC5DF9"/>
    <w:rsid w:val="00DC7E6C"/>
    <w:rsid w:val="00DD1A4D"/>
    <w:rsid w:val="00DD24C3"/>
    <w:rsid w:val="00DD38BA"/>
    <w:rsid w:val="00DD42C1"/>
    <w:rsid w:val="00DD5863"/>
    <w:rsid w:val="00DD60CF"/>
    <w:rsid w:val="00DD7F1E"/>
    <w:rsid w:val="00DE0260"/>
    <w:rsid w:val="00DE2956"/>
    <w:rsid w:val="00DE4BFC"/>
    <w:rsid w:val="00DE60BA"/>
    <w:rsid w:val="00DE6F07"/>
    <w:rsid w:val="00DE7035"/>
    <w:rsid w:val="00DE779B"/>
    <w:rsid w:val="00DF0EDB"/>
    <w:rsid w:val="00DF0FA4"/>
    <w:rsid w:val="00DF1595"/>
    <w:rsid w:val="00DF202B"/>
    <w:rsid w:val="00DF3952"/>
    <w:rsid w:val="00DF5226"/>
    <w:rsid w:val="00DF5BCF"/>
    <w:rsid w:val="00DF6664"/>
    <w:rsid w:val="00DF6AD5"/>
    <w:rsid w:val="00DF7E3B"/>
    <w:rsid w:val="00E011C0"/>
    <w:rsid w:val="00E02220"/>
    <w:rsid w:val="00E03E63"/>
    <w:rsid w:val="00E05FD7"/>
    <w:rsid w:val="00E06A0B"/>
    <w:rsid w:val="00E11377"/>
    <w:rsid w:val="00E11C12"/>
    <w:rsid w:val="00E126B4"/>
    <w:rsid w:val="00E12BAC"/>
    <w:rsid w:val="00E135BC"/>
    <w:rsid w:val="00E13DEC"/>
    <w:rsid w:val="00E14E27"/>
    <w:rsid w:val="00E153F3"/>
    <w:rsid w:val="00E15463"/>
    <w:rsid w:val="00E17263"/>
    <w:rsid w:val="00E17EBB"/>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3CA4"/>
    <w:rsid w:val="00E6488C"/>
    <w:rsid w:val="00E64ECA"/>
    <w:rsid w:val="00E66EB6"/>
    <w:rsid w:val="00E70613"/>
    <w:rsid w:val="00E711D6"/>
    <w:rsid w:val="00E717C8"/>
    <w:rsid w:val="00E72855"/>
    <w:rsid w:val="00E729CA"/>
    <w:rsid w:val="00E732A9"/>
    <w:rsid w:val="00E747B2"/>
    <w:rsid w:val="00E7493A"/>
    <w:rsid w:val="00E74A01"/>
    <w:rsid w:val="00E75FE0"/>
    <w:rsid w:val="00E77D14"/>
    <w:rsid w:val="00E810F9"/>
    <w:rsid w:val="00E81A0D"/>
    <w:rsid w:val="00E82039"/>
    <w:rsid w:val="00E82AE2"/>
    <w:rsid w:val="00E8329C"/>
    <w:rsid w:val="00E8371E"/>
    <w:rsid w:val="00E84AE6"/>
    <w:rsid w:val="00E908F1"/>
    <w:rsid w:val="00E90F04"/>
    <w:rsid w:val="00E91A57"/>
    <w:rsid w:val="00E92316"/>
    <w:rsid w:val="00E92352"/>
    <w:rsid w:val="00E927CA"/>
    <w:rsid w:val="00E93740"/>
    <w:rsid w:val="00E9396E"/>
    <w:rsid w:val="00E95170"/>
    <w:rsid w:val="00E96C61"/>
    <w:rsid w:val="00EA03CA"/>
    <w:rsid w:val="00EA11D9"/>
    <w:rsid w:val="00EA2750"/>
    <w:rsid w:val="00EA49AC"/>
    <w:rsid w:val="00EA5E80"/>
    <w:rsid w:val="00EA6FA7"/>
    <w:rsid w:val="00EA7155"/>
    <w:rsid w:val="00EB0C06"/>
    <w:rsid w:val="00EB0FE3"/>
    <w:rsid w:val="00EB10A1"/>
    <w:rsid w:val="00EB1811"/>
    <w:rsid w:val="00EB1B1F"/>
    <w:rsid w:val="00EB23C0"/>
    <w:rsid w:val="00EB2FD9"/>
    <w:rsid w:val="00EB61CB"/>
    <w:rsid w:val="00EB67FA"/>
    <w:rsid w:val="00EB70BE"/>
    <w:rsid w:val="00EC0F49"/>
    <w:rsid w:val="00EC176A"/>
    <w:rsid w:val="00EC2F8C"/>
    <w:rsid w:val="00EC459B"/>
    <w:rsid w:val="00EC4DE5"/>
    <w:rsid w:val="00EC4E55"/>
    <w:rsid w:val="00EC575C"/>
    <w:rsid w:val="00EC5D5F"/>
    <w:rsid w:val="00EC6F4A"/>
    <w:rsid w:val="00EC7A10"/>
    <w:rsid w:val="00EC7F68"/>
    <w:rsid w:val="00ED018D"/>
    <w:rsid w:val="00ED09B5"/>
    <w:rsid w:val="00ED0F5F"/>
    <w:rsid w:val="00ED1630"/>
    <w:rsid w:val="00ED1E15"/>
    <w:rsid w:val="00ED30B4"/>
    <w:rsid w:val="00ED312D"/>
    <w:rsid w:val="00ED4DAA"/>
    <w:rsid w:val="00ED7BAF"/>
    <w:rsid w:val="00EE2ACA"/>
    <w:rsid w:val="00EE307C"/>
    <w:rsid w:val="00EE3AFF"/>
    <w:rsid w:val="00EE4046"/>
    <w:rsid w:val="00EE47D1"/>
    <w:rsid w:val="00EE5852"/>
    <w:rsid w:val="00EE5B70"/>
    <w:rsid w:val="00EE77C6"/>
    <w:rsid w:val="00EE7C64"/>
    <w:rsid w:val="00EF1077"/>
    <w:rsid w:val="00EF17C0"/>
    <w:rsid w:val="00EF2BE3"/>
    <w:rsid w:val="00EF4E23"/>
    <w:rsid w:val="00EF4F8B"/>
    <w:rsid w:val="00EF5847"/>
    <w:rsid w:val="00F00A30"/>
    <w:rsid w:val="00F03508"/>
    <w:rsid w:val="00F06CCE"/>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1BDE"/>
    <w:rsid w:val="00F529F7"/>
    <w:rsid w:val="00F52B88"/>
    <w:rsid w:val="00F530AF"/>
    <w:rsid w:val="00F54259"/>
    <w:rsid w:val="00F5549D"/>
    <w:rsid w:val="00F5779D"/>
    <w:rsid w:val="00F57E3C"/>
    <w:rsid w:val="00F61165"/>
    <w:rsid w:val="00F62BDB"/>
    <w:rsid w:val="00F63A59"/>
    <w:rsid w:val="00F65314"/>
    <w:rsid w:val="00F66920"/>
    <w:rsid w:val="00F66FD9"/>
    <w:rsid w:val="00F6778F"/>
    <w:rsid w:val="00F67A5C"/>
    <w:rsid w:val="00F70B4C"/>
    <w:rsid w:val="00F71EA0"/>
    <w:rsid w:val="00F728DF"/>
    <w:rsid w:val="00F73879"/>
    <w:rsid w:val="00F74E67"/>
    <w:rsid w:val="00F75B76"/>
    <w:rsid w:val="00F77445"/>
    <w:rsid w:val="00F80F2F"/>
    <w:rsid w:val="00F810FB"/>
    <w:rsid w:val="00F8187C"/>
    <w:rsid w:val="00F86A86"/>
    <w:rsid w:val="00F878AE"/>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2568"/>
    <w:rsid w:val="00FB2DD4"/>
    <w:rsid w:val="00FB3FFB"/>
    <w:rsid w:val="00FB4D4E"/>
    <w:rsid w:val="00FB6E11"/>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3F07"/>
    <w:rsid w:val="00FD5D0E"/>
    <w:rsid w:val="00FD6184"/>
    <w:rsid w:val="00FD6A9F"/>
    <w:rsid w:val="00FE1171"/>
    <w:rsid w:val="00FE2046"/>
    <w:rsid w:val="00FE291F"/>
    <w:rsid w:val="00FE3050"/>
    <w:rsid w:val="00FE3503"/>
    <w:rsid w:val="00FE50BF"/>
    <w:rsid w:val="00FE525C"/>
    <w:rsid w:val="00FE5895"/>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0A3BDD7"/>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119096">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9836347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695224239">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78BE-4A64-43FD-A67F-BD7529E47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11E8CA0F-B28A-4276-95E6-055FAD0A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3881</Words>
  <Characters>21348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Mario Alonso Cruz</cp:lastModifiedBy>
  <cp:revision>4</cp:revision>
  <cp:lastPrinted>2016-02-24T23:00:00Z</cp:lastPrinted>
  <dcterms:created xsi:type="dcterms:W3CDTF">2018-04-16T16:28:00Z</dcterms:created>
  <dcterms:modified xsi:type="dcterms:W3CDTF">2018-05-02T15:18:00Z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296700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