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DCE02" w14:textId="77777777" w:rsidR="00D9584D" w:rsidRPr="00D9584D" w:rsidRDefault="00C14C2D" w:rsidP="00D9584D">
      <w:pPr>
        <w:pStyle w:val="Ttulo1"/>
        <w:keepLines/>
        <w:spacing w:after="360" w:line="276" w:lineRule="auto"/>
        <w:jc w:val="both"/>
        <w:rPr>
          <w:rFonts w:ascii="ITC Avant Garde" w:hAnsi="ITC Avant Garde" w:cstheme="majorBidi"/>
          <w:color w:val="000000" w:themeColor="text1"/>
          <w:sz w:val="22"/>
          <w:szCs w:val="22"/>
          <w:lang w:val="es-ES_tradnl"/>
        </w:rPr>
      </w:pPr>
      <w:r w:rsidRPr="00D9584D">
        <w:rPr>
          <w:rFonts w:ascii="ITC Avant Garde" w:hAnsi="ITC Avant Garde" w:cstheme="majorBidi"/>
          <w:color w:val="000000" w:themeColor="text1"/>
          <w:sz w:val="22"/>
          <w:szCs w:val="22"/>
          <w:lang w:val="es-ES_tradnl"/>
        </w:rPr>
        <w:t xml:space="preserve">RESOLUCIÓN </w:t>
      </w:r>
      <w:r w:rsidR="00C21830" w:rsidRPr="00D9584D">
        <w:rPr>
          <w:rFonts w:ascii="ITC Avant Garde" w:hAnsi="ITC Avant Garde" w:cstheme="majorBidi"/>
          <w:color w:val="000000" w:themeColor="text1"/>
          <w:sz w:val="22"/>
          <w:szCs w:val="22"/>
          <w:lang w:val="es-ES_tradnl"/>
        </w:rPr>
        <w:t xml:space="preserve">MEDIANTE </w:t>
      </w:r>
      <w:r w:rsidRPr="00D9584D">
        <w:rPr>
          <w:rFonts w:ascii="ITC Avant Garde" w:hAnsi="ITC Avant Garde" w:cstheme="majorBidi"/>
          <w:color w:val="000000" w:themeColor="text1"/>
          <w:sz w:val="22"/>
          <w:szCs w:val="22"/>
          <w:lang w:val="es-ES_tradnl"/>
        </w:rPr>
        <w:t xml:space="preserve">LA </w:t>
      </w:r>
      <w:r w:rsidR="00C21830" w:rsidRPr="00D9584D">
        <w:rPr>
          <w:rFonts w:ascii="ITC Avant Garde" w:hAnsi="ITC Avant Garde" w:cstheme="majorBidi"/>
          <w:color w:val="000000" w:themeColor="text1"/>
          <w:sz w:val="22"/>
          <w:szCs w:val="22"/>
          <w:lang w:val="es-ES_tradnl"/>
        </w:rPr>
        <w:t xml:space="preserve">CUAL EL PLENO DEL INSTITUTO FEDERAL DE TELECOMUNICACIONES </w:t>
      </w:r>
      <w:r w:rsidRPr="00D9584D">
        <w:rPr>
          <w:rFonts w:ascii="ITC Avant Garde" w:hAnsi="ITC Avant Garde" w:cstheme="majorBidi"/>
          <w:color w:val="000000" w:themeColor="text1"/>
          <w:sz w:val="22"/>
          <w:szCs w:val="22"/>
          <w:lang w:val="es-ES_tradnl"/>
        </w:rPr>
        <w:t xml:space="preserve">AUTORIZA </w:t>
      </w:r>
      <w:r w:rsidR="00C21830" w:rsidRPr="00D9584D">
        <w:rPr>
          <w:rFonts w:ascii="ITC Avant Garde" w:hAnsi="ITC Avant Garde" w:cstheme="majorBidi"/>
          <w:color w:val="000000" w:themeColor="text1"/>
          <w:sz w:val="22"/>
          <w:szCs w:val="22"/>
          <w:lang w:val="es-ES_tradnl"/>
        </w:rPr>
        <w:t xml:space="preserve">LA CESIÓN DE DERECHOS Y OBLIGACIONES DE LA CONCESIÓN QUE AMPARA EL USO, APROVECHAMIENTO Y EXPLOTACIÓN COMERCIAL DE LA FRECUENCIA </w:t>
      </w:r>
      <w:r w:rsidR="00765F53" w:rsidRPr="00D9584D">
        <w:rPr>
          <w:rFonts w:ascii="ITC Avant Garde" w:hAnsi="ITC Avant Garde" w:cstheme="majorBidi"/>
          <w:color w:val="000000" w:themeColor="text1"/>
          <w:sz w:val="22"/>
          <w:szCs w:val="22"/>
          <w:lang w:val="es-ES_tradnl"/>
        </w:rPr>
        <w:t>92.9</w:t>
      </w:r>
      <w:r w:rsidR="00C21830" w:rsidRPr="00D9584D">
        <w:rPr>
          <w:rFonts w:ascii="ITC Avant Garde" w:hAnsi="ITC Avant Garde" w:cstheme="majorBidi"/>
          <w:color w:val="000000" w:themeColor="text1"/>
          <w:sz w:val="22"/>
          <w:szCs w:val="22"/>
          <w:lang w:val="es-ES_tradnl"/>
        </w:rPr>
        <w:t xml:space="preserve"> MHz DE FM OTORGADA A</w:t>
      </w:r>
      <w:r w:rsidR="004A02E4" w:rsidRPr="00D9584D">
        <w:rPr>
          <w:rFonts w:ascii="ITC Avant Garde" w:hAnsi="ITC Avant Garde" w:cstheme="majorBidi"/>
          <w:color w:val="000000" w:themeColor="text1"/>
          <w:sz w:val="22"/>
          <w:szCs w:val="22"/>
          <w:lang w:val="es-ES_tradnl"/>
        </w:rPr>
        <w:t>L C. JORGE CRUZ RAMOS L</w:t>
      </w:r>
      <w:r w:rsidR="00851F63" w:rsidRPr="00D9584D">
        <w:rPr>
          <w:rFonts w:ascii="ITC Avant Garde" w:hAnsi="ITC Avant Garde" w:cstheme="majorBidi"/>
          <w:color w:val="000000" w:themeColor="text1"/>
          <w:sz w:val="22"/>
          <w:szCs w:val="22"/>
          <w:lang w:val="es-ES_tradnl"/>
        </w:rPr>
        <w:t>Ó</w:t>
      </w:r>
      <w:r w:rsidR="004A02E4" w:rsidRPr="00D9584D">
        <w:rPr>
          <w:rFonts w:ascii="ITC Avant Garde" w:hAnsi="ITC Avant Garde" w:cstheme="majorBidi"/>
          <w:color w:val="000000" w:themeColor="text1"/>
          <w:sz w:val="22"/>
          <w:szCs w:val="22"/>
          <w:lang w:val="es-ES_tradnl"/>
        </w:rPr>
        <w:t>PEZ</w:t>
      </w:r>
      <w:r w:rsidR="00C21830" w:rsidRPr="00D9584D">
        <w:rPr>
          <w:rFonts w:ascii="ITC Avant Garde" w:hAnsi="ITC Avant Garde" w:cstheme="majorBidi"/>
          <w:color w:val="000000" w:themeColor="text1"/>
          <w:sz w:val="22"/>
          <w:szCs w:val="22"/>
          <w:lang w:val="es-ES_tradnl"/>
        </w:rPr>
        <w:t>, A FAVOR DE</w:t>
      </w:r>
      <w:r w:rsidR="00C526D6" w:rsidRPr="00D9584D">
        <w:rPr>
          <w:rFonts w:ascii="ITC Avant Garde" w:hAnsi="ITC Avant Garde" w:cstheme="majorBidi"/>
          <w:color w:val="000000" w:themeColor="text1"/>
          <w:sz w:val="22"/>
          <w:szCs w:val="22"/>
          <w:lang w:val="es-ES_tradnl"/>
        </w:rPr>
        <w:t>L C. ISRAEL BELTRÁN ZAMARRÓN</w:t>
      </w:r>
      <w:r w:rsidR="00C21830" w:rsidRPr="00D9584D">
        <w:rPr>
          <w:rFonts w:ascii="ITC Avant Garde" w:hAnsi="ITC Avant Garde" w:cstheme="majorBidi"/>
          <w:color w:val="000000" w:themeColor="text1"/>
          <w:sz w:val="22"/>
          <w:szCs w:val="22"/>
          <w:lang w:val="es-ES_tradnl"/>
        </w:rPr>
        <w:t>.</w:t>
      </w:r>
    </w:p>
    <w:p w14:paraId="74244C60" w14:textId="77777777" w:rsidR="00D9584D" w:rsidRPr="00D9584D" w:rsidRDefault="00C21830" w:rsidP="00D9584D">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D9584D">
        <w:rPr>
          <w:rFonts w:ascii="ITC Avant Garde" w:eastAsiaTheme="majorEastAsia" w:hAnsi="ITC Avant Garde" w:cstheme="majorBidi"/>
          <w:color w:val="000000" w:themeColor="text1"/>
          <w:sz w:val="22"/>
          <w:szCs w:val="22"/>
          <w:lang w:eastAsia="en-US"/>
        </w:rPr>
        <w:t>ANTECEDENTES</w:t>
      </w:r>
    </w:p>
    <w:p w14:paraId="355913B3" w14:textId="77777777" w:rsidR="00D9584D" w:rsidRDefault="00C21830" w:rsidP="00D9584D">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8468EA">
        <w:rPr>
          <w:rFonts w:ascii="ITC Avant Garde" w:hAnsi="ITC Avant Garde" w:cs="Calibri"/>
          <w:b/>
          <w:sz w:val="22"/>
          <w:szCs w:val="22"/>
        </w:rPr>
        <w:t>Refrendo de la Concesión.-</w:t>
      </w:r>
      <w:r w:rsidRPr="008468EA">
        <w:rPr>
          <w:rFonts w:ascii="ITC Avant Garde" w:hAnsi="ITC Avant Garde" w:cs="Calibri"/>
          <w:sz w:val="22"/>
          <w:szCs w:val="22"/>
        </w:rPr>
        <w:t xml:space="preserve"> </w:t>
      </w:r>
      <w:r w:rsidR="00851F63">
        <w:rPr>
          <w:rFonts w:ascii="ITC Avant Garde" w:hAnsi="ITC Avant Garde" w:cs="Calibri"/>
          <w:sz w:val="22"/>
          <w:szCs w:val="22"/>
        </w:rPr>
        <w:t>El 18 de junio de 2008, de con</w:t>
      </w:r>
      <w:r w:rsidRPr="008468EA">
        <w:rPr>
          <w:rFonts w:ascii="ITC Avant Garde" w:hAnsi="ITC Avant Garde" w:cs="Calibri"/>
          <w:sz w:val="22"/>
          <w:szCs w:val="22"/>
        </w:rPr>
        <w:t>formidad con el artículo 16 de la Ley Federal de Radio y Televisión (en lo sucesivo la “LFRT</w:t>
      </w:r>
      <w:r w:rsidR="00D53FBF" w:rsidRPr="008468EA">
        <w:rPr>
          <w:rFonts w:ascii="ITC Avant Garde" w:hAnsi="ITC Avant Garde" w:cs="Calibri"/>
          <w:sz w:val="22"/>
          <w:szCs w:val="22"/>
        </w:rPr>
        <w:t>V</w:t>
      </w:r>
      <w:r w:rsidRPr="008468EA">
        <w:rPr>
          <w:rFonts w:ascii="ITC Avant Garde" w:hAnsi="ITC Avant Garde" w:cs="Calibri"/>
          <w:sz w:val="22"/>
          <w:szCs w:val="22"/>
        </w:rPr>
        <w:t xml:space="preserve">”), la Secretaría de Comunicaciones y Transportes (en lo sucesivo la </w:t>
      </w:r>
      <w:r w:rsidR="00B80F4D" w:rsidRPr="008468EA">
        <w:rPr>
          <w:rFonts w:ascii="ITC Avant Garde" w:hAnsi="ITC Avant Garde" w:cs="Calibri"/>
          <w:sz w:val="22"/>
          <w:szCs w:val="22"/>
        </w:rPr>
        <w:t>“</w:t>
      </w:r>
      <w:r w:rsidR="005504BC" w:rsidRPr="008468EA">
        <w:rPr>
          <w:rFonts w:ascii="ITC Avant Garde" w:hAnsi="ITC Avant Garde" w:cs="Calibri"/>
          <w:sz w:val="22"/>
          <w:szCs w:val="22"/>
        </w:rPr>
        <w:t>Secretaría</w:t>
      </w:r>
      <w:r w:rsidRPr="008468EA">
        <w:rPr>
          <w:rFonts w:ascii="ITC Avant Garde" w:hAnsi="ITC Avant Garde" w:cs="Calibri"/>
          <w:sz w:val="22"/>
          <w:szCs w:val="22"/>
        </w:rPr>
        <w:t>”) otorgó el refrendo de la concesión para instalar, operar y explotar comercialmente la frecuencia 1</w:t>
      </w:r>
      <w:r w:rsidR="00D53FBF" w:rsidRPr="008468EA">
        <w:rPr>
          <w:rFonts w:ascii="ITC Avant Garde" w:hAnsi="ITC Avant Garde" w:cs="Calibri"/>
          <w:sz w:val="22"/>
          <w:szCs w:val="22"/>
        </w:rPr>
        <w:t>320</w:t>
      </w:r>
      <w:r w:rsidRPr="008468EA">
        <w:rPr>
          <w:rFonts w:ascii="ITC Avant Garde" w:hAnsi="ITC Avant Garde" w:cs="Calibri"/>
          <w:sz w:val="22"/>
          <w:szCs w:val="22"/>
        </w:rPr>
        <w:t xml:space="preserve"> kHz, con distintivo de llamada XEJ</w:t>
      </w:r>
      <w:r w:rsidR="00D53FBF" w:rsidRPr="008468EA">
        <w:rPr>
          <w:rFonts w:ascii="ITC Avant Garde" w:hAnsi="ITC Avant Garde" w:cs="Calibri"/>
          <w:sz w:val="22"/>
          <w:szCs w:val="22"/>
        </w:rPr>
        <w:t>Z</w:t>
      </w:r>
      <w:r w:rsidRPr="008468EA">
        <w:rPr>
          <w:rFonts w:ascii="ITC Avant Garde" w:hAnsi="ITC Avant Garde" w:cs="Calibri"/>
          <w:sz w:val="22"/>
          <w:szCs w:val="22"/>
        </w:rPr>
        <w:t xml:space="preserve">-AM, en </w:t>
      </w:r>
      <w:r w:rsidR="00D53FBF" w:rsidRPr="008468EA">
        <w:rPr>
          <w:rFonts w:ascii="ITC Avant Garde" w:hAnsi="ITC Avant Garde" w:cs="Calibri"/>
          <w:sz w:val="22"/>
          <w:szCs w:val="22"/>
        </w:rPr>
        <w:t>Ciudad Jiménez</w:t>
      </w:r>
      <w:r w:rsidRPr="008468EA">
        <w:rPr>
          <w:rFonts w:ascii="ITC Avant Garde" w:hAnsi="ITC Avant Garde" w:cs="Calibri"/>
          <w:sz w:val="22"/>
          <w:szCs w:val="22"/>
        </w:rPr>
        <w:t xml:space="preserve">, </w:t>
      </w:r>
      <w:proofErr w:type="spellStart"/>
      <w:r w:rsidR="00D53FBF" w:rsidRPr="008468EA">
        <w:rPr>
          <w:rFonts w:ascii="ITC Avant Garde" w:hAnsi="ITC Avant Garde" w:cs="Calibri"/>
          <w:sz w:val="22"/>
          <w:szCs w:val="22"/>
        </w:rPr>
        <w:t>Chih</w:t>
      </w:r>
      <w:proofErr w:type="spellEnd"/>
      <w:r w:rsidRPr="008468EA">
        <w:rPr>
          <w:rFonts w:ascii="ITC Avant Garde" w:hAnsi="ITC Avant Garde" w:cs="Calibri"/>
          <w:sz w:val="22"/>
          <w:szCs w:val="22"/>
        </w:rPr>
        <w:t xml:space="preserve">., (en lo sucesivo la “Concesión”) a favor de </w:t>
      </w:r>
      <w:r w:rsidR="007329D6">
        <w:rPr>
          <w:rFonts w:ascii="ITC Avant Garde" w:hAnsi="ITC Avant Garde" w:cs="Calibri"/>
          <w:sz w:val="22"/>
          <w:szCs w:val="22"/>
        </w:rPr>
        <w:t xml:space="preserve">la </w:t>
      </w:r>
      <w:r w:rsidR="00D53FBF" w:rsidRPr="008468EA">
        <w:rPr>
          <w:rFonts w:ascii="ITC Avant Garde" w:hAnsi="ITC Avant Garde" w:cs="Calibri"/>
          <w:sz w:val="22"/>
          <w:szCs w:val="22"/>
        </w:rPr>
        <w:t>Su</w:t>
      </w:r>
      <w:r w:rsidR="00674A26">
        <w:rPr>
          <w:rFonts w:ascii="ITC Avant Garde" w:hAnsi="ITC Avant Garde" w:cs="Calibri"/>
          <w:sz w:val="22"/>
          <w:szCs w:val="22"/>
        </w:rPr>
        <w:t>cesión</w:t>
      </w:r>
      <w:r w:rsidR="00D53FBF" w:rsidRPr="008468EA">
        <w:rPr>
          <w:rFonts w:ascii="ITC Avant Garde" w:hAnsi="ITC Avant Garde" w:cs="Calibri"/>
          <w:sz w:val="22"/>
          <w:szCs w:val="22"/>
        </w:rPr>
        <w:t xml:space="preserve"> de María Elena Torres García</w:t>
      </w:r>
      <w:r w:rsidRPr="008468EA">
        <w:rPr>
          <w:rFonts w:ascii="ITC Avant Garde" w:hAnsi="ITC Avant Garde" w:cs="Calibri"/>
          <w:sz w:val="22"/>
          <w:szCs w:val="22"/>
        </w:rPr>
        <w:t xml:space="preserve">, para continuar operándola y explotándola comercialmente, con vigencia de 12 (doce) años, contados a partir del </w:t>
      </w:r>
      <w:r w:rsidR="00D53FBF" w:rsidRPr="008468EA">
        <w:rPr>
          <w:rFonts w:ascii="ITC Avant Garde" w:hAnsi="ITC Avant Garde" w:cs="Calibri"/>
          <w:sz w:val="22"/>
          <w:szCs w:val="22"/>
        </w:rPr>
        <w:t>12 de noviembre de 2007</w:t>
      </w:r>
      <w:r w:rsidRPr="008468EA">
        <w:rPr>
          <w:rFonts w:ascii="ITC Avant Garde" w:hAnsi="ITC Avant Garde" w:cs="Calibri"/>
          <w:sz w:val="22"/>
          <w:szCs w:val="22"/>
        </w:rPr>
        <w:t xml:space="preserve"> y vencimiento al </w:t>
      </w:r>
      <w:r w:rsidR="00D53FBF" w:rsidRPr="008468EA">
        <w:rPr>
          <w:rFonts w:ascii="ITC Avant Garde" w:hAnsi="ITC Avant Garde" w:cs="Calibri"/>
          <w:sz w:val="22"/>
          <w:szCs w:val="22"/>
        </w:rPr>
        <w:t>11 de noviembre de 2019</w:t>
      </w:r>
      <w:r w:rsidRPr="008468EA">
        <w:rPr>
          <w:rFonts w:ascii="ITC Avant Garde" w:hAnsi="ITC Avant Garde" w:cs="Calibri"/>
          <w:sz w:val="22"/>
          <w:szCs w:val="22"/>
        </w:rPr>
        <w:t>.</w:t>
      </w:r>
    </w:p>
    <w:p w14:paraId="2F419B62" w14:textId="77777777" w:rsidR="00D9584D" w:rsidRDefault="00C21830" w:rsidP="00D9584D">
      <w:pPr>
        <w:numPr>
          <w:ilvl w:val="0"/>
          <w:numId w:val="1"/>
        </w:numPr>
        <w:spacing w:afterLines="160" w:after="384" w:line="276" w:lineRule="auto"/>
        <w:jc w:val="both"/>
        <w:rPr>
          <w:rFonts w:ascii="ITC Avant Garde" w:hAnsi="ITC Avant Garde" w:cs="Calibri"/>
          <w:sz w:val="22"/>
          <w:szCs w:val="22"/>
        </w:rPr>
      </w:pPr>
      <w:r w:rsidRPr="008468EA">
        <w:rPr>
          <w:rFonts w:ascii="ITC Avant Garde" w:hAnsi="ITC Avant Garde" w:cs="Calibri"/>
          <w:b/>
          <w:sz w:val="22"/>
          <w:szCs w:val="22"/>
        </w:rPr>
        <w:t>Acuerdo cambio de frecuencias.</w:t>
      </w:r>
      <w:r w:rsidRPr="008468EA">
        <w:rPr>
          <w:rFonts w:ascii="ITC Avant Garde" w:hAnsi="ITC Avant Garde" w:cs="Calibri"/>
          <w:sz w:val="22"/>
          <w:szCs w:val="22"/>
        </w:rPr>
        <w:t xml:space="preserve">- El 15 de septiembre de 2008, se publicó en el Diario Oficial de la Federación (en lo sucesivo el “DOF”), el </w:t>
      </w:r>
      <w:r w:rsidRPr="008468EA">
        <w:rPr>
          <w:rFonts w:ascii="ITC Avant Garde" w:hAnsi="ITC Avant Garde" w:cs="Calibri"/>
          <w:i/>
          <w:sz w:val="22"/>
          <w:szCs w:val="22"/>
        </w:rPr>
        <w:t>“Acuerdo por el que se establecen los requisitos para llevar a cabo el cambio de fr</w:t>
      </w:r>
      <w:bookmarkStart w:id="0" w:name="_GoBack"/>
      <w:bookmarkEnd w:id="0"/>
      <w:r w:rsidRPr="008468EA">
        <w:rPr>
          <w:rFonts w:ascii="ITC Avant Garde" w:hAnsi="ITC Avant Garde" w:cs="Calibri"/>
          <w:i/>
          <w:sz w:val="22"/>
          <w:szCs w:val="22"/>
        </w:rPr>
        <w:t xml:space="preserve">ecuencias autorizadas para prestar el servicio de radio y que operan en la banda de Amplitud Modulada, a fin de optimizar el uso, aprovechamiento y explotación de un bien del dominio público en transición a la radio digital", </w:t>
      </w:r>
      <w:r w:rsidRPr="008468EA">
        <w:rPr>
          <w:rFonts w:ascii="ITC Avant Garde" w:hAnsi="ITC Avant Garde" w:cs="Calibri"/>
          <w:sz w:val="22"/>
          <w:szCs w:val="22"/>
        </w:rPr>
        <w:t>(en lo sucesivo el "Acuerdo de AM a FM").</w:t>
      </w:r>
    </w:p>
    <w:p w14:paraId="35D141FB" w14:textId="77777777" w:rsidR="00D9584D" w:rsidRDefault="00C21830" w:rsidP="00D9584D">
      <w:pPr>
        <w:numPr>
          <w:ilvl w:val="0"/>
          <w:numId w:val="1"/>
        </w:numPr>
        <w:spacing w:afterLines="160" w:after="384" w:line="276" w:lineRule="auto"/>
        <w:jc w:val="both"/>
        <w:rPr>
          <w:rFonts w:ascii="ITC Avant Garde" w:hAnsi="ITC Avant Garde" w:cs="Calibri"/>
          <w:sz w:val="22"/>
          <w:szCs w:val="22"/>
        </w:rPr>
      </w:pPr>
      <w:r w:rsidRPr="008468EA">
        <w:rPr>
          <w:rFonts w:ascii="ITC Avant Garde" w:hAnsi="ITC Avant Garde" w:cs="Calibri"/>
          <w:b/>
          <w:sz w:val="22"/>
          <w:szCs w:val="22"/>
        </w:rPr>
        <w:t>Autorización de cambio de frecuencia.</w:t>
      </w:r>
      <w:r w:rsidRPr="008468EA">
        <w:rPr>
          <w:rFonts w:ascii="ITC Avant Garde" w:hAnsi="ITC Avant Garde" w:cs="Calibri"/>
          <w:sz w:val="22"/>
          <w:szCs w:val="22"/>
        </w:rPr>
        <w:t xml:space="preserve">- Mediante oficio </w:t>
      </w:r>
      <w:r w:rsidRPr="008468EA">
        <w:rPr>
          <w:rFonts w:ascii="ITC Avant Garde" w:hAnsi="ITC Avant Garde"/>
          <w:bCs/>
          <w:color w:val="000000"/>
          <w:sz w:val="22"/>
          <w:szCs w:val="22"/>
          <w:lang w:eastAsia="es-MX"/>
        </w:rPr>
        <w:t>CFT/D01/STP/</w:t>
      </w:r>
      <w:r w:rsidR="004A0244" w:rsidRPr="008468EA">
        <w:rPr>
          <w:rFonts w:ascii="ITC Avant Garde" w:hAnsi="ITC Avant Garde"/>
          <w:bCs/>
          <w:color w:val="000000"/>
          <w:sz w:val="22"/>
          <w:szCs w:val="22"/>
          <w:lang w:eastAsia="es-MX"/>
        </w:rPr>
        <w:t>3308/11</w:t>
      </w:r>
      <w:r w:rsidRPr="008468EA">
        <w:rPr>
          <w:rFonts w:ascii="ITC Avant Garde" w:hAnsi="ITC Avant Garde" w:cs="Calibri"/>
          <w:sz w:val="22"/>
          <w:szCs w:val="22"/>
        </w:rPr>
        <w:t xml:space="preserve"> de fecha </w:t>
      </w:r>
      <w:r w:rsidR="004A0244" w:rsidRPr="008468EA">
        <w:rPr>
          <w:rFonts w:ascii="ITC Avant Garde" w:hAnsi="ITC Avant Garde" w:cs="Calibri"/>
          <w:sz w:val="22"/>
          <w:szCs w:val="22"/>
        </w:rPr>
        <w:t>19 de octubre de 2011</w:t>
      </w:r>
      <w:r w:rsidRPr="008468EA">
        <w:rPr>
          <w:rFonts w:ascii="ITC Avant Garde" w:hAnsi="ITC Avant Garde" w:cs="Calibri"/>
          <w:sz w:val="22"/>
          <w:szCs w:val="22"/>
        </w:rPr>
        <w:t>, la extinta Comisión Federal de Telecomunicaciones (en lo sucesivo la “COFETEL”) hizo del conocimiento de</w:t>
      </w:r>
      <w:r w:rsidRPr="008468EA">
        <w:rPr>
          <w:rFonts w:ascii="ITC Avant Garde" w:hAnsi="ITC Avant Garde" w:cs="Calibri"/>
          <w:b/>
          <w:sz w:val="22"/>
          <w:szCs w:val="22"/>
        </w:rPr>
        <w:t xml:space="preserve"> </w:t>
      </w:r>
      <w:r w:rsidRPr="008468EA">
        <w:rPr>
          <w:rFonts w:ascii="ITC Avant Garde" w:hAnsi="ITC Avant Garde" w:cs="Calibri"/>
          <w:sz w:val="22"/>
          <w:szCs w:val="22"/>
        </w:rPr>
        <w:t xml:space="preserve">la </w:t>
      </w:r>
      <w:r w:rsidR="00B53302" w:rsidRPr="008468EA">
        <w:rPr>
          <w:rFonts w:ascii="ITC Avant Garde" w:hAnsi="ITC Avant Garde" w:cs="Calibri"/>
          <w:sz w:val="22"/>
          <w:szCs w:val="22"/>
        </w:rPr>
        <w:t>Su</w:t>
      </w:r>
      <w:r w:rsidR="00B53302">
        <w:rPr>
          <w:rFonts w:ascii="ITC Avant Garde" w:hAnsi="ITC Avant Garde" w:cs="Calibri"/>
          <w:sz w:val="22"/>
          <w:szCs w:val="22"/>
        </w:rPr>
        <w:t>cesión</w:t>
      </w:r>
      <w:r w:rsidR="00B53302" w:rsidRPr="008468EA">
        <w:rPr>
          <w:rFonts w:ascii="ITC Avant Garde" w:hAnsi="ITC Avant Garde" w:cs="Calibri"/>
          <w:sz w:val="22"/>
          <w:szCs w:val="22"/>
        </w:rPr>
        <w:t xml:space="preserve"> de María Elena Torres García</w:t>
      </w:r>
      <w:r w:rsidRPr="008468EA">
        <w:rPr>
          <w:rFonts w:ascii="ITC Avant Garde" w:hAnsi="ITC Avant Garde" w:cs="Calibri"/>
          <w:sz w:val="22"/>
          <w:szCs w:val="22"/>
        </w:rPr>
        <w:t xml:space="preserve">, la autorización de cambio a la frecuencia </w:t>
      </w:r>
      <w:r w:rsidR="004A0244" w:rsidRPr="008468EA">
        <w:rPr>
          <w:rFonts w:ascii="ITC Avant Garde" w:hAnsi="ITC Avant Garde" w:cs="Calibri"/>
          <w:sz w:val="22"/>
          <w:szCs w:val="22"/>
        </w:rPr>
        <w:t>92.9</w:t>
      </w:r>
      <w:r w:rsidRPr="008468EA">
        <w:rPr>
          <w:rFonts w:ascii="ITC Avant Garde" w:hAnsi="ITC Avant Garde" w:cs="Calibri"/>
          <w:sz w:val="22"/>
          <w:szCs w:val="22"/>
        </w:rPr>
        <w:t xml:space="preserve"> MHz, en términos de lo establecido en el Acuerdo de AM a FM.</w:t>
      </w:r>
    </w:p>
    <w:p w14:paraId="330EE421" w14:textId="77777777" w:rsidR="00D9584D" w:rsidRDefault="00FE36AF" w:rsidP="00D9584D">
      <w:pPr>
        <w:numPr>
          <w:ilvl w:val="0"/>
          <w:numId w:val="1"/>
        </w:numPr>
        <w:spacing w:afterLines="160" w:after="384" w:line="276" w:lineRule="auto"/>
        <w:jc w:val="both"/>
        <w:rPr>
          <w:rFonts w:ascii="ITC Avant Garde" w:hAnsi="ITC Avant Garde" w:cs="Calibri"/>
          <w:sz w:val="22"/>
          <w:szCs w:val="22"/>
        </w:rPr>
      </w:pPr>
      <w:r>
        <w:rPr>
          <w:rFonts w:ascii="ITC Avant Garde" w:hAnsi="ITC Avant Garde"/>
          <w:b/>
          <w:bCs/>
          <w:color w:val="000000"/>
          <w:sz w:val="22"/>
          <w:szCs w:val="22"/>
          <w:lang w:eastAsia="es-MX"/>
        </w:rPr>
        <w:t xml:space="preserve">Primera </w:t>
      </w:r>
      <w:r w:rsidR="00AD099C" w:rsidRPr="008468EA">
        <w:rPr>
          <w:rFonts w:ascii="ITC Avant Garde" w:hAnsi="ITC Avant Garde"/>
          <w:b/>
          <w:bCs/>
          <w:color w:val="000000"/>
          <w:sz w:val="22"/>
          <w:szCs w:val="22"/>
          <w:lang w:eastAsia="es-MX"/>
        </w:rPr>
        <w:t xml:space="preserve">Cesión de Derechos.- </w:t>
      </w:r>
      <w:r w:rsidR="00AD099C" w:rsidRPr="008468EA">
        <w:rPr>
          <w:rFonts w:ascii="ITC Avant Garde" w:hAnsi="ITC Avant Garde"/>
          <w:bCs/>
          <w:color w:val="000000"/>
          <w:sz w:val="22"/>
          <w:szCs w:val="22"/>
          <w:lang w:eastAsia="es-MX"/>
        </w:rPr>
        <w:t xml:space="preserve">Mediante oficio </w:t>
      </w:r>
      <w:r w:rsidR="00AD099C" w:rsidRPr="00453228">
        <w:rPr>
          <w:rFonts w:ascii="ITC Avant Garde" w:hAnsi="ITC Avant Garde"/>
          <w:bCs/>
          <w:color w:val="000000"/>
          <w:sz w:val="22"/>
          <w:szCs w:val="22"/>
          <w:lang w:eastAsia="es-MX"/>
        </w:rPr>
        <w:t>CFT/D01/STP/559/12</w:t>
      </w:r>
      <w:r w:rsidR="00AD099C" w:rsidRPr="00951AE6">
        <w:rPr>
          <w:rFonts w:ascii="ITC Avant Garde" w:hAnsi="ITC Avant Garde"/>
          <w:bCs/>
          <w:color w:val="000000"/>
          <w:sz w:val="22"/>
          <w:szCs w:val="22"/>
          <w:lang w:eastAsia="es-MX"/>
        </w:rPr>
        <w:t xml:space="preserve"> de fecha </w:t>
      </w:r>
      <w:r w:rsidR="00AD099C" w:rsidRPr="00453228">
        <w:rPr>
          <w:rFonts w:ascii="ITC Avant Garde" w:hAnsi="ITC Avant Garde"/>
          <w:bCs/>
          <w:color w:val="000000"/>
          <w:sz w:val="22"/>
          <w:szCs w:val="22"/>
          <w:lang w:eastAsia="es-MX"/>
        </w:rPr>
        <w:t>11 de abril de 2012</w:t>
      </w:r>
      <w:r w:rsidR="00AD099C" w:rsidRPr="00951AE6">
        <w:rPr>
          <w:rFonts w:ascii="ITC Avant Garde" w:hAnsi="ITC Avant Garde"/>
          <w:bCs/>
          <w:color w:val="000000"/>
          <w:sz w:val="22"/>
          <w:szCs w:val="22"/>
          <w:lang w:eastAsia="es-MX"/>
        </w:rPr>
        <w:t xml:space="preserve">, la </w:t>
      </w:r>
      <w:r w:rsidR="00AD099C" w:rsidRPr="00453228">
        <w:rPr>
          <w:rFonts w:ascii="ITC Avant Garde" w:hAnsi="ITC Avant Garde"/>
          <w:bCs/>
          <w:color w:val="000000"/>
          <w:sz w:val="22"/>
          <w:szCs w:val="22"/>
          <w:lang w:eastAsia="es-MX"/>
        </w:rPr>
        <w:t>COFETEL,</w:t>
      </w:r>
      <w:r w:rsidR="00AD099C" w:rsidRPr="00951AE6">
        <w:rPr>
          <w:rFonts w:ascii="ITC Avant Garde" w:hAnsi="ITC Avant Garde"/>
          <w:bCs/>
          <w:color w:val="000000"/>
          <w:sz w:val="22"/>
          <w:szCs w:val="22"/>
          <w:lang w:eastAsia="es-MX"/>
        </w:rPr>
        <w:t xml:space="preserve"> autorizó la cesión gratuita de derechos derivados de la </w:t>
      </w:r>
      <w:r w:rsidR="00043595">
        <w:rPr>
          <w:rFonts w:ascii="ITC Avant Garde" w:hAnsi="ITC Avant Garde"/>
          <w:bCs/>
          <w:color w:val="000000"/>
          <w:sz w:val="22"/>
          <w:szCs w:val="22"/>
          <w:lang w:eastAsia="es-MX"/>
        </w:rPr>
        <w:t>C</w:t>
      </w:r>
      <w:r w:rsidR="00AD099C" w:rsidRPr="00951AE6">
        <w:rPr>
          <w:rFonts w:ascii="ITC Avant Garde" w:hAnsi="ITC Avant Garde"/>
          <w:bCs/>
          <w:color w:val="000000"/>
          <w:sz w:val="22"/>
          <w:szCs w:val="22"/>
          <w:lang w:eastAsia="es-MX"/>
        </w:rPr>
        <w:t>oncesión que ampara la operación y explotación comercial de la frecuencia 1320</w:t>
      </w:r>
      <w:r w:rsidR="00AD099C" w:rsidRPr="00453228">
        <w:rPr>
          <w:rFonts w:ascii="ITC Avant Garde" w:hAnsi="ITC Avant Garde"/>
          <w:bCs/>
          <w:color w:val="000000"/>
          <w:sz w:val="22"/>
          <w:szCs w:val="22"/>
          <w:lang w:eastAsia="es-MX"/>
        </w:rPr>
        <w:t xml:space="preserve"> kHz</w:t>
      </w:r>
      <w:r w:rsidR="00AD099C" w:rsidRPr="00951AE6">
        <w:rPr>
          <w:rFonts w:ascii="ITC Avant Garde" w:hAnsi="ITC Avant Garde"/>
          <w:bCs/>
          <w:color w:val="000000"/>
          <w:sz w:val="22"/>
          <w:szCs w:val="22"/>
          <w:lang w:eastAsia="es-MX"/>
        </w:rPr>
        <w:t xml:space="preserve">, con distintivo de llamada </w:t>
      </w:r>
      <w:r w:rsidR="00AD099C" w:rsidRPr="00453228">
        <w:rPr>
          <w:rFonts w:ascii="ITC Avant Garde" w:hAnsi="ITC Avant Garde"/>
          <w:bCs/>
          <w:color w:val="000000"/>
          <w:sz w:val="22"/>
          <w:szCs w:val="22"/>
          <w:lang w:eastAsia="es-MX"/>
        </w:rPr>
        <w:t>XEJZ-AM</w:t>
      </w:r>
      <w:r w:rsidR="00AD099C" w:rsidRPr="00951AE6">
        <w:rPr>
          <w:rFonts w:ascii="ITC Avant Garde" w:hAnsi="ITC Avant Garde"/>
          <w:bCs/>
          <w:color w:val="000000"/>
          <w:sz w:val="22"/>
          <w:szCs w:val="22"/>
          <w:lang w:eastAsia="es-MX"/>
        </w:rPr>
        <w:t>, a favor de</w:t>
      </w:r>
      <w:r w:rsidR="00CE6542">
        <w:rPr>
          <w:rFonts w:ascii="ITC Avant Garde" w:hAnsi="ITC Avant Garde"/>
          <w:bCs/>
          <w:color w:val="000000"/>
          <w:sz w:val="22"/>
          <w:szCs w:val="22"/>
          <w:lang w:eastAsia="es-MX"/>
        </w:rPr>
        <w:t>l C.</w:t>
      </w:r>
      <w:r w:rsidR="00AD099C" w:rsidRPr="00951AE6">
        <w:rPr>
          <w:rFonts w:ascii="ITC Avant Garde" w:hAnsi="ITC Avant Garde"/>
          <w:bCs/>
          <w:color w:val="000000"/>
          <w:sz w:val="22"/>
          <w:szCs w:val="22"/>
          <w:lang w:eastAsia="es-MX"/>
        </w:rPr>
        <w:t xml:space="preserve"> </w:t>
      </w:r>
      <w:r w:rsidR="00B53302">
        <w:rPr>
          <w:rFonts w:ascii="ITC Avant Garde" w:hAnsi="ITC Avant Garde"/>
          <w:bCs/>
          <w:color w:val="000000"/>
          <w:sz w:val="22"/>
          <w:szCs w:val="22"/>
          <w:lang w:eastAsia="es-MX"/>
        </w:rPr>
        <w:t>Jorge Cruz Ramos López (en lo sucesivo el</w:t>
      </w:r>
      <w:r w:rsidR="00AD099C" w:rsidRPr="008468EA">
        <w:rPr>
          <w:rFonts w:ascii="ITC Avant Garde" w:hAnsi="ITC Avant Garde"/>
          <w:bCs/>
          <w:color w:val="000000"/>
          <w:sz w:val="22"/>
          <w:szCs w:val="22"/>
          <w:lang w:eastAsia="es-MX"/>
        </w:rPr>
        <w:t xml:space="preserve"> </w:t>
      </w:r>
      <w:r w:rsidR="00B53302">
        <w:rPr>
          <w:rFonts w:ascii="ITC Avant Garde" w:hAnsi="ITC Avant Garde"/>
          <w:bCs/>
          <w:color w:val="000000"/>
          <w:sz w:val="22"/>
          <w:szCs w:val="22"/>
          <w:lang w:eastAsia="es-MX"/>
        </w:rPr>
        <w:t>“</w:t>
      </w:r>
      <w:r w:rsidR="00AD099C" w:rsidRPr="008468EA">
        <w:rPr>
          <w:rFonts w:ascii="ITC Avant Garde" w:hAnsi="ITC Avant Garde"/>
          <w:bCs/>
          <w:color w:val="000000"/>
          <w:sz w:val="22"/>
          <w:szCs w:val="22"/>
          <w:lang w:eastAsia="es-MX"/>
        </w:rPr>
        <w:t>CEDENTE</w:t>
      </w:r>
      <w:r w:rsidR="00B53302">
        <w:rPr>
          <w:rFonts w:ascii="ITC Avant Garde" w:hAnsi="ITC Avant Garde"/>
          <w:bCs/>
          <w:color w:val="000000"/>
          <w:sz w:val="22"/>
          <w:szCs w:val="22"/>
          <w:lang w:eastAsia="es-MX"/>
        </w:rPr>
        <w:t>”)</w:t>
      </w:r>
      <w:r w:rsidR="00AD099C" w:rsidRPr="008468EA">
        <w:rPr>
          <w:rFonts w:ascii="ITC Avant Garde" w:hAnsi="ITC Avant Garde"/>
          <w:b/>
          <w:bCs/>
          <w:color w:val="000000"/>
          <w:sz w:val="22"/>
          <w:szCs w:val="22"/>
          <w:lang w:eastAsia="es-MX"/>
        </w:rPr>
        <w:t>.</w:t>
      </w:r>
    </w:p>
    <w:p w14:paraId="43F2EEE6" w14:textId="77777777" w:rsidR="00D9584D" w:rsidRDefault="00C21830" w:rsidP="00D9584D">
      <w:pPr>
        <w:numPr>
          <w:ilvl w:val="0"/>
          <w:numId w:val="1"/>
        </w:numPr>
        <w:spacing w:afterLines="160" w:after="384" w:line="276" w:lineRule="auto"/>
        <w:jc w:val="both"/>
        <w:rPr>
          <w:rFonts w:ascii="ITC Avant Garde" w:hAnsi="ITC Avant Garde" w:cs="Calibri"/>
          <w:sz w:val="22"/>
          <w:szCs w:val="22"/>
        </w:rPr>
      </w:pPr>
      <w:r w:rsidRPr="008468EA">
        <w:rPr>
          <w:rFonts w:ascii="ITC Avant Garde" w:hAnsi="ITC Avant Garde" w:cs="Calibri"/>
          <w:b/>
          <w:sz w:val="22"/>
          <w:szCs w:val="22"/>
        </w:rPr>
        <w:lastRenderedPageBreak/>
        <w:t>Conclusión de trabajos de instalación por cambio de frecuencia.-</w:t>
      </w:r>
      <w:r w:rsidRPr="008468EA">
        <w:rPr>
          <w:rFonts w:ascii="ITC Avant Garde" w:hAnsi="ITC Avant Garde" w:cs="Calibri"/>
          <w:sz w:val="22"/>
          <w:szCs w:val="22"/>
        </w:rPr>
        <w:t xml:space="preserve"> El 1</w:t>
      </w:r>
      <w:r w:rsidR="007D23E1" w:rsidRPr="008468EA">
        <w:rPr>
          <w:rFonts w:ascii="ITC Avant Garde" w:hAnsi="ITC Avant Garde" w:cs="Calibri"/>
          <w:sz w:val="22"/>
          <w:szCs w:val="22"/>
        </w:rPr>
        <w:t xml:space="preserve"> de agosto de 2012</w:t>
      </w:r>
      <w:r w:rsidRPr="008468EA">
        <w:rPr>
          <w:rFonts w:ascii="ITC Avant Garde" w:hAnsi="ITC Avant Garde" w:cs="Calibri"/>
          <w:sz w:val="22"/>
          <w:szCs w:val="22"/>
        </w:rPr>
        <w:t xml:space="preserve">, </w:t>
      </w:r>
      <w:r w:rsidR="00D00660">
        <w:rPr>
          <w:rFonts w:ascii="ITC Avant Garde" w:hAnsi="ITC Avant Garde" w:cs="Calibri"/>
          <w:sz w:val="22"/>
          <w:szCs w:val="22"/>
        </w:rPr>
        <w:t>el</w:t>
      </w:r>
      <w:r w:rsidRPr="008468EA">
        <w:rPr>
          <w:rFonts w:ascii="ITC Avant Garde" w:hAnsi="ITC Avant Garde" w:cs="Calibri"/>
          <w:sz w:val="22"/>
          <w:szCs w:val="22"/>
        </w:rPr>
        <w:t xml:space="preserve"> CEDENTE informó</w:t>
      </w:r>
      <w:r w:rsidR="005504BC" w:rsidRPr="008468EA">
        <w:rPr>
          <w:rFonts w:ascii="ITC Avant Garde" w:hAnsi="ITC Avant Garde" w:cs="Calibri"/>
          <w:sz w:val="22"/>
          <w:szCs w:val="22"/>
        </w:rPr>
        <w:t xml:space="preserve"> a la COFETEL</w:t>
      </w:r>
      <w:r w:rsidRPr="008468EA">
        <w:rPr>
          <w:rFonts w:ascii="ITC Avant Garde" w:hAnsi="ITC Avant Garde" w:cs="Calibri"/>
          <w:sz w:val="22"/>
          <w:szCs w:val="22"/>
        </w:rPr>
        <w:t xml:space="preserve"> la conclusión de trabajos y operaciones de prueba realizados con motivo de la autorización de cambio de frecuencia.</w:t>
      </w:r>
    </w:p>
    <w:p w14:paraId="4480997D" w14:textId="77777777" w:rsidR="00D9584D" w:rsidRDefault="00C21830" w:rsidP="00D9584D">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8468EA">
        <w:rPr>
          <w:rFonts w:ascii="ITC Avant Garde" w:hAnsi="ITC Avant Garde" w:cs="Arial"/>
          <w:b/>
          <w:kern w:val="1"/>
          <w:sz w:val="22"/>
          <w:szCs w:val="22"/>
          <w:lang w:eastAsia="ar-SA"/>
        </w:rPr>
        <w:t>Decreto de Reforma Constitucional.</w:t>
      </w:r>
      <w:r w:rsidR="009A37D3">
        <w:rPr>
          <w:rFonts w:ascii="ITC Avant Garde" w:hAnsi="ITC Avant Garde" w:cs="Arial"/>
          <w:b/>
          <w:kern w:val="1"/>
          <w:sz w:val="22"/>
          <w:szCs w:val="22"/>
          <w:lang w:eastAsia="ar-SA"/>
        </w:rPr>
        <w:t>-</w:t>
      </w:r>
      <w:r w:rsidRPr="008468EA">
        <w:rPr>
          <w:rFonts w:ascii="ITC Avant Garde" w:hAnsi="ITC Avant Garde" w:cs="Arial"/>
          <w:b/>
          <w:kern w:val="1"/>
          <w:sz w:val="22"/>
          <w:szCs w:val="22"/>
          <w:lang w:eastAsia="ar-SA"/>
        </w:rPr>
        <w:t xml:space="preserve"> </w:t>
      </w:r>
      <w:r w:rsidR="009A37D3" w:rsidRPr="00FE36AF">
        <w:rPr>
          <w:rFonts w:ascii="ITC Avant Garde" w:hAnsi="ITC Avant Garde" w:cs="Arial"/>
          <w:kern w:val="1"/>
          <w:sz w:val="22"/>
          <w:szCs w:val="22"/>
          <w:lang w:eastAsia="ar-SA"/>
        </w:rPr>
        <w:t>El</w:t>
      </w:r>
      <w:r w:rsidR="009A37D3">
        <w:rPr>
          <w:rFonts w:ascii="ITC Avant Garde" w:hAnsi="ITC Avant Garde" w:cs="Arial"/>
          <w:kern w:val="1"/>
          <w:sz w:val="22"/>
          <w:szCs w:val="22"/>
          <w:lang w:eastAsia="ar-SA"/>
        </w:rPr>
        <w:t xml:space="preserve"> </w:t>
      </w:r>
      <w:r w:rsidRPr="008468EA">
        <w:rPr>
          <w:rFonts w:ascii="ITC Avant Garde" w:hAnsi="ITC Avant Garde" w:cs="Arial"/>
          <w:kern w:val="1"/>
          <w:sz w:val="22"/>
          <w:szCs w:val="22"/>
          <w:lang w:eastAsia="ar-SA"/>
        </w:rPr>
        <w:t xml:space="preserve">11 de junio de 2013, se publicó en el DOF el </w:t>
      </w:r>
      <w:r w:rsidR="005504BC" w:rsidRPr="008468EA">
        <w:rPr>
          <w:rFonts w:ascii="ITC Avant Garde" w:hAnsi="ITC Avant Garde" w:cs="Arial"/>
          <w:i/>
          <w:kern w:val="1"/>
          <w:sz w:val="22"/>
          <w:szCs w:val="22"/>
          <w:lang w:eastAsia="ar-SA"/>
        </w:rPr>
        <w:t>“</w:t>
      </w:r>
      <w:r w:rsidRPr="008468EA">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005504BC" w:rsidRPr="008468EA">
        <w:rPr>
          <w:rFonts w:ascii="ITC Avant Garde" w:hAnsi="ITC Avant Garde" w:cs="Arial"/>
          <w:i/>
          <w:kern w:val="1"/>
          <w:sz w:val="22"/>
          <w:szCs w:val="22"/>
          <w:lang w:eastAsia="ar-SA"/>
        </w:rPr>
        <w:t>”</w:t>
      </w:r>
      <w:r w:rsidRPr="008468EA">
        <w:rPr>
          <w:rFonts w:ascii="ITC Avant Garde" w:hAnsi="ITC Avant Garde" w:cs="Arial"/>
          <w:kern w:val="1"/>
          <w:sz w:val="22"/>
          <w:szCs w:val="22"/>
          <w:lang w:eastAsia="ar-SA"/>
        </w:rPr>
        <w:t xml:space="preserve"> (en lo sucesivo el “Decreto de Reforma Constitucional”), </w:t>
      </w:r>
      <w:r w:rsidR="00B2290A" w:rsidRPr="008468EA">
        <w:rPr>
          <w:rFonts w:ascii="ITC Avant Garde" w:hAnsi="ITC Avant Garde" w:cs="Arial"/>
          <w:kern w:val="1"/>
          <w:sz w:val="22"/>
          <w:szCs w:val="22"/>
          <w:lang w:eastAsia="ar-SA"/>
        </w:rPr>
        <w:t xml:space="preserve">mediante el cual se creó </w:t>
      </w:r>
      <w:r w:rsidR="00B2290A" w:rsidRPr="008468EA">
        <w:rPr>
          <w:rFonts w:ascii="ITC Avant Garde" w:hAnsi="ITC Avant Garde" w:cs="Calibri"/>
          <w:sz w:val="22"/>
          <w:szCs w:val="22"/>
        </w:rPr>
        <w:t xml:space="preserve">el Instituto Federal de Telecomunicaciones, (en lo sucesivo </w:t>
      </w:r>
      <w:r w:rsidR="007278AF">
        <w:rPr>
          <w:rFonts w:ascii="ITC Avant Garde" w:hAnsi="ITC Avant Garde" w:cs="Calibri"/>
          <w:sz w:val="22"/>
          <w:szCs w:val="22"/>
        </w:rPr>
        <w:t xml:space="preserve">el </w:t>
      </w:r>
      <w:r w:rsidR="00B2290A" w:rsidRPr="004C2EFA">
        <w:rPr>
          <w:rFonts w:ascii="ITC Avant Garde" w:hAnsi="ITC Avant Garde" w:cs="Calibri"/>
          <w:sz w:val="22"/>
          <w:szCs w:val="22"/>
        </w:rPr>
        <w:t>“Instituto”)</w:t>
      </w:r>
      <w:r w:rsidR="00B2290A" w:rsidRPr="004C2EFA">
        <w:rPr>
          <w:rFonts w:ascii="ITC Avant Garde" w:hAnsi="ITC Avant Garde" w:cs="Arial"/>
          <w:kern w:val="2"/>
          <w:sz w:val="22"/>
          <w:szCs w:val="22"/>
          <w:lang w:eastAsia="ar-SA"/>
        </w:rPr>
        <w:t>.</w:t>
      </w:r>
    </w:p>
    <w:p w14:paraId="04CEBF9E" w14:textId="77777777" w:rsidR="00D9584D" w:rsidRDefault="004C2EFA" w:rsidP="00D9584D">
      <w:pPr>
        <w:numPr>
          <w:ilvl w:val="0"/>
          <w:numId w:val="1"/>
        </w:numPr>
        <w:spacing w:afterLines="160" w:after="384" w:line="276" w:lineRule="auto"/>
        <w:jc w:val="both"/>
        <w:rPr>
          <w:rFonts w:ascii="ITC Avant Garde" w:hAnsi="ITC Avant Garde" w:cs="Arial"/>
          <w:kern w:val="1"/>
          <w:sz w:val="22"/>
          <w:szCs w:val="22"/>
          <w:lang w:eastAsia="ar-SA"/>
        </w:rPr>
      </w:pPr>
      <w:r w:rsidRPr="00453228">
        <w:rPr>
          <w:rFonts w:ascii="ITC Avant Garde" w:hAnsi="ITC Avant Garde" w:cs="Calibri"/>
          <w:b/>
          <w:sz w:val="22"/>
          <w:szCs w:val="22"/>
        </w:rPr>
        <w:t>Opinión de la extinta Comisión Federal de Competencia</w:t>
      </w:r>
      <w:r w:rsidR="004B4E20" w:rsidRPr="004C2EFA">
        <w:rPr>
          <w:rFonts w:ascii="ITC Avant Garde" w:hAnsi="ITC Avant Garde" w:cs="Calibri"/>
          <w:sz w:val="22"/>
          <w:szCs w:val="22"/>
        </w:rPr>
        <w:t>.- Mediante oficio SE-10-096-2013-372 de fecha 20 de junio de 2013, la extinta Comisión Federal de Competencia (en lo sucesivo la “COFECO”), emitió opinión</w:t>
      </w:r>
      <w:r w:rsidR="004B4E20" w:rsidRPr="008468EA">
        <w:rPr>
          <w:rFonts w:ascii="ITC Avant Garde" w:hAnsi="ITC Avant Garde" w:cs="Calibri"/>
          <w:sz w:val="22"/>
          <w:szCs w:val="22"/>
        </w:rPr>
        <w:t xml:space="preserve"> favorable sobre la cesión gratuita de derechos de la Concesión de la estación de radio XEJZ-AM, frecuencia 1320 kHz, ubicada en Ciudad</w:t>
      </w:r>
      <w:r w:rsidR="006D1E04">
        <w:rPr>
          <w:rFonts w:ascii="ITC Avant Garde" w:hAnsi="ITC Avant Garde" w:cs="Calibri"/>
          <w:sz w:val="22"/>
          <w:szCs w:val="22"/>
        </w:rPr>
        <w:t xml:space="preserve"> Jiménez, </w:t>
      </w:r>
      <w:proofErr w:type="spellStart"/>
      <w:r w:rsidR="006D1E04">
        <w:rPr>
          <w:rFonts w:ascii="ITC Avant Garde" w:hAnsi="ITC Avant Garde" w:cs="Calibri"/>
          <w:sz w:val="22"/>
          <w:szCs w:val="22"/>
        </w:rPr>
        <w:t>Chih</w:t>
      </w:r>
      <w:proofErr w:type="spellEnd"/>
      <w:r w:rsidR="006D1E04">
        <w:rPr>
          <w:rFonts w:ascii="ITC Avant Garde" w:hAnsi="ITC Avant Garde" w:cs="Calibri"/>
          <w:sz w:val="22"/>
          <w:szCs w:val="22"/>
        </w:rPr>
        <w:t>., en favor del C.</w:t>
      </w:r>
      <w:r w:rsidR="004B4E20" w:rsidRPr="008468EA">
        <w:rPr>
          <w:rFonts w:ascii="ITC Avant Garde" w:hAnsi="ITC Avant Garde" w:cs="Calibri"/>
          <w:sz w:val="22"/>
          <w:szCs w:val="22"/>
        </w:rPr>
        <w:t xml:space="preserve"> Israel Beltrán Zamarrón (en lo sucesivo </w:t>
      </w:r>
      <w:r w:rsidR="00906848">
        <w:rPr>
          <w:rFonts w:ascii="ITC Avant Garde" w:hAnsi="ITC Avant Garde" w:cs="Calibri"/>
          <w:sz w:val="22"/>
          <w:szCs w:val="22"/>
        </w:rPr>
        <w:t>el</w:t>
      </w:r>
      <w:r w:rsidR="004B4E20" w:rsidRPr="008468EA">
        <w:rPr>
          <w:rFonts w:ascii="ITC Avant Garde" w:hAnsi="ITC Avant Garde" w:cs="Calibri"/>
          <w:sz w:val="22"/>
          <w:szCs w:val="22"/>
        </w:rPr>
        <w:t xml:space="preserve"> “CESIONARI</w:t>
      </w:r>
      <w:r w:rsidR="00906848">
        <w:rPr>
          <w:rFonts w:ascii="ITC Avant Garde" w:hAnsi="ITC Avant Garde" w:cs="Calibri"/>
          <w:sz w:val="22"/>
          <w:szCs w:val="22"/>
        </w:rPr>
        <w:t>O</w:t>
      </w:r>
      <w:r w:rsidR="004B4E20" w:rsidRPr="008468EA">
        <w:rPr>
          <w:rFonts w:ascii="ITC Avant Garde" w:hAnsi="ITC Avant Garde" w:cs="Calibri"/>
          <w:sz w:val="22"/>
          <w:szCs w:val="22"/>
        </w:rPr>
        <w:t>”).</w:t>
      </w:r>
    </w:p>
    <w:p w14:paraId="48FEEE68" w14:textId="77777777" w:rsidR="00D9584D" w:rsidRDefault="002D539C" w:rsidP="00D9584D">
      <w:pPr>
        <w:numPr>
          <w:ilvl w:val="0"/>
          <w:numId w:val="1"/>
        </w:numPr>
        <w:spacing w:afterLines="160" w:after="384" w:line="276" w:lineRule="auto"/>
        <w:jc w:val="both"/>
        <w:rPr>
          <w:rFonts w:ascii="ITC Avant Garde" w:hAnsi="ITC Avant Garde" w:cs="Arial"/>
          <w:kern w:val="1"/>
          <w:sz w:val="22"/>
          <w:szCs w:val="22"/>
          <w:lang w:eastAsia="ar-SA"/>
        </w:rPr>
      </w:pPr>
      <w:r w:rsidRPr="00951AE6">
        <w:rPr>
          <w:rFonts w:ascii="ITC Avant Garde" w:hAnsi="ITC Avant Garde" w:cs="Calibri"/>
          <w:b/>
          <w:sz w:val="22"/>
          <w:szCs w:val="22"/>
        </w:rPr>
        <w:t>Solicitud de Cesión de Derechos.-</w:t>
      </w:r>
      <w:r w:rsidRPr="008468EA">
        <w:rPr>
          <w:rFonts w:ascii="ITC Avant Garde" w:hAnsi="ITC Avant Garde" w:cs="Calibri"/>
          <w:sz w:val="22"/>
          <w:szCs w:val="22"/>
        </w:rPr>
        <w:t xml:space="preserve"> Mediante </w:t>
      </w:r>
      <w:r w:rsidR="005016C0">
        <w:rPr>
          <w:rFonts w:ascii="ITC Avant Garde" w:hAnsi="ITC Avant Garde" w:cs="Calibri"/>
          <w:sz w:val="22"/>
          <w:szCs w:val="22"/>
        </w:rPr>
        <w:t xml:space="preserve">el </w:t>
      </w:r>
      <w:r w:rsidRPr="008468EA">
        <w:rPr>
          <w:rFonts w:ascii="ITC Avant Garde" w:hAnsi="ITC Avant Garde" w:cs="Calibri"/>
          <w:sz w:val="22"/>
          <w:szCs w:val="22"/>
        </w:rPr>
        <w:t xml:space="preserve">escrito presentado </w:t>
      </w:r>
      <w:r w:rsidR="005016C0">
        <w:rPr>
          <w:rFonts w:ascii="ITC Avant Garde" w:hAnsi="ITC Avant Garde" w:cs="Calibri"/>
          <w:sz w:val="22"/>
          <w:szCs w:val="22"/>
        </w:rPr>
        <w:t>ante</w:t>
      </w:r>
      <w:r w:rsidRPr="008468EA">
        <w:rPr>
          <w:rFonts w:ascii="ITC Avant Garde" w:hAnsi="ITC Avant Garde" w:cs="Calibri"/>
          <w:sz w:val="22"/>
          <w:szCs w:val="22"/>
        </w:rPr>
        <w:t xml:space="preserve"> la COFETEL, el 12 de julio de 2013, el CEDENTE, solicitó autorización para llevar a cabo la cesión total de los derechos y obligaciones establecidos en la Concesión a favor de</w:t>
      </w:r>
      <w:r w:rsidR="002957B1">
        <w:rPr>
          <w:rFonts w:ascii="ITC Avant Garde" w:hAnsi="ITC Avant Garde" w:cs="Calibri"/>
          <w:sz w:val="22"/>
          <w:szCs w:val="22"/>
        </w:rPr>
        <w:t xml:space="preserve">l </w:t>
      </w:r>
      <w:r w:rsidRPr="008468EA">
        <w:rPr>
          <w:rFonts w:ascii="ITC Avant Garde" w:hAnsi="ITC Avant Garde" w:cs="Calibri"/>
          <w:sz w:val="22"/>
          <w:szCs w:val="22"/>
        </w:rPr>
        <w:t>CESIONARI</w:t>
      </w:r>
      <w:r w:rsidR="00906848">
        <w:rPr>
          <w:rFonts w:ascii="ITC Avant Garde" w:hAnsi="ITC Avant Garde" w:cs="Calibri"/>
          <w:sz w:val="22"/>
          <w:szCs w:val="22"/>
        </w:rPr>
        <w:t>O</w:t>
      </w:r>
      <w:r w:rsidRPr="008468EA">
        <w:rPr>
          <w:rFonts w:ascii="ITC Avant Garde" w:hAnsi="ITC Avant Garde" w:cs="Calibri"/>
          <w:sz w:val="22"/>
          <w:szCs w:val="22"/>
        </w:rPr>
        <w:t>, (en lo sucesivo la “Solicitud de Cesión”).</w:t>
      </w:r>
    </w:p>
    <w:p w14:paraId="46A94139" w14:textId="77777777" w:rsidR="00D9584D" w:rsidRDefault="007D7A37" w:rsidP="00D9584D">
      <w:pPr>
        <w:pStyle w:val="Prrafodelista"/>
        <w:numPr>
          <w:ilvl w:val="0"/>
          <w:numId w:val="1"/>
        </w:numPr>
        <w:spacing w:afterLines="160" w:after="384" w:line="276" w:lineRule="auto"/>
        <w:jc w:val="both"/>
        <w:rPr>
          <w:rFonts w:ascii="ITC Avant Garde" w:hAnsi="ITC Avant Garde" w:cs="Arial"/>
          <w:kern w:val="1"/>
          <w:sz w:val="22"/>
          <w:szCs w:val="22"/>
          <w:lang w:eastAsia="ar-SA"/>
        </w:rPr>
      </w:pPr>
      <w:r>
        <w:rPr>
          <w:rFonts w:ascii="ITC Avant Garde" w:hAnsi="ITC Avant Garde"/>
          <w:b/>
          <w:bCs/>
          <w:color w:val="000000"/>
          <w:sz w:val="22"/>
          <w:szCs w:val="22"/>
          <w:lang w:eastAsia="es-MX"/>
        </w:rPr>
        <w:t>Decreto de Ley</w:t>
      </w:r>
      <w:r w:rsidR="00C21830" w:rsidRPr="008468EA">
        <w:rPr>
          <w:rFonts w:ascii="ITC Avant Garde" w:hAnsi="ITC Avant Garde"/>
          <w:b/>
          <w:kern w:val="1"/>
          <w:sz w:val="22"/>
          <w:szCs w:val="22"/>
          <w:lang w:eastAsia="ar-SA"/>
        </w:rPr>
        <w:t>.-</w:t>
      </w:r>
      <w:r w:rsidR="00C21830" w:rsidRPr="008468EA">
        <w:rPr>
          <w:rFonts w:ascii="ITC Avant Garde" w:hAnsi="ITC Avant Garde"/>
          <w:kern w:val="1"/>
          <w:sz w:val="22"/>
          <w:szCs w:val="22"/>
          <w:lang w:eastAsia="ar-SA"/>
        </w:rPr>
        <w:t xml:space="preserve"> E</w:t>
      </w:r>
      <w:r w:rsidR="005016C0">
        <w:rPr>
          <w:rFonts w:ascii="ITC Avant Garde" w:hAnsi="ITC Avant Garde"/>
          <w:kern w:val="1"/>
          <w:sz w:val="22"/>
          <w:szCs w:val="22"/>
          <w:lang w:eastAsia="ar-SA"/>
        </w:rPr>
        <w:t>l</w:t>
      </w:r>
      <w:r w:rsidR="00C21830" w:rsidRPr="008468EA">
        <w:rPr>
          <w:rFonts w:ascii="ITC Avant Garde" w:hAnsi="ITC Avant Garde"/>
          <w:kern w:val="1"/>
          <w:sz w:val="22"/>
          <w:szCs w:val="22"/>
          <w:lang w:eastAsia="ar-SA"/>
        </w:rPr>
        <w:t xml:space="preserve"> 14 de julio de 2014 se publicó en el DOF el “</w:t>
      </w:r>
      <w:r w:rsidR="00C21830" w:rsidRPr="008468EA">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21830" w:rsidRPr="008468EA">
        <w:rPr>
          <w:rFonts w:ascii="ITC Avant Garde" w:hAnsi="ITC Avant Garde"/>
          <w:kern w:val="1"/>
          <w:sz w:val="22"/>
          <w:szCs w:val="22"/>
          <w:lang w:eastAsia="ar-SA"/>
        </w:rPr>
        <w:t xml:space="preserve"> (en lo sucesivo el “Decreto</w:t>
      </w:r>
      <w:r w:rsidR="00742336">
        <w:rPr>
          <w:rFonts w:ascii="ITC Avant Garde" w:hAnsi="ITC Avant Garde"/>
          <w:kern w:val="1"/>
          <w:sz w:val="22"/>
          <w:szCs w:val="22"/>
          <w:lang w:eastAsia="ar-SA"/>
        </w:rPr>
        <w:t xml:space="preserve"> de</w:t>
      </w:r>
      <w:r w:rsidR="00C21830" w:rsidRPr="008468EA">
        <w:rPr>
          <w:rFonts w:ascii="ITC Avant Garde" w:hAnsi="ITC Avant Garde"/>
          <w:kern w:val="1"/>
          <w:sz w:val="22"/>
          <w:szCs w:val="22"/>
          <w:lang w:eastAsia="ar-SA"/>
        </w:rPr>
        <w:t xml:space="preserve"> Ley”), </w:t>
      </w:r>
      <w:r w:rsidR="00C21830" w:rsidRPr="008468EA">
        <w:rPr>
          <w:rFonts w:ascii="ITC Avant Garde" w:hAnsi="ITC Avant Garde" w:cs="Arial"/>
          <w:kern w:val="1"/>
          <w:sz w:val="22"/>
          <w:szCs w:val="22"/>
          <w:lang w:eastAsia="ar-SA"/>
        </w:rPr>
        <w:t>el cual entró en vigor el 13 de agosto de 2014.</w:t>
      </w:r>
    </w:p>
    <w:p w14:paraId="0FC810B4" w14:textId="77777777" w:rsidR="00D9584D" w:rsidRDefault="00C21830" w:rsidP="00D9584D">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8468EA">
        <w:rPr>
          <w:rFonts w:ascii="ITC Avant Garde" w:hAnsi="ITC Avant Garde" w:cs="Arial"/>
          <w:b/>
          <w:kern w:val="1"/>
          <w:sz w:val="22"/>
          <w:szCs w:val="22"/>
          <w:lang w:eastAsia="ar-SA"/>
        </w:rPr>
        <w:t>Estatuto Orgánico.-</w:t>
      </w:r>
      <w:r w:rsidRPr="008468EA">
        <w:rPr>
          <w:rFonts w:ascii="ITC Avant Garde" w:hAnsi="ITC Avant Garde"/>
          <w:kern w:val="1"/>
          <w:sz w:val="22"/>
          <w:szCs w:val="22"/>
          <w:lang w:eastAsia="ar-SA"/>
        </w:rPr>
        <w:t xml:space="preserve"> </w:t>
      </w:r>
      <w:r w:rsidRPr="008468EA">
        <w:rPr>
          <w:rFonts w:ascii="ITC Avant Garde" w:hAnsi="ITC Avant Garde" w:cs="Arial"/>
          <w:kern w:val="1"/>
          <w:sz w:val="22"/>
          <w:szCs w:val="22"/>
          <w:lang w:eastAsia="ar-SA"/>
        </w:rPr>
        <w:t>El 4 de septiembre de 2014, se publicó en el DOF el “</w:t>
      </w:r>
      <w:r w:rsidRPr="008468EA">
        <w:rPr>
          <w:rFonts w:ascii="ITC Avant Garde" w:hAnsi="ITC Avant Garde" w:cs="Arial"/>
          <w:i/>
          <w:kern w:val="1"/>
          <w:sz w:val="22"/>
          <w:szCs w:val="22"/>
          <w:lang w:eastAsia="ar-SA"/>
        </w:rPr>
        <w:t>Estatuto Orgánico del Instituto Federal de Telecomunicaciones</w:t>
      </w:r>
      <w:r w:rsidRPr="008468EA">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8468EA">
        <w:rPr>
          <w:rFonts w:ascii="ITC Avant Garde" w:hAnsi="ITC Avant Garde" w:cs="Arial"/>
          <w:i/>
          <w:kern w:val="1"/>
          <w:sz w:val="22"/>
          <w:szCs w:val="22"/>
          <w:lang w:eastAsia="ar-SA"/>
        </w:rPr>
        <w:t xml:space="preserve">“Acuerdo por el que se modifica el Estatuto Orgánico”, </w:t>
      </w:r>
      <w:r w:rsidRPr="008468EA">
        <w:rPr>
          <w:rFonts w:ascii="ITC Avant Garde" w:hAnsi="ITC Avant Garde" w:cs="Arial"/>
          <w:kern w:val="1"/>
          <w:sz w:val="22"/>
          <w:szCs w:val="22"/>
          <w:lang w:eastAsia="ar-SA"/>
        </w:rPr>
        <w:t>publicado en el DOF el 17 de octubre de 2014.</w:t>
      </w:r>
    </w:p>
    <w:p w14:paraId="661ACA43" w14:textId="77777777" w:rsidR="00D9584D" w:rsidRDefault="00C21830" w:rsidP="00D9584D">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8468EA">
        <w:rPr>
          <w:rFonts w:ascii="ITC Avant Garde" w:hAnsi="ITC Avant Garde" w:cs="Arial"/>
          <w:b/>
          <w:kern w:val="1"/>
          <w:sz w:val="22"/>
          <w:szCs w:val="22"/>
          <w:lang w:eastAsia="ar-SA"/>
        </w:rPr>
        <w:t xml:space="preserve">Escrito de sujeción al procedimiento señalado en el artículo 110 de la Ley.- </w:t>
      </w:r>
      <w:r w:rsidRPr="008468EA">
        <w:rPr>
          <w:rFonts w:ascii="ITC Avant Garde" w:hAnsi="ITC Avant Garde" w:cs="Arial"/>
          <w:kern w:val="1"/>
          <w:sz w:val="22"/>
          <w:szCs w:val="22"/>
          <w:lang w:eastAsia="ar-SA"/>
        </w:rPr>
        <w:t xml:space="preserve">Mediante escrito de fecha </w:t>
      </w:r>
      <w:r w:rsidR="00704B59" w:rsidRPr="008468EA">
        <w:rPr>
          <w:rFonts w:ascii="ITC Avant Garde" w:hAnsi="ITC Avant Garde" w:cs="Arial"/>
          <w:kern w:val="1"/>
          <w:sz w:val="22"/>
          <w:szCs w:val="22"/>
          <w:lang w:eastAsia="ar-SA"/>
        </w:rPr>
        <w:t>5</w:t>
      </w:r>
      <w:r w:rsidRPr="008468EA">
        <w:rPr>
          <w:rFonts w:ascii="ITC Avant Garde" w:hAnsi="ITC Avant Garde" w:cs="Arial"/>
          <w:kern w:val="1"/>
          <w:sz w:val="22"/>
          <w:szCs w:val="22"/>
          <w:lang w:eastAsia="ar-SA"/>
        </w:rPr>
        <w:t xml:space="preserve"> de marzo de 2015, recibido en este Instituto el </w:t>
      </w:r>
      <w:r w:rsidR="00704B59" w:rsidRPr="008468EA">
        <w:rPr>
          <w:rFonts w:ascii="ITC Avant Garde" w:hAnsi="ITC Avant Garde" w:cs="Arial"/>
          <w:kern w:val="1"/>
          <w:sz w:val="22"/>
          <w:szCs w:val="22"/>
          <w:lang w:eastAsia="ar-SA"/>
        </w:rPr>
        <w:t xml:space="preserve">11 del </w:t>
      </w:r>
      <w:r w:rsidR="00704B59" w:rsidRPr="008468EA">
        <w:rPr>
          <w:rFonts w:ascii="ITC Avant Garde" w:hAnsi="ITC Avant Garde" w:cs="Arial"/>
          <w:kern w:val="1"/>
          <w:sz w:val="22"/>
          <w:szCs w:val="22"/>
          <w:lang w:eastAsia="ar-SA"/>
        </w:rPr>
        <w:lastRenderedPageBreak/>
        <w:t>mismo mes y año</w:t>
      </w:r>
      <w:r w:rsidRPr="008468EA">
        <w:rPr>
          <w:rFonts w:ascii="ITC Avant Garde" w:hAnsi="ITC Avant Garde" w:cs="Arial"/>
          <w:kern w:val="1"/>
          <w:sz w:val="22"/>
          <w:szCs w:val="22"/>
          <w:lang w:eastAsia="ar-SA"/>
        </w:rPr>
        <w:t xml:space="preserve">, con folio de ingreso </w:t>
      </w:r>
      <w:r w:rsidR="00704B59" w:rsidRPr="008468EA">
        <w:rPr>
          <w:rFonts w:ascii="ITC Avant Garde" w:hAnsi="ITC Avant Garde" w:cs="Arial"/>
          <w:kern w:val="1"/>
          <w:sz w:val="22"/>
          <w:szCs w:val="22"/>
          <w:lang w:eastAsia="ar-SA"/>
        </w:rPr>
        <w:t>016671</w:t>
      </w:r>
      <w:r w:rsidRPr="008468EA">
        <w:rPr>
          <w:rFonts w:ascii="ITC Avant Garde" w:hAnsi="ITC Avant Garde" w:cs="Arial"/>
          <w:kern w:val="1"/>
          <w:sz w:val="22"/>
          <w:szCs w:val="22"/>
          <w:lang w:eastAsia="ar-SA"/>
        </w:rPr>
        <w:t xml:space="preserve">, </w:t>
      </w:r>
      <w:r w:rsidR="00D00660">
        <w:rPr>
          <w:rFonts w:ascii="ITC Avant Garde" w:hAnsi="ITC Avant Garde" w:cs="Arial"/>
          <w:kern w:val="1"/>
          <w:sz w:val="22"/>
          <w:szCs w:val="22"/>
          <w:lang w:eastAsia="ar-SA"/>
        </w:rPr>
        <w:t>e</w:t>
      </w:r>
      <w:r w:rsidRPr="008468EA">
        <w:rPr>
          <w:rFonts w:ascii="ITC Avant Garde" w:hAnsi="ITC Avant Garde" w:cs="Arial"/>
          <w:kern w:val="1"/>
          <w:sz w:val="22"/>
          <w:szCs w:val="22"/>
          <w:lang w:eastAsia="ar-SA"/>
        </w:rPr>
        <w:t>l CEDENTE solicitó la aplicación retroactiva del artículo 110 de la Ley Federal de Telecomunicaciones y de Radiodifusión (en lo sucesivo la “Ley”) en su beneficio, respecto de su Solicitud de Cesión.</w:t>
      </w:r>
    </w:p>
    <w:p w14:paraId="063261A8" w14:textId="77777777" w:rsidR="00D9584D" w:rsidRDefault="00C21830" w:rsidP="00D9584D">
      <w:pPr>
        <w:spacing w:afterLines="160" w:after="384" w:line="276" w:lineRule="auto"/>
        <w:jc w:val="both"/>
        <w:rPr>
          <w:rFonts w:ascii="ITC Avant Garde" w:hAnsi="ITC Avant Garde"/>
          <w:bCs/>
          <w:color w:val="000000"/>
          <w:sz w:val="22"/>
          <w:szCs w:val="22"/>
          <w:lang w:eastAsia="es-MX"/>
        </w:rPr>
      </w:pPr>
      <w:r w:rsidRPr="008468EA">
        <w:rPr>
          <w:rFonts w:ascii="ITC Avant Garde" w:hAnsi="ITC Avant Garde"/>
          <w:bCs/>
          <w:color w:val="000000"/>
          <w:sz w:val="22"/>
          <w:szCs w:val="22"/>
          <w:lang w:eastAsia="es-MX"/>
        </w:rPr>
        <w:t>En virtud de los Antecedentes referidos y,</w:t>
      </w:r>
    </w:p>
    <w:p w14:paraId="02C43321" w14:textId="77777777" w:rsidR="00D9584D" w:rsidRPr="00D9584D" w:rsidRDefault="00C21830" w:rsidP="00D9584D">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D9584D">
        <w:rPr>
          <w:rFonts w:ascii="ITC Avant Garde" w:eastAsiaTheme="majorEastAsia" w:hAnsi="ITC Avant Garde" w:cstheme="majorBidi"/>
          <w:color w:val="000000" w:themeColor="text1"/>
          <w:sz w:val="22"/>
          <w:szCs w:val="22"/>
          <w:lang w:eastAsia="en-US"/>
        </w:rPr>
        <w:t>CONSIDERANDO</w:t>
      </w:r>
    </w:p>
    <w:p w14:paraId="233F9152" w14:textId="77777777" w:rsidR="00D9584D" w:rsidRDefault="00C21830" w:rsidP="00D9584D">
      <w:pPr>
        <w:suppressAutoHyphens/>
        <w:spacing w:afterLines="160" w:after="384" w:line="276" w:lineRule="auto"/>
        <w:ind w:right="-62"/>
        <w:jc w:val="both"/>
        <w:rPr>
          <w:rFonts w:ascii="ITC Avant Garde" w:hAnsi="ITC Avant Garde"/>
          <w:bCs/>
          <w:sz w:val="22"/>
          <w:szCs w:val="22"/>
        </w:rPr>
      </w:pPr>
      <w:r w:rsidRPr="00F805BC">
        <w:rPr>
          <w:rFonts w:ascii="ITC Avant Garde" w:hAnsi="ITC Avant Garde" w:cs="Calibri"/>
          <w:b/>
          <w:bCs/>
          <w:sz w:val="22"/>
          <w:szCs w:val="22"/>
        </w:rPr>
        <w:t xml:space="preserve">Primero.- </w:t>
      </w:r>
      <w:r w:rsidRPr="00F805BC">
        <w:rPr>
          <w:rFonts w:ascii="ITC Avant Garde" w:hAnsi="ITC Avant Garde"/>
          <w:b/>
          <w:kern w:val="1"/>
          <w:sz w:val="22"/>
          <w:szCs w:val="22"/>
          <w:lang w:eastAsia="ar-SA"/>
        </w:rPr>
        <w:t xml:space="preserve">Competencia del Instituto. </w:t>
      </w:r>
      <w:r w:rsidRPr="00F805BC">
        <w:rPr>
          <w:rFonts w:ascii="ITC Avant Garde" w:hAnsi="ITC Avant Garde"/>
          <w:bCs/>
          <w:sz w:val="22"/>
          <w:szCs w:val="22"/>
        </w:rPr>
        <w:t>De conformidad con el artículo 28 párrafo</w:t>
      </w:r>
      <w:r w:rsidR="001D607A">
        <w:rPr>
          <w:rFonts w:ascii="ITC Avant Garde" w:hAnsi="ITC Avant Garde"/>
          <w:bCs/>
          <w:sz w:val="22"/>
          <w:szCs w:val="22"/>
        </w:rPr>
        <w:t>s</w:t>
      </w:r>
      <w:r w:rsidRPr="00F805BC">
        <w:rPr>
          <w:rFonts w:ascii="ITC Avant Garde" w:hAnsi="ITC Avant Garde"/>
          <w:bCs/>
          <w:sz w:val="22"/>
          <w:szCs w:val="22"/>
        </w:rPr>
        <w:t xml:space="preserve"> décimo quinto </w:t>
      </w:r>
      <w:r w:rsidR="001D607A">
        <w:rPr>
          <w:rFonts w:ascii="ITC Avant Garde" w:hAnsi="ITC Avant Garde"/>
          <w:bCs/>
          <w:sz w:val="22"/>
          <w:szCs w:val="22"/>
        </w:rPr>
        <w:t xml:space="preserve">y décimo sexto </w:t>
      </w:r>
      <w:r w:rsidRPr="00F805BC">
        <w:rPr>
          <w:rFonts w:ascii="ITC Avant Garde" w:hAnsi="ITC Avant Garde"/>
          <w:bCs/>
          <w:sz w:val="22"/>
          <w:szCs w:val="22"/>
        </w:rPr>
        <w:t>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728F25CB" w14:textId="77777777" w:rsidR="00D9584D" w:rsidRDefault="00C21830" w:rsidP="00D9584D">
      <w:pPr>
        <w:suppressAutoHyphens/>
        <w:spacing w:afterLines="160" w:after="384" w:line="276" w:lineRule="auto"/>
        <w:ind w:right="-62"/>
        <w:jc w:val="both"/>
        <w:rPr>
          <w:rFonts w:ascii="ITC Avant Garde" w:hAnsi="ITC Avant Garde"/>
          <w:kern w:val="1"/>
          <w:sz w:val="22"/>
          <w:szCs w:val="22"/>
          <w:lang w:eastAsia="ar-SA"/>
        </w:rPr>
      </w:pPr>
      <w:r w:rsidRPr="00F805BC">
        <w:rPr>
          <w:rFonts w:ascii="ITC Avant Garde" w:hAnsi="ITC Avant Garde"/>
          <w:bCs/>
          <w:sz w:val="22"/>
          <w:szCs w:val="22"/>
        </w:rPr>
        <w:t xml:space="preserve">Asimismo, </w:t>
      </w:r>
      <w:r w:rsidRPr="00F805BC">
        <w:rPr>
          <w:rFonts w:ascii="ITC Avant Garde" w:hAnsi="ITC Avant Garde"/>
          <w:bCs/>
          <w:sz w:val="22"/>
          <w:szCs w:val="22"/>
          <w:lang w:val="es-MX"/>
        </w:rPr>
        <w:t>conforme al artículo 28 párrafo décimo sexto de la Constitución</w:t>
      </w:r>
      <w:r w:rsidRPr="00F805BC">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947109">
        <w:rPr>
          <w:rFonts w:ascii="ITC Avant Garde" w:hAnsi="ITC Avant Garde"/>
          <w:bCs/>
          <w:sz w:val="22"/>
          <w:szCs w:val="22"/>
        </w:rPr>
        <w:t xml:space="preserve">a la concentración, </w:t>
      </w:r>
      <w:r w:rsidRPr="00F805BC">
        <w:rPr>
          <w:rFonts w:ascii="ITC Avant Garde" w:hAnsi="ITC Avant Garde"/>
          <w:bCs/>
          <w:sz w:val="22"/>
          <w:szCs w:val="22"/>
        </w:rPr>
        <w:t>al concesionamiento y a la propiedad cruzada que controle varios medios de comunicación que sean concesionarios de radiodifusión y telecomunicaciones que sirvan a un mismo mercado o zona de cobertura geográfica.</w:t>
      </w:r>
    </w:p>
    <w:p w14:paraId="6A9F84FF" w14:textId="58B6A970" w:rsidR="00C21830" w:rsidRPr="00F805BC" w:rsidRDefault="00C21830" w:rsidP="00D9584D">
      <w:pPr>
        <w:suppressAutoHyphens/>
        <w:spacing w:afterLines="160" w:after="384" w:line="276" w:lineRule="auto"/>
        <w:ind w:right="-62"/>
        <w:jc w:val="both"/>
        <w:rPr>
          <w:rFonts w:ascii="ITC Avant Garde" w:hAnsi="ITC Avant Garde"/>
          <w:kern w:val="1"/>
          <w:sz w:val="22"/>
          <w:szCs w:val="22"/>
          <w:lang w:eastAsia="ar-SA"/>
        </w:rPr>
      </w:pPr>
      <w:r w:rsidRPr="00F805BC">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14:paraId="28883CD9" w14:textId="77777777" w:rsidR="00D9584D" w:rsidRDefault="00C21830" w:rsidP="00D9584D">
      <w:pPr>
        <w:suppressAutoHyphens/>
        <w:spacing w:afterLines="160" w:after="384" w:line="276" w:lineRule="auto"/>
        <w:ind w:right="-62"/>
        <w:jc w:val="both"/>
        <w:rPr>
          <w:rFonts w:ascii="ITC Avant Garde" w:hAnsi="ITC Avant Garde"/>
          <w:kern w:val="1"/>
          <w:sz w:val="22"/>
          <w:szCs w:val="22"/>
          <w:lang w:eastAsia="ar-SA"/>
        </w:rPr>
      </w:pPr>
      <w:r w:rsidRPr="00F805BC">
        <w:rPr>
          <w:rFonts w:ascii="ITC Avant Garde" w:hAnsi="ITC Avant Garde"/>
          <w:bCs/>
          <w:sz w:val="22"/>
          <w:szCs w:val="22"/>
        </w:rPr>
        <w:t>Por su parte, e</w:t>
      </w:r>
      <w:r w:rsidRPr="00F805BC">
        <w:rPr>
          <w:rFonts w:ascii="ITC Avant Garde" w:hAnsi="ITC Avant Garde"/>
          <w:kern w:val="1"/>
          <w:sz w:val="22"/>
          <w:szCs w:val="22"/>
          <w:lang w:eastAsia="ar-SA"/>
        </w:rPr>
        <w:t>l segundo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14:paraId="61E459A3" w14:textId="77777777" w:rsidR="00D9584D" w:rsidRDefault="00A23279" w:rsidP="00D9584D">
      <w:pPr>
        <w:suppressAutoHyphens/>
        <w:spacing w:afterLines="160" w:after="384" w:line="276" w:lineRule="auto"/>
        <w:ind w:right="-62"/>
        <w:jc w:val="both"/>
        <w:rPr>
          <w:rFonts w:ascii="ITC Avant Garde" w:hAnsi="ITC Avant Garde"/>
          <w:kern w:val="1"/>
          <w:sz w:val="22"/>
          <w:szCs w:val="22"/>
          <w:lang w:eastAsia="ar-SA"/>
        </w:rPr>
      </w:pPr>
      <w:r w:rsidRPr="00F805BC">
        <w:rPr>
          <w:rFonts w:ascii="ITC Avant Garde" w:hAnsi="ITC Avant Garde"/>
          <w:bCs/>
          <w:sz w:val="22"/>
          <w:szCs w:val="22"/>
        </w:rPr>
        <w:lastRenderedPageBreak/>
        <w:t xml:space="preserve">Así, </w:t>
      </w:r>
      <w:r w:rsidRPr="00F805BC">
        <w:rPr>
          <w:rFonts w:ascii="ITC Avant Garde" w:hAnsi="ITC Avant Garde"/>
          <w:kern w:val="1"/>
          <w:sz w:val="22"/>
          <w:szCs w:val="22"/>
          <w:lang w:eastAsia="ar-SA"/>
        </w:rPr>
        <w:t>el artículo Sexto Transitorio del Decreto</w:t>
      </w:r>
      <w:r>
        <w:rPr>
          <w:rFonts w:ascii="ITC Avant Garde" w:hAnsi="ITC Avant Garde"/>
          <w:kern w:val="1"/>
          <w:sz w:val="22"/>
          <w:szCs w:val="22"/>
          <w:lang w:eastAsia="ar-SA"/>
        </w:rPr>
        <w:t xml:space="preserve"> de</w:t>
      </w:r>
      <w:r w:rsidRPr="00F805BC">
        <w:rPr>
          <w:rFonts w:ascii="ITC Avant Garde" w:hAnsi="ITC Avant Garde"/>
          <w:kern w:val="1"/>
          <w:sz w:val="22"/>
          <w:szCs w:val="22"/>
          <w:lang w:eastAsia="ar-SA"/>
        </w:rPr>
        <w:t xml:space="preserve"> Ley, señala que la atención, trámite y resolución de los asuntos y procedimientos que hayan iniciado previo a la entrada en vigor de la misma, se realizarán en los términos establecidos en el artículo Séptimo Transitorio del Decreto de Reforma Constitucional</w:t>
      </w:r>
      <w:r>
        <w:rPr>
          <w:rFonts w:ascii="ITC Avant Garde" w:hAnsi="ITC Avant Garde"/>
          <w:kern w:val="1"/>
          <w:sz w:val="22"/>
          <w:szCs w:val="22"/>
          <w:lang w:eastAsia="ar-SA"/>
        </w:rPr>
        <w:t>.</w:t>
      </w:r>
    </w:p>
    <w:p w14:paraId="5C58B1C5" w14:textId="77777777" w:rsidR="00D9584D" w:rsidRDefault="00C21830" w:rsidP="00D9584D">
      <w:pPr>
        <w:suppressAutoHyphens/>
        <w:spacing w:afterLines="160" w:after="384" w:line="276" w:lineRule="auto"/>
        <w:ind w:right="-62"/>
        <w:jc w:val="both"/>
        <w:rPr>
          <w:rFonts w:ascii="ITC Avant Garde" w:hAnsi="ITC Avant Garde"/>
          <w:kern w:val="1"/>
          <w:sz w:val="22"/>
          <w:szCs w:val="22"/>
          <w:lang w:eastAsia="ar-SA"/>
        </w:rPr>
      </w:pPr>
      <w:r w:rsidRPr="00F805BC">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F805BC">
        <w:rPr>
          <w:rFonts w:ascii="ITC Avant Garde" w:hAnsi="ITC Avant Garde"/>
          <w:bCs/>
          <w:sz w:val="22"/>
          <w:szCs w:val="22"/>
          <w:lang w:eastAsia="es-MX"/>
        </w:rPr>
        <w:t xml:space="preserve">Ley y </w:t>
      </w:r>
      <w:r w:rsidRPr="00F805BC">
        <w:rPr>
          <w:rFonts w:ascii="ITC Avant Garde" w:hAnsi="ITC Avant Garde" w:cs="Tahoma"/>
          <w:bCs/>
          <w:sz w:val="22"/>
          <w:szCs w:val="22"/>
          <w:lang w:eastAsia="es-MX"/>
        </w:rPr>
        <w:t>6</w:t>
      </w:r>
      <w:r w:rsidR="00A6218B">
        <w:rPr>
          <w:rFonts w:ascii="ITC Avant Garde" w:hAnsi="ITC Avant Garde" w:cs="Tahoma"/>
          <w:bCs/>
          <w:sz w:val="22"/>
          <w:szCs w:val="22"/>
          <w:lang w:eastAsia="es-MX"/>
        </w:rPr>
        <w:t xml:space="preserve"> fracci</w:t>
      </w:r>
      <w:r w:rsidR="004C7271">
        <w:rPr>
          <w:rFonts w:ascii="ITC Avant Garde" w:hAnsi="ITC Avant Garde" w:cs="Tahoma"/>
          <w:bCs/>
          <w:sz w:val="22"/>
          <w:szCs w:val="22"/>
          <w:lang w:eastAsia="es-MX"/>
        </w:rPr>
        <w:t>o</w:t>
      </w:r>
      <w:r w:rsidR="00A6218B">
        <w:rPr>
          <w:rFonts w:ascii="ITC Avant Garde" w:hAnsi="ITC Avant Garde" w:cs="Tahoma"/>
          <w:bCs/>
          <w:sz w:val="22"/>
          <w:szCs w:val="22"/>
          <w:lang w:eastAsia="es-MX"/>
        </w:rPr>
        <w:t>n</w:t>
      </w:r>
      <w:r w:rsidR="004C7271">
        <w:rPr>
          <w:rFonts w:ascii="ITC Avant Garde" w:hAnsi="ITC Avant Garde" w:cs="Tahoma"/>
          <w:bCs/>
          <w:sz w:val="22"/>
          <w:szCs w:val="22"/>
          <w:lang w:eastAsia="es-MX"/>
        </w:rPr>
        <w:t>es</w:t>
      </w:r>
      <w:r w:rsidR="00A6218B">
        <w:rPr>
          <w:rFonts w:ascii="ITC Avant Garde" w:hAnsi="ITC Avant Garde" w:cs="Tahoma"/>
          <w:bCs/>
          <w:sz w:val="22"/>
          <w:szCs w:val="22"/>
          <w:lang w:eastAsia="es-MX"/>
        </w:rPr>
        <w:t xml:space="preserve"> </w:t>
      </w:r>
      <w:r w:rsidR="004C7271">
        <w:rPr>
          <w:rFonts w:ascii="ITC Avant Garde" w:hAnsi="ITC Avant Garde" w:cs="Tahoma"/>
          <w:bCs/>
          <w:sz w:val="22"/>
          <w:szCs w:val="22"/>
          <w:lang w:eastAsia="es-MX"/>
        </w:rPr>
        <w:t xml:space="preserve">I y </w:t>
      </w:r>
      <w:r w:rsidR="00A6218B">
        <w:rPr>
          <w:rFonts w:ascii="ITC Avant Garde" w:hAnsi="ITC Avant Garde" w:cs="Tahoma"/>
          <w:bCs/>
          <w:sz w:val="22"/>
          <w:szCs w:val="22"/>
          <w:lang w:eastAsia="es-MX"/>
        </w:rPr>
        <w:t>XXXVII</w:t>
      </w:r>
      <w:r w:rsidRPr="00F805BC">
        <w:rPr>
          <w:rFonts w:ascii="ITC Avant Garde" w:hAnsi="ITC Avant Garde" w:cs="Tahoma"/>
          <w:bCs/>
          <w:sz w:val="22"/>
          <w:szCs w:val="22"/>
          <w:lang w:eastAsia="es-MX"/>
        </w:rPr>
        <w:t xml:space="preserve"> del Estatuto Orgánico</w:t>
      </w:r>
      <w:r w:rsidRPr="00F805BC">
        <w:rPr>
          <w:rFonts w:ascii="ITC Avant Garde" w:hAnsi="ITC Avant Garde"/>
          <w:bCs/>
          <w:sz w:val="22"/>
          <w:szCs w:val="22"/>
          <w:lang w:eastAsia="es-MX"/>
        </w:rPr>
        <w:t>,</w:t>
      </w:r>
      <w:r w:rsidRPr="00F805BC">
        <w:rPr>
          <w:rFonts w:ascii="ITC Avant Garde" w:hAnsi="ITC Avant Garde" w:cs="Tahoma"/>
          <w:bCs/>
          <w:sz w:val="22"/>
          <w:szCs w:val="22"/>
          <w:lang w:eastAsia="es-MX"/>
        </w:rPr>
        <w:t xml:space="preserve"> </w:t>
      </w:r>
      <w:r w:rsidRPr="00F805BC">
        <w:rPr>
          <w:rFonts w:ascii="ITC Avant Garde" w:hAnsi="ITC Avant Garde" w:cs="Tahoma"/>
          <w:bCs/>
          <w:sz w:val="22"/>
          <w:szCs w:val="22"/>
          <w:lang w:val="es-ES_tradnl" w:eastAsia="es-MX"/>
        </w:rPr>
        <w:t>autorizar cesiones o cambios de control accionario, titularidad u operación de sociedades relacionadas con concesiones</w:t>
      </w:r>
      <w:r w:rsidRPr="00F805BC">
        <w:rPr>
          <w:rFonts w:ascii="ITC Avant Garde" w:hAnsi="ITC Avant Garde" w:cs="Tahoma"/>
          <w:bCs/>
          <w:sz w:val="22"/>
          <w:szCs w:val="22"/>
          <w:lang w:eastAsia="es-MX"/>
        </w:rPr>
        <w:t>.</w:t>
      </w:r>
    </w:p>
    <w:p w14:paraId="5071D1DD" w14:textId="77777777" w:rsidR="00D9584D" w:rsidRDefault="00C21830" w:rsidP="00D9584D">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F805BC">
        <w:rPr>
          <w:rFonts w:ascii="ITC Avant Garde" w:hAnsi="ITC Avant Garde"/>
          <w:bCs/>
          <w:kern w:val="1"/>
          <w:sz w:val="22"/>
          <w:szCs w:val="22"/>
          <w:lang w:val="es-MX" w:eastAsia="ar-SA"/>
        </w:rPr>
        <w:t>En este sentido, conforme al artículo 32 del Estatuto Orgánico, corresponden originariamente a la Unidad de Concesiones y Servicios</w:t>
      </w:r>
      <w:r w:rsidR="00B14DE4" w:rsidRPr="00F805BC">
        <w:rPr>
          <w:rFonts w:ascii="ITC Avant Garde" w:hAnsi="ITC Avant Garde"/>
          <w:bCs/>
          <w:kern w:val="1"/>
          <w:sz w:val="22"/>
          <w:szCs w:val="22"/>
          <w:lang w:val="es-MX" w:eastAsia="ar-SA"/>
        </w:rPr>
        <w:t xml:space="preserve"> (en lo sucesivo la “UCS”)</w:t>
      </w:r>
      <w:r w:rsidRPr="00F805BC">
        <w:rPr>
          <w:rFonts w:ascii="ITC Avant Garde" w:hAnsi="ITC Avant Garde"/>
          <w:bCs/>
          <w:kern w:val="1"/>
          <w:sz w:val="22"/>
          <w:szCs w:val="22"/>
          <w:lang w:val="es-MX" w:eastAsia="ar-SA"/>
        </w:rPr>
        <w:t xml:space="preserve"> las atribuciones conferidas a la Dirección General de Concesiones de Radiodifusión, por ende, corresponde a dicha Dirección General en términos del artículo 34 fracción II del ordenamiento jurídico en cita, </w:t>
      </w:r>
      <w:r w:rsidRPr="00F805BC">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F805BC">
        <w:rPr>
          <w:rFonts w:ascii="ITC Avant Garde" w:hAnsi="ITC Avant Garde"/>
          <w:bCs/>
          <w:kern w:val="1"/>
          <w:sz w:val="22"/>
          <w:szCs w:val="22"/>
          <w:lang w:val="es-MX" w:eastAsia="ar-SA"/>
        </w:rPr>
        <w:t>.</w:t>
      </w:r>
    </w:p>
    <w:p w14:paraId="6F6C7534" w14:textId="77777777" w:rsidR="00D9584D" w:rsidRDefault="00C21830" w:rsidP="00D9584D">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F805BC">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F805BC">
        <w:rPr>
          <w:rFonts w:ascii="ITC Avant Garde" w:hAnsi="ITC Avant Garde"/>
          <w:bCs/>
          <w:kern w:val="1"/>
          <w:sz w:val="22"/>
          <w:szCs w:val="22"/>
          <w:lang w:eastAsia="ar-SA"/>
        </w:rPr>
        <w:t>cesiones relacionadas con concesiones en materia de radiodifusión y telecomunicaciones</w:t>
      </w:r>
      <w:r w:rsidRPr="00F805BC">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14:paraId="62237CA3" w14:textId="77777777" w:rsidR="00D9584D" w:rsidRDefault="00C21830" w:rsidP="00D9584D">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F805BC">
        <w:rPr>
          <w:rFonts w:ascii="ITC Avant Garde" w:hAnsi="ITC Avant Garde" w:cs="Calibri"/>
          <w:b/>
          <w:bCs/>
          <w:sz w:val="22"/>
          <w:szCs w:val="22"/>
        </w:rPr>
        <w:t xml:space="preserve">Segundo.- </w:t>
      </w:r>
      <w:r w:rsidRPr="00F805BC">
        <w:rPr>
          <w:rFonts w:ascii="ITC Avant Garde" w:hAnsi="ITC Avant Garde"/>
          <w:b/>
          <w:kern w:val="1"/>
          <w:sz w:val="22"/>
          <w:szCs w:val="22"/>
          <w:lang w:eastAsia="ar-SA"/>
        </w:rPr>
        <w:t>Marco Legal aplicable de la Cesión de Derechos y Obligaciones</w:t>
      </w:r>
      <w:r w:rsidRPr="00F805BC">
        <w:rPr>
          <w:rFonts w:ascii="ITC Avant Garde" w:hAnsi="ITC Avant Garde" w:cs="Calibri"/>
          <w:b/>
          <w:sz w:val="22"/>
          <w:szCs w:val="22"/>
        </w:rPr>
        <w:t>.</w:t>
      </w:r>
      <w:r w:rsidRPr="00F805BC">
        <w:rPr>
          <w:rFonts w:ascii="ITC Avant Garde" w:hAnsi="ITC Avant Garde" w:cs="Calibri"/>
          <w:sz w:val="22"/>
          <w:szCs w:val="22"/>
        </w:rPr>
        <w:t xml:space="preserve"> </w:t>
      </w:r>
      <w:r w:rsidRPr="00F805BC">
        <w:rPr>
          <w:rFonts w:ascii="ITC Avant Garde" w:eastAsia="Calibri" w:hAnsi="ITC Avant Garde" w:cs="Tahoma"/>
          <w:bCs/>
          <w:color w:val="000000"/>
          <w:sz w:val="22"/>
          <w:szCs w:val="22"/>
          <w:lang w:val="es-MX" w:eastAsia="es-MX"/>
        </w:rPr>
        <w:t>El artículo Sexto Transitorio del Decreto</w:t>
      </w:r>
      <w:r w:rsidR="00742336">
        <w:rPr>
          <w:rFonts w:ascii="ITC Avant Garde" w:eastAsia="Calibri" w:hAnsi="ITC Avant Garde" w:cs="Tahoma"/>
          <w:bCs/>
          <w:color w:val="000000"/>
          <w:sz w:val="22"/>
          <w:szCs w:val="22"/>
          <w:lang w:val="es-MX" w:eastAsia="es-MX"/>
        </w:rPr>
        <w:t xml:space="preserve"> de</w:t>
      </w:r>
      <w:r w:rsidRPr="00F805BC">
        <w:rPr>
          <w:rFonts w:ascii="ITC Avant Garde" w:eastAsia="Calibri" w:hAnsi="ITC Avant Garde" w:cs="Tahoma"/>
          <w:bCs/>
          <w:color w:val="000000"/>
          <w:sz w:val="22"/>
          <w:szCs w:val="22"/>
          <w:lang w:val="es-MX" w:eastAsia="es-MX"/>
        </w:rPr>
        <w:t xml:space="preserve"> Ley </w:t>
      </w:r>
      <w:r w:rsidRPr="00F805BC">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14:paraId="4494B15F" w14:textId="77777777" w:rsidR="00D9584D" w:rsidRDefault="00C21830" w:rsidP="00D9584D">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F805BC">
        <w:rPr>
          <w:rFonts w:ascii="ITC Avant Garde" w:hAnsi="ITC Avant Garde"/>
          <w:bCs/>
          <w:i/>
          <w:color w:val="000000"/>
          <w:sz w:val="20"/>
          <w:lang w:val="es-MX"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25B5BB7C" w14:textId="77777777" w:rsidR="00D9584D" w:rsidRDefault="00C21830" w:rsidP="00D9584D">
      <w:pPr>
        <w:spacing w:afterLines="160" w:after="384" w:line="276" w:lineRule="auto"/>
        <w:jc w:val="both"/>
        <w:rPr>
          <w:rFonts w:ascii="ITC Avant Garde" w:hAnsi="ITC Avant Garde"/>
          <w:bCs/>
          <w:color w:val="000000"/>
          <w:sz w:val="22"/>
          <w:szCs w:val="22"/>
          <w:lang w:val="es-MX" w:eastAsia="es-MX"/>
        </w:rPr>
      </w:pPr>
      <w:r w:rsidRPr="00F805BC">
        <w:rPr>
          <w:rFonts w:ascii="ITC Avant Garde" w:hAnsi="ITC Avant Garde"/>
          <w:bCs/>
          <w:color w:val="000000"/>
          <w:sz w:val="22"/>
          <w:szCs w:val="22"/>
          <w:lang w:val="es-MX" w:eastAsia="es-MX"/>
        </w:rPr>
        <w:lastRenderedPageBreak/>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14:paraId="67FAE9AF" w14:textId="77777777" w:rsidR="00D9584D" w:rsidRDefault="00C21830" w:rsidP="00D9584D">
      <w:pPr>
        <w:tabs>
          <w:tab w:val="left" w:pos="8505"/>
        </w:tabs>
        <w:spacing w:afterLines="160" w:after="384" w:line="276" w:lineRule="auto"/>
        <w:ind w:left="8505" w:right="902" w:hanging="7938"/>
        <w:jc w:val="both"/>
        <w:rPr>
          <w:rFonts w:ascii="ITC Avant Garde" w:hAnsi="ITC Avant Garde"/>
          <w:bCs/>
          <w:i/>
          <w:color w:val="000000"/>
          <w:sz w:val="20"/>
          <w:lang w:val="es-MX" w:eastAsia="es-MX"/>
        </w:rPr>
      </w:pPr>
      <w:r w:rsidRPr="00F805BC">
        <w:rPr>
          <w:rFonts w:ascii="ITC Avant Garde" w:hAnsi="ITC Avant Garde"/>
          <w:bCs/>
          <w:i/>
          <w:color w:val="000000"/>
          <w:sz w:val="20"/>
          <w:lang w:val="es-MX" w:eastAsia="es-MX"/>
        </w:rPr>
        <w:t>“SÉPTIMO. ...</w:t>
      </w:r>
    </w:p>
    <w:p w14:paraId="000C5654" w14:textId="77777777" w:rsidR="00D9584D" w:rsidRDefault="00C21830" w:rsidP="00D9584D">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F805BC">
        <w:rPr>
          <w:rFonts w:ascii="ITC Avant Garde" w:hAnsi="ITC Avant Garde"/>
          <w:bCs/>
          <w:i/>
          <w:color w:val="000000"/>
          <w:sz w:val="20"/>
          <w:lang w:val="es-MX"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027197F2" w14:textId="77777777" w:rsidR="00D9584D" w:rsidRDefault="00C21830" w:rsidP="00D9584D">
      <w:pPr>
        <w:spacing w:afterLines="160" w:after="384" w:line="276" w:lineRule="auto"/>
        <w:jc w:val="both"/>
        <w:rPr>
          <w:rFonts w:ascii="ITC Avant Garde" w:hAnsi="ITC Avant Garde"/>
          <w:bCs/>
          <w:color w:val="000000"/>
          <w:sz w:val="22"/>
          <w:szCs w:val="22"/>
          <w:lang w:val="es-MX" w:eastAsia="es-MX"/>
        </w:rPr>
      </w:pPr>
      <w:r w:rsidRPr="00F805BC">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F805BC">
        <w:rPr>
          <w:rFonts w:ascii="ITC Avant Garde" w:eastAsia="Calibri" w:hAnsi="ITC Avant Garde" w:cs="Tahoma"/>
          <w:bCs/>
          <w:color w:val="000000"/>
          <w:sz w:val="22"/>
          <w:szCs w:val="22"/>
          <w:lang w:val="es-MX" w:eastAsia="es-MX"/>
        </w:rPr>
        <w:t xml:space="preserve">LFRTV </w:t>
      </w:r>
      <w:r w:rsidRPr="00F805BC">
        <w:rPr>
          <w:rFonts w:ascii="ITC Avant Garde" w:hAnsi="ITC Avant Garde"/>
          <w:bCs/>
          <w:color w:val="000000"/>
          <w:sz w:val="22"/>
          <w:szCs w:val="22"/>
          <w:lang w:val="es-MX" w:eastAsia="es-MX"/>
        </w:rPr>
        <w:t>y demás disposiciones aplicables vigentes al momento en que se formuló la petición.</w:t>
      </w:r>
    </w:p>
    <w:p w14:paraId="2E37BAAA" w14:textId="77777777" w:rsidR="00D9584D" w:rsidRDefault="00C21830" w:rsidP="00D9584D">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F805BC">
        <w:rPr>
          <w:rFonts w:ascii="ITC Avant Garde" w:eastAsia="Calibri" w:hAnsi="ITC Avant Garde" w:cs="Tahoma"/>
          <w:bCs/>
          <w:color w:val="000000"/>
          <w:sz w:val="22"/>
          <w:szCs w:val="22"/>
          <w:lang w:val="es-MX" w:eastAsia="es-MX"/>
        </w:rPr>
        <w:t xml:space="preserve">De manera particular, en virtud de que la Solicitud de Cesión fue presentada ante la COFETEL el </w:t>
      </w:r>
      <w:r w:rsidR="00951AE6">
        <w:rPr>
          <w:rFonts w:ascii="ITC Avant Garde" w:eastAsia="Calibri" w:hAnsi="ITC Avant Garde" w:cs="Tahoma"/>
          <w:bCs/>
          <w:color w:val="000000"/>
          <w:sz w:val="22"/>
          <w:szCs w:val="22"/>
          <w:lang w:val="es-MX" w:eastAsia="es-MX"/>
        </w:rPr>
        <w:t xml:space="preserve">12 </w:t>
      </w:r>
      <w:r w:rsidR="00836DFD" w:rsidRPr="00F805BC">
        <w:rPr>
          <w:rFonts w:ascii="ITC Avant Garde" w:eastAsia="Calibri" w:hAnsi="ITC Avant Garde" w:cs="Tahoma"/>
          <w:bCs/>
          <w:noProof/>
          <w:color w:val="000000"/>
          <w:sz w:val="22"/>
          <w:szCs w:val="22"/>
          <w:lang w:val="es-MX" w:eastAsia="es-MX"/>
        </w:rPr>
        <w:t xml:space="preserve">de </w:t>
      </w:r>
      <w:r w:rsidR="00951AE6">
        <w:rPr>
          <w:rFonts w:ascii="ITC Avant Garde" w:eastAsia="Calibri" w:hAnsi="ITC Avant Garde" w:cs="Tahoma"/>
          <w:bCs/>
          <w:noProof/>
          <w:color w:val="000000"/>
          <w:sz w:val="22"/>
          <w:szCs w:val="22"/>
          <w:lang w:val="es-MX" w:eastAsia="es-MX"/>
        </w:rPr>
        <w:t>julio</w:t>
      </w:r>
      <w:r w:rsidR="00B2290A" w:rsidRPr="00F805BC">
        <w:rPr>
          <w:rFonts w:ascii="ITC Avant Garde" w:eastAsia="Calibri" w:hAnsi="ITC Avant Garde" w:cs="Tahoma"/>
          <w:bCs/>
          <w:noProof/>
          <w:color w:val="000000"/>
          <w:sz w:val="22"/>
          <w:szCs w:val="22"/>
          <w:lang w:val="es-MX" w:eastAsia="es-MX"/>
        </w:rPr>
        <w:t xml:space="preserve"> de 2013</w:t>
      </w:r>
      <w:r w:rsidRPr="00F805BC">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F805BC">
        <w:rPr>
          <w:rFonts w:ascii="ITC Avant Garde" w:hAnsi="ITC Avant Garde"/>
          <w:bCs/>
          <w:color w:val="000000"/>
          <w:sz w:val="22"/>
          <w:szCs w:val="22"/>
          <w:lang w:val="es-MX" w:eastAsia="es-MX"/>
        </w:rPr>
        <w:t xml:space="preserve">para las cesiones de derechos </w:t>
      </w:r>
      <w:r w:rsidRPr="00F805BC">
        <w:rPr>
          <w:rFonts w:ascii="ITC Avant Garde" w:eastAsia="Calibri" w:hAnsi="ITC Avant Garde" w:cs="Tahoma"/>
          <w:bCs/>
          <w:color w:val="000000"/>
          <w:sz w:val="22"/>
          <w:szCs w:val="22"/>
          <w:lang w:val="es-MX" w:eastAsia="es-MX"/>
        </w:rPr>
        <w:t>establece la LFRTV.</w:t>
      </w:r>
    </w:p>
    <w:p w14:paraId="58DFF982" w14:textId="77777777" w:rsidR="00D9584D" w:rsidRDefault="00C21830" w:rsidP="00D9584D">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F805BC">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F805BC">
        <w:rPr>
          <w:rFonts w:ascii="ITC Avant Garde" w:hAnsi="ITC Avant Garde" w:cs="Calibri"/>
          <w:sz w:val="22"/>
          <w:szCs w:val="22"/>
          <w:lang w:val="es-ES_tradnl"/>
        </w:rPr>
        <w:t>es del tenor siguiente:</w:t>
      </w:r>
    </w:p>
    <w:p w14:paraId="2D944EE8" w14:textId="77777777" w:rsidR="00D9584D" w:rsidRDefault="00C21830" w:rsidP="00D9584D">
      <w:pPr>
        <w:pStyle w:val="Textoindependiente"/>
        <w:spacing w:afterLines="160" w:after="384" w:line="276" w:lineRule="auto"/>
        <w:ind w:left="567" w:right="1469"/>
        <w:rPr>
          <w:rFonts w:ascii="ITC Avant Garde" w:hAnsi="ITC Avant Garde" w:cs="Calibri"/>
          <w:i/>
          <w:sz w:val="20"/>
        </w:rPr>
      </w:pPr>
      <w:r w:rsidRPr="00F805BC">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14:paraId="055D8080" w14:textId="77777777" w:rsidR="00D9584D" w:rsidRDefault="00C21830" w:rsidP="00D9584D">
      <w:pPr>
        <w:pStyle w:val="Textoindependiente"/>
        <w:spacing w:afterLines="160" w:after="384" w:line="276" w:lineRule="auto"/>
        <w:ind w:right="49"/>
        <w:rPr>
          <w:rFonts w:ascii="ITC Avant Garde" w:hAnsi="ITC Avant Garde" w:cs="Calibri"/>
          <w:sz w:val="22"/>
          <w:szCs w:val="22"/>
        </w:rPr>
      </w:pPr>
      <w:r w:rsidRPr="00F805BC">
        <w:rPr>
          <w:rFonts w:ascii="ITC Avant Garde" w:hAnsi="ITC Avant Garde" w:cs="Calibri"/>
          <w:sz w:val="22"/>
          <w:szCs w:val="22"/>
        </w:rPr>
        <w:t>En esa tesitura, se desprende que los supuestos que deben cumplimentarse para que se autorice la cesión de derechos de una concesión en materia de radiodifusión son:</w:t>
      </w:r>
      <w:r w:rsidR="00CF1E70">
        <w:rPr>
          <w:rFonts w:ascii="ITC Avant Garde" w:hAnsi="ITC Avant Garde" w:cs="Calibri"/>
          <w:sz w:val="22"/>
          <w:szCs w:val="22"/>
          <w:lang w:val="es-MX"/>
        </w:rPr>
        <w:t xml:space="preserve">  </w:t>
      </w:r>
      <w:r w:rsidRPr="00F805BC">
        <w:rPr>
          <w:rFonts w:ascii="ITC Avant Garde" w:hAnsi="ITC Avant Garde" w:cs="Calibri"/>
          <w:sz w:val="22"/>
          <w:szCs w:val="22"/>
        </w:rPr>
        <w:t xml:space="preserve"> (i) </w:t>
      </w:r>
      <w:r w:rsidRPr="00F805BC">
        <w:rPr>
          <w:rFonts w:ascii="ITC Avant Garde" w:hAnsi="ITC Avant Garde" w:cs="Calibri"/>
          <w:sz w:val="22"/>
          <w:szCs w:val="22"/>
        </w:rPr>
        <w:lastRenderedPageBreak/>
        <w:t xml:space="preserve">que </w:t>
      </w:r>
      <w:r w:rsidR="00906848">
        <w:rPr>
          <w:rFonts w:ascii="ITC Avant Garde" w:hAnsi="ITC Avant Garde" w:cs="Calibri"/>
          <w:sz w:val="22"/>
          <w:szCs w:val="22"/>
          <w:lang w:val="es-MX"/>
        </w:rPr>
        <w:t>e</w:t>
      </w:r>
      <w:r w:rsidRPr="00F805BC">
        <w:rPr>
          <w:rFonts w:ascii="ITC Avant Garde" w:hAnsi="ITC Avant Garde" w:cs="Calibri"/>
          <w:sz w:val="22"/>
          <w:szCs w:val="22"/>
        </w:rPr>
        <w:t>l cesionari</w:t>
      </w:r>
      <w:r w:rsidR="00906848">
        <w:rPr>
          <w:rFonts w:ascii="ITC Avant Garde" w:hAnsi="ITC Avant Garde" w:cs="Calibri"/>
          <w:sz w:val="22"/>
          <w:szCs w:val="22"/>
          <w:lang w:val="es-MX"/>
        </w:rPr>
        <w:t>o</w:t>
      </w:r>
      <w:r w:rsidRPr="00F805BC">
        <w:rPr>
          <w:rFonts w:ascii="ITC Avant Garde" w:hAnsi="ITC Avant Garde" w:cs="Calibri"/>
          <w:sz w:val="22"/>
          <w:szCs w:val="22"/>
        </w:rPr>
        <w:t xml:space="preserve"> persona física o moral de orden privado o público, acredite ante el Instituto su idoneidad para ser concesionario;</w:t>
      </w:r>
      <w:r w:rsidR="00CF1E70">
        <w:rPr>
          <w:rFonts w:ascii="ITC Avant Garde" w:hAnsi="ITC Avant Garde" w:cs="Calibri"/>
          <w:sz w:val="22"/>
          <w:szCs w:val="22"/>
          <w:lang w:val="es-MX"/>
        </w:rPr>
        <w:t xml:space="preserve">  </w:t>
      </w:r>
      <w:r w:rsidRPr="00F805BC">
        <w:rPr>
          <w:rFonts w:ascii="ITC Avant Garde" w:hAnsi="ITC Avant Garde" w:cs="Calibri"/>
          <w:sz w:val="22"/>
          <w:szCs w:val="22"/>
        </w:rPr>
        <w:t xml:space="preserve"> (ii) que la </w:t>
      </w:r>
      <w:r w:rsidR="006C5C7E">
        <w:rPr>
          <w:rFonts w:ascii="ITC Avant Garde" w:hAnsi="ITC Avant Garde" w:cs="Calibri"/>
          <w:sz w:val="22"/>
          <w:szCs w:val="22"/>
          <w:lang w:val="es-MX"/>
        </w:rPr>
        <w:t>C</w:t>
      </w:r>
      <w:r w:rsidR="006C5C7E" w:rsidRPr="00F805BC">
        <w:rPr>
          <w:rFonts w:ascii="ITC Avant Garde" w:hAnsi="ITC Avant Garde" w:cs="Calibri"/>
          <w:sz w:val="22"/>
          <w:szCs w:val="22"/>
        </w:rPr>
        <w:t xml:space="preserve">oncesión </w:t>
      </w:r>
      <w:r w:rsidR="00E01ADF">
        <w:rPr>
          <w:rFonts w:ascii="ITC Avant Garde" w:hAnsi="ITC Avant Garde" w:cs="Calibri"/>
          <w:sz w:val="22"/>
          <w:szCs w:val="22"/>
          <w:lang w:val="es-MX"/>
        </w:rPr>
        <w:t>hubiere estado</w:t>
      </w:r>
      <w:r w:rsidR="00E01ADF" w:rsidRPr="00F805BC">
        <w:rPr>
          <w:rFonts w:ascii="ITC Avant Garde" w:hAnsi="ITC Avant Garde" w:cs="Calibri"/>
          <w:sz w:val="22"/>
          <w:szCs w:val="22"/>
        </w:rPr>
        <w:t xml:space="preserve"> </w:t>
      </w:r>
      <w:r w:rsidRPr="00F805BC">
        <w:rPr>
          <w:rFonts w:ascii="ITC Avant Garde" w:hAnsi="ITC Avant Garde" w:cs="Calibri"/>
          <w:sz w:val="22"/>
          <w:szCs w:val="22"/>
        </w:rPr>
        <w:t>vigente por un término no menor de tres años;</w:t>
      </w:r>
      <w:r w:rsidR="00CF1E70">
        <w:rPr>
          <w:rFonts w:ascii="ITC Avant Garde" w:hAnsi="ITC Avant Garde" w:cs="Calibri"/>
          <w:sz w:val="22"/>
          <w:szCs w:val="22"/>
          <w:lang w:val="es-MX"/>
        </w:rPr>
        <w:t xml:space="preserve">  </w:t>
      </w:r>
      <w:r w:rsidRPr="00F805BC">
        <w:rPr>
          <w:rFonts w:ascii="ITC Avant Garde" w:hAnsi="ITC Avant Garde" w:cs="Calibri"/>
          <w:sz w:val="22"/>
          <w:szCs w:val="22"/>
        </w:rPr>
        <w:t xml:space="preserve"> (iii) que el concesionario hubiera cumplido con sus obligaciones; y </w:t>
      </w:r>
      <w:r w:rsidR="00CF1E70">
        <w:rPr>
          <w:rFonts w:ascii="ITC Avant Garde" w:hAnsi="ITC Avant Garde" w:cs="Calibri"/>
          <w:sz w:val="22"/>
          <w:szCs w:val="22"/>
          <w:lang w:val="es-MX"/>
        </w:rPr>
        <w:t xml:space="preserve">  </w:t>
      </w:r>
      <w:r w:rsidRPr="00F805BC">
        <w:rPr>
          <w:rFonts w:ascii="ITC Avant Garde" w:hAnsi="ITC Avant Garde" w:cs="Calibri"/>
          <w:sz w:val="22"/>
          <w:szCs w:val="22"/>
        </w:rPr>
        <w:t xml:space="preserve">(iv) que </w:t>
      </w:r>
      <w:r w:rsidRPr="00F805BC">
        <w:rPr>
          <w:rFonts w:ascii="ITC Avant Garde" w:hAnsi="ITC Avant Garde" w:cs="Calibri"/>
          <w:sz w:val="22"/>
          <w:szCs w:val="22"/>
          <w:lang w:val="es-MX"/>
        </w:rPr>
        <w:t>se</w:t>
      </w:r>
      <w:r w:rsidRPr="00F805BC">
        <w:rPr>
          <w:rFonts w:ascii="ITC Avant Garde" w:hAnsi="ITC Avant Garde" w:cs="Calibri"/>
          <w:sz w:val="22"/>
          <w:szCs w:val="22"/>
        </w:rPr>
        <w:t xml:space="preserve"> cuente con la opinión favorable en materia de competencia económica por la </w:t>
      </w:r>
      <w:r w:rsidR="00CF1E70">
        <w:rPr>
          <w:rFonts w:ascii="ITC Avant Garde" w:hAnsi="ITC Avant Garde" w:cs="Calibri"/>
          <w:sz w:val="22"/>
          <w:szCs w:val="22"/>
          <w:lang w:val="es-MX"/>
        </w:rPr>
        <w:t>a</w:t>
      </w:r>
      <w:proofErr w:type="spellStart"/>
      <w:r w:rsidRPr="00F805BC">
        <w:rPr>
          <w:rFonts w:ascii="ITC Avant Garde" w:hAnsi="ITC Avant Garde" w:cs="Calibri"/>
          <w:sz w:val="22"/>
          <w:szCs w:val="22"/>
        </w:rPr>
        <w:t>utoridad</w:t>
      </w:r>
      <w:proofErr w:type="spellEnd"/>
      <w:r w:rsidRPr="00F805BC">
        <w:rPr>
          <w:rFonts w:ascii="ITC Avant Garde" w:hAnsi="ITC Avant Garde" w:cs="Calibri"/>
          <w:sz w:val="22"/>
          <w:szCs w:val="22"/>
        </w:rPr>
        <w:t xml:space="preserve"> correspondiente.</w:t>
      </w:r>
    </w:p>
    <w:p w14:paraId="6CD4BF7C" w14:textId="77777777" w:rsidR="00D9584D" w:rsidRDefault="00C21830" w:rsidP="00D9584D">
      <w:pPr>
        <w:pStyle w:val="Textoindependiente"/>
        <w:spacing w:afterLines="160" w:after="384" w:line="276" w:lineRule="auto"/>
        <w:ind w:right="20"/>
        <w:rPr>
          <w:rFonts w:ascii="ITC Avant Garde" w:hAnsi="ITC Avant Garde" w:cs="Calibri"/>
          <w:sz w:val="22"/>
          <w:szCs w:val="22"/>
          <w:lang w:val="es-ES"/>
        </w:rPr>
      </w:pPr>
      <w:r w:rsidRPr="00F805BC">
        <w:rPr>
          <w:rFonts w:ascii="ITC Avant Garde" w:hAnsi="ITC Avant Garde" w:cs="Calibri"/>
          <w:sz w:val="22"/>
          <w:szCs w:val="22"/>
          <w:lang w:val="es-ES"/>
        </w:rPr>
        <w:t xml:space="preserve">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355A94">
        <w:rPr>
          <w:rFonts w:ascii="ITC Avant Garde" w:hAnsi="ITC Avant Garde" w:cs="Calibri"/>
          <w:sz w:val="22"/>
          <w:szCs w:val="22"/>
          <w:lang w:val="es-ES"/>
        </w:rPr>
        <w:t>c</w:t>
      </w:r>
      <w:r w:rsidR="005D3B9C" w:rsidRPr="00F805BC">
        <w:rPr>
          <w:rFonts w:ascii="ITC Avant Garde" w:hAnsi="ITC Avant Garde" w:cs="Calibri"/>
          <w:sz w:val="22"/>
          <w:szCs w:val="22"/>
          <w:lang w:val="es-ES"/>
        </w:rPr>
        <w:t>oncesión</w:t>
      </w:r>
      <w:r w:rsidRPr="00F805BC">
        <w:rPr>
          <w:rFonts w:ascii="ITC Avant Garde" w:hAnsi="ITC Avant Garde" w:cs="Calibri"/>
          <w:sz w:val="22"/>
          <w:szCs w:val="22"/>
          <w:lang w:val="es-ES"/>
        </w:rPr>
        <w:t>, como es el caso que nos ocupa.</w:t>
      </w:r>
    </w:p>
    <w:p w14:paraId="28535CAD" w14:textId="77777777" w:rsidR="00D9584D" w:rsidRDefault="00C21830" w:rsidP="00D9584D">
      <w:pPr>
        <w:pStyle w:val="Textoindependiente"/>
        <w:spacing w:afterLines="160" w:after="384" w:line="276" w:lineRule="auto"/>
        <w:ind w:right="20"/>
        <w:rPr>
          <w:rFonts w:ascii="ITC Avant Garde" w:hAnsi="ITC Avant Garde" w:cs="Calibri"/>
          <w:sz w:val="22"/>
          <w:szCs w:val="22"/>
          <w:lang w:val="es-ES_tradnl"/>
        </w:rPr>
      </w:pPr>
      <w:r w:rsidRPr="00F805BC">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14:paraId="0D29735A" w14:textId="77777777" w:rsidR="00D9584D" w:rsidRDefault="00C21830" w:rsidP="00D9584D">
      <w:pPr>
        <w:autoSpaceDE w:val="0"/>
        <w:autoSpaceDN w:val="0"/>
        <w:adjustRightInd w:val="0"/>
        <w:spacing w:afterLines="160" w:after="384" w:line="276" w:lineRule="auto"/>
        <w:jc w:val="both"/>
        <w:rPr>
          <w:rFonts w:ascii="ITC Avant Garde" w:hAnsi="ITC Avant Garde"/>
          <w:bCs/>
          <w:sz w:val="22"/>
          <w:szCs w:val="22"/>
        </w:rPr>
      </w:pPr>
      <w:r w:rsidRPr="00F805BC">
        <w:rPr>
          <w:rFonts w:ascii="ITC Avant Garde" w:hAnsi="ITC Avant Garde" w:cs="Calibri"/>
          <w:sz w:val="22"/>
          <w:szCs w:val="22"/>
          <w:lang w:val="es-ES_tradnl"/>
        </w:rPr>
        <w:t xml:space="preserve">Por otro lado, respecto del </w:t>
      </w:r>
      <w:r w:rsidRPr="00F805BC">
        <w:rPr>
          <w:rFonts w:ascii="ITC Avant Garde" w:hAnsi="ITC Avant Garde"/>
          <w:bCs/>
          <w:sz w:val="22"/>
          <w:szCs w:val="22"/>
        </w:rPr>
        <w:t xml:space="preserve">requisito exigido por el artículo 26 de la LFRTV, relativo al cumplimiento de obligaciones del </w:t>
      </w:r>
      <w:r w:rsidR="00355A94" w:rsidRPr="00F805BC">
        <w:rPr>
          <w:rFonts w:ascii="ITC Avant Garde" w:hAnsi="ITC Avant Garde"/>
          <w:bCs/>
          <w:sz w:val="22"/>
          <w:szCs w:val="22"/>
        </w:rPr>
        <w:t>CEDENTE</w:t>
      </w:r>
      <w:r w:rsidRPr="00F805BC">
        <w:rPr>
          <w:rFonts w:ascii="ITC Avant Garde" w:hAnsi="ITC Avant Garde"/>
          <w:bCs/>
          <w:sz w:val="22"/>
          <w:szCs w:val="22"/>
        </w:rPr>
        <w:t xml:space="preserve">, </w:t>
      </w:r>
      <w:r w:rsidRPr="00F805BC">
        <w:rPr>
          <w:rFonts w:ascii="ITC Avant Garde" w:hAnsi="ITC Avant Garde" w:cs="Calibri"/>
          <w:sz w:val="22"/>
          <w:szCs w:val="22"/>
          <w:lang w:val="es-ES_tradnl"/>
        </w:rPr>
        <w:t>conforme al principio de retroactividad de la ley en beneficio del gobernado</w:t>
      </w:r>
      <w:r w:rsidRPr="00F805BC">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906848">
        <w:rPr>
          <w:rFonts w:ascii="ITC Avant Garde" w:hAnsi="ITC Avant Garde"/>
          <w:bCs/>
          <w:sz w:val="22"/>
          <w:szCs w:val="22"/>
        </w:rPr>
        <w:t>e</w:t>
      </w:r>
      <w:r w:rsidR="00B14DE4" w:rsidRPr="00F805BC">
        <w:rPr>
          <w:rFonts w:ascii="ITC Avant Garde" w:hAnsi="ITC Avant Garde"/>
          <w:bCs/>
          <w:sz w:val="22"/>
          <w:szCs w:val="22"/>
        </w:rPr>
        <w:t xml:space="preserve">l </w:t>
      </w:r>
      <w:r w:rsidR="00355A94" w:rsidRPr="00F805BC">
        <w:rPr>
          <w:rFonts w:ascii="ITC Avant Garde" w:hAnsi="ITC Avant Garde"/>
          <w:bCs/>
          <w:sz w:val="22"/>
          <w:szCs w:val="22"/>
        </w:rPr>
        <w:t>CESIONARI</w:t>
      </w:r>
      <w:r w:rsidR="00906848">
        <w:rPr>
          <w:rFonts w:ascii="ITC Avant Garde" w:hAnsi="ITC Avant Garde"/>
          <w:bCs/>
          <w:sz w:val="22"/>
          <w:szCs w:val="22"/>
        </w:rPr>
        <w:t>O</w:t>
      </w:r>
      <w:r w:rsidRPr="00F805BC">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E01ADF">
        <w:rPr>
          <w:rFonts w:ascii="ITC Avant Garde" w:hAnsi="ITC Avant Garde"/>
          <w:bCs/>
          <w:sz w:val="22"/>
          <w:szCs w:val="22"/>
        </w:rPr>
        <w:t>S</w:t>
      </w:r>
      <w:r w:rsidRPr="00F805BC">
        <w:rPr>
          <w:rFonts w:ascii="ITC Avant Garde" w:hAnsi="ITC Avant Garde"/>
          <w:bCs/>
          <w:sz w:val="22"/>
          <w:szCs w:val="22"/>
        </w:rPr>
        <w:t xml:space="preserve">olicitud de </w:t>
      </w:r>
      <w:r w:rsidR="00E01ADF">
        <w:rPr>
          <w:rFonts w:ascii="ITC Avant Garde" w:hAnsi="ITC Avant Garde"/>
          <w:bCs/>
          <w:sz w:val="22"/>
          <w:szCs w:val="22"/>
        </w:rPr>
        <w:t>C</w:t>
      </w:r>
      <w:r w:rsidRPr="00F805BC">
        <w:rPr>
          <w:rFonts w:ascii="ITC Avant Garde" w:hAnsi="ITC Avant Garde"/>
          <w:bCs/>
          <w:sz w:val="22"/>
          <w:szCs w:val="22"/>
        </w:rPr>
        <w:t>esión de derechos como parte del trámite.</w:t>
      </w:r>
    </w:p>
    <w:p w14:paraId="14CFB1A6" w14:textId="77777777" w:rsidR="00D9584D" w:rsidRDefault="00C21830" w:rsidP="00D9584D">
      <w:pPr>
        <w:autoSpaceDE w:val="0"/>
        <w:autoSpaceDN w:val="0"/>
        <w:adjustRightInd w:val="0"/>
        <w:spacing w:afterLines="160" w:after="384" w:line="276" w:lineRule="auto"/>
        <w:jc w:val="both"/>
        <w:rPr>
          <w:rFonts w:ascii="ITC Avant Garde" w:hAnsi="ITC Avant Garde"/>
          <w:bCs/>
          <w:sz w:val="22"/>
          <w:szCs w:val="22"/>
        </w:rPr>
      </w:pPr>
      <w:r w:rsidRPr="00F805BC">
        <w:rPr>
          <w:rFonts w:ascii="ITC Avant Garde" w:hAnsi="ITC Avant Garde"/>
          <w:bCs/>
          <w:sz w:val="22"/>
          <w:szCs w:val="22"/>
        </w:rPr>
        <w:t xml:space="preserve">De lo anterior se advierte que dicho precepto, no exime la observancia de las obligaciones respecto de la </w:t>
      </w:r>
      <w:r w:rsidR="005D3B9C" w:rsidRPr="00F805BC">
        <w:rPr>
          <w:rFonts w:ascii="ITC Avant Garde" w:hAnsi="ITC Avant Garde"/>
          <w:bCs/>
          <w:sz w:val="22"/>
          <w:szCs w:val="22"/>
        </w:rPr>
        <w:t>Concesión</w:t>
      </w:r>
      <w:r w:rsidRPr="00F805BC">
        <w:rPr>
          <w:rFonts w:ascii="ITC Avant Garde" w:hAnsi="ITC Avant Garde"/>
          <w:bCs/>
          <w:sz w:val="22"/>
          <w:szCs w:val="22"/>
        </w:rPr>
        <w:t xml:space="preserve"> objeto de cesión, sino agiliza y simplifica el procedimiento de trámite de autorización, sujetando </w:t>
      </w:r>
      <w:r w:rsidR="00B14DE4" w:rsidRPr="00F805BC">
        <w:rPr>
          <w:rFonts w:ascii="ITC Avant Garde" w:hAnsi="ITC Avant Garde"/>
          <w:bCs/>
          <w:sz w:val="22"/>
          <w:szCs w:val="22"/>
        </w:rPr>
        <w:t xml:space="preserve">al </w:t>
      </w:r>
      <w:r w:rsidR="00355A94" w:rsidRPr="00F805BC">
        <w:rPr>
          <w:rFonts w:ascii="ITC Avant Garde" w:hAnsi="ITC Avant Garde"/>
          <w:bCs/>
          <w:sz w:val="22"/>
          <w:szCs w:val="22"/>
        </w:rPr>
        <w:t>CESIONARI</w:t>
      </w:r>
      <w:r w:rsidR="00906848">
        <w:rPr>
          <w:rFonts w:ascii="ITC Avant Garde" w:hAnsi="ITC Avant Garde"/>
          <w:bCs/>
          <w:sz w:val="22"/>
          <w:szCs w:val="22"/>
        </w:rPr>
        <w:t>O</w:t>
      </w:r>
      <w:r w:rsidR="00B14DE4" w:rsidRPr="00F805BC">
        <w:rPr>
          <w:rFonts w:ascii="ITC Avant Garde" w:hAnsi="ITC Avant Garde"/>
          <w:bCs/>
          <w:sz w:val="22"/>
          <w:szCs w:val="22"/>
        </w:rPr>
        <w:t xml:space="preserve"> </w:t>
      </w:r>
      <w:r w:rsidRPr="00F805BC">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preceptos es que la </w:t>
      </w:r>
      <w:r w:rsidR="005D3B9C" w:rsidRPr="00F805BC">
        <w:rPr>
          <w:rFonts w:ascii="ITC Avant Garde" w:hAnsi="ITC Avant Garde"/>
          <w:bCs/>
          <w:sz w:val="22"/>
          <w:szCs w:val="22"/>
        </w:rPr>
        <w:t>Concesión</w:t>
      </w:r>
      <w:r w:rsidRPr="00F805BC">
        <w:rPr>
          <w:rFonts w:ascii="ITC Avant Garde" w:hAnsi="ITC Avant Garde"/>
          <w:bCs/>
          <w:sz w:val="22"/>
          <w:szCs w:val="22"/>
        </w:rPr>
        <w:t xml:space="preserve"> objeto de transmisión verifique el cumplimiento de las obligaciones a que se encuentra sujeta como parte del régimen concesionario.</w:t>
      </w:r>
    </w:p>
    <w:p w14:paraId="48847D44" w14:textId="77777777" w:rsidR="00D9584D" w:rsidRDefault="00C21830" w:rsidP="00D9584D">
      <w:pPr>
        <w:autoSpaceDE w:val="0"/>
        <w:autoSpaceDN w:val="0"/>
        <w:adjustRightInd w:val="0"/>
        <w:spacing w:afterLines="160" w:after="384" w:line="276" w:lineRule="auto"/>
        <w:jc w:val="both"/>
        <w:rPr>
          <w:rFonts w:ascii="ITC Avant Garde" w:hAnsi="ITC Avant Garde"/>
          <w:bCs/>
          <w:sz w:val="22"/>
          <w:szCs w:val="22"/>
        </w:rPr>
      </w:pPr>
      <w:r w:rsidRPr="00F805BC">
        <w:rPr>
          <w:rFonts w:ascii="ITC Avant Garde" w:hAnsi="ITC Avant Garde"/>
          <w:bCs/>
          <w:sz w:val="22"/>
          <w:szCs w:val="22"/>
        </w:rPr>
        <w:t xml:space="preserve">Al efecto, el artículo 110 de la Ley no hace nugatoria la posibilidad de la autoridad de supervisar y hacer exigible las obligaciones de la </w:t>
      </w:r>
      <w:r w:rsidR="005D3B9C" w:rsidRPr="00F805BC">
        <w:rPr>
          <w:rFonts w:ascii="ITC Avant Garde" w:hAnsi="ITC Avant Garde"/>
          <w:bCs/>
          <w:sz w:val="22"/>
          <w:szCs w:val="22"/>
        </w:rPr>
        <w:t>Concesión</w:t>
      </w:r>
      <w:r w:rsidRPr="00F805BC">
        <w:rPr>
          <w:rFonts w:ascii="ITC Avant Garde" w:hAnsi="ITC Avant Garde"/>
          <w:bCs/>
          <w:sz w:val="22"/>
          <w:szCs w:val="22"/>
        </w:rPr>
        <w:t xml:space="preserve"> de que se trata.</w:t>
      </w:r>
    </w:p>
    <w:p w14:paraId="621A63DB" w14:textId="77777777" w:rsidR="00D9584D" w:rsidRDefault="00C21830" w:rsidP="00D9584D">
      <w:pPr>
        <w:autoSpaceDE w:val="0"/>
        <w:autoSpaceDN w:val="0"/>
        <w:adjustRightInd w:val="0"/>
        <w:spacing w:afterLines="160" w:after="384" w:line="276" w:lineRule="auto"/>
        <w:jc w:val="both"/>
        <w:rPr>
          <w:rFonts w:ascii="ITC Avant Garde" w:hAnsi="ITC Avant Garde"/>
          <w:bCs/>
          <w:sz w:val="22"/>
          <w:szCs w:val="22"/>
        </w:rPr>
      </w:pPr>
      <w:r w:rsidRPr="00F805BC">
        <w:rPr>
          <w:rFonts w:ascii="ITC Avant Garde" w:hAnsi="ITC Avant Garde"/>
          <w:bCs/>
          <w:sz w:val="22"/>
          <w:szCs w:val="22"/>
        </w:rPr>
        <w:lastRenderedPageBreak/>
        <w:t>En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14:paraId="2259A3EB" w14:textId="77777777" w:rsidR="00D9584D" w:rsidRDefault="00C21830" w:rsidP="00D9584D">
      <w:pPr>
        <w:pStyle w:val="Textoindependiente"/>
        <w:spacing w:afterLines="160" w:after="384" w:line="276" w:lineRule="auto"/>
        <w:ind w:right="20"/>
        <w:rPr>
          <w:rFonts w:ascii="ITC Avant Garde" w:hAnsi="ITC Avant Garde" w:cs="Calibri"/>
          <w:sz w:val="22"/>
          <w:szCs w:val="22"/>
          <w:lang w:val="es-ES_tradnl"/>
        </w:rPr>
      </w:pPr>
      <w:r w:rsidRPr="00F805BC">
        <w:rPr>
          <w:rFonts w:ascii="ITC Avant Garde" w:hAnsi="ITC Avant Garde"/>
          <w:b/>
          <w:bCs/>
          <w:color w:val="000000"/>
          <w:sz w:val="22"/>
          <w:szCs w:val="22"/>
          <w:lang w:eastAsia="es-MX"/>
        </w:rPr>
        <w:t>Tercero.- Análisis del Cambio de Frecuencia a la banda de FM.</w:t>
      </w:r>
      <w:r w:rsidRPr="00F805BC">
        <w:rPr>
          <w:rFonts w:ascii="ITC Avant Garde" w:hAnsi="ITC Avant Garde"/>
          <w:bCs/>
          <w:color w:val="000000"/>
          <w:sz w:val="22"/>
          <w:szCs w:val="22"/>
          <w:lang w:eastAsia="es-MX"/>
        </w:rPr>
        <w:t xml:space="preserve"> </w:t>
      </w:r>
      <w:r w:rsidRPr="00F805BC">
        <w:rPr>
          <w:rFonts w:ascii="ITC Avant Garde" w:hAnsi="ITC Avant Garde" w:cs="Calibri"/>
          <w:sz w:val="22"/>
          <w:szCs w:val="22"/>
          <w:lang w:val="es-ES_tradnl"/>
        </w:rPr>
        <w:t>Conforme al numeral sexto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14:paraId="5B2BD1F3" w14:textId="77777777" w:rsidR="00D9584D" w:rsidRDefault="00C21830" w:rsidP="00D9584D">
      <w:pPr>
        <w:pStyle w:val="Textoindependiente"/>
        <w:spacing w:afterLines="160" w:after="384" w:line="276" w:lineRule="auto"/>
        <w:ind w:right="20"/>
        <w:rPr>
          <w:rFonts w:ascii="ITC Avant Garde" w:hAnsi="ITC Avant Garde" w:cs="Calibri"/>
          <w:sz w:val="22"/>
          <w:szCs w:val="22"/>
          <w:lang w:val="es-ES_tradnl"/>
        </w:rPr>
      </w:pPr>
      <w:r w:rsidRPr="00F805BC">
        <w:rPr>
          <w:rFonts w:ascii="ITC Avant Garde" w:hAnsi="ITC Avant Garde" w:cs="Calibri"/>
          <w:sz w:val="22"/>
          <w:szCs w:val="22"/>
          <w:lang w:val="es-ES_tradnl"/>
        </w:rPr>
        <w:t xml:space="preserve">En este sentido, derivado de la autorización de cambio de frecuencia otorgado a la estación </w:t>
      </w:r>
      <w:r w:rsidR="00B94CEE" w:rsidRPr="00F805BC">
        <w:rPr>
          <w:rFonts w:ascii="ITC Avant Garde" w:hAnsi="ITC Avant Garde" w:cs="Calibri"/>
          <w:sz w:val="22"/>
          <w:szCs w:val="22"/>
          <w:lang w:val="es-ES_tradnl"/>
        </w:rPr>
        <w:t>XEJ</w:t>
      </w:r>
      <w:r w:rsidR="00A21E58">
        <w:rPr>
          <w:rFonts w:ascii="ITC Avant Garde" w:hAnsi="ITC Avant Garde" w:cs="Calibri"/>
          <w:sz w:val="22"/>
          <w:szCs w:val="22"/>
          <w:lang w:val="es-ES_tradnl"/>
        </w:rPr>
        <w:t>Z</w:t>
      </w:r>
      <w:r w:rsidR="00B94CEE" w:rsidRPr="00F805BC">
        <w:rPr>
          <w:rFonts w:ascii="ITC Avant Garde" w:hAnsi="ITC Avant Garde" w:cs="Calibri"/>
          <w:sz w:val="22"/>
          <w:szCs w:val="22"/>
          <w:lang w:val="es-ES_tradnl"/>
        </w:rPr>
        <w:t>-AM</w:t>
      </w:r>
      <w:r w:rsidRPr="00F805BC">
        <w:rPr>
          <w:rFonts w:ascii="ITC Avant Garde" w:hAnsi="ITC Avant Garde" w:cs="Calibri"/>
          <w:sz w:val="22"/>
          <w:szCs w:val="22"/>
          <w:lang w:val="es-ES_tradnl"/>
        </w:rPr>
        <w:t xml:space="preserve">, su representada presentó ante la COFETEL el aviso de conclusión de los trabajos de instalación de la estación de FM en fecha </w:t>
      </w:r>
      <w:r w:rsidR="00B94CEE" w:rsidRPr="00F805BC">
        <w:rPr>
          <w:rFonts w:ascii="ITC Avant Garde" w:hAnsi="ITC Avant Garde" w:cs="Calibri"/>
          <w:sz w:val="22"/>
          <w:szCs w:val="22"/>
          <w:lang w:val="es-ES_tradnl"/>
        </w:rPr>
        <w:t xml:space="preserve">1 de </w:t>
      </w:r>
      <w:r w:rsidR="00A21E58">
        <w:rPr>
          <w:rFonts w:ascii="ITC Avant Garde" w:hAnsi="ITC Avant Garde" w:cs="Calibri"/>
          <w:sz w:val="22"/>
          <w:szCs w:val="22"/>
          <w:lang w:val="es-ES_tradnl"/>
        </w:rPr>
        <w:t>agosto de 2012</w:t>
      </w:r>
      <w:r w:rsidRPr="00F805BC">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B94CEE" w:rsidRPr="00F805BC">
        <w:rPr>
          <w:rFonts w:ascii="ITC Avant Garde" w:hAnsi="ITC Avant Garde" w:cs="Calibri"/>
          <w:sz w:val="22"/>
          <w:szCs w:val="22"/>
          <w:lang w:val="es-ES_tradnl"/>
        </w:rPr>
        <w:t xml:space="preserve">1 de </w:t>
      </w:r>
      <w:r w:rsidR="00A21E58">
        <w:rPr>
          <w:rFonts w:ascii="ITC Avant Garde" w:hAnsi="ITC Avant Garde" w:cs="Calibri"/>
          <w:sz w:val="22"/>
          <w:szCs w:val="22"/>
          <w:lang w:val="es-ES_tradnl"/>
        </w:rPr>
        <w:t>agosto de 2013</w:t>
      </w:r>
      <w:r w:rsidRPr="00F805BC">
        <w:rPr>
          <w:rFonts w:ascii="ITC Avant Garde" w:hAnsi="ITC Avant Garde" w:cs="Calibri"/>
          <w:sz w:val="22"/>
          <w:szCs w:val="22"/>
          <w:lang w:val="es-ES_tradnl"/>
        </w:rPr>
        <w:t>, en que culminó su derecho de uso, aprovechamiento y</w:t>
      </w:r>
      <w:r w:rsidR="00B94CEE" w:rsidRPr="00F805BC">
        <w:rPr>
          <w:rFonts w:ascii="ITC Avant Garde" w:hAnsi="ITC Avant Garde" w:cs="Calibri"/>
          <w:sz w:val="22"/>
          <w:szCs w:val="22"/>
          <w:lang w:val="es-ES_tradnl"/>
        </w:rPr>
        <w:t xml:space="preserve"> explotación de la frecuencia 1</w:t>
      </w:r>
      <w:r w:rsidR="00A21E58">
        <w:rPr>
          <w:rFonts w:ascii="ITC Avant Garde" w:hAnsi="ITC Avant Garde" w:cs="Calibri"/>
          <w:sz w:val="22"/>
          <w:szCs w:val="22"/>
          <w:lang w:val="es-ES_tradnl"/>
        </w:rPr>
        <w:t>320</w:t>
      </w:r>
      <w:r w:rsidRPr="00F805BC">
        <w:rPr>
          <w:rFonts w:ascii="ITC Avant Garde" w:hAnsi="ITC Avant Garde" w:cs="Calibri"/>
          <w:sz w:val="22"/>
          <w:szCs w:val="22"/>
          <w:lang w:val="es-ES_tradnl"/>
        </w:rPr>
        <w:t xml:space="preserve"> kHz de AM; en consecuencia el trámite de cesión de derechos solicitado, en caso de resolverse de forma favorable, se realizará con respecto de la frecuencia </w:t>
      </w:r>
      <w:r w:rsidR="00A21E58">
        <w:rPr>
          <w:rFonts w:ascii="ITC Avant Garde" w:hAnsi="ITC Avant Garde" w:cs="Calibri"/>
          <w:sz w:val="22"/>
          <w:szCs w:val="22"/>
          <w:lang w:val="es-ES_tradnl"/>
        </w:rPr>
        <w:t>92.9</w:t>
      </w:r>
      <w:r w:rsidRPr="00F805BC">
        <w:rPr>
          <w:rFonts w:ascii="ITC Avant Garde" w:hAnsi="ITC Avant Garde" w:cs="Calibri"/>
          <w:sz w:val="22"/>
          <w:szCs w:val="22"/>
          <w:lang w:val="es-ES_tradnl"/>
        </w:rPr>
        <w:t xml:space="preserve"> MHz de FM, toda vez que en términos del numeral Sexto del Acuerdo de AM a FM, concluyó su derecho de usar, aprovec</w:t>
      </w:r>
      <w:r w:rsidR="00B94CEE" w:rsidRPr="00F805BC">
        <w:rPr>
          <w:rFonts w:ascii="ITC Avant Garde" w:hAnsi="ITC Avant Garde" w:cs="Calibri"/>
          <w:sz w:val="22"/>
          <w:szCs w:val="22"/>
          <w:lang w:val="es-ES_tradnl"/>
        </w:rPr>
        <w:t>har y explotar la frecuencia 1</w:t>
      </w:r>
      <w:r w:rsidR="00A21E58">
        <w:rPr>
          <w:rFonts w:ascii="ITC Avant Garde" w:hAnsi="ITC Avant Garde" w:cs="Calibri"/>
          <w:sz w:val="22"/>
          <w:szCs w:val="22"/>
          <w:lang w:val="es-ES_tradnl"/>
        </w:rPr>
        <w:t>320</w:t>
      </w:r>
      <w:r w:rsidRPr="00F805BC">
        <w:rPr>
          <w:rFonts w:ascii="ITC Avant Garde" w:hAnsi="ITC Avant Garde" w:cs="Calibri"/>
          <w:sz w:val="22"/>
          <w:szCs w:val="22"/>
          <w:lang w:val="es-ES_tradnl"/>
        </w:rPr>
        <w:t xml:space="preserve"> kHz de AM que estuvo afecta al periodo de migración.</w:t>
      </w:r>
    </w:p>
    <w:p w14:paraId="2DC82F46" w14:textId="77777777" w:rsidR="00D9584D" w:rsidRDefault="00C21830" w:rsidP="00D9584D">
      <w:pPr>
        <w:pStyle w:val="Textoindependiente"/>
        <w:spacing w:afterLines="160" w:after="384" w:line="276" w:lineRule="auto"/>
        <w:ind w:right="20"/>
        <w:rPr>
          <w:rFonts w:ascii="ITC Avant Garde" w:hAnsi="ITC Avant Garde" w:cs="Calibri"/>
          <w:sz w:val="22"/>
          <w:szCs w:val="22"/>
          <w:lang w:val="es-ES_tradnl"/>
        </w:rPr>
      </w:pPr>
      <w:r w:rsidRPr="00F805BC">
        <w:rPr>
          <w:rFonts w:ascii="ITC Avant Garde" w:hAnsi="ITC Avant Garde" w:cs="Calibri"/>
          <w:sz w:val="22"/>
          <w:szCs w:val="22"/>
          <w:lang w:val="es-ES_tradnl"/>
        </w:rPr>
        <w:t xml:space="preserve">Conforme a lo anterior, </w:t>
      </w:r>
      <w:r w:rsidR="00C14C2D">
        <w:rPr>
          <w:rFonts w:ascii="ITC Avant Garde" w:hAnsi="ITC Avant Garde" w:cs="Calibri"/>
          <w:sz w:val="22"/>
          <w:szCs w:val="22"/>
          <w:lang w:val="es-ES_tradnl"/>
        </w:rPr>
        <w:t xml:space="preserve">la </w:t>
      </w:r>
      <w:r w:rsidRPr="00F805BC">
        <w:rPr>
          <w:rFonts w:ascii="ITC Avant Garde" w:hAnsi="ITC Avant Garde" w:cs="Calibri"/>
          <w:sz w:val="22"/>
          <w:szCs w:val="22"/>
          <w:lang w:val="es-ES_tradnl"/>
        </w:rPr>
        <w:t xml:space="preserve">presente </w:t>
      </w:r>
      <w:r w:rsidR="00C14C2D">
        <w:rPr>
          <w:rFonts w:ascii="ITC Avant Garde" w:hAnsi="ITC Avant Garde" w:cs="Calibri"/>
          <w:sz w:val="22"/>
          <w:szCs w:val="22"/>
          <w:lang w:val="es-ES_tradnl"/>
        </w:rPr>
        <w:t>Resolución</w:t>
      </w:r>
      <w:r w:rsidR="00C14C2D" w:rsidRPr="00F805BC">
        <w:rPr>
          <w:rFonts w:ascii="ITC Avant Garde" w:hAnsi="ITC Avant Garde" w:cs="Calibri"/>
          <w:sz w:val="22"/>
          <w:szCs w:val="22"/>
          <w:lang w:val="es-ES_tradnl"/>
        </w:rPr>
        <w:t xml:space="preserve"> </w:t>
      </w:r>
      <w:r w:rsidRPr="00F805BC">
        <w:rPr>
          <w:rFonts w:ascii="ITC Avant Garde" w:hAnsi="ITC Avant Garde" w:cs="Calibri"/>
          <w:sz w:val="22"/>
          <w:szCs w:val="22"/>
          <w:lang w:val="es-ES_tradnl"/>
        </w:rPr>
        <w:t>no constituye un acto de aplicación del Acuerdo de AM a FM; en razón de que ést</w:t>
      </w:r>
      <w:r w:rsidR="00C14C2D">
        <w:rPr>
          <w:rFonts w:ascii="ITC Avant Garde" w:hAnsi="ITC Avant Garde" w:cs="Calibri"/>
          <w:sz w:val="22"/>
          <w:szCs w:val="22"/>
          <w:lang w:val="es-ES_tradnl"/>
        </w:rPr>
        <w:t>a</w:t>
      </w:r>
      <w:r w:rsidRPr="00F805BC">
        <w:rPr>
          <w:rFonts w:ascii="ITC Avant Garde" w:hAnsi="ITC Avant Garde" w:cs="Calibri"/>
          <w:sz w:val="22"/>
          <w:szCs w:val="22"/>
          <w:lang w:val="es-ES_tradnl"/>
        </w:rPr>
        <w:t xml:space="preserve"> no restringe, altera o modifica algún derecho u obligación contenida o derivada de alguna autorización otorgada a favor del concesionario.</w:t>
      </w:r>
    </w:p>
    <w:p w14:paraId="34A9C9C7" w14:textId="77777777" w:rsidR="00D9584D" w:rsidRDefault="00C21830" w:rsidP="00D9584D">
      <w:pPr>
        <w:pStyle w:val="Textoindependiente"/>
        <w:tabs>
          <w:tab w:val="left" w:pos="9480"/>
        </w:tabs>
        <w:spacing w:afterLines="160" w:after="384" w:line="276" w:lineRule="auto"/>
        <w:ind w:right="42"/>
        <w:rPr>
          <w:rFonts w:ascii="ITC Avant Garde" w:hAnsi="ITC Avant Garde" w:cs="Calibri"/>
          <w:sz w:val="22"/>
          <w:szCs w:val="22"/>
        </w:rPr>
      </w:pPr>
      <w:r w:rsidRPr="00F805BC">
        <w:rPr>
          <w:rFonts w:ascii="ITC Avant Garde" w:hAnsi="ITC Avant Garde" w:cs="Calibri"/>
          <w:b/>
          <w:sz w:val="22"/>
          <w:szCs w:val="22"/>
          <w:lang w:val="es-MX"/>
        </w:rPr>
        <w:t>Cuarto</w:t>
      </w:r>
      <w:r w:rsidRPr="00F805BC">
        <w:rPr>
          <w:rFonts w:ascii="ITC Avant Garde" w:hAnsi="ITC Avant Garde" w:cs="Calibri"/>
          <w:b/>
          <w:sz w:val="22"/>
          <w:szCs w:val="22"/>
        </w:rPr>
        <w:t xml:space="preserve">.- </w:t>
      </w:r>
      <w:r w:rsidRPr="00F805BC">
        <w:rPr>
          <w:rFonts w:ascii="ITC Avant Garde" w:hAnsi="ITC Avant Garde" w:cs="Calibri"/>
          <w:b/>
          <w:sz w:val="22"/>
          <w:szCs w:val="22"/>
          <w:lang w:val="es-ES"/>
        </w:rPr>
        <w:t xml:space="preserve">Análisis de la Solicitud de Cesión. </w:t>
      </w:r>
      <w:r w:rsidRPr="00F805BC">
        <w:rPr>
          <w:rFonts w:ascii="ITC Avant Garde" w:hAnsi="ITC Avant Garde" w:cs="Calibri"/>
          <w:sz w:val="22"/>
          <w:szCs w:val="22"/>
          <w:lang w:val="es-MX"/>
        </w:rPr>
        <w:t xml:space="preserve">Atento a </w:t>
      </w:r>
      <w:r w:rsidRPr="00F805BC">
        <w:rPr>
          <w:rFonts w:ascii="ITC Avant Garde" w:hAnsi="ITC Avant Garde" w:cs="Calibri"/>
          <w:sz w:val="22"/>
          <w:szCs w:val="22"/>
          <w:lang w:val="es-ES"/>
        </w:rPr>
        <w:t xml:space="preserve">los requisitos legales </w:t>
      </w:r>
      <w:r w:rsidRPr="00F805BC">
        <w:rPr>
          <w:rFonts w:ascii="ITC Avant Garde" w:hAnsi="ITC Avant Garde" w:cs="Calibri"/>
          <w:sz w:val="22"/>
          <w:szCs w:val="22"/>
          <w:lang w:val="es-MX"/>
        </w:rPr>
        <w:t xml:space="preserve">establecidos </w:t>
      </w:r>
      <w:r w:rsidRPr="00F805BC">
        <w:rPr>
          <w:rFonts w:ascii="ITC Avant Garde" w:hAnsi="ITC Avant Garde" w:cs="Calibri"/>
          <w:sz w:val="22"/>
          <w:szCs w:val="22"/>
          <w:lang w:val="es-ES"/>
        </w:rPr>
        <w:t>en el Considerando Segundo de</w:t>
      </w:r>
      <w:r w:rsidR="00C14C2D">
        <w:rPr>
          <w:rFonts w:ascii="ITC Avant Garde" w:hAnsi="ITC Avant Garde" w:cs="Calibri"/>
          <w:sz w:val="22"/>
          <w:szCs w:val="22"/>
          <w:lang w:val="es-ES"/>
        </w:rPr>
        <w:t xml:space="preserve"> </w:t>
      </w:r>
      <w:r w:rsidRPr="00F805BC">
        <w:rPr>
          <w:rFonts w:ascii="ITC Avant Garde" w:hAnsi="ITC Avant Garde" w:cs="Calibri"/>
          <w:sz w:val="22"/>
          <w:szCs w:val="22"/>
          <w:lang w:val="es-ES"/>
        </w:rPr>
        <w:t>l</w:t>
      </w:r>
      <w:r w:rsidR="00C14C2D">
        <w:rPr>
          <w:rFonts w:ascii="ITC Avant Garde" w:hAnsi="ITC Avant Garde" w:cs="Calibri"/>
          <w:sz w:val="22"/>
          <w:szCs w:val="22"/>
          <w:lang w:val="es-ES"/>
        </w:rPr>
        <w:t>a</w:t>
      </w:r>
      <w:r w:rsidRPr="00F805BC">
        <w:rPr>
          <w:rFonts w:ascii="ITC Avant Garde" w:hAnsi="ITC Avant Garde" w:cs="Calibri"/>
          <w:sz w:val="22"/>
          <w:szCs w:val="22"/>
          <w:lang w:val="es-ES"/>
        </w:rPr>
        <w:t xml:space="preserve"> presente </w:t>
      </w:r>
      <w:r w:rsidR="00C14C2D">
        <w:rPr>
          <w:rFonts w:ascii="ITC Avant Garde" w:hAnsi="ITC Avant Garde" w:cs="Calibri"/>
          <w:sz w:val="22"/>
          <w:szCs w:val="22"/>
          <w:lang w:val="es-ES"/>
        </w:rPr>
        <w:t>Resolución</w:t>
      </w:r>
      <w:r w:rsidRPr="00F805BC">
        <w:rPr>
          <w:rFonts w:ascii="ITC Avant Garde" w:hAnsi="ITC Avant Garde" w:cs="Calibri"/>
          <w:sz w:val="22"/>
          <w:szCs w:val="22"/>
          <w:lang w:val="es-ES"/>
        </w:rPr>
        <w:t>,</w:t>
      </w:r>
      <w:r w:rsidRPr="00F805BC">
        <w:rPr>
          <w:rFonts w:ascii="ITC Avant Garde" w:hAnsi="ITC Avant Garde" w:cs="Calibri"/>
          <w:sz w:val="22"/>
          <w:szCs w:val="22"/>
          <w:lang w:val="es-MX"/>
        </w:rPr>
        <w:t xml:space="preserve"> l</w:t>
      </w:r>
      <w:r w:rsidRPr="00F805BC">
        <w:rPr>
          <w:rFonts w:ascii="ITC Avant Garde" w:hAnsi="ITC Avant Garde" w:cs="Calibri"/>
          <w:sz w:val="22"/>
          <w:szCs w:val="22"/>
          <w:lang w:val="es-ES"/>
        </w:rPr>
        <w:t xml:space="preserve">a </w:t>
      </w:r>
      <w:r w:rsidR="00B14DE4" w:rsidRPr="00F805BC">
        <w:rPr>
          <w:rFonts w:ascii="ITC Avant Garde" w:hAnsi="ITC Avant Garde" w:cs="Calibri"/>
          <w:sz w:val="22"/>
          <w:szCs w:val="22"/>
          <w:lang w:val="es-ES"/>
        </w:rPr>
        <w:t>UCS</w:t>
      </w:r>
      <w:r w:rsidRPr="00F805BC">
        <w:rPr>
          <w:rFonts w:ascii="ITC Avant Garde" w:hAnsi="ITC Avant Garde" w:cs="Calibri"/>
          <w:sz w:val="22"/>
          <w:szCs w:val="22"/>
          <w:lang w:val="es-ES"/>
        </w:rPr>
        <w:t xml:space="preserve"> realizó el análisis de la Solicitud de Cesión de la </w:t>
      </w:r>
      <w:r w:rsidRPr="00F805BC">
        <w:rPr>
          <w:rFonts w:ascii="ITC Avant Garde" w:hAnsi="ITC Avant Garde" w:cs="Calibri"/>
          <w:sz w:val="22"/>
          <w:szCs w:val="22"/>
          <w:lang w:val="es-MX"/>
        </w:rPr>
        <w:t>Concesión</w:t>
      </w:r>
      <w:r w:rsidRPr="00F805BC">
        <w:rPr>
          <w:rFonts w:ascii="ITC Avant Garde" w:hAnsi="ITC Avant Garde" w:cs="Calibri"/>
          <w:sz w:val="22"/>
          <w:szCs w:val="22"/>
          <w:lang w:val="es-ES"/>
        </w:rPr>
        <w:t>,</w:t>
      </w:r>
      <w:r w:rsidRPr="00F805BC">
        <w:rPr>
          <w:rFonts w:ascii="ITC Avant Garde" w:hAnsi="ITC Avant Garde" w:cs="Calibri"/>
          <w:sz w:val="22"/>
          <w:szCs w:val="22"/>
          <w:lang w:val="es-MX"/>
        </w:rPr>
        <w:t xml:space="preserve"> del cual se concluye </w:t>
      </w:r>
      <w:r w:rsidRPr="00F805BC">
        <w:rPr>
          <w:rFonts w:ascii="ITC Avant Garde" w:hAnsi="ITC Avant Garde" w:cs="Calibri"/>
          <w:sz w:val="22"/>
          <w:szCs w:val="22"/>
          <w:lang w:val="es-ES"/>
        </w:rPr>
        <w:t>lo siguiente:</w:t>
      </w:r>
    </w:p>
    <w:p w14:paraId="7780C606" w14:textId="77777777" w:rsidR="00D9584D" w:rsidRDefault="00C21830" w:rsidP="00D9584D">
      <w:pPr>
        <w:pStyle w:val="Textoindependiente"/>
        <w:numPr>
          <w:ilvl w:val="0"/>
          <w:numId w:val="2"/>
        </w:numPr>
        <w:spacing w:afterLines="160" w:after="384" w:line="276" w:lineRule="auto"/>
        <w:ind w:right="42"/>
        <w:rPr>
          <w:rFonts w:ascii="ITC Avant Garde" w:hAnsi="ITC Avant Garde" w:cs="Calibri"/>
          <w:sz w:val="22"/>
          <w:szCs w:val="22"/>
        </w:rPr>
      </w:pPr>
      <w:r w:rsidRPr="00F805BC">
        <w:rPr>
          <w:rFonts w:ascii="ITC Avant Garde" w:hAnsi="ITC Avant Garde" w:cs="Calibri"/>
          <w:sz w:val="22"/>
          <w:szCs w:val="22"/>
          <w:lang w:val="es-MX"/>
        </w:rPr>
        <w:t xml:space="preserve">Por cuanto hace al </w:t>
      </w:r>
      <w:r w:rsidRPr="00F805BC">
        <w:rPr>
          <w:rFonts w:ascii="ITC Avant Garde" w:hAnsi="ITC Avant Garde" w:cs="Calibri"/>
          <w:sz w:val="22"/>
          <w:szCs w:val="22"/>
        </w:rPr>
        <w:t xml:space="preserve">requisito señalado en el artículo 28 párrafo décimo séptimo de la Constitución, referente a la opinión técnica no vinculante que el Secretario de Comunicaciones y Transportes deberá emitir respecto de la Solicitud de Cesión de la </w:t>
      </w:r>
      <w:r w:rsidR="005D3B9C" w:rsidRPr="00F805BC">
        <w:rPr>
          <w:rFonts w:ascii="ITC Avant Garde" w:hAnsi="ITC Avant Garde" w:cs="Calibri"/>
          <w:sz w:val="22"/>
          <w:szCs w:val="22"/>
        </w:rPr>
        <w:t>Concesión</w:t>
      </w:r>
      <w:r w:rsidRPr="00F805BC">
        <w:rPr>
          <w:rFonts w:ascii="ITC Avant Garde" w:hAnsi="ITC Avant Garde" w:cs="Calibri"/>
          <w:sz w:val="22"/>
          <w:szCs w:val="22"/>
        </w:rPr>
        <w:t>, en t</w:t>
      </w:r>
      <w:r w:rsidRPr="00F805BC">
        <w:rPr>
          <w:rFonts w:ascii="ITC Avant Garde" w:hAnsi="ITC Avant Garde" w:cs="Calibri"/>
          <w:sz w:val="22"/>
          <w:szCs w:val="22"/>
          <w:lang w:val="es-MX"/>
        </w:rPr>
        <w:t xml:space="preserve">érminos de lo dispuesto en el </w:t>
      </w:r>
      <w:r w:rsidRPr="00F805BC">
        <w:rPr>
          <w:rFonts w:ascii="ITC Avant Garde" w:hAnsi="ITC Avant Garde" w:cs="Calibri"/>
          <w:sz w:val="22"/>
          <w:szCs w:val="22"/>
        </w:rPr>
        <w:t xml:space="preserve">artículo Séptimo Transitorio del Decreto de Reforma Constitucional, </w:t>
      </w:r>
      <w:r w:rsidRPr="00F805BC">
        <w:rPr>
          <w:rFonts w:ascii="ITC Avant Garde" w:hAnsi="ITC Avant Garde" w:cs="Calibri"/>
          <w:sz w:val="22"/>
          <w:szCs w:val="22"/>
          <w:lang w:val="es-MX"/>
        </w:rPr>
        <w:t xml:space="preserve">este no resulta aplicable </w:t>
      </w:r>
      <w:r w:rsidRPr="00F805BC">
        <w:rPr>
          <w:rFonts w:ascii="ITC Avant Garde" w:hAnsi="ITC Avant Garde" w:cs="Calibri"/>
          <w:sz w:val="22"/>
          <w:szCs w:val="22"/>
        </w:rPr>
        <w:t xml:space="preserve">al </w:t>
      </w:r>
      <w:r w:rsidRPr="00F805BC">
        <w:rPr>
          <w:rFonts w:ascii="ITC Avant Garde" w:hAnsi="ITC Avant Garde" w:cs="Calibri"/>
          <w:sz w:val="22"/>
          <w:szCs w:val="22"/>
        </w:rPr>
        <w:lastRenderedPageBreak/>
        <w:t>caso concreto, toda vez que dicha solicitud fue ingresada a este Instituto con anterioridad a su integración</w:t>
      </w:r>
      <w:r w:rsidRPr="00F805BC">
        <w:rPr>
          <w:rFonts w:ascii="ITC Avant Garde" w:hAnsi="ITC Avant Garde" w:cs="Calibri"/>
          <w:sz w:val="22"/>
          <w:szCs w:val="22"/>
          <w:lang w:val="es-MX"/>
        </w:rPr>
        <w:t>.</w:t>
      </w:r>
    </w:p>
    <w:p w14:paraId="1C70A990" w14:textId="77777777" w:rsidR="00D9584D" w:rsidRDefault="00C21830" w:rsidP="00D9584D">
      <w:pPr>
        <w:pStyle w:val="Textoindependiente"/>
        <w:numPr>
          <w:ilvl w:val="0"/>
          <w:numId w:val="2"/>
        </w:numPr>
        <w:spacing w:afterLines="160" w:after="384" w:line="276" w:lineRule="auto"/>
        <w:ind w:right="42"/>
        <w:rPr>
          <w:rFonts w:ascii="ITC Avant Garde" w:hAnsi="ITC Avant Garde" w:cs="Calibri"/>
          <w:sz w:val="22"/>
          <w:szCs w:val="22"/>
        </w:rPr>
      </w:pPr>
      <w:r w:rsidRPr="00F805BC">
        <w:rPr>
          <w:rFonts w:ascii="ITC Avant Garde" w:hAnsi="ITC Avant Garde" w:cs="Calibri"/>
          <w:sz w:val="22"/>
          <w:szCs w:val="22"/>
        </w:rPr>
        <w:t xml:space="preserve"> </w:t>
      </w:r>
      <w:r w:rsidRPr="00F805BC">
        <w:rPr>
          <w:rFonts w:ascii="ITC Avant Garde" w:hAnsi="ITC Avant Garde" w:cs="Calibri"/>
          <w:sz w:val="22"/>
          <w:szCs w:val="22"/>
          <w:lang w:val="es-MX"/>
        </w:rPr>
        <w:t>L</w:t>
      </w:r>
      <w:r w:rsidRPr="00F805BC">
        <w:rPr>
          <w:rFonts w:ascii="ITC Avant Garde" w:hAnsi="ITC Avant Garde" w:cs="Calibri"/>
          <w:sz w:val="22"/>
          <w:szCs w:val="22"/>
        </w:rPr>
        <w:t xml:space="preserve">os requisitos referidos en </w:t>
      </w:r>
      <w:r w:rsidRPr="00F805BC">
        <w:rPr>
          <w:rFonts w:ascii="ITC Avant Garde" w:hAnsi="ITC Avant Garde" w:cs="Calibri"/>
          <w:sz w:val="22"/>
          <w:szCs w:val="22"/>
          <w:lang w:val="es-MX"/>
        </w:rPr>
        <w:t>los</w:t>
      </w:r>
      <w:r w:rsidRPr="00F805BC">
        <w:rPr>
          <w:rFonts w:ascii="ITC Avant Garde" w:hAnsi="ITC Avant Garde" w:cs="Calibri"/>
          <w:sz w:val="22"/>
          <w:szCs w:val="22"/>
        </w:rPr>
        <w:t xml:space="preserve"> artículo</w:t>
      </w:r>
      <w:r w:rsidRPr="00F805BC">
        <w:rPr>
          <w:rFonts w:ascii="ITC Avant Garde" w:hAnsi="ITC Avant Garde" w:cs="Calibri"/>
          <w:sz w:val="22"/>
          <w:szCs w:val="22"/>
          <w:lang w:val="es-MX"/>
        </w:rPr>
        <w:t>s</w:t>
      </w:r>
      <w:r w:rsidRPr="00F805BC">
        <w:rPr>
          <w:rFonts w:ascii="ITC Avant Garde" w:hAnsi="ITC Avant Garde" w:cs="Calibri"/>
          <w:sz w:val="22"/>
          <w:szCs w:val="22"/>
        </w:rPr>
        <w:t xml:space="preserve"> 26 de la </w:t>
      </w:r>
      <w:r w:rsidRPr="00F805BC">
        <w:rPr>
          <w:rFonts w:ascii="ITC Avant Garde" w:hAnsi="ITC Avant Garde" w:cs="Calibri"/>
          <w:sz w:val="22"/>
          <w:szCs w:val="22"/>
          <w:lang w:val="es-MX"/>
        </w:rPr>
        <w:t>LFRTV</w:t>
      </w:r>
      <w:r w:rsidRPr="00F805BC">
        <w:rPr>
          <w:rFonts w:ascii="ITC Avant Garde" w:hAnsi="ITC Avant Garde" w:cs="Calibri"/>
          <w:sz w:val="22"/>
          <w:szCs w:val="22"/>
        </w:rPr>
        <w:t xml:space="preserve"> </w:t>
      </w:r>
      <w:r w:rsidRPr="00F805BC">
        <w:rPr>
          <w:rFonts w:ascii="ITC Avant Garde" w:hAnsi="ITC Avant Garde" w:cs="Calibri"/>
          <w:sz w:val="22"/>
          <w:szCs w:val="22"/>
          <w:lang w:val="es-MX"/>
        </w:rPr>
        <w:t xml:space="preserve">y 110 de la Ley en su parte conducente, </w:t>
      </w:r>
      <w:r w:rsidRPr="00F805BC">
        <w:rPr>
          <w:rFonts w:ascii="ITC Avant Garde" w:hAnsi="ITC Avant Garde" w:cs="Calibri"/>
          <w:sz w:val="22"/>
          <w:szCs w:val="22"/>
        </w:rPr>
        <w:t xml:space="preserve">fueron acreditados, por parte </w:t>
      </w:r>
      <w:r w:rsidR="00B14DE4" w:rsidRPr="00F805BC">
        <w:rPr>
          <w:rFonts w:ascii="ITC Avant Garde" w:hAnsi="ITC Avant Garde" w:cs="Calibri"/>
          <w:sz w:val="22"/>
          <w:szCs w:val="22"/>
          <w:lang w:val="es-MX"/>
        </w:rPr>
        <w:t>del CEDENTE</w:t>
      </w:r>
      <w:r w:rsidR="00B80F4D" w:rsidRPr="00F805BC">
        <w:rPr>
          <w:rFonts w:ascii="ITC Avant Garde" w:hAnsi="ITC Avant Garde" w:cs="Calibri"/>
          <w:sz w:val="22"/>
          <w:szCs w:val="22"/>
        </w:rPr>
        <w:t xml:space="preserve"> </w:t>
      </w:r>
      <w:r w:rsidRPr="00F805BC">
        <w:rPr>
          <w:rFonts w:ascii="ITC Avant Garde" w:hAnsi="ITC Avant Garde" w:cs="Calibri"/>
          <w:sz w:val="22"/>
          <w:szCs w:val="22"/>
        </w:rPr>
        <w:t>de la siguiente manera:</w:t>
      </w:r>
    </w:p>
    <w:p w14:paraId="26CFA2A2" w14:textId="77777777" w:rsidR="00D9584D" w:rsidRDefault="00906848" w:rsidP="00D9584D">
      <w:pPr>
        <w:pStyle w:val="Prrafodelista"/>
        <w:numPr>
          <w:ilvl w:val="0"/>
          <w:numId w:val="3"/>
        </w:numPr>
        <w:spacing w:afterLines="160" w:after="384" w:line="276" w:lineRule="auto"/>
        <w:jc w:val="both"/>
        <w:rPr>
          <w:rFonts w:ascii="ITC Avant Garde" w:hAnsi="ITC Avant Garde" w:cs="Calibri"/>
          <w:sz w:val="22"/>
          <w:szCs w:val="22"/>
        </w:rPr>
      </w:pPr>
      <w:r>
        <w:rPr>
          <w:rFonts w:ascii="ITC Avant Garde" w:hAnsi="ITC Avant Garde" w:cs="Calibri"/>
          <w:sz w:val="22"/>
          <w:szCs w:val="22"/>
        </w:rPr>
        <w:t>E</w:t>
      </w:r>
      <w:r w:rsidR="009F20AC">
        <w:rPr>
          <w:rFonts w:ascii="ITC Avant Garde" w:hAnsi="ITC Avant Garde" w:cs="Calibri"/>
          <w:sz w:val="22"/>
          <w:szCs w:val="22"/>
        </w:rPr>
        <w:t>l</w:t>
      </w:r>
      <w:r w:rsidR="00B94CEE" w:rsidRPr="00F805BC">
        <w:rPr>
          <w:rFonts w:ascii="ITC Avant Garde" w:hAnsi="ITC Avant Garde" w:cs="Calibri"/>
          <w:sz w:val="22"/>
          <w:szCs w:val="22"/>
        </w:rPr>
        <w:t xml:space="preserve"> CESIONARI</w:t>
      </w:r>
      <w:r>
        <w:rPr>
          <w:rFonts w:ascii="ITC Avant Garde" w:hAnsi="ITC Avant Garde" w:cs="Calibri"/>
          <w:sz w:val="22"/>
          <w:szCs w:val="22"/>
        </w:rPr>
        <w:t>O</w:t>
      </w:r>
      <w:r w:rsidR="00B94CEE" w:rsidRPr="00F805BC">
        <w:rPr>
          <w:rFonts w:ascii="ITC Avant Garde" w:hAnsi="ITC Avant Garde" w:cs="Calibri"/>
          <w:sz w:val="22"/>
          <w:szCs w:val="22"/>
        </w:rPr>
        <w:t xml:space="preserve"> acreditó ante este Instituto su idoneidad para poder ser concesionario a través </w:t>
      </w:r>
      <w:r w:rsidR="00785931" w:rsidRPr="00E25DE1">
        <w:rPr>
          <w:rFonts w:ascii="ITC Avant Garde" w:hAnsi="ITC Avant Garde" w:cs="Calibri"/>
          <w:sz w:val="22"/>
          <w:szCs w:val="22"/>
        </w:rPr>
        <w:t>de la</w:t>
      </w:r>
      <w:r w:rsidR="00785931">
        <w:rPr>
          <w:rFonts w:ascii="ITC Avant Garde" w:hAnsi="ITC Avant Garde" w:cs="Calibri"/>
          <w:sz w:val="22"/>
          <w:szCs w:val="22"/>
        </w:rPr>
        <w:t xml:space="preserve"> copia certificada de su acta de nacimiento expedida por el Director del Registro Civil de Chihuahua, </w:t>
      </w:r>
      <w:proofErr w:type="spellStart"/>
      <w:r w:rsidR="00785931">
        <w:rPr>
          <w:rFonts w:ascii="ITC Avant Garde" w:hAnsi="ITC Avant Garde" w:cs="Calibri"/>
          <w:sz w:val="22"/>
          <w:szCs w:val="22"/>
        </w:rPr>
        <w:t>Chih</w:t>
      </w:r>
      <w:proofErr w:type="spellEnd"/>
      <w:r w:rsidR="00B94CEE" w:rsidRPr="00F805BC">
        <w:rPr>
          <w:rFonts w:ascii="ITC Avant Garde" w:hAnsi="ITC Avant Garde" w:cs="Calibri"/>
          <w:sz w:val="22"/>
          <w:szCs w:val="22"/>
        </w:rPr>
        <w:t>.</w:t>
      </w:r>
    </w:p>
    <w:p w14:paraId="1841354D" w14:textId="77777777" w:rsidR="00D9584D" w:rsidRDefault="00516876" w:rsidP="00D9584D">
      <w:pPr>
        <w:pStyle w:val="Prrafodelista"/>
        <w:numPr>
          <w:ilvl w:val="0"/>
          <w:numId w:val="3"/>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t>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(en lo sucesivo “Acuerdo ITLP”), correspondiente al 2014, se puede inferir que la Concesión objeto de la Solicitud de Cesión actualmente se encuentra operando</w:t>
      </w:r>
      <w:r>
        <w:rPr>
          <w:rFonts w:ascii="ITC Avant Garde" w:hAnsi="ITC Avant Garde" w:cs="Calibri"/>
          <w:sz w:val="22"/>
          <w:szCs w:val="22"/>
        </w:rPr>
        <w:t>.</w:t>
      </w:r>
    </w:p>
    <w:p w14:paraId="46287521" w14:textId="77777777" w:rsidR="00D9584D" w:rsidRDefault="00516876" w:rsidP="00D9584D">
      <w:pPr>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A</w:t>
      </w:r>
      <w:r w:rsidRPr="003804E0">
        <w:rPr>
          <w:rFonts w:ascii="ITC Avant Garde" w:hAnsi="ITC Avant Garde" w:cs="Calibri"/>
          <w:sz w:val="22"/>
          <w:szCs w:val="22"/>
        </w:rPr>
        <w:t xml:space="preserve">simismo, la Concesión fue </w:t>
      </w:r>
      <w:r>
        <w:rPr>
          <w:rFonts w:ascii="ITC Avant Garde" w:hAnsi="ITC Avant Garde" w:cs="Calibri"/>
          <w:sz w:val="22"/>
          <w:szCs w:val="22"/>
        </w:rPr>
        <w:t>refrendada</w:t>
      </w:r>
      <w:r w:rsidRPr="003804E0">
        <w:rPr>
          <w:rFonts w:ascii="ITC Avant Garde" w:hAnsi="ITC Avant Garde" w:cs="Calibri"/>
          <w:sz w:val="22"/>
          <w:szCs w:val="22"/>
        </w:rPr>
        <w:t xml:space="preserve"> por la </w:t>
      </w:r>
      <w:r w:rsidR="000D6041">
        <w:rPr>
          <w:rFonts w:ascii="ITC Avant Garde" w:hAnsi="ITC Avant Garde" w:cs="Calibri"/>
          <w:sz w:val="22"/>
          <w:szCs w:val="22"/>
        </w:rPr>
        <w:t>Secretaría</w:t>
      </w:r>
      <w:r w:rsidRPr="003804E0">
        <w:rPr>
          <w:rFonts w:ascii="ITC Avant Garde" w:hAnsi="ITC Avant Garde" w:cs="Calibri"/>
          <w:sz w:val="22"/>
          <w:szCs w:val="22"/>
        </w:rPr>
        <w:t xml:space="preserve"> el </w:t>
      </w:r>
      <w:r w:rsidR="00A041AC">
        <w:rPr>
          <w:rFonts w:ascii="ITC Avant Garde" w:hAnsi="ITC Avant Garde" w:cs="Calibri"/>
          <w:sz w:val="22"/>
          <w:szCs w:val="22"/>
        </w:rPr>
        <w:t>18 de junio de 2008</w:t>
      </w:r>
      <w:r w:rsidRPr="003804E0">
        <w:rPr>
          <w:rFonts w:ascii="ITC Avant Garde" w:hAnsi="ITC Avant Garde" w:cs="Calibri"/>
          <w:sz w:val="22"/>
          <w:szCs w:val="22"/>
        </w:rPr>
        <w:t xml:space="preserve">, con una vigencia de </w:t>
      </w:r>
      <w:r w:rsidR="00A041AC" w:rsidRPr="00F805BC">
        <w:rPr>
          <w:rFonts w:ascii="ITC Avant Garde" w:hAnsi="ITC Avant Garde" w:cs="Calibri"/>
          <w:sz w:val="22"/>
          <w:szCs w:val="22"/>
        </w:rPr>
        <w:t>12 (</w:t>
      </w:r>
      <w:r w:rsidR="00A041AC">
        <w:rPr>
          <w:rFonts w:ascii="ITC Avant Garde" w:hAnsi="ITC Avant Garde" w:cs="Calibri"/>
          <w:sz w:val="22"/>
          <w:szCs w:val="22"/>
        </w:rPr>
        <w:t>doce</w:t>
      </w:r>
      <w:r w:rsidR="00A041AC" w:rsidRPr="00F805BC">
        <w:rPr>
          <w:rFonts w:ascii="ITC Avant Garde" w:hAnsi="ITC Avant Garde" w:cs="Calibri"/>
          <w:sz w:val="22"/>
          <w:szCs w:val="22"/>
        </w:rPr>
        <w:t xml:space="preserve">) años, contados a partir del </w:t>
      </w:r>
      <w:r w:rsidR="00A041AC">
        <w:rPr>
          <w:rFonts w:ascii="ITC Avant Garde" w:hAnsi="ITC Avant Garde" w:cs="Calibri"/>
          <w:sz w:val="22"/>
          <w:szCs w:val="22"/>
        </w:rPr>
        <w:t>12 de noviembre de 2007</w:t>
      </w:r>
      <w:r w:rsidR="00A041AC" w:rsidRPr="00F805BC">
        <w:rPr>
          <w:rFonts w:ascii="ITC Avant Garde" w:hAnsi="ITC Avant Garde" w:cs="Calibri"/>
          <w:sz w:val="22"/>
          <w:szCs w:val="22"/>
        </w:rPr>
        <w:t xml:space="preserve"> </w:t>
      </w:r>
      <w:r w:rsidRPr="003804E0">
        <w:rPr>
          <w:rFonts w:ascii="ITC Avant Garde" w:hAnsi="ITC Avant Garde" w:cs="Calibri"/>
          <w:sz w:val="22"/>
          <w:szCs w:val="22"/>
        </w:rPr>
        <w:t xml:space="preserve">al </w:t>
      </w:r>
      <w:r w:rsidR="00A041AC">
        <w:rPr>
          <w:rFonts w:ascii="ITC Avant Garde" w:hAnsi="ITC Avant Garde" w:cs="Calibri"/>
          <w:sz w:val="22"/>
          <w:szCs w:val="22"/>
        </w:rPr>
        <w:t>11 de noviembre de 2019</w:t>
      </w:r>
      <w:r>
        <w:rPr>
          <w:rFonts w:ascii="ITC Avant Garde" w:hAnsi="ITC Avant Garde" w:cs="Calibri"/>
          <w:sz w:val="22"/>
          <w:szCs w:val="22"/>
        </w:rPr>
        <w:t>;</w:t>
      </w:r>
      <w:r w:rsidRPr="003804E0">
        <w:rPr>
          <w:rFonts w:ascii="ITC Avant Garde" w:hAnsi="ITC Avant Garde" w:cs="Calibri"/>
          <w:sz w:val="22"/>
          <w:szCs w:val="22"/>
        </w:rPr>
        <w:t xml:space="preserve"> de lo anterior se desprende que han transcurrido más de tres años desde su 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se acredita l</w:t>
      </w:r>
      <w:r>
        <w:rPr>
          <w:rFonts w:ascii="ITC Avant Garde" w:hAnsi="ITC Avant Garde" w:cs="Calibri"/>
          <w:sz w:val="22"/>
          <w:szCs w:val="22"/>
        </w:rPr>
        <w:t>o</w:t>
      </w:r>
      <w:r w:rsidRPr="003804E0">
        <w:rPr>
          <w:rFonts w:ascii="ITC Avant Garde" w:hAnsi="ITC Avant Garde" w:cs="Calibri"/>
          <w:sz w:val="22"/>
          <w:szCs w:val="22"/>
        </w:rPr>
        <w:t xml:space="preserve"> </w:t>
      </w:r>
      <w:r>
        <w:rPr>
          <w:rFonts w:ascii="ITC Avant Garde" w:hAnsi="ITC Avant Garde" w:cs="Calibri"/>
          <w:sz w:val="22"/>
          <w:szCs w:val="22"/>
        </w:rPr>
        <w:t xml:space="preserve">indicado en los </w:t>
      </w:r>
      <w:r w:rsidRPr="003804E0">
        <w:rPr>
          <w:rFonts w:ascii="ITC Avant Garde" w:hAnsi="ITC Avant Garde" w:cs="Calibri"/>
          <w:sz w:val="22"/>
          <w:szCs w:val="22"/>
        </w:rPr>
        <w:t>supuesto</w:t>
      </w:r>
      <w:r>
        <w:rPr>
          <w:rFonts w:ascii="ITC Avant Garde" w:hAnsi="ITC Avant Garde" w:cs="Calibri"/>
          <w:sz w:val="22"/>
          <w:szCs w:val="22"/>
        </w:rPr>
        <w:t>s</w:t>
      </w:r>
      <w:r w:rsidRPr="003804E0">
        <w:rPr>
          <w:rFonts w:ascii="ITC Avant Garde" w:hAnsi="ITC Avant Garde" w:cs="Calibri"/>
          <w:sz w:val="22"/>
          <w:szCs w:val="22"/>
        </w:rPr>
        <w:t xml:space="preserve"> normativo</w:t>
      </w:r>
      <w:r>
        <w:rPr>
          <w:rFonts w:ascii="ITC Avant Garde" w:hAnsi="ITC Avant Garde" w:cs="Calibri"/>
          <w:sz w:val="22"/>
          <w:szCs w:val="22"/>
        </w:rPr>
        <w:t>s señalados en los artículo 26 de la LFRTV y</w:t>
      </w:r>
      <w:r w:rsidRPr="003804E0">
        <w:rPr>
          <w:rFonts w:ascii="ITC Avant Garde" w:hAnsi="ITC Avant Garde" w:cs="Calibri"/>
          <w:sz w:val="22"/>
          <w:szCs w:val="22"/>
        </w:rPr>
        <w:t xml:space="preserve"> </w:t>
      </w:r>
      <w:r>
        <w:rPr>
          <w:rFonts w:ascii="ITC Avant Garde" w:hAnsi="ITC Avant Garde" w:cs="Calibri"/>
          <w:sz w:val="22"/>
          <w:szCs w:val="22"/>
        </w:rPr>
        <w:t>1</w:t>
      </w:r>
      <w:r w:rsidRPr="003804E0">
        <w:rPr>
          <w:rFonts w:ascii="ITC Avant Garde" w:hAnsi="ITC Avant Garde" w:cs="Calibri"/>
          <w:sz w:val="22"/>
          <w:szCs w:val="22"/>
        </w:rPr>
        <w:t>10</w:t>
      </w:r>
      <w:r>
        <w:rPr>
          <w:rFonts w:ascii="ITC Avant Garde" w:hAnsi="ITC Avant Garde" w:cs="Calibri"/>
          <w:sz w:val="22"/>
          <w:szCs w:val="22"/>
        </w:rPr>
        <w:t>, tercer párrafo</w:t>
      </w:r>
      <w:r w:rsidRPr="003804E0">
        <w:rPr>
          <w:rFonts w:ascii="ITC Avant Garde" w:hAnsi="ITC Avant Garde" w:cs="Calibri"/>
          <w:sz w:val="22"/>
          <w:szCs w:val="22"/>
        </w:rPr>
        <w:t xml:space="preserve"> de la Ley</w:t>
      </w:r>
    </w:p>
    <w:p w14:paraId="56207936" w14:textId="77777777" w:rsidR="00D9584D" w:rsidRDefault="00C21830" w:rsidP="00D9584D">
      <w:pPr>
        <w:pStyle w:val="Prrafodelista"/>
        <w:numPr>
          <w:ilvl w:val="0"/>
          <w:numId w:val="3"/>
        </w:numPr>
        <w:spacing w:afterLines="160" w:after="384" w:line="276" w:lineRule="auto"/>
        <w:jc w:val="both"/>
        <w:rPr>
          <w:rFonts w:ascii="ITC Avant Garde" w:hAnsi="ITC Avant Garde" w:cs="Calibri"/>
          <w:sz w:val="22"/>
          <w:szCs w:val="22"/>
        </w:rPr>
      </w:pPr>
      <w:r w:rsidRPr="00F805BC">
        <w:rPr>
          <w:rFonts w:ascii="ITC Avant Garde" w:hAnsi="ITC Avant Garde" w:cs="Calibri"/>
          <w:sz w:val="22"/>
          <w:szCs w:val="22"/>
        </w:rPr>
        <w:t xml:space="preserve">Por lo que hace al requisito relativo a que </w:t>
      </w:r>
      <w:r w:rsidR="00D00660">
        <w:rPr>
          <w:rFonts w:ascii="ITC Avant Garde" w:hAnsi="ITC Avant Garde" w:cs="Calibri"/>
          <w:sz w:val="22"/>
          <w:szCs w:val="22"/>
        </w:rPr>
        <w:t>e</w:t>
      </w:r>
      <w:r w:rsidR="00B14DE4" w:rsidRPr="00F805BC">
        <w:rPr>
          <w:rFonts w:ascii="ITC Avant Garde" w:hAnsi="ITC Avant Garde" w:cs="Calibri"/>
          <w:sz w:val="22"/>
          <w:szCs w:val="22"/>
          <w:lang w:val="es-MX"/>
        </w:rPr>
        <w:t>l CEDENTE</w:t>
      </w:r>
      <w:r w:rsidRPr="00F805BC">
        <w:rPr>
          <w:rFonts w:ascii="ITC Avant Garde" w:hAnsi="ITC Avant Garde" w:cs="Calibri"/>
          <w:sz w:val="22"/>
          <w:szCs w:val="22"/>
        </w:rPr>
        <w:t xml:space="preserve">, hubiere cumplido con las condiciones previstas en la Concesión, en términos del artículo 110 de la Ley </w:t>
      </w:r>
      <w:r w:rsidR="00D00660">
        <w:rPr>
          <w:rFonts w:ascii="ITC Avant Garde" w:hAnsi="ITC Avant Garde" w:cs="Calibri"/>
          <w:sz w:val="22"/>
          <w:szCs w:val="22"/>
        </w:rPr>
        <w:t>e</w:t>
      </w:r>
      <w:r w:rsidR="00B14DE4" w:rsidRPr="00F805BC">
        <w:rPr>
          <w:rFonts w:ascii="ITC Avant Garde" w:hAnsi="ITC Avant Garde" w:cs="Calibri"/>
          <w:sz w:val="22"/>
          <w:szCs w:val="22"/>
        </w:rPr>
        <w:t xml:space="preserve">l </w:t>
      </w:r>
      <w:r w:rsidR="00B80F4D" w:rsidRPr="00F805BC">
        <w:rPr>
          <w:rFonts w:ascii="ITC Avant Garde" w:hAnsi="ITC Avant Garde" w:cs="Calibri"/>
          <w:sz w:val="22"/>
          <w:szCs w:val="22"/>
        </w:rPr>
        <w:t>CEDENTE</w:t>
      </w:r>
      <w:r w:rsidRPr="00F805BC">
        <w:rPr>
          <w:rFonts w:ascii="ITC Avant Garde" w:hAnsi="ITC Avant Garde" w:cs="Calibri"/>
          <w:sz w:val="22"/>
          <w:szCs w:val="22"/>
        </w:rPr>
        <w:t xml:space="preserve"> presentó junto con el escrito señalado en el Antecedente </w:t>
      </w:r>
      <w:r w:rsidR="00C14C2D">
        <w:rPr>
          <w:rFonts w:ascii="ITC Avant Garde" w:hAnsi="ITC Avant Garde" w:cs="Calibri"/>
          <w:sz w:val="22"/>
          <w:szCs w:val="22"/>
        </w:rPr>
        <w:t>XI</w:t>
      </w:r>
      <w:r w:rsidR="00C14C2D" w:rsidRPr="00F805BC">
        <w:rPr>
          <w:rFonts w:ascii="ITC Avant Garde" w:hAnsi="ITC Avant Garde" w:cs="Calibri"/>
          <w:sz w:val="22"/>
          <w:szCs w:val="22"/>
        </w:rPr>
        <w:t xml:space="preserve"> </w:t>
      </w:r>
      <w:r w:rsidRPr="00F805BC">
        <w:rPr>
          <w:rFonts w:ascii="ITC Avant Garde" w:hAnsi="ITC Avant Garde" w:cs="Calibri"/>
          <w:sz w:val="22"/>
          <w:szCs w:val="22"/>
        </w:rPr>
        <w:t>de</w:t>
      </w:r>
      <w:r w:rsidR="00C14C2D">
        <w:rPr>
          <w:rFonts w:ascii="ITC Avant Garde" w:hAnsi="ITC Avant Garde" w:cs="Calibri"/>
          <w:sz w:val="22"/>
          <w:szCs w:val="22"/>
        </w:rPr>
        <w:t xml:space="preserve"> </w:t>
      </w:r>
      <w:r w:rsidR="00785931">
        <w:rPr>
          <w:rFonts w:ascii="ITC Avant Garde" w:hAnsi="ITC Avant Garde" w:cs="Calibri"/>
          <w:sz w:val="22"/>
          <w:szCs w:val="22"/>
        </w:rPr>
        <w:t>l</w:t>
      </w:r>
      <w:r w:rsidR="00C14C2D">
        <w:rPr>
          <w:rFonts w:ascii="ITC Avant Garde" w:hAnsi="ITC Avant Garde" w:cs="Calibri"/>
          <w:sz w:val="22"/>
          <w:szCs w:val="22"/>
        </w:rPr>
        <w:t>a</w:t>
      </w:r>
      <w:r w:rsidR="00785931">
        <w:rPr>
          <w:rFonts w:ascii="ITC Avant Garde" w:hAnsi="ITC Avant Garde" w:cs="Calibri"/>
          <w:sz w:val="22"/>
          <w:szCs w:val="22"/>
        </w:rPr>
        <w:t xml:space="preserve"> </w:t>
      </w:r>
      <w:r w:rsidRPr="00F805BC">
        <w:rPr>
          <w:rFonts w:ascii="ITC Avant Garde" w:hAnsi="ITC Avant Garde" w:cs="Calibri"/>
          <w:sz w:val="22"/>
          <w:szCs w:val="22"/>
        </w:rPr>
        <w:t xml:space="preserve">presente </w:t>
      </w:r>
      <w:r w:rsidR="00C14C2D">
        <w:rPr>
          <w:rFonts w:ascii="ITC Avant Garde" w:hAnsi="ITC Avant Garde" w:cs="Calibri"/>
          <w:sz w:val="22"/>
          <w:szCs w:val="22"/>
        </w:rPr>
        <w:t>Resolución</w:t>
      </w:r>
      <w:r w:rsidRPr="00F805BC">
        <w:rPr>
          <w:rFonts w:ascii="ITC Avant Garde" w:hAnsi="ITC Avant Garde" w:cs="Calibri"/>
          <w:sz w:val="22"/>
          <w:szCs w:val="22"/>
        </w:rPr>
        <w:t xml:space="preserve">, carta mediante la cual </w:t>
      </w:r>
      <w:r w:rsidR="00906848">
        <w:rPr>
          <w:rFonts w:ascii="ITC Avant Garde" w:hAnsi="ITC Avant Garde" w:cs="Calibri"/>
          <w:sz w:val="22"/>
          <w:szCs w:val="22"/>
        </w:rPr>
        <w:t>e</w:t>
      </w:r>
      <w:r w:rsidRPr="00F805BC">
        <w:rPr>
          <w:rFonts w:ascii="ITC Avant Garde" w:hAnsi="ITC Avant Garde" w:cs="Calibri"/>
          <w:sz w:val="22"/>
          <w:szCs w:val="22"/>
        </w:rPr>
        <w:t xml:space="preserve">l </w:t>
      </w:r>
      <w:r w:rsidR="00785931" w:rsidRPr="00F805BC">
        <w:rPr>
          <w:rFonts w:ascii="ITC Avant Garde" w:hAnsi="ITC Avant Garde" w:cs="Calibri"/>
          <w:sz w:val="22"/>
          <w:szCs w:val="22"/>
        </w:rPr>
        <w:t>CESIONARI</w:t>
      </w:r>
      <w:r w:rsidR="00906848">
        <w:rPr>
          <w:rFonts w:ascii="ITC Avant Garde" w:hAnsi="ITC Avant Garde" w:cs="Calibri"/>
          <w:sz w:val="22"/>
          <w:szCs w:val="22"/>
        </w:rPr>
        <w:t>O</w:t>
      </w:r>
      <w:r w:rsidRPr="00F805BC">
        <w:rPr>
          <w:rFonts w:ascii="ITC Avant Garde" w:hAnsi="ITC Avant Garde" w:cs="Calibri"/>
          <w:sz w:val="22"/>
          <w:szCs w:val="22"/>
        </w:rPr>
        <w:t xml:space="preserve">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5D3B9C" w:rsidRPr="00F805BC">
        <w:rPr>
          <w:rFonts w:ascii="ITC Avant Garde" w:hAnsi="ITC Avant Garde" w:cs="Calibri"/>
          <w:sz w:val="22"/>
          <w:szCs w:val="22"/>
        </w:rPr>
        <w:t>Concesión</w:t>
      </w:r>
      <w:r w:rsidRPr="00F805BC">
        <w:rPr>
          <w:rFonts w:ascii="ITC Avant Garde" w:hAnsi="ITC Avant Garde" w:cs="Calibri"/>
          <w:sz w:val="22"/>
          <w:szCs w:val="22"/>
        </w:rPr>
        <w:t xml:space="preserve"> objeto de cesión.</w:t>
      </w:r>
    </w:p>
    <w:p w14:paraId="6C5413AF" w14:textId="77777777" w:rsidR="00D9584D" w:rsidRDefault="00C21830" w:rsidP="00D9584D">
      <w:pPr>
        <w:pStyle w:val="Prrafodelista"/>
        <w:numPr>
          <w:ilvl w:val="0"/>
          <w:numId w:val="3"/>
        </w:numPr>
        <w:spacing w:afterLines="160" w:after="384" w:line="276" w:lineRule="auto"/>
        <w:jc w:val="both"/>
        <w:rPr>
          <w:rFonts w:ascii="ITC Avant Garde" w:hAnsi="ITC Avant Garde" w:cs="Calibri"/>
          <w:sz w:val="22"/>
          <w:szCs w:val="22"/>
        </w:rPr>
      </w:pPr>
      <w:r w:rsidRPr="00F805BC">
        <w:rPr>
          <w:rFonts w:ascii="ITC Avant Garde" w:hAnsi="ITC Avant Garde" w:cs="Calibri"/>
          <w:sz w:val="22"/>
          <w:szCs w:val="22"/>
        </w:rPr>
        <w:lastRenderedPageBreak/>
        <w:t xml:space="preserve">Por lo que hace al requisito relativo a que </w:t>
      </w:r>
      <w:r w:rsidR="00D00660">
        <w:rPr>
          <w:rFonts w:ascii="ITC Avant Garde" w:hAnsi="ITC Avant Garde" w:cs="Calibri"/>
          <w:sz w:val="22"/>
          <w:szCs w:val="22"/>
        </w:rPr>
        <w:t>e</w:t>
      </w:r>
      <w:r w:rsidR="00B14DE4" w:rsidRPr="00F805BC">
        <w:rPr>
          <w:rFonts w:ascii="ITC Avant Garde" w:hAnsi="ITC Avant Garde" w:cs="Calibri"/>
          <w:sz w:val="22"/>
          <w:szCs w:val="22"/>
        </w:rPr>
        <w:t xml:space="preserve">l </w:t>
      </w:r>
      <w:r w:rsidR="003605C2" w:rsidRPr="00F805BC">
        <w:rPr>
          <w:rFonts w:ascii="ITC Avant Garde" w:hAnsi="ITC Avant Garde" w:cs="Calibri"/>
          <w:sz w:val="22"/>
          <w:szCs w:val="22"/>
        </w:rPr>
        <w:t>CEDENTE</w:t>
      </w:r>
      <w:r w:rsidRPr="00F805BC">
        <w:rPr>
          <w:rFonts w:ascii="ITC Avant Garde" w:hAnsi="ITC Avant Garde" w:cs="Calibri"/>
          <w:sz w:val="22"/>
          <w:szCs w:val="22"/>
        </w:rPr>
        <w:t xml:space="preserve">, cuente con la opinión favorable en materia de competencia económica, </w:t>
      </w:r>
      <w:r w:rsidR="00F2793E" w:rsidRPr="00F805BC">
        <w:rPr>
          <w:rFonts w:ascii="ITC Avant Garde" w:hAnsi="ITC Avant Garde" w:cs="Calibri"/>
          <w:sz w:val="22"/>
          <w:szCs w:val="22"/>
        </w:rPr>
        <w:t xml:space="preserve">la </w:t>
      </w:r>
      <w:r w:rsidRPr="00F805BC">
        <w:rPr>
          <w:rFonts w:ascii="ITC Avant Garde" w:hAnsi="ITC Avant Garde" w:cs="Calibri"/>
          <w:sz w:val="22"/>
          <w:szCs w:val="22"/>
        </w:rPr>
        <w:t>COFECO</w:t>
      </w:r>
      <w:r w:rsidRPr="00F805BC" w:rsidDel="007C44AF">
        <w:rPr>
          <w:rFonts w:ascii="ITC Avant Garde" w:hAnsi="ITC Avant Garde" w:cs="Calibri"/>
          <w:sz w:val="22"/>
          <w:szCs w:val="22"/>
        </w:rPr>
        <w:t xml:space="preserve"> </w:t>
      </w:r>
      <w:r w:rsidRPr="00F805BC">
        <w:rPr>
          <w:rFonts w:ascii="ITC Avant Garde" w:hAnsi="ITC Avant Garde" w:cs="Calibri"/>
          <w:sz w:val="22"/>
          <w:szCs w:val="22"/>
        </w:rPr>
        <w:t xml:space="preserve">mediante </w:t>
      </w:r>
      <w:r w:rsidR="003605C2" w:rsidRPr="00F805BC">
        <w:rPr>
          <w:rFonts w:ascii="ITC Avant Garde" w:hAnsi="ITC Avant Garde" w:cs="Calibri"/>
          <w:sz w:val="22"/>
          <w:szCs w:val="22"/>
        </w:rPr>
        <w:t>oficio SE-10-096-201</w:t>
      </w:r>
      <w:r w:rsidR="001E033E">
        <w:rPr>
          <w:rFonts w:ascii="ITC Avant Garde" w:hAnsi="ITC Avant Garde" w:cs="Calibri"/>
          <w:sz w:val="22"/>
          <w:szCs w:val="22"/>
        </w:rPr>
        <w:t>3</w:t>
      </w:r>
      <w:r w:rsidR="003605C2" w:rsidRPr="00F805BC">
        <w:rPr>
          <w:rFonts w:ascii="ITC Avant Garde" w:hAnsi="ITC Avant Garde" w:cs="Calibri"/>
          <w:sz w:val="22"/>
          <w:szCs w:val="22"/>
        </w:rPr>
        <w:t>-3</w:t>
      </w:r>
      <w:r w:rsidR="00785931">
        <w:rPr>
          <w:rFonts w:ascii="ITC Avant Garde" w:hAnsi="ITC Avant Garde" w:cs="Calibri"/>
          <w:sz w:val="22"/>
          <w:szCs w:val="22"/>
        </w:rPr>
        <w:t>72</w:t>
      </w:r>
      <w:r w:rsidR="003605C2" w:rsidRPr="00F805BC">
        <w:rPr>
          <w:rFonts w:ascii="ITC Avant Garde" w:hAnsi="ITC Avant Garde" w:cs="Calibri"/>
          <w:sz w:val="22"/>
          <w:szCs w:val="22"/>
        </w:rPr>
        <w:t xml:space="preserve"> de fecha 2</w:t>
      </w:r>
      <w:r w:rsidR="00785931">
        <w:rPr>
          <w:rFonts w:ascii="ITC Avant Garde" w:hAnsi="ITC Avant Garde" w:cs="Calibri"/>
          <w:sz w:val="22"/>
          <w:szCs w:val="22"/>
        </w:rPr>
        <w:t>0 de junio de</w:t>
      </w:r>
      <w:r w:rsidRPr="00F805BC">
        <w:rPr>
          <w:rFonts w:ascii="ITC Avant Garde" w:hAnsi="ITC Avant Garde" w:cs="Calibri"/>
          <w:sz w:val="22"/>
          <w:szCs w:val="22"/>
        </w:rPr>
        <w:t xml:space="preserve"> 201</w:t>
      </w:r>
      <w:r w:rsidR="00785931">
        <w:rPr>
          <w:rFonts w:ascii="ITC Avant Garde" w:hAnsi="ITC Avant Garde" w:cs="Calibri"/>
          <w:sz w:val="22"/>
          <w:szCs w:val="22"/>
        </w:rPr>
        <w:t>3</w:t>
      </w:r>
      <w:r w:rsidRPr="00F805BC">
        <w:rPr>
          <w:rFonts w:ascii="ITC Avant Garde" w:hAnsi="ITC Avant Garde" w:cs="Calibri"/>
          <w:sz w:val="22"/>
          <w:szCs w:val="22"/>
        </w:rPr>
        <w:t xml:space="preserve">, emitió opinión favorable en materia de competencia económica a la cesión de derechos y obligaciones de la Concesión </w:t>
      </w:r>
      <w:r w:rsidR="003605C2" w:rsidRPr="00F805BC">
        <w:rPr>
          <w:rFonts w:ascii="ITC Avant Garde" w:hAnsi="ITC Avant Garde" w:cs="Calibri"/>
          <w:sz w:val="22"/>
          <w:szCs w:val="22"/>
        </w:rPr>
        <w:t>de la estación de radio X</w:t>
      </w:r>
      <w:r w:rsidR="00785931">
        <w:rPr>
          <w:rFonts w:ascii="ITC Avant Garde" w:hAnsi="ITC Avant Garde" w:cs="Calibri"/>
          <w:sz w:val="22"/>
          <w:szCs w:val="22"/>
        </w:rPr>
        <w:t>EJZ</w:t>
      </w:r>
      <w:r w:rsidR="003605C2" w:rsidRPr="00F805BC">
        <w:rPr>
          <w:rFonts w:ascii="ITC Avant Garde" w:hAnsi="ITC Avant Garde" w:cs="Calibri"/>
          <w:sz w:val="22"/>
          <w:szCs w:val="22"/>
        </w:rPr>
        <w:t>-</w:t>
      </w:r>
      <w:r w:rsidR="00785931">
        <w:rPr>
          <w:rFonts w:ascii="ITC Avant Garde" w:hAnsi="ITC Avant Garde" w:cs="Calibri"/>
          <w:sz w:val="22"/>
          <w:szCs w:val="22"/>
        </w:rPr>
        <w:t>A</w:t>
      </w:r>
      <w:r w:rsidR="003605C2" w:rsidRPr="00F805BC">
        <w:rPr>
          <w:rFonts w:ascii="ITC Avant Garde" w:hAnsi="ITC Avant Garde" w:cs="Calibri"/>
          <w:sz w:val="22"/>
          <w:szCs w:val="22"/>
        </w:rPr>
        <w:t xml:space="preserve">M, frecuencia </w:t>
      </w:r>
      <w:r w:rsidR="00785931">
        <w:rPr>
          <w:rFonts w:ascii="ITC Avant Garde" w:hAnsi="ITC Avant Garde" w:cs="Calibri"/>
          <w:sz w:val="22"/>
          <w:szCs w:val="22"/>
        </w:rPr>
        <w:t>1320</w:t>
      </w:r>
      <w:r w:rsidRPr="00F805BC">
        <w:rPr>
          <w:rFonts w:ascii="ITC Avant Garde" w:hAnsi="ITC Avant Garde" w:cs="Calibri"/>
          <w:sz w:val="22"/>
          <w:szCs w:val="22"/>
        </w:rPr>
        <w:t xml:space="preserve"> </w:t>
      </w:r>
      <w:r w:rsidR="00785931">
        <w:rPr>
          <w:rFonts w:ascii="ITC Avant Garde" w:hAnsi="ITC Avant Garde" w:cs="Calibri"/>
          <w:sz w:val="22"/>
          <w:szCs w:val="22"/>
        </w:rPr>
        <w:t>k</w:t>
      </w:r>
      <w:r w:rsidRPr="00F805BC">
        <w:rPr>
          <w:rFonts w:ascii="ITC Avant Garde" w:hAnsi="ITC Avant Garde" w:cs="Calibri"/>
          <w:sz w:val="22"/>
          <w:szCs w:val="22"/>
        </w:rPr>
        <w:t xml:space="preserve">Hz, ubicada en </w:t>
      </w:r>
      <w:r w:rsidR="00785931">
        <w:rPr>
          <w:rFonts w:ascii="ITC Avant Garde" w:hAnsi="ITC Avant Garde" w:cs="Calibri"/>
          <w:sz w:val="22"/>
          <w:szCs w:val="22"/>
        </w:rPr>
        <w:t xml:space="preserve">Ciudad Jiménez, </w:t>
      </w:r>
      <w:proofErr w:type="spellStart"/>
      <w:r w:rsidR="00785931">
        <w:rPr>
          <w:rFonts w:ascii="ITC Avant Garde" w:hAnsi="ITC Avant Garde" w:cs="Calibri"/>
          <w:sz w:val="22"/>
          <w:szCs w:val="22"/>
        </w:rPr>
        <w:t>Chih</w:t>
      </w:r>
      <w:proofErr w:type="spellEnd"/>
      <w:r w:rsidR="00A61490" w:rsidRPr="00F805BC">
        <w:rPr>
          <w:rFonts w:ascii="ITC Avant Garde" w:hAnsi="ITC Avant Garde" w:cs="Calibri"/>
          <w:sz w:val="22"/>
          <w:szCs w:val="22"/>
        </w:rPr>
        <w:t>.,</w:t>
      </w:r>
      <w:r w:rsidRPr="00F805BC">
        <w:rPr>
          <w:rFonts w:ascii="ITC Avant Garde" w:hAnsi="ITC Avant Garde" w:cs="Calibri"/>
          <w:sz w:val="22"/>
          <w:szCs w:val="22"/>
        </w:rPr>
        <w:t xml:space="preserve"> en favor del </w:t>
      </w:r>
      <w:r w:rsidR="00A61490" w:rsidRPr="00F805BC">
        <w:rPr>
          <w:rFonts w:ascii="ITC Avant Garde" w:hAnsi="ITC Avant Garde" w:cs="Calibri"/>
          <w:sz w:val="22"/>
          <w:szCs w:val="22"/>
        </w:rPr>
        <w:t>CESIONARI</w:t>
      </w:r>
      <w:r w:rsidR="00906848">
        <w:rPr>
          <w:rFonts w:ascii="ITC Avant Garde" w:hAnsi="ITC Avant Garde" w:cs="Calibri"/>
          <w:sz w:val="22"/>
          <w:szCs w:val="22"/>
        </w:rPr>
        <w:t>O</w:t>
      </w:r>
      <w:r w:rsidRPr="00F805BC">
        <w:rPr>
          <w:rFonts w:ascii="ITC Avant Garde" w:hAnsi="ITC Avant Garde" w:cs="Calibri"/>
          <w:sz w:val="22"/>
          <w:szCs w:val="22"/>
        </w:rPr>
        <w:t>. En dicha opinión, la COFECO</w:t>
      </w:r>
      <w:r w:rsidRPr="00F805BC" w:rsidDel="007C44AF">
        <w:rPr>
          <w:rFonts w:ascii="ITC Avant Garde" w:hAnsi="ITC Avant Garde" w:cs="Calibri"/>
          <w:sz w:val="22"/>
          <w:szCs w:val="22"/>
        </w:rPr>
        <w:t xml:space="preserve"> </w:t>
      </w:r>
      <w:r w:rsidRPr="00F805BC">
        <w:rPr>
          <w:rFonts w:ascii="ITC Avant Garde" w:hAnsi="ITC Avant Garde" w:cs="Calibri"/>
          <w:sz w:val="22"/>
          <w:szCs w:val="22"/>
        </w:rPr>
        <w:t>concluyó</w:t>
      </w:r>
      <w:r w:rsidR="00A61490" w:rsidRPr="00F805BC">
        <w:rPr>
          <w:rFonts w:ascii="ITC Avant Garde" w:hAnsi="ITC Avant Garde" w:cs="Calibri"/>
          <w:sz w:val="22"/>
          <w:szCs w:val="22"/>
        </w:rPr>
        <w:t>:</w:t>
      </w:r>
    </w:p>
    <w:p w14:paraId="155241D8" w14:textId="77777777" w:rsidR="00D9584D" w:rsidRDefault="00C7186E" w:rsidP="00D9584D">
      <w:pPr>
        <w:autoSpaceDE w:val="0"/>
        <w:autoSpaceDN w:val="0"/>
        <w:adjustRightInd w:val="0"/>
        <w:spacing w:afterLines="160" w:after="384" w:line="276" w:lineRule="auto"/>
        <w:ind w:left="1418" w:right="900"/>
        <w:jc w:val="both"/>
        <w:rPr>
          <w:rFonts w:ascii="ITC Avant Garde" w:hAnsi="ITC Avant Garde" w:cs="Calibri"/>
          <w:i/>
          <w:sz w:val="20"/>
        </w:rPr>
      </w:pPr>
      <w:r w:rsidRPr="00F805BC">
        <w:rPr>
          <w:rFonts w:ascii="ITC Avant Garde" w:hAnsi="ITC Avant Garde" w:cs="Calibri"/>
          <w:i/>
          <w:sz w:val="20"/>
        </w:rPr>
        <w:t>“</w:t>
      </w:r>
      <w:r w:rsidR="008976E2">
        <w:rPr>
          <w:rFonts w:ascii="ITC Avant Garde" w:hAnsi="ITC Avant Garde" w:cs="Calibri"/>
          <w:i/>
          <w:sz w:val="20"/>
        </w:rPr>
        <w:t xml:space="preserve">… la </w:t>
      </w:r>
      <w:r w:rsidR="00E0480C" w:rsidRPr="00F805BC">
        <w:rPr>
          <w:rFonts w:ascii="ITC Avant Garde" w:hAnsi="ITC Avant Garde" w:cs="Calibri"/>
          <w:i/>
          <w:sz w:val="20"/>
        </w:rPr>
        <w:t>C</w:t>
      </w:r>
      <w:r w:rsidR="00E0480C">
        <w:rPr>
          <w:rFonts w:ascii="ITC Avant Garde" w:hAnsi="ITC Avant Garde" w:cs="Calibri"/>
          <w:i/>
          <w:sz w:val="20"/>
        </w:rPr>
        <w:t>ESIÓN implicaría una sustitución de un agente económico por otro, sin que esto afecte la estructura actual del mercado relevante,</w:t>
      </w:r>
      <w:r w:rsidR="00A61490" w:rsidRPr="00F805BC">
        <w:rPr>
          <w:rFonts w:ascii="ITC Avant Garde" w:hAnsi="ITC Avant Garde" w:cs="Calibri"/>
          <w:i/>
          <w:sz w:val="20"/>
        </w:rPr>
        <w:t xml:space="preserve"> por lo que </w:t>
      </w:r>
      <w:r w:rsidR="00E0480C">
        <w:rPr>
          <w:rFonts w:ascii="ITC Avant Garde" w:hAnsi="ITC Avant Garde" w:cs="Calibri"/>
          <w:i/>
          <w:sz w:val="20"/>
        </w:rPr>
        <w:t xml:space="preserve">se estima que esta CESIÓN </w:t>
      </w:r>
      <w:r w:rsidR="00A61490" w:rsidRPr="00F805BC">
        <w:rPr>
          <w:rFonts w:ascii="ITC Avant Garde" w:hAnsi="ITC Avant Garde" w:cs="Calibri"/>
          <w:i/>
          <w:sz w:val="20"/>
        </w:rPr>
        <w:t>no se generarí</w:t>
      </w:r>
      <w:r w:rsidRPr="00F805BC">
        <w:rPr>
          <w:rFonts w:ascii="ITC Avant Garde" w:hAnsi="ITC Avant Garde" w:cs="Calibri"/>
          <w:i/>
          <w:sz w:val="20"/>
        </w:rPr>
        <w:t>a efectos contrarios al proceso</w:t>
      </w:r>
      <w:r w:rsidR="00A61490" w:rsidRPr="00F805BC">
        <w:rPr>
          <w:rFonts w:ascii="ITC Avant Garde" w:hAnsi="ITC Avant Garde" w:cs="Calibri"/>
          <w:i/>
          <w:sz w:val="20"/>
        </w:rPr>
        <w:t xml:space="preserve"> de competencia y libre concurrencia</w:t>
      </w:r>
      <w:r w:rsidRPr="00F805BC">
        <w:rPr>
          <w:rFonts w:ascii="ITC Avant Garde" w:hAnsi="ITC Avant Garde" w:cs="Calibri"/>
          <w:i/>
          <w:sz w:val="20"/>
        </w:rPr>
        <w:t>…”</w:t>
      </w:r>
    </w:p>
    <w:p w14:paraId="2088D885" w14:textId="77777777" w:rsidR="00D9584D" w:rsidRDefault="00C21830" w:rsidP="00D9584D">
      <w:pPr>
        <w:pStyle w:val="Textoindependiente"/>
        <w:numPr>
          <w:ilvl w:val="0"/>
          <w:numId w:val="2"/>
        </w:numPr>
        <w:spacing w:afterLines="160" w:after="384" w:line="276" w:lineRule="auto"/>
        <w:ind w:left="714" w:right="40" w:hanging="357"/>
        <w:rPr>
          <w:rFonts w:ascii="ITC Avant Garde" w:hAnsi="ITC Avant Garde" w:cs="Calibri"/>
          <w:sz w:val="22"/>
          <w:szCs w:val="22"/>
        </w:rPr>
      </w:pPr>
      <w:r w:rsidRPr="00F805BC">
        <w:rPr>
          <w:rFonts w:ascii="ITC Avant Garde" w:hAnsi="ITC Avant Garde" w:cs="Calibri"/>
          <w:sz w:val="22"/>
          <w:szCs w:val="22"/>
          <w:lang w:val="es-MX"/>
        </w:rPr>
        <w:t xml:space="preserve"> </w:t>
      </w:r>
      <w:r w:rsidRPr="00F805BC">
        <w:rPr>
          <w:rFonts w:ascii="ITC Avant Garde" w:hAnsi="ITC Avant Garde" w:cs="Calibri"/>
          <w:sz w:val="22"/>
          <w:szCs w:val="22"/>
        </w:rPr>
        <w:t xml:space="preserve">Asimismo, </w:t>
      </w:r>
      <w:r w:rsidR="00D00660">
        <w:rPr>
          <w:rFonts w:ascii="ITC Avant Garde" w:hAnsi="ITC Avant Garde" w:cs="Calibri"/>
          <w:sz w:val="22"/>
          <w:szCs w:val="22"/>
          <w:lang w:val="es-MX"/>
        </w:rPr>
        <w:t>e</w:t>
      </w:r>
      <w:r w:rsidRPr="00F805BC">
        <w:rPr>
          <w:rFonts w:ascii="ITC Avant Garde" w:hAnsi="ITC Avant Garde" w:cs="Calibri"/>
          <w:sz w:val="22"/>
          <w:szCs w:val="22"/>
        </w:rPr>
        <w:t>l CEDENTE adjunt</w:t>
      </w:r>
      <w:r w:rsidRPr="00F805BC">
        <w:rPr>
          <w:rFonts w:ascii="ITC Avant Garde" w:hAnsi="ITC Avant Garde" w:cs="Calibri"/>
          <w:sz w:val="22"/>
          <w:szCs w:val="22"/>
          <w:lang w:val="es-MX"/>
        </w:rPr>
        <w:t>ó</w:t>
      </w:r>
      <w:r w:rsidRPr="00F805BC">
        <w:rPr>
          <w:rFonts w:ascii="ITC Avant Garde" w:hAnsi="ITC Avant Garde" w:cs="Calibri"/>
          <w:sz w:val="22"/>
          <w:szCs w:val="22"/>
        </w:rPr>
        <w:t xml:space="preserve"> a la Solicitud de Cesión el comprobante de pago de derechos, </w:t>
      </w:r>
      <w:r w:rsidRPr="00F805BC">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F805BC">
        <w:rPr>
          <w:rFonts w:ascii="ITC Avant Garde" w:hAnsi="ITC Avant Garde" w:cs="Calibri"/>
          <w:sz w:val="22"/>
          <w:szCs w:val="22"/>
        </w:rPr>
        <w:t>, de conformidad con lo establecido en el artículo 124</w:t>
      </w:r>
      <w:r w:rsidR="00E01ADF">
        <w:rPr>
          <w:rFonts w:ascii="ITC Avant Garde" w:hAnsi="ITC Avant Garde" w:cs="Calibri"/>
          <w:sz w:val="22"/>
          <w:szCs w:val="22"/>
          <w:lang w:val="es-MX"/>
        </w:rPr>
        <w:t>,</w:t>
      </w:r>
      <w:r w:rsidRPr="00F805BC">
        <w:rPr>
          <w:rFonts w:ascii="ITC Avant Garde" w:hAnsi="ITC Avant Garde" w:cs="Calibri"/>
          <w:sz w:val="22"/>
          <w:szCs w:val="22"/>
        </w:rPr>
        <w:t xml:space="preserve"> fracción II, inciso n), de la Ley Federal de Derechos, por lo que también se considera satisfecho el requisito en comento.</w:t>
      </w:r>
    </w:p>
    <w:p w14:paraId="0D08620E" w14:textId="77777777" w:rsidR="00D9584D" w:rsidRDefault="00C21830" w:rsidP="00D9584D">
      <w:pPr>
        <w:spacing w:afterLines="160" w:after="384" w:line="276" w:lineRule="auto"/>
        <w:ind w:right="49"/>
        <w:jc w:val="both"/>
        <w:rPr>
          <w:rFonts w:ascii="ITC Avant Garde" w:hAnsi="ITC Avant Garde" w:cs="Calibri"/>
          <w:b/>
          <w:sz w:val="22"/>
          <w:szCs w:val="22"/>
        </w:rPr>
      </w:pPr>
      <w:r w:rsidRPr="00F805BC">
        <w:rPr>
          <w:rFonts w:ascii="ITC Avant Garde" w:hAnsi="ITC Avant Garde" w:cs="Calibri"/>
          <w:sz w:val="22"/>
          <w:szCs w:val="22"/>
        </w:rPr>
        <w:t xml:space="preserve">Derivado de lo anterior, y en virtud de que la </w:t>
      </w:r>
      <w:r w:rsidR="00B14DE4" w:rsidRPr="00F805BC">
        <w:rPr>
          <w:rFonts w:ascii="ITC Avant Garde" w:hAnsi="ITC Avant Garde" w:cs="Calibri"/>
          <w:sz w:val="22"/>
          <w:szCs w:val="22"/>
        </w:rPr>
        <w:t>UCS</w:t>
      </w:r>
      <w:r w:rsidRPr="00F805BC">
        <w:rPr>
          <w:rFonts w:ascii="ITC Avant Garde" w:hAnsi="ITC Avant Garde" w:cs="Calibri"/>
          <w:sz w:val="22"/>
          <w:szCs w:val="22"/>
        </w:rPr>
        <w:t xml:space="preserve"> comprobó el debido cumplimiento de los requisitos de procedencia establecidos en la Ley, y demás disposiciones aplicables a la materia de radiodifusión </w:t>
      </w:r>
      <w:r w:rsidRPr="00F805BC">
        <w:rPr>
          <w:rFonts w:ascii="ITC Avant Garde" w:hAnsi="ITC Avant Garde"/>
          <w:kern w:val="2"/>
          <w:sz w:val="22"/>
          <w:szCs w:val="22"/>
          <w:lang w:eastAsia="ar-SA"/>
        </w:rPr>
        <w:t>y de igual forma, no se advierte ninguna causa o impedimento legal,</w:t>
      </w:r>
      <w:r w:rsidRPr="00F805BC">
        <w:rPr>
          <w:rFonts w:ascii="ITC Avant Garde" w:hAnsi="ITC Avant Garde" w:cs="Calibri"/>
          <w:sz w:val="22"/>
          <w:szCs w:val="22"/>
        </w:rPr>
        <w:t xml:space="preserve"> se considera procedente autorizar al </w:t>
      </w:r>
      <w:r w:rsidR="00C7186E" w:rsidRPr="00F805BC">
        <w:rPr>
          <w:rFonts w:ascii="ITC Avant Garde" w:hAnsi="ITC Avant Garde" w:cs="Calibri"/>
          <w:sz w:val="22"/>
          <w:szCs w:val="22"/>
        </w:rPr>
        <w:t>CEDENTE</w:t>
      </w:r>
      <w:r w:rsidRPr="00F805BC">
        <w:rPr>
          <w:rFonts w:ascii="ITC Avant Garde" w:hAnsi="ITC Avant Garde" w:cs="Calibri"/>
          <w:sz w:val="22"/>
          <w:szCs w:val="22"/>
        </w:rPr>
        <w:t xml:space="preserve">, la Solicitud de Cesión de la Concesión a favor del </w:t>
      </w:r>
      <w:r w:rsidR="00C7186E" w:rsidRPr="00F805BC">
        <w:rPr>
          <w:rFonts w:ascii="ITC Avant Garde" w:hAnsi="ITC Avant Garde" w:cs="Calibri"/>
          <w:sz w:val="22"/>
          <w:szCs w:val="22"/>
        </w:rPr>
        <w:t>CESIONARI</w:t>
      </w:r>
      <w:r w:rsidR="00906848">
        <w:rPr>
          <w:rFonts w:ascii="ITC Avant Garde" w:hAnsi="ITC Avant Garde" w:cs="Calibri"/>
          <w:sz w:val="22"/>
          <w:szCs w:val="22"/>
        </w:rPr>
        <w:t>O</w:t>
      </w:r>
      <w:r w:rsidRPr="00F805BC">
        <w:rPr>
          <w:rFonts w:ascii="ITC Avant Garde" w:hAnsi="ITC Avant Garde" w:cs="Calibri"/>
          <w:b/>
          <w:sz w:val="22"/>
          <w:szCs w:val="22"/>
        </w:rPr>
        <w:t>.</w:t>
      </w:r>
    </w:p>
    <w:p w14:paraId="4569CAE0" w14:textId="3CE735D1" w:rsidR="00C21830" w:rsidRPr="00F805BC" w:rsidRDefault="00C21830" w:rsidP="00D9584D">
      <w:pPr>
        <w:spacing w:afterLines="160" w:after="384" w:line="276" w:lineRule="auto"/>
        <w:ind w:right="49"/>
        <w:jc w:val="both"/>
        <w:rPr>
          <w:rFonts w:ascii="ITC Avant Garde" w:hAnsi="ITC Avant Garde" w:cs="Calibri"/>
          <w:sz w:val="22"/>
          <w:szCs w:val="22"/>
        </w:rPr>
      </w:pPr>
      <w:r w:rsidRPr="00F805BC">
        <w:rPr>
          <w:rFonts w:ascii="ITC Avant Garde" w:hAnsi="ITC Avant Garde"/>
          <w:b/>
          <w:kern w:val="1"/>
          <w:sz w:val="22"/>
          <w:szCs w:val="22"/>
          <w:lang w:eastAsia="ar-SA"/>
        </w:rPr>
        <w:t>Quinto.- Condiciones.</w:t>
      </w:r>
      <w:r w:rsidRPr="00F805BC">
        <w:rPr>
          <w:rFonts w:ascii="ITC Avant Garde" w:hAnsi="ITC Avant Garde"/>
          <w:kern w:val="1"/>
          <w:sz w:val="22"/>
          <w:szCs w:val="22"/>
          <w:lang w:eastAsia="ar-SA"/>
        </w:rPr>
        <w:t xml:space="preserve"> Toda vez que se considera procedente </w:t>
      </w:r>
      <w:r w:rsidRPr="00F805BC">
        <w:rPr>
          <w:rFonts w:ascii="ITC Avant Garde" w:hAnsi="ITC Avant Garde" w:cs="Calibri"/>
          <w:sz w:val="22"/>
          <w:szCs w:val="22"/>
        </w:rPr>
        <w:t xml:space="preserve">autorizar al </w:t>
      </w:r>
      <w:r w:rsidR="00C7186E" w:rsidRPr="00F805BC">
        <w:rPr>
          <w:rFonts w:ascii="ITC Avant Garde" w:hAnsi="ITC Avant Garde" w:cs="Calibri"/>
          <w:sz w:val="22"/>
          <w:szCs w:val="22"/>
        </w:rPr>
        <w:t>CEDENTE</w:t>
      </w:r>
      <w:r w:rsidRPr="00F805BC">
        <w:rPr>
          <w:rFonts w:ascii="ITC Avant Garde" w:hAnsi="ITC Avant Garde" w:cs="Calibri"/>
          <w:sz w:val="22"/>
          <w:szCs w:val="22"/>
        </w:rPr>
        <w:t xml:space="preserve">, la Solicitud de Cesión de la Concesión a favor del </w:t>
      </w:r>
      <w:r w:rsidR="00C7186E" w:rsidRPr="004C2EFA">
        <w:rPr>
          <w:rFonts w:ascii="ITC Avant Garde" w:hAnsi="ITC Avant Garde" w:cs="Calibri"/>
          <w:sz w:val="22"/>
          <w:szCs w:val="22"/>
        </w:rPr>
        <w:t>CESIONARI</w:t>
      </w:r>
      <w:r w:rsidR="00906848">
        <w:rPr>
          <w:rFonts w:ascii="ITC Avant Garde" w:hAnsi="ITC Avant Garde" w:cs="Calibri"/>
          <w:sz w:val="22"/>
          <w:szCs w:val="22"/>
        </w:rPr>
        <w:t>O</w:t>
      </w:r>
      <w:r w:rsidRPr="00453228">
        <w:rPr>
          <w:rFonts w:ascii="ITC Avant Garde" w:hAnsi="ITC Avant Garde" w:cs="Calibri"/>
          <w:sz w:val="22"/>
          <w:szCs w:val="22"/>
        </w:rPr>
        <w:t xml:space="preserve">, </w:t>
      </w:r>
      <w:r w:rsidRPr="004C2EFA">
        <w:rPr>
          <w:rFonts w:ascii="ITC Avant Garde" w:hAnsi="ITC Avant Garde" w:cs="Calibri"/>
          <w:sz w:val="22"/>
          <w:szCs w:val="22"/>
        </w:rPr>
        <w:t>está última</w:t>
      </w:r>
      <w:r w:rsidRPr="00F805BC">
        <w:rPr>
          <w:rFonts w:ascii="ITC Avant Garde" w:hAnsi="ITC Avant Garde" w:cs="Calibri"/>
          <w:sz w:val="22"/>
          <w:szCs w:val="22"/>
        </w:rPr>
        <w:t xml:space="preserve"> deberá ajustarse a las siguientes condiciones:</w:t>
      </w:r>
    </w:p>
    <w:p w14:paraId="2AA58067" w14:textId="77777777" w:rsidR="00D9584D" w:rsidRDefault="00C21830" w:rsidP="00D9584D">
      <w:pPr>
        <w:spacing w:afterLines="160" w:after="384" w:line="276" w:lineRule="auto"/>
        <w:ind w:right="49"/>
        <w:jc w:val="both"/>
        <w:rPr>
          <w:rFonts w:ascii="ITC Avant Garde" w:hAnsi="ITC Avant Garde" w:cs="Calibri"/>
          <w:sz w:val="22"/>
          <w:szCs w:val="22"/>
        </w:rPr>
      </w:pPr>
      <w:r w:rsidRPr="00F805BC">
        <w:rPr>
          <w:rFonts w:ascii="ITC Avant Garde" w:hAnsi="ITC Avant Garde" w:cs="Calibri"/>
          <w:b/>
          <w:sz w:val="22"/>
          <w:szCs w:val="22"/>
        </w:rPr>
        <w:t>I.-</w:t>
      </w:r>
      <w:r w:rsidRPr="00F805BC">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4E9FA8F2" w14:textId="77777777" w:rsidR="00D9584D" w:rsidRDefault="00C21830" w:rsidP="00D9584D">
      <w:pPr>
        <w:spacing w:afterLines="160" w:after="384" w:line="276" w:lineRule="auto"/>
        <w:ind w:right="49"/>
        <w:jc w:val="both"/>
        <w:rPr>
          <w:rFonts w:ascii="ITC Avant Garde" w:hAnsi="ITC Avant Garde" w:cs="Calibri"/>
          <w:sz w:val="22"/>
          <w:szCs w:val="22"/>
        </w:rPr>
      </w:pPr>
      <w:r w:rsidRPr="00F805BC">
        <w:rPr>
          <w:rFonts w:ascii="ITC Avant Garde" w:hAnsi="ITC Avant Garde" w:cs="Calibri"/>
          <w:b/>
          <w:sz w:val="22"/>
          <w:szCs w:val="22"/>
        </w:rPr>
        <w:t>II.-</w:t>
      </w:r>
      <w:r w:rsidRPr="00F805BC">
        <w:rPr>
          <w:rFonts w:ascii="ITC Avant Garde" w:hAnsi="ITC Avant Garde" w:cs="Calibri"/>
          <w:sz w:val="22"/>
          <w:szCs w:val="22"/>
        </w:rPr>
        <w:t xml:space="preserve"> Sujetarse a la responsabilidad mancomunada, solidaria e ilimitada y la repercusión en todos los actos pasados y presentes del </w:t>
      </w:r>
      <w:r w:rsidR="00C7186E" w:rsidRPr="00F805BC">
        <w:rPr>
          <w:rFonts w:ascii="ITC Avant Garde" w:hAnsi="ITC Avant Garde" w:cs="Calibri"/>
          <w:sz w:val="22"/>
          <w:szCs w:val="22"/>
        </w:rPr>
        <w:t>CEDENTE</w:t>
      </w:r>
      <w:r w:rsidRPr="00F805BC">
        <w:rPr>
          <w:rFonts w:ascii="ITC Avant Garde" w:hAnsi="ITC Avant Garde" w:cs="Calibri"/>
          <w:sz w:val="22"/>
          <w:szCs w:val="22"/>
        </w:rPr>
        <w:t xml:space="preserve"> en relación con la Ley y demás disposiciones legales, reglamentarias y administrativas aplicables.</w:t>
      </w:r>
    </w:p>
    <w:p w14:paraId="3B41914D" w14:textId="77777777" w:rsidR="00D9584D" w:rsidRDefault="00C21830" w:rsidP="00D9584D">
      <w:pPr>
        <w:spacing w:afterLines="160" w:after="384" w:line="276" w:lineRule="auto"/>
        <w:ind w:right="49"/>
        <w:jc w:val="both"/>
        <w:rPr>
          <w:rFonts w:ascii="ITC Avant Garde" w:hAnsi="ITC Avant Garde" w:cs="Calibri"/>
          <w:sz w:val="22"/>
          <w:szCs w:val="22"/>
        </w:rPr>
      </w:pPr>
      <w:r w:rsidRPr="00F805BC">
        <w:rPr>
          <w:rFonts w:ascii="ITC Avant Garde" w:hAnsi="ITC Avant Garde" w:cs="Calibri"/>
          <w:b/>
          <w:sz w:val="22"/>
          <w:szCs w:val="22"/>
        </w:rPr>
        <w:lastRenderedPageBreak/>
        <w:t>III.-</w:t>
      </w:r>
      <w:r w:rsidRPr="00F805BC">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2C5C2E9A" w14:textId="77777777" w:rsidR="00D9584D" w:rsidRDefault="00C21830" w:rsidP="00D9584D">
      <w:pPr>
        <w:spacing w:afterLines="160" w:after="384" w:line="276" w:lineRule="auto"/>
        <w:ind w:right="49"/>
        <w:jc w:val="both"/>
        <w:rPr>
          <w:rFonts w:ascii="ITC Avant Garde" w:hAnsi="ITC Avant Garde" w:cs="Calibri"/>
          <w:sz w:val="22"/>
          <w:szCs w:val="22"/>
        </w:rPr>
      </w:pPr>
      <w:r w:rsidRPr="00F805BC">
        <w:rPr>
          <w:rFonts w:ascii="ITC Avant Garde" w:hAnsi="ITC Avant Garde" w:cs="Calibri"/>
          <w:b/>
          <w:sz w:val="22"/>
          <w:szCs w:val="22"/>
          <w:lang w:val="es-MX"/>
        </w:rPr>
        <w:t>I</w:t>
      </w:r>
      <w:r w:rsidRPr="00F805BC">
        <w:rPr>
          <w:rFonts w:ascii="ITC Avant Garde" w:hAnsi="ITC Avant Garde" w:cs="Calibri"/>
          <w:b/>
          <w:sz w:val="22"/>
          <w:szCs w:val="22"/>
        </w:rPr>
        <w:t>V.-</w:t>
      </w:r>
      <w:r w:rsidRPr="00F805BC">
        <w:rPr>
          <w:rFonts w:ascii="ITC Avant Garde" w:hAnsi="ITC Avant Garde" w:cs="Calibri"/>
          <w:sz w:val="22"/>
          <w:szCs w:val="22"/>
        </w:rPr>
        <w:t xml:space="preserve"> </w:t>
      </w:r>
      <w:r w:rsidR="00980E41" w:rsidRPr="005B3643">
        <w:rPr>
          <w:rFonts w:ascii="ITC Avant Garde" w:hAnsi="ITC Avant Garde" w:cs="Calibri"/>
          <w:sz w:val="22"/>
          <w:szCs w:val="22"/>
        </w:rPr>
        <w:t>C</w:t>
      </w:r>
      <w:r w:rsidR="00980E41">
        <w:rPr>
          <w:rFonts w:ascii="ITC Avant Garde" w:hAnsi="ITC Avant Garde" w:cs="Calibri"/>
          <w:sz w:val="22"/>
          <w:szCs w:val="22"/>
        </w:rPr>
        <w:t>onstituir</w:t>
      </w:r>
      <w:r w:rsidR="00980E41" w:rsidRPr="005B3643">
        <w:rPr>
          <w:rFonts w:ascii="ITC Avant Garde" w:hAnsi="ITC Avant Garde" w:cs="Calibri"/>
          <w:sz w:val="22"/>
          <w:szCs w:val="22"/>
        </w:rPr>
        <w:t xml:space="preserve"> la garantía determinada en la </w:t>
      </w:r>
      <w:r w:rsidR="00980E41" w:rsidRPr="00980E41">
        <w:rPr>
          <w:rFonts w:ascii="ITC Avant Garde" w:hAnsi="ITC Avant Garde" w:cs="Calibri"/>
          <w:sz w:val="22"/>
          <w:szCs w:val="22"/>
        </w:rPr>
        <w:t xml:space="preserve">Condición </w:t>
      </w:r>
      <w:r w:rsidR="00980E41" w:rsidRPr="00453228">
        <w:rPr>
          <w:rFonts w:ascii="ITC Avant Garde" w:hAnsi="ITC Avant Garde" w:cs="Calibri"/>
          <w:sz w:val="22"/>
          <w:szCs w:val="22"/>
        </w:rPr>
        <w:t>Trigésima Primera</w:t>
      </w:r>
      <w:r w:rsidR="00980E41" w:rsidRPr="00980E41">
        <w:rPr>
          <w:rFonts w:ascii="ITC Avant Garde" w:hAnsi="ITC Avant Garde" w:cs="Calibri"/>
          <w:sz w:val="22"/>
          <w:szCs w:val="22"/>
        </w:rPr>
        <w:t xml:space="preserve"> de la C</w:t>
      </w:r>
      <w:r w:rsidR="00043595">
        <w:rPr>
          <w:rFonts w:ascii="ITC Avant Garde" w:hAnsi="ITC Avant Garde" w:cs="Calibri"/>
          <w:sz w:val="22"/>
          <w:szCs w:val="22"/>
        </w:rPr>
        <w:t>oncesión</w:t>
      </w:r>
      <w:r w:rsidR="00980E41" w:rsidRPr="00980E41">
        <w:rPr>
          <w:rFonts w:ascii="ITC Avant Garde" w:hAnsi="ITC Avant Garde" w:cs="Calibri"/>
          <w:sz w:val="22"/>
          <w:szCs w:val="22"/>
        </w:rPr>
        <w:t xml:space="preserve">, dentro de un plazo de 30 (treinta) días </w:t>
      </w:r>
      <w:r w:rsidR="005711C2">
        <w:rPr>
          <w:rFonts w:ascii="ITC Avant Garde" w:hAnsi="ITC Avant Garde" w:cs="Calibri"/>
          <w:sz w:val="22"/>
          <w:szCs w:val="22"/>
        </w:rPr>
        <w:t>naturales</w:t>
      </w:r>
      <w:r w:rsidR="00980E41" w:rsidRPr="00980E41">
        <w:rPr>
          <w:rFonts w:ascii="ITC Avant Garde" w:hAnsi="ITC Avant Garde" w:cs="Calibri"/>
          <w:sz w:val="22"/>
          <w:szCs w:val="22"/>
        </w:rPr>
        <w:t xml:space="preserve"> contados a partir del día</w:t>
      </w:r>
      <w:r w:rsidR="00980E41" w:rsidRPr="005B3643">
        <w:rPr>
          <w:rFonts w:ascii="ITC Avant Garde" w:hAnsi="ITC Avant Garde" w:cs="Calibri"/>
          <w:sz w:val="22"/>
          <w:szCs w:val="22"/>
        </w:rPr>
        <w:t xml:space="preserve"> siguiente de la notificación de</w:t>
      </w:r>
      <w:r w:rsidR="00C14C2D">
        <w:rPr>
          <w:rFonts w:ascii="ITC Avant Garde" w:hAnsi="ITC Avant Garde" w:cs="Calibri"/>
          <w:sz w:val="22"/>
          <w:szCs w:val="22"/>
        </w:rPr>
        <w:t xml:space="preserve"> </w:t>
      </w:r>
      <w:r w:rsidR="00980E41" w:rsidRPr="005B3643">
        <w:rPr>
          <w:rFonts w:ascii="ITC Avant Garde" w:hAnsi="ITC Avant Garde" w:cs="Calibri"/>
          <w:sz w:val="22"/>
          <w:szCs w:val="22"/>
        </w:rPr>
        <w:t>l</w:t>
      </w:r>
      <w:r w:rsidR="00C14C2D">
        <w:rPr>
          <w:rFonts w:ascii="ITC Avant Garde" w:hAnsi="ITC Avant Garde" w:cs="Calibri"/>
          <w:sz w:val="22"/>
          <w:szCs w:val="22"/>
        </w:rPr>
        <w:t>a</w:t>
      </w:r>
      <w:r w:rsidR="00980E41" w:rsidRPr="005B3643">
        <w:rPr>
          <w:rFonts w:ascii="ITC Avant Garde" w:hAnsi="ITC Avant Garde" w:cs="Calibri"/>
          <w:sz w:val="22"/>
          <w:szCs w:val="22"/>
        </w:rPr>
        <w:t xml:space="preserve"> presente </w:t>
      </w:r>
      <w:r w:rsidR="00C14C2D">
        <w:rPr>
          <w:rFonts w:ascii="ITC Avant Garde" w:hAnsi="ITC Avant Garde" w:cs="Calibri"/>
          <w:sz w:val="22"/>
          <w:szCs w:val="22"/>
        </w:rPr>
        <w:t>Resolución</w:t>
      </w:r>
      <w:r w:rsidR="00980E41" w:rsidRPr="005B3643">
        <w:rPr>
          <w:rFonts w:ascii="ITC Avant Garde" w:hAnsi="ITC Avant Garde" w:cs="Calibri"/>
          <w:sz w:val="22"/>
          <w:szCs w:val="22"/>
        </w:rPr>
        <w:t>, remitiendo a este Instituto, a nombre del CESIONARI</w:t>
      </w:r>
      <w:r w:rsidR="00906848">
        <w:rPr>
          <w:rFonts w:ascii="ITC Avant Garde" w:hAnsi="ITC Avant Garde" w:cs="Calibri"/>
          <w:sz w:val="22"/>
          <w:szCs w:val="22"/>
        </w:rPr>
        <w:t>O</w:t>
      </w:r>
      <w:r w:rsidR="00980E41" w:rsidRPr="005B3643">
        <w:rPr>
          <w:rFonts w:ascii="ITC Avant Garde" w:hAnsi="ITC Avant Garde" w:cs="Calibri"/>
          <w:sz w:val="22"/>
          <w:szCs w:val="22"/>
        </w:rPr>
        <w:t xml:space="preserve">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14:paraId="7F073B58" w14:textId="77777777" w:rsidR="00D9584D" w:rsidRDefault="00980E41" w:rsidP="00D9584D">
      <w:pPr>
        <w:tabs>
          <w:tab w:val="left" w:pos="-720"/>
        </w:tabs>
        <w:spacing w:afterLines="160" w:after="384" w:line="276" w:lineRule="auto"/>
        <w:jc w:val="both"/>
        <w:rPr>
          <w:rFonts w:ascii="ITC Avant Garde" w:hAnsi="ITC Avant Garde" w:cs="Calibri"/>
          <w:sz w:val="22"/>
          <w:szCs w:val="22"/>
        </w:rPr>
      </w:pPr>
      <w:r w:rsidRPr="005B3643">
        <w:rPr>
          <w:rFonts w:ascii="ITC Avant Garde" w:hAnsi="ITC Avant Garde" w:cs="Calibri"/>
          <w:sz w:val="22"/>
          <w:szCs w:val="22"/>
        </w:rPr>
        <w:t xml:space="preserve">Número y fecha de la fianza o carta de crédito, a favor de la Tesorería de la Federación y a disposición del Instituto, </w:t>
      </w:r>
      <w:r w:rsidRPr="00FA7239">
        <w:rPr>
          <w:rFonts w:ascii="ITC Avant Garde" w:hAnsi="ITC Avant Garde" w:cs="Calibri"/>
          <w:i/>
          <w:sz w:val="22"/>
          <w:szCs w:val="22"/>
        </w:rPr>
        <w:t xml:space="preserve">“Para garantizar el cumplimiento de las obligaciones derivadas de la Concesión, que ampara el uso comercial de la frecuencia </w:t>
      </w:r>
      <w:r w:rsidR="00080394" w:rsidRPr="00FA7239">
        <w:rPr>
          <w:rFonts w:ascii="ITC Avant Garde" w:hAnsi="ITC Avant Garde" w:cs="Calibri"/>
          <w:i/>
          <w:sz w:val="22"/>
          <w:szCs w:val="22"/>
        </w:rPr>
        <w:t xml:space="preserve">92.9 </w:t>
      </w:r>
      <w:r w:rsidRPr="00FA7239">
        <w:rPr>
          <w:rFonts w:ascii="ITC Avant Garde" w:hAnsi="ITC Avant Garde" w:cs="Calibri"/>
          <w:i/>
          <w:sz w:val="22"/>
          <w:szCs w:val="22"/>
        </w:rPr>
        <w:t>MHz con los parámetros autorizados a la estación de radiodifusión sonora X</w:t>
      </w:r>
      <w:r w:rsidR="00080394" w:rsidRPr="00FA7239">
        <w:rPr>
          <w:rFonts w:ascii="ITC Avant Garde" w:hAnsi="ITC Avant Garde" w:cs="Calibri"/>
          <w:i/>
          <w:sz w:val="22"/>
          <w:szCs w:val="22"/>
        </w:rPr>
        <w:t>HJZ-FM</w:t>
      </w:r>
      <w:r w:rsidRPr="00FA7239">
        <w:rPr>
          <w:rFonts w:ascii="ITC Avant Garde" w:hAnsi="ITC Avant Garde" w:cs="Calibri"/>
          <w:i/>
          <w:sz w:val="22"/>
          <w:szCs w:val="22"/>
        </w:rPr>
        <w:t>, con ubicación de su equipo transmisor en</w:t>
      </w:r>
      <w:r w:rsidR="00080394" w:rsidRPr="00FA7239">
        <w:rPr>
          <w:rFonts w:ascii="ITC Avant Garde" w:hAnsi="ITC Avant Garde" w:cs="Calibri"/>
          <w:i/>
          <w:sz w:val="22"/>
          <w:szCs w:val="22"/>
        </w:rPr>
        <w:t xml:space="preserve"> Ciudad Jiménez</w:t>
      </w:r>
      <w:r w:rsidRPr="00FA7239">
        <w:rPr>
          <w:rFonts w:ascii="ITC Avant Garde" w:hAnsi="ITC Avant Garde" w:cs="Calibri"/>
          <w:i/>
          <w:sz w:val="22"/>
          <w:szCs w:val="22"/>
        </w:rPr>
        <w:t>,</w:t>
      </w:r>
      <w:r w:rsidR="002C13CB" w:rsidRPr="00FA7239">
        <w:rPr>
          <w:rFonts w:ascii="ITC Avant Garde" w:hAnsi="ITC Avant Garde" w:cs="Calibri"/>
          <w:i/>
          <w:sz w:val="22"/>
          <w:szCs w:val="22"/>
        </w:rPr>
        <w:t xml:space="preserve"> </w:t>
      </w:r>
      <w:proofErr w:type="spellStart"/>
      <w:r w:rsidR="002C13CB" w:rsidRPr="00FA7239">
        <w:rPr>
          <w:rFonts w:ascii="ITC Avant Garde" w:hAnsi="ITC Avant Garde" w:cs="Calibri"/>
          <w:i/>
          <w:sz w:val="22"/>
          <w:szCs w:val="22"/>
        </w:rPr>
        <w:t>Chih</w:t>
      </w:r>
      <w:proofErr w:type="spellEnd"/>
      <w:r w:rsidR="002C13CB" w:rsidRPr="00FA7239">
        <w:rPr>
          <w:rFonts w:ascii="ITC Avant Garde" w:hAnsi="ITC Avant Garde" w:cs="Calibri"/>
          <w:i/>
          <w:sz w:val="22"/>
          <w:szCs w:val="22"/>
        </w:rPr>
        <w:t>.,</w:t>
      </w:r>
      <w:r w:rsidRPr="00FA7239">
        <w:rPr>
          <w:rFonts w:ascii="ITC Avant Garde" w:hAnsi="ITC Avant Garde" w:cs="Calibri"/>
          <w:i/>
          <w:sz w:val="22"/>
          <w:szCs w:val="22"/>
        </w:rPr>
        <w:t xml:space="preserve"> de acuerdo con la Condición Trigésima Primera de la propia Concesión.”</w:t>
      </w:r>
    </w:p>
    <w:p w14:paraId="70C4D7C7" w14:textId="77777777" w:rsidR="00D9584D" w:rsidRDefault="00980E41" w:rsidP="00D9584D">
      <w:pPr>
        <w:tabs>
          <w:tab w:val="left" w:pos="-720"/>
        </w:tabs>
        <w:spacing w:afterLines="160" w:after="384" w:line="276" w:lineRule="auto"/>
        <w:jc w:val="both"/>
        <w:rPr>
          <w:rFonts w:ascii="ITC Avant Garde" w:hAnsi="ITC Avant Garde" w:cs="Calibri"/>
          <w:sz w:val="22"/>
          <w:szCs w:val="22"/>
        </w:rPr>
      </w:pPr>
      <w:r w:rsidRPr="005B3643">
        <w:rPr>
          <w:rFonts w:ascii="ITC Avant Garde" w:hAnsi="ITC Avant Garde" w:cs="Calibri"/>
          <w:sz w:val="22"/>
          <w:szCs w:val="22"/>
        </w:rPr>
        <w:t xml:space="preserve">El monto de la garantía deberá actualizarse anualmente, conforme al Salario Mínimo General Diario en el Distrito Federal vigente al momento de constituirse dicha garantía. La garantía deberá estar vigente durante la vigencia de la </w:t>
      </w:r>
      <w:r w:rsidR="00043595">
        <w:rPr>
          <w:rFonts w:ascii="ITC Avant Garde" w:hAnsi="ITC Avant Garde" w:cs="Calibri"/>
          <w:sz w:val="22"/>
          <w:szCs w:val="22"/>
        </w:rPr>
        <w:t>concesión</w:t>
      </w:r>
      <w:r w:rsidRPr="005B3643">
        <w:rPr>
          <w:rFonts w:ascii="ITC Avant Garde" w:hAnsi="ITC Avant Garde" w:cs="Calibri"/>
          <w:sz w:val="22"/>
          <w:szCs w:val="22"/>
        </w:rPr>
        <w:t xml:space="preserve"> y presentarse o actualizarse cada mes de enero ante el Instituto, misma que garantizará el pago de las sanciones pecuniarias que, en su caso, imponga el Instituto.</w:t>
      </w:r>
    </w:p>
    <w:p w14:paraId="19CBE233" w14:textId="77777777" w:rsidR="00D9584D" w:rsidRDefault="00C21830" w:rsidP="00D9584D">
      <w:pPr>
        <w:tabs>
          <w:tab w:val="left" w:pos="-720"/>
        </w:tabs>
        <w:spacing w:afterLines="160" w:after="384" w:line="276" w:lineRule="auto"/>
        <w:jc w:val="both"/>
        <w:rPr>
          <w:rFonts w:ascii="ITC Avant Garde" w:hAnsi="ITC Avant Garde" w:cs="Calibri"/>
          <w:sz w:val="22"/>
          <w:szCs w:val="22"/>
        </w:rPr>
      </w:pPr>
      <w:r w:rsidRPr="00D6186E">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D6186E">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D6186E">
        <w:rPr>
          <w:rFonts w:ascii="ITC Avant Garde" w:hAnsi="ITC Avant Garde"/>
          <w:kern w:val="1"/>
          <w:sz w:val="22"/>
          <w:szCs w:val="22"/>
          <w:lang w:eastAsia="ar-SA"/>
        </w:rPr>
        <w:t xml:space="preserve">, publicado en el Diario Oficial de la Federación el 11 de junio de 2013, en relación con el Sexto Transitorio del </w:t>
      </w:r>
      <w:r w:rsidRPr="00D6186E">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6186E">
        <w:rPr>
          <w:rFonts w:ascii="ITC Avant Garde" w:hAnsi="ITC Avant Garde"/>
          <w:kern w:val="1"/>
          <w:sz w:val="22"/>
          <w:szCs w:val="22"/>
          <w:lang w:eastAsia="ar-SA"/>
        </w:rPr>
        <w:t>, publicado en el Diario Oficial de la Federación el 14 de julio de 2014</w:t>
      </w:r>
      <w:r w:rsidRPr="00D6186E">
        <w:rPr>
          <w:rFonts w:ascii="ITC Avant Garde" w:hAnsi="ITC Avant Garde"/>
          <w:bCs/>
          <w:kern w:val="1"/>
          <w:sz w:val="22"/>
          <w:szCs w:val="22"/>
          <w:lang w:val="es-MX" w:eastAsia="ar-SA"/>
        </w:rPr>
        <w:t xml:space="preserve">; </w:t>
      </w:r>
      <w:r w:rsidR="009F20AC" w:rsidRPr="00D6186E">
        <w:rPr>
          <w:rFonts w:ascii="ITC Avant Garde" w:hAnsi="ITC Avant Garde"/>
          <w:bCs/>
          <w:kern w:val="1"/>
          <w:sz w:val="22"/>
          <w:szCs w:val="22"/>
          <w:lang w:val="es-MX" w:eastAsia="ar-SA"/>
        </w:rPr>
        <w:t xml:space="preserve">1, 2, 3, 8, 9, fracción V, 13 </w:t>
      </w:r>
      <w:r w:rsidR="009F20AC" w:rsidRPr="00D6186E">
        <w:rPr>
          <w:rFonts w:ascii="ITC Avant Garde" w:hAnsi="ITC Avant Garde" w:cs="Calibri"/>
          <w:sz w:val="22"/>
          <w:szCs w:val="22"/>
        </w:rPr>
        <w:t xml:space="preserve">y 26 de la </w:t>
      </w:r>
      <w:r w:rsidR="009F20AC" w:rsidRPr="00D6186E">
        <w:rPr>
          <w:rFonts w:ascii="ITC Avant Garde" w:hAnsi="ITC Avant Garde"/>
          <w:kern w:val="1"/>
          <w:sz w:val="22"/>
          <w:szCs w:val="22"/>
          <w:lang w:eastAsia="ar-SA"/>
        </w:rPr>
        <w:t xml:space="preserve">Ley Federal de Radio y Televisión; </w:t>
      </w:r>
      <w:r w:rsidR="00F807C3" w:rsidRPr="00EB1A9D">
        <w:rPr>
          <w:rFonts w:ascii="ITC Avant Garde" w:hAnsi="ITC Avant Garde"/>
          <w:bCs/>
          <w:kern w:val="1"/>
          <w:lang w:eastAsia="ar-SA"/>
        </w:rPr>
        <w:t xml:space="preserve">1, </w:t>
      </w:r>
      <w:r w:rsidR="00F807C3">
        <w:rPr>
          <w:rFonts w:ascii="ITC Avant Garde" w:hAnsi="ITC Avant Garde" w:cs="Tahoma"/>
          <w:bCs/>
        </w:rPr>
        <w:t>7, 15 fracción IV y 17</w:t>
      </w:r>
      <w:r w:rsidR="00F807C3" w:rsidRPr="00EB1A9D">
        <w:rPr>
          <w:rFonts w:ascii="ITC Avant Garde" w:hAnsi="ITC Avant Garde" w:cs="Tahoma"/>
          <w:bCs/>
        </w:rPr>
        <w:t xml:space="preserve"> fracción I, </w:t>
      </w:r>
      <w:r w:rsidR="009F20AC" w:rsidRPr="00D6186E">
        <w:rPr>
          <w:rFonts w:ascii="ITC Avant Garde" w:hAnsi="ITC Avant Garde" w:cs="Tahoma"/>
          <w:bCs/>
          <w:sz w:val="22"/>
          <w:szCs w:val="22"/>
          <w:lang w:eastAsia="es-MX"/>
        </w:rPr>
        <w:t xml:space="preserve">110 de la </w:t>
      </w:r>
      <w:r w:rsidR="009F20AC" w:rsidRPr="00D6186E">
        <w:rPr>
          <w:rFonts w:ascii="ITC Avant Garde" w:hAnsi="ITC Avant Garde"/>
          <w:bCs/>
          <w:sz w:val="22"/>
          <w:szCs w:val="22"/>
          <w:lang w:eastAsia="es-MX"/>
        </w:rPr>
        <w:t>Ley</w:t>
      </w:r>
      <w:r w:rsidR="009F20AC" w:rsidRPr="00D6186E" w:rsidDel="00086387">
        <w:rPr>
          <w:rFonts w:ascii="ITC Avant Garde" w:hAnsi="ITC Avant Garde"/>
          <w:bCs/>
          <w:kern w:val="1"/>
          <w:sz w:val="22"/>
          <w:szCs w:val="22"/>
          <w:lang w:val="es-MX" w:eastAsia="ar-SA"/>
        </w:rPr>
        <w:t xml:space="preserve"> </w:t>
      </w:r>
      <w:r w:rsidR="009F20AC" w:rsidRPr="00D6186E">
        <w:rPr>
          <w:rFonts w:ascii="ITC Avant Garde" w:hAnsi="ITC Avant Garde"/>
          <w:kern w:val="1"/>
          <w:sz w:val="22"/>
          <w:szCs w:val="22"/>
          <w:lang w:eastAsia="ar-SA"/>
        </w:rPr>
        <w:t xml:space="preserve">Federal de Telecomunicaciones y Radiodifusión; </w:t>
      </w:r>
      <w:r w:rsidR="009F20AC" w:rsidRPr="00D6186E">
        <w:rPr>
          <w:rFonts w:ascii="ITC Avant Garde" w:hAnsi="ITC Avant Garde"/>
          <w:bCs/>
          <w:sz w:val="22"/>
          <w:szCs w:val="22"/>
        </w:rPr>
        <w:t>35, fracción I, 36, 38 y 39 y 57 fracción I de la Ley Federal de Procedimiento Administrativo</w:t>
      </w:r>
      <w:r w:rsidR="009F20AC" w:rsidRPr="00D6186E">
        <w:rPr>
          <w:rFonts w:ascii="ITC Avant Garde" w:hAnsi="ITC Avant Garde"/>
          <w:kern w:val="1"/>
          <w:sz w:val="22"/>
          <w:szCs w:val="22"/>
          <w:lang w:eastAsia="ar-SA"/>
        </w:rPr>
        <w:t xml:space="preserve"> y; 1, 6, fracciones I y XXXVII, 32 y 34, fracción II del Estatuto Orgánico del </w:t>
      </w:r>
      <w:r w:rsidR="009F20AC" w:rsidRPr="00D6186E">
        <w:rPr>
          <w:rFonts w:ascii="ITC Avant Garde" w:hAnsi="ITC Avant Garde"/>
          <w:kern w:val="1"/>
          <w:sz w:val="22"/>
          <w:szCs w:val="22"/>
          <w:lang w:eastAsia="ar-SA"/>
        </w:rPr>
        <w:lastRenderedPageBreak/>
        <w:t>Instituto Federal de Telecomunicaciones, el Pleno del Instituto Feder</w:t>
      </w:r>
      <w:r w:rsidR="000A6246">
        <w:rPr>
          <w:rFonts w:ascii="ITC Avant Garde" w:hAnsi="ITC Avant Garde"/>
          <w:kern w:val="1"/>
          <w:sz w:val="22"/>
          <w:szCs w:val="22"/>
          <w:lang w:eastAsia="ar-SA"/>
        </w:rPr>
        <w:t xml:space="preserve">al de Telecomunicaciones emite </w:t>
      </w:r>
      <w:r w:rsidR="009F20AC" w:rsidRPr="00D6186E">
        <w:rPr>
          <w:rFonts w:ascii="ITC Avant Garde" w:hAnsi="ITC Avant Garde"/>
          <w:kern w:val="1"/>
          <w:sz w:val="22"/>
          <w:szCs w:val="22"/>
          <w:lang w:eastAsia="ar-SA"/>
        </w:rPr>
        <w:t>l</w:t>
      </w:r>
      <w:r w:rsidR="000A6246">
        <w:rPr>
          <w:rFonts w:ascii="ITC Avant Garde" w:hAnsi="ITC Avant Garde"/>
          <w:kern w:val="1"/>
          <w:sz w:val="22"/>
          <w:szCs w:val="22"/>
          <w:lang w:eastAsia="ar-SA"/>
        </w:rPr>
        <w:t>os</w:t>
      </w:r>
      <w:r w:rsidR="009F20AC" w:rsidRPr="00D6186E">
        <w:rPr>
          <w:rFonts w:ascii="ITC Avant Garde" w:hAnsi="ITC Avant Garde"/>
          <w:kern w:val="1"/>
          <w:sz w:val="22"/>
          <w:szCs w:val="22"/>
          <w:lang w:eastAsia="ar-SA"/>
        </w:rPr>
        <w:t xml:space="preserve"> siguiente</w:t>
      </w:r>
      <w:r w:rsidR="000A6246">
        <w:rPr>
          <w:rFonts w:ascii="ITC Avant Garde" w:hAnsi="ITC Avant Garde"/>
          <w:kern w:val="1"/>
          <w:sz w:val="22"/>
          <w:szCs w:val="22"/>
          <w:lang w:eastAsia="ar-SA"/>
        </w:rPr>
        <w:t>s</w:t>
      </w:r>
      <w:r w:rsidRPr="00D6186E">
        <w:rPr>
          <w:rFonts w:ascii="ITC Avant Garde" w:hAnsi="ITC Avant Garde" w:cs="Calibri"/>
          <w:sz w:val="22"/>
          <w:szCs w:val="22"/>
        </w:rPr>
        <w:t>:</w:t>
      </w:r>
    </w:p>
    <w:p w14:paraId="5FDECEF3" w14:textId="77777777" w:rsidR="00D9584D" w:rsidRPr="00D9584D" w:rsidRDefault="00C14C2D" w:rsidP="00D9584D">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D9584D">
        <w:rPr>
          <w:rFonts w:ascii="ITC Avant Garde" w:eastAsiaTheme="majorEastAsia" w:hAnsi="ITC Avant Garde" w:cstheme="majorBidi"/>
          <w:color w:val="000000" w:themeColor="text1"/>
          <w:sz w:val="22"/>
          <w:szCs w:val="22"/>
          <w:lang w:eastAsia="en-US"/>
        </w:rPr>
        <w:t>RESOLUTIVOS</w:t>
      </w:r>
    </w:p>
    <w:p w14:paraId="4547FDB6" w14:textId="77777777" w:rsidR="00D9584D" w:rsidRDefault="00C21830" w:rsidP="00D9584D">
      <w:pPr>
        <w:spacing w:afterLines="160" w:after="384" w:line="276" w:lineRule="auto"/>
        <w:jc w:val="both"/>
        <w:rPr>
          <w:rFonts w:ascii="ITC Avant Garde" w:hAnsi="ITC Avant Garde"/>
          <w:bCs/>
          <w:color w:val="000000"/>
          <w:sz w:val="22"/>
          <w:szCs w:val="22"/>
          <w:lang w:eastAsia="es-MX"/>
        </w:rPr>
      </w:pPr>
      <w:r w:rsidRPr="00F805BC">
        <w:rPr>
          <w:rFonts w:ascii="ITC Avant Garde" w:hAnsi="ITC Avant Garde"/>
          <w:b/>
          <w:bCs/>
          <w:color w:val="000000"/>
          <w:sz w:val="22"/>
          <w:szCs w:val="22"/>
          <w:lang w:eastAsia="es-MX"/>
        </w:rPr>
        <w:t>PRIMERO.-</w:t>
      </w:r>
      <w:r w:rsidRPr="00F805BC">
        <w:rPr>
          <w:rFonts w:ascii="ITC Avant Garde" w:hAnsi="ITC Avant Garde"/>
          <w:bCs/>
          <w:color w:val="000000"/>
          <w:sz w:val="22"/>
          <w:szCs w:val="22"/>
          <w:lang w:eastAsia="es-MX"/>
        </w:rPr>
        <w:t xml:space="preserve"> Se autoriza </w:t>
      </w:r>
      <w:r w:rsidRPr="00F805BC">
        <w:rPr>
          <w:rFonts w:ascii="ITC Avant Garde" w:hAnsi="ITC Avant Garde" w:cs="Calibri"/>
          <w:sz w:val="22"/>
          <w:szCs w:val="22"/>
        </w:rPr>
        <w:t>a</w:t>
      </w:r>
      <w:r w:rsidR="00C72B44">
        <w:rPr>
          <w:rFonts w:ascii="ITC Avant Garde" w:hAnsi="ITC Avant Garde" w:cs="Calibri"/>
          <w:sz w:val="22"/>
          <w:szCs w:val="22"/>
        </w:rPr>
        <w:t xml:space="preserve">l </w:t>
      </w:r>
      <w:r w:rsidR="00C72B44" w:rsidRPr="00453228">
        <w:rPr>
          <w:rFonts w:ascii="ITC Avant Garde" w:hAnsi="ITC Avant Garde" w:cs="Calibri"/>
          <w:b/>
          <w:sz w:val="22"/>
          <w:szCs w:val="22"/>
        </w:rPr>
        <w:t>C. JORGE CRUZ RAMOS LÓPEZ</w:t>
      </w:r>
      <w:r w:rsidRPr="00F805BC">
        <w:rPr>
          <w:rFonts w:ascii="ITC Avant Garde" w:hAnsi="ITC Avant Garde" w:cs="Calibri"/>
          <w:sz w:val="22"/>
          <w:szCs w:val="22"/>
        </w:rPr>
        <w:t xml:space="preserve">, </w:t>
      </w:r>
      <w:r w:rsidRPr="00F805BC">
        <w:rPr>
          <w:rFonts w:ascii="ITC Avant Garde" w:hAnsi="ITC Avant Garde"/>
          <w:bCs/>
          <w:color w:val="000000"/>
          <w:sz w:val="22"/>
          <w:szCs w:val="22"/>
          <w:lang w:eastAsia="es-MX"/>
        </w:rPr>
        <w:t>ceder los</w:t>
      </w:r>
      <w:r w:rsidRPr="00F805BC" w:rsidDel="00DB527E">
        <w:rPr>
          <w:rFonts w:ascii="ITC Avant Garde" w:hAnsi="ITC Avant Garde"/>
          <w:bCs/>
          <w:color w:val="000000"/>
          <w:sz w:val="22"/>
          <w:szCs w:val="22"/>
          <w:lang w:eastAsia="es-MX"/>
        </w:rPr>
        <w:t xml:space="preserve"> </w:t>
      </w:r>
      <w:r w:rsidRPr="00F805BC">
        <w:rPr>
          <w:rFonts w:ascii="ITC Avant Garde" w:hAnsi="ITC Avant Garde"/>
          <w:bCs/>
          <w:color w:val="000000"/>
          <w:sz w:val="22"/>
          <w:szCs w:val="22"/>
          <w:lang w:eastAsia="es-MX"/>
        </w:rPr>
        <w:t xml:space="preserve">Derechos y Obligaciones de la Concesión para uso, aprovechamiento o explotación </w:t>
      </w:r>
      <w:r w:rsidR="002F3DE9">
        <w:rPr>
          <w:rFonts w:ascii="ITC Avant Garde" w:hAnsi="ITC Avant Garde"/>
          <w:bCs/>
          <w:color w:val="000000"/>
          <w:sz w:val="22"/>
          <w:szCs w:val="22"/>
          <w:lang w:eastAsia="es-MX"/>
        </w:rPr>
        <w:t xml:space="preserve">comercial </w:t>
      </w:r>
      <w:r w:rsidRPr="00F805BC">
        <w:rPr>
          <w:rFonts w:ascii="ITC Avant Garde" w:hAnsi="ITC Avant Garde"/>
          <w:bCs/>
          <w:color w:val="000000"/>
          <w:sz w:val="22"/>
          <w:szCs w:val="22"/>
          <w:lang w:eastAsia="es-MX"/>
        </w:rPr>
        <w:t xml:space="preserve">de la banda de frecuencia del espectro radioeléctrico </w:t>
      </w:r>
      <w:r w:rsidR="002F3DE9">
        <w:rPr>
          <w:rFonts w:ascii="ITC Avant Garde" w:hAnsi="ITC Avant Garde" w:cs="Calibri"/>
          <w:b/>
          <w:sz w:val="22"/>
          <w:szCs w:val="22"/>
        </w:rPr>
        <w:t>92.9</w:t>
      </w:r>
      <w:r w:rsidR="002F3DE9" w:rsidRPr="00F805BC">
        <w:rPr>
          <w:rFonts w:ascii="ITC Avant Garde" w:hAnsi="ITC Avant Garde" w:cs="Calibri"/>
          <w:b/>
          <w:sz w:val="22"/>
          <w:szCs w:val="22"/>
        </w:rPr>
        <w:t xml:space="preserve"> MHz</w:t>
      </w:r>
      <w:r w:rsidR="002F3DE9" w:rsidRPr="00F805BC">
        <w:rPr>
          <w:rFonts w:ascii="ITC Avant Garde" w:hAnsi="ITC Avant Garde" w:cs="Calibri"/>
          <w:sz w:val="22"/>
          <w:szCs w:val="22"/>
        </w:rPr>
        <w:t>,</w:t>
      </w:r>
      <w:r w:rsidR="002F3DE9">
        <w:rPr>
          <w:rFonts w:ascii="ITC Avant Garde" w:hAnsi="ITC Avant Garde" w:cs="Calibri"/>
          <w:sz w:val="22"/>
          <w:szCs w:val="22"/>
        </w:rPr>
        <w:t xml:space="preserve"> </w:t>
      </w:r>
      <w:r w:rsidRPr="00F805BC">
        <w:rPr>
          <w:rFonts w:ascii="ITC Avant Garde" w:hAnsi="ITC Avant Garde"/>
          <w:bCs/>
          <w:color w:val="000000"/>
          <w:sz w:val="22"/>
          <w:szCs w:val="22"/>
          <w:lang w:eastAsia="es-MX"/>
        </w:rPr>
        <w:t>para pre</w:t>
      </w:r>
      <w:r w:rsidRPr="00F805BC">
        <w:rPr>
          <w:rFonts w:ascii="ITC Avant Garde" w:hAnsi="ITC Avant Garde" w:cs="Calibri"/>
          <w:sz w:val="22"/>
          <w:szCs w:val="22"/>
        </w:rPr>
        <w:t xml:space="preserve">star el servicio público de radiodifusión sonora con distintivo de llamada </w:t>
      </w:r>
      <w:r w:rsidR="00EC1813" w:rsidRPr="00F805BC">
        <w:rPr>
          <w:rFonts w:ascii="ITC Avant Garde" w:hAnsi="ITC Avant Garde" w:cs="Calibri"/>
          <w:b/>
          <w:sz w:val="22"/>
          <w:szCs w:val="22"/>
        </w:rPr>
        <w:t>XHJ</w:t>
      </w:r>
      <w:r w:rsidR="00C72B44">
        <w:rPr>
          <w:rFonts w:ascii="ITC Avant Garde" w:hAnsi="ITC Avant Garde" w:cs="Calibri"/>
          <w:b/>
          <w:sz w:val="22"/>
          <w:szCs w:val="22"/>
        </w:rPr>
        <w:t>Z</w:t>
      </w:r>
      <w:r w:rsidRPr="00F805BC">
        <w:rPr>
          <w:rFonts w:ascii="ITC Avant Garde" w:hAnsi="ITC Avant Garde" w:cs="Calibri"/>
          <w:b/>
          <w:sz w:val="22"/>
          <w:szCs w:val="22"/>
        </w:rPr>
        <w:t>-FM,</w:t>
      </w:r>
      <w:r w:rsidRPr="00F805BC">
        <w:rPr>
          <w:rFonts w:ascii="ITC Avant Garde" w:hAnsi="ITC Avant Garde" w:cs="Calibri"/>
          <w:sz w:val="22"/>
          <w:szCs w:val="22"/>
        </w:rPr>
        <w:t xml:space="preserve"> en </w:t>
      </w:r>
      <w:r w:rsidR="00C72B44">
        <w:rPr>
          <w:rFonts w:ascii="ITC Avant Garde" w:hAnsi="ITC Avant Garde" w:cs="Calibri"/>
          <w:sz w:val="22"/>
          <w:szCs w:val="22"/>
        </w:rPr>
        <w:t>Ciudad Jiménez</w:t>
      </w:r>
      <w:r w:rsidR="00EC1813" w:rsidRPr="00F805BC">
        <w:rPr>
          <w:rFonts w:ascii="ITC Avant Garde" w:hAnsi="ITC Avant Garde" w:cs="Calibri"/>
          <w:sz w:val="22"/>
          <w:szCs w:val="22"/>
        </w:rPr>
        <w:t xml:space="preserve">, </w:t>
      </w:r>
      <w:proofErr w:type="spellStart"/>
      <w:r w:rsidR="00C72B44">
        <w:rPr>
          <w:rFonts w:ascii="ITC Avant Garde" w:hAnsi="ITC Avant Garde" w:cs="Calibri"/>
          <w:sz w:val="22"/>
          <w:szCs w:val="22"/>
        </w:rPr>
        <w:t>Chih</w:t>
      </w:r>
      <w:proofErr w:type="spellEnd"/>
      <w:r w:rsidR="00EC1813" w:rsidRPr="00F805BC">
        <w:rPr>
          <w:rFonts w:ascii="ITC Avant Garde" w:hAnsi="ITC Avant Garde" w:cs="Calibri"/>
          <w:sz w:val="22"/>
          <w:szCs w:val="22"/>
        </w:rPr>
        <w:t>.,</w:t>
      </w:r>
      <w:r w:rsidRPr="00F805BC">
        <w:rPr>
          <w:rFonts w:ascii="ITC Avant Garde" w:hAnsi="ITC Avant Garde"/>
          <w:bCs/>
          <w:color w:val="000000"/>
          <w:sz w:val="22"/>
          <w:szCs w:val="22"/>
          <w:lang w:eastAsia="es-MX"/>
        </w:rPr>
        <w:t xml:space="preserve"> a favor de</w:t>
      </w:r>
      <w:r w:rsidR="00C72B44">
        <w:rPr>
          <w:rFonts w:ascii="ITC Avant Garde" w:hAnsi="ITC Avant Garde"/>
          <w:bCs/>
          <w:color w:val="000000"/>
          <w:sz w:val="22"/>
          <w:szCs w:val="22"/>
          <w:lang w:eastAsia="es-MX"/>
        </w:rPr>
        <w:t xml:space="preserve">l </w:t>
      </w:r>
      <w:r w:rsidR="00C72B44" w:rsidRPr="00453228">
        <w:rPr>
          <w:rFonts w:ascii="ITC Avant Garde" w:hAnsi="ITC Avant Garde"/>
          <w:b/>
          <w:bCs/>
          <w:color w:val="000000"/>
          <w:sz w:val="22"/>
          <w:szCs w:val="22"/>
          <w:lang w:eastAsia="es-MX"/>
        </w:rPr>
        <w:t>C. ISRAEL BELTRÁN ZAMARRÓN</w:t>
      </w:r>
      <w:r w:rsidR="00EC1813" w:rsidRPr="00F805BC">
        <w:rPr>
          <w:rFonts w:ascii="ITC Avant Garde" w:hAnsi="ITC Avant Garde" w:cs="Calibri"/>
          <w:b/>
          <w:sz w:val="22"/>
          <w:szCs w:val="22"/>
        </w:rPr>
        <w:t>,</w:t>
      </w:r>
      <w:r w:rsidRPr="00F805BC">
        <w:rPr>
          <w:rFonts w:ascii="ITC Avant Garde" w:hAnsi="ITC Avant Garde"/>
          <w:bCs/>
          <w:color w:val="000000"/>
          <w:sz w:val="22"/>
          <w:szCs w:val="22"/>
          <w:lang w:eastAsia="es-MX"/>
        </w:rPr>
        <w:t xml:space="preserve"> para adquirir est</w:t>
      </w:r>
      <w:r w:rsidR="00906848">
        <w:rPr>
          <w:rFonts w:ascii="ITC Avant Garde" w:hAnsi="ITC Avant Garde"/>
          <w:bCs/>
          <w:color w:val="000000"/>
          <w:sz w:val="22"/>
          <w:szCs w:val="22"/>
          <w:lang w:eastAsia="es-MX"/>
        </w:rPr>
        <w:t>e</w:t>
      </w:r>
      <w:r w:rsidRPr="00F805BC">
        <w:rPr>
          <w:rFonts w:ascii="ITC Avant Garde" w:hAnsi="ITC Avant Garde"/>
          <w:bCs/>
          <w:color w:val="000000"/>
          <w:sz w:val="22"/>
          <w:szCs w:val="22"/>
          <w:lang w:eastAsia="es-MX"/>
        </w:rPr>
        <w:t xml:space="preserve"> últim</w:t>
      </w:r>
      <w:r w:rsidR="00906848">
        <w:rPr>
          <w:rFonts w:ascii="ITC Avant Garde" w:hAnsi="ITC Avant Garde"/>
          <w:bCs/>
          <w:color w:val="000000"/>
          <w:sz w:val="22"/>
          <w:szCs w:val="22"/>
          <w:lang w:eastAsia="es-MX"/>
        </w:rPr>
        <w:t>o</w:t>
      </w:r>
      <w:r w:rsidRPr="00F805BC">
        <w:rPr>
          <w:rFonts w:ascii="ITC Avant Garde" w:hAnsi="ITC Avant Garde"/>
          <w:bCs/>
          <w:color w:val="000000"/>
          <w:sz w:val="22"/>
          <w:szCs w:val="22"/>
          <w:lang w:eastAsia="es-MX"/>
        </w:rPr>
        <w:t xml:space="preserve"> el carácter de concesionari</w:t>
      </w:r>
      <w:r w:rsidR="00906848">
        <w:rPr>
          <w:rFonts w:ascii="ITC Avant Garde" w:hAnsi="ITC Avant Garde"/>
          <w:bCs/>
          <w:color w:val="000000"/>
          <w:sz w:val="22"/>
          <w:szCs w:val="22"/>
          <w:lang w:eastAsia="es-MX"/>
        </w:rPr>
        <w:t>o</w:t>
      </w:r>
      <w:r w:rsidRPr="00F805BC">
        <w:rPr>
          <w:rFonts w:ascii="ITC Avant Garde" w:hAnsi="ITC Avant Garde"/>
          <w:bCs/>
          <w:color w:val="000000"/>
          <w:sz w:val="22"/>
          <w:szCs w:val="22"/>
          <w:lang w:eastAsia="es-MX"/>
        </w:rPr>
        <w:t>.</w:t>
      </w:r>
    </w:p>
    <w:p w14:paraId="3DD28EFA" w14:textId="77777777" w:rsidR="00D9584D" w:rsidRDefault="00C21830" w:rsidP="00D9584D">
      <w:pPr>
        <w:spacing w:afterLines="160" w:after="384" w:line="276" w:lineRule="auto"/>
        <w:jc w:val="both"/>
        <w:rPr>
          <w:rFonts w:ascii="ITC Avant Garde" w:hAnsi="ITC Avant Garde"/>
          <w:bCs/>
          <w:color w:val="000000"/>
          <w:sz w:val="22"/>
          <w:szCs w:val="22"/>
          <w:lang w:eastAsia="es-MX"/>
        </w:rPr>
      </w:pPr>
      <w:r w:rsidRPr="00F805BC">
        <w:rPr>
          <w:rFonts w:ascii="ITC Avant Garde" w:hAnsi="ITC Avant Garde"/>
          <w:b/>
          <w:bCs/>
          <w:color w:val="000000"/>
          <w:sz w:val="22"/>
          <w:szCs w:val="22"/>
          <w:lang w:eastAsia="es-MX"/>
        </w:rPr>
        <w:t>SEGUNDO.-</w:t>
      </w:r>
      <w:r w:rsidRPr="00F805BC">
        <w:rPr>
          <w:rFonts w:ascii="ITC Avant Garde" w:hAnsi="ITC Avant Garde"/>
          <w:bCs/>
          <w:color w:val="000000"/>
          <w:sz w:val="22"/>
          <w:szCs w:val="22"/>
          <w:lang w:eastAsia="es-MX"/>
        </w:rPr>
        <w:t xml:space="preserve"> </w:t>
      </w:r>
      <w:r w:rsidR="00906848">
        <w:rPr>
          <w:rFonts w:ascii="ITC Avant Garde" w:hAnsi="ITC Avant Garde"/>
          <w:bCs/>
          <w:color w:val="000000"/>
          <w:sz w:val="22"/>
          <w:szCs w:val="22"/>
          <w:lang w:eastAsia="es-MX"/>
        </w:rPr>
        <w:t>El</w:t>
      </w:r>
      <w:r w:rsidRPr="00F805BC">
        <w:rPr>
          <w:rFonts w:ascii="ITC Avant Garde" w:hAnsi="ITC Avant Garde"/>
          <w:bCs/>
          <w:color w:val="000000"/>
          <w:sz w:val="22"/>
          <w:szCs w:val="22"/>
          <w:lang w:eastAsia="es-MX"/>
        </w:rPr>
        <w:t xml:space="preserve"> </w:t>
      </w:r>
      <w:r w:rsidR="005F461B">
        <w:rPr>
          <w:rFonts w:ascii="ITC Avant Garde" w:hAnsi="ITC Avant Garde"/>
          <w:bCs/>
          <w:color w:val="000000"/>
          <w:sz w:val="22"/>
          <w:szCs w:val="22"/>
          <w:lang w:eastAsia="es-MX"/>
        </w:rPr>
        <w:t>cesionario</w:t>
      </w:r>
      <w:r w:rsidRPr="00F805BC">
        <w:rPr>
          <w:rFonts w:ascii="ITC Avant Garde" w:hAnsi="ITC Avant Garde"/>
          <w:bCs/>
          <w:color w:val="000000"/>
          <w:sz w:val="22"/>
          <w:szCs w:val="22"/>
          <w:lang w:eastAsia="es-MX"/>
        </w:rPr>
        <w:t xml:space="preserve"> de</w:t>
      </w:r>
      <w:r w:rsidR="00C72B44">
        <w:rPr>
          <w:rFonts w:ascii="ITC Avant Garde" w:hAnsi="ITC Avant Garde"/>
          <w:bCs/>
          <w:color w:val="000000"/>
          <w:sz w:val="22"/>
          <w:szCs w:val="22"/>
          <w:lang w:eastAsia="es-MX"/>
        </w:rPr>
        <w:t xml:space="preserve"> </w:t>
      </w:r>
      <w:r w:rsidRPr="00F805BC">
        <w:rPr>
          <w:rFonts w:ascii="ITC Avant Garde" w:hAnsi="ITC Avant Garde"/>
          <w:bCs/>
          <w:color w:val="000000"/>
          <w:sz w:val="22"/>
          <w:szCs w:val="22"/>
          <w:lang w:eastAsia="es-MX"/>
        </w:rPr>
        <w:t>nom</w:t>
      </w:r>
      <w:r w:rsidR="00C72B44">
        <w:rPr>
          <w:rFonts w:ascii="ITC Avant Garde" w:hAnsi="ITC Avant Garde"/>
          <w:bCs/>
          <w:color w:val="000000"/>
          <w:sz w:val="22"/>
          <w:szCs w:val="22"/>
          <w:lang w:eastAsia="es-MX"/>
        </w:rPr>
        <w:t>bre</w:t>
      </w:r>
      <w:r w:rsidRPr="00F805BC">
        <w:rPr>
          <w:rFonts w:ascii="ITC Avant Garde" w:hAnsi="ITC Avant Garde"/>
          <w:bCs/>
          <w:color w:val="000000"/>
          <w:sz w:val="22"/>
          <w:szCs w:val="22"/>
          <w:lang w:eastAsia="es-MX"/>
        </w:rPr>
        <w:t xml:space="preserve"> </w:t>
      </w:r>
      <w:r w:rsidR="00C72B44" w:rsidRPr="003545AE">
        <w:rPr>
          <w:rFonts w:ascii="ITC Avant Garde" w:hAnsi="ITC Avant Garde"/>
          <w:b/>
          <w:bCs/>
          <w:color w:val="000000"/>
          <w:sz w:val="22"/>
          <w:szCs w:val="22"/>
          <w:lang w:eastAsia="es-MX"/>
        </w:rPr>
        <w:t>C. ISRAEL BELTRÁN ZAMARRÓN</w:t>
      </w:r>
      <w:r w:rsidR="00EC1813" w:rsidRPr="00F805BC">
        <w:rPr>
          <w:rFonts w:ascii="ITC Avant Garde" w:hAnsi="ITC Avant Garde" w:cs="Calibri"/>
          <w:b/>
          <w:sz w:val="22"/>
          <w:szCs w:val="22"/>
        </w:rPr>
        <w:t>,</w:t>
      </w:r>
      <w:r w:rsidRPr="00F805BC">
        <w:rPr>
          <w:rFonts w:ascii="ITC Avant Garde" w:hAnsi="ITC Avant Garde" w:cs="Calibri"/>
          <w:b/>
          <w:sz w:val="22"/>
          <w:szCs w:val="22"/>
        </w:rPr>
        <w:t xml:space="preserve"> </w:t>
      </w:r>
      <w:r w:rsidR="004370DC" w:rsidRPr="00637F1D">
        <w:rPr>
          <w:rFonts w:ascii="ITC Avant Garde" w:hAnsi="ITC Avant Garde"/>
          <w:bCs/>
          <w:color w:val="000000"/>
          <w:sz w:val="22"/>
          <w:szCs w:val="22"/>
          <w:lang w:eastAsia="es-MX"/>
        </w:rPr>
        <w:t xml:space="preserve">deberá cumplir </w:t>
      </w:r>
      <w:r w:rsidR="00F807C3" w:rsidRPr="00EB1A9D">
        <w:rPr>
          <w:rFonts w:ascii="ITC Avant Garde" w:hAnsi="ITC Avant Garde"/>
          <w:bCs/>
          <w:color w:val="000000"/>
        </w:rPr>
        <w:t>con las obligaciones de la Concesión objeto de cesión, las que establezcan las disposiciones legales, reglamentarias, y administrativas aplicables a la materia, así como las indicadas en el Considerando Quinto de</w:t>
      </w:r>
      <w:r w:rsidR="00C14C2D">
        <w:rPr>
          <w:rFonts w:ascii="ITC Avant Garde" w:hAnsi="ITC Avant Garde"/>
          <w:bCs/>
          <w:color w:val="000000"/>
        </w:rPr>
        <w:t xml:space="preserve"> </w:t>
      </w:r>
      <w:r w:rsidR="00F807C3" w:rsidRPr="00EB1A9D">
        <w:rPr>
          <w:rFonts w:ascii="ITC Avant Garde" w:hAnsi="ITC Avant Garde"/>
          <w:bCs/>
          <w:color w:val="000000"/>
        </w:rPr>
        <w:t>l</w:t>
      </w:r>
      <w:r w:rsidR="00C14C2D">
        <w:rPr>
          <w:rFonts w:ascii="ITC Avant Garde" w:hAnsi="ITC Avant Garde"/>
          <w:bCs/>
          <w:color w:val="000000"/>
        </w:rPr>
        <w:t>a</w:t>
      </w:r>
      <w:r w:rsidR="00F807C3" w:rsidRPr="00EB1A9D">
        <w:rPr>
          <w:rFonts w:ascii="ITC Avant Garde" w:hAnsi="ITC Avant Garde"/>
          <w:bCs/>
          <w:color w:val="000000"/>
        </w:rPr>
        <w:t xml:space="preserve"> presente </w:t>
      </w:r>
      <w:r w:rsidR="00C14C2D">
        <w:rPr>
          <w:rFonts w:ascii="ITC Avant Garde" w:hAnsi="ITC Avant Garde"/>
          <w:bCs/>
          <w:color w:val="000000"/>
        </w:rPr>
        <w:t>Resolución</w:t>
      </w:r>
      <w:r w:rsidRPr="00F805BC">
        <w:rPr>
          <w:rFonts w:ascii="ITC Avant Garde" w:hAnsi="ITC Avant Garde"/>
          <w:bCs/>
          <w:color w:val="000000"/>
          <w:sz w:val="22"/>
          <w:szCs w:val="22"/>
          <w:lang w:eastAsia="es-MX"/>
        </w:rPr>
        <w:t>.</w:t>
      </w:r>
    </w:p>
    <w:p w14:paraId="64CDA38C" w14:textId="77777777" w:rsidR="00D9584D" w:rsidRDefault="00C75B0C" w:rsidP="00D9584D">
      <w:pPr>
        <w:suppressAutoHyphens/>
        <w:spacing w:afterLines="160" w:after="384" w:line="276" w:lineRule="auto"/>
        <w:ind w:right="-62"/>
        <w:jc w:val="both"/>
        <w:rPr>
          <w:rFonts w:ascii="ITC Avant Garde" w:hAnsi="ITC Avant Garde"/>
          <w:bCs/>
          <w:kern w:val="1"/>
          <w:sz w:val="22"/>
          <w:szCs w:val="22"/>
          <w:lang w:eastAsia="ar-SA"/>
        </w:rPr>
      </w:pPr>
      <w:r w:rsidRPr="00F805BC">
        <w:rPr>
          <w:rFonts w:ascii="ITC Avant Garde" w:hAnsi="ITC Avant Garde"/>
          <w:b/>
          <w:bCs/>
          <w:color w:val="000000"/>
          <w:sz w:val="22"/>
          <w:szCs w:val="22"/>
          <w:lang w:eastAsia="es-MX"/>
        </w:rPr>
        <w:t>TERCERO.-</w:t>
      </w:r>
      <w:r w:rsidRPr="00F805BC">
        <w:rPr>
          <w:rFonts w:ascii="ITC Avant Garde" w:hAnsi="ITC Avant Garde"/>
          <w:bCs/>
          <w:kern w:val="1"/>
          <w:sz w:val="22"/>
          <w:szCs w:val="22"/>
          <w:lang w:eastAsia="ar-SA"/>
        </w:rPr>
        <w:t xml:space="preserve"> </w:t>
      </w:r>
      <w:r w:rsidR="00C14C2D">
        <w:rPr>
          <w:rFonts w:ascii="ITC Avant Garde" w:hAnsi="ITC Avant Garde"/>
          <w:bCs/>
          <w:color w:val="000000"/>
          <w:sz w:val="22"/>
          <w:szCs w:val="22"/>
          <w:lang w:eastAsia="es-MX"/>
        </w:rPr>
        <w:t xml:space="preserve">La </w:t>
      </w:r>
      <w:r w:rsidR="00C72B44" w:rsidRPr="00E25DE1">
        <w:rPr>
          <w:rFonts w:ascii="ITC Avant Garde" w:hAnsi="ITC Avant Garde"/>
          <w:bCs/>
          <w:color w:val="000000"/>
          <w:sz w:val="22"/>
          <w:szCs w:val="22"/>
          <w:lang w:eastAsia="es-MX"/>
        </w:rPr>
        <w:t xml:space="preserve">presente </w:t>
      </w:r>
      <w:r w:rsidR="00C14C2D">
        <w:rPr>
          <w:rFonts w:ascii="ITC Avant Garde" w:hAnsi="ITC Avant Garde"/>
          <w:bCs/>
          <w:color w:val="000000"/>
          <w:sz w:val="22"/>
          <w:szCs w:val="22"/>
          <w:lang w:eastAsia="es-MX"/>
        </w:rPr>
        <w:t>Resolución</w:t>
      </w:r>
      <w:r w:rsidR="00C14C2D" w:rsidRPr="00E25DE1">
        <w:rPr>
          <w:rFonts w:ascii="ITC Avant Garde" w:hAnsi="ITC Avant Garde"/>
          <w:bCs/>
          <w:color w:val="000000"/>
          <w:sz w:val="22"/>
          <w:szCs w:val="22"/>
          <w:lang w:eastAsia="es-MX"/>
        </w:rPr>
        <w:t xml:space="preserve"> </w:t>
      </w:r>
      <w:r w:rsidR="00C72B44" w:rsidRPr="00E25DE1">
        <w:rPr>
          <w:rFonts w:ascii="ITC Avant Garde" w:hAnsi="ITC Avant Garde"/>
          <w:bCs/>
          <w:color w:val="000000"/>
          <w:sz w:val="22"/>
          <w:szCs w:val="22"/>
          <w:lang w:eastAsia="es-MX"/>
        </w:rPr>
        <w:t>se emite en el ámbito de aplicación de los artículos 26 de la Ley Federal de Radio y Televisión y 110 de la Ley Federal de Telecomunicaciones y Radiodifusión, y no prejuzga sobre las autorizaciones y atribuciones que correspondan al Instituto en materia de competencia económica</w:t>
      </w:r>
      <w:r w:rsidRPr="00F805BC">
        <w:rPr>
          <w:rFonts w:ascii="ITC Avant Garde" w:hAnsi="ITC Avant Garde"/>
          <w:bCs/>
          <w:kern w:val="1"/>
          <w:sz w:val="22"/>
          <w:szCs w:val="22"/>
          <w:lang w:eastAsia="ar-SA"/>
        </w:rPr>
        <w:t>.</w:t>
      </w:r>
    </w:p>
    <w:p w14:paraId="10455D3C" w14:textId="77777777" w:rsidR="00D9584D" w:rsidRDefault="00C75B0C" w:rsidP="00D9584D">
      <w:pPr>
        <w:suppressAutoHyphens/>
        <w:spacing w:afterLines="160" w:after="384" w:line="276" w:lineRule="auto"/>
        <w:ind w:right="-62"/>
        <w:jc w:val="both"/>
        <w:rPr>
          <w:rFonts w:ascii="ITC Avant Garde" w:hAnsi="ITC Avant Garde"/>
          <w:bCs/>
          <w:kern w:val="1"/>
          <w:sz w:val="22"/>
          <w:szCs w:val="22"/>
          <w:lang w:eastAsia="ar-SA"/>
        </w:rPr>
      </w:pPr>
      <w:r w:rsidRPr="00F805BC">
        <w:rPr>
          <w:rFonts w:ascii="ITC Avant Garde" w:hAnsi="ITC Avant Garde"/>
          <w:b/>
          <w:bCs/>
          <w:color w:val="000000"/>
          <w:sz w:val="22"/>
          <w:szCs w:val="22"/>
          <w:lang w:eastAsia="es-MX"/>
        </w:rPr>
        <w:t>CUARTO.-</w:t>
      </w:r>
      <w:r w:rsidRPr="00F805BC">
        <w:rPr>
          <w:rFonts w:ascii="ITC Avant Garde" w:hAnsi="ITC Avant Garde" w:cs="Arial"/>
          <w:b/>
          <w:bCs/>
          <w:color w:val="555555"/>
          <w:sz w:val="22"/>
          <w:szCs w:val="22"/>
        </w:rPr>
        <w:t xml:space="preserve"> </w:t>
      </w:r>
      <w:r w:rsidR="00C21830" w:rsidRPr="00F805BC">
        <w:rPr>
          <w:rFonts w:ascii="ITC Avant Garde" w:hAnsi="ITC Avant Garde"/>
          <w:bCs/>
          <w:kern w:val="1"/>
          <w:sz w:val="22"/>
          <w:szCs w:val="22"/>
          <w:lang w:eastAsia="ar-SA"/>
        </w:rPr>
        <w:t xml:space="preserve">Se instruye a la Unidad de Concesiones </w:t>
      </w:r>
      <w:r w:rsidR="007A49E0" w:rsidRPr="00F805BC">
        <w:rPr>
          <w:rFonts w:ascii="ITC Avant Garde" w:hAnsi="ITC Avant Garde"/>
          <w:bCs/>
          <w:kern w:val="1"/>
          <w:sz w:val="22"/>
          <w:szCs w:val="22"/>
          <w:lang w:eastAsia="ar-SA"/>
        </w:rPr>
        <w:t xml:space="preserve">y </w:t>
      </w:r>
      <w:r w:rsidR="00C21830" w:rsidRPr="00F805BC">
        <w:rPr>
          <w:rFonts w:ascii="ITC Avant Garde" w:hAnsi="ITC Avant Garde"/>
          <w:bCs/>
          <w:kern w:val="1"/>
          <w:sz w:val="22"/>
          <w:szCs w:val="22"/>
          <w:lang w:eastAsia="ar-SA"/>
        </w:rPr>
        <w:t xml:space="preserve">Servicios a notificar personalmente </w:t>
      </w:r>
      <w:r w:rsidR="00EC388C" w:rsidRPr="00F805BC">
        <w:rPr>
          <w:rFonts w:ascii="ITC Avant Garde" w:hAnsi="ITC Avant Garde" w:cs="Calibri"/>
          <w:sz w:val="22"/>
          <w:szCs w:val="22"/>
        </w:rPr>
        <w:t>a</w:t>
      </w:r>
      <w:r w:rsidR="00EC388C">
        <w:rPr>
          <w:rFonts w:ascii="ITC Avant Garde" w:hAnsi="ITC Avant Garde" w:cs="Calibri"/>
          <w:sz w:val="22"/>
          <w:szCs w:val="22"/>
        </w:rPr>
        <w:t xml:space="preserve">l </w:t>
      </w:r>
      <w:r w:rsidR="00EC388C" w:rsidRPr="00453228">
        <w:rPr>
          <w:rFonts w:ascii="ITC Avant Garde" w:hAnsi="ITC Avant Garde" w:cs="Calibri"/>
          <w:b/>
          <w:sz w:val="22"/>
          <w:szCs w:val="22"/>
        </w:rPr>
        <w:t>C. JORGE CRUZ RAMOS LÓPEZ</w:t>
      </w:r>
      <w:r w:rsidR="00EC1813" w:rsidRPr="00F805BC">
        <w:rPr>
          <w:rFonts w:ascii="ITC Avant Garde" w:hAnsi="ITC Avant Garde" w:cs="Calibri"/>
          <w:b/>
          <w:sz w:val="22"/>
          <w:szCs w:val="22"/>
        </w:rPr>
        <w:t>,</w:t>
      </w:r>
      <w:r w:rsidR="00C21830" w:rsidRPr="00F805BC">
        <w:rPr>
          <w:rFonts w:ascii="ITC Avant Garde" w:hAnsi="ITC Avant Garde"/>
          <w:bCs/>
          <w:kern w:val="1"/>
          <w:sz w:val="22"/>
          <w:szCs w:val="22"/>
          <w:lang w:eastAsia="ar-SA"/>
        </w:rPr>
        <w:t xml:space="preserve"> </w:t>
      </w:r>
      <w:r w:rsidR="00C14C2D">
        <w:rPr>
          <w:rFonts w:ascii="ITC Avant Garde" w:hAnsi="ITC Avant Garde"/>
          <w:bCs/>
          <w:kern w:val="1"/>
          <w:sz w:val="22"/>
          <w:szCs w:val="22"/>
          <w:lang w:eastAsia="ar-SA"/>
        </w:rPr>
        <w:t>la</w:t>
      </w:r>
      <w:r w:rsidR="00C14C2D" w:rsidRPr="00F805BC">
        <w:rPr>
          <w:rFonts w:ascii="ITC Avant Garde" w:hAnsi="ITC Avant Garde"/>
          <w:bCs/>
          <w:kern w:val="1"/>
          <w:sz w:val="22"/>
          <w:szCs w:val="22"/>
          <w:lang w:eastAsia="ar-SA"/>
        </w:rPr>
        <w:t xml:space="preserve"> </w:t>
      </w:r>
      <w:r w:rsidR="00C21830" w:rsidRPr="00F805BC">
        <w:rPr>
          <w:rFonts w:ascii="ITC Avant Garde" w:hAnsi="ITC Avant Garde"/>
          <w:bCs/>
          <w:kern w:val="1"/>
          <w:sz w:val="22"/>
          <w:szCs w:val="22"/>
          <w:lang w:eastAsia="ar-SA"/>
        </w:rPr>
        <w:t xml:space="preserve">presente </w:t>
      </w:r>
      <w:r w:rsidR="00C14C2D">
        <w:rPr>
          <w:rFonts w:ascii="ITC Avant Garde" w:hAnsi="ITC Avant Garde"/>
          <w:bCs/>
          <w:kern w:val="1"/>
          <w:sz w:val="22"/>
          <w:szCs w:val="22"/>
          <w:lang w:eastAsia="ar-SA"/>
        </w:rPr>
        <w:t>Resolución</w:t>
      </w:r>
      <w:r w:rsidR="00C21830" w:rsidRPr="00F805BC">
        <w:rPr>
          <w:rFonts w:ascii="ITC Avant Garde" w:hAnsi="ITC Avant Garde"/>
          <w:bCs/>
          <w:kern w:val="1"/>
          <w:sz w:val="22"/>
          <w:szCs w:val="22"/>
          <w:lang w:eastAsia="ar-SA"/>
        </w:rPr>
        <w:t>.</w:t>
      </w:r>
    </w:p>
    <w:p w14:paraId="0CE9F83D" w14:textId="77777777" w:rsidR="00D9584D" w:rsidRDefault="00C72B44" w:rsidP="00D9584D">
      <w:pPr>
        <w:suppressAutoHyphens/>
        <w:spacing w:afterLines="160" w:after="384" w:line="276" w:lineRule="auto"/>
        <w:ind w:right="-62"/>
        <w:jc w:val="both"/>
        <w:rPr>
          <w:rFonts w:ascii="ITC Avant Garde" w:hAnsi="ITC Avant Garde"/>
          <w:bCs/>
          <w:kern w:val="1"/>
          <w:sz w:val="22"/>
          <w:szCs w:val="22"/>
          <w:lang w:val="es-MX" w:eastAsia="ar-SA"/>
        </w:rPr>
      </w:pPr>
      <w:r>
        <w:rPr>
          <w:rFonts w:ascii="ITC Avant Garde" w:hAnsi="ITC Avant Garde"/>
          <w:b/>
          <w:bCs/>
          <w:kern w:val="1"/>
          <w:sz w:val="22"/>
          <w:szCs w:val="22"/>
          <w:lang w:eastAsia="ar-SA"/>
        </w:rPr>
        <w:t>QUINTO</w:t>
      </w:r>
      <w:r w:rsidR="00C21830" w:rsidRPr="00F805BC">
        <w:rPr>
          <w:rFonts w:ascii="ITC Avant Garde" w:hAnsi="ITC Avant Garde"/>
          <w:b/>
          <w:bCs/>
          <w:kern w:val="1"/>
          <w:sz w:val="22"/>
          <w:szCs w:val="22"/>
          <w:lang w:eastAsia="ar-SA"/>
        </w:rPr>
        <w:t xml:space="preserve">.- </w:t>
      </w:r>
      <w:r w:rsidR="00C21830" w:rsidRPr="00F805BC">
        <w:rPr>
          <w:rFonts w:ascii="ITC Avant Garde" w:hAnsi="ITC Avant Garde"/>
          <w:bCs/>
          <w:kern w:val="1"/>
          <w:sz w:val="22"/>
          <w:szCs w:val="22"/>
          <w:lang w:val="es-MX" w:eastAsia="ar-SA"/>
        </w:rPr>
        <w:t xml:space="preserve">Una vez que </w:t>
      </w:r>
      <w:r w:rsidR="00C14C2D">
        <w:rPr>
          <w:rFonts w:ascii="ITC Avant Garde" w:hAnsi="ITC Avant Garde"/>
          <w:bCs/>
          <w:kern w:val="1"/>
          <w:sz w:val="22"/>
          <w:szCs w:val="22"/>
          <w:lang w:val="es-MX" w:eastAsia="ar-SA"/>
        </w:rPr>
        <w:t xml:space="preserve">la </w:t>
      </w:r>
      <w:r w:rsidR="00C21830" w:rsidRPr="00F805BC">
        <w:rPr>
          <w:rFonts w:ascii="ITC Avant Garde" w:hAnsi="ITC Avant Garde"/>
          <w:bCs/>
          <w:kern w:val="1"/>
          <w:sz w:val="22"/>
          <w:szCs w:val="22"/>
          <w:lang w:val="es-MX" w:eastAsia="ar-SA"/>
        </w:rPr>
        <w:t xml:space="preserve">presente </w:t>
      </w:r>
      <w:r w:rsidR="00C14C2D">
        <w:rPr>
          <w:rFonts w:ascii="ITC Avant Garde" w:hAnsi="ITC Avant Garde"/>
          <w:bCs/>
          <w:kern w:val="1"/>
          <w:sz w:val="22"/>
          <w:szCs w:val="22"/>
          <w:lang w:val="es-MX" w:eastAsia="ar-SA"/>
        </w:rPr>
        <w:t>Resolución</w:t>
      </w:r>
      <w:r w:rsidR="00C14C2D" w:rsidRPr="00F805BC">
        <w:rPr>
          <w:rFonts w:ascii="ITC Avant Garde" w:hAnsi="ITC Avant Garde"/>
          <w:bCs/>
          <w:kern w:val="1"/>
          <w:sz w:val="22"/>
          <w:szCs w:val="22"/>
          <w:lang w:val="es-MX" w:eastAsia="ar-SA"/>
        </w:rPr>
        <w:t xml:space="preserve"> </w:t>
      </w:r>
      <w:r w:rsidR="00C21830" w:rsidRPr="00F805BC">
        <w:rPr>
          <w:rFonts w:ascii="ITC Avant Garde" w:hAnsi="ITC Avant Garde"/>
          <w:bCs/>
          <w:kern w:val="1"/>
          <w:sz w:val="22"/>
          <w:szCs w:val="22"/>
          <w:lang w:val="es-MX" w:eastAsia="ar-SA"/>
        </w:rPr>
        <w:t xml:space="preserve">sea </w:t>
      </w:r>
      <w:r w:rsidR="00C14C2D" w:rsidRPr="00F805BC">
        <w:rPr>
          <w:rFonts w:ascii="ITC Avant Garde" w:hAnsi="ITC Avant Garde"/>
          <w:bCs/>
          <w:kern w:val="1"/>
          <w:sz w:val="22"/>
          <w:szCs w:val="22"/>
          <w:lang w:val="es-MX" w:eastAsia="ar-SA"/>
        </w:rPr>
        <w:t>notificada</w:t>
      </w:r>
      <w:r w:rsidR="00C21830" w:rsidRPr="00F805BC">
        <w:rPr>
          <w:rFonts w:ascii="ITC Avant Garde" w:hAnsi="ITC Avant Garde"/>
          <w:bCs/>
          <w:kern w:val="1"/>
          <w:sz w:val="22"/>
          <w:szCs w:val="22"/>
          <w:lang w:val="es-MX" w:eastAsia="ar-SA"/>
        </w:rPr>
        <w:t>, remítase en su oportunidad, a la Dirección General Adjunta del Registro Público de Concesiones para efectos de su inscripción.</w:t>
      </w:r>
    </w:p>
    <w:p w14:paraId="18094F0B" w14:textId="77777777" w:rsidR="00D9584D" w:rsidRDefault="00062528" w:rsidP="00D9584D">
      <w:pPr>
        <w:pStyle w:val="estilo30"/>
        <w:spacing w:before="0" w:beforeAutospacing="0" w:afterLines="160" w:after="384" w:afterAutospacing="0"/>
        <w:jc w:val="both"/>
        <w:rPr>
          <w:rFonts w:ascii="ITC Avant Garde" w:eastAsia="Arial Unicode MS" w:hAnsi="ITC Avant Garde"/>
          <w:color w:val="000000"/>
          <w:sz w:val="16"/>
          <w:szCs w:val="16"/>
        </w:rPr>
      </w:pPr>
      <w:r w:rsidRPr="00062528">
        <w:rPr>
          <w:rFonts w:ascii="ITC Avant Garde" w:eastAsia="Arial Unicode MS" w:hAnsi="ITC Avant Garde"/>
          <w:color w:val="000000"/>
          <w:sz w:val="16"/>
          <w:szCs w:val="16"/>
        </w:rPr>
        <w:t xml:space="preserve">La presente Resolución fue aprobada por el Pleno del Instituto Federal de Telecomunicaciones en su XV Sesión Ordinaria celebrada el 10 de julio de 2015, por </w:t>
      </w:r>
      <w:r>
        <w:rPr>
          <w:rFonts w:ascii="ITC Avant Garde" w:eastAsia="Arial Unicode MS" w:hAnsi="ITC Avant Garde"/>
          <w:color w:val="000000"/>
          <w:sz w:val="16"/>
          <w:szCs w:val="16"/>
        </w:rPr>
        <w:t>unanimidad</w:t>
      </w:r>
      <w:r w:rsidRPr="00062528">
        <w:rPr>
          <w:rFonts w:ascii="ITC Avant Garde" w:eastAsia="Arial Unicode MS" w:hAnsi="ITC Avant Garde"/>
          <w:color w:val="000000"/>
          <w:sz w:val="16"/>
          <w:szCs w:val="16"/>
        </w:rPr>
        <w:t xml:space="preserve"> de votos de los Comisionados Gabriel Oswaldo Contreras Saldívar, Luis Fernando Borjón Figueroa, Ernesto Estrada González, Adriana Sofía Labardini Inzunza, María Elena Estavillo Flores</w:t>
      </w:r>
      <w:r>
        <w:rPr>
          <w:rFonts w:ascii="ITC Avant Garde" w:eastAsia="Arial Unicode MS" w:hAnsi="ITC Avant Garde"/>
          <w:color w:val="000000"/>
          <w:sz w:val="16"/>
          <w:szCs w:val="16"/>
        </w:rPr>
        <w:t xml:space="preserve">, </w:t>
      </w:r>
      <w:r w:rsidRPr="00062528">
        <w:rPr>
          <w:rFonts w:ascii="ITC Avant Garde" w:eastAsia="Arial Unicode MS" w:hAnsi="ITC Avant Garde"/>
          <w:color w:val="000000"/>
          <w:sz w:val="16"/>
          <w:szCs w:val="16"/>
        </w:rPr>
        <w:t>Mario Germán Fro</w:t>
      </w:r>
      <w:r>
        <w:rPr>
          <w:rFonts w:ascii="ITC Avant Garde" w:eastAsia="Arial Unicode MS" w:hAnsi="ITC Avant Garde"/>
          <w:color w:val="000000"/>
          <w:sz w:val="16"/>
          <w:szCs w:val="16"/>
        </w:rPr>
        <w:t>mow Rangel y Adolfo Cuevas Teja</w:t>
      </w:r>
      <w:r w:rsidRPr="00062528">
        <w:rPr>
          <w:rFonts w:ascii="ITC Avant Garde" w:eastAsia="Arial Unicode MS" w:hAnsi="ITC Avant Garde"/>
          <w:color w:val="000000"/>
          <w:sz w:val="16"/>
          <w:szCs w:val="16"/>
        </w:rPr>
        <w:t xml:space="preserv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w:t>
      </w:r>
      <w:r>
        <w:rPr>
          <w:rFonts w:ascii="ITC Avant Garde" w:eastAsia="Arial Unicode MS" w:hAnsi="ITC Avant Garde"/>
          <w:color w:val="000000"/>
          <w:sz w:val="16"/>
          <w:szCs w:val="16"/>
        </w:rPr>
        <w:t>mediante Acuerdo P/IFT/100715/25</w:t>
      </w:r>
      <w:r w:rsidRPr="00062528">
        <w:rPr>
          <w:rFonts w:ascii="ITC Avant Garde" w:eastAsia="Arial Unicode MS" w:hAnsi="ITC Avant Garde"/>
          <w:color w:val="000000"/>
          <w:sz w:val="16"/>
          <w:szCs w:val="16"/>
        </w:rPr>
        <w:t>0.</w:t>
      </w:r>
    </w:p>
    <w:p w14:paraId="5A34B23C" w14:textId="2585FBE1" w:rsidR="00062528" w:rsidRPr="00062528" w:rsidRDefault="00062528" w:rsidP="00D9584D">
      <w:pPr>
        <w:pStyle w:val="estilo30"/>
        <w:spacing w:before="0" w:beforeAutospacing="0" w:afterLines="160" w:after="384" w:afterAutospacing="0"/>
        <w:jc w:val="both"/>
        <w:rPr>
          <w:rFonts w:ascii="ITC Avant Garde" w:hAnsi="ITC Avant Garde"/>
          <w:bCs/>
          <w:kern w:val="1"/>
          <w:szCs w:val="22"/>
          <w:lang w:eastAsia="ar-SA"/>
        </w:rPr>
      </w:pPr>
      <w:r w:rsidRPr="00062528">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p>
    <w:sectPr w:rsidR="00062528" w:rsidRPr="00062528" w:rsidSect="00062528">
      <w:footerReference w:type="even" r:id="rId7"/>
      <w:footerReference w:type="default" r:id="rId8"/>
      <w:footerReference w:type="first" r:id="rId9"/>
      <w:pgSz w:w="12240" w:h="15840" w:code="1"/>
      <w:pgMar w:top="2127" w:right="1418" w:bottom="1134" w:left="1418" w:header="992" w:footer="47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EB4B4" w14:textId="77777777" w:rsidR="00F90262" w:rsidRDefault="00F90262" w:rsidP="00C21830">
      <w:r>
        <w:separator/>
      </w:r>
    </w:p>
  </w:endnote>
  <w:endnote w:type="continuationSeparator" w:id="0">
    <w:p w14:paraId="4C59B7C3" w14:textId="77777777" w:rsidR="00F90262" w:rsidRDefault="00F90262" w:rsidP="00C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3F61" w14:textId="77777777" w:rsidR="00E0132C" w:rsidRDefault="00CB2AB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2D053B7" w14:textId="77777777" w:rsidR="00E0132C" w:rsidRDefault="00F902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E06B" w14:textId="710EDF13" w:rsidR="00E0132C" w:rsidRPr="004465B5" w:rsidRDefault="00CB2ABF" w:rsidP="00C30C97">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C664BF">
      <w:rPr>
        <w:rFonts w:ascii="ITC Avant Garde" w:hAnsi="ITC Avant Garde"/>
        <w:noProof/>
        <w:sz w:val="18"/>
        <w:szCs w:val="18"/>
      </w:rPr>
      <w:t>2</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C664BF">
      <w:rPr>
        <w:rFonts w:ascii="ITC Avant Garde" w:hAnsi="ITC Avant Garde"/>
        <w:noProof/>
        <w:sz w:val="18"/>
        <w:szCs w:val="18"/>
      </w:rPr>
      <w:t>11</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3E7F" w14:textId="418AD1DA" w:rsidR="00E0132C" w:rsidRPr="004C7979" w:rsidRDefault="00CB2ABF"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C664BF">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C664BF">
      <w:rPr>
        <w:rFonts w:ascii="ITC Avant Garde" w:hAnsi="ITC Avant Garde" w:cs="Calibri"/>
        <w:noProof/>
        <w:sz w:val="18"/>
        <w:szCs w:val="18"/>
      </w:rPr>
      <w:t>11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B1DAE" w14:textId="77777777" w:rsidR="00F90262" w:rsidRDefault="00F90262" w:rsidP="00C21830">
      <w:r>
        <w:separator/>
      </w:r>
    </w:p>
  </w:footnote>
  <w:footnote w:type="continuationSeparator" w:id="0">
    <w:p w14:paraId="68435E20" w14:textId="77777777" w:rsidR="00F90262" w:rsidRDefault="00F90262" w:rsidP="00C2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30"/>
    <w:rsid w:val="00010AEB"/>
    <w:rsid w:val="00043595"/>
    <w:rsid w:val="00044016"/>
    <w:rsid w:val="00062528"/>
    <w:rsid w:val="00065A5F"/>
    <w:rsid w:val="00080394"/>
    <w:rsid w:val="000815EA"/>
    <w:rsid w:val="000A6246"/>
    <w:rsid w:val="000A6F0A"/>
    <w:rsid w:val="000D6041"/>
    <w:rsid w:val="000F5E09"/>
    <w:rsid w:val="0012157E"/>
    <w:rsid w:val="001248DF"/>
    <w:rsid w:val="00140BED"/>
    <w:rsid w:val="00140EC0"/>
    <w:rsid w:val="00186770"/>
    <w:rsid w:val="001C12F6"/>
    <w:rsid w:val="001D0FBF"/>
    <w:rsid w:val="001D2645"/>
    <w:rsid w:val="001D607A"/>
    <w:rsid w:val="001E033E"/>
    <w:rsid w:val="001E5340"/>
    <w:rsid w:val="001F50E0"/>
    <w:rsid w:val="00275566"/>
    <w:rsid w:val="002811F4"/>
    <w:rsid w:val="002957B1"/>
    <w:rsid w:val="002A361E"/>
    <w:rsid w:val="002A63C1"/>
    <w:rsid w:val="002C13CB"/>
    <w:rsid w:val="002D539C"/>
    <w:rsid w:val="002E01BA"/>
    <w:rsid w:val="002F3DE9"/>
    <w:rsid w:val="0031454E"/>
    <w:rsid w:val="003400C0"/>
    <w:rsid w:val="00355A94"/>
    <w:rsid w:val="003605C2"/>
    <w:rsid w:val="003B0085"/>
    <w:rsid w:val="003D3A1F"/>
    <w:rsid w:val="0040438D"/>
    <w:rsid w:val="004370DC"/>
    <w:rsid w:val="00446FDC"/>
    <w:rsid w:val="00453228"/>
    <w:rsid w:val="00461D7F"/>
    <w:rsid w:val="0046795F"/>
    <w:rsid w:val="004861B9"/>
    <w:rsid w:val="00487A27"/>
    <w:rsid w:val="004A0244"/>
    <w:rsid w:val="004A02E4"/>
    <w:rsid w:val="004A3155"/>
    <w:rsid w:val="004A543E"/>
    <w:rsid w:val="004B4E20"/>
    <w:rsid w:val="004B56F3"/>
    <w:rsid w:val="004C2EFA"/>
    <w:rsid w:val="004C7271"/>
    <w:rsid w:val="004E45E2"/>
    <w:rsid w:val="004F138F"/>
    <w:rsid w:val="005016C0"/>
    <w:rsid w:val="00506BDF"/>
    <w:rsid w:val="005100FA"/>
    <w:rsid w:val="00516876"/>
    <w:rsid w:val="00522910"/>
    <w:rsid w:val="00535DF6"/>
    <w:rsid w:val="005504BC"/>
    <w:rsid w:val="00562C2B"/>
    <w:rsid w:val="005711C2"/>
    <w:rsid w:val="005820BA"/>
    <w:rsid w:val="005A45EE"/>
    <w:rsid w:val="005D3B9C"/>
    <w:rsid w:val="005F461B"/>
    <w:rsid w:val="00612A1A"/>
    <w:rsid w:val="0061578D"/>
    <w:rsid w:val="00640D23"/>
    <w:rsid w:val="00644242"/>
    <w:rsid w:val="006446EC"/>
    <w:rsid w:val="00674A26"/>
    <w:rsid w:val="00676A33"/>
    <w:rsid w:val="006C5C7E"/>
    <w:rsid w:val="006D1E04"/>
    <w:rsid w:val="006F3E97"/>
    <w:rsid w:val="00704B59"/>
    <w:rsid w:val="00721902"/>
    <w:rsid w:val="00722ED5"/>
    <w:rsid w:val="007278AF"/>
    <w:rsid w:val="007329D6"/>
    <w:rsid w:val="007371C0"/>
    <w:rsid w:val="00742336"/>
    <w:rsid w:val="00751A62"/>
    <w:rsid w:val="00763766"/>
    <w:rsid w:val="00765F53"/>
    <w:rsid w:val="00785931"/>
    <w:rsid w:val="007A47EF"/>
    <w:rsid w:val="007A49E0"/>
    <w:rsid w:val="007B13F9"/>
    <w:rsid w:val="007D23E1"/>
    <w:rsid w:val="007D7A37"/>
    <w:rsid w:val="007E39AA"/>
    <w:rsid w:val="007E55FE"/>
    <w:rsid w:val="007F6418"/>
    <w:rsid w:val="00805D68"/>
    <w:rsid w:val="00836DFD"/>
    <w:rsid w:val="00841B53"/>
    <w:rsid w:val="008435F3"/>
    <w:rsid w:val="008468EA"/>
    <w:rsid w:val="00851F63"/>
    <w:rsid w:val="008976E2"/>
    <w:rsid w:val="008C5716"/>
    <w:rsid w:val="008D64FC"/>
    <w:rsid w:val="00906848"/>
    <w:rsid w:val="00922243"/>
    <w:rsid w:val="009440FB"/>
    <w:rsid w:val="00947109"/>
    <w:rsid w:val="00951AE6"/>
    <w:rsid w:val="00961645"/>
    <w:rsid w:val="00980E41"/>
    <w:rsid w:val="0098721F"/>
    <w:rsid w:val="009A37D3"/>
    <w:rsid w:val="009B7789"/>
    <w:rsid w:val="009C6A25"/>
    <w:rsid w:val="009D7396"/>
    <w:rsid w:val="009E70CB"/>
    <w:rsid w:val="009F1FA6"/>
    <w:rsid w:val="009F20AC"/>
    <w:rsid w:val="009F33CA"/>
    <w:rsid w:val="00A041AC"/>
    <w:rsid w:val="00A21E58"/>
    <w:rsid w:val="00A23279"/>
    <w:rsid w:val="00A26B04"/>
    <w:rsid w:val="00A316B2"/>
    <w:rsid w:val="00A34819"/>
    <w:rsid w:val="00A61490"/>
    <w:rsid w:val="00A6218B"/>
    <w:rsid w:val="00A63D66"/>
    <w:rsid w:val="00A76FC1"/>
    <w:rsid w:val="00AD099C"/>
    <w:rsid w:val="00AD167F"/>
    <w:rsid w:val="00B14DE4"/>
    <w:rsid w:val="00B151E4"/>
    <w:rsid w:val="00B2290A"/>
    <w:rsid w:val="00B53302"/>
    <w:rsid w:val="00B80F4D"/>
    <w:rsid w:val="00B828E9"/>
    <w:rsid w:val="00B94CEE"/>
    <w:rsid w:val="00BA55F9"/>
    <w:rsid w:val="00BB4CB6"/>
    <w:rsid w:val="00C05C74"/>
    <w:rsid w:val="00C14C2D"/>
    <w:rsid w:val="00C21830"/>
    <w:rsid w:val="00C45527"/>
    <w:rsid w:val="00C526D6"/>
    <w:rsid w:val="00C664BF"/>
    <w:rsid w:val="00C70D01"/>
    <w:rsid w:val="00C7186E"/>
    <w:rsid w:val="00C72B44"/>
    <w:rsid w:val="00C75B0C"/>
    <w:rsid w:val="00C77710"/>
    <w:rsid w:val="00CB2ABF"/>
    <w:rsid w:val="00CE6542"/>
    <w:rsid w:val="00CF1E70"/>
    <w:rsid w:val="00D00660"/>
    <w:rsid w:val="00D468EE"/>
    <w:rsid w:val="00D53FBF"/>
    <w:rsid w:val="00D6186E"/>
    <w:rsid w:val="00D9584D"/>
    <w:rsid w:val="00DA1835"/>
    <w:rsid w:val="00DA3FC6"/>
    <w:rsid w:val="00DC5D30"/>
    <w:rsid w:val="00DD6E6B"/>
    <w:rsid w:val="00E01ADF"/>
    <w:rsid w:val="00E0480C"/>
    <w:rsid w:val="00EB1305"/>
    <w:rsid w:val="00EB14EC"/>
    <w:rsid w:val="00EC1813"/>
    <w:rsid w:val="00EC388C"/>
    <w:rsid w:val="00ED3007"/>
    <w:rsid w:val="00EF14EE"/>
    <w:rsid w:val="00F2793E"/>
    <w:rsid w:val="00F36D82"/>
    <w:rsid w:val="00F37009"/>
    <w:rsid w:val="00F805BC"/>
    <w:rsid w:val="00F807C3"/>
    <w:rsid w:val="00F83B2E"/>
    <w:rsid w:val="00F90262"/>
    <w:rsid w:val="00FA6096"/>
    <w:rsid w:val="00FA7239"/>
    <w:rsid w:val="00FE36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556A4"/>
  <w15:chartTrackingRefBased/>
  <w15:docId w15:val="{B7045990-3BB7-4680-BF1C-AD7E1C9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30"/>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D9584D"/>
    <w:pPr>
      <w:keepNext/>
      <w:outlineLvl w:val="0"/>
    </w:pPr>
    <w:rPr>
      <w:b/>
      <w:lang w:val="x-none"/>
    </w:rPr>
  </w:style>
  <w:style w:type="paragraph" w:styleId="Ttulo2">
    <w:name w:val="heading 2"/>
    <w:basedOn w:val="Normal"/>
    <w:next w:val="Normal"/>
    <w:link w:val="Ttulo2Car"/>
    <w:uiPriority w:val="9"/>
    <w:qFormat/>
    <w:rsid w:val="00D9584D"/>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1830"/>
    <w:pPr>
      <w:jc w:val="both"/>
    </w:pPr>
    <w:rPr>
      <w:lang w:val="x-none"/>
    </w:rPr>
  </w:style>
  <w:style w:type="character" w:customStyle="1" w:styleId="TextoindependienteCar">
    <w:name w:val="Texto independiente Car"/>
    <w:basedOn w:val="Fuentedeprrafopredeter"/>
    <w:link w:val="Textoindependiente"/>
    <w:rsid w:val="00C21830"/>
    <w:rPr>
      <w:rFonts w:ascii="Arial" w:eastAsia="Times New Roman" w:hAnsi="Arial" w:cs="Times New Roman"/>
      <w:sz w:val="24"/>
      <w:szCs w:val="20"/>
      <w:lang w:val="x-none" w:eastAsia="es-ES"/>
    </w:rPr>
  </w:style>
  <w:style w:type="paragraph" w:styleId="Encabezado">
    <w:name w:val="header"/>
    <w:basedOn w:val="Normal"/>
    <w:link w:val="EncabezadoCar"/>
    <w:rsid w:val="00C21830"/>
    <w:pPr>
      <w:tabs>
        <w:tab w:val="center" w:pos="4419"/>
        <w:tab w:val="right" w:pos="8838"/>
      </w:tabs>
    </w:pPr>
  </w:style>
  <w:style w:type="character" w:customStyle="1" w:styleId="EncabezadoCar">
    <w:name w:val="Encabezado Car"/>
    <w:basedOn w:val="Fuentedeprrafopredeter"/>
    <w:link w:val="Encabezado"/>
    <w:rsid w:val="00C21830"/>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21830"/>
    <w:pPr>
      <w:tabs>
        <w:tab w:val="center" w:pos="4419"/>
        <w:tab w:val="right" w:pos="8838"/>
      </w:tabs>
    </w:pPr>
  </w:style>
  <w:style w:type="character" w:customStyle="1" w:styleId="PiedepginaCar">
    <w:name w:val="Pie de página Car"/>
    <w:basedOn w:val="Fuentedeprrafopredeter"/>
    <w:link w:val="Piedepgina"/>
    <w:uiPriority w:val="99"/>
    <w:rsid w:val="00C21830"/>
    <w:rPr>
      <w:rFonts w:ascii="Arial" w:eastAsia="Times New Roman" w:hAnsi="Arial" w:cs="Times New Roman"/>
      <w:sz w:val="24"/>
      <w:szCs w:val="20"/>
      <w:lang w:val="es-ES" w:eastAsia="es-ES"/>
    </w:rPr>
  </w:style>
  <w:style w:type="character" w:styleId="Nmerodepgina">
    <w:name w:val="page number"/>
    <w:basedOn w:val="Fuentedeprrafopredeter"/>
    <w:rsid w:val="00C21830"/>
  </w:style>
  <w:style w:type="paragraph" w:styleId="Prrafodelista">
    <w:name w:val="List Paragraph"/>
    <w:basedOn w:val="Normal"/>
    <w:link w:val="PrrafodelistaCar"/>
    <w:uiPriority w:val="34"/>
    <w:qFormat/>
    <w:rsid w:val="00C21830"/>
    <w:pPr>
      <w:ind w:left="708"/>
    </w:pPr>
  </w:style>
  <w:style w:type="paragraph" w:styleId="Textonotapie">
    <w:name w:val="footnote text"/>
    <w:basedOn w:val="Normal"/>
    <w:link w:val="TextonotapieCar"/>
    <w:rsid w:val="00C21830"/>
    <w:rPr>
      <w:sz w:val="20"/>
    </w:rPr>
  </w:style>
  <w:style w:type="character" w:customStyle="1" w:styleId="TextonotapieCar">
    <w:name w:val="Texto nota pie Car"/>
    <w:basedOn w:val="Fuentedeprrafopredeter"/>
    <w:link w:val="Textonotapie"/>
    <w:rsid w:val="00C21830"/>
    <w:rPr>
      <w:rFonts w:ascii="Arial" w:eastAsia="Times New Roman" w:hAnsi="Arial" w:cs="Times New Roman"/>
      <w:sz w:val="20"/>
      <w:szCs w:val="20"/>
      <w:lang w:val="es-ES" w:eastAsia="es-ES"/>
    </w:rPr>
  </w:style>
  <w:style w:type="character" w:styleId="Refdenotaalpie">
    <w:name w:val="footnote reference"/>
    <w:rsid w:val="00C21830"/>
    <w:rPr>
      <w:vertAlign w:val="superscript"/>
    </w:rPr>
  </w:style>
  <w:style w:type="character" w:customStyle="1" w:styleId="PrrafodelistaCar">
    <w:name w:val="Párrafo de lista Car"/>
    <w:link w:val="Prrafodelista"/>
    <w:uiPriority w:val="34"/>
    <w:locked/>
    <w:rsid w:val="00C2183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5504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4BC"/>
    <w:rPr>
      <w:rFonts w:ascii="Segoe UI" w:eastAsia="Times New Roman" w:hAnsi="Segoe UI" w:cs="Segoe UI"/>
      <w:sz w:val="18"/>
      <w:szCs w:val="18"/>
      <w:lang w:val="es-ES" w:eastAsia="es-ES"/>
    </w:rPr>
  </w:style>
  <w:style w:type="paragraph" w:styleId="Revisin">
    <w:name w:val="Revision"/>
    <w:hidden/>
    <w:uiPriority w:val="99"/>
    <w:semiHidden/>
    <w:rsid w:val="00674A26"/>
    <w:pPr>
      <w:spacing w:after="0" w:line="240" w:lineRule="auto"/>
    </w:pPr>
    <w:rPr>
      <w:rFonts w:ascii="Arial" w:eastAsia="Times New Roman" w:hAnsi="Arial" w:cs="Times New Roman"/>
      <w:sz w:val="24"/>
      <w:szCs w:val="20"/>
      <w:lang w:val="es-ES" w:eastAsia="es-ES"/>
    </w:rPr>
  </w:style>
  <w:style w:type="character" w:styleId="Refdecomentario">
    <w:name w:val="annotation reference"/>
    <w:basedOn w:val="Fuentedeprrafopredeter"/>
    <w:unhideWhenUsed/>
    <w:rsid w:val="007329D6"/>
    <w:rPr>
      <w:sz w:val="16"/>
      <w:szCs w:val="16"/>
    </w:rPr>
  </w:style>
  <w:style w:type="paragraph" w:styleId="Textocomentario">
    <w:name w:val="annotation text"/>
    <w:basedOn w:val="Normal"/>
    <w:link w:val="TextocomentarioCar"/>
    <w:unhideWhenUsed/>
    <w:rsid w:val="007329D6"/>
    <w:rPr>
      <w:sz w:val="20"/>
    </w:rPr>
  </w:style>
  <w:style w:type="character" w:customStyle="1" w:styleId="TextocomentarioCar">
    <w:name w:val="Texto comentario Car"/>
    <w:basedOn w:val="Fuentedeprrafopredeter"/>
    <w:link w:val="Textocomentario"/>
    <w:rsid w:val="007329D6"/>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329D6"/>
    <w:rPr>
      <w:b/>
      <w:bCs/>
    </w:rPr>
  </w:style>
  <w:style w:type="character" w:customStyle="1" w:styleId="AsuntodelcomentarioCar">
    <w:name w:val="Asunto del comentario Car"/>
    <w:basedOn w:val="TextocomentarioCar"/>
    <w:link w:val="Asuntodelcomentario"/>
    <w:uiPriority w:val="99"/>
    <w:semiHidden/>
    <w:rsid w:val="007329D6"/>
    <w:rPr>
      <w:rFonts w:ascii="Arial" w:eastAsia="Times New Roman" w:hAnsi="Arial" w:cs="Times New Roman"/>
      <w:b/>
      <w:bCs/>
      <w:sz w:val="20"/>
      <w:szCs w:val="20"/>
      <w:lang w:val="es-ES" w:eastAsia="es-ES"/>
    </w:rPr>
  </w:style>
  <w:style w:type="paragraph" w:customStyle="1" w:styleId="estilo30">
    <w:name w:val="estilo30"/>
    <w:basedOn w:val="Normal"/>
    <w:rsid w:val="00062528"/>
    <w:pPr>
      <w:spacing w:before="100" w:beforeAutospacing="1" w:after="100" w:afterAutospacing="1"/>
    </w:pPr>
    <w:rPr>
      <w:rFonts w:ascii="Times New Roman" w:hAnsi="Times New Roman"/>
      <w:szCs w:val="24"/>
      <w:lang w:val="es-MX" w:eastAsia="es-MX"/>
    </w:rPr>
  </w:style>
  <w:style w:type="character" w:customStyle="1" w:styleId="Ttulo1Car">
    <w:name w:val="Título 1 Car"/>
    <w:basedOn w:val="Fuentedeprrafopredeter"/>
    <w:link w:val="Ttulo1"/>
    <w:uiPriority w:val="9"/>
    <w:rsid w:val="00D9584D"/>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D9584D"/>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4161</Words>
  <Characters>22888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5</cp:revision>
  <dcterms:created xsi:type="dcterms:W3CDTF">2017-11-29T16:37:00Z</dcterms:created>
  <dcterms:modified xsi:type="dcterms:W3CDTF">2018-05-15T14:49:00Z</dcterms:modified>
</cp:coreProperties>
</file>