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E8C22" w14:textId="77777777" w:rsidR="00DC1F83" w:rsidRPr="00DC1F83" w:rsidRDefault="0004385A" w:rsidP="00DC1F83">
      <w:pPr>
        <w:pStyle w:val="Ttulo1"/>
        <w:spacing w:after="240" w:line="240" w:lineRule="auto"/>
        <w:jc w:val="both"/>
        <w:rPr>
          <w:rFonts w:ascii="ITC Avant Garde" w:hAnsi="ITC Avant Garde"/>
          <w:b/>
          <w:color w:val="000000" w:themeColor="text1"/>
          <w:sz w:val="24"/>
          <w:szCs w:val="24"/>
          <w:lang w:eastAsia="es-MX"/>
        </w:rPr>
      </w:pPr>
      <w:r w:rsidRPr="00DC1F83">
        <w:rPr>
          <w:rFonts w:ascii="ITC Avant Garde" w:hAnsi="ITC Avant Garde"/>
          <w:b/>
          <w:color w:val="000000" w:themeColor="text1"/>
          <w:sz w:val="24"/>
          <w:szCs w:val="24"/>
          <w:lang w:eastAsia="es-MX"/>
        </w:rPr>
        <w:t xml:space="preserve">RESOLUCIÓN </w:t>
      </w:r>
      <w:r w:rsidR="0047205F" w:rsidRPr="00DC1F83">
        <w:rPr>
          <w:rFonts w:ascii="ITC Avant Garde" w:hAnsi="ITC Avant Garde"/>
          <w:b/>
          <w:color w:val="000000" w:themeColor="text1"/>
          <w:sz w:val="24"/>
          <w:szCs w:val="24"/>
          <w:lang w:eastAsia="es-MX"/>
        </w:rPr>
        <w:t>MEDIANTE</w:t>
      </w:r>
      <w:r w:rsidRPr="00DC1F83">
        <w:rPr>
          <w:rFonts w:ascii="ITC Avant Garde" w:hAnsi="ITC Avant Garde"/>
          <w:b/>
          <w:color w:val="000000" w:themeColor="text1"/>
          <w:sz w:val="24"/>
          <w:szCs w:val="24"/>
          <w:lang w:eastAsia="es-MX"/>
        </w:rPr>
        <w:t xml:space="preserve"> LA CUAL EL PLENO DEL INSTITUTO FEDERAL DE TELECOMUNICACIONES </w:t>
      </w:r>
      <w:r w:rsidR="00A71E5E" w:rsidRPr="00DC1F83">
        <w:rPr>
          <w:rFonts w:ascii="ITC Avant Garde" w:hAnsi="ITC Avant Garde"/>
          <w:b/>
          <w:color w:val="000000" w:themeColor="text1"/>
          <w:sz w:val="24"/>
          <w:szCs w:val="24"/>
          <w:lang w:eastAsia="es-MX"/>
        </w:rPr>
        <w:t xml:space="preserve">AUTORIZA A RADIOMÓVIL DIPSA, S.A. DE C.V., LA PRÓRROGA </w:t>
      </w:r>
      <w:r w:rsidR="00663A56" w:rsidRPr="00DC1F83">
        <w:rPr>
          <w:rFonts w:ascii="ITC Avant Garde" w:hAnsi="ITC Avant Garde"/>
          <w:b/>
          <w:color w:val="000000" w:themeColor="text1"/>
          <w:sz w:val="24"/>
          <w:szCs w:val="24"/>
          <w:lang w:eastAsia="es-MX"/>
        </w:rPr>
        <w:t xml:space="preserve">DE VIGENCIA </w:t>
      </w:r>
      <w:r w:rsidR="00A71E5E" w:rsidRPr="00DC1F83">
        <w:rPr>
          <w:rFonts w:ascii="ITC Avant Garde" w:hAnsi="ITC Avant Garde"/>
          <w:b/>
          <w:color w:val="000000" w:themeColor="text1"/>
          <w:sz w:val="24"/>
          <w:szCs w:val="24"/>
          <w:lang w:eastAsia="es-MX"/>
        </w:rPr>
        <w:t>DE LAS CONCESIONES PARA USAR, APROVECHAR Y EXPLOTAR BANDAS DE FRECUENCIAS DEL ESPECTRO RADIOELÉCTRICO EN LAS REGIONES</w:t>
      </w:r>
      <w:r w:rsidR="00985523" w:rsidRPr="00DC1F83">
        <w:rPr>
          <w:rFonts w:ascii="ITC Avant Garde" w:hAnsi="ITC Avant Garde"/>
          <w:b/>
          <w:color w:val="000000" w:themeColor="text1"/>
          <w:sz w:val="24"/>
          <w:szCs w:val="24"/>
          <w:lang w:eastAsia="es-MX"/>
        </w:rPr>
        <w:t xml:space="preserve"> </w:t>
      </w:r>
      <w:r w:rsidR="00A71E5E" w:rsidRPr="00DC1F83">
        <w:rPr>
          <w:rFonts w:ascii="ITC Avant Garde" w:hAnsi="ITC Avant Garde"/>
          <w:b/>
          <w:color w:val="000000" w:themeColor="text1"/>
          <w:sz w:val="24"/>
          <w:szCs w:val="24"/>
          <w:lang w:eastAsia="es-MX"/>
        </w:rPr>
        <w:t>1, 2, 3, 4, 5, 6, 7, 8 Y 9</w:t>
      </w:r>
      <w:r w:rsidR="00B17BD4" w:rsidRPr="00DC1F83">
        <w:rPr>
          <w:rFonts w:ascii="ITC Avant Garde" w:hAnsi="ITC Avant Garde"/>
          <w:b/>
          <w:color w:val="000000" w:themeColor="text1"/>
          <w:sz w:val="24"/>
          <w:szCs w:val="24"/>
          <w:lang w:eastAsia="es-MX"/>
        </w:rPr>
        <w:t xml:space="preserve"> PCS</w:t>
      </w:r>
      <w:r w:rsidR="00663A56" w:rsidRPr="00DC1F83">
        <w:rPr>
          <w:rFonts w:ascii="ITC Avant Garde" w:hAnsi="ITC Avant Garde"/>
          <w:b/>
          <w:color w:val="000000" w:themeColor="text1"/>
          <w:sz w:val="24"/>
          <w:szCs w:val="24"/>
          <w:lang w:eastAsia="es-MX"/>
        </w:rPr>
        <w:t>, TODAS CON VIGENCIA DE 20 AÑOS CONTADOS A PARTIR DEL 20 DE OCTUBRE DE 1999</w:t>
      </w:r>
      <w:r w:rsidR="003A2500" w:rsidRPr="00DC1F83">
        <w:rPr>
          <w:rFonts w:ascii="ITC Avant Garde" w:hAnsi="ITC Avant Garde"/>
          <w:b/>
          <w:color w:val="000000" w:themeColor="text1"/>
          <w:sz w:val="24"/>
          <w:szCs w:val="24"/>
          <w:lang w:eastAsia="es-MX"/>
        </w:rPr>
        <w:t>.</w:t>
      </w:r>
    </w:p>
    <w:p w14:paraId="22271A60" w14:textId="77777777" w:rsidR="00DC1F83" w:rsidRPr="00DC1F83" w:rsidRDefault="00B048BA" w:rsidP="00DC1F83">
      <w:pPr>
        <w:pStyle w:val="Ttulo2"/>
        <w:spacing w:after="240"/>
        <w:jc w:val="center"/>
        <w:rPr>
          <w:rFonts w:ascii="ITC Avant Garde" w:hAnsi="ITC Avant Garde"/>
          <w:b/>
          <w:color w:val="000000" w:themeColor="text1"/>
          <w:sz w:val="22"/>
          <w:szCs w:val="22"/>
        </w:rPr>
      </w:pPr>
      <w:r w:rsidRPr="00DC1F83">
        <w:rPr>
          <w:rFonts w:ascii="ITC Avant Garde" w:hAnsi="ITC Avant Garde"/>
          <w:b/>
          <w:color w:val="000000" w:themeColor="text1"/>
          <w:sz w:val="22"/>
          <w:szCs w:val="22"/>
        </w:rPr>
        <w:t>ANTECEDENTES</w:t>
      </w:r>
    </w:p>
    <w:p w14:paraId="29A9D7B2" w14:textId="33D3B625" w:rsidR="00DC1F83" w:rsidRPr="00A5202C" w:rsidRDefault="00A71E5E" w:rsidP="00442913">
      <w:pPr>
        <w:numPr>
          <w:ilvl w:val="0"/>
          <w:numId w:val="4"/>
        </w:numPr>
        <w:spacing w:before="240" w:line="240" w:lineRule="auto"/>
        <w:ind w:left="567" w:hanging="567"/>
        <w:jc w:val="both"/>
        <w:rPr>
          <w:rFonts w:ascii="ITC Avant Garde" w:hAnsi="ITC Avant Garde"/>
          <w:bCs/>
          <w:color w:val="000000"/>
          <w:lang w:eastAsia="es-MX"/>
        </w:rPr>
      </w:pPr>
      <w:r w:rsidRPr="00A5202C">
        <w:rPr>
          <w:rFonts w:ascii="ITC Avant Garde" w:hAnsi="ITC Avant Garde"/>
          <w:b/>
          <w:bCs/>
          <w:color w:val="000000"/>
          <w:lang w:eastAsia="es-MX"/>
        </w:rPr>
        <w:t xml:space="preserve">Otorgamiento </w:t>
      </w:r>
      <w:r w:rsidR="00D76599" w:rsidRPr="00A5202C">
        <w:rPr>
          <w:rFonts w:ascii="ITC Avant Garde" w:hAnsi="ITC Avant Garde"/>
          <w:b/>
          <w:bCs/>
          <w:color w:val="000000"/>
          <w:lang w:eastAsia="es-MX"/>
        </w:rPr>
        <w:t>de la</w:t>
      </w:r>
      <w:r w:rsidRPr="00A5202C">
        <w:rPr>
          <w:rFonts w:ascii="ITC Avant Garde" w:hAnsi="ITC Avant Garde"/>
          <w:b/>
          <w:bCs/>
          <w:color w:val="000000"/>
          <w:lang w:eastAsia="es-MX"/>
        </w:rPr>
        <w:t>s</w:t>
      </w:r>
      <w:r w:rsidR="00D76599" w:rsidRPr="00A5202C">
        <w:rPr>
          <w:rFonts w:ascii="ITC Avant Garde" w:hAnsi="ITC Avant Garde"/>
          <w:b/>
          <w:bCs/>
          <w:color w:val="000000"/>
          <w:lang w:eastAsia="es-MX"/>
        </w:rPr>
        <w:t xml:space="preserve"> Concesi</w:t>
      </w:r>
      <w:r w:rsidRPr="00A5202C">
        <w:rPr>
          <w:rFonts w:ascii="ITC Avant Garde" w:hAnsi="ITC Avant Garde"/>
          <w:b/>
          <w:bCs/>
          <w:color w:val="000000"/>
          <w:lang w:eastAsia="es-MX"/>
        </w:rPr>
        <w:t>ones</w:t>
      </w:r>
      <w:r w:rsidR="00D76599" w:rsidRPr="00A5202C">
        <w:rPr>
          <w:rFonts w:ascii="ITC Avant Garde" w:hAnsi="ITC Avant Garde"/>
          <w:b/>
          <w:bCs/>
          <w:color w:val="000000"/>
          <w:lang w:eastAsia="es-MX"/>
        </w:rPr>
        <w:t>.</w:t>
      </w:r>
      <w:r w:rsidR="00D76599" w:rsidRPr="00A5202C">
        <w:rPr>
          <w:rFonts w:ascii="ITC Avant Garde" w:hAnsi="ITC Avant Garde"/>
          <w:bCs/>
          <w:color w:val="000000"/>
          <w:lang w:eastAsia="es-MX"/>
        </w:rPr>
        <w:t xml:space="preserve"> El </w:t>
      </w:r>
      <w:r w:rsidRPr="00A5202C">
        <w:rPr>
          <w:rFonts w:ascii="ITC Avant Garde" w:hAnsi="ITC Avant Garde"/>
          <w:bCs/>
          <w:color w:val="000000"/>
          <w:lang w:eastAsia="es-MX"/>
        </w:rPr>
        <w:t>27</w:t>
      </w:r>
      <w:r w:rsidR="00D76599" w:rsidRPr="00A5202C">
        <w:rPr>
          <w:rFonts w:ascii="ITC Avant Garde" w:hAnsi="ITC Avant Garde"/>
          <w:bCs/>
          <w:color w:val="000000"/>
          <w:lang w:eastAsia="es-MX"/>
        </w:rPr>
        <w:t xml:space="preserve"> de </w:t>
      </w:r>
      <w:r w:rsidRPr="00A5202C">
        <w:rPr>
          <w:rFonts w:ascii="ITC Avant Garde" w:hAnsi="ITC Avant Garde"/>
          <w:bCs/>
          <w:color w:val="000000"/>
          <w:lang w:eastAsia="es-MX"/>
        </w:rPr>
        <w:t>septiembre</w:t>
      </w:r>
      <w:r w:rsidR="00D76599" w:rsidRPr="00A5202C">
        <w:rPr>
          <w:rFonts w:ascii="ITC Avant Garde" w:hAnsi="ITC Avant Garde"/>
          <w:bCs/>
          <w:color w:val="000000"/>
          <w:lang w:eastAsia="es-MX"/>
        </w:rPr>
        <w:t xml:space="preserve"> de </w:t>
      </w:r>
      <w:r w:rsidRPr="00A5202C">
        <w:rPr>
          <w:rFonts w:ascii="ITC Avant Garde" w:hAnsi="ITC Avant Garde"/>
          <w:bCs/>
          <w:color w:val="000000"/>
          <w:lang w:eastAsia="es-MX"/>
        </w:rPr>
        <w:t>1999</w:t>
      </w:r>
      <w:r w:rsidR="00D76599" w:rsidRPr="00A5202C">
        <w:rPr>
          <w:rFonts w:ascii="ITC Avant Garde" w:hAnsi="ITC Avant Garde"/>
          <w:bCs/>
          <w:color w:val="000000"/>
          <w:lang w:eastAsia="es-MX"/>
        </w:rPr>
        <w:t xml:space="preserve">, la Secretaría de Comunicaciones y Transportes (la “Secretaría”) otorgó en favor de </w:t>
      </w:r>
      <w:r w:rsidRPr="00A5202C">
        <w:rPr>
          <w:rFonts w:ascii="ITC Avant Garde" w:hAnsi="ITC Avant Garde"/>
          <w:bCs/>
          <w:color w:val="000000"/>
          <w:lang w:eastAsia="es-MX"/>
        </w:rPr>
        <w:t>Sistemas Profesionales de Comunicación</w:t>
      </w:r>
      <w:r w:rsidR="00D76599" w:rsidRPr="00A5202C">
        <w:rPr>
          <w:rFonts w:ascii="ITC Avant Garde" w:hAnsi="ITC Avant Garde"/>
          <w:bCs/>
          <w:color w:val="000000"/>
          <w:lang w:eastAsia="es-MX"/>
        </w:rPr>
        <w:t>, S.A. de C.V.</w:t>
      </w:r>
      <w:r w:rsidRPr="00A5202C">
        <w:rPr>
          <w:rFonts w:ascii="ITC Avant Garde" w:hAnsi="ITC Avant Garde"/>
          <w:bCs/>
          <w:color w:val="000000"/>
          <w:lang w:eastAsia="es-MX"/>
        </w:rPr>
        <w:t xml:space="preserve">, </w:t>
      </w:r>
      <w:r w:rsidR="00C142E7" w:rsidRPr="00A5202C">
        <w:rPr>
          <w:rFonts w:ascii="ITC Avant Garde" w:hAnsi="ITC Avant Garde"/>
          <w:bCs/>
          <w:color w:val="000000"/>
          <w:lang w:eastAsia="es-MX"/>
        </w:rPr>
        <w:t xml:space="preserve">9 (nueve) </w:t>
      </w:r>
      <w:r w:rsidR="00D76599" w:rsidRPr="00A5202C">
        <w:rPr>
          <w:rFonts w:ascii="ITC Avant Garde" w:hAnsi="ITC Avant Garde"/>
          <w:bCs/>
          <w:color w:val="000000"/>
          <w:lang w:eastAsia="es-MX"/>
        </w:rPr>
        <w:t>concesi</w:t>
      </w:r>
      <w:r w:rsidR="00C142E7" w:rsidRPr="00A5202C">
        <w:rPr>
          <w:rFonts w:ascii="ITC Avant Garde" w:hAnsi="ITC Avant Garde"/>
          <w:bCs/>
          <w:color w:val="000000"/>
          <w:lang w:eastAsia="es-MX"/>
        </w:rPr>
        <w:t>ones</w:t>
      </w:r>
      <w:r w:rsidR="00D76599" w:rsidRPr="00A5202C">
        <w:rPr>
          <w:rFonts w:ascii="ITC Avant Garde" w:hAnsi="ITC Avant Garde"/>
          <w:bCs/>
          <w:color w:val="000000"/>
          <w:lang w:eastAsia="es-MX"/>
        </w:rPr>
        <w:t xml:space="preserve"> para </w:t>
      </w:r>
      <w:r w:rsidR="00C142E7" w:rsidRPr="00A5202C">
        <w:rPr>
          <w:rFonts w:ascii="ITC Avant Garde" w:hAnsi="ITC Avant Garde"/>
          <w:bCs/>
          <w:color w:val="000000"/>
          <w:lang w:eastAsia="es-MX"/>
        </w:rPr>
        <w:t>usar, aprovechar y explotar una banda de frecuencias del espectro radioeléctrico para uso determinado en los Estados Unidos Mexicanos,</w:t>
      </w:r>
      <w:r w:rsidR="008F6EDD" w:rsidRPr="00A5202C">
        <w:rPr>
          <w:rFonts w:ascii="ITC Avant Garde" w:hAnsi="ITC Avant Garde"/>
          <w:bCs/>
          <w:color w:val="000000"/>
          <w:lang w:eastAsia="es-MX"/>
        </w:rPr>
        <w:t xml:space="preserve"> con una vigencia de 20 (veinte) años cada una,</w:t>
      </w:r>
      <w:r w:rsidR="00C142E7" w:rsidRPr="00A5202C">
        <w:rPr>
          <w:rFonts w:ascii="ITC Avant Garde" w:hAnsi="ITC Avant Garde"/>
          <w:bCs/>
          <w:color w:val="000000"/>
          <w:lang w:eastAsia="es-MX"/>
        </w:rPr>
        <w:t xml:space="preserve"> </w:t>
      </w:r>
      <w:r w:rsidR="00546C80" w:rsidRPr="00A5202C">
        <w:rPr>
          <w:rFonts w:ascii="ITC Avant Garde" w:hAnsi="ITC Avant Garde"/>
          <w:bCs/>
          <w:color w:val="000000"/>
          <w:lang w:eastAsia="es-MX"/>
        </w:rPr>
        <w:t xml:space="preserve">utilizando </w:t>
      </w:r>
      <w:r w:rsidR="00F45EF8" w:rsidRPr="00A5202C">
        <w:rPr>
          <w:rFonts w:ascii="ITC Avant Garde" w:hAnsi="ITC Avant Garde"/>
          <w:bCs/>
          <w:color w:val="000000"/>
          <w:lang w:eastAsia="es-MX"/>
        </w:rPr>
        <w:t>la</w:t>
      </w:r>
      <w:r w:rsidR="00546C80" w:rsidRPr="00A5202C">
        <w:rPr>
          <w:rFonts w:ascii="ITC Avant Garde" w:hAnsi="ITC Avant Garde"/>
          <w:bCs/>
          <w:color w:val="000000"/>
          <w:lang w:eastAsia="es-MX"/>
        </w:rPr>
        <w:t>s</w:t>
      </w:r>
      <w:r w:rsidR="00F45EF8" w:rsidRPr="00A5202C">
        <w:rPr>
          <w:rFonts w:ascii="ITC Avant Garde" w:hAnsi="ITC Avant Garde"/>
          <w:bCs/>
          <w:color w:val="000000"/>
          <w:lang w:eastAsia="es-MX"/>
        </w:rPr>
        <w:t xml:space="preserve"> banda</w:t>
      </w:r>
      <w:r w:rsidR="00546C80" w:rsidRPr="00A5202C">
        <w:rPr>
          <w:rFonts w:ascii="ITC Avant Garde" w:hAnsi="ITC Avant Garde"/>
          <w:bCs/>
          <w:color w:val="000000"/>
          <w:lang w:eastAsia="es-MX"/>
        </w:rPr>
        <w:t>s</w:t>
      </w:r>
      <w:r w:rsidR="00F45EF8" w:rsidRPr="00A5202C">
        <w:rPr>
          <w:rFonts w:ascii="ITC Avant Garde" w:hAnsi="ITC Avant Garde"/>
          <w:bCs/>
          <w:color w:val="000000"/>
          <w:lang w:eastAsia="es-MX"/>
        </w:rPr>
        <w:t xml:space="preserve"> de frecuencias 1850-1865 MHz para el segmento inferior y 1930-1945 MHz para el segmento superior, con un ancho de banda total de 30 MHz cada una, dentro del área de cobertura comprendida </w:t>
      </w:r>
      <w:r w:rsidR="00C142E7" w:rsidRPr="00A5202C">
        <w:rPr>
          <w:rFonts w:ascii="ITC Avant Garde" w:hAnsi="ITC Avant Garde"/>
          <w:bCs/>
          <w:color w:val="000000"/>
          <w:lang w:eastAsia="es-MX"/>
        </w:rPr>
        <w:t>en las siguientes Regiones</w:t>
      </w:r>
      <w:r w:rsidR="002F25C6" w:rsidRPr="00A5202C">
        <w:rPr>
          <w:rFonts w:ascii="ITC Avant Garde" w:hAnsi="ITC Avant Garde"/>
          <w:bCs/>
          <w:color w:val="000000"/>
          <w:lang w:eastAsia="es-MX"/>
        </w:rPr>
        <w:t xml:space="preserve"> PCS</w:t>
      </w:r>
      <w:r w:rsidR="006913C2" w:rsidRPr="00A5202C">
        <w:rPr>
          <w:rFonts w:ascii="ITC Avant Garde" w:hAnsi="ITC Avant Garde"/>
          <w:bCs/>
          <w:color w:val="000000"/>
          <w:lang w:eastAsia="es-MX"/>
        </w:rPr>
        <w:t>, respectivamente</w:t>
      </w:r>
      <w:r w:rsidR="00C142E7" w:rsidRPr="00A5202C">
        <w:rPr>
          <w:rFonts w:ascii="ITC Avant Garde" w:hAnsi="ITC Avant Garde"/>
          <w:bCs/>
          <w:color w:val="000000"/>
          <w:lang w:eastAsia="es-MX"/>
        </w:rPr>
        <w:t>:</w:t>
      </w:r>
    </w:p>
    <w:p w14:paraId="56FC3FFC" w14:textId="77777777" w:rsidR="00DC1F83" w:rsidRPr="00DC1F83" w:rsidRDefault="00C142E7" w:rsidP="00DC1F83">
      <w:pPr>
        <w:pStyle w:val="Prrafodelista"/>
        <w:numPr>
          <w:ilvl w:val="0"/>
          <w:numId w:val="26"/>
        </w:numPr>
        <w:spacing w:before="240" w:after="200"/>
        <w:jc w:val="both"/>
        <w:rPr>
          <w:rFonts w:ascii="ITC Avant Garde" w:hAnsi="ITC Avant Garde"/>
          <w:bCs/>
          <w:color w:val="000000"/>
          <w:sz w:val="22"/>
          <w:szCs w:val="22"/>
          <w:lang w:eastAsia="es-MX"/>
        </w:rPr>
      </w:pPr>
      <w:r w:rsidRPr="00DC1F83">
        <w:rPr>
          <w:rFonts w:ascii="ITC Avant Garde" w:hAnsi="ITC Avant Garde"/>
          <w:bCs/>
          <w:color w:val="000000"/>
          <w:sz w:val="22"/>
          <w:szCs w:val="22"/>
          <w:lang w:eastAsia="es-MX"/>
        </w:rPr>
        <w:t>Región 1</w:t>
      </w:r>
      <w:r w:rsidR="002F25C6" w:rsidRPr="00DC1F83">
        <w:rPr>
          <w:rFonts w:ascii="ITC Avant Garde" w:hAnsi="ITC Avant Garde"/>
          <w:bCs/>
          <w:color w:val="000000"/>
          <w:sz w:val="22"/>
          <w:szCs w:val="22"/>
          <w:lang w:eastAsia="es-MX"/>
        </w:rPr>
        <w:t xml:space="preserve"> PCS</w:t>
      </w:r>
      <w:r w:rsidRPr="00DC1F83">
        <w:rPr>
          <w:rFonts w:ascii="ITC Avant Garde" w:hAnsi="ITC Avant Garde"/>
          <w:bCs/>
          <w:color w:val="000000"/>
          <w:sz w:val="22"/>
          <w:szCs w:val="22"/>
          <w:lang w:eastAsia="es-MX"/>
        </w:rPr>
        <w:t xml:space="preserve">, que comprende los </w:t>
      </w:r>
      <w:r w:rsidR="00546C80" w:rsidRPr="00DC1F83">
        <w:rPr>
          <w:rFonts w:ascii="ITC Avant Garde" w:hAnsi="ITC Avant Garde"/>
          <w:bCs/>
          <w:color w:val="000000"/>
          <w:sz w:val="22"/>
          <w:szCs w:val="22"/>
          <w:lang w:eastAsia="es-MX"/>
        </w:rPr>
        <w:t>E</w:t>
      </w:r>
      <w:r w:rsidRPr="00DC1F83">
        <w:rPr>
          <w:rFonts w:ascii="ITC Avant Garde" w:hAnsi="ITC Avant Garde"/>
          <w:bCs/>
          <w:color w:val="000000"/>
          <w:sz w:val="22"/>
          <w:szCs w:val="22"/>
          <w:lang w:eastAsia="es-MX"/>
        </w:rPr>
        <w:t xml:space="preserve">stados de Baja California y Baja California Sur y el </w:t>
      </w:r>
      <w:r w:rsidR="00546C80" w:rsidRPr="00DC1F83">
        <w:rPr>
          <w:rFonts w:ascii="ITC Avant Garde" w:hAnsi="ITC Avant Garde"/>
          <w:bCs/>
          <w:color w:val="000000"/>
          <w:sz w:val="22"/>
          <w:szCs w:val="22"/>
          <w:lang w:eastAsia="es-MX"/>
        </w:rPr>
        <w:t>M</w:t>
      </w:r>
      <w:r w:rsidRPr="00DC1F83">
        <w:rPr>
          <w:rFonts w:ascii="ITC Avant Garde" w:hAnsi="ITC Avant Garde"/>
          <w:bCs/>
          <w:color w:val="000000"/>
          <w:sz w:val="22"/>
          <w:szCs w:val="22"/>
          <w:lang w:eastAsia="es-MX"/>
        </w:rPr>
        <w:t>unicipio de San Luis Río Colorado, Sonora;</w:t>
      </w:r>
    </w:p>
    <w:p w14:paraId="0AF4FE42" w14:textId="77777777" w:rsidR="00DC1F83" w:rsidRPr="00DC1F83" w:rsidRDefault="00C142E7" w:rsidP="00DC1F83">
      <w:pPr>
        <w:pStyle w:val="Prrafodelista"/>
        <w:numPr>
          <w:ilvl w:val="0"/>
          <w:numId w:val="26"/>
        </w:numPr>
        <w:spacing w:before="240" w:after="200"/>
        <w:jc w:val="both"/>
        <w:rPr>
          <w:rFonts w:ascii="ITC Avant Garde" w:hAnsi="ITC Avant Garde"/>
          <w:bCs/>
          <w:color w:val="000000"/>
          <w:sz w:val="22"/>
          <w:szCs w:val="22"/>
          <w:lang w:eastAsia="es-MX"/>
        </w:rPr>
      </w:pPr>
      <w:r w:rsidRPr="00DC1F83">
        <w:rPr>
          <w:rFonts w:ascii="ITC Avant Garde" w:hAnsi="ITC Avant Garde"/>
          <w:bCs/>
          <w:color w:val="000000"/>
          <w:sz w:val="22"/>
          <w:szCs w:val="22"/>
          <w:lang w:eastAsia="es-MX"/>
        </w:rPr>
        <w:t>Región 2</w:t>
      </w:r>
      <w:r w:rsidR="002F25C6" w:rsidRPr="00DC1F83">
        <w:rPr>
          <w:rFonts w:ascii="ITC Avant Garde" w:hAnsi="ITC Avant Garde"/>
          <w:bCs/>
          <w:color w:val="000000"/>
          <w:sz w:val="22"/>
          <w:szCs w:val="22"/>
          <w:lang w:eastAsia="es-MX"/>
        </w:rPr>
        <w:t xml:space="preserve"> PCS</w:t>
      </w:r>
      <w:r w:rsidRPr="00DC1F83">
        <w:rPr>
          <w:rFonts w:ascii="ITC Avant Garde" w:hAnsi="ITC Avant Garde"/>
          <w:bCs/>
          <w:color w:val="000000"/>
          <w:sz w:val="22"/>
          <w:szCs w:val="22"/>
          <w:lang w:eastAsia="es-MX"/>
        </w:rPr>
        <w:t xml:space="preserve">, que comprende los </w:t>
      </w:r>
      <w:r w:rsidR="00ED4E10" w:rsidRPr="00DC1F83">
        <w:rPr>
          <w:rFonts w:ascii="ITC Avant Garde" w:hAnsi="ITC Avant Garde"/>
          <w:bCs/>
          <w:color w:val="000000"/>
          <w:sz w:val="22"/>
          <w:szCs w:val="22"/>
          <w:lang w:eastAsia="es-MX"/>
        </w:rPr>
        <w:t>E</w:t>
      </w:r>
      <w:r w:rsidRPr="00DC1F83">
        <w:rPr>
          <w:rFonts w:ascii="ITC Avant Garde" w:hAnsi="ITC Avant Garde"/>
          <w:bCs/>
          <w:color w:val="000000"/>
          <w:sz w:val="22"/>
          <w:szCs w:val="22"/>
          <w:lang w:eastAsia="es-MX"/>
        </w:rPr>
        <w:t xml:space="preserve">stados de Sinaloa y Sonora, excluyendo el </w:t>
      </w:r>
      <w:r w:rsidR="00ED4E10" w:rsidRPr="00DC1F83">
        <w:rPr>
          <w:rFonts w:ascii="ITC Avant Garde" w:hAnsi="ITC Avant Garde"/>
          <w:bCs/>
          <w:color w:val="000000"/>
          <w:sz w:val="22"/>
          <w:szCs w:val="22"/>
          <w:lang w:eastAsia="es-MX"/>
        </w:rPr>
        <w:t>M</w:t>
      </w:r>
      <w:r w:rsidRPr="00DC1F83">
        <w:rPr>
          <w:rFonts w:ascii="ITC Avant Garde" w:hAnsi="ITC Avant Garde"/>
          <w:bCs/>
          <w:color w:val="000000"/>
          <w:sz w:val="22"/>
          <w:szCs w:val="22"/>
          <w:lang w:eastAsia="es-MX"/>
        </w:rPr>
        <w:t>unicipio de San Luis Río Colorado, Sonora;</w:t>
      </w:r>
    </w:p>
    <w:p w14:paraId="4665566B" w14:textId="77777777" w:rsidR="00DC1F83" w:rsidRPr="00DC1F83" w:rsidRDefault="00C142E7" w:rsidP="00DC1F83">
      <w:pPr>
        <w:pStyle w:val="Prrafodelista"/>
        <w:numPr>
          <w:ilvl w:val="0"/>
          <w:numId w:val="26"/>
        </w:numPr>
        <w:spacing w:before="240" w:after="200"/>
        <w:jc w:val="both"/>
        <w:rPr>
          <w:rFonts w:ascii="ITC Avant Garde" w:hAnsi="ITC Avant Garde"/>
          <w:bCs/>
          <w:color w:val="000000"/>
          <w:sz w:val="22"/>
          <w:szCs w:val="22"/>
          <w:lang w:eastAsia="es-MX"/>
        </w:rPr>
      </w:pPr>
      <w:r w:rsidRPr="00DC1F83">
        <w:rPr>
          <w:rFonts w:ascii="ITC Avant Garde" w:hAnsi="ITC Avant Garde"/>
          <w:bCs/>
          <w:color w:val="000000"/>
          <w:sz w:val="22"/>
          <w:szCs w:val="22"/>
          <w:lang w:eastAsia="es-MX"/>
        </w:rPr>
        <w:t>Región 3</w:t>
      </w:r>
      <w:r w:rsidR="002F25C6" w:rsidRPr="00DC1F83">
        <w:rPr>
          <w:rFonts w:ascii="ITC Avant Garde" w:hAnsi="ITC Avant Garde"/>
          <w:bCs/>
          <w:color w:val="000000"/>
          <w:sz w:val="22"/>
          <w:szCs w:val="22"/>
          <w:lang w:eastAsia="es-MX"/>
        </w:rPr>
        <w:t xml:space="preserve"> PCS</w:t>
      </w:r>
      <w:r w:rsidRPr="00DC1F83">
        <w:rPr>
          <w:rFonts w:ascii="ITC Avant Garde" w:hAnsi="ITC Avant Garde"/>
          <w:bCs/>
          <w:color w:val="000000"/>
          <w:sz w:val="22"/>
          <w:szCs w:val="22"/>
          <w:lang w:eastAsia="es-MX"/>
        </w:rPr>
        <w:t xml:space="preserve">, que comprende los </w:t>
      </w:r>
      <w:r w:rsidR="00ED4E10" w:rsidRPr="00DC1F83">
        <w:rPr>
          <w:rFonts w:ascii="ITC Avant Garde" w:hAnsi="ITC Avant Garde"/>
          <w:bCs/>
          <w:color w:val="000000"/>
          <w:sz w:val="22"/>
          <w:szCs w:val="22"/>
          <w:lang w:eastAsia="es-MX"/>
        </w:rPr>
        <w:t>E</w:t>
      </w:r>
      <w:r w:rsidRPr="00DC1F83">
        <w:rPr>
          <w:rFonts w:ascii="ITC Avant Garde" w:hAnsi="ITC Avant Garde"/>
          <w:bCs/>
          <w:color w:val="000000"/>
          <w:sz w:val="22"/>
          <w:szCs w:val="22"/>
          <w:lang w:eastAsia="es-MX"/>
        </w:rPr>
        <w:t xml:space="preserve">stados de Chihuahua y Durango, y los </w:t>
      </w:r>
      <w:r w:rsidR="00CE1D4E" w:rsidRPr="00DC1F83">
        <w:rPr>
          <w:rFonts w:ascii="ITC Avant Garde" w:hAnsi="ITC Avant Garde"/>
          <w:bCs/>
          <w:color w:val="000000"/>
          <w:sz w:val="22"/>
          <w:szCs w:val="22"/>
          <w:lang w:eastAsia="es-MX"/>
        </w:rPr>
        <w:t xml:space="preserve">siguientes </w:t>
      </w:r>
      <w:r w:rsidR="00ED4E10" w:rsidRPr="00DC1F83">
        <w:rPr>
          <w:rFonts w:ascii="ITC Avant Garde" w:hAnsi="ITC Avant Garde"/>
          <w:bCs/>
          <w:color w:val="000000"/>
          <w:sz w:val="22"/>
          <w:szCs w:val="22"/>
          <w:lang w:eastAsia="es-MX"/>
        </w:rPr>
        <w:t>M</w:t>
      </w:r>
      <w:r w:rsidRPr="00DC1F83">
        <w:rPr>
          <w:rFonts w:ascii="ITC Avant Garde" w:hAnsi="ITC Avant Garde"/>
          <w:bCs/>
          <w:color w:val="000000"/>
          <w:sz w:val="22"/>
          <w:szCs w:val="22"/>
          <w:lang w:eastAsia="es-MX"/>
        </w:rPr>
        <w:t xml:space="preserve">unicipios de </w:t>
      </w:r>
      <w:r w:rsidR="00CE1D4E" w:rsidRPr="00DC1F83">
        <w:rPr>
          <w:rFonts w:ascii="ITC Avant Garde" w:hAnsi="ITC Avant Garde"/>
          <w:bCs/>
          <w:color w:val="000000"/>
          <w:sz w:val="22"/>
          <w:szCs w:val="22"/>
          <w:lang w:eastAsia="es-MX"/>
        </w:rPr>
        <w:t xml:space="preserve">Coahuila: </w:t>
      </w:r>
      <w:r w:rsidRPr="00DC1F83">
        <w:rPr>
          <w:rFonts w:ascii="ITC Avant Garde" w:hAnsi="ITC Avant Garde"/>
          <w:bCs/>
          <w:color w:val="000000"/>
          <w:sz w:val="22"/>
          <w:szCs w:val="22"/>
          <w:lang w:eastAsia="es-MX"/>
        </w:rPr>
        <w:t>Torreón, Francisco I. Madero, Matamoros, San Pedro y Viesca</w:t>
      </w:r>
      <w:r w:rsidR="00B67B52" w:rsidRPr="00DC1F83">
        <w:rPr>
          <w:rFonts w:ascii="ITC Avant Garde" w:hAnsi="ITC Avant Garde"/>
          <w:bCs/>
          <w:color w:val="000000"/>
          <w:sz w:val="22"/>
          <w:szCs w:val="22"/>
          <w:lang w:eastAsia="es-MX"/>
        </w:rPr>
        <w:t>;</w:t>
      </w:r>
    </w:p>
    <w:p w14:paraId="7FBC26B7" w14:textId="77777777" w:rsidR="00DC1F83" w:rsidRPr="00DC1F83" w:rsidRDefault="00B67B52" w:rsidP="00DC1F83">
      <w:pPr>
        <w:pStyle w:val="Prrafodelista"/>
        <w:numPr>
          <w:ilvl w:val="0"/>
          <w:numId w:val="26"/>
        </w:numPr>
        <w:spacing w:before="240" w:after="200"/>
        <w:jc w:val="both"/>
        <w:rPr>
          <w:rFonts w:ascii="ITC Avant Garde" w:hAnsi="ITC Avant Garde"/>
          <w:bCs/>
          <w:color w:val="000000"/>
          <w:sz w:val="22"/>
          <w:szCs w:val="22"/>
          <w:lang w:eastAsia="es-MX"/>
        </w:rPr>
      </w:pPr>
      <w:r w:rsidRPr="00DC1F83">
        <w:rPr>
          <w:rFonts w:ascii="ITC Avant Garde" w:hAnsi="ITC Avant Garde"/>
          <w:bCs/>
          <w:color w:val="000000"/>
          <w:sz w:val="22"/>
          <w:szCs w:val="22"/>
          <w:lang w:eastAsia="es-MX"/>
        </w:rPr>
        <w:t>Región 4</w:t>
      </w:r>
      <w:r w:rsidR="002F25C6" w:rsidRPr="00DC1F83">
        <w:rPr>
          <w:rFonts w:ascii="ITC Avant Garde" w:hAnsi="ITC Avant Garde"/>
          <w:bCs/>
          <w:color w:val="000000"/>
          <w:sz w:val="22"/>
          <w:szCs w:val="22"/>
          <w:lang w:eastAsia="es-MX"/>
        </w:rPr>
        <w:t xml:space="preserve"> PCS</w:t>
      </w:r>
      <w:r w:rsidRPr="00DC1F83">
        <w:rPr>
          <w:rFonts w:ascii="ITC Avant Garde" w:hAnsi="ITC Avant Garde"/>
          <w:bCs/>
          <w:color w:val="000000"/>
          <w:sz w:val="22"/>
          <w:szCs w:val="22"/>
          <w:lang w:eastAsia="es-MX"/>
        </w:rPr>
        <w:t xml:space="preserve">, que comprende los </w:t>
      </w:r>
      <w:r w:rsidR="00ED4E10" w:rsidRPr="00DC1F83">
        <w:rPr>
          <w:rFonts w:ascii="ITC Avant Garde" w:hAnsi="ITC Avant Garde"/>
          <w:bCs/>
          <w:color w:val="000000"/>
          <w:sz w:val="22"/>
          <w:szCs w:val="22"/>
          <w:lang w:eastAsia="es-MX"/>
        </w:rPr>
        <w:t>E</w:t>
      </w:r>
      <w:r w:rsidRPr="00DC1F83">
        <w:rPr>
          <w:rFonts w:ascii="ITC Avant Garde" w:hAnsi="ITC Avant Garde"/>
          <w:bCs/>
          <w:color w:val="000000"/>
          <w:sz w:val="22"/>
          <w:szCs w:val="22"/>
          <w:lang w:eastAsia="es-MX"/>
        </w:rPr>
        <w:t xml:space="preserve">stados de Nuevo León, Tamaulipas y Coahuila, excluyendo los </w:t>
      </w:r>
      <w:r w:rsidR="00ED4E10" w:rsidRPr="00DC1F83">
        <w:rPr>
          <w:rFonts w:ascii="ITC Avant Garde" w:hAnsi="ITC Avant Garde"/>
          <w:bCs/>
          <w:color w:val="000000"/>
          <w:sz w:val="22"/>
          <w:szCs w:val="22"/>
          <w:lang w:eastAsia="es-MX"/>
        </w:rPr>
        <w:t>M</w:t>
      </w:r>
      <w:r w:rsidRPr="00DC1F83">
        <w:rPr>
          <w:rFonts w:ascii="ITC Avant Garde" w:hAnsi="ITC Avant Garde"/>
          <w:bCs/>
          <w:color w:val="000000"/>
          <w:sz w:val="22"/>
          <w:szCs w:val="22"/>
          <w:lang w:eastAsia="es-MX"/>
        </w:rPr>
        <w:t>unicipios de Torreón, Francisco I. Madero, Matamoros, San Pedro y Viesca;</w:t>
      </w:r>
    </w:p>
    <w:p w14:paraId="048C6A00" w14:textId="77777777" w:rsidR="00DC1F83" w:rsidRPr="00DC1F83" w:rsidRDefault="00B67B52" w:rsidP="00DC1F83">
      <w:pPr>
        <w:pStyle w:val="Prrafodelista"/>
        <w:numPr>
          <w:ilvl w:val="0"/>
          <w:numId w:val="26"/>
        </w:numPr>
        <w:spacing w:before="240" w:after="200"/>
        <w:jc w:val="both"/>
        <w:rPr>
          <w:rFonts w:ascii="ITC Avant Garde" w:hAnsi="ITC Avant Garde"/>
          <w:bCs/>
          <w:color w:val="000000"/>
          <w:sz w:val="22"/>
          <w:szCs w:val="22"/>
          <w:lang w:eastAsia="es-MX"/>
        </w:rPr>
      </w:pPr>
      <w:r w:rsidRPr="00DC1F83">
        <w:rPr>
          <w:rFonts w:ascii="ITC Avant Garde" w:hAnsi="ITC Avant Garde"/>
          <w:bCs/>
          <w:color w:val="000000"/>
          <w:sz w:val="22"/>
          <w:szCs w:val="22"/>
          <w:lang w:eastAsia="es-MX"/>
        </w:rPr>
        <w:t>Región 5</w:t>
      </w:r>
      <w:r w:rsidR="002F25C6" w:rsidRPr="00DC1F83">
        <w:rPr>
          <w:rFonts w:ascii="ITC Avant Garde" w:hAnsi="ITC Avant Garde"/>
          <w:bCs/>
          <w:color w:val="000000"/>
          <w:sz w:val="22"/>
          <w:szCs w:val="22"/>
          <w:lang w:eastAsia="es-MX"/>
        </w:rPr>
        <w:t xml:space="preserve"> PCS</w:t>
      </w:r>
      <w:r w:rsidRPr="00DC1F83">
        <w:rPr>
          <w:rFonts w:ascii="ITC Avant Garde" w:hAnsi="ITC Avant Garde"/>
          <w:bCs/>
          <w:color w:val="000000"/>
          <w:sz w:val="22"/>
          <w:szCs w:val="22"/>
          <w:lang w:eastAsia="es-MX"/>
        </w:rPr>
        <w:t xml:space="preserve">, que comprende los </w:t>
      </w:r>
      <w:r w:rsidR="00ED4E10" w:rsidRPr="00DC1F83">
        <w:rPr>
          <w:rFonts w:ascii="ITC Avant Garde" w:hAnsi="ITC Avant Garde"/>
          <w:bCs/>
          <w:color w:val="000000"/>
          <w:sz w:val="22"/>
          <w:szCs w:val="22"/>
          <w:lang w:eastAsia="es-MX"/>
        </w:rPr>
        <w:t>E</w:t>
      </w:r>
      <w:r w:rsidRPr="00DC1F83">
        <w:rPr>
          <w:rFonts w:ascii="ITC Avant Garde" w:hAnsi="ITC Avant Garde"/>
          <w:bCs/>
          <w:color w:val="000000"/>
          <w:sz w:val="22"/>
          <w:szCs w:val="22"/>
          <w:lang w:eastAsia="es-MX"/>
        </w:rPr>
        <w:t xml:space="preserve">stados de </w:t>
      </w:r>
      <w:r w:rsidR="00342442" w:rsidRPr="00DC1F83">
        <w:rPr>
          <w:rFonts w:ascii="ITC Avant Garde" w:hAnsi="ITC Avant Garde"/>
          <w:bCs/>
          <w:color w:val="000000"/>
          <w:sz w:val="22"/>
          <w:szCs w:val="22"/>
          <w:lang w:eastAsia="es-MX"/>
        </w:rPr>
        <w:t>Campeche, Chiapas, Quintana Roo, Tabasco y Yucatán;</w:t>
      </w:r>
    </w:p>
    <w:p w14:paraId="2214AEE9" w14:textId="77777777" w:rsidR="00DC1F83" w:rsidRPr="00DC1F83" w:rsidRDefault="004C39E3" w:rsidP="00DC1F83">
      <w:pPr>
        <w:pStyle w:val="Prrafodelista"/>
        <w:numPr>
          <w:ilvl w:val="0"/>
          <w:numId w:val="26"/>
        </w:numPr>
        <w:spacing w:before="240" w:after="200"/>
        <w:jc w:val="both"/>
        <w:rPr>
          <w:rFonts w:ascii="ITC Avant Garde" w:hAnsi="ITC Avant Garde"/>
          <w:bCs/>
          <w:color w:val="000000"/>
          <w:sz w:val="22"/>
          <w:szCs w:val="22"/>
          <w:lang w:eastAsia="es-MX"/>
        </w:rPr>
      </w:pPr>
      <w:r w:rsidRPr="00DC1F83">
        <w:rPr>
          <w:rFonts w:ascii="ITC Avant Garde" w:hAnsi="ITC Avant Garde"/>
          <w:bCs/>
          <w:color w:val="000000"/>
          <w:sz w:val="22"/>
          <w:szCs w:val="22"/>
          <w:lang w:eastAsia="es-MX"/>
        </w:rPr>
        <w:t>Región 6</w:t>
      </w:r>
      <w:r w:rsidR="002F25C6" w:rsidRPr="00DC1F83">
        <w:rPr>
          <w:rFonts w:ascii="ITC Avant Garde" w:hAnsi="ITC Avant Garde"/>
          <w:bCs/>
          <w:color w:val="000000"/>
          <w:sz w:val="22"/>
          <w:szCs w:val="22"/>
          <w:lang w:eastAsia="es-MX"/>
        </w:rPr>
        <w:t xml:space="preserve"> PCS</w:t>
      </w:r>
      <w:r w:rsidRPr="00DC1F83">
        <w:rPr>
          <w:rFonts w:ascii="ITC Avant Garde" w:hAnsi="ITC Avant Garde"/>
          <w:bCs/>
          <w:color w:val="000000"/>
          <w:sz w:val="22"/>
          <w:szCs w:val="22"/>
          <w:lang w:eastAsia="es-MX"/>
        </w:rPr>
        <w:t xml:space="preserve">, que comprende los </w:t>
      </w:r>
      <w:r w:rsidR="00ED4E10" w:rsidRPr="00DC1F83">
        <w:rPr>
          <w:rFonts w:ascii="ITC Avant Garde" w:hAnsi="ITC Avant Garde"/>
          <w:bCs/>
          <w:color w:val="000000"/>
          <w:sz w:val="22"/>
          <w:szCs w:val="22"/>
          <w:lang w:eastAsia="es-MX"/>
        </w:rPr>
        <w:t>E</w:t>
      </w:r>
      <w:r w:rsidRPr="00DC1F83">
        <w:rPr>
          <w:rFonts w:ascii="ITC Avant Garde" w:hAnsi="ITC Avant Garde"/>
          <w:bCs/>
          <w:color w:val="000000"/>
          <w:sz w:val="22"/>
          <w:szCs w:val="22"/>
          <w:lang w:eastAsia="es-MX"/>
        </w:rPr>
        <w:t xml:space="preserve">stados de Colima, Michoacán, Nayarit y Jalisco, excluyendo los siguientes </w:t>
      </w:r>
      <w:r w:rsidR="00ED4E10" w:rsidRPr="00DC1F83">
        <w:rPr>
          <w:rFonts w:ascii="ITC Avant Garde" w:hAnsi="ITC Avant Garde"/>
          <w:bCs/>
          <w:color w:val="000000"/>
          <w:sz w:val="22"/>
          <w:szCs w:val="22"/>
          <w:lang w:eastAsia="es-MX"/>
        </w:rPr>
        <w:t>M</w:t>
      </w:r>
      <w:r w:rsidRPr="00DC1F83">
        <w:rPr>
          <w:rFonts w:ascii="ITC Avant Garde" w:hAnsi="ITC Avant Garde"/>
          <w:bCs/>
          <w:color w:val="000000"/>
          <w:sz w:val="22"/>
          <w:szCs w:val="22"/>
          <w:lang w:eastAsia="es-MX"/>
        </w:rPr>
        <w:t xml:space="preserve">unicipios de Jalisco: </w:t>
      </w:r>
      <w:proofErr w:type="spellStart"/>
      <w:r w:rsidRPr="00DC1F83">
        <w:rPr>
          <w:rFonts w:ascii="ITC Avant Garde" w:hAnsi="ITC Avant Garde"/>
          <w:bCs/>
          <w:color w:val="000000"/>
          <w:sz w:val="22"/>
          <w:szCs w:val="22"/>
          <w:lang w:eastAsia="es-MX"/>
        </w:rPr>
        <w:t>Huejúcar</w:t>
      </w:r>
      <w:proofErr w:type="spellEnd"/>
      <w:r w:rsidRPr="00DC1F83">
        <w:rPr>
          <w:rFonts w:ascii="ITC Avant Garde" w:hAnsi="ITC Avant Garde"/>
          <w:bCs/>
          <w:color w:val="000000"/>
          <w:sz w:val="22"/>
          <w:szCs w:val="22"/>
          <w:lang w:eastAsia="es-MX"/>
        </w:rPr>
        <w:t xml:space="preserve">, Santa María de los </w:t>
      </w:r>
      <w:r w:rsidR="00ED4E10" w:rsidRPr="00DC1F83">
        <w:rPr>
          <w:rFonts w:ascii="ITC Avant Garde" w:hAnsi="ITC Avant Garde"/>
          <w:bCs/>
          <w:color w:val="000000"/>
          <w:sz w:val="22"/>
          <w:szCs w:val="22"/>
          <w:lang w:eastAsia="es-MX"/>
        </w:rPr>
        <w:t>Á</w:t>
      </w:r>
      <w:r w:rsidRPr="00DC1F83">
        <w:rPr>
          <w:rFonts w:ascii="ITC Avant Garde" w:hAnsi="ITC Avant Garde"/>
          <w:bCs/>
          <w:color w:val="000000"/>
          <w:sz w:val="22"/>
          <w:szCs w:val="22"/>
          <w:lang w:eastAsia="es-MX"/>
        </w:rPr>
        <w:t xml:space="preserve">ngeles, </w:t>
      </w:r>
      <w:proofErr w:type="spellStart"/>
      <w:r w:rsidRPr="00DC1F83">
        <w:rPr>
          <w:rFonts w:ascii="ITC Avant Garde" w:hAnsi="ITC Avant Garde"/>
          <w:bCs/>
          <w:color w:val="000000"/>
          <w:sz w:val="22"/>
          <w:szCs w:val="22"/>
          <w:lang w:eastAsia="es-MX"/>
        </w:rPr>
        <w:t>Colotlán</w:t>
      </w:r>
      <w:proofErr w:type="spellEnd"/>
      <w:r w:rsidRPr="00DC1F83">
        <w:rPr>
          <w:rFonts w:ascii="ITC Avant Garde" w:hAnsi="ITC Avant Garde"/>
          <w:bCs/>
          <w:color w:val="000000"/>
          <w:sz w:val="22"/>
          <w:szCs w:val="22"/>
          <w:lang w:eastAsia="es-MX"/>
        </w:rPr>
        <w:t xml:space="preserve">, </w:t>
      </w:r>
      <w:proofErr w:type="spellStart"/>
      <w:r w:rsidRPr="00DC1F83">
        <w:rPr>
          <w:rFonts w:ascii="ITC Avant Garde" w:hAnsi="ITC Avant Garde"/>
          <w:bCs/>
          <w:color w:val="000000"/>
          <w:sz w:val="22"/>
          <w:szCs w:val="22"/>
          <w:lang w:eastAsia="es-MX"/>
        </w:rPr>
        <w:t>Teocaltiche</w:t>
      </w:r>
      <w:proofErr w:type="spellEnd"/>
      <w:r w:rsidRPr="00DC1F83">
        <w:rPr>
          <w:rFonts w:ascii="ITC Avant Garde" w:hAnsi="ITC Avant Garde"/>
          <w:bCs/>
          <w:color w:val="000000"/>
          <w:sz w:val="22"/>
          <w:szCs w:val="22"/>
          <w:lang w:eastAsia="es-MX"/>
        </w:rPr>
        <w:t xml:space="preserve">, </w:t>
      </w:r>
      <w:proofErr w:type="spellStart"/>
      <w:r w:rsidRPr="00DC1F83">
        <w:rPr>
          <w:rFonts w:ascii="ITC Avant Garde" w:hAnsi="ITC Avant Garde"/>
          <w:bCs/>
          <w:color w:val="000000"/>
          <w:sz w:val="22"/>
          <w:szCs w:val="22"/>
          <w:lang w:eastAsia="es-MX"/>
        </w:rPr>
        <w:t>Huejuquilla</w:t>
      </w:r>
      <w:proofErr w:type="spellEnd"/>
      <w:r w:rsidRPr="00DC1F83">
        <w:rPr>
          <w:rFonts w:ascii="ITC Avant Garde" w:hAnsi="ITC Avant Garde"/>
          <w:bCs/>
          <w:color w:val="000000"/>
          <w:sz w:val="22"/>
          <w:szCs w:val="22"/>
          <w:lang w:eastAsia="es-MX"/>
        </w:rPr>
        <w:t xml:space="preserve"> El Alto, </w:t>
      </w:r>
      <w:proofErr w:type="spellStart"/>
      <w:r w:rsidRPr="00DC1F83">
        <w:rPr>
          <w:rFonts w:ascii="ITC Avant Garde" w:hAnsi="ITC Avant Garde"/>
          <w:bCs/>
          <w:color w:val="000000"/>
          <w:sz w:val="22"/>
          <w:szCs w:val="22"/>
          <w:lang w:eastAsia="es-MX"/>
        </w:rPr>
        <w:t>Mezquitic</w:t>
      </w:r>
      <w:proofErr w:type="spellEnd"/>
      <w:r w:rsidRPr="00DC1F83">
        <w:rPr>
          <w:rFonts w:ascii="ITC Avant Garde" w:hAnsi="ITC Avant Garde"/>
          <w:bCs/>
          <w:color w:val="000000"/>
          <w:sz w:val="22"/>
          <w:szCs w:val="22"/>
          <w:lang w:eastAsia="es-MX"/>
        </w:rPr>
        <w:t>, Villa Guerrero, Bolaños, Lagos de Moreno, Villa Hidalgo, Ojuelos de Jalisco y Encarnación de Díaz;</w:t>
      </w:r>
    </w:p>
    <w:p w14:paraId="689257C1" w14:textId="77777777" w:rsidR="00DC1F83" w:rsidRPr="00DC1F83" w:rsidRDefault="004C39E3" w:rsidP="00DC1F83">
      <w:pPr>
        <w:pStyle w:val="Prrafodelista"/>
        <w:numPr>
          <w:ilvl w:val="0"/>
          <w:numId w:val="26"/>
        </w:numPr>
        <w:spacing w:before="240" w:after="200"/>
        <w:jc w:val="both"/>
        <w:rPr>
          <w:rFonts w:ascii="ITC Avant Garde" w:hAnsi="ITC Avant Garde"/>
          <w:bCs/>
          <w:color w:val="000000"/>
          <w:sz w:val="22"/>
          <w:szCs w:val="22"/>
          <w:lang w:eastAsia="es-MX"/>
        </w:rPr>
      </w:pPr>
      <w:r w:rsidRPr="00DC1F83">
        <w:rPr>
          <w:rFonts w:ascii="ITC Avant Garde" w:hAnsi="ITC Avant Garde"/>
          <w:bCs/>
          <w:color w:val="000000"/>
          <w:sz w:val="22"/>
          <w:szCs w:val="22"/>
          <w:lang w:eastAsia="es-MX"/>
        </w:rPr>
        <w:t>Región 7</w:t>
      </w:r>
      <w:r w:rsidR="002F25C6" w:rsidRPr="00DC1F83">
        <w:rPr>
          <w:rFonts w:ascii="ITC Avant Garde" w:hAnsi="ITC Avant Garde"/>
          <w:bCs/>
          <w:color w:val="000000"/>
          <w:sz w:val="22"/>
          <w:szCs w:val="22"/>
          <w:lang w:eastAsia="es-MX"/>
        </w:rPr>
        <w:t xml:space="preserve"> PCS</w:t>
      </w:r>
      <w:r w:rsidR="00AE0CAF" w:rsidRPr="00DC1F83">
        <w:rPr>
          <w:rFonts w:ascii="ITC Avant Garde" w:hAnsi="ITC Avant Garde"/>
          <w:bCs/>
          <w:color w:val="000000"/>
          <w:sz w:val="22"/>
          <w:szCs w:val="22"/>
          <w:lang w:eastAsia="es-MX"/>
        </w:rPr>
        <w:t>,</w:t>
      </w:r>
      <w:r w:rsidRPr="00DC1F83">
        <w:rPr>
          <w:rFonts w:ascii="ITC Avant Garde" w:hAnsi="ITC Avant Garde"/>
          <w:bCs/>
          <w:color w:val="000000"/>
          <w:sz w:val="22"/>
          <w:szCs w:val="22"/>
          <w:lang w:eastAsia="es-MX"/>
        </w:rPr>
        <w:t xml:space="preserve"> que comprende los </w:t>
      </w:r>
      <w:r w:rsidR="00ED4E10" w:rsidRPr="00DC1F83">
        <w:rPr>
          <w:rFonts w:ascii="ITC Avant Garde" w:hAnsi="ITC Avant Garde"/>
          <w:bCs/>
          <w:color w:val="000000"/>
          <w:sz w:val="22"/>
          <w:szCs w:val="22"/>
          <w:lang w:eastAsia="es-MX"/>
        </w:rPr>
        <w:t>E</w:t>
      </w:r>
      <w:r w:rsidRPr="00DC1F83">
        <w:rPr>
          <w:rFonts w:ascii="ITC Avant Garde" w:hAnsi="ITC Avant Garde"/>
          <w:bCs/>
          <w:color w:val="000000"/>
          <w:sz w:val="22"/>
          <w:szCs w:val="22"/>
          <w:lang w:eastAsia="es-MX"/>
        </w:rPr>
        <w:t>stados de Aguascalientes</w:t>
      </w:r>
      <w:r w:rsidR="00AE0CAF" w:rsidRPr="00DC1F83">
        <w:rPr>
          <w:rFonts w:ascii="ITC Avant Garde" w:hAnsi="ITC Avant Garde"/>
          <w:bCs/>
          <w:color w:val="000000"/>
          <w:sz w:val="22"/>
          <w:szCs w:val="22"/>
          <w:lang w:eastAsia="es-MX"/>
        </w:rPr>
        <w:t xml:space="preserve">, Guanajuato, Querétaro, San Luis Potosí y Zacatecas, y los siguientes </w:t>
      </w:r>
      <w:r w:rsidR="00ED4E10" w:rsidRPr="00DC1F83">
        <w:rPr>
          <w:rFonts w:ascii="ITC Avant Garde" w:hAnsi="ITC Avant Garde"/>
          <w:bCs/>
          <w:color w:val="000000"/>
          <w:sz w:val="22"/>
          <w:szCs w:val="22"/>
          <w:lang w:eastAsia="es-MX"/>
        </w:rPr>
        <w:t>M</w:t>
      </w:r>
      <w:r w:rsidR="00AE0CAF" w:rsidRPr="00DC1F83">
        <w:rPr>
          <w:rFonts w:ascii="ITC Avant Garde" w:hAnsi="ITC Avant Garde"/>
          <w:bCs/>
          <w:color w:val="000000"/>
          <w:sz w:val="22"/>
          <w:szCs w:val="22"/>
          <w:lang w:eastAsia="es-MX"/>
        </w:rPr>
        <w:t xml:space="preserve">unicipios de Jalisco: </w:t>
      </w:r>
      <w:proofErr w:type="spellStart"/>
      <w:r w:rsidR="00AE0CAF" w:rsidRPr="00DC1F83">
        <w:rPr>
          <w:rFonts w:ascii="ITC Avant Garde" w:hAnsi="ITC Avant Garde"/>
          <w:bCs/>
          <w:color w:val="000000"/>
          <w:sz w:val="22"/>
          <w:szCs w:val="22"/>
          <w:lang w:eastAsia="es-MX"/>
        </w:rPr>
        <w:t>Huejúcar</w:t>
      </w:r>
      <w:proofErr w:type="spellEnd"/>
      <w:r w:rsidR="00AE0CAF" w:rsidRPr="00DC1F83">
        <w:rPr>
          <w:rFonts w:ascii="ITC Avant Garde" w:hAnsi="ITC Avant Garde"/>
          <w:bCs/>
          <w:color w:val="000000"/>
          <w:sz w:val="22"/>
          <w:szCs w:val="22"/>
          <w:lang w:eastAsia="es-MX"/>
        </w:rPr>
        <w:t xml:space="preserve">, Santa María de los Angeles, </w:t>
      </w:r>
      <w:proofErr w:type="spellStart"/>
      <w:r w:rsidR="00AE0CAF" w:rsidRPr="00DC1F83">
        <w:rPr>
          <w:rFonts w:ascii="ITC Avant Garde" w:hAnsi="ITC Avant Garde"/>
          <w:bCs/>
          <w:color w:val="000000"/>
          <w:sz w:val="22"/>
          <w:szCs w:val="22"/>
          <w:lang w:eastAsia="es-MX"/>
        </w:rPr>
        <w:t>Colotlán</w:t>
      </w:r>
      <w:proofErr w:type="spellEnd"/>
      <w:r w:rsidR="00AE0CAF" w:rsidRPr="00DC1F83">
        <w:rPr>
          <w:rFonts w:ascii="ITC Avant Garde" w:hAnsi="ITC Avant Garde"/>
          <w:bCs/>
          <w:color w:val="000000"/>
          <w:sz w:val="22"/>
          <w:szCs w:val="22"/>
          <w:lang w:eastAsia="es-MX"/>
        </w:rPr>
        <w:t xml:space="preserve">, </w:t>
      </w:r>
      <w:proofErr w:type="spellStart"/>
      <w:r w:rsidR="00AE0CAF" w:rsidRPr="00DC1F83">
        <w:rPr>
          <w:rFonts w:ascii="ITC Avant Garde" w:hAnsi="ITC Avant Garde"/>
          <w:bCs/>
          <w:color w:val="000000"/>
          <w:sz w:val="22"/>
          <w:szCs w:val="22"/>
          <w:lang w:eastAsia="es-MX"/>
        </w:rPr>
        <w:t>Teocaltiche</w:t>
      </w:r>
      <w:proofErr w:type="spellEnd"/>
      <w:r w:rsidR="00AE0CAF" w:rsidRPr="00DC1F83">
        <w:rPr>
          <w:rFonts w:ascii="ITC Avant Garde" w:hAnsi="ITC Avant Garde"/>
          <w:bCs/>
          <w:color w:val="000000"/>
          <w:sz w:val="22"/>
          <w:szCs w:val="22"/>
          <w:lang w:eastAsia="es-MX"/>
        </w:rPr>
        <w:t xml:space="preserve">, </w:t>
      </w:r>
      <w:proofErr w:type="spellStart"/>
      <w:r w:rsidR="00AE0CAF" w:rsidRPr="00DC1F83">
        <w:rPr>
          <w:rFonts w:ascii="ITC Avant Garde" w:hAnsi="ITC Avant Garde"/>
          <w:bCs/>
          <w:color w:val="000000"/>
          <w:sz w:val="22"/>
          <w:szCs w:val="22"/>
          <w:lang w:eastAsia="es-MX"/>
        </w:rPr>
        <w:t>Huejuquilla</w:t>
      </w:r>
      <w:proofErr w:type="spellEnd"/>
      <w:r w:rsidR="00AE0CAF" w:rsidRPr="00DC1F83">
        <w:rPr>
          <w:rFonts w:ascii="ITC Avant Garde" w:hAnsi="ITC Avant Garde"/>
          <w:bCs/>
          <w:color w:val="000000"/>
          <w:sz w:val="22"/>
          <w:szCs w:val="22"/>
          <w:lang w:eastAsia="es-MX"/>
        </w:rPr>
        <w:t xml:space="preserve"> El Alto, </w:t>
      </w:r>
      <w:proofErr w:type="spellStart"/>
      <w:r w:rsidR="00AE0CAF" w:rsidRPr="00DC1F83">
        <w:rPr>
          <w:rFonts w:ascii="ITC Avant Garde" w:hAnsi="ITC Avant Garde"/>
          <w:bCs/>
          <w:color w:val="000000"/>
          <w:sz w:val="22"/>
          <w:szCs w:val="22"/>
          <w:lang w:eastAsia="es-MX"/>
        </w:rPr>
        <w:lastRenderedPageBreak/>
        <w:t>Mezquitic</w:t>
      </w:r>
      <w:proofErr w:type="spellEnd"/>
      <w:r w:rsidR="00AE0CAF" w:rsidRPr="00DC1F83">
        <w:rPr>
          <w:rFonts w:ascii="ITC Avant Garde" w:hAnsi="ITC Avant Garde"/>
          <w:bCs/>
          <w:color w:val="000000"/>
          <w:sz w:val="22"/>
          <w:szCs w:val="22"/>
          <w:lang w:eastAsia="es-MX"/>
        </w:rPr>
        <w:t>, Villa Guerrero, Bolaños, Lagos de Moreno, Villa Hidalgo, Ojuelos de Jalisco y Encarnación de Díaz;</w:t>
      </w:r>
    </w:p>
    <w:p w14:paraId="3F29CF5C" w14:textId="77777777" w:rsidR="00DC1F83" w:rsidRPr="00DC1F83" w:rsidRDefault="00AE0CAF" w:rsidP="00DC1F83">
      <w:pPr>
        <w:pStyle w:val="Prrafodelista"/>
        <w:numPr>
          <w:ilvl w:val="0"/>
          <w:numId w:val="26"/>
        </w:numPr>
        <w:spacing w:before="240" w:after="200"/>
        <w:jc w:val="both"/>
        <w:rPr>
          <w:rFonts w:ascii="ITC Avant Garde" w:hAnsi="ITC Avant Garde"/>
          <w:bCs/>
          <w:color w:val="000000"/>
          <w:sz w:val="22"/>
          <w:szCs w:val="22"/>
          <w:lang w:eastAsia="es-MX"/>
        </w:rPr>
      </w:pPr>
      <w:r w:rsidRPr="00DC1F83">
        <w:rPr>
          <w:rFonts w:ascii="ITC Avant Garde" w:hAnsi="ITC Avant Garde"/>
          <w:bCs/>
          <w:color w:val="000000"/>
          <w:sz w:val="22"/>
          <w:szCs w:val="22"/>
          <w:lang w:eastAsia="es-MX"/>
        </w:rPr>
        <w:t>Región 8</w:t>
      </w:r>
      <w:r w:rsidR="002F25C6" w:rsidRPr="00DC1F83">
        <w:rPr>
          <w:rFonts w:ascii="ITC Avant Garde" w:hAnsi="ITC Avant Garde"/>
          <w:bCs/>
          <w:color w:val="000000"/>
          <w:sz w:val="22"/>
          <w:szCs w:val="22"/>
          <w:lang w:eastAsia="es-MX"/>
        </w:rPr>
        <w:t xml:space="preserve"> PCS</w:t>
      </w:r>
      <w:r w:rsidRPr="00DC1F83">
        <w:rPr>
          <w:rFonts w:ascii="ITC Avant Garde" w:hAnsi="ITC Avant Garde"/>
          <w:bCs/>
          <w:color w:val="000000"/>
          <w:sz w:val="22"/>
          <w:szCs w:val="22"/>
          <w:lang w:eastAsia="es-MX"/>
        </w:rPr>
        <w:t xml:space="preserve">, que comprende los </w:t>
      </w:r>
      <w:r w:rsidR="00ED4E10" w:rsidRPr="00DC1F83">
        <w:rPr>
          <w:rFonts w:ascii="ITC Avant Garde" w:hAnsi="ITC Avant Garde"/>
          <w:bCs/>
          <w:color w:val="000000"/>
          <w:sz w:val="22"/>
          <w:szCs w:val="22"/>
          <w:lang w:eastAsia="es-MX"/>
        </w:rPr>
        <w:t>E</w:t>
      </w:r>
      <w:r w:rsidRPr="00DC1F83">
        <w:rPr>
          <w:rFonts w:ascii="ITC Avant Garde" w:hAnsi="ITC Avant Garde"/>
          <w:bCs/>
          <w:color w:val="000000"/>
          <w:sz w:val="22"/>
          <w:szCs w:val="22"/>
          <w:lang w:eastAsia="es-MX"/>
        </w:rPr>
        <w:t xml:space="preserve">stados de Guerrero, Oaxaca, Puebla, Tlaxcala y Veracruz, y </w:t>
      </w:r>
    </w:p>
    <w:p w14:paraId="4CAE3041" w14:textId="77777777" w:rsidR="00DC1F83" w:rsidRPr="00DC1F83" w:rsidRDefault="00AE0CAF" w:rsidP="00DC1F83">
      <w:pPr>
        <w:pStyle w:val="Prrafodelista"/>
        <w:numPr>
          <w:ilvl w:val="0"/>
          <w:numId w:val="26"/>
        </w:numPr>
        <w:spacing w:before="240" w:after="200"/>
        <w:jc w:val="both"/>
        <w:rPr>
          <w:rFonts w:ascii="ITC Avant Garde" w:hAnsi="ITC Avant Garde"/>
          <w:bCs/>
          <w:color w:val="000000"/>
          <w:sz w:val="22"/>
          <w:szCs w:val="22"/>
          <w:lang w:eastAsia="es-MX"/>
        </w:rPr>
      </w:pPr>
      <w:r w:rsidRPr="00DC1F83">
        <w:rPr>
          <w:rFonts w:ascii="ITC Avant Garde" w:hAnsi="ITC Avant Garde"/>
          <w:bCs/>
          <w:color w:val="000000"/>
          <w:sz w:val="22"/>
          <w:szCs w:val="22"/>
          <w:lang w:eastAsia="es-MX"/>
        </w:rPr>
        <w:t>Región 9</w:t>
      </w:r>
      <w:r w:rsidR="002F25C6" w:rsidRPr="00DC1F83">
        <w:rPr>
          <w:rFonts w:ascii="ITC Avant Garde" w:hAnsi="ITC Avant Garde"/>
          <w:bCs/>
          <w:color w:val="000000"/>
          <w:sz w:val="22"/>
          <w:szCs w:val="22"/>
          <w:lang w:eastAsia="es-MX"/>
        </w:rPr>
        <w:t xml:space="preserve"> PCS</w:t>
      </w:r>
      <w:r w:rsidRPr="00DC1F83">
        <w:rPr>
          <w:rFonts w:ascii="ITC Avant Garde" w:hAnsi="ITC Avant Garde"/>
          <w:bCs/>
          <w:color w:val="000000"/>
          <w:sz w:val="22"/>
          <w:szCs w:val="22"/>
          <w:lang w:eastAsia="es-MX"/>
        </w:rPr>
        <w:t xml:space="preserve">, que comprende el Distrito Federal (ahora Ciudad de México) y los </w:t>
      </w:r>
      <w:r w:rsidR="00ED4E10" w:rsidRPr="00DC1F83">
        <w:rPr>
          <w:rFonts w:ascii="ITC Avant Garde" w:hAnsi="ITC Avant Garde"/>
          <w:bCs/>
          <w:color w:val="000000"/>
          <w:sz w:val="22"/>
          <w:szCs w:val="22"/>
          <w:lang w:eastAsia="es-MX"/>
        </w:rPr>
        <w:t>E</w:t>
      </w:r>
      <w:r w:rsidRPr="00DC1F83">
        <w:rPr>
          <w:rFonts w:ascii="ITC Avant Garde" w:hAnsi="ITC Avant Garde"/>
          <w:bCs/>
          <w:color w:val="000000"/>
          <w:sz w:val="22"/>
          <w:szCs w:val="22"/>
          <w:lang w:eastAsia="es-MX"/>
        </w:rPr>
        <w:t>stados de México, Hidalgo y Morelos.</w:t>
      </w:r>
    </w:p>
    <w:p w14:paraId="6D9CE008" w14:textId="77777777" w:rsidR="00DC1F83" w:rsidRPr="00DC1F83" w:rsidRDefault="0098040A" w:rsidP="00DC1F83">
      <w:pPr>
        <w:spacing w:before="240" w:line="240" w:lineRule="auto"/>
        <w:ind w:left="567"/>
        <w:jc w:val="both"/>
        <w:rPr>
          <w:rFonts w:ascii="ITC Avant Garde" w:hAnsi="ITC Avant Garde"/>
          <w:bCs/>
          <w:color w:val="000000"/>
          <w:lang w:eastAsia="es-MX"/>
        </w:rPr>
      </w:pPr>
      <w:r w:rsidRPr="00DC1F83">
        <w:rPr>
          <w:rFonts w:ascii="ITC Avant Garde" w:hAnsi="ITC Avant Garde"/>
          <w:bCs/>
          <w:color w:val="000000"/>
          <w:lang w:eastAsia="es-MX"/>
        </w:rPr>
        <w:t xml:space="preserve">Así, </w:t>
      </w:r>
      <w:r w:rsidR="00944CF8" w:rsidRPr="00DC1F83">
        <w:rPr>
          <w:rFonts w:ascii="ITC Avant Garde" w:hAnsi="ITC Avant Garde"/>
          <w:bCs/>
          <w:color w:val="000000"/>
          <w:lang w:eastAsia="es-MX"/>
        </w:rPr>
        <w:t>dichas</w:t>
      </w:r>
      <w:r w:rsidR="006A210B" w:rsidRPr="00DC1F83">
        <w:rPr>
          <w:rFonts w:ascii="ITC Avant Garde" w:hAnsi="ITC Avant Garde"/>
          <w:bCs/>
          <w:color w:val="000000"/>
          <w:lang w:eastAsia="es-MX"/>
        </w:rPr>
        <w:t xml:space="preserve"> </w:t>
      </w:r>
      <w:r w:rsidR="00944CF8" w:rsidRPr="00DC1F83">
        <w:rPr>
          <w:rFonts w:ascii="ITC Avant Garde" w:hAnsi="ITC Avant Garde"/>
          <w:bCs/>
          <w:color w:val="000000"/>
          <w:lang w:eastAsia="es-MX"/>
        </w:rPr>
        <w:t>c</w:t>
      </w:r>
      <w:r w:rsidR="006A210B" w:rsidRPr="00DC1F83">
        <w:rPr>
          <w:rFonts w:ascii="ITC Avant Garde" w:hAnsi="ITC Avant Garde"/>
          <w:bCs/>
          <w:color w:val="000000"/>
          <w:lang w:eastAsia="es-MX"/>
        </w:rPr>
        <w:t>oncesi</w:t>
      </w:r>
      <w:r w:rsidR="00F45EF8" w:rsidRPr="00DC1F83">
        <w:rPr>
          <w:rFonts w:ascii="ITC Avant Garde" w:hAnsi="ITC Avant Garde"/>
          <w:bCs/>
          <w:color w:val="000000"/>
          <w:lang w:eastAsia="es-MX"/>
        </w:rPr>
        <w:t>ones</w:t>
      </w:r>
      <w:r w:rsidR="006A210B" w:rsidRPr="00DC1F83">
        <w:rPr>
          <w:rFonts w:ascii="ITC Avant Garde" w:hAnsi="ITC Avant Garde"/>
          <w:bCs/>
          <w:color w:val="000000"/>
          <w:lang w:eastAsia="es-MX"/>
        </w:rPr>
        <w:t xml:space="preserve"> estableci</w:t>
      </w:r>
      <w:r w:rsidR="00F45EF8" w:rsidRPr="00DC1F83">
        <w:rPr>
          <w:rFonts w:ascii="ITC Avant Garde" w:hAnsi="ITC Avant Garde"/>
          <w:bCs/>
          <w:color w:val="000000"/>
          <w:lang w:eastAsia="es-MX"/>
        </w:rPr>
        <w:t>eron</w:t>
      </w:r>
      <w:r w:rsidR="006A210B" w:rsidRPr="00DC1F83">
        <w:rPr>
          <w:rFonts w:ascii="ITC Avant Garde" w:hAnsi="ITC Avant Garde"/>
          <w:bCs/>
          <w:color w:val="000000"/>
          <w:lang w:eastAsia="es-MX"/>
        </w:rPr>
        <w:t xml:space="preserve"> en su</w:t>
      </w:r>
      <w:r w:rsidR="00F45EF8" w:rsidRPr="00DC1F83">
        <w:rPr>
          <w:rFonts w:ascii="ITC Avant Garde" w:hAnsi="ITC Avant Garde"/>
          <w:bCs/>
          <w:color w:val="000000"/>
          <w:lang w:eastAsia="es-MX"/>
        </w:rPr>
        <w:t xml:space="preserve"> respectiva</w:t>
      </w:r>
      <w:r w:rsidR="006A210B" w:rsidRPr="00DC1F83">
        <w:rPr>
          <w:rFonts w:ascii="ITC Avant Garde" w:hAnsi="ITC Avant Garde"/>
          <w:bCs/>
          <w:color w:val="000000"/>
          <w:lang w:eastAsia="es-MX"/>
        </w:rPr>
        <w:t xml:space="preserve"> </w:t>
      </w:r>
      <w:r w:rsidR="00ED4E10" w:rsidRPr="00DC1F83">
        <w:rPr>
          <w:rFonts w:ascii="ITC Avant Garde" w:hAnsi="ITC Avant Garde"/>
          <w:bCs/>
          <w:color w:val="000000"/>
          <w:lang w:eastAsia="es-MX"/>
        </w:rPr>
        <w:t>C</w:t>
      </w:r>
      <w:r w:rsidR="006A210B" w:rsidRPr="00DC1F83">
        <w:rPr>
          <w:rFonts w:ascii="ITC Avant Garde" w:hAnsi="ITC Avant Garde"/>
          <w:bCs/>
          <w:color w:val="000000"/>
          <w:lang w:eastAsia="es-MX"/>
        </w:rPr>
        <w:t xml:space="preserve">ondición </w:t>
      </w:r>
      <w:r w:rsidR="00F45EF8" w:rsidRPr="00DC1F83">
        <w:rPr>
          <w:rFonts w:ascii="ITC Avant Garde" w:hAnsi="ITC Avant Garde"/>
          <w:bCs/>
          <w:color w:val="000000"/>
          <w:lang w:eastAsia="es-MX"/>
        </w:rPr>
        <w:t>6</w:t>
      </w:r>
      <w:r w:rsidR="006A210B" w:rsidRPr="00DC1F83">
        <w:rPr>
          <w:rFonts w:ascii="ITC Avant Garde" w:hAnsi="ITC Avant Garde"/>
          <w:bCs/>
          <w:color w:val="000000"/>
          <w:lang w:eastAsia="es-MX"/>
        </w:rPr>
        <w:t>, denominada “Servicios que podrá prestar el Concesionario”</w:t>
      </w:r>
      <w:r w:rsidRPr="00DC1F83">
        <w:rPr>
          <w:rFonts w:ascii="ITC Avant Garde" w:hAnsi="ITC Avant Garde"/>
          <w:bCs/>
          <w:color w:val="000000"/>
          <w:lang w:eastAsia="es-MX"/>
        </w:rPr>
        <w:t>,</w:t>
      </w:r>
      <w:r w:rsidR="006A210B" w:rsidRPr="00DC1F83">
        <w:rPr>
          <w:rFonts w:ascii="ITC Avant Garde" w:hAnsi="ITC Avant Garde"/>
          <w:bCs/>
          <w:color w:val="000000"/>
          <w:lang w:eastAsia="es-MX"/>
        </w:rPr>
        <w:t xml:space="preserve"> que la banda de frecuencias del espectro radioeléctrico de uso determinado materia de </w:t>
      </w:r>
      <w:r w:rsidR="00F45EF8" w:rsidRPr="00DC1F83">
        <w:rPr>
          <w:rFonts w:ascii="ITC Avant Garde" w:hAnsi="ITC Avant Garde"/>
          <w:bCs/>
          <w:color w:val="000000"/>
          <w:lang w:eastAsia="es-MX"/>
        </w:rPr>
        <w:t xml:space="preserve">cada una de </w:t>
      </w:r>
      <w:r w:rsidR="00944CF8" w:rsidRPr="00DC1F83">
        <w:rPr>
          <w:rFonts w:ascii="ITC Avant Garde" w:hAnsi="ITC Avant Garde"/>
          <w:bCs/>
          <w:color w:val="000000"/>
          <w:lang w:eastAsia="es-MX"/>
        </w:rPr>
        <w:t>ellas</w:t>
      </w:r>
      <w:r w:rsidR="006A210B" w:rsidRPr="00DC1F83">
        <w:rPr>
          <w:rFonts w:ascii="ITC Avant Garde" w:hAnsi="ITC Avant Garde"/>
          <w:bCs/>
          <w:color w:val="000000"/>
          <w:lang w:eastAsia="es-MX"/>
        </w:rPr>
        <w:t xml:space="preserve">, se destinaría exclusivamente a la prestación del servicio de </w:t>
      </w:r>
      <w:r w:rsidR="00F45EF8" w:rsidRPr="00DC1F83">
        <w:rPr>
          <w:rFonts w:ascii="ITC Avant Garde" w:hAnsi="ITC Avant Garde"/>
          <w:bCs/>
          <w:color w:val="000000"/>
          <w:lang w:eastAsia="es-MX"/>
        </w:rPr>
        <w:t xml:space="preserve">acceso inalámbrico fijo o móvil </w:t>
      </w:r>
      <w:r w:rsidR="006A210B" w:rsidRPr="00DC1F83">
        <w:rPr>
          <w:rFonts w:ascii="ITC Avant Garde" w:hAnsi="ITC Avant Garde"/>
          <w:bCs/>
          <w:color w:val="000000"/>
          <w:lang w:eastAsia="es-MX"/>
        </w:rPr>
        <w:t xml:space="preserve">a través de la red pública de telecomunicaciones, comprendido en el Anexo A de la </w:t>
      </w:r>
      <w:r w:rsidR="00F45EF8" w:rsidRPr="00DC1F83">
        <w:rPr>
          <w:rFonts w:ascii="ITC Avant Garde" w:hAnsi="ITC Avant Garde"/>
          <w:bCs/>
          <w:color w:val="000000"/>
          <w:lang w:eastAsia="es-MX"/>
        </w:rPr>
        <w:t>c</w:t>
      </w:r>
      <w:r w:rsidR="006A210B" w:rsidRPr="00DC1F83">
        <w:rPr>
          <w:rFonts w:ascii="ITC Avant Garde" w:hAnsi="ITC Avant Garde"/>
          <w:bCs/>
          <w:color w:val="000000"/>
          <w:lang w:eastAsia="es-MX"/>
        </w:rPr>
        <w:t xml:space="preserve">oncesión </w:t>
      </w:r>
      <w:r w:rsidR="00F45EF8" w:rsidRPr="00DC1F83">
        <w:rPr>
          <w:rFonts w:ascii="ITC Avant Garde" w:hAnsi="ITC Avant Garde"/>
          <w:bCs/>
          <w:color w:val="000000"/>
          <w:lang w:eastAsia="es-MX"/>
        </w:rPr>
        <w:t xml:space="preserve">para instalar, operar y explotar una red pública de telecomunicaciones, otorgada el </w:t>
      </w:r>
      <w:r w:rsidR="009F4F16" w:rsidRPr="00DC1F83">
        <w:rPr>
          <w:rFonts w:ascii="ITC Avant Garde" w:hAnsi="ITC Avant Garde"/>
          <w:bCs/>
          <w:color w:val="000000"/>
          <w:lang w:eastAsia="es-MX"/>
        </w:rPr>
        <w:t>23 de junio</w:t>
      </w:r>
      <w:r w:rsidR="000E28CD" w:rsidRPr="00DC1F83">
        <w:rPr>
          <w:rFonts w:ascii="ITC Avant Garde" w:hAnsi="ITC Avant Garde"/>
          <w:bCs/>
          <w:color w:val="000000"/>
          <w:lang w:eastAsia="es-MX"/>
        </w:rPr>
        <w:t xml:space="preserve"> de 1998</w:t>
      </w:r>
      <w:r w:rsidR="00F45EF8" w:rsidRPr="00DC1F83">
        <w:rPr>
          <w:rFonts w:ascii="ITC Avant Garde" w:hAnsi="ITC Avant Garde"/>
          <w:bCs/>
          <w:color w:val="000000"/>
          <w:lang w:eastAsia="es-MX"/>
        </w:rPr>
        <w:t xml:space="preserve"> por la Secretaría a favor de </w:t>
      </w:r>
      <w:r w:rsidR="009F4F16" w:rsidRPr="00DC1F83">
        <w:rPr>
          <w:rFonts w:ascii="ITC Avant Garde" w:hAnsi="ITC Avant Garde"/>
          <w:bCs/>
          <w:color w:val="000000"/>
          <w:lang w:eastAsia="es-MX"/>
        </w:rPr>
        <w:t>Sistemas Profesionales de Comunicación, S.A. de C.V.</w:t>
      </w:r>
    </w:p>
    <w:p w14:paraId="10036063" w14:textId="77777777" w:rsidR="00DC1F83" w:rsidRPr="00DC1F83" w:rsidRDefault="00843727" w:rsidP="00DC1F83">
      <w:pPr>
        <w:spacing w:before="240" w:line="240" w:lineRule="auto"/>
        <w:ind w:left="567"/>
        <w:jc w:val="both"/>
        <w:rPr>
          <w:rFonts w:ascii="ITC Avant Garde" w:hAnsi="ITC Avant Garde"/>
          <w:bCs/>
          <w:color w:val="000000"/>
          <w:lang w:eastAsia="es-MX"/>
        </w:rPr>
      </w:pPr>
      <w:r w:rsidRPr="00DC1F83">
        <w:rPr>
          <w:rFonts w:ascii="ITC Avant Garde" w:hAnsi="ITC Avant Garde"/>
          <w:bCs/>
          <w:color w:val="000000"/>
          <w:lang w:eastAsia="es-MX"/>
        </w:rPr>
        <w:t xml:space="preserve">Por su parte, </w:t>
      </w:r>
      <w:r w:rsidR="00944CF8" w:rsidRPr="00DC1F83">
        <w:rPr>
          <w:rFonts w:ascii="ITC Avant Garde" w:hAnsi="ITC Avant Garde"/>
          <w:bCs/>
          <w:color w:val="000000"/>
          <w:lang w:eastAsia="es-MX"/>
        </w:rPr>
        <w:t xml:space="preserve">su </w:t>
      </w:r>
      <w:r w:rsidRPr="00DC1F83">
        <w:rPr>
          <w:rFonts w:ascii="ITC Avant Garde" w:hAnsi="ITC Avant Garde"/>
          <w:bCs/>
          <w:color w:val="000000"/>
          <w:lang w:eastAsia="es-MX"/>
        </w:rPr>
        <w:t xml:space="preserve">respectiva </w:t>
      </w:r>
      <w:r w:rsidR="00417E0A" w:rsidRPr="00DC1F83">
        <w:rPr>
          <w:rFonts w:ascii="ITC Avant Garde" w:hAnsi="ITC Avant Garde"/>
          <w:bCs/>
          <w:color w:val="000000"/>
          <w:lang w:eastAsia="es-MX"/>
        </w:rPr>
        <w:t>C</w:t>
      </w:r>
      <w:r w:rsidRPr="00DC1F83">
        <w:rPr>
          <w:rFonts w:ascii="ITC Avant Garde" w:hAnsi="ITC Avant Garde"/>
          <w:bCs/>
          <w:color w:val="000000"/>
          <w:lang w:eastAsia="es-MX"/>
        </w:rPr>
        <w:t>ondición 9 señal</w:t>
      </w:r>
      <w:r w:rsidR="007131E1" w:rsidRPr="00DC1F83">
        <w:rPr>
          <w:rFonts w:ascii="ITC Avant Garde" w:hAnsi="ITC Avant Garde"/>
          <w:bCs/>
          <w:color w:val="000000"/>
          <w:lang w:eastAsia="es-MX"/>
        </w:rPr>
        <w:t>ó</w:t>
      </w:r>
      <w:r w:rsidRPr="00DC1F83">
        <w:rPr>
          <w:rFonts w:ascii="ITC Avant Garde" w:hAnsi="ITC Avant Garde"/>
          <w:bCs/>
          <w:color w:val="000000"/>
          <w:lang w:eastAsia="es-MX"/>
        </w:rPr>
        <w:t xml:space="preserve"> que el inicio de vigencia de las mismas se encontraba sujeto a la condición suspensiva consistente en que la autoridad judicial competente acordara el sobreseimiento del Juicio de Amparo número </w:t>
      </w:r>
      <w:r w:rsidR="007131E1" w:rsidRPr="00DC1F83">
        <w:rPr>
          <w:rFonts w:ascii="ITC Avant Garde" w:hAnsi="ITC Avant Garde"/>
          <w:bCs/>
          <w:color w:val="000000"/>
          <w:lang w:eastAsia="es-MX"/>
        </w:rPr>
        <w:t>P.</w:t>
      </w:r>
      <w:r w:rsidRPr="00DC1F83">
        <w:rPr>
          <w:rFonts w:ascii="ITC Avant Garde" w:hAnsi="ITC Avant Garde"/>
          <w:bCs/>
          <w:color w:val="000000"/>
          <w:lang w:eastAsia="es-MX"/>
        </w:rPr>
        <w:t>211/99 radicado en el Juzgado Primero de Distrito en Materia Administrativa del Distrito Federal (ahora Ciudad de México), respecto de la totalidad de los actos reclamados en la demanda correspondiente.</w:t>
      </w:r>
    </w:p>
    <w:p w14:paraId="396877D4" w14:textId="77777777" w:rsidR="00DC1F83" w:rsidRPr="00DC1F83" w:rsidRDefault="00E24793" w:rsidP="00DC1F83">
      <w:pPr>
        <w:numPr>
          <w:ilvl w:val="0"/>
          <w:numId w:val="4"/>
        </w:numPr>
        <w:spacing w:before="240" w:line="240" w:lineRule="auto"/>
        <w:ind w:left="567" w:hanging="567"/>
        <w:jc w:val="both"/>
        <w:rPr>
          <w:rFonts w:ascii="ITC Avant Garde" w:hAnsi="ITC Avant Garde"/>
          <w:bCs/>
          <w:color w:val="000000"/>
          <w:lang w:eastAsia="es-MX"/>
        </w:rPr>
      </w:pPr>
      <w:r w:rsidRPr="00DC1F83">
        <w:rPr>
          <w:rFonts w:ascii="ITC Avant Garde" w:hAnsi="ITC Avant Garde"/>
          <w:b/>
          <w:bCs/>
          <w:color w:val="000000"/>
          <w:lang w:eastAsia="es-MX"/>
        </w:rPr>
        <w:t>Cambio de denominación.</w:t>
      </w:r>
      <w:r w:rsidRPr="00DC1F83">
        <w:rPr>
          <w:rFonts w:ascii="ITC Avant Garde" w:hAnsi="ITC Avant Garde"/>
          <w:bCs/>
          <w:color w:val="000000"/>
          <w:lang w:eastAsia="es-MX"/>
        </w:rPr>
        <w:t xml:space="preserve"> Con oficio 112.207.-2123 de fecha 1 de octubre de 1999, la Secretaría autorizó a Sistemas Profesionales de Comunicación, S.A. de C.V., entre otras cosas, el cambio de denominación para transformarse en Operadora Unefon, S.A. de C.V.</w:t>
      </w:r>
    </w:p>
    <w:p w14:paraId="15E5762A" w14:textId="77777777" w:rsidR="00DC1F83" w:rsidRPr="00DC1F83" w:rsidRDefault="005D5797" w:rsidP="00DC1F83">
      <w:pPr>
        <w:numPr>
          <w:ilvl w:val="0"/>
          <w:numId w:val="4"/>
        </w:numPr>
        <w:spacing w:before="240" w:line="240" w:lineRule="auto"/>
        <w:ind w:left="567" w:hanging="567"/>
        <w:jc w:val="both"/>
        <w:rPr>
          <w:rFonts w:ascii="ITC Avant Garde" w:hAnsi="ITC Avant Garde"/>
          <w:bCs/>
          <w:color w:val="000000"/>
          <w:lang w:eastAsia="es-MX"/>
        </w:rPr>
      </w:pPr>
      <w:r w:rsidRPr="00DC1F83">
        <w:rPr>
          <w:rFonts w:ascii="ITC Avant Garde" w:hAnsi="ITC Avant Garde"/>
          <w:b/>
          <w:bCs/>
          <w:color w:val="000000"/>
          <w:lang w:eastAsia="es-MX"/>
        </w:rPr>
        <w:t xml:space="preserve">Sobreseimiento del Juicio de Amparo </w:t>
      </w:r>
      <w:r w:rsidR="00A1520C" w:rsidRPr="00DC1F83">
        <w:rPr>
          <w:rFonts w:ascii="ITC Avant Garde" w:hAnsi="ITC Avant Garde"/>
          <w:b/>
          <w:bCs/>
          <w:color w:val="000000"/>
          <w:lang w:eastAsia="es-MX"/>
        </w:rPr>
        <w:t>P.</w:t>
      </w:r>
      <w:r w:rsidRPr="00DC1F83">
        <w:rPr>
          <w:rFonts w:ascii="ITC Avant Garde" w:hAnsi="ITC Avant Garde"/>
          <w:b/>
          <w:bCs/>
          <w:color w:val="000000"/>
          <w:lang w:eastAsia="es-MX"/>
        </w:rPr>
        <w:t>211/99.</w:t>
      </w:r>
      <w:r w:rsidRPr="00DC1F83">
        <w:rPr>
          <w:rFonts w:ascii="ITC Avant Garde" w:hAnsi="ITC Avant Garde"/>
          <w:bCs/>
          <w:color w:val="000000"/>
          <w:lang w:eastAsia="es-MX"/>
        </w:rPr>
        <w:t xml:space="preserve"> Con </w:t>
      </w:r>
      <w:r w:rsidR="00DB2F93" w:rsidRPr="00DC1F83">
        <w:rPr>
          <w:rFonts w:ascii="ITC Avant Garde" w:hAnsi="ITC Avant Garde"/>
          <w:bCs/>
          <w:color w:val="000000"/>
          <w:lang w:eastAsia="es-MX"/>
        </w:rPr>
        <w:t xml:space="preserve">proveído </w:t>
      </w:r>
      <w:r w:rsidRPr="00DC1F83">
        <w:rPr>
          <w:rFonts w:ascii="ITC Avant Garde" w:hAnsi="ITC Avant Garde"/>
          <w:bCs/>
          <w:color w:val="000000"/>
          <w:lang w:eastAsia="es-MX"/>
        </w:rPr>
        <w:t xml:space="preserve">de fecha 20 de octubre de 1999, dictado en el Juicio de Amparo número </w:t>
      </w:r>
      <w:r w:rsidR="00DB2F93" w:rsidRPr="00DC1F83">
        <w:rPr>
          <w:rFonts w:ascii="ITC Avant Garde" w:hAnsi="ITC Avant Garde"/>
          <w:bCs/>
          <w:color w:val="000000"/>
          <w:lang w:eastAsia="es-MX"/>
        </w:rPr>
        <w:t>P.</w:t>
      </w:r>
      <w:r w:rsidRPr="00DC1F83">
        <w:rPr>
          <w:rFonts w:ascii="ITC Avant Garde" w:hAnsi="ITC Avant Garde"/>
          <w:bCs/>
          <w:color w:val="000000"/>
          <w:lang w:eastAsia="es-MX"/>
        </w:rPr>
        <w:t>211/99</w:t>
      </w:r>
      <w:r w:rsidR="00DB2F93" w:rsidRPr="00DC1F83">
        <w:rPr>
          <w:rFonts w:ascii="ITC Avant Garde" w:hAnsi="ITC Avant Garde"/>
          <w:bCs/>
          <w:color w:val="000000"/>
          <w:lang w:eastAsia="es-MX"/>
        </w:rPr>
        <w:t>, el Juez Primero de Distrito en Materia Administrativa del Distrito Federal (ahora Ciudad de México), acordó el sobreseimiento de dicho juicio de garantías.</w:t>
      </w:r>
    </w:p>
    <w:p w14:paraId="679D57DC" w14:textId="77777777" w:rsidR="00DC1F83" w:rsidRPr="00DC1F83" w:rsidRDefault="00E24793" w:rsidP="00DC1F83">
      <w:pPr>
        <w:numPr>
          <w:ilvl w:val="0"/>
          <w:numId w:val="4"/>
        </w:numPr>
        <w:spacing w:before="240" w:line="240" w:lineRule="auto"/>
        <w:ind w:left="567" w:hanging="567"/>
        <w:jc w:val="both"/>
        <w:rPr>
          <w:rFonts w:ascii="ITC Avant Garde" w:hAnsi="ITC Avant Garde"/>
          <w:bCs/>
          <w:color w:val="000000"/>
          <w:lang w:eastAsia="es-MX"/>
        </w:rPr>
      </w:pPr>
      <w:r w:rsidRPr="00DC1F83">
        <w:rPr>
          <w:rFonts w:ascii="ITC Avant Garde" w:hAnsi="ITC Avant Garde"/>
          <w:b/>
          <w:bCs/>
          <w:color w:val="000000"/>
          <w:lang w:eastAsia="es-MX"/>
        </w:rPr>
        <w:t xml:space="preserve">Cesión de derechos </w:t>
      </w:r>
      <w:r w:rsidR="00944CF8" w:rsidRPr="00DC1F83">
        <w:rPr>
          <w:rFonts w:ascii="ITC Avant Garde" w:hAnsi="ITC Avant Garde"/>
          <w:b/>
          <w:bCs/>
          <w:color w:val="000000"/>
          <w:lang w:eastAsia="es-MX"/>
        </w:rPr>
        <w:t>y obligaciones</w:t>
      </w:r>
      <w:r w:rsidRPr="00DC1F83">
        <w:rPr>
          <w:rFonts w:ascii="ITC Avant Garde" w:hAnsi="ITC Avant Garde"/>
          <w:b/>
          <w:bCs/>
          <w:color w:val="000000"/>
          <w:lang w:eastAsia="es-MX"/>
        </w:rPr>
        <w:t>.</w:t>
      </w:r>
      <w:r w:rsidRPr="00DC1F83">
        <w:rPr>
          <w:rFonts w:ascii="ITC Avant Garde" w:hAnsi="ITC Avant Garde"/>
          <w:bCs/>
          <w:color w:val="000000"/>
          <w:lang w:eastAsia="es-MX"/>
        </w:rPr>
        <w:t xml:space="preserve"> Con oficio 112.202.-1979 de fecha 9 de mayo de 2005, la Secretaría autorizó la cesión parcial de los derechos y obligaciones de las </w:t>
      </w:r>
      <w:r w:rsidR="00944CF8" w:rsidRPr="00DC1F83">
        <w:rPr>
          <w:rFonts w:ascii="ITC Avant Garde" w:hAnsi="ITC Avant Garde"/>
          <w:bCs/>
          <w:color w:val="000000"/>
          <w:lang w:eastAsia="es-MX"/>
        </w:rPr>
        <w:t>c</w:t>
      </w:r>
      <w:r w:rsidRPr="00DC1F83">
        <w:rPr>
          <w:rFonts w:ascii="ITC Avant Garde" w:hAnsi="ITC Avant Garde"/>
          <w:bCs/>
          <w:color w:val="000000"/>
          <w:lang w:eastAsia="es-MX"/>
        </w:rPr>
        <w:t>oncesiones</w:t>
      </w:r>
      <w:r w:rsidR="00944CF8" w:rsidRPr="00DC1F83">
        <w:rPr>
          <w:rFonts w:ascii="ITC Avant Garde" w:hAnsi="ITC Avant Garde"/>
          <w:bCs/>
          <w:color w:val="000000"/>
          <w:lang w:eastAsia="es-MX"/>
        </w:rPr>
        <w:t xml:space="preserve"> referidas en el Antecedente I de la presente Resolución</w:t>
      </w:r>
      <w:r w:rsidR="007131E1" w:rsidRPr="00DC1F83">
        <w:rPr>
          <w:rFonts w:ascii="ITC Avant Garde" w:hAnsi="ITC Avant Garde"/>
          <w:bCs/>
          <w:color w:val="000000"/>
          <w:lang w:eastAsia="es-MX"/>
        </w:rPr>
        <w:t>,</w:t>
      </w:r>
      <w:r w:rsidRPr="00DC1F83">
        <w:rPr>
          <w:rFonts w:ascii="ITC Avant Garde" w:hAnsi="ITC Avant Garde"/>
          <w:bCs/>
          <w:color w:val="000000"/>
          <w:lang w:eastAsia="es-MX"/>
        </w:rPr>
        <w:t xml:space="preserve"> a favor de la empresa </w:t>
      </w:r>
      <w:proofErr w:type="spellStart"/>
      <w:r w:rsidRPr="00DC1F83">
        <w:rPr>
          <w:rFonts w:ascii="ITC Avant Garde" w:hAnsi="ITC Avant Garde"/>
          <w:bCs/>
          <w:color w:val="000000"/>
          <w:lang w:eastAsia="es-MX"/>
        </w:rPr>
        <w:t>Radiomóvil</w:t>
      </w:r>
      <w:proofErr w:type="spellEnd"/>
      <w:r w:rsidRPr="00DC1F83">
        <w:rPr>
          <w:rFonts w:ascii="ITC Avant Garde" w:hAnsi="ITC Avant Garde"/>
          <w:bCs/>
          <w:color w:val="000000"/>
          <w:lang w:eastAsia="es-MX"/>
        </w:rPr>
        <w:t xml:space="preserve"> </w:t>
      </w:r>
      <w:proofErr w:type="spellStart"/>
      <w:r w:rsidRPr="00DC1F83">
        <w:rPr>
          <w:rFonts w:ascii="ITC Avant Garde" w:hAnsi="ITC Avant Garde"/>
          <w:bCs/>
          <w:color w:val="000000"/>
          <w:lang w:eastAsia="es-MX"/>
        </w:rPr>
        <w:t>Dipsa</w:t>
      </w:r>
      <w:proofErr w:type="spellEnd"/>
      <w:r w:rsidRPr="00DC1F83">
        <w:rPr>
          <w:rFonts w:ascii="ITC Avant Garde" w:hAnsi="ITC Avant Garde"/>
          <w:bCs/>
          <w:color w:val="000000"/>
          <w:lang w:eastAsia="es-MX"/>
        </w:rPr>
        <w:t>, S.A. de C.V.</w:t>
      </w:r>
      <w:r w:rsidR="00C03AE4" w:rsidRPr="00DC1F83">
        <w:rPr>
          <w:rFonts w:ascii="ITC Avant Garde" w:hAnsi="ITC Avant Garde"/>
          <w:bCs/>
          <w:color w:val="000000"/>
          <w:lang w:eastAsia="es-MX"/>
        </w:rPr>
        <w:t xml:space="preserve"> (“Telcel”)</w:t>
      </w:r>
      <w:r w:rsidR="00D160E0" w:rsidRPr="00DC1F83">
        <w:rPr>
          <w:rFonts w:ascii="ITC Avant Garde" w:hAnsi="ITC Avant Garde"/>
          <w:bCs/>
          <w:color w:val="000000"/>
          <w:lang w:eastAsia="es-MX"/>
        </w:rPr>
        <w:t xml:space="preserve">, </w:t>
      </w:r>
      <w:r w:rsidR="00716AE9" w:rsidRPr="00DC1F83">
        <w:rPr>
          <w:rFonts w:ascii="ITC Avant Garde" w:hAnsi="ITC Avant Garde"/>
          <w:bCs/>
          <w:color w:val="000000"/>
          <w:lang w:eastAsia="es-MX"/>
        </w:rPr>
        <w:t xml:space="preserve">únicamente </w:t>
      </w:r>
      <w:r w:rsidR="00D160E0" w:rsidRPr="00DC1F83">
        <w:rPr>
          <w:rFonts w:ascii="ITC Avant Garde" w:hAnsi="ITC Avant Garde"/>
          <w:bCs/>
          <w:color w:val="000000"/>
          <w:lang w:eastAsia="es-MX"/>
        </w:rPr>
        <w:t>respecto de 8.4 MHz del total de los 30 MHz concesionados</w:t>
      </w:r>
      <w:r w:rsidR="00515200" w:rsidRPr="00DC1F83">
        <w:rPr>
          <w:rFonts w:ascii="ITC Avant Garde" w:hAnsi="ITC Avant Garde"/>
          <w:bCs/>
          <w:color w:val="000000"/>
          <w:lang w:eastAsia="es-MX"/>
        </w:rPr>
        <w:t xml:space="preserve"> en cada una de las mismas</w:t>
      </w:r>
      <w:r w:rsidR="00944CF8" w:rsidRPr="00DC1F83">
        <w:rPr>
          <w:rFonts w:ascii="ITC Avant Garde" w:hAnsi="ITC Avant Garde"/>
          <w:bCs/>
          <w:color w:val="000000"/>
          <w:lang w:eastAsia="es-MX"/>
        </w:rPr>
        <w:t xml:space="preserve"> (las “Concesiones”)</w:t>
      </w:r>
      <w:r w:rsidR="00C03AE4" w:rsidRPr="00DC1F83">
        <w:rPr>
          <w:rFonts w:ascii="ITC Avant Garde" w:hAnsi="ITC Avant Garde"/>
          <w:bCs/>
          <w:color w:val="000000"/>
          <w:lang w:eastAsia="es-MX"/>
        </w:rPr>
        <w:t>.</w:t>
      </w:r>
    </w:p>
    <w:p w14:paraId="3A0E47A9" w14:textId="77777777" w:rsidR="00DC1F83" w:rsidRPr="00DC1F83" w:rsidRDefault="009E2911" w:rsidP="00DC1F83">
      <w:pPr>
        <w:numPr>
          <w:ilvl w:val="0"/>
          <w:numId w:val="4"/>
        </w:numPr>
        <w:spacing w:before="240" w:line="240" w:lineRule="auto"/>
        <w:ind w:left="567" w:hanging="567"/>
        <w:jc w:val="both"/>
        <w:rPr>
          <w:rFonts w:ascii="ITC Avant Garde" w:hAnsi="ITC Avant Garde"/>
          <w:bCs/>
          <w:color w:val="000000"/>
          <w:lang w:eastAsia="es-MX"/>
        </w:rPr>
      </w:pPr>
      <w:r w:rsidRPr="00DC1F83">
        <w:rPr>
          <w:rFonts w:ascii="ITC Avant Garde" w:hAnsi="ITC Avant Garde"/>
          <w:b/>
          <w:bCs/>
          <w:color w:val="000000"/>
          <w:lang w:eastAsia="es-MX"/>
        </w:rPr>
        <w:t xml:space="preserve">Decreto de Reforma Constitucional. </w:t>
      </w:r>
      <w:r w:rsidRPr="00DC1F83">
        <w:rPr>
          <w:rFonts w:ascii="ITC Avant Garde" w:hAnsi="ITC Avant Garde"/>
          <w:bCs/>
          <w:color w:val="000000"/>
          <w:lang w:eastAsia="es-MX"/>
        </w:rPr>
        <w:t xml:space="preserve">Con fecha 11 de junio de 2013, se publicó en el Diario Oficial de la Federación el “Decreto por el que se reforman y adicionan diversas disposiciones de los artículos 6o., 7o., 27, 28, 73, 78, 94 y 105 de la Constitución Política de los Estados Unidos Mexicanos, en materia de </w:t>
      </w:r>
      <w:r w:rsidRPr="00DC1F83">
        <w:rPr>
          <w:rFonts w:ascii="ITC Avant Garde" w:hAnsi="ITC Avant Garde"/>
          <w:bCs/>
          <w:color w:val="000000"/>
          <w:lang w:eastAsia="es-MX"/>
        </w:rPr>
        <w:lastRenderedPageBreak/>
        <w:t>telecomunicaciones” (el “Decreto de Reforma Constitucional”), mediante el cual se creó el Instituto Federal de Telecomunicaciones (el “Instituto”)</w:t>
      </w:r>
      <w:r w:rsidR="00DF3D6D" w:rsidRPr="00DC1F83">
        <w:rPr>
          <w:rFonts w:ascii="ITC Avant Garde" w:hAnsi="ITC Avant Garde"/>
          <w:bCs/>
          <w:color w:val="000000"/>
          <w:lang w:eastAsia="es-MX"/>
        </w:rPr>
        <w:t xml:space="preserve">, </w:t>
      </w:r>
      <w:r w:rsidR="00DF3D6D" w:rsidRPr="00DC1F83">
        <w:rPr>
          <w:rFonts w:ascii="ITC Avant Garde" w:hAnsi="ITC Avant Garde"/>
          <w:lang w:eastAsia="es-MX"/>
        </w:rPr>
        <w:t>como un órgano autónomo que tiene por objeto el desarrollo eficiente de la radiodifusión y las telecomunicaciones</w:t>
      </w:r>
      <w:r w:rsidRPr="00DC1F83">
        <w:rPr>
          <w:rFonts w:ascii="ITC Avant Garde" w:hAnsi="ITC Avant Garde"/>
          <w:bCs/>
          <w:color w:val="000000"/>
          <w:lang w:eastAsia="es-MX"/>
        </w:rPr>
        <w:t>.</w:t>
      </w:r>
    </w:p>
    <w:p w14:paraId="3A00F5F4" w14:textId="77777777" w:rsidR="00DC1F83" w:rsidRPr="00DC1F83" w:rsidRDefault="009E2911" w:rsidP="00DC1F83">
      <w:pPr>
        <w:numPr>
          <w:ilvl w:val="0"/>
          <w:numId w:val="4"/>
        </w:numPr>
        <w:spacing w:before="240" w:line="240" w:lineRule="auto"/>
        <w:ind w:left="567" w:hanging="567"/>
        <w:jc w:val="both"/>
        <w:rPr>
          <w:rFonts w:ascii="ITC Avant Garde" w:hAnsi="ITC Avant Garde"/>
          <w:bCs/>
          <w:color w:val="000000"/>
          <w:lang w:eastAsia="es-MX"/>
        </w:rPr>
      </w:pPr>
      <w:r w:rsidRPr="00DC1F83">
        <w:rPr>
          <w:rFonts w:ascii="ITC Avant Garde" w:hAnsi="ITC Avant Garde"/>
          <w:b/>
          <w:bCs/>
          <w:color w:val="000000" w:themeColor="text1"/>
          <w:lang w:eastAsia="es-MX"/>
        </w:rPr>
        <w:t xml:space="preserve">Decreto de Ley. </w:t>
      </w:r>
      <w:r w:rsidRPr="00DC1F83">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5C8CDE10" w14:textId="77777777" w:rsidR="00DC1F83" w:rsidRPr="00DC1F83" w:rsidRDefault="00BA7BF9" w:rsidP="00DC1F83">
      <w:pPr>
        <w:numPr>
          <w:ilvl w:val="0"/>
          <w:numId w:val="4"/>
        </w:numPr>
        <w:spacing w:before="240" w:line="240" w:lineRule="auto"/>
        <w:ind w:left="567" w:hanging="567"/>
        <w:jc w:val="both"/>
        <w:rPr>
          <w:rFonts w:ascii="ITC Avant Garde" w:hAnsi="ITC Avant Garde"/>
          <w:bCs/>
          <w:color w:val="000000"/>
          <w:lang w:eastAsia="es-MX"/>
        </w:rPr>
      </w:pPr>
      <w:r w:rsidRPr="00DC1F83">
        <w:rPr>
          <w:rFonts w:ascii="ITC Avant Garde" w:hAnsi="ITC Avant Garde" w:cs="Arial"/>
          <w:b/>
          <w:bCs/>
          <w:color w:val="000000"/>
          <w:shd w:val="clear" w:color="auto" w:fill="FFFFFF"/>
        </w:rPr>
        <w:t>Estatuto Orgánico.</w:t>
      </w:r>
      <w:r w:rsidRPr="00DC1F83">
        <w:rPr>
          <w:rStyle w:val="apple-converted-space"/>
          <w:rFonts w:ascii="ITC Avant Garde" w:hAnsi="ITC Avant Garde" w:cs="Arial"/>
          <w:b/>
          <w:bCs/>
          <w:color w:val="000000"/>
          <w:shd w:val="clear" w:color="auto" w:fill="FFFFFF"/>
        </w:rPr>
        <w:t xml:space="preserve"> </w:t>
      </w:r>
      <w:r w:rsidRPr="00DC1F83">
        <w:rPr>
          <w:rFonts w:ascii="ITC Avant Garde" w:hAnsi="ITC Avant Garde"/>
          <w:color w:val="000000"/>
          <w:shd w:val="clear" w:color="auto" w:fill="FFFFFF"/>
        </w:rPr>
        <w:t xml:space="preserve">El 4 de septiembre de 2014, se publicó en el Diario Oficial de la Federación el “Estatuto Orgánico del Instituto Federal de Telecomunicaciones” (el “Estatuto Orgánico”), mismo que entró en vigor el 26 de septiembre de 2014, y fue modificado </w:t>
      </w:r>
      <w:r w:rsidR="00A76D03" w:rsidRPr="00DC1F83">
        <w:rPr>
          <w:rFonts w:ascii="ITC Avant Garde" w:hAnsi="ITC Avant Garde"/>
          <w:color w:val="000000"/>
          <w:shd w:val="clear" w:color="auto" w:fill="FFFFFF"/>
        </w:rPr>
        <w:t xml:space="preserve">por última vez </w:t>
      </w:r>
      <w:r w:rsidRPr="00DC1F83">
        <w:rPr>
          <w:rFonts w:ascii="ITC Avant Garde" w:hAnsi="ITC Avant Garde"/>
          <w:color w:val="000000"/>
          <w:shd w:val="clear" w:color="auto" w:fill="FFFFFF"/>
        </w:rPr>
        <w:t xml:space="preserve">el 17 de octubre </w:t>
      </w:r>
      <w:r w:rsidR="00854E64" w:rsidRPr="00DC1F83">
        <w:rPr>
          <w:rFonts w:ascii="ITC Avant Garde" w:hAnsi="ITC Avant Garde"/>
          <w:color w:val="000000"/>
          <w:shd w:val="clear" w:color="auto" w:fill="FFFFFF"/>
        </w:rPr>
        <w:t xml:space="preserve">del </w:t>
      </w:r>
      <w:r w:rsidR="00A76D03" w:rsidRPr="00DC1F83">
        <w:rPr>
          <w:rFonts w:ascii="ITC Avant Garde" w:hAnsi="ITC Avant Garde"/>
          <w:color w:val="000000"/>
          <w:shd w:val="clear" w:color="auto" w:fill="FFFFFF"/>
        </w:rPr>
        <w:t>2016</w:t>
      </w:r>
      <w:r w:rsidRPr="00DC1F83">
        <w:rPr>
          <w:rFonts w:ascii="ITC Avant Garde" w:hAnsi="ITC Avant Garde"/>
          <w:color w:val="000000"/>
          <w:shd w:val="clear" w:color="auto" w:fill="FFFFFF"/>
        </w:rPr>
        <w:t>.</w:t>
      </w:r>
    </w:p>
    <w:p w14:paraId="7F0B8F07" w14:textId="77777777" w:rsidR="00DC1F83" w:rsidRPr="00DC1F83" w:rsidRDefault="00D5094F" w:rsidP="00DC1F83">
      <w:pPr>
        <w:numPr>
          <w:ilvl w:val="0"/>
          <w:numId w:val="4"/>
        </w:numPr>
        <w:spacing w:before="240" w:line="240" w:lineRule="auto"/>
        <w:ind w:left="567" w:hanging="567"/>
        <w:jc w:val="both"/>
        <w:rPr>
          <w:rFonts w:ascii="ITC Avant Garde" w:hAnsi="ITC Avant Garde"/>
          <w:bCs/>
          <w:color w:val="000000"/>
          <w:lang w:eastAsia="es-MX"/>
        </w:rPr>
      </w:pPr>
      <w:r w:rsidRPr="00DC1F83">
        <w:rPr>
          <w:rFonts w:ascii="ITC Avant Garde" w:hAnsi="ITC Avant Garde"/>
          <w:b/>
          <w:bCs/>
          <w:color w:val="000000" w:themeColor="text1"/>
          <w:lang w:eastAsia="es-MX"/>
        </w:rPr>
        <w:t>Solicitudes de Prórroga.</w:t>
      </w:r>
      <w:r w:rsidRPr="00DC1F83">
        <w:rPr>
          <w:rFonts w:ascii="ITC Avant Garde" w:hAnsi="ITC Avant Garde"/>
          <w:bCs/>
          <w:color w:val="000000" w:themeColor="text1"/>
          <w:lang w:eastAsia="es-MX"/>
        </w:rPr>
        <w:t xml:space="preserve"> El</w:t>
      </w:r>
      <w:r w:rsidRPr="00DC1F83">
        <w:rPr>
          <w:rFonts w:ascii="ITC Avant Garde" w:hAnsi="ITC Avant Garde"/>
          <w:bCs/>
          <w:color w:val="000000"/>
          <w:lang w:eastAsia="es-MX"/>
        </w:rPr>
        <w:t xml:space="preserve"> 3 de noviembre de 2014, el representante legal de Telcel </w:t>
      </w:r>
      <w:r w:rsidRPr="00DC1F83">
        <w:rPr>
          <w:rFonts w:ascii="ITC Avant Garde" w:hAnsi="ITC Avant Garde"/>
          <w:bCs/>
          <w:color w:val="000000" w:themeColor="text1"/>
          <w:lang w:eastAsia="es-MX"/>
        </w:rPr>
        <w:t>presentó ante el Instituto sendos</w:t>
      </w:r>
      <w:r w:rsidRPr="00DC1F83">
        <w:rPr>
          <w:rFonts w:ascii="ITC Avant Garde" w:hAnsi="ITC Avant Garde"/>
          <w:bCs/>
          <w:color w:val="000000"/>
          <w:lang w:eastAsia="es-MX"/>
        </w:rPr>
        <w:t xml:space="preserve"> escritos por los que solicitó la prórroga de vigencia de las Concesiones (las “Solicitudes de Prórroga”).</w:t>
      </w:r>
    </w:p>
    <w:p w14:paraId="7D0E6703" w14:textId="77777777" w:rsidR="00DC1F83" w:rsidRPr="00DC1F83" w:rsidRDefault="00AC6BAB" w:rsidP="00DC1F83">
      <w:pPr>
        <w:numPr>
          <w:ilvl w:val="0"/>
          <w:numId w:val="4"/>
        </w:numPr>
        <w:spacing w:before="240" w:line="240" w:lineRule="auto"/>
        <w:ind w:left="567" w:hanging="567"/>
        <w:jc w:val="both"/>
        <w:rPr>
          <w:rFonts w:ascii="ITC Avant Garde" w:hAnsi="ITC Avant Garde"/>
          <w:bCs/>
          <w:color w:val="000000"/>
          <w:lang w:eastAsia="es-MX"/>
        </w:rPr>
      </w:pPr>
      <w:r w:rsidRPr="00DC1F83">
        <w:rPr>
          <w:rFonts w:ascii="ITC Avant Garde" w:hAnsi="ITC Avant Garde"/>
          <w:b/>
          <w:bCs/>
          <w:color w:val="000000"/>
          <w:lang w:eastAsia="es-MX"/>
        </w:rPr>
        <w:t xml:space="preserve">Opinión de la Secretaría respecto a las Solicitudes de Prórroga. </w:t>
      </w:r>
      <w:r w:rsidRPr="00DC1F83">
        <w:rPr>
          <w:rFonts w:ascii="ITC Avant Garde" w:hAnsi="ITC Avant Garde"/>
          <w:bCs/>
          <w:color w:val="000000"/>
          <w:lang w:eastAsia="es-MX"/>
        </w:rPr>
        <w:t xml:space="preserve">Con oficio 2.1.-0028 de fecha 14 de enero de 2015, la Dirección General de Política de Telecomunicaciones y de Radiodifusión de la Secretaría, remitió el oficio 1.-05 por el </w:t>
      </w:r>
      <w:r w:rsidR="000F1106" w:rsidRPr="00DC1F83">
        <w:rPr>
          <w:rFonts w:ascii="ITC Avant Garde" w:hAnsi="ITC Avant Garde"/>
          <w:bCs/>
          <w:color w:val="000000"/>
          <w:lang w:eastAsia="es-MX"/>
        </w:rPr>
        <w:t>cual</w:t>
      </w:r>
      <w:r w:rsidRPr="00DC1F83">
        <w:rPr>
          <w:rFonts w:ascii="ITC Avant Garde" w:hAnsi="ITC Avant Garde"/>
          <w:bCs/>
          <w:color w:val="000000"/>
          <w:lang w:eastAsia="es-MX"/>
        </w:rPr>
        <w:t xml:space="preserve"> dicha </w:t>
      </w:r>
      <w:r w:rsidR="000F1106" w:rsidRPr="00DC1F83">
        <w:rPr>
          <w:rFonts w:ascii="ITC Avant Garde" w:hAnsi="ITC Avant Garde"/>
          <w:bCs/>
          <w:color w:val="000000"/>
          <w:lang w:eastAsia="es-MX"/>
        </w:rPr>
        <w:t>D</w:t>
      </w:r>
      <w:r w:rsidRPr="00DC1F83">
        <w:rPr>
          <w:rFonts w:ascii="ITC Avant Garde" w:hAnsi="ITC Avant Garde"/>
          <w:bCs/>
          <w:color w:val="000000"/>
          <w:lang w:eastAsia="es-MX"/>
        </w:rPr>
        <w:t xml:space="preserve">ependencia del Ejecutivo Federal emitió la opinión técnica </w:t>
      </w:r>
      <w:r w:rsidR="000F1106" w:rsidRPr="00DC1F83">
        <w:rPr>
          <w:rFonts w:ascii="ITC Avant Garde" w:hAnsi="ITC Avant Garde"/>
          <w:bCs/>
          <w:color w:val="000000"/>
          <w:lang w:eastAsia="es-MX"/>
        </w:rPr>
        <w:t xml:space="preserve">respecto </w:t>
      </w:r>
      <w:r w:rsidRPr="00DC1F83">
        <w:rPr>
          <w:rFonts w:ascii="ITC Avant Garde" w:hAnsi="ITC Avant Garde"/>
          <w:bCs/>
          <w:color w:val="000000"/>
          <w:lang w:eastAsia="es-MX"/>
        </w:rPr>
        <w:t>de las Solicitudes de Prórroga.</w:t>
      </w:r>
    </w:p>
    <w:p w14:paraId="37F30A35" w14:textId="797AF4CD" w:rsidR="00C822CF" w:rsidRPr="00DC1F83" w:rsidRDefault="001C095D" w:rsidP="00DC1F83">
      <w:pPr>
        <w:numPr>
          <w:ilvl w:val="0"/>
          <w:numId w:val="4"/>
        </w:numPr>
        <w:spacing w:before="240" w:line="240" w:lineRule="auto"/>
        <w:ind w:left="567" w:hanging="567"/>
        <w:jc w:val="both"/>
        <w:rPr>
          <w:rFonts w:ascii="ITC Avant Garde" w:hAnsi="ITC Avant Garde"/>
          <w:bCs/>
          <w:color w:val="000000"/>
          <w:lang w:eastAsia="es-MX"/>
        </w:rPr>
      </w:pPr>
      <w:r w:rsidRPr="00DC1F83">
        <w:rPr>
          <w:rFonts w:ascii="ITC Avant Garde" w:hAnsi="ITC Avant Garde"/>
          <w:b/>
          <w:bCs/>
          <w:color w:val="000000"/>
          <w:lang w:eastAsia="es-MX"/>
        </w:rPr>
        <w:t xml:space="preserve">Opinión en </w:t>
      </w:r>
      <w:r w:rsidR="00F9007D" w:rsidRPr="00DC1F83">
        <w:rPr>
          <w:rFonts w:ascii="ITC Avant Garde" w:hAnsi="ITC Avant Garde"/>
          <w:b/>
          <w:bCs/>
          <w:color w:val="000000"/>
          <w:lang w:eastAsia="es-MX"/>
        </w:rPr>
        <w:t xml:space="preserve">materia </w:t>
      </w:r>
      <w:r w:rsidRPr="00DC1F83">
        <w:rPr>
          <w:rFonts w:ascii="ITC Avant Garde" w:hAnsi="ITC Avant Garde"/>
          <w:b/>
          <w:bCs/>
          <w:color w:val="000000"/>
          <w:lang w:eastAsia="es-MX"/>
        </w:rPr>
        <w:t xml:space="preserve">de Competencia Económica. </w:t>
      </w:r>
      <w:r w:rsidRPr="00DC1F83">
        <w:rPr>
          <w:rFonts w:ascii="ITC Avant Garde" w:hAnsi="ITC Avant Garde"/>
          <w:bCs/>
          <w:color w:val="000000"/>
          <w:lang w:eastAsia="es-MX"/>
        </w:rPr>
        <w:t>Con oficio IFT/226/UCE/DG-CCON/063/2015 de fecha 8 de mayo de 2015, la Unidad de Competencia Económica</w:t>
      </w:r>
      <w:r w:rsidR="00F9007D" w:rsidRPr="00DC1F83">
        <w:rPr>
          <w:rFonts w:ascii="ITC Avant Garde" w:hAnsi="ITC Avant Garde"/>
          <w:bCs/>
          <w:color w:val="000000"/>
          <w:lang w:eastAsia="es-MX"/>
        </w:rPr>
        <w:t>,</w:t>
      </w:r>
      <w:r w:rsidRPr="00DC1F83">
        <w:rPr>
          <w:rFonts w:ascii="ITC Avant Garde" w:hAnsi="ITC Avant Garde"/>
          <w:bCs/>
          <w:color w:val="000000"/>
          <w:lang w:eastAsia="es-MX"/>
        </w:rPr>
        <w:t xml:space="preserve"> </w:t>
      </w:r>
      <w:r w:rsidR="00C822CF" w:rsidRPr="00DC1F83">
        <w:rPr>
          <w:rFonts w:ascii="ITC Avant Garde" w:hAnsi="ITC Avant Garde"/>
          <w:bCs/>
          <w:color w:val="000000"/>
          <w:lang w:eastAsia="es-MX"/>
        </w:rPr>
        <w:t>a través de la Dirección General de Concentraciones y Concesiones</w:t>
      </w:r>
      <w:r w:rsidR="00F9007D" w:rsidRPr="00DC1F83">
        <w:rPr>
          <w:rFonts w:ascii="ITC Avant Garde" w:hAnsi="ITC Avant Garde"/>
          <w:bCs/>
          <w:color w:val="000000"/>
          <w:lang w:eastAsia="es-MX"/>
        </w:rPr>
        <w:t>,</w:t>
      </w:r>
      <w:r w:rsidR="00C822CF" w:rsidRPr="00DC1F83">
        <w:rPr>
          <w:rFonts w:ascii="ITC Avant Garde" w:hAnsi="ITC Avant Garde"/>
          <w:bCs/>
          <w:color w:val="000000"/>
          <w:lang w:eastAsia="es-MX"/>
        </w:rPr>
        <w:t xml:space="preserve"> emitió opinión en materia de competencia económica con respecto a la</w:t>
      </w:r>
      <w:r w:rsidR="00BB2F19" w:rsidRPr="00DC1F83">
        <w:rPr>
          <w:rFonts w:ascii="ITC Avant Garde" w:hAnsi="ITC Avant Garde"/>
          <w:bCs/>
          <w:color w:val="000000"/>
          <w:lang w:eastAsia="es-MX"/>
        </w:rPr>
        <w:t>s</w:t>
      </w:r>
      <w:r w:rsidR="00C822CF" w:rsidRPr="00DC1F83">
        <w:rPr>
          <w:rFonts w:ascii="ITC Avant Garde" w:hAnsi="ITC Avant Garde"/>
          <w:bCs/>
          <w:color w:val="000000"/>
          <w:lang w:eastAsia="es-MX"/>
        </w:rPr>
        <w:t xml:space="preserve"> Solicitud</w:t>
      </w:r>
      <w:r w:rsidR="00BB2F19" w:rsidRPr="00DC1F83">
        <w:rPr>
          <w:rFonts w:ascii="ITC Avant Garde" w:hAnsi="ITC Avant Garde"/>
          <w:bCs/>
          <w:color w:val="000000"/>
          <w:lang w:eastAsia="es-MX"/>
        </w:rPr>
        <w:t>es</w:t>
      </w:r>
      <w:r w:rsidR="00C822CF" w:rsidRPr="00DC1F83">
        <w:rPr>
          <w:rFonts w:ascii="ITC Avant Garde" w:hAnsi="ITC Avant Garde"/>
          <w:bCs/>
          <w:color w:val="000000"/>
          <w:lang w:eastAsia="es-MX"/>
        </w:rPr>
        <w:t xml:space="preserve"> de Prórroga. </w:t>
      </w:r>
    </w:p>
    <w:p w14:paraId="1891FE91" w14:textId="77777777" w:rsidR="00DC1F83" w:rsidRPr="00DC1F83" w:rsidRDefault="00A57273" w:rsidP="00DC1F83">
      <w:pPr>
        <w:numPr>
          <w:ilvl w:val="0"/>
          <w:numId w:val="4"/>
        </w:numPr>
        <w:spacing w:before="240" w:line="240" w:lineRule="auto"/>
        <w:ind w:left="567" w:hanging="567"/>
        <w:jc w:val="both"/>
        <w:rPr>
          <w:rFonts w:ascii="ITC Avant Garde" w:hAnsi="ITC Avant Garde"/>
          <w:bCs/>
          <w:color w:val="000000"/>
          <w:lang w:eastAsia="es-MX"/>
        </w:rPr>
      </w:pPr>
      <w:r w:rsidRPr="00DC1F83">
        <w:rPr>
          <w:rFonts w:ascii="ITC Avant Garde" w:hAnsi="ITC Avant Garde"/>
          <w:b/>
          <w:bCs/>
          <w:color w:val="000000"/>
          <w:lang w:eastAsia="es-MX"/>
        </w:rPr>
        <w:t xml:space="preserve">Dictamen </w:t>
      </w:r>
      <w:r w:rsidR="00C822CF" w:rsidRPr="00DC1F83">
        <w:rPr>
          <w:rFonts w:ascii="ITC Avant Garde" w:hAnsi="ITC Avant Garde"/>
          <w:b/>
          <w:bCs/>
          <w:color w:val="000000"/>
          <w:lang w:eastAsia="es-MX"/>
        </w:rPr>
        <w:t xml:space="preserve">en </w:t>
      </w:r>
      <w:r w:rsidR="00F9007D" w:rsidRPr="00DC1F83">
        <w:rPr>
          <w:rFonts w:ascii="ITC Avant Garde" w:hAnsi="ITC Avant Garde"/>
          <w:b/>
          <w:bCs/>
          <w:color w:val="000000"/>
          <w:lang w:eastAsia="es-MX"/>
        </w:rPr>
        <w:t xml:space="preserve">materia </w:t>
      </w:r>
      <w:r w:rsidR="00C822CF" w:rsidRPr="00DC1F83">
        <w:rPr>
          <w:rFonts w:ascii="ITC Avant Garde" w:hAnsi="ITC Avant Garde"/>
          <w:b/>
          <w:bCs/>
          <w:color w:val="000000"/>
          <w:lang w:eastAsia="es-MX"/>
        </w:rPr>
        <w:t xml:space="preserve">de Cumplimiento de Obligaciones. </w:t>
      </w:r>
      <w:r w:rsidR="00C822CF" w:rsidRPr="00DC1F83">
        <w:rPr>
          <w:rFonts w:ascii="ITC Avant Garde" w:hAnsi="ITC Avant Garde"/>
          <w:bCs/>
          <w:color w:val="000000"/>
          <w:lang w:eastAsia="es-MX"/>
        </w:rPr>
        <w:t>Con oficios IFT/225/UC/</w:t>
      </w:r>
      <w:r w:rsidR="00BB2F19" w:rsidRPr="00DC1F83">
        <w:rPr>
          <w:rFonts w:ascii="ITC Avant Garde" w:hAnsi="ITC Avant Garde"/>
          <w:bCs/>
          <w:color w:val="000000"/>
          <w:lang w:eastAsia="es-MX"/>
        </w:rPr>
        <w:t>DG-SUV/2119</w:t>
      </w:r>
      <w:r w:rsidR="00C822CF" w:rsidRPr="00DC1F83">
        <w:rPr>
          <w:rFonts w:ascii="ITC Avant Garde" w:hAnsi="ITC Avant Garde"/>
          <w:bCs/>
          <w:color w:val="000000"/>
          <w:lang w:eastAsia="es-MX"/>
        </w:rPr>
        <w:t>/201</w:t>
      </w:r>
      <w:r w:rsidR="00BB2F19" w:rsidRPr="00DC1F83">
        <w:rPr>
          <w:rFonts w:ascii="ITC Avant Garde" w:hAnsi="ITC Avant Garde"/>
          <w:bCs/>
          <w:color w:val="000000"/>
          <w:lang w:eastAsia="es-MX"/>
        </w:rPr>
        <w:t>6, IFT/225/UC/DG-SUV/2123/2016, IFT/225/UC/DG-SUV/2124/2016, IFT/225/UC/DG-SUV/2125/2016, IFT/225/UC/DG-SUV/2126/2016, IFT/225/UC/DG-SUV/2127/2016, IFT/225/UC/DG-SUV/2128/2016, IFT/225/UC/DG-SUV/2129/2016 e IFT/225/UC/DG-SUV/2130/2016, todos</w:t>
      </w:r>
      <w:r w:rsidR="00C822CF" w:rsidRPr="00DC1F83">
        <w:rPr>
          <w:rFonts w:ascii="ITC Avant Garde" w:hAnsi="ITC Avant Garde"/>
          <w:bCs/>
          <w:color w:val="000000"/>
          <w:lang w:eastAsia="es-MX"/>
        </w:rPr>
        <w:t xml:space="preserve"> de fecha 1</w:t>
      </w:r>
      <w:r w:rsidR="00BB2F19" w:rsidRPr="00DC1F83">
        <w:rPr>
          <w:rFonts w:ascii="ITC Avant Garde" w:hAnsi="ITC Avant Garde"/>
          <w:bCs/>
          <w:color w:val="000000"/>
          <w:lang w:eastAsia="es-MX"/>
        </w:rPr>
        <w:t>2</w:t>
      </w:r>
      <w:r w:rsidR="00C822CF" w:rsidRPr="00DC1F83">
        <w:rPr>
          <w:rFonts w:ascii="ITC Avant Garde" w:hAnsi="ITC Avant Garde"/>
          <w:bCs/>
          <w:color w:val="000000"/>
          <w:lang w:eastAsia="es-MX"/>
        </w:rPr>
        <w:t xml:space="preserve"> de </w:t>
      </w:r>
      <w:r w:rsidR="00BB2F19" w:rsidRPr="00DC1F83">
        <w:rPr>
          <w:rFonts w:ascii="ITC Avant Garde" w:hAnsi="ITC Avant Garde"/>
          <w:bCs/>
          <w:color w:val="000000"/>
          <w:lang w:eastAsia="es-MX"/>
        </w:rPr>
        <w:t xml:space="preserve">abril </w:t>
      </w:r>
      <w:r w:rsidR="00C822CF" w:rsidRPr="00DC1F83">
        <w:rPr>
          <w:rFonts w:ascii="ITC Avant Garde" w:hAnsi="ITC Avant Garde"/>
          <w:bCs/>
          <w:color w:val="000000"/>
          <w:lang w:eastAsia="es-MX"/>
        </w:rPr>
        <w:t>de 201</w:t>
      </w:r>
      <w:r w:rsidR="00BB2F19" w:rsidRPr="00DC1F83">
        <w:rPr>
          <w:rFonts w:ascii="ITC Avant Garde" w:hAnsi="ITC Avant Garde"/>
          <w:bCs/>
          <w:color w:val="000000"/>
          <w:lang w:eastAsia="es-MX"/>
        </w:rPr>
        <w:t>6</w:t>
      </w:r>
      <w:r w:rsidR="00F9007D" w:rsidRPr="00DC1F83">
        <w:rPr>
          <w:rFonts w:ascii="ITC Avant Garde" w:hAnsi="ITC Avant Garde"/>
          <w:bCs/>
          <w:color w:val="000000"/>
          <w:lang w:eastAsia="es-MX"/>
        </w:rPr>
        <w:t>,</w:t>
      </w:r>
      <w:r w:rsidR="00C822CF" w:rsidRPr="00DC1F83">
        <w:rPr>
          <w:rFonts w:ascii="ITC Avant Garde" w:hAnsi="ITC Avant Garde"/>
          <w:bCs/>
          <w:color w:val="000000"/>
          <w:lang w:eastAsia="es-MX"/>
        </w:rPr>
        <w:t xml:space="preserve"> la Unidad de Cumplimiento informó a la Unidad de Concesiones y Servicios el estado que guarda el cumplimiento de obligaciones a cargo de Telcel, </w:t>
      </w:r>
      <w:r w:rsidR="00BB2F19" w:rsidRPr="00DC1F83">
        <w:rPr>
          <w:rFonts w:ascii="ITC Avant Garde" w:hAnsi="ITC Avant Garde"/>
          <w:bCs/>
          <w:color w:val="000000"/>
          <w:lang w:eastAsia="es-MX"/>
        </w:rPr>
        <w:t xml:space="preserve">en relación a cada una de las Concesiones señaladas en </w:t>
      </w:r>
      <w:r w:rsidR="00C822CF" w:rsidRPr="00DC1F83">
        <w:rPr>
          <w:rFonts w:ascii="ITC Avant Garde" w:hAnsi="ITC Avant Garde"/>
          <w:bCs/>
          <w:color w:val="000000"/>
          <w:lang w:eastAsia="es-MX"/>
        </w:rPr>
        <w:t>la</w:t>
      </w:r>
      <w:r w:rsidRPr="00DC1F83">
        <w:rPr>
          <w:rFonts w:ascii="ITC Avant Garde" w:hAnsi="ITC Avant Garde"/>
          <w:bCs/>
          <w:color w:val="000000"/>
          <w:lang w:eastAsia="es-MX"/>
        </w:rPr>
        <w:t>s</w:t>
      </w:r>
      <w:r w:rsidR="00BB2F19" w:rsidRPr="00DC1F83">
        <w:rPr>
          <w:rFonts w:ascii="ITC Avant Garde" w:hAnsi="ITC Avant Garde"/>
          <w:bCs/>
          <w:color w:val="000000"/>
          <w:lang w:eastAsia="es-MX"/>
        </w:rPr>
        <w:t xml:space="preserve"> </w:t>
      </w:r>
      <w:r w:rsidRPr="00DC1F83">
        <w:rPr>
          <w:rFonts w:ascii="ITC Avant Garde" w:hAnsi="ITC Avant Garde"/>
          <w:bCs/>
          <w:color w:val="000000"/>
          <w:lang w:eastAsia="es-MX"/>
        </w:rPr>
        <w:t>S</w:t>
      </w:r>
      <w:r w:rsidR="00C822CF" w:rsidRPr="00DC1F83">
        <w:rPr>
          <w:rFonts w:ascii="ITC Avant Garde" w:hAnsi="ITC Avant Garde"/>
          <w:bCs/>
          <w:color w:val="000000"/>
          <w:lang w:eastAsia="es-MX"/>
        </w:rPr>
        <w:t>olicitud</w:t>
      </w:r>
      <w:r w:rsidRPr="00DC1F83">
        <w:rPr>
          <w:rFonts w:ascii="ITC Avant Garde" w:hAnsi="ITC Avant Garde"/>
          <w:bCs/>
          <w:color w:val="000000"/>
          <w:lang w:eastAsia="es-MX"/>
        </w:rPr>
        <w:t>es</w:t>
      </w:r>
      <w:r w:rsidR="00C822CF" w:rsidRPr="00DC1F83">
        <w:rPr>
          <w:rFonts w:ascii="ITC Avant Garde" w:hAnsi="ITC Avant Garde"/>
          <w:bCs/>
          <w:color w:val="000000"/>
          <w:lang w:eastAsia="es-MX"/>
        </w:rPr>
        <w:t xml:space="preserve"> de </w:t>
      </w:r>
      <w:r w:rsidRPr="00DC1F83">
        <w:rPr>
          <w:rFonts w:ascii="ITC Avant Garde" w:hAnsi="ITC Avant Garde"/>
          <w:bCs/>
          <w:color w:val="000000"/>
          <w:lang w:eastAsia="es-MX"/>
        </w:rPr>
        <w:t>P</w:t>
      </w:r>
      <w:r w:rsidR="00C822CF" w:rsidRPr="00DC1F83">
        <w:rPr>
          <w:rFonts w:ascii="ITC Avant Garde" w:hAnsi="ITC Avant Garde"/>
          <w:bCs/>
          <w:color w:val="000000"/>
          <w:lang w:eastAsia="es-MX"/>
        </w:rPr>
        <w:t>rórroga.</w:t>
      </w:r>
    </w:p>
    <w:p w14:paraId="4B738D21" w14:textId="2C92D8C0" w:rsidR="00DC1F83" w:rsidRPr="00DC1F83" w:rsidRDefault="00A04802" w:rsidP="00DC1F83">
      <w:pPr>
        <w:numPr>
          <w:ilvl w:val="0"/>
          <w:numId w:val="4"/>
        </w:numPr>
        <w:spacing w:before="240" w:line="240" w:lineRule="auto"/>
        <w:ind w:left="567" w:hanging="567"/>
        <w:jc w:val="both"/>
        <w:rPr>
          <w:rFonts w:ascii="ITC Avant Garde" w:hAnsi="ITC Avant Garde"/>
          <w:bCs/>
          <w:color w:val="000000"/>
          <w:lang w:eastAsia="es-MX"/>
        </w:rPr>
      </w:pPr>
      <w:r w:rsidRPr="00DC1F83">
        <w:rPr>
          <w:rFonts w:ascii="ITC Avant Garde" w:hAnsi="ITC Avant Garde"/>
          <w:b/>
          <w:color w:val="000000"/>
          <w:shd w:val="clear" w:color="auto" w:fill="FFFFFF"/>
        </w:rPr>
        <w:t xml:space="preserve">Opinión en </w:t>
      </w:r>
      <w:r w:rsidR="00F9007D" w:rsidRPr="00DC1F83">
        <w:rPr>
          <w:rFonts w:ascii="ITC Avant Garde" w:hAnsi="ITC Avant Garde"/>
          <w:b/>
          <w:color w:val="000000"/>
          <w:shd w:val="clear" w:color="auto" w:fill="FFFFFF"/>
        </w:rPr>
        <w:t xml:space="preserve">materia </w:t>
      </w:r>
      <w:r w:rsidR="00957EEA" w:rsidRPr="00DC1F83">
        <w:rPr>
          <w:rFonts w:ascii="ITC Avant Garde" w:hAnsi="ITC Avant Garde"/>
          <w:b/>
          <w:color w:val="000000"/>
          <w:shd w:val="clear" w:color="auto" w:fill="FFFFFF"/>
        </w:rPr>
        <w:t xml:space="preserve">de </w:t>
      </w:r>
      <w:r w:rsidR="00836BF6" w:rsidRPr="00DC1F83">
        <w:rPr>
          <w:rFonts w:ascii="ITC Avant Garde" w:hAnsi="ITC Avant Garde"/>
          <w:b/>
          <w:color w:val="000000"/>
          <w:shd w:val="clear" w:color="auto" w:fill="FFFFFF"/>
        </w:rPr>
        <w:t>Espectro Radioeléctrico</w:t>
      </w:r>
      <w:r w:rsidR="00957EEA" w:rsidRPr="00DC1F83">
        <w:rPr>
          <w:rFonts w:ascii="ITC Avant Garde" w:hAnsi="ITC Avant Garde"/>
          <w:b/>
          <w:color w:val="000000"/>
          <w:shd w:val="clear" w:color="auto" w:fill="FFFFFF"/>
        </w:rPr>
        <w:t>.</w:t>
      </w:r>
      <w:r w:rsidR="00957EEA" w:rsidRPr="00DC1F83">
        <w:rPr>
          <w:rFonts w:ascii="ITC Avant Garde" w:hAnsi="ITC Avant Garde"/>
          <w:color w:val="000000"/>
          <w:shd w:val="clear" w:color="auto" w:fill="FFFFFF"/>
        </w:rPr>
        <w:t xml:space="preserve"> Con oficio</w:t>
      </w:r>
      <w:r w:rsidR="00E05745" w:rsidRPr="00DC1F83">
        <w:rPr>
          <w:rFonts w:ascii="ITC Avant Garde" w:hAnsi="ITC Avant Garde"/>
          <w:color w:val="000000"/>
          <w:shd w:val="clear" w:color="auto" w:fill="FFFFFF"/>
        </w:rPr>
        <w:t>s</w:t>
      </w:r>
      <w:r w:rsidR="00957EEA" w:rsidRPr="00DC1F83">
        <w:rPr>
          <w:rFonts w:ascii="ITC Avant Garde" w:hAnsi="ITC Avant Garde"/>
          <w:color w:val="000000"/>
          <w:shd w:val="clear" w:color="auto" w:fill="FFFFFF"/>
        </w:rPr>
        <w:t xml:space="preserve"> </w:t>
      </w:r>
      <w:r w:rsidR="009511A9" w:rsidRPr="00DC1F83">
        <w:rPr>
          <w:rFonts w:ascii="ITC Avant Garde" w:hAnsi="ITC Avant Garde"/>
          <w:color w:val="000000"/>
          <w:shd w:val="clear" w:color="auto" w:fill="FFFFFF"/>
        </w:rPr>
        <w:t>IFT/222/UER/DGPE</w:t>
      </w:r>
      <w:r w:rsidR="00E05745" w:rsidRPr="00DC1F83">
        <w:rPr>
          <w:rFonts w:ascii="ITC Avant Garde" w:hAnsi="ITC Avant Garde"/>
          <w:color w:val="000000"/>
          <w:shd w:val="clear" w:color="auto" w:fill="FFFFFF"/>
        </w:rPr>
        <w:t>/033/</w:t>
      </w:r>
      <w:r w:rsidR="009511A9" w:rsidRPr="00DC1F83">
        <w:rPr>
          <w:rFonts w:ascii="ITC Avant Garde" w:hAnsi="ITC Avant Garde"/>
          <w:color w:val="000000"/>
          <w:shd w:val="clear" w:color="auto" w:fill="FFFFFF"/>
        </w:rPr>
        <w:t>201</w:t>
      </w:r>
      <w:r w:rsidR="00B16CF4" w:rsidRPr="00DC1F83">
        <w:rPr>
          <w:rFonts w:ascii="ITC Avant Garde" w:hAnsi="ITC Avant Garde"/>
          <w:color w:val="000000"/>
          <w:shd w:val="clear" w:color="auto" w:fill="FFFFFF"/>
        </w:rPr>
        <w:t xml:space="preserve">6 </w:t>
      </w:r>
      <w:r w:rsidR="00957EEA" w:rsidRPr="00DC1F83">
        <w:rPr>
          <w:rFonts w:ascii="ITC Avant Garde" w:hAnsi="ITC Avant Garde"/>
          <w:color w:val="000000"/>
          <w:shd w:val="clear" w:color="auto" w:fill="FFFFFF"/>
        </w:rPr>
        <w:t xml:space="preserve">de fecha </w:t>
      </w:r>
      <w:r w:rsidR="00E05745" w:rsidRPr="00DC1F83">
        <w:rPr>
          <w:rFonts w:ascii="ITC Avant Garde" w:hAnsi="ITC Avant Garde"/>
          <w:color w:val="000000"/>
          <w:shd w:val="clear" w:color="auto" w:fill="FFFFFF"/>
        </w:rPr>
        <w:t>12 de agosto</w:t>
      </w:r>
      <w:r w:rsidR="00957EEA" w:rsidRPr="00DC1F83">
        <w:rPr>
          <w:rFonts w:ascii="ITC Avant Garde" w:hAnsi="ITC Avant Garde"/>
          <w:color w:val="000000"/>
          <w:shd w:val="clear" w:color="auto" w:fill="FFFFFF"/>
        </w:rPr>
        <w:t xml:space="preserve"> de 201</w:t>
      </w:r>
      <w:r w:rsidR="00B16CF4" w:rsidRPr="00DC1F83">
        <w:rPr>
          <w:rFonts w:ascii="ITC Avant Garde" w:hAnsi="ITC Avant Garde"/>
          <w:color w:val="000000"/>
          <w:shd w:val="clear" w:color="auto" w:fill="FFFFFF"/>
        </w:rPr>
        <w:t>6</w:t>
      </w:r>
      <w:r w:rsidR="00E05745" w:rsidRPr="00DC1F83">
        <w:rPr>
          <w:rFonts w:ascii="ITC Avant Garde" w:hAnsi="ITC Avant Garde"/>
          <w:color w:val="000000"/>
          <w:shd w:val="clear" w:color="auto" w:fill="FFFFFF"/>
        </w:rPr>
        <w:t xml:space="preserve"> e IFT/222/UER/</w:t>
      </w:r>
      <w:r w:rsidR="00D41175" w:rsidRPr="00DC1F83">
        <w:rPr>
          <w:rFonts w:ascii="ITC Avant Garde" w:hAnsi="ITC Avant Garde"/>
          <w:color w:val="000000"/>
          <w:shd w:val="clear" w:color="auto" w:fill="FFFFFF"/>
        </w:rPr>
        <w:t>DGEERO</w:t>
      </w:r>
      <w:r w:rsidR="00E05745" w:rsidRPr="00DC1F83">
        <w:rPr>
          <w:rFonts w:ascii="ITC Avant Garde" w:hAnsi="ITC Avant Garde"/>
          <w:color w:val="000000"/>
          <w:shd w:val="clear" w:color="auto" w:fill="FFFFFF"/>
        </w:rPr>
        <w:t>/</w:t>
      </w:r>
      <w:r w:rsidR="00D41175" w:rsidRPr="00DC1F83">
        <w:rPr>
          <w:rFonts w:ascii="ITC Avant Garde" w:hAnsi="ITC Avant Garde"/>
          <w:color w:val="000000"/>
          <w:shd w:val="clear" w:color="auto" w:fill="FFFFFF"/>
        </w:rPr>
        <w:t>095</w:t>
      </w:r>
      <w:r w:rsidR="00E05745" w:rsidRPr="00DC1F83">
        <w:rPr>
          <w:rFonts w:ascii="ITC Avant Garde" w:hAnsi="ITC Avant Garde"/>
          <w:color w:val="000000"/>
          <w:shd w:val="clear" w:color="auto" w:fill="FFFFFF"/>
        </w:rPr>
        <w:t>/2016</w:t>
      </w:r>
      <w:r w:rsidR="00716AE9" w:rsidRPr="00DC1F83">
        <w:rPr>
          <w:rFonts w:ascii="ITC Avant Garde" w:hAnsi="ITC Avant Garde"/>
          <w:color w:val="000000"/>
          <w:shd w:val="clear" w:color="auto" w:fill="FFFFFF"/>
        </w:rPr>
        <w:t xml:space="preserve"> de fecha 17</w:t>
      </w:r>
      <w:r w:rsidR="00E05745" w:rsidRPr="00DC1F83">
        <w:rPr>
          <w:rFonts w:ascii="ITC Avant Garde" w:hAnsi="ITC Avant Garde"/>
          <w:color w:val="000000"/>
          <w:shd w:val="clear" w:color="auto" w:fill="FFFFFF"/>
        </w:rPr>
        <w:t xml:space="preserve"> de agosto de 2016</w:t>
      </w:r>
      <w:r w:rsidR="00957EEA" w:rsidRPr="00DC1F83">
        <w:rPr>
          <w:rFonts w:ascii="ITC Avant Garde" w:hAnsi="ITC Avant Garde"/>
          <w:color w:val="000000"/>
          <w:shd w:val="clear" w:color="auto" w:fill="FFFFFF"/>
        </w:rPr>
        <w:t>, la Unidad de Espectro Radioeléctrico</w:t>
      </w:r>
      <w:r w:rsidR="009D3824" w:rsidRPr="00DC1F83">
        <w:rPr>
          <w:rFonts w:ascii="ITC Avant Garde" w:hAnsi="ITC Avant Garde"/>
          <w:color w:val="000000"/>
          <w:shd w:val="clear" w:color="auto" w:fill="FFFFFF"/>
        </w:rPr>
        <w:t xml:space="preserve">, </w:t>
      </w:r>
      <w:r w:rsidR="00D527D5" w:rsidRPr="00DC1F83">
        <w:rPr>
          <w:rFonts w:ascii="ITC Avant Garde" w:hAnsi="ITC Avant Garde"/>
          <w:color w:val="000000"/>
          <w:shd w:val="clear" w:color="auto" w:fill="FFFFFF"/>
        </w:rPr>
        <w:t xml:space="preserve">a través de las Direcciones Generales de Planeación del </w:t>
      </w:r>
      <w:r w:rsidR="00D527D5" w:rsidRPr="00DC1F83">
        <w:rPr>
          <w:rFonts w:ascii="ITC Avant Garde" w:hAnsi="ITC Avant Garde"/>
          <w:color w:val="000000"/>
          <w:shd w:val="clear" w:color="auto" w:fill="FFFFFF"/>
        </w:rPr>
        <w:lastRenderedPageBreak/>
        <w:t xml:space="preserve">Espectro y de Economía del Espectro y Recursos Orbitales, </w:t>
      </w:r>
      <w:r w:rsidR="00957EEA" w:rsidRPr="00DC1F83">
        <w:rPr>
          <w:rFonts w:ascii="ITC Avant Garde" w:hAnsi="ITC Avant Garde"/>
          <w:color w:val="000000"/>
          <w:shd w:val="clear" w:color="auto" w:fill="FFFFFF"/>
        </w:rPr>
        <w:t xml:space="preserve">remitió </w:t>
      </w:r>
      <w:r w:rsidR="00E05745" w:rsidRPr="00DC1F83">
        <w:rPr>
          <w:rFonts w:ascii="ITC Avant Garde" w:hAnsi="ITC Avant Garde"/>
          <w:color w:val="000000"/>
          <w:shd w:val="clear" w:color="auto" w:fill="FFFFFF"/>
        </w:rPr>
        <w:t>el</w:t>
      </w:r>
      <w:r w:rsidR="0085417F" w:rsidRPr="00DC1F83">
        <w:rPr>
          <w:rFonts w:ascii="ITC Avant Garde" w:hAnsi="ITC Avant Garde"/>
          <w:color w:val="000000"/>
          <w:shd w:val="clear" w:color="auto" w:fill="FFFFFF"/>
        </w:rPr>
        <w:t xml:space="preserve"> </w:t>
      </w:r>
      <w:r w:rsidR="00E94CB0" w:rsidRPr="00DC1F83">
        <w:rPr>
          <w:rFonts w:ascii="ITC Avant Garde" w:hAnsi="ITC Avant Garde"/>
          <w:color w:val="000000"/>
          <w:shd w:val="clear" w:color="auto" w:fill="FFFFFF"/>
        </w:rPr>
        <w:t>dict</w:t>
      </w:r>
      <w:r w:rsidR="00E05745" w:rsidRPr="00DC1F83">
        <w:rPr>
          <w:rFonts w:ascii="ITC Avant Garde" w:hAnsi="ITC Avant Garde"/>
          <w:color w:val="000000"/>
          <w:shd w:val="clear" w:color="auto" w:fill="FFFFFF"/>
        </w:rPr>
        <w:t>a</w:t>
      </w:r>
      <w:r w:rsidR="0085417F" w:rsidRPr="00DC1F83">
        <w:rPr>
          <w:rFonts w:ascii="ITC Avant Garde" w:hAnsi="ITC Avant Garde"/>
          <w:color w:val="000000"/>
          <w:shd w:val="clear" w:color="auto" w:fill="FFFFFF"/>
        </w:rPr>
        <w:t>men</w:t>
      </w:r>
      <w:r w:rsidR="00E94CB0" w:rsidRPr="00DC1F83">
        <w:rPr>
          <w:rFonts w:ascii="ITC Avant Garde" w:hAnsi="ITC Avant Garde"/>
          <w:color w:val="000000"/>
          <w:shd w:val="clear" w:color="auto" w:fill="FFFFFF"/>
        </w:rPr>
        <w:t xml:space="preserve"> </w:t>
      </w:r>
      <w:r w:rsidR="009511A9" w:rsidRPr="00DC1F83">
        <w:rPr>
          <w:rFonts w:ascii="ITC Avant Garde" w:hAnsi="ITC Avant Garde"/>
          <w:color w:val="000000"/>
          <w:shd w:val="clear" w:color="auto" w:fill="FFFFFF"/>
        </w:rPr>
        <w:t>de planificación espectral para la banda de frecuencias</w:t>
      </w:r>
      <w:r w:rsidR="0085417F" w:rsidRPr="00DC1F83">
        <w:rPr>
          <w:rFonts w:ascii="ITC Avant Garde" w:hAnsi="ITC Avant Garde"/>
          <w:color w:val="000000"/>
          <w:shd w:val="clear" w:color="auto" w:fill="FFFFFF"/>
        </w:rPr>
        <w:t xml:space="preserve"> </w:t>
      </w:r>
      <w:r w:rsidR="00E05745" w:rsidRPr="00DC1F83">
        <w:rPr>
          <w:rFonts w:ascii="ITC Avant Garde" w:hAnsi="ITC Avant Garde"/>
          <w:color w:val="000000"/>
          <w:shd w:val="clear" w:color="auto" w:fill="FFFFFF"/>
        </w:rPr>
        <w:t>1850-1910/1930-1990</w:t>
      </w:r>
      <w:r w:rsidR="009511A9" w:rsidRPr="00DC1F83">
        <w:rPr>
          <w:rFonts w:ascii="ITC Avant Garde" w:hAnsi="ITC Avant Garde"/>
          <w:color w:val="000000"/>
          <w:shd w:val="clear" w:color="auto" w:fill="FFFFFF"/>
        </w:rPr>
        <w:t xml:space="preserve"> MHz, </w:t>
      </w:r>
      <w:r w:rsidR="00E05745" w:rsidRPr="00DC1F83">
        <w:rPr>
          <w:rFonts w:ascii="ITC Avant Garde" w:hAnsi="ITC Avant Garde"/>
          <w:color w:val="000000"/>
          <w:shd w:val="clear" w:color="auto" w:fill="FFFFFF"/>
        </w:rPr>
        <w:t xml:space="preserve">los </w:t>
      </w:r>
      <w:r w:rsidR="00A55E75" w:rsidRPr="00DC1F83">
        <w:rPr>
          <w:rFonts w:ascii="ITC Avant Garde" w:hAnsi="ITC Avant Garde"/>
          <w:color w:val="000000"/>
          <w:shd w:val="clear" w:color="auto" w:fill="FFFFFF"/>
        </w:rPr>
        <w:t>dic</w:t>
      </w:r>
      <w:r w:rsidR="00E05745" w:rsidRPr="00DC1F83">
        <w:rPr>
          <w:rFonts w:ascii="ITC Avant Garde" w:hAnsi="ITC Avant Garde"/>
          <w:color w:val="000000"/>
          <w:shd w:val="clear" w:color="auto" w:fill="FFFFFF"/>
        </w:rPr>
        <w:t>támenes</w:t>
      </w:r>
      <w:r w:rsidR="00A55E75" w:rsidRPr="00DC1F83">
        <w:rPr>
          <w:rFonts w:ascii="ITC Avant Garde" w:hAnsi="ITC Avant Garde"/>
          <w:color w:val="000000"/>
          <w:shd w:val="clear" w:color="auto" w:fill="FFFFFF"/>
        </w:rPr>
        <w:t xml:space="preserve"> </w:t>
      </w:r>
      <w:r w:rsidR="009511A9" w:rsidRPr="00DC1F83">
        <w:rPr>
          <w:rFonts w:ascii="ITC Avant Garde" w:hAnsi="ITC Avant Garde"/>
          <w:color w:val="000000"/>
          <w:shd w:val="clear" w:color="auto" w:fill="FFFFFF"/>
        </w:rPr>
        <w:t>técnico</w:t>
      </w:r>
      <w:r w:rsidR="00E05745" w:rsidRPr="00DC1F83">
        <w:rPr>
          <w:rFonts w:ascii="ITC Avant Garde" w:hAnsi="ITC Avant Garde"/>
          <w:color w:val="000000"/>
          <w:shd w:val="clear" w:color="auto" w:fill="FFFFFF"/>
        </w:rPr>
        <w:t>s</w:t>
      </w:r>
      <w:r w:rsidR="009511A9" w:rsidRPr="00DC1F83">
        <w:rPr>
          <w:rFonts w:ascii="ITC Avant Garde" w:hAnsi="ITC Avant Garde"/>
          <w:color w:val="000000"/>
          <w:shd w:val="clear" w:color="auto" w:fill="FFFFFF"/>
        </w:rPr>
        <w:t xml:space="preserve"> en </w:t>
      </w:r>
      <w:r w:rsidR="00E05745" w:rsidRPr="00DC1F83">
        <w:rPr>
          <w:rFonts w:ascii="ITC Avant Garde" w:hAnsi="ITC Avant Garde"/>
          <w:color w:val="000000"/>
          <w:shd w:val="clear" w:color="auto" w:fill="FFFFFF"/>
        </w:rPr>
        <w:t xml:space="preserve">los </w:t>
      </w:r>
      <w:r w:rsidR="009511A9" w:rsidRPr="00DC1F83">
        <w:rPr>
          <w:rFonts w:ascii="ITC Avant Garde" w:hAnsi="ITC Avant Garde"/>
          <w:color w:val="000000"/>
          <w:shd w:val="clear" w:color="auto" w:fill="FFFFFF"/>
        </w:rPr>
        <w:t xml:space="preserve">que se establecen las </w:t>
      </w:r>
      <w:r w:rsidR="0085417F" w:rsidRPr="00DC1F83">
        <w:rPr>
          <w:rFonts w:ascii="ITC Avant Garde" w:hAnsi="ITC Avant Garde"/>
          <w:color w:val="000000"/>
          <w:shd w:val="clear" w:color="auto" w:fill="FFFFFF"/>
        </w:rPr>
        <w:t>condiciones técnicas y características de operación</w:t>
      </w:r>
      <w:r w:rsidR="00E05745" w:rsidRPr="00DC1F83">
        <w:rPr>
          <w:rFonts w:ascii="ITC Avant Garde" w:hAnsi="ITC Avant Garde"/>
          <w:color w:val="000000"/>
          <w:shd w:val="clear" w:color="auto" w:fill="FFFFFF"/>
        </w:rPr>
        <w:t>, así como la propuesta de contraprestación para cada una de las Solicitudes de Prórroga</w:t>
      </w:r>
      <w:r w:rsidR="009D3824" w:rsidRPr="00DC1F83">
        <w:rPr>
          <w:rFonts w:ascii="ITC Avant Garde" w:hAnsi="ITC Avant Garde"/>
          <w:color w:val="000000"/>
          <w:shd w:val="clear" w:color="auto" w:fill="FFFFFF"/>
        </w:rPr>
        <w:t>.</w:t>
      </w:r>
    </w:p>
    <w:p w14:paraId="28BE65F4" w14:textId="77777777" w:rsidR="00DC1F83" w:rsidRPr="00DC1F83" w:rsidRDefault="00B048BA" w:rsidP="00DC1F83">
      <w:pPr>
        <w:spacing w:before="240" w:line="240" w:lineRule="auto"/>
        <w:jc w:val="both"/>
        <w:rPr>
          <w:rFonts w:ascii="ITC Avant Garde" w:hAnsi="ITC Avant Garde"/>
          <w:bCs/>
          <w:color w:val="000000"/>
          <w:lang w:eastAsia="es-MX"/>
        </w:rPr>
      </w:pPr>
      <w:r w:rsidRPr="00DC1F83">
        <w:rPr>
          <w:rFonts w:ascii="ITC Avant Garde" w:hAnsi="ITC Avant Garde"/>
          <w:bCs/>
          <w:color w:val="000000"/>
          <w:lang w:eastAsia="es-MX"/>
        </w:rPr>
        <w:t>En virtud de los Antecedentes referidos y</w:t>
      </w:r>
    </w:p>
    <w:p w14:paraId="379E54BB" w14:textId="77777777" w:rsidR="00DC1F83" w:rsidRPr="00DC1F83" w:rsidRDefault="00B048BA" w:rsidP="00DC1F83">
      <w:pPr>
        <w:pStyle w:val="Ttulo2"/>
        <w:spacing w:after="240"/>
        <w:jc w:val="center"/>
        <w:rPr>
          <w:rFonts w:ascii="ITC Avant Garde" w:hAnsi="ITC Avant Garde"/>
          <w:b/>
          <w:color w:val="000000" w:themeColor="text1"/>
          <w:sz w:val="22"/>
          <w:szCs w:val="22"/>
        </w:rPr>
      </w:pPr>
      <w:r w:rsidRPr="00DC1F83">
        <w:rPr>
          <w:rFonts w:ascii="ITC Avant Garde" w:hAnsi="ITC Avant Garde"/>
          <w:b/>
          <w:color w:val="000000" w:themeColor="text1"/>
          <w:sz w:val="22"/>
          <w:szCs w:val="22"/>
        </w:rPr>
        <w:t>CONSIDERANDO</w:t>
      </w:r>
    </w:p>
    <w:p w14:paraId="08621CB5" w14:textId="2B5A05D4" w:rsidR="00DC1F83" w:rsidRPr="00DC1F83" w:rsidRDefault="00B048BA" w:rsidP="00DC1F83">
      <w:pPr>
        <w:autoSpaceDE w:val="0"/>
        <w:autoSpaceDN w:val="0"/>
        <w:adjustRightInd w:val="0"/>
        <w:spacing w:before="240" w:line="240" w:lineRule="auto"/>
        <w:jc w:val="both"/>
        <w:rPr>
          <w:rFonts w:ascii="ITC Avant Garde" w:hAnsi="ITC Avant Garde"/>
          <w:bCs/>
          <w:color w:val="000000"/>
          <w:lang w:eastAsia="es-MX"/>
        </w:rPr>
      </w:pPr>
      <w:r w:rsidRPr="00DC1F83">
        <w:rPr>
          <w:rFonts w:ascii="ITC Avant Garde" w:hAnsi="ITC Avant Garde"/>
          <w:b/>
          <w:bCs/>
        </w:rPr>
        <w:t>Primero.-</w:t>
      </w:r>
      <w:r w:rsidRPr="00DC1F83">
        <w:rPr>
          <w:rFonts w:ascii="ITC Avant Garde" w:hAnsi="ITC Avant Garde"/>
          <w:bCs/>
        </w:rPr>
        <w:t xml:space="preserve"> </w:t>
      </w:r>
      <w:r w:rsidRPr="00DC1F83">
        <w:rPr>
          <w:rFonts w:ascii="ITC Avant Garde" w:hAnsi="ITC Avant Garde"/>
          <w:b/>
          <w:bCs/>
        </w:rPr>
        <w:t>Competencia.</w:t>
      </w:r>
      <w:r w:rsidRPr="00DC1F83">
        <w:rPr>
          <w:rFonts w:ascii="ITC Avant Garde" w:hAnsi="ITC Avant Garde"/>
          <w:bCs/>
        </w:rPr>
        <w:t xml:space="preserve"> </w:t>
      </w:r>
      <w:r w:rsidR="000167EA" w:rsidRPr="00DC1F83">
        <w:rPr>
          <w:rFonts w:ascii="ITC Avant Garde" w:hAnsi="ITC Avant Garde"/>
          <w:bCs/>
          <w:color w:val="000000"/>
          <w:lang w:eastAsia="es-MX"/>
        </w:rPr>
        <w:t>Conforme lo dispone el artículo 28 párrafos décimo quinto, décimo sexto y décimo séptimo de la Constitución</w:t>
      </w:r>
      <w:r w:rsidR="00BD0EBF" w:rsidRPr="00DC1F83">
        <w:rPr>
          <w:rFonts w:ascii="ITC Avant Garde" w:hAnsi="ITC Avant Garde"/>
          <w:bCs/>
          <w:color w:val="000000"/>
          <w:lang w:eastAsia="es-MX"/>
        </w:rPr>
        <w:t xml:space="preserve"> Política de los Estados Unidos Mexicanos (la “Constitución”)</w:t>
      </w:r>
      <w:r w:rsidR="000167EA" w:rsidRPr="00DC1F83">
        <w:rPr>
          <w:rFonts w:ascii="ITC Avant Garde" w:hAnsi="ITC Avant Garde"/>
          <w:bCs/>
          <w:color w:val="000000"/>
          <w:lang w:eastAsia="es-MX"/>
        </w:rPr>
        <w:t>, el Instituto es un órgano autónomo con personalidad jurídica y patrimonio propio</w:t>
      </w:r>
      <w:r w:rsidR="00745C14" w:rsidRPr="00DC1F83">
        <w:rPr>
          <w:rFonts w:ascii="ITC Avant Garde" w:hAnsi="ITC Avant Garde"/>
          <w:bCs/>
          <w:color w:val="000000"/>
          <w:lang w:eastAsia="es-MX"/>
        </w:rPr>
        <w:t>s</w:t>
      </w:r>
      <w:r w:rsidR="000167EA" w:rsidRPr="00DC1F83">
        <w:rPr>
          <w:rFonts w:ascii="ITC Avant Garde" w:hAnsi="ITC Avant Garde"/>
          <w:bCs/>
          <w:color w:val="000000"/>
          <w:lang w:eastAsia="es-MX"/>
        </w:rPr>
        <w:t xml:space="preserve">, que tiene por objeto el desarrollo eficiente de la radiodifusión y las telecomunicaciones, conforme a lo dispuesto </w:t>
      </w:r>
      <w:r w:rsidR="00745C14" w:rsidRPr="00DC1F83">
        <w:rPr>
          <w:rFonts w:ascii="ITC Avant Garde" w:hAnsi="ITC Avant Garde"/>
          <w:bCs/>
          <w:color w:val="000000"/>
          <w:lang w:eastAsia="es-MX"/>
        </w:rPr>
        <w:t xml:space="preserve">por </w:t>
      </w:r>
      <w:r w:rsidR="000167EA" w:rsidRPr="00DC1F83">
        <w:rPr>
          <w:rFonts w:ascii="ITC Avant Garde" w:hAnsi="ITC Avant Garde"/>
          <w:bCs/>
          <w:color w:val="000000"/>
          <w:lang w:eastAsia="es-MX"/>
        </w:rPr>
        <w:t xml:space="preserve">la </w:t>
      </w:r>
      <w:r w:rsidR="00745C14" w:rsidRPr="00DC1F83">
        <w:rPr>
          <w:rFonts w:ascii="ITC Avant Garde" w:hAnsi="ITC Avant Garde"/>
          <w:bCs/>
          <w:color w:val="000000"/>
          <w:lang w:eastAsia="es-MX"/>
        </w:rPr>
        <w:t xml:space="preserve">propia </w:t>
      </w:r>
      <w:r w:rsidR="000167EA" w:rsidRPr="00DC1F83">
        <w:rPr>
          <w:rFonts w:ascii="ITC Avant Garde" w:hAnsi="ITC Avant Garde"/>
          <w:bCs/>
          <w:color w:val="000000"/>
          <w:lang w:eastAsia="es-MX"/>
        </w:rPr>
        <w:t xml:space="preserve">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6C61CE" w:rsidRPr="00DC1F83">
        <w:rPr>
          <w:rFonts w:ascii="ITC Avant Garde" w:hAnsi="ITC Avant Garde"/>
          <w:bCs/>
          <w:color w:val="000000"/>
          <w:lang w:eastAsia="es-MX"/>
        </w:rPr>
        <w:t>por</w:t>
      </w:r>
      <w:r w:rsidR="000167EA" w:rsidRPr="00DC1F83">
        <w:rPr>
          <w:rFonts w:ascii="ITC Avant Garde" w:hAnsi="ITC Avant Garde"/>
          <w:bCs/>
          <w:color w:val="000000"/>
          <w:lang w:eastAsia="es-MX"/>
        </w:rPr>
        <w:t xml:space="preserve"> los artículos 6o. y 7o. de la Constitución.</w:t>
      </w:r>
    </w:p>
    <w:p w14:paraId="4A56C350" w14:textId="77777777" w:rsidR="00DC1F83" w:rsidRPr="00DC1F83" w:rsidRDefault="000167EA" w:rsidP="00DC1F83">
      <w:pPr>
        <w:autoSpaceDE w:val="0"/>
        <w:autoSpaceDN w:val="0"/>
        <w:adjustRightInd w:val="0"/>
        <w:spacing w:before="240" w:line="240" w:lineRule="auto"/>
        <w:jc w:val="both"/>
        <w:rPr>
          <w:rFonts w:ascii="ITC Avant Garde" w:hAnsi="ITC Avant Garde"/>
          <w:bCs/>
          <w:color w:val="000000"/>
          <w:lang w:eastAsia="es-MX"/>
        </w:rPr>
      </w:pPr>
      <w:r w:rsidRPr="00DC1F83">
        <w:rPr>
          <w:rFonts w:ascii="ITC Avant Garde" w:hAnsi="ITC Avant Garde"/>
          <w:bCs/>
          <w:color w:val="000000"/>
          <w:lang w:eastAsia="es-MX"/>
        </w:rPr>
        <w:t>Asimismo, el Instituto es la autoridad en materia de competencia económica de los sectores de radiodifusión y telecomunicaciones, por lo que</w:t>
      </w:r>
      <w:r w:rsidR="00745C14" w:rsidRPr="00DC1F83">
        <w:rPr>
          <w:rFonts w:ascii="ITC Avant Garde" w:hAnsi="ITC Avant Garde"/>
          <w:bCs/>
          <w:color w:val="000000"/>
          <w:lang w:eastAsia="es-MX"/>
        </w:rPr>
        <w:t>,</w:t>
      </w:r>
      <w:r w:rsidRPr="00DC1F83">
        <w:rPr>
          <w:rFonts w:ascii="ITC Avant Garde" w:hAnsi="ITC Avant Garde"/>
          <w:bCs/>
          <w:color w:val="000000"/>
          <w:lang w:eastAsia="es-MX"/>
        </w:rPr>
        <w:t xml:space="preserv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6C61CE" w:rsidRPr="00DC1F83">
        <w:rPr>
          <w:rFonts w:ascii="ITC Avant Garde" w:hAnsi="ITC Avant Garde"/>
          <w:bCs/>
          <w:color w:val="000000"/>
          <w:lang w:eastAsia="es-MX"/>
        </w:rPr>
        <w:t>por</w:t>
      </w:r>
      <w:r w:rsidRPr="00DC1F83">
        <w:rPr>
          <w:rFonts w:ascii="ITC Avant Garde" w:hAnsi="ITC Avant Garde"/>
          <w:bCs/>
          <w:color w:val="000000"/>
          <w:lang w:eastAsia="es-MX"/>
        </w:rPr>
        <w:t xml:space="preserve"> los artículos 6o. y 7o. de la Constitución.</w:t>
      </w:r>
    </w:p>
    <w:p w14:paraId="0A3D9D8B" w14:textId="77777777" w:rsidR="00DC1F83" w:rsidRPr="00DC1F83" w:rsidRDefault="0097164F" w:rsidP="00DC1F83">
      <w:pPr>
        <w:autoSpaceDE w:val="0"/>
        <w:autoSpaceDN w:val="0"/>
        <w:adjustRightInd w:val="0"/>
        <w:spacing w:before="240" w:line="240" w:lineRule="auto"/>
        <w:jc w:val="both"/>
        <w:rPr>
          <w:rFonts w:ascii="ITC Avant Garde" w:hAnsi="ITC Avant Garde" w:cs="Tahoma"/>
          <w:bCs/>
          <w:lang w:eastAsia="es-MX"/>
        </w:rPr>
      </w:pPr>
      <w:r w:rsidRPr="00DC1F83">
        <w:rPr>
          <w:rFonts w:ascii="ITC Avant Garde" w:hAnsi="ITC Avant Garde"/>
          <w:bCs/>
          <w:color w:val="000000"/>
          <w:lang w:eastAsia="es-MX"/>
        </w:rPr>
        <w:t>De igual forma, corresponde al Instituto el otorgamiento de concesiones en materia de radiodifusión y telecomunicaciones.</w:t>
      </w:r>
      <w:r w:rsidR="0052048E" w:rsidRPr="00DC1F83">
        <w:rPr>
          <w:rFonts w:ascii="ITC Avant Garde" w:hAnsi="ITC Avant Garde"/>
          <w:bCs/>
          <w:color w:val="000000"/>
          <w:lang w:eastAsia="es-MX"/>
        </w:rPr>
        <w:t xml:space="preserve"> </w:t>
      </w:r>
      <w:r w:rsidR="00745C14" w:rsidRPr="00DC1F83">
        <w:rPr>
          <w:rFonts w:ascii="ITC Avant Garde" w:hAnsi="ITC Avant Garde" w:cs="Tahoma"/>
          <w:bCs/>
          <w:lang w:eastAsia="es-MX"/>
        </w:rPr>
        <w:t>En este sentido,</w:t>
      </w:r>
      <w:r w:rsidR="00A354C0" w:rsidRPr="00DC1F83">
        <w:rPr>
          <w:rFonts w:ascii="ITC Avant Garde" w:hAnsi="ITC Avant Garde" w:cs="Tahoma"/>
          <w:bCs/>
          <w:lang w:eastAsia="es-MX"/>
        </w:rPr>
        <w:t xml:space="preserve"> </w:t>
      </w:r>
      <w:r w:rsidR="001965B6" w:rsidRPr="00DC1F83">
        <w:rPr>
          <w:rFonts w:ascii="ITC Avant Garde" w:hAnsi="ITC Avant Garde" w:cs="Tahoma"/>
          <w:bCs/>
          <w:lang w:eastAsia="es-MX"/>
        </w:rPr>
        <w:t xml:space="preserve">el </w:t>
      </w:r>
      <w:r w:rsidR="00A354C0" w:rsidRPr="00DC1F83">
        <w:rPr>
          <w:rFonts w:ascii="ITC Avant Garde" w:hAnsi="ITC Avant Garde" w:cs="Tahoma"/>
          <w:bCs/>
          <w:lang w:eastAsia="es-MX"/>
        </w:rPr>
        <w:t>Ple</w:t>
      </w:r>
      <w:r w:rsidR="009A2CD8" w:rsidRPr="00DC1F83">
        <w:rPr>
          <w:rFonts w:ascii="ITC Avant Garde" w:hAnsi="ITC Avant Garde" w:cs="Tahoma"/>
          <w:bCs/>
          <w:lang w:eastAsia="es-MX"/>
        </w:rPr>
        <w:t xml:space="preserve">no del Instituto </w:t>
      </w:r>
      <w:r w:rsidR="00745C14" w:rsidRPr="00DC1F83">
        <w:rPr>
          <w:rFonts w:ascii="ITC Avant Garde" w:hAnsi="ITC Avant Garde" w:cs="Tahoma"/>
          <w:bCs/>
          <w:lang w:eastAsia="es-MX"/>
        </w:rPr>
        <w:t xml:space="preserve">está facultado, </w:t>
      </w:r>
      <w:r w:rsidR="009A2CD8" w:rsidRPr="00DC1F83">
        <w:rPr>
          <w:rFonts w:ascii="ITC Avant Garde" w:hAnsi="ITC Avant Garde" w:cs="Tahoma"/>
          <w:bCs/>
          <w:lang w:eastAsia="es-MX"/>
        </w:rPr>
        <w:t xml:space="preserve">conforme a lo establecido </w:t>
      </w:r>
      <w:r w:rsidR="00745C14" w:rsidRPr="00DC1F83">
        <w:rPr>
          <w:rFonts w:ascii="ITC Avant Garde" w:hAnsi="ITC Avant Garde" w:cs="Tahoma"/>
          <w:bCs/>
          <w:lang w:eastAsia="es-MX"/>
        </w:rPr>
        <w:t>por</w:t>
      </w:r>
      <w:r w:rsidR="009A2CD8" w:rsidRPr="00DC1F83">
        <w:rPr>
          <w:rFonts w:ascii="ITC Avant Garde" w:hAnsi="ITC Avant Garde" w:cs="Tahoma"/>
          <w:bCs/>
          <w:lang w:eastAsia="es-MX"/>
        </w:rPr>
        <w:t xml:space="preserve"> los </w:t>
      </w:r>
      <w:r w:rsidR="00A354C0" w:rsidRPr="00DC1F83">
        <w:rPr>
          <w:rFonts w:ascii="ITC Avant Garde" w:hAnsi="ITC Avant Garde" w:cs="Tahoma"/>
          <w:bCs/>
          <w:lang w:eastAsia="es-MX"/>
        </w:rPr>
        <w:t xml:space="preserve">artículos 15 fracción IV y 17 fracción I de la Ley Federal de Telecomunicaciones y Radiodifusión </w:t>
      </w:r>
      <w:r w:rsidR="00B74A5A" w:rsidRPr="00DC1F83">
        <w:rPr>
          <w:rFonts w:ascii="ITC Avant Garde" w:hAnsi="ITC Avant Garde" w:cs="Tahoma"/>
          <w:bCs/>
          <w:lang w:eastAsia="es-MX"/>
        </w:rPr>
        <w:t>(</w:t>
      </w:r>
      <w:r w:rsidR="008106E9" w:rsidRPr="00DC1F83">
        <w:rPr>
          <w:rFonts w:ascii="ITC Avant Garde" w:hAnsi="ITC Avant Garde" w:cs="Tahoma"/>
          <w:bCs/>
          <w:lang w:eastAsia="es-MX"/>
        </w:rPr>
        <w:t>la “Ley”</w:t>
      </w:r>
      <w:r w:rsidR="00B74A5A" w:rsidRPr="00DC1F83">
        <w:rPr>
          <w:rFonts w:ascii="ITC Avant Garde" w:hAnsi="ITC Avant Garde" w:cs="Tahoma"/>
          <w:bCs/>
          <w:lang w:eastAsia="es-MX"/>
        </w:rPr>
        <w:t>)</w:t>
      </w:r>
      <w:r w:rsidR="00745C14" w:rsidRPr="00DC1F83">
        <w:rPr>
          <w:rFonts w:ascii="ITC Avant Garde" w:hAnsi="ITC Avant Garde" w:cs="Tahoma"/>
          <w:bCs/>
          <w:lang w:eastAsia="es-MX"/>
        </w:rPr>
        <w:t>, para resolver sobre</w:t>
      </w:r>
      <w:r w:rsidR="00B74A5A" w:rsidRPr="00DC1F83">
        <w:rPr>
          <w:rFonts w:ascii="ITC Avant Garde" w:hAnsi="ITC Avant Garde" w:cs="Tahoma"/>
          <w:bCs/>
          <w:lang w:eastAsia="es-MX"/>
        </w:rPr>
        <w:t xml:space="preserve"> </w:t>
      </w:r>
      <w:r w:rsidR="00A354C0" w:rsidRPr="00DC1F83">
        <w:rPr>
          <w:rFonts w:ascii="ITC Avant Garde" w:hAnsi="ITC Avant Garde" w:cs="Tahoma"/>
          <w:bCs/>
          <w:lang w:eastAsia="es-MX"/>
        </w:rPr>
        <w:t xml:space="preserve">el otorgamiento de </w:t>
      </w:r>
      <w:r w:rsidR="00745C14" w:rsidRPr="00DC1F83">
        <w:rPr>
          <w:rFonts w:ascii="ITC Avant Garde" w:hAnsi="ITC Avant Garde" w:cs="Tahoma"/>
          <w:bCs/>
          <w:lang w:eastAsia="es-MX"/>
        </w:rPr>
        <w:t xml:space="preserve">las </w:t>
      </w:r>
      <w:r w:rsidR="00A354C0" w:rsidRPr="00DC1F83">
        <w:rPr>
          <w:rFonts w:ascii="ITC Avant Garde" w:hAnsi="ITC Avant Garde" w:cs="Tahoma"/>
          <w:bCs/>
          <w:lang w:eastAsia="es-MX"/>
        </w:rPr>
        <w:t>concesiones</w:t>
      </w:r>
      <w:r w:rsidR="00745C14" w:rsidRPr="00DC1F83">
        <w:rPr>
          <w:rFonts w:ascii="ITC Avant Garde" w:hAnsi="ITC Avant Garde" w:cs="Tahoma"/>
          <w:bCs/>
          <w:lang w:eastAsia="es-MX"/>
        </w:rPr>
        <w:t xml:space="preserve"> señaladas</w:t>
      </w:r>
      <w:r w:rsidR="00A354C0" w:rsidRPr="00DC1F83">
        <w:rPr>
          <w:rFonts w:ascii="ITC Avant Garde" w:hAnsi="ITC Avant Garde" w:cs="Tahoma"/>
          <w:bCs/>
          <w:lang w:eastAsia="es-MX"/>
        </w:rPr>
        <w:t>, así como resolver respecto de la prórroga, modificación o terminación de las mismas</w:t>
      </w:r>
      <w:r w:rsidR="00B34BD1" w:rsidRPr="00DC1F83">
        <w:rPr>
          <w:rFonts w:ascii="ITC Avant Garde" w:hAnsi="ITC Avant Garde" w:cs="Tahoma"/>
          <w:bCs/>
          <w:lang w:eastAsia="es-MX"/>
        </w:rPr>
        <w:t>, e interpretar la Ley y demás disposiciones administrativas en materia de telecomunicaciones y radiodifusión, en el ámbito de sus atribuciones.</w:t>
      </w:r>
      <w:r w:rsidR="00A354C0" w:rsidRPr="00DC1F83">
        <w:rPr>
          <w:rFonts w:ascii="ITC Avant Garde" w:hAnsi="ITC Avant Garde" w:cs="Tahoma"/>
          <w:bCs/>
          <w:lang w:eastAsia="es-MX"/>
        </w:rPr>
        <w:t xml:space="preserve"> </w:t>
      </w:r>
    </w:p>
    <w:p w14:paraId="1CF25844" w14:textId="77777777" w:rsidR="00DC1F83" w:rsidRPr="00DC1F83" w:rsidRDefault="00E31A87" w:rsidP="00DC1F83">
      <w:pPr>
        <w:autoSpaceDE w:val="0"/>
        <w:autoSpaceDN w:val="0"/>
        <w:adjustRightInd w:val="0"/>
        <w:spacing w:before="240" w:line="240" w:lineRule="auto"/>
        <w:jc w:val="both"/>
        <w:rPr>
          <w:rFonts w:ascii="ITC Avant Garde" w:hAnsi="ITC Avant Garde"/>
          <w:bCs/>
        </w:rPr>
      </w:pPr>
      <w:r w:rsidRPr="00DC1F83">
        <w:rPr>
          <w:rFonts w:ascii="ITC Avant Garde" w:hAnsi="ITC Avant Garde" w:cs="Tahoma"/>
          <w:bCs/>
          <w:lang w:eastAsia="es-MX"/>
        </w:rPr>
        <w:t>E</w:t>
      </w:r>
      <w:r w:rsidR="009A2CD8" w:rsidRPr="00DC1F83">
        <w:rPr>
          <w:rFonts w:ascii="ITC Avant Garde" w:hAnsi="ITC Avant Garde" w:cs="Tahoma"/>
          <w:bCs/>
          <w:lang w:eastAsia="es-MX"/>
        </w:rPr>
        <w:t xml:space="preserve">l artículo 6 fracciones </w:t>
      </w:r>
      <w:r w:rsidR="004951FB" w:rsidRPr="00DC1F83">
        <w:rPr>
          <w:rFonts w:ascii="ITC Avant Garde" w:hAnsi="ITC Avant Garde" w:cs="Tahoma"/>
          <w:bCs/>
          <w:lang w:eastAsia="es-MX"/>
        </w:rPr>
        <w:t>I, VI</w:t>
      </w:r>
      <w:r w:rsidR="00B34BD1" w:rsidRPr="00DC1F83">
        <w:rPr>
          <w:rFonts w:ascii="ITC Avant Garde" w:hAnsi="ITC Avant Garde" w:cs="Tahoma"/>
          <w:bCs/>
          <w:lang w:eastAsia="es-MX"/>
        </w:rPr>
        <w:t>, XVIII</w:t>
      </w:r>
      <w:r w:rsidR="004951FB" w:rsidRPr="00DC1F83">
        <w:rPr>
          <w:rFonts w:ascii="ITC Avant Garde" w:hAnsi="ITC Avant Garde" w:cs="Tahoma"/>
          <w:bCs/>
          <w:lang w:eastAsia="es-MX"/>
        </w:rPr>
        <w:t xml:space="preserve"> y XXXVII</w:t>
      </w:r>
      <w:r w:rsidR="00A76D03" w:rsidRPr="00DC1F83">
        <w:rPr>
          <w:rFonts w:ascii="ITC Avant Garde" w:hAnsi="ITC Avant Garde" w:cs="Tahoma"/>
          <w:bCs/>
          <w:lang w:eastAsia="es-MX"/>
        </w:rPr>
        <w:t>I</w:t>
      </w:r>
      <w:r w:rsidR="009A2CD8" w:rsidRPr="00DC1F83">
        <w:rPr>
          <w:rFonts w:ascii="ITC Avant Garde" w:hAnsi="ITC Avant Garde" w:cs="Tahoma"/>
          <w:bCs/>
          <w:lang w:eastAsia="es-MX"/>
        </w:rPr>
        <w:t xml:space="preserve"> del </w:t>
      </w:r>
      <w:r w:rsidR="009A2CD8" w:rsidRPr="00DC1F83">
        <w:rPr>
          <w:rFonts w:ascii="ITC Avant Garde" w:hAnsi="ITC Avant Garde"/>
          <w:bCs/>
          <w:lang w:eastAsia="es-MX"/>
        </w:rPr>
        <w:t>Estatuto Orgánico,</w:t>
      </w:r>
      <w:r w:rsidR="009A2CD8" w:rsidRPr="00DC1F83">
        <w:rPr>
          <w:rFonts w:ascii="ITC Avant Garde" w:hAnsi="ITC Avant Garde" w:cs="Tahoma"/>
          <w:bCs/>
          <w:lang w:eastAsia="es-MX"/>
        </w:rPr>
        <w:t xml:space="preserve"> establece </w:t>
      </w:r>
      <w:r w:rsidR="006D1D70" w:rsidRPr="00DC1F83">
        <w:rPr>
          <w:rFonts w:ascii="ITC Avant Garde" w:hAnsi="ITC Avant Garde" w:cs="Tahoma"/>
          <w:bCs/>
          <w:lang w:eastAsia="es-MX"/>
        </w:rPr>
        <w:t>como atribuciones d</w:t>
      </w:r>
      <w:r w:rsidR="009A2CD8" w:rsidRPr="00DC1F83">
        <w:rPr>
          <w:rFonts w:ascii="ITC Avant Garde" w:hAnsi="ITC Avant Garde" w:cs="Tahoma"/>
          <w:bCs/>
          <w:lang w:eastAsia="es-MX"/>
        </w:rPr>
        <w:t>el Pleno del Instituto</w:t>
      </w:r>
      <w:r w:rsidR="006D1D70" w:rsidRPr="00DC1F83">
        <w:rPr>
          <w:rFonts w:ascii="ITC Avant Garde" w:hAnsi="ITC Avant Garde" w:cs="Tahoma"/>
          <w:bCs/>
          <w:lang w:eastAsia="es-MX"/>
        </w:rPr>
        <w:t>, entre otras la</w:t>
      </w:r>
      <w:r w:rsidR="009A2CD8" w:rsidRPr="00DC1F83">
        <w:rPr>
          <w:rFonts w:ascii="ITC Avant Garde" w:hAnsi="ITC Avant Garde" w:cs="Tahoma"/>
          <w:bCs/>
          <w:lang w:eastAsia="es-MX"/>
        </w:rPr>
        <w:t xml:space="preserve">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r w:rsidR="006D1D70" w:rsidRPr="00DC1F83">
        <w:rPr>
          <w:rFonts w:ascii="ITC Avant Garde" w:hAnsi="ITC Avant Garde" w:cs="Tahoma"/>
          <w:bCs/>
          <w:lang w:eastAsia="es-MX"/>
        </w:rPr>
        <w:t>;</w:t>
      </w:r>
      <w:r w:rsidR="009A2CD8" w:rsidRPr="00DC1F83">
        <w:rPr>
          <w:rFonts w:ascii="ITC Avant Garde" w:hAnsi="ITC Avant Garde" w:cs="Tahoma"/>
          <w:bCs/>
          <w:lang w:eastAsia="es-MX"/>
        </w:rPr>
        <w:t xml:space="preserve"> regular de forma asimétrica a los participantes en los mercados de radiodifusión y telecomunicaciones a fin de eliminar eficazmente las </w:t>
      </w:r>
      <w:r w:rsidR="009A2CD8" w:rsidRPr="00DC1F83">
        <w:rPr>
          <w:rFonts w:ascii="ITC Avant Garde" w:hAnsi="ITC Avant Garde" w:cs="Tahoma"/>
          <w:bCs/>
          <w:lang w:eastAsia="es-MX"/>
        </w:rPr>
        <w:lastRenderedPageBreak/>
        <w:t>barreras a la competencia y li</w:t>
      </w:r>
      <w:r w:rsidR="00982A94" w:rsidRPr="00DC1F83">
        <w:rPr>
          <w:rFonts w:ascii="ITC Avant Garde" w:hAnsi="ITC Avant Garde" w:cs="Tahoma"/>
          <w:bCs/>
          <w:lang w:eastAsia="es-MX"/>
        </w:rPr>
        <w:t>bre concurrencia</w:t>
      </w:r>
      <w:r w:rsidR="00B34BD1" w:rsidRPr="00DC1F83">
        <w:rPr>
          <w:rFonts w:ascii="ITC Avant Garde" w:hAnsi="ITC Avant Garde" w:cs="Tahoma"/>
          <w:bCs/>
          <w:lang w:eastAsia="es-MX"/>
        </w:rPr>
        <w:t>; interpretar, en su caso, la Ley y las disposiciones administrativas en materia de telecomunicaciones y radiodifusión, en el ámbito de sus atribuciones, así como las demás que la Ley y otros ordenamientos le confieran.</w:t>
      </w:r>
    </w:p>
    <w:p w14:paraId="286700C3" w14:textId="77777777" w:rsidR="00DC1F83" w:rsidRPr="00DC1F83" w:rsidRDefault="00426613" w:rsidP="00DC1F83">
      <w:pPr>
        <w:autoSpaceDE w:val="0"/>
        <w:autoSpaceDN w:val="0"/>
        <w:adjustRightInd w:val="0"/>
        <w:spacing w:before="240" w:line="240" w:lineRule="auto"/>
        <w:jc w:val="both"/>
        <w:rPr>
          <w:rFonts w:ascii="ITC Avant Garde" w:hAnsi="ITC Avant Garde" w:cs="Tahoma"/>
          <w:bCs/>
          <w:lang w:eastAsia="es-MX"/>
        </w:rPr>
      </w:pPr>
      <w:r w:rsidRPr="00DC1F83">
        <w:rPr>
          <w:rFonts w:ascii="ITC Avant Garde" w:hAnsi="ITC Avant Garde"/>
          <w:bCs/>
          <w:color w:val="000000"/>
          <w:lang w:eastAsia="es-MX"/>
        </w:rPr>
        <w:t>As</w:t>
      </w:r>
      <w:r w:rsidR="00B34BD1" w:rsidRPr="00DC1F83">
        <w:rPr>
          <w:rFonts w:ascii="ITC Avant Garde" w:hAnsi="ITC Avant Garde"/>
          <w:bCs/>
          <w:color w:val="000000"/>
          <w:lang w:eastAsia="es-MX"/>
        </w:rPr>
        <w:t>í</w:t>
      </w:r>
      <w:r w:rsidR="006D1D70" w:rsidRPr="00DC1F83">
        <w:rPr>
          <w:rFonts w:ascii="ITC Avant Garde" w:hAnsi="ITC Avant Garde" w:cs="Tahoma"/>
          <w:bCs/>
          <w:lang w:eastAsia="es-MX"/>
        </w:rPr>
        <w:t>, conforme a los artículos 32 y</w:t>
      </w:r>
      <w:r w:rsidR="00B573B6" w:rsidRPr="00DC1F83">
        <w:rPr>
          <w:rFonts w:ascii="ITC Avant Garde" w:hAnsi="ITC Avant Garde" w:cs="Tahoma"/>
          <w:bCs/>
          <w:lang w:eastAsia="es-MX"/>
        </w:rPr>
        <w:t xml:space="preserve"> </w:t>
      </w:r>
      <w:r w:rsidR="0082518F" w:rsidRPr="00DC1F83">
        <w:rPr>
          <w:rFonts w:ascii="ITC Avant Garde" w:hAnsi="ITC Avant Garde" w:cs="Tahoma"/>
          <w:bCs/>
          <w:lang w:eastAsia="es-MX"/>
        </w:rPr>
        <w:t>33 fracción II del Estatuto Orgánico</w:t>
      </w:r>
      <w:r w:rsidR="00876B09" w:rsidRPr="00DC1F83">
        <w:rPr>
          <w:rFonts w:ascii="ITC Avant Garde" w:hAnsi="ITC Avant Garde" w:cs="Tahoma"/>
          <w:bCs/>
          <w:lang w:eastAsia="es-MX"/>
        </w:rPr>
        <w:t>,</w:t>
      </w:r>
      <w:r w:rsidR="00B048BA" w:rsidRPr="00DC1F83">
        <w:rPr>
          <w:rFonts w:ascii="ITC Avant Garde" w:hAnsi="ITC Avant Garde"/>
          <w:bCs/>
        </w:rPr>
        <w:t xml:space="preserve"> corresponde a</w:t>
      </w:r>
      <w:r w:rsidR="0082518F" w:rsidRPr="00DC1F83">
        <w:rPr>
          <w:rFonts w:ascii="ITC Avant Garde" w:hAnsi="ITC Avant Garde"/>
          <w:bCs/>
        </w:rPr>
        <w:t xml:space="preserve"> </w:t>
      </w:r>
      <w:r w:rsidR="0082518F" w:rsidRPr="00DC1F83">
        <w:rPr>
          <w:rFonts w:ascii="ITC Avant Garde" w:hAnsi="ITC Avant Garde" w:cs="Tahoma"/>
          <w:bCs/>
          <w:lang w:eastAsia="es-MX"/>
        </w:rPr>
        <w:t xml:space="preserve">la </w:t>
      </w:r>
      <w:r w:rsidR="00F86867" w:rsidRPr="00DC1F83">
        <w:rPr>
          <w:rFonts w:ascii="ITC Avant Garde" w:hAnsi="ITC Avant Garde" w:cs="Tahoma"/>
          <w:bCs/>
          <w:lang w:eastAsia="es-MX"/>
        </w:rPr>
        <w:t xml:space="preserve">Unidad de Concesiones y Servicios, a través de la </w:t>
      </w:r>
      <w:r w:rsidR="0082518F" w:rsidRPr="00DC1F83">
        <w:rPr>
          <w:rFonts w:ascii="ITC Avant Garde" w:hAnsi="ITC Avant Garde" w:cs="Tahoma"/>
          <w:bCs/>
          <w:lang w:eastAsia="es-MX"/>
        </w:rPr>
        <w:t xml:space="preserve">Dirección General de Concesiones de Telecomunicaciones, tramitar y evaluar las solicitudes </w:t>
      </w:r>
      <w:r w:rsidR="0071048A" w:rsidRPr="00DC1F83">
        <w:rPr>
          <w:rFonts w:ascii="ITC Avant Garde" w:hAnsi="ITC Avant Garde" w:cs="Tahoma"/>
          <w:bCs/>
          <w:lang w:eastAsia="es-MX"/>
        </w:rPr>
        <w:t xml:space="preserve">de cesión, modificación o prórroga de las concesiones </w:t>
      </w:r>
      <w:r w:rsidR="0082518F" w:rsidRPr="00DC1F83">
        <w:rPr>
          <w:rFonts w:ascii="ITC Avant Garde" w:hAnsi="ITC Avant Garde" w:cs="Tahoma"/>
          <w:bCs/>
          <w:lang w:eastAsia="es-MX"/>
        </w:rPr>
        <w:t>e</w:t>
      </w:r>
      <w:r w:rsidR="0071048A" w:rsidRPr="00DC1F83">
        <w:rPr>
          <w:rFonts w:ascii="ITC Avant Garde" w:hAnsi="ITC Avant Garde" w:cs="Tahoma"/>
          <w:bCs/>
          <w:lang w:eastAsia="es-MX"/>
        </w:rPr>
        <w:t>n materia de telecomunicaciones</w:t>
      </w:r>
      <w:r w:rsidR="0082518F" w:rsidRPr="00DC1F83">
        <w:rPr>
          <w:rFonts w:ascii="ITC Avant Garde" w:hAnsi="ITC Avant Garde" w:cs="Tahoma"/>
          <w:bCs/>
          <w:lang w:eastAsia="es-MX"/>
        </w:rPr>
        <w:t xml:space="preserve"> para somet</w:t>
      </w:r>
      <w:r w:rsidR="0071048A" w:rsidRPr="00DC1F83">
        <w:rPr>
          <w:rFonts w:ascii="ITC Avant Garde" w:hAnsi="ITC Avant Garde" w:cs="Tahoma"/>
          <w:bCs/>
          <w:lang w:eastAsia="es-MX"/>
        </w:rPr>
        <w:t>erlas a consider</w:t>
      </w:r>
      <w:r w:rsidR="009F21AA" w:rsidRPr="00DC1F83">
        <w:rPr>
          <w:rFonts w:ascii="ITC Avant Garde" w:hAnsi="ITC Avant Garde" w:cs="Tahoma"/>
          <w:bCs/>
          <w:lang w:eastAsia="es-MX"/>
        </w:rPr>
        <w:t>ación del Pleno</w:t>
      </w:r>
      <w:r w:rsidR="00B72208" w:rsidRPr="00DC1F83">
        <w:rPr>
          <w:rFonts w:ascii="ITC Avant Garde" w:hAnsi="ITC Avant Garde" w:cs="Tahoma"/>
          <w:bCs/>
          <w:lang w:eastAsia="es-MX"/>
        </w:rPr>
        <w:t xml:space="preserve">, solicitando opinión previa a la Unidad de Competencia Económica </w:t>
      </w:r>
      <w:r w:rsidR="009F21AA" w:rsidRPr="00DC1F83">
        <w:rPr>
          <w:rFonts w:ascii="ITC Avant Garde" w:hAnsi="ITC Avant Garde" w:cs="Tahoma"/>
          <w:bCs/>
          <w:lang w:eastAsia="es-MX"/>
        </w:rPr>
        <w:t>tratándose de prórrogas de concesión de uso comercial</w:t>
      </w:r>
      <w:r w:rsidR="00B72208" w:rsidRPr="00DC1F83">
        <w:rPr>
          <w:rFonts w:ascii="ITC Avant Garde" w:hAnsi="ITC Avant Garde" w:cs="Tahoma"/>
          <w:bCs/>
          <w:lang w:eastAsia="es-MX"/>
        </w:rPr>
        <w:t>.</w:t>
      </w:r>
    </w:p>
    <w:p w14:paraId="45A25267" w14:textId="77777777" w:rsidR="00DC1F83" w:rsidRPr="00DC1F83" w:rsidRDefault="00B34BD1" w:rsidP="00DC1F83">
      <w:pPr>
        <w:autoSpaceDE w:val="0"/>
        <w:autoSpaceDN w:val="0"/>
        <w:adjustRightInd w:val="0"/>
        <w:spacing w:before="240" w:line="240" w:lineRule="auto"/>
        <w:jc w:val="both"/>
        <w:rPr>
          <w:rFonts w:ascii="ITC Avant Garde" w:hAnsi="ITC Avant Garde"/>
          <w:bCs/>
        </w:rPr>
      </w:pPr>
      <w:r w:rsidRPr="00DC1F83">
        <w:rPr>
          <w:rFonts w:ascii="ITC Avant Garde" w:hAnsi="ITC Avant Garde"/>
          <w:bCs/>
        </w:rPr>
        <w:t>En este orden de ideas, el Instituto está facultado para otorgar concesiones en materia de telecomunicaciones, resolver respecto de la prórroga, modificación o terminación de las mismas, además de tener a su cargo la regulación, promoción y supervisión de</w:t>
      </w:r>
      <w:r w:rsidRPr="00DC1F83">
        <w:rPr>
          <w:rFonts w:ascii="ITC Avant Garde" w:hAnsi="ITC Avant Garde" w:cs="Tahoma"/>
          <w:bCs/>
          <w:lang w:eastAsia="es-MX"/>
        </w:rPr>
        <w:t xml:space="preserve">l uso, aprovechamiento y explotación eficiente del espectro radioeléctrico, los recursos orbitales, los servicios satelitales, las redes de telecomunicaciones y la prestación de los servicios de radiodifusión y telecomunicaciones, entre otros. Asimismo, el Instituto se encuentra facultado para interpretar la Ley y las disposiciones administrativas en materia de telecomunicaciones y radiodifusión, en el ámbito de sus atribuciones, por lo que </w:t>
      </w:r>
      <w:r w:rsidRPr="00DC1F83">
        <w:rPr>
          <w:rFonts w:ascii="ITC Avant Garde" w:hAnsi="ITC Avant Garde"/>
          <w:bCs/>
        </w:rPr>
        <w:t>el Pleno, como órgano máximo de gobierno y decisión del Instituto, se encuentra plenamente facultado para resolver las Solicitudes de Prórroga.</w:t>
      </w:r>
    </w:p>
    <w:p w14:paraId="01698758" w14:textId="5025650C" w:rsidR="00DC1F83" w:rsidRPr="00DC1F83" w:rsidRDefault="00F41FAD" w:rsidP="00DC1F83">
      <w:pPr>
        <w:autoSpaceDE w:val="0"/>
        <w:autoSpaceDN w:val="0"/>
        <w:adjustRightInd w:val="0"/>
        <w:spacing w:before="240" w:line="240" w:lineRule="auto"/>
        <w:jc w:val="both"/>
        <w:rPr>
          <w:rFonts w:ascii="ITC Avant Garde" w:hAnsi="ITC Avant Garde"/>
        </w:rPr>
      </w:pPr>
      <w:r w:rsidRPr="00DC1F83">
        <w:rPr>
          <w:rFonts w:ascii="ITC Avant Garde" w:hAnsi="ITC Avant Garde"/>
          <w:b/>
          <w:bCs/>
        </w:rPr>
        <w:t>Segundo.-</w:t>
      </w:r>
      <w:r w:rsidRPr="00DC1F83">
        <w:rPr>
          <w:rFonts w:ascii="ITC Avant Garde" w:hAnsi="ITC Avant Garde"/>
        </w:rPr>
        <w:t xml:space="preserve"> </w:t>
      </w:r>
      <w:r w:rsidR="00426613" w:rsidRPr="00DC1F83">
        <w:rPr>
          <w:rFonts w:ascii="ITC Avant Garde" w:hAnsi="ITC Avant Garde"/>
          <w:b/>
          <w:bCs/>
          <w:color w:val="000000"/>
          <w:lang w:eastAsia="es-MX"/>
        </w:rPr>
        <w:t xml:space="preserve">Marco </w:t>
      </w:r>
      <w:r w:rsidR="00B34BD1" w:rsidRPr="00DC1F83">
        <w:rPr>
          <w:rFonts w:ascii="ITC Avant Garde" w:hAnsi="ITC Avant Garde"/>
          <w:b/>
          <w:bCs/>
          <w:color w:val="000000"/>
          <w:lang w:eastAsia="es-MX"/>
        </w:rPr>
        <w:t>normativo general aplicable a prórrogas de vigencia de concesiones en materia de telecomunicaciones</w:t>
      </w:r>
      <w:r w:rsidRPr="00DC1F83">
        <w:rPr>
          <w:rFonts w:ascii="ITC Avant Garde" w:hAnsi="ITC Avant Garde"/>
          <w:b/>
          <w:bCs/>
        </w:rPr>
        <w:t>.</w:t>
      </w:r>
      <w:r w:rsidRPr="00DC1F83">
        <w:rPr>
          <w:rFonts w:ascii="ITC Avant Garde" w:hAnsi="ITC Avant Garde"/>
        </w:rPr>
        <w:t xml:space="preserve"> </w:t>
      </w:r>
      <w:r w:rsidR="00A64F69" w:rsidRPr="00DC1F83">
        <w:rPr>
          <w:rFonts w:ascii="ITC Avant Garde" w:hAnsi="ITC Avant Garde"/>
          <w:bCs/>
        </w:rPr>
        <w:t>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w:t>
      </w:r>
    </w:p>
    <w:p w14:paraId="09167915" w14:textId="77777777" w:rsidR="00DC1F83" w:rsidRPr="00DC1F83" w:rsidRDefault="0082377A" w:rsidP="00DC1F83">
      <w:pPr>
        <w:autoSpaceDE w:val="0"/>
        <w:autoSpaceDN w:val="0"/>
        <w:adjustRightInd w:val="0"/>
        <w:spacing w:before="240" w:line="240" w:lineRule="auto"/>
        <w:jc w:val="both"/>
        <w:rPr>
          <w:rFonts w:ascii="ITC Avant Garde" w:eastAsia="Times New Roman" w:hAnsi="ITC Avant Garde"/>
          <w:bCs/>
          <w:sz w:val="18"/>
          <w:szCs w:val="18"/>
          <w:lang w:val="es-ES" w:eastAsia="es-ES"/>
        </w:rPr>
      </w:pPr>
      <w:r w:rsidRPr="00DC1F83">
        <w:rPr>
          <w:rFonts w:ascii="ITC Avant Garde" w:hAnsi="ITC Avant Garde"/>
        </w:rPr>
        <w:t xml:space="preserve">En ese sentido, es importante mencionar que las Concesiones señalan en el último párrafo de su respectiva Condición 10, que </w:t>
      </w:r>
      <w:r w:rsidRPr="00DC1F83">
        <w:rPr>
          <w:rFonts w:ascii="ITC Avant Garde" w:hAnsi="ITC Avant Garde"/>
          <w:bCs/>
          <w:color w:val="000000"/>
          <w:lang w:eastAsia="es-MX"/>
        </w:rPr>
        <w:t>Telcel</w:t>
      </w:r>
      <w:r w:rsidRPr="00DC1F83">
        <w:rPr>
          <w:rFonts w:ascii="ITC Avant Garde" w:hAnsi="ITC Avant Garde"/>
        </w:rPr>
        <w:t xml:space="preserve"> acepta que </w:t>
      </w:r>
      <w:r w:rsidRPr="00DC1F83">
        <w:rPr>
          <w:rFonts w:ascii="ITC Avant Garde" w:hAnsi="ITC Avant Garde"/>
          <w:bCs/>
        </w:rPr>
        <w:t xml:space="preserve">si los preceptos legales y las disposiciones administrativas aplicables, fueran </w:t>
      </w:r>
      <w:proofErr w:type="gramStart"/>
      <w:r w:rsidRPr="00DC1F83">
        <w:rPr>
          <w:rFonts w:ascii="ITC Avant Garde" w:hAnsi="ITC Avant Garde"/>
          <w:bCs/>
        </w:rPr>
        <w:t>derogadas</w:t>
      </w:r>
      <w:proofErr w:type="gramEnd"/>
      <w:r w:rsidRPr="00DC1F83">
        <w:rPr>
          <w:rFonts w:ascii="ITC Avant Garde" w:hAnsi="ITC Avant Garde"/>
          <w:bCs/>
        </w:rPr>
        <w:t>, modificadas o adicionadas, el concesionario quedará sujeto a la nueva legislación y disposiciones administrativas, a partir de su entrada en vigor.</w:t>
      </w:r>
    </w:p>
    <w:p w14:paraId="4AC37653" w14:textId="77777777" w:rsidR="00DC1F83" w:rsidRPr="00DC1F83" w:rsidRDefault="00A64F69" w:rsidP="00DC1F83">
      <w:pPr>
        <w:autoSpaceDE w:val="0"/>
        <w:autoSpaceDN w:val="0"/>
        <w:adjustRightInd w:val="0"/>
        <w:spacing w:before="240" w:line="240" w:lineRule="auto"/>
        <w:jc w:val="both"/>
        <w:rPr>
          <w:rFonts w:ascii="ITC Avant Garde" w:hAnsi="ITC Avant Garde"/>
          <w:bCs/>
          <w:color w:val="000000"/>
          <w:lang w:eastAsia="es-MX"/>
        </w:rPr>
      </w:pPr>
      <w:r w:rsidRPr="00DC1F83">
        <w:rPr>
          <w:rFonts w:ascii="ITC Avant Garde" w:hAnsi="ITC Avant Garde"/>
        </w:rPr>
        <w:t>En ese tenor, t</w:t>
      </w:r>
      <w:r w:rsidR="00535BB2" w:rsidRPr="00DC1F83">
        <w:rPr>
          <w:rFonts w:ascii="ITC Avant Garde" w:hAnsi="ITC Avant Garde"/>
        </w:rPr>
        <w:t xml:space="preserve">omando en consideración que las Solicitudes de Prórroga fueron presentadas estando en vigor la Ley, su análisis debe llevarse a cabo conforme a los términos y requisitos previstos en dicho ordenamiento legal, en particular conforme a lo señalado en el </w:t>
      </w:r>
      <w:r w:rsidR="00192FE0" w:rsidRPr="00DC1F83">
        <w:rPr>
          <w:rFonts w:ascii="ITC Avant Garde" w:hAnsi="ITC Avant Garde"/>
        </w:rPr>
        <w:t xml:space="preserve">artículo </w:t>
      </w:r>
      <w:r w:rsidR="00192FE0" w:rsidRPr="00DC1F83">
        <w:rPr>
          <w:rFonts w:ascii="ITC Avant Garde" w:hAnsi="ITC Avant Garde"/>
          <w:bCs/>
          <w:color w:val="000000"/>
          <w:lang w:eastAsia="es-MX"/>
        </w:rPr>
        <w:t>114</w:t>
      </w:r>
      <w:r w:rsidR="00F058DE" w:rsidRPr="00DC1F83">
        <w:rPr>
          <w:rFonts w:ascii="ITC Avant Garde" w:hAnsi="ITC Avant Garde"/>
          <w:bCs/>
          <w:color w:val="000000"/>
          <w:lang w:eastAsia="es-MX"/>
        </w:rPr>
        <w:t>, el cual establece lo siguiente</w:t>
      </w:r>
      <w:r w:rsidR="00192FE0" w:rsidRPr="00DC1F83">
        <w:rPr>
          <w:rFonts w:ascii="ITC Avant Garde" w:hAnsi="ITC Avant Garde"/>
          <w:bCs/>
          <w:color w:val="000000"/>
          <w:lang w:eastAsia="es-MX"/>
        </w:rPr>
        <w:t>:</w:t>
      </w:r>
    </w:p>
    <w:p w14:paraId="41D375AB" w14:textId="77777777" w:rsidR="00DC1F83" w:rsidRPr="00DC1F83" w:rsidRDefault="00192FE0" w:rsidP="00DC1F83">
      <w:pPr>
        <w:autoSpaceDE w:val="0"/>
        <w:autoSpaceDN w:val="0"/>
        <w:adjustRightInd w:val="0"/>
        <w:spacing w:before="240" w:line="240" w:lineRule="auto"/>
        <w:ind w:left="567"/>
        <w:contextualSpacing/>
        <w:jc w:val="both"/>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w:t>
      </w:r>
      <w:r w:rsidRPr="00DC1F83">
        <w:rPr>
          <w:rFonts w:ascii="ITC Avant Garde" w:hAnsi="ITC Avant Garde"/>
          <w:b/>
          <w:bCs/>
          <w:color w:val="000000"/>
          <w:sz w:val="18"/>
          <w:szCs w:val="18"/>
          <w:lang w:eastAsia="es-MX"/>
        </w:rPr>
        <w:t xml:space="preserve">Artículo 114. </w:t>
      </w:r>
      <w:r w:rsidRPr="00DC1F83">
        <w:rPr>
          <w:rFonts w:ascii="ITC Avant Garde" w:hAnsi="ITC Avant Garde"/>
          <w:bCs/>
          <w:color w:val="000000"/>
          <w:sz w:val="18"/>
          <w:szCs w:val="18"/>
          <w:lang w:eastAsia="es-MX"/>
        </w:rPr>
        <w:t>Para el otorgamiento de las prórrogas de concesiones de bandas de frecuencias o de recursos orbitales, será necesario que el concesionario la solicite al Instituto dentro del año previo al inicio de la última quinta parte del plazo de vigencia de la concesión, se encuentre al corriente</w:t>
      </w:r>
      <w:r w:rsidR="00DF326F" w:rsidRPr="00DC1F83">
        <w:rPr>
          <w:rFonts w:ascii="ITC Avant Garde" w:hAnsi="ITC Avant Garde"/>
          <w:bCs/>
          <w:color w:val="000000"/>
          <w:sz w:val="18"/>
          <w:szCs w:val="18"/>
          <w:lang w:eastAsia="es-MX"/>
        </w:rPr>
        <w:t xml:space="preserve"> en el cumplimiento de las obligaciones establecidas en la Ley y demás disposiciones aplicables, así como en su título de concesión.</w:t>
      </w:r>
    </w:p>
    <w:p w14:paraId="4389D80F" w14:textId="77777777" w:rsidR="00DC1F83" w:rsidRPr="00DC1F83" w:rsidRDefault="00DF326F" w:rsidP="00DC1F83">
      <w:pPr>
        <w:autoSpaceDE w:val="0"/>
        <w:autoSpaceDN w:val="0"/>
        <w:adjustRightInd w:val="0"/>
        <w:spacing w:before="240" w:line="240" w:lineRule="auto"/>
        <w:ind w:left="567"/>
        <w:contextualSpacing/>
        <w:jc w:val="both"/>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lastRenderedPageBreak/>
        <w:t>El Instituto resolverá dentro del año siguiente a la presentación de la solicitud, si existe interés público en recuperar el espectro radioeléctrico o los recursos orbitales, en cuyo caso notificará al concesionario su determinación y procederá la terminación de la concesión al término de su vigencia.</w:t>
      </w:r>
    </w:p>
    <w:p w14:paraId="219D8E51" w14:textId="77777777" w:rsidR="00DC1F83" w:rsidRPr="00DC1F83" w:rsidRDefault="00DF326F" w:rsidP="00DC1F83">
      <w:pPr>
        <w:autoSpaceDE w:val="0"/>
        <w:autoSpaceDN w:val="0"/>
        <w:adjustRightInd w:val="0"/>
        <w:spacing w:before="240" w:line="240" w:lineRule="auto"/>
        <w:ind w:left="567"/>
        <w:contextualSpacing/>
        <w:jc w:val="both"/>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En caso de que el Instituto determine que no existe interés público en recuperar el espectro radioeléctrico o los recursos orbitales, otorgará la prórroga solicitada dentro del mismo plazo señalado en el artículo anterior, siempre y cuando el concesionario acepte, previamente, las nuevas condiciones que fije el Instituto, entre las que se incluirá el pago de una contraprestación.</w:t>
      </w:r>
    </w:p>
    <w:p w14:paraId="4B5B6D66" w14:textId="77777777" w:rsidR="00DC1F83" w:rsidRPr="00DC1F83" w:rsidRDefault="00DF326F" w:rsidP="00DC1F83">
      <w:pPr>
        <w:autoSpaceDE w:val="0"/>
        <w:autoSpaceDN w:val="0"/>
        <w:adjustRightInd w:val="0"/>
        <w:spacing w:before="240" w:line="240" w:lineRule="auto"/>
        <w:ind w:left="567"/>
        <w:contextualSpacing/>
        <w:jc w:val="both"/>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Para el otorgamiento de las prórrogas de las concesiones a las que se refiere esta Ley, el Instituto notificará a la Secretaría, previo a su determinación, quien podrá emitir una opinión técnica no vinculante, en un plazo no mayor a treinta días. Transcurrido este plazo sin que se emita la opinión, el Instituto continuará el trámite correspondiente."</w:t>
      </w:r>
    </w:p>
    <w:p w14:paraId="21897146" w14:textId="77777777" w:rsidR="00DC1F83" w:rsidRPr="00DC1F83" w:rsidRDefault="00A7416C" w:rsidP="00DC1F83">
      <w:pPr>
        <w:autoSpaceDE w:val="0"/>
        <w:autoSpaceDN w:val="0"/>
        <w:adjustRightInd w:val="0"/>
        <w:spacing w:before="240" w:after="0" w:line="240" w:lineRule="auto"/>
        <w:contextualSpacing/>
        <w:jc w:val="both"/>
        <w:rPr>
          <w:rFonts w:ascii="ITC Avant Garde" w:hAnsi="ITC Avant Garde"/>
          <w:bCs/>
          <w:color w:val="000000"/>
          <w:lang w:eastAsia="es-MX"/>
        </w:rPr>
      </w:pPr>
      <w:r w:rsidRPr="00DC1F83">
        <w:rPr>
          <w:rFonts w:ascii="ITC Avant Garde" w:hAnsi="ITC Avant Garde"/>
          <w:bCs/>
          <w:color w:val="000000"/>
          <w:lang w:eastAsia="es-MX"/>
        </w:rPr>
        <w:t>E</w:t>
      </w:r>
      <w:r w:rsidR="00F058DE" w:rsidRPr="00DC1F83">
        <w:rPr>
          <w:rFonts w:ascii="ITC Avant Garde" w:hAnsi="ITC Avant Garde"/>
          <w:bCs/>
          <w:color w:val="000000"/>
          <w:lang w:eastAsia="es-MX"/>
        </w:rPr>
        <w:t>l artículo legal antes transcrito</w:t>
      </w:r>
      <w:r w:rsidRPr="00DC1F83">
        <w:rPr>
          <w:rFonts w:ascii="ITC Avant Garde" w:hAnsi="ITC Avant Garde"/>
          <w:bCs/>
          <w:color w:val="000000"/>
          <w:lang w:eastAsia="es-MX"/>
        </w:rPr>
        <w:t xml:space="preserve"> prevé que para el otorgamiento de prórrogas de concesiones de bandas de frecuencias es necesario que el concesionario: (i) lo solicite al Instituto dentro del año previo al inicio de la última quinta parte del plazo de vigencia de la concesión; (ii) se encuentre al corriente en el cumplimiento de las obligaciones establecidas en la Ley y demás disposiciones aplicables, así como en su título de concesión; (iii) que el Instituto determine que no existe interés público en recuperar el espectro radioeléctrico, y (iv) que el concesionario acepte, previamente, las nuevas condiciones que fije el Instituto, entre las que se incluirá el pago de una contraprestación.</w:t>
      </w:r>
    </w:p>
    <w:p w14:paraId="3780BC88" w14:textId="0D80CEC7" w:rsidR="00AB545B" w:rsidRPr="00DC1F83" w:rsidRDefault="00AB545B" w:rsidP="00DC1F83">
      <w:pPr>
        <w:autoSpaceDE w:val="0"/>
        <w:autoSpaceDN w:val="0"/>
        <w:adjustRightInd w:val="0"/>
        <w:spacing w:before="240" w:line="240" w:lineRule="auto"/>
        <w:jc w:val="both"/>
        <w:rPr>
          <w:rFonts w:ascii="ITC Avant Garde" w:hAnsi="ITC Avant Garde"/>
          <w:bCs/>
        </w:rPr>
      </w:pPr>
      <w:r w:rsidRPr="00DC1F83">
        <w:rPr>
          <w:rFonts w:ascii="ITC Avant Garde" w:hAnsi="ITC Avant Garde"/>
          <w:bCs/>
        </w:rPr>
        <w:t>Finalmente, cabe destacar que para este tipo de solicitudes deb</w:t>
      </w:r>
      <w:r w:rsidR="00535FB9" w:rsidRPr="00DC1F83">
        <w:rPr>
          <w:rFonts w:ascii="ITC Avant Garde" w:hAnsi="ITC Avant Garde"/>
          <w:bCs/>
        </w:rPr>
        <w:t>ía</w:t>
      </w:r>
      <w:r w:rsidRPr="00DC1F83">
        <w:rPr>
          <w:rFonts w:ascii="ITC Avant Garde" w:hAnsi="ITC Avant Garde"/>
          <w:bCs/>
        </w:rPr>
        <w:t xml:space="preserve"> acatarse el requisito de procedencia establecido en el artículo </w:t>
      </w:r>
      <w:r w:rsidR="00535FB9" w:rsidRPr="00DC1F83">
        <w:rPr>
          <w:rFonts w:ascii="ITC Avant Garde" w:hAnsi="ITC Avant Garde"/>
          <w:bCs/>
        </w:rPr>
        <w:t>93</w:t>
      </w:r>
      <w:r w:rsidRPr="00DC1F83">
        <w:rPr>
          <w:rFonts w:ascii="ITC Avant Garde" w:hAnsi="ITC Avant Garde"/>
          <w:bCs/>
        </w:rPr>
        <w:t xml:space="preserve"> fracción III de la Ley Federal de Derechos, vigente al momento de la fecha de presentación de la</w:t>
      </w:r>
      <w:r w:rsidR="00AD0BD8" w:rsidRPr="00DC1F83">
        <w:rPr>
          <w:rFonts w:ascii="ITC Avant Garde" w:hAnsi="ITC Avant Garde"/>
          <w:bCs/>
        </w:rPr>
        <w:t>s</w:t>
      </w:r>
      <w:r w:rsidRPr="00DC1F83">
        <w:rPr>
          <w:rFonts w:ascii="ITC Avant Garde" w:hAnsi="ITC Avant Garde"/>
          <w:bCs/>
        </w:rPr>
        <w:t xml:space="preserve"> Solicitud</w:t>
      </w:r>
      <w:r w:rsidR="00AD0BD8" w:rsidRPr="00DC1F83">
        <w:rPr>
          <w:rFonts w:ascii="ITC Avant Garde" w:hAnsi="ITC Avant Garde"/>
          <w:bCs/>
        </w:rPr>
        <w:t>es</w:t>
      </w:r>
      <w:r w:rsidRPr="00DC1F83">
        <w:rPr>
          <w:rFonts w:ascii="ITC Avant Garde" w:hAnsi="ITC Avant Garde"/>
          <w:bCs/>
        </w:rPr>
        <w:t xml:space="preserve"> de Prórroga, el cual establecía la obligación a cargo del solicitante de la prórroga de vigencia de la</w:t>
      </w:r>
      <w:r w:rsidR="00AD0BD8" w:rsidRPr="00DC1F83">
        <w:rPr>
          <w:rFonts w:ascii="ITC Avant Garde" w:hAnsi="ITC Avant Garde"/>
          <w:bCs/>
        </w:rPr>
        <w:t>s concesiones</w:t>
      </w:r>
      <w:r w:rsidRPr="00DC1F83">
        <w:rPr>
          <w:rFonts w:ascii="ITC Avant Garde" w:hAnsi="ITC Avant Garde"/>
          <w:bCs/>
        </w:rPr>
        <w:t xml:space="preserve"> en materia de telecomunicaciones, de pagar los derechos por el trámite relativo al estudio de la solicitud de prórroga.</w:t>
      </w:r>
    </w:p>
    <w:p w14:paraId="0559C22D" w14:textId="77777777" w:rsidR="00DC1F83" w:rsidRPr="00DC1F83" w:rsidRDefault="00AD0BD8" w:rsidP="00DC1F83">
      <w:pPr>
        <w:autoSpaceDE w:val="0"/>
        <w:autoSpaceDN w:val="0"/>
        <w:adjustRightInd w:val="0"/>
        <w:spacing w:before="240" w:line="240" w:lineRule="auto"/>
        <w:jc w:val="both"/>
        <w:rPr>
          <w:rFonts w:ascii="ITC Avant Garde" w:hAnsi="ITC Avant Garde"/>
          <w:bCs/>
          <w:color w:val="000000"/>
          <w:lang w:eastAsia="es-MX"/>
        </w:rPr>
      </w:pPr>
      <w:r w:rsidRPr="00DC1F83">
        <w:rPr>
          <w:rFonts w:ascii="ITC Avant Garde" w:hAnsi="ITC Avant Garde"/>
          <w:bCs/>
        </w:rPr>
        <w:t xml:space="preserve">En seguimiento a lo anterior, y tomando en cuenta que el análisis que debe realizar el Instituto respecto de las Solicitudes de Prórroga debe llevarse a cabo en estricto apego a los términos y requisitos previstos en la Ley, así como lo establecido en los propios títulos de concesión, al resolver en definitiva dicho trámite, y de considerar procedente la prórroga, deberá </w:t>
      </w:r>
      <w:r w:rsidR="00A64F69" w:rsidRPr="00DC1F83">
        <w:rPr>
          <w:rFonts w:ascii="ITC Avant Garde" w:hAnsi="ITC Avant Garde"/>
          <w:bCs/>
          <w:color w:val="000000"/>
          <w:lang w:eastAsia="es-MX"/>
        </w:rPr>
        <w:t xml:space="preserve">observarse el actual régimen de concesionamiento previsto en los </w:t>
      </w:r>
      <w:r w:rsidR="00A64F69" w:rsidRPr="00DC1F83">
        <w:rPr>
          <w:rFonts w:ascii="ITC Avant Garde" w:hAnsi="ITC Avant Garde"/>
          <w:bCs/>
        </w:rPr>
        <w:t>artículos 75 y 76 de la Ley respecto de las Concesiones.</w:t>
      </w:r>
    </w:p>
    <w:p w14:paraId="06D5F06F" w14:textId="77777777" w:rsidR="00DC1F83" w:rsidRPr="00DC1F83" w:rsidRDefault="001269DF" w:rsidP="00DC1F83">
      <w:pPr>
        <w:spacing w:before="240" w:line="240" w:lineRule="auto"/>
        <w:ind w:right="-94"/>
        <w:jc w:val="both"/>
        <w:rPr>
          <w:rFonts w:ascii="ITC Avant Garde" w:hAnsi="ITC Avant Garde"/>
          <w:bCs/>
        </w:rPr>
      </w:pPr>
      <w:r w:rsidRPr="00DC1F83">
        <w:rPr>
          <w:rFonts w:ascii="ITC Avant Garde" w:hAnsi="ITC Avant Garde"/>
          <w:b/>
          <w:bCs/>
        </w:rPr>
        <w:t xml:space="preserve">Tercero.- </w:t>
      </w:r>
      <w:r w:rsidR="00BF501B" w:rsidRPr="00DC1F83">
        <w:rPr>
          <w:rFonts w:ascii="ITC Avant Garde" w:hAnsi="ITC Avant Garde"/>
          <w:b/>
          <w:bCs/>
        </w:rPr>
        <w:t>Prórroga de la</w:t>
      </w:r>
      <w:r w:rsidR="006E381A" w:rsidRPr="00DC1F83">
        <w:rPr>
          <w:rFonts w:ascii="ITC Avant Garde" w:hAnsi="ITC Avant Garde"/>
          <w:b/>
          <w:bCs/>
        </w:rPr>
        <w:t>s</w:t>
      </w:r>
      <w:r w:rsidR="00BF501B" w:rsidRPr="00DC1F83">
        <w:rPr>
          <w:rFonts w:ascii="ITC Avant Garde" w:hAnsi="ITC Avant Garde"/>
          <w:b/>
          <w:bCs/>
        </w:rPr>
        <w:t xml:space="preserve"> Concesi</w:t>
      </w:r>
      <w:r w:rsidR="006E381A" w:rsidRPr="00DC1F83">
        <w:rPr>
          <w:rFonts w:ascii="ITC Avant Garde" w:hAnsi="ITC Avant Garde"/>
          <w:b/>
          <w:bCs/>
        </w:rPr>
        <w:t>ones</w:t>
      </w:r>
      <w:r w:rsidR="00BF501B" w:rsidRPr="00DC1F83">
        <w:rPr>
          <w:rFonts w:ascii="ITC Avant Garde" w:hAnsi="ITC Avant Garde"/>
          <w:b/>
          <w:bCs/>
        </w:rPr>
        <w:t>.</w:t>
      </w:r>
      <w:r w:rsidR="00BF501B" w:rsidRPr="00DC1F83">
        <w:rPr>
          <w:rFonts w:ascii="ITC Avant Garde" w:hAnsi="ITC Avant Garde"/>
          <w:bCs/>
        </w:rPr>
        <w:t xml:space="preserve"> </w:t>
      </w:r>
      <w:r w:rsidR="00EC5ADA" w:rsidRPr="00DC1F83">
        <w:rPr>
          <w:rFonts w:ascii="ITC Avant Garde" w:hAnsi="ITC Avant Garde"/>
          <w:bCs/>
        </w:rPr>
        <w:t xml:space="preserve">El artículo 10 </w:t>
      </w:r>
      <w:proofErr w:type="gramStart"/>
      <w:r w:rsidR="00EC5ADA" w:rsidRPr="00DC1F83">
        <w:rPr>
          <w:rFonts w:ascii="ITC Avant Garde" w:hAnsi="ITC Avant Garde"/>
          <w:bCs/>
        </w:rPr>
        <w:t>fracción</w:t>
      </w:r>
      <w:proofErr w:type="gramEnd"/>
      <w:r w:rsidR="00EC5ADA" w:rsidRPr="00DC1F83">
        <w:rPr>
          <w:rFonts w:ascii="ITC Avant Garde" w:hAnsi="ITC Avant Garde"/>
          <w:bCs/>
        </w:rPr>
        <w:t xml:space="preserve"> II de la Ley Federal de Telecomunicaciones señalaba que el espectro para usos determinados eran aquellas bandas de frecuencias otorgadas mediante concesión y que podían ser utilizadas para los servicios que autorizara la Secretaría en el título correspondiente. Por su parte, el artículo 11 </w:t>
      </w:r>
      <w:proofErr w:type="gramStart"/>
      <w:r w:rsidR="00EC5ADA" w:rsidRPr="00DC1F83">
        <w:rPr>
          <w:rFonts w:ascii="ITC Avant Garde" w:hAnsi="ITC Avant Garde"/>
          <w:bCs/>
        </w:rPr>
        <w:t>fracción</w:t>
      </w:r>
      <w:proofErr w:type="gramEnd"/>
      <w:r w:rsidR="00EC5ADA" w:rsidRPr="00DC1F83">
        <w:rPr>
          <w:rFonts w:ascii="ITC Avant Garde" w:hAnsi="ITC Avant Garde"/>
          <w:bCs/>
        </w:rPr>
        <w:t xml:space="preserve"> I del citado ordenamiento establecía que se requería concesión para usar, aprovechar o explotar una banda de frecuencias en el territorio nacional. </w:t>
      </w:r>
    </w:p>
    <w:p w14:paraId="32697AD0" w14:textId="77777777" w:rsidR="00DC1F83" w:rsidRPr="00DC1F83" w:rsidRDefault="00EC5ADA" w:rsidP="00DC1F83">
      <w:pPr>
        <w:spacing w:before="240" w:line="240" w:lineRule="auto"/>
        <w:ind w:right="-94"/>
        <w:jc w:val="both"/>
        <w:rPr>
          <w:rFonts w:ascii="ITC Avant Garde" w:hAnsi="ITC Avant Garde"/>
          <w:bCs/>
        </w:rPr>
      </w:pPr>
      <w:r w:rsidRPr="00DC1F83">
        <w:rPr>
          <w:rFonts w:ascii="ITC Avant Garde" w:hAnsi="ITC Avant Garde"/>
          <w:bCs/>
        </w:rPr>
        <w:t xml:space="preserve">En ese sentido, el artículo 3 fracción XIII de la Ley define a la concesión de espectro radioeléctrico como el acto administrativo mediante el cual el Instituto confiere el derecho para usar, aprovechar o explotar bandas de frecuencia del espectro radioeléctrico, en los términos y modalidades establecidos en dicha Ley. Al respecto, el artículo 76 de la Ley establece una nueva clasificación para este tipo de concesiones de </w:t>
      </w:r>
      <w:r w:rsidRPr="00DC1F83">
        <w:rPr>
          <w:rFonts w:ascii="ITC Avant Garde" w:hAnsi="ITC Avant Garde"/>
          <w:bCs/>
        </w:rPr>
        <w:lastRenderedPageBreak/>
        <w:t xml:space="preserve">acuerdo a sus fines, entre las que destaca la concesión para uso comercial, que de acuerdo al artículo 76 fracción I, confiere el derecho a personas físicas y morales para usar, aprovechar y explotar bandas de frecuencias del espectro radioeléctrico de uso determinado, con fines de lucro. </w:t>
      </w:r>
    </w:p>
    <w:p w14:paraId="591E31EA" w14:textId="77777777" w:rsidR="00DC1F83" w:rsidRPr="00DC1F83" w:rsidRDefault="00EC5ADA" w:rsidP="00DC1F83">
      <w:pPr>
        <w:autoSpaceDE w:val="0"/>
        <w:autoSpaceDN w:val="0"/>
        <w:adjustRightInd w:val="0"/>
        <w:spacing w:before="240" w:line="240" w:lineRule="auto"/>
        <w:contextualSpacing/>
        <w:jc w:val="both"/>
        <w:rPr>
          <w:rFonts w:ascii="ITC Avant Garde" w:hAnsi="ITC Avant Garde"/>
          <w:bCs/>
        </w:rPr>
      </w:pPr>
      <w:r w:rsidRPr="00DC1F83">
        <w:rPr>
          <w:rFonts w:ascii="ITC Avant Garde" w:hAnsi="ITC Avant Garde"/>
          <w:bCs/>
        </w:rPr>
        <w:t>Derivado de lo anterior, las prórrogas de vigencia de las Concesiones deben otorgarse atendiendo a lo dispuesto por el nuevo régimen de concesionamiento previsto en la Ley, es decir, de concederse las mismas, se otorgaría a T</w:t>
      </w:r>
      <w:r w:rsidR="006D6924" w:rsidRPr="00DC1F83">
        <w:rPr>
          <w:rFonts w:ascii="ITC Avant Garde" w:hAnsi="ITC Avant Garde"/>
          <w:bCs/>
        </w:rPr>
        <w:t>elcel</w:t>
      </w:r>
      <w:r w:rsidRPr="00DC1F83">
        <w:rPr>
          <w:rFonts w:ascii="ITC Avant Garde" w:hAnsi="ITC Avant Garde"/>
          <w:bCs/>
        </w:rPr>
        <w:t xml:space="preserve"> una concesión para usar, aprovechar y explotar bandas de frecuencias del espectro radioeléctrico para uso comercial por cada una de las Concesiones antes mencionadas.</w:t>
      </w:r>
    </w:p>
    <w:p w14:paraId="429EB67A" w14:textId="7F401979" w:rsidR="00DC1F83" w:rsidRPr="00DC1F83" w:rsidRDefault="002A09D2" w:rsidP="00DC1F83">
      <w:pPr>
        <w:autoSpaceDE w:val="0"/>
        <w:autoSpaceDN w:val="0"/>
        <w:adjustRightInd w:val="0"/>
        <w:spacing w:before="240" w:line="240" w:lineRule="auto"/>
        <w:jc w:val="both"/>
        <w:rPr>
          <w:rFonts w:ascii="ITC Avant Garde" w:hAnsi="ITC Avant Garde"/>
          <w:bCs/>
        </w:rPr>
      </w:pPr>
      <w:r w:rsidRPr="00DC1F83">
        <w:rPr>
          <w:rFonts w:ascii="ITC Avant Garde" w:hAnsi="ITC Avant Garde"/>
          <w:b/>
          <w:bCs/>
        </w:rPr>
        <w:t>Cuarto</w:t>
      </w:r>
      <w:r w:rsidR="00B048BA" w:rsidRPr="00DC1F83">
        <w:rPr>
          <w:rFonts w:ascii="ITC Avant Garde" w:hAnsi="ITC Avant Garde"/>
          <w:b/>
          <w:bCs/>
        </w:rPr>
        <w:t>.- Análisis de la</w:t>
      </w:r>
      <w:r w:rsidR="002236E5" w:rsidRPr="00DC1F83">
        <w:rPr>
          <w:rFonts w:ascii="ITC Avant Garde" w:hAnsi="ITC Avant Garde"/>
          <w:b/>
          <w:bCs/>
        </w:rPr>
        <w:t>s</w:t>
      </w:r>
      <w:r w:rsidR="00B048BA" w:rsidRPr="00DC1F83">
        <w:rPr>
          <w:rFonts w:ascii="ITC Avant Garde" w:hAnsi="ITC Avant Garde"/>
          <w:b/>
          <w:bCs/>
        </w:rPr>
        <w:t xml:space="preserve"> Solicitud</w:t>
      </w:r>
      <w:r w:rsidR="002236E5" w:rsidRPr="00DC1F83">
        <w:rPr>
          <w:rFonts w:ascii="ITC Avant Garde" w:hAnsi="ITC Avant Garde"/>
          <w:b/>
          <w:bCs/>
        </w:rPr>
        <w:t>es</w:t>
      </w:r>
      <w:r w:rsidR="00B048BA" w:rsidRPr="00DC1F83">
        <w:rPr>
          <w:rFonts w:ascii="ITC Avant Garde" w:hAnsi="ITC Avant Garde"/>
          <w:b/>
          <w:bCs/>
        </w:rPr>
        <w:t xml:space="preserve"> de </w:t>
      </w:r>
      <w:r w:rsidR="001A6B6F" w:rsidRPr="00DC1F83">
        <w:rPr>
          <w:rFonts w:ascii="ITC Avant Garde" w:hAnsi="ITC Avant Garde"/>
          <w:b/>
          <w:bCs/>
        </w:rPr>
        <w:t>Prórroga</w:t>
      </w:r>
      <w:r w:rsidR="00B048BA" w:rsidRPr="00DC1F83">
        <w:rPr>
          <w:rFonts w:ascii="ITC Avant Garde" w:hAnsi="ITC Avant Garde"/>
          <w:b/>
          <w:bCs/>
        </w:rPr>
        <w:t>.</w:t>
      </w:r>
      <w:r w:rsidR="001A6B6F" w:rsidRPr="00DC1F83">
        <w:rPr>
          <w:rFonts w:ascii="ITC Avant Garde" w:hAnsi="ITC Avant Garde"/>
          <w:bCs/>
        </w:rPr>
        <w:t xml:space="preserve"> </w:t>
      </w:r>
      <w:r w:rsidR="0036074A" w:rsidRPr="00DC1F83">
        <w:rPr>
          <w:rFonts w:ascii="ITC Avant Garde" w:hAnsi="ITC Avant Garde"/>
          <w:bCs/>
        </w:rPr>
        <w:t>Con respecto</w:t>
      </w:r>
      <w:r w:rsidR="009F6B06" w:rsidRPr="00DC1F83">
        <w:rPr>
          <w:rFonts w:ascii="ITC Avant Garde" w:hAnsi="ITC Avant Garde"/>
          <w:bCs/>
        </w:rPr>
        <w:t xml:space="preserve"> al primer requisito de procedencia establecido </w:t>
      </w:r>
      <w:r w:rsidR="0036074A" w:rsidRPr="00DC1F83">
        <w:rPr>
          <w:rFonts w:ascii="ITC Avant Garde" w:hAnsi="ITC Avant Garde"/>
          <w:bCs/>
        </w:rPr>
        <w:t>en</w:t>
      </w:r>
      <w:r w:rsidR="009F6B06" w:rsidRPr="00DC1F83">
        <w:rPr>
          <w:rFonts w:ascii="ITC Avant Garde" w:hAnsi="ITC Avant Garde"/>
          <w:bCs/>
        </w:rPr>
        <w:t xml:space="preserve"> la L</w:t>
      </w:r>
      <w:r w:rsidR="00BD777B" w:rsidRPr="00DC1F83">
        <w:rPr>
          <w:rFonts w:ascii="ITC Avant Garde" w:hAnsi="ITC Avant Garde"/>
          <w:bCs/>
        </w:rPr>
        <w:t>ey</w:t>
      </w:r>
      <w:r w:rsidR="009F6B06" w:rsidRPr="00DC1F83">
        <w:rPr>
          <w:rFonts w:ascii="ITC Avant Garde" w:hAnsi="ITC Avant Garde"/>
          <w:bCs/>
        </w:rPr>
        <w:t>,</w:t>
      </w:r>
      <w:r w:rsidR="00DB4A57" w:rsidRPr="00DC1F83">
        <w:rPr>
          <w:rFonts w:ascii="ITC Avant Garde" w:hAnsi="ITC Avant Garde"/>
          <w:bCs/>
        </w:rPr>
        <w:t xml:space="preserve"> relativo a</w:t>
      </w:r>
      <w:r w:rsidR="0036074A" w:rsidRPr="00DC1F83">
        <w:rPr>
          <w:rFonts w:ascii="ITC Avant Garde" w:hAnsi="ITC Avant Garde"/>
          <w:bCs/>
        </w:rPr>
        <w:t>l plazo con que contaba</w:t>
      </w:r>
      <w:r w:rsidR="00DB4A57" w:rsidRPr="00DC1F83">
        <w:rPr>
          <w:rFonts w:ascii="ITC Avant Garde" w:hAnsi="ITC Avant Garde"/>
          <w:bCs/>
        </w:rPr>
        <w:t xml:space="preserve"> Telcel</w:t>
      </w:r>
      <w:r w:rsidR="009F6B06" w:rsidRPr="00DC1F83">
        <w:rPr>
          <w:rFonts w:ascii="ITC Avant Garde" w:hAnsi="ITC Avant Garde"/>
          <w:bCs/>
        </w:rPr>
        <w:t xml:space="preserve"> </w:t>
      </w:r>
      <w:r w:rsidR="0036074A" w:rsidRPr="00DC1F83">
        <w:rPr>
          <w:rFonts w:ascii="ITC Avant Garde" w:hAnsi="ITC Avant Garde"/>
          <w:bCs/>
        </w:rPr>
        <w:t xml:space="preserve">para solicitar </w:t>
      </w:r>
      <w:r w:rsidR="00843727" w:rsidRPr="00DC1F83">
        <w:rPr>
          <w:rFonts w:ascii="ITC Avant Garde" w:hAnsi="ITC Avant Garde"/>
          <w:bCs/>
          <w:color w:val="000000"/>
          <w:lang w:eastAsia="es-MX"/>
        </w:rPr>
        <w:t>la prórroga de las Concesiones dentro del año previo al inicio de la última quinta parte del plazo de vigencia de las mismas, e</w:t>
      </w:r>
      <w:r w:rsidR="0036074A" w:rsidRPr="00DC1F83">
        <w:rPr>
          <w:rFonts w:ascii="ITC Avant Garde" w:hAnsi="ITC Avant Garde"/>
          <w:bCs/>
          <w:color w:val="000000"/>
          <w:lang w:eastAsia="es-MX"/>
        </w:rPr>
        <w:t>l</w:t>
      </w:r>
      <w:r w:rsidR="00843727" w:rsidRPr="00DC1F83">
        <w:rPr>
          <w:rFonts w:ascii="ITC Avant Garde" w:hAnsi="ITC Avant Garde"/>
          <w:bCs/>
          <w:color w:val="000000"/>
          <w:lang w:eastAsia="es-MX"/>
        </w:rPr>
        <w:t xml:space="preserve"> Instituto considera que el mismo fue satisfecho, en virtud de que </w:t>
      </w:r>
      <w:r w:rsidR="00A42CC0" w:rsidRPr="00DC1F83">
        <w:rPr>
          <w:rFonts w:ascii="ITC Avant Garde" w:hAnsi="ITC Avant Garde"/>
          <w:bCs/>
          <w:color w:val="000000"/>
          <w:lang w:eastAsia="es-MX"/>
        </w:rPr>
        <w:t>las Concesiones se otorgaron con una vigencia de 20 (veinte) años cada una, contados a partir de la fecha en que se verificara la condición suspensiva c</w:t>
      </w:r>
      <w:r w:rsidR="00DB2F93" w:rsidRPr="00DC1F83">
        <w:rPr>
          <w:rFonts w:ascii="ITC Avant Garde" w:hAnsi="ITC Avant Garde"/>
          <w:bCs/>
          <w:color w:val="000000"/>
          <w:lang w:eastAsia="es-MX"/>
        </w:rPr>
        <w:t xml:space="preserve">onsistente en que la autoridad judicial competente acordara el sobreseimiento del Juicio de Amparo número </w:t>
      </w:r>
      <w:r w:rsidR="001C65F0" w:rsidRPr="00DC1F83">
        <w:rPr>
          <w:rFonts w:ascii="ITC Avant Garde" w:hAnsi="ITC Avant Garde"/>
          <w:bCs/>
          <w:color w:val="000000"/>
          <w:lang w:eastAsia="es-MX"/>
        </w:rPr>
        <w:t>P.</w:t>
      </w:r>
      <w:r w:rsidR="00DB2F93" w:rsidRPr="00DC1F83">
        <w:rPr>
          <w:rFonts w:ascii="ITC Avant Garde" w:hAnsi="ITC Avant Garde"/>
          <w:bCs/>
          <w:color w:val="000000"/>
          <w:lang w:eastAsia="es-MX"/>
        </w:rPr>
        <w:t>211/99 radicado en el Juzgado Primero de Distrito en Materia Administrativa del Distrito Federal (ahora Ciudad de México)</w:t>
      </w:r>
      <w:r w:rsidR="00A42CC0" w:rsidRPr="00DC1F83">
        <w:rPr>
          <w:rFonts w:ascii="ITC Avant Garde" w:hAnsi="ITC Avant Garde"/>
          <w:bCs/>
          <w:color w:val="000000"/>
          <w:lang w:eastAsia="es-MX"/>
        </w:rPr>
        <w:t xml:space="preserve">, respecto de la totalidad de los actos reclamados en la demanda correspondiente, lo cual tuvo verificativo </w:t>
      </w:r>
      <w:r w:rsidR="00AA0AD6" w:rsidRPr="00DC1F83">
        <w:rPr>
          <w:rFonts w:ascii="ITC Avant Garde" w:hAnsi="ITC Avant Garde"/>
          <w:bCs/>
          <w:color w:val="000000"/>
          <w:lang w:eastAsia="es-MX"/>
        </w:rPr>
        <w:t xml:space="preserve">el 20 de octubre de 1999. </w:t>
      </w:r>
      <w:r w:rsidR="0032230F" w:rsidRPr="00DC1F83">
        <w:rPr>
          <w:rFonts w:ascii="ITC Avant Garde" w:hAnsi="ITC Avant Garde"/>
          <w:bCs/>
          <w:color w:val="000000"/>
          <w:lang w:eastAsia="es-MX"/>
        </w:rPr>
        <w:t xml:space="preserve">Por ello, la vigencia de las Concesiones inició el 20 de octubre de 1999, por lo que </w:t>
      </w:r>
      <w:r w:rsidR="00AA0AD6" w:rsidRPr="00DC1F83">
        <w:rPr>
          <w:rFonts w:ascii="ITC Avant Garde" w:hAnsi="ITC Avant Garde"/>
          <w:bCs/>
          <w:color w:val="000000"/>
          <w:lang w:eastAsia="es-MX"/>
        </w:rPr>
        <w:t>el año previo al inicio de la última quinta parte del plazo de vigencia de las Concesiones corrió del 19 de octubre de 2014 al 19 de octubre de 2015, y las Solicitudes de Prórroga fueron presentadas el 3 de noviembre de 2014.</w:t>
      </w:r>
    </w:p>
    <w:p w14:paraId="56F692C2" w14:textId="77777777" w:rsidR="00DC1F83" w:rsidRPr="00DC1F83" w:rsidRDefault="00BD777B" w:rsidP="00DC1F83">
      <w:pPr>
        <w:autoSpaceDE w:val="0"/>
        <w:autoSpaceDN w:val="0"/>
        <w:adjustRightInd w:val="0"/>
        <w:spacing w:before="240" w:line="240" w:lineRule="auto"/>
        <w:jc w:val="both"/>
        <w:rPr>
          <w:rFonts w:ascii="ITC Avant Garde" w:hAnsi="ITC Avant Garde"/>
          <w:bCs/>
        </w:rPr>
      </w:pPr>
      <w:r w:rsidRPr="00DC1F83">
        <w:rPr>
          <w:rFonts w:ascii="ITC Avant Garde" w:hAnsi="ITC Avant Garde"/>
          <w:bCs/>
        </w:rPr>
        <w:t xml:space="preserve">Por lo que toca al segundo requisito de procedencia establecido en la Ley, relativo a que Telcel </w:t>
      </w:r>
      <w:r w:rsidRPr="00DC1F83">
        <w:rPr>
          <w:rFonts w:ascii="ITC Avant Garde" w:hAnsi="ITC Avant Garde"/>
          <w:bCs/>
          <w:color w:val="000000"/>
          <w:lang w:eastAsia="es-MX"/>
        </w:rPr>
        <w:t xml:space="preserve">se encontrara al corriente en el cumplimiento de las obligaciones establecidas en la Ley y demás disposiciones aplicables, así como en los respectivos títulos de concesión que se pretenden prorrogar, </w:t>
      </w:r>
      <w:r w:rsidR="0016433F" w:rsidRPr="00DC1F83">
        <w:rPr>
          <w:rFonts w:ascii="ITC Avant Garde" w:hAnsi="ITC Avant Garde"/>
          <w:bCs/>
        </w:rPr>
        <w:t xml:space="preserve">con oficios </w:t>
      </w:r>
      <w:r w:rsidR="001456FB" w:rsidRPr="00DC1F83">
        <w:rPr>
          <w:rFonts w:ascii="ITC Avant Garde" w:hAnsi="ITC Avant Garde"/>
          <w:bCs/>
        </w:rPr>
        <w:t>IFT</w:t>
      </w:r>
      <w:r w:rsidR="0016433F" w:rsidRPr="00DC1F83">
        <w:rPr>
          <w:rFonts w:ascii="ITC Avant Garde" w:hAnsi="ITC Avant Garde"/>
          <w:bCs/>
        </w:rPr>
        <w:t>/</w:t>
      </w:r>
      <w:r w:rsidR="001456FB" w:rsidRPr="00DC1F83">
        <w:rPr>
          <w:rFonts w:ascii="ITC Avant Garde" w:hAnsi="ITC Avant Garde"/>
          <w:bCs/>
        </w:rPr>
        <w:t>22</w:t>
      </w:r>
      <w:r w:rsidR="0016433F" w:rsidRPr="00DC1F83">
        <w:rPr>
          <w:rFonts w:ascii="ITC Avant Garde" w:hAnsi="ITC Avant Garde"/>
          <w:bCs/>
        </w:rPr>
        <w:t>3/U</w:t>
      </w:r>
      <w:r w:rsidR="001456FB" w:rsidRPr="00DC1F83">
        <w:rPr>
          <w:rFonts w:ascii="ITC Avant Garde" w:hAnsi="ITC Avant Garde"/>
          <w:bCs/>
        </w:rPr>
        <w:t>C</w:t>
      </w:r>
      <w:r w:rsidR="0016433F" w:rsidRPr="00DC1F83">
        <w:rPr>
          <w:rFonts w:ascii="ITC Avant Garde" w:hAnsi="ITC Avant Garde"/>
          <w:bCs/>
        </w:rPr>
        <w:t>S/DG</w:t>
      </w:r>
      <w:r w:rsidR="001456FB" w:rsidRPr="00DC1F83">
        <w:rPr>
          <w:rFonts w:ascii="ITC Avant Garde" w:hAnsi="ITC Avant Garde"/>
          <w:bCs/>
        </w:rPr>
        <w:t>-CTEL</w:t>
      </w:r>
      <w:r w:rsidR="0016433F" w:rsidRPr="00DC1F83">
        <w:rPr>
          <w:rFonts w:ascii="ITC Avant Garde" w:hAnsi="ITC Avant Garde"/>
          <w:bCs/>
        </w:rPr>
        <w:t>/2</w:t>
      </w:r>
      <w:r w:rsidR="001456FB" w:rsidRPr="00DC1F83">
        <w:rPr>
          <w:rFonts w:ascii="ITC Avant Garde" w:hAnsi="ITC Avant Garde"/>
          <w:bCs/>
        </w:rPr>
        <w:t>3</w:t>
      </w:r>
      <w:r w:rsidR="0016433F" w:rsidRPr="00DC1F83">
        <w:rPr>
          <w:rFonts w:ascii="ITC Avant Garde" w:hAnsi="ITC Avant Garde"/>
          <w:bCs/>
        </w:rPr>
        <w:t>6/</w:t>
      </w:r>
      <w:r w:rsidR="001456FB" w:rsidRPr="00DC1F83">
        <w:rPr>
          <w:rFonts w:ascii="ITC Avant Garde" w:hAnsi="ITC Avant Garde"/>
          <w:bCs/>
        </w:rPr>
        <w:t>20</w:t>
      </w:r>
      <w:r w:rsidR="0016433F" w:rsidRPr="00DC1F83">
        <w:rPr>
          <w:rFonts w:ascii="ITC Avant Garde" w:hAnsi="ITC Avant Garde"/>
          <w:bCs/>
        </w:rPr>
        <w:t>1</w:t>
      </w:r>
      <w:r w:rsidR="001456FB" w:rsidRPr="00DC1F83">
        <w:rPr>
          <w:rFonts w:ascii="ITC Avant Garde" w:hAnsi="ITC Avant Garde"/>
          <w:bCs/>
        </w:rPr>
        <w:t>4, IFT/223/UCS/DG-CTEL/235/2014, IFT/223/UCS/DG-CTEL/233/2014, IFT/223/UCS/DG-CTEL/234/2014, IFT/223/UCS/DG-CTEL/232/2014, IFT/223/UCS/DG-CTEL/231/2014, IFT/223/UCS/DG-CTEL/23</w:t>
      </w:r>
      <w:r w:rsidR="00C073E7" w:rsidRPr="00DC1F83">
        <w:rPr>
          <w:rFonts w:ascii="ITC Avant Garde" w:hAnsi="ITC Avant Garde"/>
          <w:bCs/>
        </w:rPr>
        <w:t>0</w:t>
      </w:r>
      <w:r w:rsidR="001456FB" w:rsidRPr="00DC1F83">
        <w:rPr>
          <w:rFonts w:ascii="ITC Avant Garde" w:hAnsi="ITC Avant Garde"/>
          <w:bCs/>
        </w:rPr>
        <w:t>/2014</w:t>
      </w:r>
      <w:r w:rsidR="00C073E7" w:rsidRPr="00DC1F83">
        <w:rPr>
          <w:rFonts w:ascii="ITC Avant Garde" w:hAnsi="ITC Avant Garde"/>
          <w:bCs/>
        </w:rPr>
        <w:t>, IFT/223/UCS/DG-CTEL/237/2014</w:t>
      </w:r>
      <w:r w:rsidR="0016433F" w:rsidRPr="00DC1F83">
        <w:rPr>
          <w:rFonts w:ascii="ITC Avant Garde" w:hAnsi="ITC Avant Garde"/>
          <w:bCs/>
        </w:rPr>
        <w:t xml:space="preserve"> y </w:t>
      </w:r>
      <w:r w:rsidR="001456FB" w:rsidRPr="00DC1F83">
        <w:rPr>
          <w:rFonts w:ascii="ITC Avant Garde" w:hAnsi="ITC Avant Garde"/>
          <w:bCs/>
        </w:rPr>
        <w:t>IFT/223/UCS/DG-CTEL/2</w:t>
      </w:r>
      <w:r w:rsidR="00C073E7" w:rsidRPr="00DC1F83">
        <w:rPr>
          <w:rFonts w:ascii="ITC Avant Garde" w:hAnsi="ITC Avant Garde"/>
          <w:bCs/>
        </w:rPr>
        <w:t>29</w:t>
      </w:r>
      <w:r w:rsidR="001456FB" w:rsidRPr="00DC1F83">
        <w:rPr>
          <w:rFonts w:ascii="ITC Avant Garde" w:hAnsi="ITC Avant Garde"/>
          <w:bCs/>
        </w:rPr>
        <w:t>/2014</w:t>
      </w:r>
      <w:r w:rsidR="00C073E7" w:rsidRPr="00DC1F83">
        <w:rPr>
          <w:rFonts w:ascii="ITC Avant Garde" w:hAnsi="ITC Avant Garde"/>
          <w:bCs/>
        </w:rPr>
        <w:t>, todos</w:t>
      </w:r>
      <w:r w:rsidR="0016433F" w:rsidRPr="00DC1F83">
        <w:rPr>
          <w:rFonts w:ascii="ITC Avant Garde" w:hAnsi="ITC Avant Garde"/>
          <w:bCs/>
        </w:rPr>
        <w:t xml:space="preserve"> de fecha </w:t>
      </w:r>
      <w:r w:rsidR="00C073E7" w:rsidRPr="00DC1F83">
        <w:rPr>
          <w:rFonts w:ascii="ITC Avant Garde" w:hAnsi="ITC Avant Garde"/>
          <w:bCs/>
        </w:rPr>
        <w:t>7</w:t>
      </w:r>
      <w:r w:rsidR="0016433F" w:rsidRPr="00DC1F83">
        <w:rPr>
          <w:rFonts w:ascii="ITC Avant Garde" w:hAnsi="ITC Avant Garde"/>
          <w:bCs/>
        </w:rPr>
        <w:t xml:space="preserve"> de </w:t>
      </w:r>
      <w:r w:rsidR="00C073E7" w:rsidRPr="00DC1F83">
        <w:rPr>
          <w:rFonts w:ascii="ITC Avant Garde" w:hAnsi="ITC Avant Garde"/>
          <w:bCs/>
        </w:rPr>
        <w:t>noviembre</w:t>
      </w:r>
      <w:r w:rsidR="0016433F" w:rsidRPr="00DC1F83">
        <w:rPr>
          <w:rFonts w:ascii="ITC Avant Garde" w:hAnsi="ITC Avant Garde"/>
          <w:bCs/>
        </w:rPr>
        <w:t xml:space="preserve"> de 201</w:t>
      </w:r>
      <w:r w:rsidR="00C073E7" w:rsidRPr="00DC1F83">
        <w:rPr>
          <w:rFonts w:ascii="ITC Avant Garde" w:hAnsi="ITC Avant Garde"/>
          <w:bCs/>
        </w:rPr>
        <w:t>4</w:t>
      </w:r>
      <w:r w:rsidR="00572A65" w:rsidRPr="00DC1F83">
        <w:rPr>
          <w:rFonts w:ascii="ITC Avant Garde" w:hAnsi="ITC Avant Garde"/>
          <w:bCs/>
        </w:rPr>
        <w:t xml:space="preserve">, </w:t>
      </w:r>
      <w:r w:rsidR="009F6B06" w:rsidRPr="00DC1F83">
        <w:rPr>
          <w:rFonts w:ascii="ITC Avant Garde" w:hAnsi="ITC Avant Garde"/>
          <w:bCs/>
        </w:rPr>
        <w:t xml:space="preserve">la </w:t>
      </w:r>
      <w:r w:rsidR="00C073E7" w:rsidRPr="00DC1F83">
        <w:rPr>
          <w:rFonts w:ascii="ITC Avant Garde" w:hAnsi="ITC Avant Garde"/>
          <w:bCs/>
        </w:rPr>
        <w:t>Unidad de Concesiones y Servicios</w:t>
      </w:r>
      <w:r w:rsidR="00572A65" w:rsidRPr="00DC1F83">
        <w:rPr>
          <w:rFonts w:ascii="ITC Avant Garde" w:hAnsi="ITC Avant Garde"/>
          <w:bCs/>
        </w:rPr>
        <w:t>,</w:t>
      </w:r>
      <w:r w:rsidR="00C073E7" w:rsidRPr="00DC1F83">
        <w:rPr>
          <w:rFonts w:ascii="ITC Avant Garde" w:hAnsi="ITC Avant Garde"/>
          <w:bCs/>
        </w:rPr>
        <w:t xml:space="preserve"> a través de la Dirección General de Concesiones de Telecomunicaciones,</w:t>
      </w:r>
      <w:r w:rsidR="00EF0BFE" w:rsidRPr="00DC1F83">
        <w:rPr>
          <w:rFonts w:ascii="ITC Avant Garde" w:hAnsi="ITC Avant Garde"/>
          <w:bCs/>
        </w:rPr>
        <w:t xml:space="preserve"> </w:t>
      </w:r>
      <w:r w:rsidR="00787C58" w:rsidRPr="00DC1F83">
        <w:rPr>
          <w:rFonts w:ascii="ITC Avant Garde" w:hAnsi="ITC Avant Garde"/>
          <w:bCs/>
        </w:rPr>
        <w:t xml:space="preserve">solicitó </w:t>
      </w:r>
      <w:r w:rsidR="00E52E7B" w:rsidRPr="00DC1F83">
        <w:rPr>
          <w:rFonts w:ascii="ITC Avant Garde" w:hAnsi="ITC Avant Garde"/>
          <w:bCs/>
        </w:rPr>
        <w:t>a</w:t>
      </w:r>
      <w:r w:rsidR="0016433F" w:rsidRPr="00DC1F83">
        <w:rPr>
          <w:rFonts w:ascii="ITC Avant Garde" w:hAnsi="ITC Avant Garde"/>
          <w:bCs/>
        </w:rPr>
        <w:t xml:space="preserve"> la Unidad de </w:t>
      </w:r>
      <w:r w:rsidR="00C073E7" w:rsidRPr="00DC1F83">
        <w:rPr>
          <w:rFonts w:ascii="ITC Avant Garde" w:hAnsi="ITC Avant Garde"/>
          <w:bCs/>
        </w:rPr>
        <w:t>Cumplimiento, por conducto de la Dirección General de Supervisión,</w:t>
      </w:r>
      <w:r w:rsidR="00EF0BFE" w:rsidRPr="00DC1F83">
        <w:rPr>
          <w:rFonts w:ascii="ITC Avant Garde" w:hAnsi="ITC Avant Garde"/>
          <w:bCs/>
        </w:rPr>
        <w:t xml:space="preserve"> el estado que guardaba el cumplimiento de las obligaciones a cargo de Telcel, respecto de la</w:t>
      </w:r>
      <w:r w:rsidR="00C073E7" w:rsidRPr="00DC1F83">
        <w:rPr>
          <w:rFonts w:ascii="ITC Avant Garde" w:hAnsi="ITC Avant Garde"/>
          <w:bCs/>
        </w:rPr>
        <w:t>s</w:t>
      </w:r>
      <w:r w:rsidR="00EF0BFE" w:rsidRPr="00DC1F83">
        <w:rPr>
          <w:rFonts w:ascii="ITC Avant Garde" w:hAnsi="ITC Avant Garde"/>
          <w:bCs/>
        </w:rPr>
        <w:t xml:space="preserve"> Solicitud</w:t>
      </w:r>
      <w:r w:rsidR="00C073E7" w:rsidRPr="00DC1F83">
        <w:rPr>
          <w:rFonts w:ascii="ITC Avant Garde" w:hAnsi="ITC Avant Garde"/>
          <w:bCs/>
        </w:rPr>
        <w:t>es</w:t>
      </w:r>
      <w:r w:rsidR="00EF0BFE" w:rsidRPr="00DC1F83">
        <w:rPr>
          <w:rFonts w:ascii="ITC Avant Garde" w:hAnsi="ITC Avant Garde"/>
          <w:bCs/>
        </w:rPr>
        <w:t xml:space="preserve"> de Prórroga. </w:t>
      </w:r>
      <w:r w:rsidR="0036074A" w:rsidRPr="00DC1F83">
        <w:rPr>
          <w:rFonts w:ascii="ITC Avant Garde" w:hAnsi="ITC Avant Garde"/>
          <w:bCs/>
        </w:rPr>
        <w:t>Dichas</w:t>
      </w:r>
      <w:r w:rsidR="00EF0BFE" w:rsidRPr="00DC1F83">
        <w:rPr>
          <w:rFonts w:ascii="ITC Avant Garde" w:hAnsi="ITC Avant Garde"/>
          <w:bCs/>
        </w:rPr>
        <w:t xml:space="preserve"> solicitud</w:t>
      </w:r>
      <w:r w:rsidR="00C073E7" w:rsidRPr="00DC1F83">
        <w:rPr>
          <w:rFonts w:ascii="ITC Avant Garde" w:hAnsi="ITC Avant Garde"/>
          <w:bCs/>
        </w:rPr>
        <w:t>es</w:t>
      </w:r>
      <w:r w:rsidR="00EF0BFE" w:rsidRPr="00DC1F83">
        <w:rPr>
          <w:rFonts w:ascii="ITC Avant Garde" w:hAnsi="ITC Avant Garde"/>
          <w:bCs/>
        </w:rPr>
        <w:t xml:space="preserve"> fue</w:t>
      </w:r>
      <w:r w:rsidR="00C073E7" w:rsidRPr="00DC1F83">
        <w:rPr>
          <w:rFonts w:ascii="ITC Avant Garde" w:hAnsi="ITC Avant Garde"/>
          <w:bCs/>
        </w:rPr>
        <w:t>ron</w:t>
      </w:r>
      <w:r w:rsidR="00EF0BFE" w:rsidRPr="00DC1F83">
        <w:rPr>
          <w:rFonts w:ascii="ITC Avant Garde" w:hAnsi="ITC Avant Garde"/>
          <w:bCs/>
        </w:rPr>
        <w:t xml:space="preserve"> reiterada</w:t>
      </w:r>
      <w:r w:rsidR="00C073E7" w:rsidRPr="00DC1F83">
        <w:rPr>
          <w:rFonts w:ascii="ITC Avant Garde" w:hAnsi="ITC Avant Garde"/>
          <w:bCs/>
        </w:rPr>
        <w:t>s</w:t>
      </w:r>
      <w:r w:rsidR="00EF0BFE" w:rsidRPr="00DC1F83">
        <w:rPr>
          <w:rFonts w:ascii="ITC Avant Garde" w:hAnsi="ITC Avant Garde"/>
          <w:bCs/>
        </w:rPr>
        <w:t xml:space="preserve"> a la Unidad de Cumplimiento del Instituto, </w:t>
      </w:r>
      <w:r w:rsidR="00C073E7" w:rsidRPr="00DC1F83">
        <w:rPr>
          <w:rFonts w:ascii="ITC Avant Garde" w:hAnsi="ITC Avant Garde"/>
          <w:bCs/>
        </w:rPr>
        <w:t xml:space="preserve">mediante </w:t>
      </w:r>
      <w:r w:rsidR="00EF0BFE" w:rsidRPr="00DC1F83">
        <w:rPr>
          <w:rFonts w:ascii="ITC Avant Garde" w:hAnsi="ITC Avant Garde"/>
          <w:bCs/>
        </w:rPr>
        <w:t>oficio IFT/223/UCS/DG-CTEL/</w:t>
      </w:r>
      <w:r w:rsidR="00C073E7" w:rsidRPr="00DC1F83">
        <w:rPr>
          <w:rFonts w:ascii="ITC Avant Garde" w:hAnsi="ITC Avant Garde"/>
          <w:bCs/>
        </w:rPr>
        <w:t>307</w:t>
      </w:r>
      <w:r w:rsidR="00EF0BFE" w:rsidRPr="00DC1F83">
        <w:rPr>
          <w:rFonts w:ascii="ITC Avant Garde" w:hAnsi="ITC Avant Garde"/>
          <w:bCs/>
        </w:rPr>
        <w:t>/201</w:t>
      </w:r>
      <w:r w:rsidR="00C073E7" w:rsidRPr="00DC1F83">
        <w:rPr>
          <w:rFonts w:ascii="ITC Avant Garde" w:hAnsi="ITC Avant Garde"/>
          <w:bCs/>
        </w:rPr>
        <w:t>6</w:t>
      </w:r>
      <w:r w:rsidR="00EF0BFE" w:rsidRPr="00DC1F83">
        <w:rPr>
          <w:rFonts w:ascii="ITC Avant Garde" w:hAnsi="ITC Avant Garde"/>
          <w:bCs/>
        </w:rPr>
        <w:t xml:space="preserve"> de fecha </w:t>
      </w:r>
      <w:r w:rsidR="00C073E7" w:rsidRPr="00DC1F83">
        <w:rPr>
          <w:rFonts w:ascii="ITC Avant Garde" w:hAnsi="ITC Avant Garde"/>
          <w:bCs/>
        </w:rPr>
        <w:t>8</w:t>
      </w:r>
      <w:r w:rsidR="00EF0BFE" w:rsidRPr="00DC1F83">
        <w:rPr>
          <w:rFonts w:ascii="ITC Avant Garde" w:hAnsi="ITC Avant Garde"/>
          <w:bCs/>
        </w:rPr>
        <w:t xml:space="preserve"> de </w:t>
      </w:r>
      <w:r w:rsidR="00C073E7" w:rsidRPr="00DC1F83">
        <w:rPr>
          <w:rFonts w:ascii="ITC Avant Garde" w:hAnsi="ITC Avant Garde"/>
          <w:bCs/>
        </w:rPr>
        <w:t xml:space="preserve">febrero </w:t>
      </w:r>
      <w:r w:rsidR="00EF0BFE" w:rsidRPr="00DC1F83">
        <w:rPr>
          <w:rFonts w:ascii="ITC Avant Garde" w:hAnsi="ITC Avant Garde"/>
          <w:bCs/>
        </w:rPr>
        <w:t>de 201</w:t>
      </w:r>
      <w:r w:rsidR="00C073E7" w:rsidRPr="00DC1F83">
        <w:rPr>
          <w:rFonts w:ascii="ITC Avant Garde" w:hAnsi="ITC Avant Garde"/>
          <w:bCs/>
        </w:rPr>
        <w:t>6</w:t>
      </w:r>
      <w:r w:rsidR="00EF0BFE" w:rsidRPr="00DC1F83">
        <w:rPr>
          <w:rFonts w:ascii="ITC Avant Garde" w:hAnsi="ITC Avant Garde"/>
          <w:bCs/>
        </w:rPr>
        <w:t xml:space="preserve">, </w:t>
      </w:r>
      <w:r w:rsidR="00572A65" w:rsidRPr="00DC1F83">
        <w:rPr>
          <w:rFonts w:ascii="ITC Avant Garde" w:hAnsi="ITC Avant Garde"/>
          <w:bCs/>
        </w:rPr>
        <w:t xml:space="preserve">emitido </w:t>
      </w:r>
      <w:r w:rsidR="00EF0BFE" w:rsidRPr="00DC1F83">
        <w:rPr>
          <w:rFonts w:ascii="ITC Avant Garde" w:hAnsi="ITC Avant Garde"/>
          <w:bCs/>
        </w:rPr>
        <w:t xml:space="preserve">por la Unidad de Concesiones y Servicios, a través de la Dirección General de Concesiones de Telecomunicaciones. </w:t>
      </w:r>
    </w:p>
    <w:p w14:paraId="74143832" w14:textId="77777777" w:rsidR="00DC1F83" w:rsidRPr="00DC1F83" w:rsidRDefault="00893FA6" w:rsidP="00DC1F83">
      <w:pPr>
        <w:autoSpaceDE w:val="0"/>
        <w:autoSpaceDN w:val="0"/>
        <w:spacing w:before="240" w:line="240" w:lineRule="auto"/>
        <w:jc w:val="both"/>
        <w:rPr>
          <w:rFonts w:ascii="ITC Avant Garde" w:hAnsi="ITC Avant Garde"/>
        </w:rPr>
      </w:pPr>
      <w:r w:rsidRPr="00DC1F83">
        <w:rPr>
          <w:rFonts w:ascii="ITC Avant Garde" w:hAnsi="ITC Avant Garde"/>
        </w:rPr>
        <w:t xml:space="preserve">En respuesta a las citadas peticiones, la Unidad de Cumplimiento, </w:t>
      </w:r>
      <w:r w:rsidR="00C073E7" w:rsidRPr="00DC1F83">
        <w:rPr>
          <w:rFonts w:ascii="ITC Avant Garde" w:hAnsi="ITC Avant Garde"/>
        </w:rPr>
        <w:t xml:space="preserve">por conducto de la Dirección General de Supervisión, </w:t>
      </w:r>
      <w:r w:rsidRPr="00DC1F83">
        <w:rPr>
          <w:rFonts w:ascii="ITC Avant Garde" w:hAnsi="ITC Avant Garde"/>
        </w:rPr>
        <w:t>mediante oficio</w:t>
      </w:r>
      <w:r w:rsidR="00C073E7" w:rsidRPr="00DC1F83">
        <w:rPr>
          <w:rFonts w:ascii="ITC Avant Garde" w:hAnsi="ITC Avant Garde"/>
        </w:rPr>
        <w:t>s</w:t>
      </w:r>
      <w:r w:rsidRPr="00DC1F83">
        <w:rPr>
          <w:rFonts w:ascii="ITC Avant Garde" w:hAnsi="ITC Avant Garde"/>
        </w:rPr>
        <w:t xml:space="preserve"> IFT/225/UC/</w:t>
      </w:r>
      <w:r w:rsidR="00C073E7" w:rsidRPr="00DC1F83">
        <w:rPr>
          <w:rFonts w:ascii="ITC Avant Garde" w:hAnsi="ITC Avant Garde"/>
        </w:rPr>
        <w:t>DG-SUV/2119</w:t>
      </w:r>
      <w:r w:rsidRPr="00DC1F83">
        <w:rPr>
          <w:rFonts w:ascii="ITC Avant Garde" w:hAnsi="ITC Avant Garde"/>
        </w:rPr>
        <w:t>/201</w:t>
      </w:r>
      <w:r w:rsidR="00C073E7" w:rsidRPr="00DC1F83">
        <w:rPr>
          <w:rFonts w:ascii="ITC Avant Garde" w:hAnsi="ITC Avant Garde"/>
        </w:rPr>
        <w:t>6, IFT/225/UC/DG-SUV/21</w:t>
      </w:r>
      <w:r w:rsidR="000B7524" w:rsidRPr="00DC1F83">
        <w:rPr>
          <w:rFonts w:ascii="ITC Avant Garde" w:hAnsi="ITC Avant Garde"/>
        </w:rPr>
        <w:t>23</w:t>
      </w:r>
      <w:r w:rsidR="00C073E7" w:rsidRPr="00DC1F83">
        <w:rPr>
          <w:rFonts w:ascii="ITC Avant Garde" w:hAnsi="ITC Avant Garde"/>
        </w:rPr>
        <w:t>/2016, IFT/225/UC/DG-SUV/21</w:t>
      </w:r>
      <w:r w:rsidR="000B7524" w:rsidRPr="00DC1F83">
        <w:rPr>
          <w:rFonts w:ascii="ITC Avant Garde" w:hAnsi="ITC Avant Garde"/>
        </w:rPr>
        <w:t>24</w:t>
      </w:r>
      <w:r w:rsidR="00C073E7" w:rsidRPr="00DC1F83">
        <w:rPr>
          <w:rFonts w:ascii="ITC Avant Garde" w:hAnsi="ITC Avant Garde"/>
        </w:rPr>
        <w:t xml:space="preserve">/2016, </w:t>
      </w:r>
      <w:r w:rsidR="000B7524" w:rsidRPr="00DC1F83">
        <w:rPr>
          <w:rFonts w:ascii="ITC Avant Garde" w:hAnsi="ITC Avant Garde"/>
        </w:rPr>
        <w:t>IFT/225/UC/DG-</w:t>
      </w:r>
      <w:r w:rsidR="000B7524" w:rsidRPr="00DC1F83">
        <w:rPr>
          <w:rFonts w:ascii="ITC Avant Garde" w:hAnsi="ITC Avant Garde"/>
        </w:rPr>
        <w:lastRenderedPageBreak/>
        <w:t>SUV/2125/2016, IFT/225/UC/DG-SUV/2126/2016, IFT/225/UC/DG-SUV/2127/2016, IFT/225/UC/DG-SUV/2128/2016, IFT/225/UC/DG-SUV/2129/2016 y IFT/225/UC/DG-SUV/2130/2016, todos</w:t>
      </w:r>
      <w:r w:rsidRPr="00DC1F83">
        <w:rPr>
          <w:rFonts w:ascii="ITC Avant Garde" w:hAnsi="ITC Avant Garde"/>
        </w:rPr>
        <w:t xml:space="preserve"> de fecha 1</w:t>
      </w:r>
      <w:r w:rsidR="000B7524" w:rsidRPr="00DC1F83">
        <w:rPr>
          <w:rFonts w:ascii="ITC Avant Garde" w:hAnsi="ITC Avant Garde"/>
        </w:rPr>
        <w:t>2</w:t>
      </w:r>
      <w:r w:rsidRPr="00DC1F83">
        <w:rPr>
          <w:rFonts w:ascii="ITC Avant Garde" w:hAnsi="ITC Avant Garde"/>
        </w:rPr>
        <w:t xml:space="preserve"> de </w:t>
      </w:r>
      <w:r w:rsidR="000B7524" w:rsidRPr="00DC1F83">
        <w:rPr>
          <w:rFonts w:ascii="ITC Avant Garde" w:hAnsi="ITC Avant Garde"/>
        </w:rPr>
        <w:t xml:space="preserve">abril </w:t>
      </w:r>
      <w:r w:rsidRPr="00DC1F83">
        <w:rPr>
          <w:rFonts w:ascii="ITC Avant Garde" w:hAnsi="ITC Avant Garde"/>
        </w:rPr>
        <w:t>de 201</w:t>
      </w:r>
      <w:r w:rsidR="000B7524" w:rsidRPr="00DC1F83">
        <w:rPr>
          <w:rFonts w:ascii="ITC Avant Garde" w:hAnsi="ITC Avant Garde"/>
        </w:rPr>
        <w:t>6</w:t>
      </w:r>
      <w:r w:rsidRPr="00DC1F83">
        <w:rPr>
          <w:rFonts w:ascii="ITC Avant Garde" w:hAnsi="ITC Avant Garde"/>
        </w:rPr>
        <w:t xml:space="preserve">, informó con respecto </w:t>
      </w:r>
      <w:r w:rsidR="006940DA" w:rsidRPr="00DC1F83">
        <w:rPr>
          <w:rFonts w:ascii="ITC Avant Garde" w:hAnsi="ITC Avant Garde"/>
        </w:rPr>
        <w:t xml:space="preserve">de </w:t>
      </w:r>
      <w:r w:rsidR="00921C87" w:rsidRPr="00DC1F83">
        <w:rPr>
          <w:rFonts w:ascii="ITC Avant Garde" w:hAnsi="ITC Avant Garde"/>
        </w:rPr>
        <w:t xml:space="preserve">todas </w:t>
      </w:r>
      <w:r w:rsidR="0036074A" w:rsidRPr="00DC1F83">
        <w:rPr>
          <w:rFonts w:ascii="ITC Avant Garde" w:hAnsi="ITC Avant Garde"/>
        </w:rPr>
        <w:t xml:space="preserve">las </w:t>
      </w:r>
      <w:r w:rsidRPr="00DC1F83">
        <w:rPr>
          <w:rFonts w:ascii="ITC Avant Garde" w:hAnsi="ITC Avant Garde"/>
        </w:rPr>
        <w:t>Solicitud</w:t>
      </w:r>
      <w:r w:rsidR="000B7524" w:rsidRPr="00DC1F83">
        <w:rPr>
          <w:rFonts w:ascii="ITC Avant Garde" w:hAnsi="ITC Avant Garde"/>
        </w:rPr>
        <w:t>es</w:t>
      </w:r>
      <w:r w:rsidRPr="00DC1F83">
        <w:rPr>
          <w:rFonts w:ascii="ITC Avant Garde" w:hAnsi="ITC Avant Garde"/>
        </w:rPr>
        <w:t xml:space="preserve"> de Prórroga, entre otros aspectos, lo siguiente:</w:t>
      </w:r>
    </w:p>
    <w:p w14:paraId="536D7D6F" w14:textId="77777777" w:rsidR="00DC1F83" w:rsidRPr="00DC1F83" w:rsidRDefault="00893FA6" w:rsidP="00DC1F83">
      <w:pPr>
        <w:autoSpaceDE w:val="0"/>
        <w:autoSpaceDN w:val="0"/>
        <w:spacing w:before="240" w:line="240" w:lineRule="auto"/>
        <w:ind w:right="615" w:firstLine="567"/>
        <w:jc w:val="both"/>
        <w:rPr>
          <w:rFonts w:ascii="ITC Avant Garde" w:hAnsi="ITC Avant Garde"/>
          <w:iCs/>
          <w:sz w:val="18"/>
          <w:szCs w:val="18"/>
          <w:lang w:val="es-ES" w:eastAsia="es-ES"/>
        </w:rPr>
      </w:pPr>
      <w:r w:rsidRPr="00DC1F83">
        <w:rPr>
          <w:rFonts w:ascii="ITC Avant Garde" w:hAnsi="ITC Avant Garde"/>
          <w:iCs/>
          <w:sz w:val="18"/>
          <w:szCs w:val="18"/>
          <w:lang w:val="es-ES" w:eastAsia="es-ES"/>
        </w:rPr>
        <w:t>“</w:t>
      </w:r>
      <w:r w:rsidR="0036074A" w:rsidRPr="00DC1F83">
        <w:rPr>
          <w:rFonts w:ascii="ITC Avant Garde" w:hAnsi="ITC Avant Garde"/>
          <w:iCs/>
          <w:sz w:val="18"/>
          <w:szCs w:val="18"/>
          <w:lang w:val="es-ES" w:eastAsia="es-ES"/>
        </w:rPr>
        <w:t>(…)</w:t>
      </w:r>
    </w:p>
    <w:p w14:paraId="6CD6406C" w14:textId="77777777" w:rsidR="00DC1F83" w:rsidRPr="00DC1F83" w:rsidRDefault="000B7524" w:rsidP="00DC1F83">
      <w:pPr>
        <w:autoSpaceDE w:val="0"/>
        <w:autoSpaceDN w:val="0"/>
        <w:spacing w:before="240" w:line="240" w:lineRule="auto"/>
        <w:ind w:right="615" w:firstLine="567"/>
        <w:jc w:val="both"/>
        <w:rPr>
          <w:rFonts w:ascii="ITC Avant Garde" w:hAnsi="ITC Avant Garde"/>
          <w:iCs/>
          <w:sz w:val="18"/>
          <w:szCs w:val="18"/>
          <w:lang w:val="es-ES" w:eastAsia="es-ES"/>
        </w:rPr>
      </w:pPr>
      <w:r w:rsidRPr="00DC1F83">
        <w:rPr>
          <w:rFonts w:ascii="ITC Avant Garde" w:hAnsi="ITC Avant Garde"/>
          <w:b/>
          <w:iCs/>
          <w:sz w:val="18"/>
          <w:szCs w:val="18"/>
          <w:lang w:val="es-ES" w:eastAsia="es-ES"/>
        </w:rPr>
        <w:t>1. Supervisión documental</w:t>
      </w:r>
    </w:p>
    <w:p w14:paraId="276CB894" w14:textId="77777777" w:rsidR="00DC1F83" w:rsidRPr="00DC1F83" w:rsidRDefault="000B7524" w:rsidP="00DC1F83">
      <w:pPr>
        <w:autoSpaceDE w:val="0"/>
        <w:autoSpaceDN w:val="0"/>
        <w:spacing w:before="240" w:line="240" w:lineRule="auto"/>
        <w:ind w:left="567" w:right="615"/>
        <w:jc w:val="both"/>
        <w:rPr>
          <w:rFonts w:ascii="ITC Avant Garde" w:hAnsi="ITC Avant Garde"/>
          <w:b/>
          <w:iCs/>
          <w:sz w:val="18"/>
          <w:szCs w:val="18"/>
          <w:lang w:val="es-ES" w:eastAsia="es-ES"/>
        </w:rPr>
      </w:pPr>
      <w:r w:rsidRPr="00DC1F83">
        <w:rPr>
          <w:rFonts w:ascii="ITC Avant Garde" w:hAnsi="ITC Avant Garde"/>
          <w:b/>
          <w:iCs/>
          <w:sz w:val="18"/>
          <w:szCs w:val="18"/>
          <w:lang w:val="es-ES" w:eastAsia="es-ES"/>
        </w:rPr>
        <w:t>Expediente 312.045/0043 Título de concesión para usar, aprovechar y explotar bandas de frecuencias del espectro radioeléctrico.</w:t>
      </w:r>
    </w:p>
    <w:p w14:paraId="251448EC" w14:textId="77777777" w:rsidR="00DC1F83" w:rsidRPr="00DC1F83" w:rsidRDefault="000B7524" w:rsidP="00DC1F83">
      <w:pPr>
        <w:autoSpaceDE w:val="0"/>
        <w:autoSpaceDN w:val="0"/>
        <w:spacing w:before="240" w:line="240" w:lineRule="auto"/>
        <w:ind w:left="567" w:right="615"/>
        <w:jc w:val="both"/>
        <w:rPr>
          <w:rFonts w:ascii="ITC Avant Garde" w:hAnsi="ITC Avant Garde"/>
          <w:b/>
          <w:iCs/>
          <w:sz w:val="18"/>
          <w:szCs w:val="18"/>
          <w:lang w:val="es-ES" w:eastAsia="es-ES"/>
        </w:rPr>
      </w:pPr>
      <w:r w:rsidRPr="00DC1F83">
        <w:rPr>
          <w:rFonts w:ascii="ITC Avant Garde" w:hAnsi="ITC Avant Garde"/>
          <w:b/>
          <w:iCs/>
          <w:sz w:val="18"/>
          <w:szCs w:val="18"/>
          <w:lang w:val="es-ES" w:eastAsia="es-ES"/>
        </w:rPr>
        <w:t>Presentación documental</w:t>
      </w:r>
    </w:p>
    <w:p w14:paraId="6CCC56C9" w14:textId="77777777" w:rsidR="00DC1F83" w:rsidRPr="00DC1F83" w:rsidRDefault="000B7524" w:rsidP="00DC1F83">
      <w:pPr>
        <w:autoSpaceDE w:val="0"/>
        <w:autoSpaceDN w:val="0"/>
        <w:spacing w:before="240" w:line="240" w:lineRule="auto"/>
        <w:ind w:left="567" w:right="615"/>
        <w:jc w:val="both"/>
        <w:rPr>
          <w:rFonts w:ascii="ITC Avant Garde" w:hAnsi="ITC Avant Garde"/>
          <w:iCs/>
          <w:sz w:val="18"/>
          <w:szCs w:val="18"/>
          <w:lang w:val="es-ES" w:eastAsia="es-ES"/>
        </w:rPr>
      </w:pPr>
      <w:r w:rsidRPr="00DC1F83">
        <w:rPr>
          <w:rFonts w:ascii="ITC Avant Garde" w:hAnsi="ITC Avant Garde"/>
          <w:iCs/>
          <w:sz w:val="18"/>
          <w:szCs w:val="18"/>
          <w:lang w:val="es-ES" w:eastAsia="es-ES"/>
        </w:rPr>
        <w:t>De acuerdo a los criterios plasmados en el Acuerdo de Pleno P/051011/385 de fecha 5 de octubre de 2011, así como en el criterio emitido por la Coordinación General de Consultoría Jurídica, mediante oficio CFT/</w:t>
      </w:r>
      <w:r w:rsidR="003A3B1D" w:rsidRPr="00DC1F83">
        <w:rPr>
          <w:rFonts w:ascii="ITC Avant Garde" w:hAnsi="ITC Avant Garde"/>
          <w:iCs/>
          <w:sz w:val="18"/>
          <w:szCs w:val="18"/>
          <w:lang w:val="es-ES" w:eastAsia="es-ES"/>
        </w:rPr>
        <w:t>P/</w:t>
      </w:r>
      <w:r w:rsidRPr="00DC1F83">
        <w:rPr>
          <w:rFonts w:ascii="ITC Avant Garde" w:hAnsi="ITC Avant Garde"/>
          <w:iCs/>
          <w:sz w:val="18"/>
          <w:szCs w:val="18"/>
          <w:lang w:val="es-ES" w:eastAsia="es-ES"/>
        </w:rPr>
        <w:t>D01/CGCJ/014/13 de fecha 18 de enero de 2013, ambos de la extinta Comisión Federal de Telecomunicaciones, las acciones de supervisión se llevan a cabo por el plazo de 5 años anteriores a la presentación de la solicitud respectiva.</w:t>
      </w:r>
    </w:p>
    <w:p w14:paraId="50E2B57D" w14:textId="77777777" w:rsidR="00DC1F83" w:rsidRPr="00DC1F83" w:rsidRDefault="00893FA6" w:rsidP="00DC1F83">
      <w:pPr>
        <w:autoSpaceDE w:val="0"/>
        <w:autoSpaceDN w:val="0"/>
        <w:spacing w:before="240" w:line="240" w:lineRule="auto"/>
        <w:ind w:left="567" w:right="615"/>
        <w:jc w:val="both"/>
        <w:rPr>
          <w:rFonts w:ascii="ITC Avant Garde" w:hAnsi="ITC Avant Garde"/>
          <w:iCs/>
          <w:sz w:val="18"/>
          <w:szCs w:val="18"/>
          <w:lang w:val="es-ES" w:eastAsia="es-ES"/>
        </w:rPr>
      </w:pPr>
      <w:r w:rsidRPr="00DC1F83">
        <w:rPr>
          <w:rFonts w:ascii="ITC Avant Garde" w:hAnsi="ITC Avant Garde"/>
          <w:iCs/>
          <w:sz w:val="18"/>
          <w:szCs w:val="18"/>
          <w:lang w:val="es-ES" w:eastAsia="es-ES"/>
        </w:rPr>
        <w:t xml:space="preserve">En atención a su solicitud y en ejercicio de las facultades de supervisión que tiene conferidas esta </w:t>
      </w:r>
      <w:r w:rsidR="006940DA" w:rsidRPr="00DC1F83">
        <w:rPr>
          <w:rFonts w:ascii="ITC Avant Garde" w:hAnsi="ITC Avant Garde"/>
          <w:iCs/>
          <w:sz w:val="18"/>
          <w:szCs w:val="18"/>
          <w:lang w:val="es-ES" w:eastAsia="es-ES"/>
        </w:rPr>
        <w:t>Dirección General de Supervisión</w:t>
      </w:r>
      <w:r w:rsidRPr="00DC1F83">
        <w:rPr>
          <w:rFonts w:ascii="ITC Avant Garde" w:hAnsi="ITC Avant Garde"/>
          <w:iCs/>
          <w:sz w:val="18"/>
          <w:szCs w:val="18"/>
          <w:lang w:val="es-ES" w:eastAsia="es-ES"/>
        </w:rPr>
        <w:t xml:space="preserve">, </w:t>
      </w:r>
      <w:r w:rsidR="006940DA" w:rsidRPr="00DC1F83">
        <w:rPr>
          <w:rFonts w:ascii="ITC Avant Garde" w:hAnsi="ITC Avant Garde"/>
          <w:iCs/>
          <w:sz w:val="18"/>
          <w:szCs w:val="18"/>
          <w:lang w:val="es-ES" w:eastAsia="es-ES"/>
        </w:rPr>
        <w:t xml:space="preserve">se llevó a cabo </w:t>
      </w:r>
      <w:r w:rsidRPr="00DC1F83">
        <w:rPr>
          <w:rFonts w:ascii="ITC Avant Garde" w:hAnsi="ITC Avant Garde"/>
          <w:iCs/>
          <w:sz w:val="18"/>
          <w:szCs w:val="18"/>
          <w:lang w:val="es-ES" w:eastAsia="es-ES"/>
        </w:rPr>
        <w:t xml:space="preserve">la revisión documental del expediente </w:t>
      </w:r>
      <w:r w:rsidRPr="00DC1F83">
        <w:rPr>
          <w:rFonts w:ascii="ITC Avant Garde" w:hAnsi="ITC Avant Garde"/>
          <w:b/>
          <w:bCs/>
          <w:iCs/>
          <w:sz w:val="18"/>
          <w:szCs w:val="18"/>
          <w:lang w:val="es-ES" w:eastAsia="es-ES"/>
        </w:rPr>
        <w:t>31</w:t>
      </w:r>
      <w:r w:rsidR="003A3B1D" w:rsidRPr="00DC1F83">
        <w:rPr>
          <w:rFonts w:ascii="ITC Avant Garde" w:hAnsi="ITC Avant Garde"/>
          <w:b/>
          <w:bCs/>
          <w:iCs/>
          <w:sz w:val="18"/>
          <w:szCs w:val="18"/>
          <w:lang w:val="es-ES" w:eastAsia="es-ES"/>
        </w:rPr>
        <w:t>2</w:t>
      </w:r>
      <w:r w:rsidRPr="00DC1F83">
        <w:rPr>
          <w:rFonts w:ascii="ITC Avant Garde" w:hAnsi="ITC Avant Garde"/>
          <w:b/>
          <w:bCs/>
          <w:iCs/>
          <w:sz w:val="18"/>
          <w:szCs w:val="18"/>
          <w:lang w:val="es-ES" w:eastAsia="es-ES"/>
        </w:rPr>
        <w:t>.</w:t>
      </w:r>
      <w:r w:rsidR="006940DA" w:rsidRPr="00DC1F83">
        <w:rPr>
          <w:rFonts w:ascii="ITC Avant Garde" w:hAnsi="ITC Avant Garde"/>
          <w:b/>
          <w:bCs/>
          <w:iCs/>
          <w:sz w:val="18"/>
          <w:szCs w:val="18"/>
          <w:lang w:val="es-ES" w:eastAsia="es-ES"/>
        </w:rPr>
        <w:t>04</w:t>
      </w:r>
      <w:r w:rsidRPr="00DC1F83">
        <w:rPr>
          <w:rFonts w:ascii="ITC Avant Garde" w:hAnsi="ITC Avant Garde"/>
          <w:b/>
          <w:bCs/>
          <w:iCs/>
          <w:sz w:val="18"/>
          <w:szCs w:val="18"/>
          <w:lang w:val="es-ES" w:eastAsia="es-ES"/>
        </w:rPr>
        <w:t>5/00</w:t>
      </w:r>
      <w:r w:rsidR="006940DA" w:rsidRPr="00DC1F83">
        <w:rPr>
          <w:rFonts w:ascii="ITC Avant Garde" w:hAnsi="ITC Avant Garde"/>
          <w:b/>
          <w:bCs/>
          <w:iCs/>
          <w:sz w:val="18"/>
          <w:szCs w:val="18"/>
          <w:lang w:val="es-ES" w:eastAsia="es-ES"/>
        </w:rPr>
        <w:t>43</w:t>
      </w:r>
      <w:r w:rsidRPr="00DC1F83">
        <w:rPr>
          <w:rFonts w:ascii="ITC Avant Garde" w:hAnsi="ITC Avant Garde"/>
          <w:iCs/>
          <w:sz w:val="18"/>
          <w:szCs w:val="18"/>
          <w:lang w:val="es-ES" w:eastAsia="es-ES"/>
        </w:rPr>
        <w:t xml:space="preserve"> integrado por la Dirección General de Adquisiciones, Recursos Materiales y Servicios Generales de este Instituto a nombre de </w:t>
      </w:r>
      <w:proofErr w:type="spellStart"/>
      <w:r w:rsidRPr="00DC1F83">
        <w:rPr>
          <w:rFonts w:ascii="ITC Avant Garde" w:hAnsi="ITC Avant Garde"/>
          <w:b/>
          <w:bCs/>
          <w:iCs/>
          <w:sz w:val="18"/>
          <w:szCs w:val="18"/>
          <w:lang w:val="es-ES" w:eastAsia="es-ES"/>
        </w:rPr>
        <w:t>R</w:t>
      </w:r>
      <w:r w:rsidR="006940DA" w:rsidRPr="00DC1F83">
        <w:rPr>
          <w:rFonts w:ascii="ITC Avant Garde" w:hAnsi="ITC Avant Garde"/>
          <w:b/>
          <w:bCs/>
          <w:iCs/>
          <w:sz w:val="18"/>
          <w:szCs w:val="18"/>
          <w:lang w:val="es-ES" w:eastAsia="es-ES"/>
        </w:rPr>
        <w:t>adiomóvil</w:t>
      </w:r>
      <w:proofErr w:type="spellEnd"/>
      <w:r w:rsidRPr="00DC1F83">
        <w:rPr>
          <w:rFonts w:ascii="ITC Avant Garde" w:hAnsi="ITC Avant Garde"/>
          <w:b/>
          <w:bCs/>
          <w:iCs/>
          <w:sz w:val="18"/>
          <w:szCs w:val="18"/>
          <w:lang w:val="es-ES" w:eastAsia="es-ES"/>
        </w:rPr>
        <w:t xml:space="preserve"> </w:t>
      </w:r>
      <w:proofErr w:type="spellStart"/>
      <w:r w:rsidRPr="00DC1F83">
        <w:rPr>
          <w:rFonts w:ascii="ITC Avant Garde" w:hAnsi="ITC Avant Garde"/>
          <w:b/>
          <w:bCs/>
          <w:iCs/>
          <w:sz w:val="18"/>
          <w:szCs w:val="18"/>
          <w:lang w:val="es-ES" w:eastAsia="es-ES"/>
        </w:rPr>
        <w:t>D</w:t>
      </w:r>
      <w:r w:rsidR="006940DA" w:rsidRPr="00DC1F83">
        <w:rPr>
          <w:rFonts w:ascii="ITC Avant Garde" w:hAnsi="ITC Avant Garde"/>
          <w:b/>
          <w:bCs/>
          <w:iCs/>
          <w:sz w:val="18"/>
          <w:szCs w:val="18"/>
          <w:lang w:val="es-ES" w:eastAsia="es-ES"/>
        </w:rPr>
        <w:t>ipsa</w:t>
      </w:r>
      <w:proofErr w:type="spellEnd"/>
      <w:r w:rsidRPr="00DC1F83">
        <w:rPr>
          <w:rFonts w:ascii="ITC Avant Garde" w:hAnsi="ITC Avant Garde"/>
          <w:b/>
          <w:bCs/>
          <w:iCs/>
          <w:sz w:val="18"/>
          <w:szCs w:val="18"/>
          <w:lang w:val="es-ES" w:eastAsia="es-ES"/>
        </w:rPr>
        <w:t xml:space="preserve">, S.A. </w:t>
      </w:r>
      <w:r w:rsidR="006940DA" w:rsidRPr="00DC1F83">
        <w:rPr>
          <w:rFonts w:ascii="ITC Avant Garde" w:hAnsi="ITC Avant Garde"/>
          <w:b/>
          <w:bCs/>
          <w:iCs/>
          <w:sz w:val="18"/>
          <w:szCs w:val="18"/>
          <w:lang w:val="es-ES" w:eastAsia="es-ES"/>
        </w:rPr>
        <w:t>de</w:t>
      </w:r>
      <w:r w:rsidRPr="00DC1F83">
        <w:rPr>
          <w:rFonts w:ascii="ITC Avant Garde" w:hAnsi="ITC Avant Garde"/>
          <w:b/>
          <w:bCs/>
          <w:iCs/>
          <w:sz w:val="18"/>
          <w:szCs w:val="18"/>
          <w:lang w:val="es-ES" w:eastAsia="es-ES"/>
        </w:rPr>
        <w:t xml:space="preserve"> C.V.</w:t>
      </w:r>
      <w:r w:rsidRPr="00DC1F83">
        <w:rPr>
          <w:rFonts w:ascii="ITC Avant Garde" w:hAnsi="ITC Avant Garde"/>
          <w:iCs/>
          <w:sz w:val="18"/>
          <w:szCs w:val="18"/>
          <w:lang w:val="es-ES" w:eastAsia="es-ES"/>
        </w:rPr>
        <w:t xml:space="preserve"> desprend</w:t>
      </w:r>
      <w:r w:rsidR="006940DA" w:rsidRPr="00DC1F83">
        <w:rPr>
          <w:rFonts w:ascii="ITC Avant Garde" w:hAnsi="ITC Avant Garde"/>
          <w:iCs/>
          <w:sz w:val="18"/>
          <w:szCs w:val="18"/>
          <w:lang w:val="es-ES" w:eastAsia="es-ES"/>
        </w:rPr>
        <w:t xml:space="preserve">iéndose </w:t>
      </w:r>
      <w:r w:rsidRPr="00DC1F83">
        <w:rPr>
          <w:rFonts w:ascii="ITC Avant Garde" w:hAnsi="ITC Avant Garde"/>
          <w:iCs/>
          <w:sz w:val="18"/>
          <w:szCs w:val="18"/>
          <w:lang w:val="es-ES" w:eastAsia="es-ES"/>
        </w:rPr>
        <w:t xml:space="preserve">que al </w:t>
      </w:r>
      <w:r w:rsidR="006940DA" w:rsidRPr="00DC1F83">
        <w:rPr>
          <w:rFonts w:ascii="ITC Avant Garde" w:hAnsi="ITC Avant Garde"/>
          <w:iCs/>
          <w:sz w:val="18"/>
          <w:szCs w:val="18"/>
          <w:lang w:val="es-ES" w:eastAsia="es-ES"/>
        </w:rPr>
        <w:t>14 de marzo</w:t>
      </w:r>
      <w:r w:rsidRPr="00DC1F83">
        <w:rPr>
          <w:rFonts w:ascii="ITC Avant Garde" w:hAnsi="ITC Avant Garde"/>
          <w:iCs/>
          <w:sz w:val="18"/>
          <w:szCs w:val="18"/>
          <w:lang w:val="es-ES" w:eastAsia="es-ES"/>
        </w:rPr>
        <w:t xml:space="preserve"> de 201</w:t>
      </w:r>
      <w:r w:rsidR="006940DA" w:rsidRPr="00DC1F83">
        <w:rPr>
          <w:rFonts w:ascii="ITC Avant Garde" w:hAnsi="ITC Avant Garde"/>
          <w:iCs/>
          <w:sz w:val="18"/>
          <w:szCs w:val="18"/>
          <w:lang w:val="es-ES" w:eastAsia="es-ES"/>
        </w:rPr>
        <w:t>6</w:t>
      </w:r>
      <w:r w:rsidRPr="00DC1F83">
        <w:rPr>
          <w:rFonts w:ascii="ITC Avant Garde" w:hAnsi="ITC Avant Garde"/>
          <w:iCs/>
          <w:sz w:val="18"/>
          <w:szCs w:val="18"/>
          <w:lang w:val="es-ES" w:eastAsia="es-ES"/>
        </w:rPr>
        <w:t>,</w:t>
      </w:r>
      <w:r w:rsidR="006940DA" w:rsidRPr="00DC1F83">
        <w:rPr>
          <w:rFonts w:ascii="ITC Avant Garde" w:hAnsi="ITC Avant Garde"/>
          <w:iCs/>
          <w:sz w:val="18"/>
          <w:szCs w:val="18"/>
          <w:lang w:val="es-ES" w:eastAsia="es-ES"/>
        </w:rPr>
        <w:t xml:space="preserve"> se localizó la totalidad de las documentales que debió presentar dicha concesionaria por el periodo de 5 años previo a su solicitud y que le son aplicables</w:t>
      </w:r>
      <w:r w:rsidRPr="00DC1F83">
        <w:rPr>
          <w:rFonts w:ascii="ITC Avant Garde" w:hAnsi="ITC Avant Garde"/>
          <w:iCs/>
          <w:sz w:val="18"/>
          <w:szCs w:val="18"/>
          <w:lang w:val="es-ES" w:eastAsia="es-ES"/>
        </w:rPr>
        <w:t xml:space="preserve"> conforme a </w:t>
      </w:r>
      <w:r w:rsidR="006940DA" w:rsidRPr="00DC1F83">
        <w:rPr>
          <w:rFonts w:ascii="ITC Avant Garde" w:hAnsi="ITC Avant Garde"/>
          <w:iCs/>
          <w:sz w:val="18"/>
          <w:szCs w:val="18"/>
          <w:lang w:val="es-ES" w:eastAsia="es-ES"/>
        </w:rPr>
        <w:t>su</w:t>
      </w:r>
      <w:r w:rsidRPr="00DC1F83">
        <w:rPr>
          <w:rFonts w:ascii="ITC Avant Garde" w:hAnsi="ITC Avant Garde"/>
          <w:iCs/>
          <w:sz w:val="18"/>
          <w:szCs w:val="18"/>
          <w:lang w:val="es-ES" w:eastAsia="es-ES"/>
        </w:rPr>
        <w:t xml:space="preserve"> título de concesión y demás disposiciones legales, reglamentarias y administrativas.</w:t>
      </w:r>
    </w:p>
    <w:p w14:paraId="15230656" w14:textId="77777777" w:rsidR="00DC1F83" w:rsidRPr="00DC1F83" w:rsidRDefault="0014042D" w:rsidP="00DC1F83">
      <w:pPr>
        <w:autoSpaceDE w:val="0"/>
        <w:autoSpaceDN w:val="0"/>
        <w:spacing w:before="240" w:line="240" w:lineRule="auto"/>
        <w:ind w:left="567" w:right="615"/>
        <w:jc w:val="both"/>
        <w:rPr>
          <w:rFonts w:ascii="ITC Avant Garde" w:hAnsi="ITC Avant Garde"/>
          <w:b/>
          <w:iCs/>
          <w:sz w:val="18"/>
          <w:szCs w:val="18"/>
        </w:rPr>
      </w:pPr>
      <w:r w:rsidRPr="00DC1F83">
        <w:rPr>
          <w:rFonts w:ascii="ITC Avant Garde" w:hAnsi="ITC Avant Garde"/>
          <w:b/>
          <w:iCs/>
          <w:sz w:val="18"/>
          <w:szCs w:val="18"/>
        </w:rPr>
        <w:t>2. Verificación</w:t>
      </w:r>
    </w:p>
    <w:p w14:paraId="2D2CDDF3" w14:textId="77777777" w:rsidR="00DC1F83" w:rsidRPr="00DC1F83" w:rsidRDefault="0014042D" w:rsidP="00DC1F83">
      <w:pPr>
        <w:autoSpaceDE w:val="0"/>
        <w:autoSpaceDN w:val="0"/>
        <w:spacing w:before="240" w:line="240" w:lineRule="auto"/>
        <w:ind w:left="567" w:right="615"/>
        <w:jc w:val="both"/>
        <w:rPr>
          <w:rFonts w:ascii="ITC Avant Garde" w:hAnsi="ITC Avant Garde"/>
          <w:iCs/>
          <w:sz w:val="18"/>
          <w:szCs w:val="18"/>
          <w:lang w:val="es-ES" w:eastAsia="es-ES"/>
        </w:rPr>
      </w:pPr>
      <w:r w:rsidRPr="00DC1F83">
        <w:rPr>
          <w:rFonts w:ascii="ITC Avant Garde" w:hAnsi="ITC Avant Garde"/>
          <w:iCs/>
          <w:sz w:val="18"/>
          <w:szCs w:val="18"/>
        </w:rPr>
        <w:t>Mediante oficio IFT/225/UC/DG-VER/563/2016 de fecha 14 de marzo de 2016, la Dirección General de Verificación (DGV) informó</w:t>
      </w:r>
      <w:r w:rsidR="00893FA6" w:rsidRPr="00DC1F83">
        <w:rPr>
          <w:rFonts w:ascii="ITC Avant Garde" w:hAnsi="ITC Avant Garde"/>
          <w:iCs/>
          <w:sz w:val="18"/>
          <w:szCs w:val="18"/>
          <w:lang w:val="es-ES" w:eastAsia="es-ES"/>
        </w:rPr>
        <w:t xml:space="preserve"> que de la revisión practicada a los archivos de esa Dirección General, no se encontró denuncia presentada en contra de </w:t>
      </w:r>
      <w:proofErr w:type="spellStart"/>
      <w:r w:rsidR="00893FA6" w:rsidRPr="00DC1F83">
        <w:rPr>
          <w:rFonts w:ascii="ITC Avant Garde" w:hAnsi="ITC Avant Garde"/>
          <w:iCs/>
          <w:sz w:val="18"/>
          <w:szCs w:val="18"/>
          <w:lang w:val="es-ES" w:eastAsia="es-ES"/>
        </w:rPr>
        <w:t>Radiomóvil</w:t>
      </w:r>
      <w:proofErr w:type="spellEnd"/>
      <w:r w:rsidR="00893FA6" w:rsidRPr="00DC1F83">
        <w:rPr>
          <w:rFonts w:ascii="ITC Avant Garde" w:hAnsi="ITC Avant Garde"/>
          <w:iCs/>
          <w:sz w:val="18"/>
          <w:szCs w:val="18"/>
          <w:lang w:val="es-ES" w:eastAsia="es-ES"/>
        </w:rPr>
        <w:t xml:space="preserve"> </w:t>
      </w:r>
      <w:proofErr w:type="spellStart"/>
      <w:r w:rsidR="00893FA6" w:rsidRPr="00DC1F83">
        <w:rPr>
          <w:rFonts w:ascii="ITC Avant Garde" w:hAnsi="ITC Avant Garde"/>
          <w:iCs/>
          <w:sz w:val="18"/>
          <w:szCs w:val="18"/>
          <w:lang w:val="es-ES" w:eastAsia="es-ES"/>
        </w:rPr>
        <w:t>Dipsa</w:t>
      </w:r>
      <w:proofErr w:type="spellEnd"/>
      <w:r w:rsidR="00893FA6" w:rsidRPr="00DC1F83">
        <w:rPr>
          <w:rFonts w:ascii="ITC Avant Garde" w:hAnsi="ITC Avant Garde"/>
          <w:iCs/>
          <w:sz w:val="18"/>
          <w:szCs w:val="18"/>
          <w:lang w:val="es-ES" w:eastAsia="es-ES"/>
        </w:rPr>
        <w:t xml:space="preserve">, S.A. de C.V., respecto </w:t>
      </w:r>
      <w:r w:rsidR="00CE6E3C" w:rsidRPr="00DC1F83">
        <w:rPr>
          <w:rFonts w:ascii="ITC Avant Garde" w:hAnsi="ITC Avant Garde"/>
          <w:iCs/>
          <w:sz w:val="18"/>
          <w:szCs w:val="18"/>
          <w:lang w:val="es-ES" w:eastAsia="es-ES"/>
        </w:rPr>
        <w:t>de</w:t>
      </w:r>
      <w:r w:rsidR="00893FA6" w:rsidRPr="00DC1F83">
        <w:rPr>
          <w:rFonts w:ascii="ITC Avant Garde" w:hAnsi="ITC Avant Garde"/>
          <w:iCs/>
          <w:sz w:val="18"/>
          <w:szCs w:val="18"/>
          <w:lang w:val="es-ES" w:eastAsia="es-ES"/>
        </w:rPr>
        <w:t xml:space="preserve">l título de concesión </w:t>
      </w:r>
      <w:r w:rsidR="00CE6E3C" w:rsidRPr="00DC1F83">
        <w:rPr>
          <w:rFonts w:ascii="ITC Avant Garde" w:hAnsi="ITC Avant Garde"/>
          <w:iCs/>
          <w:sz w:val="18"/>
          <w:szCs w:val="18"/>
          <w:lang w:val="es-ES" w:eastAsia="es-ES"/>
        </w:rPr>
        <w:t>que nos ocupa</w:t>
      </w:r>
      <w:r w:rsidR="00893FA6" w:rsidRPr="00DC1F83">
        <w:rPr>
          <w:rFonts w:ascii="ITC Avant Garde" w:hAnsi="ITC Avant Garde"/>
          <w:iCs/>
          <w:sz w:val="18"/>
          <w:szCs w:val="18"/>
          <w:lang w:val="es-ES" w:eastAsia="es-ES"/>
        </w:rPr>
        <w:t xml:space="preserve">, </w:t>
      </w:r>
      <w:r w:rsidR="00CE6E3C" w:rsidRPr="00DC1F83">
        <w:rPr>
          <w:rFonts w:ascii="ITC Avant Garde" w:hAnsi="ITC Avant Garde"/>
          <w:iCs/>
          <w:sz w:val="18"/>
          <w:szCs w:val="18"/>
          <w:lang w:val="es-ES" w:eastAsia="es-ES"/>
        </w:rPr>
        <w:t>de la cual esté pendiente de realizar visita de inspección-verificación, respecto del incumplimiento de las obligaciones a su cargo.</w:t>
      </w:r>
    </w:p>
    <w:p w14:paraId="4391AAAE" w14:textId="77777777" w:rsidR="00DC1F83" w:rsidRPr="00DC1F83" w:rsidRDefault="00CE6E3C" w:rsidP="00DC1F83">
      <w:pPr>
        <w:autoSpaceDE w:val="0"/>
        <w:autoSpaceDN w:val="0"/>
        <w:spacing w:before="240" w:line="240" w:lineRule="auto"/>
        <w:ind w:left="567" w:right="615"/>
        <w:jc w:val="both"/>
        <w:rPr>
          <w:rFonts w:ascii="ITC Avant Garde" w:hAnsi="ITC Avant Garde"/>
          <w:iCs/>
          <w:sz w:val="18"/>
          <w:szCs w:val="18"/>
          <w:lang w:val="es-ES" w:eastAsia="es-ES"/>
        </w:rPr>
      </w:pPr>
      <w:r w:rsidRPr="00DC1F83">
        <w:rPr>
          <w:rFonts w:ascii="ITC Avant Garde" w:hAnsi="ITC Avant Garde"/>
          <w:iCs/>
          <w:sz w:val="18"/>
          <w:szCs w:val="18"/>
          <w:lang w:val="es-ES" w:eastAsia="es-ES"/>
        </w:rPr>
        <w:t>Al respecto es aplicable el criterio emitido por la Coordinación General de Consultoría Jurídica de la Extinta Comisión Federal de Telecomunicaciones en oficio CFT/</w:t>
      </w:r>
      <w:r w:rsidR="003A3B1D" w:rsidRPr="00DC1F83">
        <w:rPr>
          <w:rFonts w:ascii="ITC Avant Garde" w:hAnsi="ITC Avant Garde"/>
          <w:iCs/>
          <w:sz w:val="18"/>
          <w:szCs w:val="18"/>
          <w:lang w:val="es-ES" w:eastAsia="es-ES"/>
        </w:rPr>
        <w:t>P/</w:t>
      </w:r>
      <w:r w:rsidRPr="00DC1F83">
        <w:rPr>
          <w:rFonts w:ascii="ITC Avant Garde" w:hAnsi="ITC Avant Garde"/>
          <w:iCs/>
          <w:sz w:val="18"/>
          <w:szCs w:val="18"/>
          <w:lang w:val="es-ES" w:eastAsia="es-ES"/>
        </w:rPr>
        <w:t>D01/CGCJ/213/2013, de fecha 05 de junio de 2013, el cual establece que será ocioso realizar visitas de inspección-verificación a la concesionaria de mérito, cuando se encuentre en cumplimiento y no exista denuncia alguna en contra de la concesionaria en comento, respecto del incumplimiento de las obligaciones a su cargo.</w:t>
      </w:r>
    </w:p>
    <w:p w14:paraId="2A503948" w14:textId="77777777" w:rsidR="00DC1F83" w:rsidRPr="00DC1F83" w:rsidRDefault="00CE6E3C" w:rsidP="00DC1F83">
      <w:pPr>
        <w:autoSpaceDE w:val="0"/>
        <w:autoSpaceDN w:val="0"/>
        <w:spacing w:before="240" w:line="240" w:lineRule="auto"/>
        <w:ind w:left="567" w:right="615"/>
        <w:jc w:val="both"/>
        <w:rPr>
          <w:rFonts w:ascii="ITC Avant Garde" w:hAnsi="ITC Avant Garde"/>
          <w:b/>
          <w:iCs/>
          <w:sz w:val="18"/>
          <w:szCs w:val="18"/>
          <w:lang w:val="es-ES" w:eastAsia="es-ES"/>
        </w:rPr>
      </w:pPr>
      <w:r w:rsidRPr="00DC1F83">
        <w:rPr>
          <w:rFonts w:ascii="ITC Avant Garde" w:hAnsi="ITC Avant Garde"/>
          <w:b/>
          <w:iCs/>
          <w:sz w:val="18"/>
          <w:szCs w:val="18"/>
          <w:lang w:val="es-ES" w:eastAsia="es-ES"/>
        </w:rPr>
        <w:t>3. Sanciones</w:t>
      </w:r>
    </w:p>
    <w:p w14:paraId="6A10B9BA" w14:textId="77777777" w:rsidR="00DC1F83" w:rsidRPr="00DC1F83" w:rsidRDefault="00CE6E3C" w:rsidP="00DC1F83">
      <w:pPr>
        <w:autoSpaceDE w:val="0"/>
        <w:autoSpaceDN w:val="0"/>
        <w:spacing w:before="240" w:line="240" w:lineRule="auto"/>
        <w:ind w:left="567" w:right="615"/>
        <w:jc w:val="both"/>
        <w:rPr>
          <w:rFonts w:ascii="ITC Avant Garde" w:hAnsi="ITC Avant Garde"/>
          <w:iCs/>
          <w:sz w:val="18"/>
          <w:szCs w:val="18"/>
        </w:rPr>
      </w:pPr>
      <w:r w:rsidRPr="00DC1F83">
        <w:rPr>
          <w:rFonts w:ascii="ITC Avant Garde" w:hAnsi="ITC Avant Garde"/>
          <w:iCs/>
          <w:sz w:val="18"/>
          <w:szCs w:val="18"/>
          <w:lang w:val="es-ES" w:eastAsia="es-ES"/>
        </w:rPr>
        <w:t>Mediante oficio</w:t>
      </w:r>
      <w:r w:rsidRPr="00DC1F83">
        <w:rPr>
          <w:rFonts w:ascii="ITC Avant Garde" w:hAnsi="ITC Avant Garde"/>
          <w:iCs/>
          <w:sz w:val="18"/>
          <w:szCs w:val="18"/>
        </w:rPr>
        <w:t xml:space="preserve"> IFT/225/UC/DG-SAN/0179/2016 de fecha 8 de marzo de 2016, la Dirección General de Sanciones, informó que no existe procedimiento administrativo de imposición de sanción en contra de </w:t>
      </w:r>
      <w:proofErr w:type="spellStart"/>
      <w:r w:rsidRPr="00DC1F83">
        <w:rPr>
          <w:rFonts w:ascii="ITC Avant Garde" w:hAnsi="ITC Avant Garde"/>
          <w:iCs/>
          <w:sz w:val="18"/>
          <w:szCs w:val="18"/>
        </w:rPr>
        <w:t>Radiomóvil</w:t>
      </w:r>
      <w:proofErr w:type="spellEnd"/>
      <w:r w:rsidRPr="00DC1F83">
        <w:rPr>
          <w:rFonts w:ascii="ITC Avant Garde" w:hAnsi="ITC Avant Garde"/>
          <w:iCs/>
          <w:sz w:val="18"/>
          <w:szCs w:val="18"/>
        </w:rPr>
        <w:t xml:space="preserve"> </w:t>
      </w:r>
      <w:proofErr w:type="spellStart"/>
      <w:r w:rsidRPr="00DC1F83">
        <w:rPr>
          <w:rFonts w:ascii="ITC Avant Garde" w:hAnsi="ITC Avant Garde"/>
          <w:iCs/>
          <w:sz w:val="18"/>
          <w:szCs w:val="18"/>
        </w:rPr>
        <w:t>Dipsa</w:t>
      </w:r>
      <w:proofErr w:type="spellEnd"/>
      <w:r w:rsidRPr="00DC1F83">
        <w:rPr>
          <w:rFonts w:ascii="ITC Avant Garde" w:hAnsi="ITC Avant Garde"/>
          <w:iCs/>
          <w:sz w:val="18"/>
          <w:szCs w:val="18"/>
        </w:rPr>
        <w:t>, S.A. de C.V. respecto de algún incumplimiento al título de concesión antes señalado.</w:t>
      </w:r>
    </w:p>
    <w:p w14:paraId="2F02168E" w14:textId="77777777" w:rsidR="00DC1F83" w:rsidRPr="00DC1F83" w:rsidRDefault="00CE6E3C" w:rsidP="00DC1F83">
      <w:pPr>
        <w:autoSpaceDE w:val="0"/>
        <w:autoSpaceDN w:val="0"/>
        <w:spacing w:before="240" w:line="240" w:lineRule="auto"/>
        <w:ind w:left="567" w:right="615"/>
        <w:jc w:val="both"/>
        <w:rPr>
          <w:rFonts w:ascii="ITC Avant Garde" w:hAnsi="ITC Avant Garde"/>
          <w:b/>
          <w:iCs/>
          <w:sz w:val="18"/>
          <w:szCs w:val="18"/>
          <w:lang w:val="es-ES" w:eastAsia="es-ES"/>
        </w:rPr>
      </w:pPr>
      <w:r w:rsidRPr="00DC1F83">
        <w:rPr>
          <w:rFonts w:ascii="ITC Avant Garde" w:hAnsi="ITC Avant Garde"/>
          <w:b/>
          <w:iCs/>
          <w:sz w:val="18"/>
          <w:szCs w:val="18"/>
        </w:rPr>
        <w:t>4. Dictamen</w:t>
      </w:r>
    </w:p>
    <w:p w14:paraId="60C9929E" w14:textId="77777777" w:rsidR="00DC1F83" w:rsidRPr="00DC1F83" w:rsidRDefault="00CE6E3C" w:rsidP="00DC1F83">
      <w:pPr>
        <w:autoSpaceDE w:val="0"/>
        <w:autoSpaceDN w:val="0"/>
        <w:spacing w:before="240" w:line="240" w:lineRule="auto"/>
        <w:ind w:left="567" w:right="615"/>
        <w:jc w:val="both"/>
        <w:rPr>
          <w:rFonts w:ascii="ITC Avant Garde" w:hAnsi="ITC Avant Garde"/>
          <w:iCs/>
          <w:sz w:val="18"/>
          <w:szCs w:val="18"/>
          <w:lang w:val="es-ES" w:eastAsia="es-ES"/>
        </w:rPr>
      </w:pPr>
      <w:r w:rsidRPr="00DC1F83">
        <w:rPr>
          <w:rFonts w:ascii="ITC Avant Garde" w:hAnsi="ITC Avant Garde"/>
          <w:iCs/>
          <w:sz w:val="18"/>
          <w:szCs w:val="18"/>
          <w:lang w:val="es-ES" w:eastAsia="es-ES"/>
        </w:rPr>
        <w:lastRenderedPageBreak/>
        <w:t>De la supervisión a las constancias que integran el expediente abierto a nombre de la concesionaria que nos ocupa, así como de la información proporcionada por las Direcciones Generales de Verificación y Sanciones, se concluye lo siguiente:</w:t>
      </w:r>
    </w:p>
    <w:p w14:paraId="235E0136" w14:textId="77777777" w:rsidR="00DC1F83" w:rsidRPr="00DC1F83" w:rsidRDefault="00CE6E3C" w:rsidP="00DC1F83">
      <w:pPr>
        <w:autoSpaceDE w:val="0"/>
        <w:autoSpaceDN w:val="0"/>
        <w:spacing w:before="240" w:line="240" w:lineRule="auto"/>
        <w:ind w:left="567" w:right="615"/>
        <w:jc w:val="both"/>
        <w:rPr>
          <w:rFonts w:ascii="ITC Avant Garde" w:hAnsi="ITC Avant Garde"/>
          <w:iCs/>
          <w:sz w:val="18"/>
          <w:szCs w:val="18"/>
          <w:lang w:val="es-ES" w:eastAsia="es-ES"/>
        </w:rPr>
      </w:pPr>
      <w:r w:rsidRPr="00DC1F83">
        <w:rPr>
          <w:rFonts w:ascii="ITC Avant Garde" w:hAnsi="ITC Avant Garde"/>
          <w:iCs/>
          <w:sz w:val="18"/>
          <w:szCs w:val="18"/>
          <w:lang w:val="es-ES" w:eastAsia="es-ES"/>
        </w:rPr>
        <w:t xml:space="preserve">De la revisión documental del expediente 312.045/0043 integrado por la Dirección General de Adquisiciones, Recursos Materiales y Servicios Generales de este Instituto a nombre de </w:t>
      </w:r>
      <w:proofErr w:type="spellStart"/>
      <w:r w:rsidRPr="00DC1F83">
        <w:rPr>
          <w:rFonts w:ascii="ITC Avant Garde" w:hAnsi="ITC Avant Garde"/>
          <w:b/>
          <w:iCs/>
          <w:sz w:val="18"/>
          <w:szCs w:val="18"/>
          <w:lang w:val="es-ES" w:eastAsia="es-ES"/>
        </w:rPr>
        <w:t>Radiomóvil</w:t>
      </w:r>
      <w:proofErr w:type="spellEnd"/>
      <w:r w:rsidRPr="00DC1F83">
        <w:rPr>
          <w:rFonts w:ascii="ITC Avant Garde" w:hAnsi="ITC Avant Garde"/>
          <w:b/>
          <w:iCs/>
          <w:sz w:val="18"/>
          <w:szCs w:val="18"/>
          <w:lang w:val="es-ES" w:eastAsia="es-ES"/>
        </w:rPr>
        <w:t xml:space="preserve"> </w:t>
      </w:r>
      <w:proofErr w:type="spellStart"/>
      <w:r w:rsidRPr="00DC1F83">
        <w:rPr>
          <w:rFonts w:ascii="ITC Avant Garde" w:hAnsi="ITC Avant Garde"/>
          <w:b/>
          <w:iCs/>
          <w:sz w:val="18"/>
          <w:szCs w:val="18"/>
          <w:lang w:val="es-ES" w:eastAsia="es-ES"/>
        </w:rPr>
        <w:t>Dipsa</w:t>
      </w:r>
      <w:proofErr w:type="spellEnd"/>
      <w:r w:rsidRPr="00DC1F83">
        <w:rPr>
          <w:rFonts w:ascii="ITC Avant Garde" w:hAnsi="ITC Avant Garde"/>
          <w:b/>
          <w:iCs/>
          <w:sz w:val="18"/>
          <w:szCs w:val="18"/>
          <w:lang w:val="es-ES" w:eastAsia="es-ES"/>
        </w:rPr>
        <w:t>, S.A. de C.V.,</w:t>
      </w:r>
      <w:r w:rsidRPr="00DC1F83">
        <w:rPr>
          <w:rFonts w:ascii="ITC Avant Garde" w:hAnsi="ITC Avant Garde"/>
          <w:iCs/>
          <w:sz w:val="18"/>
          <w:szCs w:val="18"/>
          <w:lang w:val="es-ES" w:eastAsia="es-ES"/>
        </w:rPr>
        <w:t xml:space="preserve"> se desprende que al 14 de marzo de 2016, </w:t>
      </w:r>
      <w:r w:rsidRPr="00DC1F83">
        <w:rPr>
          <w:rFonts w:ascii="ITC Avant Garde" w:hAnsi="ITC Avant Garde"/>
          <w:b/>
          <w:iCs/>
          <w:sz w:val="18"/>
          <w:szCs w:val="18"/>
          <w:u w:val="single"/>
          <w:lang w:val="es-ES" w:eastAsia="es-ES"/>
        </w:rPr>
        <w:t>la concesionaria se encontró al corriente en la presentación de las documentales derivadas de las obligaciones que tiene a su cargo</w:t>
      </w:r>
      <w:r w:rsidRPr="00DC1F83">
        <w:rPr>
          <w:rFonts w:ascii="ITC Avant Garde" w:hAnsi="ITC Avant Garde"/>
          <w:iCs/>
          <w:sz w:val="18"/>
          <w:szCs w:val="18"/>
          <w:lang w:val="es-ES" w:eastAsia="es-ES"/>
        </w:rPr>
        <w:t xml:space="preserve"> y que le son aplicables conforme a su título de concesión para usar, aprovechar y explotar bandas de frecuencias del espectro radioeléctrico y demás disposiciones legales, reglamentarias y administrativas aplicables.</w:t>
      </w:r>
    </w:p>
    <w:p w14:paraId="72A22E82" w14:textId="77777777" w:rsidR="00DC1F83" w:rsidRPr="00DC1F83" w:rsidRDefault="00724EAA" w:rsidP="00DC1F83">
      <w:pPr>
        <w:autoSpaceDE w:val="0"/>
        <w:autoSpaceDN w:val="0"/>
        <w:spacing w:before="240" w:line="240" w:lineRule="auto"/>
        <w:ind w:left="567" w:right="615"/>
        <w:jc w:val="both"/>
        <w:rPr>
          <w:rFonts w:ascii="ITC Avant Garde" w:hAnsi="ITC Avant Garde"/>
          <w:iCs/>
          <w:sz w:val="18"/>
          <w:szCs w:val="18"/>
          <w:lang w:val="es-ES" w:eastAsia="es-ES"/>
        </w:rPr>
      </w:pPr>
      <w:r w:rsidRPr="00DC1F83">
        <w:rPr>
          <w:rFonts w:ascii="ITC Avant Garde" w:hAnsi="ITC Avant Garde"/>
          <w:iCs/>
          <w:sz w:val="18"/>
          <w:szCs w:val="18"/>
          <w:lang w:val="es-ES" w:eastAsia="es-ES"/>
        </w:rPr>
        <w:t>Lo anterior se hace de su conocimiento para los efectos a que haya lugar, sin perjuicio de que esta Dirección General, proponga al área respectiva el inicio del procedimiento sancionatorio que pudiera corresponder por entregas extemporáneas de dichas obligaciones.</w:t>
      </w:r>
    </w:p>
    <w:p w14:paraId="561F2A3A" w14:textId="77777777" w:rsidR="00DC1F83" w:rsidRPr="00DC1F83" w:rsidRDefault="00893FA6" w:rsidP="00DC1F83">
      <w:pPr>
        <w:autoSpaceDE w:val="0"/>
        <w:autoSpaceDN w:val="0"/>
        <w:spacing w:before="240" w:line="240" w:lineRule="auto"/>
        <w:ind w:left="567" w:right="615"/>
        <w:jc w:val="both"/>
        <w:rPr>
          <w:rFonts w:ascii="ITC Avant Garde" w:hAnsi="ITC Avant Garde"/>
          <w:sz w:val="18"/>
          <w:szCs w:val="18"/>
          <w:lang w:val="es-ES" w:eastAsia="es-ES"/>
        </w:rPr>
      </w:pPr>
      <w:r w:rsidRPr="00DC1F83">
        <w:rPr>
          <w:rFonts w:ascii="ITC Avant Garde" w:hAnsi="ITC Avant Garde"/>
          <w:iCs/>
          <w:sz w:val="18"/>
          <w:szCs w:val="18"/>
          <w:lang w:val="es-ES" w:eastAsia="es-ES"/>
        </w:rPr>
        <w:t>[…]</w:t>
      </w:r>
      <w:r w:rsidR="0025080B" w:rsidRPr="00DC1F83">
        <w:rPr>
          <w:rFonts w:ascii="ITC Avant Garde" w:hAnsi="ITC Avant Garde"/>
          <w:iCs/>
          <w:sz w:val="18"/>
          <w:szCs w:val="18"/>
          <w:lang w:val="es-ES" w:eastAsia="es-ES"/>
        </w:rPr>
        <w:t>”</w:t>
      </w:r>
      <w:r w:rsidRPr="00DC1F83">
        <w:rPr>
          <w:rFonts w:ascii="ITC Avant Garde" w:hAnsi="ITC Avant Garde"/>
          <w:sz w:val="18"/>
          <w:szCs w:val="18"/>
          <w:lang w:val="es-ES" w:eastAsia="es-ES"/>
        </w:rPr>
        <w:t>.</w:t>
      </w:r>
    </w:p>
    <w:p w14:paraId="1B51F44F" w14:textId="77777777" w:rsidR="00DC1F83" w:rsidRPr="00DC1F83" w:rsidRDefault="00893FA6" w:rsidP="00DC1F83">
      <w:pPr>
        <w:autoSpaceDE w:val="0"/>
        <w:autoSpaceDN w:val="0"/>
        <w:spacing w:before="240" w:line="240" w:lineRule="auto"/>
        <w:jc w:val="both"/>
        <w:rPr>
          <w:rFonts w:ascii="ITC Avant Garde" w:hAnsi="ITC Avant Garde"/>
        </w:rPr>
      </w:pPr>
      <w:r w:rsidRPr="00DC1F83">
        <w:rPr>
          <w:rFonts w:ascii="ITC Avant Garde" w:hAnsi="ITC Avant Garde"/>
        </w:rPr>
        <w:t>Derivado de l</w:t>
      </w:r>
      <w:r w:rsidR="00A645E1" w:rsidRPr="00DC1F83">
        <w:rPr>
          <w:rFonts w:ascii="ITC Avant Garde" w:hAnsi="ITC Avant Garde"/>
        </w:rPr>
        <w:t>o señalado por la Unidad de Cumplimiento de este Instituto</w:t>
      </w:r>
      <w:r w:rsidR="00A54F7D" w:rsidRPr="00DC1F83">
        <w:rPr>
          <w:rFonts w:ascii="ITC Avant Garde" w:hAnsi="ITC Avant Garde"/>
        </w:rPr>
        <w:t>,</w:t>
      </w:r>
      <w:r w:rsidR="00A645E1" w:rsidRPr="00DC1F83">
        <w:rPr>
          <w:rFonts w:ascii="ITC Avant Garde" w:hAnsi="ITC Avant Garde"/>
        </w:rPr>
        <w:t xml:space="preserve"> a través de los </w:t>
      </w:r>
      <w:r w:rsidR="008626B5" w:rsidRPr="00DC1F83">
        <w:rPr>
          <w:rFonts w:ascii="ITC Avant Garde" w:hAnsi="ITC Avant Garde"/>
        </w:rPr>
        <w:t xml:space="preserve">respectivos </w:t>
      </w:r>
      <w:r w:rsidR="00A645E1" w:rsidRPr="00DC1F83">
        <w:rPr>
          <w:rFonts w:ascii="ITC Avant Garde" w:hAnsi="ITC Avant Garde"/>
        </w:rPr>
        <w:t>oficios descritos c</w:t>
      </w:r>
      <w:r w:rsidRPr="00DC1F83">
        <w:rPr>
          <w:rFonts w:ascii="ITC Avant Garde" w:hAnsi="ITC Avant Garde"/>
        </w:rPr>
        <w:t>o</w:t>
      </w:r>
      <w:r w:rsidR="00A645E1" w:rsidRPr="00DC1F83">
        <w:rPr>
          <w:rFonts w:ascii="ITC Avant Garde" w:hAnsi="ITC Avant Garde"/>
        </w:rPr>
        <w:t>n</w:t>
      </w:r>
      <w:r w:rsidRPr="00DC1F83">
        <w:rPr>
          <w:rFonts w:ascii="ITC Avant Garde" w:hAnsi="ITC Avant Garde"/>
        </w:rPr>
        <w:t xml:space="preserve"> anterior</w:t>
      </w:r>
      <w:r w:rsidR="00A645E1" w:rsidRPr="00DC1F83">
        <w:rPr>
          <w:rFonts w:ascii="ITC Avant Garde" w:hAnsi="ITC Avant Garde"/>
        </w:rPr>
        <w:t>idad</w:t>
      </w:r>
      <w:r w:rsidRPr="00DC1F83">
        <w:rPr>
          <w:rFonts w:ascii="ITC Avant Garde" w:hAnsi="ITC Avant Garde"/>
        </w:rPr>
        <w:t>, puede concluir</w:t>
      </w:r>
      <w:r w:rsidR="00A645E1" w:rsidRPr="00DC1F83">
        <w:rPr>
          <w:rFonts w:ascii="ITC Avant Garde" w:hAnsi="ITC Avant Garde"/>
        </w:rPr>
        <w:t>se</w:t>
      </w:r>
      <w:r w:rsidRPr="00DC1F83">
        <w:rPr>
          <w:rFonts w:ascii="ITC Avant Garde" w:hAnsi="ITC Avant Garde"/>
        </w:rPr>
        <w:t xml:space="preserve"> que </w:t>
      </w:r>
      <w:r w:rsidR="009C0D4A" w:rsidRPr="00DC1F83">
        <w:rPr>
          <w:rFonts w:ascii="ITC Avant Garde" w:hAnsi="ITC Avant Garde"/>
        </w:rPr>
        <w:t>Telcel</w:t>
      </w:r>
      <w:r w:rsidRPr="00DC1F83">
        <w:rPr>
          <w:rFonts w:ascii="ITC Avant Garde" w:hAnsi="ITC Avant Garde"/>
        </w:rPr>
        <w:t xml:space="preserve"> se encuentra al corriente en el cumplimiento de las obligaciones establecidas </w:t>
      </w:r>
      <w:r w:rsidR="00A645E1" w:rsidRPr="00DC1F83">
        <w:rPr>
          <w:rFonts w:ascii="ITC Avant Garde" w:hAnsi="ITC Avant Garde"/>
        </w:rPr>
        <w:t>en la</w:t>
      </w:r>
      <w:r w:rsidR="008626B5" w:rsidRPr="00DC1F83">
        <w:rPr>
          <w:rFonts w:ascii="ITC Avant Garde" w:hAnsi="ITC Avant Garde"/>
        </w:rPr>
        <w:t>s</w:t>
      </w:r>
      <w:r w:rsidR="00A645E1" w:rsidRPr="00DC1F83">
        <w:rPr>
          <w:rFonts w:ascii="ITC Avant Garde" w:hAnsi="ITC Avant Garde"/>
        </w:rPr>
        <w:t xml:space="preserve"> Concesi</w:t>
      </w:r>
      <w:r w:rsidR="008626B5" w:rsidRPr="00DC1F83">
        <w:rPr>
          <w:rFonts w:ascii="ITC Avant Garde" w:hAnsi="ITC Avant Garde"/>
        </w:rPr>
        <w:t>ones</w:t>
      </w:r>
      <w:r w:rsidR="00A645E1" w:rsidRPr="00DC1F83">
        <w:rPr>
          <w:rFonts w:ascii="ITC Avant Garde" w:hAnsi="ITC Avant Garde"/>
        </w:rPr>
        <w:t xml:space="preserve"> objeto de la</w:t>
      </w:r>
      <w:r w:rsidR="008626B5" w:rsidRPr="00DC1F83">
        <w:rPr>
          <w:rFonts w:ascii="ITC Avant Garde" w:hAnsi="ITC Avant Garde"/>
        </w:rPr>
        <w:t>s</w:t>
      </w:r>
      <w:r w:rsidR="00A645E1" w:rsidRPr="00DC1F83">
        <w:rPr>
          <w:rFonts w:ascii="ITC Avant Garde" w:hAnsi="ITC Avant Garde"/>
        </w:rPr>
        <w:t xml:space="preserve"> Solicitud</w:t>
      </w:r>
      <w:r w:rsidR="008626B5" w:rsidRPr="00DC1F83">
        <w:rPr>
          <w:rFonts w:ascii="ITC Avant Garde" w:hAnsi="ITC Avant Garde"/>
        </w:rPr>
        <w:t>es</w:t>
      </w:r>
      <w:r w:rsidR="00A645E1" w:rsidRPr="00DC1F83">
        <w:rPr>
          <w:rFonts w:ascii="ITC Avant Garde" w:hAnsi="ITC Avant Garde"/>
        </w:rPr>
        <w:t xml:space="preserve"> de Prórroga, así como de las </w:t>
      </w:r>
      <w:r w:rsidRPr="00DC1F83">
        <w:rPr>
          <w:rFonts w:ascii="ITC Avant Garde" w:hAnsi="ITC Avant Garde"/>
        </w:rPr>
        <w:t>demás disposiciones aplicables</w:t>
      </w:r>
      <w:r w:rsidR="00A645E1" w:rsidRPr="00DC1F83">
        <w:rPr>
          <w:rFonts w:ascii="ITC Avant Garde" w:hAnsi="ITC Avant Garde"/>
        </w:rPr>
        <w:t xml:space="preserve">. </w:t>
      </w:r>
    </w:p>
    <w:p w14:paraId="1BBEFA70" w14:textId="77777777" w:rsidR="00DC1F83" w:rsidRPr="00DC1F83" w:rsidRDefault="006B48B1" w:rsidP="00DC1F83">
      <w:pPr>
        <w:autoSpaceDE w:val="0"/>
        <w:autoSpaceDN w:val="0"/>
        <w:adjustRightInd w:val="0"/>
        <w:spacing w:before="240" w:line="240" w:lineRule="auto"/>
        <w:jc w:val="both"/>
        <w:rPr>
          <w:rFonts w:ascii="ITC Avant Garde" w:hAnsi="ITC Avant Garde"/>
          <w:bCs/>
          <w:color w:val="000000"/>
          <w:lang w:eastAsia="es-MX"/>
        </w:rPr>
      </w:pPr>
      <w:r w:rsidRPr="00DC1F83">
        <w:rPr>
          <w:rFonts w:ascii="ITC Avant Garde" w:hAnsi="ITC Avant Garde"/>
          <w:bCs/>
        </w:rPr>
        <w:t>Respecto al tercer requisito de procedencia señalado en la L</w:t>
      </w:r>
      <w:r w:rsidR="002F038E" w:rsidRPr="00DC1F83">
        <w:rPr>
          <w:rFonts w:ascii="ITC Avant Garde" w:hAnsi="ITC Avant Garde"/>
          <w:bCs/>
        </w:rPr>
        <w:t>ey</w:t>
      </w:r>
      <w:r w:rsidRPr="00DC1F83">
        <w:rPr>
          <w:rFonts w:ascii="ITC Avant Garde" w:hAnsi="ITC Avant Garde"/>
          <w:bCs/>
        </w:rPr>
        <w:t xml:space="preserve">, </w:t>
      </w:r>
      <w:r w:rsidR="003A3B1D" w:rsidRPr="00DC1F83">
        <w:rPr>
          <w:rFonts w:ascii="ITC Avant Garde" w:hAnsi="ITC Avant Garde"/>
          <w:bCs/>
        </w:rPr>
        <w:t>consistente en</w:t>
      </w:r>
      <w:r w:rsidRPr="00DC1F83">
        <w:rPr>
          <w:rFonts w:ascii="ITC Avant Garde" w:hAnsi="ITC Avant Garde"/>
          <w:bCs/>
        </w:rPr>
        <w:t xml:space="preserve"> </w:t>
      </w:r>
      <w:r w:rsidR="00B31A0E" w:rsidRPr="00DC1F83">
        <w:rPr>
          <w:rFonts w:ascii="ITC Avant Garde" w:hAnsi="ITC Avant Garde"/>
          <w:bCs/>
          <w:color w:val="000000"/>
          <w:lang w:eastAsia="es-MX"/>
        </w:rPr>
        <w:t xml:space="preserve">que el Instituto determine que no existe interés público en recuperar el espectro radioeléctrico, </w:t>
      </w:r>
      <w:r w:rsidR="003A3B1D" w:rsidRPr="00DC1F83">
        <w:rPr>
          <w:rFonts w:ascii="ITC Avant Garde" w:hAnsi="ITC Avant Garde"/>
          <w:bCs/>
          <w:color w:val="000000"/>
          <w:lang w:eastAsia="es-MX"/>
        </w:rPr>
        <w:t xml:space="preserve">mediante </w:t>
      </w:r>
      <w:r w:rsidR="00061EB1" w:rsidRPr="00DC1F83">
        <w:rPr>
          <w:rFonts w:ascii="ITC Avant Garde" w:hAnsi="ITC Avant Garde"/>
          <w:bCs/>
        </w:rPr>
        <w:t>oficios IFT/223/UCS/DG-CTEL/245/2014, IFT/223/UCS/DG-CTEL/244/2014, IFT/223/UCS/DG-CTEL/242/2014, IFT/223/UCS/DG-CTEL/243/2014, IFT/223/UCS/DG-CTEL/2</w:t>
      </w:r>
      <w:r w:rsidR="00F41D5F" w:rsidRPr="00DC1F83">
        <w:rPr>
          <w:rFonts w:ascii="ITC Avant Garde" w:hAnsi="ITC Avant Garde"/>
          <w:bCs/>
        </w:rPr>
        <w:t>41</w:t>
      </w:r>
      <w:r w:rsidR="00061EB1" w:rsidRPr="00DC1F83">
        <w:rPr>
          <w:rFonts w:ascii="ITC Avant Garde" w:hAnsi="ITC Avant Garde"/>
          <w:bCs/>
        </w:rPr>
        <w:t>/2014, IFT/223/UCS/DG-CTEL/2</w:t>
      </w:r>
      <w:r w:rsidR="00F41D5F" w:rsidRPr="00DC1F83">
        <w:rPr>
          <w:rFonts w:ascii="ITC Avant Garde" w:hAnsi="ITC Avant Garde"/>
          <w:bCs/>
        </w:rPr>
        <w:t>40</w:t>
      </w:r>
      <w:r w:rsidR="00061EB1" w:rsidRPr="00DC1F83">
        <w:rPr>
          <w:rFonts w:ascii="ITC Avant Garde" w:hAnsi="ITC Avant Garde"/>
          <w:bCs/>
        </w:rPr>
        <w:t>/2014, IFT/223/UCS/DG-CTEL/</w:t>
      </w:r>
      <w:r w:rsidR="00F41D5F" w:rsidRPr="00DC1F83">
        <w:rPr>
          <w:rFonts w:ascii="ITC Avant Garde" w:hAnsi="ITC Avant Garde"/>
          <w:bCs/>
        </w:rPr>
        <w:t>239</w:t>
      </w:r>
      <w:r w:rsidR="00061EB1" w:rsidRPr="00DC1F83">
        <w:rPr>
          <w:rFonts w:ascii="ITC Avant Garde" w:hAnsi="ITC Avant Garde"/>
          <w:bCs/>
        </w:rPr>
        <w:t>/2014, IFT/223/UCS/DG-CTEL/</w:t>
      </w:r>
      <w:r w:rsidR="00F41D5F" w:rsidRPr="00DC1F83">
        <w:rPr>
          <w:rFonts w:ascii="ITC Avant Garde" w:hAnsi="ITC Avant Garde"/>
          <w:bCs/>
        </w:rPr>
        <w:t>246</w:t>
      </w:r>
      <w:r w:rsidR="00061EB1" w:rsidRPr="00DC1F83">
        <w:rPr>
          <w:rFonts w:ascii="ITC Avant Garde" w:hAnsi="ITC Avant Garde"/>
          <w:bCs/>
        </w:rPr>
        <w:t>/2014 y IFT/223/UCS/DG-CTEL/</w:t>
      </w:r>
      <w:r w:rsidR="00F41D5F" w:rsidRPr="00DC1F83">
        <w:rPr>
          <w:rFonts w:ascii="ITC Avant Garde" w:hAnsi="ITC Avant Garde"/>
          <w:bCs/>
        </w:rPr>
        <w:t>238</w:t>
      </w:r>
      <w:r w:rsidR="00061EB1" w:rsidRPr="00DC1F83">
        <w:rPr>
          <w:rFonts w:ascii="ITC Avant Garde" w:hAnsi="ITC Avant Garde"/>
          <w:bCs/>
        </w:rPr>
        <w:t>/2014, todos de fecha 26 de noviembre de 2014, la Unidad de Concesiones y Servicios, a través de la Dirección General de Concesiones de Telecomunicaciones, solicitó a la Unidad de Espectro Radioeléctrico se informara si exist</w:t>
      </w:r>
      <w:r w:rsidR="00F41D5F" w:rsidRPr="00DC1F83">
        <w:rPr>
          <w:rFonts w:ascii="ITC Avant Garde" w:hAnsi="ITC Avant Garde"/>
          <w:bCs/>
        </w:rPr>
        <w:t>ía</w:t>
      </w:r>
      <w:r w:rsidR="00061EB1" w:rsidRPr="00DC1F83">
        <w:rPr>
          <w:rFonts w:ascii="ITC Avant Garde" w:hAnsi="ITC Avant Garde"/>
          <w:bCs/>
        </w:rPr>
        <w:t xml:space="preserve"> interés público en recuperar el espectro radioeléctrico objeto de cada una de las Concesiones contempladas en las Solicitudes de Prórroga</w:t>
      </w:r>
      <w:r w:rsidR="00CC2B2E" w:rsidRPr="00DC1F83">
        <w:rPr>
          <w:rFonts w:ascii="ITC Avant Garde" w:hAnsi="ITC Avant Garde"/>
          <w:bCs/>
        </w:rPr>
        <w:t xml:space="preserve"> o, de no ser el caso, determinara el monto de la contraprestación que deber</w:t>
      </w:r>
      <w:r w:rsidR="00F41D5F" w:rsidRPr="00DC1F83">
        <w:rPr>
          <w:rFonts w:ascii="ITC Avant Garde" w:hAnsi="ITC Avant Garde"/>
          <w:bCs/>
        </w:rPr>
        <w:t>ía</w:t>
      </w:r>
      <w:r w:rsidR="00CC2B2E" w:rsidRPr="00DC1F83">
        <w:rPr>
          <w:rFonts w:ascii="ITC Avant Garde" w:hAnsi="ITC Avant Garde"/>
          <w:bCs/>
        </w:rPr>
        <w:t xml:space="preserve"> cubrir Telcel por cada una de las citadas prórrogas, así como las condiciones técnico-operativas a las cuales quedaría sujeta, en su caso, cada prórroga solicitada. Dichas solicitudes fueron reiteradas a la Unidad de Espectro Radioeléctrico del Instituto, mediante oficio IFT/223/UCS/DG-CTEL/301/2016 de fecha 8 de febrero de 2016, emitido por la Unidad de Concesiones y Servicios, a través de la Dirección General de Concesiones de Telecomunicaciones.</w:t>
      </w:r>
    </w:p>
    <w:p w14:paraId="273BDED0" w14:textId="77777777" w:rsidR="00DC1F83" w:rsidRPr="00DC1F83" w:rsidRDefault="00CC2B2E" w:rsidP="00DC1F83">
      <w:pPr>
        <w:autoSpaceDE w:val="0"/>
        <w:autoSpaceDN w:val="0"/>
        <w:adjustRightInd w:val="0"/>
        <w:spacing w:before="240" w:line="240" w:lineRule="auto"/>
        <w:jc w:val="both"/>
        <w:rPr>
          <w:rFonts w:ascii="ITC Avant Garde" w:hAnsi="ITC Avant Garde"/>
          <w:bCs/>
        </w:rPr>
      </w:pPr>
      <w:r w:rsidRPr="00DC1F83">
        <w:rPr>
          <w:rFonts w:ascii="ITC Avant Garde" w:hAnsi="ITC Avant Garde"/>
          <w:bCs/>
        </w:rPr>
        <w:t>En respuesta a lo anterior, mediante oficio IFT/222/UER/DGPE/</w:t>
      </w:r>
      <w:r w:rsidR="00E05745" w:rsidRPr="00DC1F83">
        <w:rPr>
          <w:rFonts w:ascii="ITC Avant Garde" w:hAnsi="ITC Avant Garde"/>
          <w:bCs/>
        </w:rPr>
        <w:t>033</w:t>
      </w:r>
      <w:r w:rsidRPr="00DC1F83">
        <w:rPr>
          <w:rFonts w:ascii="ITC Avant Garde" w:hAnsi="ITC Avant Garde"/>
          <w:bCs/>
        </w:rPr>
        <w:t xml:space="preserve">/2016 de fecha </w:t>
      </w:r>
      <w:r w:rsidR="00E05745" w:rsidRPr="00DC1F83">
        <w:rPr>
          <w:rFonts w:ascii="ITC Avant Garde" w:hAnsi="ITC Avant Garde"/>
          <w:bCs/>
        </w:rPr>
        <w:t>12</w:t>
      </w:r>
      <w:r w:rsidRPr="00DC1F83">
        <w:rPr>
          <w:rFonts w:ascii="ITC Avant Garde" w:hAnsi="ITC Avant Garde"/>
          <w:bCs/>
        </w:rPr>
        <w:t xml:space="preserve"> de </w:t>
      </w:r>
      <w:r w:rsidR="00E05745" w:rsidRPr="00DC1F83">
        <w:rPr>
          <w:rFonts w:ascii="ITC Avant Garde" w:hAnsi="ITC Avant Garde"/>
          <w:bCs/>
        </w:rPr>
        <w:t>agosto</w:t>
      </w:r>
      <w:r w:rsidRPr="00DC1F83">
        <w:rPr>
          <w:rFonts w:ascii="ITC Avant Garde" w:hAnsi="ITC Avant Garde"/>
          <w:bCs/>
        </w:rPr>
        <w:t xml:space="preserve"> de 2016, la Unidad de Espectro Radioeléctrico, por conducto de </w:t>
      </w:r>
      <w:r w:rsidR="00E05745" w:rsidRPr="00DC1F83">
        <w:rPr>
          <w:rFonts w:ascii="ITC Avant Garde" w:hAnsi="ITC Avant Garde"/>
          <w:bCs/>
        </w:rPr>
        <w:t>la Dirección General de Planeación del Espectro</w:t>
      </w:r>
      <w:r w:rsidRPr="00DC1F83">
        <w:rPr>
          <w:rFonts w:ascii="ITC Avant Garde" w:hAnsi="ITC Avant Garde"/>
          <w:bCs/>
        </w:rPr>
        <w:t>, manifestó que no existe interés en recuperar el espectro radioeléctrico</w:t>
      </w:r>
      <w:r w:rsidR="008E223D" w:rsidRPr="00DC1F83">
        <w:rPr>
          <w:rFonts w:ascii="ITC Avant Garde" w:hAnsi="ITC Avant Garde"/>
          <w:bCs/>
        </w:rPr>
        <w:t xml:space="preserve"> vinculado a las Solicitudes de Prórroga</w:t>
      </w:r>
      <w:r w:rsidR="0068326B" w:rsidRPr="00DC1F83">
        <w:rPr>
          <w:rFonts w:ascii="ITC Avant Garde" w:hAnsi="ITC Avant Garde"/>
          <w:bCs/>
        </w:rPr>
        <w:t>, por lo que se tiene por cumplido el tercer requisito de procedencia establecido en la Ley</w:t>
      </w:r>
      <w:r w:rsidRPr="00DC1F83">
        <w:rPr>
          <w:rFonts w:ascii="ITC Avant Garde" w:hAnsi="ITC Avant Garde"/>
          <w:bCs/>
        </w:rPr>
        <w:t xml:space="preserve">. </w:t>
      </w:r>
    </w:p>
    <w:p w14:paraId="2401D423" w14:textId="77777777" w:rsidR="00DC1F83" w:rsidRPr="00DC1F83" w:rsidRDefault="002F038E" w:rsidP="00DC1F83">
      <w:pPr>
        <w:autoSpaceDE w:val="0"/>
        <w:autoSpaceDN w:val="0"/>
        <w:adjustRightInd w:val="0"/>
        <w:spacing w:before="240" w:line="240" w:lineRule="auto"/>
        <w:jc w:val="both"/>
        <w:rPr>
          <w:rFonts w:ascii="ITC Avant Garde" w:hAnsi="ITC Avant Garde"/>
          <w:bCs/>
        </w:rPr>
      </w:pPr>
      <w:r w:rsidRPr="00DC1F83">
        <w:rPr>
          <w:rFonts w:ascii="ITC Avant Garde" w:hAnsi="ITC Avant Garde"/>
          <w:bCs/>
          <w:color w:val="000000"/>
          <w:lang w:eastAsia="es-MX"/>
        </w:rPr>
        <w:lastRenderedPageBreak/>
        <w:t xml:space="preserve">En relación con el cuarto requisito de procedencia señalado en la Ley, mismo que establece que Telcel deberá aceptar las nuevas condiciones que fije el Instituto, entre las que se encuentra incluido el pago de una contraprestación </w:t>
      </w:r>
      <w:r w:rsidR="00F526B9" w:rsidRPr="00DC1F83">
        <w:rPr>
          <w:rFonts w:ascii="ITC Avant Garde" w:hAnsi="ITC Avant Garde"/>
          <w:bCs/>
          <w:color w:val="000000"/>
          <w:lang w:eastAsia="es-MX"/>
        </w:rPr>
        <w:t xml:space="preserve">que corresponda en términos de la legislación aplicable </w:t>
      </w:r>
      <w:r w:rsidRPr="00DC1F83">
        <w:rPr>
          <w:rFonts w:ascii="ITC Avant Garde" w:hAnsi="ITC Avant Garde"/>
          <w:bCs/>
          <w:color w:val="000000"/>
          <w:lang w:eastAsia="es-MX"/>
        </w:rPr>
        <w:t xml:space="preserve">por el otorgamiento de las prórrogas solicitadas para las Concesiones, </w:t>
      </w:r>
      <w:r w:rsidR="00F526B9" w:rsidRPr="00DC1F83">
        <w:rPr>
          <w:rFonts w:ascii="ITC Avant Garde" w:hAnsi="ITC Avant Garde"/>
          <w:bCs/>
          <w:color w:val="000000"/>
          <w:lang w:eastAsia="es-MX"/>
        </w:rPr>
        <w:t xml:space="preserve">así como el resto de las nuevas condiciones establecidas en los títulos de concesión que, en su caso, se otorguen, </w:t>
      </w:r>
      <w:r w:rsidRPr="00DC1F83">
        <w:rPr>
          <w:rFonts w:ascii="ITC Avant Garde" w:hAnsi="ITC Avant Garde"/>
          <w:bCs/>
        </w:rPr>
        <w:t>es necesario que, previ</w:t>
      </w:r>
      <w:r w:rsidR="005501EF" w:rsidRPr="00DC1F83">
        <w:rPr>
          <w:rFonts w:ascii="ITC Avant Garde" w:hAnsi="ITC Avant Garde"/>
          <w:bCs/>
        </w:rPr>
        <w:t>amente</w:t>
      </w:r>
      <w:r w:rsidRPr="00DC1F83">
        <w:rPr>
          <w:rFonts w:ascii="ITC Avant Garde" w:hAnsi="ITC Avant Garde"/>
          <w:bCs/>
        </w:rPr>
        <w:t xml:space="preserve"> a la emisión de los </w:t>
      </w:r>
      <w:r w:rsidR="00F526B9" w:rsidRPr="00DC1F83">
        <w:rPr>
          <w:rFonts w:ascii="ITC Avant Garde" w:hAnsi="ITC Avant Garde"/>
          <w:bCs/>
        </w:rPr>
        <w:t>mismos</w:t>
      </w:r>
      <w:r w:rsidRPr="00DC1F83">
        <w:rPr>
          <w:rFonts w:ascii="ITC Avant Garde" w:hAnsi="ITC Avant Garde"/>
          <w:bCs/>
        </w:rPr>
        <w:t>, se recabe de Telcel su conformidad y total aceptación respecto de las nuevas condiciones que al efecto se establezcan.</w:t>
      </w:r>
    </w:p>
    <w:p w14:paraId="69247D2E" w14:textId="77777777" w:rsidR="00DC1F83" w:rsidRPr="00DC1F83" w:rsidRDefault="002F038E" w:rsidP="00DC1F83">
      <w:pPr>
        <w:autoSpaceDE w:val="0"/>
        <w:autoSpaceDN w:val="0"/>
        <w:adjustRightInd w:val="0"/>
        <w:spacing w:before="240" w:line="240" w:lineRule="auto"/>
        <w:jc w:val="both"/>
        <w:rPr>
          <w:rFonts w:ascii="ITC Avant Garde" w:hAnsi="ITC Avant Garde"/>
          <w:bCs/>
        </w:rPr>
      </w:pPr>
      <w:r w:rsidRPr="00DC1F83">
        <w:rPr>
          <w:rFonts w:ascii="ITC Avant Garde" w:hAnsi="ITC Avant Garde"/>
          <w:bCs/>
        </w:rPr>
        <w:t xml:space="preserve">Lo anterior, en el entendido que de no recibirse la aceptación lisa y llana correspondiente por parte de Telcel dentro del plazo que al efecto se otorgue, así como el pago de las contraprestaciones </w:t>
      </w:r>
      <w:r w:rsidR="00F526B9" w:rsidRPr="00DC1F83">
        <w:rPr>
          <w:rFonts w:ascii="ITC Avant Garde" w:hAnsi="ITC Avant Garde"/>
          <w:bCs/>
        </w:rPr>
        <w:t xml:space="preserve">correspondientes, </w:t>
      </w:r>
      <w:r w:rsidRPr="00DC1F83">
        <w:rPr>
          <w:rFonts w:ascii="ITC Avant Garde" w:hAnsi="ITC Avant Garde"/>
          <w:bCs/>
        </w:rPr>
        <w:t xml:space="preserve">impuestas por el otorgamiento de las prórrogas de las Concesiones, la presente Resolución no surtirá efectos. </w:t>
      </w:r>
    </w:p>
    <w:p w14:paraId="2567A4BC" w14:textId="77777777" w:rsidR="00DC1F83" w:rsidRPr="00DC1F83" w:rsidRDefault="002F038E" w:rsidP="00DC1F83">
      <w:pPr>
        <w:autoSpaceDE w:val="0"/>
        <w:autoSpaceDN w:val="0"/>
        <w:adjustRightInd w:val="0"/>
        <w:spacing w:before="240" w:line="240" w:lineRule="auto"/>
        <w:jc w:val="both"/>
        <w:rPr>
          <w:rFonts w:ascii="ITC Avant Garde" w:hAnsi="ITC Avant Garde"/>
          <w:bCs/>
        </w:rPr>
      </w:pPr>
      <w:r w:rsidRPr="00DC1F83">
        <w:rPr>
          <w:rFonts w:ascii="ITC Avant Garde" w:hAnsi="ITC Avant Garde"/>
          <w:bCs/>
        </w:rPr>
        <w:t>En este sentido, se estima necesario recabar el consentimiento expreso de Telcel sobre las nuevas condiciones que deberá observar, mismas que se contendrán en los proyectos de título</w:t>
      </w:r>
      <w:r w:rsidR="00F526B9" w:rsidRPr="00DC1F83">
        <w:rPr>
          <w:rFonts w:ascii="ITC Avant Garde" w:hAnsi="ITC Avant Garde"/>
          <w:bCs/>
        </w:rPr>
        <w:t>s</w:t>
      </w:r>
      <w:r w:rsidRPr="00DC1F83">
        <w:rPr>
          <w:rFonts w:ascii="ITC Avant Garde" w:hAnsi="ITC Avant Garde"/>
          <w:bCs/>
        </w:rPr>
        <w:t xml:space="preserve"> de concesión para usar, aprovechar y explotar bandas de frecuencias del espectro radioeléctrico de uso determinado, para uso comercial, que forman parte integral de esta Resolución.</w:t>
      </w:r>
    </w:p>
    <w:p w14:paraId="6AA00C96" w14:textId="77777777" w:rsidR="00DC1F83" w:rsidRPr="00DC1F83" w:rsidRDefault="00437AC6" w:rsidP="00DC1F83">
      <w:pPr>
        <w:autoSpaceDE w:val="0"/>
        <w:autoSpaceDN w:val="0"/>
        <w:adjustRightInd w:val="0"/>
        <w:spacing w:before="240" w:line="240" w:lineRule="auto"/>
        <w:jc w:val="both"/>
        <w:rPr>
          <w:rFonts w:ascii="ITC Avant Garde" w:hAnsi="ITC Avant Garde"/>
          <w:bCs/>
        </w:rPr>
      </w:pPr>
      <w:r w:rsidRPr="00DC1F83">
        <w:rPr>
          <w:rFonts w:ascii="ITC Avant Garde" w:hAnsi="ITC Avant Garde"/>
          <w:bCs/>
        </w:rPr>
        <w:t>Por otro lado, es de señalar que Telcel presentó los comprobantes de pago de derechos correspondientes al estudio de cada una de las Solicitudes de Prórroga, conforme a lo dispuesto por la fracción III del artículo 93 de la Ley Federal de Derechos vigente en su momento.</w:t>
      </w:r>
    </w:p>
    <w:p w14:paraId="1B18A330" w14:textId="766DBAB1" w:rsidR="00DC1F83" w:rsidRPr="00DC1F83" w:rsidRDefault="000470AD" w:rsidP="00DC1F83">
      <w:pPr>
        <w:spacing w:before="240" w:line="240" w:lineRule="auto"/>
        <w:jc w:val="both"/>
        <w:rPr>
          <w:rFonts w:ascii="ITC Avant Garde" w:hAnsi="ITC Avant Garde"/>
          <w:color w:val="000000"/>
          <w:lang w:eastAsia="es-MX"/>
        </w:rPr>
      </w:pPr>
      <w:r w:rsidRPr="00DC1F83">
        <w:rPr>
          <w:rFonts w:ascii="ITC Avant Garde" w:hAnsi="ITC Avant Garde"/>
          <w:b/>
          <w:bCs/>
          <w:color w:val="000000"/>
          <w:lang w:eastAsia="es-MX"/>
        </w:rPr>
        <w:t>Quinto</w:t>
      </w:r>
      <w:r w:rsidR="00DE104B" w:rsidRPr="00DC1F83">
        <w:rPr>
          <w:rFonts w:ascii="ITC Avant Garde" w:hAnsi="ITC Avant Garde"/>
          <w:b/>
          <w:bCs/>
          <w:color w:val="000000"/>
          <w:lang w:eastAsia="es-MX"/>
        </w:rPr>
        <w:t xml:space="preserve">.- </w:t>
      </w:r>
      <w:r w:rsidR="00437AC6" w:rsidRPr="00DC1F83">
        <w:rPr>
          <w:rFonts w:ascii="ITC Avant Garde" w:hAnsi="ITC Avant Garde"/>
          <w:b/>
          <w:bCs/>
          <w:color w:val="000000"/>
          <w:lang w:eastAsia="es-MX"/>
        </w:rPr>
        <w:t xml:space="preserve">Cobro sobre el pago de derechos por diversos trámites ante la entrada en vigor de la Ley Federal de Derechos vigente para 2016. </w:t>
      </w:r>
      <w:r w:rsidR="00437AC6" w:rsidRPr="00DC1F83">
        <w:rPr>
          <w:rFonts w:ascii="ITC Avant Garde" w:hAnsi="ITC Avant Garde"/>
          <w:color w:val="000000"/>
          <w:lang w:eastAsia="es-MX"/>
        </w:rPr>
        <w:t>El pasado 18 de noviembre de 2015 se publicó en el Diario Oficial de la Federación el “</w:t>
      </w:r>
      <w:r w:rsidR="00437AC6" w:rsidRPr="00DC1F83">
        <w:rPr>
          <w:rFonts w:ascii="ITC Avant Garde" w:hAnsi="ITC Avant Garde"/>
          <w:iCs/>
          <w:color w:val="000000"/>
          <w:lang w:eastAsia="es-MX"/>
        </w:rPr>
        <w:t>Decreto por el que se reforman, adicionan y derogan diversas disposiciones de la Ley Federal de Derechos</w:t>
      </w:r>
      <w:r w:rsidR="00437AC6" w:rsidRPr="00DC1F83">
        <w:rPr>
          <w:rFonts w:ascii="ITC Avant Garde" w:hAnsi="ITC Avant Garde"/>
          <w:color w:val="000000"/>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7D577EFB" w14:textId="77777777" w:rsidR="00DC1F83" w:rsidRPr="00DC1F83" w:rsidRDefault="00437AC6" w:rsidP="00DC1F83">
      <w:pPr>
        <w:spacing w:before="240" w:line="240" w:lineRule="auto"/>
        <w:jc w:val="both"/>
        <w:rPr>
          <w:rFonts w:ascii="ITC Avant Garde" w:hAnsi="ITC Avant Garde"/>
          <w:color w:val="000000"/>
          <w:lang w:eastAsia="es-MX"/>
        </w:rPr>
      </w:pPr>
      <w:r w:rsidRPr="00DC1F83">
        <w:rPr>
          <w:rFonts w:ascii="ITC Avant Garde" w:hAnsi="ITC Avant Garde"/>
          <w:color w:val="000000"/>
          <w:lang w:eastAsia="es-MX"/>
        </w:rPr>
        <w:t xml:space="preserve">Derivado de lo anterior, y en atención a lo establecido por el artículo 6o. del Código Fiscal de la Federación, se debe tener en cuenta que el hecho generador de los derechos derivados de la autorización de prórroga se actualizan al momento de la emisión y notificación de la presente resolución y que </w:t>
      </w:r>
      <w:r w:rsidR="00444B1E" w:rsidRPr="00DC1F83">
        <w:rPr>
          <w:rFonts w:ascii="ITC Avant Garde" w:hAnsi="ITC Avant Garde"/>
          <w:color w:val="000000"/>
          <w:lang w:eastAsia="es-MX"/>
        </w:rPr>
        <w:t>el</w:t>
      </w:r>
      <w:r w:rsidRPr="00DC1F83">
        <w:rPr>
          <w:rFonts w:ascii="ITC Avant Garde" w:hAnsi="ITC Avant Garde"/>
          <w:color w:val="000000"/>
          <w:lang w:eastAsia="es-MX"/>
        </w:rPr>
        <w:t xml:space="preserve"> artículo 93 de la Ley Federal de Derechos, al haber sido derogado, no puede ser aplicado a los trámites de prórrogas de títulos de concesiones para el uso, aprovechamiento </w:t>
      </w:r>
      <w:r w:rsidR="00444B1E" w:rsidRPr="00DC1F83">
        <w:rPr>
          <w:rFonts w:ascii="ITC Avant Garde" w:hAnsi="ITC Avant Garde"/>
          <w:color w:val="000000"/>
          <w:lang w:eastAsia="es-MX"/>
        </w:rPr>
        <w:t>y</w:t>
      </w:r>
      <w:r w:rsidRPr="00DC1F83">
        <w:rPr>
          <w:rFonts w:ascii="ITC Avant Garde" w:hAnsi="ITC Avant Garde"/>
          <w:color w:val="000000"/>
          <w:lang w:eastAsia="es-MX"/>
        </w:rPr>
        <w:t xml:space="preserve"> explotación de bandas de frecuencias del espectro radioeléctrico.</w:t>
      </w:r>
    </w:p>
    <w:p w14:paraId="02D266BC" w14:textId="77777777" w:rsidR="00DC1F83" w:rsidRPr="00DC1F83" w:rsidRDefault="00437AC6" w:rsidP="00DC1F83">
      <w:pPr>
        <w:spacing w:before="240" w:line="240" w:lineRule="auto"/>
        <w:jc w:val="both"/>
        <w:rPr>
          <w:rFonts w:ascii="ITC Avant Garde" w:hAnsi="ITC Avant Garde"/>
          <w:color w:val="000000"/>
          <w:lang w:eastAsia="es-MX"/>
        </w:rPr>
      </w:pPr>
      <w:r w:rsidRPr="00DC1F83">
        <w:rPr>
          <w:rFonts w:ascii="ITC Avant Garde" w:hAnsi="ITC Avant Garde"/>
          <w:color w:val="000000"/>
          <w:lang w:eastAsia="es-MX"/>
        </w:rPr>
        <w:lastRenderedPageBreak/>
        <w:t>En este sentido, la Ley Federal de Derechos vigente a partir del 1 de enero de 2016 estableció en su artículo 173 un nuevo sistema de cobro de derechos para los trámites relativos a las prórrogas de concesiones en materia de telecomunicaciones o radiodifusión que hagan uso del espectro radioeléctrico, señalando que en un único cobro va integrado el estudio y, en su caso, la autorización de la misma, situación distinta a la prevista en la Ley Federal de Derechos vigente hasta 2015, que establecía de manera diferenciada los cobros para el estudio y, en su caso, autorización.</w:t>
      </w:r>
    </w:p>
    <w:p w14:paraId="2FA381DB" w14:textId="77777777" w:rsidR="00DC1F83" w:rsidRPr="00DC1F83" w:rsidRDefault="00437AC6" w:rsidP="00DC1F83">
      <w:pPr>
        <w:spacing w:before="240" w:line="240" w:lineRule="auto"/>
        <w:jc w:val="both"/>
        <w:rPr>
          <w:rFonts w:ascii="ITC Avant Garde" w:hAnsi="ITC Avant Garde"/>
          <w:color w:val="000000"/>
          <w:lang w:eastAsia="es-MX"/>
        </w:rPr>
      </w:pPr>
      <w:r w:rsidRPr="00DC1F83">
        <w:rPr>
          <w:rFonts w:ascii="ITC Avant Garde" w:hAnsi="ITC Avant Garde"/>
          <w:color w:val="000000"/>
          <w:lang w:eastAsia="es-MX"/>
        </w:rPr>
        <w:t>Al momento de iniciar los trámites que nos ocupan, únicamente se presentaron los pagos por el estudio de los mismos. Sin embargo, si bien ahora procedería realizar el cobro por las autorizaciones correspondientes, este Instituto se encuentra imposibilitado para diferenciar el cobro que debiera corresponder a la autorización de las prórrogas de mérito, toda vez que como ya quedó señalado en el párrafo que antecede, actualmente se prevé un único pago por el estudio y, en su caso, las autorizaciones respectivas. Finalmente, tratándose de disposiciones de carácter fiscal, se debe atender al principio de exacta aplicación de las mismas, por lo que no procede aplicar el cobro por las autorizaciones de las prórrogas que nos ocupan, toda vez que dichos cobros no pueden ser diferenciados.</w:t>
      </w:r>
    </w:p>
    <w:p w14:paraId="1E50C720" w14:textId="77777777" w:rsidR="00DC1F83" w:rsidRPr="00DC1F83" w:rsidRDefault="00437AC6" w:rsidP="00DC1F83">
      <w:pPr>
        <w:autoSpaceDE w:val="0"/>
        <w:autoSpaceDN w:val="0"/>
        <w:adjustRightInd w:val="0"/>
        <w:spacing w:before="240" w:line="240" w:lineRule="auto"/>
        <w:jc w:val="both"/>
        <w:rPr>
          <w:rFonts w:ascii="ITC Avant Garde" w:hAnsi="ITC Avant Garde"/>
          <w:bCs/>
          <w:color w:val="000000"/>
          <w:lang w:eastAsia="es-MX"/>
        </w:rPr>
      </w:pPr>
      <w:r w:rsidRPr="00DC1F83">
        <w:rPr>
          <w:rFonts w:ascii="ITC Avant Garde" w:hAnsi="ITC Avant Garde"/>
          <w:b/>
          <w:bCs/>
        </w:rPr>
        <w:t>S</w:t>
      </w:r>
      <w:r w:rsidR="000470AD" w:rsidRPr="00DC1F83">
        <w:rPr>
          <w:rFonts w:ascii="ITC Avant Garde" w:hAnsi="ITC Avant Garde"/>
          <w:b/>
          <w:bCs/>
        </w:rPr>
        <w:t>exto</w:t>
      </w:r>
      <w:r w:rsidR="00E70E42" w:rsidRPr="00DC1F83">
        <w:rPr>
          <w:rFonts w:ascii="ITC Avant Garde" w:hAnsi="ITC Avant Garde"/>
          <w:b/>
          <w:bCs/>
        </w:rPr>
        <w:t>.- Opiniones Técnicas respecto a las Solicitudes de Prórroga.</w:t>
      </w:r>
      <w:r w:rsidRPr="00DC1F83">
        <w:rPr>
          <w:rFonts w:ascii="ITC Avant Garde" w:hAnsi="ITC Avant Garde"/>
          <w:b/>
          <w:bCs/>
        </w:rPr>
        <w:t xml:space="preserve"> </w:t>
      </w:r>
      <w:r w:rsidRPr="00DC1F83">
        <w:rPr>
          <w:rFonts w:ascii="ITC Avant Garde" w:hAnsi="ITC Avant Garde"/>
          <w:bCs/>
          <w:color w:val="000000"/>
          <w:lang w:eastAsia="es-MX"/>
        </w:rPr>
        <w:t>T</w:t>
      </w:r>
      <w:r w:rsidR="00464F8B" w:rsidRPr="00DC1F83">
        <w:rPr>
          <w:rFonts w:ascii="ITC Avant Garde" w:hAnsi="ITC Avant Garde"/>
          <w:bCs/>
          <w:color w:val="000000"/>
          <w:lang w:eastAsia="es-MX"/>
        </w:rPr>
        <w:t xml:space="preserve">al como quedó señalado en el Considerando Primero, el Instituto es la autoridad en materia de competencia económica de los sectores de radiodifusión y telecomunicaciones, por lo que atendiendo </w:t>
      </w:r>
      <w:r w:rsidR="00464F8B" w:rsidRPr="00DC1F83">
        <w:rPr>
          <w:rFonts w:ascii="ITC Avant Garde" w:hAnsi="ITC Avant Garde" w:cs="Tahoma"/>
          <w:bCs/>
          <w:lang w:eastAsia="es-MX"/>
        </w:rPr>
        <w:t>a lo dispuesto por el artículo 33 fracción II del Estatuto, mediante oficios IFT/223/UCS/DG-CTEL/</w:t>
      </w:r>
      <w:r w:rsidR="00B74171" w:rsidRPr="00DC1F83">
        <w:rPr>
          <w:rFonts w:ascii="ITC Avant Garde" w:hAnsi="ITC Avant Garde" w:cs="Tahoma"/>
          <w:bCs/>
          <w:lang w:eastAsia="es-MX"/>
        </w:rPr>
        <w:t>278</w:t>
      </w:r>
      <w:r w:rsidR="00464F8B" w:rsidRPr="00DC1F83">
        <w:rPr>
          <w:rFonts w:ascii="ITC Avant Garde" w:hAnsi="ITC Avant Garde" w:cs="Tahoma"/>
          <w:bCs/>
          <w:lang w:eastAsia="es-MX"/>
        </w:rPr>
        <w:t>/2014</w:t>
      </w:r>
      <w:r w:rsidR="00B74171" w:rsidRPr="00DC1F83">
        <w:rPr>
          <w:rFonts w:ascii="ITC Avant Garde" w:hAnsi="ITC Avant Garde" w:cs="Tahoma"/>
          <w:bCs/>
          <w:lang w:eastAsia="es-MX"/>
        </w:rPr>
        <w:t xml:space="preserve">, IFT/223/UCS/DG-CTEL/279/2014, IFT/223/UCS/DG-CTEL/280/2014, IFT/223/UCS/DG-CTEL/281/2014, IFT/223/UCS/DG-CTEL/282/2014, IFT/223/UCS/DG-CTEL/283/2014, IFT/223/UCS/DG-CTEL/284/2014, IFT/223/UCS/DG-CTEL/285/2014 </w:t>
      </w:r>
      <w:r w:rsidR="0011493D" w:rsidRPr="00DC1F83">
        <w:rPr>
          <w:rFonts w:ascii="ITC Avant Garde" w:hAnsi="ITC Avant Garde" w:cs="Tahoma"/>
          <w:bCs/>
          <w:lang w:eastAsia="es-MX"/>
        </w:rPr>
        <w:t>e</w:t>
      </w:r>
      <w:r w:rsidR="00B74171" w:rsidRPr="00DC1F83">
        <w:rPr>
          <w:rFonts w:ascii="ITC Avant Garde" w:hAnsi="ITC Avant Garde" w:cs="Tahoma"/>
          <w:bCs/>
          <w:lang w:eastAsia="es-MX"/>
        </w:rPr>
        <w:t xml:space="preserve"> IFT/223/UCS/DG-CTEL/286/2014, </w:t>
      </w:r>
      <w:r w:rsidR="0011493D" w:rsidRPr="00DC1F83">
        <w:rPr>
          <w:rFonts w:ascii="ITC Avant Garde" w:hAnsi="ITC Avant Garde" w:cs="Tahoma"/>
          <w:bCs/>
          <w:lang w:eastAsia="es-MX"/>
        </w:rPr>
        <w:t xml:space="preserve">todos </w:t>
      </w:r>
      <w:r w:rsidR="00B74171" w:rsidRPr="00DC1F83">
        <w:rPr>
          <w:rFonts w:ascii="ITC Avant Garde" w:hAnsi="ITC Avant Garde" w:cs="Tahoma"/>
          <w:bCs/>
          <w:lang w:eastAsia="es-MX"/>
        </w:rPr>
        <w:t>de fecha 12 de</w:t>
      </w:r>
      <w:r w:rsidR="00464F8B" w:rsidRPr="00DC1F83">
        <w:rPr>
          <w:rFonts w:ascii="ITC Avant Garde" w:hAnsi="ITC Avant Garde" w:cs="Tahoma"/>
          <w:bCs/>
          <w:lang w:eastAsia="es-MX"/>
        </w:rPr>
        <w:t xml:space="preserve"> noviembre de 2014, la Unidad de Concesiones y Servicios, a través de la Dirección General de Concesiones de Telecomunicaciones, solicitó opinión a la Unidad de Competencia Económica, respecto de la</w:t>
      </w:r>
      <w:r w:rsidR="0011493D" w:rsidRPr="00DC1F83">
        <w:rPr>
          <w:rFonts w:ascii="ITC Avant Garde" w:hAnsi="ITC Avant Garde" w:cs="Tahoma"/>
          <w:bCs/>
          <w:lang w:eastAsia="es-MX"/>
        </w:rPr>
        <w:t>s</w:t>
      </w:r>
      <w:r w:rsidR="00464F8B" w:rsidRPr="00DC1F83">
        <w:rPr>
          <w:rFonts w:ascii="ITC Avant Garde" w:hAnsi="ITC Avant Garde" w:cs="Tahoma"/>
          <w:bCs/>
          <w:lang w:eastAsia="es-MX"/>
        </w:rPr>
        <w:t xml:space="preserve"> Solicitud</w:t>
      </w:r>
      <w:r w:rsidR="0011493D" w:rsidRPr="00DC1F83">
        <w:rPr>
          <w:rFonts w:ascii="ITC Avant Garde" w:hAnsi="ITC Avant Garde" w:cs="Tahoma"/>
          <w:bCs/>
          <w:lang w:eastAsia="es-MX"/>
        </w:rPr>
        <w:t>es</w:t>
      </w:r>
      <w:r w:rsidR="00464F8B" w:rsidRPr="00DC1F83">
        <w:rPr>
          <w:rFonts w:ascii="ITC Avant Garde" w:hAnsi="ITC Avant Garde" w:cs="Tahoma"/>
          <w:bCs/>
          <w:lang w:eastAsia="es-MX"/>
        </w:rPr>
        <w:t xml:space="preserve"> de Prórroga.</w:t>
      </w:r>
    </w:p>
    <w:p w14:paraId="764BEEB2" w14:textId="77777777" w:rsidR="00DC1F83" w:rsidRPr="00DC1F83" w:rsidRDefault="00464F8B" w:rsidP="00DC1F83">
      <w:pPr>
        <w:autoSpaceDE w:val="0"/>
        <w:autoSpaceDN w:val="0"/>
        <w:adjustRightInd w:val="0"/>
        <w:spacing w:before="240" w:line="240" w:lineRule="auto"/>
        <w:jc w:val="both"/>
        <w:rPr>
          <w:rFonts w:ascii="ITC Avant Garde" w:hAnsi="ITC Avant Garde" w:cs="Tahoma"/>
          <w:bCs/>
          <w:color w:val="000000" w:themeColor="text1"/>
          <w:lang w:eastAsia="es-MX"/>
        </w:rPr>
      </w:pPr>
      <w:r w:rsidRPr="00DC1F83">
        <w:rPr>
          <w:rFonts w:ascii="ITC Avant Garde" w:hAnsi="ITC Avant Garde" w:cs="Tahoma"/>
          <w:bCs/>
          <w:color w:val="000000" w:themeColor="text1"/>
          <w:lang w:eastAsia="es-MX"/>
        </w:rPr>
        <w:t>En respuesta a lo anterior, mediante oficio IFT/226/UCE/DG-CCON/063/2015 de fecha 8 de mayo de 2015, la Dirección General de Concentraciones y Concesiones</w:t>
      </w:r>
      <w:r w:rsidR="00327D25" w:rsidRPr="00DC1F83">
        <w:rPr>
          <w:rFonts w:ascii="ITC Avant Garde" w:hAnsi="ITC Avant Garde" w:cs="Tahoma"/>
          <w:bCs/>
          <w:color w:val="000000" w:themeColor="text1"/>
          <w:lang w:eastAsia="es-MX"/>
        </w:rPr>
        <w:t>, adscrita a la Unidad de Competencia Económica del Instituto,</w:t>
      </w:r>
      <w:r w:rsidRPr="00DC1F83">
        <w:rPr>
          <w:rFonts w:ascii="ITC Avant Garde" w:hAnsi="ITC Avant Garde" w:cs="Tahoma"/>
          <w:bCs/>
          <w:color w:val="000000" w:themeColor="text1"/>
          <w:lang w:eastAsia="es-MX"/>
        </w:rPr>
        <w:t xml:space="preserve"> emitió opinión respecto de la</w:t>
      </w:r>
      <w:r w:rsidR="00820B0A" w:rsidRPr="00DC1F83">
        <w:rPr>
          <w:rFonts w:ascii="ITC Avant Garde" w:hAnsi="ITC Avant Garde" w:cs="Tahoma"/>
          <w:bCs/>
          <w:color w:val="000000" w:themeColor="text1"/>
          <w:lang w:eastAsia="es-MX"/>
        </w:rPr>
        <w:t>s</w:t>
      </w:r>
      <w:r w:rsidRPr="00DC1F83">
        <w:rPr>
          <w:rFonts w:ascii="ITC Avant Garde" w:hAnsi="ITC Avant Garde" w:cs="Tahoma"/>
          <w:bCs/>
          <w:color w:val="000000" w:themeColor="text1"/>
          <w:lang w:eastAsia="es-MX"/>
        </w:rPr>
        <w:t xml:space="preserve"> Solicitud</w:t>
      </w:r>
      <w:r w:rsidR="00820B0A" w:rsidRPr="00DC1F83">
        <w:rPr>
          <w:rFonts w:ascii="ITC Avant Garde" w:hAnsi="ITC Avant Garde" w:cs="Tahoma"/>
          <w:bCs/>
          <w:color w:val="000000" w:themeColor="text1"/>
          <w:lang w:eastAsia="es-MX"/>
        </w:rPr>
        <w:t>es</w:t>
      </w:r>
      <w:r w:rsidRPr="00DC1F83">
        <w:rPr>
          <w:rFonts w:ascii="ITC Avant Garde" w:hAnsi="ITC Avant Garde" w:cs="Tahoma"/>
          <w:bCs/>
          <w:color w:val="000000" w:themeColor="text1"/>
          <w:lang w:eastAsia="es-MX"/>
        </w:rPr>
        <w:t xml:space="preserve"> de Prórroga, en la que manifestó</w:t>
      </w:r>
      <w:r w:rsidR="0011493D" w:rsidRPr="00DC1F83">
        <w:rPr>
          <w:rFonts w:ascii="ITC Avant Garde" w:hAnsi="ITC Avant Garde" w:cs="Tahoma"/>
          <w:bCs/>
          <w:color w:val="000000" w:themeColor="text1"/>
          <w:lang w:eastAsia="es-MX"/>
        </w:rPr>
        <w:t>,</w:t>
      </w:r>
      <w:r w:rsidRPr="00DC1F83">
        <w:rPr>
          <w:rFonts w:ascii="ITC Avant Garde" w:hAnsi="ITC Avant Garde" w:cs="Tahoma"/>
          <w:bCs/>
          <w:color w:val="000000" w:themeColor="text1"/>
          <w:lang w:eastAsia="es-MX"/>
        </w:rPr>
        <w:t xml:space="preserve"> entre otros aspectos, lo siguiente:</w:t>
      </w:r>
    </w:p>
    <w:p w14:paraId="5D0940B0" w14:textId="77777777" w:rsidR="00DC1F83" w:rsidRPr="00DC1F83" w:rsidRDefault="00464F8B" w:rsidP="00DC1F83">
      <w:pPr>
        <w:spacing w:before="240" w:line="240" w:lineRule="auto"/>
        <w:ind w:left="567" w:right="618"/>
        <w:jc w:val="both"/>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w:t>
      </w:r>
    </w:p>
    <w:p w14:paraId="0D4EF226" w14:textId="5A11196D" w:rsidR="00464F8B" w:rsidRPr="00DC1F83" w:rsidRDefault="00464F8B" w:rsidP="00DC1F83">
      <w:pPr>
        <w:spacing w:before="240" w:line="240" w:lineRule="auto"/>
        <w:ind w:left="567" w:right="618"/>
        <w:jc w:val="both"/>
        <w:rPr>
          <w:rFonts w:ascii="ITC Avant Garde" w:hAnsi="ITC Avant Garde"/>
          <w:b/>
          <w:bCs/>
          <w:color w:val="000000"/>
          <w:sz w:val="18"/>
          <w:szCs w:val="18"/>
          <w:lang w:eastAsia="es-MX"/>
        </w:rPr>
      </w:pPr>
      <w:r w:rsidRPr="00DC1F83">
        <w:rPr>
          <w:rFonts w:ascii="ITC Avant Garde" w:hAnsi="ITC Avant Garde"/>
          <w:b/>
          <w:bCs/>
          <w:color w:val="000000"/>
          <w:sz w:val="18"/>
          <w:szCs w:val="18"/>
          <w:lang w:eastAsia="es-MX"/>
        </w:rPr>
        <w:t>Cuadro 1. Solicitudes de Prórroga analizadas</w:t>
      </w:r>
    </w:p>
    <w:tbl>
      <w:tblPr>
        <w:tblStyle w:val="Tablaconcuadrcula1"/>
        <w:tblW w:w="8364" w:type="dxa"/>
        <w:jc w:val="center"/>
        <w:tblLayout w:type="fixed"/>
        <w:tblLook w:val="04A0" w:firstRow="1" w:lastRow="0" w:firstColumn="1" w:lastColumn="0" w:noHBand="0" w:noVBand="1"/>
        <w:tblCaption w:val="Cuadro 1. Solicitudes de Prórroga analizadas"/>
        <w:tblDescription w:val="En una tabla de 5 columnas, se proporcionan los datos de las solicitudes de prórroga analizadas. "/>
      </w:tblPr>
      <w:tblGrid>
        <w:gridCol w:w="1129"/>
        <w:gridCol w:w="1560"/>
        <w:gridCol w:w="2131"/>
        <w:gridCol w:w="1276"/>
        <w:gridCol w:w="2268"/>
      </w:tblGrid>
      <w:tr w:rsidR="00464F8B" w:rsidRPr="00DC1F83" w14:paraId="737A0893" w14:textId="77777777" w:rsidTr="00DC1F83">
        <w:trPr>
          <w:trHeight w:val="182"/>
          <w:tblHeader/>
          <w:jc w:val="center"/>
        </w:trPr>
        <w:tc>
          <w:tcPr>
            <w:tcW w:w="1129" w:type="dxa"/>
            <w:shd w:val="clear" w:color="auto" w:fill="A6A6A6" w:themeFill="background1" w:themeFillShade="A6"/>
            <w:vAlign w:val="center"/>
          </w:tcPr>
          <w:p w14:paraId="74679A77" w14:textId="13C75249" w:rsidR="00464F8B" w:rsidRPr="00DC1F83" w:rsidRDefault="00712778" w:rsidP="00DC1F83">
            <w:pPr>
              <w:tabs>
                <w:tab w:val="left" w:pos="0"/>
              </w:tabs>
              <w:spacing w:after="0" w:line="240" w:lineRule="auto"/>
              <w:ind w:right="618"/>
              <w:jc w:val="center"/>
              <w:rPr>
                <w:rFonts w:ascii="ITC Avant Garde" w:hAnsi="ITC Avant Garde"/>
                <w:b/>
                <w:bCs/>
                <w:sz w:val="12"/>
                <w:szCs w:val="12"/>
                <w:lang w:eastAsia="es-MX"/>
              </w:rPr>
            </w:pPr>
            <w:r w:rsidRPr="00DC1F83">
              <w:rPr>
                <w:rFonts w:ascii="ITC Avant Garde" w:hAnsi="ITC Avant Garde"/>
                <w:b/>
                <w:bCs/>
                <w:sz w:val="12"/>
                <w:szCs w:val="12"/>
                <w:lang w:eastAsia="es-MX"/>
              </w:rPr>
              <w:t>No</w:t>
            </w:r>
          </w:p>
        </w:tc>
        <w:tc>
          <w:tcPr>
            <w:tcW w:w="1560" w:type="dxa"/>
            <w:shd w:val="clear" w:color="auto" w:fill="A6A6A6" w:themeFill="background1" w:themeFillShade="A6"/>
            <w:vAlign w:val="center"/>
          </w:tcPr>
          <w:p w14:paraId="459DBA3F" w14:textId="77777777" w:rsidR="00464F8B" w:rsidRPr="00DC1F83" w:rsidRDefault="00464F8B" w:rsidP="00DC1F83">
            <w:pPr>
              <w:spacing w:after="0" w:line="240" w:lineRule="auto"/>
              <w:ind w:right="618"/>
              <w:jc w:val="center"/>
              <w:rPr>
                <w:rFonts w:ascii="ITC Avant Garde" w:hAnsi="ITC Avant Garde"/>
                <w:b/>
                <w:bCs/>
                <w:sz w:val="12"/>
                <w:szCs w:val="12"/>
                <w:lang w:eastAsia="es-MX"/>
              </w:rPr>
            </w:pPr>
            <w:r w:rsidRPr="00DC1F83">
              <w:rPr>
                <w:rFonts w:ascii="ITC Avant Garde" w:hAnsi="ITC Avant Garde"/>
                <w:b/>
                <w:bCs/>
                <w:sz w:val="12"/>
                <w:szCs w:val="12"/>
                <w:lang w:eastAsia="es-MX"/>
              </w:rPr>
              <w:t>Concesión</w:t>
            </w:r>
          </w:p>
        </w:tc>
        <w:tc>
          <w:tcPr>
            <w:tcW w:w="2131" w:type="dxa"/>
            <w:shd w:val="clear" w:color="auto" w:fill="A6A6A6" w:themeFill="background1" w:themeFillShade="A6"/>
            <w:vAlign w:val="center"/>
          </w:tcPr>
          <w:p w14:paraId="4EFED5D5" w14:textId="77777777" w:rsidR="00464F8B" w:rsidRPr="00DC1F83" w:rsidRDefault="00464F8B" w:rsidP="00DC1F83">
            <w:pPr>
              <w:spacing w:after="0" w:line="240" w:lineRule="auto"/>
              <w:ind w:right="618"/>
              <w:jc w:val="center"/>
              <w:rPr>
                <w:rFonts w:ascii="ITC Avant Garde" w:hAnsi="ITC Avant Garde"/>
                <w:b/>
                <w:bCs/>
                <w:sz w:val="12"/>
                <w:szCs w:val="12"/>
                <w:lang w:eastAsia="es-MX"/>
              </w:rPr>
            </w:pPr>
            <w:r w:rsidRPr="00DC1F83">
              <w:rPr>
                <w:rFonts w:ascii="ITC Avant Garde" w:hAnsi="ITC Avant Garde"/>
                <w:b/>
                <w:bCs/>
                <w:sz w:val="12"/>
                <w:szCs w:val="12"/>
                <w:lang w:eastAsia="es-MX"/>
              </w:rPr>
              <w:t>Servicios autorizados</w:t>
            </w:r>
          </w:p>
        </w:tc>
        <w:tc>
          <w:tcPr>
            <w:tcW w:w="1276" w:type="dxa"/>
            <w:shd w:val="clear" w:color="auto" w:fill="A6A6A6" w:themeFill="background1" w:themeFillShade="A6"/>
            <w:vAlign w:val="center"/>
          </w:tcPr>
          <w:p w14:paraId="215E2924" w14:textId="77777777" w:rsidR="00464F8B" w:rsidRPr="00DC1F83" w:rsidRDefault="00464F8B" w:rsidP="00DC1F83">
            <w:pPr>
              <w:spacing w:after="0" w:line="240" w:lineRule="auto"/>
              <w:ind w:right="151"/>
              <w:jc w:val="center"/>
              <w:rPr>
                <w:rFonts w:ascii="ITC Avant Garde" w:hAnsi="ITC Avant Garde"/>
                <w:b/>
                <w:bCs/>
                <w:sz w:val="12"/>
                <w:szCs w:val="12"/>
                <w:lang w:eastAsia="es-MX"/>
              </w:rPr>
            </w:pPr>
            <w:r w:rsidRPr="00DC1F83">
              <w:rPr>
                <w:rFonts w:ascii="ITC Avant Garde" w:hAnsi="ITC Avant Garde"/>
                <w:b/>
                <w:bCs/>
                <w:sz w:val="12"/>
                <w:szCs w:val="12"/>
                <w:lang w:eastAsia="es-MX"/>
              </w:rPr>
              <w:t>Cobertura</w:t>
            </w:r>
          </w:p>
        </w:tc>
        <w:tc>
          <w:tcPr>
            <w:tcW w:w="2268" w:type="dxa"/>
            <w:shd w:val="clear" w:color="auto" w:fill="A6A6A6" w:themeFill="background1" w:themeFillShade="A6"/>
            <w:vAlign w:val="center"/>
          </w:tcPr>
          <w:p w14:paraId="345D1EF9" w14:textId="77777777" w:rsidR="00464F8B" w:rsidRPr="00DC1F83" w:rsidRDefault="00464F8B" w:rsidP="00DC1F83">
            <w:pPr>
              <w:spacing w:after="0" w:line="240" w:lineRule="auto"/>
              <w:ind w:right="156"/>
              <w:jc w:val="center"/>
              <w:rPr>
                <w:rFonts w:ascii="ITC Avant Garde" w:hAnsi="ITC Avant Garde"/>
                <w:b/>
                <w:bCs/>
                <w:sz w:val="12"/>
                <w:szCs w:val="12"/>
                <w:lang w:eastAsia="es-MX"/>
              </w:rPr>
            </w:pPr>
            <w:r w:rsidRPr="00DC1F83">
              <w:rPr>
                <w:rFonts w:ascii="ITC Avant Garde" w:hAnsi="ITC Avant Garde"/>
                <w:b/>
                <w:bCs/>
                <w:sz w:val="12"/>
                <w:szCs w:val="12"/>
                <w:lang w:eastAsia="es-MX"/>
              </w:rPr>
              <w:t>Vigencia</w:t>
            </w:r>
          </w:p>
        </w:tc>
      </w:tr>
      <w:tr w:rsidR="00464F8B" w:rsidRPr="00DC1F83" w14:paraId="28BFE721" w14:textId="77777777" w:rsidTr="00DC1F83">
        <w:trPr>
          <w:trHeight w:val="174"/>
          <w:jc w:val="center"/>
        </w:trPr>
        <w:tc>
          <w:tcPr>
            <w:tcW w:w="1129" w:type="dxa"/>
          </w:tcPr>
          <w:p w14:paraId="2BA7F29A" w14:textId="2FDFA12B" w:rsidR="00464F8B" w:rsidRPr="00DC1F83" w:rsidRDefault="0024209B" w:rsidP="00DC1F83">
            <w:pPr>
              <w:tabs>
                <w:tab w:val="left" w:pos="29"/>
              </w:tabs>
              <w:spacing w:after="0" w:line="240" w:lineRule="auto"/>
              <w:ind w:right="85"/>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1</w:t>
            </w:r>
          </w:p>
        </w:tc>
        <w:tc>
          <w:tcPr>
            <w:tcW w:w="1560" w:type="dxa"/>
          </w:tcPr>
          <w:p w14:paraId="6512D9E1" w14:textId="3136AD30" w:rsidR="00464F8B" w:rsidRPr="00DC1F83" w:rsidRDefault="0024209B" w:rsidP="00DC1F83">
            <w:pPr>
              <w:spacing w:after="0" w:line="240" w:lineRule="auto"/>
              <w:ind w:right="1"/>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Concesión para aprovechar bandas de espectro en la banda de 1900 MHz</w:t>
            </w:r>
          </w:p>
        </w:tc>
        <w:tc>
          <w:tcPr>
            <w:tcW w:w="2131" w:type="dxa"/>
          </w:tcPr>
          <w:p w14:paraId="1F3D8813" w14:textId="199ED79E" w:rsidR="00464F8B" w:rsidRPr="00DC1F83" w:rsidRDefault="0024209B" w:rsidP="00DC1F83">
            <w:pPr>
              <w:spacing w:after="0" w:line="240" w:lineRule="auto"/>
              <w:ind w:right="33"/>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Acceso inalámbrico fijo o móvil</w:t>
            </w:r>
          </w:p>
        </w:tc>
        <w:tc>
          <w:tcPr>
            <w:tcW w:w="1276" w:type="dxa"/>
          </w:tcPr>
          <w:p w14:paraId="1699F3A2" w14:textId="7DC27F51" w:rsidR="00464F8B" w:rsidRPr="00DC1F83" w:rsidRDefault="0024209B"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Región 1</w:t>
            </w:r>
          </w:p>
        </w:tc>
        <w:tc>
          <w:tcPr>
            <w:tcW w:w="2268" w:type="dxa"/>
          </w:tcPr>
          <w:p w14:paraId="7FF2C3C0" w14:textId="09685E6D" w:rsidR="0024209B" w:rsidRPr="00DC1F83" w:rsidRDefault="0024209B" w:rsidP="00DC1F83">
            <w:pPr>
              <w:spacing w:after="0" w:line="240" w:lineRule="auto"/>
              <w:ind w:right="14"/>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Otorgamiento: 27/09/1999</w:t>
            </w:r>
          </w:p>
          <w:p w14:paraId="55CFB52F" w14:textId="450C1A5C" w:rsidR="0024209B" w:rsidRPr="00DC1F83" w:rsidRDefault="0024209B"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Vencimiento: 20/10/2019</w:t>
            </w:r>
          </w:p>
          <w:p w14:paraId="1C66B520" w14:textId="77777777" w:rsidR="0024209B" w:rsidRPr="00DC1F83" w:rsidRDefault="0024209B"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Solicitud de prórroga:</w:t>
            </w:r>
          </w:p>
          <w:p w14:paraId="2B244034" w14:textId="299B4C19" w:rsidR="00464F8B" w:rsidRPr="00DC1F83" w:rsidRDefault="0024209B"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03/11/2014</w:t>
            </w:r>
          </w:p>
        </w:tc>
      </w:tr>
      <w:tr w:rsidR="0024209B" w:rsidRPr="00DC1F83" w14:paraId="534B859F" w14:textId="77777777" w:rsidTr="00DC1F83">
        <w:trPr>
          <w:trHeight w:val="174"/>
          <w:jc w:val="center"/>
        </w:trPr>
        <w:tc>
          <w:tcPr>
            <w:tcW w:w="1129" w:type="dxa"/>
          </w:tcPr>
          <w:p w14:paraId="69AEC30E" w14:textId="1351F816" w:rsidR="0024209B" w:rsidRPr="00DC1F83" w:rsidRDefault="0024209B" w:rsidP="00DC1F83">
            <w:pPr>
              <w:tabs>
                <w:tab w:val="left" w:pos="29"/>
              </w:tabs>
              <w:spacing w:after="0" w:line="240" w:lineRule="auto"/>
              <w:ind w:right="85"/>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2</w:t>
            </w:r>
          </w:p>
        </w:tc>
        <w:tc>
          <w:tcPr>
            <w:tcW w:w="1560" w:type="dxa"/>
          </w:tcPr>
          <w:p w14:paraId="707DE0C7" w14:textId="34E9E837" w:rsidR="0024209B" w:rsidRPr="00DC1F83" w:rsidRDefault="00856852" w:rsidP="00DC1F83">
            <w:pPr>
              <w:spacing w:after="0" w:line="240" w:lineRule="auto"/>
              <w:ind w:right="33"/>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Concesión para aprovechar bandas de espectro en la banda de 1900 MHz</w:t>
            </w:r>
          </w:p>
        </w:tc>
        <w:tc>
          <w:tcPr>
            <w:tcW w:w="2131" w:type="dxa"/>
          </w:tcPr>
          <w:p w14:paraId="28251354" w14:textId="581470D2" w:rsidR="0024209B" w:rsidRPr="00DC1F83" w:rsidRDefault="00856852" w:rsidP="00DC1F83">
            <w:pPr>
              <w:spacing w:after="0" w:line="240" w:lineRule="auto"/>
              <w:ind w:right="33"/>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Acceso inalámbrico fijo o móvil</w:t>
            </w:r>
          </w:p>
        </w:tc>
        <w:tc>
          <w:tcPr>
            <w:tcW w:w="1276" w:type="dxa"/>
          </w:tcPr>
          <w:p w14:paraId="316339AF" w14:textId="5655017F" w:rsidR="0024209B"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Región 2</w:t>
            </w:r>
          </w:p>
        </w:tc>
        <w:tc>
          <w:tcPr>
            <w:tcW w:w="2268" w:type="dxa"/>
          </w:tcPr>
          <w:p w14:paraId="4F779DD7" w14:textId="77777777" w:rsidR="00856852" w:rsidRPr="00DC1F83" w:rsidRDefault="00856852" w:rsidP="00DC1F83">
            <w:pPr>
              <w:spacing w:after="0" w:line="240" w:lineRule="auto"/>
              <w:ind w:right="14"/>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Otorgamiento: 27/09/1999</w:t>
            </w:r>
          </w:p>
          <w:p w14:paraId="3AEF2BE1" w14:textId="77777777" w:rsidR="00856852"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Vencimiento: 20/10/2019</w:t>
            </w:r>
          </w:p>
          <w:p w14:paraId="04732A5D" w14:textId="77777777" w:rsidR="00856852"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Solicitud de prórroga:</w:t>
            </w:r>
          </w:p>
          <w:p w14:paraId="46A8C2F2" w14:textId="512CDA2C" w:rsidR="0024209B" w:rsidRPr="00DC1F83" w:rsidRDefault="00856852" w:rsidP="00DC1F83">
            <w:pPr>
              <w:spacing w:after="0" w:line="240" w:lineRule="auto"/>
              <w:ind w:right="618"/>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03/11/2014</w:t>
            </w:r>
          </w:p>
        </w:tc>
      </w:tr>
      <w:tr w:rsidR="0024209B" w:rsidRPr="00DC1F83" w14:paraId="3655D533" w14:textId="77777777" w:rsidTr="00DC1F83">
        <w:trPr>
          <w:trHeight w:val="174"/>
          <w:jc w:val="center"/>
        </w:trPr>
        <w:tc>
          <w:tcPr>
            <w:tcW w:w="1129" w:type="dxa"/>
          </w:tcPr>
          <w:p w14:paraId="32251C1D" w14:textId="4AA716DE" w:rsidR="0024209B" w:rsidRPr="00DC1F83" w:rsidRDefault="0024209B" w:rsidP="00DC1F83">
            <w:pPr>
              <w:tabs>
                <w:tab w:val="left" w:pos="29"/>
              </w:tabs>
              <w:spacing w:after="0" w:line="240" w:lineRule="auto"/>
              <w:ind w:right="85"/>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3</w:t>
            </w:r>
          </w:p>
        </w:tc>
        <w:tc>
          <w:tcPr>
            <w:tcW w:w="1560" w:type="dxa"/>
          </w:tcPr>
          <w:p w14:paraId="54B4456C" w14:textId="0C7E5901" w:rsidR="0024209B"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 xml:space="preserve">Concesión para aprovechar bandas </w:t>
            </w:r>
            <w:r w:rsidRPr="00DC1F83">
              <w:rPr>
                <w:rFonts w:ascii="ITC Avant Garde" w:hAnsi="ITC Avant Garde"/>
                <w:bCs/>
                <w:color w:val="000000"/>
                <w:sz w:val="12"/>
                <w:szCs w:val="12"/>
                <w:lang w:eastAsia="es-MX"/>
              </w:rPr>
              <w:lastRenderedPageBreak/>
              <w:t>de espectro en la banda de 1900 MHz</w:t>
            </w:r>
          </w:p>
        </w:tc>
        <w:tc>
          <w:tcPr>
            <w:tcW w:w="2131" w:type="dxa"/>
          </w:tcPr>
          <w:p w14:paraId="22D8259D" w14:textId="60B11404" w:rsidR="0024209B" w:rsidRPr="00DC1F83" w:rsidRDefault="00856852" w:rsidP="00DC1F83">
            <w:pPr>
              <w:spacing w:after="0" w:line="240" w:lineRule="auto"/>
              <w:ind w:right="33"/>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lastRenderedPageBreak/>
              <w:t>Acceso inalámbrico fijo o móvil</w:t>
            </w:r>
          </w:p>
        </w:tc>
        <w:tc>
          <w:tcPr>
            <w:tcW w:w="1276" w:type="dxa"/>
          </w:tcPr>
          <w:p w14:paraId="5927C8A8" w14:textId="7DB5AB50" w:rsidR="0024209B"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Región 3</w:t>
            </w:r>
          </w:p>
        </w:tc>
        <w:tc>
          <w:tcPr>
            <w:tcW w:w="2268" w:type="dxa"/>
          </w:tcPr>
          <w:p w14:paraId="40BAA027" w14:textId="77777777" w:rsidR="00856852" w:rsidRPr="00DC1F83" w:rsidRDefault="00856852" w:rsidP="00DC1F83">
            <w:pPr>
              <w:spacing w:after="0" w:line="240" w:lineRule="auto"/>
              <w:ind w:right="14"/>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Otorgamiento: 27/09/1999</w:t>
            </w:r>
          </w:p>
          <w:p w14:paraId="529ECDA9" w14:textId="77777777" w:rsidR="00856852"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Vencimiento: 20/10/2019</w:t>
            </w:r>
          </w:p>
          <w:p w14:paraId="3144AFE7" w14:textId="77777777" w:rsidR="00856852"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Solicitud de prórroga:</w:t>
            </w:r>
          </w:p>
          <w:p w14:paraId="6649BFF4" w14:textId="331CECC9" w:rsidR="0024209B" w:rsidRPr="00DC1F83" w:rsidRDefault="00856852" w:rsidP="00DC1F83">
            <w:pPr>
              <w:spacing w:after="0" w:line="240" w:lineRule="auto"/>
              <w:ind w:right="618"/>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lastRenderedPageBreak/>
              <w:t>03/11/2014</w:t>
            </w:r>
          </w:p>
        </w:tc>
      </w:tr>
      <w:tr w:rsidR="0024209B" w:rsidRPr="00DC1F83" w14:paraId="2F6A22D5" w14:textId="77777777" w:rsidTr="00DC1F83">
        <w:trPr>
          <w:trHeight w:val="174"/>
          <w:jc w:val="center"/>
        </w:trPr>
        <w:tc>
          <w:tcPr>
            <w:tcW w:w="1129" w:type="dxa"/>
          </w:tcPr>
          <w:p w14:paraId="7E07D821" w14:textId="0725294E" w:rsidR="0024209B" w:rsidRPr="00DC1F83" w:rsidRDefault="0024209B" w:rsidP="00DC1F83">
            <w:pPr>
              <w:tabs>
                <w:tab w:val="left" w:pos="29"/>
              </w:tabs>
              <w:spacing w:after="0" w:line="240" w:lineRule="auto"/>
              <w:ind w:right="85"/>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lastRenderedPageBreak/>
              <w:t>4</w:t>
            </w:r>
          </w:p>
        </w:tc>
        <w:tc>
          <w:tcPr>
            <w:tcW w:w="1560" w:type="dxa"/>
          </w:tcPr>
          <w:p w14:paraId="0DFB530B" w14:textId="662938BA" w:rsidR="0024209B" w:rsidRPr="00DC1F83" w:rsidRDefault="00856852" w:rsidP="00DC1F83">
            <w:pPr>
              <w:spacing w:after="0" w:line="240" w:lineRule="auto"/>
              <w:ind w:right="33"/>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Concesión para aprovechar bandas de espectro en la banda de 1900 MHz</w:t>
            </w:r>
          </w:p>
        </w:tc>
        <w:tc>
          <w:tcPr>
            <w:tcW w:w="2131" w:type="dxa"/>
          </w:tcPr>
          <w:p w14:paraId="7DAD7395" w14:textId="3AC1516F" w:rsidR="0024209B" w:rsidRPr="00DC1F83" w:rsidRDefault="00856852" w:rsidP="00DC1F83">
            <w:pPr>
              <w:spacing w:after="0" w:line="240" w:lineRule="auto"/>
              <w:ind w:right="33"/>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Acceso inalámbrico fijo o móvil</w:t>
            </w:r>
          </w:p>
        </w:tc>
        <w:tc>
          <w:tcPr>
            <w:tcW w:w="1276" w:type="dxa"/>
          </w:tcPr>
          <w:p w14:paraId="023809E1" w14:textId="0F47FDB7" w:rsidR="0024209B"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Región 4</w:t>
            </w:r>
          </w:p>
        </w:tc>
        <w:tc>
          <w:tcPr>
            <w:tcW w:w="2268" w:type="dxa"/>
          </w:tcPr>
          <w:p w14:paraId="77B4B9E0" w14:textId="77777777" w:rsidR="00856852" w:rsidRPr="00DC1F83" w:rsidRDefault="00856852" w:rsidP="00DC1F83">
            <w:pPr>
              <w:spacing w:after="0" w:line="240" w:lineRule="auto"/>
              <w:ind w:right="14"/>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Otorgamiento: 27/09/1999</w:t>
            </w:r>
          </w:p>
          <w:p w14:paraId="6B4BC4ED" w14:textId="77777777" w:rsidR="00856852"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Vencimiento: 20/10/2019</w:t>
            </w:r>
          </w:p>
          <w:p w14:paraId="54CEB05B" w14:textId="77777777" w:rsidR="00856852"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Solicitud de prórroga:</w:t>
            </w:r>
          </w:p>
          <w:p w14:paraId="3ADF9BD6" w14:textId="1850816E" w:rsidR="0024209B" w:rsidRPr="00DC1F83" w:rsidRDefault="00856852" w:rsidP="00DC1F83">
            <w:pPr>
              <w:spacing w:after="0" w:line="240" w:lineRule="auto"/>
              <w:ind w:right="618"/>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03/11/2014</w:t>
            </w:r>
          </w:p>
        </w:tc>
      </w:tr>
      <w:tr w:rsidR="0024209B" w:rsidRPr="00DC1F83" w14:paraId="50F9B234" w14:textId="77777777" w:rsidTr="00DC1F83">
        <w:trPr>
          <w:trHeight w:val="174"/>
          <w:jc w:val="center"/>
        </w:trPr>
        <w:tc>
          <w:tcPr>
            <w:tcW w:w="1129" w:type="dxa"/>
          </w:tcPr>
          <w:p w14:paraId="77C80E0D" w14:textId="37AE42F8" w:rsidR="0024209B" w:rsidRPr="00DC1F83" w:rsidRDefault="0024209B" w:rsidP="00DC1F83">
            <w:pPr>
              <w:tabs>
                <w:tab w:val="left" w:pos="29"/>
              </w:tabs>
              <w:spacing w:after="0" w:line="240" w:lineRule="auto"/>
              <w:ind w:right="85"/>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5</w:t>
            </w:r>
          </w:p>
        </w:tc>
        <w:tc>
          <w:tcPr>
            <w:tcW w:w="1560" w:type="dxa"/>
          </w:tcPr>
          <w:p w14:paraId="50D0081A" w14:textId="56722EB5" w:rsidR="0024209B" w:rsidRPr="00DC1F83" w:rsidRDefault="00856852" w:rsidP="00DC1F83">
            <w:pPr>
              <w:spacing w:after="0" w:line="240" w:lineRule="auto"/>
              <w:ind w:right="33"/>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Concesión para aprovechar bandas de espectro en la banda de 1900 MHz</w:t>
            </w:r>
          </w:p>
        </w:tc>
        <w:tc>
          <w:tcPr>
            <w:tcW w:w="2131" w:type="dxa"/>
          </w:tcPr>
          <w:p w14:paraId="57D39F31" w14:textId="1BEF82A7" w:rsidR="0024209B" w:rsidRPr="00DC1F83" w:rsidRDefault="00856852" w:rsidP="00DC1F83">
            <w:pPr>
              <w:spacing w:after="0" w:line="240" w:lineRule="auto"/>
              <w:ind w:right="33"/>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Acceso inalámbrico fijo o móvil</w:t>
            </w:r>
          </w:p>
        </w:tc>
        <w:tc>
          <w:tcPr>
            <w:tcW w:w="1276" w:type="dxa"/>
          </w:tcPr>
          <w:p w14:paraId="6C8EFB28" w14:textId="54CA5AE4" w:rsidR="0024209B"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Región 5</w:t>
            </w:r>
          </w:p>
        </w:tc>
        <w:tc>
          <w:tcPr>
            <w:tcW w:w="2268" w:type="dxa"/>
          </w:tcPr>
          <w:p w14:paraId="638221CA" w14:textId="77777777" w:rsidR="00856852" w:rsidRPr="00DC1F83" w:rsidRDefault="00856852" w:rsidP="00DC1F83">
            <w:pPr>
              <w:spacing w:after="0" w:line="240" w:lineRule="auto"/>
              <w:ind w:right="14"/>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Otorgamiento: 27/09/1999</w:t>
            </w:r>
          </w:p>
          <w:p w14:paraId="12573181" w14:textId="77777777" w:rsidR="00856852"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Vencimiento: 20/10/2019</w:t>
            </w:r>
          </w:p>
          <w:p w14:paraId="3612E3A7" w14:textId="77777777" w:rsidR="00856852"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Solicitud de prórroga:</w:t>
            </w:r>
          </w:p>
          <w:p w14:paraId="44461E00" w14:textId="0DB44394" w:rsidR="0024209B" w:rsidRPr="00DC1F83" w:rsidRDefault="00856852" w:rsidP="00DC1F83">
            <w:pPr>
              <w:spacing w:after="0" w:line="240" w:lineRule="auto"/>
              <w:ind w:right="618"/>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03/11/2014</w:t>
            </w:r>
          </w:p>
        </w:tc>
      </w:tr>
      <w:tr w:rsidR="0024209B" w:rsidRPr="00DC1F83" w14:paraId="5AEAC013" w14:textId="77777777" w:rsidTr="00DC1F83">
        <w:trPr>
          <w:trHeight w:val="174"/>
          <w:jc w:val="center"/>
        </w:trPr>
        <w:tc>
          <w:tcPr>
            <w:tcW w:w="1129" w:type="dxa"/>
          </w:tcPr>
          <w:p w14:paraId="3AEA5511" w14:textId="334BEF53" w:rsidR="0024209B" w:rsidRPr="00DC1F83" w:rsidRDefault="0024209B" w:rsidP="00DC1F83">
            <w:pPr>
              <w:tabs>
                <w:tab w:val="left" w:pos="29"/>
              </w:tabs>
              <w:spacing w:after="0" w:line="240" w:lineRule="auto"/>
              <w:ind w:right="85"/>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6</w:t>
            </w:r>
          </w:p>
        </w:tc>
        <w:tc>
          <w:tcPr>
            <w:tcW w:w="1560" w:type="dxa"/>
          </w:tcPr>
          <w:p w14:paraId="4ACE40F2" w14:textId="7576A83F" w:rsidR="0024209B" w:rsidRPr="00DC1F83" w:rsidRDefault="00856852" w:rsidP="00DC1F83">
            <w:pPr>
              <w:spacing w:after="0" w:line="240" w:lineRule="auto"/>
              <w:ind w:right="33"/>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Concesión para aprovechar bandas de espectro en la banda de 1900 MHz</w:t>
            </w:r>
          </w:p>
        </w:tc>
        <w:tc>
          <w:tcPr>
            <w:tcW w:w="2131" w:type="dxa"/>
          </w:tcPr>
          <w:p w14:paraId="659E6099" w14:textId="525E561F" w:rsidR="0024209B" w:rsidRPr="00DC1F83" w:rsidRDefault="00856852" w:rsidP="00DC1F83">
            <w:pPr>
              <w:spacing w:after="0" w:line="240" w:lineRule="auto"/>
              <w:ind w:right="33"/>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Acceso inalámbrico fijo o móvil</w:t>
            </w:r>
          </w:p>
        </w:tc>
        <w:tc>
          <w:tcPr>
            <w:tcW w:w="1276" w:type="dxa"/>
          </w:tcPr>
          <w:p w14:paraId="07ECC1E0" w14:textId="15E0105F" w:rsidR="0024209B"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Región 6</w:t>
            </w:r>
          </w:p>
        </w:tc>
        <w:tc>
          <w:tcPr>
            <w:tcW w:w="2268" w:type="dxa"/>
          </w:tcPr>
          <w:p w14:paraId="57914A4C" w14:textId="77777777" w:rsidR="00856852" w:rsidRPr="00DC1F83" w:rsidRDefault="00856852" w:rsidP="00DC1F83">
            <w:pPr>
              <w:spacing w:after="0" w:line="240" w:lineRule="auto"/>
              <w:ind w:right="14"/>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Otorgamiento: 27/09/1999</w:t>
            </w:r>
          </w:p>
          <w:p w14:paraId="7BDC3506" w14:textId="77777777" w:rsidR="00856852"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Vencimiento: 20/10/2019</w:t>
            </w:r>
          </w:p>
          <w:p w14:paraId="49EB2B34" w14:textId="77777777" w:rsidR="00856852"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Solicitud de prórroga:</w:t>
            </w:r>
          </w:p>
          <w:p w14:paraId="20D65E42" w14:textId="5DE545D3" w:rsidR="0024209B" w:rsidRPr="00DC1F83" w:rsidRDefault="00856852" w:rsidP="00DC1F83">
            <w:pPr>
              <w:spacing w:after="0" w:line="240" w:lineRule="auto"/>
              <w:ind w:right="618"/>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03/11/2014</w:t>
            </w:r>
          </w:p>
        </w:tc>
      </w:tr>
      <w:tr w:rsidR="0024209B" w:rsidRPr="00DC1F83" w14:paraId="65692EE4" w14:textId="77777777" w:rsidTr="00DC1F83">
        <w:trPr>
          <w:trHeight w:val="174"/>
          <w:jc w:val="center"/>
        </w:trPr>
        <w:tc>
          <w:tcPr>
            <w:tcW w:w="1129" w:type="dxa"/>
          </w:tcPr>
          <w:p w14:paraId="75A276D0" w14:textId="032904B8" w:rsidR="0024209B" w:rsidRPr="00DC1F83" w:rsidRDefault="0024209B" w:rsidP="00DC1F83">
            <w:pPr>
              <w:tabs>
                <w:tab w:val="left" w:pos="29"/>
              </w:tabs>
              <w:spacing w:after="0" w:line="240" w:lineRule="auto"/>
              <w:ind w:right="85"/>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7</w:t>
            </w:r>
          </w:p>
        </w:tc>
        <w:tc>
          <w:tcPr>
            <w:tcW w:w="1560" w:type="dxa"/>
          </w:tcPr>
          <w:p w14:paraId="74B4F1DC" w14:textId="71BEB5B2" w:rsidR="0024209B" w:rsidRPr="00DC1F83" w:rsidRDefault="00856852" w:rsidP="00DC1F83">
            <w:pPr>
              <w:spacing w:after="0" w:line="240" w:lineRule="auto"/>
              <w:ind w:right="33"/>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Concesión para aprovechar bandas de espectro en la banda de 1900 MHz</w:t>
            </w:r>
          </w:p>
        </w:tc>
        <w:tc>
          <w:tcPr>
            <w:tcW w:w="2131" w:type="dxa"/>
          </w:tcPr>
          <w:p w14:paraId="5CAF7F21" w14:textId="14046728" w:rsidR="0024209B" w:rsidRPr="00DC1F83" w:rsidRDefault="00856852" w:rsidP="00DC1F83">
            <w:pPr>
              <w:spacing w:after="0" w:line="240" w:lineRule="auto"/>
              <w:ind w:right="33"/>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Acceso inalámbrico fijo o móvil</w:t>
            </w:r>
          </w:p>
        </w:tc>
        <w:tc>
          <w:tcPr>
            <w:tcW w:w="1276" w:type="dxa"/>
          </w:tcPr>
          <w:p w14:paraId="53ACF8B8" w14:textId="7B8B6614" w:rsidR="0024209B"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Región 7</w:t>
            </w:r>
          </w:p>
        </w:tc>
        <w:tc>
          <w:tcPr>
            <w:tcW w:w="2268" w:type="dxa"/>
          </w:tcPr>
          <w:p w14:paraId="3FB4AAFC" w14:textId="77777777" w:rsidR="00856852" w:rsidRPr="00DC1F83" w:rsidRDefault="00856852" w:rsidP="00DC1F83">
            <w:pPr>
              <w:spacing w:after="0" w:line="240" w:lineRule="auto"/>
              <w:ind w:right="14"/>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Otorgamiento: 27/09/1999</w:t>
            </w:r>
          </w:p>
          <w:p w14:paraId="11105EA4" w14:textId="77777777" w:rsidR="00856852"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Vencimiento: 20/10/2019</w:t>
            </w:r>
          </w:p>
          <w:p w14:paraId="3C0B6BEE" w14:textId="77777777" w:rsidR="00856852"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Solicitud de prórroga:</w:t>
            </w:r>
          </w:p>
          <w:p w14:paraId="2DCE7B9E" w14:textId="1D3865B3" w:rsidR="0024209B" w:rsidRPr="00DC1F83" w:rsidRDefault="00856852" w:rsidP="00DC1F83">
            <w:pPr>
              <w:spacing w:after="0" w:line="240" w:lineRule="auto"/>
              <w:ind w:right="618"/>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03/11/2014</w:t>
            </w:r>
          </w:p>
        </w:tc>
      </w:tr>
      <w:tr w:rsidR="0024209B" w:rsidRPr="00DC1F83" w14:paraId="022134B4" w14:textId="77777777" w:rsidTr="00DC1F83">
        <w:trPr>
          <w:trHeight w:val="174"/>
          <w:jc w:val="center"/>
        </w:trPr>
        <w:tc>
          <w:tcPr>
            <w:tcW w:w="1129" w:type="dxa"/>
          </w:tcPr>
          <w:p w14:paraId="57703F65" w14:textId="57A6B7D9" w:rsidR="0024209B" w:rsidRPr="00DC1F83" w:rsidRDefault="0024209B" w:rsidP="00DC1F83">
            <w:pPr>
              <w:tabs>
                <w:tab w:val="left" w:pos="29"/>
              </w:tabs>
              <w:spacing w:after="0" w:line="240" w:lineRule="auto"/>
              <w:ind w:right="85"/>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8</w:t>
            </w:r>
          </w:p>
        </w:tc>
        <w:tc>
          <w:tcPr>
            <w:tcW w:w="1560" w:type="dxa"/>
          </w:tcPr>
          <w:p w14:paraId="083CF749" w14:textId="3C4D5FC8" w:rsidR="0024209B"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Concesión para aprovechar bandas de espectro en la banda de 1900 MHz</w:t>
            </w:r>
          </w:p>
        </w:tc>
        <w:tc>
          <w:tcPr>
            <w:tcW w:w="2131" w:type="dxa"/>
          </w:tcPr>
          <w:p w14:paraId="25E76D15" w14:textId="0764CBAC" w:rsidR="0024209B" w:rsidRPr="00DC1F83" w:rsidRDefault="00856852" w:rsidP="00DC1F83">
            <w:pPr>
              <w:spacing w:after="0" w:line="240" w:lineRule="auto"/>
              <w:ind w:right="33"/>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Acceso inalámbrico fijo o móvil</w:t>
            </w:r>
          </w:p>
        </w:tc>
        <w:tc>
          <w:tcPr>
            <w:tcW w:w="1276" w:type="dxa"/>
          </w:tcPr>
          <w:p w14:paraId="3A5095FF" w14:textId="55CB77DB" w:rsidR="0024209B"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Región 8</w:t>
            </w:r>
          </w:p>
        </w:tc>
        <w:tc>
          <w:tcPr>
            <w:tcW w:w="2268" w:type="dxa"/>
          </w:tcPr>
          <w:p w14:paraId="17A24E82" w14:textId="77777777" w:rsidR="00856852" w:rsidRPr="00DC1F83" w:rsidRDefault="00856852" w:rsidP="00DC1F83">
            <w:pPr>
              <w:spacing w:after="0" w:line="240" w:lineRule="auto"/>
              <w:ind w:right="14"/>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Otorgamiento: 27/09/1999</w:t>
            </w:r>
          </w:p>
          <w:p w14:paraId="48AA99D5" w14:textId="77777777" w:rsidR="00856852"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Vencimiento: 20/10/2019</w:t>
            </w:r>
          </w:p>
          <w:p w14:paraId="53DC5A97" w14:textId="77777777" w:rsidR="00856852"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Solicitud de prórroga:</w:t>
            </w:r>
          </w:p>
          <w:p w14:paraId="40972989" w14:textId="478C475E" w:rsidR="0024209B" w:rsidRPr="00DC1F83" w:rsidRDefault="00856852" w:rsidP="00DC1F83">
            <w:pPr>
              <w:spacing w:after="0" w:line="240" w:lineRule="auto"/>
              <w:ind w:right="618"/>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03/11/2014</w:t>
            </w:r>
          </w:p>
        </w:tc>
      </w:tr>
      <w:tr w:rsidR="0024209B" w:rsidRPr="00DC1F83" w14:paraId="4A78CF4D" w14:textId="77777777" w:rsidTr="00DC1F83">
        <w:trPr>
          <w:trHeight w:val="174"/>
          <w:jc w:val="center"/>
        </w:trPr>
        <w:tc>
          <w:tcPr>
            <w:tcW w:w="1129" w:type="dxa"/>
          </w:tcPr>
          <w:p w14:paraId="03E98C32" w14:textId="31E7D1BB" w:rsidR="0024209B" w:rsidRPr="00DC1F83" w:rsidRDefault="0024209B" w:rsidP="00DC1F83">
            <w:pPr>
              <w:tabs>
                <w:tab w:val="left" w:pos="29"/>
              </w:tabs>
              <w:spacing w:after="0" w:line="240" w:lineRule="auto"/>
              <w:ind w:right="85"/>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9</w:t>
            </w:r>
          </w:p>
        </w:tc>
        <w:tc>
          <w:tcPr>
            <w:tcW w:w="1560" w:type="dxa"/>
          </w:tcPr>
          <w:p w14:paraId="31B4113D" w14:textId="79BB54DA" w:rsidR="0024209B" w:rsidRPr="00DC1F83" w:rsidRDefault="00856852" w:rsidP="00DC1F83">
            <w:pPr>
              <w:spacing w:after="0" w:line="240" w:lineRule="auto"/>
              <w:ind w:right="33"/>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Concesión para aprovechar bandas de espectro en la banda de 1900 MHz</w:t>
            </w:r>
          </w:p>
        </w:tc>
        <w:tc>
          <w:tcPr>
            <w:tcW w:w="2131" w:type="dxa"/>
          </w:tcPr>
          <w:p w14:paraId="6406180A" w14:textId="5DAFA7F1" w:rsidR="0024209B" w:rsidRPr="00DC1F83" w:rsidRDefault="00856852" w:rsidP="00DC1F83">
            <w:pPr>
              <w:spacing w:after="0" w:line="240" w:lineRule="auto"/>
              <w:ind w:right="33"/>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Acceso inalámbrico fijo o móvil</w:t>
            </w:r>
          </w:p>
        </w:tc>
        <w:tc>
          <w:tcPr>
            <w:tcW w:w="1276" w:type="dxa"/>
          </w:tcPr>
          <w:p w14:paraId="58D53164" w14:textId="1F7CBF8C" w:rsidR="0024209B"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Región 9</w:t>
            </w:r>
          </w:p>
        </w:tc>
        <w:tc>
          <w:tcPr>
            <w:tcW w:w="2268" w:type="dxa"/>
          </w:tcPr>
          <w:p w14:paraId="6B9ACC4B" w14:textId="77777777" w:rsidR="00856852" w:rsidRPr="00DC1F83" w:rsidRDefault="00856852" w:rsidP="00DC1F83">
            <w:pPr>
              <w:spacing w:after="0" w:line="240" w:lineRule="auto"/>
              <w:ind w:right="14"/>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Otorgamiento: 27/09/1999</w:t>
            </w:r>
          </w:p>
          <w:p w14:paraId="2C9C4FB6" w14:textId="77777777" w:rsidR="00856852"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Vencimiento: 20/10/2019</w:t>
            </w:r>
          </w:p>
          <w:p w14:paraId="03AAB357" w14:textId="77777777" w:rsidR="00856852"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Solicitud de prórroga:</w:t>
            </w:r>
          </w:p>
          <w:p w14:paraId="05D4A98A" w14:textId="46AEC940" w:rsidR="0024209B" w:rsidRPr="00DC1F83" w:rsidRDefault="00856852" w:rsidP="00DC1F83">
            <w:pPr>
              <w:spacing w:after="0" w:line="240" w:lineRule="auto"/>
              <w:ind w:right="618"/>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03/11/2014</w:t>
            </w:r>
          </w:p>
        </w:tc>
      </w:tr>
      <w:tr w:rsidR="0024209B" w:rsidRPr="00DC1F83" w14:paraId="2E36D6AD" w14:textId="77777777" w:rsidTr="00DC1F83">
        <w:trPr>
          <w:trHeight w:val="174"/>
          <w:jc w:val="center"/>
        </w:trPr>
        <w:tc>
          <w:tcPr>
            <w:tcW w:w="1129" w:type="dxa"/>
          </w:tcPr>
          <w:p w14:paraId="49376B05" w14:textId="2973501F" w:rsidR="0024209B" w:rsidRPr="00DC1F83" w:rsidRDefault="00856852" w:rsidP="00DC1F83">
            <w:pPr>
              <w:tabs>
                <w:tab w:val="left" w:pos="29"/>
              </w:tabs>
              <w:spacing w:after="0" w:line="240" w:lineRule="auto"/>
              <w:ind w:right="85"/>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w:t>
            </w:r>
          </w:p>
        </w:tc>
        <w:tc>
          <w:tcPr>
            <w:tcW w:w="1560" w:type="dxa"/>
          </w:tcPr>
          <w:p w14:paraId="6E1184A4" w14:textId="62FBCB9D" w:rsidR="0024209B" w:rsidRPr="00DC1F83" w:rsidRDefault="00856852" w:rsidP="00DC1F83">
            <w:pPr>
              <w:spacing w:after="0" w:line="240" w:lineRule="auto"/>
              <w:ind w:right="618"/>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w:t>
            </w:r>
          </w:p>
        </w:tc>
        <w:tc>
          <w:tcPr>
            <w:tcW w:w="2131" w:type="dxa"/>
          </w:tcPr>
          <w:p w14:paraId="311A8203" w14:textId="06BD0EDA" w:rsidR="0024209B" w:rsidRPr="00DC1F83" w:rsidRDefault="00856852" w:rsidP="00DC1F83">
            <w:pPr>
              <w:spacing w:after="0" w:line="240" w:lineRule="auto"/>
              <w:ind w:right="33"/>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w:t>
            </w:r>
          </w:p>
        </w:tc>
        <w:tc>
          <w:tcPr>
            <w:tcW w:w="1276" w:type="dxa"/>
          </w:tcPr>
          <w:p w14:paraId="60FA7F6F" w14:textId="0A906FD3" w:rsidR="0024209B" w:rsidRPr="00DC1F83" w:rsidRDefault="00856852" w:rsidP="00DC1F83">
            <w:pPr>
              <w:spacing w:after="0" w:line="240" w:lineRule="auto"/>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w:t>
            </w:r>
          </w:p>
        </w:tc>
        <w:tc>
          <w:tcPr>
            <w:tcW w:w="2268" w:type="dxa"/>
          </w:tcPr>
          <w:p w14:paraId="04F7B712" w14:textId="0A3761F7" w:rsidR="0024209B" w:rsidRPr="00DC1F83" w:rsidRDefault="00856852" w:rsidP="00DC1F83">
            <w:pPr>
              <w:spacing w:after="0" w:line="240" w:lineRule="auto"/>
              <w:ind w:right="618"/>
              <w:jc w:val="both"/>
              <w:rPr>
                <w:rFonts w:ascii="ITC Avant Garde" w:hAnsi="ITC Avant Garde"/>
                <w:bCs/>
                <w:color w:val="000000"/>
                <w:sz w:val="12"/>
                <w:szCs w:val="12"/>
                <w:lang w:eastAsia="es-MX"/>
              </w:rPr>
            </w:pPr>
            <w:r w:rsidRPr="00DC1F83">
              <w:rPr>
                <w:rFonts w:ascii="ITC Avant Garde" w:hAnsi="ITC Avant Garde"/>
                <w:bCs/>
                <w:color w:val="000000"/>
                <w:sz w:val="12"/>
                <w:szCs w:val="12"/>
                <w:lang w:eastAsia="es-MX"/>
              </w:rPr>
              <w:t>(…)</w:t>
            </w:r>
          </w:p>
        </w:tc>
      </w:tr>
    </w:tbl>
    <w:p w14:paraId="3F6E4619" w14:textId="77777777" w:rsidR="00464F8B" w:rsidRPr="00DC1F83" w:rsidRDefault="00464F8B" w:rsidP="00DC1F83">
      <w:pPr>
        <w:spacing w:before="240" w:line="240" w:lineRule="auto"/>
        <w:ind w:left="567" w:right="618"/>
        <w:jc w:val="both"/>
        <w:rPr>
          <w:rFonts w:ascii="ITC Avant Garde" w:hAnsi="ITC Avant Garde"/>
          <w:bCs/>
          <w:color w:val="000000"/>
          <w:sz w:val="18"/>
          <w:szCs w:val="18"/>
          <w:lang w:eastAsia="es-MX"/>
        </w:rPr>
      </w:pPr>
    </w:p>
    <w:p w14:paraId="6F714A47" w14:textId="77777777" w:rsidR="00DC1F83" w:rsidRPr="00DC1F83" w:rsidRDefault="00464F8B" w:rsidP="00DC1F83">
      <w:pPr>
        <w:spacing w:before="240" w:line="240" w:lineRule="auto"/>
        <w:ind w:left="567" w:right="618"/>
        <w:jc w:val="both"/>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w:t>
      </w:r>
    </w:p>
    <w:p w14:paraId="4A042DD6" w14:textId="77777777" w:rsidR="00DC1F83" w:rsidRPr="00DC1F83" w:rsidRDefault="00464F8B" w:rsidP="00DC1F83">
      <w:pPr>
        <w:spacing w:before="240" w:line="240" w:lineRule="auto"/>
        <w:ind w:left="567" w:right="618"/>
        <w:jc w:val="both"/>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En conclusión, con base en la información disponible, no se identifican elementos que permitan concluir que la autorización de las prórrogas solicitadas pudiera tener efectos contrarios en el proceso de competencia y libre concurrencia en los mercados. Tampoco se identifican elementos que permitan concluir que exista una alternativa a la autorización de las prórrogas analizadas que pudiera mejorar las condiciones de competencia económica en los mercados.</w:t>
      </w:r>
    </w:p>
    <w:p w14:paraId="6A05033D" w14:textId="77777777" w:rsidR="00DC1F83" w:rsidRPr="00DC1F83" w:rsidRDefault="00464F8B" w:rsidP="00DC1F83">
      <w:pPr>
        <w:spacing w:before="240" w:line="240" w:lineRule="auto"/>
        <w:ind w:left="567" w:right="618"/>
        <w:jc w:val="both"/>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 xml:space="preserve">Los comentarios y opiniones respecto de las Solicitudes de Prórroga 1 </w:t>
      </w:r>
      <w:r w:rsidR="00695BCB" w:rsidRPr="00DC1F83">
        <w:rPr>
          <w:rFonts w:ascii="ITC Avant Garde" w:hAnsi="ITC Avant Garde"/>
          <w:bCs/>
          <w:color w:val="000000"/>
          <w:sz w:val="18"/>
          <w:szCs w:val="18"/>
          <w:lang w:eastAsia="es-MX"/>
        </w:rPr>
        <w:t>a</w:t>
      </w:r>
      <w:r w:rsidRPr="00DC1F83">
        <w:rPr>
          <w:rFonts w:ascii="ITC Avant Garde" w:hAnsi="ITC Avant Garde"/>
          <w:bCs/>
          <w:color w:val="000000"/>
          <w:sz w:val="18"/>
          <w:szCs w:val="18"/>
          <w:lang w:eastAsia="es-MX"/>
        </w:rPr>
        <w:t xml:space="preserve"> </w:t>
      </w:r>
      <w:r w:rsidR="00695BCB" w:rsidRPr="00DC1F83">
        <w:rPr>
          <w:rFonts w:ascii="ITC Avant Garde" w:hAnsi="ITC Avant Garde"/>
          <w:bCs/>
          <w:color w:val="000000"/>
          <w:sz w:val="18"/>
          <w:szCs w:val="18"/>
          <w:lang w:eastAsia="es-MX"/>
        </w:rPr>
        <w:t>9</w:t>
      </w:r>
      <w:r w:rsidRPr="00DC1F83">
        <w:rPr>
          <w:rFonts w:ascii="ITC Avant Garde" w:hAnsi="ITC Avant Garde"/>
          <w:bCs/>
          <w:color w:val="000000"/>
          <w:sz w:val="18"/>
          <w:szCs w:val="18"/>
          <w:lang w:eastAsia="es-MX"/>
        </w:rPr>
        <w:t xml:space="preserve"> se emiten en materia de competencia económica, sin prejuzgar sobre otras autorizaciones, requisitos u obligaciones que, en su caso, </w:t>
      </w:r>
      <w:proofErr w:type="spellStart"/>
      <w:r w:rsidRPr="00DC1F83">
        <w:rPr>
          <w:rFonts w:ascii="ITC Avant Garde" w:hAnsi="ITC Avant Garde"/>
          <w:bCs/>
          <w:color w:val="000000"/>
          <w:sz w:val="18"/>
          <w:szCs w:val="18"/>
          <w:lang w:eastAsia="es-MX"/>
        </w:rPr>
        <w:t>Radiomóvil</w:t>
      </w:r>
      <w:proofErr w:type="spellEnd"/>
      <w:r w:rsidRPr="00DC1F83">
        <w:rPr>
          <w:rFonts w:ascii="ITC Avant Garde" w:hAnsi="ITC Avant Garde"/>
          <w:bCs/>
          <w:color w:val="000000"/>
          <w:sz w:val="18"/>
          <w:szCs w:val="18"/>
          <w:lang w:eastAsia="es-MX"/>
        </w:rPr>
        <w:t xml:space="preserve"> </w:t>
      </w:r>
      <w:proofErr w:type="spellStart"/>
      <w:r w:rsidRPr="00DC1F83">
        <w:rPr>
          <w:rFonts w:ascii="ITC Avant Garde" w:hAnsi="ITC Avant Garde"/>
          <w:bCs/>
          <w:color w:val="000000"/>
          <w:sz w:val="18"/>
          <w:szCs w:val="18"/>
          <w:lang w:eastAsia="es-MX"/>
        </w:rPr>
        <w:t>Dipsa</w:t>
      </w:r>
      <w:proofErr w:type="spellEnd"/>
      <w:r w:rsidRPr="00DC1F83">
        <w:rPr>
          <w:rFonts w:ascii="ITC Avant Garde" w:hAnsi="ITC Avant Garde"/>
          <w:bCs/>
          <w:color w:val="000000"/>
          <w:sz w:val="18"/>
          <w:szCs w:val="18"/>
          <w:lang w:eastAsia="es-MX"/>
        </w:rPr>
        <w:t xml:space="preserve"> deba obtener de este Instituto u otra autoridad competente. Tampoco se prejuzga sobre violaciones a la Ley Federal de Competencia Económica, la Ley Federal de Telecomunicaciones y Radiodifusión u otros ordenamientos, en que pudiera haber incurrido, o pudiera incurrir, </w:t>
      </w:r>
      <w:proofErr w:type="spellStart"/>
      <w:r w:rsidRPr="00DC1F83">
        <w:rPr>
          <w:rFonts w:ascii="ITC Avant Garde" w:hAnsi="ITC Avant Garde"/>
          <w:bCs/>
          <w:color w:val="000000"/>
          <w:sz w:val="18"/>
          <w:szCs w:val="18"/>
          <w:lang w:eastAsia="es-MX"/>
        </w:rPr>
        <w:t>Radiomóvil</w:t>
      </w:r>
      <w:proofErr w:type="spellEnd"/>
      <w:r w:rsidRPr="00DC1F83">
        <w:rPr>
          <w:rFonts w:ascii="ITC Avant Garde" w:hAnsi="ITC Avant Garde"/>
          <w:bCs/>
          <w:color w:val="000000"/>
          <w:sz w:val="18"/>
          <w:szCs w:val="18"/>
          <w:lang w:eastAsia="es-MX"/>
        </w:rPr>
        <w:t xml:space="preserve"> </w:t>
      </w:r>
      <w:proofErr w:type="spellStart"/>
      <w:r w:rsidRPr="00DC1F83">
        <w:rPr>
          <w:rFonts w:ascii="ITC Avant Garde" w:hAnsi="ITC Avant Garde"/>
          <w:bCs/>
          <w:color w:val="000000"/>
          <w:sz w:val="18"/>
          <w:szCs w:val="18"/>
          <w:lang w:eastAsia="es-MX"/>
        </w:rPr>
        <w:t>Dipsa</w:t>
      </w:r>
      <w:proofErr w:type="spellEnd"/>
      <w:r w:rsidRPr="00DC1F83">
        <w:rPr>
          <w:rFonts w:ascii="ITC Avant Garde" w:hAnsi="ITC Avant Garde"/>
          <w:bCs/>
          <w:color w:val="000000"/>
          <w:sz w:val="18"/>
          <w:szCs w:val="18"/>
          <w:lang w:eastAsia="es-MX"/>
        </w:rPr>
        <w:t>.</w:t>
      </w:r>
    </w:p>
    <w:p w14:paraId="68AA1BB5" w14:textId="77777777" w:rsidR="00DC1F83" w:rsidRPr="00DC1F83" w:rsidRDefault="00464F8B" w:rsidP="00DC1F83">
      <w:pPr>
        <w:spacing w:before="240" w:line="240" w:lineRule="auto"/>
        <w:ind w:left="567" w:right="618"/>
        <w:jc w:val="both"/>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w:t>
      </w:r>
    </w:p>
    <w:p w14:paraId="5208CAC6" w14:textId="77777777" w:rsidR="00DC1F83" w:rsidRPr="00DC1F83" w:rsidRDefault="00464F8B" w:rsidP="00DC1F83">
      <w:pPr>
        <w:autoSpaceDE w:val="0"/>
        <w:autoSpaceDN w:val="0"/>
        <w:adjustRightInd w:val="0"/>
        <w:spacing w:before="240" w:line="240" w:lineRule="auto"/>
        <w:jc w:val="both"/>
        <w:rPr>
          <w:rFonts w:ascii="ITC Avant Garde" w:hAnsi="ITC Avant Garde"/>
          <w:bCs/>
        </w:rPr>
      </w:pPr>
      <w:r w:rsidRPr="00DC1F83">
        <w:rPr>
          <w:rFonts w:ascii="ITC Avant Garde" w:hAnsi="ITC Avant Garde" w:cs="Tahoma"/>
          <w:bCs/>
          <w:color w:val="000000" w:themeColor="text1"/>
          <w:lang w:eastAsia="es-MX"/>
        </w:rPr>
        <w:t>En ese sentido, la opinión en materia de competencia económica considera que no se identifican elementos que permitan concluir que la autorización de la</w:t>
      </w:r>
      <w:r w:rsidR="00A7745F" w:rsidRPr="00DC1F83">
        <w:rPr>
          <w:rFonts w:ascii="ITC Avant Garde" w:hAnsi="ITC Avant Garde" w:cs="Tahoma"/>
          <w:bCs/>
          <w:color w:val="000000" w:themeColor="text1"/>
          <w:lang w:eastAsia="es-MX"/>
        </w:rPr>
        <w:t>s</w:t>
      </w:r>
      <w:r w:rsidRPr="00DC1F83">
        <w:rPr>
          <w:rFonts w:ascii="ITC Avant Garde" w:hAnsi="ITC Avant Garde" w:cs="Tahoma"/>
          <w:bCs/>
          <w:color w:val="000000" w:themeColor="text1"/>
          <w:lang w:eastAsia="es-MX"/>
        </w:rPr>
        <w:t xml:space="preserve"> Solicitud</w:t>
      </w:r>
      <w:r w:rsidR="00A7745F" w:rsidRPr="00DC1F83">
        <w:rPr>
          <w:rFonts w:ascii="ITC Avant Garde" w:hAnsi="ITC Avant Garde" w:cs="Tahoma"/>
          <w:bCs/>
          <w:color w:val="000000" w:themeColor="text1"/>
          <w:lang w:eastAsia="es-MX"/>
        </w:rPr>
        <w:t>es</w:t>
      </w:r>
      <w:r w:rsidRPr="00DC1F83">
        <w:rPr>
          <w:rFonts w:ascii="ITC Avant Garde" w:hAnsi="ITC Avant Garde" w:cs="Tahoma"/>
          <w:bCs/>
          <w:color w:val="000000" w:themeColor="text1"/>
          <w:lang w:eastAsia="es-MX"/>
        </w:rPr>
        <w:t xml:space="preserve"> de Prórroga</w:t>
      </w:r>
      <w:r w:rsidRPr="00DC1F83">
        <w:rPr>
          <w:rFonts w:ascii="ITC Avant Garde" w:hAnsi="ITC Avant Garde"/>
          <w:bCs/>
        </w:rPr>
        <w:t>, pueda tener efectos contrarios en el proceso de competencia y libre concurrencia.</w:t>
      </w:r>
    </w:p>
    <w:p w14:paraId="68F2793D" w14:textId="77777777" w:rsidR="00DC1F83" w:rsidRPr="00DC1F83" w:rsidRDefault="00437AC6" w:rsidP="00DC1F83">
      <w:pPr>
        <w:spacing w:before="240" w:line="240" w:lineRule="auto"/>
        <w:ind w:right="-94"/>
        <w:jc w:val="both"/>
        <w:rPr>
          <w:rFonts w:ascii="ITC Avant Garde" w:hAnsi="ITC Avant Garde"/>
          <w:bCs/>
        </w:rPr>
      </w:pPr>
      <w:r w:rsidRPr="00DC1F83">
        <w:rPr>
          <w:rFonts w:ascii="ITC Avant Garde" w:hAnsi="ITC Avant Garde"/>
          <w:bCs/>
        </w:rPr>
        <w:t xml:space="preserve">Por otro lado, el Instituto debe considerar en su análisis lo previsto la Ley con respecto al espectro radioeléctrico, que como bien del dominio público de la Nación, corresponde al Instituto administrar. Para cumplir con dicha atribución, el artículo 54 de la Ley señala que el Instituto debe perseguir una serie de objetivos generales en beneficio de los usuarios, entre los que destacan la promoción de la cohesión social, regional o territorial y el uso eficaz del espectro y su protección. </w:t>
      </w:r>
    </w:p>
    <w:p w14:paraId="6BD4FAB9" w14:textId="77777777" w:rsidR="00DC1F83" w:rsidRPr="00DC1F83" w:rsidRDefault="00437AC6" w:rsidP="00DC1F83">
      <w:pPr>
        <w:autoSpaceDE w:val="0"/>
        <w:autoSpaceDN w:val="0"/>
        <w:adjustRightInd w:val="0"/>
        <w:spacing w:before="240" w:line="240" w:lineRule="auto"/>
        <w:jc w:val="both"/>
        <w:rPr>
          <w:rFonts w:ascii="ITC Avant Garde" w:hAnsi="ITC Avant Garde"/>
          <w:bCs/>
          <w:color w:val="000000"/>
          <w:lang w:eastAsia="es-MX"/>
        </w:rPr>
      </w:pPr>
      <w:r w:rsidRPr="00DC1F83">
        <w:rPr>
          <w:rFonts w:ascii="ITC Avant Garde" w:hAnsi="ITC Avant Garde"/>
          <w:bCs/>
        </w:rPr>
        <w:lastRenderedPageBreak/>
        <w:t>E</w:t>
      </w:r>
      <w:r w:rsidRPr="00DC1F83">
        <w:rPr>
          <w:rFonts w:ascii="ITC Avant Garde" w:hAnsi="ITC Avant Garde"/>
          <w:bCs/>
          <w:color w:val="000000"/>
          <w:lang w:eastAsia="es-MX"/>
        </w:rPr>
        <w:t>n virtud de lo anterior</w:t>
      </w:r>
      <w:r w:rsidR="00393426" w:rsidRPr="00DC1F83">
        <w:rPr>
          <w:rFonts w:ascii="ITC Avant Garde" w:hAnsi="ITC Avant Garde"/>
          <w:bCs/>
          <w:color w:val="000000"/>
          <w:lang w:eastAsia="es-MX"/>
        </w:rPr>
        <w:t>,</w:t>
      </w:r>
      <w:r w:rsidRPr="00DC1F83">
        <w:rPr>
          <w:rFonts w:ascii="ITC Avant Garde" w:hAnsi="ITC Avant Garde"/>
          <w:bCs/>
          <w:color w:val="000000"/>
          <w:lang w:eastAsia="es-MX"/>
        </w:rPr>
        <w:t xml:space="preserve"> y </w:t>
      </w:r>
      <w:r w:rsidR="005A5361" w:rsidRPr="00DC1F83">
        <w:rPr>
          <w:rFonts w:ascii="ITC Avant Garde" w:hAnsi="ITC Avant Garde"/>
          <w:bCs/>
          <w:color w:val="000000"/>
          <w:lang w:eastAsia="es-MX"/>
        </w:rPr>
        <w:t>como se señaló previamente,</w:t>
      </w:r>
      <w:r w:rsidRPr="00DC1F83">
        <w:rPr>
          <w:rFonts w:ascii="ITC Avant Garde" w:hAnsi="ITC Avant Garde"/>
          <w:bCs/>
          <w:color w:val="000000"/>
          <w:lang w:eastAsia="es-MX"/>
        </w:rPr>
        <w:t xml:space="preserve"> mediante </w:t>
      </w:r>
      <w:r w:rsidRPr="00DC1F83">
        <w:rPr>
          <w:rFonts w:ascii="ITC Avant Garde" w:hAnsi="ITC Avant Garde"/>
          <w:bCs/>
        </w:rPr>
        <w:t>oficios IFT/223/UCS/DG-CTEL/245/2014, IFT/223/UCS/DG-CTEL/244/2014, IFT/223/UCS/DG-CTEL/242/2014, IFT/223/UCS/DG-CTEL/243/2014, IFT/223/UCS/DG-CTEL/241/2014, IFT/223/UCS/DG-CTEL/240/2014, IFT/223/UCS/DG-CTEL/239/2014, IFT/223/UCS/DG-CTEL/246/2014 y IFT/223/UCS/DG-CTEL/238/2014, todos de fecha 26 de noviembre de 2014, la Unidad de Concesiones y Servicios, a través de la Dirección General de Concesiones de Telecomunicaciones, solicitó a la Unidad de Espectro Radioeléctrico se informara si existía interés público en recuperar el espectro radioeléctrico objeto de cada una de las Concesiones contempladas en las Solicitudes de Prórroga o, de no ser el caso, determinara el monto de la contraprestación que debería cubrir Telcel por cada una de las citadas prórrogas, así como las condiciones técnico-operativas a las cuales quedaría sujeta, en su caso, cada prórroga solicitada. Dichas solicitudes fueron reiteradas a la Unidad de Espectro Radioeléctrico del Instituto, mediante oficio IFT/223/UCS/DG-CTEL/301/2016 de fecha 8 de febrero de 2016, emitido por la Unidad de Concesiones y Servicios, a través de la Dirección General de Concesiones de Telecomunicaciones.</w:t>
      </w:r>
    </w:p>
    <w:p w14:paraId="6E790BB9" w14:textId="77777777" w:rsidR="00DC1F83" w:rsidRPr="00DC1F83" w:rsidRDefault="00437AC6" w:rsidP="00DC1F83">
      <w:pPr>
        <w:autoSpaceDE w:val="0"/>
        <w:autoSpaceDN w:val="0"/>
        <w:adjustRightInd w:val="0"/>
        <w:spacing w:before="240" w:line="240" w:lineRule="auto"/>
        <w:jc w:val="both"/>
        <w:rPr>
          <w:rFonts w:ascii="ITC Avant Garde" w:hAnsi="ITC Avant Garde"/>
          <w:bCs/>
        </w:rPr>
      </w:pPr>
      <w:r w:rsidRPr="00DC1F83">
        <w:rPr>
          <w:rFonts w:ascii="ITC Avant Garde" w:hAnsi="ITC Avant Garde"/>
          <w:bCs/>
        </w:rPr>
        <w:t>En respuesta a lo anterior, adjunto al oficio IFT/222/UER/DGPE/</w:t>
      </w:r>
      <w:r w:rsidR="00393426" w:rsidRPr="00DC1F83">
        <w:rPr>
          <w:rFonts w:ascii="ITC Avant Garde" w:hAnsi="ITC Avant Garde"/>
          <w:bCs/>
        </w:rPr>
        <w:t>033</w:t>
      </w:r>
      <w:r w:rsidRPr="00DC1F83">
        <w:rPr>
          <w:rFonts w:ascii="ITC Avant Garde" w:hAnsi="ITC Avant Garde"/>
          <w:bCs/>
        </w:rPr>
        <w:t xml:space="preserve">/2016, la Unidad de Espectro Radioeléctrico, por conducto de la Dirección General de Planeación del Espectro, remitió el dictamen de planificación espectral respecto de la banda de frecuencias 1850-1910/1930-1990 MHz, en el que se señala lo siguiente: </w:t>
      </w:r>
    </w:p>
    <w:p w14:paraId="51951C57" w14:textId="77777777" w:rsidR="00DC1F83" w:rsidRPr="00DC1F83" w:rsidRDefault="00437AC6" w:rsidP="00DC1F83">
      <w:pPr>
        <w:autoSpaceDE w:val="0"/>
        <w:autoSpaceDN w:val="0"/>
        <w:adjustRightInd w:val="0"/>
        <w:spacing w:before="240" w:line="240" w:lineRule="auto"/>
        <w:ind w:left="284" w:right="615"/>
        <w:jc w:val="both"/>
        <w:rPr>
          <w:rFonts w:ascii="ITC Avant Garde" w:eastAsia="Times New Roman" w:hAnsi="ITC Avant Garde"/>
          <w:bCs/>
          <w:sz w:val="18"/>
          <w:lang w:val="es-ES" w:eastAsia="es-ES"/>
        </w:rPr>
      </w:pPr>
      <w:r w:rsidRPr="00DC1F83">
        <w:rPr>
          <w:rFonts w:ascii="ITC Avant Garde" w:eastAsia="Times New Roman" w:hAnsi="ITC Avant Garde"/>
          <w:bCs/>
          <w:sz w:val="18"/>
          <w:lang w:val="es-ES" w:eastAsia="es-ES"/>
        </w:rPr>
        <w:t xml:space="preserve"> “</w:t>
      </w:r>
      <w:r w:rsidRPr="00DC1F83">
        <w:rPr>
          <w:rFonts w:ascii="ITC Avant Garde" w:eastAsia="Times New Roman" w:hAnsi="ITC Avant Garde"/>
          <w:b/>
          <w:bCs/>
          <w:sz w:val="18"/>
          <w:lang w:val="es-ES" w:eastAsia="es-ES"/>
        </w:rPr>
        <w:t>4. Acciones de Planificación</w:t>
      </w:r>
    </w:p>
    <w:p w14:paraId="52977E5A" w14:textId="77777777" w:rsidR="00DC1F83" w:rsidRPr="00DC1F83" w:rsidRDefault="00437AC6" w:rsidP="00DC1F83">
      <w:pPr>
        <w:autoSpaceDE w:val="0"/>
        <w:autoSpaceDN w:val="0"/>
        <w:adjustRightInd w:val="0"/>
        <w:spacing w:before="240" w:line="240" w:lineRule="auto"/>
        <w:ind w:left="284" w:right="615"/>
        <w:jc w:val="both"/>
        <w:rPr>
          <w:rFonts w:ascii="ITC Avant Garde" w:eastAsia="Times New Roman" w:hAnsi="ITC Avant Garde"/>
          <w:bCs/>
          <w:sz w:val="18"/>
          <w:lang w:val="es-ES" w:eastAsia="es-ES"/>
        </w:rPr>
      </w:pPr>
      <w:r w:rsidRPr="00DC1F83">
        <w:rPr>
          <w:rFonts w:ascii="ITC Avant Garde" w:eastAsia="Times New Roman" w:hAnsi="ITC Avant Garde"/>
          <w:bCs/>
          <w:sz w:val="18"/>
          <w:lang w:val="es-ES" w:eastAsia="es-ES"/>
        </w:rPr>
        <w:t>El espectro radioeléctrico se considera un recurso extremadamente escaso y de un valor estratégico sin precedentes en el contexto económico y tecnológico actual, de tal forma que es primordial garantizar su uso eficaz y eficiente. Por tal motivo, la gestión, administración y planificación del espectro se revela como una labor estratégica, con una enorme incidencia en los aspectos social y económico del país.</w:t>
      </w:r>
    </w:p>
    <w:p w14:paraId="127F4223" w14:textId="77777777" w:rsidR="00DC1F83" w:rsidRPr="00DC1F83" w:rsidRDefault="00437AC6" w:rsidP="00DC1F83">
      <w:pPr>
        <w:autoSpaceDE w:val="0"/>
        <w:autoSpaceDN w:val="0"/>
        <w:adjustRightInd w:val="0"/>
        <w:spacing w:before="240" w:line="240" w:lineRule="auto"/>
        <w:ind w:left="284" w:right="615"/>
        <w:jc w:val="both"/>
        <w:rPr>
          <w:rFonts w:ascii="ITC Avant Garde" w:eastAsia="Times New Roman" w:hAnsi="ITC Avant Garde"/>
          <w:bCs/>
          <w:sz w:val="18"/>
          <w:lang w:val="es-ES" w:eastAsia="es-ES"/>
        </w:rPr>
      </w:pPr>
      <w:r w:rsidRPr="00DC1F83">
        <w:rPr>
          <w:rFonts w:ascii="ITC Avant Garde" w:eastAsia="Times New Roman" w:hAnsi="ITC Avant Garde"/>
          <w:bCs/>
          <w:sz w:val="18"/>
          <w:lang w:val="es-ES" w:eastAsia="es-ES"/>
        </w:rPr>
        <w:t>En este sentido el Instituto Federal de Telecomunicaciones (IFT) se ha enfocado a la tarea de implementar un análisis integral de los procedimientos y herramientas asociados a la gestión, administración y planificación del espectro radioeléctrico, así como del uso que se da en nuestro país a las bandas de frecuencias relevantes con el objeto de optimizar su utilización.</w:t>
      </w:r>
    </w:p>
    <w:p w14:paraId="55F859A1" w14:textId="77777777" w:rsidR="00DC1F83" w:rsidRPr="00DC1F83" w:rsidRDefault="00437AC6" w:rsidP="00DC1F83">
      <w:pPr>
        <w:autoSpaceDE w:val="0"/>
        <w:autoSpaceDN w:val="0"/>
        <w:adjustRightInd w:val="0"/>
        <w:spacing w:before="240" w:line="240" w:lineRule="auto"/>
        <w:ind w:left="284" w:right="615"/>
        <w:jc w:val="both"/>
        <w:rPr>
          <w:rFonts w:ascii="ITC Avant Garde" w:eastAsia="Times New Roman" w:hAnsi="ITC Avant Garde"/>
          <w:bCs/>
          <w:sz w:val="18"/>
          <w:lang w:val="es-ES" w:eastAsia="es-ES"/>
        </w:rPr>
      </w:pPr>
      <w:r w:rsidRPr="00DC1F83">
        <w:rPr>
          <w:rFonts w:ascii="ITC Avant Garde" w:eastAsia="Times New Roman" w:hAnsi="ITC Avant Garde"/>
          <w:bCs/>
          <w:sz w:val="18"/>
          <w:lang w:val="es-ES" w:eastAsia="es-ES"/>
        </w:rPr>
        <w:t>Particularmente, los servicios de banda ancha móvil se han convertido en una infraestructura fundamental que impacta directamente en la competitividad nacional de los países en la economía digital mundial. El desarrollo tecnológico de este tipo de redes, así como sus características de ubicuidad y movilidad, han generado un crecimiento exponencial y acelerado en el volumen de tráfico que transportan y consecuentemente en la demanda de recursos espectrales para satisfacer dicho incremento.</w:t>
      </w:r>
    </w:p>
    <w:p w14:paraId="38A1554C" w14:textId="77777777" w:rsidR="00DC1F83" w:rsidRPr="00DC1F83" w:rsidRDefault="00437AC6" w:rsidP="00DC1F83">
      <w:pPr>
        <w:autoSpaceDE w:val="0"/>
        <w:autoSpaceDN w:val="0"/>
        <w:adjustRightInd w:val="0"/>
        <w:spacing w:before="240" w:line="240" w:lineRule="auto"/>
        <w:ind w:left="284" w:right="615"/>
        <w:jc w:val="both"/>
        <w:rPr>
          <w:rFonts w:ascii="ITC Avant Garde" w:eastAsia="Times New Roman" w:hAnsi="ITC Avant Garde"/>
          <w:bCs/>
          <w:sz w:val="18"/>
          <w:lang w:val="es-ES" w:eastAsia="es-ES"/>
        </w:rPr>
      </w:pPr>
      <w:r w:rsidRPr="00DC1F83">
        <w:rPr>
          <w:rFonts w:ascii="ITC Avant Garde" w:eastAsia="Times New Roman" w:hAnsi="ITC Avant Garde"/>
          <w:bCs/>
          <w:sz w:val="18"/>
          <w:lang w:val="es-ES" w:eastAsia="es-ES"/>
        </w:rPr>
        <w:t>En este contexto el sector de Radiocomunicaciones de la Unión Internacional de Telecomunicaciones (UIT) realiza grandes esfuerzos para determinar las bandas del espectro que se consideran útiles para la provisión de servicios móviles de banda ancha, identificándolas como bandas destinadas para las Telecomunicaciones Móviles Internacionales (o IMT, por sus siglas en inglés).</w:t>
      </w:r>
    </w:p>
    <w:p w14:paraId="069B33A8" w14:textId="77777777" w:rsidR="00DC1F83" w:rsidRPr="00DC1F83" w:rsidRDefault="00437AC6" w:rsidP="00DC1F83">
      <w:pPr>
        <w:autoSpaceDE w:val="0"/>
        <w:autoSpaceDN w:val="0"/>
        <w:adjustRightInd w:val="0"/>
        <w:spacing w:before="240" w:line="240" w:lineRule="auto"/>
        <w:ind w:left="284" w:right="615"/>
        <w:jc w:val="both"/>
        <w:rPr>
          <w:rFonts w:ascii="ITC Avant Garde" w:eastAsia="Times New Roman" w:hAnsi="ITC Avant Garde"/>
          <w:bCs/>
          <w:sz w:val="18"/>
          <w:lang w:val="es-ES" w:eastAsia="es-ES"/>
        </w:rPr>
      </w:pPr>
      <w:r w:rsidRPr="00DC1F83">
        <w:rPr>
          <w:rFonts w:ascii="ITC Avant Garde" w:eastAsia="Times New Roman" w:hAnsi="ITC Avant Garde"/>
          <w:bCs/>
          <w:sz w:val="18"/>
          <w:lang w:val="es-ES" w:eastAsia="es-ES"/>
        </w:rPr>
        <w:t>Por su parte, el Instituto se ha enfocado a la tarea de verificar el uso que se da en nuestro país a bandas del espectro radioeléctrico que han sido identificadas como IMT, con el fin de reasignarlas para la prestación de servicios móviles de banda ancha.</w:t>
      </w:r>
    </w:p>
    <w:p w14:paraId="6720A95B" w14:textId="77777777" w:rsidR="00DC1F83" w:rsidRPr="00DC1F83" w:rsidRDefault="00437AC6" w:rsidP="00DC1F83">
      <w:pPr>
        <w:autoSpaceDE w:val="0"/>
        <w:autoSpaceDN w:val="0"/>
        <w:adjustRightInd w:val="0"/>
        <w:spacing w:before="240" w:line="240" w:lineRule="auto"/>
        <w:ind w:left="284" w:right="615"/>
        <w:jc w:val="both"/>
        <w:rPr>
          <w:rFonts w:ascii="ITC Avant Garde" w:eastAsia="Times New Roman" w:hAnsi="ITC Avant Garde"/>
          <w:bCs/>
          <w:sz w:val="18"/>
          <w:lang w:val="es-ES" w:eastAsia="es-ES"/>
        </w:rPr>
      </w:pPr>
      <w:r w:rsidRPr="00DC1F83">
        <w:rPr>
          <w:rFonts w:ascii="ITC Avant Garde" w:eastAsia="Times New Roman" w:hAnsi="ITC Avant Garde"/>
          <w:bCs/>
          <w:sz w:val="18"/>
          <w:lang w:val="es-ES" w:eastAsia="es-ES"/>
        </w:rPr>
        <w:lastRenderedPageBreak/>
        <w:t>Específicamente, el segmento 1850-1910/1930-1990 MHz se ha convertido en una banda con un excelente desempeño y un uso continuo en años recientes gracias a que es ampliamente armonizada para su utilización por tecnologías móviles de banda ancha. Lo anterior, debido a que las características físicas, las condiciones de propagación y la cantidad de espectro contiguo, permiten la prestación de servicios de comunicaciones móviles de banda ancha en diferentes entornos y en distintas condiciones con niveles de cobertura y calidad suficientes que posibilitan el eficiente uso de los dispositivos móviles.</w:t>
      </w:r>
    </w:p>
    <w:p w14:paraId="117185C5" w14:textId="77777777" w:rsidR="00DC1F83" w:rsidRPr="00DC1F83" w:rsidRDefault="00437AC6" w:rsidP="00DC1F83">
      <w:pPr>
        <w:autoSpaceDE w:val="0"/>
        <w:autoSpaceDN w:val="0"/>
        <w:adjustRightInd w:val="0"/>
        <w:spacing w:before="240" w:line="240" w:lineRule="auto"/>
        <w:ind w:left="284" w:right="615"/>
        <w:jc w:val="both"/>
        <w:rPr>
          <w:rFonts w:ascii="ITC Avant Garde" w:eastAsia="Times New Roman" w:hAnsi="ITC Avant Garde"/>
          <w:bCs/>
          <w:sz w:val="18"/>
          <w:lang w:val="es-ES" w:eastAsia="es-ES"/>
        </w:rPr>
      </w:pPr>
      <w:r w:rsidRPr="00DC1F83">
        <w:rPr>
          <w:rFonts w:ascii="ITC Avant Garde" w:eastAsia="Times New Roman" w:hAnsi="ITC Avant Garde"/>
          <w:bCs/>
          <w:sz w:val="18"/>
          <w:lang w:val="es-ES" w:eastAsia="es-ES"/>
        </w:rPr>
        <w:t xml:space="preserve">Desde el punto de vista de los trabajos de estandarización, existen desde hace varios años estándares maduros para tecnologías de banda ancha móvil que incluyen las bandas de frecuencias en comento, en los cuales se aprovechan ventajas como contar con espectro contiguo para tales aplicaciones y flexibilidad en las opciones de segmentación de la banda. Tal es el caso de las especificaciones técnicas de la interfaz aérea de LTE definidas por el organismo de estandarización 3GPP (3rd </w:t>
      </w:r>
      <w:proofErr w:type="spellStart"/>
      <w:r w:rsidRPr="00DC1F83">
        <w:rPr>
          <w:rFonts w:ascii="ITC Avant Garde" w:eastAsia="Times New Roman" w:hAnsi="ITC Avant Garde"/>
          <w:bCs/>
          <w:sz w:val="18"/>
          <w:lang w:val="es-ES" w:eastAsia="es-ES"/>
        </w:rPr>
        <w:t>Generation</w:t>
      </w:r>
      <w:proofErr w:type="spellEnd"/>
      <w:r w:rsidRPr="00DC1F83">
        <w:rPr>
          <w:rFonts w:ascii="ITC Avant Garde" w:eastAsia="Times New Roman" w:hAnsi="ITC Avant Garde"/>
          <w:bCs/>
          <w:sz w:val="18"/>
          <w:lang w:val="es-ES" w:eastAsia="es-ES"/>
        </w:rPr>
        <w:t xml:space="preserve"> </w:t>
      </w:r>
      <w:proofErr w:type="spellStart"/>
      <w:r w:rsidRPr="00DC1F83">
        <w:rPr>
          <w:rFonts w:ascii="ITC Avant Garde" w:eastAsia="Times New Roman" w:hAnsi="ITC Avant Garde"/>
          <w:bCs/>
          <w:sz w:val="18"/>
          <w:lang w:val="es-ES" w:eastAsia="es-ES"/>
        </w:rPr>
        <w:t>Partnership</w:t>
      </w:r>
      <w:proofErr w:type="spellEnd"/>
      <w:r w:rsidRPr="00DC1F83">
        <w:rPr>
          <w:rFonts w:ascii="ITC Avant Garde" w:eastAsia="Times New Roman" w:hAnsi="ITC Avant Garde"/>
          <w:bCs/>
          <w:sz w:val="18"/>
          <w:lang w:val="es-ES" w:eastAsia="es-ES"/>
        </w:rPr>
        <w:t xml:space="preserve"> Project), para la utilización </w:t>
      </w:r>
      <w:proofErr w:type="spellStart"/>
      <w:r w:rsidRPr="00DC1F83">
        <w:rPr>
          <w:rFonts w:ascii="ITC Avant Garde" w:eastAsia="Times New Roman" w:hAnsi="ITC Avant Garde"/>
          <w:bCs/>
          <w:sz w:val="18"/>
          <w:lang w:val="es-ES" w:eastAsia="es-ES"/>
        </w:rPr>
        <w:t>del</w:t>
      </w:r>
      <w:proofErr w:type="spellEnd"/>
      <w:r w:rsidRPr="00DC1F83">
        <w:rPr>
          <w:rFonts w:ascii="ITC Avant Garde" w:eastAsia="Times New Roman" w:hAnsi="ITC Avant Garde"/>
          <w:bCs/>
          <w:sz w:val="18"/>
          <w:lang w:val="es-ES" w:eastAsia="es-ES"/>
        </w:rPr>
        <w:t xml:space="preserve"> la bandas PCS (1850-1910/1930-1990).</w:t>
      </w:r>
    </w:p>
    <w:p w14:paraId="7A55D7DB" w14:textId="77777777" w:rsidR="00DC1F83" w:rsidRPr="00DC1F83" w:rsidRDefault="00437AC6" w:rsidP="00DC1F83">
      <w:pPr>
        <w:autoSpaceDE w:val="0"/>
        <w:autoSpaceDN w:val="0"/>
        <w:adjustRightInd w:val="0"/>
        <w:spacing w:before="240" w:line="240" w:lineRule="auto"/>
        <w:ind w:left="284" w:right="615"/>
        <w:jc w:val="both"/>
        <w:rPr>
          <w:rFonts w:ascii="ITC Avant Garde" w:eastAsia="Times New Roman" w:hAnsi="ITC Avant Garde"/>
          <w:bCs/>
          <w:sz w:val="18"/>
          <w:lang w:val="es-ES" w:eastAsia="es-ES"/>
        </w:rPr>
      </w:pPr>
      <w:r w:rsidRPr="00DC1F83">
        <w:rPr>
          <w:rFonts w:ascii="ITC Avant Garde" w:eastAsia="Times New Roman" w:hAnsi="ITC Avant Garde"/>
          <w:bCs/>
          <w:sz w:val="18"/>
          <w:lang w:val="es-ES" w:eastAsia="es-ES"/>
        </w:rPr>
        <w:t>La consideración de nuevas técnicas para la planeación del espectro radioeléctrico, contribuye a satisfacer la demanda de espectro para adaptarse a las nuevas capacidades de los servicios inalámbricos de banda ancha móvil. Una de estas técnicas consiste en el uso de espectro contiguo, cuya promoción alienta a la industria y coadyuva para satisfacer la creciente demanda de dichos servicios.</w:t>
      </w:r>
    </w:p>
    <w:p w14:paraId="1AFEE8BB" w14:textId="77777777" w:rsidR="00DC1F83" w:rsidRPr="00DC1F83" w:rsidRDefault="00437AC6" w:rsidP="00DC1F83">
      <w:pPr>
        <w:autoSpaceDE w:val="0"/>
        <w:autoSpaceDN w:val="0"/>
        <w:adjustRightInd w:val="0"/>
        <w:spacing w:before="240" w:line="240" w:lineRule="auto"/>
        <w:ind w:left="284" w:right="615"/>
        <w:jc w:val="both"/>
        <w:rPr>
          <w:rFonts w:ascii="ITC Avant Garde" w:eastAsia="Times New Roman" w:hAnsi="ITC Avant Garde"/>
          <w:bCs/>
          <w:sz w:val="18"/>
          <w:lang w:val="es-ES" w:eastAsia="es-ES"/>
        </w:rPr>
      </w:pPr>
      <w:r w:rsidRPr="00DC1F83">
        <w:rPr>
          <w:rFonts w:ascii="ITC Avant Garde" w:eastAsia="Times New Roman" w:hAnsi="ITC Avant Garde"/>
          <w:bCs/>
          <w:sz w:val="18"/>
          <w:lang w:val="es-ES" w:eastAsia="es-ES"/>
        </w:rPr>
        <w:t>Adicionalmente, la posibilidad de contar con espectro contiguo, ofrece la oportunidad de proporcionar una mayor capacidad en la transmisión y recepción de datos, obteniendo así un uso más eficiente del espectro y un beneficio directo para el usuario final.</w:t>
      </w:r>
    </w:p>
    <w:p w14:paraId="02D4E7C6" w14:textId="77777777" w:rsidR="00DC1F83" w:rsidRPr="00DC1F83" w:rsidRDefault="00437AC6" w:rsidP="00DC1F83">
      <w:pPr>
        <w:autoSpaceDE w:val="0"/>
        <w:autoSpaceDN w:val="0"/>
        <w:adjustRightInd w:val="0"/>
        <w:spacing w:before="240" w:line="240" w:lineRule="auto"/>
        <w:ind w:left="284" w:right="615"/>
        <w:jc w:val="both"/>
        <w:rPr>
          <w:rFonts w:ascii="ITC Avant Garde" w:eastAsia="Times New Roman" w:hAnsi="ITC Avant Garde"/>
          <w:bCs/>
          <w:sz w:val="18"/>
          <w:lang w:val="es-ES" w:eastAsia="es-ES"/>
        </w:rPr>
      </w:pPr>
      <w:r w:rsidRPr="00DC1F83">
        <w:rPr>
          <w:rFonts w:ascii="ITC Avant Garde" w:eastAsia="Times New Roman" w:hAnsi="ITC Avant Garde"/>
          <w:bCs/>
          <w:sz w:val="18"/>
          <w:lang w:val="es-ES" w:eastAsia="es-ES"/>
        </w:rPr>
        <w:t xml:space="preserve">En virtud de lo expuesto anteriormente, dentro de las labores que se están llevando a cabo en el Instituto en materia de planificación del espectro, </w:t>
      </w:r>
      <w:r w:rsidRPr="00DC1F83">
        <w:rPr>
          <w:rFonts w:ascii="ITC Avant Garde" w:eastAsia="Times New Roman" w:hAnsi="ITC Avant Garde"/>
          <w:b/>
          <w:bCs/>
          <w:sz w:val="18"/>
          <w:lang w:val="es-ES" w:eastAsia="es-ES"/>
        </w:rPr>
        <w:t xml:space="preserve">se prevé que la banda de frecuencias 1850-1910/1930-1990 MHz </w:t>
      </w:r>
      <w:proofErr w:type="spellStart"/>
      <w:r w:rsidRPr="00DC1F83">
        <w:rPr>
          <w:rFonts w:ascii="ITC Avant Garde" w:eastAsia="Times New Roman" w:hAnsi="ITC Avant Garde"/>
          <w:b/>
          <w:bCs/>
          <w:sz w:val="18"/>
          <w:lang w:val="es-ES" w:eastAsia="es-ES"/>
        </w:rPr>
        <w:t>continue</w:t>
      </w:r>
      <w:proofErr w:type="spellEnd"/>
      <w:r w:rsidRPr="00DC1F83">
        <w:rPr>
          <w:rFonts w:ascii="ITC Avant Garde" w:eastAsia="Times New Roman" w:hAnsi="ITC Avant Garde"/>
          <w:b/>
          <w:bCs/>
          <w:sz w:val="18"/>
          <w:lang w:val="es-ES" w:eastAsia="es-ES"/>
        </w:rPr>
        <w:t xml:space="preserve"> siendo empleada para la prestación del servicio móvil, por lo que, el uso solicitado es compatible con las acciones de planificación previstas para esta banda de frecuencias. En este sentido, se considera viable el otorgamiento de la prórroga de los títulos de concesión objeto de la solicitud</w:t>
      </w:r>
      <w:r w:rsidRPr="00DC1F83">
        <w:rPr>
          <w:rFonts w:ascii="ITC Avant Garde" w:eastAsia="Times New Roman" w:hAnsi="ITC Avant Garde"/>
          <w:bCs/>
          <w:sz w:val="18"/>
          <w:lang w:val="es-ES" w:eastAsia="es-ES"/>
        </w:rPr>
        <w:t xml:space="preserve">.” </w:t>
      </w:r>
    </w:p>
    <w:p w14:paraId="039A319B" w14:textId="77777777" w:rsidR="00DC1F83" w:rsidRPr="00DC1F83" w:rsidRDefault="00437AC6" w:rsidP="00DC1F83">
      <w:pPr>
        <w:autoSpaceDE w:val="0"/>
        <w:autoSpaceDN w:val="0"/>
        <w:adjustRightInd w:val="0"/>
        <w:spacing w:before="240" w:line="240" w:lineRule="auto"/>
        <w:ind w:left="284" w:right="615"/>
        <w:jc w:val="both"/>
        <w:rPr>
          <w:rFonts w:ascii="ITC Avant Garde" w:eastAsia="Times New Roman" w:hAnsi="ITC Avant Garde"/>
          <w:bCs/>
          <w:sz w:val="18"/>
          <w:lang w:val="es-ES" w:eastAsia="es-ES"/>
        </w:rPr>
      </w:pPr>
      <w:r w:rsidRPr="00DC1F83">
        <w:rPr>
          <w:rFonts w:ascii="ITC Avant Garde" w:eastAsia="Times New Roman" w:hAnsi="ITC Avant Garde"/>
          <w:bCs/>
          <w:sz w:val="18"/>
          <w:lang w:val="es-ES" w:eastAsia="es-ES"/>
        </w:rPr>
        <w:t xml:space="preserve">[Sic] </w:t>
      </w:r>
      <w:r w:rsidRPr="00DC1F83">
        <w:rPr>
          <w:rFonts w:ascii="ITC Avant Garde" w:eastAsia="Times New Roman" w:hAnsi="ITC Avant Garde"/>
          <w:bCs/>
          <w:sz w:val="20"/>
          <w:szCs w:val="20"/>
          <w:lang w:val="es-ES" w:eastAsia="es-ES"/>
        </w:rPr>
        <w:t>[Énfasis añadido].</w:t>
      </w:r>
    </w:p>
    <w:p w14:paraId="07AEAB28" w14:textId="77777777" w:rsidR="00DC1F83" w:rsidRPr="00DC1F83" w:rsidRDefault="00437AC6" w:rsidP="00DC1F83">
      <w:pPr>
        <w:autoSpaceDE w:val="0"/>
        <w:autoSpaceDN w:val="0"/>
        <w:adjustRightInd w:val="0"/>
        <w:spacing w:before="240" w:line="240" w:lineRule="auto"/>
        <w:jc w:val="both"/>
        <w:rPr>
          <w:rFonts w:ascii="ITC Avant Garde" w:hAnsi="ITC Avant Garde"/>
        </w:rPr>
      </w:pPr>
      <w:r w:rsidRPr="00DC1F83">
        <w:rPr>
          <w:rFonts w:ascii="ITC Avant Garde" w:hAnsi="ITC Avant Garde"/>
          <w:bCs/>
        </w:rPr>
        <w:t>Con base en las acciones de planificación descritas anteriormente para el rango de frecuencias analizado en el dictamen de planificación espectral realizado por la Unidad de Espectro Radioeléctrico, se emitió el siguiente dictamen:</w:t>
      </w:r>
    </w:p>
    <w:p w14:paraId="4B2AEE6E" w14:textId="77777777" w:rsidR="00DC1F83" w:rsidRPr="00DC1F83" w:rsidRDefault="00437AC6" w:rsidP="00DC1F83">
      <w:pPr>
        <w:autoSpaceDE w:val="0"/>
        <w:autoSpaceDN w:val="0"/>
        <w:adjustRightInd w:val="0"/>
        <w:spacing w:before="240" w:line="240" w:lineRule="auto"/>
        <w:ind w:left="284" w:right="615"/>
        <w:jc w:val="both"/>
        <w:rPr>
          <w:rFonts w:ascii="ITC Avant Garde" w:eastAsia="Times New Roman" w:hAnsi="ITC Avant Garde"/>
          <w:b/>
          <w:bCs/>
          <w:sz w:val="18"/>
          <w:szCs w:val="18"/>
          <w:lang w:val="es-ES" w:eastAsia="es-ES"/>
        </w:rPr>
      </w:pPr>
      <w:r w:rsidRPr="00DC1F83">
        <w:rPr>
          <w:rFonts w:ascii="ITC Avant Garde" w:eastAsia="Times New Roman" w:hAnsi="ITC Avant Garde"/>
          <w:bCs/>
          <w:sz w:val="18"/>
          <w:szCs w:val="18"/>
          <w:lang w:val="es-ES" w:eastAsia="es-ES"/>
        </w:rPr>
        <w:t xml:space="preserve">“Con base en el análisis previo y desde el punto de vista de planeación del espectro, el uso solicitado dentro de la banda de frecuencia en cuestión se considera </w:t>
      </w:r>
      <w:r w:rsidRPr="00DC1F83">
        <w:rPr>
          <w:rFonts w:ascii="ITC Avant Garde" w:eastAsia="Times New Roman" w:hAnsi="ITC Avant Garde"/>
          <w:b/>
          <w:bCs/>
          <w:sz w:val="18"/>
          <w:szCs w:val="18"/>
          <w:lang w:val="es-ES" w:eastAsia="es-ES"/>
        </w:rPr>
        <w:t>PROCEDENTE.</w:t>
      </w:r>
      <w:r w:rsidRPr="00DC1F83">
        <w:rPr>
          <w:rFonts w:ascii="ITC Avant Garde" w:eastAsia="Times New Roman" w:hAnsi="ITC Avant Garde"/>
          <w:bCs/>
          <w:sz w:val="18"/>
          <w:szCs w:val="18"/>
          <w:lang w:val="es-ES" w:eastAsia="es-ES"/>
        </w:rPr>
        <w:t>”</w:t>
      </w:r>
    </w:p>
    <w:p w14:paraId="176F0E10" w14:textId="77777777" w:rsidR="00DC1F83" w:rsidRPr="00DC1F83" w:rsidRDefault="00437AC6" w:rsidP="00DC1F83">
      <w:pPr>
        <w:autoSpaceDE w:val="0"/>
        <w:autoSpaceDN w:val="0"/>
        <w:adjustRightInd w:val="0"/>
        <w:spacing w:before="240" w:line="240" w:lineRule="auto"/>
        <w:jc w:val="both"/>
        <w:rPr>
          <w:rFonts w:ascii="ITC Avant Garde" w:hAnsi="ITC Avant Garde"/>
          <w:bCs/>
        </w:rPr>
      </w:pPr>
      <w:r w:rsidRPr="00DC1F83">
        <w:rPr>
          <w:rFonts w:ascii="ITC Avant Garde" w:hAnsi="ITC Avant Garde"/>
          <w:bCs/>
        </w:rPr>
        <w:t>Es así que, tomando en cuenta las acciones de planificación descritas anteriormente para el rango de frecuencias en análisis, el dictamen de planificación espectral de la Unidad de Espectro Radioeléctrico considera viable el otorgamiento de la prórroga de vigencia de las Concesiones.</w:t>
      </w:r>
    </w:p>
    <w:p w14:paraId="033976E7" w14:textId="77777777" w:rsidR="00DC1F83" w:rsidRPr="00DC1F83" w:rsidRDefault="00437AC6" w:rsidP="00DC1F83">
      <w:pPr>
        <w:autoSpaceDE w:val="0"/>
        <w:autoSpaceDN w:val="0"/>
        <w:adjustRightInd w:val="0"/>
        <w:spacing w:before="240" w:line="240" w:lineRule="auto"/>
        <w:jc w:val="both"/>
        <w:rPr>
          <w:rFonts w:ascii="ITC Avant Garde" w:hAnsi="ITC Avant Garde"/>
          <w:bCs/>
        </w:rPr>
      </w:pPr>
      <w:r w:rsidRPr="00DC1F83">
        <w:rPr>
          <w:rFonts w:ascii="ITC Avant Garde" w:hAnsi="ITC Avant Garde"/>
          <w:bCs/>
        </w:rPr>
        <w:t xml:space="preserve">En adición, </w:t>
      </w:r>
      <w:r w:rsidRPr="00DC1F83">
        <w:rPr>
          <w:rFonts w:ascii="ITC Avant Garde" w:hAnsi="ITC Avant Garde"/>
        </w:rPr>
        <w:t xml:space="preserve">adjunto al oficio </w:t>
      </w:r>
      <w:r w:rsidRPr="00DC1F83">
        <w:rPr>
          <w:rFonts w:ascii="ITC Avant Garde" w:hAnsi="ITC Avant Garde"/>
          <w:color w:val="000000"/>
          <w:shd w:val="clear" w:color="auto" w:fill="FFFFFF"/>
        </w:rPr>
        <w:t>IFT/222/UER/DGPE/</w:t>
      </w:r>
      <w:r w:rsidR="00DC1B49" w:rsidRPr="00DC1F83">
        <w:rPr>
          <w:rFonts w:ascii="ITC Avant Garde" w:hAnsi="ITC Avant Garde"/>
          <w:color w:val="000000"/>
          <w:shd w:val="clear" w:color="auto" w:fill="FFFFFF"/>
        </w:rPr>
        <w:t>033</w:t>
      </w:r>
      <w:r w:rsidRPr="00DC1F83">
        <w:rPr>
          <w:rFonts w:ascii="ITC Avant Garde" w:hAnsi="ITC Avant Garde"/>
          <w:color w:val="000000"/>
          <w:shd w:val="clear" w:color="auto" w:fill="FFFFFF"/>
        </w:rPr>
        <w:t>/201</w:t>
      </w:r>
      <w:r w:rsidR="00DC1B49" w:rsidRPr="00DC1F83">
        <w:rPr>
          <w:rFonts w:ascii="ITC Avant Garde" w:hAnsi="ITC Avant Garde"/>
          <w:color w:val="000000"/>
          <w:shd w:val="clear" w:color="auto" w:fill="FFFFFF"/>
        </w:rPr>
        <w:t>6</w:t>
      </w:r>
      <w:r w:rsidRPr="00DC1F83">
        <w:rPr>
          <w:rFonts w:ascii="ITC Avant Garde" w:hAnsi="ITC Avant Garde"/>
          <w:color w:val="000000"/>
          <w:shd w:val="clear" w:color="auto" w:fill="FFFFFF"/>
        </w:rPr>
        <w:t xml:space="preserve"> antes señalado</w:t>
      </w:r>
      <w:r w:rsidRPr="00DC1F83">
        <w:rPr>
          <w:rFonts w:ascii="ITC Avant Garde" w:hAnsi="ITC Avant Garde"/>
          <w:bCs/>
        </w:rPr>
        <w:t xml:space="preserve">, la </w:t>
      </w:r>
      <w:r w:rsidRPr="00DC1F83">
        <w:rPr>
          <w:rFonts w:ascii="ITC Avant Garde" w:hAnsi="ITC Avant Garde"/>
          <w:color w:val="000000"/>
          <w:shd w:val="clear" w:color="auto" w:fill="FFFFFF"/>
        </w:rPr>
        <w:t xml:space="preserve">Unidad de Espectro Radioeléctrico remitió las condiciones técnicas de operación para el uso, aprovechamiento y explotación de las bandas de frecuencias objeto de las Concesiones, entre las que se encuentran las siguientes: i) Uso eficiente del espectro; ii) Bandas de frecuencia a utilizar; iii) Cobertura; iv) Solicitud de información; v) </w:t>
      </w:r>
      <w:r w:rsidRPr="00DC1F83">
        <w:rPr>
          <w:rFonts w:ascii="ITC Avant Garde" w:hAnsi="ITC Avant Garde"/>
          <w:color w:val="000000"/>
          <w:shd w:val="clear" w:color="auto" w:fill="FFFFFF"/>
        </w:rPr>
        <w:lastRenderedPageBreak/>
        <w:t>Homologación de equipos; vi) Interferencias perjudiciales; vii) Servicios a título secundario, y viii) Radiaciones electromagnéticas.</w:t>
      </w:r>
    </w:p>
    <w:p w14:paraId="00403F5A" w14:textId="77777777" w:rsidR="00DC1F83" w:rsidRPr="00DC1F83" w:rsidRDefault="00E8383E" w:rsidP="00DC1F83">
      <w:pPr>
        <w:autoSpaceDE w:val="0"/>
        <w:autoSpaceDN w:val="0"/>
        <w:adjustRightInd w:val="0"/>
        <w:spacing w:before="240" w:line="240" w:lineRule="auto"/>
        <w:jc w:val="both"/>
        <w:rPr>
          <w:rFonts w:ascii="ITC Avant Garde" w:hAnsi="ITC Avant Garde"/>
          <w:bCs/>
        </w:rPr>
      </w:pPr>
      <w:r w:rsidRPr="00DC1F83">
        <w:rPr>
          <w:rFonts w:ascii="ITC Avant Garde" w:hAnsi="ITC Avant Garde"/>
          <w:bCs/>
        </w:rPr>
        <w:t xml:space="preserve">Finalmente y con respecto a la opinión </w:t>
      </w:r>
      <w:r w:rsidR="00ED661A" w:rsidRPr="00DC1F83">
        <w:rPr>
          <w:rFonts w:ascii="ITC Avant Garde" w:hAnsi="ITC Avant Garde"/>
          <w:bCs/>
        </w:rPr>
        <w:t xml:space="preserve">técnica </w:t>
      </w:r>
      <w:r w:rsidRPr="00DC1F83">
        <w:rPr>
          <w:rFonts w:ascii="ITC Avant Garde" w:hAnsi="ITC Avant Garde"/>
          <w:bCs/>
        </w:rPr>
        <w:t xml:space="preserve">no vinculante </w:t>
      </w:r>
      <w:r w:rsidR="00ED661A" w:rsidRPr="00DC1F83">
        <w:rPr>
          <w:rFonts w:ascii="ITC Avant Garde" w:hAnsi="ITC Avant Garde"/>
          <w:bCs/>
        </w:rPr>
        <w:t>de</w:t>
      </w:r>
      <w:r w:rsidRPr="00DC1F83">
        <w:rPr>
          <w:rFonts w:ascii="ITC Avant Garde" w:hAnsi="ITC Avant Garde"/>
          <w:bCs/>
        </w:rPr>
        <w:t xml:space="preserve"> la Secretaría</w:t>
      </w:r>
      <w:r w:rsidR="002D5567" w:rsidRPr="00DC1F83">
        <w:rPr>
          <w:rFonts w:ascii="ITC Avant Garde" w:hAnsi="ITC Avant Garde"/>
          <w:bCs/>
        </w:rPr>
        <w:t>,</w:t>
      </w:r>
      <w:r w:rsidR="00141968" w:rsidRPr="00DC1F83">
        <w:rPr>
          <w:rFonts w:ascii="ITC Avant Garde" w:hAnsi="ITC Avant Garde"/>
          <w:bCs/>
        </w:rPr>
        <w:t xml:space="preserve"> referida por el artículo 28 de la Constitución</w:t>
      </w:r>
      <w:r w:rsidR="002D5567" w:rsidRPr="00DC1F83">
        <w:rPr>
          <w:rFonts w:ascii="ITC Avant Garde" w:hAnsi="ITC Avant Garde"/>
          <w:bCs/>
        </w:rPr>
        <w:t xml:space="preserve"> para asuntos como l</w:t>
      </w:r>
      <w:r w:rsidR="00133FC9" w:rsidRPr="00DC1F83">
        <w:rPr>
          <w:rFonts w:ascii="ITC Avant Garde" w:hAnsi="ITC Avant Garde"/>
          <w:bCs/>
        </w:rPr>
        <w:t>os</w:t>
      </w:r>
      <w:r w:rsidR="002D5567" w:rsidRPr="00DC1F83">
        <w:rPr>
          <w:rFonts w:ascii="ITC Avant Garde" w:hAnsi="ITC Avant Garde"/>
          <w:bCs/>
        </w:rPr>
        <w:t xml:space="preserve"> abordado</w:t>
      </w:r>
      <w:r w:rsidR="00133FC9" w:rsidRPr="00DC1F83">
        <w:rPr>
          <w:rFonts w:ascii="ITC Avant Garde" w:hAnsi="ITC Avant Garde"/>
          <w:bCs/>
        </w:rPr>
        <w:t>s</w:t>
      </w:r>
      <w:r w:rsidR="002D5567" w:rsidRPr="00DC1F83">
        <w:rPr>
          <w:rFonts w:ascii="ITC Avant Garde" w:hAnsi="ITC Avant Garde"/>
          <w:bCs/>
        </w:rPr>
        <w:t xml:space="preserve"> en la presente Resolución</w:t>
      </w:r>
      <w:r w:rsidRPr="00DC1F83">
        <w:rPr>
          <w:rFonts w:ascii="ITC Avant Garde" w:hAnsi="ITC Avant Garde"/>
          <w:bCs/>
        </w:rPr>
        <w:t xml:space="preserve">, </w:t>
      </w:r>
      <w:r w:rsidR="00133FC9" w:rsidRPr="00DC1F83">
        <w:rPr>
          <w:rFonts w:ascii="ITC Avant Garde" w:hAnsi="ITC Avant Garde"/>
          <w:bCs/>
        </w:rPr>
        <w:t xml:space="preserve">con oficios IFT/223/UCS/288/2014, IFT/223/UCS/287/2014, IFT/223/UCS/285/2014, IFT/223/UCS/286/2014, IFT/223/UCS/284/2014, IFT/223/UCS/283/2014, IFT/223/UCS/282/2014, IFT/223/UCS/289/2014 </w:t>
      </w:r>
      <w:r w:rsidR="00725720" w:rsidRPr="00DC1F83">
        <w:rPr>
          <w:rFonts w:ascii="ITC Avant Garde" w:hAnsi="ITC Avant Garde"/>
          <w:bCs/>
        </w:rPr>
        <w:t>e</w:t>
      </w:r>
      <w:r w:rsidR="00133FC9" w:rsidRPr="00DC1F83">
        <w:rPr>
          <w:rFonts w:ascii="ITC Avant Garde" w:hAnsi="ITC Avant Garde"/>
          <w:bCs/>
        </w:rPr>
        <w:t xml:space="preserve"> IFT/223/UCS/281/2014, todos de fecha 7 de noviembre de 2014, la Unidad de Concesiones y Servicios </w:t>
      </w:r>
      <w:r w:rsidR="006037DA" w:rsidRPr="00DC1F83">
        <w:rPr>
          <w:rFonts w:ascii="ITC Avant Garde" w:hAnsi="ITC Avant Garde"/>
          <w:bCs/>
        </w:rPr>
        <w:t xml:space="preserve">solicitó a la Secretaría </w:t>
      </w:r>
      <w:r w:rsidR="00F24618" w:rsidRPr="00DC1F83">
        <w:rPr>
          <w:rFonts w:ascii="ITC Avant Garde" w:hAnsi="ITC Avant Garde"/>
          <w:bCs/>
        </w:rPr>
        <w:t>la emisión de dicha opinión técnica.</w:t>
      </w:r>
    </w:p>
    <w:p w14:paraId="0F22428C" w14:textId="77777777" w:rsidR="00DC1F83" w:rsidRPr="00DC1F83" w:rsidRDefault="00F24618" w:rsidP="00DC1F83">
      <w:pPr>
        <w:autoSpaceDE w:val="0"/>
        <w:autoSpaceDN w:val="0"/>
        <w:adjustRightInd w:val="0"/>
        <w:spacing w:before="240" w:line="240" w:lineRule="auto"/>
        <w:jc w:val="both"/>
        <w:rPr>
          <w:rFonts w:ascii="ITC Avant Garde" w:hAnsi="ITC Avant Garde"/>
          <w:bCs/>
        </w:rPr>
      </w:pPr>
      <w:r w:rsidRPr="00DC1F83">
        <w:rPr>
          <w:rFonts w:ascii="ITC Avant Garde" w:hAnsi="ITC Avant Garde"/>
          <w:bCs/>
        </w:rPr>
        <w:t xml:space="preserve">En respuesta a lo anterior, la Dirección General de Política de Telecomunicaciones y de Radiodifusión de la Secretaría, con oficio 2.1.-0028 de fecha 14 de enero de 2015, remitió el oficio 1.-05 de la misma fecha, por </w:t>
      </w:r>
      <w:r w:rsidR="00725720" w:rsidRPr="00DC1F83">
        <w:rPr>
          <w:rFonts w:ascii="ITC Avant Garde" w:hAnsi="ITC Avant Garde"/>
          <w:bCs/>
        </w:rPr>
        <w:t>el</w:t>
      </w:r>
      <w:r w:rsidRPr="00DC1F83">
        <w:rPr>
          <w:rFonts w:ascii="ITC Avant Garde" w:hAnsi="ITC Avant Garde"/>
          <w:bCs/>
        </w:rPr>
        <w:t xml:space="preserve"> cual dicha Dependencia del Ejecutivo Federal emit</w:t>
      </w:r>
      <w:r w:rsidR="00725720" w:rsidRPr="00DC1F83">
        <w:rPr>
          <w:rFonts w:ascii="ITC Avant Garde" w:hAnsi="ITC Avant Garde"/>
          <w:bCs/>
        </w:rPr>
        <w:t>ió</w:t>
      </w:r>
      <w:r w:rsidRPr="00DC1F83">
        <w:rPr>
          <w:rFonts w:ascii="ITC Avant Garde" w:hAnsi="ITC Avant Garde"/>
          <w:bCs/>
        </w:rPr>
        <w:t xml:space="preserve"> opinión favorable respecto de las Solicitudes de Prórroga.</w:t>
      </w:r>
    </w:p>
    <w:p w14:paraId="5AFE2E9E" w14:textId="190FD31A" w:rsidR="0058313B" w:rsidRPr="00DC1F83" w:rsidRDefault="00EF4D35" w:rsidP="00DC1F83">
      <w:pPr>
        <w:autoSpaceDE w:val="0"/>
        <w:autoSpaceDN w:val="0"/>
        <w:adjustRightInd w:val="0"/>
        <w:spacing w:before="240" w:line="240" w:lineRule="auto"/>
        <w:jc w:val="both"/>
        <w:rPr>
          <w:rFonts w:ascii="ITC Avant Garde" w:hAnsi="ITC Avant Garde"/>
          <w:bCs/>
          <w:color w:val="000000"/>
          <w:lang w:eastAsia="es-MX"/>
        </w:rPr>
      </w:pPr>
      <w:r w:rsidRPr="00DC1F83">
        <w:rPr>
          <w:rFonts w:ascii="ITC Avant Garde" w:hAnsi="ITC Avant Garde"/>
          <w:b/>
          <w:bCs/>
          <w:color w:val="000000"/>
          <w:lang w:eastAsia="es-MX"/>
        </w:rPr>
        <w:t>Séptim</w:t>
      </w:r>
      <w:r w:rsidR="00DE104B" w:rsidRPr="00DC1F83">
        <w:rPr>
          <w:rFonts w:ascii="ITC Avant Garde" w:hAnsi="ITC Avant Garde"/>
          <w:b/>
          <w:bCs/>
          <w:color w:val="000000"/>
          <w:lang w:eastAsia="es-MX"/>
        </w:rPr>
        <w:t>o</w:t>
      </w:r>
      <w:r w:rsidR="00EC570E" w:rsidRPr="00DC1F83">
        <w:rPr>
          <w:rFonts w:ascii="ITC Avant Garde" w:hAnsi="ITC Avant Garde"/>
          <w:b/>
          <w:bCs/>
          <w:color w:val="000000"/>
          <w:lang w:eastAsia="es-MX"/>
        </w:rPr>
        <w:t xml:space="preserve">.- </w:t>
      </w:r>
      <w:r w:rsidR="00273931" w:rsidRPr="00DC1F83">
        <w:rPr>
          <w:rFonts w:ascii="ITC Avant Garde" w:hAnsi="ITC Avant Garde"/>
          <w:b/>
          <w:bCs/>
          <w:color w:val="000000"/>
          <w:lang w:eastAsia="es-MX"/>
        </w:rPr>
        <w:t>Contraprestaci</w:t>
      </w:r>
      <w:r w:rsidR="00AF597F" w:rsidRPr="00DC1F83">
        <w:rPr>
          <w:rFonts w:ascii="ITC Avant Garde" w:hAnsi="ITC Avant Garde"/>
          <w:b/>
          <w:bCs/>
          <w:color w:val="000000"/>
          <w:lang w:eastAsia="es-MX"/>
        </w:rPr>
        <w:t>ones</w:t>
      </w:r>
      <w:r w:rsidR="00273931" w:rsidRPr="00DC1F83">
        <w:rPr>
          <w:rFonts w:ascii="ITC Avant Garde" w:hAnsi="ITC Avant Garde"/>
          <w:b/>
          <w:bCs/>
          <w:color w:val="000000"/>
          <w:lang w:eastAsia="es-MX"/>
        </w:rPr>
        <w:t>.</w:t>
      </w:r>
      <w:r w:rsidR="00273931" w:rsidRPr="00DC1F83">
        <w:rPr>
          <w:rFonts w:ascii="ITC Avant Garde" w:hAnsi="ITC Avant Garde"/>
          <w:bCs/>
          <w:color w:val="000000"/>
          <w:lang w:val="es-ES" w:eastAsia="es-MX"/>
        </w:rPr>
        <w:t xml:space="preserve"> </w:t>
      </w:r>
      <w:r w:rsidR="00696B25" w:rsidRPr="00DC1F83">
        <w:rPr>
          <w:rFonts w:ascii="ITC Avant Garde" w:hAnsi="ITC Avant Garde"/>
          <w:bCs/>
          <w:color w:val="000000"/>
          <w:lang w:eastAsia="es-MX"/>
        </w:rPr>
        <w:t xml:space="preserve">En términos </w:t>
      </w:r>
      <w:r w:rsidR="00E167DA" w:rsidRPr="00DC1F83">
        <w:rPr>
          <w:rFonts w:ascii="ITC Avant Garde" w:hAnsi="ITC Avant Garde"/>
          <w:bCs/>
          <w:color w:val="000000"/>
          <w:lang w:eastAsia="es-MX"/>
        </w:rPr>
        <w:t xml:space="preserve">del </w:t>
      </w:r>
      <w:r w:rsidR="00273931" w:rsidRPr="00DC1F83">
        <w:rPr>
          <w:rFonts w:ascii="ITC Avant Garde" w:hAnsi="ITC Avant Garde"/>
          <w:bCs/>
          <w:color w:val="000000"/>
          <w:lang w:eastAsia="es-MX"/>
        </w:rPr>
        <w:t xml:space="preserve">artículo </w:t>
      </w:r>
      <w:r w:rsidR="00C87EB7" w:rsidRPr="00DC1F83">
        <w:rPr>
          <w:rFonts w:ascii="ITC Avant Garde" w:hAnsi="ITC Avant Garde"/>
          <w:bCs/>
          <w:color w:val="000000"/>
          <w:lang w:eastAsia="es-MX"/>
        </w:rPr>
        <w:t>114 de la Ley</w:t>
      </w:r>
      <w:r w:rsidR="00E167DA" w:rsidRPr="00DC1F83">
        <w:rPr>
          <w:rFonts w:ascii="ITC Avant Garde" w:hAnsi="ITC Avant Garde"/>
          <w:bCs/>
          <w:color w:val="000000"/>
          <w:lang w:eastAsia="es-MX"/>
        </w:rPr>
        <w:t>, e</w:t>
      </w:r>
      <w:r w:rsidR="0058313B" w:rsidRPr="00DC1F83">
        <w:rPr>
          <w:rFonts w:ascii="ITC Avant Garde" w:hAnsi="ITC Avant Garde"/>
          <w:bCs/>
          <w:color w:val="000000"/>
          <w:lang w:eastAsia="es-MX"/>
        </w:rPr>
        <w:t>l Instituto</w:t>
      </w:r>
      <w:r w:rsidR="00E167DA" w:rsidRPr="00DC1F83">
        <w:rPr>
          <w:rFonts w:ascii="ITC Avant Garde" w:hAnsi="ITC Avant Garde"/>
          <w:bCs/>
          <w:color w:val="000000"/>
          <w:lang w:eastAsia="es-MX"/>
        </w:rPr>
        <w:t xml:space="preserve"> está facultado</w:t>
      </w:r>
      <w:r w:rsidR="0058313B" w:rsidRPr="00DC1F83">
        <w:rPr>
          <w:rFonts w:ascii="ITC Avant Garde" w:hAnsi="ITC Avant Garde"/>
          <w:bCs/>
          <w:color w:val="000000"/>
          <w:lang w:eastAsia="es-MX"/>
        </w:rPr>
        <w:t xml:space="preserve"> </w:t>
      </w:r>
      <w:r w:rsidR="00E167DA" w:rsidRPr="00DC1F83">
        <w:rPr>
          <w:rFonts w:ascii="ITC Avant Garde" w:hAnsi="ITC Avant Garde"/>
          <w:bCs/>
          <w:color w:val="000000"/>
          <w:lang w:eastAsia="es-MX"/>
        </w:rPr>
        <w:t xml:space="preserve">para </w:t>
      </w:r>
      <w:r w:rsidR="005A18F4" w:rsidRPr="00DC1F83">
        <w:rPr>
          <w:rFonts w:ascii="ITC Avant Garde" w:hAnsi="ITC Avant Garde"/>
          <w:bCs/>
          <w:color w:val="000000"/>
          <w:lang w:eastAsia="es-MX"/>
        </w:rPr>
        <w:t xml:space="preserve">establecer nuevas condiciones en los casos en que determine otorgar la prórroga de alguna concesión de bandas de frecuencias del espectro radioeléctrico y, por su parte, la obligación del concesionario de aceptarlas. </w:t>
      </w:r>
    </w:p>
    <w:p w14:paraId="0D834B21" w14:textId="77777777" w:rsidR="00DC1F83" w:rsidRPr="00DC1F83" w:rsidRDefault="00E167DA" w:rsidP="00DC1F83">
      <w:pPr>
        <w:autoSpaceDE w:val="0"/>
        <w:autoSpaceDN w:val="0"/>
        <w:adjustRightInd w:val="0"/>
        <w:spacing w:before="240" w:line="240" w:lineRule="auto"/>
        <w:jc w:val="both"/>
        <w:rPr>
          <w:rFonts w:ascii="ITC Avant Garde" w:hAnsi="ITC Avant Garde"/>
          <w:bCs/>
          <w:color w:val="000000"/>
          <w:lang w:eastAsia="es-MX"/>
        </w:rPr>
      </w:pPr>
      <w:r w:rsidRPr="00DC1F83">
        <w:rPr>
          <w:rFonts w:ascii="ITC Avant Garde" w:hAnsi="ITC Avant Garde"/>
          <w:bCs/>
          <w:color w:val="000000"/>
          <w:lang w:eastAsia="es-MX"/>
        </w:rPr>
        <w:t>Al respecto</w:t>
      </w:r>
      <w:r w:rsidR="005A18F4" w:rsidRPr="00DC1F83">
        <w:rPr>
          <w:rFonts w:ascii="ITC Avant Garde" w:hAnsi="ITC Avant Garde"/>
          <w:bCs/>
          <w:color w:val="000000"/>
          <w:lang w:eastAsia="es-MX"/>
        </w:rPr>
        <w:t xml:space="preserve">, el artículo antes citado </w:t>
      </w:r>
      <w:r w:rsidRPr="00DC1F83">
        <w:rPr>
          <w:rFonts w:ascii="ITC Avant Garde" w:hAnsi="ITC Avant Garde"/>
          <w:bCs/>
          <w:color w:val="000000"/>
          <w:lang w:eastAsia="es-MX"/>
        </w:rPr>
        <w:t xml:space="preserve">establece </w:t>
      </w:r>
      <w:r w:rsidR="005A18F4" w:rsidRPr="00DC1F83">
        <w:rPr>
          <w:rFonts w:ascii="ITC Avant Garde" w:hAnsi="ITC Avant Garde"/>
          <w:bCs/>
          <w:color w:val="000000"/>
          <w:lang w:eastAsia="es-MX"/>
        </w:rPr>
        <w:t>que entre las nuevas condiciones que fije el Instituto, se incluirá el pago de una contraprestación, al señalar lo siguiente:</w:t>
      </w:r>
    </w:p>
    <w:p w14:paraId="10D06001" w14:textId="77777777" w:rsidR="00DC1F83" w:rsidRPr="00DC1F83" w:rsidRDefault="00BD3079" w:rsidP="00DC1F83">
      <w:pPr>
        <w:autoSpaceDE w:val="0"/>
        <w:autoSpaceDN w:val="0"/>
        <w:adjustRightInd w:val="0"/>
        <w:spacing w:before="240" w:line="240" w:lineRule="auto"/>
        <w:ind w:left="567"/>
        <w:contextualSpacing/>
        <w:jc w:val="both"/>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w:t>
      </w:r>
      <w:r w:rsidRPr="00DC1F83">
        <w:rPr>
          <w:rFonts w:ascii="ITC Avant Garde" w:hAnsi="ITC Avant Garde"/>
          <w:b/>
          <w:bCs/>
          <w:color w:val="000000"/>
          <w:sz w:val="18"/>
          <w:szCs w:val="18"/>
          <w:lang w:eastAsia="es-MX"/>
        </w:rPr>
        <w:t xml:space="preserve">Artículo 114. </w:t>
      </w:r>
      <w:r w:rsidRPr="00DC1F83">
        <w:rPr>
          <w:rFonts w:ascii="ITC Avant Garde" w:hAnsi="ITC Avant Garde"/>
          <w:bCs/>
          <w:color w:val="000000"/>
          <w:sz w:val="18"/>
          <w:szCs w:val="18"/>
          <w:lang w:eastAsia="es-MX"/>
        </w:rPr>
        <w:t>[…]</w:t>
      </w:r>
    </w:p>
    <w:p w14:paraId="053DDF9B" w14:textId="77777777" w:rsidR="00DC1F83" w:rsidRPr="00DC1F83" w:rsidRDefault="00BD3079" w:rsidP="00DC1F83">
      <w:pPr>
        <w:autoSpaceDE w:val="0"/>
        <w:autoSpaceDN w:val="0"/>
        <w:adjustRightInd w:val="0"/>
        <w:spacing w:before="240" w:line="240" w:lineRule="auto"/>
        <w:ind w:left="567"/>
        <w:contextualSpacing/>
        <w:jc w:val="both"/>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w:t>
      </w:r>
    </w:p>
    <w:p w14:paraId="7828B5ED" w14:textId="77777777" w:rsidR="00DC1F83" w:rsidRPr="00DC1F83" w:rsidRDefault="00BD3079" w:rsidP="00DC1F83">
      <w:pPr>
        <w:autoSpaceDE w:val="0"/>
        <w:autoSpaceDN w:val="0"/>
        <w:adjustRightInd w:val="0"/>
        <w:spacing w:before="240" w:line="240" w:lineRule="auto"/>
        <w:ind w:left="567"/>
        <w:contextualSpacing/>
        <w:jc w:val="both"/>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 xml:space="preserve">En caso de que el Instituto determine que no existe interés público en recuperar el espectro radioeléctrico o los recursos orbitales, otorgará la prórroga solicitada dentro del mismo plazo señalado en el artículo anterior, </w:t>
      </w:r>
      <w:r w:rsidRPr="00DC1F83">
        <w:rPr>
          <w:rFonts w:ascii="ITC Avant Garde" w:hAnsi="ITC Avant Garde"/>
          <w:bCs/>
          <w:color w:val="000000"/>
          <w:sz w:val="18"/>
          <w:szCs w:val="18"/>
          <w:u w:val="single"/>
          <w:lang w:eastAsia="es-MX"/>
        </w:rPr>
        <w:t>siempre y cuando el concesionario acepte, previamente, las nuevas condiciones que fije el Instituto, entre las que se incluirá el pago de una contraprestación</w:t>
      </w:r>
      <w:r w:rsidRPr="00DC1F83">
        <w:rPr>
          <w:rFonts w:ascii="ITC Avant Garde" w:hAnsi="ITC Avant Garde"/>
          <w:bCs/>
          <w:color w:val="000000"/>
          <w:sz w:val="18"/>
          <w:szCs w:val="18"/>
          <w:lang w:eastAsia="es-MX"/>
        </w:rPr>
        <w:t>.</w:t>
      </w:r>
    </w:p>
    <w:p w14:paraId="1EFA476E" w14:textId="77777777" w:rsidR="00DC1F83" w:rsidRPr="00DC1F83" w:rsidRDefault="00BD3079" w:rsidP="00DC1F83">
      <w:pPr>
        <w:tabs>
          <w:tab w:val="num" w:pos="540"/>
        </w:tabs>
        <w:spacing w:before="240" w:line="240" w:lineRule="auto"/>
        <w:ind w:left="540" w:right="528"/>
        <w:jc w:val="both"/>
        <w:rPr>
          <w:rFonts w:ascii="ITC Avant Garde" w:hAnsi="ITC Avant Garde"/>
          <w:bCs/>
          <w:color w:val="000000"/>
          <w:lang w:eastAsia="es-MX"/>
        </w:rPr>
      </w:pPr>
      <w:r w:rsidRPr="00DC1F83">
        <w:rPr>
          <w:rFonts w:ascii="ITC Avant Garde" w:hAnsi="ITC Avant Garde"/>
          <w:bCs/>
          <w:color w:val="000000"/>
          <w:sz w:val="18"/>
          <w:szCs w:val="18"/>
          <w:lang w:eastAsia="es-MX"/>
        </w:rPr>
        <w:t>[…].”</w:t>
      </w:r>
    </w:p>
    <w:p w14:paraId="5C538436" w14:textId="77777777" w:rsidR="00DC1F83" w:rsidRPr="00DC1F83" w:rsidRDefault="005A18F4" w:rsidP="00DC1F83">
      <w:pPr>
        <w:tabs>
          <w:tab w:val="num" w:pos="540"/>
        </w:tabs>
        <w:spacing w:before="240" w:line="240" w:lineRule="auto"/>
        <w:ind w:left="540" w:right="528"/>
        <w:jc w:val="both"/>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(Énfasis añadido)</w:t>
      </w:r>
    </w:p>
    <w:p w14:paraId="30CB7391" w14:textId="77777777" w:rsidR="00DC1F83" w:rsidRPr="00DC1F83" w:rsidRDefault="00273931" w:rsidP="00DC1F83">
      <w:pPr>
        <w:spacing w:before="240" w:line="240" w:lineRule="auto"/>
        <w:jc w:val="both"/>
        <w:rPr>
          <w:rFonts w:ascii="ITC Avant Garde" w:hAnsi="ITC Avant Garde"/>
        </w:rPr>
      </w:pPr>
      <w:r w:rsidRPr="00DC1F83">
        <w:rPr>
          <w:rFonts w:ascii="ITC Avant Garde" w:hAnsi="ITC Avant Garde"/>
          <w:bCs/>
          <w:color w:val="000000"/>
          <w:lang w:eastAsia="es-MX"/>
        </w:rPr>
        <w:t>E</w:t>
      </w:r>
      <w:r w:rsidR="00022A8C" w:rsidRPr="00DC1F83">
        <w:rPr>
          <w:rFonts w:ascii="ITC Avant Garde" w:hAnsi="ITC Avant Garde"/>
          <w:bCs/>
          <w:color w:val="000000"/>
          <w:lang w:eastAsia="es-MX"/>
        </w:rPr>
        <w:t>n efecto, e</w:t>
      </w:r>
      <w:r w:rsidRPr="00DC1F83">
        <w:rPr>
          <w:rFonts w:ascii="ITC Avant Garde" w:hAnsi="ITC Avant Garde"/>
          <w:bCs/>
          <w:color w:val="000000"/>
          <w:lang w:eastAsia="es-MX"/>
        </w:rPr>
        <w:t xml:space="preserve">l otorgamiento de una prórroga de vigencia constituye un nuevo acto de otorgamiento de una concesión </w:t>
      </w:r>
      <w:r w:rsidR="00022A8C" w:rsidRPr="00DC1F83">
        <w:rPr>
          <w:rFonts w:ascii="ITC Avant Garde" w:hAnsi="ITC Avant Garde"/>
          <w:bCs/>
          <w:color w:val="000000"/>
          <w:lang w:eastAsia="es-MX"/>
        </w:rPr>
        <w:t xml:space="preserve">para </w:t>
      </w:r>
      <w:r w:rsidRPr="00DC1F83">
        <w:rPr>
          <w:rFonts w:ascii="ITC Avant Garde" w:hAnsi="ITC Avant Garde"/>
          <w:bCs/>
          <w:color w:val="000000"/>
          <w:lang w:eastAsia="es-MX"/>
        </w:rPr>
        <w:t xml:space="preserve">el uso, aprovechamiento y explotación del </w:t>
      </w:r>
      <w:r w:rsidRPr="00DC1F83">
        <w:rPr>
          <w:rFonts w:ascii="ITC Avant Garde" w:hAnsi="ITC Avant Garde"/>
        </w:rPr>
        <w:t>espectro radioeléctrico</w:t>
      </w:r>
      <w:r w:rsidR="003757DC" w:rsidRPr="00DC1F83">
        <w:rPr>
          <w:rFonts w:ascii="ITC Avant Garde" w:hAnsi="ITC Avant Garde"/>
        </w:rPr>
        <w:t xml:space="preserve">, </w:t>
      </w:r>
      <w:r w:rsidR="003757DC" w:rsidRPr="00DC1F83">
        <w:rPr>
          <w:rFonts w:ascii="ITC Avant Garde" w:hAnsi="ITC Avant Garde"/>
          <w:bCs/>
          <w:color w:val="000000"/>
          <w:lang w:eastAsia="es-MX"/>
        </w:rPr>
        <w:t>por un plazo determinado</w:t>
      </w:r>
      <w:r w:rsidR="00E71D3D" w:rsidRPr="00DC1F83">
        <w:rPr>
          <w:rFonts w:ascii="ITC Avant Garde" w:hAnsi="ITC Avant Garde"/>
        </w:rPr>
        <w:t>.</w:t>
      </w:r>
    </w:p>
    <w:p w14:paraId="6713823B" w14:textId="77777777" w:rsidR="00DC1F83" w:rsidRPr="00DC1F83" w:rsidRDefault="00E71D3D" w:rsidP="00DC1F83">
      <w:pPr>
        <w:spacing w:before="240" w:line="240" w:lineRule="auto"/>
        <w:jc w:val="both"/>
        <w:rPr>
          <w:rFonts w:ascii="ITC Avant Garde" w:hAnsi="ITC Avant Garde"/>
        </w:rPr>
      </w:pPr>
      <w:r w:rsidRPr="00DC1F83">
        <w:rPr>
          <w:rFonts w:ascii="ITC Avant Garde" w:hAnsi="ITC Avant Garde"/>
        </w:rPr>
        <w:t xml:space="preserve">El espectro radioeléctrico </w:t>
      </w:r>
      <w:r w:rsidR="00273931" w:rsidRPr="00DC1F83">
        <w:rPr>
          <w:rFonts w:ascii="ITC Avant Garde" w:hAnsi="ITC Avant Garde"/>
        </w:rPr>
        <w:t xml:space="preserve">constituye un recurso económico del Estado al que le son aplicables los principios contenidos </w:t>
      </w:r>
      <w:r w:rsidR="003757DC" w:rsidRPr="00DC1F83">
        <w:rPr>
          <w:rFonts w:ascii="ITC Avant Garde" w:hAnsi="ITC Avant Garde"/>
        </w:rPr>
        <w:t>por</w:t>
      </w:r>
      <w:r w:rsidR="00273931" w:rsidRPr="00DC1F83">
        <w:rPr>
          <w:rFonts w:ascii="ITC Avant Garde" w:hAnsi="ITC Avant Garde"/>
        </w:rPr>
        <w:t xml:space="preserve"> el artículo 134 de la Constitución, conjuntamente con los establecidos </w:t>
      </w:r>
      <w:r w:rsidR="003757DC" w:rsidRPr="00DC1F83">
        <w:rPr>
          <w:rFonts w:ascii="ITC Avant Garde" w:hAnsi="ITC Avant Garde"/>
        </w:rPr>
        <w:t>por</w:t>
      </w:r>
      <w:r w:rsidR="00273931" w:rsidRPr="00DC1F83">
        <w:rPr>
          <w:rFonts w:ascii="ITC Avant Garde" w:hAnsi="ITC Avant Garde"/>
        </w:rPr>
        <w:t xml:space="preserve"> los artículos 25, 26, 27 y 28 que conforman el capítulo económico de </w:t>
      </w:r>
      <w:r w:rsidR="003757DC" w:rsidRPr="00DC1F83">
        <w:rPr>
          <w:rFonts w:ascii="ITC Avant Garde" w:hAnsi="ITC Avant Garde"/>
        </w:rPr>
        <w:t xml:space="preserve">la </w:t>
      </w:r>
      <w:r w:rsidR="00273931" w:rsidRPr="00DC1F83">
        <w:rPr>
          <w:rFonts w:ascii="ITC Avant Garde" w:hAnsi="ITC Avant Garde"/>
        </w:rPr>
        <w:t>Ley Fundamental, por lo que se otorga en concesión s</w:t>
      </w:r>
      <w:r w:rsidR="003757DC" w:rsidRPr="00DC1F83">
        <w:rPr>
          <w:rFonts w:ascii="ITC Avant Garde" w:hAnsi="ITC Avant Garde"/>
        </w:rPr>
        <w:t>ó</w:t>
      </w:r>
      <w:r w:rsidR="00273931" w:rsidRPr="00DC1F83">
        <w:rPr>
          <w:rFonts w:ascii="ITC Avant Garde" w:hAnsi="ITC Avant Garde"/>
        </w:rPr>
        <w:t>lo a cambio de una contraprestación económica. En este sentido, al prorrogarse el título de concesión respectivo, el Estado tiene derecho a percibir una contraprestación por el uso, goce, aprovechamiento o explotación del bien de dominio público de la Federación al que se hace mención.</w:t>
      </w:r>
    </w:p>
    <w:p w14:paraId="7F051D07" w14:textId="77777777" w:rsidR="00DC1F83" w:rsidRPr="00DC1F83" w:rsidRDefault="00273931" w:rsidP="00DC1F83">
      <w:pPr>
        <w:tabs>
          <w:tab w:val="num" w:pos="540"/>
        </w:tabs>
        <w:spacing w:before="240" w:line="240" w:lineRule="auto"/>
        <w:jc w:val="both"/>
        <w:rPr>
          <w:rFonts w:ascii="ITC Avant Garde" w:hAnsi="ITC Avant Garde"/>
          <w:bCs/>
          <w:color w:val="000000"/>
          <w:lang w:eastAsia="es-MX"/>
        </w:rPr>
      </w:pPr>
      <w:r w:rsidRPr="00DC1F83">
        <w:rPr>
          <w:rFonts w:ascii="ITC Avant Garde" w:hAnsi="ITC Avant Garde"/>
          <w:bCs/>
          <w:color w:val="000000"/>
          <w:lang w:eastAsia="es-MX"/>
        </w:rPr>
        <w:lastRenderedPageBreak/>
        <w:t xml:space="preserve">Ahora bien, </w:t>
      </w:r>
      <w:r w:rsidR="00DA4523" w:rsidRPr="00DC1F83">
        <w:rPr>
          <w:rFonts w:ascii="ITC Avant Garde" w:hAnsi="ITC Avant Garde"/>
          <w:bCs/>
          <w:color w:val="000000"/>
          <w:lang w:eastAsia="es-MX"/>
        </w:rPr>
        <w:t xml:space="preserve">en términos del párrafo décimo séptimo del artículo </w:t>
      </w:r>
      <w:r w:rsidR="00696B25" w:rsidRPr="00DC1F83">
        <w:rPr>
          <w:rFonts w:ascii="ITC Avant Garde" w:hAnsi="ITC Avant Garde"/>
          <w:bCs/>
          <w:color w:val="000000"/>
          <w:lang w:eastAsia="es-MX"/>
        </w:rPr>
        <w:t xml:space="preserve">28 </w:t>
      </w:r>
      <w:r w:rsidR="00296457" w:rsidRPr="00DC1F83">
        <w:rPr>
          <w:rFonts w:ascii="ITC Avant Garde" w:hAnsi="ITC Avant Garde"/>
          <w:bCs/>
          <w:color w:val="000000"/>
          <w:lang w:eastAsia="es-MX"/>
        </w:rPr>
        <w:t>de la Constitución</w:t>
      </w:r>
      <w:r w:rsidR="00DA4523" w:rsidRPr="00DC1F83">
        <w:rPr>
          <w:rFonts w:ascii="ITC Avant Garde" w:hAnsi="ITC Avant Garde"/>
          <w:bCs/>
          <w:color w:val="000000"/>
          <w:lang w:eastAsia="es-MX"/>
        </w:rPr>
        <w:t>,</w:t>
      </w:r>
      <w:r w:rsidR="002A0AB3" w:rsidRPr="00DC1F83">
        <w:rPr>
          <w:rFonts w:ascii="ITC Avant Garde" w:hAnsi="ITC Avant Garde"/>
          <w:bCs/>
          <w:color w:val="000000"/>
          <w:lang w:eastAsia="es-MX"/>
        </w:rPr>
        <w:t xml:space="preserve"> el cual señala que el Instituto fijará el monto de las contraprestaciones por el otorgamiento de las concesiones,</w:t>
      </w:r>
      <w:r w:rsidR="002A0AB3" w:rsidRPr="00DC1F83">
        <w:rPr>
          <w:rFonts w:ascii="ITC Avant Garde" w:hAnsi="ITC Avant Garde"/>
          <w:bCs/>
          <w:color w:val="000000"/>
          <w:lang w:val="es-ES" w:eastAsia="es-MX"/>
        </w:rPr>
        <w:t xml:space="preserve"> el Instituto, a través de la Unidad de Espectro Radioeléctrico, </w:t>
      </w:r>
      <w:r w:rsidR="006D4B48" w:rsidRPr="00DC1F83">
        <w:rPr>
          <w:rFonts w:ascii="ITC Avant Garde" w:hAnsi="ITC Avant Garde"/>
          <w:bCs/>
          <w:color w:val="000000"/>
          <w:lang w:val="es-ES" w:eastAsia="es-MX"/>
        </w:rPr>
        <w:t>mediante oficios IFT/222/UER/279/2016 de fecha 12</w:t>
      </w:r>
      <w:r w:rsidR="002A0AB3" w:rsidRPr="00DC1F83">
        <w:rPr>
          <w:rFonts w:ascii="ITC Avant Garde" w:hAnsi="ITC Avant Garde"/>
          <w:bCs/>
          <w:color w:val="000000"/>
          <w:lang w:val="es-ES" w:eastAsia="es-MX"/>
        </w:rPr>
        <w:t xml:space="preserve"> de </w:t>
      </w:r>
      <w:r w:rsidR="00EF4D35" w:rsidRPr="00DC1F83">
        <w:rPr>
          <w:rFonts w:ascii="ITC Avant Garde" w:hAnsi="ITC Avant Garde"/>
          <w:bCs/>
          <w:color w:val="000000"/>
          <w:lang w:val="es-ES" w:eastAsia="es-MX"/>
        </w:rPr>
        <w:t>agosto</w:t>
      </w:r>
      <w:r w:rsidR="002A0AB3" w:rsidRPr="00DC1F83">
        <w:rPr>
          <w:rFonts w:ascii="ITC Avant Garde" w:hAnsi="ITC Avant Garde"/>
          <w:bCs/>
          <w:color w:val="000000"/>
          <w:lang w:val="es-ES" w:eastAsia="es-MX"/>
        </w:rPr>
        <w:t xml:space="preserve"> de 2016</w:t>
      </w:r>
      <w:r w:rsidR="006D4B48" w:rsidRPr="00DC1F83">
        <w:rPr>
          <w:rFonts w:ascii="ITC Avant Garde" w:hAnsi="ITC Avant Garde"/>
          <w:bCs/>
          <w:color w:val="000000"/>
          <w:lang w:val="es-ES" w:eastAsia="es-MX"/>
        </w:rPr>
        <w:t xml:space="preserve"> e IFT/222/UER/282/2016 de fecha 16 de agosto de 2016</w:t>
      </w:r>
      <w:r w:rsidR="002A0AB3" w:rsidRPr="00DC1F83">
        <w:rPr>
          <w:rFonts w:ascii="ITC Avant Garde" w:hAnsi="ITC Avant Garde"/>
          <w:bCs/>
          <w:color w:val="000000"/>
          <w:lang w:val="es-ES" w:eastAsia="es-MX"/>
        </w:rPr>
        <w:t xml:space="preserve">, solicitó a la Secretaría de Hacienda y Crédito Público emitir su opinión </w:t>
      </w:r>
      <w:r w:rsidR="002176C8" w:rsidRPr="00DC1F83">
        <w:rPr>
          <w:rFonts w:ascii="ITC Avant Garde" w:hAnsi="ITC Avant Garde"/>
          <w:bCs/>
          <w:color w:val="000000"/>
          <w:lang w:val="es-ES" w:eastAsia="es-MX"/>
        </w:rPr>
        <w:t xml:space="preserve">no vinculante </w:t>
      </w:r>
      <w:r w:rsidR="006D4B48" w:rsidRPr="00DC1F83">
        <w:rPr>
          <w:rFonts w:ascii="ITC Avant Garde" w:hAnsi="ITC Avant Garde"/>
          <w:bCs/>
          <w:color w:val="000000"/>
          <w:lang w:val="es-ES" w:eastAsia="es-MX"/>
        </w:rPr>
        <w:t>respecto al monto de los aprovechamientos que deber</w:t>
      </w:r>
      <w:r w:rsidR="00250088" w:rsidRPr="00DC1F83">
        <w:rPr>
          <w:rFonts w:ascii="ITC Avant Garde" w:hAnsi="ITC Avant Garde"/>
          <w:bCs/>
          <w:color w:val="000000"/>
          <w:lang w:val="es-ES" w:eastAsia="es-MX"/>
        </w:rPr>
        <w:t>ía</w:t>
      </w:r>
      <w:r w:rsidR="006D4B48" w:rsidRPr="00DC1F83">
        <w:rPr>
          <w:rFonts w:ascii="ITC Avant Garde" w:hAnsi="ITC Avant Garde"/>
          <w:bCs/>
          <w:color w:val="000000"/>
          <w:lang w:val="es-ES" w:eastAsia="es-MX"/>
        </w:rPr>
        <w:t xml:space="preserve"> pagar Telcel por concepto de las prórrogas de concesión para usar, aprovechar y explotar 8.4 MHz de la banda de frecuencias del espectro radioeléctrico de 1900 MHz (PCS), en las Regiones 1, 2, 3, 4, 5, 6, 7, 8 y 9 PCS con una vigencia de 20 (veinte) años y que </w:t>
      </w:r>
      <w:r w:rsidR="00250088" w:rsidRPr="00DC1F83">
        <w:rPr>
          <w:rFonts w:ascii="ITC Avant Garde" w:hAnsi="ITC Avant Garde"/>
          <w:bCs/>
          <w:color w:val="000000"/>
          <w:lang w:val="es-ES" w:eastAsia="es-MX"/>
        </w:rPr>
        <w:t xml:space="preserve">en ese momento </w:t>
      </w:r>
      <w:r w:rsidR="006D4B48" w:rsidRPr="00DC1F83">
        <w:rPr>
          <w:rFonts w:ascii="ITC Avant Garde" w:hAnsi="ITC Avant Garde"/>
          <w:bCs/>
          <w:color w:val="000000"/>
          <w:lang w:val="es-ES" w:eastAsia="es-MX"/>
        </w:rPr>
        <w:t>correspond</w:t>
      </w:r>
      <w:r w:rsidR="00250088" w:rsidRPr="00DC1F83">
        <w:rPr>
          <w:rFonts w:ascii="ITC Avant Garde" w:hAnsi="ITC Avant Garde"/>
          <w:bCs/>
          <w:color w:val="000000"/>
          <w:lang w:val="es-ES" w:eastAsia="es-MX"/>
        </w:rPr>
        <w:t>ía</w:t>
      </w:r>
      <w:r w:rsidR="006D4B48" w:rsidRPr="00DC1F83">
        <w:rPr>
          <w:rFonts w:ascii="ITC Avant Garde" w:hAnsi="ITC Avant Garde"/>
          <w:bCs/>
          <w:color w:val="000000"/>
          <w:lang w:val="es-ES" w:eastAsia="es-MX"/>
        </w:rPr>
        <w:t xml:space="preserve"> a la cantidad total de $877,745,308.00 (Ochocientos setenta y siete millones setecientos cuarenta y cinco mil trescientos ocho pesos 00/100 M.N.)</w:t>
      </w:r>
    </w:p>
    <w:p w14:paraId="28649E8D" w14:textId="77777777" w:rsidR="00DC1F83" w:rsidRPr="00DC1F83" w:rsidRDefault="00CE67CC" w:rsidP="00DC1F83">
      <w:pPr>
        <w:tabs>
          <w:tab w:val="num" w:pos="540"/>
        </w:tabs>
        <w:spacing w:before="240" w:line="240" w:lineRule="auto"/>
        <w:jc w:val="both"/>
        <w:rPr>
          <w:rFonts w:ascii="ITC Avant Garde" w:hAnsi="ITC Avant Garde"/>
          <w:bCs/>
          <w:color w:val="000000"/>
          <w:lang w:eastAsia="es-MX"/>
        </w:rPr>
      </w:pPr>
      <w:r w:rsidRPr="00DC1F83">
        <w:rPr>
          <w:rFonts w:ascii="ITC Avant Garde" w:hAnsi="ITC Avant Garde"/>
          <w:bCs/>
          <w:color w:val="000000"/>
          <w:lang w:val="es-ES" w:eastAsia="es-MX"/>
        </w:rPr>
        <w:t>Al respecto, mediante oficio</w:t>
      </w:r>
      <w:r w:rsidR="002A0AB3" w:rsidRPr="00DC1F83">
        <w:rPr>
          <w:rFonts w:ascii="ITC Avant Garde" w:hAnsi="ITC Avant Garde"/>
          <w:bCs/>
          <w:color w:val="000000"/>
          <w:lang w:val="es-ES" w:eastAsia="es-MX"/>
        </w:rPr>
        <w:t xml:space="preserve"> </w:t>
      </w:r>
      <w:r w:rsidRPr="00DC1F83">
        <w:rPr>
          <w:rFonts w:ascii="ITC Avant Garde" w:hAnsi="ITC Avant Garde"/>
          <w:bCs/>
          <w:color w:val="000000"/>
          <w:lang w:eastAsia="es-MX"/>
        </w:rPr>
        <w:t>349-B-341</w:t>
      </w:r>
      <w:r w:rsidR="002A0AB3" w:rsidRPr="00DC1F83">
        <w:rPr>
          <w:rFonts w:ascii="ITC Avant Garde" w:hAnsi="ITC Avant Garde"/>
          <w:bCs/>
          <w:color w:val="000000"/>
          <w:lang w:eastAsia="es-MX"/>
        </w:rPr>
        <w:t xml:space="preserve"> de fecha </w:t>
      </w:r>
      <w:r w:rsidRPr="00DC1F83">
        <w:rPr>
          <w:rFonts w:ascii="ITC Avant Garde" w:hAnsi="ITC Avant Garde"/>
          <w:bCs/>
          <w:color w:val="000000"/>
          <w:lang w:eastAsia="es-MX"/>
        </w:rPr>
        <w:t>16 de agosto</w:t>
      </w:r>
      <w:r w:rsidR="002A0AB3" w:rsidRPr="00DC1F83">
        <w:rPr>
          <w:rFonts w:ascii="ITC Avant Garde" w:hAnsi="ITC Avant Garde"/>
          <w:bCs/>
          <w:color w:val="000000"/>
          <w:lang w:eastAsia="es-MX"/>
        </w:rPr>
        <w:t xml:space="preserve"> de 2016, la Unidad de Polí</w:t>
      </w:r>
      <w:r w:rsidRPr="00DC1F83">
        <w:rPr>
          <w:rFonts w:ascii="ITC Avant Garde" w:hAnsi="ITC Avant Garde"/>
          <w:bCs/>
          <w:color w:val="000000"/>
          <w:lang w:eastAsia="es-MX"/>
        </w:rPr>
        <w:t xml:space="preserve">tica de Ingresos no Tributarios, </w:t>
      </w:r>
      <w:r w:rsidR="002A0AB3" w:rsidRPr="00DC1F83">
        <w:rPr>
          <w:rFonts w:ascii="ITC Avant Garde" w:hAnsi="ITC Avant Garde"/>
          <w:bCs/>
          <w:color w:val="000000"/>
          <w:lang w:eastAsia="es-MX"/>
        </w:rPr>
        <w:t>adscrita a la Subsecretaría de Ingresos de la Secretaría de Hacienda y Crédito Público, emitió opinión favorable respecto de</w:t>
      </w:r>
      <w:r w:rsidRPr="00DC1F83">
        <w:rPr>
          <w:rFonts w:ascii="ITC Avant Garde" w:hAnsi="ITC Avant Garde"/>
          <w:bCs/>
          <w:color w:val="000000"/>
          <w:lang w:eastAsia="es-MX"/>
        </w:rPr>
        <w:t>l</w:t>
      </w:r>
      <w:r w:rsidR="002A0AB3" w:rsidRPr="00DC1F83">
        <w:rPr>
          <w:rFonts w:ascii="ITC Avant Garde" w:hAnsi="ITC Avant Garde"/>
          <w:bCs/>
          <w:color w:val="000000"/>
          <w:lang w:eastAsia="es-MX"/>
        </w:rPr>
        <w:t xml:space="preserve"> monto de </w:t>
      </w:r>
      <w:r w:rsidRPr="00DC1F83">
        <w:rPr>
          <w:rFonts w:ascii="ITC Avant Garde" w:hAnsi="ITC Avant Garde"/>
          <w:bCs/>
          <w:color w:val="000000"/>
          <w:lang w:eastAsia="es-MX"/>
        </w:rPr>
        <w:t>la contraprestación propuesto</w:t>
      </w:r>
      <w:r w:rsidR="002A0AB3" w:rsidRPr="00DC1F83">
        <w:rPr>
          <w:rFonts w:ascii="ITC Avant Garde" w:hAnsi="ITC Avant Garde"/>
          <w:bCs/>
          <w:color w:val="000000"/>
          <w:lang w:eastAsia="es-MX"/>
        </w:rPr>
        <w:t xml:space="preserve"> por el Instituto, por concepto de las Solicitu</w:t>
      </w:r>
      <w:r w:rsidRPr="00DC1F83">
        <w:rPr>
          <w:rFonts w:ascii="ITC Avant Garde" w:hAnsi="ITC Avant Garde"/>
          <w:bCs/>
          <w:color w:val="000000"/>
          <w:lang w:eastAsia="es-MX"/>
        </w:rPr>
        <w:t>des de Prórroga</w:t>
      </w:r>
      <w:r w:rsidR="002A0AB3" w:rsidRPr="00DC1F83">
        <w:rPr>
          <w:rFonts w:ascii="ITC Avant Garde" w:hAnsi="ITC Avant Garde"/>
          <w:bCs/>
          <w:color w:val="000000"/>
          <w:lang w:eastAsia="es-MX"/>
        </w:rPr>
        <w:t>.</w:t>
      </w:r>
    </w:p>
    <w:p w14:paraId="3002AE22" w14:textId="02378E8E" w:rsidR="00CE67CC" w:rsidRPr="00DC1F83" w:rsidRDefault="00CE67CC" w:rsidP="00DC1F83">
      <w:pPr>
        <w:tabs>
          <w:tab w:val="num" w:pos="540"/>
        </w:tabs>
        <w:spacing w:before="240" w:line="240" w:lineRule="auto"/>
        <w:jc w:val="both"/>
        <w:rPr>
          <w:rFonts w:ascii="ITC Avant Garde" w:hAnsi="ITC Avant Garde"/>
          <w:bCs/>
          <w:color w:val="000000"/>
          <w:lang w:eastAsia="es-MX"/>
        </w:rPr>
      </w:pPr>
      <w:r w:rsidRPr="00DC1F83">
        <w:rPr>
          <w:rFonts w:ascii="ITC Avant Garde" w:hAnsi="ITC Avant Garde"/>
          <w:bCs/>
          <w:color w:val="000000"/>
          <w:lang w:eastAsia="es-MX"/>
        </w:rPr>
        <w:t>Asimismo, remitió como Anexo al oficio 349-B-341 el monto de los aprovechamientos por Región PCS que deberá pagar Telcel por concepto de las Solicitudes de Prórroga, mismo que se transcribe a continuación.</w:t>
      </w:r>
    </w:p>
    <w:tbl>
      <w:tblPr>
        <w:tblStyle w:val="Tablaconcuadrcula1"/>
        <w:tblW w:w="0" w:type="auto"/>
        <w:jc w:val="center"/>
        <w:tblLook w:val="04A0" w:firstRow="1" w:lastRow="0" w:firstColumn="1" w:lastColumn="0" w:noHBand="0" w:noVBand="1"/>
        <w:tblCaption w:val="Monto de aprovechamientos por Región PCS que deberá pagar Telcel"/>
        <w:tblDescription w:val="En una tabla de 5 columnas, se proporciona para las 9 Regiones el monto de la contraprestación que deberá pagarse."/>
      </w:tblPr>
      <w:tblGrid>
        <w:gridCol w:w="1865"/>
        <w:gridCol w:w="1866"/>
        <w:gridCol w:w="1872"/>
        <w:gridCol w:w="1865"/>
        <w:gridCol w:w="1877"/>
      </w:tblGrid>
      <w:tr w:rsidR="00CE67CC" w:rsidRPr="00DC1F83" w14:paraId="5BDBFA00" w14:textId="77777777" w:rsidTr="00DC1F83">
        <w:trPr>
          <w:tblHeader/>
          <w:jc w:val="center"/>
        </w:trPr>
        <w:tc>
          <w:tcPr>
            <w:tcW w:w="1865" w:type="dxa"/>
            <w:shd w:val="clear" w:color="auto" w:fill="A6A6A6" w:themeFill="background1" w:themeFillShade="A6"/>
            <w:vAlign w:val="center"/>
          </w:tcPr>
          <w:p w14:paraId="300390CC" w14:textId="6276459D" w:rsidR="00CE67CC" w:rsidRPr="00DC1F83" w:rsidRDefault="00CE67CC" w:rsidP="00DC1F83">
            <w:pPr>
              <w:tabs>
                <w:tab w:val="num" w:pos="540"/>
              </w:tabs>
              <w:spacing w:after="0" w:line="240" w:lineRule="auto"/>
              <w:jc w:val="center"/>
              <w:rPr>
                <w:rFonts w:ascii="ITC Avant Garde" w:hAnsi="ITC Avant Garde"/>
                <w:b/>
                <w:bCs/>
                <w:color w:val="000000"/>
                <w:sz w:val="18"/>
                <w:szCs w:val="18"/>
                <w:lang w:eastAsia="es-MX"/>
              </w:rPr>
            </w:pPr>
            <w:r w:rsidRPr="00DC1F83">
              <w:rPr>
                <w:rFonts w:ascii="ITC Avant Garde" w:hAnsi="ITC Avant Garde"/>
                <w:b/>
                <w:bCs/>
                <w:color w:val="000000"/>
                <w:sz w:val="18"/>
                <w:szCs w:val="18"/>
                <w:lang w:eastAsia="es-MX"/>
              </w:rPr>
              <w:t>Región PCS</w:t>
            </w:r>
          </w:p>
        </w:tc>
        <w:tc>
          <w:tcPr>
            <w:tcW w:w="1866" w:type="dxa"/>
            <w:shd w:val="clear" w:color="auto" w:fill="A6A6A6" w:themeFill="background1" w:themeFillShade="A6"/>
            <w:vAlign w:val="center"/>
          </w:tcPr>
          <w:p w14:paraId="13D6AA45" w14:textId="24EE5792" w:rsidR="00CE67CC" w:rsidRPr="00DC1F83" w:rsidRDefault="00CE67CC" w:rsidP="00DC1F83">
            <w:pPr>
              <w:tabs>
                <w:tab w:val="num" w:pos="540"/>
              </w:tabs>
              <w:spacing w:after="0" w:line="240" w:lineRule="auto"/>
              <w:jc w:val="center"/>
              <w:rPr>
                <w:rFonts w:ascii="ITC Avant Garde" w:hAnsi="ITC Avant Garde"/>
                <w:b/>
                <w:bCs/>
                <w:color w:val="000000"/>
                <w:sz w:val="18"/>
                <w:szCs w:val="18"/>
                <w:lang w:eastAsia="es-MX"/>
              </w:rPr>
            </w:pPr>
            <w:r w:rsidRPr="00DC1F83">
              <w:rPr>
                <w:rFonts w:ascii="ITC Avant Garde" w:hAnsi="ITC Avant Garde"/>
                <w:b/>
                <w:bCs/>
                <w:color w:val="000000"/>
                <w:sz w:val="18"/>
                <w:szCs w:val="18"/>
                <w:lang w:eastAsia="es-MX"/>
              </w:rPr>
              <w:t>% por región con base en el artículo 244-B de la LFD</w:t>
            </w:r>
          </w:p>
        </w:tc>
        <w:tc>
          <w:tcPr>
            <w:tcW w:w="1872" w:type="dxa"/>
            <w:shd w:val="clear" w:color="auto" w:fill="A6A6A6" w:themeFill="background1" w:themeFillShade="A6"/>
            <w:vAlign w:val="center"/>
          </w:tcPr>
          <w:p w14:paraId="2D4EC979" w14:textId="35000BCC" w:rsidR="00CE67CC" w:rsidRPr="00DC1F83" w:rsidRDefault="00CE67CC" w:rsidP="00DC1F83">
            <w:pPr>
              <w:tabs>
                <w:tab w:val="num" w:pos="540"/>
              </w:tabs>
              <w:spacing w:after="0" w:line="240" w:lineRule="auto"/>
              <w:jc w:val="center"/>
              <w:rPr>
                <w:rFonts w:ascii="ITC Avant Garde" w:hAnsi="ITC Avant Garde"/>
                <w:b/>
                <w:bCs/>
                <w:color w:val="000000"/>
                <w:sz w:val="18"/>
                <w:szCs w:val="18"/>
                <w:lang w:eastAsia="es-MX"/>
              </w:rPr>
            </w:pPr>
            <w:r w:rsidRPr="00DC1F83">
              <w:rPr>
                <w:rFonts w:ascii="ITC Avant Garde" w:hAnsi="ITC Avant Garde"/>
                <w:b/>
                <w:bCs/>
                <w:color w:val="000000"/>
                <w:sz w:val="18"/>
                <w:szCs w:val="18"/>
                <w:lang w:eastAsia="es-MX"/>
              </w:rPr>
              <w:t>Precio por MHz regional (pesos a julio 2016)</w:t>
            </w:r>
          </w:p>
        </w:tc>
        <w:tc>
          <w:tcPr>
            <w:tcW w:w="1865" w:type="dxa"/>
            <w:shd w:val="clear" w:color="auto" w:fill="A6A6A6" w:themeFill="background1" w:themeFillShade="A6"/>
            <w:vAlign w:val="center"/>
          </w:tcPr>
          <w:p w14:paraId="4293E778" w14:textId="0293DD64" w:rsidR="00CE67CC" w:rsidRPr="00DC1F83" w:rsidRDefault="00CE67CC" w:rsidP="00DC1F83">
            <w:pPr>
              <w:tabs>
                <w:tab w:val="num" w:pos="540"/>
              </w:tabs>
              <w:spacing w:after="0" w:line="240" w:lineRule="auto"/>
              <w:jc w:val="center"/>
              <w:rPr>
                <w:rFonts w:ascii="ITC Avant Garde" w:hAnsi="ITC Avant Garde"/>
                <w:b/>
                <w:bCs/>
                <w:color w:val="000000"/>
                <w:sz w:val="18"/>
                <w:szCs w:val="18"/>
                <w:lang w:eastAsia="es-MX"/>
              </w:rPr>
            </w:pPr>
            <w:r w:rsidRPr="00DC1F83">
              <w:rPr>
                <w:rFonts w:ascii="ITC Avant Garde" w:hAnsi="ITC Avant Garde"/>
                <w:b/>
                <w:bCs/>
                <w:color w:val="000000"/>
                <w:sz w:val="18"/>
                <w:szCs w:val="18"/>
                <w:lang w:eastAsia="es-MX"/>
              </w:rPr>
              <w:t>MHz por región</w:t>
            </w:r>
          </w:p>
        </w:tc>
        <w:tc>
          <w:tcPr>
            <w:tcW w:w="1877" w:type="dxa"/>
            <w:shd w:val="clear" w:color="auto" w:fill="A6A6A6" w:themeFill="background1" w:themeFillShade="A6"/>
            <w:vAlign w:val="center"/>
          </w:tcPr>
          <w:p w14:paraId="3F23CF7E" w14:textId="79FC8A7B" w:rsidR="00CE67CC" w:rsidRPr="00DC1F83" w:rsidRDefault="00CE67CC" w:rsidP="00DC1F83">
            <w:pPr>
              <w:tabs>
                <w:tab w:val="num" w:pos="540"/>
              </w:tabs>
              <w:spacing w:after="0" w:line="240" w:lineRule="auto"/>
              <w:jc w:val="center"/>
              <w:rPr>
                <w:rFonts w:ascii="ITC Avant Garde" w:hAnsi="ITC Avant Garde"/>
                <w:b/>
                <w:bCs/>
                <w:color w:val="000000"/>
                <w:sz w:val="18"/>
                <w:szCs w:val="18"/>
                <w:lang w:eastAsia="es-MX"/>
              </w:rPr>
            </w:pPr>
            <w:r w:rsidRPr="00DC1F83">
              <w:rPr>
                <w:rFonts w:ascii="ITC Avant Garde" w:hAnsi="ITC Avant Garde"/>
                <w:b/>
                <w:bCs/>
                <w:color w:val="000000"/>
                <w:sz w:val="18"/>
                <w:szCs w:val="18"/>
                <w:lang w:eastAsia="es-MX"/>
              </w:rPr>
              <w:t>Monto de Contraprestación (pesos a julio de 2016)</w:t>
            </w:r>
          </w:p>
        </w:tc>
      </w:tr>
      <w:tr w:rsidR="00CE67CC" w:rsidRPr="00DC1F83" w14:paraId="7E12DCEC" w14:textId="77777777" w:rsidTr="00DC1F83">
        <w:trPr>
          <w:jc w:val="center"/>
        </w:trPr>
        <w:tc>
          <w:tcPr>
            <w:tcW w:w="1865" w:type="dxa"/>
          </w:tcPr>
          <w:p w14:paraId="2112BB0D" w14:textId="54D2F155" w:rsidR="00CE67CC" w:rsidRPr="00DC1F83" w:rsidRDefault="00953FAB"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Región 1</w:t>
            </w:r>
          </w:p>
        </w:tc>
        <w:tc>
          <w:tcPr>
            <w:tcW w:w="1866" w:type="dxa"/>
          </w:tcPr>
          <w:p w14:paraId="669EAE86" w14:textId="18AA6405" w:rsidR="00CE67CC" w:rsidRPr="00DC1F83" w:rsidRDefault="00953FAB"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8.82%</w:t>
            </w:r>
          </w:p>
        </w:tc>
        <w:tc>
          <w:tcPr>
            <w:tcW w:w="1872" w:type="dxa"/>
          </w:tcPr>
          <w:p w14:paraId="709A2B7C" w14:textId="399D7AAB" w:rsidR="00CE67CC" w:rsidRPr="00DC1F83" w:rsidRDefault="00953FAB" w:rsidP="00DC1F83">
            <w:pPr>
              <w:tabs>
                <w:tab w:val="num" w:pos="540"/>
              </w:tabs>
              <w:spacing w:after="0" w:line="240" w:lineRule="auto"/>
              <w:jc w:val="right"/>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$9,219,877</w:t>
            </w:r>
          </w:p>
        </w:tc>
        <w:tc>
          <w:tcPr>
            <w:tcW w:w="1865" w:type="dxa"/>
          </w:tcPr>
          <w:p w14:paraId="658327F5" w14:textId="3FA2950B" w:rsidR="00CE67CC" w:rsidRPr="00DC1F83" w:rsidRDefault="000D35A2"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8.4</w:t>
            </w:r>
          </w:p>
        </w:tc>
        <w:tc>
          <w:tcPr>
            <w:tcW w:w="1877" w:type="dxa"/>
          </w:tcPr>
          <w:p w14:paraId="73A0E234" w14:textId="38B41267" w:rsidR="00CE67CC" w:rsidRPr="00DC1F83" w:rsidRDefault="000D35A2" w:rsidP="00DC1F83">
            <w:pPr>
              <w:tabs>
                <w:tab w:val="num" w:pos="540"/>
              </w:tabs>
              <w:spacing w:after="0" w:line="240" w:lineRule="auto"/>
              <w:jc w:val="right"/>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$77,446,969</w:t>
            </w:r>
          </w:p>
        </w:tc>
      </w:tr>
      <w:tr w:rsidR="00CE67CC" w:rsidRPr="00DC1F83" w14:paraId="2AE153CF" w14:textId="77777777" w:rsidTr="00DC1F83">
        <w:trPr>
          <w:jc w:val="center"/>
        </w:trPr>
        <w:tc>
          <w:tcPr>
            <w:tcW w:w="1865" w:type="dxa"/>
          </w:tcPr>
          <w:p w14:paraId="34B249A3" w14:textId="6501D2FA" w:rsidR="00CE67CC" w:rsidRPr="00DC1F83" w:rsidRDefault="00953FAB"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Región 2</w:t>
            </w:r>
          </w:p>
        </w:tc>
        <w:tc>
          <w:tcPr>
            <w:tcW w:w="1866" w:type="dxa"/>
          </w:tcPr>
          <w:p w14:paraId="36BFCE74" w14:textId="5BCBD8AD" w:rsidR="00CE67CC" w:rsidRPr="00DC1F83" w:rsidRDefault="00953FAB"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1.31%</w:t>
            </w:r>
          </w:p>
        </w:tc>
        <w:tc>
          <w:tcPr>
            <w:tcW w:w="1872" w:type="dxa"/>
          </w:tcPr>
          <w:p w14:paraId="7760029E" w14:textId="6977C2E4" w:rsidR="00CE67CC" w:rsidRPr="00DC1F83" w:rsidRDefault="00953FAB" w:rsidP="00DC1F83">
            <w:pPr>
              <w:tabs>
                <w:tab w:val="num" w:pos="540"/>
              </w:tabs>
              <w:spacing w:after="0" w:line="240" w:lineRule="auto"/>
              <w:jc w:val="right"/>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$1,366,754</w:t>
            </w:r>
          </w:p>
        </w:tc>
        <w:tc>
          <w:tcPr>
            <w:tcW w:w="1865" w:type="dxa"/>
          </w:tcPr>
          <w:p w14:paraId="3951565E" w14:textId="4F05381B" w:rsidR="00CE67CC" w:rsidRPr="00DC1F83" w:rsidRDefault="000D35A2"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8.4</w:t>
            </w:r>
          </w:p>
        </w:tc>
        <w:tc>
          <w:tcPr>
            <w:tcW w:w="1877" w:type="dxa"/>
          </w:tcPr>
          <w:p w14:paraId="006B2E71" w14:textId="0D85E9A4" w:rsidR="00CE67CC" w:rsidRPr="00DC1F83" w:rsidRDefault="000D35A2" w:rsidP="00DC1F83">
            <w:pPr>
              <w:tabs>
                <w:tab w:val="num" w:pos="540"/>
              </w:tabs>
              <w:spacing w:after="0" w:line="240" w:lineRule="auto"/>
              <w:jc w:val="right"/>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$11,480,733</w:t>
            </w:r>
          </w:p>
        </w:tc>
      </w:tr>
      <w:tr w:rsidR="00CE67CC" w:rsidRPr="00DC1F83" w14:paraId="5AA4D5AD" w14:textId="77777777" w:rsidTr="00DC1F83">
        <w:trPr>
          <w:jc w:val="center"/>
        </w:trPr>
        <w:tc>
          <w:tcPr>
            <w:tcW w:w="1865" w:type="dxa"/>
          </w:tcPr>
          <w:p w14:paraId="2158ECDE" w14:textId="4DEF5B93" w:rsidR="00CE67CC" w:rsidRPr="00DC1F83" w:rsidRDefault="00953FAB"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 xml:space="preserve">Región 3 </w:t>
            </w:r>
          </w:p>
        </w:tc>
        <w:tc>
          <w:tcPr>
            <w:tcW w:w="1866" w:type="dxa"/>
          </w:tcPr>
          <w:p w14:paraId="6B83B642" w14:textId="36443BEA" w:rsidR="00CE67CC" w:rsidRPr="00DC1F83" w:rsidRDefault="00953FAB"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5.56%</w:t>
            </w:r>
          </w:p>
        </w:tc>
        <w:tc>
          <w:tcPr>
            <w:tcW w:w="1872" w:type="dxa"/>
          </w:tcPr>
          <w:p w14:paraId="36F3ED9D" w14:textId="61E3B6E7" w:rsidR="00CE67CC" w:rsidRPr="00DC1F83" w:rsidRDefault="000D18E4" w:rsidP="00DC1F83">
            <w:pPr>
              <w:tabs>
                <w:tab w:val="num" w:pos="540"/>
              </w:tabs>
              <w:spacing w:after="0" w:line="240" w:lineRule="auto"/>
              <w:jc w:val="right"/>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$5,805,134</w:t>
            </w:r>
          </w:p>
        </w:tc>
        <w:tc>
          <w:tcPr>
            <w:tcW w:w="1865" w:type="dxa"/>
          </w:tcPr>
          <w:p w14:paraId="46EF63FF" w14:textId="16463782" w:rsidR="00CE67CC" w:rsidRPr="00DC1F83" w:rsidRDefault="000D35A2"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8.4</w:t>
            </w:r>
          </w:p>
        </w:tc>
        <w:tc>
          <w:tcPr>
            <w:tcW w:w="1877" w:type="dxa"/>
          </w:tcPr>
          <w:p w14:paraId="68DBFDCF" w14:textId="6560F3B2" w:rsidR="00CE67CC" w:rsidRPr="00DC1F83" w:rsidRDefault="000D35A2" w:rsidP="00DC1F83">
            <w:pPr>
              <w:tabs>
                <w:tab w:val="num" w:pos="540"/>
              </w:tabs>
              <w:spacing w:after="0" w:line="240" w:lineRule="auto"/>
              <w:jc w:val="right"/>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$48,763,128</w:t>
            </w:r>
          </w:p>
        </w:tc>
      </w:tr>
      <w:tr w:rsidR="00CE67CC" w:rsidRPr="00DC1F83" w14:paraId="6A2BAF3A" w14:textId="77777777" w:rsidTr="00DC1F83">
        <w:trPr>
          <w:jc w:val="center"/>
        </w:trPr>
        <w:tc>
          <w:tcPr>
            <w:tcW w:w="1865" w:type="dxa"/>
          </w:tcPr>
          <w:p w14:paraId="00A621C6" w14:textId="7392662C" w:rsidR="00CE67CC" w:rsidRPr="00DC1F83" w:rsidRDefault="00953FAB"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Región 4</w:t>
            </w:r>
          </w:p>
        </w:tc>
        <w:tc>
          <w:tcPr>
            <w:tcW w:w="1866" w:type="dxa"/>
          </w:tcPr>
          <w:p w14:paraId="006A46D5" w14:textId="72BB5C64" w:rsidR="00CE67CC" w:rsidRPr="00DC1F83" w:rsidRDefault="00953FAB"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27.63%</w:t>
            </w:r>
          </w:p>
        </w:tc>
        <w:tc>
          <w:tcPr>
            <w:tcW w:w="1872" w:type="dxa"/>
          </w:tcPr>
          <w:p w14:paraId="082BF8B4" w14:textId="77ECB4C6" w:rsidR="00CE67CC" w:rsidRPr="00DC1F83" w:rsidRDefault="000D18E4" w:rsidP="00DC1F83">
            <w:pPr>
              <w:tabs>
                <w:tab w:val="num" w:pos="540"/>
              </w:tabs>
              <w:spacing w:after="0" w:line="240" w:lineRule="auto"/>
              <w:jc w:val="right"/>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$28,873,810</w:t>
            </w:r>
          </w:p>
        </w:tc>
        <w:tc>
          <w:tcPr>
            <w:tcW w:w="1865" w:type="dxa"/>
          </w:tcPr>
          <w:p w14:paraId="19F0CD85" w14:textId="1ECC2595" w:rsidR="00CE67CC" w:rsidRPr="00DC1F83" w:rsidRDefault="000D35A2"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8.4</w:t>
            </w:r>
          </w:p>
        </w:tc>
        <w:tc>
          <w:tcPr>
            <w:tcW w:w="1877" w:type="dxa"/>
          </w:tcPr>
          <w:p w14:paraId="46093464" w14:textId="5371D991" w:rsidR="00CE67CC" w:rsidRPr="00DC1F83" w:rsidRDefault="000D35A2" w:rsidP="00DC1F83">
            <w:pPr>
              <w:tabs>
                <w:tab w:val="num" w:pos="540"/>
              </w:tabs>
              <w:spacing w:after="0" w:line="240" w:lineRule="auto"/>
              <w:jc w:val="right"/>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$242,540,005</w:t>
            </w:r>
          </w:p>
        </w:tc>
      </w:tr>
      <w:tr w:rsidR="00CE67CC" w:rsidRPr="00DC1F83" w14:paraId="5BDC8FE5" w14:textId="77777777" w:rsidTr="00DC1F83">
        <w:trPr>
          <w:jc w:val="center"/>
        </w:trPr>
        <w:tc>
          <w:tcPr>
            <w:tcW w:w="1865" w:type="dxa"/>
          </w:tcPr>
          <w:p w14:paraId="28EE282D" w14:textId="43987880" w:rsidR="00CE67CC" w:rsidRPr="00DC1F83" w:rsidRDefault="00953FAB"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Región 5</w:t>
            </w:r>
          </w:p>
        </w:tc>
        <w:tc>
          <w:tcPr>
            <w:tcW w:w="1866" w:type="dxa"/>
          </w:tcPr>
          <w:p w14:paraId="53881399" w14:textId="18D4671C" w:rsidR="00CE67CC" w:rsidRPr="00DC1F83" w:rsidRDefault="00953FAB"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0.52%</w:t>
            </w:r>
          </w:p>
        </w:tc>
        <w:tc>
          <w:tcPr>
            <w:tcW w:w="1872" w:type="dxa"/>
          </w:tcPr>
          <w:p w14:paraId="2664B8D7" w14:textId="4EE00F9B" w:rsidR="00CE67CC" w:rsidRPr="00DC1F83" w:rsidRDefault="000D18E4" w:rsidP="00DC1F83">
            <w:pPr>
              <w:tabs>
                <w:tab w:val="num" w:pos="540"/>
              </w:tabs>
              <w:spacing w:after="0" w:line="240" w:lineRule="auto"/>
              <w:jc w:val="right"/>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$540,235</w:t>
            </w:r>
          </w:p>
        </w:tc>
        <w:tc>
          <w:tcPr>
            <w:tcW w:w="1865" w:type="dxa"/>
          </w:tcPr>
          <w:p w14:paraId="0113C4EF" w14:textId="18CA972E" w:rsidR="00CE67CC" w:rsidRPr="00DC1F83" w:rsidRDefault="000D35A2"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8.4</w:t>
            </w:r>
          </w:p>
        </w:tc>
        <w:tc>
          <w:tcPr>
            <w:tcW w:w="1877" w:type="dxa"/>
          </w:tcPr>
          <w:p w14:paraId="6E76BA78" w14:textId="51B46AB7" w:rsidR="00CE67CC" w:rsidRPr="00DC1F83" w:rsidRDefault="000D35A2" w:rsidP="00DC1F83">
            <w:pPr>
              <w:tabs>
                <w:tab w:val="num" w:pos="540"/>
              </w:tabs>
              <w:spacing w:after="0" w:line="240" w:lineRule="auto"/>
              <w:jc w:val="right"/>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$4,537,978</w:t>
            </w:r>
          </w:p>
        </w:tc>
      </w:tr>
      <w:tr w:rsidR="00CE67CC" w:rsidRPr="00DC1F83" w14:paraId="5EBE3660" w14:textId="77777777" w:rsidTr="00DC1F83">
        <w:trPr>
          <w:jc w:val="center"/>
        </w:trPr>
        <w:tc>
          <w:tcPr>
            <w:tcW w:w="1865" w:type="dxa"/>
          </w:tcPr>
          <w:p w14:paraId="378924C6" w14:textId="613B26C9" w:rsidR="00CE67CC" w:rsidRPr="00DC1F83" w:rsidRDefault="00953FAB"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Región 6</w:t>
            </w:r>
          </w:p>
        </w:tc>
        <w:tc>
          <w:tcPr>
            <w:tcW w:w="1866" w:type="dxa"/>
          </w:tcPr>
          <w:p w14:paraId="23549EF1" w14:textId="27845D89" w:rsidR="00CE67CC" w:rsidRPr="00DC1F83" w:rsidRDefault="00953FAB"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10.73%</w:t>
            </w:r>
          </w:p>
        </w:tc>
        <w:tc>
          <w:tcPr>
            <w:tcW w:w="1872" w:type="dxa"/>
          </w:tcPr>
          <w:p w14:paraId="00624352" w14:textId="04C39AEF" w:rsidR="00CE67CC" w:rsidRPr="00DC1F83" w:rsidRDefault="000D18E4" w:rsidP="00DC1F83">
            <w:pPr>
              <w:tabs>
                <w:tab w:val="num" w:pos="540"/>
              </w:tabs>
              <w:spacing w:after="0" w:line="240" w:lineRule="auto"/>
              <w:jc w:val="right"/>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$11,213,940</w:t>
            </w:r>
          </w:p>
        </w:tc>
        <w:tc>
          <w:tcPr>
            <w:tcW w:w="1865" w:type="dxa"/>
          </w:tcPr>
          <w:p w14:paraId="54BD4401" w14:textId="2F166F38" w:rsidR="00CE67CC" w:rsidRPr="00DC1F83" w:rsidRDefault="000D35A2"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8.4</w:t>
            </w:r>
          </w:p>
        </w:tc>
        <w:tc>
          <w:tcPr>
            <w:tcW w:w="1877" w:type="dxa"/>
          </w:tcPr>
          <w:p w14:paraId="7BE6C270" w14:textId="116EBC8F" w:rsidR="00CE67CC" w:rsidRPr="00DC1F83" w:rsidRDefault="000D35A2" w:rsidP="00DC1F83">
            <w:pPr>
              <w:tabs>
                <w:tab w:val="num" w:pos="540"/>
              </w:tabs>
              <w:spacing w:after="0" w:line="240" w:lineRule="auto"/>
              <w:jc w:val="right"/>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$94,197,093</w:t>
            </w:r>
          </w:p>
        </w:tc>
      </w:tr>
      <w:tr w:rsidR="00CE67CC" w:rsidRPr="00DC1F83" w14:paraId="28AB76B8" w14:textId="77777777" w:rsidTr="00DC1F83">
        <w:trPr>
          <w:jc w:val="center"/>
        </w:trPr>
        <w:tc>
          <w:tcPr>
            <w:tcW w:w="1865" w:type="dxa"/>
          </w:tcPr>
          <w:p w14:paraId="4238EC19" w14:textId="3A407341" w:rsidR="00CE67CC" w:rsidRPr="00DC1F83" w:rsidRDefault="00953FAB"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Región 7</w:t>
            </w:r>
          </w:p>
        </w:tc>
        <w:tc>
          <w:tcPr>
            <w:tcW w:w="1866" w:type="dxa"/>
          </w:tcPr>
          <w:p w14:paraId="1CC65227" w14:textId="1C052BBC" w:rsidR="00CE67CC" w:rsidRPr="00DC1F83" w:rsidRDefault="00953FAB"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4.48%</w:t>
            </w:r>
          </w:p>
        </w:tc>
        <w:tc>
          <w:tcPr>
            <w:tcW w:w="1872" w:type="dxa"/>
          </w:tcPr>
          <w:p w14:paraId="7F4A5830" w14:textId="5F1B6C55" w:rsidR="00CE67CC" w:rsidRPr="00DC1F83" w:rsidRDefault="000D18E4" w:rsidP="00DC1F83">
            <w:pPr>
              <w:tabs>
                <w:tab w:val="num" w:pos="540"/>
              </w:tabs>
              <w:spacing w:after="0" w:line="240" w:lineRule="auto"/>
              <w:jc w:val="right"/>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$4,678,513</w:t>
            </w:r>
          </w:p>
        </w:tc>
        <w:tc>
          <w:tcPr>
            <w:tcW w:w="1865" w:type="dxa"/>
          </w:tcPr>
          <w:p w14:paraId="62262837" w14:textId="0AB570F8" w:rsidR="00CE67CC" w:rsidRPr="00DC1F83" w:rsidRDefault="000D35A2"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8.4</w:t>
            </w:r>
          </w:p>
        </w:tc>
        <w:tc>
          <w:tcPr>
            <w:tcW w:w="1877" w:type="dxa"/>
          </w:tcPr>
          <w:p w14:paraId="6CE1ACB4" w14:textId="604477C3" w:rsidR="00CE67CC" w:rsidRPr="00DC1F83" w:rsidRDefault="000D35A2" w:rsidP="00DC1F83">
            <w:pPr>
              <w:tabs>
                <w:tab w:val="num" w:pos="540"/>
              </w:tabs>
              <w:spacing w:after="0" w:line="240" w:lineRule="auto"/>
              <w:jc w:val="right"/>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$39,299,513</w:t>
            </w:r>
          </w:p>
        </w:tc>
      </w:tr>
      <w:tr w:rsidR="00CE67CC" w:rsidRPr="00DC1F83" w14:paraId="3A36669F" w14:textId="77777777" w:rsidTr="00DC1F83">
        <w:trPr>
          <w:jc w:val="center"/>
        </w:trPr>
        <w:tc>
          <w:tcPr>
            <w:tcW w:w="1865" w:type="dxa"/>
          </w:tcPr>
          <w:p w14:paraId="3CBD4960" w14:textId="6A1C06DF" w:rsidR="00CE67CC" w:rsidRPr="00DC1F83" w:rsidRDefault="00953FAB"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Región 8</w:t>
            </w:r>
          </w:p>
        </w:tc>
        <w:tc>
          <w:tcPr>
            <w:tcW w:w="1866" w:type="dxa"/>
          </w:tcPr>
          <w:p w14:paraId="44B4B367" w14:textId="0D6B9268" w:rsidR="00CE67CC" w:rsidRPr="00DC1F83" w:rsidRDefault="00953FAB"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0.76%</w:t>
            </w:r>
          </w:p>
        </w:tc>
        <w:tc>
          <w:tcPr>
            <w:tcW w:w="1872" w:type="dxa"/>
          </w:tcPr>
          <w:p w14:paraId="635353DA" w14:textId="429944DF" w:rsidR="00CE67CC" w:rsidRPr="00DC1F83" w:rsidRDefault="000D18E4" w:rsidP="00DC1F83">
            <w:pPr>
              <w:tabs>
                <w:tab w:val="num" w:pos="540"/>
              </w:tabs>
              <w:spacing w:after="0" w:line="240" w:lineRule="auto"/>
              <w:jc w:val="right"/>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$799,262</w:t>
            </w:r>
          </w:p>
        </w:tc>
        <w:tc>
          <w:tcPr>
            <w:tcW w:w="1865" w:type="dxa"/>
          </w:tcPr>
          <w:p w14:paraId="0EC4BF72" w14:textId="6DBB815B" w:rsidR="00CE67CC" w:rsidRPr="00DC1F83" w:rsidRDefault="000D35A2"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8.4</w:t>
            </w:r>
          </w:p>
        </w:tc>
        <w:tc>
          <w:tcPr>
            <w:tcW w:w="1877" w:type="dxa"/>
          </w:tcPr>
          <w:p w14:paraId="2CF12573" w14:textId="3DB36E6C" w:rsidR="00CE67CC" w:rsidRPr="00DC1F83" w:rsidRDefault="000D35A2" w:rsidP="00DC1F83">
            <w:pPr>
              <w:tabs>
                <w:tab w:val="num" w:pos="540"/>
              </w:tabs>
              <w:spacing w:after="0" w:line="240" w:lineRule="auto"/>
              <w:jc w:val="right"/>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$6,713,800</w:t>
            </w:r>
          </w:p>
        </w:tc>
      </w:tr>
      <w:tr w:rsidR="00953FAB" w:rsidRPr="00DC1F83" w14:paraId="2C937BF6" w14:textId="77777777" w:rsidTr="00DC1F83">
        <w:trPr>
          <w:jc w:val="center"/>
        </w:trPr>
        <w:tc>
          <w:tcPr>
            <w:tcW w:w="1865" w:type="dxa"/>
          </w:tcPr>
          <w:p w14:paraId="3AE87FB0" w14:textId="02F47BEC" w:rsidR="00953FAB" w:rsidRPr="00DC1F83" w:rsidRDefault="00953FAB"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Región 9</w:t>
            </w:r>
          </w:p>
        </w:tc>
        <w:tc>
          <w:tcPr>
            <w:tcW w:w="1866" w:type="dxa"/>
          </w:tcPr>
          <w:p w14:paraId="047761CD" w14:textId="72DC61B7" w:rsidR="00953FAB" w:rsidRPr="00DC1F83" w:rsidRDefault="00953FAB"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40.19%</w:t>
            </w:r>
          </w:p>
        </w:tc>
        <w:tc>
          <w:tcPr>
            <w:tcW w:w="1872" w:type="dxa"/>
          </w:tcPr>
          <w:p w14:paraId="72EFA74C" w14:textId="08E8FA7D" w:rsidR="00953FAB" w:rsidRPr="00DC1F83" w:rsidRDefault="000D18E4" w:rsidP="00DC1F83">
            <w:pPr>
              <w:tabs>
                <w:tab w:val="num" w:pos="540"/>
              </w:tabs>
              <w:spacing w:after="0" w:line="240" w:lineRule="auto"/>
              <w:jc w:val="right"/>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$41,995,963</w:t>
            </w:r>
          </w:p>
        </w:tc>
        <w:tc>
          <w:tcPr>
            <w:tcW w:w="1865" w:type="dxa"/>
          </w:tcPr>
          <w:p w14:paraId="6EF206CB" w14:textId="4D5E60CA" w:rsidR="00953FAB" w:rsidRPr="00DC1F83" w:rsidRDefault="000D35A2"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8.4</w:t>
            </w:r>
          </w:p>
        </w:tc>
        <w:tc>
          <w:tcPr>
            <w:tcW w:w="1877" w:type="dxa"/>
          </w:tcPr>
          <w:p w14:paraId="55FB8112" w14:textId="27A0055F" w:rsidR="00953FAB" w:rsidRPr="00DC1F83" w:rsidRDefault="000D35A2" w:rsidP="00DC1F83">
            <w:pPr>
              <w:tabs>
                <w:tab w:val="num" w:pos="540"/>
              </w:tabs>
              <w:spacing w:after="0" w:line="240" w:lineRule="auto"/>
              <w:jc w:val="right"/>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$352,766,089</w:t>
            </w:r>
          </w:p>
        </w:tc>
      </w:tr>
      <w:tr w:rsidR="00953FAB" w:rsidRPr="00DC1F83" w14:paraId="552B2C4B" w14:textId="77777777" w:rsidTr="00DC1F83">
        <w:trPr>
          <w:jc w:val="center"/>
        </w:trPr>
        <w:tc>
          <w:tcPr>
            <w:tcW w:w="1865" w:type="dxa"/>
          </w:tcPr>
          <w:p w14:paraId="47E5AE8A" w14:textId="744F1375" w:rsidR="00953FAB" w:rsidRPr="00DC1F83" w:rsidRDefault="00953FAB" w:rsidP="00DC1F83">
            <w:pPr>
              <w:tabs>
                <w:tab w:val="num" w:pos="540"/>
              </w:tabs>
              <w:spacing w:after="0" w:line="240" w:lineRule="auto"/>
              <w:jc w:val="center"/>
              <w:rPr>
                <w:rFonts w:ascii="ITC Avant Garde" w:hAnsi="ITC Avant Garde"/>
                <w:b/>
                <w:bCs/>
                <w:color w:val="000000"/>
                <w:sz w:val="18"/>
                <w:szCs w:val="18"/>
                <w:lang w:eastAsia="es-MX"/>
              </w:rPr>
            </w:pPr>
            <w:r w:rsidRPr="00DC1F83">
              <w:rPr>
                <w:rFonts w:ascii="ITC Avant Garde" w:hAnsi="ITC Avant Garde"/>
                <w:b/>
                <w:bCs/>
                <w:color w:val="000000"/>
                <w:sz w:val="18"/>
                <w:szCs w:val="18"/>
                <w:lang w:eastAsia="es-MX"/>
              </w:rPr>
              <w:t>Total</w:t>
            </w:r>
          </w:p>
        </w:tc>
        <w:tc>
          <w:tcPr>
            <w:tcW w:w="1866" w:type="dxa"/>
          </w:tcPr>
          <w:p w14:paraId="5165BD39" w14:textId="0B9DA3B1" w:rsidR="00953FAB" w:rsidRPr="00DC1F83" w:rsidRDefault="00953FAB" w:rsidP="00DC1F83">
            <w:pPr>
              <w:tabs>
                <w:tab w:val="num" w:pos="540"/>
              </w:tabs>
              <w:spacing w:after="0" w:line="240" w:lineRule="auto"/>
              <w:jc w:val="center"/>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100%</w:t>
            </w:r>
          </w:p>
        </w:tc>
        <w:tc>
          <w:tcPr>
            <w:tcW w:w="1872" w:type="dxa"/>
          </w:tcPr>
          <w:p w14:paraId="47190C6C" w14:textId="25D95139" w:rsidR="00953FAB" w:rsidRPr="00DC1F83" w:rsidRDefault="000D18E4" w:rsidP="00DC1F83">
            <w:pPr>
              <w:tabs>
                <w:tab w:val="num" w:pos="540"/>
              </w:tabs>
              <w:spacing w:after="0" w:line="240" w:lineRule="auto"/>
              <w:jc w:val="right"/>
              <w:rPr>
                <w:rFonts w:ascii="ITC Avant Garde" w:hAnsi="ITC Avant Garde"/>
                <w:b/>
                <w:bCs/>
                <w:color w:val="000000"/>
                <w:sz w:val="18"/>
                <w:szCs w:val="18"/>
                <w:lang w:eastAsia="es-MX"/>
              </w:rPr>
            </w:pPr>
            <w:r w:rsidRPr="00DC1F83">
              <w:rPr>
                <w:rFonts w:ascii="ITC Avant Garde" w:hAnsi="ITC Avant Garde"/>
                <w:b/>
                <w:bCs/>
                <w:color w:val="000000"/>
                <w:sz w:val="18"/>
                <w:szCs w:val="18"/>
                <w:lang w:eastAsia="es-MX"/>
              </w:rPr>
              <w:t>$104,493,489</w:t>
            </w:r>
          </w:p>
        </w:tc>
        <w:tc>
          <w:tcPr>
            <w:tcW w:w="1865" w:type="dxa"/>
          </w:tcPr>
          <w:p w14:paraId="26FE6779" w14:textId="77777777" w:rsidR="00953FAB" w:rsidRPr="00DC1F83" w:rsidRDefault="00953FAB" w:rsidP="00DC1F83">
            <w:pPr>
              <w:tabs>
                <w:tab w:val="num" w:pos="540"/>
              </w:tabs>
              <w:spacing w:after="0" w:line="240" w:lineRule="auto"/>
              <w:jc w:val="center"/>
              <w:rPr>
                <w:rFonts w:ascii="ITC Avant Garde" w:hAnsi="ITC Avant Garde"/>
                <w:bCs/>
                <w:color w:val="000000"/>
                <w:sz w:val="18"/>
                <w:szCs w:val="18"/>
                <w:lang w:eastAsia="es-MX"/>
              </w:rPr>
            </w:pPr>
          </w:p>
        </w:tc>
        <w:tc>
          <w:tcPr>
            <w:tcW w:w="1877" w:type="dxa"/>
          </w:tcPr>
          <w:p w14:paraId="08D45770" w14:textId="40FAC2B6" w:rsidR="00953FAB" w:rsidRPr="00DC1F83" w:rsidRDefault="000D35A2" w:rsidP="00DC1F83">
            <w:pPr>
              <w:tabs>
                <w:tab w:val="num" w:pos="540"/>
              </w:tabs>
              <w:spacing w:after="0" w:line="240" w:lineRule="auto"/>
              <w:jc w:val="right"/>
              <w:rPr>
                <w:rFonts w:ascii="ITC Avant Garde" w:hAnsi="ITC Avant Garde"/>
                <w:b/>
                <w:bCs/>
                <w:color w:val="000000"/>
                <w:sz w:val="18"/>
                <w:szCs w:val="18"/>
                <w:lang w:eastAsia="es-MX"/>
              </w:rPr>
            </w:pPr>
            <w:r w:rsidRPr="00DC1F83">
              <w:rPr>
                <w:rFonts w:ascii="ITC Avant Garde" w:hAnsi="ITC Avant Garde"/>
                <w:b/>
                <w:bCs/>
                <w:color w:val="000000"/>
                <w:sz w:val="18"/>
                <w:szCs w:val="18"/>
                <w:lang w:eastAsia="es-MX"/>
              </w:rPr>
              <w:t>$877,745,308</w:t>
            </w:r>
          </w:p>
        </w:tc>
      </w:tr>
    </w:tbl>
    <w:p w14:paraId="6055CDC2" w14:textId="77777777" w:rsidR="00DC1F83" w:rsidRPr="00DC1F83" w:rsidRDefault="002176C8" w:rsidP="00DC1F83">
      <w:pPr>
        <w:autoSpaceDE w:val="0"/>
        <w:autoSpaceDN w:val="0"/>
        <w:adjustRightInd w:val="0"/>
        <w:spacing w:before="240" w:line="240" w:lineRule="auto"/>
        <w:jc w:val="both"/>
        <w:rPr>
          <w:rFonts w:ascii="ITC Avant Garde" w:hAnsi="ITC Avant Garde"/>
          <w:color w:val="000000"/>
          <w:shd w:val="clear" w:color="auto" w:fill="FFFFFF"/>
        </w:rPr>
      </w:pPr>
      <w:r w:rsidRPr="00DC1F83">
        <w:rPr>
          <w:rFonts w:ascii="ITC Avant Garde" w:hAnsi="ITC Avant Garde"/>
          <w:color w:val="000000"/>
          <w:shd w:val="clear" w:color="auto" w:fill="FFFFFF"/>
        </w:rPr>
        <w:t>Derivado de lo anterior, la Unidad de Espectro Radioeléctrico remitió a la Dirección General de Concesiones de Telecomunica</w:t>
      </w:r>
      <w:r w:rsidR="00CE67CC" w:rsidRPr="00DC1F83">
        <w:rPr>
          <w:rFonts w:ascii="ITC Avant Garde" w:hAnsi="ITC Avant Garde"/>
          <w:color w:val="000000"/>
          <w:shd w:val="clear" w:color="auto" w:fill="FFFFFF"/>
        </w:rPr>
        <w:t>ciones el oficio IFT/222/UER/DGEERO/095/2016 de fecha 17 de agosto de 2016,</w:t>
      </w:r>
      <w:r w:rsidRPr="00DC1F83">
        <w:rPr>
          <w:rFonts w:ascii="ITC Avant Garde" w:hAnsi="ITC Avant Garde"/>
          <w:color w:val="000000"/>
          <w:shd w:val="clear" w:color="auto" w:fill="FFFFFF"/>
        </w:rPr>
        <w:t xml:space="preserve"> emitido por la Dirección General de Economía del Espectro y Recursos Orbitales, en el cual señaló, entre otros aspectos, lo siguiente:</w:t>
      </w:r>
    </w:p>
    <w:p w14:paraId="2254979E" w14:textId="77777777" w:rsidR="00DC1F83" w:rsidRPr="00DC1F83" w:rsidRDefault="007838C4" w:rsidP="00DC1F83">
      <w:pPr>
        <w:tabs>
          <w:tab w:val="num" w:pos="540"/>
        </w:tabs>
        <w:spacing w:before="240" w:line="240" w:lineRule="auto"/>
        <w:ind w:left="284" w:right="332"/>
        <w:jc w:val="both"/>
        <w:rPr>
          <w:rFonts w:ascii="ITC Avant Garde" w:hAnsi="ITC Avant Garde"/>
          <w:bCs/>
          <w:color w:val="000000"/>
          <w:sz w:val="18"/>
          <w:szCs w:val="18"/>
          <w:lang w:eastAsia="es-MX"/>
        </w:rPr>
      </w:pPr>
      <w:r w:rsidRPr="00DC1F83">
        <w:rPr>
          <w:rFonts w:ascii="ITC Avant Garde" w:hAnsi="ITC Avant Garde"/>
          <w:bCs/>
          <w:color w:val="000000"/>
          <w:sz w:val="18"/>
          <w:szCs w:val="18"/>
          <w:lang w:eastAsia="es-MX"/>
        </w:rPr>
        <w:t>“[…]</w:t>
      </w:r>
    </w:p>
    <w:p w14:paraId="5ED0D29C" w14:textId="56C36DB5" w:rsidR="00336853" w:rsidRPr="00DC1F83" w:rsidRDefault="00336853" w:rsidP="00DC1F83">
      <w:pPr>
        <w:spacing w:before="240" w:line="240" w:lineRule="auto"/>
        <w:ind w:left="284" w:right="332"/>
        <w:contextualSpacing/>
        <w:jc w:val="both"/>
        <w:rPr>
          <w:rFonts w:ascii="ITC Avant Garde" w:hAnsi="ITC Avant Garde" w:cs="Calibri"/>
          <w:sz w:val="18"/>
          <w:szCs w:val="18"/>
        </w:rPr>
      </w:pPr>
      <w:r w:rsidRPr="00DC1F83">
        <w:rPr>
          <w:rFonts w:ascii="ITC Avant Garde" w:hAnsi="ITC Avant Garde" w:cs="Calibri"/>
          <w:sz w:val="18"/>
          <w:szCs w:val="18"/>
        </w:rPr>
        <w:t xml:space="preserve">En virtud de lo anterior y con la finalidad de que el Instituto cuente con los elementos suficientes que le permitan emitir la resolución que al efecto corresponda respecto al trámite que nos ocupa, se solicita a esa Unidad a su cargo opine sobre el aprovechamiento al que estará sujeta la concesionaria mencionada por el otorgamiento de las prórrogas de 20 años </w:t>
      </w:r>
      <w:r w:rsidRPr="00DC1F83">
        <w:rPr>
          <w:rFonts w:ascii="ITC Avant Garde" w:hAnsi="ITC Avant Garde"/>
          <w:sz w:val="18"/>
          <w:szCs w:val="18"/>
        </w:rPr>
        <w:t xml:space="preserve">en la banda de 1900 </w:t>
      </w:r>
      <w:r w:rsidRPr="00DC1F83">
        <w:rPr>
          <w:rFonts w:ascii="ITC Avant Garde" w:hAnsi="ITC Avant Garde"/>
          <w:sz w:val="18"/>
          <w:szCs w:val="18"/>
        </w:rPr>
        <w:lastRenderedPageBreak/>
        <w:t>MHz (tecnología PCS), con cobertura en las Regiones PCS 1, 2, 3, 4, 5, 6, 7, 8 y 9</w:t>
      </w:r>
      <w:r w:rsidRPr="00DC1F83">
        <w:rPr>
          <w:rFonts w:ascii="ITC Avant Garde" w:hAnsi="ITC Avant Garde" w:cs="Calibri"/>
          <w:sz w:val="18"/>
          <w:szCs w:val="18"/>
        </w:rPr>
        <w:t>, para lo cual se propone lo siguiente:</w:t>
      </w:r>
    </w:p>
    <w:p w14:paraId="25206D87" w14:textId="77777777" w:rsidR="00336853" w:rsidRPr="00DC1F83" w:rsidRDefault="00336853" w:rsidP="00DC1F83">
      <w:pPr>
        <w:pStyle w:val="Textocomentario"/>
        <w:spacing w:before="240"/>
        <w:ind w:left="284" w:right="332"/>
        <w:jc w:val="both"/>
        <w:rPr>
          <w:rFonts w:ascii="ITC Avant Garde" w:hAnsi="ITC Avant Garde"/>
          <w:sz w:val="18"/>
          <w:szCs w:val="18"/>
        </w:rPr>
      </w:pPr>
      <w:r w:rsidRPr="00DC1F83">
        <w:rPr>
          <w:rFonts w:ascii="ITC Avant Garde" w:hAnsi="ITC Avant Garde"/>
          <w:sz w:val="18"/>
          <w:szCs w:val="18"/>
        </w:rPr>
        <w:t>Establecer un aprovechamiento a pagarse en una sola exhibición con base en: los pagos realizados (Posturas Válidas más Altas -“</w:t>
      </w:r>
      <w:proofErr w:type="spellStart"/>
      <w:r w:rsidRPr="00DC1F83">
        <w:rPr>
          <w:rFonts w:ascii="ITC Avant Garde" w:hAnsi="ITC Avant Garde"/>
          <w:sz w:val="18"/>
          <w:szCs w:val="18"/>
        </w:rPr>
        <w:t>PVMA’s</w:t>
      </w:r>
      <w:proofErr w:type="spellEnd"/>
      <w:r w:rsidRPr="00DC1F83">
        <w:rPr>
          <w:rFonts w:ascii="ITC Avant Garde" w:hAnsi="ITC Avant Garde"/>
          <w:sz w:val="18"/>
          <w:szCs w:val="18"/>
        </w:rPr>
        <w:t>”-) en la Licitación IFT-3 (espectro AWS localizado en segmentos de las bandas 1.7 y 2.1 GHz), actualizados con el INPC de julio de 2016; el ancho de banda concesionado (8.4 MHz); el área de cobertura geográfica autorizada (Regiones PCS 1, 2, 3, 4, 5, 6, 7, 8 y 9) y el plazo que cubre la prórroga de las concesiones. Cabe mencionar, que la Licitación IFT-3 es la referencia de mercado más cercana para la valuación de la banda de frecuencia citada, además de que el espectro AWS asignado tiene características similares a las de la banda PCS y corresponde al mismo servicio.</w:t>
      </w:r>
    </w:p>
    <w:p w14:paraId="46DD8282" w14:textId="77777777" w:rsidR="00336853" w:rsidRPr="00DC1F83" w:rsidRDefault="00336853" w:rsidP="00DC1F83">
      <w:pPr>
        <w:pStyle w:val="Textocomentario"/>
        <w:spacing w:before="240"/>
        <w:ind w:left="284" w:right="332"/>
        <w:jc w:val="both"/>
        <w:rPr>
          <w:rFonts w:ascii="ITC Avant Garde" w:hAnsi="ITC Avant Garde"/>
          <w:sz w:val="18"/>
          <w:szCs w:val="18"/>
        </w:rPr>
      </w:pPr>
      <w:r w:rsidRPr="00DC1F83">
        <w:rPr>
          <w:rFonts w:ascii="ITC Avant Garde" w:hAnsi="ITC Avant Garde"/>
          <w:sz w:val="18"/>
          <w:szCs w:val="18"/>
        </w:rPr>
        <w:t>En este orden de ideas, otro aspecto que abona a la similitud de las bandas es el intercambio directo de frecuencias autorizado por el Pleno del Instituto en diciembre del 2015, en el cual los concesionarios AT&amp;T y Telefónica intercambiaron la misma cantidad de espectro en las bandas AWS y PCS; este proceso refleja la situación actual  tecnológica y de mercado de ambas bandas, en donde los concesionarios valoraron de igual forma dichas bandas, considerándolas sustitutas.</w:t>
      </w:r>
    </w:p>
    <w:p w14:paraId="6F6AD8A9" w14:textId="77777777" w:rsidR="00336853" w:rsidRPr="00DC1F83" w:rsidRDefault="00336853" w:rsidP="00DC1F83">
      <w:pPr>
        <w:pStyle w:val="Textocomentario"/>
        <w:spacing w:before="240"/>
        <w:ind w:left="284" w:right="332"/>
        <w:jc w:val="both"/>
        <w:rPr>
          <w:rFonts w:ascii="ITC Avant Garde" w:hAnsi="ITC Avant Garde"/>
          <w:sz w:val="18"/>
          <w:szCs w:val="18"/>
        </w:rPr>
      </w:pPr>
      <w:r w:rsidRPr="00DC1F83">
        <w:rPr>
          <w:rFonts w:ascii="ITC Avant Garde" w:hAnsi="ITC Avant Garde"/>
          <w:sz w:val="18"/>
          <w:szCs w:val="18"/>
        </w:rPr>
        <w:t>Por otra parte, en dicha Licitación se realizó la asignación de frecuencias a nivel Nacional, por lo que para obtener el valor de las regiones concesionadas se realizaron los siguientes pasos:</w:t>
      </w:r>
    </w:p>
    <w:p w14:paraId="2C2AE4DA" w14:textId="77777777" w:rsidR="00336853" w:rsidRPr="00DC1F83" w:rsidRDefault="00336853" w:rsidP="00DC1F83">
      <w:pPr>
        <w:pStyle w:val="Textocomentario"/>
        <w:numPr>
          <w:ilvl w:val="0"/>
          <w:numId w:val="32"/>
        </w:numPr>
        <w:spacing w:before="240"/>
        <w:ind w:left="284" w:right="332" w:firstLine="0"/>
        <w:jc w:val="both"/>
        <w:rPr>
          <w:rFonts w:ascii="ITC Avant Garde" w:hAnsi="ITC Avant Garde"/>
          <w:sz w:val="18"/>
          <w:szCs w:val="18"/>
        </w:rPr>
      </w:pPr>
      <w:r w:rsidRPr="00DC1F83">
        <w:rPr>
          <w:rFonts w:ascii="ITC Avant Garde" w:hAnsi="ITC Avant Garde"/>
          <w:sz w:val="18"/>
          <w:szCs w:val="18"/>
        </w:rPr>
        <w:t>Se dividió el total ofertado por los participantes en dicha Licitación ($3</w:t>
      </w:r>
      <w:proofErr w:type="gramStart"/>
      <w:r w:rsidRPr="00DC1F83">
        <w:rPr>
          <w:rFonts w:ascii="ITC Avant Garde" w:hAnsi="ITC Avant Garde"/>
          <w:sz w:val="18"/>
          <w:szCs w:val="18"/>
        </w:rPr>
        <w:t>,748,000,000</w:t>
      </w:r>
      <w:proofErr w:type="gramEnd"/>
      <w:r w:rsidRPr="00DC1F83">
        <w:rPr>
          <w:rFonts w:ascii="ITC Avant Garde" w:hAnsi="ITC Avant Garde"/>
          <w:sz w:val="18"/>
          <w:szCs w:val="18"/>
        </w:rPr>
        <w:t xml:space="preserve"> pesos) para la sub-banda AWS-1 entre el total de </w:t>
      </w:r>
      <w:proofErr w:type="spellStart"/>
      <w:r w:rsidRPr="00DC1F83">
        <w:rPr>
          <w:rFonts w:ascii="ITC Avant Garde" w:hAnsi="ITC Avant Garde"/>
          <w:sz w:val="18"/>
          <w:szCs w:val="18"/>
        </w:rPr>
        <w:t>megahertz</w:t>
      </w:r>
      <w:proofErr w:type="spellEnd"/>
      <w:r w:rsidRPr="00DC1F83">
        <w:rPr>
          <w:rFonts w:ascii="ITC Avant Garde" w:hAnsi="ITC Avant Garde"/>
          <w:sz w:val="18"/>
          <w:szCs w:val="18"/>
        </w:rPr>
        <w:t xml:space="preserve"> licitados en dicha sub-banda (40 MHz) para obtener el valor de un </w:t>
      </w:r>
      <w:proofErr w:type="spellStart"/>
      <w:r w:rsidRPr="00DC1F83">
        <w:rPr>
          <w:rFonts w:ascii="ITC Avant Garde" w:hAnsi="ITC Avant Garde"/>
          <w:sz w:val="18"/>
          <w:szCs w:val="18"/>
        </w:rPr>
        <w:t>megahertz</w:t>
      </w:r>
      <w:proofErr w:type="spellEnd"/>
      <w:r w:rsidRPr="00DC1F83">
        <w:rPr>
          <w:rFonts w:ascii="ITC Avant Garde" w:hAnsi="ITC Avant Garde"/>
          <w:sz w:val="18"/>
          <w:szCs w:val="18"/>
        </w:rPr>
        <w:t xml:space="preserve"> a nivel nacional ($93,700,000 pesos). Es importante señalar que sólo se tomó en cuenta lo ofertado en la sub-banda AWS-1 debido a que este segmento de banda es el único que actualmente se utiliza comercialmente para la prestación de servicios inalámbricos de banda ancha, ya que a nivel internacional cuenta con economías de escala en la provisión de equipos. De igual forma, esta sub-banda de AWS-1 es la misma que formó parte del ya citado intercambio de frecuencias entre ATT y Telefónica. </w:t>
      </w:r>
    </w:p>
    <w:p w14:paraId="2D48A31F" w14:textId="77777777" w:rsidR="00336853" w:rsidRPr="00DC1F83" w:rsidRDefault="00336853" w:rsidP="00DC1F83">
      <w:pPr>
        <w:pStyle w:val="Textocomentario"/>
        <w:numPr>
          <w:ilvl w:val="0"/>
          <w:numId w:val="32"/>
        </w:numPr>
        <w:spacing w:before="240"/>
        <w:ind w:left="284" w:right="332" w:firstLine="0"/>
        <w:jc w:val="both"/>
        <w:rPr>
          <w:rFonts w:ascii="ITC Avant Garde" w:hAnsi="ITC Avant Garde"/>
          <w:sz w:val="18"/>
          <w:szCs w:val="18"/>
        </w:rPr>
      </w:pPr>
      <w:r w:rsidRPr="00DC1F83">
        <w:rPr>
          <w:rFonts w:ascii="ITC Avant Garde" w:hAnsi="ITC Avant Garde"/>
          <w:sz w:val="18"/>
          <w:szCs w:val="18"/>
        </w:rPr>
        <w:t>Dado que las concesiones de espectro en la Licitación IFT-3 fueron otorgadas por 15 años, de igual forma se realiza el ajuste para una concesión a 20 años; para realizar dicho ajuste se realizaron los siguientes pasos:</w:t>
      </w:r>
    </w:p>
    <w:p w14:paraId="5015C99F" w14:textId="77777777" w:rsidR="00336853" w:rsidRPr="00DC1F83" w:rsidRDefault="00336853" w:rsidP="00DC1F83">
      <w:pPr>
        <w:pStyle w:val="Textocomentario"/>
        <w:numPr>
          <w:ilvl w:val="0"/>
          <w:numId w:val="33"/>
        </w:numPr>
        <w:spacing w:before="240"/>
        <w:ind w:left="284" w:right="332" w:firstLine="0"/>
        <w:jc w:val="both"/>
        <w:rPr>
          <w:rFonts w:ascii="ITC Avant Garde" w:hAnsi="ITC Avant Garde"/>
          <w:sz w:val="18"/>
          <w:szCs w:val="18"/>
        </w:rPr>
      </w:pPr>
      <w:r w:rsidRPr="00DC1F83">
        <w:rPr>
          <w:rFonts w:ascii="ITC Avant Garde" w:hAnsi="ITC Avant Garde"/>
          <w:sz w:val="18"/>
          <w:szCs w:val="18"/>
        </w:rPr>
        <w:t>Se calcula el  pago anual por los años de la concesión otorgada en la licitación de referencia (15 años), mismo que se realiza con el valor obtenido en el punto a) y con una tasa de descuento de 10.11%.</w:t>
      </w:r>
    </w:p>
    <w:p w14:paraId="6EE4C9AD" w14:textId="77777777" w:rsidR="00336853" w:rsidRPr="00DC1F83" w:rsidRDefault="00336853" w:rsidP="00DC1F83">
      <w:pPr>
        <w:numPr>
          <w:ilvl w:val="0"/>
          <w:numId w:val="33"/>
        </w:numPr>
        <w:spacing w:before="240" w:line="240" w:lineRule="auto"/>
        <w:ind w:left="284" w:right="332" w:firstLine="0"/>
        <w:rPr>
          <w:rFonts w:ascii="ITC Avant Garde" w:hAnsi="ITC Avant Garde"/>
          <w:sz w:val="18"/>
          <w:szCs w:val="18"/>
        </w:rPr>
      </w:pPr>
      <w:r w:rsidRPr="00DC1F83">
        <w:rPr>
          <w:rFonts w:ascii="ITC Avant Garde" w:hAnsi="ITC Avant Garde"/>
          <w:sz w:val="18"/>
          <w:szCs w:val="18"/>
        </w:rPr>
        <w:t>Realización de un valor actual por los años de la prórroga por otorgar (20 años), tomando en cuenta el pago anual y la misma tasa de descuento.</w:t>
      </w:r>
    </w:p>
    <w:p w14:paraId="2EDDE043" w14:textId="77777777" w:rsidR="00336853" w:rsidRPr="00DC1F83" w:rsidRDefault="00336853" w:rsidP="00DC1F83">
      <w:pPr>
        <w:pStyle w:val="Textocomentario"/>
        <w:numPr>
          <w:ilvl w:val="0"/>
          <w:numId w:val="32"/>
        </w:numPr>
        <w:spacing w:before="240"/>
        <w:ind w:left="284" w:right="332" w:firstLine="0"/>
        <w:jc w:val="both"/>
        <w:rPr>
          <w:rFonts w:ascii="ITC Avant Garde" w:hAnsi="ITC Avant Garde"/>
          <w:sz w:val="18"/>
          <w:szCs w:val="18"/>
        </w:rPr>
      </w:pPr>
      <w:r w:rsidRPr="00DC1F83">
        <w:rPr>
          <w:rFonts w:ascii="ITC Avant Garde" w:hAnsi="ITC Avant Garde"/>
          <w:sz w:val="18"/>
          <w:szCs w:val="18"/>
        </w:rPr>
        <w:t>Se multiplica este valor por el porcentaje que representa cada una de las 9 regiones PCS en el total de pago de derechos según el Artículo 244-B de la Ley Federal de Derechos de 2016.</w:t>
      </w:r>
    </w:p>
    <w:p w14:paraId="133605DC" w14:textId="77777777" w:rsidR="00336853" w:rsidRPr="00DC1F83" w:rsidRDefault="00336853" w:rsidP="00DC1F83">
      <w:pPr>
        <w:pStyle w:val="Textocomentario"/>
        <w:numPr>
          <w:ilvl w:val="0"/>
          <w:numId w:val="32"/>
        </w:numPr>
        <w:spacing w:before="240"/>
        <w:ind w:left="284" w:right="332" w:firstLine="0"/>
        <w:jc w:val="both"/>
        <w:rPr>
          <w:rFonts w:ascii="ITC Avant Garde" w:hAnsi="ITC Avant Garde"/>
          <w:sz w:val="18"/>
          <w:szCs w:val="18"/>
        </w:rPr>
      </w:pPr>
      <w:r w:rsidRPr="00DC1F83">
        <w:rPr>
          <w:rFonts w:ascii="ITC Avant Garde" w:hAnsi="ITC Avant Garde"/>
          <w:sz w:val="18"/>
          <w:szCs w:val="18"/>
        </w:rPr>
        <w:t>Posteriormente, el valor por región obtenido del punto anterior se multiplica por los 8.4 MHz que están concesionados por región.</w:t>
      </w:r>
    </w:p>
    <w:p w14:paraId="6E4B94E4" w14:textId="77777777" w:rsidR="00DC1F83" w:rsidRPr="00DC1F83" w:rsidRDefault="00336853" w:rsidP="00DC1F83">
      <w:pPr>
        <w:autoSpaceDE w:val="0"/>
        <w:autoSpaceDN w:val="0"/>
        <w:adjustRightInd w:val="0"/>
        <w:spacing w:before="240" w:line="240" w:lineRule="auto"/>
        <w:ind w:firstLine="284"/>
        <w:jc w:val="both"/>
        <w:rPr>
          <w:rFonts w:ascii="ITC Avant Garde" w:hAnsi="ITC Avant Garde"/>
          <w:bCs/>
          <w:sz w:val="18"/>
          <w:szCs w:val="18"/>
        </w:rPr>
      </w:pPr>
      <w:r w:rsidRPr="00DC1F83">
        <w:rPr>
          <w:rFonts w:ascii="ITC Avant Garde" w:hAnsi="ITC Avant Garde"/>
          <w:bCs/>
          <w:sz w:val="18"/>
          <w:szCs w:val="18"/>
        </w:rPr>
        <w:t>[…]</w:t>
      </w:r>
    </w:p>
    <w:p w14:paraId="0B8975A7" w14:textId="77777777" w:rsidR="00DC1F83" w:rsidRDefault="00336853" w:rsidP="00DC1F83">
      <w:pPr>
        <w:spacing w:before="240"/>
        <w:ind w:left="284" w:right="332"/>
        <w:jc w:val="both"/>
        <w:rPr>
          <w:rFonts w:ascii="ITC Avant Garde" w:hAnsi="ITC Avant Garde"/>
          <w:sz w:val="18"/>
          <w:szCs w:val="18"/>
        </w:rPr>
        <w:sectPr w:rsidR="00DC1F83" w:rsidSect="00C26B2F">
          <w:headerReference w:type="even" r:id="rId8"/>
          <w:footerReference w:type="default" r:id="rId9"/>
          <w:headerReference w:type="first" r:id="rId10"/>
          <w:pgSz w:w="12240" w:h="15840"/>
          <w:pgMar w:top="2127" w:right="1467" w:bottom="567" w:left="1418" w:header="709" w:footer="988" w:gutter="0"/>
          <w:cols w:space="708"/>
          <w:docGrid w:linePitch="360"/>
        </w:sectPr>
      </w:pPr>
      <w:r w:rsidRPr="00DC1F83">
        <w:rPr>
          <w:rFonts w:ascii="ITC Avant Garde" w:hAnsi="ITC Avant Garde"/>
          <w:sz w:val="18"/>
          <w:szCs w:val="18"/>
        </w:rPr>
        <w:t>Con base en lo anterior, el cálculo de la citada contraprestación que se propone fijar es el siguiente:</w:t>
      </w:r>
    </w:p>
    <w:tbl>
      <w:tblPr>
        <w:tblStyle w:val="Tablaconcuadrcula"/>
        <w:tblW w:w="8477" w:type="dxa"/>
        <w:jc w:val="center"/>
        <w:tblLook w:val="04A0" w:firstRow="1" w:lastRow="0" w:firstColumn="1" w:lastColumn="0" w:noHBand="0" w:noVBand="1"/>
        <w:tblCaption w:val="Contraprestación para Radiomóvil Dipsa en las Regiones PCS 1, 2, 3, 4, 5, 6, 7, 8, y 9 Rango de frecuencia PCS en los segmentos 1850-1865 y 1930-1945 MHz"/>
        <w:tblDescription w:val="En una tabla de 4 columnas, se proporciona para las 9 Regiones el monto de contraprestación en pesos."/>
      </w:tblPr>
      <w:tblGrid>
        <w:gridCol w:w="1444"/>
        <w:gridCol w:w="2240"/>
        <w:gridCol w:w="1247"/>
        <w:gridCol w:w="3546"/>
      </w:tblGrid>
      <w:tr w:rsidR="00336853" w:rsidRPr="00A5202C" w14:paraId="61243560" w14:textId="77777777" w:rsidTr="00A5202C">
        <w:trPr>
          <w:trHeight w:val="300"/>
          <w:tblHeader/>
          <w:jc w:val="center"/>
        </w:trPr>
        <w:tc>
          <w:tcPr>
            <w:tcW w:w="1444" w:type="dxa"/>
            <w:shd w:val="clear" w:color="auto" w:fill="A6A6A6" w:themeFill="background1" w:themeFillShade="A6"/>
            <w:noWrap/>
            <w:vAlign w:val="center"/>
            <w:hideMark/>
          </w:tcPr>
          <w:p w14:paraId="3AD87C4A" w14:textId="77777777" w:rsidR="00336853" w:rsidRPr="00A5202C" w:rsidRDefault="00336853" w:rsidP="00A5202C">
            <w:pPr>
              <w:spacing w:after="0" w:line="240" w:lineRule="auto"/>
              <w:ind w:left="284" w:right="332"/>
              <w:jc w:val="center"/>
              <w:rPr>
                <w:rFonts w:ascii="ITC Avant Garde" w:hAnsi="ITC Avant Garde"/>
                <w:b/>
                <w:bCs/>
                <w:sz w:val="16"/>
                <w:szCs w:val="16"/>
              </w:rPr>
            </w:pPr>
            <w:r w:rsidRPr="00A5202C">
              <w:rPr>
                <w:rFonts w:ascii="ITC Avant Garde" w:hAnsi="ITC Avant Garde"/>
                <w:b/>
                <w:bCs/>
                <w:sz w:val="16"/>
                <w:szCs w:val="16"/>
              </w:rPr>
              <w:lastRenderedPageBreak/>
              <w:t>Región PCS</w:t>
            </w:r>
          </w:p>
        </w:tc>
        <w:tc>
          <w:tcPr>
            <w:tcW w:w="2240" w:type="dxa"/>
            <w:shd w:val="clear" w:color="auto" w:fill="A6A6A6" w:themeFill="background1" w:themeFillShade="A6"/>
            <w:noWrap/>
            <w:vAlign w:val="center"/>
            <w:hideMark/>
          </w:tcPr>
          <w:p w14:paraId="1E24FE13" w14:textId="77777777" w:rsidR="00336853" w:rsidRPr="00A5202C" w:rsidRDefault="00336853" w:rsidP="00A5202C">
            <w:pPr>
              <w:spacing w:after="0" w:line="240" w:lineRule="auto"/>
              <w:ind w:left="284" w:right="332"/>
              <w:jc w:val="center"/>
              <w:rPr>
                <w:rFonts w:ascii="ITC Avant Garde" w:hAnsi="ITC Avant Garde"/>
                <w:b/>
                <w:bCs/>
                <w:sz w:val="16"/>
                <w:szCs w:val="16"/>
              </w:rPr>
            </w:pPr>
            <w:r w:rsidRPr="00A5202C">
              <w:rPr>
                <w:rFonts w:ascii="ITC Avant Garde" w:hAnsi="ITC Avant Garde"/>
                <w:b/>
                <w:bCs/>
                <w:sz w:val="16"/>
                <w:szCs w:val="16"/>
              </w:rPr>
              <w:t>Porcentaje de la Región</w:t>
            </w:r>
          </w:p>
        </w:tc>
        <w:tc>
          <w:tcPr>
            <w:tcW w:w="1247" w:type="dxa"/>
            <w:shd w:val="clear" w:color="auto" w:fill="A6A6A6" w:themeFill="background1" w:themeFillShade="A6"/>
            <w:noWrap/>
            <w:vAlign w:val="center"/>
            <w:hideMark/>
          </w:tcPr>
          <w:p w14:paraId="0C33D48E" w14:textId="77777777" w:rsidR="00336853" w:rsidRPr="00A5202C" w:rsidRDefault="00336853" w:rsidP="00A5202C">
            <w:pPr>
              <w:spacing w:after="0" w:line="240" w:lineRule="auto"/>
              <w:ind w:left="284" w:right="332"/>
              <w:jc w:val="center"/>
              <w:rPr>
                <w:rFonts w:ascii="ITC Avant Garde" w:hAnsi="ITC Avant Garde"/>
                <w:b/>
                <w:bCs/>
                <w:sz w:val="16"/>
                <w:szCs w:val="16"/>
              </w:rPr>
            </w:pPr>
            <w:r w:rsidRPr="00A5202C">
              <w:rPr>
                <w:rFonts w:ascii="ITC Avant Garde" w:hAnsi="ITC Avant Garde"/>
                <w:b/>
                <w:bCs/>
                <w:sz w:val="16"/>
                <w:szCs w:val="16"/>
              </w:rPr>
              <w:t>Total MHz</w:t>
            </w:r>
          </w:p>
        </w:tc>
        <w:tc>
          <w:tcPr>
            <w:tcW w:w="3546" w:type="dxa"/>
            <w:shd w:val="clear" w:color="auto" w:fill="A6A6A6" w:themeFill="background1" w:themeFillShade="A6"/>
            <w:noWrap/>
            <w:vAlign w:val="center"/>
            <w:hideMark/>
          </w:tcPr>
          <w:p w14:paraId="3B6E0129" w14:textId="084B4128" w:rsidR="00336853" w:rsidRPr="00A5202C" w:rsidRDefault="00336853" w:rsidP="00A5202C">
            <w:pPr>
              <w:spacing w:after="0" w:line="240" w:lineRule="auto"/>
              <w:ind w:left="284" w:right="332"/>
              <w:jc w:val="center"/>
              <w:rPr>
                <w:rFonts w:ascii="ITC Avant Garde" w:hAnsi="ITC Avant Garde"/>
                <w:b/>
                <w:bCs/>
                <w:sz w:val="16"/>
                <w:szCs w:val="16"/>
              </w:rPr>
            </w:pPr>
            <w:r w:rsidRPr="00A5202C">
              <w:rPr>
                <w:rFonts w:ascii="ITC Avant Garde" w:hAnsi="ITC Avant Garde"/>
                <w:b/>
                <w:bCs/>
                <w:sz w:val="16"/>
                <w:szCs w:val="16"/>
              </w:rPr>
              <w:t>Monto de la Contraprestación</w:t>
            </w:r>
          </w:p>
          <w:p w14:paraId="062F56DE" w14:textId="77777777" w:rsidR="00336853" w:rsidRPr="00A5202C" w:rsidRDefault="00336853" w:rsidP="00A5202C">
            <w:pPr>
              <w:spacing w:after="0" w:line="240" w:lineRule="auto"/>
              <w:ind w:left="284" w:right="332"/>
              <w:jc w:val="center"/>
              <w:rPr>
                <w:rFonts w:ascii="ITC Avant Garde" w:hAnsi="ITC Avant Garde"/>
                <w:b/>
                <w:bCs/>
                <w:sz w:val="16"/>
                <w:szCs w:val="16"/>
              </w:rPr>
            </w:pPr>
            <w:r w:rsidRPr="00A5202C">
              <w:rPr>
                <w:rFonts w:ascii="ITC Avant Garde" w:hAnsi="ITC Avant Garde"/>
                <w:b/>
                <w:bCs/>
                <w:sz w:val="16"/>
                <w:szCs w:val="16"/>
              </w:rPr>
              <w:t>(pesos)*</w:t>
            </w:r>
          </w:p>
        </w:tc>
      </w:tr>
      <w:tr w:rsidR="00336853" w:rsidRPr="00DC1F83" w14:paraId="7962F390" w14:textId="77777777" w:rsidTr="00A5202C">
        <w:trPr>
          <w:trHeight w:val="300"/>
          <w:jc w:val="center"/>
        </w:trPr>
        <w:tc>
          <w:tcPr>
            <w:tcW w:w="1444" w:type="dxa"/>
            <w:noWrap/>
            <w:hideMark/>
          </w:tcPr>
          <w:p w14:paraId="45207C97"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1</w:t>
            </w:r>
          </w:p>
        </w:tc>
        <w:tc>
          <w:tcPr>
            <w:tcW w:w="2240" w:type="dxa"/>
            <w:noWrap/>
            <w:hideMark/>
          </w:tcPr>
          <w:p w14:paraId="0A588919"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8.823%</w:t>
            </w:r>
          </w:p>
        </w:tc>
        <w:tc>
          <w:tcPr>
            <w:tcW w:w="1247" w:type="dxa"/>
            <w:noWrap/>
            <w:hideMark/>
          </w:tcPr>
          <w:p w14:paraId="01902834"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8.4</w:t>
            </w:r>
          </w:p>
        </w:tc>
        <w:tc>
          <w:tcPr>
            <w:tcW w:w="3546" w:type="dxa"/>
            <w:noWrap/>
            <w:hideMark/>
          </w:tcPr>
          <w:p w14:paraId="1262F523" w14:textId="405168BA" w:rsidR="00336853" w:rsidRPr="00DC1F83" w:rsidRDefault="00336853" w:rsidP="00DC1F83">
            <w:pPr>
              <w:spacing w:after="0" w:line="240" w:lineRule="auto"/>
              <w:ind w:left="284" w:right="332"/>
              <w:jc w:val="right"/>
              <w:rPr>
                <w:rFonts w:ascii="ITC Avant Garde" w:hAnsi="ITC Avant Garde"/>
                <w:sz w:val="18"/>
                <w:szCs w:val="18"/>
              </w:rPr>
            </w:pPr>
            <w:r w:rsidRPr="00DC1F83">
              <w:rPr>
                <w:rFonts w:ascii="ITC Avant Garde" w:hAnsi="ITC Avant Garde"/>
                <w:sz w:val="18"/>
                <w:szCs w:val="18"/>
              </w:rPr>
              <w:t xml:space="preserve">$77,446,969 </w:t>
            </w:r>
          </w:p>
        </w:tc>
      </w:tr>
      <w:tr w:rsidR="00336853" w:rsidRPr="00DC1F83" w14:paraId="4D3FFF6B" w14:textId="77777777" w:rsidTr="00A5202C">
        <w:trPr>
          <w:trHeight w:val="300"/>
          <w:jc w:val="center"/>
        </w:trPr>
        <w:tc>
          <w:tcPr>
            <w:tcW w:w="1444" w:type="dxa"/>
            <w:noWrap/>
            <w:hideMark/>
          </w:tcPr>
          <w:p w14:paraId="6426DB53"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2</w:t>
            </w:r>
          </w:p>
        </w:tc>
        <w:tc>
          <w:tcPr>
            <w:tcW w:w="2240" w:type="dxa"/>
            <w:noWrap/>
            <w:hideMark/>
          </w:tcPr>
          <w:p w14:paraId="41B8F910"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1.308%</w:t>
            </w:r>
          </w:p>
        </w:tc>
        <w:tc>
          <w:tcPr>
            <w:tcW w:w="1247" w:type="dxa"/>
            <w:noWrap/>
            <w:hideMark/>
          </w:tcPr>
          <w:p w14:paraId="7037A297"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8.4</w:t>
            </w:r>
          </w:p>
        </w:tc>
        <w:tc>
          <w:tcPr>
            <w:tcW w:w="3546" w:type="dxa"/>
            <w:noWrap/>
            <w:hideMark/>
          </w:tcPr>
          <w:p w14:paraId="21657B82" w14:textId="213CE66C" w:rsidR="00336853" w:rsidRPr="00DC1F83" w:rsidRDefault="00336853" w:rsidP="00DC1F83">
            <w:pPr>
              <w:spacing w:after="0" w:line="240" w:lineRule="auto"/>
              <w:ind w:left="284" w:right="332"/>
              <w:jc w:val="right"/>
              <w:rPr>
                <w:rFonts w:ascii="ITC Avant Garde" w:hAnsi="ITC Avant Garde"/>
                <w:sz w:val="18"/>
                <w:szCs w:val="18"/>
              </w:rPr>
            </w:pPr>
            <w:r w:rsidRPr="00DC1F83">
              <w:rPr>
                <w:rFonts w:ascii="ITC Avant Garde" w:hAnsi="ITC Avant Garde"/>
                <w:sz w:val="18"/>
                <w:szCs w:val="18"/>
              </w:rPr>
              <w:t xml:space="preserve">$11,480,733 </w:t>
            </w:r>
          </w:p>
        </w:tc>
      </w:tr>
      <w:tr w:rsidR="00336853" w:rsidRPr="00DC1F83" w14:paraId="7066008A" w14:textId="77777777" w:rsidTr="00A5202C">
        <w:trPr>
          <w:trHeight w:val="300"/>
          <w:jc w:val="center"/>
        </w:trPr>
        <w:tc>
          <w:tcPr>
            <w:tcW w:w="1444" w:type="dxa"/>
            <w:noWrap/>
            <w:hideMark/>
          </w:tcPr>
          <w:p w14:paraId="2B3699DE"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3</w:t>
            </w:r>
          </w:p>
        </w:tc>
        <w:tc>
          <w:tcPr>
            <w:tcW w:w="2240" w:type="dxa"/>
            <w:noWrap/>
            <w:hideMark/>
          </w:tcPr>
          <w:p w14:paraId="68B9A600"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5.555%</w:t>
            </w:r>
          </w:p>
        </w:tc>
        <w:tc>
          <w:tcPr>
            <w:tcW w:w="1247" w:type="dxa"/>
            <w:noWrap/>
            <w:hideMark/>
          </w:tcPr>
          <w:p w14:paraId="35222B5D"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8.4</w:t>
            </w:r>
          </w:p>
        </w:tc>
        <w:tc>
          <w:tcPr>
            <w:tcW w:w="3546" w:type="dxa"/>
            <w:noWrap/>
            <w:hideMark/>
          </w:tcPr>
          <w:p w14:paraId="7AE64EB2" w14:textId="181B6BAB" w:rsidR="00336853" w:rsidRPr="00DC1F83" w:rsidRDefault="00336853" w:rsidP="00DC1F83">
            <w:pPr>
              <w:spacing w:after="0" w:line="240" w:lineRule="auto"/>
              <w:ind w:left="284" w:right="332"/>
              <w:jc w:val="right"/>
              <w:rPr>
                <w:rFonts w:ascii="ITC Avant Garde" w:hAnsi="ITC Avant Garde"/>
                <w:sz w:val="18"/>
                <w:szCs w:val="18"/>
              </w:rPr>
            </w:pPr>
            <w:r w:rsidRPr="00DC1F83">
              <w:rPr>
                <w:rFonts w:ascii="ITC Avant Garde" w:hAnsi="ITC Avant Garde"/>
                <w:sz w:val="18"/>
                <w:szCs w:val="18"/>
              </w:rPr>
              <w:t xml:space="preserve">$48,763,128 </w:t>
            </w:r>
          </w:p>
        </w:tc>
      </w:tr>
      <w:tr w:rsidR="00336853" w:rsidRPr="00DC1F83" w14:paraId="65B5DAA1" w14:textId="77777777" w:rsidTr="00A5202C">
        <w:trPr>
          <w:trHeight w:val="300"/>
          <w:jc w:val="center"/>
        </w:trPr>
        <w:tc>
          <w:tcPr>
            <w:tcW w:w="1444" w:type="dxa"/>
            <w:noWrap/>
            <w:hideMark/>
          </w:tcPr>
          <w:p w14:paraId="142FB455"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4</w:t>
            </w:r>
          </w:p>
        </w:tc>
        <w:tc>
          <w:tcPr>
            <w:tcW w:w="2240" w:type="dxa"/>
            <w:noWrap/>
            <w:hideMark/>
          </w:tcPr>
          <w:p w14:paraId="0525E0A6"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27.63%</w:t>
            </w:r>
          </w:p>
        </w:tc>
        <w:tc>
          <w:tcPr>
            <w:tcW w:w="1247" w:type="dxa"/>
            <w:noWrap/>
            <w:hideMark/>
          </w:tcPr>
          <w:p w14:paraId="1927E386"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8.4</w:t>
            </w:r>
          </w:p>
        </w:tc>
        <w:tc>
          <w:tcPr>
            <w:tcW w:w="3546" w:type="dxa"/>
            <w:noWrap/>
            <w:hideMark/>
          </w:tcPr>
          <w:p w14:paraId="2A504D65" w14:textId="2D88D5AE" w:rsidR="00336853" w:rsidRPr="00DC1F83" w:rsidRDefault="00336853" w:rsidP="00DC1F83">
            <w:pPr>
              <w:spacing w:after="0" w:line="240" w:lineRule="auto"/>
              <w:ind w:left="284" w:right="332"/>
              <w:jc w:val="right"/>
              <w:rPr>
                <w:rFonts w:ascii="ITC Avant Garde" w:hAnsi="ITC Avant Garde"/>
                <w:sz w:val="18"/>
                <w:szCs w:val="18"/>
              </w:rPr>
            </w:pPr>
            <w:r w:rsidRPr="00DC1F83">
              <w:rPr>
                <w:rFonts w:ascii="ITC Avant Garde" w:hAnsi="ITC Avant Garde"/>
                <w:sz w:val="18"/>
                <w:szCs w:val="18"/>
              </w:rPr>
              <w:t xml:space="preserve">$242,540,005 </w:t>
            </w:r>
          </w:p>
        </w:tc>
      </w:tr>
      <w:tr w:rsidR="00336853" w:rsidRPr="00DC1F83" w14:paraId="0A285081" w14:textId="77777777" w:rsidTr="00A5202C">
        <w:trPr>
          <w:trHeight w:val="300"/>
          <w:jc w:val="center"/>
        </w:trPr>
        <w:tc>
          <w:tcPr>
            <w:tcW w:w="1444" w:type="dxa"/>
            <w:noWrap/>
            <w:hideMark/>
          </w:tcPr>
          <w:p w14:paraId="0C914282"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5</w:t>
            </w:r>
          </w:p>
        </w:tc>
        <w:tc>
          <w:tcPr>
            <w:tcW w:w="2240" w:type="dxa"/>
            <w:noWrap/>
            <w:hideMark/>
          </w:tcPr>
          <w:p w14:paraId="3BB13DE8"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10.73%</w:t>
            </w:r>
          </w:p>
        </w:tc>
        <w:tc>
          <w:tcPr>
            <w:tcW w:w="1247" w:type="dxa"/>
            <w:noWrap/>
            <w:hideMark/>
          </w:tcPr>
          <w:p w14:paraId="19A0CE77"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8.4</w:t>
            </w:r>
          </w:p>
        </w:tc>
        <w:tc>
          <w:tcPr>
            <w:tcW w:w="3546" w:type="dxa"/>
            <w:noWrap/>
            <w:hideMark/>
          </w:tcPr>
          <w:p w14:paraId="491D7542" w14:textId="04D999CF" w:rsidR="00336853" w:rsidRPr="00DC1F83" w:rsidRDefault="00336853" w:rsidP="00DC1F83">
            <w:pPr>
              <w:spacing w:after="0" w:line="240" w:lineRule="auto"/>
              <w:ind w:left="284" w:right="332"/>
              <w:jc w:val="right"/>
              <w:rPr>
                <w:rFonts w:ascii="ITC Avant Garde" w:hAnsi="ITC Avant Garde"/>
                <w:sz w:val="18"/>
                <w:szCs w:val="18"/>
              </w:rPr>
            </w:pPr>
            <w:r w:rsidRPr="00DC1F83">
              <w:rPr>
                <w:rFonts w:ascii="ITC Avant Garde" w:hAnsi="ITC Avant Garde"/>
                <w:sz w:val="18"/>
                <w:szCs w:val="18"/>
              </w:rPr>
              <w:t xml:space="preserve">$4,537,978 </w:t>
            </w:r>
          </w:p>
        </w:tc>
      </w:tr>
      <w:tr w:rsidR="00336853" w:rsidRPr="00DC1F83" w14:paraId="54134669" w14:textId="77777777" w:rsidTr="00A5202C">
        <w:trPr>
          <w:trHeight w:val="300"/>
          <w:jc w:val="center"/>
        </w:trPr>
        <w:tc>
          <w:tcPr>
            <w:tcW w:w="1444" w:type="dxa"/>
            <w:noWrap/>
            <w:hideMark/>
          </w:tcPr>
          <w:p w14:paraId="47A50B14"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6</w:t>
            </w:r>
          </w:p>
        </w:tc>
        <w:tc>
          <w:tcPr>
            <w:tcW w:w="2240" w:type="dxa"/>
            <w:noWrap/>
            <w:hideMark/>
          </w:tcPr>
          <w:p w14:paraId="21A6CA2C"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4.477%</w:t>
            </w:r>
          </w:p>
        </w:tc>
        <w:tc>
          <w:tcPr>
            <w:tcW w:w="1247" w:type="dxa"/>
            <w:noWrap/>
            <w:hideMark/>
          </w:tcPr>
          <w:p w14:paraId="16A6AD8A"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8.4</w:t>
            </w:r>
          </w:p>
        </w:tc>
        <w:tc>
          <w:tcPr>
            <w:tcW w:w="3546" w:type="dxa"/>
            <w:noWrap/>
            <w:hideMark/>
          </w:tcPr>
          <w:p w14:paraId="135C396A" w14:textId="5AAB375E" w:rsidR="00336853" w:rsidRPr="00DC1F83" w:rsidRDefault="00336853" w:rsidP="00DC1F83">
            <w:pPr>
              <w:spacing w:after="0" w:line="240" w:lineRule="auto"/>
              <w:ind w:left="284" w:right="332"/>
              <w:jc w:val="right"/>
              <w:rPr>
                <w:rFonts w:ascii="ITC Avant Garde" w:hAnsi="ITC Avant Garde"/>
                <w:sz w:val="18"/>
                <w:szCs w:val="18"/>
              </w:rPr>
            </w:pPr>
            <w:r w:rsidRPr="00DC1F83">
              <w:rPr>
                <w:rFonts w:ascii="ITC Avant Garde" w:hAnsi="ITC Avant Garde"/>
                <w:sz w:val="18"/>
                <w:szCs w:val="18"/>
              </w:rPr>
              <w:t xml:space="preserve">$94,197,093 </w:t>
            </w:r>
          </w:p>
        </w:tc>
      </w:tr>
      <w:tr w:rsidR="00336853" w:rsidRPr="00DC1F83" w14:paraId="14A5F74F" w14:textId="77777777" w:rsidTr="00A5202C">
        <w:trPr>
          <w:trHeight w:val="300"/>
          <w:jc w:val="center"/>
        </w:trPr>
        <w:tc>
          <w:tcPr>
            <w:tcW w:w="1444" w:type="dxa"/>
            <w:noWrap/>
            <w:hideMark/>
          </w:tcPr>
          <w:p w14:paraId="02811F1D"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7</w:t>
            </w:r>
          </w:p>
        </w:tc>
        <w:tc>
          <w:tcPr>
            <w:tcW w:w="2240" w:type="dxa"/>
            <w:noWrap/>
            <w:hideMark/>
          </w:tcPr>
          <w:p w14:paraId="2E933D67"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0.765%</w:t>
            </w:r>
          </w:p>
        </w:tc>
        <w:tc>
          <w:tcPr>
            <w:tcW w:w="1247" w:type="dxa"/>
            <w:noWrap/>
            <w:hideMark/>
          </w:tcPr>
          <w:p w14:paraId="61A77627"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8.4</w:t>
            </w:r>
          </w:p>
        </w:tc>
        <w:tc>
          <w:tcPr>
            <w:tcW w:w="3546" w:type="dxa"/>
            <w:noWrap/>
            <w:hideMark/>
          </w:tcPr>
          <w:p w14:paraId="706CAFEC" w14:textId="54D72D6B" w:rsidR="00336853" w:rsidRPr="00DC1F83" w:rsidRDefault="00336853" w:rsidP="00DC1F83">
            <w:pPr>
              <w:spacing w:after="0" w:line="240" w:lineRule="auto"/>
              <w:ind w:left="284" w:right="332"/>
              <w:jc w:val="right"/>
              <w:rPr>
                <w:rFonts w:ascii="ITC Avant Garde" w:hAnsi="ITC Avant Garde"/>
                <w:sz w:val="18"/>
                <w:szCs w:val="18"/>
              </w:rPr>
            </w:pPr>
            <w:r w:rsidRPr="00DC1F83">
              <w:rPr>
                <w:rFonts w:ascii="ITC Avant Garde" w:hAnsi="ITC Avant Garde"/>
                <w:sz w:val="18"/>
                <w:szCs w:val="18"/>
              </w:rPr>
              <w:t xml:space="preserve">$39,299,513 </w:t>
            </w:r>
          </w:p>
        </w:tc>
      </w:tr>
      <w:tr w:rsidR="00336853" w:rsidRPr="00DC1F83" w14:paraId="15007A3E" w14:textId="77777777" w:rsidTr="00A5202C">
        <w:trPr>
          <w:trHeight w:val="300"/>
          <w:jc w:val="center"/>
        </w:trPr>
        <w:tc>
          <w:tcPr>
            <w:tcW w:w="1444" w:type="dxa"/>
            <w:noWrap/>
            <w:hideMark/>
          </w:tcPr>
          <w:p w14:paraId="3E0D4DDE"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8</w:t>
            </w:r>
          </w:p>
        </w:tc>
        <w:tc>
          <w:tcPr>
            <w:tcW w:w="2240" w:type="dxa"/>
            <w:noWrap/>
            <w:hideMark/>
          </w:tcPr>
          <w:p w14:paraId="1F711205"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0.517%</w:t>
            </w:r>
          </w:p>
        </w:tc>
        <w:tc>
          <w:tcPr>
            <w:tcW w:w="1247" w:type="dxa"/>
            <w:noWrap/>
            <w:hideMark/>
          </w:tcPr>
          <w:p w14:paraId="4FCD1186"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8.4</w:t>
            </w:r>
          </w:p>
        </w:tc>
        <w:tc>
          <w:tcPr>
            <w:tcW w:w="3546" w:type="dxa"/>
            <w:noWrap/>
            <w:hideMark/>
          </w:tcPr>
          <w:p w14:paraId="09261501" w14:textId="7339E916" w:rsidR="00336853" w:rsidRPr="00DC1F83" w:rsidRDefault="00336853" w:rsidP="00DC1F83">
            <w:pPr>
              <w:spacing w:after="0" w:line="240" w:lineRule="auto"/>
              <w:ind w:left="284" w:right="332"/>
              <w:jc w:val="right"/>
              <w:rPr>
                <w:rFonts w:ascii="ITC Avant Garde" w:hAnsi="ITC Avant Garde"/>
                <w:sz w:val="18"/>
                <w:szCs w:val="18"/>
              </w:rPr>
            </w:pPr>
            <w:r w:rsidRPr="00DC1F83">
              <w:rPr>
                <w:rFonts w:ascii="ITC Avant Garde" w:hAnsi="ITC Avant Garde"/>
                <w:sz w:val="18"/>
                <w:szCs w:val="18"/>
              </w:rPr>
              <w:t xml:space="preserve">$6,713,800 </w:t>
            </w:r>
          </w:p>
        </w:tc>
      </w:tr>
      <w:tr w:rsidR="00336853" w:rsidRPr="00DC1F83" w14:paraId="7AF37ACB" w14:textId="77777777" w:rsidTr="00A5202C">
        <w:trPr>
          <w:trHeight w:val="300"/>
          <w:jc w:val="center"/>
        </w:trPr>
        <w:tc>
          <w:tcPr>
            <w:tcW w:w="1444" w:type="dxa"/>
            <w:noWrap/>
            <w:hideMark/>
          </w:tcPr>
          <w:p w14:paraId="4E5E5CD0"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9</w:t>
            </w:r>
          </w:p>
        </w:tc>
        <w:tc>
          <w:tcPr>
            <w:tcW w:w="2240" w:type="dxa"/>
            <w:noWrap/>
            <w:hideMark/>
          </w:tcPr>
          <w:p w14:paraId="151B6B8F"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40.19%</w:t>
            </w:r>
          </w:p>
        </w:tc>
        <w:tc>
          <w:tcPr>
            <w:tcW w:w="1247" w:type="dxa"/>
            <w:noWrap/>
            <w:hideMark/>
          </w:tcPr>
          <w:p w14:paraId="57FA182D" w14:textId="77777777" w:rsidR="00336853" w:rsidRPr="00DC1F83" w:rsidRDefault="00336853" w:rsidP="00DC1F83">
            <w:pPr>
              <w:spacing w:after="0" w:line="240" w:lineRule="auto"/>
              <w:ind w:left="284" w:right="332"/>
              <w:jc w:val="center"/>
              <w:rPr>
                <w:rFonts w:ascii="ITC Avant Garde" w:hAnsi="ITC Avant Garde"/>
                <w:sz w:val="18"/>
                <w:szCs w:val="18"/>
              </w:rPr>
            </w:pPr>
            <w:r w:rsidRPr="00DC1F83">
              <w:rPr>
                <w:rFonts w:ascii="ITC Avant Garde" w:hAnsi="ITC Avant Garde"/>
                <w:sz w:val="18"/>
                <w:szCs w:val="18"/>
              </w:rPr>
              <w:t>8.4</w:t>
            </w:r>
          </w:p>
        </w:tc>
        <w:tc>
          <w:tcPr>
            <w:tcW w:w="3546" w:type="dxa"/>
            <w:noWrap/>
            <w:hideMark/>
          </w:tcPr>
          <w:p w14:paraId="307E5E46" w14:textId="1E091CFF" w:rsidR="00336853" w:rsidRPr="00DC1F83" w:rsidRDefault="00336853" w:rsidP="00DC1F83">
            <w:pPr>
              <w:spacing w:after="0" w:line="240" w:lineRule="auto"/>
              <w:ind w:left="284" w:right="332"/>
              <w:jc w:val="right"/>
              <w:rPr>
                <w:rFonts w:ascii="ITC Avant Garde" w:hAnsi="ITC Avant Garde"/>
                <w:sz w:val="18"/>
                <w:szCs w:val="18"/>
              </w:rPr>
            </w:pPr>
            <w:r w:rsidRPr="00DC1F83">
              <w:rPr>
                <w:rFonts w:ascii="ITC Avant Garde" w:hAnsi="ITC Avant Garde"/>
                <w:sz w:val="18"/>
                <w:szCs w:val="18"/>
              </w:rPr>
              <w:t xml:space="preserve">$352,766,089 </w:t>
            </w:r>
          </w:p>
        </w:tc>
      </w:tr>
      <w:tr w:rsidR="00DC1F83" w:rsidRPr="00DC1F83" w14:paraId="05D81F22" w14:textId="77777777" w:rsidTr="00A5202C">
        <w:trPr>
          <w:trHeight w:val="300"/>
          <w:jc w:val="center"/>
        </w:trPr>
        <w:tc>
          <w:tcPr>
            <w:tcW w:w="1444" w:type="dxa"/>
            <w:noWrap/>
          </w:tcPr>
          <w:p w14:paraId="0A5E9129" w14:textId="3FAA5D6C" w:rsidR="00DC1F83" w:rsidRPr="00DC1F83" w:rsidRDefault="00DC1F83" w:rsidP="00DC1F83">
            <w:pPr>
              <w:spacing w:after="0" w:line="240" w:lineRule="auto"/>
              <w:ind w:left="284" w:right="332"/>
              <w:jc w:val="center"/>
              <w:rPr>
                <w:rFonts w:ascii="ITC Avant Garde" w:eastAsia="Times New Roman" w:hAnsi="ITC Avant Garde"/>
                <w:sz w:val="2"/>
                <w:szCs w:val="2"/>
                <w:lang w:val="es-ES"/>
              </w:rPr>
            </w:pPr>
            <w:r w:rsidRPr="00DC1F83">
              <w:rPr>
                <w:rFonts w:ascii="ITC Avant Garde" w:hAnsi="ITC Avant Garde"/>
                <w:sz w:val="2"/>
                <w:szCs w:val="2"/>
              </w:rPr>
              <w:t>.</w:t>
            </w:r>
          </w:p>
        </w:tc>
        <w:tc>
          <w:tcPr>
            <w:tcW w:w="2240" w:type="dxa"/>
          </w:tcPr>
          <w:p w14:paraId="68F38837" w14:textId="05CEDD9E" w:rsidR="00DC1F83" w:rsidRPr="00DC1F83" w:rsidRDefault="00DC1F83" w:rsidP="00DC1F83">
            <w:pPr>
              <w:spacing w:after="0" w:line="240" w:lineRule="auto"/>
              <w:ind w:left="284" w:right="332"/>
              <w:jc w:val="center"/>
              <w:rPr>
                <w:rFonts w:ascii="ITC Avant Garde" w:eastAsia="Times New Roman" w:hAnsi="ITC Avant Garde"/>
                <w:sz w:val="2"/>
                <w:szCs w:val="2"/>
                <w:lang w:val="es-ES"/>
              </w:rPr>
            </w:pPr>
            <w:r w:rsidRPr="00DC1F83">
              <w:rPr>
                <w:rFonts w:ascii="ITC Avant Garde" w:hAnsi="ITC Avant Garde"/>
                <w:sz w:val="2"/>
                <w:szCs w:val="2"/>
              </w:rPr>
              <w:t>.</w:t>
            </w:r>
          </w:p>
        </w:tc>
        <w:tc>
          <w:tcPr>
            <w:tcW w:w="1247" w:type="dxa"/>
          </w:tcPr>
          <w:p w14:paraId="69BAB601" w14:textId="60E01FC1" w:rsidR="00DC1F83" w:rsidRPr="00DC1F83" w:rsidRDefault="00DC1F83" w:rsidP="00DC1F83">
            <w:pPr>
              <w:spacing w:after="0" w:line="240" w:lineRule="auto"/>
              <w:ind w:left="284" w:right="332"/>
              <w:jc w:val="center"/>
              <w:rPr>
                <w:rFonts w:ascii="ITC Avant Garde" w:hAnsi="ITC Avant Garde"/>
                <w:b/>
                <w:sz w:val="18"/>
                <w:szCs w:val="18"/>
              </w:rPr>
            </w:pPr>
            <w:r w:rsidRPr="00DC1F83">
              <w:rPr>
                <w:rFonts w:ascii="ITC Avant Garde" w:hAnsi="ITC Avant Garde"/>
                <w:b/>
                <w:sz w:val="18"/>
                <w:szCs w:val="18"/>
              </w:rPr>
              <w:t>Total</w:t>
            </w:r>
          </w:p>
        </w:tc>
        <w:tc>
          <w:tcPr>
            <w:tcW w:w="3546" w:type="dxa"/>
            <w:noWrap/>
          </w:tcPr>
          <w:p w14:paraId="3AE532BC" w14:textId="77777777" w:rsidR="00DC1F83" w:rsidRPr="00DC1F83" w:rsidRDefault="00DC1F83" w:rsidP="00DC1F83">
            <w:pPr>
              <w:spacing w:after="0" w:line="240" w:lineRule="auto"/>
              <w:ind w:left="284" w:right="332"/>
              <w:jc w:val="right"/>
              <w:rPr>
                <w:rFonts w:ascii="ITC Avant Garde" w:hAnsi="ITC Avant Garde"/>
                <w:b/>
                <w:sz w:val="18"/>
                <w:szCs w:val="18"/>
              </w:rPr>
            </w:pPr>
            <w:r w:rsidRPr="00DC1F83">
              <w:rPr>
                <w:rFonts w:ascii="ITC Avant Garde" w:hAnsi="ITC Avant Garde"/>
                <w:b/>
                <w:sz w:val="18"/>
                <w:szCs w:val="18"/>
              </w:rPr>
              <w:t>$877,745,308</w:t>
            </w:r>
          </w:p>
        </w:tc>
      </w:tr>
    </w:tbl>
    <w:p w14:paraId="1DBB795B" w14:textId="096414D9" w:rsidR="00336853" w:rsidRPr="00DC1F83" w:rsidRDefault="00336853" w:rsidP="00DC1F83">
      <w:pPr>
        <w:spacing w:before="240"/>
        <w:ind w:left="284" w:right="332"/>
        <w:jc w:val="both"/>
        <w:rPr>
          <w:rFonts w:ascii="ITC Avant Garde" w:hAnsi="ITC Avant Garde"/>
          <w:sz w:val="18"/>
          <w:szCs w:val="18"/>
        </w:rPr>
      </w:pPr>
      <w:r w:rsidRPr="00DC1F83">
        <w:rPr>
          <w:rFonts w:ascii="ITC Avant Garde" w:hAnsi="ITC Avant Garde"/>
          <w:sz w:val="18"/>
          <w:szCs w:val="18"/>
        </w:rPr>
        <w:t>*Cifras actualizadas con un factor obtenido con el Índice Nacional de Precios al Consumidor (INPC) de</w:t>
      </w:r>
      <w:r w:rsidRPr="00DC1F83">
        <w:rPr>
          <w:rFonts w:ascii="ITC Avant Garde" w:hAnsi="ITC Avant Garde"/>
          <w:b/>
          <w:sz w:val="18"/>
          <w:szCs w:val="18"/>
        </w:rPr>
        <w:t xml:space="preserve"> </w:t>
      </w:r>
      <w:r w:rsidRPr="00DC1F83">
        <w:rPr>
          <w:rFonts w:ascii="ITC Avant Garde" w:hAnsi="ITC Avant Garde"/>
          <w:sz w:val="18"/>
          <w:szCs w:val="18"/>
        </w:rPr>
        <w:t>julio 2016.</w:t>
      </w:r>
    </w:p>
    <w:p w14:paraId="49738297" w14:textId="77777777" w:rsidR="00DC1F83" w:rsidRPr="00DC1F83" w:rsidRDefault="00336853" w:rsidP="00DC1F83">
      <w:pPr>
        <w:spacing w:before="240"/>
        <w:ind w:left="284" w:right="332"/>
        <w:jc w:val="both"/>
        <w:rPr>
          <w:rFonts w:ascii="ITC Avant Garde" w:hAnsi="ITC Avant Garde"/>
          <w:sz w:val="18"/>
          <w:szCs w:val="18"/>
        </w:rPr>
      </w:pPr>
      <w:r w:rsidRPr="00DC1F83">
        <w:rPr>
          <w:rFonts w:ascii="ITC Avant Garde" w:hAnsi="ITC Avant Garde"/>
          <w:sz w:val="18"/>
          <w:szCs w:val="18"/>
        </w:rPr>
        <w:t>[…]</w:t>
      </w:r>
    </w:p>
    <w:p w14:paraId="28B3A3CF" w14:textId="649BD627" w:rsidR="00336853" w:rsidRPr="00DC1F83" w:rsidRDefault="00336853" w:rsidP="00DC1F83">
      <w:pPr>
        <w:spacing w:before="240"/>
        <w:ind w:left="284" w:right="332"/>
        <w:jc w:val="both"/>
        <w:rPr>
          <w:rFonts w:ascii="ITC Avant Garde" w:hAnsi="ITC Avant Garde"/>
          <w:sz w:val="18"/>
          <w:szCs w:val="18"/>
        </w:rPr>
      </w:pPr>
      <w:r w:rsidRPr="00DC1F83">
        <w:rPr>
          <w:rFonts w:ascii="ITC Avant Garde" w:hAnsi="ITC Avant Garde"/>
          <w:sz w:val="18"/>
          <w:szCs w:val="18"/>
        </w:rPr>
        <w:t>Dictamen</w:t>
      </w:r>
    </w:p>
    <w:p w14:paraId="2ADD8D55" w14:textId="77777777" w:rsidR="00DC1F83" w:rsidRPr="00DC1F83" w:rsidRDefault="00336853" w:rsidP="00DC1F83">
      <w:pPr>
        <w:autoSpaceDE w:val="0"/>
        <w:autoSpaceDN w:val="0"/>
        <w:adjustRightInd w:val="0"/>
        <w:spacing w:before="240" w:line="240" w:lineRule="auto"/>
        <w:ind w:left="284" w:right="332"/>
        <w:jc w:val="both"/>
        <w:rPr>
          <w:rFonts w:ascii="ITC Avant Garde" w:hAnsi="ITC Avant Garde" w:cs="Calibri"/>
          <w:bCs/>
          <w:sz w:val="18"/>
          <w:szCs w:val="18"/>
        </w:rPr>
      </w:pPr>
      <w:r w:rsidRPr="00DC1F83">
        <w:rPr>
          <w:rFonts w:ascii="ITC Avant Garde" w:hAnsi="ITC Avant Garde" w:cs="Calibri"/>
          <w:sz w:val="18"/>
          <w:szCs w:val="18"/>
        </w:rPr>
        <w:t xml:space="preserve">[…] se le solicita atentamente </w:t>
      </w:r>
      <w:r w:rsidR="00677892" w:rsidRPr="00DC1F83">
        <w:rPr>
          <w:rFonts w:ascii="ITC Avant Garde" w:hAnsi="ITC Avant Garde" w:cs="Calibri"/>
          <w:sz w:val="18"/>
          <w:szCs w:val="18"/>
        </w:rPr>
        <w:t>r</w:t>
      </w:r>
      <w:r w:rsidRPr="00DC1F83">
        <w:rPr>
          <w:rFonts w:ascii="ITC Avant Garde" w:hAnsi="ITC Avant Garde" w:cs="Calibri"/>
          <w:sz w:val="18"/>
          <w:szCs w:val="18"/>
        </w:rPr>
        <w:t>emitir</w:t>
      </w:r>
      <w:r w:rsidR="00677892" w:rsidRPr="00DC1F83">
        <w:rPr>
          <w:rFonts w:ascii="ITC Avant Garde" w:hAnsi="ITC Avant Garde" w:cs="Calibri"/>
          <w:sz w:val="18"/>
          <w:szCs w:val="18"/>
        </w:rPr>
        <w:t xml:space="preserve"> la</w:t>
      </w:r>
      <w:r w:rsidRPr="00DC1F83">
        <w:rPr>
          <w:rFonts w:ascii="ITC Avant Garde" w:hAnsi="ITC Avant Garde" w:cs="Calibri"/>
          <w:sz w:val="18"/>
          <w:szCs w:val="18"/>
        </w:rPr>
        <w:t xml:space="preserve"> opinión sobre el monto total de 877,745,308 (Ochocientos setenta y siete millones setecientos cuarenta y cinco mil trescientos ocho pesos 00/100 M.N.) que deberá pagar </w:t>
      </w:r>
      <w:proofErr w:type="spellStart"/>
      <w:r w:rsidRPr="00DC1F83">
        <w:rPr>
          <w:rFonts w:ascii="ITC Avant Garde" w:hAnsi="ITC Avant Garde"/>
          <w:sz w:val="18"/>
          <w:szCs w:val="18"/>
        </w:rPr>
        <w:t>Radiomóvil</w:t>
      </w:r>
      <w:proofErr w:type="spellEnd"/>
      <w:r w:rsidRPr="00DC1F83">
        <w:rPr>
          <w:rFonts w:ascii="ITC Avant Garde" w:hAnsi="ITC Avant Garde"/>
          <w:sz w:val="18"/>
          <w:szCs w:val="18"/>
        </w:rPr>
        <w:t xml:space="preserve"> </w:t>
      </w:r>
      <w:proofErr w:type="spellStart"/>
      <w:r w:rsidRPr="00DC1F83">
        <w:rPr>
          <w:rFonts w:ascii="ITC Avant Garde" w:hAnsi="ITC Avant Garde"/>
          <w:sz w:val="18"/>
          <w:szCs w:val="18"/>
        </w:rPr>
        <w:t>Dipsa</w:t>
      </w:r>
      <w:proofErr w:type="spellEnd"/>
      <w:r w:rsidRPr="00DC1F83">
        <w:rPr>
          <w:rFonts w:ascii="ITC Avant Garde" w:hAnsi="ITC Avant Garde"/>
          <w:sz w:val="18"/>
          <w:szCs w:val="18"/>
        </w:rPr>
        <w:t>, S.A. de C.V.</w:t>
      </w:r>
      <w:r w:rsidRPr="00DC1F83">
        <w:rPr>
          <w:rFonts w:ascii="ITC Avant Garde" w:hAnsi="ITC Avant Garde" w:cs="Calibri"/>
          <w:sz w:val="18"/>
          <w:szCs w:val="18"/>
        </w:rPr>
        <w:t xml:space="preserve"> por el otorgamiento de la prórroga a sus títulos de concesión para usar, aprovechar y explotar bandas de frecuencias del espectro radioeléctrico por un periodo de 20 años en las Regiones PCS 1, 2, 3, 4, 5, 6, 7, 8 y 9 en la banda de 1900 MHz, para lo cual se anexa disco compacto que contiene </w:t>
      </w:r>
      <w:r w:rsidRPr="00DC1F83">
        <w:rPr>
          <w:rFonts w:ascii="ITC Avant Garde" w:hAnsi="ITC Avant Garde" w:cs="Calibri"/>
          <w:bCs/>
          <w:sz w:val="18"/>
          <w:szCs w:val="18"/>
        </w:rPr>
        <w:t>los cálculos realizados, así como la metodología que se utilizó para obtener las contraprestaciones que se proponen en el presente oficio.”</w:t>
      </w:r>
    </w:p>
    <w:p w14:paraId="26B711B7" w14:textId="77777777" w:rsidR="00DC1F83" w:rsidRPr="00DC1F83" w:rsidRDefault="001872EA" w:rsidP="00DC1F83">
      <w:pPr>
        <w:autoSpaceDE w:val="0"/>
        <w:autoSpaceDN w:val="0"/>
        <w:adjustRightInd w:val="0"/>
        <w:spacing w:before="240" w:line="240" w:lineRule="auto"/>
        <w:jc w:val="both"/>
        <w:rPr>
          <w:rFonts w:ascii="ITC Avant Garde" w:hAnsi="ITC Avant Garde"/>
          <w:bCs/>
          <w:color w:val="000000"/>
          <w:lang w:val="es-ES" w:eastAsia="es-MX"/>
        </w:rPr>
      </w:pPr>
      <w:r w:rsidRPr="00DC1F83">
        <w:rPr>
          <w:rFonts w:ascii="ITC Avant Garde" w:hAnsi="ITC Avant Garde"/>
          <w:bCs/>
        </w:rPr>
        <w:t xml:space="preserve">Finalmente, </w:t>
      </w:r>
      <w:r w:rsidR="00250088" w:rsidRPr="00DC1F83">
        <w:rPr>
          <w:rFonts w:ascii="ITC Avant Garde" w:hAnsi="ITC Avant Garde"/>
          <w:bCs/>
        </w:rPr>
        <w:t>y considerando que las cantidades señaladas se encontraban actualizadas al mes de julio de 2016, la</w:t>
      </w:r>
      <w:r w:rsidRPr="00DC1F83">
        <w:rPr>
          <w:rFonts w:ascii="ITC Avant Garde" w:hAnsi="ITC Avant Garde"/>
          <w:bCs/>
        </w:rPr>
        <w:t xml:space="preserve"> Unidad de Concesiones y Servicios, a través de la Dirección General de Concesiones de Telecomunicaciones, solicitó a la Unidad de Espectro Radioeléctrico</w:t>
      </w:r>
      <w:r w:rsidR="0025525F" w:rsidRPr="00DC1F83">
        <w:rPr>
          <w:rFonts w:ascii="ITC Avant Garde" w:hAnsi="ITC Avant Garde"/>
          <w:bCs/>
        </w:rPr>
        <w:t xml:space="preserve"> la actualización de los montos propuestos por concepto de contraprestación, que deberá pagar Telcel </w:t>
      </w:r>
      <w:r w:rsidR="0025525F" w:rsidRPr="00DC1F83">
        <w:rPr>
          <w:rFonts w:ascii="ITC Avant Garde" w:hAnsi="ITC Avant Garde"/>
          <w:bCs/>
          <w:color w:val="000000"/>
          <w:lang w:val="es-ES" w:eastAsia="es-MX"/>
        </w:rPr>
        <w:t>por las prórrogas de concesión para usar, aprovechar y explotar 8.4 MHz de la banda de frecuencias del espectro radioeléctrico de 1900 MHz, en las Regiones 1, 2, 3, 4, 5, 6, 7, 8 y 9 PCS.</w:t>
      </w:r>
    </w:p>
    <w:p w14:paraId="2B8B0EF3" w14:textId="77777777" w:rsidR="00DC1F83" w:rsidRPr="00DC1F83" w:rsidRDefault="0025525F" w:rsidP="00DC1F83">
      <w:pPr>
        <w:autoSpaceDE w:val="0"/>
        <w:autoSpaceDN w:val="0"/>
        <w:adjustRightInd w:val="0"/>
        <w:spacing w:before="240" w:line="240" w:lineRule="auto"/>
        <w:jc w:val="both"/>
        <w:rPr>
          <w:rFonts w:ascii="ITC Avant Garde" w:hAnsi="ITC Avant Garde"/>
          <w:bCs/>
          <w:color w:val="000000"/>
          <w:lang w:val="es-ES" w:eastAsia="es-MX"/>
        </w:rPr>
      </w:pPr>
      <w:r w:rsidRPr="00DC1F83">
        <w:rPr>
          <w:rFonts w:ascii="ITC Avant Garde" w:hAnsi="ITC Avant Garde"/>
          <w:bCs/>
          <w:color w:val="000000"/>
          <w:lang w:val="es-ES" w:eastAsia="es-MX"/>
        </w:rPr>
        <w:t xml:space="preserve">En respuesta a lo anterior, </w:t>
      </w:r>
      <w:r w:rsidR="00250088" w:rsidRPr="00DC1F83">
        <w:rPr>
          <w:rFonts w:ascii="ITC Avant Garde" w:hAnsi="ITC Avant Garde"/>
          <w:bCs/>
          <w:color w:val="000000"/>
          <w:lang w:val="es-ES" w:eastAsia="es-MX"/>
        </w:rPr>
        <w:t xml:space="preserve">y con la finalidad de que se sometiera al Pleno del Instituto para su autorización el monto por concepto de contraprestación, actualizado a la fecha de emisión de la presente Resolución, </w:t>
      </w:r>
      <w:r w:rsidRPr="00DC1F83">
        <w:rPr>
          <w:rFonts w:ascii="ITC Avant Garde" w:hAnsi="ITC Avant Garde"/>
          <w:bCs/>
          <w:color w:val="000000"/>
          <w:lang w:val="es-ES" w:eastAsia="es-MX"/>
        </w:rPr>
        <w:t xml:space="preserve">la Unidad de Espectro Radioeléctrico, a través de la Dirección General de Economía del Espectro y Recursos Orbitales remitió </w:t>
      </w:r>
      <w:r w:rsidR="00250088" w:rsidRPr="00DC1F83">
        <w:rPr>
          <w:rFonts w:ascii="ITC Avant Garde" w:hAnsi="ITC Avant Garde"/>
          <w:bCs/>
          <w:color w:val="000000"/>
          <w:lang w:val="es-ES" w:eastAsia="es-MX"/>
        </w:rPr>
        <w:t>dicha a</w:t>
      </w:r>
      <w:r w:rsidRPr="00DC1F83">
        <w:rPr>
          <w:rFonts w:ascii="ITC Avant Garde" w:hAnsi="ITC Avant Garde"/>
          <w:bCs/>
          <w:color w:val="000000"/>
          <w:lang w:val="es-ES" w:eastAsia="es-MX"/>
        </w:rPr>
        <w:t xml:space="preserve">ctualización </w:t>
      </w:r>
      <w:r w:rsidR="00985007" w:rsidRPr="00DC1F83">
        <w:rPr>
          <w:rFonts w:ascii="ITC Avant Garde" w:hAnsi="ITC Avant Garde"/>
          <w:bCs/>
          <w:color w:val="000000"/>
          <w:lang w:val="es-ES" w:eastAsia="es-MX"/>
        </w:rPr>
        <w:t xml:space="preserve">conforme al </w:t>
      </w:r>
      <w:r w:rsidR="00985007" w:rsidRPr="00DC1F83">
        <w:rPr>
          <w:rFonts w:ascii="ITC Avant Garde" w:hAnsi="ITC Avant Garde"/>
          <w:bCs/>
          <w:lang w:val="es-ES_tradnl"/>
        </w:rPr>
        <w:t>Índice Nacional de Precios al Consumidor</w:t>
      </w:r>
      <w:r w:rsidR="00985007" w:rsidRPr="00DC1F83">
        <w:rPr>
          <w:rFonts w:ascii="ITC Avant Garde" w:hAnsi="ITC Avant Garde"/>
          <w:bCs/>
          <w:color w:val="000000"/>
          <w:lang w:val="es-ES" w:eastAsia="es-MX"/>
        </w:rPr>
        <w:t xml:space="preserve"> del</w:t>
      </w:r>
      <w:r w:rsidRPr="00DC1F83">
        <w:rPr>
          <w:rFonts w:ascii="ITC Avant Garde" w:hAnsi="ITC Avant Garde"/>
          <w:bCs/>
          <w:color w:val="000000"/>
          <w:lang w:val="es-ES" w:eastAsia="es-MX"/>
        </w:rPr>
        <w:t xml:space="preserve"> mes de octubre de</w:t>
      </w:r>
      <w:r w:rsidR="00B76466" w:rsidRPr="00DC1F83">
        <w:rPr>
          <w:rFonts w:ascii="ITC Avant Garde" w:hAnsi="ITC Avant Garde"/>
          <w:bCs/>
          <w:color w:val="000000"/>
          <w:lang w:val="es-ES" w:eastAsia="es-MX"/>
        </w:rPr>
        <w:t xml:space="preserve"> </w:t>
      </w:r>
      <w:r w:rsidRPr="00DC1F83">
        <w:rPr>
          <w:rFonts w:ascii="ITC Avant Garde" w:hAnsi="ITC Avant Garde"/>
          <w:bCs/>
          <w:color w:val="000000"/>
          <w:lang w:val="es-ES" w:eastAsia="es-MX"/>
        </w:rPr>
        <w:t>2016</w:t>
      </w:r>
      <w:r w:rsidR="00985007" w:rsidRPr="00DC1F83">
        <w:rPr>
          <w:rFonts w:ascii="ITC Avant Garde" w:hAnsi="ITC Avant Garde"/>
          <w:bCs/>
          <w:color w:val="000000"/>
          <w:lang w:val="es-ES" w:eastAsia="es-MX"/>
        </w:rPr>
        <w:t>, de conformidad con la siguiente tabla:</w:t>
      </w:r>
    </w:p>
    <w:p w14:paraId="3848461C" w14:textId="582F598B" w:rsidR="00985007" w:rsidRPr="00DC1F83" w:rsidRDefault="00985007" w:rsidP="00DC1F83">
      <w:pPr>
        <w:autoSpaceDE w:val="0"/>
        <w:autoSpaceDN w:val="0"/>
        <w:adjustRightInd w:val="0"/>
        <w:spacing w:before="240" w:line="240" w:lineRule="auto"/>
        <w:ind w:left="284"/>
        <w:jc w:val="both"/>
        <w:rPr>
          <w:rFonts w:ascii="ITC Avant Garde" w:hAnsi="ITC Avant Garde"/>
          <w:bCs/>
          <w:color w:val="000000"/>
          <w:lang w:val="es-ES" w:eastAsia="es-MX"/>
        </w:rPr>
      </w:pPr>
      <w:r w:rsidRPr="00DC1F83">
        <w:rPr>
          <w:rFonts w:ascii="ITC Avant Garde" w:hAnsi="ITC Avant Garde"/>
          <w:bCs/>
          <w:color w:val="000000"/>
          <w:lang w:val="es-ES" w:eastAsia="es-MX"/>
        </w:rPr>
        <w:t>“[…]</w:t>
      </w:r>
    </w:p>
    <w:tbl>
      <w:tblPr>
        <w:tblStyle w:val="Tablaconcuadrcula1"/>
        <w:tblW w:w="0" w:type="auto"/>
        <w:jc w:val="center"/>
        <w:tblLayout w:type="fixed"/>
        <w:tblLook w:val="04A0" w:firstRow="1" w:lastRow="0" w:firstColumn="1" w:lastColumn="0" w:noHBand="0" w:noVBand="1"/>
        <w:tblCaption w:val="Contraprestación actualizada onforme al Índice Nacional de Precios al Consumidor (Octubre de 2016)"/>
        <w:tblDescription w:val="En una tabla de 5 clumnas, se proporciona para las 9 Regiones los montos de contraprestación en pesos."/>
      </w:tblPr>
      <w:tblGrid>
        <w:gridCol w:w="1134"/>
        <w:gridCol w:w="1737"/>
        <w:gridCol w:w="2799"/>
        <w:gridCol w:w="1271"/>
        <w:gridCol w:w="1847"/>
      </w:tblGrid>
      <w:tr w:rsidR="00985007" w:rsidRPr="00A5202C" w14:paraId="20C14A35" w14:textId="77777777" w:rsidTr="00A5202C">
        <w:trPr>
          <w:trHeight w:val="1108"/>
          <w:tblHeader/>
          <w:jc w:val="center"/>
        </w:trPr>
        <w:tc>
          <w:tcPr>
            <w:tcW w:w="1134" w:type="dxa"/>
            <w:shd w:val="clear" w:color="auto" w:fill="A6A6A6" w:themeFill="background1" w:themeFillShade="A6"/>
            <w:vAlign w:val="center"/>
            <w:hideMark/>
          </w:tcPr>
          <w:p w14:paraId="1D14339B" w14:textId="77777777" w:rsidR="00985007" w:rsidRPr="00A5202C" w:rsidRDefault="00985007" w:rsidP="00A5202C">
            <w:pPr>
              <w:spacing w:after="0"/>
              <w:jc w:val="center"/>
              <w:rPr>
                <w:rFonts w:ascii="ITC Avant Garde" w:hAnsi="ITC Avant Garde"/>
                <w:b/>
                <w:bCs/>
                <w:color w:val="000000"/>
                <w:sz w:val="17"/>
                <w:szCs w:val="17"/>
                <w:lang w:eastAsia="es-MX"/>
              </w:rPr>
            </w:pPr>
            <w:r w:rsidRPr="00A5202C">
              <w:rPr>
                <w:rFonts w:ascii="ITC Avant Garde" w:hAnsi="ITC Avant Garde"/>
                <w:b/>
                <w:bCs/>
                <w:color w:val="000000"/>
                <w:sz w:val="17"/>
                <w:szCs w:val="17"/>
                <w:lang w:eastAsia="es-MX"/>
              </w:rPr>
              <w:lastRenderedPageBreak/>
              <w:t>Región PCS</w:t>
            </w:r>
          </w:p>
        </w:tc>
        <w:tc>
          <w:tcPr>
            <w:tcW w:w="1737" w:type="dxa"/>
            <w:shd w:val="clear" w:color="auto" w:fill="A6A6A6" w:themeFill="background1" w:themeFillShade="A6"/>
            <w:vAlign w:val="center"/>
            <w:hideMark/>
          </w:tcPr>
          <w:p w14:paraId="2B0C8EDC" w14:textId="77777777" w:rsidR="00985007" w:rsidRPr="00A5202C" w:rsidRDefault="00985007" w:rsidP="00A5202C">
            <w:pPr>
              <w:spacing w:after="0"/>
              <w:jc w:val="center"/>
              <w:rPr>
                <w:rFonts w:ascii="ITC Avant Garde" w:hAnsi="ITC Avant Garde"/>
                <w:b/>
                <w:bCs/>
                <w:color w:val="000000"/>
                <w:sz w:val="17"/>
                <w:szCs w:val="17"/>
                <w:lang w:eastAsia="es-MX"/>
              </w:rPr>
            </w:pPr>
            <w:r w:rsidRPr="00A5202C">
              <w:rPr>
                <w:rFonts w:ascii="ITC Avant Garde" w:hAnsi="ITC Avant Garde"/>
                <w:b/>
                <w:bCs/>
                <w:color w:val="000000"/>
                <w:sz w:val="17"/>
                <w:szCs w:val="17"/>
                <w:lang w:eastAsia="es-MX"/>
              </w:rPr>
              <w:t>% por región con base en el artículo 244-B de la LFD</w:t>
            </w:r>
          </w:p>
        </w:tc>
        <w:tc>
          <w:tcPr>
            <w:tcW w:w="2799" w:type="dxa"/>
            <w:shd w:val="clear" w:color="auto" w:fill="A6A6A6" w:themeFill="background1" w:themeFillShade="A6"/>
            <w:vAlign w:val="center"/>
            <w:hideMark/>
          </w:tcPr>
          <w:p w14:paraId="1BD167B0" w14:textId="77777777" w:rsidR="00985007" w:rsidRPr="00A5202C" w:rsidRDefault="00985007" w:rsidP="00A5202C">
            <w:pPr>
              <w:spacing w:after="0"/>
              <w:jc w:val="center"/>
              <w:rPr>
                <w:rFonts w:ascii="ITC Avant Garde" w:hAnsi="ITC Avant Garde"/>
                <w:b/>
                <w:bCs/>
                <w:color w:val="000000"/>
                <w:sz w:val="17"/>
                <w:szCs w:val="17"/>
                <w:lang w:eastAsia="es-MX"/>
              </w:rPr>
            </w:pPr>
            <w:r w:rsidRPr="00A5202C">
              <w:rPr>
                <w:rFonts w:ascii="ITC Avant Garde" w:hAnsi="ITC Avant Garde"/>
                <w:b/>
                <w:bCs/>
                <w:color w:val="000000"/>
                <w:sz w:val="17"/>
                <w:szCs w:val="17"/>
                <w:lang w:eastAsia="es-MX"/>
              </w:rPr>
              <w:t>Precio por MHz regional (pesos a octubre 2016)</w:t>
            </w:r>
          </w:p>
        </w:tc>
        <w:tc>
          <w:tcPr>
            <w:tcW w:w="1271" w:type="dxa"/>
            <w:shd w:val="clear" w:color="auto" w:fill="A6A6A6" w:themeFill="background1" w:themeFillShade="A6"/>
            <w:vAlign w:val="center"/>
            <w:hideMark/>
          </w:tcPr>
          <w:p w14:paraId="4B8395A4" w14:textId="77777777" w:rsidR="00985007" w:rsidRPr="00A5202C" w:rsidRDefault="00985007" w:rsidP="00A5202C">
            <w:pPr>
              <w:spacing w:after="0"/>
              <w:jc w:val="center"/>
              <w:rPr>
                <w:rFonts w:ascii="ITC Avant Garde" w:hAnsi="ITC Avant Garde"/>
                <w:b/>
                <w:bCs/>
                <w:color w:val="000000"/>
                <w:sz w:val="17"/>
                <w:szCs w:val="17"/>
                <w:lang w:eastAsia="es-MX"/>
              </w:rPr>
            </w:pPr>
            <w:r w:rsidRPr="00A5202C">
              <w:rPr>
                <w:rFonts w:ascii="ITC Avant Garde" w:hAnsi="ITC Avant Garde"/>
                <w:b/>
                <w:bCs/>
                <w:color w:val="000000"/>
                <w:sz w:val="17"/>
                <w:szCs w:val="17"/>
                <w:lang w:eastAsia="es-MX"/>
              </w:rPr>
              <w:t>MHz por región</w:t>
            </w:r>
          </w:p>
        </w:tc>
        <w:tc>
          <w:tcPr>
            <w:tcW w:w="1847" w:type="dxa"/>
            <w:shd w:val="clear" w:color="auto" w:fill="A6A6A6" w:themeFill="background1" w:themeFillShade="A6"/>
            <w:vAlign w:val="center"/>
            <w:hideMark/>
          </w:tcPr>
          <w:p w14:paraId="12109217" w14:textId="77777777" w:rsidR="00985007" w:rsidRPr="00A5202C" w:rsidRDefault="00985007" w:rsidP="00A5202C">
            <w:pPr>
              <w:spacing w:after="0"/>
              <w:jc w:val="center"/>
              <w:rPr>
                <w:rFonts w:ascii="ITC Avant Garde" w:hAnsi="ITC Avant Garde"/>
                <w:b/>
                <w:bCs/>
                <w:color w:val="000000"/>
                <w:sz w:val="17"/>
                <w:szCs w:val="17"/>
                <w:lang w:eastAsia="es-MX"/>
              </w:rPr>
            </w:pPr>
            <w:r w:rsidRPr="00A5202C">
              <w:rPr>
                <w:rFonts w:ascii="ITC Avant Garde" w:hAnsi="ITC Avant Garde"/>
                <w:b/>
                <w:bCs/>
                <w:color w:val="000000"/>
                <w:sz w:val="17"/>
                <w:szCs w:val="17"/>
                <w:lang w:eastAsia="es-MX"/>
              </w:rPr>
              <w:t>Monto de Contraprestación (pesos a octubre de 2016)</w:t>
            </w:r>
          </w:p>
        </w:tc>
      </w:tr>
      <w:tr w:rsidR="00985007" w:rsidRPr="00DC1F83" w14:paraId="27BEFA6B" w14:textId="77777777" w:rsidTr="00A5202C">
        <w:trPr>
          <w:jc w:val="center"/>
        </w:trPr>
        <w:tc>
          <w:tcPr>
            <w:tcW w:w="1134" w:type="dxa"/>
            <w:hideMark/>
          </w:tcPr>
          <w:p w14:paraId="3248A287"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Región 1</w:t>
            </w:r>
          </w:p>
        </w:tc>
        <w:tc>
          <w:tcPr>
            <w:tcW w:w="1737" w:type="dxa"/>
            <w:hideMark/>
          </w:tcPr>
          <w:p w14:paraId="278FF5A1"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8.82%</w:t>
            </w:r>
          </w:p>
        </w:tc>
        <w:tc>
          <w:tcPr>
            <w:tcW w:w="2799" w:type="dxa"/>
            <w:hideMark/>
          </w:tcPr>
          <w:p w14:paraId="58CEDA22" w14:textId="77777777" w:rsidR="00985007" w:rsidRPr="00DC1F83" w:rsidRDefault="00985007" w:rsidP="00A5202C">
            <w:pPr>
              <w:spacing w:after="0"/>
              <w:jc w:val="right"/>
              <w:rPr>
                <w:rFonts w:ascii="ITC Avant Garde" w:hAnsi="ITC Avant Garde"/>
                <w:color w:val="000000"/>
                <w:sz w:val="18"/>
                <w:szCs w:val="18"/>
                <w:lang w:eastAsia="es-MX"/>
              </w:rPr>
            </w:pPr>
            <w:r w:rsidRPr="00DC1F83">
              <w:rPr>
                <w:rFonts w:ascii="ITC Avant Garde" w:hAnsi="ITC Avant Garde"/>
                <w:color w:val="000000"/>
                <w:sz w:val="18"/>
                <w:szCs w:val="18"/>
                <w:lang w:eastAsia="es-MX"/>
              </w:rPr>
              <w:t xml:space="preserve">$9,358,781 </w:t>
            </w:r>
          </w:p>
        </w:tc>
        <w:tc>
          <w:tcPr>
            <w:tcW w:w="1271" w:type="dxa"/>
            <w:hideMark/>
          </w:tcPr>
          <w:p w14:paraId="1293307B"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8.4</w:t>
            </w:r>
          </w:p>
        </w:tc>
        <w:tc>
          <w:tcPr>
            <w:tcW w:w="1847" w:type="dxa"/>
            <w:hideMark/>
          </w:tcPr>
          <w:p w14:paraId="33B7A844" w14:textId="77777777" w:rsidR="00985007" w:rsidRPr="00DC1F83" w:rsidRDefault="00985007" w:rsidP="00A5202C">
            <w:pPr>
              <w:spacing w:after="0"/>
              <w:jc w:val="right"/>
              <w:rPr>
                <w:rFonts w:ascii="ITC Avant Garde" w:hAnsi="ITC Avant Garde"/>
                <w:color w:val="000000"/>
                <w:sz w:val="18"/>
                <w:szCs w:val="18"/>
                <w:lang w:eastAsia="es-MX"/>
              </w:rPr>
            </w:pPr>
            <w:r w:rsidRPr="00DC1F83">
              <w:rPr>
                <w:rFonts w:ascii="ITC Avant Garde" w:hAnsi="ITC Avant Garde"/>
                <w:color w:val="000000"/>
                <w:sz w:val="18"/>
                <w:szCs w:val="18"/>
                <w:lang w:eastAsia="es-MX"/>
              </w:rPr>
              <w:t xml:space="preserve">$78,613,764 </w:t>
            </w:r>
          </w:p>
        </w:tc>
      </w:tr>
      <w:tr w:rsidR="00985007" w:rsidRPr="00DC1F83" w14:paraId="3F36E9DE" w14:textId="77777777" w:rsidTr="00A5202C">
        <w:trPr>
          <w:jc w:val="center"/>
        </w:trPr>
        <w:tc>
          <w:tcPr>
            <w:tcW w:w="1134" w:type="dxa"/>
            <w:hideMark/>
          </w:tcPr>
          <w:p w14:paraId="649999CF"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Región 2</w:t>
            </w:r>
          </w:p>
        </w:tc>
        <w:tc>
          <w:tcPr>
            <w:tcW w:w="1737" w:type="dxa"/>
            <w:hideMark/>
          </w:tcPr>
          <w:p w14:paraId="73AE8A37"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1.31%</w:t>
            </w:r>
          </w:p>
        </w:tc>
        <w:tc>
          <w:tcPr>
            <w:tcW w:w="2799" w:type="dxa"/>
            <w:hideMark/>
          </w:tcPr>
          <w:p w14:paraId="09F94F07" w14:textId="77777777" w:rsidR="00985007" w:rsidRPr="00DC1F83" w:rsidRDefault="00985007" w:rsidP="00A5202C">
            <w:pPr>
              <w:spacing w:after="0"/>
              <w:jc w:val="right"/>
              <w:rPr>
                <w:rFonts w:ascii="ITC Avant Garde" w:hAnsi="ITC Avant Garde"/>
                <w:color w:val="000000"/>
                <w:sz w:val="18"/>
                <w:szCs w:val="18"/>
                <w:lang w:eastAsia="es-MX"/>
              </w:rPr>
            </w:pPr>
            <w:r w:rsidRPr="00DC1F83">
              <w:rPr>
                <w:rFonts w:ascii="ITC Avant Garde" w:hAnsi="ITC Avant Garde"/>
                <w:color w:val="000000"/>
                <w:sz w:val="18"/>
                <w:szCs w:val="18"/>
                <w:lang w:eastAsia="es-MX"/>
              </w:rPr>
              <w:t xml:space="preserve">$1,387,345 </w:t>
            </w:r>
          </w:p>
        </w:tc>
        <w:tc>
          <w:tcPr>
            <w:tcW w:w="1271" w:type="dxa"/>
            <w:hideMark/>
          </w:tcPr>
          <w:p w14:paraId="3C597A83"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8.4</w:t>
            </w:r>
          </w:p>
        </w:tc>
        <w:tc>
          <w:tcPr>
            <w:tcW w:w="1847" w:type="dxa"/>
            <w:hideMark/>
          </w:tcPr>
          <w:p w14:paraId="4FBDCB8E" w14:textId="77777777" w:rsidR="00985007" w:rsidRPr="00DC1F83" w:rsidRDefault="00985007" w:rsidP="00A5202C">
            <w:pPr>
              <w:spacing w:after="0"/>
              <w:jc w:val="right"/>
              <w:rPr>
                <w:rFonts w:ascii="ITC Avant Garde" w:hAnsi="ITC Avant Garde"/>
                <w:color w:val="000000"/>
                <w:sz w:val="18"/>
                <w:szCs w:val="18"/>
                <w:lang w:eastAsia="es-MX"/>
              </w:rPr>
            </w:pPr>
            <w:r w:rsidRPr="00DC1F83">
              <w:rPr>
                <w:rFonts w:ascii="ITC Avant Garde" w:hAnsi="ITC Avant Garde"/>
                <w:color w:val="000000"/>
                <w:sz w:val="18"/>
                <w:szCs w:val="18"/>
                <w:lang w:eastAsia="es-MX"/>
              </w:rPr>
              <w:t xml:space="preserve">$11,653,698 </w:t>
            </w:r>
          </w:p>
        </w:tc>
      </w:tr>
      <w:tr w:rsidR="00985007" w:rsidRPr="00DC1F83" w14:paraId="775F1659" w14:textId="77777777" w:rsidTr="00A5202C">
        <w:trPr>
          <w:jc w:val="center"/>
        </w:trPr>
        <w:tc>
          <w:tcPr>
            <w:tcW w:w="1134" w:type="dxa"/>
            <w:hideMark/>
          </w:tcPr>
          <w:p w14:paraId="38B6B6FA"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 xml:space="preserve">Región 3 </w:t>
            </w:r>
          </w:p>
        </w:tc>
        <w:tc>
          <w:tcPr>
            <w:tcW w:w="1737" w:type="dxa"/>
            <w:hideMark/>
          </w:tcPr>
          <w:p w14:paraId="549659AE"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5.56%</w:t>
            </w:r>
          </w:p>
        </w:tc>
        <w:tc>
          <w:tcPr>
            <w:tcW w:w="2799" w:type="dxa"/>
            <w:hideMark/>
          </w:tcPr>
          <w:p w14:paraId="26FB3F48" w14:textId="77777777" w:rsidR="00985007" w:rsidRPr="00DC1F83" w:rsidRDefault="00985007" w:rsidP="00A5202C">
            <w:pPr>
              <w:spacing w:after="0"/>
              <w:jc w:val="right"/>
              <w:rPr>
                <w:rFonts w:ascii="ITC Avant Garde" w:hAnsi="ITC Avant Garde"/>
                <w:color w:val="000000"/>
                <w:sz w:val="18"/>
                <w:szCs w:val="18"/>
                <w:lang w:eastAsia="es-MX"/>
              </w:rPr>
            </w:pPr>
            <w:r w:rsidRPr="00DC1F83">
              <w:rPr>
                <w:rFonts w:ascii="ITC Avant Garde" w:hAnsi="ITC Avant Garde"/>
                <w:color w:val="000000"/>
                <w:sz w:val="18"/>
                <w:szCs w:val="18"/>
                <w:lang w:eastAsia="es-MX"/>
              </w:rPr>
              <w:t xml:space="preserve">$5,892,593 </w:t>
            </w:r>
          </w:p>
        </w:tc>
        <w:tc>
          <w:tcPr>
            <w:tcW w:w="1271" w:type="dxa"/>
            <w:hideMark/>
          </w:tcPr>
          <w:p w14:paraId="0FB7632F"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8.4</w:t>
            </w:r>
          </w:p>
        </w:tc>
        <w:tc>
          <w:tcPr>
            <w:tcW w:w="1847" w:type="dxa"/>
            <w:hideMark/>
          </w:tcPr>
          <w:p w14:paraId="0964B421" w14:textId="77777777" w:rsidR="00985007" w:rsidRPr="00DC1F83" w:rsidRDefault="00985007" w:rsidP="00A5202C">
            <w:pPr>
              <w:spacing w:after="0"/>
              <w:jc w:val="right"/>
              <w:rPr>
                <w:rFonts w:ascii="ITC Avant Garde" w:hAnsi="ITC Avant Garde"/>
                <w:color w:val="000000"/>
                <w:sz w:val="18"/>
                <w:szCs w:val="18"/>
                <w:lang w:eastAsia="es-MX"/>
              </w:rPr>
            </w:pPr>
            <w:r w:rsidRPr="00DC1F83">
              <w:rPr>
                <w:rFonts w:ascii="ITC Avant Garde" w:hAnsi="ITC Avant Garde"/>
                <w:color w:val="000000"/>
                <w:sz w:val="18"/>
                <w:szCs w:val="18"/>
                <w:lang w:eastAsia="es-MX"/>
              </w:rPr>
              <w:t xml:space="preserve">$49,497,780 </w:t>
            </w:r>
          </w:p>
        </w:tc>
      </w:tr>
      <w:tr w:rsidR="00985007" w:rsidRPr="00DC1F83" w14:paraId="09D1852E" w14:textId="77777777" w:rsidTr="00A5202C">
        <w:trPr>
          <w:jc w:val="center"/>
        </w:trPr>
        <w:tc>
          <w:tcPr>
            <w:tcW w:w="1134" w:type="dxa"/>
            <w:hideMark/>
          </w:tcPr>
          <w:p w14:paraId="15E955A9"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Región 4</w:t>
            </w:r>
          </w:p>
        </w:tc>
        <w:tc>
          <w:tcPr>
            <w:tcW w:w="1737" w:type="dxa"/>
            <w:hideMark/>
          </w:tcPr>
          <w:p w14:paraId="3387FBA7"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27.63%</w:t>
            </w:r>
          </w:p>
        </w:tc>
        <w:tc>
          <w:tcPr>
            <w:tcW w:w="2799" w:type="dxa"/>
            <w:hideMark/>
          </w:tcPr>
          <w:p w14:paraId="02CE058C" w14:textId="77777777" w:rsidR="00985007" w:rsidRPr="00DC1F83" w:rsidRDefault="00985007" w:rsidP="00A5202C">
            <w:pPr>
              <w:spacing w:after="0"/>
              <w:jc w:val="right"/>
              <w:rPr>
                <w:rFonts w:ascii="ITC Avant Garde" w:hAnsi="ITC Avant Garde"/>
                <w:color w:val="000000"/>
                <w:sz w:val="18"/>
                <w:szCs w:val="18"/>
                <w:lang w:eastAsia="es-MX"/>
              </w:rPr>
            </w:pPr>
            <w:r w:rsidRPr="00DC1F83">
              <w:rPr>
                <w:rFonts w:ascii="ITC Avant Garde" w:hAnsi="ITC Avant Garde"/>
                <w:color w:val="000000"/>
                <w:sz w:val="18"/>
                <w:szCs w:val="18"/>
                <w:lang w:eastAsia="es-MX"/>
              </w:rPr>
              <w:t xml:space="preserve">$29,308,815 </w:t>
            </w:r>
          </w:p>
        </w:tc>
        <w:tc>
          <w:tcPr>
            <w:tcW w:w="1271" w:type="dxa"/>
            <w:hideMark/>
          </w:tcPr>
          <w:p w14:paraId="34B7711A"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8.4</w:t>
            </w:r>
          </w:p>
        </w:tc>
        <w:tc>
          <w:tcPr>
            <w:tcW w:w="1847" w:type="dxa"/>
            <w:hideMark/>
          </w:tcPr>
          <w:p w14:paraId="7C7AB07C" w14:textId="77777777" w:rsidR="00985007" w:rsidRPr="00DC1F83" w:rsidRDefault="00985007" w:rsidP="00A5202C">
            <w:pPr>
              <w:spacing w:after="0"/>
              <w:jc w:val="right"/>
              <w:rPr>
                <w:rFonts w:ascii="ITC Avant Garde" w:hAnsi="ITC Avant Garde"/>
                <w:color w:val="000000"/>
                <w:sz w:val="18"/>
                <w:szCs w:val="18"/>
                <w:lang w:eastAsia="es-MX"/>
              </w:rPr>
            </w:pPr>
            <w:r w:rsidRPr="00DC1F83">
              <w:rPr>
                <w:rFonts w:ascii="ITC Avant Garde" w:hAnsi="ITC Avant Garde"/>
                <w:color w:val="000000"/>
                <w:sz w:val="18"/>
                <w:szCs w:val="18"/>
                <w:lang w:eastAsia="es-MX"/>
              </w:rPr>
              <w:t xml:space="preserve">$246,194,046 </w:t>
            </w:r>
          </w:p>
        </w:tc>
      </w:tr>
      <w:tr w:rsidR="00985007" w:rsidRPr="00DC1F83" w14:paraId="1BCB3B0C" w14:textId="77777777" w:rsidTr="00A5202C">
        <w:trPr>
          <w:jc w:val="center"/>
        </w:trPr>
        <w:tc>
          <w:tcPr>
            <w:tcW w:w="1134" w:type="dxa"/>
            <w:hideMark/>
          </w:tcPr>
          <w:p w14:paraId="45EEDA33"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Región 5</w:t>
            </w:r>
          </w:p>
        </w:tc>
        <w:tc>
          <w:tcPr>
            <w:tcW w:w="1737" w:type="dxa"/>
            <w:hideMark/>
          </w:tcPr>
          <w:p w14:paraId="7735C1F9"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0.52%</w:t>
            </w:r>
          </w:p>
        </w:tc>
        <w:tc>
          <w:tcPr>
            <w:tcW w:w="2799" w:type="dxa"/>
            <w:hideMark/>
          </w:tcPr>
          <w:p w14:paraId="645F596D" w14:textId="77777777" w:rsidR="00985007" w:rsidRPr="00DC1F83" w:rsidRDefault="00985007" w:rsidP="00A5202C">
            <w:pPr>
              <w:spacing w:after="0"/>
              <w:jc w:val="right"/>
              <w:rPr>
                <w:rFonts w:ascii="ITC Avant Garde" w:hAnsi="ITC Avant Garde"/>
                <w:color w:val="000000"/>
                <w:sz w:val="18"/>
                <w:szCs w:val="18"/>
                <w:lang w:eastAsia="es-MX"/>
              </w:rPr>
            </w:pPr>
            <w:r w:rsidRPr="00DC1F83">
              <w:rPr>
                <w:rFonts w:ascii="ITC Avant Garde" w:hAnsi="ITC Avant Garde"/>
                <w:color w:val="000000"/>
                <w:sz w:val="18"/>
                <w:szCs w:val="18"/>
                <w:lang w:eastAsia="es-MX"/>
              </w:rPr>
              <w:t xml:space="preserve">$548,374 </w:t>
            </w:r>
          </w:p>
        </w:tc>
        <w:tc>
          <w:tcPr>
            <w:tcW w:w="1271" w:type="dxa"/>
            <w:hideMark/>
          </w:tcPr>
          <w:p w14:paraId="38F6A10F"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8.4</w:t>
            </w:r>
          </w:p>
        </w:tc>
        <w:tc>
          <w:tcPr>
            <w:tcW w:w="1847" w:type="dxa"/>
            <w:hideMark/>
          </w:tcPr>
          <w:p w14:paraId="688D9CF4" w14:textId="77777777" w:rsidR="00985007" w:rsidRPr="00DC1F83" w:rsidRDefault="00985007" w:rsidP="00A5202C">
            <w:pPr>
              <w:spacing w:after="0"/>
              <w:jc w:val="right"/>
              <w:rPr>
                <w:rFonts w:ascii="ITC Avant Garde" w:hAnsi="ITC Avant Garde"/>
                <w:color w:val="000000"/>
                <w:sz w:val="18"/>
                <w:szCs w:val="18"/>
                <w:lang w:eastAsia="es-MX"/>
              </w:rPr>
            </w:pPr>
            <w:r w:rsidRPr="00DC1F83">
              <w:rPr>
                <w:rFonts w:ascii="ITC Avant Garde" w:hAnsi="ITC Avant Garde"/>
                <w:color w:val="000000"/>
                <w:sz w:val="18"/>
                <w:szCs w:val="18"/>
                <w:lang w:eastAsia="es-MX"/>
              </w:rPr>
              <w:t xml:space="preserve">$4,606,346 </w:t>
            </w:r>
          </w:p>
        </w:tc>
      </w:tr>
      <w:tr w:rsidR="00985007" w:rsidRPr="00DC1F83" w14:paraId="366175A2" w14:textId="77777777" w:rsidTr="00A5202C">
        <w:trPr>
          <w:jc w:val="center"/>
        </w:trPr>
        <w:tc>
          <w:tcPr>
            <w:tcW w:w="1134" w:type="dxa"/>
            <w:hideMark/>
          </w:tcPr>
          <w:p w14:paraId="5EA4FF3E"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Región 6</w:t>
            </w:r>
          </w:p>
        </w:tc>
        <w:tc>
          <w:tcPr>
            <w:tcW w:w="1737" w:type="dxa"/>
            <w:hideMark/>
          </w:tcPr>
          <w:p w14:paraId="7AE0DD17"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10.73%</w:t>
            </w:r>
          </w:p>
        </w:tc>
        <w:tc>
          <w:tcPr>
            <w:tcW w:w="2799" w:type="dxa"/>
            <w:hideMark/>
          </w:tcPr>
          <w:p w14:paraId="1F8EA6F4" w14:textId="77777777" w:rsidR="00985007" w:rsidRPr="00DC1F83" w:rsidRDefault="00985007" w:rsidP="00A5202C">
            <w:pPr>
              <w:spacing w:after="0"/>
              <w:jc w:val="right"/>
              <w:rPr>
                <w:rFonts w:ascii="ITC Avant Garde" w:hAnsi="ITC Avant Garde"/>
                <w:color w:val="000000"/>
                <w:sz w:val="18"/>
                <w:szCs w:val="18"/>
                <w:lang w:eastAsia="es-MX"/>
              </w:rPr>
            </w:pPr>
            <w:r w:rsidRPr="00DC1F83">
              <w:rPr>
                <w:rFonts w:ascii="ITC Avant Garde" w:hAnsi="ITC Avant Garde"/>
                <w:color w:val="000000"/>
                <w:sz w:val="18"/>
                <w:szCs w:val="18"/>
                <w:lang w:eastAsia="es-MX"/>
              </w:rPr>
              <w:t xml:space="preserve">$11,382,886 </w:t>
            </w:r>
          </w:p>
        </w:tc>
        <w:tc>
          <w:tcPr>
            <w:tcW w:w="1271" w:type="dxa"/>
            <w:hideMark/>
          </w:tcPr>
          <w:p w14:paraId="3EA7B230"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8.4</w:t>
            </w:r>
          </w:p>
        </w:tc>
        <w:tc>
          <w:tcPr>
            <w:tcW w:w="1847" w:type="dxa"/>
            <w:hideMark/>
          </w:tcPr>
          <w:p w14:paraId="426BA338" w14:textId="77777777" w:rsidR="00985007" w:rsidRPr="00DC1F83" w:rsidRDefault="00985007" w:rsidP="00A5202C">
            <w:pPr>
              <w:spacing w:after="0"/>
              <w:jc w:val="right"/>
              <w:rPr>
                <w:rFonts w:ascii="ITC Avant Garde" w:hAnsi="ITC Avant Garde"/>
                <w:color w:val="000000"/>
                <w:sz w:val="18"/>
                <w:szCs w:val="18"/>
                <w:lang w:eastAsia="es-MX"/>
              </w:rPr>
            </w:pPr>
            <w:r w:rsidRPr="00DC1F83">
              <w:rPr>
                <w:rFonts w:ascii="ITC Avant Garde" w:hAnsi="ITC Avant Garde"/>
                <w:color w:val="000000"/>
                <w:sz w:val="18"/>
                <w:szCs w:val="18"/>
                <w:lang w:eastAsia="es-MX"/>
              </w:rPr>
              <w:t xml:space="preserve">$95,616,240 </w:t>
            </w:r>
          </w:p>
        </w:tc>
      </w:tr>
      <w:tr w:rsidR="00985007" w:rsidRPr="00DC1F83" w14:paraId="62752AC3" w14:textId="77777777" w:rsidTr="00A5202C">
        <w:trPr>
          <w:jc w:val="center"/>
        </w:trPr>
        <w:tc>
          <w:tcPr>
            <w:tcW w:w="1134" w:type="dxa"/>
            <w:hideMark/>
          </w:tcPr>
          <w:p w14:paraId="53EA9CF8"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Región 7</w:t>
            </w:r>
          </w:p>
        </w:tc>
        <w:tc>
          <w:tcPr>
            <w:tcW w:w="1737" w:type="dxa"/>
            <w:hideMark/>
          </w:tcPr>
          <w:p w14:paraId="6A94BD1E"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4.48%</w:t>
            </w:r>
          </w:p>
        </w:tc>
        <w:tc>
          <w:tcPr>
            <w:tcW w:w="2799" w:type="dxa"/>
            <w:hideMark/>
          </w:tcPr>
          <w:p w14:paraId="67281EBC" w14:textId="77777777" w:rsidR="00985007" w:rsidRPr="00DC1F83" w:rsidRDefault="00985007" w:rsidP="00A5202C">
            <w:pPr>
              <w:spacing w:after="0"/>
              <w:jc w:val="right"/>
              <w:rPr>
                <w:rFonts w:ascii="ITC Avant Garde" w:hAnsi="ITC Avant Garde"/>
                <w:color w:val="000000"/>
                <w:sz w:val="18"/>
                <w:szCs w:val="18"/>
                <w:lang w:eastAsia="es-MX"/>
              </w:rPr>
            </w:pPr>
            <w:r w:rsidRPr="00DC1F83">
              <w:rPr>
                <w:rFonts w:ascii="ITC Avant Garde" w:hAnsi="ITC Avant Garde"/>
                <w:color w:val="000000"/>
                <w:sz w:val="18"/>
                <w:szCs w:val="18"/>
                <w:lang w:eastAsia="es-MX"/>
              </w:rPr>
              <w:t xml:space="preserve">$4,748,999 </w:t>
            </w:r>
          </w:p>
        </w:tc>
        <w:tc>
          <w:tcPr>
            <w:tcW w:w="1271" w:type="dxa"/>
            <w:hideMark/>
          </w:tcPr>
          <w:p w14:paraId="092FEF49"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8.4</w:t>
            </w:r>
          </w:p>
        </w:tc>
        <w:tc>
          <w:tcPr>
            <w:tcW w:w="1847" w:type="dxa"/>
            <w:hideMark/>
          </w:tcPr>
          <w:p w14:paraId="0EFB86F5" w14:textId="77777777" w:rsidR="00985007" w:rsidRPr="00DC1F83" w:rsidRDefault="00985007" w:rsidP="00A5202C">
            <w:pPr>
              <w:spacing w:after="0"/>
              <w:jc w:val="right"/>
              <w:rPr>
                <w:rFonts w:ascii="ITC Avant Garde" w:hAnsi="ITC Avant Garde"/>
                <w:color w:val="000000"/>
                <w:sz w:val="18"/>
                <w:szCs w:val="18"/>
                <w:lang w:eastAsia="es-MX"/>
              </w:rPr>
            </w:pPr>
            <w:r w:rsidRPr="00DC1F83">
              <w:rPr>
                <w:rFonts w:ascii="ITC Avant Garde" w:hAnsi="ITC Avant Garde"/>
                <w:color w:val="000000"/>
                <w:sz w:val="18"/>
                <w:szCs w:val="18"/>
                <w:lang w:eastAsia="es-MX"/>
              </w:rPr>
              <w:t xml:space="preserve">$39,891,589 </w:t>
            </w:r>
          </w:p>
        </w:tc>
      </w:tr>
      <w:tr w:rsidR="00985007" w:rsidRPr="00DC1F83" w14:paraId="78D481F1" w14:textId="77777777" w:rsidTr="00A5202C">
        <w:trPr>
          <w:jc w:val="center"/>
        </w:trPr>
        <w:tc>
          <w:tcPr>
            <w:tcW w:w="1134" w:type="dxa"/>
            <w:hideMark/>
          </w:tcPr>
          <w:p w14:paraId="43F658CD"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Región 8</w:t>
            </w:r>
          </w:p>
        </w:tc>
        <w:tc>
          <w:tcPr>
            <w:tcW w:w="1737" w:type="dxa"/>
            <w:hideMark/>
          </w:tcPr>
          <w:p w14:paraId="5CB981C5"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0.76%</w:t>
            </w:r>
          </w:p>
        </w:tc>
        <w:tc>
          <w:tcPr>
            <w:tcW w:w="2799" w:type="dxa"/>
            <w:hideMark/>
          </w:tcPr>
          <w:p w14:paraId="53B43F7A" w14:textId="77777777" w:rsidR="00985007" w:rsidRPr="00DC1F83" w:rsidRDefault="00985007" w:rsidP="00A5202C">
            <w:pPr>
              <w:spacing w:after="0"/>
              <w:jc w:val="right"/>
              <w:rPr>
                <w:rFonts w:ascii="ITC Avant Garde" w:hAnsi="ITC Avant Garde"/>
                <w:color w:val="000000"/>
                <w:sz w:val="18"/>
                <w:szCs w:val="18"/>
                <w:lang w:eastAsia="es-MX"/>
              </w:rPr>
            </w:pPr>
            <w:r w:rsidRPr="00DC1F83">
              <w:rPr>
                <w:rFonts w:ascii="ITC Avant Garde" w:hAnsi="ITC Avant Garde"/>
                <w:color w:val="000000"/>
                <w:sz w:val="18"/>
                <w:szCs w:val="18"/>
                <w:lang w:eastAsia="es-MX"/>
              </w:rPr>
              <w:t xml:space="preserve">$811,303 </w:t>
            </w:r>
          </w:p>
        </w:tc>
        <w:tc>
          <w:tcPr>
            <w:tcW w:w="1271" w:type="dxa"/>
            <w:hideMark/>
          </w:tcPr>
          <w:p w14:paraId="44F40E27"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8.4</w:t>
            </w:r>
          </w:p>
        </w:tc>
        <w:tc>
          <w:tcPr>
            <w:tcW w:w="1847" w:type="dxa"/>
            <w:hideMark/>
          </w:tcPr>
          <w:p w14:paraId="61CFB80C" w14:textId="77777777" w:rsidR="00985007" w:rsidRPr="00DC1F83" w:rsidRDefault="00985007" w:rsidP="00A5202C">
            <w:pPr>
              <w:spacing w:after="0"/>
              <w:jc w:val="right"/>
              <w:rPr>
                <w:rFonts w:ascii="ITC Avant Garde" w:hAnsi="ITC Avant Garde"/>
                <w:color w:val="000000"/>
                <w:sz w:val="18"/>
                <w:szCs w:val="18"/>
                <w:lang w:eastAsia="es-MX"/>
              </w:rPr>
            </w:pPr>
            <w:r w:rsidRPr="00DC1F83">
              <w:rPr>
                <w:rFonts w:ascii="ITC Avant Garde" w:hAnsi="ITC Avant Garde"/>
                <w:color w:val="000000"/>
                <w:sz w:val="18"/>
                <w:szCs w:val="18"/>
                <w:lang w:eastAsia="es-MX"/>
              </w:rPr>
              <w:t xml:space="preserve">$6,814,948 </w:t>
            </w:r>
          </w:p>
        </w:tc>
      </w:tr>
      <w:tr w:rsidR="00985007" w:rsidRPr="00DC1F83" w14:paraId="5DA952F3" w14:textId="77777777" w:rsidTr="00A5202C">
        <w:trPr>
          <w:jc w:val="center"/>
        </w:trPr>
        <w:tc>
          <w:tcPr>
            <w:tcW w:w="1134" w:type="dxa"/>
            <w:hideMark/>
          </w:tcPr>
          <w:p w14:paraId="0B89F5BD"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Región 9</w:t>
            </w:r>
          </w:p>
        </w:tc>
        <w:tc>
          <w:tcPr>
            <w:tcW w:w="1737" w:type="dxa"/>
            <w:hideMark/>
          </w:tcPr>
          <w:p w14:paraId="46A4F873"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40.19%</w:t>
            </w:r>
          </w:p>
        </w:tc>
        <w:tc>
          <w:tcPr>
            <w:tcW w:w="2799" w:type="dxa"/>
            <w:hideMark/>
          </w:tcPr>
          <w:p w14:paraId="41DC34BC" w14:textId="77777777" w:rsidR="00985007" w:rsidRPr="00DC1F83" w:rsidRDefault="00985007" w:rsidP="00A5202C">
            <w:pPr>
              <w:spacing w:after="0"/>
              <w:jc w:val="right"/>
              <w:rPr>
                <w:rFonts w:ascii="ITC Avant Garde" w:hAnsi="ITC Avant Garde"/>
                <w:color w:val="000000"/>
                <w:sz w:val="18"/>
                <w:szCs w:val="18"/>
                <w:lang w:eastAsia="es-MX"/>
              </w:rPr>
            </w:pPr>
            <w:r w:rsidRPr="00DC1F83">
              <w:rPr>
                <w:rFonts w:ascii="ITC Avant Garde" w:hAnsi="ITC Avant Garde"/>
                <w:color w:val="000000"/>
                <w:sz w:val="18"/>
                <w:szCs w:val="18"/>
                <w:lang w:eastAsia="es-MX"/>
              </w:rPr>
              <w:t xml:space="preserve">$42,628,663 </w:t>
            </w:r>
          </w:p>
        </w:tc>
        <w:tc>
          <w:tcPr>
            <w:tcW w:w="1271" w:type="dxa"/>
            <w:hideMark/>
          </w:tcPr>
          <w:p w14:paraId="37DFEBC9"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8.4</w:t>
            </w:r>
          </w:p>
        </w:tc>
        <w:tc>
          <w:tcPr>
            <w:tcW w:w="1847" w:type="dxa"/>
            <w:hideMark/>
          </w:tcPr>
          <w:p w14:paraId="24654F8B" w14:textId="77777777" w:rsidR="00985007" w:rsidRPr="00DC1F83" w:rsidRDefault="00985007" w:rsidP="00A5202C">
            <w:pPr>
              <w:spacing w:after="0"/>
              <w:jc w:val="right"/>
              <w:rPr>
                <w:rFonts w:ascii="ITC Avant Garde" w:hAnsi="ITC Avant Garde"/>
                <w:color w:val="000000"/>
                <w:sz w:val="18"/>
                <w:szCs w:val="18"/>
                <w:lang w:eastAsia="es-MX"/>
              </w:rPr>
            </w:pPr>
            <w:r w:rsidRPr="00DC1F83">
              <w:rPr>
                <w:rFonts w:ascii="ITC Avant Garde" w:hAnsi="ITC Avant Garde"/>
                <w:color w:val="000000"/>
                <w:sz w:val="18"/>
                <w:szCs w:val="18"/>
                <w:lang w:eastAsia="es-MX"/>
              </w:rPr>
              <w:t xml:space="preserve">$358,080,766 </w:t>
            </w:r>
          </w:p>
        </w:tc>
      </w:tr>
      <w:tr w:rsidR="00985007" w:rsidRPr="00DC1F83" w14:paraId="3A914BFD" w14:textId="77777777" w:rsidTr="00A5202C">
        <w:trPr>
          <w:jc w:val="center"/>
        </w:trPr>
        <w:tc>
          <w:tcPr>
            <w:tcW w:w="1134" w:type="dxa"/>
            <w:hideMark/>
          </w:tcPr>
          <w:p w14:paraId="43E00ABF" w14:textId="77777777" w:rsidR="00985007" w:rsidRPr="00DC1F83" w:rsidRDefault="00985007" w:rsidP="00A5202C">
            <w:pPr>
              <w:spacing w:after="0"/>
              <w:jc w:val="center"/>
              <w:rPr>
                <w:rFonts w:ascii="ITC Avant Garde" w:hAnsi="ITC Avant Garde"/>
                <w:b/>
                <w:bCs/>
                <w:color w:val="000000"/>
                <w:sz w:val="18"/>
                <w:szCs w:val="18"/>
                <w:lang w:eastAsia="es-MX"/>
              </w:rPr>
            </w:pPr>
            <w:r w:rsidRPr="00DC1F83">
              <w:rPr>
                <w:rFonts w:ascii="ITC Avant Garde" w:hAnsi="ITC Avant Garde"/>
                <w:b/>
                <w:bCs/>
                <w:color w:val="000000"/>
                <w:sz w:val="18"/>
                <w:szCs w:val="18"/>
                <w:lang w:eastAsia="es-MX"/>
              </w:rPr>
              <w:t>Total</w:t>
            </w:r>
          </w:p>
        </w:tc>
        <w:tc>
          <w:tcPr>
            <w:tcW w:w="1737" w:type="dxa"/>
            <w:hideMark/>
          </w:tcPr>
          <w:p w14:paraId="05090C65" w14:textId="77777777" w:rsidR="00985007" w:rsidRPr="00DC1F83" w:rsidRDefault="00985007" w:rsidP="00A5202C">
            <w:pPr>
              <w:spacing w:after="0"/>
              <w:jc w:val="center"/>
              <w:rPr>
                <w:rFonts w:ascii="ITC Avant Garde" w:hAnsi="ITC Avant Garde"/>
                <w:color w:val="000000"/>
                <w:sz w:val="18"/>
                <w:szCs w:val="18"/>
                <w:lang w:eastAsia="es-MX"/>
              </w:rPr>
            </w:pPr>
            <w:r w:rsidRPr="00DC1F83">
              <w:rPr>
                <w:rFonts w:ascii="ITC Avant Garde" w:hAnsi="ITC Avant Garde"/>
                <w:color w:val="000000"/>
                <w:sz w:val="18"/>
                <w:szCs w:val="18"/>
                <w:lang w:eastAsia="es-MX"/>
              </w:rPr>
              <w:t>100%</w:t>
            </w:r>
          </w:p>
        </w:tc>
        <w:tc>
          <w:tcPr>
            <w:tcW w:w="2799" w:type="dxa"/>
            <w:hideMark/>
          </w:tcPr>
          <w:p w14:paraId="472D2B59" w14:textId="77777777" w:rsidR="00985007" w:rsidRPr="00DC1F83" w:rsidRDefault="00985007" w:rsidP="00A5202C">
            <w:pPr>
              <w:spacing w:after="0"/>
              <w:jc w:val="right"/>
              <w:rPr>
                <w:rFonts w:ascii="ITC Avant Garde" w:hAnsi="ITC Avant Garde"/>
                <w:b/>
                <w:bCs/>
                <w:color w:val="000000"/>
                <w:sz w:val="18"/>
                <w:szCs w:val="18"/>
                <w:lang w:eastAsia="es-MX"/>
              </w:rPr>
            </w:pPr>
            <w:r w:rsidRPr="00DC1F83">
              <w:rPr>
                <w:rFonts w:ascii="ITC Avant Garde" w:hAnsi="ITC Avant Garde"/>
                <w:b/>
                <w:bCs/>
                <w:color w:val="000000"/>
                <w:sz w:val="18"/>
                <w:szCs w:val="18"/>
                <w:lang w:eastAsia="es-MX"/>
              </w:rPr>
              <w:t>$106,067,759</w:t>
            </w:r>
          </w:p>
        </w:tc>
        <w:tc>
          <w:tcPr>
            <w:tcW w:w="1271" w:type="dxa"/>
          </w:tcPr>
          <w:p w14:paraId="2AE4D910" w14:textId="77777777" w:rsidR="00985007" w:rsidRPr="00DC1F83" w:rsidRDefault="00985007" w:rsidP="00A5202C">
            <w:pPr>
              <w:spacing w:after="0"/>
              <w:jc w:val="center"/>
              <w:rPr>
                <w:rFonts w:ascii="ITC Avant Garde" w:hAnsi="ITC Avant Garde"/>
                <w:color w:val="000000"/>
                <w:sz w:val="18"/>
                <w:szCs w:val="18"/>
                <w:lang w:eastAsia="es-MX"/>
              </w:rPr>
            </w:pPr>
          </w:p>
        </w:tc>
        <w:tc>
          <w:tcPr>
            <w:tcW w:w="1847" w:type="dxa"/>
            <w:hideMark/>
          </w:tcPr>
          <w:p w14:paraId="28680B96" w14:textId="77777777" w:rsidR="00985007" w:rsidRPr="00DC1F83" w:rsidRDefault="00985007" w:rsidP="00A5202C">
            <w:pPr>
              <w:spacing w:after="0"/>
              <w:jc w:val="right"/>
              <w:rPr>
                <w:rFonts w:ascii="ITC Avant Garde" w:hAnsi="ITC Avant Garde"/>
                <w:b/>
                <w:bCs/>
                <w:color w:val="000000"/>
                <w:sz w:val="18"/>
                <w:szCs w:val="18"/>
                <w:lang w:eastAsia="es-MX"/>
              </w:rPr>
            </w:pPr>
            <w:r w:rsidRPr="00DC1F83">
              <w:rPr>
                <w:rFonts w:ascii="ITC Avant Garde" w:hAnsi="ITC Avant Garde"/>
                <w:b/>
                <w:bCs/>
                <w:color w:val="000000"/>
                <w:sz w:val="18"/>
                <w:szCs w:val="18"/>
                <w:lang w:eastAsia="es-MX"/>
              </w:rPr>
              <w:t>$890,969,176</w:t>
            </w:r>
          </w:p>
        </w:tc>
      </w:tr>
    </w:tbl>
    <w:p w14:paraId="619E7358" w14:textId="77777777" w:rsidR="00DC1F83" w:rsidRPr="00DC1F83" w:rsidRDefault="00985007" w:rsidP="00DC1F83">
      <w:pPr>
        <w:autoSpaceDE w:val="0"/>
        <w:autoSpaceDN w:val="0"/>
        <w:adjustRightInd w:val="0"/>
        <w:spacing w:before="240" w:line="240" w:lineRule="auto"/>
        <w:ind w:left="284"/>
        <w:jc w:val="both"/>
        <w:rPr>
          <w:rFonts w:ascii="ITC Avant Garde" w:hAnsi="ITC Avant Garde"/>
          <w:bCs/>
          <w:color w:val="000000"/>
          <w:lang w:val="es-ES" w:eastAsia="es-MX"/>
        </w:rPr>
      </w:pPr>
      <w:r w:rsidRPr="00DC1F83">
        <w:rPr>
          <w:rFonts w:ascii="ITC Avant Garde" w:hAnsi="ITC Avant Garde"/>
          <w:bCs/>
          <w:color w:val="000000"/>
          <w:lang w:val="es-ES" w:eastAsia="es-MX"/>
        </w:rPr>
        <w:t>[…]”</w:t>
      </w:r>
    </w:p>
    <w:p w14:paraId="3E7FE449" w14:textId="77777777" w:rsidR="00DC1F83" w:rsidRPr="00DC1F83" w:rsidRDefault="006E21DC" w:rsidP="00DC1F83">
      <w:pPr>
        <w:autoSpaceDE w:val="0"/>
        <w:autoSpaceDN w:val="0"/>
        <w:adjustRightInd w:val="0"/>
        <w:spacing w:before="240" w:line="240" w:lineRule="auto"/>
        <w:jc w:val="both"/>
        <w:rPr>
          <w:rFonts w:ascii="ITC Avant Garde" w:hAnsi="ITC Avant Garde"/>
          <w:bCs/>
        </w:rPr>
      </w:pPr>
      <w:r w:rsidRPr="00DC1F83">
        <w:rPr>
          <w:rFonts w:ascii="ITC Avant Garde" w:hAnsi="ITC Avant Garde"/>
          <w:bCs/>
        </w:rPr>
        <w:t xml:space="preserve">Por lo anteriormente señalado y con fundamento en los artículos </w:t>
      </w:r>
      <w:r w:rsidR="002A2EBC" w:rsidRPr="00DC1F83">
        <w:rPr>
          <w:rFonts w:ascii="ITC Avant Garde" w:hAnsi="ITC Avant Garde"/>
          <w:bCs/>
        </w:rPr>
        <w:t>6o. Apartado B fracción II</w:t>
      </w:r>
      <w:r w:rsidR="003F530D" w:rsidRPr="00DC1F83">
        <w:rPr>
          <w:rFonts w:ascii="ITC Avant Garde" w:hAnsi="ITC Avant Garde"/>
          <w:bCs/>
        </w:rPr>
        <w:t>,</w:t>
      </w:r>
      <w:r w:rsidR="002A2EBC" w:rsidRPr="00DC1F83">
        <w:rPr>
          <w:rFonts w:ascii="ITC Avant Garde" w:hAnsi="ITC Avant Garde"/>
          <w:bCs/>
        </w:rPr>
        <w:t xml:space="preserve"> </w:t>
      </w:r>
      <w:r w:rsidRPr="00DC1F83">
        <w:rPr>
          <w:rFonts w:ascii="ITC Avant Garde" w:hAnsi="ITC Avant Garde"/>
          <w:bCs/>
        </w:rPr>
        <w:t>28 párrafos décimo quinto, décimo sexto y décimo séptimo</w:t>
      </w:r>
      <w:r w:rsidR="003F530D" w:rsidRPr="00DC1F83">
        <w:rPr>
          <w:rFonts w:ascii="ITC Avant Garde" w:hAnsi="ITC Avant Garde"/>
          <w:bCs/>
        </w:rPr>
        <w:t xml:space="preserve"> y 134</w:t>
      </w:r>
      <w:r w:rsidRPr="00DC1F83">
        <w:rPr>
          <w:rFonts w:ascii="ITC Avant Garde" w:hAnsi="ITC Avant Garde"/>
          <w:bCs/>
        </w:rPr>
        <w:t xml:space="preserve"> de la Constitución Política de los Estados Unidos Mexicanos; </w:t>
      </w:r>
      <w:r w:rsidR="00C06CD2" w:rsidRPr="00DC1F83">
        <w:rPr>
          <w:rFonts w:ascii="ITC Avant Garde" w:hAnsi="ITC Avant Garde"/>
          <w:bCs/>
          <w:color w:val="000000"/>
          <w:lang w:eastAsia="es-MX"/>
        </w:rPr>
        <w:t xml:space="preserve">6 fracción IV, </w:t>
      </w:r>
      <w:r w:rsidR="002C3C33" w:rsidRPr="00DC1F83">
        <w:rPr>
          <w:rFonts w:ascii="ITC Avant Garde" w:hAnsi="ITC Avant Garde"/>
          <w:bCs/>
          <w:color w:val="000000"/>
          <w:lang w:eastAsia="es-MX"/>
        </w:rPr>
        <w:t>15 fracci</w:t>
      </w:r>
      <w:r w:rsidR="00972326" w:rsidRPr="00DC1F83">
        <w:rPr>
          <w:rFonts w:ascii="ITC Avant Garde" w:hAnsi="ITC Avant Garde"/>
          <w:bCs/>
          <w:color w:val="000000"/>
          <w:lang w:eastAsia="es-MX"/>
        </w:rPr>
        <w:t>ones</w:t>
      </w:r>
      <w:r w:rsidR="002C3C33" w:rsidRPr="00DC1F83">
        <w:rPr>
          <w:rFonts w:ascii="ITC Avant Garde" w:hAnsi="ITC Avant Garde"/>
          <w:bCs/>
          <w:color w:val="000000"/>
          <w:lang w:eastAsia="es-MX"/>
        </w:rPr>
        <w:t xml:space="preserve"> IV</w:t>
      </w:r>
      <w:r w:rsidR="00972326" w:rsidRPr="00DC1F83">
        <w:rPr>
          <w:rFonts w:ascii="ITC Avant Garde" w:hAnsi="ITC Avant Garde"/>
          <w:bCs/>
          <w:color w:val="000000"/>
          <w:lang w:eastAsia="es-MX"/>
        </w:rPr>
        <w:t xml:space="preserve"> y LVII</w:t>
      </w:r>
      <w:r w:rsidR="002C3C33" w:rsidRPr="00DC1F83">
        <w:rPr>
          <w:rFonts w:ascii="ITC Avant Garde" w:hAnsi="ITC Avant Garde"/>
          <w:bCs/>
          <w:color w:val="000000"/>
          <w:lang w:eastAsia="es-MX"/>
        </w:rPr>
        <w:t>, 16, 17 fracción I,</w:t>
      </w:r>
      <w:r w:rsidR="00A7738C" w:rsidRPr="00DC1F83">
        <w:rPr>
          <w:rFonts w:ascii="ITC Avant Garde" w:hAnsi="ITC Avant Garde"/>
          <w:bCs/>
          <w:color w:val="000000"/>
          <w:lang w:eastAsia="es-MX"/>
        </w:rPr>
        <w:t xml:space="preserve"> 54,</w:t>
      </w:r>
      <w:r w:rsidR="002C3C33" w:rsidRPr="00DC1F83">
        <w:rPr>
          <w:rFonts w:ascii="ITC Avant Garde" w:hAnsi="ITC Avant Garde"/>
          <w:bCs/>
          <w:color w:val="000000"/>
          <w:lang w:eastAsia="es-MX"/>
        </w:rPr>
        <w:t xml:space="preserve"> 75</w:t>
      </w:r>
      <w:r w:rsidR="00A453C9" w:rsidRPr="00DC1F83">
        <w:rPr>
          <w:rFonts w:ascii="ITC Avant Garde" w:hAnsi="ITC Avant Garde"/>
          <w:bCs/>
          <w:color w:val="000000"/>
          <w:lang w:eastAsia="es-MX"/>
        </w:rPr>
        <w:t>,</w:t>
      </w:r>
      <w:r w:rsidR="002C3C33" w:rsidRPr="00DC1F83">
        <w:rPr>
          <w:rFonts w:ascii="ITC Avant Garde" w:hAnsi="ITC Avant Garde"/>
          <w:bCs/>
          <w:color w:val="000000"/>
          <w:lang w:eastAsia="es-MX"/>
        </w:rPr>
        <w:t xml:space="preserve"> 76 fracción I</w:t>
      </w:r>
      <w:r w:rsidR="009B050D" w:rsidRPr="00DC1F83">
        <w:rPr>
          <w:rFonts w:ascii="ITC Avant Garde" w:hAnsi="ITC Avant Garde"/>
          <w:bCs/>
          <w:color w:val="000000"/>
          <w:lang w:eastAsia="es-MX"/>
        </w:rPr>
        <w:t xml:space="preserve"> </w:t>
      </w:r>
      <w:r w:rsidR="00A453C9" w:rsidRPr="00DC1F83">
        <w:rPr>
          <w:rFonts w:ascii="ITC Avant Garde" w:hAnsi="ITC Avant Garde"/>
          <w:bCs/>
          <w:color w:val="000000"/>
          <w:lang w:eastAsia="es-MX"/>
        </w:rPr>
        <w:t>y 114</w:t>
      </w:r>
      <w:r w:rsidR="002C3C33" w:rsidRPr="00DC1F83">
        <w:rPr>
          <w:rFonts w:ascii="ITC Avant Garde" w:hAnsi="ITC Avant Garde"/>
          <w:bCs/>
          <w:color w:val="000000"/>
          <w:lang w:eastAsia="es-MX"/>
        </w:rPr>
        <w:t xml:space="preserve"> </w:t>
      </w:r>
      <w:r w:rsidR="002C3C33" w:rsidRPr="00DC1F83">
        <w:rPr>
          <w:rFonts w:ascii="ITC Avant Garde" w:hAnsi="ITC Avant Garde"/>
          <w:bCs/>
        </w:rPr>
        <w:t xml:space="preserve">de la Ley Federal de Telecomunicaciones y Radiodifusión; </w:t>
      </w:r>
      <w:r w:rsidRPr="00DC1F83">
        <w:rPr>
          <w:rFonts w:ascii="ITC Avant Garde" w:hAnsi="ITC Avant Garde"/>
          <w:bCs/>
        </w:rPr>
        <w:t>35 fracción I, 36, 38</w:t>
      </w:r>
      <w:r w:rsidR="00893CFD" w:rsidRPr="00DC1F83">
        <w:rPr>
          <w:rFonts w:ascii="ITC Avant Garde" w:hAnsi="ITC Avant Garde"/>
          <w:bCs/>
        </w:rPr>
        <w:t>,</w:t>
      </w:r>
      <w:r w:rsidRPr="00DC1F83">
        <w:rPr>
          <w:rFonts w:ascii="ITC Avant Garde" w:hAnsi="ITC Avant Garde"/>
          <w:bCs/>
        </w:rPr>
        <w:t xml:space="preserve"> 39</w:t>
      </w:r>
      <w:r w:rsidR="00893CFD" w:rsidRPr="00DC1F83">
        <w:rPr>
          <w:rFonts w:ascii="ITC Avant Garde" w:hAnsi="ITC Avant Garde"/>
          <w:bCs/>
        </w:rPr>
        <w:t xml:space="preserve"> y 57 fracción I</w:t>
      </w:r>
      <w:r w:rsidRPr="00DC1F83">
        <w:rPr>
          <w:rFonts w:ascii="ITC Avant Garde" w:hAnsi="ITC Avant Garde"/>
          <w:bCs/>
        </w:rPr>
        <w:t xml:space="preserve"> de la Ley Federal de Procedimiento Administrativo; </w:t>
      </w:r>
      <w:r w:rsidR="009853F2" w:rsidRPr="00DC1F83">
        <w:rPr>
          <w:rFonts w:ascii="ITC Avant Garde" w:hAnsi="ITC Avant Garde"/>
          <w:bCs/>
          <w:color w:val="000000"/>
          <w:lang w:eastAsia="es-MX"/>
        </w:rPr>
        <w:t>93 fracci</w:t>
      </w:r>
      <w:r w:rsidR="00893CFD" w:rsidRPr="00DC1F83">
        <w:rPr>
          <w:rFonts w:ascii="ITC Avant Garde" w:hAnsi="ITC Avant Garde"/>
          <w:bCs/>
          <w:color w:val="000000"/>
          <w:lang w:eastAsia="es-MX"/>
        </w:rPr>
        <w:t>ó</w:t>
      </w:r>
      <w:r w:rsidR="00C06CD2" w:rsidRPr="00DC1F83">
        <w:rPr>
          <w:rFonts w:ascii="ITC Avant Garde" w:hAnsi="ITC Avant Garde"/>
          <w:bCs/>
          <w:color w:val="000000"/>
          <w:lang w:eastAsia="es-MX"/>
        </w:rPr>
        <w:t>n</w:t>
      </w:r>
      <w:r w:rsidR="009853F2" w:rsidRPr="00DC1F83">
        <w:rPr>
          <w:rFonts w:ascii="ITC Avant Garde" w:hAnsi="ITC Avant Garde"/>
          <w:bCs/>
          <w:color w:val="000000"/>
          <w:lang w:eastAsia="es-MX"/>
        </w:rPr>
        <w:t xml:space="preserve"> III de la Ley Federal de Derechos</w:t>
      </w:r>
      <w:r w:rsidR="00893CFD" w:rsidRPr="00DC1F83">
        <w:rPr>
          <w:rFonts w:ascii="ITC Avant Garde" w:hAnsi="ITC Avant Garde"/>
          <w:bCs/>
          <w:color w:val="000000"/>
          <w:lang w:eastAsia="es-MX"/>
        </w:rPr>
        <w:t xml:space="preserve"> vigente </w:t>
      </w:r>
      <w:r w:rsidR="00A7738C" w:rsidRPr="00DC1F83">
        <w:rPr>
          <w:rFonts w:ascii="ITC Avant Garde" w:hAnsi="ITC Avant Garde"/>
          <w:bCs/>
          <w:color w:val="000000"/>
          <w:lang w:eastAsia="es-MX"/>
        </w:rPr>
        <w:t>durante 2015</w:t>
      </w:r>
      <w:r w:rsidR="009853F2" w:rsidRPr="00DC1F83">
        <w:rPr>
          <w:rFonts w:ascii="ITC Avant Garde" w:hAnsi="ITC Avant Garde"/>
          <w:bCs/>
          <w:color w:val="000000"/>
          <w:lang w:eastAsia="es-MX"/>
        </w:rPr>
        <w:t>;</w:t>
      </w:r>
      <w:r w:rsidR="00DD05D8" w:rsidRPr="00DC1F83">
        <w:rPr>
          <w:rFonts w:ascii="ITC Avant Garde" w:hAnsi="ITC Avant Garde"/>
          <w:bCs/>
          <w:color w:val="000000"/>
          <w:lang w:eastAsia="es-MX"/>
        </w:rPr>
        <w:t xml:space="preserve"> </w:t>
      </w:r>
      <w:r w:rsidRPr="00DC1F83">
        <w:rPr>
          <w:rFonts w:ascii="ITC Avant Garde" w:hAnsi="ITC Avant Garde"/>
          <w:bCs/>
        </w:rPr>
        <w:t xml:space="preserve">y 1, 6 fracciones I y VI, </w:t>
      </w:r>
      <w:r w:rsidR="009853F2" w:rsidRPr="00DC1F83">
        <w:rPr>
          <w:rFonts w:ascii="ITC Avant Garde" w:hAnsi="ITC Avant Garde"/>
          <w:bCs/>
        </w:rPr>
        <w:t xml:space="preserve">27, </w:t>
      </w:r>
      <w:r w:rsidR="00F51AF5" w:rsidRPr="00DC1F83">
        <w:rPr>
          <w:rFonts w:ascii="ITC Avant Garde" w:hAnsi="ITC Avant Garde"/>
          <w:bCs/>
        </w:rPr>
        <w:t xml:space="preserve">29, </w:t>
      </w:r>
      <w:r w:rsidR="009853F2" w:rsidRPr="00DC1F83">
        <w:rPr>
          <w:rFonts w:ascii="ITC Avant Garde" w:hAnsi="ITC Avant Garde"/>
          <w:bCs/>
        </w:rPr>
        <w:t>30,</w:t>
      </w:r>
      <w:r w:rsidR="00F51AF5" w:rsidRPr="00DC1F83">
        <w:rPr>
          <w:rFonts w:ascii="ITC Avant Garde" w:hAnsi="ITC Avant Garde"/>
          <w:bCs/>
        </w:rPr>
        <w:t xml:space="preserve"> 31</w:t>
      </w:r>
      <w:r w:rsidR="00DD05D8" w:rsidRPr="00DC1F83">
        <w:rPr>
          <w:rFonts w:ascii="ITC Avant Garde" w:hAnsi="ITC Avant Garde"/>
          <w:bCs/>
        </w:rPr>
        <w:t>,</w:t>
      </w:r>
      <w:r w:rsidR="009853F2" w:rsidRPr="00DC1F83">
        <w:rPr>
          <w:rFonts w:ascii="ITC Avant Garde" w:hAnsi="ITC Avant Garde"/>
          <w:bCs/>
        </w:rPr>
        <w:t xml:space="preserve"> </w:t>
      </w:r>
      <w:r w:rsidRPr="00DC1F83">
        <w:rPr>
          <w:rFonts w:ascii="ITC Avant Garde" w:hAnsi="ITC Avant Garde"/>
          <w:bCs/>
        </w:rPr>
        <w:t>32, 33 fracción II, 41</w:t>
      </w:r>
      <w:r w:rsidR="009853F2" w:rsidRPr="00DC1F83">
        <w:rPr>
          <w:rFonts w:ascii="ITC Avant Garde" w:hAnsi="ITC Avant Garde"/>
          <w:bCs/>
        </w:rPr>
        <w:t>,</w:t>
      </w:r>
      <w:r w:rsidRPr="00DC1F83">
        <w:rPr>
          <w:rFonts w:ascii="ITC Avant Garde" w:hAnsi="ITC Avant Garde"/>
          <w:bCs/>
        </w:rPr>
        <w:t xml:space="preserve"> 42 fracciones I y XV</w:t>
      </w:r>
      <w:r w:rsidR="009853F2" w:rsidRPr="00DC1F83">
        <w:rPr>
          <w:rFonts w:ascii="ITC Avant Garde" w:hAnsi="ITC Avant Garde"/>
          <w:bCs/>
        </w:rPr>
        <w:t>, 47</w:t>
      </w:r>
      <w:r w:rsidRPr="00DC1F83">
        <w:rPr>
          <w:rFonts w:ascii="ITC Avant Garde" w:hAnsi="ITC Avant Garde"/>
          <w:bCs/>
        </w:rPr>
        <w:t xml:space="preserve"> y 50 fracción XII del Estatuto Orgánico del Instituto Federal de Telecomunicaciones, este órgano autónomo emite los siguientes:</w:t>
      </w:r>
    </w:p>
    <w:p w14:paraId="138D4BB4" w14:textId="77777777" w:rsidR="00DC1F83" w:rsidRPr="00DC1F83" w:rsidRDefault="006E21DC" w:rsidP="00DC1F83">
      <w:pPr>
        <w:pStyle w:val="Ttulo2"/>
        <w:spacing w:after="240"/>
        <w:jc w:val="center"/>
        <w:rPr>
          <w:rFonts w:ascii="ITC Avant Garde" w:hAnsi="ITC Avant Garde"/>
          <w:b/>
          <w:color w:val="000000" w:themeColor="text1"/>
          <w:sz w:val="22"/>
          <w:szCs w:val="22"/>
        </w:rPr>
      </w:pPr>
      <w:r w:rsidRPr="00DC1F83">
        <w:rPr>
          <w:rFonts w:ascii="ITC Avant Garde" w:hAnsi="ITC Avant Garde"/>
          <w:b/>
          <w:color w:val="000000" w:themeColor="text1"/>
          <w:sz w:val="22"/>
          <w:szCs w:val="22"/>
        </w:rPr>
        <w:t>RESOLUTIVOS</w:t>
      </w:r>
    </w:p>
    <w:p w14:paraId="5DF92F23" w14:textId="4B659837" w:rsidR="00DC1F83" w:rsidRPr="00DC1F83" w:rsidRDefault="006E21DC" w:rsidP="00DC1F83">
      <w:pPr>
        <w:autoSpaceDE w:val="0"/>
        <w:autoSpaceDN w:val="0"/>
        <w:adjustRightInd w:val="0"/>
        <w:spacing w:before="240" w:line="240" w:lineRule="auto"/>
        <w:jc w:val="both"/>
        <w:rPr>
          <w:rFonts w:ascii="ITC Avant Garde" w:hAnsi="ITC Avant Garde"/>
          <w:bCs/>
          <w:color w:val="000000"/>
          <w:lang w:eastAsia="es-MX"/>
        </w:rPr>
      </w:pPr>
      <w:r w:rsidRPr="00DC1F83">
        <w:rPr>
          <w:rFonts w:ascii="ITC Avant Garde" w:hAnsi="ITC Avant Garde"/>
          <w:b/>
          <w:bCs/>
        </w:rPr>
        <w:t>PRIMERO.-</w:t>
      </w:r>
      <w:r w:rsidRPr="00DC1F83">
        <w:rPr>
          <w:rFonts w:ascii="ITC Avant Garde" w:hAnsi="ITC Avant Garde"/>
          <w:bCs/>
        </w:rPr>
        <w:t xml:space="preserve"> </w:t>
      </w:r>
      <w:r w:rsidR="00C06CD2" w:rsidRPr="00DC1F83">
        <w:rPr>
          <w:rFonts w:ascii="ITC Avant Garde" w:hAnsi="ITC Avant Garde"/>
          <w:bCs/>
        </w:rPr>
        <w:t>Se autoriza</w:t>
      </w:r>
      <w:r w:rsidR="008C40B1" w:rsidRPr="00DC1F83">
        <w:rPr>
          <w:rFonts w:ascii="ITC Avant Garde" w:hAnsi="ITC Avant Garde"/>
          <w:bCs/>
        </w:rPr>
        <w:t xml:space="preserve"> la prórroga de la vig</w:t>
      </w:r>
      <w:r w:rsidR="00894E8E" w:rsidRPr="00DC1F83">
        <w:rPr>
          <w:rFonts w:ascii="ITC Avant Garde" w:hAnsi="ITC Avant Garde"/>
          <w:bCs/>
        </w:rPr>
        <w:t xml:space="preserve">encia de </w:t>
      </w:r>
      <w:r w:rsidR="008C40B1" w:rsidRPr="00DC1F83">
        <w:rPr>
          <w:rFonts w:ascii="ITC Avant Garde" w:hAnsi="ITC Avant Garde"/>
          <w:bCs/>
        </w:rPr>
        <w:t xml:space="preserve">9 (nueve) </w:t>
      </w:r>
      <w:r w:rsidR="00894E8E" w:rsidRPr="00DC1F83">
        <w:rPr>
          <w:rFonts w:ascii="ITC Avant Garde" w:hAnsi="ITC Avant Garde"/>
          <w:bCs/>
        </w:rPr>
        <w:t>concesi</w:t>
      </w:r>
      <w:r w:rsidR="008C40B1" w:rsidRPr="00DC1F83">
        <w:rPr>
          <w:rFonts w:ascii="ITC Avant Garde" w:hAnsi="ITC Avant Garde"/>
          <w:bCs/>
        </w:rPr>
        <w:t>ones</w:t>
      </w:r>
      <w:r w:rsidR="00894E8E" w:rsidRPr="00DC1F83">
        <w:rPr>
          <w:rFonts w:ascii="ITC Avant Garde" w:hAnsi="ITC Avant Garde"/>
          <w:bCs/>
        </w:rPr>
        <w:t xml:space="preserve"> para </w:t>
      </w:r>
      <w:r w:rsidR="008C40B1" w:rsidRPr="00DC1F83">
        <w:rPr>
          <w:rFonts w:ascii="ITC Avant Garde" w:hAnsi="ITC Avant Garde"/>
          <w:bCs/>
          <w:color w:val="000000"/>
          <w:lang w:eastAsia="es-MX"/>
        </w:rPr>
        <w:t xml:space="preserve">usar, aprovechar y explotar una banda de frecuencias del espectro radioeléctrico para uso determinado, </w:t>
      </w:r>
      <w:r w:rsidR="004846DB" w:rsidRPr="00DC1F83">
        <w:rPr>
          <w:rFonts w:ascii="ITC Avant Garde" w:hAnsi="ITC Avant Garde"/>
          <w:bCs/>
        </w:rPr>
        <w:t>en las Regiones</w:t>
      </w:r>
      <w:r w:rsidR="00985523" w:rsidRPr="00DC1F83">
        <w:rPr>
          <w:rFonts w:ascii="ITC Avant Garde" w:hAnsi="ITC Avant Garde"/>
          <w:bCs/>
        </w:rPr>
        <w:t xml:space="preserve"> </w:t>
      </w:r>
      <w:r w:rsidR="004846DB" w:rsidRPr="00DC1F83">
        <w:rPr>
          <w:rFonts w:ascii="ITC Avant Garde" w:hAnsi="ITC Avant Garde"/>
          <w:bCs/>
        </w:rPr>
        <w:t>1, 2, 3, 4, 5, 6, 7, 8 y 9</w:t>
      </w:r>
      <w:r w:rsidR="00B17BD4" w:rsidRPr="00DC1F83">
        <w:rPr>
          <w:rFonts w:ascii="ITC Avant Garde" w:hAnsi="ITC Avant Garde"/>
          <w:bCs/>
        </w:rPr>
        <w:t xml:space="preserve"> PCS</w:t>
      </w:r>
      <w:r w:rsidR="004846DB" w:rsidRPr="00DC1F83">
        <w:rPr>
          <w:rFonts w:ascii="ITC Avant Garde" w:hAnsi="ITC Avant Garde"/>
          <w:bCs/>
        </w:rPr>
        <w:t>, respectivamente,</w:t>
      </w:r>
      <w:r w:rsidR="004846DB" w:rsidRPr="00DC1F83">
        <w:rPr>
          <w:rFonts w:ascii="ITC Avant Garde" w:hAnsi="ITC Avant Garde"/>
          <w:bCs/>
          <w:color w:val="000000"/>
          <w:lang w:eastAsia="es-MX"/>
        </w:rPr>
        <w:t xml:space="preserve"> </w:t>
      </w:r>
      <w:r w:rsidR="00876531" w:rsidRPr="00DC1F83">
        <w:rPr>
          <w:rFonts w:ascii="ITC Avant Garde" w:hAnsi="ITC Avant Garde"/>
          <w:bCs/>
          <w:color w:val="000000"/>
          <w:lang w:eastAsia="es-MX"/>
        </w:rPr>
        <w:t xml:space="preserve">otorgadas en favor de </w:t>
      </w:r>
      <w:proofErr w:type="spellStart"/>
      <w:r w:rsidR="00876531" w:rsidRPr="00DC1F83">
        <w:rPr>
          <w:rFonts w:ascii="ITC Avant Garde" w:hAnsi="ITC Avant Garde"/>
          <w:bCs/>
          <w:color w:val="000000"/>
          <w:lang w:eastAsia="es-MX"/>
        </w:rPr>
        <w:t>Radiomóvil</w:t>
      </w:r>
      <w:proofErr w:type="spellEnd"/>
      <w:r w:rsidR="00876531" w:rsidRPr="00DC1F83">
        <w:rPr>
          <w:rFonts w:ascii="ITC Avant Garde" w:hAnsi="ITC Avant Garde"/>
          <w:bCs/>
          <w:color w:val="000000"/>
          <w:lang w:eastAsia="es-MX"/>
        </w:rPr>
        <w:t xml:space="preserve"> </w:t>
      </w:r>
      <w:proofErr w:type="spellStart"/>
      <w:r w:rsidR="00876531" w:rsidRPr="00DC1F83">
        <w:rPr>
          <w:rFonts w:ascii="ITC Avant Garde" w:hAnsi="ITC Avant Garde"/>
          <w:bCs/>
          <w:color w:val="000000"/>
          <w:lang w:eastAsia="es-MX"/>
        </w:rPr>
        <w:t>Dipsa</w:t>
      </w:r>
      <w:proofErr w:type="spellEnd"/>
      <w:r w:rsidR="00876531" w:rsidRPr="00DC1F83">
        <w:rPr>
          <w:rFonts w:ascii="ITC Avant Garde" w:hAnsi="ITC Avant Garde"/>
          <w:bCs/>
          <w:color w:val="000000"/>
          <w:lang w:eastAsia="es-MX"/>
        </w:rPr>
        <w:t xml:space="preserve">, S.A. de C.V. el </w:t>
      </w:r>
      <w:r w:rsidR="004846DB" w:rsidRPr="00DC1F83">
        <w:rPr>
          <w:rFonts w:ascii="ITC Avant Garde" w:hAnsi="ITC Avant Garde"/>
          <w:bCs/>
          <w:color w:val="000000"/>
          <w:lang w:eastAsia="es-MX"/>
        </w:rPr>
        <w:t>27 de septiembre de 1999, únicamente por lo que respecta a 8.4 MHz en cada una de ellas, de conformidad con lo señalado en el Antecedente IV de la presente Resolución.</w:t>
      </w:r>
    </w:p>
    <w:p w14:paraId="71D175ED" w14:textId="77777777" w:rsidR="00DC1F83" w:rsidRPr="00DC1F83" w:rsidRDefault="00894E8E" w:rsidP="00DC1F83">
      <w:pPr>
        <w:autoSpaceDE w:val="0"/>
        <w:autoSpaceDN w:val="0"/>
        <w:adjustRightInd w:val="0"/>
        <w:spacing w:before="240" w:line="240" w:lineRule="auto"/>
        <w:jc w:val="both"/>
        <w:rPr>
          <w:rFonts w:ascii="ITC Avant Garde" w:hAnsi="ITC Avant Garde"/>
          <w:bCs/>
        </w:rPr>
      </w:pPr>
      <w:r w:rsidRPr="00DC1F83">
        <w:rPr>
          <w:rFonts w:ascii="ITC Avant Garde" w:hAnsi="ITC Avant Garde"/>
          <w:bCs/>
        </w:rPr>
        <w:t xml:space="preserve">Para tal efecto, el Instituto Federal de Telecomunicaciones otorgará </w:t>
      </w:r>
      <w:r w:rsidR="008C40B1" w:rsidRPr="00DC1F83">
        <w:rPr>
          <w:rFonts w:ascii="ITC Avant Garde" w:hAnsi="ITC Avant Garde"/>
          <w:bCs/>
        </w:rPr>
        <w:t>9 (nueve)</w:t>
      </w:r>
      <w:r w:rsidRPr="00DC1F83">
        <w:rPr>
          <w:rFonts w:ascii="ITC Avant Garde" w:hAnsi="ITC Avant Garde"/>
          <w:bCs/>
        </w:rPr>
        <w:t xml:space="preserve"> título</w:t>
      </w:r>
      <w:r w:rsidR="008C40B1" w:rsidRPr="00DC1F83">
        <w:rPr>
          <w:rFonts w:ascii="ITC Avant Garde" w:hAnsi="ITC Avant Garde"/>
          <w:bCs/>
        </w:rPr>
        <w:t>s</w:t>
      </w:r>
      <w:r w:rsidRPr="00DC1F83">
        <w:rPr>
          <w:rFonts w:ascii="ITC Avant Garde" w:hAnsi="ITC Avant Garde"/>
          <w:bCs/>
        </w:rPr>
        <w:t xml:space="preserve"> de concesión para usar, aprovechar y explotar bandas de frecuencias del espectro radioeléctrico </w:t>
      </w:r>
      <w:r w:rsidR="00923663" w:rsidRPr="00DC1F83">
        <w:rPr>
          <w:rFonts w:ascii="ITC Avant Garde" w:hAnsi="ITC Avant Garde"/>
          <w:bCs/>
        </w:rPr>
        <w:t xml:space="preserve">para uso comercial </w:t>
      </w:r>
      <w:r w:rsidRPr="00DC1F83">
        <w:rPr>
          <w:rFonts w:ascii="ITC Avant Garde" w:hAnsi="ITC Avant Garde"/>
          <w:bCs/>
        </w:rPr>
        <w:t xml:space="preserve">en favor de </w:t>
      </w:r>
      <w:proofErr w:type="spellStart"/>
      <w:r w:rsidRPr="00DC1F83">
        <w:rPr>
          <w:rFonts w:ascii="ITC Avant Garde" w:hAnsi="ITC Avant Garde"/>
          <w:bCs/>
        </w:rPr>
        <w:t>Radiomóvil</w:t>
      </w:r>
      <w:proofErr w:type="spellEnd"/>
      <w:r w:rsidRPr="00DC1F83">
        <w:rPr>
          <w:rFonts w:ascii="ITC Avant Garde" w:hAnsi="ITC Avant Garde"/>
          <w:bCs/>
        </w:rPr>
        <w:t xml:space="preserve"> </w:t>
      </w:r>
      <w:proofErr w:type="spellStart"/>
      <w:r w:rsidRPr="00DC1F83">
        <w:rPr>
          <w:rFonts w:ascii="ITC Avant Garde" w:hAnsi="ITC Avant Garde"/>
          <w:bCs/>
        </w:rPr>
        <w:t>Dipsa</w:t>
      </w:r>
      <w:proofErr w:type="spellEnd"/>
      <w:r w:rsidRPr="00DC1F83">
        <w:rPr>
          <w:rFonts w:ascii="ITC Avant Garde" w:hAnsi="ITC Avant Garde"/>
          <w:bCs/>
        </w:rPr>
        <w:t xml:space="preserve">, S.A. de C.V., con una vigencia de </w:t>
      </w:r>
      <w:r w:rsidR="008C40B1" w:rsidRPr="00DC1F83">
        <w:rPr>
          <w:rFonts w:ascii="ITC Avant Garde" w:hAnsi="ITC Avant Garde"/>
          <w:bCs/>
        </w:rPr>
        <w:t>20 (veinte)</w:t>
      </w:r>
      <w:r w:rsidRPr="00DC1F83">
        <w:rPr>
          <w:rFonts w:ascii="ITC Avant Garde" w:hAnsi="ITC Avant Garde"/>
          <w:bCs/>
        </w:rPr>
        <w:t xml:space="preserve"> años </w:t>
      </w:r>
      <w:r w:rsidR="004846DB" w:rsidRPr="00DC1F83">
        <w:rPr>
          <w:rFonts w:ascii="ITC Avant Garde" w:hAnsi="ITC Avant Garde"/>
          <w:bCs/>
        </w:rPr>
        <w:t xml:space="preserve">cada uno, </w:t>
      </w:r>
      <w:r w:rsidRPr="00DC1F83">
        <w:rPr>
          <w:rFonts w:ascii="ITC Avant Garde" w:hAnsi="ITC Avant Garde"/>
          <w:bCs/>
        </w:rPr>
        <w:t xml:space="preserve">contados a </w:t>
      </w:r>
      <w:r w:rsidR="0064498D" w:rsidRPr="00DC1F83">
        <w:rPr>
          <w:rFonts w:ascii="ITC Avant Garde" w:hAnsi="ITC Avant Garde"/>
          <w:bCs/>
        </w:rPr>
        <w:t xml:space="preserve">partir del </w:t>
      </w:r>
      <w:r w:rsidR="008C40B1" w:rsidRPr="00DC1F83">
        <w:rPr>
          <w:rFonts w:ascii="ITC Avant Garde" w:hAnsi="ITC Avant Garde"/>
          <w:bCs/>
        </w:rPr>
        <w:t>21</w:t>
      </w:r>
      <w:r w:rsidR="0064498D" w:rsidRPr="00DC1F83">
        <w:rPr>
          <w:rFonts w:ascii="ITC Avant Garde" w:hAnsi="ITC Avant Garde"/>
          <w:bCs/>
        </w:rPr>
        <w:t xml:space="preserve"> de octubre de 201</w:t>
      </w:r>
      <w:r w:rsidR="008C40B1" w:rsidRPr="00DC1F83">
        <w:rPr>
          <w:rFonts w:ascii="ITC Avant Garde" w:hAnsi="ITC Avant Garde"/>
          <w:bCs/>
        </w:rPr>
        <w:t>9</w:t>
      </w:r>
      <w:r w:rsidR="007838C4" w:rsidRPr="00DC1F83">
        <w:rPr>
          <w:rFonts w:ascii="ITC Avant Garde" w:hAnsi="ITC Avant Garde"/>
          <w:bCs/>
        </w:rPr>
        <w:t>.</w:t>
      </w:r>
    </w:p>
    <w:p w14:paraId="7B76A918" w14:textId="77777777" w:rsidR="00DC1F83" w:rsidRPr="00DC1F83" w:rsidRDefault="007838C4" w:rsidP="00DC1F83">
      <w:pPr>
        <w:autoSpaceDE w:val="0"/>
        <w:autoSpaceDN w:val="0"/>
        <w:adjustRightInd w:val="0"/>
        <w:spacing w:before="240" w:line="240" w:lineRule="auto"/>
        <w:jc w:val="both"/>
        <w:rPr>
          <w:rFonts w:ascii="ITC Avant Garde" w:hAnsi="ITC Avant Garde"/>
          <w:bCs/>
        </w:rPr>
      </w:pPr>
      <w:r w:rsidRPr="00DC1F83">
        <w:rPr>
          <w:rFonts w:ascii="ITC Avant Garde" w:hAnsi="ITC Avant Garde"/>
          <w:bCs/>
        </w:rPr>
        <w:t>D</w:t>
      </w:r>
      <w:r w:rsidR="00E75402" w:rsidRPr="00DC1F83">
        <w:rPr>
          <w:rFonts w:ascii="ITC Avant Garde" w:hAnsi="ITC Avant Garde"/>
          <w:bCs/>
        </w:rPr>
        <w:t>ichos títulos de concesión s</w:t>
      </w:r>
      <w:r w:rsidR="00665199" w:rsidRPr="00DC1F83">
        <w:rPr>
          <w:rFonts w:ascii="ITC Avant Garde" w:hAnsi="ITC Avant Garde"/>
          <w:bCs/>
        </w:rPr>
        <w:t>e otorgará</w:t>
      </w:r>
      <w:r w:rsidR="00E75402" w:rsidRPr="00DC1F83">
        <w:rPr>
          <w:rFonts w:ascii="ITC Avant Garde" w:hAnsi="ITC Avant Garde"/>
          <w:bCs/>
        </w:rPr>
        <w:t>n</w:t>
      </w:r>
      <w:r w:rsidR="00665199" w:rsidRPr="00DC1F83">
        <w:rPr>
          <w:rFonts w:ascii="ITC Avant Garde" w:hAnsi="ITC Avant Garde"/>
          <w:bCs/>
        </w:rPr>
        <w:t xml:space="preserve"> </w:t>
      </w:r>
      <w:r w:rsidR="00894E8E" w:rsidRPr="00DC1F83">
        <w:rPr>
          <w:rFonts w:ascii="ITC Avant Garde" w:hAnsi="ITC Avant Garde"/>
          <w:bCs/>
        </w:rPr>
        <w:t xml:space="preserve">con </w:t>
      </w:r>
      <w:r w:rsidR="0008279F" w:rsidRPr="00DC1F83">
        <w:rPr>
          <w:rFonts w:ascii="ITC Avant Garde" w:hAnsi="ITC Avant Garde"/>
          <w:bCs/>
        </w:rPr>
        <w:t xml:space="preserve">la siguiente </w:t>
      </w:r>
      <w:r w:rsidR="00894E8E" w:rsidRPr="00DC1F83">
        <w:rPr>
          <w:rFonts w:ascii="ITC Avant Garde" w:hAnsi="ITC Avant Garde"/>
          <w:bCs/>
        </w:rPr>
        <w:t>cobertura</w:t>
      </w:r>
      <w:r w:rsidR="0008279F" w:rsidRPr="00DC1F83">
        <w:rPr>
          <w:rFonts w:ascii="ITC Avant Garde" w:hAnsi="ITC Avant Garde"/>
          <w:bCs/>
        </w:rPr>
        <w:t>, respectivamente:</w:t>
      </w:r>
      <w:r w:rsidR="00894E8E" w:rsidRPr="00DC1F83">
        <w:rPr>
          <w:rFonts w:ascii="ITC Avant Garde" w:hAnsi="ITC Avant Garde"/>
          <w:bCs/>
        </w:rPr>
        <w:t xml:space="preserve"> </w:t>
      </w:r>
    </w:p>
    <w:p w14:paraId="09A5ADD3" w14:textId="77777777" w:rsidR="00DC1F83" w:rsidRPr="00DC1F83" w:rsidRDefault="008C40B1" w:rsidP="00DC1F83">
      <w:pPr>
        <w:pStyle w:val="Prrafodelista"/>
        <w:numPr>
          <w:ilvl w:val="0"/>
          <w:numId w:val="30"/>
        </w:numPr>
        <w:spacing w:before="240" w:after="200"/>
        <w:jc w:val="both"/>
        <w:rPr>
          <w:rFonts w:ascii="ITC Avant Garde" w:hAnsi="ITC Avant Garde"/>
          <w:bCs/>
          <w:color w:val="000000"/>
          <w:sz w:val="22"/>
          <w:szCs w:val="22"/>
          <w:lang w:eastAsia="es-MX"/>
        </w:rPr>
      </w:pPr>
      <w:r w:rsidRPr="00DC1F83">
        <w:rPr>
          <w:rFonts w:ascii="ITC Avant Garde" w:hAnsi="ITC Avant Garde"/>
          <w:bCs/>
          <w:color w:val="000000"/>
          <w:sz w:val="22"/>
          <w:szCs w:val="22"/>
          <w:lang w:eastAsia="es-MX"/>
        </w:rPr>
        <w:t>Región 1</w:t>
      </w:r>
      <w:r w:rsidR="002F25C6" w:rsidRPr="00DC1F83">
        <w:rPr>
          <w:rFonts w:ascii="ITC Avant Garde" w:hAnsi="ITC Avant Garde"/>
          <w:bCs/>
          <w:color w:val="000000"/>
          <w:sz w:val="22"/>
          <w:szCs w:val="22"/>
          <w:lang w:eastAsia="es-MX"/>
        </w:rPr>
        <w:t xml:space="preserve"> PCS</w:t>
      </w:r>
      <w:r w:rsidRPr="00DC1F83">
        <w:rPr>
          <w:rFonts w:ascii="ITC Avant Garde" w:hAnsi="ITC Avant Garde"/>
          <w:bCs/>
          <w:color w:val="000000"/>
          <w:sz w:val="22"/>
          <w:szCs w:val="22"/>
          <w:lang w:eastAsia="es-MX"/>
        </w:rPr>
        <w:t xml:space="preserve">, que comprende los </w:t>
      </w:r>
      <w:r w:rsidR="00665199" w:rsidRPr="00DC1F83">
        <w:rPr>
          <w:rFonts w:ascii="ITC Avant Garde" w:hAnsi="ITC Avant Garde"/>
          <w:bCs/>
          <w:color w:val="000000"/>
          <w:sz w:val="22"/>
          <w:szCs w:val="22"/>
          <w:lang w:eastAsia="es-MX"/>
        </w:rPr>
        <w:t>E</w:t>
      </w:r>
      <w:r w:rsidRPr="00DC1F83">
        <w:rPr>
          <w:rFonts w:ascii="ITC Avant Garde" w:hAnsi="ITC Avant Garde"/>
          <w:bCs/>
          <w:color w:val="000000"/>
          <w:sz w:val="22"/>
          <w:szCs w:val="22"/>
          <w:lang w:eastAsia="es-MX"/>
        </w:rPr>
        <w:t xml:space="preserve">stados de Baja California y Baja California Sur y el </w:t>
      </w:r>
      <w:r w:rsidR="00665199" w:rsidRPr="00DC1F83">
        <w:rPr>
          <w:rFonts w:ascii="ITC Avant Garde" w:hAnsi="ITC Avant Garde"/>
          <w:bCs/>
          <w:color w:val="000000"/>
          <w:sz w:val="22"/>
          <w:szCs w:val="22"/>
          <w:lang w:eastAsia="es-MX"/>
        </w:rPr>
        <w:t>M</w:t>
      </w:r>
      <w:r w:rsidRPr="00DC1F83">
        <w:rPr>
          <w:rFonts w:ascii="ITC Avant Garde" w:hAnsi="ITC Avant Garde"/>
          <w:bCs/>
          <w:color w:val="000000"/>
          <w:sz w:val="22"/>
          <w:szCs w:val="22"/>
          <w:lang w:eastAsia="es-MX"/>
        </w:rPr>
        <w:t>unicipio de San Luis Río Colorado, Sonora;</w:t>
      </w:r>
    </w:p>
    <w:p w14:paraId="07A665D3" w14:textId="77777777" w:rsidR="00DC1F83" w:rsidRPr="00DC1F83" w:rsidRDefault="008C40B1" w:rsidP="00DC1F83">
      <w:pPr>
        <w:pStyle w:val="Prrafodelista"/>
        <w:numPr>
          <w:ilvl w:val="0"/>
          <w:numId w:val="30"/>
        </w:numPr>
        <w:spacing w:before="240" w:after="200"/>
        <w:jc w:val="both"/>
        <w:rPr>
          <w:rFonts w:ascii="ITC Avant Garde" w:hAnsi="ITC Avant Garde"/>
          <w:bCs/>
          <w:color w:val="000000"/>
          <w:sz w:val="22"/>
          <w:szCs w:val="22"/>
          <w:lang w:eastAsia="es-MX"/>
        </w:rPr>
      </w:pPr>
      <w:r w:rsidRPr="00DC1F83">
        <w:rPr>
          <w:rFonts w:ascii="ITC Avant Garde" w:hAnsi="ITC Avant Garde"/>
          <w:bCs/>
          <w:color w:val="000000"/>
          <w:sz w:val="22"/>
          <w:szCs w:val="22"/>
          <w:lang w:eastAsia="es-MX"/>
        </w:rPr>
        <w:lastRenderedPageBreak/>
        <w:t>Región 2</w:t>
      </w:r>
      <w:r w:rsidR="002F25C6" w:rsidRPr="00DC1F83">
        <w:rPr>
          <w:rFonts w:ascii="ITC Avant Garde" w:hAnsi="ITC Avant Garde"/>
          <w:bCs/>
          <w:color w:val="000000"/>
          <w:sz w:val="22"/>
          <w:szCs w:val="22"/>
          <w:lang w:eastAsia="es-MX"/>
        </w:rPr>
        <w:t xml:space="preserve"> PCS</w:t>
      </w:r>
      <w:r w:rsidRPr="00DC1F83">
        <w:rPr>
          <w:rFonts w:ascii="ITC Avant Garde" w:hAnsi="ITC Avant Garde"/>
          <w:bCs/>
          <w:color w:val="000000"/>
          <w:sz w:val="22"/>
          <w:szCs w:val="22"/>
          <w:lang w:eastAsia="es-MX"/>
        </w:rPr>
        <w:t xml:space="preserve">, que comprende los </w:t>
      </w:r>
      <w:r w:rsidR="00665199" w:rsidRPr="00DC1F83">
        <w:rPr>
          <w:rFonts w:ascii="ITC Avant Garde" w:hAnsi="ITC Avant Garde"/>
          <w:bCs/>
          <w:color w:val="000000"/>
          <w:sz w:val="22"/>
          <w:szCs w:val="22"/>
          <w:lang w:eastAsia="es-MX"/>
        </w:rPr>
        <w:t>E</w:t>
      </w:r>
      <w:r w:rsidRPr="00DC1F83">
        <w:rPr>
          <w:rFonts w:ascii="ITC Avant Garde" w:hAnsi="ITC Avant Garde"/>
          <w:bCs/>
          <w:color w:val="000000"/>
          <w:sz w:val="22"/>
          <w:szCs w:val="22"/>
          <w:lang w:eastAsia="es-MX"/>
        </w:rPr>
        <w:t xml:space="preserve">stados de Sinaloa y Sonora, excluyendo el </w:t>
      </w:r>
      <w:r w:rsidR="00665199" w:rsidRPr="00DC1F83">
        <w:rPr>
          <w:rFonts w:ascii="ITC Avant Garde" w:hAnsi="ITC Avant Garde"/>
          <w:bCs/>
          <w:color w:val="000000"/>
          <w:sz w:val="22"/>
          <w:szCs w:val="22"/>
          <w:lang w:eastAsia="es-MX"/>
        </w:rPr>
        <w:t>M</w:t>
      </w:r>
      <w:r w:rsidRPr="00DC1F83">
        <w:rPr>
          <w:rFonts w:ascii="ITC Avant Garde" w:hAnsi="ITC Avant Garde"/>
          <w:bCs/>
          <w:color w:val="000000"/>
          <w:sz w:val="22"/>
          <w:szCs w:val="22"/>
          <w:lang w:eastAsia="es-MX"/>
        </w:rPr>
        <w:t>unicipio de San Luis Río Colorado, Sonora;</w:t>
      </w:r>
    </w:p>
    <w:p w14:paraId="43BEB876" w14:textId="77777777" w:rsidR="00DC1F83" w:rsidRPr="00DC1F83" w:rsidRDefault="008C40B1" w:rsidP="00DC1F83">
      <w:pPr>
        <w:pStyle w:val="Prrafodelista"/>
        <w:numPr>
          <w:ilvl w:val="0"/>
          <w:numId w:val="30"/>
        </w:numPr>
        <w:spacing w:before="240" w:after="200"/>
        <w:jc w:val="both"/>
        <w:rPr>
          <w:rFonts w:ascii="ITC Avant Garde" w:hAnsi="ITC Avant Garde"/>
          <w:bCs/>
          <w:color w:val="000000"/>
          <w:sz w:val="22"/>
          <w:szCs w:val="22"/>
          <w:lang w:eastAsia="es-MX"/>
        </w:rPr>
      </w:pPr>
      <w:r w:rsidRPr="00DC1F83">
        <w:rPr>
          <w:rFonts w:ascii="ITC Avant Garde" w:hAnsi="ITC Avant Garde"/>
          <w:bCs/>
          <w:color w:val="000000"/>
          <w:sz w:val="22"/>
          <w:szCs w:val="22"/>
          <w:lang w:eastAsia="es-MX"/>
        </w:rPr>
        <w:t>Región 3</w:t>
      </w:r>
      <w:r w:rsidR="002F25C6" w:rsidRPr="00DC1F83">
        <w:rPr>
          <w:rFonts w:ascii="ITC Avant Garde" w:hAnsi="ITC Avant Garde"/>
          <w:bCs/>
          <w:color w:val="000000"/>
          <w:sz w:val="22"/>
          <w:szCs w:val="22"/>
          <w:lang w:eastAsia="es-MX"/>
        </w:rPr>
        <w:t xml:space="preserve"> PCS</w:t>
      </w:r>
      <w:r w:rsidRPr="00DC1F83">
        <w:rPr>
          <w:rFonts w:ascii="ITC Avant Garde" w:hAnsi="ITC Avant Garde"/>
          <w:bCs/>
          <w:color w:val="000000"/>
          <w:sz w:val="22"/>
          <w:szCs w:val="22"/>
          <w:lang w:eastAsia="es-MX"/>
        </w:rPr>
        <w:t xml:space="preserve">, que comprende los </w:t>
      </w:r>
      <w:r w:rsidR="00665199" w:rsidRPr="00DC1F83">
        <w:rPr>
          <w:rFonts w:ascii="ITC Avant Garde" w:hAnsi="ITC Avant Garde"/>
          <w:bCs/>
          <w:color w:val="000000"/>
          <w:sz w:val="22"/>
          <w:szCs w:val="22"/>
          <w:lang w:eastAsia="es-MX"/>
        </w:rPr>
        <w:t>E</w:t>
      </w:r>
      <w:r w:rsidRPr="00DC1F83">
        <w:rPr>
          <w:rFonts w:ascii="ITC Avant Garde" w:hAnsi="ITC Avant Garde"/>
          <w:bCs/>
          <w:color w:val="000000"/>
          <w:sz w:val="22"/>
          <w:szCs w:val="22"/>
          <w:lang w:eastAsia="es-MX"/>
        </w:rPr>
        <w:t xml:space="preserve">stados de Chihuahua y Durango, y los siguientes </w:t>
      </w:r>
      <w:r w:rsidR="00665199" w:rsidRPr="00DC1F83">
        <w:rPr>
          <w:rFonts w:ascii="ITC Avant Garde" w:hAnsi="ITC Avant Garde"/>
          <w:bCs/>
          <w:color w:val="000000"/>
          <w:sz w:val="22"/>
          <w:szCs w:val="22"/>
          <w:lang w:eastAsia="es-MX"/>
        </w:rPr>
        <w:t>M</w:t>
      </w:r>
      <w:r w:rsidRPr="00DC1F83">
        <w:rPr>
          <w:rFonts w:ascii="ITC Avant Garde" w:hAnsi="ITC Avant Garde"/>
          <w:bCs/>
          <w:color w:val="000000"/>
          <w:sz w:val="22"/>
          <w:szCs w:val="22"/>
          <w:lang w:eastAsia="es-MX"/>
        </w:rPr>
        <w:t>unicipios de Coahuila: Torreón, Francisco I. Madero, Matamoros, San Pedro y Viesca;</w:t>
      </w:r>
    </w:p>
    <w:p w14:paraId="44F466B1" w14:textId="77777777" w:rsidR="00DC1F83" w:rsidRPr="00DC1F83" w:rsidRDefault="008C40B1" w:rsidP="00DC1F83">
      <w:pPr>
        <w:pStyle w:val="Prrafodelista"/>
        <w:numPr>
          <w:ilvl w:val="0"/>
          <w:numId w:val="30"/>
        </w:numPr>
        <w:spacing w:before="240" w:after="200"/>
        <w:jc w:val="both"/>
        <w:rPr>
          <w:rFonts w:ascii="ITC Avant Garde" w:hAnsi="ITC Avant Garde"/>
          <w:bCs/>
          <w:color w:val="000000"/>
          <w:sz w:val="22"/>
          <w:szCs w:val="22"/>
          <w:lang w:eastAsia="es-MX"/>
        </w:rPr>
      </w:pPr>
      <w:r w:rsidRPr="00DC1F83">
        <w:rPr>
          <w:rFonts w:ascii="ITC Avant Garde" w:hAnsi="ITC Avant Garde"/>
          <w:bCs/>
          <w:color w:val="000000"/>
          <w:sz w:val="22"/>
          <w:szCs w:val="22"/>
          <w:lang w:eastAsia="es-MX"/>
        </w:rPr>
        <w:t>Región 4</w:t>
      </w:r>
      <w:r w:rsidR="002F25C6" w:rsidRPr="00DC1F83">
        <w:rPr>
          <w:rFonts w:ascii="ITC Avant Garde" w:hAnsi="ITC Avant Garde"/>
          <w:bCs/>
          <w:color w:val="000000"/>
          <w:sz w:val="22"/>
          <w:szCs w:val="22"/>
          <w:lang w:eastAsia="es-MX"/>
        </w:rPr>
        <w:t xml:space="preserve"> PCS</w:t>
      </w:r>
      <w:r w:rsidRPr="00DC1F83">
        <w:rPr>
          <w:rFonts w:ascii="ITC Avant Garde" w:hAnsi="ITC Avant Garde"/>
          <w:bCs/>
          <w:color w:val="000000"/>
          <w:sz w:val="22"/>
          <w:szCs w:val="22"/>
          <w:lang w:eastAsia="es-MX"/>
        </w:rPr>
        <w:t xml:space="preserve">, que comprende los </w:t>
      </w:r>
      <w:r w:rsidR="00665199" w:rsidRPr="00DC1F83">
        <w:rPr>
          <w:rFonts w:ascii="ITC Avant Garde" w:hAnsi="ITC Avant Garde"/>
          <w:bCs/>
          <w:color w:val="000000"/>
          <w:sz w:val="22"/>
          <w:szCs w:val="22"/>
          <w:lang w:eastAsia="es-MX"/>
        </w:rPr>
        <w:t>E</w:t>
      </w:r>
      <w:r w:rsidRPr="00DC1F83">
        <w:rPr>
          <w:rFonts w:ascii="ITC Avant Garde" w:hAnsi="ITC Avant Garde"/>
          <w:bCs/>
          <w:color w:val="000000"/>
          <w:sz w:val="22"/>
          <w:szCs w:val="22"/>
          <w:lang w:eastAsia="es-MX"/>
        </w:rPr>
        <w:t xml:space="preserve">stados de Nuevo León, Tamaulipas y Coahuila, excluyendo los </w:t>
      </w:r>
      <w:r w:rsidR="00665199" w:rsidRPr="00DC1F83">
        <w:rPr>
          <w:rFonts w:ascii="ITC Avant Garde" w:hAnsi="ITC Avant Garde"/>
          <w:bCs/>
          <w:color w:val="000000"/>
          <w:sz w:val="22"/>
          <w:szCs w:val="22"/>
          <w:lang w:eastAsia="es-MX"/>
        </w:rPr>
        <w:t>M</w:t>
      </w:r>
      <w:r w:rsidRPr="00DC1F83">
        <w:rPr>
          <w:rFonts w:ascii="ITC Avant Garde" w:hAnsi="ITC Avant Garde"/>
          <w:bCs/>
          <w:color w:val="000000"/>
          <w:sz w:val="22"/>
          <w:szCs w:val="22"/>
          <w:lang w:eastAsia="es-MX"/>
        </w:rPr>
        <w:t>unicipios de Torreón, Francisco I. Madero, Matamoros, San Pedro y Viesca;</w:t>
      </w:r>
    </w:p>
    <w:p w14:paraId="7E3C87F6" w14:textId="77777777" w:rsidR="00DC1F83" w:rsidRPr="00DC1F83" w:rsidRDefault="008C40B1" w:rsidP="00DC1F83">
      <w:pPr>
        <w:pStyle w:val="Prrafodelista"/>
        <w:numPr>
          <w:ilvl w:val="0"/>
          <w:numId w:val="30"/>
        </w:numPr>
        <w:spacing w:before="240" w:after="200"/>
        <w:jc w:val="both"/>
        <w:rPr>
          <w:rFonts w:ascii="ITC Avant Garde" w:hAnsi="ITC Avant Garde"/>
          <w:bCs/>
          <w:color w:val="000000"/>
          <w:sz w:val="22"/>
          <w:szCs w:val="22"/>
          <w:lang w:eastAsia="es-MX"/>
        </w:rPr>
      </w:pPr>
      <w:r w:rsidRPr="00DC1F83">
        <w:rPr>
          <w:rFonts w:ascii="ITC Avant Garde" w:hAnsi="ITC Avant Garde"/>
          <w:bCs/>
          <w:color w:val="000000"/>
          <w:sz w:val="22"/>
          <w:szCs w:val="22"/>
          <w:lang w:eastAsia="es-MX"/>
        </w:rPr>
        <w:t>Región 5</w:t>
      </w:r>
      <w:r w:rsidR="002F25C6" w:rsidRPr="00DC1F83">
        <w:rPr>
          <w:rFonts w:ascii="ITC Avant Garde" w:hAnsi="ITC Avant Garde"/>
          <w:bCs/>
          <w:color w:val="000000"/>
          <w:sz w:val="22"/>
          <w:szCs w:val="22"/>
          <w:lang w:eastAsia="es-MX"/>
        </w:rPr>
        <w:t xml:space="preserve"> PCS</w:t>
      </w:r>
      <w:r w:rsidRPr="00DC1F83">
        <w:rPr>
          <w:rFonts w:ascii="ITC Avant Garde" w:hAnsi="ITC Avant Garde"/>
          <w:bCs/>
          <w:color w:val="000000"/>
          <w:sz w:val="22"/>
          <w:szCs w:val="22"/>
          <w:lang w:eastAsia="es-MX"/>
        </w:rPr>
        <w:t xml:space="preserve">, que comprende los </w:t>
      </w:r>
      <w:r w:rsidR="00665199" w:rsidRPr="00DC1F83">
        <w:rPr>
          <w:rFonts w:ascii="ITC Avant Garde" w:hAnsi="ITC Avant Garde"/>
          <w:bCs/>
          <w:color w:val="000000"/>
          <w:sz w:val="22"/>
          <w:szCs w:val="22"/>
          <w:lang w:eastAsia="es-MX"/>
        </w:rPr>
        <w:t>E</w:t>
      </w:r>
      <w:r w:rsidRPr="00DC1F83">
        <w:rPr>
          <w:rFonts w:ascii="ITC Avant Garde" w:hAnsi="ITC Avant Garde"/>
          <w:bCs/>
          <w:color w:val="000000"/>
          <w:sz w:val="22"/>
          <w:szCs w:val="22"/>
          <w:lang w:eastAsia="es-MX"/>
        </w:rPr>
        <w:t>stados de Campeche, Chiapas, Quintana Roo, Tabasco y Yucatán;</w:t>
      </w:r>
    </w:p>
    <w:p w14:paraId="6955F9C0" w14:textId="77777777" w:rsidR="00DC1F83" w:rsidRPr="00DC1F83" w:rsidRDefault="008C40B1" w:rsidP="00DC1F83">
      <w:pPr>
        <w:pStyle w:val="Prrafodelista"/>
        <w:numPr>
          <w:ilvl w:val="0"/>
          <w:numId w:val="30"/>
        </w:numPr>
        <w:spacing w:before="240" w:after="200"/>
        <w:jc w:val="both"/>
        <w:rPr>
          <w:rFonts w:ascii="ITC Avant Garde" w:hAnsi="ITC Avant Garde"/>
          <w:bCs/>
          <w:color w:val="000000"/>
          <w:sz w:val="22"/>
          <w:szCs w:val="22"/>
          <w:lang w:eastAsia="es-MX"/>
        </w:rPr>
      </w:pPr>
      <w:r w:rsidRPr="00DC1F83">
        <w:rPr>
          <w:rFonts w:ascii="ITC Avant Garde" w:hAnsi="ITC Avant Garde"/>
          <w:bCs/>
          <w:color w:val="000000"/>
          <w:sz w:val="22"/>
          <w:szCs w:val="22"/>
          <w:lang w:eastAsia="es-MX"/>
        </w:rPr>
        <w:t>Región 6</w:t>
      </w:r>
      <w:r w:rsidR="002F25C6" w:rsidRPr="00DC1F83">
        <w:rPr>
          <w:rFonts w:ascii="ITC Avant Garde" w:hAnsi="ITC Avant Garde"/>
          <w:bCs/>
          <w:color w:val="000000"/>
          <w:sz w:val="22"/>
          <w:szCs w:val="22"/>
          <w:lang w:eastAsia="es-MX"/>
        </w:rPr>
        <w:t xml:space="preserve"> PCS</w:t>
      </w:r>
      <w:r w:rsidRPr="00DC1F83">
        <w:rPr>
          <w:rFonts w:ascii="ITC Avant Garde" w:hAnsi="ITC Avant Garde"/>
          <w:bCs/>
          <w:color w:val="000000"/>
          <w:sz w:val="22"/>
          <w:szCs w:val="22"/>
          <w:lang w:eastAsia="es-MX"/>
        </w:rPr>
        <w:t xml:space="preserve">, que comprende los </w:t>
      </w:r>
      <w:r w:rsidR="00665199" w:rsidRPr="00DC1F83">
        <w:rPr>
          <w:rFonts w:ascii="ITC Avant Garde" w:hAnsi="ITC Avant Garde"/>
          <w:bCs/>
          <w:color w:val="000000"/>
          <w:sz w:val="22"/>
          <w:szCs w:val="22"/>
          <w:lang w:eastAsia="es-MX"/>
        </w:rPr>
        <w:t>E</w:t>
      </w:r>
      <w:r w:rsidRPr="00DC1F83">
        <w:rPr>
          <w:rFonts w:ascii="ITC Avant Garde" w:hAnsi="ITC Avant Garde"/>
          <w:bCs/>
          <w:color w:val="000000"/>
          <w:sz w:val="22"/>
          <w:szCs w:val="22"/>
          <w:lang w:eastAsia="es-MX"/>
        </w:rPr>
        <w:t xml:space="preserve">stados de Colima, Michoacán, Nayarit y Jalisco, excluyendo los siguientes </w:t>
      </w:r>
      <w:r w:rsidR="00665199" w:rsidRPr="00DC1F83">
        <w:rPr>
          <w:rFonts w:ascii="ITC Avant Garde" w:hAnsi="ITC Avant Garde"/>
          <w:bCs/>
          <w:color w:val="000000"/>
          <w:sz w:val="22"/>
          <w:szCs w:val="22"/>
          <w:lang w:eastAsia="es-MX"/>
        </w:rPr>
        <w:t>M</w:t>
      </w:r>
      <w:r w:rsidRPr="00DC1F83">
        <w:rPr>
          <w:rFonts w:ascii="ITC Avant Garde" w:hAnsi="ITC Avant Garde"/>
          <w:bCs/>
          <w:color w:val="000000"/>
          <w:sz w:val="22"/>
          <w:szCs w:val="22"/>
          <w:lang w:eastAsia="es-MX"/>
        </w:rPr>
        <w:t xml:space="preserve">unicipios de Jalisco: </w:t>
      </w:r>
      <w:proofErr w:type="spellStart"/>
      <w:r w:rsidRPr="00DC1F83">
        <w:rPr>
          <w:rFonts w:ascii="ITC Avant Garde" w:hAnsi="ITC Avant Garde"/>
          <w:bCs/>
          <w:color w:val="000000"/>
          <w:sz w:val="22"/>
          <w:szCs w:val="22"/>
          <w:lang w:eastAsia="es-MX"/>
        </w:rPr>
        <w:t>Huejúcar</w:t>
      </w:r>
      <w:proofErr w:type="spellEnd"/>
      <w:r w:rsidRPr="00DC1F83">
        <w:rPr>
          <w:rFonts w:ascii="ITC Avant Garde" w:hAnsi="ITC Avant Garde"/>
          <w:bCs/>
          <w:color w:val="000000"/>
          <w:sz w:val="22"/>
          <w:szCs w:val="22"/>
          <w:lang w:eastAsia="es-MX"/>
        </w:rPr>
        <w:t xml:space="preserve">, Santa María de los </w:t>
      </w:r>
      <w:r w:rsidR="00665199" w:rsidRPr="00DC1F83">
        <w:rPr>
          <w:rFonts w:ascii="ITC Avant Garde" w:hAnsi="ITC Avant Garde"/>
          <w:bCs/>
          <w:color w:val="000000"/>
          <w:sz w:val="22"/>
          <w:szCs w:val="22"/>
          <w:lang w:eastAsia="es-MX"/>
        </w:rPr>
        <w:t>Á</w:t>
      </w:r>
      <w:r w:rsidRPr="00DC1F83">
        <w:rPr>
          <w:rFonts w:ascii="ITC Avant Garde" w:hAnsi="ITC Avant Garde"/>
          <w:bCs/>
          <w:color w:val="000000"/>
          <w:sz w:val="22"/>
          <w:szCs w:val="22"/>
          <w:lang w:eastAsia="es-MX"/>
        </w:rPr>
        <w:t xml:space="preserve">ngeles, </w:t>
      </w:r>
      <w:proofErr w:type="spellStart"/>
      <w:r w:rsidRPr="00DC1F83">
        <w:rPr>
          <w:rFonts w:ascii="ITC Avant Garde" w:hAnsi="ITC Avant Garde"/>
          <w:bCs/>
          <w:color w:val="000000"/>
          <w:sz w:val="22"/>
          <w:szCs w:val="22"/>
          <w:lang w:eastAsia="es-MX"/>
        </w:rPr>
        <w:t>Colotlán</w:t>
      </w:r>
      <w:proofErr w:type="spellEnd"/>
      <w:r w:rsidRPr="00DC1F83">
        <w:rPr>
          <w:rFonts w:ascii="ITC Avant Garde" w:hAnsi="ITC Avant Garde"/>
          <w:bCs/>
          <w:color w:val="000000"/>
          <w:sz w:val="22"/>
          <w:szCs w:val="22"/>
          <w:lang w:eastAsia="es-MX"/>
        </w:rPr>
        <w:t xml:space="preserve">, </w:t>
      </w:r>
      <w:proofErr w:type="spellStart"/>
      <w:r w:rsidRPr="00DC1F83">
        <w:rPr>
          <w:rFonts w:ascii="ITC Avant Garde" w:hAnsi="ITC Avant Garde"/>
          <w:bCs/>
          <w:color w:val="000000"/>
          <w:sz w:val="22"/>
          <w:szCs w:val="22"/>
          <w:lang w:eastAsia="es-MX"/>
        </w:rPr>
        <w:t>Teocaltiche</w:t>
      </w:r>
      <w:proofErr w:type="spellEnd"/>
      <w:r w:rsidRPr="00DC1F83">
        <w:rPr>
          <w:rFonts w:ascii="ITC Avant Garde" w:hAnsi="ITC Avant Garde"/>
          <w:bCs/>
          <w:color w:val="000000"/>
          <w:sz w:val="22"/>
          <w:szCs w:val="22"/>
          <w:lang w:eastAsia="es-MX"/>
        </w:rPr>
        <w:t xml:space="preserve">, </w:t>
      </w:r>
      <w:proofErr w:type="spellStart"/>
      <w:r w:rsidRPr="00DC1F83">
        <w:rPr>
          <w:rFonts w:ascii="ITC Avant Garde" w:hAnsi="ITC Avant Garde"/>
          <w:bCs/>
          <w:color w:val="000000"/>
          <w:sz w:val="22"/>
          <w:szCs w:val="22"/>
          <w:lang w:eastAsia="es-MX"/>
        </w:rPr>
        <w:t>Huejuquilla</w:t>
      </w:r>
      <w:proofErr w:type="spellEnd"/>
      <w:r w:rsidRPr="00DC1F83">
        <w:rPr>
          <w:rFonts w:ascii="ITC Avant Garde" w:hAnsi="ITC Avant Garde"/>
          <w:bCs/>
          <w:color w:val="000000"/>
          <w:sz w:val="22"/>
          <w:szCs w:val="22"/>
          <w:lang w:eastAsia="es-MX"/>
        </w:rPr>
        <w:t xml:space="preserve"> El Alto, </w:t>
      </w:r>
      <w:proofErr w:type="spellStart"/>
      <w:r w:rsidRPr="00DC1F83">
        <w:rPr>
          <w:rFonts w:ascii="ITC Avant Garde" w:hAnsi="ITC Avant Garde"/>
          <w:bCs/>
          <w:color w:val="000000"/>
          <w:sz w:val="22"/>
          <w:szCs w:val="22"/>
          <w:lang w:eastAsia="es-MX"/>
        </w:rPr>
        <w:t>Mezquitic</w:t>
      </w:r>
      <w:proofErr w:type="spellEnd"/>
      <w:r w:rsidRPr="00DC1F83">
        <w:rPr>
          <w:rFonts w:ascii="ITC Avant Garde" w:hAnsi="ITC Avant Garde"/>
          <w:bCs/>
          <w:color w:val="000000"/>
          <w:sz w:val="22"/>
          <w:szCs w:val="22"/>
          <w:lang w:eastAsia="es-MX"/>
        </w:rPr>
        <w:t>, Villa Guerrero, Bolaños, Lagos de Moreno, Villa Hidalgo, Ojuelos de Jalisco y Encarnación de Díaz;</w:t>
      </w:r>
    </w:p>
    <w:p w14:paraId="1CFDA1D6" w14:textId="77777777" w:rsidR="00DC1F83" w:rsidRPr="00DC1F83" w:rsidRDefault="008C40B1" w:rsidP="00DC1F83">
      <w:pPr>
        <w:pStyle w:val="Prrafodelista"/>
        <w:numPr>
          <w:ilvl w:val="0"/>
          <w:numId w:val="30"/>
        </w:numPr>
        <w:spacing w:before="240" w:after="200"/>
        <w:jc w:val="both"/>
        <w:rPr>
          <w:rFonts w:ascii="ITC Avant Garde" w:hAnsi="ITC Avant Garde"/>
          <w:bCs/>
          <w:color w:val="000000"/>
          <w:sz w:val="22"/>
          <w:szCs w:val="22"/>
          <w:lang w:eastAsia="es-MX"/>
        </w:rPr>
      </w:pPr>
      <w:r w:rsidRPr="00DC1F83">
        <w:rPr>
          <w:rFonts w:ascii="ITC Avant Garde" w:hAnsi="ITC Avant Garde"/>
          <w:bCs/>
          <w:color w:val="000000"/>
          <w:sz w:val="22"/>
          <w:szCs w:val="22"/>
          <w:lang w:eastAsia="es-MX"/>
        </w:rPr>
        <w:t>Región 7</w:t>
      </w:r>
      <w:r w:rsidR="002F25C6" w:rsidRPr="00DC1F83">
        <w:rPr>
          <w:rFonts w:ascii="ITC Avant Garde" w:hAnsi="ITC Avant Garde"/>
          <w:bCs/>
          <w:color w:val="000000"/>
          <w:sz w:val="22"/>
          <w:szCs w:val="22"/>
          <w:lang w:eastAsia="es-MX"/>
        </w:rPr>
        <w:t xml:space="preserve"> PCS</w:t>
      </w:r>
      <w:r w:rsidRPr="00DC1F83">
        <w:rPr>
          <w:rFonts w:ascii="ITC Avant Garde" w:hAnsi="ITC Avant Garde"/>
          <w:bCs/>
          <w:color w:val="000000"/>
          <w:sz w:val="22"/>
          <w:szCs w:val="22"/>
          <w:lang w:eastAsia="es-MX"/>
        </w:rPr>
        <w:t xml:space="preserve">, que comprende los </w:t>
      </w:r>
      <w:r w:rsidR="00665199" w:rsidRPr="00DC1F83">
        <w:rPr>
          <w:rFonts w:ascii="ITC Avant Garde" w:hAnsi="ITC Avant Garde"/>
          <w:bCs/>
          <w:color w:val="000000"/>
          <w:sz w:val="22"/>
          <w:szCs w:val="22"/>
          <w:lang w:eastAsia="es-MX"/>
        </w:rPr>
        <w:t>E</w:t>
      </w:r>
      <w:r w:rsidRPr="00DC1F83">
        <w:rPr>
          <w:rFonts w:ascii="ITC Avant Garde" w:hAnsi="ITC Avant Garde"/>
          <w:bCs/>
          <w:color w:val="000000"/>
          <w:sz w:val="22"/>
          <w:szCs w:val="22"/>
          <w:lang w:eastAsia="es-MX"/>
        </w:rPr>
        <w:t xml:space="preserve">stados de Aguascalientes, Guanajuato, Querétaro, San Luis Potosí y Zacatecas, y los siguientes </w:t>
      </w:r>
      <w:r w:rsidR="00665199" w:rsidRPr="00DC1F83">
        <w:rPr>
          <w:rFonts w:ascii="ITC Avant Garde" w:hAnsi="ITC Avant Garde"/>
          <w:bCs/>
          <w:color w:val="000000"/>
          <w:sz w:val="22"/>
          <w:szCs w:val="22"/>
          <w:lang w:eastAsia="es-MX"/>
        </w:rPr>
        <w:t>M</w:t>
      </w:r>
      <w:r w:rsidRPr="00DC1F83">
        <w:rPr>
          <w:rFonts w:ascii="ITC Avant Garde" w:hAnsi="ITC Avant Garde"/>
          <w:bCs/>
          <w:color w:val="000000"/>
          <w:sz w:val="22"/>
          <w:szCs w:val="22"/>
          <w:lang w:eastAsia="es-MX"/>
        </w:rPr>
        <w:t xml:space="preserve">unicipios de Jalisco: </w:t>
      </w:r>
      <w:proofErr w:type="spellStart"/>
      <w:r w:rsidRPr="00DC1F83">
        <w:rPr>
          <w:rFonts w:ascii="ITC Avant Garde" w:hAnsi="ITC Avant Garde"/>
          <w:bCs/>
          <w:color w:val="000000"/>
          <w:sz w:val="22"/>
          <w:szCs w:val="22"/>
          <w:lang w:eastAsia="es-MX"/>
        </w:rPr>
        <w:t>Huejúcar</w:t>
      </w:r>
      <w:proofErr w:type="spellEnd"/>
      <w:r w:rsidRPr="00DC1F83">
        <w:rPr>
          <w:rFonts w:ascii="ITC Avant Garde" w:hAnsi="ITC Avant Garde"/>
          <w:bCs/>
          <w:color w:val="000000"/>
          <w:sz w:val="22"/>
          <w:szCs w:val="22"/>
          <w:lang w:eastAsia="es-MX"/>
        </w:rPr>
        <w:t xml:space="preserve">, Santa María de los </w:t>
      </w:r>
      <w:r w:rsidR="00665199" w:rsidRPr="00DC1F83">
        <w:rPr>
          <w:rFonts w:ascii="ITC Avant Garde" w:hAnsi="ITC Avant Garde"/>
          <w:bCs/>
          <w:color w:val="000000"/>
          <w:sz w:val="22"/>
          <w:szCs w:val="22"/>
          <w:lang w:eastAsia="es-MX"/>
        </w:rPr>
        <w:t>Á</w:t>
      </w:r>
      <w:r w:rsidRPr="00DC1F83">
        <w:rPr>
          <w:rFonts w:ascii="ITC Avant Garde" w:hAnsi="ITC Avant Garde"/>
          <w:bCs/>
          <w:color w:val="000000"/>
          <w:sz w:val="22"/>
          <w:szCs w:val="22"/>
          <w:lang w:eastAsia="es-MX"/>
        </w:rPr>
        <w:t xml:space="preserve">ngeles, </w:t>
      </w:r>
      <w:proofErr w:type="spellStart"/>
      <w:r w:rsidRPr="00DC1F83">
        <w:rPr>
          <w:rFonts w:ascii="ITC Avant Garde" w:hAnsi="ITC Avant Garde"/>
          <w:bCs/>
          <w:color w:val="000000"/>
          <w:sz w:val="22"/>
          <w:szCs w:val="22"/>
          <w:lang w:eastAsia="es-MX"/>
        </w:rPr>
        <w:t>Colotlán</w:t>
      </w:r>
      <w:proofErr w:type="spellEnd"/>
      <w:r w:rsidRPr="00DC1F83">
        <w:rPr>
          <w:rFonts w:ascii="ITC Avant Garde" w:hAnsi="ITC Avant Garde"/>
          <w:bCs/>
          <w:color w:val="000000"/>
          <w:sz w:val="22"/>
          <w:szCs w:val="22"/>
          <w:lang w:eastAsia="es-MX"/>
        </w:rPr>
        <w:t xml:space="preserve">, </w:t>
      </w:r>
      <w:proofErr w:type="spellStart"/>
      <w:r w:rsidRPr="00DC1F83">
        <w:rPr>
          <w:rFonts w:ascii="ITC Avant Garde" w:hAnsi="ITC Avant Garde"/>
          <w:bCs/>
          <w:color w:val="000000"/>
          <w:sz w:val="22"/>
          <w:szCs w:val="22"/>
          <w:lang w:eastAsia="es-MX"/>
        </w:rPr>
        <w:t>Teocaltiche</w:t>
      </w:r>
      <w:proofErr w:type="spellEnd"/>
      <w:r w:rsidRPr="00DC1F83">
        <w:rPr>
          <w:rFonts w:ascii="ITC Avant Garde" w:hAnsi="ITC Avant Garde"/>
          <w:bCs/>
          <w:color w:val="000000"/>
          <w:sz w:val="22"/>
          <w:szCs w:val="22"/>
          <w:lang w:eastAsia="es-MX"/>
        </w:rPr>
        <w:t xml:space="preserve">, </w:t>
      </w:r>
      <w:proofErr w:type="spellStart"/>
      <w:r w:rsidRPr="00DC1F83">
        <w:rPr>
          <w:rFonts w:ascii="ITC Avant Garde" w:hAnsi="ITC Avant Garde"/>
          <w:bCs/>
          <w:color w:val="000000"/>
          <w:sz w:val="22"/>
          <w:szCs w:val="22"/>
          <w:lang w:eastAsia="es-MX"/>
        </w:rPr>
        <w:t>Huejuquilla</w:t>
      </w:r>
      <w:proofErr w:type="spellEnd"/>
      <w:r w:rsidRPr="00DC1F83">
        <w:rPr>
          <w:rFonts w:ascii="ITC Avant Garde" w:hAnsi="ITC Avant Garde"/>
          <w:bCs/>
          <w:color w:val="000000"/>
          <w:sz w:val="22"/>
          <w:szCs w:val="22"/>
          <w:lang w:eastAsia="es-MX"/>
        </w:rPr>
        <w:t xml:space="preserve"> El Alto, </w:t>
      </w:r>
      <w:proofErr w:type="spellStart"/>
      <w:r w:rsidRPr="00DC1F83">
        <w:rPr>
          <w:rFonts w:ascii="ITC Avant Garde" w:hAnsi="ITC Avant Garde"/>
          <w:bCs/>
          <w:color w:val="000000"/>
          <w:sz w:val="22"/>
          <w:szCs w:val="22"/>
          <w:lang w:eastAsia="es-MX"/>
        </w:rPr>
        <w:t>Mezquitic</w:t>
      </w:r>
      <w:proofErr w:type="spellEnd"/>
      <w:r w:rsidRPr="00DC1F83">
        <w:rPr>
          <w:rFonts w:ascii="ITC Avant Garde" w:hAnsi="ITC Avant Garde"/>
          <w:bCs/>
          <w:color w:val="000000"/>
          <w:sz w:val="22"/>
          <w:szCs w:val="22"/>
          <w:lang w:eastAsia="es-MX"/>
        </w:rPr>
        <w:t>, Villa Guerrero, Bolaños, Lagos de Moreno, Villa Hidalgo, Ojuelos de Jalisco y Encarnación de Díaz;</w:t>
      </w:r>
    </w:p>
    <w:p w14:paraId="4631BAFE" w14:textId="77777777" w:rsidR="00DC1F83" w:rsidRPr="00DC1F83" w:rsidRDefault="008C40B1" w:rsidP="00DC1F83">
      <w:pPr>
        <w:pStyle w:val="Prrafodelista"/>
        <w:numPr>
          <w:ilvl w:val="0"/>
          <w:numId w:val="30"/>
        </w:numPr>
        <w:spacing w:before="240" w:after="200"/>
        <w:jc w:val="both"/>
        <w:rPr>
          <w:rFonts w:ascii="ITC Avant Garde" w:hAnsi="ITC Avant Garde"/>
          <w:bCs/>
          <w:color w:val="000000"/>
          <w:lang w:eastAsia="es-MX"/>
        </w:rPr>
      </w:pPr>
      <w:r w:rsidRPr="00DC1F83">
        <w:rPr>
          <w:rFonts w:ascii="ITC Avant Garde" w:hAnsi="ITC Avant Garde"/>
          <w:bCs/>
          <w:color w:val="000000"/>
          <w:sz w:val="22"/>
          <w:szCs w:val="22"/>
          <w:lang w:eastAsia="es-MX"/>
        </w:rPr>
        <w:t>Región 8</w:t>
      </w:r>
      <w:r w:rsidR="002F25C6" w:rsidRPr="00DC1F83">
        <w:rPr>
          <w:rFonts w:ascii="ITC Avant Garde" w:hAnsi="ITC Avant Garde"/>
          <w:bCs/>
          <w:color w:val="000000"/>
          <w:sz w:val="22"/>
          <w:szCs w:val="22"/>
          <w:lang w:eastAsia="es-MX"/>
        </w:rPr>
        <w:t xml:space="preserve"> PCS</w:t>
      </w:r>
      <w:r w:rsidRPr="00DC1F83">
        <w:rPr>
          <w:rFonts w:ascii="ITC Avant Garde" w:hAnsi="ITC Avant Garde"/>
          <w:bCs/>
          <w:color w:val="000000"/>
          <w:sz w:val="22"/>
          <w:szCs w:val="22"/>
          <w:lang w:eastAsia="es-MX"/>
        </w:rPr>
        <w:t xml:space="preserve">, que comprende los </w:t>
      </w:r>
      <w:r w:rsidR="00665199" w:rsidRPr="00DC1F83">
        <w:rPr>
          <w:rFonts w:ascii="ITC Avant Garde" w:hAnsi="ITC Avant Garde"/>
          <w:bCs/>
          <w:color w:val="000000"/>
          <w:sz w:val="22"/>
          <w:szCs w:val="22"/>
          <w:lang w:eastAsia="es-MX"/>
        </w:rPr>
        <w:t>E</w:t>
      </w:r>
      <w:r w:rsidRPr="00DC1F83">
        <w:rPr>
          <w:rFonts w:ascii="ITC Avant Garde" w:hAnsi="ITC Avant Garde"/>
          <w:bCs/>
          <w:color w:val="000000"/>
          <w:sz w:val="22"/>
          <w:szCs w:val="22"/>
          <w:lang w:eastAsia="es-MX"/>
        </w:rPr>
        <w:t xml:space="preserve">stados de Guerrero, Oaxaca, Puebla, Tlaxcala y Veracruz, y </w:t>
      </w:r>
    </w:p>
    <w:p w14:paraId="2458B9D5" w14:textId="77777777" w:rsidR="00DC1F83" w:rsidRPr="00DC1F83" w:rsidRDefault="008C40B1" w:rsidP="00DC1F83">
      <w:pPr>
        <w:pStyle w:val="Prrafodelista"/>
        <w:numPr>
          <w:ilvl w:val="0"/>
          <w:numId w:val="30"/>
        </w:numPr>
        <w:spacing w:before="240" w:after="200"/>
        <w:jc w:val="both"/>
        <w:rPr>
          <w:rFonts w:ascii="ITC Avant Garde" w:hAnsi="ITC Avant Garde"/>
          <w:bCs/>
          <w:color w:val="000000"/>
          <w:lang w:eastAsia="es-MX"/>
        </w:rPr>
      </w:pPr>
      <w:r w:rsidRPr="00DC1F83">
        <w:rPr>
          <w:rFonts w:ascii="ITC Avant Garde" w:hAnsi="ITC Avant Garde"/>
          <w:bCs/>
          <w:color w:val="000000"/>
          <w:sz w:val="22"/>
          <w:szCs w:val="22"/>
          <w:lang w:eastAsia="es-MX"/>
        </w:rPr>
        <w:t>Región 9</w:t>
      </w:r>
      <w:r w:rsidR="002F25C6" w:rsidRPr="00DC1F83">
        <w:rPr>
          <w:rFonts w:ascii="ITC Avant Garde" w:hAnsi="ITC Avant Garde"/>
          <w:bCs/>
          <w:color w:val="000000"/>
          <w:sz w:val="22"/>
          <w:szCs w:val="22"/>
          <w:lang w:eastAsia="es-MX"/>
        </w:rPr>
        <w:t xml:space="preserve"> PCS</w:t>
      </w:r>
      <w:r w:rsidRPr="00DC1F83">
        <w:rPr>
          <w:rFonts w:ascii="ITC Avant Garde" w:hAnsi="ITC Avant Garde"/>
          <w:bCs/>
          <w:color w:val="000000"/>
          <w:sz w:val="22"/>
          <w:szCs w:val="22"/>
          <w:lang w:eastAsia="es-MX"/>
        </w:rPr>
        <w:t xml:space="preserve">, que comprende </w:t>
      </w:r>
      <w:r w:rsidR="0024363C" w:rsidRPr="00DC1F83">
        <w:rPr>
          <w:rFonts w:ascii="ITC Avant Garde" w:hAnsi="ITC Avant Garde"/>
          <w:bCs/>
          <w:color w:val="000000"/>
          <w:sz w:val="22"/>
          <w:szCs w:val="22"/>
          <w:lang w:eastAsia="es-MX"/>
        </w:rPr>
        <w:t>la</w:t>
      </w:r>
      <w:r w:rsidRPr="00DC1F83">
        <w:rPr>
          <w:rFonts w:ascii="ITC Avant Garde" w:hAnsi="ITC Avant Garde"/>
          <w:bCs/>
          <w:color w:val="000000"/>
          <w:sz w:val="22"/>
          <w:szCs w:val="22"/>
          <w:lang w:eastAsia="es-MX"/>
        </w:rPr>
        <w:t xml:space="preserve"> Ciudad de México y los </w:t>
      </w:r>
      <w:r w:rsidR="00665199" w:rsidRPr="00DC1F83">
        <w:rPr>
          <w:rFonts w:ascii="ITC Avant Garde" w:hAnsi="ITC Avant Garde"/>
          <w:bCs/>
          <w:color w:val="000000"/>
          <w:sz w:val="22"/>
          <w:szCs w:val="22"/>
          <w:lang w:eastAsia="es-MX"/>
        </w:rPr>
        <w:t>E</w:t>
      </w:r>
      <w:r w:rsidRPr="00DC1F83">
        <w:rPr>
          <w:rFonts w:ascii="ITC Avant Garde" w:hAnsi="ITC Avant Garde"/>
          <w:bCs/>
          <w:color w:val="000000"/>
          <w:sz w:val="22"/>
          <w:szCs w:val="22"/>
          <w:lang w:eastAsia="es-MX"/>
        </w:rPr>
        <w:t>stados de México, Hidalgo y Morelos</w:t>
      </w:r>
      <w:r w:rsidR="003C1ABB" w:rsidRPr="00DC1F83">
        <w:rPr>
          <w:rFonts w:ascii="ITC Avant Garde" w:hAnsi="ITC Avant Garde"/>
          <w:bCs/>
          <w:color w:val="000000"/>
          <w:sz w:val="22"/>
          <w:szCs w:val="22"/>
          <w:lang w:eastAsia="es-MX"/>
        </w:rPr>
        <w:t>.</w:t>
      </w:r>
    </w:p>
    <w:p w14:paraId="7A4382C4" w14:textId="77777777" w:rsidR="00DC1F83" w:rsidRPr="00DC1F83" w:rsidRDefault="00894E8E" w:rsidP="00DC1F83">
      <w:pPr>
        <w:autoSpaceDE w:val="0"/>
        <w:autoSpaceDN w:val="0"/>
        <w:adjustRightInd w:val="0"/>
        <w:spacing w:before="240" w:line="240" w:lineRule="auto"/>
        <w:jc w:val="both"/>
        <w:rPr>
          <w:rFonts w:ascii="ITC Avant Garde" w:hAnsi="ITC Avant Garde"/>
          <w:bCs/>
        </w:rPr>
      </w:pPr>
      <w:r w:rsidRPr="00DC1F83">
        <w:rPr>
          <w:rFonts w:ascii="ITC Avant Garde" w:hAnsi="ITC Avant Garde"/>
          <w:bCs/>
        </w:rPr>
        <w:t>A fin de que el Instituto Federal de Telecomunicaciones expida l</w:t>
      </w:r>
      <w:r w:rsidR="003C1ABB" w:rsidRPr="00DC1F83">
        <w:rPr>
          <w:rFonts w:ascii="ITC Avant Garde" w:hAnsi="ITC Avant Garde"/>
          <w:bCs/>
        </w:rPr>
        <w:t>os</w:t>
      </w:r>
      <w:r w:rsidRPr="00DC1F83">
        <w:rPr>
          <w:rFonts w:ascii="ITC Avant Garde" w:hAnsi="ITC Avant Garde"/>
          <w:bCs/>
        </w:rPr>
        <w:t xml:space="preserve"> título</w:t>
      </w:r>
      <w:r w:rsidR="003C1ABB" w:rsidRPr="00DC1F83">
        <w:rPr>
          <w:rFonts w:ascii="ITC Avant Garde" w:hAnsi="ITC Avant Garde"/>
          <w:bCs/>
        </w:rPr>
        <w:t>s</w:t>
      </w:r>
      <w:r w:rsidRPr="00DC1F83">
        <w:rPr>
          <w:rFonts w:ascii="ITC Avant Garde" w:hAnsi="ITC Avant Garde"/>
          <w:bCs/>
        </w:rPr>
        <w:t xml:space="preserve"> de concesión señalado</w:t>
      </w:r>
      <w:r w:rsidR="003C1ABB" w:rsidRPr="00DC1F83">
        <w:rPr>
          <w:rFonts w:ascii="ITC Avant Garde" w:hAnsi="ITC Avant Garde"/>
          <w:bCs/>
        </w:rPr>
        <w:t>s</w:t>
      </w:r>
      <w:r w:rsidRPr="00DC1F83">
        <w:rPr>
          <w:rFonts w:ascii="ITC Avant Garde" w:hAnsi="ITC Avant Garde"/>
          <w:bCs/>
        </w:rPr>
        <w:t xml:space="preserve"> en el párrafo anterior, </w:t>
      </w:r>
      <w:proofErr w:type="spellStart"/>
      <w:r w:rsidRPr="00DC1F83">
        <w:rPr>
          <w:rFonts w:ascii="ITC Avant Garde" w:hAnsi="ITC Avant Garde"/>
          <w:bCs/>
        </w:rPr>
        <w:t>Radiomóvil</w:t>
      </w:r>
      <w:proofErr w:type="spellEnd"/>
      <w:r w:rsidRPr="00DC1F83">
        <w:rPr>
          <w:rFonts w:ascii="ITC Avant Garde" w:hAnsi="ITC Avant Garde"/>
          <w:bCs/>
        </w:rPr>
        <w:t xml:space="preserve"> </w:t>
      </w:r>
      <w:proofErr w:type="spellStart"/>
      <w:r w:rsidRPr="00DC1F83">
        <w:rPr>
          <w:rFonts w:ascii="ITC Avant Garde" w:hAnsi="ITC Avant Garde"/>
          <w:bCs/>
        </w:rPr>
        <w:t>Dipsa</w:t>
      </w:r>
      <w:proofErr w:type="spellEnd"/>
      <w:r w:rsidRPr="00DC1F83">
        <w:rPr>
          <w:rFonts w:ascii="ITC Avant Garde" w:hAnsi="ITC Avant Garde"/>
          <w:bCs/>
        </w:rPr>
        <w:t>, S.A. de C.V. deberá aceptar expresa</w:t>
      </w:r>
      <w:r w:rsidR="00316CE1" w:rsidRPr="00DC1F83">
        <w:rPr>
          <w:rFonts w:ascii="ITC Avant Garde" w:hAnsi="ITC Avant Garde"/>
          <w:bCs/>
        </w:rPr>
        <w:t xml:space="preserve"> </w:t>
      </w:r>
      <w:r w:rsidR="00316CE1" w:rsidRPr="00DC1F83">
        <w:rPr>
          <w:rFonts w:ascii="ITC Avant Garde" w:hAnsi="ITC Avant Garde"/>
          <w:bCs/>
          <w:color w:val="000000"/>
          <w:lang w:eastAsia="es-MX"/>
        </w:rPr>
        <w:t xml:space="preserve">e indubitablemente las nuevas condiciones que el Instituto le establezca para el uso, aprovechamiento y explotación de bandas de frecuencias objeto de las concesiones, en los términos señalados en el Resolutivo </w:t>
      </w:r>
      <w:r w:rsidR="000B2585" w:rsidRPr="00DC1F83">
        <w:rPr>
          <w:rFonts w:ascii="ITC Avant Garde" w:hAnsi="ITC Avant Garde"/>
          <w:bCs/>
          <w:color w:val="000000"/>
          <w:lang w:eastAsia="es-MX"/>
        </w:rPr>
        <w:t>Tercero</w:t>
      </w:r>
      <w:r w:rsidR="00316CE1" w:rsidRPr="00DC1F83">
        <w:rPr>
          <w:rFonts w:ascii="ITC Avant Garde" w:hAnsi="ITC Avant Garde"/>
          <w:bCs/>
          <w:color w:val="000000"/>
          <w:lang w:eastAsia="es-MX"/>
        </w:rPr>
        <w:t xml:space="preserve"> de la presente Resolución.</w:t>
      </w:r>
    </w:p>
    <w:p w14:paraId="6B8C369E" w14:textId="2E9DE413" w:rsidR="00DC1F83" w:rsidRPr="00DC1F83" w:rsidRDefault="003C1ABB" w:rsidP="00DC1F83">
      <w:pPr>
        <w:pStyle w:val="estilo30"/>
        <w:spacing w:before="240" w:beforeAutospacing="0" w:after="200" w:afterAutospacing="0"/>
        <w:jc w:val="both"/>
        <w:rPr>
          <w:rFonts w:ascii="ITC Avant Garde" w:hAnsi="ITC Avant Garde"/>
          <w:bCs/>
          <w:color w:val="000000"/>
        </w:rPr>
      </w:pPr>
      <w:r w:rsidRPr="00DC1F83">
        <w:rPr>
          <w:rFonts w:ascii="ITC Avant Garde" w:hAnsi="ITC Avant Garde"/>
          <w:b/>
          <w:bCs/>
          <w:sz w:val="22"/>
          <w:szCs w:val="22"/>
          <w:lang w:val="es-ES_tradnl"/>
        </w:rPr>
        <w:t>SEGUNDO</w:t>
      </w:r>
      <w:r w:rsidR="00894E8E" w:rsidRPr="00DC1F83">
        <w:rPr>
          <w:rFonts w:ascii="ITC Avant Garde" w:hAnsi="ITC Avant Garde"/>
          <w:b/>
          <w:bCs/>
          <w:sz w:val="22"/>
          <w:szCs w:val="22"/>
          <w:lang w:val="es-ES_tradnl"/>
        </w:rPr>
        <w:t>.-</w:t>
      </w:r>
      <w:r w:rsidR="00894E8E" w:rsidRPr="00DC1F83">
        <w:rPr>
          <w:rFonts w:ascii="ITC Avant Garde" w:hAnsi="ITC Avant Garde"/>
          <w:bCs/>
          <w:lang w:val="es-ES_tradnl"/>
        </w:rPr>
        <w:t xml:space="preserve"> </w:t>
      </w:r>
      <w:r w:rsidRPr="00DC1F83">
        <w:rPr>
          <w:rFonts w:ascii="ITC Avant Garde" w:hAnsi="ITC Avant Garde"/>
          <w:sz w:val="22"/>
          <w:szCs w:val="22"/>
        </w:rPr>
        <w:t>Los</w:t>
      </w:r>
      <w:r w:rsidR="00894E8E" w:rsidRPr="00DC1F83">
        <w:rPr>
          <w:rFonts w:ascii="ITC Avant Garde" w:hAnsi="ITC Avant Garde"/>
          <w:sz w:val="22"/>
          <w:szCs w:val="22"/>
        </w:rPr>
        <w:t xml:space="preserve"> título</w:t>
      </w:r>
      <w:r w:rsidRPr="00DC1F83">
        <w:rPr>
          <w:rFonts w:ascii="ITC Avant Garde" w:hAnsi="ITC Avant Garde"/>
          <w:sz w:val="22"/>
          <w:szCs w:val="22"/>
        </w:rPr>
        <w:t>s</w:t>
      </w:r>
      <w:r w:rsidR="00894E8E" w:rsidRPr="00DC1F83">
        <w:rPr>
          <w:rFonts w:ascii="ITC Avant Garde" w:hAnsi="ITC Avant Garde"/>
          <w:sz w:val="22"/>
          <w:szCs w:val="22"/>
        </w:rPr>
        <w:t xml:space="preserve"> de concesión </w:t>
      </w:r>
      <w:r w:rsidR="00B464E8" w:rsidRPr="00DC1F83">
        <w:rPr>
          <w:rFonts w:ascii="ITC Avant Garde" w:hAnsi="ITC Avant Garde"/>
          <w:sz w:val="22"/>
          <w:szCs w:val="22"/>
        </w:rPr>
        <w:t xml:space="preserve">para usar, aprovechar y explotar bandas de frecuencias del espectro radioeléctrico para uso comercial </w:t>
      </w:r>
      <w:r w:rsidR="00894E8E" w:rsidRPr="00DC1F83">
        <w:rPr>
          <w:rFonts w:ascii="ITC Avant Garde" w:hAnsi="ITC Avant Garde"/>
          <w:sz w:val="22"/>
          <w:szCs w:val="22"/>
        </w:rPr>
        <w:t xml:space="preserve">a que se refiere el Resolutivo </w:t>
      </w:r>
      <w:r w:rsidRPr="00DC1F83">
        <w:rPr>
          <w:rFonts w:ascii="ITC Avant Garde" w:hAnsi="ITC Avant Garde"/>
          <w:sz w:val="22"/>
          <w:szCs w:val="22"/>
        </w:rPr>
        <w:t>Primero</w:t>
      </w:r>
      <w:r w:rsidR="00316CE1" w:rsidRPr="00DC1F83">
        <w:rPr>
          <w:rFonts w:ascii="ITC Avant Garde" w:hAnsi="ITC Avant Garde"/>
          <w:sz w:val="22"/>
          <w:szCs w:val="22"/>
        </w:rPr>
        <w:t xml:space="preserve"> anterior</w:t>
      </w:r>
      <w:r w:rsidR="00894E8E" w:rsidRPr="00DC1F83">
        <w:rPr>
          <w:rFonts w:ascii="ITC Avant Garde" w:hAnsi="ITC Avant Garde"/>
          <w:sz w:val="22"/>
          <w:szCs w:val="22"/>
        </w:rPr>
        <w:t>, confiere</w:t>
      </w:r>
      <w:r w:rsidRPr="00DC1F83">
        <w:rPr>
          <w:rFonts w:ascii="ITC Avant Garde" w:hAnsi="ITC Avant Garde"/>
          <w:sz w:val="22"/>
          <w:szCs w:val="22"/>
        </w:rPr>
        <w:t>n</w:t>
      </w:r>
      <w:r w:rsidR="00894E8E" w:rsidRPr="00DC1F83">
        <w:rPr>
          <w:rFonts w:ascii="ITC Avant Garde" w:hAnsi="ITC Avant Garde"/>
          <w:sz w:val="22"/>
          <w:szCs w:val="22"/>
        </w:rPr>
        <w:t xml:space="preserve"> a </w:t>
      </w:r>
      <w:proofErr w:type="spellStart"/>
      <w:r w:rsidR="00894E8E" w:rsidRPr="00DC1F83">
        <w:rPr>
          <w:rFonts w:ascii="ITC Avant Garde" w:hAnsi="ITC Avant Garde"/>
          <w:sz w:val="22"/>
          <w:szCs w:val="22"/>
        </w:rPr>
        <w:t>Radiomóvil</w:t>
      </w:r>
      <w:proofErr w:type="spellEnd"/>
      <w:r w:rsidR="00894E8E" w:rsidRPr="00DC1F83">
        <w:rPr>
          <w:rFonts w:ascii="ITC Avant Garde" w:hAnsi="ITC Avant Garde"/>
          <w:sz w:val="22"/>
          <w:szCs w:val="22"/>
        </w:rPr>
        <w:t xml:space="preserve"> </w:t>
      </w:r>
      <w:proofErr w:type="spellStart"/>
      <w:r w:rsidR="00894E8E" w:rsidRPr="00DC1F83">
        <w:rPr>
          <w:rFonts w:ascii="ITC Avant Garde" w:hAnsi="ITC Avant Garde"/>
          <w:sz w:val="22"/>
          <w:szCs w:val="22"/>
        </w:rPr>
        <w:t>Dipsa</w:t>
      </w:r>
      <w:proofErr w:type="spellEnd"/>
      <w:r w:rsidR="00894E8E" w:rsidRPr="00DC1F83">
        <w:rPr>
          <w:rFonts w:ascii="ITC Avant Garde" w:hAnsi="ITC Avant Garde"/>
          <w:sz w:val="22"/>
          <w:szCs w:val="22"/>
        </w:rPr>
        <w:t xml:space="preserve">, S.A. de C.V., a partir de su </w:t>
      </w:r>
      <w:r w:rsidR="00316CE1" w:rsidRPr="00DC1F83">
        <w:rPr>
          <w:rFonts w:ascii="ITC Avant Garde" w:hAnsi="ITC Avant Garde"/>
          <w:sz w:val="22"/>
          <w:szCs w:val="22"/>
        </w:rPr>
        <w:t xml:space="preserve">respectivo </w:t>
      </w:r>
      <w:r w:rsidR="00894E8E" w:rsidRPr="00DC1F83">
        <w:rPr>
          <w:rFonts w:ascii="ITC Avant Garde" w:hAnsi="ITC Avant Garde"/>
          <w:sz w:val="22"/>
          <w:szCs w:val="22"/>
        </w:rPr>
        <w:t xml:space="preserve">inicio de vigencia, el derecho a prestar </w:t>
      </w:r>
      <w:r w:rsidR="00060A9A" w:rsidRPr="00DC1F83">
        <w:rPr>
          <w:rFonts w:ascii="ITC Avant Garde" w:hAnsi="ITC Avant Garde"/>
          <w:sz w:val="22"/>
          <w:szCs w:val="22"/>
        </w:rPr>
        <w:t>el</w:t>
      </w:r>
      <w:r w:rsidR="0035082B" w:rsidRPr="00DC1F83">
        <w:rPr>
          <w:rFonts w:ascii="ITC Avant Garde" w:hAnsi="ITC Avant Garde"/>
          <w:sz w:val="22"/>
          <w:szCs w:val="22"/>
        </w:rPr>
        <w:t xml:space="preserve"> </w:t>
      </w:r>
      <w:r w:rsidR="00894E8E" w:rsidRPr="00DC1F83">
        <w:rPr>
          <w:rFonts w:ascii="ITC Avant Garde" w:hAnsi="ITC Avant Garde"/>
          <w:sz w:val="22"/>
          <w:szCs w:val="22"/>
        </w:rPr>
        <w:t>servicio de acceso inalámbrico</w:t>
      </w:r>
      <w:r w:rsidR="00A12E95" w:rsidRPr="00DC1F83">
        <w:rPr>
          <w:rFonts w:ascii="ITC Avant Garde" w:hAnsi="ITC Avant Garde"/>
          <w:sz w:val="22"/>
          <w:szCs w:val="22"/>
        </w:rPr>
        <w:t>,</w:t>
      </w:r>
      <w:r w:rsidR="00894E8E" w:rsidRPr="00DC1F83">
        <w:rPr>
          <w:rFonts w:ascii="ITC Avant Garde" w:hAnsi="ITC Avant Garde"/>
          <w:sz w:val="22"/>
          <w:szCs w:val="22"/>
        </w:rPr>
        <w:t xml:space="preserve"> </w:t>
      </w:r>
      <w:r w:rsidR="00DC2F92" w:rsidRPr="00DC1F83">
        <w:rPr>
          <w:rFonts w:ascii="ITC Avant Garde" w:hAnsi="ITC Avant Garde"/>
          <w:bCs/>
          <w:color w:val="000000"/>
          <w:sz w:val="22"/>
          <w:szCs w:val="22"/>
        </w:rPr>
        <w:t xml:space="preserve">en las bandas de </w:t>
      </w:r>
      <w:r w:rsidR="00DC2F92" w:rsidRPr="00DC1F83">
        <w:rPr>
          <w:rFonts w:ascii="ITC Avant Garde" w:hAnsi="ITC Avant Garde"/>
          <w:sz w:val="22"/>
          <w:szCs w:val="22"/>
        </w:rPr>
        <w:t xml:space="preserve">frecuencias </w:t>
      </w:r>
      <w:r w:rsidR="00A12E95" w:rsidRPr="00DC1F83">
        <w:rPr>
          <w:rFonts w:ascii="ITC Avant Garde" w:hAnsi="ITC Avant Garde"/>
          <w:sz w:val="22"/>
          <w:szCs w:val="22"/>
        </w:rPr>
        <w:t xml:space="preserve">1860.8–1865.0/1940.8–1945.0 </w:t>
      </w:r>
      <w:r w:rsidR="00CC07A4" w:rsidRPr="00DC1F83">
        <w:rPr>
          <w:rFonts w:ascii="ITC Avant Garde" w:hAnsi="ITC Avant Garde"/>
          <w:sz w:val="22"/>
          <w:szCs w:val="22"/>
        </w:rPr>
        <w:t xml:space="preserve">MHz </w:t>
      </w:r>
      <w:r w:rsidR="00DC2F92" w:rsidRPr="00DC1F83">
        <w:rPr>
          <w:rFonts w:ascii="ITC Avant Garde" w:hAnsi="ITC Avant Garde"/>
          <w:sz w:val="22"/>
          <w:szCs w:val="22"/>
        </w:rPr>
        <w:t>en l</w:t>
      </w:r>
      <w:r w:rsidR="00316CE1" w:rsidRPr="00DC1F83">
        <w:rPr>
          <w:rFonts w:ascii="ITC Avant Garde" w:hAnsi="ITC Avant Garde"/>
          <w:sz w:val="22"/>
          <w:szCs w:val="22"/>
        </w:rPr>
        <w:t>a</w:t>
      </w:r>
      <w:r w:rsidR="009D2705" w:rsidRPr="00DC1F83">
        <w:rPr>
          <w:rFonts w:ascii="ITC Avant Garde" w:hAnsi="ITC Avant Garde"/>
          <w:sz w:val="22"/>
          <w:szCs w:val="22"/>
        </w:rPr>
        <w:t>s</w:t>
      </w:r>
      <w:r w:rsidR="00316CE1" w:rsidRPr="00DC1F83">
        <w:rPr>
          <w:rFonts w:ascii="ITC Avant Garde" w:hAnsi="ITC Avant Garde"/>
          <w:sz w:val="22"/>
          <w:szCs w:val="22"/>
        </w:rPr>
        <w:t xml:space="preserve"> Regi</w:t>
      </w:r>
      <w:r w:rsidR="009D2705" w:rsidRPr="00DC1F83">
        <w:rPr>
          <w:rFonts w:ascii="ITC Avant Garde" w:hAnsi="ITC Avant Garde"/>
          <w:sz w:val="22"/>
          <w:szCs w:val="22"/>
        </w:rPr>
        <w:t>ones</w:t>
      </w:r>
      <w:r w:rsidR="00985523" w:rsidRPr="00DC1F83">
        <w:rPr>
          <w:rFonts w:ascii="ITC Avant Garde" w:hAnsi="ITC Avant Garde"/>
          <w:sz w:val="22"/>
          <w:szCs w:val="22"/>
        </w:rPr>
        <w:t xml:space="preserve"> </w:t>
      </w:r>
      <w:r w:rsidR="009D2705" w:rsidRPr="00DC1F83">
        <w:rPr>
          <w:rFonts w:ascii="ITC Avant Garde" w:hAnsi="ITC Avant Garde"/>
          <w:sz w:val="22"/>
          <w:szCs w:val="22"/>
        </w:rPr>
        <w:t>1, 2, 3, 4, 5, 6, 7, 8, y 9</w:t>
      </w:r>
      <w:r w:rsidR="00B17BD4" w:rsidRPr="00DC1F83">
        <w:rPr>
          <w:rFonts w:ascii="ITC Avant Garde" w:hAnsi="ITC Avant Garde"/>
          <w:sz w:val="22"/>
          <w:szCs w:val="22"/>
        </w:rPr>
        <w:t xml:space="preserve"> PCS</w:t>
      </w:r>
      <w:r w:rsidR="009D2705" w:rsidRPr="00DC1F83">
        <w:rPr>
          <w:rFonts w:ascii="ITC Avant Garde" w:hAnsi="ITC Avant Garde"/>
          <w:sz w:val="22"/>
          <w:szCs w:val="22"/>
        </w:rPr>
        <w:t>, respectivamente</w:t>
      </w:r>
      <w:r w:rsidR="00316CE1" w:rsidRPr="00DC1F83">
        <w:rPr>
          <w:rFonts w:ascii="ITC Avant Garde" w:hAnsi="ITC Avant Garde"/>
          <w:sz w:val="22"/>
          <w:szCs w:val="22"/>
        </w:rPr>
        <w:t>.</w:t>
      </w:r>
      <w:r w:rsidR="0035082B" w:rsidRPr="00DC1F83">
        <w:rPr>
          <w:rFonts w:ascii="ITC Avant Garde" w:hAnsi="ITC Avant Garde"/>
          <w:bCs/>
          <w:color w:val="000000"/>
          <w:sz w:val="22"/>
          <w:szCs w:val="22"/>
        </w:rPr>
        <w:t xml:space="preserve"> </w:t>
      </w:r>
    </w:p>
    <w:p w14:paraId="24C64AF9" w14:textId="77777777" w:rsidR="00DC1F83" w:rsidRPr="00DC1F83" w:rsidRDefault="00D03891" w:rsidP="00DC1F83">
      <w:pPr>
        <w:autoSpaceDE w:val="0"/>
        <w:autoSpaceDN w:val="0"/>
        <w:adjustRightInd w:val="0"/>
        <w:spacing w:before="240" w:line="240" w:lineRule="auto"/>
        <w:jc w:val="both"/>
        <w:rPr>
          <w:rFonts w:ascii="ITC Avant Garde" w:hAnsi="ITC Avant Garde"/>
          <w:bCs/>
        </w:rPr>
      </w:pPr>
      <w:r w:rsidRPr="00DC1F83">
        <w:rPr>
          <w:rFonts w:ascii="ITC Avant Garde" w:hAnsi="ITC Avant Garde"/>
          <w:bCs/>
        </w:rPr>
        <w:lastRenderedPageBreak/>
        <w:t xml:space="preserve">Dicho servicio de acceso inalámbrico será prestado por </w:t>
      </w:r>
      <w:proofErr w:type="spellStart"/>
      <w:r w:rsidRPr="00DC1F83">
        <w:rPr>
          <w:rFonts w:ascii="ITC Avant Garde" w:hAnsi="ITC Avant Garde"/>
          <w:bCs/>
        </w:rPr>
        <w:t>Radiomóvil</w:t>
      </w:r>
      <w:proofErr w:type="spellEnd"/>
      <w:r w:rsidRPr="00DC1F83">
        <w:rPr>
          <w:rFonts w:ascii="ITC Avant Garde" w:hAnsi="ITC Avant Garde"/>
          <w:bCs/>
        </w:rPr>
        <w:t xml:space="preserve"> </w:t>
      </w:r>
      <w:proofErr w:type="spellStart"/>
      <w:r w:rsidRPr="00DC1F83">
        <w:rPr>
          <w:rFonts w:ascii="ITC Avant Garde" w:hAnsi="ITC Avant Garde"/>
          <w:bCs/>
        </w:rPr>
        <w:t>Dipsa</w:t>
      </w:r>
      <w:proofErr w:type="spellEnd"/>
      <w:r w:rsidRPr="00DC1F83">
        <w:rPr>
          <w:rFonts w:ascii="ITC Avant Garde" w:hAnsi="ITC Avant Garde"/>
          <w:bCs/>
        </w:rPr>
        <w:t xml:space="preserve">, S.A. de C.V. al amparo de los títulos de concesión de redes públicas de telecomunicaciones o títulos de concesión habilitantes de los que sea titular al momento del inicio de la vigencia de los títulos de concesión que se mencionan en el párrafo que antecede, y que lo habiliten para prestar </w:t>
      </w:r>
      <w:r w:rsidR="00450DFF" w:rsidRPr="00DC1F83">
        <w:rPr>
          <w:rFonts w:ascii="ITC Avant Garde" w:hAnsi="ITC Avant Garde"/>
          <w:bCs/>
        </w:rPr>
        <w:t>este tipo de</w:t>
      </w:r>
      <w:r w:rsidRPr="00DC1F83">
        <w:rPr>
          <w:rFonts w:ascii="ITC Avant Garde" w:hAnsi="ITC Avant Garde"/>
          <w:bCs/>
        </w:rPr>
        <w:t xml:space="preserve"> servicio en las áreas de cobertura autorizadas.</w:t>
      </w:r>
    </w:p>
    <w:p w14:paraId="68B19359" w14:textId="77777777" w:rsidR="00DC1F83" w:rsidRPr="00DC1F83" w:rsidRDefault="0035082B" w:rsidP="00DC1F83">
      <w:pPr>
        <w:autoSpaceDE w:val="0"/>
        <w:autoSpaceDN w:val="0"/>
        <w:adjustRightInd w:val="0"/>
        <w:spacing w:before="240" w:line="240" w:lineRule="auto"/>
        <w:jc w:val="both"/>
        <w:rPr>
          <w:rFonts w:ascii="ITC Avant Garde" w:hAnsi="ITC Avant Garde"/>
          <w:bCs/>
          <w:lang w:val="es-ES_tradnl"/>
        </w:rPr>
      </w:pPr>
      <w:r w:rsidRPr="00DC1F83">
        <w:rPr>
          <w:rFonts w:ascii="ITC Avant Garde" w:hAnsi="ITC Avant Garde"/>
          <w:b/>
          <w:bCs/>
          <w:lang w:val="es-ES_tradnl"/>
        </w:rPr>
        <w:t>TERCERO</w:t>
      </w:r>
      <w:r w:rsidR="006E21DC" w:rsidRPr="00DC1F83">
        <w:rPr>
          <w:rFonts w:ascii="ITC Avant Garde" w:hAnsi="ITC Avant Garde"/>
          <w:b/>
          <w:bCs/>
          <w:lang w:val="es-ES_tradnl"/>
        </w:rPr>
        <w:t xml:space="preserve">.- </w:t>
      </w:r>
      <w:r w:rsidR="006E21DC" w:rsidRPr="00DC1F83">
        <w:rPr>
          <w:rFonts w:ascii="ITC Avant Garde" w:hAnsi="ITC Avant Garde"/>
          <w:bCs/>
          <w:lang w:val="es-ES_tradnl"/>
        </w:rPr>
        <w:t xml:space="preserve">Se instruye a la Unidad de Concesiones y Servicios a hacer del conocimiento de Radiomóvil Dipsa, S.A. de C.V. el contenido de la presente </w:t>
      </w:r>
      <w:r w:rsidR="008727EF" w:rsidRPr="00DC1F83">
        <w:rPr>
          <w:rFonts w:ascii="ITC Avant Garde" w:hAnsi="ITC Avant Garde"/>
          <w:bCs/>
          <w:lang w:val="es-ES_tradnl"/>
        </w:rPr>
        <w:t>Resolución</w:t>
      </w:r>
      <w:r w:rsidR="006E21DC" w:rsidRPr="00DC1F83">
        <w:rPr>
          <w:rFonts w:ascii="ITC Avant Garde" w:hAnsi="ITC Avant Garde"/>
          <w:bCs/>
          <w:lang w:val="es-ES_tradnl"/>
        </w:rPr>
        <w:t>, así como las nuevas condiciones establecidas</w:t>
      </w:r>
      <w:r w:rsidR="00EB73F6" w:rsidRPr="00DC1F83">
        <w:rPr>
          <w:rFonts w:ascii="ITC Avant Garde" w:hAnsi="ITC Avant Garde"/>
          <w:bCs/>
          <w:lang w:val="es-ES_tradnl"/>
        </w:rPr>
        <w:t xml:space="preserve"> en los proyectos de </w:t>
      </w:r>
      <w:r w:rsidR="006E21DC" w:rsidRPr="00DC1F83">
        <w:rPr>
          <w:rFonts w:ascii="ITC Avant Garde" w:hAnsi="ITC Avant Garde"/>
          <w:bCs/>
          <w:lang w:val="es-ES_tradnl"/>
        </w:rPr>
        <w:t>título</w:t>
      </w:r>
      <w:r w:rsidR="00F11027" w:rsidRPr="00DC1F83">
        <w:rPr>
          <w:rFonts w:ascii="ITC Avant Garde" w:hAnsi="ITC Avant Garde"/>
          <w:bCs/>
          <w:lang w:val="es-ES_tradnl"/>
        </w:rPr>
        <w:t>s</w:t>
      </w:r>
      <w:r w:rsidR="006E21DC" w:rsidRPr="00DC1F83">
        <w:rPr>
          <w:rFonts w:ascii="ITC Avant Garde" w:hAnsi="ITC Avant Garde"/>
          <w:bCs/>
          <w:lang w:val="es-ES_tradnl"/>
        </w:rPr>
        <w:t xml:space="preserve"> de concesión</w:t>
      </w:r>
      <w:r w:rsidR="00245BED" w:rsidRPr="00DC1F83">
        <w:rPr>
          <w:rFonts w:ascii="ITC Avant Garde" w:hAnsi="ITC Avant Garde"/>
          <w:bCs/>
          <w:lang w:val="es-ES_tradnl"/>
        </w:rPr>
        <w:t xml:space="preserve"> </w:t>
      </w:r>
      <w:r w:rsidR="006E21DC" w:rsidRPr="00DC1F83">
        <w:rPr>
          <w:rFonts w:ascii="ITC Avant Garde" w:hAnsi="ITC Avant Garde"/>
          <w:bCs/>
          <w:lang w:val="es-ES_tradnl"/>
        </w:rPr>
        <w:t>señalado</w:t>
      </w:r>
      <w:r w:rsidR="00EB73F6" w:rsidRPr="00DC1F83">
        <w:rPr>
          <w:rFonts w:ascii="ITC Avant Garde" w:hAnsi="ITC Avant Garde"/>
          <w:bCs/>
          <w:lang w:val="es-ES_tradnl"/>
        </w:rPr>
        <w:t>s</w:t>
      </w:r>
      <w:r w:rsidR="0011057F" w:rsidRPr="00DC1F83">
        <w:rPr>
          <w:rFonts w:ascii="ITC Avant Garde" w:hAnsi="ITC Avant Garde"/>
          <w:bCs/>
          <w:lang w:val="es-ES_tradnl"/>
        </w:rPr>
        <w:t xml:space="preserve"> en </w:t>
      </w:r>
      <w:r w:rsidRPr="00DC1F83">
        <w:rPr>
          <w:rFonts w:ascii="ITC Avant Garde" w:hAnsi="ITC Avant Garde"/>
          <w:bCs/>
          <w:lang w:val="es-ES_tradnl"/>
        </w:rPr>
        <w:t>e</w:t>
      </w:r>
      <w:r w:rsidR="0011057F" w:rsidRPr="00DC1F83">
        <w:rPr>
          <w:rFonts w:ascii="ITC Avant Garde" w:hAnsi="ITC Avant Garde"/>
          <w:bCs/>
          <w:lang w:val="es-ES_tradnl"/>
        </w:rPr>
        <w:t>l Resolutivo</w:t>
      </w:r>
      <w:r w:rsidRPr="00DC1F83">
        <w:rPr>
          <w:rFonts w:ascii="ITC Avant Garde" w:hAnsi="ITC Avant Garde"/>
          <w:bCs/>
          <w:lang w:val="es-ES_tradnl"/>
        </w:rPr>
        <w:t xml:space="preserve"> Primero</w:t>
      </w:r>
      <w:r w:rsidR="009C39E9" w:rsidRPr="00DC1F83">
        <w:rPr>
          <w:rFonts w:ascii="ITC Avant Garde" w:hAnsi="ITC Avant Garde"/>
          <w:bCs/>
          <w:lang w:val="es-ES_tradnl"/>
        </w:rPr>
        <w:t xml:space="preserve"> y que forman parte integral de la presente Resolución</w:t>
      </w:r>
      <w:r w:rsidR="006E21DC" w:rsidRPr="00DC1F83">
        <w:rPr>
          <w:rFonts w:ascii="ITC Avant Garde" w:hAnsi="ITC Avant Garde"/>
          <w:bCs/>
          <w:lang w:val="es-ES_tradnl"/>
        </w:rPr>
        <w:t xml:space="preserve">, a efecto de recabar de </w:t>
      </w:r>
      <w:r w:rsidR="004C3E47" w:rsidRPr="00DC1F83">
        <w:rPr>
          <w:rFonts w:ascii="ITC Avant Garde" w:hAnsi="ITC Avant Garde"/>
          <w:bCs/>
          <w:lang w:val="es-ES_tradnl"/>
        </w:rPr>
        <w:t>dicha empresa</w:t>
      </w:r>
      <w:r w:rsidR="006E21DC" w:rsidRPr="00DC1F83">
        <w:rPr>
          <w:rFonts w:ascii="ITC Avant Garde" w:hAnsi="ITC Avant Garde"/>
          <w:bCs/>
          <w:lang w:val="es-ES_tradnl"/>
        </w:rPr>
        <w:t>, en un plazo no ma</w:t>
      </w:r>
      <w:r w:rsidR="002C5CA3" w:rsidRPr="00DC1F83">
        <w:rPr>
          <w:rFonts w:ascii="ITC Avant Garde" w:hAnsi="ITC Avant Garde"/>
          <w:bCs/>
          <w:lang w:val="es-ES_tradnl"/>
        </w:rPr>
        <w:t>yor a 1</w:t>
      </w:r>
      <w:r w:rsidR="004C3E47" w:rsidRPr="00DC1F83">
        <w:rPr>
          <w:rFonts w:ascii="ITC Avant Garde" w:hAnsi="ITC Avant Garde"/>
          <w:bCs/>
          <w:lang w:val="es-ES_tradnl"/>
        </w:rPr>
        <w:t>5</w:t>
      </w:r>
      <w:r w:rsidR="002C5CA3" w:rsidRPr="00DC1F83">
        <w:rPr>
          <w:rFonts w:ascii="ITC Avant Garde" w:hAnsi="ITC Avant Garde"/>
          <w:bCs/>
          <w:lang w:val="es-ES_tradnl"/>
        </w:rPr>
        <w:t xml:space="preserve"> (</w:t>
      </w:r>
      <w:r w:rsidR="00731CB7" w:rsidRPr="00DC1F83">
        <w:rPr>
          <w:rFonts w:ascii="ITC Avant Garde" w:hAnsi="ITC Avant Garde"/>
          <w:bCs/>
          <w:lang w:val="es-ES_tradnl"/>
        </w:rPr>
        <w:t>quince</w:t>
      </w:r>
      <w:r w:rsidR="002C5CA3" w:rsidRPr="00DC1F83">
        <w:rPr>
          <w:rFonts w:ascii="ITC Avant Garde" w:hAnsi="ITC Avant Garde"/>
          <w:bCs/>
          <w:lang w:val="es-ES_tradnl"/>
        </w:rPr>
        <w:t>) días hábiles</w:t>
      </w:r>
      <w:r w:rsidR="006E21DC" w:rsidRPr="00DC1F83">
        <w:rPr>
          <w:rFonts w:ascii="ITC Avant Garde" w:hAnsi="ITC Avant Garde"/>
          <w:bCs/>
          <w:lang w:val="es-ES_tradnl"/>
        </w:rPr>
        <w:t xml:space="preserve"> contados a partir de</w:t>
      </w:r>
      <w:r w:rsidR="00316CE1" w:rsidRPr="00DC1F83">
        <w:rPr>
          <w:rFonts w:ascii="ITC Avant Garde" w:hAnsi="ITC Avant Garde"/>
          <w:bCs/>
          <w:lang w:val="es-ES_tradnl"/>
        </w:rPr>
        <w:t>l día siguiente a aquél en</w:t>
      </w:r>
      <w:r w:rsidR="006E21DC" w:rsidRPr="00DC1F83">
        <w:rPr>
          <w:rFonts w:ascii="ITC Avant Garde" w:hAnsi="ITC Avant Garde"/>
          <w:bCs/>
          <w:lang w:val="es-ES_tradnl"/>
        </w:rPr>
        <w:t xml:space="preserve"> </w:t>
      </w:r>
      <w:r w:rsidR="002C5CA3" w:rsidRPr="00DC1F83">
        <w:rPr>
          <w:rFonts w:ascii="ITC Avant Garde" w:hAnsi="ITC Avant Garde"/>
          <w:bCs/>
          <w:lang w:val="es-ES_tradnl"/>
        </w:rPr>
        <w:t xml:space="preserve">que surta efectos </w:t>
      </w:r>
      <w:r w:rsidR="006E21DC" w:rsidRPr="00DC1F83">
        <w:rPr>
          <w:rFonts w:ascii="ITC Avant Garde" w:hAnsi="ITC Avant Garde"/>
          <w:bCs/>
          <w:lang w:val="es-ES_tradnl"/>
        </w:rPr>
        <w:t xml:space="preserve">la notificación respectiva, su aceptación expresa e indubitable de </w:t>
      </w:r>
      <w:r w:rsidR="004C3E47" w:rsidRPr="00DC1F83">
        <w:rPr>
          <w:rFonts w:ascii="ITC Avant Garde" w:hAnsi="ITC Avant Garde"/>
          <w:bCs/>
          <w:lang w:val="es-ES_tradnl"/>
        </w:rPr>
        <w:t>las</w:t>
      </w:r>
      <w:r w:rsidR="006E21DC" w:rsidRPr="00DC1F83">
        <w:rPr>
          <w:rFonts w:ascii="ITC Avant Garde" w:hAnsi="ITC Avant Garde"/>
          <w:bCs/>
          <w:lang w:val="es-ES_tradnl"/>
        </w:rPr>
        <w:t xml:space="preserve"> nuevas condiciones.</w:t>
      </w:r>
    </w:p>
    <w:p w14:paraId="1881B1ED" w14:textId="77777777" w:rsidR="00DC1F83" w:rsidRPr="00DC1F83" w:rsidRDefault="006E21DC" w:rsidP="00DC1F83">
      <w:pPr>
        <w:autoSpaceDE w:val="0"/>
        <w:autoSpaceDN w:val="0"/>
        <w:adjustRightInd w:val="0"/>
        <w:spacing w:before="240" w:line="240" w:lineRule="auto"/>
        <w:jc w:val="both"/>
        <w:rPr>
          <w:rFonts w:ascii="ITC Avant Garde" w:hAnsi="ITC Avant Garde"/>
          <w:bCs/>
          <w:lang w:val="es-ES_tradnl"/>
        </w:rPr>
      </w:pPr>
      <w:r w:rsidRPr="00DC1F83">
        <w:rPr>
          <w:rFonts w:ascii="ITC Avant Garde" w:hAnsi="ITC Avant Garde"/>
          <w:bCs/>
          <w:lang w:val="es-ES_tradnl"/>
        </w:rPr>
        <w:t>En caso de que no se reciba por parte de Radiomóvil Dipsa, S.A. de C.V. la aceptación</w:t>
      </w:r>
      <w:r w:rsidR="00245BED" w:rsidRPr="00DC1F83">
        <w:rPr>
          <w:rFonts w:ascii="ITC Avant Garde" w:hAnsi="ITC Avant Garde"/>
          <w:bCs/>
          <w:lang w:val="es-ES_tradnl"/>
        </w:rPr>
        <w:t xml:space="preserve"> </w:t>
      </w:r>
      <w:r w:rsidR="004C3E47" w:rsidRPr="00DC1F83">
        <w:rPr>
          <w:rFonts w:ascii="ITC Avant Garde" w:hAnsi="ITC Avant Garde"/>
          <w:bCs/>
          <w:lang w:val="es-ES_tradnl"/>
        </w:rPr>
        <w:t xml:space="preserve">referida </w:t>
      </w:r>
      <w:r w:rsidRPr="00DC1F83">
        <w:rPr>
          <w:rFonts w:ascii="ITC Avant Garde" w:hAnsi="ITC Avant Garde"/>
          <w:bCs/>
          <w:lang w:val="es-ES_tradnl"/>
        </w:rPr>
        <w:t>dentro del plazo establecido para tal</w:t>
      </w:r>
      <w:r w:rsidR="004C3E47" w:rsidRPr="00DC1F83">
        <w:rPr>
          <w:rFonts w:ascii="ITC Avant Garde" w:hAnsi="ITC Avant Garde"/>
          <w:bCs/>
          <w:lang w:val="es-ES_tradnl"/>
        </w:rPr>
        <w:t>es</w:t>
      </w:r>
      <w:r w:rsidRPr="00DC1F83">
        <w:rPr>
          <w:rFonts w:ascii="ITC Avant Garde" w:hAnsi="ITC Avant Garde"/>
          <w:bCs/>
          <w:lang w:val="es-ES_tradnl"/>
        </w:rPr>
        <w:t xml:space="preserve"> efecto</w:t>
      </w:r>
      <w:r w:rsidR="004C3E47" w:rsidRPr="00DC1F83">
        <w:rPr>
          <w:rFonts w:ascii="ITC Avant Garde" w:hAnsi="ITC Avant Garde"/>
          <w:bCs/>
          <w:lang w:val="es-ES_tradnl"/>
        </w:rPr>
        <w:t>s</w:t>
      </w:r>
      <w:r w:rsidRPr="00DC1F83">
        <w:rPr>
          <w:rFonts w:ascii="ITC Avant Garde" w:hAnsi="ITC Avant Garde"/>
          <w:bCs/>
          <w:lang w:val="es-ES_tradnl"/>
        </w:rPr>
        <w:t xml:space="preserve">, </w:t>
      </w:r>
      <w:r w:rsidR="008727EF" w:rsidRPr="00DC1F83">
        <w:rPr>
          <w:rFonts w:ascii="ITC Avant Garde" w:hAnsi="ITC Avant Garde"/>
          <w:bCs/>
          <w:lang w:val="es-ES_tradnl"/>
        </w:rPr>
        <w:t>la presente Resolución quedará sin efectos</w:t>
      </w:r>
      <w:r w:rsidR="009C39E9" w:rsidRPr="00DC1F83">
        <w:rPr>
          <w:rFonts w:ascii="ITC Avant Garde" w:hAnsi="ITC Avant Garde"/>
          <w:bCs/>
          <w:lang w:val="es-ES_tradnl"/>
        </w:rPr>
        <w:t xml:space="preserve"> y, en consecuencia, se tendrá por negada la prórroga de vigencia solicitada respecto de las concesiones de mérito</w:t>
      </w:r>
      <w:r w:rsidR="004C3E47" w:rsidRPr="00DC1F83">
        <w:rPr>
          <w:rFonts w:ascii="ITC Avant Garde" w:hAnsi="ITC Avant Garde"/>
          <w:bCs/>
          <w:lang w:val="es-ES_tradnl"/>
        </w:rPr>
        <w:t>.</w:t>
      </w:r>
    </w:p>
    <w:p w14:paraId="0C9DF8DD" w14:textId="0AFC9F8E" w:rsidR="00DC1F83" w:rsidRPr="00DC1F83" w:rsidRDefault="0035082B" w:rsidP="00DC1F83">
      <w:pPr>
        <w:spacing w:before="240" w:line="240" w:lineRule="auto"/>
        <w:jc w:val="both"/>
        <w:rPr>
          <w:rFonts w:ascii="ITC Avant Garde" w:hAnsi="ITC Avant Garde"/>
          <w:bCs/>
          <w:color w:val="000000"/>
          <w:lang w:eastAsia="es-MX"/>
        </w:rPr>
      </w:pPr>
      <w:r w:rsidRPr="00DC1F83">
        <w:rPr>
          <w:rFonts w:ascii="ITC Avant Garde" w:hAnsi="ITC Avant Garde"/>
          <w:b/>
          <w:bCs/>
          <w:lang w:val="es-ES_tradnl"/>
        </w:rPr>
        <w:t>CUARTO</w:t>
      </w:r>
      <w:r w:rsidR="006E21DC" w:rsidRPr="00DC1F83">
        <w:rPr>
          <w:rFonts w:ascii="ITC Avant Garde" w:hAnsi="ITC Avant Garde"/>
          <w:b/>
          <w:bCs/>
          <w:lang w:val="es-ES_tradnl"/>
        </w:rPr>
        <w:t>.-</w:t>
      </w:r>
      <w:r w:rsidR="006E21DC" w:rsidRPr="00DC1F83">
        <w:rPr>
          <w:rFonts w:ascii="ITC Avant Garde" w:hAnsi="ITC Avant Garde"/>
          <w:bCs/>
          <w:lang w:val="es-ES_tradnl"/>
        </w:rPr>
        <w:t xml:space="preserve"> </w:t>
      </w:r>
      <w:proofErr w:type="spellStart"/>
      <w:r w:rsidR="00316CE1" w:rsidRPr="00DC1F83">
        <w:rPr>
          <w:rFonts w:ascii="ITC Avant Garde" w:hAnsi="ITC Avant Garde"/>
          <w:bCs/>
          <w:lang w:val="es-ES_tradnl"/>
        </w:rPr>
        <w:t>Radiomóvil</w:t>
      </w:r>
      <w:proofErr w:type="spellEnd"/>
      <w:r w:rsidR="00316CE1" w:rsidRPr="00DC1F83">
        <w:rPr>
          <w:rFonts w:ascii="ITC Avant Garde" w:hAnsi="ITC Avant Garde"/>
          <w:bCs/>
          <w:lang w:val="es-ES_tradnl"/>
        </w:rPr>
        <w:t xml:space="preserve"> </w:t>
      </w:r>
      <w:proofErr w:type="spellStart"/>
      <w:r w:rsidR="00316CE1" w:rsidRPr="00DC1F83">
        <w:rPr>
          <w:rFonts w:ascii="ITC Avant Garde" w:hAnsi="ITC Avant Garde"/>
          <w:bCs/>
          <w:lang w:val="es-ES_tradnl"/>
        </w:rPr>
        <w:t>Dipsa</w:t>
      </w:r>
      <w:proofErr w:type="spellEnd"/>
      <w:r w:rsidR="00316CE1" w:rsidRPr="00DC1F83">
        <w:rPr>
          <w:rFonts w:ascii="ITC Avant Garde" w:hAnsi="ITC Avant Garde"/>
          <w:bCs/>
          <w:lang w:val="es-ES_tradnl"/>
        </w:rPr>
        <w:t xml:space="preserve">, S.A. de C.V. </w:t>
      </w:r>
      <w:r w:rsidR="00A071B7" w:rsidRPr="00DC1F83">
        <w:rPr>
          <w:rFonts w:ascii="ITC Avant Garde" w:hAnsi="ITC Avant Garde"/>
          <w:bCs/>
          <w:lang w:val="es-ES_tradnl"/>
        </w:rPr>
        <w:t>deberá presentar al Instituto F</w:t>
      </w:r>
      <w:r w:rsidR="00060A9A" w:rsidRPr="00DC1F83">
        <w:rPr>
          <w:rFonts w:ascii="ITC Avant Garde" w:hAnsi="ITC Avant Garde"/>
          <w:bCs/>
          <w:lang w:val="es-ES_tradnl"/>
        </w:rPr>
        <w:t>ederal de Telecomunicaciones el comprobante de pago del aprovechamiento</w:t>
      </w:r>
      <w:r w:rsidR="00A071B7" w:rsidRPr="00DC1F83">
        <w:rPr>
          <w:rFonts w:ascii="ITC Avant Garde" w:hAnsi="ITC Avant Garde"/>
          <w:bCs/>
          <w:lang w:val="es-ES_tradnl"/>
        </w:rPr>
        <w:t xml:space="preserve"> por concepto de contraprestación fijado por </w:t>
      </w:r>
      <w:r w:rsidR="002F12FC" w:rsidRPr="00DC1F83">
        <w:rPr>
          <w:rFonts w:ascii="ITC Avant Garde" w:hAnsi="ITC Avant Garde"/>
          <w:bCs/>
          <w:lang w:val="es-ES_tradnl"/>
        </w:rPr>
        <w:t>el Instituto Federal de Telecomunicaciones</w:t>
      </w:r>
      <w:r w:rsidR="00A071B7" w:rsidRPr="00DC1F83">
        <w:rPr>
          <w:rFonts w:ascii="ITC Avant Garde" w:hAnsi="ITC Avant Garde"/>
          <w:bCs/>
          <w:lang w:val="es-ES_tradnl"/>
        </w:rPr>
        <w:t xml:space="preserve"> por </w:t>
      </w:r>
      <w:r w:rsidR="002F12FC" w:rsidRPr="00DC1F83">
        <w:rPr>
          <w:rFonts w:ascii="ITC Avant Garde" w:hAnsi="ITC Avant Garde"/>
          <w:bCs/>
          <w:lang w:val="es-ES_tradnl"/>
        </w:rPr>
        <w:t>el</w:t>
      </w:r>
      <w:r w:rsidR="00A071B7" w:rsidRPr="00DC1F83">
        <w:rPr>
          <w:rFonts w:ascii="ITC Avant Garde" w:hAnsi="ITC Avant Garde"/>
          <w:bCs/>
          <w:lang w:val="es-ES_tradnl"/>
        </w:rPr>
        <w:t xml:space="preserve"> monto de </w:t>
      </w:r>
      <w:r w:rsidR="00922088" w:rsidRPr="00DC1F83">
        <w:rPr>
          <w:rFonts w:ascii="ITC Avant Garde" w:hAnsi="ITC Avant Garde"/>
          <w:bCs/>
          <w:color w:val="000000"/>
          <w:lang w:eastAsia="es-MX"/>
        </w:rPr>
        <w:t>$890,969,176.</w:t>
      </w:r>
      <w:r w:rsidR="002F12FC" w:rsidRPr="00DC1F83">
        <w:rPr>
          <w:rFonts w:ascii="ITC Avant Garde" w:hAnsi="ITC Avant Garde"/>
          <w:bCs/>
          <w:color w:val="000000"/>
          <w:lang w:eastAsia="es-MX"/>
        </w:rPr>
        <w:t>00</w:t>
      </w:r>
      <w:r w:rsidR="00074CC5" w:rsidRPr="00DC1F83">
        <w:rPr>
          <w:rFonts w:ascii="ITC Avant Garde" w:hAnsi="ITC Avant Garde"/>
          <w:bCs/>
          <w:color w:val="000000"/>
          <w:lang w:eastAsia="es-MX"/>
        </w:rPr>
        <w:t xml:space="preserve"> </w:t>
      </w:r>
      <w:r w:rsidR="002F12FC" w:rsidRPr="00DC1F83">
        <w:rPr>
          <w:rFonts w:ascii="ITC Avant Garde" w:hAnsi="ITC Avant Garde"/>
          <w:bCs/>
          <w:color w:val="000000"/>
          <w:lang w:eastAsia="es-MX"/>
        </w:rPr>
        <w:t xml:space="preserve">(Ochocientos </w:t>
      </w:r>
      <w:r w:rsidR="00E133E0" w:rsidRPr="00DC1F83">
        <w:rPr>
          <w:rFonts w:ascii="ITC Avant Garde" w:hAnsi="ITC Avant Garde"/>
          <w:bCs/>
          <w:color w:val="000000"/>
          <w:lang w:eastAsia="es-MX"/>
        </w:rPr>
        <w:t>noventa</w:t>
      </w:r>
      <w:r w:rsidR="002F12FC" w:rsidRPr="00DC1F83">
        <w:rPr>
          <w:rFonts w:ascii="ITC Avant Garde" w:hAnsi="ITC Avant Garde"/>
          <w:bCs/>
          <w:color w:val="000000"/>
          <w:lang w:eastAsia="es-MX"/>
        </w:rPr>
        <w:t xml:space="preserve"> millones </w:t>
      </w:r>
      <w:r w:rsidR="00E133E0" w:rsidRPr="00DC1F83">
        <w:rPr>
          <w:rFonts w:ascii="ITC Avant Garde" w:hAnsi="ITC Avant Garde"/>
          <w:bCs/>
          <w:color w:val="000000"/>
          <w:lang w:eastAsia="es-MX"/>
        </w:rPr>
        <w:t>novecientos sesenta y nueve</w:t>
      </w:r>
      <w:r w:rsidR="002F12FC" w:rsidRPr="00DC1F83">
        <w:rPr>
          <w:rFonts w:ascii="ITC Avant Garde" w:hAnsi="ITC Avant Garde"/>
          <w:bCs/>
          <w:color w:val="000000"/>
          <w:lang w:eastAsia="es-MX"/>
        </w:rPr>
        <w:t xml:space="preserve"> mil </w:t>
      </w:r>
      <w:r w:rsidR="00E133E0" w:rsidRPr="00DC1F83">
        <w:rPr>
          <w:rFonts w:ascii="ITC Avant Garde" w:hAnsi="ITC Avant Garde"/>
          <w:bCs/>
          <w:color w:val="000000"/>
          <w:lang w:eastAsia="es-MX"/>
        </w:rPr>
        <w:t>ciento setenta y seis</w:t>
      </w:r>
      <w:r w:rsidR="002F12FC" w:rsidRPr="00DC1F83">
        <w:rPr>
          <w:rFonts w:ascii="ITC Avant Garde" w:hAnsi="ITC Avant Garde"/>
          <w:bCs/>
          <w:color w:val="000000"/>
          <w:lang w:eastAsia="es-MX"/>
        </w:rPr>
        <w:t xml:space="preserve"> pesos</w:t>
      </w:r>
      <w:r w:rsidR="00074CC5" w:rsidRPr="00DC1F83">
        <w:rPr>
          <w:rFonts w:ascii="ITC Avant Garde" w:hAnsi="ITC Avant Garde"/>
          <w:bCs/>
          <w:color w:val="000000"/>
          <w:lang w:eastAsia="es-MX"/>
        </w:rPr>
        <w:t xml:space="preserve"> 00/100 M.N.)</w:t>
      </w:r>
      <w:r w:rsidR="00A071B7" w:rsidRPr="00DC1F83">
        <w:rPr>
          <w:rFonts w:ascii="ITC Avant Garde" w:hAnsi="ITC Avant Garde"/>
          <w:bCs/>
          <w:color w:val="000000"/>
          <w:lang w:eastAsia="es-MX"/>
        </w:rPr>
        <w:t>,</w:t>
      </w:r>
      <w:r w:rsidR="00E133E0" w:rsidRPr="00DC1F83">
        <w:rPr>
          <w:rFonts w:ascii="ITC Avant Garde" w:hAnsi="ITC Avant Garde"/>
          <w:bCs/>
          <w:color w:val="000000"/>
          <w:lang w:eastAsia="es-MX"/>
        </w:rPr>
        <w:t xml:space="preserve"> mismo que se encuentra actualizado </w:t>
      </w:r>
      <w:r w:rsidR="00E133E0" w:rsidRPr="00DC1F83">
        <w:rPr>
          <w:rFonts w:ascii="ITC Avant Garde" w:hAnsi="ITC Avant Garde"/>
          <w:bCs/>
          <w:color w:val="000000"/>
          <w:lang w:val="es-ES" w:eastAsia="es-MX"/>
        </w:rPr>
        <w:t xml:space="preserve">conforme al </w:t>
      </w:r>
      <w:r w:rsidR="00E133E0" w:rsidRPr="00DC1F83">
        <w:rPr>
          <w:rFonts w:ascii="ITC Avant Garde" w:hAnsi="ITC Avant Garde"/>
          <w:bCs/>
          <w:lang w:val="es-ES_tradnl"/>
        </w:rPr>
        <w:t>Índice Nacional de Precios al Consumidor</w:t>
      </w:r>
      <w:r w:rsidR="00E133E0" w:rsidRPr="00DC1F83">
        <w:rPr>
          <w:rFonts w:ascii="ITC Avant Garde" w:hAnsi="ITC Avant Garde"/>
          <w:bCs/>
          <w:color w:val="000000"/>
          <w:lang w:val="es-ES" w:eastAsia="es-MX"/>
        </w:rPr>
        <w:t xml:space="preserve"> del mes de octubre de</w:t>
      </w:r>
      <w:r w:rsidR="00B76466" w:rsidRPr="00DC1F83">
        <w:rPr>
          <w:rFonts w:ascii="ITC Avant Garde" w:hAnsi="ITC Avant Garde"/>
          <w:bCs/>
          <w:color w:val="000000"/>
          <w:lang w:val="es-ES" w:eastAsia="es-MX"/>
        </w:rPr>
        <w:t xml:space="preserve"> </w:t>
      </w:r>
      <w:r w:rsidR="00E133E0" w:rsidRPr="00DC1F83">
        <w:rPr>
          <w:rFonts w:ascii="ITC Avant Garde" w:hAnsi="ITC Avant Garde"/>
          <w:bCs/>
          <w:color w:val="000000"/>
          <w:lang w:val="es-ES" w:eastAsia="es-MX"/>
        </w:rPr>
        <w:t>2016,</w:t>
      </w:r>
      <w:r w:rsidR="00A071B7" w:rsidRPr="00DC1F83">
        <w:rPr>
          <w:rFonts w:ascii="ITC Avant Garde" w:hAnsi="ITC Avant Garde"/>
          <w:bCs/>
          <w:color w:val="000000"/>
          <w:lang w:eastAsia="es-MX"/>
        </w:rPr>
        <w:t xml:space="preserve"> dentro del plazo de 30 (treinta) días hábiles siguientes a la fecha en que hubiere presentado la aceptación señalada en el Resolutivo Tercero de la presente Resolución.</w:t>
      </w:r>
    </w:p>
    <w:p w14:paraId="32659526" w14:textId="77777777" w:rsidR="00DC1F83" w:rsidRPr="00DC1F83" w:rsidRDefault="00B044C8" w:rsidP="00DC1F83">
      <w:pPr>
        <w:spacing w:before="240" w:line="240" w:lineRule="auto"/>
        <w:jc w:val="both"/>
        <w:rPr>
          <w:rFonts w:ascii="ITC Avant Garde" w:hAnsi="ITC Avant Garde"/>
          <w:bCs/>
          <w:lang w:val="es-ES_tradnl"/>
        </w:rPr>
      </w:pPr>
      <w:r w:rsidRPr="00DC1F83">
        <w:rPr>
          <w:rFonts w:ascii="ITC Avant Garde" w:hAnsi="ITC Avant Garde"/>
          <w:bCs/>
        </w:rPr>
        <w:t>El</w:t>
      </w:r>
      <w:r w:rsidR="00482347" w:rsidRPr="00DC1F83">
        <w:rPr>
          <w:rFonts w:ascii="ITC Avant Garde" w:hAnsi="ITC Avant Garde"/>
          <w:bCs/>
          <w:lang w:val="es-ES_tradnl"/>
        </w:rPr>
        <w:t xml:space="preserve"> monto señalado en el presente Resolutivo deberá ser actualizado al momento del pago, tomando en cuenta el último Índice Nacional de Precios al Consumidor publicado por el Banco de México.</w:t>
      </w:r>
    </w:p>
    <w:p w14:paraId="34D3AE2E" w14:textId="4293926F" w:rsidR="00DC1F83" w:rsidRPr="00DC1F83" w:rsidRDefault="00B464E8" w:rsidP="00DC1F83">
      <w:pPr>
        <w:autoSpaceDE w:val="0"/>
        <w:autoSpaceDN w:val="0"/>
        <w:adjustRightInd w:val="0"/>
        <w:spacing w:before="240" w:line="240" w:lineRule="auto"/>
        <w:jc w:val="both"/>
        <w:rPr>
          <w:rFonts w:ascii="ITC Avant Garde" w:hAnsi="ITC Avant Garde"/>
          <w:bCs/>
          <w:lang w:val="es-ES_tradnl"/>
        </w:rPr>
      </w:pPr>
      <w:r w:rsidRPr="00DC1F83">
        <w:rPr>
          <w:rFonts w:ascii="ITC Avant Garde" w:hAnsi="ITC Avant Garde"/>
          <w:b/>
          <w:bCs/>
          <w:lang w:val="es-ES_tradnl"/>
        </w:rPr>
        <w:t>QUINTO</w:t>
      </w:r>
      <w:r w:rsidR="00EB73F6" w:rsidRPr="00DC1F83">
        <w:rPr>
          <w:rFonts w:ascii="ITC Avant Garde" w:hAnsi="ITC Avant Garde"/>
          <w:b/>
          <w:bCs/>
          <w:lang w:val="es-ES_tradnl"/>
        </w:rPr>
        <w:t xml:space="preserve">.- </w:t>
      </w:r>
      <w:r w:rsidR="00482347" w:rsidRPr="00DC1F83">
        <w:rPr>
          <w:rFonts w:ascii="ITC Avant Garde" w:hAnsi="ITC Avant Garde"/>
          <w:bCs/>
          <w:lang w:val="es-ES_tradnl"/>
        </w:rPr>
        <w:t xml:space="preserve">En caso de que no se reciba por parte de </w:t>
      </w:r>
      <w:proofErr w:type="spellStart"/>
      <w:r w:rsidR="00D86849" w:rsidRPr="00DC1F83">
        <w:rPr>
          <w:rFonts w:ascii="ITC Avant Garde" w:hAnsi="ITC Avant Garde"/>
          <w:bCs/>
          <w:color w:val="000000"/>
          <w:lang w:eastAsia="es-MX"/>
        </w:rPr>
        <w:t>Radiomóvil</w:t>
      </w:r>
      <w:proofErr w:type="spellEnd"/>
      <w:r w:rsidR="00D86849" w:rsidRPr="00DC1F83">
        <w:rPr>
          <w:rFonts w:ascii="ITC Avant Garde" w:hAnsi="ITC Avant Garde"/>
          <w:bCs/>
          <w:color w:val="000000"/>
          <w:lang w:eastAsia="es-MX"/>
        </w:rPr>
        <w:t xml:space="preserve"> </w:t>
      </w:r>
      <w:proofErr w:type="spellStart"/>
      <w:r w:rsidR="00D86849" w:rsidRPr="00DC1F83">
        <w:rPr>
          <w:rFonts w:ascii="ITC Avant Garde" w:hAnsi="ITC Avant Garde"/>
          <w:bCs/>
          <w:color w:val="000000"/>
          <w:lang w:eastAsia="es-MX"/>
        </w:rPr>
        <w:t>Dipsa</w:t>
      </w:r>
      <w:proofErr w:type="spellEnd"/>
      <w:r w:rsidR="00D86849" w:rsidRPr="00DC1F83">
        <w:rPr>
          <w:rFonts w:ascii="ITC Avant Garde" w:hAnsi="ITC Avant Garde"/>
          <w:bCs/>
          <w:color w:val="000000"/>
          <w:lang w:eastAsia="es-MX"/>
        </w:rPr>
        <w:t xml:space="preserve">, S.A. de C.V., </w:t>
      </w:r>
      <w:r w:rsidR="002F12FC" w:rsidRPr="00DC1F83">
        <w:rPr>
          <w:rFonts w:ascii="ITC Avant Garde" w:hAnsi="ITC Avant Garde"/>
          <w:bCs/>
          <w:color w:val="000000"/>
          <w:lang w:eastAsia="es-MX"/>
        </w:rPr>
        <w:t>el</w:t>
      </w:r>
      <w:r w:rsidR="00482347" w:rsidRPr="00DC1F83">
        <w:rPr>
          <w:rFonts w:ascii="ITC Avant Garde" w:hAnsi="ITC Avant Garde"/>
          <w:bCs/>
          <w:lang w:val="es-ES_tradnl"/>
        </w:rPr>
        <w:t xml:space="preserve"> comprobante de pago de</w:t>
      </w:r>
      <w:r w:rsidR="002F12FC" w:rsidRPr="00DC1F83">
        <w:rPr>
          <w:rFonts w:ascii="ITC Avant Garde" w:hAnsi="ITC Avant Garde"/>
          <w:bCs/>
          <w:lang w:val="es-ES_tradnl"/>
        </w:rPr>
        <w:t>l</w:t>
      </w:r>
      <w:r w:rsidR="00482347" w:rsidRPr="00DC1F83">
        <w:rPr>
          <w:rFonts w:ascii="ITC Avant Garde" w:hAnsi="ITC Avant Garde"/>
          <w:bCs/>
          <w:lang w:val="es-ES_tradnl"/>
        </w:rPr>
        <w:t xml:space="preserve"> aprovechamiento por concepto de contraprestación señalado en el Resolutivo Cuarto, dentro del plazo establecido para tales efectos, la presente Resolución quedará sin efectos y, en consecuencia, se tendrán por negadas las prórrogas de vigencia solicitadas respecto de las concesiones de mérito. </w:t>
      </w:r>
    </w:p>
    <w:p w14:paraId="6DF09FFB" w14:textId="77777777" w:rsidR="00DC1F83" w:rsidRPr="00DC1F83" w:rsidRDefault="00482347" w:rsidP="00DC1F83">
      <w:pPr>
        <w:spacing w:before="240" w:line="240" w:lineRule="auto"/>
        <w:jc w:val="both"/>
        <w:rPr>
          <w:rFonts w:ascii="ITC Avant Garde" w:hAnsi="ITC Avant Garde"/>
          <w:bCs/>
          <w:lang w:val="es-ES_tradnl"/>
        </w:rPr>
      </w:pPr>
      <w:r w:rsidRPr="00DC1F83">
        <w:rPr>
          <w:rFonts w:ascii="ITC Avant Garde" w:hAnsi="ITC Avant Garde"/>
          <w:bCs/>
          <w:lang w:val="es-ES_tradnl"/>
        </w:rPr>
        <w:t xml:space="preserve">En dicho caso, las bandas de frecuencias que le fueron asignadas revertirán a favor de la Nación, </w:t>
      </w:r>
      <w:r w:rsidR="00695BCB" w:rsidRPr="00DC1F83">
        <w:rPr>
          <w:rFonts w:ascii="ITC Avant Garde" w:hAnsi="ITC Avant Garde"/>
          <w:bCs/>
          <w:lang w:val="es-ES_tradnl"/>
        </w:rPr>
        <w:t xml:space="preserve">una vez concluido el periodo de vigencia de las mismas, </w:t>
      </w:r>
      <w:r w:rsidRPr="00DC1F83">
        <w:rPr>
          <w:rFonts w:ascii="ITC Avant Garde" w:hAnsi="ITC Avant Garde"/>
          <w:bCs/>
          <w:lang w:val="es-ES_tradnl"/>
        </w:rPr>
        <w:t>sin perjuicio de que el Instituto Federal de Telecomunicaciones pueda ejercer las atribuciones de verificación, supervisión y, en su caso, sanción que correspondan.</w:t>
      </w:r>
    </w:p>
    <w:p w14:paraId="2CBDE89E" w14:textId="7E17B110" w:rsidR="006E21DC" w:rsidRPr="00DC1F83" w:rsidRDefault="00B464E8" w:rsidP="00DC1F83">
      <w:pPr>
        <w:spacing w:before="240" w:line="240" w:lineRule="auto"/>
        <w:jc w:val="both"/>
        <w:rPr>
          <w:rFonts w:ascii="ITC Avant Garde" w:hAnsi="ITC Avant Garde"/>
          <w:bCs/>
          <w:lang w:val="es-ES_tradnl"/>
        </w:rPr>
      </w:pPr>
      <w:r w:rsidRPr="00DC1F83">
        <w:rPr>
          <w:rFonts w:ascii="ITC Avant Garde" w:hAnsi="ITC Avant Garde"/>
          <w:b/>
          <w:bCs/>
          <w:lang w:val="es-ES_tradnl"/>
        </w:rPr>
        <w:t>SEXTO</w:t>
      </w:r>
      <w:r w:rsidR="00D86849" w:rsidRPr="00DC1F83">
        <w:rPr>
          <w:rFonts w:ascii="ITC Avant Garde" w:hAnsi="ITC Avant Garde"/>
          <w:b/>
          <w:bCs/>
          <w:lang w:val="es-ES_tradnl"/>
        </w:rPr>
        <w:t>.-</w:t>
      </w:r>
      <w:r w:rsidR="00D86849" w:rsidRPr="00DC1F83">
        <w:rPr>
          <w:rFonts w:ascii="ITC Avant Garde" w:hAnsi="ITC Avant Garde"/>
          <w:bCs/>
          <w:lang w:val="es-ES_tradnl"/>
        </w:rPr>
        <w:t xml:space="preserve"> </w:t>
      </w:r>
      <w:r w:rsidR="006E21DC" w:rsidRPr="00DC1F83">
        <w:rPr>
          <w:rFonts w:ascii="ITC Avant Garde" w:hAnsi="ITC Avant Garde"/>
          <w:bCs/>
          <w:lang w:val="es-ES_tradnl"/>
        </w:rPr>
        <w:t xml:space="preserve">Una vez satisfecho lo establecido en </w:t>
      </w:r>
      <w:r w:rsidR="00EB73F6" w:rsidRPr="00DC1F83">
        <w:rPr>
          <w:rFonts w:ascii="ITC Avant Garde" w:hAnsi="ITC Avant Garde"/>
          <w:bCs/>
          <w:lang w:val="es-ES_tradnl"/>
        </w:rPr>
        <w:t xml:space="preserve">los </w:t>
      </w:r>
      <w:r w:rsidR="006E21DC" w:rsidRPr="00DC1F83">
        <w:rPr>
          <w:rFonts w:ascii="ITC Avant Garde" w:hAnsi="ITC Avant Garde"/>
          <w:bCs/>
          <w:lang w:val="es-ES_tradnl"/>
        </w:rPr>
        <w:t>Resolutivo</w:t>
      </w:r>
      <w:r w:rsidR="00EB73F6" w:rsidRPr="00DC1F83">
        <w:rPr>
          <w:rFonts w:ascii="ITC Avant Garde" w:hAnsi="ITC Avant Garde"/>
          <w:bCs/>
          <w:lang w:val="es-ES_tradnl"/>
        </w:rPr>
        <w:t>s</w:t>
      </w:r>
      <w:r w:rsidR="006E21DC" w:rsidRPr="00DC1F83">
        <w:rPr>
          <w:rFonts w:ascii="ITC Avant Garde" w:hAnsi="ITC Avant Garde"/>
          <w:bCs/>
          <w:lang w:val="es-ES_tradnl"/>
        </w:rPr>
        <w:t xml:space="preserve"> </w:t>
      </w:r>
      <w:r w:rsidRPr="00DC1F83">
        <w:rPr>
          <w:rFonts w:ascii="ITC Avant Garde" w:hAnsi="ITC Avant Garde"/>
          <w:bCs/>
          <w:lang w:val="es-ES_tradnl"/>
        </w:rPr>
        <w:t xml:space="preserve">Tercero </w:t>
      </w:r>
      <w:r w:rsidR="00422D4B" w:rsidRPr="00DC1F83">
        <w:rPr>
          <w:rFonts w:ascii="ITC Avant Garde" w:hAnsi="ITC Avant Garde"/>
          <w:bCs/>
          <w:lang w:val="es-ES_tradnl"/>
        </w:rPr>
        <w:t xml:space="preserve">y </w:t>
      </w:r>
      <w:r w:rsidRPr="00DC1F83">
        <w:rPr>
          <w:rFonts w:ascii="ITC Avant Garde" w:hAnsi="ITC Avant Garde"/>
          <w:bCs/>
          <w:lang w:val="es-ES_tradnl"/>
        </w:rPr>
        <w:t xml:space="preserve">Cuarto </w:t>
      </w:r>
      <w:r w:rsidR="009C39E9" w:rsidRPr="00DC1F83">
        <w:rPr>
          <w:rFonts w:ascii="ITC Avant Garde" w:hAnsi="ITC Avant Garde"/>
          <w:bCs/>
          <w:lang w:val="es-ES_tradnl"/>
        </w:rPr>
        <w:t>anteriores</w:t>
      </w:r>
      <w:r w:rsidR="006E21DC" w:rsidRPr="00DC1F83">
        <w:rPr>
          <w:rFonts w:ascii="ITC Avant Garde" w:hAnsi="ITC Avant Garde"/>
          <w:bCs/>
          <w:lang w:val="es-ES_tradnl"/>
        </w:rPr>
        <w:t xml:space="preserve">, el Comisionado Presidente del Instituto Federal de Telecomunicaciones, con base en las </w:t>
      </w:r>
      <w:r w:rsidR="006E21DC" w:rsidRPr="00DC1F83">
        <w:rPr>
          <w:rFonts w:ascii="ITC Avant Garde" w:hAnsi="ITC Avant Garde"/>
          <w:bCs/>
          <w:lang w:val="es-ES_tradnl"/>
        </w:rPr>
        <w:lastRenderedPageBreak/>
        <w:t>facultade</w:t>
      </w:r>
      <w:r w:rsidR="003F7510" w:rsidRPr="00DC1F83">
        <w:rPr>
          <w:rFonts w:ascii="ITC Avant Garde" w:hAnsi="ITC Avant Garde"/>
          <w:bCs/>
          <w:lang w:val="es-ES_tradnl"/>
        </w:rPr>
        <w:t>s que le confiere el artículo 14 fracción X</w:t>
      </w:r>
      <w:r w:rsidR="006E21DC" w:rsidRPr="00DC1F83">
        <w:rPr>
          <w:rFonts w:ascii="ITC Avant Garde" w:hAnsi="ITC Avant Garde"/>
          <w:bCs/>
          <w:lang w:val="es-ES_tradnl"/>
        </w:rPr>
        <w:t xml:space="preserve"> del Estatuto Orgánico, suscribirá </w:t>
      </w:r>
      <w:r w:rsidR="00422D4B" w:rsidRPr="00DC1F83">
        <w:rPr>
          <w:rFonts w:ascii="ITC Avant Garde" w:hAnsi="ITC Avant Garde"/>
          <w:bCs/>
          <w:lang w:val="es-ES_tradnl"/>
        </w:rPr>
        <w:t>los títulos de concesión que se otorguen con motivo de la presente Resolución.</w:t>
      </w:r>
    </w:p>
    <w:p w14:paraId="161CDEBC" w14:textId="77777777" w:rsidR="00DC1F83" w:rsidRPr="00DC1F83" w:rsidRDefault="00B464E8" w:rsidP="00DC1F83">
      <w:pPr>
        <w:autoSpaceDE w:val="0"/>
        <w:autoSpaceDN w:val="0"/>
        <w:adjustRightInd w:val="0"/>
        <w:spacing w:before="240" w:line="240" w:lineRule="auto"/>
        <w:jc w:val="both"/>
        <w:rPr>
          <w:rFonts w:ascii="ITC Avant Garde" w:hAnsi="ITC Avant Garde"/>
          <w:bCs/>
          <w:lang w:val="es-ES_tradnl"/>
        </w:rPr>
      </w:pPr>
      <w:r w:rsidRPr="00DC1F83">
        <w:rPr>
          <w:rFonts w:ascii="ITC Avant Garde" w:hAnsi="ITC Avant Garde"/>
          <w:b/>
          <w:bCs/>
          <w:lang w:val="es-ES_tradnl"/>
        </w:rPr>
        <w:t>SÉPTIMO</w:t>
      </w:r>
      <w:r w:rsidR="006E21DC" w:rsidRPr="00DC1F83">
        <w:rPr>
          <w:rFonts w:ascii="ITC Avant Garde" w:hAnsi="ITC Avant Garde"/>
          <w:b/>
          <w:bCs/>
          <w:lang w:val="es-ES_tradnl"/>
        </w:rPr>
        <w:t>.-</w:t>
      </w:r>
      <w:r w:rsidR="006E21DC" w:rsidRPr="00DC1F83">
        <w:rPr>
          <w:rFonts w:ascii="ITC Avant Garde" w:hAnsi="ITC Avant Garde"/>
          <w:bCs/>
          <w:lang w:val="es-ES_tradnl"/>
        </w:rPr>
        <w:t xml:space="preserve"> Se instruye a la Unidad de Concesiones y Servicios a notificar a Radiomóvil Dipsa, S.A. de C.V., de ser el caso</w:t>
      </w:r>
      <w:r w:rsidR="00C365D4" w:rsidRPr="00DC1F83">
        <w:rPr>
          <w:rFonts w:ascii="ITC Avant Garde" w:hAnsi="ITC Avant Garde"/>
          <w:bCs/>
          <w:lang w:val="es-ES_tradnl"/>
        </w:rPr>
        <w:t>,</w:t>
      </w:r>
      <w:r w:rsidR="00E43291" w:rsidRPr="00DC1F83">
        <w:rPr>
          <w:rFonts w:ascii="ITC Avant Garde" w:hAnsi="ITC Avant Garde"/>
          <w:bCs/>
          <w:lang w:val="es-ES_tradnl"/>
        </w:rPr>
        <w:t xml:space="preserve"> </w:t>
      </w:r>
      <w:r w:rsidR="00687F49" w:rsidRPr="00DC1F83">
        <w:rPr>
          <w:rFonts w:ascii="ITC Avant Garde" w:hAnsi="ITC Avant Garde"/>
          <w:bCs/>
          <w:lang w:val="es-ES_tradnl"/>
        </w:rPr>
        <w:t>los</w:t>
      </w:r>
      <w:r w:rsidR="00D86849" w:rsidRPr="00DC1F83">
        <w:rPr>
          <w:rFonts w:ascii="ITC Avant Garde" w:hAnsi="ITC Avant Garde"/>
          <w:bCs/>
          <w:lang w:val="es-ES_tradnl"/>
        </w:rPr>
        <w:t xml:space="preserve"> título</w:t>
      </w:r>
      <w:r w:rsidR="00687F49" w:rsidRPr="00DC1F83">
        <w:rPr>
          <w:rFonts w:ascii="ITC Avant Garde" w:hAnsi="ITC Avant Garde"/>
          <w:bCs/>
          <w:lang w:val="es-ES_tradnl"/>
        </w:rPr>
        <w:t>s</w:t>
      </w:r>
      <w:r w:rsidR="00D86849" w:rsidRPr="00DC1F83">
        <w:rPr>
          <w:rFonts w:ascii="ITC Avant Garde" w:hAnsi="ITC Avant Garde"/>
          <w:bCs/>
          <w:lang w:val="es-ES_tradnl"/>
        </w:rPr>
        <w:t xml:space="preserve"> de concesión </w:t>
      </w:r>
      <w:r w:rsidR="00D86849" w:rsidRPr="00DC1F83">
        <w:rPr>
          <w:rFonts w:ascii="ITC Avant Garde" w:hAnsi="ITC Avant Garde"/>
          <w:bCs/>
          <w:color w:val="000000"/>
          <w:lang w:eastAsia="es-MX"/>
        </w:rPr>
        <w:t>para usar, aprovechar y explotar bandas de frecuencias del espectro radioeléctrico</w:t>
      </w:r>
      <w:r w:rsidR="00687F49" w:rsidRPr="00DC1F83">
        <w:rPr>
          <w:rFonts w:ascii="ITC Avant Garde" w:hAnsi="ITC Avant Garde"/>
          <w:bCs/>
          <w:color w:val="000000"/>
          <w:lang w:eastAsia="es-MX"/>
        </w:rPr>
        <w:t xml:space="preserve"> para uso comercial</w:t>
      </w:r>
      <w:r w:rsidR="006E21DC" w:rsidRPr="00DC1F83">
        <w:rPr>
          <w:rFonts w:ascii="ITC Avant Garde" w:hAnsi="ITC Avant Garde"/>
          <w:bCs/>
          <w:lang w:val="es-ES_tradnl"/>
        </w:rPr>
        <w:t xml:space="preserve"> </w:t>
      </w:r>
      <w:r w:rsidR="009C39E9" w:rsidRPr="00DC1F83">
        <w:rPr>
          <w:rFonts w:ascii="ITC Avant Garde" w:hAnsi="ITC Avant Garde"/>
          <w:bCs/>
          <w:lang w:val="es-ES_tradnl"/>
        </w:rPr>
        <w:t xml:space="preserve">referidos en </w:t>
      </w:r>
      <w:r w:rsidR="006E21DC" w:rsidRPr="00DC1F83">
        <w:rPr>
          <w:rFonts w:ascii="ITC Avant Garde" w:hAnsi="ITC Avant Garde"/>
          <w:bCs/>
          <w:lang w:val="es-ES_tradnl"/>
        </w:rPr>
        <w:t>la presente Resolución.</w:t>
      </w:r>
    </w:p>
    <w:p w14:paraId="110234B8" w14:textId="67AAF275" w:rsidR="00DC1F83" w:rsidRPr="00DC1F83" w:rsidRDefault="00B464E8" w:rsidP="00DC1F83">
      <w:pPr>
        <w:autoSpaceDE w:val="0"/>
        <w:autoSpaceDN w:val="0"/>
        <w:adjustRightInd w:val="0"/>
        <w:spacing w:before="240" w:line="240" w:lineRule="auto"/>
        <w:jc w:val="both"/>
        <w:rPr>
          <w:rFonts w:ascii="ITC Avant Garde" w:hAnsi="ITC Avant Garde"/>
          <w:bCs/>
          <w:lang w:val="es-ES_tradnl"/>
        </w:rPr>
      </w:pPr>
      <w:r w:rsidRPr="00DC1F83">
        <w:rPr>
          <w:rFonts w:ascii="ITC Avant Garde" w:hAnsi="ITC Avant Garde"/>
          <w:b/>
          <w:bCs/>
          <w:lang w:val="es-ES_tradnl"/>
        </w:rPr>
        <w:t>OCTAVO</w:t>
      </w:r>
      <w:r w:rsidR="006E21DC" w:rsidRPr="00DC1F83">
        <w:rPr>
          <w:rFonts w:ascii="ITC Avant Garde" w:hAnsi="ITC Avant Garde"/>
          <w:b/>
          <w:bCs/>
          <w:lang w:val="es-ES_tradnl"/>
        </w:rPr>
        <w:t>.-</w:t>
      </w:r>
      <w:r w:rsidR="006E21DC" w:rsidRPr="00DC1F83">
        <w:rPr>
          <w:rFonts w:ascii="ITC Avant Garde" w:hAnsi="ITC Avant Garde"/>
          <w:bCs/>
          <w:lang w:val="es-ES_tradnl"/>
        </w:rPr>
        <w:t xml:space="preserve"> Inscríba</w:t>
      </w:r>
      <w:r w:rsidR="00E43291" w:rsidRPr="00DC1F83">
        <w:rPr>
          <w:rFonts w:ascii="ITC Avant Garde" w:hAnsi="ITC Avant Garde"/>
          <w:bCs/>
          <w:lang w:val="es-ES_tradnl"/>
        </w:rPr>
        <w:t>n</w:t>
      </w:r>
      <w:r w:rsidR="006E21DC" w:rsidRPr="00DC1F83">
        <w:rPr>
          <w:rFonts w:ascii="ITC Avant Garde" w:hAnsi="ITC Avant Garde"/>
          <w:bCs/>
          <w:lang w:val="es-ES_tradnl"/>
        </w:rPr>
        <w:t>se en el Registro Público de Concesiones l</w:t>
      </w:r>
      <w:r w:rsidRPr="00DC1F83">
        <w:rPr>
          <w:rFonts w:ascii="ITC Avant Garde" w:hAnsi="ITC Avant Garde"/>
          <w:bCs/>
          <w:lang w:val="es-ES_tradnl"/>
        </w:rPr>
        <w:t xml:space="preserve">os </w:t>
      </w:r>
      <w:r w:rsidR="00422D4B" w:rsidRPr="00DC1F83">
        <w:rPr>
          <w:rFonts w:ascii="ITC Avant Garde" w:hAnsi="ITC Avant Garde"/>
          <w:bCs/>
          <w:lang w:val="es-ES_tradnl"/>
        </w:rPr>
        <w:t>título</w:t>
      </w:r>
      <w:r w:rsidRPr="00DC1F83">
        <w:rPr>
          <w:rFonts w:ascii="ITC Avant Garde" w:hAnsi="ITC Avant Garde"/>
          <w:bCs/>
          <w:lang w:val="es-ES_tradnl"/>
        </w:rPr>
        <w:t>s</w:t>
      </w:r>
      <w:r w:rsidR="00422D4B" w:rsidRPr="00DC1F83">
        <w:rPr>
          <w:rFonts w:ascii="ITC Avant Garde" w:hAnsi="ITC Avant Garde"/>
          <w:bCs/>
          <w:lang w:val="es-ES_tradnl"/>
        </w:rPr>
        <w:t xml:space="preserve"> de concesión</w:t>
      </w:r>
      <w:r w:rsidR="00E43291" w:rsidRPr="00DC1F83">
        <w:rPr>
          <w:rFonts w:ascii="ITC Avant Garde" w:hAnsi="ITC Avant Garde"/>
          <w:bCs/>
          <w:lang w:val="es-ES_tradnl"/>
        </w:rPr>
        <w:t xml:space="preserve"> para usar, aprovechar y explotar bandas de frecuenci</w:t>
      </w:r>
      <w:r w:rsidR="00422D4B" w:rsidRPr="00DC1F83">
        <w:rPr>
          <w:rFonts w:ascii="ITC Avant Garde" w:hAnsi="ITC Avant Garde"/>
          <w:bCs/>
          <w:lang w:val="es-ES_tradnl"/>
        </w:rPr>
        <w:t xml:space="preserve">as del espectro radioeléctrico </w:t>
      </w:r>
      <w:r w:rsidRPr="00DC1F83">
        <w:rPr>
          <w:rFonts w:ascii="ITC Avant Garde" w:hAnsi="ITC Avant Garde"/>
          <w:bCs/>
          <w:lang w:val="es-ES_tradnl"/>
        </w:rPr>
        <w:t>p</w:t>
      </w:r>
      <w:r w:rsidR="00605B78" w:rsidRPr="00DC1F83">
        <w:rPr>
          <w:rFonts w:ascii="ITC Avant Garde" w:hAnsi="ITC Avant Garde"/>
          <w:bCs/>
          <w:lang w:val="es-ES_tradnl"/>
        </w:rPr>
        <w:t xml:space="preserve">ara uso comercial </w:t>
      </w:r>
      <w:r w:rsidR="006E21DC" w:rsidRPr="00DC1F83">
        <w:rPr>
          <w:rFonts w:ascii="ITC Avant Garde" w:hAnsi="ITC Avant Garde"/>
          <w:bCs/>
          <w:lang w:val="es-ES_tradnl"/>
        </w:rPr>
        <w:t>a que se refiere la presente Resolución, una vez que sea</w:t>
      </w:r>
      <w:r w:rsidR="00E43291" w:rsidRPr="00DC1F83">
        <w:rPr>
          <w:rFonts w:ascii="ITC Avant Garde" w:hAnsi="ITC Avant Garde"/>
          <w:bCs/>
          <w:lang w:val="es-ES_tradnl"/>
        </w:rPr>
        <w:t>n</w:t>
      </w:r>
      <w:r w:rsidR="006E21DC" w:rsidRPr="00DC1F83">
        <w:rPr>
          <w:rFonts w:ascii="ITC Avant Garde" w:hAnsi="ITC Avant Garde"/>
          <w:bCs/>
          <w:lang w:val="es-ES_tradnl"/>
        </w:rPr>
        <w:t xml:space="preserve"> debidamente </w:t>
      </w:r>
      <w:r w:rsidR="00F86016" w:rsidRPr="00DC1F83">
        <w:rPr>
          <w:rFonts w:ascii="ITC Avant Garde" w:hAnsi="ITC Avant Garde"/>
          <w:bCs/>
          <w:lang w:val="es-ES_tradnl"/>
        </w:rPr>
        <w:t xml:space="preserve">notificados </w:t>
      </w:r>
      <w:r w:rsidR="006E21DC" w:rsidRPr="00DC1F83">
        <w:rPr>
          <w:rFonts w:ascii="ITC Avant Garde" w:hAnsi="ITC Avant Garde"/>
          <w:bCs/>
          <w:lang w:val="es-ES_tradnl"/>
        </w:rPr>
        <w:t>al interesado.</w:t>
      </w:r>
      <w:bookmarkStart w:id="0" w:name="_GoBack"/>
      <w:bookmarkEnd w:id="0"/>
    </w:p>
    <w:p w14:paraId="0E26EEA3" w14:textId="6FC91A48" w:rsidR="00DC1F83" w:rsidRPr="00DC1F83" w:rsidRDefault="006E369D" w:rsidP="00DC1F83">
      <w:pPr>
        <w:pStyle w:val="Prrafodelista"/>
        <w:spacing w:before="240" w:after="200"/>
        <w:ind w:left="0"/>
        <w:jc w:val="both"/>
        <w:rPr>
          <w:rFonts w:ascii="ITC Avant Garde" w:hAnsi="ITC Avant Garde"/>
          <w:sz w:val="13"/>
          <w:szCs w:val="13"/>
          <w:lang w:val="es-ES_tradnl"/>
        </w:rPr>
      </w:pPr>
      <w:r w:rsidRPr="00DC1F83">
        <w:rPr>
          <w:rFonts w:ascii="ITC Avant Garde" w:hAnsi="ITC Avant Garde"/>
          <w:sz w:val="13"/>
          <w:szCs w:val="13"/>
        </w:rPr>
        <w:t xml:space="preserve">La presente Resolución fue aprobada por el Pleno del Instituto Federal de Telecomunicaciones en su XXXIX Sesión Ordinaria celebrada el 9 de noviembre </w:t>
      </w:r>
      <w:r w:rsidRPr="00DC1F83">
        <w:rPr>
          <w:rFonts w:ascii="ITC Avant Garde" w:hAnsi="ITC Avant Garde"/>
          <w:sz w:val="13"/>
          <w:szCs w:val="13"/>
          <w:lang w:val="es-ES_tradnl"/>
        </w:rPr>
        <w:t xml:space="preserve">de 2016, en lo general por </w:t>
      </w:r>
      <w:r w:rsidRPr="00DC1F83">
        <w:rPr>
          <w:rFonts w:ascii="ITC Avant Garde" w:hAnsi="ITC Avant Garde"/>
          <w:bCs/>
          <w:sz w:val="13"/>
          <w:szCs w:val="13"/>
          <w:lang w:val="es-ES_tradnl"/>
        </w:rPr>
        <w:t>mayoría</w:t>
      </w:r>
      <w:r w:rsidRPr="00DC1F83">
        <w:rPr>
          <w:rFonts w:ascii="ITC Avant Garde" w:hAnsi="ITC Avant Garde"/>
          <w:sz w:val="13"/>
          <w:szCs w:val="13"/>
          <w:lang w:val="es-ES_tradnl"/>
        </w:rPr>
        <w:t xml:space="preserve"> de votos de los Comisionados Gabriel Oswaldo Contreras Saldívar, Ernesto Estrada González, Adriana Sofía Labardini Inzunza, Mario Germán Fromow Rangel y Javier Juárez Mojica; y con el voto en contra de la Comisionada María Elena Estavillo Flores</w:t>
      </w:r>
      <w:r w:rsidR="00141963" w:rsidRPr="00DC1F83">
        <w:rPr>
          <w:rFonts w:ascii="ITC Avant Garde" w:hAnsi="ITC Avant Garde"/>
          <w:sz w:val="13"/>
          <w:szCs w:val="13"/>
          <w:lang w:val="es-ES_tradnl"/>
        </w:rPr>
        <w:t>, por considerar que en el análisis del cumplimiento de las obligaciones se excluye el análisis de obligaciones sustantivas, así como por la eliminación de las obligaciones de cobertura; y del Comisionado Adolfo Cuevas Teja, quien manifestó la presentación de un voto por escrito.</w:t>
      </w:r>
    </w:p>
    <w:p w14:paraId="66435AA0" w14:textId="77777777" w:rsidR="00DC1F83" w:rsidRPr="00DC1F83" w:rsidRDefault="00C76708" w:rsidP="00DC1F83">
      <w:pPr>
        <w:pStyle w:val="Prrafodelista"/>
        <w:spacing w:before="240" w:after="200"/>
        <w:ind w:left="0"/>
        <w:jc w:val="both"/>
        <w:rPr>
          <w:rFonts w:ascii="ITC Avant Garde" w:hAnsi="ITC Avant Garde"/>
          <w:sz w:val="13"/>
          <w:szCs w:val="13"/>
        </w:rPr>
      </w:pPr>
      <w:r w:rsidRPr="00DC1F83">
        <w:rPr>
          <w:rFonts w:ascii="ITC Avant Garde" w:hAnsi="ITC Avant Garde"/>
          <w:sz w:val="13"/>
          <w:szCs w:val="13"/>
        </w:rPr>
        <w:t>En lo particular, la Comisionada Adriana Sofía Labardini Inzunza manifestó voto en contra de la contraprestación fijada por no considerar lo previsto en el artículo 100, fracción VI, de la Ley Federal de Telecomunicaciones y Radiodifusión, relativo a garantizar el acceso a los servicios de telecomunicaciones en zonas geográficas no cubiertas, asimismo votó en contra de la eliminación de las obligaciones de cobertura.</w:t>
      </w:r>
    </w:p>
    <w:p w14:paraId="4CCD2B2F" w14:textId="069D93FF" w:rsidR="006E369D" w:rsidRPr="00DC1F83" w:rsidRDefault="006E369D" w:rsidP="00DC1F83">
      <w:pPr>
        <w:pStyle w:val="Prrafodelista"/>
        <w:spacing w:before="240" w:after="200"/>
        <w:ind w:left="0"/>
        <w:jc w:val="both"/>
        <w:rPr>
          <w:rFonts w:ascii="ITC Avant Garde" w:hAnsi="ITC Avant Garde"/>
          <w:bCs/>
          <w:color w:val="000000"/>
          <w:sz w:val="13"/>
          <w:szCs w:val="13"/>
          <w:lang w:eastAsia="es-MX"/>
        </w:rPr>
      </w:pPr>
      <w:r w:rsidRPr="00DC1F83">
        <w:rPr>
          <w:rFonts w:ascii="ITC Avant Garde" w:hAnsi="ITC Avant Garde"/>
          <w:sz w:val="13"/>
          <w:szCs w:val="13"/>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P/IFT/091116/654.</w:t>
      </w:r>
    </w:p>
    <w:sectPr w:rsidR="006E369D" w:rsidRPr="00DC1F83" w:rsidSect="00C26B2F">
      <w:pgSz w:w="12240" w:h="15840"/>
      <w:pgMar w:top="2127" w:right="1467" w:bottom="567"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16175" w14:textId="77777777" w:rsidR="00873B6A" w:rsidRDefault="00873B6A" w:rsidP="00072BC8">
      <w:pPr>
        <w:spacing w:after="0" w:line="240" w:lineRule="auto"/>
      </w:pPr>
      <w:r>
        <w:separator/>
      </w:r>
    </w:p>
  </w:endnote>
  <w:endnote w:type="continuationSeparator" w:id="0">
    <w:p w14:paraId="17916779" w14:textId="77777777" w:rsidR="00873B6A" w:rsidRDefault="00873B6A"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060505"/>
      <w:docPartObj>
        <w:docPartGallery w:val="Page Numbers (Bottom of Page)"/>
        <w:docPartUnique/>
      </w:docPartObj>
    </w:sdtPr>
    <w:sdtEndPr>
      <w:rPr>
        <w:rFonts w:ascii="ITC Avant Garde" w:hAnsi="ITC Avant Garde"/>
        <w:sz w:val="20"/>
        <w:szCs w:val="20"/>
      </w:rPr>
    </w:sdtEndPr>
    <w:sdtContent>
      <w:p w14:paraId="52B1345C" w14:textId="7789C3D5" w:rsidR="00C26B2F" w:rsidRPr="00C26B2F" w:rsidRDefault="00C26B2F">
        <w:pPr>
          <w:pStyle w:val="Piedepgina"/>
          <w:jc w:val="right"/>
          <w:rPr>
            <w:rFonts w:ascii="ITC Avant Garde" w:hAnsi="ITC Avant Garde"/>
            <w:sz w:val="20"/>
            <w:szCs w:val="20"/>
          </w:rPr>
        </w:pPr>
        <w:r w:rsidRPr="00C26B2F">
          <w:rPr>
            <w:rFonts w:ascii="ITC Avant Garde" w:hAnsi="ITC Avant Garde"/>
            <w:sz w:val="20"/>
            <w:szCs w:val="20"/>
          </w:rPr>
          <w:fldChar w:fldCharType="begin"/>
        </w:r>
        <w:r w:rsidRPr="00C26B2F">
          <w:rPr>
            <w:rFonts w:ascii="ITC Avant Garde" w:hAnsi="ITC Avant Garde"/>
            <w:sz w:val="20"/>
            <w:szCs w:val="20"/>
          </w:rPr>
          <w:instrText>PAGE   \* MERGEFORMAT</w:instrText>
        </w:r>
        <w:r w:rsidRPr="00C26B2F">
          <w:rPr>
            <w:rFonts w:ascii="ITC Avant Garde" w:hAnsi="ITC Avant Garde"/>
            <w:sz w:val="20"/>
            <w:szCs w:val="20"/>
          </w:rPr>
          <w:fldChar w:fldCharType="separate"/>
        </w:r>
        <w:r w:rsidR="00A5202C" w:rsidRPr="00A5202C">
          <w:rPr>
            <w:rFonts w:ascii="ITC Avant Garde" w:hAnsi="ITC Avant Garde"/>
            <w:noProof/>
            <w:sz w:val="20"/>
            <w:szCs w:val="20"/>
            <w:lang w:val="es-ES"/>
          </w:rPr>
          <w:t>22</w:t>
        </w:r>
        <w:r w:rsidRPr="00C26B2F">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33C7B" w14:textId="77777777" w:rsidR="00873B6A" w:rsidRDefault="00873B6A" w:rsidP="00072BC8">
      <w:pPr>
        <w:spacing w:after="0" w:line="240" w:lineRule="auto"/>
      </w:pPr>
      <w:r>
        <w:separator/>
      </w:r>
    </w:p>
  </w:footnote>
  <w:footnote w:type="continuationSeparator" w:id="0">
    <w:p w14:paraId="3162DC7A" w14:textId="77777777" w:rsidR="00873B6A" w:rsidRDefault="00873B6A"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F7BD8" w14:textId="77777777" w:rsidR="00250088" w:rsidRDefault="00873B6A">
    <w:pPr>
      <w:pStyle w:val="Encabezado"/>
    </w:pPr>
    <w:r>
      <w:rPr>
        <w:noProof/>
        <w:lang w:eastAsia="es-MX"/>
      </w:rPr>
      <w:pict w14:anchorId="59C7B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091AB" w14:textId="77777777" w:rsidR="00250088" w:rsidRPr="000F5E4B" w:rsidRDefault="00873B6A">
    <w:pPr>
      <w:pStyle w:val="Encabezado"/>
      <w:rPr>
        <w:b/>
      </w:rPr>
    </w:pPr>
    <w:r>
      <w:rPr>
        <w:b/>
        <w:noProof/>
        <w:lang w:eastAsia="es-MX"/>
      </w:rPr>
      <w:pict w14:anchorId="5700B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C1C0C"/>
    <w:multiLevelType w:val="hybridMultilevel"/>
    <w:tmpl w:val="78BE980C"/>
    <w:lvl w:ilvl="0" w:tplc="B33A2C8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C8C02E0"/>
    <w:multiLevelType w:val="hybridMultilevel"/>
    <w:tmpl w:val="1A16160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611628"/>
    <w:multiLevelType w:val="hybridMultilevel"/>
    <w:tmpl w:val="85DCBF5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322445"/>
    <w:multiLevelType w:val="hybridMultilevel"/>
    <w:tmpl w:val="468269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2DF13B6C"/>
    <w:multiLevelType w:val="hybridMultilevel"/>
    <w:tmpl w:val="C018F23E"/>
    <w:lvl w:ilvl="0" w:tplc="C9E629A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3337811"/>
    <w:multiLevelType w:val="hybridMultilevel"/>
    <w:tmpl w:val="F1387F6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59D10D5"/>
    <w:multiLevelType w:val="hybridMultilevel"/>
    <w:tmpl w:val="F68274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3" w15:restartNumberingAfterBreak="0">
    <w:nsid w:val="4110470C"/>
    <w:multiLevelType w:val="hybridMultilevel"/>
    <w:tmpl w:val="7E7005FA"/>
    <w:lvl w:ilvl="0" w:tplc="3C807B1C">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42E5202C"/>
    <w:multiLevelType w:val="hybridMultilevel"/>
    <w:tmpl w:val="C2969F08"/>
    <w:lvl w:ilvl="0" w:tplc="A6524AB6">
      <w:start w:val="1"/>
      <w:numFmt w:val="decimal"/>
      <w:lvlText w:val="%1."/>
      <w:lvlJc w:val="left"/>
      <w:pPr>
        <w:ind w:left="720" w:hanging="360"/>
      </w:pPr>
      <w:rPr>
        <w:b/>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7" w15:restartNumberingAfterBreak="0">
    <w:nsid w:val="50353808"/>
    <w:multiLevelType w:val="hybridMultilevel"/>
    <w:tmpl w:val="930006E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8" w15:restartNumberingAfterBreak="0">
    <w:nsid w:val="521839F6"/>
    <w:multiLevelType w:val="hybridMultilevel"/>
    <w:tmpl w:val="3F66A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D7E0399"/>
    <w:multiLevelType w:val="hybridMultilevel"/>
    <w:tmpl w:val="6BCAA62C"/>
    <w:lvl w:ilvl="0" w:tplc="B33A2C8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6120637B"/>
    <w:multiLevelType w:val="hybridMultilevel"/>
    <w:tmpl w:val="2B50FBB6"/>
    <w:lvl w:ilvl="0" w:tplc="125CA09A">
      <w:start w:val="1"/>
      <w:numFmt w:val="upperRoman"/>
      <w:lvlText w:val="%1. "/>
      <w:lvlJc w:val="left"/>
      <w:pPr>
        <w:tabs>
          <w:tab w:val="num" w:pos="567"/>
        </w:tabs>
        <w:ind w:left="567" w:hanging="567"/>
      </w:pPr>
      <w:rPr>
        <w:rFonts w:ascii="Arial" w:hAnsi="Arial" w:hint="default"/>
        <w:b/>
        <w:i w:val="0"/>
        <w:sz w:val="22"/>
        <w:szCs w:val="22"/>
        <w:u w:val="none"/>
      </w:rPr>
    </w:lvl>
    <w:lvl w:ilvl="1" w:tplc="0C0A000F">
      <w:start w:val="1"/>
      <w:numFmt w:val="decimal"/>
      <w:lvlText w:val="%2."/>
      <w:lvlJc w:val="left"/>
      <w:pPr>
        <w:tabs>
          <w:tab w:val="num" w:pos="1440"/>
        </w:tabs>
        <w:ind w:left="1440" w:hanging="360"/>
      </w:pPr>
      <w:rPr>
        <w:rFonts w:hint="default"/>
        <w:b/>
        <w:i w:val="0"/>
        <w:sz w:val="22"/>
        <w:szCs w:val="22"/>
        <w:u w:val="none"/>
      </w:rPr>
    </w:lvl>
    <w:lvl w:ilvl="2" w:tplc="D0AA99A8">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13A301F"/>
    <w:multiLevelType w:val="multilevel"/>
    <w:tmpl w:val="0BAE86C2"/>
    <w:lvl w:ilvl="0">
      <w:start w:val="3"/>
      <w:numFmt w:val="decimal"/>
      <w:lvlText w:val="%1."/>
      <w:lvlJc w:val="left"/>
      <w:pPr>
        <w:ind w:left="360" w:hanging="360"/>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4" w15:restartNumberingAfterBreak="0">
    <w:nsid w:val="69121B5C"/>
    <w:multiLevelType w:val="hybridMultilevel"/>
    <w:tmpl w:val="D624C3E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836699"/>
    <w:multiLevelType w:val="hybridMultilevel"/>
    <w:tmpl w:val="7556FCF4"/>
    <w:lvl w:ilvl="0" w:tplc="4A82CCC2">
      <w:start w:val="1"/>
      <w:numFmt w:val="decimal"/>
      <w:lvlText w:val="%1)"/>
      <w:lvlJc w:val="left"/>
      <w:pPr>
        <w:ind w:left="92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266691"/>
    <w:multiLevelType w:val="hybridMultilevel"/>
    <w:tmpl w:val="1DDE2748"/>
    <w:lvl w:ilvl="0" w:tplc="382C55B2">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2630A21"/>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63E7FB2"/>
    <w:multiLevelType w:val="hybridMultilevel"/>
    <w:tmpl w:val="8CC6192A"/>
    <w:lvl w:ilvl="0" w:tplc="3BFCAF8E">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7645183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6B97626"/>
    <w:multiLevelType w:val="hybridMultilevel"/>
    <w:tmpl w:val="B6DA6DC6"/>
    <w:lvl w:ilvl="0" w:tplc="C9E629A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22"/>
  </w:num>
  <w:num w:numId="3">
    <w:abstractNumId w:val="7"/>
  </w:num>
  <w:num w:numId="4">
    <w:abstractNumId w:val="15"/>
  </w:num>
  <w:num w:numId="5">
    <w:abstractNumId w:val="25"/>
  </w:num>
  <w:num w:numId="6">
    <w:abstractNumId w:val="16"/>
  </w:num>
  <w:num w:numId="7">
    <w:abstractNumId w:val="23"/>
  </w:num>
  <w:num w:numId="8">
    <w:abstractNumId w:val="3"/>
  </w:num>
  <w:num w:numId="9">
    <w:abstractNumId w:val="8"/>
  </w:num>
  <w:num w:numId="10">
    <w:abstractNumId w:val="5"/>
  </w:num>
  <w:num w:numId="11">
    <w:abstractNumId w:val="12"/>
  </w:num>
  <w:num w:numId="12">
    <w:abstractNumId w:val="11"/>
  </w:num>
  <w:num w:numId="13">
    <w:abstractNumId w:val="9"/>
  </w:num>
  <w:num w:numId="14">
    <w:abstractNumId w:val="6"/>
  </w:num>
  <w:num w:numId="15">
    <w:abstractNumId w:val="24"/>
  </w:num>
  <w:num w:numId="16">
    <w:abstractNumId w:val="1"/>
  </w:num>
  <w:num w:numId="17">
    <w:abstractNumId w:val="20"/>
  </w:num>
  <w:num w:numId="18">
    <w:abstractNumId w:val="2"/>
  </w:num>
  <w:num w:numId="19">
    <w:abstractNumId w:val="13"/>
  </w:num>
  <w:num w:numId="20">
    <w:abstractNumId w:val="27"/>
  </w:num>
  <w:num w:numId="21">
    <w:abstractNumId w:val="21"/>
  </w:num>
  <w:num w:numId="22">
    <w:abstractNumId w:val="18"/>
  </w:num>
  <w:num w:numId="23">
    <w:abstractNumId w:val="28"/>
  </w:num>
  <w:num w:numId="24">
    <w:abstractNumId w:val="30"/>
  </w:num>
  <w:num w:numId="25">
    <w:abstractNumId w:val="31"/>
  </w:num>
  <w:num w:numId="26">
    <w:abstractNumId w:val="0"/>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9"/>
  </w:num>
  <w:num w:numId="30">
    <w:abstractNumId w:val="26"/>
  </w:num>
  <w:num w:numId="31">
    <w:abstractNumId w:val="14"/>
  </w:num>
  <w:num w:numId="32">
    <w:abstractNumId w:val="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778"/>
    <w:rsid w:val="0000341D"/>
    <w:rsid w:val="00004279"/>
    <w:rsid w:val="00007B4B"/>
    <w:rsid w:val="00010EFF"/>
    <w:rsid w:val="000116D0"/>
    <w:rsid w:val="00011FCA"/>
    <w:rsid w:val="00013E26"/>
    <w:rsid w:val="00014EFF"/>
    <w:rsid w:val="000154B0"/>
    <w:rsid w:val="000167EA"/>
    <w:rsid w:val="000173C1"/>
    <w:rsid w:val="00020418"/>
    <w:rsid w:val="00022A8C"/>
    <w:rsid w:val="00024CAC"/>
    <w:rsid w:val="00024D9A"/>
    <w:rsid w:val="00024F70"/>
    <w:rsid w:val="00031312"/>
    <w:rsid w:val="00036C1D"/>
    <w:rsid w:val="00036EDA"/>
    <w:rsid w:val="00037344"/>
    <w:rsid w:val="00037D31"/>
    <w:rsid w:val="00042A05"/>
    <w:rsid w:val="00042CB6"/>
    <w:rsid w:val="00043043"/>
    <w:rsid w:val="0004385A"/>
    <w:rsid w:val="000446B8"/>
    <w:rsid w:val="000448E7"/>
    <w:rsid w:val="00045D66"/>
    <w:rsid w:val="000470AD"/>
    <w:rsid w:val="000500D9"/>
    <w:rsid w:val="00051A61"/>
    <w:rsid w:val="00052F16"/>
    <w:rsid w:val="0005470B"/>
    <w:rsid w:val="00056740"/>
    <w:rsid w:val="000606F7"/>
    <w:rsid w:val="00060A9A"/>
    <w:rsid w:val="00060F71"/>
    <w:rsid w:val="00061EB1"/>
    <w:rsid w:val="00062519"/>
    <w:rsid w:val="00062880"/>
    <w:rsid w:val="00062C40"/>
    <w:rsid w:val="00066C6A"/>
    <w:rsid w:val="000710EC"/>
    <w:rsid w:val="00071BED"/>
    <w:rsid w:val="000720FE"/>
    <w:rsid w:val="00072221"/>
    <w:rsid w:val="000722FE"/>
    <w:rsid w:val="00072BC8"/>
    <w:rsid w:val="00072D11"/>
    <w:rsid w:val="00073424"/>
    <w:rsid w:val="0007410C"/>
    <w:rsid w:val="00074819"/>
    <w:rsid w:val="00074C09"/>
    <w:rsid w:val="00074CC5"/>
    <w:rsid w:val="00075AC0"/>
    <w:rsid w:val="000762F0"/>
    <w:rsid w:val="00077572"/>
    <w:rsid w:val="000776CA"/>
    <w:rsid w:val="00077BAD"/>
    <w:rsid w:val="000810E9"/>
    <w:rsid w:val="0008187B"/>
    <w:rsid w:val="0008279F"/>
    <w:rsid w:val="000837C7"/>
    <w:rsid w:val="00085181"/>
    <w:rsid w:val="00087676"/>
    <w:rsid w:val="0009112F"/>
    <w:rsid w:val="000922C3"/>
    <w:rsid w:val="00093A0F"/>
    <w:rsid w:val="000957A0"/>
    <w:rsid w:val="00095BA4"/>
    <w:rsid w:val="000A017B"/>
    <w:rsid w:val="000A22CB"/>
    <w:rsid w:val="000A3973"/>
    <w:rsid w:val="000A3E65"/>
    <w:rsid w:val="000A7474"/>
    <w:rsid w:val="000B0454"/>
    <w:rsid w:val="000B0A2E"/>
    <w:rsid w:val="000B109B"/>
    <w:rsid w:val="000B1B50"/>
    <w:rsid w:val="000B2585"/>
    <w:rsid w:val="000B67C5"/>
    <w:rsid w:val="000B7524"/>
    <w:rsid w:val="000B7A68"/>
    <w:rsid w:val="000B7FD1"/>
    <w:rsid w:val="000C0163"/>
    <w:rsid w:val="000C25A2"/>
    <w:rsid w:val="000C39A1"/>
    <w:rsid w:val="000C474A"/>
    <w:rsid w:val="000C4C55"/>
    <w:rsid w:val="000C5148"/>
    <w:rsid w:val="000C5721"/>
    <w:rsid w:val="000C75AA"/>
    <w:rsid w:val="000D18E4"/>
    <w:rsid w:val="000D35A2"/>
    <w:rsid w:val="000D4018"/>
    <w:rsid w:val="000D4A5A"/>
    <w:rsid w:val="000D58BE"/>
    <w:rsid w:val="000D7634"/>
    <w:rsid w:val="000E1AED"/>
    <w:rsid w:val="000E1E55"/>
    <w:rsid w:val="000E23FE"/>
    <w:rsid w:val="000E28CD"/>
    <w:rsid w:val="000E3ABA"/>
    <w:rsid w:val="000F1106"/>
    <w:rsid w:val="000F17CF"/>
    <w:rsid w:val="000F4D94"/>
    <w:rsid w:val="000F4E85"/>
    <w:rsid w:val="000F5E4B"/>
    <w:rsid w:val="001007D0"/>
    <w:rsid w:val="00100DE3"/>
    <w:rsid w:val="0010438C"/>
    <w:rsid w:val="0010459A"/>
    <w:rsid w:val="00105433"/>
    <w:rsid w:val="001058B6"/>
    <w:rsid w:val="00106523"/>
    <w:rsid w:val="00107E37"/>
    <w:rsid w:val="0011057F"/>
    <w:rsid w:val="00111B1E"/>
    <w:rsid w:val="0011234A"/>
    <w:rsid w:val="00112517"/>
    <w:rsid w:val="00112C0E"/>
    <w:rsid w:val="0011493D"/>
    <w:rsid w:val="00115714"/>
    <w:rsid w:val="00115778"/>
    <w:rsid w:val="00115FE9"/>
    <w:rsid w:val="00120884"/>
    <w:rsid w:val="0012166F"/>
    <w:rsid w:val="001257DC"/>
    <w:rsid w:val="0012679A"/>
    <w:rsid w:val="001269DF"/>
    <w:rsid w:val="00127477"/>
    <w:rsid w:val="001314A5"/>
    <w:rsid w:val="00131A13"/>
    <w:rsid w:val="00132547"/>
    <w:rsid w:val="00133FC9"/>
    <w:rsid w:val="00134D4D"/>
    <w:rsid w:val="00135D0A"/>
    <w:rsid w:val="00136C0E"/>
    <w:rsid w:val="00137104"/>
    <w:rsid w:val="0014042D"/>
    <w:rsid w:val="00140AB2"/>
    <w:rsid w:val="001410D1"/>
    <w:rsid w:val="00141660"/>
    <w:rsid w:val="00141963"/>
    <w:rsid w:val="00141968"/>
    <w:rsid w:val="001425EA"/>
    <w:rsid w:val="00144765"/>
    <w:rsid w:val="001456FB"/>
    <w:rsid w:val="00146C0E"/>
    <w:rsid w:val="0014766B"/>
    <w:rsid w:val="00147884"/>
    <w:rsid w:val="00147968"/>
    <w:rsid w:val="00151C5F"/>
    <w:rsid w:val="0015321B"/>
    <w:rsid w:val="00153356"/>
    <w:rsid w:val="00156BE9"/>
    <w:rsid w:val="00161E26"/>
    <w:rsid w:val="0016433F"/>
    <w:rsid w:val="0016577A"/>
    <w:rsid w:val="00166285"/>
    <w:rsid w:val="001666A3"/>
    <w:rsid w:val="0017019A"/>
    <w:rsid w:val="00170967"/>
    <w:rsid w:val="0017142F"/>
    <w:rsid w:val="0017258E"/>
    <w:rsid w:val="0017747C"/>
    <w:rsid w:val="001807A1"/>
    <w:rsid w:val="00180C08"/>
    <w:rsid w:val="00181018"/>
    <w:rsid w:val="0018125B"/>
    <w:rsid w:val="00181A19"/>
    <w:rsid w:val="00181BE0"/>
    <w:rsid w:val="0018572D"/>
    <w:rsid w:val="001872EA"/>
    <w:rsid w:val="0018774E"/>
    <w:rsid w:val="001906E9"/>
    <w:rsid w:val="00192FE0"/>
    <w:rsid w:val="00193FA8"/>
    <w:rsid w:val="00194699"/>
    <w:rsid w:val="00194C7F"/>
    <w:rsid w:val="00195BEF"/>
    <w:rsid w:val="001965B6"/>
    <w:rsid w:val="001A1C52"/>
    <w:rsid w:val="001A3049"/>
    <w:rsid w:val="001A58D7"/>
    <w:rsid w:val="001A64C7"/>
    <w:rsid w:val="001A686F"/>
    <w:rsid w:val="001A6B6F"/>
    <w:rsid w:val="001A786E"/>
    <w:rsid w:val="001B08A9"/>
    <w:rsid w:val="001B0F1F"/>
    <w:rsid w:val="001B12B0"/>
    <w:rsid w:val="001B20ED"/>
    <w:rsid w:val="001B28FC"/>
    <w:rsid w:val="001B447A"/>
    <w:rsid w:val="001B4696"/>
    <w:rsid w:val="001B585E"/>
    <w:rsid w:val="001B58A1"/>
    <w:rsid w:val="001C085E"/>
    <w:rsid w:val="001C095D"/>
    <w:rsid w:val="001C15FF"/>
    <w:rsid w:val="001C195A"/>
    <w:rsid w:val="001C3820"/>
    <w:rsid w:val="001C42BD"/>
    <w:rsid w:val="001C5C6E"/>
    <w:rsid w:val="001C602E"/>
    <w:rsid w:val="001C65F0"/>
    <w:rsid w:val="001C71A8"/>
    <w:rsid w:val="001D012D"/>
    <w:rsid w:val="001D2B0C"/>
    <w:rsid w:val="001D2D9D"/>
    <w:rsid w:val="001D48C6"/>
    <w:rsid w:val="001D4B81"/>
    <w:rsid w:val="001D54C4"/>
    <w:rsid w:val="001E10A0"/>
    <w:rsid w:val="001E1A00"/>
    <w:rsid w:val="001E285C"/>
    <w:rsid w:val="001E602E"/>
    <w:rsid w:val="001E7872"/>
    <w:rsid w:val="001F0562"/>
    <w:rsid w:val="001F0A47"/>
    <w:rsid w:val="001F119D"/>
    <w:rsid w:val="001F1DB1"/>
    <w:rsid w:val="001F1FF7"/>
    <w:rsid w:val="001F4A20"/>
    <w:rsid w:val="001F4FB8"/>
    <w:rsid w:val="001F5873"/>
    <w:rsid w:val="001F631A"/>
    <w:rsid w:val="002009C7"/>
    <w:rsid w:val="00202E7B"/>
    <w:rsid w:val="00214376"/>
    <w:rsid w:val="00216619"/>
    <w:rsid w:val="002176C8"/>
    <w:rsid w:val="002206B8"/>
    <w:rsid w:val="00221568"/>
    <w:rsid w:val="002236E5"/>
    <w:rsid w:val="00224164"/>
    <w:rsid w:val="00224AFA"/>
    <w:rsid w:val="0022561C"/>
    <w:rsid w:val="00226F42"/>
    <w:rsid w:val="0022735C"/>
    <w:rsid w:val="0022796A"/>
    <w:rsid w:val="002315C3"/>
    <w:rsid w:val="00232C2A"/>
    <w:rsid w:val="00235124"/>
    <w:rsid w:val="0023752B"/>
    <w:rsid w:val="0024209B"/>
    <w:rsid w:val="00242466"/>
    <w:rsid w:val="0024363C"/>
    <w:rsid w:val="00243BFB"/>
    <w:rsid w:val="002441DD"/>
    <w:rsid w:val="002450D7"/>
    <w:rsid w:val="00245BED"/>
    <w:rsid w:val="00245FA9"/>
    <w:rsid w:val="002469E8"/>
    <w:rsid w:val="00247FA5"/>
    <w:rsid w:val="00250088"/>
    <w:rsid w:val="0025080B"/>
    <w:rsid w:val="00252EB7"/>
    <w:rsid w:val="00254051"/>
    <w:rsid w:val="00255122"/>
    <w:rsid w:val="0025525F"/>
    <w:rsid w:val="0025794B"/>
    <w:rsid w:val="00257DE1"/>
    <w:rsid w:val="00260446"/>
    <w:rsid w:val="0026157E"/>
    <w:rsid w:val="00261929"/>
    <w:rsid w:val="002636E5"/>
    <w:rsid w:val="00264B68"/>
    <w:rsid w:val="002656A1"/>
    <w:rsid w:val="002660A4"/>
    <w:rsid w:val="00266695"/>
    <w:rsid w:val="002722E2"/>
    <w:rsid w:val="002729A9"/>
    <w:rsid w:val="00273146"/>
    <w:rsid w:val="002731B7"/>
    <w:rsid w:val="00273931"/>
    <w:rsid w:val="0027444E"/>
    <w:rsid w:val="002744EC"/>
    <w:rsid w:val="0027565E"/>
    <w:rsid w:val="00276D2C"/>
    <w:rsid w:val="00277232"/>
    <w:rsid w:val="002779D1"/>
    <w:rsid w:val="00277BFB"/>
    <w:rsid w:val="00281968"/>
    <w:rsid w:val="00286D88"/>
    <w:rsid w:val="00287CBF"/>
    <w:rsid w:val="00287CF9"/>
    <w:rsid w:val="002915DF"/>
    <w:rsid w:val="0029348C"/>
    <w:rsid w:val="00295C81"/>
    <w:rsid w:val="00296457"/>
    <w:rsid w:val="002A09D2"/>
    <w:rsid w:val="002A0AB3"/>
    <w:rsid w:val="002A1034"/>
    <w:rsid w:val="002A2EBC"/>
    <w:rsid w:val="002A46D7"/>
    <w:rsid w:val="002A489F"/>
    <w:rsid w:val="002A67FD"/>
    <w:rsid w:val="002B01FD"/>
    <w:rsid w:val="002B0869"/>
    <w:rsid w:val="002B35AD"/>
    <w:rsid w:val="002B6CB6"/>
    <w:rsid w:val="002C1063"/>
    <w:rsid w:val="002C1F3A"/>
    <w:rsid w:val="002C289B"/>
    <w:rsid w:val="002C3B54"/>
    <w:rsid w:val="002C3C33"/>
    <w:rsid w:val="002C4AE5"/>
    <w:rsid w:val="002C5635"/>
    <w:rsid w:val="002C58DA"/>
    <w:rsid w:val="002C5CA3"/>
    <w:rsid w:val="002C5D31"/>
    <w:rsid w:val="002C6AB9"/>
    <w:rsid w:val="002D0348"/>
    <w:rsid w:val="002D0F52"/>
    <w:rsid w:val="002D25FD"/>
    <w:rsid w:val="002D287C"/>
    <w:rsid w:val="002D2960"/>
    <w:rsid w:val="002D3E30"/>
    <w:rsid w:val="002D4852"/>
    <w:rsid w:val="002D52BD"/>
    <w:rsid w:val="002D5567"/>
    <w:rsid w:val="002D5764"/>
    <w:rsid w:val="002D7530"/>
    <w:rsid w:val="002D7BF7"/>
    <w:rsid w:val="002E0045"/>
    <w:rsid w:val="002E04EA"/>
    <w:rsid w:val="002E05A2"/>
    <w:rsid w:val="002E1806"/>
    <w:rsid w:val="002E329B"/>
    <w:rsid w:val="002E42D5"/>
    <w:rsid w:val="002E454A"/>
    <w:rsid w:val="002E4A09"/>
    <w:rsid w:val="002E5CDC"/>
    <w:rsid w:val="002E79FF"/>
    <w:rsid w:val="002E7CD2"/>
    <w:rsid w:val="002F038E"/>
    <w:rsid w:val="002F0480"/>
    <w:rsid w:val="002F0C17"/>
    <w:rsid w:val="002F12FC"/>
    <w:rsid w:val="002F25C6"/>
    <w:rsid w:val="002F594E"/>
    <w:rsid w:val="002F7C3B"/>
    <w:rsid w:val="003034B1"/>
    <w:rsid w:val="003043AE"/>
    <w:rsid w:val="003050F2"/>
    <w:rsid w:val="003072A9"/>
    <w:rsid w:val="003111C5"/>
    <w:rsid w:val="003120FF"/>
    <w:rsid w:val="003121AE"/>
    <w:rsid w:val="0031471C"/>
    <w:rsid w:val="00315BCE"/>
    <w:rsid w:val="003169F4"/>
    <w:rsid w:val="00316CE1"/>
    <w:rsid w:val="00317953"/>
    <w:rsid w:val="00322283"/>
    <w:rsid w:val="0032230F"/>
    <w:rsid w:val="0032755C"/>
    <w:rsid w:val="00327C9C"/>
    <w:rsid w:val="00327D25"/>
    <w:rsid w:val="00331D65"/>
    <w:rsid w:val="00332F91"/>
    <w:rsid w:val="003335A6"/>
    <w:rsid w:val="003335D9"/>
    <w:rsid w:val="00333CF9"/>
    <w:rsid w:val="003349D8"/>
    <w:rsid w:val="00335F51"/>
    <w:rsid w:val="00336853"/>
    <w:rsid w:val="00340AF0"/>
    <w:rsid w:val="00340EC1"/>
    <w:rsid w:val="00341067"/>
    <w:rsid w:val="00342442"/>
    <w:rsid w:val="00345EE1"/>
    <w:rsid w:val="003465D8"/>
    <w:rsid w:val="00346A8A"/>
    <w:rsid w:val="0035082B"/>
    <w:rsid w:val="00350911"/>
    <w:rsid w:val="00351C23"/>
    <w:rsid w:val="00353CD8"/>
    <w:rsid w:val="003555E9"/>
    <w:rsid w:val="00356156"/>
    <w:rsid w:val="0036074A"/>
    <w:rsid w:val="00363D3F"/>
    <w:rsid w:val="00366BFA"/>
    <w:rsid w:val="00371021"/>
    <w:rsid w:val="00372386"/>
    <w:rsid w:val="003737C1"/>
    <w:rsid w:val="003753ED"/>
    <w:rsid w:val="0037579C"/>
    <w:rsid w:val="003757DC"/>
    <w:rsid w:val="00376CF0"/>
    <w:rsid w:val="00377FA2"/>
    <w:rsid w:val="00384C61"/>
    <w:rsid w:val="00385C0C"/>
    <w:rsid w:val="003874FD"/>
    <w:rsid w:val="00387901"/>
    <w:rsid w:val="00387BAB"/>
    <w:rsid w:val="0039032C"/>
    <w:rsid w:val="00390951"/>
    <w:rsid w:val="00390C9D"/>
    <w:rsid w:val="003919D8"/>
    <w:rsid w:val="00393426"/>
    <w:rsid w:val="0039474E"/>
    <w:rsid w:val="00397C91"/>
    <w:rsid w:val="003A19FB"/>
    <w:rsid w:val="003A1B0D"/>
    <w:rsid w:val="003A2500"/>
    <w:rsid w:val="003A3427"/>
    <w:rsid w:val="003A3B1D"/>
    <w:rsid w:val="003A4A66"/>
    <w:rsid w:val="003B0705"/>
    <w:rsid w:val="003B173B"/>
    <w:rsid w:val="003B22D6"/>
    <w:rsid w:val="003B4CD6"/>
    <w:rsid w:val="003C0B7A"/>
    <w:rsid w:val="003C1ABB"/>
    <w:rsid w:val="003C1DCD"/>
    <w:rsid w:val="003C29D1"/>
    <w:rsid w:val="003C3A0D"/>
    <w:rsid w:val="003C42A3"/>
    <w:rsid w:val="003C5243"/>
    <w:rsid w:val="003D0457"/>
    <w:rsid w:val="003D1862"/>
    <w:rsid w:val="003D3436"/>
    <w:rsid w:val="003D5A77"/>
    <w:rsid w:val="003D6094"/>
    <w:rsid w:val="003D71AB"/>
    <w:rsid w:val="003E0885"/>
    <w:rsid w:val="003E1393"/>
    <w:rsid w:val="003E2C9E"/>
    <w:rsid w:val="003E4054"/>
    <w:rsid w:val="003E4F3A"/>
    <w:rsid w:val="003E5B75"/>
    <w:rsid w:val="003E5D06"/>
    <w:rsid w:val="003E7497"/>
    <w:rsid w:val="003F18FC"/>
    <w:rsid w:val="003F3844"/>
    <w:rsid w:val="003F530D"/>
    <w:rsid w:val="003F6DC0"/>
    <w:rsid w:val="003F7510"/>
    <w:rsid w:val="003F7923"/>
    <w:rsid w:val="00402C2A"/>
    <w:rsid w:val="00403E5C"/>
    <w:rsid w:val="0040643B"/>
    <w:rsid w:val="0041039A"/>
    <w:rsid w:val="004109E0"/>
    <w:rsid w:val="00413DB4"/>
    <w:rsid w:val="00414E02"/>
    <w:rsid w:val="00415E0A"/>
    <w:rsid w:val="00417E0A"/>
    <w:rsid w:val="00420FA3"/>
    <w:rsid w:val="00422D4B"/>
    <w:rsid w:val="00426613"/>
    <w:rsid w:val="0042731F"/>
    <w:rsid w:val="00427C38"/>
    <w:rsid w:val="00433AC8"/>
    <w:rsid w:val="00437AC6"/>
    <w:rsid w:val="00437FCD"/>
    <w:rsid w:val="004424A1"/>
    <w:rsid w:val="00443F29"/>
    <w:rsid w:val="00444B1E"/>
    <w:rsid w:val="00446853"/>
    <w:rsid w:val="00446858"/>
    <w:rsid w:val="0045021A"/>
    <w:rsid w:val="00450A26"/>
    <w:rsid w:val="00450DC0"/>
    <w:rsid w:val="00450DFF"/>
    <w:rsid w:val="00453E39"/>
    <w:rsid w:val="004549BA"/>
    <w:rsid w:val="00454A27"/>
    <w:rsid w:val="00456064"/>
    <w:rsid w:val="00456B81"/>
    <w:rsid w:val="00457628"/>
    <w:rsid w:val="00461DE8"/>
    <w:rsid w:val="00462384"/>
    <w:rsid w:val="00464F8B"/>
    <w:rsid w:val="004656C3"/>
    <w:rsid w:val="004670BB"/>
    <w:rsid w:val="00467CE4"/>
    <w:rsid w:val="0047205F"/>
    <w:rsid w:val="004736E3"/>
    <w:rsid w:val="00476364"/>
    <w:rsid w:val="00482347"/>
    <w:rsid w:val="004846DB"/>
    <w:rsid w:val="004848FF"/>
    <w:rsid w:val="00485999"/>
    <w:rsid w:val="004951FB"/>
    <w:rsid w:val="00495CA6"/>
    <w:rsid w:val="00497BA5"/>
    <w:rsid w:val="004A393C"/>
    <w:rsid w:val="004A42F2"/>
    <w:rsid w:val="004B08AA"/>
    <w:rsid w:val="004B13B5"/>
    <w:rsid w:val="004B2E9E"/>
    <w:rsid w:val="004B323F"/>
    <w:rsid w:val="004B569E"/>
    <w:rsid w:val="004B56B1"/>
    <w:rsid w:val="004B6061"/>
    <w:rsid w:val="004B7836"/>
    <w:rsid w:val="004C00EE"/>
    <w:rsid w:val="004C0C2D"/>
    <w:rsid w:val="004C0E44"/>
    <w:rsid w:val="004C0EE0"/>
    <w:rsid w:val="004C1F47"/>
    <w:rsid w:val="004C249C"/>
    <w:rsid w:val="004C2593"/>
    <w:rsid w:val="004C39E3"/>
    <w:rsid w:val="004C3E47"/>
    <w:rsid w:val="004C6E2F"/>
    <w:rsid w:val="004C7706"/>
    <w:rsid w:val="004D3C9A"/>
    <w:rsid w:val="004D3F86"/>
    <w:rsid w:val="004D5F6E"/>
    <w:rsid w:val="004D7684"/>
    <w:rsid w:val="004E15EF"/>
    <w:rsid w:val="004E6FB3"/>
    <w:rsid w:val="004F1332"/>
    <w:rsid w:val="004F3BC4"/>
    <w:rsid w:val="004F4E8E"/>
    <w:rsid w:val="004F543D"/>
    <w:rsid w:val="004F5813"/>
    <w:rsid w:val="004F6E26"/>
    <w:rsid w:val="0050163C"/>
    <w:rsid w:val="00502893"/>
    <w:rsid w:val="00504144"/>
    <w:rsid w:val="00504517"/>
    <w:rsid w:val="00504FF0"/>
    <w:rsid w:val="00505D4F"/>
    <w:rsid w:val="005062A1"/>
    <w:rsid w:val="0050714D"/>
    <w:rsid w:val="005101FD"/>
    <w:rsid w:val="00511A1F"/>
    <w:rsid w:val="0051297F"/>
    <w:rsid w:val="0051488F"/>
    <w:rsid w:val="00515200"/>
    <w:rsid w:val="005168B4"/>
    <w:rsid w:val="0052048E"/>
    <w:rsid w:val="0052115B"/>
    <w:rsid w:val="00521504"/>
    <w:rsid w:val="00524A03"/>
    <w:rsid w:val="00525EB2"/>
    <w:rsid w:val="00530F3C"/>
    <w:rsid w:val="00531726"/>
    <w:rsid w:val="00531873"/>
    <w:rsid w:val="005327DB"/>
    <w:rsid w:val="005337FA"/>
    <w:rsid w:val="00535BB2"/>
    <w:rsid w:val="00535FB9"/>
    <w:rsid w:val="00536755"/>
    <w:rsid w:val="005368B0"/>
    <w:rsid w:val="005375DB"/>
    <w:rsid w:val="0054002F"/>
    <w:rsid w:val="00541094"/>
    <w:rsid w:val="00542B97"/>
    <w:rsid w:val="00543424"/>
    <w:rsid w:val="00543F7C"/>
    <w:rsid w:val="00546C80"/>
    <w:rsid w:val="005501EF"/>
    <w:rsid w:val="005504BB"/>
    <w:rsid w:val="005507CC"/>
    <w:rsid w:val="00551A3D"/>
    <w:rsid w:val="00551B7F"/>
    <w:rsid w:val="00554367"/>
    <w:rsid w:val="0055497B"/>
    <w:rsid w:val="00557281"/>
    <w:rsid w:val="00560095"/>
    <w:rsid w:val="00560794"/>
    <w:rsid w:val="005608D0"/>
    <w:rsid w:val="00560B40"/>
    <w:rsid w:val="005610A1"/>
    <w:rsid w:val="005620B4"/>
    <w:rsid w:val="0056245E"/>
    <w:rsid w:val="00563E87"/>
    <w:rsid w:val="00565DCB"/>
    <w:rsid w:val="00565FD0"/>
    <w:rsid w:val="00565FFA"/>
    <w:rsid w:val="005675E7"/>
    <w:rsid w:val="00572A65"/>
    <w:rsid w:val="005770BA"/>
    <w:rsid w:val="00577A20"/>
    <w:rsid w:val="005820E9"/>
    <w:rsid w:val="005821E2"/>
    <w:rsid w:val="0058313B"/>
    <w:rsid w:val="005838BF"/>
    <w:rsid w:val="005840B5"/>
    <w:rsid w:val="005840CB"/>
    <w:rsid w:val="00584E1B"/>
    <w:rsid w:val="00587D42"/>
    <w:rsid w:val="005903DD"/>
    <w:rsid w:val="005920AE"/>
    <w:rsid w:val="00592261"/>
    <w:rsid w:val="00592C16"/>
    <w:rsid w:val="00593377"/>
    <w:rsid w:val="00594CC9"/>
    <w:rsid w:val="00596E95"/>
    <w:rsid w:val="005978CC"/>
    <w:rsid w:val="005A05FB"/>
    <w:rsid w:val="005A18F4"/>
    <w:rsid w:val="005A1FD9"/>
    <w:rsid w:val="005A3548"/>
    <w:rsid w:val="005A5075"/>
    <w:rsid w:val="005A5361"/>
    <w:rsid w:val="005A5FC3"/>
    <w:rsid w:val="005A65A6"/>
    <w:rsid w:val="005B04D3"/>
    <w:rsid w:val="005B0C52"/>
    <w:rsid w:val="005B2153"/>
    <w:rsid w:val="005B29A7"/>
    <w:rsid w:val="005B4911"/>
    <w:rsid w:val="005B5EEC"/>
    <w:rsid w:val="005B782D"/>
    <w:rsid w:val="005C086D"/>
    <w:rsid w:val="005C4659"/>
    <w:rsid w:val="005C48B6"/>
    <w:rsid w:val="005C5762"/>
    <w:rsid w:val="005D0B5B"/>
    <w:rsid w:val="005D0F2D"/>
    <w:rsid w:val="005D16B2"/>
    <w:rsid w:val="005D4A72"/>
    <w:rsid w:val="005D5797"/>
    <w:rsid w:val="005D7D7C"/>
    <w:rsid w:val="005E06F8"/>
    <w:rsid w:val="005E164A"/>
    <w:rsid w:val="005E181D"/>
    <w:rsid w:val="005E3168"/>
    <w:rsid w:val="005E4149"/>
    <w:rsid w:val="005E462B"/>
    <w:rsid w:val="005E46F7"/>
    <w:rsid w:val="005E53C4"/>
    <w:rsid w:val="005E7C39"/>
    <w:rsid w:val="005F0B7A"/>
    <w:rsid w:val="005F2A3E"/>
    <w:rsid w:val="005F344E"/>
    <w:rsid w:val="005F48E4"/>
    <w:rsid w:val="005F5AE5"/>
    <w:rsid w:val="005F5B4B"/>
    <w:rsid w:val="005F5E35"/>
    <w:rsid w:val="005F6383"/>
    <w:rsid w:val="005F64A1"/>
    <w:rsid w:val="005F7BA9"/>
    <w:rsid w:val="005F7F43"/>
    <w:rsid w:val="0060253D"/>
    <w:rsid w:val="00603288"/>
    <w:rsid w:val="006037DA"/>
    <w:rsid w:val="0060511C"/>
    <w:rsid w:val="00605B78"/>
    <w:rsid w:val="00610A7F"/>
    <w:rsid w:val="00611E91"/>
    <w:rsid w:val="00612D3D"/>
    <w:rsid w:val="00613C05"/>
    <w:rsid w:val="00617E52"/>
    <w:rsid w:val="00620908"/>
    <w:rsid w:val="0062270B"/>
    <w:rsid w:val="00622DAF"/>
    <w:rsid w:val="00623448"/>
    <w:rsid w:val="0062407C"/>
    <w:rsid w:val="00626C94"/>
    <w:rsid w:val="0062753D"/>
    <w:rsid w:val="006305D5"/>
    <w:rsid w:val="00630EAC"/>
    <w:rsid w:val="00631ACE"/>
    <w:rsid w:val="00632357"/>
    <w:rsid w:val="00636AA4"/>
    <w:rsid w:val="00636E5E"/>
    <w:rsid w:val="00642ADF"/>
    <w:rsid w:val="00644702"/>
    <w:rsid w:val="00644755"/>
    <w:rsid w:val="0064498D"/>
    <w:rsid w:val="00644C49"/>
    <w:rsid w:val="00645091"/>
    <w:rsid w:val="006453F9"/>
    <w:rsid w:val="0064560F"/>
    <w:rsid w:val="00646579"/>
    <w:rsid w:val="0065111D"/>
    <w:rsid w:val="00651669"/>
    <w:rsid w:val="006527CB"/>
    <w:rsid w:val="006529AD"/>
    <w:rsid w:val="00654B24"/>
    <w:rsid w:val="00656CBD"/>
    <w:rsid w:val="0066343C"/>
    <w:rsid w:val="00663A56"/>
    <w:rsid w:val="00665199"/>
    <w:rsid w:val="00665233"/>
    <w:rsid w:val="00665C06"/>
    <w:rsid w:val="00666623"/>
    <w:rsid w:val="00666A2D"/>
    <w:rsid w:val="006724D5"/>
    <w:rsid w:val="0067323D"/>
    <w:rsid w:val="00674E5F"/>
    <w:rsid w:val="00675E1A"/>
    <w:rsid w:val="00676E68"/>
    <w:rsid w:val="0067717E"/>
    <w:rsid w:val="00677892"/>
    <w:rsid w:val="00680A28"/>
    <w:rsid w:val="00682FD5"/>
    <w:rsid w:val="0068326B"/>
    <w:rsid w:val="0068412C"/>
    <w:rsid w:val="006849DA"/>
    <w:rsid w:val="00685BDB"/>
    <w:rsid w:val="006864AD"/>
    <w:rsid w:val="0068724B"/>
    <w:rsid w:val="00687F49"/>
    <w:rsid w:val="006902A6"/>
    <w:rsid w:val="006913C2"/>
    <w:rsid w:val="00692E47"/>
    <w:rsid w:val="00693A1B"/>
    <w:rsid w:val="006940DA"/>
    <w:rsid w:val="00695BCB"/>
    <w:rsid w:val="00696B1B"/>
    <w:rsid w:val="00696B25"/>
    <w:rsid w:val="00696C48"/>
    <w:rsid w:val="006970D0"/>
    <w:rsid w:val="006A0631"/>
    <w:rsid w:val="006A0914"/>
    <w:rsid w:val="006A1233"/>
    <w:rsid w:val="006A210B"/>
    <w:rsid w:val="006A26FC"/>
    <w:rsid w:val="006A38B1"/>
    <w:rsid w:val="006A3DE6"/>
    <w:rsid w:val="006A40BE"/>
    <w:rsid w:val="006A6D0D"/>
    <w:rsid w:val="006B0B48"/>
    <w:rsid w:val="006B1803"/>
    <w:rsid w:val="006B191F"/>
    <w:rsid w:val="006B4376"/>
    <w:rsid w:val="006B48B1"/>
    <w:rsid w:val="006B4A7F"/>
    <w:rsid w:val="006B557B"/>
    <w:rsid w:val="006B72B8"/>
    <w:rsid w:val="006B774B"/>
    <w:rsid w:val="006C06E1"/>
    <w:rsid w:val="006C2075"/>
    <w:rsid w:val="006C3490"/>
    <w:rsid w:val="006C37D1"/>
    <w:rsid w:val="006C416C"/>
    <w:rsid w:val="006C61CE"/>
    <w:rsid w:val="006C6B66"/>
    <w:rsid w:val="006C7626"/>
    <w:rsid w:val="006D19C1"/>
    <w:rsid w:val="006D1D70"/>
    <w:rsid w:val="006D21C8"/>
    <w:rsid w:val="006D4B48"/>
    <w:rsid w:val="006D5FE8"/>
    <w:rsid w:val="006D6924"/>
    <w:rsid w:val="006D7EA1"/>
    <w:rsid w:val="006E21DC"/>
    <w:rsid w:val="006E2E56"/>
    <w:rsid w:val="006E369D"/>
    <w:rsid w:val="006E3700"/>
    <w:rsid w:val="006E381A"/>
    <w:rsid w:val="006E465B"/>
    <w:rsid w:val="006E5C73"/>
    <w:rsid w:val="006E60AA"/>
    <w:rsid w:val="006E67A9"/>
    <w:rsid w:val="006F07EF"/>
    <w:rsid w:val="006F1048"/>
    <w:rsid w:val="006F1FC2"/>
    <w:rsid w:val="006F21D8"/>
    <w:rsid w:val="006F5F1D"/>
    <w:rsid w:val="00700188"/>
    <w:rsid w:val="007012A4"/>
    <w:rsid w:val="0070234A"/>
    <w:rsid w:val="007045CB"/>
    <w:rsid w:val="0070478F"/>
    <w:rsid w:val="00704DFA"/>
    <w:rsid w:val="0070796B"/>
    <w:rsid w:val="0071048A"/>
    <w:rsid w:val="007109E2"/>
    <w:rsid w:val="00711548"/>
    <w:rsid w:val="0071165B"/>
    <w:rsid w:val="00712778"/>
    <w:rsid w:val="007131E1"/>
    <w:rsid w:val="00714A17"/>
    <w:rsid w:val="0071544C"/>
    <w:rsid w:val="00716AE9"/>
    <w:rsid w:val="00717446"/>
    <w:rsid w:val="0072029C"/>
    <w:rsid w:val="0072207F"/>
    <w:rsid w:val="00724197"/>
    <w:rsid w:val="00724EAA"/>
    <w:rsid w:val="00725720"/>
    <w:rsid w:val="00731CB7"/>
    <w:rsid w:val="00732711"/>
    <w:rsid w:val="007328D6"/>
    <w:rsid w:val="00732BF1"/>
    <w:rsid w:val="007350D4"/>
    <w:rsid w:val="00736263"/>
    <w:rsid w:val="00737309"/>
    <w:rsid w:val="0074087F"/>
    <w:rsid w:val="0074089F"/>
    <w:rsid w:val="00742C59"/>
    <w:rsid w:val="00745C14"/>
    <w:rsid w:val="0074689A"/>
    <w:rsid w:val="00746E54"/>
    <w:rsid w:val="0074779B"/>
    <w:rsid w:val="007504EE"/>
    <w:rsid w:val="00750D1B"/>
    <w:rsid w:val="00751E8F"/>
    <w:rsid w:val="0075264B"/>
    <w:rsid w:val="00753CAE"/>
    <w:rsid w:val="00754468"/>
    <w:rsid w:val="007560E2"/>
    <w:rsid w:val="007563F3"/>
    <w:rsid w:val="00757350"/>
    <w:rsid w:val="0076094A"/>
    <w:rsid w:val="0076136A"/>
    <w:rsid w:val="007619AB"/>
    <w:rsid w:val="00761C83"/>
    <w:rsid w:val="007631AF"/>
    <w:rsid w:val="00763340"/>
    <w:rsid w:val="007647C6"/>
    <w:rsid w:val="0076603F"/>
    <w:rsid w:val="007665E0"/>
    <w:rsid w:val="007672AF"/>
    <w:rsid w:val="00773383"/>
    <w:rsid w:val="00773A22"/>
    <w:rsid w:val="00773F40"/>
    <w:rsid w:val="00781229"/>
    <w:rsid w:val="007838C4"/>
    <w:rsid w:val="00785672"/>
    <w:rsid w:val="0078578F"/>
    <w:rsid w:val="00785CB8"/>
    <w:rsid w:val="00787C58"/>
    <w:rsid w:val="007909DB"/>
    <w:rsid w:val="007911CC"/>
    <w:rsid w:val="00791D53"/>
    <w:rsid w:val="007942D6"/>
    <w:rsid w:val="007A0AAA"/>
    <w:rsid w:val="007A1035"/>
    <w:rsid w:val="007A3687"/>
    <w:rsid w:val="007A3A9B"/>
    <w:rsid w:val="007A6487"/>
    <w:rsid w:val="007A6882"/>
    <w:rsid w:val="007A6F80"/>
    <w:rsid w:val="007A7D11"/>
    <w:rsid w:val="007B67A2"/>
    <w:rsid w:val="007B6EAA"/>
    <w:rsid w:val="007B7D80"/>
    <w:rsid w:val="007C255C"/>
    <w:rsid w:val="007C3140"/>
    <w:rsid w:val="007C35BD"/>
    <w:rsid w:val="007C5464"/>
    <w:rsid w:val="007D0F7C"/>
    <w:rsid w:val="007D2125"/>
    <w:rsid w:val="007E002F"/>
    <w:rsid w:val="007E0B84"/>
    <w:rsid w:val="007E172A"/>
    <w:rsid w:val="007E45EA"/>
    <w:rsid w:val="007E5B1C"/>
    <w:rsid w:val="007E5CEC"/>
    <w:rsid w:val="007F0140"/>
    <w:rsid w:val="007F1CF5"/>
    <w:rsid w:val="007F237A"/>
    <w:rsid w:val="007F265F"/>
    <w:rsid w:val="007F35B4"/>
    <w:rsid w:val="007F47D5"/>
    <w:rsid w:val="007F5CF6"/>
    <w:rsid w:val="00800841"/>
    <w:rsid w:val="00800D47"/>
    <w:rsid w:val="008014AD"/>
    <w:rsid w:val="00801866"/>
    <w:rsid w:val="00804013"/>
    <w:rsid w:val="0080492B"/>
    <w:rsid w:val="0080680A"/>
    <w:rsid w:val="008078E0"/>
    <w:rsid w:val="00807FBE"/>
    <w:rsid w:val="008100F7"/>
    <w:rsid w:val="008106E9"/>
    <w:rsid w:val="00810FA4"/>
    <w:rsid w:val="00813D1F"/>
    <w:rsid w:val="008147F1"/>
    <w:rsid w:val="00816769"/>
    <w:rsid w:val="00817BEA"/>
    <w:rsid w:val="00820B0A"/>
    <w:rsid w:val="008214A2"/>
    <w:rsid w:val="0082176D"/>
    <w:rsid w:val="008217FE"/>
    <w:rsid w:val="00821B3D"/>
    <w:rsid w:val="00821C67"/>
    <w:rsid w:val="0082377A"/>
    <w:rsid w:val="00823AB2"/>
    <w:rsid w:val="00824E5F"/>
    <w:rsid w:val="0082518F"/>
    <w:rsid w:val="008331A1"/>
    <w:rsid w:val="00833B27"/>
    <w:rsid w:val="00833F65"/>
    <w:rsid w:val="00833F80"/>
    <w:rsid w:val="00836BF6"/>
    <w:rsid w:val="00836C42"/>
    <w:rsid w:val="00837188"/>
    <w:rsid w:val="00840167"/>
    <w:rsid w:val="008423FC"/>
    <w:rsid w:val="0084259E"/>
    <w:rsid w:val="00842B34"/>
    <w:rsid w:val="00843727"/>
    <w:rsid w:val="00844A1B"/>
    <w:rsid w:val="00845762"/>
    <w:rsid w:val="00845F5F"/>
    <w:rsid w:val="00846A6E"/>
    <w:rsid w:val="00852A0A"/>
    <w:rsid w:val="00852C0D"/>
    <w:rsid w:val="00854090"/>
    <w:rsid w:val="0085417F"/>
    <w:rsid w:val="00854371"/>
    <w:rsid w:val="00854BAD"/>
    <w:rsid w:val="00854E64"/>
    <w:rsid w:val="00855F4D"/>
    <w:rsid w:val="00856778"/>
    <w:rsid w:val="00856852"/>
    <w:rsid w:val="008578FF"/>
    <w:rsid w:val="008606E6"/>
    <w:rsid w:val="00860917"/>
    <w:rsid w:val="008626B5"/>
    <w:rsid w:val="00864001"/>
    <w:rsid w:val="008640FD"/>
    <w:rsid w:val="00864ED9"/>
    <w:rsid w:val="008667B0"/>
    <w:rsid w:val="008678C2"/>
    <w:rsid w:val="008727EF"/>
    <w:rsid w:val="00872AF0"/>
    <w:rsid w:val="00873B6A"/>
    <w:rsid w:val="00876531"/>
    <w:rsid w:val="00876B09"/>
    <w:rsid w:val="0087716F"/>
    <w:rsid w:val="008779E9"/>
    <w:rsid w:val="0088035D"/>
    <w:rsid w:val="008810B4"/>
    <w:rsid w:val="00882D16"/>
    <w:rsid w:val="00884874"/>
    <w:rsid w:val="00884E4F"/>
    <w:rsid w:val="00885B7D"/>
    <w:rsid w:val="0088600A"/>
    <w:rsid w:val="008870D6"/>
    <w:rsid w:val="00893CB1"/>
    <w:rsid w:val="00893CFD"/>
    <w:rsid w:val="00893FA6"/>
    <w:rsid w:val="00894E8E"/>
    <w:rsid w:val="00895279"/>
    <w:rsid w:val="008958E7"/>
    <w:rsid w:val="008972CA"/>
    <w:rsid w:val="008A0E71"/>
    <w:rsid w:val="008A3268"/>
    <w:rsid w:val="008A622F"/>
    <w:rsid w:val="008A6B07"/>
    <w:rsid w:val="008A6C35"/>
    <w:rsid w:val="008B01B4"/>
    <w:rsid w:val="008B23F8"/>
    <w:rsid w:val="008B2DEB"/>
    <w:rsid w:val="008B3C2A"/>
    <w:rsid w:val="008B6A26"/>
    <w:rsid w:val="008B6B2A"/>
    <w:rsid w:val="008B77BA"/>
    <w:rsid w:val="008C1CCF"/>
    <w:rsid w:val="008C2FC1"/>
    <w:rsid w:val="008C40B1"/>
    <w:rsid w:val="008C4B5C"/>
    <w:rsid w:val="008C51F0"/>
    <w:rsid w:val="008C6060"/>
    <w:rsid w:val="008D22DC"/>
    <w:rsid w:val="008D36B8"/>
    <w:rsid w:val="008D4681"/>
    <w:rsid w:val="008D532F"/>
    <w:rsid w:val="008E2118"/>
    <w:rsid w:val="008E223D"/>
    <w:rsid w:val="008E2F50"/>
    <w:rsid w:val="008E405B"/>
    <w:rsid w:val="008E51FD"/>
    <w:rsid w:val="008E64B5"/>
    <w:rsid w:val="008E7D10"/>
    <w:rsid w:val="008F0679"/>
    <w:rsid w:val="008F0FC1"/>
    <w:rsid w:val="008F1991"/>
    <w:rsid w:val="008F318F"/>
    <w:rsid w:val="008F5FE1"/>
    <w:rsid w:val="008F6EDD"/>
    <w:rsid w:val="00901043"/>
    <w:rsid w:val="0090150F"/>
    <w:rsid w:val="0090537E"/>
    <w:rsid w:val="009061F9"/>
    <w:rsid w:val="00906442"/>
    <w:rsid w:val="00906D98"/>
    <w:rsid w:val="00912184"/>
    <w:rsid w:val="00912C6D"/>
    <w:rsid w:val="009133DA"/>
    <w:rsid w:val="00913F9B"/>
    <w:rsid w:val="00916A7E"/>
    <w:rsid w:val="009207B7"/>
    <w:rsid w:val="00920E19"/>
    <w:rsid w:val="00921C87"/>
    <w:rsid w:val="00922088"/>
    <w:rsid w:val="00923663"/>
    <w:rsid w:val="00923894"/>
    <w:rsid w:val="00923AB8"/>
    <w:rsid w:val="00927309"/>
    <w:rsid w:val="00930132"/>
    <w:rsid w:val="00930A17"/>
    <w:rsid w:val="00931527"/>
    <w:rsid w:val="00934AE3"/>
    <w:rsid w:val="00937A48"/>
    <w:rsid w:val="00937BE2"/>
    <w:rsid w:val="00940195"/>
    <w:rsid w:val="0094169A"/>
    <w:rsid w:val="009422FF"/>
    <w:rsid w:val="00942B78"/>
    <w:rsid w:val="009438D6"/>
    <w:rsid w:val="0094430F"/>
    <w:rsid w:val="00944CF8"/>
    <w:rsid w:val="00945BBC"/>
    <w:rsid w:val="00950A84"/>
    <w:rsid w:val="00950DE2"/>
    <w:rsid w:val="009511A9"/>
    <w:rsid w:val="00951A79"/>
    <w:rsid w:val="00952086"/>
    <w:rsid w:val="00953FAB"/>
    <w:rsid w:val="00955B3A"/>
    <w:rsid w:val="00957776"/>
    <w:rsid w:val="00957EEA"/>
    <w:rsid w:val="0096000D"/>
    <w:rsid w:val="00961188"/>
    <w:rsid w:val="00963DD4"/>
    <w:rsid w:val="0096676D"/>
    <w:rsid w:val="00970143"/>
    <w:rsid w:val="0097164F"/>
    <w:rsid w:val="00972326"/>
    <w:rsid w:val="00974892"/>
    <w:rsid w:val="0097579E"/>
    <w:rsid w:val="0097633D"/>
    <w:rsid w:val="0098040A"/>
    <w:rsid w:val="009804FF"/>
    <w:rsid w:val="00980AF7"/>
    <w:rsid w:val="00981B07"/>
    <w:rsid w:val="00981B4D"/>
    <w:rsid w:val="00982A94"/>
    <w:rsid w:val="00985007"/>
    <w:rsid w:val="009853F2"/>
    <w:rsid w:val="00985523"/>
    <w:rsid w:val="00987AE0"/>
    <w:rsid w:val="00991B89"/>
    <w:rsid w:val="00994370"/>
    <w:rsid w:val="00994CCE"/>
    <w:rsid w:val="009954FF"/>
    <w:rsid w:val="00995961"/>
    <w:rsid w:val="009969AC"/>
    <w:rsid w:val="009A041F"/>
    <w:rsid w:val="009A16BE"/>
    <w:rsid w:val="009A1B52"/>
    <w:rsid w:val="009A2B8C"/>
    <w:rsid w:val="009A2CD8"/>
    <w:rsid w:val="009A50B7"/>
    <w:rsid w:val="009A52CF"/>
    <w:rsid w:val="009A56E1"/>
    <w:rsid w:val="009A64CE"/>
    <w:rsid w:val="009A705A"/>
    <w:rsid w:val="009B050D"/>
    <w:rsid w:val="009B068D"/>
    <w:rsid w:val="009B111C"/>
    <w:rsid w:val="009B52E1"/>
    <w:rsid w:val="009B5408"/>
    <w:rsid w:val="009B6417"/>
    <w:rsid w:val="009C0D4A"/>
    <w:rsid w:val="009C2967"/>
    <w:rsid w:val="009C2D6B"/>
    <w:rsid w:val="009C39E9"/>
    <w:rsid w:val="009C4586"/>
    <w:rsid w:val="009C4773"/>
    <w:rsid w:val="009C4AB3"/>
    <w:rsid w:val="009C7C3B"/>
    <w:rsid w:val="009D2655"/>
    <w:rsid w:val="009D2705"/>
    <w:rsid w:val="009D2F6F"/>
    <w:rsid w:val="009D3824"/>
    <w:rsid w:val="009E0304"/>
    <w:rsid w:val="009E0AE6"/>
    <w:rsid w:val="009E1F80"/>
    <w:rsid w:val="009E290D"/>
    <w:rsid w:val="009E2911"/>
    <w:rsid w:val="009E4A3B"/>
    <w:rsid w:val="009E65A1"/>
    <w:rsid w:val="009E775D"/>
    <w:rsid w:val="009F1269"/>
    <w:rsid w:val="009F21AA"/>
    <w:rsid w:val="009F26FA"/>
    <w:rsid w:val="009F396B"/>
    <w:rsid w:val="009F4F16"/>
    <w:rsid w:val="009F520D"/>
    <w:rsid w:val="009F537E"/>
    <w:rsid w:val="009F6B06"/>
    <w:rsid w:val="009F74E8"/>
    <w:rsid w:val="00A00C86"/>
    <w:rsid w:val="00A0116B"/>
    <w:rsid w:val="00A0156D"/>
    <w:rsid w:val="00A04802"/>
    <w:rsid w:val="00A05649"/>
    <w:rsid w:val="00A071B7"/>
    <w:rsid w:val="00A12E95"/>
    <w:rsid w:val="00A135BB"/>
    <w:rsid w:val="00A13BBB"/>
    <w:rsid w:val="00A14782"/>
    <w:rsid w:val="00A149CC"/>
    <w:rsid w:val="00A14EF9"/>
    <w:rsid w:val="00A1520C"/>
    <w:rsid w:val="00A15E3B"/>
    <w:rsid w:val="00A17EE9"/>
    <w:rsid w:val="00A2130F"/>
    <w:rsid w:val="00A215C8"/>
    <w:rsid w:val="00A2264B"/>
    <w:rsid w:val="00A226B5"/>
    <w:rsid w:val="00A22B17"/>
    <w:rsid w:val="00A24A56"/>
    <w:rsid w:val="00A25303"/>
    <w:rsid w:val="00A2582C"/>
    <w:rsid w:val="00A25C06"/>
    <w:rsid w:val="00A27488"/>
    <w:rsid w:val="00A32CC9"/>
    <w:rsid w:val="00A32E73"/>
    <w:rsid w:val="00A341D1"/>
    <w:rsid w:val="00A354C0"/>
    <w:rsid w:val="00A3726E"/>
    <w:rsid w:val="00A37CD4"/>
    <w:rsid w:val="00A37D21"/>
    <w:rsid w:val="00A40198"/>
    <w:rsid w:val="00A415FA"/>
    <w:rsid w:val="00A42CC0"/>
    <w:rsid w:val="00A43B44"/>
    <w:rsid w:val="00A446F9"/>
    <w:rsid w:val="00A453C9"/>
    <w:rsid w:val="00A50973"/>
    <w:rsid w:val="00A5202C"/>
    <w:rsid w:val="00A523CD"/>
    <w:rsid w:val="00A54F7D"/>
    <w:rsid w:val="00A55E75"/>
    <w:rsid w:val="00A57273"/>
    <w:rsid w:val="00A60397"/>
    <w:rsid w:val="00A607E8"/>
    <w:rsid w:val="00A6301B"/>
    <w:rsid w:val="00A63774"/>
    <w:rsid w:val="00A645E1"/>
    <w:rsid w:val="00A64F69"/>
    <w:rsid w:val="00A6521D"/>
    <w:rsid w:val="00A65FC0"/>
    <w:rsid w:val="00A66EC3"/>
    <w:rsid w:val="00A706AA"/>
    <w:rsid w:val="00A71E5E"/>
    <w:rsid w:val="00A73529"/>
    <w:rsid w:val="00A7416C"/>
    <w:rsid w:val="00A76D03"/>
    <w:rsid w:val="00A7738C"/>
    <w:rsid w:val="00A77453"/>
    <w:rsid w:val="00A7745F"/>
    <w:rsid w:val="00A80EE8"/>
    <w:rsid w:val="00A81AEB"/>
    <w:rsid w:val="00A81BCC"/>
    <w:rsid w:val="00A83B39"/>
    <w:rsid w:val="00A8430B"/>
    <w:rsid w:val="00A84A69"/>
    <w:rsid w:val="00A910C3"/>
    <w:rsid w:val="00A9331A"/>
    <w:rsid w:val="00A94A91"/>
    <w:rsid w:val="00A94C42"/>
    <w:rsid w:val="00A94E14"/>
    <w:rsid w:val="00A95B00"/>
    <w:rsid w:val="00A962B8"/>
    <w:rsid w:val="00AA0AD6"/>
    <w:rsid w:val="00AA140D"/>
    <w:rsid w:val="00AA59AB"/>
    <w:rsid w:val="00AA5AA5"/>
    <w:rsid w:val="00AB23BA"/>
    <w:rsid w:val="00AB45D0"/>
    <w:rsid w:val="00AB4C07"/>
    <w:rsid w:val="00AB545B"/>
    <w:rsid w:val="00AB6B9B"/>
    <w:rsid w:val="00AC07D6"/>
    <w:rsid w:val="00AC27C4"/>
    <w:rsid w:val="00AC3F8F"/>
    <w:rsid w:val="00AC483A"/>
    <w:rsid w:val="00AC5C46"/>
    <w:rsid w:val="00AC6BAB"/>
    <w:rsid w:val="00AD0BD8"/>
    <w:rsid w:val="00AD1E1C"/>
    <w:rsid w:val="00AD2101"/>
    <w:rsid w:val="00AD46B0"/>
    <w:rsid w:val="00AD4C88"/>
    <w:rsid w:val="00AD634A"/>
    <w:rsid w:val="00AD6C21"/>
    <w:rsid w:val="00AD7226"/>
    <w:rsid w:val="00AD73AF"/>
    <w:rsid w:val="00AE0348"/>
    <w:rsid w:val="00AE0CAF"/>
    <w:rsid w:val="00AE1394"/>
    <w:rsid w:val="00AE1A21"/>
    <w:rsid w:val="00AE21CB"/>
    <w:rsid w:val="00AE27F2"/>
    <w:rsid w:val="00AE2828"/>
    <w:rsid w:val="00AE4198"/>
    <w:rsid w:val="00AE6B2C"/>
    <w:rsid w:val="00AE7E83"/>
    <w:rsid w:val="00AF2254"/>
    <w:rsid w:val="00AF597F"/>
    <w:rsid w:val="00B03E6F"/>
    <w:rsid w:val="00B04148"/>
    <w:rsid w:val="00B044C8"/>
    <w:rsid w:val="00B048BA"/>
    <w:rsid w:val="00B05084"/>
    <w:rsid w:val="00B05770"/>
    <w:rsid w:val="00B07989"/>
    <w:rsid w:val="00B07FC8"/>
    <w:rsid w:val="00B1172D"/>
    <w:rsid w:val="00B12A16"/>
    <w:rsid w:val="00B12BB1"/>
    <w:rsid w:val="00B15D4E"/>
    <w:rsid w:val="00B16CF4"/>
    <w:rsid w:val="00B1720A"/>
    <w:rsid w:val="00B17BD4"/>
    <w:rsid w:val="00B234C7"/>
    <w:rsid w:val="00B23BC4"/>
    <w:rsid w:val="00B255D0"/>
    <w:rsid w:val="00B26762"/>
    <w:rsid w:val="00B30542"/>
    <w:rsid w:val="00B31904"/>
    <w:rsid w:val="00B31A0E"/>
    <w:rsid w:val="00B31A99"/>
    <w:rsid w:val="00B32A54"/>
    <w:rsid w:val="00B34BD1"/>
    <w:rsid w:val="00B36951"/>
    <w:rsid w:val="00B407A2"/>
    <w:rsid w:val="00B41491"/>
    <w:rsid w:val="00B42EE7"/>
    <w:rsid w:val="00B43A49"/>
    <w:rsid w:val="00B454BB"/>
    <w:rsid w:val="00B4571D"/>
    <w:rsid w:val="00B464E8"/>
    <w:rsid w:val="00B50007"/>
    <w:rsid w:val="00B51993"/>
    <w:rsid w:val="00B51A98"/>
    <w:rsid w:val="00B521C3"/>
    <w:rsid w:val="00B5247B"/>
    <w:rsid w:val="00B528B3"/>
    <w:rsid w:val="00B52FBE"/>
    <w:rsid w:val="00B5588F"/>
    <w:rsid w:val="00B56C98"/>
    <w:rsid w:val="00B573B6"/>
    <w:rsid w:val="00B60429"/>
    <w:rsid w:val="00B624B9"/>
    <w:rsid w:val="00B650EF"/>
    <w:rsid w:val="00B65636"/>
    <w:rsid w:val="00B67B52"/>
    <w:rsid w:val="00B72208"/>
    <w:rsid w:val="00B737BA"/>
    <w:rsid w:val="00B738FE"/>
    <w:rsid w:val="00B74171"/>
    <w:rsid w:val="00B74A5A"/>
    <w:rsid w:val="00B7557A"/>
    <w:rsid w:val="00B76466"/>
    <w:rsid w:val="00B80209"/>
    <w:rsid w:val="00B81A8F"/>
    <w:rsid w:val="00B81F43"/>
    <w:rsid w:val="00B820A8"/>
    <w:rsid w:val="00B825C3"/>
    <w:rsid w:val="00B8388F"/>
    <w:rsid w:val="00B842AD"/>
    <w:rsid w:val="00B85134"/>
    <w:rsid w:val="00B85598"/>
    <w:rsid w:val="00B87740"/>
    <w:rsid w:val="00B90EC5"/>
    <w:rsid w:val="00B94E00"/>
    <w:rsid w:val="00B971FF"/>
    <w:rsid w:val="00BA05E4"/>
    <w:rsid w:val="00BA0B06"/>
    <w:rsid w:val="00BA209B"/>
    <w:rsid w:val="00BA7BF3"/>
    <w:rsid w:val="00BA7BF9"/>
    <w:rsid w:val="00BB1313"/>
    <w:rsid w:val="00BB22C6"/>
    <w:rsid w:val="00BB28D3"/>
    <w:rsid w:val="00BB2F19"/>
    <w:rsid w:val="00BB3247"/>
    <w:rsid w:val="00BB44E2"/>
    <w:rsid w:val="00BB510B"/>
    <w:rsid w:val="00BB51D3"/>
    <w:rsid w:val="00BB6ED6"/>
    <w:rsid w:val="00BB7BD0"/>
    <w:rsid w:val="00BC0ACF"/>
    <w:rsid w:val="00BC13F5"/>
    <w:rsid w:val="00BC3D1F"/>
    <w:rsid w:val="00BC48BB"/>
    <w:rsid w:val="00BC5E18"/>
    <w:rsid w:val="00BD0EBF"/>
    <w:rsid w:val="00BD1400"/>
    <w:rsid w:val="00BD2EB2"/>
    <w:rsid w:val="00BD3079"/>
    <w:rsid w:val="00BD66DC"/>
    <w:rsid w:val="00BD777B"/>
    <w:rsid w:val="00BD7B13"/>
    <w:rsid w:val="00BE0448"/>
    <w:rsid w:val="00BE39B3"/>
    <w:rsid w:val="00BE4DCD"/>
    <w:rsid w:val="00BE54B3"/>
    <w:rsid w:val="00BE58A0"/>
    <w:rsid w:val="00BE6027"/>
    <w:rsid w:val="00BE6098"/>
    <w:rsid w:val="00BE62ED"/>
    <w:rsid w:val="00BE7410"/>
    <w:rsid w:val="00BE7466"/>
    <w:rsid w:val="00BF0E90"/>
    <w:rsid w:val="00BF286D"/>
    <w:rsid w:val="00BF501B"/>
    <w:rsid w:val="00BF597F"/>
    <w:rsid w:val="00BF720E"/>
    <w:rsid w:val="00C00AAD"/>
    <w:rsid w:val="00C022CA"/>
    <w:rsid w:val="00C0271B"/>
    <w:rsid w:val="00C032E2"/>
    <w:rsid w:val="00C03AE4"/>
    <w:rsid w:val="00C04D76"/>
    <w:rsid w:val="00C06CD2"/>
    <w:rsid w:val="00C073E7"/>
    <w:rsid w:val="00C10307"/>
    <w:rsid w:val="00C1325C"/>
    <w:rsid w:val="00C142E7"/>
    <w:rsid w:val="00C15F97"/>
    <w:rsid w:val="00C176C7"/>
    <w:rsid w:val="00C207D8"/>
    <w:rsid w:val="00C21E5E"/>
    <w:rsid w:val="00C21F92"/>
    <w:rsid w:val="00C229A6"/>
    <w:rsid w:val="00C22BDF"/>
    <w:rsid w:val="00C2416A"/>
    <w:rsid w:val="00C245B7"/>
    <w:rsid w:val="00C2694C"/>
    <w:rsid w:val="00C26B2F"/>
    <w:rsid w:val="00C3590C"/>
    <w:rsid w:val="00C3629A"/>
    <w:rsid w:val="00C36476"/>
    <w:rsid w:val="00C365D4"/>
    <w:rsid w:val="00C40C70"/>
    <w:rsid w:val="00C41FBD"/>
    <w:rsid w:val="00C42306"/>
    <w:rsid w:val="00C42BF5"/>
    <w:rsid w:val="00C432C3"/>
    <w:rsid w:val="00C436B9"/>
    <w:rsid w:val="00C43AD2"/>
    <w:rsid w:val="00C44AD7"/>
    <w:rsid w:val="00C45346"/>
    <w:rsid w:val="00C456FC"/>
    <w:rsid w:val="00C46628"/>
    <w:rsid w:val="00C468CB"/>
    <w:rsid w:val="00C50175"/>
    <w:rsid w:val="00C50DAF"/>
    <w:rsid w:val="00C55345"/>
    <w:rsid w:val="00C57751"/>
    <w:rsid w:val="00C60855"/>
    <w:rsid w:val="00C60B30"/>
    <w:rsid w:val="00C630FF"/>
    <w:rsid w:val="00C64648"/>
    <w:rsid w:val="00C648C4"/>
    <w:rsid w:val="00C6585C"/>
    <w:rsid w:val="00C67660"/>
    <w:rsid w:val="00C70277"/>
    <w:rsid w:val="00C7098A"/>
    <w:rsid w:val="00C71333"/>
    <w:rsid w:val="00C7171B"/>
    <w:rsid w:val="00C718B7"/>
    <w:rsid w:val="00C7390C"/>
    <w:rsid w:val="00C73945"/>
    <w:rsid w:val="00C74103"/>
    <w:rsid w:val="00C75D69"/>
    <w:rsid w:val="00C76708"/>
    <w:rsid w:val="00C775CE"/>
    <w:rsid w:val="00C77A7F"/>
    <w:rsid w:val="00C80515"/>
    <w:rsid w:val="00C81722"/>
    <w:rsid w:val="00C822CF"/>
    <w:rsid w:val="00C844A5"/>
    <w:rsid w:val="00C8766E"/>
    <w:rsid w:val="00C8772A"/>
    <w:rsid w:val="00C87BB0"/>
    <w:rsid w:val="00C87BF7"/>
    <w:rsid w:val="00C87EB7"/>
    <w:rsid w:val="00C91C1E"/>
    <w:rsid w:val="00C920EB"/>
    <w:rsid w:val="00C922A1"/>
    <w:rsid w:val="00C92925"/>
    <w:rsid w:val="00C95F6A"/>
    <w:rsid w:val="00C96CC4"/>
    <w:rsid w:val="00CA0ABF"/>
    <w:rsid w:val="00CA13A7"/>
    <w:rsid w:val="00CA301F"/>
    <w:rsid w:val="00CA390D"/>
    <w:rsid w:val="00CA4E3D"/>
    <w:rsid w:val="00CA6C2F"/>
    <w:rsid w:val="00CA72A7"/>
    <w:rsid w:val="00CB0488"/>
    <w:rsid w:val="00CB4474"/>
    <w:rsid w:val="00CB455F"/>
    <w:rsid w:val="00CB49CB"/>
    <w:rsid w:val="00CB5EE9"/>
    <w:rsid w:val="00CB7DB7"/>
    <w:rsid w:val="00CC012D"/>
    <w:rsid w:val="00CC07A4"/>
    <w:rsid w:val="00CC1087"/>
    <w:rsid w:val="00CC293F"/>
    <w:rsid w:val="00CC2B2E"/>
    <w:rsid w:val="00CC4667"/>
    <w:rsid w:val="00CC499F"/>
    <w:rsid w:val="00CC4E76"/>
    <w:rsid w:val="00CC60A2"/>
    <w:rsid w:val="00CC6455"/>
    <w:rsid w:val="00CD054B"/>
    <w:rsid w:val="00CD4C61"/>
    <w:rsid w:val="00CD5C8C"/>
    <w:rsid w:val="00CD723F"/>
    <w:rsid w:val="00CE046B"/>
    <w:rsid w:val="00CE1D4E"/>
    <w:rsid w:val="00CE25BD"/>
    <w:rsid w:val="00CE67CC"/>
    <w:rsid w:val="00CE684E"/>
    <w:rsid w:val="00CE6E3C"/>
    <w:rsid w:val="00CF20DB"/>
    <w:rsid w:val="00CF3E99"/>
    <w:rsid w:val="00CF50B4"/>
    <w:rsid w:val="00CF5CA1"/>
    <w:rsid w:val="00CF7921"/>
    <w:rsid w:val="00D00D7D"/>
    <w:rsid w:val="00D02F0B"/>
    <w:rsid w:val="00D03891"/>
    <w:rsid w:val="00D03FFC"/>
    <w:rsid w:val="00D04041"/>
    <w:rsid w:val="00D0520B"/>
    <w:rsid w:val="00D06F43"/>
    <w:rsid w:val="00D07B84"/>
    <w:rsid w:val="00D10741"/>
    <w:rsid w:val="00D11BA4"/>
    <w:rsid w:val="00D120DB"/>
    <w:rsid w:val="00D13179"/>
    <w:rsid w:val="00D160E0"/>
    <w:rsid w:val="00D1611E"/>
    <w:rsid w:val="00D16ECF"/>
    <w:rsid w:val="00D16FBC"/>
    <w:rsid w:val="00D2148B"/>
    <w:rsid w:val="00D222A5"/>
    <w:rsid w:val="00D26331"/>
    <w:rsid w:val="00D2689A"/>
    <w:rsid w:val="00D27539"/>
    <w:rsid w:val="00D314A2"/>
    <w:rsid w:val="00D34D03"/>
    <w:rsid w:val="00D35311"/>
    <w:rsid w:val="00D4008B"/>
    <w:rsid w:val="00D4016B"/>
    <w:rsid w:val="00D41175"/>
    <w:rsid w:val="00D41E4B"/>
    <w:rsid w:val="00D420E0"/>
    <w:rsid w:val="00D43A33"/>
    <w:rsid w:val="00D4606F"/>
    <w:rsid w:val="00D46B1F"/>
    <w:rsid w:val="00D46DC6"/>
    <w:rsid w:val="00D4753F"/>
    <w:rsid w:val="00D47931"/>
    <w:rsid w:val="00D5094F"/>
    <w:rsid w:val="00D50A2F"/>
    <w:rsid w:val="00D50FCD"/>
    <w:rsid w:val="00D519DE"/>
    <w:rsid w:val="00D523E5"/>
    <w:rsid w:val="00D527D5"/>
    <w:rsid w:val="00D52E34"/>
    <w:rsid w:val="00D537CE"/>
    <w:rsid w:val="00D54697"/>
    <w:rsid w:val="00D57D47"/>
    <w:rsid w:val="00D61609"/>
    <w:rsid w:val="00D6332B"/>
    <w:rsid w:val="00D63F5D"/>
    <w:rsid w:val="00D64817"/>
    <w:rsid w:val="00D701B6"/>
    <w:rsid w:val="00D73180"/>
    <w:rsid w:val="00D745F5"/>
    <w:rsid w:val="00D76599"/>
    <w:rsid w:val="00D825BE"/>
    <w:rsid w:val="00D82CC2"/>
    <w:rsid w:val="00D83769"/>
    <w:rsid w:val="00D83772"/>
    <w:rsid w:val="00D841A5"/>
    <w:rsid w:val="00D8501D"/>
    <w:rsid w:val="00D85CF7"/>
    <w:rsid w:val="00D86849"/>
    <w:rsid w:val="00D86EFA"/>
    <w:rsid w:val="00D94756"/>
    <w:rsid w:val="00D9688C"/>
    <w:rsid w:val="00DA00E5"/>
    <w:rsid w:val="00DA2AAD"/>
    <w:rsid w:val="00DA3795"/>
    <w:rsid w:val="00DA394E"/>
    <w:rsid w:val="00DA4523"/>
    <w:rsid w:val="00DB0D6F"/>
    <w:rsid w:val="00DB12E1"/>
    <w:rsid w:val="00DB2F93"/>
    <w:rsid w:val="00DB4753"/>
    <w:rsid w:val="00DB4A57"/>
    <w:rsid w:val="00DB4D97"/>
    <w:rsid w:val="00DB4DE4"/>
    <w:rsid w:val="00DB5A7C"/>
    <w:rsid w:val="00DB6D42"/>
    <w:rsid w:val="00DC1B49"/>
    <w:rsid w:val="00DC1F83"/>
    <w:rsid w:val="00DC2F92"/>
    <w:rsid w:val="00DC4A74"/>
    <w:rsid w:val="00DC653E"/>
    <w:rsid w:val="00DC6EAA"/>
    <w:rsid w:val="00DC6F45"/>
    <w:rsid w:val="00DC7ACD"/>
    <w:rsid w:val="00DD05D8"/>
    <w:rsid w:val="00DD2A4B"/>
    <w:rsid w:val="00DD2C4E"/>
    <w:rsid w:val="00DD3C1E"/>
    <w:rsid w:val="00DD7937"/>
    <w:rsid w:val="00DE104B"/>
    <w:rsid w:val="00DE1DF4"/>
    <w:rsid w:val="00DE2EDB"/>
    <w:rsid w:val="00DE3B6B"/>
    <w:rsid w:val="00DE628B"/>
    <w:rsid w:val="00DF0722"/>
    <w:rsid w:val="00DF17EF"/>
    <w:rsid w:val="00DF1A0D"/>
    <w:rsid w:val="00DF326F"/>
    <w:rsid w:val="00DF3D6D"/>
    <w:rsid w:val="00DF508A"/>
    <w:rsid w:val="00DF5A17"/>
    <w:rsid w:val="00DF5E3A"/>
    <w:rsid w:val="00DF5FDE"/>
    <w:rsid w:val="00DF6624"/>
    <w:rsid w:val="00E044CE"/>
    <w:rsid w:val="00E05745"/>
    <w:rsid w:val="00E05784"/>
    <w:rsid w:val="00E10D2B"/>
    <w:rsid w:val="00E133E0"/>
    <w:rsid w:val="00E13581"/>
    <w:rsid w:val="00E14F3E"/>
    <w:rsid w:val="00E1526D"/>
    <w:rsid w:val="00E166F5"/>
    <w:rsid w:val="00E167DA"/>
    <w:rsid w:val="00E17EBE"/>
    <w:rsid w:val="00E204A3"/>
    <w:rsid w:val="00E20D33"/>
    <w:rsid w:val="00E24793"/>
    <w:rsid w:val="00E2673D"/>
    <w:rsid w:val="00E278C5"/>
    <w:rsid w:val="00E31A87"/>
    <w:rsid w:val="00E334E0"/>
    <w:rsid w:val="00E34791"/>
    <w:rsid w:val="00E352D3"/>
    <w:rsid w:val="00E357F3"/>
    <w:rsid w:val="00E3789C"/>
    <w:rsid w:val="00E40F14"/>
    <w:rsid w:val="00E43291"/>
    <w:rsid w:val="00E43829"/>
    <w:rsid w:val="00E44AD0"/>
    <w:rsid w:val="00E46E60"/>
    <w:rsid w:val="00E4756F"/>
    <w:rsid w:val="00E508D6"/>
    <w:rsid w:val="00E50A88"/>
    <w:rsid w:val="00E52E7B"/>
    <w:rsid w:val="00E537A0"/>
    <w:rsid w:val="00E53E92"/>
    <w:rsid w:val="00E53FFE"/>
    <w:rsid w:val="00E57237"/>
    <w:rsid w:val="00E5733A"/>
    <w:rsid w:val="00E57F0B"/>
    <w:rsid w:val="00E62069"/>
    <w:rsid w:val="00E62121"/>
    <w:rsid w:val="00E622A7"/>
    <w:rsid w:val="00E63410"/>
    <w:rsid w:val="00E6489A"/>
    <w:rsid w:val="00E65B5E"/>
    <w:rsid w:val="00E6612D"/>
    <w:rsid w:val="00E70A30"/>
    <w:rsid w:val="00E70E42"/>
    <w:rsid w:val="00E71D3D"/>
    <w:rsid w:val="00E72765"/>
    <w:rsid w:val="00E73F26"/>
    <w:rsid w:val="00E74419"/>
    <w:rsid w:val="00E75402"/>
    <w:rsid w:val="00E81804"/>
    <w:rsid w:val="00E82D3D"/>
    <w:rsid w:val="00E8383E"/>
    <w:rsid w:val="00E84A0C"/>
    <w:rsid w:val="00E86A51"/>
    <w:rsid w:val="00E86FCA"/>
    <w:rsid w:val="00E87C10"/>
    <w:rsid w:val="00E87DD4"/>
    <w:rsid w:val="00E90189"/>
    <w:rsid w:val="00E94CB0"/>
    <w:rsid w:val="00E96B0A"/>
    <w:rsid w:val="00E97964"/>
    <w:rsid w:val="00EA150F"/>
    <w:rsid w:val="00EA32ED"/>
    <w:rsid w:val="00EA344E"/>
    <w:rsid w:val="00EA4008"/>
    <w:rsid w:val="00EA6AC2"/>
    <w:rsid w:val="00EB38E4"/>
    <w:rsid w:val="00EB4D56"/>
    <w:rsid w:val="00EB5293"/>
    <w:rsid w:val="00EB5335"/>
    <w:rsid w:val="00EB54D6"/>
    <w:rsid w:val="00EB5A62"/>
    <w:rsid w:val="00EB73F6"/>
    <w:rsid w:val="00EC098E"/>
    <w:rsid w:val="00EC118E"/>
    <w:rsid w:val="00EC2300"/>
    <w:rsid w:val="00EC4F83"/>
    <w:rsid w:val="00EC570E"/>
    <w:rsid w:val="00EC5ADA"/>
    <w:rsid w:val="00EC718F"/>
    <w:rsid w:val="00ED0E9B"/>
    <w:rsid w:val="00ED1C6E"/>
    <w:rsid w:val="00ED1D21"/>
    <w:rsid w:val="00ED28A5"/>
    <w:rsid w:val="00ED2E81"/>
    <w:rsid w:val="00ED335E"/>
    <w:rsid w:val="00ED4843"/>
    <w:rsid w:val="00ED4E10"/>
    <w:rsid w:val="00ED661A"/>
    <w:rsid w:val="00ED6BA0"/>
    <w:rsid w:val="00ED722C"/>
    <w:rsid w:val="00EE19CD"/>
    <w:rsid w:val="00EE1B94"/>
    <w:rsid w:val="00EE35AC"/>
    <w:rsid w:val="00EE3EBB"/>
    <w:rsid w:val="00EE5653"/>
    <w:rsid w:val="00EE7460"/>
    <w:rsid w:val="00EE7C64"/>
    <w:rsid w:val="00EF0BFE"/>
    <w:rsid w:val="00EF1CE0"/>
    <w:rsid w:val="00EF3D61"/>
    <w:rsid w:val="00EF47A4"/>
    <w:rsid w:val="00EF4D35"/>
    <w:rsid w:val="00F048B9"/>
    <w:rsid w:val="00F05098"/>
    <w:rsid w:val="00F057B5"/>
    <w:rsid w:val="00F058DE"/>
    <w:rsid w:val="00F11027"/>
    <w:rsid w:val="00F1360D"/>
    <w:rsid w:val="00F16246"/>
    <w:rsid w:val="00F20F10"/>
    <w:rsid w:val="00F22A5E"/>
    <w:rsid w:val="00F24198"/>
    <w:rsid w:val="00F24618"/>
    <w:rsid w:val="00F26571"/>
    <w:rsid w:val="00F30917"/>
    <w:rsid w:val="00F310DD"/>
    <w:rsid w:val="00F31D76"/>
    <w:rsid w:val="00F3284B"/>
    <w:rsid w:val="00F32A5D"/>
    <w:rsid w:val="00F348AF"/>
    <w:rsid w:val="00F34BA1"/>
    <w:rsid w:val="00F35FF0"/>
    <w:rsid w:val="00F40845"/>
    <w:rsid w:val="00F408D3"/>
    <w:rsid w:val="00F40C9E"/>
    <w:rsid w:val="00F414B9"/>
    <w:rsid w:val="00F41D5F"/>
    <w:rsid w:val="00F41FAD"/>
    <w:rsid w:val="00F44571"/>
    <w:rsid w:val="00F45C52"/>
    <w:rsid w:val="00F45EF8"/>
    <w:rsid w:val="00F4692B"/>
    <w:rsid w:val="00F4693E"/>
    <w:rsid w:val="00F46F29"/>
    <w:rsid w:val="00F47C55"/>
    <w:rsid w:val="00F50FB0"/>
    <w:rsid w:val="00F51AF5"/>
    <w:rsid w:val="00F526B9"/>
    <w:rsid w:val="00F52E67"/>
    <w:rsid w:val="00F5377A"/>
    <w:rsid w:val="00F5492C"/>
    <w:rsid w:val="00F56B35"/>
    <w:rsid w:val="00F56E4E"/>
    <w:rsid w:val="00F61792"/>
    <w:rsid w:val="00F633C2"/>
    <w:rsid w:val="00F64206"/>
    <w:rsid w:val="00F644B8"/>
    <w:rsid w:val="00F64E9A"/>
    <w:rsid w:val="00F653EE"/>
    <w:rsid w:val="00F66D46"/>
    <w:rsid w:val="00F709DA"/>
    <w:rsid w:val="00F70C9B"/>
    <w:rsid w:val="00F7266D"/>
    <w:rsid w:val="00F74059"/>
    <w:rsid w:val="00F75A72"/>
    <w:rsid w:val="00F76D71"/>
    <w:rsid w:val="00F770A4"/>
    <w:rsid w:val="00F778A8"/>
    <w:rsid w:val="00F77FE9"/>
    <w:rsid w:val="00F80E3E"/>
    <w:rsid w:val="00F8293A"/>
    <w:rsid w:val="00F8337F"/>
    <w:rsid w:val="00F84C6B"/>
    <w:rsid w:val="00F84CB3"/>
    <w:rsid w:val="00F850C2"/>
    <w:rsid w:val="00F86016"/>
    <w:rsid w:val="00F866F2"/>
    <w:rsid w:val="00F86842"/>
    <w:rsid w:val="00F86867"/>
    <w:rsid w:val="00F873EC"/>
    <w:rsid w:val="00F9007D"/>
    <w:rsid w:val="00F930A4"/>
    <w:rsid w:val="00F93E22"/>
    <w:rsid w:val="00F93EFF"/>
    <w:rsid w:val="00F93F1F"/>
    <w:rsid w:val="00F94130"/>
    <w:rsid w:val="00F97B2B"/>
    <w:rsid w:val="00FA0380"/>
    <w:rsid w:val="00FA0DD3"/>
    <w:rsid w:val="00FA1749"/>
    <w:rsid w:val="00FA4510"/>
    <w:rsid w:val="00FA4921"/>
    <w:rsid w:val="00FA49B6"/>
    <w:rsid w:val="00FA5AF8"/>
    <w:rsid w:val="00FA65E8"/>
    <w:rsid w:val="00FB08BB"/>
    <w:rsid w:val="00FB09F6"/>
    <w:rsid w:val="00FB1AF8"/>
    <w:rsid w:val="00FB6136"/>
    <w:rsid w:val="00FB6C4A"/>
    <w:rsid w:val="00FB72ED"/>
    <w:rsid w:val="00FB748A"/>
    <w:rsid w:val="00FC0899"/>
    <w:rsid w:val="00FC20F7"/>
    <w:rsid w:val="00FC25BC"/>
    <w:rsid w:val="00FC3298"/>
    <w:rsid w:val="00FC385D"/>
    <w:rsid w:val="00FC5B19"/>
    <w:rsid w:val="00FC71DB"/>
    <w:rsid w:val="00FC7464"/>
    <w:rsid w:val="00FD0AF1"/>
    <w:rsid w:val="00FD0AF6"/>
    <w:rsid w:val="00FD50F7"/>
    <w:rsid w:val="00FD534C"/>
    <w:rsid w:val="00FD6958"/>
    <w:rsid w:val="00FD750B"/>
    <w:rsid w:val="00FD772C"/>
    <w:rsid w:val="00FE15DC"/>
    <w:rsid w:val="00FE2A89"/>
    <w:rsid w:val="00FE374B"/>
    <w:rsid w:val="00FE3A2C"/>
    <w:rsid w:val="00FE452B"/>
    <w:rsid w:val="00FE483C"/>
    <w:rsid w:val="00FE4DA7"/>
    <w:rsid w:val="00FE540B"/>
    <w:rsid w:val="00FE6DA8"/>
    <w:rsid w:val="00FE7975"/>
    <w:rsid w:val="00FF0524"/>
    <w:rsid w:val="00FF12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83EFB44"/>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DC1F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C1F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styleId="Cuadrculaclara">
    <w:name w:val="Light Grid"/>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paragraph" w:styleId="Textoindependiente">
    <w:name w:val="Body Text"/>
    <w:basedOn w:val="Normal"/>
    <w:link w:val="TextoindependienteCar"/>
    <w:rsid w:val="005821E2"/>
    <w:pPr>
      <w:spacing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5821E2"/>
    <w:rPr>
      <w:rFonts w:ascii="Arial" w:eastAsia="Times New Roman" w:hAnsi="Arial"/>
      <w:sz w:val="24"/>
      <w:lang w:eastAsia="es-ES"/>
    </w:rPr>
  </w:style>
  <w:style w:type="paragraph" w:customStyle="1" w:styleId="texto">
    <w:name w:val="texto"/>
    <w:basedOn w:val="Normal"/>
    <w:rsid w:val="005821E2"/>
    <w:pPr>
      <w:spacing w:after="101" w:line="216" w:lineRule="atLeast"/>
      <w:ind w:firstLine="288"/>
      <w:jc w:val="both"/>
    </w:pPr>
    <w:rPr>
      <w:rFonts w:ascii="Arial" w:eastAsia="Times New Roman" w:hAnsi="Arial" w:cs="Arial"/>
      <w:sz w:val="18"/>
      <w:szCs w:val="20"/>
      <w:lang w:val="es-ES_tradnl" w:eastAsia="es-MX"/>
    </w:rPr>
  </w:style>
  <w:style w:type="table" w:styleId="Tablaconcuadrcula">
    <w:name w:val="Table Grid"/>
    <w:basedOn w:val="Tablanormal"/>
    <w:uiPriority w:val="39"/>
    <w:rsid w:val="00895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273931"/>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C1F83"/>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DC1F8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53416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27469042">
      <w:bodyDiv w:val="1"/>
      <w:marLeft w:val="0"/>
      <w:marRight w:val="0"/>
      <w:marTop w:val="0"/>
      <w:marBottom w:val="0"/>
      <w:divBdr>
        <w:top w:val="none" w:sz="0" w:space="0" w:color="auto"/>
        <w:left w:val="none" w:sz="0" w:space="0" w:color="auto"/>
        <w:bottom w:val="none" w:sz="0" w:space="0" w:color="auto"/>
        <w:right w:val="none" w:sz="0" w:space="0" w:color="auto"/>
      </w:divBdr>
    </w:div>
    <w:div w:id="814225422">
      <w:bodyDiv w:val="1"/>
      <w:marLeft w:val="0"/>
      <w:marRight w:val="0"/>
      <w:marTop w:val="0"/>
      <w:marBottom w:val="0"/>
      <w:divBdr>
        <w:top w:val="none" w:sz="0" w:space="0" w:color="auto"/>
        <w:left w:val="none" w:sz="0" w:space="0" w:color="auto"/>
        <w:bottom w:val="none" w:sz="0" w:space="0" w:color="auto"/>
        <w:right w:val="none" w:sz="0" w:space="0" w:color="auto"/>
      </w:divBdr>
    </w:div>
    <w:div w:id="897058419">
      <w:bodyDiv w:val="1"/>
      <w:marLeft w:val="0"/>
      <w:marRight w:val="0"/>
      <w:marTop w:val="0"/>
      <w:marBottom w:val="0"/>
      <w:divBdr>
        <w:top w:val="none" w:sz="0" w:space="0" w:color="auto"/>
        <w:left w:val="none" w:sz="0" w:space="0" w:color="auto"/>
        <w:bottom w:val="none" w:sz="0" w:space="0" w:color="auto"/>
        <w:right w:val="none" w:sz="0" w:space="0" w:color="auto"/>
      </w:divBdr>
    </w:div>
    <w:div w:id="965279896">
      <w:bodyDiv w:val="1"/>
      <w:marLeft w:val="0"/>
      <w:marRight w:val="0"/>
      <w:marTop w:val="0"/>
      <w:marBottom w:val="0"/>
      <w:divBdr>
        <w:top w:val="none" w:sz="0" w:space="0" w:color="auto"/>
        <w:left w:val="none" w:sz="0" w:space="0" w:color="auto"/>
        <w:bottom w:val="none" w:sz="0" w:space="0" w:color="auto"/>
        <w:right w:val="none" w:sz="0" w:space="0" w:color="auto"/>
      </w:divBdr>
    </w:div>
    <w:div w:id="978150043">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305937317">
      <w:bodyDiv w:val="1"/>
      <w:marLeft w:val="0"/>
      <w:marRight w:val="0"/>
      <w:marTop w:val="0"/>
      <w:marBottom w:val="0"/>
      <w:divBdr>
        <w:top w:val="none" w:sz="0" w:space="0" w:color="auto"/>
        <w:left w:val="none" w:sz="0" w:space="0" w:color="auto"/>
        <w:bottom w:val="none" w:sz="0" w:space="0" w:color="auto"/>
        <w:right w:val="none" w:sz="0" w:space="0" w:color="auto"/>
      </w:divBdr>
    </w:div>
    <w:div w:id="1745645696">
      <w:bodyDiv w:val="1"/>
      <w:marLeft w:val="0"/>
      <w:marRight w:val="0"/>
      <w:marTop w:val="0"/>
      <w:marBottom w:val="0"/>
      <w:divBdr>
        <w:top w:val="none" w:sz="0" w:space="0" w:color="auto"/>
        <w:left w:val="none" w:sz="0" w:space="0" w:color="auto"/>
        <w:bottom w:val="none" w:sz="0" w:space="0" w:color="auto"/>
        <w:right w:val="none" w:sz="0" w:space="0" w:color="auto"/>
      </w:divBdr>
    </w:div>
    <w:div w:id="1855531874">
      <w:bodyDiv w:val="1"/>
      <w:marLeft w:val="0"/>
      <w:marRight w:val="0"/>
      <w:marTop w:val="0"/>
      <w:marBottom w:val="0"/>
      <w:divBdr>
        <w:top w:val="none" w:sz="0" w:space="0" w:color="auto"/>
        <w:left w:val="none" w:sz="0" w:space="0" w:color="auto"/>
        <w:bottom w:val="none" w:sz="0" w:space="0" w:color="auto"/>
        <w:right w:val="none" w:sz="0" w:space="0" w:color="auto"/>
      </w:divBdr>
    </w:div>
    <w:div w:id="188583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196E3-1C87-4594-AD87-167B237F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9890</Words>
  <Characters>54395</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Eslava Herrada</dc:creator>
  <cp:lastModifiedBy>Maria del Consuelo Gonzalez Moreno</cp:lastModifiedBy>
  <cp:revision>9</cp:revision>
  <cp:lastPrinted>2016-11-18T17:53:00Z</cp:lastPrinted>
  <dcterms:created xsi:type="dcterms:W3CDTF">2016-11-15T22:06:00Z</dcterms:created>
  <dcterms:modified xsi:type="dcterms:W3CDTF">2017-03-22T20:03:00Z</dcterms:modified>
</cp:coreProperties>
</file>