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F7434" w14:textId="77777777" w:rsidR="00B81ED0" w:rsidRPr="00B81ED0" w:rsidRDefault="0007694F" w:rsidP="00B81ED0">
      <w:pPr>
        <w:pStyle w:val="Ttulo1"/>
        <w:spacing w:line="240" w:lineRule="auto"/>
        <w:jc w:val="both"/>
        <w:rPr>
          <w:rFonts w:ascii="ITC Avant Garde" w:hAnsi="ITC Avant Garde"/>
          <w:b/>
          <w:color w:val="auto"/>
          <w:sz w:val="22"/>
          <w:lang w:eastAsia="es-MX"/>
        </w:rPr>
      </w:pPr>
      <w:bookmarkStart w:id="0" w:name="_GoBack"/>
      <w:bookmarkEnd w:id="0"/>
      <w:r w:rsidRPr="00B81ED0">
        <w:rPr>
          <w:rFonts w:ascii="ITC Avant Garde" w:hAnsi="ITC Avant Garde"/>
          <w:b/>
          <w:color w:val="auto"/>
          <w:sz w:val="22"/>
          <w:lang w:eastAsia="es-MX"/>
        </w:rPr>
        <w:t>ACUERDO</w:t>
      </w:r>
      <w:r w:rsidR="00676A36" w:rsidRPr="00B81ED0">
        <w:rPr>
          <w:rFonts w:ascii="ITC Avant Garde" w:hAnsi="ITC Avant Garde"/>
          <w:b/>
          <w:color w:val="auto"/>
          <w:sz w:val="22"/>
          <w:lang w:eastAsia="es-MX"/>
        </w:rPr>
        <w:t xml:space="preserve"> </w:t>
      </w:r>
      <w:r w:rsidRPr="00B81ED0">
        <w:rPr>
          <w:rFonts w:ascii="ITC Avant Garde" w:hAnsi="ITC Avant Garde"/>
          <w:b/>
          <w:color w:val="auto"/>
          <w:sz w:val="22"/>
          <w:lang w:eastAsia="es-MX"/>
        </w:rPr>
        <w:t>MEDIANTE</w:t>
      </w:r>
      <w:r w:rsidR="00676A36" w:rsidRPr="00B81ED0">
        <w:rPr>
          <w:rFonts w:ascii="ITC Avant Garde" w:hAnsi="ITC Avant Garde"/>
          <w:b/>
          <w:color w:val="auto"/>
          <w:sz w:val="22"/>
          <w:lang w:eastAsia="es-MX"/>
        </w:rPr>
        <w:t xml:space="preserve"> </w:t>
      </w:r>
      <w:r w:rsidRPr="00B81ED0">
        <w:rPr>
          <w:rFonts w:ascii="ITC Avant Garde" w:hAnsi="ITC Avant Garde"/>
          <w:b/>
          <w:color w:val="auto"/>
          <w:sz w:val="22"/>
          <w:lang w:eastAsia="es-MX"/>
        </w:rPr>
        <w:t>E</w:t>
      </w:r>
      <w:r w:rsidR="00676A36" w:rsidRPr="00B81ED0">
        <w:rPr>
          <w:rFonts w:ascii="ITC Avant Garde" w:hAnsi="ITC Avant Garde"/>
          <w:b/>
          <w:color w:val="auto"/>
          <w:sz w:val="22"/>
          <w:lang w:eastAsia="es-MX"/>
        </w:rPr>
        <w:t xml:space="preserve">L </w:t>
      </w:r>
      <w:r w:rsidRPr="00B81ED0">
        <w:rPr>
          <w:rFonts w:ascii="ITC Avant Garde" w:hAnsi="ITC Avant Garde"/>
          <w:b/>
          <w:color w:val="auto"/>
          <w:sz w:val="22"/>
          <w:lang w:eastAsia="es-MX"/>
        </w:rPr>
        <w:t>CUAL</w:t>
      </w:r>
      <w:r w:rsidR="00676A36" w:rsidRPr="00B81ED0">
        <w:rPr>
          <w:rFonts w:ascii="ITC Avant Garde" w:hAnsi="ITC Avant Garde"/>
          <w:b/>
          <w:color w:val="auto"/>
          <w:sz w:val="22"/>
          <w:lang w:eastAsia="es-MX"/>
        </w:rPr>
        <w:t xml:space="preserve"> </w:t>
      </w:r>
      <w:r w:rsidRPr="00B81ED0">
        <w:rPr>
          <w:rFonts w:ascii="ITC Avant Garde" w:hAnsi="ITC Avant Garde"/>
          <w:b/>
          <w:color w:val="auto"/>
          <w:sz w:val="22"/>
          <w:lang w:eastAsia="es-MX"/>
        </w:rPr>
        <w:t>EL</w:t>
      </w:r>
      <w:r w:rsidR="00676A36" w:rsidRPr="00B81ED0">
        <w:rPr>
          <w:rFonts w:ascii="ITC Avant Garde" w:hAnsi="ITC Avant Garde"/>
          <w:b/>
          <w:color w:val="auto"/>
          <w:sz w:val="22"/>
          <w:lang w:eastAsia="es-MX"/>
        </w:rPr>
        <w:t xml:space="preserve"> </w:t>
      </w:r>
      <w:r w:rsidRPr="00B81ED0">
        <w:rPr>
          <w:rFonts w:ascii="ITC Avant Garde" w:hAnsi="ITC Avant Garde"/>
          <w:b/>
          <w:color w:val="auto"/>
          <w:sz w:val="22"/>
          <w:lang w:eastAsia="es-MX"/>
        </w:rPr>
        <w:t>PLENO</w:t>
      </w:r>
      <w:r w:rsidR="00676A36" w:rsidRPr="00B81ED0">
        <w:rPr>
          <w:rFonts w:ascii="ITC Avant Garde" w:hAnsi="ITC Avant Garde"/>
          <w:b/>
          <w:color w:val="auto"/>
          <w:sz w:val="22"/>
          <w:lang w:eastAsia="es-MX"/>
        </w:rPr>
        <w:t xml:space="preserve"> </w:t>
      </w:r>
      <w:r w:rsidRPr="00B81ED0">
        <w:rPr>
          <w:rFonts w:ascii="ITC Avant Garde" w:hAnsi="ITC Avant Garde"/>
          <w:b/>
          <w:color w:val="auto"/>
          <w:sz w:val="22"/>
          <w:lang w:eastAsia="es-MX"/>
        </w:rPr>
        <w:t>DEL</w:t>
      </w:r>
      <w:r w:rsidR="00676A36" w:rsidRPr="00B81ED0">
        <w:rPr>
          <w:rFonts w:ascii="ITC Avant Garde" w:hAnsi="ITC Avant Garde"/>
          <w:b/>
          <w:color w:val="auto"/>
          <w:sz w:val="22"/>
          <w:lang w:eastAsia="es-MX"/>
        </w:rPr>
        <w:t xml:space="preserve"> </w:t>
      </w:r>
      <w:r w:rsidRPr="00B81ED0">
        <w:rPr>
          <w:rFonts w:ascii="ITC Avant Garde" w:hAnsi="ITC Avant Garde"/>
          <w:b/>
          <w:color w:val="auto"/>
          <w:sz w:val="22"/>
          <w:lang w:eastAsia="es-MX"/>
        </w:rPr>
        <w:t>INSTITUTO</w:t>
      </w:r>
      <w:r w:rsidR="00676A36" w:rsidRPr="00B81ED0">
        <w:rPr>
          <w:rFonts w:ascii="ITC Avant Garde" w:hAnsi="ITC Avant Garde"/>
          <w:b/>
          <w:color w:val="auto"/>
          <w:sz w:val="22"/>
          <w:lang w:eastAsia="es-MX"/>
        </w:rPr>
        <w:t xml:space="preserve"> FEDERAL </w:t>
      </w:r>
      <w:r w:rsidRPr="00B81ED0">
        <w:rPr>
          <w:rFonts w:ascii="ITC Avant Garde" w:hAnsi="ITC Avant Garde"/>
          <w:b/>
          <w:color w:val="auto"/>
          <w:sz w:val="22"/>
          <w:lang w:eastAsia="es-MX"/>
        </w:rPr>
        <w:t xml:space="preserve">DE TELECOMUNICACIONES </w:t>
      </w:r>
      <w:r w:rsidR="004E1509" w:rsidRPr="00B81ED0">
        <w:rPr>
          <w:rFonts w:ascii="ITC Avant Garde" w:hAnsi="ITC Avant Garde"/>
          <w:b/>
          <w:color w:val="auto"/>
          <w:sz w:val="22"/>
          <w:lang w:eastAsia="es-MX"/>
        </w:rPr>
        <w:t xml:space="preserve">DETERMINA LA </w:t>
      </w:r>
      <w:r w:rsidRPr="00B81ED0">
        <w:rPr>
          <w:rFonts w:ascii="ITC Avant Garde" w:hAnsi="ITC Avant Garde"/>
          <w:b/>
          <w:color w:val="auto"/>
          <w:sz w:val="22"/>
          <w:lang w:eastAsia="es-MX"/>
        </w:rPr>
        <w:t>DESCALIFICA</w:t>
      </w:r>
      <w:r w:rsidR="004E1509" w:rsidRPr="00B81ED0">
        <w:rPr>
          <w:rFonts w:ascii="ITC Avant Garde" w:hAnsi="ITC Avant Garde"/>
          <w:b/>
          <w:color w:val="auto"/>
          <w:sz w:val="22"/>
          <w:lang w:eastAsia="es-MX"/>
        </w:rPr>
        <w:t>CIÓN DE</w:t>
      </w:r>
      <w:r w:rsidRPr="00B81ED0">
        <w:rPr>
          <w:rFonts w:ascii="ITC Avant Garde" w:hAnsi="ITC Avant Garde"/>
          <w:b/>
          <w:color w:val="auto"/>
          <w:sz w:val="22"/>
          <w:lang w:eastAsia="es-MX"/>
        </w:rPr>
        <w:t xml:space="preserve"> </w:t>
      </w:r>
      <w:r w:rsidR="00D75BAB" w:rsidRPr="00B81ED0">
        <w:rPr>
          <w:rFonts w:ascii="ITC Avant Garde" w:hAnsi="ITC Avant Garde"/>
          <w:b/>
          <w:color w:val="auto"/>
          <w:sz w:val="22"/>
          <w:lang w:eastAsia="es-MX"/>
        </w:rPr>
        <w:t>MARIO ÓSCAR BETETA VALLEJO</w:t>
      </w:r>
      <w:r w:rsidRPr="00B81ED0">
        <w:rPr>
          <w:rFonts w:ascii="ITC Avant Garde" w:hAnsi="ITC Avant Garde"/>
          <w:b/>
          <w:color w:val="auto"/>
          <w:sz w:val="22"/>
          <w:lang w:eastAsia="es-MX"/>
        </w:rPr>
        <w:t xml:space="preserve"> </w:t>
      </w:r>
      <w:r w:rsidR="00167757" w:rsidRPr="00B81ED0">
        <w:rPr>
          <w:rFonts w:ascii="ITC Avant Garde" w:hAnsi="ITC Avant Garde"/>
          <w:b/>
          <w:color w:val="auto"/>
          <w:sz w:val="22"/>
          <w:lang w:eastAsia="es-MX"/>
        </w:rPr>
        <w:t xml:space="preserve">CON NÚMERO DE FOLIO ÚNICO </w:t>
      </w:r>
      <w:r w:rsidR="00D75BAB" w:rsidRPr="00B81ED0">
        <w:rPr>
          <w:rFonts w:ascii="ITC Avant Garde" w:hAnsi="ITC Avant Garde"/>
          <w:b/>
          <w:noProof/>
          <w:color w:val="auto"/>
          <w:sz w:val="22"/>
          <w:lang w:eastAsia="es-MX"/>
        </w:rPr>
        <w:t>BM-311022</w:t>
      </w:r>
      <w:r w:rsidR="00E83770" w:rsidRPr="00B81ED0">
        <w:rPr>
          <w:rFonts w:ascii="ITC Avant Garde" w:hAnsi="ITC Avant Garde"/>
          <w:b/>
          <w:noProof/>
          <w:color w:val="auto"/>
          <w:sz w:val="22"/>
          <w:lang w:eastAsia="es-MX"/>
        </w:rPr>
        <w:t>,</w:t>
      </w:r>
      <w:r w:rsidR="00827811" w:rsidRPr="00B81ED0">
        <w:rPr>
          <w:rFonts w:ascii="ITC Avant Garde" w:hAnsi="ITC Avant Garde"/>
          <w:b/>
          <w:color w:val="auto"/>
          <w:sz w:val="22"/>
          <w:lang w:eastAsia="es-MX"/>
        </w:rPr>
        <w:t xml:space="preserve"> RESPECTO DE</w:t>
      </w:r>
      <w:r w:rsidR="00D75BAB" w:rsidRPr="00B81ED0">
        <w:rPr>
          <w:rFonts w:ascii="ITC Avant Garde" w:hAnsi="ITC Avant Garde"/>
          <w:b/>
          <w:color w:val="auto"/>
          <w:sz w:val="22"/>
          <w:lang w:eastAsia="es-MX"/>
        </w:rPr>
        <w:t xml:space="preserve"> </w:t>
      </w:r>
      <w:r w:rsidR="00827811" w:rsidRPr="00B81ED0">
        <w:rPr>
          <w:rFonts w:ascii="ITC Avant Garde" w:hAnsi="ITC Avant Garde"/>
          <w:b/>
          <w:color w:val="auto"/>
          <w:sz w:val="22"/>
          <w:lang w:eastAsia="es-MX"/>
        </w:rPr>
        <w:t>L</w:t>
      </w:r>
      <w:r w:rsidR="00D75BAB" w:rsidRPr="00B81ED0">
        <w:rPr>
          <w:rFonts w:ascii="ITC Avant Garde" w:hAnsi="ITC Avant Garde"/>
          <w:b/>
          <w:color w:val="auto"/>
          <w:sz w:val="22"/>
          <w:lang w:eastAsia="es-MX"/>
        </w:rPr>
        <w:t>OS</w:t>
      </w:r>
      <w:r w:rsidR="00827811" w:rsidRPr="00B81ED0">
        <w:rPr>
          <w:rFonts w:ascii="ITC Avant Garde" w:hAnsi="ITC Avant Garde"/>
          <w:b/>
          <w:color w:val="auto"/>
          <w:sz w:val="22"/>
          <w:lang w:eastAsia="es-MX"/>
        </w:rPr>
        <w:t xml:space="preserve"> LOTE</w:t>
      </w:r>
      <w:r w:rsidR="00D75BAB" w:rsidRPr="00B81ED0">
        <w:rPr>
          <w:rFonts w:ascii="ITC Avant Garde" w:hAnsi="ITC Avant Garde"/>
          <w:b/>
          <w:color w:val="auto"/>
          <w:sz w:val="22"/>
          <w:lang w:eastAsia="es-MX"/>
        </w:rPr>
        <w:t>S</w:t>
      </w:r>
      <w:r w:rsidR="00827811" w:rsidRPr="00B81ED0">
        <w:rPr>
          <w:rFonts w:ascii="ITC Avant Garde" w:hAnsi="ITC Avant Garde"/>
          <w:b/>
          <w:color w:val="auto"/>
          <w:sz w:val="22"/>
          <w:lang w:eastAsia="es-MX"/>
        </w:rPr>
        <w:t xml:space="preserve"> </w:t>
      </w:r>
      <w:r w:rsidR="00D75BAB" w:rsidRPr="00B81ED0">
        <w:rPr>
          <w:rFonts w:ascii="ITC Avant Garde" w:hAnsi="ITC Avant Garde"/>
          <w:b/>
          <w:color w:val="auto"/>
          <w:sz w:val="22"/>
          <w:lang w:eastAsia="es-MX"/>
        </w:rPr>
        <w:t>5 Y 119</w:t>
      </w:r>
      <w:r w:rsidR="00827811" w:rsidRPr="00B81ED0">
        <w:rPr>
          <w:rFonts w:ascii="ITC Avant Garde" w:hAnsi="ITC Avant Garde"/>
          <w:b/>
          <w:color w:val="auto"/>
          <w:sz w:val="22"/>
          <w:lang w:eastAsia="es-MX"/>
        </w:rPr>
        <w:t xml:space="preserve"> </w:t>
      </w:r>
      <w:r w:rsidR="00AA1EDB" w:rsidRPr="00B81ED0">
        <w:rPr>
          <w:rFonts w:ascii="ITC Avant Garde" w:hAnsi="ITC Avant Garde"/>
          <w:b/>
          <w:color w:val="auto"/>
          <w:sz w:val="22"/>
          <w:lang w:eastAsia="es-MX"/>
        </w:rPr>
        <w:t xml:space="preserve">DE LA BANDA </w:t>
      </w:r>
      <w:r w:rsidR="00E83770" w:rsidRPr="00B81ED0">
        <w:rPr>
          <w:rFonts w:ascii="ITC Avant Garde" w:hAnsi="ITC Avant Garde"/>
          <w:b/>
          <w:color w:val="auto"/>
          <w:sz w:val="22"/>
          <w:lang w:eastAsia="es-MX"/>
        </w:rPr>
        <w:t>FM</w:t>
      </w:r>
      <w:r w:rsidR="00AA1EDB" w:rsidRPr="00B81ED0">
        <w:rPr>
          <w:rFonts w:ascii="ITC Avant Garde" w:hAnsi="ITC Avant Garde"/>
          <w:b/>
          <w:color w:val="auto"/>
          <w:sz w:val="22"/>
          <w:lang w:eastAsia="es-MX"/>
        </w:rPr>
        <w:t xml:space="preserve"> </w:t>
      </w:r>
      <w:r w:rsidRPr="00B81ED0">
        <w:rPr>
          <w:rFonts w:ascii="ITC Avant Garde" w:hAnsi="ITC Avant Garde"/>
          <w:b/>
          <w:color w:val="auto"/>
          <w:sz w:val="22"/>
          <w:lang w:eastAsia="es-MX"/>
        </w:rPr>
        <w:t xml:space="preserve">DE </w:t>
      </w:r>
      <w:r w:rsidR="00CE5747" w:rsidRPr="00B81ED0">
        <w:rPr>
          <w:rFonts w:ascii="ITC Avant Garde" w:hAnsi="ITC Avant Garde"/>
          <w:b/>
          <w:color w:val="auto"/>
          <w:sz w:val="22"/>
          <w:lang w:eastAsia="es-MX"/>
        </w:rPr>
        <w:t xml:space="preserve">LA </w:t>
      </w:r>
      <w:r w:rsidRPr="00B81ED0">
        <w:rPr>
          <w:rFonts w:ascii="ITC Avant Garde" w:eastAsia="Times New Roman" w:hAnsi="ITC Avant Garde" w:cs="Arial"/>
          <w:b/>
          <w:color w:val="auto"/>
          <w:sz w:val="22"/>
          <w:u w:color="000000"/>
          <w:bdr w:val="nil"/>
          <w:lang w:val="es-ES_tradnl" w:eastAsia="es-MX"/>
        </w:rPr>
        <w:t xml:space="preserve">LICITACIÓN PÚBLICA PARA </w:t>
      </w:r>
      <w:r w:rsidRPr="00B81ED0">
        <w:rPr>
          <w:rFonts w:ascii="ITC Avant Garde" w:hAnsi="ITC Avant Garde"/>
          <w:b/>
          <w:color w:val="auto"/>
          <w:sz w:val="22"/>
        </w:rPr>
        <w:t xml:space="preserve">CONCESIONAR EL USO, APROVECHAMIENTO Y EXPLOTACIÓN COMERCIAL </w:t>
      </w:r>
      <w:r w:rsidRPr="00B81ED0">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B81ED0">
        <w:rPr>
          <w:rFonts w:ascii="ITC Avant Garde" w:hAnsi="ITC Avant Garde"/>
          <w:b/>
          <w:color w:val="auto"/>
          <w:sz w:val="22"/>
        </w:rPr>
        <w:t>(LICITACIÓN No. IFT-4)</w:t>
      </w:r>
      <w:r w:rsidR="00167757" w:rsidRPr="00B81ED0">
        <w:rPr>
          <w:rFonts w:ascii="ITC Avant Garde" w:hAnsi="ITC Avant Garde"/>
          <w:b/>
          <w:noProof/>
          <w:color w:val="auto"/>
          <w:sz w:val="22"/>
          <w:lang w:eastAsia="es-MX"/>
        </w:rPr>
        <w:t>.</w:t>
      </w:r>
    </w:p>
    <w:p w14:paraId="42284BC3" w14:textId="77777777" w:rsidR="00B81ED0" w:rsidRPr="00B81ED0" w:rsidRDefault="005B3785" w:rsidP="00B81ED0">
      <w:pPr>
        <w:pStyle w:val="Cuerpo"/>
        <w:spacing w:line="240" w:lineRule="auto"/>
        <w:jc w:val="center"/>
        <w:outlineLvl w:val="1"/>
        <w:rPr>
          <w:rFonts w:ascii="ITC Avant Garde" w:eastAsia="Times New Roman" w:hAnsi="ITC Avant Garde" w:cs="Times"/>
          <w:b/>
          <w:color w:val="auto"/>
          <w:lang w:eastAsia="es-MX"/>
        </w:rPr>
      </w:pPr>
      <w:r w:rsidRPr="00B81ED0">
        <w:rPr>
          <w:rFonts w:ascii="ITC Avant Garde" w:eastAsia="Times New Roman" w:hAnsi="ITC Avant Garde" w:cs="Times"/>
          <w:b/>
          <w:color w:val="auto"/>
          <w:lang w:eastAsia="es-MX"/>
        </w:rPr>
        <w:t>ANTECEDENTES</w:t>
      </w:r>
    </w:p>
    <w:p w14:paraId="63C2D9EA" w14:textId="77777777" w:rsidR="00B81ED0" w:rsidRPr="00B81ED0" w:rsidRDefault="004B68C7" w:rsidP="00B81ED0">
      <w:pPr>
        <w:pStyle w:val="Prrafodelista"/>
        <w:numPr>
          <w:ilvl w:val="0"/>
          <w:numId w:val="24"/>
        </w:numPr>
        <w:pBdr>
          <w:top w:val="nil"/>
          <w:left w:val="nil"/>
          <w:bottom w:val="nil"/>
          <w:right w:val="nil"/>
          <w:between w:val="nil"/>
          <w:bar w:val="nil"/>
        </w:pBdr>
        <w:suppressAutoHyphens/>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kern w:val="1"/>
          <w:sz w:val="22"/>
          <w:szCs w:val="22"/>
          <w:lang w:val="es-ES"/>
        </w:rPr>
        <w:t>El 11 de junio de 2013 se publicó en el DOF</w:t>
      </w:r>
      <w:r w:rsidRPr="00B81ED0">
        <w:rPr>
          <w:rFonts w:ascii="ITC Avant Garde" w:eastAsia="ITC Avant Garde" w:hAnsi="ITC Avant Garde" w:cs="ITC Avant Garde"/>
          <w:kern w:val="1"/>
          <w:sz w:val="22"/>
          <w:szCs w:val="22"/>
          <w:vertAlign w:val="superscript"/>
          <w:lang w:val="es-ES"/>
        </w:rPr>
        <w:footnoteReference w:id="1"/>
      </w:r>
      <w:r w:rsidRPr="00B81ED0">
        <w:rPr>
          <w:rFonts w:ascii="ITC Avant Garde" w:eastAsia="ITC Avant Garde" w:hAnsi="ITC Avant Garde" w:cs="ITC Avant Garde"/>
          <w:kern w:val="1"/>
          <w:sz w:val="22"/>
          <w:szCs w:val="22"/>
          <w:lang w:val="es-ES"/>
        </w:rPr>
        <w:t xml:space="preserve"> el </w:t>
      </w:r>
      <w:r w:rsidRPr="00B81ED0">
        <w:rPr>
          <w:rFonts w:ascii="ITC Avant Garde" w:eastAsia="ITC Avant Garde" w:hAnsi="ITC Avant Garde" w:cs="ITC Avant Garde"/>
          <w:iCs/>
          <w:kern w:val="1"/>
          <w:sz w:val="22"/>
          <w:szCs w:val="22"/>
          <w:lang w:val="es-ES"/>
        </w:rPr>
        <w:t>“DECRETO por el que se reforman y adicionan diversas disposiciones de los artículos 6o., 7o., 27, 28, 73, 78, 94 y 105 de la Constitución Política de los Estados Unidos Mexicanos, en materia de telecomunicaciones”</w:t>
      </w:r>
      <w:r w:rsidRPr="00B81ED0">
        <w:rPr>
          <w:rFonts w:ascii="ITC Avant Garde" w:eastAsia="ITC Avant Garde" w:hAnsi="ITC Avant Garde" w:cs="ITC Avant Garde"/>
          <w:kern w:val="1"/>
          <w:sz w:val="22"/>
          <w:szCs w:val="22"/>
          <w:lang w:val="es-ES"/>
        </w:rPr>
        <w:t>, mediante el cual se creó al Instituto como un órgano autónomo, con personalidad jurídica y patrimonio propio.</w:t>
      </w:r>
    </w:p>
    <w:p w14:paraId="326DC0DC" w14:textId="77777777" w:rsidR="00B81ED0" w:rsidRPr="00B81ED0" w:rsidRDefault="004B68C7" w:rsidP="00B81ED0">
      <w:pPr>
        <w:pStyle w:val="Prrafodelista"/>
        <w:numPr>
          <w:ilvl w:val="0"/>
          <w:numId w:val="24"/>
        </w:numPr>
        <w:pBdr>
          <w:top w:val="nil"/>
          <w:left w:val="nil"/>
          <w:bottom w:val="nil"/>
          <w:right w:val="nil"/>
          <w:between w:val="nil"/>
          <w:bar w:val="nil"/>
        </w:pBdr>
        <w:suppressAutoHyphens/>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kern w:val="1"/>
          <w:sz w:val="22"/>
          <w:szCs w:val="22"/>
          <w:lang w:val="es-ES"/>
        </w:rPr>
        <w:t xml:space="preserve">El 14 de julio de 2014 se publicó en el DOF el </w:t>
      </w:r>
      <w:r w:rsidRPr="00B81ED0">
        <w:rPr>
          <w:rFonts w:ascii="ITC Avant Garde" w:eastAsia="ITC Avant Garde" w:hAnsi="ITC Avant Garde" w:cs="ITC Avant Garde"/>
          <w:iCs/>
          <w:kern w:val="1"/>
          <w:sz w:val="22"/>
          <w:szCs w:val="22"/>
          <w:lang w:val="es-ES"/>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B81ED0">
        <w:rPr>
          <w:rFonts w:ascii="ITC Avant Garde" w:eastAsia="ITC Avant Garde" w:hAnsi="ITC Avant Garde" w:cs="ITC Avant Garde"/>
          <w:kern w:val="1"/>
          <w:sz w:val="22"/>
          <w:szCs w:val="22"/>
          <w:lang w:val="es-ES"/>
        </w:rPr>
        <w:t>, entrando en vigor la Ley Federal de Telecomunicaciones y Radiodifusión (Ley) el 13 de agosto de 2014.</w:t>
      </w:r>
    </w:p>
    <w:p w14:paraId="2664BBA7"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 xml:space="preserve">El 4 de septiembre de 2014 se publicó en el DOF el </w:t>
      </w:r>
      <w:r w:rsidRPr="00B81ED0">
        <w:rPr>
          <w:rFonts w:ascii="ITC Avant Garde" w:eastAsia="ITC Avant Garde" w:hAnsi="ITC Avant Garde" w:cs="ITC Avant Garde"/>
          <w:iCs/>
          <w:sz w:val="22"/>
          <w:szCs w:val="22"/>
          <w:lang w:val="es-ES"/>
        </w:rPr>
        <w:t>“Estatuto Orgánico del Instituto Federal de Telecomunicaciones”</w:t>
      </w:r>
      <w:r w:rsidRPr="00B81ED0">
        <w:rPr>
          <w:rFonts w:ascii="ITC Avant Garde" w:eastAsia="ITC Avant Garde" w:hAnsi="ITC Avant Garde" w:cs="ITC Avant Garde"/>
          <w:sz w:val="22"/>
          <w:szCs w:val="22"/>
          <w:lang w:val="es-ES"/>
        </w:rPr>
        <w:t>, el cual entró en vigor el 26 de septiembre de 2014</w:t>
      </w:r>
      <w:r w:rsidR="00495EF1" w:rsidRPr="00B81ED0">
        <w:rPr>
          <w:rFonts w:ascii="ITC Avant Garde" w:eastAsia="ITC Avant Garde" w:hAnsi="ITC Avant Garde" w:cs="ITC Avant Garde"/>
          <w:sz w:val="22"/>
          <w:szCs w:val="22"/>
          <w:lang w:val="es-ES"/>
        </w:rPr>
        <w:t xml:space="preserve"> </w:t>
      </w:r>
      <w:r w:rsidR="00495EF1" w:rsidRPr="00B81ED0">
        <w:rPr>
          <w:rFonts w:ascii="ITC Avant Garde" w:eastAsia="Calibri" w:hAnsi="ITC Avant Garde"/>
          <w:sz w:val="22"/>
          <w:szCs w:val="22"/>
          <w:lang w:eastAsia="es-MX"/>
        </w:rPr>
        <w:t>y</w:t>
      </w:r>
      <w:r w:rsidR="00495EF1" w:rsidRPr="00B81ED0">
        <w:rPr>
          <w:rFonts w:ascii="ITC Avant Garde" w:eastAsia="ITC Avant Garde" w:hAnsi="ITC Avant Garde" w:cs="ITC Avant Garde"/>
          <w:sz w:val="22"/>
          <w:szCs w:val="22"/>
          <w:lang w:val="es-ES"/>
        </w:rPr>
        <w:t xml:space="preserve"> se modificó por última vez el 20 de julio de 2017</w:t>
      </w:r>
      <w:r w:rsidRPr="00B81ED0">
        <w:rPr>
          <w:rFonts w:ascii="ITC Avant Garde" w:eastAsia="ITC Avant Garde" w:hAnsi="ITC Avant Garde" w:cs="ITC Avant Garde"/>
          <w:sz w:val="22"/>
          <w:szCs w:val="22"/>
          <w:lang w:val="es-ES"/>
        </w:rPr>
        <w:t>.</w:t>
      </w:r>
    </w:p>
    <w:p w14:paraId="1BFB65EC"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El 14 de junio de 2016, en su XVI Sesión Ordinaria, el Pleno del Instituto mediante Acuerdo P/IFT/140616/303, aprobó el “</w:t>
      </w:r>
      <w:r w:rsidRPr="00B81ED0">
        <w:rPr>
          <w:rFonts w:ascii="ITC Avant Garde" w:eastAsia="ITC Avant Garde" w:hAnsi="ITC Avant Garde" w:cs="ITC Avant Garde"/>
          <w:iCs/>
          <w:sz w:val="22"/>
          <w:szCs w:val="22"/>
          <w:lang w:val="es-ES"/>
        </w:rPr>
        <w:t>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r w:rsidRPr="00B81ED0">
        <w:rPr>
          <w:rFonts w:ascii="ITC Avant Garde" w:eastAsia="ITC Avant Garde" w:hAnsi="ITC Avant Garde" w:cs="ITC Avant Garde"/>
          <w:sz w:val="22"/>
          <w:szCs w:val="22"/>
          <w:lang w:val="es-ES"/>
        </w:rPr>
        <w:t>”.</w:t>
      </w:r>
    </w:p>
    <w:p w14:paraId="0E4BC908"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El 20 de junio de 2016 se publicó en el DOF la convocatoria a la “</w:t>
      </w:r>
      <w:r w:rsidRPr="00B81ED0">
        <w:rPr>
          <w:rFonts w:ascii="ITC Avant Garde" w:eastAsia="ITC Avant Garde" w:hAnsi="ITC Avant Garde" w:cs="ITC Avant Garde"/>
          <w:iCs/>
          <w:sz w:val="22"/>
          <w:szCs w:val="22"/>
          <w:lang w:val="es-ES"/>
        </w:rPr>
        <w:t xml:space="preserve">Licitación Pública para concesionar el uso, aprovechamiento y explotación comercial de 191 frecuencias en el segmento de 88 a 106 MHz de la banda de frecuencia modulada y de 66 frecuencias en el segmento de 535 a 1605 kHz </w:t>
      </w:r>
      <w:r w:rsidRPr="00B81ED0">
        <w:rPr>
          <w:rFonts w:ascii="ITC Avant Garde" w:eastAsia="ITC Avant Garde" w:hAnsi="ITC Avant Garde" w:cs="ITC Avant Garde"/>
          <w:iCs/>
          <w:sz w:val="22"/>
          <w:szCs w:val="22"/>
          <w:lang w:val="es-ES"/>
        </w:rPr>
        <w:lastRenderedPageBreak/>
        <w:t>de la banda de amplitud modulada, para la prestación del servicio público de radiodifusión sonora (Licitación No. IFT-4)”.</w:t>
      </w:r>
    </w:p>
    <w:p w14:paraId="23363015"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iCs/>
          <w:sz w:val="22"/>
          <w:szCs w:val="22"/>
          <w:lang w:val="es-ES"/>
        </w:rPr>
      </w:pPr>
      <w:r w:rsidRPr="00B81ED0">
        <w:rPr>
          <w:rFonts w:ascii="ITC Avant Garde" w:eastAsia="ITC Avant Garde" w:hAnsi="ITC Avant Garde" w:cs="ITC Avant Garde"/>
          <w:sz w:val="22"/>
          <w:szCs w:val="22"/>
          <w:lang w:val="es-ES"/>
        </w:rPr>
        <w:t>El 20 de junio de 2016 se publicaron en el Portal de Internet del Instituto las “</w:t>
      </w:r>
      <w:r w:rsidRPr="00B81ED0">
        <w:rPr>
          <w:rFonts w:ascii="ITC Avant Garde" w:eastAsia="ITC Avant Garde" w:hAnsi="ITC Avant Garde" w:cs="ITC Avant Garde"/>
          <w:iCs/>
          <w:sz w:val="22"/>
          <w:szCs w:val="22"/>
          <w:lang w:val="es-ES"/>
        </w:rPr>
        <w:t xml:space="preserve">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w:t>
      </w:r>
      <w:r w:rsidRPr="00B81ED0">
        <w:rPr>
          <w:rFonts w:ascii="ITC Avant Garde" w:eastAsia="ITC Avant Garde" w:hAnsi="ITC Avant Garde" w:cs="ITC Avant Garde"/>
          <w:sz w:val="22"/>
          <w:szCs w:val="22"/>
          <w:lang w:val="es-ES"/>
        </w:rPr>
        <w:t>(Bases)</w:t>
      </w:r>
      <w:r w:rsidRPr="00B81ED0">
        <w:rPr>
          <w:rFonts w:ascii="ITC Avant Garde" w:eastAsia="ITC Avant Garde" w:hAnsi="ITC Avant Garde" w:cs="ITC Avant Garde"/>
          <w:iCs/>
          <w:sz w:val="22"/>
          <w:szCs w:val="22"/>
          <w:lang w:val="es-ES"/>
        </w:rPr>
        <w:t>.</w:t>
      </w:r>
    </w:p>
    <w:p w14:paraId="42E5DCD2" w14:textId="73073D21"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Del 27 de junio al 29 de julio de 2016, en cumplimiento a lo establecido en el Calendario de Actividades de las Bases, durante la Primera Etapa: “</w:t>
      </w:r>
      <w:r w:rsidRPr="00B81ED0">
        <w:rPr>
          <w:rFonts w:ascii="ITC Avant Garde" w:eastAsia="ITC Avant Garde" w:hAnsi="ITC Avant Garde" w:cs="ITC Avant Garde"/>
          <w:iCs/>
          <w:sz w:val="22"/>
          <w:szCs w:val="22"/>
          <w:lang w:val="es-ES"/>
        </w:rPr>
        <w:t>Manifestación de Interés y Entrega de Información y Documentación</w:t>
      </w:r>
      <w:r w:rsidRPr="00B81ED0">
        <w:rPr>
          <w:rFonts w:ascii="ITC Avant Garde" w:eastAsia="ITC Avant Garde" w:hAnsi="ITC Avant Garde" w:cs="ITC Avant Garde"/>
          <w:sz w:val="22"/>
          <w:szCs w:val="22"/>
          <w:lang w:val="es-ES"/>
        </w:rPr>
        <w:t>”, se realizaron manifestaciones de interés para participar en la Licitación No. IFT-4 por parte de 421 Interesados, quienes cargaron en el Sistema Electrónico de Registro y Presentación de Ofertas (SE</w:t>
      </w:r>
      <w:r w:rsidR="00B81ED0">
        <w:rPr>
          <w:rFonts w:ascii="ITC Avant Garde" w:eastAsia="ITC Avant Garde" w:hAnsi="ITC Avant Garde" w:cs="ITC Avant Garde"/>
          <w:sz w:val="22"/>
          <w:szCs w:val="22"/>
          <w:lang w:val="es-ES"/>
        </w:rPr>
        <w:t>RPO) la información solicitada.</w:t>
      </w:r>
    </w:p>
    <w:p w14:paraId="6957AB06"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Del 1 al 5 de agosto de 2016 se recibieron a través del SERPO las preguntas por parte de los Interesados, respecto de las Bases, sus Apéndices y Anexos.</w:t>
      </w:r>
    </w:p>
    <w:p w14:paraId="01AB65EF" w14:textId="04512F64"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El 26 de agosto de 2016 se publicaron en el Portal de Internet del Instituto las preguntas recibidas y las respuestas correspondientes, respecto de las</w:t>
      </w:r>
      <w:r w:rsidR="00B81ED0">
        <w:rPr>
          <w:rFonts w:ascii="ITC Avant Garde" w:eastAsia="ITC Avant Garde" w:hAnsi="ITC Avant Garde" w:cs="ITC Avant Garde"/>
          <w:sz w:val="22"/>
          <w:szCs w:val="22"/>
          <w:lang w:val="es-ES"/>
        </w:rPr>
        <w:t xml:space="preserve"> Bases, sus Apéndices y Anexos.</w:t>
      </w:r>
    </w:p>
    <w:p w14:paraId="654547B2" w14:textId="01EC0336"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w:t>
      </w:r>
      <w:r w:rsidR="00B81ED0">
        <w:rPr>
          <w:rFonts w:ascii="ITC Avant Garde" w:eastAsia="ITC Avant Garde" w:hAnsi="ITC Avant Garde" w:cs="ITC Avant Garde"/>
          <w:sz w:val="22"/>
          <w:szCs w:val="22"/>
          <w:lang w:val="es-ES"/>
        </w:rPr>
        <w:t>l de Procedimiento de Registro.</w:t>
      </w:r>
    </w:p>
    <w:p w14:paraId="7940A73F" w14:textId="3B07F881"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B81ED0">
        <w:rPr>
          <w:rFonts w:ascii="ITC Avant Garde" w:eastAsia="ITC Avant Garde" w:hAnsi="ITC Avant Garde" w:cs="ITC Avant Garde"/>
          <w:sz w:val="22"/>
          <w:szCs w:val="22"/>
          <w:lang w:val="es-ES"/>
        </w:rPr>
        <w:t>nexos, así como del Apéndice E.</w:t>
      </w:r>
    </w:p>
    <w:p w14:paraId="4DCC5E62"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Del 10 al 21 de octubre de 2016 transcurrió el término para que los Interesados que fueron objeto de prevención por el Instituto complementaran, a través del SERPO, la información y/o documentación requerida.</w:t>
      </w:r>
    </w:p>
    <w:p w14:paraId="22CEF98B" w14:textId="2FDF54BE" w:rsidR="00B81ED0" w:rsidRPr="00B81ED0" w:rsidRDefault="004B68C7" w:rsidP="00B81ED0">
      <w:pPr>
        <w:pStyle w:val="Prrafodelista"/>
        <w:numPr>
          <w:ilvl w:val="0"/>
          <w:numId w:val="24"/>
        </w:numPr>
        <w:pBdr>
          <w:top w:val="nil"/>
          <w:left w:val="nil"/>
          <w:bottom w:val="nil"/>
          <w:right w:val="nil"/>
          <w:between w:val="nil"/>
          <w:bar w:val="nil"/>
        </w:pBdr>
        <w:spacing w:after="200"/>
        <w:ind w:hanging="436"/>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 xml:space="preserve">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w:t>
      </w:r>
      <w:r w:rsidRPr="00B81ED0">
        <w:rPr>
          <w:rFonts w:ascii="ITC Avant Garde" w:eastAsia="ITC Avant Garde" w:hAnsi="ITC Avant Garde" w:cs="ITC Avant Garde"/>
          <w:sz w:val="22"/>
          <w:szCs w:val="22"/>
          <w:lang w:val="es-ES"/>
        </w:rPr>
        <w:lastRenderedPageBreak/>
        <w:t>información relativa al proceso autenticándola con su FIEL en la Licitación No. IFT-4</w:t>
      </w:r>
      <w:r w:rsidR="00B81ED0">
        <w:rPr>
          <w:rFonts w:ascii="ITC Avant Garde" w:eastAsia="ITC Avant Garde" w:hAnsi="ITC Avant Garde" w:cs="ITC Avant Garde"/>
          <w:sz w:val="22"/>
          <w:szCs w:val="22"/>
          <w:lang w:val="es-ES"/>
        </w:rPr>
        <w:t>.</w:t>
      </w:r>
    </w:p>
    <w:p w14:paraId="5E7AD7AE"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hanging="720"/>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0BF579B4" w14:textId="4A3AF991"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sz w:val="22"/>
          <w:szCs w:val="22"/>
          <w:lang w:val="es-ES"/>
        </w:rPr>
        <w:t>El 13 de enero de 2017 el Pleno del Instituto instruyó a la UER a que expidiera a favor de distintos Interesados las Constancias de Participación correspondientes, den</w:t>
      </w:r>
      <w:r w:rsidR="00B81ED0">
        <w:rPr>
          <w:rFonts w:ascii="ITC Avant Garde" w:eastAsia="ITC Avant Garde" w:hAnsi="ITC Avant Garde" w:cs="ITC Avant Garde"/>
          <w:sz w:val="22"/>
          <w:szCs w:val="22"/>
          <w:lang w:val="es-ES"/>
        </w:rPr>
        <w:t>tro de la Licitación No. IFT-4.</w:t>
      </w:r>
    </w:p>
    <w:p w14:paraId="407E5B57" w14:textId="77777777" w:rsidR="00B81ED0" w:rsidRPr="00B81ED0" w:rsidRDefault="004B68C7" w:rsidP="00B81ED0">
      <w:pPr>
        <w:pStyle w:val="Cuerpo"/>
        <w:numPr>
          <w:ilvl w:val="0"/>
          <w:numId w:val="24"/>
        </w:numPr>
        <w:spacing w:line="240" w:lineRule="auto"/>
        <w:ind w:right="49" w:hanging="720"/>
        <w:jc w:val="both"/>
        <w:rPr>
          <w:rFonts w:ascii="ITC Avant Garde" w:eastAsia="ITC Avant Garde" w:hAnsi="ITC Avant Garde" w:cs="ITC Avant Garde"/>
          <w:color w:val="auto"/>
          <w:lang w:val="es-ES"/>
        </w:rPr>
      </w:pPr>
      <w:r w:rsidRPr="00B81ED0">
        <w:rPr>
          <w:rFonts w:ascii="ITC Avant Garde" w:eastAsia="ITC Avant Garde" w:hAnsi="ITC Avant Garde" w:cs="ITC Avant Garde"/>
          <w:color w:val="auto"/>
          <w:lang w:val="es-ES"/>
        </w:rPr>
        <w:t xml:space="preserve">La Dirección General de Economía del Espectro y Recursos Orbitales de la UER del Instituto, </w:t>
      </w:r>
      <w:r w:rsidR="00BA3A10" w:rsidRPr="00B81ED0">
        <w:rPr>
          <w:rFonts w:ascii="ITC Avant Garde" w:eastAsia="ITC Avant Garde" w:hAnsi="ITC Avant Garde" w:cs="ITC Avant Garde"/>
          <w:color w:val="auto"/>
          <w:lang w:val="es-ES"/>
        </w:rPr>
        <w:t xml:space="preserve">una vez realizada la </w:t>
      </w:r>
      <w:r w:rsidRPr="00B81ED0">
        <w:rPr>
          <w:rFonts w:ascii="ITC Avant Garde" w:eastAsia="ITC Avant Garde" w:hAnsi="ITC Avant Garde" w:cs="ITC Avant Garde"/>
          <w:color w:val="auto"/>
          <w:lang w:val="es-ES"/>
        </w:rPr>
        <w:t xml:space="preserve">evaluación del cumplimiento de las capacidades </w:t>
      </w:r>
      <w:proofErr w:type="gramStart"/>
      <w:r w:rsidRPr="00B81ED0">
        <w:rPr>
          <w:rFonts w:ascii="ITC Avant Garde" w:eastAsia="ITC Avant Garde" w:hAnsi="ITC Avant Garde" w:cs="ITC Avant Garde"/>
          <w:color w:val="auto"/>
          <w:lang w:val="es-ES"/>
        </w:rPr>
        <w:t>administrativa, técnica, jurídica y financiera</w:t>
      </w:r>
      <w:proofErr w:type="gramEnd"/>
      <w:r w:rsidRPr="00B81ED0">
        <w:rPr>
          <w:rFonts w:ascii="ITC Avant Garde" w:eastAsia="ITC Avant Garde" w:hAnsi="ITC Avant Garde" w:cs="ITC Avant Garde"/>
          <w:color w:val="auto"/>
          <w:lang w:val="es-ES"/>
        </w:rPr>
        <w:t>, emitió las Constancias de Participación a favor de los Interesados que determinó el Pleno del Instituto.</w:t>
      </w:r>
    </w:p>
    <w:p w14:paraId="1A96685E" w14:textId="0B5DB446"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kern w:val="1"/>
          <w:sz w:val="22"/>
          <w:szCs w:val="22"/>
          <w:lang w:val="es-ES"/>
        </w:rPr>
        <w:t>Del 23 al 27 de enero de 2017, conforme al calendario publicado en el Portal de Internet del Instituto 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B81ED0">
        <w:rPr>
          <w:rFonts w:ascii="ITC Avant Garde" w:eastAsia="ITC Avant Garde" w:hAnsi="ITC Avant Garde" w:cs="ITC Avant Garde"/>
          <w:kern w:val="1"/>
          <w:sz w:val="22"/>
          <w:szCs w:val="22"/>
          <w:lang w:val="es-ES"/>
        </w:rPr>
        <w:t>nto de Presentación de Ofertas.</w:t>
      </w:r>
    </w:p>
    <w:p w14:paraId="7272A353"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kern w:val="1"/>
          <w:sz w:val="22"/>
          <w:szCs w:val="22"/>
          <w:lang w:val="es-ES"/>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56371575"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kern w:val="1"/>
          <w:sz w:val="22"/>
          <w:szCs w:val="22"/>
          <w:lang w:val="es-ES"/>
        </w:rPr>
        <w:t>El 7 de febrero de 2017 dio inicio el Procedimiento de Presentación de Ofertas, para el concurso de la Banda FM, el cual concluyó el 13 de febrero de 2017.</w:t>
      </w:r>
    </w:p>
    <w:p w14:paraId="01C0127E" w14:textId="77777777" w:rsidR="00B81ED0" w:rsidRPr="00B81ED0" w:rsidRDefault="004B68C7" w:rsidP="00B81ED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kern w:val="1"/>
          <w:sz w:val="22"/>
          <w:szCs w:val="22"/>
          <w:lang w:val="es-ES"/>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696D59D7" w14:textId="1A3F1973" w:rsidR="004B68C7" w:rsidRPr="00B81ED0" w:rsidRDefault="004B68C7" w:rsidP="00B81ED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B81ED0">
        <w:rPr>
          <w:rFonts w:ascii="ITC Avant Garde" w:eastAsia="ITC Avant Garde" w:hAnsi="ITC Avant Garde" w:cs="ITC Avant Garde"/>
          <w:kern w:val="1"/>
          <w:sz w:val="22"/>
          <w:szCs w:val="22"/>
          <w:lang w:val="es-ES"/>
        </w:rPr>
        <w:t>El 17 de febrero de 2017 se publicaron en el Portal de Internet del Instituto los resultados de cada Lote del Concurso de la Banda AM.</w:t>
      </w:r>
    </w:p>
    <w:p w14:paraId="427D7823" w14:textId="4ED809B6" w:rsidR="00B81ED0" w:rsidRDefault="004B68C7" w:rsidP="00B81ED0">
      <w:pPr>
        <w:pStyle w:val="Prrafodelista"/>
        <w:numPr>
          <w:ilvl w:val="0"/>
          <w:numId w:val="24"/>
        </w:numPr>
        <w:tabs>
          <w:tab w:val="left" w:pos="709"/>
        </w:tabs>
        <w:spacing w:after="200"/>
        <w:ind w:left="709" w:right="49" w:hanging="689"/>
        <w:contextualSpacing/>
        <w:jc w:val="both"/>
        <w:rPr>
          <w:rFonts w:ascii="ITC Avant Garde" w:eastAsia="Calibri" w:hAnsi="ITC Avant Garde"/>
          <w:sz w:val="22"/>
          <w:szCs w:val="22"/>
          <w:lang w:eastAsia="es-MX"/>
        </w:rPr>
      </w:pPr>
      <w:r w:rsidRPr="00B81ED0">
        <w:rPr>
          <w:rFonts w:ascii="ITC Avant Garde" w:eastAsia="Calibri" w:hAnsi="ITC Avant Garde"/>
          <w:sz w:val="22"/>
          <w:szCs w:val="22"/>
          <w:lang w:eastAsia="es-MX"/>
        </w:rPr>
        <w:t xml:space="preserve">El 22 de marzo de 2017 en su XII Sesión Ordinaria, el Pleno del Instituto emitió y aprobó </w:t>
      </w:r>
      <w:r w:rsidR="00391FFD" w:rsidRPr="00B81ED0">
        <w:rPr>
          <w:rFonts w:ascii="ITC Avant Garde" w:eastAsia="Calibri" w:hAnsi="ITC Avant Garde"/>
          <w:sz w:val="22"/>
          <w:szCs w:val="22"/>
          <w:lang w:eastAsia="es-MX"/>
        </w:rPr>
        <w:t>los</w:t>
      </w:r>
      <w:r w:rsidRPr="00B81ED0">
        <w:rPr>
          <w:rFonts w:ascii="ITC Avant Garde" w:eastAsia="Calibri" w:hAnsi="ITC Avant Garde"/>
          <w:sz w:val="22"/>
          <w:szCs w:val="22"/>
          <w:lang w:eastAsia="es-MX"/>
        </w:rPr>
        <w:t xml:space="preserve"> Acuerdo</w:t>
      </w:r>
      <w:r w:rsidR="00391FFD" w:rsidRPr="00B81ED0">
        <w:rPr>
          <w:rFonts w:ascii="ITC Avant Garde" w:eastAsia="Calibri" w:hAnsi="ITC Avant Garde"/>
          <w:sz w:val="22"/>
          <w:szCs w:val="22"/>
          <w:lang w:eastAsia="es-MX"/>
        </w:rPr>
        <w:t>s</w:t>
      </w:r>
      <w:r w:rsidRPr="00B81ED0">
        <w:rPr>
          <w:rFonts w:ascii="ITC Avant Garde" w:eastAsia="Calibri" w:hAnsi="ITC Avant Garde"/>
          <w:sz w:val="22"/>
          <w:szCs w:val="22"/>
          <w:lang w:eastAsia="es-MX"/>
        </w:rPr>
        <w:t xml:space="preserve"> P/IFT/220317/148-</w:t>
      </w:r>
      <w:r w:rsidR="00BB3582" w:rsidRPr="00B81ED0">
        <w:rPr>
          <w:rFonts w:ascii="ITC Avant Garde" w:eastAsia="Calibri" w:hAnsi="ITC Avant Garde"/>
          <w:sz w:val="22"/>
          <w:szCs w:val="22"/>
          <w:lang w:eastAsia="es-MX"/>
        </w:rPr>
        <w:t>4</w:t>
      </w:r>
      <w:r w:rsidR="00391FFD" w:rsidRPr="00B81ED0">
        <w:rPr>
          <w:rFonts w:ascii="ITC Avant Garde" w:eastAsia="Calibri" w:hAnsi="ITC Avant Garde"/>
          <w:sz w:val="22"/>
          <w:szCs w:val="22"/>
          <w:lang w:eastAsia="es-MX"/>
        </w:rPr>
        <w:t xml:space="preserve"> y </w:t>
      </w:r>
      <w:r w:rsidR="00BB3582" w:rsidRPr="00B81ED0">
        <w:rPr>
          <w:rFonts w:ascii="ITC Avant Garde" w:eastAsia="Calibri" w:hAnsi="ITC Avant Garde"/>
          <w:sz w:val="22"/>
          <w:szCs w:val="22"/>
          <w:lang w:eastAsia="es-MX"/>
        </w:rPr>
        <w:t>P/IFT/220317/148-88</w:t>
      </w:r>
      <w:r w:rsidRPr="00B81ED0">
        <w:rPr>
          <w:rFonts w:ascii="ITC Avant Garde" w:eastAsia="Calibri" w:hAnsi="ITC Avant Garde"/>
          <w:sz w:val="22"/>
          <w:szCs w:val="22"/>
          <w:lang w:eastAsia="es-MX"/>
        </w:rPr>
        <w:t>, consistente</w:t>
      </w:r>
      <w:r w:rsidR="00BB3582" w:rsidRPr="00B81ED0">
        <w:rPr>
          <w:rFonts w:ascii="ITC Avant Garde" w:eastAsia="Calibri" w:hAnsi="ITC Avant Garde"/>
          <w:sz w:val="22"/>
          <w:szCs w:val="22"/>
          <w:lang w:eastAsia="es-MX"/>
        </w:rPr>
        <w:t>s</w:t>
      </w:r>
      <w:r w:rsidRPr="00B81ED0">
        <w:rPr>
          <w:rFonts w:ascii="ITC Avant Garde" w:eastAsia="Calibri" w:hAnsi="ITC Avant Garde"/>
          <w:sz w:val="22"/>
          <w:szCs w:val="22"/>
          <w:lang w:eastAsia="es-MX"/>
        </w:rPr>
        <w:t xml:space="preserve"> en la “</w:t>
      </w:r>
      <w:r w:rsidR="00651E72" w:rsidRPr="00B81ED0">
        <w:rPr>
          <w:rFonts w:ascii="ITC Avant Garde" w:eastAsia="Calibri" w:hAnsi="ITC Avant Garde"/>
          <w:sz w:val="22"/>
          <w:szCs w:val="22"/>
          <w:lang w:eastAsia="es-MX"/>
        </w:rPr>
        <w:t xml:space="preserve">RESOLUCIÓN MEDIANTE LA CUAL EL PLENO DEL INSTITUTO FEDERAL DE TELECOMUNICACIONES DETERMINA Y HACE CONSTAR EL FALLO A FAVOR DEL PARTICIPANTE INFORMACIÓN Y CULTURA ASCENDENTE, S.A. DE C.V. CON </w:t>
      </w:r>
      <w:r w:rsidR="00651E72" w:rsidRPr="00B81ED0">
        <w:rPr>
          <w:rFonts w:ascii="ITC Avant Garde" w:eastAsia="Calibri" w:hAnsi="ITC Avant Garde"/>
          <w:sz w:val="22"/>
          <w:szCs w:val="22"/>
          <w:lang w:eastAsia="es-MX"/>
        </w:rPr>
        <w:lastRenderedPageBreak/>
        <w:t>NÚMERO DE FOLIO ÚNICO I1-354443, RESPECTO DEL LOTE 5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Pr="00B81ED0">
        <w:rPr>
          <w:rFonts w:ascii="ITC Avant Garde" w:eastAsia="Calibri" w:hAnsi="ITC Avant Garde"/>
          <w:sz w:val="22"/>
          <w:szCs w:val="22"/>
          <w:lang w:eastAsia="es-MX"/>
        </w:rPr>
        <w:t>”</w:t>
      </w:r>
      <w:r w:rsidR="00527383" w:rsidRPr="00B81ED0">
        <w:rPr>
          <w:rFonts w:ascii="ITC Avant Garde" w:eastAsia="Calibri" w:hAnsi="ITC Avant Garde"/>
          <w:sz w:val="22"/>
          <w:szCs w:val="22"/>
          <w:lang w:eastAsia="es-MX"/>
        </w:rPr>
        <w:t xml:space="preserve"> y la “RESOLUCIÓN MEDIANTE LA CUAL EL PLENO DEL INSTITUTO FEDERAL DE TELECOMUNICACIONES DETERMINA Y HACE CONSTAR EL FALLO A FAVOR DEL PARTICIPANTE PROMOTORA DE ÉXITOS, S.A. DE C.V. CON NÚMERO DE FOLIO ÚNICO P9-520100, RESPECTO DEL LOTE 119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BB3582" w:rsidRPr="00B81ED0">
        <w:rPr>
          <w:rFonts w:ascii="ITC Avant Garde" w:eastAsia="Calibri" w:hAnsi="ITC Avant Garde"/>
          <w:sz w:val="22"/>
          <w:szCs w:val="22"/>
          <w:lang w:eastAsia="es-MX"/>
        </w:rPr>
        <w:t>, respectivamente</w:t>
      </w:r>
      <w:r w:rsidR="00B81ED0">
        <w:rPr>
          <w:rFonts w:ascii="ITC Avant Garde" w:eastAsia="Calibri" w:hAnsi="ITC Avant Garde"/>
          <w:sz w:val="22"/>
          <w:szCs w:val="22"/>
          <w:lang w:eastAsia="es-MX"/>
        </w:rPr>
        <w:t>.</w:t>
      </w:r>
    </w:p>
    <w:p w14:paraId="404915D9" w14:textId="77777777" w:rsidR="00B81ED0" w:rsidRPr="00B81ED0" w:rsidRDefault="00B81ED0" w:rsidP="00B81ED0">
      <w:pPr>
        <w:pStyle w:val="Prrafodelista"/>
        <w:tabs>
          <w:tab w:val="left" w:pos="709"/>
        </w:tabs>
        <w:spacing w:after="200"/>
        <w:ind w:left="709" w:right="49"/>
        <w:contextualSpacing/>
        <w:jc w:val="both"/>
        <w:rPr>
          <w:rFonts w:ascii="ITC Avant Garde" w:eastAsia="Calibri" w:hAnsi="ITC Avant Garde"/>
          <w:sz w:val="22"/>
          <w:szCs w:val="22"/>
          <w:lang w:eastAsia="es-MX"/>
        </w:rPr>
      </w:pPr>
    </w:p>
    <w:p w14:paraId="7F403F2B" w14:textId="77777777" w:rsidR="00B81ED0" w:rsidRDefault="00391FFD" w:rsidP="00B81ED0">
      <w:pPr>
        <w:pStyle w:val="Prrafodelista"/>
        <w:numPr>
          <w:ilvl w:val="0"/>
          <w:numId w:val="24"/>
        </w:numPr>
        <w:tabs>
          <w:tab w:val="left" w:pos="709"/>
        </w:tabs>
        <w:spacing w:after="200"/>
        <w:ind w:left="709" w:right="49" w:hanging="689"/>
        <w:contextualSpacing/>
        <w:jc w:val="both"/>
        <w:rPr>
          <w:rFonts w:ascii="ITC Avant Garde" w:eastAsia="Arial Unicode MS" w:hAnsi="ITC Avant Garde" w:cs="Arial Unicode MS"/>
          <w:kern w:val="1"/>
          <w:sz w:val="22"/>
          <w:szCs w:val="22"/>
          <w:u w:color="000000"/>
          <w:bdr w:val="nil"/>
          <w:lang w:val="es-ES_tradnl" w:eastAsia="ar-SA"/>
        </w:rPr>
      </w:pPr>
      <w:r w:rsidRPr="00B81ED0">
        <w:rPr>
          <w:rFonts w:ascii="ITC Avant Garde" w:eastAsia="Arial Unicode MS" w:hAnsi="ITC Avant Garde" w:cs="Arial Unicode MS"/>
          <w:kern w:val="1"/>
          <w:sz w:val="22"/>
          <w:szCs w:val="22"/>
          <w:u w:color="000000"/>
          <w:bdr w:val="nil"/>
          <w:lang w:val="es-ES_tradnl" w:eastAsia="ar-SA"/>
        </w:rPr>
        <w:t>Del 30 al 31 de marzo de 2017 el Instituto notificó las Actas de Fallo a los Participantes Ganadores a través del SERPO. Asimismo, se publicó en el Portal de Internet del Instituto el calendario mediante el cual se dio a conocer a los Participantes Ganadores las fechas correspondientes para la entrega de documentación física y de los números de referencia para el pago de las Contraprestaciones en la Licitación No. IFT-4.</w:t>
      </w:r>
    </w:p>
    <w:p w14:paraId="4006FC2B" w14:textId="77777777" w:rsidR="00B81ED0" w:rsidRPr="00B81ED0" w:rsidRDefault="00B81ED0" w:rsidP="00B81ED0">
      <w:pPr>
        <w:pStyle w:val="Prrafodelista"/>
        <w:tabs>
          <w:tab w:val="left" w:pos="709"/>
        </w:tabs>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2AB80E44" w14:textId="3EEA5D38" w:rsidR="00B81ED0" w:rsidRDefault="00391FFD" w:rsidP="00B81ED0">
      <w:pPr>
        <w:pStyle w:val="Prrafodelista"/>
        <w:numPr>
          <w:ilvl w:val="0"/>
          <w:numId w:val="24"/>
        </w:numPr>
        <w:tabs>
          <w:tab w:val="left" w:pos="709"/>
        </w:tabs>
        <w:spacing w:after="200"/>
        <w:ind w:left="709" w:right="49" w:hanging="689"/>
        <w:contextualSpacing/>
        <w:jc w:val="both"/>
        <w:rPr>
          <w:rFonts w:ascii="ITC Avant Garde" w:eastAsia="Arial Unicode MS" w:hAnsi="ITC Avant Garde" w:cs="Arial Unicode MS"/>
          <w:kern w:val="1"/>
          <w:sz w:val="22"/>
          <w:szCs w:val="22"/>
          <w:u w:color="000000"/>
          <w:bdr w:val="nil"/>
          <w:lang w:val="es-ES_tradnl" w:eastAsia="ar-SA"/>
        </w:rPr>
      </w:pPr>
      <w:r w:rsidRPr="00B81ED0">
        <w:rPr>
          <w:rFonts w:ascii="ITC Avant Garde" w:eastAsia="Arial Unicode MS" w:hAnsi="ITC Avant Garde" w:cs="Arial Unicode MS"/>
          <w:kern w:val="1"/>
          <w:sz w:val="22"/>
          <w:szCs w:val="22"/>
          <w:u w:color="000000"/>
          <w:bdr w:val="nil"/>
          <w:lang w:val="es-ES_tradnl" w:eastAsia="ar-SA"/>
        </w:rPr>
        <w:t>En el periodo comprendido entre el 3 al 21 de abril de 2017 los Participantes Ganadores debían cumplir con la condición de entregar la documentación que guarda plena identidad con la presentada en el numeral 5.1.3 de las Bases, con excepción de la información y los documentos presentados conforme</w:t>
      </w:r>
      <w:r w:rsidR="00B81ED0">
        <w:rPr>
          <w:rFonts w:ascii="ITC Avant Garde" w:eastAsia="Arial Unicode MS" w:hAnsi="ITC Avant Garde" w:cs="Arial Unicode MS"/>
          <w:kern w:val="1"/>
          <w:sz w:val="22"/>
          <w:szCs w:val="22"/>
          <w:u w:color="000000"/>
          <w:bdr w:val="nil"/>
          <w:lang w:val="es-ES_tradnl" w:eastAsia="ar-SA"/>
        </w:rPr>
        <w:t xml:space="preserve"> al numeral 5.2.1 de las Bases.</w:t>
      </w:r>
    </w:p>
    <w:p w14:paraId="4070B55C" w14:textId="77777777" w:rsidR="00B81ED0" w:rsidRPr="00B81ED0" w:rsidRDefault="00B81ED0" w:rsidP="00B81ED0">
      <w:pPr>
        <w:pStyle w:val="Prrafodelista"/>
        <w:tabs>
          <w:tab w:val="left" w:pos="709"/>
        </w:tabs>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3AD87D0F" w14:textId="77777777" w:rsidR="00B81ED0" w:rsidRDefault="00391FFD" w:rsidP="00B81ED0">
      <w:pPr>
        <w:pStyle w:val="Prrafodelista"/>
        <w:numPr>
          <w:ilvl w:val="0"/>
          <w:numId w:val="24"/>
        </w:numPr>
        <w:tabs>
          <w:tab w:val="left" w:pos="709"/>
        </w:tabs>
        <w:spacing w:after="200"/>
        <w:ind w:left="709" w:right="49" w:hanging="689"/>
        <w:contextualSpacing/>
        <w:jc w:val="both"/>
        <w:rPr>
          <w:rFonts w:ascii="ITC Avant Garde" w:eastAsia="Arial Unicode MS" w:hAnsi="ITC Avant Garde" w:cs="Arial Unicode MS"/>
          <w:kern w:val="1"/>
          <w:sz w:val="22"/>
          <w:szCs w:val="22"/>
          <w:u w:color="000000"/>
          <w:bdr w:val="nil"/>
          <w:lang w:val="es-ES_tradnl" w:eastAsia="ar-SA"/>
        </w:rPr>
      </w:pPr>
      <w:r w:rsidRPr="00B81ED0">
        <w:rPr>
          <w:rFonts w:ascii="ITC Avant Garde" w:eastAsia="Arial Unicode MS" w:hAnsi="ITC Avant Garde" w:cs="Arial Unicode MS"/>
          <w:kern w:val="1"/>
          <w:sz w:val="22"/>
          <w:szCs w:val="22"/>
          <w:u w:color="000000"/>
          <w:bdr w:val="nil"/>
          <w:lang w:val="es-ES_tradnl" w:eastAsia="ar-SA"/>
        </w:rPr>
        <w:t xml:space="preserve">El 19 de abril de 2017 el Participante </w:t>
      </w:r>
      <w:r w:rsidRPr="00B81ED0">
        <w:rPr>
          <w:rFonts w:ascii="ITC Avant Garde" w:eastAsia="Arial Unicode MS" w:hAnsi="ITC Avant Garde" w:cs="Arial Unicode MS"/>
          <w:b/>
          <w:kern w:val="1"/>
          <w:sz w:val="22"/>
          <w:szCs w:val="22"/>
          <w:u w:color="000000"/>
          <w:bdr w:val="nil"/>
          <w:lang w:val="es-ES_tradnl" w:eastAsia="ar-SA"/>
        </w:rPr>
        <w:t>Mario Óscar Beteta Vallejo</w:t>
      </w:r>
      <w:r w:rsidRPr="00B81ED0">
        <w:rPr>
          <w:rFonts w:ascii="ITC Avant Garde" w:eastAsia="Arial Unicode MS" w:hAnsi="ITC Avant Garde" w:cs="Arial Unicode MS"/>
          <w:kern w:val="1"/>
          <w:sz w:val="22"/>
          <w:szCs w:val="22"/>
          <w:u w:color="000000"/>
          <w:bdr w:val="nil"/>
          <w:lang w:val="es-ES_tradnl" w:eastAsia="ar-SA"/>
        </w:rPr>
        <w:t>, manifestó su interés de continuar en el proceso hasta en tanto no se realizara la entrega de los títulos de concesión respectivos al Participante Ganador o se declare desierta la Licitación para el Lote correspondiente, en términos de lo previsto en el Apéndice G de las Bases.</w:t>
      </w:r>
    </w:p>
    <w:p w14:paraId="6DE4A962" w14:textId="77777777" w:rsidR="00B81ED0" w:rsidRPr="00B81ED0" w:rsidRDefault="00B81ED0" w:rsidP="00B81ED0">
      <w:pPr>
        <w:pStyle w:val="Prrafodelista"/>
        <w:tabs>
          <w:tab w:val="left" w:pos="709"/>
        </w:tabs>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7892E24B" w14:textId="77777777" w:rsidR="00B81ED0" w:rsidRPr="00B81ED0" w:rsidRDefault="00391FFD" w:rsidP="00B81ED0">
      <w:pPr>
        <w:pStyle w:val="Prrafodelista"/>
        <w:numPr>
          <w:ilvl w:val="0"/>
          <w:numId w:val="24"/>
        </w:numPr>
        <w:tabs>
          <w:tab w:val="left" w:pos="709"/>
        </w:tabs>
        <w:spacing w:after="200"/>
        <w:ind w:left="709" w:right="49" w:hanging="689"/>
        <w:contextualSpacing/>
        <w:jc w:val="both"/>
        <w:rPr>
          <w:rFonts w:ascii="ITC Avant Garde" w:eastAsia="Calibri" w:hAnsi="ITC Avant Garde"/>
          <w:sz w:val="22"/>
          <w:szCs w:val="22"/>
          <w:lang w:eastAsia="es-MX"/>
        </w:rPr>
      </w:pPr>
      <w:r w:rsidRPr="00B81ED0">
        <w:rPr>
          <w:rFonts w:ascii="ITC Avant Garde" w:eastAsia="Calibri" w:hAnsi="ITC Avant Garde"/>
          <w:sz w:val="22"/>
          <w:szCs w:val="22"/>
          <w:lang w:eastAsia="es-MX"/>
        </w:rPr>
        <w:t xml:space="preserve">El 30 de mayo de 2017, en su VIII Sesión Extraordinaria, el Pleno del Instituto emitió y aprobó </w:t>
      </w:r>
      <w:r w:rsidR="00990EF9" w:rsidRPr="00B81ED0">
        <w:rPr>
          <w:rFonts w:ascii="ITC Avant Garde" w:eastAsia="Calibri" w:hAnsi="ITC Avant Garde"/>
          <w:sz w:val="22"/>
          <w:szCs w:val="22"/>
          <w:lang w:eastAsia="es-MX"/>
        </w:rPr>
        <w:t xml:space="preserve">los </w:t>
      </w:r>
      <w:r w:rsidR="00BE1581" w:rsidRPr="00B81ED0">
        <w:rPr>
          <w:rFonts w:ascii="ITC Avant Garde" w:eastAsia="Calibri" w:hAnsi="ITC Avant Garde"/>
          <w:sz w:val="22"/>
          <w:szCs w:val="22"/>
          <w:lang w:eastAsia="es-MX"/>
        </w:rPr>
        <w:t>Acuerdos P/IFT/EXT/300517/132 y P/IFT/EXT/300517/137, consistentes en el</w:t>
      </w:r>
      <w:r w:rsidRPr="00B81ED0">
        <w:rPr>
          <w:rFonts w:ascii="ITC Avant Garde" w:eastAsia="Calibri" w:hAnsi="ITC Avant Garde"/>
          <w:sz w:val="22"/>
          <w:szCs w:val="22"/>
          <w:lang w:eastAsia="es-MX"/>
        </w:rPr>
        <w:t xml:space="preserve"> “</w:t>
      </w:r>
      <w:r w:rsidRPr="00B81ED0">
        <w:rPr>
          <w:rFonts w:ascii="ITC Avant Garde" w:hAnsi="ITC Avant Garde"/>
          <w:bCs/>
          <w:sz w:val="22"/>
          <w:szCs w:val="22"/>
          <w:lang w:eastAsia="es-MX"/>
        </w:rPr>
        <w:t xml:space="preserve">ACUERDO MEDIANTE EL CUAL EL PLENO DEL INSTITUTO FEDERAL DE TELECOMUNICACIONES DETERMINA LA DESCALIFICACIÓN DE </w:t>
      </w:r>
      <w:r w:rsidRPr="00B81ED0">
        <w:rPr>
          <w:rFonts w:ascii="ITC Avant Garde" w:hAnsi="ITC Avant Garde"/>
          <w:bCs/>
          <w:noProof/>
          <w:sz w:val="22"/>
          <w:szCs w:val="22"/>
          <w:lang w:eastAsia="es-MX"/>
        </w:rPr>
        <w:t>INFORMACIÓN Y CULTURA ASCENDENTE, S.A. DE C.V.,</w:t>
      </w:r>
      <w:r w:rsidRPr="00B81ED0">
        <w:rPr>
          <w:rFonts w:ascii="ITC Avant Garde" w:hAnsi="ITC Avant Garde"/>
          <w:bCs/>
          <w:sz w:val="22"/>
          <w:szCs w:val="22"/>
          <w:lang w:eastAsia="es-MX"/>
        </w:rPr>
        <w:t xml:space="preserve"> CON NÚMERO DE FOLIO ÚNICO </w:t>
      </w:r>
      <w:r w:rsidRPr="00B81ED0">
        <w:rPr>
          <w:rFonts w:ascii="ITC Avant Garde" w:hAnsi="ITC Avant Garde"/>
          <w:bCs/>
          <w:noProof/>
          <w:sz w:val="22"/>
          <w:szCs w:val="22"/>
          <w:lang w:eastAsia="es-MX"/>
        </w:rPr>
        <w:t>I1-354443,</w:t>
      </w:r>
      <w:r w:rsidRPr="00B81ED0">
        <w:rPr>
          <w:rFonts w:ascii="ITC Avant Garde" w:hAnsi="ITC Avant Garde"/>
          <w:bCs/>
          <w:sz w:val="22"/>
          <w:szCs w:val="22"/>
          <w:lang w:eastAsia="es-MX"/>
        </w:rPr>
        <w:t xml:space="preserve"> RESPECTO DE LOS LOTES 5 Y 71 DE LA BANDA FM EN LA </w:t>
      </w:r>
      <w:r w:rsidRPr="00B81ED0">
        <w:rPr>
          <w:rFonts w:ascii="ITC Avant Garde" w:hAnsi="ITC Avant Garde" w:cs="Arial"/>
          <w:bCs/>
          <w:sz w:val="22"/>
          <w:szCs w:val="22"/>
          <w:u w:color="000000"/>
          <w:bdr w:val="nil"/>
          <w:lang w:val="es-ES_tradnl" w:eastAsia="es-MX"/>
        </w:rPr>
        <w:t xml:space="preserve">LICITACIÓN PÚBLICA PARA </w:t>
      </w:r>
      <w:r w:rsidRPr="00B81ED0">
        <w:rPr>
          <w:rFonts w:ascii="ITC Avant Garde" w:hAnsi="ITC Avant Garde"/>
          <w:sz w:val="22"/>
          <w:szCs w:val="22"/>
        </w:rPr>
        <w:t xml:space="preserve">CONCESIONAR EL USO, APROVECHAMIENTO Y EXPLOTACIÓN </w:t>
      </w:r>
      <w:r w:rsidRPr="00B81ED0">
        <w:rPr>
          <w:rFonts w:ascii="ITC Avant Garde" w:hAnsi="ITC Avant Garde" w:cs="Arial"/>
          <w:sz w:val="22"/>
          <w:szCs w:val="22"/>
        </w:rPr>
        <w:t xml:space="preserve">COMERCIAL DE 191 FRECUENCIAS EN EL SEGMENTO DE 88 A </w:t>
      </w:r>
      <w:r w:rsidRPr="00B81ED0">
        <w:rPr>
          <w:rFonts w:ascii="ITC Avant Garde" w:hAnsi="ITC Avant Garde" w:cs="Arial"/>
          <w:sz w:val="22"/>
          <w:szCs w:val="22"/>
        </w:rPr>
        <w:lastRenderedPageBreak/>
        <w:t>106 MHz DE LA BANDA DE FRECUENCIA MODULADA Y DE 66 FRECUENCIAS EN EL SEGMENTO DE 535 A 1605 kHz DE LA BANDA DE AMPLITUD MODULADA, PARA LA PRESTACIÓN DEL SERVICIO PÚBLICO DE RADIODIFUSIÓN SONORA (LICITACIÓN No. IFT-4)” y el “ACUERDO MEDIANTE EL CUAL EL PLENO DEL INSTITUTO FEDERAL DE TELECOMUNICACIONES DETERMINA LA DESCALIFICACIÓN DE PROMOTORA</w:t>
      </w:r>
      <w:r w:rsidRPr="00B81ED0">
        <w:rPr>
          <w:rFonts w:ascii="ITC Avant Garde" w:hAnsi="ITC Avant Garde"/>
          <w:bCs/>
          <w:sz w:val="22"/>
          <w:szCs w:val="22"/>
          <w:lang w:eastAsia="es-MX"/>
        </w:rPr>
        <w:t xml:space="preserve"> DE ÉXITOS, S.A. DE C.V. CON NÚMERO DE FOLIO ÚNICO </w:t>
      </w:r>
      <w:r w:rsidRPr="00B81ED0">
        <w:rPr>
          <w:rFonts w:ascii="ITC Avant Garde" w:hAnsi="ITC Avant Garde"/>
          <w:bCs/>
          <w:noProof/>
          <w:lang w:eastAsia="es-MX"/>
        </w:rPr>
        <w:t xml:space="preserve">P9-520100 </w:t>
      </w:r>
      <w:r w:rsidRPr="00B81ED0">
        <w:rPr>
          <w:rFonts w:ascii="ITC Avant Garde" w:hAnsi="ITC Avant Garde"/>
          <w:bCs/>
          <w:noProof/>
          <w:sz w:val="22"/>
          <w:szCs w:val="22"/>
          <w:lang w:eastAsia="es-MX"/>
        </w:rPr>
        <w:t>, R</w:t>
      </w:r>
      <w:r w:rsidR="008F2D10" w:rsidRPr="00B81ED0">
        <w:rPr>
          <w:rFonts w:ascii="ITC Avant Garde" w:hAnsi="ITC Avant Garde"/>
          <w:bCs/>
          <w:noProof/>
          <w:sz w:val="22"/>
          <w:szCs w:val="22"/>
          <w:lang w:eastAsia="es-MX"/>
        </w:rPr>
        <w:t>ESPECTO DE LOS LOTES 55, 56 Y 11</w:t>
      </w:r>
      <w:r w:rsidRPr="00B81ED0">
        <w:rPr>
          <w:rFonts w:ascii="ITC Avant Garde" w:hAnsi="ITC Avant Garde"/>
          <w:bCs/>
          <w:noProof/>
          <w:sz w:val="22"/>
          <w:szCs w:val="22"/>
          <w:lang w:eastAsia="es-MX"/>
        </w:rPr>
        <w:t xml:space="preserve">9 DE LA BANDA FM DE </w:t>
      </w:r>
      <w:r w:rsidRPr="00B81ED0">
        <w:rPr>
          <w:rFonts w:ascii="ITC Avant Garde" w:hAnsi="ITC Avant Garde"/>
          <w:bCs/>
          <w:sz w:val="22"/>
          <w:szCs w:val="22"/>
          <w:lang w:eastAsia="es-MX"/>
        </w:rPr>
        <w:t xml:space="preserve">LA </w:t>
      </w:r>
      <w:r w:rsidRPr="00B81ED0">
        <w:rPr>
          <w:rFonts w:ascii="ITC Avant Garde" w:hAnsi="ITC Avant Garde" w:cs="Arial"/>
          <w:bCs/>
          <w:sz w:val="22"/>
          <w:szCs w:val="22"/>
          <w:u w:color="000000"/>
          <w:bdr w:val="nil"/>
          <w:lang w:val="es-ES_tradnl" w:eastAsia="es-MX"/>
        </w:rPr>
        <w:t xml:space="preserve">LICITACIÓN PÚBLICA PARA </w:t>
      </w:r>
      <w:r w:rsidRPr="00B81ED0">
        <w:rPr>
          <w:rFonts w:ascii="ITC Avant Garde" w:hAnsi="ITC Avant Garde"/>
          <w:sz w:val="22"/>
          <w:szCs w:val="22"/>
        </w:rPr>
        <w:t xml:space="preserve">CONCESIONAR EL USO, APROVECHAMIENTO Y EXPLOTACIÓN COMERCIAL </w:t>
      </w:r>
      <w:r w:rsidRPr="00B81ED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B81ED0">
        <w:rPr>
          <w:rFonts w:ascii="ITC Avant Garde" w:hAnsi="ITC Avant Garde"/>
          <w:sz w:val="22"/>
          <w:szCs w:val="22"/>
        </w:rPr>
        <w:t>(LICITACIÓN No. IFT-4)</w:t>
      </w:r>
      <w:r w:rsidRPr="00B81ED0">
        <w:rPr>
          <w:rFonts w:ascii="ITC Avant Garde" w:hAnsi="ITC Avant Garde"/>
          <w:bCs/>
          <w:noProof/>
          <w:sz w:val="22"/>
          <w:szCs w:val="22"/>
          <w:lang w:eastAsia="es-MX"/>
        </w:rPr>
        <w:t>”</w:t>
      </w:r>
      <w:r w:rsidR="00BB3582" w:rsidRPr="00B81ED0">
        <w:rPr>
          <w:rFonts w:ascii="ITC Avant Garde" w:hAnsi="ITC Avant Garde"/>
          <w:bCs/>
          <w:noProof/>
          <w:sz w:val="22"/>
          <w:szCs w:val="22"/>
          <w:lang w:eastAsia="es-MX"/>
        </w:rPr>
        <w:t>, respectivamente.</w:t>
      </w:r>
    </w:p>
    <w:p w14:paraId="0AA16D24" w14:textId="77777777" w:rsidR="00B81ED0" w:rsidRPr="00B81ED0" w:rsidRDefault="00B81ED0" w:rsidP="00B81ED0">
      <w:pPr>
        <w:pStyle w:val="Prrafodelista"/>
        <w:tabs>
          <w:tab w:val="left" w:pos="709"/>
        </w:tabs>
        <w:spacing w:after="200"/>
        <w:ind w:left="709" w:right="49"/>
        <w:contextualSpacing/>
        <w:jc w:val="both"/>
        <w:rPr>
          <w:rFonts w:ascii="ITC Avant Garde" w:eastAsia="Calibri" w:hAnsi="ITC Avant Garde"/>
          <w:sz w:val="22"/>
          <w:szCs w:val="22"/>
          <w:lang w:eastAsia="es-MX"/>
        </w:rPr>
      </w:pPr>
    </w:p>
    <w:p w14:paraId="44DA3787" w14:textId="77777777" w:rsidR="00B81ED0" w:rsidRDefault="004B68C7" w:rsidP="00B81ED0">
      <w:pPr>
        <w:pStyle w:val="Prrafodelista"/>
        <w:numPr>
          <w:ilvl w:val="0"/>
          <w:numId w:val="24"/>
        </w:numPr>
        <w:tabs>
          <w:tab w:val="left" w:pos="709"/>
        </w:tabs>
        <w:spacing w:after="200"/>
        <w:ind w:left="709" w:right="49" w:hanging="689"/>
        <w:contextualSpacing/>
        <w:jc w:val="both"/>
        <w:rPr>
          <w:rFonts w:ascii="ITC Avant Garde" w:eastAsia="Calibri" w:hAnsi="ITC Avant Garde"/>
          <w:sz w:val="22"/>
          <w:szCs w:val="22"/>
          <w:lang w:eastAsia="es-MX"/>
        </w:rPr>
      </w:pPr>
      <w:r w:rsidRPr="00B81ED0">
        <w:rPr>
          <w:rFonts w:ascii="ITC Avant Garde" w:eastAsia="Calibri" w:hAnsi="ITC Avant Garde"/>
          <w:sz w:val="22"/>
          <w:szCs w:val="22"/>
          <w:lang w:eastAsia="es-MX"/>
        </w:rPr>
        <w:t xml:space="preserve">El 30 de mayo de 2017 en su VIII Sesión Extraordinaria, el Pleno del Instituto emitió y aprobó </w:t>
      </w:r>
      <w:r w:rsidR="00391FFD" w:rsidRPr="00B81ED0">
        <w:rPr>
          <w:rFonts w:ascii="ITC Avant Garde" w:eastAsia="Calibri" w:hAnsi="ITC Avant Garde"/>
          <w:sz w:val="22"/>
          <w:szCs w:val="22"/>
          <w:lang w:eastAsia="es-MX"/>
        </w:rPr>
        <w:t>los</w:t>
      </w:r>
      <w:r w:rsidRPr="00B81ED0">
        <w:rPr>
          <w:rFonts w:ascii="ITC Avant Garde" w:eastAsia="Calibri" w:hAnsi="ITC Avant Garde"/>
          <w:sz w:val="22"/>
          <w:szCs w:val="22"/>
          <w:lang w:eastAsia="es-MX"/>
        </w:rPr>
        <w:t xml:space="preserve"> Acuerdo</w:t>
      </w:r>
      <w:r w:rsidR="00391FFD" w:rsidRPr="00B81ED0">
        <w:rPr>
          <w:rFonts w:ascii="ITC Avant Garde" w:eastAsia="Calibri" w:hAnsi="ITC Avant Garde"/>
          <w:sz w:val="22"/>
          <w:szCs w:val="22"/>
          <w:lang w:eastAsia="es-MX"/>
        </w:rPr>
        <w:t>s</w:t>
      </w:r>
      <w:r w:rsidRPr="00B81ED0">
        <w:rPr>
          <w:rFonts w:ascii="ITC Avant Garde" w:eastAsia="Calibri" w:hAnsi="ITC Avant Garde"/>
          <w:sz w:val="22"/>
          <w:szCs w:val="22"/>
          <w:lang w:eastAsia="es-MX"/>
        </w:rPr>
        <w:t xml:space="preserve"> P/IFT/EXT/300517/</w:t>
      </w:r>
      <w:r w:rsidR="00BE1581" w:rsidRPr="00B81ED0">
        <w:rPr>
          <w:rFonts w:ascii="ITC Avant Garde" w:eastAsia="Calibri" w:hAnsi="ITC Avant Garde"/>
          <w:sz w:val="22"/>
          <w:szCs w:val="22"/>
          <w:lang w:eastAsia="es-MX"/>
        </w:rPr>
        <w:t>140</w:t>
      </w:r>
      <w:r w:rsidR="00391FFD" w:rsidRPr="00B81ED0">
        <w:rPr>
          <w:rFonts w:ascii="ITC Avant Garde" w:eastAsia="Calibri" w:hAnsi="ITC Avant Garde"/>
          <w:sz w:val="22"/>
          <w:szCs w:val="22"/>
          <w:lang w:eastAsia="es-MX"/>
        </w:rPr>
        <w:t xml:space="preserve"> y P/IFT/EXT/300517/</w:t>
      </w:r>
      <w:r w:rsidR="00BE1581" w:rsidRPr="00B81ED0">
        <w:rPr>
          <w:rFonts w:ascii="ITC Avant Garde" w:eastAsia="Calibri" w:hAnsi="ITC Avant Garde"/>
          <w:sz w:val="22"/>
          <w:szCs w:val="22"/>
          <w:lang w:eastAsia="es-MX"/>
        </w:rPr>
        <w:t>154</w:t>
      </w:r>
      <w:r w:rsidRPr="00B81ED0">
        <w:rPr>
          <w:rFonts w:ascii="ITC Avant Garde" w:eastAsia="Calibri" w:hAnsi="ITC Avant Garde"/>
          <w:sz w:val="22"/>
          <w:szCs w:val="22"/>
          <w:lang w:eastAsia="es-MX"/>
        </w:rPr>
        <w:t>, consistente</w:t>
      </w:r>
      <w:r w:rsidR="00391FFD" w:rsidRPr="00B81ED0">
        <w:rPr>
          <w:rFonts w:ascii="ITC Avant Garde" w:eastAsia="Calibri" w:hAnsi="ITC Avant Garde"/>
          <w:sz w:val="22"/>
          <w:szCs w:val="22"/>
          <w:lang w:eastAsia="es-MX"/>
        </w:rPr>
        <w:t>s</w:t>
      </w:r>
      <w:r w:rsidRPr="00B81ED0">
        <w:rPr>
          <w:rFonts w:ascii="ITC Avant Garde" w:eastAsia="Calibri" w:hAnsi="ITC Avant Garde"/>
          <w:sz w:val="22"/>
          <w:szCs w:val="22"/>
          <w:lang w:eastAsia="es-MX"/>
        </w:rPr>
        <w:t xml:space="preserve"> en la “</w:t>
      </w:r>
      <w:r w:rsidR="00391FFD" w:rsidRPr="00B81ED0">
        <w:rPr>
          <w:rFonts w:ascii="ITC Avant Garde" w:eastAsia="Calibri" w:hAnsi="ITC Avant Garde"/>
          <w:sz w:val="22"/>
          <w:szCs w:val="22"/>
          <w:lang w:eastAsia="es-MX"/>
        </w:rPr>
        <w:t>RESOLUCIÓN MEDIANTE LA CUAL EL PLENO DEL INSTITUTO FEDERAL DE TELECOMUNICACIONES DETERMINA Y HACE CONSTAR EL FALLO A FAVOR DEL PARTICIPANTE MARIO ÓSCAR BETETA VALLEJO CON NÚMERO DE FOLIO ÚNICO BM-311022, COMO NUEVO PARTICIPANTE GANADOR RESPECTO DEL LOTE 5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Pr="00B81ED0">
        <w:rPr>
          <w:rFonts w:ascii="ITC Avant Garde" w:eastAsia="Calibri" w:hAnsi="ITC Avant Garde"/>
          <w:sz w:val="22"/>
          <w:szCs w:val="22"/>
          <w:lang w:eastAsia="es-MX"/>
        </w:rPr>
        <w:t>”</w:t>
      </w:r>
      <w:r w:rsidR="00391FFD" w:rsidRPr="00B81ED0">
        <w:rPr>
          <w:rFonts w:ascii="ITC Avant Garde" w:eastAsia="Calibri" w:hAnsi="ITC Avant Garde"/>
          <w:sz w:val="22"/>
          <w:szCs w:val="22"/>
          <w:lang w:eastAsia="es-MX"/>
        </w:rPr>
        <w:t xml:space="preserve"> y la “RESOLUCIÓN MEDIANTE LA CUAL EL PLENO DEL INSTITUTO FEDERAL DE TELECOMUNICACIONES DETERMINA Y HACE CONSTAR EL FALLO A FAVOR DEL PARTICIPANTE MARIO ÓSCAR BETETA VALLEJO CON NÚMERO DE FOLIO ÚNICO BM-311022, COMO NUEVO PARTICIPANTE GANADOR RESPECTO DEL LOTE 119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BB3582" w:rsidRPr="00B81ED0">
        <w:rPr>
          <w:rFonts w:ascii="ITC Avant Garde" w:eastAsia="Calibri" w:hAnsi="ITC Avant Garde"/>
          <w:sz w:val="22"/>
          <w:szCs w:val="22"/>
          <w:lang w:eastAsia="es-MX"/>
        </w:rPr>
        <w:t xml:space="preserve">, respectivamente </w:t>
      </w:r>
      <w:r w:rsidR="008F2D10" w:rsidRPr="00B81ED0">
        <w:rPr>
          <w:rFonts w:ascii="ITC Avant Garde" w:eastAsia="Calibri" w:hAnsi="ITC Avant Garde"/>
          <w:sz w:val="22"/>
          <w:szCs w:val="22"/>
          <w:lang w:eastAsia="es-MX"/>
        </w:rPr>
        <w:t>(Actas de Fallo)</w:t>
      </w:r>
      <w:r w:rsidRPr="00B81ED0">
        <w:rPr>
          <w:rFonts w:ascii="ITC Avant Garde" w:eastAsia="Calibri" w:hAnsi="ITC Avant Garde"/>
          <w:sz w:val="22"/>
          <w:szCs w:val="22"/>
          <w:lang w:eastAsia="es-MX"/>
        </w:rPr>
        <w:t>.</w:t>
      </w:r>
    </w:p>
    <w:p w14:paraId="262593BC" w14:textId="77777777" w:rsidR="00B81ED0" w:rsidRPr="00B81ED0" w:rsidRDefault="00B81ED0" w:rsidP="00B81ED0">
      <w:pPr>
        <w:pStyle w:val="Prrafodelista"/>
        <w:tabs>
          <w:tab w:val="left" w:pos="709"/>
        </w:tabs>
        <w:spacing w:after="200"/>
        <w:ind w:left="709" w:right="49"/>
        <w:contextualSpacing/>
        <w:jc w:val="both"/>
        <w:rPr>
          <w:rFonts w:ascii="ITC Avant Garde" w:eastAsia="Calibri" w:hAnsi="ITC Avant Garde"/>
          <w:sz w:val="22"/>
          <w:szCs w:val="22"/>
          <w:lang w:eastAsia="es-MX"/>
        </w:rPr>
      </w:pPr>
    </w:p>
    <w:p w14:paraId="533A347B" w14:textId="36004EC2" w:rsidR="004B68C7" w:rsidRPr="00B81ED0" w:rsidRDefault="004B68C7" w:rsidP="00B81ED0">
      <w:pPr>
        <w:pStyle w:val="Prrafodelista"/>
        <w:numPr>
          <w:ilvl w:val="0"/>
          <w:numId w:val="24"/>
        </w:numPr>
        <w:pBdr>
          <w:top w:val="nil"/>
          <w:left w:val="nil"/>
          <w:bottom w:val="nil"/>
          <w:right w:val="nil"/>
          <w:between w:val="nil"/>
          <w:bar w:val="nil"/>
        </w:pBdr>
        <w:tabs>
          <w:tab w:val="left" w:pos="709"/>
        </w:tabs>
        <w:spacing w:after="200"/>
        <w:ind w:left="709" w:right="49" w:hanging="689"/>
        <w:jc w:val="both"/>
        <w:rPr>
          <w:rFonts w:ascii="ITC Avant Garde" w:eastAsia="ITC Avant Garde" w:hAnsi="ITC Avant Garde" w:cs="ITC Avant Garde"/>
          <w:kern w:val="1"/>
          <w:sz w:val="22"/>
          <w:szCs w:val="22"/>
          <w:lang w:val="es-ES"/>
        </w:rPr>
      </w:pPr>
      <w:r w:rsidRPr="00B81ED0">
        <w:rPr>
          <w:rFonts w:ascii="ITC Avant Garde" w:eastAsia="ITC Avant Garde" w:hAnsi="ITC Avant Garde" w:cs="ITC Avant Garde"/>
          <w:kern w:val="1"/>
          <w:sz w:val="22"/>
          <w:szCs w:val="22"/>
          <w:lang w:val="es-ES"/>
        </w:rPr>
        <w:t xml:space="preserve">El </w:t>
      </w:r>
      <w:r w:rsidR="00BC7656" w:rsidRPr="00B81ED0">
        <w:rPr>
          <w:rFonts w:ascii="ITC Avant Garde" w:eastAsia="ITC Avant Garde" w:hAnsi="ITC Avant Garde" w:cs="ITC Avant Garde"/>
          <w:kern w:val="1"/>
          <w:sz w:val="22"/>
          <w:szCs w:val="22"/>
          <w:lang w:val="es-ES"/>
        </w:rPr>
        <w:t>5</w:t>
      </w:r>
      <w:r w:rsidRPr="00B81ED0">
        <w:rPr>
          <w:rFonts w:ascii="ITC Avant Garde" w:eastAsia="ITC Avant Garde" w:hAnsi="ITC Avant Garde" w:cs="ITC Avant Garde"/>
          <w:kern w:val="1"/>
          <w:sz w:val="22"/>
          <w:szCs w:val="22"/>
          <w:lang w:val="es-ES"/>
        </w:rPr>
        <w:t xml:space="preserve"> de junio de 2017 el Instituto notificó </w:t>
      </w:r>
      <w:r w:rsidR="008F2D10" w:rsidRPr="00B81ED0">
        <w:rPr>
          <w:rFonts w:ascii="ITC Avant Garde" w:eastAsia="ITC Avant Garde" w:hAnsi="ITC Avant Garde" w:cs="ITC Avant Garde"/>
          <w:kern w:val="1"/>
          <w:sz w:val="22"/>
          <w:szCs w:val="22"/>
          <w:lang w:val="es-ES"/>
        </w:rPr>
        <w:t>las</w:t>
      </w:r>
      <w:r w:rsidRPr="00B81ED0">
        <w:rPr>
          <w:rFonts w:ascii="ITC Avant Garde" w:eastAsia="ITC Avant Garde" w:hAnsi="ITC Avant Garde" w:cs="ITC Avant Garde"/>
          <w:kern w:val="1"/>
          <w:sz w:val="22"/>
          <w:szCs w:val="22"/>
          <w:lang w:val="es-ES"/>
        </w:rPr>
        <w:t xml:space="preserve"> Acta</w:t>
      </w:r>
      <w:r w:rsidR="008F2D10" w:rsidRPr="00B81ED0">
        <w:rPr>
          <w:rFonts w:ascii="ITC Avant Garde" w:eastAsia="ITC Avant Garde" w:hAnsi="ITC Avant Garde" w:cs="ITC Avant Garde"/>
          <w:kern w:val="1"/>
          <w:sz w:val="22"/>
          <w:szCs w:val="22"/>
          <w:lang w:val="es-ES"/>
        </w:rPr>
        <w:t>s</w:t>
      </w:r>
      <w:r w:rsidRPr="00B81ED0">
        <w:rPr>
          <w:rFonts w:ascii="ITC Avant Garde" w:eastAsia="ITC Avant Garde" w:hAnsi="ITC Avant Garde" w:cs="ITC Avant Garde"/>
          <w:kern w:val="1"/>
          <w:sz w:val="22"/>
          <w:szCs w:val="22"/>
          <w:lang w:val="es-ES"/>
        </w:rPr>
        <w:t xml:space="preserve"> de Fallo a </w:t>
      </w:r>
      <w:r w:rsidR="00BB3582" w:rsidRPr="00B81ED0">
        <w:rPr>
          <w:rFonts w:ascii="ITC Avant Garde" w:eastAsia="Arial Unicode MS" w:hAnsi="ITC Avant Garde"/>
          <w:b/>
          <w:sz w:val="22"/>
          <w:u w:color="000000"/>
          <w:bdr w:val="nil"/>
          <w:lang w:val="es-ES_tradnl"/>
        </w:rPr>
        <w:t>Mario Óscar Beteta Vallejo</w:t>
      </w:r>
      <w:r w:rsidRPr="00B81ED0">
        <w:rPr>
          <w:rFonts w:ascii="ITC Avant Garde" w:eastAsia="ITC Avant Garde" w:hAnsi="ITC Avant Garde" w:cs="ITC Avant Garde"/>
          <w:kern w:val="1"/>
          <w:sz w:val="22"/>
          <w:szCs w:val="22"/>
          <w:lang w:val="es-ES"/>
        </w:rPr>
        <w:t>, a través del SERPO.</w:t>
      </w:r>
    </w:p>
    <w:p w14:paraId="0FFBDB38" w14:textId="11452EEA" w:rsidR="00B81ED0" w:rsidRPr="00B81ED0" w:rsidRDefault="000E4DA0" w:rsidP="00B81ED0">
      <w:pPr>
        <w:pStyle w:val="Prrafodelista"/>
        <w:numPr>
          <w:ilvl w:val="0"/>
          <w:numId w:val="24"/>
        </w:numPr>
        <w:pBdr>
          <w:top w:val="nil"/>
          <w:left w:val="nil"/>
          <w:bottom w:val="nil"/>
          <w:right w:val="nil"/>
          <w:between w:val="nil"/>
          <w:bar w:val="nil"/>
        </w:pBdr>
        <w:tabs>
          <w:tab w:val="left" w:pos="709"/>
        </w:tabs>
        <w:spacing w:after="200"/>
        <w:ind w:left="709" w:right="49" w:hanging="689"/>
        <w:jc w:val="both"/>
        <w:rPr>
          <w:rFonts w:ascii="ITC Avant Garde" w:eastAsia="ITC Avant Garde" w:hAnsi="ITC Avant Garde" w:cs="ITC Avant Garde"/>
          <w:kern w:val="1"/>
          <w:sz w:val="22"/>
          <w:szCs w:val="22"/>
          <w:lang w:val="es-ES"/>
        </w:rPr>
      </w:pPr>
      <w:r w:rsidRPr="00B81ED0">
        <w:rPr>
          <w:rFonts w:ascii="ITC Avant Garde" w:eastAsia="ITC Avant Garde" w:hAnsi="ITC Avant Garde" w:cs="ITC Avant Garde"/>
          <w:kern w:val="1"/>
          <w:sz w:val="22"/>
          <w:szCs w:val="22"/>
          <w:lang w:val="es-ES"/>
        </w:rPr>
        <w:t xml:space="preserve">Del </w:t>
      </w:r>
      <w:r w:rsidR="00BC7656" w:rsidRPr="00B81ED0">
        <w:rPr>
          <w:rFonts w:ascii="ITC Avant Garde" w:eastAsia="ITC Avant Garde" w:hAnsi="ITC Avant Garde" w:cs="ITC Avant Garde"/>
          <w:kern w:val="1"/>
          <w:sz w:val="22"/>
          <w:szCs w:val="22"/>
          <w:lang w:val="es-ES"/>
        </w:rPr>
        <w:t>6</w:t>
      </w:r>
      <w:r w:rsidRPr="00B81ED0">
        <w:rPr>
          <w:rFonts w:ascii="ITC Avant Garde" w:eastAsia="ITC Avant Garde" w:hAnsi="ITC Avant Garde" w:cs="ITC Avant Garde"/>
          <w:kern w:val="1"/>
          <w:sz w:val="22"/>
          <w:szCs w:val="22"/>
          <w:lang w:val="es-ES"/>
        </w:rPr>
        <w:t xml:space="preserve"> de </w:t>
      </w:r>
      <w:r w:rsidR="00BC7656" w:rsidRPr="00B81ED0">
        <w:rPr>
          <w:rFonts w:ascii="ITC Avant Garde" w:eastAsia="ITC Avant Garde" w:hAnsi="ITC Avant Garde" w:cs="ITC Avant Garde"/>
          <w:kern w:val="1"/>
          <w:sz w:val="22"/>
          <w:szCs w:val="22"/>
          <w:lang w:val="es-ES"/>
        </w:rPr>
        <w:t>junio</w:t>
      </w:r>
      <w:r w:rsidRPr="00B81ED0">
        <w:rPr>
          <w:rFonts w:ascii="ITC Avant Garde" w:eastAsia="ITC Avant Garde" w:hAnsi="ITC Avant Garde" w:cs="ITC Avant Garde"/>
          <w:kern w:val="1"/>
          <w:sz w:val="22"/>
          <w:szCs w:val="22"/>
          <w:lang w:val="es-ES"/>
        </w:rPr>
        <w:t xml:space="preserve"> al </w:t>
      </w:r>
      <w:r w:rsidR="00A34C6F" w:rsidRPr="00B81ED0">
        <w:rPr>
          <w:rFonts w:ascii="ITC Avant Garde" w:eastAsia="ITC Avant Garde" w:hAnsi="ITC Avant Garde" w:cs="ITC Avant Garde"/>
          <w:kern w:val="1"/>
          <w:sz w:val="22"/>
          <w:szCs w:val="22"/>
          <w:lang w:val="es-ES"/>
        </w:rPr>
        <w:t>31</w:t>
      </w:r>
      <w:r w:rsidRPr="00B81ED0">
        <w:rPr>
          <w:rFonts w:ascii="ITC Avant Garde" w:eastAsia="ITC Avant Garde" w:hAnsi="ITC Avant Garde" w:cs="ITC Avant Garde"/>
          <w:kern w:val="1"/>
          <w:sz w:val="22"/>
          <w:szCs w:val="22"/>
          <w:lang w:val="es-ES"/>
        </w:rPr>
        <w:t xml:space="preserve"> de </w:t>
      </w:r>
      <w:r w:rsidR="00A34C6F" w:rsidRPr="00B81ED0">
        <w:rPr>
          <w:rFonts w:ascii="ITC Avant Garde" w:eastAsia="ITC Avant Garde" w:hAnsi="ITC Avant Garde" w:cs="ITC Avant Garde"/>
          <w:kern w:val="1"/>
          <w:sz w:val="22"/>
          <w:szCs w:val="22"/>
          <w:lang w:val="es-ES"/>
        </w:rPr>
        <w:t>julio</w:t>
      </w:r>
      <w:r w:rsidRPr="00B81ED0">
        <w:rPr>
          <w:rFonts w:ascii="ITC Avant Garde" w:eastAsia="ITC Avant Garde" w:hAnsi="ITC Avant Garde" w:cs="ITC Avant Garde"/>
          <w:kern w:val="1"/>
          <w:sz w:val="22"/>
          <w:szCs w:val="22"/>
          <w:lang w:val="es-ES"/>
        </w:rPr>
        <w:t xml:space="preserve"> de 2017 </w:t>
      </w:r>
      <w:r w:rsidR="00BB3582" w:rsidRPr="00B81ED0">
        <w:rPr>
          <w:rFonts w:ascii="ITC Avant Garde" w:eastAsia="Arial Unicode MS" w:hAnsi="ITC Avant Garde"/>
          <w:b/>
          <w:sz w:val="22"/>
          <w:u w:color="000000"/>
          <w:bdr w:val="nil"/>
          <w:lang w:val="es-ES_tradnl"/>
        </w:rPr>
        <w:t>Mario Óscar Beteta Vallejo</w:t>
      </w:r>
      <w:r w:rsidR="00BB3582" w:rsidRPr="00B81ED0">
        <w:rPr>
          <w:rFonts w:ascii="ITC Avant Garde" w:eastAsia="Arial Unicode MS" w:hAnsi="ITC Avant Garde"/>
          <w:sz w:val="22"/>
          <w:u w:color="000000"/>
          <w:bdr w:val="nil"/>
          <w:lang w:val="es-ES_tradnl"/>
        </w:rPr>
        <w:t xml:space="preserve"> </w:t>
      </w:r>
      <w:r w:rsidRPr="00B81ED0">
        <w:rPr>
          <w:rFonts w:ascii="ITC Avant Garde" w:eastAsia="ITC Avant Garde" w:hAnsi="ITC Avant Garde" w:cs="ITC Avant Garde"/>
          <w:kern w:val="1"/>
          <w:sz w:val="22"/>
          <w:szCs w:val="22"/>
          <w:lang w:val="es-ES"/>
        </w:rPr>
        <w:t xml:space="preserve">debía </w:t>
      </w:r>
      <w:r w:rsidR="00BC7656" w:rsidRPr="00B81ED0">
        <w:rPr>
          <w:rFonts w:ascii="ITC Avant Garde" w:eastAsia="ITC Avant Garde" w:hAnsi="ITC Avant Garde" w:cs="ITC Avant Garde"/>
          <w:kern w:val="1"/>
          <w:sz w:val="22"/>
          <w:szCs w:val="22"/>
          <w:lang w:val="es-ES"/>
        </w:rPr>
        <w:t xml:space="preserve">acreditar </w:t>
      </w:r>
      <w:r w:rsidRPr="00B81ED0">
        <w:rPr>
          <w:rFonts w:ascii="ITC Avant Garde" w:eastAsia="ITC Avant Garde" w:hAnsi="ITC Avant Garde" w:cs="ITC Avant Garde"/>
          <w:kern w:val="1"/>
          <w:sz w:val="22"/>
          <w:szCs w:val="22"/>
          <w:lang w:val="es-ES"/>
        </w:rPr>
        <w:t>l</w:t>
      </w:r>
      <w:r w:rsidR="00BC7656" w:rsidRPr="00B81ED0">
        <w:rPr>
          <w:rFonts w:ascii="ITC Avant Garde" w:eastAsia="ITC Avant Garde" w:hAnsi="ITC Avant Garde" w:cs="ITC Avant Garde"/>
          <w:kern w:val="1"/>
          <w:sz w:val="22"/>
          <w:szCs w:val="22"/>
          <w:lang w:val="es-ES"/>
        </w:rPr>
        <w:t>os</w:t>
      </w:r>
      <w:r w:rsidRPr="00B81ED0">
        <w:rPr>
          <w:rFonts w:ascii="ITC Avant Garde" w:eastAsia="ITC Avant Garde" w:hAnsi="ITC Avant Garde" w:cs="ITC Avant Garde"/>
          <w:kern w:val="1"/>
          <w:sz w:val="22"/>
          <w:szCs w:val="22"/>
          <w:lang w:val="es-ES"/>
        </w:rPr>
        <w:t xml:space="preserve"> pago</w:t>
      </w:r>
      <w:r w:rsidR="00BC7656" w:rsidRPr="00B81ED0">
        <w:rPr>
          <w:rFonts w:ascii="ITC Avant Garde" w:eastAsia="ITC Avant Garde" w:hAnsi="ITC Avant Garde" w:cs="ITC Avant Garde"/>
          <w:kern w:val="1"/>
          <w:sz w:val="22"/>
          <w:szCs w:val="22"/>
          <w:lang w:val="es-ES"/>
        </w:rPr>
        <w:t>s</w:t>
      </w:r>
      <w:r w:rsidRPr="00B81ED0">
        <w:rPr>
          <w:rFonts w:ascii="ITC Avant Garde" w:eastAsia="ITC Avant Garde" w:hAnsi="ITC Avant Garde" w:cs="ITC Avant Garde"/>
          <w:kern w:val="1"/>
          <w:sz w:val="22"/>
          <w:szCs w:val="22"/>
          <w:lang w:val="es-ES"/>
        </w:rPr>
        <w:t xml:space="preserve"> de la</w:t>
      </w:r>
      <w:r w:rsidR="00BC7656" w:rsidRPr="00B81ED0">
        <w:rPr>
          <w:rFonts w:ascii="ITC Avant Garde" w:eastAsia="ITC Avant Garde" w:hAnsi="ITC Avant Garde" w:cs="ITC Avant Garde"/>
          <w:kern w:val="1"/>
          <w:sz w:val="22"/>
          <w:szCs w:val="22"/>
          <w:lang w:val="es-ES"/>
        </w:rPr>
        <w:t>s Contraprestaciones previstas en las</w:t>
      </w:r>
      <w:r w:rsidRPr="00B81ED0">
        <w:rPr>
          <w:rFonts w:ascii="ITC Avant Garde" w:eastAsia="ITC Avant Garde" w:hAnsi="ITC Avant Garde" w:cs="ITC Avant Garde"/>
          <w:kern w:val="1"/>
          <w:sz w:val="22"/>
          <w:szCs w:val="22"/>
          <w:lang w:val="es-ES"/>
        </w:rPr>
        <w:t xml:space="preserve"> Acta</w:t>
      </w:r>
      <w:r w:rsidR="00BC7656" w:rsidRPr="00B81ED0">
        <w:rPr>
          <w:rFonts w:ascii="ITC Avant Garde" w:eastAsia="ITC Avant Garde" w:hAnsi="ITC Avant Garde" w:cs="ITC Avant Garde"/>
          <w:kern w:val="1"/>
          <w:sz w:val="22"/>
          <w:szCs w:val="22"/>
          <w:lang w:val="es-ES"/>
        </w:rPr>
        <w:t>s</w:t>
      </w:r>
      <w:r w:rsidR="00B81ED0">
        <w:rPr>
          <w:rFonts w:ascii="ITC Avant Garde" w:eastAsia="ITC Avant Garde" w:hAnsi="ITC Avant Garde" w:cs="ITC Avant Garde"/>
          <w:kern w:val="1"/>
          <w:sz w:val="22"/>
          <w:szCs w:val="22"/>
          <w:lang w:val="es-ES"/>
        </w:rPr>
        <w:t xml:space="preserve"> de Fallo.</w:t>
      </w:r>
    </w:p>
    <w:p w14:paraId="7759FBB1" w14:textId="3CC9C2A9" w:rsidR="00B81ED0" w:rsidRPr="00B81ED0" w:rsidRDefault="005B3785" w:rsidP="00B81ED0">
      <w:pPr>
        <w:spacing w:line="240" w:lineRule="auto"/>
        <w:ind w:right="49"/>
        <w:contextualSpacing/>
        <w:jc w:val="both"/>
        <w:rPr>
          <w:rFonts w:ascii="ITC Avant Garde" w:eastAsia="Times New Roman" w:hAnsi="ITC Avant Garde" w:cs="Arial"/>
          <w:lang w:eastAsia="es-MX"/>
        </w:rPr>
      </w:pPr>
      <w:r w:rsidRPr="00B81ED0">
        <w:rPr>
          <w:rFonts w:ascii="ITC Avant Garde" w:eastAsia="Times New Roman" w:hAnsi="ITC Avant Garde" w:cs="Arial"/>
          <w:lang w:eastAsia="es-MX"/>
        </w:rPr>
        <w:t>En virtud d</w:t>
      </w:r>
      <w:r w:rsidR="00B81ED0">
        <w:rPr>
          <w:rFonts w:ascii="ITC Avant Garde" w:eastAsia="Times New Roman" w:hAnsi="ITC Avant Garde" w:cs="Arial"/>
          <w:lang w:eastAsia="es-MX"/>
        </w:rPr>
        <w:t>e los antecedentes señalados y,</w:t>
      </w:r>
    </w:p>
    <w:p w14:paraId="3DDF386C" w14:textId="77777777" w:rsidR="00B81ED0" w:rsidRPr="00B81ED0" w:rsidRDefault="004B68C7" w:rsidP="00B81ED0">
      <w:pPr>
        <w:pStyle w:val="Cuerpo"/>
        <w:spacing w:line="240" w:lineRule="auto"/>
        <w:jc w:val="center"/>
        <w:outlineLvl w:val="1"/>
        <w:rPr>
          <w:color w:val="auto"/>
          <w:lang w:val="es-ES"/>
        </w:rPr>
      </w:pPr>
      <w:r w:rsidRPr="00B81ED0">
        <w:rPr>
          <w:rFonts w:ascii="ITC Avant Garde" w:eastAsia="ITC Avant Garde" w:hAnsi="ITC Avant Garde" w:cs="ITC Avant Garde"/>
          <w:b/>
          <w:bCs/>
          <w:color w:val="auto"/>
          <w:lang w:val="es-ES"/>
        </w:rPr>
        <w:lastRenderedPageBreak/>
        <w:t>CONSIDERANDO</w:t>
      </w:r>
    </w:p>
    <w:p w14:paraId="6D533EA6" w14:textId="2664BACE" w:rsidR="00B81ED0" w:rsidRPr="00B81ED0" w:rsidRDefault="00B81ED0" w:rsidP="00B81ED0">
      <w:pPr>
        <w:pStyle w:val="Cuerpo"/>
        <w:tabs>
          <w:tab w:val="left" w:pos="7655"/>
        </w:tabs>
        <w:spacing w:line="240" w:lineRule="auto"/>
        <w:ind w:right="49"/>
        <w:jc w:val="both"/>
        <w:rPr>
          <w:rFonts w:ascii="ITC Avant Garde" w:eastAsia="ITC Avant Garde" w:hAnsi="ITC Avant Garde" w:cs="ITC Avant Garde"/>
          <w:color w:val="auto"/>
          <w:lang w:val="es-ES"/>
        </w:rPr>
      </w:pPr>
      <w:r>
        <w:rPr>
          <w:rFonts w:ascii="ITC Avant Garde" w:eastAsia="ITC Avant Garde" w:hAnsi="ITC Avant Garde" w:cs="ITC Avant Garde"/>
          <w:b/>
          <w:bCs/>
          <w:color w:val="auto"/>
          <w:lang w:val="es-ES"/>
        </w:rPr>
        <w:t xml:space="preserve">PRIMERO. </w:t>
      </w:r>
      <w:r w:rsidR="004B68C7" w:rsidRPr="00B81ED0">
        <w:rPr>
          <w:rFonts w:ascii="ITC Avant Garde" w:eastAsia="ITC Avant Garde" w:hAnsi="ITC Avant Garde" w:cs="ITC Avant Garde"/>
          <w:b/>
          <w:bCs/>
          <w:color w:val="auto"/>
          <w:lang w:val="es-ES"/>
        </w:rPr>
        <w:t>Competencia del Instituto</w:t>
      </w:r>
      <w:r w:rsidR="004B68C7" w:rsidRPr="00B81ED0">
        <w:rPr>
          <w:rFonts w:ascii="ITC Avant Garde" w:eastAsia="ITC Avant Garde" w:hAnsi="ITC Avant Garde" w:cs="ITC Avant Garde"/>
          <w:color w:val="auto"/>
          <w:lang w:val="es-ES"/>
        </w:rPr>
        <w:t>.</w:t>
      </w:r>
      <w:r w:rsidR="004B68C7" w:rsidRPr="00B81ED0">
        <w:rPr>
          <w:rFonts w:ascii="ITC Avant Garde" w:eastAsia="ITC Avant Garde" w:hAnsi="ITC Avant Garde" w:cs="ITC Avant Garde"/>
          <w:b/>
          <w:bCs/>
          <w:color w:val="auto"/>
          <w:lang w:val="es-ES"/>
        </w:rPr>
        <w:t xml:space="preserve"> </w:t>
      </w:r>
      <w:r w:rsidR="004B68C7" w:rsidRPr="00B81ED0">
        <w:rPr>
          <w:rFonts w:ascii="ITC Avant Garde" w:eastAsia="ITC Avant Garde" w:hAnsi="ITC Avant Garde" w:cs="ITC Avant Garde"/>
          <w:color w:val="auto"/>
          <w:lang w:val="es-ES"/>
        </w:rPr>
        <w:t>De conformidad con lo dispuesto en los artículos 6o., párrafo tercero y Apartado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14:paraId="21D4971D" w14:textId="77777777" w:rsidR="00B81ED0" w:rsidRPr="00B81ED0" w:rsidRDefault="004B68C7" w:rsidP="00B81ED0">
      <w:pPr>
        <w:pStyle w:val="Cuerpo"/>
        <w:tabs>
          <w:tab w:val="left" w:pos="7655"/>
        </w:tabs>
        <w:spacing w:line="240" w:lineRule="auto"/>
        <w:ind w:right="49"/>
        <w:jc w:val="both"/>
        <w:rPr>
          <w:rFonts w:ascii="ITC Avant Garde" w:eastAsia="ITC Avant Garde" w:hAnsi="ITC Avant Garde" w:cs="ITC Avant Garde"/>
          <w:color w:val="auto"/>
          <w:lang w:val="es-ES"/>
        </w:rPr>
      </w:pPr>
      <w:r w:rsidRPr="00B81ED0">
        <w:rPr>
          <w:rFonts w:ascii="ITC Avant Garde" w:eastAsia="ITC Avant Garde" w:hAnsi="ITC Avant Garde" w:cs="ITC Avant Garde"/>
          <w:color w:val="auto"/>
          <w:lang w:val="es-ES"/>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283AA3EC" w14:textId="77777777" w:rsidR="00B81ED0" w:rsidRPr="00B81ED0" w:rsidRDefault="004B68C7" w:rsidP="00B81ED0">
      <w:pPr>
        <w:pStyle w:val="Cuerpo"/>
        <w:tabs>
          <w:tab w:val="left" w:pos="7655"/>
        </w:tabs>
        <w:spacing w:line="240" w:lineRule="auto"/>
        <w:ind w:right="49"/>
        <w:jc w:val="both"/>
        <w:rPr>
          <w:rFonts w:ascii="ITC Avant Garde" w:eastAsia="ITC Avant Garde" w:hAnsi="ITC Avant Garde" w:cs="ITC Avant Garde"/>
          <w:color w:val="auto"/>
          <w:lang w:val="es-ES"/>
        </w:rPr>
      </w:pPr>
      <w:r w:rsidRPr="00B81ED0">
        <w:rPr>
          <w:rFonts w:ascii="ITC Avant Garde" w:eastAsia="ITC Avant Garde" w:hAnsi="ITC Avant Garde" w:cs="ITC Avant Garde"/>
          <w:color w:val="auto"/>
          <w:lang w:val="es-ES"/>
        </w:rPr>
        <w:t>En ese sentido, como órgano máximo de gobierno del Instituto, el Pleno resulta competente para emitir el presente Acuerdo.</w:t>
      </w:r>
    </w:p>
    <w:p w14:paraId="1EBF2B45" w14:textId="5356E96D" w:rsidR="00B81ED0" w:rsidRPr="00B81ED0" w:rsidRDefault="00B81ED0" w:rsidP="00B81ED0">
      <w:pPr>
        <w:pStyle w:val="Cuerpo"/>
        <w:tabs>
          <w:tab w:val="left" w:pos="7655"/>
        </w:tabs>
        <w:spacing w:line="240" w:lineRule="auto"/>
        <w:ind w:right="49"/>
        <w:jc w:val="both"/>
        <w:rPr>
          <w:rFonts w:ascii="ITC Avant Garde" w:eastAsia="ITC Avant Garde" w:hAnsi="ITC Avant Garde" w:cs="ITC Avant Garde"/>
          <w:bCs/>
          <w:color w:val="auto"/>
          <w:lang w:val="es-ES"/>
        </w:rPr>
      </w:pPr>
      <w:r>
        <w:rPr>
          <w:rFonts w:ascii="ITC Avant Garde" w:eastAsia="ITC Avant Garde" w:hAnsi="ITC Avant Garde" w:cs="ITC Avant Garde"/>
          <w:b/>
          <w:bCs/>
          <w:color w:val="auto"/>
          <w:lang w:val="es-ES"/>
        </w:rPr>
        <w:t xml:space="preserve">SEGUNDO. </w:t>
      </w:r>
      <w:r w:rsidR="004B68C7" w:rsidRPr="00B81ED0">
        <w:rPr>
          <w:rFonts w:ascii="ITC Avant Garde" w:eastAsia="ITC Avant Garde" w:hAnsi="ITC Avant Garde" w:cs="ITC Avant Garde"/>
          <w:b/>
          <w:bCs/>
          <w:color w:val="auto"/>
          <w:lang w:val="es-ES"/>
        </w:rPr>
        <w:t xml:space="preserve">Licitación No. IFT-4. </w:t>
      </w:r>
      <w:r w:rsidR="004B68C7" w:rsidRPr="00B81ED0">
        <w:rPr>
          <w:rFonts w:ascii="ITC Avant Garde" w:eastAsia="ITC Avant Garde" w:hAnsi="ITC Avant Garde" w:cs="ITC Avant Garde"/>
          <w:bCs/>
          <w:color w:val="auto"/>
          <w:lang w:val="es-ES"/>
        </w:rPr>
        <w:t>El numeral 4 de las Bases prevé dentro del Calendario de Actividades las etapas siguientes:</w:t>
      </w:r>
    </w:p>
    <w:p w14:paraId="2A22C145" w14:textId="6CAF5E3D" w:rsidR="004B68C7" w:rsidRPr="00B81ED0" w:rsidRDefault="004B68C7" w:rsidP="00B81ED0">
      <w:pPr>
        <w:pStyle w:val="Cuerpo"/>
        <w:numPr>
          <w:ilvl w:val="0"/>
          <w:numId w:val="28"/>
        </w:numPr>
        <w:suppressAutoHyphens/>
        <w:spacing w:after="0" w:line="240" w:lineRule="auto"/>
        <w:jc w:val="both"/>
        <w:rPr>
          <w:rFonts w:ascii="ITC Avant Garde" w:hAnsi="ITC Avant Garde"/>
          <w:color w:val="auto"/>
          <w:lang w:val="es-ES"/>
        </w:rPr>
      </w:pPr>
      <w:r w:rsidRPr="00B81ED0">
        <w:rPr>
          <w:rFonts w:ascii="ITC Avant Garde" w:hAnsi="ITC Avant Garde"/>
          <w:b/>
          <w:color w:val="auto"/>
          <w:kern w:val="2"/>
          <w:lang w:val="es-ES"/>
        </w:rPr>
        <w:t>Primera Etapa</w:t>
      </w:r>
      <w:r w:rsidRPr="00B81ED0">
        <w:rPr>
          <w:rFonts w:ascii="ITC Avant Garde" w:hAnsi="ITC Avant Garde"/>
          <w:color w:val="auto"/>
          <w:kern w:val="2"/>
          <w:lang w:val="es-ES"/>
        </w:rPr>
        <w:t>: Manifestación de Interés, y Entrega de Información y Documentación.</w:t>
      </w:r>
    </w:p>
    <w:p w14:paraId="125D35EE" w14:textId="77777777" w:rsidR="004B68C7" w:rsidRPr="00B81ED0" w:rsidRDefault="004B68C7" w:rsidP="00B81ED0">
      <w:pPr>
        <w:pStyle w:val="Cuerpo"/>
        <w:numPr>
          <w:ilvl w:val="0"/>
          <w:numId w:val="28"/>
        </w:numPr>
        <w:suppressAutoHyphens/>
        <w:spacing w:after="0" w:line="240" w:lineRule="auto"/>
        <w:jc w:val="both"/>
        <w:rPr>
          <w:rFonts w:ascii="ITC Avant Garde" w:hAnsi="ITC Avant Garde"/>
          <w:color w:val="auto"/>
          <w:lang w:val="es-ES"/>
        </w:rPr>
      </w:pPr>
      <w:r w:rsidRPr="00B81ED0">
        <w:rPr>
          <w:rFonts w:ascii="ITC Avant Garde" w:hAnsi="ITC Avant Garde"/>
          <w:b/>
          <w:color w:val="auto"/>
          <w:kern w:val="2"/>
          <w:lang w:val="es-ES"/>
        </w:rPr>
        <w:t>Segunda Etapa</w:t>
      </w:r>
      <w:r w:rsidRPr="00B81ED0">
        <w:rPr>
          <w:rFonts w:ascii="ITC Avant Garde" w:hAnsi="ITC Avant Garde"/>
          <w:color w:val="auto"/>
          <w:kern w:val="2"/>
          <w:lang w:val="es-ES"/>
        </w:rPr>
        <w:t>: Evaluación, Dictaminación y Emisión de Constancias de Participación.</w:t>
      </w:r>
    </w:p>
    <w:p w14:paraId="1CEAB857" w14:textId="77777777" w:rsidR="004B68C7" w:rsidRPr="00B81ED0" w:rsidRDefault="004B68C7" w:rsidP="00B81ED0">
      <w:pPr>
        <w:pStyle w:val="Cuerpo"/>
        <w:numPr>
          <w:ilvl w:val="0"/>
          <w:numId w:val="28"/>
        </w:numPr>
        <w:suppressAutoHyphens/>
        <w:spacing w:after="0" w:line="240" w:lineRule="auto"/>
        <w:jc w:val="both"/>
        <w:rPr>
          <w:rFonts w:ascii="ITC Avant Garde" w:hAnsi="ITC Avant Garde"/>
          <w:color w:val="auto"/>
          <w:lang w:val="es-ES"/>
        </w:rPr>
      </w:pPr>
      <w:r w:rsidRPr="00B81ED0">
        <w:rPr>
          <w:rFonts w:ascii="ITC Avant Garde" w:hAnsi="ITC Avant Garde"/>
          <w:b/>
          <w:color w:val="auto"/>
          <w:kern w:val="2"/>
          <w:lang w:val="es-ES"/>
        </w:rPr>
        <w:t>Tercera Etapa</w:t>
      </w:r>
      <w:r w:rsidRPr="00B81ED0">
        <w:rPr>
          <w:rFonts w:ascii="ITC Avant Garde" w:hAnsi="ITC Avant Garde"/>
          <w:color w:val="auto"/>
          <w:kern w:val="2"/>
          <w:lang w:val="es-ES"/>
        </w:rPr>
        <w:t>: Sesión de Práctica y Procedimiento de Presentación de las Ofertas, y</w:t>
      </w:r>
    </w:p>
    <w:p w14:paraId="3C29F045" w14:textId="77777777" w:rsidR="00B81ED0" w:rsidRPr="00B81ED0" w:rsidRDefault="004B68C7" w:rsidP="00B81ED0">
      <w:pPr>
        <w:pStyle w:val="Cuerpo"/>
        <w:numPr>
          <w:ilvl w:val="0"/>
          <w:numId w:val="28"/>
        </w:numPr>
        <w:suppressAutoHyphens/>
        <w:spacing w:line="240" w:lineRule="auto"/>
        <w:jc w:val="both"/>
        <w:rPr>
          <w:rFonts w:ascii="ITC Avant Garde" w:hAnsi="ITC Avant Garde"/>
          <w:color w:val="auto"/>
          <w:lang w:val="es-ES"/>
        </w:rPr>
      </w:pPr>
      <w:r w:rsidRPr="00B81ED0">
        <w:rPr>
          <w:rFonts w:ascii="ITC Avant Garde" w:hAnsi="ITC Avant Garde"/>
          <w:b/>
          <w:color w:val="auto"/>
          <w:kern w:val="2"/>
          <w:lang w:val="es-ES"/>
        </w:rPr>
        <w:t>Cuarta Etapa</w:t>
      </w:r>
      <w:r w:rsidRPr="00B81ED0">
        <w:rPr>
          <w:rFonts w:ascii="ITC Avant Garde" w:hAnsi="ITC Avant Garde"/>
          <w:color w:val="auto"/>
          <w:kern w:val="2"/>
          <w:lang w:val="es-ES"/>
        </w:rPr>
        <w:t>: Emisión de Acta de Fallo, Pago de Contraprestación y Otorgamiento de Títulos de Concesión.</w:t>
      </w:r>
    </w:p>
    <w:p w14:paraId="24CE4D7E" w14:textId="77777777" w:rsidR="00B81ED0" w:rsidRPr="00B81ED0" w:rsidRDefault="004B68C7" w:rsidP="00B81ED0">
      <w:pPr>
        <w:pStyle w:val="Cuerpo"/>
        <w:tabs>
          <w:tab w:val="left" w:pos="7655"/>
        </w:tabs>
        <w:spacing w:line="240" w:lineRule="auto"/>
        <w:ind w:right="49"/>
        <w:jc w:val="both"/>
        <w:rPr>
          <w:color w:val="auto"/>
          <w:lang w:val="es-ES"/>
        </w:rPr>
      </w:pPr>
      <w:r w:rsidRPr="00B81ED0">
        <w:rPr>
          <w:rFonts w:ascii="ITC Avant Garde" w:eastAsia="ITC Avant Garde" w:hAnsi="ITC Avant Garde" w:cs="ITC Avant Garde"/>
          <w:color w:val="auto"/>
          <w:kern w:val="1"/>
          <w:lang w:val="es-ES"/>
        </w:rPr>
        <w:t>Al respecto, el desarrollo de las etapas en comento se efectuó en los términos subsecuentes:</w:t>
      </w:r>
    </w:p>
    <w:p w14:paraId="509A5B3A" w14:textId="77777777" w:rsidR="00B81ED0" w:rsidRPr="00B81ED0" w:rsidRDefault="004B68C7" w:rsidP="00B81ED0">
      <w:pPr>
        <w:pStyle w:val="Prrafodelista"/>
        <w:numPr>
          <w:ilvl w:val="0"/>
          <w:numId w:val="35"/>
        </w:numPr>
        <w:pBdr>
          <w:top w:val="nil"/>
          <w:left w:val="nil"/>
          <w:bottom w:val="nil"/>
          <w:right w:val="nil"/>
          <w:between w:val="nil"/>
          <w:bar w:val="nil"/>
        </w:pBdr>
        <w:suppressAutoHyphens/>
        <w:spacing w:after="200"/>
        <w:jc w:val="both"/>
        <w:rPr>
          <w:rFonts w:ascii="ITC Avant Garde" w:hAnsi="ITC Avant Garde"/>
          <w:sz w:val="22"/>
          <w:lang w:val="es-ES"/>
        </w:rPr>
      </w:pPr>
      <w:r w:rsidRPr="00B81ED0">
        <w:rPr>
          <w:rFonts w:ascii="ITC Avant Garde" w:hAnsi="ITC Avant Garde"/>
          <w:b/>
          <w:kern w:val="2"/>
          <w:sz w:val="22"/>
          <w:lang w:val="es-ES"/>
        </w:rPr>
        <w:t>Primera Etapa</w:t>
      </w:r>
      <w:r w:rsidRPr="00B81ED0">
        <w:rPr>
          <w:rFonts w:ascii="ITC Avant Garde" w:hAnsi="ITC Avant Garde"/>
          <w:kern w:val="2"/>
          <w:sz w:val="22"/>
          <w:lang w:val="es-ES"/>
        </w:rPr>
        <w:t xml:space="preserve">: Manifestación de Interés, y Entrega de Información y Documentación. </w:t>
      </w:r>
      <w:r w:rsidRPr="00B81ED0">
        <w:rPr>
          <w:rFonts w:ascii="ITC Avant Garde" w:hAnsi="ITC Avant Garde"/>
          <w:kern w:val="2"/>
          <w:sz w:val="22"/>
          <w:lang w:val="es-ES"/>
        </w:rPr>
        <w:tab/>
      </w:r>
    </w:p>
    <w:p w14:paraId="49D37AD0" w14:textId="77777777" w:rsidR="00B81ED0" w:rsidRPr="00B81ED0" w:rsidRDefault="004B68C7" w:rsidP="00B81ED0">
      <w:pPr>
        <w:pStyle w:val="Cuerpo"/>
        <w:tabs>
          <w:tab w:val="left" w:pos="7655"/>
        </w:tabs>
        <w:spacing w:line="240" w:lineRule="auto"/>
        <w:ind w:right="49"/>
        <w:jc w:val="both"/>
        <w:rPr>
          <w:color w:val="auto"/>
          <w:lang w:val="es-ES"/>
        </w:rPr>
      </w:pPr>
      <w:r w:rsidRPr="00B81ED0">
        <w:rPr>
          <w:rFonts w:ascii="ITC Avant Garde" w:eastAsia="ITC Avant Garde" w:hAnsi="ITC Avant Garde" w:cs="ITC Avant Garde"/>
          <w:color w:val="auto"/>
          <w:lang w:val="es-ES"/>
        </w:rPr>
        <w:t>Conforme al Calendario de Actividades de la Licitación No. IFT-4, el 21 de octubre de 2016 concluyó la última acción prevista para la Primera Etapa “</w:t>
      </w:r>
      <w:r w:rsidRPr="00B81ED0">
        <w:rPr>
          <w:rFonts w:ascii="ITC Avant Garde" w:eastAsia="ITC Avant Garde" w:hAnsi="ITC Avant Garde" w:cs="ITC Avant Garde"/>
          <w:iCs/>
          <w:color w:val="auto"/>
          <w:kern w:val="2"/>
          <w:lang w:val="es-ES"/>
        </w:rPr>
        <w:t>Manifestación de Interés, y Entrega de Información y Documentación</w:t>
      </w:r>
      <w:r w:rsidRPr="00B81ED0">
        <w:rPr>
          <w:rFonts w:ascii="ITC Avant Garde" w:eastAsia="ITC Avant Garde" w:hAnsi="ITC Avant Garde" w:cs="ITC Avant Garde"/>
          <w:color w:val="auto"/>
          <w:kern w:val="2"/>
          <w:lang w:val="es-ES"/>
        </w:rPr>
        <w:t>”</w:t>
      </w:r>
      <w:r w:rsidRPr="00B81ED0">
        <w:rPr>
          <w:rFonts w:ascii="ITC Avant Garde" w:eastAsia="ITC Avant Garde" w:hAnsi="ITC Avant Garde" w:cs="ITC Avant Garde"/>
          <w:color w:val="auto"/>
          <w:lang w:val="es-ES"/>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22A9C86F" w14:textId="77777777" w:rsidR="00B81ED0" w:rsidRPr="00B81ED0" w:rsidRDefault="004B68C7" w:rsidP="00B81ED0">
      <w:pPr>
        <w:pStyle w:val="Prrafodelista"/>
        <w:numPr>
          <w:ilvl w:val="0"/>
          <w:numId w:val="35"/>
        </w:numPr>
        <w:pBdr>
          <w:top w:val="nil"/>
          <w:left w:val="nil"/>
          <w:bottom w:val="nil"/>
          <w:right w:val="nil"/>
          <w:between w:val="nil"/>
          <w:bar w:val="nil"/>
        </w:pBdr>
        <w:suppressAutoHyphens/>
        <w:spacing w:after="200"/>
        <w:jc w:val="both"/>
        <w:rPr>
          <w:rFonts w:ascii="ITC Avant Garde" w:hAnsi="ITC Avant Garde"/>
          <w:sz w:val="22"/>
          <w:lang w:val="es-ES"/>
        </w:rPr>
      </w:pPr>
      <w:r w:rsidRPr="00B81ED0">
        <w:rPr>
          <w:rFonts w:ascii="ITC Avant Garde" w:hAnsi="ITC Avant Garde"/>
          <w:b/>
          <w:kern w:val="2"/>
          <w:sz w:val="22"/>
          <w:lang w:val="es-ES"/>
        </w:rPr>
        <w:t>Segunda Etapa</w:t>
      </w:r>
      <w:r w:rsidRPr="00B81ED0">
        <w:rPr>
          <w:rFonts w:ascii="ITC Avant Garde" w:hAnsi="ITC Avant Garde"/>
          <w:kern w:val="2"/>
          <w:sz w:val="22"/>
          <w:lang w:val="es-ES"/>
        </w:rPr>
        <w:t xml:space="preserve">: Evaluación, </w:t>
      </w:r>
      <w:proofErr w:type="spellStart"/>
      <w:r w:rsidRPr="00B81ED0">
        <w:rPr>
          <w:rFonts w:ascii="ITC Avant Garde" w:hAnsi="ITC Avant Garde"/>
          <w:kern w:val="2"/>
          <w:sz w:val="22"/>
          <w:lang w:val="es-ES"/>
        </w:rPr>
        <w:t>Dictaminación</w:t>
      </w:r>
      <w:proofErr w:type="spellEnd"/>
      <w:r w:rsidRPr="00B81ED0">
        <w:rPr>
          <w:rFonts w:ascii="ITC Avant Garde" w:hAnsi="ITC Avant Garde"/>
          <w:kern w:val="2"/>
          <w:sz w:val="22"/>
          <w:lang w:val="es-ES"/>
        </w:rPr>
        <w:t xml:space="preserve"> y Emisión de Constancias de Participación.</w:t>
      </w:r>
    </w:p>
    <w:p w14:paraId="1B33076F" w14:textId="77777777" w:rsidR="00B81ED0" w:rsidRPr="00B81ED0" w:rsidRDefault="004B68C7" w:rsidP="00B81ED0">
      <w:pPr>
        <w:pStyle w:val="Cuerpo"/>
        <w:tabs>
          <w:tab w:val="left" w:pos="7655"/>
        </w:tabs>
        <w:spacing w:line="240" w:lineRule="auto"/>
        <w:ind w:right="51"/>
        <w:jc w:val="both"/>
        <w:rPr>
          <w:color w:val="auto"/>
          <w:lang w:val="es-ES"/>
        </w:rPr>
      </w:pPr>
      <w:r w:rsidRPr="00B81ED0">
        <w:rPr>
          <w:rFonts w:ascii="ITC Avant Garde" w:eastAsia="ITC Avant Garde" w:hAnsi="ITC Avant Garde" w:cs="ITC Avant Garde"/>
          <w:color w:val="auto"/>
          <w:lang w:val="es-ES"/>
        </w:rPr>
        <w:lastRenderedPageBreak/>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13953D24" w14:textId="77777777" w:rsidR="00B81ED0" w:rsidRPr="00B81ED0" w:rsidRDefault="004B68C7" w:rsidP="00B81ED0">
      <w:pPr>
        <w:pStyle w:val="Cuerpo"/>
        <w:spacing w:line="240" w:lineRule="auto"/>
        <w:ind w:right="49"/>
        <w:jc w:val="both"/>
        <w:rPr>
          <w:color w:val="auto"/>
          <w:lang w:val="es-ES"/>
        </w:rPr>
      </w:pPr>
      <w:r w:rsidRPr="00B81ED0">
        <w:rPr>
          <w:rFonts w:ascii="ITC Avant Garde" w:eastAsia="ITC Avant Garde" w:hAnsi="ITC Avant Garde" w:cs="ITC Avant Garde"/>
          <w:color w:val="auto"/>
          <w:lang w:val="es-ES"/>
        </w:rPr>
        <w:t>Ahora bien, en términos del numeral 5.1.6 de las Bases, una vez que el Instituto analizó la documentación presentada por los Interesados con motivo de la prevención efectuada, notificó e hizo entrega de las Constancias de Participación a aquellos Interesados que acreditaron su capacidad administrativa, técnica, jurídica y financiera, así como los demás requisitos establecidos en el Apéndice A y sus Anexos, y el Apéndice E de las Bases, así como el numeral 5.2.1 de las Bases, dentro del período comprendido del 23 al 27 de enero de 2017.</w:t>
      </w:r>
    </w:p>
    <w:p w14:paraId="34F5CE2B" w14:textId="77777777" w:rsidR="00B81ED0" w:rsidRPr="00B81ED0" w:rsidRDefault="004B68C7" w:rsidP="00B81ED0">
      <w:pPr>
        <w:pStyle w:val="Cuerpo"/>
        <w:tabs>
          <w:tab w:val="left" w:pos="7655"/>
        </w:tabs>
        <w:spacing w:line="240" w:lineRule="auto"/>
        <w:ind w:right="51"/>
        <w:jc w:val="both"/>
        <w:rPr>
          <w:color w:val="auto"/>
          <w:lang w:val="es-ES"/>
        </w:rPr>
      </w:pPr>
      <w:r w:rsidRPr="00B81ED0">
        <w:rPr>
          <w:rFonts w:ascii="ITC Avant Garde" w:eastAsia="ITC Avant Garde" w:hAnsi="ITC Avant Garde" w:cs="ITC Avant Garde"/>
          <w:color w:val="auto"/>
          <w:lang w:val="es-ES"/>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en el período comprendido del 23 al 27 de enero de 2017. </w:t>
      </w:r>
    </w:p>
    <w:p w14:paraId="0C8B923C" w14:textId="77777777" w:rsidR="00B81ED0" w:rsidRPr="00B81ED0" w:rsidRDefault="004B68C7" w:rsidP="00B81ED0">
      <w:pPr>
        <w:pStyle w:val="Cuerpo"/>
        <w:spacing w:line="240" w:lineRule="auto"/>
        <w:ind w:right="49"/>
        <w:jc w:val="both"/>
        <w:rPr>
          <w:color w:val="auto"/>
          <w:lang w:val="es-ES"/>
        </w:rPr>
      </w:pPr>
      <w:r w:rsidRPr="00B81ED0">
        <w:rPr>
          <w:rFonts w:ascii="ITC Avant Garde" w:eastAsia="ITC Avant Garde" w:hAnsi="ITC Avant Garde" w:cs="ITC Avant Garde"/>
          <w:color w:val="auto"/>
          <w:lang w:val="es-ES"/>
        </w:rPr>
        <w:t>En este sentido, conforme a lo dispuesto en el numeral 5.2.1 de las Bases, con la notificación y entrega de las Constancias de Participación, dichos Interesados alcanzaron la calidad de Participantes y avanzaron a la Tercera Etapa de la Licitación.</w:t>
      </w:r>
    </w:p>
    <w:p w14:paraId="7DA0F275" w14:textId="77777777" w:rsidR="00B81ED0" w:rsidRPr="00B81ED0" w:rsidRDefault="004B68C7" w:rsidP="00B81ED0">
      <w:pPr>
        <w:pStyle w:val="Prrafodelista"/>
        <w:numPr>
          <w:ilvl w:val="0"/>
          <w:numId w:val="35"/>
        </w:numPr>
        <w:pBdr>
          <w:top w:val="nil"/>
          <w:left w:val="nil"/>
          <w:bottom w:val="nil"/>
          <w:right w:val="nil"/>
          <w:between w:val="nil"/>
          <w:bar w:val="nil"/>
        </w:pBdr>
        <w:suppressAutoHyphens/>
        <w:spacing w:after="200"/>
        <w:jc w:val="both"/>
        <w:rPr>
          <w:rFonts w:ascii="ITC Avant Garde" w:hAnsi="ITC Avant Garde"/>
          <w:sz w:val="22"/>
          <w:lang w:val="es-ES"/>
        </w:rPr>
      </w:pPr>
      <w:r w:rsidRPr="00B81ED0">
        <w:rPr>
          <w:rFonts w:ascii="ITC Avant Garde" w:hAnsi="ITC Avant Garde"/>
          <w:b/>
          <w:kern w:val="2"/>
          <w:sz w:val="22"/>
          <w:lang w:val="es-ES"/>
        </w:rPr>
        <w:t xml:space="preserve">Tercera Etapa: </w:t>
      </w:r>
      <w:r w:rsidRPr="00B81ED0">
        <w:rPr>
          <w:rFonts w:ascii="ITC Avant Garde" w:hAnsi="ITC Avant Garde"/>
          <w:kern w:val="2"/>
          <w:sz w:val="22"/>
          <w:lang w:val="es-ES"/>
        </w:rPr>
        <w:t>Sesión de Práctica y Procedimiento de Presentación de las Ofertas.</w:t>
      </w:r>
    </w:p>
    <w:p w14:paraId="034EC64C" w14:textId="77777777" w:rsidR="00B81ED0" w:rsidRPr="00B81ED0" w:rsidRDefault="004B68C7" w:rsidP="00B81ED0">
      <w:pPr>
        <w:pStyle w:val="Cuerpo"/>
        <w:suppressAutoHyphens/>
        <w:spacing w:line="240" w:lineRule="auto"/>
        <w:jc w:val="both"/>
        <w:rPr>
          <w:color w:val="auto"/>
          <w:lang w:val="es-ES"/>
        </w:rPr>
      </w:pPr>
      <w:r w:rsidRPr="00B81ED0">
        <w:rPr>
          <w:rFonts w:ascii="ITC Avant Garde" w:eastAsia="ITC Avant Garde" w:hAnsi="ITC Avant Garde" w:cs="ITC Avant Garde"/>
          <w:color w:val="auto"/>
          <w:kern w:val="2"/>
          <w:lang w:val="es-ES"/>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7EAFAC47" w14:textId="77777777" w:rsidR="00B81ED0" w:rsidRPr="00B81ED0" w:rsidRDefault="004B68C7" w:rsidP="00B81ED0">
      <w:pPr>
        <w:pStyle w:val="Cuerpo"/>
        <w:suppressAutoHyphens/>
        <w:spacing w:line="240" w:lineRule="auto"/>
        <w:jc w:val="both"/>
        <w:rPr>
          <w:color w:val="auto"/>
          <w:lang w:val="es-ES"/>
        </w:rPr>
      </w:pPr>
      <w:r w:rsidRPr="00B81ED0">
        <w:rPr>
          <w:rFonts w:ascii="ITC Avant Garde" w:eastAsia="ITC Avant Garde" w:hAnsi="ITC Avant Garde" w:cs="ITC Avant Garde"/>
          <w:color w:val="auto"/>
          <w:kern w:val="2"/>
          <w:lang w:val="es-ES"/>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w:t>
      </w:r>
      <w:r w:rsidR="00C33605" w:rsidRPr="00B81ED0">
        <w:rPr>
          <w:rFonts w:ascii="ITC Avant Garde" w:eastAsia="ITC Avant Garde" w:hAnsi="ITC Avant Garde" w:cs="ITC Avant Garde"/>
          <w:color w:val="auto"/>
          <w:kern w:val="2"/>
          <w:lang w:val="es-ES"/>
        </w:rPr>
        <w:t xml:space="preserve">anterior </w:t>
      </w:r>
      <w:r w:rsidRPr="00B81ED0">
        <w:rPr>
          <w:rFonts w:ascii="ITC Avant Garde" w:eastAsia="ITC Avant Garde" w:hAnsi="ITC Avant Garde" w:cs="ITC Avant Garde"/>
          <w:color w:val="auto"/>
          <w:kern w:val="2"/>
          <w:lang w:val="es-ES"/>
        </w:rPr>
        <w:t xml:space="preserve">al Cierre Programado. Los Lotes cuyo tiempo de presentación de Ofertas fue extendido, continuaron por 30 minutos adicionales al Cierre Programado originalmente y dicha extensión de tiempo se repitió cuando existió actividad durante dicho lapso de media hora. </w:t>
      </w:r>
    </w:p>
    <w:p w14:paraId="73F907AB" w14:textId="77777777" w:rsidR="00B81ED0" w:rsidRPr="00B81ED0" w:rsidRDefault="004B68C7" w:rsidP="00B81ED0">
      <w:pPr>
        <w:pStyle w:val="Cuerpo"/>
        <w:suppressAutoHyphens/>
        <w:spacing w:line="240" w:lineRule="auto"/>
        <w:jc w:val="both"/>
        <w:rPr>
          <w:color w:val="auto"/>
          <w:lang w:val="es-ES"/>
        </w:rPr>
      </w:pPr>
      <w:r w:rsidRPr="00B81ED0">
        <w:rPr>
          <w:rFonts w:ascii="ITC Avant Garde" w:eastAsia="ITC Avant Garde" w:hAnsi="ITC Avant Garde" w:cs="ITC Avant Garde"/>
          <w:color w:val="auto"/>
          <w:kern w:val="2"/>
          <w:lang w:val="es-ES"/>
        </w:rPr>
        <w:t>En este sentido, respecto de cada uno de los Concursos tenemos lo siguiente:</w:t>
      </w:r>
    </w:p>
    <w:p w14:paraId="54764DA0" w14:textId="77777777" w:rsidR="00B81ED0" w:rsidRPr="00B81ED0" w:rsidRDefault="004B68C7" w:rsidP="00B81ED0">
      <w:pPr>
        <w:pStyle w:val="Prrafodelista"/>
        <w:numPr>
          <w:ilvl w:val="0"/>
          <w:numId w:val="31"/>
        </w:numPr>
        <w:pBdr>
          <w:top w:val="nil"/>
          <w:left w:val="nil"/>
          <w:bottom w:val="nil"/>
          <w:right w:val="nil"/>
          <w:between w:val="nil"/>
          <w:bar w:val="nil"/>
        </w:pBdr>
        <w:suppressAutoHyphens/>
        <w:spacing w:after="200"/>
        <w:jc w:val="both"/>
        <w:rPr>
          <w:rFonts w:ascii="ITC Avant Garde" w:eastAsia="ITC Avant Garde" w:hAnsi="ITC Avant Garde" w:cs="ITC Avant Garde"/>
          <w:b/>
          <w:bCs/>
          <w:sz w:val="22"/>
          <w:szCs w:val="22"/>
          <w:lang w:val="es-ES"/>
        </w:rPr>
      </w:pPr>
      <w:r w:rsidRPr="00B81ED0">
        <w:rPr>
          <w:rFonts w:ascii="ITC Avant Garde" w:eastAsia="ITC Avant Garde" w:hAnsi="ITC Avant Garde" w:cs="ITC Avant Garde"/>
          <w:b/>
          <w:bCs/>
          <w:kern w:val="2"/>
          <w:sz w:val="22"/>
          <w:szCs w:val="22"/>
          <w:lang w:val="es-ES"/>
        </w:rPr>
        <w:lastRenderedPageBreak/>
        <w:t>Procedimiento de Presentación de Ofertas relativas al Concurso correspondiente a 191 Lotes de la Banda FM, en el segmento de 88 a 106 MHz.</w:t>
      </w:r>
    </w:p>
    <w:p w14:paraId="0D34E827" w14:textId="77777777" w:rsidR="00B81ED0" w:rsidRPr="00B81ED0" w:rsidRDefault="004B68C7" w:rsidP="00B81ED0">
      <w:pPr>
        <w:pStyle w:val="Prrafodelista"/>
        <w:suppressAutoHyphens/>
        <w:spacing w:after="200"/>
        <w:ind w:left="0"/>
        <w:jc w:val="both"/>
        <w:rPr>
          <w:lang w:val="es-ES"/>
        </w:rPr>
      </w:pPr>
      <w:r w:rsidRPr="00B81ED0">
        <w:rPr>
          <w:rFonts w:ascii="ITC Avant Garde" w:eastAsia="ITC Avant Garde" w:hAnsi="ITC Avant Garde" w:cs="ITC Avant Garde"/>
          <w:kern w:val="1"/>
          <w:sz w:val="22"/>
          <w:szCs w:val="22"/>
          <w:lang w:val="es-ES"/>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35BB251C" w14:textId="77777777" w:rsidR="00B81ED0" w:rsidRPr="00B81ED0" w:rsidRDefault="004B68C7" w:rsidP="00B81ED0">
      <w:pPr>
        <w:pStyle w:val="Prrafodelista"/>
        <w:suppressAutoHyphens/>
        <w:spacing w:after="200"/>
        <w:ind w:left="0"/>
        <w:jc w:val="both"/>
        <w:rPr>
          <w:lang w:val="es-ES"/>
        </w:rPr>
      </w:pPr>
      <w:r w:rsidRPr="00B81ED0">
        <w:rPr>
          <w:rFonts w:ascii="ITC Avant Garde" w:eastAsia="ITC Avant Garde" w:hAnsi="ITC Avant Garde" w:cs="ITC Avant Garde"/>
          <w:kern w:val="1"/>
          <w:sz w:val="22"/>
          <w:szCs w:val="22"/>
          <w:lang w:val="es-ES"/>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Pr="00B81ED0">
        <w:rPr>
          <w:rFonts w:ascii="ITC Avant Garde" w:hAnsi="ITC Avant Garde"/>
          <w:kern w:val="1"/>
          <w:sz w:val="22"/>
          <w:szCs w:val="22"/>
          <w:lang w:eastAsia="ar-SA"/>
        </w:rPr>
        <w:t xml:space="preserve">147 </w:t>
      </w:r>
      <w:r w:rsidRPr="00B81ED0">
        <w:rPr>
          <w:rFonts w:ascii="ITC Avant Garde" w:eastAsia="ITC Avant Garde" w:hAnsi="ITC Avant Garde" w:cs="ITC Avant Garde"/>
          <w:kern w:val="1"/>
          <w:sz w:val="22"/>
          <w:szCs w:val="22"/>
          <w:lang w:val="es-ES"/>
        </w:rPr>
        <w:t xml:space="preserve">Frecuencias de la Banda FM en el segmento de 88 a 106 MHz, al no presentarse nuevas posturas en el SERPO durante los 30 minutos de extensión de tiempo previos al nuevo Cierre Programado, de conformidad con las Bases. </w:t>
      </w:r>
    </w:p>
    <w:p w14:paraId="698A78D3" w14:textId="77777777" w:rsidR="00B81ED0" w:rsidRPr="00B81ED0" w:rsidRDefault="004B68C7" w:rsidP="00B81ED0">
      <w:pPr>
        <w:pStyle w:val="Prrafodelista"/>
        <w:suppressAutoHyphens/>
        <w:spacing w:after="200"/>
        <w:ind w:left="0"/>
        <w:jc w:val="both"/>
        <w:rPr>
          <w:lang w:val="es-ES"/>
        </w:rPr>
      </w:pPr>
      <w:r w:rsidRPr="00B81ED0">
        <w:rPr>
          <w:rFonts w:ascii="ITC Avant Garde" w:eastAsia="ITC Avant Garde" w:hAnsi="ITC Avant Garde" w:cs="ITC Avant Garde"/>
          <w:kern w:val="2"/>
          <w:sz w:val="22"/>
          <w:szCs w:val="22"/>
          <w:lang w:val="es-ES"/>
        </w:rPr>
        <w:t xml:space="preserve">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w:t>
      </w:r>
      <w:r w:rsidR="00BA3A10" w:rsidRPr="00B81ED0">
        <w:rPr>
          <w:rFonts w:ascii="ITC Avant Garde" w:eastAsia="ITC Avant Garde" w:hAnsi="ITC Avant Garde" w:cs="ITC Avant Garde"/>
          <w:kern w:val="2"/>
          <w:sz w:val="22"/>
          <w:szCs w:val="22"/>
          <w:lang w:val="es-ES"/>
        </w:rPr>
        <w:t xml:space="preserve">con </w:t>
      </w:r>
      <w:r w:rsidRPr="00B81ED0">
        <w:rPr>
          <w:rFonts w:ascii="ITC Avant Garde" w:eastAsia="ITC Avant Garde" w:hAnsi="ITC Avant Garde" w:cs="ITC Avant Garde"/>
          <w:kern w:val="2"/>
          <w:sz w:val="22"/>
          <w:szCs w:val="22"/>
          <w:lang w:val="es-ES"/>
        </w:rPr>
        <w:t>previo aviso a todos los Participantes, la cual fue notificada vía el SERPO y correo electrónico el 10 de febrero de 2017.</w:t>
      </w:r>
    </w:p>
    <w:p w14:paraId="38C5B123" w14:textId="77777777" w:rsidR="00B81ED0" w:rsidRPr="00B81ED0" w:rsidRDefault="004B68C7" w:rsidP="00B81ED0">
      <w:pPr>
        <w:pStyle w:val="Prrafodelista"/>
        <w:spacing w:after="200"/>
        <w:ind w:left="0" w:right="49"/>
        <w:jc w:val="both"/>
        <w:rPr>
          <w:lang w:val="es-ES"/>
        </w:rPr>
      </w:pPr>
      <w:r w:rsidRPr="00B81ED0">
        <w:rPr>
          <w:rFonts w:ascii="ITC Avant Garde" w:eastAsia="ITC Avant Garde" w:hAnsi="ITC Avant Garde" w:cs="ITC Avant Garde"/>
          <w:kern w:val="1"/>
          <w:sz w:val="22"/>
          <w:szCs w:val="22"/>
          <w:lang w:val="es-ES"/>
        </w:rPr>
        <w:t>El 14 de febrero de 2017 se publicaron en el Portal de Internet del Instituto los resultados de cada Lote del Concurso de la Banda FM, en cumplimiento a lo establecido en los numerales 4 y 5.3.1 de las Bases.</w:t>
      </w:r>
    </w:p>
    <w:p w14:paraId="3751EB53" w14:textId="77777777" w:rsidR="00B81ED0" w:rsidRPr="00B81ED0" w:rsidRDefault="004B68C7" w:rsidP="00B81ED0">
      <w:pPr>
        <w:pStyle w:val="Prrafodelista"/>
        <w:numPr>
          <w:ilvl w:val="0"/>
          <w:numId w:val="33"/>
        </w:numPr>
        <w:pBdr>
          <w:top w:val="nil"/>
          <w:left w:val="nil"/>
          <w:bottom w:val="nil"/>
          <w:right w:val="nil"/>
          <w:between w:val="nil"/>
          <w:bar w:val="nil"/>
        </w:pBdr>
        <w:suppressAutoHyphens/>
        <w:spacing w:after="200"/>
        <w:jc w:val="both"/>
        <w:rPr>
          <w:rFonts w:ascii="ITC Avant Garde" w:eastAsia="ITC Avant Garde" w:hAnsi="ITC Avant Garde" w:cs="ITC Avant Garde"/>
          <w:b/>
          <w:bCs/>
          <w:sz w:val="22"/>
          <w:szCs w:val="22"/>
          <w:lang w:val="es-ES"/>
        </w:rPr>
      </w:pPr>
      <w:r w:rsidRPr="00B81ED0">
        <w:rPr>
          <w:rFonts w:ascii="ITC Avant Garde" w:eastAsia="ITC Avant Garde" w:hAnsi="ITC Avant Garde" w:cs="ITC Avant Garde"/>
          <w:b/>
          <w:bCs/>
          <w:kern w:val="2"/>
          <w:sz w:val="22"/>
          <w:szCs w:val="22"/>
          <w:lang w:val="es-ES"/>
        </w:rPr>
        <w:t>Procedimiento de Presentación de Ofertas relativas al Concurso correspondiente a 66 Lotes de la Banda AM, en el segmento de 535 a 1605 kHz.</w:t>
      </w:r>
    </w:p>
    <w:p w14:paraId="71E0D743" w14:textId="77777777" w:rsidR="00B81ED0" w:rsidRPr="00B81ED0" w:rsidRDefault="004B68C7" w:rsidP="00B81ED0">
      <w:pPr>
        <w:pStyle w:val="Prrafodelista"/>
        <w:spacing w:after="200"/>
        <w:ind w:left="0" w:right="49"/>
        <w:jc w:val="both"/>
        <w:rPr>
          <w:lang w:val="es-ES"/>
        </w:rPr>
      </w:pPr>
      <w:r w:rsidRPr="00B81ED0">
        <w:rPr>
          <w:rFonts w:ascii="ITC Avant Garde" w:eastAsia="ITC Avant Garde" w:hAnsi="ITC Avant Garde" w:cs="ITC Avant Garde"/>
          <w:kern w:val="1"/>
          <w:sz w:val="22"/>
          <w:szCs w:val="22"/>
          <w:lang w:val="es-ES"/>
        </w:rPr>
        <w:t xml:space="preserve">El 14 de febrero de 2017 comenzó el Procedimiento de Presentación de Ofertas correspondientes a la Banda AM para 31 Lotes, toda vez que para 35 frecuencias no se otorgó Constancia de Participación. </w:t>
      </w:r>
    </w:p>
    <w:p w14:paraId="2F8DB3D4" w14:textId="77777777" w:rsidR="00B81ED0" w:rsidRPr="00B81ED0" w:rsidRDefault="004B68C7" w:rsidP="00B81ED0">
      <w:pPr>
        <w:pStyle w:val="Prrafodelista"/>
        <w:spacing w:after="200"/>
        <w:ind w:left="0" w:right="49"/>
        <w:jc w:val="both"/>
        <w:rPr>
          <w:lang w:val="es-ES"/>
        </w:rPr>
      </w:pPr>
      <w:r w:rsidRPr="00B81ED0">
        <w:rPr>
          <w:rFonts w:ascii="ITC Avant Garde" w:eastAsia="ITC Avant Garde" w:hAnsi="ITC Avant Garde" w:cs="ITC Avant Garde"/>
          <w:kern w:val="1"/>
          <w:sz w:val="22"/>
          <w:szCs w:val="22"/>
          <w:lang w:val="es-ES"/>
        </w:rPr>
        <w:lastRenderedPageBreak/>
        <w:t xml:space="preserve">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conformidad con las Bases. </w:t>
      </w:r>
    </w:p>
    <w:p w14:paraId="1717D893" w14:textId="77777777" w:rsidR="00B81ED0" w:rsidRPr="00B81ED0" w:rsidRDefault="004B68C7" w:rsidP="00B81ED0">
      <w:pPr>
        <w:pStyle w:val="Prrafodelista"/>
        <w:spacing w:after="200"/>
        <w:ind w:left="0" w:right="49"/>
        <w:jc w:val="both"/>
        <w:rPr>
          <w:lang w:val="es-ES"/>
        </w:rPr>
      </w:pPr>
      <w:r w:rsidRPr="00B81ED0">
        <w:rPr>
          <w:rFonts w:ascii="ITC Avant Garde" w:eastAsia="ITC Avant Garde" w:hAnsi="ITC Avant Garde" w:cs="ITC Avant Garde"/>
          <w:kern w:val="1"/>
          <w:sz w:val="22"/>
          <w:szCs w:val="22"/>
          <w:lang w:val="es-ES"/>
        </w:rPr>
        <w:t>Consecuentemente, el 17 de febrero de 2017 se publicaron en el Portal de Internet del Instituto los resultados de cada Lote del Concurso de la Banda AM, en cumplimiento a lo establecido en los numerales 4 y 5.3.1 de las Bases.</w:t>
      </w:r>
    </w:p>
    <w:p w14:paraId="039887E7" w14:textId="77777777" w:rsidR="00B81ED0" w:rsidRPr="00B81ED0" w:rsidRDefault="004B68C7" w:rsidP="00B81ED0">
      <w:pPr>
        <w:pStyle w:val="Prrafodelista"/>
        <w:spacing w:after="200"/>
        <w:ind w:left="0" w:right="49"/>
        <w:jc w:val="both"/>
        <w:rPr>
          <w:lang w:val="es-ES"/>
        </w:rPr>
      </w:pPr>
      <w:r w:rsidRPr="00B81ED0">
        <w:rPr>
          <w:rFonts w:ascii="ITC Avant Garde" w:eastAsia="ITC Avant Garde" w:hAnsi="ITC Avant Garde" w:cs="ITC Avant Garde"/>
          <w:kern w:val="2"/>
          <w:sz w:val="22"/>
          <w:szCs w:val="22"/>
          <w:lang w:val="es-ES"/>
        </w:rPr>
        <w:t xml:space="preserve">El Procedimiento de Presentación de Ofertas de los Concursos de la Banda FM y de la Banda AM, al igual que el resto de las etapas previas de la Licitación No. IFT-4, fue </w:t>
      </w:r>
      <w:r w:rsidR="0004496D" w:rsidRPr="00B81ED0">
        <w:rPr>
          <w:rFonts w:ascii="ITC Avant Garde" w:eastAsia="ITC Avant Garde" w:hAnsi="ITC Avant Garde" w:cs="ITC Avant Garde"/>
          <w:kern w:val="2"/>
          <w:sz w:val="22"/>
          <w:szCs w:val="22"/>
          <w:lang w:val="es-ES"/>
        </w:rPr>
        <w:t xml:space="preserve">presenciado </w:t>
      </w:r>
      <w:r w:rsidRPr="00B81ED0">
        <w:rPr>
          <w:rFonts w:ascii="ITC Avant Garde" w:eastAsia="ITC Avant Garde" w:hAnsi="ITC Avant Garde" w:cs="ITC Avant Garde"/>
          <w:kern w:val="2"/>
          <w:sz w:val="22"/>
          <w:szCs w:val="22"/>
          <w:lang w:val="es-ES"/>
        </w:rPr>
        <w:t>por un testigo social y contó con la participación de un fedatario público.</w:t>
      </w:r>
    </w:p>
    <w:p w14:paraId="2B34E40B" w14:textId="77777777" w:rsidR="00B81ED0" w:rsidRPr="00B81ED0" w:rsidRDefault="004B68C7" w:rsidP="00B81ED0">
      <w:pPr>
        <w:pStyle w:val="Prrafodelista"/>
        <w:numPr>
          <w:ilvl w:val="0"/>
          <w:numId w:val="35"/>
        </w:numPr>
        <w:pBdr>
          <w:top w:val="nil"/>
          <w:left w:val="nil"/>
          <w:bottom w:val="nil"/>
          <w:right w:val="nil"/>
          <w:between w:val="nil"/>
          <w:bar w:val="nil"/>
        </w:pBdr>
        <w:suppressAutoHyphens/>
        <w:spacing w:after="200"/>
        <w:jc w:val="both"/>
        <w:rPr>
          <w:rFonts w:ascii="ITC Avant Garde" w:eastAsia="ITC Avant Garde" w:hAnsi="ITC Avant Garde" w:cs="ITC Avant Garde"/>
          <w:bCs/>
          <w:kern w:val="2"/>
          <w:sz w:val="22"/>
          <w:szCs w:val="22"/>
          <w:lang w:val="es-ES"/>
        </w:rPr>
      </w:pPr>
      <w:r w:rsidRPr="00B81ED0">
        <w:rPr>
          <w:rFonts w:ascii="ITC Avant Garde" w:hAnsi="ITC Avant Garde"/>
          <w:b/>
          <w:kern w:val="2"/>
          <w:sz w:val="22"/>
          <w:lang w:val="es-ES"/>
        </w:rPr>
        <w:t xml:space="preserve">Cuarta Etapa: </w:t>
      </w:r>
      <w:r w:rsidRPr="00B81ED0">
        <w:rPr>
          <w:rFonts w:ascii="ITC Avant Garde" w:hAnsi="ITC Avant Garde"/>
          <w:kern w:val="2"/>
          <w:sz w:val="22"/>
          <w:lang w:val="es-ES"/>
        </w:rPr>
        <w:t>Emisión de Acta de Fallo, Pago de Contraprestación y Otorgamiento de Títulos de Concesión</w:t>
      </w:r>
      <w:r w:rsidRPr="00B81ED0">
        <w:rPr>
          <w:rFonts w:ascii="ITC Avant Garde" w:eastAsia="ITC Avant Garde" w:hAnsi="ITC Avant Garde" w:cs="ITC Avant Garde"/>
          <w:bCs/>
          <w:kern w:val="2"/>
          <w:sz w:val="22"/>
          <w:szCs w:val="22"/>
          <w:lang w:val="es-ES"/>
        </w:rPr>
        <w:t>.</w:t>
      </w:r>
    </w:p>
    <w:p w14:paraId="280F8DFB" w14:textId="77777777" w:rsidR="00B81ED0" w:rsidRPr="00B81ED0" w:rsidRDefault="004B68C7" w:rsidP="00B81ED0">
      <w:pPr>
        <w:pStyle w:val="Cuerpo"/>
        <w:suppressAutoHyphens/>
        <w:spacing w:line="240" w:lineRule="auto"/>
        <w:jc w:val="both"/>
        <w:rPr>
          <w:color w:val="auto"/>
          <w:lang w:val="es-ES"/>
        </w:rPr>
      </w:pPr>
      <w:r w:rsidRPr="00B81ED0">
        <w:rPr>
          <w:rFonts w:ascii="ITC Avant Garde" w:eastAsia="ITC Avant Garde" w:hAnsi="ITC Avant Garde" w:cs="ITC Avant Garde"/>
          <w:color w:val="auto"/>
          <w:kern w:val="2"/>
          <w:lang w:val="es-ES"/>
        </w:rPr>
        <w:t xml:space="preserve">El 22 de marzo de 2017, el Pleno del Instituto en su </w:t>
      </w:r>
      <w:r w:rsidRPr="00B81ED0">
        <w:rPr>
          <w:rFonts w:ascii="ITC Avant Garde" w:eastAsia="ITC Avant Garde" w:hAnsi="ITC Avant Garde" w:cs="ITC Avant Garde"/>
          <w:color w:val="auto"/>
          <w:lang w:val="es-ES"/>
        </w:rPr>
        <w:t>XII Sesión Ordinaria,</w:t>
      </w:r>
      <w:r w:rsidRPr="00B81ED0">
        <w:rPr>
          <w:rFonts w:ascii="ITC Avant Garde" w:eastAsia="ITC Avant Garde" w:hAnsi="ITC Avant Garde" w:cs="ITC Avant Garde"/>
          <w:color w:val="auto"/>
          <w:kern w:val="2"/>
          <w:lang w:val="es-ES"/>
        </w:rPr>
        <w:t xml:space="preserve"> emitió 178 resoluciones a favor de 67 Participantes, mediante las cuales se les determinó como Participantes Ganadores en la Licitación No. IFT-4. Dichas resoluciones fueron notificadas de manera </w:t>
      </w:r>
      <w:r w:rsidRPr="00B81ED0">
        <w:rPr>
          <w:rFonts w:ascii="ITC Avant Garde" w:eastAsia="ITC Avant Garde" w:hAnsi="ITC Avant Garde" w:cs="ITC Avant Garde"/>
          <w:color w:val="auto"/>
          <w:lang w:val="es-ES"/>
        </w:rPr>
        <w:t>electrónica a través del SERPO</w:t>
      </w:r>
      <w:r w:rsidRPr="00B81ED0">
        <w:rPr>
          <w:rFonts w:ascii="ITC Avant Garde" w:eastAsia="ITC Avant Garde" w:hAnsi="ITC Avant Garde" w:cs="ITC Avant Garde"/>
          <w:color w:val="auto"/>
          <w:kern w:val="2"/>
          <w:lang w:val="es-ES"/>
        </w:rPr>
        <w:t xml:space="preserve"> los días 30 y 31 de marzo de 2017.</w:t>
      </w:r>
    </w:p>
    <w:p w14:paraId="19A6E706" w14:textId="77777777" w:rsidR="00B81ED0" w:rsidRPr="00B81ED0" w:rsidRDefault="004B68C7" w:rsidP="00B81ED0">
      <w:pPr>
        <w:pStyle w:val="Cuerpo"/>
        <w:suppressAutoHyphens/>
        <w:spacing w:line="240" w:lineRule="auto"/>
        <w:jc w:val="both"/>
        <w:rPr>
          <w:color w:val="auto"/>
          <w:lang w:val="es-ES"/>
        </w:rPr>
      </w:pPr>
      <w:r w:rsidRPr="00B81ED0">
        <w:rPr>
          <w:rFonts w:ascii="ITC Avant Garde" w:eastAsia="ITC Avant Garde" w:hAnsi="ITC Avant Garde" w:cs="ITC Avant Garde"/>
          <w:color w:val="auto"/>
          <w:kern w:val="2"/>
          <w:lang w:val="es-ES"/>
        </w:rPr>
        <w:t>Entre el 3 y el 21 de abril de 2017, se llevó a cabo la actividad de Entrega de la documentación física que guardara plena identidad con la presentada en el numeral 5.1.3, con excepción de la información y los documentos presentados conforme al numeral 5.2.1 de las Bases.</w:t>
      </w:r>
    </w:p>
    <w:p w14:paraId="28B0BAB9" w14:textId="77777777" w:rsidR="00B81ED0" w:rsidRPr="00B81ED0" w:rsidRDefault="004B68C7" w:rsidP="00B81ED0">
      <w:pPr>
        <w:pStyle w:val="Cuerpo"/>
        <w:tabs>
          <w:tab w:val="left" w:pos="142"/>
        </w:tabs>
        <w:spacing w:line="240" w:lineRule="auto"/>
        <w:jc w:val="both"/>
        <w:rPr>
          <w:color w:val="auto"/>
          <w:lang w:val="es-ES"/>
        </w:rPr>
      </w:pPr>
      <w:r w:rsidRPr="00B81ED0">
        <w:rPr>
          <w:rFonts w:ascii="ITC Avant Garde" w:eastAsia="ITC Avant Garde" w:hAnsi="ITC Avant Garde" w:cs="ITC Avant Garde"/>
          <w:color w:val="auto"/>
          <w:kern w:val="2"/>
          <w:lang w:val="es-ES"/>
        </w:rPr>
        <w:t xml:space="preserve">En el periodo comprendido entre el 17 y 21 de abril de 2017, se recibieron 81 manifestaciones de participantes que no obtuvieron el puntaje más alto en los Lotes de su Interés para continuar en el proceso hasta en tanto </w:t>
      </w:r>
      <w:r w:rsidRPr="00B81ED0">
        <w:rPr>
          <w:rFonts w:ascii="ITC Avant Garde" w:eastAsia="ITC Avant Garde" w:hAnsi="ITC Avant Garde" w:cs="ITC Avant Garde"/>
          <w:color w:val="auto"/>
          <w:lang w:val="es-ES"/>
        </w:rPr>
        <w:t>no finalice éste, en apego al Apéndice G de las Bases.</w:t>
      </w:r>
    </w:p>
    <w:p w14:paraId="2EACA650" w14:textId="77777777" w:rsidR="00B81ED0" w:rsidRPr="00B81ED0" w:rsidRDefault="004B68C7" w:rsidP="00B81ED0">
      <w:pPr>
        <w:pStyle w:val="Cuerpo"/>
        <w:suppressAutoHyphens/>
        <w:spacing w:line="240" w:lineRule="auto"/>
        <w:jc w:val="both"/>
        <w:rPr>
          <w:color w:val="auto"/>
          <w:lang w:val="es-ES"/>
        </w:rPr>
      </w:pPr>
      <w:r w:rsidRPr="00B81ED0">
        <w:rPr>
          <w:rFonts w:ascii="ITC Avant Garde" w:eastAsia="ITC Avant Garde" w:hAnsi="ITC Avant Garde" w:cs="ITC Avant Garde"/>
          <w:color w:val="auto"/>
          <w:kern w:val="2"/>
          <w:lang w:val="es-ES"/>
        </w:rPr>
        <w:t>En el caso de Consorcios, entre el 3 de abril y el 22 de mayo de 2017, éstos debían acreditar ante el Instituto la constitución de sociedades mercantiles y presentación del comprobante de pago de derechos por el estudio de la documentación relacionada con la constitución de la sociedad mercantil.</w:t>
      </w:r>
    </w:p>
    <w:p w14:paraId="1532F057" w14:textId="77777777" w:rsidR="00B81ED0" w:rsidRPr="00B81ED0" w:rsidRDefault="004B68C7" w:rsidP="00B81ED0">
      <w:pPr>
        <w:pStyle w:val="Cuerpo"/>
        <w:tabs>
          <w:tab w:val="left" w:pos="142"/>
        </w:tabs>
        <w:spacing w:line="240" w:lineRule="auto"/>
        <w:jc w:val="both"/>
        <w:rPr>
          <w:color w:val="auto"/>
          <w:lang w:val="es-ES"/>
        </w:rPr>
      </w:pPr>
      <w:r w:rsidRPr="00B81ED0">
        <w:rPr>
          <w:rFonts w:ascii="ITC Avant Garde" w:eastAsia="ITC Avant Garde" w:hAnsi="ITC Avant Garde" w:cs="ITC Avant Garde"/>
          <w:color w:val="auto"/>
          <w:lang w:val="es-ES"/>
        </w:rPr>
        <w:t>En el mismo periodo a que se refiere el párrafo que antecede se recibió el pago de la contraprestación respecto a 122 Lotes por parte de 57 Participantes Ganadores.</w:t>
      </w:r>
    </w:p>
    <w:p w14:paraId="168C05F5" w14:textId="70BEEAE0" w:rsidR="00B81ED0" w:rsidRPr="00B81ED0" w:rsidRDefault="00B81ED0" w:rsidP="00B81ED0">
      <w:pPr>
        <w:pBdr>
          <w:top w:val="nil"/>
          <w:left w:val="nil"/>
          <w:bottom w:val="nil"/>
          <w:right w:val="nil"/>
          <w:between w:val="nil"/>
          <w:bar w:val="nil"/>
        </w:pBdr>
        <w:spacing w:line="240" w:lineRule="auto"/>
        <w:contextualSpacing/>
        <w:jc w:val="both"/>
        <w:rPr>
          <w:rFonts w:ascii="ITC Avant Garde" w:hAnsi="ITC Avant Garde"/>
          <w:bCs/>
          <w:lang w:eastAsia="es-MX"/>
        </w:rPr>
      </w:pPr>
      <w:r>
        <w:rPr>
          <w:rFonts w:ascii="ITC Avant Garde" w:hAnsi="ITC Avant Garde" w:cs="Arial"/>
          <w:b/>
          <w:bCs/>
        </w:rPr>
        <w:t>TERCERO.</w:t>
      </w:r>
      <w:r>
        <w:rPr>
          <w:rFonts w:ascii="ITC Avant Garde" w:hAnsi="ITC Avant Garde" w:cs="Arial"/>
          <w:b/>
          <w:bCs/>
        </w:rPr>
        <w:tab/>
      </w:r>
      <w:r w:rsidR="00BE1581" w:rsidRPr="00B81ED0">
        <w:rPr>
          <w:rFonts w:ascii="ITC Avant Garde" w:hAnsi="ITC Avant Garde" w:cs="Arial"/>
          <w:b/>
          <w:bCs/>
        </w:rPr>
        <w:t xml:space="preserve">Resoluciones emitidas en favor de </w:t>
      </w:r>
      <w:r w:rsidR="00895664" w:rsidRPr="00B81ED0">
        <w:rPr>
          <w:rFonts w:ascii="ITC Avant Garde" w:hAnsi="ITC Avant Garde"/>
          <w:b/>
          <w:lang w:eastAsia="es-MX"/>
        </w:rPr>
        <w:t xml:space="preserve">Información y Cultura Ascendente, S.A. de C.V. </w:t>
      </w:r>
      <w:r w:rsidR="00895664" w:rsidRPr="00B81ED0">
        <w:rPr>
          <w:rFonts w:ascii="ITC Avant Garde" w:hAnsi="ITC Avant Garde" w:cs="Arial"/>
          <w:b/>
          <w:bCs/>
          <w:noProof/>
        </w:rPr>
        <w:t xml:space="preserve">y </w:t>
      </w:r>
      <w:r w:rsidR="00895664" w:rsidRPr="00B81ED0">
        <w:rPr>
          <w:rFonts w:ascii="ITC Avant Garde" w:hAnsi="ITC Avant Garde"/>
          <w:b/>
          <w:lang w:eastAsia="es-MX"/>
        </w:rPr>
        <w:t>Promotora de Éxitos, S.A. de C.V.</w:t>
      </w:r>
      <w:r w:rsidR="00BE1581" w:rsidRPr="00B81ED0">
        <w:rPr>
          <w:rFonts w:ascii="ITC Avant Garde" w:hAnsi="ITC Avant Garde" w:cs="Arial"/>
          <w:b/>
          <w:bCs/>
        </w:rPr>
        <w:t>, así como su</w:t>
      </w:r>
      <w:r w:rsidR="00651E72" w:rsidRPr="00B81ED0">
        <w:rPr>
          <w:rFonts w:ascii="ITC Avant Garde" w:hAnsi="ITC Avant Garde" w:cs="Arial"/>
          <w:b/>
          <w:bCs/>
        </w:rPr>
        <w:t>s descalificacio</w:t>
      </w:r>
      <w:r w:rsidR="00BE1581" w:rsidRPr="00B81ED0">
        <w:rPr>
          <w:rFonts w:ascii="ITC Avant Garde" w:hAnsi="ITC Avant Garde" w:cs="Arial"/>
          <w:b/>
          <w:bCs/>
        </w:rPr>
        <w:t>n</w:t>
      </w:r>
      <w:r w:rsidR="00651E72" w:rsidRPr="00B81ED0">
        <w:rPr>
          <w:rFonts w:ascii="ITC Avant Garde" w:hAnsi="ITC Avant Garde" w:cs="Arial"/>
          <w:b/>
          <w:bCs/>
        </w:rPr>
        <w:t>es</w:t>
      </w:r>
      <w:r w:rsidR="00BE1581" w:rsidRPr="00B81ED0">
        <w:rPr>
          <w:rFonts w:ascii="ITC Avant Garde" w:hAnsi="ITC Avant Garde" w:cs="Arial"/>
          <w:b/>
          <w:bCs/>
        </w:rPr>
        <w:t>.</w:t>
      </w:r>
      <w:r w:rsidR="00BE1581" w:rsidRPr="00B81ED0">
        <w:rPr>
          <w:rFonts w:ascii="ITC Avant Garde" w:hAnsi="ITC Avant Garde" w:cs="Arial"/>
          <w:bCs/>
        </w:rPr>
        <w:t xml:space="preserve"> De conformidad con el resultado de los </w:t>
      </w:r>
      <w:r w:rsidR="00BE1581" w:rsidRPr="00B81ED0">
        <w:rPr>
          <w:rFonts w:ascii="ITC Avant Garde" w:eastAsiaTheme="minorHAnsi" w:hAnsi="ITC Avant Garde" w:cs="Arial"/>
        </w:rPr>
        <w:t>Procedimientos de Presentación de Ofertas, relativos a los Concursos para los 191 Lotes de la Banda FM y de los 66 Lotes de la Banda AM, con el cumplimiento de</w:t>
      </w:r>
      <w:r w:rsidR="00BE1581" w:rsidRPr="00B81ED0">
        <w:rPr>
          <w:rFonts w:ascii="ITC Avant Garde" w:hAnsi="ITC Avant Garde" w:cs="Arial"/>
          <w:bCs/>
        </w:rPr>
        <w:t xml:space="preserve"> lo previsto en las Bases, sus Apéndices y Anexos; así como las preferencias de asignación manifestadas en el Apéndice E de las Bases, conforme a lo señalado en el Antecedente </w:t>
      </w:r>
      <w:r w:rsidR="00C152BF" w:rsidRPr="00B81ED0">
        <w:rPr>
          <w:rFonts w:ascii="ITC Avant Garde" w:hAnsi="ITC Avant Garde" w:cs="Arial"/>
        </w:rPr>
        <w:t>XXII</w:t>
      </w:r>
      <w:r w:rsidR="00BE1581" w:rsidRPr="00B81ED0">
        <w:rPr>
          <w:rFonts w:ascii="ITC Avant Garde" w:hAnsi="ITC Avant Garde" w:cs="Arial"/>
          <w:bCs/>
        </w:rPr>
        <w:t xml:space="preserve">, el Pleno del Instituto </w:t>
      </w:r>
      <w:r w:rsidR="00BE1581" w:rsidRPr="00B81ED0">
        <w:rPr>
          <w:rFonts w:ascii="ITC Avant Garde" w:hAnsi="ITC Avant Garde" w:cs="Arial"/>
          <w:bCs/>
        </w:rPr>
        <w:lastRenderedPageBreak/>
        <w:t>determinó e hizo constar como Participante</w:t>
      </w:r>
      <w:r w:rsidR="00651E72" w:rsidRPr="00B81ED0">
        <w:rPr>
          <w:rFonts w:ascii="ITC Avant Garde" w:hAnsi="ITC Avant Garde" w:cs="Arial"/>
          <w:bCs/>
        </w:rPr>
        <w:t>s</w:t>
      </w:r>
      <w:r w:rsidR="00BE1581" w:rsidRPr="00B81ED0">
        <w:rPr>
          <w:rFonts w:ascii="ITC Avant Garde" w:hAnsi="ITC Avant Garde" w:cs="Arial"/>
          <w:bCs/>
        </w:rPr>
        <w:t xml:space="preserve"> Ganador</w:t>
      </w:r>
      <w:r w:rsidR="00651E72" w:rsidRPr="00B81ED0">
        <w:rPr>
          <w:rFonts w:ascii="ITC Avant Garde" w:hAnsi="ITC Avant Garde" w:cs="Arial"/>
          <w:bCs/>
        </w:rPr>
        <w:t>es</w:t>
      </w:r>
      <w:r w:rsidR="00BE1581" w:rsidRPr="00B81ED0">
        <w:rPr>
          <w:rFonts w:ascii="ITC Avant Garde" w:hAnsi="ITC Avant Garde" w:cs="Arial"/>
          <w:bCs/>
        </w:rPr>
        <w:t xml:space="preserve"> a </w:t>
      </w:r>
      <w:r w:rsidR="00895664" w:rsidRPr="00B81ED0">
        <w:rPr>
          <w:rFonts w:ascii="ITC Avant Garde" w:hAnsi="ITC Avant Garde"/>
          <w:b/>
          <w:lang w:eastAsia="es-MX"/>
        </w:rPr>
        <w:t>Información y Cultura Ascendente</w:t>
      </w:r>
      <w:r w:rsidR="00C152BF" w:rsidRPr="00B81ED0">
        <w:rPr>
          <w:rFonts w:ascii="ITC Avant Garde" w:hAnsi="ITC Avant Garde"/>
          <w:b/>
          <w:lang w:eastAsia="es-MX"/>
        </w:rPr>
        <w:t xml:space="preserve">, S.A. </w:t>
      </w:r>
      <w:r w:rsidR="00895664" w:rsidRPr="00B81ED0">
        <w:rPr>
          <w:rFonts w:ascii="ITC Avant Garde" w:hAnsi="ITC Avant Garde"/>
          <w:b/>
          <w:lang w:eastAsia="es-MX"/>
        </w:rPr>
        <w:t xml:space="preserve">de </w:t>
      </w:r>
      <w:r w:rsidR="00C152BF" w:rsidRPr="00B81ED0">
        <w:rPr>
          <w:rFonts w:ascii="ITC Avant Garde" w:hAnsi="ITC Avant Garde"/>
          <w:b/>
          <w:lang w:eastAsia="es-MX"/>
        </w:rPr>
        <w:t>C.V.</w:t>
      </w:r>
      <w:r w:rsidR="00C152BF" w:rsidRPr="00B81ED0">
        <w:rPr>
          <w:rFonts w:ascii="ITC Avant Garde" w:hAnsi="ITC Avant Garde"/>
          <w:lang w:eastAsia="es-MX"/>
        </w:rPr>
        <w:t xml:space="preserve"> </w:t>
      </w:r>
      <w:r w:rsidR="00651E72" w:rsidRPr="00B81ED0">
        <w:rPr>
          <w:rFonts w:ascii="ITC Avant Garde" w:hAnsi="ITC Avant Garde" w:cs="Arial"/>
          <w:bCs/>
          <w:noProof/>
        </w:rPr>
        <w:t xml:space="preserve">y </w:t>
      </w:r>
      <w:r w:rsidR="00895664" w:rsidRPr="00B81ED0">
        <w:rPr>
          <w:rFonts w:ascii="ITC Avant Garde" w:hAnsi="ITC Avant Garde"/>
          <w:b/>
          <w:lang w:eastAsia="es-MX"/>
        </w:rPr>
        <w:t>Promotora de Éxitos</w:t>
      </w:r>
      <w:r w:rsidR="00860D99" w:rsidRPr="00B81ED0">
        <w:rPr>
          <w:rFonts w:ascii="ITC Avant Garde" w:hAnsi="ITC Avant Garde"/>
          <w:b/>
          <w:lang w:eastAsia="es-MX"/>
        </w:rPr>
        <w:t xml:space="preserve">, S.A. </w:t>
      </w:r>
      <w:r w:rsidR="00895664" w:rsidRPr="00B81ED0">
        <w:rPr>
          <w:rFonts w:ascii="ITC Avant Garde" w:hAnsi="ITC Avant Garde"/>
          <w:b/>
          <w:lang w:eastAsia="es-MX"/>
        </w:rPr>
        <w:t xml:space="preserve">de </w:t>
      </w:r>
      <w:r w:rsidR="00860D99" w:rsidRPr="00B81ED0">
        <w:rPr>
          <w:rFonts w:ascii="ITC Avant Garde" w:hAnsi="ITC Avant Garde"/>
          <w:b/>
          <w:lang w:eastAsia="es-MX"/>
        </w:rPr>
        <w:t>C.V.</w:t>
      </w:r>
      <w:r w:rsidR="00BE1581" w:rsidRPr="00B81ED0">
        <w:rPr>
          <w:rFonts w:ascii="ITC Avant Garde" w:hAnsi="ITC Avant Garde" w:cs="Arial"/>
          <w:bCs/>
        </w:rPr>
        <w:t>, con número</w:t>
      </w:r>
      <w:r w:rsidR="00651E72" w:rsidRPr="00B81ED0">
        <w:rPr>
          <w:rFonts w:ascii="ITC Avant Garde" w:hAnsi="ITC Avant Garde" w:cs="Arial"/>
          <w:bCs/>
        </w:rPr>
        <w:t>s</w:t>
      </w:r>
      <w:r w:rsidR="00BE1581" w:rsidRPr="00B81ED0">
        <w:rPr>
          <w:rFonts w:ascii="ITC Avant Garde" w:hAnsi="ITC Avant Garde" w:cs="Arial"/>
          <w:bCs/>
        </w:rPr>
        <w:t xml:space="preserve"> de Folio Único </w:t>
      </w:r>
      <w:r w:rsidR="00C152BF" w:rsidRPr="00B81ED0">
        <w:rPr>
          <w:rFonts w:ascii="ITC Avant Garde" w:hAnsi="ITC Avant Garde"/>
          <w:b/>
          <w:lang w:eastAsia="es-MX"/>
        </w:rPr>
        <w:t>I1-354443</w:t>
      </w:r>
      <w:r w:rsidR="00C152BF" w:rsidRPr="00B81ED0">
        <w:rPr>
          <w:rFonts w:ascii="ITC Avant Garde" w:hAnsi="ITC Avant Garde"/>
          <w:lang w:eastAsia="es-MX"/>
        </w:rPr>
        <w:t xml:space="preserve"> </w:t>
      </w:r>
      <w:r w:rsidR="00651E72" w:rsidRPr="00B81ED0">
        <w:rPr>
          <w:rFonts w:ascii="ITC Avant Garde" w:hAnsi="ITC Avant Garde" w:cs="Arial"/>
          <w:bCs/>
          <w:noProof/>
        </w:rPr>
        <w:t xml:space="preserve">y </w:t>
      </w:r>
      <w:r w:rsidR="00860D99" w:rsidRPr="00B81ED0">
        <w:rPr>
          <w:rFonts w:ascii="ITC Avant Garde" w:hAnsi="ITC Avant Garde"/>
          <w:b/>
          <w:lang w:eastAsia="es-MX"/>
        </w:rPr>
        <w:t>P9-520100</w:t>
      </w:r>
      <w:r w:rsidR="00BE1581" w:rsidRPr="00B81ED0">
        <w:rPr>
          <w:rFonts w:ascii="ITC Avant Garde" w:hAnsi="ITC Avant Garde" w:cs="Arial"/>
          <w:bCs/>
        </w:rPr>
        <w:t xml:space="preserve">, en </w:t>
      </w:r>
      <w:r w:rsidR="00651E72" w:rsidRPr="00B81ED0">
        <w:rPr>
          <w:rFonts w:ascii="ITC Avant Garde" w:hAnsi="ITC Avant Garde" w:cs="Arial"/>
          <w:bCs/>
        </w:rPr>
        <w:t>los</w:t>
      </w:r>
      <w:r w:rsidR="00BE1581" w:rsidRPr="00B81ED0">
        <w:rPr>
          <w:rFonts w:ascii="ITC Avant Garde" w:hAnsi="ITC Avant Garde" w:cs="Arial"/>
          <w:bCs/>
        </w:rPr>
        <w:t xml:space="preserve"> acuerdo</w:t>
      </w:r>
      <w:r w:rsidR="00651E72" w:rsidRPr="00B81ED0">
        <w:rPr>
          <w:rFonts w:ascii="ITC Avant Garde" w:hAnsi="ITC Avant Garde" w:cs="Arial"/>
          <w:bCs/>
        </w:rPr>
        <w:t>s</w:t>
      </w:r>
      <w:r w:rsidR="00BE1581" w:rsidRPr="00B81ED0">
        <w:rPr>
          <w:rFonts w:ascii="ITC Avant Garde" w:hAnsi="ITC Avant Garde" w:cs="Arial"/>
          <w:bCs/>
        </w:rPr>
        <w:t xml:space="preserve"> y Lote</w:t>
      </w:r>
      <w:r w:rsidR="00651E72" w:rsidRPr="00B81ED0">
        <w:rPr>
          <w:rFonts w:ascii="ITC Avant Garde" w:hAnsi="ITC Avant Garde" w:cs="Arial"/>
          <w:bCs/>
        </w:rPr>
        <w:t>s</w:t>
      </w:r>
      <w:r w:rsidR="00BE1581" w:rsidRPr="00B81ED0">
        <w:rPr>
          <w:rFonts w:ascii="ITC Avant Garde" w:hAnsi="ITC Avant Garde" w:cs="Arial"/>
          <w:bCs/>
        </w:rPr>
        <w:t xml:space="preserve"> siguiente</w:t>
      </w:r>
      <w:r w:rsidR="00651E72" w:rsidRPr="00B81ED0">
        <w:rPr>
          <w:rFonts w:ascii="ITC Avant Garde" w:hAnsi="ITC Avant Garde" w:cs="Arial"/>
          <w:bCs/>
        </w:rPr>
        <w:t>s</w:t>
      </w:r>
      <w:r w:rsidR="00BE1581" w:rsidRPr="00B81ED0">
        <w:rPr>
          <w:rFonts w:ascii="ITC Avant Garde" w:hAnsi="ITC Avant Garde" w:cs="Arial"/>
          <w:bCs/>
        </w:rPr>
        <w:t>:</w:t>
      </w:r>
    </w:p>
    <w:p w14:paraId="71504489" w14:textId="5E3AF313" w:rsidR="00970D27" w:rsidRPr="00B81ED0" w:rsidRDefault="00D24D4F" w:rsidP="00B81ED0">
      <w:pPr>
        <w:spacing w:line="240" w:lineRule="auto"/>
        <w:ind w:right="49"/>
        <w:contextualSpacing/>
        <w:jc w:val="center"/>
        <w:rPr>
          <w:rFonts w:ascii="ITC Avant Garde" w:eastAsia="ITC Avant Garde" w:hAnsi="ITC Avant Garde" w:cs="ITC Avant Garde"/>
          <w:b/>
          <w:bCs/>
        </w:rPr>
      </w:pPr>
      <w:r w:rsidRPr="00B81ED0">
        <w:rPr>
          <w:rFonts w:ascii="ITC Avant Garde" w:hAnsi="ITC Avant Garde"/>
          <w:b/>
          <w:lang w:eastAsia="es-MX"/>
        </w:rPr>
        <w:t>Información y Cultura Ascendente, S.A. de C.V.</w:t>
      </w:r>
    </w:p>
    <w:tbl>
      <w:tblPr>
        <w:tblStyle w:val="Tablaconcuadrcula"/>
        <w:tblW w:w="0" w:type="auto"/>
        <w:jc w:val="center"/>
        <w:tblLook w:val="04A0" w:firstRow="1" w:lastRow="0" w:firstColumn="1" w:lastColumn="0" w:noHBand="0" w:noVBand="1"/>
        <w:tblCaption w:val="Tabla"/>
        <w:tblDescription w:val="Acuerdos y Lotes correspondientes a Información y Cultura Ascedente."/>
      </w:tblPr>
      <w:tblGrid>
        <w:gridCol w:w="1803"/>
        <w:gridCol w:w="864"/>
        <w:gridCol w:w="638"/>
        <w:gridCol w:w="1314"/>
        <w:gridCol w:w="2542"/>
        <w:gridCol w:w="1667"/>
      </w:tblGrid>
      <w:tr w:rsidR="00B81ED0" w:rsidRPr="00B81ED0" w14:paraId="51C16673" w14:textId="77777777" w:rsidTr="003D6142">
        <w:trPr>
          <w:trHeight w:val="397"/>
          <w:tblHeader/>
          <w:jc w:val="center"/>
        </w:trPr>
        <w:tc>
          <w:tcPr>
            <w:tcW w:w="0" w:type="auto"/>
            <w:shd w:val="clear" w:color="auto" w:fill="92D050"/>
            <w:vAlign w:val="center"/>
            <w:hideMark/>
          </w:tcPr>
          <w:p w14:paraId="06547060" w14:textId="77777777" w:rsidR="00BE1581" w:rsidRPr="00B81ED0" w:rsidRDefault="00BE1581"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 xml:space="preserve">Acuerdo </w:t>
            </w:r>
          </w:p>
        </w:tc>
        <w:tc>
          <w:tcPr>
            <w:tcW w:w="0" w:type="auto"/>
            <w:shd w:val="clear" w:color="auto" w:fill="92D050"/>
            <w:vAlign w:val="center"/>
            <w:hideMark/>
          </w:tcPr>
          <w:p w14:paraId="7067B9C3" w14:textId="77777777" w:rsidR="00BE1581" w:rsidRPr="00B81ED0" w:rsidRDefault="00BE1581"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Banda</w:t>
            </w:r>
          </w:p>
        </w:tc>
        <w:tc>
          <w:tcPr>
            <w:tcW w:w="0" w:type="auto"/>
            <w:shd w:val="clear" w:color="auto" w:fill="92D050"/>
            <w:vAlign w:val="center"/>
            <w:hideMark/>
          </w:tcPr>
          <w:p w14:paraId="564E5218" w14:textId="3564DCCE" w:rsidR="00BE1581" w:rsidRPr="00B81ED0" w:rsidRDefault="00BE1581"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 xml:space="preserve">Lote </w:t>
            </w:r>
          </w:p>
        </w:tc>
        <w:tc>
          <w:tcPr>
            <w:tcW w:w="0" w:type="auto"/>
            <w:shd w:val="clear" w:color="auto" w:fill="92D050"/>
            <w:vAlign w:val="center"/>
            <w:hideMark/>
          </w:tcPr>
          <w:p w14:paraId="15B03E0F" w14:textId="77777777" w:rsidR="00BE1581" w:rsidRPr="00B81ED0" w:rsidRDefault="00BE1581"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Frecuencia</w:t>
            </w:r>
          </w:p>
        </w:tc>
        <w:tc>
          <w:tcPr>
            <w:tcW w:w="0" w:type="auto"/>
            <w:shd w:val="clear" w:color="auto" w:fill="92D050"/>
            <w:vAlign w:val="center"/>
            <w:hideMark/>
          </w:tcPr>
          <w:p w14:paraId="25498909" w14:textId="2A17E201" w:rsidR="00BE1581" w:rsidRPr="00B81ED0" w:rsidRDefault="003F2A79"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Localidad principal</w:t>
            </w:r>
            <w:r w:rsidR="00BE1581" w:rsidRPr="00B81ED0">
              <w:rPr>
                <w:rFonts w:ascii="ITC Avant Garde" w:eastAsia="ITC Avant Garde" w:hAnsi="ITC Avant Garde" w:cs="ITC Avant Garde"/>
                <w:b/>
                <w:bCs/>
                <w:color w:val="auto"/>
                <w:sz w:val="20"/>
                <w:szCs w:val="20"/>
                <w:u w:color="FFFFFF"/>
                <w:lang w:val="es-ES"/>
              </w:rPr>
              <w:t xml:space="preserve"> a servir</w:t>
            </w:r>
          </w:p>
        </w:tc>
        <w:tc>
          <w:tcPr>
            <w:tcW w:w="0" w:type="auto"/>
            <w:shd w:val="clear" w:color="auto" w:fill="92D050"/>
            <w:vAlign w:val="center"/>
            <w:hideMark/>
          </w:tcPr>
          <w:p w14:paraId="111AF1F8" w14:textId="77777777" w:rsidR="00BE1581" w:rsidRPr="00B81ED0" w:rsidRDefault="00BE1581"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Estado</w:t>
            </w:r>
          </w:p>
        </w:tc>
      </w:tr>
      <w:tr w:rsidR="00B81ED0" w:rsidRPr="00B81ED0" w14:paraId="50119B1C" w14:textId="77777777" w:rsidTr="003D6142">
        <w:trPr>
          <w:trHeight w:val="397"/>
          <w:jc w:val="center"/>
        </w:trPr>
        <w:tc>
          <w:tcPr>
            <w:tcW w:w="0" w:type="auto"/>
            <w:vAlign w:val="center"/>
          </w:tcPr>
          <w:p w14:paraId="03841BD4" w14:textId="771AE90D" w:rsidR="00BE1581"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P/IFT/220317/148-4</w:t>
            </w:r>
          </w:p>
        </w:tc>
        <w:tc>
          <w:tcPr>
            <w:tcW w:w="0" w:type="auto"/>
            <w:vAlign w:val="center"/>
          </w:tcPr>
          <w:p w14:paraId="7E2C4384" w14:textId="33B01E3A" w:rsidR="00BE1581"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FM</w:t>
            </w:r>
          </w:p>
        </w:tc>
        <w:tc>
          <w:tcPr>
            <w:tcW w:w="0" w:type="auto"/>
            <w:vAlign w:val="center"/>
          </w:tcPr>
          <w:p w14:paraId="0327254E" w14:textId="20909BF8" w:rsidR="00BE1581"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5</w:t>
            </w:r>
          </w:p>
        </w:tc>
        <w:tc>
          <w:tcPr>
            <w:tcW w:w="0" w:type="auto"/>
            <w:vAlign w:val="center"/>
          </w:tcPr>
          <w:p w14:paraId="0FCEC8AD" w14:textId="24B783CC" w:rsidR="00BE1581" w:rsidRPr="00B81ED0" w:rsidRDefault="003F2A79" w:rsidP="00B81ED0">
            <w:pPr>
              <w:spacing w:line="240" w:lineRule="auto"/>
              <w:jc w:val="center"/>
              <w:rPr>
                <w:rFonts w:ascii="ITC Avant Garde" w:hAnsi="ITC Avant Garde"/>
                <w:sz w:val="18"/>
              </w:rPr>
            </w:pPr>
            <w:r w:rsidRPr="00B81ED0">
              <w:rPr>
                <w:rFonts w:ascii="ITC Avant Garde" w:hAnsi="ITC Avant Garde"/>
                <w:sz w:val="18"/>
              </w:rPr>
              <w:t>91.9 MHz</w:t>
            </w:r>
          </w:p>
        </w:tc>
        <w:tc>
          <w:tcPr>
            <w:tcW w:w="0" w:type="auto"/>
            <w:vAlign w:val="center"/>
          </w:tcPr>
          <w:p w14:paraId="0AF55631" w14:textId="365C390F" w:rsidR="00BE1581" w:rsidRPr="00B81ED0" w:rsidRDefault="003F2A79" w:rsidP="00B81ED0">
            <w:pPr>
              <w:spacing w:line="240" w:lineRule="auto"/>
              <w:jc w:val="center"/>
              <w:rPr>
                <w:rFonts w:ascii="ITC Avant Garde" w:hAnsi="ITC Avant Garde"/>
                <w:sz w:val="18"/>
              </w:rPr>
            </w:pPr>
            <w:r w:rsidRPr="00B81ED0">
              <w:rPr>
                <w:rFonts w:ascii="ITC Avant Garde" w:hAnsi="ITC Avant Garde"/>
                <w:sz w:val="18"/>
              </w:rPr>
              <w:t>La Paz</w:t>
            </w:r>
          </w:p>
        </w:tc>
        <w:tc>
          <w:tcPr>
            <w:tcW w:w="0" w:type="auto"/>
            <w:vAlign w:val="center"/>
          </w:tcPr>
          <w:p w14:paraId="00F848E8" w14:textId="7918FD19" w:rsidR="00BE1581" w:rsidRPr="00B81ED0" w:rsidRDefault="003F2A79" w:rsidP="00B81ED0">
            <w:pPr>
              <w:spacing w:line="240" w:lineRule="auto"/>
              <w:jc w:val="center"/>
              <w:rPr>
                <w:rFonts w:ascii="ITC Avant Garde" w:hAnsi="ITC Avant Garde"/>
                <w:sz w:val="18"/>
              </w:rPr>
            </w:pPr>
            <w:r w:rsidRPr="00B81ED0">
              <w:rPr>
                <w:rFonts w:ascii="ITC Avant Garde" w:hAnsi="ITC Avant Garde"/>
                <w:sz w:val="18"/>
              </w:rPr>
              <w:t>Baja California Sur</w:t>
            </w:r>
          </w:p>
        </w:tc>
      </w:tr>
    </w:tbl>
    <w:p w14:paraId="14CD4A9E" w14:textId="77777777" w:rsidR="00B81ED0" w:rsidRPr="00B81ED0" w:rsidRDefault="00B81ED0" w:rsidP="00B81ED0">
      <w:pPr>
        <w:spacing w:line="240" w:lineRule="auto"/>
        <w:ind w:right="49"/>
        <w:contextualSpacing/>
        <w:jc w:val="both"/>
        <w:rPr>
          <w:rFonts w:ascii="ITC Avant Garde" w:eastAsia="ITC Avant Garde" w:hAnsi="ITC Avant Garde" w:cs="ITC Avant Garde"/>
          <w:b/>
          <w:bCs/>
        </w:rPr>
      </w:pPr>
    </w:p>
    <w:p w14:paraId="4AF9D52A" w14:textId="4BD9771B" w:rsidR="00D24D4F" w:rsidRPr="00B81ED0" w:rsidRDefault="00D24D4F" w:rsidP="00B81ED0">
      <w:pPr>
        <w:spacing w:line="240" w:lineRule="auto"/>
        <w:ind w:right="49"/>
        <w:contextualSpacing/>
        <w:jc w:val="center"/>
        <w:rPr>
          <w:rFonts w:ascii="ITC Avant Garde" w:eastAsia="ITC Avant Garde" w:hAnsi="ITC Avant Garde" w:cs="ITC Avant Garde"/>
          <w:b/>
          <w:bCs/>
        </w:rPr>
      </w:pPr>
      <w:r w:rsidRPr="00B81ED0">
        <w:rPr>
          <w:rFonts w:ascii="ITC Avant Garde" w:hAnsi="ITC Avant Garde"/>
          <w:b/>
          <w:lang w:eastAsia="es-MX"/>
        </w:rPr>
        <w:t>Promotora de Éxitos, S.A. de C.V.</w:t>
      </w:r>
    </w:p>
    <w:tbl>
      <w:tblPr>
        <w:tblStyle w:val="Tablaconcuadrcula"/>
        <w:tblW w:w="5000" w:type="pct"/>
        <w:jc w:val="center"/>
        <w:tblLook w:val="04A0" w:firstRow="1" w:lastRow="0" w:firstColumn="1" w:lastColumn="0" w:noHBand="0" w:noVBand="1"/>
        <w:tblCaption w:val="Tabla"/>
        <w:tblDescription w:val="Acuerdo y Lote correspondiente a Promotora de éxitos"/>
      </w:tblPr>
      <w:tblGrid>
        <w:gridCol w:w="1860"/>
        <w:gridCol w:w="864"/>
        <w:gridCol w:w="638"/>
        <w:gridCol w:w="1314"/>
        <w:gridCol w:w="2790"/>
        <w:gridCol w:w="1362"/>
      </w:tblGrid>
      <w:tr w:rsidR="00B81ED0" w:rsidRPr="00B81ED0" w14:paraId="2E28E709" w14:textId="77777777" w:rsidTr="000A69BE">
        <w:trPr>
          <w:trHeight w:val="397"/>
          <w:tblHeader/>
          <w:jc w:val="center"/>
        </w:trPr>
        <w:tc>
          <w:tcPr>
            <w:tcW w:w="1080" w:type="pct"/>
            <w:shd w:val="clear" w:color="auto" w:fill="92D050"/>
            <w:vAlign w:val="center"/>
            <w:hideMark/>
          </w:tcPr>
          <w:p w14:paraId="541FCACA" w14:textId="77777777" w:rsidR="00970D27" w:rsidRPr="00B81ED0" w:rsidRDefault="00970D27"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 xml:space="preserve">Acuerdo </w:t>
            </w:r>
          </w:p>
        </w:tc>
        <w:tc>
          <w:tcPr>
            <w:tcW w:w="461" w:type="pct"/>
            <w:shd w:val="clear" w:color="auto" w:fill="92D050"/>
            <w:vAlign w:val="center"/>
            <w:hideMark/>
          </w:tcPr>
          <w:p w14:paraId="62B38438" w14:textId="77777777" w:rsidR="00970D27" w:rsidRPr="00B81ED0" w:rsidRDefault="00970D27"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Banda</w:t>
            </w:r>
          </w:p>
        </w:tc>
        <w:tc>
          <w:tcPr>
            <w:tcW w:w="329" w:type="pct"/>
            <w:shd w:val="clear" w:color="auto" w:fill="92D050"/>
            <w:vAlign w:val="center"/>
            <w:hideMark/>
          </w:tcPr>
          <w:p w14:paraId="1BE43435" w14:textId="6F57974E" w:rsidR="00970D27" w:rsidRPr="00B81ED0" w:rsidRDefault="00970D27"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 xml:space="preserve">Lote </w:t>
            </w:r>
          </w:p>
        </w:tc>
        <w:tc>
          <w:tcPr>
            <w:tcW w:w="725" w:type="pct"/>
            <w:shd w:val="clear" w:color="auto" w:fill="92D050"/>
            <w:vAlign w:val="center"/>
            <w:hideMark/>
          </w:tcPr>
          <w:p w14:paraId="1CB3A342" w14:textId="77777777" w:rsidR="00970D27" w:rsidRPr="00B81ED0" w:rsidRDefault="00970D27"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Frecuencia</w:t>
            </w:r>
          </w:p>
        </w:tc>
        <w:tc>
          <w:tcPr>
            <w:tcW w:w="1607" w:type="pct"/>
            <w:shd w:val="clear" w:color="auto" w:fill="92D050"/>
            <w:vAlign w:val="center"/>
            <w:hideMark/>
          </w:tcPr>
          <w:p w14:paraId="328AD1D3" w14:textId="69CE73E0" w:rsidR="00970D27" w:rsidRPr="00B81ED0" w:rsidRDefault="00970D27"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Localidad principal a servir</w:t>
            </w:r>
          </w:p>
        </w:tc>
        <w:tc>
          <w:tcPr>
            <w:tcW w:w="798" w:type="pct"/>
            <w:shd w:val="clear" w:color="auto" w:fill="92D050"/>
            <w:vAlign w:val="center"/>
            <w:hideMark/>
          </w:tcPr>
          <w:p w14:paraId="12A063FF" w14:textId="77777777" w:rsidR="00970D27" w:rsidRPr="00B81ED0" w:rsidRDefault="00970D27" w:rsidP="00B81ED0">
            <w:pPr>
              <w:pStyle w:val="Cuerpo"/>
              <w:spacing w:line="240" w:lineRule="auto"/>
              <w:jc w:val="center"/>
              <w:rPr>
                <w:rFonts w:ascii="ITC Avant Garde" w:eastAsia="ITC Avant Garde" w:hAnsi="ITC Avant Garde" w:cs="ITC Avant Garde"/>
                <w:b/>
                <w:bCs/>
                <w:color w:val="auto"/>
                <w:sz w:val="20"/>
                <w:szCs w:val="20"/>
                <w:u w:color="FFFFFF"/>
                <w:lang w:val="es-ES"/>
              </w:rPr>
            </w:pPr>
            <w:r w:rsidRPr="00B81ED0">
              <w:rPr>
                <w:rFonts w:ascii="ITC Avant Garde" w:eastAsia="ITC Avant Garde" w:hAnsi="ITC Avant Garde" w:cs="ITC Avant Garde"/>
                <w:b/>
                <w:bCs/>
                <w:color w:val="auto"/>
                <w:sz w:val="20"/>
                <w:szCs w:val="20"/>
                <w:u w:color="FFFFFF"/>
                <w:lang w:val="es-ES"/>
              </w:rPr>
              <w:t>Estado</w:t>
            </w:r>
          </w:p>
        </w:tc>
      </w:tr>
      <w:tr w:rsidR="000A69BE" w:rsidRPr="00B81ED0" w14:paraId="1E18F4B6" w14:textId="77777777" w:rsidTr="000A69BE">
        <w:trPr>
          <w:trHeight w:val="397"/>
          <w:jc w:val="center"/>
        </w:trPr>
        <w:tc>
          <w:tcPr>
            <w:tcW w:w="1080" w:type="pct"/>
            <w:vAlign w:val="center"/>
          </w:tcPr>
          <w:p w14:paraId="7233FCFD" w14:textId="77777777" w:rsidR="00970D27"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P/IFT/220317/148-88</w:t>
            </w:r>
          </w:p>
        </w:tc>
        <w:tc>
          <w:tcPr>
            <w:tcW w:w="461" w:type="pct"/>
            <w:vAlign w:val="center"/>
          </w:tcPr>
          <w:p w14:paraId="4F7D6301" w14:textId="77777777" w:rsidR="00970D27"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FM</w:t>
            </w:r>
          </w:p>
        </w:tc>
        <w:tc>
          <w:tcPr>
            <w:tcW w:w="329" w:type="pct"/>
            <w:vAlign w:val="center"/>
          </w:tcPr>
          <w:p w14:paraId="184C0930" w14:textId="77777777" w:rsidR="00970D27"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119</w:t>
            </w:r>
          </w:p>
        </w:tc>
        <w:tc>
          <w:tcPr>
            <w:tcW w:w="725" w:type="pct"/>
            <w:vAlign w:val="center"/>
          </w:tcPr>
          <w:p w14:paraId="38093886" w14:textId="0E5E6623" w:rsidR="00970D27"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92.1 MHz</w:t>
            </w:r>
          </w:p>
        </w:tc>
        <w:tc>
          <w:tcPr>
            <w:tcW w:w="1607" w:type="pct"/>
            <w:vAlign w:val="center"/>
          </w:tcPr>
          <w:p w14:paraId="54CA4E76" w14:textId="56810D01" w:rsidR="00970D27"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Chetumal</w:t>
            </w:r>
          </w:p>
        </w:tc>
        <w:tc>
          <w:tcPr>
            <w:tcW w:w="798" w:type="pct"/>
            <w:vAlign w:val="center"/>
          </w:tcPr>
          <w:p w14:paraId="7030E047" w14:textId="4AC909CD" w:rsidR="00970D27" w:rsidRPr="00B81ED0" w:rsidRDefault="00970D27" w:rsidP="00B81ED0">
            <w:pPr>
              <w:spacing w:line="240" w:lineRule="auto"/>
              <w:jc w:val="center"/>
              <w:rPr>
                <w:rFonts w:ascii="ITC Avant Garde" w:hAnsi="ITC Avant Garde"/>
                <w:sz w:val="18"/>
              </w:rPr>
            </w:pPr>
            <w:r w:rsidRPr="00B81ED0">
              <w:rPr>
                <w:rFonts w:ascii="ITC Avant Garde" w:hAnsi="ITC Avant Garde"/>
                <w:sz w:val="18"/>
              </w:rPr>
              <w:t>Quintana Roo</w:t>
            </w:r>
          </w:p>
        </w:tc>
      </w:tr>
    </w:tbl>
    <w:p w14:paraId="39F8C821" w14:textId="77777777" w:rsidR="00970D27" w:rsidRPr="00B81ED0" w:rsidRDefault="00970D27" w:rsidP="00B81ED0">
      <w:pPr>
        <w:spacing w:line="240" w:lineRule="auto"/>
        <w:ind w:right="49"/>
        <w:contextualSpacing/>
        <w:jc w:val="both"/>
        <w:rPr>
          <w:rFonts w:ascii="ITC Avant Garde" w:eastAsia="ITC Avant Garde" w:hAnsi="ITC Avant Garde" w:cs="ITC Avant Garde"/>
          <w:b/>
          <w:bCs/>
        </w:rPr>
      </w:pPr>
    </w:p>
    <w:p w14:paraId="7B369D5C" w14:textId="77777777" w:rsidR="00B81ED0" w:rsidRDefault="00BE1581" w:rsidP="00B81ED0">
      <w:pPr>
        <w:spacing w:line="240" w:lineRule="auto"/>
        <w:ind w:right="49"/>
        <w:contextualSpacing/>
        <w:jc w:val="both"/>
        <w:rPr>
          <w:rFonts w:ascii="ITC Avant Garde" w:hAnsi="ITC Avant Garde" w:cs="Arial"/>
        </w:rPr>
      </w:pPr>
      <w:r w:rsidRPr="00B81ED0">
        <w:rPr>
          <w:rFonts w:ascii="ITC Avant Garde" w:eastAsia="ITC Avant Garde" w:hAnsi="ITC Avant Garde" w:cs="ITC Avant Garde"/>
          <w:bCs/>
        </w:rPr>
        <w:t xml:space="preserve">Ahora bien, conforme a lo señalado en el Antecedente </w:t>
      </w:r>
      <w:r w:rsidR="00860D99" w:rsidRPr="00B81ED0">
        <w:rPr>
          <w:rFonts w:ascii="ITC Avant Garde" w:eastAsia="ITC Avant Garde" w:hAnsi="ITC Avant Garde" w:cs="ITC Avant Garde"/>
          <w:bCs/>
        </w:rPr>
        <w:t>XXVI</w:t>
      </w:r>
      <w:r w:rsidRPr="00B81ED0">
        <w:rPr>
          <w:rFonts w:ascii="ITC Avant Garde" w:eastAsia="ITC Avant Garde" w:hAnsi="ITC Avant Garde" w:cs="ITC Avant Garde"/>
          <w:bCs/>
        </w:rPr>
        <w:t xml:space="preserve">, el Pleno del Instituto determinó la descalificación de </w:t>
      </w:r>
      <w:r w:rsidR="00895664" w:rsidRPr="00B81ED0">
        <w:rPr>
          <w:rFonts w:ascii="ITC Avant Garde" w:hAnsi="ITC Avant Garde"/>
          <w:b/>
          <w:lang w:eastAsia="es-MX"/>
        </w:rPr>
        <w:t>Información y Cultura Ascendente, S.A. de C.V.</w:t>
      </w:r>
      <w:r w:rsidR="00895664" w:rsidRPr="00B81ED0">
        <w:rPr>
          <w:rFonts w:ascii="ITC Avant Garde" w:hAnsi="ITC Avant Garde"/>
          <w:lang w:eastAsia="es-MX"/>
        </w:rPr>
        <w:t xml:space="preserve"> </w:t>
      </w:r>
      <w:r w:rsidR="00895664" w:rsidRPr="00B81ED0">
        <w:rPr>
          <w:rFonts w:ascii="ITC Avant Garde" w:hAnsi="ITC Avant Garde" w:cs="Arial"/>
          <w:bCs/>
          <w:noProof/>
        </w:rPr>
        <w:t xml:space="preserve">y </w:t>
      </w:r>
      <w:r w:rsidR="00895664" w:rsidRPr="00B81ED0">
        <w:rPr>
          <w:rFonts w:ascii="ITC Avant Garde" w:hAnsi="ITC Avant Garde"/>
          <w:b/>
          <w:lang w:eastAsia="es-MX"/>
        </w:rPr>
        <w:t>Promotora de Éxitos, S.A. de C.V.</w:t>
      </w:r>
      <w:r w:rsidR="00895664" w:rsidRPr="00B81ED0">
        <w:rPr>
          <w:rFonts w:ascii="ITC Avant Garde" w:hAnsi="ITC Avant Garde" w:cs="Arial"/>
          <w:bCs/>
        </w:rPr>
        <w:t xml:space="preserve">, con números de Folio Único </w:t>
      </w:r>
      <w:r w:rsidR="00895664" w:rsidRPr="00B81ED0">
        <w:rPr>
          <w:rFonts w:ascii="ITC Avant Garde" w:hAnsi="ITC Avant Garde"/>
          <w:b/>
          <w:lang w:eastAsia="es-MX"/>
        </w:rPr>
        <w:t>I1-354443</w:t>
      </w:r>
      <w:r w:rsidR="00895664" w:rsidRPr="00B81ED0">
        <w:rPr>
          <w:rFonts w:ascii="ITC Avant Garde" w:hAnsi="ITC Avant Garde"/>
          <w:lang w:eastAsia="es-MX"/>
        </w:rPr>
        <w:t xml:space="preserve"> </w:t>
      </w:r>
      <w:r w:rsidR="00895664" w:rsidRPr="00B81ED0">
        <w:rPr>
          <w:rFonts w:ascii="ITC Avant Garde" w:hAnsi="ITC Avant Garde" w:cs="Arial"/>
          <w:bCs/>
          <w:noProof/>
        </w:rPr>
        <w:t xml:space="preserve">y </w:t>
      </w:r>
      <w:r w:rsidR="00895664" w:rsidRPr="00B81ED0">
        <w:rPr>
          <w:rFonts w:ascii="ITC Avant Garde" w:hAnsi="ITC Avant Garde"/>
          <w:b/>
          <w:lang w:eastAsia="es-MX"/>
        </w:rPr>
        <w:t>P9-520100</w:t>
      </w:r>
      <w:r w:rsidRPr="00B81ED0">
        <w:rPr>
          <w:rFonts w:ascii="ITC Avant Garde" w:eastAsia="ITC Avant Garde" w:hAnsi="ITC Avant Garde" w:cs="ITC Avant Garde"/>
          <w:bCs/>
        </w:rPr>
        <w:t xml:space="preserve">, respecto de la Licitación No. IFT-4, </w:t>
      </w:r>
      <w:r w:rsidRPr="00B81ED0">
        <w:rPr>
          <w:rFonts w:ascii="ITC Avant Garde" w:hAnsi="ITC Avant Garde" w:cs="Arial"/>
        </w:rPr>
        <w:t>por su Incumplimiento del pago de contraprestaciones conforme al numeral 10.3 de las Bases.</w:t>
      </w:r>
    </w:p>
    <w:p w14:paraId="76ACA088" w14:textId="77777777" w:rsidR="00B81ED0" w:rsidRPr="00B81ED0" w:rsidRDefault="00B81ED0" w:rsidP="00B81ED0">
      <w:pPr>
        <w:spacing w:line="240" w:lineRule="auto"/>
        <w:ind w:right="49"/>
        <w:contextualSpacing/>
        <w:jc w:val="both"/>
        <w:rPr>
          <w:rFonts w:ascii="ITC Avant Garde" w:hAnsi="ITC Avant Garde"/>
          <w:sz w:val="20"/>
          <w:szCs w:val="20"/>
          <w:lang w:val="es-ES_tradnl"/>
        </w:rPr>
      </w:pPr>
    </w:p>
    <w:p w14:paraId="5EB28F71" w14:textId="5BF23A1F" w:rsidR="00002535" w:rsidRPr="00B81ED0" w:rsidRDefault="00B81ED0" w:rsidP="00B81ED0">
      <w:pPr>
        <w:pBdr>
          <w:top w:val="nil"/>
          <w:left w:val="nil"/>
          <w:bottom w:val="nil"/>
          <w:right w:val="nil"/>
          <w:between w:val="nil"/>
          <w:bar w:val="nil"/>
        </w:pBdr>
        <w:spacing w:line="240" w:lineRule="auto"/>
        <w:contextualSpacing/>
        <w:jc w:val="both"/>
        <w:rPr>
          <w:rFonts w:ascii="ITC Avant Garde" w:hAnsi="ITC Avant Garde" w:cs="Arial"/>
          <w:bCs/>
        </w:rPr>
      </w:pPr>
      <w:r>
        <w:rPr>
          <w:rFonts w:ascii="ITC Avant Garde" w:hAnsi="ITC Avant Garde" w:cs="Arial"/>
          <w:b/>
          <w:bCs/>
        </w:rPr>
        <w:t>CUARTO.</w:t>
      </w:r>
      <w:r>
        <w:rPr>
          <w:rFonts w:ascii="ITC Avant Garde" w:hAnsi="ITC Avant Garde" w:cs="Arial"/>
          <w:b/>
          <w:bCs/>
        </w:rPr>
        <w:tab/>
      </w:r>
      <w:r w:rsidR="00002535" w:rsidRPr="00B81ED0">
        <w:rPr>
          <w:rFonts w:ascii="ITC Avant Garde" w:hAnsi="ITC Avant Garde" w:cs="Arial"/>
          <w:b/>
          <w:bCs/>
        </w:rPr>
        <w:t>Acta</w:t>
      </w:r>
      <w:r w:rsidR="00BE1581" w:rsidRPr="00B81ED0">
        <w:rPr>
          <w:rFonts w:ascii="ITC Avant Garde" w:hAnsi="ITC Avant Garde" w:cs="Arial"/>
          <w:b/>
          <w:bCs/>
        </w:rPr>
        <w:t>s</w:t>
      </w:r>
      <w:r w:rsidR="00002535" w:rsidRPr="00B81ED0">
        <w:rPr>
          <w:rFonts w:ascii="ITC Avant Garde" w:hAnsi="ITC Avant Garde" w:cs="Arial"/>
          <w:b/>
          <w:bCs/>
        </w:rPr>
        <w:t xml:space="preserve"> de Fallo</w:t>
      </w:r>
      <w:r w:rsidR="00993170" w:rsidRPr="00B81ED0">
        <w:rPr>
          <w:rFonts w:ascii="ITC Avant Garde" w:hAnsi="ITC Avant Garde" w:cs="Arial"/>
          <w:b/>
          <w:bCs/>
        </w:rPr>
        <w:t xml:space="preserve"> emitida</w:t>
      </w:r>
      <w:r w:rsidR="00722AB6" w:rsidRPr="00B81ED0">
        <w:rPr>
          <w:rFonts w:ascii="ITC Avant Garde" w:hAnsi="ITC Avant Garde" w:cs="Arial"/>
          <w:b/>
          <w:bCs/>
        </w:rPr>
        <w:t>s</w:t>
      </w:r>
      <w:r w:rsidR="00993170" w:rsidRPr="00B81ED0">
        <w:rPr>
          <w:rFonts w:ascii="ITC Avant Garde" w:hAnsi="ITC Avant Garde" w:cs="Arial"/>
          <w:b/>
          <w:bCs/>
        </w:rPr>
        <w:t xml:space="preserve"> a favor de </w:t>
      </w:r>
      <w:r w:rsidR="00BE1581" w:rsidRPr="00B81ED0">
        <w:rPr>
          <w:rFonts w:ascii="ITC Avant Garde" w:hAnsi="ITC Avant Garde" w:cs="Arial"/>
          <w:b/>
          <w:bCs/>
        </w:rPr>
        <w:t xml:space="preserve">Mario </w:t>
      </w:r>
      <w:r w:rsidR="00860D99" w:rsidRPr="00B81ED0">
        <w:rPr>
          <w:rFonts w:ascii="ITC Avant Garde" w:hAnsi="ITC Avant Garde" w:cs="Arial"/>
          <w:b/>
          <w:bCs/>
        </w:rPr>
        <w:t>Ó</w:t>
      </w:r>
      <w:r w:rsidR="00BE1581" w:rsidRPr="00B81ED0">
        <w:rPr>
          <w:rFonts w:ascii="ITC Avant Garde" w:hAnsi="ITC Avant Garde" w:cs="Arial"/>
          <w:b/>
          <w:bCs/>
        </w:rPr>
        <w:t>scar Beteta Vallejo</w:t>
      </w:r>
      <w:r w:rsidR="00BB3582" w:rsidRPr="00B81ED0">
        <w:rPr>
          <w:rFonts w:ascii="ITC Avant Garde" w:hAnsi="ITC Avant Garde" w:cs="Arial"/>
          <w:b/>
          <w:bCs/>
        </w:rPr>
        <w:t>.</w:t>
      </w:r>
      <w:r w:rsidR="00002535" w:rsidRPr="00B81ED0">
        <w:rPr>
          <w:rFonts w:ascii="ITC Avant Garde" w:hAnsi="ITC Avant Garde" w:cs="Arial"/>
          <w:b/>
          <w:bCs/>
        </w:rPr>
        <w:t xml:space="preserve"> </w:t>
      </w:r>
      <w:r w:rsidR="00BB3582" w:rsidRPr="00B81ED0">
        <w:rPr>
          <w:rFonts w:ascii="ITC Avant Garde" w:hAnsi="ITC Avant Garde" w:cs="Arial"/>
          <w:bCs/>
        </w:rPr>
        <w:t>D</w:t>
      </w:r>
      <w:r w:rsidR="00002535" w:rsidRPr="00B81ED0">
        <w:rPr>
          <w:rFonts w:ascii="ITC Avant Garde" w:hAnsi="ITC Avant Garde" w:cs="Arial"/>
          <w:bCs/>
        </w:rPr>
        <w:t xml:space="preserve">e conformidad </w:t>
      </w:r>
      <w:r w:rsidR="00722AB6" w:rsidRPr="00B81ED0">
        <w:rPr>
          <w:rFonts w:ascii="ITC Avant Garde" w:eastAsia="ITC Avant Garde" w:hAnsi="ITC Avant Garde" w:cs="ITC Avant Garde"/>
          <w:bCs/>
        </w:rPr>
        <w:t xml:space="preserve">con las resoluciones a que se refiere el Antecedente XXVII del presente Acuerdo, </w:t>
      </w:r>
      <w:r w:rsidR="00002535" w:rsidRPr="00B81ED0">
        <w:rPr>
          <w:rFonts w:ascii="ITC Avant Garde" w:hAnsi="ITC Avant Garde" w:cs="Arial"/>
          <w:bCs/>
        </w:rPr>
        <w:t>el Pleno del Instituto determinó e hizo constar como Participante Ganador a</w:t>
      </w:r>
      <w:r w:rsidR="00002535" w:rsidRPr="00B81ED0">
        <w:rPr>
          <w:rFonts w:ascii="ITC Avant Garde" w:hAnsi="ITC Avant Garde" w:cs="Arial"/>
          <w:b/>
          <w:bCs/>
        </w:rPr>
        <w:t xml:space="preserve"> </w:t>
      </w:r>
      <w:r w:rsidR="00651E72" w:rsidRPr="00B81ED0">
        <w:rPr>
          <w:rFonts w:ascii="ITC Avant Garde" w:hAnsi="ITC Avant Garde" w:cs="Arial"/>
          <w:b/>
          <w:bCs/>
        </w:rPr>
        <w:t>Mario Óscar Beteta Vallejo</w:t>
      </w:r>
      <w:r w:rsidR="00002535" w:rsidRPr="00B81ED0">
        <w:rPr>
          <w:rFonts w:ascii="ITC Avant Garde" w:hAnsi="ITC Avant Garde" w:cs="Arial"/>
          <w:b/>
          <w:bCs/>
        </w:rPr>
        <w:t xml:space="preserve">, </w:t>
      </w:r>
      <w:r w:rsidR="00002535" w:rsidRPr="00B81ED0">
        <w:rPr>
          <w:rFonts w:ascii="ITC Avant Garde" w:hAnsi="ITC Avant Garde" w:cs="Arial"/>
          <w:bCs/>
        </w:rPr>
        <w:t>con número de Folio Único</w:t>
      </w:r>
      <w:r w:rsidR="00002535" w:rsidRPr="00B81ED0">
        <w:rPr>
          <w:rFonts w:ascii="ITC Avant Garde" w:hAnsi="ITC Avant Garde" w:cs="Arial"/>
          <w:b/>
          <w:bCs/>
        </w:rPr>
        <w:t xml:space="preserve"> </w:t>
      </w:r>
      <w:r w:rsidR="00BB3582" w:rsidRPr="00B81ED0">
        <w:rPr>
          <w:rFonts w:ascii="ITC Avant Garde" w:hAnsi="ITC Avant Garde" w:cs="Arial"/>
          <w:b/>
          <w:bCs/>
        </w:rPr>
        <w:t>BM-311022</w:t>
      </w:r>
      <w:r w:rsidR="00002535" w:rsidRPr="00B81ED0">
        <w:rPr>
          <w:rFonts w:ascii="ITC Avant Garde" w:hAnsi="ITC Avant Garde" w:cs="Arial"/>
          <w:bCs/>
        </w:rPr>
        <w:t>, en la</w:t>
      </w:r>
      <w:r w:rsidR="00651E72" w:rsidRPr="00B81ED0">
        <w:rPr>
          <w:rFonts w:ascii="ITC Avant Garde" w:hAnsi="ITC Avant Garde" w:cs="Arial"/>
          <w:bCs/>
        </w:rPr>
        <w:t>s resolucio</w:t>
      </w:r>
      <w:r w:rsidR="00002535" w:rsidRPr="00B81ED0">
        <w:rPr>
          <w:rFonts w:ascii="ITC Avant Garde" w:hAnsi="ITC Avant Garde" w:cs="Arial"/>
          <w:bCs/>
        </w:rPr>
        <w:t>n</w:t>
      </w:r>
      <w:r w:rsidR="00651E72" w:rsidRPr="00B81ED0">
        <w:rPr>
          <w:rFonts w:ascii="ITC Avant Garde" w:hAnsi="ITC Avant Garde" w:cs="Arial"/>
          <w:bCs/>
        </w:rPr>
        <w:t>es</w:t>
      </w:r>
      <w:r w:rsidR="00002535" w:rsidRPr="00B81ED0">
        <w:rPr>
          <w:rFonts w:ascii="ITC Avant Garde" w:hAnsi="ITC Avant Garde" w:cs="Arial"/>
          <w:bCs/>
        </w:rPr>
        <w:t xml:space="preserve"> y Lote</w:t>
      </w:r>
      <w:r w:rsidR="00651E72" w:rsidRPr="00B81ED0">
        <w:rPr>
          <w:rFonts w:ascii="ITC Avant Garde" w:hAnsi="ITC Avant Garde" w:cs="Arial"/>
          <w:bCs/>
        </w:rPr>
        <w:t>s</w:t>
      </w:r>
      <w:r w:rsidR="00002535" w:rsidRPr="00B81ED0">
        <w:rPr>
          <w:rFonts w:ascii="ITC Avant Garde" w:hAnsi="ITC Avant Garde" w:cs="Arial"/>
          <w:bCs/>
        </w:rPr>
        <w:t xml:space="preserve"> siguientes:</w:t>
      </w:r>
    </w:p>
    <w:p w14:paraId="0335B839" w14:textId="77777777" w:rsidR="00002535" w:rsidRPr="00B81ED0" w:rsidRDefault="00002535" w:rsidP="00B81ED0">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tbl>
      <w:tblPr>
        <w:tblStyle w:val="Tablaconcuadrcula"/>
        <w:tblW w:w="8828" w:type="dxa"/>
        <w:jc w:val="center"/>
        <w:tblLayout w:type="fixed"/>
        <w:tblLook w:val="04A0" w:firstRow="1" w:lastRow="0" w:firstColumn="1" w:lastColumn="0" w:noHBand="0" w:noVBand="1"/>
        <w:tblCaption w:val="Tabla"/>
        <w:tblDescription w:val="Resoluciones y Lotes del Participante Ganador."/>
      </w:tblPr>
      <w:tblGrid>
        <w:gridCol w:w="2263"/>
        <w:gridCol w:w="851"/>
        <w:gridCol w:w="850"/>
        <w:gridCol w:w="1364"/>
        <w:gridCol w:w="1755"/>
        <w:gridCol w:w="1745"/>
      </w:tblGrid>
      <w:tr w:rsidR="00B81ED0" w:rsidRPr="00B81ED0" w14:paraId="3D362029" w14:textId="77777777" w:rsidTr="009943DE">
        <w:trPr>
          <w:trHeight w:val="630"/>
          <w:tblHeader/>
          <w:jc w:val="center"/>
        </w:trPr>
        <w:tc>
          <w:tcPr>
            <w:tcW w:w="2263" w:type="dxa"/>
            <w:shd w:val="clear" w:color="auto" w:fill="92D050"/>
            <w:vAlign w:val="center"/>
            <w:hideMark/>
          </w:tcPr>
          <w:p w14:paraId="3EE911D6" w14:textId="77777777" w:rsidR="00002535" w:rsidRPr="00B81ED0" w:rsidRDefault="00002535" w:rsidP="00B81ED0">
            <w:pPr>
              <w:spacing w:line="240" w:lineRule="auto"/>
              <w:jc w:val="center"/>
              <w:rPr>
                <w:rFonts w:ascii="ITC Avant Garde" w:eastAsia="Times New Roman" w:hAnsi="ITC Avant Garde"/>
                <w:b/>
                <w:bCs/>
                <w:sz w:val="20"/>
                <w:szCs w:val="20"/>
                <w:lang w:eastAsia="es-MX"/>
              </w:rPr>
            </w:pPr>
            <w:r w:rsidRPr="00B81ED0">
              <w:rPr>
                <w:rFonts w:ascii="ITC Avant Garde" w:eastAsia="Times New Roman" w:hAnsi="ITC Avant Garde"/>
                <w:b/>
                <w:bCs/>
                <w:sz w:val="20"/>
                <w:szCs w:val="20"/>
                <w:lang w:eastAsia="es-MX"/>
              </w:rPr>
              <w:t>Acuerdo por el que se aprobó el Acta de Fallo</w:t>
            </w:r>
          </w:p>
        </w:tc>
        <w:tc>
          <w:tcPr>
            <w:tcW w:w="851" w:type="dxa"/>
            <w:shd w:val="clear" w:color="auto" w:fill="92D050"/>
            <w:vAlign w:val="center"/>
            <w:hideMark/>
          </w:tcPr>
          <w:p w14:paraId="0E5E2241" w14:textId="77777777" w:rsidR="00002535" w:rsidRPr="00B81ED0" w:rsidRDefault="00002535" w:rsidP="00B81ED0">
            <w:pPr>
              <w:spacing w:line="240" w:lineRule="auto"/>
              <w:jc w:val="center"/>
              <w:rPr>
                <w:rFonts w:ascii="ITC Avant Garde" w:eastAsia="Times New Roman" w:hAnsi="ITC Avant Garde"/>
                <w:b/>
                <w:bCs/>
                <w:sz w:val="20"/>
                <w:szCs w:val="20"/>
                <w:lang w:eastAsia="es-MX"/>
              </w:rPr>
            </w:pPr>
            <w:r w:rsidRPr="00B81ED0">
              <w:rPr>
                <w:rFonts w:ascii="ITC Avant Garde" w:eastAsia="Times New Roman" w:hAnsi="ITC Avant Garde"/>
                <w:b/>
                <w:bCs/>
                <w:sz w:val="20"/>
                <w:szCs w:val="20"/>
                <w:lang w:eastAsia="es-MX"/>
              </w:rPr>
              <w:t>Banda</w:t>
            </w:r>
          </w:p>
        </w:tc>
        <w:tc>
          <w:tcPr>
            <w:tcW w:w="850" w:type="dxa"/>
            <w:shd w:val="clear" w:color="auto" w:fill="92D050"/>
            <w:vAlign w:val="center"/>
            <w:hideMark/>
          </w:tcPr>
          <w:p w14:paraId="4C54C41F" w14:textId="7AE2B6EE" w:rsidR="00002535" w:rsidRPr="00B81ED0" w:rsidRDefault="00E77502" w:rsidP="00B81ED0">
            <w:pPr>
              <w:spacing w:line="240" w:lineRule="auto"/>
              <w:jc w:val="center"/>
              <w:rPr>
                <w:rFonts w:ascii="ITC Avant Garde" w:eastAsia="Times New Roman" w:hAnsi="ITC Avant Garde"/>
                <w:b/>
                <w:bCs/>
                <w:sz w:val="20"/>
                <w:szCs w:val="20"/>
                <w:lang w:eastAsia="es-MX"/>
              </w:rPr>
            </w:pPr>
            <w:r w:rsidRPr="00B81ED0">
              <w:rPr>
                <w:rFonts w:ascii="ITC Avant Garde" w:eastAsia="Times New Roman" w:hAnsi="ITC Avant Garde"/>
                <w:b/>
                <w:bCs/>
                <w:sz w:val="20"/>
                <w:szCs w:val="20"/>
                <w:lang w:eastAsia="es-MX"/>
              </w:rPr>
              <w:t>Lote</w:t>
            </w:r>
          </w:p>
        </w:tc>
        <w:tc>
          <w:tcPr>
            <w:tcW w:w="1364" w:type="dxa"/>
            <w:shd w:val="clear" w:color="auto" w:fill="92D050"/>
            <w:vAlign w:val="center"/>
            <w:hideMark/>
          </w:tcPr>
          <w:p w14:paraId="6AF4AF0D" w14:textId="77777777" w:rsidR="00002535" w:rsidRPr="00B81ED0" w:rsidRDefault="00002535" w:rsidP="00B81ED0">
            <w:pPr>
              <w:spacing w:line="240" w:lineRule="auto"/>
              <w:jc w:val="center"/>
              <w:rPr>
                <w:rFonts w:ascii="ITC Avant Garde" w:eastAsia="Times New Roman" w:hAnsi="ITC Avant Garde"/>
                <w:b/>
                <w:bCs/>
                <w:sz w:val="20"/>
                <w:szCs w:val="20"/>
                <w:lang w:eastAsia="es-MX"/>
              </w:rPr>
            </w:pPr>
            <w:r w:rsidRPr="00B81ED0">
              <w:rPr>
                <w:rFonts w:ascii="ITC Avant Garde" w:eastAsia="Times New Roman" w:hAnsi="ITC Avant Garde"/>
                <w:b/>
                <w:bCs/>
                <w:sz w:val="20"/>
                <w:szCs w:val="20"/>
                <w:lang w:eastAsia="es-MX"/>
              </w:rPr>
              <w:t>Frecuencia</w:t>
            </w:r>
          </w:p>
        </w:tc>
        <w:tc>
          <w:tcPr>
            <w:tcW w:w="1755" w:type="dxa"/>
            <w:shd w:val="clear" w:color="auto" w:fill="92D050"/>
            <w:vAlign w:val="center"/>
            <w:hideMark/>
          </w:tcPr>
          <w:p w14:paraId="47EC851A" w14:textId="25266BF1" w:rsidR="00002535" w:rsidRPr="00B81ED0" w:rsidRDefault="00E77502" w:rsidP="00B81ED0">
            <w:pPr>
              <w:spacing w:line="240" w:lineRule="auto"/>
              <w:jc w:val="center"/>
              <w:rPr>
                <w:rFonts w:ascii="ITC Avant Garde" w:eastAsia="Times New Roman" w:hAnsi="ITC Avant Garde"/>
                <w:b/>
                <w:bCs/>
                <w:sz w:val="20"/>
                <w:szCs w:val="20"/>
                <w:lang w:eastAsia="es-MX"/>
              </w:rPr>
            </w:pPr>
            <w:r w:rsidRPr="00B81ED0">
              <w:rPr>
                <w:rFonts w:ascii="ITC Avant Garde" w:eastAsia="ITC Avant Garde" w:hAnsi="ITC Avant Garde" w:cs="ITC Avant Garde"/>
                <w:b/>
                <w:bCs/>
                <w:sz w:val="20"/>
                <w:szCs w:val="20"/>
                <w:u w:color="FFFFFF"/>
                <w:lang w:val="es-ES"/>
              </w:rPr>
              <w:t>Localidad principal a servir</w:t>
            </w:r>
          </w:p>
        </w:tc>
        <w:tc>
          <w:tcPr>
            <w:tcW w:w="1745" w:type="dxa"/>
            <w:shd w:val="clear" w:color="auto" w:fill="92D050"/>
            <w:vAlign w:val="center"/>
            <w:hideMark/>
          </w:tcPr>
          <w:p w14:paraId="57BB0831" w14:textId="77777777" w:rsidR="00002535" w:rsidRPr="00B81ED0" w:rsidRDefault="00002535" w:rsidP="00B81ED0">
            <w:pPr>
              <w:spacing w:line="240" w:lineRule="auto"/>
              <w:jc w:val="center"/>
              <w:rPr>
                <w:rFonts w:ascii="ITC Avant Garde" w:eastAsia="Times New Roman" w:hAnsi="ITC Avant Garde"/>
                <w:b/>
                <w:bCs/>
                <w:sz w:val="20"/>
                <w:szCs w:val="20"/>
                <w:lang w:eastAsia="es-MX"/>
              </w:rPr>
            </w:pPr>
            <w:r w:rsidRPr="00B81ED0">
              <w:rPr>
                <w:rFonts w:ascii="ITC Avant Garde" w:eastAsia="Times New Roman" w:hAnsi="ITC Avant Garde"/>
                <w:b/>
                <w:bCs/>
                <w:sz w:val="20"/>
                <w:szCs w:val="20"/>
                <w:lang w:eastAsia="es-MX"/>
              </w:rPr>
              <w:t>Estado</w:t>
            </w:r>
          </w:p>
        </w:tc>
      </w:tr>
      <w:tr w:rsidR="00B81ED0" w:rsidRPr="00B81ED0" w14:paraId="299DA82C" w14:textId="77777777" w:rsidTr="009943DE">
        <w:trPr>
          <w:trHeight w:val="420"/>
          <w:jc w:val="center"/>
        </w:trPr>
        <w:tc>
          <w:tcPr>
            <w:tcW w:w="2263" w:type="dxa"/>
            <w:vAlign w:val="center"/>
          </w:tcPr>
          <w:p w14:paraId="607C8EFF" w14:textId="2F74570C" w:rsidR="00E77502" w:rsidRPr="00B81ED0" w:rsidRDefault="00E77502" w:rsidP="00B81ED0">
            <w:pPr>
              <w:spacing w:line="240" w:lineRule="auto"/>
              <w:jc w:val="center"/>
              <w:rPr>
                <w:rFonts w:ascii="ITC Avant Garde" w:eastAsia="Times New Roman" w:hAnsi="ITC Avant Garde"/>
                <w:sz w:val="18"/>
                <w:szCs w:val="18"/>
                <w:lang w:eastAsia="es-MX"/>
              </w:rPr>
            </w:pPr>
            <w:r w:rsidRPr="00B81ED0">
              <w:rPr>
                <w:rFonts w:ascii="ITC Avant Garde" w:hAnsi="ITC Avant Garde"/>
                <w:sz w:val="18"/>
                <w:szCs w:val="18"/>
                <w:lang w:eastAsia="es-MX"/>
              </w:rPr>
              <w:t>P/IFT/EXT/300517/140</w:t>
            </w:r>
          </w:p>
        </w:tc>
        <w:tc>
          <w:tcPr>
            <w:tcW w:w="851" w:type="dxa"/>
            <w:vAlign w:val="center"/>
          </w:tcPr>
          <w:p w14:paraId="2586BF21" w14:textId="124297BB" w:rsidR="00E77502" w:rsidRPr="00B81ED0" w:rsidRDefault="00E77502" w:rsidP="00B81ED0">
            <w:pPr>
              <w:spacing w:line="240" w:lineRule="auto"/>
              <w:jc w:val="center"/>
              <w:rPr>
                <w:rFonts w:ascii="ITC Avant Garde" w:eastAsia="Times New Roman" w:hAnsi="ITC Avant Garde"/>
                <w:sz w:val="18"/>
                <w:szCs w:val="18"/>
                <w:lang w:eastAsia="es-MX"/>
              </w:rPr>
            </w:pPr>
            <w:r w:rsidRPr="00B81ED0">
              <w:rPr>
                <w:rFonts w:ascii="ITC Avant Garde" w:eastAsia="Times New Roman" w:hAnsi="ITC Avant Garde"/>
                <w:sz w:val="18"/>
                <w:szCs w:val="18"/>
                <w:lang w:eastAsia="es-MX"/>
              </w:rPr>
              <w:t>FM</w:t>
            </w:r>
          </w:p>
        </w:tc>
        <w:tc>
          <w:tcPr>
            <w:tcW w:w="850" w:type="dxa"/>
            <w:vAlign w:val="center"/>
          </w:tcPr>
          <w:p w14:paraId="3D5F1D72" w14:textId="6BC4314C" w:rsidR="00E77502" w:rsidRPr="00B81ED0" w:rsidRDefault="00E77502" w:rsidP="00B81ED0">
            <w:pPr>
              <w:spacing w:line="240" w:lineRule="auto"/>
              <w:jc w:val="center"/>
              <w:rPr>
                <w:rFonts w:ascii="ITC Avant Garde" w:eastAsia="Times New Roman" w:hAnsi="ITC Avant Garde"/>
                <w:sz w:val="18"/>
                <w:szCs w:val="18"/>
                <w:lang w:eastAsia="es-MX"/>
              </w:rPr>
            </w:pPr>
            <w:r w:rsidRPr="00B81ED0">
              <w:rPr>
                <w:rFonts w:ascii="ITC Avant Garde" w:eastAsia="Times New Roman" w:hAnsi="ITC Avant Garde"/>
                <w:sz w:val="18"/>
                <w:szCs w:val="18"/>
                <w:lang w:eastAsia="es-MX"/>
              </w:rPr>
              <w:t>5</w:t>
            </w:r>
          </w:p>
        </w:tc>
        <w:tc>
          <w:tcPr>
            <w:tcW w:w="1364" w:type="dxa"/>
            <w:vAlign w:val="center"/>
          </w:tcPr>
          <w:p w14:paraId="04F96AB2" w14:textId="62FACB24" w:rsidR="00E77502" w:rsidRPr="00B81ED0" w:rsidRDefault="00E77502" w:rsidP="00B81ED0">
            <w:pPr>
              <w:spacing w:line="240" w:lineRule="auto"/>
              <w:jc w:val="center"/>
              <w:rPr>
                <w:rFonts w:ascii="ITC Avant Garde" w:eastAsia="Times New Roman" w:hAnsi="ITC Avant Garde"/>
                <w:sz w:val="20"/>
                <w:szCs w:val="20"/>
                <w:lang w:eastAsia="es-MX"/>
              </w:rPr>
            </w:pPr>
            <w:r w:rsidRPr="00B81ED0">
              <w:rPr>
                <w:rFonts w:ascii="ITC Avant Garde" w:hAnsi="ITC Avant Garde"/>
                <w:sz w:val="18"/>
              </w:rPr>
              <w:t>91.9 MHz</w:t>
            </w:r>
          </w:p>
        </w:tc>
        <w:tc>
          <w:tcPr>
            <w:tcW w:w="1755" w:type="dxa"/>
            <w:vAlign w:val="center"/>
          </w:tcPr>
          <w:p w14:paraId="6F7EDEB1" w14:textId="4A4FFEF5" w:rsidR="00E77502" w:rsidRPr="00B81ED0" w:rsidRDefault="00E77502" w:rsidP="00B81ED0">
            <w:pPr>
              <w:spacing w:line="240" w:lineRule="auto"/>
              <w:jc w:val="center"/>
              <w:rPr>
                <w:rFonts w:ascii="ITC Avant Garde" w:eastAsia="Times New Roman" w:hAnsi="ITC Avant Garde"/>
                <w:sz w:val="20"/>
                <w:szCs w:val="20"/>
                <w:lang w:eastAsia="es-MX"/>
              </w:rPr>
            </w:pPr>
            <w:r w:rsidRPr="00B81ED0">
              <w:rPr>
                <w:rFonts w:ascii="ITC Avant Garde" w:hAnsi="ITC Avant Garde"/>
                <w:sz w:val="18"/>
              </w:rPr>
              <w:t>La Paz</w:t>
            </w:r>
          </w:p>
        </w:tc>
        <w:tc>
          <w:tcPr>
            <w:tcW w:w="1745" w:type="dxa"/>
            <w:vAlign w:val="center"/>
          </w:tcPr>
          <w:p w14:paraId="713216B2" w14:textId="79F4D438" w:rsidR="00E77502" w:rsidRPr="00B81ED0" w:rsidRDefault="00E77502" w:rsidP="00B81ED0">
            <w:pPr>
              <w:spacing w:line="240" w:lineRule="auto"/>
              <w:jc w:val="center"/>
              <w:rPr>
                <w:rFonts w:ascii="ITC Avant Garde" w:eastAsia="Times New Roman" w:hAnsi="ITC Avant Garde"/>
                <w:sz w:val="20"/>
                <w:szCs w:val="20"/>
                <w:lang w:eastAsia="es-MX"/>
              </w:rPr>
            </w:pPr>
            <w:r w:rsidRPr="00B81ED0">
              <w:rPr>
                <w:rFonts w:ascii="ITC Avant Garde" w:hAnsi="ITC Avant Garde"/>
                <w:sz w:val="18"/>
              </w:rPr>
              <w:t>Baja California Sur</w:t>
            </w:r>
          </w:p>
        </w:tc>
      </w:tr>
      <w:tr w:rsidR="00B81ED0" w:rsidRPr="00B81ED0" w14:paraId="4E8728B2" w14:textId="77777777" w:rsidTr="009943DE">
        <w:trPr>
          <w:trHeight w:val="420"/>
          <w:jc w:val="center"/>
        </w:trPr>
        <w:tc>
          <w:tcPr>
            <w:tcW w:w="2263" w:type="dxa"/>
            <w:vAlign w:val="center"/>
          </w:tcPr>
          <w:p w14:paraId="71B617DA" w14:textId="1888D301" w:rsidR="00E77502" w:rsidRPr="00B81ED0" w:rsidRDefault="00E77502" w:rsidP="00B81ED0">
            <w:pPr>
              <w:spacing w:line="240" w:lineRule="auto"/>
              <w:jc w:val="center"/>
              <w:rPr>
                <w:rFonts w:ascii="ITC Avant Garde" w:eastAsia="Times New Roman" w:hAnsi="ITC Avant Garde"/>
                <w:sz w:val="18"/>
                <w:szCs w:val="18"/>
                <w:lang w:eastAsia="es-MX"/>
              </w:rPr>
            </w:pPr>
            <w:r w:rsidRPr="00B81ED0">
              <w:rPr>
                <w:rFonts w:ascii="ITC Avant Garde" w:hAnsi="ITC Avant Garde"/>
                <w:sz w:val="18"/>
                <w:szCs w:val="18"/>
                <w:lang w:eastAsia="es-MX"/>
              </w:rPr>
              <w:t>P/IFT/EXT/300517/154</w:t>
            </w:r>
          </w:p>
        </w:tc>
        <w:tc>
          <w:tcPr>
            <w:tcW w:w="851" w:type="dxa"/>
            <w:vAlign w:val="center"/>
          </w:tcPr>
          <w:p w14:paraId="71BDFD54" w14:textId="2CD85E9A" w:rsidR="00E77502" w:rsidRPr="00B81ED0" w:rsidRDefault="00E77502" w:rsidP="00B81ED0">
            <w:pPr>
              <w:spacing w:line="240" w:lineRule="auto"/>
              <w:jc w:val="center"/>
              <w:rPr>
                <w:rFonts w:ascii="ITC Avant Garde" w:eastAsia="Times New Roman" w:hAnsi="ITC Avant Garde"/>
                <w:sz w:val="18"/>
                <w:szCs w:val="18"/>
                <w:lang w:eastAsia="es-MX"/>
              </w:rPr>
            </w:pPr>
            <w:r w:rsidRPr="00B81ED0">
              <w:rPr>
                <w:rFonts w:ascii="ITC Avant Garde" w:eastAsia="Times New Roman" w:hAnsi="ITC Avant Garde"/>
                <w:sz w:val="18"/>
                <w:szCs w:val="18"/>
                <w:lang w:eastAsia="es-MX"/>
              </w:rPr>
              <w:t>FM</w:t>
            </w:r>
          </w:p>
        </w:tc>
        <w:tc>
          <w:tcPr>
            <w:tcW w:w="850" w:type="dxa"/>
            <w:vAlign w:val="center"/>
          </w:tcPr>
          <w:p w14:paraId="20AC7887" w14:textId="7496CAE4" w:rsidR="00E77502" w:rsidRPr="00B81ED0" w:rsidRDefault="00E77502" w:rsidP="00B81ED0">
            <w:pPr>
              <w:spacing w:line="240" w:lineRule="auto"/>
              <w:jc w:val="center"/>
              <w:rPr>
                <w:rFonts w:ascii="ITC Avant Garde" w:eastAsia="Times New Roman" w:hAnsi="ITC Avant Garde"/>
                <w:sz w:val="18"/>
                <w:szCs w:val="18"/>
                <w:lang w:eastAsia="es-MX"/>
              </w:rPr>
            </w:pPr>
            <w:r w:rsidRPr="00B81ED0">
              <w:rPr>
                <w:rFonts w:ascii="ITC Avant Garde" w:eastAsia="Times New Roman" w:hAnsi="ITC Avant Garde"/>
                <w:sz w:val="18"/>
                <w:szCs w:val="18"/>
                <w:lang w:eastAsia="es-MX"/>
              </w:rPr>
              <w:t>119</w:t>
            </w:r>
          </w:p>
        </w:tc>
        <w:tc>
          <w:tcPr>
            <w:tcW w:w="1364" w:type="dxa"/>
            <w:vAlign w:val="center"/>
          </w:tcPr>
          <w:p w14:paraId="13989402" w14:textId="00D7FED8" w:rsidR="00E77502" w:rsidRPr="00B81ED0" w:rsidRDefault="00E77502" w:rsidP="00B81ED0">
            <w:pPr>
              <w:spacing w:line="240" w:lineRule="auto"/>
              <w:jc w:val="center"/>
              <w:rPr>
                <w:rFonts w:ascii="ITC Avant Garde" w:eastAsia="Times New Roman" w:hAnsi="ITC Avant Garde"/>
                <w:sz w:val="20"/>
                <w:szCs w:val="20"/>
                <w:lang w:eastAsia="es-MX"/>
              </w:rPr>
            </w:pPr>
            <w:r w:rsidRPr="00B81ED0">
              <w:rPr>
                <w:rFonts w:ascii="ITC Avant Garde" w:hAnsi="ITC Avant Garde"/>
                <w:sz w:val="18"/>
              </w:rPr>
              <w:t>92.1 MHz</w:t>
            </w:r>
          </w:p>
        </w:tc>
        <w:tc>
          <w:tcPr>
            <w:tcW w:w="1755" w:type="dxa"/>
            <w:vAlign w:val="center"/>
          </w:tcPr>
          <w:p w14:paraId="5F72D6B5" w14:textId="79584F2D" w:rsidR="00E77502" w:rsidRPr="00B81ED0" w:rsidRDefault="00E77502" w:rsidP="00B81ED0">
            <w:pPr>
              <w:spacing w:line="240" w:lineRule="auto"/>
              <w:jc w:val="center"/>
              <w:rPr>
                <w:rFonts w:ascii="ITC Avant Garde" w:eastAsia="Times New Roman" w:hAnsi="ITC Avant Garde"/>
                <w:sz w:val="20"/>
                <w:szCs w:val="20"/>
                <w:lang w:eastAsia="es-MX"/>
              </w:rPr>
            </w:pPr>
            <w:r w:rsidRPr="00B81ED0">
              <w:rPr>
                <w:rFonts w:ascii="ITC Avant Garde" w:hAnsi="ITC Avant Garde"/>
                <w:sz w:val="18"/>
              </w:rPr>
              <w:t>Chetumal</w:t>
            </w:r>
          </w:p>
        </w:tc>
        <w:tc>
          <w:tcPr>
            <w:tcW w:w="1745" w:type="dxa"/>
            <w:vAlign w:val="center"/>
          </w:tcPr>
          <w:p w14:paraId="53A3D09E" w14:textId="35AF136B" w:rsidR="00E77502" w:rsidRPr="00B81ED0" w:rsidRDefault="00E77502" w:rsidP="00B81ED0">
            <w:pPr>
              <w:spacing w:line="240" w:lineRule="auto"/>
              <w:jc w:val="center"/>
              <w:rPr>
                <w:rFonts w:ascii="ITC Avant Garde" w:eastAsia="Times New Roman" w:hAnsi="ITC Avant Garde"/>
                <w:sz w:val="20"/>
                <w:szCs w:val="20"/>
                <w:lang w:eastAsia="es-MX"/>
              </w:rPr>
            </w:pPr>
            <w:r w:rsidRPr="00B81ED0">
              <w:rPr>
                <w:rFonts w:ascii="ITC Avant Garde" w:hAnsi="ITC Avant Garde"/>
                <w:sz w:val="18"/>
              </w:rPr>
              <w:t>Quintana Roo</w:t>
            </w:r>
          </w:p>
        </w:tc>
      </w:tr>
    </w:tbl>
    <w:p w14:paraId="20495D0E" w14:textId="77777777" w:rsidR="00002535" w:rsidRPr="00B81ED0" w:rsidRDefault="00002535" w:rsidP="00B81ED0">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61BDBD0B" w14:textId="1D065067" w:rsidR="00B81ED0" w:rsidRDefault="00651E72" w:rsidP="00B81ED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B81ED0">
        <w:rPr>
          <w:rFonts w:ascii="ITC Avant Garde" w:hAnsi="ITC Avant Garde" w:cs="Arial Unicode MS"/>
          <w:bCs/>
          <w:u w:color="000000"/>
          <w:bdr w:val="nil"/>
          <w:lang w:val="es-ES_tradnl" w:eastAsia="es-MX"/>
        </w:rPr>
        <w:t xml:space="preserve">Las </w:t>
      </w:r>
      <w:r w:rsidR="00002535" w:rsidRPr="00B81ED0">
        <w:rPr>
          <w:rFonts w:ascii="ITC Avant Garde" w:hAnsi="ITC Avant Garde" w:cs="Arial Unicode MS"/>
          <w:bCs/>
          <w:u w:color="000000"/>
          <w:bdr w:val="nil"/>
          <w:lang w:val="es-ES_tradnl" w:eastAsia="es-MX"/>
        </w:rPr>
        <w:t>Acta</w:t>
      </w:r>
      <w:r w:rsidRPr="00B81ED0">
        <w:rPr>
          <w:rFonts w:ascii="ITC Avant Garde" w:hAnsi="ITC Avant Garde" w:cs="Arial Unicode MS"/>
          <w:bCs/>
          <w:u w:color="000000"/>
          <w:bdr w:val="nil"/>
          <w:lang w:val="es-ES_tradnl" w:eastAsia="es-MX"/>
        </w:rPr>
        <w:t>s de Fallo establecieron</w:t>
      </w:r>
      <w:r w:rsidR="00002535" w:rsidRPr="00B81ED0">
        <w:rPr>
          <w:rFonts w:ascii="ITC Avant Garde" w:hAnsi="ITC Avant Garde" w:cs="Arial Unicode MS"/>
          <w:bCs/>
          <w:u w:color="000000"/>
          <w:bdr w:val="nil"/>
          <w:lang w:val="es-ES_tradnl" w:eastAsia="es-MX"/>
        </w:rPr>
        <w:t xml:space="preserve"> en el Considerando </w:t>
      </w:r>
      <w:r w:rsidR="00B3323A" w:rsidRPr="00B81ED0">
        <w:rPr>
          <w:rFonts w:ascii="ITC Avant Garde" w:hAnsi="ITC Avant Garde" w:cs="Arial Unicode MS"/>
          <w:bCs/>
          <w:u w:color="000000"/>
          <w:bdr w:val="nil"/>
          <w:lang w:val="es-ES_tradnl" w:eastAsia="es-MX"/>
        </w:rPr>
        <w:t>Tercero</w:t>
      </w:r>
      <w:r w:rsidR="00002535" w:rsidRPr="00B81ED0">
        <w:rPr>
          <w:rFonts w:ascii="ITC Avant Garde" w:hAnsi="ITC Avant Garde" w:cs="Arial Unicode MS"/>
          <w:bCs/>
          <w:u w:color="000000"/>
          <w:bdr w:val="nil"/>
          <w:lang w:val="es-ES_tradnl" w:eastAsia="es-MX"/>
        </w:rPr>
        <w:t xml:space="preserve"> que </w:t>
      </w:r>
      <w:r w:rsidR="00002535" w:rsidRPr="00B81ED0">
        <w:rPr>
          <w:rFonts w:ascii="ITC Avant Garde" w:eastAsiaTheme="minorHAnsi" w:hAnsi="ITC Avant Garde" w:cs="Arial"/>
        </w:rPr>
        <w:t>para la entrega d</w:t>
      </w:r>
      <w:r w:rsidR="00002535" w:rsidRPr="00B81ED0">
        <w:rPr>
          <w:rFonts w:ascii="ITC Avant Garde" w:eastAsia="Arial Unicode MS" w:hAnsi="ITC Avant Garde" w:cs="Arial"/>
          <w:bCs/>
          <w:u w:color="000000"/>
          <w:bdr w:val="nil"/>
          <w:lang w:val="es-ES_tradnl"/>
        </w:rPr>
        <w:t>el(os) título(s) de concesión, en términos de lo previsto en el numeral 5.4.4, en relaci</w:t>
      </w:r>
      <w:r w:rsidR="00E83770" w:rsidRPr="00B81ED0">
        <w:rPr>
          <w:rFonts w:ascii="ITC Avant Garde" w:eastAsia="Arial Unicode MS" w:hAnsi="ITC Avant Garde" w:cs="Arial"/>
          <w:bCs/>
          <w:u w:color="000000"/>
          <w:bdr w:val="nil"/>
          <w:lang w:val="es-ES_tradnl"/>
        </w:rPr>
        <w:t xml:space="preserve">ón </w:t>
      </w:r>
      <w:r w:rsidR="00002535" w:rsidRPr="00B81ED0">
        <w:rPr>
          <w:rFonts w:ascii="ITC Avant Garde" w:eastAsia="Arial Unicode MS" w:hAnsi="ITC Avant Garde" w:cs="Arial"/>
          <w:bCs/>
          <w:u w:color="000000"/>
          <w:bdr w:val="nil"/>
          <w:lang w:val="es-ES_tradnl"/>
        </w:rPr>
        <w:t>con el 5.4.1, ambos de las Bases,</w:t>
      </w:r>
      <w:r w:rsidR="00002535" w:rsidRPr="00B81ED0">
        <w:rPr>
          <w:rFonts w:ascii="ITC Avant Garde" w:eastAsia="Arial Unicode MS" w:hAnsi="ITC Avant Garde"/>
          <w:u w:color="000000"/>
          <w:bdr w:val="nil"/>
          <w:lang w:val="es-ES_tradnl"/>
        </w:rPr>
        <w:t xml:space="preserve"> </w:t>
      </w:r>
      <w:r w:rsidRPr="00B81ED0">
        <w:rPr>
          <w:rFonts w:ascii="ITC Avant Garde" w:eastAsia="Arial Unicode MS" w:hAnsi="ITC Avant Garde"/>
          <w:b/>
          <w:u w:color="000000"/>
          <w:bdr w:val="nil"/>
          <w:lang w:val="es-ES_tradnl"/>
        </w:rPr>
        <w:t>Mario Óscar Beteta Vallejo</w:t>
      </w:r>
      <w:r w:rsidR="00993170" w:rsidRPr="00B81ED0">
        <w:rPr>
          <w:rFonts w:ascii="ITC Avant Garde" w:eastAsia="Arial Unicode MS" w:hAnsi="ITC Avant Garde"/>
          <w:u w:color="000000"/>
          <w:bdr w:val="nil"/>
          <w:lang w:val="es-ES_tradnl"/>
        </w:rPr>
        <w:t xml:space="preserve"> </w:t>
      </w:r>
      <w:r w:rsidR="00002535" w:rsidRPr="00B81ED0">
        <w:rPr>
          <w:rFonts w:ascii="ITC Avant Garde" w:eastAsia="Arial Unicode MS" w:hAnsi="ITC Avant Garde" w:cs="Arial"/>
          <w:bCs/>
          <w:u w:color="000000"/>
          <w:bdr w:val="nil"/>
          <w:lang w:val="es-ES_tradnl"/>
        </w:rPr>
        <w:t>deber</w:t>
      </w:r>
      <w:r w:rsidR="00993170" w:rsidRPr="00B81ED0">
        <w:rPr>
          <w:rFonts w:ascii="ITC Avant Garde" w:eastAsia="Arial Unicode MS" w:hAnsi="ITC Avant Garde" w:cs="Arial"/>
          <w:bCs/>
          <w:u w:color="000000"/>
          <w:bdr w:val="nil"/>
          <w:lang w:val="es-ES_tradnl"/>
        </w:rPr>
        <w:t>ía</w:t>
      </w:r>
      <w:r w:rsidR="00E83770" w:rsidRPr="00B81ED0">
        <w:rPr>
          <w:rFonts w:ascii="ITC Avant Garde" w:eastAsia="Arial Unicode MS" w:hAnsi="ITC Avant Garde" w:cs="Arial"/>
          <w:bCs/>
          <w:u w:color="000000"/>
          <w:bdr w:val="nil"/>
          <w:lang w:val="es-ES_tradnl"/>
        </w:rPr>
        <w:t xml:space="preserve"> </w:t>
      </w:r>
      <w:r w:rsidR="00002535" w:rsidRPr="00B81ED0">
        <w:rPr>
          <w:rFonts w:ascii="ITC Avant Garde" w:eastAsia="Arial Unicode MS" w:hAnsi="ITC Avant Garde" w:cs="Arial"/>
          <w:bCs/>
          <w:u w:color="000000"/>
          <w:bdr w:val="nil"/>
          <w:lang w:val="es-ES_tradnl"/>
        </w:rPr>
        <w:t>satisfa</w:t>
      </w:r>
      <w:r w:rsidR="00B81ED0">
        <w:rPr>
          <w:rFonts w:ascii="ITC Avant Garde" w:eastAsia="Arial Unicode MS" w:hAnsi="ITC Avant Garde" w:cs="Arial"/>
          <w:bCs/>
          <w:u w:color="000000"/>
          <w:bdr w:val="nil"/>
          <w:lang w:val="es-ES_tradnl"/>
        </w:rPr>
        <w:t>cer las condiciones siguientes:</w:t>
      </w:r>
    </w:p>
    <w:p w14:paraId="16474B53" w14:textId="77777777" w:rsidR="00B81ED0" w:rsidRPr="00B81ED0" w:rsidRDefault="00B81ED0" w:rsidP="00B81ED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5A081A1C" w14:textId="77777777" w:rsidR="00B81ED0" w:rsidRPr="00B81ED0" w:rsidRDefault="00002535" w:rsidP="00B81ED0">
      <w:pPr>
        <w:tabs>
          <w:tab w:val="left" w:pos="142"/>
        </w:tabs>
        <w:spacing w:line="240" w:lineRule="auto"/>
        <w:ind w:left="567"/>
        <w:jc w:val="both"/>
        <w:rPr>
          <w:rFonts w:ascii="ITC Avant Garde" w:hAnsi="ITC Avant Garde" w:cs="Arial Unicode MS"/>
          <w:bCs/>
          <w:u w:color="000000"/>
          <w:bdr w:val="nil"/>
          <w:lang w:val="es-ES_tradnl" w:eastAsia="es-MX"/>
        </w:rPr>
      </w:pPr>
      <w:r w:rsidRPr="00B81ED0">
        <w:rPr>
          <w:rFonts w:ascii="ITC Avant Garde" w:eastAsia="Arial Unicode MS" w:hAnsi="ITC Avant Garde" w:cs="Arial"/>
          <w:b/>
          <w:bCs/>
          <w:u w:color="000000"/>
          <w:bdr w:val="nil"/>
          <w:lang w:val="es-ES_tradnl"/>
        </w:rPr>
        <w:lastRenderedPageBreak/>
        <w:t>1.-</w:t>
      </w:r>
      <w:r w:rsidRPr="00B81ED0">
        <w:rPr>
          <w:rFonts w:ascii="ITC Avant Garde" w:eastAsia="Arial Unicode MS" w:hAnsi="ITC Avant Garde" w:cs="Arial"/>
          <w:bCs/>
          <w:u w:color="000000"/>
          <w:bdr w:val="nil"/>
          <w:lang w:val="es-ES_tradnl"/>
        </w:rPr>
        <w:t xml:space="preserve"> Pagar la Contraprestación </w:t>
      </w:r>
      <w:r w:rsidRPr="00B81ED0">
        <w:rPr>
          <w:rFonts w:ascii="ITC Avant Garde" w:hAnsi="ITC Avant Garde" w:cs="Arial Unicode MS"/>
          <w:bCs/>
          <w:u w:color="000000"/>
          <w:bdr w:val="nil"/>
          <w:lang w:val="es-ES_tradnl" w:eastAsia="es-MX"/>
        </w:rPr>
        <w:t xml:space="preserve">de acuerdo con lo establecido en los artículos 78, párrafo primero y 101 de la Ley, </w:t>
      </w:r>
      <w:r w:rsidRPr="00B81ED0">
        <w:rPr>
          <w:rFonts w:ascii="ITC Avant Garde" w:hAnsi="ITC Avant Garde"/>
        </w:rPr>
        <w:t xml:space="preserve">como límite máximo dentro de los 30 (treinta) días hábiles siguientes a la notificación del Acta de Fallo, </w:t>
      </w:r>
      <w:r w:rsidRPr="00B81ED0">
        <w:rPr>
          <w:rFonts w:ascii="ITC Avant Garde" w:hAnsi="ITC Avant Garde" w:cs="Arial Unicode MS"/>
          <w:bCs/>
          <w:u w:color="000000"/>
          <w:bdr w:val="nil"/>
          <w:lang w:val="es-ES_tradnl" w:eastAsia="es-MX"/>
        </w:rPr>
        <w:t>por el monto que corresponde al Componente Económico de su Oferta, en términos del numeral 5.4.3 de las Bases, y</w:t>
      </w:r>
    </w:p>
    <w:p w14:paraId="09EB46E3" w14:textId="77777777" w:rsidR="00B81ED0" w:rsidRPr="00B81ED0" w:rsidRDefault="00002535" w:rsidP="00B81ED0">
      <w:pPr>
        <w:tabs>
          <w:tab w:val="left" w:pos="142"/>
        </w:tabs>
        <w:spacing w:line="240" w:lineRule="auto"/>
        <w:ind w:left="567"/>
        <w:jc w:val="both"/>
        <w:rPr>
          <w:rFonts w:ascii="ITC Avant Garde" w:eastAsia="Arial Unicode MS" w:hAnsi="ITC Avant Garde" w:cs="Arial"/>
          <w:bCs/>
          <w:u w:color="000000"/>
          <w:bdr w:val="nil"/>
          <w:lang w:val="es-ES_tradnl"/>
        </w:rPr>
      </w:pPr>
      <w:r w:rsidRPr="00B81ED0">
        <w:rPr>
          <w:rFonts w:ascii="ITC Avant Garde" w:eastAsia="Arial Unicode MS" w:hAnsi="ITC Avant Garde" w:cs="Arial"/>
          <w:b/>
          <w:bCs/>
          <w:u w:color="000000"/>
          <w:bdr w:val="nil"/>
          <w:lang w:val="es-ES_tradnl"/>
        </w:rPr>
        <w:t>2.-</w:t>
      </w:r>
      <w:r w:rsidRPr="00B81ED0">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1F626FBE" w14:textId="77777777" w:rsidR="00B81ED0" w:rsidRDefault="00002535" w:rsidP="00B81ED0">
      <w:pPr>
        <w:pBdr>
          <w:top w:val="nil"/>
          <w:left w:val="nil"/>
          <w:bottom w:val="nil"/>
          <w:right w:val="nil"/>
          <w:between w:val="nil"/>
          <w:bar w:val="nil"/>
        </w:pBdr>
        <w:spacing w:line="240" w:lineRule="auto"/>
        <w:contextualSpacing/>
        <w:jc w:val="both"/>
        <w:rPr>
          <w:rFonts w:ascii="ITC Avant Garde" w:hAnsi="ITC Avant Garde" w:cs="Arial"/>
        </w:rPr>
      </w:pPr>
      <w:r w:rsidRPr="00B81ED0">
        <w:rPr>
          <w:rFonts w:ascii="ITC Avant Garde" w:hAnsi="ITC Avant Garde" w:cs="Arial"/>
        </w:rPr>
        <w:t>La notificación de</w:t>
      </w:r>
      <w:r w:rsidR="00651E72" w:rsidRPr="00B81ED0">
        <w:rPr>
          <w:rFonts w:ascii="ITC Avant Garde" w:hAnsi="ITC Avant Garde" w:cs="Arial"/>
        </w:rPr>
        <w:t xml:space="preserve"> </w:t>
      </w:r>
      <w:r w:rsidRPr="00B81ED0">
        <w:rPr>
          <w:rFonts w:ascii="ITC Avant Garde" w:hAnsi="ITC Avant Garde" w:cs="Arial"/>
        </w:rPr>
        <w:t>l</w:t>
      </w:r>
      <w:r w:rsidR="00651E72" w:rsidRPr="00B81ED0">
        <w:rPr>
          <w:rFonts w:ascii="ITC Avant Garde" w:hAnsi="ITC Avant Garde" w:cs="Arial"/>
        </w:rPr>
        <w:t>as</w:t>
      </w:r>
      <w:r w:rsidRPr="00B81ED0">
        <w:rPr>
          <w:rFonts w:ascii="ITC Avant Garde" w:hAnsi="ITC Avant Garde" w:cs="Arial"/>
        </w:rPr>
        <w:t xml:space="preserve"> Acta</w:t>
      </w:r>
      <w:r w:rsidR="00651E72" w:rsidRPr="00B81ED0">
        <w:rPr>
          <w:rFonts w:ascii="ITC Avant Garde" w:hAnsi="ITC Avant Garde" w:cs="Arial"/>
        </w:rPr>
        <w:t>s</w:t>
      </w:r>
      <w:r w:rsidRPr="00B81ED0">
        <w:rPr>
          <w:rFonts w:ascii="ITC Avant Garde" w:hAnsi="ITC Avant Garde" w:cs="Arial"/>
        </w:rPr>
        <w:t xml:space="preserve"> de Fallo se efectuó en términos de lo dispuesto en el Antecedente </w:t>
      </w:r>
      <w:r w:rsidR="00CD37B2" w:rsidRPr="00B81ED0">
        <w:rPr>
          <w:rFonts w:ascii="ITC Avant Garde" w:hAnsi="ITC Avant Garde" w:cs="Arial"/>
        </w:rPr>
        <w:t>XXVIII</w:t>
      </w:r>
      <w:r w:rsidRPr="00B81ED0">
        <w:rPr>
          <w:rFonts w:ascii="ITC Avant Garde" w:hAnsi="ITC Avant Garde" w:cs="Arial"/>
        </w:rPr>
        <w:t>.</w:t>
      </w:r>
    </w:p>
    <w:p w14:paraId="74D95DCB" w14:textId="77777777" w:rsidR="00B81ED0" w:rsidRPr="00B81ED0" w:rsidRDefault="00B81ED0" w:rsidP="00B81ED0">
      <w:pPr>
        <w:pBdr>
          <w:top w:val="nil"/>
          <w:left w:val="nil"/>
          <w:bottom w:val="nil"/>
          <w:right w:val="nil"/>
          <w:between w:val="nil"/>
          <w:bar w:val="nil"/>
        </w:pBdr>
        <w:spacing w:line="240" w:lineRule="auto"/>
        <w:contextualSpacing/>
        <w:jc w:val="both"/>
        <w:rPr>
          <w:rFonts w:ascii="ITC Avant Garde" w:hAnsi="ITC Avant Garde" w:cs="Arial"/>
        </w:rPr>
      </w:pPr>
    </w:p>
    <w:p w14:paraId="3BE6A8FA" w14:textId="7BC5F873" w:rsidR="00B81ED0" w:rsidRPr="00B81ED0" w:rsidRDefault="00B81ED0" w:rsidP="00B81ED0">
      <w:pPr>
        <w:pBdr>
          <w:top w:val="nil"/>
          <w:left w:val="nil"/>
          <w:bottom w:val="nil"/>
          <w:right w:val="nil"/>
          <w:between w:val="nil"/>
          <w:bar w:val="nil"/>
        </w:pBdr>
        <w:spacing w:line="240" w:lineRule="auto"/>
        <w:contextualSpacing/>
        <w:jc w:val="both"/>
        <w:rPr>
          <w:rFonts w:ascii="ITC Avant Garde" w:hAnsi="ITC Avant Garde" w:cs="Arial"/>
          <w:bCs/>
        </w:rPr>
      </w:pPr>
      <w:r>
        <w:rPr>
          <w:rFonts w:ascii="ITC Avant Garde" w:hAnsi="ITC Avant Garde" w:cs="Arial"/>
          <w:b/>
          <w:bCs/>
        </w:rPr>
        <w:t>QUINTO.</w:t>
      </w:r>
      <w:r>
        <w:rPr>
          <w:rFonts w:ascii="ITC Avant Garde" w:hAnsi="ITC Avant Garde" w:cs="Arial"/>
          <w:b/>
          <w:bCs/>
        </w:rPr>
        <w:tab/>
      </w:r>
      <w:r w:rsidR="004045F8" w:rsidRPr="00B81ED0">
        <w:rPr>
          <w:rFonts w:ascii="ITC Avant Garde" w:hAnsi="ITC Avant Garde" w:cs="Arial"/>
          <w:b/>
          <w:bCs/>
        </w:rPr>
        <w:t>Descalificación</w:t>
      </w:r>
      <w:r w:rsidR="00002535" w:rsidRPr="00B81ED0">
        <w:rPr>
          <w:rFonts w:ascii="ITC Avant Garde" w:hAnsi="ITC Avant Garde" w:cs="Arial"/>
          <w:b/>
          <w:bCs/>
        </w:rPr>
        <w:t xml:space="preserve"> y ejecución de la Garantía de Seriedad. </w:t>
      </w:r>
      <w:r w:rsidR="00002535" w:rsidRPr="00B81ED0">
        <w:rPr>
          <w:rFonts w:ascii="ITC Avant Garde" w:hAnsi="ITC Avant Garde" w:cs="Arial"/>
          <w:bCs/>
        </w:rPr>
        <w:t xml:space="preserve">El numeral 2.1 de las Bases establece que los Interesados y Participantes, desde el momento en que adquieran tal carácter, aceptan sujetarse a todos los términos y condiciones establecidos en las Bases, sus Apéndices y Anexos. </w:t>
      </w:r>
    </w:p>
    <w:p w14:paraId="1C69B459" w14:textId="77777777" w:rsidR="00B81ED0" w:rsidRDefault="00002535" w:rsidP="00B81ED0">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B81ED0">
        <w:rPr>
          <w:rFonts w:ascii="ITC Avant Garde" w:eastAsia="Arial Unicode MS" w:hAnsi="ITC Avant Garde" w:cs="Arial"/>
          <w:bCs/>
          <w:u w:color="000000"/>
          <w:bdr w:val="nil"/>
          <w:lang w:val="es-ES_tradnl"/>
        </w:rPr>
        <w:t xml:space="preserve">El numeral 5.4.1, séptimo párrafo de las Bases dispone que en caso de incumplimiento de las condiciones incorporadas en el Acta de Fallo, para la entrega de los títulos de concesión, dentro de los plazos previstos en el Calendario de Actividades de las Bases, quedará sin efectos la misma para el Participante Ganador, respecto del Lote señalado, por lo que el Instituto procederá a declarar su descalificación, de acuerdo con el numeral 10.3 de las Bases y realizará las gestiones necesarias para la ejecución de la Garantía de Seriedad respectiva. De igual forma, dicha determinación fue indicada en el Considerando </w:t>
      </w:r>
      <w:r w:rsidR="0004496D" w:rsidRPr="00B81ED0">
        <w:rPr>
          <w:rFonts w:ascii="ITC Avant Garde" w:eastAsia="Arial Unicode MS" w:hAnsi="ITC Avant Garde" w:cs="Arial"/>
          <w:bCs/>
          <w:u w:color="000000"/>
          <w:bdr w:val="nil"/>
          <w:lang w:val="es-ES_tradnl"/>
        </w:rPr>
        <w:t xml:space="preserve">Tercero </w:t>
      </w:r>
      <w:r w:rsidRPr="00B81ED0">
        <w:rPr>
          <w:rFonts w:ascii="ITC Avant Garde" w:eastAsia="Arial Unicode MS" w:hAnsi="ITC Avant Garde" w:cs="Arial"/>
          <w:bCs/>
          <w:u w:color="000000"/>
          <w:bdr w:val="nil"/>
          <w:lang w:val="es-ES_tradnl"/>
        </w:rPr>
        <w:t>de</w:t>
      </w:r>
      <w:r w:rsidR="00651E72" w:rsidRPr="00B81ED0">
        <w:rPr>
          <w:rFonts w:ascii="ITC Avant Garde" w:eastAsia="Arial Unicode MS" w:hAnsi="ITC Avant Garde" w:cs="Arial"/>
          <w:bCs/>
          <w:u w:color="000000"/>
          <w:bdr w:val="nil"/>
          <w:lang w:val="es-ES_tradnl"/>
        </w:rPr>
        <w:t xml:space="preserve"> </w:t>
      </w:r>
      <w:r w:rsidRPr="00B81ED0">
        <w:rPr>
          <w:rFonts w:ascii="ITC Avant Garde" w:eastAsia="Arial Unicode MS" w:hAnsi="ITC Avant Garde" w:cs="Arial"/>
          <w:bCs/>
          <w:u w:color="000000"/>
          <w:bdr w:val="nil"/>
          <w:lang w:val="es-ES_tradnl"/>
        </w:rPr>
        <w:t>l</w:t>
      </w:r>
      <w:r w:rsidR="00651E72" w:rsidRPr="00B81ED0">
        <w:rPr>
          <w:rFonts w:ascii="ITC Avant Garde" w:eastAsia="Arial Unicode MS" w:hAnsi="ITC Avant Garde" w:cs="Arial"/>
          <w:bCs/>
          <w:u w:color="000000"/>
          <w:bdr w:val="nil"/>
          <w:lang w:val="es-ES_tradnl"/>
        </w:rPr>
        <w:t>as</w:t>
      </w:r>
      <w:r w:rsidRPr="00B81ED0">
        <w:rPr>
          <w:rFonts w:ascii="ITC Avant Garde" w:eastAsia="Arial Unicode MS" w:hAnsi="ITC Avant Garde" w:cs="Arial"/>
          <w:bCs/>
          <w:u w:color="000000"/>
          <w:bdr w:val="nil"/>
          <w:lang w:val="es-ES_tradnl"/>
        </w:rPr>
        <w:t xml:space="preserve"> Acta</w:t>
      </w:r>
      <w:r w:rsidR="00651E72" w:rsidRPr="00B81ED0">
        <w:rPr>
          <w:rFonts w:ascii="ITC Avant Garde" w:eastAsia="Arial Unicode MS" w:hAnsi="ITC Avant Garde" w:cs="Arial"/>
          <w:bCs/>
          <w:u w:color="000000"/>
          <w:bdr w:val="nil"/>
          <w:lang w:val="es-ES_tradnl"/>
        </w:rPr>
        <w:t>s</w:t>
      </w:r>
      <w:r w:rsidRPr="00B81ED0">
        <w:rPr>
          <w:rFonts w:ascii="ITC Avant Garde" w:eastAsia="Arial Unicode MS" w:hAnsi="ITC Avant Garde" w:cs="Arial"/>
          <w:bCs/>
          <w:u w:color="000000"/>
          <w:bdr w:val="nil"/>
          <w:lang w:val="es-ES_tradnl"/>
        </w:rPr>
        <w:t xml:space="preserve"> de Fallo, conforme a lo prescrito en el Considerando inmediato anterior.</w:t>
      </w:r>
    </w:p>
    <w:p w14:paraId="123401C4" w14:textId="77777777" w:rsidR="00B81ED0" w:rsidRPr="00B81ED0" w:rsidRDefault="00B81ED0" w:rsidP="00B81ED0">
      <w:pPr>
        <w:pBdr>
          <w:top w:val="nil"/>
          <w:left w:val="nil"/>
          <w:bottom w:val="nil"/>
          <w:right w:val="nil"/>
          <w:between w:val="nil"/>
          <w:bar w:val="nil"/>
        </w:pBdr>
        <w:spacing w:line="240" w:lineRule="auto"/>
        <w:contextualSpacing/>
        <w:jc w:val="both"/>
        <w:rPr>
          <w:rFonts w:ascii="ITC Avant Garde" w:eastAsia="Arial Unicode MS" w:hAnsi="ITC Avant Garde" w:cs="Arial"/>
          <w:b/>
          <w:bCs/>
          <w:u w:color="000000"/>
          <w:bdr w:val="nil"/>
          <w:lang w:val="es-ES_tradnl"/>
        </w:rPr>
      </w:pPr>
    </w:p>
    <w:p w14:paraId="45EF2E17" w14:textId="1AED4B2D" w:rsidR="00002535" w:rsidRPr="00B81ED0" w:rsidRDefault="00002535" w:rsidP="00B81ED0">
      <w:pPr>
        <w:spacing w:line="240" w:lineRule="auto"/>
        <w:contextualSpacing/>
        <w:jc w:val="both"/>
        <w:rPr>
          <w:rFonts w:ascii="ITC Avant Garde" w:eastAsia="Times New Roman" w:hAnsi="ITC Avant Garde"/>
          <w:lang w:eastAsia="es-ES"/>
        </w:rPr>
      </w:pPr>
      <w:r w:rsidRPr="00B81ED0">
        <w:rPr>
          <w:rFonts w:ascii="ITC Avant Garde" w:eastAsia="Times New Roman" w:hAnsi="ITC Avant Garde"/>
          <w:lang w:eastAsia="es-ES"/>
        </w:rPr>
        <w:t>El Instituto descalificará al Participante Ganador de un Lote en específico, cuando se actualice alguna de las causales de descalificación previstas en las Bases, de acuerdo co</w:t>
      </w:r>
      <w:r w:rsidR="00E44382" w:rsidRPr="00B81ED0">
        <w:rPr>
          <w:rFonts w:ascii="ITC Avant Garde" w:eastAsia="Times New Roman" w:hAnsi="ITC Avant Garde"/>
          <w:lang w:eastAsia="es-ES"/>
        </w:rPr>
        <w:t xml:space="preserve">n el numeral 10.4, en </w:t>
      </w:r>
      <w:r w:rsidR="00727E45" w:rsidRPr="00B81ED0">
        <w:rPr>
          <w:rFonts w:ascii="ITC Avant Garde" w:eastAsia="Times New Roman" w:hAnsi="ITC Avant Garde"/>
          <w:lang w:eastAsia="es-ES"/>
        </w:rPr>
        <w:t>relación con el 10.3, fracción</w:t>
      </w:r>
      <w:r w:rsidR="00E44382" w:rsidRPr="00B81ED0">
        <w:rPr>
          <w:rFonts w:ascii="ITC Avant Garde" w:eastAsia="Times New Roman" w:hAnsi="ITC Avant Garde"/>
          <w:lang w:eastAsia="es-ES"/>
        </w:rPr>
        <w:t xml:space="preserve"> I</w:t>
      </w:r>
      <w:r w:rsidRPr="00B81ED0">
        <w:rPr>
          <w:rFonts w:ascii="ITC Avant Garde" w:eastAsia="Times New Roman" w:hAnsi="ITC Avant Garde"/>
          <w:lang w:eastAsia="es-ES"/>
        </w:rPr>
        <w:t xml:space="preserve"> de las Bases</w:t>
      </w:r>
      <w:r w:rsidR="00E4430F" w:rsidRPr="00B81ED0">
        <w:rPr>
          <w:rFonts w:ascii="ITC Avant Garde" w:eastAsia="Times New Roman" w:hAnsi="ITC Avant Garde"/>
          <w:lang w:eastAsia="es-ES"/>
        </w:rPr>
        <w:t>, que</w:t>
      </w:r>
      <w:r w:rsidRPr="00B81ED0">
        <w:rPr>
          <w:rFonts w:ascii="ITC Avant Garde" w:eastAsia="Times New Roman" w:hAnsi="ITC Avant Garde"/>
          <w:lang w:eastAsia="es-ES"/>
        </w:rPr>
        <w:t xml:space="preserve"> disponen lo siguiente:</w:t>
      </w:r>
    </w:p>
    <w:p w14:paraId="77B69A66" w14:textId="77777777" w:rsidR="00B81ED0" w:rsidRPr="00B81ED0" w:rsidRDefault="00002535" w:rsidP="00B81ED0">
      <w:pPr>
        <w:spacing w:line="240" w:lineRule="auto"/>
        <w:ind w:left="1134" w:right="1183"/>
        <w:contextualSpacing/>
        <w:jc w:val="both"/>
        <w:rPr>
          <w:rFonts w:ascii="ITC Avant Garde" w:hAnsi="ITC Avant Garde"/>
          <w:sz w:val="20"/>
          <w:szCs w:val="20"/>
        </w:rPr>
      </w:pPr>
      <w:r w:rsidRPr="00B81ED0">
        <w:rPr>
          <w:rFonts w:ascii="ITC Avant Garde" w:hAnsi="ITC Avant Garde"/>
          <w:sz w:val="20"/>
          <w:szCs w:val="20"/>
        </w:rPr>
        <w:t>“</w:t>
      </w:r>
      <w:r w:rsidRPr="00B81ED0">
        <w:rPr>
          <w:rFonts w:ascii="ITC Avant Garde" w:hAnsi="ITC Avant Garde"/>
          <w:b/>
          <w:sz w:val="20"/>
          <w:szCs w:val="20"/>
        </w:rPr>
        <w:t>10.3</w:t>
      </w:r>
      <w:r w:rsidRPr="00B81ED0">
        <w:rPr>
          <w:rFonts w:ascii="ITC Avant Garde" w:hAnsi="ITC Avant Garde"/>
          <w:sz w:val="20"/>
          <w:szCs w:val="20"/>
        </w:rPr>
        <w:t xml:space="preserve"> Para el caso de un </w:t>
      </w:r>
      <w:r w:rsidR="00F26D6D" w:rsidRPr="00B81ED0">
        <w:rPr>
          <w:rFonts w:ascii="ITC Avant Garde" w:hAnsi="ITC Avant Garde"/>
          <w:sz w:val="20"/>
          <w:szCs w:val="20"/>
        </w:rPr>
        <w:t>L</w:t>
      </w:r>
      <w:r w:rsidRPr="00B81ED0">
        <w:rPr>
          <w:rFonts w:ascii="ITC Avant Garde" w:hAnsi="ITC Avant Garde"/>
          <w:sz w:val="20"/>
          <w:szCs w:val="20"/>
        </w:rPr>
        <w:t xml:space="preserve">ote en específico, </w:t>
      </w:r>
      <w:r w:rsidRPr="00B81ED0">
        <w:rPr>
          <w:rFonts w:ascii="ITC Avant Garde" w:hAnsi="ITC Avant Garde"/>
          <w:b/>
          <w:sz w:val="20"/>
          <w:szCs w:val="20"/>
        </w:rPr>
        <w:t>serán causales de descalificación</w:t>
      </w:r>
      <w:r w:rsidRPr="00B81ED0">
        <w:rPr>
          <w:rFonts w:ascii="ITC Avant Garde" w:hAnsi="ITC Avant Garde"/>
          <w:sz w:val="20"/>
          <w:szCs w:val="20"/>
        </w:rPr>
        <w:t xml:space="preserve"> de los Participantes y, en su caso, de los </w:t>
      </w:r>
      <w:r w:rsidRPr="00B81ED0">
        <w:rPr>
          <w:rFonts w:ascii="ITC Avant Garde" w:hAnsi="ITC Avant Garde"/>
          <w:b/>
          <w:sz w:val="20"/>
          <w:szCs w:val="20"/>
        </w:rPr>
        <w:t>Participantes Ganadores</w:t>
      </w:r>
      <w:r w:rsidRPr="00B81ED0">
        <w:rPr>
          <w:rFonts w:ascii="ITC Avant Garde" w:hAnsi="ITC Avant Garde"/>
          <w:sz w:val="20"/>
          <w:szCs w:val="20"/>
        </w:rPr>
        <w:t xml:space="preserve">, las siguientes: </w:t>
      </w:r>
    </w:p>
    <w:p w14:paraId="195E1B9D" w14:textId="1E387A40" w:rsidR="00697EBE" w:rsidRPr="00B81ED0" w:rsidRDefault="00002535" w:rsidP="00B81ED0">
      <w:pPr>
        <w:spacing w:line="240" w:lineRule="auto"/>
        <w:ind w:left="1134" w:right="1183"/>
        <w:contextualSpacing/>
        <w:jc w:val="both"/>
        <w:rPr>
          <w:rFonts w:ascii="ITC Avant Garde" w:hAnsi="ITC Avant Garde"/>
          <w:sz w:val="20"/>
          <w:szCs w:val="20"/>
        </w:rPr>
      </w:pPr>
      <w:r w:rsidRPr="00B81ED0">
        <w:rPr>
          <w:rFonts w:ascii="ITC Avant Garde" w:hAnsi="ITC Avant Garde"/>
          <w:b/>
          <w:sz w:val="20"/>
          <w:szCs w:val="20"/>
        </w:rPr>
        <w:t>l.</w:t>
      </w:r>
      <w:r w:rsidRPr="00B81ED0">
        <w:rPr>
          <w:rFonts w:ascii="ITC Avant Garde" w:hAnsi="ITC Avant Garde"/>
          <w:sz w:val="20"/>
          <w:szCs w:val="20"/>
        </w:rPr>
        <w:t xml:space="preserve"> </w:t>
      </w:r>
      <w:r w:rsidRPr="00B81ED0">
        <w:rPr>
          <w:rFonts w:ascii="ITC Avant Garde" w:hAnsi="ITC Avant Garde"/>
          <w:b/>
          <w:sz w:val="20"/>
          <w:szCs w:val="20"/>
        </w:rPr>
        <w:t>El incumplimiento por parte del Participante Ganador del pago de la Contraprestación de un determinado Lote a que se refiere el numeral 5.4.3 de las Bases</w:t>
      </w:r>
      <w:r w:rsidRPr="00B81ED0">
        <w:rPr>
          <w:rFonts w:ascii="ITC Avant Garde" w:hAnsi="ITC Avant Garde"/>
          <w:sz w:val="20"/>
          <w:szCs w:val="20"/>
        </w:rPr>
        <w:t>, y</w:t>
      </w:r>
    </w:p>
    <w:p w14:paraId="5C2A1A60" w14:textId="77777777" w:rsidR="00B81ED0" w:rsidRPr="00B81ED0" w:rsidRDefault="00697EBE" w:rsidP="00B81ED0">
      <w:pPr>
        <w:spacing w:line="240" w:lineRule="auto"/>
        <w:ind w:left="1134" w:right="1183"/>
        <w:contextualSpacing/>
        <w:jc w:val="both"/>
        <w:rPr>
          <w:rFonts w:ascii="ITC Avant Garde" w:hAnsi="ITC Avant Garde"/>
          <w:sz w:val="20"/>
          <w:szCs w:val="20"/>
        </w:rPr>
      </w:pPr>
      <w:r w:rsidRPr="00B81ED0">
        <w:rPr>
          <w:rFonts w:ascii="ITC Avant Garde" w:hAnsi="ITC Avant Garde"/>
          <w:sz w:val="20"/>
          <w:szCs w:val="20"/>
        </w:rPr>
        <w:t>(…)</w:t>
      </w:r>
      <w:r w:rsidR="00727E45" w:rsidRPr="00B81ED0">
        <w:rPr>
          <w:rFonts w:ascii="ITC Avant Garde" w:hAnsi="ITC Avant Garde"/>
          <w:sz w:val="20"/>
          <w:szCs w:val="20"/>
        </w:rPr>
        <w:t>”</w:t>
      </w:r>
    </w:p>
    <w:p w14:paraId="5A856E00" w14:textId="77777777" w:rsidR="00B81ED0" w:rsidRPr="00B81ED0" w:rsidRDefault="00002535" w:rsidP="00B81ED0">
      <w:pPr>
        <w:spacing w:line="240" w:lineRule="auto"/>
        <w:ind w:left="1134" w:right="1183"/>
        <w:jc w:val="both"/>
        <w:rPr>
          <w:rFonts w:ascii="ITC Avant Garde" w:hAnsi="ITC Avant Garde"/>
          <w:sz w:val="20"/>
          <w:szCs w:val="20"/>
        </w:rPr>
      </w:pPr>
      <w:r w:rsidRPr="00B81ED0">
        <w:rPr>
          <w:rFonts w:ascii="ITC Avant Garde" w:hAnsi="ITC Avant Garde"/>
          <w:sz w:val="20"/>
          <w:szCs w:val="20"/>
        </w:rPr>
        <w:t>“</w:t>
      </w:r>
      <w:r w:rsidRPr="00B81ED0">
        <w:rPr>
          <w:rFonts w:ascii="ITC Avant Garde" w:hAnsi="ITC Avant Garde"/>
          <w:b/>
          <w:sz w:val="20"/>
          <w:szCs w:val="20"/>
        </w:rPr>
        <w:t>10.4</w:t>
      </w:r>
      <w:r w:rsidRPr="00B81ED0">
        <w:rPr>
          <w:rFonts w:ascii="ITC Avant Garde" w:hAnsi="ITC Avant Garde"/>
          <w:sz w:val="20"/>
          <w:szCs w:val="20"/>
        </w:rPr>
        <w:t xml:space="preserve"> </w:t>
      </w:r>
      <w:r w:rsidRPr="00B81ED0">
        <w:rPr>
          <w:rFonts w:ascii="ITC Avant Garde" w:hAnsi="ITC Avant Garde"/>
          <w:b/>
          <w:sz w:val="20"/>
          <w:szCs w:val="20"/>
        </w:rPr>
        <w:t>En los supuestos antes mencionados, el Instituto descalificará al Participante respectivo en el Concurso de determinado Lote,</w:t>
      </w:r>
      <w:r w:rsidRPr="00B81ED0">
        <w:rPr>
          <w:rFonts w:ascii="ITC Avant Garde" w:hAnsi="ITC Avant Garde"/>
          <w:sz w:val="20"/>
          <w:szCs w:val="20"/>
        </w:rPr>
        <w:t xml:space="preserve"> según sea el caso y hará efectiva la Garantía de Seriedad correspondiente”.</w:t>
      </w:r>
    </w:p>
    <w:p w14:paraId="7FBF08FD" w14:textId="77777777" w:rsidR="00B81ED0" w:rsidRPr="00B81ED0" w:rsidRDefault="00002535" w:rsidP="00B81ED0">
      <w:pPr>
        <w:spacing w:line="240" w:lineRule="auto"/>
        <w:ind w:right="49"/>
        <w:jc w:val="both"/>
        <w:rPr>
          <w:rFonts w:ascii="ITC Avant Garde" w:hAnsi="ITC Avant Garde" w:cs="Arial"/>
        </w:rPr>
      </w:pPr>
      <w:r w:rsidRPr="00B81ED0">
        <w:rPr>
          <w:rFonts w:ascii="ITC Avant Garde" w:hAnsi="ITC Avant Garde" w:cs="Arial"/>
        </w:rPr>
        <w:t>Además, como consecuencia de lo anterior, resultará procedente la ejecución de la</w:t>
      </w:r>
      <w:r w:rsidR="00651E72" w:rsidRPr="00B81ED0">
        <w:rPr>
          <w:rFonts w:ascii="ITC Avant Garde" w:hAnsi="ITC Avant Garde" w:cs="Arial"/>
        </w:rPr>
        <w:t>s</w:t>
      </w:r>
      <w:r w:rsidRPr="00B81ED0">
        <w:rPr>
          <w:rFonts w:ascii="ITC Avant Garde" w:hAnsi="ITC Avant Garde" w:cs="Arial"/>
        </w:rPr>
        <w:t xml:space="preserve"> Garantía</w:t>
      </w:r>
      <w:r w:rsidR="00651E72" w:rsidRPr="00B81ED0">
        <w:rPr>
          <w:rFonts w:ascii="ITC Avant Garde" w:hAnsi="ITC Avant Garde" w:cs="Arial"/>
        </w:rPr>
        <w:t>s</w:t>
      </w:r>
      <w:r w:rsidRPr="00B81ED0">
        <w:rPr>
          <w:rFonts w:ascii="ITC Avant Garde" w:hAnsi="ITC Avant Garde" w:cs="Arial"/>
        </w:rPr>
        <w:t xml:space="preserve"> de Seriedad </w:t>
      </w:r>
      <w:r w:rsidR="00651E72" w:rsidRPr="00B81ED0">
        <w:rPr>
          <w:rFonts w:ascii="ITC Avant Garde" w:hAnsi="ITC Avant Garde" w:cs="Arial"/>
        </w:rPr>
        <w:t xml:space="preserve">respectivas, </w:t>
      </w:r>
      <w:r w:rsidRPr="00B81ED0">
        <w:rPr>
          <w:rFonts w:ascii="ITC Avant Garde" w:hAnsi="ITC Avant Garde" w:cs="Arial"/>
        </w:rPr>
        <w:t xml:space="preserve">presentada por el Participante Ganador, al </w:t>
      </w:r>
      <w:r w:rsidRPr="00B81ED0">
        <w:rPr>
          <w:rFonts w:ascii="ITC Avant Garde" w:hAnsi="ITC Avant Garde" w:cs="Arial"/>
        </w:rPr>
        <w:lastRenderedPageBreak/>
        <w:t>ubicarse en el supuesto previsto en el numeral 9.1 de las Bases, que señala lo subsecuente:</w:t>
      </w:r>
    </w:p>
    <w:p w14:paraId="569F31F9" w14:textId="77777777" w:rsidR="00B81ED0" w:rsidRPr="00B81ED0" w:rsidRDefault="00002535" w:rsidP="00B81ED0">
      <w:pPr>
        <w:spacing w:line="240" w:lineRule="auto"/>
        <w:ind w:left="1134" w:right="1183"/>
        <w:jc w:val="both"/>
        <w:rPr>
          <w:rFonts w:ascii="ITC Avant Garde" w:hAnsi="ITC Avant Garde"/>
          <w:sz w:val="20"/>
          <w:szCs w:val="20"/>
        </w:rPr>
      </w:pPr>
      <w:r w:rsidRPr="00B81ED0">
        <w:rPr>
          <w:rFonts w:ascii="ITC Avant Garde" w:hAnsi="ITC Avant Garde"/>
          <w:sz w:val="20"/>
          <w:szCs w:val="20"/>
        </w:rPr>
        <w:t>“</w:t>
      </w:r>
      <w:r w:rsidRPr="00B81ED0">
        <w:rPr>
          <w:rFonts w:ascii="ITC Avant Garde" w:hAnsi="ITC Avant Garde"/>
          <w:b/>
          <w:sz w:val="20"/>
          <w:szCs w:val="20"/>
        </w:rPr>
        <w:t>9.1</w:t>
      </w:r>
      <w:r w:rsidRPr="00B81ED0">
        <w:rPr>
          <w:rFonts w:ascii="ITC Avant Garde" w:hAnsi="ITC Avant Garde"/>
          <w:sz w:val="20"/>
          <w:szCs w:val="20"/>
        </w:rPr>
        <w:t xml:space="preserve"> </w:t>
      </w:r>
      <w:r w:rsidRPr="00B81ED0">
        <w:rPr>
          <w:rFonts w:ascii="ITC Avant Garde" w:hAnsi="ITC Avant Garde"/>
          <w:b/>
          <w:sz w:val="20"/>
          <w:szCs w:val="20"/>
        </w:rPr>
        <w:t>En caso de que algún Participante/Participante Ganador incurra en alguna de las causales de descalificación establecidas en las Bases,</w:t>
      </w:r>
      <w:r w:rsidRPr="00B81ED0">
        <w:rPr>
          <w:rFonts w:ascii="ITC Avant Garde" w:hAnsi="ITC Avant Garde"/>
          <w:sz w:val="20"/>
          <w:szCs w:val="20"/>
        </w:rPr>
        <w:t xml:space="preserve"> </w:t>
      </w:r>
      <w:r w:rsidRPr="00B81ED0">
        <w:rPr>
          <w:rFonts w:ascii="ITC Avant Garde" w:hAnsi="ITC Avant Garde"/>
          <w:b/>
          <w:sz w:val="20"/>
          <w:szCs w:val="20"/>
        </w:rPr>
        <w:t>incluyendo el incumplimiento del pago de la Contraprestación,</w:t>
      </w:r>
      <w:r w:rsidRPr="00B81ED0">
        <w:rPr>
          <w:rFonts w:ascii="ITC Avant Garde" w:hAnsi="ITC Avant Garde"/>
          <w:sz w:val="20"/>
          <w:szCs w:val="20"/>
        </w:rPr>
        <w:t xml:space="preserve"> </w:t>
      </w:r>
      <w:r w:rsidRPr="00B81ED0">
        <w:rPr>
          <w:rFonts w:ascii="ITC Avant Garde" w:hAnsi="ITC Avant Garde"/>
          <w:b/>
          <w:sz w:val="20"/>
          <w:szCs w:val="20"/>
        </w:rPr>
        <w:t>el Instituto, en coordinación con la Tesorería de la Federación, realizará los actos necesarios para ejecutar la Garantía de Seriedad</w:t>
      </w:r>
      <w:r w:rsidRPr="00B81ED0">
        <w:rPr>
          <w:rFonts w:ascii="ITC Avant Garde" w:hAnsi="ITC Avant Garde"/>
          <w:sz w:val="20"/>
          <w:szCs w:val="20"/>
        </w:rPr>
        <w:t xml:space="preserve"> (correspondiente al(los) Lote(s) asociados a la causal de descalificación)”.</w:t>
      </w:r>
    </w:p>
    <w:p w14:paraId="07701385" w14:textId="77777777" w:rsidR="00B81ED0" w:rsidRPr="00B81ED0" w:rsidRDefault="00002535" w:rsidP="00B81ED0">
      <w:pPr>
        <w:tabs>
          <w:tab w:val="left" w:pos="142"/>
        </w:tabs>
        <w:spacing w:line="240" w:lineRule="auto"/>
        <w:jc w:val="both"/>
        <w:rPr>
          <w:rFonts w:ascii="ITC Avant Garde" w:eastAsia="Arial Unicode MS" w:hAnsi="ITC Avant Garde" w:cs="Arial"/>
          <w:bCs/>
          <w:u w:color="000000"/>
          <w:bdr w:val="nil"/>
          <w:lang w:val="es-ES_tradnl"/>
        </w:rPr>
      </w:pPr>
      <w:r w:rsidRPr="00B81ED0">
        <w:rPr>
          <w:rFonts w:ascii="ITC Avant Garde" w:hAnsi="ITC Avant Garde"/>
        </w:rPr>
        <w:t xml:space="preserve">Ahora bien, el Participante Ganador </w:t>
      </w:r>
      <w:r w:rsidR="00651E72" w:rsidRPr="00B81ED0">
        <w:rPr>
          <w:rFonts w:ascii="ITC Avant Garde" w:eastAsia="Arial Unicode MS" w:hAnsi="ITC Avant Garde"/>
          <w:b/>
          <w:u w:color="000000"/>
          <w:bdr w:val="nil"/>
          <w:lang w:val="es-ES_tradnl"/>
        </w:rPr>
        <w:t>Mario Óscar Beteta Vallejo</w:t>
      </w:r>
      <w:r w:rsidR="00CF185A" w:rsidRPr="00B81ED0">
        <w:rPr>
          <w:rFonts w:ascii="ITC Avant Garde" w:hAnsi="ITC Avant Garde"/>
        </w:rPr>
        <w:t>,</w:t>
      </w:r>
      <w:r w:rsidRPr="00B81ED0">
        <w:rPr>
          <w:rFonts w:ascii="ITC Avant Garde" w:eastAsia="Arial Unicode MS" w:hAnsi="ITC Avant Garde" w:cs="Arial Unicode MS"/>
          <w:kern w:val="1"/>
          <w:u w:color="000000"/>
          <w:bdr w:val="nil"/>
          <w:lang w:val="es-ES_tradnl" w:eastAsia="ar-SA"/>
        </w:rPr>
        <w:t xml:space="preserve"> </w:t>
      </w:r>
      <w:r w:rsidR="00BB3582" w:rsidRPr="00B81ED0">
        <w:rPr>
          <w:rFonts w:ascii="ITC Avant Garde" w:eastAsia="Arial Unicode MS" w:hAnsi="ITC Avant Garde" w:cs="Arial Unicode MS"/>
          <w:kern w:val="1"/>
          <w:u w:color="000000"/>
          <w:bdr w:val="nil"/>
          <w:lang w:val="es-ES_tradnl" w:eastAsia="ar-SA"/>
        </w:rPr>
        <w:t>previamente</w:t>
      </w:r>
      <w:r w:rsidR="00651E72" w:rsidRPr="00B81ED0">
        <w:rPr>
          <w:rFonts w:ascii="ITC Avant Garde" w:eastAsia="Arial Unicode MS" w:hAnsi="ITC Avant Garde" w:cs="Arial Unicode MS"/>
          <w:kern w:val="1"/>
          <w:u w:color="000000"/>
          <w:bdr w:val="nil"/>
          <w:lang w:val="es-ES_tradnl" w:eastAsia="ar-SA"/>
        </w:rPr>
        <w:t xml:space="preserve"> había dado </w:t>
      </w:r>
      <w:r w:rsidR="00EE3653" w:rsidRPr="00B81ED0">
        <w:rPr>
          <w:rFonts w:ascii="ITC Avant Garde" w:eastAsia="Arial Unicode MS" w:hAnsi="ITC Avant Garde" w:cs="Arial Unicode MS"/>
          <w:kern w:val="1"/>
          <w:u w:color="000000"/>
          <w:bdr w:val="nil"/>
          <w:lang w:val="es-ES_tradnl" w:eastAsia="ar-SA"/>
        </w:rPr>
        <w:t xml:space="preserve">cumplimiento a la condición </w:t>
      </w:r>
      <w:r w:rsidR="0004496D" w:rsidRPr="00B81ED0">
        <w:rPr>
          <w:rFonts w:ascii="ITC Avant Garde" w:eastAsia="Arial Unicode MS" w:hAnsi="ITC Avant Garde" w:cs="Arial Unicode MS"/>
          <w:kern w:val="1"/>
          <w:u w:color="000000"/>
          <w:bdr w:val="nil"/>
          <w:lang w:val="es-ES_tradnl" w:eastAsia="ar-SA"/>
        </w:rPr>
        <w:t xml:space="preserve">2 </w:t>
      </w:r>
      <w:r w:rsidR="005076B9" w:rsidRPr="00B81ED0">
        <w:rPr>
          <w:rFonts w:ascii="ITC Avant Garde" w:eastAsia="Arial Unicode MS" w:hAnsi="ITC Avant Garde" w:cs="Arial Unicode MS"/>
          <w:kern w:val="1"/>
          <w:u w:color="000000"/>
          <w:bdr w:val="nil"/>
          <w:lang w:val="es-ES_tradnl" w:eastAsia="ar-SA"/>
        </w:rPr>
        <w:t xml:space="preserve">para la entrega de los títulos de concesión prevista </w:t>
      </w:r>
      <w:r w:rsidR="00EE3653" w:rsidRPr="00B81ED0">
        <w:rPr>
          <w:rFonts w:ascii="ITC Avant Garde" w:eastAsia="Arial Unicode MS" w:hAnsi="ITC Avant Garde" w:cs="Arial Unicode MS"/>
          <w:kern w:val="1"/>
          <w:u w:color="000000"/>
          <w:bdr w:val="nil"/>
          <w:lang w:val="es-ES_tradnl" w:eastAsia="ar-SA"/>
        </w:rPr>
        <w:t xml:space="preserve">en el Considerando </w:t>
      </w:r>
      <w:r w:rsidR="005076B9" w:rsidRPr="00B81ED0">
        <w:rPr>
          <w:rFonts w:ascii="ITC Avant Garde" w:eastAsia="Arial Unicode MS" w:hAnsi="ITC Avant Garde" w:cs="Arial Unicode MS"/>
          <w:kern w:val="1"/>
          <w:u w:color="000000"/>
          <w:bdr w:val="nil"/>
          <w:lang w:val="es-ES_tradnl" w:eastAsia="ar-SA"/>
        </w:rPr>
        <w:t>Tercero</w:t>
      </w:r>
      <w:r w:rsidR="00EE3653" w:rsidRPr="00B81ED0">
        <w:rPr>
          <w:rFonts w:ascii="ITC Avant Garde" w:eastAsia="Arial Unicode MS" w:hAnsi="ITC Avant Garde" w:cs="Arial Unicode MS"/>
          <w:kern w:val="1"/>
          <w:u w:color="000000"/>
          <w:bdr w:val="nil"/>
          <w:lang w:val="es-ES_tradnl" w:eastAsia="ar-SA"/>
        </w:rPr>
        <w:t>,</w:t>
      </w:r>
      <w:r w:rsidR="005076B9" w:rsidRPr="00B81ED0">
        <w:rPr>
          <w:rFonts w:ascii="ITC Avant Garde" w:eastAsia="Arial Unicode MS" w:hAnsi="ITC Avant Garde" w:cs="Arial Unicode MS"/>
          <w:kern w:val="1"/>
          <w:u w:color="000000"/>
          <w:bdr w:val="nil"/>
          <w:lang w:val="es-ES_tradnl" w:eastAsia="ar-SA"/>
        </w:rPr>
        <w:t xml:space="preserve"> </w:t>
      </w:r>
      <w:r w:rsidR="0073164B" w:rsidRPr="00B81ED0">
        <w:rPr>
          <w:rFonts w:ascii="ITC Avant Garde" w:eastAsia="Arial Unicode MS" w:hAnsi="ITC Avant Garde" w:cs="Arial Unicode MS"/>
          <w:kern w:val="1"/>
          <w:u w:color="000000"/>
          <w:bdr w:val="nil"/>
          <w:lang w:val="es-ES_tradnl" w:eastAsia="ar-SA"/>
        </w:rPr>
        <w:t>de</w:t>
      </w:r>
      <w:r w:rsidR="00651E72" w:rsidRPr="00B81ED0">
        <w:rPr>
          <w:rFonts w:ascii="ITC Avant Garde" w:eastAsia="Arial Unicode MS" w:hAnsi="ITC Avant Garde" w:cs="Arial Unicode MS"/>
          <w:kern w:val="1"/>
          <w:u w:color="000000"/>
          <w:bdr w:val="nil"/>
          <w:lang w:val="es-ES_tradnl" w:eastAsia="ar-SA"/>
        </w:rPr>
        <w:t xml:space="preserve"> </w:t>
      </w:r>
      <w:r w:rsidR="0073164B" w:rsidRPr="00B81ED0">
        <w:rPr>
          <w:rFonts w:ascii="ITC Avant Garde" w:eastAsia="Arial Unicode MS" w:hAnsi="ITC Avant Garde" w:cs="Arial Unicode MS"/>
          <w:kern w:val="1"/>
          <w:u w:color="000000"/>
          <w:bdr w:val="nil"/>
          <w:lang w:val="es-ES_tradnl" w:eastAsia="ar-SA"/>
        </w:rPr>
        <w:t>l</w:t>
      </w:r>
      <w:r w:rsidR="00651E72" w:rsidRPr="00B81ED0">
        <w:rPr>
          <w:rFonts w:ascii="ITC Avant Garde" w:eastAsia="Arial Unicode MS" w:hAnsi="ITC Avant Garde" w:cs="Arial Unicode MS"/>
          <w:kern w:val="1"/>
          <w:u w:color="000000"/>
          <w:bdr w:val="nil"/>
          <w:lang w:val="es-ES_tradnl" w:eastAsia="ar-SA"/>
        </w:rPr>
        <w:t>as</w:t>
      </w:r>
      <w:r w:rsidR="0073164B" w:rsidRPr="00B81ED0">
        <w:rPr>
          <w:rFonts w:ascii="ITC Avant Garde" w:eastAsia="Arial Unicode MS" w:hAnsi="ITC Avant Garde" w:cs="Arial Unicode MS"/>
          <w:kern w:val="1"/>
          <w:u w:color="000000"/>
          <w:bdr w:val="nil"/>
          <w:lang w:val="es-ES_tradnl" w:eastAsia="ar-SA"/>
        </w:rPr>
        <w:t xml:space="preserve"> Acta</w:t>
      </w:r>
      <w:r w:rsidR="00651E72" w:rsidRPr="00B81ED0">
        <w:rPr>
          <w:rFonts w:ascii="ITC Avant Garde" w:eastAsia="Arial Unicode MS" w:hAnsi="ITC Avant Garde" w:cs="Arial Unicode MS"/>
          <w:kern w:val="1"/>
          <w:u w:color="000000"/>
          <w:bdr w:val="nil"/>
          <w:lang w:val="es-ES_tradnl" w:eastAsia="ar-SA"/>
        </w:rPr>
        <w:t>s</w:t>
      </w:r>
      <w:r w:rsidR="0073164B" w:rsidRPr="00B81ED0">
        <w:rPr>
          <w:rFonts w:ascii="ITC Avant Garde" w:eastAsia="Arial Unicode MS" w:hAnsi="ITC Avant Garde" w:cs="Arial Unicode MS"/>
          <w:kern w:val="1"/>
          <w:u w:color="000000"/>
          <w:bdr w:val="nil"/>
          <w:lang w:val="es-ES_tradnl" w:eastAsia="ar-SA"/>
        </w:rPr>
        <w:t xml:space="preserve"> de Fallo</w:t>
      </w:r>
      <w:r w:rsidR="00EE3653" w:rsidRPr="00B81ED0">
        <w:rPr>
          <w:rFonts w:ascii="ITC Avant Garde" w:eastAsia="Arial Unicode MS" w:hAnsi="ITC Avant Garde" w:cs="Arial Unicode MS"/>
          <w:kern w:val="1"/>
          <w:u w:color="000000"/>
          <w:bdr w:val="nil"/>
          <w:lang w:val="es-ES_tradnl" w:eastAsia="ar-SA"/>
        </w:rPr>
        <w:t>, relativa a la entrega</w:t>
      </w:r>
      <w:r w:rsidR="00EE3653" w:rsidRPr="00B81ED0">
        <w:rPr>
          <w:rFonts w:ascii="ITC Avant Garde" w:eastAsia="Arial Unicode MS" w:hAnsi="ITC Avant Garde" w:cs="Arial"/>
          <w:bCs/>
          <w:u w:color="000000"/>
          <w:bdr w:val="nil"/>
          <w:lang w:val="es-ES_tradnl"/>
        </w:rPr>
        <w:t xml:space="preserve"> física de los documentos previstos en las Bases, que conforman los Anexos del Apéndice A y el Apéndice E en términos del numeral 5.4.1 de las Bases, con excepción de la información y los documentos presentados conforme al numeral 5.2.1 de las Bases; sin embargo, </w:t>
      </w:r>
      <w:r w:rsidRPr="00B81ED0">
        <w:rPr>
          <w:rFonts w:ascii="ITC Avant Garde" w:eastAsia="Arial Unicode MS" w:hAnsi="ITC Avant Garde" w:cs="Arial Unicode MS"/>
          <w:kern w:val="1"/>
          <w:u w:color="000000"/>
          <w:bdr w:val="nil"/>
          <w:lang w:val="es-ES_tradnl" w:eastAsia="ar-SA"/>
        </w:rPr>
        <w:t>omitió dar cumplimiento a la</w:t>
      </w:r>
      <w:r w:rsidR="00727E45" w:rsidRPr="00B81ED0">
        <w:rPr>
          <w:rFonts w:ascii="ITC Avant Garde" w:eastAsia="Arial Unicode MS" w:hAnsi="ITC Avant Garde" w:cs="Arial Unicode MS"/>
          <w:kern w:val="1"/>
          <w:u w:color="000000"/>
          <w:bdr w:val="nil"/>
          <w:lang w:val="es-ES_tradnl" w:eastAsia="ar-SA"/>
        </w:rPr>
        <w:t xml:space="preserve"> condición</w:t>
      </w:r>
      <w:r w:rsidRPr="00B81ED0">
        <w:rPr>
          <w:rFonts w:ascii="ITC Avant Garde" w:eastAsia="Arial Unicode MS" w:hAnsi="ITC Avant Garde" w:cs="Arial Unicode MS"/>
          <w:kern w:val="1"/>
          <w:u w:color="000000"/>
          <w:bdr w:val="nil"/>
          <w:lang w:val="es-ES_tradnl" w:eastAsia="ar-SA"/>
        </w:rPr>
        <w:t xml:space="preserve"> </w:t>
      </w:r>
      <w:r w:rsidR="0004496D" w:rsidRPr="00B81ED0">
        <w:rPr>
          <w:rFonts w:ascii="ITC Avant Garde" w:eastAsia="Arial Unicode MS" w:hAnsi="ITC Avant Garde" w:cs="Arial Unicode MS"/>
          <w:kern w:val="1"/>
          <w:u w:color="000000"/>
          <w:bdr w:val="nil"/>
          <w:lang w:val="es-ES_tradnl" w:eastAsia="ar-SA"/>
        </w:rPr>
        <w:t xml:space="preserve">1 </w:t>
      </w:r>
      <w:r w:rsidR="005076B9" w:rsidRPr="00B81ED0">
        <w:rPr>
          <w:rFonts w:ascii="ITC Avant Garde" w:eastAsia="Arial Unicode MS" w:hAnsi="ITC Avant Garde" w:cs="Arial Unicode MS"/>
          <w:kern w:val="1"/>
          <w:u w:color="000000"/>
          <w:bdr w:val="nil"/>
          <w:lang w:val="es-ES_tradnl" w:eastAsia="ar-SA"/>
        </w:rPr>
        <w:t>para la entrega de los títulos de concesión prevista</w:t>
      </w:r>
      <w:r w:rsidRPr="00B81ED0">
        <w:rPr>
          <w:rFonts w:ascii="ITC Avant Garde" w:eastAsia="Arial Unicode MS" w:hAnsi="ITC Avant Garde" w:cs="Arial Unicode MS"/>
          <w:kern w:val="1"/>
          <w:u w:color="000000"/>
          <w:bdr w:val="nil"/>
          <w:lang w:val="es-ES_tradnl" w:eastAsia="ar-SA"/>
        </w:rPr>
        <w:t xml:space="preserve"> en el </w:t>
      </w:r>
      <w:r w:rsidR="005076B9" w:rsidRPr="00B81ED0">
        <w:rPr>
          <w:rFonts w:ascii="ITC Avant Garde" w:eastAsia="Arial Unicode MS" w:hAnsi="ITC Avant Garde" w:cs="Arial Unicode MS"/>
          <w:kern w:val="1"/>
          <w:u w:color="000000"/>
          <w:bdr w:val="nil"/>
          <w:lang w:val="es-ES_tradnl" w:eastAsia="ar-SA"/>
        </w:rPr>
        <w:t>mismo c</w:t>
      </w:r>
      <w:r w:rsidRPr="00B81ED0">
        <w:rPr>
          <w:rFonts w:ascii="ITC Avant Garde" w:eastAsia="Arial Unicode MS" w:hAnsi="ITC Avant Garde" w:cs="Arial Unicode MS"/>
          <w:kern w:val="1"/>
          <w:u w:color="000000"/>
          <w:bdr w:val="nil"/>
          <w:lang w:val="es-ES_tradnl" w:eastAsia="ar-SA"/>
        </w:rPr>
        <w:t>onsiderando</w:t>
      </w:r>
      <w:r w:rsidR="00CC42DA" w:rsidRPr="00B81ED0">
        <w:rPr>
          <w:rFonts w:ascii="ITC Avant Garde" w:eastAsia="Arial Unicode MS" w:hAnsi="ITC Avant Garde" w:cs="Arial Unicode MS"/>
          <w:kern w:val="1"/>
          <w:u w:color="000000"/>
          <w:bdr w:val="nil"/>
          <w:lang w:val="es-ES_tradnl" w:eastAsia="ar-SA"/>
        </w:rPr>
        <w:t xml:space="preserve"> </w:t>
      </w:r>
      <w:r w:rsidR="00727E45" w:rsidRPr="00B81ED0">
        <w:rPr>
          <w:rFonts w:ascii="ITC Avant Garde" w:eastAsia="Arial Unicode MS" w:hAnsi="ITC Avant Garde" w:cs="Arial Unicode MS"/>
          <w:kern w:val="1"/>
          <w:u w:color="000000"/>
          <w:bdr w:val="nil"/>
          <w:lang w:val="es-ES_tradnl" w:eastAsia="ar-SA"/>
        </w:rPr>
        <w:t>d</w:t>
      </w:r>
      <w:r w:rsidRPr="00B81ED0">
        <w:rPr>
          <w:rFonts w:ascii="ITC Avant Garde" w:eastAsia="Arial Unicode MS" w:hAnsi="ITC Avant Garde" w:cs="Arial Unicode MS"/>
          <w:kern w:val="1"/>
          <w:u w:color="000000"/>
          <w:bdr w:val="nil"/>
          <w:lang w:val="es-ES_tradnl" w:eastAsia="ar-SA"/>
        </w:rPr>
        <w:t>e</w:t>
      </w:r>
      <w:r w:rsidR="00651E72" w:rsidRPr="00B81ED0">
        <w:rPr>
          <w:rFonts w:ascii="ITC Avant Garde" w:eastAsia="Arial Unicode MS" w:hAnsi="ITC Avant Garde" w:cs="Arial Unicode MS"/>
          <w:kern w:val="1"/>
          <w:u w:color="000000"/>
          <w:bdr w:val="nil"/>
          <w:lang w:val="es-ES_tradnl" w:eastAsia="ar-SA"/>
        </w:rPr>
        <w:t xml:space="preserve"> </w:t>
      </w:r>
      <w:r w:rsidRPr="00B81ED0">
        <w:rPr>
          <w:rFonts w:ascii="ITC Avant Garde" w:eastAsia="Arial Unicode MS" w:hAnsi="ITC Avant Garde" w:cs="Arial Unicode MS"/>
          <w:kern w:val="1"/>
          <w:u w:color="000000"/>
          <w:bdr w:val="nil"/>
          <w:lang w:val="es-ES_tradnl" w:eastAsia="ar-SA"/>
        </w:rPr>
        <w:t>l</w:t>
      </w:r>
      <w:r w:rsidR="00651E72" w:rsidRPr="00B81ED0">
        <w:rPr>
          <w:rFonts w:ascii="ITC Avant Garde" w:eastAsia="Arial Unicode MS" w:hAnsi="ITC Avant Garde" w:cs="Arial Unicode MS"/>
          <w:kern w:val="1"/>
          <w:u w:color="000000"/>
          <w:bdr w:val="nil"/>
          <w:lang w:val="es-ES_tradnl" w:eastAsia="ar-SA"/>
        </w:rPr>
        <w:t>as</w:t>
      </w:r>
      <w:r w:rsidRPr="00B81ED0">
        <w:rPr>
          <w:rFonts w:ascii="ITC Avant Garde" w:eastAsia="Arial Unicode MS" w:hAnsi="ITC Avant Garde" w:cs="Arial Unicode MS"/>
          <w:kern w:val="1"/>
          <w:u w:color="000000"/>
          <w:bdr w:val="nil"/>
          <w:lang w:val="es-ES_tradnl" w:eastAsia="ar-SA"/>
        </w:rPr>
        <w:t xml:space="preserve"> Acta</w:t>
      </w:r>
      <w:r w:rsidR="00651E72" w:rsidRPr="00B81ED0">
        <w:rPr>
          <w:rFonts w:ascii="ITC Avant Garde" w:eastAsia="Arial Unicode MS" w:hAnsi="ITC Avant Garde" w:cs="Arial Unicode MS"/>
          <w:kern w:val="1"/>
          <w:u w:color="000000"/>
          <w:bdr w:val="nil"/>
          <w:lang w:val="es-ES_tradnl" w:eastAsia="ar-SA"/>
        </w:rPr>
        <w:t>s</w:t>
      </w:r>
      <w:r w:rsidRPr="00B81ED0">
        <w:rPr>
          <w:rFonts w:ascii="ITC Avant Garde" w:eastAsia="Arial Unicode MS" w:hAnsi="ITC Avant Garde" w:cs="Arial Unicode MS"/>
          <w:kern w:val="1"/>
          <w:u w:color="000000"/>
          <w:bdr w:val="nil"/>
          <w:lang w:val="es-ES_tradnl" w:eastAsia="ar-SA"/>
        </w:rPr>
        <w:t xml:space="preserve"> de Fallo, consistente en</w:t>
      </w:r>
      <w:r w:rsidR="00727E45" w:rsidRPr="00B81ED0">
        <w:rPr>
          <w:rFonts w:ascii="ITC Avant Garde" w:eastAsia="Arial Unicode MS" w:hAnsi="ITC Avant Garde" w:cs="Arial Unicode MS"/>
          <w:kern w:val="1"/>
          <w:u w:color="000000"/>
          <w:bdr w:val="nil"/>
          <w:lang w:val="es-ES_tradnl" w:eastAsia="ar-SA"/>
        </w:rPr>
        <w:t xml:space="preserve"> el </w:t>
      </w:r>
      <w:r w:rsidR="00CC42DA" w:rsidRPr="00B81ED0">
        <w:rPr>
          <w:rFonts w:ascii="ITC Avant Garde" w:eastAsia="Arial Unicode MS" w:hAnsi="ITC Avant Garde" w:cs="Arial"/>
          <w:bCs/>
          <w:u w:color="000000"/>
          <w:bdr w:val="nil"/>
          <w:lang w:val="es-ES_tradnl"/>
        </w:rPr>
        <w:t xml:space="preserve">pago de la Contraprestación </w:t>
      </w:r>
      <w:r w:rsidR="00CC42DA" w:rsidRPr="00B81ED0">
        <w:rPr>
          <w:rFonts w:ascii="ITC Avant Garde" w:hAnsi="ITC Avant Garde" w:cs="Arial Unicode MS"/>
          <w:bCs/>
          <w:u w:color="000000"/>
          <w:bdr w:val="nil"/>
          <w:lang w:val="es-ES_tradnl" w:eastAsia="es-MX"/>
        </w:rPr>
        <w:t>de acuerdo con lo establecido en los artículos 78, párrafo primero y 101 de la Ley, por el monto que corresponde al Componente Económico de su Oferta, en términos del numeral 5.4.3 de las Bases</w:t>
      </w:r>
      <w:r w:rsidR="00727E45" w:rsidRPr="00B81ED0">
        <w:rPr>
          <w:rFonts w:ascii="ITC Avant Garde" w:hAnsi="ITC Avant Garde" w:cs="Arial Unicode MS"/>
          <w:bCs/>
          <w:u w:color="000000"/>
          <w:bdr w:val="nil"/>
          <w:lang w:val="es-ES_tradnl" w:eastAsia="es-MX"/>
        </w:rPr>
        <w:t>.</w:t>
      </w:r>
    </w:p>
    <w:p w14:paraId="0E119B05" w14:textId="77777777" w:rsidR="00B81ED0" w:rsidRPr="00B81ED0" w:rsidRDefault="00002535" w:rsidP="00B81ED0">
      <w:pPr>
        <w:spacing w:line="240" w:lineRule="auto"/>
        <w:ind w:right="49"/>
        <w:jc w:val="both"/>
        <w:rPr>
          <w:rFonts w:ascii="ITC Avant Garde" w:hAnsi="ITC Avant Garde" w:cs="Arial"/>
          <w:kern w:val="2"/>
          <w:lang w:eastAsia="ar-SA"/>
        </w:rPr>
      </w:pPr>
      <w:r w:rsidRPr="00B81ED0">
        <w:rPr>
          <w:rFonts w:ascii="ITC Avant Garde" w:hAnsi="ITC Avant Garde" w:cs="Arial"/>
        </w:rPr>
        <w:t>Por consiguiente, conforme a los razonamientos vertidos resulta procedente que en términos d</w:t>
      </w:r>
      <w:proofErr w:type="spellStart"/>
      <w:r w:rsidRPr="00B81ED0">
        <w:rPr>
          <w:rFonts w:ascii="ITC Avant Garde" w:eastAsia="Arial Unicode MS" w:hAnsi="ITC Avant Garde" w:cs="Arial"/>
          <w:u w:color="000000"/>
          <w:bdr w:val="nil"/>
          <w:lang w:val="es-ES_tradnl"/>
        </w:rPr>
        <w:t>e</w:t>
      </w:r>
      <w:proofErr w:type="spellEnd"/>
      <w:r w:rsidRPr="00B81ED0">
        <w:rPr>
          <w:rFonts w:ascii="ITC Avant Garde" w:eastAsia="Arial Unicode MS" w:hAnsi="ITC Avant Garde" w:cs="Arial"/>
          <w:u w:color="000000"/>
          <w:bdr w:val="nil"/>
          <w:lang w:val="es-ES_tradnl"/>
        </w:rPr>
        <w:t xml:space="preserve"> los numerales 5.4.1, séptimo párrafo, 9.1, 10.3, fracción I y 10.4 de las Bases,</w:t>
      </w:r>
      <w:r w:rsidRPr="00B81ED0">
        <w:rPr>
          <w:rFonts w:ascii="ITC Avant Garde" w:hAnsi="ITC Avant Garde" w:cs="Arial"/>
          <w:kern w:val="2"/>
          <w:lang w:eastAsia="ar-SA"/>
        </w:rPr>
        <w:t xml:space="preserve"> el Pleno del Instituto determine:</w:t>
      </w:r>
    </w:p>
    <w:p w14:paraId="1DE70D93" w14:textId="77777777" w:rsidR="00B81ED0" w:rsidRPr="00B81ED0" w:rsidRDefault="00002535" w:rsidP="00B81ED0">
      <w:pPr>
        <w:pStyle w:val="Prrafodelista"/>
        <w:numPr>
          <w:ilvl w:val="0"/>
          <w:numId w:val="18"/>
        </w:numPr>
        <w:spacing w:after="200"/>
        <w:ind w:right="49"/>
        <w:jc w:val="both"/>
        <w:rPr>
          <w:rFonts w:ascii="ITC Avant Garde" w:eastAsia="Calibri" w:hAnsi="ITC Avant Garde" w:cs="Arial Unicode MS"/>
          <w:bCs/>
          <w:sz w:val="22"/>
          <w:szCs w:val="22"/>
          <w:u w:color="000000"/>
          <w:bdr w:val="nil"/>
          <w:lang w:val="es-ES_tradnl" w:eastAsia="es-MX"/>
        </w:rPr>
      </w:pPr>
      <w:r w:rsidRPr="00B81ED0">
        <w:rPr>
          <w:rFonts w:ascii="ITC Avant Garde" w:hAnsi="ITC Avant Garde" w:cs="Arial"/>
          <w:kern w:val="2"/>
          <w:sz w:val="22"/>
          <w:szCs w:val="22"/>
          <w:lang w:eastAsia="ar-SA"/>
        </w:rPr>
        <w:t xml:space="preserve">La descalificación de </w:t>
      </w:r>
      <w:r w:rsidR="00651E72" w:rsidRPr="00B81ED0">
        <w:rPr>
          <w:rFonts w:ascii="ITC Avant Garde" w:eastAsia="Arial Unicode MS" w:hAnsi="ITC Avant Garde"/>
          <w:b/>
          <w:sz w:val="22"/>
          <w:szCs w:val="22"/>
          <w:u w:color="000000"/>
          <w:bdr w:val="nil"/>
          <w:lang w:val="es-ES_tradnl"/>
        </w:rPr>
        <w:t>Mario Óscar Beteta Vallejo</w:t>
      </w:r>
      <w:r w:rsidRPr="00B81ED0">
        <w:rPr>
          <w:rFonts w:ascii="ITC Avant Garde" w:hAnsi="ITC Avant Garde" w:cs="Arial"/>
          <w:kern w:val="2"/>
          <w:sz w:val="22"/>
          <w:szCs w:val="22"/>
          <w:lang w:eastAsia="ar-SA"/>
        </w:rPr>
        <w:t xml:space="preserve">, con número de Folio Único </w:t>
      </w:r>
      <w:r w:rsidR="00895664" w:rsidRPr="00B81ED0">
        <w:rPr>
          <w:rFonts w:ascii="ITC Avant Garde" w:hAnsi="ITC Avant Garde"/>
          <w:b/>
          <w:bCs/>
          <w:noProof/>
          <w:sz w:val="22"/>
          <w:szCs w:val="22"/>
          <w:lang w:eastAsia="es-MX"/>
        </w:rPr>
        <w:t>BM-311022</w:t>
      </w:r>
      <w:r w:rsidR="0018094D" w:rsidRPr="00B81ED0">
        <w:rPr>
          <w:rFonts w:ascii="ITC Avant Garde" w:hAnsi="ITC Avant Garde" w:cs="Arial"/>
          <w:kern w:val="2"/>
          <w:sz w:val="22"/>
          <w:szCs w:val="22"/>
          <w:lang w:eastAsia="ar-SA"/>
        </w:rPr>
        <w:t xml:space="preserve">, </w:t>
      </w:r>
      <w:r w:rsidR="0018094D" w:rsidRPr="00B81ED0">
        <w:rPr>
          <w:rFonts w:ascii="ITC Avant Garde" w:eastAsia="ITC Avant Garde" w:hAnsi="ITC Avant Garde" w:cs="ITC Avant Garde"/>
          <w:kern w:val="2"/>
          <w:sz w:val="22"/>
          <w:szCs w:val="22"/>
          <w:lang w:val="es-ES"/>
        </w:rPr>
        <w:t>respecto a</w:t>
      </w:r>
      <w:r w:rsidR="00651E72" w:rsidRPr="00B81ED0">
        <w:rPr>
          <w:rFonts w:ascii="ITC Avant Garde" w:eastAsia="ITC Avant Garde" w:hAnsi="ITC Avant Garde" w:cs="ITC Avant Garde"/>
          <w:kern w:val="2"/>
          <w:sz w:val="22"/>
          <w:szCs w:val="22"/>
          <w:lang w:val="es-ES"/>
        </w:rPr>
        <w:t xml:space="preserve"> </w:t>
      </w:r>
      <w:r w:rsidR="0018094D" w:rsidRPr="00B81ED0">
        <w:rPr>
          <w:rFonts w:ascii="ITC Avant Garde" w:eastAsia="ITC Avant Garde" w:hAnsi="ITC Avant Garde" w:cs="ITC Avant Garde"/>
          <w:kern w:val="2"/>
          <w:sz w:val="22"/>
          <w:szCs w:val="22"/>
          <w:lang w:val="es-ES"/>
        </w:rPr>
        <w:t>l</w:t>
      </w:r>
      <w:r w:rsidR="00651E72" w:rsidRPr="00B81ED0">
        <w:rPr>
          <w:rFonts w:ascii="ITC Avant Garde" w:eastAsia="ITC Avant Garde" w:hAnsi="ITC Avant Garde" w:cs="ITC Avant Garde"/>
          <w:kern w:val="2"/>
          <w:sz w:val="22"/>
          <w:szCs w:val="22"/>
          <w:lang w:val="es-ES"/>
        </w:rPr>
        <w:t>os</w:t>
      </w:r>
      <w:r w:rsidR="0018094D" w:rsidRPr="00B81ED0">
        <w:rPr>
          <w:rFonts w:ascii="ITC Avant Garde" w:eastAsia="ITC Avant Garde" w:hAnsi="ITC Avant Garde" w:cs="ITC Avant Garde"/>
          <w:kern w:val="2"/>
          <w:sz w:val="22"/>
          <w:szCs w:val="22"/>
          <w:lang w:val="es-ES"/>
        </w:rPr>
        <w:t xml:space="preserve"> Lote</w:t>
      </w:r>
      <w:r w:rsidR="00651E72" w:rsidRPr="00B81ED0">
        <w:rPr>
          <w:rFonts w:ascii="ITC Avant Garde" w:eastAsia="ITC Avant Garde" w:hAnsi="ITC Avant Garde" w:cs="ITC Avant Garde"/>
          <w:kern w:val="2"/>
          <w:sz w:val="22"/>
          <w:szCs w:val="22"/>
          <w:lang w:val="es-ES"/>
        </w:rPr>
        <w:t>s</w:t>
      </w:r>
      <w:r w:rsidR="0018094D" w:rsidRPr="00B81ED0">
        <w:rPr>
          <w:rFonts w:ascii="ITC Avant Garde" w:eastAsia="ITC Avant Garde" w:hAnsi="ITC Avant Garde" w:cs="ITC Avant Garde"/>
          <w:kern w:val="2"/>
          <w:sz w:val="22"/>
          <w:szCs w:val="22"/>
          <w:lang w:val="es-ES"/>
        </w:rPr>
        <w:t xml:space="preserve"> </w:t>
      </w:r>
      <w:r w:rsidR="00651E72" w:rsidRPr="00B81ED0">
        <w:rPr>
          <w:rFonts w:ascii="ITC Avant Garde" w:eastAsia="ITC Avant Garde" w:hAnsi="ITC Avant Garde" w:cs="ITC Avant Garde"/>
          <w:b/>
          <w:kern w:val="2"/>
          <w:sz w:val="22"/>
          <w:szCs w:val="22"/>
          <w:lang w:val="es-ES"/>
        </w:rPr>
        <w:t>5</w:t>
      </w:r>
      <w:r w:rsidR="00651E72" w:rsidRPr="00B81ED0">
        <w:rPr>
          <w:rFonts w:ascii="ITC Avant Garde" w:eastAsia="ITC Avant Garde" w:hAnsi="ITC Avant Garde" w:cs="ITC Avant Garde"/>
          <w:kern w:val="2"/>
          <w:sz w:val="22"/>
          <w:szCs w:val="22"/>
          <w:lang w:val="es-ES"/>
        </w:rPr>
        <w:t xml:space="preserve"> y </w:t>
      </w:r>
      <w:r w:rsidR="00651E72" w:rsidRPr="00B81ED0">
        <w:rPr>
          <w:rFonts w:ascii="ITC Avant Garde" w:eastAsia="ITC Avant Garde" w:hAnsi="ITC Avant Garde" w:cs="ITC Avant Garde"/>
          <w:b/>
          <w:kern w:val="2"/>
          <w:sz w:val="22"/>
          <w:szCs w:val="22"/>
          <w:lang w:val="es-ES"/>
        </w:rPr>
        <w:t>119</w:t>
      </w:r>
      <w:r w:rsidR="0018094D" w:rsidRPr="00B81ED0">
        <w:rPr>
          <w:rFonts w:ascii="ITC Avant Garde" w:eastAsia="ITC Avant Garde" w:hAnsi="ITC Avant Garde" w:cs="ITC Avant Garde"/>
          <w:kern w:val="2"/>
          <w:sz w:val="22"/>
          <w:szCs w:val="22"/>
          <w:lang w:val="es-ES"/>
        </w:rPr>
        <w:t xml:space="preserve"> de la Banda de FM</w:t>
      </w:r>
      <w:r w:rsidRPr="00B81ED0">
        <w:rPr>
          <w:rFonts w:ascii="ITC Avant Garde" w:hAnsi="ITC Avant Garde" w:cs="Arial"/>
          <w:kern w:val="2"/>
          <w:sz w:val="22"/>
          <w:szCs w:val="22"/>
          <w:lang w:eastAsia="ar-SA"/>
        </w:rPr>
        <w:t xml:space="preserve"> </w:t>
      </w:r>
      <w:r w:rsidRPr="00B81ED0">
        <w:rPr>
          <w:rFonts w:ascii="ITC Avant Garde" w:hAnsi="ITC Avant Garde" w:cs="Arial"/>
          <w:bCs/>
          <w:sz w:val="22"/>
          <w:szCs w:val="22"/>
          <w:u w:color="000000"/>
          <w:bdr w:val="nil"/>
          <w:lang w:val="es-ES_tradnl" w:eastAsia="es-MX"/>
        </w:rPr>
        <w:t xml:space="preserve">de </w:t>
      </w:r>
      <w:r w:rsidR="00340425" w:rsidRPr="00B81ED0">
        <w:rPr>
          <w:rFonts w:ascii="ITC Avant Garde" w:hAnsi="ITC Avant Garde" w:cs="Arial"/>
          <w:bCs/>
          <w:sz w:val="22"/>
          <w:szCs w:val="22"/>
          <w:u w:color="000000"/>
          <w:bdr w:val="nil"/>
          <w:lang w:val="es-ES_tradnl" w:eastAsia="es-MX"/>
        </w:rPr>
        <w:t xml:space="preserve">la </w:t>
      </w:r>
      <w:r w:rsidR="00895664" w:rsidRPr="00B81ED0">
        <w:rPr>
          <w:rFonts w:ascii="ITC Avant Garde" w:hAnsi="ITC Avant Garde" w:cs="Arial"/>
          <w:bCs/>
          <w:sz w:val="22"/>
          <w:szCs w:val="22"/>
          <w:u w:color="000000"/>
          <w:bdr w:val="nil"/>
          <w:lang w:val="es-ES_tradnl" w:eastAsia="es-MX"/>
        </w:rPr>
        <w:t>l</w:t>
      </w:r>
      <w:r w:rsidRPr="00B81ED0">
        <w:rPr>
          <w:rFonts w:ascii="ITC Avant Garde" w:hAnsi="ITC Avant Garde" w:cs="Arial"/>
          <w:bCs/>
          <w:sz w:val="22"/>
          <w:szCs w:val="22"/>
          <w:u w:color="000000"/>
          <w:bdr w:val="nil"/>
          <w:lang w:val="es-ES_tradnl" w:eastAsia="es-MX"/>
        </w:rPr>
        <w:t xml:space="preserve">icitación pública para </w:t>
      </w:r>
      <w:r w:rsidRPr="00B81ED0">
        <w:rPr>
          <w:rFonts w:ascii="ITC Avant Garde" w:hAnsi="ITC Avant Garde"/>
          <w:sz w:val="22"/>
          <w:szCs w:val="22"/>
        </w:rPr>
        <w:t xml:space="preserve">concesionar el uso, aprovechamiento y explotación comercial </w:t>
      </w:r>
      <w:r w:rsidRPr="00B81ED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B81ED0">
        <w:rPr>
          <w:rFonts w:ascii="ITC Avant Garde" w:hAnsi="ITC Avant Garde"/>
          <w:sz w:val="22"/>
          <w:szCs w:val="22"/>
        </w:rPr>
        <w:t>(Licitación No. IFT-4)</w:t>
      </w:r>
      <w:r w:rsidR="00C66368" w:rsidRPr="00B81ED0">
        <w:rPr>
          <w:rFonts w:ascii="ITC Avant Garde" w:hAnsi="ITC Avant Garde"/>
          <w:sz w:val="22"/>
          <w:szCs w:val="22"/>
        </w:rPr>
        <w:t xml:space="preserve"> y por consiguiente, quedarían sin efectos las Actas de Fallo a que se refiere el Antecedente XXVII</w:t>
      </w:r>
      <w:r w:rsidR="00495EF1" w:rsidRPr="00B81ED0">
        <w:rPr>
          <w:rFonts w:ascii="ITC Avant Garde" w:hAnsi="ITC Avant Garde" w:cs="Arial"/>
          <w:kern w:val="2"/>
          <w:sz w:val="22"/>
          <w:szCs w:val="22"/>
          <w:lang w:eastAsia="ar-SA"/>
        </w:rPr>
        <w:t>.</w:t>
      </w:r>
    </w:p>
    <w:p w14:paraId="655557C3" w14:textId="77777777" w:rsidR="00B81ED0" w:rsidRPr="00B81ED0" w:rsidRDefault="00002535" w:rsidP="00B81ED0">
      <w:pPr>
        <w:pStyle w:val="Prrafodelista"/>
        <w:numPr>
          <w:ilvl w:val="0"/>
          <w:numId w:val="18"/>
        </w:numPr>
        <w:spacing w:after="200"/>
        <w:ind w:right="51"/>
        <w:jc w:val="both"/>
        <w:rPr>
          <w:rFonts w:ascii="ITC Avant Garde" w:eastAsia="Calibri" w:hAnsi="ITC Avant Garde" w:cs="Arial Unicode MS"/>
          <w:bCs/>
          <w:sz w:val="22"/>
          <w:szCs w:val="22"/>
          <w:u w:color="000000"/>
          <w:bdr w:val="nil"/>
          <w:lang w:val="es-ES_tradnl" w:eastAsia="es-MX"/>
        </w:rPr>
      </w:pPr>
      <w:r w:rsidRPr="00B81ED0">
        <w:rPr>
          <w:rFonts w:ascii="ITC Avant Garde" w:eastAsia="Calibri" w:hAnsi="ITC Avant Garde" w:cs="Arial Unicode MS"/>
          <w:bCs/>
          <w:sz w:val="22"/>
          <w:szCs w:val="22"/>
          <w:u w:color="000000"/>
          <w:bdr w:val="nil"/>
          <w:lang w:val="es-ES_tradnl" w:eastAsia="es-MX"/>
        </w:rPr>
        <w:t xml:space="preserve">Como consecuencia de lo anterior, que el Instituto </w:t>
      </w:r>
      <w:r w:rsidR="00722AB6" w:rsidRPr="00B81ED0">
        <w:rPr>
          <w:rFonts w:ascii="ITC Avant Garde" w:eastAsia="Calibri" w:hAnsi="ITC Avant Garde" w:cs="Arial Unicode MS"/>
          <w:bCs/>
          <w:sz w:val="22"/>
          <w:szCs w:val="22"/>
          <w:u w:color="000000"/>
          <w:bdr w:val="nil"/>
          <w:lang w:val="es-ES_tradnl" w:eastAsia="es-MX"/>
        </w:rPr>
        <w:t xml:space="preserve">en coordinación con la Tesorería de la Federación </w:t>
      </w:r>
      <w:r w:rsidRPr="00B81ED0">
        <w:rPr>
          <w:rFonts w:ascii="ITC Avant Garde" w:eastAsia="Calibri" w:hAnsi="ITC Avant Garde" w:cs="Arial Unicode MS"/>
          <w:bCs/>
          <w:sz w:val="22"/>
          <w:szCs w:val="22"/>
          <w:u w:color="000000"/>
          <w:bdr w:val="nil"/>
          <w:lang w:val="es-ES_tradnl" w:eastAsia="es-MX"/>
        </w:rPr>
        <w:t>lleve a cabo los actos necesarios para ejecutar la</w:t>
      </w:r>
      <w:r w:rsidR="00651E72" w:rsidRPr="00B81ED0">
        <w:rPr>
          <w:rFonts w:ascii="ITC Avant Garde" w:eastAsia="Calibri" w:hAnsi="ITC Avant Garde" w:cs="Arial Unicode MS"/>
          <w:bCs/>
          <w:sz w:val="22"/>
          <w:szCs w:val="22"/>
          <w:u w:color="000000"/>
          <w:bdr w:val="nil"/>
          <w:lang w:val="es-ES_tradnl" w:eastAsia="es-MX"/>
        </w:rPr>
        <w:t>s</w:t>
      </w:r>
      <w:r w:rsidRPr="00B81ED0">
        <w:rPr>
          <w:rFonts w:ascii="ITC Avant Garde" w:eastAsia="Calibri" w:hAnsi="ITC Avant Garde" w:cs="Arial Unicode MS"/>
          <w:bCs/>
          <w:sz w:val="22"/>
          <w:szCs w:val="22"/>
          <w:u w:color="000000"/>
          <w:bdr w:val="nil"/>
          <w:lang w:val="es-ES_tradnl" w:eastAsia="es-MX"/>
        </w:rPr>
        <w:t xml:space="preserve"> Garantía</w:t>
      </w:r>
      <w:r w:rsidR="00651E72" w:rsidRPr="00B81ED0">
        <w:rPr>
          <w:rFonts w:ascii="ITC Avant Garde" w:eastAsia="Calibri" w:hAnsi="ITC Avant Garde" w:cs="Arial Unicode MS"/>
          <w:bCs/>
          <w:sz w:val="22"/>
          <w:szCs w:val="22"/>
          <w:u w:color="000000"/>
          <w:bdr w:val="nil"/>
          <w:lang w:val="es-ES_tradnl" w:eastAsia="es-MX"/>
        </w:rPr>
        <w:t>s</w:t>
      </w:r>
      <w:r w:rsidRPr="00B81ED0">
        <w:rPr>
          <w:rFonts w:ascii="ITC Avant Garde" w:eastAsia="Calibri" w:hAnsi="ITC Avant Garde" w:cs="Arial Unicode MS"/>
          <w:bCs/>
          <w:sz w:val="22"/>
          <w:szCs w:val="22"/>
          <w:u w:color="000000"/>
          <w:bdr w:val="nil"/>
          <w:lang w:val="es-ES_tradnl" w:eastAsia="es-MX"/>
        </w:rPr>
        <w:t xml:space="preserve"> de Seriedad </w:t>
      </w:r>
      <w:r w:rsidR="00651E72" w:rsidRPr="00B81ED0">
        <w:rPr>
          <w:rFonts w:ascii="ITC Avant Garde" w:eastAsia="Calibri" w:hAnsi="ITC Avant Garde" w:cs="Arial Unicode MS"/>
          <w:bCs/>
          <w:sz w:val="22"/>
          <w:szCs w:val="22"/>
          <w:u w:color="000000"/>
          <w:bdr w:val="nil"/>
          <w:lang w:val="es-ES_tradnl" w:eastAsia="es-MX"/>
        </w:rPr>
        <w:t xml:space="preserve">respectivas, </w:t>
      </w:r>
      <w:r w:rsidRPr="00B81ED0">
        <w:rPr>
          <w:rFonts w:ascii="ITC Avant Garde" w:eastAsia="Calibri" w:hAnsi="ITC Avant Garde" w:cs="Arial Unicode MS"/>
          <w:bCs/>
          <w:sz w:val="22"/>
          <w:szCs w:val="22"/>
          <w:u w:color="000000"/>
          <w:bdr w:val="nil"/>
          <w:lang w:val="es-ES_tradnl" w:eastAsia="es-MX"/>
        </w:rPr>
        <w:t>ante la</w:t>
      </w:r>
      <w:r w:rsidR="00895664" w:rsidRPr="00B81ED0">
        <w:rPr>
          <w:rFonts w:ascii="ITC Avant Garde" w:eastAsia="Calibri" w:hAnsi="ITC Avant Garde" w:cs="Arial Unicode MS"/>
          <w:bCs/>
          <w:sz w:val="22"/>
          <w:szCs w:val="22"/>
          <w:u w:color="000000"/>
          <w:bdr w:val="nil"/>
          <w:lang w:val="es-ES_tradnl" w:eastAsia="es-MX"/>
        </w:rPr>
        <w:t xml:space="preserve"> </w:t>
      </w:r>
      <w:r w:rsidRPr="00B81ED0">
        <w:rPr>
          <w:rFonts w:ascii="ITC Avant Garde" w:eastAsia="Calibri" w:hAnsi="ITC Avant Garde" w:cs="Arial Unicode MS"/>
          <w:bCs/>
          <w:sz w:val="22"/>
          <w:szCs w:val="22"/>
          <w:u w:color="000000"/>
          <w:bdr w:val="nil"/>
          <w:lang w:val="es-ES_tradnl" w:eastAsia="es-MX"/>
        </w:rPr>
        <w:t>institución</w:t>
      </w:r>
      <w:r w:rsidR="00895664" w:rsidRPr="00B81ED0">
        <w:rPr>
          <w:rFonts w:ascii="ITC Avant Garde" w:eastAsia="Calibri" w:hAnsi="ITC Avant Garde" w:cs="Arial Unicode MS"/>
          <w:bCs/>
          <w:sz w:val="22"/>
          <w:szCs w:val="22"/>
          <w:u w:color="000000"/>
          <w:bdr w:val="nil"/>
          <w:lang w:val="es-ES_tradnl" w:eastAsia="es-MX"/>
        </w:rPr>
        <w:t xml:space="preserve"> </w:t>
      </w:r>
      <w:r w:rsidRPr="00B81ED0">
        <w:rPr>
          <w:rFonts w:ascii="ITC Avant Garde" w:eastAsia="Calibri" w:hAnsi="ITC Avant Garde" w:cs="Arial Unicode MS"/>
          <w:bCs/>
          <w:sz w:val="22"/>
          <w:szCs w:val="22"/>
          <w:u w:color="000000"/>
          <w:bdr w:val="nil"/>
          <w:lang w:val="es-ES_tradnl" w:eastAsia="es-MX"/>
        </w:rPr>
        <w:t>de crédito que la</w:t>
      </w:r>
      <w:r w:rsidR="00895664" w:rsidRPr="00B81ED0">
        <w:rPr>
          <w:rFonts w:ascii="ITC Avant Garde" w:eastAsia="Calibri" w:hAnsi="ITC Avant Garde" w:cs="Arial Unicode MS"/>
          <w:bCs/>
          <w:sz w:val="22"/>
          <w:szCs w:val="22"/>
          <w:u w:color="000000"/>
          <w:bdr w:val="nil"/>
          <w:lang w:val="es-ES_tradnl" w:eastAsia="es-MX"/>
        </w:rPr>
        <w:t>s</w:t>
      </w:r>
      <w:r w:rsidRPr="00B81ED0">
        <w:rPr>
          <w:rFonts w:ascii="ITC Avant Garde" w:eastAsia="Calibri" w:hAnsi="ITC Avant Garde" w:cs="Arial Unicode MS"/>
          <w:bCs/>
          <w:sz w:val="22"/>
          <w:szCs w:val="22"/>
          <w:u w:color="000000"/>
          <w:bdr w:val="nil"/>
          <w:lang w:val="es-ES_tradnl" w:eastAsia="es-MX"/>
        </w:rPr>
        <w:t xml:space="preserve"> haya</w:t>
      </w:r>
      <w:r w:rsidR="00895664" w:rsidRPr="00B81ED0">
        <w:rPr>
          <w:rFonts w:ascii="ITC Avant Garde" w:eastAsia="Calibri" w:hAnsi="ITC Avant Garde" w:cs="Arial Unicode MS"/>
          <w:bCs/>
          <w:sz w:val="22"/>
          <w:szCs w:val="22"/>
          <w:u w:color="000000"/>
          <w:bdr w:val="nil"/>
          <w:lang w:val="es-ES_tradnl" w:eastAsia="es-MX"/>
        </w:rPr>
        <w:t xml:space="preserve"> </w:t>
      </w:r>
      <w:r w:rsidRPr="00B81ED0">
        <w:rPr>
          <w:rFonts w:ascii="ITC Avant Garde" w:eastAsia="Calibri" w:hAnsi="ITC Avant Garde" w:cs="Arial Unicode MS"/>
          <w:bCs/>
          <w:sz w:val="22"/>
          <w:szCs w:val="22"/>
          <w:u w:color="000000"/>
          <w:bdr w:val="nil"/>
          <w:lang w:val="es-ES_tradnl" w:eastAsia="es-MX"/>
        </w:rPr>
        <w:t>emitido</w:t>
      </w:r>
      <w:r w:rsidRPr="00B81ED0">
        <w:rPr>
          <w:rFonts w:ascii="ITC Avant Garde" w:eastAsia="Calibri" w:hAnsi="ITC Avant Garde" w:cs="Arial Unicode MS"/>
          <w:bCs/>
          <w:sz w:val="22"/>
          <w:u w:color="000000"/>
          <w:bdr w:val="nil"/>
          <w:lang w:val="es-ES_tradnl" w:eastAsia="es-MX"/>
        </w:rPr>
        <w:t>.</w:t>
      </w:r>
    </w:p>
    <w:p w14:paraId="37BB7FCF" w14:textId="77777777" w:rsidR="00B81ED0" w:rsidRPr="00B81ED0" w:rsidRDefault="005B3785" w:rsidP="00B81ED0">
      <w:pPr>
        <w:spacing w:line="240" w:lineRule="auto"/>
        <w:contextualSpacing/>
        <w:jc w:val="both"/>
        <w:rPr>
          <w:rFonts w:ascii="ITC Avant Garde" w:eastAsia="Times New Roman" w:hAnsi="ITC Avant Garde" w:cs="Arial"/>
          <w:lang w:eastAsia="es-MX"/>
        </w:rPr>
      </w:pPr>
      <w:r w:rsidRPr="00B81ED0">
        <w:rPr>
          <w:rFonts w:ascii="ITC Avant Garde" w:eastAsia="Times New Roman" w:hAnsi="ITC Avant Garde" w:cs="Arial"/>
          <w:lang w:eastAsia="es-MX"/>
        </w:rPr>
        <w:t xml:space="preserve">Por lo </w:t>
      </w:r>
      <w:r w:rsidR="00340425" w:rsidRPr="00B81ED0">
        <w:rPr>
          <w:rFonts w:ascii="ITC Avant Garde" w:eastAsia="Times New Roman" w:hAnsi="ITC Avant Garde" w:cs="Arial"/>
          <w:lang w:eastAsia="es-MX"/>
        </w:rPr>
        <w:t>anterior y</w:t>
      </w:r>
      <w:r w:rsidRPr="00B81ED0">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17, fracción XV, 54, 78, fracción II</w:t>
      </w:r>
      <w:r w:rsidR="00E253E7" w:rsidRPr="00B81ED0">
        <w:rPr>
          <w:rFonts w:ascii="ITC Avant Garde" w:eastAsia="Times New Roman" w:hAnsi="ITC Avant Garde" w:cs="Arial"/>
          <w:lang w:eastAsia="es-MX"/>
        </w:rPr>
        <w:t xml:space="preserve"> y </w:t>
      </w:r>
      <w:r w:rsidRPr="00B81ED0">
        <w:rPr>
          <w:rFonts w:ascii="ITC Avant Garde" w:eastAsia="Times New Roman" w:hAnsi="ITC Avant Garde" w:cs="Arial"/>
          <w:lang w:eastAsia="es-MX"/>
        </w:rPr>
        <w:t>79 de la Ley Federal de Telecomunicaciones y Radiodifusió</w:t>
      </w:r>
      <w:r w:rsidR="007B7D93" w:rsidRPr="00B81ED0">
        <w:rPr>
          <w:rFonts w:ascii="ITC Avant Garde" w:eastAsia="Times New Roman" w:hAnsi="ITC Avant Garde" w:cs="Arial"/>
          <w:lang w:eastAsia="es-MX"/>
        </w:rPr>
        <w:t xml:space="preserve">n; </w:t>
      </w:r>
      <w:r w:rsidR="007B7D93" w:rsidRPr="00B81ED0">
        <w:rPr>
          <w:rFonts w:ascii="ITC Avant Garde" w:eastAsia="Times New Roman" w:hAnsi="ITC Avant Garde" w:cs="Arial"/>
          <w:lang w:eastAsia="es-MX"/>
        </w:rPr>
        <w:lastRenderedPageBreak/>
        <w:t>1, 4, fracción I, 6, fracciones</w:t>
      </w:r>
      <w:r w:rsidRPr="00B81ED0">
        <w:rPr>
          <w:rFonts w:ascii="ITC Avant Garde" w:eastAsia="Times New Roman" w:hAnsi="ITC Avant Garde" w:cs="Arial"/>
          <w:lang w:eastAsia="es-MX"/>
        </w:rPr>
        <w:t xml:space="preserve"> I</w:t>
      </w:r>
      <w:r w:rsidR="007B7D93" w:rsidRPr="00B81ED0">
        <w:rPr>
          <w:rFonts w:ascii="ITC Avant Garde" w:eastAsia="Times New Roman" w:hAnsi="ITC Avant Garde" w:cs="Arial"/>
          <w:lang w:eastAsia="es-MX"/>
        </w:rPr>
        <w:t xml:space="preserve"> y III</w:t>
      </w:r>
      <w:r w:rsidRPr="00B81ED0">
        <w:rPr>
          <w:rFonts w:ascii="ITC Avant Garde" w:eastAsia="Times New Roman" w:hAnsi="ITC Avant Garde" w:cs="Arial"/>
          <w:lang w:eastAsia="es-MX"/>
        </w:rPr>
        <w:t>, 27, 29, fracciones I y V</w:t>
      </w:r>
      <w:r w:rsidRPr="00B81ED0">
        <w:rPr>
          <w:rFonts w:ascii="ITC Avant Garde" w:hAnsi="ITC Avant Garde" w:cs="Arial"/>
        </w:rPr>
        <w:t xml:space="preserve"> </w:t>
      </w:r>
      <w:r w:rsidRPr="00B81ED0">
        <w:rPr>
          <w:rFonts w:ascii="ITC Avant Garde" w:eastAsia="Times New Roman" w:hAnsi="ITC Avant Garde" w:cs="Arial"/>
          <w:lang w:eastAsia="es-MX"/>
        </w:rPr>
        <w:t>del Estatuto Orgánico del Instituto Federal de Telecomunicaciones</w:t>
      </w:r>
      <w:r w:rsidR="009301D2" w:rsidRPr="00B81ED0">
        <w:rPr>
          <w:rFonts w:ascii="ITC Avant Garde" w:eastAsia="Times New Roman" w:hAnsi="ITC Avant Garde" w:cs="Arial"/>
          <w:lang w:eastAsia="es-MX"/>
        </w:rPr>
        <w:t>;</w:t>
      </w:r>
      <w:r w:rsidRPr="00B81ED0">
        <w:rPr>
          <w:rFonts w:ascii="ITC Avant Garde" w:eastAsia="Times New Roman" w:hAnsi="ITC Avant Garde" w:cs="Arial"/>
          <w:lang w:eastAsia="es-MX"/>
        </w:rPr>
        <w:t xml:space="preserve"> </w:t>
      </w:r>
      <w:r w:rsidR="00340425" w:rsidRPr="00B81ED0">
        <w:rPr>
          <w:rFonts w:ascii="ITC Avant Garde" w:eastAsia="Times New Roman" w:hAnsi="ITC Avant Garde" w:cs="Arial"/>
          <w:lang w:eastAsia="es-MX"/>
        </w:rPr>
        <w:t xml:space="preserve">así como los </w:t>
      </w:r>
      <w:r w:rsidR="00002535" w:rsidRPr="00B81ED0">
        <w:rPr>
          <w:rFonts w:ascii="ITC Avant Garde" w:eastAsia="Times New Roman" w:hAnsi="ITC Avant Garde" w:cs="Arial"/>
          <w:lang w:eastAsia="es-MX"/>
        </w:rPr>
        <w:t xml:space="preserve">numerales </w:t>
      </w:r>
      <w:r w:rsidRPr="00B81ED0">
        <w:rPr>
          <w:rFonts w:ascii="ITC Avant Garde" w:eastAsia="Times New Roman" w:hAnsi="ITC Avant Garde" w:cs="Arial"/>
          <w:lang w:eastAsia="es-MX"/>
        </w:rPr>
        <w:t>1, 5.4, 5.4.1</w:t>
      </w:r>
      <w:r w:rsidR="00996C0E" w:rsidRPr="00B81ED0">
        <w:rPr>
          <w:rFonts w:ascii="ITC Avant Garde" w:eastAsia="Times New Roman" w:hAnsi="ITC Avant Garde" w:cs="Arial"/>
          <w:lang w:eastAsia="es-MX"/>
        </w:rPr>
        <w:t xml:space="preserve">, </w:t>
      </w:r>
      <w:r w:rsidR="007B7D93" w:rsidRPr="00B81ED0">
        <w:rPr>
          <w:rFonts w:ascii="ITC Avant Garde" w:eastAsia="Times New Roman" w:hAnsi="ITC Avant Garde" w:cs="Arial"/>
          <w:lang w:eastAsia="es-MX"/>
        </w:rPr>
        <w:t xml:space="preserve">9, 9.1, 10, </w:t>
      </w:r>
      <w:r w:rsidR="00727E45" w:rsidRPr="00B81ED0">
        <w:rPr>
          <w:rFonts w:ascii="ITC Avant Garde" w:eastAsia="Times New Roman" w:hAnsi="ITC Avant Garde" w:cs="Arial"/>
          <w:lang w:eastAsia="es-MX"/>
        </w:rPr>
        <w:t>10.3 fracción</w:t>
      </w:r>
      <w:r w:rsidR="00CC42DA" w:rsidRPr="00B81ED0">
        <w:rPr>
          <w:rFonts w:ascii="ITC Avant Garde" w:eastAsia="Times New Roman" w:hAnsi="ITC Avant Garde" w:cs="Arial"/>
          <w:lang w:eastAsia="es-MX"/>
        </w:rPr>
        <w:t xml:space="preserve"> </w:t>
      </w:r>
      <w:r w:rsidR="00E253E7" w:rsidRPr="00B81ED0">
        <w:rPr>
          <w:rFonts w:ascii="ITC Avant Garde" w:eastAsia="Times New Roman" w:hAnsi="ITC Avant Garde" w:cs="Arial"/>
          <w:lang w:eastAsia="es-MX"/>
        </w:rPr>
        <w:t xml:space="preserve">I, 10.4 </w:t>
      </w:r>
      <w:r w:rsidRPr="00B81ED0">
        <w:rPr>
          <w:rFonts w:ascii="ITC Avant Garde" w:eastAsia="Times New Roman" w:hAnsi="ITC Avant Garde" w:cs="Arial"/>
          <w:lang w:eastAsia="es-MX"/>
        </w:rPr>
        <w:t>y 16.4</w:t>
      </w:r>
      <w:r w:rsidR="00E253E7" w:rsidRPr="00B81ED0">
        <w:rPr>
          <w:rFonts w:ascii="ITC Avant Garde" w:eastAsia="Times New Roman" w:hAnsi="ITC Avant Garde" w:cs="Arial"/>
          <w:lang w:eastAsia="es-MX"/>
        </w:rPr>
        <w:t xml:space="preserve"> d</w:t>
      </w:r>
      <w:r w:rsidRPr="00B81ED0">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DC7DCF" w:rsidRPr="00B81ED0">
        <w:rPr>
          <w:rFonts w:ascii="ITC Avant Garde" w:eastAsia="Times New Roman" w:hAnsi="ITC Avant Garde" w:cs="Arial"/>
          <w:lang w:eastAsia="es-MX"/>
        </w:rPr>
        <w:t xml:space="preserve"> </w:t>
      </w:r>
      <w:r w:rsidRPr="00B81ED0">
        <w:rPr>
          <w:rFonts w:ascii="ITC Avant Garde" w:eastAsia="Times New Roman" w:hAnsi="ITC Avant Garde" w:cs="Arial"/>
          <w:lang w:eastAsia="es-MX"/>
        </w:rPr>
        <w:t>el Pleno del Instituto Federal de Telecomunicaciones emite el siguiente:</w:t>
      </w:r>
    </w:p>
    <w:p w14:paraId="69C4F153" w14:textId="1F07CAC9" w:rsidR="00B81ED0" w:rsidRPr="00B81ED0" w:rsidRDefault="0007694F" w:rsidP="00B81ED0">
      <w:pPr>
        <w:pStyle w:val="Cuerpo"/>
        <w:spacing w:after="0" w:line="240" w:lineRule="auto"/>
        <w:jc w:val="center"/>
        <w:outlineLvl w:val="1"/>
        <w:rPr>
          <w:rFonts w:ascii="ITC Avant Garde" w:hAnsi="ITC Avant Garde"/>
          <w:b/>
          <w:bCs/>
          <w:color w:val="auto"/>
          <w:lang w:eastAsia="es-MX"/>
        </w:rPr>
      </w:pPr>
      <w:r w:rsidRPr="00B81ED0">
        <w:rPr>
          <w:rFonts w:ascii="ITC Avant Garde" w:hAnsi="ITC Avant Garde"/>
          <w:b/>
          <w:bCs/>
          <w:color w:val="auto"/>
          <w:lang w:eastAsia="es-MX"/>
        </w:rPr>
        <w:t>ACUERDO</w:t>
      </w:r>
    </w:p>
    <w:p w14:paraId="0B8445A1" w14:textId="77777777" w:rsidR="00B81ED0" w:rsidRDefault="00B81ED0" w:rsidP="00B81ED0">
      <w:pPr>
        <w:spacing w:line="240" w:lineRule="auto"/>
        <w:contextualSpacing/>
        <w:jc w:val="both"/>
        <w:rPr>
          <w:rFonts w:ascii="ITC Avant Garde" w:eastAsia="Arial Unicode MS" w:hAnsi="ITC Avant Garde" w:cs="Arial"/>
          <w:b/>
          <w:bCs/>
          <w:u w:color="000000"/>
          <w:bdr w:val="nil"/>
          <w:lang w:val="es-ES_tradnl"/>
        </w:rPr>
      </w:pPr>
    </w:p>
    <w:p w14:paraId="780DFA2E" w14:textId="44794FC5" w:rsidR="00B81ED0" w:rsidRDefault="00B81ED0" w:rsidP="00B81ED0">
      <w:pPr>
        <w:spacing w:line="240" w:lineRule="auto"/>
        <w:contextualSpacing/>
        <w:jc w:val="both"/>
        <w:rPr>
          <w:rFonts w:ascii="ITC Avant Garde" w:eastAsia="Times New Roman" w:hAnsi="ITC Avant Garde" w:cs="Arial"/>
          <w:bCs/>
          <w:u w:color="000000"/>
          <w:bdr w:val="nil"/>
          <w:lang w:val="es-ES_tradnl" w:eastAsia="es-MX"/>
        </w:rPr>
      </w:pPr>
      <w:r w:rsidRPr="00B81ED0">
        <w:rPr>
          <w:rFonts w:ascii="ITC Avant Garde" w:eastAsia="Arial Unicode MS" w:hAnsi="ITC Avant Garde" w:cs="Arial"/>
          <w:b/>
          <w:bCs/>
          <w:u w:color="000000"/>
          <w:bdr w:val="nil"/>
          <w:lang w:val="es-ES_tradnl"/>
        </w:rPr>
        <w:t>PRIMERO.</w:t>
      </w:r>
      <w:r>
        <w:rPr>
          <w:rFonts w:ascii="ITC Avant Garde" w:eastAsia="Arial Unicode MS" w:hAnsi="ITC Avant Garde" w:cs="Arial"/>
          <w:bCs/>
          <w:u w:color="000000"/>
          <w:bdr w:val="nil"/>
          <w:lang w:val="es-ES_tradnl"/>
        </w:rPr>
        <w:tab/>
      </w:r>
      <w:r w:rsidR="00616539" w:rsidRPr="00B81ED0">
        <w:rPr>
          <w:rFonts w:ascii="ITC Avant Garde" w:eastAsia="Arial Unicode MS" w:hAnsi="ITC Avant Garde" w:cs="Arial"/>
          <w:bCs/>
          <w:u w:color="000000"/>
          <w:bdr w:val="nil"/>
          <w:lang w:val="es-ES_tradnl"/>
        </w:rPr>
        <w:t>Se</w:t>
      </w:r>
      <w:r w:rsidR="00616539" w:rsidRPr="00B81ED0">
        <w:rPr>
          <w:rFonts w:ascii="ITC Avant Garde" w:eastAsia="Arial Unicode MS" w:hAnsi="ITC Avant Garde" w:cs="Arial"/>
          <w:u w:color="000000"/>
          <w:bdr w:val="nil"/>
          <w:lang w:val="es-ES_tradnl"/>
        </w:rPr>
        <w:t xml:space="preserve"> </w:t>
      </w:r>
      <w:r w:rsidR="009C396B" w:rsidRPr="00B81ED0">
        <w:rPr>
          <w:rFonts w:ascii="ITC Avant Garde" w:eastAsia="Arial Unicode MS" w:hAnsi="ITC Avant Garde" w:cs="Arial"/>
          <w:u w:color="000000"/>
          <w:bdr w:val="nil"/>
          <w:lang w:val="es-ES_tradnl"/>
        </w:rPr>
        <w:t xml:space="preserve">declara la </w:t>
      </w:r>
      <w:r w:rsidR="00616539" w:rsidRPr="00B81ED0">
        <w:rPr>
          <w:rFonts w:ascii="ITC Avant Garde" w:eastAsia="Arial Unicode MS" w:hAnsi="ITC Avant Garde" w:cs="Arial"/>
          <w:bCs/>
          <w:u w:color="000000"/>
          <w:bdr w:val="nil"/>
          <w:lang w:val="es-ES_tradnl"/>
        </w:rPr>
        <w:t>descalifica</w:t>
      </w:r>
      <w:r w:rsidR="009C396B" w:rsidRPr="00B81ED0">
        <w:rPr>
          <w:rFonts w:ascii="ITC Avant Garde" w:eastAsia="Arial Unicode MS" w:hAnsi="ITC Avant Garde" w:cs="Arial"/>
          <w:bCs/>
          <w:u w:color="000000"/>
          <w:bdr w:val="nil"/>
          <w:lang w:val="es-ES_tradnl"/>
        </w:rPr>
        <w:t>ción</w:t>
      </w:r>
      <w:r w:rsidR="00616539" w:rsidRPr="00B81ED0">
        <w:rPr>
          <w:rFonts w:ascii="ITC Avant Garde" w:eastAsia="Arial Unicode MS" w:hAnsi="ITC Avant Garde" w:cs="Arial"/>
          <w:bCs/>
          <w:u w:color="000000"/>
          <w:bdr w:val="nil"/>
          <w:lang w:val="es-ES_tradnl"/>
        </w:rPr>
        <w:t xml:space="preserve"> </w:t>
      </w:r>
      <w:r w:rsidR="009C396B" w:rsidRPr="00B81ED0">
        <w:rPr>
          <w:rFonts w:ascii="ITC Avant Garde" w:eastAsia="Arial Unicode MS" w:hAnsi="ITC Avant Garde" w:cs="Arial"/>
          <w:bCs/>
          <w:u w:color="000000"/>
          <w:bdr w:val="nil"/>
          <w:lang w:val="es-ES_tradnl"/>
        </w:rPr>
        <w:t>de</w:t>
      </w:r>
      <w:r w:rsidR="00616539" w:rsidRPr="00B81ED0">
        <w:rPr>
          <w:rFonts w:ascii="ITC Avant Garde" w:eastAsia="Arial Unicode MS" w:hAnsi="ITC Avant Garde" w:cs="Arial"/>
          <w:bCs/>
          <w:u w:color="000000"/>
          <w:bdr w:val="nil"/>
          <w:lang w:val="es-ES_tradnl"/>
        </w:rPr>
        <w:t xml:space="preserve"> </w:t>
      </w:r>
      <w:r w:rsidR="00651E72" w:rsidRPr="00B81ED0">
        <w:rPr>
          <w:rFonts w:ascii="ITC Avant Garde" w:eastAsia="Arial Unicode MS" w:hAnsi="ITC Avant Garde"/>
          <w:b/>
          <w:u w:color="000000"/>
          <w:bdr w:val="nil"/>
          <w:lang w:val="es-ES_tradnl"/>
        </w:rPr>
        <w:t>Mario Óscar Beteta Vallejo</w:t>
      </w:r>
      <w:r w:rsidR="00CF185A" w:rsidRPr="00B81ED0">
        <w:rPr>
          <w:rFonts w:ascii="ITC Avant Garde" w:hAnsi="ITC Avant Garde" w:cs="Arial"/>
          <w:b/>
          <w:kern w:val="2"/>
          <w:lang w:eastAsia="ar-SA"/>
        </w:rPr>
        <w:t>,</w:t>
      </w:r>
      <w:r w:rsidR="00CF185A" w:rsidRPr="00B81ED0">
        <w:rPr>
          <w:rFonts w:ascii="ITC Avant Garde" w:hAnsi="ITC Avant Garde" w:cs="Arial"/>
          <w:kern w:val="2"/>
          <w:lang w:eastAsia="ar-SA"/>
        </w:rPr>
        <w:t xml:space="preserve"> con número de Folio Único </w:t>
      </w:r>
      <w:r w:rsidR="00BB3582" w:rsidRPr="00B81ED0">
        <w:rPr>
          <w:rFonts w:ascii="ITC Avant Garde" w:hAnsi="ITC Avant Garde"/>
          <w:b/>
          <w:bCs/>
          <w:noProof/>
          <w:lang w:eastAsia="es-MX"/>
        </w:rPr>
        <w:t xml:space="preserve">BM-311022, </w:t>
      </w:r>
      <w:r w:rsidR="009339AB" w:rsidRPr="00B81ED0">
        <w:rPr>
          <w:rFonts w:ascii="ITC Avant Garde" w:eastAsia="Times New Roman" w:hAnsi="ITC Avant Garde" w:cs="Arial"/>
          <w:bCs/>
          <w:u w:color="000000"/>
          <w:bdr w:val="nil"/>
          <w:lang w:val="es-ES_tradnl" w:eastAsia="es-MX"/>
        </w:rPr>
        <w:t xml:space="preserve">en la </w:t>
      </w:r>
      <w:r w:rsidR="009C396B" w:rsidRPr="00B81ED0">
        <w:rPr>
          <w:rFonts w:ascii="ITC Avant Garde" w:eastAsia="Times New Roman" w:hAnsi="ITC Avant Garde" w:cs="Arial"/>
          <w:bCs/>
          <w:u w:color="000000"/>
          <w:bdr w:val="nil"/>
          <w:lang w:val="es-ES_tradnl" w:eastAsia="es-MX"/>
        </w:rPr>
        <w:t>L</w:t>
      </w:r>
      <w:r w:rsidR="00616539" w:rsidRPr="00B81ED0">
        <w:rPr>
          <w:rFonts w:ascii="ITC Avant Garde" w:eastAsia="Times New Roman" w:hAnsi="ITC Avant Garde" w:cs="Arial"/>
          <w:bCs/>
          <w:u w:color="000000"/>
          <w:bdr w:val="nil"/>
          <w:lang w:val="es-ES_tradnl" w:eastAsia="es-MX"/>
        </w:rPr>
        <w:t xml:space="preserve">icitación </w:t>
      </w:r>
      <w:r w:rsidR="009C396B" w:rsidRPr="00B81ED0">
        <w:rPr>
          <w:rFonts w:ascii="ITC Avant Garde" w:eastAsia="Times New Roman" w:hAnsi="ITC Avant Garde" w:cs="Arial"/>
          <w:bCs/>
          <w:u w:color="000000"/>
          <w:bdr w:val="nil"/>
          <w:lang w:val="es-ES_tradnl" w:eastAsia="es-MX"/>
        </w:rPr>
        <w:t>P</w:t>
      </w:r>
      <w:r w:rsidR="00616539" w:rsidRPr="00B81ED0">
        <w:rPr>
          <w:rFonts w:ascii="ITC Avant Garde" w:eastAsia="Times New Roman" w:hAnsi="ITC Avant Garde" w:cs="Arial"/>
          <w:bCs/>
          <w:u w:color="000000"/>
          <w:bdr w:val="nil"/>
          <w:lang w:val="es-ES_tradnl" w:eastAsia="es-MX"/>
        </w:rPr>
        <w:t xml:space="preserve">ública para </w:t>
      </w:r>
      <w:r w:rsidR="00616539" w:rsidRPr="00B81ED0">
        <w:rPr>
          <w:rFonts w:ascii="ITC Avant Garde" w:hAnsi="ITC Avant Garde"/>
        </w:rPr>
        <w:t xml:space="preserve">concesionar el uso, aprovechamiento y explotación comercial </w:t>
      </w:r>
      <w:r w:rsidR="00616539" w:rsidRPr="00B81ED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616539" w:rsidRPr="00B81ED0">
        <w:rPr>
          <w:rFonts w:ascii="ITC Avant Garde" w:hAnsi="ITC Avant Garde"/>
        </w:rPr>
        <w:t>(Licitación No. IFT-4),</w:t>
      </w:r>
      <w:r w:rsidR="00616539" w:rsidRPr="00B81ED0">
        <w:rPr>
          <w:rFonts w:ascii="ITC Avant Garde" w:eastAsia="Arial Unicode MS" w:hAnsi="ITC Avant Garde" w:cs="Arial Unicode MS"/>
          <w:kern w:val="1"/>
          <w:u w:color="000000"/>
          <w:bdr w:val="nil"/>
          <w:lang w:val="es-ES_tradnl" w:eastAsia="ar-SA"/>
        </w:rPr>
        <w:t xml:space="preserve"> </w:t>
      </w:r>
      <w:r w:rsidR="00B57AFB" w:rsidRPr="00B81ED0">
        <w:rPr>
          <w:rFonts w:ascii="ITC Avant Garde" w:eastAsia="ITC Avant Garde" w:hAnsi="ITC Avant Garde" w:cs="ITC Avant Garde"/>
          <w:kern w:val="2"/>
          <w:lang w:val="es-ES"/>
        </w:rPr>
        <w:t>respecto a</w:t>
      </w:r>
      <w:r w:rsidR="00CD37B2" w:rsidRPr="00B81ED0">
        <w:rPr>
          <w:rFonts w:ascii="ITC Avant Garde" w:eastAsia="ITC Avant Garde" w:hAnsi="ITC Avant Garde" w:cs="ITC Avant Garde"/>
          <w:kern w:val="2"/>
          <w:lang w:val="es-ES"/>
        </w:rPr>
        <w:t xml:space="preserve"> </w:t>
      </w:r>
      <w:r w:rsidR="00B57AFB" w:rsidRPr="00B81ED0">
        <w:rPr>
          <w:rFonts w:ascii="ITC Avant Garde" w:eastAsia="ITC Avant Garde" w:hAnsi="ITC Avant Garde" w:cs="ITC Avant Garde"/>
          <w:kern w:val="2"/>
          <w:lang w:val="es-ES"/>
        </w:rPr>
        <w:t>l</w:t>
      </w:r>
      <w:r w:rsidR="00CD37B2" w:rsidRPr="00B81ED0">
        <w:rPr>
          <w:rFonts w:ascii="ITC Avant Garde" w:eastAsia="ITC Avant Garde" w:hAnsi="ITC Avant Garde" w:cs="ITC Avant Garde"/>
          <w:kern w:val="2"/>
          <w:lang w:val="es-ES"/>
        </w:rPr>
        <w:t>os</w:t>
      </w:r>
      <w:r w:rsidR="00B57AFB" w:rsidRPr="00B81ED0">
        <w:rPr>
          <w:rFonts w:ascii="ITC Avant Garde" w:eastAsia="ITC Avant Garde" w:hAnsi="ITC Avant Garde" w:cs="ITC Avant Garde"/>
          <w:kern w:val="2"/>
          <w:lang w:val="es-ES"/>
        </w:rPr>
        <w:t xml:space="preserve"> Lote</w:t>
      </w:r>
      <w:r w:rsidR="00CD37B2" w:rsidRPr="00B81ED0">
        <w:rPr>
          <w:rFonts w:ascii="ITC Avant Garde" w:eastAsia="ITC Avant Garde" w:hAnsi="ITC Avant Garde" w:cs="ITC Avant Garde"/>
          <w:kern w:val="2"/>
          <w:lang w:val="es-ES"/>
        </w:rPr>
        <w:t>s</w:t>
      </w:r>
      <w:r w:rsidR="00B57AFB" w:rsidRPr="00B81ED0">
        <w:rPr>
          <w:rFonts w:ascii="ITC Avant Garde" w:eastAsia="ITC Avant Garde" w:hAnsi="ITC Avant Garde" w:cs="ITC Avant Garde"/>
          <w:kern w:val="2"/>
          <w:lang w:val="es-ES"/>
        </w:rPr>
        <w:t xml:space="preserve"> </w:t>
      </w:r>
      <w:r w:rsidR="00CD37B2" w:rsidRPr="00B81ED0">
        <w:rPr>
          <w:rFonts w:ascii="ITC Avant Garde" w:eastAsia="ITC Avant Garde" w:hAnsi="ITC Avant Garde" w:cs="ITC Avant Garde"/>
          <w:b/>
          <w:kern w:val="2"/>
          <w:lang w:val="es-ES"/>
        </w:rPr>
        <w:t>5</w:t>
      </w:r>
      <w:r w:rsidR="00CD37B2" w:rsidRPr="00B81ED0">
        <w:rPr>
          <w:rFonts w:ascii="ITC Avant Garde" w:eastAsia="ITC Avant Garde" w:hAnsi="ITC Avant Garde" w:cs="ITC Avant Garde"/>
          <w:kern w:val="2"/>
          <w:lang w:val="es-ES"/>
        </w:rPr>
        <w:t xml:space="preserve"> y </w:t>
      </w:r>
      <w:r w:rsidR="00CD37B2" w:rsidRPr="00B81ED0">
        <w:rPr>
          <w:rFonts w:ascii="ITC Avant Garde" w:eastAsia="ITC Avant Garde" w:hAnsi="ITC Avant Garde" w:cs="ITC Avant Garde"/>
          <w:b/>
          <w:kern w:val="2"/>
          <w:lang w:val="es-ES"/>
        </w:rPr>
        <w:t>11</w:t>
      </w:r>
      <w:r w:rsidR="00B57AFB" w:rsidRPr="00B81ED0">
        <w:rPr>
          <w:rFonts w:ascii="ITC Avant Garde" w:eastAsia="ITC Avant Garde" w:hAnsi="ITC Avant Garde" w:cs="ITC Avant Garde"/>
          <w:b/>
          <w:kern w:val="2"/>
          <w:lang w:val="es-ES"/>
        </w:rPr>
        <w:t>9</w:t>
      </w:r>
      <w:r w:rsidR="00E141C9" w:rsidRPr="00B81ED0">
        <w:rPr>
          <w:rFonts w:ascii="ITC Avant Garde" w:eastAsia="ITC Avant Garde" w:hAnsi="ITC Avant Garde" w:cs="ITC Avant Garde"/>
          <w:kern w:val="2"/>
          <w:lang w:val="es-ES"/>
        </w:rPr>
        <w:t xml:space="preserve"> de la Banda de FM, </w:t>
      </w:r>
      <w:r w:rsidR="00616539" w:rsidRPr="00B81ED0">
        <w:rPr>
          <w:rFonts w:ascii="ITC Avant Garde" w:eastAsia="Arial Unicode MS" w:hAnsi="ITC Avant Garde" w:cs="Arial Unicode MS"/>
          <w:kern w:val="1"/>
          <w:u w:color="000000"/>
          <w:bdr w:val="nil"/>
          <w:lang w:val="es-ES_tradnl" w:eastAsia="ar-SA"/>
        </w:rPr>
        <w:t xml:space="preserve">en términos del </w:t>
      </w:r>
      <w:r w:rsidR="00616539" w:rsidRPr="00B81ED0">
        <w:rPr>
          <w:rFonts w:ascii="ITC Avant Garde" w:eastAsia="Arial Unicode MS" w:hAnsi="ITC Avant Garde" w:cs="Arial Unicode MS"/>
          <w:b/>
          <w:kern w:val="1"/>
          <w:u w:color="000000"/>
          <w:bdr w:val="nil"/>
          <w:lang w:val="es-ES_tradnl" w:eastAsia="ar-SA"/>
        </w:rPr>
        <w:t xml:space="preserve">Considerando </w:t>
      </w:r>
      <w:r w:rsidR="00CD37B2" w:rsidRPr="00B81ED0">
        <w:rPr>
          <w:rFonts w:ascii="ITC Avant Garde" w:eastAsia="Arial Unicode MS" w:hAnsi="ITC Avant Garde" w:cs="Arial Unicode MS"/>
          <w:b/>
          <w:kern w:val="1"/>
          <w:u w:color="000000"/>
          <w:bdr w:val="nil"/>
          <w:lang w:val="es-ES_tradnl" w:eastAsia="ar-SA"/>
        </w:rPr>
        <w:t>QUINTO</w:t>
      </w:r>
      <w:r w:rsidR="00616539" w:rsidRPr="00B81ED0">
        <w:rPr>
          <w:rFonts w:ascii="ITC Avant Garde" w:eastAsia="Arial Unicode MS" w:hAnsi="ITC Avant Garde" w:cs="Arial Unicode MS"/>
          <w:b/>
          <w:kern w:val="1"/>
          <w:u w:color="000000"/>
          <w:bdr w:val="nil"/>
          <w:lang w:val="es-ES_tradnl" w:eastAsia="ar-SA"/>
        </w:rPr>
        <w:t xml:space="preserve"> </w:t>
      </w:r>
      <w:r w:rsidR="00616539" w:rsidRPr="00B81ED0">
        <w:rPr>
          <w:rFonts w:ascii="ITC Avant Garde" w:eastAsia="Arial Unicode MS" w:hAnsi="ITC Avant Garde" w:cs="Arial Unicode MS"/>
          <w:kern w:val="1"/>
          <w:u w:color="000000"/>
          <w:bdr w:val="nil"/>
          <w:lang w:val="es-ES_tradnl" w:eastAsia="ar-SA"/>
        </w:rPr>
        <w:t>del presente Acuerdo</w:t>
      </w:r>
      <w:r w:rsidR="00616539" w:rsidRPr="00B81ED0">
        <w:rPr>
          <w:rFonts w:ascii="ITC Avant Garde" w:eastAsia="Times New Roman" w:hAnsi="ITC Avant Garde" w:cs="Arial"/>
          <w:bCs/>
          <w:u w:color="000000"/>
          <w:bdr w:val="nil"/>
          <w:lang w:val="es-ES_tradnl" w:eastAsia="es-MX"/>
        </w:rPr>
        <w:t>.</w:t>
      </w:r>
    </w:p>
    <w:p w14:paraId="35C96DC1" w14:textId="77777777" w:rsidR="00B81ED0" w:rsidRPr="00B81ED0" w:rsidRDefault="00B81ED0" w:rsidP="00B81ED0">
      <w:pPr>
        <w:spacing w:line="240" w:lineRule="auto"/>
        <w:contextualSpacing/>
        <w:jc w:val="both"/>
        <w:rPr>
          <w:rFonts w:ascii="ITC Avant Garde" w:eastAsia="Times New Roman" w:hAnsi="ITC Avant Garde" w:cs="Arial"/>
          <w:bCs/>
          <w:u w:color="000000"/>
          <w:bdr w:val="nil"/>
          <w:lang w:val="es-ES_tradnl" w:eastAsia="es-MX"/>
        </w:rPr>
      </w:pPr>
    </w:p>
    <w:p w14:paraId="7D9F59D7" w14:textId="77777777" w:rsidR="00B81ED0" w:rsidRDefault="00B97021" w:rsidP="00B81ED0">
      <w:pPr>
        <w:spacing w:line="240" w:lineRule="auto"/>
        <w:contextualSpacing/>
        <w:jc w:val="both"/>
        <w:rPr>
          <w:rFonts w:ascii="ITC Avant Garde" w:eastAsia="Times New Roman" w:hAnsi="ITC Avant Garde" w:cs="Arial"/>
          <w:bCs/>
          <w:u w:color="000000"/>
          <w:bdr w:val="nil"/>
          <w:lang w:val="es-ES_tradnl" w:eastAsia="es-MX"/>
        </w:rPr>
      </w:pPr>
      <w:r w:rsidRPr="00B81ED0">
        <w:rPr>
          <w:rFonts w:ascii="ITC Avant Garde" w:eastAsia="Times New Roman" w:hAnsi="ITC Avant Garde" w:cs="Arial"/>
          <w:bCs/>
          <w:u w:color="000000"/>
          <w:bdr w:val="nil"/>
          <w:lang w:val="es-ES_tradnl" w:eastAsia="es-MX"/>
        </w:rPr>
        <w:t xml:space="preserve">En consecuencia, </w:t>
      </w:r>
      <w:r w:rsidR="00625386" w:rsidRPr="00B81ED0">
        <w:rPr>
          <w:rFonts w:ascii="ITC Avant Garde" w:eastAsia="Times New Roman" w:hAnsi="ITC Avant Garde" w:cs="Arial"/>
          <w:bCs/>
          <w:u w:color="000000"/>
          <w:bdr w:val="nil"/>
          <w:lang w:val="es-ES_tradnl" w:eastAsia="es-MX"/>
        </w:rPr>
        <w:t>queda</w:t>
      </w:r>
      <w:r w:rsidR="00CD37B2" w:rsidRPr="00B81ED0">
        <w:rPr>
          <w:rFonts w:ascii="ITC Avant Garde" w:eastAsia="Times New Roman" w:hAnsi="ITC Avant Garde" w:cs="Arial"/>
          <w:bCs/>
          <w:u w:color="000000"/>
          <w:bdr w:val="nil"/>
          <w:lang w:val="es-ES_tradnl" w:eastAsia="es-MX"/>
        </w:rPr>
        <w:t>n</w:t>
      </w:r>
      <w:r w:rsidR="00616539" w:rsidRPr="00B81ED0">
        <w:rPr>
          <w:rFonts w:ascii="ITC Avant Garde" w:eastAsia="Times New Roman" w:hAnsi="ITC Avant Garde" w:cs="Arial"/>
          <w:bCs/>
          <w:u w:color="000000"/>
          <w:bdr w:val="nil"/>
          <w:lang w:val="es-ES_tradnl" w:eastAsia="es-MX"/>
        </w:rPr>
        <w:t xml:space="preserve"> sin efectos </w:t>
      </w:r>
      <w:r w:rsidR="00CD35DF" w:rsidRPr="00B81ED0">
        <w:rPr>
          <w:rFonts w:ascii="ITC Avant Garde" w:eastAsia="Times New Roman" w:hAnsi="ITC Avant Garde" w:cs="Arial"/>
          <w:bCs/>
          <w:u w:color="000000"/>
          <w:bdr w:val="nil"/>
          <w:lang w:val="es-ES_tradnl" w:eastAsia="es-MX"/>
        </w:rPr>
        <w:t xml:space="preserve">la </w:t>
      </w:r>
      <w:r w:rsidR="00895664" w:rsidRPr="00B81ED0">
        <w:rPr>
          <w:rFonts w:ascii="ITC Avant Garde" w:hAnsi="ITC Avant Garde"/>
          <w:lang w:eastAsia="es-MX"/>
        </w:rPr>
        <w:t>“RESOLUCIÓN MEDIANTE LA CUAL EL PLENO DEL INSTITUTO FEDERAL DE TELECOMUNICACIONES DETERMINA Y HACE CONSTAR EL FALLO A FAVOR DEL PARTICIPANTE MARIO ÓSCAR BETETA VALLEJO CON NÚMERO DE FOLIO ÚNICO BM-311022, COMO NUEVO PARTICIPANTE GANADOR RESPECTO DEL LOTE 5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y la “RESOLUCIÓN MEDIANTE LA CUAL EL PLENO DEL INSTITUTO FEDERAL DE TELECOMUNICACIONES DETERMINA Y HACE CONSTAR EL FALLO A FAVOR DEL PARTICIPANTE MARIO ÓSCAR BETETA VALLEJO CON NÚMERO DE FOLIO ÚNICO BM-311022, COMO NUEVO PARTICIPANTE GANADOR RESPECTO DEL LOTE 119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CD35DF" w:rsidRPr="00B81ED0">
        <w:rPr>
          <w:rFonts w:ascii="ITC Avant Garde" w:eastAsia="ITC Avant Garde" w:hAnsi="ITC Avant Garde" w:cs="ITC Avant Garde"/>
          <w:iCs/>
          <w:lang w:val="es-ES"/>
        </w:rPr>
        <w:t>, emitida</w:t>
      </w:r>
      <w:r w:rsidR="00895664" w:rsidRPr="00B81ED0">
        <w:rPr>
          <w:rFonts w:ascii="ITC Avant Garde" w:eastAsia="ITC Avant Garde" w:hAnsi="ITC Avant Garde" w:cs="ITC Avant Garde"/>
          <w:iCs/>
          <w:lang w:val="es-ES"/>
        </w:rPr>
        <w:t>s</w:t>
      </w:r>
      <w:r w:rsidR="00CD35DF" w:rsidRPr="00B81ED0">
        <w:rPr>
          <w:rFonts w:ascii="ITC Avant Garde" w:eastAsia="ITC Avant Garde" w:hAnsi="ITC Avant Garde" w:cs="ITC Avant Garde"/>
          <w:iCs/>
          <w:lang w:val="es-ES"/>
        </w:rPr>
        <w:t xml:space="preserve"> el </w:t>
      </w:r>
      <w:r w:rsidR="00895664" w:rsidRPr="00B81ED0">
        <w:rPr>
          <w:rFonts w:ascii="ITC Avant Garde" w:eastAsia="ITC Avant Garde" w:hAnsi="ITC Avant Garde" w:cs="ITC Avant Garde"/>
          <w:iCs/>
          <w:lang w:val="es-ES"/>
        </w:rPr>
        <w:t>30 de may</w:t>
      </w:r>
      <w:r w:rsidR="00CD35DF" w:rsidRPr="00B81ED0">
        <w:rPr>
          <w:rFonts w:ascii="ITC Avant Garde" w:eastAsia="ITC Avant Garde" w:hAnsi="ITC Avant Garde" w:cs="ITC Avant Garde"/>
          <w:iCs/>
          <w:lang w:val="es-ES"/>
        </w:rPr>
        <w:t xml:space="preserve">o de 2017 por el Pleno del Instituto en su </w:t>
      </w:r>
      <w:r w:rsidR="00895664" w:rsidRPr="00B81ED0">
        <w:rPr>
          <w:rFonts w:ascii="ITC Avant Garde" w:eastAsia="ITC Avant Garde" w:hAnsi="ITC Avant Garde" w:cs="ITC Avant Garde"/>
          <w:iCs/>
          <w:lang w:val="es-ES"/>
        </w:rPr>
        <w:t>VIII Sesión Extrao</w:t>
      </w:r>
      <w:r w:rsidR="00CD35DF" w:rsidRPr="00B81ED0">
        <w:rPr>
          <w:rFonts w:ascii="ITC Avant Garde" w:eastAsia="ITC Avant Garde" w:hAnsi="ITC Avant Garde" w:cs="ITC Avant Garde"/>
          <w:iCs/>
          <w:lang w:val="es-ES"/>
        </w:rPr>
        <w:t xml:space="preserve">rdinaria, e identificada </w:t>
      </w:r>
      <w:r w:rsidR="00895664" w:rsidRPr="00B81ED0">
        <w:rPr>
          <w:rFonts w:ascii="ITC Avant Garde" w:eastAsia="ITC Avant Garde" w:hAnsi="ITC Avant Garde" w:cs="ITC Avant Garde"/>
          <w:iCs/>
          <w:lang w:val="es-ES"/>
        </w:rPr>
        <w:t xml:space="preserve">mediante </w:t>
      </w:r>
      <w:r w:rsidR="00895664" w:rsidRPr="00B81ED0">
        <w:rPr>
          <w:rFonts w:ascii="ITC Avant Garde" w:hAnsi="ITC Avant Garde"/>
          <w:lang w:eastAsia="es-MX"/>
        </w:rPr>
        <w:t>los Acuerdos P/IFT/EXT/300517/140 y P/IFT/EXT/300517/154, respectivamente</w:t>
      </w:r>
      <w:r w:rsidR="00616539" w:rsidRPr="00B81ED0">
        <w:rPr>
          <w:rFonts w:ascii="ITC Avant Garde" w:eastAsia="Times New Roman" w:hAnsi="ITC Avant Garde" w:cs="Arial"/>
          <w:bCs/>
          <w:u w:color="000000"/>
          <w:bdr w:val="nil"/>
          <w:lang w:val="es-ES_tradnl" w:eastAsia="es-MX"/>
        </w:rPr>
        <w:t>.</w:t>
      </w:r>
    </w:p>
    <w:p w14:paraId="4C500B2C" w14:textId="77777777" w:rsidR="00B81ED0" w:rsidRPr="00B81ED0" w:rsidRDefault="00B81ED0" w:rsidP="00B81ED0">
      <w:pPr>
        <w:spacing w:line="240" w:lineRule="auto"/>
        <w:contextualSpacing/>
        <w:jc w:val="both"/>
        <w:rPr>
          <w:rFonts w:ascii="ITC Avant Garde" w:eastAsia="Times New Roman" w:hAnsi="ITC Avant Garde" w:cs="Arial"/>
          <w:bCs/>
          <w:u w:color="000000"/>
          <w:bdr w:val="nil"/>
          <w:lang w:val="es-ES_tradnl" w:eastAsia="es-MX"/>
        </w:rPr>
      </w:pPr>
    </w:p>
    <w:p w14:paraId="5EB640B9" w14:textId="7256C30B" w:rsidR="00B81ED0" w:rsidRDefault="00B81ED0" w:rsidP="00B81ED0">
      <w:pPr>
        <w:spacing w:line="240" w:lineRule="auto"/>
        <w:contextualSpacing/>
        <w:jc w:val="both"/>
        <w:rPr>
          <w:rFonts w:ascii="ITC Avant Garde" w:eastAsia="Arial Unicode MS" w:hAnsi="ITC Avant Garde" w:cs="Arial"/>
          <w:bCs/>
          <w:u w:color="000000"/>
          <w:bdr w:val="nil"/>
          <w:lang w:val="es-ES_tradnl"/>
        </w:rPr>
      </w:pPr>
      <w:r w:rsidRPr="00B81ED0">
        <w:rPr>
          <w:rFonts w:ascii="ITC Avant Garde" w:eastAsia="Arial Unicode MS" w:hAnsi="ITC Avant Garde" w:cs="Arial"/>
          <w:b/>
          <w:bCs/>
          <w:u w:color="000000"/>
          <w:bdr w:val="nil"/>
          <w:lang w:val="es-ES_tradnl"/>
        </w:rPr>
        <w:t>SEGUNDO.</w:t>
      </w:r>
      <w:r>
        <w:rPr>
          <w:rFonts w:ascii="ITC Avant Garde" w:eastAsia="Arial Unicode MS" w:hAnsi="ITC Avant Garde" w:cs="Arial"/>
          <w:bCs/>
          <w:u w:color="000000"/>
          <w:bdr w:val="nil"/>
          <w:lang w:val="es-ES_tradnl"/>
        </w:rPr>
        <w:tab/>
      </w:r>
      <w:r w:rsidR="00B7211F" w:rsidRPr="00B81ED0">
        <w:rPr>
          <w:rFonts w:ascii="ITC Avant Garde" w:eastAsia="Arial Unicode MS" w:hAnsi="ITC Avant Garde" w:cs="Arial"/>
          <w:bCs/>
          <w:u w:color="000000"/>
          <w:bdr w:val="nil"/>
          <w:lang w:val="es-ES_tradnl"/>
        </w:rPr>
        <w:t xml:space="preserve">Se instruye a la Unidad de Espectro Radioeléctrico, para que notifique el presente Acuerdo a </w:t>
      </w:r>
      <w:r w:rsidR="00B7211F" w:rsidRPr="00B81ED0">
        <w:rPr>
          <w:rFonts w:ascii="ITC Avant Garde" w:eastAsia="Arial Unicode MS" w:hAnsi="ITC Avant Garde"/>
          <w:b/>
          <w:u w:color="000000"/>
          <w:bdr w:val="nil"/>
          <w:lang w:val="es-ES_tradnl"/>
        </w:rPr>
        <w:t>Mario Óscar Beteta Vallejo</w:t>
      </w:r>
      <w:r w:rsidR="00B7211F" w:rsidRPr="00B81ED0">
        <w:rPr>
          <w:rFonts w:ascii="ITC Avant Garde" w:eastAsia="Arial Unicode MS" w:hAnsi="ITC Avant Garde" w:cs="Arial"/>
          <w:bCs/>
          <w:u w:color="000000"/>
          <w:bdr w:val="nil"/>
          <w:lang w:val="es-ES_tradnl"/>
        </w:rPr>
        <w:t>, de manera electrónica a través del SERPO.</w:t>
      </w:r>
    </w:p>
    <w:p w14:paraId="1CD9C093" w14:textId="77777777" w:rsidR="00B81ED0" w:rsidRPr="00B81ED0" w:rsidRDefault="00B81ED0" w:rsidP="00B81ED0">
      <w:pPr>
        <w:spacing w:line="240" w:lineRule="auto"/>
        <w:contextualSpacing/>
        <w:jc w:val="both"/>
        <w:rPr>
          <w:rFonts w:ascii="ITC Avant Garde" w:eastAsia="Arial Unicode MS" w:hAnsi="ITC Avant Garde" w:cs="Arial"/>
          <w:bCs/>
          <w:u w:color="000000"/>
          <w:bdr w:val="nil"/>
          <w:lang w:val="es-ES_tradnl"/>
        </w:rPr>
      </w:pPr>
    </w:p>
    <w:p w14:paraId="2B8E4729" w14:textId="2D60FC45" w:rsidR="00B81ED0" w:rsidRDefault="00B81ED0" w:rsidP="00B81ED0">
      <w:pPr>
        <w:spacing w:line="240" w:lineRule="auto"/>
        <w:contextualSpacing/>
        <w:jc w:val="both"/>
        <w:rPr>
          <w:rFonts w:ascii="ITC Avant Garde" w:hAnsi="ITC Avant Garde"/>
        </w:rPr>
      </w:pPr>
      <w:r w:rsidRPr="00B81ED0">
        <w:rPr>
          <w:rFonts w:ascii="ITC Avant Garde" w:eastAsia="Times New Roman" w:hAnsi="ITC Avant Garde" w:cs="Arial"/>
          <w:b/>
          <w:bCs/>
          <w:u w:color="000000"/>
          <w:bdr w:val="nil"/>
          <w:lang w:val="es-ES_tradnl" w:eastAsia="es-MX"/>
        </w:rPr>
        <w:t>TERCERO.</w:t>
      </w:r>
      <w:r>
        <w:rPr>
          <w:rFonts w:ascii="ITC Avant Garde" w:eastAsia="Times New Roman" w:hAnsi="ITC Avant Garde" w:cs="Arial"/>
          <w:bCs/>
          <w:u w:color="000000"/>
          <w:bdr w:val="nil"/>
          <w:lang w:val="es-ES_tradnl" w:eastAsia="es-MX"/>
        </w:rPr>
        <w:tab/>
      </w:r>
      <w:r w:rsidR="00616539" w:rsidRPr="00B81ED0">
        <w:rPr>
          <w:rFonts w:ascii="ITC Avant Garde" w:eastAsia="Times New Roman" w:hAnsi="ITC Avant Garde" w:cs="Arial"/>
          <w:bCs/>
          <w:u w:color="000000"/>
          <w:bdr w:val="nil"/>
          <w:lang w:val="es-ES_tradnl" w:eastAsia="es-MX"/>
        </w:rPr>
        <w:t xml:space="preserve">Se instruye a la Unidad de Espectro Radioeléctrico para que </w:t>
      </w:r>
      <w:r w:rsidR="00C33605" w:rsidRPr="00B81ED0">
        <w:rPr>
          <w:rFonts w:ascii="ITC Avant Garde" w:eastAsia="Times New Roman" w:hAnsi="ITC Avant Garde" w:cs="Arial"/>
          <w:bCs/>
          <w:u w:color="000000"/>
          <w:bdr w:val="nil"/>
          <w:lang w:val="es-ES_tradnl" w:eastAsia="es-MX"/>
        </w:rPr>
        <w:t xml:space="preserve">en </w:t>
      </w:r>
      <w:r w:rsidR="005076B9" w:rsidRPr="00B81ED0">
        <w:rPr>
          <w:rFonts w:ascii="ITC Avant Garde" w:eastAsia="Times New Roman" w:hAnsi="ITC Avant Garde" w:cs="Arial"/>
          <w:bCs/>
          <w:u w:color="000000"/>
          <w:bdr w:val="nil"/>
          <w:lang w:val="es-ES_tradnl" w:eastAsia="es-MX"/>
        </w:rPr>
        <w:t xml:space="preserve">coordinación con la Tesorería de la Federación, </w:t>
      </w:r>
      <w:r w:rsidR="00616539" w:rsidRPr="00B81ED0">
        <w:rPr>
          <w:rFonts w:ascii="ITC Avant Garde" w:eastAsia="Times New Roman" w:hAnsi="ITC Avant Garde" w:cs="Arial"/>
          <w:bCs/>
          <w:u w:color="000000"/>
          <w:bdr w:val="nil"/>
          <w:lang w:val="es-ES_tradnl" w:eastAsia="es-MX"/>
        </w:rPr>
        <w:t>realice las  gestiones necesarias a efecto de que se ejecute</w:t>
      </w:r>
      <w:r w:rsidR="005076B9" w:rsidRPr="00B81ED0">
        <w:rPr>
          <w:rFonts w:ascii="ITC Avant Garde" w:eastAsia="Times New Roman" w:hAnsi="ITC Avant Garde" w:cs="Arial"/>
          <w:bCs/>
          <w:u w:color="000000"/>
          <w:bdr w:val="nil"/>
          <w:lang w:val="es-ES_tradnl" w:eastAsia="es-MX"/>
        </w:rPr>
        <w:t>n</w:t>
      </w:r>
      <w:r w:rsidR="00616539" w:rsidRPr="00B81ED0">
        <w:rPr>
          <w:rFonts w:ascii="ITC Avant Garde" w:eastAsia="Times New Roman" w:hAnsi="ITC Avant Garde" w:cs="Arial"/>
          <w:bCs/>
          <w:u w:color="000000"/>
          <w:bdr w:val="nil"/>
          <w:lang w:val="es-ES_tradnl" w:eastAsia="es-MX"/>
        </w:rPr>
        <w:t xml:space="preserve"> la</w:t>
      </w:r>
      <w:r w:rsidR="005076B9" w:rsidRPr="00B81ED0">
        <w:rPr>
          <w:rFonts w:ascii="ITC Avant Garde" w:eastAsia="Times New Roman" w:hAnsi="ITC Avant Garde" w:cs="Arial"/>
          <w:bCs/>
          <w:u w:color="000000"/>
          <w:bdr w:val="nil"/>
          <w:lang w:val="es-ES_tradnl" w:eastAsia="es-MX"/>
        </w:rPr>
        <w:t>s</w:t>
      </w:r>
      <w:r w:rsidR="00616539" w:rsidRPr="00B81ED0">
        <w:rPr>
          <w:rFonts w:ascii="ITC Avant Garde" w:eastAsia="Times New Roman" w:hAnsi="ITC Avant Garde" w:cs="Arial"/>
          <w:bCs/>
          <w:u w:color="000000"/>
          <w:bdr w:val="nil"/>
          <w:lang w:val="es-ES_tradnl" w:eastAsia="es-MX"/>
        </w:rPr>
        <w:t xml:space="preserve"> Garantía</w:t>
      </w:r>
      <w:r w:rsidR="005076B9" w:rsidRPr="00B81ED0">
        <w:rPr>
          <w:rFonts w:ascii="ITC Avant Garde" w:eastAsia="Times New Roman" w:hAnsi="ITC Avant Garde" w:cs="Arial"/>
          <w:bCs/>
          <w:u w:color="000000"/>
          <w:bdr w:val="nil"/>
          <w:lang w:val="es-ES_tradnl" w:eastAsia="es-MX"/>
        </w:rPr>
        <w:t>s</w:t>
      </w:r>
      <w:r w:rsidR="00616539" w:rsidRPr="00B81ED0">
        <w:rPr>
          <w:rFonts w:ascii="ITC Avant Garde" w:eastAsia="Times New Roman" w:hAnsi="ITC Avant Garde" w:cs="Arial"/>
          <w:bCs/>
          <w:u w:color="000000"/>
          <w:bdr w:val="nil"/>
          <w:lang w:val="es-ES_tradnl" w:eastAsia="es-MX"/>
        </w:rPr>
        <w:t xml:space="preserve"> de Seriedad presentada</w:t>
      </w:r>
      <w:r w:rsidR="005076B9" w:rsidRPr="00B81ED0">
        <w:rPr>
          <w:rFonts w:ascii="ITC Avant Garde" w:eastAsia="Times New Roman" w:hAnsi="ITC Avant Garde" w:cs="Arial"/>
          <w:bCs/>
          <w:u w:color="000000"/>
          <w:bdr w:val="nil"/>
          <w:lang w:val="es-ES_tradnl" w:eastAsia="es-MX"/>
        </w:rPr>
        <w:t>s</w:t>
      </w:r>
      <w:r w:rsidR="00616539" w:rsidRPr="00B81ED0">
        <w:rPr>
          <w:rFonts w:ascii="ITC Avant Garde" w:eastAsia="Times New Roman" w:hAnsi="ITC Avant Garde" w:cs="Arial"/>
          <w:bCs/>
          <w:u w:color="000000"/>
          <w:bdr w:val="nil"/>
          <w:lang w:val="es-ES_tradnl" w:eastAsia="es-MX"/>
        </w:rPr>
        <w:t xml:space="preserve"> por </w:t>
      </w:r>
      <w:r w:rsidR="00895664" w:rsidRPr="00B81ED0">
        <w:rPr>
          <w:rFonts w:ascii="ITC Avant Garde" w:eastAsia="Arial Unicode MS" w:hAnsi="ITC Avant Garde"/>
          <w:b/>
          <w:u w:color="000000"/>
          <w:bdr w:val="nil"/>
          <w:lang w:val="es-ES_tradnl"/>
        </w:rPr>
        <w:t>Mario Óscar Beteta Vallejo</w:t>
      </w:r>
      <w:r w:rsidR="00CF185A" w:rsidRPr="00B81ED0">
        <w:rPr>
          <w:rFonts w:ascii="ITC Avant Garde" w:hAnsi="ITC Avant Garde" w:cs="Arial"/>
          <w:kern w:val="2"/>
          <w:lang w:eastAsia="ar-SA"/>
        </w:rPr>
        <w:t xml:space="preserve">, con número de Folio Único </w:t>
      </w:r>
      <w:r w:rsidR="00BB3582" w:rsidRPr="00B81ED0">
        <w:rPr>
          <w:rFonts w:ascii="ITC Avant Garde" w:hAnsi="ITC Avant Garde"/>
          <w:b/>
          <w:bCs/>
          <w:noProof/>
          <w:lang w:eastAsia="es-MX"/>
        </w:rPr>
        <w:t>BM-311022</w:t>
      </w:r>
      <w:r w:rsidR="00616539" w:rsidRPr="00B81ED0">
        <w:rPr>
          <w:rFonts w:ascii="ITC Avant Garde" w:eastAsia="Times New Roman" w:hAnsi="ITC Avant Garde" w:cs="Arial"/>
          <w:bCs/>
          <w:u w:color="000000"/>
          <w:bdr w:val="nil"/>
          <w:lang w:val="es-ES_tradnl" w:eastAsia="es-MX"/>
        </w:rPr>
        <w:t xml:space="preserve">, </w:t>
      </w:r>
      <w:r w:rsidR="00CD35DF" w:rsidRPr="00B81ED0">
        <w:rPr>
          <w:rFonts w:ascii="ITC Avant Garde" w:eastAsia="Times New Roman" w:hAnsi="ITC Avant Garde" w:cs="Arial"/>
          <w:bCs/>
          <w:u w:color="000000"/>
          <w:bdr w:val="nil"/>
          <w:lang w:val="es-ES_tradnl" w:eastAsia="es-MX"/>
        </w:rPr>
        <w:t>por lo que respecta a</w:t>
      </w:r>
      <w:r w:rsidR="00895664" w:rsidRPr="00B81ED0">
        <w:rPr>
          <w:rFonts w:ascii="ITC Avant Garde" w:eastAsia="Times New Roman" w:hAnsi="ITC Avant Garde" w:cs="Arial"/>
          <w:bCs/>
          <w:u w:color="000000"/>
          <w:bdr w:val="nil"/>
          <w:lang w:val="es-ES_tradnl" w:eastAsia="es-MX"/>
        </w:rPr>
        <w:t xml:space="preserve"> </w:t>
      </w:r>
      <w:r w:rsidR="00CD35DF" w:rsidRPr="00B81ED0">
        <w:rPr>
          <w:rFonts w:ascii="ITC Avant Garde" w:eastAsia="Times New Roman" w:hAnsi="ITC Avant Garde" w:cs="Arial"/>
          <w:bCs/>
          <w:u w:color="000000"/>
          <w:bdr w:val="nil"/>
          <w:lang w:val="es-ES_tradnl" w:eastAsia="es-MX"/>
        </w:rPr>
        <w:t>l</w:t>
      </w:r>
      <w:r w:rsidR="00895664" w:rsidRPr="00B81ED0">
        <w:rPr>
          <w:rFonts w:ascii="ITC Avant Garde" w:eastAsia="Times New Roman" w:hAnsi="ITC Avant Garde" w:cs="Arial"/>
          <w:bCs/>
          <w:u w:color="000000"/>
          <w:bdr w:val="nil"/>
          <w:lang w:val="es-ES_tradnl" w:eastAsia="es-MX"/>
        </w:rPr>
        <w:t>os</w:t>
      </w:r>
      <w:r w:rsidR="00CD35DF" w:rsidRPr="00B81ED0">
        <w:rPr>
          <w:rFonts w:ascii="ITC Avant Garde" w:eastAsia="Times New Roman" w:hAnsi="ITC Avant Garde" w:cs="Arial"/>
          <w:bCs/>
          <w:u w:color="000000"/>
          <w:bdr w:val="nil"/>
          <w:lang w:val="es-ES_tradnl" w:eastAsia="es-MX"/>
        </w:rPr>
        <w:t xml:space="preserve"> Lote</w:t>
      </w:r>
      <w:r w:rsidR="00895664" w:rsidRPr="00B81ED0">
        <w:rPr>
          <w:rFonts w:ascii="ITC Avant Garde" w:eastAsia="Times New Roman" w:hAnsi="ITC Avant Garde" w:cs="Arial"/>
          <w:bCs/>
          <w:u w:color="000000"/>
          <w:bdr w:val="nil"/>
          <w:lang w:val="es-ES_tradnl" w:eastAsia="es-MX"/>
        </w:rPr>
        <w:t>s</w:t>
      </w:r>
      <w:r w:rsidR="00CD35DF" w:rsidRPr="00B81ED0">
        <w:rPr>
          <w:rFonts w:ascii="ITC Avant Garde" w:eastAsia="Times New Roman" w:hAnsi="ITC Avant Garde" w:cs="Arial"/>
          <w:bCs/>
          <w:u w:color="000000"/>
          <w:bdr w:val="nil"/>
          <w:lang w:val="es-ES_tradnl" w:eastAsia="es-MX"/>
        </w:rPr>
        <w:t xml:space="preserve"> </w:t>
      </w:r>
      <w:r w:rsidR="00895664" w:rsidRPr="00B81ED0">
        <w:rPr>
          <w:rFonts w:ascii="ITC Avant Garde" w:eastAsia="Times New Roman" w:hAnsi="ITC Avant Garde" w:cs="Arial"/>
          <w:b/>
          <w:bCs/>
          <w:u w:color="000000"/>
          <w:bdr w:val="nil"/>
          <w:lang w:val="es-ES_tradnl" w:eastAsia="es-MX"/>
        </w:rPr>
        <w:t xml:space="preserve">5 </w:t>
      </w:r>
      <w:r w:rsidR="00895664" w:rsidRPr="00B81ED0">
        <w:rPr>
          <w:rFonts w:ascii="ITC Avant Garde" w:eastAsia="Times New Roman" w:hAnsi="ITC Avant Garde" w:cs="Arial"/>
          <w:bCs/>
          <w:u w:color="000000"/>
          <w:bdr w:val="nil"/>
          <w:lang w:val="es-ES_tradnl" w:eastAsia="es-MX"/>
        </w:rPr>
        <w:t xml:space="preserve">y </w:t>
      </w:r>
      <w:r w:rsidR="00895664" w:rsidRPr="00B81ED0">
        <w:rPr>
          <w:rFonts w:ascii="ITC Avant Garde" w:eastAsia="Times New Roman" w:hAnsi="ITC Avant Garde" w:cs="Arial"/>
          <w:b/>
          <w:bCs/>
          <w:u w:color="000000"/>
          <w:bdr w:val="nil"/>
          <w:lang w:val="es-ES_tradnl" w:eastAsia="es-MX"/>
        </w:rPr>
        <w:t>11</w:t>
      </w:r>
      <w:r w:rsidR="00B57AFB" w:rsidRPr="00B81ED0">
        <w:rPr>
          <w:rFonts w:ascii="ITC Avant Garde" w:eastAsia="Times New Roman" w:hAnsi="ITC Avant Garde" w:cs="Arial"/>
          <w:b/>
          <w:bCs/>
          <w:u w:color="000000"/>
          <w:bdr w:val="nil"/>
          <w:lang w:val="es-ES_tradnl" w:eastAsia="es-MX"/>
        </w:rPr>
        <w:t>9</w:t>
      </w:r>
      <w:r w:rsidR="00CD35DF" w:rsidRPr="00B81ED0">
        <w:rPr>
          <w:rFonts w:ascii="ITC Avant Garde" w:eastAsia="Times New Roman" w:hAnsi="ITC Avant Garde" w:cs="Arial"/>
          <w:bCs/>
          <w:u w:color="000000"/>
          <w:bdr w:val="nil"/>
          <w:lang w:val="es-ES_tradnl" w:eastAsia="es-MX"/>
        </w:rPr>
        <w:t xml:space="preserve"> </w:t>
      </w:r>
      <w:r w:rsidR="00475F97" w:rsidRPr="00B81ED0">
        <w:rPr>
          <w:rFonts w:ascii="ITC Avant Garde" w:eastAsia="ITC Avant Garde" w:hAnsi="ITC Avant Garde" w:cs="ITC Avant Garde"/>
          <w:lang w:val="es-ES"/>
        </w:rPr>
        <w:t xml:space="preserve">de la Banda de FM </w:t>
      </w:r>
      <w:r w:rsidR="00AD7967" w:rsidRPr="00B81ED0">
        <w:rPr>
          <w:rFonts w:ascii="ITC Avant Garde" w:eastAsia="Times New Roman" w:hAnsi="ITC Avant Garde" w:cs="Arial"/>
          <w:bCs/>
          <w:u w:color="000000"/>
          <w:bdr w:val="nil"/>
          <w:lang w:val="es-ES_tradnl" w:eastAsia="es-MX"/>
        </w:rPr>
        <w:t xml:space="preserve">en la </w:t>
      </w:r>
      <w:r w:rsidR="009C396B" w:rsidRPr="00B81ED0">
        <w:rPr>
          <w:rFonts w:ascii="ITC Avant Garde" w:eastAsia="Times New Roman" w:hAnsi="ITC Avant Garde" w:cs="Arial"/>
          <w:bCs/>
          <w:u w:color="000000"/>
          <w:bdr w:val="nil"/>
          <w:lang w:val="es-ES_tradnl" w:eastAsia="es-MX"/>
        </w:rPr>
        <w:t>L</w:t>
      </w:r>
      <w:r w:rsidR="00616539" w:rsidRPr="00B81ED0">
        <w:rPr>
          <w:rFonts w:ascii="ITC Avant Garde" w:eastAsia="Times New Roman" w:hAnsi="ITC Avant Garde" w:cs="Arial"/>
          <w:bCs/>
          <w:u w:color="000000"/>
          <w:bdr w:val="nil"/>
          <w:lang w:val="es-ES_tradnl" w:eastAsia="es-MX"/>
        </w:rPr>
        <w:t xml:space="preserve">icitación </w:t>
      </w:r>
      <w:r w:rsidR="009C396B" w:rsidRPr="00B81ED0">
        <w:rPr>
          <w:rFonts w:ascii="ITC Avant Garde" w:eastAsia="Times New Roman" w:hAnsi="ITC Avant Garde" w:cs="Arial"/>
          <w:bCs/>
          <w:u w:color="000000"/>
          <w:bdr w:val="nil"/>
          <w:lang w:val="es-ES_tradnl" w:eastAsia="es-MX"/>
        </w:rPr>
        <w:t>P</w:t>
      </w:r>
      <w:r w:rsidR="00616539" w:rsidRPr="00B81ED0">
        <w:rPr>
          <w:rFonts w:ascii="ITC Avant Garde" w:eastAsia="Times New Roman" w:hAnsi="ITC Avant Garde" w:cs="Arial"/>
          <w:bCs/>
          <w:u w:color="000000"/>
          <w:bdr w:val="nil"/>
          <w:lang w:val="es-ES_tradnl" w:eastAsia="es-MX"/>
        </w:rPr>
        <w:t xml:space="preserve">ública para </w:t>
      </w:r>
      <w:r w:rsidR="00616539" w:rsidRPr="00B81ED0">
        <w:rPr>
          <w:rFonts w:ascii="ITC Avant Garde" w:hAnsi="ITC Avant Garde"/>
        </w:rPr>
        <w:t xml:space="preserve">concesionar el uso, aprovechamiento y explotación comercial </w:t>
      </w:r>
      <w:r w:rsidR="00616539" w:rsidRPr="00B81ED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616539" w:rsidRPr="00B81ED0">
        <w:rPr>
          <w:rFonts w:ascii="ITC Avant Garde" w:hAnsi="ITC Avant Garde"/>
        </w:rPr>
        <w:t>(Licitación No. IFT-4).</w:t>
      </w:r>
    </w:p>
    <w:p w14:paraId="68BD96D3" w14:textId="77777777" w:rsidR="00B81ED0" w:rsidRPr="00B81ED0" w:rsidRDefault="00B81ED0" w:rsidP="00B81ED0">
      <w:pPr>
        <w:spacing w:line="240" w:lineRule="auto"/>
        <w:contextualSpacing/>
        <w:jc w:val="both"/>
        <w:rPr>
          <w:rFonts w:ascii="ITC Avant Garde" w:eastAsia="Times New Roman" w:hAnsi="ITC Avant Garde" w:cs="Arial"/>
          <w:bCs/>
          <w:u w:color="000000"/>
          <w:bdr w:val="nil"/>
          <w:lang w:val="es-ES_tradnl" w:eastAsia="es-MX"/>
        </w:rPr>
      </w:pPr>
    </w:p>
    <w:p w14:paraId="742419AC" w14:textId="7D7875A5" w:rsidR="00B81ED0" w:rsidRDefault="00B81ED0" w:rsidP="00B81ED0">
      <w:pPr>
        <w:spacing w:line="240" w:lineRule="auto"/>
        <w:contextualSpacing/>
        <w:jc w:val="both"/>
        <w:rPr>
          <w:rFonts w:ascii="ITC Avant Garde" w:eastAsia="Times New Roman" w:hAnsi="ITC Avant Garde" w:cs="Arial"/>
          <w:bCs/>
          <w:u w:color="000000"/>
          <w:bdr w:val="nil"/>
          <w:lang w:val="es-ES_tradnl" w:eastAsia="es-MX"/>
        </w:rPr>
      </w:pPr>
      <w:r w:rsidRPr="00B81ED0">
        <w:rPr>
          <w:rFonts w:ascii="ITC Avant Garde" w:eastAsia="Times New Roman" w:hAnsi="ITC Avant Garde" w:cs="Arial"/>
          <w:b/>
          <w:bCs/>
          <w:u w:color="000000"/>
          <w:bdr w:val="nil"/>
          <w:lang w:val="es-ES_tradnl" w:eastAsia="es-MX"/>
        </w:rPr>
        <w:t>CUARTO.</w:t>
      </w:r>
      <w:r>
        <w:rPr>
          <w:rFonts w:ascii="ITC Avant Garde" w:eastAsia="Times New Roman" w:hAnsi="ITC Avant Garde" w:cs="Arial"/>
          <w:bCs/>
          <w:u w:color="000000"/>
          <w:bdr w:val="nil"/>
          <w:lang w:val="es-ES_tradnl" w:eastAsia="es-MX"/>
        </w:rPr>
        <w:tab/>
      </w:r>
      <w:r w:rsidR="005B4E0F" w:rsidRPr="00B81ED0">
        <w:rPr>
          <w:rFonts w:ascii="ITC Avant Garde" w:eastAsia="Times New Roman" w:hAnsi="ITC Avant Garde" w:cs="Arial"/>
          <w:bCs/>
          <w:u w:color="000000"/>
          <w:bdr w:val="nil"/>
          <w:lang w:val="es-ES_tradnl" w:eastAsia="es-MX"/>
        </w:rPr>
        <w:t xml:space="preserve">Se instruye a la Unidad de Espectro Radioeléctrico para </w:t>
      </w:r>
      <w:r w:rsidR="003F62FE" w:rsidRPr="00B81ED0">
        <w:rPr>
          <w:rFonts w:ascii="ITC Avant Garde" w:eastAsia="Times New Roman" w:hAnsi="ITC Avant Garde" w:cs="Arial"/>
          <w:bCs/>
          <w:u w:color="000000"/>
          <w:bdr w:val="nil"/>
          <w:lang w:val="es-ES_tradnl" w:eastAsia="es-MX"/>
        </w:rPr>
        <w:t xml:space="preserve">que </w:t>
      </w:r>
      <w:r w:rsidR="005B4E0F" w:rsidRPr="00B81ED0">
        <w:rPr>
          <w:rFonts w:ascii="ITC Avant Garde" w:eastAsia="Times New Roman" w:hAnsi="ITC Avant Garde" w:cs="Arial"/>
          <w:bCs/>
          <w:u w:color="000000"/>
          <w:bdr w:val="nil"/>
          <w:lang w:val="es-ES_tradnl" w:eastAsia="es-MX"/>
        </w:rPr>
        <w:t xml:space="preserve">someta a consideración del Pleno, en su caso, la emisión </w:t>
      </w:r>
      <w:r w:rsidR="00722AB6" w:rsidRPr="00B81ED0">
        <w:rPr>
          <w:rFonts w:ascii="ITC Avant Garde" w:eastAsia="Times New Roman" w:hAnsi="ITC Avant Garde" w:cs="Arial"/>
          <w:bCs/>
          <w:u w:color="000000"/>
          <w:bdr w:val="nil"/>
          <w:lang w:val="es-ES_tradnl" w:eastAsia="es-MX"/>
        </w:rPr>
        <w:t xml:space="preserve">de </w:t>
      </w:r>
      <w:r w:rsidR="005B4E0F" w:rsidRPr="00B81ED0">
        <w:rPr>
          <w:rFonts w:ascii="ITC Avant Garde" w:eastAsia="Times New Roman" w:hAnsi="ITC Avant Garde" w:cs="Arial"/>
          <w:bCs/>
          <w:u w:color="000000"/>
          <w:bdr w:val="nil"/>
          <w:lang w:val="es-ES_tradnl" w:eastAsia="es-MX"/>
        </w:rPr>
        <w:t>nueva</w:t>
      </w:r>
      <w:r w:rsidR="005076B9" w:rsidRPr="00B81ED0">
        <w:rPr>
          <w:rFonts w:ascii="ITC Avant Garde" w:eastAsia="Times New Roman" w:hAnsi="ITC Avant Garde" w:cs="Arial"/>
          <w:bCs/>
          <w:u w:color="000000"/>
          <w:bdr w:val="nil"/>
          <w:lang w:val="es-ES_tradnl" w:eastAsia="es-MX"/>
        </w:rPr>
        <w:t>s resoluciones en las que conste el a</w:t>
      </w:r>
      <w:r w:rsidR="005B4E0F" w:rsidRPr="00B81ED0">
        <w:rPr>
          <w:rFonts w:ascii="ITC Avant Garde" w:eastAsia="Times New Roman" w:hAnsi="ITC Avant Garde" w:cs="Arial"/>
          <w:bCs/>
          <w:u w:color="000000"/>
          <w:bdr w:val="nil"/>
          <w:lang w:val="es-ES_tradnl" w:eastAsia="es-MX"/>
        </w:rPr>
        <w:t>cta</w:t>
      </w:r>
      <w:r w:rsidR="005076B9" w:rsidRPr="00B81ED0">
        <w:rPr>
          <w:rFonts w:ascii="ITC Avant Garde" w:eastAsia="Times New Roman" w:hAnsi="ITC Avant Garde" w:cs="Arial"/>
          <w:bCs/>
          <w:u w:color="000000"/>
          <w:bdr w:val="nil"/>
          <w:lang w:val="es-ES_tradnl" w:eastAsia="es-MX"/>
        </w:rPr>
        <w:t xml:space="preserve"> de f</w:t>
      </w:r>
      <w:r w:rsidR="005B4E0F" w:rsidRPr="00B81ED0">
        <w:rPr>
          <w:rFonts w:ascii="ITC Avant Garde" w:eastAsia="Times New Roman" w:hAnsi="ITC Avant Garde" w:cs="Arial"/>
          <w:bCs/>
          <w:u w:color="000000"/>
          <w:bdr w:val="nil"/>
          <w:lang w:val="es-ES_tradnl" w:eastAsia="es-MX"/>
        </w:rPr>
        <w:t>allo a favor de</w:t>
      </w:r>
      <w:r w:rsidR="005076B9" w:rsidRPr="00B81ED0">
        <w:rPr>
          <w:rFonts w:ascii="ITC Avant Garde" w:eastAsia="Times New Roman" w:hAnsi="ITC Avant Garde" w:cs="Arial"/>
          <w:bCs/>
          <w:u w:color="000000"/>
          <w:bdr w:val="nil"/>
          <w:lang w:val="es-ES_tradnl" w:eastAsia="es-MX"/>
        </w:rPr>
        <w:t xml:space="preserve"> </w:t>
      </w:r>
      <w:r w:rsidR="005B4E0F" w:rsidRPr="00B81ED0">
        <w:rPr>
          <w:rFonts w:ascii="ITC Avant Garde" w:eastAsia="Times New Roman" w:hAnsi="ITC Avant Garde" w:cs="Arial"/>
          <w:bCs/>
          <w:u w:color="000000"/>
          <w:bdr w:val="nil"/>
          <w:lang w:val="es-ES_tradnl" w:eastAsia="es-MX"/>
        </w:rPr>
        <w:t>l</w:t>
      </w:r>
      <w:r w:rsidR="005076B9" w:rsidRPr="00B81ED0">
        <w:rPr>
          <w:rFonts w:ascii="ITC Avant Garde" w:eastAsia="Times New Roman" w:hAnsi="ITC Avant Garde" w:cs="Arial"/>
          <w:bCs/>
          <w:u w:color="000000"/>
          <w:bdr w:val="nil"/>
          <w:lang w:val="es-ES_tradnl" w:eastAsia="es-MX"/>
        </w:rPr>
        <w:t>os</w:t>
      </w:r>
      <w:r w:rsidR="005B4E0F" w:rsidRPr="00B81ED0">
        <w:rPr>
          <w:rFonts w:ascii="ITC Avant Garde" w:eastAsia="Times New Roman" w:hAnsi="ITC Avant Garde" w:cs="Arial"/>
          <w:bCs/>
          <w:u w:color="000000"/>
          <w:bdr w:val="nil"/>
          <w:lang w:val="es-ES_tradnl" w:eastAsia="es-MX"/>
        </w:rPr>
        <w:t xml:space="preserve"> Participante</w:t>
      </w:r>
      <w:r w:rsidR="005076B9" w:rsidRPr="00B81ED0">
        <w:rPr>
          <w:rFonts w:ascii="ITC Avant Garde" w:eastAsia="Times New Roman" w:hAnsi="ITC Avant Garde" w:cs="Arial"/>
          <w:bCs/>
          <w:u w:color="000000"/>
          <w:bdr w:val="nil"/>
          <w:lang w:val="es-ES_tradnl" w:eastAsia="es-MX"/>
        </w:rPr>
        <w:t>s</w:t>
      </w:r>
      <w:r w:rsidR="005B4E0F" w:rsidRPr="00B81ED0">
        <w:rPr>
          <w:rFonts w:ascii="ITC Avant Garde" w:eastAsia="Times New Roman" w:hAnsi="ITC Avant Garde" w:cs="Arial"/>
          <w:bCs/>
          <w:u w:color="000000"/>
          <w:bdr w:val="nil"/>
          <w:lang w:val="es-ES_tradnl" w:eastAsia="es-MX"/>
        </w:rPr>
        <w:t xml:space="preserve"> con la Oferta</w:t>
      </w:r>
      <w:r w:rsidR="005076B9" w:rsidRPr="00B81ED0">
        <w:rPr>
          <w:rFonts w:ascii="ITC Avant Garde" w:eastAsia="Times New Roman" w:hAnsi="ITC Avant Garde" w:cs="Arial"/>
          <w:bCs/>
          <w:u w:color="000000"/>
          <w:bdr w:val="nil"/>
          <w:lang w:val="es-ES_tradnl" w:eastAsia="es-MX"/>
        </w:rPr>
        <w:t>s</w:t>
      </w:r>
      <w:r w:rsidR="005B4E0F" w:rsidRPr="00B81ED0">
        <w:rPr>
          <w:rFonts w:ascii="ITC Avant Garde" w:eastAsia="Times New Roman" w:hAnsi="ITC Avant Garde" w:cs="Arial"/>
          <w:bCs/>
          <w:u w:color="000000"/>
          <w:bdr w:val="nil"/>
          <w:lang w:val="es-ES_tradnl" w:eastAsia="es-MX"/>
        </w:rPr>
        <w:t xml:space="preserve"> Subsecuente</w:t>
      </w:r>
      <w:r w:rsidR="005076B9" w:rsidRPr="00B81ED0">
        <w:rPr>
          <w:rFonts w:ascii="ITC Avant Garde" w:eastAsia="Times New Roman" w:hAnsi="ITC Avant Garde" w:cs="Arial"/>
          <w:bCs/>
          <w:u w:color="000000"/>
          <w:bdr w:val="nil"/>
          <w:lang w:val="es-ES_tradnl" w:eastAsia="es-MX"/>
        </w:rPr>
        <w:t>s</w:t>
      </w:r>
      <w:r w:rsidR="005B4E0F" w:rsidRPr="00B81ED0">
        <w:rPr>
          <w:rFonts w:ascii="ITC Avant Garde" w:eastAsia="Times New Roman" w:hAnsi="ITC Avant Garde" w:cs="Arial"/>
          <w:bCs/>
          <w:u w:color="000000"/>
          <w:bdr w:val="nil"/>
          <w:lang w:val="es-ES_tradnl" w:eastAsia="es-MX"/>
        </w:rPr>
        <w:t xml:space="preserve"> más Alta</w:t>
      </w:r>
      <w:r w:rsidR="005076B9" w:rsidRPr="00B81ED0">
        <w:rPr>
          <w:rFonts w:ascii="ITC Avant Garde" w:eastAsia="Times New Roman" w:hAnsi="ITC Avant Garde" w:cs="Arial"/>
          <w:bCs/>
          <w:u w:color="000000"/>
          <w:bdr w:val="nil"/>
          <w:lang w:val="es-ES_tradnl" w:eastAsia="es-MX"/>
        </w:rPr>
        <w:t>s</w:t>
      </w:r>
      <w:r w:rsidR="005B4E0F" w:rsidRPr="00B81ED0">
        <w:rPr>
          <w:rFonts w:ascii="ITC Avant Garde" w:eastAsia="Times New Roman" w:hAnsi="ITC Avant Garde" w:cs="Arial"/>
          <w:bCs/>
          <w:u w:color="000000"/>
          <w:bdr w:val="nil"/>
          <w:lang w:val="es-ES_tradnl" w:eastAsia="es-MX"/>
        </w:rPr>
        <w:t xml:space="preserve"> que haya</w:t>
      </w:r>
      <w:r w:rsidR="005076B9" w:rsidRPr="00B81ED0">
        <w:rPr>
          <w:rFonts w:ascii="ITC Avant Garde" w:eastAsia="Times New Roman" w:hAnsi="ITC Avant Garde" w:cs="Arial"/>
          <w:bCs/>
          <w:u w:color="000000"/>
          <w:bdr w:val="nil"/>
          <w:lang w:val="es-ES_tradnl" w:eastAsia="es-MX"/>
        </w:rPr>
        <w:t>n</w:t>
      </w:r>
      <w:r w:rsidR="005B4E0F" w:rsidRPr="00B81ED0">
        <w:rPr>
          <w:rFonts w:ascii="ITC Avant Garde" w:eastAsia="Times New Roman" w:hAnsi="ITC Avant Garde" w:cs="Arial"/>
          <w:bCs/>
          <w:u w:color="000000"/>
          <w:bdr w:val="nil"/>
          <w:lang w:val="es-ES_tradnl" w:eastAsia="es-MX"/>
        </w:rPr>
        <w:t xml:space="preserve"> manifestado su interés en continuar en </w:t>
      </w:r>
      <w:r w:rsidR="003F62FE" w:rsidRPr="00B81ED0">
        <w:rPr>
          <w:rFonts w:ascii="ITC Avant Garde" w:eastAsia="Times New Roman" w:hAnsi="ITC Avant Garde" w:cs="Arial"/>
          <w:bCs/>
          <w:u w:color="000000"/>
          <w:bdr w:val="nil"/>
          <w:lang w:val="es-ES_tradnl" w:eastAsia="es-MX"/>
        </w:rPr>
        <w:t xml:space="preserve">la </w:t>
      </w:r>
      <w:r w:rsidR="005B4E0F" w:rsidRPr="00B81ED0">
        <w:rPr>
          <w:rFonts w:ascii="ITC Avant Garde" w:eastAsia="Times New Roman" w:hAnsi="ITC Avant Garde" w:cs="Arial"/>
          <w:bCs/>
          <w:u w:color="000000"/>
          <w:bdr w:val="nil"/>
          <w:lang w:val="es-ES_tradnl" w:eastAsia="es-MX"/>
        </w:rPr>
        <w:t>Licitación, en términos del Apéndice G de las Bases</w:t>
      </w:r>
      <w:r w:rsidR="00994520" w:rsidRPr="00B81ED0">
        <w:rPr>
          <w:rFonts w:ascii="ITC Avant Garde" w:eastAsia="Times New Roman" w:hAnsi="ITC Avant Garde" w:cs="Arial"/>
          <w:bCs/>
          <w:u w:color="000000"/>
          <w:bdr w:val="nil"/>
          <w:lang w:val="es-ES_tradnl" w:eastAsia="es-MX"/>
        </w:rPr>
        <w:t xml:space="preserve"> y no haya</w:t>
      </w:r>
      <w:r w:rsidR="005076B9" w:rsidRPr="00B81ED0">
        <w:rPr>
          <w:rFonts w:ascii="ITC Avant Garde" w:eastAsia="Times New Roman" w:hAnsi="ITC Avant Garde" w:cs="Arial"/>
          <w:bCs/>
          <w:u w:color="000000"/>
          <w:bdr w:val="nil"/>
          <w:lang w:val="es-ES_tradnl" w:eastAsia="es-MX"/>
        </w:rPr>
        <w:t>n</w:t>
      </w:r>
      <w:r w:rsidR="00994520" w:rsidRPr="00B81ED0">
        <w:rPr>
          <w:rFonts w:ascii="ITC Avant Garde" w:eastAsia="Times New Roman" w:hAnsi="ITC Avant Garde" w:cs="Arial"/>
          <w:bCs/>
          <w:u w:color="000000"/>
          <w:bdr w:val="nil"/>
          <w:lang w:val="es-ES_tradnl" w:eastAsia="es-MX"/>
        </w:rPr>
        <w:t xml:space="preserve"> sido descalificado</w:t>
      </w:r>
      <w:r w:rsidR="00722AB6" w:rsidRPr="00B81ED0">
        <w:rPr>
          <w:rFonts w:ascii="ITC Avant Garde" w:eastAsia="Times New Roman" w:hAnsi="ITC Avant Garde" w:cs="Arial"/>
          <w:bCs/>
          <w:u w:color="000000"/>
          <w:bdr w:val="nil"/>
          <w:lang w:val="es-ES_tradnl" w:eastAsia="es-MX"/>
        </w:rPr>
        <w:t>s</w:t>
      </w:r>
      <w:r w:rsidR="00994520" w:rsidRPr="00B81ED0">
        <w:rPr>
          <w:rFonts w:ascii="ITC Avant Garde" w:eastAsia="Times New Roman" w:hAnsi="ITC Avant Garde" w:cs="Arial"/>
          <w:bCs/>
          <w:u w:color="000000"/>
          <w:bdr w:val="nil"/>
          <w:lang w:val="es-ES_tradnl" w:eastAsia="es-MX"/>
        </w:rPr>
        <w:t xml:space="preserve"> respecto a</w:t>
      </w:r>
      <w:r w:rsidR="005076B9" w:rsidRPr="00B81ED0">
        <w:rPr>
          <w:rFonts w:ascii="ITC Avant Garde" w:eastAsia="Times New Roman" w:hAnsi="ITC Avant Garde" w:cs="Arial"/>
          <w:bCs/>
          <w:u w:color="000000"/>
          <w:bdr w:val="nil"/>
          <w:lang w:val="es-ES_tradnl" w:eastAsia="es-MX"/>
        </w:rPr>
        <w:t>l</w:t>
      </w:r>
      <w:r w:rsidR="00994520" w:rsidRPr="00B81ED0">
        <w:rPr>
          <w:rFonts w:ascii="ITC Avant Garde" w:eastAsia="Times New Roman" w:hAnsi="ITC Avant Garde" w:cs="Arial"/>
          <w:bCs/>
          <w:u w:color="000000"/>
          <w:bdr w:val="nil"/>
          <w:lang w:val="es-ES_tradnl" w:eastAsia="es-MX"/>
        </w:rPr>
        <w:t xml:space="preserve"> Lote </w:t>
      </w:r>
      <w:r w:rsidR="005076B9" w:rsidRPr="00B81ED0">
        <w:rPr>
          <w:rFonts w:ascii="ITC Avant Garde" w:eastAsia="Times New Roman" w:hAnsi="ITC Avant Garde" w:cs="Arial"/>
          <w:bCs/>
          <w:u w:color="000000"/>
          <w:bdr w:val="nil"/>
          <w:lang w:val="es-ES_tradnl" w:eastAsia="es-MX"/>
        </w:rPr>
        <w:t xml:space="preserve">correspondiente, </w:t>
      </w:r>
      <w:r w:rsidR="00994520" w:rsidRPr="00B81ED0">
        <w:rPr>
          <w:rFonts w:ascii="ITC Avant Garde" w:eastAsia="Times New Roman" w:hAnsi="ITC Avant Garde" w:cs="Arial"/>
          <w:bCs/>
          <w:u w:color="000000"/>
          <w:bdr w:val="nil"/>
          <w:lang w:val="es-ES_tradnl" w:eastAsia="es-MX"/>
        </w:rPr>
        <w:t>en términos de las Bases</w:t>
      </w:r>
      <w:r w:rsidR="005B4E0F" w:rsidRPr="00B81ED0">
        <w:rPr>
          <w:rFonts w:ascii="ITC Avant Garde" w:eastAsia="Times New Roman" w:hAnsi="ITC Avant Garde" w:cs="Arial"/>
          <w:bCs/>
          <w:u w:color="000000"/>
          <w:bdr w:val="nil"/>
          <w:lang w:val="es-ES_tradnl" w:eastAsia="es-MX"/>
        </w:rPr>
        <w:t>, y/o en su caso, el acuerdo donde se declaren desiertos el(los) Lote(s) respectivo(s).</w:t>
      </w:r>
    </w:p>
    <w:p w14:paraId="3C9AE1EB" w14:textId="77777777" w:rsidR="00B81ED0" w:rsidRPr="00B81ED0" w:rsidRDefault="00B81ED0" w:rsidP="00B81ED0">
      <w:pPr>
        <w:spacing w:line="240" w:lineRule="auto"/>
        <w:contextualSpacing/>
        <w:jc w:val="both"/>
        <w:rPr>
          <w:rFonts w:ascii="ITC Avant Garde" w:eastAsia="Times New Roman" w:hAnsi="ITC Avant Garde" w:cs="Arial"/>
          <w:bCs/>
          <w:u w:color="000000"/>
          <w:bdr w:val="nil"/>
          <w:lang w:val="es-ES_tradnl" w:eastAsia="es-MX"/>
        </w:rPr>
      </w:pPr>
    </w:p>
    <w:p w14:paraId="342386A7" w14:textId="2B798E1C" w:rsidR="00B81ED0" w:rsidRDefault="00B81ED0" w:rsidP="00B81ED0">
      <w:pPr>
        <w:spacing w:line="240" w:lineRule="auto"/>
        <w:contextualSpacing/>
        <w:jc w:val="both"/>
        <w:rPr>
          <w:rFonts w:ascii="ITC Avant Garde" w:eastAsia="Arial Unicode MS" w:hAnsi="ITC Avant Garde" w:cs="Arial"/>
          <w:u w:color="000000"/>
          <w:bdr w:val="nil"/>
          <w:lang w:val="es-ES_tradnl"/>
        </w:rPr>
      </w:pPr>
      <w:r w:rsidRPr="00B81ED0">
        <w:rPr>
          <w:rFonts w:ascii="ITC Avant Garde" w:hAnsi="ITC Avant Garde" w:cs="Arial"/>
          <w:b/>
        </w:rPr>
        <w:t>QUINTO.</w:t>
      </w:r>
      <w:r>
        <w:rPr>
          <w:rFonts w:ascii="ITC Avant Garde" w:hAnsi="ITC Avant Garde" w:cs="Arial"/>
        </w:rPr>
        <w:tab/>
      </w:r>
      <w:r w:rsidR="00931D5B" w:rsidRPr="00B81ED0">
        <w:rPr>
          <w:rFonts w:ascii="ITC Avant Garde" w:hAnsi="ITC Avant Garde" w:cs="Arial"/>
        </w:rPr>
        <w:t>S</w:t>
      </w:r>
      <w:r w:rsidR="00F36C8C" w:rsidRPr="00B81ED0">
        <w:rPr>
          <w:rFonts w:ascii="ITC Avant Garde" w:hAnsi="ITC Avant Garde" w:cs="Arial"/>
        </w:rPr>
        <w:t xml:space="preserve">e instruye a la Unidad de Espectro Radioeléctrico para que, en coordinación con la Secretaria Técnica del Pleno, realice las gestiones necesarias a efecto de publicar </w:t>
      </w:r>
      <w:r w:rsidR="00F36C8C" w:rsidRPr="00B81ED0">
        <w:rPr>
          <w:rFonts w:ascii="ITC Avant Garde" w:hAnsi="ITC Avant Garde"/>
          <w:lang w:eastAsia="es-MX"/>
        </w:rPr>
        <w:t>el presente Acuerdo</w:t>
      </w:r>
      <w:r w:rsidR="00F36C8C" w:rsidRPr="00B81ED0">
        <w:rPr>
          <w:rFonts w:ascii="ITC Avant Garde" w:eastAsia="Arial Unicode MS" w:hAnsi="ITC Avant Garde" w:cs="Arial Unicode MS"/>
          <w:u w:color="000000"/>
          <w:bdr w:val="nil"/>
          <w:lang w:val="es-ES_tradnl"/>
        </w:rPr>
        <w:t xml:space="preserve"> </w:t>
      </w:r>
      <w:r w:rsidR="00F36C8C" w:rsidRPr="00B81ED0">
        <w:rPr>
          <w:rFonts w:ascii="ITC Avant Garde" w:hAnsi="ITC Avant Garde"/>
        </w:rPr>
        <w:t xml:space="preserve">en el portal de Internet del Instituto, </w:t>
      </w:r>
      <w:r w:rsidR="00F36C8C" w:rsidRPr="00B81ED0">
        <w:rPr>
          <w:rFonts w:ascii="ITC Avant Garde" w:eastAsia="Arial Unicode MS" w:hAnsi="ITC Avant Garde" w:cs="Arial"/>
          <w:u w:color="000000"/>
          <w:bdr w:val="nil"/>
          <w:lang w:val="es-ES_tradnl"/>
        </w:rPr>
        <w:t>una vez que haya sido notificado.</w:t>
      </w:r>
    </w:p>
    <w:p w14:paraId="48854AFF" w14:textId="77777777" w:rsidR="00B81ED0" w:rsidRPr="00B81ED0" w:rsidRDefault="00B81ED0" w:rsidP="00B81ED0">
      <w:pPr>
        <w:spacing w:line="240" w:lineRule="auto"/>
        <w:contextualSpacing/>
        <w:jc w:val="both"/>
        <w:rPr>
          <w:rFonts w:ascii="ITC Avant Garde" w:eastAsia="Arial Unicode MS" w:hAnsi="ITC Avant Garde" w:cs="Arial"/>
          <w:b/>
          <w:u w:color="000000"/>
          <w:bdr w:val="nil"/>
          <w:lang w:val="es-ES_tradnl"/>
        </w:rPr>
      </w:pPr>
    </w:p>
    <w:p w14:paraId="55BE2CED" w14:textId="096D0492" w:rsidR="005B3785" w:rsidRPr="00B81ED0" w:rsidRDefault="00B81ED0" w:rsidP="00B81ED0">
      <w:pPr>
        <w:spacing w:line="240" w:lineRule="auto"/>
        <w:contextualSpacing/>
        <w:jc w:val="both"/>
        <w:rPr>
          <w:rFonts w:ascii="ITC Avant Garde" w:hAnsi="ITC Avant Garde" w:cs="Arial"/>
        </w:rPr>
      </w:pPr>
      <w:r w:rsidRPr="00B81ED0">
        <w:rPr>
          <w:rFonts w:ascii="ITC Avant Garde" w:hAnsi="ITC Avant Garde" w:cs="Arial"/>
          <w:b/>
        </w:rPr>
        <w:t>SEXTO.</w:t>
      </w:r>
      <w:r w:rsidRPr="00B81ED0">
        <w:rPr>
          <w:rFonts w:ascii="ITC Avant Garde" w:hAnsi="ITC Avant Garde" w:cs="Arial"/>
          <w:b/>
        </w:rPr>
        <w:tab/>
      </w:r>
      <w:r>
        <w:rPr>
          <w:rFonts w:ascii="ITC Avant Garde" w:hAnsi="ITC Avant Garde" w:cs="Arial"/>
        </w:rPr>
        <w:tab/>
      </w:r>
      <w:r w:rsidR="009635DC" w:rsidRPr="00B81ED0">
        <w:rPr>
          <w:rFonts w:ascii="ITC Avant Garde" w:hAnsi="ITC Avant Garde" w:cs="Arial"/>
        </w:rPr>
        <w:t xml:space="preserve">Se hace del conocimiento </w:t>
      </w:r>
      <w:r w:rsidR="00B512E9" w:rsidRPr="00B81ED0">
        <w:rPr>
          <w:rFonts w:ascii="ITC Avant Garde" w:hAnsi="ITC Avant Garde" w:cs="Arial"/>
        </w:rPr>
        <w:t xml:space="preserve">de </w:t>
      </w:r>
      <w:r w:rsidR="00895664" w:rsidRPr="00B81ED0">
        <w:rPr>
          <w:rFonts w:ascii="ITC Avant Garde" w:eastAsia="Arial Unicode MS" w:hAnsi="ITC Avant Garde"/>
          <w:b/>
          <w:u w:color="000000"/>
          <w:bdr w:val="nil"/>
          <w:lang w:val="es-ES_tradnl"/>
        </w:rPr>
        <w:t>Mario Óscar Beteta Vallejo</w:t>
      </w:r>
      <w:r w:rsidR="00CF185A" w:rsidRPr="00B81ED0">
        <w:rPr>
          <w:rFonts w:ascii="ITC Avant Garde" w:hAnsi="ITC Avant Garde" w:cs="Arial"/>
          <w:b/>
          <w:kern w:val="2"/>
          <w:lang w:eastAsia="ar-SA"/>
        </w:rPr>
        <w:t>,</w:t>
      </w:r>
      <w:r w:rsidR="009635DC" w:rsidRPr="00B81ED0">
        <w:rPr>
          <w:rFonts w:ascii="ITC Avant Garde" w:hAnsi="ITC Avant Garde" w:cs="Arial"/>
        </w:rPr>
        <w:t xml:space="preserve"> q</w:t>
      </w:r>
      <w:r w:rsidR="005B3785" w:rsidRPr="00B81ED0">
        <w:rPr>
          <w:rFonts w:ascii="ITC Avant Garde" w:hAnsi="ITC Avant Garde" w:cs="Arial"/>
        </w:rPr>
        <w:t xml:space="preserve">ue </w:t>
      </w:r>
      <w:r w:rsidR="009635DC" w:rsidRPr="00B81ED0">
        <w:rPr>
          <w:rFonts w:ascii="ITC Avant Garde" w:hAnsi="ITC Avant Garde" w:cs="Arial"/>
        </w:rPr>
        <w:t>el</w:t>
      </w:r>
      <w:r w:rsidR="005B3785" w:rsidRPr="00B81ED0">
        <w:rPr>
          <w:rFonts w:ascii="ITC Avant Garde" w:hAnsi="ITC Avant Garde" w:cs="Arial"/>
        </w:rPr>
        <w:t xml:space="preserve"> presente </w:t>
      </w:r>
      <w:r w:rsidR="009635DC" w:rsidRPr="00B81ED0">
        <w:rPr>
          <w:rFonts w:ascii="ITC Avant Garde" w:hAnsi="ITC Avant Garde" w:cs="Arial"/>
        </w:rPr>
        <w:t>Acuerdo</w:t>
      </w:r>
      <w:r w:rsidR="005B3785" w:rsidRPr="00B81ED0">
        <w:rPr>
          <w:rFonts w:ascii="ITC Avant Garde" w:hAnsi="ITC Avant Garde" w:cs="Arial"/>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4786C532" w14:textId="77777777" w:rsidR="00B81ED0" w:rsidRPr="00B81ED0" w:rsidRDefault="000D104D" w:rsidP="00B81ED0">
      <w:pPr>
        <w:pStyle w:val="Prrafodelista"/>
        <w:spacing w:after="200"/>
        <w:ind w:left="0"/>
        <w:jc w:val="both"/>
        <w:rPr>
          <w:rFonts w:ascii="ITC Avant Garde" w:hAnsi="ITC Avant Garde"/>
          <w:sz w:val="14"/>
          <w:lang w:val="es-ES"/>
        </w:rPr>
      </w:pPr>
      <w:r w:rsidRPr="00B81ED0">
        <w:rPr>
          <w:rFonts w:ascii="ITC Avant Garde" w:hAnsi="ITC Avant Garde"/>
          <w:sz w:val="14"/>
          <w:lang w:val="es-ES"/>
        </w:rPr>
        <w:t xml:space="preserve">El presente Acuerdo fue aprobado por el Pleno del Instituto Federal de Telecomunicaciones en su XXXII Sesión Ordinaria celebrada el 9 de agosto de 2017, por </w:t>
      </w:r>
      <w:r w:rsidRPr="00B81ED0">
        <w:rPr>
          <w:rFonts w:ascii="ITC Avant Garde" w:hAnsi="ITC Avant Garde"/>
          <w:bCs/>
          <w:sz w:val="14"/>
          <w:lang w:val="es-ES"/>
        </w:rPr>
        <w:t>unanimidad</w:t>
      </w:r>
      <w:r w:rsidRPr="00B81ED0">
        <w:rPr>
          <w:rFonts w:ascii="ITC Avant Garde" w:hAnsi="ITC Avant Garde"/>
          <w:sz w:val="14"/>
          <w:lang w:val="es-ES"/>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P/IFT/090817/479.</w:t>
      </w:r>
    </w:p>
    <w:p w14:paraId="55BE2D4F" w14:textId="517318AF" w:rsidR="00566049" w:rsidRPr="00B81ED0" w:rsidRDefault="000D104D" w:rsidP="00B81ED0">
      <w:pPr>
        <w:pStyle w:val="Prrafodelista"/>
        <w:spacing w:after="200"/>
        <w:ind w:left="0"/>
        <w:jc w:val="both"/>
      </w:pPr>
      <w:r w:rsidRPr="00B81ED0">
        <w:rPr>
          <w:rFonts w:ascii="ITC Avant Garde" w:hAnsi="ITC Avant Garde"/>
          <w:sz w:val="14"/>
          <w:lang w:val="es-ES"/>
        </w:rPr>
        <w:t>La Comisionada María Elena Estavillo Flores y el Comisionado Adolfo Cuevas Teja,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566049" w:rsidRPr="00B81ED0" w:rsidSect="00E9785F">
      <w:footerReference w:type="default" r:id="rId10"/>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1A68F" w14:textId="77777777" w:rsidR="005B5B5F" w:rsidRDefault="005B5B5F" w:rsidP="005B3785">
      <w:pPr>
        <w:spacing w:after="0" w:line="240" w:lineRule="auto"/>
      </w:pPr>
      <w:r>
        <w:separator/>
      </w:r>
    </w:p>
  </w:endnote>
  <w:endnote w:type="continuationSeparator" w:id="0">
    <w:p w14:paraId="3E5983A3" w14:textId="77777777" w:rsidR="005B5B5F" w:rsidRDefault="005B5B5F" w:rsidP="005B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703275"/>
      <w:docPartObj>
        <w:docPartGallery w:val="Page Numbers (Bottom of Page)"/>
        <w:docPartUnique/>
      </w:docPartObj>
    </w:sdtPr>
    <w:sdtEndPr>
      <w:rPr>
        <w:rFonts w:ascii="ITC Avant Garde" w:hAnsi="ITC Avant Garde"/>
        <w:sz w:val="18"/>
      </w:rPr>
    </w:sdtEndPr>
    <w:sdtContent>
      <w:p w14:paraId="58C06436" w14:textId="3B17360B" w:rsidR="00E9785F" w:rsidRPr="004B5734" w:rsidRDefault="00E9785F" w:rsidP="004B5734">
        <w:pPr>
          <w:pStyle w:val="Piedepgina"/>
          <w:jc w:val="right"/>
          <w:rPr>
            <w:rFonts w:ascii="ITC Avant Garde" w:hAnsi="ITC Avant Garde"/>
            <w:sz w:val="18"/>
          </w:rPr>
        </w:pPr>
        <w:r w:rsidRPr="00E9785F">
          <w:rPr>
            <w:rFonts w:ascii="ITC Avant Garde" w:hAnsi="ITC Avant Garde"/>
            <w:sz w:val="18"/>
          </w:rPr>
          <w:fldChar w:fldCharType="begin"/>
        </w:r>
        <w:r w:rsidRPr="00E9785F">
          <w:rPr>
            <w:rFonts w:ascii="ITC Avant Garde" w:hAnsi="ITC Avant Garde"/>
            <w:sz w:val="18"/>
          </w:rPr>
          <w:instrText>PAGE   \* MERGEFORMAT</w:instrText>
        </w:r>
        <w:r w:rsidRPr="00E9785F">
          <w:rPr>
            <w:rFonts w:ascii="ITC Avant Garde" w:hAnsi="ITC Avant Garde"/>
            <w:sz w:val="18"/>
          </w:rPr>
          <w:fldChar w:fldCharType="separate"/>
        </w:r>
        <w:r w:rsidR="004B5734" w:rsidRPr="004B5734">
          <w:rPr>
            <w:rFonts w:ascii="ITC Avant Garde" w:hAnsi="ITC Avant Garde"/>
            <w:noProof/>
            <w:sz w:val="18"/>
            <w:lang w:val="es-ES"/>
          </w:rPr>
          <w:t>14</w:t>
        </w:r>
        <w:r w:rsidRPr="00E9785F">
          <w:rPr>
            <w:rFonts w:ascii="ITC Avant Garde" w:hAnsi="ITC Avant Garde"/>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17102" w14:textId="77777777" w:rsidR="005B5B5F" w:rsidRDefault="005B5B5F" w:rsidP="005B3785">
      <w:pPr>
        <w:spacing w:after="0" w:line="240" w:lineRule="auto"/>
      </w:pPr>
      <w:r>
        <w:separator/>
      </w:r>
    </w:p>
  </w:footnote>
  <w:footnote w:type="continuationSeparator" w:id="0">
    <w:p w14:paraId="791DE5A7" w14:textId="77777777" w:rsidR="005B5B5F" w:rsidRDefault="005B5B5F" w:rsidP="005B3785">
      <w:pPr>
        <w:spacing w:after="0" w:line="240" w:lineRule="auto"/>
      </w:pPr>
      <w:r>
        <w:continuationSeparator/>
      </w:r>
    </w:p>
  </w:footnote>
  <w:footnote w:id="1">
    <w:p w14:paraId="231C7CAD" w14:textId="77777777" w:rsidR="00970D27" w:rsidRPr="00905737" w:rsidRDefault="00970D27" w:rsidP="004B68C7">
      <w:pPr>
        <w:pStyle w:val="Textonotapie"/>
        <w:rPr>
          <w:sz w:val="16"/>
        </w:rPr>
      </w:pPr>
      <w:r w:rsidRPr="00905737">
        <w:rPr>
          <w:rFonts w:ascii="ITC Avant Garde" w:hAnsi="ITC Avant Garde"/>
          <w:kern w:val="1"/>
          <w:sz w:val="16"/>
          <w:vertAlign w:val="superscript"/>
        </w:rPr>
        <w:footnoteRef/>
      </w:r>
      <w:r w:rsidRPr="00905737">
        <w:rPr>
          <w:sz w:val="16"/>
        </w:rPr>
        <w:t xml:space="preserve"> </w:t>
      </w:r>
      <w:r w:rsidRPr="002C3548">
        <w:rPr>
          <w:rFonts w:ascii="ITC Avant Garde" w:eastAsia="ITC Avant Garde" w:hAnsi="ITC Avant Garde" w:cs="ITC Avant Garde"/>
          <w:sz w:val="16"/>
          <w:szCs w:val="16"/>
        </w:rPr>
        <w:t>Los términos utilizados en el presente Acuerdo corresponden a las definiciones previstas en las Bases.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0EBD0B58"/>
    <w:multiLevelType w:val="hybridMultilevel"/>
    <w:tmpl w:val="AC802AD6"/>
    <w:styleLink w:val="Estiloimportado6"/>
    <w:lvl w:ilvl="0" w:tplc="D4C087A8">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60176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7CEDC32">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E66300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14D98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56A1DA">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9740D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C499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DD01FE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982771"/>
    <w:multiLevelType w:val="hybridMultilevel"/>
    <w:tmpl w:val="B6AC619E"/>
    <w:styleLink w:val="Estiloimportado5"/>
    <w:lvl w:ilvl="0" w:tplc="87E4BB86">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1ADD2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A674FA">
      <w:start w:val="1"/>
      <w:numFmt w:val="lowerRoman"/>
      <w:lvlText w:val="%3."/>
      <w:lvlJc w:val="left"/>
      <w:pPr>
        <w:ind w:left="2291"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620EBE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EE24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44E7AA">
      <w:start w:val="1"/>
      <w:numFmt w:val="lowerRoman"/>
      <w:lvlText w:val="%6."/>
      <w:lvlJc w:val="left"/>
      <w:pPr>
        <w:ind w:left="4451"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C6439A">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F2FEBC">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4E2958">
      <w:start w:val="1"/>
      <w:numFmt w:val="lowerRoman"/>
      <w:lvlText w:val="%9."/>
      <w:lvlJc w:val="left"/>
      <w:pPr>
        <w:ind w:left="6611"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E07ABF"/>
    <w:multiLevelType w:val="hybridMultilevel"/>
    <w:tmpl w:val="764CAB6A"/>
    <w:styleLink w:val="Estiloimportado7"/>
    <w:lvl w:ilvl="0" w:tplc="8DC8B756">
      <w:start w:val="1"/>
      <w:numFmt w:val="lowerRoman"/>
      <w:lvlText w:val="%1)"/>
      <w:lvlJc w:val="left"/>
      <w:pPr>
        <w:ind w:left="709"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CB8660B6">
      <w:start w:val="1"/>
      <w:numFmt w:val="lowerLetter"/>
      <w:lvlText w:val="%2."/>
      <w:lvlJc w:val="left"/>
      <w:pPr>
        <w:ind w:left="1069" w:hanging="412"/>
      </w:pPr>
      <w:rPr>
        <w:rFonts w:hAnsi="Arial Unicode MS"/>
        <w:b/>
        <w:bCs/>
        <w:caps w:val="0"/>
        <w:smallCaps w:val="0"/>
        <w:strike w:val="0"/>
        <w:dstrike w:val="0"/>
        <w:outline w:val="0"/>
        <w:emboss w:val="0"/>
        <w:imprint w:val="0"/>
        <w:spacing w:val="0"/>
        <w:w w:val="100"/>
        <w:kern w:val="0"/>
        <w:position w:val="0"/>
        <w:highlight w:val="none"/>
        <w:vertAlign w:val="baseline"/>
      </w:rPr>
    </w:lvl>
    <w:lvl w:ilvl="2" w:tplc="C20AB008">
      <w:start w:val="1"/>
      <w:numFmt w:val="lowerRoman"/>
      <w:lvlText w:val="%3."/>
      <w:lvlJc w:val="left"/>
      <w:pPr>
        <w:ind w:left="1789"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3" w:tplc="A240EDEE">
      <w:start w:val="1"/>
      <w:numFmt w:val="decimal"/>
      <w:lvlText w:val="%4."/>
      <w:lvlJc w:val="left"/>
      <w:pPr>
        <w:ind w:left="2509" w:hanging="388"/>
      </w:pPr>
      <w:rPr>
        <w:rFonts w:hAnsi="Arial Unicode MS"/>
        <w:b/>
        <w:bCs/>
        <w:caps w:val="0"/>
        <w:smallCaps w:val="0"/>
        <w:strike w:val="0"/>
        <w:dstrike w:val="0"/>
        <w:outline w:val="0"/>
        <w:emboss w:val="0"/>
        <w:imprint w:val="0"/>
        <w:spacing w:val="0"/>
        <w:w w:val="100"/>
        <w:kern w:val="0"/>
        <w:position w:val="0"/>
        <w:highlight w:val="none"/>
        <w:vertAlign w:val="baseline"/>
      </w:rPr>
    </w:lvl>
    <w:lvl w:ilvl="4" w:tplc="7B84FD6E">
      <w:start w:val="1"/>
      <w:numFmt w:val="lowerLetter"/>
      <w:lvlText w:val="%5."/>
      <w:lvlJc w:val="left"/>
      <w:pPr>
        <w:ind w:left="3229" w:hanging="376"/>
      </w:pPr>
      <w:rPr>
        <w:rFonts w:hAnsi="Arial Unicode MS"/>
        <w:b/>
        <w:bCs/>
        <w:caps w:val="0"/>
        <w:smallCaps w:val="0"/>
        <w:strike w:val="0"/>
        <w:dstrike w:val="0"/>
        <w:outline w:val="0"/>
        <w:emboss w:val="0"/>
        <w:imprint w:val="0"/>
        <w:spacing w:val="0"/>
        <w:w w:val="100"/>
        <w:kern w:val="0"/>
        <w:position w:val="0"/>
        <w:highlight w:val="none"/>
        <w:vertAlign w:val="baseline"/>
      </w:rPr>
    </w:lvl>
    <w:lvl w:ilvl="5" w:tplc="F8F80E98">
      <w:start w:val="1"/>
      <w:numFmt w:val="lowerRoman"/>
      <w:lvlText w:val="%6."/>
      <w:lvlJc w:val="left"/>
      <w:pPr>
        <w:ind w:left="3949"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6" w:tplc="57B41286">
      <w:start w:val="1"/>
      <w:numFmt w:val="decimal"/>
      <w:lvlText w:val="%7."/>
      <w:lvlJc w:val="left"/>
      <w:pPr>
        <w:ind w:left="4669" w:hanging="352"/>
      </w:pPr>
      <w:rPr>
        <w:rFonts w:hAnsi="Arial Unicode MS"/>
        <w:b/>
        <w:bCs/>
        <w:caps w:val="0"/>
        <w:smallCaps w:val="0"/>
        <w:strike w:val="0"/>
        <w:dstrike w:val="0"/>
        <w:outline w:val="0"/>
        <w:emboss w:val="0"/>
        <w:imprint w:val="0"/>
        <w:spacing w:val="0"/>
        <w:w w:val="100"/>
        <w:kern w:val="0"/>
        <w:position w:val="0"/>
        <w:highlight w:val="none"/>
        <w:vertAlign w:val="baseline"/>
      </w:rPr>
    </w:lvl>
    <w:lvl w:ilvl="7" w:tplc="1668F6BC">
      <w:start w:val="1"/>
      <w:numFmt w:val="lowerLetter"/>
      <w:lvlText w:val="%8."/>
      <w:lvlJc w:val="left"/>
      <w:pPr>
        <w:ind w:left="5389"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8" w:tplc="32F2EE92">
      <w:start w:val="1"/>
      <w:numFmt w:val="lowerRoman"/>
      <w:lvlText w:val="%9."/>
      <w:lvlJc w:val="left"/>
      <w:pPr>
        <w:ind w:left="6109" w:hanging="27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A46400"/>
    <w:multiLevelType w:val="hybridMultilevel"/>
    <w:tmpl w:val="B72ED67C"/>
    <w:numStyleLink w:val="Estiloimportado4"/>
  </w:abstractNum>
  <w:abstractNum w:abstractNumId="7"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F46142"/>
    <w:multiLevelType w:val="hybridMultilevel"/>
    <w:tmpl w:val="CBE8170C"/>
    <w:lvl w:ilvl="0" w:tplc="6DA82232">
      <w:start w:val="3"/>
      <w:numFmt w:val="ordinalText"/>
      <w:lvlText w:val="%1."/>
      <w:lvlJc w:val="left"/>
      <w:pPr>
        <w:ind w:left="851"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3F4E52"/>
    <w:multiLevelType w:val="hybridMultilevel"/>
    <w:tmpl w:val="E696BCFC"/>
    <w:lvl w:ilvl="0" w:tplc="AE06C4CC">
      <w:start w:val="1"/>
      <w:numFmt w:val="ordinalText"/>
      <w:lvlText w:val="%1."/>
      <w:lvlJc w:val="left"/>
      <w:pPr>
        <w:ind w:left="708" w:hanging="708"/>
      </w:pPr>
      <w:rPr>
        <w:rFonts w:hint="default"/>
        <w:b/>
        <w:caps/>
        <w:smallCaps w:val="0"/>
        <w:strike w:val="0"/>
        <w:dstrike w:val="0"/>
        <w:outline w:val="0"/>
        <w:emboss w:val="0"/>
        <w:imprint w:val="0"/>
        <w:spacing w:val="0"/>
        <w:w w:val="100"/>
        <w:kern w:val="0"/>
        <w:position w:val="0"/>
        <w:highlight w:val="none"/>
        <w:vertAlign w:val="baseline"/>
      </w:rPr>
    </w:lvl>
    <w:lvl w:ilvl="1" w:tplc="B37417C2">
      <w:start w:val="1"/>
      <w:numFmt w:val="lowerLetter"/>
      <w:lvlText w:val="%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D17C2B54">
      <w:start w:val="1"/>
      <w:numFmt w:val="lowerRoman"/>
      <w:lvlText w:val="%3."/>
      <w:lvlJc w:val="left"/>
      <w:pPr>
        <w:ind w:left="554" w:hanging="554"/>
      </w:pPr>
      <w:rPr>
        <w:rFonts w:hAnsi="Arial Unicode MS"/>
        <w:caps w:val="0"/>
        <w:smallCaps w:val="0"/>
        <w:strike w:val="0"/>
        <w:dstrike w:val="0"/>
        <w:outline w:val="0"/>
        <w:emboss w:val="0"/>
        <w:imprint w:val="0"/>
        <w:spacing w:val="0"/>
        <w:w w:val="100"/>
        <w:kern w:val="0"/>
        <w:position w:val="0"/>
        <w:highlight w:val="none"/>
        <w:vertAlign w:val="baseline"/>
      </w:rPr>
    </w:lvl>
    <w:lvl w:ilvl="3" w:tplc="846C85E6">
      <w:start w:val="1"/>
      <w:numFmt w:val="decimal"/>
      <w:lvlText w:val="%4."/>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2ACACA5A">
      <w:start w:val="1"/>
      <w:numFmt w:val="lowerLetter"/>
      <w:lvlText w:val="%5."/>
      <w:lvlJc w:val="left"/>
      <w:pPr>
        <w:ind w:left="588" w:hanging="588"/>
      </w:pPr>
      <w:rPr>
        <w:rFonts w:hAnsi="Arial Unicode MS"/>
        <w:caps w:val="0"/>
        <w:smallCaps w:val="0"/>
        <w:strike w:val="0"/>
        <w:dstrike w:val="0"/>
        <w:outline w:val="0"/>
        <w:emboss w:val="0"/>
        <w:imprint w:val="0"/>
        <w:spacing w:val="0"/>
        <w:w w:val="100"/>
        <w:kern w:val="0"/>
        <w:position w:val="0"/>
        <w:highlight w:val="none"/>
        <w:vertAlign w:val="baseline"/>
      </w:rPr>
    </w:lvl>
    <w:lvl w:ilvl="5" w:tplc="5BD2F13A">
      <w:start w:val="1"/>
      <w:numFmt w:val="lowerRoman"/>
      <w:lvlText w:val="%6."/>
      <w:lvlJc w:val="left"/>
      <w:pPr>
        <w:ind w:left="518"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07B875AE">
      <w:start w:val="1"/>
      <w:numFmt w:val="decimal"/>
      <w:lvlText w:val="%7."/>
      <w:lvlJc w:val="left"/>
      <w:pPr>
        <w:ind w:left="852"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13B458C8">
      <w:start w:val="1"/>
      <w:numFmt w:val="lowerLetter"/>
      <w:lvlText w:val="%8."/>
      <w:lvlJc w:val="left"/>
      <w:pPr>
        <w:ind w:left="157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4CDAD83E">
      <w:start w:val="1"/>
      <w:numFmt w:val="lowerRoman"/>
      <w:lvlText w:val="%9."/>
      <w:lvlJc w:val="left"/>
      <w:pPr>
        <w:ind w:left="229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B201A3"/>
    <w:multiLevelType w:val="hybridMultilevel"/>
    <w:tmpl w:val="DE1EA49E"/>
    <w:lvl w:ilvl="0" w:tplc="AE06C4CC">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BA545E"/>
    <w:multiLevelType w:val="hybridMultilevel"/>
    <w:tmpl w:val="B6F2101A"/>
    <w:styleLink w:val="Estiloimportado2"/>
    <w:lvl w:ilvl="0" w:tplc="FD846848">
      <w:start w:val="1"/>
      <w:numFmt w:val="upperRoman"/>
      <w:lvlText w:val="%1."/>
      <w:lvlJc w:val="left"/>
      <w:pPr>
        <w:ind w:left="720" w:hanging="275"/>
      </w:pPr>
      <w:rPr>
        <w:rFonts w:hAnsi="Arial Unicode MS"/>
        <w:caps w:val="0"/>
        <w:smallCaps w:val="0"/>
        <w:strike w:val="0"/>
        <w:dstrike w:val="0"/>
        <w:outline w:val="0"/>
        <w:emboss w:val="0"/>
        <w:imprint w:val="0"/>
        <w:spacing w:val="0"/>
        <w:w w:val="100"/>
        <w:kern w:val="0"/>
        <w:position w:val="0"/>
        <w:highlight w:val="none"/>
        <w:vertAlign w:val="baseline"/>
      </w:rPr>
    </w:lvl>
    <w:lvl w:ilvl="1" w:tplc="2B581414">
      <w:start w:val="1"/>
      <w:numFmt w:val="lowerLetter"/>
      <w:suff w:val="nothing"/>
      <w:lvlText w:val="%2."/>
      <w:lvlJc w:val="left"/>
      <w:pPr>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9DEE2546">
      <w:start w:val="1"/>
      <w:numFmt w:val="lowerRoman"/>
      <w:lvlText w:val="%3."/>
      <w:lvlJc w:val="left"/>
      <w:pPr>
        <w:ind w:left="2160"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4044D36C">
      <w:start w:val="1"/>
      <w:numFmt w:val="decimal"/>
      <w:suff w:val="nothing"/>
      <w:lvlText w:val="%4."/>
      <w:lvlJc w:val="left"/>
      <w:pPr>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9864D7F8">
      <w:start w:val="1"/>
      <w:numFmt w:val="lowerLetter"/>
      <w:suff w:val="nothing"/>
      <w:lvlText w:val="%5."/>
      <w:lvlJc w:val="left"/>
      <w:pPr>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CC62478">
      <w:start w:val="1"/>
      <w:numFmt w:val="lowerRoman"/>
      <w:lvlText w:val="%6."/>
      <w:lvlJc w:val="left"/>
      <w:pPr>
        <w:ind w:left="4320" w:hanging="731"/>
      </w:pPr>
      <w:rPr>
        <w:rFonts w:hAnsi="Arial Unicode MS"/>
        <w:caps w:val="0"/>
        <w:smallCaps w:val="0"/>
        <w:strike w:val="0"/>
        <w:dstrike w:val="0"/>
        <w:outline w:val="0"/>
        <w:emboss w:val="0"/>
        <w:imprint w:val="0"/>
        <w:spacing w:val="0"/>
        <w:w w:val="100"/>
        <w:kern w:val="0"/>
        <w:position w:val="0"/>
        <w:highlight w:val="none"/>
        <w:vertAlign w:val="baseline"/>
      </w:rPr>
    </w:lvl>
    <w:lvl w:ilvl="6" w:tplc="97B224A6">
      <w:start w:val="1"/>
      <w:numFmt w:val="decimal"/>
      <w:suff w:val="nothing"/>
      <w:lvlText w:val="%7."/>
      <w:lvlJc w:val="left"/>
      <w:pPr>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3DB4B25A">
      <w:start w:val="1"/>
      <w:numFmt w:val="lowerLetter"/>
      <w:suff w:val="nothing"/>
      <w:lvlText w:val="%8."/>
      <w:lvlJc w:val="left"/>
      <w:pPr>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B3B4B3E4">
      <w:start w:val="1"/>
      <w:numFmt w:val="lowerRoman"/>
      <w:lvlText w:val="%9."/>
      <w:lvlJc w:val="left"/>
      <w:pPr>
        <w:ind w:left="6480" w:hanging="6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F69787F"/>
    <w:multiLevelType w:val="hybridMultilevel"/>
    <w:tmpl w:val="AC802AD6"/>
    <w:numStyleLink w:val="Estiloimportado6"/>
  </w:abstractNum>
  <w:abstractNum w:abstractNumId="15" w15:restartNumberingAfterBreak="0">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18" w15:restartNumberingAfterBreak="0">
    <w:nsid w:val="3ACD13C1"/>
    <w:multiLevelType w:val="hybridMultilevel"/>
    <w:tmpl w:val="764CAB6A"/>
    <w:numStyleLink w:val="Estiloimportado7"/>
  </w:abstractNum>
  <w:abstractNum w:abstractNumId="19"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132F1F"/>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43CE7"/>
    <w:multiLevelType w:val="hybridMultilevel"/>
    <w:tmpl w:val="B6AC619E"/>
    <w:numStyleLink w:val="Estiloimportado5"/>
  </w:abstractNum>
  <w:abstractNum w:abstractNumId="23" w15:restartNumberingAfterBreak="0">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C42144A"/>
    <w:multiLevelType w:val="hybridMultilevel"/>
    <w:tmpl w:val="36221318"/>
    <w:styleLink w:val="Estiloimportado3"/>
    <w:lvl w:ilvl="0" w:tplc="CD60767A">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B0E4B180">
      <w:start w:val="1"/>
      <w:numFmt w:val="lowerLetter"/>
      <w:lvlText w:val="%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197ACCCC">
      <w:start w:val="1"/>
      <w:numFmt w:val="lowerRoman"/>
      <w:lvlText w:val="%3."/>
      <w:lvlJc w:val="left"/>
      <w:pPr>
        <w:ind w:left="554" w:hanging="554"/>
      </w:pPr>
      <w:rPr>
        <w:rFonts w:hAnsi="Arial Unicode MS"/>
        <w:caps w:val="0"/>
        <w:smallCaps w:val="0"/>
        <w:strike w:val="0"/>
        <w:dstrike w:val="0"/>
        <w:outline w:val="0"/>
        <w:emboss w:val="0"/>
        <w:imprint w:val="0"/>
        <w:spacing w:val="0"/>
        <w:w w:val="100"/>
        <w:kern w:val="0"/>
        <w:position w:val="0"/>
        <w:highlight w:val="none"/>
        <w:vertAlign w:val="baseline"/>
      </w:rPr>
    </w:lvl>
    <w:lvl w:ilvl="3" w:tplc="5FFA98F2">
      <w:start w:val="1"/>
      <w:numFmt w:val="decimal"/>
      <w:lvlText w:val="%4."/>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F7A05DAC">
      <w:start w:val="1"/>
      <w:numFmt w:val="lowerLetter"/>
      <w:lvlText w:val="%5."/>
      <w:lvlJc w:val="left"/>
      <w:pPr>
        <w:ind w:left="588" w:hanging="588"/>
      </w:pPr>
      <w:rPr>
        <w:rFonts w:hAnsi="Arial Unicode MS"/>
        <w:caps w:val="0"/>
        <w:smallCaps w:val="0"/>
        <w:strike w:val="0"/>
        <w:dstrike w:val="0"/>
        <w:outline w:val="0"/>
        <w:emboss w:val="0"/>
        <w:imprint w:val="0"/>
        <w:spacing w:val="0"/>
        <w:w w:val="100"/>
        <w:kern w:val="0"/>
        <w:position w:val="0"/>
        <w:highlight w:val="none"/>
        <w:vertAlign w:val="baseline"/>
      </w:rPr>
    </w:lvl>
    <w:lvl w:ilvl="5" w:tplc="15C20C6C">
      <w:start w:val="1"/>
      <w:numFmt w:val="lowerRoman"/>
      <w:lvlText w:val="%6."/>
      <w:lvlJc w:val="left"/>
      <w:pPr>
        <w:ind w:left="518"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07886CE4">
      <w:start w:val="1"/>
      <w:numFmt w:val="decimal"/>
      <w:lvlText w:val="%7."/>
      <w:lvlJc w:val="left"/>
      <w:pPr>
        <w:ind w:left="852"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DFCAF408">
      <w:start w:val="1"/>
      <w:numFmt w:val="lowerLetter"/>
      <w:lvlText w:val="%8."/>
      <w:lvlJc w:val="left"/>
      <w:pPr>
        <w:ind w:left="157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8BA23A62">
      <w:start w:val="1"/>
      <w:numFmt w:val="lowerRoman"/>
      <w:lvlText w:val="%9."/>
      <w:lvlJc w:val="left"/>
      <w:pPr>
        <w:ind w:left="229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982A28"/>
    <w:multiLevelType w:val="hybridMultilevel"/>
    <w:tmpl w:val="36221318"/>
    <w:numStyleLink w:val="Estiloimportado3"/>
  </w:abstractNum>
  <w:abstractNum w:abstractNumId="27"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DE1CBC"/>
    <w:multiLevelType w:val="hybridMultilevel"/>
    <w:tmpl w:val="B6F2101A"/>
    <w:numStyleLink w:val="Estiloimportado2"/>
  </w:abstractNum>
  <w:abstractNum w:abstractNumId="29" w15:restartNumberingAfterBreak="0">
    <w:nsid w:val="6F6F4D58"/>
    <w:multiLevelType w:val="hybridMultilevel"/>
    <w:tmpl w:val="B72ED67C"/>
    <w:styleLink w:val="Estiloimportado4"/>
    <w:lvl w:ilvl="0" w:tplc="D60884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DED5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CE1A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3C64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4AF2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7837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BA8C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4037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3605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35"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5"/>
  </w:num>
  <w:num w:numId="2">
    <w:abstractNumId w:val="31"/>
  </w:num>
  <w:num w:numId="3">
    <w:abstractNumId w:val="34"/>
  </w:num>
  <w:num w:numId="4">
    <w:abstractNumId w:val="11"/>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5"/>
  </w:num>
  <w:num w:numId="11">
    <w:abstractNumId w:val="21"/>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2"/>
  </w:num>
  <w:num w:numId="19">
    <w:abstractNumId w:val="1"/>
  </w:num>
  <w:num w:numId="20">
    <w:abstractNumId w:val="7"/>
  </w:num>
  <w:num w:numId="21">
    <w:abstractNumId w:val="0"/>
  </w:num>
  <w:num w:numId="22">
    <w:abstractNumId w:val="20"/>
  </w:num>
  <w:num w:numId="23">
    <w:abstractNumId w:val="13"/>
  </w:num>
  <w:num w:numId="24">
    <w:abstractNumId w:val="28"/>
  </w:num>
  <w:num w:numId="25">
    <w:abstractNumId w:val="24"/>
  </w:num>
  <w:num w:numId="26">
    <w:abstractNumId w:val="26"/>
  </w:num>
  <w:num w:numId="27">
    <w:abstractNumId w:val="29"/>
  </w:num>
  <w:num w:numId="28">
    <w:abstractNumId w:val="6"/>
  </w:num>
  <w:num w:numId="29">
    <w:abstractNumId w:val="4"/>
  </w:num>
  <w:num w:numId="30">
    <w:abstractNumId w:val="3"/>
  </w:num>
  <w:num w:numId="31">
    <w:abstractNumId w:val="14"/>
    <w:lvlOverride w:ilvl="0">
      <w:startOverride w:val="9"/>
    </w:lvlOverride>
  </w:num>
  <w:num w:numId="32">
    <w:abstractNumId w:val="5"/>
  </w:num>
  <w:num w:numId="33">
    <w:abstractNumId w:val="18"/>
    <w:lvlOverride w:ilvl="0">
      <w:startOverride w:val="2"/>
    </w:lvlOverride>
  </w:num>
  <w:num w:numId="34">
    <w:abstractNumId w:val="9"/>
  </w:num>
  <w:num w:numId="35">
    <w:abstractNumId w:val="22"/>
    <w:lvlOverride w:ilvl="0">
      <w:lvl w:ilvl="0" w:tplc="9EB06422">
        <w:start w:val="1"/>
        <w:numFmt w:val="lowerLetter"/>
        <w:lvlText w:val="%1)"/>
        <w:lvlJc w:val="left"/>
        <w:pPr>
          <w:ind w:left="851"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2535"/>
    <w:rsid w:val="00023C41"/>
    <w:rsid w:val="0002496F"/>
    <w:rsid w:val="0004496D"/>
    <w:rsid w:val="00051ABB"/>
    <w:rsid w:val="00052DE7"/>
    <w:rsid w:val="0007029F"/>
    <w:rsid w:val="0007694F"/>
    <w:rsid w:val="00080E9B"/>
    <w:rsid w:val="00085AB1"/>
    <w:rsid w:val="000A69BE"/>
    <w:rsid w:val="000D104D"/>
    <w:rsid w:val="000D2EEE"/>
    <w:rsid w:val="000D5403"/>
    <w:rsid w:val="000E4DA0"/>
    <w:rsid w:val="001064C6"/>
    <w:rsid w:val="00121FE5"/>
    <w:rsid w:val="001257D8"/>
    <w:rsid w:val="001349ED"/>
    <w:rsid w:val="00143C69"/>
    <w:rsid w:val="001529EC"/>
    <w:rsid w:val="00167757"/>
    <w:rsid w:val="0017783F"/>
    <w:rsid w:val="0018094D"/>
    <w:rsid w:val="0019508D"/>
    <w:rsid w:val="001961D1"/>
    <w:rsid w:val="001B734C"/>
    <w:rsid w:val="001C57E2"/>
    <w:rsid w:val="001E3A67"/>
    <w:rsid w:val="00202702"/>
    <w:rsid w:val="002047EB"/>
    <w:rsid w:val="00216C57"/>
    <w:rsid w:val="002179AE"/>
    <w:rsid w:val="002338E4"/>
    <w:rsid w:val="00235264"/>
    <w:rsid w:val="0025125E"/>
    <w:rsid w:val="0025729F"/>
    <w:rsid w:val="0026748A"/>
    <w:rsid w:val="002749D0"/>
    <w:rsid w:val="00286190"/>
    <w:rsid w:val="00287A1C"/>
    <w:rsid w:val="002A2B79"/>
    <w:rsid w:val="002B16C1"/>
    <w:rsid w:val="002B3A40"/>
    <w:rsid w:val="002B7B24"/>
    <w:rsid w:val="002C7067"/>
    <w:rsid w:val="002D2C69"/>
    <w:rsid w:val="002F192E"/>
    <w:rsid w:val="002F2600"/>
    <w:rsid w:val="003070D4"/>
    <w:rsid w:val="003129AA"/>
    <w:rsid w:val="00316F35"/>
    <w:rsid w:val="00340425"/>
    <w:rsid w:val="003514D9"/>
    <w:rsid w:val="003620A0"/>
    <w:rsid w:val="00381C04"/>
    <w:rsid w:val="00383A86"/>
    <w:rsid w:val="00386F82"/>
    <w:rsid w:val="00391FFD"/>
    <w:rsid w:val="003B0B93"/>
    <w:rsid w:val="003C0E6C"/>
    <w:rsid w:val="003C34C6"/>
    <w:rsid w:val="003D6142"/>
    <w:rsid w:val="003D76C1"/>
    <w:rsid w:val="003D7EE1"/>
    <w:rsid w:val="003E71BB"/>
    <w:rsid w:val="003F13D7"/>
    <w:rsid w:val="003F2A79"/>
    <w:rsid w:val="003F4932"/>
    <w:rsid w:val="003F62FE"/>
    <w:rsid w:val="003F7FE6"/>
    <w:rsid w:val="004045F8"/>
    <w:rsid w:val="004048A5"/>
    <w:rsid w:val="00405AAB"/>
    <w:rsid w:val="004136A3"/>
    <w:rsid w:val="00424750"/>
    <w:rsid w:val="00427F32"/>
    <w:rsid w:val="00430A76"/>
    <w:rsid w:val="00437E48"/>
    <w:rsid w:val="00446F15"/>
    <w:rsid w:val="00452DA8"/>
    <w:rsid w:val="004678A1"/>
    <w:rsid w:val="004719C9"/>
    <w:rsid w:val="0047426F"/>
    <w:rsid w:val="00474F3B"/>
    <w:rsid w:val="00475F97"/>
    <w:rsid w:val="00491C7D"/>
    <w:rsid w:val="00493250"/>
    <w:rsid w:val="00495461"/>
    <w:rsid w:val="00495EF1"/>
    <w:rsid w:val="004A27A3"/>
    <w:rsid w:val="004B5734"/>
    <w:rsid w:val="004B639E"/>
    <w:rsid w:val="004B68C7"/>
    <w:rsid w:val="004C3846"/>
    <w:rsid w:val="004E1509"/>
    <w:rsid w:val="004E66AE"/>
    <w:rsid w:val="004F1481"/>
    <w:rsid w:val="004F5B56"/>
    <w:rsid w:val="005076B9"/>
    <w:rsid w:val="00520DC9"/>
    <w:rsid w:val="00527383"/>
    <w:rsid w:val="00530230"/>
    <w:rsid w:val="0053587B"/>
    <w:rsid w:val="00553BF5"/>
    <w:rsid w:val="00566049"/>
    <w:rsid w:val="00583E77"/>
    <w:rsid w:val="00585078"/>
    <w:rsid w:val="00591A33"/>
    <w:rsid w:val="005A053D"/>
    <w:rsid w:val="005B3785"/>
    <w:rsid w:val="005B4E0F"/>
    <w:rsid w:val="005B5B5F"/>
    <w:rsid w:val="005B6B49"/>
    <w:rsid w:val="005C36C1"/>
    <w:rsid w:val="005D22B5"/>
    <w:rsid w:val="005D3FD8"/>
    <w:rsid w:val="005E3006"/>
    <w:rsid w:val="00606680"/>
    <w:rsid w:val="00615905"/>
    <w:rsid w:val="00616539"/>
    <w:rsid w:val="00625386"/>
    <w:rsid w:val="00631139"/>
    <w:rsid w:val="00651E72"/>
    <w:rsid w:val="00676A36"/>
    <w:rsid w:val="00680E78"/>
    <w:rsid w:val="00697EBE"/>
    <w:rsid w:val="006A6912"/>
    <w:rsid w:val="006B26ED"/>
    <w:rsid w:val="0072023F"/>
    <w:rsid w:val="00722AB6"/>
    <w:rsid w:val="00727E45"/>
    <w:rsid w:val="0073164B"/>
    <w:rsid w:val="00771773"/>
    <w:rsid w:val="00777BC3"/>
    <w:rsid w:val="007821B4"/>
    <w:rsid w:val="00784820"/>
    <w:rsid w:val="00793F2F"/>
    <w:rsid w:val="007B0829"/>
    <w:rsid w:val="007B7D93"/>
    <w:rsid w:val="007C28C2"/>
    <w:rsid w:val="007D5D9C"/>
    <w:rsid w:val="007F439D"/>
    <w:rsid w:val="00801EA3"/>
    <w:rsid w:val="00814221"/>
    <w:rsid w:val="00827811"/>
    <w:rsid w:val="00835D24"/>
    <w:rsid w:val="00843522"/>
    <w:rsid w:val="00850583"/>
    <w:rsid w:val="00860D99"/>
    <w:rsid w:val="00895664"/>
    <w:rsid w:val="008F2D10"/>
    <w:rsid w:val="009226FB"/>
    <w:rsid w:val="00926671"/>
    <w:rsid w:val="009301D2"/>
    <w:rsid w:val="00931D5B"/>
    <w:rsid w:val="009330D3"/>
    <w:rsid w:val="009339AB"/>
    <w:rsid w:val="00934344"/>
    <w:rsid w:val="00950A04"/>
    <w:rsid w:val="00951C0C"/>
    <w:rsid w:val="009603F1"/>
    <w:rsid w:val="009635DC"/>
    <w:rsid w:val="00964617"/>
    <w:rsid w:val="00970D27"/>
    <w:rsid w:val="00990EF9"/>
    <w:rsid w:val="00993170"/>
    <w:rsid w:val="009943DE"/>
    <w:rsid w:val="00994520"/>
    <w:rsid w:val="00996C0E"/>
    <w:rsid w:val="009A06D0"/>
    <w:rsid w:val="009B1E2B"/>
    <w:rsid w:val="009B71CA"/>
    <w:rsid w:val="009C0497"/>
    <w:rsid w:val="009C396B"/>
    <w:rsid w:val="009C73C0"/>
    <w:rsid w:val="00A34C6F"/>
    <w:rsid w:val="00A5435F"/>
    <w:rsid w:val="00A64384"/>
    <w:rsid w:val="00AA1EDB"/>
    <w:rsid w:val="00AD7967"/>
    <w:rsid w:val="00AE4331"/>
    <w:rsid w:val="00AE44A0"/>
    <w:rsid w:val="00AE5269"/>
    <w:rsid w:val="00AF2AD9"/>
    <w:rsid w:val="00B007EF"/>
    <w:rsid w:val="00B179D4"/>
    <w:rsid w:val="00B3323A"/>
    <w:rsid w:val="00B438A9"/>
    <w:rsid w:val="00B444BF"/>
    <w:rsid w:val="00B512E9"/>
    <w:rsid w:val="00B53E69"/>
    <w:rsid w:val="00B57AFB"/>
    <w:rsid w:val="00B7211F"/>
    <w:rsid w:val="00B81ED0"/>
    <w:rsid w:val="00B97021"/>
    <w:rsid w:val="00B97F50"/>
    <w:rsid w:val="00BA13AD"/>
    <w:rsid w:val="00BA3A10"/>
    <w:rsid w:val="00BA3BAA"/>
    <w:rsid w:val="00BB3582"/>
    <w:rsid w:val="00BB42F9"/>
    <w:rsid w:val="00BB774A"/>
    <w:rsid w:val="00BC13A1"/>
    <w:rsid w:val="00BC7656"/>
    <w:rsid w:val="00BE1581"/>
    <w:rsid w:val="00C152BF"/>
    <w:rsid w:val="00C33605"/>
    <w:rsid w:val="00C66368"/>
    <w:rsid w:val="00C73C0B"/>
    <w:rsid w:val="00C749B2"/>
    <w:rsid w:val="00C85C6B"/>
    <w:rsid w:val="00C90CF4"/>
    <w:rsid w:val="00C9748B"/>
    <w:rsid w:val="00CA6FF6"/>
    <w:rsid w:val="00CC42DA"/>
    <w:rsid w:val="00CD35DF"/>
    <w:rsid w:val="00CD37B2"/>
    <w:rsid w:val="00CE5747"/>
    <w:rsid w:val="00CF0A11"/>
    <w:rsid w:val="00CF185A"/>
    <w:rsid w:val="00D24D4F"/>
    <w:rsid w:val="00D24DCC"/>
    <w:rsid w:val="00D32BF4"/>
    <w:rsid w:val="00D34EEE"/>
    <w:rsid w:val="00D41B6E"/>
    <w:rsid w:val="00D45313"/>
    <w:rsid w:val="00D46DAF"/>
    <w:rsid w:val="00D5662C"/>
    <w:rsid w:val="00D57016"/>
    <w:rsid w:val="00D65CF9"/>
    <w:rsid w:val="00D712E1"/>
    <w:rsid w:val="00D75BAB"/>
    <w:rsid w:val="00D76B3A"/>
    <w:rsid w:val="00DA0C64"/>
    <w:rsid w:val="00DB37E3"/>
    <w:rsid w:val="00DC0EE6"/>
    <w:rsid w:val="00DC7DCF"/>
    <w:rsid w:val="00DD7C83"/>
    <w:rsid w:val="00DE38A3"/>
    <w:rsid w:val="00DF0206"/>
    <w:rsid w:val="00E00D32"/>
    <w:rsid w:val="00E141C9"/>
    <w:rsid w:val="00E253E7"/>
    <w:rsid w:val="00E4430F"/>
    <w:rsid w:val="00E44382"/>
    <w:rsid w:val="00E6381E"/>
    <w:rsid w:val="00E77502"/>
    <w:rsid w:val="00E83770"/>
    <w:rsid w:val="00E86CC6"/>
    <w:rsid w:val="00E9785F"/>
    <w:rsid w:val="00EC1DCB"/>
    <w:rsid w:val="00EC6950"/>
    <w:rsid w:val="00EC7873"/>
    <w:rsid w:val="00ED30D8"/>
    <w:rsid w:val="00ED3688"/>
    <w:rsid w:val="00ED4262"/>
    <w:rsid w:val="00EE1056"/>
    <w:rsid w:val="00EE3653"/>
    <w:rsid w:val="00F23F0A"/>
    <w:rsid w:val="00F26AD7"/>
    <w:rsid w:val="00F26D6D"/>
    <w:rsid w:val="00F31E00"/>
    <w:rsid w:val="00F36C8C"/>
    <w:rsid w:val="00F50C7B"/>
    <w:rsid w:val="00F55613"/>
    <w:rsid w:val="00F80AFE"/>
    <w:rsid w:val="00FB1350"/>
    <w:rsid w:val="00FB26A6"/>
    <w:rsid w:val="00FC4291"/>
    <w:rsid w:val="00FC6D2D"/>
    <w:rsid w:val="00FD5AE0"/>
    <w:rsid w:val="00FE7A11"/>
    <w:rsid w:val="00FF4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2D42019-9FF1-45FF-A8CE-96FFD841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B81E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customStyle="1" w:styleId="Poromisin">
    <w:name w:val="Por omisión"/>
    <w:rsid w:val="00CE5747"/>
    <w:pPr>
      <w:pBdr>
        <w:top w:val="nil"/>
        <w:left w:val="nil"/>
        <w:bottom w:val="nil"/>
        <w:right w:val="nil"/>
        <w:between w:val="nil"/>
        <w:bar w:val="nil"/>
      </w:pBdr>
      <w:spacing w:after="0" w:line="240" w:lineRule="auto"/>
    </w:pPr>
    <w:rPr>
      <w:rFonts w:ascii="Helvetica" w:eastAsia="Helvetica" w:hAnsi="Helvetica" w:cs="Helvetica"/>
      <w:color w:val="000000"/>
      <w:bdr w:val="nil"/>
      <w:lang w:val="es-ES_tradnl" w:eastAsia="es-ES_tradnl"/>
    </w:rPr>
  </w:style>
  <w:style w:type="paragraph" w:customStyle="1" w:styleId="Cuerpo">
    <w:name w:val="Cuerpo"/>
    <w:rsid w:val="004B68C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es-ES_tradnl"/>
    </w:rPr>
  </w:style>
  <w:style w:type="numbering" w:customStyle="1" w:styleId="Estiloimportado2">
    <w:name w:val="Estilo importado 2"/>
    <w:rsid w:val="004B68C7"/>
    <w:pPr>
      <w:numPr>
        <w:numId w:val="23"/>
      </w:numPr>
    </w:pPr>
  </w:style>
  <w:style w:type="numbering" w:customStyle="1" w:styleId="Estiloimportado3">
    <w:name w:val="Estilo importado 3"/>
    <w:rsid w:val="004B68C7"/>
    <w:pPr>
      <w:numPr>
        <w:numId w:val="25"/>
      </w:numPr>
    </w:pPr>
  </w:style>
  <w:style w:type="numbering" w:customStyle="1" w:styleId="Estiloimportado4">
    <w:name w:val="Estilo importado 4"/>
    <w:rsid w:val="004B68C7"/>
    <w:pPr>
      <w:numPr>
        <w:numId w:val="27"/>
      </w:numPr>
    </w:pPr>
  </w:style>
  <w:style w:type="numbering" w:customStyle="1" w:styleId="Estiloimportado5">
    <w:name w:val="Estilo importado 5"/>
    <w:rsid w:val="004B68C7"/>
    <w:pPr>
      <w:numPr>
        <w:numId w:val="29"/>
      </w:numPr>
    </w:pPr>
  </w:style>
  <w:style w:type="numbering" w:customStyle="1" w:styleId="Estiloimportado6">
    <w:name w:val="Estilo importado 6"/>
    <w:rsid w:val="004B68C7"/>
    <w:pPr>
      <w:numPr>
        <w:numId w:val="30"/>
      </w:numPr>
    </w:pPr>
  </w:style>
  <w:style w:type="numbering" w:customStyle="1" w:styleId="Estiloimportado7">
    <w:name w:val="Estilo importado 7"/>
    <w:rsid w:val="004B68C7"/>
    <w:pPr>
      <w:numPr>
        <w:numId w:val="32"/>
      </w:numPr>
    </w:pPr>
  </w:style>
  <w:style w:type="paragraph" w:styleId="Encabezado">
    <w:name w:val="header"/>
    <w:basedOn w:val="Normal"/>
    <w:link w:val="EncabezadoCar"/>
    <w:uiPriority w:val="99"/>
    <w:unhideWhenUsed/>
    <w:rsid w:val="00E978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785F"/>
    <w:rPr>
      <w:rFonts w:ascii="Calibri" w:eastAsia="Calibri" w:hAnsi="Calibri" w:cs="Times New Roman"/>
    </w:rPr>
  </w:style>
  <w:style w:type="paragraph" w:styleId="Piedepgina">
    <w:name w:val="footer"/>
    <w:basedOn w:val="Normal"/>
    <w:link w:val="PiedepginaCar"/>
    <w:uiPriority w:val="99"/>
    <w:unhideWhenUsed/>
    <w:rsid w:val="00E978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785F"/>
    <w:rPr>
      <w:rFonts w:ascii="Calibri" w:eastAsia="Calibri" w:hAnsi="Calibri" w:cs="Times New Roman"/>
    </w:rPr>
  </w:style>
  <w:style w:type="character" w:customStyle="1" w:styleId="Ttulo1Car">
    <w:name w:val="Título 1 Car"/>
    <w:basedOn w:val="Fuentedeprrafopredeter"/>
    <w:link w:val="Ttulo1"/>
    <w:uiPriority w:val="9"/>
    <w:rsid w:val="00B81ED0"/>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99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936135197">
      <w:bodyDiv w:val="1"/>
      <w:marLeft w:val="0"/>
      <w:marRight w:val="0"/>
      <w:marTop w:val="0"/>
      <w:marBottom w:val="0"/>
      <w:divBdr>
        <w:top w:val="none" w:sz="0" w:space="0" w:color="auto"/>
        <w:left w:val="none" w:sz="0" w:space="0" w:color="auto"/>
        <w:bottom w:val="none" w:sz="0" w:space="0" w:color="auto"/>
        <w:right w:val="none" w:sz="0" w:space="0" w:color="auto"/>
      </w:divBdr>
    </w:div>
    <w:div w:id="1071732803">
      <w:bodyDiv w:val="1"/>
      <w:marLeft w:val="0"/>
      <w:marRight w:val="0"/>
      <w:marTop w:val="0"/>
      <w:marBottom w:val="0"/>
      <w:divBdr>
        <w:top w:val="none" w:sz="0" w:space="0" w:color="auto"/>
        <w:left w:val="none" w:sz="0" w:space="0" w:color="auto"/>
        <w:bottom w:val="none" w:sz="0" w:space="0" w:color="auto"/>
        <w:right w:val="none" w:sz="0" w:space="0" w:color="auto"/>
      </w:divBdr>
    </w:div>
    <w:div w:id="1228417761">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40A4BF-1AE1-48F5-93A6-268D84F94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5762</Words>
  <Characters>31691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13</cp:revision>
  <cp:lastPrinted>2017-08-09T21:25:00Z</cp:lastPrinted>
  <dcterms:created xsi:type="dcterms:W3CDTF">2017-08-09T04:16:00Z</dcterms:created>
  <dcterms:modified xsi:type="dcterms:W3CDTF">2018-01-26T15:08:00Z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