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ACEBC" w14:textId="77777777" w:rsidR="00B04AED" w:rsidRDefault="00A06EE5" w:rsidP="00B04AED">
      <w:pPr>
        <w:keepNext/>
        <w:jc w:val="both"/>
        <w:outlineLvl w:val="1"/>
        <w:rPr>
          <w:rFonts w:ascii="ITC Avant Garde" w:eastAsia="Times New Roman" w:hAnsi="ITC Avant Garde"/>
          <w:b/>
          <w:bCs/>
          <w:lang w:eastAsia="es-ES"/>
        </w:rPr>
      </w:pPr>
      <w:r w:rsidRPr="006D6AF9">
        <w:rPr>
          <w:rFonts w:ascii="ITC Avant Garde" w:eastAsia="Times New Roman" w:hAnsi="ITC Avant Garde"/>
          <w:b/>
          <w:bCs/>
          <w:lang w:val="es-ES" w:eastAsia="es-ES"/>
        </w:rPr>
        <w:t>RESOLUCIÓN MEDIANTE LA CUAL EL PLENO DEL INSTITUTO FEDERAL DE TELECOMUNICACIONES</w:t>
      </w:r>
      <w:r w:rsidR="00BA0929" w:rsidRPr="006D6AF9">
        <w:rPr>
          <w:rFonts w:ascii="ITC Avant Garde" w:eastAsia="Times New Roman" w:hAnsi="ITC Avant Garde"/>
          <w:b/>
          <w:bCs/>
          <w:lang w:val="es-ES" w:eastAsia="es-ES"/>
        </w:rPr>
        <w:t xml:space="preserve"> </w:t>
      </w:r>
      <w:r w:rsidR="00BA0929" w:rsidRPr="0081598A">
        <w:rPr>
          <w:rFonts w:ascii="ITC Avant Garde" w:hAnsi="ITC Avant Garde"/>
          <w:b/>
        </w:rPr>
        <w:t>MODIFICA LA</w:t>
      </w:r>
      <w:r w:rsidR="00BA0929" w:rsidRPr="006D6AF9">
        <w:rPr>
          <w:rFonts w:ascii="ITC Avant Garde" w:hAnsi="ITC Avant Garde"/>
          <w:b/>
        </w:rPr>
        <w:t xml:space="preserve"> “</w:t>
      </w:r>
      <w:r w:rsidR="00843460" w:rsidRPr="00843460">
        <w:rPr>
          <w:rFonts w:ascii="ITC Avant Garde" w:eastAsia="Times New Roman" w:hAnsi="ITC Avant Garde"/>
          <w:b/>
          <w:bCs/>
          <w:lang w:val="es-ES" w:eastAsia="es-ES"/>
        </w:rPr>
        <w:t>RESOLUCIÓN MEDIANTE LA CUAL EL PLENO DEL INSTITUTO FEDERAL DE TELECOMUNICACIONES DETERMINA LAS CONDICIONES DE INTERCONEXIÓN NO CONVENIDAS ENTRE LAS EMPRESAS RADIOMÓVIL DIPSA, S.A. DE C.V., Y LAS EMPRESAS IUSACELL PCS, S.A. DE C.V., SOS TELECOMUNICACIONES, S.A. DE C.V., COMUNICACIONES CELULARES DE OCCIDENTE, S.A. DE C.V., SISTEMAS TELEFÓNICOS PORTÁTILES, S.A. DE C.V.,  TELECOMUNICACIONES DEL GOLFO, S.A. DE C.V., PORTATEL DEL SURESTE, S.A. DE C.V. Y OPERADORA UNEFÓN, S.A. DE C.V., APLICABLES DEL 1 DE ENERO DE 2015 AL 31 DE DICIEMBRE DE 2016.</w:t>
      </w:r>
      <w:r w:rsidR="00BA0929" w:rsidRPr="006D6AF9">
        <w:rPr>
          <w:rFonts w:ascii="ITC Avant Garde" w:eastAsia="Times New Roman" w:hAnsi="ITC Avant Garde"/>
          <w:b/>
          <w:bCs/>
          <w:iCs/>
          <w:lang w:eastAsia="es-ES"/>
        </w:rPr>
        <w:t xml:space="preserve">” EMITIDA </w:t>
      </w:r>
      <w:r w:rsidR="00051C6B">
        <w:rPr>
          <w:rFonts w:ascii="ITC Avant Garde" w:eastAsia="Times New Roman" w:hAnsi="ITC Avant Garde"/>
          <w:b/>
          <w:bCs/>
          <w:iCs/>
          <w:lang w:eastAsia="es-ES"/>
        </w:rPr>
        <w:t>M</w:t>
      </w:r>
      <w:r w:rsidR="006C2CBD">
        <w:rPr>
          <w:rFonts w:ascii="ITC Avant Garde" w:eastAsia="Times New Roman" w:hAnsi="ITC Avant Garde"/>
          <w:b/>
          <w:bCs/>
          <w:iCs/>
          <w:lang w:eastAsia="es-ES"/>
        </w:rPr>
        <w:t>EDIAN</w:t>
      </w:r>
      <w:r w:rsidR="00843460">
        <w:rPr>
          <w:rFonts w:ascii="ITC Avant Garde" w:eastAsia="Times New Roman" w:hAnsi="ITC Avant Garde"/>
          <w:b/>
          <w:bCs/>
          <w:iCs/>
          <w:lang w:eastAsia="es-ES"/>
        </w:rPr>
        <w:t>TE ACUERDO P/IFT/120815/371</w:t>
      </w:r>
      <w:r w:rsidR="00BA0929" w:rsidRPr="006D6AF9">
        <w:rPr>
          <w:rFonts w:ascii="ITC Avant Garde" w:eastAsia="Times New Roman" w:hAnsi="ITC Avant Garde"/>
          <w:b/>
          <w:bCs/>
          <w:iCs/>
          <w:lang w:eastAsia="es-ES"/>
        </w:rPr>
        <w:t xml:space="preserve">, EN CUMPLIMIENTO A LA EJECUTORIA </w:t>
      </w:r>
      <w:r w:rsidR="00570E29" w:rsidRPr="006D6AF9">
        <w:rPr>
          <w:rFonts w:ascii="ITC Avant Garde" w:eastAsia="Times New Roman" w:hAnsi="ITC Avant Garde"/>
          <w:b/>
          <w:bCs/>
          <w:iCs/>
          <w:lang w:eastAsia="es-ES"/>
        </w:rPr>
        <w:t xml:space="preserve">DE </w:t>
      </w:r>
      <w:r w:rsidR="00BA0929" w:rsidRPr="006D6AF9">
        <w:rPr>
          <w:rFonts w:ascii="ITC Avant Garde" w:eastAsia="Times New Roman" w:hAnsi="ITC Avant Garde"/>
          <w:b/>
          <w:bCs/>
          <w:iCs/>
          <w:lang w:eastAsia="es-ES"/>
        </w:rPr>
        <w:t xml:space="preserve">FECHA </w:t>
      </w:r>
      <w:r w:rsidR="0059562F">
        <w:rPr>
          <w:rFonts w:ascii="ITC Avant Garde" w:eastAsia="Times New Roman" w:hAnsi="ITC Avant Garde"/>
          <w:b/>
          <w:bCs/>
          <w:iCs/>
          <w:lang w:eastAsia="es-ES"/>
        </w:rPr>
        <w:t>27 DE MARZO</w:t>
      </w:r>
      <w:r w:rsidR="00051C6B">
        <w:rPr>
          <w:rFonts w:ascii="ITC Avant Garde" w:eastAsia="Times New Roman" w:hAnsi="ITC Avant Garde"/>
          <w:b/>
          <w:bCs/>
          <w:iCs/>
          <w:lang w:eastAsia="es-ES"/>
        </w:rPr>
        <w:t xml:space="preserve"> DE 2018</w:t>
      </w:r>
      <w:r w:rsidR="00051C6B" w:rsidRPr="006D6AF9">
        <w:rPr>
          <w:rFonts w:ascii="ITC Avant Garde" w:eastAsia="Times New Roman" w:hAnsi="ITC Avant Garde"/>
          <w:b/>
          <w:bCs/>
          <w:iCs/>
          <w:lang w:eastAsia="es-ES"/>
        </w:rPr>
        <w:t xml:space="preserve"> </w:t>
      </w:r>
      <w:r w:rsidR="00570E29" w:rsidRPr="006D6AF9">
        <w:rPr>
          <w:rFonts w:ascii="ITC Avant Garde" w:eastAsia="Times New Roman" w:hAnsi="ITC Avant Garde"/>
          <w:b/>
          <w:bCs/>
          <w:iCs/>
          <w:lang w:eastAsia="es-ES"/>
        </w:rPr>
        <w:t xml:space="preserve">EMITIDA POR </w:t>
      </w:r>
      <w:r w:rsidR="00051C6B">
        <w:rPr>
          <w:rFonts w:ascii="ITC Avant Garde" w:eastAsia="Times New Roman" w:hAnsi="ITC Avant Garde"/>
          <w:b/>
          <w:bCs/>
          <w:iCs/>
          <w:lang w:eastAsia="es-ES"/>
        </w:rPr>
        <w:t xml:space="preserve">EL </w:t>
      </w:r>
      <w:r w:rsidR="00843460">
        <w:rPr>
          <w:rFonts w:ascii="ITC Avant Garde" w:eastAsia="Times New Roman" w:hAnsi="ITC Avant Garde"/>
          <w:b/>
          <w:bCs/>
          <w:iCs/>
          <w:lang w:eastAsia="es-ES"/>
        </w:rPr>
        <w:t>PRIMER</w:t>
      </w:r>
      <w:r w:rsidR="00570E29" w:rsidRPr="006D6AF9">
        <w:rPr>
          <w:rFonts w:ascii="ITC Avant Garde" w:eastAsia="Times New Roman" w:hAnsi="ITC Avant Garde"/>
          <w:b/>
          <w:bCs/>
          <w:iCs/>
          <w:lang w:eastAsia="es-ES"/>
        </w:rPr>
        <w:t xml:space="preserve"> TRIBUNAL COLEGIADO EN MATERIA ADMIN</w:t>
      </w:r>
      <w:bookmarkStart w:id="0" w:name="_GoBack"/>
      <w:bookmarkEnd w:id="0"/>
      <w:r w:rsidR="00570E29" w:rsidRPr="006D6AF9">
        <w:rPr>
          <w:rFonts w:ascii="ITC Avant Garde" w:eastAsia="Times New Roman" w:hAnsi="ITC Avant Garde"/>
          <w:b/>
          <w:bCs/>
          <w:iCs/>
          <w:lang w:eastAsia="es-ES"/>
        </w:rPr>
        <w:t xml:space="preserve">ISTRATIVA ESPECIALIZADO EN COMPETENCIA ECONÓMICA, RADIODIFUSIÓN Y TELECOMUNICACIONES CON RESIDENCIA EN LA CIUDAD DE MÉXICO Y JURISDICCIÓN EN TODA LA REPÚBLICA </w:t>
      </w:r>
      <w:r w:rsidR="00BA0929" w:rsidRPr="006D6AF9">
        <w:rPr>
          <w:rFonts w:ascii="ITC Avant Garde" w:eastAsia="Times New Roman" w:hAnsi="ITC Avant Garde"/>
          <w:b/>
          <w:bCs/>
          <w:iCs/>
          <w:lang w:eastAsia="es-ES"/>
        </w:rPr>
        <w:t>CORRESPON</w:t>
      </w:r>
      <w:r w:rsidR="00843460">
        <w:rPr>
          <w:rFonts w:ascii="ITC Avant Garde" w:eastAsia="Times New Roman" w:hAnsi="ITC Avant Garde"/>
          <w:b/>
          <w:bCs/>
          <w:iCs/>
          <w:lang w:eastAsia="es-ES"/>
        </w:rPr>
        <w:t>DIENTE AL AMPARO EN REVISIÓN 113</w:t>
      </w:r>
      <w:r w:rsidR="00BA0929" w:rsidRPr="006D6AF9">
        <w:rPr>
          <w:rFonts w:ascii="ITC Avant Garde" w:eastAsia="Times New Roman" w:hAnsi="ITC Avant Garde"/>
          <w:b/>
          <w:bCs/>
          <w:iCs/>
          <w:lang w:eastAsia="es-ES"/>
        </w:rPr>
        <w:t>/2016.</w:t>
      </w:r>
    </w:p>
    <w:p w14:paraId="5583FD9C" w14:textId="77777777" w:rsidR="00B04AED" w:rsidRDefault="00C25F00" w:rsidP="00B04AED">
      <w:pPr>
        <w:pStyle w:val="Ttulo3"/>
        <w:keepNext w:val="0"/>
        <w:widowControl w:val="0"/>
        <w:spacing w:after="200" w:line="276" w:lineRule="auto"/>
        <w:ind w:left="0"/>
        <w:jc w:val="center"/>
        <w:rPr>
          <w:rFonts w:ascii="ITC Avant Garde" w:hAnsi="ITC Avant Garde" w:cs="Times New Roman"/>
          <w:szCs w:val="22"/>
        </w:rPr>
      </w:pPr>
      <w:r w:rsidRPr="006D6AF9">
        <w:rPr>
          <w:rFonts w:ascii="ITC Avant Garde" w:hAnsi="ITC Avant Garde" w:cs="Times New Roman"/>
          <w:szCs w:val="22"/>
        </w:rPr>
        <w:t>ANTECEDENTES</w:t>
      </w:r>
    </w:p>
    <w:p w14:paraId="311C6C97" w14:textId="77777777" w:rsidR="00B04AED" w:rsidRDefault="00875A50" w:rsidP="00B04AED">
      <w:pPr>
        <w:numPr>
          <w:ilvl w:val="0"/>
          <w:numId w:val="1"/>
        </w:numPr>
        <w:tabs>
          <w:tab w:val="clear" w:pos="680"/>
          <w:tab w:val="num" w:pos="709"/>
          <w:tab w:val="left" w:pos="9356"/>
        </w:tabs>
        <w:ind w:left="426" w:right="107" w:hanging="425"/>
        <w:jc w:val="both"/>
        <w:rPr>
          <w:rFonts w:ascii="ITC Avant Garde" w:hAnsi="ITC Avant Garde"/>
          <w:b/>
        </w:rPr>
      </w:pPr>
      <w:r w:rsidRPr="00D102D4">
        <w:rPr>
          <w:rFonts w:ascii="ITC Avant Garde" w:hAnsi="ITC Avant Garde"/>
          <w:b/>
        </w:rPr>
        <w:t>Radiomóvil Dipsa, S.A. de C.V., (en lo sucesivo, “Telcel</w:t>
      </w:r>
      <w:r>
        <w:rPr>
          <w:rFonts w:ascii="ITC Avant Garde" w:hAnsi="ITC Avant Garde"/>
          <w:b/>
        </w:rPr>
        <w:t xml:space="preserve">”), </w:t>
      </w:r>
      <w:r>
        <w:rPr>
          <w:rFonts w:ascii="ITC Avant Garde" w:hAnsi="ITC Avant Garde"/>
        </w:rPr>
        <w:t xml:space="preserve">es un </w:t>
      </w:r>
      <w:r w:rsidRPr="006D6AF9">
        <w:rPr>
          <w:rFonts w:ascii="ITC Avant Garde" w:hAnsi="ITC Avant Garde"/>
        </w:rPr>
        <w:t>concesionario que cuenta</w:t>
      </w:r>
      <w:r>
        <w:rPr>
          <w:rFonts w:ascii="ITC Avant Garde" w:hAnsi="ITC Avant Garde"/>
        </w:rPr>
        <w:t>n</w:t>
      </w:r>
      <w:r w:rsidRPr="006D6AF9">
        <w:rPr>
          <w:rFonts w:ascii="ITC Avant Garde" w:hAnsi="ITC Avant Garde"/>
        </w:rPr>
        <w:t xml:space="preserve">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59C0A182" w14:textId="77777777" w:rsidR="00B04AED" w:rsidRDefault="00875A50" w:rsidP="00B04AED">
      <w:pPr>
        <w:numPr>
          <w:ilvl w:val="0"/>
          <w:numId w:val="1"/>
        </w:numPr>
        <w:tabs>
          <w:tab w:val="clear" w:pos="680"/>
          <w:tab w:val="num" w:pos="709"/>
          <w:tab w:val="left" w:pos="9356"/>
        </w:tabs>
        <w:ind w:left="426" w:right="107" w:hanging="425"/>
        <w:jc w:val="both"/>
        <w:rPr>
          <w:rFonts w:ascii="ITC Avant Garde" w:hAnsi="ITC Avant Garde" w:cs="Arial"/>
          <w:b/>
          <w:snapToGrid w:val="0"/>
        </w:rPr>
      </w:pPr>
      <w:r w:rsidRPr="00875A50">
        <w:rPr>
          <w:rFonts w:ascii="ITC Avant Garde" w:hAnsi="ITC Avant Garde" w:cs="Arial"/>
          <w:b/>
          <w:bCs/>
          <w:snapToGrid w:val="0"/>
        </w:rPr>
        <w:t>AT&amp;T Norte, S. de R.L. de C.V.</w:t>
      </w:r>
      <w:r>
        <w:rPr>
          <w:rFonts w:ascii="ITC Avant Garde" w:hAnsi="ITC Avant Garde" w:cs="Arial"/>
          <w:b/>
          <w:bCs/>
          <w:snapToGrid w:val="0"/>
        </w:rPr>
        <w:t xml:space="preserve">, </w:t>
      </w:r>
      <w:r w:rsidRPr="00875A50">
        <w:rPr>
          <w:rFonts w:ascii="ITC Avant Garde" w:hAnsi="ITC Avant Garde" w:cs="Arial"/>
          <w:b/>
          <w:bCs/>
          <w:snapToGrid w:val="0"/>
        </w:rPr>
        <w:t>Grupo AT&amp;T Celullar, S. de R.L. de C.V.</w:t>
      </w:r>
      <w:r>
        <w:rPr>
          <w:rFonts w:ascii="ITC Avant Garde" w:hAnsi="ITC Avant Garde" w:cs="Arial"/>
          <w:b/>
          <w:bCs/>
          <w:snapToGrid w:val="0"/>
        </w:rPr>
        <w:t xml:space="preserve"> y </w:t>
      </w:r>
      <w:r w:rsidRPr="00875A50">
        <w:rPr>
          <w:rFonts w:ascii="ITC Avant Garde" w:hAnsi="ITC Avant Garde" w:cs="Arial"/>
          <w:b/>
          <w:bCs/>
          <w:snapToGrid w:val="0"/>
        </w:rPr>
        <w:t>AT&amp;T Comercialización Móvil, S. de R.L. de C.V.</w:t>
      </w:r>
      <w:r>
        <w:rPr>
          <w:rFonts w:ascii="ITC Avant Garde" w:hAnsi="ITC Avant Garde" w:cs="Arial"/>
          <w:b/>
          <w:bCs/>
          <w:snapToGrid w:val="0"/>
        </w:rPr>
        <w:t xml:space="preserve">, (en lo sucesivo, “Grupo AT&amp;T), </w:t>
      </w:r>
      <w:r>
        <w:rPr>
          <w:rFonts w:ascii="ITC Avant Garde" w:hAnsi="ITC Avant Garde"/>
        </w:rPr>
        <w:t xml:space="preserve">son </w:t>
      </w:r>
      <w:r w:rsidRPr="006D6AF9">
        <w:rPr>
          <w:rFonts w:ascii="ITC Avant Garde" w:hAnsi="ITC Avant Garde"/>
        </w:rPr>
        <w:t>concesionario</w:t>
      </w:r>
      <w:r>
        <w:rPr>
          <w:rFonts w:ascii="ITC Avant Garde" w:hAnsi="ITC Avant Garde"/>
        </w:rPr>
        <w:t>s</w:t>
      </w:r>
      <w:r w:rsidRPr="006D6AF9">
        <w:rPr>
          <w:rFonts w:ascii="ITC Avant Garde" w:hAnsi="ITC Avant Garde"/>
        </w:rPr>
        <w:t xml:space="preserve"> que cuenta</w:t>
      </w:r>
      <w:r>
        <w:rPr>
          <w:rFonts w:ascii="ITC Avant Garde" w:hAnsi="ITC Avant Garde"/>
        </w:rPr>
        <w:t>n</w:t>
      </w:r>
      <w:r w:rsidRPr="006D6AF9">
        <w:rPr>
          <w:rFonts w:ascii="ITC Avant Garde" w:hAnsi="ITC Avant Garde"/>
        </w:rPr>
        <w:t xml:space="preserve"> con la autorización para instalar, operar y explotar una red pública de telecomunicaciones al amparo de los títulos de concesión otorgados conforme a la legislación aplicable e inscritos en el Registro Público de Concesiones del Instituto</w:t>
      </w:r>
      <w:r>
        <w:rPr>
          <w:rFonts w:ascii="ITC Avant Garde" w:hAnsi="ITC Avant Garde"/>
        </w:rPr>
        <w:t>.</w:t>
      </w:r>
    </w:p>
    <w:p w14:paraId="122B54F8" w14:textId="77777777" w:rsidR="00B04AED" w:rsidRDefault="00875A50" w:rsidP="00B04AED">
      <w:pPr>
        <w:tabs>
          <w:tab w:val="left" w:pos="9356"/>
        </w:tabs>
        <w:ind w:left="426" w:right="107"/>
        <w:jc w:val="both"/>
        <w:rPr>
          <w:rFonts w:ascii="ITC Avant Garde" w:hAnsi="ITC Avant Garde" w:cs="Arial"/>
          <w:b/>
          <w:snapToGrid w:val="0"/>
        </w:rPr>
      </w:pPr>
      <w:r w:rsidRPr="00A813BA">
        <w:rPr>
          <w:rFonts w:ascii="ITC Avant Garde" w:hAnsi="ITC Avant Garde" w:cs="Arial"/>
          <w:snapToGrid w:val="0"/>
        </w:rPr>
        <w:t xml:space="preserve">Cabe señalar que mediante </w:t>
      </w:r>
      <w:r w:rsidRPr="00A813BA">
        <w:rPr>
          <w:rFonts w:ascii="ITC Avant Garde" w:hAnsi="ITC Avant Garde" w:cs="Arial"/>
          <w:bCs/>
          <w:snapToGrid w:val="0"/>
        </w:rPr>
        <w:t xml:space="preserve">oficios IFT/223/UCS/2134/2015, </w:t>
      </w:r>
      <w:r w:rsidRPr="00A813BA">
        <w:rPr>
          <w:rFonts w:ascii="ITC Avant Garde" w:hAnsi="ITC Avant Garde" w:cs="Arial"/>
          <w:snapToGrid w:val="0"/>
        </w:rPr>
        <w:t xml:space="preserve">IFT/223/UCS/2135/2015, IFT/223/UCS/2136/2015, </w:t>
      </w:r>
      <w:r w:rsidRPr="00A813BA">
        <w:rPr>
          <w:rFonts w:ascii="ITC Avant Garde" w:hAnsi="ITC Avant Garde" w:cs="Arial"/>
          <w:bCs/>
          <w:snapToGrid w:val="0"/>
        </w:rPr>
        <w:t xml:space="preserve">IFT/223/UCS/2137/2015, IFT/223/UCS/2138/2015, IFT/223/UCS/2139/2015, IFT/223/UCS/2142/2015 e </w:t>
      </w:r>
      <w:r w:rsidRPr="00A813BA">
        <w:rPr>
          <w:rFonts w:ascii="ITC Avant Garde" w:hAnsi="ITC Avant Garde" w:cs="Arial"/>
          <w:snapToGrid w:val="0"/>
        </w:rPr>
        <w:t>IFT/223/UCS/2143/2015</w:t>
      </w:r>
      <w:r w:rsidRPr="00A813BA">
        <w:rPr>
          <w:rFonts w:ascii="ITC Avant Garde" w:hAnsi="ITC Avant Garde" w:cs="Arial"/>
          <w:bCs/>
          <w:snapToGrid w:val="0"/>
        </w:rPr>
        <w:t>, todos de fecha 15 de octubre de 2015, la Unidad de Concesiones y Servicios del Instituto, autorizó la modificación de los estatutos sociales consistente en los siguientes cambios de denominación social de las siguientes empresas:</w:t>
      </w:r>
      <w:r w:rsidRPr="00A813BA">
        <w:rPr>
          <w:rFonts w:ascii="ITC Avant Garde" w:hAnsi="ITC Avant Garde" w:cs="Arial"/>
          <w:snapToGrid w:val="0"/>
        </w:rPr>
        <w:t xml:space="preserve"> </w:t>
      </w:r>
      <w:r w:rsidRPr="00A813BA">
        <w:rPr>
          <w:rFonts w:ascii="ITC Avant Garde" w:hAnsi="ITC Avant Garde" w:cs="Arial"/>
          <w:bCs/>
          <w:snapToGrid w:val="0"/>
        </w:rPr>
        <w:t>Sistemas Telefónicos Portátiles Celulares, S.A. de C.V., para quedar como AT&amp;T Comcentro, S. de R.L. de C.V. (en lo sucesivo, “AT&amp;T Comcentro”), Iusacell PCS, S.A. de C.V., para quedar como AT&amp;T Norte, S. de R.L. de C.V. (en lo sucesivo, “AT&amp;T Norte”),</w:t>
      </w:r>
      <w:r w:rsidRPr="00A813BA">
        <w:rPr>
          <w:rFonts w:ascii="ITC Avant Garde" w:hAnsi="ITC Avant Garde" w:cs="Arial"/>
          <w:snapToGrid w:val="0"/>
        </w:rPr>
        <w:t xml:space="preserve"> </w:t>
      </w:r>
      <w:r w:rsidRPr="00A813BA">
        <w:rPr>
          <w:rFonts w:ascii="ITC Avant Garde" w:hAnsi="ITC Avant Garde" w:cs="Arial"/>
          <w:bCs/>
          <w:snapToGrid w:val="0"/>
        </w:rPr>
        <w:t xml:space="preserve">Portatel del Sureste, S.A. de C.V., para quedar como AT&amp;T Sureste, S. de R.L. de C.V. (en lo sucesivo, “AT&amp;T Sureste”), </w:t>
      </w:r>
      <w:r w:rsidRPr="00A813BA">
        <w:rPr>
          <w:rFonts w:ascii="ITC Avant Garde" w:hAnsi="ITC Avant Garde" w:cs="Arial"/>
          <w:snapToGrid w:val="0"/>
        </w:rPr>
        <w:t xml:space="preserve">Iusacell PCS de México, S.A. de C.V., para quedar como </w:t>
      </w:r>
      <w:r w:rsidRPr="00A813BA">
        <w:rPr>
          <w:rFonts w:ascii="ITC Avant Garde" w:hAnsi="ITC Avant Garde" w:cs="Arial"/>
          <w:snapToGrid w:val="0"/>
        </w:rPr>
        <w:lastRenderedPageBreak/>
        <w:t>AT</w:t>
      </w:r>
      <w:r w:rsidRPr="00A813BA">
        <w:rPr>
          <w:rFonts w:ascii="ITC Avant Garde" w:hAnsi="ITC Avant Garde" w:cs="Arial"/>
          <w:bCs/>
          <w:iCs/>
          <w:snapToGrid w:val="0"/>
        </w:rPr>
        <w:t>&amp;T Desarrollo en Comunicaciones de México, S. de R.L. de C.V.</w:t>
      </w:r>
      <w:r w:rsidRPr="00A813BA">
        <w:rPr>
          <w:rFonts w:ascii="ITC Avant Garde" w:hAnsi="ITC Avant Garde" w:cs="Arial"/>
          <w:snapToGrid w:val="0"/>
        </w:rPr>
        <w:t xml:space="preserve"> (en lo sucesivo, “</w:t>
      </w:r>
      <w:r w:rsidRPr="00A813BA">
        <w:rPr>
          <w:rFonts w:ascii="ITC Avant Garde" w:hAnsi="ITC Avant Garde" w:cs="Arial"/>
          <w:bCs/>
          <w:iCs/>
          <w:snapToGrid w:val="0"/>
        </w:rPr>
        <w:t>AT&amp;T Desarrollo en Comunicaciones de México</w:t>
      </w:r>
      <w:r w:rsidRPr="00A813BA">
        <w:rPr>
          <w:rFonts w:ascii="ITC Avant Garde" w:hAnsi="ITC Avant Garde" w:cs="Arial"/>
          <w:snapToGrid w:val="0"/>
        </w:rPr>
        <w:t>”), Operadora Unefon, S.A. de C.V. para quedar como AT&amp;T Opco Une Mex, S. de R.L. de C.V. (en lo sucesivo, “AT&amp;T Opco Une Mex”), Comunicaciones Celulares de Occidente, S.A. de C.V., para quedar como AT</w:t>
      </w:r>
      <w:r w:rsidRPr="00A813BA">
        <w:rPr>
          <w:rFonts w:ascii="ITC Avant Garde" w:hAnsi="ITC Avant Garde" w:cs="Arial"/>
          <w:bCs/>
          <w:iCs/>
          <w:snapToGrid w:val="0"/>
        </w:rPr>
        <w:t>&amp;T del Occidente, S. de R.L. de C.V.</w:t>
      </w:r>
      <w:r w:rsidRPr="00A813BA">
        <w:rPr>
          <w:rFonts w:ascii="ITC Avant Garde" w:hAnsi="ITC Avant Garde" w:cs="Arial"/>
          <w:snapToGrid w:val="0"/>
        </w:rPr>
        <w:t xml:space="preserve"> (en lo sucesivo, “</w:t>
      </w:r>
      <w:r w:rsidRPr="00A813BA">
        <w:rPr>
          <w:rFonts w:ascii="ITC Avant Garde" w:hAnsi="ITC Avant Garde" w:cs="Arial"/>
          <w:bCs/>
          <w:iCs/>
          <w:snapToGrid w:val="0"/>
        </w:rPr>
        <w:t>AT&amp;T del Occidente</w:t>
      </w:r>
      <w:r w:rsidRPr="00A813BA">
        <w:rPr>
          <w:rFonts w:ascii="ITC Avant Garde" w:hAnsi="ITC Avant Garde" w:cs="Arial"/>
          <w:snapToGrid w:val="0"/>
        </w:rPr>
        <w:t>”), Telecomunicaciones del Golfo, S.A. de C.V., para quedar como AT&amp;T del Golfo, S. de R.L. de C.V. (en lo sucesivo, “AT&amp;T del Golfo”) y SOS Telecomunicaciones, S.A. de C.V. para quedar como AT&amp;T Central, S. de R.L. de C.V. (en lo sucesivo, “AT&amp;T Central”), respectivamente.</w:t>
      </w:r>
    </w:p>
    <w:p w14:paraId="51D75B89" w14:textId="77777777" w:rsidR="00B04AED" w:rsidRDefault="00875A50" w:rsidP="00B04AED">
      <w:pPr>
        <w:tabs>
          <w:tab w:val="left" w:pos="9356"/>
        </w:tabs>
        <w:ind w:left="426" w:right="107"/>
        <w:jc w:val="both"/>
        <w:rPr>
          <w:rFonts w:ascii="ITC Avant Garde" w:hAnsi="ITC Avant Garde" w:cs="Arial"/>
          <w:b/>
          <w:snapToGrid w:val="0"/>
        </w:rPr>
      </w:pPr>
      <w:r w:rsidRPr="00875A50">
        <w:rPr>
          <w:rFonts w:ascii="ITC Avant Garde" w:hAnsi="ITC Avant Garde" w:cs="Arial"/>
          <w:bCs/>
          <w:snapToGrid w:val="0"/>
        </w:rPr>
        <w:t xml:space="preserve">Asimismo, el 22 de febrero de 2016, con números 11670 y 11671, se inscribieron en el Registro Público de Telecomunicaciones, las cesiones de derechos y obligaciones de los títulos de concesión que eran titulares AT&amp;T Sureste, AT&amp;T del Golfo, </w:t>
      </w:r>
      <w:r w:rsidRPr="00875A50">
        <w:rPr>
          <w:rFonts w:ascii="ITC Avant Garde" w:hAnsi="ITC Avant Garde" w:cs="Arial"/>
          <w:bCs/>
          <w:iCs/>
          <w:snapToGrid w:val="0"/>
        </w:rPr>
        <w:t xml:space="preserve">AT&amp;T del Occidente, </w:t>
      </w:r>
      <w:r w:rsidRPr="00875A50">
        <w:rPr>
          <w:rFonts w:ascii="ITC Avant Garde" w:hAnsi="ITC Avant Garde" w:cs="Arial"/>
          <w:snapToGrid w:val="0"/>
        </w:rPr>
        <w:t xml:space="preserve">AT&amp;T Comcentro y </w:t>
      </w:r>
      <w:r w:rsidRPr="00875A50">
        <w:rPr>
          <w:rFonts w:ascii="ITC Avant Garde" w:hAnsi="ITC Avant Garde" w:cs="Arial"/>
          <w:bCs/>
          <w:snapToGrid w:val="0"/>
        </w:rPr>
        <w:t>AT&amp;T Central a favor de Grupo AT&amp;T Celullar, S. de R.L. de C.V., (en lo sucesivo “Grupo AT&amp;T Celullar”), y la de Opco Une Mex a favor de AT&amp;T Comercialización Móvil, S. de R.L. de C.V., (en lo sucesivo “AT&amp;T Móvil”).</w:t>
      </w:r>
    </w:p>
    <w:p w14:paraId="11431316" w14:textId="77777777" w:rsidR="00B04AED" w:rsidRDefault="00DC4719" w:rsidP="00B04AED">
      <w:pPr>
        <w:numPr>
          <w:ilvl w:val="0"/>
          <w:numId w:val="1"/>
        </w:numPr>
        <w:tabs>
          <w:tab w:val="clear" w:pos="680"/>
          <w:tab w:val="num" w:pos="709"/>
          <w:tab w:val="left" w:pos="9356"/>
        </w:tabs>
        <w:ind w:left="426" w:right="107" w:hanging="425"/>
        <w:jc w:val="both"/>
        <w:rPr>
          <w:rFonts w:ascii="ITC Avant Garde" w:hAnsi="ITC Avant Garde" w:cs="Arial"/>
          <w:bCs/>
          <w:i/>
        </w:rPr>
      </w:pPr>
      <w:r w:rsidRPr="006D6AF9">
        <w:rPr>
          <w:rFonts w:ascii="ITC Avant Garde" w:hAnsi="ITC Avant Garde" w:cs="Arial"/>
          <w:b/>
          <w:bCs/>
        </w:rPr>
        <w:t xml:space="preserve">Metodología para el cálculo de costos de interconexión. </w:t>
      </w:r>
      <w:r w:rsidRPr="006D6AF9">
        <w:rPr>
          <w:rFonts w:ascii="ITC Avant Garde" w:hAnsi="ITC Avant Garde" w:cs="Arial"/>
          <w:bCs/>
        </w:rPr>
        <w:t>El 18 de diciembre de 2014, el Instituto publicó en el DOF, el “</w:t>
      </w:r>
      <w:r w:rsidRPr="006D6AF9">
        <w:rPr>
          <w:rFonts w:ascii="ITC Avant Garde" w:hAnsi="ITC Avant Garde" w:cs="Arial"/>
          <w:bCs/>
          <w:i/>
        </w:rPr>
        <w:t xml:space="preserve">ACUERDO </w:t>
      </w:r>
      <w:r w:rsidR="00157BBE" w:rsidRPr="006D6AF9">
        <w:rPr>
          <w:rFonts w:ascii="ITC Avant Garde" w:hAnsi="ITC Avant Garde" w:cs="Arial"/>
          <w:bCs/>
          <w:i/>
        </w:rPr>
        <w:t>mediante el cual el</w:t>
      </w:r>
      <w:r w:rsidR="006B6E39" w:rsidRPr="006D6AF9">
        <w:rPr>
          <w:rFonts w:ascii="ITC Avant Garde" w:hAnsi="ITC Avant Garde" w:cs="Arial"/>
          <w:bCs/>
          <w:i/>
        </w:rPr>
        <w:t xml:space="preserve"> </w:t>
      </w:r>
      <w:r w:rsidR="00157BBE" w:rsidRPr="006D6AF9">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6D6AF9">
        <w:rPr>
          <w:rFonts w:ascii="ITC Avant Garde" w:hAnsi="ITC Avant Garde" w:cs="Arial"/>
          <w:bCs/>
          <w:i/>
        </w:rPr>
        <w:t xml:space="preserve">”, </w:t>
      </w:r>
      <w:r w:rsidRPr="006D6AF9">
        <w:rPr>
          <w:rFonts w:ascii="ITC Avant Garde" w:hAnsi="ITC Avant Garde" w:cs="Arial"/>
          <w:bCs/>
        </w:rPr>
        <w:t>aprobado por el Pleno del Instituto mediante Acuerdo P/IFT/EXT//161214/277 (en lo</w:t>
      </w:r>
      <w:r w:rsidRPr="006D6AF9">
        <w:rPr>
          <w:rFonts w:ascii="ITC Avant Garde" w:hAnsi="ITC Avant Garde" w:cs="Arial"/>
          <w:bCs/>
          <w:i/>
        </w:rPr>
        <w:t xml:space="preserve"> </w:t>
      </w:r>
      <w:r w:rsidRPr="006D6AF9">
        <w:rPr>
          <w:rFonts w:ascii="ITC Avant Garde" w:hAnsi="ITC Avant Garde" w:cs="Arial"/>
          <w:bCs/>
        </w:rPr>
        <w:t>sucesivo la “Metodología de Costos”).</w:t>
      </w:r>
    </w:p>
    <w:p w14:paraId="11454694" w14:textId="77777777" w:rsidR="00B04AED" w:rsidRDefault="00750D8A" w:rsidP="00B04AED">
      <w:pPr>
        <w:numPr>
          <w:ilvl w:val="0"/>
          <w:numId w:val="1"/>
        </w:numPr>
        <w:tabs>
          <w:tab w:val="clear" w:pos="680"/>
          <w:tab w:val="num" w:pos="709"/>
          <w:tab w:val="left" w:pos="9356"/>
        </w:tabs>
        <w:ind w:left="426" w:right="107" w:hanging="425"/>
        <w:jc w:val="both"/>
        <w:rPr>
          <w:rFonts w:ascii="ITC Avant Garde" w:hAnsi="ITC Avant Garde" w:cs="Arial"/>
          <w:b/>
        </w:rPr>
      </w:pPr>
      <w:r w:rsidRPr="006D6AF9">
        <w:rPr>
          <w:rFonts w:ascii="ITC Avant Garde" w:hAnsi="ITC Avant Garde" w:cs="Arial"/>
          <w:b/>
        </w:rPr>
        <w:t xml:space="preserve">Publicación de Tarifas de Interconexión del año 2015. </w:t>
      </w:r>
      <w:r w:rsidRPr="006D6AF9">
        <w:rPr>
          <w:rFonts w:ascii="ITC Avant Garde" w:hAnsi="ITC Avant Garde" w:cs="Arial"/>
        </w:rPr>
        <w:t>El 29 de diciembre de 2014, el Instituto publicó en el DOF el “</w:t>
      </w:r>
      <w:r w:rsidRPr="006D6AF9">
        <w:rPr>
          <w:rFonts w:ascii="ITC Avant Garde" w:hAnsi="ITC Avant Garde" w:cs="Arial"/>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6D6AF9">
        <w:rPr>
          <w:rFonts w:ascii="ITC Avant Garde" w:hAnsi="ITC Avant Garde" w:cs="Arial"/>
        </w:rPr>
        <w:t xml:space="preserve"> aprobado mediante Acuerdo P/IFT/EXT/191214/284 (en lo sucesivo, el “Acuerdo de Tarifas 2015”).</w:t>
      </w:r>
    </w:p>
    <w:p w14:paraId="11149C64" w14:textId="77777777" w:rsidR="00B04AED" w:rsidRDefault="00A7512D" w:rsidP="00B04AED">
      <w:pPr>
        <w:numPr>
          <w:ilvl w:val="0"/>
          <w:numId w:val="1"/>
        </w:numPr>
        <w:tabs>
          <w:tab w:val="clear" w:pos="680"/>
          <w:tab w:val="num" w:pos="709"/>
          <w:tab w:val="left" w:pos="9356"/>
        </w:tabs>
        <w:ind w:left="426" w:right="107" w:hanging="425"/>
        <w:jc w:val="both"/>
        <w:rPr>
          <w:rFonts w:ascii="ITC Avant Garde" w:hAnsi="ITC Avant Garde" w:cs="Arial"/>
          <w:b/>
        </w:rPr>
      </w:pPr>
      <w:r w:rsidRPr="006D6AF9">
        <w:rPr>
          <w:rFonts w:ascii="ITC Avant Garde" w:hAnsi="ITC Avant Garde"/>
          <w:b/>
          <w:bCs/>
          <w:lang w:val="es-ES" w:eastAsia="es-ES"/>
        </w:rPr>
        <w:t>Sistema Electrónico de Solicitudes de Interconexión.</w:t>
      </w:r>
      <w:r w:rsidRPr="006D6AF9">
        <w:rPr>
          <w:rFonts w:ascii="ITC Avant Garde" w:hAnsi="ITC Avant Garde"/>
          <w:bCs/>
          <w:lang w:val="es-ES" w:eastAsia="es-ES"/>
        </w:rPr>
        <w:t xml:space="preserve"> El 29 de diciembre de 2014 se publicó en el DOF el </w:t>
      </w:r>
      <w:r w:rsidRPr="006D6AF9">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6D6AF9">
        <w:rPr>
          <w:rFonts w:ascii="ITC Avant Garde" w:hAnsi="ITC Avant Garde"/>
          <w:bCs/>
          <w:lang w:val="es-ES" w:eastAsia="es-ES"/>
        </w:rPr>
        <w:t>mediante el cual se estableció</w:t>
      </w:r>
      <w:r w:rsidR="005160CE" w:rsidRPr="006D6AF9">
        <w:rPr>
          <w:rFonts w:ascii="ITC Avant Garde" w:hAnsi="ITC Avant Garde"/>
          <w:bCs/>
          <w:lang w:val="es-ES" w:eastAsia="es-ES"/>
        </w:rPr>
        <w:t xml:space="preserve"> el Sistema Electrónico de Solicitudes de Interconexión, (en lo sucesivo, el “SESI”).</w:t>
      </w:r>
    </w:p>
    <w:p w14:paraId="143E4322" w14:textId="77777777" w:rsidR="00B04AED" w:rsidRDefault="00394255" w:rsidP="00B04AED">
      <w:pPr>
        <w:numPr>
          <w:ilvl w:val="0"/>
          <w:numId w:val="1"/>
        </w:numPr>
        <w:tabs>
          <w:tab w:val="clear" w:pos="680"/>
          <w:tab w:val="num" w:pos="709"/>
          <w:tab w:val="left" w:pos="9356"/>
        </w:tabs>
        <w:ind w:left="426" w:right="107" w:hanging="425"/>
        <w:jc w:val="both"/>
        <w:rPr>
          <w:rFonts w:ascii="ITC Avant Garde" w:hAnsi="ITC Avant Garde"/>
        </w:rPr>
      </w:pPr>
      <w:r w:rsidRPr="00C31F1B">
        <w:rPr>
          <w:rFonts w:ascii="ITC Avant Garde" w:eastAsia="Times New Roman" w:hAnsi="ITC Avant Garde"/>
          <w:b/>
          <w:lang w:eastAsia="es-ES"/>
        </w:rPr>
        <w:t>Solicitud de resolución de condiciones de interconexión no convenidas.</w:t>
      </w:r>
      <w:r w:rsidRPr="00C31F1B">
        <w:rPr>
          <w:rFonts w:ascii="ITC Avant Garde" w:eastAsia="Times New Roman" w:hAnsi="ITC Avant Garde"/>
          <w:lang w:eastAsia="es-ES"/>
        </w:rPr>
        <w:t xml:space="preserve"> </w:t>
      </w:r>
      <w:r w:rsidR="00990712" w:rsidRPr="00C31F1B">
        <w:rPr>
          <w:rFonts w:ascii="ITC Avant Garde" w:eastAsia="Times New Roman" w:hAnsi="ITC Avant Garde"/>
          <w:lang w:eastAsia="es-ES"/>
        </w:rPr>
        <w:t xml:space="preserve">El </w:t>
      </w:r>
      <w:r w:rsidR="00433DAD">
        <w:rPr>
          <w:rFonts w:ascii="ITC Avant Garde" w:eastAsia="Times New Roman" w:hAnsi="ITC Avant Garde"/>
          <w:lang w:eastAsia="es-ES"/>
        </w:rPr>
        <w:t>5 y 7</w:t>
      </w:r>
      <w:r w:rsidR="00B75B87" w:rsidRPr="00C31F1B">
        <w:rPr>
          <w:rFonts w:ascii="ITC Avant Garde" w:eastAsia="Times New Roman" w:hAnsi="ITC Avant Garde"/>
          <w:lang w:eastAsia="es-ES"/>
        </w:rPr>
        <w:t xml:space="preserve"> de mayo de 2015, el apoderado legal de </w:t>
      </w:r>
      <w:r w:rsidR="00433DAD">
        <w:rPr>
          <w:rFonts w:ascii="ITC Avant Garde" w:eastAsia="Times New Roman" w:hAnsi="ITC Avant Garde"/>
          <w:lang w:eastAsia="es-ES"/>
        </w:rPr>
        <w:t>Telcel</w:t>
      </w:r>
      <w:r w:rsidR="00B75B87" w:rsidRPr="00C31F1B">
        <w:rPr>
          <w:rFonts w:ascii="ITC Avant Garde" w:eastAsia="Times New Roman" w:hAnsi="ITC Avant Garde"/>
          <w:lang w:eastAsia="es-ES"/>
        </w:rPr>
        <w:t xml:space="preserve"> presentó ante el Instituto, </w:t>
      </w:r>
      <w:r w:rsidR="00C31F1B" w:rsidRPr="00C31F1B">
        <w:rPr>
          <w:rFonts w:ascii="ITC Avant Garde" w:hAnsi="ITC Avant Garde"/>
        </w:rPr>
        <w:t>escrito</w:t>
      </w:r>
      <w:r w:rsidR="00433DAD">
        <w:rPr>
          <w:rFonts w:ascii="ITC Avant Garde" w:hAnsi="ITC Avant Garde"/>
        </w:rPr>
        <w:t>s</w:t>
      </w:r>
      <w:r w:rsidR="00C31F1B" w:rsidRPr="00C31F1B">
        <w:rPr>
          <w:rFonts w:ascii="ITC Avant Garde" w:hAnsi="ITC Avant Garde"/>
        </w:rPr>
        <w:t xml:space="preserve"> </w:t>
      </w:r>
      <w:r w:rsidR="00C31F1B" w:rsidRPr="00C31F1B">
        <w:rPr>
          <w:rFonts w:ascii="ITC Avant Garde" w:hAnsi="ITC Avant Garde"/>
        </w:rPr>
        <w:lastRenderedPageBreak/>
        <w:t xml:space="preserve">mediante el cual solicitó su intervención para resolver los términos, tarifas y condiciones que no pudo convenir con </w:t>
      </w:r>
      <w:r w:rsidR="00433DAD">
        <w:rPr>
          <w:rFonts w:ascii="ITC Avant Garde" w:hAnsi="ITC Avant Garde"/>
        </w:rPr>
        <w:t xml:space="preserve">Grupo AT&amp;T, antes </w:t>
      </w:r>
      <w:r w:rsidR="00433DAD" w:rsidRPr="00433DAD">
        <w:rPr>
          <w:rFonts w:ascii="ITC Avant Garde" w:hAnsi="ITC Avant Garde"/>
        </w:rPr>
        <w:t>Iusacell PCS, S.A. de C.V., Iusacell PCS de México, S.A. de C.V., Portatel del Sureste, S.A. de C.V., Comunicaciones Celulares de Occidente, S.A. de C.V., Sistemas Telefónicos Portátiles Celulares S.A. de C.V., Telecomunicaciones del Golfo, S.A. de C.V., SOS Telecomunicaciones, S.A. de C.V.</w:t>
      </w:r>
      <w:r w:rsidR="00433DAD">
        <w:rPr>
          <w:rFonts w:ascii="ITC Avant Garde" w:hAnsi="ITC Avant Garde"/>
        </w:rPr>
        <w:t xml:space="preserve"> y </w:t>
      </w:r>
      <w:r w:rsidR="00433DAD" w:rsidRPr="00433DAD">
        <w:rPr>
          <w:rFonts w:ascii="ITC Avant Garde" w:hAnsi="ITC Avant Garde"/>
        </w:rPr>
        <w:t>Opera</w:t>
      </w:r>
      <w:r w:rsidR="00433DAD">
        <w:rPr>
          <w:rFonts w:ascii="ITC Avant Garde" w:hAnsi="ITC Avant Garde"/>
        </w:rPr>
        <w:t>dora Unefon, S.A. de C.V. (en lo sucesivo, conjuntamente “Grupo Iusacell”), respectivamente,</w:t>
      </w:r>
      <w:r w:rsidR="00C31F1B" w:rsidRPr="00C31F1B">
        <w:rPr>
          <w:rFonts w:ascii="ITC Avant Garde" w:hAnsi="ITC Avant Garde"/>
        </w:rPr>
        <w:t xml:space="preserve"> para la interconexión de sus respectivas redes públicas de telecomunicaciones que aplicaran para el ejercicio del 1 de e</w:t>
      </w:r>
      <w:r w:rsidR="00433DAD">
        <w:rPr>
          <w:rFonts w:ascii="ITC Avant Garde" w:hAnsi="ITC Avant Garde"/>
        </w:rPr>
        <w:t>nero al 31 de diciembre del 2016</w:t>
      </w:r>
      <w:r w:rsidR="00C31F1B" w:rsidRPr="00C31F1B">
        <w:rPr>
          <w:rFonts w:ascii="ITC Avant Garde" w:hAnsi="ITC Avant Garde"/>
        </w:rPr>
        <w:t xml:space="preserve"> (en lo sucesivo, la “Solicitud</w:t>
      </w:r>
      <w:r w:rsidR="00433DAD">
        <w:rPr>
          <w:rFonts w:ascii="ITC Avant Garde" w:hAnsi="ITC Avant Garde"/>
        </w:rPr>
        <w:t>es</w:t>
      </w:r>
      <w:r w:rsidR="00C31F1B" w:rsidRPr="00C31F1B">
        <w:rPr>
          <w:rFonts w:ascii="ITC Avant Garde" w:hAnsi="ITC Avant Garde"/>
        </w:rPr>
        <w:t xml:space="preserve"> de Resolución”).</w:t>
      </w:r>
    </w:p>
    <w:p w14:paraId="6E1930F2" w14:textId="77777777" w:rsidR="00B04AED" w:rsidRDefault="00433DAD" w:rsidP="00B04AED">
      <w:pPr>
        <w:tabs>
          <w:tab w:val="left" w:pos="9356"/>
        </w:tabs>
        <w:ind w:left="426" w:right="107"/>
        <w:jc w:val="both"/>
        <w:rPr>
          <w:rFonts w:ascii="ITC Avant Garde" w:eastAsia="Times New Roman" w:hAnsi="ITC Avant Garde"/>
          <w:lang w:eastAsia="es-ES"/>
        </w:rPr>
      </w:pPr>
      <w:r w:rsidRPr="00433DAD">
        <w:rPr>
          <w:rFonts w:ascii="ITC Avant Garde" w:eastAsia="Times New Roman" w:hAnsi="ITC Avant Garde"/>
          <w:lang w:eastAsia="es-ES"/>
        </w:rPr>
        <w:t>Las Solicitudes de Resolución se admitieron a trámite y los procedimientos fueron sustanciados en todas y cada una de sus etapas en estricto apego a lo establecido en el artículo 129 de la LFTR. Lo cual se encuentra plenamente documentado en las constancias que integran el expediente administrativo en comento, mismo que ha estado en todo momento a disposición de las partes, las cuales tienen pleno conocimiento de su contenido.</w:t>
      </w:r>
    </w:p>
    <w:p w14:paraId="21B0E96A" w14:textId="77777777" w:rsidR="00B04AED" w:rsidRDefault="00433DAD" w:rsidP="00B04AED">
      <w:pPr>
        <w:tabs>
          <w:tab w:val="left" w:pos="9356"/>
        </w:tabs>
        <w:ind w:left="426" w:right="107"/>
        <w:jc w:val="both"/>
        <w:rPr>
          <w:rFonts w:ascii="ITC Avant Garde" w:eastAsia="Times New Roman" w:hAnsi="ITC Avant Garde"/>
          <w:lang w:eastAsia="es-ES"/>
        </w:rPr>
      </w:pPr>
      <w:r>
        <w:rPr>
          <w:rFonts w:ascii="ITC Avant Garde" w:eastAsia="Times New Roman" w:hAnsi="ITC Avant Garde"/>
          <w:lang w:eastAsia="es-ES"/>
        </w:rPr>
        <w:t>Es así que con fecha 10</w:t>
      </w:r>
      <w:r w:rsidRPr="00433DAD">
        <w:rPr>
          <w:rFonts w:ascii="ITC Avant Garde" w:eastAsia="Times New Roman" w:hAnsi="ITC Avant Garde"/>
          <w:lang w:eastAsia="es-ES"/>
        </w:rPr>
        <w:t xml:space="preserve"> de julio de 2015, el Instituto notificó a las partes, que el procedimiento guardaba estado para que el Pleno del Instituto dictase la resolución correspondiente y toda vez que los procedimientos iniciados de manera independiente por Telcel contra</w:t>
      </w:r>
      <w:r w:rsidRPr="00433DAD">
        <w:t xml:space="preserve"> </w:t>
      </w:r>
      <w:r w:rsidRPr="00433DAD">
        <w:rPr>
          <w:rFonts w:ascii="ITC Avant Garde" w:eastAsia="Times New Roman" w:hAnsi="ITC Avant Garde"/>
          <w:lang w:eastAsia="es-ES"/>
        </w:rPr>
        <w:t>Iusacell PCS, S.A. de C.V., Iusacell PCS de México, S.A. de C.V., Portatel del Sureste, S.A. de C.V., Comunicaciones Celulares de Occidente, S.A. de C.V., Sistemas Telefónicos Portátiles Celulares S.A. de C.V., Telecomunic</w:t>
      </w:r>
      <w:r>
        <w:rPr>
          <w:rFonts w:ascii="ITC Avant Garde" w:eastAsia="Times New Roman" w:hAnsi="ITC Avant Garde"/>
          <w:lang w:eastAsia="es-ES"/>
        </w:rPr>
        <w:t>aciones del Golfo, S.A. de C.V. y</w:t>
      </w:r>
      <w:r w:rsidRPr="00433DAD">
        <w:rPr>
          <w:rFonts w:ascii="ITC Avant Garde" w:eastAsia="Times New Roman" w:hAnsi="ITC Avant Garde"/>
          <w:lang w:eastAsia="es-ES"/>
        </w:rPr>
        <w:t xml:space="preserve"> SOS Telecomunicaciones, S.A. de C.V.</w:t>
      </w:r>
      <w:r>
        <w:rPr>
          <w:rFonts w:ascii="ITC Avant Garde" w:eastAsia="Times New Roman" w:hAnsi="ITC Avant Garde"/>
          <w:lang w:eastAsia="es-ES"/>
        </w:rPr>
        <w:t xml:space="preserve"> (en lo sucesivo</w:t>
      </w:r>
      <w:r w:rsidR="00111899">
        <w:rPr>
          <w:rFonts w:ascii="ITC Avant Garde" w:eastAsia="Times New Roman" w:hAnsi="ITC Avant Garde"/>
          <w:lang w:eastAsia="es-ES"/>
        </w:rPr>
        <w:t>,</w:t>
      </w:r>
      <w:r>
        <w:rPr>
          <w:rFonts w:ascii="ITC Avant Garde" w:eastAsia="Times New Roman" w:hAnsi="ITC Avant Garde"/>
          <w:lang w:eastAsia="es-ES"/>
        </w:rPr>
        <w:t xml:space="preserve"> “Iusacell”)</w:t>
      </w:r>
      <w:r w:rsidRPr="00433DAD">
        <w:rPr>
          <w:rFonts w:ascii="ITC Avant Garde" w:eastAsia="Times New Roman" w:hAnsi="ITC Avant Garde"/>
          <w:lang w:eastAsia="es-ES"/>
        </w:rPr>
        <w:t xml:space="preserve"> </w:t>
      </w:r>
      <w:r>
        <w:rPr>
          <w:rFonts w:ascii="ITC Avant Garde" w:eastAsia="Times New Roman" w:hAnsi="ITC Avant Garde"/>
          <w:lang w:eastAsia="es-ES"/>
        </w:rPr>
        <w:t xml:space="preserve">y Telcel y </w:t>
      </w:r>
      <w:r w:rsidRPr="00433DAD">
        <w:rPr>
          <w:rFonts w:ascii="ITC Avant Garde" w:eastAsia="Times New Roman" w:hAnsi="ITC Avant Garde"/>
          <w:lang w:eastAsia="es-ES"/>
        </w:rPr>
        <w:t xml:space="preserve">Operadora Unefon, S.A. de C.V. tienden al mismo efecto, en términos del artículo 45 de la Ley Federal de Procedimiento Administrativo y 73 del Código Federal de Procedimientos Civiles (en lo sucesivo, el “CFPC”), ordenamientos de aplicación supletoria en términos del artículo 6, fracciones IV y VII, de la LFTR, y siendo legalmente factible, se ordenó la acumulación del más nuevo al más antiguo tal como lo dispone el artículo 72 del CFPC, quedando acumulados en el procedimiento administrativo iniciado por Telcel en contra de </w:t>
      </w:r>
      <w:r w:rsidR="00111899">
        <w:rPr>
          <w:rFonts w:ascii="ITC Avant Garde" w:eastAsia="Times New Roman" w:hAnsi="ITC Avant Garde"/>
          <w:lang w:eastAsia="es-ES"/>
        </w:rPr>
        <w:t>Iusacell.</w:t>
      </w:r>
    </w:p>
    <w:p w14:paraId="199BC75A" w14:textId="77777777" w:rsidR="00B04AED" w:rsidRDefault="00E54DF0" w:rsidP="00B04AED">
      <w:pPr>
        <w:numPr>
          <w:ilvl w:val="0"/>
          <w:numId w:val="1"/>
        </w:numPr>
        <w:tabs>
          <w:tab w:val="clear" w:pos="680"/>
          <w:tab w:val="num" w:pos="709"/>
          <w:tab w:val="left" w:pos="9356"/>
        </w:tabs>
        <w:ind w:left="426" w:right="107" w:hanging="425"/>
        <w:jc w:val="both"/>
        <w:rPr>
          <w:rFonts w:ascii="ITC Avant Garde" w:hAnsi="ITC Avant Garde" w:cs="Arial"/>
          <w:bCs/>
        </w:rPr>
      </w:pPr>
      <w:r w:rsidRPr="006D6AF9">
        <w:rPr>
          <w:rFonts w:ascii="ITC Avant Garde" w:hAnsi="ITC Avant Garde"/>
          <w:b/>
          <w:lang w:val="es-ES"/>
        </w:rPr>
        <w:t>Emisión</w:t>
      </w:r>
      <w:r w:rsidRPr="006D6AF9">
        <w:rPr>
          <w:rFonts w:ascii="ITC Avant Garde" w:hAnsi="ITC Avant Garde" w:cs="Arial"/>
          <w:b/>
        </w:rPr>
        <w:t xml:space="preserve"> del </w:t>
      </w:r>
      <w:r w:rsidRPr="006D6AF9">
        <w:rPr>
          <w:rFonts w:ascii="ITC Avant Garde" w:hAnsi="ITC Avant Garde"/>
          <w:b/>
          <w:lang w:val="es-ES"/>
        </w:rPr>
        <w:t>Acuerdo</w:t>
      </w:r>
      <w:r w:rsidRPr="006D6AF9">
        <w:rPr>
          <w:rFonts w:ascii="ITC Avant Garde" w:hAnsi="ITC Avant Garde" w:cs="Arial"/>
          <w:b/>
        </w:rPr>
        <w:t xml:space="preserve"> P/IFT/</w:t>
      </w:r>
      <w:r w:rsidR="00C31F1B">
        <w:rPr>
          <w:rFonts w:ascii="ITC Avant Garde" w:hAnsi="ITC Avant Garde" w:cs="Arial"/>
          <w:b/>
        </w:rPr>
        <w:t>120815/3</w:t>
      </w:r>
      <w:r w:rsidR="003C1691">
        <w:rPr>
          <w:rFonts w:ascii="ITC Avant Garde" w:hAnsi="ITC Avant Garde" w:cs="Arial"/>
          <w:b/>
        </w:rPr>
        <w:t>71</w:t>
      </w:r>
      <w:r w:rsidR="00E0014F">
        <w:rPr>
          <w:rFonts w:ascii="ITC Avant Garde" w:hAnsi="ITC Avant Garde" w:cs="Arial"/>
          <w:b/>
        </w:rPr>
        <w:t>.</w:t>
      </w:r>
      <w:r w:rsidRPr="006D6AF9">
        <w:rPr>
          <w:rFonts w:ascii="ITC Avant Garde" w:hAnsi="ITC Avant Garde" w:cs="Arial"/>
          <w:b/>
        </w:rPr>
        <w:t xml:space="preserve"> </w:t>
      </w:r>
      <w:r w:rsidRPr="006D6AF9">
        <w:rPr>
          <w:rFonts w:ascii="ITC Avant Garde" w:hAnsi="ITC Avant Garde" w:cs="Arial"/>
        </w:rPr>
        <w:t xml:space="preserve">El </w:t>
      </w:r>
      <w:r w:rsidR="001771B6" w:rsidRPr="006D6AF9">
        <w:rPr>
          <w:rFonts w:ascii="ITC Avant Garde" w:hAnsi="ITC Avant Garde" w:cs="Arial"/>
        </w:rPr>
        <w:t>12 de agosto</w:t>
      </w:r>
      <w:r w:rsidRPr="006D6AF9">
        <w:rPr>
          <w:rFonts w:ascii="ITC Avant Garde" w:hAnsi="ITC Avant Garde" w:cs="Arial"/>
        </w:rPr>
        <w:t xml:space="preserve"> de 2015, el Pleno del Instituto Federal de Telecomunicaciones en su </w:t>
      </w:r>
      <w:r w:rsidR="001771B6" w:rsidRPr="006D6AF9">
        <w:rPr>
          <w:rFonts w:ascii="ITC Avant Garde" w:hAnsi="ITC Avant Garde" w:cs="Arial"/>
        </w:rPr>
        <w:t>XVI Sesión Ordinaria</w:t>
      </w:r>
      <w:r w:rsidRPr="006D6AF9">
        <w:rPr>
          <w:rFonts w:ascii="ITC Avant Garde" w:hAnsi="ITC Avant Garde" w:cs="Arial"/>
        </w:rPr>
        <w:t>, mediante Acuerdo</w:t>
      </w:r>
      <w:r w:rsidRPr="006D6AF9">
        <w:rPr>
          <w:rFonts w:ascii="ITC Avant Garde" w:hAnsi="ITC Avant Garde" w:cs="Arial"/>
          <w:b/>
        </w:rPr>
        <w:t xml:space="preserve"> </w:t>
      </w:r>
      <w:r w:rsidR="00693C54">
        <w:rPr>
          <w:rFonts w:ascii="ITC Avant Garde" w:hAnsi="ITC Avant Garde" w:cs="Arial"/>
        </w:rPr>
        <w:t>P/IFT/120815/3</w:t>
      </w:r>
      <w:r w:rsidR="003C1691">
        <w:rPr>
          <w:rFonts w:ascii="ITC Avant Garde" w:hAnsi="ITC Avant Garde" w:cs="Arial"/>
        </w:rPr>
        <w:t>71</w:t>
      </w:r>
      <w:r w:rsidRPr="006D6AF9">
        <w:rPr>
          <w:rFonts w:ascii="ITC Avant Garde" w:hAnsi="ITC Avant Garde" w:cs="Arial"/>
        </w:rPr>
        <w:t xml:space="preserve">, </w:t>
      </w:r>
      <w:r w:rsidRPr="006D6AF9">
        <w:rPr>
          <w:rFonts w:ascii="ITC Avant Garde" w:hAnsi="ITC Avant Garde" w:cs="Arial"/>
          <w:bCs/>
        </w:rPr>
        <w:t>emitió la “</w:t>
      </w:r>
      <w:r w:rsidR="003C1691" w:rsidRPr="003C1691">
        <w:rPr>
          <w:rFonts w:ascii="ITC Avant Garde" w:hAnsi="ITC Avant Garde" w:cs="Arial"/>
          <w:bCs/>
          <w:i/>
          <w:iCs/>
        </w:rPr>
        <w:t>RESOLUCIÓN MEDIANTE LA CUAL EL PLENO DEL INSTITUTO FEDERAL DE TELECOMUNICACIONES DETERMINA LAS CONDICIONES DE INTERCONEXIÓN NO CONVENIDAS ENTRE LAS EMPRESAS RADIOMÓVIL DIPSA, S.A. DE C.V., Y LAS EMPRESAS IUSACELL PCS, S.A. DE C.V., SOS TELECOMUNICACIONES, S.A. DE C.V., COMUNICACIONES CELULARES DE OCCIDENTE, S.A. DE C.V., SISTEMAS TELEFÓN</w:t>
      </w:r>
      <w:r w:rsidR="003C1691">
        <w:rPr>
          <w:rFonts w:ascii="ITC Avant Garde" w:hAnsi="ITC Avant Garde" w:cs="Arial"/>
          <w:bCs/>
          <w:i/>
          <w:iCs/>
        </w:rPr>
        <w:t xml:space="preserve">ICOS PORTÁTILES, S.A. DE C.V., </w:t>
      </w:r>
      <w:r w:rsidR="003C1691" w:rsidRPr="003C1691">
        <w:rPr>
          <w:rFonts w:ascii="ITC Avant Garde" w:hAnsi="ITC Avant Garde" w:cs="Arial"/>
          <w:bCs/>
          <w:i/>
          <w:lang w:val="es-ES"/>
        </w:rPr>
        <w:t>TELECOMUNICACIONES DEL GOLFO, S.A. DE C.V., PORTATEL DEL SURESTE, S.A. DE C.V. Y OPERADORA UNEFÓN, S.A. DE C.V., APLICABLES DEL 1 DE ENERO DE 2015 AL 31 DE DICIEMBRE DE 2016</w:t>
      </w:r>
      <w:r w:rsidRPr="006D6AF9">
        <w:rPr>
          <w:rFonts w:ascii="ITC Avant Garde" w:hAnsi="ITC Avant Garde" w:cs="Arial"/>
          <w:bCs/>
        </w:rPr>
        <w:t>”.</w:t>
      </w:r>
    </w:p>
    <w:p w14:paraId="6D7DF251" w14:textId="77777777" w:rsidR="00B04AED" w:rsidRDefault="00445E7E" w:rsidP="00B04AED">
      <w:pPr>
        <w:numPr>
          <w:ilvl w:val="0"/>
          <w:numId w:val="1"/>
        </w:numPr>
        <w:tabs>
          <w:tab w:val="clear" w:pos="680"/>
          <w:tab w:val="num" w:pos="709"/>
          <w:tab w:val="left" w:pos="9356"/>
        </w:tabs>
        <w:ind w:left="426" w:right="107" w:hanging="425"/>
        <w:jc w:val="both"/>
        <w:rPr>
          <w:rFonts w:ascii="ITC Avant Garde" w:hAnsi="ITC Avant Garde" w:cs="Arial"/>
          <w:bCs/>
        </w:rPr>
      </w:pPr>
      <w:r w:rsidRPr="004A2937">
        <w:rPr>
          <w:rFonts w:ascii="ITC Avant Garde" w:hAnsi="ITC Avant Garde" w:cs="Arial"/>
          <w:b/>
          <w:bCs/>
        </w:rPr>
        <w:t>Amparo en revisión A.R. 329/2016.</w:t>
      </w:r>
      <w:r w:rsidRPr="004A2937">
        <w:rPr>
          <w:rFonts w:ascii="ITC Avant Garde" w:hAnsi="ITC Avant Garde" w:cs="Arial"/>
          <w:bCs/>
        </w:rPr>
        <w:t xml:space="preserve"> Mediante ejecutoria de fecha 21 de junio de 2017 correspondiente al amparo en revisión A.R. 329/2016, la Segunda Sala de la Suprema Corte de Justicia de la Nación, resolvió negar el amparo respecto del </w:t>
      </w:r>
      <w:r w:rsidRPr="004A2937">
        <w:rPr>
          <w:rFonts w:ascii="ITC Avant Garde" w:hAnsi="ITC Avant Garde" w:cs="Arial"/>
          <w:bCs/>
        </w:rPr>
        <w:lastRenderedPageBreak/>
        <w:t>artículo vigésimo transitorio, segundo párrafo del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y conceder respecto de los actos reclamados al Pleno del Instituto.</w:t>
      </w:r>
    </w:p>
    <w:p w14:paraId="2E705D8C" w14:textId="77777777" w:rsidR="00B04AED" w:rsidRDefault="00445E7E" w:rsidP="00B04AED">
      <w:pPr>
        <w:tabs>
          <w:tab w:val="left" w:pos="9356"/>
        </w:tabs>
        <w:ind w:left="426" w:right="107"/>
        <w:jc w:val="both"/>
        <w:rPr>
          <w:rFonts w:ascii="ITC Avant Garde" w:hAnsi="ITC Avant Garde" w:cs="Arial"/>
          <w:bCs/>
        </w:rPr>
      </w:pPr>
      <w:r w:rsidRPr="004A2937">
        <w:rPr>
          <w:rFonts w:ascii="ITC Avant Garde" w:hAnsi="ITC Avant Garde" w:cs="Arial"/>
          <w:bCs/>
        </w:rPr>
        <w:t>Asimismo, el 18 de agosto de 2017, se recibió en la Oficialía de Partes de este Instituto, proveído de fecha 17 de agosto de 2017 dictado en el cuaderno principal del juicio de amparo 1642/2015, del que derivó el Amparo en Revisión 329/2016, mediante el cual la Juez Segundo de Distrito en Materia Administrativa Especializada en Competencia Económica, Radiodifusión y Telecomunicaciones, con residencia en la Ciudad de México y jurisdicción en toda la República, requirió al Pleno del Instituto el cumplimiento del fallo protector en el siguiente sentido:</w:t>
      </w:r>
    </w:p>
    <w:p w14:paraId="46E8EEF0" w14:textId="77777777" w:rsidR="00B04AED" w:rsidRDefault="00445E7E" w:rsidP="00B04AED">
      <w:pPr>
        <w:tabs>
          <w:tab w:val="left" w:pos="9356"/>
        </w:tabs>
        <w:ind w:left="851" w:right="532"/>
        <w:jc w:val="both"/>
        <w:rPr>
          <w:rFonts w:ascii="ITC Avant Garde" w:hAnsi="ITC Avant Garde" w:cs="Arial"/>
          <w:b/>
          <w:bCs/>
          <w:sz w:val="18"/>
          <w:szCs w:val="18"/>
        </w:rPr>
      </w:pPr>
      <w:r w:rsidRPr="004A2937">
        <w:rPr>
          <w:rFonts w:ascii="ITC Avant Garde" w:hAnsi="ITC Avant Garde" w:cs="Arial"/>
          <w:bCs/>
          <w:sz w:val="18"/>
          <w:szCs w:val="18"/>
        </w:rPr>
        <w:t xml:space="preserve">“I. Haber realizado las gestiones necesarias para </w:t>
      </w:r>
      <w:r w:rsidRPr="004A2937">
        <w:rPr>
          <w:rFonts w:ascii="ITC Avant Garde" w:hAnsi="ITC Avant Garde" w:cs="Arial"/>
          <w:b/>
          <w:bCs/>
          <w:sz w:val="18"/>
          <w:szCs w:val="18"/>
          <w:u w:val="single"/>
        </w:rPr>
        <w:t>desincorporar de la esfera jurídica</w:t>
      </w:r>
      <w:r w:rsidRPr="004A2937">
        <w:rPr>
          <w:rFonts w:ascii="ITC Avant Garde" w:hAnsi="ITC Avant Garde" w:cs="Arial"/>
          <w:bCs/>
          <w:sz w:val="18"/>
          <w:szCs w:val="18"/>
        </w:rPr>
        <w:t xml:space="preserve"> </w:t>
      </w:r>
      <w:r w:rsidRPr="004A2937">
        <w:rPr>
          <w:rFonts w:ascii="ITC Avant Garde" w:hAnsi="ITC Avant Garde" w:cs="Arial"/>
          <w:b/>
          <w:bCs/>
          <w:sz w:val="18"/>
          <w:szCs w:val="18"/>
        </w:rPr>
        <w:t>de la parte quejosa</w:t>
      </w:r>
      <w:r w:rsidRPr="004A2937">
        <w:rPr>
          <w:rFonts w:ascii="ITC Avant Garde" w:hAnsi="ITC Avant Garde" w:cs="Arial"/>
          <w:bCs/>
          <w:sz w:val="18"/>
          <w:szCs w:val="18"/>
        </w:rPr>
        <w:t xml:space="preserve">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publicado en el Diario Oficial de la Federación el veintinueve de diciembre de dos mil quince, </w:t>
      </w:r>
      <w:r w:rsidRPr="004A2937">
        <w:rPr>
          <w:rFonts w:ascii="ITC Avant Garde" w:hAnsi="ITC Avant Garde" w:cs="Arial"/>
          <w:b/>
          <w:bCs/>
          <w:sz w:val="18"/>
          <w:szCs w:val="18"/>
        </w:rPr>
        <w:t>únicamente en lo referente al antepenúltimo párrafo de su primer punto de acuerdo, es decir, en el que refiere que las tarifas ahí determinadas sólo podrán ser aplicables desde su resolución, a fin de que dicha determinación no les sea aplicada en el futuro.</w:t>
      </w:r>
      <w:r w:rsidRPr="004A2937">
        <w:rPr>
          <w:rFonts w:ascii="ITC Avant Garde" w:hAnsi="ITC Avant Garde" w:cs="Arial"/>
          <w:bCs/>
          <w:sz w:val="18"/>
          <w:szCs w:val="18"/>
        </w:rPr>
        <w:t xml:space="preserve">” </w:t>
      </w:r>
    </w:p>
    <w:p w14:paraId="011DFC47" w14:textId="77777777" w:rsidR="00B04AED" w:rsidRDefault="00B46428" w:rsidP="00B04AED">
      <w:pPr>
        <w:numPr>
          <w:ilvl w:val="0"/>
          <w:numId w:val="1"/>
        </w:numPr>
        <w:tabs>
          <w:tab w:val="clear" w:pos="680"/>
          <w:tab w:val="num" w:pos="709"/>
          <w:tab w:val="left" w:pos="9356"/>
        </w:tabs>
        <w:ind w:left="426" w:right="107" w:hanging="425"/>
        <w:jc w:val="both"/>
        <w:rPr>
          <w:rFonts w:ascii="ITC Avant Garde" w:hAnsi="ITC Avant Garde" w:cs="Arial"/>
          <w:bCs/>
        </w:rPr>
      </w:pPr>
      <w:r w:rsidRPr="00B46428">
        <w:rPr>
          <w:rFonts w:ascii="ITC Avant Garde" w:hAnsi="ITC Avant Garde" w:cs="Arial"/>
          <w:b/>
          <w:bCs/>
        </w:rPr>
        <w:t>Cu</w:t>
      </w:r>
      <w:r w:rsidR="00E54DF0" w:rsidRPr="00B46428">
        <w:rPr>
          <w:rFonts w:ascii="ITC Avant Garde" w:hAnsi="ITC Avant Garde" w:cs="Arial"/>
          <w:b/>
          <w:bCs/>
        </w:rPr>
        <w:t xml:space="preserve">mplimento a la ejecutoria del amparo en revisión </w:t>
      </w:r>
      <w:r w:rsidR="00334910" w:rsidRPr="00B46428">
        <w:rPr>
          <w:rFonts w:ascii="ITC Avant Garde" w:hAnsi="ITC Avant Garde" w:cs="Arial"/>
          <w:b/>
          <w:bCs/>
        </w:rPr>
        <w:t>R.A.</w:t>
      </w:r>
      <w:r w:rsidR="00E54DF0" w:rsidRPr="00B46428">
        <w:rPr>
          <w:rFonts w:ascii="ITC Avant Garde" w:hAnsi="ITC Avant Garde" w:cs="Arial"/>
          <w:b/>
          <w:bCs/>
        </w:rPr>
        <w:t xml:space="preserve"> </w:t>
      </w:r>
      <w:r w:rsidR="0059562F" w:rsidRPr="00B46428">
        <w:rPr>
          <w:rFonts w:ascii="ITC Avant Garde" w:hAnsi="ITC Avant Garde" w:cs="Arial"/>
          <w:b/>
          <w:bCs/>
        </w:rPr>
        <w:t>113</w:t>
      </w:r>
      <w:r w:rsidR="00E54DF0" w:rsidRPr="00B46428">
        <w:rPr>
          <w:rFonts w:ascii="ITC Avant Garde" w:hAnsi="ITC Avant Garde" w:cs="Arial"/>
          <w:b/>
          <w:bCs/>
        </w:rPr>
        <w:t xml:space="preserve">/2016. </w:t>
      </w:r>
      <w:r w:rsidR="00E54DF0" w:rsidRPr="00B46428">
        <w:rPr>
          <w:rFonts w:ascii="ITC Avant Garde" w:hAnsi="ITC Avant Garde" w:cs="Arial"/>
          <w:bCs/>
        </w:rPr>
        <w:t xml:space="preserve">Mediante ejecutoria de fecha </w:t>
      </w:r>
      <w:r w:rsidR="0059562F" w:rsidRPr="00B46428">
        <w:rPr>
          <w:rFonts w:ascii="ITC Avant Garde" w:hAnsi="ITC Avant Garde" w:cs="Arial"/>
          <w:bCs/>
        </w:rPr>
        <w:t>17 de marzo</w:t>
      </w:r>
      <w:r w:rsidR="00237E37" w:rsidRPr="00B46428">
        <w:rPr>
          <w:rFonts w:ascii="ITC Avant Garde" w:hAnsi="ITC Avant Garde" w:cs="Arial"/>
          <w:bCs/>
        </w:rPr>
        <w:t xml:space="preserve"> de 20</w:t>
      </w:r>
      <w:r w:rsidR="00E54DF0" w:rsidRPr="00B46428">
        <w:rPr>
          <w:rFonts w:ascii="ITC Avant Garde" w:hAnsi="ITC Avant Garde" w:cs="Arial"/>
          <w:bCs/>
        </w:rPr>
        <w:t>1</w:t>
      </w:r>
      <w:r w:rsidR="001D6E5A" w:rsidRPr="00B46428">
        <w:rPr>
          <w:rFonts w:ascii="ITC Avant Garde" w:hAnsi="ITC Avant Garde" w:cs="Arial"/>
          <w:bCs/>
        </w:rPr>
        <w:t>8</w:t>
      </w:r>
      <w:r w:rsidR="00E54DF0" w:rsidRPr="00B46428">
        <w:rPr>
          <w:rFonts w:ascii="ITC Avant Garde" w:hAnsi="ITC Avant Garde" w:cs="Arial"/>
          <w:bCs/>
        </w:rPr>
        <w:t xml:space="preserve"> correspo</w:t>
      </w:r>
      <w:r w:rsidR="00C130B9" w:rsidRPr="00B46428">
        <w:rPr>
          <w:rFonts w:ascii="ITC Avant Garde" w:hAnsi="ITC Avant Garde" w:cs="Arial"/>
          <w:bCs/>
        </w:rPr>
        <w:t xml:space="preserve">ndiente al amparo en revisión </w:t>
      </w:r>
      <w:r w:rsidR="00E54DF0" w:rsidRPr="00B46428">
        <w:rPr>
          <w:rFonts w:ascii="ITC Avant Garde" w:hAnsi="ITC Avant Garde" w:cs="Arial"/>
          <w:bCs/>
        </w:rPr>
        <w:t>R.</w:t>
      </w:r>
      <w:r w:rsidR="00C130B9" w:rsidRPr="00B46428">
        <w:rPr>
          <w:rFonts w:ascii="ITC Avant Garde" w:hAnsi="ITC Avant Garde" w:cs="Arial"/>
          <w:bCs/>
        </w:rPr>
        <w:t>A.</w:t>
      </w:r>
      <w:r w:rsidR="00E54DF0" w:rsidRPr="00B46428">
        <w:rPr>
          <w:rFonts w:ascii="ITC Avant Garde" w:hAnsi="ITC Avant Garde" w:cs="Arial"/>
          <w:bCs/>
        </w:rPr>
        <w:t xml:space="preserve"> </w:t>
      </w:r>
      <w:r w:rsidR="0059562F" w:rsidRPr="00B46428">
        <w:rPr>
          <w:rFonts w:ascii="ITC Avant Garde" w:hAnsi="ITC Avant Garde" w:cs="Arial"/>
          <w:bCs/>
        </w:rPr>
        <w:t>113</w:t>
      </w:r>
      <w:r w:rsidR="00E54DF0" w:rsidRPr="00B46428">
        <w:rPr>
          <w:rFonts w:ascii="ITC Avant Garde" w:hAnsi="ITC Avant Garde" w:cs="Arial"/>
          <w:bCs/>
        </w:rPr>
        <w:t xml:space="preserve">/2016, </w:t>
      </w:r>
      <w:r w:rsidR="007117BE" w:rsidRPr="00B46428">
        <w:rPr>
          <w:rFonts w:ascii="ITC Avant Garde" w:hAnsi="ITC Avant Garde" w:cs="Arial"/>
          <w:bCs/>
        </w:rPr>
        <w:t xml:space="preserve">el </w:t>
      </w:r>
      <w:r w:rsidR="0059562F" w:rsidRPr="00B46428">
        <w:rPr>
          <w:rFonts w:ascii="ITC Avant Garde" w:hAnsi="ITC Avant Garde" w:cs="Arial"/>
          <w:bCs/>
        </w:rPr>
        <w:t>Primer</w:t>
      </w:r>
      <w:r w:rsidR="007117BE" w:rsidRPr="00B46428">
        <w:rPr>
          <w:rFonts w:ascii="ITC Avant Garde" w:hAnsi="ITC Avant Garde" w:cs="Arial"/>
          <w:bCs/>
        </w:rPr>
        <w:t xml:space="preserve"> Tribunal Colegiado en Materia Administrativa Especializado en Competencia Económica, Radiodifusión y Telecomunicaciones</w:t>
      </w:r>
      <w:r w:rsidR="002818FE" w:rsidRPr="00B46428">
        <w:rPr>
          <w:rFonts w:ascii="ITC Avant Garde" w:hAnsi="ITC Avant Garde" w:cs="Arial"/>
          <w:bCs/>
        </w:rPr>
        <w:t xml:space="preserve"> </w:t>
      </w:r>
      <w:r w:rsidR="002818FE" w:rsidRPr="00A813BA">
        <w:rPr>
          <w:rFonts w:ascii="ITC Avant Garde" w:hAnsi="ITC Avant Garde" w:cs="Arial"/>
          <w:bCs/>
        </w:rPr>
        <w:t>con residencia en la Ciudad de México y jurisdicción en toda la República</w:t>
      </w:r>
      <w:r w:rsidR="007117BE" w:rsidRPr="00B46428">
        <w:rPr>
          <w:rFonts w:ascii="ITC Avant Garde" w:hAnsi="ITC Avant Garde" w:cs="Arial"/>
          <w:bCs/>
        </w:rPr>
        <w:t xml:space="preserve">, </w:t>
      </w:r>
      <w:r w:rsidR="00E54DF0" w:rsidRPr="00B46428">
        <w:rPr>
          <w:rFonts w:ascii="ITC Avant Garde" w:hAnsi="ITC Avant Garde" w:cs="Arial"/>
          <w:bCs/>
        </w:rPr>
        <w:t>resolvió</w:t>
      </w:r>
      <w:r w:rsidR="00D63A27" w:rsidRPr="00B46428">
        <w:rPr>
          <w:rFonts w:ascii="ITC Avant Garde" w:hAnsi="ITC Avant Garde" w:cs="Arial"/>
          <w:bCs/>
        </w:rPr>
        <w:t xml:space="preserve"> modificar</w:t>
      </w:r>
      <w:r w:rsidR="00A9106F" w:rsidRPr="00B46428">
        <w:rPr>
          <w:rFonts w:ascii="ITC Avant Garde" w:hAnsi="ITC Avant Garde" w:cs="Arial"/>
          <w:bCs/>
        </w:rPr>
        <w:t xml:space="preserve"> la sentencia del juicio de amparo </w:t>
      </w:r>
      <w:r w:rsidR="0059562F" w:rsidRPr="00B46428">
        <w:rPr>
          <w:rFonts w:ascii="ITC Avant Garde" w:hAnsi="ITC Avant Garde" w:cs="Arial"/>
          <w:bCs/>
        </w:rPr>
        <w:t>1656</w:t>
      </w:r>
      <w:r w:rsidR="00D63A27" w:rsidRPr="00B46428">
        <w:rPr>
          <w:rFonts w:ascii="ITC Avant Garde" w:hAnsi="ITC Avant Garde" w:cs="Arial"/>
          <w:bCs/>
        </w:rPr>
        <w:t>/2015</w:t>
      </w:r>
      <w:r w:rsidR="00A9106F" w:rsidRPr="00B46428">
        <w:rPr>
          <w:rFonts w:ascii="ITC Avant Garde" w:hAnsi="ITC Avant Garde" w:cs="Arial"/>
          <w:bCs/>
        </w:rPr>
        <w:t xml:space="preserve"> del índice del Juzgado </w:t>
      </w:r>
      <w:r w:rsidR="00D63A27" w:rsidRPr="00B46428">
        <w:rPr>
          <w:rFonts w:ascii="ITC Avant Garde" w:hAnsi="ITC Avant Garde" w:cs="Arial"/>
          <w:bCs/>
        </w:rPr>
        <w:t xml:space="preserve">Segundo </w:t>
      </w:r>
      <w:r w:rsidR="00A9106F" w:rsidRPr="00B46428">
        <w:rPr>
          <w:rFonts w:ascii="ITC Avant Garde" w:hAnsi="ITC Avant Garde" w:cs="Arial"/>
          <w:bCs/>
        </w:rPr>
        <w:t>de Distrito en Materia Administrativa Especializado en Competencia Económica, Radiodifusión y Telecomunicaciones</w:t>
      </w:r>
      <w:r w:rsidR="002818FE" w:rsidRPr="00B46428">
        <w:rPr>
          <w:rFonts w:ascii="ITC Avant Garde" w:hAnsi="ITC Avant Garde" w:cs="Arial"/>
          <w:bCs/>
        </w:rPr>
        <w:t xml:space="preserve"> </w:t>
      </w:r>
      <w:r w:rsidR="002818FE" w:rsidRPr="00A813BA">
        <w:rPr>
          <w:rFonts w:ascii="ITC Avant Garde" w:hAnsi="ITC Avant Garde" w:cs="Arial"/>
          <w:bCs/>
        </w:rPr>
        <w:t>con residencia en la Ciudad de México y jurisdicción en toda la República</w:t>
      </w:r>
      <w:r w:rsidR="00A9106F" w:rsidRPr="00B46428">
        <w:rPr>
          <w:rFonts w:ascii="ITC Avant Garde" w:hAnsi="ITC Avant Garde" w:cs="Arial"/>
          <w:bCs/>
        </w:rPr>
        <w:t>, y conced</w:t>
      </w:r>
      <w:r w:rsidR="00DC0286" w:rsidRPr="00B46428">
        <w:rPr>
          <w:rFonts w:ascii="ITC Avant Garde" w:hAnsi="ITC Avant Garde" w:cs="Arial"/>
          <w:bCs/>
        </w:rPr>
        <w:t>er</w:t>
      </w:r>
      <w:r w:rsidR="00E54DF0" w:rsidRPr="00B46428">
        <w:rPr>
          <w:rFonts w:ascii="ITC Avant Garde" w:hAnsi="ITC Avant Garde" w:cs="Arial"/>
          <w:bCs/>
        </w:rPr>
        <w:t xml:space="preserve"> el amparo</w:t>
      </w:r>
      <w:r w:rsidR="00DC0286" w:rsidRPr="00B46428">
        <w:rPr>
          <w:rFonts w:ascii="ITC Avant Garde" w:hAnsi="ITC Avant Garde" w:cs="Arial"/>
          <w:bCs/>
        </w:rPr>
        <w:t xml:space="preserve"> a </w:t>
      </w:r>
      <w:bookmarkStart w:id="1" w:name="HipótesisNormativa"/>
      <w:r w:rsidR="00834AC4" w:rsidRPr="00B46428">
        <w:rPr>
          <w:rFonts w:ascii="ITC Avant Garde" w:hAnsi="ITC Avant Garde" w:cs="Arial"/>
          <w:bCs/>
        </w:rPr>
        <w:t>Telcel</w:t>
      </w:r>
      <w:r w:rsidR="00547341" w:rsidRPr="00B46428">
        <w:rPr>
          <w:rFonts w:ascii="ITC Avant Garde" w:hAnsi="ITC Avant Garde" w:cs="Arial"/>
          <w:bCs/>
        </w:rPr>
        <w:t>.</w:t>
      </w:r>
    </w:p>
    <w:p w14:paraId="718E3A2D" w14:textId="77777777" w:rsidR="00B04AED" w:rsidRDefault="00F11878" w:rsidP="00B04AED">
      <w:pPr>
        <w:widowControl w:val="0"/>
        <w:jc w:val="both"/>
        <w:rPr>
          <w:rFonts w:ascii="ITC Avant Garde" w:eastAsia="Times New Roman" w:hAnsi="ITC Avant Garde"/>
          <w:lang w:eastAsia="es-ES"/>
        </w:rPr>
      </w:pPr>
      <w:r w:rsidRPr="006D6AF9">
        <w:rPr>
          <w:rFonts w:ascii="ITC Avant Garde" w:eastAsia="Times New Roman" w:hAnsi="ITC Avant Garde"/>
          <w:lang w:eastAsia="es-ES"/>
        </w:rPr>
        <w:t>En virtud de los referidos Antecedentes, y</w:t>
      </w:r>
    </w:p>
    <w:p w14:paraId="4D1C98B2" w14:textId="77777777" w:rsidR="00B04AED" w:rsidRDefault="00F11878" w:rsidP="00B04AED">
      <w:pPr>
        <w:widowControl w:val="0"/>
        <w:jc w:val="center"/>
        <w:outlineLvl w:val="2"/>
        <w:rPr>
          <w:rFonts w:ascii="ITC Avant Garde" w:eastAsia="Times New Roman" w:hAnsi="ITC Avant Garde"/>
          <w:b/>
          <w:bCs/>
        </w:rPr>
      </w:pPr>
      <w:r w:rsidRPr="006D6AF9">
        <w:rPr>
          <w:rFonts w:ascii="ITC Avant Garde" w:eastAsia="Times New Roman" w:hAnsi="ITC Avant Garde"/>
          <w:b/>
          <w:bCs/>
        </w:rPr>
        <w:t>CONSIDERANDO</w:t>
      </w:r>
    </w:p>
    <w:p w14:paraId="674D1E0C" w14:textId="77777777" w:rsidR="00B04AED" w:rsidRDefault="00D6798E" w:rsidP="00B04AED">
      <w:pPr>
        <w:widowControl w:val="0"/>
        <w:tabs>
          <w:tab w:val="left" w:pos="720"/>
          <w:tab w:val="center" w:pos="4419"/>
          <w:tab w:val="right" w:pos="8838"/>
        </w:tabs>
        <w:jc w:val="both"/>
        <w:rPr>
          <w:rFonts w:ascii="ITC Avant Garde" w:hAnsi="ITC Avant Garde" w:cs="Arial"/>
        </w:rPr>
      </w:pPr>
      <w:r w:rsidRPr="006D6AF9">
        <w:rPr>
          <w:rFonts w:ascii="ITC Avant Garde" w:eastAsia="Times New Roman" w:hAnsi="ITC Avant Garde" w:cs="Arial"/>
          <w:b/>
          <w:szCs w:val="20"/>
        </w:rPr>
        <w:t xml:space="preserve">PRIMERO.- Cumplimiento a la ejecutoria </w:t>
      </w:r>
      <w:r w:rsidR="001D3EB0" w:rsidRPr="006D6AF9">
        <w:rPr>
          <w:rFonts w:ascii="ITC Avant Garde" w:hAnsi="ITC Avant Garde"/>
          <w:b/>
          <w:lang w:val="es-ES"/>
        </w:rPr>
        <w:t>del amparo en revisión R.A.</w:t>
      </w:r>
      <w:r w:rsidRPr="006D6AF9">
        <w:rPr>
          <w:rFonts w:ascii="ITC Avant Garde" w:hAnsi="ITC Avant Garde"/>
          <w:b/>
          <w:lang w:val="es-ES"/>
        </w:rPr>
        <w:t xml:space="preserve"> </w:t>
      </w:r>
      <w:r w:rsidR="00CB1C25">
        <w:rPr>
          <w:rFonts w:ascii="ITC Avant Garde" w:hAnsi="ITC Avant Garde"/>
          <w:b/>
          <w:lang w:val="es-ES"/>
        </w:rPr>
        <w:t>113</w:t>
      </w:r>
      <w:r w:rsidRPr="006D6AF9">
        <w:rPr>
          <w:rFonts w:ascii="ITC Avant Garde" w:hAnsi="ITC Avant Garde"/>
          <w:b/>
          <w:lang w:val="es-ES"/>
        </w:rPr>
        <w:t>/2016</w:t>
      </w:r>
      <w:r w:rsidRPr="006D6AF9">
        <w:rPr>
          <w:rFonts w:ascii="ITC Avant Garde" w:eastAsia="Times New Roman" w:hAnsi="ITC Avant Garde" w:cs="Arial"/>
          <w:b/>
          <w:szCs w:val="20"/>
        </w:rPr>
        <w:t xml:space="preserve">. </w:t>
      </w:r>
      <w:r w:rsidRPr="006D6AF9">
        <w:rPr>
          <w:rFonts w:ascii="ITC Avant Garde" w:eastAsia="Times New Roman" w:hAnsi="ITC Avant Garde" w:cs="Arial"/>
          <w:szCs w:val="20"/>
        </w:rPr>
        <w:t xml:space="preserve">Con </w:t>
      </w:r>
      <w:r w:rsidRPr="006D6AF9">
        <w:rPr>
          <w:rFonts w:ascii="ITC Avant Garde" w:eastAsia="Times New Roman" w:hAnsi="ITC Avant Garde"/>
          <w:szCs w:val="20"/>
        </w:rPr>
        <w:t xml:space="preserve">fecha </w:t>
      </w:r>
      <w:r w:rsidR="00273AAC" w:rsidRPr="006D6AF9">
        <w:rPr>
          <w:rFonts w:ascii="ITC Avant Garde" w:eastAsia="Times New Roman" w:hAnsi="ITC Avant Garde"/>
          <w:szCs w:val="20"/>
        </w:rPr>
        <w:t>1</w:t>
      </w:r>
      <w:r w:rsidR="00F0795C" w:rsidRPr="006D6AF9">
        <w:rPr>
          <w:rFonts w:ascii="ITC Avant Garde" w:eastAsia="Times New Roman" w:hAnsi="ITC Avant Garde"/>
          <w:szCs w:val="20"/>
        </w:rPr>
        <w:t>2</w:t>
      </w:r>
      <w:r w:rsidR="00273AAC" w:rsidRPr="006D6AF9">
        <w:rPr>
          <w:rFonts w:ascii="ITC Avant Garde" w:eastAsia="Times New Roman" w:hAnsi="ITC Avant Garde"/>
          <w:szCs w:val="20"/>
        </w:rPr>
        <w:t xml:space="preserve"> de </w:t>
      </w:r>
      <w:r w:rsidR="00F0795C" w:rsidRPr="006D6AF9">
        <w:rPr>
          <w:rFonts w:ascii="ITC Avant Garde" w:eastAsia="Times New Roman" w:hAnsi="ITC Avant Garde"/>
          <w:szCs w:val="20"/>
        </w:rPr>
        <w:t xml:space="preserve">agosto </w:t>
      </w:r>
      <w:r w:rsidRPr="006D6AF9">
        <w:rPr>
          <w:rFonts w:ascii="ITC Avant Garde" w:eastAsia="Times New Roman" w:hAnsi="ITC Avant Garde"/>
          <w:szCs w:val="20"/>
        </w:rPr>
        <w:t>de 2015, el Pleno del Instituto emitió la “</w:t>
      </w:r>
      <w:r w:rsidR="00CB1C25" w:rsidRPr="00CB1C25">
        <w:rPr>
          <w:rFonts w:ascii="ITC Avant Garde" w:eastAsia="Times New Roman" w:hAnsi="ITC Avant Garde"/>
          <w:i/>
          <w:szCs w:val="20"/>
        </w:rPr>
        <w:t xml:space="preserve">RESOLUCIÓN MEDIANTE LA CUAL EL PLENO DEL INSTITUTO FEDERAL DE TELECOMUNICACIONES DETERMINA LAS CONDICIONES DE INTERCONEXIÓN NO CONVENIDAS ENTRE LAS EMPRESAS RADIOMÓVIL DIPSA, S.A. DE C.V., Y LAS EMPRESAS IUSACELL PCS, S.A. DE C.V., SOS TELECOMUNICACIONES, S.A. DE C.V., COMUNICACIONES CELULARES DE OCCIDENTE, S.A. DE C.V., SISTEMAS TELEFÓNICOS PORTÁTILES, S.A. DE C.V., TELECOMUNICACIONES DEL GOLFO, S.A. DE C.V., PORTATEL DEL </w:t>
      </w:r>
      <w:r w:rsidR="00CB1C25" w:rsidRPr="00CB1C25">
        <w:rPr>
          <w:rFonts w:ascii="ITC Avant Garde" w:eastAsia="Times New Roman" w:hAnsi="ITC Avant Garde"/>
          <w:i/>
          <w:szCs w:val="20"/>
        </w:rPr>
        <w:lastRenderedPageBreak/>
        <w:t>SURESTE, S.A. DE C.V. Y OPERADORA UNEFÓN, S.A. DE C.V., APLICABLES DEL 1 DE ENERO DE 2015 AL 31 DE DICIEMBRE DE 2016</w:t>
      </w:r>
      <w:r w:rsidRPr="006D6AF9">
        <w:rPr>
          <w:rFonts w:ascii="ITC Avant Garde" w:eastAsia="Times New Roman" w:hAnsi="ITC Avant Garde"/>
          <w:szCs w:val="20"/>
        </w:rPr>
        <w:t>”</w:t>
      </w:r>
      <w:r w:rsidR="00D00154">
        <w:rPr>
          <w:rFonts w:ascii="ITC Avant Garde" w:eastAsia="Times New Roman" w:hAnsi="ITC Avant Garde"/>
          <w:szCs w:val="20"/>
        </w:rPr>
        <w:t xml:space="preserve"> en su</w:t>
      </w:r>
      <w:r w:rsidRPr="006D6AF9">
        <w:rPr>
          <w:rFonts w:ascii="ITC Avant Garde" w:eastAsia="Times New Roman" w:hAnsi="ITC Avant Garde"/>
          <w:szCs w:val="20"/>
        </w:rPr>
        <w:t xml:space="preserve"> </w:t>
      </w:r>
      <w:r w:rsidR="00273AAC" w:rsidRPr="006D6AF9">
        <w:rPr>
          <w:rFonts w:ascii="ITC Avant Garde" w:hAnsi="ITC Avant Garde" w:cs="Arial"/>
        </w:rPr>
        <w:t>XVI Sesión Ordinaria, mediante Acuerdo</w:t>
      </w:r>
      <w:r w:rsidR="00273AAC" w:rsidRPr="006D6AF9">
        <w:rPr>
          <w:rFonts w:ascii="ITC Avant Garde" w:hAnsi="ITC Avant Garde" w:cs="Arial"/>
          <w:b/>
        </w:rPr>
        <w:t xml:space="preserve"> </w:t>
      </w:r>
      <w:r w:rsidR="00CB1C25">
        <w:rPr>
          <w:rFonts w:ascii="ITC Avant Garde" w:hAnsi="ITC Avant Garde" w:cs="Arial"/>
        </w:rPr>
        <w:t>P/IFT/120815/371</w:t>
      </w:r>
      <w:r w:rsidR="00273AAC" w:rsidRPr="006D6AF9">
        <w:rPr>
          <w:rFonts w:ascii="ITC Avant Garde" w:hAnsi="ITC Avant Garde" w:cs="Arial"/>
        </w:rPr>
        <w:t>.</w:t>
      </w:r>
    </w:p>
    <w:p w14:paraId="0E3DD2D5" w14:textId="77777777" w:rsidR="00B04AED" w:rsidRDefault="00286F3B" w:rsidP="00B04AED">
      <w:pPr>
        <w:pStyle w:val="Textoindependiente"/>
        <w:spacing w:after="200" w:line="276" w:lineRule="auto"/>
        <w:rPr>
          <w:rFonts w:ascii="ITC Avant Garde" w:hAnsi="ITC Avant Garde" w:cs="Arial"/>
          <w:bCs/>
        </w:rPr>
      </w:pPr>
      <w:r w:rsidRPr="00BD0772">
        <w:rPr>
          <w:rFonts w:ascii="ITC Avant Garde" w:hAnsi="ITC Avant Garde" w:cs="Arial"/>
          <w:bCs/>
        </w:rPr>
        <w:t xml:space="preserve">En consecuencia, el </w:t>
      </w:r>
      <w:r w:rsidR="007B1B17" w:rsidRPr="00BD0772">
        <w:rPr>
          <w:rFonts w:ascii="ITC Avant Garde" w:hAnsi="ITC Avant Garde" w:cs="Arial"/>
          <w:bCs/>
        </w:rPr>
        <w:t>1</w:t>
      </w:r>
      <w:r w:rsidR="00185221" w:rsidRPr="00BD0772">
        <w:rPr>
          <w:rFonts w:ascii="ITC Avant Garde" w:hAnsi="ITC Avant Garde" w:cs="Arial"/>
          <w:bCs/>
        </w:rPr>
        <w:t>4</w:t>
      </w:r>
      <w:r w:rsidR="00273AAC" w:rsidRPr="00BD0772">
        <w:rPr>
          <w:rFonts w:ascii="ITC Avant Garde" w:hAnsi="ITC Avant Garde" w:cs="Arial"/>
          <w:bCs/>
        </w:rPr>
        <w:t xml:space="preserve"> de septiembre</w:t>
      </w:r>
      <w:r w:rsidRPr="00BD0772">
        <w:rPr>
          <w:rFonts w:ascii="ITC Avant Garde" w:hAnsi="ITC Avant Garde" w:cs="Arial"/>
          <w:bCs/>
        </w:rPr>
        <w:t xml:space="preserve"> de 2015, </w:t>
      </w:r>
      <w:r w:rsidR="00185221" w:rsidRPr="00BD0772">
        <w:rPr>
          <w:rFonts w:ascii="ITC Avant Garde" w:hAnsi="ITC Avant Garde" w:cs="Arial"/>
          <w:bCs/>
        </w:rPr>
        <w:t>el</w:t>
      </w:r>
      <w:r w:rsidR="00273AAC" w:rsidRPr="00BD0772">
        <w:rPr>
          <w:rFonts w:ascii="ITC Avant Garde" w:hAnsi="ITC Avant Garde" w:cs="Arial"/>
          <w:bCs/>
        </w:rPr>
        <w:t xml:space="preserve"> apoderado</w:t>
      </w:r>
      <w:r w:rsidRPr="00BD0772">
        <w:rPr>
          <w:rFonts w:ascii="ITC Avant Garde" w:hAnsi="ITC Avant Garde" w:cs="Arial"/>
          <w:bCs/>
        </w:rPr>
        <w:t xml:space="preserve"> legal de</w:t>
      </w:r>
      <w:r w:rsidR="00D00154" w:rsidRPr="00BD0772">
        <w:rPr>
          <w:rFonts w:ascii="ITC Avant Garde" w:hAnsi="ITC Avant Garde" w:cs="Arial"/>
          <w:bCs/>
        </w:rPr>
        <w:t xml:space="preserve"> </w:t>
      </w:r>
      <w:r w:rsidR="00BD0772" w:rsidRPr="00BD0772">
        <w:rPr>
          <w:rFonts w:ascii="ITC Avant Garde" w:hAnsi="ITC Avant Garde" w:cs="Arial"/>
          <w:bCs/>
        </w:rPr>
        <w:t>Telcel</w:t>
      </w:r>
      <w:r w:rsidR="00185221" w:rsidRPr="00BD0772">
        <w:rPr>
          <w:rFonts w:ascii="ITC Avant Garde" w:hAnsi="ITC Avant Garde" w:cs="Arial"/>
          <w:bCs/>
        </w:rPr>
        <w:t xml:space="preserve"> presentó</w:t>
      </w:r>
      <w:r w:rsidRPr="00BD0772">
        <w:rPr>
          <w:rFonts w:ascii="ITC Avant Garde" w:hAnsi="ITC Avant Garde" w:cs="Arial"/>
          <w:bCs/>
        </w:rPr>
        <w:t xml:space="preserve"> en la Oficina de Correspondencia Común de los Juzgados de Distrito y Tribunales Colegiados en Materia Administrativa Especializados en Competencia Económica, Radiodifusión y Telecomunicaciones, escrito mediante el cual demand</w:t>
      </w:r>
      <w:r w:rsidR="00185221" w:rsidRPr="00BD0772">
        <w:rPr>
          <w:rFonts w:ascii="ITC Avant Garde" w:hAnsi="ITC Avant Garde" w:cs="Arial"/>
          <w:bCs/>
        </w:rPr>
        <w:t>ó</w:t>
      </w:r>
      <w:r w:rsidRPr="00BD0772">
        <w:rPr>
          <w:rFonts w:ascii="ITC Avant Garde" w:hAnsi="ITC Avant Garde" w:cs="Arial"/>
          <w:bCs/>
        </w:rPr>
        <w:t xml:space="preserve"> el amparo y protección de la justicia federal, señalando entre otros, como acto reclamado la resolución citada en el párrafo anterior.</w:t>
      </w:r>
    </w:p>
    <w:p w14:paraId="1C7053F4" w14:textId="77777777" w:rsidR="00B04AED" w:rsidRDefault="00785A4D" w:rsidP="00B04AED">
      <w:pPr>
        <w:pStyle w:val="Textoindependiente"/>
        <w:spacing w:after="200" w:line="276" w:lineRule="auto"/>
        <w:rPr>
          <w:rFonts w:ascii="ITC Avant Garde" w:hAnsi="ITC Avant Garde" w:cs="Arial"/>
          <w:bCs/>
        </w:rPr>
      </w:pPr>
      <w:r>
        <w:rPr>
          <w:rFonts w:ascii="ITC Avant Garde" w:hAnsi="ITC Avant Garde" w:cs="Arial"/>
          <w:bCs/>
        </w:rPr>
        <w:t>La</w:t>
      </w:r>
      <w:r w:rsidR="00286F3B" w:rsidRPr="006D6AF9">
        <w:rPr>
          <w:rFonts w:ascii="ITC Avant Garde" w:hAnsi="ITC Avant Garde" w:cs="Arial"/>
          <w:bCs/>
        </w:rPr>
        <w:t xml:space="preserve"> Juez </w:t>
      </w:r>
      <w:r w:rsidR="00273AAC" w:rsidRPr="006D6AF9">
        <w:rPr>
          <w:rFonts w:ascii="ITC Avant Garde" w:hAnsi="ITC Avant Garde" w:cs="Arial"/>
          <w:bCs/>
        </w:rPr>
        <w:t>Segundo</w:t>
      </w:r>
      <w:r w:rsidR="00286F3B" w:rsidRPr="006D6AF9">
        <w:rPr>
          <w:rFonts w:ascii="ITC Avant Garde" w:hAnsi="ITC Avant Garde" w:cs="Arial"/>
          <w:bCs/>
        </w:rPr>
        <w:t xml:space="preserve"> de Distrito en Materia Administrativa especializada en Competencia Económica, Radiodifusión y Telecomunicaciones con residencia en la Ciudad de México y jurisdicción en toda la República, a quien por turno correspondió conocer del asunto, radicó la demanda </w:t>
      </w:r>
      <w:r w:rsidR="00343BB2">
        <w:rPr>
          <w:rFonts w:ascii="ITC Avant Garde" w:hAnsi="ITC Avant Garde" w:cs="Arial"/>
          <w:bCs/>
        </w:rPr>
        <w:t>con el número de expediente 1656</w:t>
      </w:r>
      <w:r w:rsidR="00286F3B" w:rsidRPr="006D6AF9">
        <w:rPr>
          <w:rFonts w:ascii="ITC Avant Garde" w:hAnsi="ITC Avant Garde" w:cs="Arial"/>
          <w:bCs/>
        </w:rPr>
        <w:t xml:space="preserve">/2015 admitió a trámite la demanda de amparo, solicitó a las autoridades señaladas como responsables su informe justificado, dio al Agente del Ministerio Público de la Federación la intervención que le compete; y seguidos los trámites de ley, el </w:t>
      </w:r>
      <w:r w:rsidR="00343BB2">
        <w:rPr>
          <w:rFonts w:ascii="ITC Avant Garde" w:hAnsi="ITC Avant Garde" w:cs="Arial"/>
          <w:bCs/>
        </w:rPr>
        <w:t>118 de mayo de 2016 se celebró audiencia constitucional y se dictó sentencia, la cual terminó de engrosarse el 11 de agosto de 2016</w:t>
      </w:r>
      <w:r w:rsidR="00FF2A16">
        <w:rPr>
          <w:rFonts w:ascii="ITC Avant Garde" w:hAnsi="ITC Avant Garde" w:cs="Arial"/>
          <w:bCs/>
        </w:rPr>
        <w:t xml:space="preserve"> </w:t>
      </w:r>
      <w:r w:rsidR="00286F3B" w:rsidRPr="006D6AF9">
        <w:rPr>
          <w:rFonts w:ascii="ITC Avant Garde" w:hAnsi="ITC Avant Garde" w:cs="Arial"/>
          <w:bCs/>
        </w:rPr>
        <w:t>dictó sentencia</w:t>
      </w:r>
      <w:r w:rsidR="00C44284" w:rsidRPr="006D6AF9">
        <w:rPr>
          <w:rFonts w:ascii="ITC Avant Garde" w:hAnsi="ITC Avant Garde" w:cs="Arial"/>
          <w:bCs/>
        </w:rPr>
        <w:t>.</w:t>
      </w:r>
    </w:p>
    <w:p w14:paraId="7E4D041D" w14:textId="77777777" w:rsidR="00B04AED" w:rsidRDefault="00864E8A" w:rsidP="00B04AED">
      <w:pPr>
        <w:pStyle w:val="Textoindependiente"/>
        <w:spacing w:after="200" w:line="276" w:lineRule="auto"/>
        <w:rPr>
          <w:rFonts w:ascii="ITC Avant Garde" w:hAnsi="ITC Avant Garde" w:cs="Arial"/>
          <w:bCs/>
        </w:rPr>
      </w:pPr>
      <w:r w:rsidRPr="006D6AF9">
        <w:rPr>
          <w:rFonts w:ascii="ITC Avant Garde" w:hAnsi="ITC Avant Garde" w:cs="Arial"/>
          <w:bCs/>
        </w:rPr>
        <w:t xml:space="preserve">Ahora bien, dado que </w:t>
      </w:r>
      <w:r w:rsidR="00132D51">
        <w:rPr>
          <w:rFonts w:ascii="ITC Avant Garde" w:hAnsi="ITC Avant Garde" w:cs="Arial"/>
          <w:bCs/>
        </w:rPr>
        <w:t>Telcel, Grupo Iusacell, Unefon</w:t>
      </w:r>
      <w:r w:rsidR="00F41992">
        <w:rPr>
          <w:rFonts w:ascii="ITC Avant Garde" w:hAnsi="ITC Avant Garde" w:cs="Arial"/>
          <w:bCs/>
        </w:rPr>
        <w:t xml:space="preserve"> </w:t>
      </w:r>
      <w:r w:rsidR="001547F0" w:rsidRPr="006D6AF9">
        <w:rPr>
          <w:rFonts w:ascii="ITC Avant Garde" w:hAnsi="ITC Avant Garde" w:cs="Arial"/>
          <w:bCs/>
        </w:rPr>
        <w:t>y el Pleno del Instituto quedaron</w:t>
      </w:r>
      <w:r w:rsidRPr="006D6AF9">
        <w:rPr>
          <w:rFonts w:ascii="ITC Avant Garde" w:hAnsi="ITC Avant Garde" w:cs="Arial"/>
          <w:bCs/>
        </w:rPr>
        <w:t xml:space="preserve"> inconforme</w:t>
      </w:r>
      <w:r w:rsidR="001547F0" w:rsidRPr="006D6AF9">
        <w:rPr>
          <w:rFonts w:ascii="ITC Avant Garde" w:hAnsi="ITC Avant Garde" w:cs="Arial"/>
          <w:bCs/>
        </w:rPr>
        <w:t>s</w:t>
      </w:r>
      <w:r w:rsidRPr="006D6AF9">
        <w:rPr>
          <w:rFonts w:ascii="ITC Avant Garde" w:hAnsi="ITC Avant Garde" w:cs="Arial"/>
          <w:bCs/>
        </w:rPr>
        <w:t xml:space="preserve"> con la sentencia</w:t>
      </w:r>
      <w:r w:rsidR="001547F0" w:rsidRPr="006D6AF9">
        <w:rPr>
          <w:rFonts w:ascii="ITC Avant Garde" w:hAnsi="ITC Avant Garde" w:cs="Arial"/>
          <w:bCs/>
        </w:rPr>
        <w:t>,</w:t>
      </w:r>
      <w:r w:rsidRPr="006D6AF9">
        <w:rPr>
          <w:rFonts w:ascii="ITC Avant Garde" w:hAnsi="ITC Avant Garde" w:cs="Arial"/>
          <w:bCs/>
        </w:rPr>
        <w:t xml:space="preserve"> </w:t>
      </w:r>
      <w:r w:rsidR="001547F0" w:rsidRPr="006D6AF9">
        <w:rPr>
          <w:rFonts w:ascii="ITC Avant Garde" w:hAnsi="ITC Avant Garde" w:cs="Arial"/>
          <w:bCs/>
        </w:rPr>
        <w:t>interpusieron</w:t>
      </w:r>
      <w:r w:rsidR="0015729A" w:rsidRPr="006D6AF9">
        <w:rPr>
          <w:rFonts w:ascii="ITC Avant Garde" w:hAnsi="ITC Avant Garde" w:cs="Arial"/>
          <w:bCs/>
        </w:rPr>
        <w:t xml:space="preserve"> </w:t>
      </w:r>
      <w:r w:rsidRPr="006D6AF9">
        <w:rPr>
          <w:rFonts w:ascii="ITC Avant Garde" w:hAnsi="ITC Avant Garde" w:cs="Arial"/>
          <w:bCs/>
        </w:rPr>
        <w:t xml:space="preserve">recurso de revisión, </w:t>
      </w:r>
      <w:r w:rsidR="001547F0" w:rsidRPr="006D6AF9">
        <w:rPr>
          <w:rFonts w:ascii="ITC Avant Garde" w:hAnsi="ITC Avant Garde" w:cs="Arial"/>
          <w:bCs/>
        </w:rPr>
        <w:t>los cuales</w:t>
      </w:r>
      <w:r w:rsidRPr="006D6AF9">
        <w:rPr>
          <w:rFonts w:ascii="ITC Avant Garde" w:hAnsi="ITC Avant Garde" w:cs="Arial"/>
          <w:bCs/>
        </w:rPr>
        <w:t xml:space="preserve"> fue</w:t>
      </w:r>
      <w:r w:rsidR="001547F0" w:rsidRPr="006D6AF9">
        <w:rPr>
          <w:rFonts w:ascii="ITC Avant Garde" w:hAnsi="ITC Avant Garde" w:cs="Arial"/>
          <w:bCs/>
        </w:rPr>
        <w:t>ron</w:t>
      </w:r>
      <w:r w:rsidRPr="006D6AF9">
        <w:rPr>
          <w:rFonts w:ascii="ITC Avant Garde" w:hAnsi="ITC Avant Garde" w:cs="Arial"/>
          <w:bCs/>
        </w:rPr>
        <w:t xml:space="preserve"> turnado</w:t>
      </w:r>
      <w:r w:rsidR="001547F0" w:rsidRPr="006D6AF9">
        <w:rPr>
          <w:rFonts w:ascii="ITC Avant Garde" w:hAnsi="ITC Avant Garde" w:cs="Arial"/>
          <w:bCs/>
        </w:rPr>
        <w:t>s</w:t>
      </w:r>
      <w:r w:rsidRPr="006D6AF9">
        <w:rPr>
          <w:rFonts w:ascii="ITC Avant Garde" w:hAnsi="ITC Avant Garde" w:cs="Arial"/>
          <w:bCs/>
        </w:rPr>
        <w:t xml:space="preserve"> al </w:t>
      </w:r>
      <w:r w:rsidR="00132D51">
        <w:rPr>
          <w:rFonts w:ascii="ITC Avant Garde" w:hAnsi="ITC Avant Garde" w:cs="Arial"/>
          <w:bCs/>
        </w:rPr>
        <w:t>Primer</w:t>
      </w:r>
      <w:r w:rsidRPr="006D6AF9">
        <w:rPr>
          <w:rFonts w:ascii="ITC Avant Garde" w:hAnsi="ITC Avant Garde" w:cs="Arial"/>
          <w:bCs/>
        </w:rPr>
        <w:t xml:space="preserve"> Tribunal Colegiado de Circuito en Materia Administrativa especializado en Competencia Económica, Radiodifusión y Telecomunicaciones con residencia en la Ciudad de México y jurisdicción en toda la República, </w:t>
      </w:r>
      <w:r w:rsidR="001547F0" w:rsidRPr="006D6AF9">
        <w:rPr>
          <w:rFonts w:ascii="ITC Avant Garde" w:hAnsi="ITC Avant Garde" w:cs="Arial"/>
          <w:bCs/>
        </w:rPr>
        <w:t>mismos que se admitieron</w:t>
      </w:r>
      <w:r w:rsidRPr="006D6AF9">
        <w:rPr>
          <w:rFonts w:ascii="ITC Avant Garde" w:hAnsi="ITC Avant Garde" w:cs="Arial"/>
          <w:bCs/>
        </w:rPr>
        <w:t xml:space="preserve"> a trámite y se registr</w:t>
      </w:r>
      <w:r w:rsidR="00A620C9">
        <w:rPr>
          <w:rFonts w:ascii="ITC Avant Garde" w:hAnsi="ITC Avant Garde" w:cs="Arial"/>
          <w:bCs/>
        </w:rPr>
        <w:t>aron bajo el toca R.A. 113</w:t>
      </w:r>
      <w:r w:rsidRPr="006D6AF9">
        <w:rPr>
          <w:rFonts w:ascii="ITC Avant Garde" w:hAnsi="ITC Avant Garde" w:cs="Arial"/>
          <w:bCs/>
        </w:rPr>
        <w:t xml:space="preserve">/2016. </w:t>
      </w:r>
    </w:p>
    <w:p w14:paraId="05570765" w14:textId="77777777" w:rsidR="00B04AED" w:rsidRDefault="00864E8A" w:rsidP="00B04AED">
      <w:pPr>
        <w:pStyle w:val="Textoindependiente"/>
        <w:spacing w:after="200" w:line="276" w:lineRule="auto"/>
        <w:rPr>
          <w:rFonts w:ascii="ITC Avant Garde" w:hAnsi="ITC Avant Garde" w:cs="Arial"/>
          <w:bCs/>
        </w:rPr>
      </w:pPr>
      <w:r w:rsidRPr="006D6AF9">
        <w:rPr>
          <w:rFonts w:ascii="ITC Avant Garde" w:hAnsi="ITC Avant Garde" w:cs="Arial"/>
          <w:bCs/>
        </w:rPr>
        <w:t xml:space="preserve">En tal virtud, fueron turnados los autos al Magistrado ponente para la formulación del proyecto de resolución respectivo, y mediante </w:t>
      </w:r>
      <w:r w:rsidR="0051054B" w:rsidRPr="006D6AF9">
        <w:rPr>
          <w:rFonts w:ascii="ITC Avant Garde" w:hAnsi="ITC Avant Garde" w:cs="Arial"/>
          <w:bCs/>
        </w:rPr>
        <w:t xml:space="preserve">ejecutoria de fecha </w:t>
      </w:r>
      <w:r w:rsidR="00A620C9">
        <w:rPr>
          <w:rFonts w:ascii="ITC Avant Garde" w:hAnsi="ITC Avant Garde" w:cs="Arial"/>
          <w:bCs/>
        </w:rPr>
        <w:t>20 de abril de 2017</w:t>
      </w:r>
      <w:r w:rsidR="0051054B" w:rsidRPr="006D6AF9">
        <w:rPr>
          <w:rFonts w:ascii="ITC Avant Garde" w:hAnsi="ITC Avant Garde" w:cs="Arial"/>
          <w:bCs/>
        </w:rPr>
        <w:t>, se resolvió:</w:t>
      </w:r>
    </w:p>
    <w:p w14:paraId="404B421B" w14:textId="77777777" w:rsidR="00B04AED" w:rsidRDefault="00F5287D" w:rsidP="00B04AED">
      <w:pPr>
        <w:pStyle w:val="Textoindependiente"/>
        <w:spacing w:after="200" w:line="276" w:lineRule="auto"/>
        <w:ind w:left="567" w:right="532"/>
        <w:rPr>
          <w:rFonts w:ascii="ITC Avant Garde" w:hAnsi="ITC Avant Garde" w:cs="Arial"/>
          <w:bCs/>
          <w:i/>
          <w:sz w:val="18"/>
        </w:rPr>
      </w:pPr>
      <w:r w:rsidRPr="006D6AF9">
        <w:rPr>
          <w:rFonts w:ascii="ITC Avant Garde" w:hAnsi="ITC Avant Garde" w:cs="Arial"/>
          <w:bCs/>
          <w:sz w:val="18"/>
        </w:rPr>
        <w:t>“</w:t>
      </w:r>
      <w:r w:rsidR="00CD28F8" w:rsidRPr="00511650">
        <w:rPr>
          <w:rFonts w:ascii="ITC Avant Garde" w:hAnsi="ITC Avant Garde" w:cs="Arial"/>
          <w:b/>
          <w:bCs/>
          <w:i/>
          <w:sz w:val="18"/>
        </w:rPr>
        <w:t>PRIMERO.</w:t>
      </w:r>
      <w:r w:rsidR="00A620C9">
        <w:rPr>
          <w:rFonts w:ascii="ITC Avant Garde" w:hAnsi="ITC Avant Garde" w:cs="Arial"/>
          <w:bCs/>
          <w:i/>
          <w:sz w:val="18"/>
        </w:rPr>
        <w:t xml:space="preserve"> Se MODIFICA la sentencia recurrida.</w:t>
      </w:r>
    </w:p>
    <w:p w14:paraId="382C569A" w14:textId="77777777" w:rsidR="00B04AED" w:rsidRDefault="00A620C9" w:rsidP="00B04AED">
      <w:pPr>
        <w:pStyle w:val="Textoindependiente"/>
        <w:spacing w:after="200" w:line="276" w:lineRule="auto"/>
        <w:ind w:left="567" w:right="532"/>
        <w:rPr>
          <w:rFonts w:ascii="ITC Avant Garde" w:hAnsi="ITC Avant Garde" w:cs="Arial"/>
          <w:bCs/>
          <w:i/>
          <w:sz w:val="18"/>
        </w:rPr>
      </w:pPr>
      <w:r>
        <w:rPr>
          <w:rFonts w:ascii="ITC Avant Garde" w:hAnsi="ITC Avant Garde" w:cs="Arial"/>
          <w:b/>
          <w:bCs/>
          <w:i/>
          <w:sz w:val="18"/>
        </w:rPr>
        <w:t xml:space="preserve">SEGUNDO. </w:t>
      </w:r>
      <w:r>
        <w:rPr>
          <w:rFonts w:ascii="ITC Avant Garde" w:hAnsi="ITC Avant Garde" w:cs="Arial"/>
          <w:bCs/>
          <w:i/>
          <w:sz w:val="18"/>
        </w:rPr>
        <w:t>Se SOBRESEE en el juicio respecto de los actos y autoridades y autoridades mencionados en el considerando séptimo y octavo de este fallo.</w:t>
      </w:r>
    </w:p>
    <w:p w14:paraId="4C3AD51F" w14:textId="77777777" w:rsidR="00B04AED" w:rsidRDefault="00A620C9" w:rsidP="00B04AED">
      <w:pPr>
        <w:pStyle w:val="Textoindependiente"/>
        <w:spacing w:after="200" w:line="276" w:lineRule="auto"/>
        <w:ind w:left="567" w:right="532"/>
        <w:rPr>
          <w:rFonts w:ascii="ITC Avant Garde" w:hAnsi="ITC Avant Garde" w:cs="Arial"/>
          <w:bCs/>
          <w:i/>
          <w:sz w:val="18"/>
        </w:rPr>
      </w:pPr>
      <w:r>
        <w:rPr>
          <w:rFonts w:ascii="ITC Avant Garde" w:hAnsi="ITC Avant Garde" w:cs="Arial"/>
          <w:b/>
          <w:bCs/>
          <w:i/>
          <w:sz w:val="18"/>
        </w:rPr>
        <w:t xml:space="preserve">TERCERO. </w:t>
      </w:r>
      <w:r>
        <w:rPr>
          <w:rFonts w:ascii="ITC Avant Garde" w:hAnsi="ITC Avant Garde" w:cs="Arial"/>
          <w:bCs/>
          <w:i/>
          <w:sz w:val="18"/>
        </w:rPr>
        <w:t>Se SOBRESEE en el juicio respecto de los actos y autoridades y autoridades mencionados en el considerando sexto de esta ejecutoria.</w:t>
      </w:r>
    </w:p>
    <w:p w14:paraId="4097F603" w14:textId="77777777" w:rsidR="00B04AED" w:rsidRDefault="00A620C9" w:rsidP="00B04AED">
      <w:pPr>
        <w:pStyle w:val="Textoindependiente"/>
        <w:spacing w:after="200" w:line="276" w:lineRule="auto"/>
        <w:ind w:left="567" w:right="532"/>
        <w:rPr>
          <w:rFonts w:ascii="ITC Avant Garde" w:hAnsi="ITC Avant Garde" w:cs="Arial"/>
          <w:bCs/>
          <w:i/>
          <w:sz w:val="18"/>
        </w:rPr>
      </w:pPr>
      <w:r>
        <w:rPr>
          <w:rFonts w:ascii="ITC Avant Garde" w:hAnsi="ITC Avant Garde" w:cs="Arial"/>
          <w:b/>
          <w:bCs/>
          <w:i/>
          <w:sz w:val="18"/>
        </w:rPr>
        <w:t xml:space="preserve">CUARTO. </w:t>
      </w:r>
      <w:r>
        <w:rPr>
          <w:rFonts w:ascii="ITC Avant Garde" w:hAnsi="ITC Avant Garde" w:cs="Arial"/>
          <w:bCs/>
          <w:i/>
          <w:sz w:val="18"/>
        </w:rPr>
        <w:t>Por incompetencia legal, remítanse a la Suprema Corte de Justicia de la Nación los presentes autos y los del juicio de amparo de origen, así como sus anexos, para que determine lo que considere pertinente respecto de los artículos 131, párrafos segundo, inciso a), y último, así como Sexto, Vigésimo, párrafos primero y segundo, y Trigésimo Quinto Transitorios, de la Ley Federal de Telecomunicaciones y Radiodifusión”.</w:t>
      </w:r>
    </w:p>
    <w:p w14:paraId="574A2004" w14:textId="77777777" w:rsidR="00B04AED" w:rsidRDefault="00C47423" w:rsidP="00B04AED">
      <w:pPr>
        <w:pStyle w:val="Textoindependiente"/>
        <w:spacing w:after="200" w:line="276" w:lineRule="auto"/>
        <w:rPr>
          <w:rFonts w:ascii="ITC Avant Garde" w:hAnsi="ITC Avant Garde" w:cs="Arial"/>
          <w:bCs/>
        </w:rPr>
      </w:pPr>
      <w:r w:rsidRPr="006D6AF9">
        <w:rPr>
          <w:rFonts w:ascii="ITC Avant Garde" w:hAnsi="ITC Avant Garde" w:cs="Arial"/>
          <w:bCs/>
        </w:rPr>
        <w:t xml:space="preserve">Es así </w:t>
      </w:r>
      <w:r w:rsidR="00511650" w:rsidRPr="006D6AF9">
        <w:rPr>
          <w:rFonts w:ascii="ITC Avant Garde" w:hAnsi="ITC Avant Garde" w:cs="Arial"/>
          <w:bCs/>
        </w:rPr>
        <w:t>que,</w:t>
      </w:r>
      <w:r w:rsidRPr="006D6AF9">
        <w:rPr>
          <w:rFonts w:ascii="ITC Avant Garde" w:hAnsi="ITC Avant Garde" w:cs="Arial"/>
          <w:bCs/>
        </w:rPr>
        <w:t xml:space="preserve"> mediante acuerdo de </w:t>
      </w:r>
      <w:r w:rsidR="00F6585B">
        <w:rPr>
          <w:rFonts w:ascii="ITC Avant Garde" w:hAnsi="ITC Avant Garde" w:cs="Arial"/>
          <w:bCs/>
        </w:rPr>
        <w:t>22 de mayo de 2017</w:t>
      </w:r>
      <w:r w:rsidRPr="006D6AF9">
        <w:rPr>
          <w:rFonts w:ascii="ITC Avant Garde" w:hAnsi="ITC Avant Garde" w:cs="Arial"/>
          <w:bCs/>
        </w:rPr>
        <w:t xml:space="preserve">, </w:t>
      </w:r>
      <w:r w:rsidR="00BD35A7">
        <w:rPr>
          <w:rFonts w:ascii="ITC Avant Garde" w:hAnsi="ITC Avant Garde" w:cs="Arial"/>
          <w:bCs/>
        </w:rPr>
        <w:t xml:space="preserve">el </w:t>
      </w:r>
      <w:r w:rsidR="00F6585B">
        <w:rPr>
          <w:rFonts w:ascii="ITC Avant Garde" w:hAnsi="ITC Avant Garde" w:cs="Arial"/>
          <w:bCs/>
        </w:rPr>
        <w:t xml:space="preserve">Ministro </w:t>
      </w:r>
      <w:r w:rsidR="00BD35A7">
        <w:rPr>
          <w:rFonts w:ascii="ITC Avant Garde" w:hAnsi="ITC Avant Garde" w:cs="Arial"/>
          <w:bCs/>
        </w:rPr>
        <w:t>Presidente de la</w:t>
      </w:r>
      <w:r w:rsidR="00BD35A7" w:rsidRPr="00BD35A7">
        <w:rPr>
          <w:rFonts w:ascii="ITC Avant Garde" w:hAnsi="ITC Avant Garde" w:cs="Arial"/>
          <w:bCs/>
        </w:rPr>
        <w:t xml:space="preserve"> </w:t>
      </w:r>
      <w:r w:rsidR="00BD35A7" w:rsidRPr="006D6AF9">
        <w:rPr>
          <w:rFonts w:ascii="ITC Avant Garde" w:hAnsi="ITC Avant Garde" w:cs="Arial"/>
          <w:bCs/>
        </w:rPr>
        <w:t xml:space="preserve">Suprema Corte de Justicia de la Nación (en lo sucesivo, “SCJN”) </w:t>
      </w:r>
      <w:r w:rsidR="00F6585B">
        <w:rPr>
          <w:rFonts w:ascii="ITC Avant Garde" w:hAnsi="ITC Avant Garde" w:cs="Arial"/>
          <w:bCs/>
        </w:rPr>
        <w:t xml:space="preserve">ordenó radicar el amparo en revisión con el número de toca 479/2017, asumió competencia originaria </w:t>
      </w:r>
      <w:r w:rsidR="00F6585B">
        <w:rPr>
          <w:rFonts w:ascii="ITC Avant Garde" w:hAnsi="ITC Avant Garde" w:cs="Arial"/>
          <w:bCs/>
        </w:rPr>
        <w:lastRenderedPageBreak/>
        <w:t xml:space="preserve">para conocer el medio de impugnación </w:t>
      </w:r>
      <w:r w:rsidR="00BD35A7">
        <w:rPr>
          <w:rFonts w:ascii="ITC Avant Garde" w:hAnsi="ITC Avant Garde" w:cs="Arial"/>
          <w:bCs/>
        </w:rPr>
        <w:t xml:space="preserve">y turnó a </w:t>
      </w:r>
      <w:r w:rsidRPr="006D6AF9">
        <w:rPr>
          <w:rFonts w:ascii="ITC Avant Garde" w:hAnsi="ITC Avant Garde" w:cs="Arial"/>
          <w:bCs/>
        </w:rPr>
        <w:t>la Segunda Sala de</w:t>
      </w:r>
      <w:r w:rsidR="00BD35A7">
        <w:rPr>
          <w:rFonts w:ascii="ITC Avant Garde" w:hAnsi="ITC Avant Garde" w:cs="Arial"/>
          <w:bCs/>
        </w:rPr>
        <w:t xml:space="preserve"> la SCJN, la cual, </w:t>
      </w:r>
      <w:r w:rsidR="00A150EA" w:rsidRPr="006D6AF9">
        <w:rPr>
          <w:rFonts w:ascii="ITC Avant Garde" w:hAnsi="ITC Avant Garde" w:cs="Arial"/>
          <w:bCs/>
        </w:rPr>
        <w:t>mediante ejecuto</w:t>
      </w:r>
      <w:r w:rsidR="001206E4" w:rsidRPr="006D6AF9">
        <w:rPr>
          <w:rFonts w:ascii="ITC Avant Garde" w:hAnsi="ITC Avant Garde" w:cs="Arial"/>
          <w:bCs/>
        </w:rPr>
        <w:t xml:space="preserve">ria de fecha </w:t>
      </w:r>
      <w:r w:rsidR="00F6585B">
        <w:rPr>
          <w:rFonts w:ascii="ITC Avant Garde" w:hAnsi="ITC Avant Garde" w:cs="Arial"/>
          <w:bCs/>
        </w:rPr>
        <w:t xml:space="preserve">13 de septiembre </w:t>
      </w:r>
      <w:r w:rsidR="001206E4" w:rsidRPr="006D6AF9">
        <w:rPr>
          <w:rFonts w:ascii="ITC Avant Garde" w:hAnsi="ITC Avant Garde" w:cs="Arial"/>
          <w:bCs/>
        </w:rPr>
        <w:t>de 2017</w:t>
      </w:r>
      <w:r w:rsidR="00A150EA" w:rsidRPr="006D6AF9">
        <w:rPr>
          <w:rFonts w:ascii="ITC Avant Garde" w:hAnsi="ITC Avant Garde" w:cs="Arial"/>
          <w:bCs/>
        </w:rPr>
        <w:t>, resolvió lo siguiente:</w:t>
      </w:r>
    </w:p>
    <w:p w14:paraId="11A36D20" w14:textId="77777777" w:rsidR="00B04AED" w:rsidRDefault="00CD2C5F" w:rsidP="00B04AED">
      <w:pPr>
        <w:pStyle w:val="Textoindependiente"/>
        <w:spacing w:after="200" w:line="276" w:lineRule="auto"/>
        <w:ind w:left="567" w:right="532"/>
        <w:rPr>
          <w:rFonts w:ascii="ITC Avant Garde" w:hAnsi="ITC Avant Garde" w:cs="Arial"/>
          <w:b/>
          <w:bCs/>
          <w:i/>
          <w:sz w:val="18"/>
        </w:rPr>
      </w:pPr>
      <w:r w:rsidRPr="00511650">
        <w:rPr>
          <w:rFonts w:ascii="ITC Avant Garde" w:hAnsi="ITC Avant Garde" w:cs="Arial"/>
          <w:b/>
          <w:bCs/>
          <w:sz w:val="18"/>
        </w:rPr>
        <w:t>“</w:t>
      </w:r>
      <w:r w:rsidR="00A150EA" w:rsidRPr="00B07D45">
        <w:rPr>
          <w:rFonts w:ascii="ITC Avant Garde" w:hAnsi="ITC Avant Garde" w:cs="Arial"/>
          <w:b/>
          <w:bCs/>
          <w:i/>
          <w:sz w:val="18"/>
        </w:rPr>
        <w:t xml:space="preserve">PRIMERO. </w:t>
      </w:r>
      <w:r w:rsidR="00531799" w:rsidRPr="00F72CF7">
        <w:rPr>
          <w:rFonts w:ascii="ITC Avant Garde" w:hAnsi="ITC Avant Garde" w:cs="Arial"/>
          <w:bCs/>
          <w:i/>
          <w:sz w:val="18"/>
        </w:rPr>
        <w:t xml:space="preserve">En </w:t>
      </w:r>
      <w:r w:rsidR="00BD35A7" w:rsidRPr="00F72CF7">
        <w:rPr>
          <w:rFonts w:ascii="ITC Avant Garde" w:hAnsi="ITC Avant Garde" w:cs="Arial"/>
          <w:bCs/>
          <w:i/>
          <w:sz w:val="18"/>
        </w:rPr>
        <w:t xml:space="preserve">la </w:t>
      </w:r>
      <w:r w:rsidR="00531799" w:rsidRPr="00F72CF7">
        <w:rPr>
          <w:rFonts w:ascii="ITC Avant Garde" w:hAnsi="ITC Avant Garde" w:cs="Arial"/>
          <w:bCs/>
          <w:i/>
          <w:sz w:val="18"/>
        </w:rPr>
        <w:t xml:space="preserve">materia de la revisión, </w:t>
      </w:r>
      <w:r w:rsidR="00BD35A7" w:rsidRPr="00F72CF7">
        <w:rPr>
          <w:rFonts w:ascii="ITC Avant Garde" w:hAnsi="ITC Avant Garde" w:cs="Arial"/>
          <w:bCs/>
          <w:i/>
          <w:sz w:val="18"/>
        </w:rPr>
        <w:t xml:space="preserve">competencia de esta </w:t>
      </w:r>
      <w:r w:rsidR="009C72CB" w:rsidRPr="00F72CF7">
        <w:rPr>
          <w:rFonts w:ascii="ITC Avant Garde" w:hAnsi="ITC Avant Garde" w:cs="Arial"/>
          <w:bCs/>
          <w:i/>
          <w:sz w:val="18"/>
        </w:rPr>
        <w:t>S</w:t>
      </w:r>
      <w:r w:rsidR="00BD35A7" w:rsidRPr="00F72CF7">
        <w:rPr>
          <w:rFonts w:ascii="ITC Avant Garde" w:hAnsi="ITC Avant Garde" w:cs="Arial"/>
          <w:bCs/>
          <w:i/>
          <w:sz w:val="18"/>
        </w:rPr>
        <w:t>egunda Sala de la Suprema Corte de Justicia de la Nación, se modifica la sentencia recurrida.</w:t>
      </w:r>
      <w:r w:rsidR="00511650" w:rsidRPr="00F72CF7">
        <w:rPr>
          <w:rFonts w:ascii="ITC Avant Garde" w:hAnsi="ITC Avant Garde" w:cs="Arial"/>
          <w:bCs/>
          <w:i/>
          <w:sz w:val="18"/>
        </w:rPr>
        <w:t xml:space="preserve"> </w:t>
      </w:r>
    </w:p>
    <w:p w14:paraId="60FD81DA" w14:textId="77777777" w:rsidR="00B04AED" w:rsidRDefault="00BD35A7" w:rsidP="00B04AED">
      <w:pPr>
        <w:pStyle w:val="Textoindependiente"/>
        <w:spacing w:after="200" w:line="276" w:lineRule="auto"/>
        <w:ind w:left="567" w:right="532"/>
        <w:rPr>
          <w:rFonts w:ascii="ITC Avant Garde" w:hAnsi="ITC Avant Garde" w:cs="Arial"/>
          <w:bCs/>
          <w:i/>
          <w:sz w:val="18"/>
        </w:rPr>
      </w:pPr>
      <w:r w:rsidRPr="00B07D45">
        <w:rPr>
          <w:rFonts w:ascii="ITC Avant Garde" w:hAnsi="ITC Avant Garde" w:cs="Arial"/>
          <w:b/>
          <w:bCs/>
          <w:i/>
          <w:sz w:val="18"/>
        </w:rPr>
        <w:t>SEGUNDO.</w:t>
      </w:r>
      <w:r w:rsidR="00511650" w:rsidRPr="00B07D45">
        <w:rPr>
          <w:rFonts w:ascii="ITC Avant Garde" w:hAnsi="ITC Avant Garde" w:cs="Arial"/>
          <w:b/>
          <w:bCs/>
          <w:i/>
          <w:sz w:val="18"/>
        </w:rPr>
        <w:t xml:space="preserve"> </w:t>
      </w:r>
      <w:r w:rsidR="00511650" w:rsidRPr="00F72CF7">
        <w:rPr>
          <w:rFonts w:ascii="ITC Avant Garde" w:hAnsi="ITC Avant Garde" w:cs="Arial"/>
          <w:bCs/>
          <w:i/>
          <w:sz w:val="18"/>
        </w:rPr>
        <w:t xml:space="preserve">Se sobresee en el juicio </w:t>
      </w:r>
      <w:r w:rsidRPr="00F72CF7">
        <w:rPr>
          <w:rFonts w:ascii="ITC Avant Garde" w:hAnsi="ITC Avant Garde" w:cs="Arial"/>
          <w:bCs/>
          <w:i/>
          <w:sz w:val="18"/>
        </w:rPr>
        <w:t>respecto de los artículos</w:t>
      </w:r>
      <w:r w:rsidR="00511650" w:rsidRPr="00F72CF7">
        <w:rPr>
          <w:rFonts w:ascii="ITC Avant Garde" w:hAnsi="ITC Avant Garde" w:cs="Arial"/>
          <w:bCs/>
          <w:i/>
          <w:sz w:val="18"/>
        </w:rPr>
        <w:t xml:space="preserve"> </w:t>
      </w:r>
      <w:r w:rsidR="009C72CB" w:rsidRPr="00F72CF7">
        <w:rPr>
          <w:rFonts w:ascii="ITC Avant Garde" w:hAnsi="ITC Avant Garde" w:cs="Arial"/>
          <w:bCs/>
          <w:i/>
          <w:sz w:val="18"/>
        </w:rPr>
        <w:t>131</w:t>
      </w:r>
      <w:r w:rsidR="00F72CF7">
        <w:rPr>
          <w:rFonts w:ascii="ITC Avant Garde" w:hAnsi="ITC Avant Garde" w:cs="Arial"/>
          <w:bCs/>
          <w:i/>
          <w:sz w:val="18"/>
        </w:rPr>
        <w:t>, párrafo segundo, inciso a), y párrafo tercero;</w:t>
      </w:r>
      <w:r w:rsidR="00F72CF7" w:rsidRPr="00F72CF7">
        <w:rPr>
          <w:rFonts w:ascii="ITC Avant Garde" w:hAnsi="ITC Avant Garde" w:cs="Arial"/>
          <w:bCs/>
          <w:i/>
          <w:sz w:val="18"/>
        </w:rPr>
        <w:t xml:space="preserve"> así como Sexto, Vigésimo, párrafos primero y segundo, y Trigésimo Quinto Transitorios de la Ley Federal de Telecomunicaciones y Radiodifusión</w:t>
      </w:r>
      <w:r w:rsidR="00F72CF7">
        <w:rPr>
          <w:rFonts w:ascii="ITC Avant Garde" w:hAnsi="ITC Avant Garde" w:cs="Arial"/>
          <w:bCs/>
          <w:i/>
          <w:sz w:val="18"/>
        </w:rPr>
        <w:t>, en las porciones normativas precisadas en esta ejecutoria.</w:t>
      </w:r>
    </w:p>
    <w:p w14:paraId="6AB5EC34" w14:textId="459E3253" w:rsidR="00172368" w:rsidRDefault="00B07D45" w:rsidP="00B04AED">
      <w:pPr>
        <w:pStyle w:val="Textoindependiente"/>
        <w:spacing w:after="200" w:line="276" w:lineRule="auto"/>
        <w:ind w:left="567" w:right="532"/>
        <w:rPr>
          <w:rFonts w:ascii="ITC Avant Garde" w:hAnsi="ITC Avant Garde" w:cs="Arial"/>
          <w:bCs/>
          <w:i/>
          <w:sz w:val="18"/>
        </w:rPr>
      </w:pPr>
      <w:r w:rsidRPr="00B07D45">
        <w:rPr>
          <w:rFonts w:ascii="ITC Avant Garde" w:hAnsi="ITC Avant Garde" w:cs="Arial"/>
          <w:b/>
          <w:bCs/>
          <w:i/>
          <w:sz w:val="18"/>
        </w:rPr>
        <w:t xml:space="preserve">TERCERO. </w:t>
      </w:r>
      <w:r w:rsidRPr="00172368">
        <w:rPr>
          <w:rFonts w:ascii="ITC Avant Garde" w:hAnsi="ITC Avant Garde" w:cs="Arial"/>
          <w:bCs/>
          <w:i/>
          <w:sz w:val="18"/>
        </w:rPr>
        <w:t>Queda sin materia el recurso</w:t>
      </w:r>
      <w:r w:rsidR="00BD35A7" w:rsidRPr="00172368">
        <w:rPr>
          <w:rFonts w:ascii="ITC Avant Garde" w:hAnsi="ITC Avant Garde" w:cs="Arial"/>
          <w:bCs/>
          <w:i/>
          <w:sz w:val="18"/>
        </w:rPr>
        <w:t xml:space="preserve"> de revisión</w:t>
      </w:r>
      <w:r w:rsidR="00172368" w:rsidRPr="00172368">
        <w:rPr>
          <w:rFonts w:ascii="ITC Avant Garde" w:hAnsi="ITC Avant Garde" w:cs="Arial"/>
          <w:bCs/>
          <w:i/>
          <w:sz w:val="18"/>
        </w:rPr>
        <w:t xml:space="preserve"> adhesivo</w:t>
      </w:r>
      <w:r w:rsidR="009C72CB" w:rsidRPr="00172368">
        <w:rPr>
          <w:rFonts w:ascii="ITC Avant Garde" w:hAnsi="ITC Avant Garde" w:cs="Arial"/>
          <w:bCs/>
          <w:i/>
          <w:sz w:val="18"/>
        </w:rPr>
        <w:t xml:space="preserve"> interpuesto por el Presidente de la República</w:t>
      </w:r>
      <w:r w:rsidR="00172368">
        <w:rPr>
          <w:rFonts w:ascii="ITC Avant Garde" w:hAnsi="ITC Avant Garde" w:cs="Arial"/>
          <w:bCs/>
          <w:i/>
          <w:sz w:val="18"/>
        </w:rPr>
        <w:t>.</w:t>
      </w:r>
    </w:p>
    <w:p w14:paraId="4CDBAB13" w14:textId="77777777" w:rsidR="00B04AED" w:rsidRDefault="00B07D45" w:rsidP="00B04AED">
      <w:pPr>
        <w:pStyle w:val="Textoindependiente"/>
        <w:spacing w:after="200" w:line="276" w:lineRule="auto"/>
        <w:ind w:left="567" w:right="532"/>
        <w:rPr>
          <w:rFonts w:ascii="ITC Avant Garde" w:hAnsi="ITC Avant Garde" w:cs="Arial"/>
          <w:b/>
          <w:bCs/>
          <w:i/>
          <w:sz w:val="18"/>
        </w:rPr>
      </w:pPr>
      <w:r w:rsidRPr="00B07D45">
        <w:rPr>
          <w:rFonts w:ascii="ITC Avant Garde" w:hAnsi="ITC Avant Garde" w:cs="Arial"/>
          <w:b/>
          <w:bCs/>
          <w:i/>
          <w:sz w:val="18"/>
        </w:rPr>
        <w:t>CUARTO</w:t>
      </w:r>
      <w:r w:rsidR="00D92149" w:rsidRPr="00B07D45">
        <w:rPr>
          <w:rFonts w:ascii="ITC Avant Garde" w:hAnsi="ITC Avant Garde" w:cs="Arial"/>
          <w:b/>
          <w:bCs/>
          <w:i/>
          <w:sz w:val="18"/>
        </w:rPr>
        <w:t>.</w:t>
      </w:r>
      <w:r w:rsidRPr="00B07D45">
        <w:rPr>
          <w:rFonts w:ascii="ITC Avant Garde" w:hAnsi="ITC Avant Garde" w:cs="Arial"/>
          <w:b/>
          <w:bCs/>
          <w:i/>
          <w:sz w:val="18"/>
        </w:rPr>
        <w:t xml:space="preserve"> </w:t>
      </w:r>
      <w:r w:rsidR="00D92149" w:rsidRPr="00172368">
        <w:rPr>
          <w:rFonts w:ascii="ITC Avant Garde" w:hAnsi="ITC Avant Garde" w:cs="Arial"/>
          <w:bCs/>
          <w:i/>
          <w:sz w:val="18"/>
        </w:rPr>
        <w:t xml:space="preserve">Se reserva jurisdicción al </w:t>
      </w:r>
      <w:r w:rsidR="00172368">
        <w:rPr>
          <w:rFonts w:ascii="ITC Avant Garde" w:hAnsi="ITC Avant Garde" w:cs="Arial"/>
          <w:bCs/>
          <w:i/>
          <w:sz w:val="18"/>
        </w:rPr>
        <w:t>Primer</w:t>
      </w:r>
      <w:r w:rsidR="009C72CB" w:rsidRPr="00172368">
        <w:rPr>
          <w:rFonts w:ascii="ITC Avant Garde" w:hAnsi="ITC Avant Garde" w:cs="Arial"/>
          <w:bCs/>
          <w:i/>
          <w:sz w:val="18"/>
        </w:rPr>
        <w:t xml:space="preserve"> </w:t>
      </w:r>
      <w:r w:rsidR="00D92149" w:rsidRPr="00172368">
        <w:rPr>
          <w:rFonts w:ascii="ITC Avant Garde" w:hAnsi="ITC Avant Garde" w:cs="Arial"/>
          <w:bCs/>
          <w:i/>
          <w:sz w:val="18"/>
        </w:rPr>
        <w:t xml:space="preserve">Tribunal </w:t>
      </w:r>
      <w:r w:rsidRPr="00172368">
        <w:rPr>
          <w:rFonts w:ascii="ITC Avant Garde" w:hAnsi="ITC Avant Garde" w:cs="Arial"/>
          <w:bCs/>
          <w:i/>
          <w:sz w:val="18"/>
        </w:rPr>
        <w:t>de Circuito</w:t>
      </w:r>
      <w:r w:rsidR="009C72CB" w:rsidRPr="00172368">
        <w:rPr>
          <w:rFonts w:ascii="ITC Avant Garde" w:hAnsi="ITC Avant Garde" w:cs="Arial"/>
          <w:bCs/>
          <w:i/>
          <w:sz w:val="18"/>
        </w:rPr>
        <w:t xml:space="preserve"> en Materia Administrativa Especializado en Competencia Económica, Radiodifusión y Telecomunicaciones, con residencia en la Ciudad de México y Jurisdicción en toda la República, para los efectos precisados en esta </w:t>
      </w:r>
      <w:r w:rsidR="00DB0D3D">
        <w:rPr>
          <w:rFonts w:ascii="ITC Avant Garde" w:hAnsi="ITC Avant Garde" w:cs="Arial"/>
          <w:bCs/>
          <w:i/>
          <w:sz w:val="18"/>
        </w:rPr>
        <w:t>ejecutoria</w:t>
      </w:r>
      <w:r w:rsidR="009C72CB" w:rsidRPr="00172368">
        <w:rPr>
          <w:rFonts w:ascii="ITC Avant Garde" w:hAnsi="ITC Avant Garde" w:cs="Arial"/>
          <w:bCs/>
          <w:i/>
          <w:sz w:val="18"/>
        </w:rPr>
        <w:t>”.</w:t>
      </w:r>
    </w:p>
    <w:p w14:paraId="61EC9612" w14:textId="77777777" w:rsidR="00B04AED" w:rsidRDefault="002303EF" w:rsidP="00B04AED">
      <w:pPr>
        <w:widowControl w:val="0"/>
        <w:tabs>
          <w:tab w:val="left" w:pos="720"/>
          <w:tab w:val="center" w:pos="4419"/>
          <w:tab w:val="right" w:pos="8838"/>
        </w:tabs>
        <w:jc w:val="both"/>
        <w:rPr>
          <w:rFonts w:ascii="ITC Avant Garde" w:eastAsia="Times New Roman" w:hAnsi="ITC Avant Garde" w:cs="Arial"/>
          <w:szCs w:val="20"/>
        </w:rPr>
      </w:pPr>
      <w:r w:rsidRPr="006D6AF9">
        <w:rPr>
          <w:rFonts w:ascii="ITC Avant Garde" w:hAnsi="ITC Avant Garde" w:cs="Arial"/>
          <w:bCs/>
        </w:rPr>
        <w:t xml:space="preserve">En virtud de lo anterior, y en cumplimiento a lo ordenado por la Segunda Sala de la Suprema Corte de Justicia de la Nación, el </w:t>
      </w:r>
      <w:r w:rsidR="00C81681">
        <w:rPr>
          <w:rFonts w:ascii="ITC Avant Garde" w:hAnsi="ITC Avant Garde" w:cs="Arial"/>
          <w:bCs/>
        </w:rPr>
        <w:t>Primer</w:t>
      </w:r>
      <w:r w:rsidRPr="006D6AF9">
        <w:rPr>
          <w:rFonts w:ascii="ITC Avant Garde" w:hAnsi="ITC Avant Garde" w:cs="Arial"/>
          <w:bCs/>
        </w:rPr>
        <w:t xml:space="preserve"> Tribunal Colegiado de Circ</w:t>
      </w:r>
      <w:r w:rsidR="00E90F12">
        <w:rPr>
          <w:rFonts w:ascii="ITC Avant Garde" w:hAnsi="ITC Avant Garde" w:cs="Arial"/>
          <w:bCs/>
        </w:rPr>
        <w:t>uito en Materia Administrativa E</w:t>
      </w:r>
      <w:r w:rsidRPr="006D6AF9">
        <w:rPr>
          <w:rFonts w:ascii="ITC Avant Garde" w:hAnsi="ITC Avant Garde" w:cs="Arial"/>
          <w:bCs/>
        </w:rPr>
        <w:t xml:space="preserve">specializado en Competencia Económica, Radiodifusión y Telecomunicaciones con residencia en la Ciudad de México y jurisdicción en toda la República, asumió la competencia para seguir conociendo del asunto, </w:t>
      </w:r>
      <w:r w:rsidR="00086F61" w:rsidRPr="006D6AF9">
        <w:rPr>
          <w:rFonts w:ascii="ITC Avant Garde" w:eastAsia="Times New Roman" w:hAnsi="ITC Avant Garde" w:cs="Arial"/>
          <w:szCs w:val="20"/>
        </w:rPr>
        <w:t xml:space="preserve">por lo que en su ejecutoria de fecha </w:t>
      </w:r>
      <w:r w:rsidR="00C81681">
        <w:rPr>
          <w:rFonts w:ascii="ITC Avant Garde" w:eastAsia="Times New Roman" w:hAnsi="ITC Avant Garde" w:cs="Arial"/>
          <w:szCs w:val="20"/>
        </w:rPr>
        <w:t>27 de marzo</w:t>
      </w:r>
      <w:r w:rsidR="00B07D45">
        <w:rPr>
          <w:rFonts w:ascii="ITC Avant Garde" w:eastAsia="Times New Roman" w:hAnsi="ITC Avant Garde" w:cs="Arial"/>
          <w:szCs w:val="20"/>
        </w:rPr>
        <w:t xml:space="preserve"> </w:t>
      </w:r>
      <w:r w:rsidR="00E90F12">
        <w:rPr>
          <w:rFonts w:ascii="ITC Avant Garde" w:eastAsia="Times New Roman" w:hAnsi="ITC Avant Garde" w:cs="Arial"/>
          <w:szCs w:val="20"/>
        </w:rPr>
        <w:t>de 2018</w:t>
      </w:r>
      <w:r w:rsidR="00086F61" w:rsidRPr="006D6AF9">
        <w:rPr>
          <w:rFonts w:ascii="ITC Avant Garde" w:eastAsia="Times New Roman" w:hAnsi="ITC Avant Garde" w:cs="Arial"/>
          <w:szCs w:val="20"/>
        </w:rPr>
        <w:t>, consideró lo siguiente:</w:t>
      </w:r>
    </w:p>
    <w:p w14:paraId="365F3908" w14:textId="77777777" w:rsidR="00B04AED" w:rsidRDefault="00086F61" w:rsidP="00B04AED">
      <w:pPr>
        <w:pStyle w:val="Textoindependiente"/>
        <w:spacing w:after="200" w:line="276" w:lineRule="auto"/>
        <w:ind w:left="567" w:right="532"/>
        <w:rPr>
          <w:rFonts w:ascii="ITC Avant Garde" w:hAnsi="ITC Avant Garde" w:cs="Arial"/>
          <w:bCs/>
          <w:i/>
          <w:sz w:val="18"/>
          <w:szCs w:val="18"/>
        </w:rPr>
      </w:pPr>
      <w:r w:rsidRPr="005C3AA9">
        <w:rPr>
          <w:rFonts w:ascii="ITC Avant Garde" w:hAnsi="ITC Avant Garde" w:cs="Arial"/>
          <w:bCs/>
          <w:i/>
          <w:sz w:val="18"/>
          <w:szCs w:val="18"/>
        </w:rPr>
        <w:t>«</w:t>
      </w:r>
      <w:r w:rsidR="00EB5068">
        <w:rPr>
          <w:rFonts w:ascii="ITC Avant Garde" w:hAnsi="ITC Avant Garde" w:cs="Arial"/>
          <w:b/>
          <w:bCs/>
          <w:i/>
          <w:sz w:val="18"/>
          <w:szCs w:val="18"/>
        </w:rPr>
        <w:t xml:space="preserve">SÉPTIMO. </w:t>
      </w:r>
      <w:r w:rsidR="00EB5068">
        <w:rPr>
          <w:rFonts w:ascii="ITC Avant Garde" w:hAnsi="ITC Avant Garde" w:cs="Arial"/>
          <w:bCs/>
          <w:i/>
          <w:sz w:val="18"/>
          <w:szCs w:val="18"/>
        </w:rPr>
        <w:t xml:space="preserve">Los conceptos de agravio hechos valer por las terceras interesadas y por el Pleno del IFT, </w:t>
      </w:r>
      <w:r w:rsidR="00EB5068" w:rsidRPr="00EB5068">
        <w:rPr>
          <w:rFonts w:ascii="ITC Avant Garde" w:hAnsi="ITC Avant Garde" w:cs="Arial"/>
          <w:b/>
          <w:bCs/>
          <w:i/>
          <w:sz w:val="18"/>
          <w:szCs w:val="18"/>
        </w:rPr>
        <w:t>son infundados</w:t>
      </w:r>
      <w:r w:rsidR="00EB5068">
        <w:rPr>
          <w:rFonts w:ascii="ITC Avant Garde" w:hAnsi="ITC Avant Garde" w:cs="Arial"/>
          <w:bCs/>
          <w:i/>
          <w:sz w:val="18"/>
          <w:szCs w:val="18"/>
        </w:rPr>
        <w:t xml:space="preserve"> por los motivos que se exponen a continuación.</w:t>
      </w:r>
    </w:p>
    <w:p w14:paraId="088B9D95" w14:textId="77777777" w:rsidR="00B04AED" w:rsidRDefault="00EB5068" w:rsidP="00B04AED">
      <w:pPr>
        <w:pStyle w:val="Textoindependiente"/>
        <w:spacing w:after="200" w:line="276" w:lineRule="auto"/>
        <w:ind w:left="567" w:right="532"/>
        <w:rPr>
          <w:rFonts w:ascii="ITC Avant Garde" w:hAnsi="ITC Avant Garde" w:cs="Arial"/>
          <w:b/>
          <w:bCs/>
          <w:i/>
          <w:sz w:val="18"/>
          <w:szCs w:val="18"/>
        </w:rPr>
      </w:pPr>
      <w:r>
        <w:rPr>
          <w:rFonts w:ascii="ITC Avant Garde" w:hAnsi="ITC Avant Garde" w:cs="Arial"/>
          <w:b/>
          <w:bCs/>
          <w:i/>
          <w:sz w:val="18"/>
          <w:szCs w:val="18"/>
        </w:rPr>
        <w:t>7.1 Síntesis de la sentencia recurrida cuya reserva de jurisdicción se precisó en el amparo en revisión 479/2017, resuelto por la Segunda Sala de la Suprema Corte de Justicia de la Nación en sesión e trece de septiembre de dos mil diecisiete.</w:t>
      </w:r>
    </w:p>
    <w:p w14:paraId="14C263BE" w14:textId="77777777" w:rsidR="00B04AED" w:rsidRDefault="00EB5068" w:rsidP="00B04AED">
      <w:pPr>
        <w:pStyle w:val="Textoindependiente"/>
        <w:spacing w:after="200" w:line="276" w:lineRule="auto"/>
        <w:ind w:left="567" w:right="533"/>
        <w:rPr>
          <w:rFonts w:ascii="ITC Avant Garde" w:hAnsi="ITC Avant Garde" w:cs="Arial"/>
          <w:bCs/>
          <w:i/>
          <w:sz w:val="18"/>
          <w:szCs w:val="18"/>
        </w:rPr>
      </w:pPr>
      <w:r>
        <w:rPr>
          <w:rFonts w:ascii="ITC Avant Garde" w:hAnsi="ITC Avant Garde" w:cs="Arial"/>
          <w:bCs/>
          <w:i/>
          <w:sz w:val="18"/>
          <w:szCs w:val="18"/>
        </w:rPr>
        <w:t>La jueza de distrito consideró que la resolución reclamada no se dictó conforme a derecho por lo siguiente:</w:t>
      </w:r>
    </w:p>
    <w:p w14:paraId="44D79A34" w14:textId="77777777" w:rsidR="00B04AED" w:rsidRDefault="00EB5068" w:rsidP="00B04AED">
      <w:pPr>
        <w:pStyle w:val="Textoindependiente"/>
        <w:numPr>
          <w:ilvl w:val="0"/>
          <w:numId w:val="15"/>
        </w:numPr>
        <w:spacing w:after="200" w:line="276" w:lineRule="auto"/>
        <w:ind w:left="993" w:right="533" w:hanging="284"/>
        <w:rPr>
          <w:rFonts w:ascii="ITC Avant Garde" w:hAnsi="ITC Avant Garde" w:cs="Arial"/>
          <w:bCs/>
          <w:i/>
          <w:sz w:val="18"/>
          <w:szCs w:val="18"/>
        </w:rPr>
      </w:pPr>
      <w:r w:rsidRPr="00EB5068">
        <w:rPr>
          <w:rFonts w:ascii="ITC Avant Garde" w:hAnsi="ITC Avant Garde" w:cs="Arial"/>
          <w:bCs/>
          <w:i/>
          <w:sz w:val="18"/>
          <w:szCs w:val="18"/>
        </w:rPr>
        <w:t>El Pleno del IFT al in</w:t>
      </w:r>
      <w:r>
        <w:rPr>
          <w:rFonts w:ascii="ITC Avant Garde" w:hAnsi="ITC Avant Garde" w:cs="Arial"/>
          <w:bCs/>
          <w:i/>
          <w:sz w:val="18"/>
          <w:szCs w:val="18"/>
        </w:rPr>
        <w:t>terpretar el artículo vigésimo transitorio, segundo párrafo “…</w:t>
      </w:r>
      <w:r w:rsidRPr="00EB5068">
        <w:rPr>
          <w:rFonts w:ascii="ITC Avant Garde" w:hAnsi="ITC Avant Garde" w:cs="Arial"/>
          <w:bCs/>
          <w:i/>
          <w:sz w:val="18"/>
          <w:szCs w:val="18"/>
        </w:rPr>
        <w:t>lo hizo desde una perspectiva</w:t>
      </w:r>
      <w:r>
        <w:rPr>
          <w:rFonts w:ascii="ITC Avant Garde" w:hAnsi="ITC Avant Garde" w:cs="Arial"/>
          <w:bCs/>
          <w:i/>
          <w:sz w:val="18"/>
          <w:szCs w:val="18"/>
        </w:rPr>
        <w:t xml:space="preserve"> </w:t>
      </w:r>
      <w:r w:rsidRPr="00EB5068">
        <w:rPr>
          <w:rFonts w:ascii="ITC Avant Garde" w:hAnsi="ITC Avant Garde" w:cs="Arial"/>
          <w:bCs/>
          <w:i/>
          <w:sz w:val="18"/>
          <w:szCs w:val="18"/>
        </w:rPr>
        <w:t>estrictamente literal, en la medida en que afirmó que dicha porción</w:t>
      </w:r>
      <w:r>
        <w:rPr>
          <w:rFonts w:ascii="ITC Avant Garde" w:hAnsi="ITC Avant Garde" w:cs="Arial"/>
          <w:bCs/>
          <w:i/>
          <w:sz w:val="18"/>
          <w:szCs w:val="18"/>
        </w:rPr>
        <w:t xml:space="preserve"> </w:t>
      </w:r>
      <w:r w:rsidRPr="00EB5068">
        <w:rPr>
          <w:rFonts w:ascii="ITC Avant Garde" w:hAnsi="ITC Avant Garde" w:cs="Arial"/>
          <w:bCs/>
          <w:i/>
          <w:sz w:val="18"/>
          <w:szCs w:val="18"/>
        </w:rPr>
        <w:t>normativa dotó de vigencia a las tarifas que se estaban aplicando a la</w:t>
      </w:r>
      <w:r>
        <w:rPr>
          <w:rFonts w:ascii="ITC Avant Garde" w:hAnsi="ITC Avant Garde" w:cs="Arial"/>
          <w:bCs/>
          <w:i/>
          <w:sz w:val="18"/>
          <w:szCs w:val="18"/>
        </w:rPr>
        <w:t xml:space="preserve"> </w:t>
      </w:r>
      <w:r w:rsidRPr="00EB5068">
        <w:rPr>
          <w:rFonts w:ascii="ITC Avant Garde" w:hAnsi="ITC Avant Garde" w:cs="Arial"/>
          <w:bCs/>
          <w:i/>
          <w:sz w:val="18"/>
          <w:szCs w:val="18"/>
        </w:rPr>
        <w:t>fecha de entrada en vigor de la Ley Federal de Telecomunicaciones y</w:t>
      </w:r>
      <w:r>
        <w:rPr>
          <w:rFonts w:ascii="ITC Avant Garde" w:hAnsi="ITC Avant Garde" w:cs="Arial"/>
          <w:bCs/>
          <w:i/>
          <w:sz w:val="18"/>
          <w:szCs w:val="18"/>
        </w:rPr>
        <w:t xml:space="preserve"> </w:t>
      </w:r>
      <w:r w:rsidRPr="00EB5068">
        <w:rPr>
          <w:rFonts w:ascii="ITC Avant Garde" w:hAnsi="ITC Avant Garde" w:cs="Arial"/>
          <w:bCs/>
          <w:i/>
          <w:sz w:val="18"/>
          <w:szCs w:val="18"/>
        </w:rPr>
        <w:t>Radiodifusión, hasta el momento en que 1os concesionarios acordaran</w:t>
      </w:r>
      <w:r>
        <w:rPr>
          <w:rFonts w:ascii="ITC Avant Garde" w:hAnsi="ITC Avant Garde" w:cs="Arial"/>
          <w:bCs/>
          <w:i/>
          <w:sz w:val="18"/>
          <w:szCs w:val="18"/>
        </w:rPr>
        <w:t xml:space="preserve"> </w:t>
      </w:r>
      <w:r w:rsidRPr="00EB5068">
        <w:rPr>
          <w:rFonts w:ascii="ITC Avant Garde" w:hAnsi="ITC Avant Garde" w:cs="Arial"/>
          <w:bCs/>
          <w:i/>
          <w:sz w:val="18"/>
          <w:szCs w:val="18"/>
        </w:rPr>
        <w:t>una nueva tarifa, o bien, en que el regulad</w:t>
      </w:r>
      <w:r>
        <w:rPr>
          <w:rFonts w:ascii="ITC Avant Garde" w:hAnsi="ITC Avant Garde" w:cs="Arial"/>
          <w:bCs/>
          <w:i/>
          <w:sz w:val="18"/>
          <w:szCs w:val="18"/>
        </w:rPr>
        <w:t xml:space="preserve">or resolviera la disputa en la </w:t>
      </w:r>
      <w:r w:rsidRPr="00EB5068">
        <w:rPr>
          <w:rFonts w:ascii="ITC Avant Garde" w:hAnsi="ITC Avant Garde" w:cs="Arial"/>
          <w:bCs/>
          <w:i/>
          <w:sz w:val="18"/>
          <w:szCs w:val="18"/>
        </w:rPr>
        <w:t>que la fijara.".</w:t>
      </w:r>
    </w:p>
    <w:p w14:paraId="218D25FC" w14:textId="77777777" w:rsidR="00B04AED" w:rsidRDefault="00EB5068" w:rsidP="00B04AED">
      <w:pPr>
        <w:pStyle w:val="Textoindependiente"/>
        <w:numPr>
          <w:ilvl w:val="0"/>
          <w:numId w:val="15"/>
        </w:numPr>
        <w:spacing w:after="200" w:line="276" w:lineRule="auto"/>
        <w:ind w:left="993" w:right="533" w:hanging="284"/>
        <w:rPr>
          <w:rFonts w:ascii="ITC Avant Garde" w:hAnsi="ITC Avant Garde" w:cs="Arial"/>
          <w:bCs/>
          <w:i/>
          <w:sz w:val="18"/>
          <w:szCs w:val="18"/>
        </w:rPr>
      </w:pPr>
      <w:r w:rsidRPr="00EB5068">
        <w:rPr>
          <w:rFonts w:ascii="ITC Avant Garde" w:hAnsi="ITC Avant Garde" w:cs="Arial"/>
          <w:bCs/>
          <w:i/>
          <w:sz w:val="18"/>
          <w:szCs w:val="18"/>
        </w:rPr>
        <w:t>L</w:t>
      </w:r>
      <w:r>
        <w:rPr>
          <w:rFonts w:ascii="ITC Avant Garde" w:hAnsi="ITC Avant Garde" w:cs="Arial"/>
          <w:bCs/>
          <w:i/>
          <w:sz w:val="18"/>
          <w:szCs w:val="18"/>
        </w:rPr>
        <w:t>a interpretación efectuada por</w:t>
      </w:r>
      <w:r w:rsidRPr="00EB5068">
        <w:rPr>
          <w:rFonts w:ascii="ITC Avant Garde" w:hAnsi="ITC Avant Garde" w:cs="Arial"/>
          <w:bCs/>
          <w:i/>
          <w:sz w:val="18"/>
          <w:szCs w:val="18"/>
        </w:rPr>
        <w:t xml:space="preserve"> la autoridad</w:t>
      </w:r>
      <w:r>
        <w:rPr>
          <w:rFonts w:ascii="ITC Avant Garde" w:hAnsi="ITC Avant Garde" w:cs="Arial"/>
          <w:bCs/>
          <w:i/>
          <w:sz w:val="18"/>
          <w:szCs w:val="18"/>
        </w:rPr>
        <w:t xml:space="preserve"> </w:t>
      </w:r>
      <w:r w:rsidRPr="00EB5068">
        <w:rPr>
          <w:rFonts w:ascii="ITC Avant Garde" w:hAnsi="ITC Avant Garde" w:cs="Arial"/>
          <w:bCs/>
          <w:i/>
          <w:sz w:val="18"/>
          <w:szCs w:val="18"/>
        </w:rPr>
        <w:t>responsable es incorrecta, en virtud de que partió de una apreciación</w:t>
      </w:r>
      <w:r>
        <w:rPr>
          <w:rFonts w:ascii="ITC Avant Garde" w:hAnsi="ITC Avant Garde" w:cs="Arial"/>
          <w:bCs/>
          <w:i/>
          <w:sz w:val="18"/>
          <w:szCs w:val="18"/>
        </w:rPr>
        <w:t xml:space="preserve"> </w:t>
      </w:r>
      <w:r w:rsidRPr="00EB5068">
        <w:rPr>
          <w:rFonts w:ascii="ITC Avant Garde" w:hAnsi="ITC Avant Garde" w:cs="Arial"/>
          <w:bCs/>
          <w:i/>
          <w:sz w:val="18"/>
          <w:szCs w:val="18"/>
        </w:rPr>
        <w:t>literal y aislada del párrafo segundo del artículo Vigésimo Transitorio,</w:t>
      </w:r>
      <w:r>
        <w:rPr>
          <w:rFonts w:ascii="ITC Avant Garde" w:hAnsi="ITC Avant Garde" w:cs="Arial"/>
          <w:bCs/>
          <w:i/>
          <w:sz w:val="18"/>
          <w:szCs w:val="18"/>
        </w:rPr>
        <w:t xml:space="preserve"> </w:t>
      </w:r>
      <w:r w:rsidRPr="00EB5068">
        <w:rPr>
          <w:rFonts w:ascii="ITC Avant Garde" w:hAnsi="ITC Avant Garde" w:cs="Arial"/>
          <w:bCs/>
          <w:i/>
          <w:sz w:val="18"/>
          <w:szCs w:val="18"/>
        </w:rPr>
        <w:t>siendo que esa clase de interpretación debe de excluirse para atribuirle</w:t>
      </w:r>
      <w:r>
        <w:rPr>
          <w:rFonts w:ascii="ITC Avant Garde" w:hAnsi="ITC Avant Garde" w:cs="Arial"/>
          <w:bCs/>
          <w:i/>
          <w:sz w:val="18"/>
          <w:szCs w:val="18"/>
        </w:rPr>
        <w:t xml:space="preserve"> </w:t>
      </w:r>
      <w:r w:rsidRPr="00EB5068">
        <w:rPr>
          <w:rFonts w:ascii="ITC Avant Garde" w:hAnsi="ITC Avant Garde" w:cs="Arial"/>
          <w:bCs/>
          <w:i/>
          <w:sz w:val="18"/>
          <w:szCs w:val="18"/>
        </w:rPr>
        <w:t>su significado, en la medida en que restringe el derecho de seguridad</w:t>
      </w:r>
      <w:r>
        <w:rPr>
          <w:rFonts w:ascii="ITC Avant Garde" w:hAnsi="ITC Avant Garde" w:cs="Arial"/>
          <w:bCs/>
          <w:i/>
          <w:sz w:val="18"/>
          <w:szCs w:val="18"/>
        </w:rPr>
        <w:t xml:space="preserve"> </w:t>
      </w:r>
      <w:r w:rsidRPr="00EB5068">
        <w:rPr>
          <w:rFonts w:ascii="ITC Avant Garde" w:hAnsi="ITC Avant Garde" w:cs="Arial"/>
          <w:bCs/>
          <w:i/>
          <w:sz w:val="18"/>
          <w:szCs w:val="18"/>
        </w:rPr>
        <w:t>jurídica y libertad de comercio, en su modalidad de libertad de</w:t>
      </w:r>
      <w:r>
        <w:rPr>
          <w:rFonts w:ascii="ITC Avant Garde" w:hAnsi="ITC Avant Garde" w:cs="Arial"/>
          <w:bCs/>
          <w:i/>
          <w:sz w:val="18"/>
          <w:szCs w:val="18"/>
        </w:rPr>
        <w:t xml:space="preserve"> </w:t>
      </w:r>
      <w:r w:rsidRPr="00EB5068">
        <w:rPr>
          <w:rFonts w:ascii="ITC Avant Garde" w:hAnsi="ITC Avant Garde" w:cs="Arial"/>
          <w:bCs/>
          <w:i/>
          <w:sz w:val="18"/>
          <w:szCs w:val="18"/>
        </w:rPr>
        <w:t>negociación de los concesionarios de telecomunicaciones, pues ni de</w:t>
      </w:r>
      <w:r>
        <w:rPr>
          <w:rFonts w:ascii="ITC Avant Garde" w:hAnsi="ITC Avant Garde" w:cs="Arial"/>
          <w:bCs/>
          <w:i/>
          <w:sz w:val="18"/>
          <w:szCs w:val="18"/>
        </w:rPr>
        <w:t xml:space="preserve"> </w:t>
      </w:r>
      <w:r w:rsidRPr="00EB5068">
        <w:rPr>
          <w:rFonts w:ascii="ITC Avant Garde" w:hAnsi="ITC Avant Garde" w:cs="Arial"/>
          <w:bCs/>
          <w:i/>
          <w:sz w:val="18"/>
          <w:szCs w:val="18"/>
        </w:rPr>
        <w:t>los artículos de la LFTR o del proceso legislativo que le dio origen, se</w:t>
      </w:r>
      <w:r>
        <w:rPr>
          <w:rFonts w:ascii="ITC Avant Garde" w:hAnsi="ITC Avant Garde" w:cs="Arial"/>
          <w:bCs/>
          <w:i/>
          <w:sz w:val="18"/>
          <w:szCs w:val="18"/>
        </w:rPr>
        <w:t xml:space="preserve"> </w:t>
      </w:r>
      <w:r w:rsidRPr="00EB5068">
        <w:rPr>
          <w:rFonts w:ascii="ITC Avant Garde" w:hAnsi="ITC Avant Garde" w:cs="Arial"/>
          <w:bCs/>
          <w:i/>
          <w:sz w:val="18"/>
          <w:szCs w:val="18"/>
        </w:rPr>
        <w:t>aprecie que fuera intención del legislador establecer una restricción a</w:t>
      </w:r>
      <w:r>
        <w:rPr>
          <w:rFonts w:ascii="ITC Avant Garde" w:hAnsi="ITC Avant Garde" w:cs="Arial"/>
          <w:bCs/>
          <w:i/>
          <w:sz w:val="18"/>
          <w:szCs w:val="18"/>
        </w:rPr>
        <w:t xml:space="preserve"> </w:t>
      </w:r>
      <w:r w:rsidRPr="00EB5068">
        <w:rPr>
          <w:rFonts w:ascii="ITC Avant Garde" w:hAnsi="ITC Avant Garde" w:cs="Arial"/>
          <w:bCs/>
          <w:i/>
          <w:sz w:val="18"/>
          <w:szCs w:val="18"/>
        </w:rPr>
        <w:t>tales prerrogativas, para poder advertir que esa interpretación resulta</w:t>
      </w:r>
      <w:r>
        <w:rPr>
          <w:rFonts w:ascii="ITC Avant Garde" w:hAnsi="ITC Avant Garde" w:cs="Arial"/>
          <w:bCs/>
          <w:i/>
          <w:sz w:val="18"/>
          <w:szCs w:val="18"/>
        </w:rPr>
        <w:t xml:space="preserve"> </w:t>
      </w:r>
      <w:r w:rsidRPr="00EB5068">
        <w:rPr>
          <w:rFonts w:ascii="ITC Avant Garde" w:hAnsi="ITC Avant Garde" w:cs="Arial"/>
          <w:bCs/>
          <w:i/>
          <w:sz w:val="18"/>
          <w:szCs w:val="18"/>
        </w:rPr>
        <w:t>idó</w:t>
      </w:r>
      <w:r>
        <w:rPr>
          <w:rFonts w:ascii="ITC Avant Garde" w:hAnsi="ITC Avant Garde" w:cs="Arial"/>
          <w:bCs/>
          <w:i/>
          <w:sz w:val="18"/>
          <w:szCs w:val="18"/>
        </w:rPr>
        <w:t>nea para entender el alcance de esa disposición transitoria.</w:t>
      </w:r>
    </w:p>
    <w:p w14:paraId="2623A6D2" w14:textId="77777777" w:rsidR="00B04AED" w:rsidRDefault="00B96345" w:rsidP="00B04AED">
      <w:pPr>
        <w:pStyle w:val="Textoindependiente"/>
        <w:numPr>
          <w:ilvl w:val="0"/>
          <w:numId w:val="15"/>
        </w:numPr>
        <w:spacing w:after="200" w:line="276" w:lineRule="auto"/>
        <w:ind w:left="993" w:right="533" w:hanging="284"/>
        <w:rPr>
          <w:rFonts w:ascii="ITC Avant Garde" w:hAnsi="ITC Avant Garde" w:cs="Arial"/>
          <w:bCs/>
          <w:i/>
          <w:sz w:val="18"/>
          <w:szCs w:val="18"/>
        </w:rPr>
      </w:pPr>
      <w:r w:rsidRPr="00B96345">
        <w:rPr>
          <w:rFonts w:ascii="ITC Avant Garde" w:hAnsi="ITC Avant Garde" w:cs="Arial"/>
          <w:bCs/>
          <w:i/>
          <w:sz w:val="18"/>
          <w:szCs w:val="18"/>
        </w:rPr>
        <w:t>Es incorrecto que</w:t>
      </w:r>
      <w:r>
        <w:rPr>
          <w:rFonts w:ascii="ITC Avant Garde" w:hAnsi="ITC Avant Garde" w:cs="Arial"/>
          <w:bCs/>
          <w:i/>
          <w:sz w:val="18"/>
          <w:szCs w:val="18"/>
        </w:rPr>
        <w:t xml:space="preserve"> en </w:t>
      </w:r>
      <w:r w:rsidRPr="00B96345">
        <w:rPr>
          <w:rFonts w:ascii="ITC Avant Garde" w:hAnsi="ITC Avant Garde" w:cs="Arial"/>
          <w:bCs/>
          <w:i/>
          <w:sz w:val="18"/>
          <w:szCs w:val="18"/>
        </w:rPr>
        <w:t>el Acuerdo reclamado se haya</w:t>
      </w:r>
      <w:r>
        <w:rPr>
          <w:rFonts w:ascii="ITC Avant Garde" w:hAnsi="ITC Avant Garde" w:cs="Arial"/>
          <w:bCs/>
          <w:i/>
          <w:sz w:val="18"/>
          <w:szCs w:val="18"/>
        </w:rPr>
        <w:t xml:space="preserve"> </w:t>
      </w:r>
      <w:r w:rsidRPr="00B96345">
        <w:rPr>
          <w:rFonts w:ascii="ITC Avant Garde" w:hAnsi="ITC Avant Garde" w:cs="Arial"/>
          <w:bCs/>
          <w:i/>
          <w:sz w:val="18"/>
          <w:szCs w:val="18"/>
        </w:rPr>
        <w:t>determinado que las tarifas por terminación de tráfico en la red de los</w:t>
      </w:r>
      <w:r>
        <w:rPr>
          <w:rFonts w:ascii="ITC Avant Garde" w:hAnsi="ITC Avant Garde" w:cs="Arial"/>
          <w:bCs/>
          <w:i/>
          <w:sz w:val="18"/>
          <w:szCs w:val="18"/>
        </w:rPr>
        <w:t xml:space="preserve"> </w:t>
      </w:r>
      <w:r w:rsidRPr="00B96345">
        <w:rPr>
          <w:rFonts w:ascii="ITC Avant Garde" w:hAnsi="ITC Avant Garde" w:cs="Arial"/>
          <w:bCs/>
          <w:i/>
          <w:sz w:val="18"/>
          <w:szCs w:val="18"/>
        </w:rPr>
        <w:t>concesionarios distintos del AEP, sólo tendrían efectos a partir del</w:t>
      </w:r>
      <w:r>
        <w:rPr>
          <w:rFonts w:ascii="ITC Avant Garde" w:hAnsi="ITC Avant Garde" w:cs="Arial"/>
          <w:bCs/>
          <w:i/>
          <w:sz w:val="18"/>
          <w:szCs w:val="18"/>
        </w:rPr>
        <w:t xml:space="preserve"> </w:t>
      </w:r>
      <w:r w:rsidRPr="00B96345">
        <w:rPr>
          <w:rFonts w:ascii="ITC Avant Garde" w:hAnsi="ITC Avant Garde" w:cs="Arial"/>
          <w:bCs/>
          <w:i/>
          <w:sz w:val="18"/>
          <w:szCs w:val="18"/>
        </w:rPr>
        <w:t>momento en que el IFT resolviera el desacuerdo respectivo, y hasta el</w:t>
      </w:r>
      <w:r>
        <w:rPr>
          <w:rFonts w:ascii="ITC Avant Garde" w:hAnsi="ITC Avant Garde" w:cs="Arial"/>
          <w:bCs/>
          <w:i/>
          <w:sz w:val="18"/>
          <w:szCs w:val="18"/>
        </w:rPr>
        <w:t xml:space="preserve"> </w:t>
      </w:r>
      <w:r w:rsidRPr="00B96345">
        <w:rPr>
          <w:rFonts w:ascii="ITC Avant Garde" w:hAnsi="ITC Avant Garde" w:cs="Arial"/>
          <w:bCs/>
          <w:i/>
          <w:sz w:val="18"/>
          <w:szCs w:val="18"/>
        </w:rPr>
        <w:t>treinta y uno de diciembre de dos mil quince, pues de acuerdo con la</w:t>
      </w:r>
      <w:r>
        <w:rPr>
          <w:rFonts w:ascii="ITC Avant Garde" w:hAnsi="ITC Avant Garde" w:cs="Arial"/>
          <w:bCs/>
          <w:i/>
          <w:sz w:val="18"/>
          <w:szCs w:val="18"/>
        </w:rPr>
        <w:t xml:space="preserve"> </w:t>
      </w:r>
      <w:r w:rsidRPr="00B96345">
        <w:rPr>
          <w:rFonts w:ascii="ITC Avant Garde" w:hAnsi="ITC Avant Garde" w:cs="Arial"/>
          <w:bCs/>
          <w:i/>
          <w:sz w:val="18"/>
          <w:szCs w:val="18"/>
        </w:rPr>
        <w:t xml:space="preserve">interpretación </w:t>
      </w:r>
      <w:r w:rsidRPr="00B96345">
        <w:rPr>
          <w:rFonts w:ascii="ITC Avant Garde" w:hAnsi="ITC Avant Garde" w:cs="Arial"/>
          <w:bCs/>
          <w:i/>
          <w:sz w:val="18"/>
          <w:szCs w:val="18"/>
        </w:rPr>
        <w:lastRenderedPageBreak/>
        <w:t>armónica del artículo Vigésimo Transitorio, de la LFTR,</w:t>
      </w:r>
      <w:r>
        <w:rPr>
          <w:rFonts w:ascii="ITC Avant Garde" w:hAnsi="ITC Avant Garde" w:cs="Arial"/>
          <w:bCs/>
          <w:i/>
          <w:sz w:val="18"/>
          <w:szCs w:val="18"/>
        </w:rPr>
        <w:t xml:space="preserve"> </w:t>
      </w:r>
      <w:r w:rsidRPr="00B96345">
        <w:rPr>
          <w:rFonts w:ascii="ITC Avant Garde" w:hAnsi="ITC Avant Garde" w:cs="Arial"/>
          <w:bCs/>
          <w:i/>
          <w:sz w:val="18"/>
          <w:szCs w:val="18"/>
        </w:rPr>
        <w:t xml:space="preserve">se </w:t>
      </w:r>
      <w:r>
        <w:rPr>
          <w:rFonts w:ascii="ITC Avant Garde" w:hAnsi="ITC Avant Garde" w:cs="Arial"/>
          <w:bCs/>
          <w:i/>
          <w:sz w:val="18"/>
          <w:szCs w:val="18"/>
        </w:rPr>
        <w:t>colige</w:t>
      </w:r>
      <w:r w:rsidRPr="00B96345">
        <w:rPr>
          <w:rFonts w:ascii="ITC Avant Garde" w:hAnsi="ITC Avant Garde" w:cs="Arial"/>
          <w:bCs/>
          <w:i/>
          <w:sz w:val="18"/>
          <w:szCs w:val="18"/>
        </w:rPr>
        <w:t xml:space="preserve"> que su finalidad no es limitar ni acotar en modo alguno, el</w:t>
      </w:r>
      <w:r>
        <w:rPr>
          <w:rFonts w:ascii="ITC Avant Garde" w:hAnsi="ITC Avant Garde" w:cs="Arial"/>
          <w:bCs/>
          <w:i/>
          <w:sz w:val="18"/>
          <w:szCs w:val="18"/>
        </w:rPr>
        <w:t xml:space="preserve"> </w:t>
      </w:r>
      <w:r w:rsidRPr="00B96345">
        <w:rPr>
          <w:rFonts w:ascii="ITC Avant Garde" w:hAnsi="ITC Avant Garde" w:cs="Arial"/>
          <w:bCs/>
          <w:i/>
          <w:sz w:val="18"/>
          <w:szCs w:val="18"/>
        </w:rPr>
        <w:t>período de vigencia de la tarifa, en grado tal que sólo pudiese tener</w:t>
      </w:r>
      <w:r>
        <w:rPr>
          <w:rFonts w:ascii="ITC Avant Garde" w:hAnsi="ITC Avant Garde" w:cs="Arial"/>
          <w:bCs/>
          <w:i/>
          <w:sz w:val="18"/>
          <w:szCs w:val="18"/>
        </w:rPr>
        <w:t xml:space="preserve"> </w:t>
      </w:r>
      <w:r w:rsidRPr="00B96345">
        <w:rPr>
          <w:rFonts w:ascii="ITC Avant Garde" w:hAnsi="ITC Avant Garde" w:cs="Arial"/>
          <w:bCs/>
          <w:i/>
          <w:sz w:val="18"/>
          <w:szCs w:val="18"/>
        </w:rPr>
        <w:t>efectos a partir de la fecha en que sea emitida la resolución de</w:t>
      </w:r>
      <w:r>
        <w:rPr>
          <w:rFonts w:ascii="ITC Avant Garde" w:hAnsi="ITC Avant Garde" w:cs="Arial"/>
          <w:bCs/>
          <w:i/>
          <w:sz w:val="18"/>
          <w:szCs w:val="18"/>
        </w:rPr>
        <w:t xml:space="preserve"> </w:t>
      </w:r>
      <w:r w:rsidRPr="00B96345">
        <w:rPr>
          <w:rFonts w:ascii="ITC Avant Garde" w:hAnsi="ITC Avant Garde" w:cs="Arial"/>
          <w:bCs/>
          <w:i/>
          <w:sz w:val="18"/>
          <w:szCs w:val="18"/>
        </w:rPr>
        <w:t>desacuerdo.</w:t>
      </w:r>
    </w:p>
    <w:p w14:paraId="29AC9D24" w14:textId="77777777" w:rsidR="00B04AED" w:rsidRDefault="00B96345" w:rsidP="00B04AED">
      <w:pPr>
        <w:pStyle w:val="Textoindependiente"/>
        <w:numPr>
          <w:ilvl w:val="0"/>
          <w:numId w:val="15"/>
        </w:numPr>
        <w:spacing w:after="200" w:line="276" w:lineRule="auto"/>
        <w:ind w:left="993" w:right="533" w:hanging="284"/>
        <w:rPr>
          <w:rFonts w:ascii="ITC Avant Garde" w:hAnsi="ITC Avant Garde" w:cs="Arial"/>
          <w:bCs/>
          <w:i/>
          <w:sz w:val="18"/>
          <w:szCs w:val="18"/>
        </w:rPr>
      </w:pPr>
      <w:r w:rsidRPr="00B96345">
        <w:rPr>
          <w:rFonts w:ascii="ITC Avant Garde" w:hAnsi="ITC Avant Garde" w:cs="Arial"/>
          <w:bCs/>
          <w:i/>
          <w:sz w:val="18"/>
          <w:szCs w:val="18"/>
        </w:rPr>
        <w:t>No existe razón le</w:t>
      </w:r>
      <w:r>
        <w:rPr>
          <w:rFonts w:ascii="ITC Avant Garde" w:hAnsi="ITC Avant Garde" w:cs="Arial"/>
          <w:bCs/>
          <w:i/>
          <w:sz w:val="18"/>
          <w:szCs w:val="18"/>
        </w:rPr>
        <w:t>gal alguna que justifique al IFT</w:t>
      </w:r>
      <w:r w:rsidRPr="00B96345">
        <w:rPr>
          <w:rFonts w:ascii="ITC Avant Garde" w:hAnsi="ITC Avant Garde" w:cs="Arial"/>
          <w:bCs/>
          <w:i/>
          <w:sz w:val="18"/>
          <w:szCs w:val="18"/>
        </w:rPr>
        <w:t xml:space="preserve"> para</w:t>
      </w:r>
      <w:r>
        <w:rPr>
          <w:rFonts w:ascii="ITC Avant Garde" w:hAnsi="ITC Avant Garde" w:cs="Arial"/>
          <w:bCs/>
          <w:i/>
          <w:sz w:val="18"/>
          <w:szCs w:val="18"/>
        </w:rPr>
        <w:t xml:space="preserve"> </w:t>
      </w:r>
      <w:r w:rsidRPr="00B96345">
        <w:rPr>
          <w:rFonts w:ascii="ITC Avant Garde" w:hAnsi="ITC Avant Garde" w:cs="Arial"/>
          <w:bCs/>
          <w:i/>
          <w:sz w:val="18"/>
          <w:szCs w:val="18"/>
        </w:rPr>
        <w:t>que en el Acuerdo reclamado, hubiese limitado la vigencia de las tarifas</w:t>
      </w:r>
      <w:r>
        <w:rPr>
          <w:rFonts w:ascii="ITC Avant Garde" w:hAnsi="ITC Avant Garde" w:cs="Arial"/>
          <w:bCs/>
          <w:i/>
          <w:sz w:val="18"/>
          <w:szCs w:val="18"/>
        </w:rPr>
        <w:t xml:space="preserve"> </w:t>
      </w:r>
      <w:r w:rsidRPr="00B96345">
        <w:rPr>
          <w:rFonts w:ascii="ITC Avant Garde" w:hAnsi="ITC Avant Garde" w:cs="Arial"/>
          <w:bCs/>
          <w:i/>
          <w:sz w:val="18"/>
          <w:szCs w:val="18"/>
        </w:rPr>
        <w:t>correspondientes a la terminación de tráfico en la red de los</w:t>
      </w:r>
      <w:r>
        <w:rPr>
          <w:rFonts w:ascii="ITC Avant Garde" w:hAnsi="ITC Avant Garde" w:cs="Arial"/>
          <w:bCs/>
          <w:i/>
          <w:sz w:val="18"/>
          <w:szCs w:val="18"/>
        </w:rPr>
        <w:t xml:space="preserve"> </w:t>
      </w:r>
      <w:r w:rsidRPr="00B96345">
        <w:rPr>
          <w:rFonts w:ascii="ITC Avant Garde" w:hAnsi="ITC Avant Garde" w:cs="Arial"/>
          <w:bCs/>
          <w:i/>
          <w:sz w:val="18"/>
          <w:szCs w:val="18"/>
        </w:rPr>
        <w:t>concesionarios distintos del AEP, a un lapso comprendido por la fecha</w:t>
      </w:r>
      <w:r>
        <w:rPr>
          <w:rFonts w:ascii="ITC Avant Garde" w:hAnsi="ITC Avant Garde" w:cs="Arial"/>
          <w:bCs/>
          <w:i/>
          <w:sz w:val="18"/>
          <w:szCs w:val="18"/>
        </w:rPr>
        <w:t xml:space="preserve"> </w:t>
      </w:r>
      <w:r w:rsidRPr="00B96345">
        <w:rPr>
          <w:rFonts w:ascii="ITC Avant Garde" w:hAnsi="ITC Avant Garde" w:cs="Arial"/>
          <w:bCs/>
          <w:i/>
          <w:sz w:val="18"/>
          <w:szCs w:val="18"/>
        </w:rPr>
        <w:t>en que se resuelva el desacuerdo y hasta el treinta y uno de diciembre</w:t>
      </w:r>
      <w:r>
        <w:rPr>
          <w:rFonts w:ascii="ITC Avant Garde" w:hAnsi="ITC Avant Garde" w:cs="Arial"/>
          <w:bCs/>
          <w:i/>
          <w:sz w:val="18"/>
          <w:szCs w:val="18"/>
        </w:rPr>
        <w:t xml:space="preserve"> </w:t>
      </w:r>
      <w:r w:rsidRPr="00B96345">
        <w:rPr>
          <w:rFonts w:ascii="ITC Avant Garde" w:hAnsi="ITC Avant Garde" w:cs="Arial"/>
          <w:bCs/>
          <w:i/>
          <w:sz w:val="18"/>
          <w:szCs w:val="18"/>
        </w:rPr>
        <w:t>de dos mil quince.</w:t>
      </w:r>
    </w:p>
    <w:p w14:paraId="6C926C4C" w14:textId="77777777" w:rsidR="00B04AED" w:rsidRDefault="00BB09F0" w:rsidP="00B04AED">
      <w:pPr>
        <w:pStyle w:val="Textoindependiente"/>
        <w:numPr>
          <w:ilvl w:val="0"/>
          <w:numId w:val="15"/>
        </w:numPr>
        <w:spacing w:after="200" w:line="276" w:lineRule="auto"/>
        <w:ind w:left="993" w:right="533" w:hanging="284"/>
        <w:rPr>
          <w:rFonts w:ascii="ITC Avant Garde" w:hAnsi="ITC Avant Garde" w:cs="Arial"/>
          <w:bCs/>
          <w:i/>
          <w:sz w:val="18"/>
          <w:szCs w:val="18"/>
        </w:rPr>
      </w:pPr>
      <w:r w:rsidRPr="00BB09F0">
        <w:rPr>
          <w:rFonts w:ascii="ITC Avant Garde" w:hAnsi="ITC Avant Garde" w:cs="Arial"/>
          <w:bCs/>
          <w:i/>
          <w:sz w:val="18"/>
          <w:szCs w:val="18"/>
        </w:rPr>
        <w:t>De acuerdo a lo anterior se procede en términos de lo</w:t>
      </w:r>
      <w:r>
        <w:rPr>
          <w:rFonts w:ascii="ITC Avant Garde" w:hAnsi="ITC Avant Garde" w:cs="Arial"/>
          <w:bCs/>
          <w:i/>
          <w:sz w:val="18"/>
          <w:szCs w:val="18"/>
        </w:rPr>
        <w:t xml:space="preserve"> </w:t>
      </w:r>
      <w:r w:rsidRPr="00BB09F0">
        <w:rPr>
          <w:rFonts w:ascii="ITC Avant Garde" w:hAnsi="ITC Avant Garde" w:cs="Arial"/>
          <w:bCs/>
          <w:i/>
          <w:sz w:val="18"/>
          <w:szCs w:val="18"/>
        </w:rPr>
        <w:t>previsto en el artículo 76 de la Ley de Amparo, al examen de manera</w:t>
      </w:r>
      <w:r>
        <w:rPr>
          <w:rFonts w:ascii="ITC Avant Garde" w:hAnsi="ITC Avant Garde" w:cs="Arial"/>
          <w:bCs/>
          <w:i/>
          <w:sz w:val="18"/>
          <w:szCs w:val="18"/>
        </w:rPr>
        <w:t xml:space="preserve"> </w:t>
      </w:r>
      <w:r w:rsidRPr="00BB09F0">
        <w:rPr>
          <w:rFonts w:ascii="ITC Avant Garde" w:hAnsi="ITC Avant Garde" w:cs="Arial"/>
          <w:bCs/>
          <w:i/>
          <w:sz w:val="18"/>
          <w:szCs w:val="18"/>
        </w:rPr>
        <w:t>conjunta de los argumentos vertidos por la parte tercera interesada y</w:t>
      </w:r>
      <w:r>
        <w:rPr>
          <w:rFonts w:ascii="ITC Avant Garde" w:hAnsi="ITC Avant Garde" w:cs="Arial"/>
          <w:bCs/>
          <w:i/>
          <w:sz w:val="18"/>
          <w:szCs w:val="18"/>
        </w:rPr>
        <w:t xml:space="preserve"> </w:t>
      </w:r>
      <w:r w:rsidRPr="00BB09F0">
        <w:rPr>
          <w:rFonts w:ascii="ITC Avant Garde" w:hAnsi="ITC Avant Garde" w:cs="Arial"/>
          <w:bCs/>
          <w:i/>
          <w:sz w:val="18"/>
          <w:szCs w:val="18"/>
        </w:rPr>
        <w:t xml:space="preserve">por la autoridad responsable, los que son </w:t>
      </w:r>
      <w:r w:rsidRPr="00BB09F0">
        <w:rPr>
          <w:rFonts w:ascii="ITC Avant Garde" w:hAnsi="ITC Avant Garde" w:cs="Arial"/>
          <w:b/>
          <w:bCs/>
          <w:i/>
          <w:sz w:val="18"/>
          <w:szCs w:val="18"/>
        </w:rPr>
        <w:t>infundados</w:t>
      </w:r>
      <w:r w:rsidRPr="00BB09F0">
        <w:rPr>
          <w:rFonts w:ascii="ITC Avant Garde" w:hAnsi="ITC Avant Garde" w:cs="Arial"/>
          <w:bCs/>
          <w:i/>
          <w:sz w:val="18"/>
          <w:szCs w:val="18"/>
        </w:rPr>
        <w:t>.</w:t>
      </w:r>
    </w:p>
    <w:p w14:paraId="7CCBF322" w14:textId="77777777" w:rsidR="00B04AED" w:rsidRDefault="00BB09F0" w:rsidP="00B04AED">
      <w:pPr>
        <w:pStyle w:val="Textoindependiente"/>
        <w:spacing w:after="200" w:line="276" w:lineRule="auto"/>
        <w:ind w:left="567" w:right="532"/>
        <w:rPr>
          <w:rFonts w:ascii="ITC Avant Garde" w:hAnsi="ITC Avant Garde" w:cs="Arial"/>
          <w:b/>
          <w:bCs/>
          <w:i/>
          <w:sz w:val="18"/>
          <w:szCs w:val="18"/>
        </w:rPr>
      </w:pPr>
      <w:r>
        <w:rPr>
          <w:rFonts w:ascii="ITC Avant Garde" w:hAnsi="ITC Avant Garde" w:cs="Arial"/>
          <w:b/>
          <w:bCs/>
          <w:i/>
          <w:sz w:val="18"/>
          <w:szCs w:val="18"/>
        </w:rPr>
        <w:t>7.2 Síntesis de los argumentos de agravio del recurso principal vertidos por la autoridad recurrente.</w:t>
      </w:r>
    </w:p>
    <w:p w14:paraId="7B634130" w14:textId="77777777" w:rsidR="00B04AED" w:rsidRDefault="00BB09F0" w:rsidP="00B04AED">
      <w:pPr>
        <w:pStyle w:val="Textoindependiente"/>
        <w:spacing w:after="200" w:line="276" w:lineRule="auto"/>
        <w:ind w:left="567" w:right="532"/>
        <w:rPr>
          <w:rFonts w:ascii="ITC Avant Garde" w:hAnsi="ITC Avant Garde" w:cs="Arial"/>
          <w:bCs/>
          <w:i/>
          <w:sz w:val="18"/>
          <w:szCs w:val="18"/>
        </w:rPr>
      </w:pPr>
      <w:r w:rsidRPr="00BB09F0">
        <w:rPr>
          <w:rFonts w:ascii="ITC Avant Garde" w:hAnsi="ITC Avant Garde" w:cs="Arial"/>
          <w:bCs/>
          <w:i/>
          <w:sz w:val="18"/>
          <w:szCs w:val="18"/>
        </w:rPr>
        <w:t>La sentencia dictada por la jue</w:t>
      </w:r>
      <w:r>
        <w:rPr>
          <w:rFonts w:ascii="ITC Avant Garde" w:hAnsi="ITC Avant Garde" w:cs="Arial"/>
          <w:bCs/>
          <w:i/>
          <w:sz w:val="18"/>
          <w:szCs w:val="18"/>
        </w:rPr>
        <w:t xml:space="preserve">za de distrito es violatoria de </w:t>
      </w:r>
      <w:r w:rsidRPr="00BB09F0">
        <w:rPr>
          <w:rFonts w:ascii="ITC Avant Garde" w:hAnsi="ITC Avant Garde" w:cs="Arial"/>
          <w:bCs/>
          <w:i/>
          <w:sz w:val="18"/>
          <w:szCs w:val="18"/>
        </w:rPr>
        <w:t>los principios de congruencia y exhaust</w:t>
      </w:r>
      <w:r>
        <w:rPr>
          <w:rFonts w:ascii="ITC Avant Garde" w:hAnsi="ITC Avant Garde" w:cs="Arial"/>
          <w:bCs/>
          <w:i/>
          <w:sz w:val="18"/>
          <w:szCs w:val="18"/>
        </w:rPr>
        <w:t xml:space="preserve">ividad previstos en el artículo </w:t>
      </w:r>
      <w:r w:rsidRPr="00BB09F0">
        <w:rPr>
          <w:rFonts w:ascii="ITC Avant Garde" w:hAnsi="ITC Avant Garde" w:cs="Arial"/>
          <w:bCs/>
          <w:i/>
          <w:sz w:val="18"/>
          <w:szCs w:val="18"/>
        </w:rPr>
        <w:t>74, fracción IV, y 77 de la Ley de Amparo por lo siguiente:</w:t>
      </w:r>
    </w:p>
    <w:p w14:paraId="198C45CE" w14:textId="77777777" w:rsidR="00B04AED" w:rsidRDefault="00BB09F0" w:rsidP="00B04AED">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t>[…]</w:t>
      </w:r>
    </w:p>
    <w:p w14:paraId="0D0A8A73" w14:textId="77777777" w:rsidR="00B04AED" w:rsidRDefault="00BB09F0" w:rsidP="00B04AED">
      <w:pPr>
        <w:pStyle w:val="Textoindependiente"/>
        <w:spacing w:after="200" w:line="276" w:lineRule="auto"/>
        <w:ind w:left="567" w:right="532"/>
        <w:rPr>
          <w:rFonts w:ascii="ITC Avant Garde" w:hAnsi="ITC Avant Garde" w:cs="Arial"/>
          <w:b/>
          <w:bCs/>
          <w:i/>
          <w:sz w:val="18"/>
          <w:szCs w:val="18"/>
        </w:rPr>
      </w:pPr>
      <w:r>
        <w:rPr>
          <w:rFonts w:ascii="ITC Avant Garde" w:hAnsi="ITC Avant Garde" w:cs="Arial"/>
          <w:b/>
          <w:bCs/>
          <w:i/>
          <w:sz w:val="18"/>
          <w:szCs w:val="18"/>
        </w:rPr>
        <w:t>7.3 Síntesis de los argumentos de agravio del recurso principal vertidos por las terceras interesadas.</w:t>
      </w:r>
    </w:p>
    <w:p w14:paraId="637306F2" w14:textId="77777777" w:rsidR="00B04AED" w:rsidRDefault="00BB09F0" w:rsidP="00B04AED">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t>Los terceros interesados sostienen que la sentencia dictada por la jueza de distrito es violatoria de los artículos 74, 75 y 21 de la Ley de Amparo, y 354 y 355 del Código Federal de Procedimientos Civiles, de aplicación supletoria al primero de los ordenamientos aludidos, por lo siguiente:</w:t>
      </w:r>
    </w:p>
    <w:p w14:paraId="4DC6340F" w14:textId="686E1D9D" w:rsidR="00D65BCC" w:rsidRDefault="00D65BCC" w:rsidP="00B04AED">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t>[…]</w:t>
      </w:r>
    </w:p>
    <w:p w14:paraId="42910B54" w14:textId="77777777" w:rsidR="00B04AED" w:rsidRDefault="00D65BCC" w:rsidP="00B04AED">
      <w:pPr>
        <w:pStyle w:val="Textoindependiente"/>
        <w:spacing w:after="200" w:line="276" w:lineRule="auto"/>
        <w:ind w:left="567" w:right="532"/>
        <w:rPr>
          <w:rFonts w:ascii="ITC Avant Garde" w:hAnsi="ITC Avant Garde" w:cs="Arial"/>
          <w:b/>
          <w:bCs/>
          <w:i/>
          <w:sz w:val="18"/>
          <w:szCs w:val="18"/>
        </w:rPr>
      </w:pPr>
      <w:r>
        <w:rPr>
          <w:rFonts w:ascii="ITC Avant Garde" w:hAnsi="ITC Avant Garde" w:cs="Arial"/>
          <w:b/>
          <w:bCs/>
          <w:i/>
          <w:sz w:val="18"/>
          <w:szCs w:val="18"/>
        </w:rPr>
        <w:t>7.4 Estudio.</w:t>
      </w:r>
    </w:p>
    <w:p w14:paraId="4504C9BE" w14:textId="77777777" w:rsidR="00B04AED" w:rsidRDefault="00D65BCC" w:rsidP="00B04AED">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t xml:space="preserve">Son </w:t>
      </w:r>
      <w:r>
        <w:rPr>
          <w:rFonts w:ascii="ITC Avant Garde" w:hAnsi="ITC Avant Garde" w:cs="Arial"/>
          <w:b/>
          <w:bCs/>
          <w:i/>
          <w:sz w:val="18"/>
          <w:szCs w:val="18"/>
        </w:rPr>
        <w:t>infundados</w:t>
      </w:r>
      <w:r>
        <w:rPr>
          <w:rFonts w:ascii="ITC Avant Garde" w:hAnsi="ITC Avant Garde" w:cs="Arial"/>
          <w:bCs/>
          <w:i/>
          <w:sz w:val="18"/>
          <w:szCs w:val="18"/>
        </w:rPr>
        <w:t xml:space="preserve"> los conceptos de agravio hechos valer por las terceras interesadas y por las autoridades dependientes del IFT, por los motivos que se exponen a continuación.</w:t>
      </w:r>
    </w:p>
    <w:p w14:paraId="4CE51B0D" w14:textId="77777777" w:rsidR="00B04AED" w:rsidRDefault="00D65BCC" w:rsidP="00B04AED">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t>Sobre la interpretación que debe darse al artículo vigésimo transitorio, segundo párrafo de la LFTR, la Segunda Sala de la Suprema Corte de Justicia de la Nación al resolver el amparo en revisión 329/2016, interpuesto por la ahora quejosa (Radiomóvil Dipsa) en sesión de veintiuno de junio de dos mil diecisiete, declaró que el precepto legal aludido.</w:t>
      </w:r>
    </w:p>
    <w:p w14:paraId="4A5123DB" w14:textId="77777777" w:rsidR="00B04AED" w:rsidRDefault="00D65BCC" w:rsidP="00B04AED">
      <w:pPr>
        <w:pStyle w:val="Textoindependiente"/>
        <w:numPr>
          <w:ilvl w:val="0"/>
          <w:numId w:val="16"/>
        </w:numPr>
        <w:spacing w:after="200" w:line="276" w:lineRule="auto"/>
        <w:ind w:right="532" w:hanging="218"/>
        <w:rPr>
          <w:rFonts w:ascii="ITC Avant Garde" w:hAnsi="ITC Avant Garde" w:cs="Arial"/>
          <w:bCs/>
          <w:i/>
          <w:sz w:val="18"/>
          <w:szCs w:val="18"/>
        </w:rPr>
      </w:pPr>
      <w:r>
        <w:rPr>
          <w:rFonts w:ascii="ITC Avant Garde" w:hAnsi="ITC Avant Garde" w:cs="Arial"/>
          <w:bCs/>
          <w:i/>
          <w:sz w:val="18"/>
          <w:szCs w:val="18"/>
        </w:rPr>
        <w:t>No es violatorio de la libertad de comercio, consistente en la fijación de tarifas de interconexión.</w:t>
      </w:r>
    </w:p>
    <w:p w14:paraId="2197BE19" w14:textId="77777777" w:rsidR="00B04AED" w:rsidRDefault="00D65BCC" w:rsidP="00B04AED">
      <w:pPr>
        <w:pStyle w:val="Textoindependiente"/>
        <w:numPr>
          <w:ilvl w:val="0"/>
          <w:numId w:val="16"/>
        </w:numPr>
        <w:spacing w:after="200" w:line="276" w:lineRule="auto"/>
        <w:ind w:right="532" w:hanging="218"/>
        <w:rPr>
          <w:rFonts w:ascii="ITC Avant Garde" w:hAnsi="ITC Avant Garde" w:cs="Arial"/>
          <w:bCs/>
          <w:i/>
          <w:sz w:val="18"/>
          <w:szCs w:val="18"/>
        </w:rPr>
      </w:pPr>
      <w:r>
        <w:rPr>
          <w:rFonts w:ascii="ITC Avant Garde" w:hAnsi="ITC Avant Garde" w:cs="Arial"/>
          <w:bCs/>
          <w:i/>
          <w:sz w:val="18"/>
          <w:szCs w:val="18"/>
        </w:rPr>
        <w:t>Permite que el órgano regulador despliegue y ejerza de manera plena las facultades que constitucional y legalmente tiene asignadas.</w:t>
      </w:r>
    </w:p>
    <w:p w14:paraId="0B88AB14" w14:textId="77777777" w:rsidR="00B04AED" w:rsidRDefault="00D65BCC" w:rsidP="00B04AED">
      <w:pPr>
        <w:pStyle w:val="Textoindependiente"/>
        <w:numPr>
          <w:ilvl w:val="0"/>
          <w:numId w:val="16"/>
        </w:numPr>
        <w:spacing w:after="200" w:line="276" w:lineRule="auto"/>
        <w:ind w:right="532" w:hanging="218"/>
        <w:rPr>
          <w:rFonts w:ascii="ITC Avant Garde" w:hAnsi="ITC Avant Garde" w:cs="Arial"/>
          <w:bCs/>
          <w:i/>
          <w:sz w:val="18"/>
          <w:szCs w:val="18"/>
        </w:rPr>
      </w:pPr>
      <w:r>
        <w:rPr>
          <w:rFonts w:ascii="ITC Avant Garde" w:hAnsi="ITC Avant Garde" w:cs="Arial"/>
          <w:bCs/>
          <w:i/>
          <w:sz w:val="18"/>
          <w:szCs w:val="18"/>
        </w:rPr>
        <w:t>Dota certeza, tanto a los concesionarios, así como a las autoridades y usuarios en general, sobre qué tarifas deben aplicarse hasta que se realice un convenio o el órgano regulador fije las condiciones de interconexión no convenidas.</w:t>
      </w:r>
    </w:p>
    <w:p w14:paraId="2D921424" w14:textId="55647FD3" w:rsidR="00D65BCC" w:rsidRDefault="00D65BCC" w:rsidP="00B04AED">
      <w:pPr>
        <w:pStyle w:val="Textoindependiente"/>
        <w:numPr>
          <w:ilvl w:val="0"/>
          <w:numId w:val="16"/>
        </w:numPr>
        <w:spacing w:after="200" w:line="276" w:lineRule="auto"/>
        <w:ind w:right="532" w:hanging="218"/>
        <w:rPr>
          <w:rFonts w:ascii="ITC Avant Garde" w:hAnsi="ITC Avant Garde" w:cs="Arial"/>
          <w:bCs/>
          <w:i/>
          <w:sz w:val="18"/>
          <w:szCs w:val="18"/>
        </w:rPr>
      </w:pPr>
      <w:r>
        <w:rPr>
          <w:rFonts w:ascii="ITC Avant Garde" w:hAnsi="ITC Avant Garde" w:cs="Arial"/>
          <w:bCs/>
          <w:i/>
          <w:sz w:val="18"/>
          <w:szCs w:val="18"/>
        </w:rPr>
        <w:t xml:space="preserve">Consigna la compensación o “pago por diferencia” que tiene que existir en torno a las tarifas que fueron cobradas antes de celebrado el convenio o previo a que el órgano </w:t>
      </w:r>
      <w:r w:rsidR="00B90BF2">
        <w:rPr>
          <w:rFonts w:ascii="ITC Avant Garde" w:hAnsi="ITC Avant Garde" w:cs="Arial"/>
          <w:bCs/>
          <w:i/>
          <w:sz w:val="18"/>
          <w:szCs w:val="18"/>
        </w:rPr>
        <w:t>regulador</w:t>
      </w:r>
      <w:r>
        <w:rPr>
          <w:rFonts w:ascii="ITC Avant Garde" w:hAnsi="ITC Avant Garde" w:cs="Arial"/>
          <w:bCs/>
          <w:i/>
          <w:sz w:val="18"/>
          <w:szCs w:val="18"/>
        </w:rPr>
        <w:t xml:space="preserve"> fijara las condiciones no convenidas.</w:t>
      </w:r>
    </w:p>
    <w:p w14:paraId="511AB210" w14:textId="77777777" w:rsidR="00B04AED" w:rsidRDefault="00D65BCC" w:rsidP="00B04AED">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t>El Alto Tribunal sostuvo que la disposición transitoria aludida no es violatoria de los derechos mencionados en los puntos aludidos, por lo siguiente:</w:t>
      </w:r>
    </w:p>
    <w:p w14:paraId="62D9EF50" w14:textId="77777777" w:rsidR="00B04AED" w:rsidRDefault="00852DC4" w:rsidP="00B04AED">
      <w:pPr>
        <w:pStyle w:val="Textoindependiente"/>
        <w:spacing w:after="200" w:line="276" w:lineRule="auto"/>
        <w:ind w:left="851" w:right="815"/>
        <w:rPr>
          <w:rFonts w:ascii="ITC Avant Garde" w:hAnsi="ITC Avant Garde" w:cs="Arial"/>
          <w:bCs/>
          <w:i/>
          <w:sz w:val="18"/>
          <w:szCs w:val="18"/>
        </w:rPr>
      </w:pPr>
      <w:r>
        <w:rPr>
          <w:rFonts w:ascii="ITC Avant Garde" w:hAnsi="ITC Avant Garde" w:cs="Arial"/>
          <w:bCs/>
          <w:i/>
          <w:sz w:val="18"/>
          <w:szCs w:val="18"/>
        </w:rPr>
        <w:t xml:space="preserve">“[…] </w:t>
      </w:r>
      <w:r w:rsidRPr="00852DC4">
        <w:rPr>
          <w:rFonts w:ascii="ITC Avant Garde" w:hAnsi="ITC Avant Garde" w:cs="Arial"/>
          <w:bCs/>
          <w:i/>
          <w:sz w:val="18"/>
          <w:szCs w:val="18"/>
        </w:rPr>
        <w:t>es necesario reiterar que el artículo vigésimo transitorio, segundo párrafo, de la Ley Federal de Telecomunicaciones y Radiodifusión, cuya constitucionalidad fue combatida por la quejosa, establece lo siguiente:</w:t>
      </w:r>
    </w:p>
    <w:p w14:paraId="7BD2B7AD" w14:textId="77777777" w:rsidR="00B04AED" w:rsidRDefault="00852DC4" w:rsidP="00B04AED">
      <w:pPr>
        <w:pStyle w:val="Textoindependiente"/>
        <w:spacing w:after="200" w:line="276" w:lineRule="auto"/>
        <w:ind w:left="851" w:right="815"/>
        <w:rPr>
          <w:rFonts w:ascii="ITC Avant Garde" w:hAnsi="ITC Avant Garde" w:cs="Arial"/>
          <w:bCs/>
          <w:i/>
          <w:sz w:val="18"/>
          <w:szCs w:val="18"/>
        </w:rPr>
      </w:pPr>
      <w:r>
        <w:rPr>
          <w:rFonts w:ascii="ITC Avant Garde" w:hAnsi="ITC Avant Garde" w:cs="Arial"/>
          <w:bCs/>
          <w:i/>
          <w:sz w:val="18"/>
          <w:szCs w:val="18"/>
        </w:rPr>
        <w:t>“</w:t>
      </w:r>
      <w:r w:rsidRPr="00852DC4">
        <w:rPr>
          <w:rFonts w:ascii="ITC Avant Garde" w:hAnsi="ITC Avant Garde" w:cs="Arial"/>
          <w:b/>
          <w:bCs/>
          <w:i/>
          <w:sz w:val="18"/>
          <w:szCs w:val="18"/>
        </w:rPr>
        <w:t>Vigésimo</w:t>
      </w:r>
      <w:r w:rsidRPr="00852DC4">
        <w:rPr>
          <w:rFonts w:ascii="ITC Avant Garde" w:hAnsi="ITC Avant Garde" w:cs="Arial"/>
          <w:bCs/>
          <w:i/>
          <w:sz w:val="18"/>
          <w:szCs w:val="18"/>
        </w:rPr>
        <w:t>. (Se transcribe</w:t>
      </w:r>
      <w:r>
        <w:rPr>
          <w:rFonts w:ascii="ITC Avant Garde" w:hAnsi="ITC Avant Garde" w:cs="Arial"/>
          <w:bCs/>
          <w:i/>
          <w:sz w:val="18"/>
          <w:szCs w:val="18"/>
        </w:rPr>
        <w:t xml:space="preserve"> contenido)</w:t>
      </w:r>
      <w:r w:rsidRPr="00852DC4">
        <w:rPr>
          <w:rFonts w:ascii="ITC Avant Garde" w:hAnsi="ITC Avant Garde" w:cs="Arial"/>
          <w:bCs/>
          <w:i/>
          <w:sz w:val="18"/>
          <w:szCs w:val="18"/>
        </w:rPr>
        <w:t>.</w:t>
      </w:r>
    </w:p>
    <w:p w14:paraId="0E6F949E" w14:textId="77777777" w:rsidR="00B04AED" w:rsidRDefault="00852DC4" w:rsidP="00B04AED">
      <w:pPr>
        <w:pStyle w:val="Textoindependiente"/>
        <w:spacing w:after="200"/>
        <w:ind w:left="851" w:right="815"/>
        <w:rPr>
          <w:rFonts w:ascii="ITC Avant Garde" w:hAnsi="ITC Avant Garde" w:cs="Arial"/>
          <w:bCs/>
          <w:i/>
          <w:sz w:val="18"/>
          <w:szCs w:val="18"/>
        </w:rPr>
      </w:pPr>
      <w:r w:rsidRPr="00852DC4">
        <w:rPr>
          <w:rFonts w:ascii="ITC Avant Garde" w:hAnsi="ITC Avant Garde" w:cs="Arial"/>
          <w:bCs/>
          <w:i/>
          <w:sz w:val="18"/>
          <w:szCs w:val="18"/>
        </w:rPr>
        <w:t>Así las cosas, la litis del presente amparo en revisión, consiste en dilucidar el contenido y alcance de la disposición antes transcrita, en tanto los recursos que fueron interpuestos se encuentran encaminados a determinar la interpretación que se debe realizar de la misma.</w:t>
      </w:r>
    </w:p>
    <w:p w14:paraId="01CBFCCC" w14:textId="77777777" w:rsidR="00B04AED" w:rsidRDefault="00852DC4" w:rsidP="00B04AED">
      <w:pPr>
        <w:pStyle w:val="Textoindependiente"/>
        <w:spacing w:after="200"/>
        <w:ind w:left="851" w:right="815"/>
        <w:rPr>
          <w:rFonts w:ascii="ITC Avant Garde" w:hAnsi="ITC Avant Garde" w:cs="Arial"/>
          <w:bCs/>
          <w:i/>
          <w:sz w:val="18"/>
          <w:szCs w:val="18"/>
        </w:rPr>
      </w:pPr>
      <w:r w:rsidRPr="00852DC4">
        <w:rPr>
          <w:rFonts w:ascii="ITC Avant Garde" w:hAnsi="ITC Avant Garde" w:cs="Arial"/>
          <w:bCs/>
          <w:i/>
          <w:sz w:val="18"/>
          <w:szCs w:val="18"/>
        </w:rPr>
        <w:lastRenderedPageBreak/>
        <w:t>Al respecto, debe señalarse en primer término que la disposición objeto de análisis forma parte del sistema normativo por el cual se regula la interconexión entre redes públicas de telecomunicaciones, esto es, junto con otras disposiciones de la propia Ley Federal de Telecomunicaciones y Radiodifusión –entre las que destacan los numerales 124 a 138- tiene como finalidad permitir que los usuarios de diferentes proveedores puedan comunicarse entre sí, para que no exista necesidad de que cada consumidor se encuentre suscrito a los diversos operadores.</w:t>
      </w:r>
    </w:p>
    <w:p w14:paraId="6D598D23" w14:textId="77777777" w:rsidR="00B04AED" w:rsidRDefault="00852DC4" w:rsidP="00B04AED">
      <w:pPr>
        <w:pStyle w:val="Textoindependiente"/>
        <w:spacing w:after="200"/>
        <w:ind w:left="851" w:right="815"/>
        <w:rPr>
          <w:rFonts w:ascii="ITC Avant Garde" w:hAnsi="ITC Avant Garde" w:cs="Arial"/>
          <w:bCs/>
          <w:i/>
          <w:sz w:val="18"/>
          <w:szCs w:val="18"/>
        </w:rPr>
      </w:pPr>
      <w:r w:rsidRPr="00852DC4">
        <w:rPr>
          <w:rFonts w:ascii="ITC Avant Garde" w:hAnsi="ITC Avant Garde" w:cs="Arial"/>
          <w:bCs/>
          <w:i/>
          <w:sz w:val="18"/>
          <w:szCs w:val="18"/>
        </w:rPr>
        <w:t xml:space="preserve">Atendiendo a dicho sistema normativo, cabe señalar que en términos del penúltimo párrafo del artículo 129 de la Ley Federal de Telecomunicaciones y Radiodifusión, cuando las redes públicas de telecomunicaciones de los concesionarios se encuentran interconectadas y con motivo de la terminación de la vigencia de las condiciones puedan acordar nuevas condiciones de interconexión, y no exista acuerdo, las partes deberán presentar la solicitud de resolución del desacuerdo, </w:t>
      </w:r>
      <w:r w:rsidRPr="00852DC4">
        <w:rPr>
          <w:rFonts w:ascii="ITC Avant Garde" w:hAnsi="ITC Avant Garde" w:cs="Arial"/>
          <w:b/>
          <w:bCs/>
          <w:i/>
          <w:sz w:val="18"/>
          <w:szCs w:val="18"/>
        </w:rPr>
        <w:t>a más tardar el quince de julio de cada año</w:t>
      </w:r>
      <w:r w:rsidRPr="00852DC4">
        <w:rPr>
          <w:rFonts w:ascii="ITC Avant Garde" w:hAnsi="ITC Avant Garde" w:cs="Arial"/>
          <w:bCs/>
          <w:i/>
          <w:sz w:val="18"/>
          <w:szCs w:val="18"/>
        </w:rPr>
        <w:t>.</w:t>
      </w:r>
    </w:p>
    <w:p w14:paraId="4F1CC2BF" w14:textId="77777777" w:rsidR="00B04AED" w:rsidRDefault="00852DC4"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 xml:space="preserve">Lo anterior tiene como objeto que el Instituto Federal de Telecomunicaciones pueda resolver, conforme al procedimiento que establece el propio artículo las condiciones no convenidas –incluidas las tarifas-, </w:t>
      </w:r>
      <w:r w:rsidRPr="00852DC4">
        <w:rPr>
          <w:rFonts w:ascii="ITC Avant Garde" w:hAnsi="ITC Avant Garde" w:cs="Arial"/>
          <w:b/>
          <w:bCs/>
          <w:i/>
          <w:sz w:val="18"/>
          <w:szCs w:val="18"/>
        </w:rPr>
        <w:t>antes del quince de diciembre</w:t>
      </w:r>
      <w:r w:rsidRPr="005C3AA9">
        <w:rPr>
          <w:rFonts w:ascii="ITC Avant Garde" w:hAnsi="ITC Avant Garde" w:cs="Arial"/>
          <w:bCs/>
          <w:i/>
          <w:sz w:val="18"/>
          <w:szCs w:val="18"/>
        </w:rPr>
        <w:t>, para que así, las nuevas condiciones inicien su vigencia a partir del primero de enero del año siguiente.</w:t>
      </w:r>
    </w:p>
    <w:p w14:paraId="39521994" w14:textId="77777777" w:rsidR="00B04AED" w:rsidRDefault="00F76DFD"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El anterior esquema se implementó en la ley para evitar aquellas situaciones en las cuales, el desacuerdo de interconexión se resolvía una vez iniciado el periodo en cuestión, o incluso una vez que éste había terminado, generando así escenarios de “pago por diferencias” antes los montos que ya fueron cobrados.</w:t>
      </w:r>
    </w:p>
    <w:p w14:paraId="6C4B7514" w14:textId="77777777" w:rsidR="00B04AED" w:rsidRDefault="00F76DFD"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Sin embargo, el esquema general previsto en la ley implica una problemática particular para la tarifa de dos mil quince, pues siguiendo la lógica del artículo 129 de la Ley Federal de Telecomunicaciones y Radiodifusión, con motivo de la terminación de un convenio de interconexión, los concesionarios tendrían que haber solicitado al Instituto Federal de Telecomunicaciones que fijara las condiciones de interconexión no convenidas</w:t>
      </w:r>
      <w:r w:rsidRPr="00F76DFD">
        <w:rPr>
          <w:rFonts w:ascii="ITC Avant Garde" w:hAnsi="ITC Avant Garde" w:cs="Arial"/>
          <w:b/>
          <w:bCs/>
          <w:i/>
          <w:sz w:val="18"/>
          <w:szCs w:val="18"/>
        </w:rPr>
        <w:t>, a más tardar el quince de julio de dos mil catorce</w:t>
      </w:r>
      <w:r w:rsidRPr="005C3AA9">
        <w:rPr>
          <w:rFonts w:ascii="ITC Avant Garde" w:hAnsi="ITC Avant Garde" w:cs="Arial"/>
          <w:bCs/>
          <w:i/>
          <w:sz w:val="18"/>
          <w:szCs w:val="18"/>
        </w:rPr>
        <w:t>.</w:t>
      </w:r>
    </w:p>
    <w:p w14:paraId="52916501" w14:textId="77777777" w:rsidR="00B04AED" w:rsidRDefault="00F76DFD"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Ello, en consecuencia, resultaba jurídicamente inviable tratándose de los desacuerdos de interconexión suscitados en el año dos mil quince, en tanto la Ley Federal de Telecomunicaciones y Radiodifusión fue publicada en el Diario Oficial de la Federación el catorce de julio de dos mil catorce, pero su artículo primero transitorio señala de manera categórica que el Decreto entraría en vigor a los treinta días naturales siguientes a la publicación.</w:t>
      </w:r>
    </w:p>
    <w:p w14:paraId="652D768D" w14:textId="77777777" w:rsidR="00B04AED" w:rsidRDefault="00F76DFD" w:rsidP="00B04AED">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En otras palabras, el plazo contenido en el numeral 129 de la Ley Federal de Telecomunicaciones y Radiodifusión no podría exigirse para la fijación de las condiciones de dos mil quince, en tanto implicaría la obligación de que los concesionarios presentaran la solicitud cuando aún no estaba en vigor la ley, pues incluso la misma no había sido publicada.</w:t>
      </w:r>
    </w:p>
    <w:p w14:paraId="0D9B5F6D" w14:textId="77777777" w:rsidR="00B04AED" w:rsidRDefault="00F76DFD" w:rsidP="00B04AED">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Es importante advertir que lo anterior solamente implica que para dos mil quince no se podría exigir como requisito, la solicitud de intervención del órgano regulados antes del quince de julio del año anterior, pero el resto de las competencias, plazos y formalidades contenidas en el numeral 129 de la citada ley, si habrán de ser observadas para la determinación de las condiciones no convenidas para el período de dos mil quince.</w:t>
      </w:r>
    </w:p>
    <w:p w14:paraId="09DE9D65" w14:textId="77777777" w:rsidR="00B04AED" w:rsidRDefault="00F76DFD" w:rsidP="00B04AED">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En tales condiciones normativas, frente a la imposibilidad de aplicar los plazos a que se ha hecho referencia, cobran particular relevancia las disposiciones transitorias de la Ley Federal de Telecomunicaciones y Radiodifusión, puesto que tales disposiciones tienen por objeto precisar cómo se tiene que llevar a cabo la transición entre dos sistemas normativos diversos a partir de una reforma constitucional y legal, con la intención de dotar de certeza en las relaciones jurídicas sobre normas aplicables y el modo en que los operadores del sistema deben llevar a cabo el tratamiento de situaciones de posible conflicto.</w:t>
      </w:r>
    </w:p>
    <w:p w14:paraId="54BA0E5E" w14:textId="77777777" w:rsidR="00B04AED" w:rsidRDefault="00F76DFD" w:rsidP="00B04AED">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lastRenderedPageBreak/>
        <w:t>En efecto, la emisión de leyes a lo largo del tiempo, genera la necesidad de crear mecanismos ‘de ajuste’ que permitan regular la sustitución de leyes de manera ordenada. Tales mecanismos son los ‘artículos transitorios’, esto es, disposiciones que contienen una regulación para el traslado ordenado de una regulación a una nueva, especificando cuál es el tratamiento que se debe dar a situaciones jurídicas pendientes o potenciales, para así evitar conflictos normativos o fácticos.</w:t>
      </w:r>
    </w:p>
    <w:p w14:paraId="488A24F4" w14:textId="77777777" w:rsidR="00B04AED" w:rsidRDefault="00F76DFD" w:rsidP="00B04AED">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Sobre este aspecto, el Instituto Federal de Telecomunicaciones, en su recurso de revisión, señala que es posible remitirse al artículo sexto transitorio de la Ley Federal de Telecomunicaciones y Radiodifusión, pues a su consideración, el establece un modo de atender dicha problemática.</w:t>
      </w:r>
    </w:p>
    <w:p w14:paraId="1CD688F9" w14:textId="77777777" w:rsidR="00B04AED" w:rsidRDefault="00F76DFD" w:rsidP="00B04AED">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 xml:space="preserve">Sin embargo, </w:t>
      </w:r>
      <w:r w:rsidRPr="00F76DFD">
        <w:rPr>
          <w:rFonts w:ascii="ITC Avant Garde" w:hAnsi="ITC Avant Garde" w:cs="Arial"/>
          <w:bCs/>
          <w:i/>
          <w:sz w:val="18"/>
          <w:szCs w:val="18"/>
          <w:u w:val="single"/>
        </w:rPr>
        <w:t>la situación en estudio no puede ser resuelta atendiendo al artículo sexto transitorio de la Ley Federal de Telecomunicaciones y Radiodifusión, pues el mismo hace referencia a aquellos asuntos que iniciaron antes de la entrada en vigor de dicha ley federal; es decir, aquellos asuntos y procedimientos regidos por la ley abrogada</w:t>
      </w:r>
      <w:r w:rsidRPr="005C3AA9">
        <w:rPr>
          <w:rFonts w:ascii="ITC Avant Garde" w:hAnsi="ITC Avant Garde" w:cs="Arial"/>
          <w:bCs/>
          <w:i/>
          <w:sz w:val="18"/>
          <w:szCs w:val="18"/>
        </w:rPr>
        <w:t>.</w:t>
      </w:r>
    </w:p>
    <w:p w14:paraId="67B200FA" w14:textId="77777777" w:rsidR="00B04AED" w:rsidRDefault="00CD35B5" w:rsidP="00B04AED">
      <w:pPr>
        <w:pStyle w:val="Textoindependiente"/>
        <w:spacing w:after="200"/>
        <w:ind w:left="851" w:right="815"/>
        <w:rPr>
          <w:rFonts w:ascii="ITC Avant Garde" w:hAnsi="ITC Avant Garde" w:cs="Arial"/>
          <w:bCs/>
          <w:i/>
          <w:sz w:val="18"/>
          <w:szCs w:val="18"/>
        </w:rPr>
      </w:pPr>
      <w:r w:rsidRPr="00CD35B5">
        <w:rPr>
          <w:rFonts w:ascii="ITC Avant Garde" w:hAnsi="ITC Avant Garde" w:cs="Arial"/>
          <w:bCs/>
          <w:i/>
          <w:sz w:val="18"/>
          <w:szCs w:val="18"/>
        </w:rPr>
        <w:t xml:space="preserve">Se trata de un supuesto que no se actualiza en el presente caso, </w:t>
      </w:r>
      <w:r w:rsidRPr="00CD35B5">
        <w:rPr>
          <w:rFonts w:ascii="ITC Avant Garde" w:hAnsi="ITC Avant Garde" w:cs="Arial"/>
          <w:b/>
          <w:bCs/>
          <w:i/>
          <w:sz w:val="18"/>
          <w:szCs w:val="18"/>
        </w:rPr>
        <w:t>pues el procedimiento concerniente a la fijación de las condiciones de interconexión tiene como punto de origen el momento en que inician las negociaciones entre los concesionarios</w:t>
      </w:r>
      <w:r w:rsidRPr="00CD35B5">
        <w:rPr>
          <w:rFonts w:ascii="ITC Avant Garde" w:hAnsi="ITC Avant Garde" w:cs="Arial"/>
          <w:bCs/>
          <w:i/>
          <w:sz w:val="18"/>
          <w:szCs w:val="18"/>
        </w:rPr>
        <w:t>, por lo que tomando en consideración que las negociaciones en este asunto iniciaron en febrero de dos mil quince, resulta claro que no existía un asunto o trámite iniciado antes de la entrada en vigor de la Ley Federal de Telecomunicaciones y Radiodifusión, lo cual impide la aplicación de su artículo sexto transitorio.</w:t>
      </w:r>
    </w:p>
    <w:p w14:paraId="4C4B0FD2" w14:textId="77777777" w:rsidR="00B04AED" w:rsidRDefault="00CD35B5"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 xml:space="preserve">En consideración a lo anterior, esta Segunda Sala advierte que la problemática concerniente a la fijación de las condiciones no convenidas entre concesionarios distintos al preponderante para dos mil quince, tratándose de las tarifas de terminación de tráfico, </w:t>
      </w:r>
      <w:r w:rsidRPr="00CD35B5">
        <w:rPr>
          <w:rFonts w:ascii="ITC Avant Garde" w:hAnsi="ITC Avant Garde" w:cs="Arial"/>
          <w:b/>
          <w:bCs/>
          <w:i/>
          <w:sz w:val="18"/>
          <w:szCs w:val="18"/>
        </w:rPr>
        <w:t xml:space="preserve">debe ser resuelta necesariamente </w:t>
      </w:r>
      <w:r w:rsidRPr="005C3AA9">
        <w:rPr>
          <w:rFonts w:ascii="ITC Avant Garde" w:hAnsi="ITC Avant Garde" w:cs="Arial"/>
          <w:bCs/>
          <w:i/>
          <w:sz w:val="18"/>
          <w:szCs w:val="18"/>
        </w:rPr>
        <w:t>a través de la aplicación del artículo vigésimo, segundo párrafo; que es precisamente el numeral reclamado en el presente asunto.</w:t>
      </w:r>
    </w:p>
    <w:p w14:paraId="10A4114D" w14:textId="77777777" w:rsidR="00B04AED" w:rsidRDefault="00CD35B5"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 xml:space="preserve">Lo anterior es así </w:t>
      </w:r>
      <w:r w:rsidRPr="00CD35B5">
        <w:rPr>
          <w:rFonts w:ascii="ITC Avant Garde" w:hAnsi="ITC Avant Garde" w:cs="Arial"/>
          <w:b/>
          <w:bCs/>
          <w:i/>
          <w:sz w:val="18"/>
          <w:szCs w:val="18"/>
          <w:u w:val="single"/>
        </w:rPr>
        <w:t>porque el campo de aplicación temporal del artículo vigésimo transitorio, segundo párrafo de la Ley Federal de Telecomunicaciones y Radiodifusión, justamente se actualiza para la resolución del desfase entre la necesidad de fijar las condiciones de interconexión no convenidas entre concesionarios, distintos al preponderante, para dos mil quince, y la entrada en vigor de la citada ley federal</w:t>
      </w:r>
      <w:r w:rsidRPr="005C3AA9">
        <w:rPr>
          <w:rFonts w:ascii="ITC Avant Garde" w:hAnsi="ITC Avant Garde" w:cs="Arial"/>
          <w:bCs/>
          <w:i/>
          <w:sz w:val="18"/>
          <w:szCs w:val="18"/>
        </w:rPr>
        <w:t>.</w:t>
      </w:r>
    </w:p>
    <w:p w14:paraId="6D780284" w14:textId="77777777" w:rsidR="00B04AED" w:rsidRDefault="00105157" w:rsidP="00B04AED">
      <w:pPr>
        <w:pStyle w:val="Textoindependiente"/>
        <w:spacing w:after="200"/>
        <w:ind w:left="851" w:right="815"/>
        <w:rPr>
          <w:rFonts w:ascii="ITC Avant Garde" w:hAnsi="ITC Avant Garde" w:cs="Arial"/>
          <w:bCs/>
          <w:i/>
          <w:sz w:val="18"/>
          <w:szCs w:val="18"/>
        </w:rPr>
      </w:pPr>
      <w:r w:rsidRPr="00105157">
        <w:rPr>
          <w:rFonts w:ascii="ITC Avant Garde" w:hAnsi="ITC Avant Garde" w:cs="Arial"/>
          <w:bCs/>
          <w:i/>
          <w:sz w:val="18"/>
          <w:szCs w:val="18"/>
        </w:rPr>
        <w:t xml:space="preserve">Adicionalmente, </w:t>
      </w:r>
      <w:r w:rsidRPr="00105157">
        <w:rPr>
          <w:rFonts w:ascii="ITC Avant Garde" w:hAnsi="ITC Avant Garde" w:cs="Arial"/>
          <w:bCs/>
          <w:i/>
          <w:sz w:val="18"/>
          <w:szCs w:val="18"/>
          <w:u w:val="single"/>
        </w:rPr>
        <w:t xml:space="preserve">por lo que respecta al campo de aplicación material del artículo reclamado, cabe puntualizar, a partir de una interpretación conjunta con el artículo 131 de la propia Ley Federal de Telecomunicaciones y Radiodifusión, que éste se actualiza en relación a las </w:t>
      </w:r>
      <w:r w:rsidRPr="00105157">
        <w:rPr>
          <w:rFonts w:ascii="ITC Avant Garde" w:hAnsi="ITC Avant Garde" w:cs="Arial"/>
          <w:b/>
          <w:bCs/>
          <w:i/>
          <w:sz w:val="18"/>
          <w:szCs w:val="18"/>
          <w:u w:val="single"/>
        </w:rPr>
        <w:t>tarifas de terminación de tráfico</w:t>
      </w:r>
      <w:r w:rsidRPr="00105157">
        <w:rPr>
          <w:rFonts w:ascii="ITC Avant Garde" w:hAnsi="ITC Avant Garde" w:cs="Arial"/>
          <w:bCs/>
          <w:i/>
          <w:sz w:val="18"/>
          <w:szCs w:val="18"/>
          <w:u w:val="single"/>
        </w:rPr>
        <w:t>, aunado a que el mismo se refiere a dos tipos de tarifas, en atención a que la terminación de tráfico sea en la red del agente económico preponderante, o bien, en la red del resto de los concesionarios. En este último supuesto, por disposición del legislador, hasta en tanto no sean acordadas las tarifas de interconexión, o éstas no sean determinadas por el órgano regulador, continuará la vigencia de las que venían pagándose, lo cual presupone que las redes de dichos concesionarios ya se encontraban interconectadas, pues de otro modo no podría hablarse de una tarifa previamente acordada o fijada</w:t>
      </w:r>
      <w:r w:rsidRPr="00105157">
        <w:rPr>
          <w:rFonts w:ascii="ITC Avant Garde" w:hAnsi="ITC Avant Garde" w:cs="Arial"/>
          <w:bCs/>
          <w:i/>
          <w:sz w:val="18"/>
          <w:szCs w:val="18"/>
        </w:rPr>
        <w:t>.</w:t>
      </w:r>
    </w:p>
    <w:p w14:paraId="5A0987BC" w14:textId="77777777" w:rsidR="00B04AED" w:rsidRDefault="00A71863"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 xml:space="preserve">Una vez precisado lo anterior, esta Segunda Sala de la Suprema Corte de Justicia de la Nación, a través </w:t>
      </w:r>
      <w:r w:rsidRPr="00A71863">
        <w:rPr>
          <w:rFonts w:ascii="ITC Avant Garde" w:hAnsi="ITC Avant Garde" w:cs="Arial"/>
          <w:bCs/>
          <w:i/>
          <w:sz w:val="18"/>
          <w:szCs w:val="18"/>
          <w:u w:val="single"/>
        </w:rPr>
        <w:t>de una interpretación sistemática, arriba a la conclusión de que la disposición reclamada es constitucional, en tanto la misma se ajusta a los principios constitucionales, legales y jurisprudenciales del sistema de interconexión en nuestro país</w:t>
      </w:r>
      <w:r w:rsidRPr="005C3AA9">
        <w:rPr>
          <w:rFonts w:ascii="ITC Avant Garde" w:hAnsi="ITC Avant Garde" w:cs="Arial"/>
          <w:bCs/>
          <w:i/>
          <w:sz w:val="18"/>
          <w:szCs w:val="18"/>
        </w:rPr>
        <w:t>, mismos que fueron expuestos en el considerando tercero de la presente sentencia de acuerdo con lo siguiente:</w:t>
      </w:r>
    </w:p>
    <w:p w14:paraId="0681352C" w14:textId="77777777" w:rsidR="00B04AED" w:rsidRDefault="00A71863" w:rsidP="00B04AED">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w:t>
      </w:r>
      <w:r w:rsidRPr="00A71863">
        <w:rPr>
          <w:rFonts w:ascii="ITC Avant Garde" w:hAnsi="ITC Avant Garde" w:cs="Arial"/>
          <w:b/>
          <w:bCs/>
          <w:i/>
          <w:sz w:val="18"/>
          <w:szCs w:val="18"/>
        </w:rPr>
        <w:t>I</w:t>
      </w:r>
      <w:r w:rsidRPr="005C3AA9">
        <w:rPr>
          <w:rFonts w:ascii="ITC Avant Garde" w:hAnsi="ITC Avant Garde" w:cs="Arial"/>
          <w:bCs/>
          <w:i/>
          <w:sz w:val="18"/>
          <w:szCs w:val="18"/>
        </w:rPr>
        <w:t>) En primer término, la disposición es constitucional, debido a que permite que los concesionarios ejerzan su libertad de comercio, consistente en la fijación de tarifas de interconexión.</w:t>
      </w:r>
    </w:p>
    <w:p w14:paraId="566C5858" w14:textId="77777777" w:rsidR="00B04AED" w:rsidRDefault="00A71863" w:rsidP="00B04AED">
      <w:pPr>
        <w:pStyle w:val="Textoindependiente"/>
        <w:spacing w:after="200"/>
        <w:ind w:left="851" w:right="815"/>
        <w:rPr>
          <w:rFonts w:ascii="ITC Avant Garde" w:hAnsi="ITC Avant Garde" w:cs="Arial"/>
          <w:bCs/>
          <w:i/>
          <w:sz w:val="18"/>
          <w:szCs w:val="18"/>
          <w:u w:val="single"/>
        </w:rPr>
      </w:pPr>
      <w:r w:rsidRPr="00234FE8">
        <w:rPr>
          <w:rFonts w:ascii="ITC Avant Garde" w:hAnsi="ITC Avant Garde" w:cs="Arial"/>
          <w:bCs/>
          <w:i/>
          <w:sz w:val="18"/>
          <w:szCs w:val="18"/>
          <w:u w:val="single"/>
        </w:rPr>
        <w:lastRenderedPageBreak/>
        <w:t xml:space="preserve">Como puede advertirse, el artículo vigésimo transitorio, segundo párrafo de la Ley Federal de Telecomunicaciones y Radiodifusión, es constitucional en tanto permite que los concesionarios ejerzan la citada libertad de negociación, dentro de un contexto de transitoriedad normativa. Esto es así porque la disposición reclamada tiene por objeto dirimir cuáles tarifas se aplicarán para los desacuerdos de interconexión de dos mil quince, pero reconoce que </w:t>
      </w:r>
      <w:r w:rsidRPr="00234FE8">
        <w:rPr>
          <w:rFonts w:ascii="ITC Avant Garde" w:hAnsi="ITC Avant Garde" w:cs="Arial"/>
          <w:b/>
          <w:bCs/>
          <w:i/>
          <w:sz w:val="18"/>
          <w:szCs w:val="18"/>
          <w:u w:val="single"/>
        </w:rPr>
        <w:t>hasta en tanto los concesionarios no acuerden las tarifas de interconexión</w:t>
      </w:r>
      <w:r w:rsidRPr="00234FE8">
        <w:rPr>
          <w:rFonts w:ascii="ITC Avant Garde" w:hAnsi="ITC Avant Garde" w:cs="Arial"/>
          <w:bCs/>
          <w:i/>
          <w:sz w:val="18"/>
          <w:szCs w:val="18"/>
          <w:u w:val="single"/>
        </w:rPr>
        <w:t>, o el órgano regulador no resuelva la dispuesta, seguirán en vigor las que se venían aplicando.</w:t>
      </w:r>
    </w:p>
    <w:p w14:paraId="517BCE4F" w14:textId="77777777" w:rsidR="00B04AED" w:rsidRDefault="00A71863"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w:t>
      </w:r>
    </w:p>
    <w:p w14:paraId="32A3755D" w14:textId="77777777" w:rsidR="00B04AED" w:rsidRDefault="00A71863"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 xml:space="preserve">Debiendo reiterar que el hecho de que los concesionarios de redes públicas de telecomunicaciones suscriban un convenio, de ninguna manera implica que el Estado permita que los particulares, en condiciones de mercado, determinen libremente cuáles son las tarifas que se van a establecer, pues incluso las tarifas convenidas entre las partes, se encuentran limitadas por un marco legal. Por tanto, atendiendo al numeral reclamado, </w:t>
      </w:r>
      <w:r w:rsidRPr="003D7216">
        <w:rPr>
          <w:rFonts w:ascii="ITC Avant Garde" w:hAnsi="ITC Avant Garde" w:cs="Arial"/>
          <w:b/>
          <w:bCs/>
          <w:i/>
          <w:sz w:val="18"/>
          <w:szCs w:val="18"/>
        </w:rPr>
        <w:t>no existe una total libertad tarifaria en materia de interconexión</w:t>
      </w:r>
      <w:r w:rsidRPr="005C3AA9">
        <w:rPr>
          <w:rFonts w:ascii="ITC Avant Garde" w:hAnsi="ITC Avant Garde" w:cs="Arial"/>
          <w:bCs/>
          <w:i/>
          <w:sz w:val="18"/>
          <w:szCs w:val="18"/>
        </w:rPr>
        <w:t>, pues incluso las tarifas convenidas entre las partes se encuentran limitadas por un marco legal que ha sido expuesto en la presente sentencia.</w:t>
      </w:r>
    </w:p>
    <w:p w14:paraId="5729DECC" w14:textId="15A694B4" w:rsidR="00A71863" w:rsidRPr="005C3AA9" w:rsidRDefault="00A71863"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w:t>
      </w:r>
      <w:r w:rsidRPr="003012A3">
        <w:rPr>
          <w:rFonts w:ascii="ITC Avant Garde" w:hAnsi="ITC Avant Garde" w:cs="Arial"/>
          <w:b/>
          <w:bCs/>
          <w:i/>
          <w:sz w:val="18"/>
          <w:szCs w:val="18"/>
        </w:rPr>
        <w:t>II</w:t>
      </w:r>
      <w:r w:rsidRPr="005C3AA9">
        <w:rPr>
          <w:rFonts w:ascii="ITC Avant Garde" w:hAnsi="ITC Avant Garde" w:cs="Arial"/>
          <w:bCs/>
          <w:i/>
          <w:sz w:val="18"/>
          <w:szCs w:val="18"/>
        </w:rPr>
        <w:t>) De igual forma, la disposición es constitucional, pues permite que el órgano regulador despliegue y ejerza de manera plena las facultades que constitucional y legalmente tiene asignadas.</w:t>
      </w:r>
    </w:p>
    <w:p w14:paraId="269EE29F" w14:textId="77777777" w:rsidR="00B04AED" w:rsidRDefault="00A71863"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 xml:space="preserve">Lo anterior se debe a que </w:t>
      </w:r>
      <w:r w:rsidRPr="003012A3">
        <w:rPr>
          <w:rFonts w:ascii="ITC Avant Garde" w:hAnsi="ITC Avant Garde" w:cs="Arial"/>
          <w:b/>
          <w:bCs/>
          <w:i/>
          <w:sz w:val="18"/>
          <w:szCs w:val="18"/>
          <w:u w:val="single"/>
        </w:rPr>
        <w:t>el precepto reclamado reconoce que se continuará con las tarifas que se venían aplicando, hasta en tanto los concesionarios no convengan en nuevas condiciones, o el Instituto Federal de Telecomunicaciones fije aquéllas no convenidas</w:t>
      </w:r>
      <w:r w:rsidRPr="005C3AA9">
        <w:rPr>
          <w:rFonts w:ascii="ITC Avant Garde" w:hAnsi="ITC Avant Garde" w:cs="Arial"/>
          <w:bCs/>
          <w:i/>
          <w:sz w:val="18"/>
          <w:szCs w:val="18"/>
        </w:rPr>
        <w:t xml:space="preserve">, reconociendo por tanto la posibilidad de que éste ejerza sus facultades de regulación, las cuales se deben entender en el sentido de que el Instituto puede, en su caso, </w:t>
      </w:r>
      <w:r w:rsidRPr="007A66D3">
        <w:rPr>
          <w:rFonts w:ascii="ITC Avant Garde" w:hAnsi="ITC Avant Garde" w:cs="Arial"/>
          <w:b/>
          <w:bCs/>
          <w:i/>
          <w:sz w:val="18"/>
          <w:szCs w:val="18"/>
        </w:rPr>
        <w:t>fijar las tarifas aplicables a todo dos mil quince</w:t>
      </w:r>
      <w:r w:rsidRPr="005C3AA9">
        <w:rPr>
          <w:rFonts w:ascii="ITC Avant Garde" w:hAnsi="ITC Avant Garde" w:cs="Arial"/>
          <w:bCs/>
          <w:i/>
          <w:sz w:val="18"/>
          <w:szCs w:val="18"/>
        </w:rPr>
        <w:t>, y no solamente las que se cobrarán a partir del dictado de la resolución.</w:t>
      </w:r>
    </w:p>
    <w:p w14:paraId="229F4015" w14:textId="77777777" w:rsidR="00B04AED" w:rsidRDefault="00593364"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 xml:space="preserve">Esto es, </w:t>
      </w:r>
      <w:r w:rsidRPr="00593364">
        <w:rPr>
          <w:rFonts w:ascii="ITC Avant Garde" w:hAnsi="ITC Avant Garde" w:cs="Arial"/>
          <w:bCs/>
          <w:i/>
          <w:sz w:val="18"/>
          <w:szCs w:val="18"/>
          <w:u w:val="single"/>
        </w:rPr>
        <w:t>la expresión “hasta en tanto los concesionarios a que se refiere ese inciso no acuerden las tarifas de interconexión correspondientes”, implica que hasta dicho acuerdo se continuará aplicando la tarifa previamente fijadas para dos mil catorce –por los concesionarios o por el órgano regulador en la fase de desacuerdo-, pero ello no se traduce en que: a) el regulador pueda declinar la resolución del desacuerdo de interconexión que se le presenta para el periodo ya transcurrido de dos mil quince hasta el dictado de su resolución; o b) que pueda resolver el desacuerdo para dos mil quince simplemente aplicando las tarifas de dos mil catorce</w:t>
      </w:r>
      <w:r w:rsidRPr="005C3AA9">
        <w:rPr>
          <w:rFonts w:ascii="ITC Avant Garde" w:hAnsi="ITC Avant Garde" w:cs="Arial"/>
          <w:bCs/>
          <w:i/>
          <w:sz w:val="18"/>
          <w:szCs w:val="18"/>
        </w:rPr>
        <w:t xml:space="preserve"> –con independencia de que al aplicar el modelo de costos correspondiente conforme a la ley vigente, la tarifa pueda coincidir numéricamente con la del año anterior-.</w:t>
      </w:r>
    </w:p>
    <w:p w14:paraId="4DB07731" w14:textId="77777777" w:rsidR="00B04AED" w:rsidRDefault="00593364"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 xml:space="preserve">En otras palabras, </w:t>
      </w:r>
      <w:r w:rsidRPr="00796048">
        <w:rPr>
          <w:rFonts w:ascii="ITC Avant Garde" w:hAnsi="ITC Avant Garde" w:cs="Arial"/>
          <w:b/>
          <w:bCs/>
          <w:i/>
          <w:sz w:val="18"/>
          <w:szCs w:val="18"/>
          <w:u w:val="single"/>
        </w:rPr>
        <w:t>no existe fundamento normativo para afirmar que la nueva tarifa únicamente pueda tener efectos a partir de la celebración del convenio o de la emisión de la resolución del desacuerdo respectivo</w:t>
      </w:r>
      <w:r w:rsidRPr="005C3AA9">
        <w:rPr>
          <w:rFonts w:ascii="ITC Avant Garde" w:hAnsi="ITC Avant Garde" w:cs="Arial"/>
          <w:bCs/>
          <w:i/>
          <w:sz w:val="18"/>
          <w:szCs w:val="18"/>
        </w:rPr>
        <w:t>; por lo tanto el precepto reclamado permite que el órgano regulador fije las condiciones para todo el periodo en cuestión –iniciando en el caso que se analiza el primero de enero-, pudiendo ejercer sus facultades para resolver efectivamente lo planteado por las partes para dos mil quince, a partir de una metodología de costos que en términos de la ley vigente considere por ejemplo, las asimetrías de las redes, la participación de mercado de los concesionarios y cualquier otra variable relevante para determinar el costos de interconexión, tal interpretación es más armónica no solo con el conjunto de normas aplicables en materia de interconexión, sino con la naturaleza regulatoria del Instituto Federal de Telecomunicaciones prevista a nivel constitucional y legal.</w:t>
      </w:r>
    </w:p>
    <w:p w14:paraId="0303EBEA" w14:textId="77777777" w:rsidR="00B04AED" w:rsidRDefault="00593364"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w:t>
      </w:r>
    </w:p>
    <w:p w14:paraId="2BA82C43" w14:textId="77777777" w:rsidR="00B04AED" w:rsidRDefault="00E17489"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w:t>
      </w:r>
      <w:r w:rsidRPr="00260B5F">
        <w:rPr>
          <w:rFonts w:ascii="ITC Avant Garde" w:hAnsi="ITC Avant Garde" w:cs="Arial"/>
          <w:b/>
          <w:bCs/>
          <w:i/>
          <w:sz w:val="18"/>
          <w:szCs w:val="18"/>
        </w:rPr>
        <w:t>III</w:t>
      </w:r>
      <w:r w:rsidRPr="005C3AA9">
        <w:rPr>
          <w:rFonts w:ascii="ITC Avant Garde" w:hAnsi="ITC Avant Garde" w:cs="Arial"/>
          <w:bCs/>
          <w:i/>
          <w:sz w:val="18"/>
          <w:szCs w:val="18"/>
        </w:rPr>
        <w:t>) Por otra parte, la disposición dota de certeza, tanto a los concesionarios, así como a las autoridades y usuarios en general, sobre qué tarifas deben aplicarse hasta que se realice un convenio o el órgano regulador fije las condiciones de interconexión no convenidas; esto es, genera un escenario de previsibilidad –jurídica y económica-. Ante una situación de potencial incertidumbre por un nuevo sistema normativo.</w:t>
      </w:r>
    </w:p>
    <w:p w14:paraId="1C4190B2" w14:textId="77777777" w:rsidR="00B04AED" w:rsidRDefault="00E17489"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lastRenderedPageBreak/>
        <w:t>Sin embargo</w:t>
      </w:r>
      <w:r w:rsidRPr="00260B5F">
        <w:rPr>
          <w:rFonts w:ascii="ITC Avant Garde" w:hAnsi="ITC Avant Garde" w:cs="Arial"/>
          <w:b/>
          <w:bCs/>
          <w:i/>
          <w:sz w:val="18"/>
          <w:szCs w:val="18"/>
          <w:u w:val="single"/>
        </w:rPr>
        <w:t>, cabe recordar que las tarifas que serán aplicables mientras tanto, serán las concernientes a dos mil catorce, esto es, tarifas que ya habían sido acordadas con anterioridad por los mismos concesionarios –o fijadas por el órgano regulador-. En otras palabras, no se impone una tarifa desconocida para los concesionarios, sino que se permite que se continúe con la aplicación de tarifas que durante dos mil catorce ya contaron con la aprobación de los concesionarios –o con la autorización de la autoridad-.</w:t>
      </w:r>
    </w:p>
    <w:p w14:paraId="58F11529" w14:textId="77777777" w:rsidR="00B04AED" w:rsidRDefault="00E17489" w:rsidP="00B04AED">
      <w:pPr>
        <w:pStyle w:val="Textoindependiente"/>
        <w:spacing w:after="200"/>
        <w:ind w:left="851" w:right="815"/>
        <w:rPr>
          <w:rFonts w:ascii="ITC Avant Garde" w:hAnsi="ITC Avant Garde" w:cs="Arial"/>
          <w:bCs/>
          <w:i/>
          <w:sz w:val="18"/>
          <w:szCs w:val="18"/>
        </w:rPr>
      </w:pPr>
      <w:r w:rsidRPr="005C3AA9">
        <w:rPr>
          <w:rFonts w:ascii="ITC Avant Garde" w:hAnsi="ITC Avant Garde" w:cs="Arial"/>
          <w:bCs/>
          <w:i/>
          <w:sz w:val="18"/>
          <w:szCs w:val="18"/>
        </w:rPr>
        <w:t>Por tanto, las tarifas que se continuarán aplicando también implican una observancia al principio de libertad tarifaria, pues se trata de tarifas que en su momento ya fueron acordadas por los concesionarios. Si bien se podría argumentar que tales tarifas fueron acordadas –o fijadas- únicamente con la intención de que fueran aplicadas durante dos mil catorce, sin que se hubiere previsto su posterior aplicación, lo cierto es que tal situación durante dos mil quince permite que existe certeza sobre las condiciones que deberán emplearse hasta en tanto no se fijen las nuevas –ya sea por los concesionarios o por el órgano regulador-, aunado a que esta aplicación no impide que exista un “pago por diferencias” sobre las tarifas efectivamente cobradas, para ajustar los montos a las nuevas condiciones.</w:t>
      </w:r>
    </w:p>
    <w:p w14:paraId="41BB67E1" w14:textId="77777777" w:rsidR="00B04AED" w:rsidRDefault="00883E31" w:rsidP="00B04AED">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w:t>
      </w:r>
      <w:r w:rsidRPr="00883E31">
        <w:rPr>
          <w:rFonts w:ascii="ITC Avant Garde" w:hAnsi="ITC Avant Garde" w:cs="Arial"/>
          <w:b/>
          <w:bCs/>
          <w:i/>
          <w:sz w:val="18"/>
          <w:szCs w:val="18"/>
        </w:rPr>
        <w:t>IV</w:t>
      </w:r>
      <w:r w:rsidRPr="005C3AA9">
        <w:rPr>
          <w:rFonts w:ascii="ITC Avant Garde" w:hAnsi="ITC Avant Garde" w:cs="Arial"/>
          <w:bCs/>
          <w:i/>
          <w:sz w:val="18"/>
          <w:szCs w:val="18"/>
        </w:rPr>
        <w:t xml:space="preserve">) Finalmente, la disposición reclamada es constitucional, en tanto en su interpretación y aplicación se tome en consideración la </w:t>
      </w:r>
      <w:r w:rsidRPr="00883E31">
        <w:rPr>
          <w:rFonts w:ascii="ITC Avant Garde" w:hAnsi="ITC Avant Garde" w:cs="Arial"/>
          <w:b/>
          <w:bCs/>
          <w:i/>
          <w:sz w:val="18"/>
          <w:szCs w:val="18"/>
        </w:rPr>
        <w:t>necesaria compensación</w:t>
      </w:r>
      <w:r w:rsidRPr="005C3AA9">
        <w:rPr>
          <w:rFonts w:ascii="ITC Avant Garde" w:hAnsi="ITC Avant Garde" w:cs="Arial"/>
          <w:bCs/>
          <w:i/>
          <w:sz w:val="18"/>
          <w:szCs w:val="18"/>
        </w:rPr>
        <w:t xml:space="preserve"> o “</w:t>
      </w:r>
      <w:r w:rsidRPr="00883E31">
        <w:rPr>
          <w:rFonts w:ascii="ITC Avant Garde" w:hAnsi="ITC Avant Garde" w:cs="Arial"/>
          <w:b/>
          <w:bCs/>
          <w:i/>
          <w:sz w:val="18"/>
          <w:szCs w:val="18"/>
        </w:rPr>
        <w:t>pago por diferencias</w:t>
      </w:r>
      <w:r w:rsidRPr="005C3AA9">
        <w:rPr>
          <w:rFonts w:ascii="ITC Avant Garde" w:hAnsi="ITC Avant Garde" w:cs="Arial"/>
          <w:bCs/>
          <w:i/>
          <w:sz w:val="18"/>
          <w:szCs w:val="18"/>
        </w:rPr>
        <w:t>” que tiene que existir en torno a las tarifas que fueron cobradas antes de celebrado el convenio o previo a que el órgano regulador fijara las condiciones no convenidas.</w:t>
      </w:r>
    </w:p>
    <w:p w14:paraId="359D019C" w14:textId="77777777" w:rsidR="00B04AED" w:rsidRDefault="00883E31" w:rsidP="00B04AED">
      <w:pPr>
        <w:pStyle w:val="Textoindependiente"/>
        <w:spacing w:after="200" w:line="276" w:lineRule="auto"/>
        <w:ind w:left="851" w:right="815"/>
        <w:rPr>
          <w:rFonts w:ascii="ITC Avant Garde" w:hAnsi="ITC Avant Garde" w:cs="Arial"/>
          <w:bCs/>
          <w:i/>
          <w:sz w:val="18"/>
          <w:szCs w:val="18"/>
        </w:rPr>
      </w:pPr>
      <w:r w:rsidRPr="005C3AA9">
        <w:rPr>
          <w:rFonts w:ascii="ITC Avant Garde" w:hAnsi="ITC Avant Garde" w:cs="Arial"/>
          <w:bCs/>
          <w:i/>
          <w:sz w:val="18"/>
          <w:szCs w:val="18"/>
        </w:rPr>
        <w:t>[…]</w:t>
      </w:r>
      <w:r w:rsidR="00223AAC">
        <w:rPr>
          <w:rFonts w:ascii="ITC Avant Garde" w:hAnsi="ITC Avant Garde" w:cs="Arial"/>
          <w:bCs/>
          <w:i/>
          <w:sz w:val="18"/>
          <w:szCs w:val="18"/>
        </w:rPr>
        <w:t>”</w:t>
      </w:r>
    </w:p>
    <w:p w14:paraId="17E599E7" w14:textId="77777777" w:rsidR="00B04AED" w:rsidRDefault="00223AAC" w:rsidP="00B04AED">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t>De la transcripción de le ejecutoria aludida se aprecia que la Segunda Sala de la Suprema Corte de Justicia de la Nación, señaló, en lo que interesa, lo siguiente:</w:t>
      </w:r>
    </w:p>
    <w:p w14:paraId="715256E8" w14:textId="77777777" w:rsidR="00B04AED" w:rsidRDefault="00223AAC"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Pr>
          <w:rFonts w:ascii="ITC Avant Garde" w:hAnsi="ITC Avant Garde" w:cs="Arial"/>
          <w:bCs/>
          <w:i/>
          <w:sz w:val="18"/>
          <w:szCs w:val="18"/>
        </w:rPr>
        <w:t>Se actualiza “[…] para la resolución del desfase entre la necesidad de fijar las condiciones de interconexión no convenidas entre concesionarios, distintos al preponderante, para dos mil quince, y la entrada en vigor de la citada ley federal.”.</w:t>
      </w:r>
    </w:p>
    <w:p w14:paraId="7F19E7C6" w14:textId="77777777" w:rsidR="00B04AED" w:rsidRDefault="001335FB"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Pr>
          <w:rFonts w:ascii="ITC Avant Garde" w:hAnsi="ITC Avant Garde" w:cs="Arial"/>
          <w:bCs/>
          <w:i/>
          <w:sz w:val="18"/>
          <w:szCs w:val="18"/>
        </w:rPr>
        <w:t xml:space="preserve">En cuanto al campo de aplicación material de la disposición transitoria aludida, a partir de una </w:t>
      </w:r>
      <w:r>
        <w:rPr>
          <w:rFonts w:ascii="ITC Avant Garde" w:hAnsi="ITC Avant Garde" w:cs="Arial"/>
          <w:b/>
          <w:bCs/>
          <w:i/>
          <w:sz w:val="18"/>
          <w:szCs w:val="18"/>
        </w:rPr>
        <w:t>interpretación armónica</w:t>
      </w:r>
      <w:r>
        <w:rPr>
          <w:rFonts w:ascii="ITC Avant Garde" w:hAnsi="ITC Avant Garde" w:cs="Arial"/>
          <w:bCs/>
          <w:i/>
          <w:sz w:val="18"/>
          <w:szCs w:val="18"/>
        </w:rPr>
        <w:t xml:space="preserve"> con el artículo 131 de la LFTR, se actualiza en relación a las tarifas de terminación de tráfico.</w:t>
      </w:r>
    </w:p>
    <w:p w14:paraId="12D386E9" w14:textId="77777777" w:rsidR="00B04AED" w:rsidRDefault="001335FB"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Pr>
          <w:rFonts w:ascii="ITC Avant Garde" w:hAnsi="ITC Avant Garde" w:cs="Arial"/>
          <w:bCs/>
          <w:i/>
          <w:sz w:val="18"/>
          <w:szCs w:val="18"/>
        </w:rPr>
        <w:t>En el precepto legal aludido, se prevén dos tipos de tarifas, en atención a que la terminación de tráfico sea en la red del AEP, o bien, en la red del resto de concesionarios. En este último supuesto, por disposición del legislador, hasta en tanto no sean acordadas las tarifas de interconexión, o éstas no sean determinadas por el IFT; continuará la vigencia de las que venían pagándose, lo cual presupone que las redes de dichos concesionarios ya se encontraban interconectadas, pues de otro modo no podría hablarse de una tarifa previamente acordada o fijada.</w:t>
      </w:r>
    </w:p>
    <w:p w14:paraId="7CB3C650" w14:textId="77777777" w:rsidR="00B04AED" w:rsidRDefault="00CF2E52"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Pr>
          <w:rFonts w:ascii="ITC Avant Garde" w:hAnsi="ITC Avant Garde" w:cs="Arial"/>
          <w:bCs/>
          <w:i/>
          <w:sz w:val="18"/>
          <w:szCs w:val="18"/>
        </w:rPr>
        <w:t xml:space="preserve">De </w:t>
      </w:r>
      <w:r>
        <w:rPr>
          <w:rFonts w:ascii="ITC Avant Garde" w:hAnsi="ITC Avant Garde" w:cs="Arial"/>
          <w:b/>
          <w:bCs/>
          <w:i/>
          <w:sz w:val="18"/>
          <w:szCs w:val="18"/>
        </w:rPr>
        <w:t>una interpretación sistemática</w:t>
      </w:r>
      <w:r>
        <w:rPr>
          <w:rFonts w:ascii="ITC Avant Garde" w:hAnsi="ITC Avant Garde" w:cs="Arial"/>
          <w:bCs/>
          <w:i/>
          <w:sz w:val="18"/>
          <w:szCs w:val="18"/>
        </w:rPr>
        <w:t xml:space="preserve"> la disposición transitoria mencionada es constitucional, pues se ajusta a los principios constitucionales, legales y jurisprudenciales del sistema de interconexión en nuestro país.</w:t>
      </w:r>
    </w:p>
    <w:p w14:paraId="04A30650" w14:textId="77777777" w:rsidR="00B04AED" w:rsidRDefault="00CF2E52"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Pr>
          <w:rFonts w:ascii="ITC Avant Garde" w:hAnsi="ITC Avant Garde" w:cs="Arial"/>
          <w:bCs/>
          <w:i/>
          <w:sz w:val="18"/>
          <w:szCs w:val="18"/>
        </w:rPr>
        <w:t>El procedi</w:t>
      </w:r>
      <w:r w:rsidRPr="00CF2E52">
        <w:rPr>
          <w:rFonts w:ascii="ITC Avant Garde" w:hAnsi="ITC Avant Garde" w:cs="Arial"/>
          <w:bCs/>
          <w:i/>
          <w:sz w:val="18"/>
          <w:szCs w:val="18"/>
        </w:rPr>
        <w:t>miento concerniente a la fijación de las</w:t>
      </w:r>
      <w:r>
        <w:rPr>
          <w:rFonts w:ascii="ITC Avant Garde" w:hAnsi="ITC Avant Garde" w:cs="Arial"/>
          <w:bCs/>
          <w:i/>
          <w:sz w:val="18"/>
          <w:szCs w:val="18"/>
        </w:rPr>
        <w:t xml:space="preserve"> </w:t>
      </w:r>
      <w:r w:rsidRPr="00CF2E52">
        <w:rPr>
          <w:rFonts w:ascii="ITC Avant Garde" w:hAnsi="ITC Avant Garde" w:cs="Arial"/>
          <w:bCs/>
          <w:i/>
          <w:sz w:val="18"/>
          <w:szCs w:val="18"/>
        </w:rPr>
        <w:t>condiciones de interconexión tiene como punto de origen el momento</w:t>
      </w:r>
      <w:r>
        <w:rPr>
          <w:rFonts w:ascii="ITC Avant Garde" w:hAnsi="ITC Avant Garde" w:cs="Arial"/>
          <w:bCs/>
          <w:i/>
          <w:sz w:val="18"/>
          <w:szCs w:val="18"/>
        </w:rPr>
        <w:t xml:space="preserve"> </w:t>
      </w:r>
      <w:r w:rsidRPr="00CF2E52">
        <w:rPr>
          <w:rFonts w:ascii="ITC Avant Garde" w:hAnsi="ITC Avant Garde" w:cs="Arial"/>
          <w:bCs/>
          <w:i/>
          <w:sz w:val="18"/>
          <w:szCs w:val="18"/>
        </w:rPr>
        <w:t>en que inician las negociaciones entre los concesionarios.</w:t>
      </w:r>
    </w:p>
    <w:p w14:paraId="18873036" w14:textId="77777777" w:rsidR="00B04AED" w:rsidRDefault="00CF2E52"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sidRPr="00CF2E52">
        <w:rPr>
          <w:rFonts w:ascii="ITC Avant Garde" w:hAnsi="ITC Avant Garde" w:cs="Arial"/>
          <w:bCs/>
          <w:i/>
          <w:sz w:val="18"/>
          <w:szCs w:val="18"/>
        </w:rPr>
        <w:t>El artículo vigésimo transitorio, segundo párrafo, de la</w:t>
      </w:r>
      <w:r>
        <w:rPr>
          <w:rFonts w:ascii="ITC Avant Garde" w:hAnsi="ITC Avant Garde" w:cs="Arial"/>
          <w:bCs/>
          <w:i/>
          <w:sz w:val="18"/>
          <w:szCs w:val="18"/>
        </w:rPr>
        <w:t xml:space="preserve"> </w:t>
      </w:r>
      <w:r w:rsidRPr="00CF2E52">
        <w:rPr>
          <w:rFonts w:ascii="ITC Avant Garde" w:hAnsi="ITC Avant Garde" w:cs="Arial"/>
          <w:bCs/>
          <w:i/>
          <w:sz w:val="18"/>
          <w:szCs w:val="18"/>
        </w:rPr>
        <w:t>LFTR, permite que los concesionarios ejerzan la citada libertad de</w:t>
      </w:r>
      <w:r>
        <w:rPr>
          <w:rFonts w:ascii="ITC Avant Garde" w:hAnsi="ITC Avant Garde" w:cs="Arial"/>
          <w:bCs/>
          <w:i/>
          <w:sz w:val="18"/>
          <w:szCs w:val="18"/>
        </w:rPr>
        <w:t xml:space="preserve"> </w:t>
      </w:r>
      <w:r w:rsidRPr="00CF2E52">
        <w:rPr>
          <w:rFonts w:ascii="ITC Avant Garde" w:hAnsi="ITC Avant Garde" w:cs="Arial"/>
          <w:bCs/>
          <w:i/>
          <w:sz w:val="18"/>
          <w:szCs w:val="18"/>
        </w:rPr>
        <w:t>negociación, dentro de un contex</w:t>
      </w:r>
      <w:r>
        <w:rPr>
          <w:rFonts w:ascii="ITC Avant Garde" w:hAnsi="ITC Avant Garde" w:cs="Arial"/>
          <w:bCs/>
          <w:i/>
          <w:sz w:val="18"/>
          <w:szCs w:val="18"/>
        </w:rPr>
        <w:t xml:space="preserve">to de transitoriedad normativa. </w:t>
      </w:r>
      <w:r w:rsidRPr="00CF2E52">
        <w:rPr>
          <w:rFonts w:ascii="ITC Avant Garde" w:hAnsi="ITC Avant Garde" w:cs="Arial"/>
          <w:bCs/>
          <w:i/>
          <w:sz w:val="18"/>
          <w:szCs w:val="18"/>
        </w:rPr>
        <w:t>Esto es</w:t>
      </w:r>
      <w:r>
        <w:rPr>
          <w:rFonts w:ascii="ITC Avant Garde" w:hAnsi="ITC Avant Garde" w:cs="Arial"/>
          <w:bCs/>
          <w:i/>
          <w:sz w:val="18"/>
          <w:szCs w:val="18"/>
        </w:rPr>
        <w:t xml:space="preserve"> </w:t>
      </w:r>
      <w:r w:rsidRPr="00CF2E52">
        <w:rPr>
          <w:rFonts w:ascii="ITC Avant Garde" w:hAnsi="ITC Avant Garde" w:cs="Arial"/>
          <w:bCs/>
          <w:i/>
          <w:sz w:val="18"/>
          <w:szCs w:val="18"/>
        </w:rPr>
        <w:t>así porque la disposición aludida tiene por objeto dirimir cuáles tarifas</w:t>
      </w:r>
      <w:r>
        <w:rPr>
          <w:rFonts w:ascii="ITC Avant Garde" w:hAnsi="ITC Avant Garde" w:cs="Arial"/>
          <w:bCs/>
          <w:i/>
          <w:sz w:val="18"/>
          <w:szCs w:val="18"/>
        </w:rPr>
        <w:t xml:space="preserve"> </w:t>
      </w:r>
      <w:r w:rsidRPr="00CF2E52">
        <w:rPr>
          <w:rFonts w:ascii="ITC Avant Garde" w:hAnsi="ITC Avant Garde" w:cs="Arial"/>
          <w:bCs/>
          <w:i/>
          <w:sz w:val="18"/>
          <w:szCs w:val="18"/>
        </w:rPr>
        <w:t>se aplicarán para los desacuerdos de interconexión de dos mil quince,</w:t>
      </w:r>
      <w:r>
        <w:rPr>
          <w:rFonts w:ascii="ITC Avant Garde" w:hAnsi="ITC Avant Garde" w:cs="Arial"/>
          <w:bCs/>
          <w:i/>
          <w:sz w:val="18"/>
          <w:szCs w:val="18"/>
        </w:rPr>
        <w:t xml:space="preserve"> </w:t>
      </w:r>
      <w:r w:rsidRPr="00CF2E52">
        <w:rPr>
          <w:rFonts w:ascii="ITC Avant Garde" w:hAnsi="ITC Avant Garde" w:cs="Arial"/>
          <w:b/>
          <w:bCs/>
          <w:i/>
          <w:sz w:val="18"/>
          <w:szCs w:val="18"/>
        </w:rPr>
        <w:t xml:space="preserve">pero </w:t>
      </w:r>
      <w:r>
        <w:rPr>
          <w:rFonts w:ascii="ITC Avant Garde" w:hAnsi="ITC Avant Garde" w:cs="Arial"/>
          <w:b/>
          <w:bCs/>
          <w:i/>
          <w:sz w:val="18"/>
          <w:szCs w:val="18"/>
        </w:rPr>
        <w:t>reconoce que hasta en tanto lo</w:t>
      </w:r>
      <w:r w:rsidR="002F3CDE">
        <w:rPr>
          <w:rFonts w:ascii="ITC Avant Garde" w:hAnsi="ITC Avant Garde" w:cs="Arial"/>
          <w:b/>
          <w:bCs/>
          <w:i/>
          <w:sz w:val="18"/>
          <w:szCs w:val="18"/>
        </w:rPr>
        <w:t>s</w:t>
      </w:r>
      <w:r>
        <w:rPr>
          <w:rFonts w:ascii="ITC Avant Garde" w:hAnsi="ITC Avant Garde" w:cs="Arial"/>
          <w:b/>
          <w:bCs/>
          <w:i/>
          <w:sz w:val="18"/>
          <w:szCs w:val="18"/>
        </w:rPr>
        <w:t xml:space="preserve"> </w:t>
      </w:r>
      <w:r w:rsidRPr="00CF2E52">
        <w:rPr>
          <w:rFonts w:ascii="ITC Avant Garde" w:hAnsi="ITC Avant Garde" w:cs="Arial"/>
          <w:b/>
          <w:bCs/>
          <w:i/>
          <w:sz w:val="18"/>
          <w:szCs w:val="18"/>
        </w:rPr>
        <w:t>concesionarios no acuerden</w:t>
      </w:r>
      <w:r>
        <w:rPr>
          <w:rFonts w:ascii="ITC Avant Garde" w:hAnsi="ITC Avant Garde" w:cs="Arial"/>
          <w:bCs/>
          <w:i/>
          <w:sz w:val="18"/>
          <w:szCs w:val="18"/>
        </w:rPr>
        <w:t xml:space="preserve"> </w:t>
      </w:r>
      <w:r w:rsidRPr="00CF2E52">
        <w:rPr>
          <w:rFonts w:ascii="ITC Avant Garde" w:hAnsi="ITC Avant Garde" w:cs="Arial"/>
          <w:b/>
          <w:bCs/>
          <w:i/>
          <w:sz w:val="18"/>
          <w:szCs w:val="18"/>
        </w:rPr>
        <w:t>las tarifas de interconexión, o el órgano regulador no resuelva la</w:t>
      </w:r>
      <w:r>
        <w:rPr>
          <w:rFonts w:ascii="ITC Avant Garde" w:hAnsi="ITC Avant Garde" w:cs="Arial"/>
          <w:bCs/>
          <w:i/>
          <w:sz w:val="18"/>
          <w:szCs w:val="18"/>
        </w:rPr>
        <w:t xml:space="preserve"> </w:t>
      </w:r>
      <w:r w:rsidRPr="00CF2E52">
        <w:rPr>
          <w:rFonts w:ascii="ITC Avant Garde" w:hAnsi="ITC Avant Garde" w:cs="Arial"/>
          <w:b/>
          <w:bCs/>
          <w:i/>
          <w:sz w:val="18"/>
          <w:szCs w:val="18"/>
        </w:rPr>
        <w:t xml:space="preserve">disputa, seguirán en vigor las que se venían aplicando, </w:t>
      </w:r>
      <w:r w:rsidRPr="00CF2E52">
        <w:rPr>
          <w:rFonts w:ascii="ITC Avant Garde" w:hAnsi="ITC Avant Garde" w:cs="Arial"/>
          <w:bCs/>
          <w:i/>
          <w:sz w:val="18"/>
          <w:szCs w:val="18"/>
        </w:rPr>
        <w:t>ello en</w:t>
      </w:r>
      <w:r>
        <w:rPr>
          <w:rFonts w:ascii="ITC Avant Garde" w:hAnsi="ITC Avant Garde" w:cs="Arial"/>
          <w:bCs/>
          <w:i/>
          <w:sz w:val="18"/>
          <w:szCs w:val="18"/>
        </w:rPr>
        <w:t xml:space="preserve"> </w:t>
      </w:r>
      <w:r w:rsidRPr="00CF2E52">
        <w:rPr>
          <w:rFonts w:ascii="ITC Avant Garde" w:hAnsi="ITC Avant Garde" w:cs="Arial"/>
          <w:bCs/>
          <w:i/>
          <w:sz w:val="18"/>
          <w:szCs w:val="18"/>
        </w:rPr>
        <w:lastRenderedPageBreak/>
        <w:t>obse</w:t>
      </w:r>
      <w:r>
        <w:rPr>
          <w:rFonts w:ascii="ITC Avant Garde" w:hAnsi="ITC Avant Garde" w:cs="Arial"/>
          <w:bCs/>
          <w:i/>
          <w:sz w:val="18"/>
          <w:szCs w:val="18"/>
        </w:rPr>
        <w:t xml:space="preserve">rvancia a la libertad tarifaría como </w:t>
      </w:r>
      <w:r w:rsidRPr="00CF2E52">
        <w:rPr>
          <w:rFonts w:ascii="ITC Avant Garde" w:hAnsi="ITC Avant Garde" w:cs="Arial"/>
          <w:bCs/>
          <w:i/>
          <w:sz w:val="18"/>
          <w:szCs w:val="18"/>
        </w:rPr>
        <w:t>elemento central en el régimen</w:t>
      </w:r>
      <w:r>
        <w:rPr>
          <w:rFonts w:ascii="ITC Avant Garde" w:hAnsi="ITC Avant Garde" w:cs="Arial"/>
          <w:bCs/>
          <w:i/>
          <w:sz w:val="18"/>
          <w:szCs w:val="18"/>
        </w:rPr>
        <w:t xml:space="preserve"> </w:t>
      </w:r>
      <w:r w:rsidRPr="00CF2E52">
        <w:rPr>
          <w:rFonts w:ascii="ITC Avant Garde" w:hAnsi="ITC Avant Garde" w:cs="Arial"/>
          <w:bCs/>
          <w:i/>
          <w:sz w:val="18"/>
          <w:szCs w:val="18"/>
        </w:rPr>
        <w:t>transitorio examinado.</w:t>
      </w:r>
    </w:p>
    <w:p w14:paraId="689F9607" w14:textId="77777777" w:rsidR="00B04AED" w:rsidRDefault="002F3CDE"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sidRPr="002F3CDE">
        <w:rPr>
          <w:rFonts w:ascii="ITC Avant Garde" w:hAnsi="ITC Avant Garde" w:cs="Arial"/>
          <w:bCs/>
          <w:i/>
          <w:sz w:val="18"/>
          <w:szCs w:val="18"/>
        </w:rPr>
        <w:t>La expres</w:t>
      </w:r>
      <w:r>
        <w:rPr>
          <w:rFonts w:ascii="ITC Avant Garde" w:hAnsi="ITC Avant Garde" w:cs="Arial"/>
          <w:bCs/>
          <w:i/>
          <w:sz w:val="18"/>
          <w:szCs w:val="18"/>
        </w:rPr>
        <w:t>ión "hasta en tanto</w:t>
      </w:r>
      <w:r w:rsidRPr="002F3CDE">
        <w:rPr>
          <w:rFonts w:ascii="ITC Avant Garde" w:hAnsi="ITC Avant Garde" w:cs="Arial"/>
          <w:bCs/>
          <w:i/>
          <w:sz w:val="18"/>
          <w:szCs w:val="18"/>
        </w:rPr>
        <w:t>, los concesionarios a que</w:t>
      </w:r>
      <w:r>
        <w:rPr>
          <w:rFonts w:ascii="ITC Avant Garde" w:hAnsi="ITC Avant Garde" w:cs="Arial"/>
          <w:bCs/>
          <w:i/>
          <w:sz w:val="18"/>
          <w:szCs w:val="18"/>
        </w:rPr>
        <w:t xml:space="preserve"> </w:t>
      </w:r>
      <w:r w:rsidRPr="002F3CDE">
        <w:rPr>
          <w:rFonts w:ascii="ITC Avant Garde" w:hAnsi="ITC Avant Garde" w:cs="Arial"/>
          <w:bCs/>
          <w:i/>
          <w:sz w:val="18"/>
          <w:szCs w:val="18"/>
        </w:rPr>
        <w:t>se refiere ese inciso no acuerden las tarifas de interconexión</w:t>
      </w:r>
      <w:r>
        <w:rPr>
          <w:rFonts w:ascii="ITC Avant Garde" w:hAnsi="ITC Avant Garde" w:cs="Arial"/>
          <w:bCs/>
          <w:i/>
          <w:sz w:val="18"/>
          <w:szCs w:val="18"/>
        </w:rPr>
        <w:t xml:space="preserve"> </w:t>
      </w:r>
      <w:r w:rsidRPr="002F3CDE">
        <w:rPr>
          <w:rFonts w:ascii="ITC Avant Garde" w:hAnsi="ITC Avant Garde" w:cs="Arial"/>
          <w:bCs/>
          <w:i/>
          <w:sz w:val="18"/>
          <w:szCs w:val="18"/>
        </w:rPr>
        <w:t>correspondientes", imp</w:t>
      </w:r>
      <w:r>
        <w:rPr>
          <w:rFonts w:ascii="ITC Avant Garde" w:hAnsi="ITC Avant Garde" w:cs="Arial"/>
          <w:bCs/>
          <w:i/>
          <w:sz w:val="18"/>
          <w:szCs w:val="18"/>
        </w:rPr>
        <w:t>lica que hasta dicho acuerdo se</w:t>
      </w:r>
      <w:r w:rsidRPr="002F3CDE">
        <w:rPr>
          <w:rFonts w:ascii="ITC Avant Garde" w:hAnsi="ITC Avant Garde" w:cs="Arial"/>
          <w:bCs/>
          <w:i/>
          <w:sz w:val="18"/>
          <w:szCs w:val="18"/>
        </w:rPr>
        <w:t xml:space="preserve"> continuará</w:t>
      </w:r>
      <w:r>
        <w:rPr>
          <w:rFonts w:ascii="ITC Avant Garde" w:hAnsi="ITC Avant Garde" w:cs="Arial"/>
          <w:bCs/>
          <w:i/>
          <w:sz w:val="18"/>
          <w:szCs w:val="18"/>
        </w:rPr>
        <w:t xml:space="preserve"> </w:t>
      </w:r>
      <w:r w:rsidRPr="002F3CDE">
        <w:rPr>
          <w:rFonts w:ascii="ITC Avant Garde" w:hAnsi="ITC Avant Garde" w:cs="Arial"/>
          <w:bCs/>
          <w:i/>
          <w:sz w:val="18"/>
          <w:szCs w:val="18"/>
        </w:rPr>
        <w:t>aplicando la tarifa previamente fijada para dos mil catorce -por los</w:t>
      </w:r>
      <w:r>
        <w:rPr>
          <w:rFonts w:ascii="ITC Avant Garde" w:hAnsi="ITC Avant Garde" w:cs="Arial"/>
          <w:bCs/>
          <w:i/>
          <w:sz w:val="18"/>
          <w:szCs w:val="18"/>
        </w:rPr>
        <w:t xml:space="preserve"> </w:t>
      </w:r>
      <w:r w:rsidRPr="002F3CDE">
        <w:rPr>
          <w:rFonts w:ascii="ITC Avant Garde" w:hAnsi="ITC Avant Garde" w:cs="Arial"/>
          <w:bCs/>
          <w:i/>
          <w:sz w:val="18"/>
          <w:szCs w:val="18"/>
        </w:rPr>
        <w:t>concesionarios o por el órgano regulador</w:t>
      </w:r>
      <w:r>
        <w:rPr>
          <w:rFonts w:ascii="ITC Avant Garde" w:hAnsi="ITC Avant Garde" w:cs="Arial"/>
          <w:bCs/>
          <w:i/>
          <w:sz w:val="18"/>
          <w:szCs w:val="18"/>
        </w:rPr>
        <w:t xml:space="preserve"> en la fase de desacuerdo-. Lo </w:t>
      </w:r>
      <w:r w:rsidRPr="002F3CDE">
        <w:rPr>
          <w:rFonts w:ascii="ITC Avant Garde" w:hAnsi="ITC Avant Garde" w:cs="Arial"/>
          <w:bCs/>
          <w:i/>
          <w:sz w:val="18"/>
          <w:szCs w:val="18"/>
        </w:rPr>
        <w:t>anterior no implica que: a) el regulador pueda declinar la resolución del</w:t>
      </w:r>
      <w:r>
        <w:rPr>
          <w:rFonts w:ascii="ITC Avant Garde" w:hAnsi="ITC Avant Garde" w:cs="Arial"/>
          <w:bCs/>
          <w:i/>
          <w:sz w:val="18"/>
          <w:szCs w:val="18"/>
        </w:rPr>
        <w:t xml:space="preserve"> </w:t>
      </w:r>
      <w:r w:rsidRPr="002F3CDE">
        <w:rPr>
          <w:rFonts w:ascii="ITC Avant Garde" w:hAnsi="ITC Avant Garde" w:cs="Arial"/>
          <w:bCs/>
          <w:i/>
          <w:sz w:val="18"/>
          <w:szCs w:val="18"/>
        </w:rPr>
        <w:t>desacuerdo de interconexión que se le presenta para el período ya</w:t>
      </w:r>
      <w:r>
        <w:rPr>
          <w:rFonts w:ascii="ITC Avant Garde" w:hAnsi="ITC Avant Garde" w:cs="Arial"/>
          <w:bCs/>
          <w:i/>
          <w:sz w:val="18"/>
          <w:szCs w:val="18"/>
        </w:rPr>
        <w:t xml:space="preserve"> </w:t>
      </w:r>
      <w:r w:rsidRPr="002F3CDE">
        <w:rPr>
          <w:rFonts w:ascii="ITC Avant Garde" w:hAnsi="ITC Avant Garde" w:cs="Arial"/>
          <w:bCs/>
          <w:i/>
          <w:sz w:val="18"/>
          <w:szCs w:val="18"/>
        </w:rPr>
        <w:t>transcurrido de dos mil quince hasta el dictado de su resolución; o b)</w:t>
      </w:r>
      <w:r>
        <w:rPr>
          <w:rFonts w:ascii="ITC Avant Garde" w:hAnsi="ITC Avant Garde" w:cs="Arial"/>
          <w:bCs/>
          <w:i/>
          <w:sz w:val="18"/>
          <w:szCs w:val="18"/>
        </w:rPr>
        <w:t xml:space="preserve"> </w:t>
      </w:r>
      <w:r w:rsidRPr="002F3CDE">
        <w:rPr>
          <w:rFonts w:ascii="ITC Avant Garde" w:hAnsi="ITC Avant Garde" w:cs="Arial"/>
          <w:bCs/>
          <w:i/>
          <w:sz w:val="18"/>
          <w:szCs w:val="18"/>
        </w:rPr>
        <w:t>que pueda resolver el desacuerdo para dos mil quince simplemente</w:t>
      </w:r>
      <w:r>
        <w:rPr>
          <w:rFonts w:ascii="ITC Avant Garde" w:hAnsi="ITC Avant Garde" w:cs="Arial"/>
          <w:bCs/>
          <w:i/>
          <w:sz w:val="18"/>
          <w:szCs w:val="18"/>
        </w:rPr>
        <w:t xml:space="preserve"> </w:t>
      </w:r>
      <w:r w:rsidRPr="002F3CDE">
        <w:rPr>
          <w:rFonts w:ascii="ITC Avant Garde" w:hAnsi="ITC Avant Garde" w:cs="Arial"/>
          <w:bCs/>
          <w:i/>
          <w:sz w:val="18"/>
          <w:szCs w:val="18"/>
        </w:rPr>
        <w:t>aplicando las tarifas de dos mil catorce -con independencia de que, al</w:t>
      </w:r>
      <w:r>
        <w:rPr>
          <w:rFonts w:ascii="ITC Avant Garde" w:hAnsi="ITC Avant Garde" w:cs="Arial"/>
          <w:bCs/>
          <w:i/>
          <w:sz w:val="18"/>
          <w:szCs w:val="18"/>
        </w:rPr>
        <w:t xml:space="preserve"> </w:t>
      </w:r>
      <w:r w:rsidRPr="002F3CDE">
        <w:rPr>
          <w:rFonts w:ascii="ITC Avant Garde" w:hAnsi="ITC Avant Garde" w:cs="Arial"/>
          <w:bCs/>
          <w:i/>
          <w:sz w:val="18"/>
          <w:szCs w:val="18"/>
        </w:rPr>
        <w:t>aplicar el modelo de costos correspond</w:t>
      </w:r>
      <w:r>
        <w:rPr>
          <w:rFonts w:ascii="ITC Avant Garde" w:hAnsi="ITC Avant Garde" w:cs="Arial"/>
          <w:bCs/>
          <w:i/>
          <w:sz w:val="18"/>
          <w:szCs w:val="18"/>
        </w:rPr>
        <w:t>iente conforme a la ley vigente, la tarifa pueda coincidir numéricamente con la del año anterior.</w:t>
      </w:r>
    </w:p>
    <w:p w14:paraId="61764857" w14:textId="77777777" w:rsidR="00B04AED" w:rsidRDefault="002F3CDE"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sidRPr="002F3CDE">
        <w:rPr>
          <w:rFonts w:ascii="ITC Avant Garde" w:hAnsi="ITC Avant Garde" w:cs="Arial"/>
          <w:bCs/>
          <w:i/>
          <w:sz w:val="18"/>
          <w:szCs w:val="18"/>
        </w:rPr>
        <w:t>No existe fundamento normativo para afirmar que la</w:t>
      </w:r>
      <w:r>
        <w:rPr>
          <w:rFonts w:ascii="ITC Avant Garde" w:hAnsi="ITC Avant Garde" w:cs="Arial"/>
          <w:bCs/>
          <w:i/>
          <w:sz w:val="18"/>
          <w:szCs w:val="18"/>
        </w:rPr>
        <w:t xml:space="preserve"> nueva tarifa únicamente pu</w:t>
      </w:r>
      <w:r w:rsidRPr="002F3CDE">
        <w:rPr>
          <w:rFonts w:ascii="ITC Avant Garde" w:hAnsi="ITC Avant Garde" w:cs="Arial"/>
          <w:bCs/>
          <w:i/>
          <w:sz w:val="18"/>
          <w:szCs w:val="18"/>
        </w:rPr>
        <w:t>eda tener efectos a partir de la celebración</w:t>
      </w:r>
      <w:r>
        <w:rPr>
          <w:rFonts w:ascii="ITC Avant Garde" w:hAnsi="ITC Avant Garde" w:cs="Arial"/>
          <w:bCs/>
          <w:i/>
          <w:sz w:val="18"/>
          <w:szCs w:val="18"/>
        </w:rPr>
        <w:t xml:space="preserve"> </w:t>
      </w:r>
      <w:r w:rsidRPr="002F3CDE">
        <w:rPr>
          <w:rFonts w:ascii="ITC Avant Garde" w:hAnsi="ITC Avant Garde" w:cs="Arial"/>
          <w:bCs/>
          <w:i/>
          <w:sz w:val="18"/>
          <w:szCs w:val="18"/>
        </w:rPr>
        <w:t>del convenio o de la emisión de la resolución del desacuerdo respectivo.</w:t>
      </w:r>
    </w:p>
    <w:p w14:paraId="5DA815CA" w14:textId="77777777" w:rsidR="00B04AED" w:rsidRDefault="002F3CDE"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sidRPr="002F3CDE">
        <w:rPr>
          <w:rFonts w:ascii="ITC Avant Garde" w:hAnsi="ITC Avant Garde" w:cs="Arial"/>
          <w:bCs/>
          <w:i/>
          <w:sz w:val="18"/>
          <w:szCs w:val="18"/>
        </w:rPr>
        <w:t>Las tarifas que serán aplicables mientras tanto, serán</w:t>
      </w:r>
      <w:r>
        <w:rPr>
          <w:rFonts w:ascii="ITC Avant Garde" w:hAnsi="ITC Avant Garde" w:cs="Arial"/>
          <w:bCs/>
          <w:i/>
          <w:sz w:val="18"/>
          <w:szCs w:val="18"/>
        </w:rPr>
        <w:t xml:space="preserve"> </w:t>
      </w:r>
      <w:r w:rsidRPr="002F3CDE">
        <w:rPr>
          <w:rFonts w:ascii="ITC Avant Garde" w:hAnsi="ITC Avant Garde" w:cs="Arial"/>
          <w:bCs/>
          <w:i/>
          <w:sz w:val="18"/>
          <w:szCs w:val="18"/>
        </w:rPr>
        <w:t>las concernientes a dos mil catorce, esto es, tarifas que ya habían sido</w:t>
      </w:r>
      <w:r>
        <w:rPr>
          <w:rFonts w:ascii="ITC Avant Garde" w:hAnsi="ITC Avant Garde" w:cs="Arial"/>
          <w:bCs/>
          <w:i/>
          <w:sz w:val="18"/>
          <w:szCs w:val="18"/>
        </w:rPr>
        <w:t xml:space="preserve"> </w:t>
      </w:r>
      <w:r w:rsidRPr="002F3CDE">
        <w:rPr>
          <w:rFonts w:ascii="ITC Avant Garde" w:hAnsi="ITC Avant Garde" w:cs="Arial"/>
          <w:bCs/>
          <w:i/>
          <w:sz w:val="18"/>
          <w:szCs w:val="18"/>
        </w:rPr>
        <w:t>acordadas con anterioridad por tos mismos concesionarios -o fijadas</w:t>
      </w:r>
      <w:r>
        <w:rPr>
          <w:rFonts w:ascii="ITC Avant Garde" w:hAnsi="ITC Avant Garde" w:cs="Arial"/>
          <w:bCs/>
          <w:i/>
          <w:sz w:val="18"/>
          <w:szCs w:val="18"/>
        </w:rPr>
        <w:t xml:space="preserve"> </w:t>
      </w:r>
      <w:r w:rsidRPr="002F3CDE">
        <w:rPr>
          <w:rFonts w:ascii="ITC Avant Garde" w:hAnsi="ITC Avant Garde" w:cs="Arial"/>
          <w:bCs/>
          <w:i/>
          <w:sz w:val="18"/>
          <w:szCs w:val="18"/>
        </w:rPr>
        <w:t>por el órgano regulador-. En otras palabras, no se impone una tarifa</w:t>
      </w:r>
      <w:r>
        <w:rPr>
          <w:rFonts w:ascii="ITC Avant Garde" w:hAnsi="ITC Avant Garde" w:cs="Arial"/>
          <w:bCs/>
          <w:i/>
          <w:sz w:val="18"/>
          <w:szCs w:val="18"/>
        </w:rPr>
        <w:t xml:space="preserve"> </w:t>
      </w:r>
      <w:r w:rsidRPr="002F3CDE">
        <w:rPr>
          <w:rFonts w:ascii="ITC Avant Garde" w:hAnsi="ITC Avant Garde" w:cs="Arial"/>
          <w:bCs/>
          <w:i/>
          <w:sz w:val="18"/>
          <w:szCs w:val="18"/>
        </w:rPr>
        <w:t>desconocida para los concesionarios, sino que se permite que se</w:t>
      </w:r>
      <w:r>
        <w:rPr>
          <w:rFonts w:ascii="ITC Avant Garde" w:hAnsi="ITC Avant Garde" w:cs="Arial"/>
          <w:bCs/>
          <w:i/>
          <w:sz w:val="18"/>
          <w:szCs w:val="18"/>
        </w:rPr>
        <w:t xml:space="preserve"> </w:t>
      </w:r>
      <w:r w:rsidRPr="002F3CDE">
        <w:rPr>
          <w:rFonts w:ascii="ITC Avant Garde" w:hAnsi="ITC Avant Garde" w:cs="Arial"/>
          <w:bCs/>
          <w:i/>
          <w:sz w:val="18"/>
          <w:szCs w:val="18"/>
        </w:rPr>
        <w:t>continúe con la aplicación· de tarifa</w:t>
      </w:r>
      <w:r>
        <w:rPr>
          <w:rFonts w:ascii="ITC Avant Garde" w:hAnsi="ITC Avant Garde" w:cs="Arial"/>
          <w:bCs/>
          <w:i/>
          <w:sz w:val="18"/>
          <w:szCs w:val="18"/>
        </w:rPr>
        <w:t xml:space="preserve">s que durante dos mil catorce ya </w:t>
      </w:r>
      <w:r w:rsidRPr="002F3CDE">
        <w:rPr>
          <w:rFonts w:ascii="ITC Avant Garde" w:hAnsi="ITC Avant Garde" w:cs="Arial"/>
          <w:bCs/>
          <w:i/>
          <w:sz w:val="18"/>
          <w:szCs w:val="18"/>
        </w:rPr>
        <w:t>contaron con la aprobación de los concesionarios -o con la autorización</w:t>
      </w:r>
      <w:r>
        <w:rPr>
          <w:rFonts w:ascii="ITC Avant Garde" w:hAnsi="ITC Avant Garde" w:cs="Arial"/>
          <w:bCs/>
          <w:i/>
          <w:sz w:val="18"/>
          <w:szCs w:val="18"/>
        </w:rPr>
        <w:t xml:space="preserve"> de</w:t>
      </w:r>
      <w:r w:rsidRPr="002F3CDE">
        <w:rPr>
          <w:rFonts w:ascii="ITC Avant Garde" w:hAnsi="ITC Avant Garde" w:cs="Arial"/>
          <w:bCs/>
          <w:i/>
          <w:sz w:val="18"/>
          <w:szCs w:val="18"/>
        </w:rPr>
        <w:t xml:space="preserve"> la autoridad-.</w:t>
      </w:r>
    </w:p>
    <w:p w14:paraId="2E6DFE60" w14:textId="77777777" w:rsidR="00B04AED" w:rsidRDefault="002F3CDE"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sidRPr="002F3CDE">
        <w:rPr>
          <w:rFonts w:ascii="ITC Avant Garde" w:hAnsi="ITC Avant Garde" w:cs="Arial"/>
          <w:bCs/>
          <w:i/>
          <w:sz w:val="18"/>
          <w:szCs w:val="18"/>
        </w:rPr>
        <w:t>El artículo vigésimo transitorio, segundo párrafo, de la</w:t>
      </w:r>
      <w:r>
        <w:rPr>
          <w:rFonts w:ascii="ITC Avant Garde" w:hAnsi="ITC Avant Garde" w:cs="Arial"/>
          <w:bCs/>
          <w:i/>
          <w:sz w:val="18"/>
          <w:szCs w:val="18"/>
        </w:rPr>
        <w:t xml:space="preserve"> </w:t>
      </w:r>
      <w:r w:rsidRPr="002F3CDE">
        <w:rPr>
          <w:rFonts w:ascii="ITC Avant Garde" w:hAnsi="ITC Avant Garde" w:cs="Arial"/>
          <w:bCs/>
          <w:i/>
          <w:sz w:val="18"/>
          <w:szCs w:val="18"/>
        </w:rPr>
        <w:t>LFTR, implica que hasta en tanto no se celebre un convenio entre</w:t>
      </w:r>
      <w:r>
        <w:rPr>
          <w:rFonts w:ascii="ITC Avant Garde" w:hAnsi="ITC Avant Garde" w:cs="Arial"/>
          <w:bCs/>
          <w:i/>
          <w:sz w:val="18"/>
          <w:szCs w:val="18"/>
        </w:rPr>
        <w:t xml:space="preserve"> </w:t>
      </w:r>
      <w:r w:rsidRPr="002F3CDE">
        <w:rPr>
          <w:rFonts w:ascii="ITC Avant Garde" w:hAnsi="ITC Avant Garde" w:cs="Arial"/>
          <w:bCs/>
          <w:i/>
          <w:sz w:val="18"/>
          <w:szCs w:val="18"/>
        </w:rPr>
        <w:t>concesionarios o el órgano regulador no fije las tarifas para dos mil</w:t>
      </w:r>
      <w:r>
        <w:rPr>
          <w:rFonts w:ascii="ITC Avant Garde" w:hAnsi="ITC Avant Garde" w:cs="Arial"/>
          <w:bCs/>
          <w:i/>
          <w:sz w:val="18"/>
          <w:szCs w:val="18"/>
        </w:rPr>
        <w:t xml:space="preserve"> </w:t>
      </w:r>
      <w:r w:rsidRPr="002F3CDE">
        <w:rPr>
          <w:rFonts w:ascii="ITC Avant Garde" w:hAnsi="ITC Avant Garde" w:cs="Arial"/>
          <w:bCs/>
          <w:i/>
          <w:sz w:val="18"/>
          <w:szCs w:val="18"/>
        </w:rPr>
        <w:t>quince, se continuarán aplicando las relativas a dos mil catorce.</w:t>
      </w:r>
    </w:p>
    <w:p w14:paraId="2A3933C2" w14:textId="77777777" w:rsidR="00B04AED" w:rsidRDefault="002F3CDE"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sidRPr="002F3CDE">
        <w:rPr>
          <w:rFonts w:ascii="ITC Avant Garde" w:hAnsi="ITC Avant Garde" w:cs="Arial"/>
          <w:bCs/>
          <w:i/>
          <w:sz w:val="18"/>
          <w:szCs w:val="18"/>
        </w:rPr>
        <w:t>El objeto de l</w:t>
      </w:r>
      <w:r>
        <w:rPr>
          <w:rFonts w:ascii="ITC Avant Garde" w:hAnsi="ITC Avant Garde" w:cs="Arial"/>
          <w:bCs/>
          <w:i/>
          <w:sz w:val="18"/>
          <w:szCs w:val="18"/>
        </w:rPr>
        <w:t>a disposición transitoria exami</w:t>
      </w:r>
      <w:r w:rsidRPr="002F3CDE">
        <w:rPr>
          <w:rFonts w:ascii="ITC Avant Garde" w:hAnsi="ITC Avant Garde" w:cs="Arial"/>
          <w:bCs/>
          <w:i/>
          <w:sz w:val="18"/>
          <w:szCs w:val="18"/>
        </w:rPr>
        <w:t>nada es</w:t>
      </w:r>
      <w:r>
        <w:rPr>
          <w:rFonts w:ascii="ITC Avant Garde" w:hAnsi="ITC Avant Garde" w:cs="Arial"/>
          <w:bCs/>
          <w:i/>
          <w:sz w:val="18"/>
          <w:szCs w:val="18"/>
        </w:rPr>
        <w:t xml:space="preserve"> </w:t>
      </w:r>
      <w:r w:rsidRPr="002F3CDE">
        <w:rPr>
          <w:rFonts w:ascii="ITC Avant Garde" w:hAnsi="ITC Avant Garde" w:cs="Arial"/>
          <w:bCs/>
          <w:i/>
          <w:sz w:val="18"/>
          <w:szCs w:val="18"/>
        </w:rPr>
        <w:t>dotar de certeza para la fijación de tarifas de interconexión de dos mil</w:t>
      </w:r>
      <w:r>
        <w:rPr>
          <w:rFonts w:ascii="ITC Avant Garde" w:hAnsi="ITC Avant Garde" w:cs="Arial"/>
          <w:bCs/>
          <w:i/>
          <w:sz w:val="18"/>
          <w:szCs w:val="18"/>
        </w:rPr>
        <w:t xml:space="preserve"> </w:t>
      </w:r>
      <w:r w:rsidRPr="002F3CDE">
        <w:rPr>
          <w:rFonts w:ascii="ITC Avant Garde" w:hAnsi="ITC Avant Garde" w:cs="Arial"/>
          <w:bCs/>
          <w:i/>
          <w:sz w:val="18"/>
          <w:szCs w:val="18"/>
        </w:rPr>
        <w:t xml:space="preserve">quince; </w:t>
      </w:r>
      <w:r w:rsidRPr="002F3CDE">
        <w:rPr>
          <w:rFonts w:ascii="ITC Avant Garde" w:hAnsi="ITC Avant Garde" w:cs="Arial"/>
          <w:b/>
          <w:bCs/>
          <w:i/>
          <w:sz w:val="18"/>
          <w:szCs w:val="18"/>
        </w:rPr>
        <w:t>de ahí que hasta en tanto los concesionarios no fijen las</w:t>
      </w:r>
      <w:r>
        <w:rPr>
          <w:rFonts w:ascii="ITC Avant Garde" w:hAnsi="ITC Avant Garde" w:cs="Arial"/>
          <w:bCs/>
          <w:i/>
          <w:sz w:val="18"/>
          <w:szCs w:val="18"/>
        </w:rPr>
        <w:t xml:space="preserve"> </w:t>
      </w:r>
      <w:r w:rsidRPr="002F3CDE">
        <w:rPr>
          <w:rFonts w:ascii="ITC Avant Garde" w:hAnsi="ITC Avant Garde" w:cs="Arial"/>
          <w:b/>
          <w:bCs/>
          <w:i/>
          <w:sz w:val="18"/>
          <w:szCs w:val="18"/>
        </w:rPr>
        <w:t>nuevas tarifas, se continuarán aplicando las que fueron</w:t>
      </w:r>
      <w:r>
        <w:rPr>
          <w:rFonts w:ascii="ITC Avant Garde" w:hAnsi="ITC Avant Garde" w:cs="Arial"/>
          <w:bCs/>
          <w:i/>
          <w:sz w:val="18"/>
          <w:szCs w:val="18"/>
        </w:rPr>
        <w:t xml:space="preserve"> </w:t>
      </w:r>
      <w:r w:rsidRPr="002F3CDE">
        <w:rPr>
          <w:rFonts w:ascii="ITC Avant Garde" w:hAnsi="ITC Avant Garde" w:cs="Arial"/>
          <w:b/>
          <w:bCs/>
          <w:i/>
          <w:sz w:val="18"/>
          <w:szCs w:val="18"/>
        </w:rPr>
        <w:t>convenidas o fijadas para dos mil catorce, lo que no es obstáculo</w:t>
      </w:r>
      <w:r>
        <w:rPr>
          <w:rFonts w:ascii="ITC Avant Garde" w:hAnsi="ITC Avant Garde" w:cs="Arial"/>
          <w:bCs/>
          <w:i/>
          <w:sz w:val="18"/>
          <w:szCs w:val="18"/>
        </w:rPr>
        <w:t xml:space="preserve"> </w:t>
      </w:r>
      <w:r w:rsidRPr="002F3CDE">
        <w:rPr>
          <w:rFonts w:ascii="ITC Avant Garde" w:hAnsi="ITC Avant Garde" w:cs="Arial"/>
          <w:b/>
          <w:bCs/>
          <w:i/>
          <w:sz w:val="18"/>
          <w:szCs w:val="18"/>
        </w:rPr>
        <w:t>para que se acuerden o fijen las tarifas para el periodo</w:t>
      </w:r>
      <w:r>
        <w:rPr>
          <w:rFonts w:ascii="ITC Avant Garde" w:hAnsi="ITC Avant Garde" w:cs="Arial"/>
          <w:bCs/>
          <w:i/>
          <w:sz w:val="18"/>
          <w:szCs w:val="18"/>
        </w:rPr>
        <w:t xml:space="preserve"> </w:t>
      </w:r>
      <w:r w:rsidRPr="002F3CDE">
        <w:rPr>
          <w:rFonts w:ascii="ITC Avant Garde" w:hAnsi="ITC Avant Garde" w:cs="Arial"/>
          <w:b/>
          <w:bCs/>
          <w:i/>
          <w:sz w:val="18"/>
          <w:szCs w:val="18"/>
        </w:rPr>
        <w:t>comprendido desde el uno de enero de dos mil quince.</w:t>
      </w:r>
    </w:p>
    <w:p w14:paraId="1D1A6812" w14:textId="77777777" w:rsidR="00B04AED" w:rsidRDefault="002F3CDE"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sidRPr="002F3CDE">
        <w:rPr>
          <w:rFonts w:ascii="ITC Avant Garde" w:hAnsi="ITC Avant Garde" w:cs="Arial"/>
          <w:bCs/>
          <w:i/>
          <w:sz w:val="18"/>
          <w:szCs w:val="18"/>
        </w:rPr>
        <w:t>Del proceso legislativo no se advierten elementos de</w:t>
      </w:r>
      <w:r>
        <w:rPr>
          <w:rFonts w:ascii="ITC Avant Garde" w:hAnsi="ITC Avant Garde" w:cs="Arial"/>
          <w:bCs/>
          <w:i/>
          <w:sz w:val="18"/>
          <w:szCs w:val="18"/>
        </w:rPr>
        <w:t xml:space="preserve"> </w:t>
      </w:r>
      <w:r w:rsidRPr="002F3CDE">
        <w:rPr>
          <w:rFonts w:ascii="ITC Avant Garde" w:hAnsi="ITC Avant Garde" w:cs="Arial"/>
          <w:bCs/>
          <w:i/>
          <w:sz w:val="18"/>
          <w:szCs w:val="18"/>
        </w:rPr>
        <w:t>los que se desprenda que fue la intención del legislador restringir la</w:t>
      </w:r>
      <w:r>
        <w:rPr>
          <w:rFonts w:ascii="ITC Avant Garde" w:hAnsi="ITC Avant Garde" w:cs="Arial"/>
          <w:bCs/>
          <w:i/>
          <w:sz w:val="18"/>
          <w:szCs w:val="18"/>
        </w:rPr>
        <w:t xml:space="preserve"> </w:t>
      </w:r>
      <w:r w:rsidRPr="002F3CDE">
        <w:rPr>
          <w:rFonts w:ascii="ITC Avant Garde" w:hAnsi="ITC Avant Garde" w:cs="Arial"/>
          <w:bCs/>
          <w:i/>
          <w:sz w:val="18"/>
          <w:szCs w:val="18"/>
        </w:rPr>
        <w:t>libertad de negociación, pues dicho aspecto constituye un elemento</w:t>
      </w:r>
      <w:r>
        <w:rPr>
          <w:rFonts w:ascii="ITC Avant Garde" w:hAnsi="ITC Avant Garde" w:cs="Arial"/>
          <w:bCs/>
          <w:i/>
          <w:sz w:val="18"/>
          <w:szCs w:val="18"/>
        </w:rPr>
        <w:t xml:space="preserve"> </w:t>
      </w:r>
      <w:r w:rsidRPr="002F3CDE">
        <w:rPr>
          <w:rFonts w:ascii="ITC Avant Garde" w:hAnsi="ITC Avant Garde" w:cs="Arial"/>
          <w:bCs/>
          <w:i/>
          <w:sz w:val="18"/>
          <w:szCs w:val="18"/>
        </w:rPr>
        <w:t>central del sistema normativo de interconexión</w:t>
      </w:r>
      <w:r>
        <w:rPr>
          <w:rFonts w:ascii="ITC Avant Garde" w:hAnsi="ITC Avant Garde" w:cs="Arial"/>
          <w:bCs/>
          <w:i/>
          <w:sz w:val="18"/>
          <w:szCs w:val="18"/>
        </w:rPr>
        <w:t>.</w:t>
      </w:r>
    </w:p>
    <w:p w14:paraId="2C43FEFC" w14:textId="77777777" w:rsidR="00B04AED" w:rsidRDefault="002F3CDE"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sidRPr="002F3CDE">
        <w:rPr>
          <w:rFonts w:ascii="ITC Avant Garde" w:hAnsi="ITC Avant Garde" w:cs="Arial"/>
          <w:b/>
          <w:bCs/>
          <w:i/>
          <w:sz w:val="18"/>
          <w:szCs w:val="18"/>
        </w:rPr>
        <w:t>Aun cuando la autoridad responsable precisó en</w:t>
      </w:r>
      <w:r>
        <w:rPr>
          <w:rFonts w:ascii="ITC Avant Garde" w:hAnsi="ITC Avant Garde" w:cs="Arial"/>
          <w:bCs/>
          <w:i/>
          <w:sz w:val="18"/>
          <w:szCs w:val="18"/>
        </w:rPr>
        <w:t xml:space="preserve"> </w:t>
      </w:r>
      <w:r w:rsidRPr="002F3CDE">
        <w:rPr>
          <w:rFonts w:ascii="ITC Avant Garde" w:hAnsi="ITC Avant Garde" w:cs="Arial"/>
          <w:b/>
          <w:bCs/>
          <w:i/>
          <w:sz w:val="18"/>
          <w:szCs w:val="18"/>
        </w:rPr>
        <w:t>su recurso de revisión que se encontraba obligada a observar el</w:t>
      </w:r>
      <w:r>
        <w:rPr>
          <w:rFonts w:ascii="ITC Avant Garde" w:hAnsi="ITC Avant Garde" w:cs="Arial"/>
          <w:bCs/>
          <w:i/>
          <w:sz w:val="18"/>
          <w:szCs w:val="18"/>
        </w:rPr>
        <w:t xml:space="preserve"> </w:t>
      </w:r>
      <w:r w:rsidRPr="002F3CDE">
        <w:rPr>
          <w:rFonts w:ascii="ITC Avant Garde" w:hAnsi="ITC Avant Garde" w:cs="Arial"/>
          <w:b/>
          <w:bCs/>
          <w:i/>
          <w:sz w:val="18"/>
          <w:szCs w:val="18"/>
        </w:rPr>
        <w:t>principio de legalidad; sin embargo, en los actos que se le</w:t>
      </w:r>
      <w:r>
        <w:rPr>
          <w:rFonts w:ascii="ITC Avant Garde" w:hAnsi="ITC Avant Garde" w:cs="Arial"/>
          <w:bCs/>
          <w:i/>
          <w:sz w:val="18"/>
          <w:szCs w:val="18"/>
        </w:rPr>
        <w:t xml:space="preserve"> </w:t>
      </w:r>
      <w:r w:rsidRPr="002F3CDE">
        <w:rPr>
          <w:rFonts w:ascii="ITC Avant Garde" w:hAnsi="ITC Avant Garde" w:cs="Arial"/>
          <w:b/>
          <w:bCs/>
          <w:i/>
          <w:sz w:val="18"/>
          <w:szCs w:val="18"/>
        </w:rPr>
        <w:t>reclamaron, se advierte que realizó una interpretación del artículo</w:t>
      </w:r>
      <w:r>
        <w:rPr>
          <w:rFonts w:ascii="ITC Avant Garde" w:hAnsi="ITC Avant Garde" w:cs="Arial"/>
          <w:bCs/>
          <w:i/>
          <w:sz w:val="18"/>
          <w:szCs w:val="18"/>
        </w:rPr>
        <w:t xml:space="preserve"> </w:t>
      </w:r>
      <w:r w:rsidRPr="002F3CDE">
        <w:rPr>
          <w:rFonts w:ascii="ITC Avant Garde" w:hAnsi="ITC Avant Garde" w:cs="Arial"/>
          <w:b/>
          <w:bCs/>
          <w:i/>
          <w:sz w:val="18"/>
          <w:szCs w:val="18"/>
        </w:rPr>
        <w:t xml:space="preserve">vigésimo transitorio, segundo párrafo, de la LFTR, </w:t>
      </w:r>
      <w:r w:rsidRPr="002F3CDE">
        <w:rPr>
          <w:rFonts w:ascii="ITC Avant Garde" w:hAnsi="ITC Avant Garde" w:cs="Arial"/>
          <w:bCs/>
          <w:i/>
          <w:sz w:val="18"/>
          <w:szCs w:val="18"/>
        </w:rPr>
        <w:t>lo que revela que</w:t>
      </w:r>
      <w:r>
        <w:rPr>
          <w:rFonts w:ascii="ITC Avant Garde" w:hAnsi="ITC Avant Garde" w:cs="Arial"/>
          <w:bCs/>
          <w:i/>
          <w:sz w:val="18"/>
          <w:szCs w:val="18"/>
        </w:rPr>
        <w:t xml:space="preserve"> </w:t>
      </w:r>
      <w:r w:rsidRPr="002F3CDE">
        <w:rPr>
          <w:rFonts w:ascii="ITC Avant Garde" w:hAnsi="ITC Avant Garde" w:cs="Arial"/>
          <w:bCs/>
          <w:i/>
          <w:sz w:val="18"/>
          <w:szCs w:val="18"/>
        </w:rPr>
        <w:t>no se limitó a aplicar el precepto, como pareciere desprenderse de su</w:t>
      </w:r>
      <w:r>
        <w:rPr>
          <w:rFonts w:ascii="ITC Avant Garde" w:hAnsi="ITC Avant Garde" w:cs="Arial"/>
          <w:bCs/>
          <w:i/>
          <w:sz w:val="18"/>
          <w:szCs w:val="18"/>
        </w:rPr>
        <w:t xml:space="preserve"> </w:t>
      </w:r>
      <w:r w:rsidRPr="002F3CDE">
        <w:rPr>
          <w:rFonts w:ascii="ITC Avant Garde" w:hAnsi="ITC Avant Garde" w:cs="Arial"/>
          <w:bCs/>
          <w:i/>
          <w:sz w:val="18"/>
          <w:szCs w:val="18"/>
        </w:rPr>
        <w:t>recurso.</w:t>
      </w:r>
    </w:p>
    <w:p w14:paraId="7392F735" w14:textId="77777777" w:rsidR="00B04AED" w:rsidRDefault="002F3CDE"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sidRPr="002F3CDE">
        <w:rPr>
          <w:rFonts w:ascii="ITC Avant Garde" w:hAnsi="ITC Avant Garde" w:cs="Arial"/>
          <w:bCs/>
          <w:i/>
          <w:sz w:val="18"/>
          <w:szCs w:val="18"/>
        </w:rPr>
        <w:t>La disposición transitoria examinada brinda una</w:t>
      </w:r>
      <w:r>
        <w:rPr>
          <w:rFonts w:ascii="ITC Avant Garde" w:hAnsi="ITC Avant Garde" w:cs="Arial"/>
          <w:bCs/>
          <w:i/>
          <w:sz w:val="18"/>
          <w:szCs w:val="18"/>
        </w:rPr>
        <w:t xml:space="preserve"> </w:t>
      </w:r>
      <w:r w:rsidRPr="002F3CDE">
        <w:rPr>
          <w:rFonts w:ascii="ITC Avant Garde" w:hAnsi="ITC Avant Garde" w:cs="Arial"/>
          <w:bCs/>
          <w:i/>
          <w:sz w:val="18"/>
          <w:szCs w:val="18"/>
        </w:rPr>
        <w:t>solución para transitar al nuevo marco normativo, empero, la disposición</w:t>
      </w:r>
      <w:r>
        <w:rPr>
          <w:rFonts w:ascii="ITC Avant Garde" w:hAnsi="ITC Avant Garde" w:cs="Arial"/>
          <w:bCs/>
          <w:i/>
          <w:sz w:val="18"/>
          <w:szCs w:val="18"/>
        </w:rPr>
        <w:t xml:space="preserve"> </w:t>
      </w:r>
      <w:r w:rsidRPr="002F3CDE">
        <w:rPr>
          <w:rFonts w:ascii="ITC Avant Garde" w:hAnsi="ITC Avant Garde" w:cs="Arial"/>
          <w:b/>
          <w:bCs/>
          <w:i/>
          <w:sz w:val="18"/>
          <w:szCs w:val="18"/>
        </w:rPr>
        <w:t>no puede agotarse en la interpretación literal, pues a partir de una interpretación sistemática</w:t>
      </w:r>
      <w:r w:rsidRPr="002F3CDE">
        <w:rPr>
          <w:rFonts w:ascii="ITC Avant Garde" w:hAnsi="ITC Avant Garde" w:cs="Arial"/>
          <w:bCs/>
          <w:i/>
          <w:sz w:val="18"/>
          <w:szCs w:val="18"/>
        </w:rPr>
        <w:t>, es posible concluir que el artículo señala</w:t>
      </w:r>
      <w:r>
        <w:rPr>
          <w:rFonts w:ascii="ITC Avant Garde" w:hAnsi="ITC Avant Garde" w:cs="Arial"/>
          <w:bCs/>
          <w:i/>
          <w:sz w:val="18"/>
          <w:szCs w:val="18"/>
        </w:rPr>
        <w:t xml:space="preserve"> </w:t>
      </w:r>
      <w:r w:rsidRPr="002F3CDE">
        <w:rPr>
          <w:rFonts w:ascii="ITC Avant Garde" w:hAnsi="ITC Avant Garde" w:cs="Arial"/>
          <w:bCs/>
          <w:i/>
          <w:sz w:val="18"/>
          <w:szCs w:val="18"/>
        </w:rPr>
        <w:t>que hasta en tanto no se acuerden o fijen las nuevas tarifas, continuarán</w:t>
      </w:r>
      <w:r>
        <w:rPr>
          <w:rFonts w:ascii="ITC Avant Garde" w:hAnsi="ITC Avant Garde" w:cs="Arial"/>
          <w:bCs/>
          <w:i/>
          <w:sz w:val="18"/>
          <w:szCs w:val="18"/>
        </w:rPr>
        <w:t xml:space="preserve"> </w:t>
      </w:r>
      <w:r w:rsidRPr="002F3CDE">
        <w:rPr>
          <w:rFonts w:ascii="ITC Avant Garde" w:hAnsi="ITC Avant Garde" w:cs="Arial"/>
          <w:bCs/>
          <w:i/>
          <w:sz w:val="18"/>
          <w:szCs w:val="18"/>
        </w:rPr>
        <w:t>las condiciones que se venían aplicando -dos mil catorce-, sin que ello</w:t>
      </w:r>
      <w:r>
        <w:rPr>
          <w:rFonts w:ascii="ITC Avant Garde" w:hAnsi="ITC Avant Garde" w:cs="Arial"/>
          <w:bCs/>
          <w:i/>
          <w:sz w:val="18"/>
          <w:szCs w:val="18"/>
        </w:rPr>
        <w:t xml:space="preserve"> </w:t>
      </w:r>
      <w:r w:rsidRPr="002F3CDE">
        <w:rPr>
          <w:rFonts w:ascii="ITC Avant Garde" w:hAnsi="ITC Avant Garde" w:cs="Arial"/>
          <w:bCs/>
          <w:i/>
          <w:sz w:val="18"/>
          <w:szCs w:val="18"/>
        </w:rPr>
        <w:t>sea obstáculo para que se acuerden o fijen las tarifas para el periodo</w:t>
      </w:r>
      <w:r>
        <w:rPr>
          <w:rFonts w:ascii="ITC Avant Garde" w:hAnsi="ITC Avant Garde" w:cs="Arial"/>
          <w:bCs/>
          <w:i/>
          <w:sz w:val="18"/>
          <w:szCs w:val="18"/>
        </w:rPr>
        <w:t xml:space="preserve"> </w:t>
      </w:r>
      <w:r w:rsidRPr="002F3CDE">
        <w:rPr>
          <w:rFonts w:ascii="ITC Avant Garde" w:hAnsi="ITC Avant Garde" w:cs="Arial"/>
          <w:bCs/>
          <w:i/>
          <w:sz w:val="18"/>
          <w:szCs w:val="18"/>
        </w:rPr>
        <w:t>comprendido desde el uno de enero de dos mil quince.</w:t>
      </w:r>
    </w:p>
    <w:p w14:paraId="11C97E16" w14:textId="77777777" w:rsidR="00B04AED" w:rsidRDefault="0077606A" w:rsidP="00B04AED">
      <w:pPr>
        <w:pStyle w:val="Textoindependiente"/>
        <w:numPr>
          <w:ilvl w:val="0"/>
          <w:numId w:val="17"/>
        </w:numPr>
        <w:spacing w:after="200" w:line="276" w:lineRule="auto"/>
        <w:ind w:left="993" w:right="532" w:hanging="283"/>
        <w:rPr>
          <w:rFonts w:ascii="ITC Avant Garde" w:hAnsi="ITC Avant Garde" w:cs="Arial"/>
          <w:bCs/>
          <w:i/>
          <w:sz w:val="18"/>
          <w:szCs w:val="18"/>
        </w:rPr>
      </w:pPr>
      <w:r w:rsidRPr="0077606A">
        <w:rPr>
          <w:rFonts w:ascii="ITC Avant Garde" w:hAnsi="ITC Avant Garde" w:cs="Arial"/>
          <w:bCs/>
          <w:i/>
          <w:sz w:val="18"/>
          <w:szCs w:val="18"/>
        </w:rPr>
        <w:t>Es infundado lo planteado por el IFT, en el sentido de</w:t>
      </w:r>
      <w:r>
        <w:rPr>
          <w:rFonts w:ascii="ITC Avant Garde" w:hAnsi="ITC Avant Garde" w:cs="Arial"/>
          <w:bCs/>
          <w:i/>
          <w:sz w:val="18"/>
          <w:szCs w:val="18"/>
        </w:rPr>
        <w:t xml:space="preserve"> </w:t>
      </w:r>
      <w:r w:rsidRPr="0077606A">
        <w:rPr>
          <w:rFonts w:ascii="ITC Avant Garde" w:hAnsi="ITC Avant Garde" w:cs="Arial"/>
          <w:bCs/>
          <w:i/>
          <w:sz w:val="18"/>
          <w:szCs w:val="18"/>
        </w:rPr>
        <w:t>que la solución a la entrada en vigor del nuevo marco normativo se</w:t>
      </w:r>
      <w:r>
        <w:rPr>
          <w:rFonts w:ascii="ITC Avant Garde" w:hAnsi="ITC Avant Garde" w:cs="Arial"/>
          <w:bCs/>
          <w:i/>
          <w:sz w:val="18"/>
          <w:szCs w:val="18"/>
        </w:rPr>
        <w:t xml:space="preserve"> </w:t>
      </w:r>
      <w:r w:rsidRPr="0077606A">
        <w:rPr>
          <w:rFonts w:ascii="ITC Avant Garde" w:hAnsi="ITC Avant Garde" w:cs="Arial"/>
          <w:bCs/>
          <w:i/>
          <w:sz w:val="18"/>
          <w:szCs w:val="18"/>
        </w:rPr>
        <w:t>advierte del artículo sexto transitorio de la LFTR, en tanto, que dicho</w:t>
      </w:r>
      <w:r>
        <w:rPr>
          <w:rFonts w:ascii="ITC Avant Garde" w:hAnsi="ITC Avant Garde" w:cs="Arial"/>
          <w:bCs/>
          <w:i/>
          <w:sz w:val="18"/>
          <w:szCs w:val="18"/>
        </w:rPr>
        <w:t xml:space="preserve"> </w:t>
      </w:r>
      <w:r w:rsidRPr="0077606A">
        <w:rPr>
          <w:rFonts w:ascii="ITC Avant Garde" w:hAnsi="ITC Avant Garde" w:cs="Arial"/>
          <w:bCs/>
          <w:i/>
          <w:sz w:val="18"/>
          <w:szCs w:val="18"/>
        </w:rPr>
        <w:t>numeral no resulta aplicable para resolver las condiciones de</w:t>
      </w:r>
      <w:r>
        <w:rPr>
          <w:rFonts w:ascii="ITC Avant Garde" w:hAnsi="ITC Avant Garde" w:cs="Arial"/>
          <w:bCs/>
          <w:i/>
          <w:sz w:val="18"/>
          <w:szCs w:val="18"/>
        </w:rPr>
        <w:t xml:space="preserve"> </w:t>
      </w:r>
      <w:r w:rsidRPr="0077606A">
        <w:rPr>
          <w:rFonts w:ascii="ITC Avant Garde" w:hAnsi="ITC Avant Garde" w:cs="Arial"/>
          <w:bCs/>
          <w:i/>
          <w:sz w:val="18"/>
          <w:szCs w:val="18"/>
        </w:rPr>
        <w:t>interconexión no convenidas para el período de dos mil quince.</w:t>
      </w:r>
    </w:p>
    <w:p w14:paraId="0C7AED54" w14:textId="77777777" w:rsidR="00B04AED" w:rsidRDefault="0077606A" w:rsidP="00B04AED">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lastRenderedPageBreak/>
        <w:t>Lo expuesto pone de relieve que el Alto tribunal consideró que el artículo vigésimo transitorio, segundo párrafo, de la LFTR:</w:t>
      </w:r>
    </w:p>
    <w:p w14:paraId="143CC161" w14:textId="77777777" w:rsidR="00B04AED" w:rsidRDefault="0077606A" w:rsidP="00B04AED">
      <w:pPr>
        <w:pStyle w:val="Textoindependiente"/>
        <w:numPr>
          <w:ilvl w:val="0"/>
          <w:numId w:val="15"/>
        </w:numPr>
        <w:spacing w:after="200" w:line="276" w:lineRule="auto"/>
        <w:ind w:left="993" w:right="533" w:hanging="284"/>
        <w:rPr>
          <w:rFonts w:ascii="ITC Avant Garde" w:hAnsi="ITC Avant Garde" w:cs="Arial"/>
          <w:bCs/>
          <w:i/>
          <w:sz w:val="18"/>
          <w:szCs w:val="18"/>
        </w:rPr>
      </w:pPr>
      <w:r>
        <w:rPr>
          <w:rFonts w:ascii="ITC Avant Garde" w:hAnsi="ITC Avant Garde" w:cs="Arial"/>
          <w:bCs/>
          <w:i/>
          <w:sz w:val="18"/>
          <w:szCs w:val="18"/>
        </w:rPr>
        <w:t>No puede analizarse de manera aislada, sino de manera conjunta con el artículo 131 del mismo ordenamiento legal.</w:t>
      </w:r>
    </w:p>
    <w:p w14:paraId="3F05720C" w14:textId="77777777" w:rsidR="00B04AED" w:rsidRDefault="0077606A" w:rsidP="00B04AED">
      <w:pPr>
        <w:pStyle w:val="Textoindependiente"/>
        <w:numPr>
          <w:ilvl w:val="0"/>
          <w:numId w:val="15"/>
        </w:numPr>
        <w:spacing w:after="200" w:line="276" w:lineRule="auto"/>
        <w:ind w:left="993" w:right="533" w:hanging="284"/>
        <w:rPr>
          <w:rFonts w:ascii="ITC Avant Garde" w:hAnsi="ITC Avant Garde" w:cs="Arial"/>
          <w:bCs/>
          <w:i/>
          <w:sz w:val="18"/>
          <w:szCs w:val="18"/>
        </w:rPr>
      </w:pPr>
      <w:r w:rsidRPr="0077606A">
        <w:rPr>
          <w:rFonts w:ascii="ITC Avant Garde" w:hAnsi="ITC Avant Garde" w:cs="Arial"/>
          <w:bCs/>
          <w:i/>
          <w:sz w:val="18"/>
          <w:szCs w:val="18"/>
        </w:rPr>
        <w:t>El régimen transitorio aludido</w:t>
      </w:r>
      <w:r>
        <w:rPr>
          <w:rFonts w:ascii="ITC Avant Garde" w:hAnsi="ITC Avant Garde" w:cs="Arial"/>
          <w:bCs/>
          <w:i/>
          <w:sz w:val="18"/>
          <w:szCs w:val="18"/>
        </w:rPr>
        <w:t xml:space="preserve"> prevé que se </w:t>
      </w:r>
      <w:r w:rsidRPr="0077606A">
        <w:rPr>
          <w:rFonts w:ascii="ITC Avant Garde" w:hAnsi="ITC Avant Garde" w:cs="Arial"/>
          <w:bCs/>
          <w:i/>
          <w:sz w:val="18"/>
          <w:szCs w:val="18"/>
        </w:rPr>
        <w:t>continuarán aplicando las tarifas previamente</w:t>
      </w:r>
      <w:r>
        <w:rPr>
          <w:rFonts w:ascii="ITC Avant Garde" w:hAnsi="ITC Avant Garde" w:cs="Arial"/>
          <w:bCs/>
          <w:i/>
          <w:sz w:val="18"/>
          <w:szCs w:val="18"/>
        </w:rPr>
        <w:t xml:space="preserve"> </w:t>
      </w:r>
      <w:r w:rsidRPr="0077606A">
        <w:rPr>
          <w:rFonts w:ascii="ITC Avant Garde" w:hAnsi="ITC Avant Garde" w:cs="Arial"/>
          <w:bCs/>
          <w:i/>
          <w:sz w:val="18"/>
          <w:szCs w:val="18"/>
        </w:rPr>
        <w:t>fijadas por los</w:t>
      </w:r>
      <w:r>
        <w:rPr>
          <w:rFonts w:ascii="ITC Avant Garde" w:hAnsi="ITC Avant Garde" w:cs="Arial"/>
          <w:bCs/>
          <w:i/>
          <w:sz w:val="18"/>
          <w:szCs w:val="18"/>
        </w:rPr>
        <w:t xml:space="preserve"> </w:t>
      </w:r>
      <w:r w:rsidRPr="0077606A">
        <w:rPr>
          <w:rFonts w:ascii="ITC Avant Garde" w:hAnsi="ITC Avant Garde" w:cs="Arial"/>
          <w:bCs/>
          <w:i/>
          <w:sz w:val="18"/>
          <w:szCs w:val="18"/>
        </w:rPr>
        <w:t>concesionarios en dos mil catorce, hasta en tanto no acuerden una</w:t>
      </w:r>
      <w:r>
        <w:rPr>
          <w:rFonts w:ascii="ITC Avant Garde" w:hAnsi="ITC Avant Garde" w:cs="Arial"/>
          <w:bCs/>
          <w:i/>
          <w:sz w:val="18"/>
          <w:szCs w:val="18"/>
        </w:rPr>
        <w:t xml:space="preserve"> </w:t>
      </w:r>
      <w:r w:rsidRPr="0077606A">
        <w:rPr>
          <w:rFonts w:ascii="ITC Avant Garde" w:hAnsi="ITC Avant Garde" w:cs="Arial"/>
          <w:bCs/>
          <w:i/>
          <w:sz w:val="18"/>
          <w:szCs w:val="18"/>
        </w:rPr>
        <w:t>nueva, o éstas sean determinadas por el IFT -,</w:t>
      </w:r>
      <w:r>
        <w:rPr>
          <w:rFonts w:ascii="ITC Avant Garde" w:hAnsi="ITC Avant Garde" w:cs="Arial"/>
          <w:bCs/>
          <w:i/>
          <w:sz w:val="18"/>
          <w:szCs w:val="18"/>
        </w:rPr>
        <w:t xml:space="preserve"> </w:t>
      </w:r>
      <w:r w:rsidRPr="0077606A">
        <w:rPr>
          <w:rFonts w:ascii="ITC Avant Garde" w:hAnsi="ITC Avant Garde" w:cs="Arial"/>
          <w:bCs/>
          <w:i/>
          <w:sz w:val="18"/>
          <w:szCs w:val="18"/>
        </w:rPr>
        <w:t>en uso de sus facultades</w:t>
      </w:r>
      <w:r>
        <w:rPr>
          <w:rFonts w:ascii="ITC Avant Garde" w:hAnsi="ITC Avant Garde" w:cs="Arial"/>
          <w:bCs/>
          <w:i/>
          <w:sz w:val="18"/>
          <w:szCs w:val="18"/>
        </w:rPr>
        <w:t xml:space="preserve"> </w:t>
      </w:r>
      <w:r w:rsidRPr="0077606A">
        <w:rPr>
          <w:rFonts w:ascii="ITC Avant Garde" w:hAnsi="ITC Avant Garde" w:cs="Arial"/>
          <w:bCs/>
          <w:i/>
          <w:sz w:val="18"/>
          <w:szCs w:val="18"/>
        </w:rPr>
        <w:t>de regulación-, en observancia a la libertad tarifaría como elemento</w:t>
      </w:r>
      <w:r>
        <w:rPr>
          <w:rFonts w:ascii="ITC Avant Garde" w:hAnsi="ITC Avant Garde" w:cs="Arial"/>
          <w:bCs/>
          <w:i/>
          <w:sz w:val="18"/>
          <w:szCs w:val="18"/>
        </w:rPr>
        <w:t xml:space="preserve"> </w:t>
      </w:r>
      <w:r w:rsidRPr="0077606A">
        <w:rPr>
          <w:rFonts w:ascii="ITC Avant Garde" w:hAnsi="ITC Avant Garde" w:cs="Arial"/>
          <w:bCs/>
          <w:i/>
          <w:sz w:val="18"/>
          <w:szCs w:val="18"/>
        </w:rPr>
        <w:t>central en dicho régimen.</w:t>
      </w:r>
    </w:p>
    <w:p w14:paraId="278FE7D3" w14:textId="77777777" w:rsidR="00B04AED" w:rsidRDefault="0077606A" w:rsidP="00B04AED">
      <w:pPr>
        <w:pStyle w:val="Textoindependiente"/>
        <w:numPr>
          <w:ilvl w:val="0"/>
          <w:numId w:val="15"/>
        </w:numPr>
        <w:spacing w:after="200" w:line="276" w:lineRule="auto"/>
        <w:ind w:left="993" w:right="533" w:hanging="284"/>
        <w:rPr>
          <w:rFonts w:ascii="ITC Avant Garde" w:hAnsi="ITC Avant Garde" w:cs="Arial"/>
          <w:bCs/>
          <w:i/>
          <w:sz w:val="18"/>
          <w:szCs w:val="18"/>
        </w:rPr>
      </w:pPr>
      <w:r w:rsidRPr="0077606A">
        <w:rPr>
          <w:rFonts w:ascii="ITC Avant Garde" w:hAnsi="ITC Avant Garde" w:cs="Arial"/>
          <w:bCs/>
          <w:i/>
          <w:sz w:val="18"/>
          <w:szCs w:val="18"/>
        </w:rPr>
        <w:t>La interpretación de la disposición transitoria</w:t>
      </w:r>
      <w:r>
        <w:rPr>
          <w:rFonts w:ascii="ITC Avant Garde" w:hAnsi="ITC Avant Garde" w:cs="Arial"/>
          <w:bCs/>
          <w:i/>
          <w:sz w:val="18"/>
          <w:szCs w:val="18"/>
        </w:rPr>
        <w:t xml:space="preserve"> </w:t>
      </w:r>
      <w:r w:rsidRPr="0077606A">
        <w:rPr>
          <w:rFonts w:ascii="ITC Avant Garde" w:hAnsi="ITC Avant Garde" w:cs="Arial"/>
          <w:bCs/>
          <w:i/>
          <w:sz w:val="18"/>
          <w:szCs w:val="18"/>
        </w:rPr>
        <w:t>efectuada en los términos precisados, dota de certeza tanto a los</w:t>
      </w:r>
      <w:r>
        <w:rPr>
          <w:rFonts w:ascii="ITC Avant Garde" w:hAnsi="ITC Avant Garde" w:cs="Arial"/>
          <w:bCs/>
          <w:i/>
          <w:sz w:val="18"/>
          <w:szCs w:val="18"/>
        </w:rPr>
        <w:t xml:space="preserve"> </w:t>
      </w:r>
      <w:r w:rsidRPr="0077606A">
        <w:rPr>
          <w:rFonts w:ascii="ITC Avant Garde" w:hAnsi="ITC Avant Garde" w:cs="Arial"/>
          <w:bCs/>
          <w:i/>
          <w:sz w:val="18"/>
          <w:szCs w:val="18"/>
        </w:rPr>
        <w:t>concesionarios, así como a las autoridades y usuarios en general, sobre</w:t>
      </w:r>
      <w:r>
        <w:rPr>
          <w:rFonts w:ascii="ITC Avant Garde" w:hAnsi="ITC Avant Garde" w:cs="Arial"/>
          <w:bCs/>
          <w:i/>
          <w:sz w:val="18"/>
          <w:szCs w:val="18"/>
        </w:rPr>
        <w:t xml:space="preserve"> </w:t>
      </w:r>
      <w:r w:rsidRPr="0077606A">
        <w:rPr>
          <w:rFonts w:ascii="ITC Avant Garde" w:hAnsi="ITC Avant Garde" w:cs="Arial"/>
          <w:bCs/>
          <w:i/>
          <w:sz w:val="18"/>
          <w:szCs w:val="18"/>
        </w:rPr>
        <w:t>qué tarifas deben aplicarse hasta que se realice un nuevo convenio o el</w:t>
      </w:r>
      <w:r>
        <w:rPr>
          <w:rFonts w:ascii="ITC Avant Garde" w:hAnsi="ITC Avant Garde" w:cs="Arial"/>
          <w:bCs/>
          <w:i/>
          <w:sz w:val="18"/>
          <w:szCs w:val="18"/>
        </w:rPr>
        <w:t xml:space="preserve"> </w:t>
      </w:r>
      <w:r w:rsidRPr="0077606A">
        <w:rPr>
          <w:rFonts w:ascii="ITC Avant Garde" w:hAnsi="ITC Avant Garde" w:cs="Arial"/>
          <w:bCs/>
          <w:i/>
          <w:sz w:val="18"/>
          <w:szCs w:val="18"/>
        </w:rPr>
        <w:t>IFT fije las condiciones de interconexión no convenidas, pues la</w:t>
      </w:r>
      <w:r>
        <w:rPr>
          <w:rFonts w:ascii="ITC Avant Garde" w:hAnsi="ITC Avant Garde" w:cs="Arial"/>
          <w:bCs/>
          <w:i/>
          <w:sz w:val="18"/>
          <w:szCs w:val="18"/>
        </w:rPr>
        <w:t xml:space="preserve"> </w:t>
      </w:r>
      <w:r w:rsidRPr="0077606A">
        <w:rPr>
          <w:rFonts w:ascii="ITC Avant Garde" w:hAnsi="ITC Avant Garde" w:cs="Arial"/>
          <w:bCs/>
          <w:i/>
          <w:sz w:val="18"/>
          <w:szCs w:val="18"/>
        </w:rPr>
        <w:t>continuación de la tarifa que venía aplicándose en dos mil catorce no es</w:t>
      </w:r>
      <w:r>
        <w:rPr>
          <w:rFonts w:ascii="ITC Avant Garde" w:hAnsi="ITC Avant Garde" w:cs="Arial"/>
          <w:bCs/>
          <w:i/>
          <w:sz w:val="18"/>
          <w:szCs w:val="18"/>
        </w:rPr>
        <w:t xml:space="preserve"> </w:t>
      </w:r>
      <w:r w:rsidRPr="0077606A">
        <w:rPr>
          <w:rFonts w:ascii="ITC Avant Garde" w:hAnsi="ITC Avant Garde" w:cs="Arial"/>
          <w:bCs/>
          <w:i/>
          <w:sz w:val="18"/>
          <w:szCs w:val="18"/>
        </w:rPr>
        <w:t>desconocida para los concesionarios, al haber sido· aprobada por éstos,</w:t>
      </w:r>
      <w:r>
        <w:rPr>
          <w:rFonts w:ascii="ITC Avant Garde" w:hAnsi="ITC Avant Garde" w:cs="Arial"/>
          <w:bCs/>
          <w:i/>
          <w:sz w:val="18"/>
          <w:szCs w:val="18"/>
        </w:rPr>
        <w:t xml:space="preserve"> </w:t>
      </w:r>
      <w:r w:rsidRPr="0077606A">
        <w:rPr>
          <w:rFonts w:ascii="ITC Avant Garde" w:hAnsi="ITC Avant Garde" w:cs="Arial"/>
          <w:bCs/>
          <w:i/>
          <w:sz w:val="18"/>
          <w:szCs w:val="18"/>
        </w:rPr>
        <w:t>o bien, por la autoridad.</w:t>
      </w:r>
    </w:p>
    <w:p w14:paraId="3A25EFE1" w14:textId="77777777" w:rsidR="00B04AED" w:rsidRDefault="0077606A" w:rsidP="00B04AED">
      <w:pPr>
        <w:pStyle w:val="Textoindependiente"/>
        <w:spacing w:after="200" w:line="276" w:lineRule="auto"/>
        <w:ind w:left="567" w:right="532"/>
        <w:rPr>
          <w:rFonts w:ascii="ITC Avant Garde" w:hAnsi="ITC Avant Garde" w:cs="Arial"/>
          <w:bCs/>
          <w:i/>
          <w:sz w:val="18"/>
          <w:szCs w:val="18"/>
        </w:rPr>
      </w:pPr>
      <w:r w:rsidRPr="0077606A">
        <w:rPr>
          <w:rFonts w:ascii="ITC Avant Garde" w:hAnsi="ITC Avant Garde" w:cs="Arial"/>
          <w:bCs/>
          <w:i/>
          <w:sz w:val="18"/>
          <w:szCs w:val="18"/>
        </w:rPr>
        <w:t>De acuerdo a lo expuest</w:t>
      </w:r>
      <w:r>
        <w:rPr>
          <w:rFonts w:ascii="ITC Avant Garde" w:hAnsi="ITC Avant Garde" w:cs="Arial"/>
          <w:bCs/>
          <w:i/>
          <w:sz w:val="18"/>
          <w:szCs w:val="18"/>
        </w:rPr>
        <w:t xml:space="preserve">o son infundados los argumentos </w:t>
      </w:r>
      <w:r w:rsidRPr="0077606A">
        <w:rPr>
          <w:rFonts w:ascii="ITC Avant Garde" w:hAnsi="ITC Avant Garde" w:cs="Arial"/>
          <w:bCs/>
          <w:i/>
          <w:sz w:val="18"/>
          <w:szCs w:val="18"/>
        </w:rPr>
        <w:t>vertidos tanto por la autoridad respons</w:t>
      </w:r>
      <w:r>
        <w:rPr>
          <w:rFonts w:ascii="ITC Avant Garde" w:hAnsi="ITC Avant Garde" w:cs="Arial"/>
          <w:bCs/>
          <w:i/>
          <w:sz w:val="18"/>
          <w:szCs w:val="18"/>
        </w:rPr>
        <w:t xml:space="preserve">able, así como por las terceras </w:t>
      </w:r>
      <w:r w:rsidRPr="0077606A">
        <w:rPr>
          <w:rFonts w:ascii="ITC Avant Garde" w:hAnsi="ITC Avant Garde" w:cs="Arial"/>
          <w:bCs/>
          <w:i/>
          <w:sz w:val="18"/>
          <w:szCs w:val="18"/>
        </w:rPr>
        <w:t>interesadas, pues en ellos de maner</w:t>
      </w:r>
      <w:r>
        <w:rPr>
          <w:rFonts w:ascii="ITC Avant Garde" w:hAnsi="ITC Avant Garde" w:cs="Arial"/>
          <w:bCs/>
          <w:i/>
          <w:sz w:val="18"/>
          <w:szCs w:val="18"/>
        </w:rPr>
        <w:t xml:space="preserve">a sustancial sostuvieron que la </w:t>
      </w:r>
      <w:r w:rsidRPr="0077606A">
        <w:rPr>
          <w:rFonts w:ascii="ITC Avant Garde" w:hAnsi="ITC Avant Garde" w:cs="Arial"/>
          <w:bCs/>
          <w:i/>
          <w:sz w:val="18"/>
          <w:szCs w:val="18"/>
        </w:rPr>
        <w:t>jueza no debió efectuar una interpretaci</w:t>
      </w:r>
      <w:r>
        <w:rPr>
          <w:rFonts w:ascii="ITC Avant Garde" w:hAnsi="ITC Avant Garde" w:cs="Arial"/>
          <w:bCs/>
          <w:i/>
          <w:sz w:val="18"/>
          <w:szCs w:val="18"/>
        </w:rPr>
        <w:t xml:space="preserve">ón sistemática sino literal del </w:t>
      </w:r>
      <w:r w:rsidRPr="0077606A">
        <w:rPr>
          <w:rFonts w:ascii="ITC Avant Garde" w:hAnsi="ITC Avant Garde" w:cs="Arial"/>
          <w:bCs/>
          <w:i/>
          <w:sz w:val="18"/>
          <w:szCs w:val="18"/>
        </w:rPr>
        <w:t>artículo vigésimo transitorio, segundo p</w:t>
      </w:r>
      <w:r>
        <w:rPr>
          <w:rFonts w:ascii="ITC Avant Garde" w:hAnsi="ITC Avant Garde" w:cs="Arial"/>
          <w:bCs/>
          <w:i/>
          <w:sz w:val="18"/>
          <w:szCs w:val="18"/>
        </w:rPr>
        <w:t xml:space="preserve">árrafo, de la LFTR, y que debió </w:t>
      </w:r>
      <w:r w:rsidRPr="0077606A">
        <w:rPr>
          <w:rFonts w:ascii="ITC Avant Garde" w:hAnsi="ITC Avant Garde" w:cs="Arial"/>
          <w:bCs/>
          <w:i/>
          <w:sz w:val="18"/>
          <w:szCs w:val="18"/>
        </w:rPr>
        <w:t xml:space="preserve">concluir que las prescripciones </w:t>
      </w:r>
      <w:r>
        <w:rPr>
          <w:rFonts w:ascii="ITC Avant Garde" w:hAnsi="ITC Avant Garde" w:cs="Arial"/>
          <w:bCs/>
          <w:i/>
          <w:sz w:val="18"/>
          <w:szCs w:val="18"/>
        </w:rPr>
        <w:t xml:space="preserve">contenidas en la disposición transitoria </w:t>
      </w:r>
      <w:r w:rsidRPr="0077606A">
        <w:rPr>
          <w:rFonts w:ascii="ITC Avant Garde" w:hAnsi="ITC Avant Garde" w:cs="Arial"/>
          <w:bCs/>
          <w:i/>
          <w:sz w:val="18"/>
          <w:szCs w:val="18"/>
        </w:rPr>
        <w:t xml:space="preserve">en comento deben ser armonizadas con el diverso sexto </w:t>
      </w:r>
      <w:r>
        <w:rPr>
          <w:rFonts w:ascii="ITC Avant Garde" w:hAnsi="ITC Avant Garde" w:cs="Arial"/>
          <w:bCs/>
          <w:i/>
          <w:sz w:val="18"/>
          <w:szCs w:val="18"/>
        </w:rPr>
        <w:t xml:space="preserve">transitorio de </w:t>
      </w:r>
      <w:r w:rsidRPr="0077606A">
        <w:rPr>
          <w:rFonts w:ascii="ITC Avant Garde" w:hAnsi="ITC Avant Garde" w:cs="Arial"/>
          <w:bCs/>
          <w:i/>
          <w:sz w:val="18"/>
          <w:szCs w:val="18"/>
        </w:rPr>
        <w:t>la ley citada.</w:t>
      </w:r>
    </w:p>
    <w:p w14:paraId="5BEF748B" w14:textId="77777777" w:rsidR="00B04AED" w:rsidRDefault="00CB75EB" w:rsidP="00B04AED">
      <w:pPr>
        <w:pStyle w:val="Textoindependiente"/>
        <w:spacing w:after="200" w:line="276" w:lineRule="auto"/>
        <w:ind w:left="567" w:right="532"/>
        <w:rPr>
          <w:rFonts w:ascii="ITC Avant Garde" w:hAnsi="ITC Avant Garde" w:cs="Arial"/>
          <w:bCs/>
          <w:i/>
          <w:sz w:val="18"/>
          <w:szCs w:val="18"/>
        </w:rPr>
      </w:pPr>
      <w:r w:rsidRPr="00CB75EB">
        <w:rPr>
          <w:rFonts w:ascii="ITC Avant Garde" w:hAnsi="ITC Avant Garde" w:cs="Arial"/>
          <w:bCs/>
          <w:i/>
          <w:sz w:val="18"/>
          <w:szCs w:val="18"/>
        </w:rPr>
        <w:t>Empero, sobre esos aspectos la Segunda Sala de la</w:t>
      </w:r>
      <w:r>
        <w:rPr>
          <w:rFonts w:ascii="ITC Avant Garde" w:hAnsi="ITC Avant Garde" w:cs="Arial"/>
          <w:bCs/>
          <w:i/>
          <w:sz w:val="18"/>
          <w:szCs w:val="18"/>
        </w:rPr>
        <w:t xml:space="preserve"> Suprema Corte de Just</w:t>
      </w:r>
      <w:r w:rsidRPr="00CB75EB">
        <w:rPr>
          <w:rFonts w:ascii="ITC Avant Garde" w:hAnsi="ITC Avant Garde" w:cs="Arial"/>
          <w:bCs/>
          <w:i/>
          <w:sz w:val="18"/>
          <w:szCs w:val="18"/>
        </w:rPr>
        <w:t>icia de la Na</w:t>
      </w:r>
      <w:r>
        <w:rPr>
          <w:rFonts w:ascii="ITC Avant Garde" w:hAnsi="ITC Avant Garde" w:cs="Arial"/>
          <w:bCs/>
          <w:i/>
          <w:sz w:val="18"/>
          <w:szCs w:val="18"/>
        </w:rPr>
        <w:t xml:space="preserve">ción, señaló que la disposición </w:t>
      </w:r>
      <w:r w:rsidRPr="00CB75EB">
        <w:rPr>
          <w:rFonts w:ascii="ITC Avant Garde" w:hAnsi="ITC Avant Garde" w:cs="Arial"/>
          <w:bCs/>
          <w:i/>
          <w:sz w:val="18"/>
          <w:szCs w:val="18"/>
        </w:rPr>
        <w:t>transitoria no será inconstitucional si se interpreta de man</w:t>
      </w:r>
      <w:r>
        <w:rPr>
          <w:rFonts w:ascii="ITC Avant Garde" w:hAnsi="ITC Avant Garde" w:cs="Arial"/>
          <w:bCs/>
          <w:i/>
          <w:sz w:val="18"/>
          <w:szCs w:val="18"/>
        </w:rPr>
        <w:t xml:space="preserve">era conjunta </w:t>
      </w:r>
      <w:r w:rsidRPr="00CB75EB">
        <w:rPr>
          <w:rFonts w:ascii="ITC Avant Garde" w:hAnsi="ITC Avant Garde" w:cs="Arial"/>
          <w:bCs/>
          <w:i/>
          <w:sz w:val="18"/>
          <w:szCs w:val="18"/>
        </w:rPr>
        <w:t>con lo previsto en el artículo 131 de la ley citada.</w:t>
      </w:r>
    </w:p>
    <w:p w14:paraId="7C9E9E94" w14:textId="77777777" w:rsidR="00B04AED" w:rsidRDefault="00CB75EB" w:rsidP="00B04AED">
      <w:pPr>
        <w:pStyle w:val="Textoindependiente"/>
        <w:spacing w:after="200" w:line="276" w:lineRule="auto"/>
        <w:ind w:left="567" w:right="532"/>
        <w:rPr>
          <w:rFonts w:ascii="ITC Avant Garde" w:hAnsi="ITC Avant Garde" w:cs="Arial"/>
          <w:bCs/>
          <w:i/>
          <w:sz w:val="18"/>
          <w:szCs w:val="18"/>
        </w:rPr>
      </w:pPr>
      <w:r>
        <w:rPr>
          <w:rFonts w:ascii="ITC Avant Garde" w:hAnsi="ITC Avant Garde" w:cs="Arial"/>
          <w:bCs/>
          <w:i/>
          <w:sz w:val="18"/>
          <w:szCs w:val="18"/>
        </w:rPr>
        <w:t>[…]</w:t>
      </w:r>
    </w:p>
    <w:p w14:paraId="059ADA0D" w14:textId="77777777" w:rsidR="00B04AED" w:rsidRDefault="00114F80" w:rsidP="00B04AED">
      <w:pPr>
        <w:pStyle w:val="Textoindependiente"/>
        <w:spacing w:after="200" w:line="276" w:lineRule="auto"/>
        <w:ind w:left="567" w:right="532"/>
        <w:rPr>
          <w:rFonts w:ascii="ITC Avant Garde" w:hAnsi="ITC Avant Garde" w:cs="Arial"/>
          <w:bCs/>
          <w:i/>
          <w:sz w:val="18"/>
        </w:rPr>
      </w:pPr>
      <w:r w:rsidRPr="006D6AF9">
        <w:rPr>
          <w:rFonts w:ascii="ITC Avant Garde" w:hAnsi="ITC Avant Garde" w:cs="Arial"/>
          <w:bCs/>
          <w:i/>
          <w:sz w:val="18"/>
        </w:rPr>
        <w:t xml:space="preserve">En </w:t>
      </w:r>
      <w:r w:rsidR="00DE14F1" w:rsidRPr="006D6AF9">
        <w:rPr>
          <w:rFonts w:ascii="ITC Avant Garde" w:hAnsi="ITC Avant Garde" w:cs="Arial"/>
          <w:bCs/>
          <w:i/>
          <w:sz w:val="18"/>
        </w:rPr>
        <w:t>consecuencia,</w:t>
      </w:r>
      <w:r w:rsidRPr="006D6AF9">
        <w:rPr>
          <w:rFonts w:ascii="ITC Avant Garde" w:hAnsi="ITC Avant Garde" w:cs="Arial"/>
          <w:bCs/>
          <w:i/>
          <w:sz w:val="18"/>
        </w:rPr>
        <w:t xml:space="preserve"> por lo expuesto, fundado y con </w:t>
      </w:r>
      <w:r w:rsidR="002B63CA" w:rsidRPr="006D6AF9">
        <w:rPr>
          <w:rFonts w:ascii="ITC Avant Garde" w:hAnsi="ITC Avant Garde" w:cs="Arial"/>
          <w:bCs/>
          <w:i/>
          <w:sz w:val="18"/>
        </w:rPr>
        <w:t>apoyo,</w:t>
      </w:r>
      <w:r w:rsidRPr="006D6AF9">
        <w:rPr>
          <w:rFonts w:ascii="ITC Avant Garde" w:hAnsi="ITC Avant Garde" w:cs="Arial"/>
          <w:bCs/>
          <w:i/>
          <w:sz w:val="18"/>
        </w:rPr>
        <w:t xml:space="preserve"> además</w:t>
      </w:r>
      <w:r w:rsidR="002B63CA">
        <w:rPr>
          <w:rFonts w:ascii="ITC Avant Garde" w:hAnsi="ITC Avant Garde" w:cs="Arial"/>
          <w:bCs/>
          <w:i/>
          <w:sz w:val="18"/>
        </w:rPr>
        <w:t>,</w:t>
      </w:r>
      <w:r w:rsidRPr="006D6AF9">
        <w:rPr>
          <w:rFonts w:ascii="ITC Avant Garde" w:hAnsi="ITC Avant Garde" w:cs="Arial"/>
          <w:bCs/>
          <w:i/>
          <w:sz w:val="18"/>
        </w:rPr>
        <w:t xml:space="preserve"> en los artículos 107, fracción VIII, inciso a), de la Constitución General de la República</w:t>
      </w:r>
      <w:r w:rsidR="005E18B8">
        <w:rPr>
          <w:rFonts w:ascii="ITC Avant Garde" w:hAnsi="ITC Avant Garde" w:cs="Arial"/>
          <w:bCs/>
          <w:i/>
          <w:sz w:val="18"/>
        </w:rPr>
        <w:t>, 81, fracción I inciso e), y 83</w:t>
      </w:r>
      <w:r w:rsidRPr="006D6AF9">
        <w:rPr>
          <w:rFonts w:ascii="ITC Avant Garde" w:hAnsi="ITC Avant Garde" w:cs="Arial"/>
          <w:bCs/>
          <w:i/>
          <w:sz w:val="18"/>
        </w:rPr>
        <w:t xml:space="preserve"> dela Ley de Amparo y 10 fracción II, inciso a) de la Ley Orgánica del Poder Judici</w:t>
      </w:r>
      <w:r w:rsidR="002B63CA">
        <w:rPr>
          <w:rFonts w:ascii="ITC Avant Garde" w:hAnsi="ITC Avant Garde" w:cs="Arial"/>
          <w:bCs/>
          <w:i/>
          <w:sz w:val="18"/>
        </w:rPr>
        <w:t>al de la Federación, se</w:t>
      </w:r>
    </w:p>
    <w:p w14:paraId="7ACE76FD" w14:textId="77777777" w:rsidR="00B04AED" w:rsidRDefault="002B63CA" w:rsidP="00B04AED">
      <w:pPr>
        <w:widowControl w:val="0"/>
        <w:jc w:val="center"/>
        <w:outlineLvl w:val="2"/>
        <w:rPr>
          <w:rFonts w:ascii="ITC Avant Garde" w:eastAsia="Times New Roman" w:hAnsi="ITC Avant Garde"/>
          <w:b/>
          <w:bCs/>
        </w:rPr>
      </w:pPr>
      <w:r w:rsidRPr="00C70E00">
        <w:rPr>
          <w:rFonts w:ascii="ITC Avant Garde" w:eastAsia="Times New Roman" w:hAnsi="ITC Avant Garde"/>
          <w:b/>
          <w:bCs/>
        </w:rPr>
        <w:t>RESUELVE</w:t>
      </w:r>
    </w:p>
    <w:p w14:paraId="7033FEE1" w14:textId="77777777" w:rsidR="00B04AED" w:rsidRDefault="00114F80" w:rsidP="00B04AED">
      <w:pPr>
        <w:ind w:left="567" w:right="567"/>
        <w:jc w:val="both"/>
        <w:rPr>
          <w:rFonts w:ascii="ITC Avant Garde" w:eastAsia="Times New Roman" w:hAnsi="ITC Avant Garde"/>
          <w:i/>
          <w:iCs/>
          <w:sz w:val="18"/>
          <w:szCs w:val="24"/>
          <w:lang w:val="es-ES" w:eastAsia="es-ES"/>
        </w:rPr>
      </w:pPr>
      <w:r w:rsidRPr="005C3AA9">
        <w:rPr>
          <w:rFonts w:ascii="ITC Avant Garde" w:eastAsia="Times New Roman" w:hAnsi="ITC Avant Garde"/>
          <w:b/>
          <w:i/>
          <w:iCs/>
          <w:sz w:val="18"/>
          <w:szCs w:val="24"/>
          <w:lang w:val="es-ES" w:eastAsia="es-ES"/>
        </w:rPr>
        <w:t>PRIMERO.</w:t>
      </w:r>
      <w:r w:rsidRPr="005C3AA9">
        <w:rPr>
          <w:rFonts w:ascii="ITC Avant Garde" w:eastAsia="Times New Roman" w:hAnsi="ITC Avant Garde"/>
          <w:i/>
          <w:iCs/>
          <w:sz w:val="18"/>
          <w:szCs w:val="24"/>
          <w:lang w:val="es-ES" w:eastAsia="es-ES"/>
        </w:rPr>
        <w:t xml:space="preserve"> En la materia </w:t>
      </w:r>
      <w:r w:rsidR="00C61DDB">
        <w:rPr>
          <w:rFonts w:ascii="ITC Avant Garde" w:eastAsia="Times New Roman" w:hAnsi="ITC Avant Garde"/>
          <w:i/>
          <w:iCs/>
          <w:sz w:val="18"/>
          <w:szCs w:val="24"/>
          <w:lang w:val="es-ES" w:eastAsia="es-ES"/>
        </w:rPr>
        <w:t xml:space="preserve">reservada a este tribunal colegiado, se </w:t>
      </w:r>
      <w:r w:rsidR="00C61DDB" w:rsidRPr="00C61DDB">
        <w:rPr>
          <w:rFonts w:ascii="ITC Avant Garde" w:eastAsia="Times New Roman" w:hAnsi="ITC Avant Garde"/>
          <w:b/>
          <w:i/>
          <w:iCs/>
          <w:sz w:val="18"/>
          <w:szCs w:val="24"/>
          <w:lang w:val="es-ES" w:eastAsia="es-ES"/>
        </w:rPr>
        <w:t>CONFIRMA</w:t>
      </w:r>
      <w:r w:rsidR="00C61DDB">
        <w:rPr>
          <w:rFonts w:ascii="ITC Avant Garde" w:eastAsia="Times New Roman" w:hAnsi="ITC Avant Garde"/>
          <w:b/>
          <w:i/>
          <w:iCs/>
          <w:sz w:val="18"/>
          <w:szCs w:val="24"/>
          <w:lang w:val="es-ES" w:eastAsia="es-ES"/>
        </w:rPr>
        <w:t xml:space="preserve"> </w:t>
      </w:r>
      <w:r w:rsidR="00C61DDB">
        <w:rPr>
          <w:rFonts w:ascii="ITC Avant Garde" w:eastAsia="Times New Roman" w:hAnsi="ITC Avant Garde"/>
          <w:i/>
          <w:iCs/>
          <w:sz w:val="18"/>
          <w:szCs w:val="24"/>
          <w:lang w:val="es-ES" w:eastAsia="es-ES"/>
        </w:rPr>
        <w:t>la sentencia recurrida.</w:t>
      </w:r>
    </w:p>
    <w:p w14:paraId="0655F376" w14:textId="5DB7D35A" w:rsidR="00C61DDB" w:rsidRDefault="00114F80" w:rsidP="00B04AED">
      <w:pPr>
        <w:ind w:left="567" w:right="567"/>
        <w:jc w:val="both"/>
        <w:rPr>
          <w:rFonts w:ascii="ITC Avant Garde" w:eastAsia="Times New Roman" w:hAnsi="ITC Avant Garde"/>
          <w:i/>
          <w:iCs/>
          <w:sz w:val="18"/>
          <w:szCs w:val="24"/>
          <w:lang w:val="es-ES" w:eastAsia="es-ES"/>
        </w:rPr>
      </w:pPr>
      <w:r w:rsidRPr="005C3AA9">
        <w:rPr>
          <w:rFonts w:ascii="ITC Avant Garde" w:eastAsia="Times New Roman" w:hAnsi="ITC Avant Garde"/>
          <w:b/>
          <w:i/>
          <w:iCs/>
          <w:sz w:val="18"/>
          <w:szCs w:val="24"/>
          <w:lang w:val="es-ES" w:eastAsia="es-ES"/>
        </w:rPr>
        <w:t>SEGUNDO.</w:t>
      </w:r>
      <w:r w:rsidRPr="005C3AA9">
        <w:rPr>
          <w:rFonts w:ascii="ITC Avant Garde" w:eastAsia="Times New Roman" w:hAnsi="ITC Avant Garde"/>
          <w:i/>
          <w:iCs/>
          <w:sz w:val="18"/>
          <w:szCs w:val="24"/>
          <w:lang w:val="es-ES" w:eastAsia="es-ES"/>
        </w:rPr>
        <w:t xml:space="preserve"> </w:t>
      </w:r>
      <w:r w:rsidR="00C61DDB">
        <w:rPr>
          <w:rFonts w:ascii="ITC Avant Garde" w:eastAsia="Times New Roman" w:hAnsi="ITC Avant Garde"/>
          <w:i/>
          <w:iCs/>
          <w:sz w:val="18"/>
          <w:szCs w:val="24"/>
          <w:lang w:val="es-ES" w:eastAsia="es-ES"/>
        </w:rPr>
        <w:t xml:space="preserve">La Justicia de la Unión </w:t>
      </w:r>
      <w:r w:rsidR="00C61DDB">
        <w:rPr>
          <w:rFonts w:ascii="ITC Avant Garde" w:eastAsia="Times New Roman" w:hAnsi="ITC Avant Garde"/>
          <w:b/>
          <w:i/>
          <w:iCs/>
          <w:sz w:val="18"/>
          <w:szCs w:val="24"/>
          <w:lang w:val="es-ES" w:eastAsia="es-ES"/>
        </w:rPr>
        <w:t xml:space="preserve">NO AMPARA NI PROTEGE </w:t>
      </w:r>
      <w:r w:rsidR="00C61DDB">
        <w:rPr>
          <w:rFonts w:ascii="ITC Avant Garde" w:eastAsia="Times New Roman" w:hAnsi="ITC Avant Garde"/>
          <w:i/>
          <w:iCs/>
          <w:sz w:val="18"/>
          <w:szCs w:val="24"/>
          <w:lang w:val="es-ES" w:eastAsia="es-ES"/>
        </w:rPr>
        <w:t xml:space="preserve">a </w:t>
      </w:r>
      <w:r w:rsidR="00C61DDB">
        <w:rPr>
          <w:rFonts w:ascii="ITC Avant Garde" w:eastAsia="Times New Roman" w:hAnsi="ITC Avant Garde"/>
          <w:b/>
          <w:i/>
          <w:iCs/>
          <w:sz w:val="18"/>
          <w:szCs w:val="24"/>
          <w:lang w:val="es-ES" w:eastAsia="es-ES"/>
        </w:rPr>
        <w:t xml:space="preserve">RADIOMÓVIL DIPSA, SOCIEDAD ANÓNIMA DE CAPITAL </w:t>
      </w:r>
      <w:r w:rsidR="00C61DDB" w:rsidRPr="00C61DDB">
        <w:rPr>
          <w:rFonts w:ascii="ITC Avant Garde" w:eastAsia="Times New Roman" w:hAnsi="ITC Avant Garde"/>
          <w:b/>
          <w:i/>
          <w:iCs/>
          <w:sz w:val="18"/>
          <w:szCs w:val="24"/>
          <w:lang w:val="es-ES" w:eastAsia="es-ES"/>
        </w:rPr>
        <w:t>VARIABLE</w:t>
      </w:r>
      <w:r w:rsidR="00C61DDB">
        <w:rPr>
          <w:rFonts w:ascii="ITC Avant Garde" w:eastAsia="Times New Roman" w:hAnsi="ITC Avant Garde"/>
          <w:b/>
          <w:i/>
          <w:iCs/>
          <w:sz w:val="18"/>
          <w:szCs w:val="24"/>
          <w:lang w:val="es-ES" w:eastAsia="es-ES"/>
        </w:rPr>
        <w:t>,</w:t>
      </w:r>
      <w:r w:rsidR="00C61DDB">
        <w:rPr>
          <w:rFonts w:ascii="ITC Avant Garde" w:eastAsia="Times New Roman" w:hAnsi="ITC Avant Garde"/>
          <w:i/>
          <w:iCs/>
          <w:sz w:val="18"/>
          <w:szCs w:val="24"/>
          <w:lang w:val="es-ES" w:eastAsia="es-ES"/>
        </w:rPr>
        <w:t xml:space="preserve"> en contra de los actos de autoridad precisados en el resolutivo segundo de la sentencia recurrida.</w:t>
      </w:r>
    </w:p>
    <w:p w14:paraId="67FF3478" w14:textId="77777777" w:rsidR="00B04AED" w:rsidRDefault="00C61DDB" w:rsidP="00B04AED">
      <w:pPr>
        <w:ind w:left="567" w:right="567"/>
        <w:jc w:val="both"/>
        <w:rPr>
          <w:rFonts w:ascii="ITC Avant Garde" w:eastAsia="Times New Roman" w:hAnsi="ITC Avant Garde"/>
          <w:i/>
          <w:iCs/>
          <w:sz w:val="18"/>
          <w:szCs w:val="24"/>
          <w:lang w:val="es-ES" w:eastAsia="es-ES"/>
        </w:rPr>
      </w:pPr>
      <w:r>
        <w:rPr>
          <w:rFonts w:ascii="ITC Avant Garde" w:eastAsia="Times New Roman" w:hAnsi="ITC Avant Garde"/>
          <w:b/>
          <w:i/>
          <w:iCs/>
          <w:sz w:val="18"/>
          <w:szCs w:val="24"/>
          <w:lang w:val="es-ES" w:eastAsia="es-ES"/>
        </w:rPr>
        <w:t xml:space="preserve">TERCERO. </w:t>
      </w:r>
      <w:r>
        <w:rPr>
          <w:rFonts w:ascii="ITC Avant Garde" w:eastAsia="Times New Roman" w:hAnsi="ITC Avant Garde"/>
          <w:i/>
          <w:iCs/>
          <w:sz w:val="18"/>
          <w:szCs w:val="24"/>
          <w:lang w:val="es-ES" w:eastAsia="es-ES"/>
        </w:rPr>
        <w:t xml:space="preserve">La Justicia de la Unión </w:t>
      </w:r>
      <w:r>
        <w:rPr>
          <w:rFonts w:ascii="ITC Avant Garde" w:eastAsia="Times New Roman" w:hAnsi="ITC Avant Garde"/>
          <w:b/>
          <w:i/>
          <w:iCs/>
          <w:sz w:val="18"/>
          <w:szCs w:val="24"/>
          <w:lang w:val="es-ES" w:eastAsia="es-ES"/>
        </w:rPr>
        <w:t xml:space="preserve">AMPARA PROTEGE </w:t>
      </w:r>
      <w:r>
        <w:rPr>
          <w:rFonts w:ascii="ITC Avant Garde" w:eastAsia="Times New Roman" w:hAnsi="ITC Avant Garde"/>
          <w:i/>
          <w:iCs/>
          <w:sz w:val="18"/>
          <w:szCs w:val="24"/>
          <w:lang w:val="es-ES" w:eastAsia="es-ES"/>
        </w:rPr>
        <w:t xml:space="preserve">a </w:t>
      </w:r>
      <w:r>
        <w:rPr>
          <w:rFonts w:ascii="ITC Avant Garde" w:eastAsia="Times New Roman" w:hAnsi="ITC Avant Garde"/>
          <w:b/>
          <w:i/>
          <w:iCs/>
          <w:sz w:val="18"/>
          <w:szCs w:val="24"/>
          <w:lang w:val="es-ES" w:eastAsia="es-ES"/>
        </w:rPr>
        <w:t xml:space="preserve">RADIOMÓVIL DIPSA, SOCIEDAD ANÓNIMA DE CAPITAL </w:t>
      </w:r>
      <w:r w:rsidRPr="00C61DDB">
        <w:rPr>
          <w:rFonts w:ascii="ITC Avant Garde" w:eastAsia="Times New Roman" w:hAnsi="ITC Avant Garde"/>
          <w:b/>
          <w:i/>
          <w:iCs/>
          <w:sz w:val="18"/>
          <w:szCs w:val="24"/>
          <w:lang w:val="es-ES" w:eastAsia="es-ES"/>
        </w:rPr>
        <w:t>VARIABLE</w:t>
      </w:r>
      <w:r>
        <w:rPr>
          <w:rFonts w:ascii="ITC Avant Garde" w:eastAsia="Times New Roman" w:hAnsi="ITC Avant Garde"/>
          <w:b/>
          <w:i/>
          <w:iCs/>
          <w:sz w:val="18"/>
          <w:szCs w:val="24"/>
          <w:lang w:val="es-ES" w:eastAsia="es-ES"/>
        </w:rPr>
        <w:t>,</w:t>
      </w:r>
      <w:r>
        <w:rPr>
          <w:rFonts w:ascii="ITC Avant Garde" w:eastAsia="Times New Roman" w:hAnsi="ITC Avant Garde"/>
          <w:i/>
          <w:iCs/>
          <w:sz w:val="18"/>
          <w:szCs w:val="24"/>
          <w:lang w:val="es-ES" w:eastAsia="es-ES"/>
        </w:rPr>
        <w:t xml:space="preserve"> en contra de los actos y de la autoridad precisada en el considerando segundo, por las razones y para los efectos expuestos en el considerando último de la sentencia que por esta vía se revisa.</w:t>
      </w:r>
    </w:p>
    <w:p w14:paraId="6AB78F2F" w14:textId="77777777" w:rsidR="00B04AED" w:rsidRDefault="00C61DDB" w:rsidP="00B04AED">
      <w:pPr>
        <w:ind w:left="567" w:right="567"/>
        <w:jc w:val="both"/>
        <w:rPr>
          <w:rFonts w:ascii="ITC Avant Garde" w:hAnsi="ITC Avant Garde" w:cs="Arial"/>
          <w:bCs/>
          <w:i/>
          <w:iCs/>
          <w:sz w:val="18"/>
          <w:lang w:val="es-ES"/>
        </w:rPr>
      </w:pPr>
      <w:r>
        <w:rPr>
          <w:rFonts w:ascii="ITC Avant Garde" w:hAnsi="ITC Avant Garde" w:cs="Arial"/>
          <w:b/>
          <w:bCs/>
          <w:i/>
          <w:sz w:val="18"/>
        </w:rPr>
        <w:t>CUARTO.</w:t>
      </w:r>
      <w:r>
        <w:rPr>
          <w:rFonts w:ascii="ITC Avant Garde" w:hAnsi="ITC Avant Garde" w:cs="Arial"/>
          <w:bCs/>
          <w:i/>
          <w:sz w:val="18"/>
        </w:rPr>
        <w:t xml:space="preserve"> Se declara sin materia el recurso de revisión adhesiva interpuesto por </w:t>
      </w:r>
      <w:r w:rsidRPr="00C61DDB">
        <w:rPr>
          <w:rFonts w:ascii="ITC Avant Garde" w:hAnsi="ITC Avant Garde" w:cs="Arial"/>
          <w:b/>
          <w:bCs/>
          <w:i/>
          <w:iCs/>
          <w:sz w:val="18"/>
          <w:lang w:val="es-ES"/>
        </w:rPr>
        <w:t>RADIOMÓVIL DIPSA, SOCIEDAD ANÓNIMA DE CAPITAL VARIABLE,</w:t>
      </w:r>
      <w:r>
        <w:rPr>
          <w:rFonts w:ascii="ITC Avant Garde" w:hAnsi="ITC Avant Garde" w:cs="Arial"/>
          <w:bCs/>
          <w:i/>
          <w:iCs/>
          <w:sz w:val="18"/>
          <w:lang w:val="es-ES"/>
        </w:rPr>
        <w:t xml:space="preserve"> por los motivos expuestos en el considerando noveno de esta ejecutoria.</w:t>
      </w:r>
    </w:p>
    <w:p w14:paraId="6A889D67" w14:textId="77777777" w:rsidR="00B04AED" w:rsidRDefault="00C61DDB" w:rsidP="00B04AED">
      <w:pPr>
        <w:ind w:left="567" w:right="567"/>
        <w:jc w:val="both"/>
        <w:rPr>
          <w:rFonts w:ascii="ITC Avant Garde" w:hAnsi="ITC Avant Garde" w:cs="Arial"/>
          <w:bCs/>
          <w:i/>
          <w:sz w:val="18"/>
        </w:rPr>
      </w:pPr>
      <w:r>
        <w:rPr>
          <w:rFonts w:ascii="ITC Avant Garde" w:hAnsi="ITC Avant Garde" w:cs="Arial"/>
          <w:bCs/>
          <w:i/>
          <w:sz w:val="18"/>
        </w:rPr>
        <w:t>[…]”</w:t>
      </w:r>
    </w:p>
    <w:p w14:paraId="4ED1F7F2" w14:textId="77777777" w:rsidR="00B04AED" w:rsidRDefault="002818FE" w:rsidP="00B04AED">
      <w:pPr>
        <w:widowControl w:val="0"/>
        <w:tabs>
          <w:tab w:val="left" w:pos="720"/>
          <w:tab w:val="center" w:pos="4419"/>
          <w:tab w:val="right" w:pos="8838"/>
        </w:tabs>
        <w:jc w:val="both"/>
        <w:rPr>
          <w:rFonts w:ascii="ITC Avant Garde" w:eastAsia="Times New Roman" w:hAnsi="ITC Avant Garde"/>
          <w:szCs w:val="20"/>
        </w:rPr>
      </w:pPr>
      <w:r w:rsidRPr="005D0D2B">
        <w:rPr>
          <w:rFonts w:ascii="ITC Avant Garde" w:eastAsia="Times New Roman" w:hAnsi="ITC Avant Garde" w:cs="Arial"/>
          <w:szCs w:val="20"/>
        </w:rPr>
        <w:t xml:space="preserve">Es así que con </w:t>
      </w:r>
      <w:r w:rsidR="006D0260" w:rsidRPr="005D0D2B">
        <w:rPr>
          <w:rFonts w:ascii="ITC Avant Garde" w:eastAsia="Times New Roman" w:hAnsi="ITC Avant Garde" w:cs="Arial"/>
          <w:szCs w:val="20"/>
        </w:rPr>
        <w:t xml:space="preserve">fecha </w:t>
      </w:r>
      <w:r w:rsidR="000E1AA3">
        <w:rPr>
          <w:rFonts w:ascii="ITC Avant Garde" w:eastAsia="Times New Roman" w:hAnsi="ITC Avant Garde" w:cs="Arial"/>
          <w:szCs w:val="20"/>
        </w:rPr>
        <w:t xml:space="preserve">9 </w:t>
      </w:r>
      <w:r w:rsidR="005D0D2B" w:rsidRPr="005D0D2B">
        <w:rPr>
          <w:rFonts w:ascii="ITC Avant Garde" w:eastAsia="Times New Roman" w:hAnsi="ITC Avant Garde" w:cs="Arial"/>
          <w:szCs w:val="20"/>
        </w:rPr>
        <w:t xml:space="preserve">de </w:t>
      </w:r>
      <w:r w:rsidR="00FA4E91">
        <w:rPr>
          <w:rFonts w:ascii="ITC Avant Garde" w:eastAsia="Times New Roman" w:hAnsi="ITC Avant Garde" w:cs="Arial"/>
          <w:szCs w:val="20"/>
        </w:rPr>
        <w:t>abril</w:t>
      </w:r>
      <w:r w:rsidR="006D0260" w:rsidRPr="005D0D2B">
        <w:rPr>
          <w:rFonts w:ascii="ITC Avant Garde" w:eastAsia="Times New Roman" w:hAnsi="ITC Avant Garde" w:cs="Arial"/>
          <w:szCs w:val="20"/>
        </w:rPr>
        <w:t xml:space="preserve"> de 2018</w:t>
      </w:r>
      <w:r w:rsidRPr="005D0D2B">
        <w:rPr>
          <w:rFonts w:ascii="ITC Avant Garde" w:eastAsia="Times New Roman" w:hAnsi="ITC Avant Garde" w:cs="Arial"/>
          <w:szCs w:val="20"/>
        </w:rPr>
        <w:t>, se recibió en la Oficialía de Partes de este Instituto, la ejecutoria correspo</w:t>
      </w:r>
      <w:r w:rsidR="00341E70" w:rsidRPr="005D0D2B">
        <w:rPr>
          <w:rFonts w:ascii="ITC Avant Garde" w:eastAsia="Times New Roman" w:hAnsi="ITC Avant Garde" w:cs="Arial"/>
          <w:szCs w:val="20"/>
        </w:rPr>
        <w:t xml:space="preserve">ndiente al amparo en revisión </w:t>
      </w:r>
      <w:r w:rsidR="00FA4E91">
        <w:rPr>
          <w:rFonts w:ascii="ITC Avant Garde" w:eastAsia="Times New Roman" w:hAnsi="ITC Avant Garde" w:cs="Arial"/>
          <w:szCs w:val="20"/>
        </w:rPr>
        <w:t>113</w:t>
      </w:r>
      <w:r w:rsidRPr="005D0D2B">
        <w:rPr>
          <w:rFonts w:ascii="ITC Avant Garde" w:eastAsia="Times New Roman" w:hAnsi="ITC Avant Garde" w:cs="Arial"/>
          <w:szCs w:val="20"/>
        </w:rPr>
        <w:t xml:space="preserve">/2016, de fecha </w:t>
      </w:r>
      <w:r w:rsidR="00330A9B">
        <w:rPr>
          <w:rFonts w:ascii="ITC Avant Garde" w:eastAsia="Times New Roman" w:hAnsi="ITC Avant Garde" w:cs="Arial"/>
          <w:szCs w:val="20"/>
        </w:rPr>
        <w:t>27</w:t>
      </w:r>
      <w:r w:rsidR="005D0D2B">
        <w:rPr>
          <w:rFonts w:ascii="ITC Avant Garde" w:eastAsia="Times New Roman" w:hAnsi="ITC Avant Garde" w:cs="Arial"/>
          <w:szCs w:val="20"/>
        </w:rPr>
        <w:t xml:space="preserve"> de marzo</w:t>
      </w:r>
      <w:r w:rsidR="006D0260" w:rsidRPr="005D0D2B">
        <w:rPr>
          <w:rFonts w:ascii="ITC Avant Garde" w:eastAsia="Times New Roman" w:hAnsi="ITC Avant Garde" w:cs="Arial"/>
          <w:szCs w:val="20"/>
        </w:rPr>
        <w:t xml:space="preserve"> de 2018</w:t>
      </w:r>
      <w:r w:rsidRPr="005D0D2B">
        <w:rPr>
          <w:rFonts w:ascii="ITC Avant Garde" w:eastAsia="Times New Roman" w:hAnsi="ITC Avant Garde" w:cs="Arial"/>
          <w:szCs w:val="20"/>
        </w:rPr>
        <w:t xml:space="preserve">, emitida por el </w:t>
      </w:r>
      <w:r w:rsidR="00330A9B">
        <w:rPr>
          <w:rFonts w:ascii="ITC Avant Garde" w:hAnsi="ITC Avant Garde" w:cs="Arial"/>
          <w:szCs w:val="20"/>
        </w:rPr>
        <w:t>Primer</w:t>
      </w:r>
      <w:r w:rsidRPr="005D0D2B">
        <w:rPr>
          <w:rFonts w:ascii="ITC Avant Garde" w:hAnsi="ITC Avant Garde" w:cs="Arial"/>
          <w:szCs w:val="20"/>
        </w:rPr>
        <w:t xml:space="preserve"> Tribunal Colegiado en Materia Administrativa Especializado en Competencia Económica, Radiodifusión y Telecomunicaciones </w:t>
      </w:r>
      <w:r w:rsidRPr="005D0D2B">
        <w:rPr>
          <w:rFonts w:ascii="ITC Avant Garde" w:hAnsi="ITC Avant Garde" w:cs="Arial"/>
          <w:bCs/>
        </w:rPr>
        <w:t>con residencia en la Ciudad de México y jurisdicción en toda la República</w:t>
      </w:r>
      <w:r w:rsidR="000A1252" w:rsidRPr="005D0D2B">
        <w:rPr>
          <w:rFonts w:ascii="ITC Avant Garde" w:eastAsia="Times New Roman" w:hAnsi="ITC Avant Garde" w:cs="Arial"/>
          <w:szCs w:val="20"/>
        </w:rPr>
        <w:t xml:space="preserve">, cuyos </w:t>
      </w:r>
      <w:r w:rsidR="000A1252" w:rsidRPr="005D0D2B">
        <w:rPr>
          <w:rFonts w:ascii="ITC Avant Garde" w:hAnsi="ITC Avant Garde"/>
        </w:rPr>
        <w:t>efectos están acotados a lo siguiente:</w:t>
      </w:r>
    </w:p>
    <w:p w14:paraId="75939523" w14:textId="77777777" w:rsidR="00B04AED" w:rsidRDefault="00BC6B53" w:rsidP="00B04AED">
      <w:pPr>
        <w:pStyle w:val="Prrafodelista"/>
        <w:numPr>
          <w:ilvl w:val="0"/>
          <w:numId w:val="13"/>
        </w:numPr>
        <w:spacing w:after="200" w:line="276" w:lineRule="auto"/>
        <w:ind w:left="567"/>
        <w:rPr>
          <w:rFonts w:ascii="ITC Avant Garde" w:hAnsi="ITC Avant Garde"/>
        </w:rPr>
      </w:pPr>
      <w:r w:rsidRPr="00B613DB">
        <w:rPr>
          <w:rFonts w:ascii="ITC Avant Garde" w:hAnsi="ITC Avant Garde"/>
        </w:rPr>
        <w:lastRenderedPageBreak/>
        <w:t>El Instituto debe desincorporar</w:t>
      </w:r>
      <w:r>
        <w:rPr>
          <w:rFonts w:ascii="ITC Avant Garde" w:hAnsi="ITC Avant Garde"/>
        </w:rPr>
        <w:t xml:space="preserve"> de la esfera jurídica de Telcel</w:t>
      </w:r>
      <w:r w:rsidRPr="00B613DB">
        <w:rPr>
          <w:rFonts w:ascii="ITC Avant Garde" w:hAnsi="ITC Avant Garde"/>
        </w:rPr>
        <w:t xml:space="preserve">,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w:t>
      </w:r>
      <w:r>
        <w:rPr>
          <w:rFonts w:ascii="ITC Avant Garde" w:hAnsi="ITC Avant Garde"/>
        </w:rPr>
        <w:t xml:space="preserve">únicamente en lo referente al párrafo tercero de su primer punto de acuerdo, es decir, en el que refiere que las tarifas ahí determinadas sólo podrán ser aplicables desde su resolución, a fin de que dicha </w:t>
      </w:r>
      <w:r w:rsidRPr="00BC6B53">
        <w:rPr>
          <w:rFonts w:ascii="ITC Avant Garde" w:hAnsi="ITC Avant Garde"/>
        </w:rPr>
        <w:t>determinación no le sea aplicada en el futuro.</w:t>
      </w:r>
    </w:p>
    <w:p w14:paraId="13BDD089" w14:textId="77777777" w:rsidR="00B04AED" w:rsidRDefault="000A1252" w:rsidP="00B04AED">
      <w:pPr>
        <w:pStyle w:val="Prrafodelista"/>
        <w:numPr>
          <w:ilvl w:val="0"/>
          <w:numId w:val="13"/>
        </w:numPr>
        <w:spacing w:after="200" w:line="276" w:lineRule="auto"/>
        <w:ind w:left="567"/>
        <w:rPr>
          <w:rFonts w:ascii="ITC Avant Garde" w:hAnsi="ITC Avant Garde"/>
        </w:rPr>
      </w:pPr>
      <w:r w:rsidRPr="00BC6B53">
        <w:rPr>
          <w:rFonts w:ascii="ITC Avant Garde" w:hAnsi="ITC Avant Garde"/>
        </w:rPr>
        <w:t xml:space="preserve">El Instituto debe </w:t>
      </w:r>
      <w:r w:rsidR="00BC6B53" w:rsidRPr="00BC6B53">
        <w:rPr>
          <w:rFonts w:ascii="ITC Avant Garde" w:hAnsi="ITC Avant Garde"/>
        </w:rPr>
        <w:t>dejar insubsistente la resolución de desacuerdo de interconexión P/IFT/120815/371 de 12 de agosto de 2015, sólo en los apartados referentes a que tratándose del periodo comprendido entre el 1 de enero al 11 de agosto de 2015, debían hacerse extensivas las tarifas que las partes hubieren convenido para periodos previos, así como la que el Instituto había determinado para el 2014, y proceda a emitir una nueva en la que fije las tarifas que Telcel debe cubrir a Grupo AT&amp;T, por concepto de los servicios en terminación en usuarios fijos y móviles y de mensajes cortos, para el año 2015.</w:t>
      </w:r>
    </w:p>
    <w:p w14:paraId="5DCB9F5D" w14:textId="39CD4ADD" w:rsidR="00BC6B53" w:rsidRPr="00746B6C" w:rsidRDefault="00BC6B53" w:rsidP="00B04AED">
      <w:pPr>
        <w:pStyle w:val="Textoindependiente"/>
        <w:spacing w:after="200" w:line="276" w:lineRule="auto"/>
        <w:rPr>
          <w:rFonts w:ascii="ITC Avant Garde" w:hAnsi="ITC Avant Garde" w:cs="Arial"/>
        </w:rPr>
      </w:pPr>
      <w:r w:rsidRPr="00746B6C">
        <w:rPr>
          <w:rFonts w:ascii="ITC Avant Garde" w:hAnsi="ITC Avant Garde" w:cs="Arial"/>
        </w:rPr>
        <w:t>Al respecto, resulta menester señalar que el Pleno del Instituto mediante Acuerdo P/IFT/120917/547</w:t>
      </w:r>
      <w:r w:rsidRPr="00746B6C">
        <w:rPr>
          <w:rStyle w:val="Refdenotaalpie"/>
          <w:rFonts w:ascii="ITC Avant Garde" w:hAnsi="ITC Avant Garde" w:cs="Arial"/>
        </w:rPr>
        <w:footnoteReference w:customMarkFollows="1" w:id="2"/>
        <w:sym w:font="Symbol" w:char="F031"/>
      </w:r>
      <w:r w:rsidRPr="00746B6C">
        <w:rPr>
          <w:rFonts w:ascii="ITC Avant Garde" w:hAnsi="ITC Avant Garde" w:cs="Arial"/>
        </w:rPr>
        <w:t xml:space="preserve"> aprobado en la XXXVII Sesión Ordinaria celebrada el 12 de septiembre de 2017, resolvió, entre otros, lo siguiente:</w:t>
      </w:r>
    </w:p>
    <w:p w14:paraId="0B3D222B" w14:textId="77777777" w:rsidR="00BC6B53" w:rsidRPr="00746B6C" w:rsidRDefault="00BC6B53" w:rsidP="00B04AED">
      <w:pPr>
        <w:spacing w:line="240" w:lineRule="auto"/>
        <w:ind w:left="567" w:right="533"/>
        <w:jc w:val="both"/>
        <w:rPr>
          <w:rFonts w:ascii="ITC Avant Garde" w:hAnsi="ITC Avant Garde" w:cs="Arial"/>
          <w:b/>
          <w:i/>
          <w:sz w:val="18"/>
        </w:rPr>
      </w:pPr>
      <w:r w:rsidRPr="00746B6C">
        <w:rPr>
          <w:rFonts w:ascii="ITC Avant Garde" w:hAnsi="ITC Avant Garde" w:cs="Arial"/>
          <w:b/>
          <w:i/>
          <w:sz w:val="18"/>
        </w:rPr>
        <w:t>«</w:t>
      </w:r>
      <w:r w:rsidRPr="00746B6C">
        <w:rPr>
          <w:rFonts w:ascii="ITC Avant Garde" w:hAnsi="ITC Avant Garde" w:cs="Arial"/>
          <w:b/>
          <w:i/>
          <w:sz w:val="20"/>
        </w:rPr>
        <w:t xml:space="preserve">PRIMERO.- </w:t>
      </w:r>
      <w:r w:rsidRPr="00746B6C">
        <w:rPr>
          <w:rFonts w:ascii="ITC Avant Garde" w:hAnsi="ITC Avant Garde" w:cs="Arial"/>
          <w:i/>
          <w:sz w:val="20"/>
        </w:rPr>
        <w:t>En cumplimiento a la ejecutoria de fecha 21 de junio de 2017 emitida por Segunda Sala de la Suprema Corte de Justicia de la Nación correspondiente al amparo en revisión 329/2016, y a fin de que dicha determinación no le sea aplicada en el futuro, se desincorpora de la esfera jurídica de Radiomóvil Dipsa, S.A. de C.V. el antepenúltimo párrafo del Acuerdo Primero del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publicado el 29 de diciembre de 2014 en el Diario Oficial de la Federación, el cual señala que:</w:t>
      </w:r>
    </w:p>
    <w:p w14:paraId="3A997DFF" w14:textId="77777777" w:rsidR="00B04AED" w:rsidRDefault="00BC6B53" w:rsidP="00B04AED">
      <w:pPr>
        <w:spacing w:before="240" w:line="240" w:lineRule="auto"/>
        <w:ind w:left="1134" w:right="1099"/>
        <w:jc w:val="both"/>
        <w:rPr>
          <w:rFonts w:ascii="ITC Avant Garde" w:hAnsi="ITC Avant Garde" w:cs="Arial"/>
        </w:rPr>
      </w:pPr>
      <w:r w:rsidRPr="00746B6C">
        <w:rPr>
          <w:rFonts w:ascii="ITC Avant Garde" w:hAnsi="ITC Avant Garde" w:cs="Arial"/>
        </w:rPr>
        <w:t>“</w:t>
      </w:r>
      <w:r w:rsidRPr="00746B6C">
        <w:rPr>
          <w:rFonts w:ascii="ITC Avant Garde" w:hAnsi="ITC Avant Garde" w:cs="Arial"/>
          <w:sz w:val="18"/>
        </w:rPr>
        <w:t>En términos de lo dispuesto por el artículo Vigésimo transitorio del Decreto de la LFTyR, el Instituto resolverá los diferendos que se promuevan sobre las tarifas de interconexión por servicios prestados en el 2015 con base en las tarifas señaladas, mismas que serán aplicables desde su resolución.”»</w:t>
      </w:r>
    </w:p>
    <w:p w14:paraId="24AD7377" w14:textId="77777777" w:rsidR="00B04AED" w:rsidRDefault="00BC6B53" w:rsidP="00B04AED">
      <w:pPr>
        <w:pStyle w:val="Textoindependiente"/>
        <w:spacing w:after="200" w:line="276" w:lineRule="auto"/>
        <w:rPr>
          <w:rFonts w:ascii="ITC Avant Garde" w:hAnsi="ITC Avant Garde" w:cs="Arial"/>
        </w:rPr>
      </w:pPr>
      <w:r w:rsidRPr="00746B6C">
        <w:rPr>
          <w:rFonts w:ascii="ITC Avant Garde" w:hAnsi="ITC Avant Garde" w:cs="Arial"/>
        </w:rPr>
        <w:t>De lo anterior, se desprende que el Pleno del Instituto mediante Acuerdo P/IFT/120917/547 ha dado cabal cumplimiento a lo mandatado en el sentido de desincorporar de la esfera jurídica de Telcel el antepenúltimo párrafo del Acuerdo PRIMERO del Acuerdo de Tarifas 2015.</w:t>
      </w:r>
    </w:p>
    <w:p w14:paraId="262391CE" w14:textId="77777777" w:rsidR="00B04AED" w:rsidRDefault="00386958" w:rsidP="00B04AED">
      <w:pPr>
        <w:widowControl w:val="0"/>
        <w:tabs>
          <w:tab w:val="left" w:pos="720"/>
          <w:tab w:val="center" w:pos="4419"/>
          <w:tab w:val="right" w:pos="8838"/>
        </w:tabs>
        <w:jc w:val="both"/>
        <w:rPr>
          <w:rFonts w:ascii="ITC Avant Garde" w:eastAsia="Times New Roman" w:hAnsi="ITC Avant Garde"/>
          <w:szCs w:val="20"/>
        </w:rPr>
      </w:pPr>
      <w:r w:rsidRPr="00386958">
        <w:rPr>
          <w:rFonts w:ascii="ITC Avant Garde" w:eastAsia="Times New Roman" w:hAnsi="ITC Avant Garde"/>
          <w:szCs w:val="20"/>
        </w:rPr>
        <w:t xml:space="preserve">Aunado a lo anterior, y de conformidad con lo mandatado por </w:t>
      </w:r>
      <w:r>
        <w:rPr>
          <w:rFonts w:ascii="ITC Avant Garde" w:eastAsia="Times New Roman" w:hAnsi="ITC Avant Garde"/>
          <w:szCs w:val="20"/>
        </w:rPr>
        <w:t>Primer</w:t>
      </w:r>
      <w:r w:rsidRPr="00386958">
        <w:rPr>
          <w:rFonts w:ascii="ITC Avant Garde" w:eastAsia="Times New Roman" w:hAnsi="ITC Avant Garde"/>
          <w:szCs w:val="20"/>
        </w:rPr>
        <w:t xml:space="preserve"> Tribunal Colegiado en Materia Administrativa Especializado en Competencia Económica, </w:t>
      </w:r>
      <w:r w:rsidRPr="00386958">
        <w:rPr>
          <w:rFonts w:ascii="ITC Avant Garde" w:eastAsia="Times New Roman" w:hAnsi="ITC Avant Garde"/>
          <w:szCs w:val="20"/>
        </w:rPr>
        <w:lastRenderedPageBreak/>
        <w:t>Radiodifusión y Telecomunicaciones con residencia en la Ciudad de México y jurisdicción en toda la República, en el sentido de que se deberá atender a la interpretación que del artículo vigésimo transitorio, segundo párrafo, de la LFTR, fijó la Segunda Sala de la Suprema Corte de Justicia de la Nación, en el amparo en revisión 329/2016, se deberá realizar el “pago por diferencias” para los montos que ya fueron cobrados, a efecto de que durante todo dos mil quince se cobren efectivamente las nuevas condiciones.</w:t>
      </w:r>
    </w:p>
    <w:p w14:paraId="06106C39" w14:textId="2D335A7F" w:rsidR="00E54FCC" w:rsidRPr="00E54FCC" w:rsidRDefault="006B7D88" w:rsidP="00B04AED">
      <w:pPr>
        <w:widowControl w:val="0"/>
        <w:tabs>
          <w:tab w:val="left" w:pos="720"/>
          <w:tab w:val="center" w:pos="4419"/>
          <w:tab w:val="right" w:pos="8838"/>
        </w:tabs>
        <w:jc w:val="both"/>
        <w:rPr>
          <w:rFonts w:ascii="ITC Avant Garde" w:eastAsia="Times New Roman" w:hAnsi="ITC Avant Garde"/>
          <w:szCs w:val="20"/>
        </w:rPr>
      </w:pPr>
      <w:r>
        <w:rPr>
          <w:rFonts w:ascii="ITC Avant Garde" w:eastAsia="Times New Roman" w:hAnsi="ITC Avant Garde"/>
          <w:szCs w:val="20"/>
        </w:rPr>
        <w:t>En ese sentido</w:t>
      </w:r>
      <w:r w:rsidR="00E54FCC" w:rsidRPr="00C06E6E">
        <w:rPr>
          <w:rFonts w:ascii="ITC Avant Garde" w:eastAsia="Times New Roman" w:hAnsi="ITC Avant Garde"/>
          <w:szCs w:val="20"/>
        </w:rPr>
        <w:t>, toda vez que m</w:t>
      </w:r>
      <w:r w:rsidR="00386958">
        <w:rPr>
          <w:rFonts w:ascii="ITC Avant Garde" w:eastAsia="Times New Roman" w:hAnsi="ITC Avant Garde"/>
          <w:szCs w:val="20"/>
        </w:rPr>
        <w:t>ediante Acuerdo P/IFT/120815/371</w:t>
      </w:r>
      <w:r w:rsidR="00E54FCC" w:rsidRPr="00C06E6E">
        <w:rPr>
          <w:rFonts w:ascii="ITC Avant Garde" w:eastAsia="Times New Roman" w:hAnsi="ITC Avant Garde"/>
          <w:szCs w:val="20"/>
        </w:rPr>
        <w:t xml:space="preserve">, el Pleno del Instituto </w:t>
      </w:r>
      <w:r w:rsidR="004C4566" w:rsidRPr="00C06E6E">
        <w:rPr>
          <w:rFonts w:ascii="ITC Avant Garde" w:eastAsia="Times New Roman" w:hAnsi="ITC Avant Garde"/>
          <w:szCs w:val="20"/>
        </w:rPr>
        <w:t xml:space="preserve">fijó </w:t>
      </w:r>
      <w:r w:rsidR="00E54FCC" w:rsidRPr="00C06E6E">
        <w:rPr>
          <w:rFonts w:ascii="ITC Avant Garde" w:eastAsia="Times New Roman" w:hAnsi="ITC Avant Garde"/>
          <w:szCs w:val="20"/>
        </w:rPr>
        <w:t xml:space="preserve">la tarifa de interconexión que </w:t>
      </w:r>
      <w:r w:rsidR="00386958">
        <w:rPr>
          <w:rFonts w:ascii="ITC Avant Garde" w:eastAsia="Times New Roman" w:hAnsi="ITC Avant Garde"/>
          <w:szCs w:val="20"/>
        </w:rPr>
        <w:t>Telcel</w:t>
      </w:r>
      <w:r w:rsidR="00E54FCC" w:rsidRPr="00C06E6E">
        <w:rPr>
          <w:rFonts w:ascii="ITC Avant Garde" w:eastAsia="Times New Roman" w:hAnsi="ITC Avant Garde"/>
          <w:szCs w:val="20"/>
        </w:rPr>
        <w:t xml:space="preserve"> debía pagarle a </w:t>
      </w:r>
      <w:r w:rsidR="00386958">
        <w:rPr>
          <w:rFonts w:ascii="ITC Avant Garde" w:eastAsia="Times New Roman" w:hAnsi="ITC Avant Garde"/>
          <w:szCs w:val="20"/>
        </w:rPr>
        <w:t>Grupo AT&amp;T (antes Grupo Iusacell)</w:t>
      </w:r>
      <w:r w:rsidR="00E54FCC" w:rsidRPr="00C06E6E">
        <w:rPr>
          <w:rFonts w:ascii="ITC Avant Garde" w:eastAsia="Times New Roman" w:hAnsi="ITC Avant Garde"/>
          <w:szCs w:val="20"/>
        </w:rPr>
        <w:t xml:space="preserve"> por servicios de terminación del servicio local en usuarios fijos</w:t>
      </w:r>
      <w:r w:rsidR="00386958">
        <w:rPr>
          <w:rFonts w:ascii="ITC Avant Garde" w:eastAsia="Times New Roman" w:hAnsi="ITC Avant Garde"/>
          <w:szCs w:val="20"/>
        </w:rPr>
        <w:t xml:space="preserve">, </w:t>
      </w:r>
      <w:r w:rsidR="00386958" w:rsidRPr="00A64EF9">
        <w:rPr>
          <w:rFonts w:ascii="ITC Avant Garde" w:eastAsia="Times New Roman" w:hAnsi="ITC Avant Garde" w:cs="Arial"/>
        </w:rPr>
        <w:t>servicios de terminación del servicio local en</w:t>
      </w:r>
      <w:r w:rsidR="00386958" w:rsidRPr="00A64EF9">
        <w:rPr>
          <w:rFonts w:ascii="ITC Avant Garde" w:hAnsi="ITC Avant Garde" w:cs="Arial"/>
        </w:rPr>
        <w:t xml:space="preserve"> usuarios móviles bajo la modalidad “El que llama paga”</w:t>
      </w:r>
      <w:r w:rsidR="00386958">
        <w:rPr>
          <w:rFonts w:ascii="ITC Avant Garde" w:hAnsi="ITC Avant Garde" w:cs="Arial"/>
        </w:rPr>
        <w:t xml:space="preserve"> y </w:t>
      </w:r>
      <w:r w:rsidR="00386958" w:rsidRPr="00A64EF9">
        <w:rPr>
          <w:rFonts w:ascii="ITC Avant Garde" w:eastAsia="Times New Roman" w:hAnsi="ITC Avant Garde" w:cs="Arial"/>
        </w:rPr>
        <w:t>por servicios de terminación de mensajes cortos en usuarios móviles</w:t>
      </w:r>
      <w:r w:rsidR="00E54FCC" w:rsidRPr="00C06E6E">
        <w:rPr>
          <w:rFonts w:ascii="ITC Avant Garde" w:eastAsia="Times New Roman" w:hAnsi="ITC Avant Garde"/>
          <w:szCs w:val="20"/>
        </w:rPr>
        <w:t xml:space="preserve"> del 1</w:t>
      </w:r>
      <w:r w:rsidR="00674FFE">
        <w:rPr>
          <w:rFonts w:ascii="ITC Avant Garde" w:eastAsia="Times New Roman" w:hAnsi="ITC Avant Garde"/>
          <w:szCs w:val="20"/>
        </w:rPr>
        <w:t>2</w:t>
      </w:r>
      <w:r w:rsidR="00E54FCC" w:rsidRPr="00C06E6E">
        <w:rPr>
          <w:rFonts w:ascii="ITC Avant Garde" w:eastAsia="Times New Roman" w:hAnsi="ITC Avant Garde"/>
          <w:szCs w:val="20"/>
        </w:rPr>
        <w:t xml:space="preserve"> de agosto de 2015 al 31 de diciembre de 2015,</w:t>
      </w:r>
      <w:r w:rsidR="00E54FCC" w:rsidRPr="00C06E6E">
        <w:t xml:space="preserve"> </w:t>
      </w:r>
      <w:r w:rsidR="00E54FCC" w:rsidRPr="00C06E6E">
        <w:rPr>
          <w:rFonts w:ascii="ITC Avant Garde" w:eastAsia="Times New Roman" w:hAnsi="ITC Avant Garde"/>
          <w:szCs w:val="20"/>
        </w:rPr>
        <w:t>en la p</w:t>
      </w:r>
      <w:r>
        <w:rPr>
          <w:rFonts w:ascii="ITC Avant Garde" w:eastAsia="Times New Roman" w:hAnsi="ITC Avant Garde"/>
          <w:szCs w:val="20"/>
        </w:rPr>
        <w:t>resente Resolución, el Instituto</w:t>
      </w:r>
      <w:r w:rsidR="00E54FCC" w:rsidRPr="00C06E6E">
        <w:rPr>
          <w:rFonts w:ascii="ITC Avant Garde" w:eastAsia="Times New Roman" w:hAnsi="ITC Avant Garde"/>
          <w:szCs w:val="20"/>
        </w:rPr>
        <w:t xml:space="preserve"> determinará la tarifa de interconexión por servicios de terminación en usuarios fijos</w:t>
      </w:r>
      <w:r w:rsidR="00386958">
        <w:rPr>
          <w:rFonts w:ascii="ITC Avant Garde" w:eastAsia="Times New Roman" w:hAnsi="ITC Avant Garde"/>
          <w:szCs w:val="20"/>
        </w:rPr>
        <w:t>, móviles bajo la modalidad “El que llama paga” y de mensajes cortos</w:t>
      </w:r>
      <w:r w:rsidR="00674FFE">
        <w:rPr>
          <w:rFonts w:ascii="ITC Avant Garde" w:eastAsia="Times New Roman" w:hAnsi="ITC Avant Garde"/>
          <w:szCs w:val="20"/>
        </w:rPr>
        <w:t xml:space="preserve"> que </w:t>
      </w:r>
      <w:r w:rsidR="00386958">
        <w:rPr>
          <w:rFonts w:ascii="ITC Avant Garde" w:eastAsia="Times New Roman" w:hAnsi="ITC Avant Garde"/>
          <w:szCs w:val="20"/>
        </w:rPr>
        <w:t>Telcel</w:t>
      </w:r>
      <w:r w:rsidR="00674FFE">
        <w:rPr>
          <w:rFonts w:ascii="ITC Avant Garde" w:eastAsia="Times New Roman" w:hAnsi="ITC Avant Garde"/>
          <w:szCs w:val="20"/>
        </w:rPr>
        <w:t xml:space="preserve"> deberá pagarle a </w:t>
      </w:r>
      <w:r w:rsidR="00386958">
        <w:rPr>
          <w:rFonts w:ascii="ITC Avant Garde" w:eastAsia="Times New Roman" w:hAnsi="ITC Avant Garde"/>
          <w:szCs w:val="20"/>
        </w:rPr>
        <w:t>Grupo AT&amp;</w:t>
      </w:r>
      <w:r w:rsidR="00C52443">
        <w:rPr>
          <w:rFonts w:ascii="ITC Avant Garde" w:eastAsia="Times New Roman" w:hAnsi="ITC Avant Garde"/>
          <w:szCs w:val="20"/>
        </w:rPr>
        <w:t>T</w:t>
      </w:r>
      <w:r w:rsidR="00410F3E">
        <w:rPr>
          <w:rFonts w:ascii="ITC Avant Garde" w:eastAsia="Times New Roman" w:hAnsi="ITC Avant Garde"/>
          <w:szCs w:val="20"/>
        </w:rPr>
        <w:t xml:space="preserve"> </w:t>
      </w:r>
      <w:r w:rsidR="00E54FCC" w:rsidRPr="00C06E6E">
        <w:rPr>
          <w:rFonts w:ascii="ITC Avant Garde" w:eastAsia="Times New Roman" w:hAnsi="ITC Avant Garde"/>
          <w:szCs w:val="20"/>
        </w:rPr>
        <w:t xml:space="preserve">para el periodo </w:t>
      </w:r>
      <w:r w:rsidR="00674FFE">
        <w:rPr>
          <w:rFonts w:ascii="ITC Avant Garde" w:eastAsia="Times New Roman" w:hAnsi="ITC Avant Garde"/>
          <w:szCs w:val="20"/>
        </w:rPr>
        <w:t>comprendido del 1 de enero al 11</w:t>
      </w:r>
      <w:r w:rsidR="00E54FCC" w:rsidRPr="00C06E6E">
        <w:rPr>
          <w:rFonts w:ascii="ITC Avant Garde" w:eastAsia="Times New Roman" w:hAnsi="ITC Avant Garde"/>
          <w:szCs w:val="20"/>
        </w:rPr>
        <w:t xml:space="preserve"> de agosto de 2015</w:t>
      </w:r>
      <w:r>
        <w:rPr>
          <w:rFonts w:ascii="ITC Avant Garde" w:eastAsia="Times New Roman" w:hAnsi="ITC Avant Garde"/>
          <w:szCs w:val="20"/>
        </w:rPr>
        <w:t xml:space="preserve">. Lo anterior, con la finalidad de que </w:t>
      </w:r>
      <w:r w:rsidR="004F2DCE" w:rsidRPr="00C06E6E">
        <w:rPr>
          <w:rFonts w:ascii="ITC Avant Garde" w:eastAsia="Times New Roman" w:hAnsi="ITC Avant Garde"/>
          <w:szCs w:val="20"/>
        </w:rPr>
        <w:t>la tarifa ten</w:t>
      </w:r>
      <w:r>
        <w:rPr>
          <w:rFonts w:ascii="ITC Avant Garde" w:eastAsia="Times New Roman" w:hAnsi="ITC Avant Garde"/>
          <w:szCs w:val="20"/>
        </w:rPr>
        <w:t>ga una</w:t>
      </w:r>
      <w:r w:rsidR="004C4566" w:rsidRPr="00C06E6E">
        <w:rPr>
          <w:rFonts w:ascii="ITC Avant Garde" w:eastAsia="Times New Roman" w:hAnsi="ITC Avant Garde"/>
          <w:szCs w:val="20"/>
        </w:rPr>
        <w:t xml:space="preserve"> </w:t>
      </w:r>
      <w:r w:rsidR="00A955F5" w:rsidRPr="00C06E6E">
        <w:rPr>
          <w:rFonts w:ascii="ITC Avant Garde" w:eastAsia="Times New Roman" w:hAnsi="ITC Avant Garde"/>
          <w:szCs w:val="20"/>
        </w:rPr>
        <w:t xml:space="preserve">vigencia del </w:t>
      </w:r>
      <w:r w:rsidR="004F2DCE" w:rsidRPr="00C06E6E">
        <w:rPr>
          <w:rFonts w:ascii="ITC Avant Garde" w:eastAsia="Times New Roman" w:hAnsi="ITC Avant Garde"/>
          <w:szCs w:val="20"/>
        </w:rPr>
        <w:t>1</w:t>
      </w:r>
      <w:r w:rsidR="00A955F5" w:rsidRPr="00C06E6E">
        <w:rPr>
          <w:rFonts w:ascii="ITC Avant Garde" w:eastAsia="Times New Roman" w:hAnsi="ITC Avant Garde"/>
          <w:szCs w:val="20"/>
        </w:rPr>
        <w:t xml:space="preserve"> de enero al </w:t>
      </w:r>
      <w:r w:rsidR="004F2DCE" w:rsidRPr="00C06E6E">
        <w:rPr>
          <w:rFonts w:ascii="ITC Avant Garde" w:eastAsia="Times New Roman" w:hAnsi="ITC Avant Garde"/>
          <w:szCs w:val="20"/>
        </w:rPr>
        <w:t>31</w:t>
      </w:r>
      <w:r w:rsidR="00A955F5" w:rsidRPr="00C06E6E">
        <w:rPr>
          <w:rFonts w:ascii="ITC Avant Garde" w:eastAsia="Times New Roman" w:hAnsi="ITC Avant Garde"/>
          <w:szCs w:val="20"/>
        </w:rPr>
        <w:t xml:space="preserve"> de diciembre de </w:t>
      </w:r>
      <w:r w:rsidR="004F2DCE" w:rsidRPr="00C06E6E">
        <w:rPr>
          <w:rFonts w:ascii="ITC Avant Garde" w:eastAsia="Times New Roman" w:hAnsi="ITC Avant Garde"/>
          <w:szCs w:val="20"/>
        </w:rPr>
        <w:t>2015.</w:t>
      </w:r>
    </w:p>
    <w:p w14:paraId="578F4F55" w14:textId="77777777" w:rsidR="00B04AED" w:rsidRDefault="000A1252" w:rsidP="00B04AED">
      <w:pPr>
        <w:pStyle w:val="Textoindependiente"/>
        <w:spacing w:after="200" w:line="276" w:lineRule="auto"/>
        <w:rPr>
          <w:rFonts w:ascii="ITC Avant Garde" w:hAnsi="ITC Avant Garde" w:cs="Arial"/>
        </w:rPr>
      </w:pPr>
      <w:r w:rsidRPr="007D07B1">
        <w:rPr>
          <w:rFonts w:ascii="ITC Avant Garde" w:hAnsi="ITC Avant Garde" w:cs="Arial"/>
        </w:rPr>
        <w:t xml:space="preserve">En tal virtud, y a efecto de dar </w:t>
      </w:r>
      <w:r w:rsidR="006B7D88">
        <w:rPr>
          <w:rFonts w:ascii="ITC Avant Garde" w:hAnsi="ITC Avant Garde" w:cs="Arial"/>
        </w:rPr>
        <w:t xml:space="preserve">estricto </w:t>
      </w:r>
      <w:r w:rsidRPr="007D07B1">
        <w:rPr>
          <w:rFonts w:ascii="ITC Avant Garde" w:hAnsi="ITC Avant Garde" w:cs="Arial"/>
        </w:rPr>
        <w:t xml:space="preserve">cumplimiento a la citada ejecutoria, el Pleno del Instituto deja insubsistente la resolución de fecha </w:t>
      </w:r>
      <w:r>
        <w:rPr>
          <w:rFonts w:ascii="ITC Avant Garde" w:hAnsi="ITC Avant Garde" w:cs="Arial"/>
        </w:rPr>
        <w:t>12</w:t>
      </w:r>
      <w:r w:rsidRPr="007D07B1">
        <w:rPr>
          <w:rFonts w:ascii="ITC Avant Garde" w:hAnsi="ITC Avant Garde" w:cs="Arial"/>
        </w:rPr>
        <w:t xml:space="preserve"> de agosto de 2015, contenida en el Acuerdo </w:t>
      </w:r>
      <w:r w:rsidRPr="007D07B1">
        <w:rPr>
          <w:rFonts w:ascii="ITC Avant Garde" w:hAnsi="ITC Avant Garde"/>
        </w:rPr>
        <w:t>P/IFT/</w:t>
      </w:r>
      <w:r>
        <w:rPr>
          <w:rFonts w:ascii="ITC Avant Garde" w:hAnsi="ITC Avant Garde"/>
        </w:rPr>
        <w:t>12</w:t>
      </w:r>
      <w:r w:rsidRPr="007D07B1">
        <w:rPr>
          <w:rFonts w:ascii="ITC Avant Garde" w:hAnsi="ITC Avant Garde"/>
        </w:rPr>
        <w:t>0815/3</w:t>
      </w:r>
      <w:r w:rsidR="00D62133">
        <w:rPr>
          <w:rFonts w:ascii="ITC Avant Garde" w:hAnsi="ITC Avant Garde"/>
        </w:rPr>
        <w:t>71</w:t>
      </w:r>
      <w:r w:rsidRPr="007D07B1">
        <w:rPr>
          <w:rFonts w:ascii="ITC Avant Garde" w:hAnsi="ITC Avant Garde" w:cs="Arial"/>
        </w:rPr>
        <w:t>, sólo en la parte referente a las porciones que tengan relación con la vigencia de las tarifas</w:t>
      </w:r>
      <w:r w:rsidR="0081598A">
        <w:rPr>
          <w:rFonts w:ascii="ITC Avant Garde" w:hAnsi="ITC Avant Garde" w:cs="Arial"/>
        </w:rPr>
        <w:t xml:space="preserve"> en el periodo comprendido del 1 de enero al 11 de agosto de 2015</w:t>
      </w:r>
      <w:r w:rsidRPr="007D07B1">
        <w:rPr>
          <w:rFonts w:ascii="ITC Avant Garde" w:hAnsi="ITC Avant Garde" w:cs="Arial"/>
        </w:rPr>
        <w:t xml:space="preserve">, y en este acto emite otra, en la que se determinan las tarifas de interconexión por servicios de terminación en usuarios fijos para </w:t>
      </w:r>
      <w:r w:rsidR="0081598A">
        <w:rPr>
          <w:rFonts w:ascii="ITC Avant Garde" w:hAnsi="ITC Avant Garde" w:cs="Arial"/>
        </w:rPr>
        <w:t>dicho</w:t>
      </w:r>
      <w:r w:rsidR="0081598A" w:rsidRPr="007D07B1">
        <w:rPr>
          <w:rFonts w:ascii="ITC Avant Garde" w:hAnsi="ITC Avant Garde" w:cs="Arial"/>
        </w:rPr>
        <w:t xml:space="preserve"> </w:t>
      </w:r>
      <w:r w:rsidRPr="007D07B1">
        <w:rPr>
          <w:rFonts w:ascii="ITC Avant Garde" w:hAnsi="ITC Avant Garde" w:cs="Arial"/>
        </w:rPr>
        <w:t xml:space="preserve">periodo y se </w:t>
      </w:r>
      <w:r w:rsidR="00C40FF5">
        <w:rPr>
          <w:rFonts w:ascii="ITC Avant Garde" w:hAnsi="ITC Avant Garde" w:cs="Arial"/>
        </w:rPr>
        <w:t xml:space="preserve">deja insubsistente </w:t>
      </w:r>
      <w:r>
        <w:rPr>
          <w:rFonts w:ascii="ITC Avant Garde" w:hAnsi="ITC Avant Garde" w:cs="Arial"/>
        </w:rPr>
        <w:t xml:space="preserve">el Resolutivo </w:t>
      </w:r>
      <w:r w:rsidR="00D62133">
        <w:rPr>
          <w:rFonts w:ascii="ITC Avant Garde" w:hAnsi="ITC Avant Garde" w:cs="Arial"/>
        </w:rPr>
        <w:t>SÉPTIMO</w:t>
      </w:r>
      <w:r>
        <w:rPr>
          <w:rFonts w:ascii="ITC Avant Garde" w:hAnsi="ITC Avant Garde" w:cs="Arial"/>
        </w:rPr>
        <w:t xml:space="preserve"> </w:t>
      </w:r>
      <w:r w:rsidRPr="007D07B1">
        <w:rPr>
          <w:rFonts w:ascii="ITC Avant Garde" w:hAnsi="ITC Avant Garde" w:cs="Arial"/>
        </w:rPr>
        <w:t>de la “</w:t>
      </w:r>
      <w:r w:rsidR="00D62133" w:rsidRPr="00D62133">
        <w:rPr>
          <w:rFonts w:ascii="ITC Avant Garde" w:hAnsi="ITC Avant Garde" w:cs="Arial"/>
          <w:i/>
        </w:rPr>
        <w:t xml:space="preserve">RESOLUCIÓN MEDIANTE LA CUAL EL PLENO DEL INSTITUTO FEDERAL DE TELECOMUNICACIONES DETERMINA LAS CONDICIONES DE INTERCONEXIÓN NO CONVENIDAS ENTRE LAS EMPRESAS RADIOMÓVIL DIPSA, S.A. DE C.V., Y LAS EMPRESAS IUSACELL PCS, S.A. DE C.V., SOS TELECOMUNICACIONES, S.A. DE C.V., COMUNICACIONES CELULARES DE OCCIDENTE, S.A. DE C.V., SISTEMAS TELEFÓNICOS PORTÁTILES, S.A. DE C.V.,  TELECOMUNICACIONES DEL GOLFO, S.A. DE C.V., PORTATEL DEL SURESTE, S.A. DE C.V. Y OPERADORA UNEFÓN, S.A. DE C.V., APLICABLES DEL 1 DE ENERO DE </w:t>
      </w:r>
      <w:r w:rsidR="00D62133">
        <w:rPr>
          <w:rFonts w:ascii="ITC Avant Garde" w:hAnsi="ITC Avant Garde" w:cs="Arial"/>
          <w:i/>
        </w:rPr>
        <w:t>2015 AL 31 DE DICIEMBRE DE 2016</w:t>
      </w:r>
      <w:r w:rsidRPr="007D07B1">
        <w:rPr>
          <w:rFonts w:ascii="ITC Avant Garde" w:hAnsi="ITC Avant Garde" w:cs="Arial"/>
        </w:rPr>
        <w:t xml:space="preserve">” emitida mediante Acuerdo </w:t>
      </w:r>
      <w:r w:rsidRPr="007D07B1">
        <w:rPr>
          <w:rFonts w:ascii="ITC Avant Garde" w:hAnsi="ITC Avant Garde"/>
        </w:rPr>
        <w:t>P/IFT/</w:t>
      </w:r>
      <w:r>
        <w:rPr>
          <w:rFonts w:ascii="ITC Avant Garde" w:hAnsi="ITC Avant Garde"/>
        </w:rPr>
        <w:t>12</w:t>
      </w:r>
      <w:r w:rsidRPr="007D07B1">
        <w:rPr>
          <w:rFonts w:ascii="ITC Avant Garde" w:hAnsi="ITC Avant Garde"/>
        </w:rPr>
        <w:t>0815/3</w:t>
      </w:r>
      <w:r w:rsidR="00D62133">
        <w:rPr>
          <w:rFonts w:ascii="ITC Avant Garde" w:hAnsi="ITC Avant Garde"/>
        </w:rPr>
        <w:t>71</w:t>
      </w:r>
      <w:r w:rsidRPr="007D07B1">
        <w:rPr>
          <w:rFonts w:ascii="ITC Avant Garde" w:hAnsi="ITC Avant Garde" w:cs="Arial"/>
        </w:rPr>
        <w:t xml:space="preserve">, a efecto de que se fijen las tarifas que </w:t>
      </w:r>
      <w:r w:rsidR="00C52443">
        <w:rPr>
          <w:rFonts w:ascii="ITC Avant Garde" w:hAnsi="ITC Avant Garde" w:cs="Arial"/>
        </w:rPr>
        <w:t>Telcel</w:t>
      </w:r>
      <w:r w:rsidR="00981E2D">
        <w:rPr>
          <w:rFonts w:ascii="ITC Avant Garde" w:hAnsi="ITC Avant Garde" w:cs="Arial"/>
        </w:rPr>
        <w:t xml:space="preserve"> </w:t>
      </w:r>
      <w:r w:rsidRPr="007D07B1">
        <w:rPr>
          <w:rFonts w:ascii="ITC Avant Garde" w:hAnsi="ITC Avant Garde" w:cs="Arial"/>
        </w:rPr>
        <w:t xml:space="preserve">deberá pagar a </w:t>
      </w:r>
      <w:r w:rsidR="00C52443">
        <w:rPr>
          <w:rFonts w:ascii="ITC Avant Garde" w:hAnsi="ITC Avant Garde" w:cs="Arial"/>
        </w:rPr>
        <w:t>Grupo AT&amp;T</w:t>
      </w:r>
      <w:r w:rsidRPr="007D07B1">
        <w:rPr>
          <w:rFonts w:ascii="ITC Avant Garde" w:hAnsi="ITC Avant Garde" w:cs="Arial"/>
        </w:rPr>
        <w:t xml:space="preserve"> por concepto de terminación del servicio local en usuarios fijos</w:t>
      </w:r>
      <w:r w:rsidR="00C52443">
        <w:rPr>
          <w:rFonts w:ascii="ITC Avant Garde" w:hAnsi="ITC Avant Garde" w:cs="Arial"/>
        </w:rPr>
        <w:t xml:space="preserve">, </w:t>
      </w:r>
      <w:r w:rsidR="00C52443" w:rsidRPr="00C52443">
        <w:rPr>
          <w:rFonts w:ascii="ITC Avant Garde" w:hAnsi="ITC Avant Garde" w:cs="Arial"/>
        </w:rPr>
        <w:t xml:space="preserve">terminación del servicio local en usuarios móviles bajo la modalidad “El que llama paga” </w:t>
      </w:r>
      <w:r w:rsidR="00C52443">
        <w:rPr>
          <w:rFonts w:ascii="ITC Avant Garde" w:hAnsi="ITC Avant Garde" w:cs="Arial"/>
        </w:rPr>
        <w:t>y</w:t>
      </w:r>
      <w:r w:rsidRPr="007D07B1">
        <w:rPr>
          <w:rFonts w:ascii="ITC Avant Garde" w:hAnsi="ITC Avant Garde" w:cs="Arial"/>
        </w:rPr>
        <w:t xml:space="preserve"> </w:t>
      </w:r>
      <w:r w:rsidR="00C52443" w:rsidRPr="00C52443">
        <w:rPr>
          <w:rFonts w:ascii="ITC Avant Garde" w:hAnsi="ITC Avant Garde" w:cs="Arial"/>
        </w:rPr>
        <w:t xml:space="preserve">terminación de mensajes cortos en usuarios móviles </w:t>
      </w:r>
      <w:r w:rsidRPr="007D07B1">
        <w:rPr>
          <w:rFonts w:ascii="ITC Avant Garde" w:hAnsi="ITC Avant Garde" w:cs="Arial"/>
        </w:rPr>
        <w:t>para el periodo del 1 de enero al 31 de diciembre de 2015.</w:t>
      </w:r>
    </w:p>
    <w:p w14:paraId="3FF14E19" w14:textId="77777777" w:rsidR="00B04AED" w:rsidRDefault="000A1252" w:rsidP="00B04AED">
      <w:pPr>
        <w:widowControl w:val="0"/>
        <w:tabs>
          <w:tab w:val="left" w:pos="720"/>
          <w:tab w:val="center" w:pos="4419"/>
          <w:tab w:val="right" w:pos="8838"/>
        </w:tabs>
        <w:jc w:val="both"/>
        <w:rPr>
          <w:rFonts w:ascii="ITC Avant Garde" w:eastAsia="Times New Roman" w:hAnsi="ITC Avant Garde"/>
          <w:szCs w:val="20"/>
        </w:rPr>
      </w:pPr>
      <w:r w:rsidRPr="000A1252">
        <w:rPr>
          <w:rFonts w:ascii="ITC Avant Garde" w:eastAsia="Times New Roman" w:hAnsi="ITC Avant Garde"/>
          <w:szCs w:val="20"/>
        </w:rPr>
        <w:t xml:space="preserve">Aunado a lo anterior, y de conformidad con lo mandatado por el </w:t>
      </w:r>
      <w:r w:rsidR="00B32ABD">
        <w:rPr>
          <w:rFonts w:ascii="ITC Avant Garde" w:eastAsia="Times New Roman" w:hAnsi="ITC Avant Garde"/>
          <w:szCs w:val="20"/>
        </w:rPr>
        <w:t>Primer</w:t>
      </w:r>
      <w:r w:rsidRPr="000A1252">
        <w:rPr>
          <w:rFonts w:ascii="ITC Avant Garde" w:eastAsia="Times New Roman" w:hAnsi="ITC Avant Garde"/>
          <w:szCs w:val="20"/>
        </w:rPr>
        <w:t xml:space="preserve"> Tribunal Colegiado en Materia Administrativa Especializado en Competencia Económica, Radiodifusión y Telecomunicaciones con residencia en la Ciudad de México y </w:t>
      </w:r>
      <w:r w:rsidRPr="000A1252">
        <w:rPr>
          <w:rFonts w:ascii="ITC Avant Garde" w:eastAsia="Times New Roman" w:hAnsi="ITC Avant Garde"/>
          <w:szCs w:val="20"/>
        </w:rPr>
        <w:lastRenderedPageBreak/>
        <w:t>jurisdicción en toda la República,</w:t>
      </w:r>
      <w:r w:rsidR="00847552">
        <w:rPr>
          <w:rFonts w:ascii="ITC Avant Garde" w:eastAsia="Times New Roman" w:hAnsi="ITC Avant Garde"/>
          <w:szCs w:val="20"/>
        </w:rPr>
        <w:t xml:space="preserve"> en consistencia con el criterio que </w:t>
      </w:r>
      <w:r w:rsidR="00847552" w:rsidRPr="00386958">
        <w:rPr>
          <w:rFonts w:ascii="ITC Avant Garde" w:eastAsia="Times New Roman" w:hAnsi="ITC Avant Garde"/>
          <w:szCs w:val="20"/>
        </w:rPr>
        <w:t>fijó la Segunda Sala de la Suprema Corte de Justicia de la Nación, en el amparo en revisión 329/2016</w:t>
      </w:r>
      <w:r w:rsidR="00847552">
        <w:rPr>
          <w:rFonts w:ascii="ITC Avant Garde" w:eastAsia="Times New Roman" w:hAnsi="ITC Avant Garde"/>
          <w:szCs w:val="20"/>
        </w:rPr>
        <w:t>,</w:t>
      </w:r>
      <w:r w:rsidRPr="000A1252">
        <w:rPr>
          <w:rFonts w:ascii="ITC Avant Garde" w:eastAsia="Times New Roman" w:hAnsi="ITC Avant Garde"/>
          <w:szCs w:val="20"/>
        </w:rPr>
        <w:t xml:space="preserve"> se deberá establecer la obligación de devolver o pagar las diferencias que deriven de las tarifas determinadas e</w:t>
      </w:r>
      <w:r w:rsidR="00936395">
        <w:rPr>
          <w:rFonts w:ascii="ITC Avant Garde" w:eastAsia="Times New Roman" w:hAnsi="ITC Avant Garde"/>
          <w:szCs w:val="20"/>
        </w:rPr>
        <w:t>n la Res</w:t>
      </w:r>
      <w:r w:rsidR="00981E2D">
        <w:rPr>
          <w:rFonts w:ascii="ITC Avant Garde" w:eastAsia="Times New Roman" w:hAnsi="ITC Avant Garde"/>
          <w:szCs w:val="20"/>
        </w:rPr>
        <w:t>olución P/IFT/120815/3</w:t>
      </w:r>
      <w:r w:rsidR="00F46D2E">
        <w:rPr>
          <w:rFonts w:ascii="ITC Avant Garde" w:eastAsia="Times New Roman" w:hAnsi="ITC Avant Garde"/>
          <w:szCs w:val="20"/>
        </w:rPr>
        <w:t>71</w:t>
      </w:r>
      <w:r w:rsidRPr="000A1252">
        <w:rPr>
          <w:rFonts w:ascii="ITC Avant Garde" w:eastAsia="Times New Roman" w:hAnsi="ITC Avant Garde"/>
          <w:szCs w:val="20"/>
        </w:rPr>
        <w:t xml:space="preserve">, respecto de los montos que fueron cubiertos, a efecto de que durante todo dos mil quince se </w:t>
      </w:r>
      <w:r w:rsidR="005C3EA9">
        <w:rPr>
          <w:rFonts w:ascii="ITC Avant Garde" w:eastAsia="Times New Roman" w:hAnsi="ITC Avant Garde"/>
          <w:szCs w:val="20"/>
        </w:rPr>
        <w:t>cobren</w:t>
      </w:r>
      <w:r w:rsidRPr="000A1252">
        <w:rPr>
          <w:rFonts w:ascii="ITC Avant Garde" w:eastAsia="Times New Roman" w:hAnsi="ITC Avant Garde"/>
          <w:szCs w:val="20"/>
        </w:rPr>
        <w:t xml:space="preserve"> efectivamente las tarifas establecidas por el Instituto Federal de Telecomunicaciones en la presente resolución.</w:t>
      </w:r>
    </w:p>
    <w:p w14:paraId="750FD72D" w14:textId="77777777" w:rsidR="00B04AED" w:rsidRDefault="005075FC" w:rsidP="00B04AED">
      <w:pPr>
        <w:pStyle w:val="Textoindependiente"/>
        <w:spacing w:after="200" w:line="276" w:lineRule="auto"/>
        <w:rPr>
          <w:rFonts w:ascii="ITC Avant Garde" w:hAnsi="ITC Avant Garde" w:cs="Arial"/>
          <w:bCs/>
          <w:szCs w:val="22"/>
        </w:rPr>
      </w:pPr>
      <w:r w:rsidRPr="007D07B1">
        <w:rPr>
          <w:rFonts w:ascii="ITC Avant Garde" w:hAnsi="ITC Avant Garde" w:cs="Arial"/>
          <w:b/>
          <w:bCs/>
          <w:lang w:val="es-ES"/>
        </w:rPr>
        <w:t>SEGUNDO.- Competencia del Instituto</w:t>
      </w:r>
      <w:r w:rsidRPr="007D07B1">
        <w:rPr>
          <w:rFonts w:ascii="ITC Avant Garde" w:hAnsi="ITC Avant Garde" w:cs="Arial"/>
          <w:bCs/>
          <w:lang w:val="es-ES"/>
        </w:rPr>
        <w:t xml:space="preserve">. </w:t>
      </w:r>
      <w:r w:rsidRPr="007D07B1">
        <w:rPr>
          <w:rFonts w:ascii="ITC Avant Garde" w:hAnsi="ITC Avant Garde" w:cs="Arial"/>
          <w:bCs/>
        </w:rPr>
        <w:t xml:space="preserve">De conformidad con los artículos 6°, apartado B fracción II, 28, párrafos décimo quinto y décimo sexto de la Constitución </w:t>
      </w:r>
      <w:r w:rsidRPr="007D07B1">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64A9BC96" w14:textId="77777777" w:rsidR="00B04AED" w:rsidRDefault="005075FC" w:rsidP="00B04AED">
      <w:pPr>
        <w:pStyle w:val="Textoindependiente"/>
        <w:spacing w:after="200" w:line="276" w:lineRule="auto"/>
        <w:rPr>
          <w:rFonts w:ascii="ITC Avant Garde" w:hAnsi="ITC Avant Garde" w:cs="Arial"/>
          <w:bCs/>
          <w:szCs w:val="22"/>
        </w:rPr>
      </w:pPr>
      <w:r w:rsidRPr="007D07B1">
        <w:rPr>
          <w:rFonts w:ascii="ITC Avant Garde" w:hAnsi="ITC Avant Garde" w:cs="Arial"/>
          <w:bCs/>
          <w:szCs w:val="22"/>
          <w:lang w:val="es-ES"/>
        </w:rPr>
        <w:t xml:space="preserve">Con fundamento </w:t>
      </w:r>
      <w:r w:rsidRPr="007D07B1">
        <w:rPr>
          <w:rFonts w:ascii="ITC Avant Garde" w:hAnsi="ITC Avant Garde" w:cs="Arial"/>
          <w:bCs/>
          <w:szCs w:val="22"/>
        </w:rPr>
        <w:t>en los artículos 7, 15, fracción X, 17, fracción I, y 129 de la LFTR,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14:paraId="56997EF5" w14:textId="77777777" w:rsidR="00B04AED" w:rsidRDefault="005075FC" w:rsidP="00B04AED">
      <w:pPr>
        <w:pStyle w:val="Textoindependiente"/>
        <w:spacing w:after="200" w:line="276" w:lineRule="auto"/>
        <w:rPr>
          <w:rFonts w:ascii="ITC Avant Garde" w:hAnsi="ITC Avant Garde" w:cs="Arial"/>
          <w:bCs/>
          <w:szCs w:val="22"/>
        </w:rPr>
      </w:pPr>
      <w:r w:rsidRPr="007D07B1">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CB90FE1" w14:textId="77777777" w:rsidR="00B04AED" w:rsidRDefault="005075FC" w:rsidP="00B04AED">
      <w:pPr>
        <w:pStyle w:val="Textoindependiente"/>
        <w:spacing w:after="200" w:line="276" w:lineRule="auto"/>
        <w:rPr>
          <w:rFonts w:ascii="ITC Avant Garde" w:hAnsi="ITC Avant Garde"/>
          <w:szCs w:val="22"/>
        </w:rPr>
      </w:pPr>
      <w:r w:rsidRPr="007D07B1">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14:paraId="5218FD44" w14:textId="77777777" w:rsidR="00B04AED" w:rsidRDefault="005075FC" w:rsidP="00B04AED">
      <w:pPr>
        <w:jc w:val="both"/>
        <w:rPr>
          <w:rFonts w:ascii="ITC Avant Garde" w:hAnsi="ITC Avant Garde" w:cs="Arial"/>
        </w:rPr>
      </w:pPr>
      <w:r w:rsidRPr="007D07B1">
        <w:rPr>
          <w:rFonts w:ascii="ITC Avant Garde" w:eastAsia="Times New Roman" w:hAnsi="ITC Avant Garde"/>
          <w:b/>
          <w:szCs w:val="24"/>
          <w:lang w:eastAsia="es-ES"/>
        </w:rPr>
        <w:t>TERCERO.-</w:t>
      </w:r>
      <w:r w:rsidRPr="007D07B1">
        <w:rPr>
          <w:rFonts w:ascii="ITC Avant Garde" w:eastAsia="Times New Roman" w:hAnsi="ITC Avant Garde"/>
          <w:szCs w:val="24"/>
          <w:lang w:eastAsia="es-ES"/>
        </w:rPr>
        <w:t xml:space="preserve"> </w:t>
      </w:r>
      <w:r w:rsidRPr="007D07B1">
        <w:rPr>
          <w:rFonts w:ascii="ITC Avant Garde" w:eastAsia="Times New Roman" w:hAnsi="ITC Avant Garde"/>
          <w:b/>
          <w:szCs w:val="24"/>
          <w:lang w:eastAsia="es-ES"/>
        </w:rPr>
        <w:t>Acuerdo de Tarifas 2015.-</w:t>
      </w:r>
      <w:r w:rsidRPr="007D07B1">
        <w:rPr>
          <w:rFonts w:ascii="ITC Avant Garde" w:eastAsia="Times New Roman" w:hAnsi="ITC Avant Garde"/>
          <w:szCs w:val="24"/>
          <w:lang w:eastAsia="es-ES"/>
        </w:rPr>
        <w:t xml:space="preserve"> El </w:t>
      </w:r>
      <w:r w:rsidRPr="007D07B1">
        <w:rPr>
          <w:rFonts w:ascii="ITC Avant Garde" w:hAnsi="ITC Avant Garde" w:cs="Arial"/>
        </w:rPr>
        <w:t>objetivo de la política en materia de tarifas de interconexión que ha definido el Instituto consiste en regular y promover la competencia y el desarrollo eficiente de las telecomunicaciones, objetivo que se cumple mediante la aplicación de la Metodología de Costos.</w:t>
      </w:r>
    </w:p>
    <w:p w14:paraId="0A442316" w14:textId="77777777" w:rsidR="00B04AED" w:rsidRDefault="005075FC" w:rsidP="00B04AED">
      <w:pPr>
        <w:jc w:val="both"/>
        <w:rPr>
          <w:rFonts w:ascii="ITC Avant Garde" w:eastAsia="Times New Roman" w:hAnsi="ITC Avant Garde"/>
          <w:szCs w:val="24"/>
          <w:lang w:eastAsia="es-ES"/>
        </w:rPr>
      </w:pPr>
      <w:r w:rsidRPr="007D07B1">
        <w:rPr>
          <w:rFonts w:ascii="ITC Avant Garde" w:eastAsia="Times New Roman" w:hAnsi="ITC Avant Garde"/>
          <w:szCs w:val="24"/>
          <w:lang w:eastAsia="es-ES"/>
        </w:rPr>
        <w:t xml:space="preserve">La Metodología de Costos que ha definido el Instituto señala que para la elaboración de los Modelos de Costos, para los servicios de conducción de tráfico y el servicio de tránsito, se empleará el enfoque de Costo Incremental de Largo Plazo Puro, el cual se define como la diferencia entre el costo total a largo plazo de un concesionario que </w:t>
      </w:r>
      <w:r w:rsidRPr="007D07B1">
        <w:rPr>
          <w:rFonts w:ascii="ITC Avant Garde" w:eastAsia="Times New Roman" w:hAnsi="ITC Avant Garde"/>
          <w:szCs w:val="24"/>
          <w:lang w:eastAsia="es-ES"/>
        </w:rPr>
        <w:lastRenderedPageBreak/>
        <w:t>preste su gama completa de servicios, y los costos totales a largo plazo de ese mismo concesionario, excluido el servicio de interconexión que se presta a terceros.</w:t>
      </w:r>
    </w:p>
    <w:p w14:paraId="47E00521" w14:textId="77777777" w:rsidR="00B04AED" w:rsidRDefault="005075FC" w:rsidP="00B04AED">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Asimismo, resulta importante señalar que el Instituto determinó que, tratándose de servicios de conducción de tráfico y tránsito, la Metodología para la elaboración de Modelos de Costos incluirá un factor de gradualidad para el periodo comprendido entre el 1° de enero y el 31 de diciembre de 2015.</w:t>
      </w:r>
    </w:p>
    <w:p w14:paraId="6FCA1BD9" w14:textId="7302A77B" w:rsidR="005075FC" w:rsidRPr="007D07B1" w:rsidRDefault="005075FC" w:rsidP="00B04AED">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En ese sentido, por lo que hace a las tarifas de interconexión que deberán estar vigentes durante 2015, previstas en el artículo 137 de la LFTR, el Instituto publicó en el DOF el 29 de diciembre de 2014 el Acuerdo de Tarifas 2015, en el cual determinó las tarifas por los Servicios de Interconexión que han resultado de la metodología para el cálculo de costos de interconexión de conformidad con la LFTR, y que utilizará para resolver los desacuerdos de interconexión que se presenten.</w:t>
      </w:r>
    </w:p>
    <w:p w14:paraId="2517A322" w14:textId="77777777" w:rsidR="00B04AED" w:rsidRDefault="005075FC" w:rsidP="00B04AED">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49291CF5" w14:textId="77777777" w:rsidR="00B04AED" w:rsidRDefault="005075FC" w:rsidP="00B04AED">
      <w:pPr>
        <w:jc w:val="both"/>
        <w:rPr>
          <w:rFonts w:ascii="ITC Avant Garde" w:hAnsi="ITC Avant Garde" w:cs="Arial"/>
        </w:rPr>
      </w:pPr>
      <w:r w:rsidRPr="007D07B1">
        <w:rPr>
          <w:rFonts w:ascii="ITC Avant Garde" w:hAnsi="ITC Avant Garde" w:cs="Arial"/>
        </w:rPr>
        <w:t xml:space="preserve">Lo anterior, sin </w:t>
      </w:r>
      <w:r>
        <w:rPr>
          <w:rFonts w:ascii="ITC Avant Garde" w:hAnsi="ITC Avant Garde" w:cs="Arial"/>
        </w:rPr>
        <w:t xml:space="preserve">perjuicio de que </w:t>
      </w:r>
      <w:r w:rsidR="0079774B">
        <w:rPr>
          <w:rFonts w:ascii="ITC Avant Garde" w:hAnsi="ITC Avant Garde" w:cs="Arial"/>
        </w:rPr>
        <w:t>Telcel y Grupo AT&amp;T</w:t>
      </w:r>
      <w:r>
        <w:rPr>
          <w:rFonts w:ascii="ITC Avant Garde" w:hAnsi="ITC Avant Garde" w:cs="Arial"/>
        </w:rPr>
        <w:t xml:space="preserve"> </w:t>
      </w:r>
      <w:r w:rsidRPr="007D07B1">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LFTR.</w:t>
      </w:r>
    </w:p>
    <w:p w14:paraId="069E3ADA" w14:textId="77777777" w:rsidR="00B04AED" w:rsidRDefault="005075FC" w:rsidP="00B04AED">
      <w:pPr>
        <w:jc w:val="both"/>
        <w:rPr>
          <w:rFonts w:ascii="ITC Avant Garde" w:hAnsi="ITC Avant Garde" w:cs="Arial"/>
        </w:rPr>
      </w:pPr>
      <w:r w:rsidRPr="007D07B1">
        <w:rPr>
          <w:rFonts w:ascii="ITC Avant Garde" w:hAnsi="ITC Avant Garde" w:cs="Arial"/>
        </w:rPr>
        <w:t>Con base en lo anterior y con fundamento en lo dispuesto por el artículo 28, párrafos décimo quinto y décimo sexto de la Constitución Política de los Estados Unidos Mexicanos 72, 73, 74, 197 y 202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de la Ley Federal de Procedimiento Administrativo y 4 fracción I y 6, fracción XXXVII, del Estatuto Orgánico del Instituto Federal de Telecomunicaciones, el Pleno del Instituto Federal de Telecomunicaciones emite los siguientes:</w:t>
      </w:r>
    </w:p>
    <w:bookmarkEnd w:id="1"/>
    <w:p w14:paraId="06A5853D" w14:textId="77777777" w:rsidR="00B04AED" w:rsidRDefault="00AC04A2" w:rsidP="00B04AED">
      <w:pPr>
        <w:jc w:val="center"/>
        <w:rPr>
          <w:rFonts w:ascii="ITC Avant Garde" w:hAnsi="ITC Avant Garde" w:cs="Arial"/>
          <w:b/>
        </w:rPr>
      </w:pPr>
      <w:r w:rsidRPr="006D6AF9">
        <w:rPr>
          <w:rFonts w:ascii="ITC Avant Garde" w:hAnsi="ITC Avant Garde" w:cs="Arial"/>
          <w:b/>
        </w:rPr>
        <w:t>RESOLUTIVOS</w:t>
      </w:r>
    </w:p>
    <w:p w14:paraId="5372E5ED" w14:textId="77777777" w:rsidR="00B04AED" w:rsidRDefault="00314997" w:rsidP="00B04AED">
      <w:pPr>
        <w:jc w:val="both"/>
        <w:rPr>
          <w:rFonts w:ascii="ITC Avant Garde" w:hAnsi="ITC Avant Garde" w:cs="Arial"/>
        </w:rPr>
      </w:pPr>
      <w:r w:rsidRPr="006D6AF9">
        <w:rPr>
          <w:rFonts w:ascii="ITC Avant Garde" w:hAnsi="ITC Avant Garde" w:cs="Arial"/>
          <w:b/>
        </w:rPr>
        <w:lastRenderedPageBreak/>
        <w:t>PRIMERO.-</w:t>
      </w:r>
      <w:r w:rsidRPr="006D6AF9">
        <w:rPr>
          <w:rFonts w:ascii="ITC Avant Garde" w:hAnsi="ITC Avant Garde" w:cs="Arial"/>
        </w:rPr>
        <w:t xml:space="preserve"> </w:t>
      </w:r>
      <w:r w:rsidR="005075FC">
        <w:rPr>
          <w:rFonts w:ascii="ITC Avant Garde" w:hAnsi="ITC Avant Garde" w:cs="Arial"/>
        </w:rPr>
        <w:t>Se deja insubsistente el Resolutivo</w:t>
      </w:r>
      <w:r w:rsidR="005075FC" w:rsidRPr="005075FC">
        <w:rPr>
          <w:rFonts w:ascii="ITC Avant Garde" w:hAnsi="ITC Avant Garde" w:cs="Arial"/>
        </w:rPr>
        <w:t xml:space="preserve"> </w:t>
      </w:r>
      <w:r w:rsidR="002F6BCE">
        <w:rPr>
          <w:rFonts w:ascii="ITC Avant Garde" w:hAnsi="ITC Avant Garde" w:cs="Arial"/>
        </w:rPr>
        <w:t>SÉPTIMO</w:t>
      </w:r>
      <w:r w:rsidR="005075FC" w:rsidRPr="005075FC">
        <w:rPr>
          <w:rFonts w:ascii="ITC Avant Garde" w:hAnsi="ITC Avant Garde" w:cs="Arial"/>
        </w:rPr>
        <w:t xml:space="preserve"> de la “</w:t>
      </w:r>
      <w:r w:rsidR="002F6BCE" w:rsidRPr="002F6BCE">
        <w:rPr>
          <w:rFonts w:ascii="ITC Avant Garde" w:hAnsi="ITC Avant Garde" w:cs="Arial"/>
          <w:i/>
        </w:rPr>
        <w:t xml:space="preserve">RESOLUCIÓN MEDIANTE LA CUAL EL PLENO DEL INSTITUTO FEDERAL DE TELECOMUNICACIONES DETERMINA LAS CONDICIONES DE INTERCONEXIÓN NO CONVENIDAS ENTRE LAS EMPRESAS RADIOMÓVIL DIPSA, S.A. DE C.V., Y LAS EMPRESAS IUSACELL PCS, S.A. DE C.V., SOS TELECOMUNICACIONES, S.A. DE C.V., COMUNICACIONES CELULARES DE OCCIDENTE, S.A. DE C.V., SISTEMAS TELEFÓNICOS PORTÁTILES, S.A. DE C.V.,  TELECOMUNICACIONES DEL GOLFO, S.A. DE C.V., PORTATEL DEL SURESTE, S.A. DE C.V. Y OPERADORA UNEFÓN, S.A. DE C.V., APLICABLES DEL 1 DE ENERO DE </w:t>
      </w:r>
      <w:r w:rsidR="002F6BCE">
        <w:rPr>
          <w:rFonts w:ascii="ITC Avant Garde" w:hAnsi="ITC Avant Garde" w:cs="Arial"/>
          <w:i/>
        </w:rPr>
        <w:t>2015 AL 31 DE DICIEMBRE DE 2016</w:t>
      </w:r>
      <w:r w:rsidR="005075FC" w:rsidRPr="005075FC">
        <w:rPr>
          <w:rFonts w:ascii="ITC Avant Garde" w:hAnsi="ITC Avant Garde" w:cs="Arial"/>
        </w:rPr>
        <w:t>” emitida m</w:t>
      </w:r>
      <w:r w:rsidR="005075FC">
        <w:rPr>
          <w:rFonts w:ascii="ITC Avant Garde" w:hAnsi="ITC Avant Garde" w:cs="Arial"/>
        </w:rPr>
        <w:t>ediante Acuerdo P/IFT/120815/3</w:t>
      </w:r>
      <w:r w:rsidR="002F6BCE">
        <w:rPr>
          <w:rFonts w:ascii="ITC Avant Garde" w:hAnsi="ITC Avant Garde" w:cs="Arial"/>
        </w:rPr>
        <w:t>71</w:t>
      </w:r>
      <w:r w:rsidR="005075FC" w:rsidRPr="005075FC">
        <w:rPr>
          <w:rFonts w:ascii="ITC Avant Garde" w:hAnsi="ITC Avant Garde" w:cs="Arial"/>
        </w:rPr>
        <w:t xml:space="preserve"> en cumplimiento con la ejecutoria de fecha </w:t>
      </w:r>
      <w:r w:rsidR="002F6BCE">
        <w:rPr>
          <w:rFonts w:ascii="ITC Avant Garde" w:hAnsi="ITC Avant Garde" w:cs="Arial"/>
        </w:rPr>
        <w:t>27</w:t>
      </w:r>
      <w:r w:rsidR="00DC757A">
        <w:rPr>
          <w:rFonts w:ascii="ITC Avant Garde" w:hAnsi="ITC Avant Garde" w:cs="Arial"/>
        </w:rPr>
        <w:t xml:space="preserve"> de marzo</w:t>
      </w:r>
      <w:r w:rsidR="005075FC" w:rsidRPr="005075FC">
        <w:rPr>
          <w:rFonts w:ascii="ITC Avant Garde" w:hAnsi="ITC Avant Garde" w:cs="Arial"/>
        </w:rPr>
        <w:t xml:space="preserve"> de 2018, correspo</w:t>
      </w:r>
      <w:r w:rsidR="00DC757A">
        <w:rPr>
          <w:rFonts w:ascii="ITC Avant Garde" w:hAnsi="ITC Avant Garde" w:cs="Arial"/>
        </w:rPr>
        <w:t xml:space="preserve">ndiente al amparo en revisión </w:t>
      </w:r>
      <w:r w:rsidR="002F6BCE">
        <w:rPr>
          <w:rFonts w:ascii="ITC Avant Garde" w:hAnsi="ITC Avant Garde" w:cs="Arial"/>
        </w:rPr>
        <w:t>113</w:t>
      </w:r>
      <w:r w:rsidR="005075FC" w:rsidRPr="005075FC">
        <w:rPr>
          <w:rFonts w:ascii="ITC Avant Garde" w:hAnsi="ITC Avant Garde" w:cs="Arial"/>
        </w:rPr>
        <w:t xml:space="preserve">/2016, emitida por el </w:t>
      </w:r>
      <w:r w:rsidR="002F6BCE">
        <w:rPr>
          <w:rFonts w:ascii="ITC Avant Garde" w:hAnsi="ITC Avant Garde" w:cs="Arial"/>
        </w:rPr>
        <w:t>Primer</w:t>
      </w:r>
      <w:r w:rsidR="005075FC" w:rsidRPr="005075FC">
        <w:rPr>
          <w:rFonts w:ascii="ITC Avant Garde" w:hAnsi="ITC Avant Garde" w:cs="Arial"/>
        </w:rPr>
        <w:t xml:space="preserve"> Tribunal Colegiado en Materia Administrativa Especializado en Competencia Económica, Radiodifusión y Telecomunicaciones con residencia en la Ciudad de México y jurisdicción en toda la República.</w:t>
      </w:r>
    </w:p>
    <w:p w14:paraId="5B842E1E" w14:textId="77777777" w:rsidR="00B04AED" w:rsidRDefault="00314997" w:rsidP="00B04AED">
      <w:pPr>
        <w:jc w:val="both"/>
        <w:rPr>
          <w:rFonts w:ascii="ITC Avant Garde" w:hAnsi="ITC Avant Garde" w:cs="Arial"/>
        </w:rPr>
      </w:pPr>
      <w:r w:rsidRPr="006D6AF9">
        <w:rPr>
          <w:rFonts w:ascii="ITC Avant Garde" w:hAnsi="ITC Avant Garde" w:cs="Arial"/>
          <w:b/>
        </w:rPr>
        <w:t>SEGUNDO</w:t>
      </w:r>
      <w:r w:rsidR="00C130B9" w:rsidRPr="006D6AF9">
        <w:rPr>
          <w:rFonts w:ascii="ITC Avant Garde" w:hAnsi="ITC Avant Garde" w:cs="Arial"/>
        </w:rPr>
        <w:t xml:space="preserve">.- </w:t>
      </w:r>
      <w:r w:rsidRPr="006D6AF9">
        <w:rPr>
          <w:rFonts w:ascii="ITC Avant Garde" w:hAnsi="ITC Avant Garde" w:cs="Arial"/>
        </w:rPr>
        <w:t>L</w:t>
      </w:r>
      <w:r w:rsidR="00144812" w:rsidRPr="006D6AF9">
        <w:rPr>
          <w:rFonts w:ascii="ITC Avant Garde" w:hAnsi="ITC Avant Garde" w:cs="Arial"/>
        </w:rPr>
        <w:t xml:space="preserve">a tarifa de interconexión </w:t>
      </w:r>
      <w:r w:rsidR="00981E2D">
        <w:rPr>
          <w:rFonts w:ascii="ITC Avant Garde" w:hAnsi="ITC Avant Garde" w:cs="Arial"/>
        </w:rPr>
        <w:t xml:space="preserve">que </w:t>
      </w:r>
      <w:r w:rsidR="00DE5D39" w:rsidRPr="00DE5D39">
        <w:rPr>
          <w:rFonts w:ascii="ITC Avant Garde" w:hAnsi="ITC Avant Garde" w:cs="Arial"/>
        </w:rPr>
        <w:t>Radiomóvil Dipsa, S.A. de C.V.</w:t>
      </w:r>
      <w:r w:rsidR="00DE5D39">
        <w:rPr>
          <w:rFonts w:ascii="ITC Avant Garde" w:hAnsi="ITC Avant Garde" w:cs="Arial"/>
        </w:rPr>
        <w:t xml:space="preserve"> </w:t>
      </w:r>
      <w:r w:rsidR="00981E2D" w:rsidRPr="00981E2D">
        <w:rPr>
          <w:rFonts w:ascii="ITC Avant Garde" w:hAnsi="ITC Avant Garde" w:cs="Arial"/>
        </w:rPr>
        <w:t>deberá pagar a la</w:t>
      </w:r>
      <w:r w:rsidR="00DE5D39">
        <w:rPr>
          <w:rFonts w:ascii="ITC Avant Garde" w:hAnsi="ITC Avant Garde" w:cs="Arial"/>
        </w:rPr>
        <w:t>s</w:t>
      </w:r>
      <w:r w:rsidR="00981E2D" w:rsidRPr="00981E2D">
        <w:rPr>
          <w:rFonts w:ascii="ITC Avant Garde" w:hAnsi="ITC Avant Garde" w:cs="Arial"/>
        </w:rPr>
        <w:t xml:space="preserve"> empresa</w:t>
      </w:r>
      <w:r w:rsidR="00DE5D39">
        <w:rPr>
          <w:rFonts w:ascii="ITC Avant Garde" w:hAnsi="ITC Avant Garde" w:cs="Arial"/>
        </w:rPr>
        <w:t>s</w:t>
      </w:r>
      <w:r w:rsidR="00981E2D" w:rsidRPr="00981E2D">
        <w:rPr>
          <w:rFonts w:ascii="ITC Avant Garde" w:hAnsi="ITC Avant Garde" w:cs="Arial"/>
        </w:rPr>
        <w:t xml:space="preserve"> </w:t>
      </w:r>
      <w:r w:rsidR="00DE5D39" w:rsidRPr="00DE5D39">
        <w:rPr>
          <w:rFonts w:ascii="ITC Avant Garde" w:hAnsi="ITC Avant Garde" w:cs="Arial"/>
        </w:rPr>
        <w:t>AT&amp;T Norte, S. de R.L. de C.V., Grupo AT&amp;T Celullar, S. de R.L. de C.V. y AT&amp;T Comercialización Móvil, S. de R.L. de C.V.</w:t>
      </w:r>
      <w:r w:rsidR="00DE5D39">
        <w:rPr>
          <w:rFonts w:ascii="ITC Avant Garde" w:hAnsi="ITC Avant Garde" w:cs="Arial"/>
        </w:rPr>
        <w:t xml:space="preserve">, </w:t>
      </w:r>
      <w:r w:rsidR="0066152E" w:rsidRPr="0066152E">
        <w:rPr>
          <w:rFonts w:ascii="ITC Avant Garde" w:hAnsi="ITC Avant Garde" w:cs="Arial"/>
        </w:rPr>
        <w:t>por servicios de terminación del servicio local en usuarios fijo</w:t>
      </w:r>
      <w:r w:rsidR="0066152E">
        <w:rPr>
          <w:rFonts w:ascii="ITC Avant Garde" w:hAnsi="ITC Avant Garde" w:cs="Arial"/>
        </w:rPr>
        <w:t>s</w:t>
      </w:r>
      <w:r w:rsidR="00567125" w:rsidRPr="006D6AF9">
        <w:rPr>
          <w:rFonts w:ascii="ITC Avant Garde" w:hAnsi="ITC Avant Garde" w:cs="Arial"/>
        </w:rPr>
        <w:t>,</w:t>
      </w:r>
      <w:r w:rsidR="00144812" w:rsidRPr="006D6AF9">
        <w:rPr>
          <w:rFonts w:ascii="ITC Avant Garde" w:hAnsi="ITC Avant Garde" w:cs="Arial"/>
        </w:rPr>
        <w:t xml:space="preserve"> será la siguiente:</w:t>
      </w:r>
    </w:p>
    <w:p w14:paraId="4A158E5C" w14:textId="77777777" w:rsidR="00B04AED" w:rsidRDefault="00144812" w:rsidP="00B04AED">
      <w:pPr>
        <w:pStyle w:val="Prrafodelista"/>
        <w:numPr>
          <w:ilvl w:val="0"/>
          <w:numId w:val="14"/>
        </w:numPr>
        <w:spacing w:after="200" w:line="276" w:lineRule="auto"/>
        <w:rPr>
          <w:rFonts w:ascii="ITC Avant Garde" w:hAnsi="ITC Avant Garde" w:cs="Arial"/>
          <w:b/>
        </w:rPr>
      </w:pPr>
      <w:r w:rsidRPr="006D6AF9">
        <w:rPr>
          <w:rFonts w:ascii="ITC Avant Garde" w:hAnsi="ITC Avant Garde" w:cs="Arial"/>
          <w:b/>
        </w:rPr>
        <w:t>Del 1 de enero al 1</w:t>
      </w:r>
      <w:r w:rsidR="00DC757A">
        <w:rPr>
          <w:rFonts w:ascii="ITC Avant Garde" w:hAnsi="ITC Avant Garde" w:cs="Arial"/>
          <w:b/>
        </w:rPr>
        <w:t>1</w:t>
      </w:r>
      <w:r w:rsidRPr="006D6AF9">
        <w:rPr>
          <w:rFonts w:ascii="ITC Avant Garde" w:hAnsi="ITC Avant Garde" w:cs="Arial"/>
          <w:b/>
        </w:rPr>
        <w:t xml:space="preserve"> de agosto de 2015, </w:t>
      </w:r>
      <w:r w:rsidR="00567125" w:rsidRPr="006D6AF9">
        <w:rPr>
          <w:rFonts w:ascii="ITC Avant Garde" w:hAnsi="ITC Avant Garde" w:cs="Arial"/>
          <w:b/>
        </w:rPr>
        <w:t>0.004179 pesos M.N. por minuto de interconexión.</w:t>
      </w:r>
    </w:p>
    <w:p w14:paraId="716A71F9" w14:textId="77777777" w:rsidR="00B04AED" w:rsidRDefault="00144812" w:rsidP="00B04AED">
      <w:pPr>
        <w:pStyle w:val="Textoindependiente"/>
        <w:spacing w:after="200" w:line="276" w:lineRule="auto"/>
        <w:rPr>
          <w:rFonts w:ascii="ITC Avant Garde" w:eastAsia="Calibri" w:hAnsi="ITC Avant Garde" w:cs="Arial"/>
          <w:szCs w:val="22"/>
        </w:rPr>
      </w:pPr>
      <w:r w:rsidRPr="006D6AF9">
        <w:rPr>
          <w:rFonts w:ascii="ITC Avant Garde" w:eastAsia="Calibri" w:hAnsi="ITC Avant Garde" w:cs="Arial"/>
          <w:szCs w:val="22"/>
        </w:rPr>
        <w:t>Las contraprestaciones se calcularán sumando la duración de todas las llamadas completadas en el período de facturación correspondiente, medidas en segundos, y multiplicando los minutos equivalentes a dicha suma, por la tarifa correspondiente.</w:t>
      </w:r>
    </w:p>
    <w:p w14:paraId="60BDE2A5" w14:textId="77777777" w:rsidR="00B04AED" w:rsidRDefault="00144812" w:rsidP="00B04AED">
      <w:pPr>
        <w:rPr>
          <w:rFonts w:ascii="ITC Avant Garde" w:hAnsi="ITC Avant Garde" w:cs="Arial"/>
          <w:b/>
        </w:rPr>
      </w:pPr>
      <w:r w:rsidRPr="006D6AF9">
        <w:rPr>
          <w:rFonts w:ascii="ITC Avant Garde" w:hAnsi="ITC Avant Garde"/>
        </w:rPr>
        <w:t>Las tarifas anteriores ya incluyen el costo correspondiente a los puertos necesarios para la interconexión.</w:t>
      </w:r>
    </w:p>
    <w:p w14:paraId="53144F78" w14:textId="77777777" w:rsidR="00B04AED" w:rsidRDefault="00DE5D39" w:rsidP="00B04AED">
      <w:pPr>
        <w:jc w:val="both"/>
        <w:rPr>
          <w:rFonts w:ascii="ITC Avant Garde" w:hAnsi="ITC Avant Garde" w:cs="Arial"/>
        </w:rPr>
      </w:pPr>
      <w:r>
        <w:rPr>
          <w:rFonts w:ascii="ITC Avant Garde" w:hAnsi="ITC Avant Garde" w:cs="Arial"/>
          <w:b/>
        </w:rPr>
        <w:t xml:space="preserve">TERCERO.- </w:t>
      </w:r>
      <w:r w:rsidRPr="006D6AF9">
        <w:rPr>
          <w:rFonts w:ascii="ITC Avant Garde" w:hAnsi="ITC Avant Garde" w:cs="Arial"/>
        </w:rPr>
        <w:t xml:space="preserve">La tarifa de interconexión </w:t>
      </w:r>
      <w:r>
        <w:rPr>
          <w:rFonts w:ascii="ITC Avant Garde" w:hAnsi="ITC Avant Garde" w:cs="Arial"/>
        </w:rPr>
        <w:t xml:space="preserve">que </w:t>
      </w:r>
      <w:r w:rsidRPr="00DE5D39">
        <w:rPr>
          <w:rFonts w:ascii="ITC Avant Garde" w:hAnsi="ITC Avant Garde" w:cs="Arial"/>
        </w:rPr>
        <w:t>Radiomóvil Dipsa, S.A. de C.V.</w:t>
      </w:r>
      <w:r>
        <w:rPr>
          <w:rFonts w:ascii="ITC Avant Garde" w:hAnsi="ITC Avant Garde" w:cs="Arial"/>
        </w:rPr>
        <w:t xml:space="preserve"> </w:t>
      </w:r>
      <w:r w:rsidRPr="00981E2D">
        <w:rPr>
          <w:rFonts w:ascii="ITC Avant Garde" w:hAnsi="ITC Avant Garde" w:cs="Arial"/>
        </w:rPr>
        <w:t>deberá pagar a la</w:t>
      </w:r>
      <w:r>
        <w:rPr>
          <w:rFonts w:ascii="ITC Avant Garde" w:hAnsi="ITC Avant Garde" w:cs="Arial"/>
        </w:rPr>
        <w:t>s</w:t>
      </w:r>
      <w:r w:rsidRPr="00981E2D">
        <w:rPr>
          <w:rFonts w:ascii="ITC Avant Garde" w:hAnsi="ITC Avant Garde" w:cs="Arial"/>
        </w:rPr>
        <w:t xml:space="preserve"> empresa</w:t>
      </w:r>
      <w:r>
        <w:rPr>
          <w:rFonts w:ascii="ITC Avant Garde" w:hAnsi="ITC Avant Garde" w:cs="Arial"/>
        </w:rPr>
        <w:t>s</w:t>
      </w:r>
      <w:r w:rsidRPr="00981E2D">
        <w:rPr>
          <w:rFonts w:ascii="ITC Avant Garde" w:hAnsi="ITC Avant Garde" w:cs="Arial"/>
        </w:rPr>
        <w:t xml:space="preserve"> </w:t>
      </w:r>
      <w:r w:rsidRPr="00DE5D39">
        <w:rPr>
          <w:rFonts w:ascii="ITC Avant Garde" w:hAnsi="ITC Avant Garde" w:cs="Arial"/>
        </w:rPr>
        <w:t>AT&amp;T Norte, S. de R.L. de C.V., Grupo AT&amp;T Celullar, S. de R.L. de C.V. y AT&amp;T Comercialización Móvil, S. de R.L. de C.V.</w:t>
      </w:r>
      <w:r>
        <w:rPr>
          <w:rFonts w:ascii="ITC Avant Garde" w:hAnsi="ITC Avant Garde" w:cs="Arial"/>
        </w:rPr>
        <w:t xml:space="preserve">, </w:t>
      </w:r>
      <w:r w:rsidRPr="0066152E">
        <w:rPr>
          <w:rFonts w:ascii="ITC Avant Garde" w:hAnsi="ITC Avant Garde" w:cs="Arial"/>
        </w:rPr>
        <w:t xml:space="preserve">por servicios de terminación del servicio local en </w:t>
      </w:r>
      <w:r w:rsidRPr="00DE5D39">
        <w:rPr>
          <w:rFonts w:ascii="ITC Avant Garde" w:hAnsi="ITC Avant Garde" w:cs="Arial"/>
        </w:rPr>
        <w:t>usuarios móviles bajo la modalidad “El que llama paga”</w:t>
      </w:r>
      <w:r w:rsidRPr="006D6AF9">
        <w:rPr>
          <w:rFonts w:ascii="ITC Avant Garde" w:hAnsi="ITC Avant Garde" w:cs="Arial"/>
        </w:rPr>
        <w:t>, será la siguiente:</w:t>
      </w:r>
    </w:p>
    <w:p w14:paraId="32B561B0" w14:textId="77777777" w:rsidR="00B04AED" w:rsidRDefault="00DE5D39" w:rsidP="00B04AED">
      <w:pPr>
        <w:pStyle w:val="Prrafodelista"/>
        <w:numPr>
          <w:ilvl w:val="0"/>
          <w:numId w:val="14"/>
        </w:numPr>
        <w:spacing w:after="200" w:line="276" w:lineRule="auto"/>
        <w:rPr>
          <w:rFonts w:ascii="ITC Avant Garde" w:hAnsi="ITC Avant Garde" w:cs="Arial"/>
          <w:b/>
        </w:rPr>
      </w:pPr>
      <w:r w:rsidRPr="006D6AF9">
        <w:rPr>
          <w:rFonts w:ascii="ITC Avant Garde" w:hAnsi="ITC Avant Garde" w:cs="Arial"/>
          <w:b/>
        </w:rPr>
        <w:t>Del 1 de enero al 1</w:t>
      </w:r>
      <w:r>
        <w:rPr>
          <w:rFonts w:ascii="ITC Avant Garde" w:hAnsi="ITC Avant Garde" w:cs="Arial"/>
          <w:b/>
        </w:rPr>
        <w:t>1</w:t>
      </w:r>
      <w:r w:rsidRPr="006D6AF9">
        <w:rPr>
          <w:rFonts w:ascii="ITC Avant Garde" w:hAnsi="ITC Avant Garde" w:cs="Arial"/>
          <w:b/>
        </w:rPr>
        <w:t xml:space="preserve"> de agosto de 2015, 0.</w:t>
      </w:r>
      <w:r>
        <w:rPr>
          <w:rFonts w:ascii="ITC Avant Garde" w:hAnsi="ITC Avant Garde" w:cs="Arial"/>
          <w:b/>
        </w:rPr>
        <w:t>2505</w:t>
      </w:r>
      <w:r w:rsidRPr="006D6AF9">
        <w:rPr>
          <w:rFonts w:ascii="ITC Avant Garde" w:hAnsi="ITC Avant Garde" w:cs="Arial"/>
          <w:b/>
        </w:rPr>
        <w:t xml:space="preserve"> pesos M.N. por minuto de interconexión.</w:t>
      </w:r>
    </w:p>
    <w:p w14:paraId="6142D4D8" w14:textId="77777777" w:rsidR="00B04AED" w:rsidRDefault="00904B52" w:rsidP="00B04AED">
      <w:pPr>
        <w:pStyle w:val="Textoindependiente"/>
        <w:spacing w:after="200" w:line="276" w:lineRule="auto"/>
        <w:rPr>
          <w:rFonts w:ascii="ITC Avant Garde" w:eastAsia="Calibri" w:hAnsi="ITC Avant Garde" w:cs="Arial"/>
          <w:szCs w:val="22"/>
        </w:rPr>
      </w:pPr>
      <w:r w:rsidRPr="006D6AF9">
        <w:rPr>
          <w:rFonts w:ascii="ITC Avant Garde" w:eastAsia="Calibri" w:hAnsi="ITC Avant Garde" w:cs="Arial"/>
          <w:szCs w:val="22"/>
        </w:rPr>
        <w:t>Las contraprestaciones se calcularán sumando la duración de todas las llamadas completadas en el período de facturación correspondiente, medidas en segundos, y multiplicando los minutos equivalentes a dicha suma, por la tarifa correspondiente.</w:t>
      </w:r>
    </w:p>
    <w:p w14:paraId="14AF47E3" w14:textId="77777777" w:rsidR="00B04AED" w:rsidRDefault="00904B52" w:rsidP="00B04AED">
      <w:pPr>
        <w:rPr>
          <w:rFonts w:ascii="ITC Avant Garde" w:hAnsi="ITC Avant Garde" w:cs="Arial"/>
          <w:b/>
        </w:rPr>
      </w:pPr>
      <w:r w:rsidRPr="006D6AF9">
        <w:rPr>
          <w:rFonts w:ascii="ITC Avant Garde" w:hAnsi="ITC Avant Garde"/>
        </w:rPr>
        <w:t>Las tarifas anteriores ya incluyen el costo correspondiente a los puertos necesarios para la interconexión.</w:t>
      </w:r>
    </w:p>
    <w:p w14:paraId="5D4B0AAF" w14:textId="5BEC5615" w:rsidR="00904B52" w:rsidRPr="006D6AF9" w:rsidRDefault="00904B52" w:rsidP="00B04AED">
      <w:pPr>
        <w:jc w:val="both"/>
        <w:rPr>
          <w:rFonts w:ascii="ITC Avant Garde" w:hAnsi="ITC Avant Garde" w:cs="Arial"/>
        </w:rPr>
      </w:pPr>
      <w:r>
        <w:rPr>
          <w:rFonts w:ascii="ITC Avant Garde" w:hAnsi="ITC Avant Garde" w:cs="Arial"/>
          <w:b/>
        </w:rPr>
        <w:t xml:space="preserve">CUARTO.- </w:t>
      </w:r>
      <w:r w:rsidRPr="006D6AF9">
        <w:rPr>
          <w:rFonts w:ascii="ITC Avant Garde" w:hAnsi="ITC Avant Garde" w:cs="Arial"/>
        </w:rPr>
        <w:t xml:space="preserve">La tarifa de interconexión </w:t>
      </w:r>
      <w:r>
        <w:rPr>
          <w:rFonts w:ascii="ITC Avant Garde" w:hAnsi="ITC Avant Garde" w:cs="Arial"/>
        </w:rPr>
        <w:t xml:space="preserve">que </w:t>
      </w:r>
      <w:r w:rsidRPr="00DE5D39">
        <w:rPr>
          <w:rFonts w:ascii="ITC Avant Garde" w:hAnsi="ITC Avant Garde" w:cs="Arial"/>
        </w:rPr>
        <w:t>Radiomóvil Dipsa, S.A. de C.V.</w:t>
      </w:r>
      <w:r>
        <w:rPr>
          <w:rFonts w:ascii="ITC Avant Garde" w:hAnsi="ITC Avant Garde" w:cs="Arial"/>
        </w:rPr>
        <w:t xml:space="preserve"> </w:t>
      </w:r>
      <w:r w:rsidRPr="00981E2D">
        <w:rPr>
          <w:rFonts w:ascii="ITC Avant Garde" w:hAnsi="ITC Avant Garde" w:cs="Arial"/>
        </w:rPr>
        <w:t>deberá pagar a la</w:t>
      </w:r>
      <w:r>
        <w:rPr>
          <w:rFonts w:ascii="ITC Avant Garde" w:hAnsi="ITC Avant Garde" w:cs="Arial"/>
        </w:rPr>
        <w:t>s</w:t>
      </w:r>
      <w:r w:rsidRPr="00981E2D">
        <w:rPr>
          <w:rFonts w:ascii="ITC Avant Garde" w:hAnsi="ITC Avant Garde" w:cs="Arial"/>
        </w:rPr>
        <w:t xml:space="preserve"> empresa</w:t>
      </w:r>
      <w:r>
        <w:rPr>
          <w:rFonts w:ascii="ITC Avant Garde" w:hAnsi="ITC Avant Garde" w:cs="Arial"/>
        </w:rPr>
        <w:t>s</w:t>
      </w:r>
      <w:r w:rsidRPr="00981E2D">
        <w:rPr>
          <w:rFonts w:ascii="ITC Avant Garde" w:hAnsi="ITC Avant Garde" w:cs="Arial"/>
        </w:rPr>
        <w:t xml:space="preserve"> </w:t>
      </w:r>
      <w:r w:rsidRPr="00DE5D39">
        <w:rPr>
          <w:rFonts w:ascii="ITC Avant Garde" w:hAnsi="ITC Avant Garde" w:cs="Arial"/>
        </w:rPr>
        <w:t>AT&amp;T Norte, S. de R.L. de C.V., Grupo AT&amp;T Celullar, S. de R.L. de C.V. y AT&amp;T Comercialización Móvil, S. de R.L. de C.V.</w:t>
      </w:r>
      <w:r>
        <w:rPr>
          <w:rFonts w:ascii="ITC Avant Garde" w:hAnsi="ITC Avant Garde" w:cs="Arial"/>
        </w:rPr>
        <w:t xml:space="preserve">, </w:t>
      </w:r>
      <w:r w:rsidRPr="00904B52">
        <w:rPr>
          <w:rFonts w:ascii="ITC Avant Garde" w:hAnsi="ITC Avant Garde" w:cs="Arial"/>
        </w:rPr>
        <w:t>por servicios de terminación de mensajes cortos en usuarios móviles</w:t>
      </w:r>
      <w:r w:rsidRPr="006D6AF9">
        <w:rPr>
          <w:rFonts w:ascii="ITC Avant Garde" w:hAnsi="ITC Avant Garde" w:cs="Arial"/>
        </w:rPr>
        <w:t>, será la siguiente:</w:t>
      </w:r>
    </w:p>
    <w:p w14:paraId="0890E6E6" w14:textId="77777777" w:rsidR="00B04AED" w:rsidRDefault="00904B52" w:rsidP="00B04AED">
      <w:pPr>
        <w:pStyle w:val="Prrafodelista"/>
        <w:numPr>
          <w:ilvl w:val="0"/>
          <w:numId w:val="14"/>
        </w:numPr>
        <w:spacing w:after="200" w:line="276" w:lineRule="auto"/>
        <w:rPr>
          <w:rFonts w:ascii="ITC Avant Garde" w:hAnsi="ITC Avant Garde" w:cs="Arial"/>
          <w:b/>
        </w:rPr>
      </w:pPr>
      <w:r w:rsidRPr="006D6AF9">
        <w:rPr>
          <w:rFonts w:ascii="ITC Avant Garde" w:hAnsi="ITC Avant Garde" w:cs="Arial"/>
          <w:b/>
        </w:rPr>
        <w:lastRenderedPageBreak/>
        <w:t>Del 1 de enero al 1</w:t>
      </w:r>
      <w:r>
        <w:rPr>
          <w:rFonts w:ascii="ITC Avant Garde" w:hAnsi="ITC Avant Garde" w:cs="Arial"/>
          <w:b/>
        </w:rPr>
        <w:t>1</w:t>
      </w:r>
      <w:r w:rsidRPr="006D6AF9">
        <w:rPr>
          <w:rFonts w:ascii="ITC Avant Garde" w:hAnsi="ITC Avant Garde" w:cs="Arial"/>
          <w:b/>
        </w:rPr>
        <w:t xml:space="preserve"> de agosto de 2015, 0.</w:t>
      </w:r>
      <w:r>
        <w:rPr>
          <w:rFonts w:ascii="ITC Avant Garde" w:hAnsi="ITC Avant Garde" w:cs="Arial"/>
          <w:b/>
        </w:rPr>
        <w:t>0261</w:t>
      </w:r>
      <w:r w:rsidRPr="006D6AF9">
        <w:rPr>
          <w:rFonts w:ascii="ITC Avant Garde" w:hAnsi="ITC Avant Garde" w:cs="Arial"/>
          <w:b/>
        </w:rPr>
        <w:t xml:space="preserve"> pesos M.N. por minuto de interconexión.</w:t>
      </w:r>
    </w:p>
    <w:p w14:paraId="4975B5F5" w14:textId="77777777" w:rsidR="00B04AED" w:rsidRDefault="00904B52" w:rsidP="00B04AED">
      <w:pPr>
        <w:rPr>
          <w:rFonts w:ascii="ITC Avant Garde" w:hAnsi="ITC Avant Garde" w:cs="Arial"/>
          <w:b/>
        </w:rPr>
      </w:pPr>
      <w:r w:rsidRPr="006D6AF9">
        <w:rPr>
          <w:rFonts w:ascii="ITC Avant Garde" w:hAnsi="ITC Avant Garde"/>
        </w:rPr>
        <w:t>Las tarifas anteriores ya incluyen el costo correspondiente a los puertos necesarios para la interconexión.</w:t>
      </w:r>
    </w:p>
    <w:p w14:paraId="767DDE6E" w14:textId="77777777" w:rsidR="00B04AED" w:rsidRDefault="00904B52" w:rsidP="00B04AED">
      <w:pPr>
        <w:jc w:val="both"/>
        <w:rPr>
          <w:rFonts w:ascii="ITC Avant Garde" w:hAnsi="ITC Avant Garde"/>
        </w:rPr>
      </w:pPr>
      <w:r>
        <w:rPr>
          <w:rFonts w:ascii="ITC Avant Garde" w:hAnsi="ITC Avant Garde" w:cs="Arial"/>
          <w:b/>
        </w:rPr>
        <w:t>QUINTO</w:t>
      </w:r>
      <w:r w:rsidR="00BF1709" w:rsidRPr="006D6AF9">
        <w:rPr>
          <w:rFonts w:ascii="ITC Avant Garde" w:hAnsi="ITC Avant Garde" w:cs="Arial"/>
          <w:b/>
        </w:rPr>
        <w:t>.-</w:t>
      </w:r>
      <w:r w:rsidR="00C37862" w:rsidRPr="006D6AF9">
        <w:rPr>
          <w:rFonts w:ascii="ITC Avant Garde" w:hAnsi="ITC Avant Garde" w:cs="Arial"/>
        </w:rPr>
        <w:t xml:space="preserve"> </w:t>
      </w:r>
      <w:r w:rsidR="0066152E" w:rsidRPr="0066152E">
        <w:rPr>
          <w:rFonts w:ascii="ITC Avant Garde" w:hAnsi="ITC Avant Garde" w:cs="Arial"/>
        </w:rPr>
        <w:t xml:space="preserve">En cumplimiento a la ejecutoria de fecha </w:t>
      </w:r>
      <w:r>
        <w:rPr>
          <w:rFonts w:ascii="ITC Avant Garde" w:hAnsi="ITC Avant Garde" w:cs="Arial"/>
        </w:rPr>
        <w:t>27</w:t>
      </w:r>
      <w:r w:rsidR="00DC757A">
        <w:rPr>
          <w:rFonts w:ascii="ITC Avant Garde" w:hAnsi="ITC Avant Garde" w:cs="Arial"/>
        </w:rPr>
        <w:t xml:space="preserve"> de marzo</w:t>
      </w:r>
      <w:r w:rsidR="0066152E" w:rsidRPr="0066152E">
        <w:rPr>
          <w:rFonts w:ascii="ITC Avant Garde" w:hAnsi="ITC Avant Garde" w:cs="Arial"/>
        </w:rPr>
        <w:t xml:space="preserve"> de 2018 emitida por el </w:t>
      </w:r>
      <w:r>
        <w:rPr>
          <w:rFonts w:ascii="ITC Avant Garde" w:hAnsi="ITC Avant Garde" w:cs="Arial"/>
        </w:rPr>
        <w:t xml:space="preserve">Primer </w:t>
      </w:r>
      <w:r w:rsidR="0066152E" w:rsidRPr="0066152E">
        <w:rPr>
          <w:rFonts w:ascii="ITC Avant Garde" w:hAnsi="ITC Avant Garde" w:cs="Arial"/>
        </w:rPr>
        <w:t xml:space="preserve"> Tribunal Colegiado en Materia Administrativa Especializado en Competencia Económica, Radiodifusión y Telecomunicaciones con residencia en la Ciudad de México y jurisdicción en toda la República correspo</w:t>
      </w:r>
      <w:r w:rsidR="0066152E">
        <w:rPr>
          <w:rFonts w:ascii="ITC Avant Garde" w:hAnsi="ITC Avant Garde" w:cs="Arial"/>
        </w:rPr>
        <w:t>ndiente al amparo en r</w:t>
      </w:r>
      <w:r>
        <w:rPr>
          <w:rFonts w:ascii="ITC Avant Garde" w:hAnsi="ITC Avant Garde" w:cs="Arial"/>
        </w:rPr>
        <w:t>evisión 113</w:t>
      </w:r>
      <w:r w:rsidR="0066152E" w:rsidRPr="0066152E">
        <w:rPr>
          <w:rFonts w:ascii="ITC Avant Garde" w:hAnsi="ITC Avant Garde" w:cs="Arial"/>
        </w:rPr>
        <w:t>/2016, las partes deberán devolver o pagar las diferencias que en su caso resulten</w:t>
      </w:r>
      <w:r w:rsidR="00C275C5">
        <w:rPr>
          <w:rFonts w:ascii="ITC Avant Garde" w:hAnsi="ITC Avant Garde" w:cs="Arial"/>
        </w:rPr>
        <w:t xml:space="preserve">, </w:t>
      </w:r>
      <w:r w:rsidR="00C275C5" w:rsidRPr="00EA7906">
        <w:rPr>
          <w:rFonts w:ascii="ITC Avant Garde" w:hAnsi="ITC Avant Garde" w:cs="Arial"/>
        </w:rPr>
        <w:t>entre las tarifas que fueron efectivamente cobradas y las determinadas en la presente Resolución.</w:t>
      </w:r>
    </w:p>
    <w:p w14:paraId="6D4672DD" w14:textId="77777777" w:rsidR="00B04AED" w:rsidRDefault="00904B52" w:rsidP="00B04AED">
      <w:pPr>
        <w:tabs>
          <w:tab w:val="left" w:pos="2949"/>
        </w:tabs>
        <w:jc w:val="both"/>
        <w:rPr>
          <w:rFonts w:ascii="ITC Avant Garde" w:hAnsi="ITC Avant Garde" w:cs="Arial"/>
        </w:rPr>
      </w:pPr>
      <w:r>
        <w:rPr>
          <w:rFonts w:ascii="ITC Avant Garde" w:hAnsi="ITC Avant Garde" w:cs="Arial"/>
          <w:b/>
          <w:bCs/>
        </w:rPr>
        <w:t>SEXTO</w:t>
      </w:r>
      <w:r w:rsidR="0066152E" w:rsidRPr="007D07B1">
        <w:rPr>
          <w:rFonts w:ascii="ITC Avant Garde" w:hAnsi="ITC Avant Garde" w:cs="Arial"/>
          <w:b/>
          <w:snapToGrid w:val="0"/>
        </w:rPr>
        <w:t>.-</w:t>
      </w:r>
      <w:r w:rsidR="0066152E" w:rsidRPr="007D07B1">
        <w:rPr>
          <w:rFonts w:ascii="ITC Avant Garde" w:hAnsi="ITC Avant Garde" w:cs="Arial"/>
          <w:snapToGrid w:val="0"/>
        </w:rPr>
        <w:t xml:space="preserve"> </w:t>
      </w:r>
      <w:r w:rsidR="0066152E" w:rsidRPr="007D07B1">
        <w:rPr>
          <w:rFonts w:ascii="ITC Avant Garde" w:hAnsi="ITC Avant Garde" w:cs="Arial"/>
        </w:rPr>
        <w:t>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w:t>
      </w:r>
      <w:r w:rsidR="0066152E">
        <w:rPr>
          <w:rFonts w:ascii="ITC Avant Garde" w:hAnsi="ITC Avant Garde" w:cs="Arial"/>
        </w:rPr>
        <w:t>idas en la presente Resolución</w:t>
      </w:r>
      <w:r w:rsidR="00DC757A">
        <w:rPr>
          <w:rFonts w:ascii="ITC Avant Garde" w:hAnsi="ITC Avant Garde" w:cs="Arial"/>
        </w:rPr>
        <w:t xml:space="preserve"> </w:t>
      </w:r>
      <w:r w:rsidRPr="00904B52">
        <w:rPr>
          <w:rFonts w:ascii="ITC Avant Garde" w:hAnsi="ITC Avant Garde" w:cs="Arial"/>
        </w:rPr>
        <w:t>Radiomóvil Dipsa, S.A. de C.V.</w:t>
      </w:r>
      <w:r>
        <w:rPr>
          <w:rFonts w:ascii="ITC Avant Garde" w:hAnsi="ITC Avant Garde" w:cs="Arial"/>
        </w:rPr>
        <w:t xml:space="preserve">, </w:t>
      </w:r>
      <w:r w:rsidRPr="00904B52">
        <w:rPr>
          <w:rFonts w:ascii="ITC Avant Garde" w:hAnsi="ITC Avant Garde" w:cs="Arial"/>
        </w:rPr>
        <w:t>AT&amp;T Norte, S. de R.L. de C.V., Grupo AT&amp;T Celullar, S. de R.L. de C.V. y AT&amp;T Comercialización Móvil, S. de R.L. de C.V.</w:t>
      </w:r>
      <w:r w:rsidR="0066152E" w:rsidRPr="007D07B1">
        <w:rPr>
          <w:rFonts w:ascii="ITC Avant Garde" w:hAnsi="ITC Avant Garde" w:cs="Arial"/>
        </w:rPr>
        <w:t xml:space="preserve">, deberán celebrar los convenios de interconexión de sus redes públicas de telecomunicaciones conforme a los términos y condiciones determinados en los Resolutivos </w:t>
      </w:r>
      <w:r>
        <w:rPr>
          <w:rFonts w:ascii="ITC Avant Garde" w:hAnsi="ITC Avant Garde" w:cs="Arial"/>
        </w:rPr>
        <w:t>SEGUNDO,</w:t>
      </w:r>
      <w:r w:rsidR="0066152E">
        <w:rPr>
          <w:rFonts w:ascii="ITC Avant Garde" w:hAnsi="ITC Avant Garde" w:cs="Arial"/>
        </w:rPr>
        <w:t xml:space="preserve"> </w:t>
      </w:r>
      <w:r w:rsidR="0066152E" w:rsidRPr="007D07B1">
        <w:rPr>
          <w:rFonts w:ascii="ITC Avant Garde" w:hAnsi="ITC Avant Garde" w:cs="Arial"/>
        </w:rPr>
        <w:t>TERCERO</w:t>
      </w:r>
      <w:r>
        <w:rPr>
          <w:rFonts w:ascii="ITC Avant Garde" w:hAnsi="ITC Avant Garde" w:cs="Arial"/>
        </w:rPr>
        <w:t>, CUARTO y QUINTO</w:t>
      </w:r>
      <w:r w:rsidR="0066152E" w:rsidRPr="007D07B1">
        <w:rPr>
          <w:rFonts w:ascii="ITC Avant Garde" w:hAnsi="ITC Avant Garde" w:cs="Arial"/>
        </w:rPr>
        <w:t xml:space="preserve"> de la presente Resolución. 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w:t>
      </w:r>
      <w:r w:rsidR="0066152E">
        <w:rPr>
          <w:rFonts w:ascii="ITC Avant Garde" w:hAnsi="ITC Avant Garde" w:cs="Arial"/>
        </w:rPr>
        <w:t>comunicaciones y Radiodifusión.</w:t>
      </w:r>
    </w:p>
    <w:p w14:paraId="073CCF2A" w14:textId="55CB248F" w:rsidR="0010524D" w:rsidRPr="006D6AF9" w:rsidRDefault="00904B52" w:rsidP="00B04AED">
      <w:pPr>
        <w:jc w:val="both"/>
        <w:rPr>
          <w:rFonts w:ascii="ITC Avant Garde" w:hAnsi="ITC Avant Garde" w:cs="Arial"/>
        </w:rPr>
      </w:pPr>
      <w:r>
        <w:rPr>
          <w:rFonts w:ascii="ITC Avant Garde" w:hAnsi="ITC Avant Garde" w:cs="Arial"/>
          <w:b/>
        </w:rPr>
        <w:t>SÉPTIMO</w:t>
      </w:r>
      <w:r w:rsidR="00C37862" w:rsidRPr="006D6AF9">
        <w:rPr>
          <w:rFonts w:ascii="ITC Avant Garde" w:hAnsi="ITC Avant Garde" w:cs="Arial"/>
          <w:b/>
        </w:rPr>
        <w:t xml:space="preserve">.- </w:t>
      </w:r>
      <w:r w:rsidR="00506FE7" w:rsidRPr="006D6AF9">
        <w:rPr>
          <w:rFonts w:ascii="ITC Avant Garde" w:hAnsi="ITC Avant Garde" w:cs="Arial"/>
        </w:rPr>
        <w:t xml:space="preserve">En cumplimiento a lo dispuesto en los artículos 312 y 313 de la Ley Federal de Telecomunicaciones y Radiodifusión, se hace del conocimiento de </w:t>
      </w:r>
      <w:r w:rsidRPr="00904B52">
        <w:rPr>
          <w:rFonts w:ascii="ITC Avant Garde" w:hAnsi="ITC Avant Garde" w:cs="Arial"/>
        </w:rPr>
        <w:t>Radiomóvil Dipsa, S.A. de C.V., AT&amp;T Norte, S. de R.L. de C.V., Grupo AT&amp;T Celullar, S. de R.L. de C.V. y AT&amp;T Comercialización Móvil, S. de R.L. de C.V.</w:t>
      </w:r>
      <w:r w:rsidR="00B76A6B" w:rsidRPr="006D6AF9">
        <w:rPr>
          <w:rFonts w:ascii="ITC Avant Garde" w:hAnsi="ITC Avant Garde" w:cs="Arial"/>
          <w:bCs/>
        </w:rPr>
        <w:t>,</w:t>
      </w:r>
      <w:r w:rsidR="00B76A6B" w:rsidRPr="006D6AF9">
        <w:rPr>
          <w:rFonts w:ascii="ITC Avant Garde" w:hAnsi="ITC Avant Garde" w:cs="Arial"/>
          <w:b/>
          <w:bCs/>
        </w:rPr>
        <w:t xml:space="preserve"> </w:t>
      </w:r>
      <w:r w:rsidR="00506FE7" w:rsidRPr="006D6AF9">
        <w:rPr>
          <w:rFonts w:ascii="ITC Avant Garde" w:hAnsi="ITC Avant Garde" w:cs="Arial"/>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2E4426F3" w14:textId="77777777" w:rsidR="00B04AED" w:rsidRDefault="00904B52" w:rsidP="00B04AED">
      <w:pPr>
        <w:jc w:val="both"/>
        <w:rPr>
          <w:rFonts w:ascii="ITC Avant Garde" w:hAnsi="ITC Avant Garde" w:cs="Arial"/>
        </w:rPr>
      </w:pPr>
      <w:r>
        <w:rPr>
          <w:rFonts w:ascii="ITC Avant Garde" w:hAnsi="ITC Avant Garde" w:cs="Arial"/>
          <w:b/>
          <w:bCs/>
        </w:rPr>
        <w:t>OCTAVO</w:t>
      </w:r>
      <w:r w:rsidR="00C37862" w:rsidRPr="006D6AF9">
        <w:rPr>
          <w:rFonts w:ascii="ITC Avant Garde" w:hAnsi="ITC Avant Garde" w:cs="Arial"/>
          <w:b/>
          <w:snapToGrid w:val="0"/>
        </w:rPr>
        <w:t>.-</w:t>
      </w:r>
      <w:r w:rsidR="00C37862" w:rsidRPr="006D6AF9">
        <w:rPr>
          <w:rFonts w:ascii="ITC Avant Garde" w:hAnsi="ITC Avant Garde" w:cs="Arial"/>
        </w:rPr>
        <w:t xml:space="preserve"> Notifíquese personalmente a los representantes legales de </w:t>
      </w:r>
      <w:r w:rsidRPr="00904B52">
        <w:rPr>
          <w:rFonts w:ascii="ITC Avant Garde" w:hAnsi="ITC Avant Garde"/>
        </w:rPr>
        <w:t>Radiomóvil Dipsa, S.A. de C.V., AT&amp;T Norte, S. de R.L. de C.V., Grupo AT&amp;T Celullar, S. de R.L. de C.V. y AT&amp;T Comercialización Móvil, S. de R.L. de C.V.</w:t>
      </w:r>
      <w:r>
        <w:rPr>
          <w:rFonts w:ascii="ITC Avant Garde" w:hAnsi="ITC Avant Garde"/>
        </w:rPr>
        <w:t xml:space="preserve"> </w:t>
      </w:r>
      <w:r w:rsidR="00C37862" w:rsidRPr="006D6AF9">
        <w:rPr>
          <w:rFonts w:ascii="ITC Avant Garde" w:hAnsi="ITC Avant Garde" w:cs="Arial"/>
          <w:bCs/>
        </w:rPr>
        <w:t>el</w:t>
      </w:r>
      <w:r w:rsidR="00C37862" w:rsidRPr="006D6AF9">
        <w:rPr>
          <w:rFonts w:ascii="ITC Avant Garde" w:hAnsi="ITC Avant Garde" w:cs="Arial"/>
        </w:rPr>
        <w:t xml:space="preserve"> contenido de la presente Resolución, en </w:t>
      </w:r>
      <w:r w:rsidR="00C37862" w:rsidRPr="006D6AF9">
        <w:rPr>
          <w:rFonts w:ascii="ITC Avant Garde" w:hAnsi="ITC Avant Garde" w:cs="Arial"/>
        </w:rPr>
        <w:lastRenderedPageBreak/>
        <w:t>términos de lo establecido en el artículo 129 fracción VIII de la Ley Federal de Telecomunicaciones y Radiodifusión.</w:t>
      </w:r>
    </w:p>
    <w:p w14:paraId="71EA42FD" w14:textId="42B17E39" w:rsidR="00692681" w:rsidRPr="00692681" w:rsidRDefault="00692681" w:rsidP="00B04AED">
      <w:pPr>
        <w:spacing w:line="240" w:lineRule="auto"/>
        <w:jc w:val="both"/>
        <w:rPr>
          <w:sz w:val="13"/>
          <w:szCs w:val="13"/>
        </w:rPr>
      </w:pPr>
      <w:r w:rsidRPr="00692681">
        <w:rPr>
          <w:rFonts w:ascii="ITC Avant Garde" w:hAnsi="ITC Avant Garde"/>
          <w:sz w:val="13"/>
          <w:szCs w:val="13"/>
          <w:lang w:eastAsia="es-MX"/>
        </w:rPr>
        <w:t xml:space="preserve">La presente Resolución fue aprobada por el Pleno del Instituto Federal de Telecomunicaciones en su XVII Sesión Ordinaria celebrada el 9 de mayo de 2018, </w:t>
      </w:r>
      <w:r w:rsidRPr="00692681">
        <w:rPr>
          <w:rFonts w:ascii="ITC Avant Garde" w:hAnsi="ITC Avant Garde"/>
          <w:bCs/>
          <w:sz w:val="13"/>
          <w:szCs w:val="13"/>
          <w:lang w:eastAsia="es-MX"/>
        </w:rPr>
        <w:t>en lo general por</w:t>
      </w:r>
      <w:r w:rsidRPr="00692681">
        <w:rPr>
          <w:rFonts w:ascii="ITC Avant Garde" w:hAnsi="ITC Avant Garde"/>
          <w:sz w:val="13"/>
          <w:szCs w:val="13"/>
          <w:lang w:eastAsia="es-MX"/>
        </w:rPr>
        <w:t xml:space="preserve"> </w:t>
      </w:r>
      <w:r w:rsidRPr="00692681">
        <w:rPr>
          <w:rFonts w:ascii="ITC Avant Garde" w:hAnsi="ITC Avant Garde"/>
          <w:bCs/>
          <w:sz w:val="13"/>
          <w:szCs w:val="13"/>
          <w:lang w:eastAsia="es-MX"/>
        </w:rPr>
        <w:t>unanimidad</w:t>
      </w:r>
      <w:r w:rsidRPr="00692681">
        <w:rPr>
          <w:rFonts w:ascii="ITC Avant Garde" w:hAnsi="ITC Avant Garde"/>
          <w:sz w:val="13"/>
          <w:szCs w:val="13"/>
          <w:lang w:eastAsia="es-MX"/>
        </w:rPr>
        <w:t xml:space="preserve"> de votos de los Comisionados Gabriel Oswaldo Contreras Saldívar, María Elena Estavillo Flores, Mario Germán Fromow Rangel, Adolfo Cuevas Teja, Javier Juárez Mojica, Arturo Robles Rovalo y Sóstenes Díaz González.</w:t>
      </w:r>
    </w:p>
    <w:p w14:paraId="2CEE3E8B" w14:textId="77777777" w:rsidR="00692681" w:rsidRPr="00692681" w:rsidRDefault="00692681" w:rsidP="00B04AED">
      <w:pPr>
        <w:spacing w:line="240" w:lineRule="auto"/>
        <w:jc w:val="both"/>
        <w:rPr>
          <w:sz w:val="13"/>
          <w:szCs w:val="13"/>
        </w:rPr>
      </w:pPr>
      <w:r w:rsidRPr="00692681">
        <w:rPr>
          <w:rFonts w:ascii="ITC Avant Garde" w:hAnsi="ITC Avant Garde"/>
          <w:sz w:val="13"/>
          <w:szCs w:val="13"/>
          <w:lang w:eastAsia="es-MX"/>
        </w:rPr>
        <w:t xml:space="preserve">En lo particular, el Comisionado Adolfo Cuevas Teja manifiesta voto en contra de los Resolutivos Segundo, Tercero, Cuarto, Quinto y Sexto, por lo que hace a las tarifas 2015; y a que el pago de diferencias y la celebración de los convenios de interconexión sea conforme a dichas tarifas. </w:t>
      </w:r>
    </w:p>
    <w:p w14:paraId="048388B8" w14:textId="29A2235A" w:rsidR="00692681" w:rsidRPr="00692681" w:rsidRDefault="00692681" w:rsidP="00B04AED">
      <w:pPr>
        <w:spacing w:line="240" w:lineRule="auto"/>
        <w:jc w:val="both"/>
        <w:rPr>
          <w:rFonts w:ascii="ITC Avant Garde" w:hAnsi="ITC Avant Garde" w:cs="Arial"/>
          <w:sz w:val="13"/>
          <w:szCs w:val="13"/>
        </w:rPr>
      </w:pPr>
      <w:r w:rsidRPr="00692681">
        <w:rPr>
          <w:rFonts w:ascii="ITC Avant Garde" w:hAnsi="ITC Avant Garde"/>
          <w:sz w:val="13"/>
          <w:szCs w:val="13"/>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P/IFT/090518/343</w:t>
      </w:r>
      <w:r>
        <w:rPr>
          <w:rFonts w:ascii="ITC Avant Garde" w:hAnsi="ITC Avant Garde"/>
          <w:sz w:val="13"/>
          <w:szCs w:val="13"/>
          <w:lang w:eastAsia="es-MX"/>
        </w:rPr>
        <w:t>.</w:t>
      </w:r>
    </w:p>
    <w:sectPr w:rsidR="00692681" w:rsidRPr="00692681" w:rsidSect="00A278E2">
      <w:headerReference w:type="even" r:id="rId11"/>
      <w:headerReference w:type="default" r:id="rId12"/>
      <w:footerReference w:type="default" r:id="rId13"/>
      <w:headerReference w:type="first" r:id="rId14"/>
      <w:footnotePr>
        <w:numStart w:val="2"/>
      </w:footnotePr>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F167" w14:textId="77777777" w:rsidR="00C52244" w:rsidRDefault="00C52244" w:rsidP="00072BC8">
      <w:pPr>
        <w:spacing w:after="0" w:line="240" w:lineRule="auto"/>
      </w:pPr>
      <w:r>
        <w:separator/>
      </w:r>
    </w:p>
  </w:endnote>
  <w:endnote w:type="continuationSeparator" w:id="0">
    <w:p w14:paraId="0B66AA99" w14:textId="77777777" w:rsidR="00C52244" w:rsidRDefault="00C52244" w:rsidP="00072BC8">
      <w:pPr>
        <w:spacing w:after="0" w:line="240" w:lineRule="auto"/>
      </w:pPr>
      <w:r>
        <w:continuationSeparator/>
      </w:r>
    </w:p>
  </w:endnote>
  <w:endnote w:type="continuationNotice" w:id="1">
    <w:p w14:paraId="58B5E915" w14:textId="77777777" w:rsidR="00C52244" w:rsidRDefault="00C52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rPr>
      <w:id w:val="-1248260230"/>
      <w:docPartObj>
        <w:docPartGallery w:val="Page Numbers (Bottom of Page)"/>
        <w:docPartUnique/>
      </w:docPartObj>
    </w:sdtPr>
    <w:sdtEndPr>
      <w:rPr>
        <w:sz w:val="20"/>
      </w:rPr>
    </w:sdtEndPr>
    <w:sdtContent>
      <w:p w14:paraId="6170999B" w14:textId="29769297" w:rsidR="00330A9B" w:rsidRPr="00A278E2" w:rsidRDefault="00330A9B">
        <w:pPr>
          <w:pStyle w:val="Piedepgina"/>
          <w:jc w:val="right"/>
          <w:rPr>
            <w:rFonts w:ascii="ITC Avant Garde" w:hAnsi="ITC Avant Garde"/>
            <w:sz w:val="20"/>
          </w:rPr>
        </w:pPr>
        <w:r w:rsidRPr="00A278E2">
          <w:rPr>
            <w:rFonts w:ascii="ITC Avant Garde" w:hAnsi="ITC Avant Garde"/>
            <w:sz w:val="20"/>
          </w:rPr>
          <w:fldChar w:fldCharType="begin"/>
        </w:r>
        <w:r w:rsidRPr="00A278E2">
          <w:rPr>
            <w:rFonts w:ascii="ITC Avant Garde" w:hAnsi="ITC Avant Garde"/>
            <w:sz w:val="20"/>
          </w:rPr>
          <w:instrText>PAGE   \* MERGEFORMAT</w:instrText>
        </w:r>
        <w:r w:rsidRPr="00A278E2">
          <w:rPr>
            <w:rFonts w:ascii="ITC Avant Garde" w:hAnsi="ITC Avant Garde"/>
            <w:sz w:val="20"/>
          </w:rPr>
          <w:fldChar w:fldCharType="separate"/>
        </w:r>
        <w:r w:rsidR="00B04AED" w:rsidRPr="00B04AED">
          <w:rPr>
            <w:rFonts w:ascii="ITC Avant Garde" w:hAnsi="ITC Avant Garde"/>
            <w:noProof/>
            <w:sz w:val="20"/>
            <w:lang w:val="es-ES"/>
          </w:rPr>
          <w:t>1</w:t>
        </w:r>
        <w:r w:rsidRPr="00A278E2">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064B0" w14:textId="77777777" w:rsidR="00C52244" w:rsidRDefault="00C52244" w:rsidP="00072BC8">
      <w:pPr>
        <w:spacing w:after="0" w:line="240" w:lineRule="auto"/>
      </w:pPr>
      <w:r>
        <w:separator/>
      </w:r>
    </w:p>
  </w:footnote>
  <w:footnote w:type="continuationSeparator" w:id="0">
    <w:p w14:paraId="169C2478" w14:textId="77777777" w:rsidR="00C52244" w:rsidRDefault="00C52244" w:rsidP="00072BC8">
      <w:pPr>
        <w:spacing w:after="0" w:line="240" w:lineRule="auto"/>
      </w:pPr>
      <w:r>
        <w:continuationSeparator/>
      </w:r>
    </w:p>
  </w:footnote>
  <w:footnote w:type="continuationNotice" w:id="1">
    <w:p w14:paraId="679D4CB9" w14:textId="77777777" w:rsidR="00C52244" w:rsidRDefault="00C52244">
      <w:pPr>
        <w:spacing w:after="0" w:line="240" w:lineRule="auto"/>
      </w:pPr>
    </w:p>
  </w:footnote>
  <w:footnote w:id="2">
    <w:p w14:paraId="796B8E77" w14:textId="4B29A656" w:rsidR="00BC6B53" w:rsidRPr="00AB22A5" w:rsidRDefault="00BC6B53" w:rsidP="00BC6B53">
      <w:pPr>
        <w:pStyle w:val="Textonotapie"/>
        <w:rPr>
          <w:rFonts w:ascii="ITC Avant Garde" w:hAnsi="ITC Avant Garde"/>
          <w:lang w:val="es-MX"/>
        </w:rPr>
      </w:pPr>
      <w:r w:rsidRPr="00AB22A5">
        <w:rPr>
          <w:rStyle w:val="Refdenotaalpie"/>
          <w:rFonts w:ascii="ITC Avant Garde" w:hAnsi="ITC Avant Garde"/>
        </w:rPr>
        <w:sym w:font="Symbol" w:char="F031"/>
      </w:r>
      <w:r w:rsidRPr="00AB22A5">
        <w:rPr>
          <w:rFonts w:ascii="ITC Avant Garde" w:hAnsi="ITC Avant Garde"/>
        </w:rPr>
        <w:t xml:space="preserve"> </w:t>
      </w:r>
      <w:r w:rsidRPr="0049724F">
        <w:rPr>
          <w:rFonts w:ascii="ITC Avant Garde" w:hAnsi="ITC Avant Garde"/>
          <w:color w:val="0070C0"/>
        </w:rPr>
        <w:t>http://apps.ift.org.mx/publicdata/P_IFT_120917_547.pdf</w:t>
      </w:r>
      <w:r w:rsidRPr="00AB22A5">
        <w:rPr>
          <w:rFonts w:ascii="ITC Avant Garde" w:hAnsi="ITC Avant Gar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0D77F" w14:textId="77777777" w:rsidR="00330A9B" w:rsidRDefault="00C52244">
    <w:pPr>
      <w:pStyle w:val="Encabezado"/>
    </w:pPr>
    <w:r>
      <w:rPr>
        <w:noProof/>
        <w:lang w:eastAsia="es-MX"/>
      </w:rPr>
      <w:pict w14:anchorId="6FF36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6ABC" w14:textId="77777777" w:rsidR="00330A9B" w:rsidRDefault="00330A9B" w:rsidP="0067246B">
    <w:pPr>
      <w:pStyle w:val="Encabezado"/>
      <w:tabs>
        <w:tab w:val="clear" w:pos="4419"/>
        <w:tab w:val="clear" w:pos="8838"/>
        <w:tab w:val="left" w:pos="586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CC8B" w14:textId="77777777" w:rsidR="00330A9B" w:rsidRDefault="00C52244">
    <w:pPr>
      <w:pStyle w:val="Encabezado"/>
    </w:pPr>
    <w:r>
      <w:rPr>
        <w:noProof/>
        <w:lang w:eastAsia="es-MX"/>
      </w:rPr>
      <w:pict w14:anchorId="67F9E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5DE6"/>
      </v:shape>
    </w:pict>
  </w:numPicBullet>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0751E4"/>
    <w:multiLevelType w:val="hybridMultilevel"/>
    <w:tmpl w:val="4E686666"/>
    <w:lvl w:ilvl="0" w:tplc="29C837EA">
      <w:numFmt w:val="bullet"/>
      <w:lvlText w:val="-"/>
      <w:lvlPicBulletId w:val="0"/>
      <w:lvlJc w:val="left"/>
      <w:pPr>
        <w:ind w:left="1287" w:hanging="360"/>
      </w:pPr>
      <w:rPr>
        <w:rFonts w:ascii="ITC Avant Garde" w:eastAsiaTheme="minorHAnsi" w:hAnsi="ITC Avant Garde"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1EC23A53"/>
    <w:multiLevelType w:val="hybridMultilevel"/>
    <w:tmpl w:val="2C9E0D72"/>
    <w:lvl w:ilvl="0" w:tplc="8E04C3E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A67B4"/>
    <w:multiLevelType w:val="hybridMultilevel"/>
    <w:tmpl w:val="45F6829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7522131"/>
    <w:multiLevelType w:val="hybridMultilevel"/>
    <w:tmpl w:val="77FCA41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0"/>
  </w:num>
  <w:num w:numId="5">
    <w:abstractNumId w:val="1"/>
  </w:num>
  <w:num w:numId="6">
    <w:abstractNumId w:val="10"/>
  </w:num>
  <w:num w:numId="7">
    <w:abstractNumId w:val="8"/>
  </w:num>
  <w:num w:numId="8">
    <w:abstractNumId w:val="12"/>
  </w:num>
  <w:num w:numId="9">
    <w:abstractNumId w:val="4"/>
  </w:num>
  <w:num w:numId="10">
    <w:abstractNumId w:val="9"/>
  </w:num>
  <w:num w:numId="11">
    <w:abstractNumId w:val="3"/>
  </w:num>
  <w:num w:numId="12">
    <w:abstractNumId w:val="15"/>
  </w:num>
  <w:num w:numId="13">
    <w:abstractNumId w:val="6"/>
  </w:num>
  <w:num w:numId="14">
    <w:abstractNumId w:val="16"/>
  </w:num>
  <w:num w:numId="15">
    <w:abstractNumId w:val="2"/>
  </w:num>
  <w:num w:numId="16">
    <w:abstractNumId w:val="5"/>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66"/>
    <o:shapelayout v:ext="edit">
      <o:idmap v:ext="edit" data="2"/>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36B5"/>
    <w:rsid w:val="00004C2F"/>
    <w:rsid w:val="00011447"/>
    <w:rsid w:val="00011629"/>
    <w:rsid w:val="00011766"/>
    <w:rsid w:val="00014F2E"/>
    <w:rsid w:val="000154B0"/>
    <w:rsid w:val="000166AF"/>
    <w:rsid w:val="00020418"/>
    <w:rsid w:val="00021C46"/>
    <w:rsid w:val="00022385"/>
    <w:rsid w:val="00026175"/>
    <w:rsid w:val="00027805"/>
    <w:rsid w:val="00033BE9"/>
    <w:rsid w:val="000358CA"/>
    <w:rsid w:val="000370FC"/>
    <w:rsid w:val="000377C2"/>
    <w:rsid w:val="00037831"/>
    <w:rsid w:val="000408BD"/>
    <w:rsid w:val="00042E7E"/>
    <w:rsid w:val="00051C6B"/>
    <w:rsid w:val="00052044"/>
    <w:rsid w:val="0005250B"/>
    <w:rsid w:val="00057A2A"/>
    <w:rsid w:val="00060D36"/>
    <w:rsid w:val="000622FA"/>
    <w:rsid w:val="0006619E"/>
    <w:rsid w:val="00067018"/>
    <w:rsid w:val="00071002"/>
    <w:rsid w:val="000718F8"/>
    <w:rsid w:val="000720EE"/>
    <w:rsid w:val="00072B17"/>
    <w:rsid w:val="00072BC8"/>
    <w:rsid w:val="00073DDC"/>
    <w:rsid w:val="00074558"/>
    <w:rsid w:val="00074D91"/>
    <w:rsid w:val="0007607F"/>
    <w:rsid w:val="0007620E"/>
    <w:rsid w:val="0007621B"/>
    <w:rsid w:val="00076314"/>
    <w:rsid w:val="000767CA"/>
    <w:rsid w:val="00076F18"/>
    <w:rsid w:val="00081068"/>
    <w:rsid w:val="00081503"/>
    <w:rsid w:val="00081B80"/>
    <w:rsid w:val="00081CFB"/>
    <w:rsid w:val="00083ECA"/>
    <w:rsid w:val="00084267"/>
    <w:rsid w:val="00084280"/>
    <w:rsid w:val="00084DCF"/>
    <w:rsid w:val="000858A1"/>
    <w:rsid w:val="00086F61"/>
    <w:rsid w:val="000870E9"/>
    <w:rsid w:val="00087A21"/>
    <w:rsid w:val="000901D2"/>
    <w:rsid w:val="00090CD2"/>
    <w:rsid w:val="00091012"/>
    <w:rsid w:val="000923EC"/>
    <w:rsid w:val="00093C8E"/>
    <w:rsid w:val="00096D65"/>
    <w:rsid w:val="00096EF9"/>
    <w:rsid w:val="00096FE1"/>
    <w:rsid w:val="00097486"/>
    <w:rsid w:val="00097822"/>
    <w:rsid w:val="000978F0"/>
    <w:rsid w:val="000A051A"/>
    <w:rsid w:val="000A05E5"/>
    <w:rsid w:val="000A0F1E"/>
    <w:rsid w:val="000A1252"/>
    <w:rsid w:val="000A2091"/>
    <w:rsid w:val="000A2AF8"/>
    <w:rsid w:val="000A59FA"/>
    <w:rsid w:val="000A5E4A"/>
    <w:rsid w:val="000A6B7B"/>
    <w:rsid w:val="000A7620"/>
    <w:rsid w:val="000A7D62"/>
    <w:rsid w:val="000B03E4"/>
    <w:rsid w:val="000B0DC1"/>
    <w:rsid w:val="000B23E3"/>
    <w:rsid w:val="000B334C"/>
    <w:rsid w:val="000B363E"/>
    <w:rsid w:val="000B3735"/>
    <w:rsid w:val="000B48AE"/>
    <w:rsid w:val="000B519E"/>
    <w:rsid w:val="000C1F38"/>
    <w:rsid w:val="000C27E7"/>
    <w:rsid w:val="000C2CF4"/>
    <w:rsid w:val="000C437C"/>
    <w:rsid w:val="000C4877"/>
    <w:rsid w:val="000C577A"/>
    <w:rsid w:val="000C5ED9"/>
    <w:rsid w:val="000C6FC6"/>
    <w:rsid w:val="000C7665"/>
    <w:rsid w:val="000C7A02"/>
    <w:rsid w:val="000C7D98"/>
    <w:rsid w:val="000D0337"/>
    <w:rsid w:val="000D04CA"/>
    <w:rsid w:val="000D0A2C"/>
    <w:rsid w:val="000D1A16"/>
    <w:rsid w:val="000D489F"/>
    <w:rsid w:val="000D4A3A"/>
    <w:rsid w:val="000D73AF"/>
    <w:rsid w:val="000E02DB"/>
    <w:rsid w:val="000E1AA3"/>
    <w:rsid w:val="000E305E"/>
    <w:rsid w:val="000E3644"/>
    <w:rsid w:val="000E3FB4"/>
    <w:rsid w:val="000E494A"/>
    <w:rsid w:val="000E4C0A"/>
    <w:rsid w:val="000E6467"/>
    <w:rsid w:val="000E6F53"/>
    <w:rsid w:val="000E76D4"/>
    <w:rsid w:val="000F1ABE"/>
    <w:rsid w:val="000F3AAC"/>
    <w:rsid w:val="000F4101"/>
    <w:rsid w:val="000F5BEC"/>
    <w:rsid w:val="000F5D24"/>
    <w:rsid w:val="001003BA"/>
    <w:rsid w:val="00102C7D"/>
    <w:rsid w:val="001034E9"/>
    <w:rsid w:val="00104092"/>
    <w:rsid w:val="00104664"/>
    <w:rsid w:val="00104C74"/>
    <w:rsid w:val="00105157"/>
    <w:rsid w:val="0010524D"/>
    <w:rsid w:val="00106523"/>
    <w:rsid w:val="001100CF"/>
    <w:rsid w:val="0011030F"/>
    <w:rsid w:val="00111899"/>
    <w:rsid w:val="00112064"/>
    <w:rsid w:val="0011309A"/>
    <w:rsid w:val="001136F3"/>
    <w:rsid w:val="00114F80"/>
    <w:rsid w:val="001165A0"/>
    <w:rsid w:val="00117388"/>
    <w:rsid w:val="001175D7"/>
    <w:rsid w:val="001206E4"/>
    <w:rsid w:val="00120E4C"/>
    <w:rsid w:val="00121FD1"/>
    <w:rsid w:val="001226C1"/>
    <w:rsid w:val="0012304B"/>
    <w:rsid w:val="00125F77"/>
    <w:rsid w:val="001272DB"/>
    <w:rsid w:val="00132D51"/>
    <w:rsid w:val="00132D70"/>
    <w:rsid w:val="001335FB"/>
    <w:rsid w:val="0013473E"/>
    <w:rsid w:val="00140E59"/>
    <w:rsid w:val="0014228B"/>
    <w:rsid w:val="0014251D"/>
    <w:rsid w:val="00142B0D"/>
    <w:rsid w:val="00144812"/>
    <w:rsid w:val="001514AC"/>
    <w:rsid w:val="00153C43"/>
    <w:rsid w:val="001547F0"/>
    <w:rsid w:val="0015729A"/>
    <w:rsid w:val="00157BBE"/>
    <w:rsid w:val="001606A4"/>
    <w:rsid w:val="00165008"/>
    <w:rsid w:val="00172368"/>
    <w:rsid w:val="001755FC"/>
    <w:rsid w:val="00175EFA"/>
    <w:rsid w:val="00176C83"/>
    <w:rsid w:val="00176F5F"/>
    <w:rsid w:val="001771B6"/>
    <w:rsid w:val="001813C5"/>
    <w:rsid w:val="001840B6"/>
    <w:rsid w:val="00185221"/>
    <w:rsid w:val="00186CD7"/>
    <w:rsid w:val="0018768D"/>
    <w:rsid w:val="001879FA"/>
    <w:rsid w:val="00190EAA"/>
    <w:rsid w:val="00190EE0"/>
    <w:rsid w:val="00192DFF"/>
    <w:rsid w:val="0019438F"/>
    <w:rsid w:val="0019449A"/>
    <w:rsid w:val="00195182"/>
    <w:rsid w:val="00195B18"/>
    <w:rsid w:val="00195DC5"/>
    <w:rsid w:val="001960F0"/>
    <w:rsid w:val="001974C9"/>
    <w:rsid w:val="001977A6"/>
    <w:rsid w:val="001A48DD"/>
    <w:rsid w:val="001A4C2D"/>
    <w:rsid w:val="001A7B3A"/>
    <w:rsid w:val="001A7F98"/>
    <w:rsid w:val="001A7FB8"/>
    <w:rsid w:val="001B2681"/>
    <w:rsid w:val="001B2DF4"/>
    <w:rsid w:val="001B2F74"/>
    <w:rsid w:val="001B33C4"/>
    <w:rsid w:val="001B48C1"/>
    <w:rsid w:val="001B58A1"/>
    <w:rsid w:val="001B6768"/>
    <w:rsid w:val="001C567C"/>
    <w:rsid w:val="001C5A3B"/>
    <w:rsid w:val="001C7059"/>
    <w:rsid w:val="001D0D90"/>
    <w:rsid w:val="001D169C"/>
    <w:rsid w:val="001D2FA2"/>
    <w:rsid w:val="001D3445"/>
    <w:rsid w:val="001D3EB0"/>
    <w:rsid w:val="001D4B4D"/>
    <w:rsid w:val="001D5838"/>
    <w:rsid w:val="001D623E"/>
    <w:rsid w:val="001D6E5A"/>
    <w:rsid w:val="001E0251"/>
    <w:rsid w:val="001E3033"/>
    <w:rsid w:val="001E3E45"/>
    <w:rsid w:val="001E68F4"/>
    <w:rsid w:val="001E69C3"/>
    <w:rsid w:val="001E7BAE"/>
    <w:rsid w:val="001F113D"/>
    <w:rsid w:val="001F15CE"/>
    <w:rsid w:val="001F2F07"/>
    <w:rsid w:val="001F3BC9"/>
    <w:rsid w:val="0020018D"/>
    <w:rsid w:val="002007A5"/>
    <w:rsid w:val="002012FB"/>
    <w:rsid w:val="002032A7"/>
    <w:rsid w:val="00204F43"/>
    <w:rsid w:val="0020508C"/>
    <w:rsid w:val="00205E1F"/>
    <w:rsid w:val="00206013"/>
    <w:rsid w:val="002072A5"/>
    <w:rsid w:val="00207FD9"/>
    <w:rsid w:val="00210F73"/>
    <w:rsid w:val="0021200F"/>
    <w:rsid w:val="00215FFC"/>
    <w:rsid w:val="00217CF8"/>
    <w:rsid w:val="002213D1"/>
    <w:rsid w:val="002225EA"/>
    <w:rsid w:val="00223AAC"/>
    <w:rsid w:val="00223B93"/>
    <w:rsid w:val="00224123"/>
    <w:rsid w:val="00224383"/>
    <w:rsid w:val="002303EF"/>
    <w:rsid w:val="0023288D"/>
    <w:rsid w:val="00233BF4"/>
    <w:rsid w:val="00234C36"/>
    <w:rsid w:val="00234FE8"/>
    <w:rsid w:val="0023752B"/>
    <w:rsid w:val="00237BC9"/>
    <w:rsid w:val="00237E37"/>
    <w:rsid w:val="00242E29"/>
    <w:rsid w:val="00243B5A"/>
    <w:rsid w:val="00244F4B"/>
    <w:rsid w:val="00250617"/>
    <w:rsid w:val="0025109B"/>
    <w:rsid w:val="00253E94"/>
    <w:rsid w:val="00254946"/>
    <w:rsid w:val="00256BFE"/>
    <w:rsid w:val="00257107"/>
    <w:rsid w:val="00260B5F"/>
    <w:rsid w:val="00260F6A"/>
    <w:rsid w:val="002659C5"/>
    <w:rsid w:val="00266BE5"/>
    <w:rsid w:val="00266EC4"/>
    <w:rsid w:val="0026774F"/>
    <w:rsid w:val="00272B28"/>
    <w:rsid w:val="00273AAC"/>
    <w:rsid w:val="002771AE"/>
    <w:rsid w:val="002803B3"/>
    <w:rsid w:val="002818FE"/>
    <w:rsid w:val="00281965"/>
    <w:rsid w:val="00282F0B"/>
    <w:rsid w:val="0028363B"/>
    <w:rsid w:val="00283CAC"/>
    <w:rsid w:val="00284EAD"/>
    <w:rsid w:val="00284EB9"/>
    <w:rsid w:val="00285020"/>
    <w:rsid w:val="0028648F"/>
    <w:rsid w:val="002866A8"/>
    <w:rsid w:val="00286F3B"/>
    <w:rsid w:val="0029172A"/>
    <w:rsid w:val="002920C0"/>
    <w:rsid w:val="00293706"/>
    <w:rsid w:val="00293D63"/>
    <w:rsid w:val="002960C7"/>
    <w:rsid w:val="0029760C"/>
    <w:rsid w:val="002A040C"/>
    <w:rsid w:val="002A28EA"/>
    <w:rsid w:val="002A489F"/>
    <w:rsid w:val="002A4F3A"/>
    <w:rsid w:val="002A68D6"/>
    <w:rsid w:val="002B0FED"/>
    <w:rsid w:val="002B20B2"/>
    <w:rsid w:val="002B4382"/>
    <w:rsid w:val="002B63CA"/>
    <w:rsid w:val="002B711E"/>
    <w:rsid w:val="002B71AE"/>
    <w:rsid w:val="002C05D5"/>
    <w:rsid w:val="002C12B0"/>
    <w:rsid w:val="002C21CB"/>
    <w:rsid w:val="002C50F4"/>
    <w:rsid w:val="002C5788"/>
    <w:rsid w:val="002D1D4B"/>
    <w:rsid w:val="002D2EF5"/>
    <w:rsid w:val="002D4C98"/>
    <w:rsid w:val="002D7669"/>
    <w:rsid w:val="002D7FBC"/>
    <w:rsid w:val="002E015C"/>
    <w:rsid w:val="002E1682"/>
    <w:rsid w:val="002E1BF9"/>
    <w:rsid w:val="002E1C3E"/>
    <w:rsid w:val="002E6B97"/>
    <w:rsid w:val="002E71F1"/>
    <w:rsid w:val="002F3BC8"/>
    <w:rsid w:val="002F3CDE"/>
    <w:rsid w:val="002F6BCE"/>
    <w:rsid w:val="003012A3"/>
    <w:rsid w:val="00302363"/>
    <w:rsid w:val="003036EF"/>
    <w:rsid w:val="003056B3"/>
    <w:rsid w:val="00305FA5"/>
    <w:rsid w:val="00307639"/>
    <w:rsid w:val="00307F97"/>
    <w:rsid w:val="0031177E"/>
    <w:rsid w:val="00311A21"/>
    <w:rsid w:val="0031277B"/>
    <w:rsid w:val="00314997"/>
    <w:rsid w:val="00315919"/>
    <w:rsid w:val="00317409"/>
    <w:rsid w:val="003218F8"/>
    <w:rsid w:val="00321C60"/>
    <w:rsid w:val="00323391"/>
    <w:rsid w:val="003238F8"/>
    <w:rsid w:val="0032701F"/>
    <w:rsid w:val="00327613"/>
    <w:rsid w:val="00330A9B"/>
    <w:rsid w:val="00330B8D"/>
    <w:rsid w:val="00331467"/>
    <w:rsid w:val="00331C7B"/>
    <w:rsid w:val="0033217E"/>
    <w:rsid w:val="00334910"/>
    <w:rsid w:val="00341E70"/>
    <w:rsid w:val="00342329"/>
    <w:rsid w:val="00343316"/>
    <w:rsid w:val="00343BB2"/>
    <w:rsid w:val="00353A56"/>
    <w:rsid w:val="00360FFA"/>
    <w:rsid w:val="0036240A"/>
    <w:rsid w:val="003638D6"/>
    <w:rsid w:val="00367B4C"/>
    <w:rsid w:val="00370258"/>
    <w:rsid w:val="00370F9A"/>
    <w:rsid w:val="003719BA"/>
    <w:rsid w:val="00371CD1"/>
    <w:rsid w:val="00373118"/>
    <w:rsid w:val="003776F0"/>
    <w:rsid w:val="00383334"/>
    <w:rsid w:val="00384051"/>
    <w:rsid w:val="00385C0C"/>
    <w:rsid w:val="00386958"/>
    <w:rsid w:val="00387229"/>
    <w:rsid w:val="00390921"/>
    <w:rsid w:val="00390CDA"/>
    <w:rsid w:val="0039193D"/>
    <w:rsid w:val="00394255"/>
    <w:rsid w:val="00394A6D"/>
    <w:rsid w:val="00394E9B"/>
    <w:rsid w:val="00395431"/>
    <w:rsid w:val="003A1BA9"/>
    <w:rsid w:val="003A2FA7"/>
    <w:rsid w:val="003A3C8A"/>
    <w:rsid w:val="003A3EA3"/>
    <w:rsid w:val="003A49C5"/>
    <w:rsid w:val="003A5479"/>
    <w:rsid w:val="003A5968"/>
    <w:rsid w:val="003A5C87"/>
    <w:rsid w:val="003A7B99"/>
    <w:rsid w:val="003B083D"/>
    <w:rsid w:val="003B12CC"/>
    <w:rsid w:val="003B3FCD"/>
    <w:rsid w:val="003B4F28"/>
    <w:rsid w:val="003B72C8"/>
    <w:rsid w:val="003C0099"/>
    <w:rsid w:val="003C0B04"/>
    <w:rsid w:val="003C0C79"/>
    <w:rsid w:val="003C1691"/>
    <w:rsid w:val="003C27D5"/>
    <w:rsid w:val="003C6222"/>
    <w:rsid w:val="003C657A"/>
    <w:rsid w:val="003C6814"/>
    <w:rsid w:val="003D2034"/>
    <w:rsid w:val="003D2097"/>
    <w:rsid w:val="003D2EEB"/>
    <w:rsid w:val="003D719A"/>
    <w:rsid w:val="003D7216"/>
    <w:rsid w:val="003D7830"/>
    <w:rsid w:val="003E14D5"/>
    <w:rsid w:val="003E3778"/>
    <w:rsid w:val="003E53A0"/>
    <w:rsid w:val="003E75E6"/>
    <w:rsid w:val="003F446D"/>
    <w:rsid w:val="003F5ABC"/>
    <w:rsid w:val="003F6162"/>
    <w:rsid w:val="0040074C"/>
    <w:rsid w:val="004007ED"/>
    <w:rsid w:val="00400F9A"/>
    <w:rsid w:val="004012A2"/>
    <w:rsid w:val="0040400F"/>
    <w:rsid w:val="00405470"/>
    <w:rsid w:val="00406D63"/>
    <w:rsid w:val="00410F3E"/>
    <w:rsid w:val="00411569"/>
    <w:rsid w:val="00412FF6"/>
    <w:rsid w:val="004203FE"/>
    <w:rsid w:val="00422DF2"/>
    <w:rsid w:val="0042574E"/>
    <w:rsid w:val="00425C7A"/>
    <w:rsid w:val="004265EF"/>
    <w:rsid w:val="0043063B"/>
    <w:rsid w:val="00433DAD"/>
    <w:rsid w:val="00434B05"/>
    <w:rsid w:val="00436827"/>
    <w:rsid w:val="00436B02"/>
    <w:rsid w:val="00436E7F"/>
    <w:rsid w:val="0044588A"/>
    <w:rsid w:val="00445E7E"/>
    <w:rsid w:val="00446B16"/>
    <w:rsid w:val="00450BDC"/>
    <w:rsid w:val="00450F7F"/>
    <w:rsid w:val="004511A0"/>
    <w:rsid w:val="00453829"/>
    <w:rsid w:val="00454A4E"/>
    <w:rsid w:val="00455479"/>
    <w:rsid w:val="00455BEF"/>
    <w:rsid w:val="0045681D"/>
    <w:rsid w:val="00457370"/>
    <w:rsid w:val="00460408"/>
    <w:rsid w:val="00460F82"/>
    <w:rsid w:val="00461629"/>
    <w:rsid w:val="00463A03"/>
    <w:rsid w:val="00466E9A"/>
    <w:rsid w:val="004677D2"/>
    <w:rsid w:val="00467D06"/>
    <w:rsid w:val="00471964"/>
    <w:rsid w:val="00477E8A"/>
    <w:rsid w:val="00483036"/>
    <w:rsid w:val="00483639"/>
    <w:rsid w:val="00483B34"/>
    <w:rsid w:val="00483F69"/>
    <w:rsid w:val="00484CCD"/>
    <w:rsid w:val="0049721A"/>
    <w:rsid w:val="0049724F"/>
    <w:rsid w:val="00497331"/>
    <w:rsid w:val="00497CA5"/>
    <w:rsid w:val="004A2786"/>
    <w:rsid w:val="004A2937"/>
    <w:rsid w:val="004A3929"/>
    <w:rsid w:val="004A5DB0"/>
    <w:rsid w:val="004A77F8"/>
    <w:rsid w:val="004B2EE9"/>
    <w:rsid w:val="004C04C8"/>
    <w:rsid w:val="004C417D"/>
    <w:rsid w:val="004C4566"/>
    <w:rsid w:val="004C6858"/>
    <w:rsid w:val="004D1562"/>
    <w:rsid w:val="004D243C"/>
    <w:rsid w:val="004D7F7D"/>
    <w:rsid w:val="004E032E"/>
    <w:rsid w:val="004E1AE6"/>
    <w:rsid w:val="004E20D1"/>
    <w:rsid w:val="004E3E69"/>
    <w:rsid w:val="004E41F0"/>
    <w:rsid w:val="004E5330"/>
    <w:rsid w:val="004E5E44"/>
    <w:rsid w:val="004E6845"/>
    <w:rsid w:val="004E7421"/>
    <w:rsid w:val="004E7A60"/>
    <w:rsid w:val="004F2DCE"/>
    <w:rsid w:val="004F2F10"/>
    <w:rsid w:val="004F38AB"/>
    <w:rsid w:val="0050145B"/>
    <w:rsid w:val="0050303D"/>
    <w:rsid w:val="005039AE"/>
    <w:rsid w:val="00504FF0"/>
    <w:rsid w:val="00506798"/>
    <w:rsid w:val="00506DE8"/>
    <w:rsid w:val="00506FE7"/>
    <w:rsid w:val="005075FC"/>
    <w:rsid w:val="0051054B"/>
    <w:rsid w:val="005106AF"/>
    <w:rsid w:val="0051108D"/>
    <w:rsid w:val="005112D1"/>
    <w:rsid w:val="00511650"/>
    <w:rsid w:val="0051432C"/>
    <w:rsid w:val="0051488F"/>
    <w:rsid w:val="005160CE"/>
    <w:rsid w:val="00516539"/>
    <w:rsid w:val="00516A2D"/>
    <w:rsid w:val="00517FC6"/>
    <w:rsid w:val="00521DBE"/>
    <w:rsid w:val="00526502"/>
    <w:rsid w:val="00526B1D"/>
    <w:rsid w:val="005306E4"/>
    <w:rsid w:val="00531101"/>
    <w:rsid w:val="00531799"/>
    <w:rsid w:val="00531974"/>
    <w:rsid w:val="00532D4D"/>
    <w:rsid w:val="0053337E"/>
    <w:rsid w:val="005339FC"/>
    <w:rsid w:val="00534A1C"/>
    <w:rsid w:val="00534DA1"/>
    <w:rsid w:val="00536328"/>
    <w:rsid w:val="00536D40"/>
    <w:rsid w:val="00537EAE"/>
    <w:rsid w:val="00543D44"/>
    <w:rsid w:val="00547341"/>
    <w:rsid w:val="0054738F"/>
    <w:rsid w:val="00557E14"/>
    <w:rsid w:val="005631DA"/>
    <w:rsid w:val="00563BD7"/>
    <w:rsid w:val="00563BF8"/>
    <w:rsid w:val="00563F87"/>
    <w:rsid w:val="0056638E"/>
    <w:rsid w:val="00567125"/>
    <w:rsid w:val="00570E29"/>
    <w:rsid w:val="00572386"/>
    <w:rsid w:val="00572734"/>
    <w:rsid w:val="00576465"/>
    <w:rsid w:val="0057731F"/>
    <w:rsid w:val="00577A31"/>
    <w:rsid w:val="005801C0"/>
    <w:rsid w:val="00580550"/>
    <w:rsid w:val="005811A6"/>
    <w:rsid w:val="005824AB"/>
    <w:rsid w:val="00584693"/>
    <w:rsid w:val="00585B2F"/>
    <w:rsid w:val="005860A8"/>
    <w:rsid w:val="00586C89"/>
    <w:rsid w:val="00590DC1"/>
    <w:rsid w:val="00591B49"/>
    <w:rsid w:val="00593364"/>
    <w:rsid w:val="0059562F"/>
    <w:rsid w:val="00595F36"/>
    <w:rsid w:val="00596401"/>
    <w:rsid w:val="00597908"/>
    <w:rsid w:val="00597E71"/>
    <w:rsid w:val="005A115B"/>
    <w:rsid w:val="005A79E3"/>
    <w:rsid w:val="005A7F63"/>
    <w:rsid w:val="005B0A5C"/>
    <w:rsid w:val="005B0B51"/>
    <w:rsid w:val="005B1A19"/>
    <w:rsid w:val="005B299D"/>
    <w:rsid w:val="005B3866"/>
    <w:rsid w:val="005B3E18"/>
    <w:rsid w:val="005C050E"/>
    <w:rsid w:val="005C176D"/>
    <w:rsid w:val="005C1F9F"/>
    <w:rsid w:val="005C2DBE"/>
    <w:rsid w:val="005C3AA9"/>
    <w:rsid w:val="005C3CB3"/>
    <w:rsid w:val="005C3EA9"/>
    <w:rsid w:val="005C4345"/>
    <w:rsid w:val="005C44EF"/>
    <w:rsid w:val="005C4D9E"/>
    <w:rsid w:val="005C5CC2"/>
    <w:rsid w:val="005D0D2B"/>
    <w:rsid w:val="005D44BA"/>
    <w:rsid w:val="005D6448"/>
    <w:rsid w:val="005D64CC"/>
    <w:rsid w:val="005D675F"/>
    <w:rsid w:val="005D723B"/>
    <w:rsid w:val="005E18B8"/>
    <w:rsid w:val="005E2F14"/>
    <w:rsid w:val="005E3257"/>
    <w:rsid w:val="005E4DD9"/>
    <w:rsid w:val="005E6BF9"/>
    <w:rsid w:val="005E70A3"/>
    <w:rsid w:val="005F0C9F"/>
    <w:rsid w:val="005F173C"/>
    <w:rsid w:val="005F2C5B"/>
    <w:rsid w:val="005F35B7"/>
    <w:rsid w:val="005F5681"/>
    <w:rsid w:val="005F641C"/>
    <w:rsid w:val="0060687A"/>
    <w:rsid w:val="00607516"/>
    <w:rsid w:val="00613C68"/>
    <w:rsid w:val="00614679"/>
    <w:rsid w:val="0061535D"/>
    <w:rsid w:val="006164A2"/>
    <w:rsid w:val="00617D3E"/>
    <w:rsid w:val="0062079E"/>
    <w:rsid w:val="00621B17"/>
    <w:rsid w:val="00622A2B"/>
    <w:rsid w:val="00623521"/>
    <w:rsid w:val="00623BDA"/>
    <w:rsid w:val="0062436E"/>
    <w:rsid w:val="00625030"/>
    <w:rsid w:val="00625779"/>
    <w:rsid w:val="006259FF"/>
    <w:rsid w:val="00625D13"/>
    <w:rsid w:val="00626498"/>
    <w:rsid w:val="00627AA8"/>
    <w:rsid w:val="00631D55"/>
    <w:rsid w:val="00632399"/>
    <w:rsid w:val="00640D6D"/>
    <w:rsid w:val="00640D86"/>
    <w:rsid w:val="00641BAE"/>
    <w:rsid w:val="00642729"/>
    <w:rsid w:val="00642A8A"/>
    <w:rsid w:val="00644D33"/>
    <w:rsid w:val="006451F4"/>
    <w:rsid w:val="00646BCE"/>
    <w:rsid w:val="00646E5B"/>
    <w:rsid w:val="00653AA8"/>
    <w:rsid w:val="0065447B"/>
    <w:rsid w:val="00654BF8"/>
    <w:rsid w:val="00654EC5"/>
    <w:rsid w:val="00656863"/>
    <w:rsid w:val="0066152E"/>
    <w:rsid w:val="00661DD9"/>
    <w:rsid w:val="00662438"/>
    <w:rsid w:val="00663D9C"/>
    <w:rsid w:val="00663F7D"/>
    <w:rsid w:val="006712BC"/>
    <w:rsid w:val="0067159F"/>
    <w:rsid w:val="0067246B"/>
    <w:rsid w:val="00673A58"/>
    <w:rsid w:val="00673B76"/>
    <w:rsid w:val="00674D35"/>
    <w:rsid w:val="00674FFE"/>
    <w:rsid w:val="00675562"/>
    <w:rsid w:val="00676A1B"/>
    <w:rsid w:val="00677524"/>
    <w:rsid w:val="006858B0"/>
    <w:rsid w:val="006863EE"/>
    <w:rsid w:val="00690651"/>
    <w:rsid w:val="00692681"/>
    <w:rsid w:val="0069339A"/>
    <w:rsid w:val="00693C54"/>
    <w:rsid w:val="006A0F32"/>
    <w:rsid w:val="006A12D4"/>
    <w:rsid w:val="006A15A7"/>
    <w:rsid w:val="006A1F3E"/>
    <w:rsid w:val="006A6728"/>
    <w:rsid w:val="006A6DA9"/>
    <w:rsid w:val="006A6DF2"/>
    <w:rsid w:val="006A718C"/>
    <w:rsid w:val="006B00C8"/>
    <w:rsid w:val="006B3061"/>
    <w:rsid w:val="006B343B"/>
    <w:rsid w:val="006B43FC"/>
    <w:rsid w:val="006B4890"/>
    <w:rsid w:val="006B5745"/>
    <w:rsid w:val="006B579C"/>
    <w:rsid w:val="006B6E39"/>
    <w:rsid w:val="006B7975"/>
    <w:rsid w:val="006B7D88"/>
    <w:rsid w:val="006C1D5C"/>
    <w:rsid w:val="006C2424"/>
    <w:rsid w:val="006C2CBD"/>
    <w:rsid w:val="006C3B66"/>
    <w:rsid w:val="006C64FC"/>
    <w:rsid w:val="006C78CB"/>
    <w:rsid w:val="006D0260"/>
    <w:rsid w:val="006D1173"/>
    <w:rsid w:val="006D283A"/>
    <w:rsid w:val="006D2D10"/>
    <w:rsid w:val="006D6AF9"/>
    <w:rsid w:val="006E06BA"/>
    <w:rsid w:val="006E16CB"/>
    <w:rsid w:val="006E1F9B"/>
    <w:rsid w:val="006E2CF3"/>
    <w:rsid w:val="006E317A"/>
    <w:rsid w:val="006E4383"/>
    <w:rsid w:val="006E490B"/>
    <w:rsid w:val="006E7757"/>
    <w:rsid w:val="006E7DBD"/>
    <w:rsid w:val="006F251D"/>
    <w:rsid w:val="006F3F35"/>
    <w:rsid w:val="006F3FF2"/>
    <w:rsid w:val="00703CA9"/>
    <w:rsid w:val="00706D65"/>
    <w:rsid w:val="00706E09"/>
    <w:rsid w:val="007101A1"/>
    <w:rsid w:val="00710B9F"/>
    <w:rsid w:val="007117BE"/>
    <w:rsid w:val="00711FEF"/>
    <w:rsid w:val="00714688"/>
    <w:rsid w:val="007167AC"/>
    <w:rsid w:val="00721375"/>
    <w:rsid w:val="00721E96"/>
    <w:rsid w:val="00722E20"/>
    <w:rsid w:val="00724F41"/>
    <w:rsid w:val="007358EE"/>
    <w:rsid w:val="00737377"/>
    <w:rsid w:val="00741366"/>
    <w:rsid w:val="007422A3"/>
    <w:rsid w:val="00742773"/>
    <w:rsid w:val="00743530"/>
    <w:rsid w:val="0074416D"/>
    <w:rsid w:val="00750D8A"/>
    <w:rsid w:val="00753E5C"/>
    <w:rsid w:val="007615BC"/>
    <w:rsid w:val="00761C83"/>
    <w:rsid w:val="00763D2A"/>
    <w:rsid w:val="00764EEC"/>
    <w:rsid w:val="007660DB"/>
    <w:rsid w:val="00767EB2"/>
    <w:rsid w:val="007711CF"/>
    <w:rsid w:val="00772C7F"/>
    <w:rsid w:val="007733A5"/>
    <w:rsid w:val="00773807"/>
    <w:rsid w:val="007759EF"/>
    <w:rsid w:val="00775BE7"/>
    <w:rsid w:val="00775F8B"/>
    <w:rsid w:val="0077606A"/>
    <w:rsid w:val="00777CD3"/>
    <w:rsid w:val="00781F67"/>
    <w:rsid w:val="0078573C"/>
    <w:rsid w:val="00785A4D"/>
    <w:rsid w:val="00785CB9"/>
    <w:rsid w:val="00786A03"/>
    <w:rsid w:val="007874EE"/>
    <w:rsid w:val="00791526"/>
    <w:rsid w:val="0079267E"/>
    <w:rsid w:val="00793D63"/>
    <w:rsid w:val="00795AF2"/>
    <w:rsid w:val="00796048"/>
    <w:rsid w:val="007964DF"/>
    <w:rsid w:val="00796567"/>
    <w:rsid w:val="007965F3"/>
    <w:rsid w:val="0079774B"/>
    <w:rsid w:val="007A4E0C"/>
    <w:rsid w:val="007A66D3"/>
    <w:rsid w:val="007A6A71"/>
    <w:rsid w:val="007A6D61"/>
    <w:rsid w:val="007B184D"/>
    <w:rsid w:val="007B1B17"/>
    <w:rsid w:val="007B1C84"/>
    <w:rsid w:val="007B2A2F"/>
    <w:rsid w:val="007B5275"/>
    <w:rsid w:val="007B613D"/>
    <w:rsid w:val="007B7BCF"/>
    <w:rsid w:val="007C21EB"/>
    <w:rsid w:val="007C3B13"/>
    <w:rsid w:val="007C3CBD"/>
    <w:rsid w:val="007C66B5"/>
    <w:rsid w:val="007C75AA"/>
    <w:rsid w:val="007D17BF"/>
    <w:rsid w:val="007D2D4B"/>
    <w:rsid w:val="007D36E1"/>
    <w:rsid w:val="007D4DB7"/>
    <w:rsid w:val="007D74D8"/>
    <w:rsid w:val="007D7F84"/>
    <w:rsid w:val="007E18DA"/>
    <w:rsid w:val="007E1BB8"/>
    <w:rsid w:val="007E2CA1"/>
    <w:rsid w:val="007E3008"/>
    <w:rsid w:val="007E5602"/>
    <w:rsid w:val="007E5A9F"/>
    <w:rsid w:val="007F1C14"/>
    <w:rsid w:val="007F349B"/>
    <w:rsid w:val="007F37B5"/>
    <w:rsid w:val="007F57E7"/>
    <w:rsid w:val="007F74B8"/>
    <w:rsid w:val="007F7CCC"/>
    <w:rsid w:val="00800247"/>
    <w:rsid w:val="008054AC"/>
    <w:rsid w:val="00807FFD"/>
    <w:rsid w:val="00810D6C"/>
    <w:rsid w:val="00811047"/>
    <w:rsid w:val="00813158"/>
    <w:rsid w:val="00813237"/>
    <w:rsid w:val="00813A32"/>
    <w:rsid w:val="0081546C"/>
    <w:rsid w:val="0081598A"/>
    <w:rsid w:val="0081616C"/>
    <w:rsid w:val="00821BC8"/>
    <w:rsid w:val="00823B48"/>
    <w:rsid w:val="00832075"/>
    <w:rsid w:val="008329A3"/>
    <w:rsid w:val="00832A84"/>
    <w:rsid w:val="00832AC6"/>
    <w:rsid w:val="00832DC1"/>
    <w:rsid w:val="00833151"/>
    <w:rsid w:val="008339A0"/>
    <w:rsid w:val="00834AC4"/>
    <w:rsid w:val="0083675D"/>
    <w:rsid w:val="008374F0"/>
    <w:rsid w:val="0084015B"/>
    <w:rsid w:val="00842B3D"/>
    <w:rsid w:val="00843460"/>
    <w:rsid w:val="00843E2C"/>
    <w:rsid w:val="00846B32"/>
    <w:rsid w:val="00847552"/>
    <w:rsid w:val="0085225C"/>
    <w:rsid w:val="00852C0D"/>
    <w:rsid w:val="00852D17"/>
    <w:rsid w:val="00852DC4"/>
    <w:rsid w:val="008545B1"/>
    <w:rsid w:val="008604EC"/>
    <w:rsid w:val="00861155"/>
    <w:rsid w:val="008611AA"/>
    <w:rsid w:val="00861C0B"/>
    <w:rsid w:val="00861F02"/>
    <w:rsid w:val="008628B4"/>
    <w:rsid w:val="008648E7"/>
    <w:rsid w:val="00864E8A"/>
    <w:rsid w:val="00864EA0"/>
    <w:rsid w:val="00865478"/>
    <w:rsid w:val="00865A8A"/>
    <w:rsid w:val="00867046"/>
    <w:rsid w:val="008670BE"/>
    <w:rsid w:val="008702DD"/>
    <w:rsid w:val="00870F1D"/>
    <w:rsid w:val="00875A50"/>
    <w:rsid w:val="00876585"/>
    <w:rsid w:val="00880192"/>
    <w:rsid w:val="0088046E"/>
    <w:rsid w:val="008814D3"/>
    <w:rsid w:val="00883BE7"/>
    <w:rsid w:val="00883E31"/>
    <w:rsid w:val="008844DE"/>
    <w:rsid w:val="00885298"/>
    <w:rsid w:val="008858D5"/>
    <w:rsid w:val="00885E29"/>
    <w:rsid w:val="00887BE6"/>
    <w:rsid w:val="0089205C"/>
    <w:rsid w:val="00892BAB"/>
    <w:rsid w:val="00894C41"/>
    <w:rsid w:val="00895C16"/>
    <w:rsid w:val="00896A8A"/>
    <w:rsid w:val="008A0539"/>
    <w:rsid w:val="008A0EDD"/>
    <w:rsid w:val="008A1FF8"/>
    <w:rsid w:val="008A4232"/>
    <w:rsid w:val="008A45B2"/>
    <w:rsid w:val="008A7B3F"/>
    <w:rsid w:val="008B2FB1"/>
    <w:rsid w:val="008B57D1"/>
    <w:rsid w:val="008B6100"/>
    <w:rsid w:val="008B738D"/>
    <w:rsid w:val="008C1596"/>
    <w:rsid w:val="008C2685"/>
    <w:rsid w:val="008C26D2"/>
    <w:rsid w:val="008C5FA0"/>
    <w:rsid w:val="008C7676"/>
    <w:rsid w:val="008D11E0"/>
    <w:rsid w:val="008D1631"/>
    <w:rsid w:val="008D5992"/>
    <w:rsid w:val="008D7869"/>
    <w:rsid w:val="008E31A4"/>
    <w:rsid w:val="008E46F2"/>
    <w:rsid w:val="008E5006"/>
    <w:rsid w:val="008E6E32"/>
    <w:rsid w:val="008E7682"/>
    <w:rsid w:val="008F1F51"/>
    <w:rsid w:val="008F2F6C"/>
    <w:rsid w:val="008F56FD"/>
    <w:rsid w:val="00901932"/>
    <w:rsid w:val="00904329"/>
    <w:rsid w:val="009048A7"/>
    <w:rsid w:val="00904B52"/>
    <w:rsid w:val="0090537E"/>
    <w:rsid w:val="009055AD"/>
    <w:rsid w:val="00905CC3"/>
    <w:rsid w:val="00906186"/>
    <w:rsid w:val="00906B3D"/>
    <w:rsid w:val="00912F65"/>
    <w:rsid w:val="00912FE7"/>
    <w:rsid w:val="009141C6"/>
    <w:rsid w:val="00914A10"/>
    <w:rsid w:val="00914D23"/>
    <w:rsid w:val="0091646C"/>
    <w:rsid w:val="00916A7E"/>
    <w:rsid w:val="00916B56"/>
    <w:rsid w:val="00920193"/>
    <w:rsid w:val="00922232"/>
    <w:rsid w:val="00922B23"/>
    <w:rsid w:val="00925F61"/>
    <w:rsid w:val="009317CD"/>
    <w:rsid w:val="00936395"/>
    <w:rsid w:val="009368CE"/>
    <w:rsid w:val="0094254B"/>
    <w:rsid w:val="009448F5"/>
    <w:rsid w:val="00945D02"/>
    <w:rsid w:val="00946933"/>
    <w:rsid w:val="00946B26"/>
    <w:rsid w:val="00955E32"/>
    <w:rsid w:val="009617F3"/>
    <w:rsid w:val="00962602"/>
    <w:rsid w:val="00965162"/>
    <w:rsid w:val="009662AD"/>
    <w:rsid w:val="009669DE"/>
    <w:rsid w:val="00967D24"/>
    <w:rsid w:val="00971FBE"/>
    <w:rsid w:val="00973367"/>
    <w:rsid w:val="00973D49"/>
    <w:rsid w:val="00974719"/>
    <w:rsid w:val="00975176"/>
    <w:rsid w:val="00975396"/>
    <w:rsid w:val="00980721"/>
    <w:rsid w:val="0098189F"/>
    <w:rsid w:val="00981E2D"/>
    <w:rsid w:val="009829A7"/>
    <w:rsid w:val="00985B6D"/>
    <w:rsid w:val="00986149"/>
    <w:rsid w:val="00990712"/>
    <w:rsid w:val="0099179D"/>
    <w:rsid w:val="009932C8"/>
    <w:rsid w:val="0099404A"/>
    <w:rsid w:val="009A1089"/>
    <w:rsid w:val="009A1A86"/>
    <w:rsid w:val="009A4640"/>
    <w:rsid w:val="009A4D76"/>
    <w:rsid w:val="009A50DC"/>
    <w:rsid w:val="009A52AC"/>
    <w:rsid w:val="009B07DB"/>
    <w:rsid w:val="009B616D"/>
    <w:rsid w:val="009B63D3"/>
    <w:rsid w:val="009B7E3F"/>
    <w:rsid w:val="009C08AF"/>
    <w:rsid w:val="009C307B"/>
    <w:rsid w:val="009C3918"/>
    <w:rsid w:val="009C72CB"/>
    <w:rsid w:val="009D02B5"/>
    <w:rsid w:val="009D0466"/>
    <w:rsid w:val="009D0C9B"/>
    <w:rsid w:val="009D368F"/>
    <w:rsid w:val="009D4968"/>
    <w:rsid w:val="009D5A07"/>
    <w:rsid w:val="009D7D03"/>
    <w:rsid w:val="009E0A51"/>
    <w:rsid w:val="009E15ED"/>
    <w:rsid w:val="009E17DB"/>
    <w:rsid w:val="009E4A70"/>
    <w:rsid w:val="009E5857"/>
    <w:rsid w:val="009E626A"/>
    <w:rsid w:val="009E65BF"/>
    <w:rsid w:val="009E7808"/>
    <w:rsid w:val="009F23FB"/>
    <w:rsid w:val="009F3D3D"/>
    <w:rsid w:val="009F4026"/>
    <w:rsid w:val="00A00A78"/>
    <w:rsid w:val="00A00C92"/>
    <w:rsid w:val="00A03938"/>
    <w:rsid w:val="00A04DB3"/>
    <w:rsid w:val="00A06D46"/>
    <w:rsid w:val="00A06EE5"/>
    <w:rsid w:val="00A10EC9"/>
    <w:rsid w:val="00A130EB"/>
    <w:rsid w:val="00A133F1"/>
    <w:rsid w:val="00A144E9"/>
    <w:rsid w:val="00A150EA"/>
    <w:rsid w:val="00A17918"/>
    <w:rsid w:val="00A2004B"/>
    <w:rsid w:val="00A20403"/>
    <w:rsid w:val="00A2333F"/>
    <w:rsid w:val="00A258E3"/>
    <w:rsid w:val="00A25DBD"/>
    <w:rsid w:val="00A26579"/>
    <w:rsid w:val="00A26A82"/>
    <w:rsid w:val="00A278E2"/>
    <w:rsid w:val="00A30CBC"/>
    <w:rsid w:val="00A31649"/>
    <w:rsid w:val="00A33134"/>
    <w:rsid w:val="00A36073"/>
    <w:rsid w:val="00A362F8"/>
    <w:rsid w:val="00A40995"/>
    <w:rsid w:val="00A44AEF"/>
    <w:rsid w:val="00A47ACB"/>
    <w:rsid w:val="00A50269"/>
    <w:rsid w:val="00A52B67"/>
    <w:rsid w:val="00A5312F"/>
    <w:rsid w:val="00A54818"/>
    <w:rsid w:val="00A620C9"/>
    <w:rsid w:val="00A66049"/>
    <w:rsid w:val="00A67924"/>
    <w:rsid w:val="00A67AC6"/>
    <w:rsid w:val="00A70124"/>
    <w:rsid w:val="00A70732"/>
    <w:rsid w:val="00A71863"/>
    <w:rsid w:val="00A71E92"/>
    <w:rsid w:val="00A72A07"/>
    <w:rsid w:val="00A7315C"/>
    <w:rsid w:val="00A736E4"/>
    <w:rsid w:val="00A7426B"/>
    <w:rsid w:val="00A74316"/>
    <w:rsid w:val="00A7512D"/>
    <w:rsid w:val="00A77D3F"/>
    <w:rsid w:val="00A77EE0"/>
    <w:rsid w:val="00A813BA"/>
    <w:rsid w:val="00A8213D"/>
    <w:rsid w:val="00A8438D"/>
    <w:rsid w:val="00A8499D"/>
    <w:rsid w:val="00A850C1"/>
    <w:rsid w:val="00A86A0C"/>
    <w:rsid w:val="00A8777E"/>
    <w:rsid w:val="00A9106F"/>
    <w:rsid w:val="00A91D02"/>
    <w:rsid w:val="00A91F6F"/>
    <w:rsid w:val="00A92D6C"/>
    <w:rsid w:val="00A92E0D"/>
    <w:rsid w:val="00A95361"/>
    <w:rsid w:val="00A955F5"/>
    <w:rsid w:val="00A95AE0"/>
    <w:rsid w:val="00A95CB1"/>
    <w:rsid w:val="00A96B51"/>
    <w:rsid w:val="00A97227"/>
    <w:rsid w:val="00AA1914"/>
    <w:rsid w:val="00AA2C4D"/>
    <w:rsid w:val="00AA63FB"/>
    <w:rsid w:val="00AA6A37"/>
    <w:rsid w:val="00AB04AF"/>
    <w:rsid w:val="00AB3AFA"/>
    <w:rsid w:val="00AB61E8"/>
    <w:rsid w:val="00AB7BD4"/>
    <w:rsid w:val="00AC035E"/>
    <w:rsid w:val="00AC04A2"/>
    <w:rsid w:val="00AC1676"/>
    <w:rsid w:val="00AC30E6"/>
    <w:rsid w:val="00AC5611"/>
    <w:rsid w:val="00AD0379"/>
    <w:rsid w:val="00AD1D7A"/>
    <w:rsid w:val="00AD2A27"/>
    <w:rsid w:val="00AD34A3"/>
    <w:rsid w:val="00AD54D6"/>
    <w:rsid w:val="00AE0144"/>
    <w:rsid w:val="00AE1A75"/>
    <w:rsid w:val="00AE490B"/>
    <w:rsid w:val="00AE4963"/>
    <w:rsid w:val="00AE5778"/>
    <w:rsid w:val="00AE6305"/>
    <w:rsid w:val="00AE7BF4"/>
    <w:rsid w:val="00AF0992"/>
    <w:rsid w:val="00AF2474"/>
    <w:rsid w:val="00AF6655"/>
    <w:rsid w:val="00AF746D"/>
    <w:rsid w:val="00B00254"/>
    <w:rsid w:val="00B016AC"/>
    <w:rsid w:val="00B018AF"/>
    <w:rsid w:val="00B04AED"/>
    <w:rsid w:val="00B04D8E"/>
    <w:rsid w:val="00B053F4"/>
    <w:rsid w:val="00B0628A"/>
    <w:rsid w:val="00B078BF"/>
    <w:rsid w:val="00B07D45"/>
    <w:rsid w:val="00B10267"/>
    <w:rsid w:val="00B11341"/>
    <w:rsid w:val="00B114A0"/>
    <w:rsid w:val="00B114F0"/>
    <w:rsid w:val="00B12060"/>
    <w:rsid w:val="00B12A7B"/>
    <w:rsid w:val="00B1374F"/>
    <w:rsid w:val="00B16268"/>
    <w:rsid w:val="00B16D52"/>
    <w:rsid w:val="00B20E30"/>
    <w:rsid w:val="00B2152D"/>
    <w:rsid w:val="00B217FC"/>
    <w:rsid w:val="00B228A5"/>
    <w:rsid w:val="00B2338B"/>
    <w:rsid w:val="00B23ADD"/>
    <w:rsid w:val="00B25AE9"/>
    <w:rsid w:val="00B27916"/>
    <w:rsid w:val="00B307CF"/>
    <w:rsid w:val="00B314BD"/>
    <w:rsid w:val="00B32ABD"/>
    <w:rsid w:val="00B32EAF"/>
    <w:rsid w:val="00B333E6"/>
    <w:rsid w:val="00B35EE2"/>
    <w:rsid w:val="00B410D3"/>
    <w:rsid w:val="00B43291"/>
    <w:rsid w:val="00B43C89"/>
    <w:rsid w:val="00B46428"/>
    <w:rsid w:val="00B5032D"/>
    <w:rsid w:val="00B514ED"/>
    <w:rsid w:val="00B51798"/>
    <w:rsid w:val="00B51A8D"/>
    <w:rsid w:val="00B5253F"/>
    <w:rsid w:val="00B53B55"/>
    <w:rsid w:val="00B54175"/>
    <w:rsid w:val="00B54661"/>
    <w:rsid w:val="00B54F1C"/>
    <w:rsid w:val="00B56ACF"/>
    <w:rsid w:val="00B6064D"/>
    <w:rsid w:val="00B61D48"/>
    <w:rsid w:val="00B639C4"/>
    <w:rsid w:val="00B63ABD"/>
    <w:rsid w:val="00B67744"/>
    <w:rsid w:val="00B7493A"/>
    <w:rsid w:val="00B75B87"/>
    <w:rsid w:val="00B761D6"/>
    <w:rsid w:val="00B763E3"/>
    <w:rsid w:val="00B76A6B"/>
    <w:rsid w:val="00B7738A"/>
    <w:rsid w:val="00B80E2A"/>
    <w:rsid w:val="00B825DE"/>
    <w:rsid w:val="00B837A6"/>
    <w:rsid w:val="00B838BC"/>
    <w:rsid w:val="00B84B9C"/>
    <w:rsid w:val="00B8511D"/>
    <w:rsid w:val="00B85774"/>
    <w:rsid w:val="00B86EA8"/>
    <w:rsid w:val="00B90BF2"/>
    <w:rsid w:val="00B90D6E"/>
    <w:rsid w:val="00B90FB7"/>
    <w:rsid w:val="00B9204A"/>
    <w:rsid w:val="00B92B77"/>
    <w:rsid w:val="00B9304A"/>
    <w:rsid w:val="00B93D02"/>
    <w:rsid w:val="00B93D94"/>
    <w:rsid w:val="00B9618E"/>
    <w:rsid w:val="00B96345"/>
    <w:rsid w:val="00BA0929"/>
    <w:rsid w:val="00BA6EDA"/>
    <w:rsid w:val="00BA70C1"/>
    <w:rsid w:val="00BA7508"/>
    <w:rsid w:val="00BA7770"/>
    <w:rsid w:val="00BB09F0"/>
    <w:rsid w:val="00BB0ADB"/>
    <w:rsid w:val="00BB1103"/>
    <w:rsid w:val="00BB22C6"/>
    <w:rsid w:val="00BB285F"/>
    <w:rsid w:val="00BB3689"/>
    <w:rsid w:val="00BB504D"/>
    <w:rsid w:val="00BB5F80"/>
    <w:rsid w:val="00BB71F5"/>
    <w:rsid w:val="00BC4D51"/>
    <w:rsid w:val="00BC6B53"/>
    <w:rsid w:val="00BD0772"/>
    <w:rsid w:val="00BD35A7"/>
    <w:rsid w:val="00BD4348"/>
    <w:rsid w:val="00BE0528"/>
    <w:rsid w:val="00BE1367"/>
    <w:rsid w:val="00BE1898"/>
    <w:rsid w:val="00BE1E7A"/>
    <w:rsid w:val="00BE252E"/>
    <w:rsid w:val="00BE427F"/>
    <w:rsid w:val="00BE7E9A"/>
    <w:rsid w:val="00BF1709"/>
    <w:rsid w:val="00BF1CFD"/>
    <w:rsid w:val="00BF2180"/>
    <w:rsid w:val="00BF30D8"/>
    <w:rsid w:val="00BF356A"/>
    <w:rsid w:val="00BF39AD"/>
    <w:rsid w:val="00BF55ED"/>
    <w:rsid w:val="00C0017E"/>
    <w:rsid w:val="00C00AAD"/>
    <w:rsid w:val="00C00B7C"/>
    <w:rsid w:val="00C01051"/>
    <w:rsid w:val="00C01159"/>
    <w:rsid w:val="00C014B1"/>
    <w:rsid w:val="00C037C3"/>
    <w:rsid w:val="00C061C1"/>
    <w:rsid w:val="00C06E6E"/>
    <w:rsid w:val="00C121DE"/>
    <w:rsid w:val="00C130B9"/>
    <w:rsid w:val="00C1467B"/>
    <w:rsid w:val="00C15742"/>
    <w:rsid w:val="00C166B9"/>
    <w:rsid w:val="00C16F5D"/>
    <w:rsid w:val="00C2388A"/>
    <w:rsid w:val="00C25F00"/>
    <w:rsid w:val="00C2605C"/>
    <w:rsid w:val="00C26133"/>
    <w:rsid w:val="00C267BF"/>
    <w:rsid w:val="00C275C5"/>
    <w:rsid w:val="00C27E29"/>
    <w:rsid w:val="00C31F1B"/>
    <w:rsid w:val="00C32053"/>
    <w:rsid w:val="00C3530E"/>
    <w:rsid w:val="00C35EE7"/>
    <w:rsid w:val="00C372AD"/>
    <w:rsid w:val="00C37862"/>
    <w:rsid w:val="00C40FF5"/>
    <w:rsid w:val="00C42477"/>
    <w:rsid w:val="00C43215"/>
    <w:rsid w:val="00C44284"/>
    <w:rsid w:val="00C44880"/>
    <w:rsid w:val="00C44F73"/>
    <w:rsid w:val="00C45D28"/>
    <w:rsid w:val="00C47423"/>
    <w:rsid w:val="00C47AEE"/>
    <w:rsid w:val="00C52244"/>
    <w:rsid w:val="00C52443"/>
    <w:rsid w:val="00C547B6"/>
    <w:rsid w:val="00C60827"/>
    <w:rsid w:val="00C61DDB"/>
    <w:rsid w:val="00C62307"/>
    <w:rsid w:val="00C63840"/>
    <w:rsid w:val="00C638BC"/>
    <w:rsid w:val="00C639E3"/>
    <w:rsid w:val="00C65C03"/>
    <w:rsid w:val="00C70E00"/>
    <w:rsid w:val="00C72962"/>
    <w:rsid w:val="00C733EE"/>
    <w:rsid w:val="00C73F82"/>
    <w:rsid w:val="00C745EE"/>
    <w:rsid w:val="00C8065B"/>
    <w:rsid w:val="00C81437"/>
    <w:rsid w:val="00C81681"/>
    <w:rsid w:val="00C81BDA"/>
    <w:rsid w:val="00C82E2D"/>
    <w:rsid w:val="00C8323C"/>
    <w:rsid w:val="00C86A8A"/>
    <w:rsid w:val="00C873E0"/>
    <w:rsid w:val="00C8781D"/>
    <w:rsid w:val="00C90862"/>
    <w:rsid w:val="00C9095C"/>
    <w:rsid w:val="00C92C0A"/>
    <w:rsid w:val="00C92EBC"/>
    <w:rsid w:val="00C95888"/>
    <w:rsid w:val="00CA02D1"/>
    <w:rsid w:val="00CA4792"/>
    <w:rsid w:val="00CA490C"/>
    <w:rsid w:val="00CA5719"/>
    <w:rsid w:val="00CB006D"/>
    <w:rsid w:val="00CB0DB6"/>
    <w:rsid w:val="00CB1C25"/>
    <w:rsid w:val="00CB2B37"/>
    <w:rsid w:val="00CB2D9F"/>
    <w:rsid w:val="00CB3049"/>
    <w:rsid w:val="00CB45C7"/>
    <w:rsid w:val="00CB523C"/>
    <w:rsid w:val="00CB558D"/>
    <w:rsid w:val="00CB5D07"/>
    <w:rsid w:val="00CB6A0E"/>
    <w:rsid w:val="00CB75EB"/>
    <w:rsid w:val="00CB7828"/>
    <w:rsid w:val="00CC3CD9"/>
    <w:rsid w:val="00CC3F97"/>
    <w:rsid w:val="00CC4DB6"/>
    <w:rsid w:val="00CC50D1"/>
    <w:rsid w:val="00CC6A85"/>
    <w:rsid w:val="00CC7A9E"/>
    <w:rsid w:val="00CD2334"/>
    <w:rsid w:val="00CD28F8"/>
    <w:rsid w:val="00CD2C5F"/>
    <w:rsid w:val="00CD35B5"/>
    <w:rsid w:val="00CD3AF0"/>
    <w:rsid w:val="00CD412C"/>
    <w:rsid w:val="00CD46BA"/>
    <w:rsid w:val="00CD74E9"/>
    <w:rsid w:val="00CE0199"/>
    <w:rsid w:val="00CE51BA"/>
    <w:rsid w:val="00CE712C"/>
    <w:rsid w:val="00CF084B"/>
    <w:rsid w:val="00CF2E52"/>
    <w:rsid w:val="00CF35D8"/>
    <w:rsid w:val="00CF754C"/>
    <w:rsid w:val="00D00154"/>
    <w:rsid w:val="00D01A31"/>
    <w:rsid w:val="00D0443C"/>
    <w:rsid w:val="00D05816"/>
    <w:rsid w:val="00D102D4"/>
    <w:rsid w:val="00D11A0B"/>
    <w:rsid w:val="00D12578"/>
    <w:rsid w:val="00D159A4"/>
    <w:rsid w:val="00D20C63"/>
    <w:rsid w:val="00D2145B"/>
    <w:rsid w:val="00D2366D"/>
    <w:rsid w:val="00D24D52"/>
    <w:rsid w:val="00D25CA6"/>
    <w:rsid w:val="00D26A5F"/>
    <w:rsid w:val="00D31268"/>
    <w:rsid w:val="00D341EA"/>
    <w:rsid w:val="00D3672D"/>
    <w:rsid w:val="00D4008B"/>
    <w:rsid w:val="00D44C44"/>
    <w:rsid w:val="00D4516C"/>
    <w:rsid w:val="00D4571C"/>
    <w:rsid w:val="00D46C0A"/>
    <w:rsid w:val="00D479B5"/>
    <w:rsid w:val="00D508A1"/>
    <w:rsid w:val="00D511D7"/>
    <w:rsid w:val="00D53241"/>
    <w:rsid w:val="00D53F28"/>
    <w:rsid w:val="00D57188"/>
    <w:rsid w:val="00D57DAA"/>
    <w:rsid w:val="00D61C59"/>
    <w:rsid w:val="00D62133"/>
    <w:rsid w:val="00D63A27"/>
    <w:rsid w:val="00D655E0"/>
    <w:rsid w:val="00D65BCC"/>
    <w:rsid w:val="00D66527"/>
    <w:rsid w:val="00D6798E"/>
    <w:rsid w:val="00D70FE7"/>
    <w:rsid w:val="00D74472"/>
    <w:rsid w:val="00D74D70"/>
    <w:rsid w:val="00D81351"/>
    <w:rsid w:val="00D82F2E"/>
    <w:rsid w:val="00D846C0"/>
    <w:rsid w:val="00D862E4"/>
    <w:rsid w:val="00D8670A"/>
    <w:rsid w:val="00D92149"/>
    <w:rsid w:val="00D944D3"/>
    <w:rsid w:val="00D94C07"/>
    <w:rsid w:val="00D94FDF"/>
    <w:rsid w:val="00D95B28"/>
    <w:rsid w:val="00D96107"/>
    <w:rsid w:val="00D97E2E"/>
    <w:rsid w:val="00D97F4C"/>
    <w:rsid w:val="00DB0D3D"/>
    <w:rsid w:val="00DB3E1A"/>
    <w:rsid w:val="00DB5771"/>
    <w:rsid w:val="00DB57A5"/>
    <w:rsid w:val="00DB61F0"/>
    <w:rsid w:val="00DB75E8"/>
    <w:rsid w:val="00DC0286"/>
    <w:rsid w:val="00DC08AF"/>
    <w:rsid w:val="00DC15BA"/>
    <w:rsid w:val="00DC22B1"/>
    <w:rsid w:val="00DC4719"/>
    <w:rsid w:val="00DC5DF9"/>
    <w:rsid w:val="00DC757A"/>
    <w:rsid w:val="00DC7B1B"/>
    <w:rsid w:val="00DD23B6"/>
    <w:rsid w:val="00DD42C1"/>
    <w:rsid w:val="00DD5863"/>
    <w:rsid w:val="00DE0E82"/>
    <w:rsid w:val="00DE14F1"/>
    <w:rsid w:val="00DE2D2A"/>
    <w:rsid w:val="00DE5D39"/>
    <w:rsid w:val="00DF0FA4"/>
    <w:rsid w:val="00DF1595"/>
    <w:rsid w:val="00DF15EE"/>
    <w:rsid w:val="00DF3935"/>
    <w:rsid w:val="00DF5BCF"/>
    <w:rsid w:val="00DF5C3B"/>
    <w:rsid w:val="00E0014F"/>
    <w:rsid w:val="00E00AAE"/>
    <w:rsid w:val="00E03E63"/>
    <w:rsid w:val="00E0414E"/>
    <w:rsid w:val="00E05FD7"/>
    <w:rsid w:val="00E06A0B"/>
    <w:rsid w:val="00E135BC"/>
    <w:rsid w:val="00E14E92"/>
    <w:rsid w:val="00E153F3"/>
    <w:rsid w:val="00E159DD"/>
    <w:rsid w:val="00E17263"/>
    <w:rsid w:val="00E17489"/>
    <w:rsid w:val="00E2111C"/>
    <w:rsid w:val="00E22E27"/>
    <w:rsid w:val="00E2354C"/>
    <w:rsid w:val="00E306CE"/>
    <w:rsid w:val="00E31F63"/>
    <w:rsid w:val="00E32206"/>
    <w:rsid w:val="00E34502"/>
    <w:rsid w:val="00E34934"/>
    <w:rsid w:val="00E35FA1"/>
    <w:rsid w:val="00E362BD"/>
    <w:rsid w:val="00E3721A"/>
    <w:rsid w:val="00E41779"/>
    <w:rsid w:val="00E41834"/>
    <w:rsid w:val="00E422C8"/>
    <w:rsid w:val="00E44093"/>
    <w:rsid w:val="00E44B15"/>
    <w:rsid w:val="00E46A95"/>
    <w:rsid w:val="00E52477"/>
    <w:rsid w:val="00E52655"/>
    <w:rsid w:val="00E5440B"/>
    <w:rsid w:val="00E54A93"/>
    <w:rsid w:val="00E54DF0"/>
    <w:rsid w:val="00E54FCC"/>
    <w:rsid w:val="00E56891"/>
    <w:rsid w:val="00E56A13"/>
    <w:rsid w:val="00E61B88"/>
    <w:rsid w:val="00E6488C"/>
    <w:rsid w:val="00E65F49"/>
    <w:rsid w:val="00E7029C"/>
    <w:rsid w:val="00E70613"/>
    <w:rsid w:val="00E72563"/>
    <w:rsid w:val="00E729CA"/>
    <w:rsid w:val="00E74422"/>
    <w:rsid w:val="00E747B2"/>
    <w:rsid w:val="00E778BA"/>
    <w:rsid w:val="00E80B9B"/>
    <w:rsid w:val="00E81A0D"/>
    <w:rsid w:val="00E81C5D"/>
    <w:rsid w:val="00E82AE2"/>
    <w:rsid w:val="00E8371E"/>
    <w:rsid w:val="00E86982"/>
    <w:rsid w:val="00E86BCA"/>
    <w:rsid w:val="00E905A7"/>
    <w:rsid w:val="00E908F1"/>
    <w:rsid w:val="00E90F12"/>
    <w:rsid w:val="00E92352"/>
    <w:rsid w:val="00E927C2"/>
    <w:rsid w:val="00E93740"/>
    <w:rsid w:val="00E95170"/>
    <w:rsid w:val="00E96C61"/>
    <w:rsid w:val="00E97C30"/>
    <w:rsid w:val="00EA037F"/>
    <w:rsid w:val="00EA2750"/>
    <w:rsid w:val="00EA49AC"/>
    <w:rsid w:val="00EA7155"/>
    <w:rsid w:val="00EB1811"/>
    <w:rsid w:val="00EB2040"/>
    <w:rsid w:val="00EB5068"/>
    <w:rsid w:val="00EB784F"/>
    <w:rsid w:val="00EC176A"/>
    <w:rsid w:val="00EC17AE"/>
    <w:rsid w:val="00EC26EB"/>
    <w:rsid w:val="00EC4E55"/>
    <w:rsid w:val="00EC575C"/>
    <w:rsid w:val="00EC5D5F"/>
    <w:rsid w:val="00EC7A10"/>
    <w:rsid w:val="00ED312D"/>
    <w:rsid w:val="00ED37D9"/>
    <w:rsid w:val="00ED5408"/>
    <w:rsid w:val="00ED7BAF"/>
    <w:rsid w:val="00EE038B"/>
    <w:rsid w:val="00EE04A6"/>
    <w:rsid w:val="00EE35A5"/>
    <w:rsid w:val="00EE4065"/>
    <w:rsid w:val="00EE5B70"/>
    <w:rsid w:val="00EE77C6"/>
    <w:rsid w:val="00EE7C64"/>
    <w:rsid w:val="00EF1077"/>
    <w:rsid w:val="00EF17C0"/>
    <w:rsid w:val="00EF2BE3"/>
    <w:rsid w:val="00EF4F8B"/>
    <w:rsid w:val="00F06232"/>
    <w:rsid w:val="00F07759"/>
    <w:rsid w:val="00F0795C"/>
    <w:rsid w:val="00F1005C"/>
    <w:rsid w:val="00F11878"/>
    <w:rsid w:val="00F14160"/>
    <w:rsid w:val="00F145E2"/>
    <w:rsid w:val="00F14AE8"/>
    <w:rsid w:val="00F14EE4"/>
    <w:rsid w:val="00F170B3"/>
    <w:rsid w:val="00F17FBB"/>
    <w:rsid w:val="00F203B5"/>
    <w:rsid w:val="00F240A6"/>
    <w:rsid w:val="00F2748D"/>
    <w:rsid w:val="00F276E9"/>
    <w:rsid w:val="00F3083F"/>
    <w:rsid w:val="00F31563"/>
    <w:rsid w:val="00F3414A"/>
    <w:rsid w:val="00F341FA"/>
    <w:rsid w:val="00F34F66"/>
    <w:rsid w:val="00F35521"/>
    <w:rsid w:val="00F361E0"/>
    <w:rsid w:val="00F407F3"/>
    <w:rsid w:val="00F40D6B"/>
    <w:rsid w:val="00F410E4"/>
    <w:rsid w:val="00F413A3"/>
    <w:rsid w:val="00F41992"/>
    <w:rsid w:val="00F428E9"/>
    <w:rsid w:val="00F438A6"/>
    <w:rsid w:val="00F44769"/>
    <w:rsid w:val="00F4483A"/>
    <w:rsid w:val="00F46D2E"/>
    <w:rsid w:val="00F47913"/>
    <w:rsid w:val="00F47C55"/>
    <w:rsid w:val="00F5000C"/>
    <w:rsid w:val="00F5075C"/>
    <w:rsid w:val="00F51B2A"/>
    <w:rsid w:val="00F5287D"/>
    <w:rsid w:val="00F529F7"/>
    <w:rsid w:val="00F52B88"/>
    <w:rsid w:val="00F5364D"/>
    <w:rsid w:val="00F54259"/>
    <w:rsid w:val="00F57E3C"/>
    <w:rsid w:val="00F60A7F"/>
    <w:rsid w:val="00F60B06"/>
    <w:rsid w:val="00F61165"/>
    <w:rsid w:val="00F62BDB"/>
    <w:rsid w:val="00F6585B"/>
    <w:rsid w:val="00F66FD9"/>
    <w:rsid w:val="00F67A5C"/>
    <w:rsid w:val="00F707B6"/>
    <w:rsid w:val="00F72CF7"/>
    <w:rsid w:val="00F76483"/>
    <w:rsid w:val="00F76706"/>
    <w:rsid w:val="00F76DFD"/>
    <w:rsid w:val="00F8187C"/>
    <w:rsid w:val="00F8237E"/>
    <w:rsid w:val="00F86A86"/>
    <w:rsid w:val="00F90B65"/>
    <w:rsid w:val="00F9232F"/>
    <w:rsid w:val="00F93247"/>
    <w:rsid w:val="00F94C2A"/>
    <w:rsid w:val="00F96FAC"/>
    <w:rsid w:val="00F971A0"/>
    <w:rsid w:val="00FA1ED1"/>
    <w:rsid w:val="00FA2C6E"/>
    <w:rsid w:val="00FA4E91"/>
    <w:rsid w:val="00FA5DDC"/>
    <w:rsid w:val="00FA6170"/>
    <w:rsid w:val="00FA7C65"/>
    <w:rsid w:val="00FB0436"/>
    <w:rsid w:val="00FB2D3C"/>
    <w:rsid w:val="00FB2DD4"/>
    <w:rsid w:val="00FB4D4E"/>
    <w:rsid w:val="00FB6147"/>
    <w:rsid w:val="00FB7CC4"/>
    <w:rsid w:val="00FC0302"/>
    <w:rsid w:val="00FC1836"/>
    <w:rsid w:val="00FC3C90"/>
    <w:rsid w:val="00FC4BCC"/>
    <w:rsid w:val="00FC6C36"/>
    <w:rsid w:val="00FC77C8"/>
    <w:rsid w:val="00FD1484"/>
    <w:rsid w:val="00FD14EB"/>
    <w:rsid w:val="00FD183C"/>
    <w:rsid w:val="00FD4616"/>
    <w:rsid w:val="00FE499F"/>
    <w:rsid w:val="00FE4F4C"/>
    <w:rsid w:val="00FE50BF"/>
    <w:rsid w:val="00FE5895"/>
    <w:rsid w:val="00FF01DC"/>
    <w:rsid w:val="00FF02BD"/>
    <w:rsid w:val="00FF2387"/>
    <w:rsid w:val="00FF2A16"/>
    <w:rsid w:val="00FF42ED"/>
    <w:rsid w:val="00FF6728"/>
    <w:rsid w:val="00FF6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3516311"/>
  <w15:docId w15:val="{669A7751-E64E-486F-8F81-8892B372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305FA5"/>
    <w:rPr>
      <w:rFonts w:ascii="ITC Avant Garde" w:hAnsi="ITC Avant Garde"/>
      <w:sz w:val="18"/>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qFormat/>
    <w:rsid w:val="006B4890"/>
    <w:pPr>
      <w:spacing w:after="0" w:line="240" w:lineRule="auto"/>
    </w:pPr>
    <w:rPr>
      <w:rFonts w:ascii="ITC Avant Garde" w:eastAsia="Times New Roman" w:hAnsi="ITC Avant Garde"/>
      <w:sz w:val="18"/>
      <w:szCs w:val="20"/>
      <w:lang w:val="es-ES" w:eastAsia="es-ES"/>
    </w:rPr>
  </w:style>
  <w:style w:type="character" w:customStyle="1" w:styleId="TextocomentarioCar">
    <w:name w:val="Texto comentario Car"/>
    <w:basedOn w:val="Fuentedeprrafopredeter"/>
    <w:link w:val="Textocomentario"/>
    <w:uiPriority w:val="99"/>
    <w:rsid w:val="006B4890"/>
    <w:rPr>
      <w:rFonts w:ascii="ITC Avant Garde" w:eastAsia="Times New Roman" w:hAnsi="ITC Avant Garde"/>
      <w:sz w:val="18"/>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sz w:val="18"/>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9662AD"/>
    <w:rPr>
      <w:rFonts w:ascii="Arial" w:eastAsia="Times New Roman" w:hAnsi="Arial"/>
      <w:sz w:val="18"/>
      <w:lang w:val="es-ES_tradnl" w:eastAsia="es-ES"/>
    </w:rPr>
  </w:style>
  <w:style w:type="paragraph" w:customStyle="1" w:styleId="comentarios">
    <w:name w:val="comentarios"/>
    <w:basedOn w:val="IFTnormal"/>
    <w:link w:val="comentariosCar"/>
    <w:qFormat/>
    <w:rsid w:val="004D243C"/>
    <w:pPr>
      <w:ind w:left="0"/>
    </w:pPr>
    <w:rPr>
      <w:sz w:val="18"/>
    </w:rPr>
  </w:style>
  <w:style w:type="character" w:customStyle="1" w:styleId="IFTnormalCar">
    <w:name w:val="IFT normal Car"/>
    <w:basedOn w:val="Fuentedeprrafopredeter"/>
    <w:link w:val="IFTnormal"/>
    <w:rsid w:val="004D243C"/>
    <w:rPr>
      <w:rFonts w:ascii="ITC Avant Garde" w:eastAsia="Times New Roman" w:hAnsi="ITC Avant Garde"/>
      <w:iCs/>
      <w:sz w:val="22"/>
      <w:szCs w:val="22"/>
      <w:lang w:val="es-ES"/>
    </w:rPr>
  </w:style>
  <w:style w:type="character" w:customStyle="1" w:styleId="comentariosCar">
    <w:name w:val="comentarios Car"/>
    <w:basedOn w:val="IFTnormalCar"/>
    <w:link w:val="comentarios"/>
    <w:rsid w:val="004D243C"/>
    <w:rPr>
      <w:rFonts w:ascii="ITC Avant Garde" w:eastAsia="Times New Roman" w:hAnsi="ITC Avant Garde"/>
      <w:iCs/>
      <w:sz w:val="18"/>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810">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0023432">
      <w:bodyDiv w:val="1"/>
      <w:marLeft w:val="0"/>
      <w:marRight w:val="0"/>
      <w:marTop w:val="0"/>
      <w:marBottom w:val="0"/>
      <w:divBdr>
        <w:top w:val="none" w:sz="0" w:space="0" w:color="auto"/>
        <w:left w:val="none" w:sz="0" w:space="0" w:color="auto"/>
        <w:bottom w:val="none" w:sz="0" w:space="0" w:color="auto"/>
        <w:right w:val="none" w:sz="0" w:space="0" w:color="auto"/>
      </w:divBdr>
      <w:divsChild>
        <w:div w:id="1209680290">
          <w:marLeft w:val="0"/>
          <w:marRight w:val="0"/>
          <w:marTop w:val="0"/>
          <w:marBottom w:val="0"/>
          <w:divBdr>
            <w:top w:val="none" w:sz="0" w:space="0" w:color="auto"/>
            <w:left w:val="none" w:sz="0" w:space="0" w:color="auto"/>
            <w:bottom w:val="none" w:sz="0" w:space="0" w:color="auto"/>
            <w:right w:val="none" w:sz="0" w:space="0" w:color="auto"/>
          </w:divBdr>
          <w:divsChild>
            <w:div w:id="27797542">
              <w:marLeft w:val="0"/>
              <w:marRight w:val="0"/>
              <w:marTop w:val="0"/>
              <w:marBottom w:val="0"/>
              <w:divBdr>
                <w:top w:val="none" w:sz="0" w:space="0" w:color="auto"/>
                <w:left w:val="none" w:sz="0" w:space="0" w:color="auto"/>
                <w:bottom w:val="none" w:sz="0" w:space="0" w:color="auto"/>
                <w:right w:val="none" w:sz="0" w:space="0" w:color="auto"/>
              </w:divBdr>
              <w:divsChild>
                <w:div w:id="1173911650">
                  <w:marLeft w:val="0"/>
                  <w:marRight w:val="0"/>
                  <w:marTop w:val="0"/>
                  <w:marBottom w:val="0"/>
                  <w:divBdr>
                    <w:top w:val="none" w:sz="0" w:space="0" w:color="auto"/>
                    <w:left w:val="none" w:sz="0" w:space="0" w:color="auto"/>
                    <w:bottom w:val="none" w:sz="0" w:space="0" w:color="auto"/>
                    <w:right w:val="none" w:sz="0" w:space="0" w:color="auto"/>
                  </w:divBdr>
                  <w:divsChild>
                    <w:div w:id="659845497">
                      <w:marLeft w:val="0"/>
                      <w:marRight w:val="0"/>
                      <w:marTop w:val="0"/>
                      <w:marBottom w:val="0"/>
                      <w:divBdr>
                        <w:top w:val="none" w:sz="0" w:space="0" w:color="auto"/>
                        <w:left w:val="none" w:sz="0" w:space="0" w:color="auto"/>
                        <w:bottom w:val="none" w:sz="0" w:space="0" w:color="auto"/>
                        <w:right w:val="none" w:sz="0" w:space="0" w:color="auto"/>
                      </w:divBdr>
                    </w:div>
                  </w:divsChild>
                </w:div>
                <w:div w:id="1350258637">
                  <w:marLeft w:val="0"/>
                  <w:marRight w:val="0"/>
                  <w:marTop w:val="0"/>
                  <w:marBottom w:val="0"/>
                  <w:divBdr>
                    <w:top w:val="none" w:sz="0" w:space="0" w:color="auto"/>
                    <w:left w:val="none" w:sz="0" w:space="0" w:color="auto"/>
                    <w:bottom w:val="none" w:sz="0" w:space="0" w:color="auto"/>
                    <w:right w:val="none" w:sz="0" w:space="0" w:color="auto"/>
                  </w:divBdr>
                  <w:divsChild>
                    <w:div w:id="1978028754">
                      <w:marLeft w:val="0"/>
                      <w:marRight w:val="0"/>
                      <w:marTop w:val="0"/>
                      <w:marBottom w:val="0"/>
                      <w:divBdr>
                        <w:top w:val="none" w:sz="0" w:space="0" w:color="auto"/>
                        <w:left w:val="none" w:sz="0" w:space="0" w:color="auto"/>
                        <w:bottom w:val="none" w:sz="0" w:space="0" w:color="auto"/>
                        <w:right w:val="none" w:sz="0" w:space="0" w:color="auto"/>
                      </w:divBdr>
                    </w:div>
                  </w:divsChild>
                </w:div>
                <w:div w:id="1679379681">
                  <w:marLeft w:val="0"/>
                  <w:marRight w:val="0"/>
                  <w:marTop w:val="0"/>
                  <w:marBottom w:val="0"/>
                  <w:divBdr>
                    <w:top w:val="none" w:sz="0" w:space="0" w:color="auto"/>
                    <w:left w:val="none" w:sz="0" w:space="0" w:color="auto"/>
                    <w:bottom w:val="none" w:sz="0" w:space="0" w:color="auto"/>
                    <w:right w:val="none" w:sz="0" w:space="0" w:color="auto"/>
                  </w:divBdr>
                  <w:divsChild>
                    <w:div w:id="20360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4961665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11830769">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81856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95">
          <w:marLeft w:val="0"/>
          <w:marRight w:val="0"/>
          <w:marTop w:val="0"/>
          <w:marBottom w:val="0"/>
          <w:divBdr>
            <w:top w:val="none" w:sz="0" w:space="0" w:color="auto"/>
            <w:left w:val="none" w:sz="0" w:space="0" w:color="auto"/>
            <w:bottom w:val="none" w:sz="0" w:space="0" w:color="auto"/>
            <w:right w:val="none" w:sz="0" w:space="0" w:color="auto"/>
          </w:divBdr>
        </w:div>
        <w:div w:id="198595465">
          <w:marLeft w:val="0"/>
          <w:marRight w:val="0"/>
          <w:marTop w:val="0"/>
          <w:marBottom w:val="0"/>
          <w:divBdr>
            <w:top w:val="none" w:sz="0" w:space="0" w:color="auto"/>
            <w:left w:val="none" w:sz="0" w:space="0" w:color="auto"/>
            <w:bottom w:val="none" w:sz="0" w:space="0" w:color="auto"/>
            <w:right w:val="none" w:sz="0" w:space="0" w:color="auto"/>
          </w:divBdr>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3734402">
      <w:bodyDiv w:val="1"/>
      <w:marLeft w:val="0"/>
      <w:marRight w:val="0"/>
      <w:marTop w:val="0"/>
      <w:marBottom w:val="0"/>
      <w:divBdr>
        <w:top w:val="none" w:sz="0" w:space="0" w:color="auto"/>
        <w:left w:val="none" w:sz="0" w:space="0" w:color="auto"/>
        <w:bottom w:val="none" w:sz="0" w:space="0" w:color="auto"/>
        <w:right w:val="none" w:sz="0" w:space="0" w:color="auto"/>
      </w:divBdr>
      <w:divsChild>
        <w:div w:id="1028600102">
          <w:marLeft w:val="0"/>
          <w:marRight w:val="0"/>
          <w:marTop w:val="0"/>
          <w:marBottom w:val="0"/>
          <w:divBdr>
            <w:top w:val="none" w:sz="0" w:space="0" w:color="auto"/>
            <w:left w:val="none" w:sz="0" w:space="0" w:color="auto"/>
            <w:bottom w:val="none" w:sz="0" w:space="0" w:color="auto"/>
            <w:right w:val="none" w:sz="0" w:space="0" w:color="auto"/>
          </w:divBdr>
        </w:div>
        <w:div w:id="504632837">
          <w:marLeft w:val="0"/>
          <w:marRight w:val="0"/>
          <w:marTop w:val="0"/>
          <w:marBottom w:val="0"/>
          <w:divBdr>
            <w:top w:val="none" w:sz="0" w:space="0" w:color="auto"/>
            <w:left w:val="none" w:sz="0" w:space="0" w:color="auto"/>
            <w:bottom w:val="none" w:sz="0" w:space="0" w:color="auto"/>
            <w:right w:val="none" w:sz="0" w:space="0" w:color="auto"/>
          </w:divBdr>
        </w:div>
      </w:divsChild>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0658752">
      <w:bodyDiv w:val="1"/>
      <w:marLeft w:val="0"/>
      <w:marRight w:val="0"/>
      <w:marTop w:val="0"/>
      <w:marBottom w:val="0"/>
      <w:divBdr>
        <w:top w:val="none" w:sz="0" w:space="0" w:color="auto"/>
        <w:left w:val="none" w:sz="0" w:space="0" w:color="auto"/>
        <w:bottom w:val="none" w:sz="0" w:space="0" w:color="auto"/>
        <w:right w:val="none" w:sz="0" w:space="0" w:color="auto"/>
      </w:divBdr>
      <w:divsChild>
        <w:div w:id="506677856">
          <w:marLeft w:val="0"/>
          <w:marRight w:val="0"/>
          <w:marTop w:val="0"/>
          <w:marBottom w:val="0"/>
          <w:divBdr>
            <w:top w:val="none" w:sz="0" w:space="0" w:color="auto"/>
            <w:left w:val="none" w:sz="0" w:space="0" w:color="auto"/>
            <w:bottom w:val="none" w:sz="0" w:space="0" w:color="auto"/>
            <w:right w:val="none" w:sz="0" w:space="0" w:color="auto"/>
          </w:divBdr>
          <w:divsChild>
            <w:div w:id="9376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07371116">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9194252">
      <w:bodyDiv w:val="1"/>
      <w:marLeft w:val="0"/>
      <w:marRight w:val="0"/>
      <w:marTop w:val="0"/>
      <w:marBottom w:val="0"/>
      <w:divBdr>
        <w:top w:val="none" w:sz="0" w:space="0" w:color="auto"/>
        <w:left w:val="none" w:sz="0" w:space="0" w:color="auto"/>
        <w:bottom w:val="none" w:sz="0" w:space="0" w:color="auto"/>
        <w:right w:val="none" w:sz="0" w:space="0" w:color="auto"/>
      </w:divBdr>
      <w:divsChild>
        <w:div w:id="1913462502">
          <w:marLeft w:val="0"/>
          <w:marRight w:val="0"/>
          <w:marTop w:val="0"/>
          <w:marBottom w:val="0"/>
          <w:divBdr>
            <w:top w:val="none" w:sz="0" w:space="0" w:color="auto"/>
            <w:left w:val="none" w:sz="0" w:space="0" w:color="auto"/>
            <w:bottom w:val="none" w:sz="0" w:space="0" w:color="auto"/>
            <w:right w:val="none" w:sz="0" w:space="0" w:color="auto"/>
          </w:divBdr>
          <w:divsChild>
            <w:div w:id="1786268920">
              <w:marLeft w:val="0"/>
              <w:marRight w:val="0"/>
              <w:marTop w:val="0"/>
              <w:marBottom w:val="0"/>
              <w:divBdr>
                <w:top w:val="none" w:sz="0" w:space="0" w:color="auto"/>
                <w:left w:val="none" w:sz="0" w:space="0" w:color="auto"/>
                <w:bottom w:val="none" w:sz="0" w:space="0" w:color="auto"/>
                <w:right w:val="none" w:sz="0" w:space="0" w:color="auto"/>
              </w:divBdr>
              <w:divsChild>
                <w:div w:id="52393169">
                  <w:marLeft w:val="336"/>
                  <w:marRight w:val="0"/>
                  <w:marTop w:val="120"/>
                  <w:marBottom w:val="312"/>
                  <w:divBdr>
                    <w:top w:val="none" w:sz="0" w:space="0" w:color="auto"/>
                    <w:left w:val="none" w:sz="0" w:space="0" w:color="auto"/>
                    <w:bottom w:val="none" w:sz="0" w:space="0" w:color="auto"/>
                    <w:right w:val="none" w:sz="0" w:space="0" w:color="auto"/>
                  </w:divBdr>
                  <w:divsChild>
                    <w:div w:id="4497128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34380407">
                  <w:marLeft w:val="0"/>
                  <w:marRight w:val="0"/>
                  <w:marTop w:val="0"/>
                  <w:marBottom w:val="0"/>
                  <w:divBdr>
                    <w:top w:val="single" w:sz="6" w:space="5" w:color="AAAAAA"/>
                    <w:left w:val="single" w:sz="6" w:space="5" w:color="AAAAAA"/>
                    <w:bottom w:val="single" w:sz="6" w:space="5" w:color="AAAAAA"/>
                    <w:right w:val="single" w:sz="6" w:space="5" w:color="AAAAAA"/>
                  </w:divBdr>
                </w:div>
                <w:div w:id="705298588">
                  <w:marLeft w:val="336"/>
                  <w:marRight w:val="0"/>
                  <w:marTop w:val="120"/>
                  <w:marBottom w:val="312"/>
                  <w:divBdr>
                    <w:top w:val="none" w:sz="0" w:space="0" w:color="auto"/>
                    <w:left w:val="none" w:sz="0" w:space="0" w:color="auto"/>
                    <w:bottom w:val="none" w:sz="0" w:space="0" w:color="auto"/>
                    <w:right w:val="none" w:sz="0" w:space="0" w:color="auto"/>
                  </w:divBdr>
                  <w:divsChild>
                    <w:div w:id="14872113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90769925">
                  <w:marLeft w:val="336"/>
                  <w:marRight w:val="0"/>
                  <w:marTop w:val="120"/>
                  <w:marBottom w:val="312"/>
                  <w:divBdr>
                    <w:top w:val="none" w:sz="0" w:space="0" w:color="auto"/>
                    <w:left w:val="none" w:sz="0" w:space="0" w:color="auto"/>
                    <w:bottom w:val="none" w:sz="0" w:space="0" w:color="auto"/>
                    <w:right w:val="none" w:sz="0" w:space="0" w:color="auto"/>
                  </w:divBdr>
                  <w:divsChild>
                    <w:div w:id="16122807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EE47FA6E-DAC0-4148-976C-2430A959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8B7E87-171F-499A-8A46-73E4AAFD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9907</Words>
  <Characters>54492</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Mario Alonso Cruz</cp:lastModifiedBy>
  <cp:revision>8</cp:revision>
  <cp:lastPrinted>2015-02-27T18:54:00Z</cp:lastPrinted>
  <dcterms:created xsi:type="dcterms:W3CDTF">2018-05-11T17:03:00Z</dcterms:created>
  <dcterms:modified xsi:type="dcterms:W3CDTF">2018-05-18T00:02:00Z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43100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