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C56B7" w14:textId="5D3D6BE7" w:rsidR="00DB10CB" w:rsidRPr="00D87165" w:rsidRDefault="006E5FB0" w:rsidP="00D87165">
      <w:pPr>
        <w:pStyle w:val="Ttulo1"/>
        <w:spacing w:before="0" w:after="240"/>
        <w:jc w:val="both"/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</w:pPr>
      <w:r w:rsidRPr="00D87165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 xml:space="preserve">ACUERDO MEDIANTE EL CUAL EL PLENO DEL INSTITUTO FEDERAL DE TELECOMUNICACIONES </w:t>
      </w:r>
      <w:r w:rsidR="00C20F2A" w:rsidRPr="00D87165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 xml:space="preserve">DETERMINA </w:t>
      </w:r>
      <w:r w:rsidRPr="00D87165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SOMETE</w:t>
      </w:r>
      <w:r w:rsidR="00C20F2A" w:rsidRPr="00D87165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R</w:t>
      </w:r>
      <w:r w:rsidRPr="00D87165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 xml:space="preserve"> A CONSULTA PÚBLICA EL </w:t>
      </w:r>
      <w:r w:rsidRPr="00D87165">
        <w:rPr>
          <w:rFonts w:ascii="ITC Avant Garde" w:hAnsi="ITC Avant Garde"/>
          <w:b/>
          <w:i/>
          <w:color w:val="auto"/>
          <w:sz w:val="22"/>
          <w:szCs w:val="22"/>
          <w:lang w:val="es-ES_tradnl" w:eastAsia="es-MX"/>
        </w:rPr>
        <w:t xml:space="preserve">“ANTEPROYECTO DE </w:t>
      </w:r>
      <w:r w:rsidR="00A81BFA" w:rsidRPr="00D87165">
        <w:rPr>
          <w:rFonts w:ascii="ITC Avant Garde" w:hAnsi="ITC Avant Garde"/>
          <w:b/>
          <w:i/>
          <w:color w:val="auto"/>
          <w:sz w:val="22"/>
          <w:szCs w:val="22"/>
          <w:lang w:val="es-ES_tradnl" w:eastAsia="es-MX"/>
        </w:rPr>
        <w:t xml:space="preserve">GUÍA </w:t>
      </w:r>
      <w:r w:rsidR="00AD7A87" w:rsidRPr="00D87165">
        <w:rPr>
          <w:rFonts w:ascii="ITC Avant Garde" w:hAnsi="ITC Avant Garde"/>
          <w:b/>
          <w:i/>
          <w:color w:val="auto"/>
          <w:sz w:val="22"/>
          <w:szCs w:val="22"/>
          <w:lang w:val="es-ES_tradnl" w:eastAsia="es-MX"/>
        </w:rPr>
        <w:t>PARA LA PRESENTACIÓN DE DENUNCIAS DE PRÁCTICAS MONOPÓLICAS Y CONCENTRACIONES ILÍCITAS EN LOS SECTORES DE TELECOMUNICACIONES Y RADIODIFUSIÓN</w:t>
      </w:r>
      <w:r w:rsidRPr="00D87165">
        <w:rPr>
          <w:rFonts w:ascii="ITC Avant Garde" w:hAnsi="ITC Avant Garde"/>
          <w:b/>
          <w:i/>
          <w:color w:val="auto"/>
          <w:sz w:val="22"/>
          <w:szCs w:val="22"/>
          <w:lang w:val="es-ES_tradnl" w:eastAsia="es-MX"/>
        </w:rPr>
        <w:t>”</w:t>
      </w:r>
      <w:r w:rsidR="00850BFD" w:rsidRPr="00D87165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.</w:t>
      </w:r>
    </w:p>
    <w:p w14:paraId="3B4CCA6C" w14:textId="5BD73BA9" w:rsidR="0008012B" w:rsidRPr="00D87165" w:rsidRDefault="00FE67DD" w:rsidP="00D87165">
      <w:pPr>
        <w:pStyle w:val="Ttulo2"/>
        <w:spacing w:before="0" w:after="240"/>
        <w:jc w:val="center"/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</w:pPr>
      <w:r w:rsidRPr="00D87165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C</w:t>
      </w:r>
      <w:r w:rsidR="0008012B" w:rsidRPr="00D87165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ONSIDERANDO</w:t>
      </w:r>
      <w:r w:rsidR="004D2189" w:rsidRPr="00D87165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S</w:t>
      </w:r>
    </w:p>
    <w:p w14:paraId="3BD718A2" w14:textId="1582F068" w:rsidR="0008012B" w:rsidRPr="009E7FAA" w:rsidRDefault="00BC29F8" w:rsidP="005239CE">
      <w:pPr>
        <w:spacing w:after="120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/>
        </w:rPr>
        <w:t xml:space="preserve">PRIMERO. </w:t>
      </w:r>
      <w:r w:rsidR="0008012B" w:rsidRPr="009E7FAA">
        <w:rPr>
          <w:rFonts w:ascii="ITC Avant Garde" w:hAnsi="ITC Avant Garde"/>
          <w:b/>
        </w:rPr>
        <w:t>Competencia del Instituto</w:t>
      </w:r>
      <w:r w:rsidR="0008012B" w:rsidRPr="009E7FAA">
        <w:rPr>
          <w:rFonts w:ascii="ITC Avant Garde" w:hAnsi="ITC Avant Garde"/>
        </w:rPr>
        <w:t xml:space="preserve">. </w:t>
      </w:r>
      <w:r w:rsidR="00F40AC9" w:rsidRPr="00101B30">
        <w:rPr>
          <w:rFonts w:ascii="ITC Avant Garde" w:hAnsi="ITC Avant Garde"/>
        </w:rPr>
        <w:t>D</w:t>
      </w:r>
      <w:r w:rsidR="0008012B" w:rsidRPr="00101B30">
        <w:rPr>
          <w:rFonts w:ascii="ITC Avant Garde" w:hAnsi="ITC Avant Garde"/>
        </w:rPr>
        <w:t xml:space="preserve">e conformidad con los artículos 28, </w:t>
      </w:r>
      <w:r w:rsidR="008E1351" w:rsidRPr="00101B30">
        <w:rPr>
          <w:rFonts w:ascii="ITC Avant Garde" w:hAnsi="ITC Avant Garde"/>
        </w:rPr>
        <w:t>párrafo</w:t>
      </w:r>
      <w:r w:rsidR="008E1351">
        <w:rPr>
          <w:rFonts w:ascii="ITC Avant Garde" w:hAnsi="ITC Avant Garde"/>
        </w:rPr>
        <w:t>s</w:t>
      </w:r>
      <w:r w:rsidR="008E1351" w:rsidRPr="00101B30">
        <w:rPr>
          <w:rFonts w:ascii="ITC Avant Garde" w:hAnsi="ITC Avant Garde"/>
        </w:rPr>
        <w:t xml:space="preserve"> décimo quinto</w:t>
      </w:r>
      <w:r w:rsidR="00F6060C" w:rsidRPr="00101B30">
        <w:rPr>
          <w:rFonts w:ascii="ITC Avant Garde" w:hAnsi="ITC Avant Garde"/>
        </w:rPr>
        <w:t xml:space="preserve"> y décimo </w:t>
      </w:r>
      <w:r w:rsidR="00684E01" w:rsidRPr="00101B30">
        <w:rPr>
          <w:rFonts w:ascii="ITC Avant Garde" w:hAnsi="ITC Avant Garde"/>
        </w:rPr>
        <w:t>sexto</w:t>
      </w:r>
      <w:r w:rsidR="009A563A">
        <w:rPr>
          <w:rFonts w:ascii="ITC Avant Garde" w:hAnsi="ITC Avant Garde"/>
        </w:rPr>
        <w:t>,</w:t>
      </w:r>
      <w:r w:rsidR="00684E01" w:rsidRPr="00101B30">
        <w:rPr>
          <w:rFonts w:ascii="ITC Avant Garde" w:hAnsi="ITC Avant Garde"/>
        </w:rPr>
        <w:t xml:space="preserve"> </w:t>
      </w:r>
      <w:r w:rsidR="0008012B" w:rsidRPr="00101B30">
        <w:rPr>
          <w:rFonts w:ascii="ITC Avant Garde" w:hAnsi="ITC Avant Garde"/>
        </w:rPr>
        <w:t>de la Constitución</w:t>
      </w:r>
      <w:r w:rsidR="008E3C88" w:rsidRPr="00101B30">
        <w:rPr>
          <w:rFonts w:ascii="ITC Avant Garde" w:hAnsi="ITC Avant Garde"/>
        </w:rPr>
        <w:t xml:space="preserve"> </w:t>
      </w:r>
      <w:r w:rsidR="0008012B" w:rsidRPr="00101B30">
        <w:rPr>
          <w:rFonts w:ascii="ITC Avant Garde" w:hAnsi="ITC Avant Garde"/>
        </w:rPr>
        <w:t>Política de los Estados Unidos Mexicanos</w:t>
      </w:r>
      <w:r w:rsidR="004D2189">
        <w:rPr>
          <w:rFonts w:ascii="ITC Avant Garde" w:hAnsi="ITC Avant Garde"/>
        </w:rPr>
        <w:t>;</w:t>
      </w:r>
      <w:r w:rsidR="00F6060C" w:rsidRPr="00101B30">
        <w:rPr>
          <w:rFonts w:ascii="ITC Avant Garde" w:hAnsi="ITC Avant Garde"/>
        </w:rPr>
        <w:t xml:space="preserve"> </w:t>
      </w:r>
      <w:r w:rsidR="00253102" w:rsidRPr="00101B30">
        <w:rPr>
          <w:rFonts w:ascii="ITC Avant Garde" w:hAnsi="ITC Avant Garde"/>
          <w:bCs/>
        </w:rPr>
        <w:t>7</w:t>
      </w:r>
      <w:r w:rsidR="0070224C" w:rsidRPr="00101B30">
        <w:rPr>
          <w:rFonts w:ascii="ITC Avant Garde" w:hAnsi="ITC Avant Garde"/>
          <w:bCs/>
        </w:rPr>
        <w:t>,</w:t>
      </w:r>
      <w:r w:rsidR="00253102" w:rsidRPr="00101B30">
        <w:rPr>
          <w:rFonts w:ascii="ITC Avant Garde" w:hAnsi="ITC Avant Garde"/>
          <w:bCs/>
        </w:rPr>
        <w:t xml:space="preserve"> párrafos primero y tercero</w:t>
      </w:r>
      <w:r w:rsidR="009A563A">
        <w:rPr>
          <w:rFonts w:ascii="ITC Avant Garde" w:hAnsi="ITC Avant Garde"/>
          <w:bCs/>
        </w:rPr>
        <w:t>,</w:t>
      </w:r>
      <w:r w:rsidR="008F10FD" w:rsidRPr="00101B30">
        <w:rPr>
          <w:rFonts w:ascii="ITC Avant Garde" w:hAnsi="ITC Avant Garde"/>
          <w:bCs/>
        </w:rPr>
        <w:t xml:space="preserve"> </w:t>
      </w:r>
      <w:r w:rsidR="0008012B" w:rsidRPr="00101B30">
        <w:rPr>
          <w:rFonts w:ascii="ITC Avant Garde" w:hAnsi="ITC Avant Garde"/>
        </w:rPr>
        <w:t xml:space="preserve">de la </w:t>
      </w:r>
      <w:r w:rsidR="00075691">
        <w:rPr>
          <w:rFonts w:ascii="ITC Avant Garde" w:hAnsi="ITC Avant Garde"/>
        </w:rPr>
        <w:t>Ley Federal de Telecomunicaciones y Radiodifusión</w:t>
      </w:r>
      <w:r w:rsidR="004D2189">
        <w:rPr>
          <w:rFonts w:ascii="ITC Avant Garde" w:hAnsi="ITC Avant Garde"/>
        </w:rPr>
        <w:t>,</w:t>
      </w:r>
      <w:r w:rsidR="002436FD">
        <w:rPr>
          <w:rStyle w:val="Refdenotaalpie"/>
          <w:rFonts w:ascii="ITC Avant Garde" w:hAnsi="ITC Avant Garde"/>
        </w:rPr>
        <w:footnoteReference w:id="2"/>
      </w:r>
      <w:r w:rsidR="00F6060C" w:rsidRPr="00101B30">
        <w:rPr>
          <w:rFonts w:ascii="ITC Avant Garde" w:hAnsi="ITC Avant Garde"/>
        </w:rPr>
        <w:t xml:space="preserve"> y 5</w:t>
      </w:r>
      <w:r w:rsidR="00A14155" w:rsidRPr="00101B30">
        <w:rPr>
          <w:rFonts w:ascii="ITC Avant Garde" w:hAnsi="ITC Avant Garde"/>
        </w:rPr>
        <w:t>, párrafo</w:t>
      </w:r>
      <w:r w:rsidR="00644837" w:rsidRPr="00644837">
        <w:rPr>
          <w:rFonts w:ascii="ITC Avant Garde" w:hAnsi="ITC Avant Garde"/>
        </w:rPr>
        <w:t xml:space="preserve"> </w:t>
      </w:r>
      <w:r w:rsidR="00644837" w:rsidRPr="00101B30">
        <w:rPr>
          <w:rFonts w:ascii="ITC Avant Garde" w:hAnsi="ITC Avant Garde"/>
        </w:rPr>
        <w:t>primer</w:t>
      </w:r>
      <w:r w:rsidR="00644837">
        <w:rPr>
          <w:rFonts w:ascii="ITC Avant Garde" w:hAnsi="ITC Avant Garde"/>
        </w:rPr>
        <w:t>o</w:t>
      </w:r>
      <w:r w:rsidR="00075691">
        <w:rPr>
          <w:rFonts w:ascii="ITC Avant Garde" w:hAnsi="ITC Avant Garde"/>
        </w:rPr>
        <w:t>,</w:t>
      </w:r>
      <w:r w:rsidR="00F6060C" w:rsidRPr="00101B30">
        <w:rPr>
          <w:rFonts w:ascii="ITC Avant Garde" w:hAnsi="ITC Avant Garde"/>
        </w:rPr>
        <w:t xml:space="preserve"> de la </w:t>
      </w:r>
      <w:r w:rsidR="00075691">
        <w:rPr>
          <w:rFonts w:ascii="ITC Avant Garde" w:hAnsi="ITC Avant Garde"/>
        </w:rPr>
        <w:t>Ley Federal de Competencia Económica</w:t>
      </w:r>
      <w:r w:rsidR="002436FD">
        <w:rPr>
          <w:rStyle w:val="Refdenotaalpie"/>
          <w:rFonts w:ascii="ITC Avant Garde" w:hAnsi="ITC Avant Garde"/>
        </w:rPr>
        <w:footnoteReference w:id="3"/>
      </w:r>
      <w:r w:rsidR="00075691">
        <w:rPr>
          <w:rFonts w:ascii="ITC Avant Garde" w:hAnsi="ITC Avant Garde"/>
        </w:rPr>
        <w:t xml:space="preserve"> (</w:t>
      </w:r>
      <w:r w:rsidR="00F6060C" w:rsidRPr="00101B30">
        <w:rPr>
          <w:rFonts w:ascii="ITC Avant Garde" w:hAnsi="ITC Avant Garde"/>
        </w:rPr>
        <w:t>LFCE</w:t>
      </w:r>
      <w:r w:rsidR="00075691">
        <w:rPr>
          <w:rFonts w:ascii="ITC Avant Garde" w:hAnsi="ITC Avant Garde"/>
        </w:rPr>
        <w:t>)</w:t>
      </w:r>
      <w:r w:rsidR="0008012B" w:rsidRPr="00101B30">
        <w:rPr>
          <w:rFonts w:ascii="ITC Avant Garde" w:hAnsi="ITC Avant Garde"/>
        </w:rPr>
        <w:t>,</w:t>
      </w:r>
      <w:r w:rsidR="004C1065" w:rsidRPr="00101B30">
        <w:rPr>
          <w:rFonts w:ascii="ITC Avant Garde" w:hAnsi="ITC Avant Garde"/>
        </w:rPr>
        <w:t xml:space="preserve"> </w:t>
      </w:r>
      <w:r w:rsidR="00267A5F" w:rsidRPr="00101B30">
        <w:rPr>
          <w:rFonts w:ascii="ITC Avant Garde" w:hAnsi="ITC Avant Garde"/>
        </w:rPr>
        <w:t>el Instituto</w:t>
      </w:r>
      <w:r w:rsidR="00F91B5C">
        <w:rPr>
          <w:rFonts w:ascii="ITC Avant Garde" w:hAnsi="ITC Avant Garde"/>
        </w:rPr>
        <w:t xml:space="preserve"> Federal de Telecomunicaciones (Instituto)</w:t>
      </w:r>
      <w:r w:rsidR="00267A5F" w:rsidRPr="00101B30">
        <w:rPr>
          <w:rFonts w:ascii="ITC Avant Garde" w:hAnsi="ITC Avant Garde"/>
        </w:rPr>
        <w:t xml:space="preserve"> es un órgano autónomo con personalidad jurídica y patrimonio propio</w:t>
      </w:r>
      <w:r w:rsidR="00BF57BF">
        <w:rPr>
          <w:rFonts w:ascii="ITC Avant Garde" w:hAnsi="ITC Avant Garde"/>
        </w:rPr>
        <w:t>,</w:t>
      </w:r>
      <w:r w:rsidR="00267A5F" w:rsidRPr="00101B30">
        <w:rPr>
          <w:rFonts w:ascii="ITC Avant Garde" w:hAnsi="ITC Avant Garde"/>
        </w:rPr>
        <w:t xml:space="preserve"> que tiene por objeto el desarrollo eficiente de la radiodif</w:t>
      </w:r>
      <w:r w:rsidR="00A9666E" w:rsidRPr="00101B30">
        <w:rPr>
          <w:rFonts w:ascii="ITC Avant Garde" w:hAnsi="ITC Avant Garde"/>
        </w:rPr>
        <w:t>usión y las telecomunicaciones</w:t>
      </w:r>
      <w:r w:rsidR="006C2F1D">
        <w:rPr>
          <w:rFonts w:ascii="ITC Avant Garde" w:hAnsi="ITC Avant Garde"/>
        </w:rPr>
        <w:t>; y es</w:t>
      </w:r>
      <w:r w:rsidR="00267A5F" w:rsidRPr="009E7FAA">
        <w:rPr>
          <w:rFonts w:ascii="ITC Avant Garde" w:hAnsi="ITC Avant Garde"/>
        </w:rPr>
        <w:t xml:space="preserve"> la autoridad en materia de competencia económica </w:t>
      </w:r>
      <w:r w:rsidR="00A9666E" w:rsidRPr="009E7FAA">
        <w:rPr>
          <w:rFonts w:ascii="ITC Avant Garde" w:hAnsi="ITC Avant Garde"/>
        </w:rPr>
        <w:t xml:space="preserve">en </w:t>
      </w:r>
      <w:r w:rsidR="00D1467D">
        <w:rPr>
          <w:rFonts w:ascii="ITC Avant Garde" w:hAnsi="ITC Avant Garde"/>
        </w:rPr>
        <w:t>dichos</w:t>
      </w:r>
      <w:r w:rsidR="00D1467D" w:rsidRPr="009E7FAA">
        <w:rPr>
          <w:rFonts w:ascii="ITC Avant Garde" w:hAnsi="ITC Avant Garde"/>
        </w:rPr>
        <w:t xml:space="preserve"> </w:t>
      </w:r>
      <w:r w:rsidR="00267A5F" w:rsidRPr="009E7FAA">
        <w:rPr>
          <w:rFonts w:ascii="ITC Avant Garde" w:hAnsi="ITC Avant Garde"/>
        </w:rPr>
        <w:t xml:space="preserve">sectores, por lo que en </w:t>
      </w:r>
      <w:r w:rsidR="00D1467D">
        <w:rPr>
          <w:rFonts w:ascii="ITC Avant Garde" w:hAnsi="ITC Avant Garde"/>
        </w:rPr>
        <w:t>ellos</w:t>
      </w:r>
      <w:r w:rsidR="00D1467D" w:rsidRPr="009E7FAA">
        <w:rPr>
          <w:rFonts w:ascii="ITC Avant Garde" w:hAnsi="ITC Avant Garde"/>
        </w:rPr>
        <w:t xml:space="preserve"> </w:t>
      </w:r>
      <w:r w:rsidR="00267A5F" w:rsidRPr="009E7FAA">
        <w:rPr>
          <w:rFonts w:ascii="ITC Avant Garde" w:hAnsi="ITC Avant Garde"/>
        </w:rPr>
        <w:t xml:space="preserve">ejerce </w:t>
      </w:r>
      <w:r w:rsidR="008E3C88">
        <w:rPr>
          <w:rFonts w:ascii="ITC Avant Garde" w:hAnsi="ITC Avant Garde"/>
        </w:rPr>
        <w:t>de</w:t>
      </w:r>
      <w:r w:rsidR="00267A5F" w:rsidRPr="009E7FAA">
        <w:rPr>
          <w:rFonts w:ascii="ITC Avant Garde" w:hAnsi="ITC Avant Garde"/>
        </w:rPr>
        <w:t xml:space="preserve"> forma exclusiva las facultades que el artículo 28 </w:t>
      </w:r>
      <w:r w:rsidR="006C2F1D">
        <w:rPr>
          <w:rFonts w:ascii="ITC Avant Garde" w:hAnsi="ITC Avant Garde"/>
        </w:rPr>
        <w:t>constitucional</w:t>
      </w:r>
      <w:r w:rsidR="001E7912" w:rsidRPr="009E7FAA">
        <w:rPr>
          <w:rFonts w:ascii="ITC Avant Garde" w:hAnsi="ITC Avant Garde"/>
        </w:rPr>
        <w:t xml:space="preserve"> </w:t>
      </w:r>
      <w:r w:rsidR="00267A5F" w:rsidRPr="009E7FAA">
        <w:rPr>
          <w:rFonts w:ascii="ITC Avant Garde" w:hAnsi="ITC Avant Garde"/>
        </w:rPr>
        <w:t>y las leyes establecen para la Comisión</w:t>
      </w:r>
      <w:r w:rsidR="0005721E" w:rsidRPr="009E7FAA">
        <w:rPr>
          <w:rFonts w:ascii="ITC Avant Garde" w:hAnsi="ITC Avant Garde"/>
        </w:rPr>
        <w:t xml:space="preserve"> Federal de Competencia Económica</w:t>
      </w:r>
      <w:r w:rsidR="00267A5F" w:rsidRPr="009E7FAA">
        <w:rPr>
          <w:rFonts w:ascii="ITC Avant Garde" w:hAnsi="ITC Avant Garde"/>
        </w:rPr>
        <w:t>.</w:t>
      </w:r>
    </w:p>
    <w:p w14:paraId="45D8D578" w14:textId="09AE72C2" w:rsidR="0005721E" w:rsidRPr="009E7FAA" w:rsidRDefault="00075691" w:rsidP="00545A41">
      <w:pPr>
        <w:spacing w:after="12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En términos de lo dispuesto por el</w:t>
      </w:r>
      <w:r w:rsidR="00267A5F" w:rsidRPr="00A14719">
        <w:rPr>
          <w:rFonts w:ascii="ITC Avant Garde" w:hAnsi="ITC Avant Garde"/>
        </w:rPr>
        <w:t xml:space="preserve"> artículo 12, fracción XXII, </w:t>
      </w:r>
      <w:r w:rsidR="00A81AFB">
        <w:rPr>
          <w:rFonts w:ascii="ITC Avant Garde" w:hAnsi="ITC Avant Garde"/>
        </w:rPr>
        <w:t xml:space="preserve">párrafo </w:t>
      </w:r>
      <w:r w:rsidR="00A81AFB" w:rsidRPr="00A81AFB">
        <w:rPr>
          <w:rFonts w:ascii="ITC Avant Garde" w:hAnsi="ITC Avant Garde"/>
        </w:rPr>
        <w:t xml:space="preserve">tercero, inciso </w:t>
      </w:r>
      <w:r w:rsidR="00F7682E">
        <w:rPr>
          <w:rFonts w:ascii="ITC Avant Garde" w:hAnsi="ITC Avant Garde"/>
        </w:rPr>
        <w:t>b</w:t>
      </w:r>
      <w:r w:rsidR="00A81AFB" w:rsidRPr="00A81AFB">
        <w:rPr>
          <w:rFonts w:ascii="ITC Avant Garde" w:hAnsi="ITC Avant Garde"/>
        </w:rPr>
        <w:t>)</w:t>
      </w:r>
      <w:r>
        <w:rPr>
          <w:rFonts w:ascii="ITC Avant Garde" w:hAnsi="ITC Avant Garde"/>
        </w:rPr>
        <w:t>,</w:t>
      </w:r>
      <w:r w:rsidR="00111F7A">
        <w:rPr>
          <w:rFonts w:ascii="ITC Avant Garde" w:hAnsi="ITC Avant Garde"/>
        </w:rPr>
        <w:t xml:space="preserve"> </w:t>
      </w:r>
      <w:r w:rsidR="00267A5F" w:rsidRPr="00A14719">
        <w:rPr>
          <w:rFonts w:ascii="ITC Avant Garde" w:hAnsi="ITC Avant Garde"/>
        </w:rPr>
        <w:t>de la LFCE</w:t>
      </w:r>
      <w:r w:rsidR="00E30016" w:rsidRPr="00A14719">
        <w:rPr>
          <w:rFonts w:ascii="ITC Avant Garde" w:hAnsi="ITC Avant Garde"/>
        </w:rPr>
        <w:t xml:space="preserve">, </w:t>
      </w:r>
      <w:r>
        <w:rPr>
          <w:rFonts w:ascii="ITC Avant Garde" w:hAnsi="ITC Avant Garde"/>
        </w:rPr>
        <w:t xml:space="preserve">en relación </w:t>
      </w:r>
      <w:r w:rsidR="006D4FBB">
        <w:rPr>
          <w:rFonts w:ascii="ITC Avant Garde" w:hAnsi="ITC Avant Garde"/>
        </w:rPr>
        <w:t>con</w:t>
      </w:r>
      <w:r>
        <w:rPr>
          <w:rFonts w:ascii="ITC Avant Garde" w:hAnsi="ITC Avant Garde"/>
        </w:rPr>
        <w:t xml:space="preserve"> el </w:t>
      </w:r>
      <w:r w:rsidR="000917ED">
        <w:rPr>
          <w:rFonts w:ascii="ITC Avant Garde" w:hAnsi="ITC Avant Garde"/>
        </w:rPr>
        <w:t>diverso</w:t>
      </w:r>
      <w:r w:rsidR="00E30016" w:rsidRPr="00A14719">
        <w:rPr>
          <w:rFonts w:ascii="ITC Avant Garde" w:hAnsi="ITC Avant Garde"/>
        </w:rPr>
        <w:t xml:space="preserve"> 187 de las </w:t>
      </w:r>
      <w:r w:rsidR="00F91B5C" w:rsidRPr="00AB731B">
        <w:rPr>
          <w:rFonts w:ascii="ITC Avant Garde" w:hAnsi="ITC Avant Garde"/>
        </w:rPr>
        <w:t>Disposiciones Regulatorias</w:t>
      </w:r>
      <w:r w:rsidR="00F91B5C">
        <w:rPr>
          <w:rFonts w:ascii="ITC Avant Garde" w:hAnsi="ITC Avant Garde"/>
        </w:rPr>
        <w:t xml:space="preserve"> </w:t>
      </w:r>
      <w:r w:rsidR="00F91B5C" w:rsidRPr="00D1467D">
        <w:rPr>
          <w:rFonts w:ascii="ITC Avant Garde" w:hAnsi="ITC Avant Garde"/>
        </w:rPr>
        <w:t>de la Ley Federal de Competencia Económica para los sectores de telecomunicaciones y radiodifusión</w:t>
      </w:r>
      <w:r w:rsidR="00577656" w:rsidRPr="00A14719">
        <w:rPr>
          <w:rFonts w:ascii="ITC Avant Garde" w:hAnsi="ITC Avant Garde"/>
        </w:rPr>
        <w:t>,</w:t>
      </w:r>
      <w:r w:rsidR="002436FD">
        <w:rPr>
          <w:rStyle w:val="Refdenotaalpie"/>
          <w:rFonts w:ascii="ITC Avant Garde" w:hAnsi="ITC Avant Garde"/>
        </w:rPr>
        <w:footnoteReference w:id="4"/>
      </w:r>
      <w:r w:rsidR="0070224C" w:rsidRPr="00A14719">
        <w:rPr>
          <w:rFonts w:ascii="ITC Avant Garde" w:hAnsi="ITC Avant Garde"/>
        </w:rPr>
        <w:t xml:space="preserve"> </w:t>
      </w:r>
      <w:r w:rsidR="00267A5F" w:rsidRPr="00A14719">
        <w:rPr>
          <w:rFonts w:ascii="ITC Avant Garde" w:hAnsi="ITC Avant Garde"/>
        </w:rPr>
        <w:t>el Instituto tiene la atribución de</w:t>
      </w:r>
      <w:r w:rsidR="00BF22F4" w:rsidRPr="00A14719">
        <w:rPr>
          <w:rFonts w:ascii="ITC Avant Garde" w:hAnsi="ITC Avant Garde"/>
        </w:rPr>
        <w:t xml:space="preserve"> </w:t>
      </w:r>
      <w:r w:rsidR="00267A5F" w:rsidRPr="00A14719">
        <w:rPr>
          <w:rFonts w:ascii="ITC Avant Garde" w:hAnsi="ITC Avant Garde"/>
        </w:rPr>
        <w:t>expedir</w:t>
      </w:r>
      <w:r>
        <w:rPr>
          <w:rFonts w:ascii="ITC Avant Garde" w:hAnsi="ITC Avant Garde"/>
        </w:rPr>
        <w:t>, previa consulta pública,</w:t>
      </w:r>
      <w:r w:rsidR="00267A5F" w:rsidRPr="00A14719">
        <w:rPr>
          <w:rFonts w:ascii="ITC Avant Garde" w:hAnsi="ITC Avant Garde"/>
        </w:rPr>
        <w:t xml:space="preserve"> guías</w:t>
      </w:r>
      <w:r w:rsidR="00EA30E6">
        <w:rPr>
          <w:rFonts w:ascii="ITC Avant Garde" w:hAnsi="ITC Avant Garde"/>
        </w:rPr>
        <w:t xml:space="preserve"> y lineamientos</w:t>
      </w:r>
      <w:r>
        <w:rPr>
          <w:rFonts w:ascii="ITC Avant Garde" w:hAnsi="ITC Avant Garde"/>
        </w:rPr>
        <w:t xml:space="preserve"> en materia de investigaciones</w:t>
      </w:r>
      <w:r w:rsidR="00E30016" w:rsidRPr="00AB124C">
        <w:rPr>
          <w:rFonts w:ascii="ITC Avant Garde" w:hAnsi="ITC Avant Garde"/>
        </w:rPr>
        <w:t>.</w:t>
      </w:r>
    </w:p>
    <w:p w14:paraId="2A823589" w14:textId="0C5F7208" w:rsidR="00AC54B2" w:rsidRPr="009E7FAA" w:rsidRDefault="004D2189" w:rsidP="00545A41">
      <w:pPr>
        <w:spacing w:after="12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Co</w:t>
      </w:r>
      <w:r w:rsidR="007031D7" w:rsidRPr="009E7FAA">
        <w:rPr>
          <w:rFonts w:ascii="ITC Avant Garde" w:hAnsi="ITC Avant Garde"/>
        </w:rPr>
        <w:t xml:space="preserve">n </w:t>
      </w:r>
      <w:r w:rsidR="00C9292A">
        <w:rPr>
          <w:rFonts w:ascii="ITC Avant Garde" w:hAnsi="ITC Avant Garde"/>
        </w:rPr>
        <w:t xml:space="preserve">fundamento en </w:t>
      </w:r>
      <w:r w:rsidR="00CE39D9">
        <w:rPr>
          <w:rFonts w:ascii="ITC Avant Garde" w:hAnsi="ITC Avant Garde"/>
        </w:rPr>
        <w:t>e</w:t>
      </w:r>
      <w:r w:rsidR="001C46E9">
        <w:rPr>
          <w:rFonts w:ascii="ITC Avant Garde" w:hAnsi="ITC Avant Garde"/>
        </w:rPr>
        <w:t xml:space="preserve">l </w:t>
      </w:r>
      <w:r w:rsidR="00C9292A">
        <w:rPr>
          <w:rFonts w:ascii="ITC Avant Garde" w:hAnsi="ITC Avant Garde"/>
        </w:rPr>
        <w:t xml:space="preserve">artículo </w:t>
      </w:r>
      <w:r w:rsidR="005239CE">
        <w:rPr>
          <w:rFonts w:ascii="ITC Avant Garde" w:hAnsi="ITC Avant Garde"/>
        </w:rPr>
        <w:t>138 de la LFCE,</w:t>
      </w:r>
      <w:r w:rsidR="007031D7" w:rsidRPr="009E7FAA">
        <w:rPr>
          <w:rFonts w:ascii="ITC Avant Garde" w:hAnsi="ITC Avant Garde"/>
        </w:rPr>
        <w:t xml:space="preserve"> el </w:t>
      </w:r>
      <w:r w:rsidR="005239CE">
        <w:rPr>
          <w:rFonts w:ascii="ITC Avant Garde" w:hAnsi="ITC Avant Garde"/>
        </w:rPr>
        <w:t xml:space="preserve">Pleno del </w:t>
      </w:r>
      <w:r w:rsidR="007031D7" w:rsidRPr="009E7FAA">
        <w:rPr>
          <w:rFonts w:ascii="ITC Avant Garde" w:hAnsi="ITC Avant Garde"/>
        </w:rPr>
        <w:t>Instituto</w:t>
      </w:r>
      <w:r w:rsidR="006A1920" w:rsidRPr="009E7FAA">
        <w:rPr>
          <w:rFonts w:ascii="ITC Avant Garde" w:hAnsi="ITC Avant Garde"/>
        </w:rPr>
        <w:t xml:space="preserve"> </w:t>
      </w:r>
      <w:r w:rsidR="0008012B" w:rsidRPr="009E7FAA">
        <w:rPr>
          <w:rFonts w:ascii="ITC Avant Garde" w:hAnsi="ITC Avant Garde"/>
        </w:rPr>
        <w:t>cuenta con atribuciones para emitir el presente Acuerdo</w:t>
      </w:r>
      <w:r w:rsidR="007031D7" w:rsidRPr="009E7FAA">
        <w:rPr>
          <w:rFonts w:ascii="ITC Avant Garde" w:hAnsi="ITC Avant Garde"/>
        </w:rPr>
        <w:t>,</w:t>
      </w:r>
      <w:r w:rsidR="0008012B" w:rsidRPr="009E7FAA">
        <w:rPr>
          <w:rFonts w:ascii="ITC Avant Garde" w:hAnsi="ITC Avant Garde"/>
        </w:rPr>
        <w:t xml:space="preserve"> </w:t>
      </w:r>
      <w:r w:rsidR="008528D9">
        <w:rPr>
          <w:rFonts w:ascii="ITC Avant Garde" w:hAnsi="ITC Avant Garde"/>
        </w:rPr>
        <w:t xml:space="preserve">a efecto de someter a </w:t>
      </w:r>
      <w:r w:rsidR="0008012B" w:rsidRPr="009E7FAA">
        <w:rPr>
          <w:rFonts w:ascii="ITC Avant Garde" w:hAnsi="ITC Avant Garde"/>
        </w:rPr>
        <w:t xml:space="preserve">consulta pública el </w:t>
      </w:r>
      <w:r w:rsidR="0008012B" w:rsidRPr="00D1772B">
        <w:rPr>
          <w:rFonts w:ascii="ITC Avant Garde" w:hAnsi="ITC Avant Garde"/>
          <w:i/>
        </w:rPr>
        <w:t xml:space="preserve">“ANTEPROYECTO </w:t>
      </w:r>
      <w:r w:rsidR="001C46E9" w:rsidRPr="00D1772B">
        <w:rPr>
          <w:rFonts w:ascii="ITC Avant Garde" w:hAnsi="ITC Avant Garde"/>
          <w:bCs/>
          <w:i/>
        </w:rPr>
        <w:t>DE</w:t>
      </w:r>
      <w:r w:rsidR="0008012B" w:rsidRPr="00D1772B">
        <w:rPr>
          <w:rFonts w:ascii="ITC Avant Garde" w:hAnsi="ITC Avant Garde"/>
          <w:bCs/>
          <w:i/>
        </w:rPr>
        <w:t xml:space="preserve"> </w:t>
      </w:r>
      <w:r w:rsidR="00A1237F">
        <w:rPr>
          <w:rFonts w:ascii="ITC Avant Garde" w:hAnsi="ITC Avant Garde"/>
          <w:i/>
        </w:rPr>
        <w:t xml:space="preserve">GUÍA PARA LA PRESENTACIÓN DE DENUNCIAS </w:t>
      </w:r>
      <w:r w:rsidR="00644837">
        <w:rPr>
          <w:rFonts w:ascii="ITC Avant Garde" w:hAnsi="ITC Avant Garde"/>
          <w:i/>
        </w:rPr>
        <w:t xml:space="preserve">DE </w:t>
      </w:r>
      <w:r w:rsidR="00A1237F">
        <w:rPr>
          <w:rFonts w:ascii="ITC Avant Garde" w:hAnsi="ITC Avant Garde"/>
          <w:i/>
        </w:rPr>
        <w:t>PRÁCTICAS MONOPÓLICAS Y CONCENTRACIONES ILÍCITAS EN LOS SECTORES DE TELECOMUNICACIONES Y RADIODIFUSIÓN</w:t>
      </w:r>
      <w:r w:rsidR="0008012B" w:rsidRPr="00D1772B">
        <w:rPr>
          <w:rFonts w:ascii="ITC Avant Garde" w:hAnsi="ITC Avant Garde"/>
          <w:bCs/>
          <w:i/>
        </w:rPr>
        <w:t>”</w:t>
      </w:r>
      <w:r w:rsidR="00EA30E6">
        <w:rPr>
          <w:rFonts w:ascii="ITC Avant Garde" w:hAnsi="ITC Avant Garde"/>
          <w:bCs/>
          <w:i/>
        </w:rPr>
        <w:t xml:space="preserve">, </w:t>
      </w:r>
      <w:r w:rsidR="0008012B" w:rsidRPr="009E7FAA">
        <w:rPr>
          <w:rFonts w:ascii="ITC Avant Garde" w:hAnsi="ITC Avant Garde"/>
          <w:bCs/>
        </w:rPr>
        <w:t xml:space="preserve">propuesto por la </w:t>
      </w:r>
      <w:r w:rsidR="00A10F81" w:rsidRPr="009E7FAA">
        <w:rPr>
          <w:rFonts w:ascii="ITC Avant Garde" w:hAnsi="ITC Avant Garde"/>
          <w:bCs/>
        </w:rPr>
        <w:t>Autoridad Investigadora</w:t>
      </w:r>
      <w:r w:rsidR="008528D9">
        <w:rPr>
          <w:rFonts w:ascii="ITC Avant Garde" w:hAnsi="ITC Avant Garde"/>
          <w:bCs/>
        </w:rPr>
        <w:t xml:space="preserve"> del Instituto</w:t>
      </w:r>
      <w:r w:rsidR="0008012B" w:rsidRPr="009E7FAA">
        <w:rPr>
          <w:rFonts w:ascii="ITC Avant Garde" w:hAnsi="ITC Avant Garde"/>
          <w:bCs/>
        </w:rPr>
        <w:t xml:space="preserve"> conforme l</w:t>
      </w:r>
      <w:r w:rsidR="007031D7" w:rsidRPr="009E7FAA">
        <w:rPr>
          <w:rFonts w:ascii="ITC Avant Garde" w:hAnsi="ITC Avant Garde"/>
          <w:bCs/>
        </w:rPr>
        <w:t>o señalado</w:t>
      </w:r>
      <w:r w:rsidR="0008012B" w:rsidRPr="009E7FAA">
        <w:rPr>
          <w:rFonts w:ascii="ITC Avant Garde" w:hAnsi="ITC Avant Garde"/>
          <w:bCs/>
        </w:rPr>
        <w:t xml:space="preserve"> e</w:t>
      </w:r>
      <w:r w:rsidR="0008012B" w:rsidRPr="00BF22F4">
        <w:rPr>
          <w:rFonts w:ascii="ITC Avant Garde" w:hAnsi="ITC Avant Garde"/>
          <w:bCs/>
        </w:rPr>
        <w:t xml:space="preserve">n </w:t>
      </w:r>
      <w:r w:rsidR="0070224C" w:rsidRPr="00644CA7">
        <w:rPr>
          <w:rFonts w:ascii="ITC Avant Garde" w:hAnsi="ITC Avant Garde"/>
          <w:bCs/>
        </w:rPr>
        <w:t>e</w:t>
      </w:r>
      <w:r w:rsidR="0008012B" w:rsidRPr="00644CA7">
        <w:rPr>
          <w:rFonts w:ascii="ITC Avant Garde" w:hAnsi="ITC Avant Garde"/>
          <w:bCs/>
        </w:rPr>
        <w:t xml:space="preserve">l </w:t>
      </w:r>
      <w:r w:rsidR="0008012B" w:rsidRPr="00A14719">
        <w:rPr>
          <w:rFonts w:ascii="ITC Avant Garde" w:hAnsi="ITC Avant Garde"/>
          <w:bCs/>
        </w:rPr>
        <w:t xml:space="preserve">artículo </w:t>
      </w:r>
      <w:r w:rsidR="000C5A3A" w:rsidRPr="00A14719">
        <w:rPr>
          <w:rFonts w:ascii="ITC Avant Garde" w:hAnsi="ITC Avant Garde"/>
          <w:bCs/>
        </w:rPr>
        <w:t>62</w:t>
      </w:r>
      <w:r w:rsidR="0070224C" w:rsidRPr="00A14719">
        <w:rPr>
          <w:rFonts w:ascii="ITC Avant Garde" w:hAnsi="ITC Avant Garde"/>
          <w:bCs/>
        </w:rPr>
        <w:t>, fracción IV</w:t>
      </w:r>
      <w:r w:rsidR="00963167">
        <w:rPr>
          <w:rFonts w:ascii="ITC Avant Garde" w:hAnsi="ITC Avant Garde"/>
          <w:bCs/>
        </w:rPr>
        <w:t>,</w:t>
      </w:r>
      <w:r w:rsidR="0070224C" w:rsidRPr="00A14719">
        <w:rPr>
          <w:rFonts w:ascii="ITC Avant Garde" w:hAnsi="ITC Avant Garde"/>
          <w:bCs/>
        </w:rPr>
        <w:t xml:space="preserve"> </w:t>
      </w:r>
      <w:r w:rsidR="0008012B" w:rsidRPr="00A14719">
        <w:rPr>
          <w:rFonts w:ascii="ITC Avant Garde" w:hAnsi="ITC Avant Garde"/>
          <w:bCs/>
        </w:rPr>
        <w:t>del Estatuto Orgánico</w:t>
      </w:r>
      <w:r w:rsidR="002436FD">
        <w:rPr>
          <w:rFonts w:ascii="ITC Avant Garde" w:hAnsi="ITC Avant Garde"/>
          <w:bCs/>
        </w:rPr>
        <w:t xml:space="preserve"> del Instituto</w:t>
      </w:r>
      <w:r w:rsidR="0008012B" w:rsidRPr="00BF22F4">
        <w:rPr>
          <w:rFonts w:ascii="ITC Avant Garde" w:hAnsi="ITC Avant Garde"/>
        </w:rPr>
        <w:t>.</w:t>
      </w:r>
      <w:r w:rsidR="002436FD">
        <w:rPr>
          <w:rStyle w:val="Refdenotaalpie"/>
          <w:rFonts w:ascii="ITC Avant Garde" w:hAnsi="ITC Avant Garde"/>
        </w:rPr>
        <w:footnoteReference w:id="5"/>
      </w:r>
    </w:p>
    <w:p w14:paraId="666D9B26" w14:textId="14EAD807" w:rsidR="00B61003" w:rsidRDefault="0093427B" w:rsidP="00E56287">
      <w:pPr>
        <w:spacing w:after="120" w:line="240" w:lineRule="auto"/>
        <w:jc w:val="both"/>
        <w:rPr>
          <w:rFonts w:ascii="ITC Avant Garde" w:hAnsi="ITC Avant Garde"/>
          <w:color w:val="000000"/>
        </w:rPr>
      </w:pPr>
      <w:r w:rsidRPr="00AB124C">
        <w:rPr>
          <w:rFonts w:ascii="ITC Avant Garde" w:hAnsi="ITC Avant Garde"/>
          <w:b/>
        </w:rPr>
        <w:t>SEGUNDO</w:t>
      </w:r>
      <w:r w:rsidR="00BC29F8">
        <w:rPr>
          <w:rFonts w:ascii="ITC Avant Garde" w:hAnsi="ITC Avant Garde"/>
          <w:b/>
        </w:rPr>
        <w:t>.</w:t>
      </w:r>
      <w:r w:rsidR="0008012B" w:rsidRPr="00AB124C">
        <w:rPr>
          <w:rFonts w:ascii="ITC Avant Garde" w:hAnsi="ITC Avant Garde"/>
          <w:b/>
        </w:rPr>
        <w:t xml:space="preserve"> </w:t>
      </w:r>
      <w:r w:rsidR="00963167">
        <w:rPr>
          <w:rFonts w:ascii="ITC Avant Garde" w:hAnsi="ITC Avant Garde"/>
          <w:b/>
        </w:rPr>
        <w:t>Procedencia</w:t>
      </w:r>
      <w:r w:rsidR="00963167" w:rsidRPr="00AB124C">
        <w:rPr>
          <w:rFonts w:ascii="ITC Avant Garde" w:hAnsi="ITC Avant Garde"/>
          <w:b/>
        </w:rPr>
        <w:t xml:space="preserve"> </w:t>
      </w:r>
      <w:r w:rsidR="0008012B" w:rsidRPr="00AB124C">
        <w:rPr>
          <w:rFonts w:ascii="ITC Avant Garde" w:hAnsi="ITC Avant Garde"/>
          <w:b/>
        </w:rPr>
        <w:t xml:space="preserve">de emitir </w:t>
      </w:r>
      <w:r w:rsidR="00963167">
        <w:rPr>
          <w:rFonts w:ascii="ITC Avant Garde" w:hAnsi="ITC Avant Garde"/>
          <w:b/>
        </w:rPr>
        <w:t xml:space="preserve">la </w:t>
      </w:r>
      <w:r w:rsidR="00AF4958" w:rsidRPr="00AB124C">
        <w:rPr>
          <w:rFonts w:ascii="ITC Avant Garde" w:hAnsi="ITC Avant Garde"/>
          <w:b/>
          <w:bCs/>
        </w:rPr>
        <w:t>Guía</w:t>
      </w:r>
      <w:r w:rsidR="00963167">
        <w:rPr>
          <w:rFonts w:ascii="ITC Avant Garde" w:hAnsi="ITC Avant Garde"/>
          <w:b/>
          <w:bCs/>
        </w:rPr>
        <w:t xml:space="preserve"> para </w:t>
      </w:r>
      <w:r w:rsidR="0099412D">
        <w:rPr>
          <w:rFonts w:ascii="ITC Avant Garde" w:hAnsi="ITC Avant Garde"/>
          <w:b/>
          <w:bCs/>
        </w:rPr>
        <w:t xml:space="preserve">la </w:t>
      </w:r>
      <w:r w:rsidR="00963167">
        <w:rPr>
          <w:rFonts w:ascii="ITC Avant Garde" w:hAnsi="ITC Avant Garde"/>
          <w:b/>
          <w:bCs/>
        </w:rPr>
        <w:t xml:space="preserve">presentación de denuncias </w:t>
      </w:r>
      <w:r w:rsidR="00C1003C">
        <w:rPr>
          <w:rFonts w:ascii="ITC Avant Garde" w:hAnsi="ITC Avant Garde"/>
          <w:b/>
          <w:bCs/>
        </w:rPr>
        <w:t xml:space="preserve">de </w:t>
      </w:r>
      <w:r w:rsidR="00963167">
        <w:rPr>
          <w:rFonts w:ascii="ITC Avant Garde" w:hAnsi="ITC Avant Garde"/>
          <w:b/>
          <w:bCs/>
        </w:rPr>
        <w:t>prácticas monopólicas y concentraciones ilícitas en los sectores de telecomunicaciones y radiodifusión (Guía)</w:t>
      </w:r>
      <w:r w:rsidR="0008012B" w:rsidRPr="00AB124C">
        <w:rPr>
          <w:rFonts w:ascii="ITC Avant Garde" w:hAnsi="ITC Avant Garde"/>
          <w:b/>
          <w:bCs/>
        </w:rPr>
        <w:t>.</w:t>
      </w:r>
      <w:r w:rsidR="0008012B" w:rsidRPr="00AB124C">
        <w:rPr>
          <w:rFonts w:ascii="ITC Avant Garde" w:hAnsi="ITC Avant Garde"/>
          <w:bCs/>
        </w:rPr>
        <w:t xml:space="preserve"> </w:t>
      </w:r>
      <w:r w:rsidR="001859DC">
        <w:rPr>
          <w:rFonts w:ascii="ITC Avant Garde" w:hAnsi="ITC Avant Garde"/>
          <w:bCs/>
        </w:rPr>
        <w:t xml:space="preserve">La </w:t>
      </w:r>
      <w:r w:rsidR="001859DC">
        <w:rPr>
          <w:rFonts w:ascii="ITC Avant Garde" w:hAnsi="ITC Avant Garde"/>
        </w:rPr>
        <w:t xml:space="preserve">Autoridad Investigadora </w:t>
      </w:r>
      <w:r w:rsidR="007A0433">
        <w:rPr>
          <w:rFonts w:ascii="ITC Avant Garde" w:hAnsi="ITC Avant Garde"/>
        </w:rPr>
        <w:t xml:space="preserve">es el órgano </w:t>
      </w:r>
      <w:r w:rsidR="00963167">
        <w:rPr>
          <w:rFonts w:ascii="ITC Avant Garde" w:hAnsi="ITC Avant Garde"/>
        </w:rPr>
        <w:t xml:space="preserve">del Instituto </w:t>
      </w:r>
      <w:r w:rsidR="007A0433">
        <w:rPr>
          <w:rFonts w:ascii="ITC Avant Garde" w:hAnsi="ITC Avant Garde"/>
        </w:rPr>
        <w:t xml:space="preserve">encargado de desahogar la investigación, </w:t>
      </w:r>
      <w:r w:rsidR="00963167">
        <w:rPr>
          <w:rFonts w:ascii="ITC Avant Garde" w:hAnsi="ITC Avant Garde"/>
        </w:rPr>
        <w:t xml:space="preserve">que puede </w:t>
      </w:r>
      <w:r w:rsidR="001859DC">
        <w:rPr>
          <w:rFonts w:ascii="ITC Avant Garde" w:hAnsi="ITC Avant Garde"/>
        </w:rPr>
        <w:t xml:space="preserve">iniciar </w:t>
      </w:r>
      <w:r w:rsidR="00B61003">
        <w:rPr>
          <w:rFonts w:ascii="ITC Avant Garde" w:hAnsi="ITC Avant Garde"/>
        </w:rPr>
        <w:t xml:space="preserve">de </w:t>
      </w:r>
      <w:r w:rsidR="001859DC">
        <w:rPr>
          <w:rFonts w:ascii="ITC Avant Garde" w:hAnsi="ITC Avant Garde"/>
        </w:rPr>
        <w:t xml:space="preserve">oficio, a </w:t>
      </w:r>
      <w:r w:rsidR="006C2F1D">
        <w:rPr>
          <w:rFonts w:ascii="ITC Avant Garde" w:hAnsi="ITC Avant Garde"/>
        </w:rPr>
        <w:t xml:space="preserve">solicitud del Ejecutivo Federal o a </w:t>
      </w:r>
      <w:r w:rsidR="001859DC">
        <w:rPr>
          <w:rFonts w:ascii="ITC Avant Garde" w:hAnsi="ITC Avant Garde"/>
        </w:rPr>
        <w:t>petición de parte</w:t>
      </w:r>
      <w:r w:rsidR="0050265D">
        <w:rPr>
          <w:rFonts w:ascii="ITC Avant Garde" w:hAnsi="ITC Avant Garde"/>
        </w:rPr>
        <w:t>.</w:t>
      </w:r>
    </w:p>
    <w:p w14:paraId="2C6C4FBA" w14:textId="26B7F13F" w:rsidR="00E56287" w:rsidRDefault="00BF57BF" w:rsidP="00E56287">
      <w:pPr>
        <w:spacing w:after="12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En relación al inicio de investigaciones</w:t>
      </w:r>
      <w:r w:rsidR="00BC29F8">
        <w:rPr>
          <w:rFonts w:ascii="ITC Avant Garde" w:hAnsi="ITC Avant Garde"/>
        </w:rPr>
        <w:t xml:space="preserve">, </w:t>
      </w:r>
      <w:r w:rsidR="00BC29F8" w:rsidRPr="00BC29F8">
        <w:rPr>
          <w:rFonts w:ascii="ITC Avant Garde" w:hAnsi="ITC Avant Garde"/>
        </w:rPr>
        <w:t>resulta</w:t>
      </w:r>
      <w:r w:rsidR="008E395B" w:rsidRPr="00BC29F8">
        <w:rPr>
          <w:rFonts w:ascii="ITC Avant Garde" w:hAnsi="ITC Avant Garde"/>
        </w:rPr>
        <w:t xml:space="preserve"> </w:t>
      </w:r>
      <w:r w:rsidR="00963167">
        <w:rPr>
          <w:rFonts w:ascii="ITC Avant Garde" w:hAnsi="ITC Avant Garde"/>
        </w:rPr>
        <w:t>conveniente</w:t>
      </w:r>
      <w:r w:rsidR="00963167" w:rsidRPr="00BC29F8">
        <w:rPr>
          <w:rFonts w:ascii="ITC Avant Garde" w:hAnsi="ITC Avant Garde"/>
        </w:rPr>
        <w:t xml:space="preserve"> </w:t>
      </w:r>
      <w:r w:rsidR="00963167">
        <w:rPr>
          <w:rFonts w:ascii="ITC Avant Garde" w:hAnsi="ITC Avant Garde"/>
        </w:rPr>
        <w:t>emitir</w:t>
      </w:r>
      <w:r w:rsidR="008E395B" w:rsidRPr="00BC29F8">
        <w:rPr>
          <w:rFonts w:ascii="ITC Avant Garde" w:hAnsi="ITC Avant Garde"/>
        </w:rPr>
        <w:t xml:space="preserve"> una guía para </w:t>
      </w:r>
      <w:r w:rsidR="00BC29F8" w:rsidRPr="00BC29F8">
        <w:rPr>
          <w:rFonts w:ascii="ITC Avant Garde" w:hAnsi="ITC Avant Garde"/>
        </w:rPr>
        <w:t>orientar</w:t>
      </w:r>
      <w:r w:rsidR="008E395B" w:rsidRPr="00BC29F8">
        <w:rPr>
          <w:rFonts w:ascii="ITC Avant Garde" w:hAnsi="ITC Avant Garde"/>
        </w:rPr>
        <w:t xml:space="preserve"> </w:t>
      </w:r>
      <w:r w:rsidR="00BC29F8" w:rsidRPr="00BC29F8">
        <w:rPr>
          <w:rFonts w:ascii="ITC Avant Garde" w:hAnsi="ITC Avant Garde"/>
        </w:rPr>
        <w:t xml:space="preserve">al público en general sobre </w:t>
      </w:r>
      <w:r w:rsidR="00255C24">
        <w:rPr>
          <w:rFonts w:ascii="ITC Avant Garde" w:hAnsi="ITC Avant Garde"/>
        </w:rPr>
        <w:t>la</w:t>
      </w:r>
      <w:r w:rsidR="00BC29F8" w:rsidRPr="00BC29F8">
        <w:rPr>
          <w:rFonts w:ascii="ITC Avant Garde" w:hAnsi="ITC Avant Garde"/>
        </w:rPr>
        <w:t xml:space="preserve"> presentación de denuncias </w:t>
      </w:r>
      <w:r w:rsidR="00963167">
        <w:rPr>
          <w:rFonts w:ascii="ITC Avant Garde" w:hAnsi="ITC Avant Garde"/>
        </w:rPr>
        <w:t>de</w:t>
      </w:r>
      <w:r w:rsidR="00255C24">
        <w:rPr>
          <w:rFonts w:ascii="ITC Avant Garde" w:hAnsi="ITC Avant Garde"/>
        </w:rPr>
        <w:t xml:space="preserve"> prácticas </w:t>
      </w:r>
      <w:r w:rsidR="00963167">
        <w:rPr>
          <w:rFonts w:ascii="ITC Avant Garde" w:hAnsi="ITC Avant Garde"/>
        </w:rPr>
        <w:t xml:space="preserve">monopólicas y concentraciones ilícitas </w:t>
      </w:r>
      <w:r w:rsidR="00255C24">
        <w:rPr>
          <w:rFonts w:ascii="ITC Avant Garde" w:hAnsi="ITC Avant Garde"/>
        </w:rPr>
        <w:t>en los sectores de telecomunicaciones y radiodifusión,</w:t>
      </w:r>
      <w:r w:rsidR="00963167">
        <w:rPr>
          <w:rFonts w:ascii="ITC Avant Garde" w:hAnsi="ITC Avant Garde"/>
        </w:rPr>
        <w:t xml:space="preserve"> </w:t>
      </w:r>
      <w:r w:rsidR="00963167">
        <w:rPr>
          <w:rFonts w:ascii="ITC Avant Garde" w:hAnsi="ITC Avant Garde"/>
        </w:rPr>
        <w:lastRenderedPageBreak/>
        <w:t>particularmente sobre la información y documentos adecuados para satisfacer los requisitos establecidos en el artículo 68 de la LFCE</w:t>
      </w:r>
      <w:r w:rsidR="007A0433">
        <w:rPr>
          <w:rFonts w:ascii="ITC Avant Garde" w:hAnsi="ITC Avant Garde"/>
        </w:rPr>
        <w:t>.</w:t>
      </w:r>
    </w:p>
    <w:p w14:paraId="4F284156" w14:textId="0C1FAD80" w:rsidR="0008012B" w:rsidRPr="009E7FAA" w:rsidRDefault="00D9482E" w:rsidP="00E56287">
      <w:pPr>
        <w:spacing w:after="120" w:line="240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Así, e</w:t>
      </w:r>
      <w:r w:rsidR="00963167">
        <w:rPr>
          <w:rFonts w:ascii="ITC Avant Garde" w:hAnsi="ITC Avant Garde"/>
        </w:rPr>
        <w:t xml:space="preserve">n </w:t>
      </w:r>
      <w:r w:rsidR="004F6D29">
        <w:rPr>
          <w:rFonts w:ascii="ITC Avant Garde" w:hAnsi="ITC Avant Garde"/>
        </w:rPr>
        <w:t>el Anteproyecto de</w:t>
      </w:r>
      <w:r w:rsidR="0008012B" w:rsidRPr="009E7FAA">
        <w:rPr>
          <w:rFonts w:ascii="ITC Avant Garde" w:hAnsi="ITC Avant Garde"/>
        </w:rPr>
        <w:t xml:space="preserve"> </w:t>
      </w:r>
      <w:r w:rsidR="00732FE8" w:rsidRPr="009E7FAA">
        <w:rPr>
          <w:rFonts w:ascii="ITC Avant Garde" w:hAnsi="ITC Avant Garde"/>
        </w:rPr>
        <w:t>Guía</w:t>
      </w:r>
      <w:r w:rsidR="0008012B" w:rsidRPr="009E7FAA">
        <w:rPr>
          <w:rFonts w:ascii="ITC Avant Garde" w:hAnsi="ITC Avant Garde"/>
        </w:rPr>
        <w:t xml:space="preserve"> se </w:t>
      </w:r>
      <w:r w:rsidR="00236EB6">
        <w:rPr>
          <w:rFonts w:ascii="ITC Avant Garde" w:hAnsi="ITC Avant Garde"/>
        </w:rPr>
        <w:t>incluye información</w:t>
      </w:r>
      <w:r w:rsidR="0008012B" w:rsidRPr="009E7FAA">
        <w:rPr>
          <w:rFonts w:ascii="ITC Avant Garde" w:hAnsi="ITC Avant Garde"/>
        </w:rPr>
        <w:t xml:space="preserve"> </w:t>
      </w:r>
      <w:r w:rsidR="00644837">
        <w:rPr>
          <w:rFonts w:ascii="ITC Avant Garde" w:hAnsi="ITC Avant Garde"/>
        </w:rPr>
        <w:t>sobre</w:t>
      </w:r>
      <w:r w:rsidR="0008012B" w:rsidRPr="009E7FAA">
        <w:rPr>
          <w:rFonts w:ascii="ITC Avant Garde" w:hAnsi="ITC Avant Garde"/>
        </w:rPr>
        <w:t>:</w:t>
      </w:r>
    </w:p>
    <w:p w14:paraId="565F4FE4" w14:textId="5407854A" w:rsidR="0078602A" w:rsidRDefault="00FF2127" w:rsidP="00545A41">
      <w:pPr>
        <w:pStyle w:val="Texto"/>
        <w:numPr>
          <w:ilvl w:val="0"/>
          <w:numId w:val="2"/>
        </w:numPr>
        <w:spacing w:after="120" w:line="240" w:lineRule="auto"/>
        <w:rPr>
          <w:rFonts w:ascii="ITC Avant Garde" w:eastAsiaTheme="minorHAnsi" w:hAnsi="ITC Avant Garde" w:cstheme="minorBidi"/>
          <w:sz w:val="22"/>
          <w:szCs w:val="22"/>
          <w:lang w:val="es-MX" w:eastAsia="en-US"/>
        </w:rPr>
      </w:pPr>
      <w:r>
        <w:rPr>
          <w:rFonts w:ascii="ITC Avant Garde" w:eastAsiaTheme="minorHAnsi" w:hAnsi="ITC Avant Garde" w:cstheme="minorBidi"/>
          <w:sz w:val="22"/>
          <w:szCs w:val="22"/>
          <w:lang w:val="es-MX" w:eastAsia="en-US"/>
        </w:rPr>
        <w:t>L</w:t>
      </w:r>
      <w:r w:rsidR="00C459F4">
        <w:rPr>
          <w:rFonts w:ascii="ITC Avant Garde" w:eastAsiaTheme="minorHAnsi" w:hAnsi="ITC Avant Garde" w:cstheme="minorBidi"/>
          <w:sz w:val="22"/>
          <w:szCs w:val="22"/>
          <w:lang w:val="es-MX" w:eastAsia="en-US"/>
        </w:rPr>
        <w:t>as conductas anticompetitivas que la Autoridad Investigadora del Instituto puede investigar</w:t>
      </w:r>
      <w:r w:rsidR="006D4FBB">
        <w:rPr>
          <w:rFonts w:ascii="ITC Avant Garde" w:eastAsiaTheme="minorHAnsi" w:hAnsi="ITC Avant Garde" w:cstheme="minorBidi"/>
          <w:sz w:val="22"/>
          <w:szCs w:val="22"/>
          <w:lang w:val="es-MX" w:eastAsia="en-US"/>
        </w:rPr>
        <w:t>;</w:t>
      </w:r>
    </w:p>
    <w:p w14:paraId="29892937" w14:textId="6C39D1C5" w:rsidR="00BF57BF" w:rsidRDefault="00FF2127" w:rsidP="00545A41">
      <w:pPr>
        <w:pStyle w:val="Texto"/>
        <w:numPr>
          <w:ilvl w:val="0"/>
          <w:numId w:val="2"/>
        </w:numPr>
        <w:spacing w:after="120" w:line="240" w:lineRule="auto"/>
        <w:rPr>
          <w:rFonts w:ascii="ITC Avant Garde" w:eastAsiaTheme="minorHAnsi" w:hAnsi="ITC Avant Garde" w:cstheme="minorBidi"/>
          <w:sz w:val="22"/>
          <w:szCs w:val="22"/>
          <w:lang w:val="es-MX" w:eastAsia="en-US"/>
        </w:rPr>
      </w:pPr>
      <w:r>
        <w:rPr>
          <w:rFonts w:ascii="ITC Avant Garde" w:eastAsiaTheme="minorHAnsi" w:hAnsi="ITC Avant Garde" w:cstheme="minorBidi"/>
          <w:sz w:val="22"/>
          <w:szCs w:val="22"/>
          <w:lang w:val="es-MX" w:eastAsia="en-US"/>
        </w:rPr>
        <w:t>Q</w:t>
      </w:r>
      <w:r w:rsidR="00C459F4">
        <w:rPr>
          <w:rFonts w:ascii="ITC Avant Garde" w:eastAsiaTheme="minorHAnsi" w:hAnsi="ITC Avant Garde" w:cstheme="minorBidi"/>
          <w:sz w:val="22"/>
          <w:szCs w:val="22"/>
          <w:lang w:val="es-MX" w:eastAsia="en-US"/>
        </w:rPr>
        <w:t>ué debe entenderse por causa objetiva</w:t>
      </w:r>
      <w:r w:rsidR="00BF57BF">
        <w:rPr>
          <w:rFonts w:ascii="ITC Avant Garde" w:eastAsiaTheme="minorHAnsi" w:hAnsi="ITC Avant Garde" w:cstheme="minorBidi"/>
          <w:sz w:val="22"/>
          <w:szCs w:val="22"/>
          <w:lang w:val="es-MX" w:eastAsia="en-US"/>
        </w:rPr>
        <w:t>;</w:t>
      </w:r>
    </w:p>
    <w:p w14:paraId="2188BAE4" w14:textId="62FDC01C" w:rsidR="00C459F4" w:rsidRPr="009E7FAA" w:rsidRDefault="00FF2127" w:rsidP="00545A41">
      <w:pPr>
        <w:pStyle w:val="Texto"/>
        <w:numPr>
          <w:ilvl w:val="0"/>
          <w:numId w:val="2"/>
        </w:numPr>
        <w:spacing w:after="120" w:line="240" w:lineRule="auto"/>
        <w:rPr>
          <w:rFonts w:ascii="ITC Avant Garde" w:eastAsiaTheme="minorHAnsi" w:hAnsi="ITC Avant Garde" w:cstheme="minorBidi"/>
          <w:sz w:val="22"/>
          <w:szCs w:val="22"/>
          <w:lang w:val="es-MX" w:eastAsia="en-US"/>
        </w:rPr>
      </w:pPr>
      <w:r>
        <w:rPr>
          <w:rFonts w:ascii="ITC Avant Garde" w:eastAsiaTheme="minorHAnsi" w:hAnsi="ITC Avant Garde" w:cstheme="minorBidi"/>
          <w:sz w:val="22"/>
          <w:szCs w:val="22"/>
          <w:lang w:val="es-MX" w:eastAsia="en-US"/>
        </w:rPr>
        <w:t>L</w:t>
      </w:r>
      <w:r w:rsidR="00C459F4">
        <w:rPr>
          <w:rFonts w:ascii="ITC Avant Garde" w:eastAsiaTheme="minorHAnsi" w:hAnsi="ITC Avant Garde" w:cstheme="minorBidi"/>
          <w:sz w:val="22"/>
          <w:szCs w:val="22"/>
          <w:lang w:val="es-MX" w:eastAsia="en-US"/>
        </w:rPr>
        <w:t xml:space="preserve">as modalidades para </w:t>
      </w:r>
      <w:r w:rsidR="00BF57BF">
        <w:rPr>
          <w:rFonts w:ascii="ITC Avant Garde" w:eastAsiaTheme="minorHAnsi" w:hAnsi="ITC Avant Garde" w:cstheme="minorBidi"/>
          <w:sz w:val="22"/>
          <w:szCs w:val="22"/>
          <w:lang w:val="es-MX" w:eastAsia="en-US"/>
        </w:rPr>
        <w:t>iniciar una investigación</w:t>
      </w:r>
      <w:r w:rsidR="008E1351">
        <w:rPr>
          <w:rFonts w:ascii="ITC Avant Garde" w:eastAsiaTheme="minorHAnsi" w:hAnsi="ITC Avant Garde" w:cstheme="minorBidi"/>
          <w:sz w:val="22"/>
          <w:szCs w:val="22"/>
          <w:lang w:val="es-MX" w:eastAsia="en-US"/>
        </w:rPr>
        <w:t>;</w:t>
      </w:r>
    </w:p>
    <w:p w14:paraId="1576873C" w14:textId="41E3B647" w:rsidR="008E1351" w:rsidRPr="004F6D29" w:rsidRDefault="00FF2127" w:rsidP="00C459F4">
      <w:pPr>
        <w:pStyle w:val="Default"/>
        <w:numPr>
          <w:ilvl w:val="0"/>
          <w:numId w:val="2"/>
        </w:numPr>
        <w:tabs>
          <w:tab w:val="left" w:pos="0"/>
        </w:tabs>
        <w:spacing w:after="120"/>
        <w:jc w:val="both"/>
        <w:rPr>
          <w:rFonts w:ascii="ITC Avant Garde" w:hAnsi="ITC Avant Garde"/>
          <w:sz w:val="22"/>
          <w:szCs w:val="22"/>
          <w:lang w:val="es-ES_tradnl"/>
        </w:rPr>
      </w:pPr>
      <w:r>
        <w:rPr>
          <w:rFonts w:ascii="ITC Avant Garde" w:eastAsiaTheme="minorHAnsi" w:hAnsi="ITC Avant Garde" w:cstheme="minorBidi"/>
          <w:sz w:val="22"/>
          <w:szCs w:val="22"/>
          <w:lang w:eastAsia="en-US"/>
        </w:rPr>
        <w:t>L</w:t>
      </w:r>
      <w:r w:rsidR="00C459F4">
        <w:rPr>
          <w:rFonts w:ascii="ITC Avant Garde" w:eastAsiaTheme="minorHAnsi" w:hAnsi="ITC Avant Garde" w:cstheme="minorBidi"/>
          <w:sz w:val="22"/>
          <w:szCs w:val="22"/>
          <w:lang w:eastAsia="en-US"/>
        </w:rPr>
        <w:t>os requisitos que debe cumplir</w:t>
      </w:r>
      <w:r w:rsidR="00236EB6">
        <w:rPr>
          <w:rFonts w:ascii="ITC Avant Garde" w:eastAsiaTheme="minorHAnsi" w:hAnsi="ITC Avant Garde" w:cstheme="minorBidi"/>
          <w:sz w:val="22"/>
          <w:szCs w:val="22"/>
          <w:lang w:eastAsia="en-US"/>
        </w:rPr>
        <w:t xml:space="preserve"> </w:t>
      </w:r>
      <w:r w:rsidR="00644837">
        <w:rPr>
          <w:rFonts w:ascii="ITC Avant Garde" w:eastAsiaTheme="minorHAnsi" w:hAnsi="ITC Avant Garde" w:cstheme="minorBidi"/>
          <w:sz w:val="22"/>
          <w:szCs w:val="22"/>
          <w:lang w:eastAsia="en-US"/>
        </w:rPr>
        <w:t>el</w:t>
      </w:r>
      <w:r w:rsidR="00236EB6">
        <w:rPr>
          <w:rFonts w:ascii="ITC Avant Garde" w:eastAsiaTheme="minorHAnsi" w:hAnsi="ITC Avant Garde" w:cstheme="minorBidi"/>
          <w:sz w:val="22"/>
          <w:szCs w:val="22"/>
          <w:lang w:eastAsia="en-US"/>
        </w:rPr>
        <w:t xml:space="preserve"> escrito de</w:t>
      </w:r>
      <w:r w:rsidR="00C459F4">
        <w:rPr>
          <w:rFonts w:ascii="ITC Avant Garde" w:eastAsiaTheme="minorHAnsi" w:hAnsi="ITC Avant Garde" w:cstheme="minorBidi"/>
          <w:sz w:val="22"/>
          <w:szCs w:val="22"/>
          <w:lang w:eastAsia="en-US"/>
        </w:rPr>
        <w:t xml:space="preserve"> denuncia</w:t>
      </w:r>
      <w:r w:rsidR="004F6D29">
        <w:rPr>
          <w:rFonts w:ascii="ITC Avant Garde" w:eastAsiaTheme="minorHAnsi" w:hAnsi="ITC Avant Garde" w:cstheme="minorBidi"/>
          <w:sz w:val="22"/>
          <w:szCs w:val="22"/>
          <w:lang w:eastAsia="en-US"/>
        </w:rPr>
        <w:t>;</w:t>
      </w:r>
    </w:p>
    <w:p w14:paraId="7F4116B1" w14:textId="7190969B" w:rsidR="004F6D29" w:rsidRPr="008E1351" w:rsidRDefault="004F6D29" w:rsidP="00C459F4">
      <w:pPr>
        <w:pStyle w:val="Default"/>
        <w:numPr>
          <w:ilvl w:val="0"/>
          <w:numId w:val="2"/>
        </w:numPr>
        <w:tabs>
          <w:tab w:val="left" w:pos="0"/>
        </w:tabs>
        <w:spacing w:after="120"/>
        <w:jc w:val="both"/>
        <w:rPr>
          <w:rFonts w:ascii="ITC Avant Garde" w:hAnsi="ITC Avant Garde"/>
          <w:sz w:val="22"/>
          <w:szCs w:val="22"/>
          <w:lang w:val="es-ES_tradnl"/>
        </w:rPr>
      </w:pPr>
      <w:r>
        <w:rPr>
          <w:rFonts w:ascii="ITC Avant Garde" w:hAnsi="ITC Avant Garde"/>
          <w:sz w:val="22"/>
          <w:szCs w:val="22"/>
          <w:lang w:val="es-ES_tradnl"/>
        </w:rPr>
        <w:t xml:space="preserve">La confidencialidad de la información presentada </w:t>
      </w:r>
      <w:r w:rsidR="00644837">
        <w:rPr>
          <w:rFonts w:ascii="ITC Avant Garde" w:hAnsi="ITC Avant Garde"/>
          <w:sz w:val="22"/>
          <w:szCs w:val="22"/>
          <w:lang w:val="es-ES_tradnl"/>
        </w:rPr>
        <w:t>con el escrito de</w:t>
      </w:r>
      <w:r>
        <w:rPr>
          <w:rFonts w:ascii="ITC Avant Garde" w:hAnsi="ITC Avant Garde"/>
          <w:sz w:val="22"/>
          <w:szCs w:val="22"/>
          <w:lang w:val="es-ES_tradnl"/>
        </w:rPr>
        <w:t xml:space="preserve"> denuncia;</w:t>
      </w:r>
    </w:p>
    <w:p w14:paraId="520C58BA" w14:textId="678991FD" w:rsidR="004F6D29" w:rsidRPr="00C1003C" w:rsidRDefault="00644837" w:rsidP="00C459F4">
      <w:pPr>
        <w:pStyle w:val="Default"/>
        <w:numPr>
          <w:ilvl w:val="0"/>
          <w:numId w:val="2"/>
        </w:numPr>
        <w:tabs>
          <w:tab w:val="left" w:pos="0"/>
        </w:tabs>
        <w:spacing w:after="120"/>
        <w:jc w:val="both"/>
        <w:rPr>
          <w:rFonts w:ascii="ITC Avant Garde" w:hAnsi="ITC Avant Garde"/>
          <w:sz w:val="22"/>
          <w:szCs w:val="22"/>
          <w:lang w:val="es-ES_tradnl"/>
        </w:rPr>
      </w:pPr>
      <w:r>
        <w:rPr>
          <w:rFonts w:ascii="ITC Avant Garde" w:eastAsiaTheme="minorHAnsi" w:hAnsi="ITC Avant Garde" w:cstheme="minorBidi"/>
          <w:sz w:val="22"/>
          <w:szCs w:val="22"/>
          <w:lang w:eastAsia="en-US"/>
        </w:rPr>
        <w:t>Los a</w:t>
      </w:r>
      <w:r w:rsidR="008E1351">
        <w:rPr>
          <w:rFonts w:ascii="ITC Avant Garde" w:eastAsiaTheme="minorHAnsi" w:hAnsi="ITC Avant Garde" w:cstheme="minorBidi"/>
          <w:sz w:val="22"/>
          <w:szCs w:val="22"/>
          <w:lang w:eastAsia="en-US"/>
        </w:rPr>
        <w:t xml:space="preserve">cuerdos que </w:t>
      </w:r>
      <w:r w:rsidR="00C1003C">
        <w:rPr>
          <w:rFonts w:ascii="ITC Avant Garde" w:eastAsiaTheme="minorHAnsi" w:hAnsi="ITC Avant Garde" w:cstheme="minorBidi"/>
          <w:sz w:val="22"/>
          <w:szCs w:val="22"/>
          <w:lang w:eastAsia="en-US"/>
        </w:rPr>
        <w:t>puede</w:t>
      </w:r>
      <w:r w:rsidR="008E1351">
        <w:rPr>
          <w:rFonts w:ascii="ITC Avant Garde" w:eastAsiaTheme="minorHAnsi" w:hAnsi="ITC Avant Garde" w:cstheme="minorBidi"/>
          <w:sz w:val="22"/>
          <w:szCs w:val="22"/>
          <w:lang w:eastAsia="en-US"/>
        </w:rPr>
        <w:t xml:space="preserve"> emitir </w:t>
      </w:r>
      <w:r w:rsidR="00C1003C">
        <w:rPr>
          <w:rFonts w:ascii="ITC Avant Garde" w:eastAsiaTheme="minorHAnsi" w:hAnsi="ITC Avant Garde" w:cstheme="minorBidi"/>
          <w:sz w:val="22"/>
          <w:szCs w:val="22"/>
          <w:lang w:eastAsia="en-US"/>
        </w:rPr>
        <w:t xml:space="preserve">la Autoridad Investigadora del Instituto, </w:t>
      </w:r>
      <w:r w:rsidR="008E1351">
        <w:rPr>
          <w:rFonts w:ascii="ITC Avant Garde" w:eastAsiaTheme="minorHAnsi" w:hAnsi="ITC Avant Garde" w:cstheme="minorBidi"/>
          <w:sz w:val="22"/>
          <w:szCs w:val="22"/>
          <w:lang w:eastAsia="en-US"/>
        </w:rPr>
        <w:t xml:space="preserve">una vez </w:t>
      </w:r>
      <w:r w:rsidR="00B61003">
        <w:rPr>
          <w:rFonts w:ascii="ITC Avant Garde" w:eastAsiaTheme="minorHAnsi" w:hAnsi="ITC Avant Garde" w:cstheme="minorBidi"/>
          <w:sz w:val="22"/>
          <w:szCs w:val="22"/>
          <w:lang w:eastAsia="en-US"/>
        </w:rPr>
        <w:t>presentada</w:t>
      </w:r>
      <w:r w:rsidR="00374984">
        <w:rPr>
          <w:rFonts w:ascii="ITC Avant Garde" w:eastAsiaTheme="minorHAnsi" w:hAnsi="ITC Avant Garde" w:cstheme="minorBidi"/>
          <w:sz w:val="22"/>
          <w:szCs w:val="22"/>
          <w:lang w:eastAsia="en-US"/>
        </w:rPr>
        <w:t xml:space="preserve"> un escrito de denuncia</w:t>
      </w:r>
      <w:r w:rsidR="004F6D29">
        <w:rPr>
          <w:rFonts w:ascii="ITC Avant Garde" w:eastAsiaTheme="minorHAnsi" w:hAnsi="ITC Avant Garde" w:cstheme="minorBidi"/>
          <w:sz w:val="22"/>
          <w:szCs w:val="22"/>
          <w:lang w:eastAsia="en-US"/>
        </w:rPr>
        <w:t>, y</w:t>
      </w:r>
    </w:p>
    <w:p w14:paraId="7D9C5186" w14:textId="1F0E5CB1" w:rsidR="004F6D29" w:rsidRPr="00EA30E6" w:rsidRDefault="004F6D29" w:rsidP="00C1003C">
      <w:pPr>
        <w:pStyle w:val="Default"/>
        <w:numPr>
          <w:ilvl w:val="0"/>
          <w:numId w:val="2"/>
        </w:numPr>
        <w:tabs>
          <w:tab w:val="left" w:pos="0"/>
        </w:tabs>
        <w:spacing w:after="120"/>
        <w:jc w:val="both"/>
        <w:rPr>
          <w:rFonts w:ascii="ITC Avant Garde" w:hAnsi="ITC Avant Garde"/>
          <w:sz w:val="22"/>
          <w:szCs w:val="22"/>
          <w:lang w:val="es-ES_tradnl"/>
        </w:rPr>
      </w:pPr>
      <w:r w:rsidRPr="00C1003C">
        <w:rPr>
          <w:rFonts w:ascii="ITC Avant Garde" w:eastAsiaTheme="minorHAnsi" w:hAnsi="ITC Avant Garde" w:cstheme="minorBidi"/>
          <w:sz w:val="22"/>
          <w:szCs w:val="22"/>
          <w:lang w:eastAsia="en-US"/>
        </w:rPr>
        <w:t>El reporte de conductas anticompetitivas</w:t>
      </w:r>
      <w:r w:rsidR="00EA30E6">
        <w:rPr>
          <w:rFonts w:ascii="ITC Avant Garde" w:eastAsiaTheme="minorHAnsi" w:hAnsi="ITC Avant Garde" w:cstheme="minorBidi"/>
          <w:sz w:val="22"/>
          <w:szCs w:val="22"/>
          <w:lang w:eastAsia="en-US"/>
        </w:rPr>
        <w:t>.</w:t>
      </w:r>
    </w:p>
    <w:p w14:paraId="4118E2A9" w14:textId="4EFEBD37" w:rsidR="0008012B" w:rsidRPr="00850BFD" w:rsidRDefault="00850BFD" w:rsidP="00545A41">
      <w:pPr>
        <w:pStyle w:val="Default"/>
        <w:tabs>
          <w:tab w:val="left" w:pos="0"/>
        </w:tabs>
        <w:spacing w:after="120"/>
        <w:jc w:val="both"/>
        <w:rPr>
          <w:rFonts w:ascii="ITC Avant Garde" w:hAnsi="ITC Avant Garde"/>
        </w:rPr>
      </w:pPr>
      <w:r>
        <w:rPr>
          <w:rFonts w:ascii="ITC Avant Garde" w:eastAsiaTheme="minorHAnsi" w:hAnsi="ITC Avant Garde" w:cstheme="minorBidi"/>
          <w:b/>
          <w:sz w:val="22"/>
          <w:szCs w:val="22"/>
          <w:lang w:eastAsia="en-US"/>
        </w:rPr>
        <w:t>TERCERO</w:t>
      </w:r>
      <w:r w:rsidR="007A0433">
        <w:rPr>
          <w:rFonts w:ascii="ITC Avant Garde" w:hAnsi="ITC Avant Garde"/>
          <w:b/>
          <w:sz w:val="22"/>
          <w:szCs w:val="22"/>
          <w:lang w:val="es-ES_tradnl"/>
        </w:rPr>
        <w:t>.</w:t>
      </w:r>
      <w:r w:rsidR="0008012B" w:rsidRPr="00770650">
        <w:rPr>
          <w:rFonts w:ascii="ITC Avant Garde" w:hAnsi="ITC Avant Garde"/>
          <w:b/>
          <w:sz w:val="22"/>
          <w:szCs w:val="22"/>
          <w:lang w:val="es-ES_tradnl"/>
        </w:rPr>
        <w:t xml:space="preserve"> Consulta </w:t>
      </w:r>
      <w:r w:rsidR="001E7912">
        <w:rPr>
          <w:rFonts w:ascii="ITC Avant Garde" w:hAnsi="ITC Avant Garde"/>
          <w:b/>
          <w:sz w:val="22"/>
          <w:szCs w:val="22"/>
          <w:lang w:val="es-ES_tradnl"/>
        </w:rPr>
        <w:t>p</w:t>
      </w:r>
      <w:r w:rsidR="0008012B" w:rsidRPr="00770650">
        <w:rPr>
          <w:rFonts w:ascii="ITC Avant Garde" w:hAnsi="ITC Avant Garde"/>
          <w:b/>
          <w:sz w:val="22"/>
          <w:szCs w:val="22"/>
          <w:lang w:val="es-ES_tradnl"/>
        </w:rPr>
        <w:t>ública.</w:t>
      </w:r>
      <w:r w:rsidR="0008012B" w:rsidRPr="00770650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8E395B" w:rsidRPr="00B93DAE">
        <w:rPr>
          <w:rFonts w:ascii="ITC Avant Garde" w:hAnsi="ITC Avant Garde"/>
          <w:sz w:val="22"/>
          <w:szCs w:val="22"/>
          <w:lang w:val="es-ES_tradnl"/>
        </w:rPr>
        <w:t>C</w:t>
      </w:r>
      <w:r w:rsidR="0008012B" w:rsidRPr="00B93DAE">
        <w:rPr>
          <w:rFonts w:ascii="ITC Avant Garde" w:hAnsi="ITC Avant Garde"/>
          <w:sz w:val="22"/>
          <w:szCs w:val="22"/>
          <w:lang w:val="es-ES_tradnl"/>
        </w:rPr>
        <w:t xml:space="preserve">on la consulta pública del 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 xml:space="preserve">Anteproyecto de </w:t>
      </w:r>
      <w:r w:rsidR="0093427B" w:rsidRPr="00111F7A">
        <w:rPr>
          <w:rFonts w:ascii="ITC Avant Garde" w:hAnsi="ITC Avant Garde"/>
          <w:sz w:val="22"/>
          <w:szCs w:val="22"/>
          <w:lang w:val="es-ES_tradnl"/>
        </w:rPr>
        <w:t>Guía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 xml:space="preserve"> se alcanza</w:t>
      </w:r>
      <w:r w:rsidR="009653D7" w:rsidRPr="00111F7A">
        <w:rPr>
          <w:rFonts w:ascii="ITC Avant Garde" w:hAnsi="ITC Avant Garde"/>
          <w:sz w:val="22"/>
          <w:szCs w:val="22"/>
          <w:lang w:val="es-ES_tradnl"/>
        </w:rPr>
        <w:t>rá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>n los siguientes objetivos:</w:t>
      </w:r>
    </w:p>
    <w:p w14:paraId="72BC3B3E" w14:textId="5CF02AA5" w:rsidR="0085128A" w:rsidRPr="00111F7A" w:rsidRDefault="00FF2127" w:rsidP="001E7912">
      <w:pPr>
        <w:pStyle w:val="Default"/>
        <w:numPr>
          <w:ilvl w:val="0"/>
          <w:numId w:val="1"/>
        </w:numPr>
        <w:tabs>
          <w:tab w:val="left" w:pos="0"/>
        </w:tabs>
        <w:spacing w:after="120"/>
        <w:ind w:left="709" w:hanging="425"/>
        <w:jc w:val="both"/>
        <w:rPr>
          <w:rFonts w:ascii="ITC Avant Garde" w:hAnsi="ITC Avant Garde"/>
          <w:sz w:val="22"/>
          <w:szCs w:val="22"/>
          <w:lang w:val="es-ES_tradnl"/>
        </w:rPr>
      </w:pPr>
      <w:r>
        <w:rPr>
          <w:rFonts w:ascii="ITC Avant Garde" w:hAnsi="ITC Avant Garde"/>
          <w:sz w:val="22"/>
          <w:szCs w:val="22"/>
          <w:lang w:val="es-ES_tradnl"/>
        </w:rPr>
        <w:t>F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>ortalecer el principio de transparencia</w:t>
      </w:r>
      <w:r w:rsidR="006D4FBB">
        <w:rPr>
          <w:rFonts w:ascii="ITC Avant Garde" w:hAnsi="ITC Avant Garde"/>
          <w:sz w:val="22"/>
          <w:szCs w:val="22"/>
          <w:lang w:val="es-ES_tradnl"/>
        </w:rPr>
        <w:t>, y</w:t>
      </w:r>
    </w:p>
    <w:p w14:paraId="3A39AF29" w14:textId="5B157362" w:rsidR="0008012B" w:rsidRPr="00111F7A" w:rsidRDefault="00FF2127" w:rsidP="008E1351">
      <w:pPr>
        <w:pStyle w:val="Default"/>
        <w:numPr>
          <w:ilvl w:val="0"/>
          <w:numId w:val="1"/>
        </w:numPr>
        <w:tabs>
          <w:tab w:val="left" w:pos="0"/>
        </w:tabs>
        <w:spacing w:after="120"/>
        <w:ind w:left="709" w:hanging="425"/>
        <w:jc w:val="both"/>
        <w:rPr>
          <w:rFonts w:ascii="ITC Avant Garde" w:hAnsi="ITC Avant Garde"/>
          <w:sz w:val="22"/>
          <w:szCs w:val="22"/>
          <w:lang w:val="es-ES_tradnl"/>
        </w:rPr>
      </w:pPr>
      <w:r>
        <w:rPr>
          <w:rFonts w:ascii="ITC Avant Garde" w:hAnsi="ITC Avant Garde"/>
          <w:sz w:val="22"/>
          <w:szCs w:val="22"/>
          <w:lang w:val="es-ES_tradnl"/>
        </w:rPr>
        <w:t>P</w:t>
      </w:r>
      <w:r w:rsidR="000C481C">
        <w:rPr>
          <w:rFonts w:ascii="ITC Avant Garde" w:hAnsi="ITC Avant Garde"/>
          <w:sz w:val="22"/>
          <w:szCs w:val="22"/>
          <w:lang w:val="es-ES_tradnl"/>
        </w:rPr>
        <w:t>romover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 xml:space="preserve"> la participación ciudadana, gener</w:t>
      </w:r>
      <w:r w:rsidR="00A463A4" w:rsidRPr="00111F7A">
        <w:rPr>
          <w:rFonts w:ascii="ITC Avant Garde" w:hAnsi="ITC Avant Garde"/>
          <w:sz w:val="22"/>
          <w:szCs w:val="22"/>
          <w:lang w:val="es-ES_tradnl"/>
        </w:rPr>
        <w:t>ando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850BFD">
        <w:rPr>
          <w:rFonts w:ascii="ITC Avant Garde" w:hAnsi="ITC Avant Garde"/>
          <w:sz w:val="22"/>
          <w:szCs w:val="22"/>
          <w:lang w:val="es-ES_tradnl"/>
        </w:rPr>
        <w:t xml:space="preserve">un 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 xml:space="preserve">documento más </w:t>
      </w:r>
      <w:r w:rsidR="00F91B5C">
        <w:rPr>
          <w:rFonts w:ascii="ITC Avant Garde" w:hAnsi="ITC Avant Garde"/>
          <w:sz w:val="22"/>
          <w:szCs w:val="22"/>
          <w:lang w:val="es-ES_tradnl"/>
        </w:rPr>
        <w:t>efica</w:t>
      </w:r>
      <w:r w:rsidR="00850BFD">
        <w:rPr>
          <w:rFonts w:ascii="ITC Avant Garde" w:hAnsi="ITC Avant Garde"/>
          <w:sz w:val="22"/>
          <w:szCs w:val="22"/>
          <w:lang w:val="es-ES_tradnl"/>
        </w:rPr>
        <w:t>z</w:t>
      </w:r>
      <w:r w:rsidR="009653D7" w:rsidRPr="00111F7A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16314E" w:rsidRPr="00111F7A">
        <w:rPr>
          <w:rFonts w:ascii="ITC Avant Garde" w:hAnsi="ITC Avant Garde"/>
          <w:sz w:val="22"/>
          <w:szCs w:val="22"/>
          <w:lang w:val="es-ES_tradnl"/>
        </w:rPr>
        <w:t>que</w:t>
      </w:r>
      <w:r w:rsidR="000C481C">
        <w:rPr>
          <w:rFonts w:ascii="ITC Avant Garde" w:hAnsi="ITC Avant Garde"/>
          <w:sz w:val="22"/>
          <w:szCs w:val="22"/>
          <w:lang w:val="es-ES_tradnl"/>
        </w:rPr>
        <w:t>, en lo procedente,</w:t>
      </w:r>
      <w:r w:rsidR="009653D7" w:rsidRPr="00111F7A">
        <w:rPr>
          <w:rFonts w:ascii="ITC Avant Garde" w:hAnsi="ITC Avant Garde"/>
          <w:sz w:val="22"/>
          <w:szCs w:val="22"/>
          <w:lang w:val="es-ES_tradnl"/>
        </w:rPr>
        <w:t xml:space="preserve"> integre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 xml:space="preserve"> las sugerencias</w:t>
      </w:r>
      <w:r w:rsidR="000D2C0F" w:rsidRPr="00111F7A">
        <w:rPr>
          <w:rFonts w:ascii="ITC Avant Garde" w:hAnsi="ITC Avant Garde"/>
          <w:sz w:val="22"/>
          <w:szCs w:val="22"/>
          <w:lang w:val="es-ES_tradnl"/>
        </w:rPr>
        <w:t xml:space="preserve"> de los participantes</w:t>
      </w:r>
      <w:r w:rsidR="0008012B" w:rsidRPr="00111F7A">
        <w:rPr>
          <w:rFonts w:ascii="ITC Avant Garde" w:hAnsi="ITC Avant Garde"/>
          <w:sz w:val="22"/>
          <w:szCs w:val="22"/>
          <w:lang w:val="es-ES_tradnl"/>
        </w:rPr>
        <w:t>.</w:t>
      </w:r>
    </w:p>
    <w:p w14:paraId="22491F13" w14:textId="3F852829" w:rsidR="0008012B" w:rsidRPr="007044D6" w:rsidRDefault="000C481C" w:rsidP="00545A41">
      <w:pPr>
        <w:pStyle w:val="Default"/>
        <w:tabs>
          <w:tab w:val="left" w:pos="0"/>
        </w:tabs>
        <w:spacing w:after="120"/>
        <w:jc w:val="both"/>
        <w:rPr>
          <w:rFonts w:ascii="ITC Avant Garde" w:hAnsi="ITC Avant Garde"/>
          <w:bCs/>
          <w:sz w:val="22"/>
          <w:szCs w:val="22"/>
          <w:highlight w:val="yellow"/>
          <w:lang w:val="es-ES_tradnl"/>
        </w:rPr>
      </w:pPr>
      <w:r>
        <w:rPr>
          <w:rFonts w:ascii="ITC Avant Garde" w:hAnsi="ITC Avant Garde"/>
          <w:sz w:val="22"/>
          <w:szCs w:val="22"/>
          <w:lang w:val="es-ES_tradnl"/>
        </w:rPr>
        <w:t>C</w:t>
      </w:r>
      <w:r w:rsidR="00FC16E5" w:rsidRPr="00AB124C">
        <w:rPr>
          <w:rFonts w:ascii="ITC Avant Garde" w:hAnsi="ITC Avant Garde"/>
          <w:sz w:val="22"/>
          <w:szCs w:val="22"/>
          <w:lang w:val="es-ES_tradnl"/>
        </w:rPr>
        <w:t xml:space="preserve">on el propósito de dar cabal cumplimiento a lo establecido en los dispositivos legales señalados </w:t>
      </w:r>
      <w:r>
        <w:rPr>
          <w:rFonts w:ascii="ITC Avant Garde" w:hAnsi="ITC Avant Garde"/>
          <w:sz w:val="22"/>
          <w:szCs w:val="22"/>
          <w:lang w:val="es-ES_tradnl"/>
        </w:rPr>
        <w:t>en</w:t>
      </w:r>
      <w:r w:rsidR="00FC16E5" w:rsidRPr="00AB124C">
        <w:rPr>
          <w:rFonts w:ascii="ITC Avant Garde" w:hAnsi="ITC Avant Garde"/>
          <w:sz w:val="22"/>
          <w:szCs w:val="22"/>
          <w:lang w:val="es-ES_tradnl"/>
        </w:rPr>
        <w:t xml:space="preserve"> este Acuerdo,</w:t>
      </w:r>
      <w:r>
        <w:rPr>
          <w:rFonts w:ascii="ITC Avant Garde" w:hAnsi="ITC Avant Garde"/>
          <w:sz w:val="22"/>
          <w:szCs w:val="22"/>
          <w:lang w:val="es-ES_tradnl"/>
        </w:rPr>
        <w:t xml:space="preserve"> el Pleno del Instituto</w:t>
      </w:r>
      <w:r w:rsidR="00FC16E5" w:rsidRPr="00AB124C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08012B" w:rsidRPr="00AB124C">
        <w:rPr>
          <w:rFonts w:ascii="ITC Avant Garde" w:hAnsi="ITC Avant Garde"/>
          <w:sz w:val="22"/>
          <w:szCs w:val="22"/>
          <w:lang w:val="es-ES_tradnl"/>
        </w:rPr>
        <w:t xml:space="preserve">estima </w:t>
      </w:r>
      <w:r>
        <w:rPr>
          <w:rFonts w:ascii="ITC Avant Garde" w:hAnsi="ITC Avant Garde"/>
          <w:sz w:val="22"/>
          <w:szCs w:val="22"/>
          <w:lang w:val="es-ES_tradnl"/>
        </w:rPr>
        <w:t>procedente</w:t>
      </w:r>
      <w:r w:rsidRPr="00AB124C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08012B" w:rsidRPr="00AB124C">
        <w:rPr>
          <w:rFonts w:ascii="ITC Avant Garde" w:hAnsi="ITC Avant Garde"/>
          <w:sz w:val="22"/>
          <w:szCs w:val="22"/>
          <w:lang w:val="es-ES_tradnl"/>
        </w:rPr>
        <w:t>someter a consulta pública</w:t>
      </w:r>
      <w:r w:rsidR="00B93DAE">
        <w:rPr>
          <w:rFonts w:ascii="ITC Avant Garde" w:hAnsi="ITC Avant Garde"/>
          <w:sz w:val="22"/>
          <w:szCs w:val="22"/>
          <w:lang w:val="es-ES_tradnl"/>
        </w:rPr>
        <w:t>,</w:t>
      </w:r>
      <w:r w:rsidR="0008012B" w:rsidRPr="00AB124C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B93DAE" w:rsidRPr="00AB124C">
        <w:rPr>
          <w:rFonts w:ascii="ITC Avant Garde" w:hAnsi="ITC Avant Garde"/>
          <w:sz w:val="22"/>
          <w:szCs w:val="22"/>
          <w:lang w:val="es-ES_tradnl"/>
        </w:rPr>
        <w:t>por un periodo de treinta días hábiles</w:t>
      </w:r>
      <w:r>
        <w:rPr>
          <w:rFonts w:ascii="ITC Avant Garde" w:hAnsi="ITC Avant Garde"/>
          <w:sz w:val="22"/>
          <w:szCs w:val="22"/>
          <w:lang w:val="es-ES_tradnl"/>
        </w:rPr>
        <w:t>,</w:t>
      </w:r>
      <w:r w:rsidR="00B93DAE" w:rsidRPr="00B93DAE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08012B" w:rsidRPr="00AB124C">
        <w:rPr>
          <w:rFonts w:ascii="ITC Avant Garde" w:hAnsi="ITC Avant Garde"/>
          <w:sz w:val="22"/>
          <w:szCs w:val="22"/>
          <w:lang w:val="es-ES_tradnl"/>
        </w:rPr>
        <w:t xml:space="preserve">el Anteproyecto de </w:t>
      </w:r>
      <w:r w:rsidR="0093427B" w:rsidRPr="00AB124C">
        <w:rPr>
          <w:rFonts w:ascii="ITC Avant Garde" w:hAnsi="ITC Avant Garde"/>
          <w:sz w:val="22"/>
          <w:szCs w:val="22"/>
          <w:lang w:val="es-ES_tradnl"/>
        </w:rPr>
        <w:t>Guía</w:t>
      </w:r>
      <w:r w:rsidR="003566DA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08012B" w:rsidRPr="00AB124C">
        <w:rPr>
          <w:rFonts w:ascii="ITC Avant Garde" w:hAnsi="ITC Avant Garde"/>
          <w:sz w:val="22"/>
          <w:szCs w:val="22"/>
          <w:lang w:val="es-ES_tradnl"/>
        </w:rPr>
        <w:t xml:space="preserve">propuesto por la </w:t>
      </w:r>
      <w:r w:rsidR="0093427B" w:rsidRPr="00AB124C">
        <w:rPr>
          <w:rFonts w:ascii="ITC Avant Garde" w:hAnsi="ITC Avant Garde"/>
          <w:sz w:val="22"/>
          <w:szCs w:val="22"/>
          <w:lang w:val="es-ES_tradnl"/>
        </w:rPr>
        <w:t>Autoridad Investigadora</w:t>
      </w:r>
      <w:r w:rsidR="006D4FBB">
        <w:rPr>
          <w:rFonts w:ascii="ITC Avant Garde" w:hAnsi="ITC Avant Garde"/>
          <w:sz w:val="22"/>
          <w:szCs w:val="22"/>
          <w:lang w:val="es-ES_tradnl"/>
        </w:rPr>
        <w:t xml:space="preserve"> del Instituto</w:t>
      </w:r>
      <w:r w:rsidR="00FC16E5" w:rsidRPr="00AB124C">
        <w:rPr>
          <w:rFonts w:ascii="ITC Avant Garde" w:hAnsi="ITC Avant Garde"/>
          <w:sz w:val="22"/>
          <w:szCs w:val="22"/>
          <w:lang w:val="es-ES_tradnl"/>
        </w:rPr>
        <w:t xml:space="preserve"> </w:t>
      </w:r>
      <w:r w:rsidR="005E1978" w:rsidRPr="00AB124C">
        <w:rPr>
          <w:rFonts w:ascii="ITC Avant Garde" w:hAnsi="ITC Avant Garde"/>
          <w:sz w:val="22"/>
          <w:szCs w:val="22"/>
          <w:lang w:val="es-ES_tradnl"/>
        </w:rPr>
        <w:t xml:space="preserve">que </w:t>
      </w:r>
      <w:r w:rsidR="0008012B" w:rsidRPr="00AB124C">
        <w:rPr>
          <w:rFonts w:ascii="ITC Avant Garde" w:hAnsi="ITC Avant Garde"/>
          <w:sz w:val="22"/>
          <w:szCs w:val="22"/>
          <w:lang w:val="es-ES_tradnl"/>
        </w:rPr>
        <w:t>se adjunta al presente como Anexo</w:t>
      </w:r>
      <w:r w:rsidR="00850BFD">
        <w:rPr>
          <w:rFonts w:ascii="ITC Avant Garde" w:hAnsi="ITC Avant Garde"/>
          <w:sz w:val="22"/>
          <w:szCs w:val="22"/>
          <w:lang w:val="es-ES_tradnl"/>
        </w:rPr>
        <w:t xml:space="preserve"> Único y</w:t>
      </w:r>
      <w:r w:rsidR="00441C6C" w:rsidRPr="00AB124C">
        <w:rPr>
          <w:rFonts w:ascii="ITC Avant Garde" w:hAnsi="ITC Avant Garde"/>
          <w:sz w:val="22"/>
          <w:szCs w:val="22"/>
          <w:lang w:val="es-ES_tradnl"/>
        </w:rPr>
        <w:t xml:space="preserve"> forma parte integral de</w:t>
      </w:r>
      <w:r w:rsidR="00B93DAE" w:rsidRPr="00AB124C">
        <w:rPr>
          <w:rFonts w:ascii="ITC Avant Garde" w:hAnsi="ITC Avant Garde"/>
          <w:sz w:val="22"/>
          <w:szCs w:val="22"/>
          <w:lang w:val="es-ES_tradnl"/>
        </w:rPr>
        <w:t>l mismo</w:t>
      </w:r>
      <w:r w:rsidR="00441C6C" w:rsidRPr="00AB124C">
        <w:rPr>
          <w:rFonts w:ascii="ITC Avant Garde" w:hAnsi="ITC Avant Garde"/>
          <w:sz w:val="22"/>
          <w:szCs w:val="22"/>
          <w:lang w:val="es-ES_tradnl"/>
        </w:rPr>
        <w:t>.</w:t>
      </w:r>
    </w:p>
    <w:p w14:paraId="6A39D36C" w14:textId="2E7D99B7" w:rsidR="0008012B" w:rsidRDefault="00AB731B" w:rsidP="00545A41">
      <w:pPr>
        <w:pStyle w:val="Default"/>
        <w:tabs>
          <w:tab w:val="left" w:pos="0"/>
        </w:tabs>
        <w:spacing w:after="120"/>
        <w:jc w:val="both"/>
        <w:rPr>
          <w:rFonts w:ascii="ITC Avant Garde" w:hAnsi="ITC Avant Garde"/>
          <w:bCs/>
          <w:color w:val="auto"/>
          <w:sz w:val="22"/>
          <w:szCs w:val="22"/>
          <w:lang w:val="es-ES_tradnl"/>
        </w:rPr>
      </w:pP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Por las razones antes expuestas, con fundamento en los artículos 28, párrafos décimo quinto</w:t>
      </w:r>
      <w:r w:rsidR="00CB5571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y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décimo sexto</w:t>
      </w:r>
      <w:r w:rsidR="00CB5571">
        <w:rPr>
          <w:rFonts w:ascii="ITC Avant Garde" w:hAnsi="ITC Avant Garde"/>
          <w:bCs/>
          <w:color w:val="auto"/>
          <w:sz w:val="22"/>
          <w:szCs w:val="22"/>
          <w:lang w:val="es-ES_tradnl"/>
        </w:rPr>
        <w:t>,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de la </w:t>
      </w:r>
      <w:r w:rsidR="00D1467D">
        <w:rPr>
          <w:rFonts w:ascii="ITC Avant Garde" w:hAnsi="ITC Avant Garde"/>
          <w:bCs/>
          <w:color w:val="auto"/>
          <w:sz w:val="22"/>
          <w:szCs w:val="22"/>
          <w:lang w:val="es-ES_tradnl"/>
        </w:rPr>
        <w:t>Constitución Política de los Estados Unidos Mexicanos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; 7, párrafos primero y tercero, </w:t>
      </w:r>
      <w:r w:rsidR="00835F89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y 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15, fracci</w:t>
      </w:r>
      <w:r w:rsidR="000C481C">
        <w:rPr>
          <w:rFonts w:ascii="ITC Avant Garde" w:hAnsi="ITC Avant Garde"/>
          <w:bCs/>
          <w:color w:val="auto"/>
          <w:sz w:val="22"/>
          <w:szCs w:val="22"/>
          <w:lang w:val="es-ES_tradnl"/>
        </w:rPr>
        <w:t>ón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XVIII</w:t>
      </w:r>
      <w:r w:rsidR="000C481C">
        <w:rPr>
          <w:rFonts w:ascii="ITC Avant Garde" w:hAnsi="ITC Avant Garde"/>
          <w:bCs/>
          <w:color w:val="auto"/>
          <w:sz w:val="22"/>
          <w:szCs w:val="22"/>
          <w:lang w:val="es-ES_tradnl"/>
        </w:rPr>
        <w:t>,</w:t>
      </w:r>
      <w:r w:rsidR="00EF0D9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de la </w:t>
      </w:r>
      <w:r w:rsidR="00D1467D">
        <w:rPr>
          <w:rFonts w:ascii="ITC Avant Garde" w:hAnsi="ITC Avant Garde"/>
          <w:bCs/>
          <w:color w:val="auto"/>
          <w:sz w:val="22"/>
          <w:szCs w:val="22"/>
          <w:lang w:val="es-ES_tradnl"/>
        </w:rPr>
        <w:t>Ley Federal de Telecomunicaciones y Radiodifusión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; 5, párrafo</w:t>
      </w:r>
      <w:r w:rsidR="00644837" w:rsidRPr="00644837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</w:t>
      </w:r>
      <w:r w:rsidR="00644837"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primer</w:t>
      </w:r>
      <w:r w:rsidR="00644837">
        <w:rPr>
          <w:rFonts w:ascii="ITC Avant Garde" w:hAnsi="ITC Avant Garde"/>
          <w:bCs/>
          <w:color w:val="auto"/>
          <w:sz w:val="22"/>
          <w:szCs w:val="22"/>
          <w:lang w:val="es-ES_tradnl"/>
        </w:rPr>
        <w:t>o</w:t>
      </w:r>
      <w:r w:rsidR="000C481C">
        <w:rPr>
          <w:rFonts w:ascii="ITC Avant Garde" w:hAnsi="ITC Avant Garde"/>
          <w:bCs/>
          <w:color w:val="auto"/>
          <w:sz w:val="22"/>
          <w:szCs w:val="22"/>
          <w:lang w:val="es-ES_tradnl"/>
        </w:rPr>
        <w:t>,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y 138 de la </w:t>
      </w:r>
      <w:r w:rsidR="00D1467D">
        <w:rPr>
          <w:rFonts w:ascii="ITC Avant Garde" w:hAnsi="ITC Avant Garde"/>
          <w:bCs/>
          <w:color w:val="auto"/>
          <w:sz w:val="22"/>
          <w:szCs w:val="22"/>
          <w:lang w:val="es-ES_tradnl"/>
        </w:rPr>
        <w:t>Ley Federal de Competencia Económica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; 187 de</w:t>
      </w:r>
      <w:r w:rsidRPr="00AB731B">
        <w:rPr>
          <w:rFonts w:ascii="ITC Avant Garde" w:hAnsi="ITC Avant Garde"/>
          <w:sz w:val="22"/>
          <w:szCs w:val="22"/>
        </w:rPr>
        <w:t xml:space="preserve"> las Disposiciones Regulatorias</w:t>
      </w:r>
      <w:r w:rsidR="00D1467D">
        <w:rPr>
          <w:rFonts w:ascii="ITC Avant Garde" w:hAnsi="ITC Avant Garde"/>
          <w:sz w:val="22"/>
          <w:szCs w:val="22"/>
        </w:rPr>
        <w:t xml:space="preserve"> </w:t>
      </w:r>
      <w:r w:rsidR="00D1467D" w:rsidRPr="00D1467D">
        <w:rPr>
          <w:rFonts w:ascii="ITC Avant Garde" w:hAnsi="ITC Avant Garde"/>
          <w:sz w:val="22"/>
          <w:szCs w:val="22"/>
        </w:rPr>
        <w:t>de la Ley Federal de Competencia Económica para los sectores de telecomunicaciones y radiodifusión</w:t>
      </w:r>
      <w:r w:rsidR="006D4FBB">
        <w:rPr>
          <w:rFonts w:ascii="ITC Avant Garde" w:hAnsi="ITC Avant Garde"/>
          <w:bCs/>
          <w:color w:val="auto"/>
          <w:sz w:val="22"/>
          <w:szCs w:val="22"/>
          <w:lang w:val="es-ES_tradnl"/>
        </w:rPr>
        <w:t>,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</w:t>
      </w:r>
      <w:r w:rsidR="00D1467D">
        <w:rPr>
          <w:rFonts w:ascii="ITC Avant Garde" w:hAnsi="ITC Avant Garde"/>
          <w:bCs/>
          <w:color w:val="auto"/>
          <w:sz w:val="22"/>
          <w:szCs w:val="22"/>
          <w:lang w:val="es-ES_tradnl"/>
        </w:rPr>
        <w:t>así como</w:t>
      </w:r>
      <w:r w:rsidR="00501CBC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1, párrafos primero y tercero, 4, fracción I</w:t>
      </w:r>
      <w:r w:rsidR="006D4FBB">
        <w:rPr>
          <w:rFonts w:ascii="ITC Avant Garde" w:hAnsi="ITC Avant Garde"/>
          <w:bCs/>
          <w:color w:val="auto"/>
          <w:sz w:val="22"/>
          <w:szCs w:val="22"/>
          <w:lang w:val="es-ES_tradnl"/>
        </w:rPr>
        <w:t>,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y 6, fracción </w:t>
      </w:r>
      <w:r w:rsidR="00152B64">
        <w:rPr>
          <w:rFonts w:ascii="ITC Avant Garde" w:hAnsi="ITC Avant Garde"/>
          <w:bCs/>
          <w:color w:val="auto"/>
          <w:sz w:val="22"/>
          <w:szCs w:val="22"/>
          <w:lang w:val="es-ES_tradnl"/>
        </w:rPr>
        <w:t>XXXVIII</w:t>
      </w:r>
      <w:r w:rsidR="00D1467D">
        <w:rPr>
          <w:rFonts w:ascii="ITC Avant Garde" w:hAnsi="ITC Avant Garde"/>
          <w:bCs/>
          <w:color w:val="auto"/>
          <w:sz w:val="22"/>
          <w:szCs w:val="22"/>
          <w:lang w:val="es-ES_tradnl"/>
        </w:rPr>
        <w:t>,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del Estatuto Orgánico</w:t>
      </w:r>
      <w:r w:rsidR="00D1467D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del Instituto Federal de Telecomunicaciones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, el Pleno </w:t>
      </w:r>
      <w:r w:rsidR="00CB5571">
        <w:rPr>
          <w:rFonts w:ascii="ITC Avant Garde" w:hAnsi="ITC Avant Garde"/>
          <w:bCs/>
          <w:color w:val="auto"/>
          <w:sz w:val="22"/>
          <w:szCs w:val="22"/>
          <w:lang w:val="es-ES_tradnl"/>
        </w:rPr>
        <w:t>emite</w:t>
      </w:r>
      <w:r w:rsidR="00CB5571"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 xml:space="preserve"> </w:t>
      </w:r>
      <w:r w:rsidRPr="00AB731B">
        <w:rPr>
          <w:rFonts w:ascii="ITC Avant Garde" w:hAnsi="ITC Avant Garde"/>
          <w:bCs/>
          <w:color w:val="auto"/>
          <w:sz w:val="22"/>
          <w:szCs w:val="22"/>
          <w:lang w:val="es-ES_tradnl"/>
        </w:rPr>
        <w:t>el siguiente</w:t>
      </w:r>
      <w:r w:rsidR="007569FD">
        <w:rPr>
          <w:rFonts w:ascii="ITC Avant Garde" w:hAnsi="ITC Avant Garde"/>
          <w:bCs/>
          <w:color w:val="auto"/>
          <w:sz w:val="22"/>
          <w:szCs w:val="22"/>
          <w:lang w:val="es-ES_tradnl"/>
        </w:rPr>
        <w:t>:</w:t>
      </w:r>
    </w:p>
    <w:p w14:paraId="4770C6ED" w14:textId="3573B0DE" w:rsidR="0008012B" w:rsidRPr="00D87165" w:rsidRDefault="0008012B" w:rsidP="00D87165">
      <w:pPr>
        <w:pStyle w:val="Ttulo2"/>
        <w:spacing w:before="0" w:after="240"/>
        <w:jc w:val="center"/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</w:pPr>
      <w:r w:rsidRPr="00D87165">
        <w:rPr>
          <w:rFonts w:ascii="ITC Avant Garde" w:hAnsi="ITC Avant Garde"/>
          <w:b/>
          <w:color w:val="auto"/>
          <w:sz w:val="22"/>
          <w:szCs w:val="22"/>
          <w:lang w:val="es-ES_tradnl" w:eastAsia="es-MX"/>
        </w:rPr>
        <w:t>ACUERDO</w:t>
      </w:r>
    </w:p>
    <w:p w14:paraId="4C8C5321" w14:textId="22AC33DD" w:rsidR="00A41349" w:rsidRDefault="0008012B" w:rsidP="00545A41">
      <w:pPr>
        <w:pStyle w:val="Default"/>
        <w:tabs>
          <w:tab w:val="left" w:pos="0"/>
        </w:tabs>
        <w:spacing w:after="120"/>
        <w:jc w:val="both"/>
        <w:rPr>
          <w:rFonts w:ascii="ITC Avant Garde" w:hAnsi="ITC Avant Garde" w:cs="Tahoma"/>
          <w:bCs/>
          <w:sz w:val="22"/>
          <w:szCs w:val="22"/>
        </w:rPr>
      </w:pPr>
      <w:r w:rsidRPr="000638B3">
        <w:rPr>
          <w:rFonts w:ascii="ITC Avant Garde" w:hAnsi="ITC Avant Garde" w:cs="Tahoma"/>
          <w:b/>
          <w:bCs/>
          <w:sz w:val="22"/>
          <w:szCs w:val="22"/>
        </w:rPr>
        <w:t>PRIMERO</w:t>
      </w:r>
      <w:r w:rsidR="00152B64">
        <w:rPr>
          <w:rFonts w:ascii="ITC Avant Garde" w:hAnsi="ITC Avant Garde" w:cs="Tahoma"/>
          <w:bCs/>
          <w:sz w:val="22"/>
          <w:szCs w:val="22"/>
        </w:rPr>
        <w:t xml:space="preserve">. </w:t>
      </w:r>
      <w:r w:rsidRPr="000638B3">
        <w:rPr>
          <w:rFonts w:ascii="ITC Avant Garde" w:hAnsi="ITC Avant Garde" w:cs="Tahoma"/>
          <w:bCs/>
          <w:sz w:val="22"/>
          <w:szCs w:val="22"/>
        </w:rPr>
        <w:t>Se determina someter a consulta pública</w:t>
      </w:r>
      <w:r w:rsidR="00A32FDA" w:rsidRPr="000638B3">
        <w:rPr>
          <w:rFonts w:ascii="ITC Avant Garde" w:hAnsi="ITC Avant Garde"/>
          <w:sz w:val="22"/>
          <w:szCs w:val="22"/>
        </w:rPr>
        <w:t xml:space="preserve"> el “</w:t>
      </w:r>
      <w:r w:rsidR="00D434ED" w:rsidRPr="00D434ED">
        <w:rPr>
          <w:rFonts w:ascii="ITC Avant Garde" w:hAnsi="ITC Avant Garde"/>
          <w:i/>
          <w:sz w:val="22"/>
          <w:szCs w:val="22"/>
        </w:rPr>
        <w:t xml:space="preserve">ANTEPROYECTO </w:t>
      </w:r>
      <w:r w:rsidR="00D434ED" w:rsidRPr="00D434ED">
        <w:rPr>
          <w:rFonts w:ascii="ITC Avant Garde" w:hAnsi="ITC Avant Garde"/>
          <w:bCs/>
          <w:i/>
          <w:sz w:val="22"/>
          <w:szCs w:val="22"/>
        </w:rPr>
        <w:t xml:space="preserve">DE </w:t>
      </w:r>
      <w:r w:rsidR="00D434ED" w:rsidRPr="00D434ED">
        <w:rPr>
          <w:rFonts w:ascii="ITC Avant Garde" w:hAnsi="ITC Avant Garde"/>
          <w:i/>
          <w:sz w:val="22"/>
          <w:szCs w:val="22"/>
        </w:rPr>
        <w:t xml:space="preserve">GUÍA PARA LA PRESENTACIÓN DE DENUNCIAS </w:t>
      </w:r>
      <w:r w:rsidR="00C1003C">
        <w:rPr>
          <w:rFonts w:ascii="ITC Avant Garde" w:hAnsi="ITC Avant Garde"/>
          <w:i/>
          <w:sz w:val="22"/>
          <w:szCs w:val="22"/>
        </w:rPr>
        <w:t>DE</w:t>
      </w:r>
      <w:r w:rsidR="00D434ED" w:rsidRPr="00D434ED">
        <w:rPr>
          <w:rFonts w:ascii="ITC Avant Garde" w:hAnsi="ITC Avant Garde"/>
          <w:i/>
          <w:sz w:val="22"/>
          <w:szCs w:val="22"/>
        </w:rPr>
        <w:t xml:space="preserve"> PRÁCTICAS MONOPÓLICAS Y CONCENTRACIONES ILÍCITAS EN LOS SECTORES DE TELECOMUNICACIONES Y RADIODIFUSIÓN</w:t>
      </w:r>
      <w:r w:rsidR="00A32FDA" w:rsidRPr="00D434ED">
        <w:rPr>
          <w:rFonts w:ascii="ITC Avant Garde" w:hAnsi="ITC Avant Garde"/>
          <w:sz w:val="22"/>
          <w:szCs w:val="22"/>
        </w:rPr>
        <w:t>” (</w:t>
      </w:r>
      <w:r w:rsidR="00A32FDA" w:rsidRPr="000638B3">
        <w:rPr>
          <w:rFonts w:ascii="ITC Avant Garde" w:hAnsi="ITC Avant Garde"/>
          <w:sz w:val="22"/>
          <w:szCs w:val="22"/>
        </w:rPr>
        <w:t xml:space="preserve">Anexo </w:t>
      </w:r>
      <w:r w:rsidR="00850BFD">
        <w:rPr>
          <w:rFonts w:ascii="ITC Avant Garde" w:hAnsi="ITC Avant Garde"/>
          <w:sz w:val="22"/>
          <w:szCs w:val="22"/>
        </w:rPr>
        <w:t>ÚNICO</w:t>
      </w:r>
      <w:r w:rsidR="00A32FDA" w:rsidRPr="000638B3">
        <w:rPr>
          <w:rFonts w:ascii="ITC Avant Garde" w:hAnsi="ITC Avant Garde"/>
          <w:sz w:val="22"/>
          <w:szCs w:val="22"/>
        </w:rPr>
        <w:t>)</w:t>
      </w:r>
      <w:r w:rsidR="0001319F" w:rsidRPr="000638B3">
        <w:rPr>
          <w:rFonts w:ascii="ITC Avant Garde" w:hAnsi="ITC Avant Garde" w:cs="Tahoma"/>
          <w:bCs/>
          <w:sz w:val="22"/>
          <w:szCs w:val="22"/>
        </w:rPr>
        <w:t>,</w:t>
      </w:r>
      <w:r w:rsidR="003566DA">
        <w:rPr>
          <w:rFonts w:ascii="ITC Avant Garde" w:hAnsi="ITC Avant Garde" w:cs="Tahoma"/>
          <w:bCs/>
          <w:sz w:val="22"/>
          <w:szCs w:val="22"/>
        </w:rPr>
        <w:t xml:space="preserve"> </w:t>
      </w:r>
      <w:r w:rsidR="0001319F" w:rsidRPr="000638B3">
        <w:rPr>
          <w:rFonts w:ascii="ITC Avant Garde" w:hAnsi="ITC Avant Garde" w:cs="Tahoma"/>
          <w:bCs/>
          <w:sz w:val="22"/>
          <w:szCs w:val="22"/>
        </w:rPr>
        <w:t xml:space="preserve">por un </w:t>
      </w:r>
      <w:r w:rsidR="00D1467D">
        <w:rPr>
          <w:rFonts w:ascii="ITC Avant Garde" w:hAnsi="ITC Avant Garde" w:cs="Tahoma"/>
          <w:bCs/>
          <w:sz w:val="22"/>
          <w:szCs w:val="22"/>
        </w:rPr>
        <w:t>period</w:t>
      </w:r>
      <w:r w:rsidR="00D1467D" w:rsidRPr="000638B3">
        <w:rPr>
          <w:rFonts w:ascii="ITC Avant Garde" w:hAnsi="ITC Avant Garde" w:cs="Tahoma"/>
          <w:bCs/>
          <w:sz w:val="22"/>
          <w:szCs w:val="22"/>
        </w:rPr>
        <w:t xml:space="preserve">o </w:t>
      </w:r>
      <w:r w:rsidR="0001319F" w:rsidRPr="000638B3">
        <w:rPr>
          <w:rFonts w:ascii="ITC Avant Garde" w:hAnsi="ITC Avant Garde" w:cs="Tahoma"/>
          <w:bCs/>
          <w:sz w:val="22"/>
          <w:szCs w:val="22"/>
        </w:rPr>
        <w:t xml:space="preserve">de </w:t>
      </w:r>
      <w:r w:rsidR="00474313">
        <w:rPr>
          <w:rFonts w:ascii="ITC Avant Garde" w:hAnsi="ITC Avant Garde" w:cs="Tahoma"/>
          <w:bCs/>
          <w:sz w:val="22"/>
          <w:szCs w:val="22"/>
        </w:rPr>
        <w:t>treinta</w:t>
      </w:r>
      <w:r w:rsidR="0001319F" w:rsidRPr="000638B3">
        <w:rPr>
          <w:rFonts w:ascii="ITC Avant Garde" w:hAnsi="ITC Avant Garde" w:cs="Tahoma"/>
          <w:bCs/>
          <w:sz w:val="22"/>
          <w:szCs w:val="22"/>
        </w:rPr>
        <w:t xml:space="preserve"> </w:t>
      </w:r>
      <w:r w:rsidR="002205AE" w:rsidRPr="000638B3">
        <w:rPr>
          <w:rFonts w:ascii="ITC Avant Garde" w:hAnsi="ITC Avant Garde" w:cs="Tahoma"/>
          <w:bCs/>
          <w:sz w:val="22"/>
          <w:szCs w:val="22"/>
        </w:rPr>
        <w:t>días hábiles</w:t>
      </w:r>
      <w:r w:rsidR="00743E58" w:rsidRPr="000638B3">
        <w:rPr>
          <w:rFonts w:ascii="ITC Avant Garde" w:hAnsi="ITC Avant Garde" w:cs="Tahoma"/>
          <w:bCs/>
          <w:sz w:val="22"/>
          <w:szCs w:val="22"/>
        </w:rPr>
        <w:t>,</w:t>
      </w:r>
      <w:r w:rsidR="002205AE" w:rsidRPr="000638B3">
        <w:rPr>
          <w:rFonts w:ascii="ITC Avant Garde" w:hAnsi="ITC Avant Garde" w:cs="Tahoma"/>
          <w:bCs/>
          <w:sz w:val="22"/>
          <w:szCs w:val="22"/>
        </w:rPr>
        <w:t xml:space="preserve"> contados a partir del día </w:t>
      </w:r>
      <w:r w:rsidR="00283627">
        <w:rPr>
          <w:rFonts w:ascii="ITC Avant Garde" w:hAnsi="ITC Avant Garde" w:cs="Tahoma"/>
          <w:bCs/>
          <w:sz w:val="22"/>
          <w:szCs w:val="22"/>
        </w:rPr>
        <w:t>hábil siguiente a</w:t>
      </w:r>
      <w:r w:rsidR="002205AE" w:rsidRPr="000638B3">
        <w:rPr>
          <w:rFonts w:ascii="ITC Avant Garde" w:hAnsi="ITC Avant Garde" w:cs="Tahoma"/>
          <w:bCs/>
          <w:sz w:val="22"/>
          <w:szCs w:val="22"/>
        </w:rPr>
        <w:t xml:space="preserve"> </w:t>
      </w:r>
      <w:r w:rsidR="00CB5571">
        <w:rPr>
          <w:rFonts w:ascii="ITC Avant Garde" w:hAnsi="ITC Avant Garde" w:cs="Tahoma"/>
          <w:bCs/>
          <w:sz w:val="22"/>
          <w:szCs w:val="22"/>
        </w:rPr>
        <w:t xml:space="preserve">aquél en que se publique </w:t>
      </w:r>
      <w:r w:rsidR="00721CC0">
        <w:rPr>
          <w:rFonts w:ascii="ITC Avant Garde" w:hAnsi="ITC Avant Garde" w:cs="Tahoma"/>
          <w:bCs/>
          <w:sz w:val="22"/>
          <w:szCs w:val="22"/>
        </w:rPr>
        <w:t>el extracto</w:t>
      </w:r>
      <w:r w:rsidR="002205AE" w:rsidRPr="000638B3">
        <w:rPr>
          <w:rFonts w:ascii="ITC Avant Garde" w:hAnsi="ITC Avant Garde" w:cs="Tahoma"/>
          <w:bCs/>
          <w:sz w:val="22"/>
          <w:szCs w:val="22"/>
        </w:rPr>
        <w:t xml:space="preserve"> en el </w:t>
      </w:r>
      <w:r w:rsidR="00D1467D">
        <w:rPr>
          <w:rFonts w:ascii="ITC Avant Garde" w:hAnsi="ITC Avant Garde" w:cs="Tahoma"/>
          <w:bCs/>
          <w:sz w:val="22"/>
          <w:szCs w:val="22"/>
        </w:rPr>
        <w:t>Diario Oficial de la Federación</w:t>
      </w:r>
      <w:r w:rsidR="00704D8E">
        <w:rPr>
          <w:rFonts w:ascii="ITC Avant Garde" w:hAnsi="ITC Avant Garde" w:cs="Tahoma"/>
          <w:bCs/>
          <w:sz w:val="22"/>
          <w:szCs w:val="22"/>
        </w:rPr>
        <w:t>.</w:t>
      </w:r>
    </w:p>
    <w:p w14:paraId="3E5DFB72" w14:textId="0CEB5793" w:rsidR="0008012B" w:rsidRPr="00CE39D9" w:rsidRDefault="0008012B" w:rsidP="00545A41">
      <w:pPr>
        <w:autoSpaceDE w:val="0"/>
        <w:autoSpaceDN w:val="0"/>
        <w:adjustRightInd w:val="0"/>
        <w:spacing w:after="120" w:line="240" w:lineRule="auto"/>
        <w:jc w:val="both"/>
        <w:rPr>
          <w:rFonts w:ascii="ITC Avant Garde" w:hAnsi="ITC Avant Garde"/>
          <w:color w:val="000000"/>
        </w:rPr>
      </w:pPr>
      <w:r w:rsidRPr="000638B3">
        <w:rPr>
          <w:rFonts w:ascii="ITC Avant Garde" w:hAnsi="ITC Avant Garde" w:cs="Tahoma"/>
          <w:b/>
          <w:bCs/>
          <w:color w:val="000000"/>
          <w:lang w:eastAsia="es-MX"/>
        </w:rPr>
        <w:t>SEGUNDO.</w:t>
      </w:r>
      <w:r w:rsidRPr="000638B3">
        <w:rPr>
          <w:rFonts w:ascii="ITC Avant Garde" w:hAnsi="ITC Avant Garde" w:cs="Tahoma"/>
          <w:bCs/>
          <w:color w:val="000000"/>
          <w:lang w:eastAsia="es-MX"/>
        </w:rPr>
        <w:t xml:space="preserve"> </w:t>
      </w:r>
      <w:r w:rsidR="00283627" w:rsidRPr="00D311EA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 xml:space="preserve">Publíquese un extracto del </w:t>
      </w:r>
      <w:r w:rsidR="00152B64" w:rsidRPr="00D1772B">
        <w:rPr>
          <w:rFonts w:ascii="ITC Avant Garde" w:hAnsi="ITC Avant Garde"/>
          <w:i/>
        </w:rPr>
        <w:t xml:space="preserve">“ANTEPROYECTO </w:t>
      </w:r>
      <w:r w:rsidR="00152B64" w:rsidRPr="00D1772B">
        <w:rPr>
          <w:rFonts w:ascii="ITC Avant Garde" w:hAnsi="ITC Avant Garde"/>
          <w:bCs/>
          <w:i/>
        </w:rPr>
        <w:t>DE</w:t>
      </w:r>
      <w:r w:rsidR="00152B64">
        <w:rPr>
          <w:rFonts w:ascii="ITC Avant Garde" w:hAnsi="ITC Avant Garde"/>
          <w:i/>
        </w:rPr>
        <w:t xml:space="preserve"> GUÍA PARA LA PRESENTACIÓN DE DENUNCIAS </w:t>
      </w:r>
      <w:r w:rsidR="00C1003C">
        <w:rPr>
          <w:rFonts w:ascii="ITC Avant Garde" w:hAnsi="ITC Avant Garde"/>
          <w:i/>
        </w:rPr>
        <w:t xml:space="preserve">DE </w:t>
      </w:r>
      <w:r w:rsidR="00152B64">
        <w:rPr>
          <w:rFonts w:ascii="ITC Avant Garde" w:hAnsi="ITC Avant Garde"/>
          <w:i/>
        </w:rPr>
        <w:t xml:space="preserve">PRÁCTICAS MONOPÓLICAS Y CONCENTRACIONES ILÍCITAS EN LOS </w:t>
      </w:r>
      <w:r w:rsidR="00152B64">
        <w:rPr>
          <w:rFonts w:ascii="ITC Avant Garde" w:hAnsi="ITC Avant Garde"/>
          <w:i/>
        </w:rPr>
        <w:lastRenderedPageBreak/>
        <w:t>SECTORES DE TELECOMUNIC</w:t>
      </w:r>
      <w:bookmarkStart w:id="0" w:name="_GoBack"/>
      <w:bookmarkEnd w:id="0"/>
      <w:r w:rsidR="00152B64">
        <w:rPr>
          <w:rFonts w:ascii="ITC Avant Garde" w:hAnsi="ITC Avant Garde"/>
          <w:i/>
        </w:rPr>
        <w:t>ACIONES Y RADIODIFUSIÓN</w:t>
      </w:r>
      <w:r w:rsidR="00152B64" w:rsidRPr="00D1772B">
        <w:rPr>
          <w:rFonts w:ascii="ITC Avant Garde" w:hAnsi="ITC Avant Garde"/>
          <w:bCs/>
          <w:i/>
        </w:rPr>
        <w:t>”</w:t>
      </w:r>
      <w:r w:rsidR="003566DA">
        <w:rPr>
          <w:rFonts w:ascii="ITC Avant Garde" w:hAnsi="ITC Avant Garde"/>
          <w:bCs/>
        </w:rPr>
        <w:t xml:space="preserve">, </w:t>
      </w:r>
      <w:r w:rsidR="00283627" w:rsidRPr="00D311EA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 xml:space="preserve">en el </w:t>
      </w:r>
      <w:r w:rsidR="00D1467D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>Diario Oficial de la Federación</w:t>
      </w:r>
      <w:r w:rsidR="003A5842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 xml:space="preserve"> </w:t>
      </w:r>
      <w:r w:rsidR="00283627" w:rsidRPr="00D311EA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 xml:space="preserve">e íntegramente en el </w:t>
      </w:r>
      <w:r w:rsidR="00704D8E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 xml:space="preserve">portal </w:t>
      </w:r>
      <w:r w:rsidR="00283627" w:rsidRPr="00D311EA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>de Internet del Instituto</w:t>
      </w:r>
      <w:r w:rsidR="00D1467D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 xml:space="preserve"> Federal de Telecomunicaciones</w:t>
      </w:r>
      <w:r w:rsidR="00283627" w:rsidRPr="00D311EA">
        <w:rPr>
          <w:rFonts w:ascii="ITC Avant Garde" w:eastAsia="MS Mincho" w:hAnsi="ITC Avant Garde" w:cs="Times New Roman"/>
          <w:bCs/>
          <w:color w:val="000000"/>
          <w:lang w:val="es-ES_tradnl" w:eastAsia="es-MX"/>
        </w:rPr>
        <w:t>.</w:t>
      </w:r>
    </w:p>
    <w:p w14:paraId="750B68D3" w14:textId="03C3C1C4" w:rsidR="00F05BCC" w:rsidRDefault="00721CC0" w:rsidP="00F05BCC">
      <w:pPr>
        <w:spacing w:after="120" w:line="240" w:lineRule="auto"/>
        <w:jc w:val="both"/>
        <w:rPr>
          <w:rFonts w:ascii="ITC Avant Garde" w:hAnsi="ITC Avant Garde" w:cs="Tahoma"/>
          <w:bCs/>
          <w:color w:val="000000"/>
          <w:lang w:eastAsia="es-MX"/>
        </w:rPr>
      </w:pPr>
      <w:r w:rsidRPr="00D311EA">
        <w:rPr>
          <w:rFonts w:ascii="ITC Avant Garde" w:hAnsi="ITC Avant Garde" w:cs="Tahoma"/>
          <w:bCs/>
          <w:color w:val="000000"/>
          <w:lang w:eastAsia="es-MX"/>
        </w:rPr>
        <w:t>T</w:t>
      </w:r>
      <w:r w:rsidR="00152B64">
        <w:rPr>
          <w:rFonts w:ascii="ITC Avant Garde" w:hAnsi="ITC Avant Garde" w:cs="Tahoma"/>
          <w:b/>
          <w:bCs/>
          <w:color w:val="000000"/>
          <w:lang w:eastAsia="es-MX"/>
        </w:rPr>
        <w:t>ERCERO.</w:t>
      </w:r>
      <w:r w:rsidRPr="00D311EA">
        <w:rPr>
          <w:rFonts w:ascii="ITC Avant Garde" w:hAnsi="ITC Avant Garde" w:cs="Tahoma"/>
          <w:bCs/>
          <w:color w:val="000000"/>
          <w:lang w:eastAsia="es-MX"/>
        </w:rPr>
        <w:t xml:space="preserve"> </w:t>
      </w:r>
      <w:r w:rsidR="00210B0C">
        <w:rPr>
          <w:rFonts w:ascii="ITC Avant Garde" w:hAnsi="ITC Avant Garde" w:cs="Tahoma"/>
          <w:bCs/>
          <w:color w:val="000000"/>
          <w:lang w:eastAsia="es-MX"/>
        </w:rPr>
        <w:t>L</w:t>
      </w:r>
      <w:r w:rsidR="00283627" w:rsidRPr="000638B3">
        <w:rPr>
          <w:rFonts w:ascii="ITC Avant Garde" w:hAnsi="ITC Avant Garde" w:cs="Tahoma"/>
          <w:bCs/>
          <w:color w:val="000000"/>
          <w:lang w:eastAsia="es-MX"/>
        </w:rPr>
        <w:t>a Autoridad Investigadora</w:t>
      </w:r>
      <w:r w:rsidR="006D4FBB">
        <w:rPr>
          <w:rFonts w:ascii="ITC Avant Garde" w:hAnsi="ITC Avant Garde" w:cs="Tahoma"/>
          <w:bCs/>
          <w:color w:val="000000"/>
          <w:lang w:eastAsia="es-MX"/>
        </w:rPr>
        <w:t xml:space="preserve"> del Instituto</w:t>
      </w:r>
      <w:r w:rsidR="00283627" w:rsidRPr="000638B3">
        <w:rPr>
          <w:rFonts w:ascii="ITC Avant Garde" w:hAnsi="ITC Avant Garde" w:cs="Tahoma"/>
          <w:bCs/>
          <w:color w:val="000000"/>
          <w:lang w:eastAsia="es-MX"/>
        </w:rPr>
        <w:t>, en su calidad de área proponente, ejecut</w:t>
      </w:r>
      <w:r w:rsidR="00210B0C">
        <w:rPr>
          <w:rFonts w:ascii="ITC Avant Garde" w:hAnsi="ITC Avant Garde" w:cs="Tahoma"/>
          <w:bCs/>
          <w:color w:val="000000"/>
          <w:lang w:eastAsia="es-MX"/>
        </w:rPr>
        <w:t>ará</w:t>
      </w:r>
      <w:r w:rsidR="00D1467D">
        <w:rPr>
          <w:rFonts w:ascii="ITC Avant Garde" w:hAnsi="ITC Avant Garde" w:cs="Tahoma"/>
          <w:bCs/>
          <w:color w:val="000000"/>
          <w:lang w:eastAsia="es-MX"/>
        </w:rPr>
        <w:t xml:space="preserve"> y proces</w:t>
      </w:r>
      <w:r w:rsidR="00210B0C">
        <w:rPr>
          <w:rFonts w:ascii="ITC Avant Garde" w:hAnsi="ITC Avant Garde" w:cs="Tahoma"/>
          <w:bCs/>
          <w:color w:val="000000"/>
          <w:lang w:eastAsia="es-MX"/>
        </w:rPr>
        <w:t>ará</w:t>
      </w:r>
      <w:r w:rsidR="00283627" w:rsidRPr="000638B3">
        <w:rPr>
          <w:rFonts w:ascii="ITC Avant Garde" w:hAnsi="ITC Avant Garde" w:cs="Tahoma"/>
          <w:bCs/>
          <w:color w:val="000000"/>
          <w:lang w:eastAsia="es-MX"/>
        </w:rPr>
        <w:t xml:space="preserve"> la consulta pública materia del presente Acuerdo.</w:t>
      </w:r>
    </w:p>
    <w:p w14:paraId="399A3AD4" w14:textId="7CB6FC0C" w:rsidR="00A41349" w:rsidRDefault="00FA30A6" w:rsidP="00FA30A6">
      <w:pPr>
        <w:spacing w:after="0" w:line="240" w:lineRule="auto"/>
        <w:jc w:val="both"/>
        <w:rPr>
          <w:rFonts w:ascii="ITC Avant Garde" w:eastAsia="Times New Roman" w:hAnsi="ITC Avant Garde" w:cs="Arial"/>
          <w:b/>
          <w:bCs/>
          <w:lang w:val="es-ES" w:eastAsia="es-ES"/>
        </w:rPr>
      </w:pPr>
      <w:r w:rsidRPr="00FA30A6">
        <w:rPr>
          <w:rFonts w:ascii="ITC Avant Garde" w:hAnsi="ITC Avant Garde"/>
          <w:sz w:val="14"/>
          <w:szCs w:val="14"/>
          <w:lang w:eastAsia="es-MX"/>
        </w:rPr>
        <w:t xml:space="preserve">El presente Acuerdo fue aprobado por el Pleno del Instituto Federal de Telecomunicaciones en su XVII Sesión Ordinaria celebrada el 9 de mayo de 2018, </w:t>
      </w:r>
      <w:r w:rsidRPr="00FA30A6">
        <w:rPr>
          <w:rFonts w:ascii="ITC Avant Garde" w:hAnsi="ITC Avant Garde"/>
          <w:bCs/>
          <w:sz w:val="14"/>
          <w:szCs w:val="14"/>
          <w:lang w:eastAsia="es-MX"/>
        </w:rPr>
        <w:t>por</w:t>
      </w:r>
      <w:r w:rsidRPr="00FA30A6">
        <w:rPr>
          <w:rFonts w:ascii="ITC Avant Garde" w:hAnsi="ITC Avant Garde"/>
          <w:sz w:val="14"/>
          <w:szCs w:val="14"/>
          <w:lang w:eastAsia="es-MX"/>
        </w:rPr>
        <w:t xml:space="preserve"> </w:t>
      </w:r>
      <w:r w:rsidRPr="00FA30A6">
        <w:rPr>
          <w:rFonts w:ascii="ITC Avant Garde" w:hAnsi="ITC Avant Garde"/>
          <w:bCs/>
          <w:sz w:val="14"/>
          <w:szCs w:val="14"/>
          <w:lang w:eastAsia="es-MX"/>
        </w:rPr>
        <w:t>unanimidad</w:t>
      </w:r>
      <w:r w:rsidRPr="00FA30A6">
        <w:rPr>
          <w:rFonts w:ascii="ITC Avant Garde" w:hAnsi="ITC Avant Garde"/>
          <w:sz w:val="14"/>
          <w:szCs w:val="14"/>
          <w:lang w:eastAsia="es-MX"/>
        </w:rPr>
        <w:t xml:space="preserve"> de votos de los Comisionados Gabriel Oswaldo Contreras Saldívar, María Elena Estavillo Flores, Mario Germán Fromow Rangel, Adolfo Cuevas Teja, Javier Juárez Mojica, Arturo Robles Rovalo y Sóstenes Díaz González; con fundamento en los párrafos vigésimo, fracciones I y III; y vigésimo primero, del artículo 28 de la Constitución Política de los Estados Unidos Mexicanos; artículos 7, 16 y 45 de la Ley Federal de Telecomunicaciones y Radiodifusión; 5 y 18 de la Ley Federal de Competencia Económica; así como en los artículos 1, 7, 8 y 12 del Estatuto Orgánico del Instituto Federal de Telecomunicaciones, mediante Acuerdo P/IFT/090518/338.</w:t>
      </w:r>
    </w:p>
    <w:sectPr w:rsidR="00A41349" w:rsidSect="00FA30A6">
      <w:footerReference w:type="default" r:id="rId11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B0544" w14:textId="77777777" w:rsidR="002F23B8" w:rsidRDefault="002F23B8" w:rsidP="001C50B2">
      <w:pPr>
        <w:spacing w:after="0" w:line="240" w:lineRule="auto"/>
      </w:pPr>
      <w:r>
        <w:separator/>
      </w:r>
    </w:p>
  </w:endnote>
  <w:endnote w:type="continuationSeparator" w:id="0">
    <w:p w14:paraId="28B382E1" w14:textId="77777777" w:rsidR="002F23B8" w:rsidRDefault="002F23B8" w:rsidP="001C50B2">
      <w:pPr>
        <w:spacing w:after="0" w:line="240" w:lineRule="auto"/>
      </w:pPr>
      <w:r>
        <w:continuationSeparator/>
      </w:r>
    </w:p>
  </w:endnote>
  <w:endnote w:type="continuationNotice" w:id="1">
    <w:p w14:paraId="5AE6E7D2" w14:textId="77777777" w:rsidR="002F23B8" w:rsidRDefault="002F23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8927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5BBB98" w14:textId="123BD256" w:rsidR="00AD7A87" w:rsidRPr="00FA30A6" w:rsidRDefault="00AD7A87">
            <w:pPr>
              <w:pStyle w:val="Piedepgina"/>
              <w:jc w:val="right"/>
            </w:pPr>
            <w:r w:rsidRPr="00FA30A6">
              <w:rPr>
                <w:rFonts w:ascii="ITC Avant Garde" w:hAnsi="ITC Avant Garde"/>
                <w:sz w:val="16"/>
                <w:szCs w:val="16"/>
                <w:lang w:val="es-ES"/>
              </w:rPr>
              <w:t xml:space="preserve">Página </w:t>
            </w:r>
            <w:r w:rsidRPr="00FA30A6">
              <w:rPr>
                <w:rFonts w:ascii="ITC Avant Garde" w:hAnsi="ITC Avant Garde"/>
                <w:bCs/>
                <w:sz w:val="16"/>
                <w:szCs w:val="16"/>
              </w:rPr>
              <w:fldChar w:fldCharType="begin"/>
            </w:r>
            <w:r w:rsidRPr="00FA30A6">
              <w:rPr>
                <w:rFonts w:ascii="ITC Avant Garde" w:hAnsi="ITC Avant Garde"/>
                <w:bCs/>
                <w:sz w:val="16"/>
                <w:szCs w:val="16"/>
              </w:rPr>
              <w:instrText>PAGE</w:instrText>
            </w:r>
            <w:r w:rsidRPr="00FA30A6">
              <w:rPr>
                <w:rFonts w:ascii="ITC Avant Garde" w:hAnsi="ITC Avant Garde"/>
                <w:bCs/>
                <w:sz w:val="16"/>
                <w:szCs w:val="16"/>
              </w:rPr>
              <w:fldChar w:fldCharType="separate"/>
            </w:r>
            <w:r w:rsidR="00D87165">
              <w:rPr>
                <w:rFonts w:ascii="ITC Avant Garde" w:hAnsi="ITC Avant Garde"/>
                <w:bCs/>
                <w:noProof/>
                <w:sz w:val="16"/>
                <w:szCs w:val="16"/>
              </w:rPr>
              <w:t>2</w:t>
            </w:r>
            <w:r w:rsidRPr="00FA30A6">
              <w:rPr>
                <w:rFonts w:ascii="ITC Avant Garde" w:hAnsi="ITC Avant Garde"/>
                <w:bCs/>
                <w:sz w:val="16"/>
                <w:szCs w:val="16"/>
              </w:rPr>
              <w:fldChar w:fldCharType="end"/>
            </w:r>
            <w:r w:rsidRPr="00FA30A6">
              <w:rPr>
                <w:rFonts w:ascii="ITC Avant Garde" w:hAnsi="ITC Avant Garde"/>
                <w:sz w:val="16"/>
                <w:szCs w:val="16"/>
                <w:lang w:val="es-ES"/>
              </w:rPr>
              <w:t xml:space="preserve"> de </w:t>
            </w:r>
            <w:r w:rsidRPr="00FA30A6">
              <w:rPr>
                <w:rFonts w:ascii="ITC Avant Garde" w:hAnsi="ITC Avant Garde"/>
                <w:bCs/>
                <w:sz w:val="16"/>
                <w:szCs w:val="16"/>
              </w:rPr>
              <w:fldChar w:fldCharType="begin"/>
            </w:r>
            <w:r w:rsidRPr="00FA30A6">
              <w:rPr>
                <w:rFonts w:ascii="ITC Avant Garde" w:hAnsi="ITC Avant Garde"/>
                <w:bCs/>
                <w:sz w:val="16"/>
                <w:szCs w:val="16"/>
              </w:rPr>
              <w:instrText>NUMPAGES</w:instrText>
            </w:r>
            <w:r w:rsidRPr="00FA30A6">
              <w:rPr>
                <w:rFonts w:ascii="ITC Avant Garde" w:hAnsi="ITC Avant Garde"/>
                <w:bCs/>
                <w:sz w:val="16"/>
                <w:szCs w:val="16"/>
              </w:rPr>
              <w:fldChar w:fldCharType="separate"/>
            </w:r>
            <w:r w:rsidR="00D87165">
              <w:rPr>
                <w:rFonts w:ascii="ITC Avant Garde" w:hAnsi="ITC Avant Garde"/>
                <w:bCs/>
                <w:noProof/>
                <w:sz w:val="16"/>
                <w:szCs w:val="16"/>
              </w:rPr>
              <w:t>3</w:t>
            </w:r>
            <w:r w:rsidRPr="00FA30A6">
              <w:rPr>
                <w:rFonts w:ascii="ITC Avant Garde" w:hAnsi="ITC Avant Garde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4E239" w14:textId="77777777" w:rsidR="002F23B8" w:rsidRDefault="002F23B8" w:rsidP="001C50B2">
      <w:pPr>
        <w:spacing w:after="0" w:line="240" w:lineRule="auto"/>
      </w:pPr>
      <w:r>
        <w:separator/>
      </w:r>
    </w:p>
  </w:footnote>
  <w:footnote w:type="continuationSeparator" w:id="0">
    <w:p w14:paraId="5627D5C8" w14:textId="77777777" w:rsidR="002F23B8" w:rsidRDefault="002F23B8" w:rsidP="001C50B2">
      <w:pPr>
        <w:spacing w:after="0" w:line="240" w:lineRule="auto"/>
      </w:pPr>
      <w:r>
        <w:continuationSeparator/>
      </w:r>
    </w:p>
  </w:footnote>
  <w:footnote w:type="continuationNotice" w:id="1">
    <w:p w14:paraId="4C812AE5" w14:textId="77777777" w:rsidR="002F23B8" w:rsidRDefault="002F23B8">
      <w:pPr>
        <w:spacing w:after="0" w:line="240" w:lineRule="auto"/>
      </w:pPr>
    </w:p>
  </w:footnote>
  <w:footnote w:id="2">
    <w:p w14:paraId="6C6AB55B" w14:textId="0552CF24" w:rsidR="002436FD" w:rsidRPr="002436FD" w:rsidRDefault="002436FD">
      <w:pPr>
        <w:pStyle w:val="Textonotapie"/>
        <w:rPr>
          <w:rFonts w:ascii="ITC Avant Garde" w:hAnsi="ITC Avant Garde"/>
          <w:sz w:val="16"/>
          <w:szCs w:val="16"/>
        </w:rPr>
      </w:pPr>
      <w:r w:rsidRPr="002436FD">
        <w:rPr>
          <w:rStyle w:val="Refdenotaalpie"/>
          <w:rFonts w:ascii="ITC Avant Garde" w:hAnsi="ITC Avant Garde"/>
          <w:sz w:val="16"/>
          <w:szCs w:val="16"/>
        </w:rPr>
        <w:footnoteRef/>
      </w:r>
      <w:r w:rsidRPr="002436FD">
        <w:rPr>
          <w:rFonts w:ascii="ITC Avant Garde" w:hAnsi="ITC Avant Garde"/>
          <w:sz w:val="16"/>
          <w:szCs w:val="16"/>
        </w:rPr>
        <w:t xml:space="preserve"> Publicada en el Diario Oficial de la Federación (DOF) el catorce de julio de dos mil catorce.</w:t>
      </w:r>
    </w:p>
  </w:footnote>
  <w:footnote w:id="3">
    <w:p w14:paraId="5B4D7822" w14:textId="4B4E16AA" w:rsidR="002436FD" w:rsidRPr="002436FD" w:rsidRDefault="002436FD">
      <w:pPr>
        <w:pStyle w:val="Textonotapie"/>
        <w:rPr>
          <w:rFonts w:ascii="ITC Avant Garde" w:hAnsi="ITC Avant Garde"/>
          <w:sz w:val="16"/>
          <w:szCs w:val="16"/>
        </w:rPr>
      </w:pPr>
      <w:r w:rsidRPr="002436FD">
        <w:rPr>
          <w:rStyle w:val="Refdenotaalpie"/>
          <w:rFonts w:ascii="ITC Avant Garde" w:hAnsi="ITC Avant Garde"/>
          <w:sz w:val="16"/>
          <w:szCs w:val="16"/>
        </w:rPr>
        <w:footnoteRef/>
      </w:r>
      <w:r w:rsidRPr="002436FD">
        <w:rPr>
          <w:rFonts w:ascii="ITC Avant Garde" w:hAnsi="ITC Avant Garde"/>
          <w:sz w:val="16"/>
          <w:szCs w:val="16"/>
        </w:rPr>
        <w:t xml:space="preserve"> Publicada en el DOF el veintitrés de mayo de dos mil catorce.</w:t>
      </w:r>
    </w:p>
  </w:footnote>
  <w:footnote w:id="4">
    <w:p w14:paraId="04752A09" w14:textId="7DF3CB3C" w:rsidR="002436FD" w:rsidRPr="002436FD" w:rsidRDefault="002436FD">
      <w:pPr>
        <w:pStyle w:val="Textonotapie"/>
        <w:rPr>
          <w:rFonts w:ascii="ITC Avant Garde" w:hAnsi="ITC Avant Garde"/>
          <w:sz w:val="16"/>
          <w:szCs w:val="16"/>
        </w:rPr>
      </w:pPr>
      <w:r w:rsidRPr="002436FD">
        <w:rPr>
          <w:rStyle w:val="Refdenotaalpie"/>
          <w:rFonts w:ascii="ITC Avant Garde" w:hAnsi="ITC Avant Garde"/>
          <w:sz w:val="16"/>
          <w:szCs w:val="16"/>
        </w:rPr>
        <w:footnoteRef/>
      </w:r>
      <w:r w:rsidRPr="002436FD">
        <w:rPr>
          <w:rFonts w:ascii="ITC Avant Garde" w:hAnsi="ITC Avant Garde"/>
          <w:sz w:val="16"/>
          <w:szCs w:val="16"/>
        </w:rPr>
        <w:t xml:space="preserve"> Publicadas en el DOF el doce de enero de dos mil quince.</w:t>
      </w:r>
    </w:p>
  </w:footnote>
  <w:footnote w:id="5">
    <w:p w14:paraId="452BA912" w14:textId="0EBFBE5F" w:rsidR="002436FD" w:rsidRDefault="002436FD">
      <w:pPr>
        <w:pStyle w:val="Textonotapie"/>
      </w:pPr>
      <w:r w:rsidRPr="002436FD">
        <w:rPr>
          <w:rStyle w:val="Refdenotaalpie"/>
          <w:rFonts w:ascii="ITC Avant Garde" w:hAnsi="ITC Avant Garde"/>
          <w:sz w:val="16"/>
          <w:szCs w:val="16"/>
        </w:rPr>
        <w:footnoteRef/>
      </w:r>
      <w:r w:rsidRPr="002436FD">
        <w:rPr>
          <w:rFonts w:ascii="ITC Avant Garde" w:hAnsi="ITC Avant Garde"/>
          <w:sz w:val="16"/>
          <w:szCs w:val="16"/>
        </w:rPr>
        <w:t xml:space="preserve"> Publicado en el DOF el cuatro de septiembre de dos mil catorce.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2630"/>
    <w:multiLevelType w:val="hybridMultilevel"/>
    <w:tmpl w:val="1A00E1A0"/>
    <w:lvl w:ilvl="0" w:tplc="5BC88A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F4986"/>
    <w:multiLevelType w:val="hybridMultilevel"/>
    <w:tmpl w:val="62B88296"/>
    <w:lvl w:ilvl="0" w:tplc="30E2C7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A0752"/>
    <w:multiLevelType w:val="hybridMultilevel"/>
    <w:tmpl w:val="D9D8C958"/>
    <w:lvl w:ilvl="0" w:tplc="B3E4B4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B0"/>
    <w:rsid w:val="00005E06"/>
    <w:rsid w:val="0001319F"/>
    <w:rsid w:val="00032E14"/>
    <w:rsid w:val="00043E59"/>
    <w:rsid w:val="00050110"/>
    <w:rsid w:val="0005415C"/>
    <w:rsid w:val="00056352"/>
    <w:rsid w:val="0005721E"/>
    <w:rsid w:val="000625E1"/>
    <w:rsid w:val="000638B3"/>
    <w:rsid w:val="0007012A"/>
    <w:rsid w:val="00075691"/>
    <w:rsid w:val="0008012B"/>
    <w:rsid w:val="00082140"/>
    <w:rsid w:val="000917ED"/>
    <w:rsid w:val="000965BD"/>
    <w:rsid w:val="000A2488"/>
    <w:rsid w:val="000A45B2"/>
    <w:rsid w:val="000C481C"/>
    <w:rsid w:val="000C5A3A"/>
    <w:rsid w:val="000D00FA"/>
    <w:rsid w:val="000D2C0F"/>
    <w:rsid w:val="000D5177"/>
    <w:rsid w:val="000D7E6E"/>
    <w:rsid w:val="000E5529"/>
    <w:rsid w:val="000F14FB"/>
    <w:rsid w:val="00101078"/>
    <w:rsid w:val="00101B30"/>
    <w:rsid w:val="001061F6"/>
    <w:rsid w:val="00110676"/>
    <w:rsid w:val="001112C9"/>
    <w:rsid w:val="00111F7A"/>
    <w:rsid w:val="001235A1"/>
    <w:rsid w:val="00123BFC"/>
    <w:rsid w:val="00123CF6"/>
    <w:rsid w:val="00141126"/>
    <w:rsid w:val="001454A5"/>
    <w:rsid w:val="00146CB5"/>
    <w:rsid w:val="0015186E"/>
    <w:rsid w:val="00152B64"/>
    <w:rsid w:val="0015391F"/>
    <w:rsid w:val="0016314E"/>
    <w:rsid w:val="00171B34"/>
    <w:rsid w:val="00181981"/>
    <w:rsid w:val="001838BA"/>
    <w:rsid w:val="001859DC"/>
    <w:rsid w:val="001864B5"/>
    <w:rsid w:val="00193044"/>
    <w:rsid w:val="001A2462"/>
    <w:rsid w:val="001A6E7D"/>
    <w:rsid w:val="001B7729"/>
    <w:rsid w:val="001C354A"/>
    <w:rsid w:val="001C46E9"/>
    <w:rsid w:val="001C50B2"/>
    <w:rsid w:val="001C5115"/>
    <w:rsid w:val="001C7230"/>
    <w:rsid w:val="001D03EB"/>
    <w:rsid w:val="001E481B"/>
    <w:rsid w:val="001E5050"/>
    <w:rsid w:val="001E641E"/>
    <w:rsid w:val="001E7532"/>
    <w:rsid w:val="001E7912"/>
    <w:rsid w:val="001F2C1A"/>
    <w:rsid w:val="001F6D34"/>
    <w:rsid w:val="00205DFA"/>
    <w:rsid w:val="00210B0C"/>
    <w:rsid w:val="002132A7"/>
    <w:rsid w:val="002205AE"/>
    <w:rsid w:val="002220E5"/>
    <w:rsid w:val="0022632E"/>
    <w:rsid w:val="00227804"/>
    <w:rsid w:val="00231F8A"/>
    <w:rsid w:val="002361DB"/>
    <w:rsid w:val="00236EB6"/>
    <w:rsid w:val="002436FD"/>
    <w:rsid w:val="00244C6A"/>
    <w:rsid w:val="00251BB2"/>
    <w:rsid w:val="00252C7E"/>
    <w:rsid w:val="00253102"/>
    <w:rsid w:val="00255C24"/>
    <w:rsid w:val="002630D2"/>
    <w:rsid w:val="00267A5F"/>
    <w:rsid w:val="00273026"/>
    <w:rsid w:val="0028282F"/>
    <w:rsid w:val="00283627"/>
    <w:rsid w:val="00286D32"/>
    <w:rsid w:val="002B5F8C"/>
    <w:rsid w:val="002C57CD"/>
    <w:rsid w:val="002E3197"/>
    <w:rsid w:val="002F23B8"/>
    <w:rsid w:val="00300823"/>
    <w:rsid w:val="0030346C"/>
    <w:rsid w:val="00311B8F"/>
    <w:rsid w:val="0031489F"/>
    <w:rsid w:val="003166E7"/>
    <w:rsid w:val="0032308A"/>
    <w:rsid w:val="003374DB"/>
    <w:rsid w:val="00340471"/>
    <w:rsid w:val="0034389F"/>
    <w:rsid w:val="00343FB5"/>
    <w:rsid w:val="00345EE8"/>
    <w:rsid w:val="00350191"/>
    <w:rsid w:val="003519E5"/>
    <w:rsid w:val="003552B3"/>
    <w:rsid w:val="003566DA"/>
    <w:rsid w:val="00357D8A"/>
    <w:rsid w:val="00362D19"/>
    <w:rsid w:val="00365277"/>
    <w:rsid w:val="00374984"/>
    <w:rsid w:val="00393356"/>
    <w:rsid w:val="003941B6"/>
    <w:rsid w:val="00396941"/>
    <w:rsid w:val="003A47A4"/>
    <w:rsid w:val="003A5842"/>
    <w:rsid w:val="003B5CC9"/>
    <w:rsid w:val="003C22F5"/>
    <w:rsid w:val="003C4506"/>
    <w:rsid w:val="003D1A58"/>
    <w:rsid w:val="003D1DC0"/>
    <w:rsid w:val="003E5A86"/>
    <w:rsid w:val="003F26A4"/>
    <w:rsid w:val="003F5868"/>
    <w:rsid w:val="00404ADB"/>
    <w:rsid w:val="004062A6"/>
    <w:rsid w:val="00410398"/>
    <w:rsid w:val="004165DF"/>
    <w:rsid w:val="00431EFD"/>
    <w:rsid w:val="004333F7"/>
    <w:rsid w:val="00441C6C"/>
    <w:rsid w:val="0044749B"/>
    <w:rsid w:val="00454212"/>
    <w:rsid w:val="00462359"/>
    <w:rsid w:val="00474313"/>
    <w:rsid w:val="00475DD4"/>
    <w:rsid w:val="00480677"/>
    <w:rsid w:val="00481676"/>
    <w:rsid w:val="004A4BFD"/>
    <w:rsid w:val="004B1830"/>
    <w:rsid w:val="004B2EED"/>
    <w:rsid w:val="004C1065"/>
    <w:rsid w:val="004C74C2"/>
    <w:rsid w:val="004D1C25"/>
    <w:rsid w:val="004D2189"/>
    <w:rsid w:val="004F3040"/>
    <w:rsid w:val="004F4F31"/>
    <w:rsid w:val="004F5102"/>
    <w:rsid w:val="004F6D29"/>
    <w:rsid w:val="005001DC"/>
    <w:rsid w:val="00500CED"/>
    <w:rsid w:val="00501CBC"/>
    <w:rsid w:val="00501CCC"/>
    <w:rsid w:val="0050265D"/>
    <w:rsid w:val="00506576"/>
    <w:rsid w:val="005137F3"/>
    <w:rsid w:val="00513DBF"/>
    <w:rsid w:val="005239CE"/>
    <w:rsid w:val="00545A41"/>
    <w:rsid w:val="005668CE"/>
    <w:rsid w:val="00571BDE"/>
    <w:rsid w:val="005724C8"/>
    <w:rsid w:val="00577656"/>
    <w:rsid w:val="005A0F8B"/>
    <w:rsid w:val="005A1584"/>
    <w:rsid w:val="005A467B"/>
    <w:rsid w:val="005C4063"/>
    <w:rsid w:val="005E1978"/>
    <w:rsid w:val="005F00D3"/>
    <w:rsid w:val="005F2F00"/>
    <w:rsid w:val="005F46B1"/>
    <w:rsid w:val="005F57D4"/>
    <w:rsid w:val="00604FA0"/>
    <w:rsid w:val="00613469"/>
    <w:rsid w:val="006139C3"/>
    <w:rsid w:val="00615D0F"/>
    <w:rsid w:val="00644837"/>
    <w:rsid w:val="00644CA7"/>
    <w:rsid w:val="00651FD9"/>
    <w:rsid w:val="00656B43"/>
    <w:rsid w:val="00657357"/>
    <w:rsid w:val="00662160"/>
    <w:rsid w:val="006814D7"/>
    <w:rsid w:val="00682B82"/>
    <w:rsid w:val="00684E01"/>
    <w:rsid w:val="00696B82"/>
    <w:rsid w:val="006A1192"/>
    <w:rsid w:val="006A1920"/>
    <w:rsid w:val="006A3A9D"/>
    <w:rsid w:val="006C2F1D"/>
    <w:rsid w:val="006D4FBB"/>
    <w:rsid w:val="006E0CF8"/>
    <w:rsid w:val="006E4978"/>
    <w:rsid w:val="006E5FB0"/>
    <w:rsid w:val="006E69CE"/>
    <w:rsid w:val="0070224C"/>
    <w:rsid w:val="007031D7"/>
    <w:rsid w:val="007044D6"/>
    <w:rsid w:val="00704D8E"/>
    <w:rsid w:val="007060CF"/>
    <w:rsid w:val="00713343"/>
    <w:rsid w:val="00714F50"/>
    <w:rsid w:val="00721CC0"/>
    <w:rsid w:val="00724618"/>
    <w:rsid w:val="007322D8"/>
    <w:rsid w:val="007324E6"/>
    <w:rsid w:val="00732B06"/>
    <w:rsid w:val="00732FE8"/>
    <w:rsid w:val="007349EF"/>
    <w:rsid w:val="00735B04"/>
    <w:rsid w:val="00735F22"/>
    <w:rsid w:val="00743E58"/>
    <w:rsid w:val="00750507"/>
    <w:rsid w:val="007569FD"/>
    <w:rsid w:val="00770650"/>
    <w:rsid w:val="007813A8"/>
    <w:rsid w:val="00783275"/>
    <w:rsid w:val="0078602A"/>
    <w:rsid w:val="00787949"/>
    <w:rsid w:val="00791828"/>
    <w:rsid w:val="007922D7"/>
    <w:rsid w:val="00792EB9"/>
    <w:rsid w:val="007A0433"/>
    <w:rsid w:val="007A1207"/>
    <w:rsid w:val="007B61BC"/>
    <w:rsid w:val="007C214E"/>
    <w:rsid w:val="007C233F"/>
    <w:rsid w:val="007D1992"/>
    <w:rsid w:val="007D5E43"/>
    <w:rsid w:val="007E4221"/>
    <w:rsid w:val="007E4DF6"/>
    <w:rsid w:val="008006AA"/>
    <w:rsid w:val="008053B0"/>
    <w:rsid w:val="00813A48"/>
    <w:rsid w:val="00815518"/>
    <w:rsid w:val="008159A9"/>
    <w:rsid w:val="008265D8"/>
    <w:rsid w:val="00827731"/>
    <w:rsid w:val="00835F89"/>
    <w:rsid w:val="008367B1"/>
    <w:rsid w:val="00850BFD"/>
    <w:rsid w:val="0085128A"/>
    <w:rsid w:val="008528D9"/>
    <w:rsid w:val="00853757"/>
    <w:rsid w:val="0086004E"/>
    <w:rsid w:val="008618B1"/>
    <w:rsid w:val="008651ED"/>
    <w:rsid w:val="008663B2"/>
    <w:rsid w:val="00867A56"/>
    <w:rsid w:val="008710C5"/>
    <w:rsid w:val="00873E9D"/>
    <w:rsid w:val="0087726F"/>
    <w:rsid w:val="00882D2D"/>
    <w:rsid w:val="008B4BF1"/>
    <w:rsid w:val="008B6905"/>
    <w:rsid w:val="008D1C09"/>
    <w:rsid w:val="008E1351"/>
    <w:rsid w:val="008E395B"/>
    <w:rsid w:val="008E3C88"/>
    <w:rsid w:val="008F10FD"/>
    <w:rsid w:val="009013B3"/>
    <w:rsid w:val="00907C44"/>
    <w:rsid w:val="00914BC1"/>
    <w:rsid w:val="009210DA"/>
    <w:rsid w:val="00923F31"/>
    <w:rsid w:val="0092617A"/>
    <w:rsid w:val="009270D5"/>
    <w:rsid w:val="0092733A"/>
    <w:rsid w:val="00932A0E"/>
    <w:rsid w:val="0093427B"/>
    <w:rsid w:val="009379A2"/>
    <w:rsid w:val="0096118A"/>
    <w:rsid w:val="00963167"/>
    <w:rsid w:val="0096488C"/>
    <w:rsid w:val="009653D7"/>
    <w:rsid w:val="009660C1"/>
    <w:rsid w:val="009700B3"/>
    <w:rsid w:val="0097250C"/>
    <w:rsid w:val="0097428F"/>
    <w:rsid w:val="00975511"/>
    <w:rsid w:val="009767FF"/>
    <w:rsid w:val="00991B29"/>
    <w:rsid w:val="009934B4"/>
    <w:rsid w:val="0099412D"/>
    <w:rsid w:val="009A0801"/>
    <w:rsid w:val="009A0DCD"/>
    <w:rsid w:val="009A1B60"/>
    <w:rsid w:val="009A563A"/>
    <w:rsid w:val="009C0279"/>
    <w:rsid w:val="009D67BA"/>
    <w:rsid w:val="009E536F"/>
    <w:rsid w:val="009E7FAA"/>
    <w:rsid w:val="009F1D9F"/>
    <w:rsid w:val="00A00E15"/>
    <w:rsid w:val="00A0251D"/>
    <w:rsid w:val="00A049D5"/>
    <w:rsid w:val="00A051F7"/>
    <w:rsid w:val="00A10F81"/>
    <w:rsid w:val="00A122C8"/>
    <w:rsid w:val="00A1237F"/>
    <w:rsid w:val="00A136D5"/>
    <w:rsid w:val="00A14155"/>
    <w:rsid w:val="00A145A2"/>
    <w:rsid w:val="00A14719"/>
    <w:rsid w:val="00A22128"/>
    <w:rsid w:val="00A32FDA"/>
    <w:rsid w:val="00A41349"/>
    <w:rsid w:val="00A463A4"/>
    <w:rsid w:val="00A620EC"/>
    <w:rsid w:val="00A701DA"/>
    <w:rsid w:val="00A706C7"/>
    <w:rsid w:val="00A72E3A"/>
    <w:rsid w:val="00A7559F"/>
    <w:rsid w:val="00A80E20"/>
    <w:rsid w:val="00A80F90"/>
    <w:rsid w:val="00A81AFB"/>
    <w:rsid w:val="00A81BFA"/>
    <w:rsid w:val="00A876CA"/>
    <w:rsid w:val="00A9666E"/>
    <w:rsid w:val="00A968EC"/>
    <w:rsid w:val="00AB124C"/>
    <w:rsid w:val="00AB5824"/>
    <w:rsid w:val="00AB731B"/>
    <w:rsid w:val="00AC27D8"/>
    <w:rsid w:val="00AC54B2"/>
    <w:rsid w:val="00AD204F"/>
    <w:rsid w:val="00AD47C0"/>
    <w:rsid w:val="00AD7A87"/>
    <w:rsid w:val="00AE61D4"/>
    <w:rsid w:val="00AF4958"/>
    <w:rsid w:val="00B01A0D"/>
    <w:rsid w:val="00B11180"/>
    <w:rsid w:val="00B13C60"/>
    <w:rsid w:val="00B16B4A"/>
    <w:rsid w:val="00B16B51"/>
    <w:rsid w:val="00B229A2"/>
    <w:rsid w:val="00B26507"/>
    <w:rsid w:val="00B26EAF"/>
    <w:rsid w:val="00B37A10"/>
    <w:rsid w:val="00B6051F"/>
    <w:rsid w:val="00B61003"/>
    <w:rsid w:val="00B815D8"/>
    <w:rsid w:val="00B93DAE"/>
    <w:rsid w:val="00BA2E32"/>
    <w:rsid w:val="00BC29F8"/>
    <w:rsid w:val="00BE1945"/>
    <w:rsid w:val="00BF22F4"/>
    <w:rsid w:val="00BF57BF"/>
    <w:rsid w:val="00C06D24"/>
    <w:rsid w:val="00C1003C"/>
    <w:rsid w:val="00C10718"/>
    <w:rsid w:val="00C130FF"/>
    <w:rsid w:val="00C14597"/>
    <w:rsid w:val="00C20A68"/>
    <w:rsid w:val="00C20F2A"/>
    <w:rsid w:val="00C34C7B"/>
    <w:rsid w:val="00C459F4"/>
    <w:rsid w:val="00C54339"/>
    <w:rsid w:val="00C62CB2"/>
    <w:rsid w:val="00C678D2"/>
    <w:rsid w:val="00C7018C"/>
    <w:rsid w:val="00C9292A"/>
    <w:rsid w:val="00C95FA1"/>
    <w:rsid w:val="00CA49A4"/>
    <w:rsid w:val="00CB49A0"/>
    <w:rsid w:val="00CB5571"/>
    <w:rsid w:val="00CB589D"/>
    <w:rsid w:val="00CB639B"/>
    <w:rsid w:val="00CE39D9"/>
    <w:rsid w:val="00CF0C3D"/>
    <w:rsid w:val="00CF0F90"/>
    <w:rsid w:val="00CF3FE4"/>
    <w:rsid w:val="00CF74A4"/>
    <w:rsid w:val="00D01FBC"/>
    <w:rsid w:val="00D04229"/>
    <w:rsid w:val="00D1339E"/>
    <w:rsid w:val="00D1467D"/>
    <w:rsid w:val="00D15E50"/>
    <w:rsid w:val="00D16223"/>
    <w:rsid w:val="00D1772B"/>
    <w:rsid w:val="00D20C26"/>
    <w:rsid w:val="00D21B1B"/>
    <w:rsid w:val="00D21E7A"/>
    <w:rsid w:val="00D3515E"/>
    <w:rsid w:val="00D417B4"/>
    <w:rsid w:val="00D434ED"/>
    <w:rsid w:val="00D507B1"/>
    <w:rsid w:val="00D61895"/>
    <w:rsid w:val="00D64285"/>
    <w:rsid w:val="00D65A06"/>
    <w:rsid w:val="00D73837"/>
    <w:rsid w:val="00D756C5"/>
    <w:rsid w:val="00D85364"/>
    <w:rsid w:val="00D87165"/>
    <w:rsid w:val="00D92CB2"/>
    <w:rsid w:val="00D9482E"/>
    <w:rsid w:val="00D978BA"/>
    <w:rsid w:val="00D97C40"/>
    <w:rsid w:val="00D97EEA"/>
    <w:rsid w:val="00DA0260"/>
    <w:rsid w:val="00DA323F"/>
    <w:rsid w:val="00DB10CB"/>
    <w:rsid w:val="00DB70C0"/>
    <w:rsid w:val="00DC15FE"/>
    <w:rsid w:val="00DD077C"/>
    <w:rsid w:val="00DE32E4"/>
    <w:rsid w:val="00DE3E80"/>
    <w:rsid w:val="00DE68D4"/>
    <w:rsid w:val="00DE6AC3"/>
    <w:rsid w:val="00DF209C"/>
    <w:rsid w:val="00E135DA"/>
    <w:rsid w:val="00E16D5F"/>
    <w:rsid w:val="00E17C81"/>
    <w:rsid w:val="00E2231C"/>
    <w:rsid w:val="00E26E57"/>
    <w:rsid w:val="00E30016"/>
    <w:rsid w:val="00E3230B"/>
    <w:rsid w:val="00E3600A"/>
    <w:rsid w:val="00E56287"/>
    <w:rsid w:val="00E56455"/>
    <w:rsid w:val="00E647AB"/>
    <w:rsid w:val="00E80442"/>
    <w:rsid w:val="00E97282"/>
    <w:rsid w:val="00EA30E6"/>
    <w:rsid w:val="00EA64BF"/>
    <w:rsid w:val="00EC1127"/>
    <w:rsid w:val="00EC2241"/>
    <w:rsid w:val="00EC3702"/>
    <w:rsid w:val="00EC609B"/>
    <w:rsid w:val="00EC7311"/>
    <w:rsid w:val="00ED20CE"/>
    <w:rsid w:val="00EE0122"/>
    <w:rsid w:val="00EE29D9"/>
    <w:rsid w:val="00EE34B6"/>
    <w:rsid w:val="00EE7C39"/>
    <w:rsid w:val="00EF0D9B"/>
    <w:rsid w:val="00EF3F77"/>
    <w:rsid w:val="00EF4EC0"/>
    <w:rsid w:val="00EF4F81"/>
    <w:rsid w:val="00F05BCC"/>
    <w:rsid w:val="00F225EE"/>
    <w:rsid w:val="00F26A2D"/>
    <w:rsid w:val="00F33F99"/>
    <w:rsid w:val="00F36DEF"/>
    <w:rsid w:val="00F40AC9"/>
    <w:rsid w:val="00F44E98"/>
    <w:rsid w:val="00F50934"/>
    <w:rsid w:val="00F5182C"/>
    <w:rsid w:val="00F55A7D"/>
    <w:rsid w:val="00F57134"/>
    <w:rsid w:val="00F60170"/>
    <w:rsid w:val="00F6060C"/>
    <w:rsid w:val="00F62054"/>
    <w:rsid w:val="00F66ECC"/>
    <w:rsid w:val="00F7682E"/>
    <w:rsid w:val="00F84245"/>
    <w:rsid w:val="00F86B70"/>
    <w:rsid w:val="00F91109"/>
    <w:rsid w:val="00F91B5C"/>
    <w:rsid w:val="00FA30A6"/>
    <w:rsid w:val="00FA511F"/>
    <w:rsid w:val="00FA791F"/>
    <w:rsid w:val="00FB2B2D"/>
    <w:rsid w:val="00FB3251"/>
    <w:rsid w:val="00FC16E5"/>
    <w:rsid w:val="00FC3CDF"/>
    <w:rsid w:val="00FC409D"/>
    <w:rsid w:val="00FE1E5C"/>
    <w:rsid w:val="00FE2B10"/>
    <w:rsid w:val="00FE67DD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D2D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7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71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OMANOS">
    <w:name w:val="ROMANOS"/>
    <w:basedOn w:val="Normal"/>
    <w:link w:val="ROMANOSCar"/>
    <w:rsid w:val="0008012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_tradnl" w:eastAsia="es-ES"/>
    </w:rPr>
  </w:style>
  <w:style w:type="paragraph" w:customStyle="1" w:styleId="Default">
    <w:name w:val="Default"/>
    <w:rsid w:val="0008012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es-MX"/>
    </w:rPr>
  </w:style>
  <w:style w:type="character" w:customStyle="1" w:styleId="ROMANOSCar">
    <w:name w:val="ROMANOS Car"/>
    <w:link w:val="ROMANOS"/>
    <w:locked/>
    <w:rsid w:val="0008012B"/>
    <w:rPr>
      <w:rFonts w:ascii="Arial" w:eastAsia="Times New Roman" w:hAnsi="Arial" w:cs="Arial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unhideWhenUsed/>
    <w:rsid w:val="00A81B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1B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1BF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BFA"/>
    <w:rPr>
      <w:rFonts w:ascii="Segoe UI" w:hAnsi="Segoe UI" w:cs="Segoe UI"/>
      <w:sz w:val="18"/>
      <w:szCs w:val="18"/>
    </w:rPr>
  </w:style>
  <w:style w:type="character" w:styleId="Refdenotaalpie">
    <w:name w:val="footnote reference"/>
    <w:aliases w:val="Ref,de nota al pie,(NECG) Footnote Reference,o,fr,Style 3,Appel note de bas de p,Style 12,Style 124"/>
    <w:basedOn w:val="Fuentedeprrafopredeter"/>
    <w:uiPriority w:val="99"/>
    <w:unhideWhenUsed/>
    <w:qFormat/>
    <w:rsid w:val="00732FE8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732F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32FE8"/>
  </w:style>
  <w:style w:type="paragraph" w:styleId="Prrafodelista">
    <w:name w:val="List Paragraph"/>
    <w:aliases w:val="Llista Nivell1,Lista de nivel 1"/>
    <w:basedOn w:val="Normal"/>
    <w:link w:val="PrrafodelistaCar"/>
    <w:uiPriority w:val="34"/>
    <w:qFormat/>
    <w:rsid w:val="00F50934"/>
    <w:pPr>
      <w:ind w:left="720"/>
      <w:contextualSpacing/>
    </w:pPr>
  </w:style>
  <w:style w:type="paragraph" w:customStyle="1" w:styleId="Texto">
    <w:name w:val="Texto"/>
    <w:basedOn w:val="Normal"/>
    <w:link w:val="TextoCar"/>
    <w:rsid w:val="00F5093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F50934"/>
    <w:rPr>
      <w:rFonts w:ascii="Arial" w:eastAsia="Times New Roman" w:hAnsi="Arial" w:cs="Arial"/>
      <w:sz w:val="18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46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46B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04AD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C5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0B2"/>
  </w:style>
  <w:style w:type="paragraph" w:styleId="Piedepgina">
    <w:name w:val="footer"/>
    <w:basedOn w:val="Normal"/>
    <w:link w:val="PiedepginaCar"/>
    <w:uiPriority w:val="99"/>
    <w:unhideWhenUsed/>
    <w:rsid w:val="001C5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0B2"/>
  </w:style>
  <w:style w:type="character" w:customStyle="1" w:styleId="apple-converted-space">
    <w:name w:val="apple-converted-space"/>
    <w:basedOn w:val="Fuentedeprrafopredeter"/>
    <w:rsid w:val="00454212"/>
  </w:style>
  <w:style w:type="paragraph" w:styleId="Textonotapie">
    <w:name w:val="footnote text"/>
    <w:basedOn w:val="Normal"/>
    <w:link w:val="TextonotapieCar"/>
    <w:uiPriority w:val="99"/>
    <w:semiHidden/>
    <w:unhideWhenUsed/>
    <w:rsid w:val="00AD7A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7A87"/>
    <w:rPr>
      <w:sz w:val="20"/>
      <w:szCs w:val="20"/>
    </w:rPr>
  </w:style>
  <w:style w:type="character" w:customStyle="1" w:styleId="PieAbreviatura">
    <w:name w:val="Pie Abreviatura"/>
    <w:uiPriority w:val="1"/>
    <w:qFormat/>
    <w:rsid w:val="007A0433"/>
    <w:rPr>
      <w:rFonts w:ascii="ITC Avant Garde" w:hAnsi="ITC Avant Garde" w:cs="Arial"/>
      <w:smallCaps/>
      <w:sz w:val="16"/>
      <w:szCs w:val="16"/>
    </w:rPr>
  </w:style>
  <w:style w:type="character" w:customStyle="1" w:styleId="PrrafodelistaCar">
    <w:name w:val="Párrafo de lista Car"/>
    <w:aliases w:val="Llista Nivell1 Car,Lista de nivel 1 Car"/>
    <w:link w:val="Prrafodelista"/>
    <w:uiPriority w:val="34"/>
    <w:rsid w:val="0050265D"/>
  </w:style>
  <w:style w:type="table" w:styleId="Tablaconcuadrcula">
    <w:name w:val="Table Grid"/>
    <w:basedOn w:val="Tablanormal"/>
    <w:uiPriority w:val="59"/>
    <w:rsid w:val="003E5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71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871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9B726321B4A3448B30A47EA8E28E9E" ma:contentTypeVersion="0" ma:contentTypeDescription="Crear nuevo documento." ma:contentTypeScope="" ma:versionID="851f5ed8c775fa9975fc8daba841f4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e1db60988e2dac20ac50170a786a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5C3C-7742-4427-9765-823DD4647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6FF496-26F6-413A-BA24-23C18439BD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913309-8DEC-4E1D-A2C2-0302BF802A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A1BAB-2617-4359-99A7-3979351C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2018-07-04T00:20:00Z</dcterms:created>
  <dcterms:modified xsi:type="dcterms:W3CDTF">2018-07-04T15:41:00Z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0x0101001F9B726321B4A3448B30A47EA8E28E9E</vt:lpwstr>
  </property>
</Properties>
</file>