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193" w:rsidRPr="00052452" w:rsidRDefault="008A7193" w:rsidP="008A7193">
      <w:pPr>
        <w:pStyle w:val="Ttulo1"/>
        <w:jc w:val="both"/>
        <w:rPr>
          <w:rFonts w:ascii="ITC Avant Garde" w:hAnsi="ITC Avant Garde"/>
          <w:b/>
          <w:color w:val="auto"/>
          <w:sz w:val="22"/>
          <w:szCs w:val="22"/>
        </w:rPr>
      </w:pPr>
      <w:r w:rsidRPr="00052452">
        <w:rPr>
          <w:rFonts w:ascii="ITC Avant Garde" w:hAnsi="ITC Avant Garde"/>
          <w:b/>
          <w:color w:val="auto"/>
          <w:sz w:val="22"/>
          <w:szCs w:val="22"/>
        </w:rPr>
        <w:t>ACUERDO MEDIANTE EL CUAL EL PLENO DEL INSTITUTO FEDERAL DE TELECOMUNICACIONES DETERMINA SOMETER A CONSULTA PÚBLICA EL “ANTEPROYECTO DE LINEAMIENTOS DE CONSULTA PÚBLICA Y ANÁLISIS DE IMPACTO REGULATORIO DEL INSTITUTO FEDERAL DE TELECOMUNICACIONES”.</w:t>
      </w:r>
    </w:p>
    <w:p w:rsidR="008A7193" w:rsidRPr="006C48AE" w:rsidRDefault="008A7193" w:rsidP="008A7193">
      <w:pPr>
        <w:spacing w:after="0" w:line="240" w:lineRule="auto"/>
        <w:ind w:right="-285"/>
        <w:jc w:val="both"/>
        <w:rPr>
          <w:rFonts w:ascii="ITC Avant Garde" w:hAnsi="ITC Avant Garde" w:cs="Arial"/>
          <w:b/>
        </w:rPr>
      </w:pPr>
    </w:p>
    <w:p w:rsidR="008A7193" w:rsidRPr="00052452" w:rsidRDefault="008A7193" w:rsidP="008A7193">
      <w:pPr>
        <w:pStyle w:val="Ttulo2"/>
        <w:jc w:val="center"/>
        <w:rPr>
          <w:rFonts w:ascii="ITC Avant Garde" w:eastAsia="Times New Roman" w:hAnsi="ITC Avant Garde"/>
          <w:b/>
          <w:color w:val="auto"/>
          <w:kern w:val="2"/>
          <w:sz w:val="22"/>
          <w:szCs w:val="22"/>
          <w:lang w:eastAsia="ar-SA"/>
        </w:rPr>
      </w:pPr>
      <w:r w:rsidRPr="00052452">
        <w:rPr>
          <w:rFonts w:ascii="ITC Avant Garde" w:eastAsia="Times New Roman" w:hAnsi="ITC Avant Garde"/>
          <w:b/>
          <w:color w:val="auto"/>
          <w:kern w:val="2"/>
          <w:sz w:val="22"/>
          <w:szCs w:val="22"/>
          <w:lang w:eastAsia="ar-SA"/>
        </w:rPr>
        <w:t>ANTECEDENTES</w:t>
      </w:r>
    </w:p>
    <w:p w:rsidR="008A7193" w:rsidRPr="006C48AE" w:rsidRDefault="008A7193" w:rsidP="008A7193">
      <w:pPr>
        <w:suppressAutoHyphens/>
        <w:spacing w:after="0" w:line="240" w:lineRule="auto"/>
        <w:jc w:val="both"/>
        <w:rPr>
          <w:rFonts w:ascii="ITC Avant Garde" w:eastAsia="Times New Roman" w:hAnsi="ITC Avant Garde"/>
          <w:b/>
          <w:kern w:val="2"/>
          <w:lang w:eastAsia="ar-SA"/>
        </w:rPr>
      </w:pPr>
    </w:p>
    <w:p w:rsidR="008A7193" w:rsidRPr="006C48AE" w:rsidRDefault="008A7193" w:rsidP="008A7193">
      <w:pPr>
        <w:numPr>
          <w:ilvl w:val="0"/>
          <w:numId w:val="2"/>
        </w:numPr>
        <w:tabs>
          <w:tab w:val="num" w:pos="284"/>
        </w:tabs>
        <w:suppressAutoHyphens/>
        <w:spacing w:after="0" w:line="240" w:lineRule="auto"/>
        <w:ind w:left="0" w:firstLine="0"/>
        <w:jc w:val="both"/>
        <w:rPr>
          <w:rFonts w:ascii="ITC Avant Garde" w:eastAsia="Times New Roman" w:hAnsi="ITC Avant Garde"/>
          <w:kern w:val="2"/>
          <w:lang w:val="es-ES" w:eastAsia="ar-SA"/>
        </w:rPr>
      </w:pPr>
      <w:r w:rsidRPr="006C48AE">
        <w:rPr>
          <w:rFonts w:ascii="ITC Avant Garde" w:eastAsia="Times New Roman" w:hAnsi="ITC Avant Garde"/>
          <w:kern w:val="2"/>
          <w:lang w:eastAsia="ar-SA"/>
        </w:rPr>
        <w:t>El 5 de septiembre de 1990, México ratificó el Convenio 169 de la Organización Internacional del Trabajo sobre Pueblos Indígenas y Tribales en países independientes (en lo sucesivo, el “Convenio OIT 169”), el cual se encuentra en vigor actualmente. Dicho Convenio exige que los pueblos indígenas y tribales sean consultados de manera informada, previa y libre en los procesos de desarrollo y de formulación de políticas que los afectan.</w:t>
      </w:r>
    </w:p>
    <w:p w:rsidR="008A7193" w:rsidRPr="006C48AE" w:rsidRDefault="008A7193" w:rsidP="008A7193">
      <w:pPr>
        <w:tabs>
          <w:tab w:val="num" w:pos="284"/>
        </w:tabs>
        <w:suppressAutoHyphens/>
        <w:spacing w:after="0" w:line="240" w:lineRule="auto"/>
        <w:jc w:val="both"/>
        <w:rPr>
          <w:rFonts w:ascii="ITC Avant Garde" w:eastAsia="Times New Roman" w:hAnsi="ITC Avant Garde"/>
          <w:kern w:val="2"/>
          <w:lang w:val="es-ES" w:eastAsia="ar-SA"/>
        </w:rPr>
      </w:pPr>
    </w:p>
    <w:p w:rsidR="008A7193" w:rsidRPr="006C48AE" w:rsidRDefault="008A7193" w:rsidP="008A7193">
      <w:pPr>
        <w:numPr>
          <w:ilvl w:val="0"/>
          <w:numId w:val="2"/>
        </w:numPr>
        <w:tabs>
          <w:tab w:val="num" w:pos="284"/>
        </w:tabs>
        <w:suppressAutoHyphens/>
        <w:spacing w:after="0" w:line="240" w:lineRule="auto"/>
        <w:ind w:left="0" w:firstLine="0"/>
        <w:jc w:val="both"/>
        <w:rPr>
          <w:rFonts w:ascii="ITC Avant Garde" w:eastAsia="Times New Roman" w:hAnsi="ITC Avant Garde"/>
          <w:kern w:val="2"/>
          <w:lang w:val="es-ES" w:eastAsia="ar-SA"/>
        </w:rPr>
      </w:pPr>
      <w:r w:rsidRPr="006C48AE">
        <w:rPr>
          <w:rFonts w:ascii="ITC Avant Garde" w:eastAsia="Times New Roman" w:hAnsi="ITC Avant Garde"/>
          <w:kern w:val="2"/>
          <w:lang w:val="es-ES" w:eastAsia="ar-SA"/>
        </w:rPr>
        <w:t>El 11 de junio de 2013, fue publicado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de Reforma Constitucional”)</w:t>
      </w:r>
      <w:r w:rsidRPr="006C48AE">
        <w:rPr>
          <w:rFonts w:ascii="ITC Avant Garde" w:hAnsi="ITC Avant Garde"/>
          <w:kern w:val="2"/>
          <w:lang w:val="es-ES" w:eastAsia="ar-SA"/>
        </w:rPr>
        <w:t>.</w:t>
      </w:r>
    </w:p>
    <w:p w:rsidR="008A7193" w:rsidRPr="006C48AE" w:rsidRDefault="008A7193" w:rsidP="008A7193">
      <w:pPr>
        <w:tabs>
          <w:tab w:val="num" w:pos="284"/>
        </w:tabs>
        <w:spacing w:after="0" w:line="240" w:lineRule="auto"/>
        <w:contextualSpacing/>
        <w:rPr>
          <w:rFonts w:ascii="ITC Avant Garde" w:eastAsia="Times New Roman" w:hAnsi="ITC Avant Garde"/>
          <w:lang w:val="es-ES" w:eastAsia="es-ES"/>
        </w:rPr>
      </w:pPr>
    </w:p>
    <w:p w:rsidR="008A7193" w:rsidRPr="006C48AE" w:rsidRDefault="008A7193" w:rsidP="008A7193">
      <w:pPr>
        <w:numPr>
          <w:ilvl w:val="0"/>
          <w:numId w:val="2"/>
        </w:numPr>
        <w:tabs>
          <w:tab w:val="num" w:pos="284"/>
        </w:tabs>
        <w:suppressAutoHyphens/>
        <w:spacing w:after="0" w:line="240" w:lineRule="auto"/>
        <w:ind w:left="0" w:firstLine="0"/>
        <w:jc w:val="both"/>
        <w:rPr>
          <w:rFonts w:ascii="ITC Avant Garde" w:eastAsia="Times New Roman" w:hAnsi="ITC Avant Garde"/>
          <w:kern w:val="2"/>
          <w:lang w:val="es-ES" w:eastAsia="ar-SA"/>
        </w:rPr>
      </w:pPr>
      <w:r w:rsidRPr="006C48AE">
        <w:rPr>
          <w:rFonts w:ascii="ITC Avant Garde" w:eastAsia="Times New Roman" w:hAnsi="ITC Avant Garde"/>
          <w:kern w:val="2"/>
          <w:lang w:eastAsia="ar-SA"/>
        </w:rPr>
        <w:t>El 23 de mayo de 2014, se publicó en el DOF la Ley Federal de Competencia Económica (en lo sucesivo, la “LFCE”), la cual señala en su artículo 5 que el Instituto Federal de Telecomunicaciones (en lo sucesivo, el “Instituto”) será la autoridad en materia de competencia económica de los sectores de radiodifusión y telecomunicaciones, por lo que en éstos ejercerá en forma exclusiva las facultades que el artículo 28 de la Constitución Política de los Estados Unidos Mexicanos (en lo sucesivo, la “Constitución”) y las leyes establecen para la Comisión Federal de Competencia Económica.</w:t>
      </w:r>
    </w:p>
    <w:p w:rsidR="008A7193" w:rsidRPr="006C48AE" w:rsidRDefault="008A7193" w:rsidP="008A7193">
      <w:pPr>
        <w:tabs>
          <w:tab w:val="num" w:pos="284"/>
        </w:tabs>
        <w:suppressAutoHyphens/>
        <w:spacing w:after="0" w:line="240" w:lineRule="auto"/>
        <w:jc w:val="both"/>
        <w:rPr>
          <w:rFonts w:ascii="ITC Avant Garde" w:eastAsia="Times New Roman" w:hAnsi="ITC Avant Garde"/>
          <w:kern w:val="2"/>
          <w:lang w:val="es-ES" w:eastAsia="ar-SA"/>
        </w:rPr>
      </w:pPr>
    </w:p>
    <w:p w:rsidR="008A7193" w:rsidRPr="006C48AE" w:rsidRDefault="008A7193" w:rsidP="008A7193">
      <w:pPr>
        <w:numPr>
          <w:ilvl w:val="0"/>
          <w:numId w:val="2"/>
        </w:numPr>
        <w:tabs>
          <w:tab w:val="num" w:pos="284"/>
        </w:tabs>
        <w:suppressAutoHyphens/>
        <w:spacing w:after="0" w:line="240" w:lineRule="auto"/>
        <w:ind w:left="0" w:firstLine="0"/>
        <w:jc w:val="both"/>
        <w:rPr>
          <w:rFonts w:ascii="ITC Avant Garde" w:eastAsia="Times New Roman" w:hAnsi="ITC Avant Garde"/>
          <w:kern w:val="2"/>
          <w:lang w:val="es-ES" w:eastAsia="ar-SA"/>
        </w:rPr>
      </w:pPr>
      <w:r w:rsidRPr="006C48AE">
        <w:rPr>
          <w:rFonts w:ascii="ITC Avant Garde" w:eastAsia="Times New Roman" w:hAnsi="ITC Avant Garde"/>
          <w:kern w:val="2"/>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la “LFTR”), mismo que de conformidad con el artículo Primero Transitorio entró en vigor 30 días naturales siguientes a su publicación, es decir, el 13 de agosto de 2014.</w:t>
      </w:r>
    </w:p>
    <w:p w:rsidR="008A7193" w:rsidRPr="006C48AE" w:rsidRDefault="008A7193" w:rsidP="008A7193">
      <w:pPr>
        <w:tabs>
          <w:tab w:val="num" w:pos="284"/>
        </w:tabs>
        <w:suppressAutoHyphens/>
        <w:spacing w:after="0" w:line="240" w:lineRule="auto"/>
        <w:jc w:val="both"/>
        <w:rPr>
          <w:rFonts w:ascii="ITC Avant Garde" w:eastAsia="Times New Roman" w:hAnsi="ITC Avant Garde"/>
          <w:kern w:val="2"/>
          <w:lang w:val="es-ES" w:eastAsia="ar-SA"/>
        </w:rPr>
      </w:pPr>
    </w:p>
    <w:p w:rsidR="008A7193" w:rsidRPr="006C48AE" w:rsidRDefault="008A7193" w:rsidP="008A7193">
      <w:pPr>
        <w:numPr>
          <w:ilvl w:val="0"/>
          <w:numId w:val="2"/>
        </w:numPr>
        <w:tabs>
          <w:tab w:val="num" w:pos="284"/>
        </w:tabs>
        <w:suppressAutoHyphens/>
        <w:spacing w:after="0" w:line="240" w:lineRule="auto"/>
        <w:ind w:left="0" w:firstLine="0"/>
        <w:jc w:val="both"/>
        <w:rPr>
          <w:rFonts w:ascii="ITC Avant Garde" w:eastAsia="Times New Roman" w:hAnsi="ITC Avant Garde"/>
          <w:kern w:val="2"/>
          <w:lang w:val="es-ES" w:eastAsia="ar-SA"/>
        </w:rPr>
      </w:pPr>
      <w:r w:rsidRPr="006C48AE">
        <w:rPr>
          <w:rFonts w:ascii="ITC Avant Garde" w:eastAsia="Times New Roman" w:hAnsi="ITC Avant Garde"/>
          <w:kern w:val="2"/>
          <w:lang w:val="es-ES" w:eastAsia="ar-SA"/>
        </w:rPr>
        <w:t>El 4 de septiembre de 2014, se publicó en el DOF el “Estatuto Orgánico del Instituto Federal de Telecomunicaciones” (en lo sucesivo, el “Estatuto”), el cual se modificó por diverso acuerdo publicado en el mismo medio de difusión el 17 de octubre del mismo mes y año.</w:t>
      </w:r>
    </w:p>
    <w:p w:rsidR="008A7193" w:rsidRPr="006C48AE" w:rsidRDefault="008A7193" w:rsidP="008A7193">
      <w:pPr>
        <w:tabs>
          <w:tab w:val="num" w:pos="284"/>
        </w:tabs>
        <w:suppressAutoHyphens/>
        <w:spacing w:after="0" w:line="240" w:lineRule="auto"/>
        <w:jc w:val="both"/>
        <w:rPr>
          <w:rFonts w:ascii="ITC Avant Garde" w:eastAsia="Times New Roman" w:hAnsi="ITC Avant Garde"/>
          <w:kern w:val="2"/>
          <w:lang w:val="es-ES" w:eastAsia="ar-SA"/>
        </w:rPr>
      </w:pPr>
    </w:p>
    <w:p w:rsidR="008A7193" w:rsidRPr="006C48AE" w:rsidRDefault="008A7193" w:rsidP="008A7193">
      <w:pPr>
        <w:numPr>
          <w:ilvl w:val="0"/>
          <w:numId w:val="2"/>
        </w:numPr>
        <w:tabs>
          <w:tab w:val="num" w:pos="284"/>
        </w:tabs>
        <w:suppressAutoHyphens/>
        <w:spacing w:after="0" w:line="240" w:lineRule="auto"/>
        <w:ind w:left="0" w:firstLine="0"/>
        <w:jc w:val="both"/>
        <w:rPr>
          <w:rFonts w:ascii="ITC Avant Garde" w:eastAsia="Times New Roman" w:hAnsi="ITC Avant Garde"/>
          <w:kern w:val="2"/>
          <w:lang w:val="es-ES" w:eastAsia="ar-SA"/>
        </w:rPr>
      </w:pPr>
      <w:r w:rsidRPr="006C48AE">
        <w:rPr>
          <w:rFonts w:ascii="ITC Avant Garde" w:eastAsia="Times New Roman" w:hAnsi="ITC Avant Garde"/>
          <w:kern w:val="2"/>
          <w:lang w:eastAsia="ar-SA"/>
        </w:rPr>
        <w:lastRenderedPageBreak/>
        <w:t xml:space="preserve">El 12 de enero de 2015, se publicó en el DOF el Acuerdo mediante el cual el Pleno del Instituto Federal de Telecomunicaciones expide las Disposiciones Regulatorias de la Ley Federal de Competencia Económica para los sectores de telecomunicaciones y radiodifusión, el cual en su artículo 189 señala que el procedimiento de consulta pública para la elaboración y expedición de las disposiciones regulatorias a que se refiere el artículo 12, fracción XXII, de la LFCE </w:t>
      </w:r>
      <w:r>
        <w:rPr>
          <w:rFonts w:ascii="ITC Avant Garde" w:eastAsia="Times New Roman" w:hAnsi="ITC Avant Garde"/>
          <w:kern w:val="2"/>
          <w:lang w:eastAsia="ar-SA"/>
        </w:rPr>
        <w:t xml:space="preserve"> </w:t>
      </w:r>
      <w:r w:rsidRPr="006C48AE">
        <w:rPr>
          <w:rFonts w:ascii="ITC Avant Garde" w:eastAsia="Times New Roman" w:hAnsi="ITC Avant Garde"/>
          <w:kern w:val="2"/>
          <w:lang w:eastAsia="ar-SA"/>
        </w:rPr>
        <w:t xml:space="preserve"> se realizará conforme a los criterios que para tal efecto emita el Pleno del Instituto (en lo sucesivo, el “Pleno”).</w:t>
      </w:r>
    </w:p>
    <w:p w:rsidR="008A7193" w:rsidRPr="006C48AE" w:rsidRDefault="008A7193" w:rsidP="008A7193">
      <w:pPr>
        <w:suppressAutoHyphens/>
        <w:spacing w:after="0" w:line="240" w:lineRule="auto"/>
        <w:jc w:val="both"/>
        <w:rPr>
          <w:rFonts w:ascii="ITC Avant Garde" w:eastAsia="Times New Roman" w:hAnsi="ITC Avant Garde"/>
          <w:kern w:val="2"/>
          <w:lang w:val="es-ES" w:eastAsia="ar-SA"/>
        </w:rPr>
      </w:pPr>
    </w:p>
    <w:p w:rsidR="008A7193" w:rsidRDefault="008A7193" w:rsidP="008A7193">
      <w:pPr>
        <w:suppressAutoHyphens/>
        <w:spacing w:after="0" w:line="240" w:lineRule="auto"/>
        <w:jc w:val="both"/>
        <w:rPr>
          <w:rFonts w:ascii="ITC Avant Garde" w:eastAsia="Times New Roman" w:hAnsi="ITC Avant Garde"/>
          <w:kern w:val="2"/>
          <w:lang w:eastAsia="ar-SA"/>
        </w:rPr>
      </w:pPr>
      <w:r w:rsidRPr="006C48AE">
        <w:rPr>
          <w:rFonts w:ascii="ITC Avant Garde" w:eastAsia="Times New Roman" w:hAnsi="ITC Avant Garde"/>
          <w:kern w:val="2"/>
          <w:lang w:eastAsia="ar-SA"/>
        </w:rPr>
        <w:t>En atención a los antecedentes mencionados y,</w:t>
      </w:r>
    </w:p>
    <w:p w:rsidR="008A7193" w:rsidRPr="006C48AE" w:rsidRDefault="008A7193" w:rsidP="008A7193">
      <w:pPr>
        <w:suppressAutoHyphens/>
        <w:spacing w:after="0" w:line="240" w:lineRule="auto"/>
        <w:jc w:val="both"/>
        <w:rPr>
          <w:rFonts w:ascii="ITC Avant Garde" w:eastAsia="Times New Roman" w:hAnsi="ITC Avant Garde"/>
          <w:kern w:val="2"/>
          <w:lang w:eastAsia="ar-SA"/>
        </w:rPr>
      </w:pPr>
    </w:p>
    <w:p w:rsidR="008A7193" w:rsidRPr="00052452" w:rsidRDefault="008A7193" w:rsidP="008A7193">
      <w:pPr>
        <w:pStyle w:val="Ttulo3"/>
        <w:jc w:val="center"/>
        <w:rPr>
          <w:rFonts w:ascii="ITC Avant Garde" w:hAnsi="ITC Avant Garde" w:cs="TimesNewRomanPS-BoldMT"/>
          <w:b/>
          <w:bCs/>
          <w:color w:val="000000"/>
          <w:sz w:val="22"/>
          <w:szCs w:val="22"/>
        </w:rPr>
      </w:pPr>
      <w:r w:rsidRPr="00052452">
        <w:rPr>
          <w:rFonts w:ascii="ITC Avant Garde" w:hAnsi="ITC Avant Garde" w:cs="TimesNewRomanPS-BoldMT"/>
          <w:b/>
          <w:bCs/>
          <w:color w:val="000000"/>
          <w:sz w:val="22"/>
          <w:szCs w:val="22"/>
        </w:rPr>
        <w:t>CONSIDERANDO</w:t>
      </w:r>
    </w:p>
    <w:p w:rsidR="008A7193" w:rsidRDefault="008A7193" w:rsidP="008A7193">
      <w:pPr>
        <w:autoSpaceDE w:val="0"/>
        <w:autoSpaceDN w:val="0"/>
        <w:adjustRightInd w:val="0"/>
        <w:spacing w:after="0" w:line="240" w:lineRule="auto"/>
        <w:jc w:val="center"/>
        <w:rPr>
          <w:rFonts w:ascii="ITC Avant Garde" w:hAnsi="ITC Avant Garde" w:cs="TimesNewRomanPS-BoldMT"/>
          <w:b/>
          <w:bCs/>
          <w:color w:val="000000"/>
        </w:rPr>
      </w:pPr>
    </w:p>
    <w:p w:rsidR="008A7193" w:rsidRPr="006C48AE" w:rsidRDefault="008A7193" w:rsidP="008A7193">
      <w:pPr>
        <w:suppressAutoHyphens/>
        <w:spacing w:after="0" w:line="240" w:lineRule="auto"/>
        <w:ind w:right="-62"/>
        <w:jc w:val="both"/>
        <w:rPr>
          <w:rFonts w:ascii="ITC Avant Garde" w:eastAsia="Times New Roman" w:hAnsi="ITC Avant Garde"/>
          <w:kern w:val="1"/>
          <w:lang w:val="es-ES" w:eastAsia="ar-SA"/>
        </w:rPr>
      </w:pPr>
      <w:r w:rsidRPr="006C48AE">
        <w:rPr>
          <w:rFonts w:ascii="ITC Avant Garde" w:hAnsi="ITC Avant Garde" w:cs="TimesNewRomanPS-BoldMT"/>
          <w:b/>
          <w:bCs/>
          <w:color w:val="000000"/>
        </w:rPr>
        <w:t xml:space="preserve">PRIMERO.- </w:t>
      </w:r>
      <w:r w:rsidRPr="006C48AE">
        <w:rPr>
          <w:rFonts w:ascii="ITC Avant Garde" w:eastAsia="Times New Roman" w:hAnsi="ITC Avant Garde"/>
          <w:kern w:val="1"/>
          <w:lang w:val="es-ES" w:eastAsia="ar-SA"/>
        </w:rPr>
        <w:t xml:space="preserve">De 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rsidR="008A7193" w:rsidRPr="006C48AE" w:rsidRDefault="008A7193" w:rsidP="008A7193">
      <w:pPr>
        <w:suppressAutoHyphens/>
        <w:spacing w:after="0" w:line="240" w:lineRule="auto"/>
        <w:ind w:right="-62"/>
        <w:jc w:val="both"/>
        <w:rPr>
          <w:rFonts w:ascii="ITC Avant Garde" w:eastAsia="Times New Roman" w:hAnsi="ITC Avant Garde"/>
          <w:kern w:val="1"/>
          <w:lang w:val="es-ES" w:eastAsia="ar-SA"/>
        </w:rPr>
      </w:pPr>
    </w:p>
    <w:p w:rsidR="008A7193" w:rsidRPr="006C48AE" w:rsidRDefault="008A7193" w:rsidP="008A7193">
      <w:pPr>
        <w:suppressAutoHyphens/>
        <w:spacing w:after="0" w:line="240" w:lineRule="auto"/>
        <w:ind w:right="-62"/>
        <w:jc w:val="both"/>
        <w:rPr>
          <w:rFonts w:ascii="ITC Avant Garde" w:eastAsia="Times New Roman" w:hAnsi="ITC Avant Garde"/>
          <w:kern w:val="1"/>
          <w:lang w:val="es-ES" w:eastAsia="ar-SA"/>
        </w:rPr>
      </w:pPr>
      <w:r w:rsidRPr="006C48AE">
        <w:rPr>
          <w:rFonts w:ascii="ITC Avant Garde" w:eastAsia="Times New Roman" w:hAnsi="ITC Avant Garde"/>
          <w:kern w:val="1"/>
          <w:lang w:val="es-ES" w:eastAsia="ar-SA"/>
        </w:rPr>
        <w:t>Para tal efecto, en términos del precepto constitucional invocado, así como de los artículos 1o. y 7o.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rsidR="008A7193" w:rsidRPr="006C48AE" w:rsidRDefault="008A7193" w:rsidP="008A7193">
      <w:pPr>
        <w:suppressAutoHyphens/>
        <w:spacing w:after="0" w:line="240" w:lineRule="auto"/>
        <w:ind w:right="-62"/>
        <w:jc w:val="both"/>
        <w:rPr>
          <w:rFonts w:ascii="ITC Avant Garde" w:eastAsia="Times New Roman" w:hAnsi="ITC Avant Garde"/>
          <w:kern w:val="1"/>
          <w:lang w:eastAsia="ar-SA"/>
        </w:rPr>
      </w:pPr>
    </w:p>
    <w:p w:rsidR="008A7193" w:rsidRPr="006C48AE" w:rsidRDefault="008A7193" w:rsidP="008A7193">
      <w:pPr>
        <w:suppressAutoHyphens/>
        <w:spacing w:after="0" w:line="240" w:lineRule="auto"/>
        <w:ind w:right="-62"/>
        <w:jc w:val="both"/>
        <w:rPr>
          <w:rFonts w:ascii="ITC Avant Garde" w:eastAsia="Times New Roman" w:hAnsi="ITC Avant Garde"/>
          <w:kern w:val="1"/>
          <w:lang w:eastAsia="ar-SA"/>
        </w:rPr>
      </w:pPr>
      <w:r w:rsidRPr="006C48AE">
        <w:rPr>
          <w:rFonts w:ascii="ITC Avant Garde" w:eastAsia="Times New Roman" w:hAnsi="ITC Avant Garde"/>
          <w:kern w:val="1"/>
          <w:lang w:eastAsia="ar-SA"/>
        </w:rPr>
        <w:t>Asimismo, el Instituto es también la autoridad en materia de competencia económica de los sectores de radiodifusión y telecomunicaciones, por lo que en éstos ejercerá en forma exclusiva las facultades del artículo 28 de la Constitución, la LFTR y la LFCE.</w:t>
      </w:r>
    </w:p>
    <w:p w:rsidR="008A7193" w:rsidRPr="006C48AE" w:rsidRDefault="008A7193" w:rsidP="008A7193">
      <w:pPr>
        <w:suppressAutoHyphens/>
        <w:spacing w:after="0" w:line="240" w:lineRule="auto"/>
        <w:ind w:right="-62"/>
        <w:jc w:val="both"/>
        <w:rPr>
          <w:rFonts w:ascii="ITC Avant Garde" w:eastAsia="Times New Roman" w:hAnsi="ITC Avant Garde"/>
          <w:kern w:val="1"/>
          <w:lang w:eastAsia="ar-SA"/>
        </w:rPr>
      </w:pPr>
    </w:p>
    <w:p w:rsidR="008A7193" w:rsidRPr="006C48AE" w:rsidRDefault="008A7193" w:rsidP="008A7193">
      <w:pPr>
        <w:suppressAutoHyphens/>
        <w:spacing w:after="0" w:line="240" w:lineRule="auto"/>
        <w:ind w:right="-62"/>
        <w:jc w:val="both"/>
        <w:rPr>
          <w:rFonts w:ascii="ITC Avant Garde" w:eastAsia="Times New Roman" w:hAnsi="ITC Avant Garde"/>
          <w:kern w:val="1"/>
          <w:lang w:eastAsia="ar-SA"/>
        </w:rPr>
      </w:pPr>
      <w:r w:rsidRPr="006C48AE">
        <w:rPr>
          <w:rFonts w:ascii="ITC Avant Garde" w:eastAsia="Times New Roman" w:hAnsi="ITC Avant Garde"/>
          <w:kern w:val="1"/>
          <w:lang w:val="es-ES" w:eastAsia="ar-SA"/>
        </w:rPr>
        <w:t>El vigésimo párrafo, fracción IV, del artículo 28 de la Constitución señala que el Instituto podrá emitir disposiciones administrativas de carácter general exclusivamente para el cumplimiento de su función regulatoria en el sector de su competencia. En ese orden de ideas, l</w:t>
      </w:r>
      <w:r w:rsidRPr="006C48AE">
        <w:rPr>
          <w:rFonts w:ascii="ITC Avant Garde" w:eastAsia="Times New Roman" w:hAnsi="ITC Avant Garde"/>
          <w:kern w:val="1"/>
          <w:lang w:eastAsia="ar-SA"/>
        </w:rPr>
        <w:t xml:space="preserve">os artículos 15, fracción I, y 51 de la LFTR señalan, respectivamente, que el Instituto podrá expedir </w:t>
      </w:r>
      <w:r w:rsidRPr="006C48AE">
        <w:rPr>
          <w:rFonts w:ascii="ITC Avant Garde" w:hAnsi="ITC Avant Garde"/>
        </w:rPr>
        <w:t xml:space="preserve">lineamientos en materia de telecomunicaciones y radiodifusión y que </w:t>
      </w:r>
      <w:r w:rsidRPr="006C48AE">
        <w:rPr>
          <w:rFonts w:ascii="ITC Avant Garde" w:eastAsia="Times New Roman" w:hAnsi="ITC Avant Garde"/>
          <w:kern w:val="1"/>
          <w:lang w:eastAsia="ar-SA"/>
        </w:rPr>
        <w:t>para la modificación de éstos deberá realizar consultas públicas bajo los principios de transparencia y participación ciudadana.</w:t>
      </w:r>
    </w:p>
    <w:p w:rsidR="008A7193" w:rsidRPr="006C48AE"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eastAsia="Times New Roman" w:hAnsi="ITC Avant Garde"/>
          <w:kern w:val="1"/>
          <w:lang w:eastAsia="ar-SA"/>
        </w:rPr>
      </w:pPr>
      <w:r w:rsidRPr="006C48AE">
        <w:rPr>
          <w:rFonts w:ascii="ITC Avant Garde" w:eastAsia="Times New Roman" w:hAnsi="ITC Avant Garde"/>
          <w:kern w:val="1"/>
          <w:lang w:eastAsia="ar-SA"/>
        </w:rPr>
        <w:t xml:space="preserve">Por lo anterior y con fundamento en los artículos 6o. y 28, párrafos décimo quinto y décimo sexto de la Constitución; </w:t>
      </w:r>
      <w:r w:rsidRPr="006C48AE">
        <w:rPr>
          <w:rFonts w:ascii="ITC Avant Garde" w:eastAsia="Times New Roman" w:hAnsi="ITC Avant Garde"/>
          <w:kern w:val="2"/>
          <w:lang w:val="es-ES" w:eastAsia="ar-SA"/>
        </w:rPr>
        <w:t>1, 2, 7, 15, fracción I, 17, fracción I, y 51 de la LFTR</w:t>
      </w:r>
      <w:r w:rsidRPr="006C48AE">
        <w:rPr>
          <w:rFonts w:ascii="ITC Avant Garde" w:hAnsi="ITC Avant Garde"/>
        </w:rPr>
        <w:t xml:space="preserve"> y </w:t>
      </w:r>
      <w:r w:rsidRPr="006C48AE">
        <w:rPr>
          <w:rFonts w:ascii="ITC Avant Garde" w:eastAsia="Times New Roman" w:hAnsi="ITC Avant Garde"/>
          <w:kern w:val="1"/>
          <w:lang w:eastAsia="ar-SA"/>
        </w:rPr>
        <w:t>1, 4, fracción I, y 6, fracciones I, XX y XXXVII,</w:t>
      </w:r>
      <w:r w:rsidRPr="006C48AE">
        <w:rPr>
          <w:rFonts w:ascii="ITC Avant Garde" w:hAnsi="ITC Avant Garde"/>
        </w:rPr>
        <w:t xml:space="preserve"> del Estatuto</w:t>
      </w:r>
      <w:r w:rsidRPr="006C48AE">
        <w:rPr>
          <w:rFonts w:ascii="ITC Avant Garde" w:eastAsia="Times New Roman" w:hAnsi="ITC Avant Garde"/>
          <w:kern w:val="1"/>
          <w:lang w:eastAsia="ar-SA"/>
        </w:rPr>
        <w:t>, el Pleno es competente para emitir el presente Acuerdo.</w:t>
      </w:r>
    </w:p>
    <w:p w:rsidR="008A7193" w:rsidRPr="006C48AE" w:rsidRDefault="008A7193" w:rsidP="008A7193">
      <w:pPr>
        <w:spacing w:after="0" w:line="240" w:lineRule="auto"/>
        <w:jc w:val="both"/>
        <w:rPr>
          <w:rFonts w:ascii="ITC Avant Garde" w:hAnsi="ITC Avant Garde"/>
        </w:rPr>
      </w:pPr>
    </w:p>
    <w:p w:rsidR="008A7193" w:rsidRPr="006C48AE" w:rsidRDefault="008A7193" w:rsidP="008A7193">
      <w:pPr>
        <w:suppressAutoHyphens/>
        <w:spacing w:after="0" w:line="240" w:lineRule="auto"/>
        <w:jc w:val="both"/>
        <w:rPr>
          <w:rFonts w:ascii="ITC Avant Garde" w:hAnsi="ITC Avant Garde"/>
          <w:kern w:val="1"/>
          <w:lang w:val="es-ES" w:eastAsia="ar-SA"/>
        </w:rPr>
      </w:pPr>
      <w:r w:rsidRPr="006C48AE">
        <w:rPr>
          <w:rFonts w:ascii="ITC Avant Garde" w:eastAsia="Times New Roman" w:hAnsi="ITC Avant Garde"/>
          <w:b/>
          <w:kern w:val="1"/>
          <w:lang w:val="es-ES" w:eastAsia="ar-SA"/>
        </w:rPr>
        <w:lastRenderedPageBreak/>
        <w:t xml:space="preserve">SEGUNDO.- </w:t>
      </w:r>
      <w:r w:rsidRPr="006C48AE">
        <w:rPr>
          <w:rFonts w:ascii="ITC Avant Garde" w:hAnsi="ITC Avant Garde"/>
          <w:kern w:val="1"/>
          <w:lang w:eastAsia="ar-SA"/>
        </w:rPr>
        <w:t>Que la mejora regulatoria consiste en una política pública que genera aquellos cambios que elevan la calidad del sistema jurídico en su conjunto y de instrumentos jurídicos en particular, con el propósito de proteger los intereses sociales al menor costo posible para los ciudadanos y las empresas y, en general, de mejorar la eficiencia de la economía y de su capacidad para adaptarse a situaciones cambiantes.</w:t>
      </w:r>
    </w:p>
    <w:p w:rsidR="008A7193" w:rsidRPr="006C48AE" w:rsidRDefault="008A7193" w:rsidP="008A7193">
      <w:pPr>
        <w:suppressAutoHyphens/>
        <w:spacing w:after="0" w:line="240" w:lineRule="auto"/>
        <w:jc w:val="both"/>
        <w:rPr>
          <w:rFonts w:ascii="ITC Avant Garde" w:hAnsi="ITC Avant Garde"/>
          <w:kern w:val="1"/>
          <w:lang w:val="es-ES" w:eastAsia="ar-SA"/>
        </w:rPr>
      </w:pPr>
    </w:p>
    <w:p w:rsidR="008A7193" w:rsidRPr="006C48AE" w:rsidRDefault="008A7193" w:rsidP="008A7193">
      <w:pPr>
        <w:pStyle w:val="Default"/>
        <w:jc w:val="both"/>
        <w:rPr>
          <w:rFonts w:ascii="ITC Avant Garde" w:hAnsi="ITC Avant Garde" w:cs="TimesNewRomanPS-BoldMT"/>
          <w:bCs/>
          <w:sz w:val="22"/>
          <w:szCs w:val="22"/>
        </w:rPr>
      </w:pPr>
      <w:r w:rsidRPr="006C48AE">
        <w:rPr>
          <w:rFonts w:ascii="ITC Avant Garde" w:hAnsi="ITC Avant Garde" w:cs="TimesNewRomanPS-BoldMT"/>
          <w:b/>
          <w:bCs/>
          <w:sz w:val="22"/>
          <w:szCs w:val="22"/>
        </w:rPr>
        <w:t xml:space="preserve">TERCERO.- </w:t>
      </w:r>
      <w:r w:rsidRPr="006C48AE">
        <w:rPr>
          <w:rFonts w:ascii="ITC Avant Garde" w:hAnsi="ITC Avant Garde" w:cs="TimesNewRomanPS-BoldMT"/>
          <w:bCs/>
          <w:sz w:val="22"/>
          <w:szCs w:val="22"/>
        </w:rPr>
        <w:t>Que el artículo 51 de la LFTR establece que para la emisión y modificación de reglas, lineamientos o disposiciones administrativas de carácter general, así como en cualquier caso que determine el Pleno, el Instituto deberá:</w:t>
      </w:r>
    </w:p>
    <w:p w:rsidR="008A7193" w:rsidRPr="006C48AE" w:rsidRDefault="008A7193" w:rsidP="008A7193">
      <w:pPr>
        <w:pStyle w:val="Default"/>
        <w:jc w:val="both"/>
        <w:rPr>
          <w:rFonts w:ascii="ITC Avant Garde" w:hAnsi="ITC Avant Garde" w:cs="TimesNewRomanPS-BoldMT"/>
          <w:bCs/>
          <w:sz w:val="22"/>
          <w:szCs w:val="22"/>
        </w:rPr>
      </w:pPr>
    </w:p>
    <w:p w:rsidR="008A7193" w:rsidRPr="006C48AE" w:rsidRDefault="008A7193" w:rsidP="008A7193">
      <w:pPr>
        <w:pStyle w:val="Default"/>
        <w:numPr>
          <w:ilvl w:val="0"/>
          <w:numId w:val="8"/>
        </w:numPr>
        <w:jc w:val="both"/>
        <w:rPr>
          <w:rFonts w:ascii="ITC Avant Garde" w:hAnsi="ITC Avant Garde" w:cs="TimesNewRomanPS-BoldMT"/>
          <w:bCs/>
          <w:sz w:val="22"/>
          <w:szCs w:val="22"/>
        </w:rPr>
      </w:pPr>
      <w:r w:rsidRPr="006C48AE">
        <w:rPr>
          <w:rFonts w:ascii="ITC Avant Garde" w:hAnsi="ITC Avant Garde" w:cs="TimesNewRomanPS-BoldMT"/>
          <w:bCs/>
          <w:sz w:val="22"/>
          <w:szCs w:val="22"/>
        </w:rPr>
        <w:t>Realizar consultas públicas bajo los principios de transparencia y participación ciudadana, en los términos que determine el Pleno, salvo que la publicidad pudiera comprometer los efectos que se pretenden resolver o prevenir en una situación de emergencia;</w:t>
      </w:r>
    </w:p>
    <w:p w:rsidR="008A7193" w:rsidRPr="006C48AE" w:rsidRDefault="008A7193" w:rsidP="008A7193">
      <w:pPr>
        <w:pStyle w:val="Default"/>
        <w:ind w:left="720"/>
        <w:jc w:val="both"/>
        <w:rPr>
          <w:rFonts w:ascii="ITC Avant Garde" w:hAnsi="ITC Avant Garde" w:cs="TimesNewRomanPS-BoldMT"/>
          <w:bCs/>
          <w:sz w:val="22"/>
          <w:szCs w:val="22"/>
        </w:rPr>
      </w:pPr>
    </w:p>
    <w:p w:rsidR="008A7193" w:rsidRPr="006C48AE" w:rsidRDefault="008A7193" w:rsidP="008A7193">
      <w:pPr>
        <w:pStyle w:val="Default"/>
        <w:numPr>
          <w:ilvl w:val="0"/>
          <w:numId w:val="8"/>
        </w:numPr>
        <w:jc w:val="both"/>
        <w:rPr>
          <w:rFonts w:ascii="ITC Avant Garde" w:hAnsi="ITC Avant Garde" w:cs="TimesNewRomanPS-BoldMT"/>
          <w:bCs/>
          <w:sz w:val="22"/>
          <w:szCs w:val="22"/>
        </w:rPr>
      </w:pPr>
      <w:r w:rsidRPr="006C48AE">
        <w:rPr>
          <w:rFonts w:ascii="ITC Avant Garde" w:hAnsi="ITC Avant Garde" w:cs="TimesNewRomanPS-BoldMT"/>
          <w:bCs/>
          <w:sz w:val="22"/>
          <w:szCs w:val="22"/>
        </w:rPr>
        <w:t>En su caso, realizar y hacer público un análisis de impacto regulatorio, previo a la emisión de las reglas, lineamientos o disposiciones administrativas de carácter general, e</w:t>
      </w:r>
    </w:p>
    <w:p w:rsidR="008A7193" w:rsidRPr="006C48AE" w:rsidRDefault="008A7193" w:rsidP="008A7193">
      <w:pPr>
        <w:pStyle w:val="Default"/>
        <w:jc w:val="both"/>
        <w:rPr>
          <w:rFonts w:ascii="ITC Avant Garde" w:hAnsi="ITC Avant Garde" w:cs="TimesNewRomanPS-BoldMT"/>
          <w:bCs/>
          <w:sz w:val="22"/>
          <w:szCs w:val="22"/>
        </w:rPr>
      </w:pPr>
    </w:p>
    <w:p w:rsidR="008A7193" w:rsidRPr="006C48AE" w:rsidRDefault="008A7193" w:rsidP="008A7193">
      <w:pPr>
        <w:pStyle w:val="Default"/>
        <w:numPr>
          <w:ilvl w:val="0"/>
          <w:numId w:val="8"/>
        </w:numPr>
        <w:jc w:val="both"/>
        <w:rPr>
          <w:rFonts w:ascii="ITC Avant Garde" w:hAnsi="ITC Avant Garde" w:cs="TimesNewRomanPS-BoldMT"/>
          <w:bCs/>
          <w:sz w:val="22"/>
          <w:szCs w:val="22"/>
        </w:rPr>
      </w:pPr>
      <w:r w:rsidRPr="006C48AE">
        <w:rPr>
          <w:rFonts w:ascii="ITC Avant Garde" w:hAnsi="ITC Avant Garde" w:cs="TimesNewRomanPS-BoldMT"/>
          <w:bCs/>
          <w:sz w:val="22"/>
          <w:szCs w:val="22"/>
        </w:rPr>
        <w:t>Integrar y hacer público un documento que refleje los resultados de la consulta pública.</w:t>
      </w:r>
    </w:p>
    <w:p w:rsidR="008A7193" w:rsidRPr="006C48AE" w:rsidRDefault="008A7193" w:rsidP="008A7193">
      <w:pPr>
        <w:pStyle w:val="Default"/>
        <w:jc w:val="both"/>
        <w:rPr>
          <w:rFonts w:ascii="ITC Avant Garde" w:hAnsi="ITC Avant Garde" w:cs="TimesNewRomanPS-BoldMT"/>
          <w:bCs/>
          <w:sz w:val="22"/>
          <w:szCs w:val="22"/>
        </w:rPr>
      </w:pPr>
    </w:p>
    <w:p w:rsidR="008A7193" w:rsidRDefault="008A7193" w:rsidP="008A7193">
      <w:pPr>
        <w:pStyle w:val="Default"/>
        <w:jc w:val="both"/>
        <w:rPr>
          <w:rFonts w:ascii="ITC Avant Garde" w:hAnsi="ITC Avant Garde" w:cs="TimesNewRomanPS-BoldMT"/>
          <w:bCs/>
          <w:sz w:val="22"/>
          <w:szCs w:val="22"/>
        </w:rPr>
      </w:pPr>
      <w:r w:rsidRPr="006C48AE">
        <w:rPr>
          <w:rFonts w:ascii="ITC Avant Garde" w:hAnsi="ITC Avant Garde" w:cs="TimesNewRomanPS-BoldMT"/>
          <w:bCs/>
          <w:sz w:val="22"/>
          <w:szCs w:val="22"/>
        </w:rPr>
        <w:t>Asimismo, dicho precepto legal establece que el Instituto contará con un espacio dentro de su portal de internet destinado específicamente a publicar y mantener actualizados los procesos de consultas públicas y un calendario con las consultas a realizar, conforme a los plazos y características generales que para éstos determinen los Lineamientos que apruebe el Pleno.</w:t>
      </w:r>
    </w:p>
    <w:p w:rsidR="008A7193" w:rsidRPr="006C48AE" w:rsidRDefault="008A7193" w:rsidP="008A7193">
      <w:pPr>
        <w:pStyle w:val="Default"/>
        <w:jc w:val="both"/>
        <w:rPr>
          <w:rFonts w:ascii="ITC Avant Garde" w:hAnsi="ITC Avant Garde" w:cs="TimesNewRomanPS-BoldMT"/>
          <w:bCs/>
          <w:sz w:val="22"/>
          <w:szCs w:val="22"/>
        </w:rPr>
      </w:pPr>
    </w:p>
    <w:p w:rsidR="008A7193" w:rsidRPr="006C48AE" w:rsidRDefault="008A7193" w:rsidP="008A7193">
      <w:pPr>
        <w:pStyle w:val="Default"/>
        <w:jc w:val="both"/>
        <w:rPr>
          <w:rFonts w:ascii="ITC Avant Garde" w:hAnsi="ITC Avant Garde" w:cs="TimesNewRomanPS-BoldMT"/>
          <w:bCs/>
          <w:sz w:val="22"/>
          <w:szCs w:val="22"/>
        </w:rPr>
      </w:pPr>
      <w:r w:rsidRPr="006C48AE">
        <w:rPr>
          <w:rFonts w:ascii="ITC Avant Garde" w:hAnsi="ITC Avant Garde" w:cs="TimesNewRomanPS-BoldMT"/>
          <w:b/>
          <w:bCs/>
          <w:sz w:val="22"/>
          <w:szCs w:val="22"/>
        </w:rPr>
        <w:t xml:space="preserve">CUARTO.- </w:t>
      </w:r>
      <w:r w:rsidRPr="006C48AE">
        <w:rPr>
          <w:rFonts w:ascii="ITC Avant Garde" w:hAnsi="ITC Avant Garde" w:cs="TimesNewRomanPS-BoldMT"/>
          <w:bCs/>
          <w:sz w:val="22"/>
          <w:szCs w:val="22"/>
        </w:rPr>
        <w:t>Que de acuerdo con lo dispuesto en los artículos 4, fracción VIII, inciso iv), y 75, primer párrafo, del Estatuto, la Coordinación General de Mejora Regulatoria tendrá a su cargo el proceso de mejora regulatoria del Instituto, el cual consiste, entre otras cosas, en la elaboración y proposición de lineamientos en materia de impacto regulatorio de las disposiciones administrativas de carácter general y del mecanismo de consulta pública, así como la emisión de una opinión no vinculante de los análisis de impacto regulatorio que correspondan.</w:t>
      </w:r>
    </w:p>
    <w:p w:rsidR="008A7193" w:rsidRPr="006C48AE" w:rsidRDefault="008A7193" w:rsidP="008A7193">
      <w:pPr>
        <w:pStyle w:val="Default"/>
        <w:jc w:val="both"/>
        <w:rPr>
          <w:rFonts w:ascii="ITC Avant Garde" w:hAnsi="ITC Avant Garde" w:cs="TimesNewRomanPS-BoldMT"/>
          <w:bCs/>
          <w:sz w:val="22"/>
          <w:szCs w:val="22"/>
        </w:rPr>
      </w:pPr>
    </w:p>
    <w:p w:rsidR="008A7193" w:rsidRPr="006C48AE" w:rsidRDefault="008A7193" w:rsidP="008A7193">
      <w:pPr>
        <w:spacing w:after="0" w:line="240" w:lineRule="auto"/>
        <w:jc w:val="both"/>
        <w:rPr>
          <w:rFonts w:ascii="ITC Avant Garde" w:eastAsia="Times New Roman" w:hAnsi="ITC Avant Garde"/>
          <w:kern w:val="1"/>
          <w:lang w:eastAsia="ar-SA"/>
        </w:rPr>
      </w:pPr>
      <w:r w:rsidRPr="006C48AE">
        <w:rPr>
          <w:rFonts w:ascii="ITC Avant Garde" w:hAnsi="ITC Avant Garde" w:cs="TimesNewRomanPS-BoldMT"/>
          <w:b/>
          <w:bCs/>
        </w:rPr>
        <w:t xml:space="preserve">QUINTO.- </w:t>
      </w:r>
      <w:r w:rsidRPr="006C48AE">
        <w:rPr>
          <w:rFonts w:ascii="ITC Avant Garde" w:eastAsia="Times New Roman" w:hAnsi="ITC Avant Garde"/>
          <w:kern w:val="1"/>
          <w:lang w:eastAsia="ar-SA"/>
        </w:rPr>
        <w:t>Que diversos organismos internacionales ven en la mejora regulatoria una política que los gobiernos deben fomentar y practicar para hacer su actuar más efectivo y eficiente respecto a los ciudadanos, y que a través de las consultas públicas propicie su participación en la elaboración de nuevas regulaciones, generando un vínculo proactivo entre el gobierno y regulados.</w:t>
      </w:r>
    </w:p>
    <w:p w:rsidR="008A7193" w:rsidRPr="006C48AE" w:rsidRDefault="008A7193" w:rsidP="008A7193">
      <w:pPr>
        <w:spacing w:after="0" w:line="240" w:lineRule="auto"/>
        <w:jc w:val="both"/>
        <w:rPr>
          <w:rFonts w:ascii="ITC Avant Garde" w:eastAsia="Times New Roman" w:hAnsi="ITC Avant Garde"/>
          <w:kern w:val="1"/>
          <w:lang w:eastAsia="ar-SA"/>
        </w:rPr>
      </w:pPr>
    </w:p>
    <w:p w:rsidR="008A7193" w:rsidRPr="006C48AE" w:rsidRDefault="008A7193" w:rsidP="008A7193">
      <w:pPr>
        <w:spacing w:after="0" w:line="240" w:lineRule="auto"/>
        <w:jc w:val="both"/>
        <w:rPr>
          <w:rFonts w:ascii="ITC Avant Garde" w:eastAsia="Times New Roman" w:hAnsi="ITC Avant Garde"/>
          <w:kern w:val="1"/>
          <w:lang w:eastAsia="ar-SA"/>
        </w:rPr>
      </w:pPr>
      <w:r w:rsidRPr="006C48AE">
        <w:rPr>
          <w:rFonts w:ascii="ITC Avant Garde" w:eastAsia="Times New Roman" w:hAnsi="ITC Avant Garde"/>
          <w:kern w:val="1"/>
          <w:lang w:eastAsia="ar-SA"/>
        </w:rPr>
        <w:lastRenderedPageBreak/>
        <w:t xml:space="preserve">Por su parte, en opinión de la Organización para la Cooperación y Desarrollo Económicos (en lo sucesivo, la “OCDE”) contenida en su publicación “Revisiones de la OCDE sobre Reforma Regulatoria. México: Hacia una perspectiva de gobierno entero para la mejora regulatoria. Informe de las principales conclusiones”, una reforma regulatoria eficaz impulsa el crecimiento económico, la creación de empleos, la innovación, la inversión y nuevas industrias; lo que también ayuda a reducir los precios y a ofrecer más opciones a los consumidores. </w:t>
      </w:r>
    </w:p>
    <w:p w:rsidR="008A7193" w:rsidRPr="006C48AE" w:rsidRDefault="008A7193" w:rsidP="008A7193">
      <w:pPr>
        <w:pStyle w:val="Default"/>
        <w:jc w:val="both"/>
        <w:rPr>
          <w:rFonts w:ascii="ITC Avant Garde" w:hAnsi="ITC Avant Garde" w:cs="TimesNewRomanPS-BoldMT"/>
          <w:bCs/>
          <w:sz w:val="22"/>
          <w:szCs w:val="22"/>
        </w:rPr>
      </w:pPr>
    </w:p>
    <w:p w:rsidR="008A7193" w:rsidRPr="006C48AE" w:rsidRDefault="008A7193" w:rsidP="008A7193">
      <w:pPr>
        <w:pStyle w:val="Default"/>
        <w:jc w:val="both"/>
        <w:rPr>
          <w:rFonts w:ascii="ITC Avant Garde" w:hAnsi="ITC Avant Garde" w:cs="TimesNewRomanPS-BoldMT"/>
          <w:b/>
          <w:bCs/>
          <w:sz w:val="22"/>
          <w:szCs w:val="22"/>
        </w:rPr>
      </w:pPr>
      <w:r w:rsidRPr="006C48AE">
        <w:rPr>
          <w:rFonts w:ascii="ITC Avant Garde" w:hAnsi="ITC Avant Garde" w:cs="TimesNewRomanPS-BoldMT"/>
          <w:b/>
          <w:bCs/>
          <w:sz w:val="22"/>
          <w:szCs w:val="22"/>
        </w:rPr>
        <w:t xml:space="preserve">SEXTO.- </w:t>
      </w:r>
      <w:r w:rsidRPr="006C48AE">
        <w:rPr>
          <w:rFonts w:ascii="ITC Avant Garde" w:hAnsi="ITC Avant Garde" w:cs="Times New Roman"/>
          <w:sz w:val="22"/>
          <w:szCs w:val="22"/>
        </w:rPr>
        <w:t xml:space="preserve">Que la consulta pública es una herramienta básica de políticas públicas que consiste en la interacción entre la autoridad, los ciudadanos y otras partes interesadas en la creación o mejora de la regulación, así como de cualquier otro asunto de interés del Instituto que le permita obtener mayor información para la toma de sus decisiones. </w:t>
      </w:r>
    </w:p>
    <w:p w:rsidR="008A7193" w:rsidRPr="006C48AE" w:rsidRDefault="008A7193" w:rsidP="008A7193">
      <w:pPr>
        <w:pStyle w:val="Default"/>
        <w:jc w:val="both"/>
        <w:rPr>
          <w:rFonts w:ascii="ITC Avant Garde" w:hAnsi="ITC Avant Garde" w:cs="TimesNewRomanPS-BoldMT"/>
          <w:b/>
          <w:bCs/>
          <w:sz w:val="22"/>
          <w:szCs w:val="22"/>
        </w:rPr>
      </w:pPr>
    </w:p>
    <w:p w:rsidR="008A7193" w:rsidRPr="006C48AE" w:rsidRDefault="008A7193" w:rsidP="008A7193">
      <w:pPr>
        <w:pStyle w:val="Default"/>
        <w:jc w:val="both"/>
        <w:rPr>
          <w:rFonts w:ascii="ITC Avant Garde" w:hAnsi="ITC Avant Garde" w:cs="Times New Roman"/>
          <w:sz w:val="22"/>
          <w:szCs w:val="22"/>
        </w:rPr>
      </w:pPr>
      <w:r w:rsidRPr="006C48AE">
        <w:rPr>
          <w:rFonts w:ascii="ITC Avant Garde" w:hAnsi="ITC Avant Garde" w:cs="TimesNewRomanPS-BoldMT"/>
          <w:b/>
          <w:bCs/>
          <w:sz w:val="22"/>
          <w:szCs w:val="22"/>
        </w:rPr>
        <w:t xml:space="preserve">SÉPTIMO.- </w:t>
      </w:r>
      <w:r w:rsidRPr="006C48AE">
        <w:rPr>
          <w:rFonts w:ascii="ITC Avant Garde" w:hAnsi="ITC Avant Garde" w:cs="TimesNewRomanPS-BoldMT"/>
          <w:bCs/>
          <w:sz w:val="22"/>
          <w:szCs w:val="22"/>
        </w:rPr>
        <w:t>Que el análisis de impacto regulatorio es una herramienta para la elaboración o modificación de las regulaciones que emita el Instituto y que permite transparentar y dar a conocer de manera anticipada el objeto de las regulaciones, alternativas evaluadas, posibles impactos potenciales y los mecanismos de cumplimiento, aplicación y evaluación de las mismas.</w:t>
      </w:r>
    </w:p>
    <w:p w:rsidR="008A7193" w:rsidRPr="006C48AE" w:rsidRDefault="008A7193" w:rsidP="008A7193">
      <w:pPr>
        <w:pStyle w:val="Default"/>
        <w:jc w:val="both"/>
        <w:rPr>
          <w:rFonts w:ascii="ITC Avant Garde" w:hAnsi="ITC Avant Garde" w:cs="Times New Roman"/>
          <w:sz w:val="22"/>
          <w:szCs w:val="22"/>
        </w:rPr>
      </w:pPr>
    </w:p>
    <w:p w:rsidR="008A7193" w:rsidRPr="006C48AE" w:rsidRDefault="008A7193" w:rsidP="008A7193">
      <w:pPr>
        <w:pStyle w:val="Default"/>
        <w:jc w:val="both"/>
        <w:rPr>
          <w:rFonts w:ascii="ITC Avant Garde" w:hAnsi="ITC Avant Garde" w:cs="TimesNewRomanPS-BoldMT"/>
          <w:b/>
          <w:bCs/>
          <w:sz w:val="22"/>
          <w:szCs w:val="22"/>
        </w:rPr>
      </w:pPr>
      <w:r w:rsidRPr="006C48AE">
        <w:rPr>
          <w:rFonts w:ascii="ITC Avant Garde" w:hAnsi="ITC Avant Garde" w:cs="Times New Roman"/>
          <w:b/>
          <w:sz w:val="22"/>
          <w:szCs w:val="22"/>
        </w:rPr>
        <w:t xml:space="preserve">OCTAVO.- </w:t>
      </w:r>
      <w:r w:rsidRPr="006C48AE">
        <w:rPr>
          <w:rFonts w:ascii="ITC Avant Garde" w:hAnsi="ITC Avant Garde" w:cs="Times New Roman"/>
          <w:sz w:val="22"/>
          <w:szCs w:val="22"/>
        </w:rPr>
        <w:t>Que el artículo 12, fracción XXII de la LFCE dispone que para la expedición de disposiciones regulatorias, directrices, guías, lineamientos y criterios técnicos, deberá realizarse consulta pública, salvo que se puedan comprometer los efectos que se pretende lograr con dichas disposiciones o se trate de situaciones de emergencia. Al respecto, el artículo 189 de las Disposiciones Regulatorias de la Ley Federal de Competencia Económica para los sectores de telecomunicaciones y radiodifusión, señala que el procedimiento de consulta pública para la elaboración y expedición de este tipo de disposiciones regulatorias se realizará conforme a los criterios que para tal efecto emita el Pleno, materia del presente anteproyecto de Lineamientos.</w:t>
      </w:r>
    </w:p>
    <w:p w:rsidR="008A7193" w:rsidRPr="006C48AE" w:rsidRDefault="008A7193" w:rsidP="008A7193">
      <w:pPr>
        <w:pStyle w:val="Default"/>
        <w:jc w:val="both"/>
        <w:rPr>
          <w:rFonts w:ascii="ITC Avant Garde" w:hAnsi="ITC Avant Garde" w:cs="TimesNewRomanPS-BoldMT"/>
          <w:b/>
          <w:bCs/>
          <w:sz w:val="22"/>
          <w:szCs w:val="22"/>
        </w:rPr>
      </w:pPr>
    </w:p>
    <w:p w:rsidR="008A7193" w:rsidRPr="006C48AE" w:rsidRDefault="008A7193" w:rsidP="008A7193">
      <w:pPr>
        <w:spacing w:after="0" w:line="240" w:lineRule="auto"/>
        <w:jc w:val="both"/>
        <w:rPr>
          <w:rFonts w:ascii="ITC Avant Garde" w:eastAsia="Times New Roman" w:hAnsi="ITC Avant Garde"/>
          <w:kern w:val="1"/>
          <w:lang w:eastAsia="ar-SA"/>
        </w:rPr>
      </w:pPr>
      <w:r w:rsidRPr="006C48AE">
        <w:rPr>
          <w:rFonts w:ascii="ITC Avant Garde" w:hAnsi="ITC Avant Garde" w:cs="TimesNewRomanPS-BoldMT"/>
          <w:b/>
          <w:bCs/>
        </w:rPr>
        <w:t xml:space="preserve">NOVENO.- </w:t>
      </w:r>
      <w:r w:rsidRPr="006C48AE">
        <w:rPr>
          <w:rFonts w:ascii="ITC Avant Garde" w:eastAsia="Times New Roman" w:hAnsi="ITC Avant Garde"/>
          <w:kern w:val="1"/>
          <w:lang w:eastAsia="ar-SA"/>
        </w:rPr>
        <w:t>Que en términos del artículo 2o. de la Constitución, el Instituto ejerce una política permanente de inclusión con todos los sectores de la sociedad, tomando en cuenta la representación de los pueblos indígenas y tribales en la vida pública, permitiendo su participación de manera libre en todos los niveles de formulación, implementación y evaluación de las medidas y programas que los impacten en materia de telecomunicaciones y radiodifusión.</w:t>
      </w:r>
    </w:p>
    <w:p w:rsidR="008A7193" w:rsidRPr="006C48AE" w:rsidRDefault="008A7193" w:rsidP="008A7193">
      <w:pPr>
        <w:pStyle w:val="Default"/>
        <w:jc w:val="both"/>
        <w:rPr>
          <w:rFonts w:ascii="ITC Avant Garde" w:hAnsi="ITC Avant Garde" w:cs="TimesNewRomanPS-BoldMT"/>
          <w:b/>
          <w:bCs/>
          <w:sz w:val="22"/>
          <w:szCs w:val="22"/>
        </w:rPr>
      </w:pPr>
    </w:p>
    <w:p w:rsidR="008A7193" w:rsidRPr="006C48AE" w:rsidRDefault="008A7193" w:rsidP="008A7193">
      <w:pPr>
        <w:pStyle w:val="Default"/>
        <w:jc w:val="both"/>
        <w:rPr>
          <w:rFonts w:ascii="ITC Avant Garde" w:eastAsia="Times New Roman" w:hAnsi="ITC Avant Garde"/>
          <w:kern w:val="1"/>
          <w:sz w:val="22"/>
          <w:szCs w:val="22"/>
          <w:lang w:eastAsia="ar-SA"/>
        </w:rPr>
      </w:pPr>
      <w:r w:rsidRPr="006C48AE">
        <w:rPr>
          <w:rFonts w:ascii="ITC Avant Garde" w:hAnsi="ITC Avant Garde" w:cs="TimesNewRomanPS-BoldMT"/>
          <w:b/>
          <w:bCs/>
          <w:sz w:val="22"/>
          <w:szCs w:val="22"/>
        </w:rPr>
        <w:t xml:space="preserve">DÉCIMO.- </w:t>
      </w:r>
      <w:r w:rsidRPr="006C48AE">
        <w:rPr>
          <w:rFonts w:ascii="ITC Avant Garde" w:hAnsi="ITC Avant Garde" w:cs="TimesNewRomanPS-BoldMT"/>
          <w:bCs/>
          <w:sz w:val="22"/>
          <w:szCs w:val="22"/>
        </w:rPr>
        <w:t xml:space="preserve">Que el presente anteproyecto de Lineamientos </w:t>
      </w:r>
      <w:r w:rsidRPr="006C48AE">
        <w:rPr>
          <w:rFonts w:ascii="ITC Avant Garde" w:eastAsia="Times New Roman" w:hAnsi="ITC Avant Garde"/>
          <w:kern w:val="1"/>
          <w:sz w:val="22"/>
          <w:szCs w:val="22"/>
          <w:lang w:eastAsia="ar-SA"/>
        </w:rPr>
        <w:t xml:space="preserve">tiene por objeto establecer el procedimiento, los requisitos y los plazos que deberán observar las Unidades Administrativas del Instituto, para la presentación de los anteproyectos y proyectos relativos a las reglas, lineamientos, directrices, guías, criterios técnicos, disposiciones técnicas o disposiciones administrativas de carácter general, así como cualquier otra que determine el Pleno, cuando deban someterse a la consideración y aprobación </w:t>
      </w:r>
      <w:r w:rsidRPr="006C48AE">
        <w:rPr>
          <w:rFonts w:ascii="ITC Avant Garde" w:eastAsia="Times New Roman" w:hAnsi="ITC Avant Garde"/>
          <w:kern w:val="1"/>
          <w:sz w:val="22"/>
          <w:szCs w:val="22"/>
          <w:lang w:eastAsia="ar-SA"/>
        </w:rPr>
        <w:lastRenderedPageBreak/>
        <w:t xml:space="preserve">de éste; así como dar a conocer los mecanismos de consulta pública y análisis de impacto regulatorio que el Instituto implementará para fomentar la participación ciudadana, la transparencia y lograr una mayor calidad regulatoria. </w:t>
      </w:r>
    </w:p>
    <w:p w:rsidR="008A7193" w:rsidRPr="006C48AE" w:rsidRDefault="008A7193" w:rsidP="008A7193">
      <w:pPr>
        <w:spacing w:after="0" w:line="240" w:lineRule="auto"/>
        <w:jc w:val="both"/>
        <w:rPr>
          <w:rFonts w:ascii="ITC Avant Garde" w:eastAsia="Times New Roman" w:hAnsi="ITC Avant Garde"/>
          <w:kern w:val="1"/>
          <w:lang w:eastAsia="ar-SA"/>
        </w:rPr>
      </w:pPr>
    </w:p>
    <w:p w:rsidR="008A7193" w:rsidRPr="006C48AE" w:rsidRDefault="008A7193" w:rsidP="008A7193">
      <w:pPr>
        <w:spacing w:after="0" w:line="240" w:lineRule="auto"/>
        <w:jc w:val="both"/>
        <w:rPr>
          <w:rFonts w:ascii="ITC Avant Garde" w:eastAsia="Times New Roman" w:hAnsi="ITC Avant Garde"/>
          <w:kern w:val="1"/>
          <w:lang w:eastAsia="ar-SA"/>
        </w:rPr>
      </w:pPr>
      <w:r w:rsidRPr="006C48AE">
        <w:rPr>
          <w:rFonts w:ascii="ITC Avant Garde" w:eastAsia="Times New Roman" w:hAnsi="ITC Avant Garde"/>
          <w:kern w:val="1"/>
          <w:lang w:eastAsia="ar-SA"/>
        </w:rPr>
        <w:t xml:space="preserve">Así, el quehacer regulatorio del Instituto se realizará en concordancia con los mayores estándares de eficacia y eficiencia que amerita la trascendencia social e impacto económico de los trámites que regula. </w:t>
      </w:r>
    </w:p>
    <w:p w:rsidR="008A7193" w:rsidRPr="006C48AE" w:rsidRDefault="008A7193" w:rsidP="008A7193">
      <w:pPr>
        <w:pStyle w:val="Default"/>
        <w:jc w:val="both"/>
        <w:rPr>
          <w:rFonts w:ascii="ITC Avant Garde" w:hAnsi="ITC Avant Garde" w:cs="TimesNewRomanPS-BoldMT"/>
          <w:bCs/>
          <w:sz w:val="22"/>
          <w:szCs w:val="22"/>
        </w:rPr>
      </w:pPr>
    </w:p>
    <w:p w:rsidR="008A7193" w:rsidRPr="006C48AE" w:rsidRDefault="008A7193" w:rsidP="008A7193">
      <w:pPr>
        <w:pStyle w:val="Default"/>
        <w:jc w:val="both"/>
        <w:rPr>
          <w:rFonts w:ascii="ITC Avant Garde" w:hAnsi="ITC Avant Garde" w:cs="TimesNewRomanPS-BoldMT"/>
          <w:bCs/>
          <w:sz w:val="22"/>
          <w:szCs w:val="22"/>
        </w:rPr>
      </w:pPr>
      <w:r w:rsidRPr="006C48AE">
        <w:rPr>
          <w:rFonts w:ascii="ITC Avant Garde" w:hAnsi="ITC Avant Garde" w:cs="TimesNewRomanPS-BoldMT"/>
          <w:bCs/>
          <w:sz w:val="22"/>
          <w:szCs w:val="22"/>
        </w:rPr>
        <w:t xml:space="preserve">En ese sentido, el Pleno del Instituto considera procedente someter por un periodo de 30 (treinta) días hábiles a consulta pública el presente anteproyecto de </w:t>
      </w:r>
      <w:r w:rsidRPr="006C48AE">
        <w:rPr>
          <w:rFonts w:ascii="ITC Avant Garde" w:hAnsi="ITC Avant Garde"/>
          <w:sz w:val="22"/>
          <w:szCs w:val="22"/>
        </w:rPr>
        <w:t xml:space="preserve">Lineamientos junto con sus anexos, </w:t>
      </w:r>
      <w:r w:rsidRPr="006C48AE">
        <w:rPr>
          <w:rFonts w:ascii="ITC Avant Garde" w:hAnsi="ITC Avant Garde" w:cs="TimesNewRomanPS-BoldMT"/>
          <w:bCs/>
          <w:sz w:val="22"/>
          <w:szCs w:val="22"/>
        </w:rPr>
        <w:t>a fin de transparentar y promover la participación ciudadana en los procesos de emisión de las disposiciones de carácter general que emita el Instituto, así como para recabar aportaciones que permitan el mejoramiento de dicha propuesta.</w:t>
      </w:r>
    </w:p>
    <w:p w:rsidR="008A7193" w:rsidRPr="006C48AE" w:rsidRDefault="008A7193" w:rsidP="008A7193">
      <w:pPr>
        <w:pStyle w:val="Default"/>
        <w:jc w:val="both"/>
        <w:rPr>
          <w:rFonts w:ascii="ITC Avant Garde" w:hAnsi="ITC Avant Garde" w:cs="TimesNewRomanPS-BoldMT"/>
          <w:bCs/>
          <w:sz w:val="22"/>
          <w:szCs w:val="22"/>
        </w:rPr>
      </w:pPr>
    </w:p>
    <w:p w:rsidR="008A7193" w:rsidRPr="006C48AE" w:rsidRDefault="008A7193" w:rsidP="008A7193">
      <w:pPr>
        <w:autoSpaceDE w:val="0"/>
        <w:autoSpaceDN w:val="0"/>
        <w:adjustRightInd w:val="0"/>
        <w:spacing w:after="0" w:line="240" w:lineRule="auto"/>
        <w:jc w:val="both"/>
        <w:rPr>
          <w:rFonts w:ascii="ITC Avant Garde" w:hAnsi="ITC Avant Garde" w:cs="TimesNewRomanPSMT"/>
          <w:color w:val="000000"/>
        </w:rPr>
      </w:pPr>
      <w:r w:rsidRPr="006C48AE">
        <w:rPr>
          <w:rFonts w:ascii="ITC Avant Garde" w:hAnsi="ITC Avant Garde" w:cs="TimesNewRomanPS-BoldMT"/>
          <w:bCs/>
        </w:rPr>
        <w:t xml:space="preserve">Por las razones antes expuestas, con fundamento en lo dispuesto por los artículos 28, párrafos décimo quinto, décimo sexto y vigésimo de la Constitución Política de los Estados Unidos Mexicanos; 15, fracciones I, XL, XLI y LII, 16, 17, fracción I, y 51 de la Ley Federal de Telecomunicaciones y Radiodifusión; 5, 12, fracción XXII, y 138 de la Ley Federal de Competencia Económica; 1, 4, fracción I, y 6, fracción XX, del Estatuto Orgánico del Instituto Federal de Telecomunicaciones; y 189 de las Disposiciones Regulatorias de la Ley Federal de Competencia Económica para los sectores de telecomunicaciones y radiodifusión, el Pleno del Instituto, en su carácter de órgano máximo de gobierno y decisión, </w:t>
      </w:r>
      <w:r w:rsidRPr="006C48AE">
        <w:rPr>
          <w:rFonts w:ascii="ITC Avant Garde" w:hAnsi="ITC Avant Garde" w:cs="TimesNewRomanPSMT"/>
          <w:color w:val="000000"/>
        </w:rPr>
        <w:t>se expide el siguiente:</w:t>
      </w:r>
    </w:p>
    <w:p w:rsidR="008A7193" w:rsidRDefault="008A7193" w:rsidP="008A7193">
      <w:pPr>
        <w:autoSpaceDE w:val="0"/>
        <w:autoSpaceDN w:val="0"/>
        <w:adjustRightInd w:val="0"/>
        <w:spacing w:after="0" w:line="240" w:lineRule="auto"/>
        <w:jc w:val="center"/>
        <w:rPr>
          <w:rFonts w:ascii="ITC Avant Garde" w:hAnsi="ITC Avant Garde" w:cs="TimesNewRomanPS-BoldMT"/>
          <w:b/>
          <w:bCs/>
          <w:color w:val="000000"/>
        </w:rPr>
      </w:pPr>
    </w:p>
    <w:p w:rsidR="008A7193" w:rsidRPr="00052452" w:rsidRDefault="008A7193" w:rsidP="008A7193">
      <w:pPr>
        <w:pStyle w:val="Ttulo4"/>
        <w:jc w:val="center"/>
        <w:rPr>
          <w:rFonts w:ascii="ITC Avant Garde" w:hAnsi="ITC Avant Garde" w:cs="TimesNewRomanPS-BoldMT"/>
          <w:b/>
          <w:bCs/>
          <w:i w:val="0"/>
          <w:color w:val="000000"/>
        </w:rPr>
      </w:pPr>
      <w:r w:rsidRPr="00052452">
        <w:rPr>
          <w:rFonts w:ascii="ITC Avant Garde" w:hAnsi="ITC Avant Garde" w:cs="TimesNewRomanPS-BoldMT"/>
          <w:b/>
          <w:bCs/>
          <w:i w:val="0"/>
          <w:color w:val="000000"/>
        </w:rPr>
        <w:t>ACUERDO</w:t>
      </w:r>
    </w:p>
    <w:p w:rsidR="008A7193" w:rsidRDefault="008A7193" w:rsidP="008A7193">
      <w:pPr>
        <w:autoSpaceDE w:val="0"/>
        <w:autoSpaceDN w:val="0"/>
        <w:adjustRightInd w:val="0"/>
        <w:spacing w:after="0" w:line="240" w:lineRule="auto"/>
        <w:jc w:val="center"/>
        <w:rPr>
          <w:rFonts w:ascii="ITC Avant Garde" w:hAnsi="ITC Avant Garde" w:cs="TimesNewRomanPS-BoldMT"/>
          <w:b/>
          <w:bCs/>
          <w:color w:val="000000"/>
        </w:rPr>
      </w:pPr>
    </w:p>
    <w:p w:rsidR="008A7193" w:rsidRPr="006C48AE" w:rsidRDefault="008A7193" w:rsidP="008A7193">
      <w:pPr>
        <w:suppressAutoHyphens/>
        <w:spacing w:after="0" w:line="240" w:lineRule="auto"/>
        <w:jc w:val="both"/>
        <w:rPr>
          <w:rFonts w:ascii="ITC Avant Garde" w:hAnsi="ITC Avant Garde"/>
        </w:rPr>
      </w:pPr>
      <w:r w:rsidRPr="006C48AE">
        <w:rPr>
          <w:rFonts w:ascii="ITC Avant Garde" w:hAnsi="ITC Avant Garde" w:cs="TimesNewRomanPS-BoldMT"/>
          <w:b/>
          <w:bCs/>
          <w:color w:val="000000"/>
        </w:rPr>
        <w:t xml:space="preserve">PRIMERO.- </w:t>
      </w:r>
      <w:r w:rsidRPr="006C48AE">
        <w:rPr>
          <w:rFonts w:ascii="ITC Avant Garde" w:hAnsi="ITC Avant Garde"/>
        </w:rPr>
        <w:t xml:space="preserve">Se determina someter a consulta pública el </w:t>
      </w:r>
      <w:r w:rsidRPr="006C48AE">
        <w:rPr>
          <w:rFonts w:ascii="ITC Avant Garde" w:hAnsi="ITC Avant Garde"/>
          <w:b/>
        </w:rPr>
        <w:t>“Anteproyecto de Lineamientos de Consulta Pública y Análisis de Impacto Regulatorio del Instituto Federal de Telecomunicaciones”</w:t>
      </w:r>
      <w:r w:rsidRPr="006C48AE">
        <w:rPr>
          <w:rFonts w:ascii="ITC Avant Garde" w:hAnsi="ITC Avant Garde"/>
        </w:rPr>
        <w:t xml:space="preserve"> junto con sus anexos, el cual se adjunta al presente Acuerdo como Anexo Único, a efecto de recabar los comentarios y aportaciones de todos los interesados, que permitan identificar posibles áreas de oportunidad, así como propuestas susceptibles a incorporar en el mismo. </w:t>
      </w:r>
    </w:p>
    <w:p w:rsidR="008A7193" w:rsidRPr="006C48AE" w:rsidRDefault="008A7193" w:rsidP="008A7193">
      <w:pPr>
        <w:suppressAutoHyphens/>
        <w:spacing w:after="0" w:line="240" w:lineRule="auto"/>
        <w:jc w:val="both"/>
        <w:rPr>
          <w:rFonts w:ascii="ITC Avant Garde" w:hAnsi="ITC Avant Garde"/>
        </w:rPr>
      </w:pPr>
    </w:p>
    <w:p w:rsidR="008A7193" w:rsidRPr="006C48AE" w:rsidRDefault="008A7193" w:rsidP="008A7193">
      <w:pPr>
        <w:suppressAutoHyphens/>
        <w:spacing w:after="0" w:line="240" w:lineRule="auto"/>
        <w:jc w:val="both"/>
        <w:rPr>
          <w:rFonts w:ascii="ITC Avant Garde" w:hAnsi="ITC Avant Garde"/>
        </w:rPr>
      </w:pPr>
      <w:r w:rsidRPr="006C48AE">
        <w:rPr>
          <w:rFonts w:ascii="ITC Avant Garde" w:hAnsi="ITC Avant Garde"/>
        </w:rPr>
        <w:t xml:space="preserve">Dicha consulta pública se realizará durante un plazo de 30 (treinta) días hábiles, contados a partir </w:t>
      </w:r>
      <w:r w:rsidRPr="006C48AE">
        <w:rPr>
          <w:rFonts w:ascii="ITC Avant Garde" w:hAnsi="ITC Avant Garde"/>
          <w:b/>
        </w:rPr>
        <w:t>del día 14 de marzo al 29 de abril de 2016</w:t>
      </w:r>
      <w:r w:rsidRPr="006C48AE">
        <w:rPr>
          <w:rFonts w:ascii="ITC Avant Garde" w:hAnsi="ITC Avant Garde"/>
        </w:rPr>
        <w:t>, a través del portal de Internet del Instituto Federal de Telecomunicaciones, para que dentro de ese plazo cualquier interesado presente sus comentarios o aportaciones sobre el particular.</w:t>
      </w:r>
    </w:p>
    <w:p w:rsidR="008A7193" w:rsidRPr="006C48AE" w:rsidRDefault="008A7193" w:rsidP="008A7193">
      <w:pPr>
        <w:autoSpaceDE w:val="0"/>
        <w:autoSpaceDN w:val="0"/>
        <w:adjustRightInd w:val="0"/>
        <w:spacing w:after="0" w:line="240" w:lineRule="auto"/>
        <w:jc w:val="both"/>
        <w:rPr>
          <w:rFonts w:ascii="ITC Avant Garde" w:hAnsi="ITC Avant Garde" w:cs="TimesNewRomanPSMT"/>
          <w:color w:val="000000"/>
        </w:rPr>
      </w:pPr>
    </w:p>
    <w:p w:rsidR="008A7193" w:rsidRPr="006C48AE" w:rsidRDefault="008A7193" w:rsidP="008A7193">
      <w:pPr>
        <w:autoSpaceDE w:val="0"/>
        <w:autoSpaceDN w:val="0"/>
        <w:adjustRightInd w:val="0"/>
        <w:spacing w:after="0" w:line="240" w:lineRule="auto"/>
        <w:jc w:val="both"/>
        <w:rPr>
          <w:rFonts w:ascii="ITC Avant Garde" w:hAnsi="ITC Avant Garde"/>
        </w:rPr>
      </w:pPr>
      <w:r w:rsidRPr="006C48AE">
        <w:rPr>
          <w:rFonts w:ascii="ITC Avant Garde" w:hAnsi="ITC Avant Garde" w:cs="TimesNewRomanPS-BoldMT"/>
          <w:b/>
          <w:bCs/>
          <w:color w:val="000000"/>
        </w:rPr>
        <w:t xml:space="preserve">SEGUNDO.- </w:t>
      </w:r>
      <w:r w:rsidRPr="006C48AE">
        <w:rPr>
          <w:rFonts w:ascii="ITC Avant Garde" w:hAnsi="ITC Avant Garde"/>
        </w:rPr>
        <w:t xml:space="preserve">Se instruye a la Coordinación General de Mejora Regulatoria, ejecute la consulta pública materia del presente Acuerdo, incluyendo la recepción y la atención que corresponda en el ámbito de sus atribuciones, a los comentarios o aportaciones que sean vertidos a propósito de la presente consulta pública y, </w:t>
      </w:r>
      <w:r w:rsidRPr="006C48AE">
        <w:rPr>
          <w:rFonts w:ascii="ITC Avant Garde" w:hAnsi="ITC Avant Garde"/>
        </w:rPr>
        <w:lastRenderedPageBreak/>
        <w:t>posteriormente, presentar al Pleno un proyecto de “Lineamientos de Consulta Pública y Análisis de Impacto Regulatorio del Instituto Federal de Telecomunicaciones” para su valoración y, en su caso, aprobación por éste en definitiva conforme a sus atribuciones.</w:t>
      </w:r>
    </w:p>
    <w:p w:rsidR="008A7193" w:rsidRPr="006C48AE" w:rsidRDefault="008A7193" w:rsidP="008A7193">
      <w:pPr>
        <w:autoSpaceDE w:val="0"/>
        <w:autoSpaceDN w:val="0"/>
        <w:adjustRightInd w:val="0"/>
        <w:spacing w:after="0" w:line="240" w:lineRule="auto"/>
        <w:jc w:val="both"/>
        <w:rPr>
          <w:rFonts w:ascii="ITC Avant Garde" w:hAnsi="ITC Avant Garde"/>
        </w:rPr>
      </w:pPr>
    </w:p>
    <w:p w:rsidR="008A7193" w:rsidRPr="006C48AE" w:rsidRDefault="008A7193" w:rsidP="008A7193">
      <w:pPr>
        <w:autoSpaceDE w:val="0"/>
        <w:autoSpaceDN w:val="0"/>
        <w:adjustRightInd w:val="0"/>
        <w:spacing w:after="0" w:line="240" w:lineRule="auto"/>
        <w:jc w:val="both"/>
        <w:rPr>
          <w:rFonts w:ascii="ITC Avant Garde" w:hAnsi="ITC Avant Garde"/>
          <w:b/>
        </w:rPr>
      </w:pPr>
      <w:r w:rsidRPr="006C48AE">
        <w:rPr>
          <w:rFonts w:ascii="ITC Avant Garde" w:hAnsi="ITC Avant Garde"/>
          <w:b/>
        </w:rPr>
        <w:t xml:space="preserve">TERCERO.- </w:t>
      </w:r>
      <w:r w:rsidRPr="006C48AE">
        <w:rPr>
          <w:rFonts w:ascii="ITC Avant Garde" w:hAnsi="ITC Avant Garde"/>
        </w:rPr>
        <w:t>Publíquese en el portal de Internet del Instituto Federal de Telecomunicaciones.</w:t>
      </w:r>
    </w:p>
    <w:p w:rsidR="008A7193" w:rsidRPr="00DC5798" w:rsidRDefault="008A7193" w:rsidP="008A7193">
      <w:pPr>
        <w:pStyle w:val="Prrafodelista"/>
        <w:tabs>
          <w:tab w:val="left" w:pos="284"/>
          <w:tab w:val="left" w:pos="426"/>
        </w:tabs>
        <w:spacing w:after="0" w:line="240" w:lineRule="auto"/>
        <w:ind w:left="0"/>
        <w:jc w:val="center"/>
        <w:rPr>
          <w:rFonts w:ascii="ITC Avant Garde" w:hAnsi="ITC Avant Garde"/>
          <w:sz w:val="14"/>
          <w:szCs w:val="14"/>
        </w:rPr>
      </w:pPr>
    </w:p>
    <w:p w:rsidR="008A7193" w:rsidRDefault="008A7193" w:rsidP="008A7193">
      <w:pPr>
        <w:spacing w:after="0" w:line="240" w:lineRule="auto"/>
        <w:jc w:val="both"/>
        <w:rPr>
          <w:rFonts w:ascii="ITC Avant Garde" w:hAnsi="ITC Avant Garde"/>
          <w:sz w:val="14"/>
          <w:szCs w:val="14"/>
        </w:rPr>
      </w:pPr>
    </w:p>
    <w:p w:rsidR="008A7193" w:rsidRDefault="008A7193" w:rsidP="008A7193">
      <w:pPr>
        <w:spacing w:after="0" w:line="240" w:lineRule="auto"/>
        <w:jc w:val="both"/>
        <w:rPr>
          <w:rFonts w:ascii="ITC Avant Garde" w:hAnsi="ITC Avant Garde"/>
          <w:sz w:val="14"/>
          <w:szCs w:val="14"/>
        </w:rPr>
      </w:pPr>
      <w:r w:rsidRPr="00AD3EA4">
        <w:rPr>
          <w:rFonts w:ascii="ITC Avant Garde" w:hAnsi="ITC Avant Garde"/>
          <w:sz w:val="14"/>
          <w:szCs w:val="14"/>
        </w:rPr>
        <w:t>El presente Acuerdo fue aprobado por el Pleno del Instituto Federal de Telecomunicaciones en su VII Sesión Ordinaria celebrada el 9 de marzo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P/IFT/090316/74.</w:t>
      </w:r>
    </w:p>
    <w:p w:rsidR="008A7193" w:rsidRPr="00AD3EA4" w:rsidRDefault="008A7193" w:rsidP="008A7193">
      <w:pPr>
        <w:spacing w:after="0" w:line="240" w:lineRule="auto"/>
        <w:jc w:val="both"/>
        <w:rPr>
          <w:rFonts w:ascii="ITC Avant Garde" w:hAnsi="ITC Avant Garde"/>
          <w:sz w:val="14"/>
          <w:szCs w:val="14"/>
        </w:rPr>
      </w:pPr>
    </w:p>
    <w:p w:rsidR="008A7193" w:rsidRDefault="008A7193" w:rsidP="008A7193">
      <w:pPr>
        <w:spacing w:after="0" w:line="240" w:lineRule="auto"/>
        <w:jc w:val="both"/>
        <w:rPr>
          <w:rFonts w:ascii="ITC Avant Garde" w:hAnsi="ITC Avant Garde"/>
          <w:sz w:val="14"/>
          <w:szCs w:val="14"/>
        </w:rPr>
      </w:pPr>
      <w:r w:rsidRPr="00AD3EA4">
        <w:rPr>
          <w:rFonts w:ascii="ITC Avant Garde" w:hAnsi="ITC Avant Garde"/>
          <w:sz w:val="14"/>
          <w:szCs w:val="14"/>
        </w:rPr>
        <w:t>El plazo de 30 (treinta) días hábiles para la duración de la consulta pública fue aprobado por unanimidad de votos de los Comisionados presentes Gabriel Oswaldo Contreras Saldívar, Ernesto Estrada González, María Elena Estavillo Flores, Mario Germán Fromow Rangel y Adolfo Cuevas Teja, dado que fue propuesto y votado durante la Sesión.</w:t>
      </w:r>
    </w:p>
    <w:p w:rsidR="008A7193" w:rsidRPr="00AD3EA4" w:rsidRDefault="008A7193" w:rsidP="008A7193">
      <w:pPr>
        <w:spacing w:after="0" w:line="240" w:lineRule="auto"/>
        <w:jc w:val="both"/>
        <w:rPr>
          <w:rFonts w:ascii="ITC Avant Garde" w:hAnsi="ITC Avant Garde"/>
          <w:sz w:val="14"/>
          <w:szCs w:val="14"/>
        </w:rPr>
      </w:pPr>
    </w:p>
    <w:p w:rsidR="008A7193" w:rsidRDefault="008A7193" w:rsidP="008A7193">
      <w:pPr>
        <w:spacing w:after="0" w:line="240" w:lineRule="auto"/>
        <w:jc w:val="both"/>
        <w:rPr>
          <w:rFonts w:ascii="ITC Avant Garde" w:hAnsi="ITC Avant Garde"/>
          <w:sz w:val="14"/>
          <w:szCs w:val="14"/>
        </w:rPr>
      </w:pPr>
      <w:r w:rsidRPr="00AD3EA4">
        <w:rPr>
          <w:rFonts w:ascii="ITC Avant Garde" w:hAnsi="ITC Avant Garde"/>
          <w:sz w:val="14"/>
          <w:szCs w:val="14"/>
        </w:rPr>
        <w:t>La Comisionada Adriana Sofía Labardini Inzunza, previendo su ausencia justificada a la Sesión, emitió su voto razonado por escrito, de conformidad con los artículos 45, tercer párrafo de la Ley Federal de Telecomunicaciones y Radiodifusión, y 8, segundo párrafo del Estatuto Orgánico del Instituto Federal de Telecomunicaciones.</w:t>
      </w:r>
    </w:p>
    <w:p w:rsidR="008A7193" w:rsidRDefault="008A7193" w:rsidP="008A7193">
      <w:pPr>
        <w:spacing w:after="0" w:line="240" w:lineRule="auto"/>
        <w:rPr>
          <w:rFonts w:ascii="ITC Avant Garde" w:hAnsi="ITC Avant Garde"/>
          <w:sz w:val="14"/>
          <w:szCs w:val="14"/>
        </w:rPr>
      </w:pPr>
      <w:r>
        <w:rPr>
          <w:rFonts w:ascii="ITC Avant Garde" w:hAnsi="ITC Avant Garde"/>
          <w:sz w:val="14"/>
          <w:szCs w:val="14"/>
        </w:rPr>
        <w:br w:type="page"/>
      </w:r>
    </w:p>
    <w:p w:rsidR="008A7193" w:rsidRPr="00052452" w:rsidRDefault="008A7193" w:rsidP="008A7193">
      <w:pPr>
        <w:pStyle w:val="Ttulo5"/>
        <w:jc w:val="center"/>
        <w:rPr>
          <w:rFonts w:ascii="ITC Avant Garde" w:hAnsi="ITC Avant Garde"/>
          <w:color w:val="auto"/>
        </w:rPr>
      </w:pPr>
      <w:r w:rsidRPr="00052452">
        <w:rPr>
          <w:rFonts w:ascii="ITC Avant Garde" w:hAnsi="ITC Avant Garde"/>
          <w:b/>
          <w:color w:val="auto"/>
        </w:rPr>
        <w:lastRenderedPageBreak/>
        <w:t>ANTEPROYECTO DE LINEAMIENTOS DE CONSULTA PÚBLICA Y ANÁLISIS DE IMPACTO REGULATORIO DEL INSTITUTO FEDERAL DE TELECOMUNICACIONES</w:t>
      </w:r>
    </w:p>
    <w:p w:rsidR="008A7193" w:rsidRDefault="008A7193" w:rsidP="008A7193">
      <w:pPr>
        <w:spacing w:after="0" w:line="240" w:lineRule="auto"/>
        <w:jc w:val="both"/>
        <w:rPr>
          <w:rFonts w:ascii="ITC Avant Garde" w:hAnsi="ITC Avant Garde"/>
        </w:rPr>
      </w:pPr>
    </w:p>
    <w:p w:rsidR="008A7193" w:rsidRPr="00D62592" w:rsidRDefault="008A7193" w:rsidP="008A7193">
      <w:pPr>
        <w:spacing w:after="0" w:line="240" w:lineRule="auto"/>
        <w:jc w:val="center"/>
        <w:rPr>
          <w:rFonts w:ascii="ITC Avant Garde" w:hAnsi="ITC Avant Garde"/>
          <w:b/>
        </w:rPr>
      </w:pPr>
      <w:r w:rsidRPr="00D62592">
        <w:rPr>
          <w:rFonts w:ascii="ITC Avant Garde" w:hAnsi="ITC Avant Garde"/>
          <w:b/>
        </w:rPr>
        <w:t>Capítulo Primero</w:t>
      </w:r>
    </w:p>
    <w:p w:rsidR="008A7193" w:rsidRPr="00D62592" w:rsidRDefault="008A7193" w:rsidP="008A7193">
      <w:pPr>
        <w:spacing w:after="0" w:line="240" w:lineRule="auto"/>
        <w:jc w:val="center"/>
        <w:rPr>
          <w:rFonts w:ascii="ITC Avant Garde" w:hAnsi="ITC Avant Garde"/>
          <w:b/>
        </w:rPr>
      </w:pPr>
      <w:r w:rsidRPr="00D62592">
        <w:rPr>
          <w:rFonts w:ascii="ITC Avant Garde" w:hAnsi="ITC Avant Garde"/>
          <w:b/>
        </w:rPr>
        <w:t>Disposiciones Generales</w:t>
      </w:r>
    </w:p>
    <w:p w:rsidR="008A7193" w:rsidRPr="00D62592" w:rsidRDefault="008A7193" w:rsidP="008A7193">
      <w:pPr>
        <w:spacing w:after="0" w:line="240" w:lineRule="auto"/>
        <w:ind w:left="708" w:hanging="708"/>
        <w:jc w:val="center"/>
        <w:rPr>
          <w:rFonts w:ascii="ITC Avant Garde" w:hAnsi="ITC Avant Garde"/>
          <w:b/>
        </w:rPr>
      </w:pPr>
    </w:p>
    <w:p w:rsidR="008A7193" w:rsidRDefault="008A7193" w:rsidP="008A7193">
      <w:pPr>
        <w:spacing w:after="0" w:line="240" w:lineRule="auto"/>
        <w:jc w:val="both"/>
        <w:rPr>
          <w:rFonts w:ascii="ITC Avant Garde" w:hAnsi="ITC Avant Garde"/>
        </w:rPr>
      </w:pPr>
      <w:r w:rsidRPr="00D62592">
        <w:rPr>
          <w:rFonts w:ascii="ITC Avant Garde" w:hAnsi="ITC Avant Garde"/>
          <w:b/>
        </w:rPr>
        <w:t>Primero.-</w:t>
      </w:r>
      <w:r w:rsidRPr="00D62592">
        <w:rPr>
          <w:rFonts w:ascii="ITC Avant Garde" w:hAnsi="ITC Avant Garde"/>
        </w:rPr>
        <w:t xml:space="preserve"> Los presentes Lineamientos tienen por objeto</w:t>
      </w:r>
      <w:r>
        <w:rPr>
          <w:rFonts w:ascii="ITC Avant Garde" w:hAnsi="ITC Avant Garde"/>
        </w:rPr>
        <w:t xml:space="preserve"> establecer los procedimientos para la realización de consultas públicas y análisis de impacto regulatorio para la emisión y modificación de reglas, lineamientos o disposiciones administrativas de carácter general, así como en cualquier caso que determine el Pleno, bajo los principios de transparencia y participación ciudadana, mediante el establecimiento de:</w:t>
      </w:r>
    </w:p>
    <w:p w:rsidR="008A7193" w:rsidRDefault="008A7193" w:rsidP="008A7193">
      <w:pPr>
        <w:spacing w:after="0" w:line="240" w:lineRule="auto"/>
        <w:jc w:val="both"/>
        <w:rPr>
          <w:rFonts w:ascii="ITC Avant Garde" w:hAnsi="ITC Avant Garde"/>
        </w:rPr>
      </w:pPr>
    </w:p>
    <w:p w:rsidR="008A7193" w:rsidRDefault="008A7193" w:rsidP="008A7193">
      <w:pPr>
        <w:pStyle w:val="Prrafodelista"/>
        <w:numPr>
          <w:ilvl w:val="0"/>
          <w:numId w:val="16"/>
        </w:numPr>
        <w:spacing w:after="0" w:line="240" w:lineRule="auto"/>
        <w:ind w:left="1134" w:right="616" w:hanging="567"/>
        <w:jc w:val="both"/>
        <w:rPr>
          <w:rFonts w:ascii="ITC Avant Garde" w:hAnsi="ITC Avant Garde"/>
        </w:rPr>
      </w:pPr>
      <w:r w:rsidRPr="00802802">
        <w:rPr>
          <w:rFonts w:ascii="ITC Avant Garde" w:hAnsi="ITC Avant Garde"/>
        </w:rPr>
        <w:t xml:space="preserve">Los requisitos, procedimientos y plazos a </w:t>
      </w:r>
      <w:r>
        <w:rPr>
          <w:rFonts w:ascii="ITC Avant Garde" w:hAnsi="ITC Avant Garde"/>
        </w:rPr>
        <w:t xml:space="preserve">los que </w:t>
      </w:r>
      <w:r w:rsidRPr="00802802">
        <w:rPr>
          <w:rFonts w:ascii="ITC Avant Garde" w:hAnsi="ITC Avant Garde"/>
        </w:rPr>
        <w:t>deberá</w:t>
      </w:r>
      <w:r>
        <w:rPr>
          <w:rFonts w:ascii="ITC Avant Garde" w:hAnsi="ITC Avant Garde"/>
        </w:rPr>
        <w:t>n</w:t>
      </w:r>
      <w:r w:rsidRPr="00802802">
        <w:rPr>
          <w:rFonts w:ascii="ITC Avant Garde" w:hAnsi="ITC Avant Garde"/>
        </w:rPr>
        <w:t xml:space="preserve"> sujetarse la</w:t>
      </w:r>
      <w:r>
        <w:rPr>
          <w:rFonts w:ascii="ITC Avant Garde" w:hAnsi="ITC Avant Garde"/>
        </w:rPr>
        <w:t>s Unidades y/o Coordinaciones Generales del Instituto cuando decidan someter a consideración del Pleno la realización de una consulta pública;</w:t>
      </w:r>
    </w:p>
    <w:p w:rsidR="008A7193" w:rsidRPr="0012740B" w:rsidRDefault="008A7193" w:rsidP="008A7193">
      <w:pPr>
        <w:spacing w:after="0" w:line="240" w:lineRule="auto"/>
        <w:ind w:left="567" w:right="616"/>
        <w:jc w:val="both"/>
        <w:rPr>
          <w:rFonts w:ascii="ITC Avant Garde" w:hAnsi="ITC Avant Garde"/>
        </w:rPr>
      </w:pPr>
    </w:p>
    <w:p w:rsidR="008A7193" w:rsidRDefault="008A7193" w:rsidP="008A7193">
      <w:pPr>
        <w:pStyle w:val="Prrafodelista"/>
        <w:numPr>
          <w:ilvl w:val="0"/>
          <w:numId w:val="16"/>
        </w:numPr>
        <w:spacing w:after="0" w:line="240" w:lineRule="auto"/>
        <w:ind w:left="1134" w:right="616" w:hanging="567"/>
        <w:jc w:val="both"/>
        <w:rPr>
          <w:rFonts w:ascii="ITC Avant Garde" w:hAnsi="ITC Avant Garde"/>
        </w:rPr>
      </w:pPr>
      <w:r>
        <w:rPr>
          <w:rFonts w:ascii="ITC Avant Garde" w:hAnsi="ITC Avant Garde"/>
        </w:rPr>
        <w:t>Los análisis de impacto regulatorio,</w:t>
      </w:r>
      <w:r w:rsidRPr="00802802">
        <w:t xml:space="preserve"> </w:t>
      </w:r>
      <w:r w:rsidRPr="00463FC0">
        <w:rPr>
          <w:rFonts w:ascii="ITC Avant Garde" w:hAnsi="ITC Avant Garde"/>
        </w:rPr>
        <w:t xml:space="preserve">sus </w:t>
      </w:r>
      <w:r w:rsidRPr="00802802">
        <w:rPr>
          <w:rFonts w:ascii="ITC Avant Garde" w:hAnsi="ITC Avant Garde"/>
        </w:rPr>
        <w:t>procedimientos y plazos</w:t>
      </w:r>
      <w:r>
        <w:rPr>
          <w:rFonts w:ascii="ITC Avant Garde" w:hAnsi="ITC Avant Garde"/>
        </w:rPr>
        <w:t xml:space="preserve"> que </w:t>
      </w:r>
      <w:r w:rsidRPr="00802802">
        <w:rPr>
          <w:rFonts w:ascii="ITC Avant Garde" w:hAnsi="ITC Avant Garde"/>
        </w:rPr>
        <w:t>la</w:t>
      </w:r>
      <w:r>
        <w:rPr>
          <w:rFonts w:ascii="ITC Avant Garde" w:hAnsi="ITC Avant Garde"/>
        </w:rPr>
        <w:t>s Unidades y/o Coordinaciones Generales del Instituto deberán observar al someter a consideración del Pleno un Anteproyecto para efectos de su consulta pública o, en su caso, de su emisión;</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6"/>
        </w:numPr>
        <w:spacing w:after="0" w:line="240" w:lineRule="auto"/>
        <w:ind w:left="1134" w:right="616" w:hanging="567"/>
        <w:jc w:val="both"/>
        <w:rPr>
          <w:rFonts w:ascii="ITC Avant Garde" w:hAnsi="ITC Avant Garde"/>
        </w:rPr>
      </w:pPr>
      <w:r>
        <w:rPr>
          <w:rFonts w:ascii="ITC Avant Garde" w:hAnsi="ITC Avant Garde"/>
        </w:rPr>
        <w:t>Las formalidades que habrán de considerar los interesados que decidan participar en una consulta pública realizada por el Instituto; y</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6"/>
        </w:numPr>
        <w:spacing w:after="0" w:line="240" w:lineRule="auto"/>
        <w:ind w:left="1134" w:right="616" w:hanging="567"/>
        <w:jc w:val="both"/>
        <w:rPr>
          <w:rFonts w:ascii="ITC Avant Garde" w:hAnsi="ITC Avant Garde"/>
        </w:rPr>
      </w:pPr>
      <w:r>
        <w:rPr>
          <w:rFonts w:ascii="ITC Avant Garde" w:hAnsi="ITC Avant Garde"/>
        </w:rPr>
        <w:t>L</w:t>
      </w:r>
      <w:r w:rsidRPr="00E825E4">
        <w:rPr>
          <w:rFonts w:ascii="ITC Avant Garde" w:hAnsi="ITC Avant Garde"/>
        </w:rPr>
        <w:t>os plazos y características generales</w:t>
      </w:r>
      <w:r>
        <w:rPr>
          <w:rFonts w:ascii="ITC Avant Garde" w:hAnsi="ITC Avant Garde"/>
        </w:rPr>
        <w:t xml:space="preserve"> que deberá contener el Calendario de Consultas Públicas del Instituto.</w:t>
      </w:r>
    </w:p>
    <w:p w:rsidR="008A7193" w:rsidRPr="00802802" w:rsidRDefault="008A7193" w:rsidP="008A7193">
      <w:pPr>
        <w:pStyle w:val="Prrafodelista"/>
        <w:spacing w:after="0" w:line="240" w:lineRule="auto"/>
        <w:ind w:left="1080"/>
        <w:jc w:val="both"/>
        <w:rPr>
          <w:rFonts w:ascii="ITC Avant Garde" w:hAnsi="ITC Avant Garde"/>
        </w:rPr>
      </w:pPr>
    </w:p>
    <w:p w:rsidR="008A7193" w:rsidRDefault="008A7193" w:rsidP="008A7193">
      <w:pPr>
        <w:spacing w:after="0" w:line="240" w:lineRule="auto"/>
        <w:ind w:right="283"/>
        <w:jc w:val="both"/>
        <w:rPr>
          <w:rFonts w:ascii="ITC Avant Garde" w:hAnsi="ITC Avant Garde"/>
        </w:rPr>
      </w:pPr>
      <w:r w:rsidRPr="00D62592">
        <w:rPr>
          <w:rFonts w:ascii="ITC Avant Garde" w:hAnsi="ITC Avant Garde"/>
        </w:rPr>
        <w:t xml:space="preserve">Respecto a la </w:t>
      </w:r>
      <w:r>
        <w:rPr>
          <w:rFonts w:ascii="ITC Avant Garde" w:hAnsi="ITC Avant Garde"/>
        </w:rPr>
        <w:t xml:space="preserve">consulta pública que se realizará a propósito de la </w:t>
      </w:r>
      <w:r w:rsidRPr="00D62592">
        <w:rPr>
          <w:rFonts w:ascii="ITC Avant Garde" w:hAnsi="ITC Avant Garde"/>
        </w:rPr>
        <w:t xml:space="preserve">elaboración y expedición de las disposiciones que contengan las directrices, guías, lineamientos y criterios técnicos a que hace referencia el artículo 12, fracción XXII, párrafo tercero, de la Ley Federal de Competencia Económica, se </w:t>
      </w:r>
      <w:r>
        <w:rPr>
          <w:rFonts w:ascii="ITC Avant Garde" w:hAnsi="ITC Avant Garde"/>
        </w:rPr>
        <w:t>acatará</w:t>
      </w:r>
      <w:r w:rsidRPr="00D62592">
        <w:rPr>
          <w:rFonts w:ascii="ITC Avant Garde" w:hAnsi="ITC Avant Garde"/>
        </w:rPr>
        <w:t xml:space="preserve"> lo dispuesto en el artículo 138 de </w:t>
      </w:r>
      <w:r>
        <w:rPr>
          <w:rFonts w:ascii="ITC Avant Garde" w:hAnsi="ITC Avant Garde"/>
        </w:rPr>
        <w:t>la misma y de manera complementaria, en todo en lo que no la contravenga, se estará a lo dispuesto en los presentes Lineamientos.</w:t>
      </w:r>
    </w:p>
    <w:p w:rsidR="008A7193" w:rsidRDefault="008A7193" w:rsidP="008A7193">
      <w:pPr>
        <w:spacing w:after="0" w:line="240" w:lineRule="auto"/>
        <w:ind w:right="283"/>
        <w:jc w:val="both"/>
        <w:rPr>
          <w:rFonts w:ascii="ITC Avant Garde" w:hAnsi="ITC Avant Garde"/>
        </w:rPr>
      </w:pPr>
    </w:p>
    <w:p w:rsidR="008A7193" w:rsidRDefault="008A7193" w:rsidP="008A7193">
      <w:pPr>
        <w:spacing w:after="0" w:line="240" w:lineRule="auto"/>
        <w:ind w:right="283"/>
        <w:jc w:val="both"/>
        <w:rPr>
          <w:rFonts w:ascii="ITC Avant Garde" w:hAnsi="ITC Avant Garde"/>
        </w:rPr>
      </w:pPr>
      <w:r w:rsidRPr="00D62592">
        <w:rPr>
          <w:rFonts w:ascii="ITC Avant Garde" w:hAnsi="ITC Avant Garde"/>
          <w:b/>
        </w:rPr>
        <w:t>Segundo.-</w:t>
      </w:r>
      <w:r w:rsidRPr="00D62592">
        <w:rPr>
          <w:rFonts w:ascii="ITC Avant Garde" w:hAnsi="ITC Avant Garde"/>
        </w:rPr>
        <w:t xml:space="preserve"> </w:t>
      </w:r>
      <w:r>
        <w:rPr>
          <w:rFonts w:ascii="ITC Avant Garde" w:hAnsi="ITC Avant Garde"/>
        </w:rPr>
        <w:t>En adición a las definiciones de los términos establecidos en la Ley Federal de Telecomunicaciones y Radiodifusión, así como en la Ley Federal de Competencia Económica, p</w:t>
      </w:r>
      <w:r w:rsidRPr="00D62592">
        <w:rPr>
          <w:rFonts w:ascii="ITC Avant Garde" w:hAnsi="ITC Avant Garde"/>
        </w:rPr>
        <w:t>ara los efectos de los presentes Lineamientos, se entenderá por:</w:t>
      </w:r>
    </w:p>
    <w:p w:rsidR="008A7193" w:rsidRPr="00D62592" w:rsidRDefault="008A7193" w:rsidP="008A7193">
      <w:pPr>
        <w:spacing w:after="0" w:line="240" w:lineRule="auto"/>
        <w:jc w:val="both"/>
        <w:rPr>
          <w:rFonts w:ascii="ITC Avant Garde" w:hAnsi="ITC Avant Garde"/>
        </w:rPr>
      </w:pP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sidRPr="00C93193">
        <w:rPr>
          <w:rFonts w:ascii="ITC Avant Garde" w:hAnsi="ITC Avant Garde"/>
          <w:b/>
        </w:rPr>
        <w:lastRenderedPageBreak/>
        <w:t>Análisis de Impacto Regulatorio</w:t>
      </w:r>
      <w:r w:rsidRPr="00D62592">
        <w:rPr>
          <w:rFonts w:ascii="ITC Avant Garde" w:hAnsi="ITC Avant Garde"/>
          <w:b/>
        </w:rPr>
        <w:t xml:space="preserve"> (AIR)</w:t>
      </w:r>
      <w:r w:rsidRPr="00D62592">
        <w:rPr>
          <w:rFonts w:ascii="ITC Avant Garde" w:hAnsi="ITC Avant Garde"/>
        </w:rPr>
        <w:t xml:space="preserve">: </w:t>
      </w:r>
      <w:r>
        <w:rPr>
          <w:rFonts w:ascii="ITC Avant Garde" w:hAnsi="ITC Avant Garde"/>
        </w:rPr>
        <w:t>Herramienta para la elaboración o modificación de las regulaciones que emita el Instituto, cuya  entrada en vigor implique nuevos costos de cumplimiento para los regulados. Permite transparentar y dar a conocer de manera anticipada el objeto de las regulaciones, alternativas evaluadas, posibles impactos potenciales y los mecanismos de cumplimiento, aplicación y evaluación de las mismas;</w:t>
      </w:r>
    </w:p>
    <w:p w:rsidR="008A7193" w:rsidRDefault="008A7193" w:rsidP="008A7193">
      <w:pPr>
        <w:pStyle w:val="Prrafodelista"/>
        <w:spacing w:after="0" w:line="240" w:lineRule="auto"/>
        <w:ind w:left="1134" w:right="616"/>
        <w:jc w:val="both"/>
        <w:rPr>
          <w:rFonts w:ascii="ITC Avant Garde" w:hAnsi="ITC Avant Garde"/>
        </w:rPr>
      </w:pP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Pr>
          <w:rFonts w:ascii="ITC Avant Garde" w:hAnsi="ITC Avant Garde"/>
          <w:b/>
        </w:rPr>
        <w:t>Análisis de Nulo Impacto Regulatorio (ANIR)</w:t>
      </w:r>
      <w:r w:rsidRPr="00030DB0">
        <w:rPr>
          <w:rFonts w:ascii="ITC Avant Garde" w:hAnsi="ITC Avant Garde"/>
        </w:rPr>
        <w:t>:</w:t>
      </w:r>
      <w:r>
        <w:rPr>
          <w:rFonts w:ascii="ITC Avant Garde" w:hAnsi="ITC Avant Garde"/>
        </w:rPr>
        <w:t xml:space="preserve"> Herramienta para la elaboración o modificación de las regulaciones que emita el Instituto, cuya entrada en vigor no implique nuevos costos de cumplimiento a los regulados. Permite transparentar el objeto y el nulo impacto de las mismas;</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sidRPr="00D62592">
        <w:rPr>
          <w:rFonts w:ascii="ITC Avant Garde" w:hAnsi="ITC Avant Garde"/>
          <w:b/>
        </w:rPr>
        <w:t>Anteproyecto:</w:t>
      </w:r>
      <w:r w:rsidRPr="00D62592">
        <w:rPr>
          <w:rFonts w:ascii="ITC Avant Garde" w:hAnsi="ITC Avant Garde"/>
        </w:rPr>
        <w:t xml:space="preserve"> La propuesta de reglas, lineamientos</w:t>
      </w:r>
      <w:r>
        <w:rPr>
          <w:rFonts w:ascii="ITC Avant Garde" w:hAnsi="ITC Avant Garde"/>
        </w:rPr>
        <w:t>, directrices, guías, criterios técnicos, disposiciones técnicas</w:t>
      </w:r>
      <w:r w:rsidRPr="00D62592">
        <w:rPr>
          <w:rFonts w:ascii="ITC Avant Garde" w:hAnsi="ITC Avant Garde"/>
        </w:rPr>
        <w:t xml:space="preserve"> o disposiciones administrativas de carácter general </w:t>
      </w:r>
      <w:r>
        <w:rPr>
          <w:rFonts w:ascii="ITC Avant Garde" w:hAnsi="ITC Avant Garde"/>
        </w:rPr>
        <w:t>elaborada</w:t>
      </w:r>
      <w:r w:rsidRPr="00D62592">
        <w:rPr>
          <w:rFonts w:ascii="ITC Avant Garde" w:hAnsi="ITC Avant Garde"/>
        </w:rPr>
        <w:t xml:space="preserve"> por las Unidades </w:t>
      </w:r>
      <w:r>
        <w:rPr>
          <w:rFonts w:ascii="ITC Avant Garde" w:hAnsi="ITC Avant Garde"/>
        </w:rPr>
        <w:t xml:space="preserve">y/o Coordinaciones Generales, </w:t>
      </w:r>
      <w:r w:rsidRPr="00D62592">
        <w:rPr>
          <w:rFonts w:ascii="ITC Avant Garde" w:hAnsi="ITC Avant Garde"/>
        </w:rPr>
        <w:t xml:space="preserve">que será sometida a consulta pública por </w:t>
      </w:r>
      <w:r>
        <w:rPr>
          <w:rFonts w:ascii="ITC Avant Garde" w:hAnsi="ITC Avant Garde"/>
        </w:rPr>
        <w:t>A</w:t>
      </w:r>
      <w:r w:rsidRPr="00D62592">
        <w:rPr>
          <w:rFonts w:ascii="ITC Avant Garde" w:hAnsi="ITC Avant Garde"/>
        </w:rPr>
        <w:t>cuerdo del Pleno, para efectos de lo dispuesto en los artículos 15, fracción XL</w:t>
      </w:r>
      <w:r>
        <w:rPr>
          <w:rFonts w:ascii="ITC Avant Garde" w:hAnsi="ITC Avant Garde"/>
        </w:rPr>
        <w:t>,</w:t>
      </w:r>
      <w:r w:rsidRPr="00D62592">
        <w:rPr>
          <w:rFonts w:ascii="ITC Avant Garde" w:hAnsi="ITC Avant Garde"/>
        </w:rPr>
        <w:t xml:space="preserve"> y 51 de la Ley, así como 12, fracción XXII, y 138 de la Ley Federal de Competencia Económica;</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sidRPr="00D62592">
        <w:rPr>
          <w:rFonts w:ascii="ITC Avant Garde" w:hAnsi="ITC Avant Garde"/>
          <w:b/>
        </w:rPr>
        <w:t xml:space="preserve">Calendario </w:t>
      </w:r>
      <w:r>
        <w:rPr>
          <w:rFonts w:ascii="ITC Avant Garde" w:hAnsi="ITC Avant Garde"/>
          <w:b/>
        </w:rPr>
        <w:t xml:space="preserve">Anual </w:t>
      </w:r>
      <w:r w:rsidRPr="00D62592">
        <w:rPr>
          <w:rFonts w:ascii="ITC Avant Garde" w:hAnsi="ITC Avant Garde"/>
          <w:b/>
        </w:rPr>
        <w:t xml:space="preserve">de </w:t>
      </w:r>
      <w:r>
        <w:rPr>
          <w:rFonts w:ascii="ITC Avant Garde" w:hAnsi="ITC Avant Garde"/>
          <w:b/>
        </w:rPr>
        <w:t>C</w:t>
      </w:r>
      <w:r w:rsidRPr="00D62592">
        <w:rPr>
          <w:rFonts w:ascii="ITC Avant Garde" w:hAnsi="ITC Avant Garde"/>
          <w:b/>
        </w:rPr>
        <w:t xml:space="preserve">onsultas </w:t>
      </w:r>
      <w:r>
        <w:rPr>
          <w:rFonts w:ascii="ITC Avant Garde" w:hAnsi="ITC Avant Garde"/>
          <w:b/>
        </w:rPr>
        <w:t>P</w:t>
      </w:r>
      <w:r w:rsidRPr="00D62592">
        <w:rPr>
          <w:rFonts w:ascii="ITC Avant Garde" w:hAnsi="ITC Avant Garde"/>
          <w:b/>
        </w:rPr>
        <w:t xml:space="preserve">úblicas: </w:t>
      </w:r>
      <w:r w:rsidRPr="00D62592">
        <w:rPr>
          <w:rFonts w:ascii="ITC Avant Garde" w:hAnsi="ITC Avant Garde"/>
        </w:rPr>
        <w:t xml:space="preserve">Instrumento de transparencia mediante el cual el Instituto difunde los procesos de consulta pública </w:t>
      </w:r>
      <w:r>
        <w:rPr>
          <w:rFonts w:ascii="ITC Avant Garde" w:hAnsi="ITC Avant Garde"/>
        </w:rPr>
        <w:t>que realizará</w:t>
      </w:r>
      <w:r w:rsidRPr="00D62592">
        <w:rPr>
          <w:rFonts w:ascii="ITC Avant Garde" w:hAnsi="ITC Avant Garde"/>
        </w:rPr>
        <w:t xml:space="preserve"> durante </w:t>
      </w:r>
      <w:r>
        <w:rPr>
          <w:rFonts w:ascii="ITC Avant Garde" w:hAnsi="ITC Avant Garde"/>
        </w:rPr>
        <w:t>un</w:t>
      </w:r>
      <w:r w:rsidRPr="00D62592">
        <w:rPr>
          <w:rFonts w:ascii="ITC Avant Garde" w:hAnsi="ITC Avant Garde"/>
        </w:rPr>
        <w:t xml:space="preserve"> año calendario</w:t>
      </w:r>
      <w:r>
        <w:rPr>
          <w:rFonts w:ascii="ITC Avant Garde" w:hAnsi="ITC Avant Garde"/>
        </w:rPr>
        <w:t>;</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sidRPr="00D62592">
        <w:rPr>
          <w:rFonts w:ascii="ITC Avant Garde" w:hAnsi="ITC Avant Garde"/>
          <w:b/>
        </w:rPr>
        <w:t>Coordinación General:</w:t>
      </w:r>
      <w:r w:rsidRPr="00D62592">
        <w:rPr>
          <w:rFonts w:ascii="ITC Avant Garde" w:hAnsi="ITC Avant Garde"/>
        </w:rPr>
        <w:t xml:space="preserve"> La Coordinación General de Mejora Regulatoria del Instituto Federal de Telecomunicaciones;</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Pr>
          <w:rFonts w:ascii="ITC Avant Garde" w:hAnsi="ITC Avant Garde"/>
          <w:b/>
        </w:rPr>
        <w:t xml:space="preserve">Informe de consideraciones: </w:t>
      </w:r>
      <w:r w:rsidRPr="0012740B">
        <w:rPr>
          <w:rFonts w:ascii="ITC Avant Garde" w:hAnsi="ITC Avant Garde"/>
        </w:rPr>
        <w:t xml:space="preserve">El documento </w:t>
      </w:r>
      <w:r>
        <w:rPr>
          <w:rFonts w:ascii="ITC Avant Garde" w:hAnsi="ITC Avant Garde"/>
        </w:rPr>
        <w:t>referido en el artículo 51, tercer párrafo, de la Ley que tiene por objeto reflejar los resultados de l</w:t>
      </w:r>
      <w:r w:rsidRPr="00B74921">
        <w:rPr>
          <w:rFonts w:ascii="ITC Avant Garde" w:hAnsi="ITC Avant Garde"/>
        </w:rPr>
        <w:t>a</w:t>
      </w:r>
      <w:r>
        <w:rPr>
          <w:rFonts w:ascii="ITC Avant Garde" w:hAnsi="ITC Avant Garde"/>
        </w:rPr>
        <w:t>s</w:t>
      </w:r>
      <w:r w:rsidRPr="00B74921">
        <w:rPr>
          <w:rFonts w:ascii="ITC Avant Garde" w:hAnsi="ITC Avant Garde"/>
        </w:rPr>
        <w:t xml:space="preserve"> consulta</w:t>
      </w:r>
      <w:r>
        <w:rPr>
          <w:rFonts w:ascii="ITC Avant Garde" w:hAnsi="ITC Avant Garde"/>
        </w:rPr>
        <w:t>s públicas realizadas por el Instituto;</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sidRPr="00D62592">
        <w:rPr>
          <w:rFonts w:ascii="ITC Avant Garde" w:hAnsi="ITC Avant Garde"/>
          <w:b/>
        </w:rPr>
        <w:t>Instituto:</w:t>
      </w:r>
      <w:r w:rsidRPr="00D62592">
        <w:rPr>
          <w:rFonts w:ascii="ITC Avant Garde" w:hAnsi="ITC Avant Garde"/>
        </w:rPr>
        <w:t xml:space="preserve"> El Instituto Federal de Telecomunicaciones;</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sidRPr="00D62592">
        <w:rPr>
          <w:rFonts w:ascii="ITC Avant Garde" w:hAnsi="ITC Avant Garde"/>
          <w:b/>
        </w:rPr>
        <w:t>Ley:</w:t>
      </w:r>
      <w:r w:rsidRPr="00D62592">
        <w:rPr>
          <w:rFonts w:ascii="ITC Avant Garde" w:hAnsi="ITC Avant Garde"/>
        </w:rPr>
        <w:t xml:space="preserve"> Ley Federal de Telecomunicaciones y Radiodifusión;</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sidRPr="00D62592">
        <w:rPr>
          <w:rFonts w:ascii="ITC Avant Garde" w:hAnsi="ITC Avant Garde"/>
          <w:b/>
        </w:rPr>
        <w:t>Lineamientos:</w:t>
      </w:r>
      <w:r w:rsidRPr="00D62592">
        <w:rPr>
          <w:rFonts w:ascii="ITC Avant Garde" w:hAnsi="ITC Avant Garde"/>
        </w:rPr>
        <w:t xml:space="preserve"> </w:t>
      </w:r>
      <w:r>
        <w:rPr>
          <w:rFonts w:ascii="ITC Avant Garde" w:hAnsi="ITC Avant Garde"/>
        </w:rPr>
        <w:t>Los presentes L</w:t>
      </w:r>
      <w:r w:rsidRPr="00302354">
        <w:rPr>
          <w:rFonts w:ascii="ITC Avant Garde" w:hAnsi="ITC Avant Garde"/>
        </w:rPr>
        <w:t xml:space="preserve">ineamientos de consulta pública y análisis de impacto regulatorio del </w:t>
      </w:r>
      <w:r>
        <w:rPr>
          <w:rFonts w:ascii="ITC Avant Garde" w:hAnsi="ITC Avant Garde"/>
        </w:rPr>
        <w:t>I</w:t>
      </w:r>
      <w:r w:rsidRPr="00302354">
        <w:rPr>
          <w:rFonts w:ascii="ITC Avant Garde" w:hAnsi="ITC Avant Garde"/>
        </w:rPr>
        <w:t xml:space="preserve">nstituto </w:t>
      </w:r>
      <w:r>
        <w:rPr>
          <w:rFonts w:ascii="ITC Avant Garde" w:hAnsi="ITC Avant Garde"/>
        </w:rPr>
        <w:t>F</w:t>
      </w:r>
      <w:r w:rsidRPr="00302354">
        <w:rPr>
          <w:rFonts w:ascii="ITC Avant Garde" w:hAnsi="ITC Avant Garde"/>
        </w:rPr>
        <w:t xml:space="preserve">ederal de </w:t>
      </w:r>
      <w:r>
        <w:rPr>
          <w:rFonts w:ascii="ITC Avant Garde" w:hAnsi="ITC Avant Garde"/>
        </w:rPr>
        <w:t>T</w:t>
      </w:r>
      <w:r w:rsidRPr="00302354">
        <w:rPr>
          <w:rFonts w:ascii="ITC Avant Garde" w:hAnsi="ITC Avant Garde"/>
        </w:rPr>
        <w:t>elecomunicaciones</w:t>
      </w:r>
      <w:r w:rsidRPr="00D62592">
        <w:rPr>
          <w:rFonts w:ascii="ITC Avant Garde" w:hAnsi="ITC Avant Garde"/>
        </w:rPr>
        <w:t xml:space="preserve">; </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sidRPr="00D62592">
        <w:rPr>
          <w:rFonts w:ascii="ITC Avant Garde" w:hAnsi="ITC Avant Garde"/>
          <w:b/>
        </w:rPr>
        <w:t>Pleno:</w:t>
      </w:r>
      <w:r w:rsidRPr="00D62592">
        <w:rPr>
          <w:rFonts w:ascii="ITC Avant Garde" w:hAnsi="ITC Avant Garde"/>
        </w:rPr>
        <w:t xml:space="preserve"> Órgano máximo de gobierno y decisión del Instituto</w:t>
      </w:r>
      <w:r>
        <w:rPr>
          <w:rFonts w:ascii="ITC Avant Garde" w:hAnsi="ITC Avant Garde"/>
        </w:rPr>
        <w:t>, integrado por siete Comisionados con voz y voto, incluido su Presidente</w:t>
      </w:r>
      <w:r w:rsidRPr="00D62592">
        <w:rPr>
          <w:rFonts w:ascii="ITC Avant Garde" w:hAnsi="ITC Avant Garde"/>
        </w:rPr>
        <w:t>;</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sidRPr="00D62592">
        <w:rPr>
          <w:rFonts w:ascii="ITC Avant Garde" w:hAnsi="ITC Avant Garde"/>
          <w:b/>
        </w:rPr>
        <w:t>Portal:</w:t>
      </w:r>
      <w:r w:rsidRPr="00D62592">
        <w:rPr>
          <w:rFonts w:ascii="ITC Avant Garde" w:hAnsi="ITC Avant Garde"/>
        </w:rPr>
        <w:t xml:space="preserve"> </w:t>
      </w:r>
      <w:r>
        <w:rPr>
          <w:rFonts w:ascii="ITC Avant Garde" w:hAnsi="ITC Avant Garde"/>
        </w:rPr>
        <w:t>Página</w:t>
      </w:r>
      <w:r w:rsidRPr="00D62592">
        <w:rPr>
          <w:rFonts w:ascii="ITC Avant Garde" w:hAnsi="ITC Avant Garde"/>
        </w:rPr>
        <w:t xml:space="preserve"> de Internet del Instituto Federal de Telecomunicaciones; </w:t>
      </w: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sidRPr="00D62592">
        <w:rPr>
          <w:rFonts w:ascii="ITC Avant Garde" w:hAnsi="ITC Avant Garde"/>
          <w:b/>
        </w:rPr>
        <w:t>Proyecto:</w:t>
      </w:r>
      <w:r w:rsidRPr="00D62592">
        <w:rPr>
          <w:rFonts w:ascii="ITC Avant Garde" w:hAnsi="ITC Avant Garde"/>
        </w:rPr>
        <w:t xml:space="preserve"> La propuesta de reglas, lineamientos</w:t>
      </w:r>
      <w:r>
        <w:rPr>
          <w:rFonts w:ascii="ITC Avant Garde" w:hAnsi="ITC Avant Garde"/>
        </w:rPr>
        <w:t>, directrices, guías, criterios técnicos, disposiciones técnicas</w:t>
      </w:r>
      <w:r w:rsidRPr="00D62592">
        <w:rPr>
          <w:rFonts w:ascii="ITC Avant Garde" w:hAnsi="ITC Avant Garde"/>
        </w:rPr>
        <w:t xml:space="preserve"> o disposiciones administrativas de carácter general </w:t>
      </w:r>
      <w:r>
        <w:rPr>
          <w:rFonts w:ascii="ITC Avant Garde" w:hAnsi="ITC Avant Garde"/>
        </w:rPr>
        <w:t>elaborada</w:t>
      </w:r>
      <w:r w:rsidRPr="00D62592">
        <w:rPr>
          <w:rFonts w:ascii="ITC Avant Garde" w:hAnsi="ITC Avant Garde"/>
        </w:rPr>
        <w:t xml:space="preserve"> por las Unidades </w:t>
      </w:r>
      <w:r>
        <w:rPr>
          <w:rFonts w:ascii="ITC Avant Garde" w:hAnsi="ITC Avant Garde"/>
        </w:rPr>
        <w:t xml:space="preserve">y/o Coordinaciones Generales, </w:t>
      </w:r>
      <w:r w:rsidRPr="00D62592">
        <w:rPr>
          <w:rFonts w:ascii="ITC Avant Garde" w:hAnsi="ITC Avant Garde"/>
        </w:rPr>
        <w:t>que será sometida para consideración y, en su caso, expedición del Pleno, para efectos de lo dispuesto en los artículos 15, fracción I</w:t>
      </w:r>
      <w:r>
        <w:rPr>
          <w:rFonts w:ascii="ITC Avant Garde" w:hAnsi="ITC Avant Garde"/>
        </w:rPr>
        <w:t>,</w:t>
      </w:r>
      <w:r w:rsidRPr="00D62592">
        <w:rPr>
          <w:rFonts w:ascii="ITC Avant Garde" w:hAnsi="ITC Avant Garde"/>
        </w:rPr>
        <w:t xml:space="preserve"> y 17, fracción I</w:t>
      </w:r>
      <w:r>
        <w:rPr>
          <w:rFonts w:ascii="ITC Avant Garde" w:hAnsi="ITC Avant Garde"/>
        </w:rPr>
        <w:t>,</w:t>
      </w:r>
      <w:r w:rsidRPr="00D62592">
        <w:rPr>
          <w:rFonts w:ascii="ITC Avant Garde" w:hAnsi="ITC Avant Garde"/>
        </w:rPr>
        <w:t xml:space="preserve"> de la Ley, así como </w:t>
      </w:r>
      <w:r>
        <w:rPr>
          <w:rFonts w:ascii="ITC Avant Garde" w:hAnsi="ITC Avant Garde"/>
        </w:rPr>
        <w:t>1</w:t>
      </w:r>
      <w:r w:rsidRPr="00D62592">
        <w:rPr>
          <w:rFonts w:ascii="ITC Avant Garde" w:hAnsi="ITC Avant Garde"/>
        </w:rPr>
        <w:t>2, fracción XXII, y 138 de la Ley Federal de Competencia Económica;</w:t>
      </w:r>
    </w:p>
    <w:p w:rsidR="008A7193" w:rsidRPr="0088331D" w:rsidRDefault="008A7193" w:rsidP="008A7193">
      <w:pPr>
        <w:pStyle w:val="Prrafodelista"/>
        <w:rPr>
          <w:rFonts w:ascii="ITC Avant Garde" w:hAnsi="ITC Avant Garde"/>
          <w:b/>
        </w:rPr>
      </w:pPr>
    </w:p>
    <w:p w:rsidR="008A7193" w:rsidRDefault="008A7193" w:rsidP="008A7193">
      <w:pPr>
        <w:pStyle w:val="Prrafodelista"/>
        <w:numPr>
          <w:ilvl w:val="0"/>
          <w:numId w:val="9"/>
        </w:numPr>
        <w:spacing w:after="0" w:line="240" w:lineRule="auto"/>
        <w:ind w:left="1134" w:right="616" w:hanging="567"/>
        <w:jc w:val="both"/>
        <w:rPr>
          <w:rFonts w:ascii="ITC Avant Garde" w:hAnsi="ITC Avant Garde"/>
        </w:rPr>
      </w:pPr>
      <w:r w:rsidRPr="0088331D">
        <w:rPr>
          <w:rFonts w:ascii="ITC Avant Garde" w:hAnsi="ITC Avant Garde"/>
          <w:b/>
        </w:rPr>
        <w:t xml:space="preserve">Trámite: </w:t>
      </w:r>
      <w:r>
        <w:rPr>
          <w:rFonts w:ascii="ITC Avant Garde" w:hAnsi="ITC Avant Garde"/>
        </w:rPr>
        <w:t>C</w:t>
      </w:r>
      <w:r w:rsidRPr="0088331D">
        <w:rPr>
          <w:rFonts w:ascii="ITC Avant Garde" w:hAnsi="ITC Avant Garde"/>
        </w:rPr>
        <w:t>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 y</w:t>
      </w:r>
    </w:p>
    <w:p w:rsidR="008A7193" w:rsidRPr="0088331D" w:rsidRDefault="008A7193" w:rsidP="008A7193">
      <w:pPr>
        <w:pStyle w:val="Prrafodelista"/>
        <w:rPr>
          <w:rFonts w:ascii="ITC Avant Garde" w:hAnsi="ITC Avant Garde"/>
          <w:b/>
        </w:rPr>
      </w:pPr>
    </w:p>
    <w:p w:rsidR="008A7193" w:rsidRPr="0088331D" w:rsidRDefault="008A7193" w:rsidP="008A7193">
      <w:pPr>
        <w:pStyle w:val="Prrafodelista"/>
        <w:numPr>
          <w:ilvl w:val="0"/>
          <w:numId w:val="9"/>
        </w:numPr>
        <w:spacing w:after="0" w:line="240" w:lineRule="auto"/>
        <w:ind w:left="1134" w:right="616" w:hanging="567"/>
        <w:jc w:val="both"/>
        <w:rPr>
          <w:rFonts w:ascii="ITC Avant Garde" w:hAnsi="ITC Avant Garde"/>
        </w:rPr>
      </w:pPr>
      <w:r w:rsidRPr="0088331D">
        <w:rPr>
          <w:rFonts w:ascii="ITC Avant Garde" w:hAnsi="ITC Avant Garde"/>
          <w:b/>
        </w:rPr>
        <w:t>Unidades y/o Coordinaciones Generales:</w:t>
      </w:r>
      <w:r w:rsidRPr="0088331D">
        <w:rPr>
          <w:rFonts w:ascii="ITC Avant Garde" w:hAnsi="ITC Avant Garde"/>
        </w:rPr>
        <w:t xml:space="preserve"> Las Unidades, Coordinaciones Generales, la Autoridad Investigadora y el Centro de Estudios, que conforman la estructura del Instituto Federal de Telecomunicaciones conforme al artículo 4, fracciones V a VIII, del Estatuto Orgánico del Instituto Federal de Telecomunicaciones.</w:t>
      </w:r>
    </w:p>
    <w:p w:rsidR="008A7193" w:rsidRDefault="008A7193" w:rsidP="008A7193">
      <w:pPr>
        <w:spacing w:after="0" w:line="240" w:lineRule="auto"/>
        <w:jc w:val="both"/>
        <w:rPr>
          <w:rFonts w:ascii="ITC Avant Garde" w:hAnsi="ITC Avant Garde"/>
        </w:rPr>
      </w:pPr>
    </w:p>
    <w:p w:rsidR="008A7193" w:rsidRPr="00D62592" w:rsidRDefault="008A7193" w:rsidP="008A7193">
      <w:pPr>
        <w:spacing w:after="0" w:line="240" w:lineRule="auto"/>
        <w:jc w:val="center"/>
        <w:rPr>
          <w:rFonts w:ascii="ITC Avant Garde" w:hAnsi="ITC Avant Garde"/>
          <w:b/>
        </w:rPr>
      </w:pPr>
      <w:r w:rsidRPr="00D62592">
        <w:rPr>
          <w:rFonts w:ascii="ITC Avant Garde" w:hAnsi="ITC Avant Garde"/>
          <w:b/>
        </w:rPr>
        <w:t>Capítulo Segundo</w:t>
      </w:r>
    </w:p>
    <w:p w:rsidR="008A7193" w:rsidRPr="00D62592" w:rsidRDefault="008A7193" w:rsidP="008A7193">
      <w:pPr>
        <w:spacing w:after="0" w:line="240" w:lineRule="auto"/>
        <w:jc w:val="center"/>
        <w:rPr>
          <w:rFonts w:ascii="ITC Avant Garde" w:hAnsi="ITC Avant Garde"/>
          <w:b/>
        </w:rPr>
      </w:pPr>
      <w:r w:rsidRPr="00D62592">
        <w:rPr>
          <w:rFonts w:ascii="ITC Avant Garde" w:hAnsi="ITC Avant Garde"/>
          <w:b/>
        </w:rPr>
        <w:t>De las Consultas Públicas</w:t>
      </w:r>
    </w:p>
    <w:p w:rsidR="008A7193" w:rsidRPr="00D62592" w:rsidRDefault="008A7193" w:rsidP="008A7193">
      <w:pPr>
        <w:spacing w:after="0" w:line="240" w:lineRule="auto"/>
        <w:jc w:val="center"/>
        <w:rPr>
          <w:rFonts w:ascii="ITC Avant Garde" w:hAnsi="ITC Avant Garde"/>
          <w:b/>
        </w:rPr>
      </w:pPr>
    </w:p>
    <w:p w:rsidR="008A7193" w:rsidRDefault="008A7193" w:rsidP="008A7193">
      <w:pPr>
        <w:spacing w:after="0" w:line="240" w:lineRule="auto"/>
        <w:jc w:val="both"/>
        <w:rPr>
          <w:rFonts w:ascii="ITC Avant Garde" w:hAnsi="ITC Avant Garde"/>
        </w:rPr>
      </w:pPr>
      <w:r>
        <w:rPr>
          <w:rFonts w:ascii="ITC Avant Garde" w:hAnsi="ITC Avant Garde"/>
          <w:b/>
        </w:rPr>
        <w:t>Tercero</w:t>
      </w:r>
      <w:r w:rsidRPr="00D62592">
        <w:rPr>
          <w:rFonts w:ascii="ITC Avant Garde" w:hAnsi="ITC Avant Garde"/>
          <w:b/>
        </w:rPr>
        <w:t xml:space="preserve">.- </w:t>
      </w:r>
      <w:r w:rsidRPr="000F6920">
        <w:rPr>
          <w:rFonts w:ascii="ITC Avant Garde" w:hAnsi="ITC Avant Garde"/>
        </w:rPr>
        <w:t xml:space="preserve">Con el objeto </w:t>
      </w:r>
      <w:r>
        <w:rPr>
          <w:rFonts w:ascii="ITC Avant Garde" w:hAnsi="ITC Avant Garde"/>
        </w:rPr>
        <w:t xml:space="preserve">de fomentar la transparencia y la </w:t>
      </w:r>
      <w:r w:rsidRPr="00E608FD">
        <w:rPr>
          <w:rFonts w:ascii="ITC Avant Garde" w:hAnsi="ITC Avant Garde"/>
        </w:rPr>
        <w:t>participación ciudadana</w:t>
      </w:r>
      <w:r>
        <w:rPr>
          <w:rFonts w:ascii="ITC Avant Garde" w:hAnsi="ITC Avant Garde"/>
        </w:rPr>
        <w:t xml:space="preserve"> </w:t>
      </w:r>
      <w:r w:rsidRPr="000F6920">
        <w:rPr>
          <w:rFonts w:ascii="ITC Avant Garde" w:hAnsi="ITC Avant Garde"/>
        </w:rPr>
        <w:t xml:space="preserve">en la elaboración de </w:t>
      </w:r>
      <w:r>
        <w:rPr>
          <w:rFonts w:ascii="ITC Avant Garde" w:hAnsi="ITC Avant Garde"/>
        </w:rPr>
        <w:t xml:space="preserve">regulaciones y </w:t>
      </w:r>
      <w:r w:rsidRPr="000F6920">
        <w:rPr>
          <w:rFonts w:ascii="ITC Avant Garde" w:hAnsi="ITC Avant Garde"/>
        </w:rPr>
        <w:t xml:space="preserve">políticas </w:t>
      </w:r>
      <w:r>
        <w:rPr>
          <w:rFonts w:ascii="ITC Avant Garde" w:hAnsi="ITC Avant Garde"/>
        </w:rPr>
        <w:t xml:space="preserve">regulatorias, el Instituto podrá realizar, según corresponda, cualquiera de los siguientes tipos de consulta pública: </w:t>
      </w:r>
    </w:p>
    <w:p w:rsidR="008A7193" w:rsidRDefault="008A7193" w:rsidP="008A7193">
      <w:pPr>
        <w:spacing w:after="0" w:line="240" w:lineRule="auto"/>
        <w:jc w:val="both"/>
        <w:rPr>
          <w:rFonts w:ascii="ITC Avant Garde" w:hAnsi="ITC Avant Garde"/>
        </w:rPr>
      </w:pPr>
    </w:p>
    <w:p w:rsidR="008A7193" w:rsidRDefault="008A7193" w:rsidP="008A7193">
      <w:pPr>
        <w:pStyle w:val="Prrafodelista"/>
        <w:numPr>
          <w:ilvl w:val="0"/>
          <w:numId w:val="27"/>
        </w:numPr>
        <w:spacing w:after="0" w:line="240" w:lineRule="auto"/>
        <w:ind w:left="1134" w:right="616" w:hanging="567"/>
        <w:jc w:val="both"/>
        <w:rPr>
          <w:rFonts w:ascii="ITC Avant Garde" w:hAnsi="ITC Avant Garde"/>
        </w:rPr>
      </w:pPr>
      <w:r w:rsidRPr="009F3898">
        <w:rPr>
          <w:rFonts w:ascii="ITC Avant Garde" w:hAnsi="ITC Avant Garde"/>
          <w:b/>
        </w:rPr>
        <w:t>De Integración:</w:t>
      </w:r>
      <w:r w:rsidRPr="009F3898">
        <w:rPr>
          <w:rFonts w:ascii="ITC Avant Garde" w:hAnsi="ITC Avant Garde"/>
        </w:rPr>
        <w:t xml:space="preserve"> se realizará para recabar información, </w:t>
      </w:r>
      <w:r>
        <w:rPr>
          <w:rFonts w:ascii="ITC Avant Garde" w:hAnsi="ITC Avant Garde"/>
        </w:rPr>
        <w:t xml:space="preserve">comentarios, opiniones, aportaciones u otros elementos de análisis </w:t>
      </w:r>
      <w:r w:rsidRPr="009F3898">
        <w:rPr>
          <w:rFonts w:ascii="ITC Avant Garde" w:hAnsi="ITC Avant Garde"/>
        </w:rPr>
        <w:t>por parte de cualquier persona</w:t>
      </w:r>
      <w:r>
        <w:rPr>
          <w:rFonts w:ascii="ITC Avant Garde" w:hAnsi="ITC Avant Garde"/>
        </w:rPr>
        <w:t>, sobre algún tema</w:t>
      </w:r>
      <w:r w:rsidRPr="009F3898">
        <w:rPr>
          <w:rFonts w:ascii="ITC Avant Garde" w:hAnsi="ITC Avant Garde"/>
        </w:rPr>
        <w:t xml:space="preserve"> de interés </w:t>
      </w:r>
      <w:r>
        <w:rPr>
          <w:rFonts w:ascii="ITC Avant Garde" w:hAnsi="ITC Avant Garde"/>
        </w:rPr>
        <w:t xml:space="preserve">del Instituto, </w:t>
      </w:r>
      <w:r w:rsidRPr="009F3898">
        <w:rPr>
          <w:rFonts w:ascii="ITC Avant Garde" w:hAnsi="ITC Avant Garde"/>
        </w:rPr>
        <w:t xml:space="preserve">que </w:t>
      </w:r>
      <w:r>
        <w:rPr>
          <w:rFonts w:ascii="ITC Avant Garde" w:hAnsi="ITC Avant Garde"/>
        </w:rPr>
        <w:t xml:space="preserve">le </w:t>
      </w:r>
      <w:r w:rsidRPr="009F3898">
        <w:rPr>
          <w:rFonts w:ascii="ITC Avant Garde" w:hAnsi="ITC Avant Garde"/>
        </w:rPr>
        <w:t xml:space="preserve">permita generar de manera previa </w:t>
      </w:r>
      <w:r>
        <w:rPr>
          <w:rFonts w:ascii="ITC Avant Garde" w:hAnsi="ITC Avant Garde"/>
        </w:rPr>
        <w:t xml:space="preserve">regulaciones o </w:t>
      </w:r>
      <w:r w:rsidRPr="009F3898">
        <w:rPr>
          <w:rFonts w:ascii="ITC Avant Garde" w:hAnsi="ITC Avant Garde"/>
        </w:rPr>
        <w:t xml:space="preserve">estrategias de política </w:t>
      </w:r>
      <w:r>
        <w:rPr>
          <w:rFonts w:ascii="ITC Avant Garde" w:hAnsi="ITC Avant Garde"/>
        </w:rPr>
        <w:t>regulatoria</w:t>
      </w:r>
      <w:r w:rsidRPr="009F3898">
        <w:rPr>
          <w:rFonts w:ascii="ITC Avant Garde" w:hAnsi="ITC Avant Garde"/>
        </w:rPr>
        <w:t xml:space="preserve"> dirigidas a los sectores de las telecomunicaciones </w:t>
      </w:r>
      <w:r>
        <w:rPr>
          <w:rFonts w:ascii="ITC Avant Garde" w:hAnsi="ITC Avant Garde"/>
        </w:rPr>
        <w:t>o</w:t>
      </w:r>
      <w:r w:rsidRPr="009F3898">
        <w:rPr>
          <w:rFonts w:ascii="ITC Avant Garde" w:hAnsi="ITC Avant Garde"/>
        </w:rPr>
        <w:t xml:space="preserve"> la radiodifusión;</w:t>
      </w:r>
      <w:r>
        <w:rPr>
          <w:rFonts w:ascii="ITC Avant Garde" w:hAnsi="ITC Avant Garde"/>
        </w:rPr>
        <w:t xml:space="preserve"> así como en materia de competencia económica en dichos sectores.</w:t>
      </w:r>
    </w:p>
    <w:p w:rsidR="008A7193" w:rsidRPr="009F3898" w:rsidRDefault="008A7193" w:rsidP="008A7193">
      <w:pPr>
        <w:pStyle w:val="Prrafodelista"/>
        <w:spacing w:after="0" w:line="240" w:lineRule="auto"/>
        <w:ind w:left="1134" w:right="616" w:hanging="567"/>
        <w:jc w:val="both"/>
        <w:rPr>
          <w:rFonts w:ascii="ITC Avant Garde" w:hAnsi="ITC Avant Garde"/>
        </w:rPr>
      </w:pPr>
    </w:p>
    <w:p w:rsidR="008A7193" w:rsidRDefault="008A7193" w:rsidP="008A7193">
      <w:pPr>
        <w:pStyle w:val="Prrafodelista"/>
        <w:numPr>
          <w:ilvl w:val="0"/>
          <w:numId w:val="27"/>
        </w:numPr>
        <w:spacing w:after="0" w:line="240" w:lineRule="auto"/>
        <w:ind w:left="1134" w:right="616" w:hanging="567"/>
        <w:jc w:val="both"/>
        <w:rPr>
          <w:rFonts w:ascii="ITC Avant Garde" w:hAnsi="ITC Avant Garde"/>
        </w:rPr>
      </w:pPr>
      <w:r w:rsidRPr="009F3898">
        <w:rPr>
          <w:rFonts w:ascii="ITC Avant Garde" w:hAnsi="ITC Avant Garde"/>
          <w:b/>
        </w:rPr>
        <w:lastRenderedPageBreak/>
        <w:t>Del Anteproyecto y su Análisis de Impacto Regulatorio:</w:t>
      </w:r>
      <w:r w:rsidRPr="009F3898">
        <w:rPr>
          <w:rFonts w:ascii="ITC Avant Garde" w:hAnsi="ITC Avant Garde"/>
        </w:rPr>
        <w:t xml:space="preserve"> se realizará para obtener </w:t>
      </w:r>
      <w:r>
        <w:rPr>
          <w:rFonts w:ascii="ITC Avant Garde" w:hAnsi="ITC Avant Garde"/>
        </w:rPr>
        <w:t xml:space="preserve">información, comentarios, </w:t>
      </w:r>
      <w:r w:rsidRPr="009F3898">
        <w:rPr>
          <w:rFonts w:ascii="ITC Avant Garde" w:hAnsi="ITC Avant Garde"/>
        </w:rPr>
        <w:t xml:space="preserve">opiniones, </w:t>
      </w:r>
      <w:r>
        <w:rPr>
          <w:rFonts w:ascii="ITC Avant Garde" w:hAnsi="ITC Avant Garde"/>
        </w:rPr>
        <w:t xml:space="preserve">aportaciones u otros elementos de análisis </w:t>
      </w:r>
      <w:r w:rsidRPr="009F3898">
        <w:rPr>
          <w:rFonts w:ascii="ITC Avant Garde" w:hAnsi="ITC Avant Garde"/>
        </w:rPr>
        <w:t>por parte de cualquier persona</w:t>
      </w:r>
      <w:r>
        <w:rPr>
          <w:rFonts w:ascii="ITC Avant Garde" w:hAnsi="ITC Avant Garde"/>
        </w:rPr>
        <w:t>,</w:t>
      </w:r>
      <w:r w:rsidRPr="009F3898">
        <w:rPr>
          <w:rFonts w:ascii="ITC Avant Garde" w:hAnsi="ITC Avant Garde"/>
        </w:rPr>
        <w:t xml:space="preserve"> sobre las medidas regulatorias propuestas por el Instituto en un determinado Anteproyecto, de su posible impacto en el sector de las telecomunicaciones y la radiodifusión, </w:t>
      </w:r>
      <w:r>
        <w:rPr>
          <w:rFonts w:ascii="ITC Avant Garde" w:hAnsi="ITC Avant Garde"/>
        </w:rPr>
        <w:t xml:space="preserve">así como en materia de competencia económica en dichos sectores, y </w:t>
      </w:r>
      <w:r w:rsidRPr="009F3898">
        <w:rPr>
          <w:rFonts w:ascii="ITC Avant Garde" w:hAnsi="ITC Avant Garde"/>
        </w:rPr>
        <w:t>su respectivo AIR o ANIR, según corresponda;</w:t>
      </w:r>
    </w:p>
    <w:p w:rsidR="008A7193" w:rsidRPr="0012740B" w:rsidRDefault="008A7193" w:rsidP="008A7193">
      <w:pPr>
        <w:spacing w:after="0" w:line="240" w:lineRule="auto"/>
        <w:ind w:left="1134" w:right="616" w:hanging="567"/>
        <w:jc w:val="both"/>
        <w:rPr>
          <w:rFonts w:ascii="ITC Avant Garde" w:hAnsi="ITC Avant Garde"/>
        </w:rPr>
      </w:pPr>
    </w:p>
    <w:p w:rsidR="008A7193" w:rsidRDefault="008A7193" w:rsidP="008A7193">
      <w:pPr>
        <w:pStyle w:val="Prrafodelista"/>
        <w:numPr>
          <w:ilvl w:val="0"/>
          <w:numId w:val="27"/>
        </w:numPr>
        <w:spacing w:after="0" w:line="240" w:lineRule="auto"/>
        <w:ind w:left="1134" w:right="616" w:hanging="567"/>
        <w:jc w:val="both"/>
        <w:rPr>
          <w:rFonts w:ascii="ITC Avant Garde" w:hAnsi="ITC Avant Garde"/>
        </w:rPr>
      </w:pPr>
      <w:r w:rsidRPr="009F3898">
        <w:rPr>
          <w:rFonts w:ascii="ITC Avant Garde" w:hAnsi="ITC Avant Garde"/>
          <w:b/>
        </w:rPr>
        <w:t>De Evaluación:</w:t>
      </w:r>
      <w:r w:rsidRPr="009F3898">
        <w:rPr>
          <w:rFonts w:ascii="ITC Avant Garde" w:hAnsi="ITC Avant Garde"/>
        </w:rPr>
        <w:t xml:space="preserve"> se realizará para recabar información, </w:t>
      </w:r>
      <w:r>
        <w:rPr>
          <w:rFonts w:ascii="ITC Avant Garde" w:hAnsi="ITC Avant Garde"/>
        </w:rPr>
        <w:t>comentarios, opiniones, aportaciones u otros elementos de análisis por parte de</w:t>
      </w:r>
      <w:r w:rsidRPr="009F3898">
        <w:rPr>
          <w:rFonts w:ascii="ITC Avant Garde" w:hAnsi="ITC Avant Garde"/>
        </w:rPr>
        <w:t xml:space="preserve"> cualquier persona, sobre la aplicación e implementación de las reglas, lineamientos, directrices, guías, criterios técnicos, disposiciones técnicas o disposiciones administrativas de carácter general </w:t>
      </w:r>
      <w:r>
        <w:rPr>
          <w:rFonts w:ascii="ITC Avant Garde" w:hAnsi="ITC Avant Garde"/>
        </w:rPr>
        <w:t>emitidas</w:t>
      </w:r>
      <w:r w:rsidRPr="009F3898">
        <w:rPr>
          <w:rFonts w:ascii="ITC Avant Garde" w:hAnsi="ITC Avant Garde"/>
        </w:rPr>
        <w:t xml:space="preserve"> </w:t>
      </w:r>
      <w:r>
        <w:rPr>
          <w:rFonts w:ascii="ITC Avant Garde" w:hAnsi="ITC Avant Garde"/>
        </w:rPr>
        <w:t xml:space="preserve">por </w:t>
      </w:r>
      <w:r w:rsidRPr="009F3898">
        <w:rPr>
          <w:rFonts w:ascii="ITC Avant Garde" w:hAnsi="ITC Avant Garde"/>
        </w:rPr>
        <w:t xml:space="preserve">el Pleno y </w:t>
      </w:r>
      <w:r>
        <w:rPr>
          <w:rFonts w:ascii="ITC Avant Garde" w:hAnsi="ITC Avant Garde"/>
        </w:rPr>
        <w:t>que se encuentren vigentes,</w:t>
      </w:r>
      <w:r w:rsidRPr="009F3898">
        <w:rPr>
          <w:rFonts w:ascii="ITC Avant Garde" w:hAnsi="ITC Avant Garde"/>
        </w:rPr>
        <w:t xml:space="preserve"> a fin de </w:t>
      </w:r>
      <w:r>
        <w:rPr>
          <w:rFonts w:ascii="ITC Avant Garde" w:hAnsi="ITC Avant Garde"/>
        </w:rPr>
        <w:t>evaluar</w:t>
      </w:r>
      <w:r w:rsidRPr="009F3898">
        <w:rPr>
          <w:rFonts w:ascii="ITC Avant Garde" w:hAnsi="ITC Avant Garde"/>
        </w:rPr>
        <w:t xml:space="preserve"> su eficacia, eficiencia, impacto y permanencia con relación a las circunstancias por las que fueron creadas.</w:t>
      </w:r>
    </w:p>
    <w:p w:rsidR="008A7193" w:rsidRPr="009F3898" w:rsidRDefault="008A7193" w:rsidP="008A7193">
      <w:pPr>
        <w:pStyle w:val="Prrafodelista"/>
        <w:spacing w:after="0" w:line="240" w:lineRule="auto"/>
        <w:ind w:left="1146"/>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rPr>
        <w:t xml:space="preserve">Para el caso de las consultas públicas indígenas, el Instituto podrá realizar cualquiera de las consultas públicas antes mencionadas, en los términos y procedimientos que determine el Pleno, y deberá observar en todo momento lo dispuesto en el </w:t>
      </w:r>
      <w:r w:rsidRPr="00F433A0">
        <w:rPr>
          <w:rFonts w:ascii="ITC Avant Garde" w:hAnsi="ITC Avant Garde"/>
        </w:rPr>
        <w:t>Convenio 169 de la Organización Internacional del Trabajo sobre Pueblos Indígenas y Tribales en Países Independientes</w:t>
      </w:r>
      <w:r>
        <w:rPr>
          <w:rFonts w:ascii="ITC Avant Garde" w:hAnsi="ITC Avant Garde"/>
        </w:rPr>
        <w:t xml:space="preserve">, </w:t>
      </w:r>
      <w:r w:rsidRPr="00A12CA1">
        <w:rPr>
          <w:rFonts w:ascii="ITC Avant Garde" w:hAnsi="ITC Avant Garde"/>
        </w:rPr>
        <w:t xml:space="preserve">así como en cualquier </w:t>
      </w:r>
      <w:r>
        <w:rPr>
          <w:rFonts w:ascii="ITC Avant Garde" w:hAnsi="ITC Avant Garde"/>
        </w:rPr>
        <w:t>C</w:t>
      </w:r>
      <w:r w:rsidRPr="00A12CA1">
        <w:rPr>
          <w:rFonts w:ascii="ITC Avant Garde" w:hAnsi="ITC Avant Garde"/>
        </w:rPr>
        <w:t>onvenio o Tratado Internacional en el cual México llegue a ser parte y se refiera a este tema</w:t>
      </w:r>
      <w:r>
        <w:rPr>
          <w:rFonts w:ascii="ITC Avant Garde" w:hAnsi="ITC Avant Garde"/>
        </w:rPr>
        <w:t>.</w:t>
      </w:r>
    </w:p>
    <w:p w:rsidR="008A7193" w:rsidRPr="00DB3D3C"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b/>
        </w:rPr>
        <w:t>Cuarto</w:t>
      </w:r>
      <w:r w:rsidRPr="00D62592">
        <w:rPr>
          <w:rFonts w:ascii="ITC Avant Garde" w:hAnsi="ITC Avant Garde"/>
          <w:b/>
        </w:rPr>
        <w:t xml:space="preserve">.- </w:t>
      </w:r>
      <w:r>
        <w:rPr>
          <w:rFonts w:ascii="ITC Avant Garde" w:hAnsi="ITC Avant Garde"/>
        </w:rPr>
        <w:t xml:space="preserve">El Instituto </w:t>
      </w:r>
      <w:r w:rsidRPr="00D62592">
        <w:rPr>
          <w:rFonts w:ascii="ITC Avant Garde" w:hAnsi="ITC Avant Garde"/>
        </w:rPr>
        <w:t>habilitará</w:t>
      </w:r>
      <w:r>
        <w:rPr>
          <w:rFonts w:ascii="ITC Avant Garde" w:hAnsi="ITC Avant Garde"/>
        </w:rPr>
        <w:t xml:space="preserve"> </w:t>
      </w:r>
      <w:r w:rsidRPr="00D62592">
        <w:rPr>
          <w:rFonts w:ascii="ITC Avant Garde" w:hAnsi="ITC Avant Garde"/>
        </w:rPr>
        <w:t xml:space="preserve">en su Portal un apartado </w:t>
      </w:r>
      <w:r>
        <w:rPr>
          <w:rFonts w:ascii="ITC Avant Garde" w:hAnsi="ITC Avant Garde"/>
        </w:rPr>
        <w:t>que contenga un registro de las consultas públicas que realice, en donde se incluya el periodo que comprende cada consulta pública, los medios de participación, su mecánica, las bases de participación o disposiciones aplicables que se consideren necesarias, así como cualquier otra información que sea de utilidad.</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b/>
        </w:rPr>
        <w:t>Quinto</w:t>
      </w:r>
      <w:r w:rsidRPr="00D62592">
        <w:rPr>
          <w:rFonts w:ascii="ITC Avant Garde" w:hAnsi="ITC Avant Garde"/>
          <w:b/>
        </w:rPr>
        <w:t>.-</w:t>
      </w:r>
      <w:r w:rsidRPr="00B43B13">
        <w:rPr>
          <w:rFonts w:ascii="ITC Avant Garde" w:hAnsi="ITC Avant Garde"/>
        </w:rPr>
        <w:t xml:space="preserve"> </w:t>
      </w:r>
      <w:r w:rsidRPr="00D62592">
        <w:rPr>
          <w:rFonts w:ascii="ITC Avant Garde" w:hAnsi="ITC Avant Garde"/>
        </w:rPr>
        <w:t xml:space="preserve">Los interesados en participar en los procesos de consulta pública podrán </w:t>
      </w:r>
      <w:r>
        <w:rPr>
          <w:rFonts w:ascii="ITC Avant Garde" w:hAnsi="ITC Avant Garde"/>
        </w:rPr>
        <w:t>hacerlo</w:t>
      </w:r>
      <w:r w:rsidRPr="00D62592">
        <w:rPr>
          <w:rFonts w:ascii="ITC Avant Garde" w:hAnsi="ITC Avant Garde"/>
        </w:rPr>
        <w:t xml:space="preserve"> directamente o a través de apoderado o representante legal</w:t>
      </w:r>
      <w:r>
        <w:rPr>
          <w:rFonts w:ascii="ITC Avant Garde" w:hAnsi="ITC Avant Garde"/>
        </w:rPr>
        <w:t xml:space="preserve">. Dicha participación podrá llevarse a cabo </w:t>
      </w:r>
      <w:r w:rsidRPr="00D62592">
        <w:rPr>
          <w:rFonts w:ascii="ITC Avant Garde" w:hAnsi="ITC Avant Garde"/>
        </w:rPr>
        <w:t>en el Portal mediante la dirección electróni</w:t>
      </w:r>
      <w:r>
        <w:rPr>
          <w:rFonts w:ascii="ITC Avant Garde" w:hAnsi="ITC Avant Garde"/>
        </w:rPr>
        <w:t>ca que se habilite para ello,</w:t>
      </w:r>
      <w:r w:rsidRPr="00D62592">
        <w:rPr>
          <w:rFonts w:ascii="ITC Avant Garde" w:hAnsi="ITC Avant Garde"/>
        </w:rPr>
        <w:t xml:space="preserve"> en las cuentas de correo electrónico definidas </w:t>
      </w:r>
      <w:r w:rsidRPr="000F6920">
        <w:rPr>
          <w:rFonts w:ascii="ITC Avant Garde" w:hAnsi="ITC Avant Garde"/>
        </w:rPr>
        <w:t>para tal efecto</w:t>
      </w:r>
      <w:r>
        <w:rPr>
          <w:rFonts w:ascii="ITC Avant Garde" w:hAnsi="ITC Avant Garde"/>
        </w:rPr>
        <w:t xml:space="preserve">, por escrito </w:t>
      </w:r>
      <w:r w:rsidRPr="00D62592">
        <w:rPr>
          <w:rFonts w:ascii="ITC Avant Garde" w:hAnsi="ITC Avant Garde"/>
        </w:rPr>
        <w:t xml:space="preserve">a través de la Oficialía de Partes </w:t>
      </w:r>
      <w:r>
        <w:rPr>
          <w:rFonts w:ascii="ITC Avant Garde" w:hAnsi="ITC Avant Garde"/>
        </w:rPr>
        <w:t>Común del Instituto</w:t>
      </w:r>
      <w:r w:rsidRPr="00D62592">
        <w:rPr>
          <w:rFonts w:ascii="ITC Avant Garde" w:hAnsi="ITC Avant Garde"/>
        </w:rPr>
        <w:t xml:space="preserve">, </w:t>
      </w:r>
      <w:r>
        <w:rPr>
          <w:rFonts w:ascii="ITC Avant Garde" w:hAnsi="ITC Avant Garde"/>
        </w:rPr>
        <w:t xml:space="preserve">o a través de cualquier otro medio que al efecto establezca el Instituto, </w:t>
      </w:r>
      <w:r w:rsidRPr="00D62592">
        <w:rPr>
          <w:rFonts w:ascii="ITC Avant Garde" w:hAnsi="ITC Avant Garde"/>
        </w:rPr>
        <w:t>en días y horas hábiles</w:t>
      </w:r>
      <w:r>
        <w:rPr>
          <w:rFonts w:ascii="ITC Avant Garde" w:hAnsi="ITC Avant Garde"/>
        </w:rPr>
        <w:t xml:space="preserve">, dentro del período de duración de la consulta pública y </w:t>
      </w:r>
      <w:r w:rsidRPr="00D62592">
        <w:rPr>
          <w:rFonts w:ascii="ITC Avant Garde" w:hAnsi="ITC Avant Garde"/>
        </w:rPr>
        <w:t xml:space="preserve">de conformidad con el </w:t>
      </w:r>
      <w:r>
        <w:rPr>
          <w:rFonts w:ascii="ITC Avant Garde" w:hAnsi="ITC Avant Garde"/>
        </w:rPr>
        <w:t>C</w:t>
      </w:r>
      <w:r w:rsidRPr="00D62592">
        <w:rPr>
          <w:rFonts w:ascii="ITC Avant Garde" w:hAnsi="ITC Avant Garde"/>
        </w:rPr>
        <w:t xml:space="preserve">alendario </w:t>
      </w:r>
      <w:r>
        <w:rPr>
          <w:rFonts w:ascii="ITC Avant Garde" w:hAnsi="ITC Avant Garde"/>
        </w:rPr>
        <w:t>Anual de L</w:t>
      </w:r>
      <w:r w:rsidRPr="00D62592">
        <w:rPr>
          <w:rFonts w:ascii="ITC Avant Garde" w:hAnsi="ITC Avant Garde"/>
        </w:rPr>
        <w:t xml:space="preserve">abores del Instituto, proporcionando cualquier documentación o información que </w:t>
      </w:r>
      <w:r>
        <w:rPr>
          <w:rFonts w:ascii="ITC Avant Garde" w:hAnsi="ITC Avant Garde"/>
        </w:rPr>
        <w:t xml:space="preserve">se </w:t>
      </w:r>
      <w:r w:rsidRPr="00D62592">
        <w:rPr>
          <w:rFonts w:ascii="ITC Avant Garde" w:hAnsi="ITC Avant Garde"/>
        </w:rPr>
        <w:t>estime conveniente</w:t>
      </w:r>
      <w:r>
        <w:rPr>
          <w:rFonts w:ascii="ITC Avant Garde" w:hAnsi="ITC Avant Garde"/>
        </w:rPr>
        <w:t xml:space="preserve"> conforme a las bases de participación que se publiciten en el Portal.</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sidRPr="00197EAD">
        <w:rPr>
          <w:rFonts w:ascii="ITC Avant Garde" w:hAnsi="ITC Avant Garde"/>
        </w:rPr>
        <w:t>L</w:t>
      </w:r>
      <w:r>
        <w:rPr>
          <w:rFonts w:ascii="ITC Avant Garde" w:hAnsi="ITC Avant Garde"/>
        </w:rPr>
        <w:t xml:space="preserve">a información, </w:t>
      </w:r>
      <w:r w:rsidRPr="00197EAD">
        <w:rPr>
          <w:rFonts w:ascii="ITC Avant Garde" w:hAnsi="ITC Avant Garde"/>
        </w:rPr>
        <w:t>comentarios, opiniones</w:t>
      </w:r>
      <w:r>
        <w:rPr>
          <w:rFonts w:ascii="ITC Avant Garde" w:hAnsi="ITC Avant Garde"/>
        </w:rPr>
        <w:t>,</w:t>
      </w:r>
      <w:r w:rsidRPr="00197EAD">
        <w:rPr>
          <w:rFonts w:ascii="ITC Avant Garde" w:hAnsi="ITC Avant Garde"/>
        </w:rPr>
        <w:t xml:space="preserve"> aportaciones </w:t>
      </w:r>
      <w:r>
        <w:rPr>
          <w:rFonts w:ascii="ITC Avant Garde" w:hAnsi="ITC Avant Garde"/>
        </w:rPr>
        <w:t xml:space="preserve">u otros elementos de análisis </w:t>
      </w:r>
      <w:r w:rsidRPr="00197EAD">
        <w:rPr>
          <w:rFonts w:ascii="ITC Avant Garde" w:hAnsi="ITC Avant Garde"/>
        </w:rPr>
        <w:t xml:space="preserve">que sean </w:t>
      </w:r>
      <w:r>
        <w:rPr>
          <w:rFonts w:ascii="ITC Avant Garde" w:hAnsi="ITC Avant Garde"/>
        </w:rPr>
        <w:t>presentados</w:t>
      </w:r>
      <w:r w:rsidRPr="00197EAD">
        <w:rPr>
          <w:rFonts w:ascii="ITC Avant Garde" w:hAnsi="ITC Avant Garde"/>
        </w:rPr>
        <w:t xml:space="preserve"> </w:t>
      </w:r>
      <w:r>
        <w:rPr>
          <w:rFonts w:ascii="ITC Avant Garde" w:hAnsi="ITC Avant Garde"/>
        </w:rPr>
        <w:t xml:space="preserve">por los interesados </w:t>
      </w:r>
      <w:r w:rsidRPr="00197EAD">
        <w:rPr>
          <w:rFonts w:ascii="ITC Avant Garde" w:hAnsi="ITC Avant Garde"/>
        </w:rPr>
        <w:t xml:space="preserve">a través de apoderado o representante </w:t>
      </w:r>
      <w:r w:rsidRPr="00197EAD">
        <w:rPr>
          <w:rFonts w:ascii="ITC Avant Garde" w:hAnsi="ITC Avant Garde"/>
        </w:rPr>
        <w:lastRenderedPageBreak/>
        <w:t>legal, deberá</w:t>
      </w:r>
      <w:r>
        <w:rPr>
          <w:rFonts w:ascii="ITC Avant Garde" w:hAnsi="ITC Avant Garde"/>
        </w:rPr>
        <w:t>n</w:t>
      </w:r>
      <w:r w:rsidRPr="00197EAD">
        <w:rPr>
          <w:rFonts w:ascii="ITC Avant Garde" w:hAnsi="ITC Avant Garde"/>
        </w:rPr>
        <w:t xml:space="preserve"> acompañarse, de forma electrónica o presencial, de copia simple del documento con el que se acredite dicha representación. En caso contrario, la petición será entendida y </w:t>
      </w:r>
      <w:r>
        <w:rPr>
          <w:rFonts w:ascii="ITC Avant Garde" w:hAnsi="ITC Avant Garde"/>
        </w:rPr>
        <w:t>publicitada</w:t>
      </w:r>
      <w:r w:rsidRPr="00197EAD">
        <w:rPr>
          <w:rFonts w:ascii="ITC Avant Garde" w:hAnsi="ITC Avant Garde"/>
        </w:rPr>
        <w:t xml:space="preserve"> </w:t>
      </w:r>
      <w:r>
        <w:rPr>
          <w:rFonts w:ascii="ITC Avant Garde" w:hAnsi="ITC Avant Garde"/>
        </w:rPr>
        <w:t xml:space="preserve">por el Instituto </w:t>
      </w:r>
      <w:r w:rsidRPr="00197EAD">
        <w:rPr>
          <w:rFonts w:ascii="ITC Avant Garde" w:hAnsi="ITC Avant Garde"/>
        </w:rPr>
        <w:t>a título personal del remitente.</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sidRPr="0012737A">
        <w:rPr>
          <w:rFonts w:ascii="ITC Avant Garde" w:hAnsi="ITC Avant Garde"/>
          <w:b/>
        </w:rPr>
        <w:t>Sexto.-</w:t>
      </w:r>
      <w:r>
        <w:rPr>
          <w:rFonts w:ascii="ITC Avant Garde" w:hAnsi="ITC Avant Garde"/>
        </w:rPr>
        <w:t xml:space="preserve"> De considerarlo necesario, dentro de la consulta pública, las Unidades y/o Coordinaciones Generales </w:t>
      </w:r>
      <w:r w:rsidRPr="004D6E19">
        <w:rPr>
          <w:rFonts w:ascii="ITC Avant Garde" w:hAnsi="ITC Avant Garde"/>
        </w:rPr>
        <w:t>podrá</w:t>
      </w:r>
      <w:r>
        <w:rPr>
          <w:rFonts w:ascii="ITC Avant Garde" w:hAnsi="ITC Avant Garde"/>
        </w:rPr>
        <w:t>n</w:t>
      </w:r>
      <w:r w:rsidRPr="004D6E19">
        <w:rPr>
          <w:rFonts w:ascii="ITC Avant Garde" w:hAnsi="ITC Avant Garde"/>
        </w:rPr>
        <w:t xml:space="preserve"> realizar </w:t>
      </w:r>
      <w:r>
        <w:rPr>
          <w:rFonts w:ascii="ITC Avant Garde" w:hAnsi="ITC Avant Garde"/>
        </w:rPr>
        <w:t xml:space="preserve">foros, talleres, seminarios, </w:t>
      </w:r>
      <w:r w:rsidRPr="004D6E19">
        <w:rPr>
          <w:rFonts w:ascii="ITC Avant Garde" w:hAnsi="ITC Avant Garde"/>
        </w:rPr>
        <w:t xml:space="preserve">conferencias, </w:t>
      </w:r>
      <w:r>
        <w:rPr>
          <w:rFonts w:ascii="ITC Avant Garde" w:hAnsi="ITC Avant Garde"/>
        </w:rPr>
        <w:t xml:space="preserve">audiencias </w:t>
      </w:r>
      <w:r w:rsidRPr="004D6E19">
        <w:rPr>
          <w:rFonts w:ascii="ITC Avant Garde" w:hAnsi="ITC Avant Garde"/>
        </w:rPr>
        <w:t>o cualquier otro medio abierto y público</w:t>
      </w:r>
      <w:r>
        <w:rPr>
          <w:rFonts w:ascii="ITC Avant Garde" w:hAnsi="ITC Avant Garde"/>
        </w:rPr>
        <w:t>, así como integrar grupos de enfoque,</w:t>
      </w:r>
      <w:r w:rsidRPr="004D6E19">
        <w:rPr>
          <w:rFonts w:ascii="ITC Avant Garde" w:hAnsi="ITC Avant Garde"/>
        </w:rPr>
        <w:t xml:space="preserve"> que le</w:t>
      </w:r>
      <w:r>
        <w:rPr>
          <w:rFonts w:ascii="ITC Avant Garde" w:hAnsi="ITC Avant Garde"/>
        </w:rPr>
        <w:t>s</w:t>
      </w:r>
      <w:r w:rsidRPr="004D6E19">
        <w:rPr>
          <w:rFonts w:ascii="ITC Avant Garde" w:hAnsi="ITC Avant Garde"/>
        </w:rPr>
        <w:t xml:space="preserve"> permita recabar </w:t>
      </w:r>
      <w:r>
        <w:rPr>
          <w:rFonts w:ascii="ITC Avant Garde" w:hAnsi="ITC Avant Garde"/>
        </w:rPr>
        <w:t xml:space="preserve">la información, comentarios, </w:t>
      </w:r>
      <w:r w:rsidRPr="00DB3D3C">
        <w:rPr>
          <w:rFonts w:ascii="ITC Avant Garde" w:hAnsi="ITC Avant Garde"/>
        </w:rPr>
        <w:t>opiniones</w:t>
      </w:r>
      <w:r>
        <w:rPr>
          <w:rFonts w:ascii="ITC Avant Garde" w:hAnsi="ITC Avant Garde"/>
        </w:rPr>
        <w:t>, aportaciones u otros</w:t>
      </w:r>
      <w:r w:rsidRPr="00DB3D3C">
        <w:rPr>
          <w:rFonts w:ascii="ITC Avant Garde" w:hAnsi="ITC Avant Garde"/>
        </w:rPr>
        <w:t xml:space="preserve"> elementos de análisis</w:t>
      </w:r>
      <w:r>
        <w:rPr>
          <w:rFonts w:ascii="ITC Avant Garde" w:hAnsi="ITC Avant Garde"/>
        </w:rPr>
        <w:t xml:space="preserve"> sobre los asuntos objeto de la consulta pública.</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rPr>
        <w:t xml:space="preserve">Asimismo, las </w:t>
      </w:r>
      <w:r w:rsidRPr="008741F8">
        <w:rPr>
          <w:rFonts w:ascii="ITC Avant Garde" w:hAnsi="ITC Avant Garde"/>
        </w:rPr>
        <w:t>Unidades y/o Coordinaciones Generales</w:t>
      </w:r>
      <w:r>
        <w:rPr>
          <w:rFonts w:ascii="ITC Avant Garde" w:hAnsi="ITC Avant Garde"/>
        </w:rPr>
        <w:t xml:space="preserve"> del Instituto podrán determinar la integración de un grupo de enfoque para recabar </w:t>
      </w:r>
      <w:r w:rsidRPr="008741F8">
        <w:rPr>
          <w:rFonts w:ascii="ITC Avant Garde" w:hAnsi="ITC Avant Garde"/>
        </w:rPr>
        <w:t>información, comentarios, opiniones, aportaciones u otros el</w:t>
      </w:r>
      <w:r>
        <w:rPr>
          <w:rFonts w:ascii="ITC Avant Garde" w:hAnsi="ITC Avant Garde"/>
        </w:rPr>
        <w:t>ementos de análisis específicos y</w:t>
      </w:r>
      <w:r w:rsidRPr="008741F8">
        <w:rPr>
          <w:rFonts w:ascii="ITC Avant Garde" w:hAnsi="ITC Avant Garde"/>
        </w:rPr>
        <w:t xml:space="preserve"> relevantes que tengan el carácter de confidencial o reservados, y que su divulgación pueda ge</w:t>
      </w:r>
      <w:r>
        <w:rPr>
          <w:rFonts w:ascii="ITC Avant Garde" w:hAnsi="ITC Avant Garde"/>
        </w:rPr>
        <w:t>nerar un perjuicio o afectación.</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b/>
        </w:rPr>
        <w:t>Séptimo</w:t>
      </w:r>
      <w:r w:rsidRPr="00B43B13">
        <w:rPr>
          <w:rFonts w:ascii="ITC Avant Garde" w:hAnsi="ITC Avant Garde"/>
          <w:b/>
        </w:rPr>
        <w:t>.-</w:t>
      </w:r>
      <w:r>
        <w:rPr>
          <w:rFonts w:ascii="ITC Avant Garde" w:hAnsi="ITC Avant Garde"/>
        </w:rPr>
        <w:t xml:space="preserve"> </w:t>
      </w:r>
      <w:r w:rsidRPr="00D62592">
        <w:rPr>
          <w:rFonts w:ascii="ITC Avant Garde" w:hAnsi="ITC Avant Garde"/>
        </w:rPr>
        <w:t>To</w:t>
      </w:r>
      <w:r>
        <w:rPr>
          <w:rFonts w:ascii="ITC Avant Garde" w:hAnsi="ITC Avant Garde"/>
        </w:rPr>
        <w:t xml:space="preserve">do proceso de consulta pública que lleve a cabo </w:t>
      </w:r>
      <w:r w:rsidRPr="00D62592">
        <w:rPr>
          <w:rFonts w:ascii="ITC Avant Garde" w:hAnsi="ITC Avant Garde"/>
        </w:rPr>
        <w:t xml:space="preserve">el Instituto </w:t>
      </w:r>
      <w:r>
        <w:rPr>
          <w:rFonts w:ascii="ITC Avant Garde" w:hAnsi="ITC Avant Garde"/>
        </w:rPr>
        <w:t xml:space="preserve">deberá tener un período de duración de </w:t>
      </w:r>
      <w:r w:rsidRPr="00F14500">
        <w:rPr>
          <w:rFonts w:ascii="ITC Avant Garde" w:hAnsi="ITC Avant Garde"/>
        </w:rPr>
        <w:t>al menos veinte días hábiles</w:t>
      </w:r>
      <w:r>
        <w:rPr>
          <w:rFonts w:ascii="ITC Avant Garde" w:hAnsi="ITC Avant Garde"/>
        </w:rPr>
        <w:t>, salvo que el Pleno determine una duración menor mediante causa justificada</w:t>
      </w:r>
      <w:r w:rsidRPr="00D62592">
        <w:rPr>
          <w:rFonts w:ascii="ITC Avant Garde" w:hAnsi="ITC Avant Garde"/>
        </w:rPr>
        <w:t>, con base en la complejida</w:t>
      </w:r>
      <w:r>
        <w:rPr>
          <w:rFonts w:ascii="ITC Avant Garde" w:hAnsi="ITC Avant Garde"/>
        </w:rPr>
        <w:t>d e importancia de que se trate. Al respecto, el Pleno podrá determinar:</w:t>
      </w:r>
    </w:p>
    <w:p w:rsidR="008A7193" w:rsidRDefault="008A7193" w:rsidP="008A7193">
      <w:pPr>
        <w:spacing w:after="0" w:line="240" w:lineRule="auto"/>
        <w:jc w:val="both"/>
        <w:rPr>
          <w:rFonts w:ascii="ITC Avant Garde" w:hAnsi="ITC Avant Garde"/>
        </w:rPr>
      </w:pPr>
    </w:p>
    <w:p w:rsidR="008A7193" w:rsidRDefault="008A7193" w:rsidP="008A7193">
      <w:pPr>
        <w:pStyle w:val="Prrafodelista"/>
        <w:numPr>
          <w:ilvl w:val="0"/>
          <w:numId w:val="17"/>
        </w:numPr>
        <w:spacing w:after="0" w:line="240" w:lineRule="auto"/>
        <w:ind w:left="1134" w:right="616" w:hanging="567"/>
        <w:jc w:val="both"/>
        <w:rPr>
          <w:rFonts w:ascii="ITC Avant Garde" w:hAnsi="ITC Avant Garde"/>
        </w:rPr>
      </w:pPr>
      <w:r>
        <w:rPr>
          <w:rFonts w:ascii="ITC Avant Garde" w:hAnsi="ITC Avant Garde"/>
        </w:rPr>
        <w:t>El período de duración máximo de las mismas; y,</w:t>
      </w:r>
      <w:r w:rsidRPr="00E224D3">
        <w:rPr>
          <w:rFonts w:ascii="ITC Avant Garde" w:hAnsi="ITC Avant Garde"/>
        </w:rPr>
        <w:t xml:space="preserve"> </w:t>
      </w:r>
    </w:p>
    <w:p w:rsidR="008A7193" w:rsidRDefault="008A7193" w:rsidP="008A7193">
      <w:pPr>
        <w:pStyle w:val="Prrafodelista"/>
        <w:spacing w:after="0" w:line="240" w:lineRule="auto"/>
        <w:ind w:left="1134" w:right="616"/>
        <w:jc w:val="both"/>
        <w:rPr>
          <w:rFonts w:ascii="ITC Avant Garde" w:hAnsi="ITC Avant Garde"/>
        </w:rPr>
      </w:pPr>
    </w:p>
    <w:p w:rsidR="008A7193" w:rsidRDefault="008A7193" w:rsidP="008A7193">
      <w:pPr>
        <w:pStyle w:val="Prrafodelista"/>
        <w:numPr>
          <w:ilvl w:val="0"/>
          <w:numId w:val="17"/>
        </w:numPr>
        <w:spacing w:after="0" w:line="240" w:lineRule="auto"/>
        <w:ind w:left="1134" w:right="616" w:hanging="567"/>
        <w:jc w:val="both"/>
        <w:rPr>
          <w:rFonts w:ascii="ITC Avant Garde" w:hAnsi="ITC Avant Garde"/>
        </w:rPr>
      </w:pPr>
      <w:r>
        <w:rPr>
          <w:rFonts w:ascii="ITC Avant Garde" w:hAnsi="ITC Avant Garde"/>
        </w:rPr>
        <w:t>L</w:t>
      </w:r>
      <w:r w:rsidRPr="00E224D3">
        <w:rPr>
          <w:rFonts w:ascii="ITC Avant Garde" w:hAnsi="ITC Avant Garde"/>
        </w:rPr>
        <w:t xml:space="preserve">as </w:t>
      </w:r>
      <w:r>
        <w:rPr>
          <w:rFonts w:ascii="ITC Avant Garde" w:hAnsi="ITC Avant Garde"/>
        </w:rPr>
        <w:t>ampliaciones al periodo de duración máximo,</w:t>
      </w:r>
      <w:r w:rsidRPr="00E224D3">
        <w:rPr>
          <w:rFonts w:ascii="ITC Avant Garde" w:hAnsi="ITC Avant Garde"/>
        </w:rPr>
        <w:t xml:space="preserve"> a efecto de asegurar los principios </w:t>
      </w:r>
      <w:r>
        <w:rPr>
          <w:rFonts w:ascii="ITC Avant Garde" w:hAnsi="ITC Avant Garde"/>
        </w:rPr>
        <w:t>de transparencia y participación ciudadana.</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rPr>
        <w:t>Para el caso de los Anteproyectos referentes a disposiciones técnicas y sus respectivos Procedimientos de Evaluación de la Conformidad, así como cualquier instrumento jurídico de naturaleza análoga, y que el cumplimiento de sus medidas se realice en puntos de entrada o salida del territorio nacional, el período mínimo de duración de la consulta pública será de sesenta días naturales.</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sidRPr="002C165A">
        <w:rPr>
          <w:rFonts w:ascii="ITC Avant Garde" w:hAnsi="ITC Avant Garde"/>
          <w:b/>
        </w:rPr>
        <w:t>Octavo.-</w:t>
      </w:r>
      <w:r>
        <w:rPr>
          <w:rFonts w:ascii="ITC Avant Garde" w:hAnsi="ITC Avant Garde"/>
        </w:rPr>
        <w:t xml:space="preserve"> </w:t>
      </w:r>
      <w:r w:rsidRPr="006B4560">
        <w:rPr>
          <w:rFonts w:ascii="ITC Avant Garde" w:hAnsi="ITC Avant Garde"/>
        </w:rPr>
        <w:t>L</w:t>
      </w:r>
      <w:r>
        <w:rPr>
          <w:rFonts w:ascii="ITC Avant Garde" w:hAnsi="ITC Avant Garde"/>
        </w:rPr>
        <w:t xml:space="preserve">a </w:t>
      </w:r>
      <w:r w:rsidRPr="00C6331A">
        <w:rPr>
          <w:rFonts w:ascii="ITC Avant Garde" w:hAnsi="ITC Avant Garde"/>
        </w:rPr>
        <w:t>información</w:t>
      </w:r>
      <w:r>
        <w:rPr>
          <w:rFonts w:ascii="ITC Avant Garde" w:hAnsi="ITC Avant Garde"/>
        </w:rPr>
        <w:t xml:space="preserve">, comentarios, opiniones, aportaciones u otros elementos de análisis </w:t>
      </w:r>
      <w:r w:rsidRPr="006B4560">
        <w:rPr>
          <w:rFonts w:ascii="ITC Avant Garde" w:hAnsi="ITC Avant Garde"/>
        </w:rPr>
        <w:t xml:space="preserve">que </w:t>
      </w:r>
      <w:r>
        <w:rPr>
          <w:rFonts w:ascii="ITC Avant Garde" w:hAnsi="ITC Avant Garde"/>
        </w:rPr>
        <w:t>el Instituto reciba por</w:t>
      </w:r>
      <w:r w:rsidRPr="006B4560">
        <w:rPr>
          <w:rFonts w:ascii="ITC Avant Garde" w:hAnsi="ITC Avant Garde"/>
        </w:rPr>
        <w:t xml:space="preserve"> las consultas públicas </w:t>
      </w:r>
      <w:r>
        <w:rPr>
          <w:rFonts w:ascii="ITC Avant Garde" w:hAnsi="ITC Avant Garde"/>
        </w:rPr>
        <w:t xml:space="preserve">que realice, </w:t>
      </w:r>
      <w:r w:rsidRPr="006B4560">
        <w:rPr>
          <w:rFonts w:ascii="ITC Avant Garde" w:hAnsi="ITC Avant Garde"/>
        </w:rPr>
        <w:t>tendrán el carácter de información pública y se difundirán de manera íntegra en el Portal</w:t>
      </w:r>
      <w:r>
        <w:rPr>
          <w:rFonts w:ascii="ITC Avant Garde" w:hAnsi="ITC Avant Garde"/>
        </w:rPr>
        <w:t>,</w:t>
      </w:r>
      <w:r w:rsidRPr="006B4560">
        <w:rPr>
          <w:rFonts w:ascii="ITC Avant Garde" w:hAnsi="ITC Avant Garde"/>
        </w:rPr>
        <w:t xml:space="preserve"> en un plazo no mayor a </w:t>
      </w:r>
      <w:r>
        <w:rPr>
          <w:rFonts w:ascii="ITC Avant Garde" w:hAnsi="ITC Avant Garde"/>
        </w:rPr>
        <w:t xml:space="preserve">tres </w:t>
      </w:r>
      <w:r w:rsidRPr="006B4560">
        <w:rPr>
          <w:rFonts w:ascii="ITC Avant Garde" w:hAnsi="ITC Avant Garde"/>
        </w:rPr>
        <w:t>días hábiles contados a partir de su recepción</w:t>
      </w:r>
      <w:r>
        <w:rPr>
          <w:rFonts w:ascii="ITC Avant Garde" w:hAnsi="ITC Avant Garde"/>
        </w:rPr>
        <w:t>, en términos de las disposiciones jurídicas aplicables.</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rPr>
        <w:t>L</w:t>
      </w:r>
      <w:r w:rsidRPr="007B45A8">
        <w:rPr>
          <w:rFonts w:ascii="ITC Avant Garde" w:hAnsi="ITC Avant Garde"/>
        </w:rPr>
        <w:t xml:space="preserve">os participantes de las consultas públicas podrán solicitar al Instituto que sus datos personales sean clasificados como confidenciales, en términos de lo dispuesto en la </w:t>
      </w:r>
      <w:r>
        <w:rPr>
          <w:rFonts w:ascii="ITC Avant Garde" w:hAnsi="ITC Avant Garde"/>
        </w:rPr>
        <w:t>legislación aplicable en materia de t</w:t>
      </w:r>
      <w:r w:rsidRPr="007B45A8">
        <w:rPr>
          <w:rFonts w:ascii="ITC Avant Garde" w:hAnsi="ITC Avant Garde"/>
        </w:rPr>
        <w:t xml:space="preserve">ransparencia y </w:t>
      </w:r>
      <w:r>
        <w:rPr>
          <w:rFonts w:ascii="ITC Avant Garde" w:hAnsi="ITC Avant Garde"/>
        </w:rPr>
        <w:t>a</w:t>
      </w:r>
      <w:r w:rsidRPr="007B45A8">
        <w:rPr>
          <w:rFonts w:ascii="ITC Avant Garde" w:hAnsi="ITC Avant Garde"/>
        </w:rPr>
        <w:t xml:space="preserve">cceso a la </w:t>
      </w:r>
      <w:r>
        <w:rPr>
          <w:rFonts w:ascii="ITC Avant Garde" w:hAnsi="ITC Avant Garde"/>
        </w:rPr>
        <w:t>i</w:t>
      </w:r>
      <w:r w:rsidRPr="007B45A8">
        <w:rPr>
          <w:rFonts w:ascii="ITC Avant Garde" w:hAnsi="ITC Avant Garde"/>
        </w:rPr>
        <w:t xml:space="preserve">nformación </w:t>
      </w:r>
      <w:r>
        <w:rPr>
          <w:rFonts w:ascii="ITC Avant Garde" w:hAnsi="ITC Avant Garde"/>
        </w:rPr>
        <w:t>p</w:t>
      </w:r>
      <w:r w:rsidRPr="007B45A8">
        <w:rPr>
          <w:rFonts w:ascii="ITC Avant Garde" w:hAnsi="ITC Avant Garde"/>
        </w:rPr>
        <w:t xml:space="preserve">ública </w:t>
      </w:r>
      <w:r>
        <w:rPr>
          <w:rFonts w:ascii="ITC Avant Garde" w:hAnsi="ITC Avant Garde"/>
        </w:rPr>
        <w:t>y</w:t>
      </w:r>
      <w:r w:rsidRPr="007B45A8">
        <w:rPr>
          <w:rFonts w:ascii="ITC Avant Garde" w:hAnsi="ITC Avant Garde"/>
        </w:rPr>
        <w:t xml:space="preserve"> </w:t>
      </w:r>
      <w:r>
        <w:rPr>
          <w:rFonts w:ascii="ITC Avant Garde" w:hAnsi="ITC Avant Garde"/>
        </w:rPr>
        <w:t>d</w:t>
      </w:r>
      <w:r w:rsidRPr="007B45A8">
        <w:rPr>
          <w:rFonts w:ascii="ITC Avant Garde" w:hAnsi="ITC Avant Garde"/>
        </w:rPr>
        <w:t xml:space="preserve">atos </w:t>
      </w:r>
      <w:r>
        <w:rPr>
          <w:rFonts w:ascii="ITC Avant Garde" w:hAnsi="ITC Avant Garde"/>
        </w:rPr>
        <w:t>p</w:t>
      </w:r>
      <w:r w:rsidRPr="007B45A8">
        <w:rPr>
          <w:rFonts w:ascii="ITC Avant Garde" w:hAnsi="ITC Avant Garde"/>
        </w:rPr>
        <w:t>ersonales.</w:t>
      </w:r>
    </w:p>
    <w:p w:rsidR="008A7193" w:rsidRPr="00C54B2B"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b/>
        </w:rPr>
        <w:lastRenderedPageBreak/>
        <w:t>Noveno</w:t>
      </w:r>
      <w:r w:rsidRPr="00197EAD">
        <w:rPr>
          <w:rFonts w:ascii="ITC Avant Garde" w:hAnsi="ITC Avant Garde"/>
          <w:b/>
        </w:rPr>
        <w:t>.-</w:t>
      </w:r>
      <w:r>
        <w:rPr>
          <w:rFonts w:ascii="ITC Avant Garde" w:hAnsi="ITC Avant Garde"/>
        </w:rPr>
        <w:t xml:space="preserve"> La </w:t>
      </w:r>
      <w:r w:rsidRPr="00C6331A">
        <w:rPr>
          <w:rFonts w:ascii="ITC Avant Garde" w:hAnsi="ITC Avant Garde"/>
        </w:rPr>
        <w:t>información</w:t>
      </w:r>
      <w:r>
        <w:rPr>
          <w:rFonts w:ascii="ITC Avant Garde" w:hAnsi="ITC Avant Garde"/>
        </w:rPr>
        <w:t xml:space="preserve">, comentarios, opiniones, aportaciones u otros elementos de análisis </w:t>
      </w:r>
      <w:r w:rsidRPr="00B65A54">
        <w:rPr>
          <w:rFonts w:ascii="ITC Avant Garde" w:hAnsi="ITC Avant Garde"/>
        </w:rPr>
        <w:t xml:space="preserve">que los particulares </w:t>
      </w:r>
      <w:r>
        <w:rPr>
          <w:rFonts w:ascii="ITC Avant Garde" w:hAnsi="ITC Avant Garde"/>
        </w:rPr>
        <w:t>presenten</w:t>
      </w:r>
      <w:r w:rsidRPr="00B65A54">
        <w:rPr>
          <w:rFonts w:ascii="ITC Avant Garde" w:hAnsi="ITC Avant Garde"/>
        </w:rPr>
        <w:t xml:space="preserve"> al Instituto</w:t>
      </w:r>
      <w:r>
        <w:rPr>
          <w:rFonts w:ascii="ITC Avant Garde" w:hAnsi="ITC Avant Garde"/>
        </w:rPr>
        <w:t>,</w:t>
      </w:r>
      <w:r w:rsidRPr="00B65A54">
        <w:rPr>
          <w:rFonts w:ascii="ITC Avant Garde" w:hAnsi="ITC Avant Garde"/>
        </w:rPr>
        <w:t xml:space="preserve"> </w:t>
      </w:r>
      <w:r>
        <w:rPr>
          <w:rFonts w:ascii="ITC Avant Garde" w:hAnsi="ITC Avant Garde"/>
        </w:rPr>
        <w:t>en los procesos de</w:t>
      </w:r>
      <w:r w:rsidRPr="00B65A54">
        <w:rPr>
          <w:rFonts w:ascii="ITC Avant Garde" w:hAnsi="ITC Avant Garde"/>
        </w:rPr>
        <w:t xml:space="preserve"> consulta pública</w:t>
      </w:r>
      <w:r>
        <w:rPr>
          <w:rFonts w:ascii="ITC Avant Garde" w:hAnsi="ITC Avant Garde"/>
        </w:rPr>
        <w:t xml:space="preserve"> que realice</w:t>
      </w:r>
      <w:r w:rsidRPr="00B65A54">
        <w:rPr>
          <w:rFonts w:ascii="ITC Avant Garde" w:hAnsi="ITC Avant Garde"/>
        </w:rPr>
        <w:t>, no tendrán carácter vinculante. No obstante, siempre y cuando se hayan recibido en tiempo y forma por el Instituto, la</w:t>
      </w:r>
      <w:r>
        <w:rPr>
          <w:rFonts w:ascii="ITC Avant Garde" w:hAnsi="ITC Avant Garde"/>
        </w:rPr>
        <w:t>s</w:t>
      </w:r>
      <w:r w:rsidRPr="00B65A54">
        <w:rPr>
          <w:rFonts w:ascii="ITC Avant Garde" w:hAnsi="ITC Avant Garde"/>
        </w:rPr>
        <w:t xml:space="preserve"> Unidad</w:t>
      </w:r>
      <w:r>
        <w:rPr>
          <w:rFonts w:ascii="ITC Avant Garde" w:hAnsi="ITC Avant Garde"/>
        </w:rPr>
        <w:t>es</w:t>
      </w:r>
      <w:r w:rsidRPr="00B65A54">
        <w:rPr>
          <w:rFonts w:ascii="ITC Avant Garde" w:hAnsi="ITC Avant Garde"/>
        </w:rPr>
        <w:t xml:space="preserve"> </w:t>
      </w:r>
      <w:r>
        <w:rPr>
          <w:rFonts w:ascii="ITC Avant Garde" w:hAnsi="ITC Avant Garde"/>
        </w:rPr>
        <w:t>y/o Coordinaciones Generales</w:t>
      </w:r>
      <w:r w:rsidRPr="00B65A54">
        <w:rPr>
          <w:rFonts w:ascii="ITC Avant Garde" w:hAnsi="ITC Avant Garde"/>
        </w:rPr>
        <w:t xml:space="preserve"> </w:t>
      </w:r>
      <w:r>
        <w:rPr>
          <w:rFonts w:ascii="ITC Avant Garde" w:hAnsi="ITC Avant Garde"/>
        </w:rPr>
        <w:t xml:space="preserve">correspondientes </w:t>
      </w:r>
      <w:r w:rsidRPr="00B65A54">
        <w:rPr>
          <w:rFonts w:ascii="ITC Avant Garde" w:hAnsi="ITC Avant Garde"/>
        </w:rPr>
        <w:t>deberá</w:t>
      </w:r>
      <w:r>
        <w:rPr>
          <w:rFonts w:ascii="ITC Avant Garde" w:hAnsi="ITC Avant Garde"/>
        </w:rPr>
        <w:t>n</w:t>
      </w:r>
      <w:r w:rsidRPr="00B65A54">
        <w:rPr>
          <w:rFonts w:ascii="ITC Avant Garde" w:hAnsi="ITC Avant Garde"/>
        </w:rPr>
        <w:t xml:space="preserve"> </w:t>
      </w:r>
      <w:r>
        <w:rPr>
          <w:rFonts w:ascii="ITC Avant Garde" w:hAnsi="ITC Avant Garde"/>
        </w:rPr>
        <w:t xml:space="preserve">analizarlos, </w:t>
      </w:r>
      <w:r w:rsidRPr="00B65A54">
        <w:rPr>
          <w:rFonts w:ascii="ITC Avant Garde" w:hAnsi="ITC Avant Garde"/>
        </w:rPr>
        <w:t>ponderarl</w:t>
      </w:r>
      <w:r>
        <w:rPr>
          <w:rFonts w:ascii="ITC Avant Garde" w:hAnsi="ITC Avant Garde"/>
        </w:rPr>
        <w:t>o</w:t>
      </w:r>
      <w:r w:rsidRPr="00B65A54">
        <w:rPr>
          <w:rFonts w:ascii="ITC Avant Garde" w:hAnsi="ITC Avant Garde"/>
        </w:rPr>
        <w:t>s</w:t>
      </w:r>
      <w:r>
        <w:rPr>
          <w:rFonts w:ascii="ITC Avant Garde" w:hAnsi="ITC Avant Garde"/>
        </w:rPr>
        <w:t xml:space="preserve"> y presentar una respuesta o posicionamiento</w:t>
      </w:r>
      <w:r w:rsidRPr="00D8488E">
        <w:rPr>
          <w:rFonts w:ascii="ITC Avant Garde" w:hAnsi="ITC Avant Garde"/>
        </w:rPr>
        <w:t xml:space="preserve"> </w:t>
      </w:r>
      <w:r>
        <w:rPr>
          <w:rFonts w:ascii="ITC Avant Garde" w:hAnsi="ITC Avant Garde"/>
        </w:rPr>
        <w:t>sobre ellos a través de un I</w:t>
      </w:r>
      <w:r w:rsidRPr="00B65A54">
        <w:rPr>
          <w:rFonts w:ascii="ITC Avant Garde" w:hAnsi="ITC Avant Garde"/>
        </w:rPr>
        <w:t>nforme</w:t>
      </w:r>
      <w:r>
        <w:rPr>
          <w:rFonts w:ascii="ITC Avant Garde" w:hAnsi="ITC Avant Garde"/>
        </w:rPr>
        <w:t xml:space="preserve"> de consideraciones </w:t>
      </w:r>
      <w:r w:rsidRPr="00B65A54">
        <w:rPr>
          <w:rFonts w:ascii="ITC Avant Garde" w:hAnsi="ITC Avant Garde"/>
        </w:rPr>
        <w:t>que contenga, cuando menos, la siguiente información:</w:t>
      </w:r>
    </w:p>
    <w:p w:rsidR="008A7193" w:rsidRPr="00B65A54" w:rsidRDefault="008A7193" w:rsidP="008A7193">
      <w:pPr>
        <w:spacing w:after="0" w:line="240" w:lineRule="auto"/>
        <w:jc w:val="both"/>
        <w:rPr>
          <w:rFonts w:ascii="ITC Avant Garde" w:hAnsi="ITC Avant Garde"/>
        </w:rPr>
      </w:pPr>
    </w:p>
    <w:p w:rsidR="008A7193" w:rsidRDefault="008A7193" w:rsidP="008A7193">
      <w:pPr>
        <w:pStyle w:val="Prrafodelista"/>
        <w:numPr>
          <w:ilvl w:val="0"/>
          <w:numId w:val="18"/>
        </w:numPr>
        <w:spacing w:after="0" w:line="240" w:lineRule="auto"/>
        <w:ind w:left="1134" w:right="616" w:hanging="567"/>
        <w:rPr>
          <w:rFonts w:ascii="ITC Avant Garde" w:hAnsi="ITC Avant Garde"/>
        </w:rPr>
      </w:pPr>
      <w:r>
        <w:rPr>
          <w:rFonts w:ascii="ITC Avant Garde" w:hAnsi="ITC Avant Garde"/>
        </w:rPr>
        <w:t>Fecha de elaboración</w:t>
      </w:r>
      <w:r w:rsidRPr="00D8488E">
        <w:rPr>
          <w:rFonts w:ascii="ITC Avant Garde" w:hAnsi="ITC Avant Garde"/>
        </w:rPr>
        <w:t>;</w:t>
      </w:r>
    </w:p>
    <w:p w:rsidR="008A7193" w:rsidRPr="00D8488E" w:rsidRDefault="008A7193" w:rsidP="008A7193">
      <w:pPr>
        <w:pStyle w:val="Prrafodelista"/>
        <w:spacing w:after="0" w:line="240" w:lineRule="auto"/>
        <w:ind w:left="1134" w:right="616"/>
        <w:rPr>
          <w:rFonts w:ascii="ITC Avant Garde" w:hAnsi="ITC Avant Garde"/>
        </w:rPr>
      </w:pPr>
    </w:p>
    <w:p w:rsidR="008A7193" w:rsidRDefault="008A7193" w:rsidP="008A7193">
      <w:pPr>
        <w:pStyle w:val="Prrafodelista"/>
        <w:numPr>
          <w:ilvl w:val="0"/>
          <w:numId w:val="18"/>
        </w:numPr>
        <w:spacing w:after="0" w:line="240" w:lineRule="auto"/>
        <w:ind w:left="1134" w:right="616" w:hanging="567"/>
        <w:jc w:val="both"/>
        <w:rPr>
          <w:rFonts w:ascii="ITC Avant Garde" w:hAnsi="ITC Avant Garde"/>
        </w:rPr>
      </w:pPr>
      <w:r w:rsidRPr="00B65A54">
        <w:rPr>
          <w:rFonts w:ascii="ITC Avant Garde" w:hAnsi="ITC Avant Garde"/>
        </w:rPr>
        <w:t xml:space="preserve">Título </w:t>
      </w:r>
      <w:r>
        <w:rPr>
          <w:rFonts w:ascii="ITC Avant Garde" w:hAnsi="ITC Avant Garde"/>
        </w:rPr>
        <w:t xml:space="preserve">o denominación </w:t>
      </w:r>
      <w:r w:rsidRPr="00B65A54">
        <w:rPr>
          <w:rFonts w:ascii="ITC Avant Garde" w:hAnsi="ITC Avant Garde"/>
        </w:rPr>
        <w:t>de la consulta pública;</w:t>
      </w:r>
    </w:p>
    <w:p w:rsidR="008A7193" w:rsidRPr="00836EA7"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8"/>
        </w:numPr>
        <w:spacing w:after="0" w:line="240" w:lineRule="auto"/>
        <w:ind w:left="1134" w:right="616" w:hanging="567"/>
        <w:jc w:val="both"/>
        <w:rPr>
          <w:rFonts w:ascii="ITC Avant Garde" w:hAnsi="ITC Avant Garde"/>
        </w:rPr>
      </w:pPr>
      <w:r>
        <w:rPr>
          <w:rFonts w:ascii="ITC Avant Garde" w:hAnsi="ITC Avant Garde"/>
        </w:rPr>
        <w:t>Descripción de la consulta pública;</w:t>
      </w:r>
    </w:p>
    <w:p w:rsidR="008A7193" w:rsidRPr="00836EA7"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8"/>
        </w:numPr>
        <w:spacing w:after="0" w:line="240" w:lineRule="auto"/>
        <w:ind w:left="1134" w:right="616" w:hanging="567"/>
        <w:jc w:val="both"/>
        <w:rPr>
          <w:rFonts w:ascii="ITC Avant Garde" w:hAnsi="ITC Avant Garde"/>
        </w:rPr>
      </w:pPr>
      <w:r>
        <w:rPr>
          <w:rFonts w:ascii="ITC Avant Garde" w:hAnsi="ITC Avant Garde"/>
        </w:rPr>
        <w:t>Objetivos de la consulta pública;</w:t>
      </w:r>
    </w:p>
    <w:p w:rsidR="008A7193" w:rsidRPr="00836EA7"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8"/>
        </w:numPr>
        <w:spacing w:after="0" w:line="240" w:lineRule="auto"/>
        <w:ind w:left="1134" w:right="616" w:hanging="567"/>
        <w:jc w:val="both"/>
        <w:rPr>
          <w:rFonts w:ascii="ITC Avant Garde" w:hAnsi="ITC Avant Garde"/>
        </w:rPr>
      </w:pPr>
      <w:r>
        <w:rPr>
          <w:rFonts w:ascii="ITC Avant Garde" w:hAnsi="ITC Avant Garde"/>
        </w:rPr>
        <w:t>Unidades y/o Coordinaciones Generales responsables de la consulta pública;</w:t>
      </w:r>
    </w:p>
    <w:p w:rsidR="008A7193" w:rsidRPr="00836EA7"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8"/>
        </w:numPr>
        <w:spacing w:after="0" w:line="240" w:lineRule="auto"/>
        <w:ind w:left="1134" w:right="616" w:hanging="567"/>
        <w:jc w:val="both"/>
        <w:rPr>
          <w:rFonts w:ascii="ITC Avant Garde" w:hAnsi="ITC Avant Garde"/>
        </w:rPr>
      </w:pPr>
      <w:r>
        <w:rPr>
          <w:rFonts w:ascii="ITC Avant Garde" w:hAnsi="ITC Avant Garde"/>
        </w:rPr>
        <w:t>Descripción de los participantes en la consulta pública; y,</w:t>
      </w:r>
    </w:p>
    <w:p w:rsidR="008A7193" w:rsidRPr="00836EA7"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8"/>
        </w:numPr>
        <w:spacing w:after="0" w:line="240" w:lineRule="auto"/>
        <w:ind w:left="1134" w:right="616" w:hanging="567"/>
        <w:jc w:val="both"/>
        <w:rPr>
          <w:rFonts w:ascii="ITC Avant Garde" w:hAnsi="ITC Avant Garde"/>
        </w:rPr>
      </w:pPr>
      <w:r>
        <w:rPr>
          <w:rFonts w:ascii="ITC Avant Garde" w:hAnsi="ITC Avant Garde"/>
        </w:rPr>
        <w:t xml:space="preserve">Las respuestas o posicionamientos del Instituto a cada uno de los comentarios, opiniones, aportaciones, </w:t>
      </w:r>
      <w:r w:rsidRPr="00C6331A">
        <w:rPr>
          <w:rFonts w:ascii="ITC Avant Garde" w:hAnsi="ITC Avant Garde"/>
        </w:rPr>
        <w:t>información</w:t>
      </w:r>
      <w:r>
        <w:rPr>
          <w:rFonts w:ascii="ITC Avant Garde" w:hAnsi="ITC Avant Garde"/>
        </w:rPr>
        <w:t xml:space="preserve"> u otros elementos de análisis recibidos por los particulares, en donde se especifique la utilidad, o no, que se le dio a los mismos.</w:t>
      </w:r>
    </w:p>
    <w:p w:rsidR="008A7193" w:rsidRDefault="008A7193" w:rsidP="008A7193">
      <w:pPr>
        <w:pStyle w:val="Prrafodelista"/>
        <w:spacing w:after="0" w:line="240" w:lineRule="auto"/>
        <w:ind w:left="1080"/>
        <w:jc w:val="both"/>
        <w:rPr>
          <w:rFonts w:ascii="ITC Avant Garde" w:hAnsi="ITC Avant Garde"/>
        </w:rPr>
      </w:pPr>
    </w:p>
    <w:p w:rsidR="008A7193" w:rsidRDefault="008A7193" w:rsidP="008A7193">
      <w:pPr>
        <w:pStyle w:val="Prrafodelista"/>
        <w:spacing w:after="0" w:line="240" w:lineRule="auto"/>
        <w:ind w:left="0"/>
        <w:jc w:val="both"/>
        <w:rPr>
          <w:rFonts w:ascii="ITC Avant Garde" w:hAnsi="ITC Avant Garde"/>
        </w:rPr>
      </w:pPr>
      <w:r>
        <w:rPr>
          <w:rFonts w:ascii="ITC Avant Garde" w:hAnsi="ITC Avant Garde"/>
        </w:rPr>
        <w:t xml:space="preserve">En el caso de que las </w:t>
      </w:r>
      <w:r w:rsidRPr="008741F8">
        <w:rPr>
          <w:rFonts w:ascii="ITC Avant Garde" w:hAnsi="ITC Avant Garde"/>
        </w:rPr>
        <w:t>Unidades y/o Coordinaciones Generales</w:t>
      </w:r>
      <w:r>
        <w:rPr>
          <w:rFonts w:ascii="ITC Avant Garde" w:hAnsi="ITC Avant Garde"/>
        </w:rPr>
        <w:t xml:space="preserve"> del Instituto determinen la integración de algún grupo de enfoque conforme a lo señalado en el Lineamiento Sexto, segundo párrafo, deberán referir en el Informe de consideraciones los resultados del mismo, preservando la confidencialidad o reserva de la información que ahí se proporcione bajo ese carácter.</w:t>
      </w:r>
    </w:p>
    <w:p w:rsidR="008A7193" w:rsidRPr="00B65A54" w:rsidRDefault="008A7193" w:rsidP="008A7193">
      <w:pPr>
        <w:pStyle w:val="Prrafodelista"/>
        <w:spacing w:after="0" w:line="240" w:lineRule="auto"/>
        <w:ind w:left="1080"/>
        <w:jc w:val="both"/>
        <w:rPr>
          <w:rFonts w:ascii="ITC Avant Garde" w:hAnsi="ITC Avant Garde"/>
        </w:rPr>
      </w:pPr>
    </w:p>
    <w:p w:rsidR="008A7193" w:rsidRDefault="008A7193" w:rsidP="008A7193">
      <w:pPr>
        <w:spacing w:after="0" w:line="240" w:lineRule="auto"/>
        <w:jc w:val="both"/>
        <w:rPr>
          <w:rFonts w:ascii="ITC Avant Garde" w:hAnsi="ITC Avant Garde"/>
        </w:rPr>
      </w:pPr>
      <w:r w:rsidRPr="005672C8">
        <w:rPr>
          <w:rFonts w:ascii="ITC Avant Garde" w:hAnsi="ITC Avant Garde"/>
          <w:b/>
        </w:rPr>
        <w:t>Décimo.-</w:t>
      </w:r>
      <w:r>
        <w:rPr>
          <w:rFonts w:ascii="ITC Avant Garde" w:hAnsi="ITC Avant Garde"/>
        </w:rPr>
        <w:t xml:space="preserve"> </w:t>
      </w:r>
      <w:r w:rsidRPr="00C06D41">
        <w:rPr>
          <w:rFonts w:ascii="ITC Avant Garde" w:hAnsi="ITC Avant Garde"/>
        </w:rPr>
        <w:t xml:space="preserve">Para las consultas públicas referidas en el Lineamiento </w:t>
      </w:r>
      <w:r>
        <w:rPr>
          <w:rFonts w:ascii="ITC Avant Garde" w:hAnsi="ITC Avant Garde"/>
        </w:rPr>
        <w:t>Tercero</w:t>
      </w:r>
      <w:r w:rsidRPr="00C06D41">
        <w:rPr>
          <w:rFonts w:ascii="ITC Avant Garde" w:hAnsi="ITC Avant Garde"/>
        </w:rPr>
        <w:t xml:space="preserve">, fracciones I y III, las Unidades </w:t>
      </w:r>
      <w:r>
        <w:rPr>
          <w:rFonts w:ascii="ITC Avant Garde" w:hAnsi="ITC Avant Garde"/>
        </w:rPr>
        <w:t>y/o Coordinaciones Generales, según corresponda,</w:t>
      </w:r>
      <w:r w:rsidRPr="00C06D41">
        <w:rPr>
          <w:rFonts w:ascii="ITC Avant Garde" w:hAnsi="ITC Avant Garde"/>
        </w:rPr>
        <w:t xml:space="preserve"> deberán</w:t>
      </w:r>
      <w:r>
        <w:rPr>
          <w:rFonts w:ascii="ITC Avant Garde" w:hAnsi="ITC Avant Garde"/>
        </w:rPr>
        <w:t xml:space="preserve"> hacer público a través del Portal, el </w:t>
      </w:r>
      <w:r w:rsidRPr="00C06D41">
        <w:rPr>
          <w:rFonts w:ascii="ITC Avant Garde" w:hAnsi="ITC Avant Garde"/>
        </w:rPr>
        <w:t xml:space="preserve">Informe </w:t>
      </w:r>
      <w:r>
        <w:rPr>
          <w:rFonts w:ascii="ITC Avant Garde" w:hAnsi="ITC Avant Garde"/>
        </w:rPr>
        <w:t>de consideraciones a que se refiere el Lineamiento Noveno anterior, sobre</w:t>
      </w:r>
      <w:r w:rsidRPr="00C06D41">
        <w:rPr>
          <w:rFonts w:ascii="ITC Avant Garde" w:hAnsi="ITC Avant Garde"/>
        </w:rPr>
        <w:t xml:space="preserve"> </w:t>
      </w:r>
      <w:r>
        <w:rPr>
          <w:rFonts w:ascii="ITC Avant Garde" w:hAnsi="ITC Avant Garde"/>
        </w:rPr>
        <w:t xml:space="preserve">el </w:t>
      </w:r>
      <w:r w:rsidRPr="00C06D41">
        <w:rPr>
          <w:rFonts w:ascii="ITC Avant Garde" w:hAnsi="ITC Avant Garde"/>
        </w:rPr>
        <w:t xml:space="preserve">proceso de consulta pública, </w:t>
      </w:r>
      <w:r>
        <w:rPr>
          <w:rFonts w:ascii="ITC Avant Garde" w:hAnsi="ITC Avant Garde"/>
        </w:rPr>
        <w:t xml:space="preserve">dentro de </w:t>
      </w:r>
      <w:r w:rsidRPr="00C06D41">
        <w:rPr>
          <w:rFonts w:ascii="ITC Avant Garde" w:hAnsi="ITC Avant Garde"/>
        </w:rPr>
        <w:t xml:space="preserve">los </w:t>
      </w:r>
      <w:r>
        <w:rPr>
          <w:rFonts w:ascii="ITC Avant Garde" w:hAnsi="ITC Avant Garde"/>
        </w:rPr>
        <w:t>cuarenta y cinco</w:t>
      </w:r>
      <w:r w:rsidRPr="00C06D41">
        <w:rPr>
          <w:rFonts w:ascii="ITC Avant Garde" w:hAnsi="ITC Avant Garde"/>
        </w:rPr>
        <w:t xml:space="preserve"> días </w:t>
      </w:r>
      <w:r>
        <w:rPr>
          <w:rFonts w:ascii="ITC Avant Garde" w:hAnsi="ITC Avant Garde"/>
        </w:rPr>
        <w:t>naturales</w:t>
      </w:r>
      <w:r w:rsidRPr="00C06D41">
        <w:rPr>
          <w:rFonts w:ascii="ITC Avant Garde" w:hAnsi="ITC Avant Garde"/>
        </w:rPr>
        <w:t xml:space="preserve"> siguientes a la con</w:t>
      </w:r>
      <w:r>
        <w:rPr>
          <w:rFonts w:ascii="ITC Avant Garde" w:hAnsi="ITC Avant Garde"/>
        </w:rPr>
        <w:t>clusión de la misma.</w:t>
      </w:r>
    </w:p>
    <w:p w:rsidR="008A7193" w:rsidRPr="00C06D41"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sidRPr="005672C8">
        <w:rPr>
          <w:rFonts w:ascii="ITC Avant Garde" w:hAnsi="ITC Avant Garde"/>
          <w:b/>
        </w:rPr>
        <w:t xml:space="preserve">Décimo </w:t>
      </w:r>
      <w:r>
        <w:rPr>
          <w:rFonts w:ascii="ITC Avant Garde" w:hAnsi="ITC Avant Garde"/>
          <w:b/>
        </w:rPr>
        <w:t>Primero</w:t>
      </w:r>
      <w:r w:rsidRPr="005672C8">
        <w:rPr>
          <w:rFonts w:ascii="ITC Avant Garde" w:hAnsi="ITC Avant Garde"/>
          <w:b/>
        </w:rPr>
        <w:t>.-</w:t>
      </w:r>
      <w:r>
        <w:rPr>
          <w:rFonts w:ascii="ITC Avant Garde" w:hAnsi="ITC Avant Garde"/>
        </w:rPr>
        <w:t xml:space="preserve"> </w:t>
      </w:r>
      <w:r w:rsidRPr="00C06D41">
        <w:rPr>
          <w:rFonts w:ascii="ITC Avant Garde" w:hAnsi="ITC Avant Garde"/>
        </w:rPr>
        <w:t xml:space="preserve">Para el caso de la consulta pública a la que se hace referencia en el Lineamiento </w:t>
      </w:r>
      <w:r>
        <w:rPr>
          <w:rFonts w:ascii="ITC Avant Garde" w:hAnsi="ITC Avant Garde"/>
        </w:rPr>
        <w:t>Tercero</w:t>
      </w:r>
      <w:r w:rsidRPr="00C06D41">
        <w:rPr>
          <w:rFonts w:ascii="ITC Avant Garde" w:hAnsi="ITC Avant Garde"/>
        </w:rPr>
        <w:t xml:space="preserve">, fracción II, las Unidades </w:t>
      </w:r>
      <w:r>
        <w:rPr>
          <w:rFonts w:ascii="ITC Avant Garde" w:hAnsi="ITC Avant Garde"/>
        </w:rPr>
        <w:t>y/o Coordinaciones Generales, según corresponda, harán público a través del Portal</w:t>
      </w:r>
      <w:r w:rsidRPr="00C06D41">
        <w:rPr>
          <w:rFonts w:ascii="ITC Avant Garde" w:hAnsi="ITC Avant Garde"/>
        </w:rPr>
        <w:t xml:space="preserve">, </w:t>
      </w:r>
      <w:r>
        <w:rPr>
          <w:rFonts w:ascii="ITC Avant Garde" w:hAnsi="ITC Avant Garde"/>
        </w:rPr>
        <w:t xml:space="preserve">el </w:t>
      </w:r>
      <w:r w:rsidRPr="00C06D41">
        <w:rPr>
          <w:rFonts w:ascii="ITC Avant Garde" w:hAnsi="ITC Avant Garde"/>
        </w:rPr>
        <w:t xml:space="preserve">Informe de consideraciones del Instituto </w:t>
      </w:r>
      <w:r>
        <w:rPr>
          <w:rFonts w:ascii="ITC Avant Garde" w:hAnsi="ITC Avant Garde"/>
        </w:rPr>
        <w:t>sobre el</w:t>
      </w:r>
      <w:r w:rsidRPr="00C06D41">
        <w:rPr>
          <w:rFonts w:ascii="ITC Avant Garde" w:hAnsi="ITC Avant Garde"/>
        </w:rPr>
        <w:t xml:space="preserve"> proceso de consulta pública</w:t>
      </w:r>
      <w:r>
        <w:rPr>
          <w:rFonts w:ascii="ITC Avant Garde" w:hAnsi="ITC Avant Garde"/>
        </w:rPr>
        <w:t xml:space="preserve"> a que se refiere el Lineamiento Noveno, de manera previa a la determinación del Pleno respecto al Proyecto correspondiente.</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sidRPr="00D712B4">
        <w:rPr>
          <w:rFonts w:ascii="ITC Avant Garde" w:hAnsi="ITC Avant Garde"/>
          <w:b/>
        </w:rPr>
        <w:t>Décimo</w:t>
      </w:r>
      <w:r>
        <w:rPr>
          <w:rFonts w:ascii="ITC Avant Garde" w:hAnsi="ITC Avant Garde"/>
          <w:b/>
        </w:rPr>
        <w:t xml:space="preserve"> Segundo</w:t>
      </w:r>
      <w:r w:rsidRPr="00D712B4">
        <w:rPr>
          <w:rFonts w:ascii="ITC Avant Garde" w:hAnsi="ITC Avant Garde"/>
          <w:b/>
        </w:rPr>
        <w:t>.-</w:t>
      </w:r>
      <w:r>
        <w:rPr>
          <w:rFonts w:ascii="ITC Avant Garde" w:hAnsi="ITC Avant Garde"/>
        </w:rPr>
        <w:t xml:space="preserve"> L</w:t>
      </w:r>
      <w:r w:rsidRPr="00C06D41">
        <w:rPr>
          <w:rFonts w:ascii="ITC Avant Garde" w:hAnsi="ITC Avant Garde"/>
        </w:rPr>
        <w:t xml:space="preserve">as Unidades </w:t>
      </w:r>
      <w:r>
        <w:rPr>
          <w:rFonts w:ascii="ITC Avant Garde" w:hAnsi="ITC Avant Garde"/>
        </w:rPr>
        <w:t>y/o Coordinaciones Generales, según corresponda, que realicen consultas públicas implementarán de manera conjunta con la</w:t>
      </w:r>
      <w:r w:rsidRPr="00D712B4">
        <w:rPr>
          <w:rFonts w:ascii="ITC Avant Garde" w:hAnsi="ITC Avant Garde"/>
        </w:rPr>
        <w:t xml:space="preserve"> Coordinación General de Comunicación Social las estrategias de </w:t>
      </w:r>
      <w:r>
        <w:rPr>
          <w:rFonts w:ascii="ITC Avant Garde" w:hAnsi="ITC Avant Garde"/>
        </w:rPr>
        <w:t xml:space="preserve">comunicación </w:t>
      </w:r>
      <w:r w:rsidRPr="00D712B4">
        <w:rPr>
          <w:rFonts w:ascii="ITC Avant Garde" w:hAnsi="ITC Avant Garde"/>
        </w:rPr>
        <w:t xml:space="preserve">y difusión que consideren </w:t>
      </w:r>
      <w:r>
        <w:rPr>
          <w:rFonts w:ascii="ITC Avant Garde" w:hAnsi="ITC Avant Garde"/>
        </w:rPr>
        <w:t xml:space="preserve">necesarias </w:t>
      </w:r>
      <w:r w:rsidRPr="00D712B4">
        <w:rPr>
          <w:rFonts w:ascii="ITC Avant Garde" w:hAnsi="ITC Avant Garde"/>
        </w:rPr>
        <w:t>para dar</w:t>
      </w:r>
      <w:r>
        <w:rPr>
          <w:rFonts w:ascii="ITC Avant Garde" w:hAnsi="ITC Avant Garde"/>
        </w:rPr>
        <w:t xml:space="preserve"> mayor promoción y publicidad a las mismas.</w:t>
      </w:r>
    </w:p>
    <w:p w:rsidR="008A7193" w:rsidRDefault="008A7193" w:rsidP="008A7193">
      <w:pPr>
        <w:spacing w:after="0" w:line="240" w:lineRule="auto"/>
        <w:jc w:val="both"/>
        <w:rPr>
          <w:rFonts w:ascii="ITC Avant Garde" w:hAnsi="ITC Avant Garde"/>
        </w:rPr>
      </w:pPr>
    </w:p>
    <w:p w:rsidR="008A7193" w:rsidRPr="00D62592" w:rsidRDefault="008A7193" w:rsidP="008A7193">
      <w:pPr>
        <w:spacing w:after="0" w:line="240" w:lineRule="auto"/>
        <w:jc w:val="center"/>
        <w:rPr>
          <w:rFonts w:ascii="ITC Avant Garde" w:hAnsi="ITC Avant Garde"/>
          <w:b/>
        </w:rPr>
      </w:pPr>
      <w:r>
        <w:rPr>
          <w:rFonts w:ascii="ITC Avant Garde" w:hAnsi="ITC Avant Garde"/>
          <w:b/>
        </w:rPr>
        <w:t>Capítulo Tercero</w:t>
      </w:r>
    </w:p>
    <w:p w:rsidR="008A7193" w:rsidRDefault="008A7193" w:rsidP="008A7193">
      <w:pPr>
        <w:spacing w:after="0" w:line="240" w:lineRule="auto"/>
        <w:jc w:val="center"/>
        <w:rPr>
          <w:rFonts w:ascii="ITC Avant Garde" w:hAnsi="ITC Avant Garde"/>
          <w:b/>
        </w:rPr>
      </w:pPr>
      <w:r>
        <w:rPr>
          <w:rFonts w:ascii="ITC Avant Garde" w:hAnsi="ITC Avant Garde"/>
          <w:b/>
        </w:rPr>
        <w:t>Excepciones a las Consultas Públicas</w:t>
      </w:r>
    </w:p>
    <w:p w:rsidR="008A7193" w:rsidRPr="009D3FE2" w:rsidRDefault="008A7193" w:rsidP="008A7193">
      <w:pPr>
        <w:spacing w:after="0" w:line="240" w:lineRule="auto"/>
        <w:jc w:val="center"/>
        <w:rPr>
          <w:rFonts w:ascii="ITC Avant Garde" w:hAnsi="ITC Avant Garde"/>
          <w:b/>
        </w:rPr>
      </w:pPr>
    </w:p>
    <w:p w:rsidR="008A7193" w:rsidRDefault="008A7193" w:rsidP="008A7193">
      <w:pPr>
        <w:spacing w:after="0" w:line="240" w:lineRule="auto"/>
        <w:jc w:val="both"/>
        <w:rPr>
          <w:rFonts w:ascii="ITC Avant Garde" w:hAnsi="ITC Avant Garde"/>
        </w:rPr>
      </w:pPr>
      <w:r w:rsidRPr="0012737A">
        <w:rPr>
          <w:rFonts w:ascii="ITC Avant Garde" w:hAnsi="ITC Avant Garde"/>
          <w:b/>
        </w:rPr>
        <w:t>Décimo</w:t>
      </w:r>
      <w:r w:rsidRPr="0012737A">
        <w:rPr>
          <w:rFonts w:ascii="ITC Avant Garde" w:hAnsi="ITC Avant Garde"/>
        </w:rPr>
        <w:t xml:space="preserve"> </w:t>
      </w:r>
      <w:r>
        <w:rPr>
          <w:rFonts w:ascii="ITC Avant Garde" w:hAnsi="ITC Avant Garde"/>
          <w:b/>
        </w:rPr>
        <w:t>Tercero</w:t>
      </w:r>
      <w:r w:rsidRPr="00D56D3A">
        <w:rPr>
          <w:rFonts w:ascii="ITC Avant Garde" w:hAnsi="ITC Avant Garde"/>
          <w:b/>
        </w:rPr>
        <w:t>.-</w:t>
      </w:r>
      <w:r>
        <w:rPr>
          <w:rFonts w:ascii="ITC Avant Garde" w:hAnsi="ITC Avant Garde"/>
        </w:rPr>
        <w:t xml:space="preserve"> El Pleno podrá exceptuar de realizar una consulta pública sobre  un Anteproyecto o Proyecto cuando:</w:t>
      </w:r>
    </w:p>
    <w:p w:rsidR="008A7193" w:rsidRDefault="008A7193" w:rsidP="008A7193">
      <w:pPr>
        <w:spacing w:after="0" w:line="240" w:lineRule="auto"/>
        <w:jc w:val="both"/>
        <w:rPr>
          <w:rFonts w:ascii="ITC Avant Garde" w:hAnsi="ITC Avant Garde"/>
        </w:rPr>
      </w:pPr>
    </w:p>
    <w:p w:rsidR="008A7193" w:rsidRDefault="008A7193" w:rsidP="008A7193">
      <w:pPr>
        <w:pStyle w:val="Prrafodelista"/>
        <w:numPr>
          <w:ilvl w:val="0"/>
          <w:numId w:val="21"/>
        </w:numPr>
        <w:spacing w:after="0" w:line="240" w:lineRule="auto"/>
        <w:ind w:left="1134" w:right="616" w:hanging="567"/>
        <w:jc w:val="both"/>
        <w:rPr>
          <w:rFonts w:ascii="ITC Avant Garde" w:hAnsi="ITC Avant Garde"/>
        </w:rPr>
      </w:pPr>
      <w:r>
        <w:rPr>
          <w:rFonts w:ascii="ITC Avant Garde" w:hAnsi="ITC Avant Garde"/>
        </w:rPr>
        <w:t>S</w:t>
      </w:r>
      <w:r w:rsidRPr="00EA712D">
        <w:rPr>
          <w:rFonts w:ascii="ITC Avant Garde" w:hAnsi="ITC Avant Garde"/>
        </w:rPr>
        <w:t>u publicidad pudiera comprometer los efectos que se prete</w:t>
      </w:r>
      <w:r>
        <w:rPr>
          <w:rFonts w:ascii="ITC Avant Garde" w:hAnsi="ITC Avant Garde"/>
        </w:rPr>
        <w:t>nden resolver o lograr; o,</w:t>
      </w:r>
    </w:p>
    <w:p w:rsidR="008A7193" w:rsidRPr="0012740B" w:rsidRDefault="008A7193" w:rsidP="008A7193">
      <w:pPr>
        <w:spacing w:after="0" w:line="240" w:lineRule="auto"/>
        <w:ind w:left="567" w:right="616"/>
        <w:jc w:val="both"/>
        <w:rPr>
          <w:rFonts w:ascii="ITC Avant Garde" w:hAnsi="ITC Avant Garde"/>
        </w:rPr>
      </w:pPr>
    </w:p>
    <w:p w:rsidR="008A7193" w:rsidRDefault="008A7193" w:rsidP="008A7193">
      <w:pPr>
        <w:pStyle w:val="Prrafodelista"/>
        <w:numPr>
          <w:ilvl w:val="0"/>
          <w:numId w:val="21"/>
        </w:numPr>
        <w:spacing w:after="0" w:line="240" w:lineRule="auto"/>
        <w:ind w:left="1134" w:right="616" w:hanging="567"/>
        <w:jc w:val="both"/>
        <w:rPr>
          <w:rFonts w:ascii="ITC Avant Garde" w:hAnsi="ITC Avant Garde"/>
        </w:rPr>
      </w:pPr>
      <w:r>
        <w:rPr>
          <w:rFonts w:ascii="ITC Avant Garde" w:hAnsi="ITC Avant Garde"/>
        </w:rPr>
        <w:t xml:space="preserve">Cuando se pretenda resolver o prevenir </w:t>
      </w:r>
      <w:r w:rsidRPr="00EA712D">
        <w:rPr>
          <w:rFonts w:ascii="ITC Avant Garde" w:hAnsi="ITC Avant Garde"/>
        </w:rPr>
        <w:t>una situación de emergencia.</w:t>
      </w:r>
    </w:p>
    <w:p w:rsidR="008A7193" w:rsidRPr="00EA712D" w:rsidRDefault="008A7193" w:rsidP="008A7193">
      <w:pPr>
        <w:pStyle w:val="Prrafodelista"/>
        <w:spacing w:after="0" w:line="240" w:lineRule="auto"/>
        <w:ind w:left="1080"/>
        <w:jc w:val="both"/>
        <w:rPr>
          <w:rFonts w:ascii="ITC Avant Garde" w:hAnsi="ITC Avant Garde"/>
        </w:rPr>
      </w:pPr>
    </w:p>
    <w:p w:rsidR="008A7193" w:rsidRDefault="008A7193" w:rsidP="008A7193">
      <w:pPr>
        <w:spacing w:after="0" w:line="240" w:lineRule="auto"/>
        <w:jc w:val="both"/>
        <w:rPr>
          <w:rFonts w:ascii="ITC Avant Garde" w:hAnsi="ITC Avant Garde"/>
        </w:rPr>
      </w:pPr>
      <w:r w:rsidRPr="003C5AA4">
        <w:rPr>
          <w:rFonts w:ascii="ITC Avant Garde" w:hAnsi="ITC Avant Garde"/>
          <w:b/>
        </w:rPr>
        <w:t xml:space="preserve">Décimo </w:t>
      </w:r>
      <w:r>
        <w:rPr>
          <w:rFonts w:ascii="ITC Avant Garde" w:hAnsi="ITC Avant Garde"/>
          <w:b/>
        </w:rPr>
        <w:t>Cuarto</w:t>
      </w:r>
      <w:r w:rsidRPr="003C5AA4">
        <w:rPr>
          <w:rFonts w:ascii="ITC Avant Garde" w:hAnsi="ITC Avant Garde"/>
          <w:b/>
        </w:rPr>
        <w:t>.-</w:t>
      </w:r>
      <w:r>
        <w:rPr>
          <w:rFonts w:ascii="ITC Avant Garde" w:hAnsi="ITC Avant Garde"/>
        </w:rPr>
        <w:t xml:space="preserve"> Cuando l</w:t>
      </w:r>
      <w:r w:rsidRPr="00C06D41">
        <w:rPr>
          <w:rFonts w:ascii="ITC Avant Garde" w:hAnsi="ITC Avant Garde"/>
        </w:rPr>
        <w:t xml:space="preserve">as Unidades </w:t>
      </w:r>
      <w:r>
        <w:rPr>
          <w:rFonts w:ascii="ITC Avant Garde" w:hAnsi="ITC Avant Garde"/>
        </w:rPr>
        <w:t>y/o Coordinaciones Generales estimen que la publicidad de un Proyecto a su cargo pudiera comprometer los efectos que el Instituto pretenda resolver, deberán someterlo a consideración del Pleno para su expedición, acompañado de:</w:t>
      </w:r>
    </w:p>
    <w:p w:rsidR="008A7193" w:rsidRDefault="008A7193" w:rsidP="008A7193">
      <w:pPr>
        <w:spacing w:after="0" w:line="240" w:lineRule="auto"/>
        <w:jc w:val="both"/>
        <w:rPr>
          <w:rFonts w:ascii="ITC Avant Garde" w:hAnsi="ITC Avant Garde"/>
        </w:rPr>
      </w:pPr>
    </w:p>
    <w:p w:rsidR="008A7193" w:rsidRDefault="008A7193" w:rsidP="008A7193">
      <w:pPr>
        <w:pStyle w:val="Prrafodelista"/>
        <w:numPr>
          <w:ilvl w:val="0"/>
          <w:numId w:val="25"/>
        </w:numPr>
        <w:spacing w:after="0" w:line="240" w:lineRule="auto"/>
        <w:ind w:left="1134" w:right="616" w:hanging="567"/>
        <w:jc w:val="both"/>
        <w:rPr>
          <w:rFonts w:ascii="ITC Avant Garde" w:hAnsi="ITC Avant Garde"/>
        </w:rPr>
      </w:pPr>
      <w:r>
        <w:rPr>
          <w:rFonts w:ascii="ITC Avant Garde" w:hAnsi="ITC Avant Garde"/>
        </w:rPr>
        <w:t>El AIR o ANIR, según corresponda, y</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25"/>
        </w:numPr>
        <w:spacing w:after="0" w:line="240" w:lineRule="auto"/>
        <w:ind w:left="1134" w:right="616" w:hanging="567"/>
        <w:jc w:val="both"/>
        <w:rPr>
          <w:rFonts w:ascii="ITC Avant Garde" w:hAnsi="ITC Avant Garde"/>
        </w:rPr>
      </w:pPr>
      <w:r>
        <w:rPr>
          <w:rFonts w:ascii="ITC Avant Garde" w:hAnsi="ITC Avant Garde"/>
        </w:rPr>
        <w:t>La opinión no vinculante de la Coordinación General sobre el AIR o ANIR, según corresponda.</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spacing w:after="0" w:line="240" w:lineRule="auto"/>
        <w:jc w:val="both"/>
        <w:rPr>
          <w:rFonts w:ascii="ITC Avant Garde" w:hAnsi="ITC Avant Garde"/>
        </w:rPr>
      </w:pPr>
      <w:r w:rsidRPr="00200F2B">
        <w:rPr>
          <w:rFonts w:ascii="ITC Avant Garde" w:hAnsi="ITC Avant Garde"/>
        </w:rPr>
        <w:t>Para efectos de lo anterior, las Unidades y/o Coordinaciones Generales deberán solicitar, cuando menos diez días hábiles previos a la presentación del Proyecto al Pleno, a la Coordinación General la emisión de la opinión no vinculante que corresponda, quien contará con el mismo plazo para realizarla</w:t>
      </w:r>
      <w:r>
        <w:rPr>
          <w:rFonts w:ascii="ITC Avant Garde" w:hAnsi="ITC Avant Garde"/>
        </w:rPr>
        <w:t>, la cual se hará pública en el Portal</w:t>
      </w:r>
      <w:r w:rsidRPr="00200F2B">
        <w:rPr>
          <w:rFonts w:ascii="ITC Avant Garde" w:hAnsi="ITC Avant Garde"/>
        </w:rPr>
        <w:t>.</w:t>
      </w:r>
    </w:p>
    <w:p w:rsidR="008A7193" w:rsidRPr="00A412D5"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rPr>
        <w:t>El Instituto</w:t>
      </w:r>
      <w:r w:rsidRPr="00E468C8">
        <w:rPr>
          <w:rFonts w:ascii="ITC Avant Garde" w:hAnsi="ITC Avant Garde"/>
        </w:rPr>
        <w:t xml:space="preserve"> hará pública la información respectiva a través del Portal cuando se publique la disposición </w:t>
      </w:r>
      <w:r>
        <w:rPr>
          <w:rFonts w:ascii="ITC Avant Garde" w:hAnsi="ITC Avant Garde"/>
        </w:rPr>
        <w:t xml:space="preserve">correspondiente </w:t>
      </w:r>
      <w:r w:rsidRPr="00E468C8">
        <w:rPr>
          <w:rFonts w:ascii="ITC Avant Garde" w:hAnsi="ITC Avant Garde"/>
        </w:rPr>
        <w:t>en el Diario Oficial de la Federación.</w:t>
      </w:r>
    </w:p>
    <w:p w:rsidR="008A7193" w:rsidRPr="00E468C8"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sidRPr="003C5AA4">
        <w:rPr>
          <w:rFonts w:ascii="ITC Avant Garde" w:hAnsi="ITC Avant Garde"/>
          <w:b/>
        </w:rPr>
        <w:t xml:space="preserve">Décimo </w:t>
      </w:r>
      <w:r>
        <w:rPr>
          <w:rFonts w:ascii="ITC Avant Garde" w:hAnsi="ITC Avant Garde"/>
          <w:b/>
        </w:rPr>
        <w:t>Quinto</w:t>
      </w:r>
      <w:r w:rsidRPr="003C5AA4">
        <w:rPr>
          <w:rFonts w:ascii="ITC Avant Garde" w:hAnsi="ITC Avant Garde"/>
          <w:b/>
        </w:rPr>
        <w:t>.-</w:t>
      </w:r>
      <w:r>
        <w:rPr>
          <w:rFonts w:ascii="ITC Avant Garde" w:hAnsi="ITC Avant Garde"/>
        </w:rPr>
        <w:t xml:space="preserve"> Cuando l</w:t>
      </w:r>
      <w:r w:rsidRPr="00C06D41">
        <w:rPr>
          <w:rFonts w:ascii="ITC Avant Garde" w:hAnsi="ITC Avant Garde"/>
        </w:rPr>
        <w:t xml:space="preserve">as Unidades </w:t>
      </w:r>
      <w:r>
        <w:rPr>
          <w:rFonts w:ascii="ITC Avant Garde" w:hAnsi="ITC Avant Garde"/>
        </w:rPr>
        <w:t>y/o Coordinaciones Generales estimen que con la expedición de un Proyecto resolverán o prevendrán una situación de emergencia, deberán tomar en consideración cada uno de los siguientes supuestos:</w:t>
      </w:r>
    </w:p>
    <w:p w:rsidR="008A7193" w:rsidRDefault="008A7193" w:rsidP="008A7193">
      <w:pPr>
        <w:pStyle w:val="Prrafodelista"/>
        <w:numPr>
          <w:ilvl w:val="0"/>
          <w:numId w:val="22"/>
        </w:numPr>
        <w:spacing w:after="0" w:line="240" w:lineRule="auto"/>
        <w:ind w:left="1134" w:right="616" w:hanging="567"/>
        <w:jc w:val="both"/>
        <w:rPr>
          <w:rFonts w:ascii="ITC Avant Garde" w:hAnsi="ITC Avant Garde"/>
        </w:rPr>
      </w:pPr>
      <w:r>
        <w:rPr>
          <w:rFonts w:ascii="ITC Avant Garde" w:hAnsi="ITC Avant Garde"/>
        </w:rPr>
        <w:t xml:space="preserve">Que el Proyecto tenga </w:t>
      </w:r>
      <w:r w:rsidRPr="00F52425">
        <w:rPr>
          <w:rFonts w:ascii="ITC Avant Garde" w:hAnsi="ITC Avant Garde"/>
        </w:rPr>
        <w:t>una vig</w:t>
      </w:r>
      <w:r>
        <w:rPr>
          <w:rFonts w:ascii="ITC Avant Garde" w:hAnsi="ITC Avant Garde"/>
        </w:rPr>
        <w:t>encia no mayor a</w:t>
      </w:r>
      <w:r w:rsidRPr="00F52425">
        <w:rPr>
          <w:rFonts w:ascii="ITC Avant Garde" w:hAnsi="ITC Avant Garde"/>
        </w:rPr>
        <w:t xml:space="preserve"> seis meses, misma que, en su caso, podrá ser renovada por una sola ocasión por un periodo igual o menor;</w:t>
      </w:r>
    </w:p>
    <w:p w:rsidR="008A7193" w:rsidRPr="00F52425" w:rsidRDefault="008A7193" w:rsidP="008A7193">
      <w:pPr>
        <w:pStyle w:val="Prrafodelista"/>
        <w:spacing w:after="0" w:line="240" w:lineRule="auto"/>
        <w:ind w:left="1134" w:right="616"/>
        <w:jc w:val="both"/>
        <w:rPr>
          <w:rFonts w:ascii="ITC Avant Garde" w:hAnsi="ITC Avant Garde"/>
        </w:rPr>
      </w:pPr>
    </w:p>
    <w:p w:rsidR="008A7193" w:rsidRDefault="008A7193" w:rsidP="008A7193">
      <w:pPr>
        <w:pStyle w:val="Prrafodelista"/>
        <w:numPr>
          <w:ilvl w:val="0"/>
          <w:numId w:val="22"/>
        </w:numPr>
        <w:spacing w:after="0" w:line="240" w:lineRule="auto"/>
        <w:ind w:left="1134" w:right="616" w:hanging="567"/>
        <w:jc w:val="both"/>
        <w:rPr>
          <w:rFonts w:ascii="ITC Avant Garde" w:hAnsi="ITC Avant Garde"/>
        </w:rPr>
      </w:pPr>
      <w:r>
        <w:rPr>
          <w:rFonts w:ascii="ITC Avant Garde" w:hAnsi="ITC Avant Garde"/>
        </w:rPr>
        <w:t xml:space="preserve">Que el Proyecto </w:t>
      </w:r>
      <w:r w:rsidRPr="00F52425">
        <w:rPr>
          <w:rFonts w:ascii="ITC Avant Garde" w:hAnsi="ITC Avant Garde"/>
        </w:rPr>
        <w:t>busque evitar un daño inminente, o bien atenuar o eliminar un daño existente, al bienestar de la población, al desarrollo eficiente de las telecomunicaciones y la radiodif</w:t>
      </w:r>
      <w:r>
        <w:rPr>
          <w:rFonts w:ascii="ITC Avant Garde" w:hAnsi="ITC Avant Garde"/>
        </w:rPr>
        <w:t>usión, o a la economía nacional;</w:t>
      </w:r>
      <w:r w:rsidRPr="00F52425">
        <w:rPr>
          <w:rFonts w:ascii="ITC Avant Garde" w:hAnsi="ITC Avant Garde"/>
        </w:rPr>
        <w:t xml:space="preserve"> y,</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22"/>
        </w:numPr>
        <w:spacing w:after="0" w:line="240" w:lineRule="auto"/>
        <w:ind w:left="1134" w:right="616" w:hanging="567"/>
        <w:jc w:val="both"/>
        <w:rPr>
          <w:rFonts w:ascii="ITC Avant Garde" w:hAnsi="ITC Avant Garde"/>
        </w:rPr>
      </w:pPr>
      <w:r>
        <w:rPr>
          <w:rFonts w:ascii="ITC Avant Garde" w:hAnsi="ITC Avant Garde"/>
        </w:rPr>
        <w:t>Que no</w:t>
      </w:r>
      <w:r w:rsidRPr="00F52425">
        <w:rPr>
          <w:rFonts w:ascii="ITC Avant Garde" w:hAnsi="ITC Avant Garde"/>
        </w:rPr>
        <w:t xml:space="preserve"> </w:t>
      </w:r>
      <w:r>
        <w:rPr>
          <w:rFonts w:ascii="ITC Avant Garde" w:hAnsi="ITC Avant Garde"/>
        </w:rPr>
        <w:t xml:space="preserve">se </w:t>
      </w:r>
      <w:r w:rsidRPr="00F52425">
        <w:rPr>
          <w:rFonts w:ascii="ITC Avant Garde" w:hAnsi="ITC Avant Garde"/>
        </w:rPr>
        <w:t xml:space="preserve">haya solicitado previamente trato de emergencia para un Proyecto con contenido </w:t>
      </w:r>
      <w:r>
        <w:rPr>
          <w:rFonts w:ascii="ITC Avant Garde" w:hAnsi="ITC Avant Garde"/>
        </w:rPr>
        <w:t xml:space="preserve">similar o </w:t>
      </w:r>
      <w:r w:rsidRPr="00F52425">
        <w:rPr>
          <w:rFonts w:ascii="ITC Avant Garde" w:hAnsi="ITC Avant Garde"/>
        </w:rPr>
        <w:t>equivalente.</w:t>
      </w:r>
    </w:p>
    <w:p w:rsidR="008A7193" w:rsidRPr="00D01137" w:rsidRDefault="008A7193" w:rsidP="008A7193">
      <w:pPr>
        <w:pStyle w:val="Prrafodelista"/>
        <w:spacing w:after="0" w:line="240" w:lineRule="auto"/>
        <w:ind w:left="1080"/>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rPr>
        <w:t>Lo anterior deberá someterse a la consideración del Pleno, el cual resolverá lo conducente y, en el caso de que dicho órgano colegiado resuelva su expedición, las Unidades Administrativas y/o Coordinaciones Generales de que se traten elaborarán y remitirán a la Coordinación General el AIR o ANIR según corresponda, dentro de los veinte días hábiles siguientes a la entrada en vigor de dicho instrumento jurídico, para su publicación a través del Portal. La Coordinación General deberá emitir la opinión no vinculante respectiva en un periodo no mayor a diez días hábiles contados a partir de la presentación del AIR o ANIR, correspondiente.</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sidRPr="002D4ACE">
        <w:rPr>
          <w:rFonts w:ascii="ITC Avant Garde" w:hAnsi="ITC Avant Garde"/>
          <w:b/>
        </w:rPr>
        <w:t xml:space="preserve">Décimo </w:t>
      </w:r>
      <w:r>
        <w:rPr>
          <w:rFonts w:ascii="ITC Avant Garde" w:hAnsi="ITC Avant Garde"/>
          <w:b/>
        </w:rPr>
        <w:t>Sexto</w:t>
      </w:r>
      <w:r w:rsidRPr="002D4ACE">
        <w:rPr>
          <w:rFonts w:ascii="ITC Avant Garde" w:hAnsi="ITC Avant Garde"/>
          <w:b/>
        </w:rPr>
        <w:t>.-</w:t>
      </w:r>
      <w:r>
        <w:rPr>
          <w:rFonts w:ascii="ITC Avant Garde" w:hAnsi="ITC Avant Garde"/>
        </w:rPr>
        <w:t xml:space="preserve"> Para los Proyectos que hayan sido exceptuados de consulta pública, conforme a lo previsto en el Lineamiento Décimo Cuarto, las </w:t>
      </w:r>
      <w:r w:rsidRPr="00802F1D">
        <w:rPr>
          <w:rFonts w:ascii="ITC Avant Garde" w:hAnsi="ITC Avant Garde"/>
        </w:rPr>
        <w:t>Unidades y</w:t>
      </w:r>
      <w:r>
        <w:rPr>
          <w:rFonts w:ascii="ITC Avant Garde" w:hAnsi="ITC Avant Garde"/>
        </w:rPr>
        <w:t>/o</w:t>
      </w:r>
      <w:r w:rsidRPr="00802F1D">
        <w:rPr>
          <w:rFonts w:ascii="ITC Avant Garde" w:hAnsi="ITC Avant Garde"/>
        </w:rPr>
        <w:t xml:space="preserve"> Coordinaciones </w:t>
      </w:r>
      <w:r>
        <w:rPr>
          <w:rFonts w:ascii="ITC Avant Garde" w:hAnsi="ITC Avant Garde"/>
        </w:rPr>
        <w:t xml:space="preserve">Generales, en un plazo no mayor a un año contado a partir de su entrada en vigor, deberán realizar </w:t>
      </w:r>
      <w:r w:rsidRPr="00D62592">
        <w:rPr>
          <w:rFonts w:ascii="ITC Avant Garde" w:hAnsi="ITC Avant Garde"/>
        </w:rPr>
        <w:t xml:space="preserve">una </w:t>
      </w:r>
      <w:r w:rsidRPr="002E7FC1">
        <w:rPr>
          <w:rFonts w:ascii="ITC Avant Garde" w:hAnsi="ITC Avant Garde"/>
        </w:rPr>
        <w:t>consulta pública de evaluación sobre la aplicación</w:t>
      </w:r>
      <w:r w:rsidRPr="00D62592">
        <w:rPr>
          <w:rFonts w:ascii="ITC Avant Garde" w:hAnsi="ITC Avant Garde"/>
        </w:rPr>
        <w:t>, efectos y observancia</w:t>
      </w:r>
      <w:r>
        <w:rPr>
          <w:rFonts w:ascii="ITC Avant Garde" w:hAnsi="ITC Avant Garde"/>
        </w:rPr>
        <w:t>,</w:t>
      </w:r>
      <w:r w:rsidRPr="00D62592">
        <w:rPr>
          <w:rFonts w:ascii="ITC Avant Garde" w:hAnsi="ITC Avant Garde"/>
        </w:rPr>
        <w:t xml:space="preserve"> a fin de</w:t>
      </w:r>
      <w:r w:rsidRPr="00933444">
        <w:rPr>
          <w:rFonts w:ascii="ITC Avant Garde" w:hAnsi="ITC Avant Garde"/>
        </w:rPr>
        <w:t xml:space="preserve"> </w:t>
      </w:r>
      <w:r>
        <w:rPr>
          <w:rFonts w:ascii="ITC Avant Garde" w:hAnsi="ITC Avant Garde"/>
        </w:rPr>
        <w:t>que el Instituto, en su caso, determine</w:t>
      </w:r>
      <w:r w:rsidRPr="00933444">
        <w:rPr>
          <w:rFonts w:ascii="ITC Avant Garde" w:hAnsi="ITC Avant Garde"/>
        </w:rPr>
        <w:t xml:space="preserve"> las acciones que mejoren los aspectos anteriores y si procede </w:t>
      </w:r>
      <w:r>
        <w:rPr>
          <w:rFonts w:ascii="ITC Avant Garde" w:hAnsi="ITC Avant Garde"/>
        </w:rPr>
        <w:t xml:space="preserve">o no </w:t>
      </w:r>
      <w:r w:rsidRPr="00933444">
        <w:rPr>
          <w:rFonts w:ascii="ITC Avant Garde" w:hAnsi="ITC Avant Garde"/>
        </w:rPr>
        <w:t xml:space="preserve">su modificación o abrogación. </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b/>
        </w:rPr>
        <w:t>Décimo Séptimo</w:t>
      </w:r>
      <w:r w:rsidRPr="0006301D">
        <w:rPr>
          <w:rFonts w:ascii="ITC Avant Garde" w:hAnsi="ITC Avant Garde"/>
          <w:b/>
        </w:rPr>
        <w:t>.-</w:t>
      </w:r>
      <w:r>
        <w:rPr>
          <w:rFonts w:ascii="ITC Avant Garde" w:hAnsi="ITC Avant Garde"/>
        </w:rPr>
        <w:t xml:space="preserve"> El Pleno</w:t>
      </w:r>
      <w:r w:rsidRPr="0006301D">
        <w:rPr>
          <w:rFonts w:ascii="ITC Avant Garde" w:hAnsi="ITC Avant Garde"/>
        </w:rPr>
        <w:t>, a propuesta de la</w:t>
      </w:r>
      <w:r>
        <w:rPr>
          <w:rFonts w:ascii="ITC Avant Garde" w:hAnsi="ITC Avant Garde"/>
        </w:rPr>
        <w:t>s</w:t>
      </w:r>
      <w:r w:rsidRPr="0006301D">
        <w:rPr>
          <w:rFonts w:ascii="ITC Avant Garde" w:hAnsi="ITC Avant Garde"/>
        </w:rPr>
        <w:t xml:space="preserve"> Unidad</w:t>
      </w:r>
      <w:r>
        <w:rPr>
          <w:rFonts w:ascii="ITC Avant Garde" w:hAnsi="ITC Avant Garde"/>
        </w:rPr>
        <w:t>es</w:t>
      </w:r>
      <w:r w:rsidRPr="0006301D">
        <w:rPr>
          <w:rFonts w:ascii="ITC Avant Garde" w:hAnsi="ITC Avant Garde"/>
        </w:rPr>
        <w:t xml:space="preserve"> </w:t>
      </w:r>
      <w:r>
        <w:rPr>
          <w:rFonts w:ascii="ITC Avant Garde" w:hAnsi="ITC Avant Garde"/>
        </w:rPr>
        <w:t>y/o Coordinaciones Generales</w:t>
      </w:r>
      <w:r w:rsidRPr="0006301D">
        <w:rPr>
          <w:rFonts w:ascii="ITC Avant Garde" w:hAnsi="ITC Avant Garde"/>
        </w:rPr>
        <w:t xml:space="preserve"> que corresponda</w:t>
      </w:r>
      <w:r>
        <w:rPr>
          <w:rFonts w:ascii="ITC Avant Garde" w:hAnsi="ITC Avant Garde"/>
        </w:rPr>
        <w:t>n</w:t>
      </w:r>
      <w:r w:rsidRPr="0006301D">
        <w:rPr>
          <w:rFonts w:ascii="ITC Avant Garde" w:hAnsi="ITC Avant Garde"/>
        </w:rPr>
        <w:t xml:space="preserve">, </w:t>
      </w:r>
      <w:r>
        <w:rPr>
          <w:rFonts w:ascii="ITC Avant Garde" w:hAnsi="ITC Avant Garde"/>
        </w:rPr>
        <w:t xml:space="preserve">podrá determinar </w:t>
      </w:r>
      <w:r w:rsidRPr="0006301D">
        <w:rPr>
          <w:rFonts w:ascii="ITC Avant Garde" w:hAnsi="ITC Avant Garde"/>
        </w:rPr>
        <w:t xml:space="preserve">la periodicidad con la que las </w:t>
      </w:r>
      <w:r w:rsidRPr="00D62592">
        <w:rPr>
          <w:rFonts w:ascii="ITC Avant Garde" w:hAnsi="ITC Avant Garde"/>
        </w:rPr>
        <w:t>reglas, lineamientos</w:t>
      </w:r>
      <w:r>
        <w:rPr>
          <w:rFonts w:ascii="ITC Avant Garde" w:hAnsi="ITC Avant Garde"/>
        </w:rPr>
        <w:t>, directrices, guías, criterios técnicos, disposiciones técnicas</w:t>
      </w:r>
      <w:r w:rsidRPr="00D62592">
        <w:rPr>
          <w:rFonts w:ascii="ITC Avant Garde" w:hAnsi="ITC Avant Garde"/>
        </w:rPr>
        <w:t xml:space="preserve"> o disposiciones administrativas de carácter general </w:t>
      </w:r>
      <w:r>
        <w:rPr>
          <w:rFonts w:ascii="ITC Avant Garde" w:hAnsi="ITC Avant Garde"/>
        </w:rPr>
        <w:t>vigentes, elaboradas</w:t>
      </w:r>
      <w:r w:rsidRPr="00D62592">
        <w:rPr>
          <w:rFonts w:ascii="ITC Avant Garde" w:hAnsi="ITC Avant Garde"/>
        </w:rPr>
        <w:t xml:space="preserve"> por </w:t>
      </w:r>
      <w:r>
        <w:rPr>
          <w:rFonts w:ascii="ITC Avant Garde" w:hAnsi="ITC Avant Garde"/>
        </w:rPr>
        <w:t>ellas</w:t>
      </w:r>
      <w:r w:rsidRPr="0006301D">
        <w:rPr>
          <w:rFonts w:ascii="ITC Avant Garde" w:hAnsi="ITC Avant Garde"/>
        </w:rPr>
        <w:t xml:space="preserve">, </w:t>
      </w:r>
      <w:r w:rsidRPr="002E7FC1">
        <w:rPr>
          <w:rFonts w:ascii="ITC Avant Garde" w:hAnsi="ITC Avant Garde"/>
        </w:rPr>
        <w:t>puedan someterse a una consulta pública de evaluación.</w:t>
      </w:r>
    </w:p>
    <w:p w:rsidR="008A7193" w:rsidRDefault="008A7193" w:rsidP="008A7193">
      <w:pPr>
        <w:spacing w:after="0" w:line="240" w:lineRule="auto"/>
        <w:jc w:val="both"/>
        <w:rPr>
          <w:rFonts w:ascii="ITC Avant Garde" w:hAnsi="ITC Avant Garde"/>
        </w:rPr>
      </w:pPr>
    </w:p>
    <w:p w:rsidR="008A7193" w:rsidRPr="00D62592" w:rsidRDefault="008A7193" w:rsidP="008A7193">
      <w:pPr>
        <w:spacing w:after="0" w:line="240" w:lineRule="auto"/>
        <w:jc w:val="center"/>
        <w:rPr>
          <w:rFonts w:ascii="ITC Avant Garde" w:hAnsi="ITC Avant Garde"/>
          <w:b/>
        </w:rPr>
      </w:pPr>
      <w:r>
        <w:rPr>
          <w:rFonts w:ascii="ITC Avant Garde" w:hAnsi="ITC Avant Garde"/>
          <w:b/>
        </w:rPr>
        <w:t>Capítulo Cuarto</w:t>
      </w:r>
    </w:p>
    <w:p w:rsidR="008A7193" w:rsidRPr="00D62592" w:rsidRDefault="008A7193" w:rsidP="008A7193">
      <w:pPr>
        <w:spacing w:after="0" w:line="240" w:lineRule="auto"/>
        <w:jc w:val="center"/>
        <w:rPr>
          <w:rFonts w:ascii="ITC Avant Garde" w:hAnsi="ITC Avant Garde"/>
          <w:b/>
        </w:rPr>
      </w:pPr>
      <w:r w:rsidRPr="00D62592">
        <w:rPr>
          <w:rFonts w:ascii="ITC Avant Garde" w:hAnsi="ITC Avant Garde"/>
          <w:b/>
        </w:rPr>
        <w:t>De</w:t>
      </w:r>
      <w:r>
        <w:rPr>
          <w:rFonts w:ascii="ITC Avant Garde" w:hAnsi="ITC Avant Garde"/>
          <w:b/>
        </w:rPr>
        <w:t>l Calendario Anual de</w:t>
      </w:r>
      <w:r w:rsidRPr="00D62592">
        <w:rPr>
          <w:rFonts w:ascii="ITC Avant Garde" w:hAnsi="ITC Avant Garde"/>
          <w:b/>
        </w:rPr>
        <w:t xml:space="preserve"> Consultas Públicas</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sidRPr="00D56D3A">
        <w:rPr>
          <w:rFonts w:ascii="ITC Avant Garde" w:hAnsi="ITC Avant Garde"/>
          <w:b/>
        </w:rPr>
        <w:t>Décimo</w:t>
      </w:r>
      <w:r>
        <w:rPr>
          <w:rFonts w:ascii="ITC Avant Garde" w:hAnsi="ITC Avant Garde"/>
        </w:rPr>
        <w:t xml:space="preserve"> </w:t>
      </w:r>
      <w:r>
        <w:rPr>
          <w:rFonts w:ascii="ITC Avant Garde" w:hAnsi="ITC Avant Garde"/>
          <w:b/>
        </w:rPr>
        <w:t>Octavo</w:t>
      </w:r>
      <w:r w:rsidRPr="00D56D3A">
        <w:rPr>
          <w:rFonts w:ascii="ITC Avant Garde" w:hAnsi="ITC Avant Garde"/>
          <w:b/>
        </w:rPr>
        <w:t>.-</w:t>
      </w:r>
      <w:r>
        <w:rPr>
          <w:rFonts w:ascii="ITC Avant Garde" w:hAnsi="ITC Avant Garde"/>
        </w:rPr>
        <w:t xml:space="preserve"> El Instituto elaborará y hará público en su Portal el </w:t>
      </w:r>
      <w:r w:rsidRPr="00661AAC">
        <w:rPr>
          <w:rFonts w:ascii="ITC Avant Garde" w:hAnsi="ITC Avant Garde"/>
        </w:rPr>
        <w:t>Calendario Anual de Consultas Públicas</w:t>
      </w:r>
      <w:r>
        <w:rPr>
          <w:rFonts w:ascii="ITC Avant Garde" w:hAnsi="ITC Avant Garde"/>
        </w:rPr>
        <w:t xml:space="preserve"> el cual contendrá, cuando menos, la siguiente información:</w:t>
      </w:r>
    </w:p>
    <w:p w:rsidR="008A7193" w:rsidRDefault="008A7193" w:rsidP="008A7193">
      <w:pPr>
        <w:spacing w:after="0" w:line="240" w:lineRule="auto"/>
        <w:jc w:val="both"/>
        <w:rPr>
          <w:rFonts w:ascii="ITC Avant Garde" w:hAnsi="ITC Avant Garde"/>
        </w:rPr>
      </w:pPr>
    </w:p>
    <w:p w:rsidR="008A7193" w:rsidRDefault="008A7193" w:rsidP="008A7193">
      <w:pPr>
        <w:pStyle w:val="Prrafodelista"/>
        <w:numPr>
          <w:ilvl w:val="0"/>
          <w:numId w:val="19"/>
        </w:numPr>
        <w:spacing w:after="0" w:line="240" w:lineRule="auto"/>
        <w:ind w:left="1134" w:right="616" w:hanging="567"/>
        <w:jc w:val="both"/>
        <w:rPr>
          <w:rFonts w:ascii="ITC Avant Garde" w:hAnsi="ITC Avant Garde"/>
        </w:rPr>
      </w:pPr>
      <w:r>
        <w:rPr>
          <w:rFonts w:ascii="ITC Avant Garde" w:hAnsi="ITC Avant Garde"/>
        </w:rPr>
        <w:t>Fecha de publicación o actualización;</w:t>
      </w:r>
    </w:p>
    <w:p w:rsidR="008A7193" w:rsidRDefault="008A7193" w:rsidP="008A7193">
      <w:pPr>
        <w:pStyle w:val="Prrafodelista"/>
        <w:spacing w:after="0" w:line="240" w:lineRule="auto"/>
        <w:ind w:left="1134" w:right="616"/>
        <w:jc w:val="both"/>
        <w:rPr>
          <w:rFonts w:ascii="ITC Avant Garde" w:hAnsi="ITC Avant Garde"/>
        </w:rPr>
      </w:pPr>
    </w:p>
    <w:p w:rsidR="008A7193" w:rsidRDefault="008A7193" w:rsidP="008A7193">
      <w:pPr>
        <w:pStyle w:val="Prrafodelista"/>
        <w:numPr>
          <w:ilvl w:val="0"/>
          <w:numId w:val="19"/>
        </w:numPr>
        <w:spacing w:after="0" w:line="240" w:lineRule="auto"/>
        <w:ind w:left="1134" w:right="616" w:hanging="567"/>
        <w:jc w:val="both"/>
        <w:rPr>
          <w:rFonts w:ascii="ITC Avant Garde" w:hAnsi="ITC Avant Garde"/>
        </w:rPr>
      </w:pPr>
      <w:r w:rsidRPr="00751CE0">
        <w:rPr>
          <w:rFonts w:ascii="ITC Avant Garde" w:hAnsi="ITC Avant Garde"/>
        </w:rPr>
        <w:t xml:space="preserve">Nombre del Anteproyecto o tema de interés </w:t>
      </w:r>
      <w:r>
        <w:rPr>
          <w:rFonts w:ascii="ITC Avant Garde" w:hAnsi="ITC Avant Garde"/>
        </w:rPr>
        <w:t xml:space="preserve">que será </w:t>
      </w:r>
      <w:r w:rsidRPr="00751CE0">
        <w:rPr>
          <w:rFonts w:ascii="ITC Avant Garde" w:hAnsi="ITC Avant Garde"/>
        </w:rPr>
        <w:t>sometido a consulta pública, según sea el caso</w:t>
      </w:r>
      <w:r>
        <w:rPr>
          <w:rFonts w:ascii="ITC Avant Garde" w:hAnsi="ITC Avant Garde"/>
        </w:rPr>
        <w:t>;</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9"/>
        </w:numPr>
        <w:spacing w:after="0" w:line="240" w:lineRule="auto"/>
        <w:ind w:left="1134" w:right="616" w:hanging="567"/>
        <w:jc w:val="both"/>
        <w:rPr>
          <w:rFonts w:ascii="ITC Avant Garde" w:hAnsi="ITC Avant Garde"/>
        </w:rPr>
      </w:pPr>
      <w:r w:rsidRPr="00751CE0">
        <w:rPr>
          <w:rFonts w:ascii="ITC Avant Garde" w:hAnsi="ITC Avant Garde"/>
        </w:rPr>
        <w:lastRenderedPageBreak/>
        <w:t>Tipo de consulta pública</w:t>
      </w:r>
      <w:r>
        <w:rPr>
          <w:rFonts w:ascii="ITC Avant Garde" w:hAnsi="ITC Avant Garde"/>
        </w:rPr>
        <w:t xml:space="preserve"> a realizar</w:t>
      </w:r>
      <w:r w:rsidRPr="00751CE0">
        <w:rPr>
          <w:rFonts w:ascii="ITC Avant Garde" w:hAnsi="ITC Avant Garde"/>
        </w:rPr>
        <w:t>;</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9"/>
        </w:numPr>
        <w:spacing w:after="0" w:line="240" w:lineRule="auto"/>
        <w:ind w:left="1134" w:right="616" w:hanging="567"/>
        <w:jc w:val="both"/>
        <w:rPr>
          <w:rFonts w:ascii="ITC Avant Garde" w:hAnsi="ITC Avant Garde"/>
        </w:rPr>
      </w:pPr>
      <w:r w:rsidRPr="00751CE0">
        <w:rPr>
          <w:rFonts w:ascii="ITC Avant Garde" w:hAnsi="ITC Avant Garde"/>
        </w:rPr>
        <w:t xml:space="preserve">Periodo estimado para </w:t>
      </w:r>
      <w:r>
        <w:rPr>
          <w:rFonts w:ascii="ITC Avant Garde" w:hAnsi="ITC Avant Garde"/>
        </w:rPr>
        <w:t>la realización de</w:t>
      </w:r>
      <w:r w:rsidRPr="00751CE0">
        <w:rPr>
          <w:rFonts w:ascii="ITC Avant Garde" w:hAnsi="ITC Avant Garde"/>
        </w:rPr>
        <w:t xml:space="preserve"> la consulta</w:t>
      </w:r>
      <w:r>
        <w:rPr>
          <w:rFonts w:ascii="ITC Avant Garde" w:hAnsi="ITC Avant Garde"/>
        </w:rPr>
        <w:t xml:space="preserve"> pública</w:t>
      </w:r>
      <w:r w:rsidRPr="00751CE0">
        <w:rPr>
          <w:rFonts w:ascii="ITC Avant Garde" w:hAnsi="ITC Avant Garde"/>
        </w:rPr>
        <w:t>;</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9"/>
        </w:numPr>
        <w:spacing w:after="0" w:line="240" w:lineRule="auto"/>
        <w:ind w:left="1134" w:right="616" w:hanging="567"/>
        <w:jc w:val="both"/>
        <w:rPr>
          <w:rFonts w:ascii="ITC Avant Garde" w:hAnsi="ITC Avant Garde"/>
        </w:rPr>
      </w:pPr>
      <w:r>
        <w:rPr>
          <w:rFonts w:ascii="ITC Avant Garde" w:hAnsi="ITC Avant Garde"/>
        </w:rPr>
        <w:t>Periodo estimado de duración de la consulta pública;</w:t>
      </w:r>
    </w:p>
    <w:p w:rsidR="008A7193" w:rsidRPr="006C3E11" w:rsidRDefault="008A7193" w:rsidP="008A7193">
      <w:pPr>
        <w:pStyle w:val="Prrafodelista"/>
        <w:rPr>
          <w:rFonts w:ascii="ITC Avant Garde" w:hAnsi="ITC Avant Garde"/>
        </w:rPr>
      </w:pPr>
    </w:p>
    <w:p w:rsidR="008A7193" w:rsidRDefault="008A7193" w:rsidP="008A7193">
      <w:pPr>
        <w:pStyle w:val="Prrafodelista"/>
        <w:numPr>
          <w:ilvl w:val="0"/>
          <w:numId w:val="19"/>
        </w:numPr>
        <w:spacing w:after="0" w:line="240" w:lineRule="auto"/>
        <w:ind w:left="1134" w:right="616" w:hanging="567"/>
        <w:jc w:val="both"/>
        <w:rPr>
          <w:rFonts w:ascii="ITC Avant Garde" w:hAnsi="ITC Avant Garde"/>
        </w:rPr>
      </w:pPr>
      <w:r w:rsidRPr="00751CE0">
        <w:rPr>
          <w:rFonts w:ascii="ITC Avant Garde" w:hAnsi="ITC Avant Garde"/>
        </w:rPr>
        <w:t>Mecanismos de consulta pública</w:t>
      </w:r>
      <w:r>
        <w:rPr>
          <w:rFonts w:ascii="ITC Avant Garde" w:hAnsi="ITC Avant Garde"/>
        </w:rPr>
        <w:t xml:space="preserve"> que se emplearán</w:t>
      </w:r>
      <w:r w:rsidRPr="00751CE0">
        <w:rPr>
          <w:rFonts w:ascii="ITC Avant Garde" w:hAnsi="ITC Avant Garde"/>
        </w:rPr>
        <w:t>;</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9"/>
        </w:numPr>
        <w:spacing w:after="0" w:line="240" w:lineRule="auto"/>
        <w:ind w:left="1134" w:right="616" w:hanging="567"/>
        <w:jc w:val="both"/>
        <w:rPr>
          <w:rFonts w:ascii="ITC Avant Garde" w:hAnsi="ITC Avant Garde"/>
        </w:rPr>
      </w:pPr>
      <w:r w:rsidRPr="00751CE0">
        <w:rPr>
          <w:rFonts w:ascii="ITC Avant Garde" w:hAnsi="ITC Avant Garde"/>
        </w:rPr>
        <w:t>Unidad</w:t>
      </w:r>
      <w:r>
        <w:rPr>
          <w:rFonts w:ascii="ITC Avant Garde" w:hAnsi="ITC Avant Garde"/>
        </w:rPr>
        <w:t>es</w:t>
      </w:r>
      <w:r w:rsidRPr="00751CE0">
        <w:rPr>
          <w:rFonts w:ascii="ITC Avant Garde" w:hAnsi="ITC Avant Garde"/>
        </w:rPr>
        <w:t xml:space="preserve"> </w:t>
      </w:r>
      <w:r>
        <w:rPr>
          <w:rFonts w:ascii="ITC Avant Garde" w:hAnsi="ITC Avant Garde"/>
        </w:rPr>
        <w:t>y/o Coordinaciones Generales responsables de la consulta pública</w:t>
      </w:r>
      <w:r w:rsidRPr="00751CE0">
        <w:rPr>
          <w:rFonts w:ascii="ITC Avant Garde" w:hAnsi="ITC Avant Garde"/>
        </w:rPr>
        <w:t>;</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9"/>
        </w:numPr>
        <w:spacing w:after="0" w:line="240" w:lineRule="auto"/>
        <w:ind w:left="1134" w:right="616" w:hanging="567"/>
        <w:jc w:val="both"/>
        <w:rPr>
          <w:rFonts w:ascii="ITC Avant Garde" w:hAnsi="ITC Avant Garde"/>
        </w:rPr>
      </w:pPr>
      <w:r w:rsidRPr="00751CE0">
        <w:rPr>
          <w:rFonts w:ascii="ITC Avant Garde" w:hAnsi="ITC Avant Garde"/>
        </w:rPr>
        <w:t>Objetivo</w:t>
      </w:r>
      <w:r>
        <w:rPr>
          <w:rFonts w:ascii="ITC Avant Garde" w:hAnsi="ITC Avant Garde"/>
        </w:rPr>
        <w:t xml:space="preserve">s que persigue </w:t>
      </w:r>
      <w:r w:rsidRPr="00751CE0">
        <w:rPr>
          <w:rFonts w:ascii="ITC Avant Garde" w:hAnsi="ITC Avant Garde"/>
        </w:rPr>
        <w:t>el</w:t>
      </w:r>
      <w:r>
        <w:rPr>
          <w:rFonts w:ascii="ITC Avant Garde" w:hAnsi="ITC Avant Garde"/>
        </w:rPr>
        <w:t xml:space="preserve"> Anteproyecto o tema de interés;</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9"/>
        </w:numPr>
        <w:spacing w:after="0" w:line="240" w:lineRule="auto"/>
        <w:ind w:left="1134" w:right="616" w:hanging="567"/>
        <w:jc w:val="both"/>
        <w:rPr>
          <w:rFonts w:ascii="ITC Avant Garde" w:hAnsi="ITC Avant Garde"/>
        </w:rPr>
      </w:pPr>
      <w:r>
        <w:rPr>
          <w:rFonts w:ascii="ITC Avant Garde" w:hAnsi="ITC Avant Garde"/>
        </w:rPr>
        <w:t xml:space="preserve">En su caso, población objetivo a la que va dirigida la consulta pública; </w:t>
      </w:r>
      <w:r w:rsidRPr="00751CE0">
        <w:rPr>
          <w:rFonts w:ascii="ITC Avant Garde" w:hAnsi="ITC Avant Garde"/>
        </w:rPr>
        <w:t>y</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9"/>
        </w:numPr>
        <w:spacing w:after="0" w:line="240" w:lineRule="auto"/>
        <w:ind w:left="1134" w:right="616" w:hanging="567"/>
        <w:jc w:val="both"/>
        <w:rPr>
          <w:rFonts w:ascii="ITC Avant Garde" w:hAnsi="ITC Avant Garde"/>
        </w:rPr>
      </w:pPr>
      <w:r w:rsidRPr="00751CE0">
        <w:rPr>
          <w:rFonts w:ascii="ITC Avant Garde" w:hAnsi="ITC Avant Garde"/>
        </w:rPr>
        <w:t>Fundamentación jurídica del Anteproyecto o tema de interés sometido a consulta pública, según sea el caso</w:t>
      </w:r>
      <w:r>
        <w:rPr>
          <w:rFonts w:ascii="ITC Avant Garde" w:hAnsi="ITC Avant Garde"/>
        </w:rPr>
        <w:t>.</w:t>
      </w:r>
    </w:p>
    <w:p w:rsidR="008A7193" w:rsidRPr="00751CE0" w:rsidRDefault="008A7193" w:rsidP="008A7193">
      <w:pPr>
        <w:pStyle w:val="Prrafodelista"/>
        <w:spacing w:after="0" w:line="240" w:lineRule="auto"/>
        <w:ind w:left="1080"/>
        <w:jc w:val="both"/>
        <w:rPr>
          <w:rFonts w:ascii="ITC Avant Garde" w:hAnsi="ITC Avant Garde"/>
        </w:rPr>
      </w:pPr>
    </w:p>
    <w:p w:rsidR="008A7193" w:rsidRDefault="008A7193" w:rsidP="008A7193">
      <w:pPr>
        <w:spacing w:after="0" w:line="240" w:lineRule="auto"/>
        <w:jc w:val="both"/>
        <w:rPr>
          <w:rFonts w:ascii="ITC Avant Garde" w:hAnsi="ITC Avant Garde"/>
        </w:rPr>
      </w:pPr>
      <w:r w:rsidRPr="00751CE0">
        <w:rPr>
          <w:rFonts w:ascii="ITC Avant Garde" w:hAnsi="ITC Avant Garde"/>
        </w:rPr>
        <w:t xml:space="preserve">El Calendario </w:t>
      </w:r>
      <w:r>
        <w:rPr>
          <w:rFonts w:ascii="ITC Avant Garde" w:hAnsi="ITC Avant Garde"/>
        </w:rPr>
        <w:t xml:space="preserve">Anual </w:t>
      </w:r>
      <w:r w:rsidRPr="00751CE0">
        <w:rPr>
          <w:rFonts w:ascii="ITC Avant Garde" w:hAnsi="ITC Avant Garde"/>
        </w:rPr>
        <w:t xml:space="preserve">de </w:t>
      </w:r>
      <w:r>
        <w:rPr>
          <w:rFonts w:ascii="ITC Avant Garde" w:hAnsi="ITC Avant Garde"/>
        </w:rPr>
        <w:t>C</w:t>
      </w:r>
      <w:r w:rsidRPr="00751CE0">
        <w:rPr>
          <w:rFonts w:ascii="ITC Avant Garde" w:hAnsi="ITC Avant Garde"/>
        </w:rPr>
        <w:t xml:space="preserve">onsultas </w:t>
      </w:r>
      <w:r>
        <w:rPr>
          <w:rFonts w:ascii="ITC Avant Garde" w:hAnsi="ITC Avant Garde"/>
        </w:rPr>
        <w:t>P</w:t>
      </w:r>
      <w:r w:rsidRPr="00751CE0">
        <w:rPr>
          <w:rFonts w:ascii="ITC Avant Garde" w:hAnsi="ITC Avant Garde"/>
        </w:rPr>
        <w:t xml:space="preserve">úblicas que el Instituto publique en su Portal tendrá carácter informativo y no será vinculante. El mismo podrá ser actualizado </w:t>
      </w:r>
      <w:r>
        <w:rPr>
          <w:rFonts w:ascii="ITC Avant Garde" w:hAnsi="ITC Avant Garde"/>
        </w:rPr>
        <w:t>a efecto de asegurar su veracidad y oportunidad en la información que contiene.</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sidRPr="009D3FE2">
        <w:rPr>
          <w:rFonts w:ascii="ITC Avant Garde" w:hAnsi="ITC Avant Garde"/>
          <w:b/>
        </w:rPr>
        <w:t>D</w:t>
      </w:r>
      <w:r>
        <w:rPr>
          <w:rFonts w:ascii="ITC Avant Garde" w:hAnsi="ITC Avant Garde"/>
          <w:b/>
        </w:rPr>
        <w:t>écimo Noveno</w:t>
      </w:r>
      <w:r w:rsidRPr="009D3FE2">
        <w:rPr>
          <w:rFonts w:ascii="ITC Avant Garde" w:hAnsi="ITC Avant Garde"/>
          <w:b/>
        </w:rPr>
        <w:t>.-</w:t>
      </w:r>
      <w:r>
        <w:rPr>
          <w:rFonts w:ascii="ITC Avant Garde" w:hAnsi="ITC Avant Garde"/>
        </w:rPr>
        <w:t xml:space="preserve"> La Coordinación General solicitará a las Unidades y/o Coordinaciones Generales la información para la integración del Calendario Anual de Consultas Públicas y hará pública dicha información, a través del Portal, a más tardar el último día hábil del mes de enero de cada año. </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b/>
        </w:rPr>
        <w:t>Vigésimo</w:t>
      </w:r>
      <w:r w:rsidRPr="004113BD">
        <w:rPr>
          <w:rFonts w:ascii="ITC Avant Garde" w:hAnsi="ITC Avant Garde"/>
          <w:b/>
        </w:rPr>
        <w:t>.-</w:t>
      </w:r>
      <w:r>
        <w:rPr>
          <w:rFonts w:ascii="ITC Avant Garde" w:hAnsi="ITC Avant Garde"/>
        </w:rPr>
        <w:t xml:space="preserve"> El Instituto contará con un Sistema de Alerta sobre el inicio de las Consultas Públicas que realice, el cual consistirá en una herramienta informática habilitada en el Portal, en el que cualquier interesado en las mismas podrá registrarse y recibir un mensaje que le informe, vía correo electrónico, el comienzo de una consulta pública, así como su duración y la dirección de internet en la que podrá consultar la información de su interés.</w:t>
      </w:r>
    </w:p>
    <w:p w:rsidR="008A7193" w:rsidRDefault="008A7193" w:rsidP="008A7193">
      <w:pPr>
        <w:spacing w:after="0" w:line="240" w:lineRule="auto"/>
        <w:jc w:val="both"/>
        <w:rPr>
          <w:rFonts w:ascii="ITC Avant Garde" w:hAnsi="ITC Avant Garde"/>
        </w:rPr>
      </w:pPr>
    </w:p>
    <w:p w:rsidR="008A7193" w:rsidRPr="00D62592" w:rsidRDefault="008A7193" w:rsidP="008A7193">
      <w:pPr>
        <w:spacing w:after="0" w:line="240" w:lineRule="auto"/>
        <w:jc w:val="center"/>
        <w:rPr>
          <w:rFonts w:ascii="ITC Avant Garde" w:hAnsi="ITC Avant Garde"/>
          <w:b/>
        </w:rPr>
      </w:pPr>
      <w:r w:rsidRPr="00D62592">
        <w:rPr>
          <w:rFonts w:ascii="ITC Avant Garde" w:hAnsi="ITC Avant Garde"/>
          <w:b/>
        </w:rPr>
        <w:t xml:space="preserve">Capítulo </w:t>
      </w:r>
      <w:r>
        <w:rPr>
          <w:rFonts w:ascii="ITC Avant Garde" w:hAnsi="ITC Avant Garde"/>
          <w:b/>
        </w:rPr>
        <w:t>Quinto</w:t>
      </w:r>
    </w:p>
    <w:p w:rsidR="008A7193" w:rsidRPr="00D62592" w:rsidRDefault="008A7193" w:rsidP="008A7193">
      <w:pPr>
        <w:spacing w:after="0" w:line="240" w:lineRule="auto"/>
        <w:jc w:val="center"/>
        <w:rPr>
          <w:rFonts w:ascii="ITC Avant Garde" w:hAnsi="ITC Avant Garde"/>
          <w:b/>
        </w:rPr>
      </w:pPr>
      <w:r>
        <w:rPr>
          <w:rFonts w:ascii="ITC Avant Garde" w:hAnsi="ITC Avant Garde"/>
          <w:b/>
        </w:rPr>
        <w:t>Del Análisis de</w:t>
      </w:r>
      <w:r w:rsidRPr="00D62592">
        <w:rPr>
          <w:rFonts w:ascii="ITC Avant Garde" w:hAnsi="ITC Avant Garde"/>
          <w:b/>
        </w:rPr>
        <w:t xml:space="preserve"> </w:t>
      </w:r>
      <w:r>
        <w:rPr>
          <w:rFonts w:ascii="ITC Avant Garde" w:hAnsi="ITC Avant Garde"/>
          <w:b/>
        </w:rPr>
        <w:t>Impacto Regulatorio</w:t>
      </w:r>
    </w:p>
    <w:p w:rsidR="008A7193" w:rsidRPr="00CD70F6"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b/>
        </w:rPr>
        <w:t>Vigésimo Primero</w:t>
      </w:r>
      <w:r w:rsidRPr="00D62592">
        <w:rPr>
          <w:rFonts w:ascii="ITC Avant Garde" w:hAnsi="ITC Avant Garde"/>
          <w:b/>
        </w:rPr>
        <w:t xml:space="preserve">.- </w:t>
      </w:r>
      <w:r w:rsidRPr="002965A3">
        <w:rPr>
          <w:rFonts w:ascii="ITC Avant Garde" w:hAnsi="ITC Avant Garde"/>
        </w:rPr>
        <w:t xml:space="preserve">Cuando las Unidades </w:t>
      </w:r>
      <w:r>
        <w:rPr>
          <w:rFonts w:ascii="ITC Avant Garde" w:hAnsi="ITC Avant Garde"/>
        </w:rPr>
        <w:t xml:space="preserve">y/o Coordinaciones Generales sometan a la consideración </w:t>
      </w:r>
      <w:r w:rsidRPr="002E7FC1">
        <w:rPr>
          <w:rFonts w:ascii="ITC Avant Garde" w:hAnsi="ITC Avant Garde"/>
        </w:rPr>
        <w:t>del Pleno, una consulta pública sobre un Anteproyecto</w:t>
      </w:r>
      <w:r>
        <w:rPr>
          <w:rFonts w:ascii="ITC Avant Garde" w:hAnsi="ITC Avant Garde"/>
        </w:rPr>
        <w:t xml:space="preserve">, éste deberá ir acompañado de un AIR (Anexo 1.- Formulario del Análisis de Impacto Regulatorio) cuando se estime que su entrada en vigor </w:t>
      </w:r>
      <w:r w:rsidRPr="002965A3">
        <w:rPr>
          <w:rFonts w:ascii="ITC Avant Garde" w:hAnsi="ITC Avant Garde"/>
        </w:rPr>
        <w:t xml:space="preserve">generará </w:t>
      </w:r>
      <w:r>
        <w:rPr>
          <w:rFonts w:ascii="ITC Avant Garde" w:hAnsi="ITC Avant Garde"/>
        </w:rPr>
        <w:t xml:space="preserve">nuevos </w:t>
      </w:r>
      <w:r w:rsidRPr="002965A3">
        <w:rPr>
          <w:rFonts w:ascii="ITC Avant Garde" w:hAnsi="ITC Avant Garde"/>
        </w:rPr>
        <w:t>costos de cumplimiento</w:t>
      </w:r>
      <w:r>
        <w:rPr>
          <w:rFonts w:ascii="ITC Avant Garde" w:hAnsi="ITC Avant Garde"/>
        </w:rPr>
        <w:t>; ello,</w:t>
      </w:r>
      <w:r w:rsidRPr="002965A3">
        <w:rPr>
          <w:rFonts w:ascii="ITC Avant Garde" w:hAnsi="ITC Avant Garde"/>
        </w:rPr>
        <w:t xml:space="preserve"> al encuadrarse al menos</w:t>
      </w:r>
      <w:r>
        <w:rPr>
          <w:rFonts w:ascii="ITC Avant Garde" w:hAnsi="ITC Avant Garde"/>
        </w:rPr>
        <w:t xml:space="preserve"> en</w:t>
      </w:r>
      <w:r w:rsidRPr="002965A3">
        <w:rPr>
          <w:rFonts w:ascii="ITC Avant Garde" w:hAnsi="ITC Avant Garde"/>
        </w:rPr>
        <w:t xml:space="preserve"> uno de los siguientes criterios</w:t>
      </w:r>
      <w:r>
        <w:rPr>
          <w:rFonts w:ascii="ITC Avant Garde" w:hAnsi="ITC Avant Garde"/>
        </w:rPr>
        <w:t>:</w:t>
      </w:r>
    </w:p>
    <w:p w:rsidR="008A7193" w:rsidRDefault="008A7193" w:rsidP="008A7193">
      <w:pPr>
        <w:spacing w:after="0" w:line="240" w:lineRule="auto"/>
        <w:jc w:val="both"/>
        <w:rPr>
          <w:rFonts w:ascii="ITC Avant Garde" w:hAnsi="ITC Avant Garde"/>
        </w:rPr>
      </w:pPr>
    </w:p>
    <w:p w:rsidR="008A7193" w:rsidRDefault="008A7193" w:rsidP="008A7193">
      <w:pPr>
        <w:pStyle w:val="Prrafodelista"/>
        <w:numPr>
          <w:ilvl w:val="0"/>
          <w:numId w:val="20"/>
        </w:numPr>
        <w:spacing w:after="0" w:line="240" w:lineRule="auto"/>
        <w:ind w:left="1134" w:right="616" w:hanging="567"/>
        <w:jc w:val="both"/>
        <w:rPr>
          <w:rFonts w:ascii="ITC Avant Garde" w:hAnsi="ITC Avant Garde"/>
        </w:rPr>
      </w:pPr>
      <w:r w:rsidRPr="0037589C">
        <w:rPr>
          <w:rFonts w:ascii="ITC Avant Garde" w:hAnsi="ITC Avant Garde"/>
        </w:rPr>
        <w:t>Crea nuevas obligaciones para los particulares o hace más estrictas las obligaciones existentes;</w:t>
      </w:r>
    </w:p>
    <w:p w:rsidR="008A7193" w:rsidRPr="0037589C" w:rsidRDefault="008A7193" w:rsidP="008A7193">
      <w:pPr>
        <w:pStyle w:val="Prrafodelista"/>
        <w:spacing w:after="0" w:line="240" w:lineRule="auto"/>
        <w:ind w:left="1134" w:right="616"/>
        <w:jc w:val="both"/>
        <w:rPr>
          <w:rFonts w:ascii="ITC Avant Garde" w:hAnsi="ITC Avant Garde"/>
        </w:rPr>
      </w:pPr>
    </w:p>
    <w:p w:rsidR="008A7193" w:rsidRDefault="008A7193" w:rsidP="008A7193">
      <w:pPr>
        <w:pStyle w:val="Prrafodelista"/>
        <w:numPr>
          <w:ilvl w:val="0"/>
          <w:numId w:val="20"/>
        </w:numPr>
        <w:spacing w:after="0" w:line="240" w:lineRule="auto"/>
        <w:ind w:left="1134" w:right="616" w:hanging="567"/>
        <w:jc w:val="both"/>
        <w:rPr>
          <w:rFonts w:ascii="ITC Avant Garde" w:hAnsi="ITC Avant Garde"/>
        </w:rPr>
      </w:pPr>
      <w:r w:rsidRPr="0037589C">
        <w:rPr>
          <w:rFonts w:ascii="ITC Avant Garde" w:hAnsi="ITC Avant Garde"/>
        </w:rPr>
        <w:t>Crea o modifica Trámites (excepto cuando la modificación simplifica y facilita el cumplimiento por parte del particular);</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20"/>
        </w:numPr>
        <w:spacing w:after="0" w:line="240" w:lineRule="auto"/>
        <w:ind w:left="1134" w:right="616" w:hanging="567"/>
        <w:jc w:val="both"/>
        <w:rPr>
          <w:rFonts w:ascii="ITC Avant Garde" w:hAnsi="ITC Avant Garde"/>
        </w:rPr>
      </w:pPr>
      <w:r w:rsidRPr="0037589C">
        <w:rPr>
          <w:rFonts w:ascii="ITC Avant Garde" w:hAnsi="ITC Avant Garde"/>
        </w:rPr>
        <w:t>Reduce o restringe derechos o prestaciones para los particulares; o,</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20"/>
        </w:numPr>
        <w:spacing w:after="0" w:line="240" w:lineRule="auto"/>
        <w:ind w:left="1134" w:right="616" w:hanging="567"/>
        <w:jc w:val="both"/>
        <w:rPr>
          <w:rFonts w:ascii="ITC Avant Garde" w:hAnsi="ITC Avant Garde"/>
        </w:rPr>
      </w:pPr>
      <w:r w:rsidRPr="0037589C">
        <w:rPr>
          <w:rFonts w:ascii="ITC Avant Garde" w:hAnsi="ITC Avant Garde"/>
        </w:rPr>
        <w:t>Establece definiciones, clasificaciones, caracterizaciones o cualquier otro término de referencia, que conjuntamente con otra disposición en vigor</w:t>
      </w:r>
      <w:r>
        <w:rPr>
          <w:rFonts w:ascii="ITC Avant Garde" w:hAnsi="ITC Avant Garde"/>
        </w:rPr>
        <w:t>,</w:t>
      </w:r>
      <w:r w:rsidRPr="0037589C">
        <w:rPr>
          <w:rFonts w:ascii="ITC Avant Garde" w:hAnsi="ITC Avant Garde"/>
        </w:rPr>
        <w:t xml:space="preserve"> o con una disposición futura, afecten o puedan afectar los derechos, obligaciones, prestaciones o Trámites de los particulares.</w:t>
      </w:r>
    </w:p>
    <w:p w:rsidR="008A7193" w:rsidRPr="0037589C" w:rsidRDefault="008A7193" w:rsidP="008A7193">
      <w:pPr>
        <w:pStyle w:val="Prrafodelista"/>
        <w:spacing w:after="0" w:line="240" w:lineRule="auto"/>
        <w:ind w:left="1080"/>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rPr>
        <w:t>Cuando se estime que la entrada en vigor de un Anteproyecto no generará nuevos costos de cumplimiento, deberá ir acompañado de un ANIR (Anexo 2.- Formulario del Análisis de Nulo Impacto Regulatorio).</w:t>
      </w:r>
    </w:p>
    <w:p w:rsidR="008A7193" w:rsidRDefault="008A7193" w:rsidP="008A7193">
      <w:pPr>
        <w:spacing w:after="0" w:line="240" w:lineRule="auto"/>
        <w:jc w:val="both"/>
        <w:rPr>
          <w:rFonts w:ascii="ITC Avant Garde" w:hAnsi="ITC Avant Garde"/>
        </w:rPr>
      </w:pPr>
    </w:p>
    <w:p w:rsidR="008A7193" w:rsidRPr="00A84255" w:rsidRDefault="008A7193" w:rsidP="008A7193">
      <w:pPr>
        <w:spacing w:after="0" w:line="240" w:lineRule="auto"/>
        <w:jc w:val="both"/>
        <w:rPr>
          <w:rFonts w:ascii="ITC Avant Garde" w:hAnsi="ITC Avant Garde"/>
        </w:rPr>
      </w:pPr>
      <w:r>
        <w:rPr>
          <w:rFonts w:ascii="ITC Avant Garde" w:hAnsi="ITC Avant Garde"/>
          <w:b/>
        </w:rPr>
        <w:t>Vigésimo Segundo</w:t>
      </w:r>
      <w:r w:rsidRPr="00D62592">
        <w:rPr>
          <w:rFonts w:ascii="ITC Avant Garde" w:hAnsi="ITC Avant Garde"/>
          <w:b/>
        </w:rPr>
        <w:t>.-</w:t>
      </w:r>
      <w:r>
        <w:rPr>
          <w:rFonts w:ascii="ITC Avant Garde" w:hAnsi="ITC Avant Garde"/>
          <w:b/>
        </w:rPr>
        <w:t xml:space="preserve"> </w:t>
      </w:r>
      <w:r w:rsidRPr="00412261">
        <w:rPr>
          <w:rFonts w:ascii="ITC Avant Garde" w:hAnsi="ITC Avant Garde"/>
        </w:rPr>
        <w:t>Previo a lo anterior,</w:t>
      </w:r>
      <w:r>
        <w:rPr>
          <w:rFonts w:ascii="ITC Avant Garde" w:hAnsi="ITC Avant Garde"/>
          <w:b/>
        </w:rPr>
        <w:t xml:space="preserve"> </w:t>
      </w:r>
      <w:r w:rsidRPr="002965A3">
        <w:rPr>
          <w:rFonts w:ascii="ITC Avant Garde" w:hAnsi="ITC Avant Garde"/>
        </w:rPr>
        <w:t xml:space="preserve">las Unidades </w:t>
      </w:r>
      <w:r>
        <w:rPr>
          <w:rFonts w:ascii="ITC Avant Garde" w:hAnsi="ITC Avant Garde"/>
        </w:rPr>
        <w:t>y/o Coordinaciones Generales deberán recabar l</w:t>
      </w:r>
      <w:r w:rsidRPr="00A84255">
        <w:rPr>
          <w:rFonts w:ascii="ITC Avant Garde" w:hAnsi="ITC Avant Garde"/>
        </w:rPr>
        <w:t xml:space="preserve">a opinión no vinculante </w:t>
      </w:r>
      <w:r>
        <w:rPr>
          <w:rFonts w:ascii="ITC Avant Garde" w:hAnsi="ITC Avant Garde"/>
        </w:rPr>
        <w:t xml:space="preserve">de la Coordinación General </w:t>
      </w:r>
      <w:r w:rsidRPr="00A84255">
        <w:rPr>
          <w:rFonts w:ascii="ITC Avant Garde" w:hAnsi="ITC Avant Garde"/>
        </w:rPr>
        <w:t>sobre el AIR o ANIR, según correspo</w:t>
      </w:r>
      <w:r>
        <w:rPr>
          <w:rFonts w:ascii="ITC Avant Garde" w:hAnsi="ITC Avant Garde"/>
        </w:rPr>
        <w:t>nda.</w:t>
      </w:r>
    </w:p>
    <w:p w:rsidR="008A7193" w:rsidRPr="00412261" w:rsidRDefault="008A7193" w:rsidP="008A7193">
      <w:pPr>
        <w:pStyle w:val="Prrafodelista"/>
        <w:spacing w:after="0" w:line="240" w:lineRule="auto"/>
        <w:ind w:left="1080"/>
        <w:jc w:val="both"/>
        <w:rPr>
          <w:rFonts w:ascii="ITC Avant Garde" w:hAnsi="ITC Avant Garde"/>
          <w:b/>
        </w:rPr>
      </w:pPr>
    </w:p>
    <w:p w:rsidR="008A7193" w:rsidRDefault="008A7193" w:rsidP="008A7193">
      <w:pPr>
        <w:spacing w:after="0" w:line="240" w:lineRule="auto"/>
        <w:jc w:val="both"/>
        <w:rPr>
          <w:rFonts w:ascii="ITC Avant Garde" w:hAnsi="ITC Avant Garde"/>
        </w:rPr>
      </w:pPr>
      <w:r>
        <w:rPr>
          <w:rFonts w:ascii="ITC Avant Garde" w:hAnsi="ITC Avant Garde"/>
        </w:rPr>
        <w:t xml:space="preserve">Para efectos de lo anterior, la Coordinación General contará con un plazo no mayor a diez días hábiles contados a partir de la presentación de la solicitud para la emisión de la opinión no vinculante que corresponda. </w:t>
      </w:r>
    </w:p>
    <w:p w:rsidR="008A7193" w:rsidRDefault="008A7193" w:rsidP="008A7193">
      <w:pPr>
        <w:spacing w:after="0" w:line="240" w:lineRule="auto"/>
        <w:jc w:val="both"/>
        <w:rPr>
          <w:rFonts w:ascii="ITC Avant Garde" w:hAnsi="ITC Avant Garde"/>
          <w:b/>
        </w:rPr>
      </w:pPr>
    </w:p>
    <w:p w:rsidR="008A7193" w:rsidRDefault="008A7193" w:rsidP="008A7193">
      <w:pPr>
        <w:spacing w:after="0" w:line="240" w:lineRule="auto"/>
        <w:jc w:val="both"/>
        <w:rPr>
          <w:rFonts w:ascii="ITC Avant Garde" w:hAnsi="ITC Avant Garde"/>
        </w:rPr>
      </w:pPr>
      <w:r w:rsidRPr="00412261">
        <w:rPr>
          <w:rFonts w:ascii="ITC Avant Garde" w:hAnsi="ITC Avant Garde"/>
          <w:b/>
        </w:rPr>
        <w:t xml:space="preserve">Vigésimo </w:t>
      </w:r>
      <w:r>
        <w:rPr>
          <w:rFonts w:ascii="ITC Avant Garde" w:hAnsi="ITC Avant Garde"/>
          <w:b/>
        </w:rPr>
        <w:t>Tercero</w:t>
      </w:r>
      <w:r w:rsidRPr="00412261">
        <w:rPr>
          <w:rFonts w:ascii="ITC Avant Garde" w:hAnsi="ITC Avant Garde"/>
          <w:b/>
        </w:rPr>
        <w:t>.-</w:t>
      </w:r>
      <w:r>
        <w:rPr>
          <w:rFonts w:ascii="ITC Avant Garde" w:hAnsi="ITC Avant Garde"/>
        </w:rPr>
        <w:t xml:space="preserve"> </w:t>
      </w:r>
      <w:r w:rsidRPr="00834AA2">
        <w:rPr>
          <w:rFonts w:ascii="ITC Avant Garde" w:hAnsi="ITC Avant Garde"/>
        </w:rPr>
        <w:t xml:space="preserve">Si </w:t>
      </w:r>
      <w:r>
        <w:rPr>
          <w:rFonts w:ascii="ITC Avant Garde" w:hAnsi="ITC Avant Garde"/>
        </w:rPr>
        <w:t>en virtud</w:t>
      </w:r>
      <w:r w:rsidRPr="00834AA2">
        <w:rPr>
          <w:rFonts w:ascii="ITC Avant Garde" w:hAnsi="ITC Avant Garde"/>
        </w:rPr>
        <w:t xml:space="preserve"> del proceso de consulta pública realizado por el Instituto</w:t>
      </w:r>
      <w:r>
        <w:rPr>
          <w:rFonts w:ascii="ITC Avant Garde" w:hAnsi="ITC Avant Garde"/>
        </w:rPr>
        <w:t>,</w:t>
      </w:r>
      <w:r w:rsidRPr="00834AA2">
        <w:rPr>
          <w:rFonts w:ascii="ITC Avant Garde" w:hAnsi="ITC Avant Garde"/>
        </w:rPr>
        <w:t xml:space="preserve"> </w:t>
      </w:r>
      <w:r>
        <w:rPr>
          <w:rFonts w:ascii="ITC Avant Garde" w:hAnsi="ITC Avant Garde"/>
        </w:rPr>
        <w:t xml:space="preserve">el Anteproyecto tiene modificaciones, </w:t>
      </w:r>
      <w:r w:rsidRPr="002965A3">
        <w:rPr>
          <w:rFonts w:ascii="ITC Avant Garde" w:hAnsi="ITC Avant Garde"/>
        </w:rPr>
        <w:t xml:space="preserve">las Unidades </w:t>
      </w:r>
      <w:r>
        <w:rPr>
          <w:rFonts w:ascii="ITC Avant Garde" w:hAnsi="ITC Avant Garde"/>
        </w:rPr>
        <w:t>y/o Coordinaciones Generales responsables, deberán actualizar en el Portal el AIR o ANIR que refleje dichos cambios y ajustes, según corresponda, de manera previa a su expedición por parte del Pleno, acompañada de la opinión no vinculante de la Coordinación General.</w:t>
      </w:r>
    </w:p>
    <w:p w:rsidR="008A7193"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Pr>
          <w:rFonts w:ascii="ITC Avant Garde" w:hAnsi="ITC Avant Garde"/>
          <w:b/>
        </w:rPr>
        <w:t>Vigésimo Cuarto</w:t>
      </w:r>
      <w:r w:rsidRPr="00E25570">
        <w:rPr>
          <w:rFonts w:ascii="ITC Avant Garde" w:hAnsi="ITC Avant Garde"/>
          <w:b/>
        </w:rPr>
        <w:t>.-</w:t>
      </w:r>
      <w:r>
        <w:rPr>
          <w:rFonts w:ascii="ITC Avant Garde" w:hAnsi="ITC Avant Garde"/>
        </w:rPr>
        <w:t xml:space="preserve"> La </w:t>
      </w:r>
      <w:r w:rsidRPr="00D62592">
        <w:rPr>
          <w:rFonts w:ascii="ITC Avant Garde" w:hAnsi="ITC Avant Garde"/>
        </w:rPr>
        <w:t xml:space="preserve">opinión no vinculante </w:t>
      </w:r>
      <w:r>
        <w:rPr>
          <w:rFonts w:ascii="ITC Avant Garde" w:hAnsi="ITC Avant Garde"/>
        </w:rPr>
        <w:t xml:space="preserve">de la Coordinación General sobre el AIR </w:t>
      </w:r>
      <w:r w:rsidRPr="00D62592">
        <w:rPr>
          <w:rFonts w:ascii="ITC Avant Garde" w:hAnsi="ITC Avant Garde"/>
        </w:rPr>
        <w:t>valorará la congruencia entre las medidas</w:t>
      </w:r>
      <w:r>
        <w:rPr>
          <w:rFonts w:ascii="ITC Avant Garde" w:hAnsi="ITC Avant Garde"/>
        </w:rPr>
        <w:t xml:space="preserve"> propuestas en el Anteproyecto con la información proporcionada en </w:t>
      </w:r>
      <w:r w:rsidRPr="00D62592">
        <w:rPr>
          <w:rFonts w:ascii="ITC Avant Garde" w:hAnsi="ITC Avant Garde"/>
        </w:rPr>
        <w:t xml:space="preserve">el </w:t>
      </w:r>
      <w:r>
        <w:rPr>
          <w:rFonts w:ascii="ITC Avant Garde" w:hAnsi="ITC Avant Garde"/>
        </w:rPr>
        <w:t>primero y contendrá, cuando menos, los siguientes apartados:</w:t>
      </w:r>
    </w:p>
    <w:p w:rsidR="008A7193" w:rsidRDefault="008A7193" w:rsidP="008A7193">
      <w:pPr>
        <w:spacing w:after="0" w:line="240" w:lineRule="auto"/>
        <w:jc w:val="both"/>
        <w:rPr>
          <w:rFonts w:ascii="ITC Avant Garde" w:hAnsi="ITC Avant Garde"/>
        </w:rPr>
      </w:pPr>
    </w:p>
    <w:p w:rsidR="008A7193" w:rsidRDefault="008A7193" w:rsidP="008A7193">
      <w:pPr>
        <w:pStyle w:val="Prrafodelista"/>
        <w:numPr>
          <w:ilvl w:val="0"/>
          <w:numId w:val="15"/>
        </w:numPr>
        <w:spacing w:after="0" w:line="240" w:lineRule="auto"/>
        <w:ind w:left="1134" w:right="616" w:hanging="567"/>
        <w:jc w:val="both"/>
        <w:rPr>
          <w:rFonts w:ascii="ITC Avant Garde" w:hAnsi="ITC Avant Garde"/>
        </w:rPr>
      </w:pPr>
      <w:r w:rsidRPr="00777B5D">
        <w:rPr>
          <w:rFonts w:ascii="ITC Avant Garde" w:hAnsi="ITC Avant Garde"/>
        </w:rPr>
        <w:t xml:space="preserve">Consideraciones generales.- En este apartado la </w:t>
      </w:r>
      <w:r>
        <w:rPr>
          <w:rFonts w:ascii="ITC Avant Garde" w:hAnsi="ITC Avant Garde"/>
        </w:rPr>
        <w:t>Coordinación General</w:t>
      </w:r>
      <w:r w:rsidRPr="00777B5D">
        <w:rPr>
          <w:rFonts w:ascii="ITC Avant Garde" w:hAnsi="ITC Avant Garde"/>
        </w:rPr>
        <w:t xml:space="preserve"> se pronunciará de manera general sobre el </w:t>
      </w:r>
      <w:r>
        <w:rPr>
          <w:rFonts w:ascii="ITC Avant Garde" w:hAnsi="ITC Avant Garde"/>
        </w:rPr>
        <w:t>A</w:t>
      </w:r>
      <w:r w:rsidRPr="00777B5D">
        <w:rPr>
          <w:rFonts w:ascii="ITC Avant Garde" w:hAnsi="ITC Avant Garde"/>
        </w:rPr>
        <w:t xml:space="preserve">nteproyecto y su </w:t>
      </w:r>
      <w:r>
        <w:rPr>
          <w:rFonts w:ascii="ITC Avant Garde" w:hAnsi="ITC Avant Garde"/>
        </w:rPr>
        <w:t>A</w:t>
      </w:r>
      <w:r w:rsidRPr="00777B5D">
        <w:rPr>
          <w:rFonts w:ascii="ITC Avant Garde" w:hAnsi="ITC Avant Garde"/>
        </w:rPr>
        <w:t>IR</w:t>
      </w:r>
      <w:r>
        <w:rPr>
          <w:rFonts w:ascii="ITC Avant Garde" w:hAnsi="ITC Avant Garde"/>
        </w:rPr>
        <w:t>;</w:t>
      </w:r>
    </w:p>
    <w:p w:rsidR="008A7193" w:rsidRPr="00777B5D" w:rsidRDefault="008A7193" w:rsidP="008A7193">
      <w:pPr>
        <w:pStyle w:val="Prrafodelista"/>
        <w:spacing w:after="0" w:line="240" w:lineRule="auto"/>
        <w:ind w:left="1134" w:right="616"/>
        <w:jc w:val="both"/>
        <w:rPr>
          <w:rFonts w:ascii="ITC Avant Garde" w:hAnsi="ITC Avant Garde"/>
        </w:rPr>
      </w:pPr>
    </w:p>
    <w:p w:rsidR="008A7193" w:rsidRDefault="008A7193" w:rsidP="008A7193">
      <w:pPr>
        <w:pStyle w:val="Prrafodelista"/>
        <w:numPr>
          <w:ilvl w:val="0"/>
          <w:numId w:val="15"/>
        </w:numPr>
        <w:spacing w:after="0" w:line="240" w:lineRule="auto"/>
        <w:ind w:left="1134" w:right="616" w:hanging="567"/>
        <w:jc w:val="both"/>
        <w:rPr>
          <w:rFonts w:ascii="ITC Avant Garde" w:hAnsi="ITC Avant Garde"/>
        </w:rPr>
      </w:pPr>
      <w:r w:rsidRPr="00777B5D">
        <w:rPr>
          <w:rFonts w:ascii="ITC Avant Garde" w:hAnsi="ITC Avant Garde"/>
        </w:rPr>
        <w:t>Definición del problema y objetivos generales.- En este apartado la C</w:t>
      </w:r>
      <w:r>
        <w:rPr>
          <w:rFonts w:ascii="ITC Avant Garde" w:hAnsi="ITC Avant Garde"/>
        </w:rPr>
        <w:t>oordinación General</w:t>
      </w:r>
      <w:r w:rsidRPr="00777B5D">
        <w:rPr>
          <w:rFonts w:ascii="ITC Avant Garde" w:hAnsi="ITC Avant Garde"/>
        </w:rPr>
        <w:t xml:space="preserve"> se pronunciará sobre la problemática que da </w:t>
      </w:r>
      <w:r w:rsidRPr="00777B5D">
        <w:rPr>
          <w:rFonts w:ascii="ITC Avant Garde" w:hAnsi="ITC Avant Garde"/>
        </w:rPr>
        <w:lastRenderedPageBreak/>
        <w:t xml:space="preserve">origen al </w:t>
      </w:r>
      <w:r>
        <w:rPr>
          <w:rFonts w:ascii="ITC Avant Garde" w:hAnsi="ITC Avant Garde"/>
        </w:rPr>
        <w:t>A</w:t>
      </w:r>
      <w:r w:rsidRPr="00777B5D">
        <w:rPr>
          <w:rFonts w:ascii="ITC Avant Garde" w:hAnsi="ITC Avant Garde"/>
        </w:rPr>
        <w:t xml:space="preserve">nteproyecto, así como la forma en que </w:t>
      </w:r>
      <w:r>
        <w:rPr>
          <w:rFonts w:ascii="ITC Avant Garde" w:hAnsi="ITC Avant Garde"/>
        </w:rPr>
        <w:t>éste atenderá</w:t>
      </w:r>
      <w:r w:rsidRPr="00777B5D">
        <w:rPr>
          <w:rFonts w:ascii="ITC Avant Garde" w:hAnsi="ITC Avant Garde"/>
        </w:rPr>
        <w:t xml:space="preserve"> </w:t>
      </w:r>
      <w:r>
        <w:rPr>
          <w:rFonts w:ascii="ITC Avant Garde" w:hAnsi="ITC Avant Garde"/>
        </w:rPr>
        <w:t>la misma;</w:t>
      </w:r>
    </w:p>
    <w:p w:rsidR="008A7193" w:rsidRPr="0012740B" w:rsidRDefault="008A7193" w:rsidP="008A7193">
      <w:pPr>
        <w:spacing w:after="0" w:line="240" w:lineRule="auto"/>
        <w:ind w:right="616"/>
        <w:jc w:val="both"/>
        <w:rPr>
          <w:rFonts w:ascii="ITC Avant Garde" w:hAnsi="ITC Avant Garde"/>
        </w:rPr>
      </w:pPr>
    </w:p>
    <w:p w:rsidR="008A7193" w:rsidRDefault="008A7193" w:rsidP="008A7193">
      <w:pPr>
        <w:pStyle w:val="Prrafodelista"/>
        <w:numPr>
          <w:ilvl w:val="0"/>
          <w:numId w:val="15"/>
        </w:numPr>
        <w:spacing w:after="0" w:line="240" w:lineRule="auto"/>
        <w:ind w:left="1134" w:right="616" w:hanging="567"/>
        <w:jc w:val="both"/>
        <w:rPr>
          <w:rFonts w:ascii="ITC Avant Garde" w:hAnsi="ITC Avant Garde"/>
        </w:rPr>
      </w:pPr>
      <w:r w:rsidRPr="00777B5D">
        <w:rPr>
          <w:rFonts w:ascii="ITC Avant Garde" w:hAnsi="ITC Avant Garde"/>
        </w:rPr>
        <w:t xml:space="preserve">Identificación de posibles alternativas regulatorias.- En este apartado la </w:t>
      </w:r>
      <w:r>
        <w:rPr>
          <w:rFonts w:ascii="ITC Avant Garde" w:hAnsi="ITC Avant Garde"/>
        </w:rPr>
        <w:t>Coordinación General</w:t>
      </w:r>
      <w:r w:rsidRPr="00777B5D">
        <w:rPr>
          <w:rFonts w:ascii="ITC Avant Garde" w:hAnsi="ITC Avant Garde"/>
        </w:rPr>
        <w:t xml:space="preserve"> se pronunciará </w:t>
      </w:r>
      <w:r>
        <w:rPr>
          <w:rFonts w:ascii="ITC Avant Garde" w:hAnsi="ITC Avant Garde"/>
        </w:rPr>
        <w:t>sobre</w:t>
      </w:r>
      <w:r w:rsidRPr="00777B5D">
        <w:rPr>
          <w:rFonts w:ascii="ITC Avant Garde" w:hAnsi="ITC Avant Garde"/>
        </w:rPr>
        <w:t xml:space="preserve"> las alternativas regulatorias identificadas y evaluadas</w:t>
      </w:r>
      <w:r>
        <w:rPr>
          <w:rFonts w:ascii="ITC Avant Garde" w:hAnsi="ITC Avant Garde"/>
        </w:rPr>
        <w:t>,</w:t>
      </w:r>
      <w:r w:rsidRPr="00777B5D">
        <w:rPr>
          <w:rFonts w:ascii="ITC Avant Garde" w:hAnsi="ITC Avant Garde"/>
        </w:rPr>
        <w:t xml:space="preserve"> </w:t>
      </w:r>
      <w:r>
        <w:rPr>
          <w:rFonts w:ascii="ITC Avant Garde" w:hAnsi="ITC Avant Garde"/>
        </w:rPr>
        <w:t>para la elaboración</w:t>
      </w:r>
      <w:r w:rsidRPr="00777B5D">
        <w:rPr>
          <w:rFonts w:ascii="ITC Avant Garde" w:hAnsi="ITC Avant Garde"/>
        </w:rPr>
        <w:t xml:space="preserve"> </w:t>
      </w:r>
      <w:r>
        <w:rPr>
          <w:rFonts w:ascii="ITC Avant Garde" w:hAnsi="ITC Avant Garde"/>
        </w:rPr>
        <w:t>d</w:t>
      </w:r>
      <w:r w:rsidRPr="00777B5D">
        <w:rPr>
          <w:rFonts w:ascii="ITC Avant Garde" w:hAnsi="ITC Avant Garde"/>
        </w:rPr>
        <w:t xml:space="preserve">el </w:t>
      </w:r>
      <w:r>
        <w:rPr>
          <w:rFonts w:ascii="ITC Avant Garde" w:hAnsi="ITC Avant Garde"/>
        </w:rPr>
        <w:t>A</w:t>
      </w:r>
      <w:r w:rsidRPr="00777B5D">
        <w:rPr>
          <w:rFonts w:ascii="ITC Avant Garde" w:hAnsi="ITC Avant Garde"/>
        </w:rPr>
        <w:t>nteproyecto y, en su caso, propondrá el análisis de alternativas que podrían servir para atender la situación o problemática planteada generando</w:t>
      </w:r>
      <w:r>
        <w:rPr>
          <w:rFonts w:ascii="ITC Avant Garde" w:hAnsi="ITC Avant Garde"/>
        </w:rPr>
        <w:t xml:space="preserve"> menores costos de cumplimiento; y,</w:t>
      </w:r>
    </w:p>
    <w:p w:rsidR="008A7193" w:rsidRPr="0012740B" w:rsidRDefault="008A7193" w:rsidP="008A7193">
      <w:pPr>
        <w:spacing w:after="0" w:line="240" w:lineRule="auto"/>
        <w:ind w:right="616"/>
        <w:jc w:val="both"/>
        <w:rPr>
          <w:rFonts w:ascii="ITC Avant Garde" w:hAnsi="ITC Avant Garde"/>
        </w:rPr>
      </w:pPr>
    </w:p>
    <w:p w:rsidR="008A7193" w:rsidRPr="0012740B" w:rsidRDefault="008A7193" w:rsidP="008A7193">
      <w:pPr>
        <w:pStyle w:val="Prrafodelista"/>
        <w:numPr>
          <w:ilvl w:val="0"/>
          <w:numId w:val="15"/>
        </w:numPr>
        <w:spacing w:after="0" w:line="240" w:lineRule="auto"/>
        <w:ind w:left="1134" w:right="616" w:hanging="567"/>
        <w:jc w:val="both"/>
        <w:rPr>
          <w:rFonts w:ascii="ITC Avant Garde" w:hAnsi="ITC Avant Garde"/>
        </w:rPr>
      </w:pPr>
      <w:r w:rsidRPr="00777B5D">
        <w:rPr>
          <w:rFonts w:ascii="ITC Avant Garde" w:hAnsi="ITC Avant Garde"/>
        </w:rPr>
        <w:t xml:space="preserve">Impacto.- En este apartado la </w:t>
      </w:r>
      <w:r>
        <w:rPr>
          <w:rFonts w:ascii="ITC Avant Garde" w:hAnsi="ITC Avant Garde"/>
        </w:rPr>
        <w:t>Coordinación General</w:t>
      </w:r>
      <w:r w:rsidRPr="00777B5D">
        <w:rPr>
          <w:rFonts w:ascii="ITC Avant Garde" w:hAnsi="ITC Avant Garde"/>
        </w:rPr>
        <w:t xml:space="preserve"> realizará una valoración sobre </w:t>
      </w:r>
      <w:r>
        <w:rPr>
          <w:rFonts w:ascii="ITC Avant Garde" w:hAnsi="ITC Avant Garde"/>
        </w:rPr>
        <w:t>la justificación, o no, de</w:t>
      </w:r>
      <w:r w:rsidRPr="00777B5D">
        <w:rPr>
          <w:rFonts w:ascii="ITC Avant Garde" w:hAnsi="ITC Avant Garde"/>
        </w:rPr>
        <w:t xml:space="preserve"> las acciones propuestas en el </w:t>
      </w:r>
      <w:r>
        <w:rPr>
          <w:rFonts w:ascii="ITC Avant Garde" w:hAnsi="ITC Avant Garde"/>
        </w:rPr>
        <w:t>A</w:t>
      </w:r>
      <w:r w:rsidRPr="00777B5D">
        <w:rPr>
          <w:rFonts w:ascii="ITC Avant Garde" w:hAnsi="ITC Avant Garde"/>
        </w:rPr>
        <w:t>nteproyecto</w:t>
      </w:r>
      <w:r>
        <w:rPr>
          <w:rFonts w:ascii="ITC Avant Garde" w:hAnsi="ITC Avant Garde"/>
        </w:rPr>
        <w:t xml:space="preserve">. </w:t>
      </w:r>
      <w:r w:rsidRPr="00BA1B66">
        <w:rPr>
          <w:rFonts w:ascii="ITC Avant Garde" w:hAnsi="ITC Avant Garde"/>
        </w:rPr>
        <w:t xml:space="preserve">Asimismo, en caso de estimarlo pertinente, propondrá la realización de adecuaciones </w:t>
      </w:r>
      <w:r>
        <w:rPr>
          <w:rFonts w:ascii="ITC Avant Garde" w:hAnsi="ITC Avant Garde"/>
        </w:rPr>
        <w:t>a éste, que</w:t>
      </w:r>
      <w:r w:rsidRPr="00BA1B66">
        <w:rPr>
          <w:rFonts w:ascii="ITC Avant Garde" w:hAnsi="ITC Avant Garde"/>
        </w:rPr>
        <w:t xml:space="preserve"> permitan disminuir, en </w:t>
      </w:r>
      <w:r>
        <w:rPr>
          <w:rFonts w:ascii="ITC Avant Garde" w:hAnsi="ITC Avant Garde"/>
        </w:rPr>
        <w:t>mayor medida</w:t>
      </w:r>
      <w:r w:rsidRPr="00BA1B66">
        <w:rPr>
          <w:rFonts w:ascii="ITC Avant Garde" w:hAnsi="ITC Avant Garde"/>
        </w:rPr>
        <w:t xml:space="preserve">, los </w:t>
      </w:r>
      <w:r>
        <w:rPr>
          <w:rFonts w:ascii="ITC Avant Garde" w:hAnsi="ITC Avant Garde"/>
        </w:rPr>
        <w:t xml:space="preserve">posibles </w:t>
      </w:r>
      <w:r w:rsidRPr="00BA1B66">
        <w:rPr>
          <w:rFonts w:ascii="ITC Avant Garde" w:hAnsi="ITC Avant Garde"/>
        </w:rPr>
        <w:t>costos generados por el mismo</w:t>
      </w:r>
      <w:r>
        <w:rPr>
          <w:rFonts w:ascii="ITC Avant Garde" w:hAnsi="ITC Avant Garde"/>
        </w:rPr>
        <w:t xml:space="preserve"> a su entrada en vigor</w:t>
      </w:r>
      <w:r w:rsidRPr="00BA1B66">
        <w:rPr>
          <w:rFonts w:ascii="ITC Avant Garde" w:hAnsi="ITC Avant Garde"/>
        </w:rPr>
        <w:t>.</w:t>
      </w:r>
    </w:p>
    <w:p w:rsidR="008A7193" w:rsidRDefault="008A7193" w:rsidP="008A7193">
      <w:pPr>
        <w:pStyle w:val="Prrafodelista"/>
        <w:spacing w:after="0" w:line="240" w:lineRule="auto"/>
        <w:ind w:left="1080"/>
        <w:jc w:val="both"/>
        <w:rPr>
          <w:rFonts w:ascii="ITC Avant Garde" w:hAnsi="ITC Avant Garde"/>
        </w:rPr>
      </w:pPr>
    </w:p>
    <w:p w:rsidR="008A7193" w:rsidRDefault="008A7193" w:rsidP="008A7193">
      <w:pPr>
        <w:spacing w:after="0" w:line="240" w:lineRule="auto"/>
        <w:jc w:val="both"/>
        <w:rPr>
          <w:rFonts w:ascii="ITC Avant Garde" w:hAnsi="ITC Avant Garde"/>
        </w:rPr>
      </w:pPr>
      <w:r w:rsidRPr="00AF52C7">
        <w:rPr>
          <w:rFonts w:ascii="ITC Avant Garde" w:hAnsi="ITC Avant Garde"/>
        </w:rPr>
        <w:t>La opinión no vinculante de la Coordinación General sobre el A</w:t>
      </w:r>
      <w:r>
        <w:rPr>
          <w:rFonts w:ascii="ITC Avant Garde" w:hAnsi="ITC Avant Garde"/>
        </w:rPr>
        <w:t>N</w:t>
      </w:r>
      <w:r w:rsidRPr="00AF52C7">
        <w:rPr>
          <w:rFonts w:ascii="ITC Avant Garde" w:hAnsi="ITC Avant Garde"/>
        </w:rPr>
        <w:t xml:space="preserve">IR valorará la congruencia entre las medidas propuestas en el Anteproyecto </w:t>
      </w:r>
      <w:r>
        <w:rPr>
          <w:rFonts w:ascii="ITC Avant Garde" w:hAnsi="ITC Avant Garde"/>
        </w:rPr>
        <w:t>y su objetivo, y verificará su nulo impacto regulatorio al no actualizarse ninguno de los criterios contenidos en el Lineamiento Vigésimo Primero.</w:t>
      </w:r>
    </w:p>
    <w:p w:rsidR="008A7193" w:rsidRDefault="008A7193" w:rsidP="008A7193">
      <w:pPr>
        <w:spacing w:after="0" w:line="240" w:lineRule="auto"/>
        <w:jc w:val="both"/>
        <w:rPr>
          <w:rFonts w:ascii="ITC Avant Garde" w:hAnsi="ITC Avant Garde"/>
        </w:rPr>
      </w:pPr>
    </w:p>
    <w:p w:rsidR="008A7193" w:rsidRPr="00052452" w:rsidRDefault="008A7193" w:rsidP="008A7193">
      <w:pPr>
        <w:pStyle w:val="Ttulo6"/>
        <w:jc w:val="center"/>
        <w:rPr>
          <w:rFonts w:ascii="ITC Avant Garde" w:hAnsi="ITC Avant Garde"/>
          <w:b/>
          <w:color w:val="auto"/>
        </w:rPr>
      </w:pPr>
      <w:r w:rsidRPr="00052452">
        <w:rPr>
          <w:rFonts w:ascii="ITC Avant Garde" w:hAnsi="ITC Avant Garde"/>
          <w:b/>
          <w:color w:val="auto"/>
        </w:rPr>
        <w:t>Transitorios</w:t>
      </w:r>
    </w:p>
    <w:p w:rsidR="008A7193" w:rsidRDefault="008A7193" w:rsidP="008A7193">
      <w:pPr>
        <w:spacing w:after="0" w:line="240" w:lineRule="auto"/>
        <w:jc w:val="center"/>
        <w:rPr>
          <w:rFonts w:ascii="ITC Avant Garde" w:hAnsi="ITC Avant Garde"/>
          <w:b/>
          <w:lang w:val="en-US"/>
        </w:rPr>
      </w:pPr>
    </w:p>
    <w:p w:rsidR="008A7193" w:rsidRDefault="008A7193" w:rsidP="008A7193">
      <w:pPr>
        <w:spacing w:after="0" w:line="240" w:lineRule="auto"/>
        <w:jc w:val="both"/>
        <w:rPr>
          <w:rFonts w:ascii="ITC Avant Garde" w:hAnsi="ITC Avant Garde"/>
        </w:rPr>
      </w:pPr>
      <w:r w:rsidRPr="00D62592">
        <w:rPr>
          <w:rFonts w:ascii="ITC Avant Garde" w:hAnsi="ITC Avant Garde"/>
          <w:b/>
        </w:rPr>
        <w:t>Primero.-</w:t>
      </w:r>
      <w:r w:rsidRPr="00D62592">
        <w:rPr>
          <w:rFonts w:ascii="ITC Avant Garde" w:hAnsi="ITC Avant Garde"/>
        </w:rPr>
        <w:t xml:space="preserve"> Los presentes Lineamientos entrarán en vigor </w:t>
      </w:r>
      <w:r>
        <w:rPr>
          <w:rFonts w:ascii="ITC Avant Garde" w:hAnsi="ITC Avant Garde"/>
        </w:rPr>
        <w:t>a los sesenta días naturales contados a partir de su publicación en el Diario Oficial de la Federación.</w:t>
      </w:r>
    </w:p>
    <w:p w:rsidR="008A7193" w:rsidRPr="00D62592"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sidRPr="00D62592">
        <w:rPr>
          <w:rFonts w:ascii="ITC Avant Garde" w:hAnsi="ITC Avant Garde"/>
          <w:b/>
        </w:rPr>
        <w:t>Segundo.-</w:t>
      </w:r>
      <w:r w:rsidRPr="00D62592">
        <w:rPr>
          <w:rFonts w:ascii="ITC Avant Garde" w:hAnsi="ITC Avant Garde"/>
        </w:rPr>
        <w:t xml:space="preserve"> Los procedimientos de consultas públicas iniciados antes de la entrada en vigor de los presentes Lineamientos continuarán su </w:t>
      </w:r>
      <w:r>
        <w:rPr>
          <w:rFonts w:ascii="ITC Avant Garde" w:hAnsi="ITC Avant Garde"/>
        </w:rPr>
        <w:t>curso</w:t>
      </w:r>
      <w:r w:rsidRPr="00D62592">
        <w:rPr>
          <w:rFonts w:ascii="ITC Avant Garde" w:hAnsi="ITC Avant Garde"/>
        </w:rPr>
        <w:t xml:space="preserve"> en términos de la normativa aplicable al momento de su inicio.</w:t>
      </w:r>
    </w:p>
    <w:p w:rsidR="008A7193" w:rsidRPr="00D62592" w:rsidRDefault="008A7193" w:rsidP="008A7193">
      <w:pPr>
        <w:spacing w:after="0" w:line="240" w:lineRule="auto"/>
        <w:jc w:val="both"/>
        <w:rPr>
          <w:rFonts w:ascii="ITC Avant Garde" w:hAnsi="ITC Avant Garde"/>
        </w:rPr>
      </w:pPr>
    </w:p>
    <w:p w:rsidR="008A7193" w:rsidRDefault="008A7193" w:rsidP="008A7193">
      <w:pPr>
        <w:spacing w:after="0" w:line="240" w:lineRule="auto"/>
        <w:jc w:val="both"/>
        <w:rPr>
          <w:rFonts w:ascii="ITC Avant Garde" w:hAnsi="ITC Avant Garde"/>
        </w:rPr>
      </w:pPr>
      <w:r w:rsidRPr="001711EB">
        <w:rPr>
          <w:rFonts w:ascii="ITC Avant Garde" w:hAnsi="ITC Avant Garde"/>
          <w:b/>
        </w:rPr>
        <w:t>Tercero.-</w:t>
      </w:r>
      <w:r>
        <w:rPr>
          <w:rFonts w:ascii="ITC Avant Garde" w:hAnsi="ITC Avant Garde"/>
        </w:rPr>
        <w:t xml:space="preserve"> Durante el plazo previo a la entrada en vigor de los presentes Lineamientos, la Coordinación General brindará asesoría y capacitación a las Unidades y/o Coordinaciones Generales, sobre el contenido de los mismos a efecto de que se implementen adecuadamente sus medidas; ello, sin detrimento de que dicha unidad administrativa lo realice de manera permanente</w:t>
      </w:r>
      <w:r w:rsidRPr="0029100F">
        <w:rPr>
          <w:rFonts w:ascii="ITC Avant Garde" w:hAnsi="ITC Avant Garde"/>
        </w:rPr>
        <w:t xml:space="preserve"> </w:t>
      </w:r>
      <w:r>
        <w:rPr>
          <w:rFonts w:ascii="ITC Avant Garde" w:hAnsi="ITC Avant Garde"/>
        </w:rPr>
        <w:t>con base en sus atribuciones.</w:t>
      </w:r>
    </w:p>
    <w:p w:rsidR="008A7193" w:rsidRDefault="008A7193" w:rsidP="008A7193">
      <w:pPr>
        <w:spacing w:after="0" w:line="240" w:lineRule="auto"/>
        <w:jc w:val="both"/>
        <w:rPr>
          <w:rFonts w:ascii="ITC Avant Garde" w:hAnsi="ITC Avant Garde"/>
        </w:rPr>
        <w:sectPr w:rsidR="008A7193" w:rsidSect="00015ED8">
          <w:headerReference w:type="even" r:id="rId7"/>
          <w:headerReference w:type="default" r:id="rId8"/>
          <w:footerReference w:type="default" r:id="rId9"/>
          <w:headerReference w:type="first" r:id="rId10"/>
          <w:pgSz w:w="12240" w:h="15840"/>
          <w:pgMar w:top="1985" w:right="1750" w:bottom="1843" w:left="1418" w:header="709" w:footer="709" w:gutter="0"/>
          <w:cols w:space="708"/>
          <w:docGrid w:linePitch="360"/>
        </w:sectPr>
      </w:pPr>
    </w:p>
    <w:p w:rsidR="008A7193" w:rsidRDefault="008A7193" w:rsidP="008A7193">
      <w:pPr>
        <w:spacing w:after="0" w:line="240" w:lineRule="auto"/>
        <w:jc w:val="both"/>
        <w:rPr>
          <w:rFonts w:ascii="ITC Avant Garde" w:hAnsi="ITC Avant Garde"/>
        </w:rPr>
      </w:pPr>
    </w:p>
    <w:p w:rsidR="008A7193" w:rsidRPr="00D62592" w:rsidRDefault="008A7193" w:rsidP="008A7193">
      <w:pPr>
        <w:spacing w:after="0" w:line="240" w:lineRule="auto"/>
        <w:jc w:val="both"/>
        <w:rPr>
          <w:rFonts w:ascii="ITC Avant Garde" w:hAnsi="ITC Avant Garde"/>
        </w:rPr>
      </w:pPr>
    </w:p>
    <w:tbl>
      <w:tblPr>
        <w:tblStyle w:val="Cuadrculadetablaclara"/>
        <w:tblW w:w="0" w:type="auto"/>
        <w:tblLook w:val="04A0" w:firstRow="1" w:lastRow="0" w:firstColumn="1" w:lastColumn="0" w:noHBand="0" w:noVBand="1"/>
        <w:tblCaption w:val="Base de atribuciones."/>
        <w:tblDescription w:val="Unidad administrativa del Instituto / Título de la propuesta de regulación:&#10;Responsable de la propuesta de regulación:&#10;&#10;Nombre: &#10;Teléfono: &#10;Correo electrónico:&#10;&#10;Fecha de elaboración del análisis de impacto regulatorio:&#10;En su caso, fecha de inicio y conclusión de la consulta pública:&#10;"/>
      </w:tblPr>
      <w:tblGrid>
        <w:gridCol w:w="2689"/>
        <w:gridCol w:w="3118"/>
        <w:gridCol w:w="3021"/>
      </w:tblGrid>
      <w:tr w:rsidR="008A7193" w:rsidRPr="00330BA5" w:rsidTr="00000FD0">
        <w:trPr>
          <w:trHeight w:val="816"/>
          <w:tblHeader/>
        </w:trPr>
        <w:tc>
          <w:tcPr>
            <w:tcW w:w="2689" w:type="dxa"/>
          </w:tcPr>
          <w:p w:rsidR="008A7193" w:rsidRPr="00330BA5" w:rsidRDefault="008A7193" w:rsidP="00000FD0">
            <w:pPr>
              <w:jc w:val="both"/>
              <w:rPr>
                <w:b/>
              </w:rPr>
            </w:pPr>
            <w:r w:rsidRPr="00330BA5">
              <w:rPr>
                <w:b/>
              </w:rPr>
              <w:t>Unidad administrativa del Instituto:</w:t>
            </w:r>
          </w:p>
          <w:p w:rsidR="008A7193" w:rsidRPr="00330BA5" w:rsidRDefault="008A7193" w:rsidP="00000FD0">
            <w:pPr>
              <w:jc w:val="both"/>
            </w:pPr>
          </w:p>
        </w:tc>
        <w:tc>
          <w:tcPr>
            <w:tcW w:w="3118" w:type="dxa"/>
          </w:tcPr>
          <w:p w:rsidR="008A7193" w:rsidRPr="00330BA5" w:rsidRDefault="008A7193" w:rsidP="00000FD0">
            <w:pPr>
              <w:jc w:val="both"/>
              <w:rPr>
                <w:rFonts w:asciiTheme="minorHAnsi" w:eastAsiaTheme="minorHAnsi" w:hAnsiTheme="minorHAnsi" w:cstheme="minorBidi"/>
                <w:b/>
              </w:rPr>
            </w:pPr>
            <w:r w:rsidRPr="00330BA5">
              <w:rPr>
                <w:b/>
              </w:rPr>
              <w:t>Título de la propuesta de regulación:</w:t>
            </w:r>
          </w:p>
        </w:tc>
        <w:tc>
          <w:tcPr>
            <w:tcW w:w="3021" w:type="dxa"/>
          </w:tcPr>
          <w:p w:rsidR="008A7193" w:rsidRPr="00330BA5" w:rsidRDefault="008A7193" w:rsidP="00000FD0">
            <w:pPr>
              <w:jc w:val="both"/>
            </w:pPr>
            <w:r w:rsidRPr="00330BA5">
              <w:rPr>
                <w:b/>
              </w:rPr>
              <w:t>Título de la propuesta de regulación:</w:t>
            </w:r>
          </w:p>
        </w:tc>
      </w:tr>
      <w:tr w:rsidR="008A7193" w:rsidRPr="00330BA5" w:rsidTr="00000FD0">
        <w:trPr>
          <w:trHeight w:val="889"/>
        </w:trPr>
        <w:tc>
          <w:tcPr>
            <w:tcW w:w="2689" w:type="dxa"/>
          </w:tcPr>
          <w:p w:rsidR="008A7193" w:rsidRPr="00330BA5" w:rsidRDefault="008A7193" w:rsidP="00000FD0">
            <w:pPr>
              <w:jc w:val="both"/>
              <w:rPr>
                <w:b/>
              </w:rPr>
            </w:pPr>
            <w:r w:rsidRPr="00330BA5">
              <w:rPr>
                <w:b/>
              </w:rPr>
              <w:t>Responsable de la propuesta de regulación:</w:t>
            </w:r>
          </w:p>
          <w:p w:rsidR="008A7193" w:rsidRPr="00330BA5" w:rsidRDefault="008A7193" w:rsidP="00000FD0">
            <w:pPr>
              <w:jc w:val="both"/>
              <w:rPr>
                <w:b/>
              </w:rPr>
            </w:pPr>
          </w:p>
          <w:p w:rsidR="008A7193" w:rsidRPr="00330BA5" w:rsidRDefault="008A7193" w:rsidP="00000FD0">
            <w:pPr>
              <w:jc w:val="both"/>
            </w:pPr>
            <w:r w:rsidRPr="00330BA5">
              <w:t xml:space="preserve">Nombre: </w:t>
            </w:r>
          </w:p>
          <w:p w:rsidR="008A7193" w:rsidRPr="00330BA5" w:rsidRDefault="008A7193" w:rsidP="00000FD0">
            <w:pPr>
              <w:jc w:val="both"/>
            </w:pPr>
            <w:r w:rsidRPr="00330BA5">
              <w:t xml:space="preserve">Teléfono: </w:t>
            </w:r>
          </w:p>
          <w:p w:rsidR="008A7193" w:rsidRPr="00330BA5" w:rsidRDefault="008A7193" w:rsidP="00000FD0">
            <w:pPr>
              <w:jc w:val="both"/>
            </w:pPr>
            <w:r w:rsidRPr="00330BA5">
              <w:t>Correo electrónico:</w:t>
            </w:r>
          </w:p>
          <w:p w:rsidR="008A7193" w:rsidRPr="00330BA5" w:rsidRDefault="008A7193" w:rsidP="00000FD0">
            <w:pPr>
              <w:jc w:val="both"/>
              <w:rPr>
                <w:b/>
              </w:rPr>
            </w:pPr>
          </w:p>
        </w:tc>
        <w:tc>
          <w:tcPr>
            <w:tcW w:w="3118" w:type="dxa"/>
          </w:tcPr>
          <w:p w:rsidR="008A7193" w:rsidRPr="00330BA5" w:rsidRDefault="008A7193" w:rsidP="00000FD0">
            <w:pPr>
              <w:jc w:val="both"/>
              <w:rPr>
                <w:b/>
              </w:rPr>
            </w:pPr>
            <w:r w:rsidRPr="00330BA5">
              <w:rPr>
                <w:b/>
              </w:rPr>
              <w:t>Fecha de elaboración del análisis de impacto regulatorio:</w:t>
            </w:r>
          </w:p>
        </w:tc>
        <w:tc>
          <w:tcPr>
            <w:tcW w:w="3021" w:type="dxa"/>
          </w:tcPr>
          <w:p w:rsidR="008A7193" w:rsidRPr="00330BA5" w:rsidRDefault="008A7193" w:rsidP="00000FD0">
            <w:pPr>
              <w:jc w:val="center"/>
            </w:pPr>
            <w:r w:rsidRPr="00330BA5">
              <w:t>DD/MM/AAAA</w:t>
            </w:r>
          </w:p>
        </w:tc>
      </w:tr>
      <w:tr w:rsidR="008A7193" w:rsidRPr="00330BA5" w:rsidTr="00000FD0">
        <w:trPr>
          <w:trHeight w:val="390"/>
        </w:trPr>
        <w:tc>
          <w:tcPr>
            <w:tcW w:w="2689" w:type="dxa"/>
          </w:tcPr>
          <w:p w:rsidR="008A7193" w:rsidRPr="00330BA5" w:rsidRDefault="008A7193" w:rsidP="00000FD0">
            <w:pPr>
              <w:jc w:val="both"/>
            </w:pPr>
            <w:r>
              <w:t>N/A</w:t>
            </w:r>
          </w:p>
        </w:tc>
        <w:tc>
          <w:tcPr>
            <w:tcW w:w="3118" w:type="dxa"/>
          </w:tcPr>
          <w:p w:rsidR="008A7193" w:rsidRPr="00330BA5" w:rsidRDefault="008A7193" w:rsidP="00000FD0">
            <w:pPr>
              <w:jc w:val="both"/>
              <w:rPr>
                <w:b/>
              </w:rPr>
            </w:pPr>
            <w:r w:rsidRPr="00330BA5">
              <w:rPr>
                <w:b/>
              </w:rPr>
              <w:t>En su caso, fecha de inicio y conclusión de la consulta pública:</w:t>
            </w:r>
          </w:p>
        </w:tc>
        <w:tc>
          <w:tcPr>
            <w:tcW w:w="3021" w:type="dxa"/>
          </w:tcPr>
          <w:p w:rsidR="008A7193" w:rsidRPr="00330BA5" w:rsidRDefault="008A7193" w:rsidP="00000FD0">
            <w:pPr>
              <w:jc w:val="center"/>
            </w:pPr>
            <w:r w:rsidRPr="00330BA5">
              <w:t>DD/MM/AAAA a DD/MM/AAAA</w:t>
            </w:r>
          </w:p>
        </w:tc>
      </w:tr>
    </w:tbl>
    <w:p w:rsidR="008A7193" w:rsidRDefault="008A7193" w:rsidP="008A7193">
      <w:pPr>
        <w:jc w:val="both"/>
      </w:pPr>
    </w:p>
    <w:p w:rsidR="008A7193" w:rsidRPr="00321DC6" w:rsidRDefault="008A7193" w:rsidP="008A7193">
      <w:pPr>
        <w:rPr>
          <w:b/>
        </w:rPr>
      </w:pPr>
      <w:r w:rsidRPr="00321DC6">
        <w:rPr>
          <w:b/>
        </w:rPr>
        <w:t>I. DEFINICIÓN DEL PROBLEMA Y OBJETIVOS GENERALES DE LA PROPUESTA DE REGULACIÓN.</w:t>
      </w:r>
    </w:p>
    <w:tbl>
      <w:tblPr>
        <w:tblStyle w:val="Tablanormal4"/>
        <w:tblW w:w="0" w:type="auto"/>
        <w:tblLook w:val="04A0" w:firstRow="1" w:lastRow="0" w:firstColumn="1" w:lastColumn="0" w:noHBand="0" w:noVBand="1"/>
        <w:tblCaption w:val="DEFINICIÓN DEL PROBLEMA Y OBJETIVOS GENERALES DE LA PROPUESTA DE REGULACIÓN."/>
        <w:tblDescription w:val=" ¿Cuál es la problemática que pretende prevenir o resolver la propuesta de regulación?&#10;Detalle: i) el o (los) mercado(s) a regular; ii) sus condiciones actuales y sus principales fallas; y, iii) la afectación ocurrida a los consumidores, usuarios, audiencias, población indígena y/o industria del sector de telecomunicaciones y radiodifusión. Proporcione evidencia empírica, así como sus fuentes para ser verificadas.&#10;&#10;"/>
      </w:tblPr>
      <w:tblGrid>
        <w:gridCol w:w="8828"/>
      </w:tblGrid>
      <w:tr w:rsidR="008A7193" w:rsidRPr="00330BA5" w:rsidTr="00000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28" w:type="dxa"/>
          </w:tcPr>
          <w:p w:rsidR="008A7193" w:rsidRPr="00330BA5" w:rsidRDefault="008A7193" w:rsidP="00000FD0">
            <w:pPr>
              <w:shd w:val="clear" w:color="auto" w:fill="FFFFFF" w:themeFill="background1"/>
              <w:jc w:val="both"/>
              <w:rPr>
                <w:b w:val="0"/>
              </w:rPr>
            </w:pPr>
            <w:r w:rsidRPr="00330BA5">
              <w:rPr>
                <w:b w:val="0"/>
              </w:rPr>
              <w:t>1.- ¿Cuál es la problemática que pretende prevenir o resolver la propuesta de regulación?</w:t>
            </w:r>
          </w:p>
          <w:p w:rsidR="008A7193" w:rsidRPr="00330BA5" w:rsidRDefault="008A7193" w:rsidP="00000FD0">
            <w:pPr>
              <w:shd w:val="clear" w:color="auto" w:fill="FFFFFF" w:themeFill="background1"/>
              <w:jc w:val="both"/>
            </w:pPr>
            <w:r w:rsidRPr="00330BA5">
              <w:t>Detalle: i) el o (los) mercado(s) a regular; ii) sus condiciones actuales y sus principales fallas; y, iii) la afectación ocurrida a los consumidores, usuarios, audiencias, población indígena y/o industria del sector de telecomunicaciones y radiodifusión. Proporcione evidencia empírica, así como sus fuentes para ser verificadas.</w:t>
            </w:r>
          </w:p>
          <w:p w:rsidR="008A7193" w:rsidRPr="00330BA5" w:rsidRDefault="008A7193" w:rsidP="00000FD0">
            <w:pPr>
              <w:shd w:val="clear" w:color="auto" w:fill="FFFFFF" w:themeFill="background1"/>
              <w:jc w:val="both"/>
            </w:pPr>
          </w:p>
          <w:p w:rsidR="008A7193" w:rsidRPr="00330BA5" w:rsidRDefault="008A7193" w:rsidP="00000FD0">
            <w:pPr>
              <w:jc w:val="both"/>
            </w:pPr>
          </w:p>
        </w:tc>
      </w:tr>
    </w:tbl>
    <w:tbl>
      <w:tblPr>
        <w:tblStyle w:val="Cuadrculadetablaclara"/>
        <w:tblpPr w:leftFromText="141" w:rightFromText="141" w:vertAnchor="text" w:horzAnchor="margin" w:tblpY="356"/>
        <w:tblW w:w="0" w:type="auto"/>
        <w:tblLook w:val="04A0" w:firstRow="1" w:lastRow="0" w:firstColumn="1" w:lastColumn="0" w:noHBand="0" w:noVBand="1"/>
        <w:tblCaption w:val="DEFINICIÓN DEL PROBLEMA Y OBJETIVOS GENERALES DE LA PROPUESTA DE REGULACIÓN."/>
        <w:tblDescription w:val=" ¿Cuál es la problemática que pretende prevenir o resolver la propuesta de regulación?&#10;Detalle: i) el o (los) mercado(s) a regular; ii) sus condiciones actuales y sus principales fallas; y, iii) la afectación ocurrida a los consumidores, usuarios, audiencias, población indígena y/o industria del sector de telecomunicaciones y radiodifusión. Proporcione evidencia empírica, así como sus fuentes para ser verificadas.&#10;&#10;"/>
      </w:tblPr>
      <w:tblGrid>
        <w:gridCol w:w="8828"/>
      </w:tblGrid>
      <w:tr w:rsidR="008A7193" w:rsidRPr="00330BA5" w:rsidTr="00000FD0">
        <w:trPr>
          <w:tblHeader/>
        </w:trPr>
        <w:tc>
          <w:tcPr>
            <w:tcW w:w="8828" w:type="dxa"/>
          </w:tcPr>
          <w:p w:rsidR="008A7193" w:rsidRPr="00330BA5" w:rsidRDefault="008A7193" w:rsidP="00000FD0">
            <w:pPr>
              <w:jc w:val="both"/>
              <w:rPr>
                <w:b/>
              </w:rPr>
            </w:pPr>
            <w:r w:rsidRPr="00330BA5">
              <w:rPr>
                <w:b/>
              </w:rPr>
              <w:t>2.- Conforme a lo señalado por el artículo 51 de la Ley Federal de Telecomunicaciones y Radiodifusión, ¿Considera que la publicidad de la propuesta de regulación pueda comprometer los efectos que se pretenden lograr con la entrada en vigor de ésta?</w:t>
            </w:r>
          </w:p>
          <w:p w:rsidR="008A7193" w:rsidRPr="00330BA5" w:rsidRDefault="008A7193" w:rsidP="00000FD0">
            <w:pPr>
              <w:jc w:val="both"/>
            </w:pPr>
          </w:p>
          <w:p w:rsidR="008A7193" w:rsidRPr="00330BA5" w:rsidRDefault="008A7193" w:rsidP="00000FD0">
            <w:pPr>
              <w:jc w:val="both"/>
            </w:pPr>
            <w:r>
              <w:t>Seleccione: SI o NO</w:t>
            </w:r>
          </w:p>
          <w:p w:rsidR="008A7193" w:rsidRPr="00330BA5" w:rsidRDefault="008A7193" w:rsidP="00000FD0">
            <w:pPr>
              <w:jc w:val="both"/>
            </w:pPr>
          </w:p>
          <w:p w:rsidR="008A7193" w:rsidRPr="00330BA5" w:rsidRDefault="008A7193" w:rsidP="00000FD0">
            <w:pPr>
              <w:jc w:val="both"/>
            </w:pPr>
            <w:r w:rsidRPr="00330BA5">
              <w:rPr>
                <w:b/>
              </w:rPr>
              <w:t>En caso de que la respuesta sea afirmativa, justifique y fundamente:</w:t>
            </w:r>
          </w:p>
          <w:p w:rsidR="008A7193" w:rsidRPr="00330BA5" w:rsidRDefault="008A7193" w:rsidP="00000FD0">
            <w:pPr>
              <w:jc w:val="both"/>
            </w:pPr>
          </w:p>
        </w:tc>
      </w:tr>
    </w:tbl>
    <w:p w:rsidR="008A7193" w:rsidRPr="00330BA5" w:rsidRDefault="008A7193" w:rsidP="008A7193">
      <w:pPr>
        <w:jc w:val="both"/>
      </w:pPr>
    </w:p>
    <w:p w:rsidR="008A7193" w:rsidRPr="00330BA5" w:rsidRDefault="008A7193" w:rsidP="008A7193">
      <w:pPr>
        <w:jc w:val="both"/>
      </w:pPr>
    </w:p>
    <w:tbl>
      <w:tblPr>
        <w:tblStyle w:val="Cuadrculadetablaclara"/>
        <w:tblW w:w="0" w:type="auto"/>
        <w:tblLook w:val="04A0" w:firstRow="1" w:lastRow="0" w:firstColumn="1" w:lastColumn="0" w:noHBand="0" w:noVBand="1"/>
        <w:tblCaption w:val="DEFINICIÓN DEL PROBLEMA Y OBJETIVOS GENERALES DE LA PROPUESTA DE REGULACIÓN."/>
        <w:tblDescription w:val="&#10;¿En qué consiste la propuesta de regulación e indique cómo incidirá favorablemente en la problemática antes descrita y en el desarrollo eficiente de los distintos mercados del sector de telecomunicaciones y radiodifusión, antes identificados?&#10;Describa sus objetivos y detalle los principales efectos esperados en el corto, mediano y largo plazos&#10;"/>
      </w:tblPr>
      <w:tblGrid>
        <w:gridCol w:w="8828"/>
      </w:tblGrid>
      <w:tr w:rsidR="008A7193" w:rsidRPr="00330BA5" w:rsidTr="00000FD0">
        <w:trPr>
          <w:tblHeader/>
        </w:trPr>
        <w:tc>
          <w:tcPr>
            <w:tcW w:w="8828" w:type="dxa"/>
          </w:tcPr>
          <w:p w:rsidR="008A7193" w:rsidRPr="00330BA5" w:rsidRDefault="008A7193" w:rsidP="00000FD0">
            <w:pPr>
              <w:jc w:val="both"/>
              <w:rPr>
                <w:b/>
              </w:rPr>
            </w:pPr>
            <w:r w:rsidRPr="00330BA5">
              <w:rPr>
                <w:b/>
              </w:rPr>
              <w:t>3.- ¿En qué consiste la propuesta de regulación e indique cómo incidirá favorablemente en la problemática antes descrita y en el desarrollo eficiente de los distintos mercados del sector de telecomunicaciones y radiodifusión, antes identificados?</w:t>
            </w:r>
          </w:p>
          <w:p w:rsidR="008A7193" w:rsidRPr="00330BA5" w:rsidRDefault="008A7193" w:rsidP="00000FD0">
            <w:pPr>
              <w:jc w:val="both"/>
            </w:pPr>
            <w:r w:rsidRPr="00330BA5">
              <w:t>Describa sus objetivos y detalle los principales efectos esperados en el corto, mediano y largo plazos.</w:t>
            </w:r>
          </w:p>
          <w:p w:rsidR="008A7193" w:rsidRPr="00330BA5" w:rsidRDefault="008A7193" w:rsidP="00000FD0">
            <w:pPr>
              <w:jc w:val="both"/>
            </w:pPr>
          </w:p>
        </w:tc>
      </w:tr>
    </w:tbl>
    <w:p w:rsidR="008A7193" w:rsidRPr="00330BA5" w:rsidRDefault="008A7193" w:rsidP="008A7193">
      <w:pPr>
        <w:shd w:val="clear" w:color="auto" w:fill="FFFFFF" w:themeFill="background1"/>
        <w:jc w:val="both"/>
        <w:rPr>
          <w:sz w:val="20"/>
          <w:szCs w:val="20"/>
        </w:rPr>
      </w:pPr>
    </w:p>
    <w:tbl>
      <w:tblPr>
        <w:tblStyle w:val="Cuadrculadetablaclara"/>
        <w:tblW w:w="0" w:type="auto"/>
        <w:tblLook w:val="04A0" w:firstRow="1" w:lastRow="0" w:firstColumn="1" w:lastColumn="0" w:noHBand="0" w:noVBand="1"/>
        <w:tblCaption w:val="DEFINICIÓN DEL PROBLEMA Y OBJETIVOS GENERALES DE LA PROPUESTA DE REGULACIÓN."/>
        <w:tblDescription w:val="Identifique los grupos de la población, de consumidores, usuarios, audiencias, población indígena y/o industria del sector de telecomunicaciones y radiodifusión, que serían afectados por la propuesta de regulación.&#10;Describa el perfil, cantidad de la población y, de ser aplicable, el servicio consumido por cada uno; y precise, en su caso, la participación de algún Agente Económico Preponderante o con Poder Sustancial de Mercado en la cadena de valor. Seleccione los subsectores y/o mercados que se proponen regular:&#10;Subsector o mercado&#10;"/>
      </w:tblPr>
      <w:tblGrid>
        <w:gridCol w:w="8828"/>
      </w:tblGrid>
      <w:tr w:rsidR="008A7193" w:rsidRPr="00330BA5" w:rsidTr="00000FD0">
        <w:trPr>
          <w:tblHeader/>
        </w:trPr>
        <w:tc>
          <w:tcPr>
            <w:tcW w:w="8828" w:type="dxa"/>
          </w:tcPr>
          <w:p w:rsidR="008A7193" w:rsidRPr="00330BA5" w:rsidRDefault="008A7193" w:rsidP="00000FD0">
            <w:pPr>
              <w:jc w:val="both"/>
              <w:rPr>
                <w:b/>
              </w:rPr>
            </w:pPr>
            <w:r w:rsidRPr="00330BA5">
              <w:rPr>
                <w:b/>
              </w:rPr>
              <w:lastRenderedPageBreak/>
              <w:t>4.- Identifique los grupos de la población, de consumidores, usuarios, audiencias, población indígena y/o industria del sector de telecomunicaciones y radiodifusión, que serían afectados por la propuesta de regulación.</w:t>
            </w:r>
          </w:p>
          <w:p w:rsidR="008A7193" w:rsidRPr="00330BA5" w:rsidRDefault="008A7193" w:rsidP="00000FD0">
            <w:pPr>
              <w:jc w:val="both"/>
            </w:pPr>
            <w:r w:rsidRPr="00330BA5">
              <w:t>Describa el perfil, cantidad de la población y, de ser aplicable, el servicio consumido por cada uno; y precise, en su caso, la participación de algún Agente Económico Preponderante o con Poder Sustancial de Mercado en la cadena de valor. Seleccione los subsectores y/o mercados que se proponen regular:</w:t>
            </w:r>
          </w:p>
          <w:p w:rsidR="008A7193" w:rsidRPr="00330BA5" w:rsidRDefault="008A7193" w:rsidP="00000FD0">
            <w:pPr>
              <w:jc w:val="both"/>
              <w:rPr>
                <w:szCs w:val="24"/>
              </w:rPr>
            </w:pPr>
          </w:p>
          <w:p w:rsidR="008A7193" w:rsidRPr="00330BA5" w:rsidRDefault="008A7193" w:rsidP="00000FD0">
            <w:pPr>
              <w:jc w:val="both"/>
              <w:rPr>
                <w:b/>
                <w:sz w:val="24"/>
                <w:szCs w:val="24"/>
              </w:rPr>
            </w:pPr>
            <w:r w:rsidRPr="00330BA5">
              <w:rPr>
                <w:b/>
              </w:rPr>
              <w:t>Subsector o mercado</w:t>
            </w:r>
          </w:p>
          <w:p w:rsidR="008A7193" w:rsidRPr="00330BA5" w:rsidRDefault="008A7193" w:rsidP="00000FD0">
            <w:pPr>
              <w:jc w:val="both"/>
              <w:rPr>
                <w:b/>
                <w:sz w:val="24"/>
                <w:szCs w:val="24"/>
              </w:rPr>
            </w:pPr>
          </w:p>
        </w:tc>
      </w:tr>
    </w:tbl>
    <w:p w:rsidR="008A7193" w:rsidRPr="00330BA5" w:rsidRDefault="008A7193" w:rsidP="008A7193">
      <w:pPr>
        <w:jc w:val="both"/>
      </w:pPr>
    </w:p>
    <w:tbl>
      <w:tblPr>
        <w:tblStyle w:val="Tablaconcuadrcula1"/>
        <w:tblW w:w="0" w:type="auto"/>
        <w:tblLook w:val="04A0" w:firstRow="1" w:lastRow="0" w:firstColumn="1" w:lastColumn="0" w:noHBand="0" w:noVBand="1"/>
        <w:tblCaption w:val="DEFINICIÓN DEL PROBLEMA Y OBJETIVOS GENERALES DE LA PROPUESTA DE REGULACIÓN."/>
        <w:tblDescription w:val="Refiera el fundamento jurídico que da origen a la emisión de la propuesta de regulación y argumente si sustituye, complementa o elimina algún otro instrumento regulatorio vigente, de ser así, cite la fecha de su publicación en el Diario Oficial de la Federación.&#10;"/>
      </w:tblPr>
      <w:tblGrid>
        <w:gridCol w:w="8828"/>
      </w:tblGrid>
      <w:tr w:rsidR="008A7193" w:rsidRPr="00330BA5" w:rsidTr="00000FD0">
        <w:trPr>
          <w:tblHeader/>
        </w:trPr>
        <w:tc>
          <w:tcPr>
            <w:tcW w:w="8828" w:type="dxa"/>
          </w:tcPr>
          <w:p w:rsidR="008A7193" w:rsidRPr="00330BA5" w:rsidRDefault="008A7193" w:rsidP="00000FD0">
            <w:pPr>
              <w:jc w:val="both"/>
              <w:rPr>
                <w:b/>
                <w:sz w:val="20"/>
                <w:szCs w:val="20"/>
              </w:rPr>
            </w:pPr>
            <w:r w:rsidRPr="00330BA5">
              <w:rPr>
                <w:b/>
                <w:sz w:val="20"/>
                <w:szCs w:val="20"/>
              </w:rPr>
              <w:t>5.-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8A7193" w:rsidRPr="00330BA5" w:rsidRDefault="008A7193" w:rsidP="00000FD0">
            <w:pPr>
              <w:jc w:val="both"/>
            </w:pPr>
          </w:p>
        </w:tc>
      </w:tr>
    </w:tbl>
    <w:p w:rsidR="008A7193" w:rsidRDefault="008A7193" w:rsidP="008A7193">
      <w:pPr>
        <w:jc w:val="both"/>
      </w:pPr>
    </w:p>
    <w:p w:rsidR="008A7193" w:rsidRPr="0046586C" w:rsidRDefault="008A7193" w:rsidP="008A7193">
      <w:pPr>
        <w:jc w:val="both"/>
        <w:rPr>
          <w:b/>
        </w:rPr>
      </w:pPr>
      <w:r w:rsidRPr="0046586C">
        <w:rPr>
          <w:b/>
        </w:rPr>
        <w:t>II. ANÁLISI DE ALTERNATIVAS A PROPÓSITO DE LA PROPUESTA DE REGULACIÓN.</w:t>
      </w:r>
    </w:p>
    <w:tbl>
      <w:tblPr>
        <w:tblStyle w:val="Cuadrculadetablaclara"/>
        <w:tblW w:w="0" w:type="auto"/>
        <w:tblLook w:val="04A0" w:firstRow="1" w:lastRow="0" w:firstColumn="1" w:lastColumn="0" w:noHBand="0" w:noVBand="1"/>
        <w:tblCaption w:val="Para solucionar la problemática identificada, describa las alternativas valoradas y señale las razones por las cuales fueron descartadas, incluyendo en éstas las ventajas y desventajas asociadas a cada una de ellas."/>
        <w:tblDescription w:val="Alternativa evaluada, Descripción y Razones."/>
      </w:tblPr>
      <w:tblGrid>
        <w:gridCol w:w="8828"/>
      </w:tblGrid>
      <w:tr w:rsidR="008A7193" w:rsidRPr="00330BA5" w:rsidTr="00000FD0">
        <w:trPr>
          <w:tblHeader/>
        </w:trPr>
        <w:tc>
          <w:tcPr>
            <w:tcW w:w="8828" w:type="dxa"/>
          </w:tcPr>
          <w:p w:rsidR="008A7193" w:rsidRPr="00330BA5" w:rsidRDefault="008A7193" w:rsidP="00000FD0">
            <w:pPr>
              <w:jc w:val="both"/>
              <w:rPr>
                <w:b/>
              </w:rPr>
            </w:pPr>
            <w:r w:rsidRPr="00330BA5">
              <w:rPr>
                <w:b/>
              </w:rPr>
              <w:t>6.- Para solucionar la problemática identificada, describa las alternativas valoradas y señale las razones por las cuales fueron descartadas, incluyendo en éstas las ventajas y desventajas asociadas a cada una de ellas.</w:t>
            </w:r>
          </w:p>
          <w:p w:rsidR="008A7193" w:rsidRPr="00330BA5" w:rsidRDefault="008A7193" w:rsidP="00000FD0">
            <w:pPr>
              <w:jc w:val="both"/>
            </w:pPr>
            <w:r w:rsidRPr="00330BA5">
              <w:t>Seleccione las alternativas aplicables y, en su caso, seleccione y describa otra. Considere al menos tres opciones entre las cuales se encuentre la opción de no intervención.</w:t>
            </w:r>
          </w:p>
          <w:p w:rsidR="008A7193" w:rsidRPr="00330BA5" w:rsidRDefault="008A7193" w:rsidP="00000FD0">
            <w:pPr>
              <w:jc w:val="both"/>
              <w:rPr>
                <w:rFonts w:ascii="ITC Avant Garde" w:hAnsi="ITC Avant Garde"/>
                <w:sz w:val="24"/>
                <w:szCs w:val="24"/>
              </w:rPr>
            </w:pPr>
          </w:p>
          <w:p w:rsidR="008A7193" w:rsidRPr="00556DEE" w:rsidRDefault="008A7193" w:rsidP="00000FD0">
            <w:pPr>
              <w:jc w:val="both"/>
              <w:rPr>
                <w:b/>
              </w:rPr>
            </w:pPr>
            <w:r w:rsidRPr="00556DEE">
              <w:rPr>
                <w:b/>
              </w:rPr>
              <w:t xml:space="preserve">Alternativa evaluada / Descripción / Razones </w:t>
            </w:r>
          </w:p>
          <w:p w:rsidR="008A7193" w:rsidRPr="00330BA5" w:rsidRDefault="008A7193" w:rsidP="00000FD0">
            <w:pPr>
              <w:jc w:val="both"/>
              <w:rPr>
                <w:rFonts w:ascii="ITC Avant Garde" w:hAnsi="ITC Avant Garde"/>
                <w:sz w:val="24"/>
                <w:szCs w:val="24"/>
              </w:rPr>
            </w:pPr>
          </w:p>
        </w:tc>
      </w:tr>
    </w:tbl>
    <w:p w:rsidR="008A7193" w:rsidRPr="00330BA5" w:rsidRDefault="008A7193" w:rsidP="008A7193">
      <w:pPr>
        <w:jc w:val="both"/>
      </w:pPr>
    </w:p>
    <w:tbl>
      <w:tblPr>
        <w:tblStyle w:val="Cuadrculadetablaclara"/>
        <w:tblW w:w="0" w:type="auto"/>
        <w:tblLayout w:type="fixed"/>
        <w:tblLook w:val="04A0" w:firstRow="1" w:lastRow="0" w:firstColumn="1" w:lastColumn="0" w:noHBand="0" w:noVBand="1"/>
        <w:tblCaption w:val="Incluya un comparativo que contemple las regulaciones implementadas en otros países a fin de solventar la problemática antes detectada o alguna similar."/>
        <w:tblDescription w:val="Caso 1 y Caso 2."/>
      </w:tblPr>
      <w:tblGrid>
        <w:gridCol w:w="8828"/>
      </w:tblGrid>
      <w:tr w:rsidR="008A7193" w:rsidRPr="00330BA5" w:rsidTr="00000FD0">
        <w:trPr>
          <w:trHeight w:val="64"/>
          <w:tblHeader/>
        </w:trPr>
        <w:tc>
          <w:tcPr>
            <w:tcW w:w="8828" w:type="dxa"/>
          </w:tcPr>
          <w:p w:rsidR="008A7193" w:rsidRPr="00330BA5" w:rsidRDefault="008A7193" w:rsidP="00000FD0">
            <w:pPr>
              <w:jc w:val="both"/>
              <w:rPr>
                <w:rFonts w:ascii="ITC Avant Garde" w:hAnsi="ITC Avant Garde"/>
                <w:sz w:val="24"/>
                <w:szCs w:val="24"/>
              </w:rPr>
            </w:pPr>
            <w:r w:rsidRPr="00330BA5">
              <w:rPr>
                <w:rFonts w:ascii="ITC Avant Garde" w:hAnsi="ITC Avant Garde"/>
              </w:rPr>
              <w:br w:type="page"/>
            </w:r>
            <w:r w:rsidRPr="00330BA5">
              <w:rPr>
                <w:b/>
              </w:rPr>
              <w:t>7.- Incluya un comparativo que contemple las regulaciones implementadas en otros países a fin de solventar la problemática antes detectada o alguna similar.</w:t>
            </w:r>
          </w:p>
          <w:p w:rsidR="008A7193" w:rsidRPr="00330BA5" w:rsidRDefault="008A7193" w:rsidP="00000FD0">
            <w:pPr>
              <w:jc w:val="both"/>
            </w:pPr>
            <w:r w:rsidRPr="00330BA5">
              <w:t>Refiera por caso analizado, la siguiente información y agregue los que sean necesarios:</w:t>
            </w:r>
          </w:p>
          <w:p w:rsidR="008A7193" w:rsidRPr="00330BA5" w:rsidRDefault="008A7193" w:rsidP="00000FD0">
            <w:pPr>
              <w:jc w:val="both"/>
              <w:rPr>
                <w:rFonts w:ascii="ITC Avant Garde" w:hAnsi="ITC Avant Garde"/>
                <w:szCs w:val="24"/>
              </w:rPr>
            </w:pPr>
          </w:p>
          <w:p w:rsidR="008A7193" w:rsidRPr="00F1388F" w:rsidRDefault="008A7193" w:rsidP="00000FD0">
            <w:pPr>
              <w:pStyle w:val="Sinespaciado"/>
              <w:rPr>
                <w:b/>
              </w:rPr>
            </w:pPr>
            <w:r w:rsidRPr="00F1388F">
              <w:rPr>
                <w:b/>
              </w:rPr>
              <w:t>Caso 1</w:t>
            </w:r>
          </w:p>
          <w:p w:rsidR="008A7193" w:rsidRDefault="008A7193" w:rsidP="00000FD0">
            <w:pPr>
              <w:pStyle w:val="Sinespaciado"/>
            </w:pPr>
            <w:r>
              <w:t>País o región analizado:</w:t>
            </w:r>
          </w:p>
          <w:p w:rsidR="008A7193" w:rsidRDefault="008A7193" w:rsidP="00000FD0">
            <w:pPr>
              <w:pStyle w:val="Sinespaciado"/>
            </w:pPr>
            <w:r>
              <w:t>Nombre de la regulación:</w:t>
            </w:r>
          </w:p>
          <w:p w:rsidR="008A7193" w:rsidRDefault="008A7193" w:rsidP="00000FD0">
            <w:pPr>
              <w:pStyle w:val="Sinespaciado"/>
            </w:pPr>
            <w:r>
              <w:t>Principales resultados:</w:t>
            </w:r>
          </w:p>
          <w:p w:rsidR="008A7193" w:rsidRDefault="008A7193" w:rsidP="00000FD0">
            <w:pPr>
              <w:pStyle w:val="Sinespaciado"/>
            </w:pPr>
            <w:r>
              <w:t>Referencia jurídica de emisión oficial:</w:t>
            </w:r>
          </w:p>
          <w:p w:rsidR="008A7193" w:rsidRDefault="008A7193" w:rsidP="00000FD0">
            <w:pPr>
              <w:pStyle w:val="Sinespaciado"/>
            </w:pPr>
            <w:r>
              <w:t>Vínculos electrónicos de identificación:</w:t>
            </w:r>
          </w:p>
          <w:p w:rsidR="008A7193" w:rsidRDefault="008A7193" w:rsidP="00000FD0">
            <w:pPr>
              <w:pStyle w:val="Sinespaciado"/>
            </w:pPr>
            <w:r>
              <w:t>Información adicional:</w:t>
            </w:r>
          </w:p>
          <w:p w:rsidR="008A7193" w:rsidRDefault="008A7193" w:rsidP="00000FD0">
            <w:pPr>
              <w:pStyle w:val="Sinespaciado"/>
            </w:pPr>
          </w:p>
          <w:p w:rsidR="008A7193" w:rsidRPr="00F1388F" w:rsidRDefault="008A7193" w:rsidP="00000FD0">
            <w:pPr>
              <w:pStyle w:val="Sinespaciado"/>
              <w:rPr>
                <w:b/>
              </w:rPr>
            </w:pPr>
            <w:r w:rsidRPr="00F1388F">
              <w:rPr>
                <w:b/>
              </w:rPr>
              <w:t>Caso 2</w:t>
            </w:r>
          </w:p>
          <w:p w:rsidR="008A7193" w:rsidRDefault="008A7193" w:rsidP="00000FD0">
            <w:pPr>
              <w:pStyle w:val="Sinespaciado"/>
            </w:pPr>
            <w:r>
              <w:t>País o región analizado:</w:t>
            </w:r>
          </w:p>
          <w:p w:rsidR="008A7193" w:rsidRDefault="008A7193" w:rsidP="00000FD0">
            <w:pPr>
              <w:pStyle w:val="Sinespaciado"/>
            </w:pPr>
            <w:r>
              <w:t>Nombre de la regulación:</w:t>
            </w:r>
          </w:p>
          <w:p w:rsidR="008A7193" w:rsidRDefault="008A7193" w:rsidP="00000FD0">
            <w:pPr>
              <w:pStyle w:val="Sinespaciado"/>
            </w:pPr>
            <w:r>
              <w:t>Principales resultados:</w:t>
            </w:r>
          </w:p>
          <w:p w:rsidR="008A7193" w:rsidRDefault="008A7193" w:rsidP="00000FD0">
            <w:pPr>
              <w:pStyle w:val="Sinespaciado"/>
            </w:pPr>
            <w:r>
              <w:t>Referencia jurídica de emisión oficial:</w:t>
            </w:r>
          </w:p>
          <w:p w:rsidR="008A7193" w:rsidRDefault="008A7193" w:rsidP="00000FD0">
            <w:pPr>
              <w:pStyle w:val="Sinespaciado"/>
            </w:pPr>
            <w:r>
              <w:t>Vínculos electrónicos de identificación:</w:t>
            </w:r>
          </w:p>
          <w:p w:rsidR="008A7193" w:rsidRPr="00330BA5" w:rsidRDefault="008A7193" w:rsidP="00000FD0">
            <w:pPr>
              <w:pStyle w:val="Sinespaciado"/>
              <w:rPr>
                <w:rFonts w:ascii="ITC Avant Garde" w:hAnsi="ITC Avant Garde"/>
                <w:sz w:val="24"/>
                <w:szCs w:val="24"/>
                <w:highlight w:val="yellow"/>
              </w:rPr>
            </w:pPr>
            <w:r>
              <w:t>Información adicional:</w:t>
            </w:r>
          </w:p>
        </w:tc>
      </w:tr>
    </w:tbl>
    <w:p w:rsidR="008A7193" w:rsidRPr="0046586C" w:rsidRDefault="008A7193" w:rsidP="008A7193">
      <w:pPr>
        <w:pStyle w:val="Sinespaciado"/>
        <w:rPr>
          <w:b/>
        </w:rPr>
      </w:pPr>
      <w:r w:rsidRPr="0046586C">
        <w:rPr>
          <w:b/>
        </w:rPr>
        <w:t>III. IMPACTO DE LA PROPUESTA DE REGULACIÓN.</w:t>
      </w:r>
    </w:p>
    <w:p w:rsidR="008A7193" w:rsidRPr="00330BA5" w:rsidRDefault="008A7193" w:rsidP="008A7193">
      <w:pPr>
        <w:jc w:val="both"/>
      </w:pPr>
    </w:p>
    <w:tbl>
      <w:tblPr>
        <w:tblStyle w:val="Cuadrculadetablaclara"/>
        <w:tblW w:w="0" w:type="auto"/>
        <w:tblLook w:val="04A0" w:firstRow="1" w:lastRow="0" w:firstColumn="1" w:lastColumn="0" w:noHBand="0" w:noVBand="1"/>
        <w:tblCaption w:val="Describa las obligaciones, conductas o acciones que deberán cumplirse a la entrada en vigor de la propuesta de regulación, incluyendo una justificación sobre la necesidad de las mismas."/>
        <w:tblDescription w:val="Tipo: sujetos, Obligados, Artículos aplicables y Justificación."/>
      </w:tblPr>
      <w:tblGrid>
        <w:gridCol w:w="8828"/>
      </w:tblGrid>
      <w:tr w:rsidR="008A7193" w:rsidRPr="00330BA5" w:rsidTr="00000FD0">
        <w:trPr>
          <w:tblHeader/>
        </w:trPr>
        <w:tc>
          <w:tcPr>
            <w:tcW w:w="8828" w:type="dxa"/>
          </w:tcPr>
          <w:p w:rsidR="008A7193" w:rsidRPr="00330BA5" w:rsidRDefault="008A7193" w:rsidP="00000FD0">
            <w:pPr>
              <w:jc w:val="both"/>
              <w:rPr>
                <w:b/>
              </w:rPr>
            </w:pPr>
            <w:r w:rsidRPr="00330BA5">
              <w:rPr>
                <w:b/>
              </w:rPr>
              <w:lastRenderedPageBreak/>
              <w:t>9.- Describa las obligaciones, conductas o acciones que deberán cumplirse a la entrada en vigor de la propuesta de regulación, incluyendo una justificación sobre la necesidad de las mismas.</w:t>
            </w:r>
          </w:p>
          <w:p w:rsidR="008A7193" w:rsidRPr="00330BA5" w:rsidRDefault="008A7193" w:rsidP="00000FD0">
            <w:pPr>
              <w:jc w:val="both"/>
              <w:rPr>
                <w:b/>
                <w:sz w:val="24"/>
                <w:szCs w:val="24"/>
              </w:rPr>
            </w:pPr>
            <w:r w:rsidRPr="00330BA5">
              <w:t>Por cada acción regulatoria, describa el o lo(s) sujeto(s) obligado(s), artículo(s) aplicable(s) de la propuesta de regulación, incluyendo, según sea el caso, la justificación técnica, económica o jurídica que corresponda.</w:t>
            </w:r>
          </w:p>
          <w:p w:rsidR="008A7193" w:rsidRPr="00330BA5" w:rsidRDefault="008A7193" w:rsidP="00000FD0">
            <w:pPr>
              <w:jc w:val="both"/>
              <w:rPr>
                <w:sz w:val="24"/>
                <w:szCs w:val="24"/>
              </w:rPr>
            </w:pPr>
          </w:p>
          <w:p w:rsidR="008A7193" w:rsidRDefault="008A7193" w:rsidP="00000FD0">
            <w:pPr>
              <w:pStyle w:val="Sinespaciado"/>
            </w:pPr>
            <w:r>
              <w:t>Tipo:</w:t>
            </w:r>
          </w:p>
          <w:p w:rsidR="008A7193" w:rsidRDefault="008A7193" w:rsidP="00000FD0">
            <w:pPr>
              <w:pStyle w:val="Sinespaciado"/>
            </w:pPr>
            <w:r>
              <w:t>Sujeto(s):</w:t>
            </w:r>
          </w:p>
          <w:p w:rsidR="008A7193" w:rsidRDefault="008A7193" w:rsidP="00000FD0">
            <w:pPr>
              <w:pStyle w:val="Sinespaciado"/>
            </w:pPr>
            <w:r>
              <w:t>Obligado(s):</w:t>
            </w:r>
          </w:p>
          <w:p w:rsidR="008A7193" w:rsidRDefault="008A7193" w:rsidP="00000FD0">
            <w:pPr>
              <w:pStyle w:val="Sinespaciado"/>
            </w:pPr>
            <w:r>
              <w:t>Artículo(s) aplicable(s):</w:t>
            </w:r>
          </w:p>
          <w:p w:rsidR="008A7193" w:rsidRPr="00330BA5" w:rsidRDefault="008A7193" w:rsidP="00000FD0">
            <w:pPr>
              <w:jc w:val="both"/>
              <w:rPr>
                <w:sz w:val="24"/>
                <w:szCs w:val="24"/>
              </w:rPr>
            </w:pPr>
            <w:r>
              <w:t>Justificación:</w:t>
            </w:r>
          </w:p>
        </w:tc>
      </w:tr>
    </w:tbl>
    <w:p w:rsidR="008A7193" w:rsidRDefault="008A7193" w:rsidP="008A7193">
      <w:pPr>
        <w:jc w:val="both"/>
      </w:pPr>
    </w:p>
    <w:tbl>
      <w:tblPr>
        <w:tblStyle w:val="Cuadrculadetablaclara"/>
        <w:tblW w:w="0" w:type="auto"/>
        <w:tblLook w:val="04A0" w:firstRow="1" w:lastRow="0" w:firstColumn="1" w:lastColumn="0" w:noHBand="0" w:noVBand="1"/>
        <w:tblCaption w:val="Señale y describa si la propuesta de regulación incidirá en la competencia, precios, calidad y disponibilidad, así como en el comercio nacional e internacional."/>
        <w:tblDescription w:val="Tipo de descripción de las posibles incidencias."/>
      </w:tblPr>
      <w:tblGrid>
        <w:gridCol w:w="9062"/>
      </w:tblGrid>
      <w:tr w:rsidR="008A7193" w:rsidTr="00000FD0">
        <w:trPr>
          <w:tblHeader/>
        </w:trPr>
        <w:tc>
          <w:tcPr>
            <w:tcW w:w="9062" w:type="dxa"/>
          </w:tcPr>
          <w:p w:rsidR="008A7193" w:rsidRPr="0023142E" w:rsidRDefault="008A7193" w:rsidP="00000FD0">
            <w:pPr>
              <w:pStyle w:val="Sinespaciado"/>
              <w:rPr>
                <w:b/>
              </w:rPr>
            </w:pPr>
            <w:r w:rsidRPr="0023142E">
              <w:rPr>
                <w:b/>
              </w:rPr>
              <w:t>10.- Señale y describa si la propuesta de regulación incidirá en la competencia, precios, calidad y disponibilidad, así como en el comercio nacional e internacional.</w:t>
            </w:r>
          </w:p>
          <w:p w:rsidR="008A7193" w:rsidRPr="0023142E" w:rsidRDefault="008A7193" w:rsidP="00000FD0">
            <w:pPr>
              <w:pStyle w:val="Sinespaciado"/>
              <w:rPr>
                <w:b/>
              </w:rPr>
            </w:pPr>
            <w:r w:rsidRPr="0023142E">
              <w:rPr>
                <w:b/>
              </w:rPr>
              <w:t>Seleccione todas las que resulten aplicables y agregue los apartados que considere necesarios:</w:t>
            </w:r>
          </w:p>
          <w:p w:rsidR="008A7193" w:rsidRPr="0023142E" w:rsidRDefault="008A7193" w:rsidP="00000FD0">
            <w:pPr>
              <w:pStyle w:val="Sinespaciado"/>
              <w:rPr>
                <w:b/>
              </w:rPr>
            </w:pPr>
            <w:r w:rsidRPr="0023142E">
              <w:rPr>
                <w:b/>
              </w:rPr>
              <w:t>Tipo:</w:t>
            </w:r>
          </w:p>
          <w:p w:rsidR="008A7193" w:rsidRDefault="008A7193" w:rsidP="00000FD0">
            <w:pPr>
              <w:pStyle w:val="Sinespaciado"/>
              <w:rPr>
                <w:rFonts w:asciiTheme="minorHAnsi" w:eastAsiaTheme="minorHAnsi" w:hAnsiTheme="minorHAnsi" w:cstheme="minorBidi"/>
              </w:rPr>
            </w:pPr>
            <w:r w:rsidRPr="0023142E">
              <w:t>Descripción de las posibles incidencias:</w:t>
            </w:r>
          </w:p>
        </w:tc>
      </w:tr>
    </w:tbl>
    <w:p w:rsidR="008A7193" w:rsidRPr="00330BA5" w:rsidRDefault="008A7193" w:rsidP="008A7193">
      <w:pPr>
        <w:jc w:val="both"/>
      </w:pPr>
    </w:p>
    <w:tbl>
      <w:tblPr>
        <w:tblStyle w:val="Cuadrculadetablaclara"/>
        <w:tblW w:w="0" w:type="auto"/>
        <w:tblLook w:val="04A0" w:firstRow="1" w:lastRow="0" w:firstColumn="1" w:lastColumn="0" w:noHBand="0" w:noVBand="1"/>
        <w:tblCaption w:val="Indique si la propuesta de regulación reforzará algún derecho de los consumidores, usuarios, audiencias, población indígena, grupos vulnerables y/o industria del sector de telecomunicaciones y radiodifusión."/>
      </w:tblPr>
      <w:tblGrid>
        <w:gridCol w:w="8828"/>
      </w:tblGrid>
      <w:tr w:rsidR="008A7193" w:rsidRPr="00330BA5" w:rsidTr="00000FD0">
        <w:trPr>
          <w:tblHeader/>
        </w:trPr>
        <w:tc>
          <w:tcPr>
            <w:tcW w:w="8828" w:type="dxa"/>
          </w:tcPr>
          <w:p w:rsidR="008A7193" w:rsidRPr="00330BA5" w:rsidRDefault="008A7193" w:rsidP="00000FD0">
            <w:pPr>
              <w:jc w:val="both"/>
            </w:pPr>
            <w:r w:rsidRPr="00330BA5">
              <w:rPr>
                <w:b/>
              </w:rPr>
              <w:t>11. Indique si la propuesta de regulación reforzará algún derecho de los consumidores, usuarios, audiencias, población indígena, grupos vulnerables y/o industria del sector de telecomunicaciones y radiodifusión.</w:t>
            </w:r>
          </w:p>
        </w:tc>
      </w:tr>
    </w:tbl>
    <w:tbl>
      <w:tblPr>
        <w:tblStyle w:val="Cuadrculadetablaclara"/>
        <w:tblpPr w:leftFromText="141" w:rightFromText="141" w:vertAnchor="text" w:horzAnchor="margin" w:tblpY="530"/>
        <w:tblW w:w="0" w:type="auto"/>
        <w:tblLook w:val="04A0" w:firstRow="1" w:lastRow="0" w:firstColumn="1" w:lastColumn="0" w:noHBand="0" w:noVBand="1"/>
        <w:tblCaption w:val="Indique si la propuesta de regulación reforzará algún derecho de los consumidores, usuarios, audiencias, población indígena, grupos vulnerables y/o industria del sector de telecomunicaciones y radiodifusión."/>
      </w:tblPr>
      <w:tblGrid>
        <w:gridCol w:w="8828"/>
      </w:tblGrid>
      <w:tr w:rsidR="008A7193" w:rsidRPr="00330BA5" w:rsidTr="00000FD0">
        <w:trPr>
          <w:tblHeader/>
        </w:trPr>
        <w:tc>
          <w:tcPr>
            <w:tcW w:w="8828" w:type="dxa"/>
          </w:tcPr>
          <w:p w:rsidR="008A7193" w:rsidRPr="00330BA5" w:rsidRDefault="008A7193" w:rsidP="00000FD0">
            <w:pPr>
              <w:jc w:val="both"/>
              <w:rPr>
                <w:b/>
              </w:rPr>
            </w:pPr>
            <w:r w:rsidRPr="00330BA5">
              <w:rPr>
                <w:b/>
              </w:rPr>
              <w:t>12.- Indique, por grupo de población, los costos y los beneficios más significativos derivados de la propuesta de regulación</w:t>
            </w:r>
            <w:r w:rsidRPr="00330BA5">
              <w:rPr>
                <w:b/>
                <w:vertAlign w:val="superscript"/>
              </w:rPr>
              <w:footnoteReference w:id="1"/>
            </w:r>
            <w:r w:rsidRPr="00330BA5">
              <w:rPr>
                <w:b/>
              </w:rPr>
              <w:t xml:space="preserve">. </w:t>
            </w:r>
          </w:p>
          <w:p w:rsidR="008A7193" w:rsidRPr="00330BA5" w:rsidRDefault="008A7193" w:rsidP="00000FD0">
            <w:pPr>
              <w:jc w:val="both"/>
            </w:pPr>
            <w:r w:rsidRPr="00330BA5">
              <w:t>Para la estimación cuantitativa, asigne un valor en pesos a las ganancias y pérdidas generadas con la regulación propuesta, especificando para cada tipo de población afectada. Si su argumentación es no cuantificable, indique las imposiciones o las eficiencias generadas con la regulación propuesta. Favor de agregar las filas que considere pertinentes.</w:t>
            </w:r>
          </w:p>
          <w:p w:rsidR="008A7193" w:rsidRPr="00330BA5" w:rsidRDefault="008A7193" w:rsidP="00000FD0">
            <w:pPr>
              <w:jc w:val="both"/>
              <w:rPr>
                <w:rFonts w:ascii="ITC Avant Garde" w:hAnsi="ITC Avant Garde"/>
                <w:szCs w:val="24"/>
              </w:rPr>
            </w:pPr>
          </w:p>
          <w:p w:rsidR="008A7193" w:rsidRPr="00E739A2" w:rsidRDefault="008A7193" w:rsidP="00000FD0">
            <w:pPr>
              <w:pStyle w:val="Sinespaciado"/>
              <w:rPr>
                <w:b/>
              </w:rPr>
            </w:pPr>
            <w:r w:rsidRPr="00E739A2">
              <w:rPr>
                <w:b/>
              </w:rPr>
              <w:t>Estimación Cuantitativa</w:t>
            </w:r>
          </w:p>
          <w:p w:rsidR="008A7193" w:rsidRPr="00E739A2" w:rsidRDefault="008A7193" w:rsidP="00000FD0">
            <w:pPr>
              <w:pStyle w:val="Sinespaciado"/>
              <w:rPr>
                <w:b/>
              </w:rPr>
            </w:pPr>
            <w:r w:rsidRPr="00E739A2">
              <w:rPr>
                <w:b/>
              </w:rPr>
              <w:t>Población:</w:t>
            </w:r>
          </w:p>
          <w:p w:rsidR="008A7193" w:rsidRPr="00E739A2" w:rsidRDefault="008A7193" w:rsidP="00000FD0">
            <w:pPr>
              <w:pStyle w:val="Sinespaciado"/>
              <w:rPr>
                <w:b/>
              </w:rPr>
            </w:pPr>
            <w:r w:rsidRPr="00E739A2">
              <w:rPr>
                <w:b/>
              </w:rPr>
              <w:t>Descripción:</w:t>
            </w:r>
          </w:p>
          <w:p w:rsidR="008A7193" w:rsidRPr="00E739A2" w:rsidRDefault="008A7193" w:rsidP="00000FD0">
            <w:pPr>
              <w:pStyle w:val="Sinespaciado"/>
            </w:pPr>
            <w:r w:rsidRPr="00E739A2">
              <w:t>Costos:</w:t>
            </w:r>
            <w:r w:rsidRPr="00E739A2">
              <w:tab/>
            </w:r>
            <w:r w:rsidRPr="00E739A2">
              <w:tab/>
              <w:t>Acumulado:</w:t>
            </w:r>
          </w:p>
          <w:p w:rsidR="008A7193" w:rsidRPr="00E739A2" w:rsidRDefault="008A7193" w:rsidP="00000FD0">
            <w:pPr>
              <w:pStyle w:val="Sinespaciado"/>
            </w:pPr>
            <w:r w:rsidRPr="00E739A2">
              <w:t>Beneficios:</w:t>
            </w:r>
            <w:r w:rsidRPr="00E739A2">
              <w:tab/>
              <w:t>Acumulado:</w:t>
            </w:r>
          </w:p>
          <w:p w:rsidR="008A7193" w:rsidRPr="00E739A2" w:rsidRDefault="008A7193" w:rsidP="00000FD0">
            <w:pPr>
              <w:pStyle w:val="Sinespaciado"/>
            </w:pPr>
            <w:r w:rsidRPr="00E739A2">
              <w:t>Beneficio Neto:</w:t>
            </w:r>
            <w:r w:rsidRPr="00E739A2">
              <w:tab/>
            </w:r>
            <w:r w:rsidRPr="00E739A2">
              <w:tab/>
              <w:t>Total:</w:t>
            </w:r>
          </w:p>
          <w:p w:rsidR="008A7193" w:rsidRPr="00E739A2" w:rsidRDefault="008A7193" w:rsidP="00000FD0">
            <w:pPr>
              <w:jc w:val="both"/>
              <w:rPr>
                <w:b/>
              </w:rPr>
            </w:pPr>
          </w:p>
          <w:p w:rsidR="008A7193" w:rsidRPr="00E739A2" w:rsidRDefault="008A7193" w:rsidP="00000FD0">
            <w:pPr>
              <w:pStyle w:val="Sinespaciado"/>
              <w:rPr>
                <w:b/>
              </w:rPr>
            </w:pPr>
            <w:r w:rsidRPr="00E739A2">
              <w:rPr>
                <w:b/>
              </w:rPr>
              <w:t>Estimación Cualitativa</w:t>
            </w:r>
          </w:p>
          <w:p w:rsidR="008A7193" w:rsidRPr="0023142E" w:rsidRDefault="008A7193" w:rsidP="00000FD0">
            <w:pPr>
              <w:pStyle w:val="Sinespaciado"/>
            </w:pPr>
            <w:r w:rsidRPr="0023142E">
              <w:t>Población:</w:t>
            </w:r>
          </w:p>
          <w:p w:rsidR="008A7193" w:rsidRPr="0023142E" w:rsidRDefault="008A7193" w:rsidP="00000FD0">
            <w:pPr>
              <w:pStyle w:val="Sinespaciado"/>
            </w:pPr>
            <w:r w:rsidRPr="0023142E">
              <w:t>Costos:</w:t>
            </w:r>
          </w:p>
          <w:p w:rsidR="008A7193" w:rsidRPr="00330BA5" w:rsidRDefault="008A7193" w:rsidP="00000FD0">
            <w:pPr>
              <w:pStyle w:val="Sinespaciado"/>
              <w:rPr>
                <w:rFonts w:ascii="ITC Avant Garde" w:hAnsi="ITC Avant Garde"/>
                <w:sz w:val="24"/>
                <w:szCs w:val="24"/>
              </w:rPr>
            </w:pPr>
            <w:r w:rsidRPr="0023142E">
              <w:t>Beneficios:</w:t>
            </w:r>
          </w:p>
        </w:tc>
      </w:tr>
    </w:tbl>
    <w:p w:rsidR="008A7193" w:rsidRPr="00330BA5" w:rsidRDefault="008A7193" w:rsidP="008A7193">
      <w:pPr>
        <w:jc w:val="both"/>
      </w:pPr>
    </w:p>
    <w:p w:rsidR="008A7193" w:rsidRDefault="008A7193" w:rsidP="008A7193">
      <w:pPr>
        <w:jc w:val="both"/>
      </w:pPr>
    </w:p>
    <w:p w:rsidR="008A7193" w:rsidRPr="00E739A2" w:rsidRDefault="008A7193" w:rsidP="008A7193">
      <w:pPr>
        <w:jc w:val="both"/>
        <w:rPr>
          <w:b/>
        </w:rPr>
      </w:pPr>
      <w:r w:rsidRPr="00E739A2">
        <w:rPr>
          <w:b/>
        </w:rPr>
        <w:t>IV. CUMPLIMIENTO, APLICACIÓN Y EVALUACIÓN DE LA PROPUESTA DE REGULACIÓN.</w:t>
      </w:r>
    </w:p>
    <w:tbl>
      <w:tblPr>
        <w:tblStyle w:val="Cuadrculadetablaclara"/>
        <w:tblW w:w="0" w:type="auto"/>
        <w:tblLook w:val="04A0" w:firstRow="1" w:lastRow="0" w:firstColumn="1" w:lastColumn="0" w:noHBand="0" w:noVBand="1"/>
        <w:tblCaption w:val=" Describa los recursos materiales y humanos que se utilizarán para la aplicación de la propuesta de regulación."/>
        <w:tblDescription w:val="Tipo:&#10;Descripción:&#10;Cantidad:&#10;"/>
      </w:tblPr>
      <w:tblGrid>
        <w:gridCol w:w="8828"/>
      </w:tblGrid>
      <w:tr w:rsidR="008A7193" w:rsidRPr="00330BA5" w:rsidTr="00000FD0">
        <w:trPr>
          <w:tblHeader/>
        </w:trPr>
        <w:tc>
          <w:tcPr>
            <w:tcW w:w="8828" w:type="dxa"/>
          </w:tcPr>
          <w:p w:rsidR="008A7193" w:rsidRPr="00330BA5" w:rsidRDefault="008A7193" w:rsidP="00000FD0">
            <w:pPr>
              <w:jc w:val="both"/>
              <w:rPr>
                <w:b/>
              </w:rPr>
            </w:pPr>
            <w:r w:rsidRPr="00330BA5">
              <w:rPr>
                <w:b/>
              </w:rPr>
              <w:t>13.- Describa los recursos materiales y humanos que se utilizarán para la aplicación de la propuesta de regulación.</w:t>
            </w:r>
          </w:p>
          <w:p w:rsidR="008A7193" w:rsidRPr="00330BA5" w:rsidRDefault="008A7193" w:rsidP="00000FD0">
            <w:pPr>
              <w:jc w:val="both"/>
              <w:rPr>
                <w:highlight w:val="yellow"/>
              </w:rPr>
            </w:pPr>
            <w:r w:rsidRPr="00330BA5">
              <w:t>Seleccione los aplicables. Favor de agregar las filas que considere pertinentes.</w:t>
            </w:r>
          </w:p>
          <w:p w:rsidR="008A7193" w:rsidRPr="00E739A2" w:rsidRDefault="008A7193" w:rsidP="00000FD0">
            <w:pPr>
              <w:jc w:val="both"/>
              <w:rPr>
                <w:b/>
              </w:rPr>
            </w:pPr>
            <w:r w:rsidRPr="00E739A2">
              <w:rPr>
                <w:b/>
              </w:rPr>
              <w:t>Tipo:</w:t>
            </w:r>
          </w:p>
          <w:p w:rsidR="008A7193" w:rsidRPr="00E739A2" w:rsidRDefault="008A7193" w:rsidP="00000FD0">
            <w:pPr>
              <w:jc w:val="both"/>
              <w:rPr>
                <w:b/>
              </w:rPr>
            </w:pPr>
            <w:r w:rsidRPr="00E739A2">
              <w:rPr>
                <w:b/>
              </w:rPr>
              <w:t>Descripción:</w:t>
            </w:r>
          </w:p>
          <w:p w:rsidR="008A7193" w:rsidRPr="00E739A2" w:rsidRDefault="008A7193" w:rsidP="00000FD0">
            <w:pPr>
              <w:jc w:val="both"/>
              <w:rPr>
                <w:b/>
              </w:rPr>
            </w:pPr>
            <w:r w:rsidRPr="00E739A2">
              <w:rPr>
                <w:b/>
              </w:rPr>
              <w:t>Cantidad:</w:t>
            </w:r>
          </w:p>
          <w:p w:rsidR="008A7193" w:rsidRPr="00330BA5" w:rsidRDefault="008A7193" w:rsidP="00000FD0">
            <w:pPr>
              <w:jc w:val="both"/>
              <w:rPr>
                <w:b/>
              </w:rPr>
            </w:pPr>
          </w:p>
          <w:p w:rsidR="008A7193" w:rsidRPr="00330BA5" w:rsidRDefault="008A7193" w:rsidP="00000FD0">
            <w:pPr>
              <w:jc w:val="both"/>
              <w:rPr>
                <w:b/>
              </w:rPr>
            </w:pPr>
            <w:r w:rsidRPr="00330BA5">
              <w:rPr>
                <w:b/>
              </w:rPr>
              <w:t xml:space="preserve">13.1- Describa los mecanismos que la propuesta de regulación contiene para asegurar su cumplimiento, eficiencia y efectividad. </w:t>
            </w:r>
          </w:p>
          <w:p w:rsidR="008A7193" w:rsidRPr="00330BA5" w:rsidRDefault="008A7193" w:rsidP="00000FD0">
            <w:pPr>
              <w:jc w:val="both"/>
            </w:pPr>
            <w:r w:rsidRPr="00330BA5">
              <w:t>Seleccione los aplicables y, en su caso, enuncie los otros mecanismos a utilizar. Favor de agregar las filas que considere pertinentes.</w:t>
            </w:r>
          </w:p>
          <w:p w:rsidR="008A7193" w:rsidRPr="00330BA5" w:rsidRDefault="008A7193" w:rsidP="00000FD0">
            <w:pPr>
              <w:jc w:val="both"/>
              <w:rPr>
                <w:sz w:val="24"/>
                <w:szCs w:val="24"/>
              </w:rPr>
            </w:pPr>
          </w:p>
          <w:p w:rsidR="008A7193" w:rsidRPr="0023142E" w:rsidRDefault="008A7193" w:rsidP="00000FD0">
            <w:pPr>
              <w:pStyle w:val="Sinespaciado"/>
              <w:rPr>
                <w:b/>
              </w:rPr>
            </w:pPr>
            <w:r w:rsidRPr="0023142E">
              <w:rPr>
                <w:b/>
              </w:rPr>
              <w:t>Tipo:</w:t>
            </w:r>
          </w:p>
          <w:p w:rsidR="008A7193" w:rsidRPr="0023142E" w:rsidRDefault="008A7193" w:rsidP="00000FD0">
            <w:pPr>
              <w:pStyle w:val="Sinespaciado"/>
              <w:rPr>
                <w:b/>
              </w:rPr>
            </w:pPr>
            <w:r w:rsidRPr="0023142E">
              <w:rPr>
                <w:b/>
              </w:rPr>
              <w:t>Descripción:</w:t>
            </w:r>
          </w:p>
          <w:p w:rsidR="008A7193" w:rsidRPr="00330BA5" w:rsidRDefault="008A7193" w:rsidP="00000FD0">
            <w:pPr>
              <w:pStyle w:val="Sinespaciado"/>
              <w:rPr>
                <w:b/>
                <w:sz w:val="24"/>
                <w:szCs w:val="24"/>
              </w:rPr>
            </w:pPr>
            <w:r w:rsidRPr="0023142E">
              <w:rPr>
                <w:b/>
              </w:rPr>
              <w:t>Describa los recursos económicos, materiales y humanos que se emplearán para cada tipo:</w:t>
            </w:r>
          </w:p>
        </w:tc>
      </w:tr>
    </w:tbl>
    <w:p w:rsidR="008A7193" w:rsidRPr="00330BA5" w:rsidRDefault="008A7193" w:rsidP="008A7193">
      <w:pPr>
        <w:jc w:val="both"/>
      </w:pPr>
    </w:p>
    <w:tbl>
      <w:tblPr>
        <w:tblStyle w:val="Cuadrculadetablaclara"/>
        <w:tblW w:w="0" w:type="auto"/>
        <w:tblLook w:val="04A0" w:firstRow="1" w:lastRow="0" w:firstColumn="1" w:lastColumn="0" w:noHBand="0" w:noVBand="1"/>
        <w:tblCaption w:val="Explique los métodos que se podrían utilizar para evaluar la implementación de la propuesta de regulación."/>
        <w:tblDescription w:val="&#10;Método:&#10;Periodo Evaluador:&#10;Descripción:&#10;"/>
      </w:tblPr>
      <w:tblGrid>
        <w:gridCol w:w="8828"/>
      </w:tblGrid>
      <w:tr w:rsidR="008A7193" w:rsidRPr="00330BA5" w:rsidTr="00000FD0">
        <w:trPr>
          <w:tblHeader/>
        </w:trPr>
        <w:tc>
          <w:tcPr>
            <w:tcW w:w="8828" w:type="dxa"/>
          </w:tcPr>
          <w:p w:rsidR="008A7193" w:rsidRPr="0023142E" w:rsidRDefault="008A7193" w:rsidP="00000FD0">
            <w:pPr>
              <w:pStyle w:val="Sinespaciado"/>
              <w:rPr>
                <w:b/>
              </w:rPr>
            </w:pPr>
            <w:r w:rsidRPr="00330BA5">
              <w:rPr>
                <w:sz w:val="24"/>
                <w:szCs w:val="24"/>
              </w:rPr>
              <w:br w:type="page"/>
            </w:r>
            <w:r w:rsidRPr="00330BA5">
              <w:rPr>
                <w:sz w:val="24"/>
                <w:szCs w:val="24"/>
              </w:rPr>
              <w:br w:type="page"/>
            </w:r>
            <w:r w:rsidRPr="0023142E">
              <w:rPr>
                <w:b/>
              </w:rPr>
              <w:t>14.- Explique los métodos que se podrían utilizar para evaluar la implementación de la propuesta de regulación.</w:t>
            </w:r>
          </w:p>
          <w:p w:rsidR="008A7193" w:rsidRPr="00330BA5" w:rsidRDefault="008A7193" w:rsidP="00000FD0">
            <w:pPr>
              <w:pStyle w:val="Sinespaciado"/>
            </w:pPr>
            <w:r w:rsidRPr="00330BA5">
              <w:t>Seleccione el método aplicable y, en su caso, enuncie los otros mecanismos de evaluación a utilizar. Favor de agregar las filas que considere pertinentes.</w:t>
            </w:r>
          </w:p>
          <w:p w:rsidR="008A7193" w:rsidRPr="00330BA5" w:rsidRDefault="008A7193" w:rsidP="00000FD0">
            <w:pPr>
              <w:pStyle w:val="Sinespaciado"/>
              <w:rPr>
                <w:sz w:val="24"/>
                <w:szCs w:val="24"/>
                <w:highlight w:val="yellow"/>
              </w:rPr>
            </w:pPr>
          </w:p>
          <w:p w:rsidR="008A7193" w:rsidRPr="0023142E" w:rsidRDefault="008A7193" w:rsidP="00000FD0">
            <w:pPr>
              <w:pStyle w:val="Sinespaciado"/>
              <w:rPr>
                <w:b/>
              </w:rPr>
            </w:pPr>
            <w:r w:rsidRPr="0023142E">
              <w:rPr>
                <w:b/>
              </w:rPr>
              <w:t>Método:</w:t>
            </w:r>
          </w:p>
          <w:p w:rsidR="008A7193" w:rsidRPr="0023142E" w:rsidRDefault="008A7193" w:rsidP="00000FD0">
            <w:pPr>
              <w:pStyle w:val="Sinespaciado"/>
              <w:rPr>
                <w:b/>
              </w:rPr>
            </w:pPr>
            <w:r w:rsidRPr="0023142E">
              <w:rPr>
                <w:b/>
              </w:rPr>
              <w:t>Periodo</w:t>
            </w:r>
            <w:r w:rsidRPr="0023142E">
              <w:rPr>
                <w:b/>
              </w:rPr>
              <w:tab/>
              <w:t>Evaluador:</w:t>
            </w:r>
          </w:p>
          <w:p w:rsidR="008A7193" w:rsidRPr="0023142E" w:rsidRDefault="008A7193" w:rsidP="00000FD0">
            <w:pPr>
              <w:pStyle w:val="Sinespaciado"/>
              <w:rPr>
                <w:b/>
              </w:rPr>
            </w:pPr>
            <w:r w:rsidRPr="0023142E">
              <w:rPr>
                <w:b/>
              </w:rPr>
              <w:t>Descripción:</w:t>
            </w:r>
          </w:p>
          <w:p w:rsidR="008A7193" w:rsidRPr="00330BA5" w:rsidRDefault="008A7193" w:rsidP="00000FD0">
            <w:pPr>
              <w:pStyle w:val="Sinespaciado"/>
              <w:rPr>
                <w:sz w:val="24"/>
                <w:szCs w:val="24"/>
                <w:highlight w:val="yellow"/>
              </w:rPr>
            </w:pPr>
          </w:p>
          <w:p w:rsidR="008A7193" w:rsidRPr="00330BA5" w:rsidRDefault="008A7193" w:rsidP="00000FD0">
            <w:pPr>
              <w:pStyle w:val="Sinespaciado"/>
              <w:rPr>
                <w:szCs w:val="24"/>
              </w:rPr>
            </w:pPr>
            <w:r w:rsidRPr="00330BA5">
              <w:rPr>
                <w:szCs w:val="24"/>
              </w:rPr>
              <w:t>Señale si la propuesta de regulación podría ser evaluada con la construcción de un indicador o con la utilización de una variable estadística determinada, así como su intervalo de revisión</w:t>
            </w:r>
            <w:r w:rsidRPr="00330BA5">
              <w:rPr>
                <w:szCs w:val="24"/>
                <w:vertAlign w:val="superscript"/>
              </w:rPr>
              <w:footnoteReference w:id="2"/>
            </w:r>
            <w:r w:rsidRPr="00330BA5">
              <w:rPr>
                <w:szCs w:val="24"/>
              </w:rPr>
              <w:t>. Favor de agregar las filas que considere pertinentes.</w:t>
            </w:r>
          </w:p>
          <w:p w:rsidR="008A7193" w:rsidRPr="00330BA5" w:rsidRDefault="008A7193" w:rsidP="00000FD0">
            <w:pPr>
              <w:pStyle w:val="Sinespaciado"/>
              <w:rPr>
                <w:sz w:val="24"/>
                <w:szCs w:val="24"/>
                <w:highlight w:val="yellow"/>
              </w:rPr>
            </w:pPr>
          </w:p>
          <w:p w:rsidR="008A7193" w:rsidRPr="0023142E" w:rsidRDefault="008A7193" w:rsidP="00000FD0">
            <w:pPr>
              <w:pStyle w:val="Sinespaciado"/>
              <w:rPr>
                <w:b/>
              </w:rPr>
            </w:pPr>
            <w:r w:rsidRPr="0023142E">
              <w:rPr>
                <w:b/>
              </w:rPr>
              <w:t>Indicador / variable:</w:t>
            </w:r>
          </w:p>
          <w:p w:rsidR="008A7193" w:rsidRPr="0023142E" w:rsidRDefault="008A7193" w:rsidP="00000FD0">
            <w:pPr>
              <w:pStyle w:val="Sinespaciado"/>
              <w:rPr>
                <w:b/>
              </w:rPr>
            </w:pPr>
            <w:r w:rsidRPr="0023142E">
              <w:rPr>
                <w:b/>
              </w:rPr>
              <w:t>Intervalo:</w:t>
            </w:r>
          </w:p>
          <w:p w:rsidR="008A7193" w:rsidRPr="00330BA5" w:rsidRDefault="008A7193" w:rsidP="00000FD0">
            <w:pPr>
              <w:pStyle w:val="Sinespaciado"/>
              <w:rPr>
                <w:sz w:val="24"/>
                <w:szCs w:val="24"/>
              </w:rPr>
            </w:pPr>
            <w:r w:rsidRPr="0023142E">
              <w:rPr>
                <w:b/>
              </w:rPr>
              <w:t>Interpretación:</w:t>
            </w:r>
          </w:p>
        </w:tc>
      </w:tr>
    </w:tbl>
    <w:p w:rsidR="008A7193" w:rsidRPr="00330BA5" w:rsidRDefault="008A7193" w:rsidP="008A7193">
      <w:pPr>
        <w:jc w:val="both"/>
      </w:pPr>
    </w:p>
    <w:p w:rsidR="008A7193" w:rsidRPr="0023142E" w:rsidRDefault="008A7193" w:rsidP="008A7193">
      <w:pPr>
        <w:jc w:val="both"/>
        <w:rPr>
          <w:b/>
        </w:rPr>
      </w:pPr>
      <w:r w:rsidRPr="0023142E">
        <w:rPr>
          <w:b/>
        </w:rPr>
        <w:t>V. CONSULTA PÚBLICA DE LA PROPUESTA DE REGULACIÓN O DE ASUNTOS RELACIONADOS CON LA MISMA.</w:t>
      </w:r>
    </w:p>
    <w:tbl>
      <w:tblPr>
        <w:tblStyle w:val="Cuadrculadetablaclara"/>
        <w:tblW w:w="0" w:type="auto"/>
        <w:tblLook w:val="04A0" w:firstRow="1" w:lastRow="0" w:firstColumn="1" w:lastColumn="0" w:noHBand="0" w:noVBand="1"/>
        <w:tblCaption w:val="Solo en los casos una consulta pública de integración o de evaluación para la elaboración de una propuesta de regulación, seleccione y detalle . Favor de agregar las filas que considere pertinentes."/>
        <w:tblDescription w:val="Tipo de Consulta Pública realizada:&#10;Medios:&#10;Participante(s):&#10;Fecha:&#10;Principales aportaciones:&#10;"/>
      </w:tblPr>
      <w:tblGrid>
        <w:gridCol w:w="8828"/>
      </w:tblGrid>
      <w:tr w:rsidR="008A7193" w:rsidRPr="003F703E" w:rsidTr="00000FD0">
        <w:trPr>
          <w:tblHeader/>
        </w:trPr>
        <w:tc>
          <w:tcPr>
            <w:tcW w:w="8828" w:type="dxa"/>
          </w:tcPr>
          <w:p w:rsidR="008A7193" w:rsidRPr="003F703E" w:rsidRDefault="008A7193" w:rsidP="00000FD0">
            <w:pPr>
              <w:jc w:val="both"/>
              <w:rPr>
                <w:b/>
                <w:sz w:val="24"/>
                <w:szCs w:val="24"/>
              </w:rPr>
            </w:pPr>
            <w:r w:rsidRPr="003F703E">
              <w:rPr>
                <w:b/>
              </w:rPr>
              <w:lastRenderedPageBreak/>
              <w:t>15.- Solo en los casos una consulta pública de integración o de evaluación para la elaboración de una propuesta de regulación, seleccione y detalle</w:t>
            </w:r>
            <w:r w:rsidRPr="003F703E">
              <w:rPr>
                <w:b/>
                <w:vertAlign w:val="superscript"/>
              </w:rPr>
              <w:footnoteReference w:id="3"/>
            </w:r>
            <w:r w:rsidRPr="003F703E">
              <w:rPr>
                <w:b/>
              </w:rPr>
              <w:t>. Favor de agregar las filas que considere pertinentes.</w:t>
            </w:r>
          </w:p>
          <w:p w:rsidR="008A7193" w:rsidRPr="003F703E" w:rsidRDefault="008A7193" w:rsidP="00000FD0">
            <w:pPr>
              <w:jc w:val="both"/>
              <w:rPr>
                <w:sz w:val="24"/>
                <w:szCs w:val="24"/>
              </w:rPr>
            </w:pPr>
          </w:p>
          <w:p w:rsidR="008A7193" w:rsidRPr="0023142E" w:rsidRDefault="008A7193" w:rsidP="00000FD0">
            <w:pPr>
              <w:jc w:val="both"/>
              <w:rPr>
                <w:b/>
              </w:rPr>
            </w:pPr>
            <w:r w:rsidRPr="0023142E">
              <w:rPr>
                <w:b/>
              </w:rPr>
              <w:t>Tipo de Consulta Pública realizada</w:t>
            </w:r>
            <w:r>
              <w:rPr>
                <w:b/>
              </w:rPr>
              <w:t>:</w:t>
            </w:r>
          </w:p>
          <w:p w:rsidR="008A7193" w:rsidRPr="0023142E" w:rsidRDefault="008A7193" w:rsidP="00000FD0">
            <w:pPr>
              <w:jc w:val="both"/>
            </w:pPr>
            <w:r w:rsidRPr="0023142E">
              <w:t>Medios:</w:t>
            </w:r>
          </w:p>
          <w:p w:rsidR="008A7193" w:rsidRPr="0023142E" w:rsidRDefault="008A7193" w:rsidP="00000FD0">
            <w:pPr>
              <w:jc w:val="both"/>
            </w:pPr>
            <w:r w:rsidRPr="0023142E">
              <w:t>Participante(s):</w:t>
            </w:r>
          </w:p>
          <w:p w:rsidR="008A7193" w:rsidRPr="0023142E" w:rsidRDefault="008A7193" w:rsidP="00000FD0">
            <w:pPr>
              <w:jc w:val="both"/>
            </w:pPr>
            <w:r w:rsidRPr="0023142E">
              <w:t>Fecha:</w:t>
            </w:r>
          </w:p>
          <w:p w:rsidR="008A7193" w:rsidRPr="0023142E" w:rsidRDefault="008A7193" w:rsidP="00000FD0">
            <w:pPr>
              <w:jc w:val="both"/>
            </w:pPr>
            <w:r w:rsidRPr="0023142E">
              <w:t>Principales aportaciones:</w:t>
            </w:r>
          </w:p>
          <w:p w:rsidR="008A7193" w:rsidRPr="003F703E" w:rsidRDefault="008A7193" w:rsidP="00000FD0">
            <w:pPr>
              <w:jc w:val="both"/>
              <w:rPr>
                <w:sz w:val="24"/>
                <w:szCs w:val="24"/>
              </w:rPr>
            </w:pPr>
          </w:p>
        </w:tc>
      </w:tr>
    </w:tbl>
    <w:p w:rsidR="008A7193" w:rsidRDefault="008A7193" w:rsidP="008A7193">
      <w:pPr>
        <w:jc w:val="both"/>
      </w:pPr>
    </w:p>
    <w:p w:rsidR="008A7193" w:rsidRPr="0023142E" w:rsidRDefault="008A7193" w:rsidP="008A7193">
      <w:pPr>
        <w:jc w:val="both"/>
        <w:rPr>
          <w:b/>
        </w:rPr>
      </w:pPr>
      <w:r w:rsidRPr="0023142E">
        <w:rPr>
          <w:b/>
        </w:rPr>
        <w:t>VI. BIBLIOGRAFÍA O REFERENCIAS DE CUALQUIER ÍNDOLE QUE SE HAYAN UTILIZADO EN LA ELABORACIÓN DE LA PROPUESTA DE REGULACIÓN.</w:t>
      </w:r>
    </w:p>
    <w:tbl>
      <w:tblPr>
        <w:tblStyle w:val="Cuadrculadetablaclara"/>
        <w:tblW w:w="0" w:type="auto"/>
        <w:tblLook w:val="04A0" w:firstRow="1" w:lastRow="0" w:firstColumn="1" w:lastColumn="0" w:noHBand="0" w:noVBand="1"/>
        <w:tblCaption w:val="BIBLIOGRAFÍA O REFERENCIAS DE CUALQUIER ÍNDOLE QUE SE HAYAN UTILIZADO EN LA ELABORACIÓN DE LA PROPUESTA DE REGULACIÓN."/>
        <w:tblDescription w:val="Enumere las fuentes académicas, científicas, de asociaciones, instituciones privadas o públicas, internacionales o gubernamentales consultadas en la elaboración de la propuesta de regulación:&#10;"/>
      </w:tblPr>
      <w:tblGrid>
        <w:gridCol w:w="8990"/>
      </w:tblGrid>
      <w:tr w:rsidR="008A7193" w:rsidRPr="00330BA5" w:rsidTr="00000FD0">
        <w:trPr>
          <w:trHeight w:val="468"/>
          <w:tblHeader/>
        </w:trPr>
        <w:tc>
          <w:tcPr>
            <w:tcW w:w="8990" w:type="dxa"/>
          </w:tcPr>
          <w:p w:rsidR="008A7193" w:rsidRPr="00330BA5" w:rsidRDefault="008A7193" w:rsidP="00000FD0">
            <w:pPr>
              <w:jc w:val="both"/>
              <w:rPr>
                <w:b/>
                <w:sz w:val="24"/>
                <w:szCs w:val="24"/>
              </w:rPr>
            </w:pPr>
            <w:r w:rsidRPr="00330BA5">
              <w:rPr>
                <w:b/>
              </w:rPr>
              <w:t>16.- Enumere las fuentes académicas, científicas, de asociaciones, instituciones privadas o públicas, internacionales o gubernamentales consultadas en la elaboración de la propuesta de regulación</w:t>
            </w:r>
            <w:r w:rsidRPr="00330BA5">
              <w:rPr>
                <w:b/>
                <w:sz w:val="24"/>
                <w:szCs w:val="24"/>
              </w:rPr>
              <w:t>:</w:t>
            </w:r>
          </w:p>
          <w:p w:rsidR="008A7193" w:rsidRPr="00330BA5" w:rsidRDefault="008A7193" w:rsidP="00000FD0">
            <w:pPr>
              <w:jc w:val="both"/>
              <w:rPr>
                <w:sz w:val="24"/>
                <w:szCs w:val="24"/>
              </w:rPr>
            </w:pPr>
          </w:p>
        </w:tc>
      </w:tr>
    </w:tbl>
    <w:p w:rsidR="008A7193" w:rsidRDefault="008A7193" w:rsidP="008A7193">
      <w:pPr>
        <w:jc w:val="both"/>
        <w:rPr>
          <w:b/>
        </w:rPr>
      </w:pPr>
    </w:p>
    <w:p w:rsidR="008A7193" w:rsidRPr="0006478F" w:rsidRDefault="008A7193" w:rsidP="008A7193">
      <w:pPr>
        <w:jc w:val="both"/>
        <w:rPr>
          <w:b/>
        </w:rPr>
      </w:pPr>
      <w:r w:rsidRPr="0006478F">
        <w:rPr>
          <w:b/>
        </w:rPr>
        <w:t>III. FUENTE CONSULTADAS, ANEXOS O CUALQUIER OTRA DOCUMENTACIÓN DE INTERÉS.</w:t>
      </w:r>
    </w:p>
    <w:tbl>
      <w:tblPr>
        <w:tblStyle w:val="Cuadrculadetablaclara"/>
        <w:tblW w:w="0" w:type="auto"/>
        <w:tblLook w:val="04A0" w:firstRow="1" w:lastRow="0" w:firstColumn="1" w:lastColumn="0" w:noHBand="0" w:noVBand="1"/>
        <w:tblCaption w:val="FUENTE CONSULTADAS, ANEXOS O CUALQUIER OTRA DOCUMENTACIÓN DE INTERÉS."/>
        <w:tblDescription w:val="Enliste los datos bibliográficos o las direcciones electrónicas consultadas para el diseño y redacción de la propuesta de regulación, así como cualquier otra documentación que se considere de interés.&#10;"/>
      </w:tblPr>
      <w:tblGrid>
        <w:gridCol w:w="8828"/>
      </w:tblGrid>
      <w:tr w:rsidR="008A7193" w:rsidTr="00000FD0">
        <w:trPr>
          <w:tblHeader/>
        </w:trPr>
        <w:tc>
          <w:tcPr>
            <w:tcW w:w="8828" w:type="dxa"/>
          </w:tcPr>
          <w:p w:rsidR="008A7193" w:rsidRDefault="008A7193" w:rsidP="00000FD0">
            <w:pPr>
              <w:jc w:val="both"/>
            </w:pPr>
            <w:r>
              <w:rPr>
                <w:b/>
              </w:rPr>
              <w:t>6</w:t>
            </w:r>
            <w:r w:rsidRPr="0006478F">
              <w:rPr>
                <w:b/>
              </w:rPr>
              <w:t xml:space="preserve">.- Enliste los datos bibliográficos o las direcciones electrónicas consultadas para el diseño y redacción </w:t>
            </w:r>
            <w:r>
              <w:rPr>
                <w:b/>
              </w:rPr>
              <w:t>de la propuesta</w:t>
            </w:r>
            <w:r w:rsidRPr="0006478F">
              <w:rPr>
                <w:b/>
              </w:rPr>
              <w:t xml:space="preserve"> de regulación, así como cualquier otra documentación que se considere de interés.</w:t>
            </w:r>
          </w:p>
        </w:tc>
      </w:tr>
    </w:tbl>
    <w:p w:rsidR="008E6A30" w:rsidRDefault="008E6A30" w:rsidP="008A7193">
      <w:bookmarkStart w:id="0" w:name="_GoBack"/>
      <w:bookmarkEnd w:id="0"/>
    </w:p>
    <w:sectPr w:rsidR="008E6A30" w:rsidSect="00556DEE">
      <w:pgSz w:w="12240" w:h="15840"/>
      <w:pgMar w:top="1985" w:right="175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193" w:rsidRDefault="008A7193" w:rsidP="008A7193">
      <w:pPr>
        <w:spacing w:after="0" w:line="240" w:lineRule="auto"/>
      </w:pPr>
      <w:r>
        <w:separator/>
      </w:r>
    </w:p>
  </w:endnote>
  <w:endnote w:type="continuationSeparator" w:id="0">
    <w:p w:rsidR="008A7193" w:rsidRDefault="008A7193" w:rsidP="008A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048997"/>
      <w:docPartObj>
        <w:docPartGallery w:val="Page Numbers (Bottom of Page)"/>
        <w:docPartUnique/>
      </w:docPartObj>
    </w:sdtPr>
    <w:sdtEndPr>
      <w:rPr>
        <w:rFonts w:ascii="ITC Avant Garde" w:hAnsi="ITC Avant Garde"/>
        <w:sz w:val="18"/>
        <w:szCs w:val="18"/>
      </w:rPr>
    </w:sdtEndPr>
    <w:sdtContent>
      <w:p w:rsidR="008A7193" w:rsidRPr="003F596E" w:rsidRDefault="008A7193">
        <w:pPr>
          <w:pStyle w:val="Piedepgina"/>
          <w:jc w:val="right"/>
          <w:rPr>
            <w:rFonts w:ascii="ITC Avant Garde" w:hAnsi="ITC Avant Garde"/>
            <w:sz w:val="18"/>
            <w:szCs w:val="18"/>
          </w:rPr>
        </w:pPr>
        <w:r w:rsidRPr="003F596E">
          <w:rPr>
            <w:rFonts w:ascii="ITC Avant Garde" w:hAnsi="ITC Avant Garde"/>
            <w:sz w:val="18"/>
            <w:szCs w:val="18"/>
          </w:rPr>
          <w:fldChar w:fldCharType="begin"/>
        </w:r>
        <w:r w:rsidRPr="003F596E">
          <w:rPr>
            <w:rFonts w:ascii="ITC Avant Garde" w:hAnsi="ITC Avant Garde"/>
            <w:sz w:val="18"/>
            <w:szCs w:val="18"/>
          </w:rPr>
          <w:instrText>PAGE   \* MERGEFORMAT</w:instrText>
        </w:r>
        <w:r w:rsidRPr="003F596E">
          <w:rPr>
            <w:rFonts w:ascii="ITC Avant Garde" w:hAnsi="ITC Avant Garde"/>
            <w:sz w:val="18"/>
            <w:szCs w:val="18"/>
          </w:rPr>
          <w:fldChar w:fldCharType="separate"/>
        </w:r>
        <w:r w:rsidRPr="008A7193">
          <w:rPr>
            <w:rFonts w:ascii="ITC Avant Garde" w:hAnsi="ITC Avant Garde"/>
            <w:noProof/>
            <w:sz w:val="18"/>
            <w:szCs w:val="18"/>
            <w:lang w:val="es-ES"/>
          </w:rPr>
          <w:t>22</w:t>
        </w:r>
        <w:r w:rsidRPr="003F596E">
          <w:rPr>
            <w:rFonts w:ascii="ITC Avant Garde" w:hAnsi="ITC Avant Garde"/>
            <w:sz w:val="18"/>
            <w:szCs w:val="18"/>
          </w:rPr>
          <w:fldChar w:fldCharType="end"/>
        </w:r>
      </w:p>
    </w:sdtContent>
  </w:sdt>
  <w:p w:rsidR="008A7193" w:rsidRDefault="008A71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193" w:rsidRDefault="008A7193" w:rsidP="008A7193">
      <w:pPr>
        <w:spacing w:after="0" w:line="240" w:lineRule="auto"/>
      </w:pPr>
      <w:r>
        <w:separator/>
      </w:r>
    </w:p>
  </w:footnote>
  <w:footnote w:type="continuationSeparator" w:id="0">
    <w:p w:rsidR="008A7193" w:rsidRDefault="008A7193" w:rsidP="008A7193">
      <w:pPr>
        <w:spacing w:after="0" w:line="240" w:lineRule="auto"/>
      </w:pPr>
      <w:r>
        <w:continuationSeparator/>
      </w:r>
    </w:p>
  </w:footnote>
  <w:footnote w:id="1">
    <w:p w:rsidR="008A7193" w:rsidRPr="005665BE" w:rsidRDefault="008A7193" w:rsidP="008A7193">
      <w:pPr>
        <w:pStyle w:val="Textonotapie"/>
        <w:jc w:val="both"/>
        <w:rPr>
          <w:sz w:val="18"/>
        </w:rPr>
      </w:pPr>
      <w:r>
        <w:rPr>
          <w:rStyle w:val="Refdenotaalpie"/>
        </w:rPr>
        <w:footnoteRef/>
      </w:r>
      <w:r>
        <w:t xml:space="preserve"> </w:t>
      </w:r>
      <w:r>
        <w:rPr>
          <w:sz w:val="18"/>
        </w:rPr>
        <w:t>Se considera que una propuesta regulatoria genera</w:t>
      </w:r>
      <w:r w:rsidRPr="005665BE">
        <w:rPr>
          <w:sz w:val="18"/>
        </w:rPr>
        <w:t xml:space="preserve"> costos</w:t>
      </w:r>
      <w:r>
        <w:rPr>
          <w:sz w:val="18"/>
        </w:rPr>
        <w:t xml:space="preserve"> de cumplimiento cuando sus medidas propuestas actualizan uno o más de los siguientes criterios:</w:t>
      </w:r>
    </w:p>
    <w:p w:rsidR="008A7193" w:rsidRPr="005665BE" w:rsidRDefault="008A7193" w:rsidP="008A7193">
      <w:pPr>
        <w:pStyle w:val="Textonotapie"/>
        <w:jc w:val="both"/>
        <w:rPr>
          <w:sz w:val="18"/>
        </w:rPr>
      </w:pPr>
      <w:r w:rsidRPr="005665BE">
        <w:rPr>
          <w:sz w:val="18"/>
        </w:rPr>
        <w:t>a) Crea nuevas obligaciones para los particulares o hace más estrictas las obligaciones existentes;</w:t>
      </w:r>
    </w:p>
    <w:p w:rsidR="008A7193" w:rsidRPr="005665BE" w:rsidRDefault="008A7193" w:rsidP="008A7193">
      <w:pPr>
        <w:pStyle w:val="Textonotapie"/>
        <w:jc w:val="both"/>
        <w:rPr>
          <w:sz w:val="18"/>
        </w:rPr>
      </w:pPr>
      <w:r>
        <w:rPr>
          <w:sz w:val="18"/>
        </w:rPr>
        <w:t xml:space="preserve">b) </w:t>
      </w:r>
      <w:r w:rsidRPr="005665BE">
        <w:rPr>
          <w:sz w:val="18"/>
        </w:rPr>
        <w:t>Crea o modifica trámites (excepto cuando la modificación simplifica y facilita el cumplimiento del particular);</w:t>
      </w:r>
    </w:p>
    <w:p w:rsidR="008A7193" w:rsidRPr="005665BE" w:rsidRDefault="008A7193" w:rsidP="008A7193">
      <w:pPr>
        <w:pStyle w:val="Textonotapie"/>
        <w:jc w:val="both"/>
        <w:rPr>
          <w:sz w:val="18"/>
        </w:rPr>
      </w:pPr>
      <w:r w:rsidRPr="005665BE">
        <w:rPr>
          <w:sz w:val="18"/>
        </w:rPr>
        <w:t>c) Reduce o restringe derechos o prestaciones para los particulares; o,</w:t>
      </w:r>
    </w:p>
    <w:p w:rsidR="008A7193" w:rsidRDefault="008A7193" w:rsidP="008A7193">
      <w:pPr>
        <w:pStyle w:val="Textonotapie"/>
        <w:jc w:val="both"/>
      </w:pPr>
      <w:r w:rsidRPr="005665BE">
        <w:rPr>
          <w:sz w:val="18"/>
        </w:rPr>
        <w:t>d) Establece definiciones, clasificaciones, caracterizaciones o cualq</w:t>
      </w:r>
      <w:r>
        <w:rPr>
          <w:sz w:val="18"/>
        </w:rPr>
        <w:t>uier otro término de referencia</w:t>
      </w:r>
      <w:r w:rsidRPr="005665BE">
        <w:rPr>
          <w:sz w:val="18"/>
        </w:rPr>
        <w:t xml:space="preserve"> que</w:t>
      </w:r>
      <w:r>
        <w:rPr>
          <w:sz w:val="18"/>
        </w:rPr>
        <w:t>,</w:t>
      </w:r>
      <w:r w:rsidRPr="005665BE">
        <w:rPr>
          <w:sz w:val="18"/>
        </w:rPr>
        <w:t xml:space="preserve"> conjuntamente con otra disposición en vigor o con una disposición futura, afecten o puedan afectar los derechos, obligaciones, prestaciones o trámites de los particulares.</w:t>
      </w:r>
    </w:p>
  </w:footnote>
  <w:footnote w:id="2">
    <w:p w:rsidR="008A7193" w:rsidRDefault="008A7193" w:rsidP="008A7193">
      <w:pPr>
        <w:pStyle w:val="Textonotapie"/>
        <w:jc w:val="both"/>
      </w:pPr>
      <w:r w:rsidRPr="00B91D01">
        <w:rPr>
          <w:rStyle w:val="Refdenotaalpie"/>
        </w:rPr>
        <w:footnoteRef/>
      </w:r>
      <w:r w:rsidRPr="00B91D01">
        <w:rPr>
          <w:rStyle w:val="Refdenotaalpie"/>
        </w:rPr>
        <w:t xml:space="preserve"> </w:t>
      </w:r>
      <w:r>
        <w:rPr>
          <w:sz w:val="18"/>
        </w:rPr>
        <w:t>De acuerdo con lo señalado en el artículo 74, fracción IX, del Estatuto Orgánico del Instituto Federal de Telecomunicaciones, la</w:t>
      </w:r>
      <w:r w:rsidRPr="00B91D01">
        <w:rPr>
          <w:sz w:val="18"/>
        </w:rPr>
        <w:t xml:space="preserve"> Coordinación General de Planeación Estratégica podrá</w:t>
      </w:r>
      <w:r>
        <w:rPr>
          <w:sz w:val="18"/>
        </w:rPr>
        <w:t xml:space="preserve"> asesorar y apoyar a las unidades administrativas del Instituto en </w:t>
      </w:r>
      <w:r w:rsidRPr="00B91D01">
        <w:rPr>
          <w:sz w:val="18"/>
        </w:rPr>
        <w:t>la construcción de un</w:t>
      </w:r>
      <w:r>
        <w:rPr>
          <w:sz w:val="18"/>
        </w:rPr>
        <w:t>o o varios</w:t>
      </w:r>
      <w:r w:rsidRPr="00B91D01">
        <w:rPr>
          <w:sz w:val="18"/>
        </w:rPr>
        <w:t xml:space="preserve"> indicador</w:t>
      </w:r>
      <w:r>
        <w:rPr>
          <w:sz w:val="18"/>
        </w:rPr>
        <w:t>es, así como en</w:t>
      </w:r>
      <w:r w:rsidRPr="00B91D01">
        <w:rPr>
          <w:sz w:val="18"/>
        </w:rPr>
        <w:t xml:space="preserve"> la </w:t>
      </w:r>
      <w:r>
        <w:rPr>
          <w:sz w:val="18"/>
        </w:rPr>
        <w:t>determinación de utilizar</w:t>
      </w:r>
      <w:r w:rsidRPr="00B91D01">
        <w:rPr>
          <w:sz w:val="18"/>
        </w:rPr>
        <w:t xml:space="preserve"> una </w:t>
      </w:r>
      <w:r>
        <w:rPr>
          <w:sz w:val="18"/>
        </w:rPr>
        <w:t xml:space="preserve">o varias </w:t>
      </w:r>
      <w:r w:rsidRPr="00B91D01">
        <w:rPr>
          <w:sz w:val="18"/>
        </w:rPr>
        <w:t>variable</w:t>
      </w:r>
      <w:r>
        <w:rPr>
          <w:sz w:val="18"/>
        </w:rPr>
        <w:t>s</w:t>
      </w:r>
      <w:r w:rsidRPr="00B91D01">
        <w:rPr>
          <w:sz w:val="18"/>
        </w:rPr>
        <w:t xml:space="preserve"> estadística</w:t>
      </w:r>
      <w:r>
        <w:rPr>
          <w:sz w:val="18"/>
        </w:rPr>
        <w:t>s,</w:t>
      </w:r>
      <w:r w:rsidRPr="00B91D01">
        <w:rPr>
          <w:sz w:val="18"/>
        </w:rPr>
        <w:t xml:space="preserve"> </w:t>
      </w:r>
      <w:r>
        <w:rPr>
          <w:sz w:val="18"/>
        </w:rPr>
        <w:t>a efecto de evaluar e informar los resultados que se desprendan a razón de la implementación de una propuesta de regulación; ello, para su posterior difusión en los informes que elabora este órgano constitucional autónomo.</w:t>
      </w:r>
    </w:p>
  </w:footnote>
  <w:footnote w:id="3">
    <w:p w:rsidR="008A7193" w:rsidRDefault="008A7193" w:rsidP="008A7193">
      <w:pPr>
        <w:pStyle w:val="Textonotapie"/>
        <w:jc w:val="both"/>
      </w:pPr>
      <w:r>
        <w:rPr>
          <w:rStyle w:val="Refdenotaalpie"/>
        </w:rPr>
        <w:footnoteRef/>
      </w:r>
      <w:r w:rsidRPr="00242CD9">
        <w:rPr>
          <w:rStyle w:val="Refdenotaalpie"/>
        </w:rPr>
        <w:t xml:space="preserve"> </w:t>
      </w:r>
      <w:r>
        <w:rPr>
          <w:sz w:val="18"/>
        </w:rPr>
        <w:t>Las consultas públicas de Integración son realizadas por el Instituto para recabar información</w:t>
      </w:r>
      <w:r w:rsidRPr="00242CD9">
        <w:rPr>
          <w:sz w:val="18"/>
        </w:rPr>
        <w:t>,</w:t>
      </w:r>
      <w:r>
        <w:rPr>
          <w:sz w:val="18"/>
        </w:rPr>
        <w:t xml:space="preserve"> comentarios, opiniones, aportaciones u otros elementos de análisis</w:t>
      </w:r>
      <w:r w:rsidRPr="00242CD9">
        <w:rPr>
          <w:sz w:val="18"/>
        </w:rPr>
        <w:t xml:space="preserve"> por parte de cualquier persona, sobre </w:t>
      </w:r>
      <w:r>
        <w:rPr>
          <w:sz w:val="18"/>
        </w:rPr>
        <w:t xml:space="preserve">algún tema </w:t>
      </w:r>
      <w:r w:rsidRPr="00242CD9">
        <w:rPr>
          <w:sz w:val="18"/>
        </w:rPr>
        <w:t xml:space="preserve">de interés </w:t>
      </w:r>
      <w:r>
        <w:rPr>
          <w:sz w:val="18"/>
        </w:rPr>
        <w:t xml:space="preserve">del Instituto, </w:t>
      </w:r>
      <w:r w:rsidRPr="00242CD9">
        <w:rPr>
          <w:sz w:val="18"/>
        </w:rPr>
        <w:t xml:space="preserve">que </w:t>
      </w:r>
      <w:r>
        <w:rPr>
          <w:sz w:val="18"/>
        </w:rPr>
        <w:t xml:space="preserve">le </w:t>
      </w:r>
      <w:r w:rsidRPr="00242CD9">
        <w:rPr>
          <w:sz w:val="18"/>
        </w:rPr>
        <w:t xml:space="preserve">permita generar de manera previa </w:t>
      </w:r>
      <w:r>
        <w:rPr>
          <w:sz w:val="18"/>
        </w:rPr>
        <w:t xml:space="preserve">regulaciones o </w:t>
      </w:r>
      <w:r w:rsidRPr="00242CD9">
        <w:rPr>
          <w:sz w:val="18"/>
        </w:rPr>
        <w:t>estrategias de política pública dirigidas a los sectores de telecomunicaciones y radiodifusión</w:t>
      </w:r>
      <w:r>
        <w:rPr>
          <w:sz w:val="18"/>
        </w:rPr>
        <w:t>; así como en materia de competencia económica en dichos sectores. Por su parte, las consultas públicas de Evaluación son realizadas por el Instituto</w:t>
      </w:r>
      <w:r w:rsidRPr="00FF7DBF">
        <w:rPr>
          <w:sz w:val="18"/>
        </w:rPr>
        <w:t xml:space="preserve"> para recabar información</w:t>
      </w:r>
      <w:r>
        <w:rPr>
          <w:sz w:val="18"/>
        </w:rPr>
        <w:t xml:space="preserve">, comentarios, opiniones, aportaciones u otros elementos de análisis por parte de cualquier persona, </w:t>
      </w:r>
      <w:r w:rsidRPr="00FF7DBF">
        <w:rPr>
          <w:sz w:val="18"/>
        </w:rPr>
        <w:t>sobre la aplicación e implementación de las reglas, lineamientos</w:t>
      </w:r>
      <w:r>
        <w:rPr>
          <w:sz w:val="18"/>
        </w:rPr>
        <w:t>, directrices, guías, criterios técnicos, disposiciones técnicas</w:t>
      </w:r>
      <w:r w:rsidRPr="00FF7DBF">
        <w:rPr>
          <w:sz w:val="18"/>
        </w:rPr>
        <w:t xml:space="preserve"> o disposiciones administrativas de carácter general </w:t>
      </w:r>
      <w:r>
        <w:rPr>
          <w:sz w:val="18"/>
        </w:rPr>
        <w:t>emitidas por</w:t>
      </w:r>
      <w:r w:rsidRPr="00FF7DBF">
        <w:rPr>
          <w:sz w:val="18"/>
        </w:rPr>
        <w:t xml:space="preserve"> el Pleno </w:t>
      </w:r>
      <w:r>
        <w:rPr>
          <w:sz w:val="18"/>
        </w:rPr>
        <w:t xml:space="preserve">y que se encuentren vigentes, </w:t>
      </w:r>
      <w:r w:rsidRPr="00FF7DBF">
        <w:rPr>
          <w:sz w:val="18"/>
        </w:rPr>
        <w:t>a fin de determinar su eficacia, eficiencia, impacto y permanencia con relación a las circunstancias por las que fueron creadas</w:t>
      </w:r>
      <w:r>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193" w:rsidRDefault="008A719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77219" o:spid="_x0000_s1028" type="#_x0000_t136" style="position:absolute;margin-left:0;margin-top:0;width:527.55pt;height:131.85pt;rotation:315;z-index:-251656192;mso-position-horizontal:center;mso-position-horizontal-relative:margin;mso-position-vertical:center;mso-position-vertical-relative:margin" o:allowincell="f" fillcolor="silver" stroked="f">
          <v:textpath style="font-family:&quot;Calibri&quot;;font-size:1pt" string="ANTE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193" w:rsidRPr="00413747" w:rsidRDefault="008A7193" w:rsidP="00413747">
    <w:pPr>
      <w:pStyle w:val="Encabezado"/>
      <w:tabs>
        <w:tab w:val="clear" w:pos="8838"/>
        <w:tab w:val="right" w:pos="9355"/>
      </w:tabs>
      <w:rPr>
        <w:rFonts w:ascii="ITC Avant Garde" w:hAnsi="ITC Avant Garde"/>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193" w:rsidRDefault="008A719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77218" o:spid="_x0000_s1027" type="#_x0000_t136" style="position:absolute;margin-left:0;margin-top:0;width:527.55pt;height:131.85pt;rotation:315;z-index:-251658240;mso-position-horizontal:center;mso-position-horizontal-relative:margin;mso-position-vertical:center;mso-position-vertical-relative:margin" o:allowincell="f" fillcolor="silver" stroked="f">
          <v:textpath style="font-family:&quot;Calibri&quot;;font-size:1pt" string="ANTE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96E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7"/>
    <w:multiLevelType w:val="multilevel"/>
    <w:tmpl w:val="670ED9A6"/>
    <w:name w:val="WWNum25"/>
    <w:lvl w:ilvl="0">
      <w:start w:val="1"/>
      <w:numFmt w:val="decimal"/>
      <w:lvlText w:val="%1."/>
      <w:lvlJc w:val="left"/>
      <w:pPr>
        <w:tabs>
          <w:tab w:val="num" w:pos="6869"/>
        </w:tabs>
        <w:ind w:left="7589" w:hanging="360"/>
      </w:pPr>
      <w:rPr>
        <w:b w:val="0"/>
      </w:rPr>
    </w:lvl>
    <w:lvl w:ilvl="1">
      <w:start w:val="1"/>
      <w:numFmt w:val="lowerLetter"/>
      <w:lvlText w:val="%2."/>
      <w:lvlJc w:val="left"/>
      <w:pPr>
        <w:tabs>
          <w:tab w:val="num" w:pos="6869"/>
        </w:tabs>
        <w:ind w:left="8309" w:hanging="360"/>
      </w:pPr>
    </w:lvl>
    <w:lvl w:ilvl="2">
      <w:start w:val="1"/>
      <w:numFmt w:val="lowerRoman"/>
      <w:lvlText w:val="%3."/>
      <w:lvlJc w:val="left"/>
      <w:pPr>
        <w:tabs>
          <w:tab w:val="num" w:pos="6869"/>
        </w:tabs>
        <w:ind w:left="9029" w:hanging="180"/>
      </w:pPr>
    </w:lvl>
    <w:lvl w:ilvl="3">
      <w:start w:val="1"/>
      <w:numFmt w:val="decimal"/>
      <w:lvlText w:val="%4."/>
      <w:lvlJc w:val="left"/>
      <w:pPr>
        <w:tabs>
          <w:tab w:val="num" w:pos="6869"/>
        </w:tabs>
        <w:ind w:left="9749" w:hanging="360"/>
      </w:pPr>
    </w:lvl>
    <w:lvl w:ilvl="4">
      <w:start w:val="1"/>
      <w:numFmt w:val="lowerLetter"/>
      <w:lvlText w:val="%5."/>
      <w:lvlJc w:val="left"/>
      <w:pPr>
        <w:tabs>
          <w:tab w:val="num" w:pos="6869"/>
        </w:tabs>
        <w:ind w:left="10469" w:hanging="360"/>
      </w:pPr>
    </w:lvl>
    <w:lvl w:ilvl="5">
      <w:start w:val="1"/>
      <w:numFmt w:val="lowerRoman"/>
      <w:lvlText w:val="%6."/>
      <w:lvlJc w:val="left"/>
      <w:pPr>
        <w:tabs>
          <w:tab w:val="num" w:pos="6869"/>
        </w:tabs>
        <w:ind w:left="11189" w:hanging="180"/>
      </w:pPr>
    </w:lvl>
    <w:lvl w:ilvl="6">
      <w:start w:val="1"/>
      <w:numFmt w:val="decimal"/>
      <w:lvlText w:val="%7."/>
      <w:lvlJc w:val="left"/>
      <w:pPr>
        <w:tabs>
          <w:tab w:val="num" w:pos="6869"/>
        </w:tabs>
        <w:ind w:left="11909" w:hanging="360"/>
      </w:pPr>
    </w:lvl>
    <w:lvl w:ilvl="7">
      <w:start w:val="1"/>
      <w:numFmt w:val="lowerLetter"/>
      <w:lvlText w:val="%8."/>
      <w:lvlJc w:val="left"/>
      <w:pPr>
        <w:tabs>
          <w:tab w:val="num" w:pos="6869"/>
        </w:tabs>
        <w:ind w:left="12629" w:hanging="360"/>
      </w:pPr>
    </w:lvl>
    <w:lvl w:ilvl="8">
      <w:start w:val="1"/>
      <w:numFmt w:val="lowerRoman"/>
      <w:lvlText w:val="%9."/>
      <w:lvlJc w:val="left"/>
      <w:pPr>
        <w:tabs>
          <w:tab w:val="num" w:pos="6869"/>
        </w:tabs>
        <w:ind w:left="13349" w:hanging="180"/>
      </w:pPr>
    </w:lvl>
  </w:abstractNum>
  <w:abstractNum w:abstractNumId="3" w15:restartNumberingAfterBreak="0">
    <w:nsid w:val="02384194"/>
    <w:multiLevelType w:val="multilevel"/>
    <w:tmpl w:val="F8602F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B555A8B"/>
    <w:multiLevelType w:val="hybridMultilevel"/>
    <w:tmpl w:val="B4F24BDA"/>
    <w:lvl w:ilvl="0" w:tplc="7FFA1D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5F565D"/>
    <w:multiLevelType w:val="hybridMultilevel"/>
    <w:tmpl w:val="545CB424"/>
    <w:lvl w:ilvl="0" w:tplc="BCF81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AE0DA4"/>
    <w:multiLevelType w:val="hybridMultilevel"/>
    <w:tmpl w:val="5B24F36E"/>
    <w:lvl w:ilvl="0" w:tplc="5064A376">
      <w:numFmt w:val="bullet"/>
      <w:lvlText w:val="-"/>
      <w:lvlJc w:val="left"/>
      <w:pPr>
        <w:ind w:left="720" w:hanging="360"/>
      </w:pPr>
      <w:rPr>
        <w:rFonts w:ascii="ITC Avant Garde" w:eastAsia="Calibri" w:hAnsi="ITC Avant Gard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C55F9B"/>
    <w:multiLevelType w:val="hybridMultilevel"/>
    <w:tmpl w:val="20465F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7426DC"/>
    <w:multiLevelType w:val="hybridMultilevel"/>
    <w:tmpl w:val="1B362F90"/>
    <w:lvl w:ilvl="0" w:tplc="189EE9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C961BF"/>
    <w:multiLevelType w:val="hybridMultilevel"/>
    <w:tmpl w:val="7504AEDA"/>
    <w:lvl w:ilvl="0" w:tplc="0A4A0F8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0" w15:restartNumberingAfterBreak="0">
    <w:nsid w:val="12CA0D10"/>
    <w:multiLevelType w:val="hybridMultilevel"/>
    <w:tmpl w:val="A8D200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183F7A"/>
    <w:multiLevelType w:val="hybridMultilevel"/>
    <w:tmpl w:val="73AC2918"/>
    <w:lvl w:ilvl="0" w:tplc="24E483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713BD0"/>
    <w:multiLevelType w:val="hybridMultilevel"/>
    <w:tmpl w:val="6FE641BA"/>
    <w:lvl w:ilvl="0" w:tplc="8A22A8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59648C"/>
    <w:multiLevelType w:val="hybridMultilevel"/>
    <w:tmpl w:val="0E9CDA68"/>
    <w:lvl w:ilvl="0" w:tplc="6F7EB3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03111C"/>
    <w:multiLevelType w:val="hybridMultilevel"/>
    <w:tmpl w:val="C7FEFDDE"/>
    <w:lvl w:ilvl="0" w:tplc="D8A83C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1664D"/>
    <w:multiLevelType w:val="hybridMultilevel"/>
    <w:tmpl w:val="4EFA3B66"/>
    <w:lvl w:ilvl="0" w:tplc="2656177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35007787"/>
    <w:multiLevelType w:val="hybridMultilevel"/>
    <w:tmpl w:val="F1B43CF4"/>
    <w:lvl w:ilvl="0" w:tplc="63B6AE2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631B70"/>
    <w:multiLevelType w:val="hybridMultilevel"/>
    <w:tmpl w:val="BDDC5BEA"/>
    <w:lvl w:ilvl="0" w:tplc="38185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4C5380"/>
    <w:multiLevelType w:val="hybridMultilevel"/>
    <w:tmpl w:val="4F32B3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F43DE5"/>
    <w:multiLevelType w:val="hybridMultilevel"/>
    <w:tmpl w:val="731A3596"/>
    <w:lvl w:ilvl="0" w:tplc="37A29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706BE6"/>
    <w:multiLevelType w:val="hybridMultilevel"/>
    <w:tmpl w:val="6F662804"/>
    <w:lvl w:ilvl="0" w:tplc="ABD47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D16E8B"/>
    <w:multiLevelType w:val="hybridMultilevel"/>
    <w:tmpl w:val="4F1667D2"/>
    <w:lvl w:ilvl="0" w:tplc="20BC492A">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65C8069A"/>
    <w:multiLevelType w:val="hybridMultilevel"/>
    <w:tmpl w:val="1A8CE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292E67"/>
    <w:multiLevelType w:val="hybridMultilevel"/>
    <w:tmpl w:val="62329904"/>
    <w:lvl w:ilvl="0" w:tplc="CCB01C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3518AB"/>
    <w:multiLevelType w:val="hybridMultilevel"/>
    <w:tmpl w:val="7FD0CC62"/>
    <w:lvl w:ilvl="0" w:tplc="6A326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774A8B"/>
    <w:multiLevelType w:val="hybridMultilevel"/>
    <w:tmpl w:val="73AC2918"/>
    <w:lvl w:ilvl="0" w:tplc="24E483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9115A0"/>
    <w:multiLevelType w:val="hybridMultilevel"/>
    <w:tmpl w:val="F14A52C2"/>
    <w:lvl w:ilvl="0" w:tplc="315C0A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8757927"/>
    <w:multiLevelType w:val="hybridMultilevel"/>
    <w:tmpl w:val="FAA4F346"/>
    <w:lvl w:ilvl="0" w:tplc="56AEB8B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4"/>
  </w:num>
  <w:num w:numId="9">
    <w:abstractNumId w:val="11"/>
  </w:num>
  <w:num w:numId="10">
    <w:abstractNumId w:val="20"/>
  </w:num>
  <w:num w:numId="11">
    <w:abstractNumId w:val="10"/>
  </w:num>
  <w:num w:numId="12">
    <w:abstractNumId w:val="9"/>
  </w:num>
  <w:num w:numId="13">
    <w:abstractNumId w:val="29"/>
  </w:num>
  <w:num w:numId="14">
    <w:abstractNumId w:val="23"/>
  </w:num>
  <w:num w:numId="15">
    <w:abstractNumId w:val="8"/>
  </w:num>
  <w:num w:numId="16">
    <w:abstractNumId w:val="13"/>
  </w:num>
  <w:num w:numId="17">
    <w:abstractNumId w:val="14"/>
  </w:num>
  <w:num w:numId="18">
    <w:abstractNumId w:val="25"/>
  </w:num>
  <w:num w:numId="19">
    <w:abstractNumId w:val="22"/>
  </w:num>
  <w:num w:numId="20">
    <w:abstractNumId w:val="19"/>
  </w:num>
  <w:num w:numId="21">
    <w:abstractNumId w:val="26"/>
  </w:num>
  <w:num w:numId="22">
    <w:abstractNumId w:val="17"/>
  </w:num>
  <w:num w:numId="23">
    <w:abstractNumId w:val="4"/>
  </w:num>
  <w:num w:numId="24">
    <w:abstractNumId w:val="5"/>
  </w:num>
  <w:num w:numId="25">
    <w:abstractNumId w:val="12"/>
  </w:num>
  <w:num w:numId="26">
    <w:abstractNumId w:val="16"/>
  </w:num>
  <w:num w:numId="27">
    <w:abstractNumId w:val="15"/>
  </w:num>
  <w:num w:numId="28">
    <w:abstractNumId w:val="27"/>
  </w:num>
  <w:num w:numId="29">
    <w:abstractNumId w:val="1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93"/>
    <w:rsid w:val="008A7193"/>
    <w:rsid w:val="008E6A30"/>
    <w:rsid w:val="009D1B1A"/>
    <w:rsid w:val="00E20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2DD6A65-24EC-4887-A365-AA50DE89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A719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A719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A7193"/>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8A7193"/>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8A7193"/>
    <w:pPr>
      <w:keepNext/>
      <w:keepLines/>
      <w:spacing w:before="40" w:after="0" w:line="276"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8A7193"/>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8A7193"/>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71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A719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A719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8A719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8A719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8A719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8A7193"/>
    <w:rPr>
      <w:rFonts w:asciiTheme="majorHAnsi" w:eastAsiaTheme="majorEastAsia" w:hAnsiTheme="majorHAnsi" w:cstheme="majorBidi"/>
      <w:i/>
      <w:iCs/>
      <w:color w:val="1F4D78" w:themeColor="accent1" w:themeShade="7F"/>
    </w:rPr>
  </w:style>
  <w:style w:type="paragraph" w:styleId="Encabezado">
    <w:name w:val="header"/>
    <w:basedOn w:val="Normal"/>
    <w:link w:val="EncabezadoCar"/>
    <w:uiPriority w:val="99"/>
    <w:unhideWhenUsed/>
    <w:rsid w:val="008A7193"/>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8A7193"/>
    <w:rPr>
      <w:rFonts w:ascii="Calibri" w:eastAsia="Calibri" w:hAnsi="Calibri" w:cs="Times New Roman"/>
    </w:rPr>
  </w:style>
  <w:style w:type="paragraph" w:styleId="Piedepgina">
    <w:name w:val="footer"/>
    <w:basedOn w:val="Normal"/>
    <w:link w:val="PiedepginaCar"/>
    <w:uiPriority w:val="99"/>
    <w:unhideWhenUsed/>
    <w:rsid w:val="008A7193"/>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8A7193"/>
    <w:rPr>
      <w:rFonts w:ascii="Calibri" w:eastAsia="Calibri" w:hAnsi="Calibri" w:cs="Times New Roman"/>
    </w:rPr>
  </w:style>
  <w:style w:type="paragraph" w:customStyle="1" w:styleId="estilo30">
    <w:name w:val="estilo30"/>
    <w:basedOn w:val="Normal"/>
    <w:rsid w:val="008A719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8A719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A7193"/>
    <w:pPr>
      <w:autoSpaceDE w:val="0"/>
      <w:autoSpaceDN w:val="0"/>
      <w:adjustRightInd w:val="0"/>
      <w:spacing w:after="0" w:line="240" w:lineRule="auto"/>
    </w:pPr>
    <w:rPr>
      <w:rFonts w:ascii="Tahoma" w:eastAsia="Calibri" w:hAnsi="Tahoma" w:cs="Tahoma"/>
      <w:color w:val="000000"/>
      <w:sz w:val="24"/>
      <w:szCs w:val="24"/>
      <w:lang w:eastAsia="es-MX"/>
    </w:rPr>
  </w:style>
  <w:style w:type="paragraph" w:customStyle="1" w:styleId="Cuadrculaclara-nfasis31">
    <w:name w:val="Cuadrícula clara - Énfasis 31"/>
    <w:basedOn w:val="Normal"/>
    <w:link w:val="Cuadrculaclara-nfasis3Car"/>
    <w:uiPriority w:val="34"/>
    <w:qFormat/>
    <w:rsid w:val="008A7193"/>
    <w:pPr>
      <w:spacing w:after="200" w:line="276" w:lineRule="auto"/>
      <w:ind w:left="720"/>
      <w:contextualSpacing/>
    </w:pPr>
    <w:rPr>
      <w:rFonts w:ascii="ITC Avant Garde" w:eastAsia="Calibri" w:hAnsi="ITC Avant Garde" w:cs="Tahoma"/>
      <w:bCs/>
      <w:lang w:eastAsia="es-MX"/>
    </w:rPr>
  </w:style>
  <w:style w:type="paragraph" w:styleId="Textodeglobo">
    <w:name w:val="Balloon Text"/>
    <w:basedOn w:val="Normal"/>
    <w:link w:val="TextodegloboCar"/>
    <w:uiPriority w:val="99"/>
    <w:semiHidden/>
    <w:unhideWhenUsed/>
    <w:rsid w:val="008A7193"/>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8A7193"/>
    <w:rPr>
      <w:rFonts w:ascii="Segoe UI" w:eastAsia="Calibri" w:hAnsi="Segoe UI" w:cs="Segoe UI"/>
      <w:sz w:val="18"/>
      <w:szCs w:val="18"/>
    </w:rPr>
  </w:style>
  <w:style w:type="character" w:customStyle="1" w:styleId="Cuadrculaclara-nfasis3Car">
    <w:name w:val="Cuadrícula clara - Énfasis 3 Car"/>
    <w:link w:val="Cuadrculaclara-nfasis31"/>
    <w:uiPriority w:val="34"/>
    <w:locked/>
    <w:rsid w:val="008A7193"/>
    <w:rPr>
      <w:rFonts w:ascii="ITC Avant Garde" w:eastAsia="Calibri" w:hAnsi="ITC Avant Garde" w:cs="Tahoma"/>
      <w:bCs/>
      <w:lang w:eastAsia="es-MX"/>
    </w:rPr>
  </w:style>
  <w:style w:type="paragraph" w:customStyle="1" w:styleId="Texto">
    <w:name w:val="Texto"/>
    <w:basedOn w:val="Normal"/>
    <w:link w:val="TextoCar"/>
    <w:rsid w:val="008A719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A7193"/>
    <w:rPr>
      <w:rFonts w:ascii="Arial" w:eastAsia="Times New Roman" w:hAnsi="Arial" w:cs="Arial"/>
      <w:sz w:val="18"/>
      <w:szCs w:val="20"/>
      <w:lang w:val="es-ES" w:eastAsia="es-ES"/>
    </w:rPr>
  </w:style>
  <w:style w:type="character" w:styleId="Refdecomentario">
    <w:name w:val="annotation reference"/>
    <w:uiPriority w:val="99"/>
    <w:semiHidden/>
    <w:unhideWhenUsed/>
    <w:rsid w:val="008A7193"/>
    <w:rPr>
      <w:sz w:val="18"/>
      <w:szCs w:val="18"/>
    </w:rPr>
  </w:style>
  <w:style w:type="paragraph" w:styleId="Textocomentario">
    <w:name w:val="annotation text"/>
    <w:basedOn w:val="Normal"/>
    <w:link w:val="TextocomentarioCar"/>
    <w:uiPriority w:val="99"/>
    <w:unhideWhenUsed/>
    <w:rsid w:val="008A7193"/>
    <w:pPr>
      <w:spacing w:after="200" w:line="276" w:lineRule="auto"/>
    </w:pPr>
    <w:rPr>
      <w:rFonts w:ascii="Calibri" w:eastAsia="Calibri" w:hAnsi="Calibri" w:cs="Times New Roman"/>
      <w:sz w:val="24"/>
      <w:szCs w:val="24"/>
    </w:rPr>
  </w:style>
  <w:style w:type="character" w:customStyle="1" w:styleId="TextocomentarioCar">
    <w:name w:val="Texto comentario Car"/>
    <w:basedOn w:val="Fuentedeprrafopredeter"/>
    <w:link w:val="Textocomentario"/>
    <w:uiPriority w:val="99"/>
    <w:rsid w:val="008A7193"/>
    <w:rPr>
      <w:rFonts w:ascii="Calibri" w:eastAsia="Calibri" w:hAnsi="Calibri"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8A7193"/>
    <w:rPr>
      <w:b/>
      <w:bCs/>
      <w:sz w:val="20"/>
      <w:szCs w:val="20"/>
    </w:rPr>
  </w:style>
  <w:style w:type="character" w:customStyle="1" w:styleId="AsuntodelcomentarioCar">
    <w:name w:val="Asunto del comentario Car"/>
    <w:basedOn w:val="TextocomentarioCar"/>
    <w:link w:val="Asuntodelcomentario"/>
    <w:uiPriority w:val="99"/>
    <w:semiHidden/>
    <w:rsid w:val="008A7193"/>
    <w:rPr>
      <w:rFonts w:ascii="Calibri" w:eastAsia="Calibri" w:hAnsi="Calibri" w:cs="Times New Roman"/>
      <w:b/>
      <w:bCs/>
      <w:sz w:val="20"/>
      <w:szCs w:val="20"/>
    </w:rPr>
  </w:style>
  <w:style w:type="paragraph" w:customStyle="1" w:styleId="Cuadrculamedia1-nfasis21">
    <w:name w:val="Cuadrícula media 1 - Énfasis 21"/>
    <w:basedOn w:val="Normal"/>
    <w:link w:val="Cuadrculamedia1-nfasis2Car"/>
    <w:uiPriority w:val="34"/>
    <w:qFormat/>
    <w:rsid w:val="008A7193"/>
    <w:pPr>
      <w:spacing w:after="200" w:line="276" w:lineRule="auto"/>
      <w:ind w:left="708"/>
    </w:pPr>
    <w:rPr>
      <w:rFonts w:ascii="Calibri" w:eastAsia="Calibri" w:hAnsi="Calibri" w:cs="Times New Roman"/>
    </w:rPr>
  </w:style>
  <w:style w:type="character" w:customStyle="1" w:styleId="Cuadrculamedia1-nfasis2Car">
    <w:name w:val="Cuadrícula media 1 - Énfasis 2 Car"/>
    <w:link w:val="Cuadrculamedia1-nfasis21"/>
    <w:uiPriority w:val="34"/>
    <w:locked/>
    <w:rsid w:val="008A7193"/>
    <w:rPr>
      <w:rFonts w:ascii="Calibri" w:eastAsia="Calibri" w:hAnsi="Calibri" w:cs="Times New Roman"/>
    </w:rPr>
  </w:style>
  <w:style w:type="character" w:customStyle="1" w:styleId="Listavistosa-nfasis1Car">
    <w:name w:val="Lista vistosa - Énfasis 1 Car"/>
    <w:link w:val="Listavistosa-nfasis1"/>
    <w:uiPriority w:val="34"/>
    <w:semiHidden/>
    <w:locked/>
    <w:rsid w:val="008A7193"/>
    <w:rPr>
      <w:sz w:val="22"/>
      <w:szCs w:val="22"/>
      <w:lang w:eastAsia="en-US"/>
    </w:rPr>
  </w:style>
  <w:style w:type="table" w:styleId="Listavistosa-nfasis1">
    <w:name w:val="Colorful List Accent 1"/>
    <w:basedOn w:val="Tablanormal"/>
    <w:link w:val="Listavistosa-nfasis1Car"/>
    <w:uiPriority w:val="34"/>
    <w:semiHidden/>
    <w:unhideWhenUsed/>
    <w:rsid w:val="008A719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Revisin">
    <w:name w:val="Revision"/>
    <w:hidden/>
    <w:uiPriority w:val="99"/>
    <w:semiHidden/>
    <w:rsid w:val="008A7193"/>
    <w:pPr>
      <w:spacing w:after="0" w:line="240" w:lineRule="auto"/>
    </w:pPr>
    <w:rPr>
      <w:rFonts w:ascii="Calibri" w:eastAsia="Calibri" w:hAnsi="Calibri" w:cs="Times New Roman"/>
    </w:rPr>
  </w:style>
  <w:style w:type="paragraph" w:styleId="Prrafodelista">
    <w:name w:val="List Paragraph"/>
    <w:basedOn w:val="Normal"/>
    <w:link w:val="PrrafodelistaCar"/>
    <w:uiPriority w:val="34"/>
    <w:qFormat/>
    <w:rsid w:val="008A7193"/>
    <w:pPr>
      <w:spacing w:after="200" w:line="276" w:lineRule="auto"/>
      <w:ind w:left="720"/>
      <w:contextualSpacing/>
    </w:pPr>
    <w:rPr>
      <w:rFonts w:ascii="Calibri" w:eastAsia="Calibri" w:hAnsi="Calibri" w:cs="Times New Roman"/>
    </w:rPr>
  </w:style>
  <w:style w:type="character" w:customStyle="1" w:styleId="PrrafodelistaCar">
    <w:name w:val="Párrafo de lista Car"/>
    <w:link w:val="Prrafodelista"/>
    <w:uiPriority w:val="34"/>
    <w:locked/>
    <w:rsid w:val="008A7193"/>
    <w:rPr>
      <w:rFonts w:ascii="Calibri" w:eastAsia="Calibri" w:hAnsi="Calibri" w:cs="Times New Roman"/>
    </w:rPr>
  </w:style>
  <w:style w:type="character" w:styleId="Hipervnculo">
    <w:name w:val="Hyperlink"/>
    <w:basedOn w:val="Fuentedeprrafopredeter"/>
    <w:uiPriority w:val="99"/>
    <w:unhideWhenUsed/>
    <w:rsid w:val="008A7193"/>
    <w:rPr>
      <w:color w:val="0000FF"/>
      <w:u w:val="single"/>
    </w:rPr>
  </w:style>
  <w:style w:type="character" w:styleId="Hipervnculovisitado">
    <w:name w:val="FollowedHyperlink"/>
    <w:basedOn w:val="Fuentedeprrafopredeter"/>
    <w:uiPriority w:val="99"/>
    <w:semiHidden/>
    <w:unhideWhenUsed/>
    <w:rsid w:val="008A7193"/>
    <w:rPr>
      <w:color w:val="954F72" w:themeColor="followedHyperlink"/>
      <w:u w:val="single"/>
    </w:rPr>
  </w:style>
  <w:style w:type="character" w:styleId="nfasis">
    <w:name w:val="Emphasis"/>
    <w:basedOn w:val="Fuentedeprrafopredeter"/>
    <w:uiPriority w:val="20"/>
    <w:qFormat/>
    <w:rsid w:val="008A7193"/>
    <w:rPr>
      <w:i/>
      <w:iCs/>
    </w:rPr>
  </w:style>
  <w:style w:type="paragraph" w:customStyle="1" w:styleId="CABEZA">
    <w:name w:val="CABEZA"/>
    <w:basedOn w:val="Normal"/>
    <w:rsid w:val="008A7193"/>
    <w:pPr>
      <w:spacing w:after="0" w:line="240" w:lineRule="auto"/>
      <w:jc w:val="center"/>
    </w:pPr>
    <w:rPr>
      <w:rFonts w:ascii="Times New Roman" w:eastAsia="Times New Roman" w:hAnsi="Times New Roman" w:cs="Arial"/>
      <w:b/>
      <w:sz w:val="28"/>
      <w:szCs w:val="28"/>
      <w:lang w:val="es-ES_tradnl" w:eastAsia="es-MX"/>
    </w:rPr>
  </w:style>
  <w:style w:type="paragraph" w:customStyle="1" w:styleId="Titulo1">
    <w:name w:val="Titulo 1"/>
    <w:basedOn w:val="Normal"/>
    <w:rsid w:val="008A7193"/>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8A7193"/>
    <w:pPr>
      <w:pBdr>
        <w:top w:val="double" w:sz="6" w:space="1" w:color="auto"/>
      </w:pBdr>
      <w:spacing w:after="101" w:line="240" w:lineRule="auto"/>
      <w:jc w:val="both"/>
      <w:outlineLvl w:val="1"/>
    </w:pPr>
    <w:rPr>
      <w:rFonts w:ascii="Arial" w:eastAsia="Times New Roman" w:hAnsi="Arial" w:cs="Arial"/>
      <w:sz w:val="18"/>
      <w:szCs w:val="20"/>
      <w:lang w:eastAsia="es-ES"/>
    </w:rPr>
  </w:style>
  <w:style w:type="character" w:customStyle="1" w:styleId="im">
    <w:name w:val="im"/>
    <w:basedOn w:val="Fuentedeprrafopredeter"/>
    <w:rsid w:val="008A7193"/>
  </w:style>
  <w:style w:type="character" w:customStyle="1" w:styleId="apple-converted-space">
    <w:name w:val="apple-converted-space"/>
    <w:basedOn w:val="Fuentedeprrafopredeter"/>
    <w:rsid w:val="008A7193"/>
  </w:style>
  <w:style w:type="table" w:styleId="Tablaconcuadrcula">
    <w:name w:val="Table Grid"/>
    <w:basedOn w:val="Tablanormal"/>
    <w:uiPriority w:val="39"/>
    <w:rsid w:val="008A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A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A7193"/>
    <w:pPr>
      <w:spacing w:after="0" w:line="240" w:lineRule="auto"/>
    </w:pPr>
    <w:rPr>
      <w:sz w:val="20"/>
      <w:szCs w:val="20"/>
    </w:rPr>
  </w:style>
  <w:style w:type="character" w:customStyle="1" w:styleId="TextonotapieCar">
    <w:name w:val="Texto nota pie Car"/>
    <w:basedOn w:val="Fuentedeprrafopredeter"/>
    <w:link w:val="Textonotapie"/>
    <w:uiPriority w:val="99"/>
    <w:rsid w:val="008A7193"/>
    <w:rPr>
      <w:sz w:val="20"/>
      <w:szCs w:val="20"/>
    </w:rPr>
  </w:style>
  <w:style w:type="character" w:styleId="Refdenotaalpie">
    <w:name w:val="footnote reference"/>
    <w:basedOn w:val="Fuentedeprrafopredeter"/>
    <w:uiPriority w:val="99"/>
    <w:semiHidden/>
    <w:unhideWhenUsed/>
    <w:rsid w:val="008A7193"/>
    <w:rPr>
      <w:vertAlign w:val="superscript"/>
    </w:rPr>
  </w:style>
  <w:style w:type="character" w:styleId="Textodelmarcadordeposicin">
    <w:name w:val="Placeholder Text"/>
    <w:basedOn w:val="Fuentedeprrafopredeter"/>
    <w:uiPriority w:val="99"/>
    <w:semiHidden/>
    <w:rsid w:val="008A7193"/>
    <w:rPr>
      <w:color w:val="808080"/>
    </w:rPr>
  </w:style>
  <w:style w:type="paragraph" w:styleId="Sinespaciado">
    <w:name w:val="No Spacing"/>
    <w:uiPriority w:val="1"/>
    <w:qFormat/>
    <w:rsid w:val="008A7193"/>
    <w:pPr>
      <w:spacing w:after="0" w:line="240" w:lineRule="auto"/>
    </w:pPr>
    <w:rPr>
      <w:rFonts w:ascii="Calibri" w:eastAsia="Calibri" w:hAnsi="Calibri" w:cs="Times New Roman"/>
    </w:rPr>
  </w:style>
  <w:style w:type="table" w:customStyle="1" w:styleId="Tablaconcuadrcula2">
    <w:name w:val="Tabla con cuadrícula2"/>
    <w:basedOn w:val="Tablanormal"/>
    <w:next w:val="Tablaconcuadrcula"/>
    <w:uiPriority w:val="39"/>
    <w:rsid w:val="008A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99"/>
    <w:rsid w:val="008A7193"/>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99"/>
    <w:rsid w:val="008A7193"/>
    <w:pPr>
      <w:spacing w:after="0" w:line="240" w:lineRule="auto"/>
    </w:pPr>
    <w:rPr>
      <w:rFonts w:ascii="Calibri" w:eastAsia="Calibri" w:hAnsi="Calibri"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99"/>
    <w:rsid w:val="008A7193"/>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7148</Words>
  <Characters>39319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Fabiola Dominguez Jacobo</dc:creator>
  <cp:keywords/>
  <dc:description/>
  <cp:lastModifiedBy>Cynthia Fabiola Dominguez Jacobo</cp:lastModifiedBy>
  <cp:revision>1</cp:revision>
  <dcterms:created xsi:type="dcterms:W3CDTF">2016-04-18T17:25:00Z</dcterms:created>
  <dcterms:modified xsi:type="dcterms:W3CDTF">2016-04-18T17:30:00Z</dcterms:modified>
</cp:coreProperties>
</file>