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9CFE0" w14:textId="77777777" w:rsidR="00345AA7" w:rsidRPr="00345AA7" w:rsidRDefault="00D42CA3" w:rsidP="00345AA7">
      <w:pPr>
        <w:pStyle w:val="Ttulo1"/>
        <w:keepLines/>
        <w:spacing w:after="240" w:line="240" w:lineRule="auto"/>
        <w:rPr>
          <w:rFonts w:eastAsiaTheme="majorEastAsia" w:cstheme="majorBidi"/>
          <w:bCs w:val="0"/>
          <w:color w:val="000000" w:themeColor="text1"/>
          <w:sz w:val="24"/>
          <w:szCs w:val="24"/>
        </w:rPr>
      </w:pPr>
      <w:r w:rsidRPr="00345AA7">
        <w:rPr>
          <w:rFonts w:eastAsiaTheme="majorEastAsia" w:cstheme="majorBidi"/>
          <w:bCs w:val="0"/>
          <w:color w:val="000000" w:themeColor="text1"/>
          <w:sz w:val="24"/>
          <w:szCs w:val="24"/>
        </w:rPr>
        <w:t xml:space="preserve">RESOLUCIÓN </w:t>
      </w:r>
      <w:r w:rsidR="001B7EA2" w:rsidRPr="00345AA7">
        <w:rPr>
          <w:rFonts w:eastAsiaTheme="majorEastAsia" w:cstheme="majorBidi"/>
          <w:bCs w:val="0"/>
          <w:color w:val="000000" w:themeColor="text1"/>
          <w:sz w:val="24"/>
          <w:szCs w:val="24"/>
        </w:rPr>
        <w:t>MEDIANTE</w:t>
      </w:r>
      <w:r w:rsidRPr="00345AA7">
        <w:rPr>
          <w:rFonts w:eastAsiaTheme="majorEastAsia" w:cstheme="majorBidi"/>
          <w:bCs w:val="0"/>
          <w:color w:val="000000" w:themeColor="text1"/>
          <w:sz w:val="24"/>
          <w:szCs w:val="24"/>
        </w:rPr>
        <w:t xml:space="preserve"> LA CUAL EL PLENO DEL INSTITUTO FEDERAL DE TELECOMUNICACIONES AUTORIZA LA ENAJENACIÓN DE ACCIONES DE </w:t>
      </w:r>
      <w:r w:rsidR="00221CD0" w:rsidRPr="00345AA7">
        <w:rPr>
          <w:rFonts w:eastAsiaTheme="majorEastAsia" w:cstheme="majorBidi"/>
          <w:bCs w:val="0"/>
          <w:color w:val="000000" w:themeColor="text1"/>
          <w:sz w:val="24"/>
          <w:szCs w:val="24"/>
        </w:rPr>
        <w:t xml:space="preserve">LA EMPRESA </w:t>
      </w:r>
      <w:r w:rsidR="00501C91" w:rsidRPr="00345AA7">
        <w:rPr>
          <w:rFonts w:eastAsiaTheme="majorEastAsia" w:cstheme="majorBidi"/>
          <w:bCs w:val="0"/>
          <w:color w:val="000000" w:themeColor="text1"/>
          <w:sz w:val="24"/>
          <w:szCs w:val="24"/>
        </w:rPr>
        <w:t>GRUPO W COM</w:t>
      </w:r>
      <w:r w:rsidR="00D74C66" w:rsidRPr="00345AA7">
        <w:rPr>
          <w:rFonts w:eastAsiaTheme="majorEastAsia" w:cstheme="majorBidi"/>
          <w:bCs w:val="0"/>
          <w:color w:val="000000" w:themeColor="text1"/>
          <w:sz w:val="24"/>
          <w:szCs w:val="24"/>
        </w:rPr>
        <w:t>, S.A. DE C.V.</w:t>
      </w:r>
      <w:r w:rsidRPr="00345AA7">
        <w:rPr>
          <w:rFonts w:eastAsiaTheme="majorEastAsia" w:cstheme="majorBidi"/>
          <w:bCs w:val="0"/>
          <w:color w:val="000000" w:themeColor="text1"/>
          <w:sz w:val="24"/>
          <w:szCs w:val="24"/>
        </w:rPr>
        <w:t>, CONCESIONARIA PARA INSTALAR, OPERAR Y EXPLOTAR UNA RED PÚBLICA DE TELECOMUNICACIONES</w:t>
      </w:r>
      <w:r w:rsidR="00523517" w:rsidRPr="00345AA7">
        <w:rPr>
          <w:rFonts w:eastAsiaTheme="majorEastAsia" w:cstheme="majorBidi"/>
          <w:bCs w:val="0"/>
          <w:color w:val="000000" w:themeColor="text1"/>
          <w:sz w:val="24"/>
          <w:szCs w:val="24"/>
        </w:rPr>
        <w:t>,</w:t>
      </w:r>
      <w:r w:rsidR="00023EF7" w:rsidRPr="00345AA7">
        <w:rPr>
          <w:rFonts w:eastAsiaTheme="majorEastAsia" w:cstheme="majorBidi"/>
          <w:bCs w:val="0"/>
          <w:color w:val="000000" w:themeColor="text1"/>
          <w:sz w:val="24"/>
          <w:szCs w:val="24"/>
        </w:rPr>
        <w:t xml:space="preserve"> </w:t>
      </w:r>
      <w:r w:rsidR="002C0B06" w:rsidRPr="00345AA7">
        <w:rPr>
          <w:rFonts w:eastAsiaTheme="majorEastAsia" w:cstheme="majorBidi"/>
          <w:bCs w:val="0"/>
          <w:color w:val="000000" w:themeColor="text1"/>
          <w:sz w:val="24"/>
          <w:szCs w:val="24"/>
        </w:rPr>
        <w:t>A NIVEL</w:t>
      </w:r>
      <w:r w:rsidR="00023EF7" w:rsidRPr="00345AA7">
        <w:rPr>
          <w:rFonts w:eastAsiaTheme="majorEastAsia" w:cstheme="majorBidi"/>
          <w:bCs w:val="0"/>
          <w:color w:val="000000" w:themeColor="text1"/>
          <w:sz w:val="24"/>
          <w:szCs w:val="24"/>
        </w:rPr>
        <w:t xml:space="preserve"> NACIONAL</w:t>
      </w:r>
      <w:r w:rsidRPr="00345AA7">
        <w:rPr>
          <w:rFonts w:eastAsiaTheme="majorEastAsia" w:cstheme="majorBidi"/>
          <w:bCs w:val="0"/>
          <w:color w:val="000000" w:themeColor="text1"/>
          <w:sz w:val="24"/>
          <w:szCs w:val="24"/>
        </w:rPr>
        <w:t>.</w:t>
      </w:r>
    </w:p>
    <w:p w14:paraId="4B2193D3" w14:textId="77777777" w:rsidR="00345AA7" w:rsidRPr="00345AA7" w:rsidRDefault="00CE0F87" w:rsidP="00345AA7">
      <w:pPr>
        <w:pStyle w:val="Ttulo2"/>
        <w:spacing w:after="240"/>
        <w:jc w:val="center"/>
        <w:rPr>
          <w:rFonts w:ascii="ITC Avant Garde" w:hAnsi="ITC Avant Garde"/>
          <w:b/>
          <w:color w:val="000000" w:themeColor="text1"/>
          <w:sz w:val="22"/>
          <w:szCs w:val="22"/>
        </w:rPr>
      </w:pPr>
      <w:r w:rsidRPr="00345AA7">
        <w:rPr>
          <w:rFonts w:ascii="ITC Avant Garde" w:hAnsi="ITC Avant Garde"/>
          <w:b/>
          <w:color w:val="000000" w:themeColor="text1"/>
          <w:sz w:val="22"/>
          <w:szCs w:val="22"/>
        </w:rPr>
        <w:t>ANTECEDENTES</w:t>
      </w:r>
    </w:p>
    <w:p w14:paraId="33FD0B61" w14:textId="62C8C45A" w:rsidR="00345AA7" w:rsidRPr="00345AA7" w:rsidRDefault="00F520A3" w:rsidP="00345AA7">
      <w:pPr>
        <w:pStyle w:val="Prrafodelista"/>
        <w:numPr>
          <w:ilvl w:val="0"/>
          <w:numId w:val="4"/>
        </w:numPr>
        <w:shd w:val="clear" w:color="auto" w:fill="FFFFFF"/>
        <w:spacing w:before="240" w:after="200"/>
        <w:ind w:left="567" w:hanging="709"/>
        <w:jc w:val="both"/>
        <w:rPr>
          <w:rFonts w:ascii="ITC Avant Garde" w:hAnsi="ITC Avant Garde" w:cs="Arial"/>
          <w:sz w:val="22"/>
          <w:szCs w:val="22"/>
          <w:lang w:eastAsia="es-MX"/>
        </w:rPr>
      </w:pPr>
      <w:r w:rsidRPr="00345AA7">
        <w:rPr>
          <w:rFonts w:ascii="ITC Avant Garde" w:hAnsi="ITC Avant Garde" w:cs="Arial"/>
          <w:b/>
          <w:bCs/>
          <w:sz w:val="22"/>
          <w:szCs w:val="22"/>
          <w:lang w:eastAsia="es-MX"/>
        </w:rPr>
        <w:t>Otorgamiento de la</w:t>
      </w:r>
      <w:r w:rsidR="00623650" w:rsidRPr="00345AA7">
        <w:rPr>
          <w:rFonts w:ascii="ITC Avant Garde" w:hAnsi="ITC Avant Garde" w:cs="Arial"/>
          <w:b/>
          <w:bCs/>
          <w:sz w:val="22"/>
          <w:szCs w:val="22"/>
          <w:lang w:eastAsia="es-MX"/>
        </w:rPr>
        <w:t xml:space="preserve"> Concesión</w:t>
      </w:r>
      <w:r w:rsidRPr="00345AA7">
        <w:rPr>
          <w:rFonts w:ascii="ITC Avant Garde" w:hAnsi="ITC Avant Garde" w:cs="Arial"/>
          <w:b/>
          <w:bCs/>
          <w:sz w:val="22"/>
          <w:szCs w:val="22"/>
          <w:lang w:eastAsia="es-MX"/>
        </w:rPr>
        <w:t>.</w:t>
      </w:r>
      <w:r w:rsidRPr="00345AA7">
        <w:rPr>
          <w:rFonts w:ascii="ITC Avant Garde" w:hAnsi="ITC Avant Garde" w:cs="Arial"/>
          <w:sz w:val="22"/>
          <w:szCs w:val="22"/>
          <w:lang w:eastAsia="es-MX"/>
        </w:rPr>
        <w:t xml:space="preserve"> </w:t>
      </w:r>
      <w:r w:rsidR="007B32ED" w:rsidRPr="00345AA7">
        <w:rPr>
          <w:rFonts w:ascii="ITC Avant Garde" w:hAnsi="ITC Avant Garde"/>
          <w:bCs/>
          <w:sz w:val="22"/>
          <w:szCs w:val="22"/>
          <w:lang w:eastAsia="es-MX"/>
        </w:rPr>
        <w:t xml:space="preserve">El </w:t>
      </w:r>
      <w:r w:rsidR="001D1F01" w:rsidRPr="00345AA7">
        <w:rPr>
          <w:rFonts w:ascii="ITC Avant Garde" w:hAnsi="ITC Avant Garde"/>
          <w:bCs/>
          <w:sz w:val="22"/>
          <w:szCs w:val="22"/>
          <w:lang w:eastAsia="es-MX"/>
        </w:rPr>
        <w:t>29</w:t>
      </w:r>
      <w:r w:rsidR="007B32ED" w:rsidRPr="00345AA7">
        <w:rPr>
          <w:rFonts w:ascii="ITC Avant Garde" w:hAnsi="ITC Avant Garde"/>
          <w:bCs/>
          <w:sz w:val="22"/>
          <w:szCs w:val="22"/>
          <w:lang w:eastAsia="es-MX"/>
        </w:rPr>
        <w:t xml:space="preserve"> de </w:t>
      </w:r>
      <w:r w:rsidR="001D1F01" w:rsidRPr="00345AA7">
        <w:rPr>
          <w:rFonts w:ascii="ITC Avant Garde" w:hAnsi="ITC Avant Garde"/>
          <w:bCs/>
          <w:sz w:val="22"/>
          <w:szCs w:val="22"/>
          <w:lang w:eastAsia="es-MX"/>
        </w:rPr>
        <w:t xml:space="preserve">enero </w:t>
      </w:r>
      <w:r w:rsidR="007B32ED" w:rsidRPr="00345AA7">
        <w:rPr>
          <w:rFonts w:ascii="ITC Avant Garde" w:hAnsi="ITC Avant Garde"/>
          <w:bCs/>
          <w:sz w:val="22"/>
          <w:szCs w:val="22"/>
          <w:lang w:eastAsia="es-MX"/>
        </w:rPr>
        <w:t>de 200</w:t>
      </w:r>
      <w:r w:rsidR="001D1F01" w:rsidRPr="00345AA7">
        <w:rPr>
          <w:rFonts w:ascii="ITC Avant Garde" w:hAnsi="ITC Avant Garde"/>
          <w:bCs/>
          <w:sz w:val="22"/>
          <w:szCs w:val="22"/>
          <w:lang w:eastAsia="es-MX"/>
        </w:rPr>
        <w:t>4,</w:t>
      </w:r>
      <w:r w:rsidR="007B32ED" w:rsidRPr="00345AA7">
        <w:rPr>
          <w:rFonts w:ascii="ITC Avant Garde" w:hAnsi="ITC Avant Garde"/>
          <w:bCs/>
          <w:sz w:val="22"/>
          <w:szCs w:val="22"/>
          <w:lang w:eastAsia="es-MX"/>
        </w:rPr>
        <w:t xml:space="preserve"> la Secretaría de Comunicaciones y Transportes (la “Secretaría”) otorgó en favor de la empresa </w:t>
      </w:r>
      <w:r w:rsidR="001D1F01" w:rsidRPr="00345AA7">
        <w:rPr>
          <w:rFonts w:ascii="ITC Avant Garde" w:hAnsi="ITC Avant Garde"/>
          <w:bCs/>
          <w:sz w:val="22"/>
          <w:szCs w:val="22"/>
          <w:lang w:eastAsia="es-MX"/>
        </w:rPr>
        <w:t>Grupo W Com</w:t>
      </w:r>
      <w:r w:rsidR="007B32ED" w:rsidRPr="00345AA7">
        <w:rPr>
          <w:rFonts w:ascii="ITC Avant Garde" w:hAnsi="ITC Avant Garde"/>
          <w:bCs/>
          <w:sz w:val="22"/>
          <w:szCs w:val="22"/>
          <w:lang w:eastAsia="es-MX"/>
        </w:rPr>
        <w:t>, S.A. de C.V., un título de concesión para instalar, operar y explotar una red pública de telecomunicaciones</w:t>
      </w:r>
      <w:r w:rsidR="006F4357" w:rsidRPr="00345AA7">
        <w:rPr>
          <w:rFonts w:ascii="ITC Avant Garde" w:hAnsi="ITC Avant Garde"/>
          <w:bCs/>
          <w:sz w:val="22"/>
          <w:szCs w:val="22"/>
          <w:lang w:eastAsia="es-MX"/>
        </w:rPr>
        <w:t xml:space="preserve"> a nivel nacional,</w:t>
      </w:r>
      <w:r w:rsidR="007B32ED" w:rsidRPr="00345AA7">
        <w:rPr>
          <w:rFonts w:ascii="ITC Avant Garde" w:hAnsi="ITC Avant Garde"/>
          <w:bCs/>
          <w:sz w:val="22"/>
          <w:szCs w:val="22"/>
          <w:lang w:eastAsia="es-MX"/>
        </w:rPr>
        <w:t xml:space="preserve"> con una vigencia de </w:t>
      </w:r>
      <w:r w:rsidR="001D1F01" w:rsidRPr="00345AA7">
        <w:rPr>
          <w:rFonts w:ascii="ITC Avant Garde" w:hAnsi="ITC Avant Garde"/>
          <w:bCs/>
          <w:sz w:val="22"/>
          <w:szCs w:val="22"/>
          <w:lang w:eastAsia="es-MX"/>
        </w:rPr>
        <w:t xml:space="preserve">15 </w:t>
      </w:r>
      <w:r w:rsidR="007B32ED" w:rsidRPr="00345AA7">
        <w:rPr>
          <w:rFonts w:ascii="ITC Avant Garde" w:hAnsi="ITC Avant Garde"/>
          <w:bCs/>
          <w:sz w:val="22"/>
          <w:szCs w:val="22"/>
          <w:lang w:eastAsia="es-MX"/>
        </w:rPr>
        <w:t>(</w:t>
      </w:r>
      <w:r w:rsidR="001D1F01" w:rsidRPr="00345AA7">
        <w:rPr>
          <w:rFonts w:ascii="ITC Avant Garde" w:hAnsi="ITC Avant Garde"/>
          <w:bCs/>
          <w:sz w:val="22"/>
          <w:szCs w:val="22"/>
          <w:lang w:eastAsia="es-MX"/>
        </w:rPr>
        <w:t>quince</w:t>
      </w:r>
      <w:r w:rsidR="007B32ED" w:rsidRPr="00345AA7">
        <w:rPr>
          <w:rFonts w:ascii="ITC Avant Garde" w:hAnsi="ITC Avant Garde"/>
          <w:bCs/>
          <w:sz w:val="22"/>
          <w:szCs w:val="22"/>
          <w:lang w:eastAsia="es-MX"/>
        </w:rPr>
        <w:t>) años contados a partir de la fecha de su otorgamiento</w:t>
      </w:r>
      <w:r w:rsidR="006F4357" w:rsidRPr="00345AA7">
        <w:rPr>
          <w:rFonts w:ascii="ITC Avant Garde" w:hAnsi="ITC Avant Garde"/>
          <w:bCs/>
          <w:sz w:val="22"/>
          <w:szCs w:val="22"/>
          <w:lang w:eastAsia="es-MX"/>
        </w:rPr>
        <w:t xml:space="preserve"> (la “Concesión”)</w:t>
      </w:r>
      <w:r w:rsidR="00623650" w:rsidRPr="00345AA7">
        <w:rPr>
          <w:rFonts w:ascii="ITC Avant Garde" w:hAnsi="ITC Avant Garde"/>
          <w:bCs/>
          <w:sz w:val="22"/>
          <w:szCs w:val="22"/>
          <w:lang w:eastAsia="es-MX"/>
        </w:rPr>
        <w:t>.</w:t>
      </w:r>
    </w:p>
    <w:p w14:paraId="6A247CEE" w14:textId="0104E620" w:rsidR="001B2763" w:rsidRPr="00345AA7" w:rsidRDefault="00623650" w:rsidP="00345AA7">
      <w:pPr>
        <w:spacing w:before="240"/>
        <w:ind w:left="567" w:right="-94"/>
        <w:jc w:val="both"/>
        <w:rPr>
          <w:lang w:eastAsia="es-MX"/>
        </w:rPr>
      </w:pPr>
      <w:r w:rsidRPr="00345AA7">
        <w:rPr>
          <w:rFonts w:ascii="ITC Avant Garde" w:hAnsi="ITC Avant Garde"/>
          <w:bCs/>
          <w:lang w:eastAsia="es-MX"/>
        </w:rPr>
        <w:t>En e</w:t>
      </w:r>
      <w:r w:rsidR="007B32ED" w:rsidRPr="00345AA7">
        <w:rPr>
          <w:rFonts w:ascii="ITC Avant Garde" w:hAnsi="ITC Avant Garde"/>
          <w:bCs/>
          <w:lang w:eastAsia="es-MX"/>
        </w:rPr>
        <w:t xml:space="preserve">l </w:t>
      </w:r>
      <w:r w:rsidR="0097449D" w:rsidRPr="00345AA7">
        <w:rPr>
          <w:rFonts w:ascii="ITC Avant Garde" w:hAnsi="ITC Avant Garde"/>
          <w:bCs/>
          <w:lang w:eastAsia="es-MX"/>
        </w:rPr>
        <w:t xml:space="preserve">Capítulo A del </w:t>
      </w:r>
      <w:r w:rsidR="007B32ED" w:rsidRPr="00345AA7">
        <w:rPr>
          <w:rFonts w:ascii="ITC Avant Garde" w:hAnsi="ITC Avant Garde"/>
          <w:bCs/>
          <w:lang w:eastAsia="es-MX"/>
        </w:rPr>
        <w:t>Anexo</w:t>
      </w:r>
      <w:r w:rsidRPr="00345AA7">
        <w:rPr>
          <w:rFonts w:ascii="ITC Avant Garde" w:hAnsi="ITC Avant Garde"/>
          <w:bCs/>
          <w:lang w:eastAsia="es-MX"/>
        </w:rPr>
        <w:t xml:space="preserve"> de la Concesión</w:t>
      </w:r>
      <w:r w:rsidR="007B32ED" w:rsidRPr="00345AA7">
        <w:rPr>
          <w:rFonts w:ascii="ITC Avant Garde" w:hAnsi="ITC Avant Garde"/>
          <w:bCs/>
          <w:lang w:eastAsia="es-MX"/>
        </w:rPr>
        <w:t xml:space="preserve"> </w:t>
      </w:r>
      <w:r w:rsidRPr="00345AA7">
        <w:rPr>
          <w:rFonts w:ascii="ITC Avant Garde" w:hAnsi="ITC Avant Garde"/>
          <w:bCs/>
          <w:lang w:eastAsia="es-MX"/>
        </w:rPr>
        <w:t>se estableci</w:t>
      </w:r>
      <w:r w:rsidR="00262105" w:rsidRPr="00345AA7">
        <w:rPr>
          <w:rFonts w:ascii="ITC Avant Garde" w:hAnsi="ITC Avant Garde"/>
          <w:bCs/>
          <w:lang w:eastAsia="es-MX"/>
        </w:rPr>
        <w:t>eron</w:t>
      </w:r>
      <w:r w:rsidRPr="00345AA7">
        <w:rPr>
          <w:rFonts w:ascii="ITC Avant Garde" w:hAnsi="ITC Avant Garde"/>
          <w:bCs/>
          <w:lang w:eastAsia="es-MX"/>
        </w:rPr>
        <w:t xml:space="preserve"> como servicio</w:t>
      </w:r>
      <w:r w:rsidR="001D1F01" w:rsidRPr="00345AA7">
        <w:rPr>
          <w:rFonts w:ascii="ITC Avant Garde" w:hAnsi="ITC Avant Garde"/>
          <w:bCs/>
          <w:lang w:eastAsia="es-MX"/>
        </w:rPr>
        <w:t>s</w:t>
      </w:r>
      <w:r w:rsidRPr="00345AA7">
        <w:rPr>
          <w:rFonts w:ascii="ITC Avant Garde" w:hAnsi="ITC Avant Garde"/>
          <w:bCs/>
          <w:lang w:eastAsia="es-MX"/>
        </w:rPr>
        <w:t xml:space="preserve"> comprendido</w:t>
      </w:r>
      <w:r w:rsidR="001D1F01" w:rsidRPr="00345AA7">
        <w:rPr>
          <w:rFonts w:ascii="ITC Avant Garde" w:hAnsi="ITC Avant Garde"/>
          <w:bCs/>
          <w:lang w:eastAsia="es-MX"/>
        </w:rPr>
        <w:t>s,</w:t>
      </w:r>
      <w:r w:rsidRPr="00345AA7">
        <w:rPr>
          <w:rFonts w:ascii="ITC Avant Garde" w:hAnsi="ITC Avant Garde"/>
          <w:bCs/>
          <w:lang w:eastAsia="es-MX"/>
        </w:rPr>
        <w:t xml:space="preserve"> </w:t>
      </w:r>
      <w:r w:rsidR="001D1F01" w:rsidRPr="00345AA7">
        <w:rPr>
          <w:rFonts w:ascii="ITC Avant Garde" w:hAnsi="ITC Avant Garde"/>
          <w:bCs/>
          <w:lang w:eastAsia="es-MX"/>
        </w:rPr>
        <w:t>los siguientes:</w:t>
      </w:r>
      <w:r w:rsidR="001D1F01" w:rsidRPr="00345AA7" w:rsidDel="001D1F01">
        <w:rPr>
          <w:rFonts w:ascii="ITC Avant Garde" w:hAnsi="ITC Avant Garde"/>
          <w:bCs/>
          <w:lang w:eastAsia="es-MX"/>
        </w:rPr>
        <w:t xml:space="preserve"> </w:t>
      </w:r>
    </w:p>
    <w:p w14:paraId="6AEB2DBA" w14:textId="44041CBE" w:rsidR="001D1F01" w:rsidRPr="00345AA7" w:rsidRDefault="00262105" w:rsidP="00345AA7">
      <w:pPr>
        <w:pStyle w:val="Prrafodelista"/>
        <w:numPr>
          <w:ilvl w:val="0"/>
          <w:numId w:val="21"/>
        </w:numPr>
        <w:shd w:val="clear" w:color="auto" w:fill="FFFFFF"/>
        <w:spacing w:before="240" w:after="200"/>
        <w:ind w:left="1134" w:right="-94" w:hanging="567"/>
        <w:jc w:val="both"/>
        <w:rPr>
          <w:rFonts w:ascii="ITC Avant Garde" w:hAnsi="ITC Avant Garde" w:cs="Arial"/>
          <w:sz w:val="22"/>
          <w:szCs w:val="22"/>
        </w:rPr>
      </w:pPr>
      <w:r w:rsidRPr="00345AA7">
        <w:rPr>
          <w:rFonts w:ascii="ITC Avant Garde" w:hAnsi="ITC Avant Garde" w:cs="Arial"/>
          <w:sz w:val="22"/>
          <w:szCs w:val="22"/>
        </w:rPr>
        <w:t>C</w:t>
      </w:r>
      <w:r w:rsidR="001D1F01" w:rsidRPr="00345AA7">
        <w:rPr>
          <w:rFonts w:ascii="ITC Avant Garde" w:hAnsi="ITC Avant Garde" w:cs="Arial"/>
          <w:sz w:val="22"/>
          <w:szCs w:val="22"/>
        </w:rPr>
        <w:t xml:space="preserve">onducción de señales a concesionarios de redes públicas de telecomunicaciones; </w:t>
      </w:r>
    </w:p>
    <w:p w14:paraId="47D58C58" w14:textId="281BDBD5" w:rsidR="001D1F01" w:rsidRPr="00345AA7" w:rsidRDefault="001D1F01" w:rsidP="00345AA7">
      <w:pPr>
        <w:pStyle w:val="Prrafodelista"/>
        <w:numPr>
          <w:ilvl w:val="0"/>
          <w:numId w:val="21"/>
        </w:numPr>
        <w:shd w:val="clear" w:color="auto" w:fill="FFFFFF"/>
        <w:spacing w:before="240" w:after="200"/>
        <w:ind w:left="1134" w:right="-94" w:hanging="567"/>
        <w:jc w:val="both"/>
        <w:rPr>
          <w:rFonts w:ascii="ITC Avant Garde" w:hAnsi="ITC Avant Garde"/>
          <w:bCs/>
          <w:sz w:val="22"/>
          <w:szCs w:val="22"/>
          <w:lang w:eastAsia="es-MX"/>
        </w:rPr>
      </w:pPr>
      <w:r w:rsidRPr="00345AA7">
        <w:rPr>
          <w:rFonts w:ascii="ITC Avant Garde" w:hAnsi="ITC Avant Garde" w:cs="Arial"/>
          <w:sz w:val="22"/>
          <w:szCs w:val="22"/>
        </w:rPr>
        <w:t>conducción de señales a redes privadas de telecomunicaciones;</w:t>
      </w:r>
    </w:p>
    <w:p w14:paraId="67BEAFB7" w14:textId="6F567EB1" w:rsidR="001D1F01" w:rsidRPr="00345AA7" w:rsidRDefault="001D1F01" w:rsidP="00345AA7">
      <w:pPr>
        <w:pStyle w:val="Prrafodelista"/>
        <w:numPr>
          <w:ilvl w:val="0"/>
          <w:numId w:val="21"/>
        </w:numPr>
        <w:shd w:val="clear" w:color="auto" w:fill="FFFFFF"/>
        <w:spacing w:before="240" w:after="200"/>
        <w:ind w:left="1134" w:right="-94" w:hanging="567"/>
        <w:jc w:val="both"/>
        <w:rPr>
          <w:rFonts w:ascii="ITC Avant Garde" w:hAnsi="ITC Avant Garde"/>
          <w:bCs/>
          <w:sz w:val="22"/>
          <w:szCs w:val="22"/>
          <w:lang w:eastAsia="es-MX"/>
        </w:rPr>
      </w:pPr>
      <w:r w:rsidRPr="00345AA7">
        <w:rPr>
          <w:rFonts w:ascii="ITC Avant Garde" w:hAnsi="ITC Avant Garde" w:cs="Arial"/>
          <w:sz w:val="22"/>
          <w:szCs w:val="22"/>
        </w:rPr>
        <w:t>conducción de señales a prestadores de servicios</w:t>
      </w:r>
      <w:r w:rsidR="004679C9" w:rsidRPr="00345AA7">
        <w:rPr>
          <w:rFonts w:ascii="ITC Avant Garde" w:hAnsi="ITC Avant Garde" w:cs="Arial"/>
          <w:sz w:val="22"/>
          <w:szCs w:val="22"/>
        </w:rPr>
        <w:t xml:space="preserve"> de valor agregado</w:t>
      </w:r>
      <w:r w:rsidRPr="00345AA7">
        <w:rPr>
          <w:rFonts w:ascii="ITC Avant Garde" w:hAnsi="ITC Avant Garde" w:cs="Arial"/>
          <w:sz w:val="22"/>
          <w:szCs w:val="22"/>
        </w:rPr>
        <w:t xml:space="preserve">, y </w:t>
      </w:r>
    </w:p>
    <w:p w14:paraId="09C3C1E3" w14:textId="77777777" w:rsidR="00345AA7" w:rsidRPr="00345AA7" w:rsidRDefault="001D1F01" w:rsidP="00345AA7">
      <w:pPr>
        <w:pStyle w:val="Prrafodelista"/>
        <w:numPr>
          <w:ilvl w:val="0"/>
          <w:numId w:val="21"/>
        </w:numPr>
        <w:shd w:val="clear" w:color="auto" w:fill="FFFFFF"/>
        <w:spacing w:before="240" w:after="200"/>
        <w:ind w:left="1134" w:right="-94" w:hanging="567"/>
        <w:jc w:val="both"/>
        <w:rPr>
          <w:rFonts w:ascii="ITC Avant Garde" w:hAnsi="ITC Avant Garde"/>
          <w:bCs/>
          <w:sz w:val="22"/>
          <w:szCs w:val="22"/>
          <w:lang w:eastAsia="es-MX"/>
        </w:rPr>
      </w:pPr>
      <w:r w:rsidRPr="00345AA7">
        <w:rPr>
          <w:rFonts w:ascii="ITC Avant Garde" w:hAnsi="ITC Avant Garde" w:cs="Arial"/>
          <w:sz w:val="22"/>
          <w:szCs w:val="22"/>
        </w:rPr>
        <w:t>conducción de señales ocasionales.</w:t>
      </w:r>
    </w:p>
    <w:p w14:paraId="18FBD94E" w14:textId="77777777" w:rsidR="00345AA7" w:rsidRPr="00345AA7" w:rsidRDefault="009E79CE" w:rsidP="00345AA7">
      <w:pPr>
        <w:pStyle w:val="Prrafodelista"/>
        <w:numPr>
          <w:ilvl w:val="0"/>
          <w:numId w:val="4"/>
        </w:numPr>
        <w:spacing w:before="240" w:after="200"/>
        <w:ind w:left="567" w:hanging="709"/>
        <w:jc w:val="both"/>
        <w:rPr>
          <w:rFonts w:ascii="ITC Avant Garde" w:hAnsi="ITC Avant Garde"/>
          <w:b/>
          <w:sz w:val="22"/>
          <w:szCs w:val="22"/>
        </w:rPr>
      </w:pPr>
      <w:r w:rsidRPr="00345AA7">
        <w:rPr>
          <w:rFonts w:ascii="ITC Avant Garde" w:hAnsi="ITC Avant Garde"/>
          <w:b/>
          <w:bCs/>
          <w:lang w:eastAsia="es-MX"/>
        </w:rPr>
        <w:t xml:space="preserve">Primera Modificación de la Concesión. </w:t>
      </w:r>
      <w:r w:rsidR="00B0269C" w:rsidRPr="00345AA7">
        <w:rPr>
          <w:rFonts w:ascii="ITC Avant Garde" w:hAnsi="ITC Avant Garde"/>
          <w:bCs/>
          <w:color w:val="000000"/>
          <w:lang w:eastAsia="es-MX"/>
        </w:rPr>
        <w:t>El 30 de noviembre de 2006, la Secretaría modificó la Concesión</w:t>
      </w:r>
      <w:r w:rsidR="00262105" w:rsidRPr="00345AA7">
        <w:rPr>
          <w:rFonts w:ascii="ITC Avant Garde" w:hAnsi="ITC Avant Garde"/>
          <w:bCs/>
          <w:color w:val="000000"/>
          <w:sz w:val="22"/>
          <w:szCs w:val="22"/>
          <w:lang w:eastAsia="es-MX"/>
        </w:rPr>
        <w:t>,</w:t>
      </w:r>
      <w:r w:rsidR="007F08CE" w:rsidRPr="00345AA7">
        <w:rPr>
          <w:rFonts w:ascii="ITC Avant Garde" w:hAnsi="ITC Avant Garde"/>
          <w:bCs/>
          <w:color w:val="000000"/>
          <w:lang w:eastAsia="es-MX"/>
        </w:rPr>
        <w:t xml:space="preserve"> para</w:t>
      </w:r>
      <w:r w:rsidR="00B0269C" w:rsidRPr="00345AA7">
        <w:rPr>
          <w:rFonts w:ascii="ITC Avant Garde" w:hAnsi="ITC Avant Garde"/>
          <w:bCs/>
          <w:color w:val="000000"/>
          <w:lang w:eastAsia="es-MX"/>
        </w:rPr>
        <w:t xml:space="preserve"> adicionar el Capítulo B, </w:t>
      </w:r>
      <w:r w:rsidR="007F08CE" w:rsidRPr="00345AA7">
        <w:rPr>
          <w:rFonts w:ascii="ITC Avant Garde" w:hAnsi="ITC Avant Garde"/>
          <w:bCs/>
          <w:color w:val="000000"/>
          <w:lang w:eastAsia="es-MX"/>
        </w:rPr>
        <w:t xml:space="preserve">a efecto de </w:t>
      </w:r>
      <w:r w:rsidR="00262105" w:rsidRPr="00345AA7">
        <w:rPr>
          <w:rFonts w:ascii="ITC Avant Garde" w:hAnsi="ITC Avant Garde"/>
          <w:bCs/>
          <w:color w:val="000000"/>
          <w:sz w:val="22"/>
          <w:szCs w:val="22"/>
          <w:lang w:eastAsia="es-MX"/>
        </w:rPr>
        <w:t>incluir</w:t>
      </w:r>
      <w:r w:rsidR="00262105" w:rsidRPr="00345AA7">
        <w:rPr>
          <w:rFonts w:ascii="ITC Avant Garde" w:hAnsi="ITC Avant Garde"/>
          <w:bCs/>
          <w:color w:val="000000"/>
          <w:lang w:eastAsia="es-MX"/>
        </w:rPr>
        <w:t xml:space="preserve"> </w:t>
      </w:r>
      <w:r w:rsidR="007F08CE" w:rsidRPr="00345AA7">
        <w:rPr>
          <w:rFonts w:ascii="ITC Avant Garde" w:hAnsi="ITC Avant Garde"/>
          <w:bCs/>
          <w:color w:val="000000"/>
          <w:lang w:eastAsia="es-MX"/>
        </w:rPr>
        <w:t>el servicio</w:t>
      </w:r>
      <w:r w:rsidR="00262105" w:rsidRPr="00345AA7">
        <w:rPr>
          <w:rFonts w:ascii="ITC Avant Garde" w:hAnsi="ITC Avant Garde"/>
        </w:rPr>
        <w:t xml:space="preserve"> de</w:t>
      </w:r>
      <w:r w:rsidR="00262105" w:rsidRPr="00345AA7">
        <w:rPr>
          <w:rFonts w:ascii="ITC Avant Garde" w:hAnsi="ITC Avant Garde"/>
          <w:sz w:val="22"/>
          <w:szCs w:val="22"/>
        </w:rPr>
        <w:t xml:space="preserve"> </w:t>
      </w:r>
      <w:r w:rsidR="00CD6A32" w:rsidRPr="00345AA7">
        <w:rPr>
          <w:rFonts w:ascii="ITC Avant Garde" w:eastAsia="Calibri" w:hAnsi="ITC Avant Garde"/>
          <w:sz w:val="22"/>
          <w:szCs w:val="22"/>
          <w:lang w:val="es-MX"/>
        </w:rPr>
        <w:t>radiodeterminación móvil por satélite</w:t>
      </w:r>
      <w:r w:rsidR="00CD6A32" w:rsidRPr="00345AA7">
        <w:rPr>
          <w:rFonts w:ascii="ITC Avant Garde" w:eastAsia="Calibri" w:hAnsi="ITC Avant Garde"/>
          <w:sz w:val="22"/>
          <w:szCs w:val="22"/>
        </w:rPr>
        <w:t>.</w:t>
      </w:r>
    </w:p>
    <w:p w14:paraId="05E2F2C8" w14:textId="77777777" w:rsidR="00345AA7" w:rsidRPr="00345AA7" w:rsidRDefault="00CD6A32" w:rsidP="00345AA7">
      <w:pPr>
        <w:numPr>
          <w:ilvl w:val="0"/>
          <w:numId w:val="4"/>
        </w:numPr>
        <w:spacing w:before="240" w:line="240" w:lineRule="auto"/>
        <w:ind w:left="567" w:hanging="709"/>
        <w:jc w:val="both"/>
        <w:rPr>
          <w:rFonts w:ascii="ITC Avant Garde" w:hAnsi="ITC Avant Garde"/>
          <w:bCs/>
          <w:color w:val="000000"/>
          <w:lang w:eastAsia="es-MX"/>
        </w:rPr>
      </w:pPr>
      <w:r w:rsidRPr="00345AA7">
        <w:rPr>
          <w:rFonts w:ascii="ITC Avant Garde" w:eastAsia="Times New Roman" w:hAnsi="ITC Avant Garde"/>
          <w:b/>
          <w:bCs/>
          <w:lang w:val="es-ES" w:eastAsia="es-MX"/>
        </w:rPr>
        <w:t>Segunda Modificación de la Concesión.</w:t>
      </w:r>
      <w:r w:rsidRPr="00345AA7">
        <w:rPr>
          <w:rFonts w:ascii="ITC Avant Garde" w:hAnsi="ITC Avant Garde"/>
          <w:b/>
          <w:bCs/>
          <w:lang w:eastAsia="es-MX"/>
        </w:rPr>
        <w:t xml:space="preserve"> </w:t>
      </w:r>
      <w:r w:rsidRPr="00345AA7">
        <w:rPr>
          <w:rFonts w:ascii="ITC Avant Garde" w:hAnsi="ITC Avant Garde"/>
          <w:bCs/>
          <w:lang w:eastAsia="es-MX"/>
        </w:rPr>
        <w:t>El 2 de septiembre de 2008, la Secretaría modificó la Concesión, para adicionar el Capítulo C, a efecto de</w:t>
      </w:r>
      <w:r w:rsidRPr="00345AA7">
        <w:rPr>
          <w:rFonts w:ascii="ITC Avant Garde" w:hAnsi="ITC Avant Garde"/>
          <w:bCs/>
          <w:color w:val="000000"/>
          <w:lang w:eastAsia="es-MX"/>
        </w:rPr>
        <w:t xml:space="preserve"> </w:t>
      </w:r>
      <w:r w:rsidR="00262105" w:rsidRPr="00345AA7">
        <w:rPr>
          <w:rFonts w:ascii="ITC Avant Garde" w:hAnsi="ITC Avant Garde"/>
          <w:bCs/>
          <w:color w:val="000000"/>
          <w:lang w:eastAsia="es-MX"/>
        </w:rPr>
        <w:t>incluir el servicio de telefonía básica de larga distancia nacional e internacional, y el servicio de transmisión de datos.</w:t>
      </w:r>
    </w:p>
    <w:p w14:paraId="7730EFD2" w14:textId="10CC3A3D" w:rsidR="00345AA7" w:rsidRPr="00345AA7" w:rsidRDefault="00B0269C" w:rsidP="00345AA7">
      <w:pPr>
        <w:numPr>
          <w:ilvl w:val="0"/>
          <w:numId w:val="4"/>
        </w:numPr>
        <w:spacing w:before="240" w:line="240" w:lineRule="auto"/>
        <w:ind w:left="567" w:hanging="709"/>
        <w:jc w:val="both"/>
        <w:rPr>
          <w:rFonts w:ascii="ITC Avant Garde" w:eastAsia="Times New Roman" w:hAnsi="ITC Avant Garde"/>
          <w:bCs/>
          <w:lang w:val="es-ES" w:eastAsia="es-MX"/>
        </w:rPr>
      </w:pPr>
      <w:r w:rsidRPr="00345AA7">
        <w:rPr>
          <w:rFonts w:ascii="ITC Avant Garde" w:hAnsi="ITC Avant Garde"/>
          <w:b/>
          <w:bCs/>
          <w:lang w:eastAsia="es-MX"/>
        </w:rPr>
        <w:t>Servicio de Valor Agregado.</w:t>
      </w:r>
      <w:r w:rsidRPr="00345AA7">
        <w:rPr>
          <w:rFonts w:ascii="ITC Avant Garde" w:hAnsi="ITC Avant Garde"/>
          <w:bCs/>
          <w:lang w:eastAsia="es-MX"/>
        </w:rPr>
        <w:t xml:space="preserve"> </w:t>
      </w:r>
      <w:r w:rsidR="00966A79" w:rsidRPr="00345AA7">
        <w:rPr>
          <w:rFonts w:ascii="ITC Avant Garde" w:eastAsia="Times New Roman" w:hAnsi="ITC Avant Garde"/>
          <w:bCs/>
          <w:lang w:val="es-ES" w:eastAsia="es-MX"/>
        </w:rPr>
        <w:t xml:space="preserve">Con fecha 24 de enero de 2012, la extinta Comisión Federal de Telecomunicaciones, expidió a favor Grupo W Com, S.A. de C.V., una constancia de Registro de Servicios de Valor Agregado con registro SVA-004/2012, la cual comprende los servicios </w:t>
      </w:r>
      <w:r w:rsidR="003C2A85" w:rsidRPr="00345AA7">
        <w:rPr>
          <w:rFonts w:ascii="ITC Avant Garde" w:eastAsia="Times New Roman" w:hAnsi="ITC Avant Garde"/>
          <w:bCs/>
          <w:lang w:val="es-ES" w:eastAsia="es-MX"/>
        </w:rPr>
        <w:t>siguientes:</w:t>
      </w:r>
    </w:p>
    <w:p w14:paraId="1EAB39ED" w14:textId="584C038C" w:rsidR="003C2A85" w:rsidRPr="00345AA7" w:rsidRDefault="00262105" w:rsidP="00345AA7">
      <w:pPr>
        <w:pStyle w:val="Prrafodelista"/>
        <w:numPr>
          <w:ilvl w:val="0"/>
          <w:numId w:val="24"/>
        </w:numPr>
        <w:spacing w:before="240" w:after="200"/>
        <w:jc w:val="both"/>
        <w:rPr>
          <w:rFonts w:ascii="ITC Avant Garde" w:hAnsi="ITC Avant Garde"/>
          <w:bCs/>
          <w:sz w:val="22"/>
          <w:szCs w:val="22"/>
          <w:lang w:eastAsia="es-MX"/>
        </w:rPr>
      </w:pPr>
      <w:r w:rsidRPr="00345AA7">
        <w:rPr>
          <w:rFonts w:ascii="ITC Avant Garde" w:hAnsi="ITC Avant Garde"/>
          <w:bCs/>
          <w:sz w:val="22"/>
          <w:szCs w:val="22"/>
          <w:lang w:eastAsia="es-MX"/>
        </w:rPr>
        <w:t>I</w:t>
      </w:r>
      <w:r w:rsidR="00966A79" w:rsidRPr="00345AA7">
        <w:rPr>
          <w:rFonts w:ascii="ITC Avant Garde" w:hAnsi="ITC Avant Garde"/>
          <w:bCs/>
          <w:sz w:val="22"/>
          <w:szCs w:val="22"/>
          <w:lang w:eastAsia="es-MX"/>
        </w:rPr>
        <w:t>n</w:t>
      </w:r>
      <w:r w:rsidR="003C2A85" w:rsidRPr="00345AA7">
        <w:rPr>
          <w:rFonts w:ascii="ITC Avant Garde" w:hAnsi="ITC Avant Garde"/>
          <w:bCs/>
          <w:sz w:val="22"/>
          <w:szCs w:val="22"/>
          <w:lang w:eastAsia="es-MX"/>
        </w:rPr>
        <w:t>tercambio electrónico de datos;</w:t>
      </w:r>
    </w:p>
    <w:p w14:paraId="165FE9F6" w14:textId="77777777" w:rsidR="003C2A85" w:rsidRPr="00345AA7" w:rsidRDefault="00966A79" w:rsidP="00345AA7">
      <w:pPr>
        <w:pStyle w:val="Prrafodelista"/>
        <w:numPr>
          <w:ilvl w:val="0"/>
          <w:numId w:val="24"/>
        </w:numPr>
        <w:spacing w:before="240" w:after="200"/>
        <w:jc w:val="both"/>
        <w:rPr>
          <w:rFonts w:ascii="ITC Avant Garde" w:hAnsi="ITC Avant Garde"/>
          <w:bCs/>
          <w:sz w:val="22"/>
          <w:szCs w:val="22"/>
          <w:lang w:eastAsia="es-MX"/>
        </w:rPr>
      </w:pPr>
      <w:r w:rsidRPr="00345AA7">
        <w:rPr>
          <w:rFonts w:ascii="ITC Avant Garde" w:hAnsi="ITC Avant Garde"/>
          <w:bCs/>
          <w:sz w:val="22"/>
          <w:szCs w:val="22"/>
          <w:lang w:eastAsia="es-MX"/>
        </w:rPr>
        <w:t>correo e</w:t>
      </w:r>
      <w:r w:rsidR="003C2A85" w:rsidRPr="00345AA7">
        <w:rPr>
          <w:rFonts w:ascii="ITC Avant Garde" w:hAnsi="ITC Avant Garde"/>
          <w:bCs/>
          <w:sz w:val="22"/>
          <w:szCs w:val="22"/>
          <w:lang w:eastAsia="es-MX"/>
        </w:rPr>
        <w:t>lectrónico de datos o facsímil;</w:t>
      </w:r>
    </w:p>
    <w:p w14:paraId="2E1349B0" w14:textId="77777777" w:rsidR="003C2A85" w:rsidRPr="00345AA7" w:rsidRDefault="003C2A85" w:rsidP="00345AA7">
      <w:pPr>
        <w:pStyle w:val="Prrafodelista"/>
        <w:numPr>
          <w:ilvl w:val="0"/>
          <w:numId w:val="24"/>
        </w:numPr>
        <w:spacing w:before="240" w:after="200"/>
        <w:jc w:val="both"/>
        <w:rPr>
          <w:rFonts w:ascii="ITC Avant Garde" w:hAnsi="ITC Avant Garde"/>
          <w:bCs/>
          <w:sz w:val="22"/>
          <w:szCs w:val="22"/>
          <w:lang w:eastAsia="es-MX"/>
        </w:rPr>
      </w:pPr>
      <w:r w:rsidRPr="00345AA7">
        <w:rPr>
          <w:rFonts w:ascii="ITC Avant Garde" w:hAnsi="ITC Avant Garde"/>
          <w:bCs/>
          <w:sz w:val="22"/>
          <w:szCs w:val="22"/>
          <w:lang w:eastAsia="es-MX"/>
        </w:rPr>
        <w:t>videotexto;</w:t>
      </w:r>
    </w:p>
    <w:p w14:paraId="3A3991EE" w14:textId="77777777" w:rsidR="003C2A85" w:rsidRPr="00345AA7" w:rsidRDefault="00966A79" w:rsidP="00345AA7">
      <w:pPr>
        <w:pStyle w:val="Prrafodelista"/>
        <w:numPr>
          <w:ilvl w:val="0"/>
          <w:numId w:val="24"/>
        </w:numPr>
        <w:spacing w:before="240" w:after="200"/>
        <w:jc w:val="both"/>
        <w:rPr>
          <w:rFonts w:ascii="ITC Avant Garde" w:hAnsi="ITC Avant Garde"/>
          <w:bCs/>
          <w:sz w:val="22"/>
          <w:szCs w:val="22"/>
          <w:lang w:eastAsia="es-MX"/>
        </w:rPr>
      </w:pPr>
      <w:r w:rsidRPr="00345AA7">
        <w:rPr>
          <w:rFonts w:ascii="ITC Avant Garde" w:hAnsi="ITC Avant Garde"/>
          <w:bCs/>
          <w:sz w:val="22"/>
          <w:szCs w:val="22"/>
          <w:lang w:eastAsia="es-MX"/>
        </w:rPr>
        <w:lastRenderedPageBreak/>
        <w:t>consulta remota a bases de datos</w:t>
      </w:r>
      <w:r w:rsidR="003C2A85" w:rsidRPr="00345AA7">
        <w:rPr>
          <w:rFonts w:ascii="ITC Avant Garde" w:hAnsi="ITC Avant Garde"/>
          <w:bCs/>
          <w:sz w:val="22"/>
          <w:szCs w:val="22"/>
          <w:lang w:eastAsia="es-MX"/>
        </w:rPr>
        <w:t>,</w:t>
      </w:r>
      <w:r w:rsidRPr="00345AA7">
        <w:rPr>
          <w:rFonts w:ascii="ITC Avant Garde" w:hAnsi="ITC Avant Garde"/>
          <w:bCs/>
          <w:sz w:val="22"/>
          <w:szCs w:val="22"/>
          <w:lang w:eastAsia="es-MX"/>
        </w:rPr>
        <w:t xml:space="preserve"> y</w:t>
      </w:r>
    </w:p>
    <w:p w14:paraId="08A6CB85" w14:textId="77777777" w:rsidR="00345AA7" w:rsidRPr="00345AA7" w:rsidRDefault="00966A79" w:rsidP="00345AA7">
      <w:pPr>
        <w:pStyle w:val="Prrafodelista"/>
        <w:numPr>
          <w:ilvl w:val="0"/>
          <w:numId w:val="24"/>
        </w:numPr>
        <w:spacing w:before="240" w:after="200"/>
        <w:jc w:val="both"/>
        <w:rPr>
          <w:rFonts w:ascii="ITC Avant Garde" w:hAnsi="ITC Avant Garde"/>
          <w:bCs/>
          <w:sz w:val="22"/>
          <w:szCs w:val="22"/>
          <w:lang w:eastAsia="es-MX"/>
        </w:rPr>
      </w:pPr>
      <w:r w:rsidRPr="00345AA7">
        <w:rPr>
          <w:rFonts w:ascii="ITC Avant Garde" w:hAnsi="ITC Avant Garde"/>
          <w:bCs/>
          <w:sz w:val="22"/>
          <w:szCs w:val="22"/>
          <w:lang w:eastAsia="es-MX"/>
        </w:rPr>
        <w:t>provisión de acceso a internet.</w:t>
      </w:r>
    </w:p>
    <w:p w14:paraId="311F24A9" w14:textId="77777777" w:rsidR="00345AA7" w:rsidRPr="00345AA7" w:rsidRDefault="00E859C2"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bCs/>
          <w:lang w:eastAsia="es-MX"/>
        </w:rPr>
        <w:t xml:space="preserve">Decreto de Reforma Constitucional. </w:t>
      </w:r>
      <w:r w:rsidRPr="00345AA7">
        <w:rPr>
          <w:rFonts w:ascii="ITC Avant Garde" w:hAnsi="ITC Avant Garde"/>
          <w:bCs/>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w:t>
      </w:r>
      <w:r w:rsidR="0079766B" w:rsidRPr="00345AA7">
        <w:rPr>
          <w:rFonts w:ascii="ITC Avant Garde" w:hAnsi="ITC Avant Garde"/>
          <w:bCs/>
          <w:lang w:eastAsia="es-MX"/>
        </w:rPr>
        <w:t>comunicaciones (el “Instituto”), como un órgano autónomo que tiene por objeto el desarrollo eficiente de la radiodifusión y las telecomunicaciones.</w:t>
      </w:r>
    </w:p>
    <w:p w14:paraId="0DAF4337" w14:textId="77777777" w:rsidR="00345AA7" w:rsidRPr="00345AA7" w:rsidRDefault="00D04074"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bCs/>
          <w:lang w:eastAsia="es-MX"/>
        </w:rPr>
        <w:t xml:space="preserve">Decreto de Ley. </w:t>
      </w:r>
      <w:r w:rsidRPr="00345AA7">
        <w:rPr>
          <w:rFonts w:ascii="ITC Avant Garde" w:hAnsi="ITC Avant Garde"/>
          <w:bCs/>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w:t>
      </w:r>
      <w:r w:rsidR="00A771B4" w:rsidRPr="00345AA7">
        <w:rPr>
          <w:rFonts w:ascii="ITC Avant Garde" w:hAnsi="ITC Avant Garde"/>
          <w:bCs/>
          <w:lang w:eastAsia="es-MX"/>
        </w:rPr>
        <w:t>”)</w:t>
      </w:r>
      <w:r w:rsidR="00C32B0E" w:rsidRPr="00345AA7">
        <w:rPr>
          <w:rFonts w:ascii="ITC Avant Garde" w:hAnsi="ITC Avant Garde"/>
          <w:bCs/>
          <w:lang w:eastAsia="es-MX"/>
        </w:rPr>
        <w:t>, mismo que entró en vigor el 13 de agosto de 2014</w:t>
      </w:r>
      <w:r w:rsidR="00DE77AB" w:rsidRPr="00345AA7">
        <w:rPr>
          <w:rFonts w:ascii="ITC Avant Garde" w:hAnsi="ITC Avant Garde"/>
          <w:bCs/>
          <w:lang w:eastAsia="es-MX"/>
        </w:rPr>
        <w:t>.</w:t>
      </w:r>
    </w:p>
    <w:p w14:paraId="30A8FE9D" w14:textId="77777777" w:rsidR="00345AA7" w:rsidRPr="00345AA7" w:rsidRDefault="00062667"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cs="Arial"/>
          <w:b/>
          <w:bCs/>
          <w:shd w:val="clear" w:color="auto" w:fill="FFFFFF"/>
        </w:rPr>
        <w:t xml:space="preserve">Estatuto Orgánico. </w:t>
      </w:r>
      <w:r w:rsidR="006709B8" w:rsidRPr="00345AA7">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por última vez el 17 de octubre del 2016</w:t>
      </w:r>
      <w:r w:rsidRPr="00345AA7">
        <w:rPr>
          <w:rFonts w:ascii="ITC Avant Garde" w:hAnsi="ITC Avant Garde" w:cs="Arial"/>
          <w:bCs/>
          <w:shd w:val="clear" w:color="auto" w:fill="FFFFFF"/>
        </w:rPr>
        <w:t>.</w:t>
      </w:r>
    </w:p>
    <w:p w14:paraId="54AD35A5" w14:textId="77777777" w:rsidR="00345AA7" w:rsidRPr="00345AA7" w:rsidRDefault="008E0E14"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bCs/>
          <w:lang w:eastAsia="es-MX"/>
        </w:rPr>
        <w:t>Tercera</w:t>
      </w:r>
      <w:r w:rsidR="009F3B58" w:rsidRPr="00345AA7">
        <w:rPr>
          <w:rFonts w:ascii="ITC Avant Garde" w:hAnsi="ITC Avant Garde"/>
          <w:b/>
          <w:bCs/>
          <w:lang w:eastAsia="es-MX"/>
        </w:rPr>
        <w:t xml:space="preserve"> Modificación de la Concesión</w:t>
      </w:r>
      <w:r w:rsidR="009F3B58" w:rsidRPr="00345AA7">
        <w:rPr>
          <w:rFonts w:ascii="ITC Avant Garde" w:hAnsi="ITC Avant Garde"/>
          <w:bCs/>
          <w:lang w:eastAsia="es-MX"/>
        </w:rPr>
        <w:t xml:space="preserve">. El 2 de noviembre de 2015, </w:t>
      </w:r>
      <w:r w:rsidRPr="00345AA7">
        <w:rPr>
          <w:rFonts w:ascii="ITC Avant Garde" w:hAnsi="ITC Avant Garde"/>
          <w:bCs/>
          <w:lang w:eastAsia="es-MX"/>
        </w:rPr>
        <w:t>el Instituto</w:t>
      </w:r>
      <w:r w:rsidR="00EB0678" w:rsidRPr="00345AA7">
        <w:rPr>
          <w:rFonts w:ascii="ITC Avant Garde" w:hAnsi="ITC Avant Garde"/>
          <w:bCs/>
          <w:lang w:eastAsia="es-MX"/>
        </w:rPr>
        <w:t xml:space="preserve"> autorizó a Grupo W</w:t>
      </w:r>
      <w:r w:rsidR="009F3B58" w:rsidRPr="00345AA7">
        <w:rPr>
          <w:rFonts w:ascii="ITC Avant Garde" w:hAnsi="ITC Avant Garde"/>
          <w:bCs/>
          <w:lang w:eastAsia="es-MX"/>
        </w:rPr>
        <w:t xml:space="preserve"> Com, S.A. de C.V., la prestación de los servicios </w:t>
      </w:r>
      <w:r w:rsidRPr="00345AA7">
        <w:rPr>
          <w:rFonts w:ascii="ITC Avant Garde" w:hAnsi="ITC Avant Garde"/>
          <w:bCs/>
          <w:lang w:eastAsia="es-MX"/>
        </w:rPr>
        <w:t xml:space="preserve">comprendidos en la </w:t>
      </w:r>
      <w:r w:rsidR="009F3B58" w:rsidRPr="00345AA7">
        <w:rPr>
          <w:rFonts w:ascii="ITC Avant Garde" w:hAnsi="ITC Avant Garde"/>
          <w:bCs/>
          <w:lang w:eastAsia="es-MX"/>
        </w:rPr>
        <w:t>condición A.2. de la Concesión, a través de los satélites Amazonas 2 y Amazonas 3, operados por Hispasat México, S.A. de C.V. quien es titular de una concesión para explotar los derechos de emisión y recepción de señales de bandas de fre</w:t>
      </w:r>
      <w:r w:rsidRPr="00345AA7">
        <w:rPr>
          <w:rFonts w:ascii="ITC Avant Garde" w:hAnsi="ITC Avant Garde"/>
          <w:bCs/>
          <w:lang w:eastAsia="es-MX"/>
        </w:rPr>
        <w:t>cuencias asociadas a sistemas satelitales</w:t>
      </w:r>
      <w:r w:rsidR="009F3B58" w:rsidRPr="00345AA7">
        <w:rPr>
          <w:rFonts w:ascii="ITC Avant Garde" w:hAnsi="ITC Avant Garde"/>
          <w:bCs/>
          <w:lang w:eastAsia="es-MX"/>
        </w:rPr>
        <w:t xml:space="preserve"> extranjeros, que cubren y pueden prestar servicios en el territorio nacional</w:t>
      </w:r>
      <w:r w:rsidRPr="00345AA7">
        <w:rPr>
          <w:rFonts w:ascii="ITC Avant Garde" w:hAnsi="ITC Avant Garde"/>
          <w:bCs/>
          <w:lang w:eastAsia="es-MX"/>
        </w:rPr>
        <w:t>.</w:t>
      </w:r>
    </w:p>
    <w:p w14:paraId="595DA6A5" w14:textId="5E3C91AB" w:rsidR="00345AA7" w:rsidRPr="00345AA7" w:rsidRDefault="00DE77AB"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bCs/>
          <w:lang w:eastAsia="es-MX"/>
        </w:rPr>
        <w:t>Solicitud de Enajenación de Acciones.</w:t>
      </w:r>
      <w:r w:rsidRPr="00345AA7">
        <w:rPr>
          <w:rFonts w:ascii="ITC Avant Garde" w:hAnsi="ITC Avant Garde"/>
          <w:bCs/>
          <w:lang w:eastAsia="es-MX"/>
        </w:rPr>
        <w:t xml:space="preserve"> Con escrito presentado ante el Instituto el </w:t>
      </w:r>
      <w:r w:rsidR="00EB0678" w:rsidRPr="00345AA7">
        <w:rPr>
          <w:rFonts w:ascii="ITC Avant Garde" w:hAnsi="ITC Avant Garde"/>
          <w:bCs/>
          <w:lang w:eastAsia="es-MX"/>
        </w:rPr>
        <w:t xml:space="preserve">18 </w:t>
      </w:r>
      <w:r w:rsidR="00A15C1A" w:rsidRPr="00345AA7">
        <w:rPr>
          <w:rFonts w:ascii="ITC Avant Garde" w:hAnsi="ITC Avant Garde"/>
          <w:bCs/>
          <w:lang w:eastAsia="es-MX"/>
        </w:rPr>
        <w:t xml:space="preserve">de </w:t>
      </w:r>
      <w:r w:rsidR="00EB0678" w:rsidRPr="00345AA7">
        <w:rPr>
          <w:rFonts w:ascii="ITC Avant Garde" w:hAnsi="ITC Avant Garde"/>
          <w:bCs/>
          <w:lang w:eastAsia="es-MX"/>
        </w:rPr>
        <w:t xml:space="preserve">octubre </w:t>
      </w:r>
      <w:r w:rsidR="00A15C1A" w:rsidRPr="00345AA7">
        <w:rPr>
          <w:rFonts w:ascii="ITC Avant Garde" w:hAnsi="ITC Avant Garde"/>
          <w:bCs/>
          <w:lang w:eastAsia="es-MX"/>
        </w:rPr>
        <w:t>de 2016</w:t>
      </w:r>
      <w:r w:rsidRPr="00345AA7">
        <w:rPr>
          <w:rFonts w:ascii="ITC Avant Garde" w:hAnsi="ITC Avant Garde"/>
          <w:bCs/>
          <w:lang w:eastAsia="es-MX"/>
        </w:rPr>
        <w:t xml:space="preserve">, </w:t>
      </w:r>
      <w:r w:rsidR="00A407D2" w:rsidRPr="00345AA7">
        <w:rPr>
          <w:rFonts w:ascii="ITC Avant Garde" w:hAnsi="ITC Avant Garde"/>
          <w:bCs/>
          <w:lang w:eastAsia="es-MX"/>
        </w:rPr>
        <w:t>el</w:t>
      </w:r>
      <w:r w:rsidR="003B4299" w:rsidRPr="00345AA7">
        <w:rPr>
          <w:rFonts w:ascii="ITC Avant Garde" w:hAnsi="ITC Avant Garde"/>
          <w:bCs/>
          <w:lang w:eastAsia="es-MX"/>
        </w:rPr>
        <w:t xml:space="preserve"> representante</w:t>
      </w:r>
      <w:r w:rsidRPr="00345AA7">
        <w:rPr>
          <w:rFonts w:ascii="ITC Avant Garde" w:hAnsi="ITC Avant Garde"/>
          <w:bCs/>
          <w:lang w:eastAsia="es-MX"/>
        </w:rPr>
        <w:t xml:space="preserve"> legal de </w:t>
      </w:r>
      <w:r w:rsidR="00A15C1A" w:rsidRPr="00345AA7">
        <w:rPr>
          <w:rFonts w:ascii="ITC Avant Garde" w:eastAsia="Times New Roman" w:hAnsi="ITC Avant Garde"/>
          <w:bCs/>
          <w:lang w:val="es-ES" w:eastAsia="es-MX"/>
        </w:rPr>
        <w:t>G</w:t>
      </w:r>
      <w:r w:rsidR="00EB0678" w:rsidRPr="00345AA7">
        <w:rPr>
          <w:rFonts w:ascii="ITC Avant Garde" w:eastAsia="Times New Roman" w:hAnsi="ITC Avant Garde"/>
          <w:bCs/>
          <w:lang w:val="es-ES" w:eastAsia="es-MX"/>
        </w:rPr>
        <w:t>rupo W Com</w:t>
      </w:r>
      <w:r w:rsidR="00A15C1A" w:rsidRPr="00345AA7">
        <w:rPr>
          <w:rFonts w:ascii="ITC Avant Garde" w:eastAsia="Times New Roman" w:hAnsi="ITC Avant Garde"/>
          <w:bCs/>
          <w:lang w:val="es-ES" w:eastAsia="es-MX"/>
        </w:rPr>
        <w:t>, S.A. de C.V</w:t>
      </w:r>
      <w:r w:rsidR="00A069B9" w:rsidRPr="00345AA7">
        <w:rPr>
          <w:rFonts w:ascii="ITC Avant Garde" w:eastAsia="Times New Roman" w:hAnsi="ITC Avant Garde"/>
          <w:bCs/>
          <w:lang w:val="es-ES" w:eastAsia="es-MX"/>
        </w:rPr>
        <w:t>.</w:t>
      </w:r>
      <w:r w:rsidR="001B7748" w:rsidRPr="00345AA7">
        <w:rPr>
          <w:rFonts w:ascii="ITC Avant Garde" w:hAnsi="ITC Avant Garde"/>
          <w:bCs/>
          <w:lang w:eastAsia="es-MX"/>
        </w:rPr>
        <w:t>,</w:t>
      </w:r>
      <w:r w:rsidR="003B4299" w:rsidRPr="00345AA7">
        <w:rPr>
          <w:rFonts w:ascii="ITC Avant Garde" w:hAnsi="ITC Avant Garde"/>
          <w:bCs/>
          <w:lang w:eastAsia="es-MX"/>
        </w:rPr>
        <w:t xml:space="preserve"> </w:t>
      </w:r>
      <w:r w:rsidR="00E24506" w:rsidRPr="00345AA7">
        <w:rPr>
          <w:rFonts w:ascii="ITC Avant Garde" w:hAnsi="ITC Avant Garde"/>
          <w:bCs/>
          <w:lang w:eastAsia="es-MX"/>
        </w:rPr>
        <w:t>dio aviso de su intención de</w:t>
      </w:r>
      <w:r w:rsidR="00EB0678" w:rsidRPr="00345AA7">
        <w:rPr>
          <w:rFonts w:ascii="ITC Avant Garde" w:hAnsi="ITC Avant Garde"/>
          <w:bCs/>
          <w:lang w:eastAsia="es-MX"/>
        </w:rPr>
        <w:t xml:space="preserve"> </w:t>
      </w:r>
      <w:r w:rsidR="00E24506" w:rsidRPr="00345AA7">
        <w:rPr>
          <w:rFonts w:ascii="ITC Avant Garde" w:hAnsi="ITC Avant Garde"/>
          <w:bCs/>
          <w:lang w:eastAsia="es-MX"/>
        </w:rPr>
        <w:t>llevar</w:t>
      </w:r>
      <w:r w:rsidRPr="00345AA7">
        <w:rPr>
          <w:rFonts w:ascii="ITC Avant Garde" w:hAnsi="ITC Avant Garde"/>
          <w:bCs/>
          <w:lang w:eastAsia="es-MX"/>
        </w:rPr>
        <w:t xml:space="preserve"> a cabo </w:t>
      </w:r>
      <w:r w:rsidR="00EB0678" w:rsidRPr="00345AA7">
        <w:rPr>
          <w:rFonts w:ascii="ITC Avant Garde" w:hAnsi="ITC Avant Garde"/>
          <w:bCs/>
          <w:lang w:eastAsia="es-MX"/>
        </w:rPr>
        <w:t xml:space="preserve">la enajenación de la totalidad de las acciones que integran el </w:t>
      </w:r>
      <w:r w:rsidR="0044232E" w:rsidRPr="00345AA7">
        <w:rPr>
          <w:rFonts w:ascii="ITC Avant Garde" w:hAnsi="ITC Avant Garde"/>
          <w:bCs/>
          <w:lang w:eastAsia="es-MX"/>
        </w:rPr>
        <w:t xml:space="preserve">capital social de dicha empresa, </w:t>
      </w:r>
      <w:r w:rsidR="00E40BA3" w:rsidRPr="00345AA7">
        <w:rPr>
          <w:rFonts w:ascii="ITC Avant Garde" w:hAnsi="ITC Avant Garde"/>
          <w:bCs/>
          <w:lang w:eastAsia="es-MX"/>
        </w:rPr>
        <w:t>mismo que será distribuido d</w:t>
      </w:r>
      <w:r w:rsidR="0044232E" w:rsidRPr="00345AA7">
        <w:rPr>
          <w:rFonts w:ascii="ITC Avant Garde" w:hAnsi="ITC Avant Garde"/>
          <w:bCs/>
          <w:lang w:eastAsia="es-MX"/>
        </w:rPr>
        <w:t xml:space="preserve">e la siguiente manera: el 99 % del capital social será </w:t>
      </w:r>
      <w:r w:rsidR="0022472D" w:rsidRPr="00345AA7">
        <w:rPr>
          <w:rFonts w:ascii="ITC Avant Garde" w:hAnsi="ITC Avant Garde"/>
          <w:bCs/>
          <w:lang w:eastAsia="es-MX"/>
        </w:rPr>
        <w:t>adquirido</w:t>
      </w:r>
      <w:r w:rsidR="0044232E" w:rsidRPr="00345AA7">
        <w:rPr>
          <w:rFonts w:ascii="ITC Avant Garde" w:hAnsi="ITC Avant Garde"/>
          <w:bCs/>
          <w:lang w:eastAsia="es-MX"/>
        </w:rPr>
        <w:t xml:space="preserve"> por la empresa Telecomvera Holding, S.A.P.I. de C.V., y el 1% del capital social será </w:t>
      </w:r>
      <w:r w:rsidR="0022472D" w:rsidRPr="00345AA7">
        <w:rPr>
          <w:rFonts w:ascii="ITC Avant Garde" w:hAnsi="ITC Avant Garde"/>
          <w:bCs/>
          <w:lang w:eastAsia="es-MX"/>
        </w:rPr>
        <w:t>adquirido</w:t>
      </w:r>
      <w:r w:rsidR="0044232E" w:rsidRPr="00345AA7">
        <w:rPr>
          <w:rFonts w:ascii="ITC Avant Garde" w:hAnsi="ITC Avant Garde"/>
          <w:bCs/>
          <w:lang w:eastAsia="es-MX"/>
        </w:rPr>
        <w:t xml:space="preserve"> por la empresa Grupo Prof</w:t>
      </w:r>
      <w:r w:rsidR="009604C5" w:rsidRPr="00345AA7">
        <w:rPr>
          <w:rFonts w:ascii="ITC Avant Garde" w:hAnsi="ITC Avant Garde"/>
          <w:bCs/>
          <w:lang w:eastAsia="es-MX"/>
        </w:rPr>
        <w:t>r</w:t>
      </w:r>
      <w:r w:rsidR="0044232E" w:rsidRPr="00345AA7">
        <w:rPr>
          <w:rFonts w:ascii="ITC Avant Garde" w:hAnsi="ITC Avant Garde"/>
          <w:bCs/>
          <w:lang w:eastAsia="es-MX"/>
        </w:rPr>
        <w:t xml:space="preserve">ezac, S.A. de C.V. </w:t>
      </w:r>
      <w:r w:rsidRPr="00345AA7">
        <w:rPr>
          <w:rFonts w:ascii="ITC Avant Garde" w:hAnsi="ITC Avant Garde"/>
          <w:bCs/>
          <w:lang w:eastAsia="es-MX"/>
        </w:rPr>
        <w:t>(la “Solicitud de Enajenación</w:t>
      </w:r>
      <w:r w:rsidR="00637B22" w:rsidRPr="00345AA7">
        <w:rPr>
          <w:rFonts w:ascii="ITC Avant Garde" w:hAnsi="ITC Avant Garde"/>
          <w:bCs/>
          <w:lang w:eastAsia="es-MX"/>
        </w:rPr>
        <w:t xml:space="preserve"> </w:t>
      </w:r>
      <w:r w:rsidRPr="00345AA7">
        <w:rPr>
          <w:rFonts w:ascii="ITC Avant Garde" w:hAnsi="ITC Avant Garde"/>
          <w:bCs/>
          <w:lang w:eastAsia="es-MX"/>
        </w:rPr>
        <w:t>de Acciones”).</w:t>
      </w:r>
    </w:p>
    <w:p w14:paraId="3492FD80" w14:textId="77777777" w:rsidR="00345AA7" w:rsidRPr="00345AA7" w:rsidRDefault="00581FDE"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shd w:val="clear" w:color="auto" w:fill="FFFFFF"/>
        </w:rPr>
        <w:t>Solicitud de Opinión Técnica.</w:t>
      </w:r>
      <w:r w:rsidRPr="00345AA7">
        <w:rPr>
          <w:rFonts w:ascii="ITC Avant Garde" w:hAnsi="ITC Avant Garde"/>
          <w:shd w:val="clear" w:color="auto" w:fill="FFFFFF"/>
        </w:rPr>
        <w:t xml:space="preserve"> </w:t>
      </w:r>
      <w:r w:rsidR="001E7950" w:rsidRPr="00345AA7">
        <w:rPr>
          <w:rFonts w:ascii="ITC Avant Garde" w:hAnsi="ITC Avant Garde"/>
          <w:bCs/>
          <w:lang w:eastAsia="es-MX"/>
        </w:rPr>
        <w:t>Mediante oficio IFT/</w:t>
      </w:r>
      <w:r w:rsidR="00141FE7" w:rsidRPr="00345AA7">
        <w:rPr>
          <w:rFonts w:ascii="ITC Avant Garde" w:hAnsi="ITC Avant Garde"/>
          <w:bCs/>
          <w:lang w:eastAsia="es-MX"/>
        </w:rPr>
        <w:t>223/UCS</w:t>
      </w:r>
      <w:r w:rsidR="001E7950" w:rsidRPr="00345AA7">
        <w:rPr>
          <w:rFonts w:ascii="ITC Avant Garde" w:hAnsi="ITC Avant Garde"/>
          <w:bCs/>
          <w:lang w:eastAsia="es-MX"/>
        </w:rPr>
        <w:t>/</w:t>
      </w:r>
      <w:r w:rsidR="0002413B" w:rsidRPr="00345AA7">
        <w:rPr>
          <w:rFonts w:ascii="ITC Avant Garde" w:hAnsi="ITC Avant Garde"/>
          <w:bCs/>
          <w:lang w:eastAsia="es-MX"/>
        </w:rPr>
        <w:t>2095</w:t>
      </w:r>
      <w:r w:rsidR="001E7950" w:rsidRPr="00345AA7">
        <w:rPr>
          <w:rFonts w:ascii="ITC Avant Garde" w:hAnsi="ITC Avant Garde"/>
          <w:bCs/>
          <w:lang w:eastAsia="es-MX"/>
        </w:rPr>
        <w:t>/201</w:t>
      </w:r>
      <w:r w:rsidR="006C4E42" w:rsidRPr="00345AA7">
        <w:rPr>
          <w:rFonts w:ascii="ITC Avant Garde" w:hAnsi="ITC Avant Garde"/>
          <w:bCs/>
          <w:lang w:eastAsia="es-MX"/>
        </w:rPr>
        <w:t>6</w:t>
      </w:r>
      <w:r w:rsidR="001E7950" w:rsidRPr="00345AA7">
        <w:rPr>
          <w:rFonts w:ascii="ITC Avant Garde" w:hAnsi="ITC Avant Garde"/>
          <w:bCs/>
          <w:lang w:eastAsia="es-MX"/>
        </w:rPr>
        <w:t xml:space="preserve"> notificado el</w:t>
      </w:r>
      <w:r w:rsidRPr="00345AA7">
        <w:rPr>
          <w:rFonts w:ascii="ITC Avant Garde" w:hAnsi="ITC Avant Garde"/>
          <w:bCs/>
          <w:lang w:eastAsia="es-MX"/>
        </w:rPr>
        <w:t xml:space="preserve"> </w:t>
      </w:r>
      <w:r w:rsidR="0002413B" w:rsidRPr="00345AA7">
        <w:rPr>
          <w:rFonts w:ascii="ITC Avant Garde" w:hAnsi="ITC Avant Garde"/>
          <w:bCs/>
          <w:lang w:eastAsia="es-MX"/>
        </w:rPr>
        <w:t>27</w:t>
      </w:r>
      <w:r w:rsidR="004125E6" w:rsidRPr="00345AA7">
        <w:rPr>
          <w:rFonts w:ascii="ITC Avant Garde" w:hAnsi="ITC Avant Garde"/>
          <w:bCs/>
          <w:lang w:eastAsia="es-MX"/>
        </w:rPr>
        <w:t xml:space="preserve"> de </w:t>
      </w:r>
      <w:r w:rsidR="0002413B" w:rsidRPr="00345AA7">
        <w:rPr>
          <w:rFonts w:ascii="ITC Avant Garde" w:hAnsi="ITC Avant Garde"/>
          <w:bCs/>
          <w:lang w:eastAsia="es-MX"/>
        </w:rPr>
        <w:t xml:space="preserve">octubre </w:t>
      </w:r>
      <w:r w:rsidRPr="00345AA7">
        <w:rPr>
          <w:rFonts w:ascii="ITC Avant Garde" w:hAnsi="ITC Avant Garde"/>
          <w:bCs/>
          <w:lang w:eastAsia="es-MX"/>
        </w:rPr>
        <w:t>de 201</w:t>
      </w:r>
      <w:r w:rsidR="006C4E42" w:rsidRPr="00345AA7">
        <w:rPr>
          <w:rFonts w:ascii="ITC Avant Garde" w:hAnsi="ITC Avant Garde"/>
          <w:bCs/>
          <w:lang w:eastAsia="es-MX"/>
        </w:rPr>
        <w:t>6</w:t>
      </w:r>
      <w:r w:rsidRPr="00345AA7">
        <w:rPr>
          <w:rFonts w:ascii="ITC Avant Garde" w:hAnsi="ITC Avant Garde"/>
          <w:bCs/>
          <w:lang w:eastAsia="es-MX"/>
        </w:rPr>
        <w:t xml:space="preserve">, </w:t>
      </w:r>
      <w:r w:rsidR="00141FE7" w:rsidRPr="00345AA7">
        <w:rPr>
          <w:rFonts w:ascii="ITC Avant Garde" w:hAnsi="ITC Avant Garde"/>
          <w:bCs/>
          <w:lang w:eastAsia="es-MX"/>
        </w:rPr>
        <w:t>la Unidad de Concesiones y Servicio</w:t>
      </w:r>
      <w:r w:rsidR="00CB4DA2" w:rsidRPr="00345AA7">
        <w:rPr>
          <w:rFonts w:ascii="ITC Avant Garde" w:hAnsi="ITC Avant Garde"/>
          <w:bCs/>
          <w:lang w:eastAsia="es-MX"/>
        </w:rPr>
        <w:t>s</w:t>
      </w:r>
      <w:r w:rsidR="00141FE7" w:rsidRPr="00345AA7">
        <w:rPr>
          <w:rFonts w:ascii="ITC Avant Garde" w:hAnsi="ITC Avant Garde"/>
          <w:bCs/>
          <w:lang w:eastAsia="es-MX"/>
        </w:rPr>
        <w:t xml:space="preserve"> del</w:t>
      </w:r>
      <w:r w:rsidRPr="00345AA7">
        <w:rPr>
          <w:rFonts w:ascii="ITC Avant Garde" w:hAnsi="ITC Avant Garde"/>
          <w:bCs/>
          <w:lang w:eastAsia="es-MX"/>
        </w:rPr>
        <w:t xml:space="preserve"> Instituto solicitó a la Secretaría</w:t>
      </w:r>
      <w:r w:rsidR="00141FE7" w:rsidRPr="00345AA7">
        <w:rPr>
          <w:rFonts w:ascii="ITC Avant Garde" w:hAnsi="ITC Avant Garde"/>
          <w:bCs/>
          <w:lang w:eastAsia="es-MX"/>
        </w:rPr>
        <w:t xml:space="preserve"> </w:t>
      </w:r>
      <w:r w:rsidRPr="00345AA7">
        <w:rPr>
          <w:rFonts w:ascii="ITC Avant Garde" w:hAnsi="ITC Avant Garde"/>
          <w:bCs/>
          <w:lang w:eastAsia="es-MX"/>
        </w:rPr>
        <w:t xml:space="preserve">la opinión técnica correspondiente a la </w:t>
      </w:r>
      <w:r w:rsidR="004125E6" w:rsidRPr="00345AA7">
        <w:rPr>
          <w:rFonts w:ascii="ITC Avant Garde" w:hAnsi="ITC Avant Garde"/>
          <w:bCs/>
          <w:lang w:eastAsia="es-MX"/>
        </w:rPr>
        <w:t>Solicitud de Enajenación</w:t>
      </w:r>
      <w:r w:rsidR="00637B22" w:rsidRPr="00345AA7">
        <w:rPr>
          <w:rFonts w:ascii="ITC Avant Garde" w:hAnsi="ITC Avant Garde"/>
          <w:bCs/>
          <w:lang w:eastAsia="es-MX"/>
        </w:rPr>
        <w:t xml:space="preserve"> </w:t>
      </w:r>
      <w:r w:rsidR="004125E6" w:rsidRPr="00345AA7">
        <w:rPr>
          <w:rFonts w:ascii="ITC Avant Garde" w:hAnsi="ITC Avant Garde"/>
          <w:bCs/>
          <w:lang w:eastAsia="es-MX"/>
        </w:rPr>
        <w:t>de Acciones</w:t>
      </w:r>
      <w:r w:rsidRPr="00345AA7">
        <w:rPr>
          <w:rFonts w:ascii="ITC Avant Garde" w:hAnsi="ITC Avant Garde"/>
          <w:bCs/>
          <w:lang w:eastAsia="es-MX"/>
        </w:rPr>
        <w:t xml:space="preserve">, de conformidad con lo establecido en el artículo 28 párrafo décimo </w:t>
      </w:r>
      <w:r w:rsidRPr="00345AA7">
        <w:rPr>
          <w:rFonts w:ascii="ITC Avant Garde" w:hAnsi="ITC Avant Garde"/>
          <w:bCs/>
          <w:lang w:eastAsia="es-MX"/>
        </w:rPr>
        <w:lastRenderedPageBreak/>
        <w:t>séptimo de la Constitución Política de los Estados Unidos Mexicanos (la “Constitución”)</w:t>
      </w:r>
      <w:r w:rsidR="001E7950" w:rsidRPr="00345AA7">
        <w:rPr>
          <w:rFonts w:ascii="ITC Avant Garde" w:hAnsi="ITC Avant Garde"/>
          <w:bCs/>
          <w:lang w:eastAsia="es-MX"/>
        </w:rPr>
        <w:t>.</w:t>
      </w:r>
      <w:r w:rsidR="00380D53" w:rsidRPr="00345AA7">
        <w:rPr>
          <w:rFonts w:ascii="ITC Avant Garde" w:hAnsi="ITC Avant Garde"/>
          <w:bCs/>
          <w:lang w:eastAsia="es-MX"/>
        </w:rPr>
        <w:t xml:space="preserve"> </w:t>
      </w:r>
    </w:p>
    <w:p w14:paraId="74FED497" w14:textId="77777777" w:rsidR="00345AA7" w:rsidRPr="00345AA7" w:rsidRDefault="00380D53" w:rsidP="00345AA7">
      <w:pPr>
        <w:spacing w:before="240" w:line="240" w:lineRule="auto"/>
        <w:ind w:left="567"/>
        <w:jc w:val="both"/>
        <w:rPr>
          <w:rFonts w:ascii="ITC Avant Garde" w:hAnsi="ITC Avant Garde"/>
          <w:bCs/>
          <w:lang w:eastAsia="es-MX"/>
        </w:rPr>
      </w:pPr>
      <w:r w:rsidRPr="00345AA7">
        <w:rPr>
          <w:rFonts w:ascii="ITC Avant Garde" w:hAnsi="ITC Avant Garde"/>
          <w:bCs/>
          <w:lang w:eastAsia="es-MX"/>
        </w:rPr>
        <w:t>Posteriormente</w:t>
      </w:r>
      <w:r w:rsidR="00192A33" w:rsidRPr="00345AA7">
        <w:rPr>
          <w:rFonts w:ascii="ITC Avant Garde" w:hAnsi="ITC Avant Garde"/>
          <w:bCs/>
          <w:lang w:eastAsia="es-MX"/>
        </w:rPr>
        <w:t>,</w:t>
      </w:r>
      <w:r w:rsidRPr="00345AA7">
        <w:rPr>
          <w:rFonts w:ascii="ITC Avant Garde" w:hAnsi="ITC Avant Garde"/>
          <w:bCs/>
          <w:lang w:eastAsia="es-MX"/>
        </w:rPr>
        <w:t xml:space="preserve"> mediante oficio IFT/223/UCS/DG-CTEL/</w:t>
      </w:r>
      <w:r w:rsidR="005946BB" w:rsidRPr="00345AA7">
        <w:rPr>
          <w:rFonts w:ascii="ITC Avant Garde" w:hAnsi="ITC Avant Garde"/>
          <w:bCs/>
          <w:lang w:eastAsia="es-MX"/>
        </w:rPr>
        <w:t>2709</w:t>
      </w:r>
      <w:r w:rsidRPr="00345AA7">
        <w:rPr>
          <w:rFonts w:ascii="ITC Avant Garde" w:hAnsi="ITC Avant Garde"/>
          <w:bCs/>
          <w:lang w:eastAsia="es-MX"/>
        </w:rPr>
        <w:t xml:space="preserve">/2016 notificado el </w:t>
      </w:r>
      <w:r w:rsidR="005946BB" w:rsidRPr="00345AA7">
        <w:rPr>
          <w:rFonts w:ascii="ITC Avant Garde" w:hAnsi="ITC Avant Garde"/>
          <w:bCs/>
          <w:lang w:eastAsia="es-MX"/>
        </w:rPr>
        <w:t>16</w:t>
      </w:r>
      <w:r w:rsidR="00CB69BA" w:rsidRPr="00345AA7">
        <w:rPr>
          <w:rFonts w:ascii="ITC Avant Garde" w:hAnsi="ITC Avant Garde"/>
          <w:bCs/>
          <w:lang w:eastAsia="es-MX"/>
        </w:rPr>
        <w:t xml:space="preserve"> </w:t>
      </w:r>
      <w:r w:rsidRPr="00345AA7">
        <w:rPr>
          <w:rFonts w:ascii="ITC Avant Garde" w:hAnsi="ITC Avant Garde"/>
          <w:bCs/>
          <w:lang w:eastAsia="es-MX"/>
        </w:rPr>
        <w:t xml:space="preserve">de </w:t>
      </w:r>
      <w:r w:rsidR="00CB69BA" w:rsidRPr="00345AA7">
        <w:rPr>
          <w:rFonts w:ascii="ITC Avant Garde" w:hAnsi="ITC Avant Garde"/>
          <w:bCs/>
          <w:lang w:eastAsia="es-MX"/>
        </w:rPr>
        <w:t xml:space="preserve">noviembre </w:t>
      </w:r>
      <w:r w:rsidRPr="00345AA7">
        <w:rPr>
          <w:rFonts w:ascii="ITC Avant Garde" w:hAnsi="ITC Avant Garde"/>
          <w:bCs/>
          <w:lang w:eastAsia="es-MX"/>
        </w:rPr>
        <w:t>de 2016, la Dirección General de Concesiones de Telecomunicaciones</w:t>
      </w:r>
      <w:r w:rsidR="00016C54" w:rsidRPr="00345AA7">
        <w:rPr>
          <w:rFonts w:ascii="ITC Avant Garde" w:hAnsi="ITC Avant Garde"/>
          <w:bCs/>
          <w:lang w:eastAsia="es-MX"/>
        </w:rPr>
        <w:t>,</w:t>
      </w:r>
      <w:r w:rsidRPr="00345AA7">
        <w:rPr>
          <w:rFonts w:ascii="ITC Avant Garde" w:hAnsi="ITC Avant Garde"/>
          <w:bCs/>
          <w:lang w:eastAsia="es-MX"/>
        </w:rPr>
        <w:t xml:space="preserve"> </w:t>
      </w:r>
      <w:proofErr w:type="gramStart"/>
      <w:r w:rsidRPr="00345AA7">
        <w:rPr>
          <w:rFonts w:ascii="ITC Avant Garde" w:hAnsi="ITC Avant Garde"/>
          <w:bCs/>
          <w:lang w:eastAsia="es-MX"/>
        </w:rPr>
        <w:t>adscrita</w:t>
      </w:r>
      <w:proofErr w:type="gramEnd"/>
      <w:r w:rsidRPr="00345AA7">
        <w:rPr>
          <w:rFonts w:ascii="ITC Avant Garde" w:hAnsi="ITC Avant Garde"/>
          <w:bCs/>
          <w:lang w:eastAsia="es-MX"/>
        </w:rPr>
        <w:t xml:space="preserve"> a la Unidad de Concesiones y Servicios envió a la Secretaría información complementaria presentada </w:t>
      </w:r>
      <w:r w:rsidR="00192A33" w:rsidRPr="00345AA7">
        <w:rPr>
          <w:rFonts w:ascii="ITC Avant Garde" w:hAnsi="ITC Avant Garde"/>
          <w:bCs/>
          <w:lang w:eastAsia="es-MX"/>
        </w:rPr>
        <w:t xml:space="preserve">ante el Instituto </w:t>
      </w:r>
      <w:r w:rsidRPr="00345AA7">
        <w:rPr>
          <w:rFonts w:ascii="ITC Avant Garde" w:hAnsi="ITC Avant Garde"/>
          <w:bCs/>
          <w:lang w:eastAsia="es-MX"/>
        </w:rPr>
        <w:t xml:space="preserve">por </w:t>
      </w:r>
      <w:r w:rsidR="00CB69BA" w:rsidRPr="00345AA7">
        <w:rPr>
          <w:rFonts w:ascii="ITC Avant Garde" w:hAnsi="ITC Avant Garde"/>
          <w:bCs/>
          <w:lang w:eastAsia="es-MX"/>
        </w:rPr>
        <w:t>Grupo W Com</w:t>
      </w:r>
      <w:r w:rsidRPr="00345AA7">
        <w:rPr>
          <w:rFonts w:ascii="ITC Avant Garde" w:hAnsi="ITC Avant Garde"/>
          <w:bCs/>
          <w:lang w:eastAsia="es-MX"/>
        </w:rPr>
        <w:t xml:space="preserve">, S.A. </w:t>
      </w:r>
      <w:r w:rsidR="00136292" w:rsidRPr="00345AA7">
        <w:rPr>
          <w:rFonts w:ascii="ITC Avant Garde" w:hAnsi="ITC Avant Garde"/>
          <w:bCs/>
          <w:lang w:eastAsia="es-MX"/>
        </w:rPr>
        <w:t>de</w:t>
      </w:r>
      <w:r w:rsidRPr="00345AA7">
        <w:rPr>
          <w:rFonts w:ascii="ITC Avant Garde" w:hAnsi="ITC Avant Garde"/>
          <w:bCs/>
          <w:lang w:eastAsia="es-MX"/>
        </w:rPr>
        <w:t xml:space="preserve"> C.V., </w:t>
      </w:r>
      <w:r w:rsidR="00016C54" w:rsidRPr="00345AA7">
        <w:rPr>
          <w:rFonts w:ascii="ITC Avant Garde" w:hAnsi="ITC Avant Garde"/>
          <w:bCs/>
          <w:lang w:eastAsia="es-MX"/>
        </w:rPr>
        <w:t>el</w:t>
      </w:r>
      <w:r w:rsidRPr="00345AA7">
        <w:rPr>
          <w:rFonts w:ascii="ITC Avant Garde" w:hAnsi="ITC Avant Garde"/>
          <w:bCs/>
          <w:lang w:eastAsia="es-MX"/>
        </w:rPr>
        <w:t xml:space="preserve"> </w:t>
      </w:r>
      <w:r w:rsidR="00CB69BA" w:rsidRPr="00345AA7">
        <w:rPr>
          <w:rFonts w:ascii="ITC Avant Garde" w:hAnsi="ITC Avant Garde"/>
          <w:bCs/>
          <w:lang w:eastAsia="es-MX"/>
        </w:rPr>
        <w:t xml:space="preserve">14 </w:t>
      </w:r>
      <w:r w:rsidR="00136292" w:rsidRPr="00345AA7">
        <w:rPr>
          <w:rFonts w:ascii="ITC Avant Garde" w:hAnsi="ITC Avant Garde"/>
          <w:bCs/>
          <w:lang w:eastAsia="es-MX"/>
        </w:rPr>
        <w:t xml:space="preserve">de </w:t>
      </w:r>
      <w:r w:rsidR="00CB69BA" w:rsidRPr="00345AA7">
        <w:rPr>
          <w:rFonts w:ascii="ITC Avant Garde" w:hAnsi="ITC Avant Garde"/>
          <w:bCs/>
          <w:lang w:eastAsia="es-MX"/>
        </w:rPr>
        <w:t xml:space="preserve">noviembre </w:t>
      </w:r>
      <w:r w:rsidR="00136292" w:rsidRPr="00345AA7">
        <w:rPr>
          <w:rFonts w:ascii="ITC Avant Garde" w:hAnsi="ITC Avant Garde"/>
          <w:bCs/>
          <w:lang w:eastAsia="es-MX"/>
        </w:rPr>
        <w:t>de 2016.</w:t>
      </w:r>
    </w:p>
    <w:p w14:paraId="6942FBDB" w14:textId="77777777" w:rsidR="00345AA7" w:rsidRPr="00345AA7" w:rsidRDefault="006C4E42" w:rsidP="00345AA7">
      <w:pPr>
        <w:numPr>
          <w:ilvl w:val="0"/>
          <w:numId w:val="4"/>
        </w:numPr>
        <w:spacing w:before="240" w:line="240" w:lineRule="auto"/>
        <w:ind w:left="567"/>
        <w:jc w:val="both"/>
        <w:rPr>
          <w:rFonts w:ascii="ITC Avant Garde" w:hAnsi="ITC Avant Garde"/>
          <w:bCs/>
          <w:lang w:eastAsia="es-MX"/>
        </w:rPr>
      </w:pPr>
      <w:r w:rsidRPr="00345AA7">
        <w:rPr>
          <w:rFonts w:ascii="ITC Avant Garde" w:hAnsi="ITC Avant Garde"/>
          <w:b/>
          <w:bCs/>
          <w:lang w:eastAsia="es-MX"/>
        </w:rPr>
        <w:t>Opinión Técnica de la Secretaría.</w:t>
      </w:r>
      <w:r w:rsidRPr="00345AA7">
        <w:rPr>
          <w:rFonts w:ascii="ITC Avant Garde" w:hAnsi="ITC Avant Garde"/>
          <w:bCs/>
          <w:lang w:eastAsia="es-MX"/>
        </w:rPr>
        <w:t xml:space="preserve"> </w:t>
      </w:r>
      <w:r w:rsidR="009166F8" w:rsidRPr="00345AA7">
        <w:rPr>
          <w:rFonts w:ascii="ITC Avant Garde" w:hAnsi="ITC Avant Garde"/>
          <w:bCs/>
          <w:lang w:eastAsia="es-MX"/>
        </w:rPr>
        <w:t xml:space="preserve">El </w:t>
      </w:r>
      <w:r w:rsidR="00140293" w:rsidRPr="00345AA7">
        <w:rPr>
          <w:rFonts w:ascii="ITC Avant Garde" w:hAnsi="ITC Avant Garde"/>
          <w:bCs/>
          <w:lang w:eastAsia="es-MX"/>
        </w:rPr>
        <w:t>17</w:t>
      </w:r>
      <w:r w:rsidR="00CB69BA" w:rsidRPr="00345AA7">
        <w:rPr>
          <w:rFonts w:ascii="ITC Avant Garde" w:hAnsi="ITC Avant Garde"/>
          <w:bCs/>
          <w:lang w:eastAsia="es-MX"/>
        </w:rPr>
        <w:t xml:space="preserve"> </w:t>
      </w:r>
      <w:r w:rsidR="009166F8" w:rsidRPr="00345AA7">
        <w:rPr>
          <w:rFonts w:ascii="ITC Avant Garde" w:hAnsi="ITC Avant Garde"/>
          <w:bCs/>
          <w:lang w:eastAsia="es-MX"/>
        </w:rPr>
        <w:t xml:space="preserve">de </w:t>
      </w:r>
      <w:r w:rsidR="00140293" w:rsidRPr="00345AA7">
        <w:rPr>
          <w:rFonts w:ascii="ITC Avant Garde" w:hAnsi="ITC Avant Garde"/>
          <w:bCs/>
          <w:lang w:eastAsia="es-MX"/>
        </w:rPr>
        <w:t>noviembre</w:t>
      </w:r>
      <w:r w:rsidR="00CB69BA" w:rsidRPr="00345AA7">
        <w:rPr>
          <w:rFonts w:ascii="ITC Avant Garde" w:hAnsi="ITC Avant Garde"/>
          <w:bCs/>
          <w:lang w:eastAsia="es-MX"/>
        </w:rPr>
        <w:t xml:space="preserve"> </w:t>
      </w:r>
      <w:r w:rsidR="009166F8" w:rsidRPr="00345AA7">
        <w:rPr>
          <w:rFonts w:ascii="ITC Avant Garde" w:hAnsi="ITC Avant Garde"/>
          <w:bCs/>
          <w:lang w:eastAsia="es-MX"/>
        </w:rPr>
        <w:t>de 2016</w:t>
      </w:r>
      <w:r w:rsidR="00DE5B40" w:rsidRPr="00345AA7">
        <w:rPr>
          <w:rFonts w:ascii="ITC Avant Garde" w:hAnsi="ITC Avant Garde"/>
          <w:bCs/>
          <w:lang w:eastAsia="es-MX"/>
        </w:rPr>
        <w:t>, m</w:t>
      </w:r>
      <w:r w:rsidRPr="00345AA7">
        <w:rPr>
          <w:rFonts w:ascii="ITC Avant Garde" w:hAnsi="ITC Avant Garde"/>
          <w:bCs/>
          <w:lang w:eastAsia="es-MX"/>
        </w:rPr>
        <w:t>ediante oficio 2.1.-</w:t>
      </w:r>
      <w:r w:rsidR="00140293" w:rsidRPr="00345AA7">
        <w:rPr>
          <w:rFonts w:ascii="ITC Avant Garde" w:hAnsi="ITC Avant Garde"/>
          <w:bCs/>
          <w:lang w:eastAsia="es-MX"/>
        </w:rPr>
        <w:t>679/2016</w:t>
      </w:r>
      <w:r w:rsidRPr="00345AA7">
        <w:rPr>
          <w:rFonts w:ascii="ITC Avant Garde" w:hAnsi="ITC Avant Garde"/>
          <w:bCs/>
          <w:lang w:eastAsia="es-MX"/>
        </w:rPr>
        <w:t>, la Dirección General de Política de Telecomunicaciones y de Radiodifusión de la Secretaría, remitió el oficio 1.-</w:t>
      </w:r>
      <w:r w:rsidR="00140293" w:rsidRPr="00345AA7">
        <w:rPr>
          <w:rFonts w:ascii="ITC Avant Garde" w:hAnsi="ITC Avant Garde"/>
          <w:bCs/>
          <w:lang w:eastAsia="es-MX"/>
        </w:rPr>
        <w:t>282</w:t>
      </w:r>
      <w:r w:rsidR="00CB69BA" w:rsidRPr="00345AA7">
        <w:rPr>
          <w:rFonts w:ascii="ITC Avant Garde" w:hAnsi="ITC Avant Garde"/>
          <w:bCs/>
          <w:lang w:eastAsia="es-MX"/>
        </w:rPr>
        <w:t xml:space="preserve"> </w:t>
      </w:r>
      <w:r w:rsidRPr="00345AA7">
        <w:rPr>
          <w:rFonts w:ascii="ITC Avant Garde" w:hAnsi="ITC Avant Garde"/>
          <w:bCs/>
          <w:lang w:eastAsia="es-MX"/>
        </w:rPr>
        <w:t>con la opinión técnica en sentido favorable</w:t>
      </w:r>
      <w:r w:rsidR="00192A33" w:rsidRPr="00345AA7">
        <w:rPr>
          <w:rFonts w:ascii="ITC Avant Garde" w:hAnsi="ITC Avant Garde"/>
          <w:bCs/>
          <w:lang w:eastAsia="es-MX"/>
        </w:rPr>
        <w:t>,</w:t>
      </w:r>
      <w:r w:rsidRPr="00345AA7">
        <w:rPr>
          <w:rFonts w:ascii="ITC Avant Garde" w:hAnsi="ITC Avant Garde"/>
          <w:bCs/>
          <w:lang w:eastAsia="es-MX"/>
        </w:rPr>
        <w:t xml:space="preserve"> respecto de la Solicitud de </w:t>
      </w:r>
      <w:r w:rsidR="004D15F9" w:rsidRPr="00345AA7">
        <w:rPr>
          <w:rFonts w:ascii="ITC Avant Garde" w:hAnsi="ITC Avant Garde"/>
          <w:bCs/>
          <w:lang w:eastAsia="es-MX"/>
        </w:rPr>
        <w:t>Enajenación</w:t>
      </w:r>
      <w:r w:rsidR="00637B22" w:rsidRPr="00345AA7">
        <w:rPr>
          <w:rFonts w:ascii="ITC Avant Garde" w:hAnsi="ITC Avant Garde"/>
          <w:bCs/>
          <w:lang w:eastAsia="es-MX"/>
        </w:rPr>
        <w:t xml:space="preserve"> </w:t>
      </w:r>
      <w:r w:rsidR="00CB69BA" w:rsidRPr="00345AA7">
        <w:rPr>
          <w:rFonts w:ascii="ITC Avant Garde" w:hAnsi="ITC Avant Garde"/>
          <w:bCs/>
          <w:lang w:eastAsia="es-MX"/>
        </w:rPr>
        <w:t>de</w:t>
      </w:r>
      <w:r w:rsidR="004D15F9" w:rsidRPr="00345AA7">
        <w:rPr>
          <w:rFonts w:ascii="ITC Avant Garde" w:hAnsi="ITC Avant Garde"/>
          <w:bCs/>
          <w:lang w:eastAsia="es-MX"/>
        </w:rPr>
        <w:t xml:space="preserve"> Acciones</w:t>
      </w:r>
      <w:r w:rsidRPr="00345AA7">
        <w:rPr>
          <w:rFonts w:ascii="ITC Avant Garde" w:hAnsi="ITC Avant Garde"/>
          <w:bCs/>
          <w:lang w:eastAsia="es-MX"/>
        </w:rPr>
        <w:t xml:space="preserve"> </w:t>
      </w:r>
      <w:r w:rsidR="00F319EB" w:rsidRPr="00345AA7">
        <w:rPr>
          <w:rFonts w:ascii="ITC Avant Garde" w:hAnsi="ITC Avant Garde"/>
          <w:bCs/>
          <w:lang w:eastAsia="es-MX"/>
        </w:rPr>
        <w:t>presentada</w:t>
      </w:r>
      <w:r w:rsidRPr="00345AA7">
        <w:rPr>
          <w:rFonts w:ascii="ITC Avant Garde" w:hAnsi="ITC Avant Garde"/>
          <w:bCs/>
          <w:lang w:eastAsia="es-MX"/>
        </w:rPr>
        <w:t xml:space="preserve"> por </w:t>
      </w:r>
      <w:r w:rsidR="009604C5" w:rsidRPr="00345AA7">
        <w:rPr>
          <w:rFonts w:ascii="ITC Avant Garde" w:hAnsi="ITC Avant Garde"/>
          <w:bCs/>
          <w:lang w:eastAsia="es-MX"/>
        </w:rPr>
        <w:t>Grupo</w:t>
      </w:r>
      <w:r w:rsidR="00CB69BA" w:rsidRPr="00345AA7">
        <w:rPr>
          <w:rFonts w:ascii="ITC Avant Garde" w:hAnsi="ITC Avant Garde"/>
          <w:bCs/>
          <w:lang w:eastAsia="es-MX"/>
        </w:rPr>
        <w:t xml:space="preserve"> W </w:t>
      </w:r>
      <w:r w:rsidR="009604C5" w:rsidRPr="00345AA7">
        <w:rPr>
          <w:rFonts w:ascii="ITC Avant Garde" w:hAnsi="ITC Avant Garde"/>
          <w:bCs/>
          <w:lang w:eastAsia="es-MX"/>
        </w:rPr>
        <w:t>Com</w:t>
      </w:r>
      <w:r w:rsidR="00A04C6C" w:rsidRPr="00345AA7">
        <w:rPr>
          <w:rFonts w:ascii="ITC Avant Garde" w:hAnsi="ITC Avant Garde"/>
          <w:bCs/>
          <w:lang w:eastAsia="es-MX"/>
        </w:rPr>
        <w:t>, S.A. de C.V.</w:t>
      </w:r>
    </w:p>
    <w:p w14:paraId="2217B46A" w14:textId="77777777" w:rsidR="00345AA7" w:rsidRPr="00345AA7" w:rsidRDefault="006C4E42" w:rsidP="00345AA7">
      <w:pPr>
        <w:numPr>
          <w:ilvl w:val="0"/>
          <w:numId w:val="4"/>
        </w:numPr>
        <w:spacing w:before="240" w:line="240" w:lineRule="auto"/>
        <w:ind w:left="567"/>
        <w:jc w:val="both"/>
        <w:rPr>
          <w:rFonts w:ascii="ITC Avant Garde" w:hAnsi="ITC Avant Garde"/>
          <w:b/>
          <w:bCs/>
          <w:lang w:eastAsia="es-MX"/>
        </w:rPr>
      </w:pPr>
      <w:r w:rsidRPr="00345AA7">
        <w:rPr>
          <w:rFonts w:ascii="ITC Avant Garde" w:hAnsi="ITC Avant Garde"/>
          <w:b/>
          <w:bCs/>
          <w:lang w:eastAsia="es-MX"/>
        </w:rPr>
        <w:t xml:space="preserve">Opinión en Materia de Competencia Económica.- </w:t>
      </w:r>
      <w:r w:rsidRPr="00345AA7">
        <w:rPr>
          <w:rFonts w:ascii="ITC Avant Garde" w:hAnsi="ITC Avant Garde"/>
          <w:bCs/>
          <w:lang w:eastAsia="es-MX"/>
        </w:rPr>
        <w:t>Mediante oficio IFT/226/UCE/DG-CCON/</w:t>
      </w:r>
      <w:r w:rsidR="00C9500A" w:rsidRPr="00345AA7">
        <w:rPr>
          <w:rFonts w:ascii="ITC Avant Garde" w:hAnsi="ITC Avant Garde"/>
          <w:bCs/>
          <w:lang w:eastAsia="es-MX"/>
        </w:rPr>
        <w:t>453</w:t>
      </w:r>
      <w:r w:rsidRPr="00345AA7">
        <w:rPr>
          <w:rFonts w:ascii="ITC Avant Garde" w:hAnsi="ITC Avant Garde"/>
          <w:bCs/>
          <w:lang w:eastAsia="es-MX"/>
        </w:rPr>
        <w:t>/201</w:t>
      </w:r>
      <w:r w:rsidR="008026B1" w:rsidRPr="00345AA7">
        <w:rPr>
          <w:rFonts w:ascii="ITC Avant Garde" w:hAnsi="ITC Avant Garde"/>
          <w:bCs/>
          <w:lang w:eastAsia="es-MX"/>
        </w:rPr>
        <w:t>6</w:t>
      </w:r>
      <w:r w:rsidRPr="00345AA7">
        <w:rPr>
          <w:rFonts w:ascii="ITC Avant Garde" w:hAnsi="ITC Avant Garde"/>
          <w:bCs/>
          <w:lang w:eastAsia="es-MX"/>
        </w:rPr>
        <w:t xml:space="preserve"> de fecha </w:t>
      </w:r>
      <w:r w:rsidR="00C9500A" w:rsidRPr="00345AA7">
        <w:rPr>
          <w:rFonts w:ascii="ITC Avant Garde" w:hAnsi="ITC Avant Garde"/>
          <w:bCs/>
          <w:lang w:eastAsia="es-MX"/>
        </w:rPr>
        <w:t>30</w:t>
      </w:r>
      <w:r w:rsidR="00977BAF" w:rsidRPr="00345AA7">
        <w:rPr>
          <w:rFonts w:ascii="ITC Avant Garde" w:hAnsi="ITC Avant Garde"/>
          <w:bCs/>
          <w:lang w:eastAsia="es-MX"/>
        </w:rPr>
        <w:t xml:space="preserve"> </w:t>
      </w:r>
      <w:r w:rsidR="008026B1" w:rsidRPr="00345AA7">
        <w:rPr>
          <w:rFonts w:ascii="ITC Avant Garde" w:hAnsi="ITC Avant Garde"/>
          <w:bCs/>
          <w:lang w:eastAsia="es-MX"/>
        </w:rPr>
        <w:t xml:space="preserve">de </w:t>
      </w:r>
      <w:r w:rsidR="00977BAF" w:rsidRPr="00345AA7">
        <w:rPr>
          <w:rFonts w:ascii="ITC Avant Garde" w:hAnsi="ITC Avant Garde"/>
          <w:bCs/>
          <w:lang w:eastAsia="es-MX"/>
        </w:rPr>
        <w:t xml:space="preserve">noviembre </w:t>
      </w:r>
      <w:r w:rsidR="008026B1" w:rsidRPr="00345AA7">
        <w:rPr>
          <w:rFonts w:ascii="ITC Avant Garde" w:hAnsi="ITC Avant Garde"/>
          <w:bCs/>
          <w:lang w:eastAsia="es-MX"/>
        </w:rPr>
        <w:t>de 2016</w:t>
      </w:r>
      <w:r w:rsidRPr="00345AA7">
        <w:rPr>
          <w:rFonts w:ascii="ITC Avant Garde" w:hAnsi="ITC Avant Garde"/>
          <w:bCs/>
          <w:lang w:eastAsia="es-MX"/>
        </w:rPr>
        <w:t xml:space="preserve">, la </w:t>
      </w:r>
      <w:r w:rsidR="002C0295" w:rsidRPr="00345AA7">
        <w:rPr>
          <w:rFonts w:ascii="ITC Avant Garde" w:hAnsi="ITC Avant Garde"/>
          <w:bCs/>
          <w:lang w:eastAsia="es-MX"/>
        </w:rPr>
        <w:t>Direcci</w:t>
      </w:r>
      <w:r w:rsidR="0053154E" w:rsidRPr="00345AA7">
        <w:rPr>
          <w:rFonts w:ascii="ITC Avant Garde" w:hAnsi="ITC Avant Garde"/>
          <w:bCs/>
          <w:lang w:eastAsia="es-MX"/>
        </w:rPr>
        <w:t xml:space="preserve">ón General </w:t>
      </w:r>
      <w:r w:rsidR="002C0295" w:rsidRPr="00345AA7">
        <w:rPr>
          <w:rFonts w:ascii="ITC Avant Garde" w:hAnsi="ITC Avant Garde"/>
          <w:bCs/>
          <w:lang w:eastAsia="es-MX"/>
        </w:rPr>
        <w:t xml:space="preserve">de Concentraciones y Concesiones, adscrita a la </w:t>
      </w:r>
      <w:r w:rsidRPr="00345AA7">
        <w:rPr>
          <w:rFonts w:ascii="ITC Avant Garde" w:hAnsi="ITC Avant Garde"/>
          <w:bCs/>
          <w:lang w:eastAsia="es-MX"/>
        </w:rPr>
        <w:t xml:space="preserve">Unidad de Competencia Económica, emitió la opinión en materia de competencia económica con respecto a la Solicitud de </w:t>
      </w:r>
      <w:r w:rsidR="008026B1" w:rsidRPr="00345AA7">
        <w:rPr>
          <w:rFonts w:ascii="ITC Avant Garde" w:hAnsi="ITC Avant Garde"/>
          <w:bCs/>
          <w:lang w:eastAsia="es-MX"/>
        </w:rPr>
        <w:t>Enajenación</w:t>
      </w:r>
      <w:r w:rsidR="00637B22" w:rsidRPr="00345AA7">
        <w:rPr>
          <w:rFonts w:ascii="ITC Avant Garde" w:hAnsi="ITC Avant Garde"/>
          <w:bCs/>
          <w:lang w:eastAsia="es-MX"/>
        </w:rPr>
        <w:t xml:space="preserve"> </w:t>
      </w:r>
      <w:r w:rsidR="008026B1" w:rsidRPr="00345AA7">
        <w:rPr>
          <w:rFonts w:ascii="ITC Avant Garde" w:hAnsi="ITC Avant Garde"/>
          <w:bCs/>
          <w:lang w:eastAsia="es-MX"/>
        </w:rPr>
        <w:t>de Acciones</w:t>
      </w:r>
      <w:r w:rsidRPr="00345AA7">
        <w:rPr>
          <w:rFonts w:ascii="ITC Avant Garde" w:hAnsi="ITC Avant Garde"/>
          <w:bCs/>
          <w:lang w:eastAsia="es-MX"/>
        </w:rPr>
        <w:t>.</w:t>
      </w:r>
    </w:p>
    <w:p w14:paraId="47C215B6" w14:textId="77777777" w:rsidR="00345AA7" w:rsidRPr="00345AA7" w:rsidRDefault="00B048BA" w:rsidP="00345AA7">
      <w:pPr>
        <w:spacing w:before="240" w:line="240" w:lineRule="auto"/>
        <w:jc w:val="both"/>
        <w:rPr>
          <w:rFonts w:ascii="ITC Avant Garde" w:hAnsi="ITC Avant Garde"/>
          <w:bCs/>
          <w:lang w:eastAsia="es-MX"/>
        </w:rPr>
      </w:pPr>
      <w:r w:rsidRPr="00345AA7">
        <w:rPr>
          <w:rFonts w:ascii="ITC Avant Garde" w:hAnsi="ITC Avant Garde"/>
          <w:bCs/>
          <w:lang w:eastAsia="es-MX"/>
        </w:rPr>
        <w:t>En virtud de los Antecedentes referidos y,</w:t>
      </w:r>
    </w:p>
    <w:p w14:paraId="3B6A46D9" w14:textId="77777777" w:rsidR="00345AA7" w:rsidRPr="00345AA7" w:rsidRDefault="00B048BA" w:rsidP="00345AA7">
      <w:pPr>
        <w:pStyle w:val="Ttulo2"/>
        <w:spacing w:after="240"/>
        <w:jc w:val="center"/>
        <w:rPr>
          <w:rFonts w:ascii="ITC Avant Garde" w:hAnsi="ITC Avant Garde"/>
          <w:b/>
          <w:color w:val="000000" w:themeColor="text1"/>
          <w:sz w:val="22"/>
          <w:szCs w:val="22"/>
        </w:rPr>
      </w:pPr>
      <w:r w:rsidRPr="00345AA7">
        <w:rPr>
          <w:rFonts w:ascii="ITC Avant Garde" w:hAnsi="ITC Avant Garde"/>
          <w:b/>
          <w:color w:val="000000" w:themeColor="text1"/>
          <w:sz w:val="22"/>
          <w:szCs w:val="22"/>
        </w:rPr>
        <w:t>CONSIDERANDO</w:t>
      </w:r>
    </w:p>
    <w:p w14:paraId="347C1341" w14:textId="7BC7CF57" w:rsidR="00D04074" w:rsidRPr="00345AA7" w:rsidRDefault="00B048BA"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
          <w:bCs/>
        </w:rPr>
        <w:t>Primero.-</w:t>
      </w:r>
      <w:r w:rsidRPr="00345AA7">
        <w:rPr>
          <w:rFonts w:ascii="ITC Avant Garde" w:hAnsi="ITC Avant Garde"/>
          <w:bCs/>
        </w:rPr>
        <w:t xml:space="preserve"> </w:t>
      </w:r>
      <w:r w:rsidRPr="00345AA7">
        <w:rPr>
          <w:rFonts w:ascii="ITC Avant Garde" w:hAnsi="ITC Avant Garde"/>
          <w:b/>
          <w:bCs/>
        </w:rPr>
        <w:t>Competencia.</w:t>
      </w:r>
      <w:r w:rsidRPr="00345AA7">
        <w:rPr>
          <w:rFonts w:ascii="ITC Avant Garde" w:hAnsi="ITC Avant Garde"/>
          <w:bCs/>
        </w:rPr>
        <w:t xml:space="preserve"> </w:t>
      </w:r>
      <w:r w:rsidR="00D04074" w:rsidRPr="00345AA7">
        <w:rPr>
          <w:rFonts w:ascii="ITC Avant Garde" w:hAnsi="ITC Avant Garde"/>
          <w:bCs/>
          <w:lang w:eastAsia="es-MX"/>
        </w:rPr>
        <w:t xml:space="preserve">Conforme lo dispone el artículo 28 párrafo décimo </w:t>
      </w:r>
      <w:r w:rsidR="003A59B8" w:rsidRPr="00345AA7">
        <w:rPr>
          <w:rFonts w:ascii="ITC Avant Garde" w:hAnsi="ITC Avant Garde"/>
          <w:bCs/>
          <w:lang w:eastAsia="es-MX"/>
        </w:rPr>
        <w:t>séptimo</w:t>
      </w:r>
      <w:r w:rsidR="00D04074" w:rsidRPr="00345AA7">
        <w:rPr>
          <w:rFonts w:ascii="ITC Avant Garde" w:hAnsi="ITC Avant Garde"/>
          <w:bCs/>
          <w:lang w:eastAsia="es-MX"/>
        </w:rPr>
        <w:t xml:space="preserve"> de la Constitución, </w:t>
      </w:r>
      <w:r w:rsidR="00626EF3" w:rsidRPr="00345AA7">
        <w:rPr>
          <w:rFonts w:ascii="ITC Avant Garde" w:hAnsi="ITC Avant Garde"/>
          <w:bCs/>
          <w:lang w:eastAsia="es-MX"/>
        </w:rPr>
        <w:t>c</w:t>
      </w:r>
      <w:r w:rsidR="00F571C6" w:rsidRPr="00345AA7">
        <w:rPr>
          <w:rFonts w:ascii="ITC Avant Garde" w:hAnsi="ITC Avant Garde"/>
          <w:bCs/>
          <w:lang w:eastAsia="es-MX"/>
        </w:rPr>
        <w:t>orresponde al Instituto</w:t>
      </w:r>
      <w:r w:rsidR="007F33CB" w:rsidRPr="00345AA7">
        <w:rPr>
          <w:rFonts w:ascii="ITC Avant Garde" w:hAnsi="ITC Avant Garde"/>
          <w:bCs/>
          <w:lang w:eastAsia="es-MX"/>
        </w:rPr>
        <w:t xml:space="preserve"> el otorgamiento, la revocación, así como la autorización de cesiones o cambios de control accionario, titularidad u operación de sociedades relacionadas con concesiones en materia de radiodifusión y telecomunicaciones</w:t>
      </w:r>
      <w:r w:rsidR="00D04074" w:rsidRPr="00345AA7">
        <w:rPr>
          <w:rFonts w:ascii="ITC Avant Garde" w:hAnsi="ITC Avant Garde"/>
          <w:bCs/>
          <w:lang w:eastAsia="es-MX"/>
        </w:rPr>
        <w:t>.</w:t>
      </w:r>
    </w:p>
    <w:p w14:paraId="2884C602" w14:textId="77777777" w:rsidR="00345AA7" w:rsidRPr="00345AA7" w:rsidRDefault="00A62AEA"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lang w:eastAsia="es-MX"/>
        </w:rPr>
        <w:t>Asimismo,</w:t>
      </w:r>
      <w:r w:rsidR="006376CC" w:rsidRPr="00345AA7">
        <w:rPr>
          <w:rFonts w:ascii="ITC Avant Garde" w:hAnsi="ITC Avant Garde"/>
          <w:bCs/>
          <w:lang w:eastAsia="es-MX"/>
        </w:rPr>
        <w:t xml:space="preserve"> de conformidad con el párrafo</w:t>
      </w:r>
      <w:r w:rsidR="006376CC" w:rsidRPr="00345AA7">
        <w:rPr>
          <w:rFonts w:ascii="ITC Avant Garde" w:hAnsi="ITC Avant Garde"/>
          <w:bCs/>
        </w:rPr>
        <w:t xml:space="preserve"> décimo sexto del citado artículo,</w:t>
      </w:r>
      <w:r w:rsidRPr="00345AA7">
        <w:rPr>
          <w:rFonts w:ascii="ITC Avant Garde" w:hAnsi="ITC Avant Garde"/>
          <w:bCs/>
        </w:rPr>
        <w:t xml:space="preserve"> el Instituto es la autoridad en materia de competencia económica </w:t>
      </w:r>
      <w:r w:rsidR="00F571C6" w:rsidRPr="00345AA7">
        <w:rPr>
          <w:rFonts w:ascii="ITC Avant Garde" w:hAnsi="ITC Avant Garde"/>
          <w:bCs/>
        </w:rPr>
        <w:t>de</w:t>
      </w:r>
      <w:r w:rsidRPr="00345AA7">
        <w:rPr>
          <w:rFonts w:ascii="ITC Avant Garde" w:hAnsi="ITC Avant Garde"/>
          <w:bCs/>
        </w:rPr>
        <w:t xml:space="preserve"> los sectores de </w:t>
      </w:r>
      <w:r w:rsidRPr="00345AA7">
        <w:rPr>
          <w:rFonts w:ascii="ITC Avant Garde" w:hAnsi="ITC Avant Garde"/>
          <w:bCs/>
          <w:lang w:eastAsia="es-MX"/>
        </w:rPr>
        <w:t>radiodifusión</w:t>
      </w:r>
      <w:r w:rsidRPr="00345AA7">
        <w:rPr>
          <w:rFonts w:ascii="ITC Avant Garde" w:hAnsi="ITC Avant Garde"/>
          <w:bCs/>
        </w:rPr>
        <w:t xml:space="preserve"> y telecomunicaciones, por lo que entre otros aspectos, regulará de forma asimétrica a los participantes en estos mercados con el objeto de eliminar eficazmente las barreras a la competencia y la libre </w:t>
      </w:r>
      <w:r w:rsidR="00F571C6" w:rsidRPr="00345AA7">
        <w:rPr>
          <w:rFonts w:ascii="ITC Avant Garde" w:hAnsi="ITC Avant Garde"/>
          <w:bCs/>
        </w:rPr>
        <w:t>concurrencia</w:t>
      </w:r>
      <w:r w:rsidRPr="00345AA7">
        <w:rPr>
          <w:rFonts w:ascii="ITC Avant Garde" w:hAnsi="ITC Avant Garde"/>
          <w:bCs/>
        </w:rPr>
        <w:t>;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F407B48" w14:textId="77777777" w:rsidR="00345AA7" w:rsidRPr="00345AA7" w:rsidRDefault="00D06882"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De igual manera</w:t>
      </w:r>
      <w:r w:rsidR="00BA5A10" w:rsidRPr="00345AA7">
        <w:rPr>
          <w:rFonts w:ascii="ITC Avant Garde" w:hAnsi="ITC Avant Garde"/>
          <w:bCs/>
          <w:lang w:eastAsia="es-MX"/>
        </w:rPr>
        <w:t xml:space="preserve">, corresponde al Pleno del Instituto conforme a lo establecido en los artículos 15 fracción IV y 17 </w:t>
      </w:r>
      <w:proofErr w:type="gramStart"/>
      <w:r w:rsidR="00BA5A10" w:rsidRPr="00345AA7">
        <w:rPr>
          <w:rFonts w:ascii="ITC Avant Garde" w:hAnsi="ITC Avant Garde"/>
          <w:bCs/>
          <w:lang w:eastAsia="es-MX"/>
        </w:rPr>
        <w:t>fracción I de la Ley Federal de Telecomunicaciones y Radiodifusión (la “Ley</w:t>
      </w:r>
      <w:proofErr w:type="gramEnd"/>
      <w:r w:rsidR="00BA5A10" w:rsidRPr="00345AA7">
        <w:rPr>
          <w:rFonts w:ascii="ITC Avant Garde" w:hAnsi="ITC Avant Garde"/>
          <w:bCs/>
          <w:lang w:eastAsia="es-MX"/>
        </w:rPr>
        <w:t>”) y 6 del Estatuto Orgánico, la facultad de autorizar cesiones o cambios de control accionario, titularidad u operación de sociedades relacionadas con concesiones</w:t>
      </w:r>
      <w:r w:rsidR="00D04074" w:rsidRPr="00345AA7">
        <w:rPr>
          <w:rFonts w:ascii="ITC Avant Garde" w:hAnsi="ITC Avant Garde"/>
          <w:bCs/>
          <w:lang w:eastAsia="es-MX"/>
        </w:rPr>
        <w:t>.</w:t>
      </w:r>
    </w:p>
    <w:p w14:paraId="322AE731" w14:textId="77777777" w:rsidR="00345AA7" w:rsidRPr="00345AA7" w:rsidRDefault="006E2D8C"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lastRenderedPageBreak/>
        <w:t>En este sentido</w:t>
      </w:r>
      <w:r w:rsidR="00D04074" w:rsidRPr="00345AA7">
        <w:rPr>
          <w:rFonts w:ascii="ITC Avant Garde" w:hAnsi="ITC Avant Garde"/>
          <w:bCs/>
          <w:lang w:eastAsia="es-MX"/>
        </w:rPr>
        <w:t xml:space="preserve">, conforme al artículo 33 fracción </w:t>
      </w:r>
      <w:r w:rsidR="003B2407" w:rsidRPr="00345AA7">
        <w:rPr>
          <w:rFonts w:ascii="ITC Avant Garde" w:hAnsi="ITC Avant Garde"/>
          <w:bCs/>
          <w:lang w:eastAsia="es-MX"/>
        </w:rPr>
        <w:t>IV</w:t>
      </w:r>
      <w:r w:rsidR="00D04074" w:rsidRPr="00345AA7">
        <w:rPr>
          <w:rFonts w:ascii="ITC Avant Garde" w:hAnsi="ITC Avant Garde"/>
          <w:bCs/>
          <w:lang w:eastAsia="es-MX"/>
        </w:rPr>
        <w:t xml:space="preserve"> del Estatuto Orgánico</w:t>
      </w:r>
      <w:r w:rsidR="003B2407" w:rsidRPr="00345AA7">
        <w:rPr>
          <w:rFonts w:ascii="ITC Avant Garde" w:hAnsi="ITC Avant Garde"/>
          <w:bCs/>
          <w:lang w:eastAsia="es-MX"/>
        </w:rPr>
        <w:t xml:space="preserve"> </w:t>
      </w:r>
      <w:r w:rsidR="00D04074" w:rsidRPr="00345AA7">
        <w:rPr>
          <w:rFonts w:ascii="ITC Avant Garde" w:hAnsi="ITC Avant Garde"/>
          <w:bCs/>
          <w:lang w:eastAsia="es-MX"/>
        </w:rPr>
        <w:t xml:space="preserve">corresponde a la Dirección General de Concesiones de Telecomunicaciones, adscrita a la Unidad de Concesiones y Servicios, </w:t>
      </w:r>
      <w:r w:rsidR="008D4107" w:rsidRPr="00345AA7">
        <w:rPr>
          <w:rFonts w:ascii="ITC Avant Garde" w:hAnsi="ITC Avant Garde"/>
          <w:bCs/>
          <w:lang w:eastAsia="es-MX"/>
        </w:rPr>
        <w:t>tramitar y evaluar las solicitudes de cambios de control accionario, titularidad u operación de sociedades relacionadas con las concesiones en materia de telecomunicaciones para someterlas a consideración del Pleno</w:t>
      </w:r>
      <w:r w:rsidR="00D04074" w:rsidRPr="00345AA7">
        <w:rPr>
          <w:rFonts w:ascii="ITC Avant Garde" w:hAnsi="ITC Avant Garde"/>
          <w:bCs/>
          <w:lang w:eastAsia="es-MX"/>
        </w:rPr>
        <w:t>.</w:t>
      </w:r>
    </w:p>
    <w:p w14:paraId="0D726BA0" w14:textId="77777777" w:rsidR="00345AA7" w:rsidRPr="00345AA7" w:rsidRDefault="006E2D8C"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En este orden de ideas,</w:t>
      </w:r>
      <w:r w:rsidR="00EA63A8" w:rsidRPr="00345AA7">
        <w:rPr>
          <w:rFonts w:ascii="ITC Avant Garde" w:hAnsi="ITC Avant Garde"/>
          <w:bCs/>
          <w:lang w:eastAsia="es-MX"/>
        </w:rPr>
        <w:t xml:space="preserve"> y considerando que</w:t>
      </w:r>
      <w:r w:rsidRPr="00345AA7">
        <w:rPr>
          <w:rFonts w:ascii="ITC Avant Garde" w:hAnsi="ITC Avant Garde"/>
          <w:bCs/>
          <w:lang w:eastAsia="es-MX"/>
        </w:rPr>
        <w:t xml:space="preserve"> el Instituto tiene a su cargo la regulación, promoción y supervisión de las telecomunicaciones, así como la facultad de autorizar cesiones o cambios de control accionario, titularidad u operación de sociedades relacionadas con concesiones</w:t>
      </w:r>
      <w:r w:rsidR="00EA63A8" w:rsidRPr="00345AA7">
        <w:rPr>
          <w:rFonts w:ascii="ITC Avant Garde" w:hAnsi="ITC Avant Garde"/>
          <w:bCs/>
          <w:lang w:eastAsia="es-MX"/>
        </w:rPr>
        <w:t>;</w:t>
      </w:r>
      <w:r w:rsidR="00141FE7" w:rsidRPr="00345AA7">
        <w:rPr>
          <w:rFonts w:ascii="ITC Avant Garde" w:hAnsi="ITC Avant Garde"/>
          <w:bCs/>
          <w:lang w:eastAsia="es-MX"/>
        </w:rPr>
        <w:t xml:space="preserve"> el Pleno</w:t>
      </w:r>
      <w:r w:rsidR="006A65F2" w:rsidRPr="00345AA7">
        <w:rPr>
          <w:rFonts w:ascii="ITC Avant Garde" w:hAnsi="ITC Avant Garde"/>
          <w:bCs/>
          <w:lang w:eastAsia="es-MX"/>
        </w:rPr>
        <w:t>,</w:t>
      </w:r>
      <w:r w:rsidRPr="00345AA7">
        <w:rPr>
          <w:rFonts w:ascii="ITC Avant Garde" w:hAnsi="ITC Avant Garde"/>
          <w:bCs/>
          <w:lang w:eastAsia="es-MX"/>
        </w:rPr>
        <w:t xml:space="preserve"> como órgano máximo de gobierno</w:t>
      </w:r>
      <w:r w:rsidR="006A65F2" w:rsidRPr="00345AA7">
        <w:rPr>
          <w:rFonts w:ascii="ITC Avant Garde" w:hAnsi="ITC Avant Garde"/>
          <w:bCs/>
          <w:lang w:eastAsia="es-MX"/>
        </w:rPr>
        <w:t xml:space="preserve"> y decisión</w:t>
      </w:r>
      <w:r w:rsidRPr="00345AA7">
        <w:rPr>
          <w:rFonts w:ascii="ITC Avant Garde" w:hAnsi="ITC Avant Garde"/>
          <w:bCs/>
          <w:lang w:eastAsia="es-MX"/>
        </w:rPr>
        <w:t xml:space="preserve"> del Instituto, se encuentra plenamente facultado para resolver la Solic</w:t>
      </w:r>
      <w:r w:rsidR="00D353F2" w:rsidRPr="00345AA7">
        <w:rPr>
          <w:rFonts w:ascii="ITC Avant Garde" w:hAnsi="ITC Avant Garde"/>
          <w:bCs/>
          <w:lang w:eastAsia="es-MX"/>
        </w:rPr>
        <w:t>itud de Enajenación de Acciones.</w:t>
      </w:r>
    </w:p>
    <w:p w14:paraId="29483133" w14:textId="772CD19D" w:rsidR="00345AA7" w:rsidRPr="00345AA7" w:rsidRDefault="00D04074"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
          <w:bCs/>
        </w:rPr>
        <w:t>Segundo.-</w:t>
      </w:r>
      <w:r w:rsidRPr="00345AA7">
        <w:rPr>
          <w:rFonts w:ascii="ITC Avant Garde" w:hAnsi="ITC Avant Garde"/>
          <w:bCs/>
        </w:rPr>
        <w:t xml:space="preserve"> </w:t>
      </w:r>
      <w:r w:rsidRPr="00345AA7">
        <w:rPr>
          <w:rFonts w:ascii="ITC Avant Garde" w:hAnsi="ITC Avant Garde"/>
          <w:b/>
          <w:bCs/>
        </w:rPr>
        <w:t xml:space="preserve">Marco legal aplicable a la </w:t>
      </w:r>
      <w:r w:rsidR="00ED674B" w:rsidRPr="00345AA7">
        <w:rPr>
          <w:rFonts w:ascii="ITC Avant Garde" w:hAnsi="ITC Avant Garde"/>
          <w:b/>
          <w:bCs/>
        </w:rPr>
        <w:t>Solicitud de Enajenación</w:t>
      </w:r>
      <w:r w:rsidR="00637B22" w:rsidRPr="00345AA7">
        <w:rPr>
          <w:rFonts w:ascii="ITC Avant Garde" w:hAnsi="ITC Avant Garde"/>
          <w:b/>
          <w:bCs/>
        </w:rPr>
        <w:t xml:space="preserve"> </w:t>
      </w:r>
      <w:r w:rsidR="00ED674B" w:rsidRPr="00345AA7">
        <w:rPr>
          <w:rFonts w:ascii="ITC Avant Garde" w:hAnsi="ITC Avant Garde"/>
          <w:b/>
          <w:bCs/>
        </w:rPr>
        <w:t>de Acciones</w:t>
      </w:r>
      <w:r w:rsidRPr="00345AA7">
        <w:rPr>
          <w:rFonts w:ascii="ITC Avant Garde" w:hAnsi="ITC Avant Garde"/>
          <w:b/>
          <w:bCs/>
        </w:rPr>
        <w:t>.</w:t>
      </w:r>
      <w:r w:rsidRPr="00345AA7">
        <w:rPr>
          <w:rFonts w:ascii="ITC Avant Garde" w:hAnsi="ITC Avant Garde"/>
          <w:bCs/>
        </w:rPr>
        <w:t xml:space="preserve"> </w:t>
      </w:r>
      <w:r w:rsidR="00AC415C" w:rsidRPr="00345AA7">
        <w:rPr>
          <w:rFonts w:ascii="ITC Avant Garde" w:hAnsi="ITC Avant Garde"/>
          <w:bCs/>
        </w:rPr>
        <w:t xml:space="preserve">De </w:t>
      </w:r>
      <w:r w:rsidR="00AC415C" w:rsidRPr="00345AA7">
        <w:rPr>
          <w:rFonts w:ascii="ITC Avant Garde" w:hAnsi="ITC Avant Garde"/>
          <w:bCs/>
          <w:lang w:eastAsia="es-MX"/>
        </w:rPr>
        <w:t>conformidad con lo antes</w:t>
      </w:r>
      <w:r w:rsidR="00623B3E" w:rsidRPr="00345AA7">
        <w:rPr>
          <w:rFonts w:ascii="ITC Avant Garde" w:hAnsi="ITC Avant Garde"/>
          <w:bCs/>
          <w:lang w:eastAsia="es-MX"/>
        </w:rPr>
        <w:t xml:space="preserve"> señalado</w:t>
      </w:r>
      <w:r w:rsidR="00AC415C" w:rsidRPr="00345AA7">
        <w:rPr>
          <w:rFonts w:ascii="ITC Avant Garde" w:hAnsi="ITC Avant Garde"/>
          <w:bCs/>
          <w:lang w:eastAsia="es-MX"/>
        </w:rPr>
        <w:t>,</w:t>
      </w:r>
      <w:r w:rsidR="00623B3E" w:rsidRPr="00345AA7">
        <w:rPr>
          <w:rFonts w:ascii="ITC Avant Garde" w:hAnsi="ITC Avant Garde"/>
          <w:bCs/>
          <w:lang w:eastAsia="es-MX"/>
        </w:rPr>
        <w:t xml:space="preserve"> la normatividad aplicable que establece los requisitos de procedencia para solicitar la autorización para llevar a cabo la enajenación de acciones o partes sociales del capital, se encuentra contenida en </w:t>
      </w:r>
      <w:r w:rsidR="00B22A79" w:rsidRPr="00345AA7">
        <w:rPr>
          <w:rFonts w:ascii="ITC Avant Garde" w:hAnsi="ITC Avant Garde"/>
          <w:bCs/>
          <w:lang w:eastAsia="es-MX"/>
        </w:rPr>
        <w:t xml:space="preserve">el artículo 112 de </w:t>
      </w:r>
      <w:r w:rsidR="00AC415C" w:rsidRPr="00345AA7">
        <w:rPr>
          <w:rFonts w:ascii="ITC Avant Garde" w:hAnsi="ITC Avant Garde"/>
          <w:bCs/>
          <w:lang w:eastAsia="es-MX"/>
        </w:rPr>
        <w:t>la Ley</w:t>
      </w:r>
      <w:r w:rsidR="00B22A79" w:rsidRPr="00345AA7">
        <w:rPr>
          <w:rFonts w:ascii="ITC Avant Garde" w:hAnsi="ITC Avant Garde"/>
          <w:bCs/>
          <w:lang w:eastAsia="es-MX"/>
        </w:rPr>
        <w:t>, el cual establece lo siguiente:</w:t>
      </w:r>
    </w:p>
    <w:p w14:paraId="40DA09CC" w14:textId="77777777" w:rsidR="00345AA7" w:rsidRPr="00345AA7" w:rsidRDefault="00281886"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sz w:val="18"/>
          <w:szCs w:val="18"/>
        </w:rPr>
        <w:t>“</w:t>
      </w:r>
      <w:r w:rsidR="00701B8C" w:rsidRPr="00345AA7">
        <w:rPr>
          <w:rFonts w:ascii="ITC Avant Garde" w:hAnsi="ITC Avant Garde"/>
          <w:b/>
          <w:bCs/>
          <w:sz w:val="18"/>
          <w:szCs w:val="18"/>
          <w:lang w:eastAsia="es-MX"/>
        </w:rPr>
        <w:t>Artículo 112.</w:t>
      </w:r>
      <w:r w:rsidR="00701B8C" w:rsidRPr="00345AA7">
        <w:rPr>
          <w:rFonts w:ascii="ITC Avant Garde" w:hAnsi="ITC Avant Garde"/>
          <w:bCs/>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0392EFC7" w14:textId="77777777" w:rsidR="00345AA7" w:rsidRPr="00345AA7" w:rsidRDefault="00701B8C"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bCs/>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61B2C02E" w14:textId="77777777" w:rsidR="00345AA7" w:rsidRPr="00345AA7" w:rsidRDefault="00701B8C" w:rsidP="00345AA7">
      <w:pPr>
        <w:pStyle w:val="Prrafodelista"/>
        <w:numPr>
          <w:ilvl w:val="0"/>
          <w:numId w:val="8"/>
        </w:numPr>
        <w:spacing w:before="240" w:after="200"/>
        <w:ind w:right="616"/>
        <w:jc w:val="both"/>
        <w:rPr>
          <w:rFonts w:ascii="ITC Avant Garde" w:hAnsi="ITC Avant Garde"/>
          <w:bCs/>
          <w:sz w:val="18"/>
          <w:szCs w:val="18"/>
          <w:lang w:eastAsia="es-MX"/>
        </w:rPr>
      </w:pPr>
      <w:r w:rsidRPr="00345AA7">
        <w:rPr>
          <w:rFonts w:ascii="ITC Avant Garde" w:hAnsi="ITC Avant Garde"/>
          <w:bCs/>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4CF3D4E3" w14:textId="77777777" w:rsidR="00345AA7" w:rsidRPr="00345AA7" w:rsidRDefault="00701B8C" w:rsidP="00345AA7">
      <w:pPr>
        <w:pStyle w:val="Prrafodelista"/>
        <w:numPr>
          <w:ilvl w:val="0"/>
          <w:numId w:val="8"/>
        </w:numPr>
        <w:spacing w:before="240" w:after="200"/>
        <w:ind w:right="616"/>
        <w:jc w:val="both"/>
        <w:rPr>
          <w:rFonts w:ascii="ITC Avant Garde" w:hAnsi="ITC Avant Garde"/>
          <w:bCs/>
          <w:sz w:val="18"/>
          <w:szCs w:val="18"/>
          <w:lang w:eastAsia="es-MX"/>
        </w:rPr>
      </w:pPr>
      <w:r w:rsidRPr="00345AA7">
        <w:rPr>
          <w:rFonts w:ascii="ITC Avant Garde" w:hAnsi="ITC Avant Garde"/>
          <w:bCs/>
          <w:sz w:val="18"/>
          <w:szCs w:val="18"/>
          <w:lang w:eastAsia="es-MX"/>
        </w:rPr>
        <w:t>El Instituto tendrá un plazo de diez días hábiles contados a partir de la presentación del aviso, para solicitar la opinión de la Secretaría;</w:t>
      </w:r>
    </w:p>
    <w:p w14:paraId="091192A5" w14:textId="77777777" w:rsidR="00345AA7" w:rsidRPr="00345AA7" w:rsidRDefault="00701B8C" w:rsidP="00345AA7">
      <w:pPr>
        <w:pStyle w:val="Prrafodelista"/>
        <w:numPr>
          <w:ilvl w:val="0"/>
          <w:numId w:val="8"/>
        </w:numPr>
        <w:spacing w:before="240" w:after="200"/>
        <w:ind w:right="616"/>
        <w:jc w:val="both"/>
        <w:rPr>
          <w:rFonts w:ascii="ITC Avant Garde" w:hAnsi="ITC Avant Garde"/>
          <w:bCs/>
          <w:sz w:val="18"/>
          <w:szCs w:val="18"/>
          <w:lang w:eastAsia="es-MX"/>
        </w:rPr>
      </w:pPr>
      <w:r w:rsidRPr="00345AA7">
        <w:rPr>
          <w:rFonts w:ascii="ITC Avant Garde" w:hAnsi="ITC Avant Garde"/>
          <w:bCs/>
          <w:sz w:val="18"/>
          <w:szCs w:val="18"/>
          <w:lang w:eastAsia="es-MX"/>
        </w:rPr>
        <w:t>La Secretaría tendrá un plazo de treinta días naturales para emitir opinión, y</w:t>
      </w:r>
    </w:p>
    <w:p w14:paraId="0A3FC3A5" w14:textId="77777777" w:rsidR="00345AA7" w:rsidRPr="00345AA7" w:rsidRDefault="00701B8C" w:rsidP="00345AA7">
      <w:pPr>
        <w:spacing w:before="240" w:line="240" w:lineRule="auto"/>
        <w:ind w:left="2124" w:right="616" w:hanging="696"/>
        <w:jc w:val="both"/>
        <w:rPr>
          <w:rFonts w:ascii="ITC Avant Garde" w:hAnsi="ITC Avant Garde"/>
          <w:bCs/>
          <w:sz w:val="18"/>
          <w:szCs w:val="18"/>
          <w:lang w:eastAsia="es-MX"/>
        </w:rPr>
      </w:pPr>
      <w:r w:rsidRPr="00345AA7">
        <w:rPr>
          <w:rFonts w:ascii="ITC Avant Garde" w:hAnsi="ITC Avant Garde"/>
          <w:bCs/>
          <w:sz w:val="18"/>
          <w:szCs w:val="18"/>
          <w:lang w:eastAsia="es-MX"/>
        </w:rPr>
        <w:t xml:space="preserve">IV. </w:t>
      </w:r>
      <w:r w:rsidR="00281886" w:rsidRPr="00345AA7">
        <w:rPr>
          <w:rFonts w:ascii="ITC Avant Garde" w:hAnsi="ITC Avant Garde"/>
          <w:bCs/>
          <w:sz w:val="18"/>
          <w:szCs w:val="18"/>
          <w:lang w:eastAsia="es-MX"/>
        </w:rPr>
        <w:tab/>
      </w:r>
      <w:r w:rsidRPr="00345AA7">
        <w:rPr>
          <w:rFonts w:ascii="ITC Avant Garde" w:hAnsi="ITC Avant Garde"/>
          <w:bCs/>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202D1996" w14:textId="77777777" w:rsidR="00345AA7" w:rsidRPr="00345AA7" w:rsidRDefault="00701B8C"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bCs/>
          <w:sz w:val="18"/>
          <w:szCs w:val="18"/>
          <w:lang w:eastAsia="es-MX"/>
        </w:rPr>
        <w:lastRenderedPageBreak/>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658AB581" w14:textId="77777777" w:rsidR="00345AA7" w:rsidRPr="00345AA7" w:rsidRDefault="005D60EC"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bCs/>
          <w:sz w:val="18"/>
          <w:szCs w:val="18"/>
          <w:lang w:eastAsia="es-MX"/>
        </w:rPr>
        <w:t>[</w:t>
      </w:r>
      <w:r w:rsidR="00281886" w:rsidRPr="00345AA7">
        <w:rPr>
          <w:rFonts w:ascii="ITC Avant Garde" w:hAnsi="ITC Avant Garde"/>
          <w:bCs/>
          <w:sz w:val="18"/>
          <w:szCs w:val="18"/>
          <w:lang w:eastAsia="es-MX"/>
        </w:rPr>
        <w:t>…</w:t>
      </w:r>
      <w:r w:rsidRPr="00345AA7">
        <w:rPr>
          <w:rFonts w:ascii="ITC Avant Garde" w:hAnsi="ITC Avant Garde"/>
          <w:bCs/>
          <w:sz w:val="18"/>
          <w:szCs w:val="18"/>
          <w:lang w:eastAsia="es-MX"/>
        </w:rPr>
        <w:t>]</w:t>
      </w:r>
    </w:p>
    <w:p w14:paraId="6DA7EAD9" w14:textId="77777777" w:rsidR="00345AA7" w:rsidRPr="00345AA7" w:rsidRDefault="00701B8C"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bCs/>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5FC39A7C" w14:textId="77777777" w:rsidR="00345AA7" w:rsidRPr="00345AA7" w:rsidRDefault="00C517B5" w:rsidP="00345AA7">
      <w:pPr>
        <w:spacing w:before="240" w:line="240" w:lineRule="auto"/>
        <w:ind w:left="1134" w:right="616"/>
        <w:jc w:val="both"/>
        <w:rPr>
          <w:rFonts w:ascii="ITC Avant Garde" w:hAnsi="ITC Avant Garde"/>
          <w:bCs/>
          <w:sz w:val="18"/>
          <w:szCs w:val="18"/>
          <w:lang w:eastAsia="es-MX"/>
        </w:rPr>
      </w:pPr>
      <w:r w:rsidRPr="00345AA7">
        <w:rPr>
          <w:rFonts w:ascii="ITC Avant Garde" w:hAnsi="ITC Avant Garde"/>
          <w:bCs/>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sidR="00441755" w:rsidRPr="00345AA7">
        <w:rPr>
          <w:rFonts w:ascii="ITC Avant Garde" w:hAnsi="ITC Avant Garde"/>
          <w:bCs/>
          <w:sz w:val="18"/>
          <w:szCs w:val="18"/>
          <w:lang w:eastAsia="es-MX"/>
        </w:rPr>
        <w:t>.</w:t>
      </w:r>
    </w:p>
    <w:p w14:paraId="21DCF77D" w14:textId="77777777" w:rsidR="00345AA7" w:rsidRPr="00345AA7" w:rsidRDefault="00441755" w:rsidP="00345AA7">
      <w:pPr>
        <w:spacing w:before="240" w:line="240" w:lineRule="auto"/>
        <w:ind w:left="1134" w:right="616"/>
        <w:rPr>
          <w:rFonts w:ascii="ITC Avant Garde" w:hAnsi="ITC Avant Garde"/>
          <w:bCs/>
          <w:sz w:val="18"/>
          <w:szCs w:val="18"/>
          <w:lang w:eastAsia="es-MX"/>
        </w:rPr>
      </w:pPr>
      <w:r w:rsidRPr="00345AA7">
        <w:rPr>
          <w:rFonts w:ascii="ITC Avant Garde" w:hAnsi="ITC Avant Garde"/>
          <w:bCs/>
          <w:sz w:val="18"/>
          <w:szCs w:val="18"/>
          <w:lang w:eastAsia="es-MX"/>
        </w:rPr>
        <w:t>[</w:t>
      </w:r>
      <w:r w:rsidR="00281886" w:rsidRPr="00345AA7">
        <w:rPr>
          <w:rFonts w:ascii="ITC Avant Garde" w:hAnsi="ITC Avant Garde"/>
          <w:bCs/>
          <w:sz w:val="18"/>
          <w:szCs w:val="18"/>
          <w:lang w:eastAsia="es-MX"/>
        </w:rPr>
        <w:t>…</w:t>
      </w:r>
      <w:r w:rsidRPr="00345AA7">
        <w:rPr>
          <w:rFonts w:ascii="ITC Avant Garde" w:hAnsi="ITC Avant Garde"/>
          <w:bCs/>
          <w:sz w:val="18"/>
          <w:szCs w:val="18"/>
          <w:lang w:eastAsia="es-MX"/>
        </w:rPr>
        <w:t>]</w:t>
      </w:r>
      <w:r w:rsidR="00281886" w:rsidRPr="00345AA7">
        <w:rPr>
          <w:rFonts w:ascii="ITC Avant Garde" w:hAnsi="ITC Avant Garde"/>
          <w:bCs/>
          <w:sz w:val="18"/>
          <w:szCs w:val="18"/>
          <w:lang w:eastAsia="es-MX"/>
        </w:rPr>
        <w:t>”</w:t>
      </w:r>
    </w:p>
    <w:p w14:paraId="45644858" w14:textId="77777777" w:rsidR="00345AA7" w:rsidRPr="00345AA7" w:rsidRDefault="00B27CA4"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 xml:space="preserve">Ahora bien, cabe destacar que para este tipo de solicitudes debe acatarse el requisito de procedencia </w:t>
      </w:r>
      <w:r w:rsidR="006E13FD" w:rsidRPr="00345AA7">
        <w:rPr>
          <w:rFonts w:ascii="ITC Avant Garde" w:hAnsi="ITC Avant Garde"/>
          <w:bCs/>
          <w:lang w:eastAsia="es-MX"/>
        </w:rPr>
        <w:t xml:space="preserve">establecido en el artículo 174-C fracción VII de la Ley Federal de Derechos, que establece la obligación de pagar los derechos por el trámite </w:t>
      </w:r>
      <w:r w:rsidRPr="00345AA7">
        <w:rPr>
          <w:rFonts w:ascii="ITC Avant Garde" w:hAnsi="ITC Avant Garde"/>
          <w:bCs/>
          <w:lang w:eastAsia="es-MX"/>
        </w:rPr>
        <w:t>relativo a</w:t>
      </w:r>
      <w:r w:rsidR="00BB2383" w:rsidRPr="00345AA7">
        <w:rPr>
          <w:rFonts w:ascii="ITC Avant Garde" w:hAnsi="ITC Avant Garde"/>
          <w:bCs/>
          <w:lang w:eastAsia="es-MX"/>
        </w:rPr>
        <w:t xml:space="preserve"> la suscripción o enajenación de acciones o partes sociales</w:t>
      </w:r>
      <w:r w:rsidRPr="00345AA7">
        <w:rPr>
          <w:rFonts w:ascii="ITC Avant Garde" w:hAnsi="ITC Avant Garde"/>
          <w:bCs/>
          <w:lang w:eastAsia="es-MX"/>
        </w:rPr>
        <w:t xml:space="preserve"> </w:t>
      </w:r>
      <w:r w:rsidR="00265997" w:rsidRPr="00345AA7">
        <w:rPr>
          <w:rFonts w:ascii="ITC Avant Garde" w:hAnsi="ITC Avant Garde"/>
          <w:bCs/>
          <w:lang w:eastAsia="es-MX"/>
        </w:rPr>
        <w:t>que requiera</w:t>
      </w:r>
      <w:r w:rsidR="00984D44" w:rsidRPr="00345AA7">
        <w:rPr>
          <w:rFonts w:ascii="ITC Avant Garde" w:hAnsi="ITC Avant Garde"/>
          <w:bCs/>
          <w:lang w:eastAsia="es-MX"/>
        </w:rPr>
        <w:t>n</w:t>
      </w:r>
      <w:r w:rsidR="00265997" w:rsidRPr="00345AA7">
        <w:rPr>
          <w:rFonts w:ascii="ITC Avant Garde" w:hAnsi="ITC Avant Garde"/>
          <w:bCs/>
          <w:lang w:eastAsia="es-MX"/>
        </w:rPr>
        <w:t xml:space="preserve"> autorización en términos de la Ley</w:t>
      </w:r>
      <w:r w:rsidRPr="00345AA7">
        <w:rPr>
          <w:rFonts w:ascii="ITC Avant Garde" w:hAnsi="ITC Avant Garde"/>
          <w:bCs/>
          <w:lang w:eastAsia="es-MX"/>
        </w:rPr>
        <w:t xml:space="preserve">, </w:t>
      </w:r>
      <w:r w:rsidR="00265997" w:rsidRPr="00345AA7">
        <w:rPr>
          <w:rFonts w:ascii="ITC Avant Garde" w:hAnsi="ITC Avant Garde"/>
          <w:bCs/>
          <w:lang w:eastAsia="es-MX"/>
        </w:rPr>
        <w:t>como es el caso que nos ocupa</w:t>
      </w:r>
      <w:r w:rsidRPr="00345AA7">
        <w:rPr>
          <w:rFonts w:ascii="ITC Avant Garde" w:hAnsi="ITC Avant Garde"/>
          <w:bCs/>
          <w:lang w:eastAsia="es-MX"/>
        </w:rPr>
        <w:t>.</w:t>
      </w:r>
    </w:p>
    <w:p w14:paraId="63609C2F" w14:textId="799788B4" w:rsidR="00345AA7" w:rsidRPr="00345AA7" w:rsidRDefault="000A1E6A"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
          <w:bCs/>
        </w:rPr>
        <w:t>Tercero.- Concentración.</w:t>
      </w:r>
      <w:r w:rsidRPr="00345AA7">
        <w:rPr>
          <w:rFonts w:ascii="ITC Avant Garde" w:hAnsi="ITC Avant Garde"/>
          <w:bCs/>
        </w:rPr>
        <w:t xml:space="preserve"> </w:t>
      </w:r>
      <w:r w:rsidRPr="00345AA7">
        <w:rPr>
          <w:rFonts w:ascii="ITC Avant Garde" w:hAnsi="ITC Avant Garde"/>
          <w:bCs/>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271986B6" w14:textId="77777777" w:rsidR="00345AA7" w:rsidRPr="00345AA7" w:rsidRDefault="000A1E6A"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Federal de Competencia Económica (la “Ley de Competencia”).</w:t>
      </w:r>
    </w:p>
    <w:p w14:paraId="6F43651C" w14:textId="77777777" w:rsidR="00345AA7" w:rsidRPr="00345AA7" w:rsidRDefault="00FA1BA8"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Asimismo, el artículo 61 d</w:t>
      </w:r>
      <w:r w:rsidR="00585784" w:rsidRPr="00345AA7">
        <w:rPr>
          <w:rFonts w:ascii="ITC Avant Garde" w:hAnsi="ITC Avant Garde"/>
          <w:bCs/>
          <w:lang w:eastAsia="es-MX"/>
        </w:rPr>
        <w:t xml:space="preserve">e la Ley </w:t>
      </w:r>
      <w:r w:rsidR="007A2B10" w:rsidRPr="00345AA7">
        <w:rPr>
          <w:rFonts w:ascii="ITC Avant Garde" w:hAnsi="ITC Avant Garde"/>
          <w:bCs/>
          <w:lang w:eastAsia="es-MX"/>
        </w:rPr>
        <w:t xml:space="preserve">de </w:t>
      </w:r>
      <w:r w:rsidR="00585784" w:rsidRPr="00345AA7">
        <w:rPr>
          <w:rFonts w:ascii="ITC Avant Garde" w:hAnsi="ITC Avant Garde"/>
          <w:bCs/>
          <w:lang w:eastAsia="es-MX"/>
        </w:rPr>
        <w:t>Competencia, señala qué</w:t>
      </w:r>
      <w:r w:rsidRPr="00345AA7">
        <w:rPr>
          <w:rFonts w:ascii="ITC Avant Garde" w:hAnsi="ITC Avant Garde"/>
          <w:bCs/>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2EED1E6" w14:textId="77777777" w:rsidR="00345AA7" w:rsidRPr="00345AA7" w:rsidRDefault="00FA1BA8"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eastAsia="es-MX"/>
        </w:rPr>
        <w:t>En este tenor, el artículo 86 de la Ley de Competencia ordena textualmente lo siguiente:</w:t>
      </w:r>
    </w:p>
    <w:p w14:paraId="03B05A80" w14:textId="77777777" w:rsidR="00345AA7" w:rsidRPr="00345AA7" w:rsidRDefault="00FA1BA8" w:rsidP="00345AA7">
      <w:pPr>
        <w:autoSpaceDE w:val="0"/>
        <w:autoSpaceDN w:val="0"/>
        <w:adjustRightInd w:val="0"/>
        <w:spacing w:before="240" w:line="240" w:lineRule="auto"/>
        <w:ind w:left="426" w:right="332"/>
        <w:jc w:val="both"/>
        <w:rPr>
          <w:rFonts w:ascii="ITC Avant Garde" w:hAnsi="ITC Avant Garde"/>
          <w:bCs/>
          <w:sz w:val="18"/>
          <w:szCs w:val="18"/>
        </w:rPr>
      </w:pPr>
      <w:r w:rsidRPr="00345AA7">
        <w:rPr>
          <w:rFonts w:ascii="ITC Avant Garde" w:hAnsi="ITC Avant Garde"/>
          <w:bCs/>
          <w:sz w:val="18"/>
          <w:szCs w:val="18"/>
        </w:rPr>
        <w:lastRenderedPageBreak/>
        <w:t>“</w:t>
      </w:r>
      <w:r w:rsidRPr="00345AA7">
        <w:rPr>
          <w:rFonts w:ascii="ITC Avant Garde" w:hAnsi="ITC Avant Garde"/>
          <w:b/>
          <w:bCs/>
          <w:sz w:val="18"/>
          <w:szCs w:val="18"/>
        </w:rPr>
        <w:t>Artículo 86.</w:t>
      </w:r>
      <w:r w:rsidRPr="00345AA7">
        <w:rPr>
          <w:rFonts w:ascii="ITC Avant Garde" w:hAnsi="ITC Avant Garde"/>
          <w:bCs/>
          <w:sz w:val="18"/>
          <w:szCs w:val="18"/>
        </w:rPr>
        <w:t xml:space="preserve"> Las siguientes concentraciones deberán ser autorizadas por la Comisión antes de que se lleven a cabo:</w:t>
      </w:r>
    </w:p>
    <w:p w14:paraId="701B43B9" w14:textId="77777777" w:rsidR="00345AA7" w:rsidRPr="00345AA7" w:rsidRDefault="00FA1BA8" w:rsidP="00345AA7">
      <w:pPr>
        <w:pStyle w:val="Prrafodelista"/>
        <w:numPr>
          <w:ilvl w:val="0"/>
          <w:numId w:val="9"/>
        </w:numPr>
        <w:autoSpaceDE w:val="0"/>
        <w:autoSpaceDN w:val="0"/>
        <w:adjustRightInd w:val="0"/>
        <w:spacing w:before="240" w:after="200"/>
        <w:ind w:right="615" w:hanging="11"/>
        <w:jc w:val="both"/>
        <w:rPr>
          <w:rFonts w:ascii="ITC Avant Garde" w:hAnsi="ITC Avant Garde"/>
          <w:bCs/>
          <w:sz w:val="18"/>
          <w:szCs w:val="18"/>
        </w:rPr>
      </w:pPr>
      <w:r w:rsidRPr="00345AA7">
        <w:rPr>
          <w:rFonts w:ascii="ITC Avant Garde" w:hAnsi="ITC Avant Garde"/>
          <w:bCs/>
          <w:sz w:val="18"/>
          <w:szCs w:val="18"/>
        </w:rPr>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22B5F1F0" w14:textId="77777777" w:rsidR="00345AA7" w:rsidRPr="00345AA7" w:rsidRDefault="00FA1BA8" w:rsidP="00345AA7">
      <w:pPr>
        <w:pStyle w:val="Prrafodelista"/>
        <w:numPr>
          <w:ilvl w:val="0"/>
          <w:numId w:val="9"/>
        </w:numPr>
        <w:autoSpaceDE w:val="0"/>
        <w:autoSpaceDN w:val="0"/>
        <w:adjustRightInd w:val="0"/>
        <w:spacing w:before="240" w:after="200"/>
        <w:ind w:right="615" w:hanging="11"/>
        <w:jc w:val="both"/>
        <w:rPr>
          <w:rFonts w:ascii="ITC Avant Garde" w:hAnsi="ITC Avant Garde"/>
          <w:bCs/>
          <w:sz w:val="18"/>
          <w:szCs w:val="18"/>
        </w:rPr>
      </w:pPr>
      <w:r w:rsidRPr="00345AA7">
        <w:rPr>
          <w:rFonts w:ascii="ITC Avant Garde" w:hAnsi="ITC Avant Garde"/>
          <w:bCs/>
          <w:sz w:val="18"/>
          <w:szCs w:val="18"/>
        </w:rPr>
        <w:t xml:space="preserve">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197253F0" w14:textId="77777777" w:rsidR="00345AA7" w:rsidRPr="00345AA7" w:rsidRDefault="00FA1BA8" w:rsidP="00345AA7">
      <w:pPr>
        <w:numPr>
          <w:ilvl w:val="0"/>
          <w:numId w:val="9"/>
        </w:numPr>
        <w:autoSpaceDE w:val="0"/>
        <w:autoSpaceDN w:val="0"/>
        <w:adjustRightInd w:val="0"/>
        <w:spacing w:before="240" w:line="240" w:lineRule="auto"/>
        <w:ind w:right="615" w:hanging="11"/>
        <w:jc w:val="both"/>
        <w:rPr>
          <w:rFonts w:ascii="ITC Avant Garde" w:hAnsi="ITC Avant Garde"/>
          <w:bCs/>
          <w:sz w:val="18"/>
          <w:szCs w:val="18"/>
          <w:lang w:val="es-ES"/>
        </w:rPr>
      </w:pPr>
      <w:r w:rsidRPr="00345AA7">
        <w:rPr>
          <w:rFonts w:ascii="ITC Avant Garde" w:hAnsi="ITC Avant Garde"/>
          <w:bCs/>
          <w:sz w:val="18"/>
          <w:szCs w:val="18"/>
          <w:lang w:val="es-ES"/>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07B4EEEB" w14:textId="77777777" w:rsidR="00345AA7" w:rsidRPr="00345AA7" w:rsidRDefault="00FA1BA8" w:rsidP="00345AA7">
      <w:pPr>
        <w:autoSpaceDE w:val="0"/>
        <w:autoSpaceDN w:val="0"/>
        <w:adjustRightInd w:val="0"/>
        <w:spacing w:before="240" w:line="240" w:lineRule="auto"/>
        <w:ind w:left="426" w:right="332"/>
        <w:jc w:val="both"/>
        <w:rPr>
          <w:rFonts w:ascii="ITC Avant Garde" w:hAnsi="ITC Avant Garde"/>
          <w:bCs/>
          <w:sz w:val="18"/>
          <w:szCs w:val="18"/>
        </w:rPr>
      </w:pPr>
      <w:r w:rsidRPr="00345AA7">
        <w:rPr>
          <w:rFonts w:ascii="ITC Avant Garde" w:hAnsi="ITC Avant Garde"/>
          <w:bCs/>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4DFEB502" w14:textId="77777777" w:rsidR="00345AA7" w:rsidRPr="00345AA7" w:rsidRDefault="00FA1BA8" w:rsidP="00345AA7">
      <w:pPr>
        <w:autoSpaceDE w:val="0"/>
        <w:autoSpaceDN w:val="0"/>
        <w:adjustRightInd w:val="0"/>
        <w:spacing w:before="240" w:line="240" w:lineRule="auto"/>
        <w:ind w:left="426" w:right="332"/>
        <w:jc w:val="both"/>
        <w:rPr>
          <w:rFonts w:ascii="ITC Avant Garde" w:hAnsi="ITC Avant Garde"/>
          <w:bCs/>
          <w:sz w:val="18"/>
          <w:szCs w:val="18"/>
        </w:rPr>
      </w:pPr>
      <w:r w:rsidRPr="00345AA7">
        <w:rPr>
          <w:rFonts w:ascii="ITC Avant Garde" w:hAnsi="ITC Avant Garde"/>
          <w:bCs/>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0B6EBFCF" w14:textId="77777777" w:rsidR="00345AA7" w:rsidRPr="00345AA7" w:rsidRDefault="00FA1BA8" w:rsidP="00345AA7">
      <w:pPr>
        <w:autoSpaceDE w:val="0"/>
        <w:autoSpaceDN w:val="0"/>
        <w:adjustRightInd w:val="0"/>
        <w:spacing w:before="240" w:line="240" w:lineRule="auto"/>
        <w:ind w:left="426" w:right="332"/>
        <w:jc w:val="both"/>
        <w:rPr>
          <w:rFonts w:ascii="ITC Avant Garde" w:hAnsi="ITC Avant Garde"/>
          <w:bCs/>
          <w:sz w:val="18"/>
          <w:szCs w:val="18"/>
        </w:rPr>
      </w:pPr>
      <w:r w:rsidRPr="00345AA7">
        <w:rPr>
          <w:rFonts w:ascii="ITC Avant Garde" w:hAnsi="ITC Avant Garde"/>
          <w:bCs/>
          <w:sz w:val="18"/>
          <w:szCs w:val="18"/>
        </w:rPr>
        <w:t xml:space="preserve">Los Agentes Económicos involucrados que no se encuentren en los supuestos establecidos en las fracciones I, II y III de este artículo podrán notificarla voluntariamente a la Comisión.” </w:t>
      </w:r>
    </w:p>
    <w:p w14:paraId="192EAAAC" w14:textId="333821A0" w:rsidR="00345AA7" w:rsidRPr="00345AA7" w:rsidRDefault="00FA1BA8"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Como se desprende del citado precepto, únicamente los casos que encuadren en los supuestos normativos indicados en las fracciones I, II y III del mismo, deberán ser autorizados previamente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366940D9" w14:textId="77777777" w:rsidR="00345AA7" w:rsidRPr="00345AA7" w:rsidRDefault="00DE5B40"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Derivado de la información remitida por </w:t>
      </w:r>
      <w:r w:rsidR="0081381A" w:rsidRPr="00345AA7">
        <w:rPr>
          <w:rFonts w:ascii="ITC Avant Garde" w:hAnsi="ITC Avant Garde"/>
          <w:bCs/>
        </w:rPr>
        <w:t>Grupo W Com</w:t>
      </w:r>
      <w:r w:rsidRPr="00345AA7">
        <w:rPr>
          <w:rFonts w:ascii="ITC Avant Garde" w:hAnsi="ITC Avant Garde"/>
          <w:bCs/>
        </w:rPr>
        <w:t>, S.A. de C.V. con motivo de la Solicitud de Enajenación</w:t>
      </w:r>
      <w:r w:rsidR="00D864B7" w:rsidRPr="00345AA7">
        <w:rPr>
          <w:rFonts w:ascii="ITC Avant Garde" w:hAnsi="ITC Avant Garde"/>
          <w:bCs/>
        </w:rPr>
        <w:t xml:space="preserve"> </w:t>
      </w:r>
      <w:r w:rsidRPr="00345AA7">
        <w:rPr>
          <w:rFonts w:ascii="ITC Avant Garde" w:hAnsi="ITC Avant Garde"/>
          <w:bCs/>
        </w:rPr>
        <w:t>de Acciones</w:t>
      </w:r>
      <w:r w:rsidR="00414F53" w:rsidRPr="00345AA7">
        <w:rPr>
          <w:rFonts w:ascii="ITC Avant Garde" w:hAnsi="ITC Avant Garde"/>
          <w:bCs/>
        </w:rPr>
        <w:t xml:space="preserve"> en cumplimiento a lo establecido en el artículo 112 de Ley</w:t>
      </w:r>
      <w:r w:rsidRPr="00345AA7">
        <w:rPr>
          <w:rFonts w:ascii="ITC Avant Garde" w:hAnsi="ITC Avant Garde"/>
          <w:bCs/>
        </w:rPr>
        <w:t>, no se advierte que el trámite de referencia encuadre en alguno de los supuestos normativos a que se refiere el señalado en el artículo 86 de la Ley de Competencia.</w:t>
      </w:r>
    </w:p>
    <w:p w14:paraId="718755C3" w14:textId="32C12305" w:rsidR="00345AA7" w:rsidRPr="00345AA7" w:rsidRDefault="00126DEC"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
          <w:bCs/>
        </w:rPr>
        <w:t>Cuarto</w:t>
      </w:r>
      <w:r w:rsidR="00D04074" w:rsidRPr="00345AA7">
        <w:rPr>
          <w:rFonts w:ascii="ITC Avant Garde" w:hAnsi="ITC Avant Garde"/>
          <w:b/>
          <w:bCs/>
        </w:rPr>
        <w:t xml:space="preserve">.- </w:t>
      </w:r>
      <w:r w:rsidR="003172FD" w:rsidRPr="00345AA7">
        <w:rPr>
          <w:rFonts w:ascii="ITC Avant Garde" w:hAnsi="ITC Avant Garde"/>
          <w:b/>
          <w:bCs/>
        </w:rPr>
        <w:t>Análisis de la Solicitu</w:t>
      </w:r>
      <w:r w:rsidR="00726BA0" w:rsidRPr="00345AA7">
        <w:rPr>
          <w:rFonts w:ascii="ITC Avant Garde" w:hAnsi="ITC Avant Garde"/>
          <w:b/>
          <w:bCs/>
        </w:rPr>
        <w:t>d de Enajenación de Acciones</w:t>
      </w:r>
      <w:r w:rsidR="003172FD" w:rsidRPr="00345AA7">
        <w:rPr>
          <w:rFonts w:ascii="ITC Avant Garde" w:hAnsi="ITC Avant Garde"/>
          <w:b/>
          <w:bCs/>
        </w:rPr>
        <w:t>.</w:t>
      </w:r>
      <w:r w:rsidR="003172FD" w:rsidRPr="00345AA7">
        <w:rPr>
          <w:rFonts w:ascii="ITC Avant Garde" w:hAnsi="ITC Avant Garde"/>
          <w:bCs/>
        </w:rPr>
        <w:t xml:space="preserve"> </w:t>
      </w:r>
      <w:r w:rsidR="002512DD" w:rsidRPr="00345AA7">
        <w:rPr>
          <w:rFonts w:ascii="ITC Avant Garde" w:hAnsi="ITC Avant Garde"/>
          <w:bCs/>
        </w:rPr>
        <w:t xml:space="preserve">De la revisión al marco legal aplicable, </w:t>
      </w:r>
      <w:r w:rsidR="005F6492" w:rsidRPr="00345AA7">
        <w:rPr>
          <w:rFonts w:ascii="ITC Avant Garde" w:hAnsi="ITC Avant Garde"/>
          <w:bCs/>
        </w:rPr>
        <w:t>se concluye</w:t>
      </w:r>
      <w:r w:rsidR="002512DD" w:rsidRPr="00345AA7">
        <w:rPr>
          <w:rFonts w:ascii="ITC Avant Garde" w:hAnsi="ITC Avant Garde"/>
          <w:bCs/>
        </w:rPr>
        <w:t xml:space="preserve"> que los requisitos de procedencia que debe cumplir </w:t>
      </w:r>
      <w:r w:rsidR="008E46F0" w:rsidRPr="00345AA7">
        <w:rPr>
          <w:rFonts w:ascii="ITC Avant Garde" w:hAnsi="ITC Avant Garde"/>
          <w:bCs/>
        </w:rPr>
        <w:t xml:space="preserve">el </w:t>
      </w:r>
      <w:r w:rsidR="008E46F0" w:rsidRPr="00345AA7">
        <w:rPr>
          <w:rFonts w:ascii="ITC Avant Garde" w:hAnsi="ITC Avant Garde"/>
          <w:bCs/>
        </w:rPr>
        <w:lastRenderedPageBreak/>
        <w:t>c</w:t>
      </w:r>
      <w:r w:rsidR="002512DD" w:rsidRPr="00345AA7">
        <w:rPr>
          <w:rFonts w:ascii="ITC Avant Garde" w:hAnsi="ITC Avant Garde"/>
          <w:bCs/>
        </w:rPr>
        <w:t>oncesionario que solicite autorización para llevar a cabo la enajenación de acciones</w:t>
      </w:r>
      <w:r w:rsidR="008E46F0" w:rsidRPr="00345AA7">
        <w:rPr>
          <w:rFonts w:ascii="ITC Avant Garde" w:hAnsi="ITC Avant Garde"/>
          <w:bCs/>
        </w:rPr>
        <w:t xml:space="preserve"> o partes sociales del capital</w:t>
      </w:r>
      <w:r w:rsidR="009F74AB" w:rsidRPr="00345AA7">
        <w:rPr>
          <w:rFonts w:ascii="ITC Avant Garde" w:hAnsi="ITC Avant Garde"/>
          <w:bCs/>
        </w:rPr>
        <w:t>,</w:t>
      </w:r>
      <w:r w:rsidR="008E46F0" w:rsidRPr="00345AA7">
        <w:rPr>
          <w:rFonts w:ascii="ITC Avant Garde" w:hAnsi="ITC Avant Garde"/>
          <w:bCs/>
        </w:rPr>
        <w:t xml:space="preserve"> </w:t>
      </w:r>
      <w:r w:rsidR="002512DD" w:rsidRPr="00345AA7">
        <w:rPr>
          <w:rFonts w:ascii="ITC Avant Garde" w:hAnsi="ITC Avant Garde"/>
          <w:bCs/>
        </w:rPr>
        <w:t>son:</w:t>
      </w:r>
    </w:p>
    <w:p w14:paraId="33B042D5" w14:textId="77777777" w:rsidR="00345AA7" w:rsidRPr="00345AA7" w:rsidRDefault="002512DD" w:rsidP="00345AA7">
      <w:pPr>
        <w:pStyle w:val="Prrafodelista"/>
        <w:numPr>
          <w:ilvl w:val="0"/>
          <w:numId w:val="7"/>
        </w:numPr>
        <w:spacing w:before="240" w:after="200"/>
        <w:ind w:left="1077" w:hanging="357"/>
        <w:jc w:val="both"/>
        <w:rPr>
          <w:rFonts w:ascii="ITC Avant Garde" w:eastAsia="Calibri" w:hAnsi="ITC Avant Garde"/>
          <w:bCs/>
          <w:sz w:val="22"/>
          <w:szCs w:val="22"/>
          <w:lang w:val="es-MX" w:eastAsia="en-US"/>
        </w:rPr>
      </w:pPr>
      <w:r w:rsidRPr="00345AA7">
        <w:rPr>
          <w:rFonts w:ascii="ITC Avant Garde" w:eastAsia="Calibri" w:hAnsi="ITC Avant Garde"/>
          <w:bCs/>
          <w:sz w:val="22"/>
          <w:szCs w:val="22"/>
          <w:lang w:val="es-MX" w:eastAsia="en-US"/>
        </w:rPr>
        <w:t xml:space="preserve">Que el titular de la concesión dé aviso al Instituto por escrito que pretende llevar a cabo una enajenación de acciones, </w:t>
      </w:r>
      <w:r w:rsidR="000A1861" w:rsidRPr="00345AA7">
        <w:rPr>
          <w:rFonts w:ascii="ITC Avant Garde" w:eastAsia="Calibri" w:hAnsi="ITC Avant Garde"/>
          <w:bCs/>
          <w:sz w:val="22"/>
          <w:szCs w:val="22"/>
          <w:lang w:val="es-MX" w:eastAsia="en-US"/>
        </w:rPr>
        <w:t>debiendo acompañar el aviso con la información detallada de las personas interesadas en adquirir las acciones o partes sociales</w:t>
      </w:r>
      <w:r w:rsidRPr="00345AA7">
        <w:rPr>
          <w:rFonts w:ascii="ITC Avant Garde" w:eastAsia="Calibri" w:hAnsi="ITC Avant Garde"/>
          <w:bCs/>
          <w:sz w:val="22"/>
          <w:szCs w:val="22"/>
          <w:lang w:val="es-MX" w:eastAsia="en-US"/>
        </w:rPr>
        <w:t>.</w:t>
      </w:r>
    </w:p>
    <w:p w14:paraId="13C5D83E" w14:textId="77777777" w:rsidR="00345AA7" w:rsidRPr="00345AA7" w:rsidRDefault="002512DD" w:rsidP="00345AA7">
      <w:pPr>
        <w:pStyle w:val="Prrafodelista"/>
        <w:numPr>
          <w:ilvl w:val="0"/>
          <w:numId w:val="7"/>
        </w:numPr>
        <w:autoSpaceDE w:val="0"/>
        <w:autoSpaceDN w:val="0"/>
        <w:adjustRightInd w:val="0"/>
        <w:spacing w:before="240" w:after="200"/>
        <w:jc w:val="both"/>
        <w:rPr>
          <w:rFonts w:ascii="ITC Avant Garde" w:hAnsi="ITC Avant Garde"/>
          <w:bCs/>
          <w:sz w:val="22"/>
          <w:szCs w:val="22"/>
        </w:rPr>
      </w:pPr>
      <w:r w:rsidRPr="00345AA7">
        <w:rPr>
          <w:rFonts w:ascii="ITC Avant Garde" w:eastAsia="Calibri" w:hAnsi="ITC Avant Garde"/>
          <w:bCs/>
          <w:sz w:val="22"/>
          <w:szCs w:val="22"/>
        </w:rPr>
        <w:t>Que el concesionario exhiba comprobante de pago de derechos establecido en la Ley Federal de Derechos.</w:t>
      </w:r>
    </w:p>
    <w:p w14:paraId="768698E8" w14:textId="77777777" w:rsidR="00345AA7" w:rsidRPr="00345AA7" w:rsidRDefault="002512DD" w:rsidP="00345AA7">
      <w:pPr>
        <w:autoSpaceDE w:val="0"/>
        <w:autoSpaceDN w:val="0"/>
        <w:adjustRightInd w:val="0"/>
        <w:spacing w:before="240" w:line="240" w:lineRule="auto"/>
        <w:jc w:val="both"/>
        <w:rPr>
          <w:rFonts w:ascii="ITC Avant Garde" w:hAnsi="ITC Avant Garde"/>
          <w:bCs/>
          <w:lang w:eastAsia="es-MX"/>
        </w:rPr>
      </w:pPr>
      <w:r w:rsidRPr="00345AA7">
        <w:rPr>
          <w:rFonts w:ascii="ITC Avant Garde" w:hAnsi="ITC Avant Garde"/>
          <w:bCs/>
          <w:lang w:val="es-ES" w:eastAsia="es-ES"/>
        </w:rPr>
        <w:t>En primera instancia, destaca</w:t>
      </w:r>
      <w:r w:rsidR="003172FD" w:rsidRPr="00345AA7">
        <w:rPr>
          <w:rFonts w:ascii="ITC Avant Garde" w:hAnsi="ITC Avant Garde"/>
          <w:bCs/>
          <w:lang w:val="es-ES" w:eastAsia="es-ES"/>
        </w:rPr>
        <w:t xml:space="preserve"> que en el e</w:t>
      </w:r>
      <w:r w:rsidR="004D3822" w:rsidRPr="00345AA7">
        <w:rPr>
          <w:rFonts w:ascii="ITC Avant Garde" w:hAnsi="ITC Avant Garde"/>
          <w:bCs/>
          <w:lang w:val="es-ES" w:eastAsia="es-ES"/>
        </w:rPr>
        <w:t>xpediente administrativo consta</w:t>
      </w:r>
      <w:r w:rsidR="005F5125" w:rsidRPr="00345AA7">
        <w:rPr>
          <w:rFonts w:ascii="ITC Avant Garde" w:hAnsi="ITC Avant Garde"/>
          <w:bCs/>
          <w:lang w:val="es-ES" w:eastAsia="es-ES"/>
        </w:rPr>
        <w:t>n</w:t>
      </w:r>
      <w:r w:rsidR="003172FD" w:rsidRPr="00345AA7">
        <w:rPr>
          <w:rFonts w:ascii="ITC Avant Garde" w:hAnsi="ITC Avant Garde"/>
          <w:bCs/>
          <w:lang w:val="es-ES" w:eastAsia="es-ES"/>
        </w:rPr>
        <w:t xml:space="preserve"> </w:t>
      </w:r>
      <w:r w:rsidR="005F5125" w:rsidRPr="00345AA7">
        <w:rPr>
          <w:rFonts w:ascii="ITC Avant Garde" w:hAnsi="ITC Avant Garde"/>
          <w:bCs/>
          <w:lang w:val="es-ES" w:eastAsia="es-ES"/>
        </w:rPr>
        <w:t xml:space="preserve">los </w:t>
      </w:r>
      <w:r w:rsidR="00553828" w:rsidRPr="00345AA7">
        <w:rPr>
          <w:rFonts w:ascii="ITC Avant Garde" w:hAnsi="ITC Avant Garde"/>
          <w:bCs/>
          <w:lang w:val="es-ES" w:eastAsia="es-ES"/>
        </w:rPr>
        <w:t>escrito</w:t>
      </w:r>
      <w:r w:rsidR="005F5125" w:rsidRPr="00345AA7">
        <w:rPr>
          <w:rFonts w:ascii="ITC Avant Garde" w:hAnsi="ITC Avant Garde"/>
          <w:bCs/>
          <w:lang w:val="es-ES" w:eastAsia="es-ES"/>
        </w:rPr>
        <w:t>s</w:t>
      </w:r>
      <w:r w:rsidR="004D3822" w:rsidRPr="00345AA7">
        <w:rPr>
          <w:rFonts w:ascii="ITC Avant Garde" w:hAnsi="ITC Avant Garde"/>
          <w:bCs/>
          <w:lang w:val="es-ES" w:eastAsia="es-ES"/>
        </w:rPr>
        <w:t xml:space="preserve"> </w:t>
      </w:r>
      <w:r w:rsidR="00331BF9" w:rsidRPr="00345AA7">
        <w:rPr>
          <w:rFonts w:ascii="ITC Avant Garde" w:hAnsi="ITC Avant Garde"/>
          <w:bCs/>
          <w:lang w:val="es-ES" w:eastAsia="es-ES"/>
        </w:rPr>
        <w:t>presentado</w:t>
      </w:r>
      <w:r w:rsidR="005F5125" w:rsidRPr="00345AA7">
        <w:rPr>
          <w:rFonts w:ascii="ITC Avant Garde" w:hAnsi="ITC Avant Garde"/>
          <w:bCs/>
          <w:lang w:val="es-ES" w:eastAsia="es-ES"/>
        </w:rPr>
        <w:t>s</w:t>
      </w:r>
      <w:r w:rsidR="006A53AA" w:rsidRPr="00345AA7">
        <w:rPr>
          <w:rFonts w:ascii="ITC Avant Garde" w:hAnsi="ITC Avant Garde"/>
          <w:bCs/>
          <w:lang w:val="es-ES" w:eastAsia="es-ES"/>
        </w:rPr>
        <w:t xml:space="preserve"> ante este Instituto </w:t>
      </w:r>
      <w:r w:rsidR="002F047E" w:rsidRPr="00345AA7">
        <w:rPr>
          <w:rFonts w:ascii="ITC Avant Garde" w:hAnsi="ITC Avant Garde"/>
          <w:bCs/>
          <w:lang w:val="es-ES" w:eastAsia="es-ES"/>
        </w:rPr>
        <w:t>e</w:t>
      </w:r>
      <w:r w:rsidR="00331BF9" w:rsidRPr="00345AA7">
        <w:rPr>
          <w:rFonts w:ascii="ITC Avant Garde" w:hAnsi="ITC Avant Garde"/>
          <w:bCs/>
          <w:lang w:val="es-ES" w:eastAsia="es-ES"/>
        </w:rPr>
        <w:t>l</w:t>
      </w:r>
      <w:r w:rsidR="006A53AA" w:rsidRPr="00345AA7">
        <w:rPr>
          <w:rFonts w:ascii="ITC Avant Garde" w:hAnsi="ITC Avant Garde"/>
          <w:bCs/>
          <w:lang w:val="es-ES" w:eastAsia="es-ES"/>
        </w:rPr>
        <w:t xml:space="preserve"> </w:t>
      </w:r>
      <w:r w:rsidR="00806E68" w:rsidRPr="00345AA7">
        <w:rPr>
          <w:rFonts w:ascii="ITC Avant Garde" w:hAnsi="ITC Avant Garde"/>
          <w:bCs/>
          <w:lang w:val="es-ES" w:eastAsia="es-ES"/>
        </w:rPr>
        <w:t xml:space="preserve">18 </w:t>
      </w:r>
      <w:r w:rsidR="006F0187" w:rsidRPr="00345AA7">
        <w:rPr>
          <w:rFonts w:ascii="ITC Avant Garde" w:hAnsi="ITC Avant Garde"/>
          <w:bCs/>
          <w:lang w:val="es-ES" w:eastAsia="es-ES"/>
        </w:rPr>
        <w:t xml:space="preserve">de </w:t>
      </w:r>
      <w:r w:rsidR="00D60C4B" w:rsidRPr="00345AA7">
        <w:rPr>
          <w:rFonts w:ascii="ITC Avant Garde" w:hAnsi="ITC Avant Garde"/>
          <w:bCs/>
          <w:lang w:val="es-ES" w:eastAsia="es-ES"/>
        </w:rPr>
        <w:t>octubre</w:t>
      </w:r>
      <w:r w:rsidR="00B84158" w:rsidRPr="00345AA7">
        <w:rPr>
          <w:rFonts w:ascii="ITC Avant Garde" w:hAnsi="ITC Avant Garde"/>
          <w:bCs/>
          <w:lang w:val="es-ES" w:eastAsia="es-ES"/>
        </w:rPr>
        <w:t xml:space="preserve"> </w:t>
      </w:r>
      <w:r w:rsidR="005F5125" w:rsidRPr="00345AA7">
        <w:rPr>
          <w:rFonts w:ascii="ITC Avant Garde" w:hAnsi="ITC Avant Garde"/>
          <w:bCs/>
          <w:lang w:val="es-ES" w:eastAsia="es-ES"/>
        </w:rPr>
        <w:t xml:space="preserve">y 14 de noviembre </w:t>
      </w:r>
      <w:r w:rsidR="004D3822" w:rsidRPr="00345AA7">
        <w:rPr>
          <w:rFonts w:ascii="ITC Avant Garde" w:hAnsi="ITC Avant Garde"/>
          <w:bCs/>
          <w:lang w:val="es-ES" w:eastAsia="es-ES"/>
        </w:rPr>
        <w:t>de 201</w:t>
      </w:r>
      <w:r w:rsidR="00B84158" w:rsidRPr="00345AA7">
        <w:rPr>
          <w:rFonts w:ascii="ITC Avant Garde" w:hAnsi="ITC Avant Garde"/>
          <w:bCs/>
          <w:lang w:val="es-ES" w:eastAsia="es-ES"/>
        </w:rPr>
        <w:t>6</w:t>
      </w:r>
      <w:r w:rsidR="004D3822" w:rsidRPr="00345AA7">
        <w:rPr>
          <w:rFonts w:ascii="ITC Avant Garde" w:hAnsi="ITC Avant Garde"/>
          <w:bCs/>
          <w:lang w:val="es-ES" w:eastAsia="es-ES"/>
        </w:rPr>
        <w:t xml:space="preserve">, </w:t>
      </w:r>
      <w:r w:rsidR="003172FD" w:rsidRPr="00345AA7">
        <w:rPr>
          <w:rFonts w:ascii="ITC Avant Garde" w:hAnsi="ITC Avant Garde"/>
          <w:bCs/>
          <w:lang w:val="es-ES" w:eastAsia="es-ES"/>
        </w:rPr>
        <w:t xml:space="preserve">mediante </w:t>
      </w:r>
      <w:r w:rsidR="005F5125" w:rsidRPr="00345AA7">
        <w:rPr>
          <w:rFonts w:ascii="ITC Avant Garde" w:hAnsi="ITC Avant Garde"/>
          <w:bCs/>
          <w:lang w:val="es-ES" w:eastAsia="es-ES"/>
        </w:rPr>
        <w:t>los</w:t>
      </w:r>
      <w:r w:rsidR="006E6056" w:rsidRPr="00345AA7">
        <w:rPr>
          <w:rFonts w:ascii="ITC Avant Garde" w:hAnsi="ITC Avant Garde"/>
          <w:bCs/>
          <w:lang w:val="es-ES" w:eastAsia="es-ES"/>
        </w:rPr>
        <w:t xml:space="preserve"> </w:t>
      </w:r>
      <w:r w:rsidR="003172FD" w:rsidRPr="00345AA7">
        <w:rPr>
          <w:rFonts w:ascii="ITC Avant Garde" w:hAnsi="ITC Avant Garde"/>
          <w:bCs/>
          <w:lang w:val="es-ES" w:eastAsia="es-ES"/>
        </w:rPr>
        <w:t>c</w:t>
      </w:r>
      <w:r w:rsidR="004D3822" w:rsidRPr="00345AA7">
        <w:rPr>
          <w:rFonts w:ascii="ITC Avant Garde" w:hAnsi="ITC Avant Garde"/>
          <w:bCs/>
          <w:lang w:val="es-ES" w:eastAsia="es-ES"/>
        </w:rPr>
        <w:t>ual</w:t>
      </w:r>
      <w:r w:rsidR="005F5125" w:rsidRPr="00345AA7">
        <w:rPr>
          <w:rFonts w:ascii="ITC Avant Garde" w:hAnsi="ITC Avant Garde"/>
          <w:bCs/>
          <w:lang w:val="es-ES" w:eastAsia="es-ES"/>
        </w:rPr>
        <w:t>es</w:t>
      </w:r>
      <w:r w:rsidR="003172FD" w:rsidRPr="00345AA7">
        <w:rPr>
          <w:rFonts w:ascii="ITC Avant Garde" w:hAnsi="ITC Avant Garde"/>
          <w:bCs/>
          <w:lang w:val="es-ES" w:eastAsia="es-ES"/>
        </w:rPr>
        <w:t xml:space="preserve"> </w:t>
      </w:r>
      <w:r w:rsidR="00B84158" w:rsidRPr="00345AA7">
        <w:rPr>
          <w:rFonts w:ascii="ITC Avant Garde" w:hAnsi="ITC Avant Garde"/>
          <w:bCs/>
          <w:lang w:val="es-ES" w:eastAsia="es-ES"/>
        </w:rPr>
        <w:t>G</w:t>
      </w:r>
      <w:r w:rsidR="00D60C4B" w:rsidRPr="00345AA7">
        <w:rPr>
          <w:rFonts w:ascii="ITC Avant Garde" w:hAnsi="ITC Avant Garde"/>
          <w:bCs/>
          <w:lang w:val="es-ES" w:eastAsia="es-ES"/>
        </w:rPr>
        <w:t>rupo W Com</w:t>
      </w:r>
      <w:r w:rsidR="00B84158" w:rsidRPr="00345AA7">
        <w:rPr>
          <w:rFonts w:ascii="ITC Avant Garde" w:hAnsi="ITC Avant Garde"/>
          <w:bCs/>
          <w:lang w:val="es-ES" w:eastAsia="es-ES"/>
        </w:rPr>
        <w:t>, S.A. de C.V.</w:t>
      </w:r>
      <w:r w:rsidR="003818A7" w:rsidRPr="00345AA7">
        <w:rPr>
          <w:rFonts w:ascii="ITC Avant Garde" w:hAnsi="ITC Avant Garde"/>
          <w:bCs/>
          <w:lang w:val="es-ES" w:eastAsia="es-ES"/>
        </w:rPr>
        <w:t>,</w:t>
      </w:r>
      <w:r w:rsidR="00380710" w:rsidRPr="00345AA7">
        <w:rPr>
          <w:rFonts w:ascii="ITC Avant Garde" w:hAnsi="ITC Avant Garde"/>
          <w:bCs/>
          <w:lang w:val="es-ES" w:eastAsia="es-ES"/>
        </w:rPr>
        <w:t xml:space="preserve"> </w:t>
      </w:r>
      <w:r w:rsidR="00FC4F1D" w:rsidRPr="00345AA7">
        <w:rPr>
          <w:rFonts w:ascii="ITC Avant Garde" w:hAnsi="ITC Avant Garde"/>
          <w:bCs/>
          <w:lang w:val="es-ES" w:eastAsia="es-ES"/>
        </w:rPr>
        <w:t xml:space="preserve">dio aviso de la intención de llevar a cabo la enajenación del total de las acciones que integran el capital social de </w:t>
      </w:r>
      <w:r w:rsidR="00F37383" w:rsidRPr="00345AA7">
        <w:rPr>
          <w:rFonts w:ascii="ITC Avant Garde" w:hAnsi="ITC Avant Garde"/>
          <w:bCs/>
          <w:lang w:val="es-ES" w:eastAsia="es-ES"/>
        </w:rPr>
        <w:t>dicha empresa, a través de las siguientes operaciones:</w:t>
      </w:r>
      <w:r w:rsidR="00D82CF7" w:rsidRPr="00345AA7">
        <w:rPr>
          <w:rFonts w:ascii="ITC Avant Garde" w:hAnsi="ITC Avant Garde"/>
          <w:bCs/>
          <w:lang w:eastAsia="es-MX"/>
        </w:rPr>
        <w:t xml:space="preserve"> i)</w:t>
      </w:r>
      <w:r w:rsidR="00D60C4B" w:rsidRPr="00345AA7">
        <w:rPr>
          <w:rFonts w:ascii="ITC Avant Garde" w:hAnsi="ITC Avant Garde"/>
          <w:bCs/>
          <w:lang w:eastAsia="es-MX"/>
        </w:rPr>
        <w:t xml:space="preserve"> el 99% del cap</w:t>
      </w:r>
      <w:r w:rsidR="00F37383" w:rsidRPr="00345AA7">
        <w:rPr>
          <w:rFonts w:ascii="ITC Avant Garde" w:hAnsi="ITC Avant Garde"/>
          <w:bCs/>
          <w:lang w:eastAsia="es-MX"/>
        </w:rPr>
        <w:t xml:space="preserve">ital social será </w:t>
      </w:r>
      <w:r w:rsidR="0028574E" w:rsidRPr="00345AA7">
        <w:rPr>
          <w:rFonts w:ascii="ITC Avant Garde" w:hAnsi="ITC Avant Garde"/>
          <w:bCs/>
          <w:lang w:eastAsia="es-MX"/>
        </w:rPr>
        <w:t>adquirido</w:t>
      </w:r>
      <w:r w:rsidR="00F37383" w:rsidRPr="00345AA7">
        <w:rPr>
          <w:rFonts w:ascii="ITC Avant Garde" w:hAnsi="ITC Avant Garde"/>
          <w:bCs/>
          <w:lang w:eastAsia="es-MX"/>
        </w:rPr>
        <w:t xml:space="preserve"> por la empresa Telecomvera Holding, S.A.P.I. de C.V., y ii) el 1% del capital social será </w:t>
      </w:r>
      <w:r w:rsidR="0028574E" w:rsidRPr="00345AA7">
        <w:rPr>
          <w:rFonts w:ascii="ITC Avant Garde" w:hAnsi="ITC Avant Garde"/>
          <w:bCs/>
          <w:lang w:eastAsia="es-MX"/>
        </w:rPr>
        <w:t>adquirido</w:t>
      </w:r>
      <w:r w:rsidR="00F37383" w:rsidRPr="00345AA7">
        <w:rPr>
          <w:rFonts w:ascii="ITC Avant Garde" w:hAnsi="ITC Avant Garde"/>
          <w:bCs/>
          <w:lang w:eastAsia="es-MX"/>
        </w:rPr>
        <w:t xml:space="preserve"> por la empresa Grupo Profrezac, S.A. de C.V.</w:t>
      </w:r>
    </w:p>
    <w:p w14:paraId="5872561D" w14:textId="28058330" w:rsidR="00B722A7" w:rsidRPr="00345AA7" w:rsidRDefault="00DA6169"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De esta manera</w:t>
      </w:r>
      <w:r w:rsidR="00B722A7" w:rsidRPr="00345AA7">
        <w:rPr>
          <w:rFonts w:ascii="ITC Avant Garde" w:hAnsi="ITC Avant Garde"/>
          <w:bCs/>
        </w:rPr>
        <w:t xml:space="preserve">, la estructura accionaria actual de </w:t>
      </w:r>
      <w:r w:rsidR="008F5658" w:rsidRPr="00345AA7">
        <w:rPr>
          <w:rFonts w:ascii="ITC Avant Garde" w:hAnsi="ITC Avant Garde"/>
          <w:bCs/>
          <w:lang w:val="es-ES" w:eastAsia="es-ES"/>
        </w:rPr>
        <w:t>Grupo W Com</w:t>
      </w:r>
      <w:r w:rsidR="009A758E" w:rsidRPr="00345AA7">
        <w:rPr>
          <w:rFonts w:ascii="ITC Avant Garde" w:hAnsi="ITC Avant Garde"/>
          <w:bCs/>
          <w:lang w:val="es-ES" w:eastAsia="es-ES"/>
        </w:rPr>
        <w:t>, S.A. de C.V.</w:t>
      </w:r>
      <w:r w:rsidR="003E3F7C" w:rsidRPr="00345AA7">
        <w:rPr>
          <w:rFonts w:ascii="ITC Avant Garde" w:hAnsi="ITC Avant Garde"/>
          <w:bCs/>
        </w:rPr>
        <w:t>, previa</w:t>
      </w:r>
      <w:r w:rsidR="00C52F32" w:rsidRPr="00345AA7">
        <w:rPr>
          <w:rFonts w:ascii="ITC Avant Garde" w:hAnsi="ITC Avant Garde"/>
          <w:bCs/>
        </w:rPr>
        <w:t>mente</w:t>
      </w:r>
      <w:r w:rsidR="00CB20DF" w:rsidRPr="00345AA7">
        <w:rPr>
          <w:rFonts w:ascii="ITC Avant Garde" w:hAnsi="ITC Avant Garde"/>
          <w:bCs/>
        </w:rPr>
        <w:t xml:space="preserve"> a la operación</w:t>
      </w:r>
      <w:r w:rsidR="00380710" w:rsidRPr="00345AA7">
        <w:rPr>
          <w:rFonts w:ascii="ITC Avant Garde" w:hAnsi="ITC Avant Garde"/>
          <w:bCs/>
        </w:rPr>
        <w:t xml:space="preserve"> </w:t>
      </w:r>
      <w:r w:rsidR="00B722A7" w:rsidRPr="00345AA7">
        <w:rPr>
          <w:rFonts w:ascii="ITC Avant Garde" w:hAnsi="ITC Avant Garde"/>
          <w:bCs/>
        </w:rPr>
        <w:t xml:space="preserve">se encuentra integrada de la siguiente </w:t>
      </w:r>
      <w:r w:rsidR="00910B3F" w:rsidRPr="00345AA7">
        <w:rPr>
          <w:rFonts w:ascii="ITC Avant Garde" w:hAnsi="ITC Avant Garde"/>
          <w:bCs/>
        </w:rPr>
        <w:t>forma</w:t>
      </w:r>
      <w:r w:rsidR="00B722A7" w:rsidRPr="00345AA7">
        <w:rPr>
          <w:rFonts w:ascii="ITC Avant Garde" w:hAnsi="ITC Avant Garde"/>
          <w:bCs/>
        </w:rPr>
        <w: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structura accionaria actual de Grupo W Com, S.A. de C.V."/>
        <w:tblDescription w:val="En una tabla de 2 columnas de muestra la integración accionaria de Grupo W Com, S.A. de C.V."/>
      </w:tblPr>
      <w:tblGrid>
        <w:gridCol w:w="4125"/>
        <w:gridCol w:w="1653"/>
      </w:tblGrid>
      <w:tr w:rsidR="00230293" w:rsidRPr="00345AA7" w14:paraId="21D17192" w14:textId="77777777" w:rsidTr="00E84C33">
        <w:trPr>
          <w:trHeight w:val="283"/>
          <w:tblHeader/>
          <w:jc w:val="center"/>
        </w:trPr>
        <w:tc>
          <w:tcPr>
            <w:tcW w:w="4125" w:type="dxa"/>
            <w:shd w:val="clear" w:color="auto" w:fill="BFBFBF" w:themeFill="background1" w:themeFillShade="BF"/>
            <w:vAlign w:val="center"/>
          </w:tcPr>
          <w:p w14:paraId="5A46475B" w14:textId="283C9DCB" w:rsidR="00230293" w:rsidRPr="00345AA7" w:rsidRDefault="0023029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Accionistas</w:t>
            </w:r>
          </w:p>
        </w:tc>
        <w:tc>
          <w:tcPr>
            <w:tcW w:w="1653" w:type="dxa"/>
            <w:shd w:val="clear" w:color="auto" w:fill="BFBFBF" w:themeFill="background1" w:themeFillShade="BF"/>
            <w:vAlign w:val="center"/>
          </w:tcPr>
          <w:p w14:paraId="552C5BFA" w14:textId="367498CD" w:rsidR="00230293" w:rsidRPr="00345AA7" w:rsidRDefault="0023029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Participación (%)</w:t>
            </w:r>
          </w:p>
        </w:tc>
      </w:tr>
      <w:tr w:rsidR="00C52F32" w:rsidRPr="00345AA7" w14:paraId="530C93F4" w14:textId="144901ED" w:rsidTr="00345AA7">
        <w:trPr>
          <w:trHeight w:val="283"/>
          <w:jc w:val="center"/>
        </w:trPr>
        <w:tc>
          <w:tcPr>
            <w:tcW w:w="4125" w:type="dxa"/>
          </w:tcPr>
          <w:p w14:paraId="5E4CFCFC" w14:textId="77F5EAEE" w:rsidR="00C52F32" w:rsidRPr="00345AA7"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Alejandro Burillo Azcárraga</w:t>
            </w:r>
          </w:p>
        </w:tc>
        <w:tc>
          <w:tcPr>
            <w:tcW w:w="1653" w:type="dxa"/>
          </w:tcPr>
          <w:p w14:paraId="048B425C" w14:textId="01A956A3" w:rsidR="00C52F32" w:rsidRPr="00345AA7"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71.72%</w:t>
            </w:r>
          </w:p>
          <w:p w14:paraId="4FDB9459" w14:textId="6CC15AB0" w:rsidR="00C52F32" w:rsidRPr="00345AA7" w:rsidRDefault="00C52F32" w:rsidP="00345AA7">
            <w:pPr>
              <w:autoSpaceDE w:val="0"/>
              <w:autoSpaceDN w:val="0"/>
              <w:adjustRightInd w:val="0"/>
              <w:spacing w:after="0" w:line="240" w:lineRule="auto"/>
              <w:jc w:val="center"/>
              <w:rPr>
                <w:rFonts w:ascii="ITC Avant Garde" w:hAnsi="ITC Avant Garde"/>
                <w:bCs/>
                <w:sz w:val="18"/>
                <w:szCs w:val="18"/>
              </w:rPr>
            </w:pPr>
          </w:p>
        </w:tc>
      </w:tr>
      <w:tr w:rsidR="00C52F32" w:rsidRPr="00345AA7" w14:paraId="31D79C59" w14:textId="35D6FD77" w:rsidTr="00345AA7">
        <w:trPr>
          <w:trHeight w:val="283"/>
          <w:jc w:val="center"/>
        </w:trPr>
        <w:tc>
          <w:tcPr>
            <w:tcW w:w="4125" w:type="dxa"/>
          </w:tcPr>
          <w:p w14:paraId="2494D11B" w14:textId="50C0F465" w:rsidR="00C52F32" w:rsidRPr="00345AA7"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Javier Braun Burillo</w:t>
            </w:r>
          </w:p>
        </w:tc>
        <w:tc>
          <w:tcPr>
            <w:tcW w:w="1653" w:type="dxa"/>
          </w:tcPr>
          <w:p w14:paraId="13C67D9F" w14:textId="73EB1F98" w:rsidR="00C52F32" w:rsidRPr="00345AA7"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13.59%</w:t>
            </w:r>
          </w:p>
        </w:tc>
      </w:tr>
      <w:tr w:rsidR="00C52F32" w:rsidRPr="00345AA7" w14:paraId="26F0A5A9" w14:textId="77777777" w:rsidTr="00345AA7">
        <w:trPr>
          <w:trHeight w:val="283"/>
          <w:jc w:val="center"/>
        </w:trPr>
        <w:tc>
          <w:tcPr>
            <w:tcW w:w="4125" w:type="dxa"/>
          </w:tcPr>
          <w:p w14:paraId="09C4AAB0" w14:textId="3B3361CC" w:rsidR="00C52F32" w:rsidRPr="00345AA7" w:rsidDel="008F5658"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Emilio Braun Burillo</w:t>
            </w:r>
          </w:p>
        </w:tc>
        <w:tc>
          <w:tcPr>
            <w:tcW w:w="1653" w:type="dxa"/>
          </w:tcPr>
          <w:p w14:paraId="5B354DA5" w14:textId="0263B4B4" w:rsidR="00C52F32" w:rsidRPr="00345AA7" w:rsidDel="008F5658"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7.35%</w:t>
            </w:r>
          </w:p>
        </w:tc>
      </w:tr>
      <w:tr w:rsidR="00C52F32" w:rsidRPr="00345AA7" w14:paraId="5B627E54" w14:textId="77777777" w:rsidTr="00345AA7">
        <w:trPr>
          <w:trHeight w:val="283"/>
          <w:jc w:val="center"/>
        </w:trPr>
        <w:tc>
          <w:tcPr>
            <w:tcW w:w="4125" w:type="dxa"/>
          </w:tcPr>
          <w:p w14:paraId="23FE1B82" w14:textId="2F66FC39" w:rsidR="00C52F32" w:rsidRPr="00345AA7"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Alejandro Jorge Orvañanos Alatorre</w:t>
            </w:r>
          </w:p>
        </w:tc>
        <w:tc>
          <w:tcPr>
            <w:tcW w:w="1653" w:type="dxa"/>
          </w:tcPr>
          <w:p w14:paraId="69EA44E9" w14:textId="26C16A01" w:rsidR="00C52F32" w:rsidRPr="00345AA7"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3.56%</w:t>
            </w:r>
          </w:p>
        </w:tc>
      </w:tr>
      <w:tr w:rsidR="00C52F32" w:rsidRPr="00345AA7" w14:paraId="6B749694" w14:textId="77777777" w:rsidTr="00345AA7">
        <w:trPr>
          <w:trHeight w:val="283"/>
          <w:jc w:val="center"/>
        </w:trPr>
        <w:tc>
          <w:tcPr>
            <w:tcW w:w="4125" w:type="dxa"/>
          </w:tcPr>
          <w:p w14:paraId="4CB89EB0" w14:textId="4846AF2E" w:rsidR="00C52F32" w:rsidRPr="00345AA7" w:rsidDel="008F5658"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Eduardo Patricio Braun Burillo</w:t>
            </w:r>
          </w:p>
        </w:tc>
        <w:tc>
          <w:tcPr>
            <w:tcW w:w="1653" w:type="dxa"/>
          </w:tcPr>
          <w:p w14:paraId="3DC28BA9" w14:textId="268814A4" w:rsidR="00C52F32" w:rsidRPr="00345AA7" w:rsidDel="008F5658"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3.56%</w:t>
            </w:r>
          </w:p>
        </w:tc>
      </w:tr>
      <w:tr w:rsidR="00C52F32" w:rsidRPr="00345AA7" w14:paraId="316376BB" w14:textId="77777777" w:rsidTr="00345AA7">
        <w:trPr>
          <w:trHeight w:val="283"/>
          <w:jc w:val="center"/>
        </w:trPr>
        <w:tc>
          <w:tcPr>
            <w:tcW w:w="4125" w:type="dxa"/>
          </w:tcPr>
          <w:p w14:paraId="1D3FC332" w14:textId="4FCEC38B" w:rsidR="00C52F32" w:rsidRPr="00345AA7" w:rsidRDefault="00C52F32" w:rsidP="00345AA7">
            <w:pPr>
              <w:autoSpaceDE w:val="0"/>
              <w:autoSpaceDN w:val="0"/>
              <w:adjustRightInd w:val="0"/>
              <w:spacing w:after="0" w:line="240" w:lineRule="auto"/>
              <w:rPr>
                <w:rFonts w:ascii="ITC Avant Garde" w:hAnsi="ITC Avant Garde"/>
                <w:bCs/>
                <w:sz w:val="18"/>
                <w:szCs w:val="18"/>
              </w:rPr>
            </w:pPr>
            <w:r w:rsidRPr="00345AA7">
              <w:rPr>
                <w:rFonts w:ascii="ITC Avant Garde" w:hAnsi="ITC Avant Garde"/>
                <w:bCs/>
                <w:sz w:val="18"/>
                <w:szCs w:val="18"/>
              </w:rPr>
              <w:t>Alejandro Diez Barroso Salido</w:t>
            </w:r>
          </w:p>
        </w:tc>
        <w:tc>
          <w:tcPr>
            <w:tcW w:w="1653" w:type="dxa"/>
          </w:tcPr>
          <w:p w14:paraId="033207D7" w14:textId="26EA054A" w:rsidR="00C52F32" w:rsidRPr="00345AA7" w:rsidDel="008F5658" w:rsidRDefault="00C52F32"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0.22%</w:t>
            </w:r>
          </w:p>
        </w:tc>
      </w:tr>
      <w:tr w:rsidR="00C52F32" w:rsidRPr="00345AA7" w14:paraId="7BCDEA43" w14:textId="40CE09DD" w:rsidTr="00345AA7">
        <w:trPr>
          <w:trHeight w:val="283"/>
          <w:jc w:val="center"/>
        </w:trPr>
        <w:tc>
          <w:tcPr>
            <w:tcW w:w="4125" w:type="dxa"/>
          </w:tcPr>
          <w:p w14:paraId="3795C937" w14:textId="77777777" w:rsidR="00C52F32" w:rsidRPr="00345AA7" w:rsidRDefault="00C52F32"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Total</w:t>
            </w:r>
          </w:p>
        </w:tc>
        <w:tc>
          <w:tcPr>
            <w:tcW w:w="1653" w:type="dxa"/>
          </w:tcPr>
          <w:p w14:paraId="3B5D399A" w14:textId="30C66C53" w:rsidR="00C52F32" w:rsidRPr="00345AA7" w:rsidRDefault="00C52F32"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100.00 %</w:t>
            </w:r>
          </w:p>
        </w:tc>
      </w:tr>
    </w:tbl>
    <w:p w14:paraId="68EFAD5C" w14:textId="77777777" w:rsidR="00345AA7" w:rsidRPr="00345AA7" w:rsidRDefault="00404708"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En seguimiento a lo anterior, </w:t>
      </w:r>
      <w:r w:rsidR="007E6022" w:rsidRPr="00345AA7">
        <w:rPr>
          <w:rFonts w:ascii="ITC Avant Garde" w:hAnsi="ITC Avant Garde"/>
          <w:bCs/>
        </w:rPr>
        <w:t>de la Solicitud de Enajenación</w:t>
      </w:r>
      <w:r w:rsidR="00D864B7" w:rsidRPr="00345AA7">
        <w:rPr>
          <w:rFonts w:ascii="ITC Avant Garde" w:hAnsi="ITC Avant Garde"/>
          <w:bCs/>
        </w:rPr>
        <w:t xml:space="preserve"> </w:t>
      </w:r>
      <w:r w:rsidR="007E6022" w:rsidRPr="00345AA7">
        <w:rPr>
          <w:rFonts w:ascii="ITC Avant Garde" w:hAnsi="ITC Avant Garde"/>
          <w:bCs/>
        </w:rPr>
        <w:t xml:space="preserve">de Acciones se desprende que </w:t>
      </w:r>
      <w:r w:rsidR="00CA27A8" w:rsidRPr="00345AA7">
        <w:rPr>
          <w:rFonts w:ascii="ITC Avant Garde" w:hAnsi="ITC Avant Garde"/>
          <w:bCs/>
        </w:rPr>
        <w:t xml:space="preserve">Alejandro Burillo </w:t>
      </w:r>
      <w:r w:rsidR="009604C5" w:rsidRPr="00345AA7">
        <w:rPr>
          <w:rFonts w:ascii="ITC Avant Garde" w:hAnsi="ITC Avant Garde"/>
          <w:bCs/>
        </w:rPr>
        <w:t>Azcárraga</w:t>
      </w:r>
      <w:r w:rsidR="00CA27A8" w:rsidRPr="00345AA7">
        <w:rPr>
          <w:rFonts w:ascii="ITC Avant Garde" w:hAnsi="ITC Avant Garde"/>
          <w:bCs/>
        </w:rPr>
        <w:t xml:space="preserve"> </w:t>
      </w:r>
      <w:r w:rsidR="008B3C15" w:rsidRPr="00345AA7">
        <w:rPr>
          <w:rFonts w:ascii="ITC Avant Garde" w:hAnsi="ITC Avant Garde"/>
          <w:bCs/>
        </w:rPr>
        <w:t xml:space="preserve">es el accionista mayoritario de la sociedad, </w:t>
      </w:r>
      <w:r w:rsidR="00B13CE1" w:rsidRPr="00345AA7">
        <w:rPr>
          <w:rFonts w:ascii="ITC Avant Garde" w:hAnsi="ITC Avant Garde"/>
          <w:bCs/>
          <w:lang w:val="es-ES" w:eastAsia="es-ES"/>
        </w:rPr>
        <w:t>ocupando</w:t>
      </w:r>
      <w:r w:rsidR="008B3C15" w:rsidRPr="00345AA7">
        <w:rPr>
          <w:rFonts w:ascii="ITC Avant Garde" w:hAnsi="ITC Avant Garde"/>
          <w:bCs/>
          <w:lang w:val="es-ES" w:eastAsia="es-ES"/>
        </w:rPr>
        <w:t xml:space="preserve"> el 71.7</w:t>
      </w:r>
      <w:r w:rsidR="0056424B" w:rsidRPr="00345AA7">
        <w:rPr>
          <w:rFonts w:ascii="ITC Avant Garde" w:hAnsi="ITC Avant Garde"/>
          <w:bCs/>
          <w:lang w:val="es-ES" w:eastAsia="es-ES"/>
        </w:rPr>
        <w:t>2</w:t>
      </w:r>
      <w:r w:rsidR="008B3C15" w:rsidRPr="00345AA7">
        <w:rPr>
          <w:rFonts w:ascii="ITC Avant Garde" w:hAnsi="ITC Avant Garde"/>
          <w:bCs/>
          <w:lang w:val="es-ES" w:eastAsia="es-ES"/>
        </w:rPr>
        <w:t xml:space="preserve">% del </w:t>
      </w:r>
      <w:r w:rsidR="00B13CE1" w:rsidRPr="00345AA7">
        <w:rPr>
          <w:rFonts w:ascii="ITC Avant Garde" w:hAnsi="ITC Avant Garde"/>
          <w:bCs/>
          <w:lang w:val="es-ES" w:eastAsia="es-ES"/>
        </w:rPr>
        <w:t xml:space="preserve">capital </w:t>
      </w:r>
      <w:r w:rsidR="0056424B" w:rsidRPr="00345AA7">
        <w:rPr>
          <w:rFonts w:ascii="ITC Avant Garde" w:hAnsi="ITC Avant Garde"/>
          <w:bCs/>
          <w:lang w:val="es-ES" w:eastAsia="es-ES"/>
        </w:rPr>
        <w:t xml:space="preserve">social </w:t>
      </w:r>
      <w:r w:rsidR="00B13CE1" w:rsidRPr="00345AA7">
        <w:rPr>
          <w:rFonts w:ascii="ITC Avant Garde" w:hAnsi="ITC Avant Garde"/>
          <w:bCs/>
          <w:lang w:val="es-ES" w:eastAsia="es-ES"/>
        </w:rPr>
        <w:t xml:space="preserve">total de </w:t>
      </w:r>
      <w:r w:rsidR="00F6412A" w:rsidRPr="00345AA7">
        <w:rPr>
          <w:rFonts w:ascii="ITC Avant Garde" w:hAnsi="ITC Avant Garde"/>
          <w:bCs/>
          <w:lang w:val="es-ES" w:eastAsia="es-ES"/>
        </w:rPr>
        <w:t>Grupo W Com, S.A. de C.V.</w:t>
      </w:r>
    </w:p>
    <w:p w14:paraId="113B9BF0" w14:textId="24A4FFA2" w:rsidR="003172FD" w:rsidRPr="00345AA7" w:rsidRDefault="00E67F8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En </w:t>
      </w:r>
      <w:r w:rsidR="00404708" w:rsidRPr="00345AA7">
        <w:rPr>
          <w:rFonts w:ascii="ITC Avant Garde" w:hAnsi="ITC Avant Garde"/>
          <w:bCs/>
        </w:rPr>
        <w:t>tal virtud</w:t>
      </w:r>
      <w:r w:rsidR="00896FD7" w:rsidRPr="00345AA7">
        <w:rPr>
          <w:rFonts w:ascii="ITC Avant Garde" w:hAnsi="ITC Avant Garde"/>
          <w:bCs/>
        </w:rPr>
        <w:t xml:space="preserve">, </w:t>
      </w:r>
      <w:r w:rsidR="004C3ABA" w:rsidRPr="00345AA7">
        <w:rPr>
          <w:rFonts w:ascii="ITC Avant Garde" w:hAnsi="ITC Avant Garde"/>
          <w:bCs/>
        </w:rPr>
        <w:t>de autorizarse la S</w:t>
      </w:r>
      <w:r w:rsidR="00B651C4" w:rsidRPr="00345AA7">
        <w:rPr>
          <w:rFonts w:ascii="ITC Avant Garde" w:hAnsi="ITC Avant Garde"/>
          <w:bCs/>
        </w:rPr>
        <w:t>olicitud de Enajenación</w:t>
      </w:r>
      <w:r w:rsidR="00D864B7" w:rsidRPr="00345AA7">
        <w:rPr>
          <w:rFonts w:ascii="ITC Avant Garde" w:hAnsi="ITC Avant Garde"/>
          <w:bCs/>
        </w:rPr>
        <w:t xml:space="preserve"> </w:t>
      </w:r>
      <w:r w:rsidR="00B651C4" w:rsidRPr="00345AA7">
        <w:rPr>
          <w:rFonts w:ascii="ITC Avant Garde" w:hAnsi="ITC Avant Garde"/>
          <w:bCs/>
        </w:rPr>
        <w:t xml:space="preserve">de Acciones, el cuadro accionario </w:t>
      </w:r>
      <w:r w:rsidR="007961CB" w:rsidRPr="00345AA7">
        <w:rPr>
          <w:rFonts w:ascii="ITC Avant Garde" w:hAnsi="ITC Avant Garde"/>
          <w:bCs/>
        </w:rPr>
        <w:t xml:space="preserve">de </w:t>
      </w:r>
      <w:r w:rsidR="00CA27A8" w:rsidRPr="00345AA7">
        <w:rPr>
          <w:rFonts w:ascii="ITC Avant Garde" w:hAnsi="ITC Avant Garde"/>
          <w:bCs/>
        </w:rPr>
        <w:t>Grupo W Com, S.A. de C.V.</w:t>
      </w:r>
      <w:r w:rsidR="008E5282" w:rsidRPr="00345AA7">
        <w:rPr>
          <w:rFonts w:ascii="ITC Avant Garde" w:hAnsi="ITC Avant Garde"/>
          <w:bCs/>
        </w:rPr>
        <w:t>,</w:t>
      </w:r>
      <w:r w:rsidR="007961CB" w:rsidRPr="00345AA7">
        <w:rPr>
          <w:rFonts w:ascii="ITC Avant Garde" w:hAnsi="ITC Avant Garde"/>
          <w:bCs/>
        </w:rPr>
        <w:t xml:space="preserve"> </w:t>
      </w:r>
      <w:r w:rsidR="00B651C4" w:rsidRPr="00345AA7">
        <w:rPr>
          <w:rFonts w:ascii="ITC Avant Garde" w:hAnsi="ITC Avant Garde"/>
          <w:bCs/>
        </w:rPr>
        <w:t>quedaría de la siguiente forma</w:t>
      </w:r>
      <w:r w:rsidR="003172FD" w:rsidRPr="00345AA7">
        <w:rPr>
          <w:rFonts w:ascii="ITC Avant Garde" w:hAnsi="ITC Avant Garde"/>
          <w:bCs/>
        </w:rPr>
        <w:t>:</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uadro accionario de Grupo W Com, S.A. de C.V. una vez recibida la autorización"/>
        <w:tblDescription w:val="En una tabla de 2 columnas se muestra como quedaría el cuadro accionario de Grupo W Com, S.A. de C.V., en caso de autorizarse la Solicitud de Enajenación de Acciones."/>
      </w:tblPr>
      <w:tblGrid>
        <w:gridCol w:w="3413"/>
        <w:gridCol w:w="2394"/>
      </w:tblGrid>
      <w:tr w:rsidR="00E84C33" w:rsidRPr="00345AA7" w14:paraId="5B862F3D" w14:textId="77777777" w:rsidTr="00E84C33">
        <w:trPr>
          <w:trHeight w:val="283"/>
          <w:tblHeader/>
          <w:jc w:val="center"/>
        </w:trPr>
        <w:tc>
          <w:tcPr>
            <w:tcW w:w="3413" w:type="dxa"/>
            <w:shd w:val="clear" w:color="auto" w:fill="BFBFBF" w:themeFill="background1" w:themeFillShade="BF"/>
            <w:vAlign w:val="center"/>
          </w:tcPr>
          <w:p w14:paraId="4AB0A405" w14:textId="747BF3EA"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Accionista</w:t>
            </w:r>
          </w:p>
        </w:tc>
        <w:tc>
          <w:tcPr>
            <w:tcW w:w="2394" w:type="dxa"/>
            <w:shd w:val="clear" w:color="auto" w:fill="BFBFBF" w:themeFill="background1" w:themeFillShade="BF"/>
            <w:vAlign w:val="center"/>
          </w:tcPr>
          <w:p w14:paraId="75912004" w14:textId="7113ABD3"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Participación (%)</w:t>
            </w:r>
          </w:p>
        </w:tc>
      </w:tr>
      <w:tr w:rsidR="00E84C33" w:rsidRPr="00345AA7" w14:paraId="4D50D931" w14:textId="3D815987" w:rsidTr="00E84C33">
        <w:trPr>
          <w:trHeight w:val="283"/>
          <w:jc w:val="center"/>
        </w:trPr>
        <w:tc>
          <w:tcPr>
            <w:tcW w:w="3413" w:type="dxa"/>
          </w:tcPr>
          <w:p w14:paraId="7B2EF81A" w14:textId="47F98D5A"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proofErr w:type="spellStart"/>
            <w:r w:rsidRPr="00345AA7">
              <w:rPr>
                <w:rFonts w:ascii="ITC Avant Garde" w:hAnsi="ITC Avant Garde"/>
                <w:bCs/>
                <w:sz w:val="18"/>
                <w:szCs w:val="18"/>
              </w:rPr>
              <w:t>Telecomvera</w:t>
            </w:r>
            <w:proofErr w:type="spellEnd"/>
            <w:r w:rsidRPr="00345AA7">
              <w:rPr>
                <w:rFonts w:ascii="ITC Avant Garde" w:hAnsi="ITC Avant Garde"/>
                <w:bCs/>
                <w:sz w:val="18"/>
                <w:szCs w:val="18"/>
              </w:rPr>
              <w:t xml:space="preserve"> Holding, S.A.P.I. de C.V.</w:t>
            </w:r>
          </w:p>
        </w:tc>
        <w:tc>
          <w:tcPr>
            <w:tcW w:w="2394" w:type="dxa"/>
          </w:tcPr>
          <w:p w14:paraId="26545D85" w14:textId="23FDD164"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99%</w:t>
            </w:r>
          </w:p>
        </w:tc>
      </w:tr>
      <w:tr w:rsidR="00E84C33" w:rsidRPr="00345AA7" w14:paraId="346E881F" w14:textId="0D948A1E" w:rsidTr="00E84C33">
        <w:trPr>
          <w:trHeight w:val="283"/>
          <w:jc w:val="center"/>
        </w:trPr>
        <w:tc>
          <w:tcPr>
            <w:tcW w:w="3413" w:type="dxa"/>
          </w:tcPr>
          <w:p w14:paraId="31A8FF00" w14:textId="19F8E8EC"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Grupo Profrezac, S.A. de C.V.</w:t>
            </w:r>
          </w:p>
        </w:tc>
        <w:tc>
          <w:tcPr>
            <w:tcW w:w="2394" w:type="dxa"/>
          </w:tcPr>
          <w:p w14:paraId="1683495D" w14:textId="3D0E8EE0"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1%</w:t>
            </w:r>
          </w:p>
        </w:tc>
      </w:tr>
      <w:tr w:rsidR="00E84C33" w:rsidRPr="00345AA7" w14:paraId="439B6EB4" w14:textId="45A22B8F" w:rsidTr="00E84C33">
        <w:trPr>
          <w:trHeight w:val="283"/>
          <w:jc w:val="center"/>
        </w:trPr>
        <w:tc>
          <w:tcPr>
            <w:tcW w:w="3413" w:type="dxa"/>
          </w:tcPr>
          <w:p w14:paraId="0F68E6F4" w14:textId="77777777" w:rsidR="00E84C33" w:rsidRPr="00345AA7" w:rsidRDefault="00E84C33" w:rsidP="00E84C33">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Total</w:t>
            </w:r>
          </w:p>
        </w:tc>
        <w:tc>
          <w:tcPr>
            <w:tcW w:w="2394" w:type="dxa"/>
          </w:tcPr>
          <w:p w14:paraId="796DDE51" w14:textId="14E03C0A" w:rsidR="00E84C33" w:rsidRPr="00345AA7" w:rsidRDefault="00E84C33" w:rsidP="00E84C33">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100%</w:t>
            </w:r>
          </w:p>
        </w:tc>
      </w:tr>
    </w:tbl>
    <w:p w14:paraId="3320FF4D" w14:textId="46A74783" w:rsidR="0058409A" w:rsidRPr="00345AA7" w:rsidRDefault="00BB5182"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lastRenderedPageBreak/>
        <w:t>Asimismo,</w:t>
      </w:r>
      <w:r w:rsidR="00F755A1" w:rsidRPr="00345AA7">
        <w:rPr>
          <w:rFonts w:ascii="ITC Avant Garde" w:hAnsi="ITC Avant Garde"/>
          <w:bCs/>
        </w:rPr>
        <w:t xml:space="preserve"> </w:t>
      </w:r>
      <w:r w:rsidR="0080773D" w:rsidRPr="00345AA7">
        <w:rPr>
          <w:rFonts w:ascii="ITC Avant Garde" w:hAnsi="ITC Avant Garde"/>
          <w:bCs/>
        </w:rPr>
        <w:t xml:space="preserve">en el Instrumento Notarial número </w:t>
      </w:r>
      <w:r w:rsidR="00286BB0" w:rsidRPr="00345AA7">
        <w:rPr>
          <w:rFonts w:ascii="ITC Avant Garde" w:hAnsi="ITC Avant Garde"/>
          <w:bCs/>
        </w:rPr>
        <w:t>52,655</w:t>
      </w:r>
      <w:r w:rsidR="007052CA" w:rsidRPr="00345AA7">
        <w:rPr>
          <w:rFonts w:ascii="ITC Avant Garde" w:hAnsi="ITC Avant Garde"/>
          <w:bCs/>
        </w:rPr>
        <w:t xml:space="preserve"> de fecha 1</w:t>
      </w:r>
      <w:r w:rsidR="00286BB0" w:rsidRPr="00345AA7">
        <w:rPr>
          <w:rFonts w:ascii="ITC Avant Garde" w:hAnsi="ITC Avant Garde"/>
          <w:bCs/>
        </w:rPr>
        <w:t>7</w:t>
      </w:r>
      <w:r w:rsidR="007052CA" w:rsidRPr="00345AA7">
        <w:rPr>
          <w:rFonts w:ascii="ITC Avant Garde" w:hAnsi="ITC Avant Garde"/>
          <w:bCs/>
        </w:rPr>
        <w:t xml:space="preserve"> de </w:t>
      </w:r>
      <w:r w:rsidR="00286BB0" w:rsidRPr="00345AA7">
        <w:rPr>
          <w:rFonts w:ascii="ITC Avant Garde" w:hAnsi="ITC Avant Garde"/>
          <w:bCs/>
        </w:rPr>
        <w:t>marzo</w:t>
      </w:r>
      <w:r w:rsidR="007052CA" w:rsidRPr="00345AA7">
        <w:rPr>
          <w:rFonts w:ascii="ITC Avant Garde" w:hAnsi="ITC Avant Garde"/>
          <w:bCs/>
        </w:rPr>
        <w:t xml:space="preserve"> de 201</w:t>
      </w:r>
      <w:r w:rsidR="00286BB0" w:rsidRPr="00345AA7">
        <w:rPr>
          <w:rFonts w:ascii="ITC Avant Garde" w:hAnsi="ITC Avant Garde"/>
          <w:bCs/>
        </w:rPr>
        <w:t>5</w:t>
      </w:r>
      <w:r w:rsidR="00F80605" w:rsidRPr="00345AA7">
        <w:rPr>
          <w:rFonts w:ascii="ITC Avant Garde" w:hAnsi="ITC Avant Garde"/>
          <w:bCs/>
        </w:rPr>
        <w:t>,</w:t>
      </w:r>
      <w:r w:rsidR="007052CA" w:rsidRPr="00345AA7">
        <w:rPr>
          <w:rFonts w:ascii="ITC Avant Garde" w:hAnsi="ITC Avant Garde"/>
          <w:bCs/>
        </w:rPr>
        <w:t xml:space="preserve"> presentado con la Solicitud de Enajenación</w:t>
      </w:r>
      <w:r w:rsidR="00D864B7" w:rsidRPr="00345AA7">
        <w:rPr>
          <w:rFonts w:ascii="ITC Avant Garde" w:hAnsi="ITC Avant Garde"/>
          <w:bCs/>
        </w:rPr>
        <w:t xml:space="preserve"> </w:t>
      </w:r>
      <w:r w:rsidR="007052CA" w:rsidRPr="00345AA7">
        <w:rPr>
          <w:rFonts w:ascii="ITC Avant Garde" w:hAnsi="ITC Avant Garde"/>
          <w:bCs/>
        </w:rPr>
        <w:t xml:space="preserve">de Acciones, se </w:t>
      </w:r>
      <w:r w:rsidRPr="00345AA7">
        <w:rPr>
          <w:rFonts w:ascii="ITC Avant Garde" w:hAnsi="ITC Avant Garde"/>
          <w:bCs/>
        </w:rPr>
        <w:t xml:space="preserve">describe la </w:t>
      </w:r>
      <w:r w:rsidR="00F80605" w:rsidRPr="00345AA7">
        <w:rPr>
          <w:rFonts w:ascii="ITC Avant Garde" w:hAnsi="ITC Avant Garde"/>
          <w:bCs/>
        </w:rPr>
        <w:t xml:space="preserve">composición </w:t>
      </w:r>
      <w:r w:rsidRPr="00345AA7">
        <w:rPr>
          <w:rFonts w:ascii="ITC Avant Garde" w:hAnsi="ITC Avant Garde"/>
          <w:bCs/>
        </w:rPr>
        <w:t xml:space="preserve">total de los accionistas que representan el capital social de </w:t>
      </w:r>
      <w:r w:rsidR="00286BB0" w:rsidRPr="00345AA7">
        <w:rPr>
          <w:rFonts w:ascii="ITC Avant Garde" w:hAnsi="ITC Avant Garde"/>
          <w:bCs/>
        </w:rPr>
        <w:t xml:space="preserve">Telecomvera Holding, S.A.P.I. </w:t>
      </w:r>
      <w:proofErr w:type="gramStart"/>
      <w:r w:rsidR="00286BB0" w:rsidRPr="00345AA7">
        <w:rPr>
          <w:rFonts w:ascii="ITC Avant Garde" w:hAnsi="ITC Avant Garde"/>
          <w:bCs/>
        </w:rPr>
        <w:t>de</w:t>
      </w:r>
      <w:proofErr w:type="gramEnd"/>
      <w:r w:rsidR="00286BB0" w:rsidRPr="00345AA7">
        <w:rPr>
          <w:rFonts w:ascii="ITC Avant Garde" w:hAnsi="ITC Avant Garde"/>
          <w:bCs/>
        </w:rPr>
        <w:t xml:space="preserve"> C.V.</w:t>
      </w:r>
      <w:r w:rsidR="003B675E" w:rsidRPr="00345AA7">
        <w:rPr>
          <w:rFonts w:ascii="ITC Avant Garde" w:hAnsi="ITC Avant Garde"/>
          <w:bCs/>
        </w:rPr>
        <w:t xml:space="preserve">, </w:t>
      </w:r>
      <w:r w:rsidR="00BF6115" w:rsidRPr="00345AA7">
        <w:rPr>
          <w:rFonts w:ascii="ITC Avant Garde" w:hAnsi="ITC Avant Garde"/>
          <w:bCs/>
        </w:rPr>
        <w:t>quien sería uno de los accionista</w:t>
      </w:r>
      <w:r w:rsidR="00F80605" w:rsidRPr="00345AA7">
        <w:rPr>
          <w:rFonts w:ascii="ITC Avant Garde" w:hAnsi="ITC Avant Garde"/>
          <w:bCs/>
        </w:rPr>
        <w:t>s</w:t>
      </w:r>
      <w:r w:rsidR="00BF6115" w:rsidRPr="00345AA7">
        <w:rPr>
          <w:rFonts w:ascii="ITC Avant Garde" w:hAnsi="ITC Avant Garde"/>
          <w:bCs/>
        </w:rPr>
        <w:t xml:space="preserve"> de Grupo W Com, S.A. de C.V., </w:t>
      </w:r>
      <w:r w:rsidR="00787527" w:rsidRPr="00345AA7">
        <w:rPr>
          <w:rFonts w:ascii="ITC Avant Garde" w:hAnsi="ITC Avant Garde"/>
          <w:bCs/>
        </w:rPr>
        <w:t>la</w:t>
      </w:r>
      <w:r w:rsidRPr="00345AA7">
        <w:rPr>
          <w:rFonts w:ascii="ITC Avant Garde" w:hAnsi="ITC Avant Garde"/>
          <w:bCs/>
        </w:rPr>
        <w:t xml:space="preserve"> cual </w:t>
      </w:r>
      <w:r w:rsidR="00787527" w:rsidRPr="00345AA7">
        <w:rPr>
          <w:rFonts w:ascii="ITC Avant Garde" w:hAnsi="ITC Avant Garde"/>
          <w:bCs/>
        </w:rPr>
        <w:t>se</w:t>
      </w:r>
      <w:r w:rsidR="007052CA" w:rsidRPr="00345AA7">
        <w:rPr>
          <w:rFonts w:ascii="ITC Avant Garde" w:hAnsi="ITC Avant Garde"/>
          <w:bCs/>
        </w:rPr>
        <w:t xml:space="preserve"> encuentra integrada como se</w:t>
      </w:r>
      <w:r w:rsidR="00EE736A" w:rsidRPr="00345AA7">
        <w:rPr>
          <w:rFonts w:ascii="ITC Avant Garde" w:hAnsi="ITC Avant Garde"/>
          <w:bCs/>
        </w:rPr>
        <w:t xml:space="preserve"> muestra en la tabla siguiente:</w:t>
      </w:r>
    </w:p>
    <w:tbl>
      <w:tblPr>
        <w:tblStyle w:val="Cuadrculadetablaclara"/>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cionistas de un accionista de Grupo W Com, S.A. de C.V."/>
        <w:tblDescription w:val="En una tabla de 4 columnas se muestra como quedaría la composición total de los accionistas que representan el capital social de Telecomvera Holding, S.A.P.I. de C.V., quien sería uno de los accionistas de Grupo W Com, S.A. de C.V."/>
      </w:tblPr>
      <w:tblGrid>
        <w:gridCol w:w="2965"/>
        <w:gridCol w:w="1708"/>
        <w:gridCol w:w="2006"/>
        <w:gridCol w:w="1960"/>
      </w:tblGrid>
      <w:tr w:rsidR="00941A74" w:rsidRPr="00345AA7" w14:paraId="36BDAD73" w14:textId="7EC010DB" w:rsidTr="00E84C33">
        <w:trPr>
          <w:trHeight w:val="283"/>
          <w:tblHeader/>
          <w:jc w:val="center"/>
        </w:trPr>
        <w:tc>
          <w:tcPr>
            <w:tcW w:w="2965" w:type="dxa"/>
            <w:shd w:val="clear" w:color="auto" w:fill="BFBFBF" w:themeFill="background1" w:themeFillShade="BF"/>
            <w:noWrap/>
            <w:vAlign w:val="center"/>
          </w:tcPr>
          <w:p w14:paraId="6B05C76B" w14:textId="78F318E5"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Accionistas</w:t>
            </w:r>
          </w:p>
        </w:tc>
        <w:tc>
          <w:tcPr>
            <w:tcW w:w="1708" w:type="dxa"/>
            <w:shd w:val="clear" w:color="auto" w:fill="BFBFBF" w:themeFill="background1" w:themeFillShade="BF"/>
            <w:vAlign w:val="center"/>
          </w:tcPr>
          <w:p w14:paraId="00F7BEB4" w14:textId="77777777" w:rsid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Capital Fijo</w:t>
            </w:r>
          </w:p>
          <w:p w14:paraId="57C04E14" w14:textId="3B5B9F3C" w:rsidR="00941A74" w:rsidRPr="00345AA7" w:rsidRDefault="00345AA7"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Serie “A”</w:t>
            </w:r>
          </w:p>
        </w:tc>
        <w:tc>
          <w:tcPr>
            <w:tcW w:w="2006" w:type="dxa"/>
            <w:shd w:val="clear" w:color="auto" w:fill="BFBFBF" w:themeFill="background1" w:themeFillShade="BF"/>
            <w:vAlign w:val="center"/>
          </w:tcPr>
          <w:p w14:paraId="395796D5" w14:textId="77777777" w:rsid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Capital Variable</w:t>
            </w:r>
          </w:p>
          <w:p w14:paraId="07803900" w14:textId="70423D4C" w:rsidR="00941A74" w:rsidRPr="00345AA7" w:rsidRDefault="00345AA7"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Serie “B”</w:t>
            </w:r>
          </w:p>
        </w:tc>
        <w:tc>
          <w:tcPr>
            <w:tcW w:w="1960" w:type="dxa"/>
            <w:shd w:val="clear" w:color="auto" w:fill="BFBFBF" w:themeFill="background1" w:themeFillShade="BF"/>
            <w:vAlign w:val="center"/>
          </w:tcPr>
          <w:p w14:paraId="2953AB0E" w14:textId="35B48816"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Porcentaje</w:t>
            </w:r>
          </w:p>
        </w:tc>
      </w:tr>
      <w:tr w:rsidR="00941A74" w:rsidRPr="00345AA7" w14:paraId="7F8AFC0C" w14:textId="7A25FF70" w:rsidTr="00E84C33">
        <w:trPr>
          <w:trHeight w:val="283"/>
          <w:jc w:val="center"/>
        </w:trPr>
        <w:tc>
          <w:tcPr>
            <w:tcW w:w="2965" w:type="dxa"/>
          </w:tcPr>
          <w:p w14:paraId="01525D12" w14:textId="0AC6864C"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José de Jesús Aguirre Campos</w:t>
            </w:r>
          </w:p>
        </w:tc>
        <w:tc>
          <w:tcPr>
            <w:tcW w:w="1708" w:type="dxa"/>
          </w:tcPr>
          <w:p w14:paraId="4FC92ECA" w14:textId="7F9A7035"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49,500</w:t>
            </w:r>
          </w:p>
        </w:tc>
        <w:tc>
          <w:tcPr>
            <w:tcW w:w="2006" w:type="dxa"/>
          </w:tcPr>
          <w:p w14:paraId="7414DE83" w14:textId="42D447DD"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5,500</w:t>
            </w:r>
          </w:p>
        </w:tc>
        <w:tc>
          <w:tcPr>
            <w:tcW w:w="1960" w:type="dxa"/>
          </w:tcPr>
          <w:p w14:paraId="1EC575EF" w14:textId="56E88ABC"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99.1%</w:t>
            </w:r>
          </w:p>
        </w:tc>
      </w:tr>
      <w:tr w:rsidR="00941A74" w:rsidRPr="00345AA7" w14:paraId="622A0C01" w14:textId="184A0A3F" w:rsidTr="00E84C33">
        <w:trPr>
          <w:trHeight w:val="283"/>
          <w:jc w:val="center"/>
        </w:trPr>
        <w:tc>
          <w:tcPr>
            <w:tcW w:w="2965" w:type="dxa"/>
          </w:tcPr>
          <w:p w14:paraId="25AF77D1" w14:textId="0701EEED"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José Alejandro Mayagoitia Pérez</w:t>
            </w:r>
          </w:p>
        </w:tc>
        <w:tc>
          <w:tcPr>
            <w:tcW w:w="1708" w:type="dxa"/>
          </w:tcPr>
          <w:p w14:paraId="579454B5" w14:textId="628C0AEA"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500</w:t>
            </w:r>
          </w:p>
        </w:tc>
        <w:tc>
          <w:tcPr>
            <w:tcW w:w="2006" w:type="dxa"/>
          </w:tcPr>
          <w:p w14:paraId="70827E0A" w14:textId="5D5DC17D" w:rsidR="00941A74" w:rsidRPr="00345AA7" w:rsidRDefault="00E15C78"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w:t>
            </w:r>
          </w:p>
        </w:tc>
        <w:tc>
          <w:tcPr>
            <w:tcW w:w="1960" w:type="dxa"/>
          </w:tcPr>
          <w:p w14:paraId="6B77E41B" w14:textId="321F2B5C"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0.9%</w:t>
            </w:r>
          </w:p>
        </w:tc>
      </w:tr>
      <w:tr w:rsidR="00941A74" w:rsidRPr="00345AA7" w14:paraId="1F5A4FE6" w14:textId="7176DC1D" w:rsidTr="00E84C33">
        <w:trPr>
          <w:trHeight w:val="283"/>
          <w:jc w:val="center"/>
        </w:trPr>
        <w:tc>
          <w:tcPr>
            <w:tcW w:w="2965" w:type="dxa"/>
          </w:tcPr>
          <w:p w14:paraId="7C69EE5D" w14:textId="28146C23"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Subtotal</w:t>
            </w:r>
          </w:p>
        </w:tc>
        <w:tc>
          <w:tcPr>
            <w:tcW w:w="1708" w:type="dxa"/>
          </w:tcPr>
          <w:p w14:paraId="06EA5775" w14:textId="39E42704"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50,000</w:t>
            </w:r>
          </w:p>
        </w:tc>
        <w:tc>
          <w:tcPr>
            <w:tcW w:w="2006" w:type="dxa"/>
          </w:tcPr>
          <w:p w14:paraId="6729C5BE" w14:textId="00B98917"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5,500</w:t>
            </w:r>
          </w:p>
        </w:tc>
        <w:tc>
          <w:tcPr>
            <w:tcW w:w="1960" w:type="dxa"/>
          </w:tcPr>
          <w:p w14:paraId="77E72B8F" w14:textId="77777777"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p>
        </w:tc>
      </w:tr>
      <w:tr w:rsidR="00E84C33" w:rsidRPr="00345AA7" w14:paraId="59631889" w14:textId="7A7F03DB" w:rsidTr="00E84C33">
        <w:trPr>
          <w:trHeight w:val="283"/>
          <w:jc w:val="center"/>
        </w:trPr>
        <w:tc>
          <w:tcPr>
            <w:tcW w:w="2965" w:type="dxa"/>
          </w:tcPr>
          <w:p w14:paraId="601C344F" w14:textId="49B12FDD" w:rsidR="00E84C33" w:rsidRPr="00345AA7" w:rsidRDefault="00E84C33"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Total</w:t>
            </w:r>
          </w:p>
        </w:tc>
        <w:tc>
          <w:tcPr>
            <w:tcW w:w="1708" w:type="dxa"/>
          </w:tcPr>
          <w:p w14:paraId="2BC3617B" w14:textId="77777777"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55,500</w:t>
            </w:r>
          </w:p>
        </w:tc>
        <w:tc>
          <w:tcPr>
            <w:tcW w:w="2006" w:type="dxa"/>
          </w:tcPr>
          <w:p w14:paraId="319FC55C" w14:textId="1A157FE5"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55,500</w:t>
            </w:r>
          </w:p>
        </w:tc>
        <w:tc>
          <w:tcPr>
            <w:tcW w:w="1960" w:type="dxa"/>
          </w:tcPr>
          <w:p w14:paraId="75C3F2F3" w14:textId="57DDB0A7"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100%</w:t>
            </w:r>
          </w:p>
        </w:tc>
      </w:tr>
    </w:tbl>
    <w:p w14:paraId="73CBF9A1" w14:textId="77777777" w:rsidR="00345AA7" w:rsidRPr="00345AA7" w:rsidRDefault="00536B06"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Asimismo, </w:t>
      </w:r>
      <w:r w:rsidR="00394ECE" w:rsidRPr="00345AA7">
        <w:rPr>
          <w:rFonts w:ascii="ITC Avant Garde" w:hAnsi="ITC Avant Garde"/>
          <w:bCs/>
        </w:rPr>
        <w:t xml:space="preserve">en el Instrumento Notarial número </w:t>
      </w:r>
      <w:r w:rsidR="00BF6115" w:rsidRPr="00345AA7">
        <w:rPr>
          <w:rFonts w:ascii="ITC Avant Garde" w:hAnsi="ITC Avant Garde"/>
          <w:bCs/>
        </w:rPr>
        <w:t>7,937</w:t>
      </w:r>
      <w:r w:rsidR="00394ECE" w:rsidRPr="00345AA7">
        <w:rPr>
          <w:rFonts w:ascii="ITC Avant Garde" w:hAnsi="ITC Avant Garde"/>
          <w:bCs/>
        </w:rPr>
        <w:t xml:space="preserve"> de fecha 25 de mayo de 2001</w:t>
      </w:r>
      <w:r w:rsidR="002C4B36" w:rsidRPr="00345AA7">
        <w:rPr>
          <w:rFonts w:ascii="ITC Avant Garde" w:hAnsi="ITC Avant Garde"/>
          <w:bCs/>
        </w:rPr>
        <w:t>,</w:t>
      </w:r>
      <w:r w:rsidR="00394ECE" w:rsidRPr="00345AA7">
        <w:rPr>
          <w:rFonts w:ascii="ITC Avant Garde" w:hAnsi="ITC Avant Garde"/>
          <w:bCs/>
        </w:rPr>
        <w:t xml:space="preserve"> presentado con la Solicitud de Enajenación de Acciones, se describe la </w:t>
      </w:r>
      <w:r w:rsidR="002C4B36" w:rsidRPr="00345AA7">
        <w:rPr>
          <w:rFonts w:ascii="ITC Avant Garde" w:hAnsi="ITC Avant Garde"/>
          <w:bCs/>
        </w:rPr>
        <w:t xml:space="preserve">composición </w:t>
      </w:r>
      <w:r w:rsidR="00394ECE" w:rsidRPr="00345AA7">
        <w:rPr>
          <w:rFonts w:ascii="ITC Avant Garde" w:hAnsi="ITC Avant Garde"/>
          <w:bCs/>
        </w:rPr>
        <w:t>total de los accionistas que representan el capital social de Grupo Prof</w:t>
      </w:r>
      <w:r w:rsidR="009604C5" w:rsidRPr="00345AA7">
        <w:rPr>
          <w:rFonts w:ascii="ITC Avant Garde" w:hAnsi="ITC Avant Garde"/>
          <w:bCs/>
        </w:rPr>
        <w:t>r</w:t>
      </w:r>
      <w:r w:rsidR="00394ECE" w:rsidRPr="00345AA7">
        <w:rPr>
          <w:rFonts w:ascii="ITC Avant Garde" w:hAnsi="ITC Avant Garde"/>
          <w:bCs/>
        </w:rPr>
        <w:t>ezac, S.A. de C.V.</w:t>
      </w:r>
      <w:r w:rsidRPr="00345AA7">
        <w:rPr>
          <w:rFonts w:ascii="ITC Avant Garde" w:hAnsi="ITC Avant Garde"/>
          <w:bCs/>
        </w:rPr>
        <w:t>, quien</w:t>
      </w:r>
      <w:r w:rsidR="00394ECE" w:rsidRPr="00345AA7">
        <w:rPr>
          <w:rFonts w:ascii="ITC Avant Garde" w:hAnsi="ITC Avant Garde"/>
          <w:bCs/>
        </w:rPr>
        <w:t xml:space="preserve"> también</w:t>
      </w:r>
      <w:r w:rsidRPr="00345AA7">
        <w:rPr>
          <w:rFonts w:ascii="ITC Avant Garde" w:hAnsi="ITC Avant Garde"/>
          <w:bCs/>
        </w:rPr>
        <w:t xml:space="preserve"> </w:t>
      </w:r>
      <w:r w:rsidR="00B10832" w:rsidRPr="00345AA7">
        <w:rPr>
          <w:rFonts w:ascii="ITC Avant Garde" w:hAnsi="ITC Avant Garde"/>
          <w:bCs/>
        </w:rPr>
        <w:t>sería a</w:t>
      </w:r>
      <w:r w:rsidRPr="00345AA7">
        <w:rPr>
          <w:rFonts w:ascii="ITC Avant Garde" w:hAnsi="ITC Avant Garde"/>
          <w:bCs/>
        </w:rPr>
        <w:t xml:space="preserve">ccionista </w:t>
      </w:r>
      <w:r w:rsidR="00B10832" w:rsidRPr="00345AA7">
        <w:rPr>
          <w:rFonts w:ascii="ITC Avant Garde" w:hAnsi="ITC Avant Garde"/>
          <w:bCs/>
        </w:rPr>
        <w:t xml:space="preserve">de </w:t>
      </w:r>
      <w:r w:rsidR="00394ECE" w:rsidRPr="00345AA7">
        <w:rPr>
          <w:rFonts w:ascii="ITC Avant Garde" w:hAnsi="ITC Avant Garde"/>
          <w:bCs/>
        </w:rPr>
        <w:t>Grupo W Com</w:t>
      </w:r>
      <w:r w:rsidR="00B10832" w:rsidRPr="00345AA7">
        <w:rPr>
          <w:rFonts w:ascii="ITC Avant Garde" w:hAnsi="ITC Avant Garde"/>
          <w:bCs/>
        </w:rPr>
        <w:t xml:space="preserve">, S.A. de C.V., </w:t>
      </w:r>
      <w:r w:rsidR="002C4B36" w:rsidRPr="00345AA7">
        <w:rPr>
          <w:rFonts w:ascii="ITC Avant Garde" w:hAnsi="ITC Avant Garde"/>
          <w:bCs/>
        </w:rPr>
        <w:t xml:space="preserve">misma que </w:t>
      </w:r>
      <w:r w:rsidR="00B10832" w:rsidRPr="00345AA7">
        <w:rPr>
          <w:rFonts w:ascii="ITC Avant Garde" w:hAnsi="ITC Avant Garde"/>
          <w:bCs/>
        </w:rPr>
        <w:t>se encuentra constituida de la siguiente manera:</w:t>
      </w:r>
    </w:p>
    <w:tbl>
      <w:tblPr>
        <w:tblStyle w:val="Cuadrculadetablaclara"/>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ccionistas de un accionista de Grupo W Com, S.A. de C.V."/>
        <w:tblDescription w:val="En una tabla de 4 columnas se muestra como quedaría la composición total de los accionistas que representan el capital social de Grupo Profrezac, S.A. de C.V., quien también sería accionista de Grupo W Com, S.A. de C.V."/>
      </w:tblPr>
      <w:tblGrid>
        <w:gridCol w:w="2966"/>
        <w:gridCol w:w="1849"/>
        <w:gridCol w:w="1723"/>
        <w:gridCol w:w="1818"/>
      </w:tblGrid>
      <w:tr w:rsidR="00941A74" w:rsidRPr="00345AA7" w14:paraId="71BB2C88" w14:textId="35A490BB" w:rsidTr="00E84C33">
        <w:trPr>
          <w:trHeight w:val="472"/>
          <w:tblHeader/>
          <w:jc w:val="center"/>
        </w:trPr>
        <w:tc>
          <w:tcPr>
            <w:tcW w:w="2966" w:type="dxa"/>
            <w:shd w:val="clear" w:color="auto" w:fill="BFBFBF" w:themeFill="background1" w:themeFillShade="BF"/>
            <w:noWrap/>
            <w:vAlign w:val="center"/>
          </w:tcPr>
          <w:p w14:paraId="59E71CE9" w14:textId="77777777"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Accionistas</w:t>
            </w:r>
          </w:p>
        </w:tc>
        <w:tc>
          <w:tcPr>
            <w:tcW w:w="1849" w:type="dxa"/>
            <w:shd w:val="clear" w:color="auto" w:fill="BFBFBF" w:themeFill="background1" w:themeFillShade="BF"/>
            <w:vAlign w:val="center"/>
          </w:tcPr>
          <w:p w14:paraId="75CB959E" w14:textId="77777777"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Capital Mínimo</w:t>
            </w:r>
          </w:p>
          <w:p w14:paraId="124CF881" w14:textId="3862F050"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Fijo</w:t>
            </w:r>
            <w:r w:rsidR="00345AA7" w:rsidRPr="00345AA7">
              <w:rPr>
                <w:rFonts w:ascii="ITC Avant Garde" w:hAnsi="ITC Avant Garde"/>
                <w:b/>
                <w:bCs/>
                <w:sz w:val="18"/>
                <w:szCs w:val="18"/>
              </w:rPr>
              <w:t xml:space="preserve"> </w:t>
            </w:r>
            <w:r w:rsidR="00345AA7">
              <w:rPr>
                <w:rFonts w:ascii="ITC Avant Garde" w:hAnsi="ITC Avant Garde"/>
                <w:b/>
                <w:bCs/>
                <w:sz w:val="18"/>
                <w:szCs w:val="18"/>
              </w:rPr>
              <w:t>(</w:t>
            </w:r>
            <w:r w:rsidR="00345AA7" w:rsidRPr="00345AA7">
              <w:rPr>
                <w:rFonts w:ascii="ITC Avant Garde" w:hAnsi="ITC Avant Garde"/>
                <w:b/>
                <w:bCs/>
                <w:sz w:val="18"/>
                <w:szCs w:val="18"/>
              </w:rPr>
              <w:t>CF-I-Serie “A”</w:t>
            </w:r>
            <w:r w:rsidR="00345AA7">
              <w:rPr>
                <w:rFonts w:ascii="ITC Avant Garde" w:hAnsi="ITC Avant Garde"/>
                <w:b/>
                <w:bCs/>
                <w:sz w:val="18"/>
                <w:szCs w:val="18"/>
              </w:rPr>
              <w:t>)</w:t>
            </w:r>
          </w:p>
        </w:tc>
        <w:tc>
          <w:tcPr>
            <w:tcW w:w="1723" w:type="dxa"/>
            <w:shd w:val="clear" w:color="auto" w:fill="BFBFBF" w:themeFill="background1" w:themeFillShade="BF"/>
            <w:vAlign w:val="center"/>
          </w:tcPr>
          <w:p w14:paraId="2DE628E2" w14:textId="015FE429"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Capital Variable</w:t>
            </w:r>
            <w:r w:rsidR="00345AA7" w:rsidRPr="00345AA7">
              <w:rPr>
                <w:rFonts w:ascii="ITC Avant Garde" w:hAnsi="ITC Avant Garde"/>
                <w:b/>
                <w:bCs/>
                <w:sz w:val="18"/>
                <w:szCs w:val="18"/>
              </w:rPr>
              <w:t xml:space="preserve"> </w:t>
            </w:r>
            <w:r w:rsidR="00345AA7">
              <w:rPr>
                <w:rFonts w:ascii="ITC Avant Garde" w:hAnsi="ITC Avant Garde"/>
                <w:b/>
                <w:bCs/>
                <w:sz w:val="18"/>
                <w:szCs w:val="18"/>
              </w:rPr>
              <w:t>(</w:t>
            </w:r>
            <w:r w:rsidR="00345AA7" w:rsidRPr="00345AA7">
              <w:rPr>
                <w:rFonts w:ascii="ITC Avant Garde" w:hAnsi="ITC Avant Garde"/>
                <w:b/>
                <w:bCs/>
                <w:sz w:val="18"/>
                <w:szCs w:val="18"/>
              </w:rPr>
              <w:t>CV-II Serie “A”</w:t>
            </w:r>
            <w:r w:rsidR="00345AA7">
              <w:rPr>
                <w:rFonts w:ascii="ITC Avant Garde" w:hAnsi="ITC Avant Garde"/>
                <w:b/>
                <w:bCs/>
                <w:sz w:val="18"/>
                <w:szCs w:val="18"/>
              </w:rPr>
              <w:t>)</w:t>
            </w:r>
          </w:p>
        </w:tc>
        <w:tc>
          <w:tcPr>
            <w:tcW w:w="1818" w:type="dxa"/>
            <w:shd w:val="clear" w:color="auto" w:fill="BFBFBF" w:themeFill="background1" w:themeFillShade="BF"/>
            <w:vAlign w:val="center"/>
          </w:tcPr>
          <w:p w14:paraId="055113AE" w14:textId="231238AD"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Porcentaje</w:t>
            </w:r>
          </w:p>
        </w:tc>
      </w:tr>
      <w:tr w:rsidR="00941A74" w:rsidRPr="00345AA7" w14:paraId="701391F0" w14:textId="317E5E6E" w:rsidTr="00E84C33">
        <w:trPr>
          <w:trHeight w:val="438"/>
          <w:jc w:val="center"/>
        </w:trPr>
        <w:tc>
          <w:tcPr>
            <w:tcW w:w="2966" w:type="dxa"/>
          </w:tcPr>
          <w:p w14:paraId="154FC28F" w14:textId="7E1A1F93"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Jos</w:t>
            </w:r>
            <w:r w:rsidR="002C4B36" w:rsidRPr="00345AA7">
              <w:rPr>
                <w:rFonts w:ascii="ITC Avant Garde" w:hAnsi="ITC Avant Garde"/>
                <w:bCs/>
                <w:sz w:val="18"/>
                <w:szCs w:val="18"/>
              </w:rPr>
              <w:t>é</w:t>
            </w:r>
            <w:r w:rsidRPr="00345AA7">
              <w:rPr>
                <w:rFonts w:ascii="ITC Avant Garde" w:hAnsi="ITC Avant Garde"/>
                <w:bCs/>
                <w:sz w:val="18"/>
                <w:szCs w:val="18"/>
              </w:rPr>
              <w:t xml:space="preserve"> de Jesús Aguirre Campos</w:t>
            </w:r>
          </w:p>
        </w:tc>
        <w:tc>
          <w:tcPr>
            <w:tcW w:w="1849" w:type="dxa"/>
          </w:tcPr>
          <w:p w14:paraId="2FE79D26" w14:textId="0D8AB6A0"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5,000,000</w:t>
            </w:r>
          </w:p>
        </w:tc>
        <w:tc>
          <w:tcPr>
            <w:tcW w:w="1723" w:type="dxa"/>
          </w:tcPr>
          <w:p w14:paraId="6384934B" w14:textId="3C3DD232"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24,041,633</w:t>
            </w:r>
          </w:p>
        </w:tc>
        <w:tc>
          <w:tcPr>
            <w:tcW w:w="1818" w:type="dxa"/>
          </w:tcPr>
          <w:p w14:paraId="57F97E0C" w14:textId="3B91B19C"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96.0%</w:t>
            </w:r>
          </w:p>
        </w:tc>
      </w:tr>
      <w:tr w:rsidR="00941A74" w:rsidRPr="00345AA7" w14:paraId="207E7356" w14:textId="19657544" w:rsidTr="00E84C33">
        <w:trPr>
          <w:trHeight w:val="438"/>
          <w:jc w:val="center"/>
        </w:trPr>
        <w:tc>
          <w:tcPr>
            <w:tcW w:w="2966" w:type="dxa"/>
          </w:tcPr>
          <w:p w14:paraId="39D2A165" w14:textId="169EA052"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Ismael Gutierrez Hermosillo</w:t>
            </w:r>
          </w:p>
        </w:tc>
        <w:tc>
          <w:tcPr>
            <w:tcW w:w="1849" w:type="dxa"/>
          </w:tcPr>
          <w:p w14:paraId="6086673F" w14:textId="7F2D971C" w:rsidR="00941A74" w:rsidRPr="00E84C33" w:rsidRDefault="00E84C33" w:rsidP="00345AA7">
            <w:pPr>
              <w:autoSpaceDE w:val="0"/>
              <w:autoSpaceDN w:val="0"/>
              <w:adjustRightInd w:val="0"/>
              <w:spacing w:after="0" w:line="240" w:lineRule="auto"/>
              <w:jc w:val="center"/>
              <w:rPr>
                <w:rFonts w:ascii="ITC Avant Garde" w:hAnsi="ITC Avant Garde"/>
                <w:bCs/>
                <w:sz w:val="16"/>
                <w:szCs w:val="16"/>
              </w:rPr>
            </w:pPr>
            <w:r w:rsidRPr="00E84C33">
              <w:rPr>
                <w:rFonts w:ascii="ITC Avant Garde" w:hAnsi="ITC Avant Garde"/>
                <w:bCs/>
                <w:sz w:val="16"/>
                <w:szCs w:val="16"/>
              </w:rPr>
              <w:t>No aplica</w:t>
            </w:r>
          </w:p>
        </w:tc>
        <w:tc>
          <w:tcPr>
            <w:tcW w:w="1723" w:type="dxa"/>
          </w:tcPr>
          <w:p w14:paraId="1F33C7A3" w14:textId="68F41966"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605,034</w:t>
            </w:r>
          </w:p>
        </w:tc>
        <w:tc>
          <w:tcPr>
            <w:tcW w:w="1818" w:type="dxa"/>
          </w:tcPr>
          <w:p w14:paraId="6450828D" w14:textId="5F579153"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2.0%</w:t>
            </w:r>
          </w:p>
        </w:tc>
      </w:tr>
      <w:tr w:rsidR="00941A74" w:rsidRPr="00345AA7" w14:paraId="329D2975" w14:textId="7FAD34AF" w:rsidTr="00E84C33">
        <w:trPr>
          <w:trHeight w:val="438"/>
          <w:jc w:val="center"/>
        </w:trPr>
        <w:tc>
          <w:tcPr>
            <w:tcW w:w="2966" w:type="dxa"/>
          </w:tcPr>
          <w:p w14:paraId="3CBB30D3" w14:textId="486F362F"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 xml:space="preserve">Humberto Bonilla </w:t>
            </w:r>
            <w:r w:rsidR="009604C5" w:rsidRPr="00345AA7">
              <w:rPr>
                <w:rFonts w:ascii="ITC Avant Garde" w:hAnsi="ITC Avant Garde"/>
                <w:bCs/>
                <w:sz w:val="18"/>
                <w:szCs w:val="18"/>
              </w:rPr>
              <w:t>Casillas</w:t>
            </w:r>
          </w:p>
        </w:tc>
        <w:tc>
          <w:tcPr>
            <w:tcW w:w="1849" w:type="dxa"/>
          </w:tcPr>
          <w:p w14:paraId="744CE33E" w14:textId="45A547F6" w:rsidR="00941A74"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E84C33">
              <w:rPr>
                <w:rFonts w:ascii="ITC Avant Garde" w:hAnsi="ITC Avant Garde"/>
                <w:bCs/>
                <w:sz w:val="16"/>
                <w:szCs w:val="16"/>
              </w:rPr>
              <w:t>No aplica</w:t>
            </w:r>
          </w:p>
        </w:tc>
        <w:tc>
          <w:tcPr>
            <w:tcW w:w="1723" w:type="dxa"/>
          </w:tcPr>
          <w:p w14:paraId="44B6C480" w14:textId="536DEBBC"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605,034</w:t>
            </w:r>
          </w:p>
        </w:tc>
        <w:tc>
          <w:tcPr>
            <w:tcW w:w="1818" w:type="dxa"/>
          </w:tcPr>
          <w:p w14:paraId="32CB1922" w14:textId="3D6F0D52"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2.0%</w:t>
            </w:r>
          </w:p>
        </w:tc>
      </w:tr>
      <w:tr w:rsidR="00941A74" w:rsidRPr="00345AA7" w14:paraId="0F9440FE" w14:textId="348FF50F" w:rsidTr="00E84C33">
        <w:trPr>
          <w:trHeight w:val="438"/>
          <w:jc w:val="center"/>
        </w:trPr>
        <w:tc>
          <w:tcPr>
            <w:tcW w:w="2966" w:type="dxa"/>
          </w:tcPr>
          <w:p w14:paraId="2E1B69C8" w14:textId="77777777" w:rsidR="00941A74" w:rsidRPr="00345AA7" w:rsidRDefault="00941A74"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Subtotal</w:t>
            </w:r>
          </w:p>
        </w:tc>
        <w:tc>
          <w:tcPr>
            <w:tcW w:w="1849" w:type="dxa"/>
          </w:tcPr>
          <w:p w14:paraId="6CB5F8B1" w14:textId="62FA75D1"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5,000,000</w:t>
            </w:r>
          </w:p>
        </w:tc>
        <w:tc>
          <w:tcPr>
            <w:tcW w:w="1723" w:type="dxa"/>
          </w:tcPr>
          <w:p w14:paraId="1C1292BE" w14:textId="5C5244B7"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25,251,701</w:t>
            </w:r>
          </w:p>
        </w:tc>
        <w:tc>
          <w:tcPr>
            <w:tcW w:w="1818" w:type="dxa"/>
          </w:tcPr>
          <w:p w14:paraId="11B913C6" w14:textId="77777777" w:rsidR="00941A74" w:rsidRPr="00345AA7" w:rsidRDefault="00941A74" w:rsidP="00345AA7">
            <w:pPr>
              <w:autoSpaceDE w:val="0"/>
              <w:autoSpaceDN w:val="0"/>
              <w:adjustRightInd w:val="0"/>
              <w:spacing w:after="0" w:line="240" w:lineRule="auto"/>
              <w:jc w:val="center"/>
              <w:rPr>
                <w:rFonts w:ascii="ITC Avant Garde" w:hAnsi="ITC Avant Garde"/>
                <w:bCs/>
                <w:sz w:val="18"/>
                <w:szCs w:val="18"/>
              </w:rPr>
            </w:pPr>
          </w:p>
        </w:tc>
      </w:tr>
      <w:tr w:rsidR="00E84C33" w:rsidRPr="00345AA7" w14:paraId="27E2287D" w14:textId="043845CF" w:rsidTr="00E84C33">
        <w:trPr>
          <w:trHeight w:val="438"/>
          <w:jc w:val="center"/>
        </w:trPr>
        <w:tc>
          <w:tcPr>
            <w:tcW w:w="2966" w:type="dxa"/>
          </w:tcPr>
          <w:p w14:paraId="458E0C11" w14:textId="77777777" w:rsidR="00E84C33" w:rsidRPr="00345AA7" w:rsidRDefault="00E84C33"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Total</w:t>
            </w:r>
          </w:p>
        </w:tc>
        <w:tc>
          <w:tcPr>
            <w:tcW w:w="1849" w:type="dxa"/>
          </w:tcPr>
          <w:p w14:paraId="25390CB6" w14:textId="77777777"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30,251,701</w:t>
            </w:r>
          </w:p>
        </w:tc>
        <w:tc>
          <w:tcPr>
            <w:tcW w:w="1723" w:type="dxa"/>
          </w:tcPr>
          <w:p w14:paraId="7571C010" w14:textId="2A131542"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30,251,701</w:t>
            </w:r>
          </w:p>
        </w:tc>
        <w:tc>
          <w:tcPr>
            <w:tcW w:w="1818" w:type="dxa"/>
          </w:tcPr>
          <w:p w14:paraId="7DDAD67C" w14:textId="685ED967" w:rsidR="00E84C33" w:rsidRPr="00345AA7" w:rsidRDefault="00E84C33"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100%</w:t>
            </w:r>
          </w:p>
        </w:tc>
      </w:tr>
    </w:tbl>
    <w:p w14:paraId="434E39D3" w14:textId="77777777" w:rsidR="00345AA7" w:rsidRPr="00345AA7" w:rsidRDefault="00C06E7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Por otra parte</w:t>
      </w:r>
      <w:r w:rsidR="004D43D6" w:rsidRPr="00345AA7">
        <w:rPr>
          <w:rFonts w:ascii="ITC Avant Garde" w:hAnsi="ITC Avant Garde"/>
          <w:bCs/>
        </w:rPr>
        <w:t xml:space="preserve">, la Dirección General de Concentraciones y Concesiones, adscrita a la Unidad de Competencia Económica, </w:t>
      </w:r>
      <w:r w:rsidRPr="00345AA7">
        <w:rPr>
          <w:rFonts w:ascii="ITC Avant Garde" w:hAnsi="ITC Avant Garde"/>
          <w:bCs/>
        </w:rPr>
        <w:t>emitió</w:t>
      </w:r>
      <w:r w:rsidR="006479C5" w:rsidRPr="00345AA7">
        <w:rPr>
          <w:rFonts w:ascii="ITC Avant Garde" w:hAnsi="ITC Avant Garde"/>
          <w:bCs/>
        </w:rPr>
        <w:t xml:space="preserve"> opinión</w:t>
      </w:r>
      <w:r w:rsidR="004D43D6" w:rsidRPr="00345AA7">
        <w:rPr>
          <w:rFonts w:ascii="ITC Avant Garde" w:hAnsi="ITC Avant Garde"/>
          <w:bCs/>
        </w:rPr>
        <w:t xml:space="preserve"> respecto </w:t>
      </w:r>
      <w:r w:rsidRPr="00345AA7">
        <w:rPr>
          <w:rFonts w:ascii="ITC Avant Garde" w:hAnsi="ITC Avant Garde"/>
          <w:bCs/>
        </w:rPr>
        <w:t>de la Solicitud de Enajenación de Acciones</w:t>
      </w:r>
      <w:r w:rsidR="004D43D6" w:rsidRPr="00345AA7">
        <w:rPr>
          <w:rFonts w:ascii="ITC Avant Garde" w:hAnsi="ITC Avant Garde"/>
          <w:bCs/>
        </w:rPr>
        <w:t xml:space="preserve">, </w:t>
      </w:r>
      <w:r w:rsidR="006479C5" w:rsidRPr="00345AA7">
        <w:rPr>
          <w:rFonts w:ascii="ITC Avant Garde" w:hAnsi="ITC Avant Garde"/>
          <w:bCs/>
        </w:rPr>
        <w:t xml:space="preserve">señalando </w:t>
      </w:r>
      <w:r w:rsidR="004D43D6" w:rsidRPr="00345AA7">
        <w:rPr>
          <w:rFonts w:ascii="ITC Avant Garde" w:hAnsi="ITC Avant Garde"/>
          <w:bCs/>
        </w:rPr>
        <w:t>entre otras cosas, lo siguiente:</w:t>
      </w:r>
    </w:p>
    <w:p w14:paraId="3288D89A" w14:textId="77777777" w:rsidR="00345AA7" w:rsidRPr="00345AA7" w:rsidRDefault="00010FB7" w:rsidP="00345AA7">
      <w:pPr>
        <w:autoSpaceDE w:val="0"/>
        <w:autoSpaceDN w:val="0"/>
        <w:adjustRightInd w:val="0"/>
        <w:spacing w:before="240" w:line="240" w:lineRule="auto"/>
        <w:ind w:left="426" w:right="332"/>
        <w:jc w:val="both"/>
        <w:rPr>
          <w:rFonts w:ascii="ITC Avant Garde" w:hAnsi="ITC Avant Garde"/>
          <w:bCs/>
          <w:sz w:val="18"/>
          <w:szCs w:val="18"/>
        </w:rPr>
      </w:pPr>
      <w:r w:rsidRPr="00345AA7">
        <w:rPr>
          <w:rFonts w:ascii="ITC Avant Garde" w:hAnsi="ITC Avant Garde"/>
          <w:bCs/>
          <w:sz w:val="18"/>
          <w:szCs w:val="18"/>
        </w:rPr>
        <w:t>“</w:t>
      </w:r>
      <w:r w:rsidR="00BF1C17" w:rsidRPr="00345AA7">
        <w:rPr>
          <w:rFonts w:ascii="ITC Avant Garde" w:hAnsi="ITC Avant Garde"/>
          <w:bCs/>
          <w:sz w:val="18"/>
          <w:szCs w:val="18"/>
        </w:rPr>
        <w:t>[…]</w:t>
      </w:r>
    </w:p>
    <w:p w14:paraId="25F73C04" w14:textId="2B0D2673" w:rsidR="00DC47F8" w:rsidRPr="00345AA7" w:rsidRDefault="00DC47F8" w:rsidP="00345AA7">
      <w:pPr>
        <w:pStyle w:val="Sinespaciado"/>
        <w:numPr>
          <w:ilvl w:val="0"/>
          <w:numId w:val="9"/>
        </w:numPr>
        <w:spacing w:before="240" w:after="200"/>
        <w:ind w:right="332" w:hanging="11"/>
        <w:jc w:val="both"/>
        <w:rPr>
          <w:rFonts w:ascii="ITC Avant Garde" w:hAnsi="ITC Avant Garde"/>
          <w:b/>
          <w:sz w:val="18"/>
          <w:szCs w:val="18"/>
        </w:rPr>
      </w:pPr>
      <w:r w:rsidRPr="00345AA7">
        <w:rPr>
          <w:rFonts w:ascii="ITC Avant Garde" w:hAnsi="ITC Avant Garde"/>
          <w:b/>
          <w:sz w:val="18"/>
          <w:szCs w:val="18"/>
        </w:rPr>
        <w:t>ANÁLISIS EN MATERIA DE COMPETENCIA ECONÓMICA</w:t>
      </w:r>
    </w:p>
    <w:p w14:paraId="18C62838" w14:textId="77777777" w:rsidR="00DC47F8" w:rsidRPr="00345AA7" w:rsidRDefault="00DC47F8" w:rsidP="00345AA7">
      <w:pPr>
        <w:pStyle w:val="Sinespaciado"/>
        <w:spacing w:before="240" w:after="200"/>
        <w:ind w:left="426" w:right="332"/>
        <w:jc w:val="both"/>
        <w:rPr>
          <w:rFonts w:ascii="ITC Avant Garde" w:hAnsi="ITC Avant Garde"/>
          <w:sz w:val="18"/>
          <w:szCs w:val="18"/>
        </w:rPr>
      </w:pPr>
      <w:r w:rsidRPr="00345AA7">
        <w:rPr>
          <w:rFonts w:ascii="ITC Avant Garde" w:hAnsi="ITC Avant Garde"/>
          <w:b/>
          <w:sz w:val="18"/>
          <w:szCs w:val="18"/>
        </w:rPr>
        <w:t>IDENTIFICACIÓN DE SERVICIO DE COINCIDENCIA</w:t>
      </w:r>
    </w:p>
    <w:p w14:paraId="050199C1" w14:textId="77777777" w:rsidR="00DC47F8" w:rsidRPr="00345AA7" w:rsidRDefault="00DC47F8" w:rsidP="00345AA7">
      <w:pPr>
        <w:pStyle w:val="Sinespaciado"/>
        <w:spacing w:before="240" w:after="200"/>
        <w:ind w:left="426" w:right="332"/>
        <w:jc w:val="both"/>
        <w:rPr>
          <w:rFonts w:ascii="ITC Avant Garde" w:hAnsi="ITC Avant Garde"/>
          <w:sz w:val="18"/>
          <w:szCs w:val="18"/>
        </w:rPr>
      </w:pPr>
      <w:r w:rsidRPr="00345AA7">
        <w:rPr>
          <w:rFonts w:ascii="ITC Avant Garde" w:hAnsi="ITC Avant Garde"/>
          <w:sz w:val="18"/>
          <w:szCs w:val="18"/>
        </w:rPr>
        <w:t>Con base en la información proporcionada por el Solicitante y con información disponible para el Instituto, se observa que tanto Grupo W Com como los Adquirientes y Personas Relacionadas, estos últimos a través de Televera Red, S.A.P.I. de C.V., coinciden en la prestación del servicio fijo satelital de acceso a internet de banda ancha.</w:t>
      </w:r>
    </w:p>
    <w:p w14:paraId="29743770" w14:textId="77777777" w:rsidR="00DC47F8" w:rsidRPr="00345AA7" w:rsidRDefault="00DC47F8" w:rsidP="00345AA7">
      <w:pPr>
        <w:pStyle w:val="Sinespaciado"/>
        <w:spacing w:before="240" w:after="200"/>
        <w:ind w:left="426" w:right="332"/>
        <w:jc w:val="both"/>
        <w:rPr>
          <w:rFonts w:ascii="ITC Avant Garde" w:hAnsi="ITC Avant Garde"/>
          <w:sz w:val="18"/>
          <w:szCs w:val="18"/>
        </w:rPr>
      </w:pPr>
      <w:r w:rsidRPr="00345AA7">
        <w:rPr>
          <w:rFonts w:ascii="ITC Avant Garde" w:hAnsi="ITC Avant Garde"/>
          <w:sz w:val="18"/>
          <w:szCs w:val="18"/>
        </w:rPr>
        <w:t>Cabe señalar que Televera Red, S.A.P.I. de C.V., es un nuevo competidor en la prestación de ese servicio, pues a partir del año 2016 empezó a tener usuarios.</w:t>
      </w:r>
    </w:p>
    <w:p w14:paraId="46CEF9FE" w14:textId="1091BC8F" w:rsidR="00B857D8" w:rsidRPr="00345AA7" w:rsidRDefault="00890424" w:rsidP="00345AA7">
      <w:pPr>
        <w:pStyle w:val="Sinespaciado"/>
        <w:spacing w:before="240" w:after="200"/>
        <w:ind w:left="426" w:right="332"/>
        <w:jc w:val="both"/>
        <w:rPr>
          <w:rFonts w:ascii="ITC Avant Garde" w:hAnsi="ITC Avant Garde"/>
          <w:sz w:val="18"/>
          <w:szCs w:val="18"/>
        </w:rPr>
      </w:pPr>
      <w:r w:rsidRPr="00345AA7">
        <w:rPr>
          <w:rFonts w:ascii="ITC Avant Garde" w:hAnsi="ITC Avant Garde"/>
          <w:sz w:val="18"/>
          <w:szCs w:val="18"/>
        </w:rPr>
        <w:lastRenderedPageBreak/>
        <w:t xml:space="preserve"> </w:t>
      </w:r>
      <w:r w:rsidR="00B857D8" w:rsidRPr="00345AA7">
        <w:rPr>
          <w:rFonts w:ascii="ITC Avant Garde" w:hAnsi="ITC Avant Garde"/>
          <w:sz w:val="18"/>
          <w:szCs w:val="18"/>
        </w:rPr>
        <w:t>[…]</w:t>
      </w:r>
    </w:p>
    <w:p w14:paraId="22C8C611" w14:textId="77777777" w:rsidR="00B857D8" w:rsidRPr="00345AA7" w:rsidRDefault="00B857D8" w:rsidP="00345AA7">
      <w:pPr>
        <w:pStyle w:val="Sinespaciado"/>
        <w:spacing w:before="240" w:after="200"/>
        <w:ind w:left="426" w:right="332"/>
        <w:jc w:val="both"/>
        <w:rPr>
          <w:rFonts w:ascii="ITC Avant Garde" w:hAnsi="ITC Avant Garde"/>
          <w:b/>
          <w:sz w:val="18"/>
          <w:szCs w:val="18"/>
        </w:rPr>
      </w:pPr>
      <w:r w:rsidRPr="00345AA7">
        <w:rPr>
          <w:rFonts w:ascii="ITC Avant Garde" w:hAnsi="ITC Avant Garde"/>
          <w:b/>
          <w:sz w:val="18"/>
          <w:szCs w:val="18"/>
        </w:rPr>
        <w:t xml:space="preserve">PARTICIPACIONES DE MERCADO E ÍNDICES DE CONCENTRACIÓN </w:t>
      </w:r>
    </w:p>
    <w:p w14:paraId="0B6350DF" w14:textId="77777777" w:rsidR="00B857D8" w:rsidRPr="00345AA7" w:rsidRDefault="00B857D8" w:rsidP="00345AA7">
      <w:pPr>
        <w:spacing w:before="240" w:line="240" w:lineRule="auto"/>
        <w:ind w:left="426" w:right="332"/>
        <w:jc w:val="both"/>
        <w:rPr>
          <w:rFonts w:ascii="ITC Avant Garde" w:hAnsi="ITC Avant Garde"/>
          <w:sz w:val="18"/>
          <w:szCs w:val="18"/>
        </w:rPr>
      </w:pPr>
      <w:r w:rsidRPr="00345AA7">
        <w:rPr>
          <w:rFonts w:ascii="ITC Avant Garde" w:hAnsi="ITC Avant Garde"/>
          <w:sz w:val="18"/>
          <w:szCs w:val="18"/>
        </w:rPr>
        <w:t xml:space="preserve">Las participaciones en términos del número de usuarios, antes y después de la Operación, correspondientes </w:t>
      </w:r>
      <w:r w:rsidRPr="00345AA7">
        <w:rPr>
          <w:rFonts w:ascii="ITC Avant Garde" w:hAnsi="ITC Avant Garde"/>
          <w:sz w:val="18"/>
          <w:szCs w:val="18"/>
          <w:lang w:eastAsia="es-ES"/>
        </w:rPr>
        <w:t xml:space="preserve">al servicio </w:t>
      </w:r>
      <w:r w:rsidRPr="00345AA7">
        <w:rPr>
          <w:rFonts w:ascii="ITC Avant Garde" w:hAnsi="ITC Avant Garde"/>
          <w:iCs/>
          <w:sz w:val="18"/>
          <w:szCs w:val="18"/>
        </w:rPr>
        <w:t>fijo satelital</w:t>
      </w:r>
      <w:r w:rsidRPr="00345AA7">
        <w:rPr>
          <w:rFonts w:ascii="ITC Avant Garde" w:hAnsi="ITC Avant Garde"/>
          <w:sz w:val="18"/>
          <w:szCs w:val="18"/>
          <w:lang w:eastAsia="es-ES"/>
        </w:rPr>
        <w:t xml:space="preserve"> de acceso a internet de banda ancha</w:t>
      </w:r>
      <w:r w:rsidRPr="00345AA7">
        <w:rPr>
          <w:rFonts w:ascii="ITC Avant Garde" w:hAnsi="ITC Avant Garde"/>
          <w:sz w:val="18"/>
          <w:szCs w:val="18"/>
        </w:rPr>
        <w:t>, se presentan a continuación.</w:t>
      </w:r>
    </w:p>
    <w:p w14:paraId="7C22348E" w14:textId="64CFE9B5" w:rsidR="00B857D8" w:rsidRPr="00345AA7" w:rsidRDefault="00890424" w:rsidP="00345AA7">
      <w:pPr>
        <w:spacing w:before="240" w:line="240" w:lineRule="auto"/>
        <w:ind w:left="426" w:right="332"/>
        <w:jc w:val="both"/>
        <w:rPr>
          <w:rFonts w:ascii="ITC Avant Garde" w:hAnsi="ITC Avant Garde"/>
          <w:b/>
          <w:sz w:val="18"/>
          <w:szCs w:val="18"/>
        </w:rPr>
      </w:pPr>
      <w:r w:rsidRPr="00345AA7">
        <w:rPr>
          <w:rFonts w:ascii="ITC Avant Garde" w:hAnsi="ITC Avant Garde"/>
          <w:b/>
          <w:sz w:val="18"/>
          <w:szCs w:val="18"/>
        </w:rPr>
        <w:t>Cuadro 7</w:t>
      </w:r>
      <w:r w:rsidR="003419DD" w:rsidRPr="00345AA7">
        <w:rPr>
          <w:rFonts w:ascii="ITC Avant Garde" w:hAnsi="ITC Avant Garde"/>
          <w:b/>
          <w:sz w:val="18"/>
          <w:szCs w:val="18"/>
        </w:rPr>
        <w:t xml:space="preserve">. </w:t>
      </w:r>
      <w:r w:rsidR="00B857D8" w:rsidRPr="00345AA7">
        <w:rPr>
          <w:rFonts w:ascii="ITC Avant Garde" w:hAnsi="ITC Avant Garde"/>
          <w:b/>
          <w:sz w:val="18"/>
          <w:szCs w:val="18"/>
        </w:rPr>
        <w:t>Participaciones en el servicio fijo satelital de acceso a internet de banda ancha en el año 2015. Con base en el número de usuarios</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7"/>
        <w:tblDescription w:val="En una tabla de 3 columnas se muestran las participaciones en el servicio fijo satelital de acceso a internet de banda ancha en el año 2015, con base en el número de usuarios."/>
      </w:tblPr>
      <w:tblGrid>
        <w:gridCol w:w="3587"/>
        <w:gridCol w:w="2457"/>
        <w:gridCol w:w="2457"/>
      </w:tblGrid>
      <w:tr w:rsidR="003419DD" w:rsidRPr="00345AA7" w14:paraId="4C11C655" w14:textId="77777777" w:rsidTr="00230293">
        <w:trPr>
          <w:trHeight w:val="120"/>
          <w:tblHeader/>
          <w:jc w:val="center"/>
        </w:trPr>
        <w:tc>
          <w:tcPr>
            <w:tcW w:w="0" w:type="auto"/>
            <w:shd w:val="clear" w:color="auto" w:fill="BFBFBF" w:themeFill="background1" w:themeFillShade="BF"/>
            <w:vAlign w:val="center"/>
          </w:tcPr>
          <w:p w14:paraId="4747189B"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Concesionarios</w:t>
            </w:r>
          </w:p>
        </w:tc>
        <w:tc>
          <w:tcPr>
            <w:tcW w:w="0" w:type="auto"/>
            <w:shd w:val="clear" w:color="auto" w:fill="BFBFBF" w:themeFill="background1" w:themeFillShade="BF"/>
            <w:vAlign w:val="center"/>
          </w:tcPr>
          <w:p w14:paraId="0D87D73E"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Participación (%)</w:t>
            </w:r>
          </w:p>
          <w:p w14:paraId="2F590C56"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Antes</w:t>
            </w:r>
          </w:p>
        </w:tc>
        <w:tc>
          <w:tcPr>
            <w:tcW w:w="0" w:type="auto"/>
            <w:shd w:val="clear" w:color="auto" w:fill="BFBFBF" w:themeFill="background1" w:themeFillShade="BF"/>
            <w:vAlign w:val="center"/>
          </w:tcPr>
          <w:p w14:paraId="063B1C88"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Participación (%)</w:t>
            </w:r>
          </w:p>
          <w:p w14:paraId="24C2465B"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Después</w:t>
            </w:r>
          </w:p>
        </w:tc>
      </w:tr>
      <w:tr w:rsidR="003419DD" w:rsidRPr="00345AA7" w14:paraId="2D9D1267" w14:textId="77777777" w:rsidTr="00230293">
        <w:trPr>
          <w:trHeight w:val="218"/>
          <w:jc w:val="center"/>
        </w:trPr>
        <w:tc>
          <w:tcPr>
            <w:tcW w:w="0" w:type="auto"/>
          </w:tcPr>
          <w:p w14:paraId="60F28A56" w14:textId="77777777" w:rsidR="00B857D8" w:rsidRPr="00345AA7" w:rsidRDefault="00B857D8" w:rsidP="00345AA7">
            <w:pPr>
              <w:spacing w:after="0" w:line="240" w:lineRule="auto"/>
              <w:ind w:left="426" w:right="332"/>
              <w:jc w:val="center"/>
              <w:rPr>
                <w:rFonts w:ascii="ITC Avant Garde" w:hAnsi="ITC Avant Garde"/>
                <w:b/>
                <w:bCs/>
                <w:sz w:val="18"/>
                <w:szCs w:val="18"/>
              </w:rPr>
            </w:pPr>
            <w:r w:rsidRPr="00345AA7">
              <w:rPr>
                <w:rFonts w:ascii="ITC Avant Garde" w:hAnsi="ITC Avant Garde"/>
                <w:b/>
                <w:sz w:val="18"/>
                <w:szCs w:val="18"/>
                <w:lang w:val="es-ES"/>
              </w:rPr>
              <w:t>Grupo W Com</w:t>
            </w:r>
          </w:p>
        </w:tc>
        <w:tc>
          <w:tcPr>
            <w:tcW w:w="0" w:type="auto"/>
          </w:tcPr>
          <w:p w14:paraId="53B1EED1" w14:textId="77777777" w:rsidR="00B857D8" w:rsidRPr="00345AA7" w:rsidRDefault="00B857D8" w:rsidP="00345AA7">
            <w:pPr>
              <w:spacing w:after="0" w:line="240" w:lineRule="auto"/>
              <w:ind w:left="426" w:right="332"/>
              <w:jc w:val="center"/>
              <w:rPr>
                <w:rFonts w:ascii="ITC Avant Garde" w:hAnsi="ITC Avant Garde"/>
                <w:b/>
                <w:bCs/>
                <w:sz w:val="18"/>
                <w:szCs w:val="18"/>
              </w:rPr>
            </w:pPr>
            <w:r w:rsidRPr="00345AA7">
              <w:rPr>
                <w:rFonts w:ascii="ITC Avant Garde" w:hAnsi="ITC Avant Garde"/>
                <w:b/>
                <w:sz w:val="18"/>
                <w:szCs w:val="18"/>
                <w:lang w:val="es-ES"/>
              </w:rPr>
              <w:t>29.4</w:t>
            </w:r>
          </w:p>
        </w:tc>
        <w:tc>
          <w:tcPr>
            <w:tcW w:w="0" w:type="auto"/>
          </w:tcPr>
          <w:p w14:paraId="6C239F24" w14:textId="77777777" w:rsidR="00B857D8" w:rsidRPr="00345AA7" w:rsidRDefault="00B857D8" w:rsidP="00345AA7">
            <w:pPr>
              <w:spacing w:after="0" w:line="240" w:lineRule="auto"/>
              <w:ind w:left="426" w:right="332"/>
              <w:jc w:val="center"/>
              <w:rPr>
                <w:rFonts w:ascii="ITC Avant Garde" w:hAnsi="ITC Avant Garde"/>
                <w:b/>
                <w:sz w:val="18"/>
                <w:szCs w:val="18"/>
                <w:lang w:val="es-ES"/>
              </w:rPr>
            </w:pPr>
            <w:r w:rsidRPr="00345AA7">
              <w:rPr>
                <w:rFonts w:ascii="ITC Avant Garde" w:hAnsi="ITC Avant Garde"/>
                <w:b/>
                <w:sz w:val="18"/>
                <w:szCs w:val="18"/>
                <w:lang w:val="es-ES"/>
              </w:rPr>
              <w:t>31.9</w:t>
            </w:r>
          </w:p>
        </w:tc>
      </w:tr>
      <w:tr w:rsidR="003419DD" w:rsidRPr="00345AA7" w14:paraId="79B391AC" w14:textId="77777777" w:rsidTr="00230293">
        <w:trPr>
          <w:trHeight w:val="218"/>
          <w:jc w:val="center"/>
        </w:trPr>
        <w:tc>
          <w:tcPr>
            <w:tcW w:w="0" w:type="auto"/>
          </w:tcPr>
          <w:p w14:paraId="7DD7C9AA" w14:textId="77777777" w:rsidR="00B857D8" w:rsidRPr="00345AA7" w:rsidRDefault="00B857D8" w:rsidP="00345AA7">
            <w:pPr>
              <w:spacing w:after="0" w:line="240" w:lineRule="auto"/>
              <w:ind w:left="426" w:right="332"/>
              <w:jc w:val="center"/>
              <w:rPr>
                <w:rFonts w:ascii="ITC Avant Garde" w:hAnsi="ITC Avant Garde"/>
                <w:b/>
                <w:sz w:val="18"/>
                <w:szCs w:val="18"/>
                <w:lang w:val="es-ES"/>
              </w:rPr>
            </w:pPr>
            <w:r w:rsidRPr="00345AA7">
              <w:rPr>
                <w:rFonts w:ascii="ITC Avant Garde" w:hAnsi="ITC Avant Garde"/>
                <w:b/>
                <w:bCs/>
                <w:sz w:val="18"/>
                <w:szCs w:val="18"/>
              </w:rPr>
              <w:t>Televera Red, S.A.P.I. de C.V.</w:t>
            </w:r>
          </w:p>
        </w:tc>
        <w:tc>
          <w:tcPr>
            <w:tcW w:w="0" w:type="auto"/>
          </w:tcPr>
          <w:p w14:paraId="5A606D33" w14:textId="77777777" w:rsidR="00B857D8" w:rsidRPr="00345AA7" w:rsidRDefault="00B857D8" w:rsidP="00345AA7">
            <w:pPr>
              <w:spacing w:after="0" w:line="240" w:lineRule="auto"/>
              <w:ind w:left="426" w:right="332"/>
              <w:jc w:val="center"/>
              <w:rPr>
                <w:rFonts w:ascii="ITC Avant Garde" w:hAnsi="ITC Avant Garde"/>
                <w:b/>
                <w:sz w:val="18"/>
                <w:szCs w:val="18"/>
                <w:lang w:val="es-ES"/>
              </w:rPr>
            </w:pPr>
            <w:r w:rsidRPr="00345AA7">
              <w:rPr>
                <w:rFonts w:ascii="ITC Avant Garde" w:hAnsi="ITC Avant Garde"/>
                <w:b/>
                <w:sz w:val="18"/>
                <w:szCs w:val="18"/>
                <w:lang w:val="es-ES"/>
              </w:rPr>
              <w:t>2.5</w:t>
            </w:r>
          </w:p>
        </w:tc>
        <w:tc>
          <w:tcPr>
            <w:tcW w:w="0" w:type="auto"/>
          </w:tcPr>
          <w:p w14:paraId="404A33D7" w14:textId="6F43B8C3" w:rsidR="00B857D8" w:rsidRPr="00345AA7" w:rsidRDefault="002E51E1" w:rsidP="00345AA7">
            <w:pPr>
              <w:spacing w:after="0" w:line="240" w:lineRule="auto"/>
              <w:ind w:left="426" w:right="332"/>
              <w:jc w:val="center"/>
              <w:rPr>
                <w:rFonts w:ascii="ITC Avant Garde" w:hAnsi="ITC Avant Garde"/>
                <w:b/>
                <w:sz w:val="18"/>
                <w:szCs w:val="18"/>
                <w:lang w:val="es-ES"/>
              </w:rPr>
            </w:pPr>
            <w:r w:rsidRPr="00345AA7">
              <w:rPr>
                <w:rFonts w:ascii="ITC Avant Garde" w:hAnsi="ITC Avant Garde"/>
                <w:b/>
                <w:sz w:val="18"/>
                <w:szCs w:val="18"/>
                <w:lang w:val="es-ES"/>
              </w:rPr>
              <w:t>31.9</w:t>
            </w:r>
          </w:p>
        </w:tc>
      </w:tr>
      <w:tr w:rsidR="003419DD" w:rsidRPr="00345AA7" w14:paraId="7115393C" w14:textId="77777777" w:rsidTr="00230293">
        <w:trPr>
          <w:trHeight w:val="218"/>
          <w:jc w:val="center"/>
        </w:trPr>
        <w:tc>
          <w:tcPr>
            <w:tcW w:w="0" w:type="auto"/>
          </w:tcPr>
          <w:p w14:paraId="78E87A21" w14:textId="77777777" w:rsidR="00B857D8" w:rsidRPr="00345AA7" w:rsidRDefault="00B857D8" w:rsidP="00345AA7">
            <w:pPr>
              <w:spacing w:after="0" w:line="240" w:lineRule="auto"/>
              <w:ind w:left="426" w:right="332"/>
              <w:jc w:val="center"/>
              <w:rPr>
                <w:rFonts w:ascii="ITC Avant Garde" w:hAnsi="ITC Avant Garde"/>
                <w:bCs/>
                <w:sz w:val="18"/>
                <w:szCs w:val="18"/>
              </w:rPr>
            </w:pPr>
            <w:r w:rsidRPr="00345AA7">
              <w:rPr>
                <w:rFonts w:ascii="ITC Avant Garde" w:hAnsi="ITC Avant Garde"/>
                <w:sz w:val="18"/>
                <w:szCs w:val="18"/>
                <w:lang w:val="es-ES"/>
              </w:rPr>
              <w:t>BT Latam México, S.A. de C.V.</w:t>
            </w:r>
          </w:p>
        </w:tc>
        <w:tc>
          <w:tcPr>
            <w:tcW w:w="0" w:type="auto"/>
          </w:tcPr>
          <w:p w14:paraId="09A22D91" w14:textId="77777777" w:rsidR="00B857D8" w:rsidRPr="00345AA7" w:rsidRDefault="00B857D8" w:rsidP="00345AA7">
            <w:pPr>
              <w:spacing w:after="0" w:line="240" w:lineRule="auto"/>
              <w:ind w:left="426" w:right="332"/>
              <w:jc w:val="center"/>
              <w:rPr>
                <w:rFonts w:ascii="ITC Avant Garde" w:hAnsi="ITC Avant Garde"/>
                <w:bCs/>
                <w:sz w:val="18"/>
                <w:szCs w:val="18"/>
              </w:rPr>
            </w:pPr>
            <w:r w:rsidRPr="00345AA7">
              <w:rPr>
                <w:rFonts w:ascii="ITC Avant Garde" w:hAnsi="ITC Avant Garde"/>
                <w:sz w:val="18"/>
                <w:szCs w:val="18"/>
                <w:lang w:val="es-ES"/>
              </w:rPr>
              <w:t>16.2</w:t>
            </w:r>
          </w:p>
        </w:tc>
        <w:tc>
          <w:tcPr>
            <w:tcW w:w="0" w:type="auto"/>
          </w:tcPr>
          <w:p w14:paraId="2DBAC49B"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16.2</w:t>
            </w:r>
          </w:p>
        </w:tc>
      </w:tr>
      <w:tr w:rsidR="003419DD" w:rsidRPr="00345AA7" w14:paraId="71BA7F2E" w14:textId="77777777" w:rsidTr="00230293">
        <w:trPr>
          <w:trHeight w:val="218"/>
          <w:jc w:val="center"/>
        </w:trPr>
        <w:tc>
          <w:tcPr>
            <w:tcW w:w="0" w:type="auto"/>
          </w:tcPr>
          <w:p w14:paraId="5641A536"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Axesat México, S.A. de C.V.</w:t>
            </w:r>
          </w:p>
        </w:tc>
        <w:tc>
          <w:tcPr>
            <w:tcW w:w="0" w:type="auto"/>
          </w:tcPr>
          <w:p w14:paraId="2F6BF08B"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2.9</w:t>
            </w:r>
          </w:p>
        </w:tc>
        <w:tc>
          <w:tcPr>
            <w:tcW w:w="0" w:type="auto"/>
          </w:tcPr>
          <w:p w14:paraId="5AF7DBDC"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2.9</w:t>
            </w:r>
          </w:p>
        </w:tc>
      </w:tr>
      <w:tr w:rsidR="003419DD" w:rsidRPr="00345AA7" w14:paraId="3B6152B6" w14:textId="77777777" w:rsidTr="00230293">
        <w:trPr>
          <w:trHeight w:val="217"/>
          <w:jc w:val="center"/>
        </w:trPr>
        <w:tc>
          <w:tcPr>
            <w:tcW w:w="0" w:type="auto"/>
          </w:tcPr>
          <w:p w14:paraId="1AADF602"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Otros</w:t>
            </w:r>
          </w:p>
        </w:tc>
        <w:tc>
          <w:tcPr>
            <w:tcW w:w="0" w:type="auto"/>
          </w:tcPr>
          <w:p w14:paraId="1EC36C97"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50.9</w:t>
            </w:r>
          </w:p>
        </w:tc>
        <w:tc>
          <w:tcPr>
            <w:tcW w:w="0" w:type="auto"/>
          </w:tcPr>
          <w:p w14:paraId="4A29A9BB"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50.9</w:t>
            </w:r>
          </w:p>
        </w:tc>
      </w:tr>
      <w:tr w:rsidR="003419DD" w:rsidRPr="00345AA7" w14:paraId="1A0598FB" w14:textId="77777777" w:rsidTr="00230293">
        <w:trPr>
          <w:trHeight w:val="217"/>
          <w:jc w:val="center"/>
        </w:trPr>
        <w:tc>
          <w:tcPr>
            <w:tcW w:w="0" w:type="auto"/>
          </w:tcPr>
          <w:p w14:paraId="1FAED98D"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Total</w:t>
            </w:r>
          </w:p>
        </w:tc>
        <w:tc>
          <w:tcPr>
            <w:tcW w:w="0" w:type="auto"/>
          </w:tcPr>
          <w:p w14:paraId="11DCAA00"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100.0</w:t>
            </w:r>
          </w:p>
        </w:tc>
        <w:tc>
          <w:tcPr>
            <w:tcW w:w="0" w:type="auto"/>
          </w:tcPr>
          <w:p w14:paraId="5972892E" w14:textId="77777777" w:rsidR="00B857D8" w:rsidRPr="00345AA7" w:rsidRDefault="00B857D8" w:rsidP="00345AA7">
            <w:pPr>
              <w:spacing w:after="0" w:line="240" w:lineRule="auto"/>
              <w:ind w:left="426" w:right="332"/>
              <w:jc w:val="center"/>
              <w:rPr>
                <w:rFonts w:ascii="ITC Avant Garde" w:hAnsi="ITC Avant Garde"/>
                <w:sz w:val="18"/>
                <w:szCs w:val="18"/>
                <w:lang w:val="es-ES"/>
              </w:rPr>
            </w:pPr>
            <w:r w:rsidRPr="00345AA7">
              <w:rPr>
                <w:rFonts w:ascii="ITC Avant Garde" w:hAnsi="ITC Avant Garde"/>
                <w:sz w:val="18"/>
                <w:szCs w:val="18"/>
                <w:lang w:val="es-ES"/>
              </w:rPr>
              <w:t>100</w:t>
            </w:r>
          </w:p>
        </w:tc>
      </w:tr>
    </w:tbl>
    <w:p w14:paraId="70253C4F" w14:textId="6A39D5B5" w:rsidR="00B857D8" w:rsidRPr="00345AA7" w:rsidRDefault="00B857D8" w:rsidP="00345AA7">
      <w:pPr>
        <w:spacing w:before="240" w:line="240" w:lineRule="auto"/>
        <w:ind w:left="426" w:right="332"/>
        <w:rPr>
          <w:rFonts w:ascii="ITC Avant Garde" w:hAnsi="ITC Avant Garde"/>
          <w:sz w:val="14"/>
          <w:szCs w:val="14"/>
        </w:rPr>
      </w:pPr>
      <w:r w:rsidRPr="00345AA7">
        <w:rPr>
          <w:rFonts w:ascii="ITC Avant Garde" w:hAnsi="ITC Avant Garde"/>
          <w:sz w:val="14"/>
          <w:szCs w:val="14"/>
        </w:rPr>
        <w:t xml:space="preserve">Fuente: Elaboración propia con información del Instituto y de las partes involucradas en la </w:t>
      </w:r>
      <w:proofErr w:type="spellStart"/>
      <w:r w:rsidRPr="00345AA7">
        <w:rPr>
          <w:rFonts w:ascii="ITC Avant Garde" w:hAnsi="ITC Avant Garde"/>
          <w:sz w:val="14"/>
          <w:szCs w:val="14"/>
        </w:rPr>
        <w:t>Operación.Nota</w:t>
      </w:r>
      <w:proofErr w:type="spellEnd"/>
      <w:r w:rsidRPr="00345AA7">
        <w:rPr>
          <w:rFonts w:ascii="ITC Avant Garde" w:hAnsi="ITC Avant Garde"/>
          <w:sz w:val="14"/>
          <w:szCs w:val="14"/>
        </w:rPr>
        <w:t xml:space="preserve">: Dado que </w:t>
      </w:r>
      <w:proofErr w:type="spellStart"/>
      <w:r w:rsidRPr="00345AA7">
        <w:rPr>
          <w:rFonts w:ascii="ITC Avant Garde" w:hAnsi="ITC Avant Garde"/>
          <w:sz w:val="14"/>
          <w:szCs w:val="14"/>
        </w:rPr>
        <w:t>Televera</w:t>
      </w:r>
      <w:proofErr w:type="spellEnd"/>
      <w:r w:rsidRPr="00345AA7">
        <w:rPr>
          <w:rFonts w:ascii="ITC Avant Garde" w:hAnsi="ITC Avant Garde"/>
          <w:sz w:val="14"/>
          <w:szCs w:val="14"/>
        </w:rPr>
        <w:t xml:space="preserve"> Red, S.A.P.I. es un nuevo competidor en la prestación del servicio fijo satelital de acceso a internet de banda ancha, su participación se calcula a partir del número de usuarios que ha tenido durante 2016, pues en 2015 no tuvo usuarios.</w:t>
      </w:r>
    </w:p>
    <w:p w14:paraId="3B8007F9" w14:textId="77777777" w:rsidR="003419DD" w:rsidRPr="00345AA7" w:rsidRDefault="00B857D8" w:rsidP="00345AA7">
      <w:pPr>
        <w:spacing w:before="240" w:line="240" w:lineRule="auto"/>
        <w:ind w:left="426" w:right="332"/>
        <w:jc w:val="both"/>
        <w:rPr>
          <w:rFonts w:ascii="ITC Avant Garde" w:hAnsi="ITC Avant Garde"/>
          <w:sz w:val="18"/>
          <w:szCs w:val="18"/>
        </w:rPr>
      </w:pPr>
      <w:r w:rsidRPr="00345AA7">
        <w:rPr>
          <w:rFonts w:ascii="ITC Avant Garde" w:hAnsi="ITC Avant Garde"/>
          <w:sz w:val="18"/>
          <w:szCs w:val="18"/>
        </w:rPr>
        <w:t>Con base en las participaciones del cuadro anterior, en el siguiente cuadro se obtiene el índice de Herfindahl-Hirschman (IHH) antes y después de la Operación</w:t>
      </w:r>
      <w:r w:rsidRPr="00345AA7">
        <w:footnoteReference w:id="1"/>
      </w:r>
      <w:r w:rsidRPr="00345AA7">
        <w:rPr>
          <w:rFonts w:ascii="ITC Avant Garde" w:hAnsi="ITC Avant Garde"/>
          <w:sz w:val="18"/>
          <w:szCs w:val="18"/>
        </w:rPr>
        <w:t xml:space="preserve">. </w:t>
      </w:r>
    </w:p>
    <w:p w14:paraId="6E930B7E" w14:textId="710DF3ED" w:rsidR="00B857D8" w:rsidRPr="00345AA7" w:rsidRDefault="00204D15" w:rsidP="00345AA7">
      <w:pPr>
        <w:spacing w:before="240" w:line="240" w:lineRule="auto"/>
        <w:ind w:left="426" w:right="332"/>
        <w:jc w:val="center"/>
        <w:rPr>
          <w:rFonts w:ascii="ITC Avant Garde" w:hAnsi="ITC Avant Garde"/>
          <w:b/>
          <w:sz w:val="18"/>
          <w:szCs w:val="18"/>
        </w:rPr>
      </w:pPr>
      <w:r w:rsidRPr="00345AA7">
        <w:rPr>
          <w:rFonts w:ascii="ITC Avant Garde" w:hAnsi="ITC Avant Garde"/>
          <w:b/>
          <w:sz w:val="18"/>
          <w:szCs w:val="18"/>
        </w:rPr>
        <w:t>Cuadro 8</w:t>
      </w:r>
      <w:r w:rsidR="003419DD" w:rsidRPr="00345AA7">
        <w:rPr>
          <w:rFonts w:ascii="ITC Avant Garde" w:hAnsi="ITC Avant Garde"/>
          <w:b/>
          <w:sz w:val="18"/>
          <w:szCs w:val="18"/>
        </w:rPr>
        <w:t xml:space="preserve">. </w:t>
      </w:r>
      <w:r w:rsidR="00B857D8" w:rsidRPr="00345AA7">
        <w:rPr>
          <w:rFonts w:ascii="ITC Avant Garde" w:hAnsi="ITC Avant Garde"/>
          <w:b/>
          <w:sz w:val="18"/>
          <w:szCs w:val="18"/>
        </w:rPr>
        <w:t>Cálculo del IHH</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adro 8"/>
        <w:tblDescription w:val="En una tabla de 2 columnas se proporciona información para el Cálculo del IHH, con escenario y valor del índice. "/>
      </w:tblPr>
      <w:tblGrid>
        <w:gridCol w:w="2871"/>
        <w:gridCol w:w="3261"/>
      </w:tblGrid>
      <w:tr w:rsidR="00B857D8" w:rsidRPr="00345AA7" w14:paraId="6D9E0B20" w14:textId="77777777" w:rsidTr="00230293">
        <w:trPr>
          <w:trHeight w:val="120"/>
          <w:tblHeader/>
          <w:jc w:val="center"/>
        </w:trPr>
        <w:tc>
          <w:tcPr>
            <w:tcW w:w="2871" w:type="dxa"/>
            <w:shd w:val="clear" w:color="auto" w:fill="BFBFBF" w:themeFill="background1" w:themeFillShade="BF"/>
            <w:vAlign w:val="center"/>
          </w:tcPr>
          <w:p w14:paraId="1A2CC987"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Escenario</w:t>
            </w:r>
          </w:p>
        </w:tc>
        <w:tc>
          <w:tcPr>
            <w:tcW w:w="3261" w:type="dxa"/>
            <w:shd w:val="clear" w:color="auto" w:fill="BFBFBF" w:themeFill="background1" w:themeFillShade="BF"/>
            <w:vAlign w:val="center"/>
          </w:tcPr>
          <w:p w14:paraId="433BF11F" w14:textId="77777777" w:rsidR="00B857D8" w:rsidRPr="00345AA7" w:rsidRDefault="00B857D8" w:rsidP="00230293">
            <w:pPr>
              <w:spacing w:after="0" w:line="240" w:lineRule="auto"/>
              <w:ind w:left="426" w:right="332"/>
              <w:jc w:val="center"/>
              <w:rPr>
                <w:rFonts w:ascii="ITC Avant Garde" w:hAnsi="ITC Avant Garde" w:cs="Calibri"/>
                <w:b/>
                <w:bCs/>
                <w:sz w:val="18"/>
                <w:szCs w:val="18"/>
              </w:rPr>
            </w:pPr>
            <w:r w:rsidRPr="00345AA7">
              <w:rPr>
                <w:rFonts w:ascii="ITC Avant Garde" w:hAnsi="ITC Avant Garde" w:cs="Calibri"/>
                <w:b/>
                <w:bCs/>
                <w:sz w:val="18"/>
                <w:szCs w:val="18"/>
              </w:rPr>
              <w:t>Valor del índice</w:t>
            </w:r>
          </w:p>
        </w:tc>
      </w:tr>
      <w:tr w:rsidR="00B857D8" w:rsidRPr="00345AA7" w14:paraId="7A489557" w14:textId="77777777" w:rsidTr="00230293">
        <w:trPr>
          <w:trHeight w:val="218"/>
          <w:jc w:val="center"/>
        </w:trPr>
        <w:tc>
          <w:tcPr>
            <w:tcW w:w="2871" w:type="dxa"/>
          </w:tcPr>
          <w:p w14:paraId="631DB4CC" w14:textId="77777777" w:rsidR="00B857D8" w:rsidRPr="00345AA7" w:rsidRDefault="00B857D8" w:rsidP="00345AA7">
            <w:pPr>
              <w:spacing w:after="0" w:line="240" w:lineRule="auto"/>
              <w:ind w:left="426" w:right="332"/>
              <w:jc w:val="center"/>
              <w:rPr>
                <w:rFonts w:ascii="ITC Avant Garde" w:hAnsi="ITC Avant Garde"/>
                <w:bCs/>
                <w:color w:val="000000"/>
                <w:sz w:val="18"/>
                <w:szCs w:val="18"/>
              </w:rPr>
            </w:pPr>
            <w:r w:rsidRPr="00345AA7">
              <w:rPr>
                <w:rFonts w:ascii="ITC Avant Garde" w:hAnsi="ITC Avant Garde"/>
                <w:color w:val="000000"/>
                <w:sz w:val="18"/>
                <w:szCs w:val="18"/>
                <w:lang w:val="es-ES"/>
              </w:rPr>
              <w:t xml:space="preserve">Antes </w:t>
            </w:r>
          </w:p>
        </w:tc>
        <w:tc>
          <w:tcPr>
            <w:tcW w:w="3261" w:type="dxa"/>
          </w:tcPr>
          <w:p w14:paraId="05ADDECA" w14:textId="77777777" w:rsidR="00B857D8" w:rsidRPr="00345AA7" w:rsidRDefault="00B857D8" w:rsidP="00345AA7">
            <w:pPr>
              <w:spacing w:after="0" w:line="240" w:lineRule="auto"/>
              <w:ind w:left="426" w:right="332"/>
              <w:jc w:val="center"/>
              <w:rPr>
                <w:rFonts w:ascii="ITC Avant Garde" w:hAnsi="ITC Avant Garde"/>
                <w:color w:val="000000"/>
                <w:sz w:val="18"/>
                <w:szCs w:val="18"/>
                <w:lang w:val="es-ES"/>
              </w:rPr>
            </w:pPr>
            <w:r w:rsidRPr="00345AA7">
              <w:rPr>
                <w:rFonts w:ascii="ITC Avant Garde" w:hAnsi="ITC Avant Garde" w:cstheme="minorBidi"/>
                <w:color w:val="000000"/>
                <w:sz w:val="18"/>
                <w:szCs w:val="18"/>
                <w:lang w:val="es-ES"/>
              </w:rPr>
              <w:t>1,284.0</w:t>
            </w:r>
          </w:p>
        </w:tc>
      </w:tr>
      <w:tr w:rsidR="00B857D8" w:rsidRPr="00345AA7" w14:paraId="122F4C05" w14:textId="77777777" w:rsidTr="00230293">
        <w:trPr>
          <w:trHeight w:val="218"/>
          <w:jc w:val="center"/>
        </w:trPr>
        <w:tc>
          <w:tcPr>
            <w:tcW w:w="2871" w:type="dxa"/>
          </w:tcPr>
          <w:p w14:paraId="4D962005" w14:textId="77777777" w:rsidR="00B857D8" w:rsidRPr="00345AA7" w:rsidRDefault="00B857D8" w:rsidP="00345AA7">
            <w:pPr>
              <w:spacing w:after="0" w:line="240" w:lineRule="auto"/>
              <w:ind w:left="426" w:right="332"/>
              <w:jc w:val="center"/>
              <w:rPr>
                <w:rFonts w:ascii="ITC Avant Garde" w:hAnsi="ITC Avant Garde"/>
                <w:bCs/>
                <w:color w:val="000000"/>
                <w:sz w:val="18"/>
                <w:szCs w:val="18"/>
              </w:rPr>
            </w:pPr>
            <w:r w:rsidRPr="00345AA7">
              <w:rPr>
                <w:rFonts w:ascii="ITC Avant Garde" w:hAnsi="ITC Avant Garde"/>
                <w:color w:val="000000"/>
                <w:sz w:val="18"/>
                <w:szCs w:val="18"/>
                <w:lang w:val="es-ES"/>
              </w:rPr>
              <w:t>Después</w:t>
            </w:r>
          </w:p>
        </w:tc>
        <w:tc>
          <w:tcPr>
            <w:tcW w:w="3261" w:type="dxa"/>
          </w:tcPr>
          <w:p w14:paraId="13572B92" w14:textId="77777777" w:rsidR="00B857D8" w:rsidRPr="00345AA7" w:rsidRDefault="00B857D8" w:rsidP="00345AA7">
            <w:pPr>
              <w:spacing w:after="0" w:line="240" w:lineRule="auto"/>
              <w:ind w:left="426" w:right="332"/>
              <w:jc w:val="center"/>
              <w:rPr>
                <w:rFonts w:ascii="ITC Avant Garde" w:hAnsi="ITC Avant Garde" w:cstheme="minorBidi"/>
                <w:color w:val="000000"/>
                <w:sz w:val="18"/>
                <w:szCs w:val="18"/>
                <w:lang w:val="es-ES"/>
              </w:rPr>
            </w:pPr>
            <w:r w:rsidRPr="00345AA7">
              <w:rPr>
                <w:rFonts w:ascii="ITC Avant Garde" w:hAnsi="ITC Avant Garde" w:cstheme="minorBidi"/>
                <w:color w:val="000000"/>
                <w:sz w:val="18"/>
                <w:szCs w:val="18"/>
                <w:lang w:val="es-ES"/>
              </w:rPr>
              <w:t>1,432.1</w:t>
            </w:r>
          </w:p>
        </w:tc>
      </w:tr>
      <w:tr w:rsidR="00B857D8" w:rsidRPr="00345AA7" w14:paraId="6D9ECF7B" w14:textId="77777777" w:rsidTr="00230293">
        <w:trPr>
          <w:trHeight w:val="218"/>
          <w:jc w:val="center"/>
        </w:trPr>
        <w:tc>
          <w:tcPr>
            <w:tcW w:w="2871" w:type="dxa"/>
          </w:tcPr>
          <w:p w14:paraId="3B841656" w14:textId="77777777" w:rsidR="00B857D8" w:rsidRPr="00345AA7" w:rsidRDefault="00B857D8" w:rsidP="00345AA7">
            <w:pPr>
              <w:spacing w:after="0" w:line="240" w:lineRule="auto"/>
              <w:ind w:left="426" w:right="332"/>
              <w:jc w:val="center"/>
              <w:rPr>
                <w:rFonts w:ascii="ITC Avant Garde" w:hAnsi="ITC Avant Garde"/>
                <w:color w:val="000000"/>
                <w:sz w:val="18"/>
                <w:szCs w:val="18"/>
                <w:lang w:val="es-ES"/>
              </w:rPr>
            </w:pPr>
            <w:r w:rsidRPr="00345AA7">
              <w:rPr>
                <w:rFonts w:ascii="ITC Avant Garde" w:hAnsi="ITC Avant Garde"/>
                <w:color w:val="000000"/>
                <w:sz w:val="18"/>
                <w:szCs w:val="18"/>
                <w:lang w:val="es-ES"/>
              </w:rPr>
              <w:t>Variación</w:t>
            </w:r>
          </w:p>
        </w:tc>
        <w:tc>
          <w:tcPr>
            <w:tcW w:w="3261" w:type="dxa"/>
          </w:tcPr>
          <w:p w14:paraId="5559B5C3" w14:textId="77777777" w:rsidR="00B857D8" w:rsidRPr="00345AA7" w:rsidRDefault="00B857D8" w:rsidP="00345AA7">
            <w:pPr>
              <w:spacing w:after="0" w:line="240" w:lineRule="auto"/>
              <w:ind w:left="426" w:right="332"/>
              <w:jc w:val="center"/>
              <w:rPr>
                <w:rFonts w:ascii="ITC Avant Garde" w:hAnsi="ITC Avant Garde" w:cstheme="minorBidi"/>
                <w:color w:val="000000"/>
                <w:sz w:val="18"/>
                <w:szCs w:val="18"/>
                <w:lang w:val="es-ES"/>
              </w:rPr>
            </w:pPr>
            <w:r w:rsidRPr="00345AA7">
              <w:rPr>
                <w:rFonts w:ascii="ITC Avant Garde" w:hAnsi="ITC Avant Garde" w:cstheme="minorBidi"/>
                <w:color w:val="000000"/>
                <w:sz w:val="18"/>
                <w:szCs w:val="18"/>
                <w:lang w:val="es-ES"/>
              </w:rPr>
              <w:t>148.1</w:t>
            </w:r>
          </w:p>
        </w:tc>
      </w:tr>
    </w:tbl>
    <w:p w14:paraId="008A9321" w14:textId="77777777" w:rsidR="00B857D8" w:rsidRPr="00345AA7" w:rsidRDefault="00B857D8" w:rsidP="00345AA7">
      <w:pPr>
        <w:spacing w:before="240" w:line="240" w:lineRule="auto"/>
        <w:ind w:left="426" w:right="332"/>
        <w:jc w:val="center"/>
        <w:rPr>
          <w:rFonts w:ascii="ITC Avant Garde" w:hAnsi="ITC Avant Garde"/>
          <w:sz w:val="14"/>
          <w:szCs w:val="14"/>
          <w:lang w:val="es-ES"/>
        </w:rPr>
      </w:pPr>
      <w:r w:rsidRPr="00345AA7">
        <w:rPr>
          <w:rFonts w:ascii="ITC Avant Garde" w:hAnsi="ITC Avant Garde"/>
          <w:sz w:val="14"/>
          <w:szCs w:val="14"/>
        </w:rPr>
        <w:t>Fuente: Elaboración propia con base en información disponible para el Instituto.</w:t>
      </w:r>
    </w:p>
    <w:p w14:paraId="5F3B0CC3" w14:textId="77777777" w:rsidR="00B857D8" w:rsidRPr="00345AA7" w:rsidRDefault="00B857D8" w:rsidP="00345AA7">
      <w:pPr>
        <w:spacing w:before="240" w:line="240" w:lineRule="auto"/>
        <w:ind w:left="426" w:right="332"/>
        <w:jc w:val="both"/>
        <w:rPr>
          <w:rFonts w:ascii="ITC Avant Garde" w:hAnsi="ITC Avant Garde"/>
          <w:sz w:val="18"/>
          <w:szCs w:val="18"/>
        </w:rPr>
      </w:pPr>
      <w:r w:rsidRPr="00345AA7">
        <w:rPr>
          <w:rFonts w:ascii="ITC Avant Garde" w:hAnsi="ITC Avant Garde"/>
          <w:sz w:val="18"/>
          <w:szCs w:val="18"/>
        </w:rPr>
        <w:t>Se observa que como resultado de la Operación, el valor del IHH alcanza los 1,432.1 puntos, en tanto que su variación es de 148.1 puntos. Ambos valores se ubican dentro de las referencias establecidas por el Instituto para considerar que es poco probable que una concentración tiene por objeto o efecto obstaculizar, disminuir, dañar o impedir la competencia y la libre concurrencia</w:t>
      </w:r>
      <w:r w:rsidRPr="00345AA7">
        <w:rPr>
          <w:rStyle w:val="Refdenotaalpie"/>
          <w:rFonts w:ascii="ITC Avant Garde" w:hAnsi="ITC Avant Garde"/>
          <w:sz w:val="18"/>
          <w:szCs w:val="18"/>
        </w:rPr>
        <w:footnoteReference w:id="2"/>
      </w:r>
      <w:r w:rsidRPr="00345AA7">
        <w:rPr>
          <w:rFonts w:ascii="ITC Avant Garde" w:hAnsi="ITC Avant Garde"/>
          <w:sz w:val="18"/>
          <w:szCs w:val="18"/>
        </w:rPr>
        <w:t>.</w:t>
      </w:r>
    </w:p>
    <w:p w14:paraId="2BF1615D" w14:textId="144A010D" w:rsidR="00B857D8" w:rsidRPr="00345AA7" w:rsidRDefault="00B857D8" w:rsidP="00345AA7">
      <w:pPr>
        <w:spacing w:before="240" w:line="240" w:lineRule="auto"/>
        <w:ind w:left="426" w:right="332"/>
        <w:jc w:val="both"/>
        <w:rPr>
          <w:rFonts w:ascii="ITC Avant Garde" w:hAnsi="ITC Avant Garde"/>
          <w:sz w:val="18"/>
          <w:szCs w:val="18"/>
        </w:rPr>
      </w:pPr>
      <w:r w:rsidRPr="00345AA7">
        <w:rPr>
          <w:rFonts w:ascii="ITC Avant Garde" w:hAnsi="ITC Avant Garde"/>
          <w:sz w:val="18"/>
          <w:szCs w:val="18"/>
        </w:rPr>
        <w:t>[…]</w:t>
      </w:r>
    </w:p>
    <w:p w14:paraId="1AB3FC06" w14:textId="4CDA37A2" w:rsidR="00B857D8" w:rsidRPr="00345AA7" w:rsidRDefault="00917F7E" w:rsidP="00345AA7">
      <w:pPr>
        <w:spacing w:before="240" w:line="240" w:lineRule="auto"/>
        <w:ind w:left="426" w:right="332"/>
        <w:jc w:val="both"/>
        <w:rPr>
          <w:rFonts w:ascii="ITC Avant Garde" w:hAnsi="ITC Avant Garde"/>
          <w:b/>
          <w:sz w:val="18"/>
          <w:szCs w:val="18"/>
        </w:rPr>
      </w:pPr>
      <w:r w:rsidRPr="00345AA7">
        <w:rPr>
          <w:rFonts w:ascii="ITC Avant Garde" w:hAnsi="ITC Avant Garde"/>
          <w:b/>
          <w:sz w:val="18"/>
          <w:szCs w:val="18"/>
        </w:rPr>
        <w:t xml:space="preserve">V. </w:t>
      </w:r>
      <w:r w:rsidR="00B857D8" w:rsidRPr="00345AA7">
        <w:rPr>
          <w:rFonts w:ascii="ITC Avant Garde" w:hAnsi="ITC Avant Garde"/>
          <w:b/>
          <w:sz w:val="18"/>
          <w:szCs w:val="18"/>
        </w:rPr>
        <w:t>OPINIÓN EN MATERIA DE COMPETENCIA</w:t>
      </w:r>
    </w:p>
    <w:p w14:paraId="05D84235" w14:textId="42BEE0C8" w:rsidR="00B857D8" w:rsidRPr="00345AA7" w:rsidRDefault="00917F7E" w:rsidP="00345AA7">
      <w:pPr>
        <w:spacing w:before="240" w:line="240" w:lineRule="auto"/>
        <w:ind w:left="426" w:right="332"/>
        <w:jc w:val="both"/>
        <w:rPr>
          <w:rFonts w:ascii="ITC Avant Garde" w:hAnsi="ITC Avant Garde"/>
          <w:b/>
          <w:sz w:val="18"/>
          <w:szCs w:val="18"/>
        </w:rPr>
      </w:pPr>
      <w:r w:rsidRPr="00345AA7">
        <w:rPr>
          <w:rFonts w:ascii="ITC Avant Garde" w:hAnsi="ITC Avant Garde"/>
          <w:b/>
          <w:sz w:val="18"/>
          <w:szCs w:val="18"/>
        </w:rPr>
        <w:t xml:space="preserve">I. </w:t>
      </w:r>
      <w:r w:rsidR="00B857D8" w:rsidRPr="00345AA7">
        <w:rPr>
          <w:rFonts w:ascii="ITC Avant Garde" w:hAnsi="ITC Avant Garde"/>
          <w:b/>
          <w:sz w:val="18"/>
          <w:szCs w:val="18"/>
        </w:rPr>
        <w:t>ANÁLISIS Y OPINIÓN EN MATERIA DE COMPETENCIA ECONÓMICA DE LA OPERACIÓN</w:t>
      </w:r>
    </w:p>
    <w:p w14:paraId="54709E6E" w14:textId="77777777" w:rsidR="00B857D8" w:rsidRPr="00345AA7" w:rsidRDefault="00B857D8" w:rsidP="00345AA7">
      <w:pPr>
        <w:spacing w:before="240" w:line="240" w:lineRule="auto"/>
        <w:ind w:left="426" w:right="332"/>
        <w:jc w:val="both"/>
        <w:rPr>
          <w:rFonts w:ascii="ITC Avant Garde" w:hAnsi="ITC Avant Garde"/>
          <w:bCs/>
          <w:sz w:val="18"/>
          <w:szCs w:val="18"/>
        </w:rPr>
      </w:pPr>
      <w:r w:rsidRPr="00345AA7">
        <w:rPr>
          <w:rFonts w:ascii="ITC Avant Garde" w:hAnsi="ITC Avant Garde"/>
          <w:sz w:val="18"/>
          <w:szCs w:val="18"/>
        </w:rPr>
        <w:t xml:space="preserve">A partir de la información remitida por la DGCTEL y disponible para esta DGCC, se </w:t>
      </w:r>
      <w:r w:rsidRPr="00345AA7">
        <w:rPr>
          <w:rFonts w:ascii="ITC Avant Garde" w:hAnsi="ITC Avant Garde"/>
          <w:bCs/>
          <w:sz w:val="18"/>
          <w:szCs w:val="18"/>
        </w:rPr>
        <w:t>identifica que:</w:t>
      </w:r>
    </w:p>
    <w:p w14:paraId="7F7ABE1F" w14:textId="77777777" w:rsidR="00B857D8" w:rsidRPr="00345AA7" w:rsidRDefault="00B857D8" w:rsidP="00345AA7">
      <w:pPr>
        <w:pStyle w:val="Prrafodelista"/>
        <w:numPr>
          <w:ilvl w:val="0"/>
          <w:numId w:val="28"/>
        </w:numPr>
        <w:spacing w:before="240" w:after="200"/>
        <w:ind w:left="426" w:right="332" w:firstLine="0"/>
        <w:jc w:val="both"/>
        <w:rPr>
          <w:rFonts w:ascii="ITC Avant Garde" w:hAnsi="ITC Avant Garde"/>
          <w:bCs/>
          <w:sz w:val="18"/>
          <w:szCs w:val="18"/>
        </w:rPr>
      </w:pPr>
      <w:r w:rsidRPr="00345AA7">
        <w:rPr>
          <w:rFonts w:ascii="ITC Avant Garde" w:hAnsi="ITC Avant Garde"/>
          <w:bCs/>
          <w:sz w:val="18"/>
          <w:szCs w:val="18"/>
        </w:rPr>
        <w:lastRenderedPageBreak/>
        <w:t xml:space="preserve">La Operación consiste en la enajenación de la totalidad de las acciones de Grupo W Com, </w:t>
      </w:r>
      <w:r w:rsidRPr="00345AA7">
        <w:rPr>
          <w:rFonts w:ascii="ITC Avant Garde" w:hAnsi="ITC Avant Garde"/>
          <w:sz w:val="18"/>
          <w:szCs w:val="18"/>
        </w:rPr>
        <w:t>a favor de las empresas Telecomvera Holding, S.A.P.I. de C.V. y Grupo Profrezac, S.A. de C.V.</w:t>
      </w:r>
    </w:p>
    <w:p w14:paraId="22DC9523" w14:textId="77777777" w:rsidR="00B857D8" w:rsidRPr="00345AA7" w:rsidRDefault="00B857D8" w:rsidP="00345AA7">
      <w:pPr>
        <w:pStyle w:val="Prrafodelista"/>
        <w:numPr>
          <w:ilvl w:val="0"/>
          <w:numId w:val="28"/>
        </w:numPr>
        <w:spacing w:before="240" w:after="200"/>
        <w:ind w:left="426" w:right="332" w:firstLine="0"/>
        <w:jc w:val="both"/>
        <w:rPr>
          <w:rFonts w:ascii="ITC Avant Garde" w:hAnsi="ITC Avant Garde"/>
          <w:bCs/>
          <w:sz w:val="18"/>
          <w:szCs w:val="18"/>
        </w:rPr>
      </w:pPr>
      <w:r w:rsidRPr="00345AA7">
        <w:rPr>
          <w:rFonts w:ascii="ITC Avant Garde" w:hAnsi="ITC Avant Garde"/>
          <w:bCs/>
          <w:sz w:val="18"/>
          <w:szCs w:val="18"/>
        </w:rPr>
        <w:t xml:space="preserve">Grupo W Com cuenta con un título de concesión para instalar, operar y explotar una RPT para la prestación de diversos servicios, entre los cuales se encuentran la conducción de señales, radiodeterminación móvil por satélite, telefonía básica y transmisión de datos. Actualmente ofrece el servicio fijo satelital de </w:t>
      </w:r>
      <w:r w:rsidRPr="00345AA7">
        <w:rPr>
          <w:rFonts w:ascii="ITC Avant Garde" w:hAnsi="ITC Avant Garde"/>
          <w:sz w:val="18"/>
          <w:szCs w:val="18"/>
        </w:rPr>
        <w:t>acceso a internet de banda ancha</w:t>
      </w:r>
      <w:r w:rsidRPr="00345AA7">
        <w:rPr>
          <w:rFonts w:ascii="ITC Avant Garde" w:hAnsi="ITC Avant Garde"/>
          <w:bCs/>
          <w:sz w:val="18"/>
          <w:szCs w:val="18"/>
        </w:rPr>
        <w:t xml:space="preserve">. </w:t>
      </w:r>
    </w:p>
    <w:p w14:paraId="03522C85" w14:textId="77777777" w:rsidR="00B857D8" w:rsidRPr="00345AA7" w:rsidRDefault="00B857D8" w:rsidP="00345AA7">
      <w:pPr>
        <w:pStyle w:val="Prrafodelista"/>
        <w:numPr>
          <w:ilvl w:val="0"/>
          <w:numId w:val="28"/>
        </w:numPr>
        <w:spacing w:before="240" w:after="200"/>
        <w:ind w:left="426" w:right="332" w:firstLine="0"/>
        <w:jc w:val="both"/>
        <w:rPr>
          <w:rFonts w:ascii="ITC Avant Garde" w:hAnsi="ITC Avant Garde"/>
          <w:bCs/>
          <w:sz w:val="18"/>
          <w:szCs w:val="18"/>
        </w:rPr>
      </w:pPr>
      <w:r w:rsidRPr="00345AA7">
        <w:rPr>
          <w:rFonts w:ascii="ITC Avant Garde" w:hAnsi="ITC Avant Garde"/>
          <w:bCs/>
          <w:sz w:val="18"/>
          <w:szCs w:val="18"/>
        </w:rPr>
        <w:t xml:space="preserve">Los Adquirientes, a través de Televera Red, S.A.P.I. de C.V., también prestan </w:t>
      </w:r>
      <w:r w:rsidRPr="00345AA7">
        <w:rPr>
          <w:rFonts w:ascii="ITC Avant Garde" w:hAnsi="ITC Avant Garde"/>
          <w:sz w:val="18"/>
          <w:szCs w:val="18"/>
        </w:rPr>
        <w:t>el servicio fijo satelital de acceso a internet de banda ancha</w:t>
      </w:r>
      <w:r w:rsidRPr="00345AA7">
        <w:rPr>
          <w:rFonts w:ascii="ITC Avant Garde" w:hAnsi="ITC Avant Garde"/>
          <w:bCs/>
          <w:sz w:val="18"/>
          <w:szCs w:val="18"/>
        </w:rPr>
        <w:t>.</w:t>
      </w:r>
    </w:p>
    <w:p w14:paraId="0282A4C4" w14:textId="77777777" w:rsidR="00B857D8" w:rsidRPr="00345AA7" w:rsidRDefault="00B857D8" w:rsidP="00345AA7">
      <w:pPr>
        <w:pStyle w:val="Prrafodelista"/>
        <w:numPr>
          <w:ilvl w:val="0"/>
          <w:numId w:val="28"/>
        </w:numPr>
        <w:spacing w:before="240" w:after="200"/>
        <w:ind w:left="426" w:right="332" w:firstLine="0"/>
        <w:jc w:val="both"/>
        <w:rPr>
          <w:rFonts w:ascii="ITC Avant Garde" w:hAnsi="ITC Avant Garde"/>
          <w:bCs/>
          <w:sz w:val="18"/>
          <w:szCs w:val="18"/>
        </w:rPr>
      </w:pPr>
      <w:r w:rsidRPr="00345AA7">
        <w:rPr>
          <w:rFonts w:ascii="ITC Avant Garde" w:hAnsi="ITC Avant Garde"/>
          <w:sz w:val="18"/>
          <w:szCs w:val="18"/>
        </w:rPr>
        <w:t xml:space="preserve">Los agentes económicos involucrados en la Operación coinciden en la prestación del servicio fijo satelital de acceso a internet de banda ancha. </w:t>
      </w:r>
    </w:p>
    <w:p w14:paraId="68F79A64" w14:textId="77777777" w:rsidR="00B857D8" w:rsidRPr="00345AA7" w:rsidRDefault="00B857D8" w:rsidP="00345AA7">
      <w:pPr>
        <w:pStyle w:val="Prrafodelista"/>
        <w:numPr>
          <w:ilvl w:val="0"/>
          <w:numId w:val="28"/>
        </w:numPr>
        <w:spacing w:before="240" w:after="200"/>
        <w:ind w:left="426" w:right="332" w:firstLine="0"/>
        <w:jc w:val="both"/>
        <w:rPr>
          <w:rFonts w:ascii="ITC Avant Garde" w:hAnsi="ITC Avant Garde"/>
          <w:bCs/>
          <w:sz w:val="18"/>
          <w:szCs w:val="18"/>
        </w:rPr>
      </w:pPr>
      <w:r w:rsidRPr="00345AA7">
        <w:rPr>
          <w:rFonts w:ascii="ITC Avant Garde" w:hAnsi="ITC Avant Garde"/>
          <w:bCs/>
          <w:sz w:val="18"/>
          <w:szCs w:val="18"/>
        </w:rPr>
        <w:t xml:space="preserve">Televera Red, S.A.P.I. de C.V. es un competidor de reciente entrada, que a partir de </w:t>
      </w:r>
      <w:r w:rsidRPr="00345AA7">
        <w:rPr>
          <w:rFonts w:ascii="ITC Avant Garde" w:hAnsi="ITC Avant Garde"/>
          <w:sz w:val="18"/>
          <w:szCs w:val="18"/>
        </w:rPr>
        <w:t>2016 comenzó a contar con una base de usuarios.</w:t>
      </w:r>
    </w:p>
    <w:p w14:paraId="7DEADF16" w14:textId="77777777" w:rsidR="00B857D8" w:rsidRPr="00345AA7" w:rsidRDefault="00B857D8" w:rsidP="00345AA7">
      <w:pPr>
        <w:pStyle w:val="Sinespaciado"/>
        <w:numPr>
          <w:ilvl w:val="0"/>
          <w:numId w:val="28"/>
        </w:numPr>
        <w:spacing w:before="240" w:after="200"/>
        <w:ind w:left="426" w:right="332" w:firstLine="0"/>
        <w:jc w:val="both"/>
        <w:rPr>
          <w:rFonts w:ascii="ITC Avant Garde" w:eastAsia="Times New Roman" w:hAnsi="ITC Avant Garde"/>
          <w:bCs/>
          <w:sz w:val="18"/>
          <w:szCs w:val="18"/>
          <w:lang w:eastAsia="es-MX"/>
        </w:rPr>
      </w:pPr>
      <w:r w:rsidRPr="00345AA7">
        <w:rPr>
          <w:rFonts w:ascii="ITC Avant Garde" w:eastAsia="Times New Roman" w:hAnsi="ITC Avant Garde"/>
          <w:bCs/>
          <w:sz w:val="18"/>
          <w:szCs w:val="18"/>
          <w:lang w:eastAsia="es-MX"/>
        </w:rPr>
        <w:t xml:space="preserve">Como resultado de la Operación, el valor del IHH alcanza los 1,432.1 puntos, en tanto que su variación es de </w:t>
      </w:r>
      <w:r w:rsidRPr="00345AA7">
        <w:rPr>
          <w:rFonts w:ascii="ITC Avant Garde" w:hAnsi="ITC Avant Garde"/>
          <w:sz w:val="18"/>
          <w:szCs w:val="18"/>
        </w:rPr>
        <w:t xml:space="preserve">148.1 </w:t>
      </w:r>
      <w:r w:rsidRPr="00345AA7">
        <w:rPr>
          <w:rFonts w:ascii="ITC Avant Garde" w:eastAsia="Times New Roman" w:hAnsi="ITC Avant Garde"/>
          <w:bCs/>
          <w:sz w:val="18"/>
          <w:szCs w:val="18"/>
          <w:lang w:eastAsia="es-MX"/>
        </w:rPr>
        <w:t>puntos. Ambos valores se ubican dentro de las referencias establecidas por el Instituto para considerar que es poco probable que una concentración tiene por objeto o efecto obstaculizar, disminuir, dañar o impedir la competencia y la libre concurrencia.</w:t>
      </w:r>
    </w:p>
    <w:p w14:paraId="367D55B7" w14:textId="77777777" w:rsidR="00B857D8" w:rsidRPr="00345AA7" w:rsidRDefault="00B857D8" w:rsidP="00345AA7">
      <w:pPr>
        <w:spacing w:before="240" w:line="240" w:lineRule="auto"/>
        <w:ind w:left="426" w:right="332"/>
        <w:jc w:val="both"/>
        <w:rPr>
          <w:rFonts w:ascii="ITC Avant Garde" w:hAnsi="ITC Avant Garde"/>
          <w:sz w:val="18"/>
          <w:szCs w:val="18"/>
        </w:rPr>
      </w:pPr>
      <w:r w:rsidRPr="00345AA7">
        <w:rPr>
          <w:rFonts w:ascii="ITC Avant Garde" w:hAnsi="ITC Avant Garde"/>
          <w:sz w:val="18"/>
          <w:szCs w:val="18"/>
        </w:rPr>
        <w:t>En virtud de lo anterior, no se prevén efectos contrarios al proceso de competencia y libre concurrencia como consecuencia de la Operación.</w:t>
      </w:r>
    </w:p>
    <w:p w14:paraId="014E17BD" w14:textId="77777777" w:rsidR="00B857D8" w:rsidRPr="00345AA7" w:rsidRDefault="00B857D8" w:rsidP="00345AA7">
      <w:pPr>
        <w:pStyle w:val="Textoindependiente2"/>
        <w:tabs>
          <w:tab w:val="left" w:pos="1134"/>
          <w:tab w:val="num" w:pos="2835"/>
        </w:tabs>
        <w:spacing w:before="240" w:after="200" w:line="240" w:lineRule="auto"/>
        <w:ind w:left="426" w:right="332"/>
        <w:jc w:val="both"/>
        <w:rPr>
          <w:rFonts w:ascii="ITC Avant Garde" w:hAnsi="ITC Avant Garde"/>
          <w:sz w:val="18"/>
          <w:szCs w:val="18"/>
        </w:rPr>
      </w:pPr>
      <w:r w:rsidRPr="00345AA7">
        <w:rPr>
          <w:rFonts w:ascii="ITC Avant Garde" w:hAnsi="ITC Avant Garde"/>
          <w:sz w:val="18"/>
          <w:szCs w:val="18"/>
        </w:rPr>
        <w:t>El análisis y la opinión que se emiten en este documento se circunscriben a la evaluación en materia de competencia económica de la Operación, sin prejuzgar sobre otras autorizaciones, requisitos u obligaciones que, en su caso, los Enajenantes o Adquirientes deban obtener de este Instituto u otra autoridad competente. Tampoco se prejuzga sobre violaciones a la Ley Federal de Competencia Económica, la Ley Federal de Telecomunicaciones y Radiodifusión u otros ordenamientos, en que pudieran haber incurrido o pudieran incurrir los Enajenantes o Adquirientes.</w:t>
      </w:r>
    </w:p>
    <w:p w14:paraId="0BDC0F5E" w14:textId="77777777" w:rsidR="00345AA7" w:rsidRPr="00345AA7" w:rsidRDefault="004663FA" w:rsidP="00345AA7">
      <w:pPr>
        <w:autoSpaceDE w:val="0"/>
        <w:autoSpaceDN w:val="0"/>
        <w:adjustRightInd w:val="0"/>
        <w:spacing w:before="240" w:line="240" w:lineRule="auto"/>
        <w:ind w:left="426" w:right="332"/>
        <w:jc w:val="both"/>
        <w:rPr>
          <w:rFonts w:ascii="ITC Avant Garde" w:hAnsi="ITC Avant Garde"/>
          <w:bCs/>
          <w:sz w:val="18"/>
          <w:szCs w:val="18"/>
          <w:highlight w:val="yellow"/>
        </w:rPr>
      </w:pPr>
      <w:r w:rsidRPr="00345AA7">
        <w:rPr>
          <w:rFonts w:ascii="ITC Avant Garde" w:hAnsi="ITC Avant Garde"/>
          <w:bCs/>
          <w:sz w:val="18"/>
          <w:szCs w:val="18"/>
        </w:rPr>
        <w:t>[…]</w:t>
      </w:r>
      <w:r w:rsidR="00164246" w:rsidRPr="00345AA7">
        <w:rPr>
          <w:rFonts w:ascii="ITC Avant Garde" w:hAnsi="ITC Avant Garde"/>
          <w:bCs/>
          <w:sz w:val="18"/>
          <w:szCs w:val="18"/>
        </w:rPr>
        <w:t>”</w:t>
      </w:r>
    </w:p>
    <w:p w14:paraId="6343524F" w14:textId="77777777" w:rsidR="00345AA7" w:rsidRPr="00345AA7" w:rsidRDefault="003F796C"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Con base en la información disponible, se determina que la enajenación de acciones en el capital social de Grupo W Com</w:t>
      </w:r>
      <w:r w:rsidR="00AB7583" w:rsidRPr="00345AA7">
        <w:rPr>
          <w:rFonts w:ascii="ITC Avant Garde" w:hAnsi="ITC Avant Garde"/>
          <w:bCs/>
        </w:rPr>
        <w:t>, S.A. de C.V.</w:t>
      </w:r>
      <w:r w:rsidRPr="00345AA7">
        <w:rPr>
          <w:rFonts w:ascii="ITC Avant Garde" w:hAnsi="ITC Avant Garde"/>
          <w:bCs/>
        </w:rPr>
        <w:t xml:space="preserve"> en favor de Telecomvera Holding, S.A.P.I. de C.V. y Grupo Profrezac, S.A. de C.V. (en conjunto, Adquirientes), previsiblemente no tendría efectos contrarios al proceso de competencia y libre concurrencia en la provisión del servicio fijo satelital de acceso a internet de banda ancha. Ello</w:t>
      </w:r>
      <w:r w:rsidR="00AB7583" w:rsidRPr="00345AA7">
        <w:rPr>
          <w:rFonts w:ascii="ITC Avant Garde" w:hAnsi="ITC Avant Garde"/>
          <w:bCs/>
        </w:rPr>
        <w:t>,</w:t>
      </w:r>
      <w:r w:rsidRPr="00345AA7">
        <w:rPr>
          <w:rFonts w:ascii="ITC Avant Garde" w:hAnsi="ITC Avant Garde"/>
          <w:bCs/>
        </w:rPr>
        <w:t xml:space="preserve"> en virtud de que </w:t>
      </w:r>
      <w:r w:rsidR="00AB7583" w:rsidRPr="00345AA7">
        <w:rPr>
          <w:rFonts w:ascii="ITC Avant Garde" w:hAnsi="ITC Avant Garde"/>
          <w:bCs/>
        </w:rPr>
        <w:t>los Adquirientes y p</w:t>
      </w:r>
      <w:r w:rsidRPr="00345AA7">
        <w:rPr>
          <w:rFonts w:ascii="ITC Avant Garde" w:hAnsi="ITC Avant Garde"/>
          <w:bCs/>
        </w:rPr>
        <w:t xml:space="preserve">ersonas </w:t>
      </w:r>
      <w:r w:rsidR="00AB7583" w:rsidRPr="00345AA7">
        <w:rPr>
          <w:rFonts w:ascii="ITC Avant Garde" w:hAnsi="ITC Avant Garde"/>
          <w:bCs/>
        </w:rPr>
        <w:t>r</w:t>
      </w:r>
      <w:r w:rsidRPr="00345AA7">
        <w:rPr>
          <w:rFonts w:ascii="ITC Avant Garde" w:hAnsi="ITC Avant Garde"/>
          <w:bCs/>
        </w:rPr>
        <w:t xml:space="preserve">elacionadas son competidores de reciente entrada en la prestación de ese servicio; y, </w:t>
      </w:r>
      <w:r w:rsidR="00AB7583" w:rsidRPr="00345AA7">
        <w:rPr>
          <w:rFonts w:ascii="ITC Avant Garde" w:hAnsi="ITC Avant Garde"/>
          <w:bCs/>
        </w:rPr>
        <w:t>como resultado de la o</w:t>
      </w:r>
      <w:r w:rsidRPr="00345AA7">
        <w:rPr>
          <w:rFonts w:ascii="ITC Avant Garde" w:hAnsi="ITC Avant Garde"/>
          <w:bCs/>
        </w:rPr>
        <w:t>peración, el valor del IHH alcanza los 1,432.1 puntos, en tanto que su variación es de 148.1 puntos, valores que se ubican dentro de las referencias establecidas por el Instituto para considerar que es poco probable que una concentración tiene por objeto o efecto obstaculizar, disminuir, dañar o impedir la competencia y la libre concurrencia.</w:t>
      </w:r>
    </w:p>
    <w:p w14:paraId="6EAD3128" w14:textId="77777777" w:rsidR="00345AA7" w:rsidRPr="00345AA7" w:rsidRDefault="004174FC"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Adicionalmente</w:t>
      </w:r>
      <w:r w:rsidR="00655179" w:rsidRPr="00345AA7">
        <w:rPr>
          <w:rFonts w:ascii="ITC Avant Garde" w:hAnsi="ITC Avant Garde"/>
          <w:bCs/>
        </w:rPr>
        <w:t xml:space="preserve">, </w:t>
      </w:r>
      <w:r w:rsidR="00062667" w:rsidRPr="00345AA7">
        <w:rPr>
          <w:rFonts w:ascii="ITC Avant Garde" w:hAnsi="ITC Avant Garde"/>
          <w:bCs/>
        </w:rPr>
        <w:t xml:space="preserve">Grupo W </w:t>
      </w:r>
      <w:proofErr w:type="spellStart"/>
      <w:r w:rsidR="00062667" w:rsidRPr="00345AA7">
        <w:rPr>
          <w:rFonts w:ascii="ITC Avant Garde" w:hAnsi="ITC Avant Garde"/>
          <w:bCs/>
        </w:rPr>
        <w:t>Com</w:t>
      </w:r>
      <w:proofErr w:type="spellEnd"/>
      <w:r w:rsidR="001332E8" w:rsidRPr="00345AA7">
        <w:rPr>
          <w:rFonts w:ascii="ITC Avant Garde" w:hAnsi="ITC Avant Garde"/>
          <w:bCs/>
        </w:rPr>
        <w:t>, S.A. de C.V</w:t>
      </w:r>
      <w:r w:rsidR="00702F7A" w:rsidRPr="00345AA7">
        <w:rPr>
          <w:rFonts w:ascii="ITC Avant Garde" w:hAnsi="ITC Avant Garde"/>
          <w:bCs/>
          <w:lang w:val="es-ES" w:eastAsia="es-ES"/>
        </w:rPr>
        <w:t>.</w:t>
      </w:r>
      <w:r w:rsidR="00E40139" w:rsidRPr="00345AA7">
        <w:rPr>
          <w:rFonts w:ascii="ITC Avant Garde" w:hAnsi="ITC Avant Garde"/>
          <w:bCs/>
        </w:rPr>
        <w:t>,</w:t>
      </w:r>
      <w:r w:rsidR="007961CB" w:rsidRPr="00345AA7">
        <w:rPr>
          <w:rFonts w:ascii="ITC Avant Garde" w:hAnsi="ITC Avant Garde"/>
          <w:bCs/>
        </w:rPr>
        <w:t xml:space="preserve"> </w:t>
      </w:r>
      <w:r w:rsidR="00655179" w:rsidRPr="00345AA7">
        <w:rPr>
          <w:rFonts w:ascii="ITC Avant Garde" w:hAnsi="ITC Avant Garde"/>
          <w:bCs/>
        </w:rPr>
        <w:t>presentó comprobante de pago de derechos por concepto</w:t>
      </w:r>
      <w:r w:rsidR="001332E8" w:rsidRPr="00345AA7">
        <w:rPr>
          <w:rFonts w:ascii="ITC Avant Garde" w:hAnsi="ITC Avant Garde"/>
          <w:bCs/>
        </w:rPr>
        <w:t xml:space="preserve"> de</w:t>
      </w:r>
      <w:r w:rsidR="00655179" w:rsidRPr="00345AA7">
        <w:rPr>
          <w:rFonts w:ascii="ITC Avant Garde" w:hAnsi="ITC Avant Garde"/>
          <w:bCs/>
        </w:rPr>
        <w:t xml:space="preserve"> </w:t>
      </w:r>
      <w:r w:rsidR="001332E8" w:rsidRPr="00345AA7">
        <w:rPr>
          <w:rFonts w:ascii="ITC Avant Garde" w:hAnsi="ITC Avant Garde"/>
          <w:bCs/>
        </w:rPr>
        <w:t>estudio y, en su caso, la autorización de las solicitudes de modificaciones técnicas, administrativas, operativas y legales de los títulos de concesión en materia de telecomunicaciones y radiodifusión</w:t>
      </w:r>
      <w:r w:rsidR="00CC3E0A" w:rsidRPr="00345AA7">
        <w:rPr>
          <w:rFonts w:ascii="ITC Avant Garde" w:hAnsi="ITC Avant Garde"/>
          <w:bCs/>
        </w:rPr>
        <w:t xml:space="preserve">, de manera específica, por cualquier supuesto de suscripción o enajenación de acciones o partes sociales que requiera </w:t>
      </w:r>
      <w:r w:rsidR="00CC3E0A" w:rsidRPr="00345AA7">
        <w:rPr>
          <w:rFonts w:ascii="ITC Avant Garde" w:hAnsi="ITC Avant Garde"/>
          <w:bCs/>
        </w:rPr>
        <w:lastRenderedPageBreak/>
        <w:t>autorización en términos de la Ley</w:t>
      </w:r>
      <w:r w:rsidR="00655179" w:rsidRPr="00345AA7">
        <w:rPr>
          <w:rFonts w:ascii="ITC Avant Garde" w:hAnsi="ITC Avant Garde"/>
          <w:bCs/>
        </w:rPr>
        <w:t xml:space="preserve">, de conformidad con lo establecido en el artículo </w:t>
      </w:r>
      <w:r w:rsidR="00CC3E0A" w:rsidRPr="00345AA7">
        <w:rPr>
          <w:rFonts w:ascii="ITC Avant Garde" w:hAnsi="ITC Avant Garde"/>
          <w:bCs/>
        </w:rPr>
        <w:t xml:space="preserve">174-C </w:t>
      </w:r>
      <w:r w:rsidR="00655179" w:rsidRPr="00345AA7">
        <w:rPr>
          <w:rFonts w:ascii="ITC Avant Garde" w:hAnsi="ITC Avant Garde"/>
          <w:bCs/>
        </w:rPr>
        <w:t>fracci</w:t>
      </w:r>
      <w:r w:rsidR="00F02BD3" w:rsidRPr="00345AA7">
        <w:rPr>
          <w:rFonts w:ascii="ITC Avant Garde" w:hAnsi="ITC Avant Garde"/>
          <w:bCs/>
        </w:rPr>
        <w:t>ón</w:t>
      </w:r>
      <w:r w:rsidR="00655179" w:rsidRPr="00345AA7">
        <w:rPr>
          <w:rFonts w:ascii="ITC Avant Garde" w:hAnsi="ITC Avant Garde"/>
          <w:bCs/>
        </w:rPr>
        <w:t xml:space="preserve"> VII</w:t>
      </w:r>
      <w:r w:rsidR="00F02BD3" w:rsidRPr="00345AA7">
        <w:rPr>
          <w:rFonts w:ascii="ITC Avant Garde" w:hAnsi="ITC Avant Garde"/>
          <w:bCs/>
        </w:rPr>
        <w:t xml:space="preserve"> de la Ley Federal de Derechos</w:t>
      </w:r>
      <w:r w:rsidR="005717F6" w:rsidRPr="00345AA7">
        <w:rPr>
          <w:rFonts w:ascii="ITC Avant Garde" w:hAnsi="ITC Avant Garde"/>
          <w:bCs/>
        </w:rPr>
        <w:t xml:space="preserve"> vigente</w:t>
      </w:r>
      <w:r w:rsidR="00655179" w:rsidRPr="00345AA7">
        <w:rPr>
          <w:rFonts w:ascii="ITC Avant Garde" w:hAnsi="ITC Avant Garde"/>
          <w:bCs/>
        </w:rPr>
        <w:t>.</w:t>
      </w:r>
    </w:p>
    <w:p w14:paraId="11C40176" w14:textId="77777777" w:rsidR="00345AA7" w:rsidRPr="00345AA7" w:rsidRDefault="00CB20DF"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Ahora bien, en relación con </w:t>
      </w:r>
      <w:r w:rsidR="00A209A2" w:rsidRPr="00345AA7">
        <w:rPr>
          <w:rFonts w:ascii="ITC Avant Garde" w:hAnsi="ITC Avant Garde"/>
          <w:bCs/>
        </w:rPr>
        <w:t>la opinión técnica de la Secretaría</w:t>
      </w:r>
      <w:r w:rsidRPr="00345AA7">
        <w:rPr>
          <w:rFonts w:ascii="ITC Avant Garde" w:hAnsi="ITC Avant Garde"/>
          <w:bCs/>
        </w:rPr>
        <w:t xml:space="preserve"> </w:t>
      </w:r>
      <w:r w:rsidR="00A209A2" w:rsidRPr="00345AA7">
        <w:rPr>
          <w:rFonts w:ascii="ITC Avant Garde" w:hAnsi="ITC Avant Garde"/>
          <w:bCs/>
        </w:rPr>
        <w:t xml:space="preserve">señalada en el artículo 112 de la Ley, </w:t>
      </w:r>
      <w:r w:rsidR="00F41C62" w:rsidRPr="00345AA7">
        <w:rPr>
          <w:rFonts w:ascii="ITC Avant Garde" w:hAnsi="ITC Avant Garde"/>
          <w:bCs/>
        </w:rPr>
        <w:t>la Unidad de Concesiones y Servicios del</w:t>
      </w:r>
      <w:r w:rsidRPr="00345AA7">
        <w:rPr>
          <w:rFonts w:ascii="ITC Avant Garde" w:hAnsi="ITC Avant Garde"/>
          <w:bCs/>
        </w:rPr>
        <w:t xml:space="preserve"> Instituto mediante oficio IFT/223/UCS/</w:t>
      </w:r>
      <w:r w:rsidR="00062667" w:rsidRPr="00345AA7">
        <w:rPr>
          <w:rFonts w:ascii="ITC Avant Garde" w:hAnsi="ITC Avant Garde"/>
          <w:bCs/>
        </w:rPr>
        <w:t>2095</w:t>
      </w:r>
      <w:r w:rsidRPr="00345AA7">
        <w:rPr>
          <w:rFonts w:ascii="ITC Avant Garde" w:hAnsi="ITC Avant Garde"/>
          <w:bCs/>
        </w:rPr>
        <w:t>/201</w:t>
      </w:r>
      <w:r w:rsidR="002D7BFA" w:rsidRPr="00345AA7">
        <w:rPr>
          <w:rFonts w:ascii="ITC Avant Garde" w:hAnsi="ITC Avant Garde"/>
          <w:bCs/>
        </w:rPr>
        <w:t>6</w:t>
      </w:r>
      <w:r w:rsidRPr="00345AA7">
        <w:rPr>
          <w:rFonts w:ascii="ITC Avant Garde" w:hAnsi="ITC Avant Garde"/>
          <w:bCs/>
        </w:rPr>
        <w:t xml:space="preserve"> notificado el </w:t>
      </w:r>
      <w:r w:rsidR="00062667" w:rsidRPr="00345AA7">
        <w:rPr>
          <w:rFonts w:ascii="ITC Avant Garde" w:hAnsi="ITC Avant Garde"/>
          <w:bCs/>
        </w:rPr>
        <w:t xml:space="preserve">27 </w:t>
      </w:r>
      <w:r w:rsidRPr="00345AA7">
        <w:rPr>
          <w:rFonts w:ascii="ITC Avant Garde" w:hAnsi="ITC Avant Garde"/>
          <w:bCs/>
        </w:rPr>
        <w:t xml:space="preserve">de </w:t>
      </w:r>
      <w:r w:rsidR="00062667" w:rsidRPr="00345AA7">
        <w:rPr>
          <w:rFonts w:ascii="ITC Avant Garde" w:hAnsi="ITC Avant Garde"/>
          <w:bCs/>
        </w:rPr>
        <w:t xml:space="preserve">octubre </w:t>
      </w:r>
      <w:r w:rsidRPr="00345AA7">
        <w:rPr>
          <w:rFonts w:ascii="ITC Avant Garde" w:hAnsi="ITC Avant Garde"/>
          <w:bCs/>
        </w:rPr>
        <w:t>de 201</w:t>
      </w:r>
      <w:r w:rsidR="002D7BFA" w:rsidRPr="00345AA7">
        <w:rPr>
          <w:rFonts w:ascii="ITC Avant Garde" w:hAnsi="ITC Avant Garde"/>
          <w:bCs/>
        </w:rPr>
        <w:t>6</w:t>
      </w:r>
      <w:r w:rsidRPr="00345AA7">
        <w:rPr>
          <w:rFonts w:ascii="ITC Avant Garde" w:hAnsi="ITC Avant Garde"/>
          <w:bCs/>
        </w:rPr>
        <w:t>, solicitó a la Secretaría la opinión técnica respecto de la Solicitud de Enajenación de Acciones.</w:t>
      </w:r>
    </w:p>
    <w:p w14:paraId="605FA1D9" w14:textId="77777777" w:rsidR="00345AA7" w:rsidRPr="00345AA7" w:rsidRDefault="002D7BFA"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Posteriormente, mediante oficio IFT/223/UCS/DG-CTEL/</w:t>
      </w:r>
      <w:r w:rsidR="00CD463B" w:rsidRPr="00345AA7">
        <w:rPr>
          <w:rFonts w:ascii="ITC Avant Garde" w:hAnsi="ITC Avant Garde"/>
          <w:bCs/>
        </w:rPr>
        <w:t>2709</w:t>
      </w:r>
      <w:r w:rsidRPr="00345AA7">
        <w:rPr>
          <w:rFonts w:ascii="ITC Avant Garde" w:hAnsi="ITC Avant Garde"/>
          <w:bCs/>
        </w:rPr>
        <w:t xml:space="preserve">/2016 notificado el </w:t>
      </w:r>
      <w:r w:rsidR="00CD463B" w:rsidRPr="00345AA7">
        <w:rPr>
          <w:rFonts w:ascii="ITC Avant Garde" w:hAnsi="ITC Avant Garde"/>
          <w:bCs/>
        </w:rPr>
        <w:t>16</w:t>
      </w:r>
      <w:r w:rsidR="00062667" w:rsidRPr="00345AA7">
        <w:rPr>
          <w:rFonts w:ascii="ITC Avant Garde" w:hAnsi="ITC Avant Garde"/>
          <w:bCs/>
        </w:rPr>
        <w:t xml:space="preserve"> </w:t>
      </w:r>
      <w:r w:rsidRPr="00345AA7">
        <w:rPr>
          <w:rFonts w:ascii="ITC Avant Garde" w:hAnsi="ITC Avant Garde"/>
          <w:bCs/>
        </w:rPr>
        <w:t xml:space="preserve">de </w:t>
      </w:r>
      <w:r w:rsidR="00CD463B" w:rsidRPr="00345AA7">
        <w:rPr>
          <w:rFonts w:ascii="ITC Avant Garde" w:hAnsi="ITC Avant Garde"/>
          <w:bCs/>
        </w:rPr>
        <w:t>noviembre</w:t>
      </w:r>
      <w:r w:rsidR="00062667" w:rsidRPr="00345AA7">
        <w:rPr>
          <w:rFonts w:ascii="ITC Avant Garde" w:hAnsi="ITC Avant Garde"/>
          <w:bCs/>
        </w:rPr>
        <w:t xml:space="preserve"> </w:t>
      </w:r>
      <w:r w:rsidRPr="00345AA7">
        <w:rPr>
          <w:rFonts w:ascii="ITC Avant Garde" w:hAnsi="ITC Avant Garde"/>
          <w:bCs/>
        </w:rPr>
        <w:t xml:space="preserve">de 2016, </w:t>
      </w:r>
      <w:r w:rsidR="00F41C62" w:rsidRPr="00345AA7">
        <w:rPr>
          <w:rFonts w:ascii="ITC Avant Garde" w:hAnsi="ITC Avant Garde"/>
          <w:bCs/>
        </w:rPr>
        <w:t xml:space="preserve">la Unidad de Concesiones y Servicios </w:t>
      </w:r>
      <w:r w:rsidRPr="00345AA7">
        <w:rPr>
          <w:rFonts w:ascii="ITC Avant Garde" w:hAnsi="ITC Avant Garde"/>
          <w:bCs/>
        </w:rPr>
        <w:t xml:space="preserve">envió a la Secretaría información complementaria presentada por </w:t>
      </w:r>
      <w:r w:rsidR="00062667" w:rsidRPr="00345AA7">
        <w:rPr>
          <w:rFonts w:ascii="ITC Avant Garde" w:hAnsi="ITC Avant Garde"/>
          <w:bCs/>
        </w:rPr>
        <w:t>Grupo W Com</w:t>
      </w:r>
      <w:r w:rsidRPr="00345AA7">
        <w:rPr>
          <w:rFonts w:ascii="ITC Avant Garde" w:hAnsi="ITC Avant Garde"/>
          <w:bCs/>
        </w:rPr>
        <w:t>, S.A. de C.V.,</w:t>
      </w:r>
      <w:r w:rsidR="00683723" w:rsidRPr="00345AA7">
        <w:rPr>
          <w:rFonts w:ascii="ITC Avant Garde" w:hAnsi="ITC Avant Garde"/>
          <w:bCs/>
        </w:rPr>
        <w:t xml:space="preserve"> a efecto de continuar con el trámite de la Solicitud de Enajenación de Acciones.</w:t>
      </w:r>
    </w:p>
    <w:p w14:paraId="5187E014" w14:textId="7EE989FD" w:rsidR="00345AA7" w:rsidRPr="00345AA7" w:rsidRDefault="006B0BB4"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shd w:val="clear" w:color="auto" w:fill="FFFFFF"/>
        </w:rPr>
        <w:t xml:space="preserve">Por lo anterior, </w:t>
      </w:r>
      <w:r w:rsidR="009166F8" w:rsidRPr="00345AA7">
        <w:rPr>
          <w:rFonts w:ascii="ITC Avant Garde" w:hAnsi="ITC Avant Garde"/>
          <w:shd w:val="clear" w:color="auto" w:fill="FFFFFF"/>
        </w:rPr>
        <w:t xml:space="preserve">el </w:t>
      </w:r>
      <w:r w:rsidR="0007006A" w:rsidRPr="00345AA7">
        <w:rPr>
          <w:rFonts w:ascii="ITC Avant Garde" w:hAnsi="ITC Avant Garde"/>
          <w:shd w:val="clear" w:color="auto" w:fill="FFFFFF"/>
        </w:rPr>
        <w:t>17</w:t>
      </w:r>
      <w:r w:rsidR="00062667" w:rsidRPr="00345AA7">
        <w:rPr>
          <w:rFonts w:ascii="ITC Avant Garde" w:hAnsi="ITC Avant Garde"/>
          <w:shd w:val="clear" w:color="auto" w:fill="FFFFFF"/>
        </w:rPr>
        <w:t xml:space="preserve"> </w:t>
      </w:r>
      <w:r w:rsidR="009166F8" w:rsidRPr="00345AA7">
        <w:rPr>
          <w:rFonts w:ascii="ITC Avant Garde" w:hAnsi="ITC Avant Garde"/>
          <w:shd w:val="clear" w:color="auto" w:fill="FFFFFF"/>
        </w:rPr>
        <w:t xml:space="preserve">de </w:t>
      </w:r>
      <w:r w:rsidR="0007006A" w:rsidRPr="00345AA7">
        <w:rPr>
          <w:rFonts w:ascii="ITC Avant Garde" w:hAnsi="ITC Avant Garde"/>
          <w:shd w:val="clear" w:color="auto" w:fill="FFFFFF"/>
        </w:rPr>
        <w:t>noviembre</w:t>
      </w:r>
      <w:r w:rsidR="00062667" w:rsidRPr="00345AA7">
        <w:rPr>
          <w:rFonts w:ascii="ITC Avant Garde" w:hAnsi="ITC Avant Garde"/>
          <w:shd w:val="clear" w:color="auto" w:fill="FFFFFF"/>
        </w:rPr>
        <w:t xml:space="preserve"> </w:t>
      </w:r>
      <w:r w:rsidR="009166F8" w:rsidRPr="00345AA7">
        <w:rPr>
          <w:rFonts w:ascii="ITC Avant Garde" w:hAnsi="ITC Avant Garde"/>
          <w:shd w:val="clear" w:color="auto" w:fill="FFFFFF"/>
        </w:rPr>
        <w:t xml:space="preserve">de 2016, </w:t>
      </w:r>
      <w:r w:rsidR="00BE4A62" w:rsidRPr="00345AA7">
        <w:rPr>
          <w:rFonts w:ascii="ITC Avant Garde" w:hAnsi="ITC Avant Garde"/>
          <w:bCs/>
          <w:lang w:eastAsia="es-MX"/>
        </w:rPr>
        <w:t>la Dirección General de Política de Telecomunicaciones y de Radiodifusión de la Secretaría</w:t>
      </w:r>
      <w:r w:rsidR="00BE4A62" w:rsidRPr="00345AA7" w:rsidDel="00BE4A62">
        <w:rPr>
          <w:rFonts w:ascii="ITC Avant Garde" w:hAnsi="ITC Avant Garde"/>
          <w:shd w:val="clear" w:color="auto" w:fill="FFFFFF"/>
        </w:rPr>
        <w:t xml:space="preserve"> </w:t>
      </w:r>
      <w:r w:rsidRPr="00345AA7">
        <w:rPr>
          <w:rFonts w:ascii="ITC Avant Garde" w:hAnsi="ITC Avant Garde"/>
          <w:shd w:val="clear" w:color="auto" w:fill="FFFFFF"/>
        </w:rPr>
        <w:t xml:space="preserve">mediante </w:t>
      </w:r>
      <w:r w:rsidR="00F46D69" w:rsidRPr="00345AA7">
        <w:rPr>
          <w:rFonts w:ascii="ITC Avant Garde" w:hAnsi="ITC Avant Garde"/>
          <w:bCs/>
          <w:lang w:eastAsia="es-MX"/>
        </w:rPr>
        <w:t>oficio 2.1.-</w:t>
      </w:r>
      <w:r w:rsidR="0007006A" w:rsidRPr="00345AA7">
        <w:rPr>
          <w:rFonts w:ascii="ITC Avant Garde" w:hAnsi="ITC Avant Garde"/>
          <w:bCs/>
          <w:lang w:eastAsia="es-MX"/>
        </w:rPr>
        <w:t>679/2016</w:t>
      </w:r>
      <w:r w:rsidR="00F46D69" w:rsidRPr="00345AA7">
        <w:rPr>
          <w:rFonts w:ascii="ITC Avant Garde" w:hAnsi="ITC Avant Garde"/>
          <w:bCs/>
          <w:lang w:eastAsia="es-MX"/>
        </w:rPr>
        <w:t xml:space="preserve">, remitió el </w:t>
      </w:r>
      <w:r w:rsidR="00F41C62" w:rsidRPr="00345AA7">
        <w:rPr>
          <w:rFonts w:ascii="ITC Avant Garde" w:hAnsi="ITC Avant Garde"/>
          <w:bCs/>
          <w:lang w:eastAsia="es-MX"/>
        </w:rPr>
        <w:t xml:space="preserve">diverso </w:t>
      </w:r>
      <w:r w:rsidR="00F46D69" w:rsidRPr="00345AA7">
        <w:rPr>
          <w:rFonts w:ascii="ITC Avant Garde" w:hAnsi="ITC Avant Garde"/>
          <w:bCs/>
          <w:lang w:eastAsia="es-MX"/>
        </w:rPr>
        <w:t>1.-</w:t>
      </w:r>
      <w:r w:rsidR="0007006A" w:rsidRPr="00345AA7">
        <w:rPr>
          <w:rFonts w:ascii="ITC Avant Garde" w:hAnsi="ITC Avant Garde"/>
          <w:bCs/>
          <w:lang w:eastAsia="es-MX"/>
        </w:rPr>
        <w:t>282</w:t>
      </w:r>
      <w:r w:rsidR="00F46D69" w:rsidRPr="00345AA7">
        <w:rPr>
          <w:rFonts w:ascii="ITC Avant Garde" w:hAnsi="ITC Avant Garde"/>
          <w:bCs/>
          <w:lang w:eastAsia="es-MX"/>
        </w:rPr>
        <w:t xml:space="preserve"> con la opinión técnica en sentido favorable respecto de la Solicitud de Enajenación de Acciones presentada por </w:t>
      </w:r>
      <w:r w:rsidR="00062667" w:rsidRPr="00345AA7">
        <w:rPr>
          <w:rFonts w:ascii="ITC Avant Garde" w:hAnsi="ITC Avant Garde"/>
          <w:bCs/>
          <w:lang w:eastAsia="es-MX"/>
        </w:rPr>
        <w:t>Grupo W Com</w:t>
      </w:r>
      <w:r w:rsidR="00F46D69" w:rsidRPr="00345AA7">
        <w:rPr>
          <w:rFonts w:ascii="ITC Avant Garde" w:hAnsi="ITC Avant Garde"/>
          <w:bCs/>
          <w:lang w:eastAsia="es-MX"/>
        </w:rPr>
        <w:t>, S.A. de C.V.</w:t>
      </w:r>
    </w:p>
    <w:p w14:paraId="1E36FCBD" w14:textId="77777777" w:rsidR="00345AA7" w:rsidRPr="00345AA7" w:rsidRDefault="00D04074"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Por lo anteriormente señalado, y con fundamento en los artículos 28 </w:t>
      </w:r>
      <w:r w:rsidR="00311B0A" w:rsidRPr="00345AA7">
        <w:rPr>
          <w:rFonts w:ascii="ITC Avant Garde" w:hAnsi="ITC Avant Garde"/>
          <w:bCs/>
        </w:rPr>
        <w:t>párrafo</w:t>
      </w:r>
      <w:r w:rsidR="00440EBB" w:rsidRPr="00345AA7">
        <w:rPr>
          <w:rFonts w:ascii="ITC Avant Garde" w:hAnsi="ITC Avant Garde"/>
          <w:bCs/>
        </w:rPr>
        <w:t>s</w:t>
      </w:r>
      <w:r w:rsidR="00311B0A" w:rsidRPr="00345AA7">
        <w:rPr>
          <w:rFonts w:ascii="ITC Avant Garde" w:hAnsi="ITC Avant Garde"/>
          <w:bCs/>
        </w:rPr>
        <w:t xml:space="preserve"> </w:t>
      </w:r>
      <w:r w:rsidR="00CD7CD4" w:rsidRPr="00345AA7">
        <w:rPr>
          <w:rFonts w:ascii="ITC Avant Garde" w:hAnsi="ITC Avant Garde"/>
          <w:bCs/>
        </w:rPr>
        <w:t xml:space="preserve">décimo </w:t>
      </w:r>
      <w:r w:rsidR="00440EBB" w:rsidRPr="00345AA7">
        <w:rPr>
          <w:rFonts w:ascii="ITC Avant Garde" w:hAnsi="ITC Avant Garde"/>
          <w:bCs/>
        </w:rPr>
        <w:t xml:space="preserve">sexto y décimo </w:t>
      </w:r>
      <w:r w:rsidR="00CD7CD4" w:rsidRPr="00345AA7">
        <w:rPr>
          <w:rFonts w:ascii="ITC Avant Garde" w:hAnsi="ITC Avant Garde"/>
          <w:bCs/>
        </w:rPr>
        <w:t>séptimo</w:t>
      </w:r>
      <w:r w:rsidRPr="00345AA7">
        <w:rPr>
          <w:rFonts w:ascii="ITC Avant Garde" w:hAnsi="ITC Avant Garde"/>
          <w:bCs/>
        </w:rPr>
        <w:t xml:space="preserve"> de la Constitución Política de los Estados Unidos Mexicanos; </w:t>
      </w:r>
      <w:r w:rsidR="00967B8E" w:rsidRPr="00345AA7">
        <w:rPr>
          <w:rFonts w:ascii="ITC Avant Garde" w:hAnsi="ITC Avant Garde"/>
          <w:bCs/>
        </w:rPr>
        <w:t xml:space="preserve">6 fracción IV, </w:t>
      </w:r>
      <w:r w:rsidR="00EC7353" w:rsidRPr="00345AA7">
        <w:rPr>
          <w:rFonts w:ascii="ITC Avant Garde" w:hAnsi="ITC Avant Garde"/>
          <w:bCs/>
        </w:rPr>
        <w:t>15 fracción IV</w:t>
      </w:r>
      <w:r w:rsidR="00BF6187" w:rsidRPr="00345AA7">
        <w:rPr>
          <w:rFonts w:ascii="ITC Avant Garde" w:hAnsi="ITC Avant Garde"/>
          <w:bCs/>
        </w:rPr>
        <w:t>,</w:t>
      </w:r>
      <w:r w:rsidR="00EC7353" w:rsidRPr="00345AA7">
        <w:rPr>
          <w:rFonts w:ascii="ITC Avant Garde" w:hAnsi="ITC Avant Garde"/>
          <w:bCs/>
        </w:rPr>
        <w:t xml:space="preserve"> 17 fracción I</w:t>
      </w:r>
      <w:r w:rsidRPr="00345AA7">
        <w:rPr>
          <w:rFonts w:ascii="ITC Avant Garde" w:hAnsi="ITC Avant Garde"/>
          <w:bCs/>
        </w:rPr>
        <w:t xml:space="preserve"> </w:t>
      </w:r>
      <w:r w:rsidR="00BF6187" w:rsidRPr="00345AA7">
        <w:rPr>
          <w:rFonts w:ascii="ITC Avant Garde" w:hAnsi="ITC Avant Garde"/>
          <w:bCs/>
        </w:rPr>
        <w:t xml:space="preserve">y 112 </w:t>
      </w:r>
      <w:r w:rsidR="009931CA" w:rsidRPr="00345AA7">
        <w:rPr>
          <w:rFonts w:ascii="ITC Avant Garde" w:hAnsi="ITC Avant Garde"/>
          <w:bCs/>
        </w:rPr>
        <w:t>de la Ley Federal de Telecomunicaciones y Radiodifusión;</w:t>
      </w:r>
      <w:r w:rsidR="00311B0A" w:rsidRPr="00345AA7">
        <w:rPr>
          <w:rFonts w:ascii="ITC Avant Garde" w:hAnsi="ITC Avant Garde"/>
          <w:bCs/>
        </w:rPr>
        <w:t xml:space="preserve"> </w:t>
      </w:r>
      <w:r w:rsidR="00846937" w:rsidRPr="00345AA7">
        <w:rPr>
          <w:rFonts w:ascii="ITC Avant Garde" w:hAnsi="ITC Avant Garde"/>
          <w:bCs/>
        </w:rPr>
        <w:t xml:space="preserve">5 de la Ley Federal de Competencia Económica; 11 fracción II, </w:t>
      </w:r>
      <w:r w:rsidR="009E014B" w:rsidRPr="00345AA7">
        <w:rPr>
          <w:rFonts w:ascii="ITC Avant Garde" w:hAnsi="ITC Avant Garde"/>
          <w:bCs/>
        </w:rPr>
        <w:t>35</w:t>
      </w:r>
      <w:r w:rsidR="00967B8E" w:rsidRPr="00345AA7">
        <w:rPr>
          <w:rFonts w:ascii="ITC Avant Garde" w:hAnsi="ITC Avant Garde"/>
          <w:bCs/>
        </w:rPr>
        <w:t xml:space="preserve"> fracción I, 36, 38 y 39 de la Ley Federal de Procedimiento Administrativo; </w:t>
      </w:r>
      <w:r w:rsidR="00806E32" w:rsidRPr="00345AA7">
        <w:rPr>
          <w:rFonts w:ascii="ITC Avant Garde" w:hAnsi="ITC Avant Garde"/>
          <w:bCs/>
          <w:lang w:eastAsia="es-MX"/>
        </w:rPr>
        <w:t>174-C</w:t>
      </w:r>
      <w:r w:rsidR="00AB0900" w:rsidRPr="00345AA7">
        <w:rPr>
          <w:rFonts w:ascii="ITC Avant Garde" w:hAnsi="ITC Avant Garde"/>
          <w:bCs/>
          <w:lang w:eastAsia="es-MX"/>
        </w:rPr>
        <w:t xml:space="preserve"> fracción VII, de la Ley Federal de Derechos </w:t>
      </w:r>
      <w:r w:rsidR="002A5CD0" w:rsidRPr="00345AA7">
        <w:rPr>
          <w:rFonts w:ascii="ITC Avant Garde" w:hAnsi="ITC Avant Garde"/>
          <w:bCs/>
        </w:rPr>
        <w:t>y</w:t>
      </w:r>
      <w:r w:rsidRPr="00345AA7">
        <w:rPr>
          <w:rFonts w:ascii="ITC Avant Garde" w:hAnsi="ITC Avant Garde"/>
          <w:bCs/>
        </w:rPr>
        <w:t xml:space="preserve"> 1, 6</w:t>
      </w:r>
      <w:r w:rsidR="00476447" w:rsidRPr="00345AA7">
        <w:rPr>
          <w:rFonts w:ascii="ITC Avant Garde" w:hAnsi="ITC Avant Garde"/>
          <w:bCs/>
        </w:rPr>
        <w:t>,</w:t>
      </w:r>
      <w:r w:rsidRPr="00345AA7">
        <w:rPr>
          <w:rFonts w:ascii="ITC Avant Garde" w:hAnsi="ITC Avant Garde"/>
          <w:bCs/>
        </w:rPr>
        <w:t xml:space="preserve"> 32</w:t>
      </w:r>
      <w:r w:rsidR="00806E32" w:rsidRPr="00345AA7">
        <w:rPr>
          <w:rFonts w:ascii="ITC Avant Garde" w:hAnsi="ITC Avant Garde"/>
          <w:bCs/>
        </w:rPr>
        <w:t>,</w:t>
      </w:r>
      <w:r w:rsidRPr="00345AA7">
        <w:rPr>
          <w:rFonts w:ascii="ITC Avant Garde" w:hAnsi="ITC Avant Garde"/>
          <w:bCs/>
        </w:rPr>
        <w:t xml:space="preserve"> 33 fracción </w:t>
      </w:r>
      <w:r w:rsidR="0073457C" w:rsidRPr="00345AA7">
        <w:rPr>
          <w:rFonts w:ascii="ITC Avant Garde" w:hAnsi="ITC Avant Garde"/>
          <w:bCs/>
        </w:rPr>
        <w:t>IV</w:t>
      </w:r>
      <w:r w:rsidR="00A172BC" w:rsidRPr="00345AA7">
        <w:rPr>
          <w:rFonts w:ascii="ITC Avant Garde" w:hAnsi="ITC Avant Garde"/>
          <w:bCs/>
        </w:rPr>
        <w:t xml:space="preserve"> y 50 fracción XIII</w:t>
      </w:r>
      <w:r w:rsidRPr="00345AA7">
        <w:rPr>
          <w:rFonts w:ascii="ITC Avant Garde" w:hAnsi="ITC Avant Garde"/>
          <w:bCs/>
        </w:rPr>
        <w:t xml:space="preserve"> del Estatuto Orgánico del Instituto Federal de Telecomunicaciones, este órgano autónomo emite los siguientes:</w:t>
      </w:r>
    </w:p>
    <w:p w14:paraId="696AA877" w14:textId="77777777" w:rsidR="00345AA7" w:rsidRPr="00345AA7" w:rsidRDefault="00B048BA" w:rsidP="00345AA7">
      <w:pPr>
        <w:pStyle w:val="Ttulo2"/>
        <w:spacing w:after="240"/>
        <w:jc w:val="center"/>
        <w:rPr>
          <w:rFonts w:ascii="ITC Avant Garde" w:hAnsi="ITC Avant Garde"/>
          <w:b/>
          <w:color w:val="000000" w:themeColor="text1"/>
          <w:sz w:val="22"/>
          <w:szCs w:val="22"/>
        </w:rPr>
      </w:pPr>
      <w:r w:rsidRPr="00345AA7">
        <w:rPr>
          <w:rFonts w:ascii="ITC Avant Garde" w:hAnsi="ITC Avant Garde"/>
          <w:b/>
          <w:color w:val="000000" w:themeColor="text1"/>
          <w:sz w:val="22"/>
          <w:szCs w:val="22"/>
        </w:rPr>
        <w:t>RESOLUTIVOS</w:t>
      </w:r>
    </w:p>
    <w:p w14:paraId="37F9D80D" w14:textId="3E8AAF0F" w:rsidR="000A62EA" w:rsidRPr="00345AA7" w:rsidRDefault="00C630FF" w:rsidP="00345AA7">
      <w:pPr>
        <w:spacing w:before="240" w:line="240" w:lineRule="auto"/>
        <w:jc w:val="both"/>
        <w:rPr>
          <w:rFonts w:ascii="ITC Avant Garde" w:hAnsi="ITC Avant Garde"/>
          <w:bCs/>
        </w:rPr>
      </w:pPr>
      <w:r w:rsidRPr="00345AA7">
        <w:rPr>
          <w:rFonts w:ascii="ITC Avant Garde" w:hAnsi="ITC Avant Garde"/>
          <w:b/>
          <w:bCs/>
        </w:rPr>
        <w:t>PRIMERO</w:t>
      </w:r>
      <w:r w:rsidR="00B048BA" w:rsidRPr="00345AA7">
        <w:rPr>
          <w:rFonts w:ascii="ITC Avant Garde" w:hAnsi="ITC Avant Garde"/>
          <w:b/>
          <w:bCs/>
        </w:rPr>
        <w:t>.-</w:t>
      </w:r>
      <w:r w:rsidR="008815FA" w:rsidRPr="00345AA7">
        <w:rPr>
          <w:rFonts w:ascii="ITC Avant Garde" w:hAnsi="ITC Avant Garde"/>
          <w:b/>
          <w:bCs/>
        </w:rPr>
        <w:t xml:space="preserve"> </w:t>
      </w:r>
      <w:r w:rsidR="008810B4" w:rsidRPr="00345AA7">
        <w:rPr>
          <w:rFonts w:ascii="ITC Avant Garde" w:hAnsi="ITC Avant Garde"/>
          <w:bCs/>
        </w:rPr>
        <w:t xml:space="preserve">Se </w:t>
      </w:r>
      <w:r w:rsidR="00416051" w:rsidRPr="00345AA7">
        <w:rPr>
          <w:rFonts w:ascii="ITC Avant Garde" w:hAnsi="ITC Avant Garde"/>
          <w:bCs/>
        </w:rPr>
        <w:t>autoriza</w:t>
      </w:r>
      <w:r w:rsidR="00C4495D" w:rsidRPr="00345AA7">
        <w:rPr>
          <w:rFonts w:ascii="ITC Avant Garde" w:hAnsi="ITC Avant Garde"/>
          <w:bCs/>
        </w:rPr>
        <w:t xml:space="preserve"> a</w:t>
      </w:r>
      <w:r w:rsidR="00416051" w:rsidRPr="00345AA7">
        <w:rPr>
          <w:rFonts w:ascii="ITC Avant Garde" w:hAnsi="ITC Avant Garde"/>
          <w:bCs/>
        </w:rPr>
        <w:t xml:space="preserve"> la empresa </w:t>
      </w:r>
      <w:r w:rsidR="00705ACA" w:rsidRPr="00345AA7">
        <w:rPr>
          <w:rFonts w:ascii="ITC Avant Garde" w:hAnsi="ITC Avant Garde"/>
          <w:bCs/>
          <w:lang w:val="es-ES" w:eastAsia="es-ES"/>
        </w:rPr>
        <w:t>Grupo W Com</w:t>
      </w:r>
      <w:r w:rsidR="00F3381A" w:rsidRPr="00345AA7">
        <w:rPr>
          <w:rFonts w:ascii="ITC Avant Garde" w:hAnsi="ITC Avant Garde"/>
          <w:bCs/>
          <w:lang w:val="es-ES" w:eastAsia="es-ES"/>
        </w:rPr>
        <w:t>, S.A. de C.V.</w:t>
      </w:r>
      <w:r w:rsidR="00416051" w:rsidRPr="00345AA7">
        <w:rPr>
          <w:rFonts w:ascii="ITC Avant Garde" w:hAnsi="ITC Avant Garde"/>
          <w:bCs/>
        </w:rPr>
        <w:t xml:space="preserve">, </w:t>
      </w:r>
      <w:r w:rsidR="00504F34" w:rsidRPr="00345AA7">
        <w:rPr>
          <w:rFonts w:ascii="ITC Avant Garde" w:hAnsi="ITC Avant Garde"/>
          <w:bCs/>
        </w:rPr>
        <w:t xml:space="preserve">a llevar a cabo </w:t>
      </w:r>
      <w:r w:rsidR="009A5FC4" w:rsidRPr="00345AA7">
        <w:rPr>
          <w:rFonts w:ascii="ITC Avant Garde" w:hAnsi="ITC Avant Garde"/>
          <w:bCs/>
        </w:rPr>
        <w:t xml:space="preserve">la </w:t>
      </w:r>
      <w:r w:rsidR="00504F34" w:rsidRPr="00345AA7">
        <w:rPr>
          <w:rFonts w:ascii="ITC Avant Garde" w:hAnsi="ITC Avant Garde"/>
          <w:bCs/>
        </w:rPr>
        <w:t xml:space="preserve">enajenación de acciones </w:t>
      </w:r>
      <w:r w:rsidR="00D72AA0" w:rsidRPr="00345AA7">
        <w:rPr>
          <w:rFonts w:ascii="ITC Avant Garde" w:hAnsi="ITC Avant Garde"/>
          <w:bCs/>
        </w:rPr>
        <w:t>solicitada</w:t>
      </w:r>
      <w:r w:rsidR="00504F34" w:rsidRPr="00345AA7">
        <w:rPr>
          <w:rFonts w:ascii="ITC Avant Garde" w:hAnsi="ITC Avant Garde"/>
          <w:bCs/>
        </w:rPr>
        <w:t xml:space="preserve">, </w:t>
      </w:r>
      <w:r w:rsidR="00416051" w:rsidRPr="00345AA7">
        <w:rPr>
          <w:rFonts w:ascii="ITC Avant Garde" w:hAnsi="ITC Avant Garde"/>
          <w:bCs/>
        </w:rPr>
        <w:t xml:space="preserve">a efecto de que la estructura accionaria de dicha </w:t>
      </w:r>
      <w:r w:rsidR="00022B85" w:rsidRPr="00345AA7">
        <w:rPr>
          <w:rFonts w:ascii="ITC Avant Garde" w:hAnsi="ITC Avant Garde"/>
          <w:bCs/>
        </w:rPr>
        <w:t>concesionaria</w:t>
      </w:r>
      <w:r w:rsidR="00416051" w:rsidRPr="00345AA7">
        <w:rPr>
          <w:rFonts w:ascii="ITC Avant Garde" w:hAnsi="ITC Avant Garde"/>
          <w:bCs/>
        </w:rPr>
        <w:t xml:space="preserve"> quede de la siguiente manera:</w:t>
      </w:r>
    </w:p>
    <w:tbl>
      <w:tblPr>
        <w:tblStyle w:val="Cuadrculadetablaclara"/>
        <w:tblW w:w="5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structura accionaria de Grupo W Com, S.A. de C.V. "/>
        <w:tblDescription w:val="En una tabla de 2 columnas se muestra la estructura accionaria de Grupo W Com, S.A. de C.V., una vez que ha sido autorizada la enajenación de acciones solicitada."/>
      </w:tblPr>
      <w:tblGrid>
        <w:gridCol w:w="3413"/>
        <w:gridCol w:w="1864"/>
      </w:tblGrid>
      <w:tr w:rsidR="00E84C33" w:rsidRPr="00345AA7" w14:paraId="51F790C3" w14:textId="77777777" w:rsidTr="00E84C33">
        <w:trPr>
          <w:trHeight w:val="20"/>
          <w:tblHeader/>
          <w:jc w:val="center"/>
        </w:trPr>
        <w:tc>
          <w:tcPr>
            <w:tcW w:w="3413" w:type="dxa"/>
            <w:shd w:val="clear" w:color="auto" w:fill="BFBFBF" w:themeFill="background1" w:themeFillShade="BF"/>
            <w:vAlign w:val="center"/>
          </w:tcPr>
          <w:p w14:paraId="6FA0C507" w14:textId="5B621DC7"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Accionista</w:t>
            </w:r>
          </w:p>
        </w:tc>
        <w:tc>
          <w:tcPr>
            <w:tcW w:w="1864" w:type="dxa"/>
            <w:shd w:val="clear" w:color="auto" w:fill="BFBFBF" w:themeFill="background1" w:themeFillShade="BF"/>
            <w:vAlign w:val="center"/>
          </w:tcPr>
          <w:p w14:paraId="05B37E0E" w14:textId="448B071A" w:rsidR="00E84C33" w:rsidRPr="00345AA7" w:rsidRDefault="00E84C33" w:rsidP="00E84C33">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
                <w:bCs/>
                <w:sz w:val="18"/>
                <w:szCs w:val="18"/>
              </w:rPr>
              <w:t>Participación (%)</w:t>
            </w:r>
          </w:p>
        </w:tc>
      </w:tr>
      <w:tr w:rsidR="00B36578" w:rsidRPr="00345AA7" w14:paraId="5BDCBEB3" w14:textId="77777777" w:rsidTr="00E84C33">
        <w:trPr>
          <w:trHeight w:val="20"/>
          <w:jc w:val="center"/>
        </w:trPr>
        <w:tc>
          <w:tcPr>
            <w:tcW w:w="3413" w:type="dxa"/>
          </w:tcPr>
          <w:p w14:paraId="788DEB7F" w14:textId="77777777" w:rsidR="00B36578" w:rsidRPr="00345AA7" w:rsidRDefault="00B36578" w:rsidP="00345AA7">
            <w:pPr>
              <w:autoSpaceDE w:val="0"/>
              <w:autoSpaceDN w:val="0"/>
              <w:adjustRightInd w:val="0"/>
              <w:spacing w:after="0" w:line="240" w:lineRule="auto"/>
              <w:jc w:val="center"/>
              <w:rPr>
                <w:rFonts w:ascii="ITC Avant Garde" w:hAnsi="ITC Avant Garde"/>
                <w:bCs/>
                <w:sz w:val="18"/>
                <w:szCs w:val="18"/>
              </w:rPr>
            </w:pPr>
            <w:proofErr w:type="spellStart"/>
            <w:r w:rsidRPr="00345AA7">
              <w:rPr>
                <w:rFonts w:ascii="ITC Avant Garde" w:hAnsi="ITC Avant Garde"/>
                <w:bCs/>
                <w:sz w:val="18"/>
                <w:szCs w:val="18"/>
              </w:rPr>
              <w:t>Telecomvera</w:t>
            </w:r>
            <w:proofErr w:type="spellEnd"/>
            <w:r w:rsidRPr="00345AA7">
              <w:rPr>
                <w:rFonts w:ascii="ITC Avant Garde" w:hAnsi="ITC Avant Garde"/>
                <w:bCs/>
                <w:sz w:val="18"/>
                <w:szCs w:val="18"/>
              </w:rPr>
              <w:t xml:space="preserve"> Holding, S.A.P.I. de C.V.</w:t>
            </w:r>
          </w:p>
        </w:tc>
        <w:tc>
          <w:tcPr>
            <w:tcW w:w="1864" w:type="dxa"/>
          </w:tcPr>
          <w:p w14:paraId="638E0EDA" w14:textId="77777777" w:rsidR="00B36578" w:rsidRPr="00345AA7" w:rsidRDefault="00B36578"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99%</w:t>
            </w:r>
          </w:p>
        </w:tc>
      </w:tr>
      <w:tr w:rsidR="00B36578" w:rsidRPr="00345AA7" w14:paraId="7D8BF347" w14:textId="77777777" w:rsidTr="00E84C33">
        <w:trPr>
          <w:trHeight w:val="20"/>
          <w:jc w:val="center"/>
        </w:trPr>
        <w:tc>
          <w:tcPr>
            <w:tcW w:w="3413" w:type="dxa"/>
          </w:tcPr>
          <w:p w14:paraId="3E8CBC62" w14:textId="5D45E41B" w:rsidR="00B36578" w:rsidRPr="00345AA7" w:rsidRDefault="00B36578"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Grupo Profrezac, S.A. de C.V.</w:t>
            </w:r>
          </w:p>
        </w:tc>
        <w:tc>
          <w:tcPr>
            <w:tcW w:w="1864" w:type="dxa"/>
          </w:tcPr>
          <w:p w14:paraId="7497C5CB" w14:textId="77777777" w:rsidR="00B36578" w:rsidRPr="00345AA7" w:rsidRDefault="00B36578" w:rsidP="00345AA7">
            <w:pPr>
              <w:autoSpaceDE w:val="0"/>
              <w:autoSpaceDN w:val="0"/>
              <w:adjustRightInd w:val="0"/>
              <w:spacing w:after="0" w:line="240" w:lineRule="auto"/>
              <w:jc w:val="center"/>
              <w:rPr>
                <w:rFonts w:ascii="ITC Avant Garde" w:hAnsi="ITC Avant Garde"/>
                <w:bCs/>
                <w:sz w:val="18"/>
                <w:szCs w:val="18"/>
              </w:rPr>
            </w:pPr>
            <w:r w:rsidRPr="00345AA7">
              <w:rPr>
                <w:rFonts w:ascii="ITC Avant Garde" w:hAnsi="ITC Avant Garde"/>
                <w:bCs/>
                <w:sz w:val="18"/>
                <w:szCs w:val="18"/>
              </w:rPr>
              <w:t>1%</w:t>
            </w:r>
          </w:p>
        </w:tc>
      </w:tr>
      <w:tr w:rsidR="00B36578" w:rsidRPr="00345AA7" w14:paraId="304841B7" w14:textId="77777777" w:rsidTr="00E84C33">
        <w:trPr>
          <w:trHeight w:val="20"/>
          <w:jc w:val="center"/>
        </w:trPr>
        <w:tc>
          <w:tcPr>
            <w:tcW w:w="3413" w:type="dxa"/>
          </w:tcPr>
          <w:p w14:paraId="7D00F8C7" w14:textId="77777777" w:rsidR="00B36578" w:rsidRPr="00345AA7" w:rsidRDefault="00B36578"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Total</w:t>
            </w:r>
          </w:p>
        </w:tc>
        <w:tc>
          <w:tcPr>
            <w:tcW w:w="1864" w:type="dxa"/>
          </w:tcPr>
          <w:p w14:paraId="4F880583" w14:textId="77777777" w:rsidR="00B36578" w:rsidRPr="00345AA7" w:rsidRDefault="00B36578" w:rsidP="00345AA7">
            <w:pPr>
              <w:autoSpaceDE w:val="0"/>
              <w:autoSpaceDN w:val="0"/>
              <w:adjustRightInd w:val="0"/>
              <w:spacing w:after="0" w:line="240" w:lineRule="auto"/>
              <w:jc w:val="center"/>
              <w:rPr>
                <w:rFonts w:ascii="ITC Avant Garde" w:hAnsi="ITC Avant Garde"/>
                <w:b/>
                <w:bCs/>
                <w:sz w:val="18"/>
                <w:szCs w:val="18"/>
              </w:rPr>
            </w:pPr>
            <w:r w:rsidRPr="00345AA7">
              <w:rPr>
                <w:rFonts w:ascii="ITC Avant Garde" w:hAnsi="ITC Avant Garde"/>
                <w:b/>
                <w:bCs/>
                <w:sz w:val="18"/>
                <w:szCs w:val="18"/>
              </w:rPr>
              <w:t>100%</w:t>
            </w:r>
          </w:p>
        </w:tc>
      </w:tr>
    </w:tbl>
    <w:p w14:paraId="60F75C8D" w14:textId="77777777" w:rsidR="00345AA7" w:rsidRPr="00345AA7" w:rsidRDefault="00872B46"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
          <w:bCs/>
        </w:rPr>
        <w:t>SEGUND</w:t>
      </w:r>
      <w:r w:rsidR="00F77F3F" w:rsidRPr="00345AA7">
        <w:rPr>
          <w:rFonts w:ascii="ITC Avant Garde" w:hAnsi="ITC Avant Garde"/>
          <w:b/>
          <w:bCs/>
        </w:rPr>
        <w:t>O.-</w:t>
      </w:r>
      <w:r w:rsidR="00F77F3F" w:rsidRPr="00345AA7">
        <w:rPr>
          <w:rFonts w:ascii="ITC Avant Garde" w:hAnsi="ITC Avant Garde"/>
          <w:bCs/>
        </w:rPr>
        <w:t xml:space="preserve"> Se instruye a la Unidad de Concesiones y Servicios a notificar </w:t>
      </w:r>
      <w:r w:rsidR="00C87869" w:rsidRPr="00345AA7">
        <w:rPr>
          <w:rFonts w:ascii="ITC Avant Garde" w:hAnsi="ITC Avant Garde"/>
          <w:bCs/>
        </w:rPr>
        <w:t>a</w:t>
      </w:r>
      <w:r w:rsidR="00705ACA" w:rsidRPr="00345AA7">
        <w:rPr>
          <w:rFonts w:ascii="ITC Avant Garde" w:hAnsi="ITC Avant Garde"/>
          <w:bCs/>
          <w:lang w:val="es-ES" w:eastAsia="es-ES"/>
        </w:rPr>
        <w:t xml:space="preserve"> Grupo W Com</w:t>
      </w:r>
      <w:r w:rsidR="00F3381A" w:rsidRPr="00345AA7">
        <w:rPr>
          <w:rFonts w:ascii="ITC Avant Garde" w:hAnsi="ITC Avant Garde"/>
          <w:bCs/>
          <w:lang w:val="es-ES" w:eastAsia="es-ES"/>
        </w:rPr>
        <w:t xml:space="preserve"> S.A. de C.V.</w:t>
      </w:r>
      <w:r w:rsidR="00D450A9" w:rsidRPr="00345AA7">
        <w:rPr>
          <w:rFonts w:ascii="ITC Avant Garde" w:hAnsi="ITC Avant Garde"/>
          <w:bCs/>
        </w:rPr>
        <w:t>,</w:t>
      </w:r>
      <w:r w:rsidR="00F77F3F" w:rsidRPr="00345AA7">
        <w:rPr>
          <w:rFonts w:ascii="ITC Avant Garde" w:hAnsi="ITC Avant Garde"/>
          <w:bCs/>
        </w:rPr>
        <w:t xml:space="preserve"> la </w:t>
      </w:r>
      <w:r w:rsidR="003B440E" w:rsidRPr="00345AA7">
        <w:rPr>
          <w:rFonts w:ascii="ITC Avant Garde" w:hAnsi="ITC Avant Garde"/>
          <w:bCs/>
        </w:rPr>
        <w:t>autorización para llevar a cabo la enajenación</w:t>
      </w:r>
      <w:r w:rsidR="00DF6D3D" w:rsidRPr="00345AA7">
        <w:rPr>
          <w:rFonts w:ascii="ITC Avant Garde" w:hAnsi="ITC Avant Garde"/>
          <w:bCs/>
        </w:rPr>
        <w:t xml:space="preserve"> </w:t>
      </w:r>
      <w:r w:rsidR="003B440E" w:rsidRPr="00345AA7">
        <w:rPr>
          <w:rFonts w:ascii="ITC Avant Garde" w:hAnsi="ITC Avant Garde"/>
          <w:bCs/>
        </w:rPr>
        <w:t xml:space="preserve">de acciones a que se refiere la presente Resolución, de conformidad con </w:t>
      </w:r>
      <w:r w:rsidR="008E5282" w:rsidRPr="00345AA7">
        <w:rPr>
          <w:rFonts w:ascii="ITC Avant Garde" w:hAnsi="ITC Avant Garde"/>
          <w:bCs/>
        </w:rPr>
        <w:t>el</w:t>
      </w:r>
      <w:r w:rsidR="003B440E" w:rsidRPr="00345AA7">
        <w:rPr>
          <w:rFonts w:ascii="ITC Avant Garde" w:hAnsi="ITC Avant Garde"/>
          <w:bCs/>
        </w:rPr>
        <w:t xml:space="preserve"> Resolutivo Primero anterior.</w:t>
      </w:r>
    </w:p>
    <w:p w14:paraId="7B627D43" w14:textId="3BCDCB27" w:rsidR="00345AA7" w:rsidRPr="00345AA7" w:rsidRDefault="0084693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
          <w:bCs/>
        </w:rPr>
        <w:t>TERCERO.-</w:t>
      </w:r>
      <w:r w:rsidRPr="00345AA7">
        <w:rPr>
          <w:rFonts w:ascii="ITC Avant Garde" w:hAnsi="ITC Avant Garde"/>
          <w:bCs/>
        </w:rPr>
        <w:t xml:space="preserve"> La presente autorización tendrá una vigencia de 60 (sesenta) días naturales, contados a partir de aquel en que hubiere surtido efectos la notificación de la misma. </w:t>
      </w:r>
    </w:p>
    <w:p w14:paraId="34F5EB8F" w14:textId="77777777" w:rsidR="00345AA7" w:rsidRPr="00345AA7" w:rsidRDefault="0084693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lastRenderedPageBreak/>
        <w:t xml:space="preserve">Dentro de ese plazo de vigencia, </w:t>
      </w:r>
      <w:r w:rsidR="00705ACA" w:rsidRPr="00345AA7">
        <w:rPr>
          <w:rFonts w:ascii="ITC Avant Garde" w:hAnsi="ITC Avant Garde"/>
          <w:bCs/>
          <w:lang w:val="es-ES" w:eastAsia="es-ES"/>
        </w:rPr>
        <w:t>Grupo W Com</w:t>
      </w:r>
      <w:r w:rsidR="00F3381A" w:rsidRPr="00345AA7">
        <w:rPr>
          <w:rFonts w:ascii="ITC Avant Garde" w:hAnsi="ITC Avant Garde"/>
          <w:bCs/>
          <w:lang w:val="es-ES" w:eastAsia="es-ES"/>
        </w:rPr>
        <w:t>, S.A. de C.V</w:t>
      </w:r>
      <w:r w:rsidR="002C3EAE" w:rsidRPr="00345AA7">
        <w:rPr>
          <w:rFonts w:ascii="ITC Avant Garde" w:hAnsi="ITC Avant Garde"/>
          <w:bCs/>
          <w:lang w:val="es-ES" w:eastAsia="es-ES"/>
        </w:rPr>
        <w:t>.</w:t>
      </w:r>
      <w:r w:rsidRPr="00345AA7">
        <w:rPr>
          <w:rFonts w:ascii="ITC Avant Garde" w:hAnsi="ITC Avant Garde"/>
          <w:bCs/>
        </w:rPr>
        <w:t>, deberá presentar para su inscripción en el Registro Público de Concesiones, copia certificada del instrumento donde conste que se llevaron a cabo los movimientos a que se refiere el Resolutivo Primero, en los términos planteados.</w:t>
      </w:r>
    </w:p>
    <w:p w14:paraId="09A118A5" w14:textId="0C6C61F0" w:rsidR="00846937" w:rsidRPr="00345AA7" w:rsidRDefault="0084693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Cs/>
        </w:rPr>
        <w:t xml:space="preserve">Concluido dicho plazo, sin que se hubiere dado cumplimiento al presente Resolutivo, </w:t>
      </w:r>
      <w:r w:rsidR="00705ACA" w:rsidRPr="00345AA7">
        <w:rPr>
          <w:rFonts w:ascii="ITC Avant Garde" w:hAnsi="ITC Avant Garde"/>
          <w:bCs/>
          <w:lang w:val="es-ES" w:eastAsia="es-ES"/>
        </w:rPr>
        <w:t>Grupo W Com</w:t>
      </w:r>
      <w:r w:rsidR="00F3381A" w:rsidRPr="00345AA7">
        <w:rPr>
          <w:rFonts w:ascii="ITC Avant Garde" w:hAnsi="ITC Avant Garde"/>
          <w:bCs/>
          <w:lang w:val="es-ES" w:eastAsia="es-ES"/>
        </w:rPr>
        <w:t>, S.A. de C.V</w:t>
      </w:r>
      <w:r w:rsidR="00844F9C" w:rsidRPr="00345AA7">
        <w:rPr>
          <w:rFonts w:ascii="ITC Avant Garde" w:hAnsi="ITC Avant Garde"/>
          <w:bCs/>
          <w:lang w:val="es-ES" w:eastAsia="es-ES"/>
        </w:rPr>
        <w:t>.</w:t>
      </w:r>
      <w:r w:rsidRPr="00345AA7">
        <w:rPr>
          <w:rFonts w:ascii="ITC Avant Garde" w:hAnsi="ITC Avant Garde"/>
          <w:bCs/>
        </w:rPr>
        <w:t xml:space="preserve"> deberá solicitar una nueva autorización.</w:t>
      </w:r>
    </w:p>
    <w:p w14:paraId="1889B399" w14:textId="77777777" w:rsidR="00345AA7" w:rsidRPr="00345AA7" w:rsidRDefault="00846937" w:rsidP="00345AA7">
      <w:pPr>
        <w:autoSpaceDE w:val="0"/>
        <w:autoSpaceDN w:val="0"/>
        <w:adjustRightInd w:val="0"/>
        <w:spacing w:before="240" w:line="240" w:lineRule="auto"/>
        <w:jc w:val="both"/>
        <w:rPr>
          <w:rFonts w:ascii="ITC Avant Garde" w:hAnsi="ITC Avant Garde"/>
          <w:bCs/>
        </w:rPr>
      </w:pPr>
      <w:r w:rsidRPr="00345AA7">
        <w:rPr>
          <w:rFonts w:ascii="ITC Avant Garde" w:hAnsi="ITC Avant Garde"/>
          <w:b/>
          <w:bCs/>
        </w:rPr>
        <w:t xml:space="preserve">CUARTO.- </w:t>
      </w:r>
      <w:r w:rsidRPr="00345AA7">
        <w:rPr>
          <w:rFonts w:ascii="ITC Avant Garde" w:hAnsi="ITC Avant Garde"/>
          <w:bCs/>
        </w:rPr>
        <w:t>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14:paraId="759F0DED" w14:textId="43907949" w:rsidR="000A2865" w:rsidRPr="00345AA7" w:rsidRDefault="000A2865" w:rsidP="00345AA7">
      <w:pPr>
        <w:pStyle w:val="Prrafodelista"/>
        <w:spacing w:before="240" w:after="200"/>
        <w:ind w:left="0"/>
        <w:jc w:val="both"/>
        <w:rPr>
          <w:rFonts w:ascii="ITC Avant Garde" w:hAnsi="ITC Avant Garde"/>
          <w:sz w:val="16"/>
        </w:rPr>
      </w:pPr>
      <w:r w:rsidRPr="00345AA7">
        <w:rPr>
          <w:rFonts w:ascii="ITC Avant Garde" w:hAnsi="ITC Avant Garde"/>
          <w:sz w:val="16"/>
        </w:rPr>
        <w:t xml:space="preserve">La presente Resolución fue aprobada por el Pleno del Instituto Federal de Telecomunicaciones en su XLIV Sesión Ordinaria celebrada el 8 de diciembre </w:t>
      </w:r>
      <w:r w:rsidRPr="00345AA7">
        <w:rPr>
          <w:rFonts w:ascii="ITC Avant Garde" w:hAnsi="ITC Avant Garde"/>
          <w:sz w:val="16"/>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P/IFT/081216/718.</w:t>
      </w:r>
      <w:bookmarkStart w:id="0" w:name="_GoBack"/>
      <w:bookmarkEnd w:id="0"/>
    </w:p>
    <w:sectPr w:rsidR="000A2865" w:rsidRPr="00345AA7"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6B96" w14:textId="77777777" w:rsidR="00F808DD" w:rsidRDefault="00F808DD" w:rsidP="00072BC8">
      <w:pPr>
        <w:spacing w:after="0" w:line="240" w:lineRule="auto"/>
      </w:pPr>
      <w:r>
        <w:separator/>
      </w:r>
    </w:p>
  </w:endnote>
  <w:endnote w:type="continuationSeparator" w:id="0">
    <w:p w14:paraId="56C7A2AC" w14:textId="77777777" w:rsidR="00F808DD" w:rsidRDefault="00F808D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D75F" w14:textId="34973773" w:rsidR="005B449C" w:rsidRPr="004C7979" w:rsidRDefault="005B449C"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84C33">
      <w:rPr>
        <w:rFonts w:ascii="ITC Avant Garde" w:hAnsi="ITC Avant Garde" w:cs="Calibri"/>
        <w:noProof/>
        <w:sz w:val="18"/>
        <w:szCs w:val="18"/>
      </w:rPr>
      <w:t>10</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C9AC4" w14:textId="77777777" w:rsidR="00F808DD" w:rsidRDefault="00F808DD" w:rsidP="00072BC8">
      <w:pPr>
        <w:spacing w:after="0" w:line="240" w:lineRule="auto"/>
      </w:pPr>
      <w:r>
        <w:separator/>
      </w:r>
    </w:p>
  </w:footnote>
  <w:footnote w:type="continuationSeparator" w:id="0">
    <w:p w14:paraId="4DD76A95" w14:textId="77777777" w:rsidR="00F808DD" w:rsidRDefault="00F808DD" w:rsidP="00072BC8">
      <w:pPr>
        <w:spacing w:after="0" w:line="240" w:lineRule="auto"/>
      </w:pPr>
      <w:r>
        <w:continuationSeparator/>
      </w:r>
    </w:p>
  </w:footnote>
  <w:footnote w:id="1">
    <w:p w14:paraId="77658262" w14:textId="77777777" w:rsidR="00B857D8" w:rsidRPr="00917F7E" w:rsidRDefault="00B857D8" w:rsidP="00B857D8">
      <w:pPr>
        <w:pStyle w:val="Textonotapie"/>
        <w:jc w:val="both"/>
        <w:rPr>
          <w:i/>
          <w:sz w:val="14"/>
          <w:szCs w:val="14"/>
        </w:rPr>
      </w:pPr>
      <w:r w:rsidRPr="00917F7E">
        <w:rPr>
          <w:rStyle w:val="Refdenotaalpie"/>
          <w:i/>
          <w:sz w:val="14"/>
          <w:szCs w:val="14"/>
        </w:rPr>
        <w:footnoteRef/>
      </w:r>
      <w:r w:rsidRPr="00917F7E">
        <w:rPr>
          <w:i/>
          <w:sz w:val="14"/>
          <w:szCs w:val="14"/>
        </w:rPr>
        <w:t xml:space="preserve"> </w:t>
      </w:r>
      <w:r w:rsidRPr="00917F7E">
        <w:rPr>
          <w:rFonts w:ascii="ITC Avant Garde" w:hAnsi="ITC Avant Garde"/>
          <w:i/>
          <w:sz w:val="14"/>
          <w:szCs w:val="14"/>
        </w:rPr>
        <w:t xml:space="preserve">Con el fin de efectuar el cálculo del IHH, se supuso la existencia de 17 concesionarios con niveles de participación similares a los de Axesat México, S.A. de C.V. Lo anterior, toda vez que los concesionarios que suman el 50.9% del total del mercado (medido con base en el número de usuarios) no fueron identificados. </w:t>
      </w:r>
    </w:p>
  </w:footnote>
  <w:footnote w:id="2">
    <w:p w14:paraId="0C47E456" w14:textId="77777777" w:rsidR="00B857D8" w:rsidRDefault="00B857D8" w:rsidP="00B857D8">
      <w:pPr>
        <w:pStyle w:val="Textonotapie"/>
        <w:jc w:val="both"/>
      </w:pPr>
      <w:r w:rsidRPr="00917F7E">
        <w:rPr>
          <w:rStyle w:val="Refdenotaalpie"/>
          <w:i/>
          <w:sz w:val="14"/>
          <w:szCs w:val="14"/>
        </w:rPr>
        <w:footnoteRef/>
      </w:r>
      <w:r w:rsidRPr="00917F7E">
        <w:rPr>
          <w:i/>
          <w:sz w:val="14"/>
          <w:szCs w:val="14"/>
        </w:rPr>
        <w:t xml:space="preserve"> </w:t>
      </w:r>
      <w:r w:rsidRPr="00917F7E">
        <w:rPr>
          <w:rFonts w:ascii="ITC Avant Garde" w:hAnsi="ITC Avant Garde"/>
          <w:i/>
          <w:sz w:val="14"/>
          <w:szCs w:val="14"/>
        </w:rPr>
        <w:t>Artículo 6 del Acuerdo mediante el cual el Pleno del Instituto Federal de Telecomunicaciones expide el criterio técnico para el cálculo y aplicación de un índice cuantitativo a fin de determinar el grado de concentración en los mercados y servicios correspondientes a los sectores de telecomunicaciones y radiodifusión, publicado en el DOF el 11 de abril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5B449C" w:rsidRDefault="00F808DD">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77777777" w:rsidR="005B449C" w:rsidRPr="000F5E4B" w:rsidRDefault="00F808DD">
    <w:pPr>
      <w:pStyle w:val="Encabezado"/>
      <w:rPr>
        <w:b/>
      </w:rPr>
    </w:pPr>
    <w:r>
      <w:rPr>
        <w:b/>
        <w:noProof/>
        <w:lang w:eastAsia="es-MX"/>
      </w:rPr>
      <w:pict w14:anchorId="403C8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D40"/>
    <w:multiLevelType w:val="hybridMultilevel"/>
    <w:tmpl w:val="61B020EC"/>
    <w:lvl w:ilvl="0" w:tplc="7CFE7A40">
      <w:start w:val="1"/>
      <w:numFmt w:val="lowerRoman"/>
      <w:lvlText w:val="%1)"/>
      <w:lvlJc w:val="left"/>
      <w:pPr>
        <w:ind w:left="1800" w:hanging="720"/>
      </w:pPr>
      <w:rPr>
        <w:rFonts w:ascii="ITC Avant Garde" w:eastAsia="Times New Roman" w:hAnsi="ITC Avant Garde"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BF74131"/>
    <w:multiLevelType w:val="hybridMultilevel"/>
    <w:tmpl w:val="88B04248"/>
    <w:lvl w:ilvl="0" w:tplc="5A560F0A">
      <w:start w:val="1"/>
      <w:numFmt w:val="decimal"/>
      <w:lvlText w:val="Cuadro %1."/>
      <w:lvlJc w:val="left"/>
      <w:pPr>
        <w:ind w:left="1352" w:hanging="360"/>
      </w:pPr>
      <w:rPr>
        <w:rFonts w:ascii="ITC Avant Garde" w:hAnsi="ITC Avant Garde" w:hint="default"/>
        <w:b/>
        <w:i/>
        <w:color w:val="auto"/>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29278C7"/>
    <w:multiLevelType w:val="hybridMultilevel"/>
    <w:tmpl w:val="B0CAC59E"/>
    <w:lvl w:ilvl="0" w:tplc="E9C0FC88">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D16C84"/>
    <w:multiLevelType w:val="hybridMultilevel"/>
    <w:tmpl w:val="EF008C4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4C22D20"/>
    <w:multiLevelType w:val="hybridMultilevel"/>
    <w:tmpl w:val="E30E2CD6"/>
    <w:lvl w:ilvl="0" w:tplc="080A0001">
      <w:start w:val="1"/>
      <w:numFmt w:val="bullet"/>
      <w:lvlText w:val=""/>
      <w:lvlJc w:val="left"/>
      <w:pPr>
        <w:ind w:left="2132" w:hanging="360"/>
      </w:pPr>
      <w:rPr>
        <w:rFonts w:ascii="Symbol" w:hAnsi="Symbol" w:hint="default"/>
      </w:rPr>
    </w:lvl>
    <w:lvl w:ilvl="1" w:tplc="080A0003" w:tentative="1">
      <w:start w:val="1"/>
      <w:numFmt w:val="bullet"/>
      <w:lvlText w:val="o"/>
      <w:lvlJc w:val="left"/>
      <w:pPr>
        <w:ind w:left="2852" w:hanging="360"/>
      </w:pPr>
      <w:rPr>
        <w:rFonts w:ascii="Courier New" w:hAnsi="Courier New" w:cs="Courier New" w:hint="default"/>
      </w:rPr>
    </w:lvl>
    <w:lvl w:ilvl="2" w:tplc="080A0005" w:tentative="1">
      <w:start w:val="1"/>
      <w:numFmt w:val="bullet"/>
      <w:lvlText w:val=""/>
      <w:lvlJc w:val="left"/>
      <w:pPr>
        <w:ind w:left="3572" w:hanging="360"/>
      </w:pPr>
      <w:rPr>
        <w:rFonts w:ascii="Wingdings" w:hAnsi="Wingdings" w:hint="default"/>
      </w:rPr>
    </w:lvl>
    <w:lvl w:ilvl="3" w:tplc="080A0001" w:tentative="1">
      <w:start w:val="1"/>
      <w:numFmt w:val="bullet"/>
      <w:lvlText w:val=""/>
      <w:lvlJc w:val="left"/>
      <w:pPr>
        <w:ind w:left="4292" w:hanging="360"/>
      </w:pPr>
      <w:rPr>
        <w:rFonts w:ascii="Symbol" w:hAnsi="Symbol" w:hint="default"/>
      </w:rPr>
    </w:lvl>
    <w:lvl w:ilvl="4" w:tplc="080A0003" w:tentative="1">
      <w:start w:val="1"/>
      <w:numFmt w:val="bullet"/>
      <w:lvlText w:val="o"/>
      <w:lvlJc w:val="left"/>
      <w:pPr>
        <w:ind w:left="5012" w:hanging="360"/>
      </w:pPr>
      <w:rPr>
        <w:rFonts w:ascii="Courier New" w:hAnsi="Courier New" w:cs="Courier New" w:hint="default"/>
      </w:rPr>
    </w:lvl>
    <w:lvl w:ilvl="5" w:tplc="080A0005" w:tentative="1">
      <w:start w:val="1"/>
      <w:numFmt w:val="bullet"/>
      <w:lvlText w:val=""/>
      <w:lvlJc w:val="left"/>
      <w:pPr>
        <w:ind w:left="5732" w:hanging="360"/>
      </w:pPr>
      <w:rPr>
        <w:rFonts w:ascii="Wingdings" w:hAnsi="Wingdings" w:hint="default"/>
      </w:rPr>
    </w:lvl>
    <w:lvl w:ilvl="6" w:tplc="080A0001" w:tentative="1">
      <w:start w:val="1"/>
      <w:numFmt w:val="bullet"/>
      <w:lvlText w:val=""/>
      <w:lvlJc w:val="left"/>
      <w:pPr>
        <w:ind w:left="6452" w:hanging="360"/>
      </w:pPr>
      <w:rPr>
        <w:rFonts w:ascii="Symbol" w:hAnsi="Symbol" w:hint="default"/>
      </w:rPr>
    </w:lvl>
    <w:lvl w:ilvl="7" w:tplc="080A0003" w:tentative="1">
      <w:start w:val="1"/>
      <w:numFmt w:val="bullet"/>
      <w:lvlText w:val="o"/>
      <w:lvlJc w:val="left"/>
      <w:pPr>
        <w:ind w:left="7172" w:hanging="360"/>
      </w:pPr>
      <w:rPr>
        <w:rFonts w:ascii="Courier New" w:hAnsi="Courier New" w:cs="Courier New" w:hint="default"/>
      </w:rPr>
    </w:lvl>
    <w:lvl w:ilvl="8" w:tplc="080A0005" w:tentative="1">
      <w:start w:val="1"/>
      <w:numFmt w:val="bullet"/>
      <w:lvlText w:val=""/>
      <w:lvlJc w:val="left"/>
      <w:pPr>
        <w:ind w:left="7892" w:hanging="360"/>
      </w:pPr>
      <w:rPr>
        <w:rFonts w:ascii="Wingdings" w:hAnsi="Wingdings" w:hint="default"/>
      </w:rPr>
    </w:lvl>
  </w:abstractNum>
  <w:abstractNum w:abstractNumId="11"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D1C232B"/>
    <w:multiLevelType w:val="hybridMultilevel"/>
    <w:tmpl w:val="286402A4"/>
    <w:lvl w:ilvl="0" w:tplc="C79E8B4E">
      <w:start w:val="1"/>
      <w:numFmt w:val="lowerRoman"/>
      <w:lvlText w:val="%1)"/>
      <w:lvlJc w:val="left"/>
      <w:pPr>
        <w:ind w:left="1287" w:hanging="360"/>
      </w:pPr>
      <w:rPr>
        <w:rFonts w:ascii="ITC Avant Garde" w:eastAsia="Times New Roman" w:hAnsi="ITC Avant Garde" w:cs="Times New Roman"/>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3E3F42E0"/>
    <w:multiLevelType w:val="multilevel"/>
    <w:tmpl w:val="1F7C47F2"/>
    <w:lvl w:ilvl="0">
      <w:start w:val="1"/>
      <w:numFmt w:val="upperRoman"/>
      <w:lvlText w:val="%1."/>
      <w:lvlJc w:val="left"/>
      <w:pPr>
        <w:ind w:left="720" w:hanging="360"/>
      </w:pPr>
    </w:lvl>
    <w:lvl w:ilvl="1">
      <w:start w:val="1"/>
      <w:numFmt w:val="decimal"/>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041590"/>
    <w:multiLevelType w:val="hybridMultilevel"/>
    <w:tmpl w:val="E75A207C"/>
    <w:lvl w:ilvl="0" w:tplc="080A0001">
      <w:start w:val="1"/>
      <w:numFmt w:val="bullet"/>
      <w:lvlText w:val=""/>
      <w:lvlJc w:val="left"/>
      <w:pPr>
        <w:ind w:left="1080" w:hanging="72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8" w15:restartNumberingAfterBreak="0">
    <w:nsid w:val="537E5918"/>
    <w:multiLevelType w:val="hybridMultilevel"/>
    <w:tmpl w:val="D74E4446"/>
    <w:lvl w:ilvl="0" w:tplc="3044EAC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1" w15:restartNumberingAfterBreak="0">
    <w:nsid w:val="6B9040B4"/>
    <w:multiLevelType w:val="hybridMultilevel"/>
    <w:tmpl w:val="D95C20E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6BA67DE5"/>
    <w:multiLevelType w:val="hybridMultilevel"/>
    <w:tmpl w:val="74EAA874"/>
    <w:lvl w:ilvl="0" w:tplc="DE1EA58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FB703B"/>
    <w:multiLevelType w:val="hybridMultilevel"/>
    <w:tmpl w:val="D0E6C87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768C308E"/>
    <w:multiLevelType w:val="hybridMultilevel"/>
    <w:tmpl w:val="BE625C90"/>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B81516"/>
    <w:multiLevelType w:val="multilevel"/>
    <w:tmpl w:val="0C628B86"/>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7668DA"/>
    <w:multiLevelType w:val="hybridMultilevel"/>
    <w:tmpl w:val="07CA34CA"/>
    <w:lvl w:ilvl="0" w:tplc="3028E52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FA65F3B"/>
    <w:multiLevelType w:val="hybridMultilevel"/>
    <w:tmpl w:val="67EE6C9A"/>
    <w:lvl w:ilvl="0" w:tplc="7A349674">
      <w:start w:val="2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1"/>
  </w:num>
  <w:num w:numId="2">
    <w:abstractNumId w:val="19"/>
  </w:num>
  <w:num w:numId="3">
    <w:abstractNumId w:val="8"/>
  </w:num>
  <w:num w:numId="4">
    <w:abstractNumId w:val="15"/>
  </w:num>
  <w:num w:numId="5">
    <w:abstractNumId w:val="17"/>
  </w:num>
  <w:num w:numId="6">
    <w:abstractNumId w:val="23"/>
  </w:num>
  <w:num w:numId="7">
    <w:abstractNumId w:val="3"/>
  </w:num>
  <w:num w:numId="8">
    <w:abstractNumId w:val="4"/>
  </w:num>
  <w:num w:numId="9">
    <w:abstractNumId w:val="7"/>
  </w:num>
  <w:num w:numId="10">
    <w:abstractNumId w:val="22"/>
  </w:num>
  <w:num w:numId="11">
    <w:abstractNumId w:val="6"/>
  </w:num>
  <w:num w:numId="12">
    <w:abstractNumId w:val="27"/>
  </w:num>
  <w:num w:numId="13">
    <w:abstractNumId w:val="28"/>
  </w:num>
  <w:num w:numId="14">
    <w:abstractNumId w:val="21"/>
  </w:num>
  <w:num w:numId="15">
    <w:abstractNumId w:val="14"/>
  </w:num>
  <w:num w:numId="16">
    <w:abstractNumId w:val="2"/>
  </w:num>
  <w:num w:numId="17">
    <w:abstractNumId w:val="20"/>
  </w:num>
  <w:num w:numId="18">
    <w:abstractNumId w:val="16"/>
  </w:num>
  <w:num w:numId="19">
    <w:abstractNumId w:val="18"/>
  </w:num>
  <w:num w:numId="20">
    <w:abstractNumId w:val="10"/>
  </w:num>
  <w:num w:numId="21">
    <w:abstractNumId w:val="0"/>
  </w:num>
  <w:num w:numId="22">
    <w:abstractNumId w:val="9"/>
  </w:num>
  <w:num w:numId="23">
    <w:abstractNumId w:val="24"/>
  </w:num>
  <w:num w:numId="24">
    <w:abstractNumId w:val="12"/>
  </w:num>
  <w:num w:numId="25">
    <w:abstractNumId w:val="26"/>
  </w:num>
  <w:num w:numId="26">
    <w:abstractNumId w:val="1"/>
  </w:num>
  <w:num w:numId="27">
    <w:abstractNumId w:val="13"/>
  </w:num>
  <w:num w:numId="28">
    <w:abstractNumId w:val="2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D3"/>
    <w:rsid w:val="0000011E"/>
    <w:rsid w:val="00000AF6"/>
    <w:rsid w:val="000013E4"/>
    <w:rsid w:val="0000341D"/>
    <w:rsid w:val="00004139"/>
    <w:rsid w:val="00004279"/>
    <w:rsid w:val="00010FB7"/>
    <w:rsid w:val="000116D0"/>
    <w:rsid w:val="00011FCA"/>
    <w:rsid w:val="0001314F"/>
    <w:rsid w:val="00014EFF"/>
    <w:rsid w:val="000154B0"/>
    <w:rsid w:val="000158A1"/>
    <w:rsid w:val="00016AC9"/>
    <w:rsid w:val="00016C54"/>
    <w:rsid w:val="000173C1"/>
    <w:rsid w:val="00020418"/>
    <w:rsid w:val="00022A13"/>
    <w:rsid w:val="00022B85"/>
    <w:rsid w:val="00023EF7"/>
    <w:rsid w:val="0002413B"/>
    <w:rsid w:val="00024F70"/>
    <w:rsid w:val="0002568E"/>
    <w:rsid w:val="00025F9B"/>
    <w:rsid w:val="00037344"/>
    <w:rsid w:val="00037D31"/>
    <w:rsid w:val="000417FF"/>
    <w:rsid w:val="000424C3"/>
    <w:rsid w:val="000448E7"/>
    <w:rsid w:val="0004564C"/>
    <w:rsid w:val="000500D9"/>
    <w:rsid w:val="00052CFA"/>
    <w:rsid w:val="0005470B"/>
    <w:rsid w:val="000611AD"/>
    <w:rsid w:val="00062667"/>
    <w:rsid w:val="00062C40"/>
    <w:rsid w:val="000645F4"/>
    <w:rsid w:val="000646C5"/>
    <w:rsid w:val="00066E53"/>
    <w:rsid w:val="0007006A"/>
    <w:rsid w:val="00071026"/>
    <w:rsid w:val="00072221"/>
    <w:rsid w:val="00072BC8"/>
    <w:rsid w:val="00072D11"/>
    <w:rsid w:val="00074BE0"/>
    <w:rsid w:val="00074C09"/>
    <w:rsid w:val="00075254"/>
    <w:rsid w:val="000775ED"/>
    <w:rsid w:val="00077657"/>
    <w:rsid w:val="000816BE"/>
    <w:rsid w:val="00082D03"/>
    <w:rsid w:val="000837C7"/>
    <w:rsid w:val="00085181"/>
    <w:rsid w:val="000851CE"/>
    <w:rsid w:val="00090D4C"/>
    <w:rsid w:val="00096CC8"/>
    <w:rsid w:val="000A0A9F"/>
    <w:rsid w:val="000A1861"/>
    <w:rsid w:val="000A1E6A"/>
    <w:rsid w:val="000A22CB"/>
    <w:rsid w:val="000A2865"/>
    <w:rsid w:val="000A3B10"/>
    <w:rsid w:val="000A3E65"/>
    <w:rsid w:val="000A3F27"/>
    <w:rsid w:val="000A62EA"/>
    <w:rsid w:val="000B109B"/>
    <w:rsid w:val="000B1B50"/>
    <w:rsid w:val="000B1DF8"/>
    <w:rsid w:val="000B5E58"/>
    <w:rsid w:val="000B715C"/>
    <w:rsid w:val="000B7FD1"/>
    <w:rsid w:val="000C1A62"/>
    <w:rsid w:val="000C474A"/>
    <w:rsid w:val="000C4C55"/>
    <w:rsid w:val="000C5AC2"/>
    <w:rsid w:val="000D2318"/>
    <w:rsid w:val="000D31F4"/>
    <w:rsid w:val="000D6B83"/>
    <w:rsid w:val="000E3F73"/>
    <w:rsid w:val="000F17CF"/>
    <w:rsid w:val="000F4D94"/>
    <w:rsid w:val="000F5345"/>
    <w:rsid w:val="000F5AC1"/>
    <w:rsid w:val="000F5E4B"/>
    <w:rsid w:val="00100DE3"/>
    <w:rsid w:val="00106523"/>
    <w:rsid w:val="001074E7"/>
    <w:rsid w:val="00112C0E"/>
    <w:rsid w:val="00112EF1"/>
    <w:rsid w:val="00113076"/>
    <w:rsid w:val="00114E54"/>
    <w:rsid w:val="00115272"/>
    <w:rsid w:val="001154FD"/>
    <w:rsid w:val="001168E5"/>
    <w:rsid w:val="00116E48"/>
    <w:rsid w:val="0012257F"/>
    <w:rsid w:val="001246FE"/>
    <w:rsid w:val="00126DEC"/>
    <w:rsid w:val="00127F83"/>
    <w:rsid w:val="001332E8"/>
    <w:rsid w:val="00136292"/>
    <w:rsid w:val="00136C0E"/>
    <w:rsid w:val="00137407"/>
    <w:rsid w:val="00137A66"/>
    <w:rsid w:val="00140293"/>
    <w:rsid w:val="00141FE7"/>
    <w:rsid w:val="001425EA"/>
    <w:rsid w:val="00144765"/>
    <w:rsid w:val="0014549E"/>
    <w:rsid w:val="0014766B"/>
    <w:rsid w:val="0014770A"/>
    <w:rsid w:val="00147884"/>
    <w:rsid w:val="001503CA"/>
    <w:rsid w:val="00150EFA"/>
    <w:rsid w:val="001518E2"/>
    <w:rsid w:val="00151C5F"/>
    <w:rsid w:val="0015235A"/>
    <w:rsid w:val="001523E6"/>
    <w:rsid w:val="00153356"/>
    <w:rsid w:val="00157961"/>
    <w:rsid w:val="0016161E"/>
    <w:rsid w:val="00163FD3"/>
    <w:rsid w:val="00164246"/>
    <w:rsid w:val="0016577A"/>
    <w:rsid w:val="0017373F"/>
    <w:rsid w:val="0017406A"/>
    <w:rsid w:val="00175D28"/>
    <w:rsid w:val="00176654"/>
    <w:rsid w:val="00177FB0"/>
    <w:rsid w:val="001801FE"/>
    <w:rsid w:val="00180454"/>
    <w:rsid w:val="00180C08"/>
    <w:rsid w:val="00181018"/>
    <w:rsid w:val="0018572D"/>
    <w:rsid w:val="00190FBB"/>
    <w:rsid w:val="00192A33"/>
    <w:rsid w:val="00193FA8"/>
    <w:rsid w:val="001A3049"/>
    <w:rsid w:val="001A58D7"/>
    <w:rsid w:val="001A62B7"/>
    <w:rsid w:val="001A64C7"/>
    <w:rsid w:val="001A6B6F"/>
    <w:rsid w:val="001B12B0"/>
    <w:rsid w:val="001B2763"/>
    <w:rsid w:val="001B3C73"/>
    <w:rsid w:val="001B58A1"/>
    <w:rsid w:val="001B6D97"/>
    <w:rsid w:val="001B7748"/>
    <w:rsid w:val="001B7EA2"/>
    <w:rsid w:val="001C15FF"/>
    <w:rsid w:val="001C4618"/>
    <w:rsid w:val="001C59C5"/>
    <w:rsid w:val="001C71A8"/>
    <w:rsid w:val="001D0F10"/>
    <w:rsid w:val="001D1F01"/>
    <w:rsid w:val="001D4B81"/>
    <w:rsid w:val="001D7AC9"/>
    <w:rsid w:val="001D7B26"/>
    <w:rsid w:val="001E285C"/>
    <w:rsid w:val="001E3808"/>
    <w:rsid w:val="001E5C52"/>
    <w:rsid w:val="001E7493"/>
    <w:rsid w:val="001E7950"/>
    <w:rsid w:val="001F198E"/>
    <w:rsid w:val="001F592A"/>
    <w:rsid w:val="001F631A"/>
    <w:rsid w:val="001F666E"/>
    <w:rsid w:val="001F68A3"/>
    <w:rsid w:val="001F70DB"/>
    <w:rsid w:val="001F7833"/>
    <w:rsid w:val="002006D7"/>
    <w:rsid w:val="00201859"/>
    <w:rsid w:val="00202E7B"/>
    <w:rsid w:val="00204D15"/>
    <w:rsid w:val="002052C0"/>
    <w:rsid w:val="002104B6"/>
    <w:rsid w:val="0021629B"/>
    <w:rsid w:val="00216627"/>
    <w:rsid w:val="00216D6B"/>
    <w:rsid w:val="0022041E"/>
    <w:rsid w:val="00221568"/>
    <w:rsid w:val="00221CD0"/>
    <w:rsid w:val="00223483"/>
    <w:rsid w:val="00223FEF"/>
    <w:rsid w:val="0022472D"/>
    <w:rsid w:val="00224AFA"/>
    <w:rsid w:val="00224BA8"/>
    <w:rsid w:val="00225232"/>
    <w:rsid w:val="00225323"/>
    <w:rsid w:val="00226F42"/>
    <w:rsid w:val="0022735C"/>
    <w:rsid w:val="0022796A"/>
    <w:rsid w:val="00230293"/>
    <w:rsid w:val="002315C3"/>
    <w:rsid w:val="00235B48"/>
    <w:rsid w:val="0023752B"/>
    <w:rsid w:val="00240339"/>
    <w:rsid w:val="002407D9"/>
    <w:rsid w:val="002512DD"/>
    <w:rsid w:val="002518F4"/>
    <w:rsid w:val="00253E0D"/>
    <w:rsid w:val="00254051"/>
    <w:rsid w:val="0025762E"/>
    <w:rsid w:val="00262105"/>
    <w:rsid w:val="00262345"/>
    <w:rsid w:val="002656A1"/>
    <w:rsid w:val="00265997"/>
    <w:rsid w:val="00267C6A"/>
    <w:rsid w:val="002731B7"/>
    <w:rsid w:val="00274C72"/>
    <w:rsid w:val="002760D7"/>
    <w:rsid w:val="00276B73"/>
    <w:rsid w:val="00276D2C"/>
    <w:rsid w:val="00276FC3"/>
    <w:rsid w:val="002779D1"/>
    <w:rsid w:val="00277BFB"/>
    <w:rsid w:val="00281886"/>
    <w:rsid w:val="00281968"/>
    <w:rsid w:val="00283E1C"/>
    <w:rsid w:val="0028574E"/>
    <w:rsid w:val="00286BB0"/>
    <w:rsid w:val="00286D88"/>
    <w:rsid w:val="0028770F"/>
    <w:rsid w:val="002901D8"/>
    <w:rsid w:val="002915DF"/>
    <w:rsid w:val="00291D3B"/>
    <w:rsid w:val="0029348C"/>
    <w:rsid w:val="002937F4"/>
    <w:rsid w:val="00296480"/>
    <w:rsid w:val="002A489F"/>
    <w:rsid w:val="002A5CD0"/>
    <w:rsid w:val="002B00D1"/>
    <w:rsid w:val="002B18B2"/>
    <w:rsid w:val="002B35AD"/>
    <w:rsid w:val="002B5CCD"/>
    <w:rsid w:val="002B794C"/>
    <w:rsid w:val="002C0295"/>
    <w:rsid w:val="002C0B06"/>
    <w:rsid w:val="002C2F8D"/>
    <w:rsid w:val="002C324A"/>
    <w:rsid w:val="002C3B54"/>
    <w:rsid w:val="002C3EAE"/>
    <w:rsid w:val="002C4B36"/>
    <w:rsid w:val="002C4DD5"/>
    <w:rsid w:val="002C50F9"/>
    <w:rsid w:val="002C5612"/>
    <w:rsid w:val="002C5AE0"/>
    <w:rsid w:val="002D08D4"/>
    <w:rsid w:val="002D0F52"/>
    <w:rsid w:val="002D287C"/>
    <w:rsid w:val="002D52BD"/>
    <w:rsid w:val="002D7BFA"/>
    <w:rsid w:val="002E1806"/>
    <w:rsid w:val="002E4A09"/>
    <w:rsid w:val="002E4C83"/>
    <w:rsid w:val="002E51E1"/>
    <w:rsid w:val="002E6CEC"/>
    <w:rsid w:val="002E6D11"/>
    <w:rsid w:val="002E772F"/>
    <w:rsid w:val="002F047E"/>
    <w:rsid w:val="002F19A3"/>
    <w:rsid w:val="002F42D9"/>
    <w:rsid w:val="0030086B"/>
    <w:rsid w:val="00302C8B"/>
    <w:rsid w:val="003043AE"/>
    <w:rsid w:val="003050F2"/>
    <w:rsid w:val="0030593F"/>
    <w:rsid w:val="00306582"/>
    <w:rsid w:val="00306A37"/>
    <w:rsid w:val="00306B89"/>
    <w:rsid w:val="00311B0A"/>
    <w:rsid w:val="003120FF"/>
    <w:rsid w:val="003139D2"/>
    <w:rsid w:val="00315BCE"/>
    <w:rsid w:val="00317244"/>
    <w:rsid w:val="003172FD"/>
    <w:rsid w:val="00317E61"/>
    <w:rsid w:val="00320141"/>
    <w:rsid w:val="0032128F"/>
    <w:rsid w:val="00322C94"/>
    <w:rsid w:val="00326D29"/>
    <w:rsid w:val="00331BF9"/>
    <w:rsid w:val="003335A6"/>
    <w:rsid w:val="003349D8"/>
    <w:rsid w:val="00334D4F"/>
    <w:rsid w:val="00335F51"/>
    <w:rsid w:val="00336651"/>
    <w:rsid w:val="00341067"/>
    <w:rsid w:val="003419DD"/>
    <w:rsid w:val="00342A5A"/>
    <w:rsid w:val="00342F03"/>
    <w:rsid w:val="003453A2"/>
    <w:rsid w:val="00345AA7"/>
    <w:rsid w:val="00345EE1"/>
    <w:rsid w:val="00347BAD"/>
    <w:rsid w:val="003501A4"/>
    <w:rsid w:val="00350911"/>
    <w:rsid w:val="00351D52"/>
    <w:rsid w:val="00353CD8"/>
    <w:rsid w:val="003546A7"/>
    <w:rsid w:val="003555E9"/>
    <w:rsid w:val="00362444"/>
    <w:rsid w:val="00363D3F"/>
    <w:rsid w:val="00367EE9"/>
    <w:rsid w:val="00371021"/>
    <w:rsid w:val="00371986"/>
    <w:rsid w:val="003733A5"/>
    <w:rsid w:val="003753BE"/>
    <w:rsid w:val="003753ED"/>
    <w:rsid w:val="003765D8"/>
    <w:rsid w:val="00377637"/>
    <w:rsid w:val="00380710"/>
    <w:rsid w:val="00380D53"/>
    <w:rsid w:val="003818A7"/>
    <w:rsid w:val="00385C0C"/>
    <w:rsid w:val="0038735F"/>
    <w:rsid w:val="00387BAB"/>
    <w:rsid w:val="00390C9D"/>
    <w:rsid w:val="003919D8"/>
    <w:rsid w:val="00394ECE"/>
    <w:rsid w:val="00395231"/>
    <w:rsid w:val="003A19FB"/>
    <w:rsid w:val="003A1B0D"/>
    <w:rsid w:val="003A59B8"/>
    <w:rsid w:val="003A5ED7"/>
    <w:rsid w:val="003B0784"/>
    <w:rsid w:val="003B22D6"/>
    <w:rsid w:val="003B2407"/>
    <w:rsid w:val="003B4299"/>
    <w:rsid w:val="003B440E"/>
    <w:rsid w:val="003B51E6"/>
    <w:rsid w:val="003B5466"/>
    <w:rsid w:val="003B589E"/>
    <w:rsid w:val="003B675E"/>
    <w:rsid w:val="003B6BAC"/>
    <w:rsid w:val="003C29D1"/>
    <w:rsid w:val="003C2A85"/>
    <w:rsid w:val="003D2D2F"/>
    <w:rsid w:val="003D549F"/>
    <w:rsid w:val="003D6094"/>
    <w:rsid w:val="003E1E59"/>
    <w:rsid w:val="003E3D0C"/>
    <w:rsid w:val="003E3F7C"/>
    <w:rsid w:val="003E4054"/>
    <w:rsid w:val="003E4F3A"/>
    <w:rsid w:val="003E4FDE"/>
    <w:rsid w:val="003E5B75"/>
    <w:rsid w:val="003F1974"/>
    <w:rsid w:val="003F3B5A"/>
    <w:rsid w:val="003F4AF2"/>
    <w:rsid w:val="003F5EA8"/>
    <w:rsid w:val="003F6566"/>
    <w:rsid w:val="003F6DC0"/>
    <w:rsid w:val="003F796C"/>
    <w:rsid w:val="00404708"/>
    <w:rsid w:val="00404EF4"/>
    <w:rsid w:val="004052B4"/>
    <w:rsid w:val="004125E6"/>
    <w:rsid w:val="004133E4"/>
    <w:rsid w:val="00414F53"/>
    <w:rsid w:val="00415E0A"/>
    <w:rsid w:val="00416051"/>
    <w:rsid w:val="004174FC"/>
    <w:rsid w:val="00420FA3"/>
    <w:rsid w:val="00421F83"/>
    <w:rsid w:val="00425C17"/>
    <w:rsid w:val="00427278"/>
    <w:rsid w:val="00427C38"/>
    <w:rsid w:val="004309F6"/>
    <w:rsid w:val="00431BC9"/>
    <w:rsid w:val="004353C1"/>
    <w:rsid w:val="00440EBB"/>
    <w:rsid w:val="00441755"/>
    <w:rsid w:val="0044232E"/>
    <w:rsid w:val="004424A1"/>
    <w:rsid w:val="00446858"/>
    <w:rsid w:val="00450A26"/>
    <w:rsid w:val="004518C5"/>
    <w:rsid w:val="00452045"/>
    <w:rsid w:val="00453E39"/>
    <w:rsid w:val="00454A27"/>
    <w:rsid w:val="00455B90"/>
    <w:rsid w:val="00460657"/>
    <w:rsid w:val="00460750"/>
    <w:rsid w:val="00461DE8"/>
    <w:rsid w:val="0046347B"/>
    <w:rsid w:val="00463AC8"/>
    <w:rsid w:val="004663FA"/>
    <w:rsid w:val="004679C9"/>
    <w:rsid w:val="00473665"/>
    <w:rsid w:val="00476447"/>
    <w:rsid w:val="00483994"/>
    <w:rsid w:val="004848FF"/>
    <w:rsid w:val="00485093"/>
    <w:rsid w:val="00490B25"/>
    <w:rsid w:val="004964D7"/>
    <w:rsid w:val="004A1C34"/>
    <w:rsid w:val="004A37DE"/>
    <w:rsid w:val="004A5250"/>
    <w:rsid w:val="004A58E3"/>
    <w:rsid w:val="004A71B3"/>
    <w:rsid w:val="004B08AA"/>
    <w:rsid w:val="004B12EE"/>
    <w:rsid w:val="004B2F5F"/>
    <w:rsid w:val="004B323F"/>
    <w:rsid w:val="004B4C83"/>
    <w:rsid w:val="004B56B1"/>
    <w:rsid w:val="004B5A48"/>
    <w:rsid w:val="004B79A0"/>
    <w:rsid w:val="004C00EE"/>
    <w:rsid w:val="004C0BCC"/>
    <w:rsid w:val="004C0E44"/>
    <w:rsid w:val="004C1528"/>
    <w:rsid w:val="004C249C"/>
    <w:rsid w:val="004C3ABA"/>
    <w:rsid w:val="004D15F9"/>
    <w:rsid w:val="004D1AAD"/>
    <w:rsid w:val="004D3822"/>
    <w:rsid w:val="004D43D6"/>
    <w:rsid w:val="004D7684"/>
    <w:rsid w:val="004E15EF"/>
    <w:rsid w:val="004E2743"/>
    <w:rsid w:val="004E4158"/>
    <w:rsid w:val="004E775E"/>
    <w:rsid w:val="004F0618"/>
    <w:rsid w:val="004F1332"/>
    <w:rsid w:val="004F4E8E"/>
    <w:rsid w:val="004F5248"/>
    <w:rsid w:val="004F5813"/>
    <w:rsid w:val="004F6E26"/>
    <w:rsid w:val="005005BE"/>
    <w:rsid w:val="0050163C"/>
    <w:rsid w:val="00501C91"/>
    <w:rsid w:val="00502BE6"/>
    <w:rsid w:val="00504F34"/>
    <w:rsid w:val="00504FF0"/>
    <w:rsid w:val="00505436"/>
    <w:rsid w:val="0050609D"/>
    <w:rsid w:val="005062A1"/>
    <w:rsid w:val="00510452"/>
    <w:rsid w:val="00511A1F"/>
    <w:rsid w:val="0051488F"/>
    <w:rsid w:val="005161E4"/>
    <w:rsid w:val="00523517"/>
    <w:rsid w:val="00524115"/>
    <w:rsid w:val="00525EB2"/>
    <w:rsid w:val="00530F3C"/>
    <w:rsid w:val="0053154E"/>
    <w:rsid w:val="00531675"/>
    <w:rsid w:val="00531726"/>
    <w:rsid w:val="00531873"/>
    <w:rsid w:val="00532AFB"/>
    <w:rsid w:val="005331CC"/>
    <w:rsid w:val="0053565F"/>
    <w:rsid w:val="00535D48"/>
    <w:rsid w:val="00536B06"/>
    <w:rsid w:val="00537226"/>
    <w:rsid w:val="005374C2"/>
    <w:rsid w:val="005375DB"/>
    <w:rsid w:val="0053789B"/>
    <w:rsid w:val="00542B97"/>
    <w:rsid w:val="00543990"/>
    <w:rsid w:val="00543F7C"/>
    <w:rsid w:val="0055304D"/>
    <w:rsid w:val="00553828"/>
    <w:rsid w:val="0055497B"/>
    <w:rsid w:val="00554FF3"/>
    <w:rsid w:val="00560794"/>
    <w:rsid w:val="005616D6"/>
    <w:rsid w:val="0056245E"/>
    <w:rsid w:val="00563E87"/>
    <w:rsid w:val="0056424B"/>
    <w:rsid w:val="00570BE8"/>
    <w:rsid w:val="005717F6"/>
    <w:rsid w:val="00572775"/>
    <w:rsid w:val="0057333B"/>
    <w:rsid w:val="00573382"/>
    <w:rsid w:val="00575941"/>
    <w:rsid w:val="00577A20"/>
    <w:rsid w:val="00581FDE"/>
    <w:rsid w:val="0058409A"/>
    <w:rsid w:val="005840B5"/>
    <w:rsid w:val="00584E1B"/>
    <w:rsid w:val="00585535"/>
    <w:rsid w:val="00585784"/>
    <w:rsid w:val="005866C9"/>
    <w:rsid w:val="005903DD"/>
    <w:rsid w:val="005946BB"/>
    <w:rsid w:val="00594B56"/>
    <w:rsid w:val="005A1056"/>
    <w:rsid w:val="005A1FD9"/>
    <w:rsid w:val="005A4FB1"/>
    <w:rsid w:val="005A5075"/>
    <w:rsid w:val="005B0C52"/>
    <w:rsid w:val="005B449C"/>
    <w:rsid w:val="005B716E"/>
    <w:rsid w:val="005B782D"/>
    <w:rsid w:val="005B7D0F"/>
    <w:rsid w:val="005C086D"/>
    <w:rsid w:val="005C6080"/>
    <w:rsid w:val="005C6CB9"/>
    <w:rsid w:val="005D0313"/>
    <w:rsid w:val="005D16B2"/>
    <w:rsid w:val="005D4A72"/>
    <w:rsid w:val="005D5063"/>
    <w:rsid w:val="005D58F5"/>
    <w:rsid w:val="005D60EC"/>
    <w:rsid w:val="005D6385"/>
    <w:rsid w:val="005D765E"/>
    <w:rsid w:val="005D7D7C"/>
    <w:rsid w:val="005E0907"/>
    <w:rsid w:val="005E164A"/>
    <w:rsid w:val="005E37DE"/>
    <w:rsid w:val="005E4149"/>
    <w:rsid w:val="005E462B"/>
    <w:rsid w:val="005E6658"/>
    <w:rsid w:val="005F2A3E"/>
    <w:rsid w:val="005F5125"/>
    <w:rsid w:val="005F53B1"/>
    <w:rsid w:val="005F5B4B"/>
    <w:rsid w:val="005F60D7"/>
    <w:rsid w:val="005F6492"/>
    <w:rsid w:val="005F64A1"/>
    <w:rsid w:val="00600DA5"/>
    <w:rsid w:val="00612D3D"/>
    <w:rsid w:val="0062270B"/>
    <w:rsid w:val="00622ABA"/>
    <w:rsid w:val="00622E34"/>
    <w:rsid w:val="00623650"/>
    <w:rsid w:val="00623B3E"/>
    <w:rsid w:val="00625CA5"/>
    <w:rsid w:val="00626EF3"/>
    <w:rsid w:val="006277D4"/>
    <w:rsid w:val="00632357"/>
    <w:rsid w:val="00633304"/>
    <w:rsid w:val="0063399D"/>
    <w:rsid w:val="006376CC"/>
    <w:rsid w:val="00637B22"/>
    <w:rsid w:val="00642EC8"/>
    <w:rsid w:val="00644702"/>
    <w:rsid w:val="00644755"/>
    <w:rsid w:val="00644F4E"/>
    <w:rsid w:val="0064694C"/>
    <w:rsid w:val="006479C5"/>
    <w:rsid w:val="0065009F"/>
    <w:rsid w:val="006527CB"/>
    <w:rsid w:val="00654467"/>
    <w:rsid w:val="00655179"/>
    <w:rsid w:val="0065585C"/>
    <w:rsid w:val="00661C6B"/>
    <w:rsid w:val="006621D6"/>
    <w:rsid w:val="006649DC"/>
    <w:rsid w:val="00664C11"/>
    <w:rsid w:val="006651D2"/>
    <w:rsid w:val="006709B8"/>
    <w:rsid w:val="00670C4E"/>
    <w:rsid w:val="0067323D"/>
    <w:rsid w:val="00674E5F"/>
    <w:rsid w:val="00675D53"/>
    <w:rsid w:val="0067717E"/>
    <w:rsid w:val="00683723"/>
    <w:rsid w:val="0068412C"/>
    <w:rsid w:val="006902A6"/>
    <w:rsid w:val="00692585"/>
    <w:rsid w:val="00693930"/>
    <w:rsid w:val="00695C99"/>
    <w:rsid w:val="00697F26"/>
    <w:rsid w:val="006A095E"/>
    <w:rsid w:val="006A26FC"/>
    <w:rsid w:val="006A38C6"/>
    <w:rsid w:val="006A4E88"/>
    <w:rsid w:val="006A53AA"/>
    <w:rsid w:val="006A65F2"/>
    <w:rsid w:val="006B0BB4"/>
    <w:rsid w:val="006B191F"/>
    <w:rsid w:val="006B2C48"/>
    <w:rsid w:val="006B4376"/>
    <w:rsid w:val="006B6504"/>
    <w:rsid w:val="006B72B8"/>
    <w:rsid w:val="006C37D1"/>
    <w:rsid w:val="006C4E42"/>
    <w:rsid w:val="006C76B3"/>
    <w:rsid w:val="006D1E43"/>
    <w:rsid w:val="006D21C8"/>
    <w:rsid w:val="006D59CB"/>
    <w:rsid w:val="006E13FD"/>
    <w:rsid w:val="006E1D6B"/>
    <w:rsid w:val="006E2D8C"/>
    <w:rsid w:val="006E6056"/>
    <w:rsid w:val="006F0187"/>
    <w:rsid w:val="006F18DD"/>
    <w:rsid w:val="006F257F"/>
    <w:rsid w:val="006F4357"/>
    <w:rsid w:val="006F4F25"/>
    <w:rsid w:val="006F5467"/>
    <w:rsid w:val="006F59FB"/>
    <w:rsid w:val="00700FD3"/>
    <w:rsid w:val="00701B8C"/>
    <w:rsid w:val="00702F7A"/>
    <w:rsid w:val="007052CA"/>
    <w:rsid w:val="00705ACA"/>
    <w:rsid w:val="0070679A"/>
    <w:rsid w:val="00707734"/>
    <w:rsid w:val="0071059B"/>
    <w:rsid w:val="00711548"/>
    <w:rsid w:val="0071165B"/>
    <w:rsid w:val="00714E84"/>
    <w:rsid w:val="00714FBE"/>
    <w:rsid w:val="0072029C"/>
    <w:rsid w:val="00721F23"/>
    <w:rsid w:val="0072207F"/>
    <w:rsid w:val="00722492"/>
    <w:rsid w:val="00723791"/>
    <w:rsid w:val="00724197"/>
    <w:rsid w:val="0072686B"/>
    <w:rsid w:val="00726BA0"/>
    <w:rsid w:val="00727387"/>
    <w:rsid w:val="0073223B"/>
    <w:rsid w:val="0073345E"/>
    <w:rsid w:val="0073457C"/>
    <w:rsid w:val="007350D4"/>
    <w:rsid w:val="00737250"/>
    <w:rsid w:val="007422FB"/>
    <w:rsid w:val="0074689A"/>
    <w:rsid w:val="007504EE"/>
    <w:rsid w:val="00750D1B"/>
    <w:rsid w:val="00751110"/>
    <w:rsid w:val="00754CAE"/>
    <w:rsid w:val="00760528"/>
    <w:rsid w:val="007619AB"/>
    <w:rsid w:val="00761C83"/>
    <w:rsid w:val="007631AF"/>
    <w:rsid w:val="00763340"/>
    <w:rsid w:val="007660E8"/>
    <w:rsid w:val="00771541"/>
    <w:rsid w:val="0077468A"/>
    <w:rsid w:val="007775B6"/>
    <w:rsid w:val="00777666"/>
    <w:rsid w:val="00777877"/>
    <w:rsid w:val="00780B84"/>
    <w:rsid w:val="0078216C"/>
    <w:rsid w:val="0078578F"/>
    <w:rsid w:val="00785FF6"/>
    <w:rsid w:val="00787527"/>
    <w:rsid w:val="00787EFC"/>
    <w:rsid w:val="0079033D"/>
    <w:rsid w:val="007942D6"/>
    <w:rsid w:val="00795C0A"/>
    <w:rsid w:val="007961CB"/>
    <w:rsid w:val="0079766B"/>
    <w:rsid w:val="007A1D0E"/>
    <w:rsid w:val="007A2B10"/>
    <w:rsid w:val="007A3687"/>
    <w:rsid w:val="007A5AF1"/>
    <w:rsid w:val="007A6F80"/>
    <w:rsid w:val="007B1149"/>
    <w:rsid w:val="007B2E45"/>
    <w:rsid w:val="007B2E7C"/>
    <w:rsid w:val="007B32ED"/>
    <w:rsid w:val="007B67A2"/>
    <w:rsid w:val="007B75EF"/>
    <w:rsid w:val="007B7D80"/>
    <w:rsid w:val="007C0890"/>
    <w:rsid w:val="007C20C8"/>
    <w:rsid w:val="007C255C"/>
    <w:rsid w:val="007C5464"/>
    <w:rsid w:val="007D2020"/>
    <w:rsid w:val="007D3BBA"/>
    <w:rsid w:val="007D50F7"/>
    <w:rsid w:val="007D71AF"/>
    <w:rsid w:val="007E0B84"/>
    <w:rsid w:val="007E1CCE"/>
    <w:rsid w:val="007E4EFA"/>
    <w:rsid w:val="007E5272"/>
    <w:rsid w:val="007E5CEC"/>
    <w:rsid w:val="007E5E60"/>
    <w:rsid w:val="007E6022"/>
    <w:rsid w:val="007E6235"/>
    <w:rsid w:val="007F0799"/>
    <w:rsid w:val="007F08CE"/>
    <w:rsid w:val="007F237A"/>
    <w:rsid w:val="007F33CB"/>
    <w:rsid w:val="007F47D5"/>
    <w:rsid w:val="007F695A"/>
    <w:rsid w:val="007F7D78"/>
    <w:rsid w:val="00800A0D"/>
    <w:rsid w:val="00800D47"/>
    <w:rsid w:val="00801488"/>
    <w:rsid w:val="00801866"/>
    <w:rsid w:val="00801C10"/>
    <w:rsid w:val="0080212D"/>
    <w:rsid w:val="008026B1"/>
    <w:rsid w:val="00803999"/>
    <w:rsid w:val="00804013"/>
    <w:rsid w:val="00806E32"/>
    <w:rsid w:val="00806E68"/>
    <w:rsid w:val="0080773D"/>
    <w:rsid w:val="00807FBE"/>
    <w:rsid w:val="00812122"/>
    <w:rsid w:val="0081381A"/>
    <w:rsid w:val="00813D1F"/>
    <w:rsid w:val="008147F1"/>
    <w:rsid w:val="00815766"/>
    <w:rsid w:val="00817BEA"/>
    <w:rsid w:val="00824C68"/>
    <w:rsid w:val="00824E5F"/>
    <w:rsid w:val="00836972"/>
    <w:rsid w:val="0083749F"/>
    <w:rsid w:val="008423FC"/>
    <w:rsid w:val="0084259E"/>
    <w:rsid w:val="00844F9C"/>
    <w:rsid w:val="008451E9"/>
    <w:rsid w:val="00845762"/>
    <w:rsid w:val="00846937"/>
    <w:rsid w:val="00846A5F"/>
    <w:rsid w:val="00847626"/>
    <w:rsid w:val="00847E64"/>
    <w:rsid w:val="00852A0A"/>
    <w:rsid w:val="00852C0D"/>
    <w:rsid w:val="00854371"/>
    <w:rsid w:val="00855F4D"/>
    <w:rsid w:val="00856778"/>
    <w:rsid w:val="008606E6"/>
    <w:rsid w:val="00860B94"/>
    <w:rsid w:val="00862533"/>
    <w:rsid w:val="00862D8E"/>
    <w:rsid w:val="00863B4A"/>
    <w:rsid w:val="00864E1F"/>
    <w:rsid w:val="008678C2"/>
    <w:rsid w:val="00872B46"/>
    <w:rsid w:val="00875F59"/>
    <w:rsid w:val="008810B4"/>
    <w:rsid w:val="008815FA"/>
    <w:rsid w:val="00881C9B"/>
    <w:rsid w:val="0088200D"/>
    <w:rsid w:val="0088666F"/>
    <w:rsid w:val="00890424"/>
    <w:rsid w:val="00890752"/>
    <w:rsid w:val="0089190F"/>
    <w:rsid w:val="00893CB1"/>
    <w:rsid w:val="008964DE"/>
    <w:rsid w:val="00896FD7"/>
    <w:rsid w:val="00897FD3"/>
    <w:rsid w:val="008A363B"/>
    <w:rsid w:val="008A6163"/>
    <w:rsid w:val="008A622F"/>
    <w:rsid w:val="008B04E6"/>
    <w:rsid w:val="008B2DEB"/>
    <w:rsid w:val="008B3B05"/>
    <w:rsid w:val="008B3C15"/>
    <w:rsid w:val="008B3C2A"/>
    <w:rsid w:val="008B4088"/>
    <w:rsid w:val="008B565F"/>
    <w:rsid w:val="008B6A26"/>
    <w:rsid w:val="008B6B2A"/>
    <w:rsid w:val="008B75EA"/>
    <w:rsid w:val="008C1C90"/>
    <w:rsid w:val="008C66F1"/>
    <w:rsid w:val="008C754C"/>
    <w:rsid w:val="008D0688"/>
    <w:rsid w:val="008D22DC"/>
    <w:rsid w:val="008D4107"/>
    <w:rsid w:val="008D4681"/>
    <w:rsid w:val="008D7D7B"/>
    <w:rsid w:val="008E0E14"/>
    <w:rsid w:val="008E1B1A"/>
    <w:rsid w:val="008E25B3"/>
    <w:rsid w:val="008E2F50"/>
    <w:rsid w:val="008E405B"/>
    <w:rsid w:val="008E46F0"/>
    <w:rsid w:val="008E5282"/>
    <w:rsid w:val="008E66CB"/>
    <w:rsid w:val="008E7D10"/>
    <w:rsid w:val="008F21EB"/>
    <w:rsid w:val="008F318F"/>
    <w:rsid w:val="008F5111"/>
    <w:rsid w:val="008F516F"/>
    <w:rsid w:val="008F5658"/>
    <w:rsid w:val="008F5A07"/>
    <w:rsid w:val="008F5FE1"/>
    <w:rsid w:val="008F6219"/>
    <w:rsid w:val="0090537E"/>
    <w:rsid w:val="009061F9"/>
    <w:rsid w:val="00906442"/>
    <w:rsid w:val="00906D98"/>
    <w:rsid w:val="00906DAA"/>
    <w:rsid w:val="009075F1"/>
    <w:rsid w:val="00910B3F"/>
    <w:rsid w:val="00910F22"/>
    <w:rsid w:val="00911BFF"/>
    <w:rsid w:val="00912184"/>
    <w:rsid w:val="00912C6D"/>
    <w:rsid w:val="009133DA"/>
    <w:rsid w:val="00913964"/>
    <w:rsid w:val="00913A3C"/>
    <w:rsid w:val="009166F8"/>
    <w:rsid w:val="00916A7E"/>
    <w:rsid w:val="00917F7E"/>
    <w:rsid w:val="00920E19"/>
    <w:rsid w:val="009216A5"/>
    <w:rsid w:val="00922A37"/>
    <w:rsid w:val="009246C3"/>
    <w:rsid w:val="009249E3"/>
    <w:rsid w:val="00925378"/>
    <w:rsid w:val="0092587C"/>
    <w:rsid w:val="00927D2D"/>
    <w:rsid w:val="00930132"/>
    <w:rsid w:val="00930A17"/>
    <w:rsid w:val="00931A48"/>
    <w:rsid w:val="00933E4F"/>
    <w:rsid w:val="00934AE3"/>
    <w:rsid w:val="00936CD8"/>
    <w:rsid w:val="00937A48"/>
    <w:rsid w:val="009403A5"/>
    <w:rsid w:val="00941A74"/>
    <w:rsid w:val="00942868"/>
    <w:rsid w:val="00943829"/>
    <w:rsid w:val="0094499A"/>
    <w:rsid w:val="00945BBC"/>
    <w:rsid w:val="00947586"/>
    <w:rsid w:val="00950A84"/>
    <w:rsid w:val="00950D1E"/>
    <w:rsid w:val="00950DE2"/>
    <w:rsid w:val="00952086"/>
    <w:rsid w:val="00952D23"/>
    <w:rsid w:val="009554C2"/>
    <w:rsid w:val="00955DDB"/>
    <w:rsid w:val="00956773"/>
    <w:rsid w:val="00957776"/>
    <w:rsid w:val="009604C5"/>
    <w:rsid w:val="00960A0F"/>
    <w:rsid w:val="00965DA9"/>
    <w:rsid w:val="00966A79"/>
    <w:rsid w:val="009673AD"/>
    <w:rsid w:val="0096750B"/>
    <w:rsid w:val="00967B8E"/>
    <w:rsid w:val="00967DAA"/>
    <w:rsid w:val="00967F0A"/>
    <w:rsid w:val="00972ED0"/>
    <w:rsid w:val="00973BF1"/>
    <w:rsid w:val="0097449D"/>
    <w:rsid w:val="00977BAF"/>
    <w:rsid w:val="0098125D"/>
    <w:rsid w:val="00981429"/>
    <w:rsid w:val="009815E2"/>
    <w:rsid w:val="00984D44"/>
    <w:rsid w:val="009909E8"/>
    <w:rsid w:val="00990AD9"/>
    <w:rsid w:val="009931CA"/>
    <w:rsid w:val="00995135"/>
    <w:rsid w:val="00996ED5"/>
    <w:rsid w:val="009A16BE"/>
    <w:rsid w:val="009A2AB2"/>
    <w:rsid w:val="009A5FC4"/>
    <w:rsid w:val="009A6296"/>
    <w:rsid w:val="009A758E"/>
    <w:rsid w:val="009B1780"/>
    <w:rsid w:val="009B3BA1"/>
    <w:rsid w:val="009B5408"/>
    <w:rsid w:val="009B7ADF"/>
    <w:rsid w:val="009B7C72"/>
    <w:rsid w:val="009C2967"/>
    <w:rsid w:val="009C2D6B"/>
    <w:rsid w:val="009C3B5E"/>
    <w:rsid w:val="009C3C32"/>
    <w:rsid w:val="009C3F87"/>
    <w:rsid w:val="009C4586"/>
    <w:rsid w:val="009D2F6F"/>
    <w:rsid w:val="009D3C28"/>
    <w:rsid w:val="009D568B"/>
    <w:rsid w:val="009D673B"/>
    <w:rsid w:val="009D6D37"/>
    <w:rsid w:val="009D6E1C"/>
    <w:rsid w:val="009D6F4E"/>
    <w:rsid w:val="009E014B"/>
    <w:rsid w:val="009E0304"/>
    <w:rsid w:val="009E0596"/>
    <w:rsid w:val="009E05BC"/>
    <w:rsid w:val="009E6C0C"/>
    <w:rsid w:val="009E79CE"/>
    <w:rsid w:val="009F0BF7"/>
    <w:rsid w:val="009F0F46"/>
    <w:rsid w:val="009F31DD"/>
    <w:rsid w:val="009F3718"/>
    <w:rsid w:val="009F3B58"/>
    <w:rsid w:val="009F520D"/>
    <w:rsid w:val="009F5D74"/>
    <w:rsid w:val="009F685F"/>
    <w:rsid w:val="009F74AB"/>
    <w:rsid w:val="009F74E8"/>
    <w:rsid w:val="00A0116B"/>
    <w:rsid w:val="00A0248E"/>
    <w:rsid w:val="00A029C5"/>
    <w:rsid w:val="00A04C6C"/>
    <w:rsid w:val="00A05256"/>
    <w:rsid w:val="00A069B9"/>
    <w:rsid w:val="00A06D0A"/>
    <w:rsid w:val="00A13BBB"/>
    <w:rsid w:val="00A14782"/>
    <w:rsid w:val="00A15C1A"/>
    <w:rsid w:val="00A15E3B"/>
    <w:rsid w:val="00A172BC"/>
    <w:rsid w:val="00A209A2"/>
    <w:rsid w:val="00A2130F"/>
    <w:rsid w:val="00A226B5"/>
    <w:rsid w:val="00A24A56"/>
    <w:rsid w:val="00A24FDC"/>
    <w:rsid w:val="00A252C8"/>
    <w:rsid w:val="00A25303"/>
    <w:rsid w:val="00A271AD"/>
    <w:rsid w:val="00A27AFC"/>
    <w:rsid w:val="00A27CEE"/>
    <w:rsid w:val="00A341D1"/>
    <w:rsid w:val="00A3626C"/>
    <w:rsid w:val="00A3726E"/>
    <w:rsid w:val="00A37CD4"/>
    <w:rsid w:val="00A37ECA"/>
    <w:rsid w:val="00A407D2"/>
    <w:rsid w:val="00A423CF"/>
    <w:rsid w:val="00A45984"/>
    <w:rsid w:val="00A50730"/>
    <w:rsid w:val="00A5087D"/>
    <w:rsid w:val="00A522BC"/>
    <w:rsid w:val="00A5582D"/>
    <w:rsid w:val="00A607E8"/>
    <w:rsid w:val="00A61AAB"/>
    <w:rsid w:val="00A62937"/>
    <w:rsid w:val="00A62AEA"/>
    <w:rsid w:val="00A63774"/>
    <w:rsid w:val="00A647C3"/>
    <w:rsid w:val="00A65137"/>
    <w:rsid w:val="00A6521D"/>
    <w:rsid w:val="00A65FC0"/>
    <w:rsid w:val="00A706AA"/>
    <w:rsid w:val="00A7290B"/>
    <w:rsid w:val="00A771B4"/>
    <w:rsid w:val="00A83A95"/>
    <w:rsid w:val="00A870C4"/>
    <w:rsid w:val="00A87756"/>
    <w:rsid w:val="00A92FBE"/>
    <w:rsid w:val="00A943CA"/>
    <w:rsid w:val="00A94A91"/>
    <w:rsid w:val="00AA140D"/>
    <w:rsid w:val="00AA160B"/>
    <w:rsid w:val="00AA27C4"/>
    <w:rsid w:val="00AA2952"/>
    <w:rsid w:val="00AA3823"/>
    <w:rsid w:val="00AA5AA5"/>
    <w:rsid w:val="00AB0900"/>
    <w:rsid w:val="00AB118F"/>
    <w:rsid w:val="00AB1D22"/>
    <w:rsid w:val="00AB351B"/>
    <w:rsid w:val="00AB7583"/>
    <w:rsid w:val="00AC27C4"/>
    <w:rsid w:val="00AC415C"/>
    <w:rsid w:val="00AC4669"/>
    <w:rsid w:val="00AD4541"/>
    <w:rsid w:val="00AD4C88"/>
    <w:rsid w:val="00AD5109"/>
    <w:rsid w:val="00AD6E50"/>
    <w:rsid w:val="00AD79E7"/>
    <w:rsid w:val="00AE0C3C"/>
    <w:rsid w:val="00AE1A21"/>
    <w:rsid w:val="00AE27F2"/>
    <w:rsid w:val="00AE2828"/>
    <w:rsid w:val="00AE4A92"/>
    <w:rsid w:val="00AF03AB"/>
    <w:rsid w:val="00AF2F11"/>
    <w:rsid w:val="00AF3BF0"/>
    <w:rsid w:val="00B0269C"/>
    <w:rsid w:val="00B03E6F"/>
    <w:rsid w:val="00B048B6"/>
    <w:rsid w:val="00B048BA"/>
    <w:rsid w:val="00B05770"/>
    <w:rsid w:val="00B064BD"/>
    <w:rsid w:val="00B06B4F"/>
    <w:rsid w:val="00B10832"/>
    <w:rsid w:val="00B12672"/>
    <w:rsid w:val="00B12BB1"/>
    <w:rsid w:val="00B13CE1"/>
    <w:rsid w:val="00B14326"/>
    <w:rsid w:val="00B16238"/>
    <w:rsid w:val="00B176F4"/>
    <w:rsid w:val="00B17C3C"/>
    <w:rsid w:val="00B21CCB"/>
    <w:rsid w:val="00B21DA6"/>
    <w:rsid w:val="00B22A79"/>
    <w:rsid w:val="00B24C85"/>
    <w:rsid w:val="00B26762"/>
    <w:rsid w:val="00B27CA4"/>
    <w:rsid w:val="00B30542"/>
    <w:rsid w:val="00B30AED"/>
    <w:rsid w:val="00B32132"/>
    <w:rsid w:val="00B32A54"/>
    <w:rsid w:val="00B36578"/>
    <w:rsid w:val="00B40EA8"/>
    <w:rsid w:val="00B41491"/>
    <w:rsid w:val="00B419FA"/>
    <w:rsid w:val="00B440BF"/>
    <w:rsid w:val="00B45B86"/>
    <w:rsid w:val="00B46328"/>
    <w:rsid w:val="00B51993"/>
    <w:rsid w:val="00B5247B"/>
    <w:rsid w:val="00B53CB0"/>
    <w:rsid w:val="00B60429"/>
    <w:rsid w:val="00B645CC"/>
    <w:rsid w:val="00B650EF"/>
    <w:rsid w:val="00B651C4"/>
    <w:rsid w:val="00B71CE0"/>
    <w:rsid w:val="00B72064"/>
    <w:rsid w:val="00B722A7"/>
    <w:rsid w:val="00B74A87"/>
    <w:rsid w:val="00B7554F"/>
    <w:rsid w:val="00B75A2B"/>
    <w:rsid w:val="00B76E10"/>
    <w:rsid w:val="00B80209"/>
    <w:rsid w:val="00B81A8F"/>
    <w:rsid w:val="00B8388F"/>
    <w:rsid w:val="00B84158"/>
    <w:rsid w:val="00B85598"/>
    <w:rsid w:val="00B857D8"/>
    <w:rsid w:val="00B922C6"/>
    <w:rsid w:val="00B94A8A"/>
    <w:rsid w:val="00B950D9"/>
    <w:rsid w:val="00B95C13"/>
    <w:rsid w:val="00B969C1"/>
    <w:rsid w:val="00BA28CD"/>
    <w:rsid w:val="00BA5A10"/>
    <w:rsid w:val="00BB1A4D"/>
    <w:rsid w:val="00BB22C6"/>
    <w:rsid w:val="00BB2383"/>
    <w:rsid w:val="00BB3331"/>
    <w:rsid w:val="00BB44E2"/>
    <w:rsid w:val="00BB5182"/>
    <w:rsid w:val="00BB5951"/>
    <w:rsid w:val="00BB740D"/>
    <w:rsid w:val="00BB7FE1"/>
    <w:rsid w:val="00BC0ACF"/>
    <w:rsid w:val="00BC2CF2"/>
    <w:rsid w:val="00BC5E18"/>
    <w:rsid w:val="00BC6C0F"/>
    <w:rsid w:val="00BC73E5"/>
    <w:rsid w:val="00BD0622"/>
    <w:rsid w:val="00BD0CA8"/>
    <w:rsid w:val="00BD0E6B"/>
    <w:rsid w:val="00BD1400"/>
    <w:rsid w:val="00BD2EB2"/>
    <w:rsid w:val="00BD3EE4"/>
    <w:rsid w:val="00BE2382"/>
    <w:rsid w:val="00BE3074"/>
    <w:rsid w:val="00BE4A62"/>
    <w:rsid w:val="00BE4DCD"/>
    <w:rsid w:val="00BE54B3"/>
    <w:rsid w:val="00BE6098"/>
    <w:rsid w:val="00BE709F"/>
    <w:rsid w:val="00BE7466"/>
    <w:rsid w:val="00BF0E90"/>
    <w:rsid w:val="00BF1C17"/>
    <w:rsid w:val="00BF502E"/>
    <w:rsid w:val="00BF6115"/>
    <w:rsid w:val="00BF6187"/>
    <w:rsid w:val="00BF6AA7"/>
    <w:rsid w:val="00BF6C2B"/>
    <w:rsid w:val="00C00AAD"/>
    <w:rsid w:val="00C032E2"/>
    <w:rsid w:val="00C03ACA"/>
    <w:rsid w:val="00C04913"/>
    <w:rsid w:val="00C04B40"/>
    <w:rsid w:val="00C053CB"/>
    <w:rsid w:val="00C06E77"/>
    <w:rsid w:val="00C06F80"/>
    <w:rsid w:val="00C115DC"/>
    <w:rsid w:val="00C139DF"/>
    <w:rsid w:val="00C14F51"/>
    <w:rsid w:val="00C176C7"/>
    <w:rsid w:val="00C2123B"/>
    <w:rsid w:val="00C22BDF"/>
    <w:rsid w:val="00C23D06"/>
    <w:rsid w:val="00C2694C"/>
    <w:rsid w:val="00C32B0E"/>
    <w:rsid w:val="00C32E60"/>
    <w:rsid w:val="00C3629A"/>
    <w:rsid w:val="00C37DA2"/>
    <w:rsid w:val="00C41FBD"/>
    <w:rsid w:val="00C42BF5"/>
    <w:rsid w:val="00C43AD2"/>
    <w:rsid w:val="00C43FD7"/>
    <w:rsid w:val="00C44634"/>
    <w:rsid w:val="00C4495D"/>
    <w:rsid w:val="00C45346"/>
    <w:rsid w:val="00C456FC"/>
    <w:rsid w:val="00C474CC"/>
    <w:rsid w:val="00C50175"/>
    <w:rsid w:val="00C517B5"/>
    <w:rsid w:val="00C52A41"/>
    <w:rsid w:val="00C52F32"/>
    <w:rsid w:val="00C57751"/>
    <w:rsid w:val="00C60855"/>
    <w:rsid w:val="00C630FF"/>
    <w:rsid w:val="00C67AD3"/>
    <w:rsid w:val="00C708EA"/>
    <w:rsid w:val="00C7098A"/>
    <w:rsid w:val="00C7171B"/>
    <w:rsid w:val="00C721E1"/>
    <w:rsid w:val="00C72985"/>
    <w:rsid w:val="00C73945"/>
    <w:rsid w:val="00C775CE"/>
    <w:rsid w:val="00C80515"/>
    <w:rsid w:val="00C82159"/>
    <w:rsid w:val="00C82D3B"/>
    <w:rsid w:val="00C844A5"/>
    <w:rsid w:val="00C85A1E"/>
    <w:rsid w:val="00C8772A"/>
    <w:rsid w:val="00C87869"/>
    <w:rsid w:val="00C87BB0"/>
    <w:rsid w:val="00C9500A"/>
    <w:rsid w:val="00CA0857"/>
    <w:rsid w:val="00CA0C81"/>
    <w:rsid w:val="00CA13A7"/>
    <w:rsid w:val="00CA27A8"/>
    <w:rsid w:val="00CA41DB"/>
    <w:rsid w:val="00CA62D2"/>
    <w:rsid w:val="00CA65CF"/>
    <w:rsid w:val="00CA69D7"/>
    <w:rsid w:val="00CA6C2F"/>
    <w:rsid w:val="00CB14AE"/>
    <w:rsid w:val="00CB20DF"/>
    <w:rsid w:val="00CB22FF"/>
    <w:rsid w:val="00CB232A"/>
    <w:rsid w:val="00CB4DA2"/>
    <w:rsid w:val="00CB53BD"/>
    <w:rsid w:val="00CB69BA"/>
    <w:rsid w:val="00CB7E82"/>
    <w:rsid w:val="00CC3E0A"/>
    <w:rsid w:val="00CC499F"/>
    <w:rsid w:val="00CC4CB6"/>
    <w:rsid w:val="00CC7478"/>
    <w:rsid w:val="00CC78F8"/>
    <w:rsid w:val="00CD037D"/>
    <w:rsid w:val="00CD463B"/>
    <w:rsid w:val="00CD4E89"/>
    <w:rsid w:val="00CD5C57"/>
    <w:rsid w:val="00CD6A32"/>
    <w:rsid w:val="00CD723F"/>
    <w:rsid w:val="00CD7CD4"/>
    <w:rsid w:val="00CE0F87"/>
    <w:rsid w:val="00CE44C6"/>
    <w:rsid w:val="00CE61C7"/>
    <w:rsid w:val="00CF20DB"/>
    <w:rsid w:val="00CF305D"/>
    <w:rsid w:val="00CF3E99"/>
    <w:rsid w:val="00CF5CA1"/>
    <w:rsid w:val="00D0256F"/>
    <w:rsid w:val="00D04074"/>
    <w:rsid w:val="00D04638"/>
    <w:rsid w:val="00D0491D"/>
    <w:rsid w:val="00D0520B"/>
    <w:rsid w:val="00D06882"/>
    <w:rsid w:val="00D07248"/>
    <w:rsid w:val="00D07B84"/>
    <w:rsid w:val="00D11BA4"/>
    <w:rsid w:val="00D11EA4"/>
    <w:rsid w:val="00D1306C"/>
    <w:rsid w:val="00D14256"/>
    <w:rsid w:val="00D16ECF"/>
    <w:rsid w:val="00D20C54"/>
    <w:rsid w:val="00D2148B"/>
    <w:rsid w:val="00D2209D"/>
    <w:rsid w:val="00D314A2"/>
    <w:rsid w:val="00D31D58"/>
    <w:rsid w:val="00D34890"/>
    <w:rsid w:val="00D353F2"/>
    <w:rsid w:val="00D4008B"/>
    <w:rsid w:val="00D4016B"/>
    <w:rsid w:val="00D41514"/>
    <w:rsid w:val="00D41E4B"/>
    <w:rsid w:val="00D42CA3"/>
    <w:rsid w:val="00D450A9"/>
    <w:rsid w:val="00D4606F"/>
    <w:rsid w:val="00D46459"/>
    <w:rsid w:val="00D46B1F"/>
    <w:rsid w:val="00D46D14"/>
    <w:rsid w:val="00D46E45"/>
    <w:rsid w:val="00D4753F"/>
    <w:rsid w:val="00D50A2F"/>
    <w:rsid w:val="00D50FCD"/>
    <w:rsid w:val="00D51916"/>
    <w:rsid w:val="00D523E5"/>
    <w:rsid w:val="00D52D39"/>
    <w:rsid w:val="00D52E34"/>
    <w:rsid w:val="00D544FF"/>
    <w:rsid w:val="00D54872"/>
    <w:rsid w:val="00D57D47"/>
    <w:rsid w:val="00D60C4B"/>
    <w:rsid w:val="00D6404A"/>
    <w:rsid w:val="00D6466A"/>
    <w:rsid w:val="00D64817"/>
    <w:rsid w:val="00D7060F"/>
    <w:rsid w:val="00D71581"/>
    <w:rsid w:val="00D72549"/>
    <w:rsid w:val="00D72AA0"/>
    <w:rsid w:val="00D74C66"/>
    <w:rsid w:val="00D74D09"/>
    <w:rsid w:val="00D764EB"/>
    <w:rsid w:val="00D7792B"/>
    <w:rsid w:val="00D82729"/>
    <w:rsid w:val="00D82CF7"/>
    <w:rsid w:val="00D8318B"/>
    <w:rsid w:val="00D83D42"/>
    <w:rsid w:val="00D85CF7"/>
    <w:rsid w:val="00D85FB0"/>
    <w:rsid w:val="00D864B7"/>
    <w:rsid w:val="00D866A9"/>
    <w:rsid w:val="00D86EFA"/>
    <w:rsid w:val="00D946FD"/>
    <w:rsid w:val="00D9688C"/>
    <w:rsid w:val="00DA00E5"/>
    <w:rsid w:val="00DA024C"/>
    <w:rsid w:val="00DA25E1"/>
    <w:rsid w:val="00DA2AAD"/>
    <w:rsid w:val="00DA45EF"/>
    <w:rsid w:val="00DA5748"/>
    <w:rsid w:val="00DA6169"/>
    <w:rsid w:val="00DA773E"/>
    <w:rsid w:val="00DB0279"/>
    <w:rsid w:val="00DB0D6F"/>
    <w:rsid w:val="00DB17AE"/>
    <w:rsid w:val="00DB22BB"/>
    <w:rsid w:val="00DB2586"/>
    <w:rsid w:val="00DB2FDA"/>
    <w:rsid w:val="00DB4D97"/>
    <w:rsid w:val="00DB5631"/>
    <w:rsid w:val="00DC0BB9"/>
    <w:rsid w:val="00DC1E54"/>
    <w:rsid w:val="00DC3990"/>
    <w:rsid w:val="00DC47F8"/>
    <w:rsid w:val="00DC5D03"/>
    <w:rsid w:val="00DC6F45"/>
    <w:rsid w:val="00DC7C50"/>
    <w:rsid w:val="00DC7E98"/>
    <w:rsid w:val="00DD3C1E"/>
    <w:rsid w:val="00DD5383"/>
    <w:rsid w:val="00DD69D1"/>
    <w:rsid w:val="00DE5B40"/>
    <w:rsid w:val="00DE628B"/>
    <w:rsid w:val="00DE77AB"/>
    <w:rsid w:val="00DE7C59"/>
    <w:rsid w:val="00DF183C"/>
    <w:rsid w:val="00DF1A0D"/>
    <w:rsid w:val="00DF2B18"/>
    <w:rsid w:val="00DF3049"/>
    <w:rsid w:val="00DF6D3D"/>
    <w:rsid w:val="00E02B8F"/>
    <w:rsid w:val="00E044CE"/>
    <w:rsid w:val="00E051FB"/>
    <w:rsid w:val="00E05784"/>
    <w:rsid w:val="00E0578F"/>
    <w:rsid w:val="00E10D2B"/>
    <w:rsid w:val="00E127C0"/>
    <w:rsid w:val="00E12FB7"/>
    <w:rsid w:val="00E13581"/>
    <w:rsid w:val="00E151E1"/>
    <w:rsid w:val="00E15C78"/>
    <w:rsid w:val="00E161A3"/>
    <w:rsid w:val="00E166F5"/>
    <w:rsid w:val="00E16E9B"/>
    <w:rsid w:val="00E17EBE"/>
    <w:rsid w:val="00E204A3"/>
    <w:rsid w:val="00E24506"/>
    <w:rsid w:val="00E2673D"/>
    <w:rsid w:val="00E31360"/>
    <w:rsid w:val="00E333FF"/>
    <w:rsid w:val="00E34303"/>
    <w:rsid w:val="00E357A5"/>
    <w:rsid w:val="00E3789C"/>
    <w:rsid w:val="00E40139"/>
    <w:rsid w:val="00E40BA3"/>
    <w:rsid w:val="00E4364C"/>
    <w:rsid w:val="00E43829"/>
    <w:rsid w:val="00E46E60"/>
    <w:rsid w:val="00E4756F"/>
    <w:rsid w:val="00E53E92"/>
    <w:rsid w:val="00E56D7B"/>
    <w:rsid w:val="00E5733A"/>
    <w:rsid w:val="00E631F5"/>
    <w:rsid w:val="00E6350E"/>
    <w:rsid w:val="00E64D51"/>
    <w:rsid w:val="00E67F87"/>
    <w:rsid w:val="00E711C9"/>
    <w:rsid w:val="00E71B41"/>
    <w:rsid w:val="00E73935"/>
    <w:rsid w:val="00E7416B"/>
    <w:rsid w:val="00E74419"/>
    <w:rsid w:val="00E80ABC"/>
    <w:rsid w:val="00E82D3D"/>
    <w:rsid w:val="00E83F3C"/>
    <w:rsid w:val="00E84C33"/>
    <w:rsid w:val="00E859C2"/>
    <w:rsid w:val="00E90189"/>
    <w:rsid w:val="00E9357D"/>
    <w:rsid w:val="00E9518D"/>
    <w:rsid w:val="00E95A06"/>
    <w:rsid w:val="00EA32ED"/>
    <w:rsid w:val="00EA344E"/>
    <w:rsid w:val="00EA63A8"/>
    <w:rsid w:val="00EA6872"/>
    <w:rsid w:val="00EB0678"/>
    <w:rsid w:val="00EB2EA7"/>
    <w:rsid w:val="00EB3806"/>
    <w:rsid w:val="00EB38E4"/>
    <w:rsid w:val="00EB3F5E"/>
    <w:rsid w:val="00EB4D56"/>
    <w:rsid w:val="00EB5293"/>
    <w:rsid w:val="00EB5335"/>
    <w:rsid w:val="00EB6286"/>
    <w:rsid w:val="00EC07C1"/>
    <w:rsid w:val="00EC30A8"/>
    <w:rsid w:val="00EC4DFE"/>
    <w:rsid w:val="00EC7353"/>
    <w:rsid w:val="00ED1D21"/>
    <w:rsid w:val="00ED28A5"/>
    <w:rsid w:val="00ED371C"/>
    <w:rsid w:val="00ED674B"/>
    <w:rsid w:val="00EE0F6C"/>
    <w:rsid w:val="00EE19CD"/>
    <w:rsid w:val="00EE35AC"/>
    <w:rsid w:val="00EE44CD"/>
    <w:rsid w:val="00EE4BBE"/>
    <w:rsid w:val="00EE736A"/>
    <w:rsid w:val="00EE7C64"/>
    <w:rsid w:val="00EF47A4"/>
    <w:rsid w:val="00EF4D94"/>
    <w:rsid w:val="00EF6EB7"/>
    <w:rsid w:val="00EF7858"/>
    <w:rsid w:val="00F00632"/>
    <w:rsid w:val="00F00C9E"/>
    <w:rsid w:val="00F02247"/>
    <w:rsid w:val="00F02BD3"/>
    <w:rsid w:val="00F04757"/>
    <w:rsid w:val="00F05098"/>
    <w:rsid w:val="00F057B5"/>
    <w:rsid w:val="00F06169"/>
    <w:rsid w:val="00F06C7F"/>
    <w:rsid w:val="00F1023B"/>
    <w:rsid w:val="00F13DD3"/>
    <w:rsid w:val="00F15683"/>
    <w:rsid w:val="00F16161"/>
    <w:rsid w:val="00F16D23"/>
    <w:rsid w:val="00F17554"/>
    <w:rsid w:val="00F211A4"/>
    <w:rsid w:val="00F21ABD"/>
    <w:rsid w:val="00F21F6A"/>
    <w:rsid w:val="00F2216C"/>
    <w:rsid w:val="00F24198"/>
    <w:rsid w:val="00F26B2D"/>
    <w:rsid w:val="00F31839"/>
    <w:rsid w:val="00F319EB"/>
    <w:rsid w:val="00F31D76"/>
    <w:rsid w:val="00F32A5D"/>
    <w:rsid w:val="00F3381A"/>
    <w:rsid w:val="00F348AF"/>
    <w:rsid w:val="00F35FF0"/>
    <w:rsid w:val="00F360D2"/>
    <w:rsid w:val="00F37383"/>
    <w:rsid w:val="00F41C62"/>
    <w:rsid w:val="00F44A31"/>
    <w:rsid w:val="00F4692B"/>
    <w:rsid w:val="00F46D69"/>
    <w:rsid w:val="00F46F29"/>
    <w:rsid w:val="00F4702D"/>
    <w:rsid w:val="00F47BED"/>
    <w:rsid w:val="00F47C55"/>
    <w:rsid w:val="00F50FB0"/>
    <w:rsid w:val="00F520A3"/>
    <w:rsid w:val="00F54187"/>
    <w:rsid w:val="00F56B35"/>
    <w:rsid w:val="00F571C6"/>
    <w:rsid w:val="00F57F75"/>
    <w:rsid w:val="00F6151D"/>
    <w:rsid w:val="00F6412A"/>
    <w:rsid w:val="00F66D46"/>
    <w:rsid w:val="00F67F8E"/>
    <w:rsid w:val="00F70BB3"/>
    <w:rsid w:val="00F7266D"/>
    <w:rsid w:val="00F74059"/>
    <w:rsid w:val="00F74896"/>
    <w:rsid w:val="00F755A1"/>
    <w:rsid w:val="00F770A4"/>
    <w:rsid w:val="00F774D4"/>
    <w:rsid w:val="00F7772A"/>
    <w:rsid w:val="00F77F3F"/>
    <w:rsid w:val="00F77FE9"/>
    <w:rsid w:val="00F800B2"/>
    <w:rsid w:val="00F80605"/>
    <w:rsid w:val="00F808DD"/>
    <w:rsid w:val="00F80AFD"/>
    <w:rsid w:val="00F81544"/>
    <w:rsid w:val="00F86B70"/>
    <w:rsid w:val="00F873EC"/>
    <w:rsid w:val="00F916B6"/>
    <w:rsid w:val="00F924DF"/>
    <w:rsid w:val="00F94130"/>
    <w:rsid w:val="00FA19A7"/>
    <w:rsid w:val="00FA1BA8"/>
    <w:rsid w:val="00FA26DC"/>
    <w:rsid w:val="00FA65E8"/>
    <w:rsid w:val="00FA6CBF"/>
    <w:rsid w:val="00FB6099"/>
    <w:rsid w:val="00FB6C4A"/>
    <w:rsid w:val="00FB72ED"/>
    <w:rsid w:val="00FC0A1C"/>
    <w:rsid w:val="00FC1D44"/>
    <w:rsid w:val="00FC31C7"/>
    <w:rsid w:val="00FC3298"/>
    <w:rsid w:val="00FC37B5"/>
    <w:rsid w:val="00FC3EBC"/>
    <w:rsid w:val="00FC4F1D"/>
    <w:rsid w:val="00FC69A6"/>
    <w:rsid w:val="00FC6E17"/>
    <w:rsid w:val="00FD7279"/>
    <w:rsid w:val="00FD750B"/>
    <w:rsid w:val="00FD7602"/>
    <w:rsid w:val="00FD7685"/>
    <w:rsid w:val="00FE15DC"/>
    <w:rsid w:val="00FE374B"/>
    <w:rsid w:val="00FE483C"/>
    <w:rsid w:val="00FE7975"/>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5CF33E24-E1A4-4079-8789-3DB5B86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3"/>
    <w:pPr>
      <w:spacing w:after="200" w:line="276" w:lineRule="auto"/>
    </w:pPr>
    <w:rPr>
      <w:sz w:val="22"/>
      <w:szCs w:val="22"/>
      <w:lang w:eastAsia="en-US"/>
    </w:rPr>
  </w:style>
  <w:style w:type="paragraph" w:styleId="Ttulo1">
    <w:name w:val="heading 1"/>
    <w:basedOn w:val="Ttulo2"/>
    <w:next w:val="Normal"/>
    <w:link w:val="Ttulo1Car"/>
    <w:uiPriority w:val="9"/>
    <w:qFormat/>
    <w:rsid w:val="00DC47F8"/>
    <w:pPr>
      <w:keepLines w:val="0"/>
      <w:spacing w:before="240" w:after="120"/>
      <w:jc w:val="both"/>
      <w:outlineLvl w:val="0"/>
    </w:pPr>
    <w:rPr>
      <w:rFonts w:ascii="ITC Avant Garde" w:eastAsia="Times New Roman" w:hAnsi="ITC Avant Garde" w:cs="Times New Roman"/>
      <w:b/>
      <w:bCs/>
      <w:color w:val="000000"/>
      <w:sz w:val="22"/>
      <w:szCs w:val="22"/>
      <w:lang w:eastAsia="es-MX"/>
    </w:rPr>
  </w:style>
  <w:style w:type="paragraph" w:styleId="Ttulo2">
    <w:name w:val="heading 2"/>
    <w:basedOn w:val="Normal"/>
    <w:next w:val="Normal"/>
    <w:link w:val="Ttulo2Car"/>
    <w:uiPriority w:val="9"/>
    <w:unhideWhenUsed/>
    <w:qFormat/>
    <w:rsid w:val="00DC47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4 Viñ 1nivel,Numeración 1,Cuadrícula media 1 - Énfasis 21"/>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aliases w:val="4 Viñ 1nivel Car,Numeración 1 Car,Cuadrícula media 1 - Énfasis 21 Car"/>
    <w:link w:val="Prrafodelista"/>
    <w:uiPriority w:val="34"/>
    <w:rsid w:val="008E25B3"/>
    <w:rPr>
      <w:rFonts w:ascii="Arial" w:eastAsia="Times New Roman" w:hAnsi="Arial"/>
      <w:sz w:val="24"/>
      <w:lang w:val="es-ES" w:eastAsia="es-ES"/>
    </w:rPr>
  </w:style>
  <w:style w:type="paragraph" w:styleId="Revisin">
    <w:name w:val="Revision"/>
    <w:hidden/>
    <w:uiPriority w:val="99"/>
    <w:semiHidden/>
    <w:rsid w:val="00371986"/>
    <w:rPr>
      <w:sz w:val="22"/>
      <w:szCs w:val="22"/>
      <w:lang w:eastAsia="en-US"/>
    </w:rPr>
  </w:style>
  <w:style w:type="table" w:styleId="Tablaconcuadrcula">
    <w:name w:val="Table Grid"/>
    <w:basedOn w:val="Tablanormal"/>
    <w:uiPriority w:val="59"/>
    <w:rsid w:val="00C0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C47F8"/>
    <w:rPr>
      <w:rFonts w:ascii="ITC Avant Garde" w:eastAsia="Times New Roman" w:hAnsi="ITC Avant Garde"/>
      <w:b/>
      <w:bCs/>
      <w:color w:val="000000"/>
      <w:sz w:val="22"/>
      <w:szCs w:val="22"/>
    </w:rPr>
  </w:style>
  <w:style w:type="paragraph" w:styleId="Sinespaciado">
    <w:name w:val="No Spacing"/>
    <w:uiPriority w:val="1"/>
    <w:qFormat/>
    <w:rsid w:val="00DC47F8"/>
    <w:rPr>
      <w:sz w:val="22"/>
      <w:szCs w:val="22"/>
      <w:lang w:eastAsia="en-US"/>
    </w:rPr>
  </w:style>
  <w:style w:type="character" w:customStyle="1" w:styleId="Ttulo2Car">
    <w:name w:val="Título 2 Car"/>
    <w:basedOn w:val="Fuentedeprrafopredeter"/>
    <w:link w:val="Ttulo2"/>
    <w:uiPriority w:val="9"/>
    <w:rsid w:val="00DC47F8"/>
    <w:rPr>
      <w:rFonts w:asciiTheme="majorHAnsi" w:eastAsiaTheme="majorEastAsia" w:hAnsiTheme="majorHAnsi" w:cstheme="majorBidi"/>
      <w:color w:val="365F91" w:themeColor="accent1" w:themeShade="BF"/>
      <w:sz w:val="26"/>
      <w:szCs w:val="26"/>
      <w:lang w:eastAsia="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locked/>
    <w:rsid w:val="00B857D8"/>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B857D8"/>
    <w:pPr>
      <w:spacing w:after="0" w:line="240" w:lineRule="auto"/>
    </w:pPr>
    <w:rPr>
      <w:sz w:val="20"/>
      <w:szCs w:val="20"/>
      <w:lang w:eastAsia="es-MX"/>
    </w:rPr>
  </w:style>
  <w:style w:type="character" w:customStyle="1" w:styleId="TextonotapieCar1">
    <w:name w:val="Texto nota pie Car1"/>
    <w:basedOn w:val="Fuentedeprrafopredeter"/>
    <w:uiPriority w:val="99"/>
    <w:semiHidden/>
    <w:rsid w:val="00B857D8"/>
    <w:rPr>
      <w:lang w:eastAsia="en-US"/>
    </w:rPr>
  </w:style>
  <w:style w:type="character" w:styleId="Refdenotaalpie">
    <w:name w:val="footnote reference"/>
    <w:aliases w:val="fr,(NECG) Footnote Reference,o,Appel note de bas de p,Style 12,Style 124,Style 13,Style 3,Style 17,FR,Footnote Reference/,callout,Style 6,Ref,de nota al pie,Footnote,Style 20,Footnote symbol,Appel note de bas de p + 11 pt,Italic"/>
    <w:basedOn w:val="Fuentedeprrafopredeter"/>
    <w:uiPriority w:val="99"/>
    <w:unhideWhenUsed/>
    <w:qFormat/>
    <w:rsid w:val="00B857D8"/>
    <w:rPr>
      <w:vertAlign w:val="superscript"/>
    </w:rPr>
  </w:style>
  <w:style w:type="paragraph" w:styleId="Textoindependiente2">
    <w:name w:val="Body Text 2"/>
    <w:basedOn w:val="Normal"/>
    <w:link w:val="Textoindependiente2Car"/>
    <w:uiPriority w:val="99"/>
    <w:unhideWhenUsed/>
    <w:rsid w:val="00B857D8"/>
    <w:pPr>
      <w:spacing w:after="120" w:line="480" w:lineRule="auto"/>
    </w:pPr>
    <w:rPr>
      <w:sz w:val="24"/>
      <w:szCs w:val="24"/>
      <w:lang w:eastAsia="es-MX"/>
    </w:rPr>
  </w:style>
  <w:style w:type="character" w:customStyle="1" w:styleId="Textoindependiente2Car">
    <w:name w:val="Texto independiente 2 Car"/>
    <w:basedOn w:val="Fuentedeprrafopredeter"/>
    <w:link w:val="Textoindependiente2"/>
    <w:uiPriority w:val="99"/>
    <w:rsid w:val="00B857D8"/>
    <w:rPr>
      <w:sz w:val="24"/>
      <w:szCs w:val="24"/>
    </w:rPr>
  </w:style>
  <w:style w:type="table" w:styleId="Cuadrculadetablaclara">
    <w:name w:val="Grid Table Light"/>
    <w:basedOn w:val="Tablanormal"/>
    <w:uiPriority w:val="40"/>
    <w:rsid w:val="00345AA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2302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5209">
      <w:bodyDiv w:val="1"/>
      <w:marLeft w:val="0"/>
      <w:marRight w:val="0"/>
      <w:marTop w:val="0"/>
      <w:marBottom w:val="0"/>
      <w:divBdr>
        <w:top w:val="none" w:sz="0" w:space="0" w:color="auto"/>
        <w:left w:val="none" w:sz="0" w:space="0" w:color="auto"/>
        <w:bottom w:val="none" w:sz="0" w:space="0" w:color="auto"/>
        <w:right w:val="none" w:sz="0" w:space="0" w:color="auto"/>
      </w:divBdr>
    </w:div>
    <w:div w:id="666789632">
      <w:bodyDiv w:val="1"/>
      <w:marLeft w:val="0"/>
      <w:marRight w:val="0"/>
      <w:marTop w:val="0"/>
      <w:marBottom w:val="0"/>
      <w:divBdr>
        <w:top w:val="none" w:sz="0" w:space="0" w:color="auto"/>
        <w:left w:val="none" w:sz="0" w:space="0" w:color="auto"/>
        <w:bottom w:val="none" w:sz="0" w:space="0" w:color="auto"/>
        <w:right w:val="none" w:sz="0" w:space="0" w:color="auto"/>
      </w:divBdr>
    </w:div>
    <w:div w:id="1377319793">
      <w:bodyDiv w:val="1"/>
      <w:marLeft w:val="0"/>
      <w:marRight w:val="0"/>
      <w:marTop w:val="0"/>
      <w:marBottom w:val="0"/>
      <w:divBdr>
        <w:top w:val="none" w:sz="0" w:space="0" w:color="auto"/>
        <w:left w:val="none" w:sz="0" w:space="0" w:color="auto"/>
        <w:bottom w:val="none" w:sz="0" w:space="0" w:color="auto"/>
        <w:right w:val="none" w:sz="0" w:space="0" w:color="auto"/>
      </w:divBdr>
    </w:div>
    <w:div w:id="1711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F9D5-4F5E-420B-845E-A56B8744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4635</Words>
  <Characters>25498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18</cp:revision>
  <cp:lastPrinted>2016-01-12T15:19:00Z</cp:lastPrinted>
  <dcterms:created xsi:type="dcterms:W3CDTF">2016-12-01T03:29:00Z</dcterms:created>
  <dcterms:modified xsi:type="dcterms:W3CDTF">2017-01-25T19:23:00Z</dcterms:modified>
</cp:coreProperties>
</file>