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9FC9B" w14:textId="77777777" w:rsidR="00607B3A" w:rsidRPr="00FB0D0C" w:rsidRDefault="00606E07" w:rsidP="00607B3A">
      <w:pPr>
        <w:pStyle w:val="1TitPrin"/>
      </w:pPr>
      <w:r w:rsidRPr="00FB0D0C">
        <w:t>RESOLUCIÓN MEDIANTE</w:t>
      </w:r>
      <w:r w:rsidR="00A21167" w:rsidRPr="00FB0D0C">
        <w:t xml:space="preserve"> LA CUAL EL PLENO DEL INSTITUTO FEDERAL DE TELECOMUNICACIONES </w:t>
      </w:r>
      <w:r w:rsidR="00DB4ECB" w:rsidRPr="00FB0D0C">
        <w:t xml:space="preserve">AUTORIZA A </w:t>
      </w:r>
      <w:r w:rsidR="00005F83" w:rsidRPr="00FB0D0C">
        <w:t>ULTRAVISIÓN</w:t>
      </w:r>
      <w:r w:rsidR="00FB24F6" w:rsidRPr="00FB0D0C">
        <w:t>, S.A. DE C.V.</w:t>
      </w:r>
      <w:r w:rsidR="006A12B1" w:rsidRPr="00FB0D0C">
        <w:t>,</w:t>
      </w:r>
      <w:r w:rsidR="00FB24F6" w:rsidRPr="00FB0D0C">
        <w:t xml:space="preserve"> </w:t>
      </w:r>
      <w:r w:rsidR="006152A0" w:rsidRPr="00FB0D0C">
        <w:t xml:space="preserve">LA INTERRUPCIÓN DE LOS SERVICIOS DE </w:t>
      </w:r>
      <w:r w:rsidR="006A12B1" w:rsidRPr="00FB0D0C">
        <w:t>T</w:t>
      </w:r>
      <w:r w:rsidR="00B11E0E" w:rsidRPr="00FB0D0C">
        <w:t>ELEVISIÓN Y AUDIO RESTRINGIDOS,</w:t>
      </w:r>
      <w:r w:rsidR="00FB24F6" w:rsidRPr="00FB0D0C">
        <w:t xml:space="preserve"> </w:t>
      </w:r>
      <w:r w:rsidR="006A12B1" w:rsidRPr="00FB0D0C">
        <w:t xml:space="preserve">AUTORIZADOS </w:t>
      </w:r>
      <w:r w:rsidR="00FB24F6" w:rsidRPr="00FB0D0C">
        <w:t xml:space="preserve">EN </w:t>
      </w:r>
      <w:r w:rsidR="004D1B20" w:rsidRPr="00FB0D0C">
        <w:t>UN</w:t>
      </w:r>
      <w:r w:rsidR="0048026D" w:rsidRPr="00FB0D0C">
        <w:t xml:space="preserve"> </w:t>
      </w:r>
      <w:r w:rsidR="00FB24F6" w:rsidRPr="00FB0D0C">
        <w:t xml:space="preserve">TÍTULO DE CONCESIÓN </w:t>
      </w:r>
      <w:r w:rsidR="00C6712B" w:rsidRPr="00FB0D0C">
        <w:t>PARA USAR, APROVECHAR Y EXPLOTAR BANDAS DE FRECUENCIAS DEL ESPECTRO RADIOELÉCTRICO PARA USOS DETERMINADOS</w:t>
      </w:r>
      <w:r w:rsidR="00DB4ECB" w:rsidRPr="00FB0D0C">
        <w:t xml:space="preserve">, </w:t>
      </w:r>
      <w:r w:rsidR="004D1B20" w:rsidRPr="00FB0D0C">
        <w:t>MODIFICADO Y PRORROGADO</w:t>
      </w:r>
      <w:r w:rsidR="00DB4ECB" w:rsidRPr="00FB0D0C">
        <w:t xml:space="preserve"> </w:t>
      </w:r>
      <w:r w:rsidR="006A12B1" w:rsidRPr="00FB0D0C">
        <w:t>POR LA SECR</w:t>
      </w:r>
      <w:r w:rsidR="002B1AC9" w:rsidRPr="00FB0D0C">
        <w:t>E</w:t>
      </w:r>
      <w:r w:rsidR="006A12B1" w:rsidRPr="00FB0D0C">
        <w:t xml:space="preserve">TARÍA DE COMUNICACIONES Y TRANSPORTES </w:t>
      </w:r>
      <w:r w:rsidR="00DB4ECB" w:rsidRPr="00FB0D0C">
        <w:t>EL 6 DE SEPTIEMBRE DE 2013</w:t>
      </w:r>
      <w:r w:rsidR="00DD78E3" w:rsidRPr="00FB0D0C">
        <w:t>.</w:t>
      </w:r>
    </w:p>
    <w:p w14:paraId="554121FB" w14:textId="77777777" w:rsidR="00607B3A" w:rsidRPr="00FB0D0C" w:rsidRDefault="00A21167" w:rsidP="00607B3A">
      <w:pPr>
        <w:pStyle w:val="Ttulo2"/>
        <w:spacing w:afterLines="50" w:after="120" w:line="276" w:lineRule="auto"/>
        <w:ind w:firstLine="0"/>
        <w:jc w:val="center"/>
        <w:rPr>
          <w:rFonts w:ascii="ITC Avant Garde" w:hAnsi="ITC Avant Garde" w:cs="Arial"/>
          <w:bCs/>
          <w:sz w:val="22"/>
          <w:szCs w:val="22"/>
          <w:lang w:eastAsia="en-US"/>
        </w:rPr>
      </w:pPr>
      <w:r w:rsidRPr="00FB0D0C">
        <w:rPr>
          <w:rFonts w:ascii="ITC Avant Garde" w:hAnsi="ITC Avant Garde" w:cs="Arial"/>
          <w:bCs/>
          <w:sz w:val="22"/>
          <w:szCs w:val="22"/>
          <w:lang w:eastAsia="en-US"/>
        </w:rPr>
        <w:t>ANTECEDENTES</w:t>
      </w:r>
    </w:p>
    <w:p w14:paraId="1F8130DC" w14:textId="77777777" w:rsidR="00607B3A" w:rsidRPr="00FB0D0C" w:rsidRDefault="009A5E55" w:rsidP="00607B3A">
      <w:pPr>
        <w:numPr>
          <w:ilvl w:val="0"/>
          <w:numId w:val="1"/>
        </w:numPr>
        <w:spacing w:afterLines="120" w:after="288" w:line="240" w:lineRule="auto"/>
        <w:ind w:left="567" w:hanging="567"/>
        <w:jc w:val="both"/>
        <w:rPr>
          <w:rFonts w:ascii="ITC Avant Garde" w:hAnsi="ITC Avant Garde"/>
          <w:bCs/>
          <w:color w:val="000000"/>
          <w:sz w:val="21"/>
          <w:szCs w:val="21"/>
          <w:lang w:eastAsia="es-MX"/>
        </w:rPr>
      </w:pPr>
      <w:r w:rsidRPr="00FB0D0C">
        <w:rPr>
          <w:rFonts w:ascii="ITC Avant Garde" w:hAnsi="ITC Avant Garde"/>
          <w:b/>
          <w:bCs/>
          <w:color w:val="000000"/>
          <w:sz w:val="21"/>
          <w:szCs w:val="21"/>
          <w:lang w:eastAsia="es-MX"/>
        </w:rPr>
        <w:t xml:space="preserve">Decreto de Reforma Constitucional. </w:t>
      </w:r>
      <w:r w:rsidRPr="00FB0D0C">
        <w:rPr>
          <w:rFonts w:ascii="ITC Avant Garde" w:hAnsi="ITC Avant Garde"/>
          <w:bCs/>
          <w:color w:val="000000"/>
          <w:sz w:val="21"/>
          <w:szCs w:val="21"/>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14:paraId="72C84173" w14:textId="3EC17A64" w:rsidR="009A5E55" w:rsidRPr="00FB0D0C" w:rsidRDefault="00DE16A4" w:rsidP="00607B3A">
      <w:pPr>
        <w:numPr>
          <w:ilvl w:val="0"/>
          <w:numId w:val="1"/>
        </w:numPr>
        <w:spacing w:afterLines="100" w:after="240" w:line="240" w:lineRule="auto"/>
        <w:ind w:left="567" w:hanging="567"/>
        <w:jc w:val="both"/>
        <w:rPr>
          <w:rFonts w:ascii="ITC Avant Garde" w:hAnsi="ITC Avant Garde"/>
          <w:bCs/>
          <w:color w:val="000000"/>
          <w:sz w:val="21"/>
          <w:szCs w:val="21"/>
          <w:lang w:eastAsia="es-MX"/>
        </w:rPr>
      </w:pPr>
      <w:r w:rsidRPr="00FB0D0C">
        <w:rPr>
          <w:rFonts w:ascii="ITC Avant Garde" w:hAnsi="ITC Avant Garde"/>
          <w:b/>
          <w:bCs/>
          <w:color w:val="000000"/>
          <w:sz w:val="21"/>
          <w:szCs w:val="21"/>
          <w:lang w:eastAsia="es-MX"/>
        </w:rPr>
        <w:t>Otorgamiento de la</w:t>
      </w:r>
      <w:r w:rsidR="007E2DB6" w:rsidRPr="00FB0D0C">
        <w:rPr>
          <w:rFonts w:ascii="ITC Avant Garde" w:hAnsi="ITC Avant Garde"/>
          <w:b/>
          <w:bCs/>
          <w:color w:val="000000"/>
          <w:sz w:val="21"/>
          <w:szCs w:val="21"/>
          <w:lang w:eastAsia="es-MX"/>
        </w:rPr>
        <w:t>s Concesiones</w:t>
      </w:r>
      <w:r w:rsidRPr="00FB0D0C">
        <w:rPr>
          <w:rFonts w:ascii="ITC Avant Garde" w:hAnsi="ITC Avant Garde"/>
          <w:b/>
          <w:bCs/>
          <w:color w:val="000000"/>
          <w:sz w:val="21"/>
          <w:szCs w:val="21"/>
          <w:lang w:eastAsia="es-MX"/>
        </w:rPr>
        <w:t>.</w:t>
      </w:r>
      <w:r w:rsidRPr="00FB0D0C">
        <w:rPr>
          <w:rFonts w:ascii="ITC Avant Garde" w:hAnsi="ITC Avant Garde"/>
          <w:bCs/>
          <w:color w:val="000000"/>
          <w:sz w:val="21"/>
          <w:szCs w:val="21"/>
          <w:lang w:eastAsia="es-MX"/>
        </w:rPr>
        <w:t xml:space="preserve"> El 6 de septiembre de 2013, la Secretaría </w:t>
      </w:r>
      <w:r w:rsidR="00D355D6" w:rsidRPr="00FB0D0C">
        <w:rPr>
          <w:rFonts w:ascii="ITC Avant Garde" w:hAnsi="ITC Avant Garde"/>
          <w:bCs/>
          <w:color w:val="000000"/>
          <w:sz w:val="21"/>
          <w:szCs w:val="21"/>
          <w:lang w:eastAsia="es-MX"/>
        </w:rPr>
        <w:t xml:space="preserve">de Comunicaciones y Transportes </w:t>
      </w:r>
      <w:r w:rsidRPr="00FB0D0C">
        <w:rPr>
          <w:rFonts w:ascii="ITC Avant Garde" w:hAnsi="ITC Avant Garde"/>
          <w:bCs/>
          <w:color w:val="000000"/>
          <w:sz w:val="21"/>
          <w:szCs w:val="21"/>
          <w:lang w:eastAsia="es-MX"/>
        </w:rPr>
        <w:t xml:space="preserve">otorgó a favor de </w:t>
      </w:r>
      <w:r w:rsidR="001A385F" w:rsidRPr="00FB0D0C">
        <w:rPr>
          <w:rFonts w:ascii="ITC Avant Garde" w:hAnsi="ITC Avant Garde"/>
          <w:bCs/>
          <w:color w:val="000000"/>
          <w:sz w:val="21"/>
          <w:szCs w:val="21"/>
          <w:lang w:eastAsia="es-MX"/>
        </w:rPr>
        <w:t>Ultravisión</w:t>
      </w:r>
      <w:r w:rsidRPr="00FB0D0C">
        <w:rPr>
          <w:rFonts w:ascii="ITC Avant Garde" w:hAnsi="ITC Avant Garde"/>
          <w:bCs/>
          <w:color w:val="000000"/>
          <w:sz w:val="21"/>
          <w:szCs w:val="21"/>
          <w:lang w:eastAsia="es-MX"/>
        </w:rPr>
        <w:t xml:space="preserve">, S.A. de C.V., </w:t>
      </w:r>
      <w:r w:rsidR="001A385F" w:rsidRPr="00FB0D0C">
        <w:rPr>
          <w:rFonts w:ascii="ITC Avant Garde" w:hAnsi="ITC Avant Garde"/>
          <w:bCs/>
          <w:color w:val="000000"/>
          <w:sz w:val="21"/>
          <w:szCs w:val="21"/>
          <w:lang w:eastAsia="es-MX"/>
        </w:rPr>
        <w:t>13</w:t>
      </w:r>
      <w:r w:rsidRPr="00FB0D0C">
        <w:rPr>
          <w:rFonts w:ascii="ITC Avant Garde" w:hAnsi="ITC Avant Garde"/>
          <w:bCs/>
          <w:color w:val="000000"/>
          <w:sz w:val="21"/>
          <w:szCs w:val="21"/>
          <w:lang w:eastAsia="es-MX"/>
        </w:rPr>
        <w:t xml:space="preserve"> (</w:t>
      </w:r>
      <w:r w:rsidR="001A385F" w:rsidRPr="00FB0D0C">
        <w:rPr>
          <w:rFonts w:ascii="ITC Avant Garde" w:hAnsi="ITC Avant Garde"/>
          <w:bCs/>
          <w:color w:val="000000"/>
          <w:sz w:val="21"/>
          <w:szCs w:val="21"/>
          <w:lang w:eastAsia="es-MX"/>
        </w:rPr>
        <w:t>trece</w:t>
      </w:r>
      <w:r w:rsidRPr="00FB0D0C">
        <w:rPr>
          <w:rFonts w:ascii="ITC Avant Garde" w:hAnsi="ITC Avant Garde"/>
          <w:bCs/>
          <w:color w:val="000000"/>
          <w:sz w:val="21"/>
          <w:szCs w:val="21"/>
          <w:lang w:eastAsia="es-MX"/>
        </w:rPr>
        <w:t>) Modificaciones y Prórrogas de Concesiones para usar, aprovechar y explotar bandas de frecuencias del espectro radioeléctrico para usos determinados, (las “Concesiones”),</w:t>
      </w:r>
      <w:r w:rsidR="0094562F" w:rsidRPr="00FB0D0C">
        <w:rPr>
          <w:rFonts w:ascii="ITC Avant Garde" w:hAnsi="ITC Avant Garde"/>
          <w:bCs/>
          <w:color w:val="000000"/>
          <w:sz w:val="21"/>
          <w:szCs w:val="21"/>
          <w:lang w:eastAsia="es-MX"/>
        </w:rPr>
        <w:t xml:space="preserve"> </w:t>
      </w:r>
      <w:r w:rsidRPr="00FB0D0C">
        <w:rPr>
          <w:rFonts w:ascii="ITC Avant Garde" w:hAnsi="ITC Avant Garde"/>
          <w:bCs/>
          <w:color w:val="000000"/>
          <w:sz w:val="21"/>
          <w:szCs w:val="21"/>
          <w:lang w:eastAsia="es-MX"/>
        </w:rPr>
        <w:t>de conformidad con la siguiente tabla:</w:t>
      </w:r>
    </w:p>
    <w:tbl>
      <w:tblPr>
        <w:tblStyle w:val="Tablaconcuadrcula"/>
        <w:tblW w:w="0" w:type="auto"/>
        <w:tblInd w:w="567" w:type="dxa"/>
        <w:tblLook w:val="04A0" w:firstRow="1" w:lastRow="0" w:firstColumn="1" w:lastColumn="0" w:noHBand="0" w:noVBand="1"/>
        <w:tblCaption w:val="Tabla 1"/>
        <w:tblDescription w:val="En una tabla de 4 columnas, se proporciona la relación de modificaciones y prórrogas de Concesiones en favor de Ultravisión, S.A. de C.V."/>
      </w:tblPr>
      <w:tblGrid>
        <w:gridCol w:w="519"/>
        <w:gridCol w:w="1310"/>
        <w:gridCol w:w="4782"/>
        <w:gridCol w:w="2216"/>
      </w:tblGrid>
      <w:tr w:rsidR="00056187" w:rsidRPr="00FB0D0C" w14:paraId="213AD23B" w14:textId="40CB6ADC" w:rsidTr="00607B3A">
        <w:trPr>
          <w:tblHeader/>
        </w:trPr>
        <w:tc>
          <w:tcPr>
            <w:tcW w:w="519" w:type="dxa"/>
            <w:shd w:val="clear" w:color="auto" w:fill="D9D9D9" w:themeFill="background1" w:themeFillShade="D9"/>
          </w:tcPr>
          <w:p w14:paraId="0A105378" w14:textId="04FAFFDF" w:rsidR="00056187" w:rsidRPr="00FB0D0C" w:rsidRDefault="00056187" w:rsidP="00607B3A">
            <w:pPr>
              <w:spacing w:after="0" w:line="240" w:lineRule="auto"/>
              <w:jc w:val="center"/>
              <w:rPr>
                <w:rFonts w:ascii="ITC Avant Garde" w:hAnsi="ITC Avant Garde"/>
                <w:bCs/>
                <w:color w:val="000000"/>
                <w:lang w:eastAsia="es-MX"/>
              </w:rPr>
            </w:pPr>
            <w:r w:rsidRPr="00FB0D0C">
              <w:rPr>
                <w:rFonts w:ascii="ITC Avant Garde" w:eastAsia="Times New Roman" w:hAnsi="ITC Avant Garde"/>
                <w:b/>
                <w:sz w:val="16"/>
                <w:szCs w:val="16"/>
                <w:lang w:eastAsia="es-MX"/>
              </w:rPr>
              <w:t>No.</w:t>
            </w:r>
          </w:p>
        </w:tc>
        <w:tc>
          <w:tcPr>
            <w:tcW w:w="1310" w:type="dxa"/>
            <w:shd w:val="clear" w:color="auto" w:fill="D9D9D9" w:themeFill="background1" w:themeFillShade="D9"/>
          </w:tcPr>
          <w:p w14:paraId="62F6F157" w14:textId="42DA12A0" w:rsidR="00056187" w:rsidRPr="00FB0D0C" w:rsidRDefault="00056187" w:rsidP="00607B3A">
            <w:pPr>
              <w:spacing w:after="0" w:line="240" w:lineRule="auto"/>
              <w:jc w:val="center"/>
              <w:rPr>
                <w:rFonts w:ascii="ITC Avant Garde" w:hAnsi="ITC Avant Garde"/>
                <w:bCs/>
                <w:color w:val="000000"/>
                <w:lang w:eastAsia="es-MX"/>
              </w:rPr>
            </w:pPr>
            <w:r w:rsidRPr="00FB0D0C">
              <w:rPr>
                <w:rFonts w:ascii="ITC Avant Garde" w:eastAsia="Times New Roman" w:hAnsi="ITC Avant Garde"/>
                <w:b/>
                <w:sz w:val="16"/>
                <w:szCs w:val="16"/>
                <w:lang w:eastAsia="es-MX"/>
              </w:rPr>
              <w:t>Banda</w:t>
            </w:r>
            <w:r w:rsidR="00D12B98" w:rsidRPr="00FB0D0C">
              <w:rPr>
                <w:rFonts w:ascii="ITC Avant Garde" w:eastAsia="Times New Roman" w:hAnsi="ITC Avant Garde"/>
                <w:b/>
                <w:sz w:val="16"/>
                <w:szCs w:val="16"/>
                <w:lang w:eastAsia="es-MX"/>
              </w:rPr>
              <w:t>s</w:t>
            </w:r>
            <w:r w:rsidRPr="00FB0D0C">
              <w:rPr>
                <w:rFonts w:ascii="ITC Avant Garde" w:eastAsia="Times New Roman" w:hAnsi="ITC Avant Garde"/>
                <w:b/>
                <w:sz w:val="16"/>
                <w:szCs w:val="16"/>
                <w:lang w:eastAsia="es-MX"/>
              </w:rPr>
              <w:t xml:space="preserve"> de frecuencias</w:t>
            </w:r>
          </w:p>
        </w:tc>
        <w:tc>
          <w:tcPr>
            <w:tcW w:w="4782" w:type="dxa"/>
            <w:shd w:val="clear" w:color="auto" w:fill="D9D9D9" w:themeFill="background1" w:themeFillShade="D9"/>
          </w:tcPr>
          <w:p w14:paraId="369585CD" w14:textId="67581536" w:rsidR="00056187" w:rsidRPr="00FB0D0C" w:rsidRDefault="00056187" w:rsidP="00607B3A">
            <w:pPr>
              <w:spacing w:after="0" w:line="240" w:lineRule="auto"/>
              <w:jc w:val="center"/>
              <w:rPr>
                <w:rFonts w:ascii="ITC Avant Garde" w:hAnsi="ITC Avant Garde"/>
                <w:bCs/>
                <w:color w:val="000000"/>
                <w:lang w:eastAsia="es-MX"/>
              </w:rPr>
            </w:pPr>
            <w:r w:rsidRPr="00FB0D0C">
              <w:rPr>
                <w:rFonts w:ascii="ITC Avant Garde" w:eastAsia="Times New Roman" w:hAnsi="ITC Avant Garde"/>
                <w:b/>
                <w:sz w:val="16"/>
                <w:szCs w:val="16"/>
                <w:lang w:eastAsia="es-MX"/>
              </w:rPr>
              <w:t>Cobertura</w:t>
            </w:r>
          </w:p>
        </w:tc>
        <w:tc>
          <w:tcPr>
            <w:tcW w:w="2216" w:type="dxa"/>
            <w:shd w:val="clear" w:color="auto" w:fill="D9D9D9" w:themeFill="background1" w:themeFillShade="D9"/>
          </w:tcPr>
          <w:p w14:paraId="56CF582E" w14:textId="2DCF0C98" w:rsidR="00056187" w:rsidRPr="00FB0D0C" w:rsidRDefault="00056187" w:rsidP="00607B3A">
            <w:pPr>
              <w:spacing w:after="0" w:line="240" w:lineRule="auto"/>
              <w:jc w:val="center"/>
              <w:rPr>
                <w:rFonts w:ascii="ITC Avant Garde" w:eastAsia="Times New Roman" w:hAnsi="ITC Avant Garde"/>
                <w:b/>
                <w:sz w:val="16"/>
                <w:szCs w:val="16"/>
                <w:lang w:eastAsia="es-MX"/>
              </w:rPr>
            </w:pPr>
            <w:r w:rsidRPr="00FB0D0C">
              <w:rPr>
                <w:rFonts w:ascii="ITC Avant Garde" w:eastAsia="Times New Roman" w:hAnsi="ITC Avant Garde"/>
                <w:b/>
                <w:sz w:val="16"/>
                <w:szCs w:val="16"/>
                <w:lang w:eastAsia="es-MX"/>
              </w:rPr>
              <w:t>Servicio(s)</w:t>
            </w:r>
          </w:p>
        </w:tc>
      </w:tr>
      <w:tr w:rsidR="00056187" w:rsidRPr="00FB0D0C" w14:paraId="351B8F66" w14:textId="6B76C9E1" w:rsidTr="00607B3A">
        <w:tc>
          <w:tcPr>
            <w:tcW w:w="519" w:type="dxa"/>
          </w:tcPr>
          <w:p w14:paraId="689FE338" w14:textId="4EF3416B" w:rsidR="00056187" w:rsidRPr="00FB0D0C" w:rsidRDefault="00056187" w:rsidP="00607B3A">
            <w:pPr>
              <w:spacing w:after="0" w:line="240" w:lineRule="auto"/>
              <w:jc w:val="center"/>
              <w:rPr>
                <w:rFonts w:ascii="ITC Avant Garde" w:eastAsia="Times New Roman" w:hAnsi="ITC Avant Garde"/>
                <w:b/>
                <w:sz w:val="13"/>
                <w:szCs w:val="13"/>
                <w:lang w:eastAsia="es-MX"/>
              </w:rPr>
            </w:pPr>
            <w:r w:rsidRPr="00FB0D0C">
              <w:rPr>
                <w:rFonts w:ascii="ITC Avant Garde" w:eastAsia="Times New Roman" w:hAnsi="ITC Avant Garde"/>
                <w:b/>
                <w:sz w:val="13"/>
                <w:szCs w:val="13"/>
                <w:lang w:eastAsia="es-MX"/>
              </w:rPr>
              <w:t>1</w:t>
            </w:r>
          </w:p>
        </w:tc>
        <w:tc>
          <w:tcPr>
            <w:tcW w:w="1310" w:type="dxa"/>
          </w:tcPr>
          <w:p w14:paraId="28E2BDEF" w14:textId="3C2CE36F" w:rsidR="00056187" w:rsidRPr="00FB0D0C" w:rsidRDefault="00056187" w:rsidP="00607B3A">
            <w:pPr>
              <w:spacing w:after="0" w:line="240" w:lineRule="auto"/>
              <w:jc w:val="center"/>
              <w:rPr>
                <w:rFonts w:ascii="ITC Avant Garde" w:hAnsi="ITC Avant Garde"/>
                <w:bCs/>
                <w:color w:val="000000"/>
                <w:lang w:eastAsia="es-MX"/>
              </w:rPr>
            </w:pPr>
            <w:r w:rsidRPr="00FB0D0C">
              <w:rPr>
                <w:rFonts w:ascii="ITC Avant Garde" w:eastAsia="Times New Roman" w:hAnsi="ITC Avant Garde"/>
                <w:sz w:val="13"/>
                <w:szCs w:val="13"/>
                <w:lang w:eastAsia="es-MX"/>
              </w:rPr>
              <w:t>2500-2515MHz / 2620-2635 MHz</w:t>
            </w:r>
          </w:p>
        </w:tc>
        <w:tc>
          <w:tcPr>
            <w:tcW w:w="4782" w:type="dxa"/>
          </w:tcPr>
          <w:p w14:paraId="1D9D42E2" w14:textId="76C80DE9" w:rsidR="00056187" w:rsidRPr="00FB0D0C" w:rsidRDefault="00056187" w:rsidP="00607B3A">
            <w:pPr>
              <w:spacing w:after="0" w:line="240" w:lineRule="auto"/>
              <w:jc w:val="both"/>
              <w:rPr>
                <w:rFonts w:ascii="ITC Avant Garde" w:hAnsi="ITC Avant Garde"/>
                <w:bCs/>
                <w:color w:val="000000"/>
                <w:lang w:eastAsia="es-MX"/>
              </w:rPr>
            </w:pPr>
            <w:r w:rsidRPr="00FB0D0C">
              <w:rPr>
                <w:rFonts w:ascii="ITC Avant Garde" w:eastAsia="Times New Roman" w:hAnsi="ITC Avant Garde"/>
                <w:sz w:val="13"/>
                <w:szCs w:val="13"/>
                <w:lang w:eastAsia="es-MX"/>
              </w:rPr>
              <w:t>Veracruz, Boca del Rio, Alvarado, Angel R. Cabada, Tlalixcoyan, Medellin, Paso de Ovejas, Soledad de Doblado, Ur</w:t>
            </w:r>
            <w:r w:rsidR="003A52EE" w:rsidRPr="00FB0D0C">
              <w:rPr>
                <w:rFonts w:ascii="ITC Avant Garde" w:eastAsia="Times New Roman" w:hAnsi="ITC Avant Garde"/>
                <w:sz w:val="13"/>
                <w:szCs w:val="13"/>
                <w:lang w:eastAsia="es-MX"/>
              </w:rPr>
              <w:t>sulo Galvá</w:t>
            </w:r>
            <w:r w:rsidRPr="00FB0D0C">
              <w:rPr>
                <w:rFonts w:ascii="ITC Avant Garde" w:eastAsia="Times New Roman" w:hAnsi="ITC Avant Garde"/>
                <w:sz w:val="13"/>
                <w:szCs w:val="13"/>
                <w:lang w:eastAsia="es-MX"/>
              </w:rPr>
              <w:t>n, La Antigua, Lerdo de Tejada, Ignacio de la Llave, Puente Nacional, Manlio Fabio Altamirano, Cotaxtla, Tlacotalpan, Carrillo Puerto, Jamapa, Amatitlán, Saltabarranca, Camarón de Tejeda y Acula, en el Estado de Veracruz.</w:t>
            </w:r>
          </w:p>
        </w:tc>
        <w:tc>
          <w:tcPr>
            <w:tcW w:w="2216" w:type="dxa"/>
          </w:tcPr>
          <w:p w14:paraId="472BAF87" w14:textId="02192467" w:rsidR="00056187" w:rsidRPr="00FB0D0C" w:rsidRDefault="00056187"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Televis</w:t>
            </w:r>
            <w:r w:rsidR="00E5075A" w:rsidRPr="00FB0D0C">
              <w:rPr>
                <w:rFonts w:ascii="ITC Avant Garde" w:eastAsia="Times New Roman" w:hAnsi="ITC Avant Garde"/>
                <w:sz w:val="13"/>
                <w:szCs w:val="13"/>
                <w:lang w:eastAsia="es-MX"/>
              </w:rPr>
              <w:t>i</w:t>
            </w:r>
            <w:r w:rsidRPr="00FB0D0C">
              <w:rPr>
                <w:rFonts w:ascii="ITC Avant Garde" w:eastAsia="Times New Roman" w:hAnsi="ITC Avant Garde"/>
                <w:sz w:val="13"/>
                <w:szCs w:val="13"/>
                <w:lang w:eastAsia="es-MX"/>
              </w:rPr>
              <w:t xml:space="preserve">ón </w:t>
            </w:r>
            <w:r w:rsidR="00E907E6" w:rsidRPr="00FB0D0C">
              <w:rPr>
                <w:rFonts w:ascii="ITC Avant Garde" w:eastAsia="Times New Roman" w:hAnsi="ITC Avant Garde"/>
                <w:sz w:val="13"/>
                <w:szCs w:val="13"/>
                <w:lang w:eastAsia="es-MX"/>
              </w:rPr>
              <w:t xml:space="preserve">y </w:t>
            </w:r>
            <w:r w:rsidR="00A77554" w:rsidRPr="00FB0D0C">
              <w:rPr>
                <w:rFonts w:ascii="ITC Avant Garde" w:eastAsia="Times New Roman" w:hAnsi="ITC Avant Garde"/>
                <w:sz w:val="13"/>
                <w:szCs w:val="13"/>
                <w:lang w:eastAsia="es-MX"/>
              </w:rPr>
              <w:t>a</w:t>
            </w:r>
            <w:r w:rsidRPr="00FB0D0C">
              <w:rPr>
                <w:rFonts w:ascii="ITC Avant Garde" w:eastAsia="Times New Roman" w:hAnsi="ITC Avant Garde"/>
                <w:sz w:val="13"/>
                <w:szCs w:val="13"/>
                <w:lang w:eastAsia="es-MX"/>
              </w:rPr>
              <w:t>udio restringido</w:t>
            </w:r>
            <w:r w:rsidR="00E907E6" w:rsidRPr="00FB0D0C">
              <w:rPr>
                <w:rFonts w:ascii="ITC Avant Garde" w:eastAsia="Times New Roman" w:hAnsi="ITC Avant Garde"/>
                <w:sz w:val="13"/>
                <w:szCs w:val="13"/>
                <w:lang w:eastAsia="es-MX"/>
              </w:rPr>
              <w:t xml:space="preserve">s; así como el </w:t>
            </w:r>
            <w:r w:rsidR="00A77554" w:rsidRPr="00FB0D0C">
              <w:rPr>
                <w:rFonts w:ascii="ITC Avant Garde" w:eastAsia="Times New Roman" w:hAnsi="ITC Avant Garde"/>
                <w:sz w:val="13"/>
                <w:szCs w:val="13"/>
                <w:lang w:eastAsia="es-MX"/>
              </w:rPr>
              <w:t>s</w:t>
            </w:r>
            <w:r w:rsidRPr="00FB0D0C">
              <w:rPr>
                <w:rFonts w:ascii="ITC Avant Garde" w:eastAsia="Times New Roman" w:hAnsi="ITC Avant Garde"/>
                <w:sz w:val="13"/>
                <w:szCs w:val="13"/>
                <w:lang w:eastAsia="es-MX"/>
              </w:rPr>
              <w:t>ervicio fijo de transmisión bidireccional de datos</w:t>
            </w:r>
            <w:r w:rsidR="00E907E6" w:rsidRPr="00FB0D0C">
              <w:rPr>
                <w:rFonts w:ascii="ITC Avant Garde" w:eastAsia="Times New Roman" w:hAnsi="ITC Avant Garde"/>
                <w:sz w:val="13"/>
                <w:szCs w:val="13"/>
                <w:lang w:eastAsia="es-MX"/>
              </w:rPr>
              <w:t>.</w:t>
            </w:r>
          </w:p>
        </w:tc>
      </w:tr>
      <w:tr w:rsidR="00056187" w:rsidRPr="00FB0D0C" w14:paraId="21543140" w14:textId="71F9B25F" w:rsidTr="00607B3A">
        <w:tc>
          <w:tcPr>
            <w:tcW w:w="519" w:type="dxa"/>
          </w:tcPr>
          <w:p w14:paraId="7D5917D7" w14:textId="0DF7A49B" w:rsidR="00056187" w:rsidRPr="00FB0D0C" w:rsidRDefault="00056187" w:rsidP="00607B3A">
            <w:pPr>
              <w:spacing w:after="0" w:line="240" w:lineRule="auto"/>
              <w:jc w:val="center"/>
              <w:rPr>
                <w:rFonts w:ascii="ITC Avant Garde" w:eastAsia="Times New Roman" w:hAnsi="ITC Avant Garde"/>
                <w:b/>
                <w:sz w:val="13"/>
                <w:szCs w:val="13"/>
                <w:lang w:eastAsia="es-MX"/>
              </w:rPr>
            </w:pPr>
            <w:r w:rsidRPr="00FB0D0C">
              <w:rPr>
                <w:rFonts w:ascii="ITC Avant Garde" w:eastAsia="Times New Roman" w:hAnsi="ITC Avant Garde"/>
                <w:b/>
                <w:sz w:val="13"/>
                <w:szCs w:val="13"/>
                <w:lang w:eastAsia="es-MX"/>
              </w:rPr>
              <w:t>2</w:t>
            </w:r>
          </w:p>
        </w:tc>
        <w:tc>
          <w:tcPr>
            <w:tcW w:w="1310" w:type="dxa"/>
          </w:tcPr>
          <w:p w14:paraId="07F28FD6" w14:textId="729D6381" w:rsidR="00056187" w:rsidRPr="00FB0D0C" w:rsidRDefault="00056187" w:rsidP="00607B3A">
            <w:pPr>
              <w:spacing w:after="0" w:line="240" w:lineRule="auto"/>
              <w:jc w:val="center"/>
              <w:rPr>
                <w:rFonts w:ascii="ITC Avant Garde" w:hAnsi="ITC Avant Garde"/>
                <w:bCs/>
                <w:color w:val="000000"/>
                <w:lang w:eastAsia="es-MX"/>
              </w:rPr>
            </w:pPr>
            <w:r w:rsidRPr="00FB0D0C">
              <w:rPr>
                <w:rFonts w:ascii="ITC Avant Garde" w:eastAsia="Times New Roman" w:hAnsi="ITC Avant Garde"/>
                <w:sz w:val="13"/>
                <w:szCs w:val="13"/>
                <w:lang w:eastAsia="es-MX"/>
              </w:rPr>
              <w:t>2500-2530 MHz / 2620-2650 MHz</w:t>
            </w:r>
          </w:p>
        </w:tc>
        <w:tc>
          <w:tcPr>
            <w:tcW w:w="4782" w:type="dxa"/>
          </w:tcPr>
          <w:p w14:paraId="7F84B657" w14:textId="20BEFC4A" w:rsidR="00056187" w:rsidRPr="00FB0D0C" w:rsidRDefault="00056187"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Tehuacán, Ajalpan, Altepexi, Zinacatepec, San Gabriel Chilac, Santiago Miahuatlán, San José Miahuatlán, Coxcatlan, Xochitlán, Todos Santos, Tepanco de López, Tlacotepec de Benito Juárez, Acatlán, Chiautla, Zoquitlán, Tepexi de Rodríguez, Vicente Guerrero, Cañada Morelos, Tehuitzingo, Jolalpan, San Sebastián, Tlacotepec, Coyomeapan, Petlalcingo, Huehuetlán el Chico, Tulcingo, Eloxochitlán, Zapotitlán, Guadalupe, Piaxtla, Ixcaquixtla, Tecomatlán, Santa Inés Ahuatempan, Caltepec, Chila, Juan N. Mendez, Ixcamilpa de Guerrero, Nicolás Bravo, Zacapala, Chapulco, Cuayuca de Andrade, Molcaxac, San Jerónimo, Xayacatlán, Atexcal, San Pedro Yeloixtlahuaca, San Antonio Cañada, Teotlalco, San Pablo Amicano, Ahuehuetitla, Chinantla, Coyotepec, Chía de la Sal, Cohetzala, Albino Zertuche, Axutla, Xayacatlán de Bravo, Xicotlan, Chigmecatitlán, Totoltepec de Guerrero, San Miguel Ixitlán y Santa Catarina Tlaltempan, en el Estado de Puebla.</w:t>
            </w:r>
          </w:p>
        </w:tc>
        <w:tc>
          <w:tcPr>
            <w:tcW w:w="2216" w:type="dxa"/>
          </w:tcPr>
          <w:p w14:paraId="133CC8AC" w14:textId="289B0CC3" w:rsidR="00056187" w:rsidRPr="00FB0D0C" w:rsidRDefault="00E907E6"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Televis</w:t>
            </w:r>
            <w:r w:rsidR="00E5075A" w:rsidRPr="00FB0D0C">
              <w:rPr>
                <w:rFonts w:ascii="ITC Avant Garde" w:eastAsia="Times New Roman" w:hAnsi="ITC Avant Garde"/>
                <w:sz w:val="13"/>
                <w:szCs w:val="13"/>
                <w:lang w:eastAsia="es-MX"/>
              </w:rPr>
              <w:t>i</w:t>
            </w:r>
            <w:r w:rsidRPr="00FB0D0C">
              <w:rPr>
                <w:rFonts w:ascii="ITC Avant Garde" w:eastAsia="Times New Roman" w:hAnsi="ITC Avant Garde"/>
                <w:sz w:val="13"/>
                <w:szCs w:val="13"/>
                <w:lang w:eastAsia="es-MX"/>
              </w:rPr>
              <w:t>ón y audio restringidos.</w:t>
            </w:r>
          </w:p>
        </w:tc>
      </w:tr>
      <w:tr w:rsidR="00056187" w:rsidRPr="00FB0D0C" w14:paraId="4C289939" w14:textId="1DEB202A" w:rsidTr="00607B3A">
        <w:tc>
          <w:tcPr>
            <w:tcW w:w="519" w:type="dxa"/>
          </w:tcPr>
          <w:p w14:paraId="35F231A7" w14:textId="2DAE3E6E" w:rsidR="00056187" w:rsidRPr="00FB0D0C" w:rsidRDefault="00056187" w:rsidP="00607B3A">
            <w:pPr>
              <w:spacing w:after="0" w:line="240" w:lineRule="auto"/>
              <w:jc w:val="center"/>
              <w:rPr>
                <w:rFonts w:ascii="ITC Avant Garde" w:eastAsia="Times New Roman" w:hAnsi="ITC Avant Garde"/>
                <w:b/>
                <w:sz w:val="13"/>
                <w:szCs w:val="13"/>
                <w:lang w:eastAsia="es-MX"/>
              </w:rPr>
            </w:pPr>
            <w:r w:rsidRPr="00FB0D0C">
              <w:rPr>
                <w:rFonts w:ascii="ITC Avant Garde" w:eastAsia="Times New Roman" w:hAnsi="ITC Avant Garde"/>
                <w:b/>
                <w:sz w:val="13"/>
                <w:szCs w:val="13"/>
                <w:lang w:eastAsia="es-MX"/>
              </w:rPr>
              <w:t>3</w:t>
            </w:r>
          </w:p>
        </w:tc>
        <w:tc>
          <w:tcPr>
            <w:tcW w:w="1310" w:type="dxa"/>
          </w:tcPr>
          <w:p w14:paraId="4D5E9E15" w14:textId="7E4FA2DE" w:rsidR="00056187" w:rsidRPr="00FB0D0C" w:rsidRDefault="00056187" w:rsidP="00607B3A">
            <w:pPr>
              <w:spacing w:after="0" w:line="240" w:lineRule="auto"/>
              <w:jc w:val="center"/>
              <w:rPr>
                <w:rFonts w:ascii="ITC Avant Garde" w:hAnsi="ITC Avant Garde"/>
                <w:bCs/>
                <w:color w:val="000000"/>
                <w:lang w:eastAsia="es-MX"/>
              </w:rPr>
            </w:pPr>
            <w:r w:rsidRPr="00FB0D0C">
              <w:rPr>
                <w:rFonts w:ascii="ITC Avant Garde" w:eastAsia="Times New Roman" w:hAnsi="ITC Avant Garde"/>
                <w:sz w:val="13"/>
                <w:szCs w:val="13"/>
                <w:lang w:eastAsia="es-MX"/>
              </w:rPr>
              <w:t>2500-2530 MHz / 2620-2650 MHz</w:t>
            </w:r>
          </w:p>
        </w:tc>
        <w:tc>
          <w:tcPr>
            <w:tcW w:w="4782" w:type="dxa"/>
            <w:vAlign w:val="center"/>
          </w:tcPr>
          <w:p w14:paraId="41E36864" w14:textId="068E19D9" w:rsidR="00056187" w:rsidRPr="00FB0D0C" w:rsidRDefault="00056187"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Jalapa, Coatepec, Perote, Xico, Banderilla, Teocelo, Naolinco, Actopan, Emiliano Zapata, Juan Rodríguez Clara, Alto Lucero de Gutiérrez Barrios, Ayahualulco, Cosautlán de Carvajal, Chocamán, Chiconquiaco, Jilotepec, Las Vigas de Ramírez, Tlaltetela, Ixhuacán de los Reyes, Tepetlán, Tlalnelhuayocan, Acajete, Coacoatzintla, Rafael Lucio, Tonayan, Jalcomulco, Apazapan, Miahuatlán, Acatlán, Landero y Coss, en el Estado de Veracruz.</w:t>
            </w:r>
          </w:p>
        </w:tc>
        <w:tc>
          <w:tcPr>
            <w:tcW w:w="2216" w:type="dxa"/>
          </w:tcPr>
          <w:p w14:paraId="603DAF24" w14:textId="5F4556A0" w:rsidR="00056187" w:rsidRPr="00FB0D0C" w:rsidRDefault="00E907E6"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Televis</w:t>
            </w:r>
            <w:r w:rsidR="00E5075A" w:rsidRPr="00FB0D0C">
              <w:rPr>
                <w:rFonts w:ascii="ITC Avant Garde" w:eastAsia="Times New Roman" w:hAnsi="ITC Avant Garde"/>
                <w:sz w:val="13"/>
                <w:szCs w:val="13"/>
                <w:lang w:eastAsia="es-MX"/>
              </w:rPr>
              <w:t>i</w:t>
            </w:r>
            <w:r w:rsidRPr="00FB0D0C">
              <w:rPr>
                <w:rFonts w:ascii="ITC Avant Garde" w:eastAsia="Times New Roman" w:hAnsi="ITC Avant Garde"/>
                <w:sz w:val="13"/>
                <w:szCs w:val="13"/>
                <w:lang w:eastAsia="es-MX"/>
              </w:rPr>
              <w:t>ón y audio restringidos.</w:t>
            </w:r>
          </w:p>
        </w:tc>
      </w:tr>
      <w:tr w:rsidR="00056187" w:rsidRPr="00FB0D0C" w14:paraId="74FAB6FC" w14:textId="3974E7A6" w:rsidTr="00607B3A">
        <w:tc>
          <w:tcPr>
            <w:tcW w:w="519" w:type="dxa"/>
          </w:tcPr>
          <w:p w14:paraId="4C8AF1D4" w14:textId="109DC8FF" w:rsidR="00056187" w:rsidRPr="00FB0D0C" w:rsidRDefault="00056187" w:rsidP="00607B3A">
            <w:pPr>
              <w:spacing w:after="0" w:line="240" w:lineRule="auto"/>
              <w:jc w:val="center"/>
              <w:rPr>
                <w:rFonts w:ascii="ITC Avant Garde" w:eastAsia="Times New Roman" w:hAnsi="ITC Avant Garde"/>
                <w:b/>
                <w:sz w:val="13"/>
                <w:szCs w:val="13"/>
                <w:lang w:eastAsia="es-MX"/>
              </w:rPr>
            </w:pPr>
            <w:r w:rsidRPr="00FB0D0C">
              <w:rPr>
                <w:rFonts w:ascii="ITC Avant Garde" w:eastAsia="Times New Roman" w:hAnsi="ITC Avant Garde"/>
                <w:b/>
                <w:sz w:val="13"/>
                <w:szCs w:val="13"/>
                <w:lang w:eastAsia="es-MX"/>
              </w:rPr>
              <w:t>4</w:t>
            </w:r>
          </w:p>
        </w:tc>
        <w:tc>
          <w:tcPr>
            <w:tcW w:w="1310" w:type="dxa"/>
          </w:tcPr>
          <w:p w14:paraId="164E3D0F" w14:textId="1649A431" w:rsidR="00056187" w:rsidRPr="00FB0D0C" w:rsidRDefault="00056187" w:rsidP="00607B3A">
            <w:pPr>
              <w:spacing w:after="0" w:line="240" w:lineRule="auto"/>
              <w:jc w:val="center"/>
              <w:rPr>
                <w:rFonts w:ascii="ITC Avant Garde" w:hAnsi="ITC Avant Garde"/>
                <w:bCs/>
                <w:color w:val="000000"/>
                <w:lang w:eastAsia="es-MX"/>
              </w:rPr>
            </w:pPr>
            <w:r w:rsidRPr="00FB0D0C">
              <w:rPr>
                <w:rFonts w:ascii="ITC Avant Garde" w:eastAsia="Times New Roman" w:hAnsi="ITC Avant Garde"/>
                <w:sz w:val="13"/>
                <w:szCs w:val="13"/>
                <w:lang w:eastAsia="es-MX"/>
              </w:rPr>
              <w:t>2500-2530 MHz / 2620-2650 MHz</w:t>
            </w:r>
          </w:p>
        </w:tc>
        <w:tc>
          <w:tcPr>
            <w:tcW w:w="4782" w:type="dxa"/>
          </w:tcPr>
          <w:p w14:paraId="52893673" w14:textId="2E0D0364" w:rsidR="00056187" w:rsidRPr="00FB0D0C" w:rsidRDefault="00056187"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Coatzacoalcos, Minatitlá</w:t>
            </w:r>
            <w:r w:rsidR="00A77554" w:rsidRPr="00FB0D0C">
              <w:rPr>
                <w:rFonts w:ascii="ITC Avant Garde" w:eastAsia="Times New Roman" w:hAnsi="ITC Avant Garde"/>
                <w:sz w:val="13"/>
                <w:szCs w:val="13"/>
                <w:lang w:eastAsia="es-MX"/>
              </w:rPr>
              <w:t>n, San André</w:t>
            </w:r>
            <w:r w:rsidRPr="00FB0D0C">
              <w:rPr>
                <w:rFonts w:ascii="ITC Avant Garde" w:eastAsia="Times New Roman" w:hAnsi="ITC Avant Garde"/>
                <w:sz w:val="13"/>
                <w:szCs w:val="13"/>
                <w:lang w:eastAsia="es-MX"/>
              </w:rPr>
              <w:t>s Tuxtla, Las Choapas, Acayucan, Agua Dulce, Jaltipan, Nanchital de Lázaro Cárdenas, Cosoleacaque, Catemaco, Santiago Tuxtla, Oteapan, Ixhuatlan del Sureste, Chinameca, Pajapan, Hueyapan de Ocampo, San Juan Evangelista, Jesús Carranza, Sayula de Alemán, Hidalgotitlan, Soteapan, Mecayapan, Texistepec, Moloacán, Oluta, Soconusco y Zaragoza, en el Estado de Veracruz.</w:t>
            </w:r>
          </w:p>
        </w:tc>
        <w:tc>
          <w:tcPr>
            <w:tcW w:w="2216" w:type="dxa"/>
          </w:tcPr>
          <w:p w14:paraId="54E7908A" w14:textId="6447040C" w:rsidR="00056187" w:rsidRPr="00FB0D0C" w:rsidRDefault="00E907E6"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Televis</w:t>
            </w:r>
            <w:r w:rsidR="008A3261" w:rsidRPr="00FB0D0C">
              <w:rPr>
                <w:rFonts w:ascii="ITC Avant Garde" w:eastAsia="Times New Roman" w:hAnsi="ITC Avant Garde"/>
                <w:sz w:val="13"/>
                <w:szCs w:val="13"/>
                <w:lang w:eastAsia="es-MX"/>
              </w:rPr>
              <w:t>i</w:t>
            </w:r>
            <w:r w:rsidRPr="00FB0D0C">
              <w:rPr>
                <w:rFonts w:ascii="ITC Avant Garde" w:eastAsia="Times New Roman" w:hAnsi="ITC Avant Garde"/>
                <w:sz w:val="13"/>
                <w:szCs w:val="13"/>
                <w:lang w:eastAsia="es-MX"/>
              </w:rPr>
              <w:t>ón y audio restringidos.</w:t>
            </w:r>
          </w:p>
        </w:tc>
      </w:tr>
      <w:tr w:rsidR="00056187" w:rsidRPr="00FB0D0C" w14:paraId="36065946" w14:textId="52A0D1AD" w:rsidTr="00607B3A">
        <w:tc>
          <w:tcPr>
            <w:tcW w:w="519" w:type="dxa"/>
          </w:tcPr>
          <w:p w14:paraId="514AE040" w14:textId="1034999C" w:rsidR="00056187" w:rsidRPr="00FB0D0C" w:rsidRDefault="00056187" w:rsidP="00607B3A">
            <w:pPr>
              <w:spacing w:after="0" w:line="240" w:lineRule="auto"/>
              <w:jc w:val="center"/>
              <w:rPr>
                <w:rFonts w:ascii="ITC Avant Garde" w:eastAsia="Times New Roman" w:hAnsi="ITC Avant Garde"/>
                <w:b/>
                <w:sz w:val="13"/>
                <w:szCs w:val="13"/>
                <w:lang w:eastAsia="es-MX"/>
              </w:rPr>
            </w:pPr>
            <w:r w:rsidRPr="00FB0D0C">
              <w:rPr>
                <w:rFonts w:ascii="ITC Avant Garde" w:eastAsia="Times New Roman" w:hAnsi="ITC Avant Garde"/>
                <w:b/>
                <w:sz w:val="13"/>
                <w:szCs w:val="13"/>
                <w:lang w:eastAsia="es-MX"/>
              </w:rPr>
              <w:t>5</w:t>
            </w:r>
          </w:p>
        </w:tc>
        <w:tc>
          <w:tcPr>
            <w:tcW w:w="1310" w:type="dxa"/>
          </w:tcPr>
          <w:p w14:paraId="030D26AF" w14:textId="7C6405C3" w:rsidR="00056187" w:rsidRPr="00FB0D0C" w:rsidRDefault="00056187" w:rsidP="00607B3A">
            <w:pPr>
              <w:spacing w:after="0" w:line="240" w:lineRule="auto"/>
              <w:jc w:val="center"/>
              <w:rPr>
                <w:rFonts w:ascii="ITC Avant Garde" w:hAnsi="ITC Avant Garde"/>
                <w:bCs/>
                <w:color w:val="000000"/>
                <w:lang w:eastAsia="es-MX"/>
              </w:rPr>
            </w:pPr>
            <w:r w:rsidRPr="00FB0D0C">
              <w:rPr>
                <w:rFonts w:ascii="ITC Avant Garde" w:eastAsia="Times New Roman" w:hAnsi="ITC Avant Garde"/>
                <w:sz w:val="13"/>
                <w:szCs w:val="13"/>
                <w:lang w:eastAsia="es-MX"/>
              </w:rPr>
              <w:t>2515-2530 MHz / 2635-2650 MHz</w:t>
            </w:r>
          </w:p>
        </w:tc>
        <w:tc>
          <w:tcPr>
            <w:tcW w:w="4782" w:type="dxa"/>
          </w:tcPr>
          <w:p w14:paraId="2A91CA30" w14:textId="6EC9E295" w:rsidR="00056187" w:rsidRPr="00FB0D0C" w:rsidRDefault="00056187"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Ciudad de Veracruz, Veracruz, y Zona Conurbada.</w:t>
            </w:r>
          </w:p>
        </w:tc>
        <w:tc>
          <w:tcPr>
            <w:tcW w:w="2216" w:type="dxa"/>
          </w:tcPr>
          <w:p w14:paraId="7E98C7FD" w14:textId="5500B7CC" w:rsidR="00056187" w:rsidRPr="00FB0D0C" w:rsidRDefault="00884E48"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Televis</w:t>
            </w:r>
            <w:r w:rsidR="008A3261" w:rsidRPr="00FB0D0C">
              <w:rPr>
                <w:rFonts w:ascii="ITC Avant Garde" w:eastAsia="Times New Roman" w:hAnsi="ITC Avant Garde"/>
                <w:sz w:val="13"/>
                <w:szCs w:val="13"/>
                <w:lang w:eastAsia="es-MX"/>
              </w:rPr>
              <w:t>i</w:t>
            </w:r>
            <w:r w:rsidRPr="00FB0D0C">
              <w:rPr>
                <w:rFonts w:ascii="ITC Avant Garde" w:eastAsia="Times New Roman" w:hAnsi="ITC Avant Garde"/>
                <w:sz w:val="13"/>
                <w:szCs w:val="13"/>
                <w:lang w:eastAsia="es-MX"/>
              </w:rPr>
              <w:t>ón restringida.</w:t>
            </w:r>
          </w:p>
        </w:tc>
      </w:tr>
      <w:tr w:rsidR="00056187" w:rsidRPr="00FB0D0C" w14:paraId="570BC1FF" w14:textId="463D3590" w:rsidTr="00607B3A">
        <w:tc>
          <w:tcPr>
            <w:tcW w:w="519" w:type="dxa"/>
          </w:tcPr>
          <w:p w14:paraId="2C9BA800" w14:textId="4CF5A746" w:rsidR="00056187" w:rsidRPr="00FB0D0C" w:rsidRDefault="00056187" w:rsidP="00607B3A">
            <w:pPr>
              <w:spacing w:after="0" w:line="240" w:lineRule="auto"/>
              <w:jc w:val="center"/>
              <w:rPr>
                <w:rFonts w:ascii="ITC Avant Garde" w:eastAsia="Times New Roman" w:hAnsi="ITC Avant Garde"/>
                <w:b/>
                <w:sz w:val="13"/>
                <w:szCs w:val="13"/>
                <w:lang w:eastAsia="es-MX"/>
              </w:rPr>
            </w:pPr>
            <w:r w:rsidRPr="00FB0D0C">
              <w:rPr>
                <w:rFonts w:ascii="ITC Avant Garde" w:eastAsia="Times New Roman" w:hAnsi="ITC Avant Garde"/>
                <w:b/>
                <w:sz w:val="13"/>
                <w:szCs w:val="13"/>
                <w:lang w:eastAsia="es-MX"/>
              </w:rPr>
              <w:lastRenderedPageBreak/>
              <w:t>6</w:t>
            </w:r>
          </w:p>
        </w:tc>
        <w:tc>
          <w:tcPr>
            <w:tcW w:w="1310" w:type="dxa"/>
          </w:tcPr>
          <w:p w14:paraId="1D0B2C49" w14:textId="243DF643" w:rsidR="00056187" w:rsidRPr="00FB0D0C" w:rsidRDefault="00056187" w:rsidP="00607B3A">
            <w:pPr>
              <w:spacing w:after="0" w:line="240" w:lineRule="auto"/>
              <w:jc w:val="center"/>
              <w:rPr>
                <w:rFonts w:ascii="ITC Avant Garde" w:hAnsi="ITC Avant Garde"/>
                <w:bCs/>
                <w:color w:val="000000"/>
                <w:lang w:eastAsia="es-MX"/>
              </w:rPr>
            </w:pPr>
            <w:r w:rsidRPr="00FB0D0C">
              <w:rPr>
                <w:rFonts w:ascii="ITC Avant Garde" w:eastAsia="Times New Roman" w:hAnsi="ITC Avant Garde"/>
                <w:sz w:val="13"/>
                <w:szCs w:val="13"/>
                <w:lang w:eastAsia="es-MX"/>
              </w:rPr>
              <w:t>2500-2530 MHz / 2620-2650 MHz</w:t>
            </w:r>
          </w:p>
        </w:tc>
        <w:tc>
          <w:tcPr>
            <w:tcW w:w="4782" w:type="dxa"/>
          </w:tcPr>
          <w:p w14:paraId="50AEA564" w14:textId="416DDB87" w:rsidR="00056187" w:rsidRPr="00FB0D0C" w:rsidRDefault="00056187"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Matamoros, Valle Hermoso, San Fernando, Burgos, Méndez y Cruillas, en el Estado de Tamaulipas.</w:t>
            </w:r>
          </w:p>
        </w:tc>
        <w:tc>
          <w:tcPr>
            <w:tcW w:w="2216" w:type="dxa"/>
          </w:tcPr>
          <w:p w14:paraId="353CAA82" w14:textId="1797FBA2" w:rsidR="00056187" w:rsidRPr="00FB0D0C" w:rsidRDefault="00884E48"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Televis</w:t>
            </w:r>
            <w:r w:rsidR="008A3261" w:rsidRPr="00FB0D0C">
              <w:rPr>
                <w:rFonts w:ascii="ITC Avant Garde" w:eastAsia="Times New Roman" w:hAnsi="ITC Avant Garde"/>
                <w:sz w:val="13"/>
                <w:szCs w:val="13"/>
                <w:lang w:eastAsia="es-MX"/>
              </w:rPr>
              <w:t>i</w:t>
            </w:r>
            <w:r w:rsidRPr="00FB0D0C">
              <w:rPr>
                <w:rFonts w:ascii="ITC Avant Garde" w:eastAsia="Times New Roman" w:hAnsi="ITC Avant Garde"/>
                <w:sz w:val="13"/>
                <w:szCs w:val="13"/>
                <w:lang w:eastAsia="es-MX"/>
              </w:rPr>
              <w:t>ón y audio restringidos.</w:t>
            </w:r>
          </w:p>
        </w:tc>
      </w:tr>
      <w:tr w:rsidR="00056187" w:rsidRPr="00FB0D0C" w14:paraId="6030E344" w14:textId="736604DB" w:rsidTr="00607B3A">
        <w:tc>
          <w:tcPr>
            <w:tcW w:w="519" w:type="dxa"/>
          </w:tcPr>
          <w:p w14:paraId="791E3737" w14:textId="071F0BB7" w:rsidR="00056187" w:rsidRPr="00FB0D0C" w:rsidRDefault="00056187" w:rsidP="00607B3A">
            <w:pPr>
              <w:spacing w:after="0" w:line="240" w:lineRule="auto"/>
              <w:jc w:val="center"/>
              <w:rPr>
                <w:rFonts w:ascii="ITC Avant Garde" w:eastAsia="Times New Roman" w:hAnsi="ITC Avant Garde"/>
                <w:b/>
                <w:sz w:val="13"/>
                <w:szCs w:val="13"/>
                <w:lang w:eastAsia="es-MX"/>
              </w:rPr>
            </w:pPr>
            <w:r w:rsidRPr="00FB0D0C">
              <w:rPr>
                <w:rFonts w:ascii="ITC Avant Garde" w:eastAsia="Times New Roman" w:hAnsi="ITC Avant Garde"/>
                <w:b/>
                <w:sz w:val="13"/>
                <w:szCs w:val="13"/>
                <w:lang w:eastAsia="es-MX"/>
              </w:rPr>
              <w:t>7</w:t>
            </w:r>
          </w:p>
        </w:tc>
        <w:tc>
          <w:tcPr>
            <w:tcW w:w="1310" w:type="dxa"/>
          </w:tcPr>
          <w:p w14:paraId="05E11974" w14:textId="781D3BE2" w:rsidR="00056187" w:rsidRPr="00FB0D0C" w:rsidRDefault="00056187" w:rsidP="00607B3A">
            <w:pPr>
              <w:spacing w:after="0" w:line="240" w:lineRule="auto"/>
              <w:jc w:val="center"/>
              <w:rPr>
                <w:rFonts w:ascii="ITC Avant Garde" w:hAnsi="ITC Avant Garde"/>
                <w:bCs/>
                <w:color w:val="000000"/>
                <w:lang w:eastAsia="es-MX"/>
              </w:rPr>
            </w:pPr>
            <w:r w:rsidRPr="00FB0D0C">
              <w:rPr>
                <w:rFonts w:ascii="ITC Avant Garde" w:eastAsia="Times New Roman" w:hAnsi="ITC Avant Garde"/>
                <w:sz w:val="13"/>
                <w:szCs w:val="13"/>
                <w:lang w:eastAsia="es-MX"/>
              </w:rPr>
              <w:t>2500-2530 MHz / 2620-2650 MHz</w:t>
            </w:r>
          </w:p>
        </w:tc>
        <w:tc>
          <w:tcPr>
            <w:tcW w:w="4782" w:type="dxa"/>
          </w:tcPr>
          <w:p w14:paraId="279A2958" w14:textId="2CCF89A8" w:rsidR="00056187" w:rsidRPr="00FB0D0C" w:rsidRDefault="00056187"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Chilpancingo de los Bravo, Tixtla de Guerrero, Chilapa de Álvarez, Eduardo Neri, Leonardo Bravo, Mochitlán, Mártir de Cuilapan, Tlalpa de Comonfort, General Heliodoro Castillo, Malinaltepec, Quechultenango, Metlatonoc, Zapotitlán Tablas, Olinalá, Atlixtac, Ahuacuotzingo, Zitlala, Alcozauca de Guerrero, Copanatoyac, Huamuxtitlán, Xalpatláhuac, Tlacoapa, Xochihuehuetlán, Tlalixtaquilla de Maldonado, Cualác, Alpoyeca y Atlamajalcingo del Monte, en el Estado de Guerrero.</w:t>
            </w:r>
          </w:p>
        </w:tc>
        <w:tc>
          <w:tcPr>
            <w:tcW w:w="2216" w:type="dxa"/>
          </w:tcPr>
          <w:p w14:paraId="2BD53846" w14:textId="3C9D2641" w:rsidR="00056187" w:rsidRPr="00FB0D0C" w:rsidRDefault="00884E48"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Televis</w:t>
            </w:r>
            <w:r w:rsidR="008A3261" w:rsidRPr="00FB0D0C">
              <w:rPr>
                <w:rFonts w:ascii="ITC Avant Garde" w:eastAsia="Times New Roman" w:hAnsi="ITC Avant Garde"/>
                <w:sz w:val="13"/>
                <w:szCs w:val="13"/>
                <w:lang w:eastAsia="es-MX"/>
              </w:rPr>
              <w:t>i</w:t>
            </w:r>
            <w:r w:rsidRPr="00FB0D0C">
              <w:rPr>
                <w:rFonts w:ascii="ITC Avant Garde" w:eastAsia="Times New Roman" w:hAnsi="ITC Avant Garde"/>
                <w:sz w:val="13"/>
                <w:szCs w:val="13"/>
                <w:lang w:eastAsia="es-MX"/>
              </w:rPr>
              <w:t>ón y audio restringidos.</w:t>
            </w:r>
          </w:p>
        </w:tc>
      </w:tr>
      <w:tr w:rsidR="00056187" w:rsidRPr="00FB0D0C" w14:paraId="64C24A43" w14:textId="2DDCB2DE" w:rsidTr="00607B3A">
        <w:tc>
          <w:tcPr>
            <w:tcW w:w="519" w:type="dxa"/>
          </w:tcPr>
          <w:p w14:paraId="5D966619" w14:textId="0CA7E38E" w:rsidR="00056187" w:rsidRPr="00FB0D0C" w:rsidRDefault="00056187" w:rsidP="00607B3A">
            <w:pPr>
              <w:spacing w:after="0" w:line="240" w:lineRule="auto"/>
              <w:jc w:val="center"/>
              <w:rPr>
                <w:rFonts w:ascii="ITC Avant Garde" w:eastAsia="Times New Roman" w:hAnsi="ITC Avant Garde"/>
                <w:b/>
                <w:sz w:val="13"/>
                <w:szCs w:val="13"/>
                <w:lang w:eastAsia="es-MX"/>
              </w:rPr>
            </w:pPr>
            <w:r w:rsidRPr="00FB0D0C">
              <w:rPr>
                <w:rFonts w:ascii="ITC Avant Garde" w:eastAsia="Times New Roman" w:hAnsi="ITC Avant Garde"/>
                <w:b/>
                <w:sz w:val="13"/>
                <w:szCs w:val="13"/>
                <w:lang w:eastAsia="es-MX"/>
              </w:rPr>
              <w:t>8</w:t>
            </w:r>
          </w:p>
        </w:tc>
        <w:tc>
          <w:tcPr>
            <w:tcW w:w="1310" w:type="dxa"/>
          </w:tcPr>
          <w:p w14:paraId="06BB0B6F" w14:textId="148F3B40" w:rsidR="00056187" w:rsidRPr="00FB0D0C" w:rsidRDefault="00056187" w:rsidP="00607B3A">
            <w:pPr>
              <w:spacing w:after="0" w:line="240" w:lineRule="auto"/>
              <w:jc w:val="center"/>
              <w:rPr>
                <w:rFonts w:ascii="ITC Avant Garde" w:hAnsi="ITC Avant Garde"/>
                <w:bCs/>
                <w:color w:val="000000"/>
                <w:lang w:eastAsia="es-MX"/>
              </w:rPr>
            </w:pPr>
            <w:r w:rsidRPr="00FB0D0C">
              <w:rPr>
                <w:rFonts w:ascii="ITC Avant Garde" w:eastAsia="Times New Roman" w:hAnsi="ITC Avant Garde"/>
                <w:sz w:val="13"/>
                <w:szCs w:val="13"/>
                <w:lang w:eastAsia="es-MX"/>
              </w:rPr>
              <w:t>2500-2530 MHz / 2620-2650 MHz</w:t>
            </w:r>
          </w:p>
        </w:tc>
        <w:tc>
          <w:tcPr>
            <w:tcW w:w="4782" w:type="dxa"/>
          </w:tcPr>
          <w:p w14:paraId="50B2570C" w14:textId="5EB64204" w:rsidR="00056187" w:rsidRPr="00FB0D0C" w:rsidRDefault="00056187"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Cuautla, Yautepec, Tlaquiltenango, Zacatepec, Axochiapan, Ayala, Yecapixtla, Tepalcingo, Tlaltizapán, Tetela del Volcán, Jonacatepec, Atlatlahucan, Tlayacapan, Temoac, Totolapan, Ocuituco, Jantetelco, Zacualpan y Tlalnepantla, en el Estado de Morelos.</w:t>
            </w:r>
          </w:p>
        </w:tc>
        <w:tc>
          <w:tcPr>
            <w:tcW w:w="2216" w:type="dxa"/>
          </w:tcPr>
          <w:p w14:paraId="06C6B589" w14:textId="73D1727D" w:rsidR="00056187" w:rsidRPr="00FB0D0C" w:rsidRDefault="00884E48"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Televis</w:t>
            </w:r>
            <w:r w:rsidR="008A3261" w:rsidRPr="00FB0D0C">
              <w:rPr>
                <w:rFonts w:ascii="ITC Avant Garde" w:eastAsia="Times New Roman" w:hAnsi="ITC Avant Garde"/>
                <w:sz w:val="13"/>
                <w:szCs w:val="13"/>
                <w:lang w:eastAsia="es-MX"/>
              </w:rPr>
              <w:t>i</w:t>
            </w:r>
            <w:r w:rsidRPr="00FB0D0C">
              <w:rPr>
                <w:rFonts w:ascii="ITC Avant Garde" w:eastAsia="Times New Roman" w:hAnsi="ITC Avant Garde"/>
                <w:sz w:val="13"/>
                <w:szCs w:val="13"/>
                <w:lang w:eastAsia="es-MX"/>
              </w:rPr>
              <w:t>ón y audio restringidos.</w:t>
            </w:r>
          </w:p>
        </w:tc>
      </w:tr>
      <w:tr w:rsidR="00056187" w:rsidRPr="00FB0D0C" w14:paraId="757ECE1A" w14:textId="102EF5CE" w:rsidTr="00607B3A">
        <w:tc>
          <w:tcPr>
            <w:tcW w:w="519" w:type="dxa"/>
          </w:tcPr>
          <w:p w14:paraId="223F8338" w14:textId="62A26E8C" w:rsidR="00056187" w:rsidRPr="00FB0D0C" w:rsidRDefault="00056187" w:rsidP="00607B3A">
            <w:pPr>
              <w:spacing w:after="0" w:line="240" w:lineRule="auto"/>
              <w:jc w:val="center"/>
              <w:rPr>
                <w:rFonts w:ascii="ITC Avant Garde" w:eastAsia="Times New Roman" w:hAnsi="ITC Avant Garde"/>
                <w:b/>
                <w:sz w:val="13"/>
                <w:szCs w:val="13"/>
                <w:lang w:eastAsia="es-MX"/>
              </w:rPr>
            </w:pPr>
            <w:r w:rsidRPr="00FB0D0C">
              <w:rPr>
                <w:rFonts w:ascii="ITC Avant Garde" w:eastAsia="Times New Roman" w:hAnsi="ITC Avant Garde"/>
                <w:b/>
                <w:sz w:val="13"/>
                <w:szCs w:val="13"/>
                <w:lang w:eastAsia="es-MX"/>
              </w:rPr>
              <w:t>9</w:t>
            </w:r>
          </w:p>
        </w:tc>
        <w:tc>
          <w:tcPr>
            <w:tcW w:w="1310" w:type="dxa"/>
          </w:tcPr>
          <w:p w14:paraId="7999B410" w14:textId="13390560" w:rsidR="00056187" w:rsidRPr="00FB0D0C" w:rsidRDefault="00056187" w:rsidP="00607B3A">
            <w:pPr>
              <w:spacing w:after="0" w:line="240" w:lineRule="auto"/>
              <w:jc w:val="center"/>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2515-2530 MHz / 2635-2650 MHz</w:t>
            </w:r>
          </w:p>
        </w:tc>
        <w:tc>
          <w:tcPr>
            <w:tcW w:w="4782" w:type="dxa"/>
          </w:tcPr>
          <w:p w14:paraId="189DB6E9" w14:textId="110F825A" w:rsidR="00056187" w:rsidRPr="00FB0D0C" w:rsidRDefault="00056187"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Ciudad de Puebla, Puebla, y Zona Conurbada.</w:t>
            </w:r>
          </w:p>
        </w:tc>
        <w:tc>
          <w:tcPr>
            <w:tcW w:w="2216" w:type="dxa"/>
          </w:tcPr>
          <w:p w14:paraId="749899AD" w14:textId="7D015A25" w:rsidR="00056187" w:rsidRPr="00FB0D0C" w:rsidRDefault="00884E48"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Televis</w:t>
            </w:r>
            <w:r w:rsidR="008A3261" w:rsidRPr="00FB0D0C">
              <w:rPr>
                <w:rFonts w:ascii="ITC Avant Garde" w:eastAsia="Times New Roman" w:hAnsi="ITC Avant Garde"/>
                <w:sz w:val="13"/>
                <w:szCs w:val="13"/>
                <w:lang w:eastAsia="es-MX"/>
              </w:rPr>
              <w:t>i</w:t>
            </w:r>
            <w:r w:rsidRPr="00FB0D0C">
              <w:rPr>
                <w:rFonts w:ascii="ITC Avant Garde" w:eastAsia="Times New Roman" w:hAnsi="ITC Avant Garde"/>
                <w:sz w:val="13"/>
                <w:szCs w:val="13"/>
                <w:lang w:eastAsia="es-MX"/>
              </w:rPr>
              <w:t>ón restringida.</w:t>
            </w:r>
          </w:p>
        </w:tc>
      </w:tr>
      <w:tr w:rsidR="00056187" w:rsidRPr="00FB0D0C" w14:paraId="410D2921" w14:textId="1D4C8ABE" w:rsidTr="00607B3A">
        <w:tc>
          <w:tcPr>
            <w:tcW w:w="519" w:type="dxa"/>
          </w:tcPr>
          <w:p w14:paraId="16629544" w14:textId="6F7C0F16" w:rsidR="00056187" w:rsidRPr="00FB0D0C" w:rsidRDefault="00056187" w:rsidP="00607B3A">
            <w:pPr>
              <w:spacing w:after="0" w:line="240" w:lineRule="auto"/>
              <w:jc w:val="center"/>
              <w:rPr>
                <w:rFonts w:ascii="ITC Avant Garde" w:eastAsia="Times New Roman" w:hAnsi="ITC Avant Garde"/>
                <w:b/>
                <w:sz w:val="13"/>
                <w:szCs w:val="13"/>
                <w:lang w:eastAsia="es-MX"/>
              </w:rPr>
            </w:pPr>
            <w:r w:rsidRPr="00FB0D0C">
              <w:rPr>
                <w:rFonts w:ascii="ITC Avant Garde" w:eastAsia="Times New Roman" w:hAnsi="ITC Avant Garde"/>
                <w:b/>
                <w:sz w:val="13"/>
                <w:szCs w:val="13"/>
                <w:lang w:eastAsia="es-MX"/>
              </w:rPr>
              <w:t>10</w:t>
            </w:r>
          </w:p>
        </w:tc>
        <w:tc>
          <w:tcPr>
            <w:tcW w:w="1310" w:type="dxa"/>
          </w:tcPr>
          <w:p w14:paraId="5DF52F45" w14:textId="55E0BA53" w:rsidR="00056187" w:rsidRPr="00FB0D0C" w:rsidRDefault="00056187" w:rsidP="00607B3A">
            <w:pPr>
              <w:spacing w:after="0" w:line="240" w:lineRule="auto"/>
              <w:jc w:val="center"/>
              <w:rPr>
                <w:rFonts w:ascii="ITC Avant Garde" w:hAnsi="ITC Avant Garde"/>
                <w:bCs/>
                <w:color w:val="000000"/>
                <w:lang w:eastAsia="es-MX"/>
              </w:rPr>
            </w:pPr>
            <w:r w:rsidRPr="00FB0D0C">
              <w:rPr>
                <w:rFonts w:ascii="ITC Avant Garde" w:eastAsia="Times New Roman" w:hAnsi="ITC Avant Garde"/>
                <w:sz w:val="13"/>
                <w:szCs w:val="13"/>
                <w:lang w:eastAsia="es-MX"/>
              </w:rPr>
              <w:t>2500-2530 MHz / 2620-2650 MHz</w:t>
            </w:r>
          </w:p>
        </w:tc>
        <w:tc>
          <w:tcPr>
            <w:tcW w:w="4782" w:type="dxa"/>
          </w:tcPr>
          <w:p w14:paraId="222358AA" w14:textId="28D3EF61" w:rsidR="00056187" w:rsidRPr="00FB0D0C" w:rsidRDefault="00056187"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 xml:space="preserve">Cuernavaca, Jiutepec, Temixco, Jojutla, Emiliano Zapata, Puente de Ixtla, Tepoztlán, Xochitepec, Miacatlán, Tetecala, Amacuzac, Mazatepec, Huilzilac y Coatlán del Río, en el Estado de Morelos. </w:t>
            </w:r>
          </w:p>
        </w:tc>
        <w:tc>
          <w:tcPr>
            <w:tcW w:w="2216" w:type="dxa"/>
          </w:tcPr>
          <w:p w14:paraId="1C736F78" w14:textId="37EC309B" w:rsidR="00056187" w:rsidRPr="00FB0D0C" w:rsidRDefault="00884E48"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Televis</w:t>
            </w:r>
            <w:r w:rsidR="008A3261" w:rsidRPr="00FB0D0C">
              <w:rPr>
                <w:rFonts w:ascii="ITC Avant Garde" w:eastAsia="Times New Roman" w:hAnsi="ITC Avant Garde"/>
                <w:sz w:val="13"/>
                <w:szCs w:val="13"/>
                <w:lang w:eastAsia="es-MX"/>
              </w:rPr>
              <w:t>i</w:t>
            </w:r>
            <w:r w:rsidRPr="00FB0D0C">
              <w:rPr>
                <w:rFonts w:ascii="ITC Avant Garde" w:eastAsia="Times New Roman" w:hAnsi="ITC Avant Garde"/>
                <w:sz w:val="13"/>
                <w:szCs w:val="13"/>
                <w:lang w:eastAsia="es-MX"/>
              </w:rPr>
              <w:t>ón y audio restringidos.</w:t>
            </w:r>
          </w:p>
        </w:tc>
      </w:tr>
      <w:tr w:rsidR="00884E48" w:rsidRPr="00FB0D0C" w14:paraId="43C2DA72" w14:textId="13881D46" w:rsidTr="00607B3A">
        <w:tc>
          <w:tcPr>
            <w:tcW w:w="519" w:type="dxa"/>
          </w:tcPr>
          <w:p w14:paraId="5865FB65" w14:textId="65218135" w:rsidR="00884E48" w:rsidRPr="00FB0D0C" w:rsidRDefault="00884E48" w:rsidP="00607B3A">
            <w:pPr>
              <w:spacing w:after="0" w:line="240" w:lineRule="auto"/>
              <w:jc w:val="center"/>
              <w:rPr>
                <w:rFonts w:ascii="ITC Avant Garde" w:eastAsia="Times New Roman" w:hAnsi="ITC Avant Garde"/>
                <w:b/>
                <w:sz w:val="13"/>
                <w:szCs w:val="13"/>
                <w:lang w:eastAsia="es-MX"/>
              </w:rPr>
            </w:pPr>
            <w:r w:rsidRPr="00FB0D0C">
              <w:rPr>
                <w:rFonts w:ascii="ITC Avant Garde" w:eastAsia="Times New Roman" w:hAnsi="ITC Avant Garde"/>
                <w:b/>
                <w:sz w:val="13"/>
                <w:szCs w:val="13"/>
                <w:lang w:eastAsia="es-MX"/>
              </w:rPr>
              <w:t>11</w:t>
            </w:r>
          </w:p>
        </w:tc>
        <w:tc>
          <w:tcPr>
            <w:tcW w:w="1310" w:type="dxa"/>
          </w:tcPr>
          <w:p w14:paraId="5B6A3EDC" w14:textId="15F5CDF3" w:rsidR="00884E48" w:rsidRPr="00FB0D0C" w:rsidRDefault="00884E48" w:rsidP="00607B3A">
            <w:pPr>
              <w:spacing w:after="0" w:line="240" w:lineRule="auto"/>
              <w:jc w:val="center"/>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2500-2530 MHz / 2620-2650 MHz</w:t>
            </w:r>
          </w:p>
        </w:tc>
        <w:tc>
          <w:tcPr>
            <w:tcW w:w="4782" w:type="dxa"/>
          </w:tcPr>
          <w:p w14:paraId="15FA70B7" w14:textId="7F3FB173" w:rsidR="00884E48" w:rsidRPr="00FB0D0C" w:rsidRDefault="00884E48" w:rsidP="00607B3A">
            <w:pPr>
              <w:tabs>
                <w:tab w:val="left" w:pos="1540"/>
              </w:tabs>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Aguascalientes, Lagos de Moreno, Pinos, Calvillo, Encarnación de Díaz, Jesús María, Teocaltiche, Loreto, Rincón de Romos, Nochistlán de Mejía, Asientos, Pabellón de Arteaga, Jalpa, Ojuelos de Jalisco, Tlaltenango de Sánchez Román, Tabasco, Tepezala, Villa Hidalgo, Juchipila, Villa García, Noria de Ángeles, Cosío, Teúl de González Ortega, Tepechitlán, Apozol, Moyahua de Estrada, San José de García, Huanusco, Apulco, Benito Juárez, Atolinga, Trinidad García de la Cadena, Mezquital del Oro y Momax, y General Joaquín Amaro, de los Estados de Aguascalientes, Zacatecas y Jalisco.</w:t>
            </w:r>
          </w:p>
        </w:tc>
        <w:tc>
          <w:tcPr>
            <w:tcW w:w="2216" w:type="dxa"/>
          </w:tcPr>
          <w:p w14:paraId="67D7AF43" w14:textId="7B118B30" w:rsidR="00884E48" w:rsidRPr="00FB0D0C" w:rsidRDefault="00884E48" w:rsidP="00607B3A">
            <w:pPr>
              <w:tabs>
                <w:tab w:val="left" w:pos="1540"/>
              </w:tabs>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Televis</w:t>
            </w:r>
            <w:r w:rsidR="008A3261" w:rsidRPr="00FB0D0C">
              <w:rPr>
                <w:rFonts w:ascii="ITC Avant Garde" w:eastAsia="Times New Roman" w:hAnsi="ITC Avant Garde"/>
                <w:sz w:val="13"/>
                <w:szCs w:val="13"/>
                <w:lang w:eastAsia="es-MX"/>
              </w:rPr>
              <w:t>i</w:t>
            </w:r>
            <w:r w:rsidRPr="00FB0D0C">
              <w:rPr>
                <w:rFonts w:ascii="ITC Avant Garde" w:eastAsia="Times New Roman" w:hAnsi="ITC Avant Garde"/>
                <w:sz w:val="13"/>
                <w:szCs w:val="13"/>
                <w:lang w:eastAsia="es-MX"/>
              </w:rPr>
              <w:t>ón y audio restringidos; así como el servicio fijo de transmisión bidireccional de datos.</w:t>
            </w:r>
          </w:p>
        </w:tc>
      </w:tr>
      <w:tr w:rsidR="00884E48" w:rsidRPr="00FB0D0C" w14:paraId="7319D75F" w14:textId="586B9D51" w:rsidTr="00607B3A">
        <w:tc>
          <w:tcPr>
            <w:tcW w:w="519" w:type="dxa"/>
          </w:tcPr>
          <w:p w14:paraId="7E0BC841" w14:textId="1ABB7060" w:rsidR="00884E48" w:rsidRPr="00FB0D0C" w:rsidRDefault="00884E48" w:rsidP="00607B3A">
            <w:pPr>
              <w:spacing w:after="0" w:line="240" w:lineRule="auto"/>
              <w:jc w:val="center"/>
              <w:rPr>
                <w:rFonts w:ascii="ITC Avant Garde" w:eastAsia="Times New Roman" w:hAnsi="ITC Avant Garde"/>
                <w:b/>
                <w:sz w:val="13"/>
                <w:szCs w:val="13"/>
                <w:lang w:eastAsia="es-MX"/>
              </w:rPr>
            </w:pPr>
            <w:r w:rsidRPr="00FB0D0C">
              <w:rPr>
                <w:rFonts w:ascii="ITC Avant Garde" w:eastAsia="Times New Roman" w:hAnsi="ITC Avant Garde"/>
                <w:b/>
                <w:sz w:val="13"/>
                <w:szCs w:val="13"/>
                <w:lang w:eastAsia="es-MX"/>
              </w:rPr>
              <w:t>12</w:t>
            </w:r>
          </w:p>
        </w:tc>
        <w:tc>
          <w:tcPr>
            <w:tcW w:w="1310" w:type="dxa"/>
          </w:tcPr>
          <w:p w14:paraId="34C3B055" w14:textId="2958E536" w:rsidR="00884E48" w:rsidRPr="00FB0D0C" w:rsidRDefault="00884E48" w:rsidP="00607B3A">
            <w:pPr>
              <w:spacing w:after="0" w:line="240" w:lineRule="auto"/>
              <w:jc w:val="center"/>
              <w:rPr>
                <w:rFonts w:ascii="ITC Avant Garde" w:hAnsi="ITC Avant Garde"/>
                <w:bCs/>
                <w:color w:val="000000"/>
                <w:lang w:eastAsia="es-MX"/>
              </w:rPr>
            </w:pPr>
            <w:r w:rsidRPr="00FB0D0C">
              <w:rPr>
                <w:rFonts w:ascii="ITC Avant Garde" w:eastAsia="Times New Roman" w:hAnsi="ITC Avant Garde"/>
                <w:sz w:val="13"/>
                <w:szCs w:val="13"/>
                <w:lang w:eastAsia="es-MX"/>
              </w:rPr>
              <w:t>2500-2530 MHz / 2620-2650 MHz</w:t>
            </w:r>
          </w:p>
        </w:tc>
        <w:tc>
          <w:tcPr>
            <w:tcW w:w="4782" w:type="dxa"/>
          </w:tcPr>
          <w:p w14:paraId="5250715D" w14:textId="604F1027" w:rsidR="00884E48" w:rsidRPr="00FB0D0C" w:rsidRDefault="00884E48"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Iguala de la Independencia, Taxco de Alarcón, Teloloapan, Huitzuco de los Figueroa, Tepecoacuilco de Trujano, Buenavista de Cuéllar, Coyuca de Catalán, Ajuchitlán del Progreso, Arcelia, Cutzamala de Pinzón, Pungarabato, San Miguel Totolapan, Zirándaro, Tlapehuala, Cocula, Tlalchapa, Apaxtla, Tetipac, Copalillo, Cuetzala del Progreso, Pilcaya, General Canuto A. Neri, Atenango del Río, Pedro Ascencio Alquisiras e Ixcateopan de Cuauhtémoc, en el Estado de Guerrero.</w:t>
            </w:r>
          </w:p>
        </w:tc>
        <w:tc>
          <w:tcPr>
            <w:tcW w:w="2216" w:type="dxa"/>
          </w:tcPr>
          <w:p w14:paraId="337F0F8F" w14:textId="6B15AB51" w:rsidR="00884E48" w:rsidRPr="00FB0D0C" w:rsidRDefault="00884E48"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Televis</w:t>
            </w:r>
            <w:r w:rsidR="008A3261" w:rsidRPr="00FB0D0C">
              <w:rPr>
                <w:rFonts w:ascii="ITC Avant Garde" w:eastAsia="Times New Roman" w:hAnsi="ITC Avant Garde"/>
                <w:sz w:val="13"/>
                <w:szCs w:val="13"/>
                <w:lang w:eastAsia="es-MX"/>
              </w:rPr>
              <w:t>i</w:t>
            </w:r>
            <w:r w:rsidRPr="00FB0D0C">
              <w:rPr>
                <w:rFonts w:ascii="ITC Avant Garde" w:eastAsia="Times New Roman" w:hAnsi="ITC Avant Garde"/>
                <w:sz w:val="13"/>
                <w:szCs w:val="13"/>
                <w:lang w:eastAsia="es-MX"/>
              </w:rPr>
              <w:t>ón y audio restringidos.</w:t>
            </w:r>
          </w:p>
        </w:tc>
      </w:tr>
      <w:tr w:rsidR="00884E48" w:rsidRPr="00FB0D0C" w14:paraId="4B2A68BD" w14:textId="2C84A057" w:rsidTr="00607B3A">
        <w:tc>
          <w:tcPr>
            <w:tcW w:w="519" w:type="dxa"/>
          </w:tcPr>
          <w:p w14:paraId="65217060" w14:textId="5166B834" w:rsidR="00884E48" w:rsidRPr="00FB0D0C" w:rsidRDefault="00884E48" w:rsidP="00607B3A">
            <w:pPr>
              <w:spacing w:after="0" w:line="240" w:lineRule="auto"/>
              <w:jc w:val="center"/>
              <w:rPr>
                <w:rFonts w:ascii="ITC Avant Garde" w:eastAsia="Times New Roman" w:hAnsi="ITC Avant Garde"/>
                <w:b/>
                <w:sz w:val="13"/>
                <w:szCs w:val="13"/>
                <w:lang w:eastAsia="es-MX"/>
              </w:rPr>
            </w:pPr>
            <w:r w:rsidRPr="00FB0D0C">
              <w:rPr>
                <w:rFonts w:ascii="ITC Avant Garde" w:eastAsia="Times New Roman" w:hAnsi="ITC Avant Garde"/>
                <w:b/>
                <w:sz w:val="13"/>
                <w:szCs w:val="13"/>
                <w:lang w:eastAsia="es-MX"/>
              </w:rPr>
              <w:t>13</w:t>
            </w:r>
          </w:p>
        </w:tc>
        <w:tc>
          <w:tcPr>
            <w:tcW w:w="1310" w:type="dxa"/>
          </w:tcPr>
          <w:p w14:paraId="4EE0FDB9" w14:textId="573E893C" w:rsidR="00884E48" w:rsidRPr="00FB0D0C" w:rsidRDefault="00884E48" w:rsidP="00607B3A">
            <w:pPr>
              <w:spacing w:after="0" w:line="240" w:lineRule="auto"/>
              <w:jc w:val="center"/>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2500-2515 MHz / 2620-2635 MHz</w:t>
            </w:r>
          </w:p>
        </w:tc>
        <w:tc>
          <w:tcPr>
            <w:tcW w:w="4782" w:type="dxa"/>
          </w:tcPr>
          <w:p w14:paraId="28727CCC" w14:textId="1E1BA5E1" w:rsidR="00884E48" w:rsidRPr="00FB0D0C" w:rsidRDefault="00884E48"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t xml:space="preserve">Puebla, Atlixco, San Martín Texmelucan, San Pedro Cholula, Zacatlán, Izúcar de Matamoros, Apizaco, Tlaxcala, Huamantla, Tepeaca, Chiautempan, Tecamachalco, San Pablo del Monte, Huejotzingo, Chignahuapan, San Andrés Cholula, Acajete, Amozoc, Chalchicomula de Sesma, Cuautlancingo, Chietla, Acatzingo, Calpulalpan, Quecholac, Palmar de Bravo, Tlaxco, Zacatelco, Ixtacamaxtitlán, Tlachichuca, Ixtacuixtla de M. Matamoros, Huaquechula, Tlahuapan, Contla de Juan Cuamatzi, Tetela de Ocampo, Coronango, Libres, San Salvador el Seco, Panotla, San Salvador El Verde, Chichiquila, Nativitas, Ocoyucan, Papalotla de Xicohténcatl, Tetla, Chilchotla, Quimixtlán, Los Reyes de Juárez, Zautla, Tochimilco, Yauhquemehcan, Totolac, Chiautzingo, Yehualtepec, Teolocholco, Xaloztoc, Tecali de Herrera, Tepeyahualco, Tochtepec, Nanacamilpa de Mariano Arista, Guadalupe Victoria, San Matías Tlalancaleca, General Felipe Ángeles, Lafragua, Nopalucan, Rafael Lara Grajales, Esperanza, Cuyoaco, Tepatlaxco de Hidalgo, Tepetitla de Lardizábal, Altzayanca, La Magdalena Tlaltelulco, Hueyotlipan, Calpan, Soltepec, Oriental, Juan C. Bonilla, Atzitzihuacán, El Carmen Tequexquitla, Santa Cruz Tlaxcala, Apetatitlán de Antonio Carvajal, Terrenate, Tetlatlahuaca, Cuapiaxtla, Tepeojuma, Huatlatlauca, Tenancingo, San Nicolás de Los Ranchos, Xicotzingo, Tianguismanalco, Nealtican, Tepeyanco, Tilapa, Tlapanalá, Santa Isabel Cholula, San Felipe Teotlalcingo, San Miguel Xoxtla, Zitlaltepec de Trinidad Sánchez, San Francisco Tetlanohcan, Atzitzintla, San Nicolás Buenos Aires, Aquixtla, Mazatecochco de J. M. Morelos, Tzompantepec, San Salvador Huixcolotla, Amaxac de Guerrero, Santa Catarina Ayometla, Xaltocan, Españita y Aljojuca, en el Estado de Puebla. Sanctorum de Lázaro Cárdenas, Santo Tomás Hueyotlipan, Huehuetlán el Grande, San José Chiapa, San Gregorio Atzompa, Tzicatlacoyan, Ixtenco, Cuautinchán, San Juan Huactzinco, Santa Ana Nopalucan, Cuapiaxtla de Madero, San Jerónimo Tecuanipan, Epatlán, Teopantlán, Domingo Arenas, Atoyatempan, Tlaltenango, Ocotepec, Atlangatepec, Tepexco, San José Teacalco, Santa Cruz Quilehtla, Benito Juárez, Cohuecan, San Lorenzo Axocomanitla, Acuamanala de Miguel Hidalgo, Tocatlán, Huitziltepec, San Damián Texoloc, Cuaxomulco, Muñoz de Domingo Arenas, Santa Apolonia Teacalco, Tlanepantla, Santa Isabel Xiloxoxtla, San Jerónimo Zacualpan, Ahuatlán, San Juan Atenco, Xochiltepec, Coatzingo, Emiliano Zapata, Acteopan, San Lucas Tecopilco, Tepeyahualco de Cuauhtémoc, Mazapiltepec de Juárez, Lázaro Cárdenas, Mixtla, Atzala, San Diego La Mesa Tochimiltzingo, </w:t>
            </w:r>
            <w:r w:rsidRPr="00FB0D0C">
              <w:rPr>
                <w:rFonts w:ascii="ITC Avant Garde" w:eastAsia="Times New Roman" w:hAnsi="ITC Avant Garde"/>
                <w:sz w:val="13"/>
                <w:szCs w:val="13"/>
                <w:lang w:eastAsia="es-MX"/>
              </w:rPr>
              <w:lastRenderedPageBreak/>
              <w:t>Tepemaxalco, La Magdalena, Tlatlauquitepec, San Martín Totoltepec, San Juan Atzompa, en el Estado de Tlaxcala.</w:t>
            </w:r>
          </w:p>
        </w:tc>
        <w:tc>
          <w:tcPr>
            <w:tcW w:w="2216" w:type="dxa"/>
          </w:tcPr>
          <w:p w14:paraId="7707F6B4" w14:textId="395A3E6F" w:rsidR="00884E48" w:rsidRPr="00FB0D0C" w:rsidRDefault="00884E48" w:rsidP="00607B3A">
            <w:pPr>
              <w:spacing w:after="0" w:line="240" w:lineRule="auto"/>
              <w:jc w:val="both"/>
              <w:rPr>
                <w:rFonts w:ascii="ITC Avant Garde" w:eastAsia="Times New Roman" w:hAnsi="ITC Avant Garde"/>
                <w:sz w:val="13"/>
                <w:szCs w:val="13"/>
                <w:lang w:eastAsia="es-MX"/>
              </w:rPr>
            </w:pPr>
            <w:r w:rsidRPr="00FB0D0C">
              <w:rPr>
                <w:rFonts w:ascii="ITC Avant Garde" w:eastAsia="Times New Roman" w:hAnsi="ITC Avant Garde"/>
                <w:sz w:val="13"/>
                <w:szCs w:val="13"/>
                <w:lang w:eastAsia="es-MX"/>
              </w:rPr>
              <w:lastRenderedPageBreak/>
              <w:t>Televis</w:t>
            </w:r>
            <w:r w:rsidR="008A3261" w:rsidRPr="00FB0D0C">
              <w:rPr>
                <w:rFonts w:ascii="ITC Avant Garde" w:eastAsia="Times New Roman" w:hAnsi="ITC Avant Garde"/>
                <w:sz w:val="13"/>
                <w:szCs w:val="13"/>
                <w:lang w:eastAsia="es-MX"/>
              </w:rPr>
              <w:t>i</w:t>
            </w:r>
            <w:r w:rsidRPr="00FB0D0C">
              <w:rPr>
                <w:rFonts w:ascii="ITC Avant Garde" w:eastAsia="Times New Roman" w:hAnsi="ITC Avant Garde"/>
                <w:sz w:val="13"/>
                <w:szCs w:val="13"/>
                <w:lang w:eastAsia="es-MX"/>
              </w:rPr>
              <w:t>ón y audio restringidos; así como el servicio fijo de transmisión bidireccional de datos.</w:t>
            </w:r>
          </w:p>
        </w:tc>
      </w:tr>
    </w:tbl>
    <w:p w14:paraId="33E1D0F4" w14:textId="77777777" w:rsidR="00607B3A" w:rsidRPr="00FB0D0C" w:rsidRDefault="00B42FD8" w:rsidP="00607B3A">
      <w:pPr>
        <w:numPr>
          <w:ilvl w:val="0"/>
          <w:numId w:val="1"/>
        </w:numPr>
        <w:spacing w:before="100" w:beforeAutospacing="1" w:afterLines="120" w:after="288" w:line="240" w:lineRule="auto"/>
        <w:ind w:left="567" w:hanging="567"/>
        <w:jc w:val="both"/>
        <w:rPr>
          <w:rFonts w:ascii="ITC Avant Garde" w:hAnsi="ITC Avant Garde"/>
          <w:bCs/>
          <w:color w:val="000000"/>
          <w:sz w:val="21"/>
          <w:szCs w:val="21"/>
          <w:lang w:eastAsia="es-MX"/>
        </w:rPr>
      </w:pPr>
      <w:r w:rsidRPr="00FB0D0C">
        <w:rPr>
          <w:rFonts w:ascii="ITC Avant Garde" w:hAnsi="ITC Avant Garde"/>
          <w:b/>
          <w:bCs/>
          <w:color w:val="000000" w:themeColor="text1"/>
          <w:sz w:val="21"/>
          <w:szCs w:val="21"/>
          <w:lang w:eastAsia="es-MX"/>
        </w:rPr>
        <w:t xml:space="preserve">Decreto de Ley. </w:t>
      </w:r>
      <w:r w:rsidRPr="00FB0D0C">
        <w:rPr>
          <w:rFonts w:ascii="ITC Avant Garde" w:hAnsi="ITC Avant Garde"/>
          <w:bCs/>
          <w:color w:val="000000" w:themeColor="text1"/>
          <w:sz w:val="21"/>
          <w:szCs w:val="2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73B0FD9B" w14:textId="77777777" w:rsidR="00607B3A" w:rsidRPr="00FB0D0C" w:rsidRDefault="009A5E55" w:rsidP="00607B3A">
      <w:pPr>
        <w:numPr>
          <w:ilvl w:val="0"/>
          <w:numId w:val="1"/>
        </w:numPr>
        <w:spacing w:afterLines="120" w:after="288" w:line="240" w:lineRule="auto"/>
        <w:ind w:left="567" w:hanging="567"/>
        <w:jc w:val="both"/>
        <w:rPr>
          <w:rFonts w:ascii="ITC Avant Garde" w:hAnsi="ITC Avant Garde"/>
          <w:bCs/>
          <w:color w:val="000000"/>
          <w:sz w:val="21"/>
          <w:szCs w:val="21"/>
          <w:lang w:eastAsia="es-MX"/>
        </w:rPr>
      </w:pPr>
      <w:r w:rsidRPr="00FB0D0C">
        <w:rPr>
          <w:rFonts w:ascii="ITC Avant Garde" w:hAnsi="ITC Avant Garde" w:cs="Arial"/>
          <w:b/>
          <w:bCs/>
          <w:color w:val="000000"/>
          <w:sz w:val="21"/>
          <w:szCs w:val="21"/>
          <w:shd w:val="clear" w:color="auto" w:fill="FFFFFF"/>
        </w:rPr>
        <w:t>Estatuto Orgánico.</w:t>
      </w:r>
      <w:r w:rsidRPr="00FB0D0C">
        <w:rPr>
          <w:rStyle w:val="Refdecomentario"/>
          <w:rFonts w:ascii="ITC Avant Garde" w:hAnsi="ITC Avant Garde" w:cs="Arial"/>
          <w:b/>
          <w:bCs/>
          <w:color w:val="000000"/>
          <w:sz w:val="21"/>
          <w:szCs w:val="21"/>
          <w:shd w:val="clear" w:color="auto" w:fill="FFFFFF"/>
        </w:rPr>
        <w:t xml:space="preserve"> </w:t>
      </w:r>
      <w:r w:rsidRPr="00FB0D0C">
        <w:rPr>
          <w:rFonts w:ascii="ITC Avant Garde" w:hAnsi="ITC Avant Garde"/>
          <w:color w:val="000000"/>
          <w:sz w:val="21"/>
          <w:szCs w:val="21"/>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D661E7" w:rsidRPr="00FB0D0C">
        <w:rPr>
          <w:rFonts w:ascii="ITC Avant Garde" w:hAnsi="ITC Avant Garde"/>
          <w:color w:val="000000"/>
          <w:sz w:val="21"/>
          <w:szCs w:val="21"/>
          <w:shd w:val="clear" w:color="auto" w:fill="FFFFFF"/>
        </w:rPr>
        <w:t xml:space="preserve">por última vez </w:t>
      </w:r>
      <w:r w:rsidRPr="00FB0D0C">
        <w:rPr>
          <w:rFonts w:ascii="ITC Avant Garde" w:hAnsi="ITC Avant Garde"/>
          <w:color w:val="000000"/>
          <w:sz w:val="21"/>
          <w:szCs w:val="21"/>
          <w:shd w:val="clear" w:color="auto" w:fill="FFFFFF"/>
        </w:rPr>
        <w:t xml:space="preserve">el </w:t>
      </w:r>
      <w:r w:rsidR="005314E1" w:rsidRPr="00FB0D0C">
        <w:rPr>
          <w:rFonts w:ascii="ITC Avant Garde" w:hAnsi="ITC Avant Garde"/>
          <w:color w:val="000000"/>
          <w:sz w:val="21"/>
          <w:szCs w:val="21"/>
          <w:shd w:val="clear" w:color="auto" w:fill="FFFFFF"/>
        </w:rPr>
        <w:t>20</w:t>
      </w:r>
      <w:r w:rsidRPr="00FB0D0C">
        <w:rPr>
          <w:rFonts w:ascii="ITC Avant Garde" w:hAnsi="ITC Avant Garde"/>
          <w:color w:val="000000"/>
          <w:sz w:val="21"/>
          <w:szCs w:val="21"/>
          <w:shd w:val="clear" w:color="auto" w:fill="FFFFFF"/>
        </w:rPr>
        <w:t xml:space="preserve"> de </w:t>
      </w:r>
      <w:r w:rsidR="005314E1" w:rsidRPr="00FB0D0C">
        <w:rPr>
          <w:rFonts w:ascii="ITC Avant Garde" w:hAnsi="ITC Avant Garde"/>
          <w:color w:val="000000"/>
          <w:sz w:val="21"/>
          <w:szCs w:val="21"/>
          <w:shd w:val="clear" w:color="auto" w:fill="FFFFFF"/>
        </w:rPr>
        <w:t>julio</w:t>
      </w:r>
      <w:r w:rsidRPr="00FB0D0C">
        <w:rPr>
          <w:rFonts w:ascii="ITC Avant Garde" w:hAnsi="ITC Avant Garde"/>
          <w:color w:val="000000"/>
          <w:sz w:val="21"/>
          <w:szCs w:val="21"/>
          <w:shd w:val="clear" w:color="auto" w:fill="FFFFFF"/>
        </w:rPr>
        <w:t xml:space="preserve"> de</w:t>
      </w:r>
      <w:r w:rsidR="00D661E7" w:rsidRPr="00FB0D0C">
        <w:rPr>
          <w:rFonts w:ascii="ITC Avant Garde" w:hAnsi="ITC Avant Garde"/>
          <w:color w:val="000000"/>
          <w:sz w:val="21"/>
          <w:szCs w:val="21"/>
          <w:shd w:val="clear" w:color="auto" w:fill="FFFFFF"/>
        </w:rPr>
        <w:t xml:space="preserve"> 20</w:t>
      </w:r>
      <w:r w:rsidR="005314E1" w:rsidRPr="00FB0D0C">
        <w:rPr>
          <w:rFonts w:ascii="ITC Avant Garde" w:hAnsi="ITC Avant Garde"/>
          <w:color w:val="000000"/>
          <w:sz w:val="21"/>
          <w:szCs w:val="21"/>
          <w:shd w:val="clear" w:color="auto" w:fill="FFFFFF"/>
        </w:rPr>
        <w:t>17</w:t>
      </w:r>
      <w:r w:rsidRPr="00FB0D0C">
        <w:rPr>
          <w:rFonts w:ascii="ITC Avant Garde" w:hAnsi="ITC Avant Garde"/>
          <w:color w:val="000000"/>
          <w:sz w:val="21"/>
          <w:szCs w:val="21"/>
          <w:shd w:val="clear" w:color="auto" w:fill="FFFFFF"/>
        </w:rPr>
        <w:t>.</w:t>
      </w:r>
    </w:p>
    <w:p w14:paraId="17D3D64F" w14:textId="77777777" w:rsidR="00607B3A" w:rsidRPr="00FB0D0C" w:rsidRDefault="008D6BD7" w:rsidP="00607B3A">
      <w:pPr>
        <w:numPr>
          <w:ilvl w:val="0"/>
          <w:numId w:val="1"/>
        </w:numPr>
        <w:spacing w:afterLines="120" w:after="288" w:line="240" w:lineRule="auto"/>
        <w:ind w:left="567" w:hanging="567"/>
        <w:jc w:val="both"/>
        <w:rPr>
          <w:rFonts w:ascii="ITC Avant Garde" w:hAnsi="ITC Avant Garde"/>
          <w:bCs/>
          <w:color w:val="000000"/>
          <w:sz w:val="21"/>
          <w:szCs w:val="21"/>
          <w:lang w:eastAsia="es-MX"/>
        </w:rPr>
      </w:pPr>
      <w:r w:rsidRPr="00FB0D0C">
        <w:rPr>
          <w:rFonts w:ascii="ITC Avant Garde" w:hAnsi="ITC Avant Garde" w:cs="Arial"/>
          <w:b/>
          <w:bCs/>
          <w:color w:val="000000"/>
          <w:sz w:val="21"/>
          <w:szCs w:val="21"/>
          <w:shd w:val="clear" w:color="auto" w:fill="FFFFFF"/>
        </w:rPr>
        <w:t xml:space="preserve">Solicitud de prórroga del plazo para transitar a la concesión única y/u obtener autorización para prestar servicios adicionales. </w:t>
      </w:r>
      <w:r w:rsidRPr="00FB0D0C">
        <w:rPr>
          <w:rFonts w:ascii="ITC Avant Garde" w:hAnsi="ITC Avant Garde" w:cs="Arial"/>
          <w:bCs/>
          <w:color w:val="000000"/>
          <w:sz w:val="21"/>
          <w:szCs w:val="21"/>
          <w:shd w:val="clear" w:color="auto" w:fill="FFFFFF"/>
        </w:rPr>
        <w:t xml:space="preserve">El </w:t>
      </w:r>
      <w:r w:rsidR="006D374F" w:rsidRPr="00FB0D0C">
        <w:rPr>
          <w:rFonts w:ascii="ITC Avant Garde" w:hAnsi="ITC Avant Garde" w:cs="Arial"/>
          <w:bCs/>
          <w:color w:val="000000"/>
          <w:sz w:val="21"/>
          <w:szCs w:val="21"/>
          <w:shd w:val="clear" w:color="auto" w:fill="FFFFFF"/>
        </w:rPr>
        <w:t>4 de noviembre</w:t>
      </w:r>
      <w:r w:rsidRPr="00FB0D0C">
        <w:rPr>
          <w:rFonts w:ascii="ITC Avant Garde" w:hAnsi="ITC Avant Garde" w:cs="Arial"/>
          <w:bCs/>
          <w:color w:val="000000"/>
          <w:sz w:val="21"/>
          <w:szCs w:val="21"/>
          <w:shd w:val="clear" w:color="auto" w:fill="FFFFFF"/>
        </w:rPr>
        <w:t xml:space="preserve"> de 2016, </w:t>
      </w:r>
      <w:r w:rsidR="006D374F" w:rsidRPr="00FB0D0C">
        <w:rPr>
          <w:rFonts w:ascii="ITC Avant Garde" w:hAnsi="ITC Avant Garde" w:cs="Arial"/>
          <w:bCs/>
          <w:color w:val="000000"/>
          <w:sz w:val="21"/>
          <w:szCs w:val="21"/>
          <w:shd w:val="clear" w:color="auto" w:fill="FFFFFF"/>
        </w:rPr>
        <w:t>Ultravisión</w:t>
      </w:r>
      <w:r w:rsidRPr="00FB0D0C">
        <w:rPr>
          <w:rFonts w:ascii="ITC Avant Garde" w:hAnsi="ITC Avant Garde" w:cs="Arial"/>
          <w:bCs/>
          <w:color w:val="000000"/>
          <w:sz w:val="21"/>
          <w:szCs w:val="21"/>
          <w:shd w:val="clear" w:color="auto" w:fill="FFFFFF"/>
        </w:rPr>
        <w:t>, S.A. de C.V.</w:t>
      </w:r>
      <w:r w:rsidR="00800C47" w:rsidRPr="00FB0D0C">
        <w:rPr>
          <w:rFonts w:ascii="ITC Avant Garde" w:hAnsi="ITC Avant Garde" w:cs="Arial"/>
          <w:bCs/>
          <w:color w:val="000000"/>
          <w:sz w:val="21"/>
          <w:szCs w:val="21"/>
          <w:shd w:val="clear" w:color="auto" w:fill="FFFFFF"/>
        </w:rPr>
        <w:t>, por conducto de su representante legal,</w:t>
      </w:r>
      <w:r w:rsidRPr="00FB0D0C">
        <w:rPr>
          <w:rFonts w:ascii="ITC Avant Garde" w:hAnsi="ITC Avant Garde" w:cs="Arial"/>
          <w:bCs/>
          <w:color w:val="000000"/>
          <w:sz w:val="21"/>
          <w:szCs w:val="21"/>
          <w:shd w:val="clear" w:color="auto" w:fill="FFFFFF"/>
        </w:rPr>
        <w:t xml:space="preserve"> solicitó ampliar el plazo para transitar a</w:t>
      </w:r>
      <w:r w:rsidR="0096669A" w:rsidRPr="00FB0D0C">
        <w:rPr>
          <w:rFonts w:ascii="ITC Avant Garde" w:hAnsi="ITC Avant Garde" w:cs="Arial"/>
          <w:bCs/>
          <w:color w:val="000000"/>
          <w:sz w:val="21"/>
          <w:szCs w:val="21"/>
          <w:shd w:val="clear" w:color="auto" w:fill="FFFFFF"/>
        </w:rPr>
        <w:t xml:space="preserve"> la concesión única y/u obtener</w:t>
      </w:r>
      <w:r w:rsidRPr="00FB0D0C">
        <w:rPr>
          <w:rFonts w:ascii="ITC Avant Garde" w:hAnsi="ITC Avant Garde" w:cs="Arial"/>
          <w:bCs/>
          <w:color w:val="000000"/>
          <w:sz w:val="21"/>
          <w:szCs w:val="21"/>
          <w:shd w:val="clear" w:color="auto" w:fill="FFFFFF"/>
        </w:rPr>
        <w:t xml:space="preserve"> autorización para prestar servicios adicionales, en términos de lo establecido en la condición 2.1 de las Concesiones.</w:t>
      </w:r>
    </w:p>
    <w:p w14:paraId="5FC72A1B" w14:textId="77777777" w:rsidR="00607B3A" w:rsidRPr="00FB0D0C" w:rsidRDefault="00AB2F54" w:rsidP="00607B3A">
      <w:pPr>
        <w:numPr>
          <w:ilvl w:val="0"/>
          <w:numId w:val="1"/>
        </w:numPr>
        <w:spacing w:afterLines="120" w:after="288" w:line="240" w:lineRule="auto"/>
        <w:ind w:left="567" w:hanging="567"/>
        <w:jc w:val="both"/>
        <w:rPr>
          <w:rFonts w:ascii="ITC Avant Garde" w:hAnsi="ITC Avant Garde"/>
          <w:bCs/>
          <w:color w:val="000000"/>
          <w:sz w:val="21"/>
          <w:szCs w:val="21"/>
          <w:lang w:eastAsia="es-MX"/>
        </w:rPr>
      </w:pPr>
      <w:r w:rsidRPr="00FB0D0C">
        <w:rPr>
          <w:rFonts w:ascii="ITC Avant Garde" w:hAnsi="ITC Avant Garde"/>
          <w:b/>
          <w:bCs/>
          <w:sz w:val="21"/>
          <w:szCs w:val="21"/>
        </w:rPr>
        <w:t xml:space="preserve">Autorización de </w:t>
      </w:r>
      <w:r w:rsidR="008D6BD7" w:rsidRPr="00FB0D0C">
        <w:rPr>
          <w:rFonts w:ascii="ITC Avant Garde" w:hAnsi="ITC Avant Garde"/>
          <w:b/>
          <w:bCs/>
          <w:sz w:val="21"/>
          <w:szCs w:val="21"/>
        </w:rPr>
        <w:t>prórroga del plazo</w:t>
      </w:r>
      <w:r w:rsidR="00CD0F26" w:rsidRPr="00FB0D0C">
        <w:rPr>
          <w:rFonts w:ascii="ITC Avant Garde" w:hAnsi="ITC Avant Garde"/>
          <w:b/>
          <w:bCs/>
          <w:sz w:val="21"/>
          <w:szCs w:val="21"/>
        </w:rPr>
        <w:t xml:space="preserve"> para dar cumplimiento</w:t>
      </w:r>
      <w:r w:rsidR="006E36E2" w:rsidRPr="00FB0D0C">
        <w:rPr>
          <w:rFonts w:ascii="ITC Avant Garde" w:hAnsi="ITC Avant Garde"/>
          <w:b/>
          <w:bCs/>
          <w:sz w:val="21"/>
          <w:szCs w:val="21"/>
        </w:rPr>
        <w:t xml:space="preserve"> la condición </w:t>
      </w:r>
      <w:r w:rsidR="001E7FC5" w:rsidRPr="00FB0D0C">
        <w:rPr>
          <w:rFonts w:ascii="ITC Avant Garde" w:hAnsi="ITC Avant Garde"/>
          <w:b/>
          <w:bCs/>
          <w:sz w:val="21"/>
          <w:szCs w:val="21"/>
        </w:rPr>
        <w:t>2.1. de las Concesiones</w:t>
      </w:r>
      <w:r w:rsidR="00AD5139" w:rsidRPr="00FB0D0C">
        <w:rPr>
          <w:rFonts w:ascii="ITC Avant Garde" w:hAnsi="ITC Avant Garde"/>
          <w:bCs/>
          <w:sz w:val="21"/>
          <w:szCs w:val="21"/>
        </w:rPr>
        <w:t xml:space="preserve">. </w:t>
      </w:r>
      <w:r w:rsidR="008B0398" w:rsidRPr="00FB0D0C">
        <w:rPr>
          <w:rFonts w:ascii="ITC Avant Garde" w:hAnsi="ITC Avant Garde"/>
          <w:bCs/>
          <w:sz w:val="21"/>
          <w:szCs w:val="21"/>
        </w:rPr>
        <w:t>Mediante oficio IFT/223/UCS/253</w:t>
      </w:r>
      <w:r w:rsidR="006D374F" w:rsidRPr="00FB0D0C">
        <w:rPr>
          <w:rFonts w:ascii="ITC Avant Garde" w:hAnsi="ITC Avant Garde"/>
          <w:bCs/>
          <w:sz w:val="21"/>
          <w:szCs w:val="21"/>
        </w:rPr>
        <w:t>7</w:t>
      </w:r>
      <w:r w:rsidR="008B0398" w:rsidRPr="00FB0D0C">
        <w:rPr>
          <w:rFonts w:ascii="ITC Avant Garde" w:hAnsi="ITC Avant Garde"/>
          <w:bCs/>
          <w:sz w:val="21"/>
          <w:szCs w:val="21"/>
        </w:rPr>
        <w:t>/2016</w:t>
      </w:r>
      <w:r w:rsidR="008B0398" w:rsidRPr="00FB0D0C">
        <w:rPr>
          <w:rFonts w:ascii="ITC Avant Garde" w:hAnsi="ITC Avant Garde"/>
          <w:b/>
          <w:bCs/>
          <w:sz w:val="21"/>
          <w:szCs w:val="21"/>
        </w:rPr>
        <w:t xml:space="preserve"> </w:t>
      </w:r>
      <w:r w:rsidR="008B0398" w:rsidRPr="00FB0D0C">
        <w:rPr>
          <w:rFonts w:ascii="ITC Avant Garde" w:hAnsi="ITC Avant Garde"/>
          <w:bCs/>
          <w:sz w:val="21"/>
          <w:szCs w:val="21"/>
        </w:rPr>
        <w:t>de</w:t>
      </w:r>
      <w:r w:rsidR="00001EC5" w:rsidRPr="00FB0D0C">
        <w:rPr>
          <w:rFonts w:ascii="ITC Avant Garde" w:hAnsi="ITC Avant Garde"/>
          <w:bCs/>
          <w:sz w:val="21"/>
          <w:szCs w:val="21"/>
        </w:rPr>
        <w:t xml:space="preserve"> fecha </w:t>
      </w:r>
      <w:r w:rsidR="00165E2E" w:rsidRPr="00FB0D0C">
        <w:rPr>
          <w:rFonts w:ascii="ITC Avant Garde" w:hAnsi="ITC Avant Garde"/>
          <w:bCs/>
          <w:sz w:val="21"/>
          <w:szCs w:val="21"/>
        </w:rPr>
        <w:t>24</w:t>
      </w:r>
      <w:r w:rsidR="00001EC5" w:rsidRPr="00FB0D0C">
        <w:rPr>
          <w:rFonts w:ascii="ITC Avant Garde" w:hAnsi="ITC Avant Garde"/>
          <w:bCs/>
          <w:sz w:val="21"/>
          <w:szCs w:val="21"/>
        </w:rPr>
        <w:t xml:space="preserve"> de </w:t>
      </w:r>
      <w:r w:rsidR="00165E2E" w:rsidRPr="00FB0D0C">
        <w:rPr>
          <w:rFonts w:ascii="ITC Avant Garde" w:hAnsi="ITC Avant Garde"/>
          <w:bCs/>
          <w:sz w:val="21"/>
          <w:szCs w:val="21"/>
        </w:rPr>
        <w:t>novi</w:t>
      </w:r>
      <w:r w:rsidR="00001EC5" w:rsidRPr="00FB0D0C">
        <w:rPr>
          <w:rFonts w:ascii="ITC Avant Garde" w:hAnsi="ITC Avant Garde"/>
          <w:bCs/>
          <w:sz w:val="21"/>
          <w:szCs w:val="21"/>
        </w:rPr>
        <w:t>embre de 2016, e</w:t>
      </w:r>
      <w:r w:rsidR="007A2AC7" w:rsidRPr="00FB0D0C">
        <w:rPr>
          <w:rFonts w:ascii="ITC Avant Garde" w:hAnsi="ITC Avant Garde"/>
          <w:bCs/>
          <w:sz w:val="21"/>
          <w:szCs w:val="21"/>
        </w:rPr>
        <w:t>l Instituto autorizó</w:t>
      </w:r>
      <w:r w:rsidR="00165E2E" w:rsidRPr="00FB0D0C">
        <w:rPr>
          <w:rFonts w:ascii="ITC Avant Garde" w:hAnsi="ITC Avant Garde"/>
          <w:bCs/>
          <w:sz w:val="21"/>
          <w:szCs w:val="21"/>
        </w:rPr>
        <w:t xml:space="preserve"> a </w:t>
      </w:r>
      <w:r w:rsidR="0091513F" w:rsidRPr="00FB0D0C">
        <w:rPr>
          <w:rFonts w:ascii="ITC Avant Garde" w:hAnsi="ITC Avant Garde"/>
          <w:bCs/>
          <w:sz w:val="21"/>
          <w:szCs w:val="21"/>
        </w:rPr>
        <w:t>Ultr</w:t>
      </w:r>
      <w:r w:rsidR="006D374F" w:rsidRPr="00FB0D0C">
        <w:rPr>
          <w:rFonts w:ascii="ITC Avant Garde" w:hAnsi="ITC Avant Garde"/>
          <w:bCs/>
          <w:sz w:val="21"/>
          <w:szCs w:val="21"/>
        </w:rPr>
        <w:t>avisión</w:t>
      </w:r>
      <w:r w:rsidR="00001EC5" w:rsidRPr="00FB0D0C">
        <w:rPr>
          <w:rFonts w:ascii="ITC Avant Garde" w:hAnsi="ITC Avant Garde"/>
          <w:bCs/>
          <w:sz w:val="21"/>
          <w:szCs w:val="21"/>
        </w:rPr>
        <w:t>, S.A. de C.V.,</w:t>
      </w:r>
      <w:r w:rsidR="00E45454" w:rsidRPr="00FB0D0C">
        <w:rPr>
          <w:rFonts w:ascii="ITC Avant Garde" w:hAnsi="ITC Avant Garde"/>
          <w:bCs/>
          <w:sz w:val="21"/>
          <w:szCs w:val="21"/>
        </w:rPr>
        <w:t xml:space="preserve"> </w:t>
      </w:r>
      <w:r w:rsidR="007A2AC7" w:rsidRPr="00FB0D0C">
        <w:rPr>
          <w:rFonts w:ascii="ITC Avant Garde" w:hAnsi="ITC Avant Garde"/>
          <w:sz w:val="21"/>
          <w:szCs w:val="21"/>
        </w:rPr>
        <w:t>la</w:t>
      </w:r>
      <w:r w:rsidR="0096669A" w:rsidRPr="00FB0D0C">
        <w:rPr>
          <w:rFonts w:ascii="ITC Avant Garde" w:hAnsi="ITC Avant Garde"/>
          <w:sz w:val="21"/>
          <w:szCs w:val="21"/>
        </w:rPr>
        <w:t xml:space="preserve"> ampliación del plazo solicitado</w:t>
      </w:r>
      <w:r w:rsidR="007A2AC7" w:rsidRPr="00FB0D0C">
        <w:rPr>
          <w:rFonts w:ascii="ITC Avant Garde" w:hAnsi="ITC Avant Garde"/>
          <w:sz w:val="21"/>
          <w:szCs w:val="21"/>
        </w:rPr>
        <w:t>,</w:t>
      </w:r>
      <w:r w:rsidR="00E45454" w:rsidRPr="00FB0D0C">
        <w:rPr>
          <w:rFonts w:ascii="ITC Avant Garde" w:hAnsi="ITC Avant Garde"/>
          <w:sz w:val="21"/>
          <w:szCs w:val="21"/>
        </w:rPr>
        <w:t xml:space="preserve"> en atención a lo </w:t>
      </w:r>
      <w:r w:rsidR="00E45454" w:rsidRPr="00FB0D0C">
        <w:rPr>
          <w:rFonts w:ascii="ITC Avant Garde" w:hAnsi="ITC Avant Garde"/>
          <w:color w:val="000000"/>
          <w:sz w:val="21"/>
          <w:szCs w:val="21"/>
          <w:lang w:eastAsia="es-MX"/>
        </w:rPr>
        <w:t xml:space="preserve">señalado en la condición 2.1 </w:t>
      </w:r>
      <w:r w:rsidR="00CD0F26" w:rsidRPr="00FB0D0C">
        <w:rPr>
          <w:rFonts w:ascii="ITC Avant Garde" w:hAnsi="ITC Avant Garde"/>
          <w:color w:val="000000"/>
          <w:sz w:val="21"/>
          <w:szCs w:val="21"/>
          <w:lang w:eastAsia="es-MX"/>
        </w:rPr>
        <w:t>de las Concesiones</w:t>
      </w:r>
      <w:r w:rsidR="0096669A" w:rsidRPr="00FB0D0C">
        <w:rPr>
          <w:rFonts w:ascii="ITC Avant Garde" w:hAnsi="ITC Avant Garde"/>
          <w:color w:val="000000"/>
          <w:sz w:val="21"/>
          <w:szCs w:val="21"/>
          <w:lang w:eastAsia="es-MX"/>
        </w:rPr>
        <w:t>.</w:t>
      </w:r>
    </w:p>
    <w:p w14:paraId="0A910477" w14:textId="77777777" w:rsidR="00607B3A" w:rsidRPr="00FB0D0C" w:rsidRDefault="009A5E55" w:rsidP="00607B3A">
      <w:pPr>
        <w:numPr>
          <w:ilvl w:val="0"/>
          <w:numId w:val="1"/>
        </w:numPr>
        <w:spacing w:afterLines="120" w:after="288" w:line="240" w:lineRule="auto"/>
        <w:ind w:left="567" w:hanging="567"/>
        <w:jc w:val="both"/>
        <w:rPr>
          <w:rFonts w:ascii="ITC Avant Garde" w:hAnsi="ITC Avant Garde"/>
          <w:bCs/>
          <w:color w:val="000000"/>
          <w:sz w:val="21"/>
          <w:szCs w:val="21"/>
          <w:lang w:eastAsia="es-MX"/>
        </w:rPr>
      </w:pPr>
      <w:r w:rsidRPr="00FB0D0C">
        <w:rPr>
          <w:rFonts w:ascii="ITC Avant Garde" w:hAnsi="ITC Avant Garde"/>
          <w:b/>
          <w:bCs/>
          <w:sz w:val="21"/>
          <w:szCs w:val="21"/>
        </w:rPr>
        <w:t xml:space="preserve">Solicitud de </w:t>
      </w:r>
      <w:r w:rsidR="0048765D" w:rsidRPr="00FB0D0C">
        <w:rPr>
          <w:rFonts w:ascii="ITC Avant Garde" w:hAnsi="ITC Avant Garde"/>
          <w:b/>
          <w:bCs/>
          <w:sz w:val="21"/>
          <w:szCs w:val="21"/>
        </w:rPr>
        <w:t>A</w:t>
      </w:r>
      <w:r w:rsidR="00250695" w:rsidRPr="00FB0D0C">
        <w:rPr>
          <w:rFonts w:ascii="ITC Avant Garde" w:hAnsi="ITC Avant Garde"/>
          <w:b/>
          <w:bCs/>
          <w:sz w:val="21"/>
          <w:szCs w:val="21"/>
        </w:rPr>
        <w:t xml:space="preserve">utorización para prestar </w:t>
      </w:r>
      <w:r w:rsidR="0048765D" w:rsidRPr="00FB0D0C">
        <w:rPr>
          <w:rFonts w:ascii="ITC Avant Garde" w:hAnsi="ITC Avant Garde"/>
          <w:b/>
          <w:bCs/>
          <w:sz w:val="21"/>
          <w:szCs w:val="21"/>
        </w:rPr>
        <w:t>Servicios A</w:t>
      </w:r>
      <w:r w:rsidR="00250695" w:rsidRPr="00FB0D0C">
        <w:rPr>
          <w:rFonts w:ascii="ITC Avant Garde" w:hAnsi="ITC Avant Garde"/>
          <w:b/>
          <w:bCs/>
          <w:sz w:val="21"/>
          <w:szCs w:val="21"/>
        </w:rPr>
        <w:t>dicionales</w:t>
      </w:r>
      <w:r w:rsidRPr="00FB0D0C">
        <w:rPr>
          <w:rFonts w:ascii="ITC Avant Garde" w:hAnsi="ITC Avant Garde"/>
          <w:b/>
          <w:bCs/>
          <w:sz w:val="21"/>
          <w:szCs w:val="21"/>
        </w:rPr>
        <w:t xml:space="preserve">. </w:t>
      </w:r>
      <w:r w:rsidRPr="00FB0D0C">
        <w:rPr>
          <w:rFonts w:ascii="ITC Avant Garde" w:hAnsi="ITC Avant Garde"/>
          <w:bCs/>
          <w:sz w:val="21"/>
          <w:szCs w:val="21"/>
        </w:rPr>
        <w:t>Con fecha</w:t>
      </w:r>
      <w:r w:rsidR="00EB7D00" w:rsidRPr="00FB0D0C">
        <w:rPr>
          <w:rFonts w:ascii="ITC Avant Garde" w:hAnsi="ITC Avant Garde"/>
          <w:bCs/>
          <w:sz w:val="21"/>
          <w:szCs w:val="21"/>
        </w:rPr>
        <w:t>s</w:t>
      </w:r>
      <w:r w:rsidRPr="00FB0D0C">
        <w:rPr>
          <w:rFonts w:ascii="ITC Avant Garde" w:hAnsi="ITC Avant Garde"/>
          <w:color w:val="000000"/>
          <w:sz w:val="21"/>
          <w:szCs w:val="21"/>
          <w:lang w:eastAsia="es-MX"/>
        </w:rPr>
        <w:t xml:space="preserve"> </w:t>
      </w:r>
      <w:r w:rsidR="00EB7D00" w:rsidRPr="00FB0D0C">
        <w:rPr>
          <w:rFonts w:ascii="ITC Avant Garde" w:hAnsi="ITC Avant Garde"/>
          <w:color w:val="000000"/>
          <w:sz w:val="21"/>
          <w:szCs w:val="21"/>
          <w:lang w:eastAsia="es-MX"/>
        </w:rPr>
        <w:t>19 de mayo, 21 de junio y 10 de julio</w:t>
      </w:r>
      <w:r w:rsidR="00F40131" w:rsidRPr="00FB0D0C">
        <w:rPr>
          <w:rFonts w:ascii="ITC Avant Garde" w:hAnsi="ITC Avant Garde"/>
          <w:color w:val="000000"/>
          <w:sz w:val="21"/>
          <w:szCs w:val="21"/>
          <w:lang w:eastAsia="es-MX"/>
        </w:rPr>
        <w:t xml:space="preserve"> </w:t>
      </w:r>
      <w:r w:rsidR="00EB7D00" w:rsidRPr="00FB0D0C">
        <w:rPr>
          <w:rFonts w:ascii="ITC Avant Garde" w:hAnsi="ITC Avant Garde"/>
          <w:color w:val="000000"/>
          <w:sz w:val="21"/>
          <w:szCs w:val="21"/>
          <w:lang w:eastAsia="es-MX"/>
        </w:rPr>
        <w:t>de 2017</w:t>
      </w:r>
      <w:r w:rsidRPr="00FB0D0C">
        <w:rPr>
          <w:rFonts w:ascii="ITC Avant Garde" w:hAnsi="ITC Avant Garde"/>
          <w:sz w:val="21"/>
          <w:szCs w:val="21"/>
        </w:rPr>
        <w:t>,</w:t>
      </w:r>
      <w:r w:rsidR="00CB52BC" w:rsidRPr="00FB0D0C">
        <w:rPr>
          <w:rFonts w:ascii="ITC Avant Garde" w:hAnsi="ITC Avant Garde"/>
          <w:sz w:val="21"/>
          <w:szCs w:val="21"/>
        </w:rPr>
        <w:t xml:space="preserve"> </w:t>
      </w:r>
      <w:r w:rsidR="00EB7D00" w:rsidRPr="00FB0D0C">
        <w:rPr>
          <w:rFonts w:ascii="ITC Avant Garde" w:hAnsi="ITC Avant Garde"/>
          <w:color w:val="000000"/>
          <w:sz w:val="21"/>
          <w:szCs w:val="21"/>
          <w:lang w:eastAsia="es-MX"/>
        </w:rPr>
        <w:t>Ultravisión</w:t>
      </w:r>
      <w:r w:rsidR="00D4443F" w:rsidRPr="00FB0D0C">
        <w:rPr>
          <w:rFonts w:ascii="ITC Avant Garde" w:hAnsi="ITC Avant Garde"/>
          <w:color w:val="000000"/>
          <w:sz w:val="21"/>
          <w:szCs w:val="21"/>
          <w:lang w:eastAsia="es-MX"/>
        </w:rPr>
        <w:t>, S.A. de C.V.</w:t>
      </w:r>
      <w:r w:rsidR="00F942BB" w:rsidRPr="00FB0D0C">
        <w:rPr>
          <w:rFonts w:ascii="ITC Avant Garde" w:hAnsi="ITC Avant Garde"/>
          <w:color w:val="000000"/>
          <w:sz w:val="21"/>
          <w:szCs w:val="21"/>
          <w:lang w:eastAsia="es-MX"/>
        </w:rPr>
        <w:t xml:space="preserve">, a través de su </w:t>
      </w:r>
      <w:r w:rsidR="00F942BB" w:rsidRPr="00FB0D0C">
        <w:rPr>
          <w:rFonts w:ascii="ITC Avant Garde" w:hAnsi="ITC Avant Garde"/>
          <w:sz w:val="21"/>
          <w:szCs w:val="21"/>
        </w:rPr>
        <w:t>representante legal,</w:t>
      </w:r>
      <w:r w:rsidRPr="00FB0D0C">
        <w:rPr>
          <w:rFonts w:ascii="ITC Avant Garde" w:hAnsi="ITC Avant Garde"/>
          <w:sz w:val="21"/>
          <w:szCs w:val="21"/>
        </w:rPr>
        <w:t xml:space="preserve"> </w:t>
      </w:r>
      <w:r w:rsidR="00950E13" w:rsidRPr="00FB0D0C">
        <w:rPr>
          <w:rFonts w:ascii="ITC Avant Garde" w:hAnsi="ITC Avant Garde"/>
          <w:color w:val="000000"/>
          <w:sz w:val="21"/>
          <w:szCs w:val="21"/>
          <w:lang w:eastAsia="es-MX"/>
        </w:rPr>
        <w:t xml:space="preserve">solicitó autorización </w:t>
      </w:r>
      <w:r w:rsidR="002C60C7" w:rsidRPr="00FB0D0C">
        <w:rPr>
          <w:rFonts w:ascii="ITC Avant Garde" w:hAnsi="ITC Avant Garde"/>
          <w:color w:val="000000"/>
          <w:sz w:val="21"/>
          <w:szCs w:val="21"/>
          <w:lang w:eastAsia="es-MX"/>
        </w:rPr>
        <w:t xml:space="preserve">para prestar </w:t>
      </w:r>
      <w:r w:rsidR="000663E6" w:rsidRPr="00FB0D0C">
        <w:rPr>
          <w:rFonts w:ascii="ITC Avant Garde" w:hAnsi="ITC Avant Garde"/>
          <w:bCs/>
          <w:color w:val="000000"/>
          <w:sz w:val="21"/>
          <w:szCs w:val="21"/>
          <w:lang w:eastAsia="es-MX"/>
        </w:rPr>
        <w:t>el servicio de acceso inalámbrico</w:t>
      </w:r>
      <w:r w:rsidR="002C60C7" w:rsidRPr="00FB0D0C">
        <w:rPr>
          <w:rFonts w:ascii="ITC Avant Garde" w:hAnsi="ITC Avant Garde"/>
          <w:bCs/>
          <w:color w:val="000000"/>
          <w:sz w:val="21"/>
          <w:szCs w:val="21"/>
          <w:lang w:eastAsia="es-MX"/>
        </w:rPr>
        <w:t xml:space="preserve"> respecto de </w:t>
      </w:r>
      <w:r w:rsidR="00D355D6" w:rsidRPr="00FB0D0C">
        <w:rPr>
          <w:rFonts w:ascii="ITC Avant Garde" w:hAnsi="ITC Avant Garde"/>
          <w:bCs/>
          <w:color w:val="000000"/>
          <w:sz w:val="21"/>
          <w:szCs w:val="21"/>
          <w:lang w:eastAsia="es-MX"/>
        </w:rPr>
        <w:t>las Concesiones</w:t>
      </w:r>
      <w:r w:rsidR="002C60C7" w:rsidRPr="00FB0D0C">
        <w:rPr>
          <w:rFonts w:ascii="ITC Avant Garde" w:hAnsi="ITC Avant Garde"/>
          <w:bCs/>
          <w:color w:val="000000"/>
          <w:sz w:val="21"/>
          <w:szCs w:val="21"/>
          <w:lang w:eastAsia="es-MX"/>
        </w:rPr>
        <w:t>. Lo anterior</w:t>
      </w:r>
      <w:r w:rsidR="004132A6" w:rsidRPr="00FB0D0C">
        <w:rPr>
          <w:rFonts w:ascii="ITC Avant Garde" w:hAnsi="ITC Avant Garde"/>
          <w:bCs/>
          <w:color w:val="000000"/>
          <w:sz w:val="21"/>
          <w:szCs w:val="21"/>
          <w:lang w:eastAsia="es-MX"/>
        </w:rPr>
        <w:t>,</w:t>
      </w:r>
      <w:r w:rsidR="002C60C7" w:rsidRPr="00FB0D0C">
        <w:rPr>
          <w:rFonts w:ascii="ITC Avant Garde" w:hAnsi="ITC Avant Garde"/>
          <w:bCs/>
          <w:color w:val="000000"/>
          <w:sz w:val="21"/>
          <w:szCs w:val="21"/>
          <w:lang w:eastAsia="es-MX"/>
        </w:rPr>
        <w:t xml:space="preserve"> en </w:t>
      </w:r>
      <w:r w:rsidR="004132A6" w:rsidRPr="00FB0D0C">
        <w:rPr>
          <w:rFonts w:ascii="ITC Avant Garde" w:hAnsi="ITC Avant Garde"/>
          <w:bCs/>
          <w:color w:val="000000"/>
          <w:sz w:val="21"/>
          <w:szCs w:val="21"/>
          <w:lang w:eastAsia="es-MX"/>
        </w:rPr>
        <w:t>términos de</w:t>
      </w:r>
      <w:r w:rsidR="002C60C7" w:rsidRPr="00FB0D0C">
        <w:rPr>
          <w:rFonts w:ascii="ITC Avant Garde" w:hAnsi="ITC Avant Garde"/>
          <w:bCs/>
          <w:color w:val="000000"/>
          <w:sz w:val="21"/>
          <w:szCs w:val="21"/>
          <w:lang w:eastAsia="es-MX"/>
        </w:rPr>
        <w:t xml:space="preserve"> </w:t>
      </w:r>
      <w:r w:rsidR="000663E6" w:rsidRPr="00FB0D0C">
        <w:rPr>
          <w:rFonts w:ascii="ITC Avant Garde" w:hAnsi="ITC Avant Garde"/>
          <w:bCs/>
          <w:color w:val="000000"/>
          <w:sz w:val="21"/>
          <w:szCs w:val="21"/>
          <w:lang w:eastAsia="es-MX"/>
        </w:rPr>
        <w:t>lo establecido en la C</w:t>
      </w:r>
      <w:r w:rsidR="004132A6" w:rsidRPr="00FB0D0C">
        <w:rPr>
          <w:rFonts w:ascii="ITC Avant Garde" w:hAnsi="ITC Avant Garde"/>
          <w:bCs/>
          <w:color w:val="000000"/>
          <w:sz w:val="21"/>
          <w:szCs w:val="21"/>
          <w:lang w:eastAsia="es-MX"/>
        </w:rPr>
        <w:t xml:space="preserve">ondición </w:t>
      </w:r>
      <w:r w:rsidR="002C60C7" w:rsidRPr="00FB0D0C">
        <w:rPr>
          <w:rFonts w:ascii="ITC Avant Garde" w:hAnsi="ITC Avant Garde"/>
          <w:bCs/>
          <w:color w:val="000000"/>
          <w:sz w:val="21"/>
          <w:szCs w:val="21"/>
          <w:lang w:eastAsia="es-MX"/>
        </w:rPr>
        <w:t xml:space="preserve">2.1. </w:t>
      </w:r>
      <w:r w:rsidR="000663E6" w:rsidRPr="00FB0D0C">
        <w:rPr>
          <w:rFonts w:ascii="ITC Avant Garde" w:hAnsi="ITC Avant Garde"/>
          <w:bCs/>
          <w:color w:val="000000"/>
          <w:sz w:val="21"/>
          <w:szCs w:val="21"/>
          <w:lang w:eastAsia="es-MX"/>
        </w:rPr>
        <w:t xml:space="preserve">denominada </w:t>
      </w:r>
      <w:r w:rsidR="004132A6" w:rsidRPr="00FB0D0C">
        <w:rPr>
          <w:rFonts w:ascii="ITC Avant Garde" w:hAnsi="ITC Avant Garde"/>
          <w:bCs/>
          <w:color w:val="000000"/>
          <w:sz w:val="21"/>
          <w:szCs w:val="21"/>
          <w:lang w:eastAsia="es-MX"/>
        </w:rPr>
        <w:t>“</w:t>
      </w:r>
      <w:r w:rsidR="002C60C7" w:rsidRPr="00FB0D0C">
        <w:rPr>
          <w:rFonts w:ascii="ITC Avant Garde" w:hAnsi="ITC Avant Garde"/>
          <w:bCs/>
          <w:color w:val="000000"/>
          <w:sz w:val="21"/>
          <w:szCs w:val="21"/>
          <w:lang w:eastAsia="es-MX"/>
        </w:rPr>
        <w:t xml:space="preserve">Servicios Adicionales” de </w:t>
      </w:r>
      <w:r w:rsidR="00EB7D00" w:rsidRPr="00FB0D0C">
        <w:rPr>
          <w:rFonts w:ascii="ITC Avant Garde" w:hAnsi="ITC Avant Garde"/>
          <w:bCs/>
          <w:color w:val="000000"/>
          <w:sz w:val="21"/>
          <w:szCs w:val="21"/>
          <w:lang w:eastAsia="es-MX"/>
        </w:rPr>
        <w:t>las mismas</w:t>
      </w:r>
      <w:r w:rsidR="00950E13" w:rsidRPr="00FB0D0C">
        <w:rPr>
          <w:rFonts w:ascii="ITC Avant Garde" w:hAnsi="ITC Avant Garde"/>
          <w:sz w:val="21"/>
          <w:szCs w:val="21"/>
        </w:rPr>
        <w:t xml:space="preserve">. </w:t>
      </w:r>
    </w:p>
    <w:p w14:paraId="55847A52" w14:textId="77777777" w:rsidR="00607B3A" w:rsidRPr="00FB0D0C" w:rsidRDefault="00BC30B7" w:rsidP="00607B3A">
      <w:pPr>
        <w:numPr>
          <w:ilvl w:val="0"/>
          <w:numId w:val="1"/>
        </w:numPr>
        <w:spacing w:afterLines="120" w:after="288" w:line="240" w:lineRule="auto"/>
        <w:ind w:left="567" w:hanging="567"/>
        <w:jc w:val="both"/>
        <w:rPr>
          <w:rFonts w:ascii="ITC Avant Garde" w:hAnsi="ITC Avant Garde"/>
          <w:sz w:val="21"/>
          <w:szCs w:val="21"/>
        </w:rPr>
      </w:pPr>
      <w:r w:rsidRPr="00FB0D0C">
        <w:rPr>
          <w:rFonts w:ascii="ITC Avant Garde" w:hAnsi="ITC Avant Garde"/>
          <w:b/>
          <w:sz w:val="21"/>
          <w:szCs w:val="21"/>
        </w:rPr>
        <w:t>Autorización de interrupción de servicios.</w:t>
      </w:r>
      <w:r w:rsidR="0081256A" w:rsidRPr="00FB0D0C">
        <w:rPr>
          <w:rFonts w:ascii="ITC Avant Garde" w:hAnsi="ITC Avant Garde"/>
          <w:sz w:val="21"/>
          <w:szCs w:val="21"/>
        </w:rPr>
        <w:t xml:space="preserve"> Mediante Acuerdo P/IFT/230817/509 de fecha 23 de agosto de 2017, el Pleno del Instituto resolvió autorizar a Ultravisión, S.A. de C.V. la interrupción de los servicios de televisión restringida, audio restringido y, en algunos casos, el servicio fijo de transmisión bidireccional de datos, respecto de los títulos indicados en la tabla referida en el Antecedente II con los numerales 1, 2, 3, 4, 5, 6, 7, 8, 10 y 12.</w:t>
      </w:r>
    </w:p>
    <w:p w14:paraId="29EFD7BF" w14:textId="77777777" w:rsidR="00607B3A" w:rsidRPr="00FB0D0C" w:rsidRDefault="00721F3E" w:rsidP="00607B3A">
      <w:pPr>
        <w:numPr>
          <w:ilvl w:val="0"/>
          <w:numId w:val="1"/>
        </w:numPr>
        <w:spacing w:afterLines="120" w:after="288" w:line="240" w:lineRule="auto"/>
        <w:ind w:left="567" w:hanging="567"/>
        <w:jc w:val="both"/>
        <w:rPr>
          <w:rFonts w:ascii="ITC Avant Garde" w:hAnsi="ITC Avant Garde"/>
          <w:bCs/>
          <w:color w:val="000000"/>
          <w:sz w:val="21"/>
          <w:szCs w:val="21"/>
          <w:lang w:eastAsia="es-MX"/>
        </w:rPr>
      </w:pPr>
      <w:r w:rsidRPr="00FB0D0C">
        <w:rPr>
          <w:rFonts w:ascii="ITC Avant Garde" w:hAnsi="ITC Avant Garde" w:cs="Arial"/>
          <w:b/>
          <w:bCs/>
          <w:color w:val="000000"/>
          <w:sz w:val="21"/>
          <w:szCs w:val="21"/>
          <w:shd w:val="clear" w:color="auto" w:fill="FFFFFF"/>
        </w:rPr>
        <w:t xml:space="preserve">Solicitud de Interrupción de Servicios. </w:t>
      </w:r>
      <w:r w:rsidRPr="00FB0D0C">
        <w:rPr>
          <w:rFonts w:ascii="ITC Avant Garde" w:hAnsi="ITC Avant Garde" w:cs="Arial"/>
          <w:bCs/>
          <w:color w:val="000000"/>
          <w:sz w:val="21"/>
          <w:szCs w:val="21"/>
          <w:shd w:val="clear" w:color="auto" w:fill="FFFFFF"/>
        </w:rPr>
        <w:t>El 19 de octubre de 2017, Ultravisión, S.A. de C.V., a través de su representante legal, presentó solicitud de autorización para la interrupción de los servicios de televisión y audio restringidos, en términos de lo establecido en la Condición 16</w:t>
      </w:r>
      <w:r w:rsidRPr="00FB0D0C">
        <w:rPr>
          <w:rFonts w:ascii="ITC Avant Garde" w:hAnsi="ITC Avant Garde"/>
          <w:bCs/>
          <w:color w:val="000000"/>
          <w:sz w:val="21"/>
          <w:szCs w:val="21"/>
          <w:lang w:eastAsia="es-MX"/>
        </w:rPr>
        <w:t xml:space="preserve"> “Uso eficiente del espectro” </w:t>
      </w:r>
      <w:r w:rsidRPr="00FB0D0C">
        <w:rPr>
          <w:rFonts w:ascii="ITC Avant Garde" w:hAnsi="ITC Avant Garde" w:cs="Arial"/>
          <w:bCs/>
          <w:color w:val="000000"/>
          <w:sz w:val="21"/>
          <w:szCs w:val="21"/>
          <w:shd w:val="clear" w:color="auto" w:fill="FFFFFF"/>
        </w:rPr>
        <w:t>de las Concesiones, respecto del título de concesión indicado en la tabla referida en el Antecedente II con el numeral 11 (la “Solicitud de Interrupción de Servicios”).</w:t>
      </w:r>
    </w:p>
    <w:p w14:paraId="04A3BABC" w14:textId="77777777" w:rsidR="00607B3A" w:rsidRPr="00FB0D0C" w:rsidRDefault="00A21167" w:rsidP="00607B3A">
      <w:pPr>
        <w:spacing w:afterLines="120" w:after="288" w:line="240" w:lineRule="auto"/>
        <w:jc w:val="both"/>
        <w:rPr>
          <w:rFonts w:ascii="ITC Avant Garde" w:hAnsi="ITC Avant Garde"/>
          <w:bCs/>
          <w:color w:val="000000"/>
          <w:sz w:val="21"/>
          <w:szCs w:val="21"/>
          <w:lang w:eastAsia="es-MX"/>
        </w:rPr>
      </w:pPr>
      <w:r w:rsidRPr="00FB0D0C">
        <w:rPr>
          <w:rFonts w:ascii="ITC Avant Garde" w:hAnsi="ITC Avant Garde"/>
          <w:bCs/>
          <w:color w:val="000000"/>
          <w:sz w:val="21"/>
          <w:szCs w:val="21"/>
          <w:lang w:eastAsia="es-MX"/>
        </w:rPr>
        <w:lastRenderedPageBreak/>
        <w:t>En virtud de los Antecedentes referidos y,</w:t>
      </w:r>
    </w:p>
    <w:p w14:paraId="5F9275B6" w14:textId="77777777" w:rsidR="00607B3A" w:rsidRPr="00FB0D0C" w:rsidRDefault="00A21167" w:rsidP="00607B3A">
      <w:pPr>
        <w:pStyle w:val="Ttulo2"/>
        <w:spacing w:afterLines="120" w:after="288" w:line="276" w:lineRule="auto"/>
        <w:ind w:firstLine="0"/>
        <w:jc w:val="center"/>
        <w:rPr>
          <w:rFonts w:ascii="ITC Avant Garde" w:hAnsi="ITC Avant Garde" w:cs="Arial"/>
          <w:bCs/>
          <w:sz w:val="22"/>
          <w:szCs w:val="22"/>
          <w:lang w:eastAsia="en-US"/>
        </w:rPr>
      </w:pPr>
      <w:r w:rsidRPr="00FB0D0C">
        <w:rPr>
          <w:rFonts w:ascii="ITC Avant Garde" w:hAnsi="ITC Avant Garde" w:cs="Arial"/>
          <w:bCs/>
          <w:sz w:val="22"/>
          <w:szCs w:val="22"/>
          <w:lang w:eastAsia="en-US"/>
        </w:rPr>
        <w:t>CONSIDERANDO</w:t>
      </w:r>
    </w:p>
    <w:p w14:paraId="7CDBCCCF" w14:textId="55F97F38" w:rsidR="00912A64" w:rsidRPr="00FB0D0C" w:rsidRDefault="00912A64"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
          <w:bCs/>
          <w:sz w:val="21"/>
          <w:szCs w:val="21"/>
        </w:rPr>
        <w:t>Primero.- Competencia.</w:t>
      </w:r>
      <w:r w:rsidRPr="00FB0D0C">
        <w:rPr>
          <w:rFonts w:ascii="ITC Avant Garde" w:hAnsi="ITC Avant Garde"/>
          <w:bCs/>
          <w:sz w:val="21"/>
          <w:szCs w:val="21"/>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174D09F4" w14:textId="77777777" w:rsidR="00912A64" w:rsidRPr="00FB0D0C" w:rsidRDefault="00912A64"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Cs/>
          <w:sz w:val="21"/>
          <w:szCs w:val="21"/>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65F0E3D1" w14:textId="77777777" w:rsidR="00607B3A" w:rsidRPr="00FB0D0C" w:rsidRDefault="006152A0"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Cs/>
          <w:sz w:val="21"/>
          <w:szCs w:val="21"/>
        </w:rPr>
        <w:t>Por otra parte</w:t>
      </w:r>
      <w:r w:rsidR="00912A64" w:rsidRPr="00FB0D0C">
        <w:rPr>
          <w:rFonts w:ascii="ITC Avant Garde" w:hAnsi="ITC Avant Garde"/>
          <w:bCs/>
          <w:sz w:val="21"/>
          <w:szCs w:val="21"/>
        </w:rPr>
        <w:t xml:space="preserve">, el Pleno </w:t>
      </w:r>
      <w:r w:rsidR="00F951A4" w:rsidRPr="00FB0D0C">
        <w:rPr>
          <w:rFonts w:ascii="ITC Avant Garde" w:hAnsi="ITC Avant Garde"/>
          <w:color w:val="000000"/>
          <w:sz w:val="21"/>
          <w:szCs w:val="21"/>
        </w:rPr>
        <w:t xml:space="preserve">como autoridad en materia de telecomunicaciones y como </w:t>
      </w:r>
      <w:r w:rsidR="00F951A4" w:rsidRPr="00FB0D0C">
        <w:rPr>
          <w:rFonts w:ascii="ITC Avant Garde" w:hAnsi="ITC Avant Garde"/>
          <w:bCs/>
          <w:color w:val="000000"/>
          <w:sz w:val="21"/>
          <w:szCs w:val="21"/>
        </w:rPr>
        <w:t xml:space="preserve">órgano máximo de gobierno y decisión, se encuentra plenamente facultado para resolver la Solicitud de Interrupción de Servicios. </w:t>
      </w:r>
      <w:r w:rsidR="00E77DC4" w:rsidRPr="00FB0D0C">
        <w:rPr>
          <w:rFonts w:ascii="ITC Avant Garde" w:hAnsi="ITC Avant Garde"/>
          <w:bCs/>
          <w:sz w:val="21"/>
          <w:szCs w:val="21"/>
        </w:rPr>
        <w:t xml:space="preserve">En ese sentido, las Concesiones establecieron en su Condición 16, denominada “Uso eficiente del espectro”, entre otros aspectos, que a efecto de que se llevara a cabo la transición a que se refiere la Condición 2.1 de las Concesiones, el concesionario podría solicitar a la autoridad correspondiente la autorización para la interrupción de los servicios </w:t>
      </w:r>
      <w:r w:rsidR="0024678E" w:rsidRPr="00FB0D0C">
        <w:rPr>
          <w:rFonts w:ascii="ITC Avant Garde" w:hAnsi="ITC Avant Garde"/>
          <w:bCs/>
          <w:sz w:val="21"/>
          <w:szCs w:val="21"/>
        </w:rPr>
        <w:t>concesionados</w:t>
      </w:r>
      <w:r w:rsidR="00E77DC4" w:rsidRPr="00FB0D0C">
        <w:rPr>
          <w:rFonts w:ascii="ITC Avant Garde" w:hAnsi="ITC Avant Garde"/>
          <w:bCs/>
          <w:sz w:val="21"/>
          <w:szCs w:val="21"/>
        </w:rPr>
        <w:t>.</w:t>
      </w:r>
    </w:p>
    <w:p w14:paraId="4976122C" w14:textId="77777777" w:rsidR="00607B3A" w:rsidRPr="00FB0D0C" w:rsidRDefault="00A21167"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
          <w:bCs/>
          <w:sz w:val="21"/>
          <w:szCs w:val="21"/>
        </w:rPr>
        <w:t xml:space="preserve">Segundo.- Marco normativo general aplicable a la </w:t>
      </w:r>
      <w:r w:rsidR="00B017A6" w:rsidRPr="00FB0D0C">
        <w:rPr>
          <w:rFonts w:ascii="ITC Avant Garde" w:hAnsi="ITC Avant Garde"/>
          <w:b/>
          <w:bCs/>
          <w:sz w:val="21"/>
          <w:szCs w:val="21"/>
        </w:rPr>
        <w:t xml:space="preserve">Solicitud de </w:t>
      </w:r>
      <w:r w:rsidR="00F67A2C" w:rsidRPr="00FB0D0C">
        <w:rPr>
          <w:rFonts w:ascii="ITC Avant Garde" w:hAnsi="ITC Avant Garde"/>
          <w:b/>
          <w:bCs/>
          <w:sz w:val="21"/>
          <w:szCs w:val="21"/>
        </w:rPr>
        <w:t>Interrupción de Servicios</w:t>
      </w:r>
      <w:r w:rsidRPr="00FB0D0C">
        <w:rPr>
          <w:rFonts w:ascii="ITC Avant Garde" w:hAnsi="ITC Avant Garde"/>
          <w:b/>
          <w:bCs/>
          <w:sz w:val="21"/>
          <w:szCs w:val="21"/>
        </w:rPr>
        <w:t>.</w:t>
      </w:r>
      <w:r w:rsidRPr="00FB0D0C">
        <w:rPr>
          <w:rFonts w:ascii="ITC Avant Garde" w:hAnsi="ITC Avant Garde"/>
          <w:bCs/>
          <w:sz w:val="21"/>
          <w:szCs w:val="21"/>
        </w:rPr>
        <w:t xml:space="preserve"> </w:t>
      </w:r>
      <w:r w:rsidR="00E6629A" w:rsidRPr="00FB0D0C">
        <w:rPr>
          <w:rFonts w:ascii="ITC Avant Garde" w:hAnsi="ITC Avant Garde"/>
          <w:bCs/>
          <w:sz w:val="21"/>
          <w:szCs w:val="21"/>
        </w:rPr>
        <w:t xml:space="preserve">El artículo 15 fracción XIV de la Ley Federal de Telecomunicaciones y Radiodifusión (la “Ley”) establece como atribución del Instituto resolver las solicitudes de interrupción parcial o total, por hechos fortuitos o causas de fuerza mayor de las vías generales de comunicación en materia de telecomunicaciones y radiodifusión, del tráfico de señales de telecomunicaciones entre concesionarios y de la prestación de servicios de telecomunicaciones y radiodifusión a usuarios finales. </w:t>
      </w:r>
      <w:r w:rsidR="00721F3E" w:rsidRPr="00FB0D0C">
        <w:rPr>
          <w:rFonts w:ascii="ITC Avant Garde" w:hAnsi="ITC Avant Garde"/>
          <w:bCs/>
          <w:sz w:val="21"/>
          <w:szCs w:val="21"/>
        </w:rPr>
        <w:t>Al respecto, es de resaltar que el motivo por el cual se formula la Solicitud de Interrupción de Servicios al Instituto, no actualiza el supuesto normativo mencionado.</w:t>
      </w:r>
    </w:p>
    <w:p w14:paraId="1DB56029" w14:textId="77777777" w:rsidR="00607B3A" w:rsidRPr="00FB0D0C" w:rsidRDefault="00721F3E"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Cs/>
          <w:sz w:val="21"/>
          <w:szCs w:val="21"/>
        </w:rPr>
        <w:t>No obstante, en el caso concreto es aplicable el artículo Séptimo Transitorio del Decreto de Ley, el cual señala que sin perjuicio de lo establecido</w:t>
      </w:r>
      <w:r w:rsidR="00AF6ED2" w:rsidRPr="00FB0D0C">
        <w:rPr>
          <w:rFonts w:ascii="ITC Avant Garde" w:hAnsi="ITC Avant Garde"/>
          <w:bCs/>
          <w:sz w:val="21"/>
          <w:szCs w:val="21"/>
        </w:rPr>
        <w:t xml:space="preserve"> en la Ley</w:t>
      </w:r>
      <w:r w:rsidR="00F951A4" w:rsidRPr="00FB0D0C">
        <w:rPr>
          <w:rFonts w:ascii="ITC Avant Garde" w:hAnsi="ITC Avant Garde"/>
          <w:bCs/>
          <w:sz w:val="21"/>
          <w:szCs w:val="21"/>
        </w:rPr>
        <w:t xml:space="preserve"> </w:t>
      </w:r>
      <w:r w:rsidR="00AF6ED2" w:rsidRPr="00FB0D0C">
        <w:rPr>
          <w:rFonts w:ascii="ITC Avant Garde" w:hAnsi="ITC Avant Garde"/>
          <w:bCs/>
          <w:sz w:val="21"/>
          <w:szCs w:val="21"/>
        </w:rPr>
        <w:t>y en la normatividad que al efecto emita el Instituto, las concesiones y permisos otorgados con anterioridad a la entrada en vigor del citado decreto, se mantendrán en los términos y condiciones consignados en los respectivos títulos hasta su terminación</w:t>
      </w:r>
      <w:r w:rsidR="0024678E" w:rsidRPr="00FB0D0C">
        <w:rPr>
          <w:rFonts w:ascii="ITC Avant Garde" w:hAnsi="ITC Avant Garde"/>
          <w:bCs/>
          <w:sz w:val="21"/>
          <w:szCs w:val="21"/>
        </w:rPr>
        <w:t>,</w:t>
      </w:r>
      <w:r w:rsidR="00AF6ED2" w:rsidRPr="00FB0D0C">
        <w:rPr>
          <w:rFonts w:ascii="ITC Avant Garde" w:hAnsi="ITC Avant Garde"/>
          <w:bCs/>
          <w:sz w:val="21"/>
          <w:szCs w:val="21"/>
        </w:rPr>
        <w:t xml:space="preserve"> a menos que se obtenga la autorización para </w:t>
      </w:r>
      <w:r w:rsidR="00AF6ED2" w:rsidRPr="00FB0D0C">
        <w:rPr>
          <w:rFonts w:ascii="ITC Avant Garde" w:hAnsi="ITC Avant Garde"/>
          <w:bCs/>
          <w:sz w:val="21"/>
          <w:szCs w:val="21"/>
        </w:rPr>
        <w:lastRenderedPageBreak/>
        <w:t>prestar servicios adicionales a los que son objeto de su concesión, en cuyo caso, se estará a los términos y condiciones que el Instituto establezca.</w:t>
      </w:r>
    </w:p>
    <w:p w14:paraId="18DE7F97" w14:textId="77777777" w:rsidR="00607B3A" w:rsidRPr="00FB0D0C" w:rsidRDefault="00721F3E"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Cs/>
          <w:sz w:val="21"/>
          <w:szCs w:val="21"/>
        </w:rPr>
        <w:t>Por lo anterior, al haberse otorgado la</w:t>
      </w:r>
      <w:r w:rsidR="00282264" w:rsidRPr="00FB0D0C">
        <w:rPr>
          <w:rFonts w:ascii="ITC Avant Garde" w:hAnsi="ITC Avant Garde"/>
          <w:bCs/>
          <w:sz w:val="21"/>
          <w:szCs w:val="21"/>
        </w:rPr>
        <w:t>s</w:t>
      </w:r>
      <w:r w:rsidRPr="00FB0D0C">
        <w:rPr>
          <w:rFonts w:ascii="ITC Avant Garde" w:hAnsi="ITC Avant Garde"/>
          <w:bCs/>
          <w:sz w:val="21"/>
          <w:szCs w:val="21"/>
        </w:rPr>
        <w:t xml:space="preserve"> Concesi</w:t>
      </w:r>
      <w:r w:rsidR="00282264" w:rsidRPr="00FB0D0C">
        <w:rPr>
          <w:rFonts w:ascii="ITC Avant Garde" w:hAnsi="ITC Avant Garde"/>
          <w:bCs/>
          <w:sz w:val="21"/>
          <w:szCs w:val="21"/>
        </w:rPr>
        <w:t>o</w:t>
      </w:r>
      <w:r w:rsidRPr="00FB0D0C">
        <w:rPr>
          <w:rFonts w:ascii="ITC Avant Garde" w:hAnsi="ITC Avant Garde"/>
          <w:bCs/>
          <w:sz w:val="21"/>
          <w:szCs w:val="21"/>
        </w:rPr>
        <w:t>n</w:t>
      </w:r>
      <w:r w:rsidR="00282264" w:rsidRPr="00FB0D0C">
        <w:rPr>
          <w:rFonts w:ascii="ITC Avant Garde" w:hAnsi="ITC Avant Garde"/>
          <w:bCs/>
          <w:sz w:val="21"/>
          <w:szCs w:val="21"/>
        </w:rPr>
        <w:t>es</w:t>
      </w:r>
      <w:r w:rsidRPr="00FB0D0C">
        <w:rPr>
          <w:rFonts w:ascii="ITC Avant Garde" w:hAnsi="ITC Avant Garde"/>
          <w:bCs/>
          <w:sz w:val="21"/>
          <w:szCs w:val="21"/>
        </w:rPr>
        <w:t xml:space="preserve"> de la solicitante con fecha anterior a la entrada en vigor del Decreto de Ley, deben considerarse los términos y condiciones de su título habilitante, que en su </w:t>
      </w:r>
      <w:r w:rsidR="00AF6ED2" w:rsidRPr="00FB0D0C">
        <w:rPr>
          <w:rFonts w:ascii="ITC Avant Garde" w:hAnsi="ITC Avant Garde"/>
          <w:bCs/>
          <w:sz w:val="21"/>
          <w:szCs w:val="21"/>
        </w:rPr>
        <w:t xml:space="preserve">condición </w:t>
      </w:r>
      <w:r w:rsidR="00AF6ED2" w:rsidRPr="00FB0D0C">
        <w:rPr>
          <w:rFonts w:ascii="ITC Avant Garde" w:hAnsi="ITC Avant Garde"/>
          <w:b/>
          <w:bCs/>
          <w:sz w:val="21"/>
          <w:szCs w:val="21"/>
        </w:rPr>
        <w:t>“2.1. Servicios Adicionales”,</w:t>
      </w:r>
      <w:r w:rsidR="00AF6ED2" w:rsidRPr="00FB0D0C">
        <w:rPr>
          <w:rFonts w:ascii="ITC Avant Garde" w:hAnsi="ITC Avant Garde"/>
          <w:bCs/>
          <w:sz w:val="21"/>
          <w:szCs w:val="21"/>
        </w:rPr>
        <w:t xml:space="preserve"> establecen lo siguiente:</w:t>
      </w:r>
    </w:p>
    <w:p w14:paraId="43CA07CC" w14:textId="77777777" w:rsidR="00607B3A" w:rsidRPr="00FB0D0C" w:rsidRDefault="00AF6ED2" w:rsidP="00607B3A">
      <w:pPr>
        <w:autoSpaceDE w:val="0"/>
        <w:autoSpaceDN w:val="0"/>
        <w:adjustRightInd w:val="0"/>
        <w:spacing w:afterLines="120" w:after="288" w:line="240" w:lineRule="auto"/>
        <w:ind w:left="708" w:right="757"/>
        <w:jc w:val="both"/>
        <w:rPr>
          <w:rFonts w:ascii="ITC Avant Garde" w:hAnsi="ITC Avant Garde"/>
          <w:bCs/>
          <w:sz w:val="17"/>
          <w:szCs w:val="17"/>
        </w:rPr>
      </w:pPr>
      <w:r w:rsidRPr="00FB0D0C">
        <w:rPr>
          <w:rFonts w:ascii="ITC Avant Garde" w:hAnsi="ITC Avant Garde"/>
          <w:bCs/>
          <w:sz w:val="17"/>
          <w:szCs w:val="17"/>
        </w:rPr>
        <w:t>“</w:t>
      </w:r>
      <w:r w:rsidRPr="00FB0D0C">
        <w:rPr>
          <w:rFonts w:ascii="ITC Avant Garde" w:hAnsi="ITC Avant Garde"/>
          <w:b/>
          <w:bCs/>
          <w:sz w:val="17"/>
          <w:szCs w:val="17"/>
        </w:rPr>
        <w:t>2.1. Servicios Adicionales.</w:t>
      </w:r>
      <w:r w:rsidRPr="00FB0D0C">
        <w:rPr>
          <w:rFonts w:ascii="ITC Avant Garde" w:hAnsi="ITC Avant Garde"/>
          <w:bCs/>
          <w:sz w:val="17"/>
          <w:szCs w:val="17"/>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FB0D0C">
        <w:rPr>
          <w:rFonts w:ascii="ITC Avant Garde" w:hAnsi="ITC Avant Garde"/>
          <w:b/>
          <w:bCs/>
          <w:sz w:val="17"/>
          <w:szCs w:val="17"/>
        </w:rPr>
        <w:t>y/o obtener autorización para prestar servicios adicionales a los previstos en la presente Concesión, a efecto de estar prestando efectivamente servicios de acceso inalámbrico</w:t>
      </w:r>
      <w:r w:rsidRPr="00FB0D0C">
        <w:rPr>
          <w:rFonts w:ascii="ITC Avant Garde" w:hAnsi="ITC Avant Garde"/>
          <w:bCs/>
          <w:sz w:val="17"/>
          <w:szCs w:val="17"/>
        </w:rPr>
        <w:t>; para lo cual deberá haber cumplido con los términos, obligaciones y contraprestaciones que le imponga el Instituto, en particular, con las contraprestaciones por la autorización de los servicios adicionales no previstos en la presente Concesión.</w:t>
      </w:r>
    </w:p>
    <w:p w14:paraId="055BBD30" w14:textId="77777777" w:rsidR="00607B3A" w:rsidRPr="00FB0D0C" w:rsidRDefault="00AF6ED2" w:rsidP="00607B3A">
      <w:pPr>
        <w:autoSpaceDE w:val="0"/>
        <w:autoSpaceDN w:val="0"/>
        <w:adjustRightInd w:val="0"/>
        <w:spacing w:afterLines="120" w:after="288" w:line="240" w:lineRule="auto"/>
        <w:ind w:left="708" w:right="757"/>
        <w:jc w:val="both"/>
        <w:rPr>
          <w:rFonts w:ascii="ITC Avant Garde" w:hAnsi="ITC Avant Garde"/>
          <w:bCs/>
          <w:sz w:val="17"/>
          <w:szCs w:val="17"/>
        </w:rPr>
      </w:pPr>
      <w:r w:rsidRPr="00FB0D0C">
        <w:rPr>
          <w:rFonts w:ascii="ITC Avant Garde" w:hAnsi="ITC Avant Garde"/>
          <w:bCs/>
          <w:sz w:val="17"/>
          <w:szCs w:val="17"/>
        </w:rPr>
        <w:t>El plazo señalado en el párrafo anterior, podrá ampliarse hasta por un año más, por única ocasión, previa solicitud del Concesionario y aprobación del Instituto.</w:t>
      </w:r>
    </w:p>
    <w:p w14:paraId="55F21147" w14:textId="77777777" w:rsidR="00607B3A" w:rsidRPr="00FB0D0C" w:rsidRDefault="00AF6ED2" w:rsidP="00607B3A">
      <w:pPr>
        <w:autoSpaceDE w:val="0"/>
        <w:autoSpaceDN w:val="0"/>
        <w:adjustRightInd w:val="0"/>
        <w:spacing w:afterLines="120" w:after="288" w:line="240" w:lineRule="auto"/>
        <w:ind w:left="708" w:right="757"/>
        <w:jc w:val="both"/>
        <w:rPr>
          <w:rFonts w:ascii="ITC Avant Garde" w:hAnsi="ITC Avant Garde"/>
          <w:bCs/>
          <w:sz w:val="17"/>
          <w:szCs w:val="17"/>
        </w:rPr>
      </w:pPr>
      <w:r w:rsidRPr="00FB0D0C">
        <w:rPr>
          <w:rFonts w:ascii="ITC Avant Garde" w:hAnsi="ITC Avant Garde"/>
          <w:bCs/>
          <w:sz w:val="17"/>
          <w:szCs w:val="17"/>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14:paraId="4F6D7F4F" w14:textId="77777777" w:rsidR="00607B3A" w:rsidRPr="00FB0D0C" w:rsidRDefault="00AF6ED2" w:rsidP="00607B3A">
      <w:pPr>
        <w:autoSpaceDE w:val="0"/>
        <w:autoSpaceDN w:val="0"/>
        <w:adjustRightInd w:val="0"/>
        <w:spacing w:afterLines="120" w:after="288" w:line="240" w:lineRule="auto"/>
        <w:ind w:left="708" w:right="757"/>
        <w:jc w:val="both"/>
        <w:rPr>
          <w:rFonts w:ascii="ITC Avant Garde" w:hAnsi="ITC Avant Garde"/>
          <w:bCs/>
          <w:sz w:val="17"/>
          <w:szCs w:val="17"/>
        </w:rPr>
      </w:pPr>
      <w:r w:rsidRPr="00FB0D0C">
        <w:rPr>
          <w:rFonts w:ascii="ITC Avant Garde" w:hAnsi="ITC Avant Garde"/>
          <w:bCs/>
          <w:sz w:val="17"/>
          <w:szCs w:val="17"/>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14:paraId="3E1480CB" w14:textId="428DA7DC" w:rsidR="00AF6ED2" w:rsidRPr="00FB0D0C" w:rsidRDefault="00AF6ED2" w:rsidP="00607B3A">
      <w:pPr>
        <w:autoSpaceDE w:val="0"/>
        <w:autoSpaceDN w:val="0"/>
        <w:adjustRightInd w:val="0"/>
        <w:spacing w:afterLines="120" w:after="288" w:line="240" w:lineRule="auto"/>
        <w:ind w:left="708" w:right="757"/>
        <w:jc w:val="both"/>
        <w:rPr>
          <w:rFonts w:ascii="ITC Avant Garde" w:hAnsi="ITC Avant Garde"/>
          <w:bCs/>
          <w:sz w:val="17"/>
          <w:szCs w:val="17"/>
        </w:rPr>
      </w:pPr>
      <w:r w:rsidRPr="00FB0D0C">
        <w:rPr>
          <w:rFonts w:ascii="ITC Avant Garde" w:hAnsi="ITC Avant Garde"/>
          <w:bCs/>
          <w:sz w:val="17"/>
          <w:szCs w:val="17"/>
        </w:rPr>
        <w:t>En cualquiera de los supuestos antes señalados, las bandas de frecuencias se revertirán a favor de la Nación, sin pago o devolución de cantidad o contraprestación alguna a favor del Concesionario” [sic].</w:t>
      </w:r>
    </w:p>
    <w:p w14:paraId="11BE8944" w14:textId="77777777" w:rsidR="00607B3A" w:rsidRPr="00FB0D0C" w:rsidRDefault="00620B91" w:rsidP="00607B3A">
      <w:pPr>
        <w:autoSpaceDE w:val="0"/>
        <w:autoSpaceDN w:val="0"/>
        <w:adjustRightInd w:val="0"/>
        <w:spacing w:afterLines="120" w:after="288" w:line="240" w:lineRule="auto"/>
        <w:ind w:left="708" w:right="757"/>
        <w:jc w:val="both"/>
        <w:rPr>
          <w:rFonts w:ascii="ITC Avant Garde" w:hAnsi="ITC Avant Garde"/>
          <w:bCs/>
          <w:sz w:val="17"/>
          <w:szCs w:val="17"/>
        </w:rPr>
      </w:pPr>
      <w:r w:rsidRPr="00FB0D0C">
        <w:rPr>
          <w:rFonts w:ascii="ITC Avant Garde" w:hAnsi="ITC Avant Garde"/>
          <w:bCs/>
          <w:iCs/>
          <w:sz w:val="17"/>
          <w:szCs w:val="17"/>
        </w:rPr>
        <w:t>[</w:t>
      </w:r>
      <w:r w:rsidR="00AF6ED2" w:rsidRPr="00FB0D0C">
        <w:rPr>
          <w:rFonts w:ascii="ITC Avant Garde" w:hAnsi="ITC Avant Garde"/>
          <w:bCs/>
          <w:iCs/>
          <w:sz w:val="17"/>
          <w:szCs w:val="17"/>
        </w:rPr>
        <w:t>Énfasis añadido</w:t>
      </w:r>
      <w:r w:rsidRPr="00FB0D0C">
        <w:rPr>
          <w:rFonts w:ascii="ITC Avant Garde" w:hAnsi="ITC Avant Garde"/>
          <w:bCs/>
          <w:iCs/>
          <w:sz w:val="17"/>
          <w:szCs w:val="17"/>
        </w:rPr>
        <w:t>].</w:t>
      </w:r>
    </w:p>
    <w:p w14:paraId="29263972" w14:textId="77777777" w:rsidR="00607B3A" w:rsidRPr="00FB0D0C" w:rsidRDefault="00FF385F"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Cs/>
          <w:sz w:val="21"/>
          <w:szCs w:val="21"/>
        </w:rPr>
        <w:t>Asimismo</w:t>
      </w:r>
      <w:r w:rsidR="00F67A2C" w:rsidRPr="00FB0D0C">
        <w:rPr>
          <w:rFonts w:ascii="ITC Avant Garde" w:hAnsi="ITC Avant Garde"/>
          <w:bCs/>
          <w:sz w:val="21"/>
          <w:szCs w:val="21"/>
        </w:rPr>
        <w:t xml:space="preserve">, la Condición 16 de las Concesiones </w:t>
      </w:r>
      <w:r w:rsidR="00EB28BE" w:rsidRPr="00FB0D0C">
        <w:rPr>
          <w:rFonts w:ascii="ITC Avant Garde" w:hAnsi="ITC Avant Garde"/>
          <w:bCs/>
          <w:sz w:val="21"/>
          <w:szCs w:val="21"/>
        </w:rPr>
        <w:t>denominada</w:t>
      </w:r>
      <w:r w:rsidR="00F67A2C" w:rsidRPr="00FB0D0C">
        <w:rPr>
          <w:rFonts w:ascii="ITC Avant Garde" w:hAnsi="ITC Avant Garde"/>
          <w:bCs/>
          <w:sz w:val="21"/>
          <w:szCs w:val="21"/>
        </w:rPr>
        <w:t xml:space="preserve"> </w:t>
      </w:r>
      <w:r w:rsidR="00EE3CED" w:rsidRPr="00FB0D0C">
        <w:rPr>
          <w:rFonts w:ascii="ITC Avant Garde" w:hAnsi="ITC Avant Garde"/>
          <w:bCs/>
          <w:sz w:val="21"/>
          <w:szCs w:val="21"/>
        </w:rPr>
        <w:t xml:space="preserve">“Uso eficiente del espectro” señala lo siguiente: </w:t>
      </w:r>
    </w:p>
    <w:p w14:paraId="70F32C8A" w14:textId="77777777" w:rsidR="00607B3A" w:rsidRPr="00FB0D0C" w:rsidRDefault="00EE3CED" w:rsidP="00607B3A">
      <w:pPr>
        <w:spacing w:afterLines="120" w:after="288" w:line="240" w:lineRule="auto"/>
        <w:ind w:left="567" w:right="616"/>
        <w:jc w:val="both"/>
        <w:rPr>
          <w:rFonts w:ascii="ITC Avant Garde" w:hAnsi="ITC Avant Garde"/>
          <w:bCs/>
          <w:color w:val="000000"/>
          <w:sz w:val="17"/>
          <w:szCs w:val="17"/>
          <w:lang w:val="es-ES" w:eastAsia="es-MX"/>
        </w:rPr>
      </w:pPr>
      <w:r w:rsidRPr="00FB0D0C">
        <w:rPr>
          <w:rFonts w:ascii="ITC Avant Garde" w:hAnsi="ITC Avant Garde"/>
          <w:b/>
          <w:bCs/>
          <w:sz w:val="17"/>
          <w:szCs w:val="17"/>
        </w:rPr>
        <w:t>“16. Uso eficiente del espectro.</w:t>
      </w:r>
      <w:r w:rsidRPr="00FB0D0C">
        <w:rPr>
          <w:rFonts w:ascii="ITC Avant Garde" w:hAnsi="ITC Avant Garde"/>
          <w:bCs/>
          <w:color w:val="000000"/>
          <w:sz w:val="17"/>
          <w:szCs w:val="17"/>
          <w:lang w:val="es-ES" w:eastAsia="es-MX"/>
        </w:rPr>
        <w:t xml:space="preserve"> </w:t>
      </w:r>
      <w:r w:rsidRPr="00FB0D0C">
        <w:rPr>
          <w:rFonts w:ascii="ITC Avant Garde" w:hAnsi="ITC Avant Garde"/>
          <w:bCs/>
          <w:sz w:val="17"/>
          <w:szCs w:val="17"/>
        </w:rPr>
        <w:t>El Concesionario deberá hacer un uso eficiente de las bandas de frecuencias comprendidas en la presente Concesión.</w:t>
      </w:r>
    </w:p>
    <w:p w14:paraId="456094F4" w14:textId="3A768C5A" w:rsidR="00EE3CED" w:rsidRPr="00FB0D0C" w:rsidRDefault="00EE3CED" w:rsidP="00607B3A">
      <w:pPr>
        <w:spacing w:afterLines="120" w:after="288" w:line="240" w:lineRule="auto"/>
        <w:ind w:left="567" w:right="616"/>
        <w:jc w:val="both"/>
        <w:rPr>
          <w:rFonts w:ascii="ITC Avant Garde" w:hAnsi="ITC Avant Garde"/>
          <w:bCs/>
          <w:sz w:val="17"/>
          <w:szCs w:val="17"/>
        </w:rPr>
      </w:pPr>
      <w:r w:rsidRPr="00FB0D0C">
        <w:rPr>
          <w:rFonts w:ascii="ITC Avant Garde" w:hAnsi="ITC Avant Garde"/>
          <w:b/>
          <w:bCs/>
          <w:sz w:val="17"/>
          <w:szCs w:val="17"/>
        </w:rPr>
        <w:t>A efecto de llevar a cabo la transición a que se refiere la condición 2.1 de la presente Concesión, el Concesionario podrá solicitar a la autoridad correspondiente la autorización para la interrupción de los servicios de televisión y audio restringido</w:t>
      </w:r>
      <w:r w:rsidRPr="00FB0D0C">
        <w:rPr>
          <w:rFonts w:ascii="ITC Avant Garde" w:hAnsi="ITC Avant Garde"/>
          <w:bCs/>
          <w:sz w:val="17"/>
          <w:szCs w:val="17"/>
        </w:rPr>
        <w:t>.”</w:t>
      </w:r>
    </w:p>
    <w:p w14:paraId="7C4C4855" w14:textId="77777777" w:rsidR="00607B3A" w:rsidRPr="00FB0D0C" w:rsidRDefault="00620B91" w:rsidP="00607B3A">
      <w:pPr>
        <w:autoSpaceDE w:val="0"/>
        <w:autoSpaceDN w:val="0"/>
        <w:adjustRightInd w:val="0"/>
        <w:spacing w:afterLines="120" w:after="288" w:line="240" w:lineRule="auto"/>
        <w:ind w:left="567"/>
        <w:jc w:val="both"/>
        <w:rPr>
          <w:rFonts w:ascii="ITC Avant Garde" w:hAnsi="ITC Avant Garde"/>
          <w:bCs/>
          <w:color w:val="000000"/>
          <w:sz w:val="17"/>
          <w:szCs w:val="17"/>
          <w:lang w:val="es-ES" w:eastAsia="es-MX"/>
        </w:rPr>
      </w:pPr>
      <w:r w:rsidRPr="00FB0D0C">
        <w:rPr>
          <w:rFonts w:ascii="ITC Avant Garde" w:hAnsi="ITC Avant Garde"/>
          <w:bCs/>
          <w:color w:val="000000"/>
          <w:sz w:val="17"/>
          <w:szCs w:val="17"/>
          <w:lang w:val="es-ES" w:eastAsia="es-MX"/>
        </w:rPr>
        <w:t>[</w:t>
      </w:r>
      <w:r w:rsidR="00EE3CED" w:rsidRPr="00FB0D0C">
        <w:rPr>
          <w:rFonts w:ascii="ITC Avant Garde" w:hAnsi="ITC Avant Garde"/>
          <w:bCs/>
          <w:color w:val="000000"/>
          <w:sz w:val="17"/>
          <w:szCs w:val="17"/>
          <w:lang w:val="es-ES" w:eastAsia="es-MX"/>
        </w:rPr>
        <w:t>Énfasis añadido</w:t>
      </w:r>
      <w:r w:rsidRPr="00FB0D0C">
        <w:rPr>
          <w:rFonts w:ascii="ITC Avant Garde" w:hAnsi="ITC Avant Garde"/>
          <w:bCs/>
          <w:color w:val="000000"/>
          <w:sz w:val="17"/>
          <w:szCs w:val="17"/>
          <w:lang w:val="es-ES" w:eastAsia="es-MX"/>
        </w:rPr>
        <w:t>]</w:t>
      </w:r>
      <w:r w:rsidR="00EE3CED" w:rsidRPr="00FB0D0C">
        <w:rPr>
          <w:rFonts w:ascii="ITC Avant Garde" w:hAnsi="ITC Avant Garde"/>
          <w:bCs/>
          <w:color w:val="000000"/>
          <w:sz w:val="17"/>
          <w:szCs w:val="17"/>
          <w:lang w:val="es-ES" w:eastAsia="es-MX"/>
        </w:rPr>
        <w:t>.</w:t>
      </w:r>
    </w:p>
    <w:p w14:paraId="681F35F4" w14:textId="77777777" w:rsidR="00607B3A" w:rsidRPr="00FB0D0C" w:rsidRDefault="00A21167" w:rsidP="00607B3A">
      <w:pPr>
        <w:autoSpaceDE w:val="0"/>
        <w:autoSpaceDN w:val="0"/>
        <w:adjustRightInd w:val="0"/>
        <w:spacing w:afterLines="120" w:after="288" w:line="240" w:lineRule="auto"/>
        <w:jc w:val="both"/>
        <w:rPr>
          <w:rFonts w:ascii="ITC Avant Garde" w:hAnsi="ITC Avant Garde"/>
          <w:b/>
          <w:bCs/>
          <w:sz w:val="21"/>
          <w:szCs w:val="21"/>
        </w:rPr>
      </w:pPr>
      <w:r w:rsidRPr="00FB0D0C">
        <w:rPr>
          <w:rFonts w:ascii="ITC Avant Garde" w:hAnsi="ITC Avant Garde"/>
          <w:b/>
          <w:bCs/>
          <w:sz w:val="21"/>
          <w:szCs w:val="21"/>
        </w:rPr>
        <w:lastRenderedPageBreak/>
        <w:t xml:space="preserve">Tercero.- Análisis de la Solicitud de </w:t>
      </w:r>
      <w:r w:rsidR="00F67A2C" w:rsidRPr="00FB0D0C">
        <w:rPr>
          <w:rFonts w:ascii="ITC Avant Garde" w:hAnsi="ITC Avant Garde"/>
          <w:b/>
          <w:bCs/>
          <w:sz w:val="21"/>
          <w:szCs w:val="21"/>
        </w:rPr>
        <w:t>Interrupción de Servicios</w:t>
      </w:r>
      <w:r w:rsidRPr="00FB0D0C">
        <w:rPr>
          <w:rFonts w:ascii="ITC Avant Garde" w:hAnsi="ITC Avant Garde"/>
          <w:b/>
          <w:bCs/>
          <w:sz w:val="21"/>
          <w:szCs w:val="21"/>
        </w:rPr>
        <w:t>.</w:t>
      </w:r>
      <w:r w:rsidRPr="00FB0D0C">
        <w:rPr>
          <w:rFonts w:ascii="ITC Avant Garde" w:hAnsi="ITC Avant Garde"/>
          <w:bCs/>
          <w:sz w:val="21"/>
          <w:szCs w:val="21"/>
        </w:rPr>
        <w:t xml:space="preserve"> </w:t>
      </w:r>
      <w:r w:rsidR="00721F3E" w:rsidRPr="00FB0D0C">
        <w:rPr>
          <w:rFonts w:ascii="ITC Avant Garde" w:hAnsi="ITC Avant Garde"/>
          <w:bCs/>
          <w:sz w:val="21"/>
          <w:szCs w:val="21"/>
        </w:rPr>
        <w:t xml:space="preserve">Como </w:t>
      </w:r>
      <w:r w:rsidR="00F951A4" w:rsidRPr="00FB0D0C">
        <w:rPr>
          <w:rFonts w:ascii="ITC Avant Garde" w:hAnsi="ITC Avant Garde"/>
          <w:bCs/>
          <w:sz w:val="21"/>
          <w:szCs w:val="21"/>
        </w:rPr>
        <w:t xml:space="preserve">quedó señalado en el </w:t>
      </w:r>
      <w:r w:rsidR="00892E17" w:rsidRPr="00FB0D0C">
        <w:rPr>
          <w:rFonts w:ascii="ITC Avant Garde" w:hAnsi="ITC Avant Garde"/>
          <w:bCs/>
          <w:sz w:val="21"/>
          <w:szCs w:val="21"/>
        </w:rPr>
        <w:t>apartado considerativo precedente</w:t>
      </w:r>
      <w:r w:rsidR="00F951A4" w:rsidRPr="00FB0D0C">
        <w:rPr>
          <w:rFonts w:ascii="ITC Avant Garde" w:hAnsi="ITC Avant Garde"/>
          <w:bCs/>
          <w:sz w:val="21"/>
          <w:szCs w:val="21"/>
        </w:rPr>
        <w:t xml:space="preserve">, la hipótesis contenida en la Condición 16 de las Concesiones, relativa a la posibilidad de </w:t>
      </w:r>
      <w:r w:rsidR="004C3458" w:rsidRPr="00FB0D0C">
        <w:rPr>
          <w:rFonts w:ascii="ITC Avant Garde" w:hAnsi="ITC Avant Garde"/>
          <w:bCs/>
          <w:sz w:val="21"/>
          <w:szCs w:val="21"/>
        </w:rPr>
        <w:t xml:space="preserve">la </w:t>
      </w:r>
      <w:r w:rsidR="00F951A4" w:rsidRPr="00FB0D0C">
        <w:rPr>
          <w:rFonts w:ascii="ITC Avant Garde" w:hAnsi="ITC Avant Garde"/>
          <w:bCs/>
          <w:sz w:val="21"/>
          <w:szCs w:val="21"/>
        </w:rPr>
        <w:t xml:space="preserve">interrupción de </w:t>
      </w:r>
      <w:r w:rsidR="004C3458" w:rsidRPr="00FB0D0C">
        <w:rPr>
          <w:rFonts w:ascii="ITC Avant Garde" w:hAnsi="ITC Avant Garde"/>
          <w:bCs/>
          <w:sz w:val="21"/>
          <w:szCs w:val="21"/>
        </w:rPr>
        <w:t xml:space="preserve">los </w:t>
      </w:r>
      <w:r w:rsidR="00F951A4" w:rsidRPr="00FB0D0C">
        <w:rPr>
          <w:rFonts w:ascii="ITC Avant Garde" w:hAnsi="ITC Avant Garde"/>
          <w:bCs/>
          <w:sz w:val="21"/>
          <w:szCs w:val="21"/>
        </w:rPr>
        <w:t xml:space="preserve">servicios </w:t>
      </w:r>
      <w:r w:rsidR="004C3458" w:rsidRPr="00FB0D0C">
        <w:rPr>
          <w:rFonts w:ascii="ITC Avant Garde" w:hAnsi="ITC Avant Garde"/>
          <w:bCs/>
          <w:sz w:val="21"/>
          <w:szCs w:val="21"/>
        </w:rPr>
        <w:t xml:space="preserve">de televisión y audio restringidos, sólo se actualiza </w:t>
      </w:r>
      <w:r w:rsidR="00D1025D" w:rsidRPr="00FB0D0C">
        <w:rPr>
          <w:rFonts w:ascii="ITC Avant Garde" w:hAnsi="ITC Avant Garde"/>
          <w:bCs/>
          <w:sz w:val="21"/>
          <w:szCs w:val="21"/>
        </w:rPr>
        <w:t xml:space="preserve">a efecto de </w:t>
      </w:r>
      <w:r w:rsidR="004C3458" w:rsidRPr="00FB0D0C">
        <w:rPr>
          <w:rFonts w:ascii="ITC Avant Garde" w:hAnsi="ITC Avant Garde"/>
          <w:bCs/>
          <w:sz w:val="21"/>
          <w:szCs w:val="21"/>
        </w:rPr>
        <w:t xml:space="preserve">que el concesionario </w:t>
      </w:r>
      <w:r w:rsidR="00D1025D" w:rsidRPr="00FB0D0C">
        <w:rPr>
          <w:rFonts w:ascii="ITC Avant Garde" w:hAnsi="ITC Avant Garde"/>
          <w:bCs/>
          <w:sz w:val="21"/>
          <w:szCs w:val="21"/>
        </w:rPr>
        <w:t xml:space="preserve">lleve a cabo la transición </w:t>
      </w:r>
      <w:r w:rsidR="004C3458" w:rsidRPr="00FB0D0C">
        <w:rPr>
          <w:rFonts w:ascii="ITC Avant Garde" w:hAnsi="ITC Avant Garde"/>
          <w:bCs/>
          <w:sz w:val="21"/>
          <w:szCs w:val="21"/>
        </w:rPr>
        <w:t xml:space="preserve">a la concesión única </w:t>
      </w:r>
      <w:r w:rsidR="00D1025D" w:rsidRPr="00FB0D0C">
        <w:rPr>
          <w:rFonts w:ascii="ITC Avant Garde" w:hAnsi="ITC Avant Garde"/>
          <w:bCs/>
          <w:sz w:val="21"/>
          <w:szCs w:val="21"/>
        </w:rPr>
        <w:t>u obtenga autorización para prestar</w:t>
      </w:r>
      <w:r w:rsidR="004C3458" w:rsidRPr="00FB0D0C">
        <w:rPr>
          <w:rFonts w:ascii="ITC Avant Garde" w:hAnsi="ITC Avant Garde"/>
          <w:bCs/>
          <w:sz w:val="21"/>
          <w:szCs w:val="21"/>
        </w:rPr>
        <w:t xml:space="preserve"> el servicio de acceso inalámbrico en los términos establecidos en la Condición 2.1 de las Concesiones. </w:t>
      </w:r>
    </w:p>
    <w:p w14:paraId="2D21BDCA" w14:textId="77777777" w:rsidR="00607B3A" w:rsidRPr="00FB0D0C" w:rsidRDefault="00721F3E"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Cs/>
          <w:sz w:val="21"/>
          <w:szCs w:val="21"/>
        </w:rPr>
        <w:t xml:space="preserve">En este sentido, como </w:t>
      </w:r>
      <w:r w:rsidR="004C3458" w:rsidRPr="00FB0D0C">
        <w:rPr>
          <w:rFonts w:ascii="ITC Avant Garde" w:hAnsi="ITC Avant Garde"/>
          <w:bCs/>
          <w:sz w:val="21"/>
          <w:szCs w:val="21"/>
        </w:rPr>
        <w:t xml:space="preserve">quedó señalado en el Antecedente </w:t>
      </w:r>
      <w:r w:rsidRPr="00FB0D0C">
        <w:rPr>
          <w:rFonts w:ascii="ITC Avant Garde" w:hAnsi="ITC Avant Garde"/>
          <w:bCs/>
          <w:sz w:val="21"/>
          <w:szCs w:val="21"/>
        </w:rPr>
        <w:t>VII</w:t>
      </w:r>
      <w:r w:rsidR="004C3458" w:rsidRPr="00FB0D0C">
        <w:rPr>
          <w:rFonts w:ascii="ITC Avant Garde" w:hAnsi="ITC Avant Garde"/>
          <w:bCs/>
          <w:sz w:val="21"/>
          <w:szCs w:val="21"/>
        </w:rPr>
        <w:t xml:space="preserve"> de la presente Resolución, </w:t>
      </w:r>
      <w:r w:rsidR="007B1D3C" w:rsidRPr="00FB0D0C">
        <w:rPr>
          <w:rFonts w:ascii="ITC Avant Garde" w:hAnsi="ITC Avant Garde"/>
          <w:bCs/>
          <w:sz w:val="21"/>
          <w:szCs w:val="21"/>
        </w:rPr>
        <w:t>Ultravisión</w:t>
      </w:r>
      <w:r w:rsidR="004C3458" w:rsidRPr="00FB0D0C">
        <w:rPr>
          <w:rFonts w:ascii="ITC Avant Garde" w:hAnsi="ITC Avant Garde"/>
          <w:bCs/>
          <w:sz w:val="21"/>
          <w:szCs w:val="21"/>
        </w:rPr>
        <w:t>, S.A. de C.V.</w:t>
      </w:r>
      <w:r w:rsidR="009B6172" w:rsidRPr="00FB0D0C">
        <w:rPr>
          <w:rFonts w:ascii="ITC Avant Garde" w:hAnsi="ITC Avant Garde"/>
          <w:bCs/>
          <w:sz w:val="21"/>
          <w:szCs w:val="21"/>
        </w:rPr>
        <w:t>,</w:t>
      </w:r>
      <w:r w:rsidR="004C3458" w:rsidRPr="00FB0D0C">
        <w:rPr>
          <w:rFonts w:ascii="ITC Avant Garde" w:hAnsi="ITC Avant Garde"/>
          <w:bCs/>
          <w:sz w:val="21"/>
          <w:szCs w:val="21"/>
        </w:rPr>
        <w:t xml:space="preserve"> solicitó formalmente al Instituto autorización para prestar el servicio de acceso inalámbrico a través de las Concesiones, situación que</w:t>
      </w:r>
      <w:r w:rsidR="00C71A6E" w:rsidRPr="00FB0D0C">
        <w:rPr>
          <w:rFonts w:ascii="ITC Avant Garde" w:hAnsi="ITC Avant Garde"/>
          <w:bCs/>
          <w:sz w:val="21"/>
          <w:szCs w:val="21"/>
        </w:rPr>
        <w:t xml:space="preserve"> en conjunto con la Solicitud</w:t>
      </w:r>
      <w:r w:rsidR="00AA2167" w:rsidRPr="00FB0D0C">
        <w:rPr>
          <w:rFonts w:ascii="ITC Avant Garde" w:hAnsi="ITC Avant Garde"/>
          <w:bCs/>
          <w:sz w:val="21"/>
          <w:szCs w:val="21"/>
        </w:rPr>
        <w:t xml:space="preserve"> de Interrupción de Servicios</w:t>
      </w:r>
      <w:r w:rsidR="004C3458" w:rsidRPr="00FB0D0C">
        <w:rPr>
          <w:rFonts w:ascii="ITC Avant Garde" w:hAnsi="ITC Avant Garde"/>
          <w:bCs/>
          <w:sz w:val="21"/>
          <w:szCs w:val="21"/>
        </w:rPr>
        <w:t xml:space="preserve"> </w:t>
      </w:r>
      <w:r w:rsidR="00461D6D" w:rsidRPr="00FB0D0C">
        <w:rPr>
          <w:rFonts w:ascii="ITC Avant Garde" w:hAnsi="ITC Avant Garde"/>
          <w:bCs/>
          <w:sz w:val="21"/>
          <w:szCs w:val="21"/>
        </w:rPr>
        <w:t>permitiría al concesionario instrumentar protocolos técnicos de prueba para la implementación de</w:t>
      </w:r>
      <w:r w:rsidR="004C3458" w:rsidRPr="00FB0D0C">
        <w:rPr>
          <w:rFonts w:ascii="ITC Avant Garde" w:hAnsi="ITC Avant Garde"/>
          <w:bCs/>
          <w:sz w:val="21"/>
          <w:szCs w:val="21"/>
        </w:rPr>
        <w:t xml:space="preserve"> dicho servicio, así como la planeación de las inversiones necesarias para el adecuado dimensionamiento de la red.</w:t>
      </w:r>
    </w:p>
    <w:p w14:paraId="38A583CE" w14:textId="77777777" w:rsidR="00607B3A" w:rsidRPr="00FB0D0C" w:rsidRDefault="00131F1D"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Cs/>
          <w:sz w:val="21"/>
          <w:szCs w:val="21"/>
        </w:rPr>
        <w:t>Finalmente</w:t>
      </w:r>
      <w:r w:rsidR="00461D6D" w:rsidRPr="00FB0D0C">
        <w:rPr>
          <w:rFonts w:ascii="ITC Avant Garde" w:hAnsi="ITC Avant Garde"/>
          <w:bCs/>
          <w:sz w:val="21"/>
          <w:szCs w:val="21"/>
        </w:rPr>
        <w:t xml:space="preserve">, </w:t>
      </w:r>
      <w:proofErr w:type="spellStart"/>
      <w:r w:rsidR="008A0CDF" w:rsidRPr="00FB0D0C">
        <w:rPr>
          <w:rFonts w:ascii="ITC Avant Garde" w:hAnsi="ITC Avant Garde"/>
          <w:bCs/>
          <w:sz w:val="21"/>
          <w:szCs w:val="21"/>
        </w:rPr>
        <w:t>Ultravisión</w:t>
      </w:r>
      <w:proofErr w:type="spellEnd"/>
      <w:r w:rsidR="008A0CDF" w:rsidRPr="00FB0D0C">
        <w:rPr>
          <w:rFonts w:ascii="ITC Avant Garde" w:hAnsi="ITC Avant Garde"/>
          <w:bCs/>
          <w:sz w:val="21"/>
          <w:szCs w:val="21"/>
        </w:rPr>
        <w:t>, S.A. de C.V.</w:t>
      </w:r>
      <w:r w:rsidR="006F12F7" w:rsidRPr="00FB0D0C">
        <w:rPr>
          <w:rFonts w:ascii="ITC Avant Garde" w:hAnsi="ITC Avant Garde"/>
          <w:bCs/>
          <w:sz w:val="21"/>
          <w:szCs w:val="21"/>
        </w:rPr>
        <w:t xml:space="preserve"> manifiesta que con la autorización de la interrupción de los servicios </w:t>
      </w:r>
      <w:r w:rsidR="00380838" w:rsidRPr="00FB0D0C">
        <w:rPr>
          <w:rFonts w:ascii="ITC Avant Garde" w:hAnsi="ITC Avant Garde"/>
          <w:bCs/>
          <w:sz w:val="21"/>
          <w:szCs w:val="21"/>
        </w:rPr>
        <w:t>de televisión y audio restringidos</w:t>
      </w:r>
      <w:r w:rsidR="006F12F7" w:rsidRPr="00FB0D0C">
        <w:rPr>
          <w:rFonts w:ascii="ITC Avant Garde" w:hAnsi="ITC Avant Garde"/>
          <w:bCs/>
          <w:sz w:val="21"/>
          <w:szCs w:val="21"/>
        </w:rPr>
        <w:t xml:space="preserve"> no </w:t>
      </w:r>
      <w:r w:rsidR="00747035" w:rsidRPr="00FB0D0C">
        <w:rPr>
          <w:rFonts w:ascii="ITC Avant Garde" w:hAnsi="ITC Avant Garde"/>
          <w:bCs/>
          <w:sz w:val="21"/>
          <w:szCs w:val="21"/>
        </w:rPr>
        <w:t>existiría</w:t>
      </w:r>
      <w:r w:rsidR="006F12F7" w:rsidRPr="00FB0D0C">
        <w:rPr>
          <w:rFonts w:ascii="ITC Avant Garde" w:hAnsi="ITC Avant Garde"/>
          <w:bCs/>
          <w:sz w:val="21"/>
          <w:szCs w:val="21"/>
        </w:rPr>
        <w:t xml:space="preserve"> afectación a terceros, en virtud de que dicha concesionaria a la fecha de presentación de la</w:t>
      </w:r>
      <w:r w:rsidR="00AA2167" w:rsidRPr="00FB0D0C">
        <w:rPr>
          <w:rFonts w:ascii="ITC Avant Garde" w:hAnsi="ITC Avant Garde"/>
          <w:bCs/>
          <w:sz w:val="21"/>
          <w:szCs w:val="21"/>
        </w:rPr>
        <w:t xml:space="preserve"> S</w:t>
      </w:r>
      <w:r w:rsidR="006F12F7" w:rsidRPr="00FB0D0C">
        <w:rPr>
          <w:rFonts w:ascii="ITC Avant Garde" w:hAnsi="ITC Avant Garde"/>
          <w:bCs/>
          <w:sz w:val="21"/>
          <w:szCs w:val="21"/>
        </w:rPr>
        <w:t>olicitud</w:t>
      </w:r>
      <w:r w:rsidR="00AA2167" w:rsidRPr="00FB0D0C">
        <w:rPr>
          <w:rFonts w:ascii="ITC Avant Garde" w:hAnsi="ITC Avant Garde"/>
          <w:bCs/>
          <w:sz w:val="21"/>
          <w:szCs w:val="21"/>
        </w:rPr>
        <w:t xml:space="preserve"> de Interrupción de Servicios</w:t>
      </w:r>
      <w:r w:rsidR="006F12F7" w:rsidRPr="00FB0D0C">
        <w:rPr>
          <w:rFonts w:ascii="ITC Avant Garde" w:hAnsi="ITC Avant Garde"/>
          <w:bCs/>
          <w:sz w:val="21"/>
          <w:szCs w:val="21"/>
        </w:rPr>
        <w:t xml:space="preserve"> no cuenta c</w:t>
      </w:r>
      <w:r w:rsidR="00327195" w:rsidRPr="00FB0D0C">
        <w:rPr>
          <w:rFonts w:ascii="ITC Avant Garde" w:hAnsi="ITC Avant Garde"/>
          <w:bCs/>
          <w:sz w:val="21"/>
          <w:szCs w:val="21"/>
        </w:rPr>
        <w:t>on usuarios de estos servicios</w:t>
      </w:r>
      <w:r w:rsidR="00BC30B7" w:rsidRPr="00FB0D0C">
        <w:rPr>
          <w:rFonts w:ascii="ITC Avant Garde" w:hAnsi="ITC Avant Garde"/>
          <w:bCs/>
          <w:sz w:val="21"/>
          <w:szCs w:val="21"/>
        </w:rPr>
        <w:t xml:space="preserve"> en el área de cobertura objeto de dicha solicitud</w:t>
      </w:r>
      <w:r w:rsidR="00327195" w:rsidRPr="00FB0D0C">
        <w:rPr>
          <w:rFonts w:ascii="ITC Avant Garde" w:hAnsi="ITC Avant Garde"/>
          <w:bCs/>
          <w:sz w:val="21"/>
          <w:szCs w:val="21"/>
        </w:rPr>
        <w:t>.</w:t>
      </w:r>
    </w:p>
    <w:p w14:paraId="608AA271" w14:textId="77777777" w:rsidR="00607B3A" w:rsidRPr="00FB0D0C" w:rsidRDefault="00DF5AA6"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Cs/>
          <w:sz w:val="21"/>
          <w:szCs w:val="21"/>
        </w:rPr>
        <w:t>En consecuencia, se considera procedente autorizar a Ultravisión, S.A. de C.V.</w:t>
      </w:r>
      <w:r w:rsidR="00D84352" w:rsidRPr="00FB0D0C">
        <w:rPr>
          <w:rFonts w:ascii="ITC Avant Garde" w:hAnsi="ITC Avant Garde"/>
          <w:bCs/>
          <w:sz w:val="21"/>
          <w:szCs w:val="21"/>
        </w:rPr>
        <w:t>,</w:t>
      </w:r>
      <w:r w:rsidRPr="00FB0D0C">
        <w:rPr>
          <w:rFonts w:ascii="ITC Avant Garde" w:hAnsi="ITC Avant Garde"/>
          <w:bCs/>
          <w:sz w:val="21"/>
          <w:szCs w:val="21"/>
        </w:rPr>
        <w:t xml:space="preserve"> la </w:t>
      </w:r>
      <w:r w:rsidR="00EC3641" w:rsidRPr="00FB0D0C">
        <w:rPr>
          <w:rFonts w:ascii="ITC Avant Garde" w:hAnsi="ITC Avant Garde"/>
          <w:bCs/>
          <w:sz w:val="21"/>
          <w:szCs w:val="21"/>
        </w:rPr>
        <w:t>i</w:t>
      </w:r>
      <w:r w:rsidRPr="00FB0D0C">
        <w:rPr>
          <w:rFonts w:ascii="ITC Avant Garde" w:hAnsi="ITC Avant Garde"/>
          <w:bCs/>
          <w:sz w:val="21"/>
          <w:szCs w:val="21"/>
        </w:rPr>
        <w:t xml:space="preserve">nterrupción de </w:t>
      </w:r>
      <w:r w:rsidR="00EC3641" w:rsidRPr="00FB0D0C">
        <w:rPr>
          <w:rFonts w:ascii="ITC Avant Garde" w:hAnsi="ITC Avant Garde"/>
          <w:bCs/>
          <w:sz w:val="21"/>
          <w:szCs w:val="21"/>
        </w:rPr>
        <w:t>los s</w:t>
      </w:r>
      <w:r w:rsidRPr="00FB0D0C">
        <w:rPr>
          <w:rFonts w:ascii="ITC Avant Garde" w:hAnsi="ITC Avant Garde"/>
          <w:bCs/>
          <w:sz w:val="21"/>
          <w:szCs w:val="21"/>
        </w:rPr>
        <w:t>ervicios</w:t>
      </w:r>
      <w:r w:rsidR="00EC3641" w:rsidRPr="00FB0D0C">
        <w:rPr>
          <w:rFonts w:ascii="ITC Avant Garde" w:hAnsi="ITC Avant Garde"/>
          <w:bCs/>
          <w:sz w:val="21"/>
          <w:szCs w:val="21"/>
        </w:rPr>
        <w:t xml:space="preserve"> de televisión y audio restringidos</w:t>
      </w:r>
      <w:r w:rsidR="00BC30B7" w:rsidRPr="00FB0D0C">
        <w:rPr>
          <w:rFonts w:ascii="ITC Avant Garde" w:hAnsi="ITC Avant Garde"/>
          <w:bCs/>
          <w:sz w:val="21"/>
          <w:szCs w:val="21"/>
        </w:rPr>
        <w:t xml:space="preserve"> respecto del título de concesión referido en el numeral 11</w:t>
      </w:r>
      <w:r w:rsidR="00A60727" w:rsidRPr="00FB0D0C">
        <w:rPr>
          <w:rFonts w:ascii="ITC Avant Garde" w:hAnsi="ITC Avant Garde"/>
          <w:bCs/>
          <w:sz w:val="21"/>
          <w:szCs w:val="21"/>
        </w:rPr>
        <w:t xml:space="preserve"> de la tabla indicada en</w:t>
      </w:r>
      <w:r w:rsidR="00BC30B7" w:rsidRPr="00FB0D0C">
        <w:rPr>
          <w:rFonts w:ascii="ITC Avant Garde" w:hAnsi="ITC Avant Garde"/>
          <w:bCs/>
          <w:sz w:val="21"/>
          <w:szCs w:val="21"/>
        </w:rPr>
        <w:t xml:space="preserve"> el Antecedente II de la presente Resolución.</w:t>
      </w:r>
    </w:p>
    <w:p w14:paraId="692EA7F1" w14:textId="77777777" w:rsidR="00607B3A" w:rsidRPr="00FB0D0C" w:rsidRDefault="00721F3E"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Cs/>
          <w:sz w:val="21"/>
          <w:szCs w:val="21"/>
        </w:rPr>
        <w:t xml:space="preserve">Por lo anteriormente señalado, y con fundamento en los artículos 28 párrafos décimo quinto, décimo sexto y décimo séptimo de la Constitución Política de los Estados Unidos Mexicanos; Séptimo Transitorio del </w:t>
      </w:r>
      <w:r w:rsidRPr="00FB0D0C">
        <w:rPr>
          <w:rFonts w:ascii="ITC Avant Garde" w:hAnsi="ITC Avant Garde"/>
          <w:bCs/>
          <w:color w:val="000000" w:themeColor="text1"/>
          <w:sz w:val="21"/>
          <w:szCs w:val="2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B0D0C">
        <w:rPr>
          <w:rFonts w:ascii="ITC Avant Garde" w:hAnsi="ITC Avant Garde"/>
          <w:bCs/>
          <w:sz w:val="21"/>
          <w:szCs w:val="21"/>
        </w:rPr>
        <w:t xml:space="preserve"> </w:t>
      </w:r>
      <w:r w:rsidR="00906D4D" w:rsidRPr="00FB0D0C">
        <w:rPr>
          <w:rFonts w:ascii="ITC Avant Garde" w:hAnsi="ITC Avant Garde"/>
          <w:bCs/>
          <w:sz w:val="21"/>
          <w:szCs w:val="21"/>
        </w:rPr>
        <w:t xml:space="preserve">6 fracción IV, 15 </w:t>
      </w:r>
      <w:r w:rsidR="00AA24D3" w:rsidRPr="00FB0D0C">
        <w:rPr>
          <w:rFonts w:ascii="ITC Avant Garde" w:hAnsi="ITC Avant Garde"/>
          <w:bCs/>
          <w:sz w:val="21"/>
          <w:szCs w:val="21"/>
        </w:rPr>
        <w:t>fracción LXIII</w:t>
      </w:r>
      <w:r w:rsidR="00EA72DA" w:rsidRPr="00FB0D0C">
        <w:rPr>
          <w:rFonts w:ascii="ITC Avant Garde" w:hAnsi="ITC Avant Garde"/>
          <w:bCs/>
          <w:sz w:val="21"/>
          <w:szCs w:val="21"/>
        </w:rPr>
        <w:t>,</w:t>
      </w:r>
      <w:r w:rsidR="00183DFE" w:rsidRPr="00FB0D0C">
        <w:rPr>
          <w:rFonts w:ascii="ITC Avant Garde" w:hAnsi="ITC Avant Garde"/>
          <w:bCs/>
          <w:sz w:val="21"/>
          <w:szCs w:val="21"/>
        </w:rPr>
        <w:t xml:space="preserve"> 16</w:t>
      </w:r>
      <w:r w:rsidR="00AA24D3" w:rsidRPr="00FB0D0C">
        <w:rPr>
          <w:rFonts w:ascii="ITC Avant Garde" w:hAnsi="ITC Avant Garde"/>
          <w:bCs/>
          <w:sz w:val="21"/>
          <w:szCs w:val="21"/>
        </w:rPr>
        <w:t xml:space="preserve"> </w:t>
      </w:r>
      <w:r w:rsidR="00EA72DA" w:rsidRPr="00FB0D0C">
        <w:rPr>
          <w:rFonts w:ascii="ITC Avant Garde" w:hAnsi="ITC Avant Garde"/>
          <w:bCs/>
          <w:sz w:val="21"/>
          <w:szCs w:val="21"/>
        </w:rPr>
        <w:t>y 177</w:t>
      </w:r>
      <w:r w:rsidR="00761848" w:rsidRPr="00FB0D0C">
        <w:rPr>
          <w:rFonts w:ascii="ITC Avant Garde" w:hAnsi="ITC Avant Garde"/>
          <w:bCs/>
          <w:sz w:val="21"/>
          <w:szCs w:val="21"/>
        </w:rPr>
        <w:t xml:space="preserve"> fracción XXII </w:t>
      </w:r>
      <w:r w:rsidR="00906D4D" w:rsidRPr="00FB0D0C">
        <w:rPr>
          <w:rFonts w:ascii="ITC Avant Garde" w:hAnsi="ITC Avant Garde"/>
          <w:bCs/>
          <w:sz w:val="21"/>
          <w:szCs w:val="21"/>
        </w:rPr>
        <w:t xml:space="preserve">de la Ley Federal de Telecomunicaciones y Radiodifusión; </w:t>
      </w:r>
      <w:r w:rsidR="00D44651" w:rsidRPr="00FB0D0C">
        <w:rPr>
          <w:rFonts w:ascii="ITC Avant Garde" w:hAnsi="ITC Avant Garde"/>
          <w:bCs/>
          <w:sz w:val="21"/>
          <w:szCs w:val="21"/>
        </w:rPr>
        <w:t>35 fracción I, 36, 38, 39 y 57 fracción I de la Ley Federal de Procedimiento Administrativo</w:t>
      </w:r>
      <w:r w:rsidR="00A80AB6" w:rsidRPr="00FB0D0C">
        <w:rPr>
          <w:rFonts w:ascii="ITC Avant Garde" w:hAnsi="ITC Avant Garde"/>
          <w:bCs/>
          <w:sz w:val="21"/>
          <w:szCs w:val="21"/>
        </w:rPr>
        <w:t xml:space="preserve">; </w:t>
      </w:r>
      <w:r w:rsidR="004C6B78" w:rsidRPr="00FB0D0C">
        <w:rPr>
          <w:rFonts w:ascii="ITC Avant Garde" w:hAnsi="ITC Avant Garde"/>
          <w:bCs/>
          <w:sz w:val="21"/>
          <w:szCs w:val="21"/>
        </w:rPr>
        <w:t>1, 6 fracci</w:t>
      </w:r>
      <w:r w:rsidR="00AA24D3" w:rsidRPr="00FB0D0C">
        <w:rPr>
          <w:rFonts w:ascii="ITC Avant Garde" w:hAnsi="ITC Avant Garde"/>
          <w:bCs/>
          <w:sz w:val="21"/>
          <w:szCs w:val="21"/>
        </w:rPr>
        <w:t xml:space="preserve">ones </w:t>
      </w:r>
      <w:r w:rsidR="004C6B78" w:rsidRPr="00FB0D0C">
        <w:rPr>
          <w:rFonts w:ascii="ITC Avant Garde" w:hAnsi="ITC Avant Garde"/>
          <w:bCs/>
          <w:sz w:val="21"/>
          <w:szCs w:val="21"/>
        </w:rPr>
        <w:t>I</w:t>
      </w:r>
      <w:r w:rsidR="00AA24D3" w:rsidRPr="00FB0D0C">
        <w:rPr>
          <w:rFonts w:ascii="ITC Avant Garde" w:hAnsi="ITC Avant Garde"/>
          <w:bCs/>
          <w:sz w:val="21"/>
          <w:szCs w:val="21"/>
        </w:rPr>
        <w:t xml:space="preserve"> y XXXVIII </w:t>
      </w:r>
      <w:r w:rsidR="004C6B78" w:rsidRPr="00FB0D0C">
        <w:rPr>
          <w:rFonts w:ascii="ITC Avant Garde" w:hAnsi="ITC Avant Garde"/>
          <w:bCs/>
          <w:sz w:val="21"/>
          <w:szCs w:val="21"/>
        </w:rPr>
        <w:t>del Estatuto Orgánico del Instituto Federal de Telecomunicaciones;</w:t>
      </w:r>
      <w:r w:rsidR="00AA24D3" w:rsidRPr="00FB0D0C">
        <w:rPr>
          <w:rFonts w:ascii="ITC Avant Garde" w:hAnsi="ITC Avant Garde"/>
          <w:bCs/>
          <w:sz w:val="21"/>
          <w:szCs w:val="21"/>
        </w:rPr>
        <w:t xml:space="preserve"> así como</w:t>
      </w:r>
      <w:r w:rsidR="00A3225D" w:rsidRPr="00FB0D0C">
        <w:rPr>
          <w:rFonts w:ascii="ITC Avant Garde" w:hAnsi="ITC Avant Garde"/>
          <w:bCs/>
          <w:sz w:val="21"/>
          <w:szCs w:val="21"/>
        </w:rPr>
        <w:t xml:space="preserve"> la</w:t>
      </w:r>
      <w:r w:rsidR="00AA24D3" w:rsidRPr="00FB0D0C">
        <w:rPr>
          <w:rFonts w:ascii="ITC Avant Garde" w:hAnsi="ITC Avant Garde"/>
          <w:bCs/>
          <w:sz w:val="21"/>
          <w:szCs w:val="21"/>
        </w:rPr>
        <w:t>s C</w:t>
      </w:r>
      <w:r w:rsidR="00A3225D" w:rsidRPr="00FB0D0C">
        <w:rPr>
          <w:rFonts w:ascii="ITC Avant Garde" w:hAnsi="ITC Avant Garde"/>
          <w:bCs/>
          <w:sz w:val="21"/>
          <w:szCs w:val="21"/>
        </w:rPr>
        <w:t>ondici</w:t>
      </w:r>
      <w:r w:rsidR="00AA24D3" w:rsidRPr="00FB0D0C">
        <w:rPr>
          <w:rFonts w:ascii="ITC Avant Garde" w:hAnsi="ITC Avant Garde"/>
          <w:bCs/>
          <w:sz w:val="21"/>
          <w:szCs w:val="21"/>
        </w:rPr>
        <w:t xml:space="preserve">ones 2.1 y 16 de las Modificaciones y Prórrogas de las Concesiones para usar, aprovechar y explotar bandas de frecuencias del espectro radioeléctrico para usos determinados en los Estados Unidos Mexicanos otorgadas a </w:t>
      </w:r>
      <w:r w:rsidR="00E12827" w:rsidRPr="00FB0D0C">
        <w:rPr>
          <w:rFonts w:ascii="ITC Avant Garde" w:hAnsi="ITC Avant Garde"/>
          <w:bCs/>
          <w:sz w:val="21"/>
          <w:szCs w:val="21"/>
        </w:rPr>
        <w:t>Ultravisión</w:t>
      </w:r>
      <w:r w:rsidR="00AA24D3" w:rsidRPr="00FB0D0C">
        <w:rPr>
          <w:rFonts w:ascii="ITC Avant Garde" w:hAnsi="ITC Avant Garde"/>
          <w:bCs/>
          <w:sz w:val="21"/>
          <w:szCs w:val="21"/>
        </w:rPr>
        <w:t>, S.A. de C.V., el 6 de septiembre de 2013</w:t>
      </w:r>
      <w:r w:rsidR="004C6B78" w:rsidRPr="00FB0D0C">
        <w:rPr>
          <w:rFonts w:ascii="ITC Avant Garde" w:hAnsi="ITC Avant Garde"/>
          <w:bCs/>
          <w:sz w:val="21"/>
          <w:szCs w:val="21"/>
        </w:rPr>
        <w:t>, este órgano autónomo constitucional emite los siguientes:</w:t>
      </w:r>
    </w:p>
    <w:p w14:paraId="624D530C" w14:textId="77777777" w:rsidR="00607B3A" w:rsidRPr="00FB0D0C" w:rsidRDefault="00A21167" w:rsidP="00607B3A">
      <w:pPr>
        <w:pStyle w:val="Ttulo2"/>
        <w:spacing w:afterLines="120" w:after="288" w:line="276" w:lineRule="auto"/>
        <w:ind w:firstLine="0"/>
        <w:jc w:val="center"/>
        <w:rPr>
          <w:rFonts w:ascii="ITC Avant Garde" w:hAnsi="ITC Avant Garde" w:cs="Arial"/>
          <w:bCs/>
          <w:sz w:val="22"/>
          <w:szCs w:val="22"/>
          <w:lang w:eastAsia="en-US"/>
        </w:rPr>
      </w:pPr>
      <w:r w:rsidRPr="00FB0D0C">
        <w:rPr>
          <w:rFonts w:ascii="ITC Avant Garde" w:hAnsi="ITC Avant Garde" w:cs="Arial"/>
          <w:bCs/>
          <w:sz w:val="22"/>
          <w:szCs w:val="22"/>
          <w:lang w:eastAsia="en-US"/>
        </w:rPr>
        <w:t>RESOLUTIVOS</w:t>
      </w:r>
    </w:p>
    <w:p w14:paraId="51664867" w14:textId="77777777" w:rsidR="00607B3A" w:rsidRPr="00FB0D0C" w:rsidRDefault="00A21167" w:rsidP="00607B3A">
      <w:pPr>
        <w:autoSpaceDE w:val="0"/>
        <w:autoSpaceDN w:val="0"/>
        <w:adjustRightInd w:val="0"/>
        <w:spacing w:afterLines="120" w:after="288" w:line="240" w:lineRule="auto"/>
        <w:jc w:val="both"/>
        <w:rPr>
          <w:rFonts w:ascii="ITC Avant Garde" w:hAnsi="ITC Avant Garde"/>
          <w:bCs/>
          <w:color w:val="000000"/>
          <w:sz w:val="21"/>
          <w:szCs w:val="21"/>
          <w:lang w:eastAsia="es-MX"/>
        </w:rPr>
      </w:pPr>
      <w:r w:rsidRPr="00FB0D0C">
        <w:rPr>
          <w:rFonts w:ascii="ITC Avant Garde" w:hAnsi="ITC Avant Garde"/>
          <w:b/>
          <w:bCs/>
          <w:color w:val="000000"/>
          <w:sz w:val="21"/>
          <w:szCs w:val="21"/>
          <w:lang w:eastAsia="es-MX"/>
        </w:rPr>
        <w:t>PRIMERO.-</w:t>
      </w:r>
      <w:r w:rsidR="00304638" w:rsidRPr="00FB0D0C">
        <w:rPr>
          <w:rFonts w:ascii="ITC Avant Garde" w:hAnsi="ITC Avant Garde"/>
          <w:bCs/>
          <w:color w:val="000000"/>
          <w:sz w:val="21"/>
          <w:szCs w:val="21"/>
          <w:lang w:eastAsia="es-MX"/>
        </w:rPr>
        <w:t xml:space="preserve"> Se </w:t>
      </w:r>
      <w:r w:rsidR="00E70448" w:rsidRPr="00FB0D0C">
        <w:rPr>
          <w:rFonts w:ascii="ITC Avant Garde" w:hAnsi="ITC Avant Garde"/>
          <w:bCs/>
          <w:color w:val="000000"/>
          <w:sz w:val="21"/>
          <w:szCs w:val="21"/>
          <w:lang w:eastAsia="es-MX"/>
        </w:rPr>
        <w:t xml:space="preserve">autoriza a </w:t>
      </w:r>
      <w:r w:rsidR="00E12827" w:rsidRPr="00FB0D0C">
        <w:rPr>
          <w:rFonts w:ascii="ITC Avant Garde" w:hAnsi="ITC Avant Garde"/>
          <w:color w:val="000000"/>
          <w:sz w:val="21"/>
          <w:szCs w:val="21"/>
          <w:lang w:eastAsia="es-MX"/>
        </w:rPr>
        <w:t>Ultravisión</w:t>
      </w:r>
      <w:r w:rsidR="00E70448" w:rsidRPr="00FB0D0C">
        <w:rPr>
          <w:rFonts w:ascii="ITC Avant Garde" w:hAnsi="ITC Avant Garde"/>
          <w:bCs/>
          <w:sz w:val="21"/>
          <w:szCs w:val="21"/>
        </w:rPr>
        <w:t xml:space="preserve">, S.A. de C.V. </w:t>
      </w:r>
      <w:r w:rsidR="00E70448" w:rsidRPr="00FB0D0C">
        <w:rPr>
          <w:rFonts w:ascii="ITC Avant Garde" w:hAnsi="ITC Avant Garde"/>
          <w:bCs/>
          <w:color w:val="000000"/>
          <w:sz w:val="21"/>
          <w:szCs w:val="21"/>
          <w:lang w:eastAsia="es-MX"/>
        </w:rPr>
        <w:t xml:space="preserve">la </w:t>
      </w:r>
      <w:r w:rsidR="0004048F" w:rsidRPr="00FB0D0C">
        <w:rPr>
          <w:rFonts w:ascii="ITC Avant Garde" w:hAnsi="ITC Avant Garde"/>
          <w:bCs/>
          <w:color w:val="000000"/>
          <w:sz w:val="21"/>
          <w:szCs w:val="21"/>
          <w:lang w:eastAsia="es-MX"/>
        </w:rPr>
        <w:t>interrupción de los servicios de televisión y</w:t>
      </w:r>
      <w:r w:rsidR="001E1F26" w:rsidRPr="00FB0D0C">
        <w:rPr>
          <w:rFonts w:ascii="ITC Avant Garde" w:hAnsi="ITC Avant Garde"/>
          <w:bCs/>
          <w:color w:val="000000"/>
          <w:sz w:val="21"/>
          <w:szCs w:val="21"/>
          <w:lang w:eastAsia="es-MX"/>
        </w:rPr>
        <w:t xml:space="preserve"> </w:t>
      </w:r>
      <w:r w:rsidR="0004048F" w:rsidRPr="00FB0D0C">
        <w:rPr>
          <w:rFonts w:ascii="ITC Avant Garde" w:hAnsi="ITC Avant Garde"/>
          <w:bCs/>
          <w:color w:val="000000"/>
          <w:sz w:val="21"/>
          <w:szCs w:val="21"/>
          <w:lang w:eastAsia="es-MX"/>
        </w:rPr>
        <w:t>audio restringidos</w:t>
      </w:r>
      <w:r w:rsidR="00AA2167" w:rsidRPr="00FB0D0C">
        <w:rPr>
          <w:rFonts w:ascii="ITC Avant Garde" w:hAnsi="ITC Avant Garde"/>
          <w:bCs/>
          <w:color w:val="000000"/>
          <w:sz w:val="21"/>
          <w:szCs w:val="21"/>
          <w:lang w:eastAsia="es-MX"/>
        </w:rPr>
        <w:t xml:space="preserve"> </w:t>
      </w:r>
      <w:r w:rsidR="00E70448" w:rsidRPr="00FB0D0C">
        <w:rPr>
          <w:rFonts w:ascii="ITC Avant Garde" w:hAnsi="ITC Avant Garde"/>
          <w:color w:val="000000"/>
          <w:sz w:val="21"/>
          <w:szCs w:val="21"/>
        </w:rPr>
        <w:t xml:space="preserve">en </w:t>
      </w:r>
      <w:r w:rsidR="00C71A6E" w:rsidRPr="00FB0D0C">
        <w:rPr>
          <w:rFonts w:ascii="ITC Avant Garde" w:hAnsi="ITC Avant Garde"/>
          <w:color w:val="000000"/>
          <w:sz w:val="21"/>
          <w:szCs w:val="21"/>
        </w:rPr>
        <w:t>1 (una)</w:t>
      </w:r>
      <w:r w:rsidR="00E12827" w:rsidRPr="00FB0D0C">
        <w:rPr>
          <w:rFonts w:ascii="ITC Avant Garde" w:hAnsi="ITC Avant Garde"/>
          <w:color w:val="000000"/>
          <w:sz w:val="21"/>
          <w:szCs w:val="21"/>
        </w:rPr>
        <w:t xml:space="preserve"> de </w:t>
      </w:r>
      <w:r w:rsidR="00733CD2" w:rsidRPr="00FB0D0C">
        <w:rPr>
          <w:rFonts w:ascii="ITC Avant Garde" w:hAnsi="ITC Avant Garde"/>
          <w:color w:val="000000"/>
          <w:sz w:val="21"/>
          <w:szCs w:val="21"/>
        </w:rPr>
        <w:t>las</w:t>
      </w:r>
      <w:r w:rsidR="00E12827" w:rsidRPr="00FB0D0C">
        <w:rPr>
          <w:rFonts w:ascii="ITC Avant Garde" w:hAnsi="ITC Avant Garde"/>
          <w:color w:val="000000"/>
          <w:sz w:val="21"/>
          <w:szCs w:val="21"/>
        </w:rPr>
        <w:t xml:space="preserve"> 13</w:t>
      </w:r>
      <w:r w:rsidR="00E70448" w:rsidRPr="00FB0D0C">
        <w:rPr>
          <w:rFonts w:ascii="ITC Avant Garde" w:hAnsi="ITC Avant Garde"/>
          <w:color w:val="000000"/>
          <w:sz w:val="21"/>
          <w:szCs w:val="21"/>
        </w:rPr>
        <w:t xml:space="preserve"> </w:t>
      </w:r>
      <w:r w:rsidR="00E12827" w:rsidRPr="00FB0D0C">
        <w:rPr>
          <w:rFonts w:ascii="ITC Avant Garde" w:hAnsi="ITC Avant Garde"/>
          <w:color w:val="000000"/>
          <w:sz w:val="21"/>
          <w:szCs w:val="21"/>
        </w:rPr>
        <w:t xml:space="preserve">(trece) </w:t>
      </w:r>
      <w:r w:rsidR="00B35B0A" w:rsidRPr="00FB0D0C">
        <w:rPr>
          <w:rFonts w:ascii="ITC Avant Garde" w:hAnsi="ITC Avant Garde"/>
          <w:bCs/>
          <w:sz w:val="21"/>
          <w:szCs w:val="21"/>
        </w:rPr>
        <w:t xml:space="preserve">Modificaciones y Prórrogas de las Concesiones para usar, aprovechar y explotar bandas de frecuencias del espectro radioeléctrico para usos determinados en los Estados Unidos Mexicanos otorgadas el 6 de septiembre de 2013 y que </w:t>
      </w:r>
      <w:r w:rsidR="00C71A6E" w:rsidRPr="00FB0D0C">
        <w:rPr>
          <w:rFonts w:ascii="ITC Avant Garde" w:hAnsi="ITC Avant Garde"/>
          <w:bCs/>
          <w:sz w:val="21"/>
          <w:szCs w:val="21"/>
        </w:rPr>
        <w:t>corresponde a la señalada</w:t>
      </w:r>
      <w:r w:rsidR="00E12827" w:rsidRPr="00FB0D0C">
        <w:rPr>
          <w:rFonts w:ascii="ITC Avant Garde" w:hAnsi="ITC Avant Garde"/>
          <w:bCs/>
          <w:sz w:val="21"/>
          <w:szCs w:val="21"/>
        </w:rPr>
        <w:t xml:space="preserve"> en </w:t>
      </w:r>
      <w:r w:rsidR="00C71A6E" w:rsidRPr="00FB0D0C">
        <w:rPr>
          <w:rFonts w:ascii="ITC Avant Garde" w:hAnsi="ITC Avant Garde"/>
          <w:bCs/>
          <w:sz w:val="21"/>
          <w:szCs w:val="21"/>
        </w:rPr>
        <w:t>el</w:t>
      </w:r>
      <w:r w:rsidR="00C71A6E" w:rsidRPr="00FB0D0C">
        <w:rPr>
          <w:rFonts w:ascii="ITC Avant Garde" w:hAnsi="ITC Avant Garde" w:cs="Arial"/>
          <w:bCs/>
          <w:color w:val="000000"/>
          <w:sz w:val="21"/>
          <w:szCs w:val="21"/>
          <w:shd w:val="clear" w:color="auto" w:fill="FFFFFF"/>
        </w:rPr>
        <w:t xml:space="preserve"> numeral</w:t>
      </w:r>
      <w:r w:rsidR="00E12827" w:rsidRPr="00FB0D0C">
        <w:rPr>
          <w:rFonts w:ascii="ITC Avant Garde" w:hAnsi="ITC Avant Garde" w:cs="Arial"/>
          <w:bCs/>
          <w:color w:val="000000"/>
          <w:sz w:val="21"/>
          <w:szCs w:val="21"/>
          <w:shd w:val="clear" w:color="auto" w:fill="FFFFFF"/>
        </w:rPr>
        <w:t xml:space="preserve"> </w:t>
      </w:r>
      <w:r w:rsidR="00C71A6E" w:rsidRPr="00FB0D0C">
        <w:rPr>
          <w:rFonts w:ascii="ITC Avant Garde" w:hAnsi="ITC Avant Garde" w:cs="Arial"/>
          <w:bCs/>
          <w:color w:val="000000"/>
          <w:sz w:val="21"/>
          <w:szCs w:val="21"/>
          <w:shd w:val="clear" w:color="auto" w:fill="FFFFFF"/>
        </w:rPr>
        <w:t>11</w:t>
      </w:r>
      <w:r w:rsidR="00B35B0A" w:rsidRPr="00FB0D0C">
        <w:rPr>
          <w:rFonts w:ascii="ITC Avant Garde" w:hAnsi="ITC Avant Garde"/>
          <w:bCs/>
          <w:sz w:val="21"/>
          <w:szCs w:val="21"/>
        </w:rPr>
        <w:t xml:space="preserve"> </w:t>
      </w:r>
      <w:r w:rsidR="00E12827" w:rsidRPr="00FB0D0C">
        <w:rPr>
          <w:rFonts w:ascii="ITC Avant Garde" w:hAnsi="ITC Avant Garde"/>
          <w:bCs/>
          <w:sz w:val="21"/>
          <w:szCs w:val="21"/>
        </w:rPr>
        <w:t xml:space="preserve">de la tabla </w:t>
      </w:r>
      <w:r w:rsidR="00C06791" w:rsidRPr="00FB0D0C">
        <w:rPr>
          <w:rFonts w:ascii="ITC Avant Garde" w:hAnsi="ITC Avant Garde"/>
          <w:bCs/>
          <w:sz w:val="21"/>
          <w:szCs w:val="21"/>
        </w:rPr>
        <w:t xml:space="preserve">indicada </w:t>
      </w:r>
      <w:r w:rsidR="00B35B0A" w:rsidRPr="00FB0D0C">
        <w:rPr>
          <w:rFonts w:ascii="ITC Avant Garde" w:hAnsi="ITC Avant Garde"/>
          <w:bCs/>
          <w:sz w:val="21"/>
          <w:szCs w:val="21"/>
        </w:rPr>
        <w:t xml:space="preserve">en el Antecedente </w:t>
      </w:r>
      <w:r w:rsidR="006C13C2" w:rsidRPr="00FB0D0C">
        <w:rPr>
          <w:rFonts w:ascii="ITC Avant Garde" w:hAnsi="ITC Avant Garde"/>
          <w:bCs/>
          <w:sz w:val="21"/>
          <w:szCs w:val="21"/>
        </w:rPr>
        <w:t>I</w:t>
      </w:r>
      <w:r w:rsidR="00B35B0A" w:rsidRPr="00FB0D0C">
        <w:rPr>
          <w:rFonts w:ascii="ITC Avant Garde" w:hAnsi="ITC Avant Garde"/>
          <w:bCs/>
          <w:sz w:val="21"/>
          <w:szCs w:val="21"/>
        </w:rPr>
        <w:t>I de la presente Resolución</w:t>
      </w:r>
      <w:r w:rsidR="0004048F" w:rsidRPr="00FB0D0C">
        <w:rPr>
          <w:rFonts w:ascii="ITC Avant Garde" w:hAnsi="ITC Avant Garde"/>
          <w:bCs/>
          <w:color w:val="000000"/>
          <w:sz w:val="21"/>
          <w:szCs w:val="21"/>
          <w:lang w:eastAsia="es-MX"/>
        </w:rPr>
        <w:t>.</w:t>
      </w:r>
    </w:p>
    <w:p w14:paraId="4A4B126D" w14:textId="77777777" w:rsidR="00607B3A" w:rsidRPr="00FB0D0C" w:rsidRDefault="00183DFE" w:rsidP="00607B3A">
      <w:pPr>
        <w:autoSpaceDE w:val="0"/>
        <w:autoSpaceDN w:val="0"/>
        <w:adjustRightInd w:val="0"/>
        <w:spacing w:afterLines="120" w:after="288" w:line="240" w:lineRule="auto"/>
        <w:jc w:val="both"/>
        <w:rPr>
          <w:rFonts w:ascii="ITC Avant Garde" w:hAnsi="ITC Avant Garde"/>
          <w:bCs/>
          <w:color w:val="000000"/>
          <w:sz w:val="21"/>
          <w:szCs w:val="21"/>
          <w:lang w:eastAsia="es-MX"/>
        </w:rPr>
      </w:pPr>
      <w:r w:rsidRPr="00FB0D0C">
        <w:rPr>
          <w:rFonts w:ascii="ITC Avant Garde" w:hAnsi="ITC Avant Garde"/>
          <w:bCs/>
          <w:color w:val="000000"/>
          <w:sz w:val="21"/>
          <w:szCs w:val="21"/>
          <w:lang w:eastAsia="es-MX"/>
        </w:rPr>
        <w:lastRenderedPageBreak/>
        <w:t>La</w:t>
      </w:r>
      <w:r w:rsidR="00AB39B5" w:rsidRPr="00FB0D0C">
        <w:rPr>
          <w:rFonts w:ascii="ITC Avant Garde" w:hAnsi="ITC Avant Garde"/>
          <w:bCs/>
          <w:color w:val="000000"/>
          <w:sz w:val="21"/>
          <w:szCs w:val="21"/>
          <w:lang w:eastAsia="es-MX"/>
        </w:rPr>
        <w:t xml:space="preserve"> autorización</w:t>
      </w:r>
      <w:r w:rsidRPr="00FB0D0C">
        <w:rPr>
          <w:rFonts w:ascii="ITC Avant Garde" w:hAnsi="ITC Avant Garde"/>
          <w:bCs/>
          <w:color w:val="000000"/>
          <w:sz w:val="21"/>
          <w:szCs w:val="21"/>
          <w:lang w:eastAsia="es-MX"/>
        </w:rPr>
        <w:t xml:space="preserve"> señalada</w:t>
      </w:r>
      <w:r w:rsidR="00AB39B5" w:rsidRPr="00FB0D0C">
        <w:rPr>
          <w:rFonts w:ascii="ITC Avant Garde" w:hAnsi="ITC Avant Garde"/>
          <w:bCs/>
          <w:color w:val="000000"/>
          <w:sz w:val="21"/>
          <w:szCs w:val="21"/>
          <w:lang w:eastAsia="es-MX"/>
        </w:rPr>
        <w:t xml:space="preserve"> </w:t>
      </w:r>
      <w:r w:rsidRPr="00FB0D0C">
        <w:rPr>
          <w:rFonts w:ascii="ITC Avant Garde" w:hAnsi="ITC Avant Garde"/>
          <w:bCs/>
          <w:color w:val="000000"/>
          <w:sz w:val="21"/>
          <w:szCs w:val="21"/>
          <w:lang w:eastAsia="es-MX"/>
        </w:rPr>
        <w:t>se otorga sin perjuicio de lo establecido por</w:t>
      </w:r>
      <w:r w:rsidR="00AB39B5" w:rsidRPr="00FB0D0C">
        <w:rPr>
          <w:rFonts w:ascii="ITC Avant Garde" w:hAnsi="ITC Avant Garde"/>
          <w:bCs/>
          <w:color w:val="000000"/>
          <w:sz w:val="21"/>
          <w:szCs w:val="21"/>
          <w:lang w:eastAsia="es-MX"/>
        </w:rPr>
        <w:t xml:space="preserve"> la Condición 2.1 de las </w:t>
      </w:r>
      <w:r w:rsidR="00C06791" w:rsidRPr="00FB0D0C">
        <w:rPr>
          <w:rFonts w:ascii="ITC Avant Garde" w:hAnsi="ITC Avant Garde"/>
          <w:bCs/>
          <w:color w:val="000000"/>
          <w:sz w:val="21"/>
          <w:szCs w:val="21"/>
          <w:lang w:eastAsia="es-MX"/>
        </w:rPr>
        <w:t>13</w:t>
      </w:r>
      <w:r w:rsidR="00AB39B5" w:rsidRPr="00FB0D0C">
        <w:rPr>
          <w:rFonts w:ascii="ITC Avant Garde" w:hAnsi="ITC Avant Garde"/>
          <w:bCs/>
          <w:color w:val="000000"/>
          <w:sz w:val="21"/>
          <w:szCs w:val="21"/>
          <w:lang w:eastAsia="es-MX"/>
        </w:rPr>
        <w:t xml:space="preserve"> (</w:t>
      </w:r>
      <w:r w:rsidR="00C06791" w:rsidRPr="00FB0D0C">
        <w:rPr>
          <w:rFonts w:ascii="ITC Avant Garde" w:hAnsi="ITC Avant Garde"/>
          <w:bCs/>
          <w:color w:val="000000"/>
          <w:sz w:val="21"/>
          <w:szCs w:val="21"/>
          <w:lang w:eastAsia="es-MX"/>
        </w:rPr>
        <w:t>trece</w:t>
      </w:r>
      <w:r w:rsidR="00AB39B5" w:rsidRPr="00FB0D0C">
        <w:rPr>
          <w:rFonts w:ascii="ITC Avant Garde" w:hAnsi="ITC Avant Garde"/>
          <w:bCs/>
          <w:color w:val="000000"/>
          <w:sz w:val="21"/>
          <w:szCs w:val="21"/>
          <w:lang w:eastAsia="es-MX"/>
        </w:rPr>
        <w:t>) Modif</w:t>
      </w:r>
      <w:r w:rsidRPr="00FB0D0C">
        <w:rPr>
          <w:rFonts w:ascii="ITC Avant Garde" w:hAnsi="ITC Avant Garde"/>
          <w:bCs/>
          <w:color w:val="000000"/>
          <w:sz w:val="21"/>
          <w:szCs w:val="21"/>
          <w:lang w:eastAsia="es-MX"/>
        </w:rPr>
        <w:t xml:space="preserve">icaciones y Prórrogas mencionadas </w:t>
      </w:r>
      <w:r w:rsidR="00AB39B5" w:rsidRPr="00FB0D0C">
        <w:rPr>
          <w:rFonts w:ascii="ITC Avant Garde" w:hAnsi="ITC Avant Garde"/>
          <w:bCs/>
          <w:color w:val="000000"/>
          <w:sz w:val="21"/>
          <w:szCs w:val="21"/>
          <w:lang w:eastAsia="es-MX"/>
        </w:rPr>
        <w:t>en el párrafo que antecede</w:t>
      </w:r>
      <w:r w:rsidR="00F86AA0" w:rsidRPr="00FB0D0C">
        <w:rPr>
          <w:rFonts w:ascii="ITC Avant Garde" w:hAnsi="ITC Avant Garde"/>
          <w:bCs/>
          <w:color w:val="000000"/>
          <w:sz w:val="21"/>
          <w:szCs w:val="21"/>
          <w:lang w:eastAsia="es-MX"/>
        </w:rPr>
        <w:t xml:space="preserve">, así como de la resolución que en su momento emita el Pleno del Instituto Federal de Telecomunicaciones sobre la procedencia de la solicitud de servicios adicionales señalada en el Antecedente </w:t>
      </w:r>
      <w:r w:rsidR="00C06791" w:rsidRPr="00FB0D0C">
        <w:rPr>
          <w:rFonts w:ascii="ITC Avant Garde" w:hAnsi="ITC Avant Garde"/>
          <w:bCs/>
          <w:color w:val="000000"/>
          <w:sz w:val="21"/>
          <w:szCs w:val="21"/>
          <w:lang w:eastAsia="es-MX"/>
        </w:rPr>
        <w:t>VI</w:t>
      </w:r>
      <w:r w:rsidR="00282264" w:rsidRPr="00FB0D0C">
        <w:rPr>
          <w:rFonts w:ascii="ITC Avant Garde" w:hAnsi="ITC Avant Garde"/>
          <w:bCs/>
          <w:color w:val="000000"/>
          <w:sz w:val="21"/>
          <w:szCs w:val="21"/>
          <w:lang w:eastAsia="es-MX"/>
        </w:rPr>
        <w:t>I</w:t>
      </w:r>
      <w:r w:rsidR="00C06791" w:rsidRPr="00FB0D0C">
        <w:rPr>
          <w:rFonts w:ascii="ITC Avant Garde" w:hAnsi="ITC Avant Garde"/>
          <w:bCs/>
          <w:color w:val="000000"/>
          <w:sz w:val="21"/>
          <w:szCs w:val="21"/>
          <w:lang w:eastAsia="es-MX"/>
        </w:rPr>
        <w:t xml:space="preserve"> </w:t>
      </w:r>
      <w:r w:rsidR="00F86AA0" w:rsidRPr="00FB0D0C">
        <w:rPr>
          <w:rFonts w:ascii="ITC Avant Garde" w:hAnsi="ITC Avant Garde"/>
          <w:bCs/>
          <w:color w:val="000000"/>
          <w:sz w:val="21"/>
          <w:szCs w:val="21"/>
          <w:lang w:eastAsia="es-MX"/>
        </w:rPr>
        <w:t>de la presente Resolución</w:t>
      </w:r>
      <w:r w:rsidR="00AB39B5" w:rsidRPr="00FB0D0C">
        <w:rPr>
          <w:rFonts w:ascii="ITC Avant Garde" w:hAnsi="ITC Avant Garde"/>
          <w:bCs/>
          <w:color w:val="000000"/>
          <w:sz w:val="21"/>
          <w:szCs w:val="21"/>
          <w:lang w:eastAsia="es-MX"/>
        </w:rPr>
        <w:t xml:space="preserve">. </w:t>
      </w:r>
    </w:p>
    <w:p w14:paraId="7976C926" w14:textId="77777777" w:rsidR="00607B3A" w:rsidRPr="00FB0D0C" w:rsidRDefault="00CB0327"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
          <w:bCs/>
          <w:sz w:val="21"/>
          <w:szCs w:val="21"/>
        </w:rPr>
        <w:t xml:space="preserve">SEGUNDO.- </w:t>
      </w:r>
      <w:r w:rsidR="00466B22" w:rsidRPr="00FB0D0C">
        <w:rPr>
          <w:rFonts w:ascii="ITC Avant Garde" w:hAnsi="ITC Avant Garde"/>
          <w:bCs/>
          <w:sz w:val="21"/>
          <w:szCs w:val="21"/>
        </w:rPr>
        <w:t xml:space="preserve">Se instruye a la </w:t>
      </w:r>
      <w:r w:rsidR="0004048F" w:rsidRPr="00FB0D0C">
        <w:rPr>
          <w:rFonts w:ascii="ITC Avant Garde" w:hAnsi="ITC Avant Garde"/>
          <w:bCs/>
          <w:sz w:val="21"/>
          <w:szCs w:val="21"/>
        </w:rPr>
        <w:t xml:space="preserve">Unidad de Concesiones y Servicios </w:t>
      </w:r>
      <w:r w:rsidR="00466B22" w:rsidRPr="00FB0D0C">
        <w:rPr>
          <w:rFonts w:ascii="ITC Avant Garde" w:hAnsi="ITC Avant Garde"/>
          <w:bCs/>
          <w:sz w:val="21"/>
          <w:szCs w:val="21"/>
        </w:rPr>
        <w:t xml:space="preserve">a </w:t>
      </w:r>
      <w:r w:rsidR="00183DFE" w:rsidRPr="00FB0D0C">
        <w:rPr>
          <w:rFonts w:ascii="ITC Avant Garde" w:hAnsi="ITC Avant Garde"/>
          <w:bCs/>
          <w:sz w:val="21"/>
          <w:szCs w:val="21"/>
        </w:rPr>
        <w:t xml:space="preserve">notificar a </w:t>
      </w:r>
      <w:r w:rsidR="00C06791" w:rsidRPr="00FB0D0C">
        <w:rPr>
          <w:rFonts w:ascii="ITC Avant Garde" w:hAnsi="ITC Avant Garde"/>
          <w:bCs/>
          <w:sz w:val="21"/>
          <w:szCs w:val="21"/>
        </w:rPr>
        <w:t>Ultravisión</w:t>
      </w:r>
      <w:r w:rsidR="00183DFE" w:rsidRPr="00FB0D0C">
        <w:rPr>
          <w:rFonts w:ascii="ITC Avant Garde" w:hAnsi="ITC Avant Garde"/>
          <w:bCs/>
          <w:sz w:val="21"/>
          <w:szCs w:val="21"/>
        </w:rPr>
        <w:t>, S.A. de C.V., el contenido de la presente Resolución.</w:t>
      </w:r>
      <w:r w:rsidR="00EA72DA" w:rsidRPr="00FB0D0C">
        <w:rPr>
          <w:rFonts w:ascii="ITC Avant Garde" w:hAnsi="ITC Avant Garde"/>
          <w:bCs/>
          <w:sz w:val="21"/>
          <w:szCs w:val="21"/>
        </w:rPr>
        <w:t xml:space="preserve"> </w:t>
      </w:r>
    </w:p>
    <w:p w14:paraId="3DF56499" w14:textId="77777777" w:rsidR="00607B3A" w:rsidRPr="00FB0D0C" w:rsidRDefault="00AA2167"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
          <w:bCs/>
          <w:sz w:val="21"/>
          <w:szCs w:val="21"/>
        </w:rPr>
        <w:t>TERCER</w:t>
      </w:r>
      <w:r w:rsidR="00CB0327" w:rsidRPr="00FB0D0C">
        <w:rPr>
          <w:rFonts w:ascii="ITC Avant Garde" w:hAnsi="ITC Avant Garde"/>
          <w:b/>
          <w:bCs/>
          <w:sz w:val="21"/>
          <w:szCs w:val="21"/>
        </w:rPr>
        <w:t>O</w:t>
      </w:r>
      <w:r w:rsidR="00183DFE" w:rsidRPr="00FB0D0C">
        <w:rPr>
          <w:rFonts w:ascii="ITC Avant Garde" w:hAnsi="ITC Avant Garde"/>
          <w:b/>
          <w:bCs/>
          <w:sz w:val="21"/>
          <w:szCs w:val="21"/>
        </w:rPr>
        <w:t>.-</w:t>
      </w:r>
      <w:r w:rsidR="00183DFE" w:rsidRPr="00FB0D0C">
        <w:rPr>
          <w:rFonts w:ascii="ITC Avant Garde" w:hAnsi="ITC Avant Garde"/>
          <w:bCs/>
          <w:sz w:val="21"/>
          <w:szCs w:val="21"/>
        </w:rPr>
        <w:t xml:space="preserve"> Notifíquese a la </w:t>
      </w:r>
      <w:r w:rsidR="00466B22" w:rsidRPr="00FB0D0C">
        <w:rPr>
          <w:rFonts w:ascii="ITC Avant Garde" w:hAnsi="ITC Avant Garde"/>
          <w:bCs/>
          <w:sz w:val="21"/>
          <w:szCs w:val="21"/>
        </w:rPr>
        <w:t xml:space="preserve">Unidad de Cumplimiento el contenido de la </w:t>
      </w:r>
      <w:r w:rsidR="00595D82" w:rsidRPr="00FB0D0C">
        <w:rPr>
          <w:rFonts w:ascii="ITC Avant Garde" w:hAnsi="ITC Avant Garde"/>
          <w:bCs/>
          <w:sz w:val="21"/>
          <w:szCs w:val="21"/>
        </w:rPr>
        <w:t>presente</w:t>
      </w:r>
      <w:r w:rsidR="00466B22" w:rsidRPr="00FB0D0C">
        <w:rPr>
          <w:rFonts w:ascii="ITC Avant Garde" w:hAnsi="ITC Avant Garde"/>
          <w:bCs/>
          <w:sz w:val="21"/>
          <w:szCs w:val="21"/>
        </w:rPr>
        <w:t xml:space="preserve"> Resolución</w:t>
      </w:r>
      <w:r w:rsidR="00183DFE" w:rsidRPr="00FB0D0C">
        <w:rPr>
          <w:rFonts w:ascii="ITC Avant Garde" w:hAnsi="ITC Avant Garde"/>
          <w:bCs/>
          <w:sz w:val="21"/>
          <w:szCs w:val="21"/>
        </w:rPr>
        <w:t>,</w:t>
      </w:r>
      <w:r w:rsidR="00466B22" w:rsidRPr="00FB0D0C">
        <w:rPr>
          <w:rFonts w:ascii="ITC Avant Garde" w:hAnsi="ITC Avant Garde"/>
          <w:bCs/>
          <w:sz w:val="21"/>
          <w:szCs w:val="21"/>
        </w:rPr>
        <w:t xml:space="preserve"> para los efectos conducentes. </w:t>
      </w:r>
      <w:bookmarkStart w:id="0" w:name="_GoBack"/>
      <w:bookmarkEnd w:id="0"/>
    </w:p>
    <w:p w14:paraId="2FBED718" w14:textId="77777777" w:rsidR="00607B3A" w:rsidRPr="00FB0D0C" w:rsidRDefault="00EA72DA" w:rsidP="00607B3A">
      <w:pPr>
        <w:autoSpaceDE w:val="0"/>
        <w:autoSpaceDN w:val="0"/>
        <w:adjustRightInd w:val="0"/>
        <w:spacing w:afterLines="120" w:after="288" w:line="240" w:lineRule="auto"/>
        <w:jc w:val="both"/>
        <w:rPr>
          <w:rFonts w:ascii="ITC Avant Garde" w:hAnsi="ITC Avant Garde"/>
          <w:bCs/>
          <w:sz w:val="21"/>
          <w:szCs w:val="21"/>
        </w:rPr>
      </w:pPr>
      <w:r w:rsidRPr="00FB0D0C">
        <w:rPr>
          <w:rFonts w:ascii="ITC Avant Garde" w:hAnsi="ITC Avant Garde"/>
          <w:b/>
          <w:bCs/>
          <w:sz w:val="21"/>
          <w:szCs w:val="21"/>
        </w:rPr>
        <w:t>CUARTO.-</w:t>
      </w:r>
      <w:r w:rsidRPr="00FB0D0C">
        <w:rPr>
          <w:rFonts w:ascii="ITC Avant Garde" w:hAnsi="ITC Avant Garde"/>
          <w:bCs/>
          <w:sz w:val="21"/>
          <w:szCs w:val="21"/>
        </w:rPr>
        <w:t xml:space="preserve"> Inscríbase la presente Resolución en el Registro Público de Concesiones, una vez que la misma sea debidamente notificada a Ultravisión, S.A. de C.V.</w:t>
      </w:r>
    </w:p>
    <w:p w14:paraId="2BAB9420" w14:textId="0E8E4FC0" w:rsidR="00411364" w:rsidRPr="00FB0D0C" w:rsidRDefault="00BE6970" w:rsidP="00607B3A">
      <w:pPr>
        <w:pStyle w:val="Prrafodelista"/>
        <w:spacing w:afterLines="120" w:after="288"/>
        <w:ind w:left="0"/>
        <w:jc w:val="both"/>
        <w:rPr>
          <w:rFonts w:ascii="ITC Avant Garde" w:hAnsi="ITC Avant Garde"/>
          <w:bCs/>
          <w:sz w:val="14"/>
          <w:szCs w:val="14"/>
        </w:rPr>
      </w:pPr>
      <w:r w:rsidRPr="00FB0D0C">
        <w:rPr>
          <w:rFonts w:ascii="ITC Avant Garde" w:hAnsi="ITC Avant Garde"/>
          <w:sz w:val="14"/>
          <w:szCs w:val="14"/>
        </w:rPr>
        <w:t xml:space="preserve">La presente Resolución fue aprobada por el Pleno del Instituto Federal de Telecomunicaciones en su XLV Sesión Ordinaria celebrada el 8 de noviembre de 2017, </w:t>
      </w:r>
      <w:r w:rsidRPr="00FB0D0C">
        <w:rPr>
          <w:rFonts w:ascii="ITC Avant Garde" w:hAnsi="ITC Avant Garde"/>
          <w:bCs/>
          <w:sz w:val="14"/>
          <w:szCs w:val="14"/>
        </w:rPr>
        <w:t xml:space="preserve">por mayoría </w:t>
      </w:r>
      <w:r w:rsidRPr="00FB0D0C">
        <w:rPr>
          <w:rFonts w:ascii="ITC Avant Garde" w:hAnsi="ITC Avant Garde"/>
          <w:sz w:val="14"/>
          <w:szCs w:val="14"/>
        </w:rPr>
        <w:t>de votos de los Comisionados Gabriel Oswaldo Contreras Saldívar, María Elena Estavillo Flores, Mario Germán Fromow Rangel, Javier Juárez Mojica y Arturo Robles Rovalo;  y con el voto en contra de la Comisionada Adriana Sofía Labardini Inzunza y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P/IFT/081117/676.</w:t>
      </w:r>
    </w:p>
    <w:sectPr w:rsidR="00411364" w:rsidRPr="00FB0D0C" w:rsidSect="00411364">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5E5B" w14:textId="77777777" w:rsidR="00AB55C1" w:rsidRDefault="00AB55C1">
      <w:pPr>
        <w:spacing w:after="0" w:line="240" w:lineRule="auto"/>
      </w:pPr>
      <w:r>
        <w:separator/>
      </w:r>
    </w:p>
  </w:endnote>
  <w:endnote w:type="continuationSeparator" w:id="0">
    <w:p w14:paraId="0586FEF6" w14:textId="77777777" w:rsidR="00AB55C1" w:rsidRDefault="00AB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472560"/>
      <w:docPartObj>
        <w:docPartGallery w:val="Page Numbers (Bottom of Page)"/>
        <w:docPartUnique/>
      </w:docPartObj>
    </w:sdtPr>
    <w:sdtEndPr>
      <w:rPr>
        <w:rFonts w:ascii="ITC Avant Garde" w:hAnsi="ITC Avant Garde"/>
        <w:sz w:val="20"/>
        <w:szCs w:val="20"/>
      </w:rPr>
    </w:sdtEndPr>
    <w:sdtContent>
      <w:p w14:paraId="5C74CFFE" w14:textId="54174DB4" w:rsidR="00411364" w:rsidRPr="00411364" w:rsidRDefault="00411364">
        <w:pPr>
          <w:pStyle w:val="Piedepgina"/>
          <w:jc w:val="right"/>
          <w:rPr>
            <w:rFonts w:ascii="ITC Avant Garde" w:hAnsi="ITC Avant Garde"/>
            <w:sz w:val="20"/>
            <w:szCs w:val="20"/>
          </w:rPr>
        </w:pPr>
        <w:r w:rsidRPr="00411364">
          <w:rPr>
            <w:rFonts w:ascii="ITC Avant Garde" w:hAnsi="ITC Avant Garde"/>
            <w:sz w:val="20"/>
            <w:szCs w:val="20"/>
          </w:rPr>
          <w:fldChar w:fldCharType="begin"/>
        </w:r>
        <w:r w:rsidRPr="00411364">
          <w:rPr>
            <w:rFonts w:ascii="ITC Avant Garde" w:hAnsi="ITC Avant Garde"/>
            <w:sz w:val="20"/>
            <w:szCs w:val="20"/>
          </w:rPr>
          <w:instrText>PAGE   \* MERGEFORMAT</w:instrText>
        </w:r>
        <w:r w:rsidRPr="00411364">
          <w:rPr>
            <w:rFonts w:ascii="ITC Avant Garde" w:hAnsi="ITC Avant Garde"/>
            <w:sz w:val="20"/>
            <w:szCs w:val="20"/>
          </w:rPr>
          <w:fldChar w:fldCharType="separate"/>
        </w:r>
        <w:r w:rsidR="00FB0D0C" w:rsidRPr="00FB0D0C">
          <w:rPr>
            <w:rFonts w:ascii="ITC Avant Garde" w:hAnsi="ITC Avant Garde"/>
            <w:noProof/>
            <w:sz w:val="20"/>
            <w:szCs w:val="20"/>
            <w:lang w:val="es-ES"/>
          </w:rPr>
          <w:t>6</w:t>
        </w:r>
        <w:r w:rsidRPr="0041136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B90BA" w14:textId="77777777" w:rsidR="00AB55C1" w:rsidRDefault="00AB55C1">
      <w:pPr>
        <w:spacing w:after="0" w:line="240" w:lineRule="auto"/>
      </w:pPr>
      <w:r>
        <w:separator/>
      </w:r>
    </w:p>
  </w:footnote>
  <w:footnote w:type="continuationSeparator" w:id="0">
    <w:p w14:paraId="5A0F49F7" w14:textId="77777777" w:rsidR="00AB55C1" w:rsidRDefault="00AB5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0441" w14:textId="77777777" w:rsidR="00EA72DA" w:rsidRDefault="00AB55C1">
    <w:pPr>
      <w:pStyle w:val="Encabezado"/>
    </w:pPr>
    <w:r>
      <w:rPr>
        <w:noProof/>
        <w:lang w:eastAsia="es-MX"/>
      </w:rPr>
      <w:pict w14:anchorId="0A25E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CE269" w14:textId="77777777" w:rsidR="00EA72DA" w:rsidRPr="000F5E4B" w:rsidRDefault="00AB55C1">
    <w:pPr>
      <w:pStyle w:val="Encabezado"/>
      <w:rPr>
        <w:b/>
      </w:rPr>
    </w:pPr>
    <w:r>
      <w:rPr>
        <w:b/>
        <w:noProof/>
        <w:lang w:eastAsia="es-MX"/>
      </w:rPr>
      <w:pict w14:anchorId="12896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61B1E57"/>
    <w:multiLevelType w:val="hybridMultilevel"/>
    <w:tmpl w:val="4B42B3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F63279"/>
    <w:multiLevelType w:val="hybridMultilevel"/>
    <w:tmpl w:val="04D4BB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 w15:restartNumberingAfterBreak="0">
    <w:nsid w:val="45EE7362"/>
    <w:multiLevelType w:val="hybridMultilevel"/>
    <w:tmpl w:val="A052E20C"/>
    <w:lvl w:ilvl="0" w:tplc="71067E38">
      <w:start w:val="1"/>
      <w:numFmt w:val="upperRoman"/>
      <w:lvlText w:val="%1."/>
      <w:lvlJc w:val="left"/>
      <w:pPr>
        <w:ind w:left="1080" w:hanging="720"/>
      </w:pPr>
      <w:rPr>
        <w:rFonts w:ascii="ITC Avant Garde" w:eastAsia="Calibri" w:hAnsi="ITC Avant Garde" w:cs="Times New Roman"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4F6722"/>
    <w:multiLevelType w:val="hybridMultilevel"/>
    <w:tmpl w:val="8E7812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5B41211A"/>
    <w:multiLevelType w:val="hybridMultilevel"/>
    <w:tmpl w:val="1B9E06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60D7519B"/>
    <w:multiLevelType w:val="multilevel"/>
    <w:tmpl w:val="C0C0FCA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28722DE"/>
    <w:multiLevelType w:val="hybridMultilevel"/>
    <w:tmpl w:val="48D0E9AE"/>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34903D3"/>
    <w:multiLevelType w:val="hybridMultilevel"/>
    <w:tmpl w:val="B568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B83B96"/>
    <w:multiLevelType w:val="hybridMultilevel"/>
    <w:tmpl w:val="C2AA7696"/>
    <w:lvl w:ilvl="0" w:tplc="D4BCAC34">
      <w:start w:val="1"/>
      <w:numFmt w:val="decimal"/>
      <w:lvlText w:val="%1."/>
      <w:lvlJc w:val="left"/>
      <w:pPr>
        <w:ind w:left="720" w:hanging="360"/>
      </w:pPr>
      <w:rPr>
        <w:rFonts w:ascii="ITC Avant Garde" w:hAnsi="ITC Avant Garde" w:cstheme="minorHAnsi"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073881"/>
    <w:multiLevelType w:val="hybridMultilevel"/>
    <w:tmpl w:val="9B7ED5A4"/>
    <w:lvl w:ilvl="0" w:tplc="B2B0BDFA">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E32C1A"/>
    <w:multiLevelType w:val="hybridMultilevel"/>
    <w:tmpl w:val="3864C9D0"/>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5"/>
  </w:num>
  <w:num w:numId="2">
    <w:abstractNumId w:val="4"/>
  </w:num>
  <w:num w:numId="3">
    <w:abstractNumId w:val="12"/>
  </w:num>
  <w:num w:numId="4">
    <w:abstractNumId w:val="0"/>
  </w:num>
  <w:num w:numId="5">
    <w:abstractNumId w:val="6"/>
  </w:num>
  <w:num w:numId="6">
    <w:abstractNumId w:val="2"/>
  </w:num>
  <w:num w:numId="7">
    <w:abstractNumId w:val="11"/>
  </w:num>
  <w:num w:numId="8">
    <w:abstractNumId w:val="13"/>
  </w:num>
  <w:num w:numId="9">
    <w:abstractNumId w:val="15"/>
  </w:num>
  <w:num w:numId="10">
    <w:abstractNumId w:val="14"/>
  </w:num>
  <w:num w:numId="11">
    <w:abstractNumId w:val="8"/>
  </w:num>
  <w:num w:numId="12">
    <w:abstractNumId w:val="1"/>
  </w:num>
  <w:num w:numId="13">
    <w:abstractNumId w:val="3"/>
  </w:num>
  <w:num w:numId="14">
    <w:abstractNumId w:val="9"/>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0C5"/>
    <w:rsid w:val="00001285"/>
    <w:rsid w:val="000012C5"/>
    <w:rsid w:val="00001EC5"/>
    <w:rsid w:val="00001FAC"/>
    <w:rsid w:val="00002A65"/>
    <w:rsid w:val="0000585A"/>
    <w:rsid w:val="00005F83"/>
    <w:rsid w:val="000061D2"/>
    <w:rsid w:val="00007C21"/>
    <w:rsid w:val="00010FC4"/>
    <w:rsid w:val="00011319"/>
    <w:rsid w:val="00013458"/>
    <w:rsid w:val="00015592"/>
    <w:rsid w:val="000233D9"/>
    <w:rsid w:val="00023870"/>
    <w:rsid w:val="000250CC"/>
    <w:rsid w:val="00025B8A"/>
    <w:rsid w:val="00026886"/>
    <w:rsid w:val="00027C2C"/>
    <w:rsid w:val="000307D9"/>
    <w:rsid w:val="00033C31"/>
    <w:rsid w:val="00036728"/>
    <w:rsid w:val="0003732E"/>
    <w:rsid w:val="0004048F"/>
    <w:rsid w:val="0004073B"/>
    <w:rsid w:val="00040B35"/>
    <w:rsid w:val="0004109F"/>
    <w:rsid w:val="0004438A"/>
    <w:rsid w:val="00047266"/>
    <w:rsid w:val="00050C7C"/>
    <w:rsid w:val="00051286"/>
    <w:rsid w:val="00051475"/>
    <w:rsid w:val="000549DF"/>
    <w:rsid w:val="00056187"/>
    <w:rsid w:val="0006059D"/>
    <w:rsid w:val="00060720"/>
    <w:rsid w:val="000622B4"/>
    <w:rsid w:val="000638D1"/>
    <w:rsid w:val="000642D3"/>
    <w:rsid w:val="00064C98"/>
    <w:rsid w:val="000663E6"/>
    <w:rsid w:val="00070ADE"/>
    <w:rsid w:val="00071F11"/>
    <w:rsid w:val="000745CD"/>
    <w:rsid w:val="00075FE8"/>
    <w:rsid w:val="000807D9"/>
    <w:rsid w:val="00080962"/>
    <w:rsid w:val="00080E8D"/>
    <w:rsid w:val="00081015"/>
    <w:rsid w:val="00083217"/>
    <w:rsid w:val="000832AA"/>
    <w:rsid w:val="00085D0E"/>
    <w:rsid w:val="00092879"/>
    <w:rsid w:val="00096DE5"/>
    <w:rsid w:val="00097785"/>
    <w:rsid w:val="000A16DA"/>
    <w:rsid w:val="000A2907"/>
    <w:rsid w:val="000A3816"/>
    <w:rsid w:val="000A4353"/>
    <w:rsid w:val="000A6294"/>
    <w:rsid w:val="000A7878"/>
    <w:rsid w:val="000B2622"/>
    <w:rsid w:val="000B34C1"/>
    <w:rsid w:val="000B3875"/>
    <w:rsid w:val="000B3BB0"/>
    <w:rsid w:val="000B3D87"/>
    <w:rsid w:val="000B7685"/>
    <w:rsid w:val="000C3AE3"/>
    <w:rsid w:val="000C5D2B"/>
    <w:rsid w:val="000D1134"/>
    <w:rsid w:val="000D2ED1"/>
    <w:rsid w:val="000D37B7"/>
    <w:rsid w:val="000D3C40"/>
    <w:rsid w:val="000D4E32"/>
    <w:rsid w:val="000E0C1B"/>
    <w:rsid w:val="000E2449"/>
    <w:rsid w:val="000E378B"/>
    <w:rsid w:val="000E4F7C"/>
    <w:rsid w:val="000E56B0"/>
    <w:rsid w:val="000E56D1"/>
    <w:rsid w:val="000F3324"/>
    <w:rsid w:val="000F3734"/>
    <w:rsid w:val="000F3D4D"/>
    <w:rsid w:val="000F6C76"/>
    <w:rsid w:val="00100DCC"/>
    <w:rsid w:val="00101BE6"/>
    <w:rsid w:val="00103AE1"/>
    <w:rsid w:val="00106838"/>
    <w:rsid w:val="00110434"/>
    <w:rsid w:val="00112CE1"/>
    <w:rsid w:val="00112D03"/>
    <w:rsid w:val="00114071"/>
    <w:rsid w:val="00114D86"/>
    <w:rsid w:val="00115B23"/>
    <w:rsid w:val="00116FB7"/>
    <w:rsid w:val="00117597"/>
    <w:rsid w:val="00120BD4"/>
    <w:rsid w:val="00120E9D"/>
    <w:rsid w:val="001212CF"/>
    <w:rsid w:val="001237ED"/>
    <w:rsid w:val="00123C96"/>
    <w:rsid w:val="00123E66"/>
    <w:rsid w:val="00125F66"/>
    <w:rsid w:val="0012630B"/>
    <w:rsid w:val="0012668A"/>
    <w:rsid w:val="00127E26"/>
    <w:rsid w:val="00131F1D"/>
    <w:rsid w:val="001402D9"/>
    <w:rsid w:val="00142818"/>
    <w:rsid w:val="001430CF"/>
    <w:rsid w:val="001444CB"/>
    <w:rsid w:val="0014534D"/>
    <w:rsid w:val="0015040B"/>
    <w:rsid w:val="00151505"/>
    <w:rsid w:val="00154C94"/>
    <w:rsid w:val="001611A5"/>
    <w:rsid w:val="00162675"/>
    <w:rsid w:val="00162F7C"/>
    <w:rsid w:val="00164640"/>
    <w:rsid w:val="00165E2E"/>
    <w:rsid w:val="001661C2"/>
    <w:rsid w:val="00166997"/>
    <w:rsid w:val="0016797D"/>
    <w:rsid w:val="00176516"/>
    <w:rsid w:val="00177E68"/>
    <w:rsid w:val="00177FCB"/>
    <w:rsid w:val="0018019C"/>
    <w:rsid w:val="001809F3"/>
    <w:rsid w:val="00183A9E"/>
    <w:rsid w:val="00183DFE"/>
    <w:rsid w:val="0018519B"/>
    <w:rsid w:val="0019077C"/>
    <w:rsid w:val="0019177D"/>
    <w:rsid w:val="00192CF3"/>
    <w:rsid w:val="00192D6C"/>
    <w:rsid w:val="001935FC"/>
    <w:rsid w:val="00193D02"/>
    <w:rsid w:val="0019596A"/>
    <w:rsid w:val="0019685A"/>
    <w:rsid w:val="00196A4A"/>
    <w:rsid w:val="0019756B"/>
    <w:rsid w:val="00197854"/>
    <w:rsid w:val="001A385F"/>
    <w:rsid w:val="001A3B30"/>
    <w:rsid w:val="001A68DC"/>
    <w:rsid w:val="001A7CEA"/>
    <w:rsid w:val="001B019E"/>
    <w:rsid w:val="001B02B0"/>
    <w:rsid w:val="001B0F26"/>
    <w:rsid w:val="001B22D3"/>
    <w:rsid w:val="001B2A9F"/>
    <w:rsid w:val="001B2DCE"/>
    <w:rsid w:val="001B3891"/>
    <w:rsid w:val="001B4290"/>
    <w:rsid w:val="001B49DD"/>
    <w:rsid w:val="001B61F6"/>
    <w:rsid w:val="001C0885"/>
    <w:rsid w:val="001C3E55"/>
    <w:rsid w:val="001C4862"/>
    <w:rsid w:val="001C49CD"/>
    <w:rsid w:val="001C4E34"/>
    <w:rsid w:val="001C50D8"/>
    <w:rsid w:val="001C689D"/>
    <w:rsid w:val="001C6A83"/>
    <w:rsid w:val="001D0F54"/>
    <w:rsid w:val="001D1C4E"/>
    <w:rsid w:val="001D29E0"/>
    <w:rsid w:val="001D2EC1"/>
    <w:rsid w:val="001D488F"/>
    <w:rsid w:val="001D63F7"/>
    <w:rsid w:val="001D7681"/>
    <w:rsid w:val="001D7887"/>
    <w:rsid w:val="001D78C5"/>
    <w:rsid w:val="001E1F26"/>
    <w:rsid w:val="001E2CA5"/>
    <w:rsid w:val="001E355F"/>
    <w:rsid w:val="001E5801"/>
    <w:rsid w:val="001E74D0"/>
    <w:rsid w:val="001E7FC5"/>
    <w:rsid w:val="001F2E30"/>
    <w:rsid w:val="001F5719"/>
    <w:rsid w:val="0020067E"/>
    <w:rsid w:val="002016F7"/>
    <w:rsid w:val="002024CA"/>
    <w:rsid w:val="00202B04"/>
    <w:rsid w:val="00203F3A"/>
    <w:rsid w:val="00205AE1"/>
    <w:rsid w:val="0020676E"/>
    <w:rsid w:val="00210F78"/>
    <w:rsid w:val="0021343B"/>
    <w:rsid w:val="00215955"/>
    <w:rsid w:val="00215FBE"/>
    <w:rsid w:val="0021633E"/>
    <w:rsid w:val="00216686"/>
    <w:rsid w:val="00220371"/>
    <w:rsid w:val="00226E1E"/>
    <w:rsid w:val="002275E8"/>
    <w:rsid w:val="002279D6"/>
    <w:rsid w:val="0023268A"/>
    <w:rsid w:val="0023291A"/>
    <w:rsid w:val="0023316E"/>
    <w:rsid w:val="002333C5"/>
    <w:rsid w:val="00240157"/>
    <w:rsid w:val="00241080"/>
    <w:rsid w:val="0024177E"/>
    <w:rsid w:val="002418D1"/>
    <w:rsid w:val="00244F59"/>
    <w:rsid w:val="002465DA"/>
    <w:rsid w:val="0024678E"/>
    <w:rsid w:val="00250695"/>
    <w:rsid w:val="00254327"/>
    <w:rsid w:val="00254EF4"/>
    <w:rsid w:val="002555F4"/>
    <w:rsid w:val="00255747"/>
    <w:rsid w:val="00257095"/>
    <w:rsid w:val="00265C20"/>
    <w:rsid w:val="002713E4"/>
    <w:rsid w:val="00271D73"/>
    <w:rsid w:val="002750A8"/>
    <w:rsid w:val="002766EF"/>
    <w:rsid w:val="00277047"/>
    <w:rsid w:val="00277791"/>
    <w:rsid w:val="00280377"/>
    <w:rsid w:val="00282264"/>
    <w:rsid w:val="0028232E"/>
    <w:rsid w:val="00282660"/>
    <w:rsid w:val="00283EB2"/>
    <w:rsid w:val="00284675"/>
    <w:rsid w:val="00286697"/>
    <w:rsid w:val="002866EA"/>
    <w:rsid w:val="00290497"/>
    <w:rsid w:val="002919E5"/>
    <w:rsid w:val="00292AAE"/>
    <w:rsid w:val="00293450"/>
    <w:rsid w:val="002942DD"/>
    <w:rsid w:val="002959C1"/>
    <w:rsid w:val="002964E0"/>
    <w:rsid w:val="002A04B8"/>
    <w:rsid w:val="002A18E1"/>
    <w:rsid w:val="002A40AB"/>
    <w:rsid w:val="002A42E5"/>
    <w:rsid w:val="002B1AC9"/>
    <w:rsid w:val="002B20A8"/>
    <w:rsid w:val="002B2C2B"/>
    <w:rsid w:val="002B4CC3"/>
    <w:rsid w:val="002B5B76"/>
    <w:rsid w:val="002B5DEC"/>
    <w:rsid w:val="002B5FC0"/>
    <w:rsid w:val="002B6972"/>
    <w:rsid w:val="002C0431"/>
    <w:rsid w:val="002C39F2"/>
    <w:rsid w:val="002C423D"/>
    <w:rsid w:val="002C48EB"/>
    <w:rsid w:val="002C60C7"/>
    <w:rsid w:val="002C7251"/>
    <w:rsid w:val="002C741A"/>
    <w:rsid w:val="002D1151"/>
    <w:rsid w:val="002D2E8F"/>
    <w:rsid w:val="002D30E4"/>
    <w:rsid w:val="002D3606"/>
    <w:rsid w:val="002D366D"/>
    <w:rsid w:val="002D3CD4"/>
    <w:rsid w:val="002D6EA6"/>
    <w:rsid w:val="002D7C16"/>
    <w:rsid w:val="002E1633"/>
    <w:rsid w:val="002E377A"/>
    <w:rsid w:val="002E4425"/>
    <w:rsid w:val="002E5FF9"/>
    <w:rsid w:val="002E7B1D"/>
    <w:rsid w:val="002F312D"/>
    <w:rsid w:val="002F3670"/>
    <w:rsid w:val="002F5806"/>
    <w:rsid w:val="002F628F"/>
    <w:rsid w:val="002F62AB"/>
    <w:rsid w:val="002F6DF0"/>
    <w:rsid w:val="00300071"/>
    <w:rsid w:val="00300229"/>
    <w:rsid w:val="00304638"/>
    <w:rsid w:val="00305335"/>
    <w:rsid w:val="00306C6A"/>
    <w:rsid w:val="00310112"/>
    <w:rsid w:val="00310114"/>
    <w:rsid w:val="003133ED"/>
    <w:rsid w:val="003138C9"/>
    <w:rsid w:val="00313FA9"/>
    <w:rsid w:val="003167F9"/>
    <w:rsid w:val="00320C9D"/>
    <w:rsid w:val="00321296"/>
    <w:rsid w:val="00322619"/>
    <w:rsid w:val="00323B1D"/>
    <w:rsid w:val="00324F17"/>
    <w:rsid w:val="00326AAB"/>
    <w:rsid w:val="00327195"/>
    <w:rsid w:val="0032733D"/>
    <w:rsid w:val="00327891"/>
    <w:rsid w:val="00330B20"/>
    <w:rsid w:val="003361A0"/>
    <w:rsid w:val="00337647"/>
    <w:rsid w:val="00342288"/>
    <w:rsid w:val="003435D0"/>
    <w:rsid w:val="00344D39"/>
    <w:rsid w:val="00345151"/>
    <w:rsid w:val="0034698D"/>
    <w:rsid w:val="00347E61"/>
    <w:rsid w:val="00347ED3"/>
    <w:rsid w:val="00350850"/>
    <w:rsid w:val="00356D8C"/>
    <w:rsid w:val="00357CC7"/>
    <w:rsid w:val="0036145E"/>
    <w:rsid w:val="00364443"/>
    <w:rsid w:val="00364883"/>
    <w:rsid w:val="00367F58"/>
    <w:rsid w:val="00372DE4"/>
    <w:rsid w:val="003749F5"/>
    <w:rsid w:val="00377077"/>
    <w:rsid w:val="003772BF"/>
    <w:rsid w:val="00380838"/>
    <w:rsid w:val="00382004"/>
    <w:rsid w:val="00383BB2"/>
    <w:rsid w:val="00385728"/>
    <w:rsid w:val="0038623F"/>
    <w:rsid w:val="003906F6"/>
    <w:rsid w:val="00392DF0"/>
    <w:rsid w:val="00397965"/>
    <w:rsid w:val="003A2E59"/>
    <w:rsid w:val="003A48A6"/>
    <w:rsid w:val="003A4F9B"/>
    <w:rsid w:val="003A52EE"/>
    <w:rsid w:val="003A6D86"/>
    <w:rsid w:val="003B04BE"/>
    <w:rsid w:val="003B287E"/>
    <w:rsid w:val="003C05C1"/>
    <w:rsid w:val="003C184D"/>
    <w:rsid w:val="003C2907"/>
    <w:rsid w:val="003C4D13"/>
    <w:rsid w:val="003C59CD"/>
    <w:rsid w:val="003C5B5E"/>
    <w:rsid w:val="003D0131"/>
    <w:rsid w:val="003D0CC6"/>
    <w:rsid w:val="003D2F8E"/>
    <w:rsid w:val="003D3B2F"/>
    <w:rsid w:val="003D431D"/>
    <w:rsid w:val="003D49D5"/>
    <w:rsid w:val="003D631F"/>
    <w:rsid w:val="003E09DF"/>
    <w:rsid w:val="003E41AD"/>
    <w:rsid w:val="003E56C0"/>
    <w:rsid w:val="003E57BD"/>
    <w:rsid w:val="003E5AEB"/>
    <w:rsid w:val="003F1130"/>
    <w:rsid w:val="003F3A84"/>
    <w:rsid w:val="003F7BD8"/>
    <w:rsid w:val="003F7F15"/>
    <w:rsid w:val="004052FB"/>
    <w:rsid w:val="00405C1A"/>
    <w:rsid w:val="00406A45"/>
    <w:rsid w:val="004077E1"/>
    <w:rsid w:val="00411364"/>
    <w:rsid w:val="00411B74"/>
    <w:rsid w:val="00412BD5"/>
    <w:rsid w:val="004132A6"/>
    <w:rsid w:val="00413F21"/>
    <w:rsid w:val="00416EF0"/>
    <w:rsid w:val="00420111"/>
    <w:rsid w:val="00430794"/>
    <w:rsid w:val="00430C93"/>
    <w:rsid w:val="0043230F"/>
    <w:rsid w:val="00432483"/>
    <w:rsid w:val="004359A9"/>
    <w:rsid w:val="00436E0F"/>
    <w:rsid w:val="004409CE"/>
    <w:rsid w:val="0044405A"/>
    <w:rsid w:val="00444158"/>
    <w:rsid w:val="00444BC2"/>
    <w:rsid w:val="004475CF"/>
    <w:rsid w:val="00450529"/>
    <w:rsid w:val="00451938"/>
    <w:rsid w:val="00451FE7"/>
    <w:rsid w:val="004522BC"/>
    <w:rsid w:val="0045412A"/>
    <w:rsid w:val="004547ED"/>
    <w:rsid w:val="00454B5A"/>
    <w:rsid w:val="00455529"/>
    <w:rsid w:val="00455C91"/>
    <w:rsid w:val="0046058C"/>
    <w:rsid w:val="00461D6D"/>
    <w:rsid w:val="00466B22"/>
    <w:rsid w:val="004677FE"/>
    <w:rsid w:val="00467E16"/>
    <w:rsid w:val="00470644"/>
    <w:rsid w:val="00472BBF"/>
    <w:rsid w:val="00472CA2"/>
    <w:rsid w:val="004747B6"/>
    <w:rsid w:val="00474D2E"/>
    <w:rsid w:val="0047581A"/>
    <w:rsid w:val="00477571"/>
    <w:rsid w:val="0048026D"/>
    <w:rsid w:val="00481FE0"/>
    <w:rsid w:val="0048522A"/>
    <w:rsid w:val="004854F5"/>
    <w:rsid w:val="00487173"/>
    <w:rsid w:val="0048765D"/>
    <w:rsid w:val="004920EF"/>
    <w:rsid w:val="00493069"/>
    <w:rsid w:val="004A17AC"/>
    <w:rsid w:val="004A1D66"/>
    <w:rsid w:val="004A1DEF"/>
    <w:rsid w:val="004A67EA"/>
    <w:rsid w:val="004B1049"/>
    <w:rsid w:val="004B2E60"/>
    <w:rsid w:val="004B30A9"/>
    <w:rsid w:val="004B6453"/>
    <w:rsid w:val="004B6775"/>
    <w:rsid w:val="004B6A7C"/>
    <w:rsid w:val="004B6C3F"/>
    <w:rsid w:val="004B6D3F"/>
    <w:rsid w:val="004C0EB4"/>
    <w:rsid w:val="004C1E47"/>
    <w:rsid w:val="004C3458"/>
    <w:rsid w:val="004C35E0"/>
    <w:rsid w:val="004C4AA4"/>
    <w:rsid w:val="004C6AAB"/>
    <w:rsid w:val="004C6B78"/>
    <w:rsid w:val="004D0368"/>
    <w:rsid w:val="004D1610"/>
    <w:rsid w:val="004D1B20"/>
    <w:rsid w:val="004D5032"/>
    <w:rsid w:val="004D56D2"/>
    <w:rsid w:val="004E06F2"/>
    <w:rsid w:val="004E1462"/>
    <w:rsid w:val="004E5188"/>
    <w:rsid w:val="004E5697"/>
    <w:rsid w:val="004E57D2"/>
    <w:rsid w:val="004E7CEA"/>
    <w:rsid w:val="004F1186"/>
    <w:rsid w:val="004F1840"/>
    <w:rsid w:val="004F209D"/>
    <w:rsid w:val="004F3F34"/>
    <w:rsid w:val="004F4C93"/>
    <w:rsid w:val="004F56F9"/>
    <w:rsid w:val="004F587F"/>
    <w:rsid w:val="004F7077"/>
    <w:rsid w:val="004F7D2E"/>
    <w:rsid w:val="0050322F"/>
    <w:rsid w:val="00503511"/>
    <w:rsid w:val="00503EA4"/>
    <w:rsid w:val="00505B7E"/>
    <w:rsid w:val="00505EC8"/>
    <w:rsid w:val="0051172F"/>
    <w:rsid w:val="00511AD1"/>
    <w:rsid w:val="00512204"/>
    <w:rsid w:val="00514413"/>
    <w:rsid w:val="00515228"/>
    <w:rsid w:val="005162E0"/>
    <w:rsid w:val="0052036C"/>
    <w:rsid w:val="005209A6"/>
    <w:rsid w:val="00521534"/>
    <w:rsid w:val="00521622"/>
    <w:rsid w:val="00522413"/>
    <w:rsid w:val="00522F67"/>
    <w:rsid w:val="005234E2"/>
    <w:rsid w:val="00525023"/>
    <w:rsid w:val="0052622B"/>
    <w:rsid w:val="00526C78"/>
    <w:rsid w:val="00530F7D"/>
    <w:rsid w:val="005314E1"/>
    <w:rsid w:val="00533B65"/>
    <w:rsid w:val="005435FB"/>
    <w:rsid w:val="00543D68"/>
    <w:rsid w:val="0054517B"/>
    <w:rsid w:val="00545263"/>
    <w:rsid w:val="00545C6B"/>
    <w:rsid w:val="00550305"/>
    <w:rsid w:val="00550DE9"/>
    <w:rsid w:val="005518E9"/>
    <w:rsid w:val="00554EF7"/>
    <w:rsid w:val="00556002"/>
    <w:rsid w:val="00556EB0"/>
    <w:rsid w:val="00560856"/>
    <w:rsid w:val="0056532D"/>
    <w:rsid w:val="00567074"/>
    <w:rsid w:val="00573BD7"/>
    <w:rsid w:val="005769B1"/>
    <w:rsid w:val="005828C5"/>
    <w:rsid w:val="00582C97"/>
    <w:rsid w:val="005833AD"/>
    <w:rsid w:val="00583D11"/>
    <w:rsid w:val="005864F6"/>
    <w:rsid w:val="00586EA8"/>
    <w:rsid w:val="005875B7"/>
    <w:rsid w:val="00587E80"/>
    <w:rsid w:val="00590E2D"/>
    <w:rsid w:val="00592ED7"/>
    <w:rsid w:val="00593A33"/>
    <w:rsid w:val="00595D82"/>
    <w:rsid w:val="00596320"/>
    <w:rsid w:val="00597752"/>
    <w:rsid w:val="005A03CA"/>
    <w:rsid w:val="005A1BAA"/>
    <w:rsid w:val="005A2B9B"/>
    <w:rsid w:val="005A3E0F"/>
    <w:rsid w:val="005A67DB"/>
    <w:rsid w:val="005A68EC"/>
    <w:rsid w:val="005B1CA2"/>
    <w:rsid w:val="005B2605"/>
    <w:rsid w:val="005B2AD2"/>
    <w:rsid w:val="005B3347"/>
    <w:rsid w:val="005B401C"/>
    <w:rsid w:val="005B4CA7"/>
    <w:rsid w:val="005B5776"/>
    <w:rsid w:val="005B65AC"/>
    <w:rsid w:val="005C1BAD"/>
    <w:rsid w:val="005C1FFE"/>
    <w:rsid w:val="005C5E39"/>
    <w:rsid w:val="005D0DCB"/>
    <w:rsid w:val="005D334A"/>
    <w:rsid w:val="005D5A45"/>
    <w:rsid w:val="005D7753"/>
    <w:rsid w:val="005E4BAA"/>
    <w:rsid w:val="005E5AF5"/>
    <w:rsid w:val="005F1011"/>
    <w:rsid w:val="005F364A"/>
    <w:rsid w:val="005F593A"/>
    <w:rsid w:val="0060097C"/>
    <w:rsid w:val="00603703"/>
    <w:rsid w:val="00604568"/>
    <w:rsid w:val="00606E07"/>
    <w:rsid w:val="00607B3A"/>
    <w:rsid w:val="00613D40"/>
    <w:rsid w:val="006152A0"/>
    <w:rsid w:val="00620B91"/>
    <w:rsid w:val="006227E9"/>
    <w:rsid w:val="00624F3C"/>
    <w:rsid w:val="006252CC"/>
    <w:rsid w:val="00625509"/>
    <w:rsid w:val="00625D33"/>
    <w:rsid w:val="00626D1C"/>
    <w:rsid w:val="00626E56"/>
    <w:rsid w:val="00633802"/>
    <w:rsid w:val="00633D0A"/>
    <w:rsid w:val="0063419A"/>
    <w:rsid w:val="00637700"/>
    <w:rsid w:val="006403EF"/>
    <w:rsid w:val="0064600E"/>
    <w:rsid w:val="006479A6"/>
    <w:rsid w:val="00653F74"/>
    <w:rsid w:val="00654463"/>
    <w:rsid w:val="006557A9"/>
    <w:rsid w:val="00657C3E"/>
    <w:rsid w:val="00661E77"/>
    <w:rsid w:val="00663434"/>
    <w:rsid w:val="006648F1"/>
    <w:rsid w:val="006661C6"/>
    <w:rsid w:val="006663B2"/>
    <w:rsid w:val="006671C7"/>
    <w:rsid w:val="006672DF"/>
    <w:rsid w:val="0067127E"/>
    <w:rsid w:val="0067208F"/>
    <w:rsid w:val="0067221B"/>
    <w:rsid w:val="00672511"/>
    <w:rsid w:val="00672CF8"/>
    <w:rsid w:val="00673874"/>
    <w:rsid w:val="0067398F"/>
    <w:rsid w:val="00675245"/>
    <w:rsid w:val="006771BE"/>
    <w:rsid w:val="006800B1"/>
    <w:rsid w:val="00681322"/>
    <w:rsid w:val="00683CB5"/>
    <w:rsid w:val="006866E3"/>
    <w:rsid w:val="00686D49"/>
    <w:rsid w:val="00690808"/>
    <w:rsid w:val="00691C61"/>
    <w:rsid w:val="006924CE"/>
    <w:rsid w:val="006927B1"/>
    <w:rsid w:val="0069428F"/>
    <w:rsid w:val="00695B29"/>
    <w:rsid w:val="00696A47"/>
    <w:rsid w:val="006A04D7"/>
    <w:rsid w:val="006A12B1"/>
    <w:rsid w:val="006A18EC"/>
    <w:rsid w:val="006A236A"/>
    <w:rsid w:val="006A2745"/>
    <w:rsid w:val="006A3782"/>
    <w:rsid w:val="006A7093"/>
    <w:rsid w:val="006A7C0B"/>
    <w:rsid w:val="006B1E2F"/>
    <w:rsid w:val="006B256D"/>
    <w:rsid w:val="006B33A6"/>
    <w:rsid w:val="006B5AD8"/>
    <w:rsid w:val="006B7B66"/>
    <w:rsid w:val="006C13C2"/>
    <w:rsid w:val="006C395F"/>
    <w:rsid w:val="006C4BD0"/>
    <w:rsid w:val="006C6786"/>
    <w:rsid w:val="006C7D38"/>
    <w:rsid w:val="006D034D"/>
    <w:rsid w:val="006D0F61"/>
    <w:rsid w:val="006D374F"/>
    <w:rsid w:val="006D7254"/>
    <w:rsid w:val="006E1A8E"/>
    <w:rsid w:val="006E36E2"/>
    <w:rsid w:val="006E4264"/>
    <w:rsid w:val="006E4A53"/>
    <w:rsid w:val="006E5BF4"/>
    <w:rsid w:val="006E6252"/>
    <w:rsid w:val="006E770B"/>
    <w:rsid w:val="006F12F7"/>
    <w:rsid w:val="006F2054"/>
    <w:rsid w:val="006F44F1"/>
    <w:rsid w:val="007037F5"/>
    <w:rsid w:val="00717963"/>
    <w:rsid w:val="00717F69"/>
    <w:rsid w:val="00721F3E"/>
    <w:rsid w:val="00722C96"/>
    <w:rsid w:val="00723081"/>
    <w:rsid w:val="007248F6"/>
    <w:rsid w:val="007251E1"/>
    <w:rsid w:val="00725A89"/>
    <w:rsid w:val="007266CF"/>
    <w:rsid w:val="00726BF6"/>
    <w:rsid w:val="00731B82"/>
    <w:rsid w:val="00733CD2"/>
    <w:rsid w:val="00736967"/>
    <w:rsid w:val="00741A64"/>
    <w:rsid w:val="00743E16"/>
    <w:rsid w:val="00745EC7"/>
    <w:rsid w:val="00747035"/>
    <w:rsid w:val="007522DE"/>
    <w:rsid w:val="007532D0"/>
    <w:rsid w:val="0075456D"/>
    <w:rsid w:val="00761848"/>
    <w:rsid w:val="0076644D"/>
    <w:rsid w:val="007676F9"/>
    <w:rsid w:val="007757BE"/>
    <w:rsid w:val="007811EA"/>
    <w:rsid w:val="00781D73"/>
    <w:rsid w:val="00781FC3"/>
    <w:rsid w:val="00782474"/>
    <w:rsid w:val="0078455C"/>
    <w:rsid w:val="007879C3"/>
    <w:rsid w:val="007909B0"/>
    <w:rsid w:val="00792939"/>
    <w:rsid w:val="00793A37"/>
    <w:rsid w:val="007950E8"/>
    <w:rsid w:val="00795F6E"/>
    <w:rsid w:val="007974A5"/>
    <w:rsid w:val="00797704"/>
    <w:rsid w:val="007978A8"/>
    <w:rsid w:val="007A0427"/>
    <w:rsid w:val="007A1BEA"/>
    <w:rsid w:val="007A2AC7"/>
    <w:rsid w:val="007A688B"/>
    <w:rsid w:val="007A6C16"/>
    <w:rsid w:val="007B1D3C"/>
    <w:rsid w:val="007B2220"/>
    <w:rsid w:val="007B4846"/>
    <w:rsid w:val="007C0C43"/>
    <w:rsid w:val="007C37E4"/>
    <w:rsid w:val="007C46A0"/>
    <w:rsid w:val="007C7569"/>
    <w:rsid w:val="007D14A3"/>
    <w:rsid w:val="007D47AA"/>
    <w:rsid w:val="007E2DB6"/>
    <w:rsid w:val="007E32D2"/>
    <w:rsid w:val="007E6585"/>
    <w:rsid w:val="007E6AFE"/>
    <w:rsid w:val="007E72B5"/>
    <w:rsid w:val="007F3E89"/>
    <w:rsid w:val="007F43C7"/>
    <w:rsid w:val="007F4B2E"/>
    <w:rsid w:val="007F6196"/>
    <w:rsid w:val="007F741F"/>
    <w:rsid w:val="007F7A48"/>
    <w:rsid w:val="00800C47"/>
    <w:rsid w:val="0080280A"/>
    <w:rsid w:val="0081256A"/>
    <w:rsid w:val="00813BAB"/>
    <w:rsid w:val="00821E1D"/>
    <w:rsid w:val="00821EA2"/>
    <w:rsid w:val="00822148"/>
    <w:rsid w:val="0082494B"/>
    <w:rsid w:val="00825041"/>
    <w:rsid w:val="00826727"/>
    <w:rsid w:val="0082780A"/>
    <w:rsid w:val="00831085"/>
    <w:rsid w:val="00832FCB"/>
    <w:rsid w:val="00836DDE"/>
    <w:rsid w:val="00836E97"/>
    <w:rsid w:val="00836F34"/>
    <w:rsid w:val="00837F4D"/>
    <w:rsid w:val="0084152C"/>
    <w:rsid w:val="008431C4"/>
    <w:rsid w:val="008460A3"/>
    <w:rsid w:val="0084645C"/>
    <w:rsid w:val="00850B02"/>
    <w:rsid w:val="0085247A"/>
    <w:rsid w:val="00861A73"/>
    <w:rsid w:val="008620CD"/>
    <w:rsid w:val="00863968"/>
    <w:rsid w:val="00863B7A"/>
    <w:rsid w:val="00863DB9"/>
    <w:rsid w:val="00864BF0"/>
    <w:rsid w:val="0086554D"/>
    <w:rsid w:val="00865981"/>
    <w:rsid w:val="008667BB"/>
    <w:rsid w:val="00870080"/>
    <w:rsid w:val="00874B33"/>
    <w:rsid w:val="00875637"/>
    <w:rsid w:val="008764C7"/>
    <w:rsid w:val="008817A1"/>
    <w:rsid w:val="00883A00"/>
    <w:rsid w:val="00884511"/>
    <w:rsid w:val="00884E48"/>
    <w:rsid w:val="00885847"/>
    <w:rsid w:val="00887B73"/>
    <w:rsid w:val="00890174"/>
    <w:rsid w:val="008916AE"/>
    <w:rsid w:val="008919B0"/>
    <w:rsid w:val="008919B5"/>
    <w:rsid w:val="00892E17"/>
    <w:rsid w:val="0089347D"/>
    <w:rsid w:val="00893597"/>
    <w:rsid w:val="00896DDF"/>
    <w:rsid w:val="008A0CDF"/>
    <w:rsid w:val="008A0D01"/>
    <w:rsid w:val="008A0D29"/>
    <w:rsid w:val="008A1F64"/>
    <w:rsid w:val="008A3261"/>
    <w:rsid w:val="008A64EE"/>
    <w:rsid w:val="008A7707"/>
    <w:rsid w:val="008B0398"/>
    <w:rsid w:val="008B0463"/>
    <w:rsid w:val="008B0D7C"/>
    <w:rsid w:val="008B1597"/>
    <w:rsid w:val="008B2912"/>
    <w:rsid w:val="008B6B17"/>
    <w:rsid w:val="008B6DFB"/>
    <w:rsid w:val="008B76BC"/>
    <w:rsid w:val="008B7BF6"/>
    <w:rsid w:val="008B7C55"/>
    <w:rsid w:val="008C2571"/>
    <w:rsid w:val="008C36E0"/>
    <w:rsid w:val="008C3B3C"/>
    <w:rsid w:val="008C45AE"/>
    <w:rsid w:val="008C73EC"/>
    <w:rsid w:val="008C740B"/>
    <w:rsid w:val="008C79C8"/>
    <w:rsid w:val="008D0CA6"/>
    <w:rsid w:val="008D2344"/>
    <w:rsid w:val="008D295D"/>
    <w:rsid w:val="008D6BD7"/>
    <w:rsid w:val="008D7237"/>
    <w:rsid w:val="008E04FC"/>
    <w:rsid w:val="008E08B5"/>
    <w:rsid w:val="008E1FD7"/>
    <w:rsid w:val="008E3459"/>
    <w:rsid w:val="008E3E9D"/>
    <w:rsid w:val="008E60A5"/>
    <w:rsid w:val="008E68A2"/>
    <w:rsid w:val="008F1A3D"/>
    <w:rsid w:val="008F2853"/>
    <w:rsid w:val="008F3DAA"/>
    <w:rsid w:val="008F416D"/>
    <w:rsid w:val="008F58A3"/>
    <w:rsid w:val="008F5A85"/>
    <w:rsid w:val="008F754A"/>
    <w:rsid w:val="0090023D"/>
    <w:rsid w:val="00901A2B"/>
    <w:rsid w:val="0090254D"/>
    <w:rsid w:val="00905E47"/>
    <w:rsid w:val="00906D4D"/>
    <w:rsid w:val="00907B31"/>
    <w:rsid w:val="0091167F"/>
    <w:rsid w:val="00911F1C"/>
    <w:rsid w:val="00912A64"/>
    <w:rsid w:val="00913B6F"/>
    <w:rsid w:val="0091427F"/>
    <w:rsid w:val="0091513F"/>
    <w:rsid w:val="009151BF"/>
    <w:rsid w:val="00916ABA"/>
    <w:rsid w:val="009244E6"/>
    <w:rsid w:val="00927AA7"/>
    <w:rsid w:val="009302C5"/>
    <w:rsid w:val="00933770"/>
    <w:rsid w:val="00936126"/>
    <w:rsid w:val="009431F8"/>
    <w:rsid w:val="00943A09"/>
    <w:rsid w:val="00943D6D"/>
    <w:rsid w:val="0094562F"/>
    <w:rsid w:val="009457D4"/>
    <w:rsid w:val="00945BCB"/>
    <w:rsid w:val="00947409"/>
    <w:rsid w:val="00947CFC"/>
    <w:rsid w:val="00950E13"/>
    <w:rsid w:val="00952140"/>
    <w:rsid w:val="00952604"/>
    <w:rsid w:val="00953127"/>
    <w:rsid w:val="009532F4"/>
    <w:rsid w:val="00956265"/>
    <w:rsid w:val="00956FA7"/>
    <w:rsid w:val="00957C15"/>
    <w:rsid w:val="0096023F"/>
    <w:rsid w:val="00960CEB"/>
    <w:rsid w:val="00962970"/>
    <w:rsid w:val="0096469B"/>
    <w:rsid w:val="00964A2C"/>
    <w:rsid w:val="009653A5"/>
    <w:rsid w:val="00965781"/>
    <w:rsid w:val="0096584E"/>
    <w:rsid w:val="00965AED"/>
    <w:rsid w:val="00965B1B"/>
    <w:rsid w:val="0096669A"/>
    <w:rsid w:val="009766D7"/>
    <w:rsid w:val="009807B4"/>
    <w:rsid w:val="0098572E"/>
    <w:rsid w:val="00985750"/>
    <w:rsid w:val="00992080"/>
    <w:rsid w:val="00992EA1"/>
    <w:rsid w:val="00993C16"/>
    <w:rsid w:val="009947AD"/>
    <w:rsid w:val="00995DB6"/>
    <w:rsid w:val="00996DDF"/>
    <w:rsid w:val="0099707D"/>
    <w:rsid w:val="009A4D3B"/>
    <w:rsid w:val="009A5E55"/>
    <w:rsid w:val="009A7EE2"/>
    <w:rsid w:val="009B11E1"/>
    <w:rsid w:val="009B29CB"/>
    <w:rsid w:val="009B6172"/>
    <w:rsid w:val="009B77BA"/>
    <w:rsid w:val="009C0015"/>
    <w:rsid w:val="009C1AE7"/>
    <w:rsid w:val="009C1EDB"/>
    <w:rsid w:val="009C255B"/>
    <w:rsid w:val="009C2CB9"/>
    <w:rsid w:val="009C36BE"/>
    <w:rsid w:val="009D50D7"/>
    <w:rsid w:val="009D5EB0"/>
    <w:rsid w:val="009E0D99"/>
    <w:rsid w:val="009E211A"/>
    <w:rsid w:val="009E3964"/>
    <w:rsid w:val="009E39A3"/>
    <w:rsid w:val="009E3C94"/>
    <w:rsid w:val="009F1242"/>
    <w:rsid w:val="009F2844"/>
    <w:rsid w:val="009F36E7"/>
    <w:rsid w:val="009F50B1"/>
    <w:rsid w:val="009F7A14"/>
    <w:rsid w:val="009F7F31"/>
    <w:rsid w:val="00A066F0"/>
    <w:rsid w:val="00A0686D"/>
    <w:rsid w:val="00A108DB"/>
    <w:rsid w:val="00A21167"/>
    <w:rsid w:val="00A25D31"/>
    <w:rsid w:val="00A25E91"/>
    <w:rsid w:val="00A3020A"/>
    <w:rsid w:val="00A30BC2"/>
    <w:rsid w:val="00A31449"/>
    <w:rsid w:val="00A31859"/>
    <w:rsid w:val="00A31B46"/>
    <w:rsid w:val="00A3225D"/>
    <w:rsid w:val="00A32AC3"/>
    <w:rsid w:val="00A33E18"/>
    <w:rsid w:val="00A360C5"/>
    <w:rsid w:val="00A36345"/>
    <w:rsid w:val="00A3761F"/>
    <w:rsid w:val="00A406AA"/>
    <w:rsid w:val="00A44332"/>
    <w:rsid w:val="00A5212F"/>
    <w:rsid w:val="00A53A89"/>
    <w:rsid w:val="00A5795E"/>
    <w:rsid w:val="00A6027A"/>
    <w:rsid w:val="00A60727"/>
    <w:rsid w:val="00A61D6E"/>
    <w:rsid w:val="00A62810"/>
    <w:rsid w:val="00A63E93"/>
    <w:rsid w:val="00A64095"/>
    <w:rsid w:val="00A72A76"/>
    <w:rsid w:val="00A7584C"/>
    <w:rsid w:val="00A762DB"/>
    <w:rsid w:val="00A770C0"/>
    <w:rsid w:val="00A77525"/>
    <w:rsid w:val="00A77554"/>
    <w:rsid w:val="00A80AB6"/>
    <w:rsid w:val="00A81450"/>
    <w:rsid w:val="00A82163"/>
    <w:rsid w:val="00A8334E"/>
    <w:rsid w:val="00A869A8"/>
    <w:rsid w:val="00A946BB"/>
    <w:rsid w:val="00A958ED"/>
    <w:rsid w:val="00A963C7"/>
    <w:rsid w:val="00AA2167"/>
    <w:rsid w:val="00AA24D3"/>
    <w:rsid w:val="00AA4530"/>
    <w:rsid w:val="00AA4F99"/>
    <w:rsid w:val="00AA6A05"/>
    <w:rsid w:val="00AA731B"/>
    <w:rsid w:val="00AA7B0A"/>
    <w:rsid w:val="00AB022E"/>
    <w:rsid w:val="00AB2F54"/>
    <w:rsid w:val="00AB39B5"/>
    <w:rsid w:val="00AB55C1"/>
    <w:rsid w:val="00AB6ABA"/>
    <w:rsid w:val="00AC15FE"/>
    <w:rsid w:val="00AC23B6"/>
    <w:rsid w:val="00AC3230"/>
    <w:rsid w:val="00AC40E6"/>
    <w:rsid w:val="00AC7A35"/>
    <w:rsid w:val="00AD054A"/>
    <w:rsid w:val="00AD0AAD"/>
    <w:rsid w:val="00AD1506"/>
    <w:rsid w:val="00AD1B83"/>
    <w:rsid w:val="00AD3DA4"/>
    <w:rsid w:val="00AD5139"/>
    <w:rsid w:val="00AD60FA"/>
    <w:rsid w:val="00AD675D"/>
    <w:rsid w:val="00AD72BC"/>
    <w:rsid w:val="00AE5AC2"/>
    <w:rsid w:val="00AE7F6D"/>
    <w:rsid w:val="00AF1B67"/>
    <w:rsid w:val="00AF259E"/>
    <w:rsid w:val="00AF2A98"/>
    <w:rsid w:val="00AF3F96"/>
    <w:rsid w:val="00AF4E0B"/>
    <w:rsid w:val="00AF61C4"/>
    <w:rsid w:val="00AF6ED2"/>
    <w:rsid w:val="00B017A6"/>
    <w:rsid w:val="00B02202"/>
    <w:rsid w:val="00B038B2"/>
    <w:rsid w:val="00B040B0"/>
    <w:rsid w:val="00B05A4B"/>
    <w:rsid w:val="00B05DCC"/>
    <w:rsid w:val="00B06F56"/>
    <w:rsid w:val="00B07C3D"/>
    <w:rsid w:val="00B10029"/>
    <w:rsid w:val="00B11035"/>
    <w:rsid w:val="00B11E0E"/>
    <w:rsid w:val="00B132CD"/>
    <w:rsid w:val="00B13DBF"/>
    <w:rsid w:val="00B13DE9"/>
    <w:rsid w:val="00B15FC1"/>
    <w:rsid w:val="00B16069"/>
    <w:rsid w:val="00B160E9"/>
    <w:rsid w:val="00B16667"/>
    <w:rsid w:val="00B20030"/>
    <w:rsid w:val="00B2042D"/>
    <w:rsid w:val="00B22010"/>
    <w:rsid w:val="00B315A8"/>
    <w:rsid w:val="00B3291A"/>
    <w:rsid w:val="00B35B0A"/>
    <w:rsid w:val="00B3614E"/>
    <w:rsid w:val="00B37BC1"/>
    <w:rsid w:val="00B41165"/>
    <w:rsid w:val="00B42345"/>
    <w:rsid w:val="00B42700"/>
    <w:rsid w:val="00B42FD8"/>
    <w:rsid w:val="00B444A5"/>
    <w:rsid w:val="00B45B16"/>
    <w:rsid w:val="00B46D6A"/>
    <w:rsid w:val="00B46EB2"/>
    <w:rsid w:val="00B510AC"/>
    <w:rsid w:val="00B51516"/>
    <w:rsid w:val="00B51AF0"/>
    <w:rsid w:val="00B52D99"/>
    <w:rsid w:val="00B55130"/>
    <w:rsid w:val="00B5664C"/>
    <w:rsid w:val="00B57BF4"/>
    <w:rsid w:val="00B57E23"/>
    <w:rsid w:val="00B6243E"/>
    <w:rsid w:val="00B632D9"/>
    <w:rsid w:val="00B64609"/>
    <w:rsid w:val="00B64DA5"/>
    <w:rsid w:val="00B66653"/>
    <w:rsid w:val="00B70A5A"/>
    <w:rsid w:val="00B744FD"/>
    <w:rsid w:val="00B7608B"/>
    <w:rsid w:val="00B76A2C"/>
    <w:rsid w:val="00B76D36"/>
    <w:rsid w:val="00B77455"/>
    <w:rsid w:val="00B805D1"/>
    <w:rsid w:val="00B83080"/>
    <w:rsid w:val="00B85C97"/>
    <w:rsid w:val="00B85F81"/>
    <w:rsid w:val="00B87E06"/>
    <w:rsid w:val="00B968A6"/>
    <w:rsid w:val="00B97F84"/>
    <w:rsid w:val="00BA0C5D"/>
    <w:rsid w:val="00BA215C"/>
    <w:rsid w:val="00BA2950"/>
    <w:rsid w:val="00BA30F9"/>
    <w:rsid w:val="00BA3390"/>
    <w:rsid w:val="00BA3762"/>
    <w:rsid w:val="00BA3EB6"/>
    <w:rsid w:val="00BA475C"/>
    <w:rsid w:val="00BA608E"/>
    <w:rsid w:val="00BB03A1"/>
    <w:rsid w:val="00BB2D0E"/>
    <w:rsid w:val="00BB35FE"/>
    <w:rsid w:val="00BB39ED"/>
    <w:rsid w:val="00BB5650"/>
    <w:rsid w:val="00BB7F95"/>
    <w:rsid w:val="00BC07BB"/>
    <w:rsid w:val="00BC2420"/>
    <w:rsid w:val="00BC30B7"/>
    <w:rsid w:val="00BC4C1D"/>
    <w:rsid w:val="00BC5425"/>
    <w:rsid w:val="00BC7208"/>
    <w:rsid w:val="00BD4C49"/>
    <w:rsid w:val="00BD4E98"/>
    <w:rsid w:val="00BD5307"/>
    <w:rsid w:val="00BD59BD"/>
    <w:rsid w:val="00BE1223"/>
    <w:rsid w:val="00BE15DD"/>
    <w:rsid w:val="00BE1B22"/>
    <w:rsid w:val="00BE22D7"/>
    <w:rsid w:val="00BE2A6A"/>
    <w:rsid w:val="00BE382A"/>
    <w:rsid w:val="00BE590E"/>
    <w:rsid w:val="00BE5E63"/>
    <w:rsid w:val="00BE6970"/>
    <w:rsid w:val="00BE7C7B"/>
    <w:rsid w:val="00BE7CB0"/>
    <w:rsid w:val="00BF30C1"/>
    <w:rsid w:val="00BF37CD"/>
    <w:rsid w:val="00BF5963"/>
    <w:rsid w:val="00BF654D"/>
    <w:rsid w:val="00BF7D03"/>
    <w:rsid w:val="00C00CC5"/>
    <w:rsid w:val="00C017A4"/>
    <w:rsid w:val="00C01E37"/>
    <w:rsid w:val="00C03572"/>
    <w:rsid w:val="00C05A8D"/>
    <w:rsid w:val="00C06791"/>
    <w:rsid w:val="00C06EE1"/>
    <w:rsid w:val="00C07793"/>
    <w:rsid w:val="00C116B5"/>
    <w:rsid w:val="00C150FF"/>
    <w:rsid w:val="00C155AD"/>
    <w:rsid w:val="00C156C4"/>
    <w:rsid w:val="00C160EC"/>
    <w:rsid w:val="00C1748D"/>
    <w:rsid w:val="00C25B5F"/>
    <w:rsid w:val="00C271F2"/>
    <w:rsid w:val="00C328DB"/>
    <w:rsid w:val="00C3403B"/>
    <w:rsid w:val="00C35C52"/>
    <w:rsid w:val="00C37FA0"/>
    <w:rsid w:val="00C41D59"/>
    <w:rsid w:val="00C41F07"/>
    <w:rsid w:val="00C430F0"/>
    <w:rsid w:val="00C432B2"/>
    <w:rsid w:val="00C45293"/>
    <w:rsid w:val="00C463BD"/>
    <w:rsid w:val="00C50B5E"/>
    <w:rsid w:val="00C50B8B"/>
    <w:rsid w:val="00C51F7E"/>
    <w:rsid w:val="00C578DA"/>
    <w:rsid w:val="00C5793F"/>
    <w:rsid w:val="00C60BAC"/>
    <w:rsid w:val="00C63680"/>
    <w:rsid w:val="00C64289"/>
    <w:rsid w:val="00C6712B"/>
    <w:rsid w:val="00C6756B"/>
    <w:rsid w:val="00C71A6E"/>
    <w:rsid w:val="00C727D3"/>
    <w:rsid w:val="00C7394A"/>
    <w:rsid w:val="00C758A4"/>
    <w:rsid w:val="00C8012D"/>
    <w:rsid w:val="00C832E4"/>
    <w:rsid w:val="00C85755"/>
    <w:rsid w:val="00C85C06"/>
    <w:rsid w:val="00C86582"/>
    <w:rsid w:val="00C921B4"/>
    <w:rsid w:val="00C949AE"/>
    <w:rsid w:val="00C9573C"/>
    <w:rsid w:val="00C97257"/>
    <w:rsid w:val="00CA3CC2"/>
    <w:rsid w:val="00CA4851"/>
    <w:rsid w:val="00CA55D8"/>
    <w:rsid w:val="00CB0327"/>
    <w:rsid w:val="00CB52BC"/>
    <w:rsid w:val="00CB5934"/>
    <w:rsid w:val="00CC02FA"/>
    <w:rsid w:val="00CC0C3D"/>
    <w:rsid w:val="00CC1EA8"/>
    <w:rsid w:val="00CC43DD"/>
    <w:rsid w:val="00CC458F"/>
    <w:rsid w:val="00CC4840"/>
    <w:rsid w:val="00CC56EE"/>
    <w:rsid w:val="00CC5967"/>
    <w:rsid w:val="00CC5EB0"/>
    <w:rsid w:val="00CC7173"/>
    <w:rsid w:val="00CD00C6"/>
    <w:rsid w:val="00CD0C37"/>
    <w:rsid w:val="00CD0F26"/>
    <w:rsid w:val="00CD3355"/>
    <w:rsid w:val="00CD4A0A"/>
    <w:rsid w:val="00CD5BA5"/>
    <w:rsid w:val="00CD5C1C"/>
    <w:rsid w:val="00CD73DB"/>
    <w:rsid w:val="00CD7C20"/>
    <w:rsid w:val="00CE1516"/>
    <w:rsid w:val="00CE1874"/>
    <w:rsid w:val="00CE20D4"/>
    <w:rsid w:val="00CE2B63"/>
    <w:rsid w:val="00CE430D"/>
    <w:rsid w:val="00CE560B"/>
    <w:rsid w:val="00CE6187"/>
    <w:rsid w:val="00CE6BAB"/>
    <w:rsid w:val="00CF0795"/>
    <w:rsid w:val="00CF0BAF"/>
    <w:rsid w:val="00CF5D58"/>
    <w:rsid w:val="00D02BFF"/>
    <w:rsid w:val="00D03F97"/>
    <w:rsid w:val="00D0575D"/>
    <w:rsid w:val="00D10048"/>
    <w:rsid w:val="00D1025D"/>
    <w:rsid w:val="00D10AB8"/>
    <w:rsid w:val="00D12B98"/>
    <w:rsid w:val="00D21FC1"/>
    <w:rsid w:val="00D23A77"/>
    <w:rsid w:val="00D2625E"/>
    <w:rsid w:val="00D27579"/>
    <w:rsid w:val="00D31454"/>
    <w:rsid w:val="00D318BA"/>
    <w:rsid w:val="00D32812"/>
    <w:rsid w:val="00D3463C"/>
    <w:rsid w:val="00D34A07"/>
    <w:rsid w:val="00D355D6"/>
    <w:rsid w:val="00D359FB"/>
    <w:rsid w:val="00D360D7"/>
    <w:rsid w:val="00D4372D"/>
    <w:rsid w:val="00D43A75"/>
    <w:rsid w:val="00D4443F"/>
    <w:rsid w:val="00D44651"/>
    <w:rsid w:val="00D47C18"/>
    <w:rsid w:val="00D53EF0"/>
    <w:rsid w:val="00D546E8"/>
    <w:rsid w:val="00D56E1F"/>
    <w:rsid w:val="00D61262"/>
    <w:rsid w:val="00D61E89"/>
    <w:rsid w:val="00D661E7"/>
    <w:rsid w:val="00D66361"/>
    <w:rsid w:val="00D67331"/>
    <w:rsid w:val="00D7196C"/>
    <w:rsid w:val="00D71999"/>
    <w:rsid w:val="00D723CD"/>
    <w:rsid w:val="00D801AF"/>
    <w:rsid w:val="00D80E91"/>
    <w:rsid w:val="00D8169E"/>
    <w:rsid w:val="00D817F7"/>
    <w:rsid w:val="00D82F2A"/>
    <w:rsid w:val="00D8376F"/>
    <w:rsid w:val="00D839C5"/>
    <w:rsid w:val="00D84352"/>
    <w:rsid w:val="00D85662"/>
    <w:rsid w:val="00D86A14"/>
    <w:rsid w:val="00D93B58"/>
    <w:rsid w:val="00D94330"/>
    <w:rsid w:val="00D9567E"/>
    <w:rsid w:val="00D96DBA"/>
    <w:rsid w:val="00DA05BB"/>
    <w:rsid w:val="00DA35C5"/>
    <w:rsid w:val="00DA6040"/>
    <w:rsid w:val="00DA79B8"/>
    <w:rsid w:val="00DB0BF0"/>
    <w:rsid w:val="00DB4ECB"/>
    <w:rsid w:val="00DC2907"/>
    <w:rsid w:val="00DC2F6E"/>
    <w:rsid w:val="00DC3750"/>
    <w:rsid w:val="00DC79B3"/>
    <w:rsid w:val="00DD5B33"/>
    <w:rsid w:val="00DD60D9"/>
    <w:rsid w:val="00DD78E3"/>
    <w:rsid w:val="00DE151D"/>
    <w:rsid w:val="00DE16A4"/>
    <w:rsid w:val="00DE1B17"/>
    <w:rsid w:val="00DE5738"/>
    <w:rsid w:val="00DE7D14"/>
    <w:rsid w:val="00DF00E5"/>
    <w:rsid w:val="00DF24C4"/>
    <w:rsid w:val="00DF3BEF"/>
    <w:rsid w:val="00DF3F94"/>
    <w:rsid w:val="00DF4DF7"/>
    <w:rsid w:val="00DF58EA"/>
    <w:rsid w:val="00DF5AA6"/>
    <w:rsid w:val="00DF63E5"/>
    <w:rsid w:val="00E0127E"/>
    <w:rsid w:val="00E014D0"/>
    <w:rsid w:val="00E01626"/>
    <w:rsid w:val="00E04520"/>
    <w:rsid w:val="00E06862"/>
    <w:rsid w:val="00E0689E"/>
    <w:rsid w:val="00E079F4"/>
    <w:rsid w:val="00E10405"/>
    <w:rsid w:val="00E11A9D"/>
    <w:rsid w:val="00E11D5A"/>
    <w:rsid w:val="00E12827"/>
    <w:rsid w:val="00E15F38"/>
    <w:rsid w:val="00E16087"/>
    <w:rsid w:val="00E1617C"/>
    <w:rsid w:val="00E16D72"/>
    <w:rsid w:val="00E17FE8"/>
    <w:rsid w:val="00E20168"/>
    <w:rsid w:val="00E20B72"/>
    <w:rsid w:val="00E20FA9"/>
    <w:rsid w:val="00E24BB9"/>
    <w:rsid w:val="00E25926"/>
    <w:rsid w:val="00E27046"/>
    <w:rsid w:val="00E27573"/>
    <w:rsid w:val="00E3084C"/>
    <w:rsid w:val="00E30D78"/>
    <w:rsid w:val="00E32ED9"/>
    <w:rsid w:val="00E33C08"/>
    <w:rsid w:val="00E33FB7"/>
    <w:rsid w:val="00E35DD1"/>
    <w:rsid w:val="00E45454"/>
    <w:rsid w:val="00E45BE5"/>
    <w:rsid w:val="00E45E47"/>
    <w:rsid w:val="00E4736C"/>
    <w:rsid w:val="00E5075A"/>
    <w:rsid w:val="00E5180A"/>
    <w:rsid w:val="00E52601"/>
    <w:rsid w:val="00E5296C"/>
    <w:rsid w:val="00E53BB5"/>
    <w:rsid w:val="00E55D28"/>
    <w:rsid w:val="00E55DC9"/>
    <w:rsid w:val="00E57470"/>
    <w:rsid w:val="00E614C6"/>
    <w:rsid w:val="00E628AC"/>
    <w:rsid w:val="00E6629A"/>
    <w:rsid w:val="00E6728F"/>
    <w:rsid w:val="00E70448"/>
    <w:rsid w:val="00E7314F"/>
    <w:rsid w:val="00E74721"/>
    <w:rsid w:val="00E7532D"/>
    <w:rsid w:val="00E77DC4"/>
    <w:rsid w:val="00E82265"/>
    <w:rsid w:val="00E8258E"/>
    <w:rsid w:val="00E83CF6"/>
    <w:rsid w:val="00E84C6B"/>
    <w:rsid w:val="00E87AD2"/>
    <w:rsid w:val="00E9024E"/>
    <w:rsid w:val="00E907E6"/>
    <w:rsid w:val="00E934F0"/>
    <w:rsid w:val="00E94E04"/>
    <w:rsid w:val="00E95DC8"/>
    <w:rsid w:val="00E968BF"/>
    <w:rsid w:val="00E96C38"/>
    <w:rsid w:val="00E97D18"/>
    <w:rsid w:val="00EA68AD"/>
    <w:rsid w:val="00EA72DA"/>
    <w:rsid w:val="00EA733E"/>
    <w:rsid w:val="00EA7FE0"/>
    <w:rsid w:val="00EB17F4"/>
    <w:rsid w:val="00EB28BE"/>
    <w:rsid w:val="00EB3A6F"/>
    <w:rsid w:val="00EB4DD5"/>
    <w:rsid w:val="00EB6A6B"/>
    <w:rsid w:val="00EB776E"/>
    <w:rsid w:val="00EB7D00"/>
    <w:rsid w:val="00EC3641"/>
    <w:rsid w:val="00EC3A52"/>
    <w:rsid w:val="00EC3C66"/>
    <w:rsid w:val="00EC6958"/>
    <w:rsid w:val="00EC7EC1"/>
    <w:rsid w:val="00ED0D01"/>
    <w:rsid w:val="00ED2C21"/>
    <w:rsid w:val="00ED3501"/>
    <w:rsid w:val="00ED5454"/>
    <w:rsid w:val="00ED5D35"/>
    <w:rsid w:val="00ED7452"/>
    <w:rsid w:val="00EE1FED"/>
    <w:rsid w:val="00EE3CED"/>
    <w:rsid w:val="00EE6094"/>
    <w:rsid w:val="00EF2FF3"/>
    <w:rsid w:val="00EF35EC"/>
    <w:rsid w:val="00EF3C36"/>
    <w:rsid w:val="00EF3EF8"/>
    <w:rsid w:val="00EF4795"/>
    <w:rsid w:val="00EF5A5D"/>
    <w:rsid w:val="00EF6DFC"/>
    <w:rsid w:val="00F00A20"/>
    <w:rsid w:val="00F00F60"/>
    <w:rsid w:val="00F02152"/>
    <w:rsid w:val="00F029AA"/>
    <w:rsid w:val="00F03907"/>
    <w:rsid w:val="00F05397"/>
    <w:rsid w:val="00F0695A"/>
    <w:rsid w:val="00F10299"/>
    <w:rsid w:val="00F11B24"/>
    <w:rsid w:val="00F12EB2"/>
    <w:rsid w:val="00F130A7"/>
    <w:rsid w:val="00F138D0"/>
    <w:rsid w:val="00F138F8"/>
    <w:rsid w:val="00F13EA7"/>
    <w:rsid w:val="00F14316"/>
    <w:rsid w:val="00F16BDB"/>
    <w:rsid w:val="00F205E4"/>
    <w:rsid w:val="00F22F7A"/>
    <w:rsid w:val="00F268C0"/>
    <w:rsid w:val="00F27102"/>
    <w:rsid w:val="00F31792"/>
    <w:rsid w:val="00F357BF"/>
    <w:rsid w:val="00F36AD5"/>
    <w:rsid w:val="00F40131"/>
    <w:rsid w:val="00F40E14"/>
    <w:rsid w:val="00F4167D"/>
    <w:rsid w:val="00F4282C"/>
    <w:rsid w:val="00F42E42"/>
    <w:rsid w:val="00F475C9"/>
    <w:rsid w:val="00F4787D"/>
    <w:rsid w:val="00F505B9"/>
    <w:rsid w:val="00F51BB7"/>
    <w:rsid w:val="00F528A9"/>
    <w:rsid w:val="00F53B8E"/>
    <w:rsid w:val="00F57225"/>
    <w:rsid w:val="00F57CF0"/>
    <w:rsid w:val="00F6169D"/>
    <w:rsid w:val="00F64F22"/>
    <w:rsid w:val="00F65540"/>
    <w:rsid w:val="00F65A81"/>
    <w:rsid w:val="00F673C7"/>
    <w:rsid w:val="00F6772D"/>
    <w:rsid w:val="00F67A2C"/>
    <w:rsid w:val="00F70E8D"/>
    <w:rsid w:val="00F7186F"/>
    <w:rsid w:val="00F71EBB"/>
    <w:rsid w:val="00F72913"/>
    <w:rsid w:val="00F7349B"/>
    <w:rsid w:val="00F73E54"/>
    <w:rsid w:val="00F77B52"/>
    <w:rsid w:val="00F83F74"/>
    <w:rsid w:val="00F84155"/>
    <w:rsid w:val="00F8427A"/>
    <w:rsid w:val="00F863A1"/>
    <w:rsid w:val="00F863BF"/>
    <w:rsid w:val="00F86AA0"/>
    <w:rsid w:val="00F90E5C"/>
    <w:rsid w:val="00F91566"/>
    <w:rsid w:val="00F942BB"/>
    <w:rsid w:val="00F94EAC"/>
    <w:rsid w:val="00F951A4"/>
    <w:rsid w:val="00F95603"/>
    <w:rsid w:val="00FA2900"/>
    <w:rsid w:val="00FA3571"/>
    <w:rsid w:val="00FA372F"/>
    <w:rsid w:val="00FB0D0C"/>
    <w:rsid w:val="00FB24F6"/>
    <w:rsid w:val="00FB2659"/>
    <w:rsid w:val="00FB3F4B"/>
    <w:rsid w:val="00FB4962"/>
    <w:rsid w:val="00FB580D"/>
    <w:rsid w:val="00FC1F46"/>
    <w:rsid w:val="00FC295D"/>
    <w:rsid w:val="00FC4639"/>
    <w:rsid w:val="00FD110D"/>
    <w:rsid w:val="00FD1DCA"/>
    <w:rsid w:val="00FD2639"/>
    <w:rsid w:val="00FD3283"/>
    <w:rsid w:val="00FD6BAA"/>
    <w:rsid w:val="00FE02D3"/>
    <w:rsid w:val="00FE2AD8"/>
    <w:rsid w:val="00FE380A"/>
    <w:rsid w:val="00FF01A6"/>
    <w:rsid w:val="00FF294A"/>
    <w:rsid w:val="00FF2D99"/>
    <w:rsid w:val="00FF385F"/>
    <w:rsid w:val="00FF4D87"/>
    <w:rsid w:val="00FF7DE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98C94CB"/>
  <w15:docId w15:val="{9E073066-B345-4B48-9982-A26B76EE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6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07B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607B3A"/>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paragraph" w:customStyle="1" w:styleId="1TitPrin">
    <w:name w:val="1TitPrin"/>
    <w:basedOn w:val="Ttulo1"/>
    <w:link w:val="1TitPrinCar"/>
    <w:autoRedefine/>
    <w:qFormat/>
    <w:rsid w:val="00607B3A"/>
    <w:pPr>
      <w:keepNext w:val="0"/>
      <w:keepLines w:val="0"/>
      <w:spacing w:before="0" w:afterLines="120" w:after="288"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607B3A"/>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607B3A"/>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607B3A"/>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F2DD-FB43-4FC3-ABEF-E2F42107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3630</Words>
  <Characters>19970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8</cp:revision>
  <cp:lastPrinted>2016-05-04T22:29:00Z</cp:lastPrinted>
  <dcterms:created xsi:type="dcterms:W3CDTF">2017-12-13T15:22:00Z</dcterms:created>
  <dcterms:modified xsi:type="dcterms:W3CDTF">2018-01-04T15:15:00Z</dcterms:modified>
</cp:coreProperties>
</file>