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A4DB" w14:textId="77777777" w:rsidR="00B156EB" w:rsidRDefault="00E05F79" w:rsidP="00B156EB">
      <w:pPr>
        <w:pStyle w:val="Ttulo1"/>
        <w:spacing w:before="240" w:after="240"/>
      </w:pPr>
      <w:r w:rsidRPr="00735FDE">
        <w:t xml:space="preserve">RESOLUCIÓN MEDIANTE LA CUAL EL PLENO DEL INSTITUTO FEDERAL DE TELECOMUNICACIONES DETERMINA Y HACE CONSTAR EL FALLO A FAVOR DEL PARTICIPANTE </w:t>
      </w:r>
      <w:r w:rsidR="005B44C3" w:rsidRPr="005B44C3">
        <w:rPr>
          <w:caps/>
          <w:noProof/>
        </w:rPr>
        <w:t>Concesi</w:t>
      </w:r>
      <w:r w:rsidR="00637254">
        <w:rPr>
          <w:caps/>
          <w:noProof/>
        </w:rPr>
        <w:t>O</w:t>
      </w:r>
      <w:r w:rsidR="005B44C3" w:rsidRPr="005B44C3">
        <w:rPr>
          <w:caps/>
          <w:noProof/>
        </w:rPr>
        <w:t>naria Comseg</w:t>
      </w:r>
      <w:r w:rsidR="005B44C3">
        <w:t>, S.A. DE C.V.</w:t>
      </w:r>
      <w:r w:rsidR="00CD4154">
        <w:t>,</w:t>
      </w:r>
      <w:r w:rsidR="005B44C3">
        <w:t xml:space="preserve"> </w:t>
      </w:r>
      <w:r w:rsidRPr="00735FDE">
        <w:t xml:space="preserve">CON NÚMERO DE FOLIO ÚNICO </w:t>
      </w:r>
      <w:r w:rsidR="005B44C3">
        <w:rPr>
          <w:noProof/>
        </w:rPr>
        <w:t>C1-440444</w:t>
      </w:r>
      <w:r w:rsidRPr="00735FDE">
        <w:t>, RESPECTO DE</w:t>
      </w:r>
      <w:r w:rsidR="00DA0FE0">
        <w:t xml:space="preserve"> LOS</w:t>
      </w:r>
      <w:r w:rsidR="00EF058D">
        <w:t xml:space="preserve"> </w:t>
      </w:r>
      <w:r w:rsidR="00CB070A">
        <w:t>BLOQUE</w:t>
      </w:r>
      <w:r w:rsidR="00BB08E6">
        <w:t>S</w:t>
      </w:r>
      <w:r w:rsidRPr="00735FDE">
        <w:t xml:space="preserve"> </w:t>
      </w:r>
      <w:r w:rsidR="005B5335">
        <w:t xml:space="preserve">NÚMEROS </w:t>
      </w:r>
      <w:r w:rsidR="005B44C3">
        <w:rPr>
          <w:noProof/>
        </w:rPr>
        <w:t>1, 2, 4, 5</w:t>
      </w:r>
      <w:r w:rsidRPr="00735FDE">
        <w:t>,</w:t>
      </w:r>
      <w:r w:rsidR="00B60440">
        <w:t xml:space="preserve"> 7, 8, 9</w:t>
      </w:r>
      <w:r w:rsidR="008C65B7">
        <w:t>, 10 Y</w:t>
      </w:r>
      <w:r w:rsidR="00B60440">
        <w:t xml:space="preserve"> 11</w:t>
      </w:r>
      <w:r w:rsidR="000B750E">
        <w:t>,</w:t>
      </w:r>
      <w:r w:rsidRPr="00735FDE">
        <w:t xml:space="preserve"> EN </w:t>
      </w:r>
      <w:r w:rsidR="00CB070A" w:rsidRPr="00CB070A">
        <w:t>LA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p>
    <w:p w14:paraId="23495900" w14:textId="77777777" w:rsidR="00B156EB" w:rsidRDefault="00E05F79" w:rsidP="00B156EB">
      <w:pPr>
        <w:pBdr>
          <w:top w:val="nil"/>
          <w:left w:val="nil"/>
          <w:bottom w:val="nil"/>
          <w:right w:val="nil"/>
          <w:between w:val="nil"/>
          <w:bar w:val="nil"/>
        </w:pBdr>
        <w:spacing w:before="240" w:after="240" w:line="240" w:lineRule="auto"/>
        <w:contextualSpacing/>
        <w:jc w:val="center"/>
        <w:outlineLvl w:val="1"/>
        <w:rPr>
          <w:rFonts w:ascii="ITC Avant Garde" w:eastAsia="Times New Roman" w:hAnsi="ITC Avant Garde" w:cs="Times"/>
          <w:b/>
          <w:lang w:eastAsia="es-MX"/>
        </w:rPr>
      </w:pPr>
      <w:r w:rsidRPr="00735FDE">
        <w:rPr>
          <w:rFonts w:ascii="ITC Avant Garde" w:eastAsia="Times New Roman" w:hAnsi="ITC Avant Garde" w:cs="Times"/>
          <w:b/>
          <w:lang w:eastAsia="es-MX"/>
        </w:rPr>
        <w:t>ANTECEDENTES</w:t>
      </w:r>
    </w:p>
    <w:p w14:paraId="4E4B347E" w14:textId="77777777" w:rsidR="00B156EB" w:rsidRDefault="00F14423" w:rsidP="00B156EB">
      <w:pPr>
        <w:pStyle w:val="Prrafodelista"/>
        <w:numPr>
          <w:ilvl w:val="0"/>
          <w:numId w:val="43"/>
        </w:numPr>
        <w:suppressAutoHyphens/>
        <w:spacing w:before="240" w:after="240"/>
        <w:ind w:left="851" w:right="51" w:hanging="491"/>
        <w:contextualSpacing/>
        <w:jc w:val="both"/>
        <w:rPr>
          <w:rFonts w:ascii="ITC Avant Garde" w:hAnsi="ITC Avant Garde"/>
          <w:color w:val="000000" w:themeColor="text1"/>
          <w:kern w:val="2"/>
          <w:sz w:val="22"/>
          <w:szCs w:val="22"/>
          <w:lang w:eastAsia="ar-SA"/>
        </w:rPr>
      </w:pPr>
      <w:r w:rsidRPr="00DA0FE0">
        <w:rPr>
          <w:rFonts w:ascii="ITC Avant Garde" w:hAnsi="ITC Avant Garde"/>
          <w:color w:val="000000" w:themeColor="text1"/>
          <w:kern w:val="2"/>
          <w:sz w:val="22"/>
          <w:szCs w:val="22"/>
          <w:lang w:eastAsia="ar-SA"/>
        </w:rPr>
        <w:t xml:space="preserve">El 11 de junio de 2013 se publicó en el </w:t>
      </w:r>
      <w:r w:rsidR="001C1D44">
        <w:rPr>
          <w:rFonts w:ascii="ITC Avant Garde" w:hAnsi="ITC Avant Garde"/>
          <w:color w:val="000000" w:themeColor="text1"/>
          <w:kern w:val="2"/>
          <w:sz w:val="22"/>
          <w:szCs w:val="22"/>
          <w:lang w:eastAsia="ar-SA"/>
        </w:rPr>
        <w:t>DOF</w:t>
      </w:r>
      <w:r w:rsidR="00746D01" w:rsidRPr="00E202DF">
        <w:rPr>
          <w:sz w:val="22"/>
          <w:szCs w:val="22"/>
          <w:vertAlign w:val="superscript"/>
        </w:rPr>
        <w:footnoteReference w:id="2"/>
      </w:r>
      <w:r w:rsidRPr="00DA0FE0">
        <w:rPr>
          <w:rFonts w:ascii="ITC Avant Garde" w:hAnsi="ITC Avant Garde"/>
          <w:color w:val="000000" w:themeColor="text1"/>
          <w:kern w:val="2"/>
          <w:sz w:val="22"/>
          <w:szCs w:val="22"/>
          <w:lang w:eastAsia="ar-SA"/>
        </w:rPr>
        <w:t xml:space="preserve"> el </w:t>
      </w:r>
      <w:r w:rsidRPr="00CD791A">
        <w:rPr>
          <w:rFonts w:ascii="ITC Avant Garde" w:hAnsi="ITC Avant Garde"/>
          <w:i/>
          <w:color w:val="000000" w:themeColor="text1"/>
          <w:kern w:val="2"/>
          <w:sz w:val="22"/>
          <w:szCs w:val="22"/>
          <w:lang w:eastAsia="ar-SA"/>
        </w:rPr>
        <w:t>“DECRETO por el que se reforman y adicionan diversas disposiciones de los artículos 6o., 7o., 27, 28, 73, 78, 94 y 105 de la Constitución Política de los Estados Unidos Mexicanos, en materia de telecomunicaciones”</w:t>
      </w:r>
      <w:r w:rsidRPr="00DA0FE0">
        <w:rPr>
          <w:rFonts w:ascii="ITC Avant Garde" w:hAnsi="ITC Avant Garde"/>
          <w:color w:val="000000" w:themeColor="text1"/>
          <w:kern w:val="2"/>
          <w:sz w:val="22"/>
          <w:szCs w:val="22"/>
          <w:lang w:eastAsia="ar-SA"/>
        </w:rPr>
        <w:t>, mediante el cual se creó al Instituto como un órgano autónomo, con personalidad jurídica y patrimonio propio.</w:t>
      </w:r>
    </w:p>
    <w:p w14:paraId="78D119B1" w14:textId="77777777" w:rsidR="00B156EB" w:rsidRDefault="00CB070A" w:rsidP="00B156EB">
      <w:pPr>
        <w:pStyle w:val="Prrafodelista"/>
        <w:numPr>
          <w:ilvl w:val="0"/>
          <w:numId w:val="43"/>
        </w:numPr>
        <w:suppressAutoHyphens/>
        <w:spacing w:before="240" w:after="240"/>
        <w:ind w:left="851" w:right="51" w:hanging="491"/>
        <w:contextualSpacing/>
        <w:jc w:val="both"/>
        <w:rPr>
          <w:rFonts w:ascii="ITC Avant Garde" w:hAnsi="ITC Avant Garde"/>
          <w:color w:val="000000" w:themeColor="text1"/>
          <w:kern w:val="2"/>
          <w:sz w:val="22"/>
          <w:szCs w:val="22"/>
          <w:lang w:eastAsia="ar-SA"/>
        </w:rPr>
      </w:pPr>
      <w:r w:rsidRPr="008B26F3">
        <w:rPr>
          <w:rFonts w:ascii="ITC Avant Garde" w:hAnsi="ITC Avant Garde"/>
          <w:color w:val="000000" w:themeColor="text1"/>
          <w:kern w:val="2"/>
          <w:sz w:val="22"/>
          <w:szCs w:val="22"/>
          <w:lang w:eastAsia="ar-SA"/>
        </w:rPr>
        <w:t xml:space="preserve">El 14 de julio de 2014 se publicó en el DOF el </w:t>
      </w:r>
      <w:r w:rsidRPr="00CD791A">
        <w:rPr>
          <w:rFonts w:ascii="ITC Avant Garde" w:hAnsi="ITC Avant Garde"/>
          <w:i/>
          <w:color w:val="000000" w:themeColor="text1"/>
          <w:kern w:val="2"/>
          <w:sz w:val="22"/>
          <w:szCs w:val="22"/>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8B26F3">
        <w:rPr>
          <w:rFonts w:ascii="ITC Avant Garde" w:hAnsi="ITC Avant Garde"/>
          <w:color w:val="000000" w:themeColor="text1"/>
          <w:kern w:val="2"/>
          <w:sz w:val="22"/>
          <w:szCs w:val="22"/>
          <w:lang w:eastAsia="ar-SA"/>
        </w:rPr>
        <w:t>, entrando en vigor la Ley el 13 de agosto de 2014.</w:t>
      </w:r>
    </w:p>
    <w:p w14:paraId="377D66FF"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El 4 de septiembre de 2014 se publicó en el DOF el “</w:t>
      </w:r>
      <w:r w:rsidRPr="000E77B1">
        <w:rPr>
          <w:rFonts w:ascii="ITC Avant Garde" w:eastAsia="Calibri" w:hAnsi="ITC Avant Garde"/>
          <w:i/>
          <w:color w:val="000000" w:themeColor="text1"/>
          <w:sz w:val="22"/>
          <w:szCs w:val="22"/>
          <w:lang w:eastAsia="es-MX"/>
        </w:rPr>
        <w:t>Estatuto Orgánico del Instituto Federal de Telecomunicaciones”</w:t>
      </w:r>
      <w:r w:rsidRPr="000E77B1">
        <w:rPr>
          <w:rFonts w:ascii="ITC Avant Garde" w:eastAsia="Calibri" w:hAnsi="ITC Avant Garde"/>
          <w:color w:val="000000" w:themeColor="text1"/>
          <w:sz w:val="22"/>
          <w:szCs w:val="22"/>
          <w:lang w:eastAsia="es-MX"/>
        </w:rPr>
        <w:t>, el cual entró en vigor el 26 de septiembre de 2014</w:t>
      </w:r>
      <w:r w:rsidR="002946F8">
        <w:rPr>
          <w:rFonts w:ascii="ITC Avant Garde" w:eastAsia="Calibri" w:hAnsi="ITC Avant Garde"/>
          <w:color w:val="000000" w:themeColor="text1"/>
          <w:sz w:val="22"/>
          <w:szCs w:val="22"/>
          <w:lang w:eastAsia="es-MX"/>
        </w:rPr>
        <w:t xml:space="preserve"> </w:t>
      </w:r>
      <w:r w:rsidR="002946F8" w:rsidRPr="00294454">
        <w:rPr>
          <w:rFonts w:ascii="ITC Avant Garde" w:eastAsia="Calibri" w:hAnsi="ITC Avant Garde"/>
          <w:color w:val="000000" w:themeColor="text1"/>
          <w:sz w:val="22"/>
          <w:szCs w:val="22"/>
          <w:lang w:eastAsia="es-MX"/>
        </w:rPr>
        <w:t xml:space="preserve">y fue modificado mediante </w:t>
      </w:r>
      <w:r w:rsidR="002946F8" w:rsidRPr="003563DC">
        <w:rPr>
          <w:rFonts w:ascii="ITC Avant Garde" w:eastAsia="Calibri" w:hAnsi="ITC Avant Garde"/>
          <w:color w:val="000000" w:themeColor="text1"/>
          <w:sz w:val="22"/>
          <w:szCs w:val="22"/>
          <w:lang w:eastAsia="es-MX"/>
        </w:rPr>
        <w:t>publicación en el mismo medio de difusi</w:t>
      </w:r>
      <w:r w:rsidR="002946F8" w:rsidRPr="0085460E">
        <w:rPr>
          <w:rFonts w:ascii="ITC Avant Garde" w:eastAsia="Calibri" w:hAnsi="ITC Avant Garde"/>
          <w:color w:val="000000" w:themeColor="text1"/>
          <w:sz w:val="22"/>
          <w:szCs w:val="22"/>
          <w:lang w:eastAsia="es-MX"/>
        </w:rPr>
        <w:t>ón</w:t>
      </w:r>
      <w:r w:rsidR="002946F8" w:rsidRPr="00294454">
        <w:rPr>
          <w:rFonts w:ascii="ITC Avant Garde" w:eastAsia="Calibri" w:hAnsi="ITC Avant Garde"/>
          <w:color w:val="000000" w:themeColor="text1"/>
          <w:sz w:val="22"/>
          <w:szCs w:val="22"/>
          <w:lang w:eastAsia="es-MX"/>
        </w:rPr>
        <w:t xml:space="preserve"> citado, el 17 de octubre de 2014, el 17 de octubre de 2016 y el 20 de</w:t>
      </w:r>
      <w:r w:rsidR="002946F8">
        <w:rPr>
          <w:rFonts w:ascii="ITC Avant Garde" w:eastAsia="Calibri" w:hAnsi="ITC Avant Garde"/>
          <w:color w:val="000000" w:themeColor="text1"/>
          <w:sz w:val="22"/>
          <w:szCs w:val="22"/>
          <w:lang w:eastAsia="es-MX"/>
        </w:rPr>
        <w:t xml:space="preserve"> julio de 2017</w:t>
      </w:r>
      <w:r w:rsidR="001C1D44">
        <w:rPr>
          <w:rFonts w:ascii="ITC Avant Garde" w:eastAsia="Calibri" w:hAnsi="ITC Avant Garde"/>
          <w:color w:val="000000" w:themeColor="text1"/>
          <w:sz w:val="22"/>
          <w:szCs w:val="22"/>
          <w:lang w:eastAsia="es-MX"/>
        </w:rPr>
        <w:t>.</w:t>
      </w:r>
    </w:p>
    <w:p w14:paraId="4DE0C1BF"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 xml:space="preserve">El 23 de agosto de 2017, </w:t>
      </w:r>
      <w:r w:rsidR="00C17F8A">
        <w:rPr>
          <w:rFonts w:ascii="ITC Avant Garde" w:eastAsia="Calibri" w:hAnsi="ITC Avant Garde"/>
          <w:color w:val="000000" w:themeColor="text1"/>
          <w:sz w:val="22"/>
          <w:szCs w:val="22"/>
          <w:lang w:eastAsia="es-MX"/>
        </w:rPr>
        <w:t xml:space="preserve">se </w:t>
      </w:r>
      <w:r w:rsidRPr="000E77B1">
        <w:rPr>
          <w:rFonts w:ascii="ITC Avant Garde" w:eastAsia="Calibri" w:hAnsi="ITC Avant Garde"/>
          <w:color w:val="000000" w:themeColor="text1"/>
          <w:sz w:val="22"/>
          <w:szCs w:val="22"/>
          <w:lang w:eastAsia="es-MX"/>
        </w:rPr>
        <w:t>aprobó el</w:t>
      </w:r>
      <w:r w:rsidRPr="000E77B1">
        <w:rPr>
          <w:rFonts w:ascii="ITC Avant Garde" w:eastAsia="Calibri" w:hAnsi="ITC Avant Garde"/>
          <w:i/>
          <w:color w:val="000000" w:themeColor="text1"/>
          <w:sz w:val="22"/>
          <w:szCs w:val="22"/>
          <w:lang w:eastAsia="es-MX"/>
        </w:rPr>
        <w:t xml:space="preserve"> “Acuerdo mediante el cual el Pleno del Instituto Federal de Telecomunicaciones aprueba y emite la Convocatoria y las Bases de Licitación Pública para Concesionar el Uso, Aprovechamiento y Explotación Comercial de 10 MHz de espectro radioeléctrico disponibles en la Banda 440-450 MHz para prestar el servicio de provisión de capacidad para sistemas de radiocomunicación</w:t>
      </w:r>
      <w:r w:rsidR="00E81222">
        <w:rPr>
          <w:rFonts w:ascii="ITC Avant Garde" w:eastAsia="Calibri" w:hAnsi="ITC Avant Garde"/>
          <w:i/>
          <w:color w:val="000000" w:themeColor="text1"/>
          <w:sz w:val="22"/>
          <w:szCs w:val="22"/>
          <w:lang w:eastAsia="es-MX"/>
        </w:rPr>
        <w:t xml:space="preserve"> privada (Licitación No. IFT-5)</w:t>
      </w:r>
      <w:r w:rsidRPr="000E77B1">
        <w:rPr>
          <w:rFonts w:ascii="ITC Avant Garde" w:eastAsia="Calibri" w:hAnsi="ITC Avant Garde"/>
          <w:color w:val="000000" w:themeColor="text1"/>
          <w:sz w:val="22"/>
          <w:szCs w:val="22"/>
          <w:lang w:eastAsia="es-MX"/>
        </w:rPr>
        <w:t>”</w:t>
      </w:r>
      <w:r w:rsidR="00C17F8A">
        <w:rPr>
          <w:rFonts w:ascii="ITC Avant Garde" w:eastAsia="Calibri" w:hAnsi="ITC Avant Garde"/>
          <w:color w:val="000000" w:themeColor="text1"/>
          <w:sz w:val="22"/>
          <w:szCs w:val="22"/>
          <w:lang w:eastAsia="es-MX"/>
        </w:rPr>
        <w:t>, el cual se identifica como Acuerdo P/IFT/230817/495</w:t>
      </w:r>
      <w:r w:rsidR="00E81222">
        <w:rPr>
          <w:rFonts w:ascii="ITC Avant Garde" w:eastAsia="Calibri" w:hAnsi="ITC Avant Garde"/>
          <w:color w:val="000000" w:themeColor="text1"/>
          <w:sz w:val="22"/>
          <w:szCs w:val="22"/>
          <w:lang w:eastAsia="es-MX"/>
        </w:rPr>
        <w:t>.</w:t>
      </w:r>
    </w:p>
    <w:p w14:paraId="34365F10"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El 28 de agosto de 2017 se publicó en el DOF la “</w:t>
      </w:r>
      <w:r w:rsidRPr="000E77B1">
        <w:rPr>
          <w:rFonts w:ascii="ITC Avant Garde" w:eastAsia="Calibri" w:hAnsi="ITC Avant Garde"/>
          <w:i/>
          <w:color w:val="000000" w:themeColor="text1"/>
          <w:sz w:val="22"/>
          <w:szCs w:val="22"/>
          <w:lang w:eastAsia="es-MX"/>
        </w:rPr>
        <w:t>Convocatoria a la Licitación Pública para Concesionar el Uso, Aprovechamiento y Explotación Comercial de 10 MHz de espectro radioeléctrico disponibles en la Banda 440-450 MHz para prestar el servicio de provisión de capacidad para sistemas de radiocomunicación</w:t>
      </w:r>
      <w:r w:rsidR="009B3BC7">
        <w:rPr>
          <w:rFonts w:ascii="ITC Avant Garde" w:eastAsia="Calibri" w:hAnsi="ITC Avant Garde"/>
          <w:i/>
          <w:color w:val="000000" w:themeColor="text1"/>
          <w:sz w:val="22"/>
          <w:szCs w:val="22"/>
          <w:lang w:eastAsia="es-MX"/>
        </w:rPr>
        <w:t xml:space="preserve"> privada (Licitación No. IFT-5)</w:t>
      </w:r>
      <w:r w:rsidRPr="000E77B1">
        <w:rPr>
          <w:rFonts w:ascii="ITC Avant Garde" w:eastAsia="Calibri" w:hAnsi="ITC Avant Garde"/>
          <w:i/>
          <w:color w:val="000000" w:themeColor="text1"/>
          <w:sz w:val="22"/>
          <w:szCs w:val="22"/>
          <w:lang w:eastAsia="es-MX"/>
        </w:rPr>
        <w:t xml:space="preserve">” </w:t>
      </w:r>
      <w:r w:rsidRPr="000E77B1">
        <w:rPr>
          <w:rFonts w:ascii="ITC Avant Garde" w:eastAsia="Calibri" w:hAnsi="ITC Avant Garde"/>
          <w:color w:val="000000" w:themeColor="text1"/>
          <w:sz w:val="22"/>
          <w:szCs w:val="22"/>
          <w:lang w:eastAsia="es-MX"/>
        </w:rPr>
        <w:t>(Convocatoria).</w:t>
      </w:r>
    </w:p>
    <w:p w14:paraId="34848D5F"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i/>
          <w:color w:val="000000" w:themeColor="text1"/>
          <w:sz w:val="22"/>
          <w:szCs w:val="22"/>
          <w:lang w:eastAsia="es-MX"/>
        </w:rPr>
      </w:pPr>
      <w:r w:rsidRPr="000E77B1">
        <w:rPr>
          <w:rFonts w:ascii="ITC Avant Garde" w:eastAsia="Calibri" w:hAnsi="ITC Avant Garde"/>
          <w:color w:val="000000" w:themeColor="text1"/>
          <w:sz w:val="22"/>
          <w:szCs w:val="22"/>
          <w:lang w:eastAsia="es-MX"/>
        </w:rPr>
        <w:t>El 28 de agosto de 2017 se publicaron en el Portal de Internet del Instituto las “</w:t>
      </w:r>
      <w:r w:rsidRPr="000E77B1">
        <w:rPr>
          <w:rFonts w:ascii="ITC Avant Garde" w:eastAsia="Calibri" w:hAnsi="ITC Avant Garde"/>
          <w:i/>
          <w:color w:val="000000" w:themeColor="text1"/>
          <w:sz w:val="22"/>
          <w:szCs w:val="22"/>
          <w:lang w:eastAsia="es-MX"/>
        </w:rPr>
        <w:t xml:space="preserve">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 </w:t>
      </w:r>
      <w:r w:rsidRPr="000E77B1">
        <w:rPr>
          <w:rFonts w:ascii="ITC Avant Garde" w:eastAsia="Calibri" w:hAnsi="ITC Avant Garde"/>
          <w:color w:val="000000" w:themeColor="text1"/>
          <w:sz w:val="22"/>
          <w:szCs w:val="22"/>
          <w:lang w:eastAsia="es-MX"/>
        </w:rPr>
        <w:t>(Bases)</w:t>
      </w:r>
      <w:r w:rsidRPr="000E77B1">
        <w:rPr>
          <w:rFonts w:ascii="ITC Avant Garde" w:eastAsia="Calibri" w:hAnsi="ITC Avant Garde"/>
          <w:i/>
          <w:color w:val="000000" w:themeColor="text1"/>
          <w:sz w:val="22"/>
          <w:szCs w:val="22"/>
          <w:lang w:eastAsia="es-MX"/>
        </w:rPr>
        <w:t>.</w:t>
      </w:r>
    </w:p>
    <w:p w14:paraId="4128067C"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lastRenderedPageBreak/>
        <w:t>Del 28 de agosto al 4 de septiembre de 2017, durante la Primera Etapa: “</w:t>
      </w:r>
      <w:r w:rsidRPr="000E77B1">
        <w:rPr>
          <w:rFonts w:ascii="ITC Avant Garde" w:eastAsia="Calibri" w:hAnsi="ITC Avant Garde"/>
          <w:i/>
          <w:color w:val="000000" w:themeColor="text1"/>
          <w:sz w:val="22"/>
          <w:szCs w:val="22"/>
          <w:lang w:eastAsia="es-MX"/>
        </w:rPr>
        <w:t>Manifestación de Interés, Preguntas y Respuestas, y Entrega de Información y Documentación</w:t>
      </w:r>
      <w:r w:rsidRPr="000E77B1">
        <w:rPr>
          <w:rFonts w:ascii="ITC Avant Garde" w:eastAsia="Calibri" w:hAnsi="ITC Avant Garde"/>
          <w:color w:val="000000" w:themeColor="text1"/>
          <w:sz w:val="22"/>
          <w:szCs w:val="22"/>
          <w:lang w:eastAsia="es-MX"/>
        </w:rPr>
        <w:t xml:space="preserve">”, de conformidad con el numeral 5.1.1 de las Bases, se realizaron manifestaciones de interés para participar en la Licitación No. IFT-5, por parte de </w:t>
      </w:r>
      <w:r w:rsidR="00583DFA">
        <w:rPr>
          <w:rFonts w:ascii="ITC Avant Garde" w:eastAsia="Calibri" w:hAnsi="ITC Avant Garde"/>
          <w:color w:val="000000" w:themeColor="text1"/>
          <w:sz w:val="22"/>
          <w:szCs w:val="22"/>
          <w:lang w:eastAsia="es-MX"/>
        </w:rPr>
        <w:t>24</w:t>
      </w:r>
      <w:r w:rsidR="00583DFA" w:rsidRPr="000E77B1">
        <w:rPr>
          <w:rFonts w:ascii="ITC Avant Garde" w:eastAsia="Calibri" w:hAnsi="ITC Avant Garde"/>
          <w:color w:val="000000" w:themeColor="text1"/>
          <w:sz w:val="22"/>
          <w:szCs w:val="22"/>
          <w:lang w:eastAsia="es-MX"/>
        </w:rPr>
        <w:t xml:space="preserve"> </w:t>
      </w:r>
      <w:r w:rsidRPr="000E77B1">
        <w:rPr>
          <w:rFonts w:ascii="ITC Avant Garde" w:eastAsia="Calibri" w:hAnsi="ITC Avant Garde"/>
          <w:color w:val="000000" w:themeColor="text1"/>
          <w:sz w:val="22"/>
          <w:szCs w:val="22"/>
          <w:lang w:eastAsia="es-MX"/>
        </w:rPr>
        <w:t xml:space="preserve">Interesados, quienes </w:t>
      </w:r>
      <w:r w:rsidR="005255EB">
        <w:rPr>
          <w:rFonts w:ascii="ITC Avant Garde" w:eastAsia="Calibri" w:hAnsi="ITC Avant Garde"/>
          <w:color w:val="000000" w:themeColor="text1"/>
          <w:sz w:val="22"/>
          <w:szCs w:val="22"/>
          <w:lang w:eastAsia="es-MX"/>
        </w:rPr>
        <w:t>proporcionaron</w:t>
      </w:r>
      <w:r w:rsidR="005255EB" w:rsidRPr="000E77B1">
        <w:rPr>
          <w:rFonts w:ascii="ITC Avant Garde" w:eastAsia="Calibri" w:hAnsi="ITC Avant Garde"/>
          <w:color w:val="000000" w:themeColor="text1"/>
          <w:sz w:val="22"/>
          <w:szCs w:val="22"/>
          <w:lang w:eastAsia="es-MX"/>
        </w:rPr>
        <w:t xml:space="preserve"> </w:t>
      </w:r>
      <w:r w:rsidRPr="000E77B1">
        <w:rPr>
          <w:rFonts w:ascii="ITC Avant Garde" w:eastAsia="Calibri" w:hAnsi="ITC Avant Garde"/>
          <w:color w:val="000000" w:themeColor="text1"/>
          <w:sz w:val="22"/>
          <w:szCs w:val="22"/>
          <w:lang w:eastAsia="es-MX"/>
        </w:rPr>
        <w:t xml:space="preserve">sus datos generales a través del </w:t>
      </w:r>
      <w:r w:rsidR="00267CFA">
        <w:rPr>
          <w:rFonts w:ascii="ITC Avant Garde" w:eastAsia="Calibri" w:hAnsi="ITC Avant Garde"/>
          <w:color w:val="000000" w:themeColor="text1"/>
          <w:sz w:val="22"/>
          <w:szCs w:val="22"/>
          <w:lang w:eastAsia="es-MX"/>
        </w:rPr>
        <w:t>SERPO</w:t>
      </w:r>
      <w:r w:rsidRPr="000E77B1">
        <w:rPr>
          <w:rFonts w:ascii="ITC Avant Garde" w:eastAsia="Calibri" w:hAnsi="ITC Avant Garde"/>
          <w:color w:val="000000" w:themeColor="text1"/>
          <w:sz w:val="22"/>
          <w:szCs w:val="22"/>
          <w:lang w:eastAsia="es-MX"/>
        </w:rPr>
        <w:t xml:space="preserve">, autentificándolos con su FIEL. </w:t>
      </w:r>
    </w:p>
    <w:p w14:paraId="4DBD2E2A"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 xml:space="preserve">Del 28 de agosto al 4 de septiembre de 2017, de conformidad con el numeral 5.1.2 de las Bases, </w:t>
      </w:r>
      <w:r w:rsidRPr="000E77B1">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0E77B1">
        <w:rPr>
          <w:rFonts w:ascii="ITC Avant Garde" w:eastAsia="Calibri" w:hAnsi="ITC Avant Garde"/>
          <w:color w:val="000000" w:themeColor="text1"/>
          <w:sz w:val="22"/>
          <w:szCs w:val="22"/>
          <w:lang w:eastAsia="es-MX"/>
        </w:rPr>
        <w:t>.</w:t>
      </w:r>
    </w:p>
    <w:p w14:paraId="4EE2812D"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 xml:space="preserve">El 6 de septiembre de 2017, </w:t>
      </w:r>
      <w:r w:rsidR="005A564B">
        <w:rPr>
          <w:rFonts w:ascii="ITC Avant Garde" w:eastAsia="Calibri" w:hAnsi="ITC Avant Garde"/>
          <w:color w:val="000000" w:themeColor="text1"/>
          <w:sz w:val="22"/>
          <w:szCs w:val="22"/>
          <w:lang w:eastAsia="es-MX"/>
        </w:rPr>
        <w:t>de conformidad con e</w:t>
      </w:r>
      <w:r w:rsidRPr="000E77B1">
        <w:rPr>
          <w:rFonts w:ascii="ITC Avant Garde" w:eastAsia="Calibri" w:hAnsi="ITC Avant Garde"/>
          <w:color w:val="000000" w:themeColor="text1"/>
          <w:sz w:val="22"/>
          <w:szCs w:val="22"/>
          <w:lang w:eastAsia="es-MX"/>
        </w:rPr>
        <w:t xml:space="preserve">l numeral 5.1.2 de las Bases, se publicaron en el Portal de Internet del Instituto las preguntas recibidas y las respuestas correspondientes, respecto de las Bases, sus Apéndices y Anexos. </w:t>
      </w:r>
    </w:p>
    <w:p w14:paraId="42D378BB"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s="Arial"/>
          <w:bCs/>
          <w:sz w:val="22"/>
          <w:szCs w:val="22"/>
          <w:bdr w:val="none" w:sz="0" w:space="0" w:color="auto" w:frame="1"/>
          <w:lang w:eastAsia="es-MX"/>
        </w:rPr>
        <w:t xml:space="preserve">Del </w:t>
      </w:r>
      <w:r w:rsidRPr="000E77B1">
        <w:rPr>
          <w:rFonts w:ascii="ITC Avant Garde" w:eastAsia="Calibri" w:hAnsi="ITC Avant Garde"/>
          <w:color w:val="000000" w:themeColor="text1"/>
          <w:sz w:val="22"/>
          <w:szCs w:val="22"/>
          <w:lang w:eastAsia="es-MX"/>
        </w:rPr>
        <w:t xml:space="preserve">6 </w:t>
      </w:r>
      <w:r w:rsidRPr="000E77B1">
        <w:rPr>
          <w:rFonts w:ascii="ITC Avant Garde" w:eastAsia="Calibri" w:hAnsi="ITC Avant Garde" w:cs="Arial"/>
          <w:bCs/>
          <w:sz w:val="22"/>
          <w:szCs w:val="22"/>
          <w:bdr w:val="none" w:sz="0" w:space="0" w:color="auto" w:frame="1"/>
          <w:lang w:eastAsia="es-MX"/>
        </w:rPr>
        <w:t>al 11 de septiembre de 2017</w:t>
      </w:r>
      <w:r w:rsidR="009023F9">
        <w:rPr>
          <w:rFonts w:ascii="ITC Avant Garde" w:eastAsia="Calibri" w:hAnsi="ITC Avant Garde" w:cs="Arial"/>
          <w:bCs/>
          <w:sz w:val="22"/>
          <w:szCs w:val="22"/>
          <w:bdr w:val="none" w:sz="0" w:space="0" w:color="auto" w:frame="1"/>
          <w:lang w:eastAsia="es-MX"/>
        </w:rPr>
        <w:t>, nueve</w:t>
      </w:r>
      <w:r w:rsidRPr="000E77B1">
        <w:rPr>
          <w:rFonts w:ascii="ITC Avant Garde" w:eastAsia="Calibri" w:hAnsi="ITC Avant Garde" w:cs="Arial"/>
          <w:bCs/>
          <w:sz w:val="22"/>
          <w:szCs w:val="22"/>
          <w:bdr w:val="none" w:sz="0" w:space="0" w:color="auto" w:frame="1"/>
          <w:lang w:eastAsia="es-MX"/>
        </w:rPr>
        <w:t xml:space="preserve"> Interesados realizaron el ingreso de información y carga de documentación, vía electrónica a través del SERPO, respecto de los formularios correspondientes al Apéndice A y sus Anexos, así como del Apéndice E de las Bases, conforme al </w:t>
      </w:r>
      <w:r w:rsidRPr="000E77B1">
        <w:rPr>
          <w:rFonts w:ascii="ITC Avant Garde" w:hAnsi="ITC Avant Garde"/>
          <w:i/>
          <w:sz w:val="22"/>
          <w:szCs w:val="22"/>
        </w:rPr>
        <w:t>Manual del Procedimiento de Registro y Entrega de Información y Documentación</w:t>
      </w:r>
      <w:r w:rsidRPr="000E77B1">
        <w:rPr>
          <w:rFonts w:ascii="ITC Avant Garde" w:eastAsia="Calibri" w:hAnsi="ITC Avant Garde" w:cs="Arial"/>
          <w:bCs/>
          <w:sz w:val="22"/>
          <w:szCs w:val="22"/>
          <w:bdr w:val="none" w:sz="0" w:space="0" w:color="auto" w:frame="1"/>
          <w:lang w:eastAsia="es-MX"/>
        </w:rPr>
        <w:t>, en los términos establecidos en el numeral 5.1.3 de las Bases</w:t>
      </w:r>
      <w:r w:rsidRPr="000E77B1">
        <w:rPr>
          <w:rFonts w:ascii="ITC Avant Garde" w:eastAsia="Calibri" w:hAnsi="ITC Avant Garde"/>
          <w:color w:val="000000" w:themeColor="text1"/>
          <w:sz w:val="22"/>
          <w:szCs w:val="22"/>
          <w:lang w:eastAsia="es-MX"/>
        </w:rPr>
        <w:t xml:space="preserve">. </w:t>
      </w:r>
    </w:p>
    <w:p w14:paraId="27129762"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D65330">
        <w:rPr>
          <w:rFonts w:ascii="ITC Avant Garde" w:eastAsia="Calibri" w:hAnsi="ITC Avant Garde"/>
          <w:color w:val="000000" w:themeColor="text1"/>
          <w:sz w:val="22"/>
          <w:szCs w:val="22"/>
          <w:lang w:eastAsia="es-MX"/>
        </w:rPr>
        <w:t>El 15 de septiembre de 2017, de conformidad con el numeral 5.1.5 de las Bases, el Insti</w:t>
      </w:r>
      <w:r w:rsidR="00C17F8A">
        <w:rPr>
          <w:rFonts w:ascii="ITC Avant Garde" w:eastAsia="Calibri" w:hAnsi="ITC Avant Garde"/>
          <w:color w:val="000000" w:themeColor="text1"/>
          <w:sz w:val="22"/>
          <w:szCs w:val="22"/>
          <w:lang w:eastAsia="es-MX"/>
        </w:rPr>
        <w:t>tuto notificó a los Interesados</w:t>
      </w:r>
      <w:r w:rsidRPr="00D65330">
        <w:rPr>
          <w:rFonts w:ascii="ITC Avant Garde" w:eastAsia="Calibri" w:hAnsi="ITC Avant Garde"/>
          <w:color w:val="000000" w:themeColor="text1"/>
          <w:sz w:val="22"/>
          <w:szCs w:val="22"/>
          <w:lang w:eastAsia="es-MX"/>
        </w:rPr>
        <w:t xml:space="preserve"> a través del SERPO, las prevenciones formuladas respecto de </w:t>
      </w:r>
      <w:r w:rsidR="00875A18" w:rsidRPr="00D65330">
        <w:rPr>
          <w:rFonts w:ascii="ITC Avant Garde" w:eastAsia="Calibri" w:hAnsi="ITC Avant Garde"/>
          <w:color w:val="000000" w:themeColor="text1"/>
          <w:sz w:val="22"/>
          <w:szCs w:val="22"/>
          <w:lang w:eastAsia="es-MX"/>
        </w:rPr>
        <w:t xml:space="preserve">la </w:t>
      </w:r>
      <w:r w:rsidRPr="00D65330">
        <w:rPr>
          <w:rFonts w:ascii="ITC Avant Garde" w:eastAsia="Calibri" w:hAnsi="ITC Avant Garde"/>
          <w:color w:val="000000" w:themeColor="text1"/>
          <w:sz w:val="22"/>
          <w:szCs w:val="22"/>
          <w:lang w:eastAsia="es-MX"/>
        </w:rPr>
        <w:t xml:space="preserve">información y/o documentación faltante o que no hubiera cumplido con los requisitos contemplados en las Bases, los Apéndices A y E, y </w:t>
      </w:r>
      <w:r w:rsidR="00722F67">
        <w:rPr>
          <w:rFonts w:ascii="ITC Avant Garde" w:eastAsia="Calibri" w:hAnsi="ITC Avant Garde"/>
          <w:color w:val="000000" w:themeColor="text1"/>
          <w:sz w:val="22"/>
          <w:szCs w:val="22"/>
          <w:lang w:eastAsia="es-MX"/>
        </w:rPr>
        <w:t xml:space="preserve">sus </w:t>
      </w:r>
      <w:r w:rsidRPr="00D65330">
        <w:rPr>
          <w:rFonts w:ascii="ITC Avant Garde" w:eastAsia="Calibri" w:hAnsi="ITC Avant Garde"/>
          <w:color w:val="000000" w:themeColor="text1"/>
          <w:sz w:val="22"/>
          <w:szCs w:val="22"/>
          <w:lang w:eastAsia="es-MX"/>
        </w:rPr>
        <w:t>Anexos.</w:t>
      </w:r>
    </w:p>
    <w:p w14:paraId="17F8B236" w14:textId="77777777" w:rsidR="00B156EB" w:rsidRDefault="009023F9"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Pr>
          <w:rFonts w:ascii="ITC Avant Garde" w:eastAsia="Calibri" w:hAnsi="ITC Avant Garde"/>
          <w:color w:val="000000" w:themeColor="text1"/>
          <w:sz w:val="22"/>
          <w:szCs w:val="22"/>
          <w:lang w:eastAsia="es-MX"/>
        </w:rPr>
        <w:t>M</w:t>
      </w:r>
      <w:r w:rsidR="00CB070A" w:rsidRPr="000E77B1">
        <w:rPr>
          <w:rFonts w:ascii="ITC Avant Garde" w:eastAsia="Calibri" w:hAnsi="ITC Avant Garde"/>
          <w:color w:val="000000" w:themeColor="text1"/>
          <w:sz w:val="22"/>
          <w:szCs w:val="22"/>
          <w:lang w:eastAsia="es-MX"/>
        </w:rPr>
        <w:t xml:space="preserve">ediante el oficio IFT/200/P/129/2017, </w:t>
      </w:r>
      <w:r>
        <w:rPr>
          <w:rFonts w:ascii="ITC Avant Garde" w:eastAsia="Calibri" w:hAnsi="ITC Avant Garde"/>
          <w:color w:val="000000" w:themeColor="text1"/>
          <w:sz w:val="22"/>
          <w:szCs w:val="22"/>
          <w:lang w:eastAsia="es-MX"/>
        </w:rPr>
        <w:t>de fecha</w:t>
      </w:r>
      <w:r w:rsidRPr="000E77B1">
        <w:rPr>
          <w:rFonts w:ascii="ITC Avant Garde" w:eastAsia="Calibri" w:hAnsi="ITC Avant Garde"/>
          <w:color w:val="000000" w:themeColor="text1"/>
          <w:sz w:val="22"/>
          <w:szCs w:val="22"/>
          <w:lang w:eastAsia="es-MX"/>
        </w:rPr>
        <w:t xml:space="preserve"> 15 de septiembre de 2017, </w:t>
      </w:r>
      <w:r w:rsidR="00CB070A" w:rsidRPr="000E77B1">
        <w:rPr>
          <w:rFonts w:ascii="ITC Avant Garde" w:eastAsia="Calibri" w:hAnsi="ITC Avant Garde"/>
          <w:color w:val="000000" w:themeColor="text1"/>
          <w:sz w:val="22"/>
          <w:szCs w:val="22"/>
          <w:lang w:eastAsia="es-MX"/>
        </w:rPr>
        <w:t>el Instituto solicitó a la Secretaría de Comunicaciones y Transportes</w:t>
      </w:r>
      <w:r w:rsidR="0081477A">
        <w:rPr>
          <w:rFonts w:ascii="ITC Avant Garde" w:eastAsia="Calibri" w:hAnsi="ITC Avant Garde"/>
          <w:color w:val="000000" w:themeColor="text1"/>
          <w:sz w:val="22"/>
          <w:szCs w:val="22"/>
          <w:lang w:eastAsia="es-MX"/>
        </w:rPr>
        <w:t xml:space="preserve"> (SCT)</w:t>
      </w:r>
      <w:r w:rsidR="00CB070A" w:rsidRPr="000E77B1">
        <w:rPr>
          <w:rFonts w:ascii="ITC Avant Garde" w:eastAsia="Calibri" w:hAnsi="ITC Avant Garde"/>
          <w:color w:val="000000" w:themeColor="text1"/>
          <w:sz w:val="22"/>
          <w:szCs w:val="22"/>
          <w:lang w:eastAsia="es-MX"/>
        </w:rPr>
        <w:t xml:space="preserve"> la emisión de opinión técnica no vinculante </w:t>
      </w:r>
      <w:r w:rsidR="001E1DA2">
        <w:rPr>
          <w:rFonts w:ascii="ITC Avant Garde" w:eastAsia="Calibri" w:hAnsi="ITC Avant Garde"/>
          <w:color w:val="000000" w:themeColor="text1"/>
          <w:sz w:val="22"/>
          <w:szCs w:val="22"/>
          <w:lang w:eastAsia="es-MX"/>
        </w:rPr>
        <w:t>en relación a</w:t>
      </w:r>
      <w:r w:rsidR="00CB070A" w:rsidRPr="000E77B1">
        <w:rPr>
          <w:rFonts w:ascii="ITC Avant Garde" w:eastAsia="Calibri" w:hAnsi="ITC Avant Garde"/>
          <w:color w:val="000000" w:themeColor="text1"/>
          <w:sz w:val="22"/>
          <w:szCs w:val="22"/>
          <w:lang w:eastAsia="es-MX"/>
        </w:rPr>
        <w:t xml:space="preserve">l posible otorgamiento de los títulos de Concesión Única para </w:t>
      </w:r>
      <w:r w:rsidR="002546C4">
        <w:rPr>
          <w:rFonts w:ascii="ITC Avant Garde" w:eastAsia="Calibri" w:hAnsi="ITC Avant Garde"/>
          <w:color w:val="000000" w:themeColor="text1"/>
          <w:sz w:val="22"/>
          <w:szCs w:val="22"/>
          <w:lang w:eastAsia="es-MX"/>
        </w:rPr>
        <w:t>Uso Comercial y de Concesión de</w:t>
      </w:r>
      <w:r w:rsidR="00CB070A" w:rsidRPr="000E77B1">
        <w:rPr>
          <w:rFonts w:ascii="ITC Avant Garde" w:eastAsia="Calibri" w:hAnsi="ITC Avant Garde"/>
          <w:color w:val="000000" w:themeColor="text1"/>
          <w:sz w:val="22"/>
          <w:szCs w:val="22"/>
          <w:lang w:eastAsia="es-MX"/>
        </w:rPr>
        <w:t xml:space="preserve"> Espectro Radioeléctrico para Uso Comercial</w:t>
      </w:r>
      <w:r w:rsidR="00C17F8A">
        <w:rPr>
          <w:rFonts w:ascii="ITC Avant Garde" w:eastAsia="Calibri" w:hAnsi="ITC Avant Garde"/>
          <w:color w:val="000000" w:themeColor="text1"/>
          <w:sz w:val="22"/>
          <w:szCs w:val="22"/>
          <w:lang w:eastAsia="es-MX"/>
        </w:rPr>
        <w:t>,</w:t>
      </w:r>
      <w:r w:rsidR="00CB070A" w:rsidRPr="000E77B1">
        <w:rPr>
          <w:rFonts w:ascii="ITC Avant Garde" w:eastAsia="Calibri" w:hAnsi="ITC Avant Garde"/>
          <w:color w:val="000000" w:themeColor="text1"/>
          <w:sz w:val="22"/>
          <w:szCs w:val="22"/>
          <w:lang w:eastAsia="es-MX"/>
        </w:rPr>
        <w:t xml:space="preserve"> </w:t>
      </w:r>
      <w:r w:rsidR="00C17F8A">
        <w:rPr>
          <w:rFonts w:ascii="ITC Avant Garde" w:eastAsia="Calibri" w:hAnsi="ITC Avant Garde"/>
          <w:color w:val="000000" w:themeColor="text1"/>
          <w:sz w:val="22"/>
          <w:szCs w:val="22"/>
          <w:lang w:eastAsia="es-MX"/>
        </w:rPr>
        <w:t>respecto de</w:t>
      </w:r>
      <w:r w:rsidR="00CB070A" w:rsidRPr="000E77B1">
        <w:rPr>
          <w:rFonts w:ascii="ITC Avant Garde" w:eastAsia="Calibri" w:hAnsi="ITC Avant Garde"/>
          <w:color w:val="000000" w:themeColor="text1"/>
          <w:sz w:val="22"/>
          <w:szCs w:val="22"/>
          <w:lang w:eastAsia="es-MX"/>
        </w:rPr>
        <w:t xml:space="preserve"> los Interesados que entregaron información relativa al procedimiento autenticándola con su FIEL en la Licitación No. IFT-5.</w:t>
      </w:r>
    </w:p>
    <w:p w14:paraId="46310B94"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 xml:space="preserve">El 19 de septiembre de 2017 el Pleno del Instituto emitió </w:t>
      </w:r>
      <w:r w:rsidR="00975B58" w:rsidRPr="000E77B1">
        <w:rPr>
          <w:rFonts w:ascii="ITC Avant Garde" w:eastAsia="Calibri" w:hAnsi="ITC Avant Garde"/>
          <w:color w:val="000000" w:themeColor="text1"/>
          <w:sz w:val="22"/>
          <w:szCs w:val="22"/>
          <w:lang w:eastAsia="es-MX"/>
        </w:rPr>
        <w:t xml:space="preserve">el </w:t>
      </w:r>
      <w:r w:rsidRPr="000E77B1">
        <w:rPr>
          <w:rFonts w:ascii="ITC Avant Garde" w:eastAsia="Calibri" w:hAnsi="ITC Avant Garde"/>
          <w:color w:val="000000" w:themeColor="text1"/>
          <w:sz w:val="22"/>
          <w:szCs w:val="22"/>
          <w:lang w:eastAsia="es-MX"/>
        </w:rPr>
        <w:t>Acuerdo P/IFT/EXT/190917/173, mediante el c</w:t>
      </w:r>
      <w:r w:rsidR="001E1DA2">
        <w:rPr>
          <w:rFonts w:ascii="ITC Avant Garde" w:eastAsia="Calibri" w:hAnsi="ITC Avant Garde"/>
          <w:color w:val="000000" w:themeColor="text1"/>
          <w:sz w:val="22"/>
          <w:szCs w:val="22"/>
          <w:lang w:eastAsia="es-MX"/>
        </w:rPr>
        <w:t>ual determinó suspender labores por causa de fuerza mayor</w:t>
      </w:r>
      <w:r w:rsidRPr="000E77B1">
        <w:rPr>
          <w:rFonts w:ascii="ITC Avant Garde" w:eastAsia="Calibri" w:hAnsi="ITC Avant Garde"/>
          <w:color w:val="000000" w:themeColor="text1"/>
          <w:sz w:val="22"/>
          <w:szCs w:val="22"/>
          <w:lang w:eastAsia="es-MX"/>
        </w:rPr>
        <w:t xml:space="preserve"> en todas las áreas administrativas del Instituto los días miércoles 20 y jueves 21 de septiembre de 2017, por lo que en esas fechas, de conformidad con lo dispuesto en el artículo 28</w:t>
      </w:r>
      <w:r w:rsidR="00C651A6">
        <w:rPr>
          <w:rFonts w:ascii="ITC Avant Garde" w:eastAsia="Calibri" w:hAnsi="ITC Avant Garde"/>
          <w:color w:val="000000" w:themeColor="text1"/>
          <w:sz w:val="22"/>
          <w:szCs w:val="22"/>
          <w:lang w:eastAsia="es-MX"/>
        </w:rPr>
        <w:t>,</w:t>
      </w:r>
      <w:r w:rsidRPr="000E77B1">
        <w:rPr>
          <w:rFonts w:ascii="ITC Avant Garde" w:eastAsia="Calibri" w:hAnsi="ITC Avant Garde"/>
          <w:color w:val="000000" w:themeColor="text1"/>
          <w:sz w:val="22"/>
          <w:szCs w:val="22"/>
          <w:lang w:eastAsia="es-MX"/>
        </w:rPr>
        <w:t xml:space="preserve"> párrafo tercero de la Ley Federal de Procedimiento Administrativo</w:t>
      </w:r>
      <w:r w:rsidR="00C651A6">
        <w:rPr>
          <w:rFonts w:ascii="ITC Avant Garde" w:eastAsia="Calibri" w:hAnsi="ITC Avant Garde"/>
          <w:color w:val="000000" w:themeColor="text1"/>
          <w:sz w:val="22"/>
          <w:szCs w:val="22"/>
          <w:lang w:eastAsia="es-MX"/>
        </w:rPr>
        <w:t xml:space="preserve"> (LFPA)</w:t>
      </w:r>
      <w:r w:rsidRPr="000E77B1">
        <w:rPr>
          <w:rFonts w:ascii="ITC Avant Garde" w:eastAsia="Calibri" w:hAnsi="ITC Avant Garde"/>
          <w:color w:val="000000" w:themeColor="text1"/>
          <w:sz w:val="22"/>
          <w:szCs w:val="22"/>
          <w:lang w:eastAsia="es-MX"/>
        </w:rPr>
        <w:t xml:space="preserve"> no corrieron los términos de Ley.</w:t>
      </w:r>
    </w:p>
    <w:p w14:paraId="2E0456F3" w14:textId="77777777" w:rsidR="00B156EB" w:rsidRDefault="00CB070A"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 xml:space="preserve">El 21 de septiembre de 2017 el Pleno del Instituto emitió </w:t>
      </w:r>
      <w:r w:rsidR="00975B58" w:rsidRPr="000E77B1">
        <w:rPr>
          <w:rFonts w:ascii="ITC Avant Garde" w:eastAsia="Calibri" w:hAnsi="ITC Avant Garde"/>
          <w:color w:val="000000" w:themeColor="text1"/>
          <w:sz w:val="22"/>
          <w:szCs w:val="22"/>
          <w:lang w:eastAsia="es-MX"/>
        </w:rPr>
        <w:t xml:space="preserve">el </w:t>
      </w:r>
      <w:r w:rsidRPr="000E77B1">
        <w:rPr>
          <w:rFonts w:ascii="ITC Avant Garde" w:eastAsia="Calibri" w:hAnsi="ITC Avant Garde"/>
          <w:color w:val="000000" w:themeColor="text1"/>
          <w:sz w:val="22"/>
          <w:szCs w:val="22"/>
          <w:lang w:eastAsia="es-MX"/>
        </w:rPr>
        <w:t>Acuerdo P/IFT/EXT/210917/174, mediante el c</w:t>
      </w:r>
      <w:r w:rsidR="001E1DA2">
        <w:rPr>
          <w:rFonts w:ascii="ITC Avant Garde" w:eastAsia="Calibri" w:hAnsi="ITC Avant Garde"/>
          <w:color w:val="000000" w:themeColor="text1"/>
          <w:sz w:val="22"/>
          <w:szCs w:val="22"/>
          <w:lang w:eastAsia="es-MX"/>
        </w:rPr>
        <w:t>ual determinó suspender labores por causa de fuerza mayor</w:t>
      </w:r>
      <w:r w:rsidRPr="000E77B1">
        <w:rPr>
          <w:rFonts w:ascii="ITC Avant Garde" w:eastAsia="Calibri" w:hAnsi="ITC Avant Garde"/>
          <w:color w:val="000000" w:themeColor="text1"/>
          <w:sz w:val="22"/>
          <w:szCs w:val="22"/>
          <w:lang w:eastAsia="es-MX"/>
        </w:rPr>
        <w:t xml:space="preserve"> en todas las áreas administrativas del Instituto el día viernes 22 de septiembre de 2017, por lo que en esa fecha, de conformidad con lo dispuesto en el artículo 28</w:t>
      </w:r>
      <w:r w:rsidR="00C651A6">
        <w:rPr>
          <w:rFonts w:ascii="ITC Avant Garde" w:eastAsia="Calibri" w:hAnsi="ITC Avant Garde"/>
          <w:color w:val="000000" w:themeColor="text1"/>
          <w:sz w:val="22"/>
          <w:szCs w:val="22"/>
          <w:lang w:eastAsia="es-MX"/>
        </w:rPr>
        <w:t>,</w:t>
      </w:r>
      <w:r w:rsidRPr="000E77B1">
        <w:rPr>
          <w:rFonts w:ascii="ITC Avant Garde" w:eastAsia="Calibri" w:hAnsi="ITC Avant Garde"/>
          <w:color w:val="000000" w:themeColor="text1"/>
          <w:sz w:val="22"/>
          <w:szCs w:val="22"/>
          <w:lang w:eastAsia="es-MX"/>
        </w:rPr>
        <w:t xml:space="preserve"> párrafo tercero de la </w:t>
      </w:r>
      <w:r w:rsidR="00C651A6">
        <w:rPr>
          <w:rFonts w:ascii="ITC Avant Garde" w:eastAsia="Calibri" w:hAnsi="ITC Avant Garde"/>
          <w:color w:val="000000" w:themeColor="text1"/>
          <w:sz w:val="22"/>
          <w:szCs w:val="22"/>
          <w:lang w:eastAsia="es-MX"/>
        </w:rPr>
        <w:t>LFPA</w:t>
      </w:r>
      <w:r w:rsidRPr="000E77B1">
        <w:rPr>
          <w:rFonts w:ascii="ITC Avant Garde" w:eastAsia="Calibri" w:hAnsi="ITC Avant Garde"/>
          <w:color w:val="000000" w:themeColor="text1"/>
          <w:sz w:val="22"/>
          <w:szCs w:val="22"/>
          <w:lang w:eastAsia="es-MX"/>
        </w:rPr>
        <w:t>, se suspendieron los plazos y términos previstos en la Ley y respecto de todos los actos administrativos emitidos por el Instituto.</w:t>
      </w:r>
      <w:r w:rsidR="00DB0DF9" w:rsidRPr="00DB0DF9">
        <w:rPr>
          <w:rFonts w:ascii="ITC Avant Garde" w:hAnsi="ITC Avant Garde" w:cs="Arial"/>
          <w:noProof/>
          <w:sz w:val="22"/>
          <w:szCs w:val="22"/>
          <w:lang w:eastAsia="es-MX"/>
        </w:rPr>
        <w:t xml:space="preserve"> </w:t>
      </w:r>
    </w:p>
    <w:p w14:paraId="4B3F4735" w14:textId="77777777" w:rsidR="00B156EB" w:rsidRDefault="00AC4D79" w:rsidP="00B156E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336322">
        <w:rPr>
          <w:rFonts w:ascii="ITC Avant Garde" w:eastAsia="Calibri" w:hAnsi="ITC Avant Garde"/>
          <w:color w:val="000000" w:themeColor="text1"/>
          <w:sz w:val="22"/>
          <w:szCs w:val="22"/>
          <w:lang w:eastAsia="es-MX"/>
        </w:rPr>
        <w:t xml:space="preserve">Del 18 al 27 de septiembre de 2017, de conformidad con los numerales 5.1.3 y 5.1.5 de las Bases, </w:t>
      </w:r>
      <w:r>
        <w:rPr>
          <w:rFonts w:ascii="ITC Avant Garde" w:eastAsia="Calibri" w:hAnsi="ITC Avant Garde"/>
          <w:color w:val="000000" w:themeColor="text1"/>
          <w:sz w:val="22"/>
          <w:szCs w:val="22"/>
          <w:lang w:eastAsia="es-MX"/>
        </w:rPr>
        <w:t xml:space="preserve">el Calendario de Actividades de la Licitación previsto en las Bases, así como con los acuerdos citados en los Antecedentes XIII y XIV, </w:t>
      </w:r>
      <w:r w:rsidRPr="00336322">
        <w:rPr>
          <w:rFonts w:ascii="ITC Avant Garde" w:eastAsia="Calibri" w:hAnsi="ITC Avant Garde"/>
          <w:color w:val="000000" w:themeColor="text1"/>
          <w:sz w:val="22"/>
          <w:szCs w:val="22"/>
          <w:lang w:eastAsia="es-MX"/>
        </w:rPr>
        <w:lastRenderedPageBreak/>
        <w:t xml:space="preserve">transcurrió el plazo para que los Interesados </w:t>
      </w:r>
      <w:r>
        <w:rPr>
          <w:rFonts w:ascii="ITC Avant Garde" w:eastAsia="Calibri" w:hAnsi="ITC Avant Garde"/>
          <w:color w:val="000000" w:themeColor="text1"/>
          <w:sz w:val="22"/>
          <w:szCs w:val="22"/>
          <w:lang w:eastAsia="es-MX"/>
        </w:rPr>
        <w:t>cuya información y/o documentación</w:t>
      </w:r>
      <w:r w:rsidRPr="00336322">
        <w:rPr>
          <w:rFonts w:ascii="ITC Avant Garde" w:eastAsia="Calibri" w:hAnsi="ITC Avant Garde"/>
          <w:color w:val="000000" w:themeColor="text1"/>
          <w:sz w:val="22"/>
          <w:szCs w:val="22"/>
          <w:lang w:eastAsia="es-MX"/>
        </w:rPr>
        <w:t xml:space="preserve"> fue objeto de prevención por </w:t>
      </w:r>
      <w:r>
        <w:rPr>
          <w:rFonts w:ascii="ITC Avant Garde" w:eastAsia="Calibri" w:hAnsi="ITC Avant Garde"/>
          <w:color w:val="000000" w:themeColor="text1"/>
          <w:sz w:val="22"/>
          <w:szCs w:val="22"/>
          <w:lang w:eastAsia="es-MX"/>
        </w:rPr>
        <w:t>parte d</w:t>
      </w:r>
      <w:r w:rsidRPr="00336322">
        <w:rPr>
          <w:rFonts w:ascii="ITC Avant Garde" w:eastAsia="Calibri" w:hAnsi="ITC Avant Garde"/>
          <w:color w:val="000000" w:themeColor="text1"/>
          <w:sz w:val="22"/>
          <w:szCs w:val="22"/>
          <w:lang w:eastAsia="es-MX"/>
        </w:rPr>
        <w:t>el Instituto</w:t>
      </w:r>
      <w:r w:rsidR="006A463F">
        <w:rPr>
          <w:rFonts w:ascii="ITC Avant Garde" w:eastAsia="Calibri" w:hAnsi="ITC Avant Garde"/>
          <w:color w:val="000000" w:themeColor="text1"/>
          <w:sz w:val="22"/>
          <w:szCs w:val="22"/>
          <w:lang w:eastAsia="es-MX"/>
        </w:rPr>
        <w:t>, realizaran su</w:t>
      </w:r>
      <w:r w:rsidRPr="00336322">
        <w:rPr>
          <w:rFonts w:ascii="ITC Avant Garde" w:eastAsia="Calibri" w:hAnsi="ITC Avant Garde"/>
          <w:color w:val="000000" w:themeColor="text1"/>
          <w:sz w:val="22"/>
          <w:szCs w:val="22"/>
          <w:lang w:eastAsia="es-MX"/>
        </w:rPr>
        <w:t xml:space="preserve"> </w:t>
      </w:r>
      <w:r w:rsidR="006A463F">
        <w:rPr>
          <w:rFonts w:ascii="ITC Avant Garde" w:eastAsia="Calibri" w:hAnsi="ITC Avant Garde"/>
          <w:color w:val="000000" w:themeColor="text1"/>
          <w:sz w:val="22"/>
          <w:szCs w:val="22"/>
          <w:lang w:eastAsia="es-MX"/>
        </w:rPr>
        <w:t>desahogo</w:t>
      </w:r>
      <w:r w:rsidRPr="00336322">
        <w:rPr>
          <w:rFonts w:ascii="ITC Avant Garde" w:eastAsia="Calibri" w:hAnsi="ITC Avant Garde"/>
          <w:color w:val="000000" w:themeColor="text1"/>
          <w:sz w:val="22"/>
          <w:szCs w:val="22"/>
          <w:lang w:eastAsia="es-MX"/>
        </w:rPr>
        <w:t xml:space="preserve"> a través del SERPO </w:t>
      </w:r>
      <w:r w:rsidR="006A463F">
        <w:rPr>
          <w:rFonts w:ascii="ITC Avant Garde" w:eastAsia="Calibri" w:hAnsi="ITC Avant Garde"/>
          <w:color w:val="000000" w:themeColor="text1"/>
          <w:sz w:val="22"/>
          <w:szCs w:val="22"/>
          <w:lang w:eastAsia="es-MX"/>
        </w:rPr>
        <w:t xml:space="preserve">complementando en su caso, </w:t>
      </w:r>
      <w:r w:rsidRPr="00336322">
        <w:rPr>
          <w:rFonts w:ascii="ITC Avant Garde" w:eastAsia="Calibri" w:hAnsi="ITC Avant Garde"/>
          <w:color w:val="000000" w:themeColor="text1"/>
          <w:sz w:val="22"/>
          <w:szCs w:val="22"/>
          <w:lang w:eastAsia="es-MX"/>
        </w:rPr>
        <w:t>la información y/o documentación requerida, autenticándola con su FIEL.</w:t>
      </w:r>
    </w:p>
    <w:p w14:paraId="4DF95B75" w14:textId="77777777" w:rsidR="00B156EB" w:rsidRDefault="00C54EA0" w:rsidP="00B156EB">
      <w:pPr>
        <w:pStyle w:val="Prrafodelista"/>
        <w:numPr>
          <w:ilvl w:val="0"/>
          <w:numId w:val="43"/>
        </w:numPr>
        <w:spacing w:before="240" w:after="240"/>
        <w:ind w:left="851" w:right="49" w:hanging="567"/>
        <w:contextualSpacing/>
        <w:jc w:val="both"/>
        <w:rPr>
          <w:rFonts w:ascii="ITC Avant Garde" w:eastAsia="Calibri" w:hAnsi="ITC Avant Garde"/>
          <w:color w:val="000000" w:themeColor="text1"/>
          <w:sz w:val="22"/>
          <w:szCs w:val="22"/>
          <w:lang w:eastAsia="es-MX"/>
        </w:rPr>
      </w:pPr>
      <w:r w:rsidRPr="00DB0DF9">
        <w:rPr>
          <w:rFonts w:ascii="ITC Avant Garde" w:eastAsia="Calibri" w:hAnsi="ITC Avant Garde"/>
          <w:color w:val="000000" w:themeColor="text1"/>
          <w:sz w:val="22"/>
          <w:szCs w:val="22"/>
          <w:lang w:eastAsia="es-MX"/>
        </w:rPr>
        <w:t>El 4</w:t>
      </w:r>
      <w:r w:rsidR="00E05F79" w:rsidRPr="00DB0DF9">
        <w:rPr>
          <w:rFonts w:ascii="ITC Avant Garde" w:eastAsia="Calibri" w:hAnsi="ITC Avant Garde"/>
          <w:color w:val="000000" w:themeColor="text1"/>
          <w:sz w:val="22"/>
          <w:szCs w:val="22"/>
          <w:lang w:eastAsia="es-MX"/>
        </w:rPr>
        <w:t xml:space="preserve"> de </w:t>
      </w:r>
      <w:r w:rsidRPr="00DB0DF9">
        <w:rPr>
          <w:rFonts w:ascii="ITC Avant Garde" w:eastAsia="Calibri" w:hAnsi="ITC Avant Garde"/>
          <w:color w:val="000000" w:themeColor="text1"/>
          <w:sz w:val="22"/>
          <w:szCs w:val="22"/>
          <w:lang w:eastAsia="es-MX"/>
        </w:rPr>
        <w:t>octubre d</w:t>
      </w:r>
      <w:r w:rsidR="00E05F79" w:rsidRPr="00DB0DF9">
        <w:rPr>
          <w:rFonts w:ascii="ITC Avant Garde" w:eastAsia="Calibri" w:hAnsi="ITC Avant Garde"/>
          <w:color w:val="000000" w:themeColor="text1"/>
          <w:sz w:val="22"/>
          <w:szCs w:val="22"/>
          <w:lang w:eastAsia="es-MX"/>
        </w:rPr>
        <w:t>e 2017 el Pleno del Instituto</w:t>
      </w:r>
      <w:r w:rsidR="00DB0DF9" w:rsidRPr="00DB0DF9">
        <w:rPr>
          <w:rFonts w:ascii="ITC Avant Garde" w:eastAsia="Calibri" w:hAnsi="ITC Avant Garde"/>
          <w:color w:val="000000" w:themeColor="text1"/>
          <w:sz w:val="22"/>
          <w:szCs w:val="22"/>
          <w:lang w:eastAsia="es-MX"/>
        </w:rPr>
        <w:t xml:space="preserve">, mediante </w:t>
      </w:r>
      <w:r w:rsidR="00547BEA">
        <w:rPr>
          <w:rFonts w:ascii="ITC Avant Garde" w:eastAsia="Calibri" w:hAnsi="ITC Avant Garde"/>
          <w:color w:val="000000" w:themeColor="text1"/>
          <w:sz w:val="22"/>
          <w:szCs w:val="22"/>
          <w:lang w:eastAsia="es-MX"/>
        </w:rPr>
        <w:t>A</w:t>
      </w:r>
      <w:r w:rsidR="00DB0DF9" w:rsidRPr="00DB0DF9">
        <w:rPr>
          <w:rFonts w:ascii="ITC Avant Garde" w:eastAsia="Calibri" w:hAnsi="ITC Avant Garde"/>
          <w:color w:val="000000" w:themeColor="text1"/>
          <w:sz w:val="22"/>
          <w:szCs w:val="22"/>
          <w:lang w:eastAsia="es-MX"/>
        </w:rPr>
        <w:t xml:space="preserve">cuerdos emitidos en su </w:t>
      </w:r>
      <w:r w:rsidR="00EF4650">
        <w:rPr>
          <w:rFonts w:ascii="ITC Avant Garde" w:eastAsia="Calibri" w:hAnsi="ITC Avant Garde"/>
          <w:color w:val="000000" w:themeColor="text1"/>
          <w:sz w:val="22"/>
          <w:szCs w:val="22"/>
          <w:lang w:eastAsia="es-MX"/>
        </w:rPr>
        <w:t>X</w:t>
      </w:r>
      <w:r w:rsidR="00DB0DF9" w:rsidRPr="00DB0DF9">
        <w:rPr>
          <w:rFonts w:ascii="ITC Avant Garde" w:eastAsia="Calibri" w:hAnsi="ITC Avant Garde"/>
          <w:color w:val="000000" w:themeColor="text1"/>
          <w:sz w:val="22"/>
          <w:szCs w:val="22"/>
          <w:lang w:eastAsia="es-MX"/>
        </w:rPr>
        <w:t>IX sesión Extraordinaria,</w:t>
      </w:r>
      <w:r w:rsidR="00E05F79" w:rsidRPr="00DB0DF9">
        <w:rPr>
          <w:rFonts w:ascii="ITC Avant Garde" w:eastAsia="Calibri" w:hAnsi="ITC Avant Garde"/>
          <w:color w:val="000000" w:themeColor="text1"/>
          <w:sz w:val="22"/>
          <w:szCs w:val="22"/>
          <w:lang w:eastAsia="es-MX"/>
        </w:rPr>
        <w:t xml:space="preserve"> instruyó a la UER a que expidiera </w:t>
      </w:r>
      <w:r w:rsidR="00722F67">
        <w:rPr>
          <w:rFonts w:ascii="ITC Avant Garde" w:eastAsia="Calibri" w:hAnsi="ITC Avant Garde"/>
          <w:color w:val="000000" w:themeColor="text1"/>
          <w:sz w:val="22"/>
          <w:szCs w:val="22"/>
          <w:lang w:eastAsia="es-MX"/>
        </w:rPr>
        <w:t>la Constancia</w:t>
      </w:r>
      <w:r w:rsidR="00722F67" w:rsidRPr="00DB0DF9">
        <w:rPr>
          <w:rFonts w:ascii="ITC Avant Garde" w:eastAsia="Calibri" w:hAnsi="ITC Avant Garde"/>
          <w:color w:val="000000" w:themeColor="text1"/>
          <w:sz w:val="22"/>
          <w:szCs w:val="22"/>
          <w:lang w:eastAsia="es-MX"/>
        </w:rPr>
        <w:t xml:space="preserve"> d</w:t>
      </w:r>
      <w:r w:rsidR="00722F67">
        <w:rPr>
          <w:rFonts w:ascii="ITC Avant Garde" w:eastAsia="Calibri" w:hAnsi="ITC Avant Garde"/>
          <w:color w:val="000000" w:themeColor="text1"/>
          <w:sz w:val="22"/>
          <w:szCs w:val="22"/>
          <w:lang w:eastAsia="es-MX"/>
        </w:rPr>
        <w:t>e Participación correspondiente</w:t>
      </w:r>
      <w:r w:rsidR="00722F67" w:rsidRPr="00DB0DF9">
        <w:rPr>
          <w:rFonts w:ascii="ITC Avant Garde" w:eastAsia="Calibri" w:hAnsi="ITC Avant Garde"/>
          <w:color w:val="000000" w:themeColor="text1"/>
          <w:sz w:val="22"/>
          <w:szCs w:val="22"/>
          <w:lang w:eastAsia="es-MX"/>
        </w:rPr>
        <w:t xml:space="preserve"> </w:t>
      </w:r>
      <w:r w:rsidR="00E05F79" w:rsidRPr="00DB0DF9">
        <w:rPr>
          <w:rFonts w:ascii="ITC Avant Garde" w:eastAsia="Calibri" w:hAnsi="ITC Avant Garde"/>
          <w:color w:val="000000" w:themeColor="text1"/>
          <w:sz w:val="22"/>
          <w:szCs w:val="22"/>
          <w:lang w:eastAsia="es-MX"/>
        </w:rPr>
        <w:t xml:space="preserve">a favor de </w:t>
      </w:r>
      <w:r w:rsidR="00AC4D79">
        <w:rPr>
          <w:rFonts w:ascii="ITC Avant Garde" w:eastAsia="Calibri" w:hAnsi="ITC Avant Garde"/>
          <w:color w:val="000000" w:themeColor="text1"/>
          <w:sz w:val="22"/>
          <w:szCs w:val="22"/>
          <w:lang w:eastAsia="es-MX"/>
        </w:rPr>
        <w:t>cinco</w:t>
      </w:r>
      <w:r w:rsidR="00376EF3">
        <w:rPr>
          <w:rFonts w:ascii="ITC Avant Garde" w:eastAsia="Calibri" w:hAnsi="ITC Avant Garde"/>
          <w:color w:val="000000" w:themeColor="text1"/>
          <w:sz w:val="22"/>
          <w:szCs w:val="22"/>
          <w:lang w:eastAsia="es-MX"/>
        </w:rPr>
        <w:t xml:space="preserve"> </w:t>
      </w:r>
      <w:r w:rsidR="00722F67">
        <w:rPr>
          <w:rFonts w:ascii="ITC Avant Garde" w:eastAsia="Calibri" w:hAnsi="ITC Avant Garde"/>
          <w:color w:val="000000" w:themeColor="text1"/>
          <w:sz w:val="22"/>
          <w:szCs w:val="22"/>
          <w:lang w:eastAsia="es-MX"/>
        </w:rPr>
        <w:t>Interesados</w:t>
      </w:r>
      <w:r w:rsidR="00E05F79" w:rsidRPr="00DB0DF9">
        <w:rPr>
          <w:rFonts w:ascii="ITC Avant Garde" w:eastAsia="Calibri" w:hAnsi="ITC Avant Garde"/>
          <w:color w:val="000000" w:themeColor="text1"/>
          <w:sz w:val="22"/>
          <w:szCs w:val="22"/>
          <w:lang w:eastAsia="es-MX"/>
        </w:rPr>
        <w:t>, d</w:t>
      </w:r>
      <w:r w:rsidRPr="00DB0DF9">
        <w:rPr>
          <w:rFonts w:ascii="ITC Avant Garde" w:eastAsia="Calibri" w:hAnsi="ITC Avant Garde"/>
          <w:color w:val="000000" w:themeColor="text1"/>
          <w:sz w:val="22"/>
          <w:szCs w:val="22"/>
          <w:lang w:eastAsia="es-MX"/>
        </w:rPr>
        <w:t>entro de la Licitación No. IFT-5</w:t>
      </w:r>
      <w:r w:rsidR="00E05F79" w:rsidRPr="00DB0DF9">
        <w:rPr>
          <w:rFonts w:ascii="ITC Avant Garde" w:eastAsia="Calibri" w:hAnsi="ITC Avant Garde"/>
          <w:color w:val="000000" w:themeColor="text1"/>
          <w:sz w:val="22"/>
          <w:szCs w:val="22"/>
          <w:lang w:eastAsia="es-MX"/>
        </w:rPr>
        <w:t xml:space="preserve">. </w:t>
      </w:r>
    </w:p>
    <w:p w14:paraId="2F113E59" w14:textId="77777777" w:rsidR="00B156EB" w:rsidRDefault="000C37CB" w:rsidP="00B156EB">
      <w:pPr>
        <w:numPr>
          <w:ilvl w:val="0"/>
          <w:numId w:val="43"/>
        </w:numPr>
        <w:spacing w:before="240" w:after="240" w:line="240" w:lineRule="auto"/>
        <w:ind w:left="851" w:right="49" w:hanging="567"/>
        <w:contextualSpacing/>
        <w:jc w:val="both"/>
        <w:rPr>
          <w:rFonts w:ascii="ITC Avant Garde" w:eastAsia="Times New Roman" w:hAnsi="ITC Avant Garde" w:cs="Arial"/>
          <w:lang w:val="es-ES_tradnl"/>
        </w:rPr>
      </w:pPr>
      <w:r>
        <w:rPr>
          <w:rFonts w:ascii="ITC Avant Garde" w:eastAsia="Times New Roman" w:hAnsi="ITC Avant Garde" w:cs="Arial"/>
          <w:lang w:eastAsia="es-MX"/>
        </w:rPr>
        <w:t>U</w:t>
      </w:r>
      <w:r w:rsidR="00BB08E6">
        <w:rPr>
          <w:rFonts w:ascii="ITC Avant Garde" w:eastAsia="Times New Roman" w:hAnsi="ITC Avant Garde" w:cs="Arial"/>
          <w:lang w:eastAsia="es-MX"/>
        </w:rPr>
        <w:t>na vez realizada la</w:t>
      </w:r>
      <w:r w:rsidR="00BB08E6" w:rsidRPr="008F4718">
        <w:rPr>
          <w:rFonts w:ascii="ITC Avant Garde" w:eastAsia="Times New Roman" w:hAnsi="ITC Avant Garde" w:cs="Arial"/>
          <w:lang w:eastAsia="es-MX"/>
        </w:rPr>
        <w:t xml:space="preserve"> evaluación del </w:t>
      </w:r>
      <w:proofErr w:type="spellStart"/>
      <w:r>
        <w:rPr>
          <w:rFonts w:ascii="ITC Avant Garde" w:eastAsia="Times New Roman" w:hAnsi="ITC Avant Garde" w:cs="Arial"/>
          <w:lang w:eastAsia="es-MX"/>
        </w:rPr>
        <w:t>acreditamiento</w:t>
      </w:r>
      <w:proofErr w:type="spellEnd"/>
      <w:r>
        <w:rPr>
          <w:rFonts w:ascii="ITC Avant Garde" w:eastAsia="Times New Roman" w:hAnsi="ITC Avant Garde" w:cs="Arial"/>
          <w:lang w:eastAsia="es-MX"/>
        </w:rPr>
        <w:t xml:space="preserve"> de </w:t>
      </w:r>
      <w:r w:rsidR="00BB08E6" w:rsidRPr="008F4718">
        <w:rPr>
          <w:rFonts w:ascii="ITC Avant Garde" w:eastAsia="Times New Roman" w:hAnsi="ITC Avant Garde" w:cs="Arial"/>
          <w:lang w:eastAsia="es-MX"/>
        </w:rPr>
        <w:t>las capacidades administrativa, técnica, jurídica y financiera</w:t>
      </w:r>
      <w:r w:rsidR="00BB08E6">
        <w:rPr>
          <w:rFonts w:ascii="ITC Avant Garde" w:eastAsia="Times New Roman" w:hAnsi="ITC Avant Garde" w:cs="Arial"/>
          <w:lang w:eastAsia="es-MX"/>
        </w:rPr>
        <w:t>,</w:t>
      </w:r>
      <w:r w:rsidR="00BB08E6" w:rsidRPr="008F4718">
        <w:rPr>
          <w:rFonts w:ascii="ITC Avant Garde" w:eastAsia="Times New Roman" w:hAnsi="ITC Avant Garde" w:cs="Arial"/>
          <w:lang w:eastAsia="es-MX"/>
        </w:rPr>
        <w:t xml:space="preserve"> </w:t>
      </w:r>
      <w:r>
        <w:rPr>
          <w:rFonts w:ascii="ITC Avant Garde" w:eastAsia="Times New Roman" w:hAnsi="ITC Avant Garde" w:cs="Arial"/>
          <w:lang w:eastAsia="es-MX"/>
        </w:rPr>
        <w:t>l</w:t>
      </w:r>
      <w:r w:rsidRPr="000E77B1">
        <w:rPr>
          <w:rFonts w:ascii="ITC Avant Garde" w:eastAsia="Times New Roman" w:hAnsi="ITC Avant Garde" w:cs="Arial"/>
          <w:lang w:eastAsia="es-MX"/>
        </w:rPr>
        <w:t>a Dirección General de Economía del Espectro y Recursos Or</w:t>
      </w:r>
      <w:r w:rsidR="00842F3A">
        <w:rPr>
          <w:rFonts w:ascii="ITC Avant Garde" w:eastAsia="Times New Roman" w:hAnsi="ITC Avant Garde" w:cs="Arial"/>
          <w:lang w:eastAsia="es-MX"/>
        </w:rPr>
        <w:t>bitales de la UER del Instituto</w:t>
      </w:r>
      <w:r w:rsidRPr="000E77B1">
        <w:rPr>
          <w:rFonts w:ascii="ITC Avant Garde" w:eastAsia="Times New Roman" w:hAnsi="ITC Avant Garde" w:cs="Arial"/>
          <w:lang w:eastAsia="es-MX"/>
        </w:rPr>
        <w:t xml:space="preserve"> </w:t>
      </w:r>
      <w:r w:rsidR="00BB08E6" w:rsidRPr="008F4718">
        <w:rPr>
          <w:rFonts w:ascii="ITC Avant Garde" w:eastAsia="Times New Roman" w:hAnsi="ITC Avant Garde" w:cs="Arial"/>
          <w:lang w:eastAsia="es-MX"/>
        </w:rPr>
        <w:t>emitió las Constancias de Participación a favor de los Interesados que determinó el Pleno del Instituto.</w:t>
      </w:r>
    </w:p>
    <w:p w14:paraId="44E1ABDE" w14:textId="77777777" w:rsidR="00B156EB" w:rsidRDefault="00C54EA0" w:rsidP="00B156EB">
      <w:pPr>
        <w:pStyle w:val="Prrafodelista"/>
        <w:numPr>
          <w:ilvl w:val="0"/>
          <w:numId w:val="43"/>
        </w:numPr>
        <w:spacing w:before="240" w:after="240"/>
        <w:ind w:left="851" w:right="49" w:hanging="567"/>
        <w:contextualSpacing/>
        <w:jc w:val="both"/>
        <w:rPr>
          <w:rFonts w:ascii="ITC Avant Garde" w:hAnsi="ITC Avant Garde" w:cs="Arial"/>
          <w:sz w:val="22"/>
          <w:szCs w:val="22"/>
          <w:lang w:val="es-ES_tradnl"/>
        </w:rPr>
      </w:pPr>
      <w:r w:rsidRPr="000E77B1">
        <w:rPr>
          <w:rFonts w:ascii="ITC Avant Garde" w:eastAsia="Arial Unicode MS" w:hAnsi="ITC Avant Garde" w:cs="Arial Unicode MS"/>
          <w:kern w:val="1"/>
          <w:sz w:val="22"/>
          <w:szCs w:val="22"/>
          <w:u w:color="000000"/>
          <w:bdr w:val="nil"/>
          <w:lang w:val="es-ES_tradnl" w:eastAsia="ar-SA"/>
        </w:rPr>
        <w:t>E</w:t>
      </w:r>
      <w:r w:rsidR="00E05F79" w:rsidRPr="000E77B1">
        <w:rPr>
          <w:rFonts w:ascii="ITC Avant Garde" w:eastAsia="Arial Unicode MS" w:hAnsi="ITC Avant Garde" w:cs="Arial Unicode MS"/>
          <w:kern w:val="1"/>
          <w:sz w:val="22"/>
          <w:szCs w:val="22"/>
          <w:u w:color="000000"/>
          <w:bdr w:val="nil"/>
          <w:lang w:val="es-ES_tradnl" w:eastAsia="ar-SA"/>
        </w:rPr>
        <w:t xml:space="preserve">l </w:t>
      </w:r>
      <w:r w:rsidRPr="000E77B1">
        <w:rPr>
          <w:rFonts w:ascii="ITC Avant Garde" w:eastAsia="Arial Unicode MS" w:hAnsi="ITC Avant Garde" w:cs="Arial Unicode MS"/>
          <w:kern w:val="1"/>
          <w:sz w:val="22"/>
          <w:szCs w:val="22"/>
          <w:u w:color="000000"/>
          <w:bdr w:val="nil"/>
          <w:lang w:val="es-ES_tradnl" w:eastAsia="ar-SA"/>
        </w:rPr>
        <w:t>6</w:t>
      </w:r>
      <w:r w:rsidR="00E05F79" w:rsidRPr="000E77B1">
        <w:rPr>
          <w:rFonts w:ascii="ITC Avant Garde" w:eastAsia="Arial Unicode MS" w:hAnsi="ITC Avant Garde" w:cs="Arial Unicode MS"/>
          <w:kern w:val="1"/>
          <w:sz w:val="22"/>
          <w:szCs w:val="22"/>
          <w:u w:color="000000"/>
          <w:bdr w:val="nil"/>
          <w:lang w:val="es-ES_tradnl" w:eastAsia="ar-SA"/>
        </w:rPr>
        <w:t xml:space="preserve"> </w:t>
      </w:r>
      <w:r w:rsidRPr="000E77B1">
        <w:rPr>
          <w:rFonts w:ascii="ITC Avant Garde" w:eastAsia="Arial Unicode MS" w:hAnsi="ITC Avant Garde" w:cs="Arial Unicode MS"/>
          <w:kern w:val="1"/>
          <w:sz w:val="22"/>
          <w:szCs w:val="22"/>
          <w:u w:color="000000"/>
          <w:bdr w:val="nil"/>
          <w:lang w:val="es-ES_tradnl" w:eastAsia="ar-SA"/>
        </w:rPr>
        <w:t xml:space="preserve">octubre </w:t>
      </w:r>
      <w:r w:rsidR="00E05F79" w:rsidRPr="000E77B1">
        <w:rPr>
          <w:rFonts w:ascii="ITC Avant Garde" w:eastAsia="Arial Unicode MS" w:hAnsi="ITC Avant Garde" w:cs="Arial Unicode MS"/>
          <w:kern w:val="1"/>
          <w:sz w:val="22"/>
          <w:szCs w:val="22"/>
          <w:u w:color="000000"/>
          <w:bdr w:val="nil"/>
          <w:lang w:val="es-ES_tradnl" w:eastAsia="ar-SA"/>
        </w:rPr>
        <w:t>de 2017, confor</w:t>
      </w:r>
      <w:r w:rsidRPr="000E77B1">
        <w:rPr>
          <w:rFonts w:ascii="ITC Avant Garde" w:eastAsia="Arial Unicode MS" w:hAnsi="ITC Avant Garde" w:cs="Arial Unicode MS"/>
          <w:kern w:val="1"/>
          <w:sz w:val="22"/>
          <w:szCs w:val="22"/>
          <w:u w:color="000000"/>
          <w:bdr w:val="nil"/>
          <w:lang w:val="es-ES_tradnl" w:eastAsia="ar-SA"/>
        </w:rPr>
        <w:t xml:space="preserve">me al calendario publicado </w:t>
      </w:r>
      <w:r w:rsidR="00BB08E6">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0E77B1">
        <w:rPr>
          <w:rFonts w:ascii="ITC Avant Garde" w:eastAsia="Arial Unicode MS" w:hAnsi="ITC Avant Garde" w:cs="Arial Unicode MS"/>
          <w:kern w:val="1"/>
          <w:sz w:val="22"/>
          <w:szCs w:val="22"/>
          <w:u w:color="000000"/>
          <w:bdr w:val="nil"/>
          <w:lang w:val="es-ES_tradnl" w:eastAsia="ar-SA"/>
        </w:rPr>
        <w:t>el 5</w:t>
      </w:r>
      <w:r w:rsidR="00E05F79" w:rsidRPr="000E77B1">
        <w:rPr>
          <w:rFonts w:ascii="ITC Avant Garde" w:eastAsia="Arial Unicode MS" w:hAnsi="ITC Avant Garde" w:cs="Arial Unicode MS"/>
          <w:kern w:val="1"/>
          <w:sz w:val="22"/>
          <w:szCs w:val="22"/>
          <w:u w:color="000000"/>
          <w:bdr w:val="nil"/>
          <w:lang w:val="es-ES_tradnl" w:eastAsia="ar-SA"/>
        </w:rPr>
        <w:t xml:space="preserve"> </w:t>
      </w:r>
      <w:r w:rsidR="00842F3A">
        <w:rPr>
          <w:rFonts w:ascii="ITC Avant Garde" w:eastAsia="Arial Unicode MS" w:hAnsi="ITC Avant Garde" w:cs="Arial Unicode MS"/>
          <w:kern w:val="1"/>
          <w:sz w:val="22"/>
          <w:szCs w:val="22"/>
          <w:u w:color="000000"/>
          <w:bdr w:val="nil"/>
          <w:lang w:val="es-ES_tradnl" w:eastAsia="ar-SA"/>
        </w:rPr>
        <w:t>de octubre</w:t>
      </w:r>
      <w:r w:rsidR="00BB08E6">
        <w:rPr>
          <w:rFonts w:ascii="ITC Avant Garde" w:eastAsia="Arial Unicode MS" w:hAnsi="ITC Avant Garde" w:cs="Arial Unicode MS"/>
          <w:kern w:val="1"/>
          <w:sz w:val="22"/>
          <w:szCs w:val="22"/>
          <w:u w:color="000000"/>
          <w:bdr w:val="nil"/>
          <w:lang w:val="es-ES_tradnl" w:eastAsia="ar-SA"/>
        </w:rPr>
        <w:t xml:space="preserve"> de 2017</w:t>
      </w:r>
      <w:r w:rsidR="00E05F79" w:rsidRPr="000E77B1">
        <w:rPr>
          <w:rFonts w:ascii="ITC Avant Garde" w:eastAsia="Arial Unicode MS" w:hAnsi="ITC Avant Garde" w:cs="Arial Unicode MS"/>
          <w:kern w:val="1"/>
          <w:sz w:val="22"/>
          <w:szCs w:val="22"/>
          <w:u w:color="000000"/>
          <w:bdr w:val="nil"/>
          <w:lang w:val="es-ES_tradnl" w:eastAsia="ar-SA"/>
        </w:rPr>
        <w:t xml:space="preserve">, se realizó en el Domicilio del Instituto la notificación y entrega de las Constancias de Participación a los Interesados que determinó el Pleno del Instituto. Asimismo, se hizo entrega de las claves de acceso para ingresar al SERPO, para las sesiones de práctica y Procedimiento de Presentación de Ofertas. </w:t>
      </w:r>
    </w:p>
    <w:p w14:paraId="192471B0" w14:textId="77777777" w:rsidR="00B156EB" w:rsidRDefault="00521587" w:rsidP="00B156EB">
      <w:pPr>
        <w:pStyle w:val="Prrafodelista"/>
        <w:numPr>
          <w:ilvl w:val="0"/>
          <w:numId w:val="43"/>
        </w:numPr>
        <w:spacing w:before="240" w:after="240"/>
        <w:ind w:left="851" w:right="49" w:hanging="491"/>
        <w:contextualSpacing/>
        <w:jc w:val="both"/>
        <w:rPr>
          <w:rFonts w:ascii="ITC Avant Garde" w:hAnsi="ITC Avant Garde" w:cs="Arial"/>
          <w:sz w:val="22"/>
          <w:szCs w:val="22"/>
          <w:lang w:val="es-ES_tradnl"/>
        </w:rPr>
      </w:pPr>
      <w:r w:rsidRPr="000E77B1">
        <w:rPr>
          <w:rFonts w:ascii="ITC Avant Garde" w:eastAsia="Arial Unicode MS" w:hAnsi="ITC Avant Garde" w:cs="Arial Unicode MS"/>
          <w:kern w:val="1"/>
          <w:sz w:val="22"/>
          <w:szCs w:val="22"/>
          <w:u w:color="000000"/>
          <w:bdr w:val="nil"/>
          <w:lang w:val="es-ES_tradnl" w:eastAsia="ar-SA"/>
        </w:rPr>
        <w:t xml:space="preserve">El 10 y </w:t>
      </w:r>
      <w:r w:rsidR="00E05F79" w:rsidRPr="000E77B1">
        <w:rPr>
          <w:rFonts w:ascii="ITC Avant Garde" w:eastAsia="Arial Unicode MS" w:hAnsi="ITC Avant Garde" w:cs="Arial Unicode MS"/>
          <w:kern w:val="1"/>
          <w:sz w:val="22"/>
          <w:szCs w:val="22"/>
          <w:u w:color="000000"/>
          <w:bdr w:val="nil"/>
          <w:lang w:val="es-ES_tradnl" w:eastAsia="ar-SA"/>
        </w:rPr>
        <w:t xml:space="preserve">11 de </w:t>
      </w:r>
      <w:r w:rsidRPr="000E77B1">
        <w:rPr>
          <w:rFonts w:ascii="ITC Avant Garde" w:eastAsia="Arial Unicode MS" w:hAnsi="ITC Avant Garde" w:cs="Arial Unicode MS"/>
          <w:kern w:val="1"/>
          <w:sz w:val="22"/>
          <w:szCs w:val="22"/>
          <w:u w:color="000000"/>
          <w:bdr w:val="nil"/>
          <w:lang w:val="es-ES_tradnl" w:eastAsia="ar-SA"/>
        </w:rPr>
        <w:t xml:space="preserve">octubre </w:t>
      </w:r>
      <w:r w:rsidR="00E05F79" w:rsidRPr="000E77B1">
        <w:rPr>
          <w:rFonts w:ascii="ITC Avant Garde" w:eastAsia="Arial Unicode MS" w:hAnsi="ITC Avant Garde" w:cs="Arial Unicode MS"/>
          <w:kern w:val="1"/>
          <w:sz w:val="22"/>
          <w:szCs w:val="22"/>
          <w:u w:color="000000"/>
          <w:bdr w:val="nil"/>
          <w:lang w:val="es-ES_tradnl" w:eastAsia="ar-SA"/>
        </w:rPr>
        <w:t xml:space="preserve">de 2017 se llevaron </w:t>
      </w:r>
      <w:r w:rsidR="00C55F39">
        <w:rPr>
          <w:rFonts w:ascii="ITC Avant Garde" w:eastAsia="Arial Unicode MS" w:hAnsi="ITC Avant Garde" w:cs="Arial Unicode MS"/>
          <w:kern w:val="1"/>
          <w:sz w:val="22"/>
          <w:szCs w:val="22"/>
          <w:u w:color="000000"/>
          <w:bdr w:val="nil"/>
          <w:lang w:val="es-ES_tradnl" w:eastAsia="ar-SA"/>
        </w:rPr>
        <w:t>a cabo las sesiones de práctica</w:t>
      </w:r>
      <w:r w:rsidR="00E05F79" w:rsidRPr="000E77B1">
        <w:rPr>
          <w:rFonts w:ascii="ITC Avant Garde" w:eastAsia="Arial Unicode MS" w:hAnsi="ITC Avant Garde" w:cs="Arial Unicode MS"/>
          <w:kern w:val="1"/>
          <w:sz w:val="22"/>
          <w:szCs w:val="22"/>
          <w:u w:color="000000"/>
          <w:bdr w:val="nil"/>
          <w:lang w:val="es-ES_tradnl" w:eastAsia="ar-SA"/>
        </w:rPr>
        <w:t xml:space="preserve"> para los Participantes, con la finalidad de que se familiarizaran con el Procedimiento de Presentación de Ofertas, mismas que se realizaron vía </w:t>
      </w:r>
      <w:r w:rsidR="0065051A">
        <w:rPr>
          <w:rFonts w:ascii="ITC Avant Garde" w:eastAsia="Arial Unicode MS" w:hAnsi="ITC Avant Garde" w:cs="Arial Unicode MS"/>
          <w:kern w:val="1"/>
          <w:sz w:val="22"/>
          <w:szCs w:val="22"/>
          <w:u w:color="000000"/>
          <w:bdr w:val="nil"/>
          <w:lang w:val="es-ES_tradnl" w:eastAsia="ar-SA"/>
        </w:rPr>
        <w:t>electrónica</w:t>
      </w:r>
      <w:r w:rsidR="0065051A" w:rsidRPr="000E77B1">
        <w:rPr>
          <w:rFonts w:ascii="ITC Avant Garde" w:eastAsia="Arial Unicode MS" w:hAnsi="ITC Avant Garde" w:cs="Arial Unicode MS"/>
          <w:kern w:val="1"/>
          <w:sz w:val="22"/>
          <w:szCs w:val="22"/>
          <w:u w:color="000000"/>
          <w:bdr w:val="nil"/>
          <w:lang w:val="es-ES_tradnl" w:eastAsia="ar-SA"/>
        </w:rPr>
        <w:t xml:space="preserve"> </w:t>
      </w:r>
      <w:r w:rsidR="00E05F79" w:rsidRPr="000E77B1">
        <w:rPr>
          <w:rFonts w:ascii="ITC Avant Garde" w:eastAsia="Arial Unicode MS" w:hAnsi="ITC Avant Garde" w:cs="Arial Unicode MS"/>
          <w:kern w:val="1"/>
          <w:sz w:val="22"/>
          <w:szCs w:val="22"/>
          <w:u w:color="000000"/>
          <w:bdr w:val="nil"/>
          <w:lang w:val="es-ES_tradnl" w:eastAsia="ar-SA"/>
        </w:rPr>
        <w:t>a través del SERPO.</w:t>
      </w:r>
    </w:p>
    <w:p w14:paraId="4E61CF2B" w14:textId="208B400A" w:rsidR="00E05F79" w:rsidRPr="004F0150" w:rsidRDefault="00521587" w:rsidP="00B156EB">
      <w:pPr>
        <w:pStyle w:val="Prrafodelista"/>
        <w:numPr>
          <w:ilvl w:val="0"/>
          <w:numId w:val="43"/>
        </w:numPr>
        <w:spacing w:before="240" w:after="240"/>
        <w:ind w:left="851" w:right="49" w:hanging="491"/>
        <w:contextualSpacing/>
        <w:jc w:val="both"/>
        <w:rPr>
          <w:rFonts w:ascii="ITC Avant Garde" w:hAnsi="ITC Avant Garde" w:cs="Arial"/>
          <w:sz w:val="22"/>
          <w:szCs w:val="22"/>
          <w:lang w:val="es-ES_tradnl"/>
        </w:rPr>
      </w:pPr>
      <w:r w:rsidRPr="000E77B1">
        <w:rPr>
          <w:rFonts w:ascii="ITC Avant Garde" w:eastAsia="Arial Unicode MS" w:hAnsi="ITC Avant Garde" w:cs="Arial Unicode MS"/>
          <w:kern w:val="1"/>
          <w:sz w:val="22"/>
          <w:szCs w:val="22"/>
          <w:u w:color="000000"/>
          <w:bdr w:val="nil"/>
          <w:lang w:val="es-ES_tradnl" w:eastAsia="ar-SA"/>
        </w:rPr>
        <w:t>El 12</w:t>
      </w:r>
      <w:r w:rsidR="00E05F79" w:rsidRPr="000E77B1">
        <w:rPr>
          <w:rFonts w:ascii="ITC Avant Garde" w:eastAsia="Arial Unicode MS" w:hAnsi="ITC Avant Garde" w:cs="Arial Unicode MS"/>
          <w:kern w:val="1"/>
          <w:sz w:val="22"/>
          <w:szCs w:val="22"/>
          <w:u w:color="000000"/>
          <w:bdr w:val="nil"/>
          <w:lang w:val="es-ES_tradnl" w:eastAsia="ar-SA"/>
        </w:rPr>
        <w:t xml:space="preserve"> de </w:t>
      </w:r>
      <w:r w:rsidRPr="000E77B1">
        <w:rPr>
          <w:rFonts w:ascii="ITC Avant Garde" w:eastAsia="Arial Unicode MS" w:hAnsi="ITC Avant Garde" w:cs="Arial Unicode MS"/>
          <w:kern w:val="1"/>
          <w:sz w:val="22"/>
          <w:szCs w:val="22"/>
          <w:u w:color="000000"/>
          <w:bdr w:val="nil"/>
          <w:lang w:val="es-ES_tradnl" w:eastAsia="ar-SA"/>
        </w:rPr>
        <w:t xml:space="preserve">octubre </w:t>
      </w:r>
      <w:r w:rsidR="00E05F79" w:rsidRPr="000E77B1">
        <w:rPr>
          <w:rFonts w:ascii="ITC Avant Garde" w:eastAsia="Arial Unicode MS" w:hAnsi="ITC Avant Garde" w:cs="Arial Unicode MS"/>
          <w:kern w:val="1"/>
          <w:sz w:val="22"/>
          <w:szCs w:val="22"/>
          <w:u w:color="000000"/>
          <w:bdr w:val="nil"/>
          <w:lang w:val="es-ES_tradnl" w:eastAsia="ar-SA"/>
        </w:rPr>
        <w:t>de 2017 inició el Procedimiento de Presentación de Ofertas de</w:t>
      </w:r>
      <w:r w:rsidRPr="000E77B1">
        <w:rPr>
          <w:rFonts w:ascii="ITC Avant Garde" w:eastAsia="Arial Unicode MS" w:hAnsi="ITC Avant Garde" w:cs="Arial Unicode MS"/>
          <w:kern w:val="1"/>
          <w:sz w:val="22"/>
          <w:szCs w:val="22"/>
          <w:u w:color="000000"/>
          <w:bdr w:val="nil"/>
          <w:lang w:val="es-ES_tradnl" w:eastAsia="ar-SA"/>
        </w:rPr>
        <w:t xml:space="preserve"> los Bloques</w:t>
      </w:r>
      <w:r w:rsidR="00E05F79" w:rsidRPr="000E77B1">
        <w:rPr>
          <w:rFonts w:ascii="ITC Avant Garde" w:eastAsia="Arial Unicode MS" w:hAnsi="ITC Avant Garde" w:cs="Arial Unicode MS"/>
          <w:kern w:val="1"/>
          <w:sz w:val="22"/>
          <w:szCs w:val="22"/>
          <w:u w:color="000000"/>
          <w:bdr w:val="nil"/>
          <w:lang w:val="es-ES_tradnl" w:eastAsia="ar-SA"/>
        </w:rPr>
        <w:t xml:space="preserve"> objeto de la Licitación No. IFT-</w:t>
      </w:r>
      <w:r w:rsidRPr="000E77B1">
        <w:rPr>
          <w:rFonts w:ascii="ITC Avant Garde" w:eastAsia="Arial Unicode MS" w:hAnsi="ITC Avant Garde" w:cs="Arial Unicode MS"/>
          <w:kern w:val="1"/>
          <w:sz w:val="22"/>
          <w:szCs w:val="22"/>
          <w:u w:color="000000"/>
          <w:bdr w:val="nil"/>
          <w:lang w:val="es-ES_tradnl" w:eastAsia="ar-SA"/>
        </w:rPr>
        <w:t xml:space="preserve">5, el cual concluyó </w:t>
      </w:r>
      <w:r w:rsidR="004F0150" w:rsidRPr="004F0150">
        <w:rPr>
          <w:rFonts w:ascii="ITC Avant Garde" w:eastAsia="Arial Unicode MS" w:hAnsi="ITC Avant Garde" w:cs="Arial Unicode MS"/>
          <w:kern w:val="1"/>
          <w:sz w:val="22"/>
          <w:szCs w:val="22"/>
          <w:u w:color="000000"/>
          <w:bdr w:val="nil"/>
          <w:lang w:val="es-ES_tradnl" w:eastAsia="ar-SA"/>
        </w:rPr>
        <w:t>el 24</w:t>
      </w:r>
      <w:r w:rsidR="00E05F79" w:rsidRPr="004F0150">
        <w:rPr>
          <w:rFonts w:ascii="ITC Avant Garde" w:eastAsia="Arial Unicode MS" w:hAnsi="ITC Avant Garde" w:cs="Arial Unicode MS"/>
          <w:kern w:val="1"/>
          <w:sz w:val="22"/>
          <w:szCs w:val="22"/>
          <w:u w:color="000000"/>
          <w:bdr w:val="nil"/>
          <w:lang w:val="es-ES_tradnl" w:eastAsia="ar-SA"/>
        </w:rPr>
        <w:t xml:space="preserve"> de </w:t>
      </w:r>
      <w:r w:rsidRPr="004F0150">
        <w:rPr>
          <w:rFonts w:ascii="ITC Avant Garde" w:eastAsia="Arial Unicode MS" w:hAnsi="ITC Avant Garde" w:cs="Arial Unicode MS"/>
          <w:kern w:val="1"/>
          <w:sz w:val="22"/>
          <w:szCs w:val="22"/>
          <w:u w:color="000000"/>
          <w:bdr w:val="nil"/>
          <w:lang w:val="es-ES_tradnl" w:eastAsia="ar-SA"/>
        </w:rPr>
        <w:t>octubre</w:t>
      </w:r>
      <w:r w:rsidR="00E05F79" w:rsidRPr="004F0150">
        <w:rPr>
          <w:rFonts w:ascii="ITC Avant Garde" w:eastAsia="Arial Unicode MS" w:hAnsi="ITC Avant Garde" w:cs="Arial Unicode MS"/>
          <w:kern w:val="1"/>
          <w:sz w:val="22"/>
          <w:szCs w:val="22"/>
          <w:u w:color="000000"/>
          <w:bdr w:val="nil"/>
          <w:lang w:val="es-ES_tradnl" w:eastAsia="ar-SA"/>
        </w:rPr>
        <w:t xml:space="preserve"> de 2017.</w:t>
      </w:r>
    </w:p>
    <w:p w14:paraId="3B18BDF0" w14:textId="77777777" w:rsidR="00B156EB" w:rsidRDefault="00C2145E" w:rsidP="00B156EB">
      <w:pPr>
        <w:pStyle w:val="Prrafodelista"/>
        <w:numPr>
          <w:ilvl w:val="0"/>
          <w:numId w:val="43"/>
        </w:numPr>
        <w:autoSpaceDE w:val="0"/>
        <w:autoSpaceDN w:val="0"/>
        <w:adjustRightInd w:val="0"/>
        <w:spacing w:before="240" w:after="240"/>
        <w:ind w:left="851" w:hanging="491"/>
        <w:jc w:val="both"/>
        <w:rPr>
          <w:rFonts w:ascii="ITC Avant Garde" w:eastAsia="Calibri" w:hAnsi="ITC Avant Garde"/>
          <w:color w:val="000000" w:themeColor="text1"/>
          <w:sz w:val="22"/>
          <w:szCs w:val="22"/>
          <w:lang w:eastAsia="es-MX"/>
        </w:rPr>
      </w:pPr>
      <w:r w:rsidRPr="00E07637">
        <w:rPr>
          <w:rFonts w:ascii="ITC Avant Garde" w:eastAsia="Calibri" w:hAnsi="ITC Avant Garde"/>
          <w:color w:val="000000" w:themeColor="text1"/>
          <w:sz w:val="22"/>
          <w:szCs w:val="22"/>
          <w:lang w:eastAsia="es-MX"/>
        </w:rPr>
        <w:t>El 20</w:t>
      </w:r>
      <w:r w:rsidRPr="00E07637">
        <w:rPr>
          <w:rFonts w:ascii="ITC Avant Garde" w:eastAsia="Calibri" w:hAnsi="ITC Avant Garde"/>
          <w:b/>
          <w:color w:val="000000" w:themeColor="text1"/>
          <w:sz w:val="22"/>
          <w:szCs w:val="22"/>
          <w:lang w:eastAsia="es-MX"/>
        </w:rPr>
        <w:t xml:space="preserve"> </w:t>
      </w:r>
      <w:r w:rsidRPr="00E07637">
        <w:rPr>
          <w:rFonts w:ascii="ITC Avant Garde" w:eastAsia="Calibri" w:hAnsi="ITC Avant Garde"/>
          <w:color w:val="000000" w:themeColor="text1"/>
          <w:sz w:val="22"/>
          <w:szCs w:val="22"/>
          <w:lang w:eastAsia="es-MX"/>
        </w:rPr>
        <w:t>de octubre de 2017 se recibió en Oficialía de Partes del Instituto el oficio No. 2.1.-400/2017,</w:t>
      </w:r>
      <w:r w:rsidRPr="00E07637">
        <w:rPr>
          <w:rFonts w:ascii="ITC Avant Garde" w:eastAsia="Calibri" w:hAnsi="ITC Avant Garde"/>
          <w:b/>
          <w:color w:val="000000" w:themeColor="text1"/>
          <w:sz w:val="22"/>
          <w:szCs w:val="22"/>
          <w:lang w:eastAsia="es-MX"/>
        </w:rPr>
        <w:t xml:space="preserve"> </w:t>
      </w:r>
      <w:r w:rsidRPr="00E07637">
        <w:rPr>
          <w:rFonts w:ascii="ITC Avant Garde" w:eastAsia="Calibri" w:hAnsi="ITC Avant Garde"/>
          <w:color w:val="000000" w:themeColor="text1"/>
          <w:sz w:val="22"/>
          <w:szCs w:val="22"/>
          <w:lang w:eastAsia="es-MX"/>
        </w:rPr>
        <w:t xml:space="preserve">de fecha 19 de octubre de 2017, mediante el cual la SCT emite opinión </w:t>
      </w:r>
      <w:r w:rsidR="00BB08E6">
        <w:rPr>
          <w:rFonts w:ascii="ITC Avant Garde" w:eastAsia="Calibri" w:hAnsi="ITC Avant Garde"/>
          <w:color w:val="000000" w:themeColor="text1"/>
          <w:sz w:val="22"/>
          <w:szCs w:val="22"/>
          <w:lang w:eastAsia="es-MX"/>
        </w:rPr>
        <w:t xml:space="preserve">técnica no vinculante </w:t>
      </w:r>
      <w:r w:rsidRPr="00E07637">
        <w:rPr>
          <w:rFonts w:ascii="ITC Avant Garde" w:eastAsia="Calibri" w:hAnsi="ITC Avant Garde"/>
          <w:color w:val="000000" w:themeColor="text1"/>
          <w:sz w:val="22"/>
          <w:szCs w:val="22"/>
          <w:lang w:eastAsia="es-MX"/>
        </w:rPr>
        <w:t>respecto de los Interesados que entregaron información relativa al procedimiento</w:t>
      </w:r>
      <w:r w:rsidR="00195CCF">
        <w:rPr>
          <w:rFonts w:ascii="ITC Avant Garde" w:eastAsia="Calibri" w:hAnsi="ITC Avant Garde"/>
          <w:color w:val="000000" w:themeColor="text1"/>
          <w:sz w:val="22"/>
          <w:szCs w:val="22"/>
          <w:lang w:eastAsia="es-MX"/>
        </w:rPr>
        <w:t>,</w:t>
      </w:r>
      <w:r w:rsidRPr="00E07637">
        <w:rPr>
          <w:rFonts w:ascii="ITC Avant Garde" w:eastAsia="Calibri" w:hAnsi="ITC Avant Garde"/>
          <w:color w:val="000000" w:themeColor="text1"/>
          <w:sz w:val="22"/>
          <w:szCs w:val="22"/>
          <w:lang w:eastAsia="es-MX"/>
        </w:rPr>
        <w:t xml:space="preserve"> autenti</w:t>
      </w:r>
      <w:r w:rsidR="00463CFA">
        <w:rPr>
          <w:rFonts w:ascii="ITC Avant Garde" w:eastAsia="Calibri" w:hAnsi="ITC Avant Garde"/>
          <w:color w:val="000000" w:themeColor="text1"/>
          <w:sz w:val="22"/>
          <w:szCs w:val="22"/>
          <w:lang w:eastAsia="es-MX"/>
        </w:rPr>
        <w:t>fi</w:t>
      </w:r>
      <w:r w:rsidRPr="00E07637">
        <w:rPr>
          <w:rFonts w:ascii="ITC Avant Garde" w:eastAsia="Calibri" w:hAnsi="ITC Avant Garde"/>
          <w:color w:val="000000" w:themeColor="text1"/>
          <w:sz w:val="22"/>
          <w:szCs w:val="22"/>
          <w:lang w:eastAsia="es-MX"/>
        </w:rPr>
        <w:t>cándola con su FIEL.</w:t>
      </w:r>
    </w:p>
    <w:p w14:paraId="64F6908B" w14:textId="77777777" w:rsidR="00B156EB" w:rsidRDefault="00521587" w:rsidP="00B156EB">
      <w:pPr>
        <w:pStyle w:val="Prrafodelista"/>
        <w:numPr>
          <w:ilvl w:val="0"/>
          <w:numId w:val="43"/>
        </w:numPr>
        <w:autoSpaceDE w:val="0"/>
        <w:autoSpaceDN w:val="0"/>
        <w:adjustRightInd w:val="0"/>
        <w:spacing w:before="240" w:after="240"/>
        <w:ind w:left="851" w:hanging="491"/>
        <w:jc w:val="both"/>
        <w:rPr>
          <w:rFonts w:ascii="ITC Avant Garde" w:eastAsia="Calibri" w:hAnsi="ITC Avant Garde"/>
          <w:color w:val="000000" w:themeColor="text1"/>
          <w:sz w:val="22"/>
          <w:szCs w:val="22"/>
          <w:lang w:eastAsia="es-MX"/>
        </w:rPr>
      </w:pPr>
      <w:r w:rsidRPr="00710CCB">
        <w:rPr>
          <w:rFonts w:ascii="ITC Avant Garde" w:eastAsia="Calibri" w:hAnsi="ITC Avant Garde"/>
          <w:color w:val="000000" w:themeColor="text1"/>
          <w:sz w:val="22"/>
          <w:szCs w:val="22"/>
          <w:lang w:eastAsia="es-MX"/>
        </w:rPr>
        <w:t xml:space="preserve">El </w:t>
      </w:r>
      <w:r w:rsidR="00C2145E" w:rsidRPr="00710CCB">
        <w:rPr>
          <w:rFonts w:ascii="ITC Avant Garde" w:eastAsia="Calibri" w:hAnsi="ITC Avant Garde"/>
          <w:color w:val="000000" w:themeColor="text1"/>
          <w:sz w:val="22"/>
          <w:szCs w:val="22"/>
          <w:lang w:eastAsia="es-MX"/>
        </w:rPr>
        <w:t>25</w:t>
      </w:r>
      <w:r w:rsidR="00E05F79" w:rsidRPr="00710CCB">
        <w:rPr>
          <w:rFonts w:ascii="ITC Avant Garde" w:eastAsia="Calibri" w:hAnsi="ITC Avant Garde"/>
          <w:color w:val="000000" w:themeColor="text1"/>
          <w:sz w:val="22"/>
          <w:szCs w:val="22"/>
          <w:lang w:eastAsia="es-MX"/>
        </w:rPr>
        <w:t xml:space="preserve"> de </w:t>
      </w:r>
      <w:r w:rsidRPr="00710CCB">
        <w:rPr>
          <w:rFonts w:ascii="ITC Avant Garde" w:eastAsia="Calibri" w:hAnsi="ITC Avant Garde"/>
          <w:color w:val="000000" w:themeColor="text1"/>
          <w:sz w:val="22"/>
          <w:szCs w:val="22"/>
          <w:lang w:eastAsia="es-MX"/>
        </w:rPr>
        <w:t>octubre</w:t>
      </w:r>
      <w:r w:rsidR="00E05F79" w:rsidRPr="00710CCB">
        <w:rPr>
          <w:rFonts w:ascii="ITC Avant Garde" w:eastAsia="Calibri" w:hAnsi="ITC Avant Garde"/>
          <w:color w:val="000000" w:themeColor="text1"/>
          <w:sz w:val="22"/>
          <w:szCs w:val="22"/>
          <w:lang w:eastAsia="es-MX"/>
        </w:rPr>
        <w:t xml:space="preserve"> de 2017 se publicaron en el Portal de Internet </w:t>
      </w:r>
      <w:r w:rsidR="004F0150" w:rsidRPr="00710CCB">
        <w:rPr>
          <w:rFonts w:ascii="ITC Avant Garde" w:eastAsia="Calibri" w:hAnsi="ITC Avant Garde"/>
          <w:color w:val="000000" w:themeColor="text1"/>
          <w:sz w:val="22"/>
          <w:szCs w:val="22"/>
          <w:lang w:eastAsia="es-MX"/>
        </w:rPr>
        <w:t xml:space="preserve">del Instituto los resultados </w:t>
      </w:r>
      <w:r w:rsidR="0014459D" w:rsidRPr="00710CCB">
        <w:rPr>
          <w:rFonts w:ascii="ITC Avant Garde" w:eastAsia="Calibri" w:hAnsi="ITC Avant Garde"/>
          <w:color w:val="000000" w:themeColor="text1"/>
          <w:sz w:val="22"/>
          <w:szCs w:val="22"/>
          <w:lang w:eastAsia="es-MX"/>
        </w:rPr>
        <w:t xml:space="preserve">respecto </w:t>
      </w:r>
      <w:r w:rsidR="009E3420" w:rsidRPr="00710CCB">
        <w:rPr>
          <w:rFonts w:ascii="ITC Avant Garde" w:eastAsia="Calibri" w:hAnsi="ITC Avant Garde"/>
          <w:color w:val="000000" w:themeColor="text1"/>
          <w:sz w:val="22"/>
          <w:szCs w:val="22"/>
          <w:lang w:eastAsia="es-MX"/>
        </w:rPr>
        <w:t>del Procedimiento de Presentación de Ofertas</w:t>
      </w:r>
      <w:r w:rsidR="0014459D" w:rsidRPr="00710CCB">
        <w:rPr>
          <w:rFonts w:ascii="ITC Avant Garde" w:eastAsia="Calibri" w:hAnsi="ITC Avant Garde"/>
          <w:color w:val="000000" w:themeColor="text1"/>
          <w:sz w:val="22"/>
          <w:szCs w:val="22"/>
          <w:lang w:eastAsia="es-MX"/>
        </w:rPr>
        <w:t xml:space="preserve"> </w:t>
      </w:r>
      <w:r w:rsidR="00E07637" w:rsidRPr="00710CCB">
        <w:rPr>
          <w:rFonts w:ascii="ITC Avant Garde" w:eastAsia="Calibri" w:hAnsi="ITC Avant Garde"/>
          <w:color w:val="000000" w:themeColor="text1"/>
          <w:sz w:val="22"/>
          <w:szCs w:val="22"/>
          <w:lang w:eastAsia="es-MX"/>
        </w:rPr>
        <w:t>d</w:t>
      </w:r>
      <w:r w:rsidR="004F0150" w:rsidRPr="00710CCB">
        <w:rPr>
          <w:rFonts w:ascii="ITC Avant Garde" w:eastAsia="Calibri" w:hAnsi="ITC Avant Garde"/>
          <w:color w:val="000000" w:themeColor="text1"/>
          <w:sz w:val="22"/>
          <w:szCs w:val="22"/>
          <w:lang w:eastAsia="es-MX"/>
        </w:rPr>
        <w:t>e los Bloques</w:t>
      </w:r>
      <w:r w:rsidR="00997F4E" w:rsidRPr="00710CCB">
        <w:rPr>
          <w:rFonts w:ascii="ITC Avant Garde" w:eastAsia="Calibri" w:hAnsi="ITC Avant Garde"/>
          <w:color w:val="000000" w:themeColor="text1"/>
          <w:sz w:val="22"/>
          <w:szCs w:val="22"/>
          <w:lang w:eastAsia="es-MX"/>
        </w:rPr>
        <w:t xml:space="preserve"> </w:t>
      </w:r>
      <w:r w:rsidR="009E3420" w:rsidRPr="00710CCB">
        <w:rPr>
          <w:rFonts w:ascii="ITC Avant Garde" w:eastAsia="Calibri" w:hAnsi="ITC Avant Garde"/>
          <w:color w:val="000000" w:themeColor="text1"/>
          <w:sz w:val="22"/>
          <w:szCs w:val="22"/>
          <w:lang w:eastAsia="es-MX"/>
        </w:rPr>
        <w:t>previstos en</w:t>
      </w:r>
      <w:r w:rsidR="00997F4E" w:rsidRPr="00710CCB">
        <w:rPr>
          <w:rFonts w:ascii="ITC Avant Garde" w:eastAsia="Calibri" w:hAnsi="ITC Avant Garde"/>
          <w:color w:val="000000" w:themeColor="text1"/>
          <w:sz w:val="22"/>
          <w:szCs w:val="22"/>
          <w:lang w:eastAsia="es-MX"/>
        </w:rPr>
        <w:t xml:space="preserve"> la Licitación No. IFT-5.</w:t>
      </w:r>
    </w:p>
    <w:p w14:paraId="38EAC30C" w14:textId="77777777" w:rsidR="00B156EB" w:rsidRDefault="00E05F79" w:rsidP="00B156EB">
      <w:pPr>
        <w:spacing w:before="240" w:after="240" w:line="240" w:lineRule="auto"/>
        <w:ind w:right="49"/>
        <w:contextualSpacing/>
        <w:jc w:val="both"/>
        <w:rPr>
          <w:rFonts w:ascii="ITC Avant Garde" w:eastAsia="Times New Roman" w:hAnsi="ITC Avant Garde" w:cs="Arial"/>
          <w:lang w:eastAsia="es-MX"/>
        </w:rPr>
      </w:pPr>
      <w:r w:rsidRPr="00735FDE">
        <w:rPr>
          <w:rFonts w:ascii="ITC Avant Garde" w:eastAsia="Times New Roman" w:hAnsi="ITC Avant Garde" w:cs="Arial"/>
          <w:lang w:eastAsia="es-MX"/>
        </w:rPr>
        <w:t xml:space="preserve">En virtud de los </w:t>
      </w:r>
      <w:r w:rsidR="0081477A">
        <w:rPr>
          <w:rFonts w:ascii="ITC Avant Garde" w:eastAsia="Times New Roman" w:hAnsi="ITC Avant Garde" w:cs="Arial"/>
          <w:lang w:eastAsia="es-MX"/>
        </w:rPr>
        <w:t>A</w:t>
      </w:r>
      <w:r w:rsidRPr="00735FDE">
        <w:rPr>
          <w:rFonts w:ascii="ITC Avant Garde" w:eastAsia="Times New Roman" w:hAnsi="ITC Avant Garde" w:cs="Arial"/>
          <w:lang w:eastAsia="es-MX"/>
        </w:rPr>
        <w:t xml:space="preserve">ntecedentes señalados y, </w:t>
      </w:r>
    </w:p>
    <w:p w14:paraId="18EDBAE1" w14:textId="77777777" w:rsidR="00B156EB" w:rsidRDefault="00E05F79" w:rsidP="00B156EB">
      <w:pPr>
        <w:pBdr>
          <w:top w:val="nil"/>
          <w:left w:val="nil"/>
          <w:bottom w:val="nil"/>
          <w:right w:val="nil"/>
          <w:between w:val="nil"/>
          <w:bar w:val="nil"/>
        </w:pBdr>
        <w:spacing w:before="240" w:after="240" w:line="240" w:lineRule="auto"/>
        <w:contextualSpacing/>
        <w:jc w:val="center"/>
        <w:outlineLvl w:val="1"/>
        <w:rPr>
          <w:rFonts w:ascii="ITC Avant Garde" w:eastAsia="Arial Unicode MS" w:hAnsi="ITC Avant Garde" w:cs="Arial Unicode MS"/>
          <w:b/>
          <w:bCs/>
          <w:u w:color="000000"/>
          <w:bdr w:val="nil"/>
          <w:lang w:val="es-ES_tradnl"/>
        </w:rPr>
      </w:pPr>
      <w:r w:rsidRPr="00735FDE">
        <w:rPr>
          <w:rFonts w:ascii="ITC Avant Garde" w:eastAsia="Arial Unicode MS" w:hAnsi="ITC Avant Garde" w:cs="Arial Unicode MS"/>
          <w:b/>
          <w:bCs/>
          <w:u w:color="000000"/>
          <w:bdr w:val="nil"/>
          <w:lang w:val="es-ES_tradnl"/>
        </w:rPr>
        <w:t>CONSIDERANDO</w:t>
      </w:r>
    </w:p>
    <w:p w14:paraId="39AA7A34" w14:textId="77777777" w:rsidR="00B156EB" w:rsidRDefault="00930E6E" w:rsidP="00B156EB">
      <w:pPr>
        <w:pStyle w:val="Prrafodelista"/>
        <w:spacing w:before="240" w:after="240"/>
        <w:ind w:left="0"/>
        <w:jc w:val="both"/>
        <w:rPr>
          <w:rFonts w:ascii="ITC Avant Garde" w:hAnsi="ITC Avant Garde" w:cs="Arial"/>
          <w:bCs/>
          <w:sz w:val="22"/>
          <w:szCs w:val="22"/>
          <w:lang w:eastAsia="ar-SA"/>
        </w:rPr>
      </w:pPr>
      <w:r>
        <w:rPr>
          <w:rFonts w:ascii="ITC Avant Garde" w:hAnsi="ITC Avant Garde" w:cs="Arial"/>
          <w:b/>
          <w:sz w:val="22"/>
          <w:szCs w:val="22"/>
        </w:rPr>
        <w:t>PRIMERO.</w:t>
      </w:r>
      <w:r>
        <w:rPr>
          <w:rFonts w:ascii="ITC Avant Garde" w:hAnsi="ITC Avant Garde" w:cs="Arial"/>
          <w:b/>
          <w:sz w:val="22"/>
          <w:szCs w:val="22"/>
        </w:rPr>
        <w:tab/>
      </w:r>
      <w:r w:rsidR="00E05F79" w:rsidRPr="00735FDE">
        <w:rPr>
          <w:rFonts w:ascii="ITC Avant Garde" w:hAnsi="ITC Avant Garde" w:cs="Arial"/>
          <w:b/>
          <w:sz w:val="22"/>
          <w:szCs w:val="22"/>
        </w:rPr>
        <w:t>Competencia del Instituto</w:t>
      </w:r>
      <w:r w:rsidR="00E05F79" w:rsidRPr="00735FDE">
        <w:rPr>
          <w:rFonts w:ascii="ITC Avant Garde" w:hAnsi="ITC Avant Garde" w:cs="Arial"/>
          <w:sz w:val="22"/>
          <w:szCs w:val="22"/>
        </w:rPr>
        <w:t>.</w:t>
      </w:r>
      <w:r w:rsidR="00E05F79" w:rsidRPr="00735FDE">
        <w:rPr>
          <w:rFonts w:ascii="ITC Avant Garde" w:hAnsi="ITC Avant Garde" w:cs="Arial"/>
          <w:b/>
          <w:bCs/>
          <w:sz w:val="22"/>
          <w:szCs w:val="22"/>
        </w:rPr>
        <w:t xml:space="preserve"> </w:t>
      </w:r>
      <w:r w:rsidR="00F9319E" w:rsidRPr="00A27287">
        <w:rPr>
          <w:rFonts w:ascii="ITC Avant Garde" w:hAnsi="ITC Avant Garde" w:cs="Arial"/>
          <w:color w:val="000000" w:themeColor="text1"/>
          <w:sz w:val="22"/>
          <w:szCs w:val="22"/>
        </w:rPr>
        <w:t xml:space="preserve">De conformidad con lo dispuesto en los artículos 6o., </w:t>
      </w:r>
      <w:r w:rsidR="00F9319E" w:rsidRPr="00A27287">
        <w:rPr>
          <w:rFonts w:ascii="ITC Avant Garde" w:hAnsi="ITC Avant Garde" w:cs="Arial"/>
          <w:sz w:val="22"/>
          <w:szCs w:val="22"/>
          <w:lang w:eastAsia="es-MX"/>
        </w:rPr>
        <w:t>párrafo tercero y A</w:t>
      </w:r>
      <w:r w:rsidR="00F9319E" w:rsidRPr="00A27287">
        <w:rPr>
          <w:rFonts w:ascii="ITC Avant Garde" w:hAnsi="ITC Avant Garde" w:cs="Arial"/>
          <w:color w:val="000000" w:themeColor="text1"/>
          <w:sz w:val="22"/>
          <w:szCs w:val="22"/>
        </w:rPr>
        <w:t>partado B, fracción II</w:t>
      </w:r>
      <w:r w:rsidR="00214512">
        <w:rPr>
          <w:rFonts w:ascii="ITC Avant Garde" w:hAnsi="ITC Avant Garde" w:cs="Arial"/>
          <w:color w:val="000000" w:themeColor="text1"/>
          <w:sz w:val="22"/>
          <w:szCs w:val="22"/>
        </w:rPr>
        <w:t>,</w:t>
      </w:r>
      <w:r w:rsidR="00F9319E" w:rsidRPr="00A27287">
        <w:rPr>
          <w:rFonts w:ascii="ITC Avant Garde" w:hAnsi="ITC Avant Garde" w:cs="Arial"/>
          <w:color w:val="000000" w:themeColor="text1"/>
          <w:sz w:val="22"/>
          <w:szCs w:val="22"/>
        </w:rPr>
        <w:t xml:space="preserve"> 27, párrafos cuarto y sexto</w:t>
      </w:r>
      <w:r w:rsidR="00FD0845">
        <w:rPr>
          <w:rFonts w:ascii="ITC Avant Garde" w:hAnsi="ITC Avant Garde" w:cs="Arial"/>
          <w:color w:val="000000" w:themeColor="text1"/>
          <w:sz w:val="22"/>
          <w:szCs w:val="22"/>
        </w:rPr>
        <w:t>,</w:t>
      </w:r>
      <w:r w:rsidR="00F9319E" w:rsidRPr="00A27287">
        <w:rPr>
          <w:rFonts w:ascii="ITC Avant Garde" w:hAnsi="ITC Avant Garde" w:cs="Arial"/>
          <w:color w:val="000000" w:themeColor="text1"/>
          <w:sz w:val="22"/>
          <w:szCs w:val="22"/>
        </w:rPr>
        <w:t xml:space="preserve">  28, párrafos décimo primero, décimo quinto, décimo sexto, décimo séptimo</w:t>
      </w:r>
      <w:r w:rsidR="00FD0845">
        <w:rPr>
          <w:rFonts w:ascii="ITC Avant Garde" w:hAnsi="ITC Avant Garde" w:cs="Arial"/>
          <w:color w:val="000000" w:themeColor="text1"/>
          <w:sz w:val="22"/>
          <w:szCs w:val="22"/>
        </w:rPr>
        <w:t>,</w:t>
      </w:r>
      <w:r w:rsidR="00F9319E" w:rsidRPr="00A27287">
        <w:rPr>
          <w:rFonts w:ascii="ITC Avant Garde" w:hAnsi="ITC Avant Garde" w:cs="Arial"/>
          <w:color w:val="000000" w:themeColor="text1"/>
          <w:sz w:val="22"/>
          <w:szCs w:val="22"/>
        </w:rPr>
        <w:t xml:space="preserve">  </w:t>
      </w:r>
      <w:r w:rsidR="002546C4">
        <w:rPr>
          <w:rFonts w:ascii="ITC Avant Garde" w:hAnsi="ITC Avant Garde" w:cs="Arial"/>
          <w:color w:val="000000" w:themeColor="text1"/>
          <w:sz w:val="22"/>
          <w:szCs w:val="22"/>
        </w:rPr>
        <w:t xml:space="preserve">décimo octavo </w:t>
      </w:r>
      <w:r w:rsidR="00FD0845">
        <w:rPr>
          <w:rFonts w:ascii="ITC Avant Garde" w:hAnsi="ITC Avant Garde" w:cs="Arial"/>
          <w:color w:val="000000" w:themeColor="text1"/>
          <w:sz w:val="22"/>
          <w:szCs w:val="22"/>
        </w:rPr>
        <w:t xml:space="preserve">y 134 </w:t>
      </w:r>
      <w:r w:rsidR="002546C4">
        <w:rPr>
          <w:rFonts w:ascii="ITC Avant Garde" w:hAnsi="ITC Avant Garde" w:cs="Arial"/>
          <w:color w:val="000000" w:themeColor="text1"/>
          <w:sz w:val="22"/>
          <w:szCs w:val="22"/>
        </w:rPr>
        <w:t xml:space="preserve">de la </w:t>
      </w:r>
      <w:r w:rsidR="00F9319E">
        <w:rPr>
          <w:rFonts w:ascii="ITC Avant Garde" w:hAnsi="ITC Avant Garde" w:cs="Arial"/>
          <w:color w:val="000000" w:themeColor="text1"/>
          <w:sz w:val="22"/>
          <w:szCs w:val="22"/>
        </w:rPr>
        <w:t>Constitución</w:t>
      </w:r>
      <w:r w:rsidR="00F9319E" w:rsidRPr="00A27287">
        <w:rPr>
          <w:rFonts w:ascii="ITC Avant Garde" w:hAnsi="ITC Avant Garde" w:cs="Arial"/>
          <w:color w:val="000000" w:themeColor="text1"/>
          <w:sz w:val="22"/>
          <w:szCs w:val="22"/>
        </w:rPr>
        <w:t>;</w:t>
      </w:r>
      <w:r w:rsidR="00214512">
        <w:rPr>
          <w:rFonts w:ascii="ITC Avant Garde" w:hAnsi="ITC Avant Garde" w:cs="Arial"/>
          <w:color w:val="000000" w:themeColor="text1"/>
          <w:sz w:val="22"/>
          <w:szCs w:val="22"/>
        </w:rPr>
        <w:t xml:space="preserve"> y</w:t>
      </w:r>
      <w:r w:rsidR="00F9319E" w:rsidRPr="00A27287">
        <w:rPr>
          <w:rFonts w:ascii="ITC Avant Garde" w:hAnsi="ITC Avant Garde" w:cs="Arial"/>
          <w:color w:val="000000" w:themeColor="text1"/>
          <w:sz w:val="22"/>
          <w:szCs w:val="22"/>
        </w:rPr>
        <w:t xml:space="preserve"> 1, 2, 7 y 15 fracciones VII, XVIII y LXIII</w:t>
      </w:r>
      <w:r w:rsidR="00C55F39">
        <w:rPr>
          <w:rFonts w:ascii="ITC Avant Garde" w:hAnsi="ITC Avant Garde" w:cs="Arial"/>
          <w:color w:val="000000" w:themeColor="text1"/>
          <w:sz w:val="22"/>
          <w:szCs w:val="22"/>
        </w:rPr>
        <w:t>,</w:t>
      </w:r>
      <w:r w:rsidR="00F9319E" w:rsidRPr="00A27287">
        <w:rPr>
          <w:rFonts w:ascii="ITC Avant Garde" w:hAnsi="ITC Avant Garde" w:cs="Arial"/>
          <w:color w:val="000000" w:themeColor="text1"/>
          <w:sz w:val="22"/>
          <w:szCs w:val="22"/>
        </w:rPr>
        <w:t xml:space="preserve"> de la Ley, el Instituto es un órgano autónomo con personalidad jurídica y patrimonio propio que tiene por objeto el desarrollo eficiente de la radiodi</w:t>
      </w:r>
      <w:r w:rsidR="00F9319E">
        <w:rPr>
          <w:rFonts w:ascii="ITC Avant Garde" w:hAnsi="ITC Avant Garde" w:cs="Arial"/>
          <w:color w:val="000000" w:themeColor="text1"/>
          <w:sz w:val="22"/>
          <w:szCs w:val="22"/>
        </w:rPr>
        <w:t>fusión y las telecomunicaciones; a</w:t>
      </w:r>
      <w:r w:rsidR="00F9319E" w:rsidRPr="00A27287">
        <w:rPr>
          <w:rFonts w:ascii="ITC Avant Garde" w:hAnsi="ITC Avant Garde" w:cs="Arial"/>
          <w:color w:val="000000" w:themeColor="text1"/>
          <w:sz w:val="22"/>
          <w:szCs w:val="22"/>
        </w:rPr>
        <w:t>demás de ser también la autoridad en materia de competencia económica de los sectores de radiodifusión y telecomunicaciones.</w:t>
      </w:r>
    </w:p>
    <w:p w14:paraId="2C8A22FC" w14:textId="77777777" w:rsidR="00B156EB" w:rsidRDefault="00F9319E" w:rsidP="00B156EB">
      <w:pPr>
        <w:suppressAutoHyphens/>
        <w:spacing w:before="240" w:after="240" w:line="240" w:lineRule="auto"/>
        <w:ind w:right="-62"/>
        <w:contextualSpacing/>
        <w:jc w:val="both"/>
        <w:rPr>
          <w:rFonts w:ascii="ITC Avant Garde" w:hAnsi="ITC Avant Garde" w:cs="Arial"/>
        </w:rPr>
      </w:pPr>
      <w:r w:rsidRPr="00930E6E">
        <w:rPr>
          <w:rFonts w:ascii="ITC Avant Garde" w:hAnsi="ITC Avant Garde" w:cs="Arial"/>
        </w:rPr>
        <w:lastRenderedPageBreak/>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4E984273" w14:textId="77777777" w:rsidR="00B156EB" w:rsidRDefault="00F9319E" w:rsidP="00B156EB">
      <w:pPr>
        <w:suppressAutoHyphens/>
        <w:spacing w:before="240" w:after="240" w:line="240" w:lineRule="auto"/>
        <w:ind w:right="-62"/>
        <w:contextualSpacing/>
        <w:jc w:val="both"/>
        <w:rPr>
          <w:rFonts w:ascii="ITC Avant Garde" w:hAnsi="ITC Avant Garde" w:cs="Arial"/>
        </w:rPr>
      </w:pPr>
      <w:r w:rsidRPr="00930E6E">
        <w:rPr>
          <w:rFonts w:ascii="ITC Avant Garde" w:hAnsi="ITC Avant Garde" w:cs="Arial"/>
        </w:rPr>
        <w:t>En ese sentido, como órgano máximo de gobierno del Instituto, el Pleno resulta competente para emitir la presente Resolución.</w:t>
      </w:r>
    </w:p>
    <w:p w14:paraId="4AD756A7" w14:textId="77777777" w:rsidR="00B156EB" w:rsidRDefault="00981D27" w:rsidP="00B156EB">
      <w:pPr>
        <w:pStyle w:val="Prrafodelista"/>
        <w:spacing w:before="240" w:after="240"/>
        <w:ind w:left="0"/>
        <w:jc w:val="both"/>
        <w:rPr>
          <w:rFonts w:ascii="ITC Avant Garde" w:hAnsi="ITC Avant Garde" w:cs="Arial"/>
          <w:sz w:val="22"/>
          <w:szCs w:val="22"/>
        </w:rPr>
      </w:pPr>
      <w:r>
        <w:rPr>
          <w:rFonts w:ascii="ITC Avant Garde" w:hAnsi="ITC Avant Garde" w:cs="Arial"/>
          <w:b/>
          <w:bCs/>
          <w:sz w:val="22"/>
          <w:szCs w:val="22"/>
        </w:rPr>
        <w:t>SEGUNDO.</w:t>
      </w:r>
      <w:r>
        <w:rPr>
          <w:rFonts w:ascii="ITC Avant Garde" w:hAnsi="ITC Avant Garde" w:cs="Arial"/>
          <w:b/>
          <w:bCs/>
          <w:sz w:val="22"/>
          <w:szCs w:val="22"/>
        </w:rPr>
        <w:tab/>
      </w:r>
      <w:r w:rsidR="00F50713" w:rsidRPr="00F50713">
        <w:rPr>
          <w:rFonts w:ascii="ITC Avant Garde" w:hAnsi="ITC Avant Garde" w:cs="Arial"/>
          <w:b/>
          <w:bCs/>
          <w:sz w:val="22"/>
          <w:szCs w:val="22"/>
        </w:rPr>
        <w:t xml:space="preserve">Marco Normativo de la Licitación No. IFT-5. </w:t>
      </w:r>
      <w:r w:rsidR="00F50713" w:rsidRPr="00F50713">
        <w:rPr>
          <w:rFonts w:ascii="ITC Avant Garde" w:hAnsi="ITC Avant Garde" w:cs="Arial"/>
          <w:bCs/>
          <w:sz w:val="22"/>
          <w:szCs w:val="22"/>
        </w:rPr>
        <w:t>Los párrafos décimo primero y décimo octavo del artículo 28 de la Constitución establecen a la letra:</w:t>
      </w:r>
    </w:p>
    <w:p w14:paraId="0AD56B73" w14:textId="423A1F80"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r w:rsidRPr="00F50713">
        <w:rPr>
          <w:rFonts w:ascii="ITC Avant Garde" w:hAnsi="ITC Avant Garde" w:cs="Arial"/>
          <w:b/>
          <w:i/>
          <w:sz w:val="20"/>
          <w:szCs w:val="20"/>
        </w:rPr>
        <w:t>Artículo 28.</w:t>
      </w:r>
    </w:p>
    <w:p w14:paraId="3887C3FE"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p>
    <w:p w14:paraId="4B76ADFF"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14:paraId="22FDEC2D"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p>
    <w:p w14:paraId="025A3A57"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u w:val="single"/>
        </w:rPr>
        <w:t>Las concesiones de espectro radioeléctrico serán otorgadas mediante licitación pública,</w:t>
      </w:r>
      <w:r w:rsidRPr="00F50713">
        <w:rPr>
          <w:rFonts w:ascii="ITC Avant Garde" w:hAnsi="ITC Avant Garde" w:cs="Arial"/>
          <w:i/>
          <w:sz w:val="20"/>
          <w:szCs w:val="20"/>
          <w:u w:val="single"/>
        </w:rPr>
        <w:t xml:space="preserve"> </w:t>
      </w:r>
      <w:r w:rsidRPr="00F50713">
        <w:rPr>
          <w:rFonts w:ascii="ITC Avant Garde" w:hAnsi="ITC Avant Garde" w:cs="Arial"/>
          <w:b/>
          <w:i/>
          <w:sz w:val="20"/>
          <w:szCs w:val="20"/>
          <w:u w:val="single"/>
        </w:rPr>
        <w:t>a fin de asegurar la máxima concurrencia, previniendo</w:t>
      </w:r>
      <w:r w:rsidR="006F7378">
        <w:rPr>
          <w:rFonts w:ascii="ITC Avant Garde" w:hAnsi="ITC Avant Garde" w:cs="Arial"/>
          <w:b/>
          <w:i/>
          <w:sz w:val="20"/>
          <w:szCs w:val="20"/>
          <w:u w:val="single"/>
        </w:rPr>
        <w:t xml:space="preserve"> </w:t>
      </w:r>
      <w:r w:rsidRPr="00F50713">
        <w:rPr>
          <w:rFonts w:ascii="ITC Avant Garde" w:hAnsi="ITC Avant Garde" w:cs="Arial"/>
          <w:b/>
          <w:i/>
          <w:sz w:val="20"/>
          <w:szCs w:val="20"/>
          <w:u w:val="single"/>
        </w:rPr>
        <w:t>fenómenos de concentración que contraríen el interés público</w:t>
      </w:r>
      <w:r w:rsidRPr="00F50713">
        <w:rPr>
          <w:rFonts w:ascii="ITC Avant Garde" w:hAnsi="ITC Avant Garde" w:cs="Arial"/>
          <w:b/>
          <w:i/>
          <w:sz w:val="20"/>
          <w:szCs w:val="20"/>
        </w:rPr>
        <w:t xml:space="preserve"> </w:t>
      </w:r>
      <w:r w:rsidRPr="00F50713">
        <w:rPr>
          <w:rFonts w:ascii="ITC Avant Garde" w:hAnsi="ITC Avant Garde" w:cs="Arial"/>
          <w:i/>
          <w:sz w:val="20"/>
          <w:szCs w:val="20"/>
        </w:rPr>
        <w:t xml:space="preserve">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 a lo previsto por la ley y en condiciones que garanticen la transparencia del procedimiento.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atribuciones necesarias que garanticen la continuidad en la prestación del servicio. </w:t>
      </w:r>
    </w:p>
    <w:p w14:paraId="7FEF64AB" w14:textId="77777777" w:rsidR="00B156EB"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p>
    <w:p w14:paraId="00A7DA86" w14:textId="77777777" w:rsidR="00B156EB" w:rsidRDefault="00F50713" w:rsidP="00B156EB">
      <w:pPr>
        <w:suppressAutoHyphens/>
        <w:spacing w:before="240" w:after="240" w:line="240" w:lineRule="auto"/>
        <w:ind w:right="-62"/>
        <w:contextualSpacing/>
        <w:jc w:val="both"/>
        <w:rPr>
          <w:rFonts w:ascii="ITC Avant Garde" w:hAnsi="ITC Avant Garde" w:cs="Arial"/>
        </w:rPr>
      </w:pPr>
      <w:r w:rsidRPr="00F50713">
        <w:rPr>
          <w:rFonts w:ascii="ITC Avant Garde" w:hAnsi="ITC Avant Garde" w:cs="Arial"/>
        </w:rPr>
        <w:t>De lo anterior se desprende que el Estado podrá concesionar la prestación de los servicios públicos de telecomunicaciones y radiodifusión, así como la explotación, uso y aprovechamiento de bienes de dominio de la Federación, para lo cual deberá asegurar la máxima concurrencia y evitar que se generen fenómenos de concentración contrarios al interés público. Asimismo, tratándose de concesiones de espectro radioeléctrico, éstas serán otorgadas mediante licitación pública, excepto las concesiones para uso público y social, las cuales se otorgarán por asignación directa, sujeto a disponibilidad</w:t>
      </w:r>
      <w:r w:rsidRPr="00F50713">
        <w:rPr>
          <w:rFonts w:ascii="ITC Avant Garde" w:hAnsi="ITC Avant Garde"/>
        </w:rPr>
        <w:t xml:space="preserve">. </w:t>
      </w:r>
    </w:p>
    <w:p w14:paraId="67C6D4F4" w14:textId="77777777" w:rsidR="00B156EB" w:rsidRDefault="00F50713" w:rsidP="00B156EB">
      <w:pPr>
        <w:suppressAutoHyphens/>
        <w:spacing w:before="240" w:after="240" w:line="240" w:lineRule="auto"/>
        <w:ind w:right="49"/>
        <w:contextualSpacing/>
        <w:jc w:val="both"/>
        <w:rPr>
          <w:rFonts w:ascii="ITC Avant Garde" w:eastAsia="Times New Roman" w:hAnsi="ITC Avant Garde" w:cs="Arial"/>
          <w:kern w:val="2"/>
          <w:lang w:eastAsia="ar-SA"/>
        </w:rPr>
      </w:pPr>
      <w:r w:rsidRPr="00F50713">
        <w:rPr>
          <w:rFonts w:ascii="ITC Avant Garde" w:eastAsia="Times New Roman" w:hAnsi="ITC Avant Garde" w:cs="Arial"/>
          <w:kern w:val="2"/>
          <w:lang w:eastAsia="ar-SA"/>
        </w:rPr>
        <w:t xml:space="preserve">Por su parte, el artículo 54 de la Ley establece que la administración del espectro radioeléctrico y los recursos orbitales se ejercerá por el Instituto en el actuar de sus funciones según lo dispuesto por la Constitución, en la Ley, en los tratados y acuerdos </w:t>
      </w:r>
      <w:r w:rsidRPr="00F50713">
        <w:rPr>
          <w:rFonts w:ascii="ITC Avant Garde" w:eastAsia="Times New Roman" w:hAnsi="ITC Avant Garde" w:cs="Arial"/>
          <w:kern w:val="2"/>
          <w:lang w:eastAsia="ar-SA"/>
        </w:rPr>
        <w:lastRenderedPageBreak/>
        <w:t xml:space="preserve">internacionales firmados por México y, en lo aplicable, siguiendo las recomendaciones de la Unión Internacional de Telecomunicaciones y otros organismos internacionales. </w:t>
      </w:r>
    </w:p>
    <w:p w14:paraId="4865BD31" w14:textId="77777777" w:rsidR="00B156EB" w:rsidRDefault="00F50713" w:rsidP="00B156EB">
      <w:pPr>
        <w:suppressAutoHyphens/>
        <w:spacing w:before="240" w:after="240" w:line="240" w:lineRule="auto"/>
        <w:ind w:right="49"/>
        <w:contextualSpacing/>
        <w:jc w:val="both"/>
        <w:rPr>
          <w:rFonts w:ascii="ITC Avant Garde" w:eastAsia="Times New Roman" w:hAnsi="ITC Avant Garde" w:cs="Arial"/>
          <w:kern w:val="2"/>
          <w:lang w:eastAsia="ar-SA"/>
        </w:rPr>
      </w:pPr>
      <w:r w:rsidRPr="00F50713">
        <w:rPr>
          <w:rFonts w:ascii="ITC Avant Garde" w:eastAsia="Times New Roman" w:hAnsi="ITC Avant Garde" w:cs="Arial"/>
          <w:kern w:val="2"/>
          <w:lang w:eastAsia="ar-SA"/>
        </w:rPr>
        <w:t xml:space="preserve">La administración del espectro radioeléctrico comprende la elaboración y aprobación de planes y programas </w:t>
      </w:r>
      <w:r w:rsidR="00FD0845">
        <w:rPr>
          <w:rFonts w:ascii="ITC Avant Garde" w:eastAsia="Times New Roman" w:hAnsi="ITC Avant Garde" w:cs="Arial"/>
          <w:kern w:val="2"/>
          <w:lang w:eastAsia="ar-SA"/>
        </w:rPr>
        <w:t>para</w:t>
      </w:r>
      <w:r w:rsidRPr="00F50713">
        <w:rPr>
          <w:rFonts w:ascii="ITC Avant Garde" w:eastAsia="Times New Roman" w:hAnsi="ITC Avant Garde" w:cs="Arial"/>
          <w:kern w:val="2"/>
          <w:lang w:eastAsia="ar-SA"/>
        </w:rPr>
        <w:t xml:space="preserve"> su uso, el establecimiento de las condiciones para la atribución de una banda de frecuencias, el otorgamiento de las concesiones, la supervisión de las emisiones radioeléctricas y la aplicación del régimen de sanciones, sin menoscabo de las atribuciones que corresponden al Ejecutivo Federal.</w:t>
      </w:r>
    </w:p>
    <w:p w14:paraId="6B16F59F" w14:textId="77777777" w:rsidR="00B156EB" w:rsidRDefault="00C55F39" w:rsidP="00B156EB">
      <w:pPr>
        <w:tabs>
          <w:tab w:val="left" w:pos="7655"/>
        </w:tabs>
        <w:spacing w:before="240" w:after="240" w:line="240" w:lineRule="auto"/>
        <w:ind w:right="-62"/>
        <w:contextualSpacing/>
        <w:jc w:val="both"/>
        <w:rPr>
          <w:rFonts w:ascii="ITC Avant Garde" w:hAnsi="ITC Avant Garde" w:cs="Arial"/>
        </w:rPr>
      </w:pPr>
      <w:r>
        <w:rPr>
          <w:rFonts w:ascii="ITC Avant Garde" w:hAnsi="ITC Avant Garde" w:cs="Arial"/>
        </w:rPr>
        <w:t xml:space="preserve"> En ese sentido, el artículo 15</w:t>
      </w:r>
      <w:r w:rsidR="00F50713" w:rsidRPr="00F50713">
        <w:rPr>
          <w:rFonts w:ascii="ITC Avant Garde" w:hAnsi="ITC Avant Garde" w:cs="Arial"/>
        </w:rPr>
        <w:t xml:space="preserve"> </w:t>
      </w:r>
      <w:proofErr w:type="gramStart"/>
      <w:r w:rsidR="00F50713" w:rsidRPr="00F50713">
        <w:rPr>
          <w:rFonts w:ascii="ITC Avant Garde" w:hAnsi="ITC Avant Garde" w:cs="Arial"/>
        </w:rPr>
        <w:t>fracción</w:t>
      </w:r>
      <w:proofErr w:type="gramEnd"/>
      <w:r w:rsidR="00F50713" w:rsidRPr="00F50713">
        <w:rPr>
          <w:rFonts w:ascii="ITC Avant Garde" w:hAnsi="ITC Avant Garde" w:cs="Arial"/>
        </w:rPr>
        <w:t xml:space="preserve"> VII de la </w:t>
      </w:r>
      <w:r w:rsidR="00F50713" w:rsidRPr="00F50713">
        <w:rPr>
          <w:rFonts w:ascii="ITC Avant Garde" w:eastAsia="Times New Roman" w:hAnsi="ITC Avant Garde" w:cs="Arial"/>
          <w:kern w:val="2"/>
          <w:lang w:eastAsia="ar-SA"/>
        </w:rPr>
        <w:t>Ley</w:t>
      </w:r>
      <w:r w:rsidR="00F50713" w:rsidRPr="00F50713">
        <w:rPr>
          <w:rFonts w:ascii="ITC Avant Garde" w:hAnsi="ITC Avant Garde" w:cs="Arial"/>
        </w:rPr>
        <w:t xml:space="preserve"> establece:</w:t>
      </w:r>
    </w:p>
    <w:p w14:paraId="46D869EC" w14:textId="0217EE20"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r w:rsidRPr="00F50713">
        <w:rPr>
          <w:rFonts w:ascii="ITC Avant Garde" w:hAnsi="ITC Avant Garde" w:cs="Arial"/>
          <w:b/>
          <w:i/>
          <w:sz w:val="20"/>
          <w:szCs w:val="20"/>
        </w:rPr>
        <w:t>Artículo 15.</w:t>
      </w:r>
      <w:r w:rsidRPr="00F50713">
        <w:rPr>
          <w:rFonts w:ascii="ITC Avant Garde" w:hAnsi="ITC Avant Garde" w:cs="Arial"/>
          <w:i/>
          <w:sz w:val="20"/>
          <w:szCs w:val="20"/>
        </w:rPr>
        <w:t xml:space="preserve"> Para el ejercicio de sus atribuciones corresponde al Instituto:</w:t>
      </w:r>
    </w:p>
    <w:p w14:paraId="77644D36"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p>
    <w:p w14:paraId="5DF2FF96"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VII</w:t>
      </w:r>
      <w:r w:rsidRPr="00F50713">
        <w:rPr>
          <w:rFonts w:ascii="ITC Avant Garde" w:hAnsi="ITC Avant Garde" w:cs="Arial"/>
          <w:i/>
          <w:sz w:val="20"/>
          <w:szCs w:val="20"/>
        </w:rPr>
        <w:t>. Llevar a cabo los procesos de licitación y asignación de bandas de frecuencias del espectro radioeléctrico en materia de telecomunicaciones y radiodifusión, y de recursos orbitales con sus bandas de frecuencias asociadas;</w:t>
      </w:r>
    </w:p>
    <w:p w14:paraId="42222C87" w14:textId="77777777" w:rsidR="00B156EB"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p>
    <w:p w14:paraId="57C99ECF" w14:textId="77777777" w:rsidR="00B156EB" w:rsidRDefault="00F50713" w:rsidP="00B156EB">
      <w:pPr>
        <w:shd w:val="clear" w:color="auto" w:fill="FFFFFF"/>
        <w:tabs>
          <w:tab w:val="left" w:pos="6663"/>
        </w:tabs>
        <w:spacing w:before="240" w:after="240" w:line="240" w:lineRule="auto"/>
        <w:jc w:val="both"/>
        <w:rPr>
          <w:rFonts w:ascii="ITC Avant Garde" w:eastAsia="Times New Roman" w:hAnsi="ITC Avant Garde" w:cs="Arial"/>
          <w:lang w:eastAsia="es-MX"/>
        </w:rPr>
      </w:pPr>
      <w:r w:rsidRPr="00F50713">
        <w:rPr>
          <w:rFonts w:ascii="ITC Avant Garde" w:eastAsia="Times New Roman" w:hAnsi="ITC Avant Garde" w:cs="Arial"/>
          <w:lang w:eastAsia="es-MX"/>
        </w:rPr>
        <w:t xml:space="preserve">Aunado </w:t>
      </w:r>
      <w:r w:rsidR="000C37CB">
        <w:rPr>
          <w:rFonts w:ascii="ITC Avant Garde" w:eastAsia="Times New Roman" w:hAnsi="ITC Avant Garde" w:cs="Arial"/>
          <w:lang w:eastAsia="es-MX"/>
        </w:rPr>
        <w:t>a lo anterior, los artículos 78</w:t>
      </w:r>
      <w:r w:rsidRPr="00F50713">
        <w:rPr>
          <w:rFonts w:ascii="ITC Avant Garde" w:eastAsia="Times New Roman" w:hAnsi="ITC Avant Garde" w:cs="Arial"/>
          <w:lang w:eastAsia="es-MX"/>
        </w:rPr>
        <w:t xml:space="preserve"> fracción I y 79</w:t>
      </w:r>
      <w:r w:rsidR="00C55F39">
        <w:rPr>
          <w:rFonts w:ascii="ITC Avant Garde" w:eastAsia="Times New Roman" w:hAnsi="ITC Avant Garde" w:cs="Arial"/>
          <w:lang w:eastAsia="es-MX"/>
        </w:rPr>
        <w:t>,</w:t>
      </w:r>
      <w:r w:rsidRPr="00F50713">
        <w:rPr>
          <w:rFonts w:ascii="ITC Avant Garde" w:eastAsia="Times New Roman" w:hAnsi="ITC Avant Garde" w:cs="Arial"/>
          <w:lang w:eastAsia="es-MX"/>
        </w:rPr>
        <w:t xml:space="preserve"> de la </w:t>
      </w:r>
      <w:r w:rsidRPr="00F50713">
        <w:rPr>
          <w:rFonts w:ascii="ITC Avant Garde" w:eastAsia="Times New Roman" w:hAnsi="ITC Avant Garde" w:cs="Arial"/>
          <w:kern w:val="2"/>
          <w:lang w:eastAsia="ar-SA"/>
        </w:rPr>
        <w:t>Ley</w:t>
      </w:r>
      <w:r w:rsidRPr="00F50713">
        <w:rPr>
          <w:rFonts w:ascii="ITC Avant Garde" w:eastAsia="Times New Roman" w:hAnsi="ITC Avant Garde" w:cs="Arial"/>
          <w:lang w:eastAsia="es-MX"/>
        </w:rPr>
        <w:t xml:space="preserve"> disponen:</w:t>
      </w:r>
    </w:p>
    <w:p w14:paraId="2A77EF5A" w14:textId="77777777" w:rsidR="00B156EB"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r w:rsidRPr="00F50713">
        <w:rPr>
          <w:rFonts w:ascii="ITC Avant Garde" w:hAnsi="ITC Avant Garde" w:cs="Arial"/>
          <w:b/>
          <w:i/>
          <w:sz w:val="20"/>
          <w:szCs w:val="20"/>
        </w:rPr>
        <w:t>Artículo 78. </w:t>
      </w:r>
      <w:r w:rsidRPr="00F50713">
        <w:rPr>
          <w:rFonts w:ascii="ITC Avant Garde" w:hAnsi="ITC Avant Garde" w:cs="Arial"/>
          <w:b/>
          <w:i/>
          <w:sz w:val="20"/>
          <w:szCs w:val="20"/>
          <w:u w:val="single"/>
        </w:rPr>
        <w:t>Las concesiones para el uso, aprovechamiento o explotación del espectro radioeléctrico para uso comercial</w:t>
      </w:r>
      <w:r w:rsidRPr="00F50713">
        <w:rPr>
          <w:rFonts w:ascii="ITC Avant Garde" w:hAnsi="ITC Avant Garde" w:cs="Arial"/>
          <w:i/>
          <w:sz w:val="20"/>
          <w:szCs w:val="20"/>
        </w:rPr>
        <w:t xml:space="preserve"> o privado, en este último caso para los propósitos previstos en el artículo 76, fracción III, inciso a), </w:t>
      </w:r>
      <w:r w:rsidRPr="00F50713">
        <w:rPr>
          <w:rFonts w:ascii="ITC Avant Garde" w:hAnsi="ITC Avant Garde" w:cs="Arial"/>
          <w:b/>
          <w:i/>
          <w:sz w:val="20"/>
          <w:szCs w:val="20"/>
          <w:u w:val="single"/>
        </w:rPr>
        <w:t>se otorgarán únicamente a través de un procedimiento de licitación pública</w:t>
      </w:r>
      <w:r w:rsidRPr="00F50713">
        <w:rPr>
          <w:rFonts w:ascii="ITC Avant Garde" w:hAnsi="ITC Avant Garde" w:cs="Arial"/>
          <w:i/>
          <w:sz w:val="20"/>
          <w:szCs w:val="20"/>
        </w:rPr>
        <w:t xml:space="preserve"> previo pago de una contraprestación, para lo cual, se deberán observar los criterios previstos en los artículos 6o., 7o., 28 y 134 de la Constitución y lo establecido en la Sección VII del Capítulo III del presente Título, así como los siguientes:</w:t>
      </w:r>
    </w:p>
    <w:p w14:paraId="2710C07A" w14:textId="6CDE628F" w:rsidR="00F50713" w:rsidRPr="00F50713" w:rsidRDefault="00F50713" w:rsidP="00B156EB">
      <w:pPr>
        <w:pStyle w:val="Prrafodelista"/>
        <w:numPr>
          <w:ilvl w:val="0"/>
          <w:numId w:val="41"/>
        </w:numPr>
        <w:spacing w:before="240" w:after="240"/>
        <w:ind w:left="1560" w:right="1182" w:hanging="426"/>
        <w:contextualSpacing/>
        <w:jc w:val="both"/>
        <w:rPr>
          <w:rFonts w:ascii="ITC Avant Garde" w:hAnsi="ITC Avant Garde" w:cs="Arial"/>
          <w:b/>
          <w:i/>
          <w:sz w:val="20"/>
        </w:rPr>
      </w:pPr>
      <w:r w:rsidRPr="00F50713">
        <w:rPr>
          <w:rFonts w:ascii="ITC Avant Garde" w:hAnsi="ITC Avant Garde" w:cs="Arial"/>
          <w:i/>
          <w:sz w:val="20"/>
        </w:rPr>
        <w:t>Para el otorgamiento de concesiones en materia de telecomunicaciones, el Instituto podrá tomar en cuenta, entre otros, los siguientes factores:</w:t>
      </w:r>
    </w:p>
    <w:p w14:paraId="48B4BFEB" w14:textId="77777777" w:rsidR="00F50713" w:rsidRPr="00F50713" w:rsidRDefault="00F50713" w:rsidP="00B156E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La propuesta económica;</w:t>
      </w:r>
    </w:p>
    <w:p w14:paraId="59336BAB" w14:textId="77777777" w:rsidR="00F50713" w:rsidRPr="00F50713" w:rsidRDefault="00F50713" w:rsidP="00B156E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La cobertura, calidad e innovación;</w:t>
      </w:r>
    </w:p>
    <w:p w14:paraId="24B65C09" w14:textId="77777777" w:rsidR="00F50713" w:rsidRPr="00F50713" w:rsidRDefault="00F50713" w:rsidP="00B156E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El favorecimiento de menores precios en los servicios al usuario final;</w:t>
      </w:r>
    </w:p>
    <w:p w14:paraId="02F581BE" w14:textId="77777777" w:rsidR="00F50713" w:rsidRPr="00F50713" w:rsidRDefault="00F50713" w:rsidP="00B156E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La prevención de fenómenos de concentración que contraríen el interés público;</w:t>
      </w:r>
    </w:p>
    <w:p w14:paraId="1F7EF98B" w14:textId="77777777" w:rsidR="00F50713" w:rsidRPr="00F50713" w:rsidRDefault="00F50713" w:rsidP="00B156E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 xml:space="preserve">La posible entrada de nuevos competidores al mercado; y </w:t>
      </w:r>
    </w:p>
    <w:p w14:paraId="0F25D4B0" w14:textId="77777777" w:rsidR="00B156EB" w:rsidRDefault="00F50713" w:rsidP="00B156E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 xml:space="preserve">La consistencia con el programa de </w:t>
      </w:r>
      <w:proofErr w:type="spellStart"/>
      <w:r w:rsidRPr="00F50713">
        <w:rPr>
          <w:rFonts w:ascii="ITC Avant Garde" w:hAnsi="ITC Avant Garde" w:cs="Arial"/>
          <w:i/>
          <w:sz w:val="20"/>
        </w:rPr>
        <w:t>concesionamiento</w:t>
      </w:r>
      <w:proofErr w:type="spellEnd"/>
      <w:r w:rsidRPr="00F50713">
        <w:rPr>
          <w:rFonts w:ascii="ITC Avant Garde" w:hAnsi="ITC Avant Garde" w:cs="Arial"/>
          <w:i/>
          <w:sz w:val="20"/>
        </w:rPr>
        <w:t>.</w:t>
      </w:r>
    </w:p>
    <w:p w14:paraId="46043066" w14:textId="77777777" w:rsidR="00B156EB" w:rsidRDefault="00F50713" w:rsidP="00B156EB">
      <w:pPr>
        <w:spacing w:before="240" w:after="240" w:line="240" w:lineRule="auto"/>
        <w:ind w:left="1134" w:right="1182" w:firstLine="282"/>
        <w:contextualSpacing/>
        <w:jc w:val="both"/>
        <w:rPr>
          <w:rFonts w:ascii="ITC Avant Garde" w:hAnsi="ITC Avant Garde" w:cs="Arial"/>
          <w:i/>
          <w:sz w:val="20"/>
          <w:szCs w:val="20"/>
        </w:rPr>
      </w:pPr>
      <w:r w:rsidRPr="00F50713">
        <w:rPr>
          <w:rFonts w:ascii="ITC Avant Garde" w:hAnsi="ITC Avant Garde" w:cs="Arial"/>
          <w:i/>
          <w:sz w:val="20"/>
          <w:szCs w:val="20"/>
        </w:rPr>
        <w:t xml:space="preserve"> (…)”</w:t>
      </w:r>
    </w:p>
    <w:p w14:paraId="049A10EF" w14:textId="77777777" w:rsidR="00B156EB" w:rsidRDefault="00F50713" w:rsidP="00B156EB">
      <w:pPr>
        <w:spacing w:before="240" w:after="240" w:line="240" w:lineRule="auto"/>
        <w:ind w:left="1134" w:right="1182"/>
        <w:contextualSpacing/>
        <w:jc w:val="both"/>
        <w:rPr>
          <w:rFonts w:ascii="ITC Avant Garde" w:hAnsi="ITC Avant Garde" w:cs="Arial"/>
          <w:b/>
          <w:i/>
          <w:sz w:val="20"/>
          <w:szCs w:val="20"/>
          <w:u w:val="single"/>
        </w:rPr>
      </w:pPr>
      <w:r w:rsidRPr="00F50713">
        <w:rPr>
          <w:rFonts w:ascii="ITC Avant Garde" w:hAnsi="ITC Avant Garde" w:cs="Arial"/>
          <w:b/>
          <w:i/>
          <w:sz w:val="20"/>
          <w:szCs w:val="20"/>
        </w:rPr>
        <w:t>“Artículo 79. </w:t>
      </w:r>
      <w:r w:rsidRPr="00F50713">
        <w:rPr>
          <w:rFonts w:ascii="ITC Avant Garde" w:hAnsi="ITC Avant Garde" w:cs="Arial"/>
          <w:b/>
          <w:i/>
          <w:sz w:val="20"/>
          <w:szCs w:val="20"/>
          <w:u w:val="single"/>
        </w:rPr>
        <w:t>Para llevar a cabo el procedimiento de licitación pública al que se refiere el artículo anterior, el Instituto publicará en su página de Internet y en el Diario Oficial de la Federación la convocatoria respectiva.</w:t>
      </w:r>
    </w:p>
    <w:p w14:paraId="41E1D0A3" w14:textId="29C1A314"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Las bases de licitación pública incluirán como mínimo:</w:t>
      </w:r>
    </w:p>
    <w:p w14:paraId="0F0DDA5B"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I.</w:t>
      </w:r>
      <w:r w:rsidRPr="00F50713">
        <w:rPr>
          <w:rFonts w:ascii="ITC Avant Garde" w:hAnsi="ITC Avant Garde" w:cs="Arial"/>
          <w:i/>
          <w:sz w:val="20"/>
          <w:szCs w:val="20"/>
        </w:rPr>
        <w:t xml:space="preserve"> Los requisitos que deberán cumplir los interesados para participar en la licitación, entre los que se incluirán:</w:t>
      </w:r>
    </w:p>
    <w:p w14:paraId="217E8012" w14:textId="77777777" w:rsidR="00F50713" w:rsidRPr="00F50713" w:rsidRDefault="00F50713" w:rsidP="00B156EB">
      <w:pPr>
        <w:spacing w:before="240" w:after="240" w:line="240" w:lineRule="auto"/>
        <w:ind w:left="1854" w:right="1182" w:hanging="11"/>
        <w:contextualSpacing/>
        <w:jc w:val="both"/>
        <w:rPr>
          <w:rFonts w:ascii="ITC Avant Garde" w:hAnsi="ITC Avant Garde" w:cs="Arial"/>
          <w:i/>
          <w:sz w:val="20"/>
          <w:szCs w:val="20"/>
        </w:rPr>
      </w:pPr>
      <w:r w:rsidRPr="00F50713">
        <w:rPr>
          <w:rFonts w:ascii="ITC Avant Garde" w:hAnsi="ITC Avant Garde" w:cs="Arial"/>
          <w:b/>
          <w:i/>
          <w:sz w:val="20"/>
          <w:szCs w:val="20"/>
        </w:rPr>
        <w:t>a)</w:t>
      </w:r>
      <w:r w:rsidRPr="00F50713">
        <w:rPr>
          <w:rFonts w:ascii="ITC Avant Garde" w:hAnsi="ITC Avant Garde" w:cs="Arial"/>
          <w:b/>
          <w:i/>
          <w:sz w:val="20"/>
          <w:szCs w:val="20"/>
        </w:rPr>
        <w:tab/>
        <w:t xml:space="preserve"> </w:t>
      </w:r>
      <w:r w:rsidRPr="00F50713">
        <w:rPr>
          <w:rFonts w:ascii="ITC Avant Garde" w:hAnsi="ITC Avant Garde" w:cs="Arial"/>
          <w:i/>
          <w:sz w:val="20"/>
          <w:szCs w:val="20"/>
        </w:rPr>
        <w:t xml:space="preserve">Los programas y compromisos de inversión, calidad, de cobertura geográfica, poblacional o social, de conectividad en sitios públicos y de contribución a la cobertura universal que, en su caso, determine el Instituto, para lo cual considerará las </w:t>
      </w:r>
      <w:r w:rsidRPr="00F50713">
        <w:rPr>
          <w:rFonts w:ascii="ITC Avant Garde" w:hAnsi="ITC Avant Garde" w:cs="Arial"/>
          <w:i/>
          <w:sz w:val="20"/>
          <w:szCs w:val="20"/>
        </w:rPr>
        <w:lastRenderedPageBreak/>
        <w:t>propuestas que formule anualmente la Secretaría conforme a los planes y programas respectivos;</w:t>
      </w:r>
    </w:p>
    <w:p w14:paraId="0D03F00F" w14:textId="77777777" w:rsidR="00F50713" w:rsidRPr="00F50713" w:rsidRDefault="00F50713" w:rsidP="00B156EB">
      <w:pPr>
        <w:numPr>
          <w:ilvl w:val="0"/>
          <w:numId w:val="46"/>
        </w:numPr>
        <w:spacing w:before="240" w:after="240" w:line="240" w:lineRule="auto"/>
        <w:ind w:right="1182" w:hanging="77"/>
        <w:contextualSpacing/>
        <w:jc w:val="both"/>
        <w:rPr>
          <w:rFonts w:ascii="ITC Avant Garde" w:hAnsi="ITC Avant Garde" w:cs="Arial"/>
          <w:i/>
          <w:sz w:val="20"/>
          <w:szCs w:val="20"/>
        </w:rPr>
      </w:pPr>
      <w:r w:rsidRPr="00F50713">
        <w:rPr>
          <w:rFonts w:ascii="ITC Avant Garde" w:hAnsi="ITC Avant Garde" w:cs="Arial"/>
          <w:i/>
          <w:sz w:val="20"/>
          <w:szCs w:val="20"/>
        </w:rPr>
        <w:t>Las especificaciones técnicas de los proyectos, y</w:t>
      </w:r>
    </w:p>
    <w:p w14:paraId="6B1D27CB" w14:textId="77777777" w:rsidR="00F50713" w:rsidRPr="00F50713" w:rsidRDefault="00F50713" w:rsidP="00B156EB">
      <w:pPr>
        <w:numPr>
          <w:ilvl w:val="0"/>
          <w:numId w:val="46"/>
        </w:numPr>
        <w:spacing w:before="240" w:after="240" w:line="240" w:lineRule="auto"/>
        <w:ind w:right="1182" w:hanging="77"/>
        <w:contextualSpacing/>
        <w:jc w:val="both"/>
        <w:rPr>
          <w:rFonts w:ascii="ITC Avant Garde" w:hAnsi="ITC Avant Garde" w:cs="Arial"/>
          <w:i/>
          <w:sz w:val="20"/>
          <w:szCs w:val="20"/>
        </w:rPr>
      </w:pPr>
      <w:r w:rsidRPr="00F50713">
        <w:rPr>
          <w:rFonts w:ascii="ITC Avant Garde" w:hAnsi="ITC Avant Garde" w:cs="Arial"/>
          <w:i/>
          <w:sz w:val="20"/>
          <w:szCs w:val="20"/>
        </w:rPr>
        <w:t>El proyecto de producción y programación, en el caso de radiodifusión;</w:t>
      </w:r>
    </w:p>
    <w:p w14:paraId="588C875D"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II.</w:t>
      </w:r>
      <w:r w:rsidRPr="00F50713">
        <w:rPr>
          <w:rFonts w:ascii="ITC Avant Garde" w:hAnsi="ITC Avant Garde" w:cs="Arial"/>
          <w:i/>
          <w:sz w:val="20"/>
          <w:szCs w:val="20"/>
        </w:rPr>
        <w:t xml:space="preserve"> El modelo de título de concesión;</w:t>
      </w:r>
    </w:p>
    <w:p w14:paraId="2231D4ED"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III.</w:t>
      </w:r>
      <w:r w:rsidRPr="00F50713">
        <w:rPr>
          <w:rFonts w:ascii="ITC Avant Garde" w:hAnsi="ITC Avant Garde" w:cs="Arial"/>
          <w:i/>
          <w:sz w:val="20"/>
          <w:szCs w:val="20"/>
        </w:rPr>
        <w:t xml:space="preserve"> El valor mínimo de referencia y los demás criterios para seleccionar al ganador, la capacidad técnica y la ponderación de los mismos;</w:t>
      </w:r>
    </w:p>
    <w:p w14:paraId="6CC24F47"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IV.</w:t>
      </w:r>
      <w:r w:rsidRPr="00F50713">
        <w:rPr>
          <w:rFonts w:ascii="ITC Avant Garde" w:hAnsi="ITC Avant Garde" w:cs="Arial"/>
          <w:i/>
          <w:sz w:val="20"/>
          <w:szCs w:val="20"/>
        </w:rPr>
        <w:t xml:space="preserve"> Las bandas de frecuencias objeto de concesión; su modalidad de uso y zonas geográficas en que podrán ser utilizadas; y la potencia en el caso de radiodifusión. En su caso, la posibilidad de que el Instituto autorice el uso secundario de la banda de frecuencia en cuestión en términos de la presente Ley;</w:t>
      </w:r>
    </w:p>
    <w:p w14:paraId="7568460F"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V.</w:t>
      </w:r>
      <w:r w:rsidRPr="00F50713">
        <w:rPr>
          <w:rFonts w:ascii="ITC Avant Garde" w:hAnsi="ITC Avant Garde" w:cs="Arial"/>
          <w:i/>
          <w:sz w:val="20"/>
          <w:szCs w:val="20"/>
        </w:rPr>
        <w:t xml:space="preserve"> Los criterios que aseguren competencia efectiva y prevengan fenómenos de concentración que contraríen el interés público;</w:t>
      </w:r>
    </w:p>
    <w:p w14:paraId="3C54A39D"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VI.</w:t>
      </w:r>
      <w:r w:rsidRPr="00F50713">
        <w:rPr>
          <w:rFonts w:ascii="ITC Avant Garde" w:hAnsi="ITC Avant Garde" w:cs="Arial"/>
          <w:i/>
          <w:sz w:val="20"/>
          <w:szCs w:val="20"/>
        </w:rPr>
        <w:t xml:space="preserve"> La obligación de los concesionarios de presentar garantía de seriedad;</w:t>
      </w:r>
    </w:p>
    <w:p w14:paraId="161582BF" w14:textId="77777777"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VII.</w:t>
      </w:r>
      <w:r w:rsidRPr="00F50713">
        <w:rPr>
          <w:rFonts w:ascii="ITC Avant Garde" w:hAnsi="ITC Avant Garde" w:cs="Arial"/>
          <w:i/>
          <w:sz w:val="20"/>
          <w:szCs w:val="20"/>
        </w:rPr>
        <w:t xml:space="preserve"> La vigencia de la concesión, y</w:t>
      </w:r>
    </w:p>
    <w:p w14:paraId="78DAADDE" w14:textId="77777777" w:rsidR="00B156EB"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VIII.</w:t>
      </w:r>
      <w:r w:rsidRPr="00F50713">
        <w:rPr>
          <w:rFonts w:ascii="ITC Avant Garde" w:hAnsi="ITC Avant Garde" w:cs="Arial"/>
          <w:i/>
          <w:sz w:val="20"/>
          <w:szCs w:val="20"/>
        </w:rPr>
        <w:t xml:space="preserve"> En ningún caso el factor determinante será meramente económico, sin menoscabo de lo establecido en esta Ley en materia de contraprestaciones.” </w:t>
      </w:r>
    </w:p>
    <w:p w14:paraId="405F92E0" w14:textId="77777777" w:rsidR="00B156EB" w:rsidRDefault="00F50713" w:rsidP="00B156EB">
      <w:pPr>
        <w:pStyle w:val="Textocomentario"/>
        <w:spacing w:before="240" w:after="240"/>
        <w:jc w:val="both"/>
        <w:rPr>
          <w:rFonts w:ascii="ITC Avant Garde" w:hAnsi="ITC Avant Garde"/>
          <w:sz w:val="22"/>
          <w:szCs w:val="22"/>
        </w:rPr>
      </w:pPr>
      <w:r w:rsidRPr="00F50713">
        <w:rPr>
          <w:rFonts w:ascii="ITC Avant Garde" w:hAnsi="ITC Avant Garde"/>
          <w:sz w:val="22"/>
          <w:szCs w:val="22"/>
        </w:rPr>
        <w:t xml:space="preserve">El artículo 78 de la </w:t>
      </w:r>
      <w:r w:rsidRPr="00F50713">
        <w:rPr>
          <w:rFonts w:ascii="ITC Avant Garde" w:eastAsia="Times New Roman" w:hAnsi="ITC Avant Garde" w:cs="Arial"/>
          <w:kern w:val="2"/>
          <w:sz w:val="22"/>
          <w:szCs w:val="22"/>
          <w:lang w:eastAsia="ar-SA"/>
        </w:rPr>
        <w:t>Ley</w:t>
      </w:r>
      <w:r w:rsidRPr="00F50713">
        <w:rPr>
          <w:rFonts w:ascii="ITC Avant Garde" w:hAnsi="ITC Avant Garde"/>
          <w:sz w:val="22"/>
          <w:szCs w:val="22"/>
        </w:rPr>
        <w:t xml:space="preserve"> establece que las concesiones de espectro radioeléctrico deben regirse bajo los criterios contenidos en los artículos 6o., 7o., 28 y 134 de la Constitución, relativos a que las licitaciones deben ser idóneas para asegurar que las bases, procedimientos, reglas, requisitos y demás elementos acrediten la economía, eficacia, eficiencia, imparcialidad y honradez que aseguren las mejores condiciones del Estado. Dicho criterio ha sido igualmente fijado por el Pleno de la Suprema Corte de Justicia de la Nación en la jurisprudencia P</w:t>
      </w:r>
      <w:proofErr w:type="gramStart"/>
      <w:r w:rsidRPr="00F50713">
        <w:rPr>
          <w:rFonts w:ascii="ITC Avant Garde" w:hAnsi="ITC Avant Garde"/>
          <w:sz w:val="22"/>
          <w:szCs w:val="22"/>
        </w:rPr>
        <w:t>./</w:t>
      </w:r>
      <w:proofErr w:type="gramEnd"/>
      <w:r w:rsidRPr="00F50713">
        <w:rPr>
          <w:rFonts w:ascii="ITC Avant Garde" w:hAnsi="ITC Avant Garde"/>
          <w:sz w:val="22"/>
          <w:szCs w:val="22"/>
        </w:rPr>
        <w:t>J. 72/2007, Novena Época, Tomo XXVI, diciembre de 2007, publicada en el Semanario Judicial de la Federación y su Gaceta, visible en la página 986 y con número de registro 170758, que establece:</w:t>
      </w:r>
    </w:p>
    <w:p w14:paraId="047C5BC4" w14:textId="784D165B" w:rsidR="00F50713" w:rsidRPr="00F50713" w:rsidRDefault="00F50713" w:rsidP="00B156EB">
      <w:pPr>
        <w:spacing w:before="240" w:after="240" w:line="240" w:lineRule="auto"/>
        <w:ind w:left="1134" w:right="1182"/>
        <w:contextualSpacing/>
        <w:jc w:val="both"/>
        <w:rPr>
          <w:rFonts w:ascii="ITC Avant Garde" w:hAnsi="ITC Avant Garde" w:cs="Arial"/>
          <w:i/>
          <w:sz w:val="20"/>
          <w:szCs w:val="20"/>
        </w:rPr>
      </w:pPr>
      <w:r w:rsidRPr="00F50713">
        <w:rPr>
          <w:rFonts w:ascii="ITC Avant Garde" w:eastAsia="Times New Roman" w:hAnsi="ITC Avant Garde" w:cs="Arial"/>
          <w:b/>
          <w:bCs/>
          <w:i/>
          <w:sz w:val="20"/>
          <w:szCs w:val="20"/>
          <w:lang w:eastAsia="es-MX"/>
        </w:rPr>
        <w:t xml:space="preserve">“ESPECTRO RADIOELÉCTRICO. A LAS CONCESIONES RELATIVAS SON APLICABLES LOS PRINCIPIOS CONTENIDOS EN EL ARTÍCULO 134 DE LA CONSTITUCIÓN POLÍTICA DE LOS ESTADOS UNIDOS MEXICANOS, CONJUNTAMENTE CON LOS ESTABLECIDOS EN LOS NUMERALES QUE CONFORMAN EL CAPÍTULO ECONÓMICO DE ÉSTA, Y PREFERENTEMENTE LOS RELATIVOS A LOS DERECHOS FUNDAMENTALES DE LOS GOBERNADOS.- </w:t>
      </w:r>
      <w:r w:rsidRPr="00F50713">
        <w:rPr>
          <w:rFonts w:ascii="ITC Avant Garde" w:eastAsia="Times New Roman" w:hAnsi="ITC Avant Garde" w:cs="Arial"/>
          <w:i/>
          <w:sz w:val="20"/>
          <w:szCs w:val="20"/>
          <w:lang w:eastAsia="es-MX"/>
        </w:rPr>
        <w:t xml:space="preserve">El citado precepto protege, como valor fundamental, el manejo de los recursos económicos de la Federación, que si bien, en principio, son aquellos ingresos públicos o medios financieros que se asignan vía presupuesto para las contrataciones de obras públicas y servicios, o bien, para las adquisiciones, arrendamientos y servicios, </w:t>
      </w:r>
      <w:r w:rsidRPr="00F50713">
        <w:rPr>
          <w:rFonts w:ascii="ITC Avant Garde" w:eastAsia="Times New Roman" w:hAnsi="ITC Avant Garde" w:cs="Arial"/>
          <w:b/>
          <w:i/>
          <w:sz w:val="20"/>
          <w:szCs w:val="20"/>
          <w:lang w:eastAsia="es-MX"/>
        </w:rPr>
        <w:t>bajo los principios de eficiencia, eficacia, honradez y licitación pública y abierta</w:t>
      </w:r>
      <w:r w:rsidRPr="00F50713">
        <w:rPr>
          <w:rFonts w:ascii="ITC Avant Garde" w:eastAsia="Times New Roman" w:hAnsi="ITC Avant Garde" w:cs="Arial"/>
          <w:i/>
          <w:sz w:val="20"/>
          <w:szCs w:val="20"/>
          <w:lang w:eastAsia="es-MX"/>
        </w:rPr>
        <w:t xml:space="preserve">, a fin de asegurar al Estado las mejores condiciones, también comprenden las enajenaciones de todo tipo de bienes bajo los mismos principios y fines. Ahora bien, entendidos los recursos económicos como bienes del dominio de la nación susceptibles de entregarse a cambio de un precio, el espectro radioeléctrico, </w:t>
      </w:r>
      <w:r w:rsidRPr="00F50713">
        <w:rPr>
          <w:rFonts w:ascii="ITC Avant Garde" w:eastAsia="Times New Roman" w:hAnsi="ITC Avant Garde" w:cs="Arial"/>
          <w:b/>
          <w:i/>
          <w:sz w:val="20"/>
          <w:szCs w:val="20"/>
          <w:u w:val="single"/>
          <w:lang w:eastAsia="es-MX"/>
        </w:rPr>
        <w:t xml:space="preserve">por ser un bien de esa naturaleza que se otorga en concesión a cambio de una contraprestación económica, </w:t>
      </w:r>
      <w:r w:rsidRPr="00F50713">
        <w:rPr>
          <w:rFonts w:ascii="ITC Avant Garde" w:eastAsia="Times New Roman" w:hAnsi="ITC Avant Garde" w:cs="Arial"/>
          <w:b/>
          <w:i/>
          <w:sz w:val="20"/>
          <w:szCs w:val="20"/>
          <w:u w:val="single"/>
          <w:lang w:eastAsia="es-MX"/>
        </w:rPr>
        <w:lastRenderedPageBreak/>
        <w:t xml:space="preserve">debe considerarse también como recurso económico en su amplia acepción, al que son aplicables los principios contenidos en el artículo </w:t>
      </w:r>
      <w:hyperlink r:id="rId11" w:history="1">
        <w:r w:rsidRPr="00F50713">
          <w:rPr>
            <w:rStyle w:val="Hipervnculo"/>
            <w:rFonts w:ascii="ITC Avant Garde" w:eastAsia="Times New Roman" w:hAnsi="ITC Avant Garde" w:cs="Arial"/>
            <w:b/>
            <w:i/>
            <w:color w:val="000000"/>
            <w:sz w:val="20"/>
            <w:szCs w:val="20"/>
            <w:lang w:eastAsia="es-MX"/>
          </w:rPr>
          <w:t>134 de la Constitución Política de los Estados Unidos Mexicanos</w:t>
        </w:r>
      </w:hyperlink>
      <w:r w:rsidRPr="00F50713">
        <w:rPr>
          <w:rFonts w:ascii="ITC Avant Garde" w:eastAsia="Times New Roman" w:hAnsi="ITC Avant Garde" w:cs="Arial"/>
          <w:i/>
          <w:sz w:val="20"/>
          <w:szCs w:val="20"/>
          <w:lang w:eastAsia="es-MX"/>
        </w:rPr>
        <w:t xml:space="preserve"> respecto del género enajenaciones, conjuntamente con los establecidos en los artículos </w:t>
      </w:r>
      <w:hyperlink r:id="rId12" w:history="1">
        <w:r w:rsidRPr="00F50713">
          <w:rPr>
            <w:rStyle w:val="Hipervnculo"/>
            <w:rFonts w:ascii="ITC Avant Garde" w:eastAsia="Times New Roman" w:hAnsi="ITC Avant Garde" w:cs="Arial"/>
            <w:i/>
            <w:color w:val="000000"/>
            <w:sz w:val="20"/>
            <w:szCs w:val="20"/>
            <w:lang w:eastAsia="es-MX"/>
          </w:rPr>
          <w:t>25, 26, 27 y 28</w:t>
        </w:r>
      </w:hyperlink>
      <w:r w:rsidRPr="00F50713">
        <w:rPr>
          <w:rFonts w:ascii="ITC Avant Garde" w:eastAsia="Times New Roman" w:hAnsi="ITC Avant Garde" w:cs="Arial"/>
          <w:i/>
          <w:sz w:val="20"/>
          <w:szCs w:val="20"/>
          <w:lang w:eastAsia="es-MX"/>
        </w:rPr>
        <w:t xml:space="preserve"> que conforman el capítulo económico de la Ley Fundamental. Además, toda vez que la radiodifusión constituye una actividad de interés público que cumple una función social de relevancia trascendental para la nación, porque los medios de comunicación son un instrumento para hacer efectivos los derechos fundamentales de los gobernados, los principios del indicado artículo 134 deben relacionarse también, y preferentemente, con todas las disposiciones que consagran esos derechos fundamentales.”</w:t>
      </w:r>
    </w:p>
    <w:p w14:paraId="66291657" w14:textId="77777777" w:rsidR="00B156EB" w:rsidRDefault="00F50713" w:rsidP="00B156EB">
      <w:pPr>
        <w:suppressAutoHyphens/>
        <w:spacing w:before="240" w:after="240" w:line="240" w:lineRule="auto"/>
        <w:ind w:right="49"/>
        <w:contextualSpacing/>
        <w:jc w:val="both"/>
        <w:rPr>
          <w:rFonts w:ascii="ITC Avant Garde" w:hAnsi="ITC Avant Garde" w:cs="Arial"/>
        </w:rPr>
      </w:pPr>
      <w:r w:rsidRPr="00F50713">
        <w:rPr>
          <w:rFonts w:ascii="ITC Avant Garde" w:hAnsi="ITC Avant Garde" w:cs="Arial"/>
        </w:rPr>
        <w:t>En esa tesitura, el Pleno del Instituto aprobó y emitió la Convocatoria y las Bases, en los términos descritos en el Antecedente IV de</w:t>
      </w:r>
      <w:r w:rsidR="00BE2690">
        <w:rPr>
          <w:rFonts w:ascii="ITC Avant Garde" w:hAnsi="ITC Avant Garde" w:cs="Arial"/>
        </w:rPr>
        <w:t xml:space="preserve"> </w:t>
      </w:r>
      <w:r w:rsidRPr="00F50713">
        <w:rPr>
          <w:rFonts w:ascii="ITC Avant Garde" w:hAnsi="ITC Avant Garde" w:cs="Arial"/>
        </w:rPr>
        <w:t>l</w:t>
      </w:r>
      <w:r w:rsidR="00BE2690">
        <w:rPr>
          <w:rFonts w:ascii="ITC Avant Garde" w:hAnsi="ITC Avant Garde" w:cs="Arial"/>
        </w:rPr>
        <w:t>a</w:t>
      </w:r>
      <w:r w:rsidRPr="00F50713">
        <w:rPr>
          <w:rFonts w:ascii="ITC Avant Garde" w:hAnsi="ITC Avant Garde" w:cs="Arial"/>
        </w:rPr>
        <w:t xml:space="preserve"> presente </w:t>
      </w:r>
      <w:r w:rsidR="00BE2690">
        <w:rPr>
          <w:rFonts w:ascii="ITC Avant Garde" w:hAnsi="ITC Avant Garde" w:cs="Arial"/>
        </w:rPr>
        <w:t>Resolución</w:t>
      </w:r>
      <w:r w:rsidRPr="00F50713">
        <w:rPr>
          <w:rFonts w:ascii="ITC Avant Garde" w:hAnsi="ITC Avant Garde" w:cs="Arial"/>
        </w:rPr>
        <w:t>, para concesionar el uso, aprovechamiento y explotación comercial de 10 MHz de espectro radioeléctrico disponibles en la Banda 440-450 MHz para prestar el servicio de provisión de capacidad para sistemas de radiocomunicación privada.</w:t>
      </w:r>
    </w:p>
    <w:p w14:paraId="44D3B4C1" w14:textId="77777777" w:rsidR="00B156EB" w:rsidRDefault="00B546A7" w:rsidP="00B156EB">
      <w:pPr>
        <w:pStyle w:val="Prrafodelista"/>
        <w:spacing w:before="240" w:after="240"/>
        <w:ind w:left="0"/>
        <w:jc w:val="both"/>
        <w:rPr>
          <w:rFonts w:ascii="ITC Avant Garde" w:hAnsi="ITC Avant Garde" w:cs="Arial"/>
          <w:sz w:val="22"/>
          <w:szCs w:val="22"/>
        </w:rPr>
      </w:pPr>
      <w:r>
        <w:rPr>
          <w:rFonts w:ascii="ITC Avant Garde" w:hAnsi="ITC Avant Garde" w:cs="Arial"/>
          <w:b/>
          <w:sz w:val="22"/>
          <w:szCs w:val="22"/>
        </w:rPr>
        <w:t>TERCERO.</w:t>
      </w:r>
      <w:r>
        <w:rPr>
          <w:rFonts w:ascii="ITC Avant Garde" w:hAnsi="ITC Avant Garde" w:cs="Arial"/>
          <w:b/>
          <w:sz w:val="22"/>
          <w:szCs w:val="22"/>
        </w:rPr>
        <w:tab/>
      </w:r>
      <w:r w:rsidR="00F50713" w:rsidRPr="00F50713">
        <w:rPr>
          <w:rFonts w:ascii="ITC Avant Garde" w:hAnsi="ITC Avant Garde" w:cs="Arial"/>
          <w:b/>
          <w:sz w:val="22"/>
          <w:szCs w:val="22"/>
        </w:rPr>
        <w:t xml:space="preserve">Licitación No. IFT-5. </w:t>
      </w:r>
      <w:r w:rsidR="00F50713" w:rsidRPr="00F50713">
        <w:rPr>
          <w:rFonts w:ascii="ITC Avant Garde" w:hAnsi="ITC Avant Garde" w:cs="Arial"/>
          <w:sz w:val="22"/>
          <w:szCs w:val="22"/>
        </w:rPr>
        <w:t>El numeral 4 de las Bases prevé dentro del Calendario de Actividades las etapas siguientes:</w:t>
      </w:r>
    </w:p>
    <w:p w14:paraId="6D55BD25" w14:textId="514AFCDE" w:rsidR="00F50713" w:rsidRPr="00F50713" w:rsidRDefault="00F50713" w:rsidP="00B156EB">
      <w:pPr>
        <w:pStyle w:val="Prrafodelista"/>
        <w:numPr>
          <w:ilvl w:val="0"/>
          <w:numId w:val="42"/>
        </w:numPr>
        <w:pBdr>
          <w:top w:val="nil"/>
          <w:left w:val="nil"/>
          <w:bottom w:val="nil"/>
          <w:right w:val="nil"/>
          <w:between w:val="nil"/>
          <w:bar w:val="nil"/>
        </w:pBdr>
        <w:tabs>
          <w:tab w:val="left" w:pos="7655"/>
        </w:tabs>
        <w:spacing w:before="240" w:after="240"/>
        <w:ind w:right="49"/>
        <w:contextualSpacing/>
        <w:jc w:val="both"/>
        <w:rPr>
          <w:rFonts w:ascii="ITC Avant Garde" w:hAnsi="ITC Avant Garde" w:cs="Arial"/>
          <w:sz w:val="22"/>
          <w:szCs w:val="22"/>
        </w:rPr>
      </w:pPr>
      <w:r w:rsidRPr="00F50713">
        <w:rPr>
          <w:rFonts w:ascii="ITC Avant Garde" w:hAnsi="ITC Avant Garde" w:cs="Arial"/>
          <w:b/>
          <w:sz w:val="22"/>
          <w:szCs w:val="22"/>
        </w:rPr>
        <w:t>Primera Etapa</w:t>
      </w:r>
      <w:r w:rsidRPr="00F50713">
        <w:rPr>
          <w:rFonts w:ascii="ITC Avant Garde" w:hAnsi="ITC Avant Garde" w:cs="Arial"/>
          <w:sz w:val="22"/>
          <w:szCs w:val="22"/>
        </w:rPr>
        <w:t>: Manifestación de Interés, Preguntas y Respuestas, y Entrega de Información y Documentación.</w:t>
      </w:r>
      <w:r w:rsidRPr="00F50713">
        <w:rPr>
          <w:rFonts w:ascii="ITC Avant Garde" w:hAnsi="ITC Avant Garde" w:cs="Arial"/>
          <w:sz w:val="22"/>
          <w:szCs w:val="22"/>
        </w:rPr>
        <w:tab/>
      </w:r>
    </w:p>
    <w:p w14:paraId="0D462330" w14:textId="77777777" w:rsidR="00F50713" w:rsidRPr="00F50713" w:rsidRDefault="00F50713" w:rsidP="00B156EB">
      <w:pPr>
        <w:pStyle w:val="Prrafodelista"/>
        <w:numPr>
          <w:ilvl w:val="0"/>
          <w:numId w:val="42"/>
        </w:numPr>
        <w:pBdr>
          <w:top w:val="nil"/>
          <w:left w:val="nil"/>
          <w:bottom w:val="nil"/>
          <w:right w:val="nil"/>
          <w:between w:val="nil"/>
          <w:bar w:val="nil"/>
        </w:pBdr>
        <w:tabs>
          <w:tab w:val="left" w:pos="7655"/>
        </w:tabs>
        <w:spacing w:before="240" w:after="240"/>
        <w:ind w:right="49"/>
        <w:contextualSpacing/>
        <w:jc w:val="both"/>
        <w:rPr>
          <w:rFonts w:ascii="ITC Avant Garde" w:hAnsi="ITC Avant Garde" w:cs="Arial"/>
          <w:sz w:val="22"/>
          <w:szCs w:val="22"/>
        </w:rPr>
      </w:pPr>
      <w:r w:rsidRPr="00F50713">
        <w:rPr>
          <w:rFonts w:ascii="ITC Avant Garde" w:hAnsi="ITC Avant Garde" w:cs="Arial"/>
          <w:b/>
          <w:sz w:val="22"/>
          <w:szCs w:val="22"/>
        </w:rPr>
        <w:t>Segunda Etapa</w:t>
      </w:r>
      <w:r w:rsidRPr="00F50713">
        <w:rPr>
          <w:rFonts w:ascii="ITC Avant Garde" w:hAnsi="ITC Avant Garde" w:cs="Arial"/>
          <w:sz w:val="22"/>
          <w:szCs w:val="22"/>
        </w:rPr>
        <w:t xml:space="preserve">: Evaluación, </w:t>
      </w:r>
      <w:proofErr w:type="spellStart"/>
      <w:r w:rsidRPr="00F50713">
        <w:rPr>
          <w:rFonts w:ascii="ITC Avant Garde" w:hAnsi="ITC Avant Garde" w:cs="Arial"/>
          <w:sz w:val="22"/>
          <w:szCs w:val="22"/>
        </w:rPr>
        <w:t>Dictaminación</w:t>
      </w:r>
      <w:proofErr w:type="spellEnd"/>
      <w:r w:rsidRPr="00F50713">
        <w:rPr>
          <w:rFonts w:ascii="ITC Avant Garde" w:hAnsi="ITC Avant Garde" w:cs="Arial"/>
          <w:sz w:val="22"/>
          <w:szCs w:val="22"/>
        </w:rPr>
        <w:t xml:space="preserve"> y Emisión de Constancias de Participación.</w:t>
      </w:r>
    </w:p>
    <w:p w14:paraId="56C0ADE5" w14:textId="77777777" w:rsidR="00F50713" w:rsidRPr="00F50713" w:rsidRDefault="00F50713" w:rsidP="00B156EB">
      <w:pPr>
        <w:pStyle w:val="Prrafodelista"/>
        <w:numPr>
          <w:ilvl w:val="0"/>
          <w:numId w:val="42"/>
        </w:numPr>
        <w:pBdr>
          <w:top w:val="nil"/>
          <w:left w:val="nil"/>
          <w:bottom w:val="nil"/>
          <w:right w:val="nil"/>
          <w:between w:val="nil"/>
          <w:bar w:val="nil"/>
        </w:pBdr>
        <w:tabs>
          <w:tab w:val="left" w:pos="7655"/>
        </w:tabs>
        <w:spacing w:before="240" w:after="240"/>
        <w:ind w:right="49"/>
        <w:contextualSpacing/>
        <w:jc w:val="both"/>
        <w:rPr>
          <w:rFonts w:ascii="ITC Avant Garde" w:hAnsi="ITC Avant Garde" w:cs="Arial"/>
          <w:sz w:val="22"/>
          <w:szCs w:val="22"/>
        </w:rPr>
      </w:pPr>
      <w:r w:rsidRPr="00F50713">
        <w:rPr>
          <w:rFonts w:ascii="ITC Avant Garde" w:hAnsi="ITC Avant Garde" w:cs="Arial"/>
          <w:b/>
          <w:sz w:val="22"/>
          <w:szCs w:val="22"/>
        </w:rPr>
        <w:t>Tercera Etapa</w:t>
      </w:r>
      <w:r w:rsidRPr="00F50713">
        <w:rPr>
          <w:rFonts w:ascii="ITC Avant Garde" w:hAnsi="ITC Avant Garde" w:cs="Arial"/>
          <w:sz w:val="22"/>
          <w:szCs w:val="22"/>
        </w:rPr>
        <w:t>: Sesión de Práctica y Procedimiento de Presentación de Ofertas, y</w:t>
      </w:r>
    </w:p>
    <w:p w14:paraId="4CD55D0A" w14:textId="77777777" w:rsidR="00B156EB" w:rsidRDefault="00F50713" w:rsidP="00B156EB">
      <w:pPr>
        <w:pStyle w:val="Prrafodelista"/>
        <w:numPr>
          <w:ilvl w:val="0"/>
          <w:numId w:val="42"/>
        </w:numPr>
        <w:pBdr>
          <w:top w:val="nil"/>
          <w:left w:val="nil"/>
          <w:bottom w:val="nil"/>
          <w:right w:val="nil"/>
          <w:between w:val="nil"/>
          <w:bar w:val="nil"/>
        </w:pBdr>
        <w:tabs>
          <w:tab w:val="left" w:pos="7655"/>
        </w:tabs>
        <w:spacing w:before="240" w:after="240"/>
        <w:ind w:right="49"/>
        <w:contextualSpacing/>
        <w:jc w:val="both"/>
        <w:rPr>
          <w:rFonts w:ascii="ITC Avant Garde" w:hAnsi="ITC Avant Garde" w:cs="Arial"/>
          <w:sz w:val="22"/>
          <w:szCs w:val="22"/>
        </w:rPr>
      </w:pPr>
      <w:r w:rsidRPr="00F50713">
        <w:rPr>
          <w:rFonts w:ascii="ITC Avant Garde" w:hAnsi="ITC Avant Garde" w:cs="Arial"/>
          <w:b/>
          <w:sz w:val="22"/>
          <w:szCs w:val="22"/>
        </w:rPr>
        <w:t>Cuarta Etapa</w:t>
      </w:r>
      <w:r w:rsidRPr="00F50713">
        <w:rPr>
          <w:rFonts w:ascii="ITC Avant Garde" w:hAnsi="ITC Avant Garde" w:cs="Arial"/>
          <w:sz w:val="22"/>
          <w:szCs w:val="22"/>
        </w:rPr>
        <w:t>: Emisión de Acta de Fallo, Pago de Contraprestación y Otorgamiento de Títulos de Concesión.</w:t>
      </w:r>
    </w:p>
    <w:p w14:paraId="4CEE0B4D" w14:textId="77777777" w:rsidR="00B156EB" w:rsidRDefault="00F50713" w:rsidP="00B156EB">
      <w:pPr>
        <w:tabs>
          <w:tab w:val="left" w:pos="7655"/>
        </w:tabs>
        <w:spacing w:before="240" w:after="240" w:line="240" w:lineRule="auto"/>
        <w:ind w:right="49"/>
        <w:contextualSpacing/>
        <w:jc w:val="both"/>
        <w:rPr>
          <w:rFonts w:ascii="ITC Avant Garde" w:hAnsi="ITC Avant Garde" w:cs="Arial"/>
        </w:rPr>
      </w:pPr>
      <w:r w:rsidRPr="00F50713">
        <w:rPr>
          <w:rFonts w:ascii="ITC Avant Garde" w:hAnsi="ITC Avant Garde" w:cs="Arial"/>
        </w:rPr>
        <w:t xml:space="preserve">Conforme a lo señalado en el Antecedente </w:t>
      </w:r>
      <w:r w:rsidR="00C55F39">
        <w:rPr>
          <w:rFonts w:ascii="ITC Avant Garde" w:hAnsi="ITC Avant Garde" w:cs="Arial"/>
        </w:rPr>
        <w:t>XV</w:t>
      </w:r>
      <w:r w:rsidRPr="00F50713">
        <w:rPr>
          <w:rFonts w:ascii="ITC Avant Garde" w:hAnsi="ITC Avant Garde" w:cs="Arial"/>
        </w:rPr>
        <w:t>, el 27 de septiembre de 2017 concluyó la última acción prevista para la Primera Etapa “</w:t>
      </w:r>
      <w:r w:rsidRPr="00F50713">
        <w:rPr>
          <w:rFonts w:ascii="ITC Avant Garde" w:hAnsi="ITC Avant Garde" w:cs="Arial"/>
          <w:i/>
        </w:rPr>
        <w:t>Manifestación de Interés, Preguntas y Respuestas, y Entrega de Información y Documentación</w:t>
      </w:r>
      <w:r w:rsidRPr="00F50713">
        <w:rPr>
          <w:rFonts w:ascii="ITC Avant Garde" w:hAnsi="ITC Avant Garde" w:cs="Arial"/>
          <w:kern w:val="2"/>
          <w:lang w:val="es-ES_tradnl" w:eastAsia="ar-SA"/>
        </w:rPr>
        <w:t>”</w:t>
      </w:r>
      <w:r w:rsidRPr="00F50713">
        <w:rPr>
          <w:rFonts w:ascii="ITC Avant Garde" w:hAnsi="ITC Avant Garde" w:cs="Arial"/>
        </w:rPr>
        <w:t>, con la entrega, en su caso, de la información y/o documentación faltante o deficiente por parte de los Interesados, correspondiente a los Apéndices A y E y Anexos de las Bases, requerida por el Instituto por medio del SERPO a los Interesados, de conformidad con el numeral 5.1.5 de las Bases.</w:t>
      </w:r>
    </w:p>
    <w:p w14:paraId="6C10139C" w14:textId="77777777" w:rsidR="00B156EB" w:rsidRDefault="00F50713" w:rsidP="00B156EB">
      <w:pPr>
        <w:tabs>
          <w:tab w:val="left" w:pos="7655"/>
        </w:tabs>
        <w:spacing w:before="240" w:after="240" w:line="240" w:lineRule="auto"/>
        <w:ind w:right="49"/>
        <w:contextualSpacing/>
        <w:jc w:val="both"/>
        <w:rPr>
          <w:rFonts w:ascii="ITC Avant Garde" w:hAnsi="ITC Avant Garde" w:cs="Arial"/>
        </w:rPr>
      </w:pPr>
      <w:r w:rsidRPr="00F50713">
        <w:rPr>
          <w:rFonts w:ascii="ITC Avant Garde" w:hAnsi="ITC Avant Garde" w:cs="Arial"/>
        </w:rPr>
        <w:t xml:space="preserve">A su vez, la publicación en el Portal de Internet del Instituto del calendario con las fechas correspondientes para la entrega de las Constancias de Participación </w:t>
      </w:r>
      <w:r w:rsidR="005D0B5D">
        <w:rPr>
          <w:rFonts w:ascii="ITC Avant Garde" w:hAnsi="ITC Avant Garde" w:cs="Arial"/>
        </w:rPr>
        <w:t>fue</w:t>
      </w:r>
      <w:r w:rsidR="005D0B5D" w:rsidRPr="00F50713">
        <w:rPr>
          <w:rFonts w:ascii="ITC Avant Garde" w:hAnsi="ITC Avant Garde" w:cs="Arial"/>
        </w:rPr>
        <w:t xml:space="preserve"> </w:t>
      </w:r>
      <w:r w:rsidRPr="00F50713">
        <w:rPr>
          <w:rFonts w:ascii="ITC Avant Garde" w:hAnsi="ITC Avant Garde" w:cs="Arial"/>
        </w:rPr>
        <w:t>la primera acción prevista en el Calendario de Actividades para la Segunda Etapa, denominada “</w:t>
      </w:r>
      <w:r w:rsidRPr="00F50713">
        <w:rPr>
          <w:rFonts w:ascii="ITC Avant Garde" w:hAnsi="ITC Avant Garde" w:cs="Arial"/>
          <w:i/>
        </w:rPr>
        <w:t xml:space="preserve">Evaluación, </w:t>
      </w:r>
      <w:proofErr w:type="spellStart"/>
      <w:r w:rsidRPr="00F50713">
        <w:rPr>
          <w:rFonts w:ascii="ITC Avant Garde" w:hAnsi="ITC Avant Garde" w:cs="Arial"/>
          <w:i/>
        </w:rPr>
        <w:t>Dictaminación</w:t>
      </w:r>
      <w:proofErr w:type="spellEnd"/>
      <w:r w:rsidRPr="00F50713">
        <w:rPr>
          <w:rFonts w:ascii="ITC Avant Garde" w:hAnsi="ITC Avant Garde" w:cs="Arial"/>
          <w:i/>
        </w:rPr>
        <w:t xml:space="preserve"> y Emisión de Constancias de Participación</w:t>
      </w:r>
      <w:r w:rsidRPr="00F50713">
        <w:rPr>
          <w:rFonts w:ascii="ITC Avant Garde" w:hAnsi="ITC Avant Garde" w:cs="Arial"/>
        </w:rPr>
        <w:t>”.</w:t>
      </w:r>
    </w:p>
    <w:p w14:paraId="412E6F6A" w14:textId="77777777" w:rsidR="00B156EB" w:rsidRDefault="00E05F79" w:rsidP="00B156EB">
      <w:pPr>
        <w:spacing w:before="240" w:after="240" w:line="240" w:lineRule="auto"/>
        <w:ind w:right="49"/>
        <w:contextualSpacing/>
        <w:jc w:val="both"/>
        <w:rPr>
          <w:rFonts w:ascii="ITC Avant Garde" w:hAnsi="ITC Avant Garde" w:cs="Arial"/>
          <w:lang w:val="es-ES_tradnl" w:eastAsia="es-MX"/>
        </w:rPr>
      </w:pPr>
      <w:r w:rsidRPr="00735FDE">
        <w:rPr>
          <w:rFonts w:ascii="ITC Avant Garde" w:hAnsi="ITC Avant Garde" w:cs="Arial"/>
        </w:rPr>
        <w:t xml:space="preserve">Ahora bien, en términos del numeral 5.1.6 de las Bases, </w:t>
      </w:r>
      <w:r w:rsidR="007C6DDF">
        <w:rPr>
          <w:rFonts w:ascii="ITC Avant Garde" w:hAnsi="ITC Avant Garde" w:cs="Arial Unicode MS"/>
          <w:bCs/>
          <w:u w:color="000000"/>
          <w:bdr w:val="nil"/>
          <w:lang w:val="es-ES_tradnl" w:eastAsia="es-MX"/>
        </w:rPr>
        <w:t xml:space="preserve">el 6 de octubre de 2017, </w:t>
      </w:r>
      <w:r w:rsidRPr="00735FDE">
        <w:rPr>
          <w:rFonts w:ascii="ITC Avant Garde" w:hAnsi="ITC Avant Garde" w:cs="Arial"/>
        </w:rPr>
        <w:t xml:space="preserve">una vez que el Instituto analizó la documentación presentada y autentificada con la FIEL por los Interesados, notificó e hizo entrega de las Constancias de Participación a aquellos Interesados </w:t>
      </w:r>
      <w:r w:rsidRPr="00735FDE">
        <w:rPr>
          <w:rFonts w:ascii="ITC Avant Garde" w:hAnsi="ITC Avant Garde"/>
        </w:rPr>
        <w:t xml:space="preserve">que </w:t>
      </w:r>
      <w:r w:rsidRPr="00735FDE">
        <w:rPr>
          <w:rFonts w:ascii="ITC Avant Garde" w:hAnsi="ITC Avant Garde" w:cs="Arial"/>
        </w:rPr>
        <w:t xml:space="preserve">acreditaron su capacidad </w:t>
      </w:r>
      <w:r w:rsidRPr="00735FDE">
        <w:rPr>
          <w:rFonts w:ascii="ITC Avant Garde" w:eastAsia="Times New Roman" w:hAnsi="ITC Avant Garde" w:cs="Arial"/>
          <w:lang w:eastAsia="es-MX"/>
        </w:rPr>
        <w:t>administrativa, técnica, jurídica y financiera</w:t>
      </w:r>
      <w:r w:rsidRPr="00735FDE">
        <w:rPr>
          <w:rFonts w:ascii="ITC Avant Garde" w:hAnsi="ITC Avant Garde" w:cs="Arial"/>
        </w:rPr>
        <w:t xml:space="preserve">, </w:t>
      </w:r>
      <w:r w:rsidR="00C430F9">
        <w:rPr>
          <w:rFonts w:ascii="ITC Avant Garde" w:hAnsi="ITC Avant Garde" w:cs="Arial"/>
        </w:rPr>
        <w:t xml:space="preserve">así como </w:t>
      </w:r>
      <w:r w:rsidRPr="00735FDE">
        <w:rPr>
          <w:rFonts w:ascii="ITC Avant Garde" w:hAnsi="ITC Avant Garde" w:cs="Arial"/>
        </w:rPr>
        <w:t>los</w:t>
      </w:r>
      <w:r w:rsidR="00C430F9">
        <w:rPr>
          <w:rFonts w:ascii="ITC Avant Garde" w:hAnsi="ITC Avant Garde" w:cs="Arial"/>
        </w:rPr>
        <w:t xml:space="preserve"> demás</w:t>
      </w:r>
      <w:r w:rsidRPr="00735FDE">
        <w:rPr>
          <w:rFonts w:ascii="ITC Avant Garde" w:hAnsi="ITC Avant Garde" w:cs="Arial"/>
        </w:rPr>
        <w:t xml:space="preserve"> requisitos establecidos en el Apéndice A y sus Anexos, y el Apéndice E de las Bases, y lo señalado en el numeral 5.2.1 de las Bases.</w:t>
      </w:r>
    </w:p>
    <w:p w14:paraId="0041EAD8" w14:textId="77777777" w:rsidR="00B156EB" w:rsidRDefault="00E05F79" w:rsidP="00B156EB">
      <w:pPr>
        <w:suppressAutoHyphens/>
        <w:spacing w:before="240" w:after="240" w:line="240" w:lineRule="auto"/>
        <w:ind w:right="49"/>
        <w:contextualSpacing/>
        <w:jc w:val="both"/>
        <w:rPr>
          <w:rFonts w:ascii="ITC Avant Garde" w:eastAsiaTheme="minorHAnsi" w:hAnsi="ITC Avant Garde" w:cs="Arial"/>
        </w:rPr>
      </w:pPr>
      <w:r w:rsidRPr="00735FDE">
        <w:rPr>
          <w:rFonts w:ascii="ITC Avant Garde" w:hAnsi="ITC Avant Garde" w:cs="Arial Unicode MS"/>
          <w:bCs/>
          <w:u w:color="000000"/>
          <w:bdr w:val="nil"/>
          <w:lang w:val="es-ES_tradnl" w:eastAsia="es-MX"/>
        </w:rPr>
        <w:t xml:space="preserve">Así, conforme a </w:t>
      </w:r>
      <w:r w:rsidRPr="00735FDE">
        <w:rPr>
          <w:rFonts w:ascii="ITC Avant Garde" w:eastAsiaTheme="minorHAnsi" w:hAnsi="ITC Avant Garde" w:cs="Arial"/>
        </w:rPr>
        <w:t>lo dispuesto en el numeral 5.2.1 de las Bases, con la notificación y entrega de las Constancias de Participación, los Interesados</w:t>
      </w:r>
      <w:r w:rsidRPr="00735FDE">
        <w:rPr>
          <w:rFonts w:ascii="ITC Avant Garde" w:hAnsi="ITC Avant Garde" w:cs="Arial Unicode MS"/>
          <w:bCs/>
          <w:u w:color="000000"/>
          <w:bdr w:val="nil"/>
          <w:lang w:val="es-ES_tradnl" w:eastAsia="es-MX"/>
        </w:rPr>
        <w:t xml:space="preserve"> </w:t>
      </w:r>
      <w:r w:rsidRPr="00735FDE">
        <w:rPr>
          <w:rFonts w:ascii="ITC Avant Garde" w:eastAsiaTheme="minorHAnsi" w:hAnsi="ITC Avant Garde" w:cs="Arial"/>
        </w:rPr>
        <w:t xml:space="preserve">alcanzaron la calidad de </w:t>
      </w:r>
      <w:r w:rsidRPr="00735FDE">
        <w:rPr>
          <w:rFonts w:ascii="ITC Avant Garde" w:eastAsiaTheme="minorHAnsi" w:hAnsi="ITC Avant Garde" w:cs="Arial"/>
        </w:rPr>
        <w:lastRenderedPageBreak/>
        <w:t xml:space="preserve">Participantes y avanzaron a la Tercera </w:t>
      </w:r>
      <w:r w:rsidR="00F50713">
        <w:rPr>
          <w:rFonts w:ascii="ITC Avant Garde" w:eastAsiaTheme="minorHAnsi" w:hAnsi="ITC Avant Garde" w:cs="Arial"/>
        </w:rPr>
        <w:t>Etapa de la Licitación No. IFT-5</w:t>
      </w:r>
      <w:r w:rsidRPr="00735FDE">
        <w:rPr>
          <w:rFonts w:ascii="ITC Avant Garde" w:eastAsiaTheme="minorHAnsi" w:hAnsi="ITC Avant Garde" w:cs="Arial"/>
        </w:rPr>
        <w:t>, “</w:t>
      </w:r>
      <w:r w:rsidRPr="00A274A0">
        <w:rPr>
          <w:rFonts w:ascii="ITC Avant Garde" w:eastAsiaTheme="minorHAnsi" w:hAnsi="ITC Avant Garde" w:cs="Arial"/>
          <w:i/>
        </w:rPr>
        <w:t>Sesión de Práctica y Procedimiento de Presentación de Ofertas</w:t>
      </w:r>
      <w:r w:rsidRPr="00735FDE">
        <w:rPr>
          <w:rFonts w:ascii="ITC Avant Garde" w:eastAsiaTheme="minorHAnsi" w:hAnsi="ITC Avant Garde" w:cs="Arial"/>
        </w:rPr>
        <w:t>”.</w:t>
      </w:r>
    </w:p>
    <w:p w14:paraId="1C1239B0" w14:textId="77777777" w:rsidR="00B156EB" w:rsidRDefault="002B2E48" w:rsidP="00B156EB">
      <w:pPr>
        <w:tabs>
          <w:tab w:val="left" w:pos="7655"/>
        </w:tabs>
        <w:spacing w:before="240" w:after="240" w:line="240" w:lineRule="auto"/>
        <w:ind w:right="49"/>
        <w:contextualSpacing/>
        <w:jc w:val="both"/>
        <w:rPr>
          <w:rFonts w:ascii="ITC Avant Garde" w:hAnsi="ITC Avant Garde"/>
        </w:rPr>
      </w:pPr>
      <w:r>
        <w:rPr>
          <w:rFonts w:ascii="ITC Avant Garde" w:hAnsi="ITC Avant Garde"/>
        </w:rPr>
        <w:t>Por otro lado,</w:t>
      </w:r>
      <w:r w:rsidRPr="001A549A">
        <w:rPr>
          <w:rFonts w:ascii="ITC Avant Garde" w:hAnsi="ITC Avant Garde"/>
        </w:rPr>
        <w:t xml:space="preserve"> </w:t>
      </w:r>
      <w:r w:rsidRPr="00735FDE">
        <w:rPr>
          <w:rFonts w:ascii="ITC Avant Garde" w:hAnsi="ITC Avant Garde"/>
        </w:rPr>
        <w:t xml:space="preserve">conforme a las fechas establecidas en el Calendario de Actividades, </w:t>
      </w:r>
      <w:r w:rsidRPr="00E07637">
        <w:rPr>
          <w:rFonts w:ascii="ITC Avant Garde" w:hAnsi="ITC Avant Garde"/>
        </w:rPr>
        <w:t>e</w:t>
      </w:r>
      <w:r w:rsidR="00F50713" w:rsidRPr="00E07637">
        <w:rPr>
          <w:rFonts w:ascii="ITC Avant Garde" w:hAnsi="ITC Avant Garde"/>
        </w:rPr>
        <w:t>l 6 de octubre de 2017</w:t>
      </w:r>
      <w:r w:rsidRPr="00E07637">
        <w:rPr>
          <w:rFonts w:ascii="ITC Avant Garde" w:hAnsi="ITC Avant Garde"/>
        </w:rPr>
        <w:t>,</w:t>
      </w:r>
      <w:r>
        <w:rPr>
          <w:rFonts w:ascii="ITC Avant Garde" w:hAnsi="ITC Avant Garde"/>
        </w:rPr>
        <w:t xml:space="preserve"> </w:t>
      </w:r>
      <w:r w:rsidRPr="001A549A">
        <w:rPr>
          <w:rFonts w:ascii="ITC Avant Garde" w:hAnsi="ITC Avant Garde"/>
        </w:rPr>
        <w:t>el Instituto</w:t>
      </w:r>
      <w:r w:rsidR="00EB38AE">
        <w:rPr>
          <w:rFonts w:ascii="ITC Avant Garde" w:hAnsi="ITC Avant Garde"/>
        </w:rPr>
        <w:t>,</w:t>
      </w:r>
      <w:r w:rsidRPr="00735FDE">
        <w:rPr>
          <w:rFonts w:ascii="ITC Avant Garde" w:hAnsi="ITC Avant Garde"/>
        </w:rPr>
        <w:t xml:space="preserve"> </w:t>
      </w:r>
      <w:r w:rsidR="00EB38AE">
        <w:rPr>
          <w:rFonts w:ascii="ITC Avant Garde" w:hAnsi="ITC Avant Garde"/>
        </w:rPr>
        <w:t xml:space="preserve">por medio del SERPO, </w:t>
      </w:r>
      <w:r w:rsidR="005B1607">
        <w:rPr>
          <w:rFonts w:ascii="ITC Avant Garde" w:hAnsi="ITC Avant Garde"/>
        </w:rPr>
        <w:t>informó</w:t>
      </w:r>
      <w:r w:rsidRPr="00735FDE">
        <w:rPr>
          <w:rFonts w:ascii="ITC Avant Garde" w:hAnsi="ITC Avant Garde"/>
        </w:rPr>
        <w:t xml:space="preserve"> a los Interesados que no </w:t>
      </w:r>
      <w:r>
        <w:rPr>
          <w:rFonts w:ascii="ITC Avant Garde" w:hAnsi="ITC Avant Garde"/>
        </w:rPr>
        <w:t>obtuvieron la calidad de Participantes</w:t>
      </w:r>
      <w:r w:rsidR="005B1607">
        <w:rPr>
          <w:rFonts w:ascii="ITC Avant Garde" w:hAnsi="ITC Avant Garde"/>
        </w:rPr>
        <w:t>,</w:t>
      </w:r>
      <w:r>
        <w:rPr>
          <w:rFonts w:ascii="ITC Avant Garde" w:hAnsi="ITC Avant Garde"/>
        </w:rPr>
        <w:t xml:space="preserve"> las razones por las cuales se determinó que no cumplieron con </w:t>
      </w:r>
      <w:r w:rsidRPr="00735FDE">
        <w:rPr>
          <w:rFonts w:ascii="ITC Avant Garde" w:hAnsi="ITC Avant Garde"/>
        </w:rPr>
        <w:t>los requisitos especificados en las Bases, sus Apéndices y Anexos</w:t>
      </w:r>
      <w:r>
        <w:rPr>
          <w:rFonts w:ascii="ITC Avant Garde" w:hAnsi="ITC Avant Garde"/>
        </w:rPr>
        <w:t>.</w:t>
      </w:r>
    </w:p>
    <w:p w14:paraId="4D97F8BE" w14:textId="77777777" w:rsidR="00B156EB" w:rsidRDefault="001121B6" w:rsidP="00B156EB">
      <w:pPr>
        <w:suppressAutoHyphens/>
        <w:spacing w:before="240" w:after="240" w:line="240" w:lineRule="auto"/>
        <w:jc w:val="both"/>
        <w:rPr>
          <w:rFonts w:ascii="ITC Avant Garde" w:hAnsi="ITC Avant Garde" w:cs="Arial"/>
          <w:kern w:val="2"/>
          <w:lang w:val="es-ES_tradnl" w:eastAsia="ar-SA"/>
        </w:rPr>
      </w:pPr>
      <w:r>
        <w:rPr>
          <w:rFonts w:ascii="ITC Avant Garde" w:hAnsi="ITC Avant Garde" w:cs="Arial"/>
          <w:kern w:val="2"/>
          <w:lang w:val="es-ES_tradnl" w:eastAsia="ar-SA"/>
        </w:rPr>
        <w:t>Con fecha 10</w:t>
      </w:r>
      <w:r w:rsidR="00E05F79" w:rsidRPr="00735FDE">
        <w:rPr>
          <w:rFonts w:ascii="ITC Avant Garde" w:hAnsi="ITC Avant Garde" w:cs="Arial"/>
          <w:kern w:val="2"/>
          <w:lang w:val="es-ES_tradnl" w:eastAsia="ar-SA"/>
        </w:rPr>
        <w:t xml:space="preserve"> de </w:t>
      </w:r>
      <w:r>
        <w:rPr>
          <w:rFonts w:ascii="ITC Avant Garde" w:hAnsi="ITC Avant Garde" w:cs="Arial"/>
          <w:kern w:val="2"/>
          <w:lang w:val="es-ES_tradnl" w:eastAsia="ar-SA"/>
        </w:rPr>
        <w:t>octubre</w:t>
      </w:r>
      <w:r w:rsidR="00E05F79" w:rsidRPr="00735FDE">
        <w:rPr>
          <w:rFonts w:ascii="ITC Avant Garde" w:hAnsi="ITC Avant Garde" w:cs="Arial"/>
          <w:kern w:val="2"/>
          <w:lang w:val="es-ES_tradnl" w:eastAsia="ar-SA"/>
        </w:rPr>
        <w:t xml:space="preserve"> de 2017 inició la Tercera Etapa de la Licitación No. IFT-</w:t>
      </w:r>
      <w:r>
        <w:rPr>
          <w:rFonts w:ascii="ITC Avant Garde" w:hAnsi="ITC Avant Garde" w:cs="Arial"/>
          <w:kern w:val="2"/>
          <w:lang w:val="es-ES_tradnl" w:eastAsia="ar-SA"/>
        </w:rPr>
        <w:t>5</w:t>
      </w:r>
      <w:r w:rsidR="00E05F79" w:rsidRPr="00735FDE">
        <w:rPr>
          <w:rFonts w:ascii="ITC Avant Garde" w:hAnsi="ITC Avant Garde" w:cs="Arial"/>
          <w:kern w:val="2"/>
          <w:lang w:val="es-ES_tradnl" w:eastAsia="ar-SA"/>
        </w:rPr>
        <w:t>, con las sesiones de práctica del Procedimiento de Presentación de Ofertas vía Internet, a través del SERPO, a fin de que los Participantes se familiarizaran con el mismo.</w:t>
      </w:r>
    </w:p>
    <w:p w14:paraId="44F6E43B" w14:textId="77777777" w:rsidR="00B156EB" w:rsidRDefault="00E05F79" w:rsidP="00B156EB">
      <w:pPr>
        <w:suppressAutoHyphens/>
        <w:spacing w:before="240" w:after="240" w:line="240" w:lineRule="auto"/>
        <w:jc w:val="both"/>
        <w:rPr>
          <w:rFonts w:ascii="ITC Avant Garde" w:hAnsi="ITC Avant Garde" w:cs="Arial"/>
          <w:kern w:val="2"/>
          <w:lang w:val="es-ES_tradnl" w:eastAsia="ar-SA"/>
        </w:rPr>
      </w:pPr>
      <w:r w:rsidRPr="00735FDE">
        <w:rPr>
          <w:rFonts w:ascii="ITC Avant Garde" w:hAnsi="ITC Avant Garde" w:cs="Arial"/>
          <w:kern w:val="2"/>
          <w:lang w:val="es-ES_tradnl" w:eastAsia="ar-SA"/>
        </w:rPr>
        <w:t xml:space="preserve">El </w:t>
      </w:r>
      <w:r w:rsidR="00EB38AE">
        <w:rPr>
          <w:rFonts w:ascii="ITC Avant Garde" w:hAnsi="ITC Avant Garde" w:cs="Arial"/>
          <w:kern w:val="2"/>
          <w:lang w:val="es-ES_tradnl" w:eastAsia="ar-SA"/>
        </w:rPr>
        <w:t>P</w:t>
      </w:r>
      <w:r w:rsidRPr="00735FDE">
        <w:rPr>
          <w:rFonts w:ascii="ITC Avant Garde" w:hAnsi="ITC Avant Garde" w:cs="Arial"/>
          <w:kern w:val="2"/>
          <w:lang w:val="es-ES_tradnl" w:eastAsia="ar-SA"/>
        </w:rPr>
        <w:t xml:space="preserve">rocedimiento de </w:t>
      </w:r>
      <w:r w:rsidR="00EB38AE">
        <w:rPr>
          <w:rFonts w:ascii="ITC Avant Garde" w:hAnsi="ITC Avant Garde"/>
        </w:rPr>
        <w:t>Presentación de Ofertas</w:t>
      </w:r>
      <w:r w:rsidR="00EB38AE" w:rsidRPr="00735FDE">
        <w:rPr>
          <w:rFonts w:ascii="ITC Avant Garde" w:hAnsi="ITC Avant Garde" w:cs="Arial"/>
          <w:kern w:val="2"/>
          <w:lang w:val="es-ES_tradnl" w:eastAsia="ar-SA"/>
        </w:rPr>
        <w:t xml:space="preserve"> </w:t>
      </w:r>
      <w:r w:rsidR="001121B6">
        <w:rPr>
          <w:rFonts w:ascii="ITC Avant Garde" w:hAnsi="ITC Avant Garde" w:cs="Arial"/>
          <w:kern w:val="2"/>
          <w:lang w:val="es-ES_tradnl" w:eastAsia="ar-SA"/>
        </w:rPr>
        <w:t xml:space="preserve">se llevó a cabo </w:t>
      </w:r>
      <w:r w:rsidR="00EB38AE">
        <w:rPr>
          <w:rFonts w:ascii="ITC Avant Garde" w:hAnsi="ITC Avant Garde" w:cs="Arial"/>
          <w:kern w:val="2"/>
          <w:lang w:val="es-ES_tradnl" w:eastAsia="ar-SA"/>
        </w:rPr>
        <w:t>en términos de lo establecido en el numeral 5.3.1 de la Bas</w:t>
      </w:r>
      <w:r w:rsidR="00C430F9">
        <w:rPr>
          <w:rFonts w:ascii="ITC Avant Garde" w:hAnsi="ITC Avant Garde" w:cs="Arial"/>
          <w:kern w:val="2"/>
          <w:lang w:val="es-ES_tradnl" w:eastAsia="ar-SA"/>
        </w:rPr>
        <w:t>e</w:t>
      </w:r>
      <w:r w:rsidR="00EB38AE">
        <w:rPr>
          <w:rFonts w:ascii="ITC Avant Garde" w:hAnsi="ITC Avant Garde" w:cs="Arial"/>
          <w:kern w:val="2"/>
          <w:lang w:val="es-ES_tradnl" w:eastAsia="ar-SA"/>
        </w:rPr>
        <w:t>s</w:t>
      </w:r>
      <w:r w:rsidR="00C430F9">
        <w:rPr>
          <w:rFonts w:ascii="ITC Avant Garde" w:hAnsi="ITC Avant Garde" w:cs="Arial"/>
          <w:kern w:val="2"/>
          <w:lang w:val="es-ES_tradnl" w:eastAsia="ar-SA"/>
        </w:rPr>
        <w:t>,</w:t>
      </w:r>
      <w:r w:rsidR="00EB38AE">
        <w:rPr>
          <w:rFonts w:ascii="ITC Avant Garde" w:hAnsi="ITC Avant Garde" w:cs="Arial"/>
          <w:kern w:val="2"/>
          <w:lang w:val="es-ES_tradnl" w:eastAsia="ar-SA"/>
        </w:rPr>
        <w:t xml:space="preserve"> </w:t>
      </w:r>
      <w:r w:rsidR="001121B6">
        <w:rPr>
          <w:rFonts w:ascii="ITC Avant Garde" w:hAnsi="ITC Avant Garde" w:cs="Arial"/>
          <w:kern w:val="2"/>
          <w:lang w:val="es-ES_tradnl" w:eastAsia="ar-SA"/>
        </w:rPr>
        <w:t>mediante un</w:t>
      </w:r>
      <w:r w:rsidR="001121B6" w:rsidRPr="00E2088D">
        <w:rPr>
          <w:rFonts w:ascii="ITC Avant Garde" w:eastAsiaTheme="minorHAnsi" w:hAnsi="ITC Avant Garde" w:cstheme="minorBidi"/>
          <w:lang w:val="es-ES"/>
        </w:rPr>
        <w:t xml:space="preserve"> mecanismo de aceptación de Puntajes en formato de reloj de puntos ascendentes</w:t>
      </w:r>
      <w:r w:rsidR="00C430F9">
        <w:rPr>
          <w:rFonts w:ascii="ITC Avant Garde" w:eastAsiaTheme="minorHAnsi" w:hAnsi="ITC Avant Garde" w:cstheme="minorBidi"/>
          <w:lang w:val="es-ES"/>
        </w:rPr>
        <w:t>, a través</w:t>
      </w:r>
      <w:r w:rsidR="001121B6" w:rsidRPr="00E2088D">
        <w:rPr>
          <w:rFonts w:ascii="ITC Avant Garde" w:eastAsiaTheme="minorHAnsi" w:hAnsi="ITC Avant Garde" w:cstheme="minorBidi"/>
          <w:lang w:val="es-ES"/>
        </w:rPr>
        <w:t xml:space="preserve"> el SERPO</w:t>
      </w:r>
      <w:r w:rsidR="00C430F9">
        <w:rPr>
          <w:rFonts w:ascii="ITC Avant Garde" w:eastAsiaTheme="minorHAnsi" w:hAnsi="ITC Avant Garde" w:cstheme="minorBidi"/>
          <w:lang w:val="es-ES"/>
        </w:rPr>
        <w:t>,</w:t>
      </w:r>
      <w:r w:rsidR="001121B6" w:rsidRPr="00E2088D">
        <w:rPr>
          <w:rFonts w:ascii="ITC Avant Garde" w:eastAsiaTheme="minorHAnsi" w:hAnsi="ITC Avant Garde" w:cstheme="minorBidi"/>
          <w:lang w:val="es-ES"/>
        </w:rPr>
        <w:t xml:space="preserve"> en las Rondas Iniciales o en las Rondas Subsecuentes, </w:t>
      </w:r>
      <w:r w:rsidRPr="00735FDE">
        <w:rPr>
          <w:rFonts w:ascii="ITC Avant Garde" w:hAnsi="ITC Avant Garde" w:cs="Arial"/>
          <w:kern w:val="2"/>
          <w:lang w:val="es-ES_tradnl" w:eastAsia="ar-SA"/>
        </w:rPr>
        <w:t xml:space="preserve">el cual </w:t>
      </w:r>
      <w:r w:rsidR="00EB38AE">
        <w:rPr>
          <w:rFonts w:ascii="ITC Avant Garde" w:hAnsi="ITC Avant Garde" w:cs="Arial"/>
          <w:kern w:val="2"/>
          <w:lang w:val="es-ES_tradnl" w:eastAsia="ar-SA"/>
        </w:rPr>
        <w:t>estuvo compuesto</w:t>
      </w:r>
      <w:r w:rsidR="00D51DEA">
        <w:rPr>
          <w:rFonts w:ascii="ITC Avant Garde" w:hAnsi="ITC Avant Garde" w:cs="Arial"/>
          <w:kern w:val="2"/>
          <w:lang w:val="es-ES_tradnl" w:eastAsia="ar-SA"/>
        </w:rPr>
        <w:t xml:space="preserve"> por</w:t>
      </w:r>
      <w:r w:rsidRPr="00735FDE">
        <w:rPr>
          <w:rFonts w:ascii="ITC Avant Garde" w:hAnsi="ITC Avant Garde" w:cs="Arial"/>
          <w:kern w:val="2"/>
          <w:lang w:val="es-ES_tradnl" w:eastAsia="ar-SA"/>
        </w:rPr>
        <w:t xml:space="preserve"> dos fases:</w:t>
      </w:r>
    </w:p>
    <w:p w14:paraId="33D2EFF0" w14:textId="77777777" w:rsidR="00B156EB" w:rsidRDefault="00E05F79" w:rsidP="00B156EB">
      <w:pPr>
        <w:pStyle w:val="Prrafodelista"/>
        <w:numPr>
          <w:ilvl w:val="0"/>
          <w:numId w:val="19"/>
        </w:numPr>
        <w:tabs>
          <w:tab w:val="left" w:pos="142"/>
        </w:tabs>
        <w:spacing w:before="240" w:after="240"/>
        <w:jc w:val="both"/>
        <w:rPr>
          <w:rFonts w:ascii="ITC Avant Garde" w:hAnsi="ITC Avant Garde"/>
          <w:sz w:val="22"/>
          <w:szCs w:val="22"/>
        </w:rPr>
      </w:pPr>
      <w:r w:rsidRPr="00735FDE">
        <w:rPr>
          <w:rFonts w:ascii="ITC Avant Garde" w:hAnsi="ITC Avant Garde"/>
          <w:b/>
          <w:sz w:val="22"/>
          <w:szCs w:val="22"/>
        </w:rPr>
        <w:t>Fase Primaria</w:t>
      </w:r>
      <w:r w:rsidR="001121B6">
        <w:rPr>
          <w:rFonts w:ascii="ITC Avant Garde" w:hAnsi="ITC Avant Garde"/>
          <w:sz w:val="22"/>
          <w:szCs w:val="22"/>
        </w:rPr>
        <w:t xml:space="preserve">: </w:t>
      </w:r>
      <w:r w:rsidRPr="00735FDE">
        <w:rPr>
          <w:rFonts w:ascii="ITC Avant Garde" w:hAnsi="ITC Avant Garde"/>
          <w:sz w:val="22"/>
          <w:szCs w:val="22"/>
        </w:rPr>
        <w:t xml:space="preserve">Ronda Inicial con una duración de </w:t>
      </w:r>
      <w:r w:rsidR="001121B6">
        <w:rPr>
          <w:rFonts w:ascii="ITC Avant Garde" w:hAnsi="ITC Avant Garde"/>
          <w:bCs/>
          <w:sz w:val="22"/>
          <w:szCs w:val="22"/>
        </w:rPr>
        <w:t>2</w:t>
      </w:r>
      <w:r w:rsidRPr="00735FDE">
        <w:rPr>
          <w:rFonts w:ascii="ITC Avant Garde" w:hAnsi="ITC Avant Garde"/>
          <w:bCs/>
          <w:sz w:val="22"/>
          <w:szCs w:val="22"/>
        </w:rPr>
        <w:t xml:space="preserve">0 </w:t>
      </w:r>
      <w:r w:rsidRPr="00735FDE">
        <w:rPr>
          <w:rFonts w:ascii="ITC Avant Garde" w:hAnsi="ITC Avant Garde"/>
          <w:sz w:val="22"/>
          <w:szCs w:val="22"/>
        </w:rPr>
        <w:t>minutos</w:t>
      </w:r>
      <w:r w:rsidR="00E861F9">
        <w:rPr>
          <w:rFonts w:ascii="ITC Avant Garde" w:hAnsi="ITC Avant Garde"/>
          <w:sz w:val="22"/>
          <w:szCs w:val="22"/>
        </w:rPr>
        <w:t>.</w:t>
      </w:r>
    </w:p>
    <w:p w14:paraId="7459AF4F" w14:textId="77777777" w:rsidR="00B156EB" w:rsidRDefault="00E05F79" w:rsidP="00B156EB">
      <w:pPr>
        <w:pStyle w:val="Prrafodelista"/>
        <w:numPr>
          <w:ilvl w:val="0"/>
          <w:numId w:val="19"/>
        </w:numPr>
        <w:tabs>
          <w:tab w:val="left" w:pos="142"/>
        </w:tabs>
        <w:spacing w:before="240" w:after="240"/>
        <w:jc w:val="both"/>
        <w:rPr>
          <w:rFonts w:ascii="ITC Avant Garde" w:hAnsi="ITC Avant Garde"/>
          <w:sz w:val="22"/>
          <w:szCs w:val="22"/>
        </w:rPr>
      </w:pPr>
      <w:r w:rsidRPr="00735FDE">
        <w:rPr>
          <w:rFonts w:ascii="ITC Avant Garde" w:hAnsi="ITC Avant Garde"/>
          <w:b/>
          <w:bCs/>
          <w:sz w:val="22"/>
          <w:szCs w:val="22"/>
        </w:rPr>
        <w:t xml:space="preserve">Fase </w:t>
      </w:r>
      <w:r w:rsidR="001121B6">
        <w:rPr>
          <w:rFonts w:ascii="ITC Avant Garde" w:hAnsi="ITC Avant Garde"/>
          <w:b/>
          <w:bCs/>
          <w:sz w:val="22"/>
          <w:szCs w:val="22"/>
        </w:rPr>
        <w:t>Secundaria</w:t>
      </w:r>
      <w:r w:rsidRPr="00735FDE">
        <w:rPr>
          <w:rFonts w:ascii="ITC Avant Garde" w:hAnsi="ITC Avant Garde"/>
          <w:bCs/>
          <w:sz w:val="22"/>
          <w:szCs w:val="22"/>
        </w:rPr>
        <w:t>:</w:t>
      </w:r>
      <w:r w:rsidRPr="00735FDE">
        <w:rPr>
          <w:rFonts w:ascii="ITC Avant Garde" w:hAnsi="ITC Avant Garde"/>
          <w:sz w:val="22"/>
          <w:szCs w:val="22"/>
        </w:rPr>
        <w:t xml:space="preserve"> </w:t>
      </w:r>
      <w:r w:rsidR="001121B6" w:rsidRPr="00033F6B">
        <w:rPr>
          <w:rFonts w:ascii="ITC Avant Garde" w:hAnsi="ITC Avant Garde" w:cs="Arial"/>
          <w:sz w:val="22"/>
          <w:szCs w:val="22"/>
        </w:rPr>
        <w:t xml:space="preserve">Ronda Inicial </w:t>
      </w:r>
      <w:r w:rsidR="006A3BDE" w:rsidRPr="00735FDE">
        <w:rPr>
          <w:rFonts w:ascii="ITC Avant Garde" w:hAnsi="ITC Avant Garde"/>
          <w:sz w:val="22"/>
          <w:szCs w:val="22"/>
        </w:rPr>
        <w:t xml:space="preserve">con una duración de </w:t>
      </w:r>
      <w:r w:rsidR="006A3BDE">
        <w:rPr>
          <w:rFonts w:ascii="ITC Avant Garde" w:hAnsi="ITC Avant Garde"/>
          <w:bCs/>
          <w:sz w:val="22"/>
          <w:szCs w:val="22"/>
        </w:rPr>
        <w:t>2</w:t>
      </w:r>
      <w:r w:rsidR="006A3BDE" w:rsidRPr="00735FDE">
        <w:rPr>
          <w:rFonts w:ascii="ITC Avant Garde" w:hAnsi="ITC Avant Garde"/>
          <w:bCs/>
          <w:sz w:val="22"/>
          <w:szCs w:val="22"/>
        </w:rPr>
        <w:t xml:space="preserve">0 </w:t>
      </w:r>
      <w:r w:rsidR="006A3BDE" w:rsidRPr="00735FDE">
        <w:rPr>
          <w:rFonts w:ascii="ITC Avant Garde" w:hAnsi="ITC Avant Garde"/>
          <w:sz w:val="22"/>
          <w:szCs w:val="22"/>
        </w:rPr>
        <w:t>minutos</w:t>
      </w:r>
      <w:r w:rsidR="007C6DDF">
        <w:rPr>
          <w:rFonts w:ascii="ITC Avant Garde" w:hAnsi="ITC Avant Garde" w:cs="Arial"/>
          <w:sz w:val="22"/>
          <w:szCs w:val="22"/>
        </w:rPr>
        <w:t xml:space="preserve"> y</w:t>
      </w:r>
      <w:r w:rsidR="00A509F3">
        <w:rPr>
          <w:rFonts w:ascii="ITC Avant Garde" w:hAnsi="ITC Avant Garde" w:cs="Arial"/>
          <w:sz w:val="22"/>
          <w:szCs w:val="22"/>
        </w:rPr>
        <w:t xml:space="preserve"> </w:t>
      </w:r>
      <w:r w:rsidR="007C6DDF">
        <w:rPr>
          <w:rFonts w:ascii="ITC Avant Garde" w:hAnsi="ITC Avant Garde" w:cs="Arial"/>
          <w:sz w:val="22"/>
          <w:szCs w:val="22"/>
        </w:rPr>
        <w:t xml:space="preserve">53 </w:t>
      </w:r>
      <w:r w:rsidR="001121B6" w:rsidRPr="00033F6B">
        <w:rPr>
          <w:rFonts w:ascii="ITC Avant Garde" w:hAnsi="ITC Avant Garde" w:cs="Arial"/>
          <w:sz w:val="22"/>
          <w:szCs w:val="22"/>
        </w:rPr>
        <w:t>Rondas Subsecuentes</w:t>
      </w:r>
      <w:r w:rsidR="006A3BDE">
        <w:rPr>
          <w:rFonts w:ascii="ITC Avant Garde" w:hAnsi="ITC Avant Garde" w:cs="Arial"/>
          <w:sz w:val="22"/>
          <w:szCs w:val="22"/>
        </w:rPr>
        <w:t>,</w:t>
      </w:r>
      <w:r w:rsidR="006A3BDE" w:rsidRPr="006A3BDE">
        <w:rPr>
          <w:rFonts w:ascii="ITC Avant Garde" w:hAnsi="ITC Avant Garde"/>
          <w:sz w:val="22"/>
          <w:szCs w:val="22"/>
        </w:rPr>
        <w:t xml:space="preserve"> </w:t>
      </w:r>
      <w:r w:rsidR="006A3BDE">
        <w:rPr>
          <w:rFonts w:ascii="ITC Avant Garde" w:hAnsi="ITC Avant Garde"/>
          <w:sz w:val="22"/>
          <w:szCs w:val="22"/>
        </w:rPr>
        <w:t>con duración de 20 minutos</w:t>
      </w:r>
      <w:r w:rsidR="007C6DDF">
        <w:rPr>
          <w:rFonts w:ascii="ITC Avant Garde" w:hAnsi="ITC Avant Garde"/>
          <w:sz w:val="22"/>
          <w:szCs w:val="22"/>
        </w:rPr>
        <w:t xml:space="preserve"> cada una</w:t>
      </w:r>
      <w:r w:rsidR="00E861F9">
        <w:rPr>
          <w:rFonts w:ascii="ITC Avant Garde" w:hAnsi="ITC Avant Garde"/>
          <w:sz w:val="22"/>
          <w:szCs w:val="22"/>
        </w:rPr>
        <w:t>,</w:t>
      </w:r>
      <w:r w:rsidR="006A3BDE">
        <w:rPr>
          <w:rFonts w:ascii="ITC Avant Garde" w:hAnsi="ITC Avant Garde"/>
          <w:sz w:val="22"/>
          <w:szCs w:val="22"/>
        </w:rPr>
        <w:t xml:space="preserve"> </w:t>
      </w:r>
      <w:r w:rsidR="001121B6" w:rsidRPr="00033F6B">
        <w:rPr>
          <w:rFonts w:ascii="ITC Avant Garde" w:hAnsi="ITC Avant Garde" w:cs="Arial"/>
          <w:sz w:val="22"/>
          <w:szCs w:val="22"/>
        </w:rPr>
        <w:t>tomando en cuenta el Límite de Acumulación de Espectro específico para esta Fase</w:t>
      </w:r>
      <w:r w:rsidRPr="00735FDE">
        <w:rPr>
          <w:rFonts w:ascii="ITC Avant Garde" w:hAnsi="ITC Avant Garde"/>
          <w:sz w:val="22"/>
          <w:szCs w:val="22"/>
        </w:rPr>
        <w:t>.</w:t>
      </w:r>
    </w:p>
    <w:p w14:paraId="457F6A1D" w14:textId="77777777" w:rsidR="00B156EB" w:rsidRDefault="00E05F79" w:rsidP="00B156EB">
      <w:pPr>
        <w:tabs>
          <w:tab w:val="left" w:pos="142"/>
        </w:tabs>
        <w:spacing w:before="240" w:after="240" w:line="240" w:lineRule="auto"/>
        <w:jc w:val="both"/>
        <w:rPr>
          <w:rFonts w:ascii="ITC Avant Garde" w:hAnsi="ITC Avant Garde"/>
        </w:rPr>
      </w:pPr>
      <w:r w:rsidRPr="00735FDE">
        <w:rPr>
          <w:rFonts w:ascii="ITC Avant Garde" w:hAnsi="ITC Avant Garde"/>
        </w:rPr>
        <w:t xml:space="preserve">Al respecto, </w:t>
      </w:r>
      <w:r w:rsidR="007C6DDF">
        <w:rPr>
          <w:rFonts w:ascii="ITC Avant Garde" w:hAnsi="ITC Avant Garde"/>
        </w:rPr>
        <w:t>el p</w:t>
      </w:r>
      <w:r w:rsidR="00294E92">
        <w:rPr>
          <w:rFonts w:ascii="ITC Avant Garde" w:hAnsi="ITC Avant Garde"/>
        </w:rPr>
        <w:t xml:space="preserve">rocedimiento de </w:t>
      </w:r>
      <w:r w:rsidR="00A509F3">
        <w:rPr>
          <w:rFonts w:ascii="ITC Avant Garde" w:hAnsi="ITC Avant Garde"/>
        </w:rPr>
        <w:t xml:space="preserve">mérito </w:t>
      </w:r>
      <w:r w:rsidRPr="00735FDE">
        <w:rPr>
          <w:rFonts w:ascii="ITC Avant Garde" w:hAnsi="ITC Avant Garde"/>
        </w:rPr>
        <w:t xml:space="preserve">se </w:t>
      </w:r>
      <w:r w:rsidR="00F900A3">
        <w:rPr>
          <w:rFonts w:ascii="ITC Avant Garde" w:hAnsi="ITC Avant Garde"/>
        </w:rPr>
        <w:t>desarrolló</w:t>
      </w:r>
      <w:r w:rsidRPr="00735FDE">
        <w:rPr>
          <w:rFonts w:ascii="ITC Avant Garde" w:hAnsi="ITC Avant Garde"/>
        </w:rPr>
        <w:t xml:space="preserve"> de la forma siguiente:</w:t>
      </w:r>
    </w:p>
    <w:p w14:paraId="37B92589" w14:textId="77777777" w:rsidR="00B156EB" w:rsidRDefault="00294E92" w:rsidP="00B156EB">
      <w:pPr>
        <w:tabs>
          <w:tab w:val="left" w:pos="142"/>
        </w:tabs>
        <w:spacing w:before="240" w:after="240" w:line="240" w:lineRule="auto"/>
        <w:jc w:val="both"/>
        <w:rPr>
          <w:rFonts w:ascii="ITC Avant Garde" w:hAnsi="ITC Avant Garde"/>
        </w:rPr>
      </w:pPr>
      <w:r>
        <w:rPr>
          <w:rFonts w:ascii="ITC Avant Garde" w:hAnsi="ITC Avant Garde"/>
        </w:rPr>
        <w:t>La Fase Primaria del</w:t>
      </w:r>
      <w:r w:rsidR="00E05F79" w:rsidRPr="00247531">
        <w:rPr>
          <w:rFonts w:ascii="ITC Avant Garde" w:hAnsi="ITC Avant Garde"/>
        </w:rPr>
        <w:t xml:space="preserve"> Procedimiento de Presentación de Ofertas </w:t>
      </w:r>
      <w:r>
        <w:rPr>
          <w:rFonts w:ascii="ITC Avant Garde" w:hAnsi="ITC Avant Garde"/>
        </w:rPr>
        <w:t>dio inicio</w:t>
      </w:r>
      <w:r w:rsidRPr="00247531">
        <w:rPr>
          <w:rFonts w:ascii="ITC Avant Garde" w:hAnsi="ITC Avant Garde"/>
        </w:rPr>
        <w:t xml:space="preserve"> </w:t>
      </w:r>
      <w:r w:rsidR="00E05F79" w:rsidRPr="00247531">
        <w:rPr>
          <w:rFonts w:ascii="ITC Avant Garde" w:hAnsi="ITC Avant Garde"/>
        </w:rPr>
        <w:t>el 1</w:t>
      </w:r>
      <w:r w:rsidR="001E7FC5" w:rsidRPr="00247531">
        <w:rPr>
          <w:rFonts w:ascii="ITC Avant Garde" w:hAnsi="ITC Avant Garde"/>
        </w:rPr>
        <w:t>2</w:t>
      </w:r>
      <w:r w:rsidR="00E05F79" w:rsidRPr="00247531">
        <w:rPr>
          <w:rFonts w:ascii="ITC Avant Garde" w:hAnsi="ITC Avant Garde"/>
        </w:rPr>
        <w:t xml:space="preserve"> de </w:t>
      </w:r>
      <w:r w:rsidR="001E7FC5" w:rsidRPr="00247531">
        <w:rPr>
          <w:rFonts w:ascii="ITC Avant Garde" w:hAnsi="ITC Avant Garde"/>
        </w:rPr>
        <w:t>octubre</w:t>
      </w:r>
      <w:r w:rsidR="007C6DDF">
        <w:rPr>
          <w:rFonts w:ascii="ITC Avant Garde" w:hAnsi="ITC Avant Garde"/>
        </w:rPr>
        <w:t xml:space="preserve"> de 2017</w:t>
      </w:r>
      <w:r w:rsidR="00E05F79" w:rsidRPr="00247531">
        <w:rPr>
          <w:rFonts w:ascii="ITC Avant Garde" w:hAnsi="ITC Avant Garde"/>
        </w:rPr>
        <w:t xml:space="preserve"> a las 10:00 horas (</w:t>
      </w:r>
      <w:r w:rsidR="0014549F" w:rsidRPr="00247531">
        <w:rPr>
          <w:rFonts w:ascii="ITC Avant Garde" w:hAnsi="ITC Avant Garde"/>
        </w:rPr>
        <w:t>hora oficial de</w:t>
      </w:r>
      <w:r w:rsidR="00E433E2" w:rsidRPr="00247531">
        <w:rPr>
          <w:rFonts w:ascii="ITC Avant Garde" w:hAnsi="ITC Avant Garde"/>
        </w:rPr>
        <w:t xml:space="preserve"> </w:t>
      </w:r>
      <w:r w:rsidR="0014549F" w:rsidRPr="00247531">
        <w:rPr>
          <w:rFonts w:ascii="ITC Avant Garde" w:hAnsi="ITC Avant Garde"/>
        </w:rPr>
        <w:t>l</w:t>
      </w:r>
      <w:r w:rsidR="00E433E2" w:rsidRPr="00247531">
        <w:rPr>
          <w:rFonts w:ascii="ITC Avant Garde" w:hAnsi="ITC Avant Garde"/>
        </w:rPr>
        <w:t>a zona</w:t>
      </w:r>
      <w:r w:rsidR="0014549F" w:rsidRPr="00247531">
        <w:rPr>
          <w:rFonts w:ascii="ITC Avant Garde" w:hAnsi="ITC Avant Garde"/>
        </w:rPr>
        <w:t xml:space="preserve"> centro de la República Mexicana</w:t>
      </w:r>
      <w:r w:rsidR="00E05F79" w:rsidRPr="00247531">
        <w:rPr>
          <w:rFonts w:ascii="ITC Avant Garde" w:hAnsi="ITC Avant Garde"/>
        </w:rPr>
        <w:t>)</w:t>
      </w:r>
      <w:r>
        <w:rPr>
          <w:rFonts w:ascii="ITC Avant Garde" w:hAnsi="ITC Avant Garde"/>
        </w:rPr>
        <w:t xml:space="preserve">, en la cual </w:t>
      </w:r>
      <w:r w:rsidRPr="00735FDE">
        <w:rPr>
          <w:rFonts w:ascii="ITC Avant Garde" w:hAnsi="ITC Avant Garde"/>
          <w:lang w:val="es-ES"/>
        </w:rPr>
        <w:t xml:space="preserve">cada </w:t>
      </w:r>
      <w:r>
        <w:rPr>
          <w:rFonts w:ascii="ITC Avant Garde" w:hAnsi="ITC Avant Garde"/>
          <w:lang w:val="es-ES"/>
        </w:rPr>
        <w:t>Bloque</w:t>
      </w:r>
      <w:r w:rsidRPr="00735FDE">
        <w:rPr>
          <w:rFonts w:ascii="ITC Avant Garde" w:hAnsi="ITC Avant Garde"/>
          <w:lang w:val="es-ES"/>
        </w:rPr>
        <w:t xml:space="preserve"> comenzó con un Puntaje asociado al V</w:t>
      </w:r>
      <w:r>
        <w:rPr>
          <w:rFonts w:ascii="ITC Avant Garde" w:hAnsi="ITC Avant Garde"/>
          <w:lang w:val="es-ES"/>
        </w:rPr>
        <w:t>MR</w:t>
      </w:r>
      <w:r w:rsidRPr="00735FDE">
        <w:rPr>
          <w:rFonts w:ascii="ITC Avant Garde" w:hAnsi="ITC Avant Garde"/>
          <w:lang w:val="es-ES"/>
        </w:rPr>
        <w:t xml:space="preserve"> correspondiente y los Participantes expresaron su disposición a aceptar o no dicho Puntaje.</w:t>
      </w:r>
    </w:p>
    <w:p w14:paraId="777BCF47" w14:textId="77777777" w:rsidR="00B156EB" w:rsidRDefault="00E05F79" w:rsidP="00B156EB">
      <w:pPr>
        <w:tabs>
          <w:tab w:val="left" w:pos="142"/>
        </w:tabs>
        <w:spacing w:before="240" w:after="240" w:line="240" w:lineRule="auto"/>
        <w:jc w:val="both"/>
        <w:rPr>
          <w:rFonts w:ascii="ITC Avant Garde" w:hAnsi="ITC Avant Garde"/>
        </w:rPr>
      </w:pPr>
      <w:r w:rsidRPr="00247531">
        <w:rPr>
          <w:rFonts w:ascii="ITC Avant Garde" w:hAnsi="ITC Avant Garde"/>
        </w:rPr>
        <w:t>Finalizada la</w:t>
      </w:r>
      <w:r w:rsidR="00C2145E" w:rsidRPr="00247531">
        <w:rPr>
          <w:rFonts w:ascii="ITC Avant Garde" w:hAnsi="ITC Avant Garde"/>
        </w:rPr>
        <w:t xml:space="preserve"> Ronda Inicial, se registraron </w:t>
      </w:r>
      <w:r w:rsidR="007C6DDF">
        <w:rPr>
          <w:rFonts w:ascii="ITC Avant Garde" w:hAnsi="ITC Avant Garde"/>
        </w:rPr>
        <w:t>siete</w:t>
      </w:r>
      <w:r w:rsidR="00C2145E" w:rsidRPr="00247531">
        <w:rPr>
          <w:rFonts w:ascii="ITC Avant Garde" w:hAnsi="ITC Avant Garde"/>
        </w:rPr>
        <w:t xml:space="preserve"> aceptaciones de Puntajes por </w:t>
      </w:r>
      <w:r w:rsidR="007C6DDF">
        <w:rPr>
          <w:rFonts w:ascii="ITC Avant Garde" w:hAnsi="ITC Avant Garde"/>
        </w:rPr>
        <w:t>igual número de</w:t>
      </w:r>
      <w:r w:rsidR="00C2145E" w:rsidRPr="00247531">
        <w:rPr>
          <w:rFonts w:ascii="ITC Avant Garde" w:hAnsi="ITC Avant Garde"/>
        </w:rPr>
        <w:t xml:space="preserve"> Bloques, de los cuales </w:t>
      </w:r>
      <w:r w:rsidR="007C6DDF">
        <w:rPr>
          <w:rFonts w:ascii="ITC Avant Garde" w:hAnsi="ITC Avant Garde"/>
        </w:rPr>
        <w:t>tres</w:t>
      </w:r>
      <w:r w:rsidR="00C2145E" w:rsidRPr="00247531">
        <w:rPr>
          <w:rFonts w:ascii="ITC Avant Garde" w:hAnsi="ITC Avant Garde"/>
        </w:rPr>
        <w:t xml:space="preserve"> corresponden a Bloques Nacionales y </w:t>
      </w:r>
      <w:r w:rsidR="007C6DDF">
        <w:rPr>
          <w:rFonts w:ascii="ITC Avant Garde" w:hAnsi="ITC Avant Garde"/>
        </w:rPr>
        <w:t>cuatro a Bloques Regionales,</w:t>
      </w:r>
      <w:r w:rsidR="00C2145E" w:rsidRPr="00247531">
        <w:rPr>
          <w:rFonts w:ascii="ITC Avant Garde" w:hAnsi="ITC Avant Garde"/>
        </w:rPr>
        <w:t xml:space="preserve"> </w:t>
      </w:r>
      <w:r w:rsidR="00294E92">
        <w:rPr>
          <w:rFonts w:ascii="ITC Avant Garde" w:hAnsi="ITC Avant Garde"/>
        </w:rPr>
        <w:t xml:space="preserve">por lo que al no existir </w:t>
      </w:r>
      <w:r w:rsidR="00294E92" w:rsidRPr="00E2088D">
        <w:rPr>
          <w:rFonts w:ascii="ITC Avant Garde" w:hAnsi="ITC Avant Garde"/>
          <w:lang w:val="es-ES"/>
        </w:rPr>
        <w:t xml:space="preserve">una demanda por </w:t>
      </w:r>
      <w:r w:rsidR="007C6DDF">
        <w:rPr>
          <w:rFonts w:ascii="ITC Avant Garde" w:hAnsi="ITC Avant Garde"/>
          <w:lang w:val="es-ES"/>
        </w:rPr>
        <w:t>cada</w:t>
      </w:r>
      <w:r w:rsidR="00294E92" w:rsidRPr="00E2088D">
        <w:rPr>
          <w:rFonts w:ascii="ITC Avant Garde" w:hAnsi="ITC Avant Garde"/>
          <w:lang w:val="es-ES"/>
        </w:rPr>
        <w:t xml:space="preserve"> Bloque mayor a la oferta disponible</w:t>
      </w:r>
      <w:r w:rsidR="00294E92">
        <w:rPr>
          <w:rFonts w:ascii="ITC Avant Garde" w:hAnsi="ITC Avant Garde"/>
          <w:lang w:val="es-ES"/>
        </w:rPr>
        <w:t>, no hubo necesidad de rondas subsecuentes en los Bloques de la Fase Primaria, y</w:t>
      </w:r>
      <w:r w:rsidR="00294E92" w:rsidRPr="00247531">
        <w:rPr>
          <w:rFonts w:ascii="ITC Avant Garde" w:hAnsi="ITC Avant Garde"/>
        </w:rPr>
        <w:t xml:space="preserve"> </w:t>
      </w:r>
      <w:r w:rsidR="00C2145E" w:rsidRPr="00247531">
        <w:rPr>
          <w:rFonts w:ascii="ITC Avant Garde" w:hAnsi="ITC Avant Garde"/>
        </w:rPr>
        <w:t xml:space="preserve">culminó el Procedimiento de Presentación de Ofertas </w:t>
      </w:r>
      <w:r w:rsidR="007C6DDF">
        <w:rPr>
          <w:rFonts w:ascii="ITC Avant Garde" w:hAnsi="ITC Avant Garde"/>
        </w:rPr>
        <w:t>para estos siete</w:t>
      </w:r>
      <w:r w:rsidR="00C2145E" w:rsidRPr="00247531">
        <w:rPr>
          <w:rFonts w:ascii="ITC Avant Garde" w:hAnsi="ITC Avant Garde"/>
        </w:rPr>
        <w:t xml:space="preserve"> Bloques</w:t>
      </w:r>
      <w:r w:rsidR="00294E92">
        <w:rPr>
          <w:rFonts w:ascii="ITC Avant Garde" w:hAnsi="ITC Avant Garde"/>
        </w:rPr>
        <w:t xml:space="preserve">. En virtud de lo anterior, y </w:t>
      </w:r>
      <w:r w:rsidR="00C430F9">
        <w:rPr>
          <w:rFonts w:ascii="ITC Avant Garde" w:hAnsi="ITC Avant Garde"/>
        </w:rPr>
        <w:t xml:space="preserve">en </w:t>
      </w:r>
      <w:r w:rsidR="00294E92">
        <w:rPr>
          <w:rFonts w:ascii="ITC Avant Garde" w:hAnsi="ITC Avant Garde"/>
        </w:rPr>
        <w:t xml:space="preserve">atención a lo previsto en las Bases, </w:t>
      </w:r>
      <w:r w:rsidR="00C2145E" w:rsidRPr="00247531">
        <w:rPr>
          <w:rFonts w:ascii="ITC Avant Garde" w:hAnsi="ITC Avant Garde"/>
        </w:rPr>
        <w:t>14 Bloques</w:t>
      </w:r>
      <w:r w:rsidRPr="00247531">
        <w:rPr>
          <w:rFonts w:ascii="ITC Avant Garde" w:hAnsi="ITC Avant Garde"/>
        </w:rPr>
        <w:t xml:space="preserve"> </w:t>
      </w:r>
      <w:r w:rsidR="00954BD2">
        <w:rPr>
          <w:rFonts w:ascii="ITC Avant Garde" w:hAnsi="ITC Avant Garde"/>
        </w:rPr>
        <w:t xml:space="preserve">Desiertos </w:t>
      </w:r>
      <w:r w:rsidRPr="00247531">
        <w:rPr>
          <w:rFonts w:ascii="ITC Avant Garde" w:hAnsi="ITC Avant Garde"/>
        </w:rPr>
        <w:t xml:space="preserve">quedaron </w:t>
      </w:r>
      <w:r w:rsidR="00954BD2">
        <w:rPr>
          <w:rFonts w:ascii="ITC Avant Garde" w:hAnsi="ITC Avant Garde"/>
        </w:rPr>
        <w:t>disponibles</w:t>
      </w:r>
      <w:r w:rsidR="00954BD2" w:rsidRPr="00247531">
        <w:rPr>
          <w:rFonts w:ascii="ITC Avant Garde" w:hAnsi="ITC Avant Garde"/>
        </w:rPr>
        <w:t xml:space="preserve"> </w:t>
      </w:r>
      <w:r w:rsidRPr="00247531">
        <w:rPr>
          <w:rFonts w:ascii="ITC Avant Garde" w:hAnsi="ITC Avant Garde"/>
        </w:rPr>
        <w:t xml:space="preserve">para </w:t>
      </w:r>
      <w:r w:rsidR="00C2145E" w:rsidRPr="00247531">
        <w:rPr>
          <w:rFonts w:ascii="ITC Avant Garde" w:hAnsi="ITC Avant Garde"/>
        </w:rPr>
        <w:t xml:space="preserve">la Fase Secundaria. </w:t>
      </w:r>
    </w:p>
    <w:p w14:paraId="1ECFDD47" w14:textId="77777777" w:rsidR="00B156EB" w:rsidRDefault="00C2145E" w:rsidP="00B156EB">
      <w:pPr>
        <w:tabs>
          <w:tab w:val="left" w:pos="142"/>
        </w:tabs>
        <w:spacing w:before="240" w:after="240" w:line="240" w:lineRule="auto"/>
        <w:jc w:val="both"/>
        <w:rPr>
          <w:rFonts w:ascii="ITC Avant Garde" w:hAnsi="ITC Avant Garde"/>
        </w:rPr>
      </w:pPr>
      <w:r w:rsidRPr="00247531">
        <w:rPr>
          <w:rFonts w:ascii="ITC Avant Garde" w:hAnsi="ITC Avant Garde"/>
        </w:rPr>
        <w:t>El 19 de octubre de 2017</w:t>
      </w:r>
      <w:r w:rsidR="00247531" w:rsidRPr="00247531">
        <w:rPr>
          <w:rFonts w:ascii="ITC Avant Garde" w:hAnsi="ITC Avant Garde"/>
        </w:rPr>
        <w:t xml:space="preserve"> inició</w:t>
      </w:r>
      <w:r w:rsidR="00294E92">
        <w:rPr>
          <w:rFonts w:ascii="ITC Avant Garde" w:hAnsi="ITC Avant Garde"/>
        </w:rPr>
        <w:t xml:space="preserve"> la Fase Secundaria</w:t>
      </w:r>
      <w:r w:rsidR="00247531" w:rsidRPr="00247531">
        <w:rPr>
          <w:rFonts w:ascii="ITC Avant Garde" w:hAnsi="ITC Avant Garde"/>
        </w:rPr>
        <w:t xml:space="preserve"> </w:t>
      </w:r>
      <w:r w:rsidR="00294E92">
        <w:rPr>
          <w:rFonts w:ascii="ITC Avant Garde" w:hAnsi="ITC Avant Garde"/>
        </w:rPr>
        <w:t>d</w:t>
      </w:r>
      <w:r w:rsidR="00247531" w:rsidRPr="00247531">
        <w:rPr>
          <w:rFonts w:ascii="ITC Avant Garde" w:hAnsi="ITC Avant Garde"/>
        </w:rPr>
        <w:t xml:space="preserve">el Procedimiento de Presentación de Ofertas, </w:t>
      </w:r>
      <w:r w:rsidR="00954BD2">
        <w:rPr>
          <w:rFonts w:ascii="ITC Avant Garde" w:hAnsi="ITC Avant Garde"/>
        </w:rPr>
        <w:t>conforme a la selección de Bloque</w:t>
      </w:r>
      <w:r w:rsidR="007C6DDF">
        <w:rPr>
          <w:rFonts w:ascii="ITC Avant Garde" w:hAnsi="ITC Avant Garde"/>
        </w:rPr>
        <w:t>s</w:t>
      </w:r>
      <w:r w:rsidR="00954BD2">
        <w:rPr>
          <w:rFonts w:ascii="ITC Avant Garde" w:hAnsi="ITC Avant Garde"/>
        </w:rPr>
        <w:t xml:space="preserve"> Desiertos realizada por los Participantes </w:t>
      </w:r>
      <w:r w:rsidR="00954BD2" w:rsidRPr="001E7FC5">
        <w:rPr>
          <w:rFonts w:ascii="ITC Avant Garde" w:hAnsi="ITC Avant Garde"/>
        </w:rPr>
        <w:t>ha</w:t>
      </w:r>
      <w:r w:rsidR="00954BD2">
        <w:rPr>
          <w:rFonts w:ascii="ITC Avant Garde" w:hAnsi="ITC Avant Garde"/>
        </w:rPr>
        <w:t xml:space="preserve">bilitados para participar en dicha fase </w:t>
      </w:r>
      <w:r w:rsidR="00954BD2" w:rsidRPr="001E7FC5">
        <w:rPr>
          <w:rFonts w:ascii="ITC Avant Garde" w:hAnsi="ITC Avant Garde"/>
        </w:rPr>
        <w:t>en términos de la Constancia de Participación respectiva</w:t>
      </w:r>
      <w:r w:rsidR="00954BD2">
        <w:rPr>
          <w:rFonts w:ascii="ITC Avant Garde" w:hAnsi="ITC Avant Garde"/>
        </w:rPr>
        <w:t xml:space="preserve"> y que aceptaron por lo menos un Puntaje de la Ronda Inicial en al menos un Bloque en la Fase Primaria, lo anterior, atendiendo</w:t>
      </w:r>
      <w:r w:rsidR="00954BD2" w:rsidRPr="001E7FC5">
        <w:rPr>
          <w:rFonts w:ascii="ITC Avant Garde" w:hAnsi="ITC Avant Garde"/>
        </w:rPr>
        <w:t xml:space="preserve"> al Lí</w:t>
      </w:r>
      <w:r w:rsidR="00954BD2">
        <w:rPr>
          <w:rFonts w:ascii="ITC Avant Garde" w:hAnsi="ITC Avant Garde"/>
        </w:rPr>
        <w:t>mite de Acumulación de Espectro previsto en las Bases</w:t>
      </w:r>
      <w:r w:rsidR="00954BD2" w:rsidRPr="001E7FC5">
        <w:rPr>
          <w:rFonts w:ascii="ITC Avant Garde" w:hAnsi="ITC Avant Garde"/>
        </w:rPr>
        <w:t>.</w:t>
      </w:r>
      <w:r w:rsidR="00954BD2">
        <w:rPr>
          <w:rFonts w:ascii="ITC Avant Garde" w:hAnsi="ITC Avant Garde"/>
        </w:rPr>
        <w:t xml:space="preserve"> La Fase Secundaria</w:t>
      </w:r>
      <w:r w:rsidR="00247531" w:rsidRPr="00247531">
        <w:rPr>
          <w:rFonts w:ascii="ITC Avant Garde" w:hAnsi="ITC Avant Garde"/>
        </w:rPr>
        <w:t xml:space="preserve"> concluyó pa</w:t>
      </w:r>
      <w:r w:rsidR="00E05F79" w:rsidRPr="00247531">
        <w:rPr>
          <w:rFonts w:ascii="ITC Avant Garde" w:hAnsi="ITC Avant Garde"/>
        </w:rPr>
        <w:t xml:space="preserve">ra el último </w:t>
      </w:r>
      <w:r w:rsidR="00247531" w:rsidRPr="00247531">
        <w:rPr>
          <w:rFonts w:ascii="ITC Avant Garde" w:hAnsi="ITC Avant Garde"/>
        </w:rPr>
        <w:t xml:space="preserve">Bloque </w:t>
      </w:r>
      <w:r w:rsidR="006D2232">
        <w:rPr>
          <w:rFonts w:ascii="ITC Avant Garde" w:hAnsi="ITC Avant Garde"/>
        </w:rPr>
        <w:t xml:space="preserve">en la </w:t>
      </w:r>
      <w:r w:rsidR="00247531" w:rsidRPr="00247531">
        <w:rPr>
          <w:rFonts w:ascii="ITC Avant Garde" w:hAnsi="ITC Avant Garde"/>
        </w:rPr>
        <w:t xml:space="preserve">quincuagésima tercera </w:t>
      </w:r>
      <w:r w:rsidR="00E05F79" w:rsidRPr="00247531">
        <w:rPr>
          <w:rFonts w:ascii="ITC Avant Garde" w:hAnsi="ITC Avant Garde"/>
        </w:rPr>
        <w:t>Ronda Subsecuente</w:t>
      </w:r>
      <w:r w:rsidR="00954BD2">
        <w:rPr>
          <w:rFonts w:ascii="ITC Avant Garde" w:hAnsi="ITC Avant Garde"/>
        </w:rPr>
        <w:t>, al ser la</w:t>
      </w:r>
      <w:r w:rsidR="00954BD2" w:rsidRPr="001E7FC5">
        <w:rPr>
          <w:rFonts w:ascii="ITC Avant Garde" w:hAnsi="ITC Avant Garde"/>
        </w:rPr>
        <w:t xml:space="preserve"> oferta igual a la demanda al final de </w:t>
      </w:r>
      <w:r w:rsidR="00954BD2">
        <w:rPr>
          <w:rFonts w:ascii="ITC Avant Garde" w:hAnsi="ITC Avant Garde"/>
        </w:rPr>
        <w:t>dicha r</w:t>
      </w:r>
      <w:r w:rsidR="00954BD2" w:rsidRPr="001E7FC5">
        <w:rPr>
          <w:rFonts w:ascii="ITC Avant Garde" w:hAnsi="ITC Avant Garde"/>
        </w:rPr>
        <w:t>onda</w:t>
      </w:r>
      <w:r w:rsidR="00E05F79" w:rsidRPr="00247531">
        <w:rPr>
          <w:rFonts w:ascii="ITC Avant Garde" w:hAnsi="ITC Avant Garde"/>
        </w:rPr>
        <w:t xml:space="preserve">. </w:t>
      </w:r>
    </w:p>
    <w:p w14:paraId="4C5A8C77" w14:textId="63CBDC50" w:rsidR="00E05F79" w:rsidRPr="00735FDE" w:rsidRDefault="00E05F79" w:rsidP="00B156EB">
      <w:pPr>
        <w:pStyle w:val="Prrafodelista"/>
        <w:spacing w:before="240" w:after="24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735FDE">
        <w:rPr>
          <w:rFonts w:ascii="ITC Avant Garde" w:hAnsi="ITC Avant Garde" w:cs="Arial"/>
          <w:kern w:val="2"/>
          <w:sz w:val="22"/>
          <w:szCs w:val="22"/>
          <w:lang w:val="es-ES_tradnl" w:eastAsia="ar-SA"/>
        </w:rPr>
        <w:lastRenderedPageBreak/>
        <w:t>Cabe señalar que el Procedimiento de Presentación de Ofertas del Con</w:t>
      </w:r>
      <w:r w:rsidR="001E7FC5">
        <w:rPr>
          <w:rFonts w:ascii="ITC Avant Garde" w:hAnsi="ITC Avant Garde" w:cs="Arial"/>
          <w:kern w:val="2"/>
          <w:sz w:val="22"/>
          <w:szCs w:val="22"/>
          <w:lang w:val="es-ES_tradnl" w:eastAsia="ar-SA"/>
        </w:rPr>
        <w:t>curso de la Licitación No. IFT-5</w:t>
      </w:r>
      <w:r w:rsidRPr="00735FDE">
        <w:rPr>
          <w:rFonts w:ascii="ITC Avant Garde" w:hAnsi="ITC Avant Garde" w:cs="Arial"/>
          <w:kern w:val="2"/>
          <w:sz w:val="22"/>
          <w:szCs w:val="22"/>
          <w:lang w:val="es-ES_tradnl" w:eastAsia="ar-SA"/>
        </w:rPr>
        <w:t>, al igual que el resto de las etapas previas, se llevó a cabo con la intervención de un testigo social.</w:t>
      </w:r>
    </w:p>
    <w:p w14:paraId="7803B8C1" w14:textId="77777777" w:rsidR="00B156EB" w:rsidRDefault="003E1B21" w:rsidP="00B156EB">
      <w:pPr>
        <w:suppressAutoHyphens/>
        <w:spacing w:before="240" w:after="240" w:line="240" w:lineRule="auto"/>
        <w:jc w:val="both"/>
        <w:rPr>
          <w:rFonts w:ascii="ITC Avant Garde" w:hAnsi="ITC Avant Garde" w:cs="Arial"/>
          <w:kern w:val="2"/>
          <w:lang w:val="es-ES_tradnl" w:eastAsia="ar-SA"/>
        </w:rPr>
      </w:pPr>
      <w:r>
        <w:rPr>
          <w:rFonts w:ascii="ITC Avant Garde" w:eastAsia="Arial Unicode MS" w:hAnsi="ITC Avant Garde" w:cs="Arial Unicode MS"/>
          <w:kern w:val="1"/>
          <w:u w:color="000000"/>
          <w:bdr w:val="nil"/>
          <w:lang w:val="es-ES_tradnl" w:eastAsia="ar-SA"/>
        </w:rPr>
        <w:t>E</w:t>
      </w:r>
      <w:r w:rsidR="00BE0312">
        <w:rPr>
          <w:rFonts w:ascii="ITC Avant Garde" w:eastAsia="Arial Unicode MS" w:hAnsi="ITC Avant Garde" w:cs="Arial Unicode MS"/>
          <w:kern w:val="1"/>
          <w:u w:color="000000"/>
          <w:bdr w:val="nil"/>
          <w:lang w:val="es-ES_tradnl" w:eastAsia="ar-SA"/>
        </w:rPr>
        <w:t>l 25</w:t>
      </w:r>
      <w:r w:rsidR="00BE0312" w:rsidRPr="00735FDE">
        <w:rPr>
          <w:rFonts w:ascii="ITC Avant Garde" w:eastAsia="Arial Unicode MS" w:hAnsi="ITC Avant Garde" w:cs="Arial Unicode MS"/>
          <w:kern w:val="1"/>
          <w:u w:color="000000"/>
          <w:bdr w:val="nil"/>
          <w:lang w:val="es-ES_tradnl" w:eastAsia="ar-SA"/>
        </w:rPr>
        <w:t xml:space="preserve"> de </w:t>
      </w:r>
      <w:r w:rsidR="00BE0312">
        <w:rPr>
          <w:rFonts w:ascii="ITC Avant Garde" w:eastAsia="Arial Unicode MS" w:hAnsi="ITC Avant Garde" w:cs="Arial Unicode MS"/>
          <w:kern w:val="1"/>
          <w:u w:color="000000"/>
          <w:bdr w:val="nil"/>
          <w:lang w:val="es-ES_tradnl" w:eastAsia="ar-SA"/>
        </w:rPr>
        <w:t>octubre</w:t>
      </w:r>
      <w:r w:rsidR="00BE0312" w:rsidRPr="00735FDE">
        <w:rPr>
          <w:rFonts w:ascii="ITC Avant Garde" w:eastAsia="Arial Unicode MS" w:hAnsi="ITC Avant Garde" w:cs="Arial Unicode MS"/>
          <w:kern w:val="1"/>
          <w:u w:color="000000"/>
          <w:bdr w:val="nil"/>
          <w:lang w:val="es-ES_tradnl" w:eastAsia="ar-SA"/>
        </w:rPr>
        <w:t xml:space="preserve"> de 2017</w:t>
      </w:r>
      <w:r w:rsidRPr="003E1B21">
        <w:rPr>
          <w:rFonts w:ascii="ITC Avant Garde" w:eastAsia="Arial Unicode MS" w:hAnsi="ITC Avant Garde" w:cs="Arial Unicode MS"/>
          <w:kern w:val="1"/>
          <w:u w:color="000000"/>
          <w:bdr w:val="nil"/>
          <w:lang w:val="es-ES_tradnl" w:eastAsia="ar-SA"/>
        </w:rPr>
        <w:t xml:space="preserve"> </w:t>
      </w:r>
      <w:r>
        <w:rPr>
          <w:rFonts w:ascii="ITC Avant Garde" w:eastAsia="Arial Unicode MS" w:hAnsi="ITC Avant Garde" w:cs="Arial Unicode MS"/>
          <w:kern w:val="1"/>
          <w:u w:color="000000"/>
          <w:bdr w:val="nil"/>
          <w:lang w:val="es-ES_tradnl" w:eastAsia="ar-SA"/>
        </w:rPr>
        <w:t>concluyó la Tercera etapa de la Licitación</w:t>
      </w:r>
      <w:r w:rsidRPr="003E1B21">
        <w:rPr>
          <w:rFonts w:ascii="ITC Avant Garde" w:hAnsi="ITC Avant Garde"/>
          <w:kern w:val="1"/>
          <w:u w:color="000000"/>
          <w:bdr w:val="nil"/>
          <w:lang w:val="es-ES_tradnl"/>
        </w:rPr>
        <w:t xml:space="preserve"> </w:t>
      </w:r>
      <w:r>
        <w:rPr>
          <w:rFonts w:ascii="ITC Avant Garde" w:hAnsi="ITC Avant Garde"/>
          <w:kern w:val="1"/>
          <w:u w:color="000000"/>
          <w:bdr w:val="nil"/>
          <w:lang w:val="es-ES_tradnl"/>
        </w:rPr>
        <w:t>No. IFT-5</w:t>
      </w:r>
      <w:r w:rsidR="00BE0312" w:rsidRPr="00735FDE">
        <w:rPr>
          <w:rFonts w:ascii="ITC Avant Garde" w:eastAsia="Arial Unicode MS" w:hAnsi="ITC Avant Garde" w:cs="Arial Unicode MS"/>
          <w:kern w:val="1"/>
          <w:u w:color="000000"/>
          <w:bdr w:val="nil"/>
          <w:lang w:val="es-ES_tradnl" w:eastAsia="ar-SA"/>
        </w:rPr>
        <w:t xml:space="preserve">, </w:t>
      </w:r>
      <w:r>
        <w:rPr>
          <w:rFonts w:ascii="ITC Avant Garde" w:eastAsia="Arial Unicode MS" w:hAnsi="ITC Avant Garde" w:cs="Arial Unicode MS"/>
          <w:kern w:val="1"/>
          <w:u w:color="000000"/>
          <w:bdr w:val="nil"/>
          <w:lang w:val="es-ES_tradnl" w:eastAsia="ar-SA"/>
        </w:rPr>
        <w:t>al publicarse</w:t>
      </w:r>
      <w:r w:rsidR="00BE0312" w:rsidRPr="00735FDE">
        <w:rPr>
          <w:rFonts w:ascii="ITC Avant Garde" w:eastAsia="Arial Unicode MS" w:hAnsi="ITC Avant Garde" w:cs="Arial Unicode MS"/>
          <w:kern w:val="1"/>
          <w:u w:color="000000"/>
          <w:bdr w:val="nil"/>
          <w:lang w:val="es-ES_tradnl" w:eastAsia="ar-SA"/>
        </w:rPr>
        <w:t xml:space="preserve"> en el Portal de Internet del Instituto los resultados de cada </w:t>
      </w:r>
      <w:r w:rsidR="00BE0312">
        <w:rPr>
          <w:rFonts w:ascii="ITC Avant Garde" w:eastAsia="Arial Unicode MS" w:hAnsi="ITC Avant Garde" w:cs="Arial Unicode MS"/>
          <w:kern w:val="1"/>
          <w:u w:color="000000"/>
          <w:bdr w:val="nil"/>
          <w:lang w:val="es-ES_tradnl" w:eastAsia="ar-SA"/>
        </w:rPr>
        <w:t>Bloque</w:t>
      </w:r>
      <w:r>
        <w:rPr>
          <w:rFonts w:ascii="ITC Avant Garde" w:eastAsia="Arial Unicode MS" w:hAnsi="ITC Avant Garde" w:cs="Arial Unicode MS"/>
          <w:kern w:val="1"/>
          <w:u w:color="000000"/>
          <w:bdr w:val="nil"/>
          <w:lang w:val="es-ES_tradnl" w:eastAsia="ar-SA"/>
        </w:rPr>
        <w:t xml:space="preserve"> en el Procedimiento de Presentación de Ofertas, </w:t>
      </w:r>
      <w:r w:rsidR="007B0877">
        <w:rPr>
          <w:rFonts w:ascii="ITC Avant Garde" w:eastAsia="Arial Unicode MS" w:hAnsi="ITC Avant Garde" w:cs="Arial Unicode MS"/>
          <w:kern w:val="1"/>
          <w:u w:color="000000"/>
          <w:bdr w:val="nil"/>
          <w:lang w:val="es-ES_tradnl" w:eastAsia="ar-SA"/>
        </w:rPr>
        <w:t xml:space="preserve">motivo por el cual </w:t>
      </w:r>
      <w:r w:rsidR="00E05F79" w:rsidRPr="00247531">
        <w:rPr>
          <w:rFonts w:ascii="ITC Avant Garde" w:hAnsi="ITC Avant Garde"/>
        </w:rPr>
        <w:t>es procedente continuar con la Cuarta</w:t>
      </w:r>
      <w:r w:rsidR="00E05F79" w:rsidRPr="00247531">
        <w:rPr>
          <w:rFonts w:ascii="ITC Avant Garde" w:hAnsi="ITC Avant Garde"/>
          <w:kern w:val="1"/>
          <w:u w:color="000000"/>
          <w:bdr w:val="nil"/>
          <w:lang w:val="es-ES_tradnl"/>
        </w:rPr>
        <w:t xml:space="preserve"> Etapa</w:t>
      </w:r>
      <w:r w:rsidR="001E7FC5">
        <w:rPr>
          <w:rFonts w:ascii="ITC Avant Garde" w:hAnsi="ITC Avant Garde"/>
          <w:kern w:val="1"/>
          <w:u w:color="000000"/>
          <w:bdr w:val="nil"/>
          <w:lang w:val="es-ES_tradnl"/>
        </w:rPr>
        <w:t xml:space="preserve"> de la Licitación No. IFT-5,</w:t>
      </w:r>
      <w:r w:rsidR="00E05F79" w:rsidRPr="00992931">
        <w:rPr>
          <w:rFonts w:ascii="ITC Avant Garde" w:hAnsi="ITC Avant Garde"/>
          <w:kern w:val="1"/>
          <w:u w:color="000000"/>
          <w:bdr w:val="nil"/>
          <w:lang w:val="es-ES_tradnl"/>
        </w:rPr>
        <w:t xml:space="preserve"> denominada</w:t>
      </w:r>
      <w:r w:rsidR="00E05F79" w:rsidRPr="00735FDE">
        <w:rPr>
          <w:rFonts w:ascii="ITC Avant Garde" w:hAnsi="ITC Avant Garde"/>
          <w:kern w:val="1"/>
          <w:u w:color="000000"/>
          <w:bdr w:val="nil"/>
          <w:lang w:val="es-ES_tradnl"/>
        </w:rPr>
        <w:t xml:space="preserve"> “</w:t>
      </w:r>
      <w:r w:rsidR="00E05F79" w:rsidRPr="00735FDE">
        <w:rPr>
          <w:rFonts w:ascii="ITC Avant Garde" w:hAnsi="ITC Avant Garde"/>
          <w:i/>
          <w:kern w:val="2"/>
          <w:lang w:val="es-ES_tradnl"/>
        </w:rPr>
        <w:t>Emisión de Acta de Fallo, Pago de Contraprestación y Otorgamiento de Títulos de Concesión</w:t>
      </w:r>
      <w:r w:rsidR="00E05F79" w:rsidRPr="00735FDE">
        <w:rPr>
          <w:rFonts w:ascii="ITC Avant Garde" w:hAnsi="ITC Avant Garde"/>
          <w:kern w:val="2"/>
          <w:lang w:val="es-ES_tradnl"/>
        </w:rPr>
        <w:t>”</w:t>
      </w:r>
      <w:r w:rsidR="00E05F79" w:rsidRPr="00735FDE">
        <w:rPr>
          <w:rFonts w:ascii="ITC Avant Garde" w:hAnsi="ITC Avant Garde"/>
          <w:kern w:val="1"/>
          <w:u w:color="000000"/>
          <w:bdr w:val="nil"/>
          <w:lang w:val="es-ES_tradnl"/>
        </w:rPr>
        <w:t>.</w:t>
      </w:r>
    </w:p>
    <w:p w14:paraId="436EFB0A" w14:textId="0069F4BF" w:rsidR="00E05F79" w:rsidRPr="00B156EB" w:rsidRDefault="00B546A7" w:rsidP="00B156EB">
      <w:pPr>
        <w:pStyle w:val="Prrafodelista"/>
        <w:spacing w:before="240" w:after="240"/>
        <w:ind w:left="0"/>
        <w:jc w:val="both"/>
        <w:rPr>
          <w:rFonts w:ascii="ITC Avant Garde" w:eastAsia="Arial Unicode MS" w:hAnsi="ITC Avant Garde" w:cs="Arial"/>
          <w:bCs/>
          <w:sz w:val="22"/>
          <w:szCs w:val="22"/>
          <w:u w:color="000000"/>
          <w:bdr w:val="nil"/>
          <w:lang w:val="es-ES_tradnl"/>
        </w:rPr>
      </w:pPr>
      <w:r>
        <w:rPr>
          <w:rFonts w:ascii="ITC Avant Garde" w:eastAsia="Arial Unicode MS" w:hAnsi="ITC Avant Garde" w:cs="Arial"/>
          <w:b/>
          <w:bCs/>
          <w:sz w:val="22"/>
          <w:szCs w:val="22"/>
          <w:u w:color="000000"/>
          <w:bdr w:val="nil"/>
          <w:lang w:val="es-ES_tradnl"/>
        </w:rPr>
        <w:t>CUARTO.</w:t>
      </w:r>
      <w:r>
        <w:rPr>
          <w:rFonts w:ascii="ITC Avant Garde" w:eastAsia="Arial Unicode MS" w:hAnsi="ITC Avant Garde" w:cs="Arial"/>
          <w:b/>
          <w:bCs/>
          <w:sz w:val="22"/>
          <w:szCs w:val="22"/>
          <w:u w:color="000000"/>
          <w:bdr w:val="nil"/>
          <w:lang w:val="es-ES_tradnl"/>
        </w:rPr>
        <w:tab/>
      </w:r>
      <w:r w:rsidR="00E05F79" w:rsidRPr="00CD4154">
        <w:rPr>
          <w:rFonts w:ascii="ITC Avant Garde" w:eastAsia="Arial Unicode MS" w:hAnsi="ITC Avant Garde" w:cs="Arial"/>
          <w:b/>
          <w:bCs/>
          <w:sz w:val="22"/>
          <w:szCs w:val="22"/>
          <w:u w:color="000000"/>
          <w:bdr w:val="nil"/>
          <w:lang w:val="es-ES_tradnl"/>
        </w:rPr>
        <w:t>Emisión de Acta de Fallo, Pago de Contraprestación y Otorgamiento de Títulos de Concesión.</w:t>
      </w:r>
      <w:r w:rsidR="00E05F79" w:rsidRPr="00CD4154">
        <w:rPr>
          <w:rFonts w:ascii="ITC Avant Garde" w:eastAsia="Arial Unicode MS" w:hAnsi="ITC Avant Garde" w:cs="Arial"/>
          <w:bCs/>
          <w:sz w:val="22"/>
          <w:szCs w:val="22"/>
          <w:u w:color="000000"/>
          <w:bdr w:val="nil"/>
          <w:lang w:val="es-ES_tradnl"/>
        </w:rPr>
        <w:t xml:space="preserve"> De conformidad con el resultado del </w:t>
      </w:r>
      <w:r w:rsidR="00E05F79" w:rsidRPr="00CD4154">
        <w:rPr>
          <w:rFonts w:ascii="ITC Avant Garde" w:eastAsiaTheme="minorHAnsi" w:hAnsi="ITC Avant Garde" w:cs="Arial"/>
          <w:sz w:val="22"/>
          <w:szCs w:val="22"/>
        </w:rPr>
        <w:t xml:space="preserve">Procedimiento de Presentación de Ofertas, relativo al Concurso para los </w:t>
      </w:r>
      <w:r w:rsidR="001E7FC5" w:rsidRPr="00CD4154">
        <w:rPr>
          <w:rFonts w:ascii="ITC Avant Garde" w:eastAsiaTheme="minorHAnsi" w:hAnsi="ITC Avant Garde" w:cs="Arial"/>
          <w:sz w:val="22"/>
          <w:szCs w:val="22"/>
        </w:rPr>
        <w:t>Bloques</w:t>
      </w:r>
      <w:r w:rsidR="00472960" w:rsidRPr="00CD4154">
        <w:rPr>
          <w:rFonts w:ascii="ITC Avant Garde" w:eastAsiaTheme="minorHAnsi" w:hAnsi="ITC Avant Garde" w:cs="Arial"/>
          <w:sz w:val="22"/>
          <w:szCs w:val="22"/>
        </w:rPr>
        <w:t xml:space="preserve"> de</w:t>
      </w:r>
      <w:r w:rsidR="001E7FC5" w:rsidRPr="00CD4154">
        <w:rPr>
          <w:rFonts w:ascii="ITC Avant Garde" w:eastAsiaTheme="minorHAnsi" w:hAnsi="ITC Avant Garde" w:cs="Arial"/>
          <w:sz w:val="22"/>
          <w:szCs w:val="22"/>
        </w:rPr>
        <w:t xml:space="preserve"> la Licitación No. IFT-5</w:t>
      </w:r>
      <w:r w:rsidR="00E05F79" w:rsidRPr="00CD4154">
        <w:rPr>
          <w:rFonts w:ascii="ITC Avant Garde" w:eastAsiaTheme="minorHAnsi" w:hAnsi="ITC Avant Garde" w:cs="Arial"/>
          <w:sz w:val="22"/>
          <w:szCs w:val="22"/>
        </w:rPr>
        <w:t>, con el cumplimiento de</w:t>
      </w:r>
      <w:r w:rsidR="00E05F79" w:rsidRPr="00CD4154">
        <w:rPr>
          <w:rFonts w:ascii="ITC Avant Garde" w:eastAsia="Arial Unicode MS" w:hAnsi="ITC Avant Garde" w:cs="Arial"/>
          <w:bCs/>
          <w:sz w:val="22"/>
          <w:szCs w:val="22"/>
          <w:u w:color="000000"/>
          <w:bdr w:val="nil"/>
          <w:lang w:val="es-ES_tradnl"/>
        </w:rPr>
        <w:t xml:space="preserve"> lo previsto en las Bases, sus Apéndices y Anexos</w:t>
      </w:r>
      <w:r w:rsidR="007D004C" w:rsidRPr="00CD4154">
        <w:rPr>
          <w:rFonts w:ascii="ITC Avant Garde" w:eastAsia="Arial Unicode MS" w:hAnsi="ITC Avant Garde" w:cs="Arial"/>
          <w:bCs/>
          <w:sz w:val="22"/>
          <w:szCs w:val="22"/>
          <w:u w:color="000000"/>
          <w:bdr w:val="nil"/>
          <w:lang w:val="es-ES_tradnl"/>
        </w:rPr>
        <w:t xml:space="preserve">, </w:t>
      </w:r>
      <w:r w:rsidR="00465B4C" w:rsidRPr="00CD4154">
        <w:rPr>
          <w:rFonts w:ascii="ITC Avant Garde" w:eastAsia="Arial Unicode MS" w:hAnsi="ITC Avant Garde" w:cs="Arial"/>
          <w:bCs/>
          <w:sz w:val="22"/>
          <w:szCs w:val="22"/>
          <w:u w:color="000000"/>
          <w:bdr w:val="nil"/>
          <w:lang w:val="es-ES_tradnl"/>
        </w:rPr>
        <w:t xml:space="preserve">así como </w:t>
      </w:r>
      <w:r w:rsidR="00465B4C" w:rsidRPr="00CD4154">
        <w:rPr>
          <w:rFonts w:ascii="ITC Avant Garde" w:eastAsia="Arial Unicode MS" w:hAnsi="ITC Avant Garde" w:cs="Arial"/>
          <w:sz w:val="22"/>
          <w:szCs w:val="22"/>
          <w:u w:color="000000"/>
          <w:bdr w:val="nil"/>
          <w:lang w:val="es-ES_tradnl"/>
        </w:rPr>
        <w:t>la selección manifestada en el Apéndice E de las Bases y la selección realizada respecto de los Bloques Desiertos para la Fase Secundaria</w:t>
      </w:r>
      <w:r w:rsidR="00E05F79" w:rsidRPr="00CD4154">
        <w:rPr>
          <w:rFonts w:ascii="ITC Avant Garde" w:eastAsia="Arial Unicode MS" w:hAnsi="ITC Avant Garde" w:cs="Arial"/>
          <w:bCs/>
          <w:sz w:val="22"/>
          <w:szCs w:val="22"/>
          <w:u w:color="000000"/>
          <w:bdr w:val="nil"/>
          <w:lang w:val="es-ES_tradnl"/>
        </w:rPr>
        <w:t xml:space="preserve">, se determina como Participante Ganador a </w:t>
      </w:r>
      <w:r w:rsidR="00F14D9D" w:rsidRPr="00CD4154">
        <w:rPr>
          <w:rFonts w:ascii="ITC Avant Garde" w:hAnsi="ITC Avant Garde"/>
          <w:b/>
          <w:bCs/>
          <w:caps/>
          <w:noProof/>
          <w:sz w:val="22"/>
          <w:szCs w:val="22"/>
          <w:lang w:eastAsia="es-MX"/>
        </w:rPr>
        <w:t>Concesi</w:t>
      </w:r>
      <w:r w:rsidR="00637254" w:rsidRPr="00CD4154">
        <w:rPr>
          <w:rFonts w:ascii="ITC Avant Garde" w:hAnsi="ITC Avant Garde"/>
          <w:b/>
          <w:bCs/>
          <w:caps/>
          <w:noProof/>
          <w:sz w:val="22"/>
          <w:szCs w:val="22"/>
          <w:lang w:eastAsia="es-MX"/>
        </w:rPr>
        <w:t>O</w:t>
      </w:r>
      <w:r w:rsidR="00F14D9D" w:rsidRPr="00CD4154">
        <w:rPr>
          <w:rFonts w:ascii="ITC Avant Garde" w:hAnsi="ITC Avant Garde"/>
          <w:b/>
          <w:bCs/>
          <w:caps/>
          <w:noProof/>
          <w:sz w:val="22"/>
          <w:szCs w:val="22"/>
          <w:lang w:eastAsia="es-MX"/>
        </w:rPr>
        <w:t>naria Comseg</w:t>
      </w:r>
      <w:r w:rsidR="00F14D9D" w:rsidRPr="00CD4154">
        <w:rPr>
          <w:rFonts w:ascii="ITC Avant Garde" w:hAnsi="ITC Avant Garde"/>
          <w:b/>
          <w:bCs/>
          <w:sz w:val="22"/>
          <w:szCs w:val="22"/>
          <w:lang w:eastAsia="es-MX"/>
        </w:rPr>
        <w:t>, S.A. DE C.V.</w:t>
      </w:r>
      <w:r w:rsidR="00E05F79" w:rsidRPr="00CD4154">
        <w:rPr>
          <w:rFonts w:ascii="ITC Avant Garde" w:eastAsia="Arial Unicode MS" w:hAnsi="ITC Avant Garde" w:cs="Arial"/>
          <w:bCs/>
          <w:sz w:val="22"/>
          <w:szCs w:val="22"/>
          <w:u w:color="000000"/>
          <w:bdr w:val="nil"/>
          <w:lang w:val="es-ES_tradnl"/>
        </w:rPr>
        <w:t xml:space="preserve">, con número de Folio Único </w:t>
      </w:r>
      <w:r w:rsidR="00F14D9D" w:rsidRPr="00CD4154">
        <w:rPr>
          <w:rFonts w:ascii="ITC Avant Garde" w:eastAsia="Arial Unicode MS" w:hAnsi="ITC Avant Garde" w:cs="Arial"/>
          <w:b/>
          <w:bCs/>
          <w:sz w:val="22"/>
          <w:szCs w:val="22"/>
          <w:u w:color="000000"/>
          <w:bdr w:val="nil"/>
          <w:lang w:val="es-ES_tradnl"/>
        </w:rPr>
        <w:t>C1-440444</w:t>
      </w:r>
      <w:r w:rsidR="00E1558C" w:rsidRPr="00CD4154">
        <w:rPr>
          <w:rFonts w:ascii="ITC Avant Garde" w:eastAsia="Arial Unicode MS" w:hAnsi="ITC Avant Garde" w:cs="Arial"/>
          <w:bCs/>
          <w:sz w:val="22"/>
          <w:szCs w:val="22"/>
          <w:u w:color="000000"/>
          <w:bdr w:val="nil"/>
          <w:lang w:val="es-ES_tradnl"/>
        </w:rPr>
        <w:t xml:space="preserve">, </w:t>
      </w:r>
      <w:r w:rsidR="00174277" w:rsidRPr="00D95167">
        <w:rPr>
          <w:rFonts w:ascii="ITC Avant Garde" w:eastAsia="Arial Unicode MS" w:hAnsi="ITC Avant Garde" w:cs="Arial"/>
          <w:bCs/>
          <w:sz w:val="22"/>
          <w:szCs w:val="22"/>
          <w:u w:color="000000"/>
          <w:bdr w:val="nil"/>
          <w:lang w:val="es-ES_tradnl"/>
        </w:rPr>
        <w:t xml:space="preserve">quien obtuvo los resultados </w:t>
      </w:r>
      <w:r w:rsidR="00174277">
        <w:rPr>
          <w:rFonts w:ascii="ITC Avant Garde" w:eastAsia="Arial Unicode MS" w:hAnsi="ITC Avant Garde" w:cs="Arial"/>
          <w:bCs/>
          <w:sz w:val="22"/>
          <w:szCs w:val="22"/>
          <w:u w:color="000000"/>
          <w:bdr w:val="nil"/>
          <w:lang w:val="es-ES_tradnl"/>
        </w:rPr>
        <w:t>siguientes</w:t>
      </w:r>
      <w:r w:rsidR="00174277" w:rsidRPr="00D95167">
        <w:rPr>
          <w:rFonts w:ascii="ITC Avant Garde" w:eastAsia="Arial Unicode MS" w:hAnsi="ITC Avant Garde" w:cs="Arial"/>
          <w:bCs/>
          <w:sz w:val="22"/>
          <w:szCs w:val="22"/>
          <w:u w:color="000000"/>
          <w:bdr w:val="nil"/>
          <w:lang w:val="es-ES_tradnl"/>
        </w:rPr>
        <w:t>:</w:t>
      </w:r>
    </w:p>
    <w:tbl>
      <w:tblPr>
        <w:tblStyle w:val="Tablaconcuadrcula"/>
        <w:tblW w:w="0" w:type="auto"/>
        <w:jc w:val="center"/>
        <w:tblLook w:val="04A0" w:firstRow="1" w:lastRow="0" w:firstColumn="1" w:lastColumn="0" w:noHBand="0" w:noVBand="1"/>
        <w:tblCaption w:val="Tabla"/>
        <w:tblDescription w:val="Resultado del folio único C1-440444"/>
      </w:tblPr>
      <w:tblGrid>
        <w:gridCol w:w="893"/>
        <w:gridCol w:w="3092"/>
        <w:gridCol w:w="2850"/>
        <w:gridCol w:w="1283"/>
      </w:tblGrid>
      <w:tr w:rsidR="0005320F" w:rsidRPr="00735FDE" w14:paraId="01D94EF9" w14:textId="77777777" w:rsidTr="00A372D8">
        <w:trPr>
          <w:trHeight w:val="719"/>
          <w:tblHeader/>
          <w:jc w:val="center"/>
        </w:trPr>
        <w:tc>
          <w:tcPr>
            <w:tcW w:w="893" w:type="dxa"/>
            <w:shd w:val="clear" w:color="auto" w:fill="92D050"/>
            <w:vAlign w:val="center"/>
          </w:tcPr>
          <w:p w14:paraId="13A17D50" w14:textId="77777777" w:rsidR="0005320F" w:rsidRDefault="0005320F"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No.</w:t>
            </w:r>
          </w:p>
          <w:p w14:paraId="35510EE6" w14:textId="77777777" w:rsidR="0005320F" w:rsidRPr="00735FDE" w:rsidRDefault="0005320F"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Bloque</w:t>
            </w:r>
            <w:r w:rsidRPr="00735FDE">
              <w:rPr>
                <w:rStyle w:val="Refdenotaalpie"/>
                <w:rFonts w:ascii="ITC Avant Garde" w:hAnsi="ITC Avant Garde" w:cs="Arial Unicode MS"/>
                <w:sz w:val="18"/>
                <w:szCs w:val="18"/>
                <w:u w:color="000000"/>
                <w:bdr w:val="nil"/>
                <w:lang w:val="es-ES_tradnl" w:eastAsia="es-MX"/>
              </w:rPr>
              <w:footnoteReference w:id="3"/>
            </w:r>
          </w:p>
        </w:tc>
        <w:tc>
          <w:tcPr>
            <w:tcW w:w="3092" w:type="dxa"/>
            <w:shd w:val="clear" w:color="auto" w:fill="92D050"/>
            <w:vAlign w:val="center"/>
          </w:tcPr>
          <w:p w14:paraId="01B5672C" w14:textId="77777777" w:rsidR="0005320F" w:rsidRPr="00735FDE" w:rsidRDefault="0005320F"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Nombre del Bloque</w:t>
            </w:r>
          </w:p>
        </w:tc>
        <w:tc>
          <w:tcPr>
            <w:tcW w:w="2850" w:type="dxa"/>
            <w:shd w:val="clear" w:color="auto" w:fill="92D050"/>
            <w:vAlign w:val="center"/>
          </w:tcPr>
          <w:p w14:paraId="5226C001" w14:textId="1A5DC935" w:rsidR="00CD4154" w:rsidRDefault="0005320F"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Segmento de la</w:t>
            </w:r>
          </w:p>
          <w:p w14:paraId="2743BFC1" w14:textId="33A0CAC5" w:rsidR="0005320F" w:rsidRPr="00735FDE" w:rsidRDefault="0005320F"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Banda 440-450</w:t>
            </w:r>
          </w:p>
        </w:tc>
        <w:tc>
          <w:tcPr>
            <w:tcW w:w="1283" w:type="dxa"/>
            <w:shd w:val="clear" w:color="auto" w:fill="92D050"/>
            <w:vAlign w:val="center"/>
          </w:tcPr>
          <w:p w14:paraId="6D200E81" w14:textId="77777777" w:rsidR="0005320F" w:rsidRDefault="0005320F"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Puntaje</w:t>
            </w:r>
          </w:p>
        </w:tc>
      </w:tr>
      <w:tr w:rsidR="00F14D9D" w:rsidRPr="00F14D9D" w14:paraId="77B368E3" w14:textId="77777777" w:rsidTr="00087A38">
        <w:trPr>
          <w:trHeight w:val="625"/>
          <w:jc w:val="center"/>
        </w:trPr>
        <w:tc>
          <w:tcPr>
            <w:tcW w:w="893" w:type="dxa"/>
            <w:vAlign w:val="center"/>
          </w:tcPr>
          <w:p w14:paraId="08B74D59" w14:textId="4AD2EA68" w:rsidR="00F14D9D" w:rsidRPr="00F14D9D" w:rsidRDefault="00F14D9D"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1</w:t>
            </w:r>
          </w:p>
        </w:tc>
        <w:tc>
          <w:tcPr>
            <w:tcW w:w="3092" w:type="dxa"/>
            <w:vAlign w:val="center"/>
          </w:tcPr>
          <w:p w14:paraId="7B1F0D39" w14:textId="6DBC655D"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1)</w:t>
            </w:r>
          </w:p>
        </w:tc>
        <w:tc>
          <w:tcPr>
            <w:tcW w:w="2850" w:type="dxa"/>
            <w:vAlign w:val="center"/>
          </w:tcPr>
          <w:p w14:paraId="714B35E3" w14:textId="4B7F7AD1"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83" w:type="dxa"/>
            <w:vAlign w:val="center"/>
          </w:tcPr>
          <w:p w14:paraId="6D5F2FA3" w14:textId="5F293494"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1062</w:t>
            </w:r>
          </w:p>
        </w:tc>
      </w:tr>
      <w:tr w:rsidR="00F14D9D" w:rsidRPr="00F14D9D" w14:paraId="31118304" w14:textId="77777777" w:rsidTr="005F6E88">
        <w:trPr>
          <w:trHeight w:val="625"/>
          <w:jc w:val="center"/>
        </w:trPr>
        <w:tc>
          <w:tcPr>
            <w:tcW w:w="893" w:type="dxa"/>
            <w:shd w:val="clear" w:color="auto" w:fill="E2EFD9" w:themeFill="accent6" w:themeFillTint="33"/>
            <w:vAlign w:val="center"/>
          </w:tcPr>
          <w:p w14:paraId="38CBC33A" w14:textId="76D186B1" w:rsidR="00F14D9D" w:rsidRPr="00F14D9D" w:rsidRDefault="00F14D9D"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2</w:t>
            </w:r>
          </w:p>
        </w:tc>
        <w:tc>
          <w:tcPr>
            <w:tcW w:w="3092" w:type="dxa"/>
            <w:shd w:val="clear" w:color="auto" w:fill="E2EFD9" w:themeFill="accent6" w:themeFillTint="33"/>
            <w:vAlign w:val="center"/>
          </w:tcPr>
          <w:p w14:paraId="7C0D5E29" w14:textId="52B0D8AE"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2)</w:t>
            </w:r>
          </w:p>
        </w:tc>
        <w:tc>
          <w:tcPr>
            <w:tcW w:w="2850" w:type="dxa"/>
            <w:shd w:val="clear" w:color="auto" w:fill="E2EFD9" w:themeFill="accent6" w:themeFillTint="33"/>
            <w:vAlign w:val="center"/>
          </w:tcPr>
          <w:p w14:paraId="27E23FC9" w14:textId="7497919E"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83" w:type="dxa"/>
            <w:shd w:val="clear" w:color="auto" w:fill="E2EFD9" w:themeFill="accent6" w:themeFillTint="33"/>
            <w:vAlign w:val="center"/>
          </w:tcPr>
          <w:p w14:paraId="2DB5C349" w14:textId="25F30347"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261</w:t>
            </w:r>
          </w:p>
        </w:tc>
      </w:tr>
      <w:tr w:rsidR="00F14D9D" w:rsidRPr="00F14D9D" w14:paraId="2F29B1E3" w14:textId="77777777" w:rsidTr="00087A38">
        <w:trPr>
          <w:trHeight w:val="625"/>
          <w:jc w:val="center"/>
        </w:trPr>
        <w:tc>
          <w:tcPr>
            <w:tcW w:w="893" w:type="dxa"/>
            <w:vAlign w:val="center"/>
          </w:tcPr>
          <w:p w14:paraId="116DFE54" w14:textId="47DDE04F" w:rsidR="00F14D9D" w:rsidRPr="00F14D9D" w:rsidRDefault="00F14D9D"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4</w:t>
            </w:r>
          </w:p>
        </w:tc>
        <w:tc>
          <w:tcPr>
            <w:tcW w:w="3092" w:type="dxa"/>
            <w:vAlign w:val="center"/>
          </w:tcPr>
          <w:p w14:paraId="43C29E27" w14:textId="042325FB"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4)</w:t>
            </w:r>
          </w:p>
        </w:tc>
        <w:tc>
          <w:tcPr>
            <w:tcW w:w="2850" w:type="dxa"/>
            <w:vAlign w:val="center"/>
          </w:tcPr>
          <w:p w14:paraId="1C3A1C81" w14:textId="75BA579A"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83" w:type="dxa"/>
            <w:vAlign w:val="center"/>
          </w:tcPr>
          <w:p w14:paraId="7C644EA3" w14:textId="16F4C95E"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5202</w:t>
            </w:r>
          </w:p>
        </w:tc>
      </w:tr>
      <w:tr w:rsidR="00F14D9D" w:rsidRPr="00F14D9D" w14:paraId="14E0D795" w14:textId="77777777" w:rsidTr="005F6E88">
        <w:trPr>
          <w:trHeight w:val="625"/>
          <w:jc w:val="center"/>
        </w:trPr>
        <w:tc>
          <w:tcPr>
            <w:tcW w:w="893" w:type="dxa"/>
            <w:shd w:val="clear" w:color="auto" w:fill="E2EFD9" w:themeFill="accent6" w:themeFillTint="33"/>
            <w:vAlign w:val="center"/>
          </w:tcPr>
          <w:p w14:paraId="52EBEA55" w14:textId="290A9B4E" w:rsidR="00F14D9D" w:rsidRPr="00F14D9D" w:rsidRDefault="00F14D9D"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5</w:t>
            </w:r>
          </w:p>
        </w:tc>
        <w:tc>
          <w:tcPr>
            <w:tcW w:w="3092" w:type="dxa"/>
            <w:shd w:val="clear" w:color="auto" w:fill="E2EFD9" w:themeFill="accent6" w:themeFillTint="33"/>
            <w:vAlign w:val="center"/>
          </w:tcPr>
          <w:p w14:paraId="3F8992F3" w14:textId="46AB6C62"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5)</w:t>
            </w:r>
          </w:p>
        </w:tc>
        <w:tc>
          <w:tcPr>
            <w:tcW w:w="2850" w:type="dxa"/>
            <w:shd w:val="clear" w:color="auto" w:fill="E2EFD9" w:themeFill="accent6" w:themeFillTint="33"/>
            <w:vAlign w:val="center"/>
          </w:tcPr>
          <w:p w14:paraId="1BD7467A" w14:textId="08BF9CDE"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83" w:type="dxa"/>
            <w:shd w:val="clear" w:color="auto" w:fill="E2EFD9" w:themeFill="accent6" w:themeFillTint="33"/>
            <w:vAlign w:val="center"/>
          </w:tcPr>
          <w:p w14:paraId="2CB773C3" w14:textId="0FBEE2AC"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2730</w:t>
            </w:r>
          </w:p>
        </w:tc>
      </w:tr>
      <w:tr w:rsidR="00F14D9D" w:rsidRPr="00F14D9D" w14:paraId="1B8DD882" w14:textId="77777777" w:rsidTr="00087A38">
        <w:trPr>
          <w:trHeight w:val="625"/>
          <w:jc w:val="center"/>
        </w:trPr>
        <w:tc>
          <w:tcPr>
            <w:tcW w:w="893" w:type="dxa"/>
            <w:vAlign w:val="center"/>
          </w:tcPr>
          <w:p w14:paraId="72D7D0D4" w14:textId="4D3F4820" w:rsidR="00F14D9D" w:rsidRPr="00F14D9D" w:rsidRDefault="00F14D9D"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7</w:t>
            </w:r>
          </w:p>
        </w:tc>
        <w:tc>
          <w:tcPr>
            <w:tcW w:w="3092" w:type="dxa"/>
            <w:vAlign w:val="center"/>
          </w:tcPr>
          <w:p w14:paraId="5C735883" w14:textId="1774C051"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7)</w:t>
            </w:r>
          </w:p>
        </w:tc>
        <w:tc>
          <w:tcPr>
            <w:tcW w:w="2850" w:type="dxa"/>
            <w:vAlign w:val="center"/>
          </w:tcPr>
          <w:p w14:paraId="50179166" w14:textId="39F1B61C"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83" w:type="dxa"/>
            <w:vAlign w:val="center"/>
          </w:tcPr>
          <w:p w14:paraId="3331E0E7" w14:textId="04DA7ECE"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241</w:t>
            </w:r>
          </w:p>
        </w:tc>
      </w:tr>
      <w:tr w:rsidR="00F14D9D" w:rsidRPr="00F14D9D" w14:paraId="160DF591" w14:textId="77777777" w:rsidTr="005F6E88">
        <w:trPr>
          <w:trHeight w:val="625"/>
          <w:jc w:val="center"/>
        </w:trPr>
        <w:tc>
          <w:tcPr>
            <w:tcW w:w="893" w:type="dxa"/>
            <w:shd w:val="clear" w:color="auto" w:fill="E2EFD9" w:themeFill="accent6" w:themeFillTint="33"/>
            <w:vAlign w:val="center"/>
          </w:tcPr>
          <w:p w14:paraId="43C47F8D" w14:textId="54E5898B" w:rsidR="00F14D9D" w:rsidRPr="00F14D9D" w:rsidRDefault="00F14D9D"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8</w:t>
            </w:r>
          </w:p>
        </w:tc>
        <w:tc>
          <w:tcPr>
            <w:tcW w:w="3092" w:type="dxa"/>
            <w:shd w:val="clear" w:color="auto" w:fill="E2EFD9" w:themeFill="accent6" w:themeFillTint="33"/>
            <w:vAlign w:val="center"/>
          </w:tcPr>
          <w:p w14:paraId="645E1F69" w14:textId="1184C4DA"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8)</w:t>
            </w:r>
          </w:p>
        </w:tc>
        <w:tc>
          <w:tcPr>
            <w:tcW w:w="2850" w:type="dxa"/>
            <w:shd w:val="clear" w:color="auto" w:fill="E2EFD9" w:themeFill="accent6" w:themeFillTint="33"/>
            <w:vAlign w:val="center"/>
          </w:tcPr>
          <w:p w14:paraId="09E7DB29" w14:textId="08E41243"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83" w:type="dxa"/>
            <w:shd w:val="clear" w:color="auto" w:fill="E2EFD9" w:themeFill="accent6" w:themeFillTint="33"/>
            <w:vAlign w:val="center"/>
          </w:tcPr>
          <w:p w14:paraId="1ECF6978" w14:textId="322F1FD9"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305</w:t>
            </w:r>
          </w:p>
        </w:tc>
      </w:tr>
      <w:tr w:rsidR="00F14D9D" w:rsidRPr="00F14D9D" w14:paraId="444C78F2" w14:textId="77777777" w:rsidTr="00087A38">
        <w:trPr>
          <w:trHeight w:val="625"/>
          <w:jc w:val="center"/>
        </w:trPr>
        <w:tc>
          <w:tcPr>
            <w:tcW w:w="893" w:type="dxa"/>
            <w:vAlign w:val="center"/>
          </w:tcPr>
          <w:p w14:paraId="5A75D942" w14:textId="26194314" w:rsidR="00F14D9D" w:rsidRPr="00F14D9D" w:rsidRDefault="00F14D9D"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9</w:t>
            </w:r>
          </w:p>
        </w:tc>
        <w:tc>
          <w:tcPr>
            <w:tcW w:w="3092" w:type="dxa"/>
            <w:vAlign w:val="center"/>
          </w:tcPr>
          <w:p w14:paraId="761C9B81" w14:textId="4C39F5CE"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9)</w:t>
            </w:r>
          </w:p>
        </w:tc>
        <w:tc>
          <w:tcPr>
            <w:tcW w:w="2850" w:type="dxa"/>
            <w:vAlign w:val="center"/>
          </w:tcPr>
          <w:p w14:paraId="42869E99" w14:textId="309D4FC2"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83" w:type="dxa"/>
            <w:vAlign w:val="center"/>
          </w:tcPr>
          <w:p w14:paraId="417F1B70" w14:textId="39A5BB90"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9559</w:t>
            </w:r>
          </w:p>
        </w:tc>
      </w:tr>
      <w:tr w:rsidR="00F14D9D" w:rsidRPr="00F14D9D" w14:paraId="43F5D70E" w14:textId="77777777" w:rsidTr="005F6E88">
        <w:trPr>
          <w:trHeight w:val="625"/>
          <w:jc w:val="center"/>
        </w:trPr>
        <w:tc>
          <w:tcPr>
            <w:tcW w:w="893" w:type="dxa"/>
            <w:shd w:val="clear" w:color="auto" w:fill="E2EFD9" w:themeFill="accent6" w:themeFillTint="33"/>
            <w:vAlign w:val="center"/>
          </w:tcPr>
          <w:p w14:paraId="74CE05DD" w14:textId="4D9DCBF1" w:rsidR="00F14D9D" w:rsidRPr="00F14D9D" w:rsidRDefault="00F14D9D"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10</w:t>
            </w:r>
          </w:p>
        </w:tc>
        <w:tc>
          <w:tcPr>
            <w:tcW w:w="3092" w:type="dxa"/>
            <w:shd w:val="clear" w:color="auto" w:fill="E2EFD9" w:themeFill="accent6" w:themeFillTint="33"/>
            <w:vAlign w:val="center"/>
          </w:tcPr>
          <w:p w14:paraId="1EC3F050" w14:textId="5D777723"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Nacional 1</w:t>
            </w:r>
          </w:p>
        </w:tc>
        <w:tc>
          <w:tcPr>
            <w:tcW w:w="2850" w:type="dxa"/>
            <w:shd w:val="clear" w:color="auto" w:fill="E2EFD9" w:themeFill="accent6" w:themeFillTint="33"/>
            <w:vAlign w:val="center"/>
          </w:tcPr>
          <w:p w14:paraId="5DE6FECF" w14:textId="1E09A0E4"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441 MHz - 442 MHz (Uplink) / 446 MHz - 447 MHz (Downlink)</w:t>
            </w:r>
          </w:p>
        </w:tc>
        <w:tc>
          <w:tcPr>
            <w:tcW w:w="1283" w:type="dxa"/>
            <w:shd w:val="clear" w:color="auto" w:fill="E2EFD9" w:themeFill="accent6" w:themeFillTint="33"/>
            <w:vAlign w:val="center"/>
          </w:tcPr>
          <w:p w14:paraId="01CA2B90" w14:textId="2FBBAB0D"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500</w:t>
            </w:r>
          </w:p>
        </w:tc>
      </w:tr>
      <w:tr w:rsidR="00F14D9D" w:rsidRPr="00F14D9D" w14:paraId="7E4EDE25" w14:textId="77777777" w:rsidTr="00087A38">
        <w:trPr>
          <w:trHeight w:val="625"/>
          <w:jc w:val="center"/>
        </w:trPr>
        <w:tc>
          <w:tcPr>
            <w:tcW w:w="893" w:type="dxa"/>
            <w:vAlign w:val="center"/>
          </w:tcPr>
          <w:p w14:paraId="4E1AD467" w14:textId="1A18427E" w:rsidR="00F14D9D" w:rsidRPr="00F14D9D" w:rsidRDefault="00F14D9D"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11</w:t>
            </w:r>
          </w:p>
        </w:tc>
        <w:tc>
          <w:tcPr>
            <w:tcW w:w="3092" w:type="dxa"/>
            <w:vAlign w:val="center"/>
          </w:tcPr>
          <w:p w14:paraId="76534769" w14:textId="16AB69FE"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Nacional 2</w:t>
            </w:r>
          </w:p>
        </w:tc>
        <w:tc>
          <w:tcPr>
            <w:tcW w:w="2850" w:type="dxa"/>
            <w:vAlign w:val="center"/>
          </w:tcPr>
          <w:p w14:paraId="73E778BC" w14:textId="726E1561"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442 MHz - 443 MHz (Uplink) / 447 MHz - 448 MHz (Downlink)</w:t>
            </w:r>
          </w:p>
        </w:tc>
        <w:tc>
          <w:tcPr>
            <w:tcW w:w="1283" w:type="dxa"/>
            <w:vAlign w:val="center"/>
          </w:tcPr>
          <w:p w14:paraId="120FAC3A" w14:textId="29CC34F4" w:rsidR="00F14D9D" w:rsidRPr="00F14D9D" w:rsidRDefault="00F14D9D"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500</w:t>
            </w:r>
          </w:p>
        </w:tc>
      </w:tr>
    </w:tbl>
    <w:p w14:paraId="74E5802C" w14:textId="77777777" w:rsidR="00B156EB" w:rsidRDefault="00E05F79" w:rsidP="00B156EB">
      <w:pPr>
        <w:pBdr>
          <w:top w:val="nil"/>
          <w:left w:val="nil"/>
          <w:bottom w:val="nil"/>
          <w:right w:val="nil"/>
          <w:between w:val="nil"/>
          <w:bar w:val="nil"/>
        </w:pBdr>
        <w:spacing w:before="240" w:after="240" w:line="240" w:lineRule="auto"/>
        <w:contextualSpacing/>
        <w:jc w:val="both"/>
        <w:rPr>
          <w:rFonts w:ascii="ITC Avant Garde" w:eastAsiaTheme="minorHAnsi" w:hAnsi="ITC Avant Garde" w:cs="Arial"/>
        </w:rPr>
      </w:pPr>
      <w:r w:rsidRPr="00735FDE">
        <w:rPr>
          <w:rFonts w:ascii="ITC Avant Garde" w:hAnsi="ITC Avant Garde" w:cs="Arial Unicode MS"/>
          <w:bCs/>
          <w:u w:color="000000"/>
          <w:bdr w:val="nil"/>
          <w:lang w:val="es-ES_tradnl" w:eastAsia="es-MX"/>
        </w:rPr>
        <w:lastRenderedPageBreak/>
        <w:t>En términos del numeral 5.4.1</w:t>
      </w:r>
      <w:r w:rsidR="001E7FC5">
        <w:rPr>
          <w:rFonts w:ascii="ITC Avant Garde" w:hAnsi="ITC Avant Garde" w:cs="Arial Unicode MS"/>
          <w:bCs/>
          <w:u w:color="000000"/>
          <w:bdr w:val="nil"/>
          <w:lang w:val="es-ES_tradnl" w:eastAsia="es-MX"/>
        </w:rPr>
        <w:t>, primer párrafo</w:t>
      </w:r>
      <w:r w:rsidRPr="00735FDE">
        <w:rPr>
          <w:rFonts w:ascii="ITC Avant Garde" w:hAnsi="ITC Avant Garde" w:cs="Arial Unicode MS"/>
          <w:bCs/>
          <w:u w:color="000000"/>
          <w:bdr w:val="nil"/>
          <w:lang w:val="es-ES_tradnl" w:eastAsia="es-MX"/>
        </w:rPr>
        <w:t xml:space="preserve"> de las Bases, el Instituto</w:t>
      </w:r>
      <w:r w:rsidRPr="00735FDE">
        <w:rPr>
          <w:rFonts w:ascii="ITC Avant Garde" w:eastAsiaTheme="minorHAnsi" w:hAnsi="ITC Avant Garde" w:cs="Arial"/>
        </w:rPr>
        <w:t xml:space="preserve"> notificará </w:t>
      </w:r>
      <w:r w:rsidR="001E7FC5">
        <w:rPr>
          <w:rFonts w:ascii="ITC Avant Garde" w:eastAsiaTheme="minorHAnsi" w:hAnsi="ITC Avant Garde" w:cs="Arial"/>
        </w:rPr>
        <w:t xml:space="preserve">vía correo electrónico </w:t>
      </w:r>
      <w:r w:rsidRPr="00735FDE">
        <w:rPr>
          <w:rFonts w:ascii="ITC Avant Garde" w:eastAsiaTheme="minorHAnsi" w:hAnsi="ITC Avant Garde" w:cs="Arial"/>
        </w:rPr>
        <w:t xml:space="preserve">al Participante Ganador, la presente Acta de Fallo, de </w:t>
      </w:r>
      <w:r w:rsidR="00975B58">
        <w:rPr>
          <w:rFonts w:ascii="ITC Avant Garde" w:eastAsiaTheme="minorHAnsi" w:hAnsi="ITC Avant Garde" w:cs="Arial"/>
        </w:rPr>
        <w:t xml:space="preserve">conformidad </w:t>
      </w:r>
      <w:r w:rsidRPr="00735FDE">
        <w:rPr>
          <w:rFonts w:ascii="ITC Avant Garde" w:eastAsiaTheme="minorHAnsi" w:hAnsi="ITC Avant Garde" w:cs="Arial"/>
        </w:rPr>
        <w:t xml:space="preserve">con el plazo previsto en el Calendario de Actividades de las Bases. </w:t>
      </w:r>
    </w:p>
    <w:p w14:paraId="0F03F754" w14:textId="77777777" w:rsidR="00B156EB" w:rsidRDefault="00E05F79" w:rsidP="00B156EB">
      <w:pPr>
        <w:pBdr>
          <w:top w:val="nil"/>
          <w:left w:val="nil"/>
          <w:bottom w:val="nil"/>
          <w:right w:val="nil"/>
          <w:between w:val="nil"/>
          <w:bar w:val="nil"/>
        </w:pBdr>
        <w:spacing w:before="240" w:after="240" w:line="240" w:lineRule="auto"/>
        <w:contextualSpacing/>
        <w:jc w:val="both"/>
        <w:rPr>
          <w:rFonts w:ascii="ITC Avant Garde" w:eastAsia="Arial Unicode MS" w:hAnsi="ITC Avant Garde" w:cs="Arial"/>
          <w:bCs/>
          <w:u w:color="000000"/>
          <w:bdr w:val="nil"/>
          <w:lang w:val="es-ES_tradnl"/>
        </w:rPr>
      </w:pPr>
      <w:r w:rsidRPr="00735FDE">
        <w:rPr>
          <w:rFonts w:ascii="ITC Avant Garde" w:eastAsiaTheme="minorHAnsi" w:hAnsi="ITC Avant Garde" w:cs="Arial"/>
        </w:rPr>
        <w:t>Ahora bien, para la entrega d</w:t>
      </w:r>
      <w:r w:rsidRPr="00735FDE">
        <w:rPr>
          <w:rFonts w:ascii="ITC Avant Garde" w:eastAsia="Arial Unicode MS" w:hAnsi="ITC Avant Garde" w:cs="Arial"/>
          <w:bCs/>
          <w:u w:color="000000"/>
          <w:bdr w:val="nil"/>
          <w:lang w:val="es-ES_tradnl"/>
        </w:rPr>
        <w:t>e</w:t>
      </w:r>
      <w:r w:rsidR="00DA0FE0">
        <w:rPr>
          <w:rFonts w:ascii="ITC Avant Garde" w:eastAsia="Arial Unicode MS" w:hAnsi="ITC Avant Garde" w:cs="Arial"/>
          <w:bCs/>
          <w:u w:color="000000"/>
          <w:bdr w:val="nil"/>
          <w:lang w:val="es-ES_tradnl"/>
        </w:rPr>
        <w:t>l(</w:t>
      </w:r>
      <w:r w:rsidR="009E0008">
        <w:rPr>
          <w:rFonts w:ascii="ITC Avant Garde" w:eastAsia="Arial Unicode MS" w:hAnsi="ITC Avant Garde" w:cs="Arial"/>
          <w:bCs/>
          <w:u w:color="000000"/>
          <w:bdr w:val="nil"/>
          <w:lang w:val="es-ES_tradnl"/>
        </w:rPr>
        <w:t>los</w:t>
      </w:r>
      <w:r w:rsidR="00DA0FE0">
        <w:rPr>
          <w:rFonts w:ascii="ITC Avant Garde" w:eastAsia="Arial Unicode MS" w:hAnsi="ITC Avant Garde" w:cs="Arial"/>
          <w:bCs/>
          <w:u w:color="000000"/>
          <w:bdr w:val="nil"/>
          <w:lang w:val="es-ES_tradnl"/>
        </w:rPr>
        <w:t>)</w:t>
      </w:r>
      <w:r w:rsidR="009E0008">
        <w:rPr>
          <w:rFonts w:ascii="ITC Avant Garde" w:eastAsia="Arial Unicode MS" w:hAnsi="ITC Avant Garde" w:cs="Arial"/>
          <w:bCs/>
          <w:u w:color="000000"/>
          <w:bdr w:val="nil"/>
          <w:lang w:val="es-ES_tradnl"/>
        </w:rPr>
        <w:t xml:space="preserve"> título</w:t>
      </w:r>
      <w:r w:rsidR="00DA0FE0">
        <w:rPr>
          <w:rFonts w:ascii="ITC Avant Garde" w:eastAsia="Arial Unicode MS" w:hAnsi="ITC Avant Garde" w:cs="Arial"/>
          <w:bCs/>
          <w:u w:color="000000"/>
          <w:bdr w:val="nil"/>
          <w:lang w:val="es-ES_tradnl"/>
        </w:rPr>
        <w:t>(</w:t>
      </w:r>
      <w:r w:rsidR="009E0008">
        <w:rPr>
          <w:rFonts w:ascii="ITC Avant Garde" w:eastAsia="Arial Unicode MS" w:hAnsi="ITC Avant Garde" w:cs="Arial"/>
          <w:bCs/>
          <w:u w:color="000000"/>
          <w:bdr w:val="nil"/>
          <w:lang w:val="es-ES_tradnl"/>
        </w:rPr>
        <w:t>s</w:t>
      </w:r>
      <w:r w:rsidR="00DA0FE0">
        <w:rPr>
          <w:rFonts w:ascii="ITC Avant Garde" w:eastAsia="Arial Unicode MS" w:hAnsi="ITC Avant Garde" w:cs="Arial"/>
          <w:bCs/>
          <w:u w:color="000000"/>
          <w:bdr w:val="nil"/>
          <w:lang w:val="es-ES_tradnl"/>
        </w:rPr>
        <w:t>)</w:t>
      </w:r>
      <w:r w:rsidRPr="00735FDE">
        <w:rPr>
          <w:rFonts w:ascii="ITC Avant Garde" w:eastAsia="Arial Unicode MS" w:hAnsi="ITC Avant Garde" w:cs="Arial"/>
          <w:bCs/>
          <w:u w:color="000000"/>
          <w:bdr w:val="nil"/>
          <w:lang w:val="es-ES_tradnl"/>
        </w:rPr>
        <w:t xml:space="preserve"> de concesión, en términos de lo previsto en el numeral 5.4.4, en relación con el numeral 5.4.1 de las Bases, </w:t>
      </w:r>
      <w:r w:rsidRPr="00735FDE">
        <w:rPr>
          <w:rFonts w:ascii="ITC Avant Garde" w:eastAsiaTheme="minorHAnsi" w:hAnsi="ITC Avant Garde" w:cs="Arial"/>
        </w:rPr>
        <w:t>el Participante Ganador</w:t>
      </w:r>
      <w:r w:rsidRPr="00735FDE">
        <w:rPr>
          <w:rFonts w:ascii="ITC Avant Garde" w:eastAsia="Arial Unicode MS" w:hAnsi="ITC Avant Garde"/>
          <w:u w:color="000000"/>
          <w:bdr w:val="nil"/>
          <w:lang w:val="es-ES_tradnl"/>
        </w:rPr>
        <w:t xml:space="preserve"> </w:t>
      </w:r>
      <w:r w:rsidRPr="00735FDE">
        <w:rPr>
          <w:rFonts w:ascii="ITC Avant Garde" w:eastAsia="Arial Unicode MS" w:hAnsi="ITC Avant Garde" w:cs="Arial"/>
          <w:bCs/>
          <w:u w:color="000000"/>
          <w:bdr w:val="nil"/>
          <w:lang w:val="es-ES_tradnl"/>
        </w:rPr>
        <w:t xml:space="preserve">deberá satisfacer las condiciones siguientes: </w:t>
      </w:r>
    </w:p>
    <w:p w14:paraId="7B613C18" w14:textId="0ED4B68C" w:rsidR="009E0008" w:rsidRPr="00B156EB" w:rsidRDefault="00E05F79" w:rsidP="00B156EB">
      <w:pPr>
        <w:pStyle w:val="Prrafodelista"/>
        <w:numPr>
          <w:ilvl w:val="0"/>
          <w:numId w:val="28"/>
        </w:numPr>
        <w:pBdr>
          <w:top w:val="nil"/>
          <w:left w:val="nil"/>
          <w:bottom w:val="nil"/>
          <w:right w:val="nil"/>
          <w:between w:val="nil"/>
          <w:bar w:val="nil"/>
        </w:pBdr>
        <w:spacing w:before="240" w:after="240"/>
        <w:ind w:left="851" w:hanging="425"/>
        <w:contextualSpacing/>
        <w:jc w:val="both"/>
        <w:rPr>
          <w:rFonts w:ascii="ITC Avant Garde" w:hAnsi="ITC Avant Garde" w:cs="Arial Unicode MS"/>
          <w:bCs/>
          <w:sz w:val="22"/>
          <w:szCs w:val="22"/>
          <w:u w:color="000000"/>
          <w:bdr w:val="nil"/>
          <w:lang w:val="es-ES_tradnl" w:eastAsia="es-MX"/>
        </w:rPr>
      </w:pPr>
      <w:r w:rsidRPr="00992931">
        <w:rPr>
          <w:rFonts w:ascii="ITC Avant Garde" w:eastAsia="Arial Unicode MS" w:hAnsi="ITC Avant Garde" w:cs="Arial"/>
          <w:bCs/>
          <w:sz w:val="22"/>
          <w:szCs w:val="22"/>
          <w:u w:color="000000"/>
          <w:bdr w:val="nil"/>
          <w:lang w:val="es-ES_tradnl"/>
        </w:rPr>
        <w:t>Pagar la</w:t>
      </w:r>
      <w:r w:rsidR="00DA0FE0">
        <w:rPr>
          <w:rFonts w:ascii="ITC Avant Garde" w:eastAsia="Arial Unicode MS" w:hAnsi="ITC Avant Garde" w:cs="Arial"/>
          <w:bCs/>
          <w:sz w:val="22"/>
          <w:szCs w:val="22"/>
          <w:u w:color="000000"/>
          <w:bdr w:val="nil"/>
          <w:lang w:val="es-ES_tradnl"/>
        </w:rPr>
        <w:t>s contraprestacio</w:t>
      </w:r>
      <w:r w:rsidRPr="00992931">
        <w:rPr>
          <w:rFonts w:ascii="ITC Avant Garde" w:eastAsia="Arial Unicode MS" w:hAnsi="ITC Avant Garde" w:cs="Arial"/>
          <w:bCs/>
          <w:sz w:val="22"/>
          <w:szCs w:val="22"/>
          <w:u w:color="000000"/>
          <w:bdr w:val="nil"/>
          <w:lang w:val="es-ES_tradnl"/>
        </w:rPr>
        <w:t>n</w:t>
      </w:r>
      <w:r w:rsidR="00DA0FE0">
        <w:rPr>
          <w:rFonts w:ascii="ITC Avant Garde" w:eastAsia="Arial Unicode MS" w:hAnsi="ITC Avant Garde" w:cs="Arial"/>
          <w:bCs/>
          <w:sz w:val="22"/>
          <w:szCs w:val="22"/>
          <w:u w:color="000000"/>
          <w:bdr w:val="nil"/>
          <w:lang w:val="es-ES_tradnl"/>
        </w:rPr>
        <w:t>es</w:t>
      </w:r>
      <w:r w:rsidRPr="00992931">
        <w:rPr>
          <w:rFonts w:ascii="ITC Avant Garde" w:eastAsia="Arial Unicode MS" w:hAnsi="ITC Avant Garde" w:cs="Arial"/>
          <w:bCs/>
          <w:sz w:val="22"/>
          <w:szCs w:val="22"/>
          <w:u w:color="000000"/>
          <w:bdr w:val="nil"/>
          <w:lang w:val="es-ES_tradnl"/>
        </w:rPr>
        <w:t xml:space="preserve"> </w:t>
      </w:r>
      <w:r w:rsidR="00DA0FE0">
        <w:rPr>
          <w:rFonts w:ascii="ITC Avant Garde" w:eastAsia="Arial Unicode MS" w:hAnsi="ITC Avant Garde" w:cs="Arial"/>
          <w:bCs/>
          <w:sz w:val="22"/>
          <w:szCs w:val="22"/>
          <w:u w:color="000000"/>
          <w:bdr w:val="nil"/>
          <w:lang w:val="es-ES_tradnl"/>
        </w:rPr>
        <w:t xml:space="preserve">respectivas </w:t>
      </w:r>
      <w:r w:rsidRPr="00992931">
        <w:rPr>
          <w:rFonts w:ascii="ITC Avant Garde" w:hAnsi="ITC Avant Garde" w:cs="Arial Unicode MS"/>
          <w:bCs/>
          <w:sz w:val="22"/>
          <w:szCs w:val="22"/>
          <w:u w:color="000000"/>
          <w:bdr w:val="nil"/>
          <w:lang w:val="es-ES_tradnl" w:eastAsia="es-MX"/>
        </w:rPr>
        <w:t xml:space="preserve">de acuerdo con lo establecido en los artículos 78 párrafo primero y 101 de la Ley, </w:t>
      </w:r>
      <w:r w:rsidRPr="00992931">
        <w:rPr>
          <w:rFonts w:ascii="ITC Avant Garde" w:hAnsi="ITC Avant Garde"/>
          <w:sz w:val="22"/>
          <w:szCs w:val="22"/>
        </w:rPr>
        <w:t xml:space="preserve">dentro de los 30 (treinta) días hábiles siguientes a la notificación de la presente Acta de Fallo, </w:t>
      </w:r>
      <w:r w:rsidRPr="00992931">
        <w:rPr>
          <w:rFonts w:ascii="ITC Avant Garde" w:hAnsi="ITC Avant Garde" w:cs="Arial Unicode MS"/>
          <w:bCs/>
          <w:sz w:val="22"/>
          <w:szCs w:val="22"/>
          <w:u w:color="000000"/>
          <w:bdr w:val="nil"/>
          <w:lang w:val="es-ES_tradnl" w:eastAsia="es-MX"/>
        </w:rPr>
        <w:t xml:space="preserve">por </w:t>
      </w:r>
      <w:r w:rsidR="009E0008">
        <w:rPr>
          <w:rFonts w:ascii="ITC Avant Garde" w:hAnsi="ITC Avant Garde" w:cs="Arial Unicode MS"/>
          <w:bCs/>
          <w:sz w:val="22"/>
          <w:szCs w:val="22"/>
          <w:u w:color="000000"/>
          <w:bdr w:val="nil"/>
          <w:lang w:val="es-ES_tradnl" w:eastAsia="es-MX"/>
        </w:rPr>
        <w:t>el</w:t>
      </w:r>
      <w:r w:rsidRPr="00992931">
        <w:rPr>
          <w:rFonts w:ascii="ITC Avant Garde" w:hAnsi="ITC Avant Garde" w:cs="Arial Unicode MS"/>
          <w:bCs/>
          <w:sz w:val="22"/>
          <w:szCs w:val="22"/>
          <w:u w:color="000000"/>
          <w:bdr w:val="nil"/>
          <w:lang w:val="es-ES_tradnl" w:eastAsia="es-MX"/>
        </w:rPr>
        <w:t xml:space="preserve"> monto </w:t>
      </w:r>
      <w:r w:rsidR="009E0008">
        <w:rPr>
          <w:rFonts w:ascii="ITC Avant Garde" w:hAnsi="ITC Avant Garde" w:cs="Arial Unicode MS"/>
          <w:bCs/>
          <w:sz w:val="22"/>
          <w:szCs w:val="22"/>
          <w:u w:color="000000"/>
          <w:bdr w:val="nil"/>
          <w:lang w:val="es-ES_tradnl" w:eastAsia="es-MX"/>
        </w:rPr>
        <w:t>correspondiente</w:t>
      </w:r>
      <w:r w:rsidRPr="00992931">
        <w:rPr>
          <w:rFonts w:ascii="ITC Avant Garde" w:hAnsi="ITC Avant Garde" w:cs="Arial Unicode MS"/>
          <w:bCs/>
          <w:sz w:val="22"/>
          <w:szCs w:val="22"/>
          <w:u w:color="000000"/>
          <w:bdr w:val="nil"/>
          <w:lang w:val="es-ES_tradnl" w:eastAsia="es-MX"/>
        </w:rPr>
        <w:t xml:space="preserve"> al Componente Económico de su</w:t>
      </w:r>
      <w:r w:rsidR="00F40F35">
        <w:rPr>
          <w:rFonts w:ascii="ITC Avant Garde" w:hAnsi="ITC Avant Garde" w:cs="Arial Unicode MS"/>
          <w:bCs/>
          <w:sz w:val="22"/>
          <w:szCs w:val="22"/>
          <w:u w:color="000000"/>
          <w:bdr w:val="nil"/>
          <w:lang w:val="es-ES_tradnl" w:eastAsia="es-MX"/>
        </w:rPr>
        <w:t>s</w:t>
      </w:r>
      <w:r w:rsidRPr="00992931">
        <w:rPr>
          <w:rFonts w:ascii="ITC Avant Garde" w:hAnsi="ITC Avant Garde" w:cs="Arial Unicode MS"/>
          <w:bCs/>
          <w:sz w:val="22"/>
          <w:szCs w:val="22"/>
          <w:u w:color="000000"/>
          <w:bdr w:val="nil"/>
          <w:lang w:val="es-ES_tradnl" w:eastAsia="es-MX"/>
        </w:rPr>
        <w:t xml:space="preserve"> Oferta</w:t>
      </w:r>
      <w:r w:rsidR="00F40F35">
        <w:rPr>
          <w:rFonts w:ascii="ITC Avant Garde" w:hAnsi="ITC Avant Garde" w:cs="Arial Unicode MS"/>
          <w:bCs/>
          <w:sz w:val="22"/>
          <w:szCs w:val="22"/>
          <w:u w:color="000000"/>
          <w:bdr w:val="nil"/>
          <w:lang w:val="es-ES_tradnl" w:eastAsia="es-MX"/>
        </w:rPr>
        <w:t>s</w:t>
      </w:r>
      <w:r w:rsidRPr="00992931">
        <w:rPr>
          <w:rFonts w:ascii="ITC Avant Garde" w:hAnsi="ITC Avant Garde" w:cs="Arial Unicode MS"/>
          <w:bCs/>
          <w:sz w:val="22"/>
          <w:szCs w:val="22"/>
          <w:u w:color="000000"/>
          <w:bdr w:val="nil"/>
          <w:lang w:val="es-ES_tradnl" w:eastAsia="es-MX"/>
        </w:rPr>
        <w:t>, en términos</w:t>
      </w:r>
      <w:r w:rsidR="009E0008">
        <w:rPr>
          <w:rFonts w:ascii="ITC Avant Garde" w:hAnsi="ITC Avant Garde" w:cs="Arial Unicode MS"/>
          <w:bCs/>
          <w:sz w:val="22"/>
          <w:szCs w:val="22"/>
          <w:u w:color="000000"/>
          <w:bdr w:val="nil"/>
          <w:lang w:val="es-ES_tradnl" w:eastAsia="es-MX"/>
        </w:rPr>
        <w:t xml:space="preserve"> del numeral 5.4.3 de las Bases, conforme a la tabla siguiente:</w:t>
      </w:r>
    </w:p>
    <w:tbl>
      <w:tblPr>
        <w:tblStyle w:val="Tablaconcuadrcula"/>
        <w:tblW w:w="5007" w:type="pct"/>
        <w:jc w:val="center"/>
        <w:tblLook w:val="04A0" w:firstRow="1" w:lastRow="0" w:firstColumn="1" w:lastColumn="0" w:noHBand="0" w:noVBand="1"/>
        <w:tblCaption w:val="Tabla"/>
        <w:tblDescription w:val="Contraprestaciones"/>
      </w:tblPr>
      <w:tblGrid>
        <w:gridCol w:w="888"/>
        <w:gridCol w:w="1945"/>
        <w:gridCol w:w="5225"/>
        <w:gridCol w:w="1349"/>
      </w:tblGrid>
      <w:tr w:rsidR="00787DC1" w:rsidRPr="00735FDE" w14:paraId="0E624481" w14:textId="77777777" w:rsidTr="00B5411B">
        <w:trPr>
          <w:trHeight w:val="794"/>
          <w:tblHeader/>
          <w:jc w:val="center"/>
        </w:trPr>
        <w:tc>
          <w:tcPr>
            <w:tcW w:w="472" w:type="pct"/>
            <w:shd w:val="clear" w:color="auto" w:fill="92D050"/>
            <w:vAlign w:val="center"/>
          </w:tcPr>
          <w:p w14:paraId="5C4B5329" w14:textId="77777777" w:rsidR="00CB72AB" w:rsidRDefault="00CB72AB"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No.</w:t>
            </w:r>
          </w:p>
          <w:p w14:paraId="50C24235" w14:textId="77777777" w:rsidR="00CB72AB" w:rsidRPr="00735FDE" w:rsidRDefault="00CB72AB"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Bloque</w:t>
            </w:r>
            <w:r w:rsidRPr="00735FDE">
              <w:rPr>
                <w:rStyle w:val="Refdenotaalpie"/>
                <w:rFonts w:ascii="ITC Avant Garde" w:hAnsi="ITC Avant Garde" w:cs="Arial Unicode MS"/>
                <w:sz w:val="18"/>
                <w:szCs w:val="18"/>
                <w:u w:color="000000"/>
                <w:bdr w:val="nil"/>
                <w:lang w:val="es-ES_tradnl" w:eastAsia="es-MX"/>
              </w:rPr>
              <w:footnoteReference w:id="4"/>
            </w:r>
          </w:p>
        </w:tc>
        <w:tc>
          <w:tcPr>
            <w:tcW w:w="1034" w:type="pct"/>
            <w:shd w:val="clear" w:color="auto" w:fill="92D050"/>
            <w:vAlign w:val="center"/>
          </w:tcPr>
          <w:p w14:paraId="4772BDD3" w14:textId="77777777" w:rsidR="00CB72AB" w:rsidRPr="00735FDE" w:rsidRDefault="00CB72AB"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Nombre del Bloque</w:t>
            </w:r>
          </w:p>
        </w:tc>
        <w:tc>
          <w:tcPr>
            <w:tcW w:w="2776" w:type="pct"/>
            <w:shd w:val="clear" w:color="auto" w:fill="92D050"/>
            <w:vAlign w:val="center"/>
          </w:tcPr>
          <w:p w14:paraId="17E927F0" w14:textId="77777777" w:rsidR="00CB72AB" w:rsidRDefault="00CB72AB"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Contraprestación</w:t>
            </w:r>
          </w:p>
          <w:p w14:paraId="66ADE552" w14:textId="77777777" w:rsidR="00092A27" w:rsidRPr="00735FDE" w:rsidRDefault="00092A27"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(Pesos)</w:t>
            </w:r>
          </w:p>
        </w:tc>
        <w:tc>
          <w:tcPr>
            <w:tcW w:w="717" w:type="pct"/>
            <w:shd w:val="clear" w:color="auto" w:fill="92D050"/>
            <w:vAlign w:val="center"/>
          </w:tcPr>
          <w:p w14:paraId="38437167" w14:textId="77777777" w:rsidR="00CB72AB" w:rsidRDefault="00CB72AB"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Fase de Asignación</w:t>
            </w:r>
          </w:p>
        </w:tc>
      </w:tr>
      <w:tr w:rsidR="00787DC1" w:rsidRPr="00735FDE" w14:paraId="41EE5748" w14:textId="77777777" w:rsidTr="00A372D8">
        <w:trPr>
          <w:trHeight w:val="689"/>
          <w:jc w:val="center"/>
        </w:trPr>
        <w:tc>
          <w:tcPr>
            <w:tcW w:w="472" w:type="pct"/>
            <w:shd w:val="clear" w:color="auto" w:fill="E2EFD9" w:themeFill="accent6" w:themeFillTint="33"/>
            <w:vAlign w:val="center"/>
          </w:tcPr>
          <w:p w14:paraId="6AEAB24C" w14:textId="6F3C7CA8" w:rsidR="00787DC1" w:rsidRPr="00735FDE" w:rsidRDefault="00787DC1" w:rsidP="00B156EB">
            <w:pPr>
              <w:spacing w:before="240" w:after="240"/>
              <w:contextualSpacing/>
              <w:jc w:val="center"/>
              <w:outlineLvl w:val="1"/>
              <w:rPr>
                <w:rFonts w:ascii="ITC Avant Garde" w:hAnsi="ITC Avant Garde" w:cs="Arial Unicode MS"/>
                <w:b/>
                <w:bCs/>
                <w:sz w:val="18"/>
                <w:u w:color="000000"/>
                <w:bdr w:val="nil"/>
                <w:lang w:val="es-ES_tradnl" w:eastAsia="es-MX"/>
              </w:rPr>
            </w:pPr>
            <w:r>
              <w:rPr>
                <w:rFonts w:ascii="ITC Avant Garde" w:hAnsi="ITC Avant Garde"/>
                <w:color w:val="000000"/>
                <w:sz w:val="18"/>
                <w:szCs w:val="18"/>
              </w:rPr>
              <w:t>1</w:t>
            </w:r>
          </w:p>
        </w:tc>
        <w:tc>
          <w:tcPr>
            <w:tcW w:w="1034" w:type="pct"/>
            <w:shd w:val="clear" w:color="auto" w:fill="E2EFD9" w:themeFill="accent6" w:themeFillTint="33"/>
            <w:vAlign w:val="center"/>
          </w:tcPr>
          <w:p w14:paraId="48C6F89B" w14:textId="7E873C61" w:rsidR="00787DC1" w:rsidRPr="00735FDE" w:rsidRDefault="00787DC1"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Bloque Regional 1 (Región 1)</w:t>
            </w:r>
          </w:p>
        </w:tc>
        <w:tc>
          <w:tcPr>
            <w:tcW w:w="2776" w:type="pct"/>
            <w:shd w:val="clear" w:color="auto" w:fill="E2EFD9" w:themeFill="accent6" w:themeFillTint="33"/>
            <w:vAlign w:val="center"/>
          </w:tcPr>
          <w:p w14:paraId="143C3AD6" w14:textId="4D4E96B5" w:rsidR="00787DC1" w:rsidRPr="00735FDE" w:rsidRDefault="00787DC1" w:rsidP="00B156EB">
            <w:pPr>
              <w:spacing w:before="240" w:after="240"/>
              <w:contextualSpacing/>
              <w:jc w:val="both"/>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$1,062,000</w:t>
            </w:r>
            <w:r w:rsidR="000A528F">
              <w:rPr>
                <w:rFonts w:ascii="ITC Avant Garde" w:hAnsi="ITC Avant Garde"/>
                <w:color w:val="000000"/>
                <w:sz w:val="18"/>
                <w:szCs w:val="18"/>
              </w:rPr>
              <w:t>.00</w:t>
            </w:r>
            <w:r w:rsidR="003B6289">
              <w:rPr>
                <w:rFonts w:ascii="ITC Avant Garde" w:hAnsi="ITC Avant Garde"/>
                <w:color w:val="000000"/>
                <w:sz w:val="18"/>
                <w:szCs w:val="18"/>
              </w:rPr>
              <w:t xml:space="preserve"> </w:t>
            </w:r>
            <w:r w:rsidR="002D387A">
              <w:rPr>
                <w:rFonts w:ascii="ITC Avant Garde" w:hAnsi="ITC Avant Garde"/>
                <w:color w:val="000000"/>
                <w:sz w:val="18"/>
                <w:szCs w:val="18"/>
              </w:rPr>
              <w:t>(</w:t>
            </w:r>
            <w:r w:rsidR="003B6289" w:rsidRPr="00787DC1">
              <w:rPr>
                <w:rFonts w:ascii="ITC Avant Garde" w:hAnsi="ITC Avant Garde"/>
                <w:color w:val="000000"/>
                <w:sz w:val="18"/>
                <w:szCs w:val="18"/>
              </w:rPr>
              <w:t xml:space="preserve">UN MILLÓN SESENTA Y DOS MIL PESOS </w:t>
            </w:r>
            <w:r w:rsidRPr="00787DC1">
              <w:rPr>
                <w:rFonts w:ascii="ITC Avant Garde" w:hAnsi="ITC Avant Garde"/>
                <w:color w:val="000000"/>
                <w:sz w:val="18"/>
                <w:szCs w:val="18"/>
              </w:rPr>
              <w:t>00/100 M.N.</w:t>
            </w:r>
            <w:r w:rsidR="002D387A">
              <w:rPr>
                <w:rFonts w:ascii="ITC Avant Garde" w:hAnsi="ITC Avant Garde"/>
                <w:color w:val="000000"/>
                <w:sz w:val="18"/>
                <w:szCs w:val="18"/>
              </w:rPr>
              <w:t>)</w:t>
            </w:r>
          </w:p>
        </w:tc>
        <w:tc>
          <w:tcPr>
            <w:tcW w:w="717" w:type="pct"/>
            <w:shd w:val="clear" w:color="auto" w:fill="E2EFD9" w:themeFill="accent6" w:themeFillTint="33"/>
            <w:vAlign w:val="center"/>
          </w:tcPr>
          <w:p w14:paraId="65A9E620" w14:textId="55DA1204" w:rsidR="00787DC1" w:rsidRPr="00735FDE"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Secundaria</w:t>
            </w:r>
          </w:p>
        </w:tc>
      </w:tr>
      <w:tr w:rsidR="003B6289" w:rsidRPr="00735FDE" w14:paraId="23C65558" w14:textId="77777777" w:rsidTr="00A372D8">
        <w:trPr>
          <w:trHeight w:val="689"/>
          <w:jc w:val="center"/>
        </w:trPr>
        <w:tc>
          <w:tcPr>
            <w:tcW w:w="472" w:type="pct"/>
            <w:vAlign w:val="center"/>
          </w:tcPr>
          <w:p w14:paraId="6F973015" w14:textId="68CAAC0C" w:rsidR="003B6289" w:rsidRPr="00735FDE" w:rsidRDefault="003B6289" w:rsidP="00B156EB">
            <w:pPr>
              <w:spacing w:before="240" w:after="240"/>
              <w:contextualSpacing/>
              <w:jc w:val="center"/>
              <w:outlineLvl w:val="1"/>
              <w:rPr>
                <w:rFonts w:ascii="ITC Avant Garde" w:hAnsi="ITC Avant Garde" w:cs="Arial Unicode MS"/>
                <w:b/>
                <w:bCs/>
                <w:sz w:val="18"/>
                <w:u w:color="000000"/>
                <w:bdr w:val="nil"/>
                <w:lang w:val="es-ES_tradnl" w:eastAsia="es-MX"/>
              </w:rPr>
            </w:pPr>
            <w:r>
              <w:rPr>
                <w:rFonts w:ascii="ITC Avant Garde" w:hAnsi="ITC Avant Garde"/>
                <w:color w:val="000000"/>
                <w:sz w:val="18"/>
                <w:szCs w:val="18"/>
              </w:rPr>
              <w:t>2</w:t>
            </w:r>
          </w:p>
        </w:tc>
        <w:tc>
          <w:tcPr>
            <w:tcW w:w="1034" w:type="pct"/>
            <w:vAlign w:val="center"/>
          </w:tcPr>
          <w:p w14:paraId="161C880C" w14:textId="42373C46" w:rsidR="003B6289" w:rsidRPr="00735FDE"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Bloque Regional 1 (Región 2)</w:t>
            </w:r>
          </w:p>
        </w:tc>
        <w:tc>
          <w:tcPr>
            <w:tcW w:w="2776" w:type="pct"/>
            <w:vAlign w:val="center"/>
          </w:tcPr>
          <w:p w14:paraId="5F9BF5EC" w14:textId="01915EEC" w:rsidR="003B6289" w:rsidRPr="00735FDE" w:rsidRDefault="003B6289" w:rsidP="00B156EB">
            <w:pPr>
              <w:spacing w:before="240" w:after="240"/>
              <w:contextualSpacing/>
              <w:jc w:val="both"/>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$261,000</w:t>
            </w:r>
            <w:r w:rsidR="000A528F">
              <w:rPr>
                <w:rFonts w:ascii="ITC Avant Garde" w:hAnsi="ITC Avant Garde"/>
                <w:color w:val="000000"/>
                <w:sz w:val="18"/>
                <w:szCs w:val="18"/>
              </w:rPr>
              <w:t>.00</w:t>
            </w:r>
            <w:r>
              <w:rPr>
                <w:rFonts w:ascii="ITC Avant Garde" w:hAnsi="ITC Avant Garde"/>
                <w:color w:val="000000"/>
                <w:sz w:val="18"/>
                <w:szCs w:val="18"/>
              </w:rPr>
              <w:t xml:space="preserve"> </w:t>
            </w:r>
            <w:r>
              <w:rPr>
                <w:rFonts w:ascii="ITC Avant Garde" w:hAnsi="ITC Avant Garde" w:cs="Arial Unicode MS"/>
                <w:bCs/>
                <w:sz w:val="18"/>
                <w:u w:color="000000"/>
                <w:bdr w:val="nil"/>
                <w:lang w:val="es-ES_tradnl" w:eastAsia="es-MX"/>
              </w:rPr>
              <w:t>(</w:t>
            </w:r>
            <w:r w:rsidRPr="00787DC1">
              <w:rPr>
                <w:rFonts w:ascii="ITC Avant Garde" w:hAnsi="ITC Avant Garde" w:cs="Arial Unicode MS"/>
                <w:bCs/>
                <w:sz w:val="18"/>
                <w:u w:color="000000"/>
                <w:bdr w:val="nil"/>
                <w:lang w:val="es-ES_tradnl" w:eastAsia="es-MX"/>
              </w:rPr>
              <w:t>DOSCIENTOS SESENTA Y UN MIL PESOS 00/100 M.N</w:t>
            </w:r>
            <w:r w:rsidR="0068324B">
              <w:rPr>
                <w:rFonts w:ascii="ITC Avant Garde" w:hAnsi="ITC Avant Garde" w:cs="Arial Unicode MS"/>
                <w:bCs/>
                <w:sz w:val="18"/>
                <w:u w:color="000000"/>
                <w:bdr w:val="nil"/>
                <w:lang w:val="es-ES_tradnl" w:eastAsia="es-MX"/>
              </w:rPr>
              <w:t>.</w:t>
            </w:r>
            <w:r>
              <w:rPr>
                <w:rFonts w:ascii="ITC Avant Garde" w:hAnsi="ITC Avant Garde" w:cs="Arial Unicode MS"/>
                <w:bCs/>
                <w:sz w:val="18"/>
                <w:u w:color="000000"/>
                <w:bdr w:val="nil"/>
                <w:lang w:val="es-ES_tradnl" w:eastAsia="es-MX"/>
              </w:rPr>
              <w:t>)</w:t>
            </w:r>
          </w:p>
        </w:tc>
        <w:tc>
          <w:tcPr>
            <w:tcW w:w="717" w:type="pct"/>
            <w:vAlign w:val="center"/>
          </w:tcPr>
          <w:p w14:paraId="7D363619" w14:textId="41C26436" w:rsidR="003B6289" w:rsidRPr="00735FDE"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sidRPr="00645835">
              <w:rPr>
                <w:rFonts w:ascii="ITC Avant Garde" w:hAnsi="ITC Avant Garde"/>
                <w:color w:val="000000"/>
                <w:sz w:val="18"/>
                <w:szCs w:val="18"/>
              </w:rPr>
              <w:t>Secundaria</w:t>
            </w:r>
          </w:p>
        </w:tc>
      </w:tr>
      <w:tr w:rsidR="003B6289" w:rsidRPr="00735FDE" w14:paraId="586A5FBC" w14:textId="77777777" w:rsidTr="00A372D8">
        <w:trPr>
          <w:trHeight w:val="689"/>
          <w:jc w:val="center"/>
        </w:trPr>
        <w:tc>
          <w:tcPr>
            <w:tcW w:w="472" w:type="pct"/>
            <w:shd w:val="clear" w:color="auto" w:fill="E2EFD9" w:themeFill="accent6" w:themeFillTint="33"/>
            <w:vAlign w:val="center"/>
          </w:tcPr>
          <w:p w14:paraId="5B460FBE" w14:textId="78D4A0CC" w:rsidR="003B6289" w:rsidRPr="00735FDE" w:rsidRDefault="003B6289" w:rsidP="00B156EB">
            <w:pPr>
              <w:spacing w:before="240" w:after="240"/>
              <w:contextualSpacing/>
              <w:jc w:val="center"/>
              <w:outlineLvl w:val="1"/>
              <w:rPr>
                <w:rFonts w:ascii="ITC Avant Garde" w:hAnsi="ITC Avant Garde" w:cs="Arial Unicode MS"/>
                <w:b/>
                <w:bCs/>
                <w:sz w:val="18"/>
                <w:u w:color="000000"/>
                <w:bdr w:val="nil"/>
                <w:lang w:val="es-ES_tradnl" w:eastAsia="es-MX"/>
              </w:rPr>
            </w:pPr>
            <w:r>
              <w:rPr>
                <w:rFonts w:ascii="ITC Avant Garde" w:hAnsi="ITC Avant Garde"/>
                <w:color w:val="000000"/>
                <w:sz w:val="18"/>
                <w:szCs w:val="18"/>
              </w:rPr>
              <w:t>4</w:t>
            </w:r>
          </w:p>
        </w:tc>
        <w:tc>
          <w:tcPr>
            <w:tcW w:w="1034" w:type="pct"/>
            <w:shd w:val="clear" w:color="auto" w:fill="E2EFD9" w:themeFill="accent6" w:themeFillTint="33"/>
            <w:vAlign w:val="center"/>
          </w:tcPr>
          <w:p w14:paraId="29D6D141" w14:textId="443105A9" w:rsidR="003B6289" w:rsidRPr="00735FDE"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Bloque Regional 1 (Región 4)</w:t>
            </w:r>
          </w:p>
        </w:tc>
        <w:tc>
          <w:tcPr>
            <w:tcW w:w="2776" w:type="pct"/>
            <w:shd w:val="clear" w:color="auto" w:fill="E2EFD9" w:themeFill="accent6" w:themeFillTint="33"/>
            <w:vAlign w:val="center"/>
          </w:tcPr>
          <w:p w14:paraId="31266D4D" w14:textId="014EDD69" w:rsidR="003B6289" w:rsidRPr="00735FDE" w:rsidRDefault="003B6289" w:rsidP="00B156EB">
            <w:pPr>
              <w:spacing w:before="240" w:after="240"/>
              <w:contextualSpacing/>
              <w:jc w:val="both"/>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$5,202,000</w:t>
            </w:r>
            <w:r w:rsidR="000A528F">
              <w:rPr>
                <w:rFonts w:ascii="ITC Avant Garde" w:hAnsi="ITC Avant Garde"/>
                <w:color w:val="000000"/>
                <w:sz w:val="18"/>
                <w:szCs w:val="18"/>
              </w:rPr>
              <w:t>.00</w:t>
            </w:r>
            <w:r>
              <w:rPr>
                <w:rFonts w:ascii="ITC Avant Garde" w:hAnsi="ITC Avant Garde"/>
                <w:color w:val="000000"/>
                <w:sz w:val="18"/>
                <w:szCs w:val="18"/>
              </w:rPr>
              <w:t xml:space="preserve"> </w:t>
            </w:r>
            <w:r>
              <w:rPr>
                <w:rFonts w:ascii="ITC Avant Garde" w:hAnsi="ITC Avant Garde" w:cs="Arial Unicode MS"/>
                <w:bCs/>
                <w:sz w:val="18"/>
                <w:u w:color="000000"/>
                <w:bdr w:val="nil"/>
                <w:lang w:val="es-ES_tradnl" w:eastAsia="es-MX"/>
              </w:rPr>
              <w:t>(</w:t>
            </w:r>
            <w:r w:rsidRPr="00787DC1">
              <w:rPr>
                <w:rFonts w:ascii="ITC Avant Garde" w:hAnsi="ITC Avant Garde" w:cs="Arial Unicode MS"/>
                <w:bCs/>
                <w:sz w:val="18"/>
                <w:u w:color="000000"/>
                <w:bdr w:val="nil"/>
                <w:lang w:val="es-ES_tradnl" w:eastAsia="es-MX"/>
              </w:rPr>
              <w:t>CINCO MILLONES DOSCIENTOS DOS MIL PESOS 00/100 M.N.</w:t>
            </w:r>
            <w:r>
              <w:rPr>
                <w:rFonts w:ascii="ITC Avant Garde" w:hAnsi="ITC Avant Garde" w:cs="Arial Unicode MS"/>
                <w:bCs/>
                <w:sz w:val="18"/>
                <w:u w:color="000000"/>
                <w:bdr w:val="nil"/>
                <w:lang w:val="es-ES_tradnl" w:eastAsia="es-MX"/>
              </w:rPr>
              <w:t>)</w:t>
            </w:r>
          </w:p>
        </w:tc>
        <w:tc>
          <w:tcPr>
            <w:tcW w:w="717" w:type="pct"/>
            <w:shd w:val="clear" w:color="auto" w:fill="E2EFD9" w:themeFill="accent6" w:themeFillTint="33"/>
            <w:vAlign w:val="center"/>
          </w:tcPr>
          <w:p w14:paraId="2A3BEFC7" w14:textId="4DC3B8E2" w:rsidR="003B6289" w:rsidRPr="00735FDE"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sidRPr="00645835">
              <w:rPr>
                <w:rFonts w:ascii="ITC Avant Garde" w:hAnsi="ITC Avant Garde"/>
                <w:color w:val="000000"/>
                <w:sz w:val="18"/>
                <w:szCs w:val="18"/>
              </w:rPr>
              <w:t>Secundaria</w:t>
            </w:r>
          </w:p>
        </w:tc>
      </w:tr>
      <w:tr w:rsidR="003B6289" w:rsidRPr="00735FDE" w14:paraId="4862DB9B" w14:textId="77777777" w:rsidTr="00A372D8">
        <w:trPr>
          <w:trHeight w:val="689"/>
          <w:jc w:val="center"/>
        </w:trPr>
        <w:tc>
          <w:tcPr>
            <w:tcW w:w="472" w:type="pct"/>
            <w:vAlign w:val="center"/>
          </w:tcPr>
          <w:p w14:paraId="2042F25D" w14:textId="77891F97" w:rsidR="003B6289" w:rsidRDefault="003B6289" w:rsidP="00B156EB">
            <w:pPr>
              <w:spacing w:before="240" w:after="240"/>
              <w:contextualSpacing/>
              <w:jc w:val="center"/>
              <w:outlineLvl w:val="1"/>
              <w:rPr>
                <w:rFonts w:ascii="ITC Avant Garde" w:hAnsi="ITC Avant Garde" w:cs="Arial Unicode MS"/>
                <w:b/>
                <w:bCs/>
                <w:sz w:val="18"/>
                <w:u w:color="000000"/>
                <w:bdr w:val="nil"/>
                <w:lang w:val="es-ES_tradnl" w:eastAsia="es-MX"/>
              </w:rPr>
            </w:pPr>
            <w:r>
              <w:rPr>
                <w:rFonts w:ascii="ITC Avant Garde" w:hAnsi="ITC Avant Garde"/>
                <w:color w:val="000000"/>
                <w:sz w:val="18"/>
                <w:szCs w:val="18"/>
              </w:rPr>
              <w:t>5</w:t>
            </w:r>
          </w:p>
        </w:tc>
        <w:tc>
          <w:tcPr>
            <w:tcW w:w="1034" w:type="pct"/>
            <w:vAlign w:val="center"/>
          </w:tcPr>
          <w:p w14:paraId="43589547" w14:textId="0D80E836" w:rsidR="003B6289" w:rsidRPr="00735FDE"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Bloque Regional 1 (Región 5)</w:t>
            </w:r>
          </w:p>
        </w:tc>
        <w:tc>
          <w:tcPr>
            <w:tcW w:w="2776" w:type="pct"/>
            <w:vAlign w:val="center"/>
          </w:tcPr>
          <w:p w14:paraId="3863A72D" w14:textId="7C85442B" w:rsidR="003B6289" w:rsidRPr="00735FDE" w:rsidRDefault="003B6289" w:rsidP="00B156EB">
            <w:pPr>
              <w:spacing w:before="240" w:after="240"/>
              <w:contextualSpacing/>
              <w:jc w:val="both"/>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$2,730,000</w:t>
            </w:r>
            <w:r w:rsidR="000A528F">
              <w:rPr>
                <w:rFonts w:ascii="ITC Avant Garde" w:hAnsi="ITC Avant Garde"/>
                <w:color w:val="000000"/>
                <w:sz w:val="18"/>
                <w:szCs w:val="18"/>
              </w:rPr>
              <w:t>.00</w:t>
            </w:r>
            <w:r>
              <w:rPr>
                <w:rFonts w:ascii="ITC Avant Garde" w:hAnsi="ITC Avant Garde"/>
                <w:color w:val="000000"/>
                <w:sz w:val="18"/>
                <w:szCs w:val="18"/>
              </w:rPr>
              <w:t xml:space="preserve"> </w:t>
            </w:r>
            <w:r>
              <w:rPr>
                <w:rFonts w:ascii="ITC Avant Garde" w:hAnsi="ITC Avant Garde" w:cs="Arial Unicode MS"/>
                <w:bCs/>
                <w:sz w:val="18"/>
                <w:u w:color="000000"/>
                <w:bdr w:val="nil"/>
                <w:lang w:val="es-ES_tradnl" w:eastAsia="es-MX"/>
              </w:rPr>
              <w:t>(</w:t>
            </w:r>
            <w:r w:rsidRPr="00787DC1">
              <w:rPr>
                <w:rFonts w:ascii="ITC Avant Garde" w:hAnsi="ITC Avant Garde" w:cs="Arial Unicode MS"/>
                <w:bCs/>
                <w:sz w:val="18"/>
                <w:u w:color="000000"/>
                <w:bdr w:val="nil"/>
                <w:lang w:val="es-ES_tradnl" w:eastAsia="es-MX"/>
              </w:rPr>
              <w:t>DOS MILLONES SETECIENTOS TREINTA MIL PESOS 00/100 M.N.</w:t>
            </w:r>
            <w:r>
              <w:rPr>
                <w:rFonts w:ascii="ITC Avant Garde" w:hAnsi="ITC Avant Garde" w:cs="Arial Unicode MS"/>
                <w:bCs/>
                <w:sz w:val="18"/>
                <w:u w:color="000000"/>
                <w:bdr w:val="nil"/>
                <w:lang w:val="es-ES_tradnl" w:eastAsia="es-MX"/>
              </w:rPr>
              <w:t>)</w:t>
            </w:r>
          </w:p>
        </w:tc>
        <w:tc>
          <w:tcPr>
            <w:tcW w:w="717" w:type="pct"/>
            <w:vAlign w:val="center"/>
          </w:tcPr>
          <w:p w14:paraId="62112FC7" w14:textId="41FEC964" w:rsidR="003B6289"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sidRPr="00645835">
              <w:rPr>
                <w:rFonts w:ascii="ITC Avant Garde" w:hAnsi="ITC Avant Garde"/>
                <w:color w:val="000000"/>
                <w:sz w:val="18"/>
                <w:szCs w:val="18"/>
              </w:rPr>
              <w:t>Secundaria</w:t>
            </w:r>
          </w:p>
        </w:tc>
      </w:tr>
      <w:tr w:rsidR="003B6289" w:rsidRPr="00735FDE" w14:paraId="2C0090E4" w14:textId="77777777" w:rsidTr="00A372D8">
        <w:trPr>
          <w:trHeight w:val="689"/>
          <w:jc w:val="center"/>
        </w:trPr>
        <w:tc>
          <w:tcPr>
            <w:tcW w:w="472" w:type="pct"/>
            <w:shd w:val="clear" w:color="auto" w:fill="E2EFD9" w:themeFill="accent6" w:themeFillTint="33"/>
            <w:vAlign w:val="center"/>
          </w:tcPr>
          <w:p w14:paraId="1F9351BD" w14:textId="55CA6942" w:rsidR="003B6289" w:rsidRDefault="003B6289" w:rsidP="00B156EB">
            <w:pPr>
              <w:spacing w:before="240" w:after="240"/>
              <w:contextualSpacing/>
              <w:jc w:val="center"/>
              <w:outlineLvl w:val="1"/>
              <w:rPr>
                <w:rFonts w:ascii="ITC Avant Garde" w:hAnsi="ITC Avant Garde" w:cs="Arial Unicode MS"/>
                <w:b/>
                <w:bCs/>
                <w:sz w:val="18"/>
                <w:u w:color="000000"/>
                <w:bdr w:val="nil"/>
                <w:lang w:val="es-ES_tradnl" w:eastAsia="es-MX"/>
              </w:rPr>
            </w:pPr>
            <w:r>
              <w:rPr>
                <w:rFonts w:ascii="ITC Avant Garde" w:hAnsi="ITC Avant Garde"/>
                <w:color w:val="000000"/>
                <w:sz w:val="18"/>
                <w:szCs w:val="18"/>
              </w:rPr>
              <w:t>7</w:t>
            </w:r>
          </w:p>
        </w:tc>
        <w:tc>
          <w:tcPr>
            <w:tcW w:w="1034" w:type="pct"/>
            <w:shd w:val="clear" w:color="auto" w:fill="E2EFD9" w:themeFill="accent6" w:themeFillTint="33"/>
            <w:vAlign w:val="center"/>
          </w:tcPr>
          <w:p w14:paraId="71B37E13" w14:textId="24061CBC" w:rsidR="003B6289" w:rsidRPr="00735FDE"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Bloque Regional 1 (Región 7)</w:t>
            </w:r>
          </w:p>
        </w:tc>
        <w:tc>
          <w:tcPr>
            <w:tcW w:w="2776" w:type="pct"/>
            <w:shd w:val="clear" w:color="auto" w:fill="E2EFD9" w:themeFill="accent6" w:themeFillTint="33"/>
            <w:vAlign w:val="center"/>
          </w:tcPr>
          <w:p w14:paraId="0DF88482" w14:textId="5E70B8FD" w:rsidR="003B6289" w:rsidRPr="00735FDE" w:rsidRDefault="003B6289" w:rsidP="00B156EB">
            <w:pPr>
              <w:spacing w:before="240" w:after="240"/>
              <w:contextualSpacing/>
              <w:jc w:val="both"/>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$241,000</w:t>
            </w:r>
            <w:r w:rsidR="000A528F">
              <w:rPr>
                <w:rFonts w:ascii="ITC Avant Garde" w:hAnsi="ITC Avant Garde"/>
                <w:color w:val="000000"/>
                <w:sz w:val="18"/>
                <w:szCs w:val="18"/>
              </w:rPr>
              <w:t>.00</w:t>
            </w:r>
            <w:r>
              <w:rPr>
                <w:rFonts w:ascii="ITC Avant Garde" w:hAnsi="ITC Avant Garde"/>
                <w:color w:val="000000"/>
                <w:sz w:val="18"/>
                <w:szCs w:val="18"/>
              </w:rPr>
              <w:t xml:space="preserve"> </w:t>
            </w:r>
            <w:r>
              <w:rPr>
                <w:rFonts w:ascii="ITC Avant Garde" w:hAnsi="ITC Avant Garde" w:cs="Arial Unicode MS"/>
                <w:bCs/>
                <w:sz w:val="18"/>
                <w:u w:color="000000"/>
                <w:bdr w:val="nil"/>
                <w:lang w:val="es-ES_tradnl" w:eastAsia="es-MX"/>
              </w:rPr>
              <w:t>(</w:t>
            </w:r>
            <w:r w:rsidRPr="00787DC1">
              <w:rPr>
                <w:rFonts w:ascii="ITC Avant Garde" w:hAnsi="ITC Avant Garde" w:cs="Arial Unicode MS"/>
                <w:bCs/>
                <w:sz w:val="18"/>
                <w:u w:color="000000"/>
                <w:bdr w:val="nil"/>
                <w:lang w:val="es-ES_tradnl" w:eastAsia="es-MX"/>
              </w:rPr>
              <w:t>DOSCIENTOS CUARENTA Y UN MIL PESOS 00/100 M.N</w:t>
            </w:r>
            <w:r>
              <w:rPr>
                <w:rFonts w:ascii="ITC Avant Garde" w:hAnsi="ITC Avant Garde" w:cs="Arial Unicode MS"/>
                <w:bCs/>
                <w:sz w:val="18"/>
                <w:u w:color="000000"/>
                <w:bdr w:val="nil"/>
                <w:lang w:val="es-ES_tradnl" w:eastAsia="es-MX"/>
              </w:rPr>
              <w:t>.)</w:t>
            </w:r>
          </w:p>
        </w:tc>
        <w:tc>
          <w:tcPr>
            <w:tcW w:w="717" w:type="pct"/>
            <w:shd w:val="clear" w:color="auto" w:fill="E2EFD9" w:themeFill="accent6" w:themeFillTint="33"/>
            <w:vAlign w:val="center"/>
          </w:tcPr>
          <w:p w14:paraId="12002E65" w14:textId="7A7B7A3C" w:rsidR="003B6289"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sidRPr="00645835">
              <w:rPr>
                <w:rFonts w:ascii="ITC Avant Garde" w:hAnsi="ITC Avant Garde"/>
                <w:color w:val="000000"/>
                <w:sz w:val="18"/>
                <w:szCs w:val="18"/>
              </w:rPr>
              <w:t>Secundaria</w:t>
            </w:r>
          </w:p>
        </w:tc>
      </w:tr>
      <w:tr w:rsidR="003B6289" w:rsidRPr="00735FDE" w14:paraId="28947201" w14:textId="77777777" w:rsidTr="00A372D8">
        <w:trPr>
          <w:trHeight w:val="689"/>
          <w:jc w:val="center"/>
        </w:trPr>
        <w:tc>
          <w:tcPr>
            <w:tcW w:w="472" w:type="pct"/>
            <w:vAlign w:val="center"/>
          </w:tcPr>
          <w:p w14:paraId="6F2553DF" w14:textId="10D25C10" w:rsidR="003B6289" w:rsidRDefault="003B6289" w:rsidP="00B156EB">
            <w:pPr>
              <w:spacing w:before="240" w:after="240"/>
              <w:contextualSpacing/>
              <w:jc w:val="center"/>
              <w:outlineLvl w:val="1"/>
              <w:rPr>
                <w:rFonts w:ascii="ITC Avant Garde" w:hAnsi="ITC Avant Garde" w:cs="Arial Unicode MS"/>
                <w:b/>
                <w:bCs/>
                <w:sz w:val="18"/>
                <w:u w:color="000000"/>
                <w:bdr w:val="nil"/>
                <w:lang w:val="es-ES_tradnl" w:eastAsia="es-MX"/>
              </w:rPr>
            </w:pPr>
            <w:r>
              <w:rPr>
                <w:rFonts w:ascii="ITC Avant Garde" w:hAnsi="ITC Avant Garde"/>
                <w:color w:val="000000"/>
                <w:sz w:val="18"/>
                <w:szCs w:val="18"/>
              </w:rPr>
              <w:t>8</w:t>
            </w:r>
          </w:p>
        </w:tc>
        <w:tc>
          <w:tcPr>
            <w:tcW w:w="1034" w:type="pct"/>
            <w:vAlign w:val="center"/>
          </w:tcPr>
          <w:p w14:paraId="060F7825" w14:textId="71354EB3" w:rsidR="003B6289" w:rsidRPr="00735FDE"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Bloque Regional 1 (Región 8)</w:t>
            </w:r>
          </w:p>
        </w:tc>
        <w:tc>
          <w:tcPr>
            <w:tcW w:w="2776" w:type="pct"/>
            <w:vAlign w:val="center"/>
          </w:tcPr>
          <w:p w14:paraId="1A80C6BC" w14:textId="4EEFBD7C" w:rsidR="003B6289" w:rsidRPr="00735FDE" w:rsidRDefault="003B6289" w:rsidP="00B156EB">
            <w:pPr>
              <w:spacing w:before="240" w:after="240"/>
              <w:contextualSpacing/>
              <w:jc w:val="both"/>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$305,000</w:t>
            </w:r>
            <w:r w:rsidR="000A528F">
              <w:rPr>
                <w:rFonts w:ascii="ITC Avant Garde" w:hAnsi="ITC Avant Garde"/>
                <w:color w:val="000000"/>
                <w:sz w:val="18"/>
                <w:szCs w:val="18"/>
              </w:rPr>
              <w:t>.00</w:t>
            </w:r>
            <w:r>
              <w:rPr>
                <w:rFonts w:ascii="ITC Avant Garde" w:hAnsi="ITC Avant Garde"/>
                <w:color w:val="000000"/>
                <w:sz w:val="18"/>
                <w:szCs w:val="18"/>
              </w:rPr>
              <w:t xml:space="preserve"> </w:t>
            </w:r>
            <w:r>
              <w:rPr>
                <w:rFonts w:ascii="ITC Avant Garde" w:hAnsi="ITC Avant Garde" w:cs="Arial Unicode MS"/>
                <w:bCs/>
                <w:sz w:val="18"/>
                <w:u w:color="000000"/>
                <w:bdr w:val="nil"/>
                <w:lang w:val="es-ES_tradnl" w:eastAsia="es-MX"/>
              </w:rPr>
              <w:t>(</w:t>
            </w:r>
            <w:r w:rsidRPr="00787DC1">
              <w:rPr>
                <w:rFonts w:ascii="ITC Avant Garde" w:hAnsi="ITC Avant Garde" w:cs="Arial Unicode MS"/>
                <w:bCs/>
                <w:sz w:val="18"/>
                <w:u w:color="000000"/>
                <w:bdr w:val="nil"/>
                <w:lang w:val="es-ES_tradnl" w:eastAsia="es-MX"/>
              </w:rPr>
              <w:t>TRESCIENTOS CINCO MIL PESOS 00/100 M.N.</w:t>
            </w:r>
            <w:r>
              <w:rPr>
                <w:rFonts w:ascii="ITC Avant Garde" w:hAnsi="ITC Avant Garde" w:cs="Arial Unicode MS"/>
                <w:bCs/>
                <w:sz w:val="18"/>
                <w:u w:color="000000"/>
                <w:bdr w:val="nil"/>
                <w:lang w:val="es-ES_tradnl" w:eastAsia="es-MX"/>
              </w:rPr>
              <w:t>)</w:t>
            </w:r>
          </w:p>
        </w:tc>
        <w:tc>
          <w:tcPr>
            <w:tcW w:w="717" w:type="pct"/>
            <w:vAlign w:val="center"/>
          </w:tcPr>
          <w:p w14:paraId="5954E2FA" w14:textId="0FCE613C" w:rsidR="003B6289"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sidRPr="00645835">
              <w:rPr>
                <w:rFonts w:ascii="ITC Avant Garde" w:hAnsi="ITC Avant Garde"/>
                <w:color w:val="000000"/>
                <w:sz w:val="18"/>
                <w:szCs w:val="18"/>
              </w:rPr>
              <w:t>Secundaria</w:t>
            </w:r>
          </w:p>
        </w:tc>
      </w:tr>
      <w:tr w:rsidR="003B6289" w:rsidRPr="00735FDE" w14:paraId="2D1A7A47" w14:textId="77777777" w:rsidTr="00A372D8">
        <w:trPr>
          <w:trHeight w:val="689"/>
          <w:jc w:val="center"/>
        </w:trPr>
        <w:tc>
          <w:tcPr>
            <w:tcW w:w="472" w:type="pct"/>
            <w:shd w:val="clear" w:color="auto" w:fill="E2EFD9" w:themeFill="accent6" w:themeFillTint="33"/>
            <w:vAlign w:val="center"/>
          </w:tcPr>
          <w:p w14:paraId="1C8746BC" w14:textId="7A750999" w:rsidR="003B6289" w:rsidRDefault="003B6289" w:rsidP="00B156EB">
            <w:pPr>
              <w:spacing w:before="240" w:after="240"/>
              <w:contextualSpacing/>
              <w:jc w:val="center"/>
              <w:outlineLvl w:val="1"/>
              <w:rPr>
                <w:rFonts w:ascii="ITC Avant Garde" w:hAnsi="ITC Avant Garde" w:cs="Arial Unicode MS"/>
                <w:b/>
                <w:bCs/>
                <w:sz w:val="18"/>
                <w:u w:color="000000"/>
                <w:bdr w:val="nil"/>
                <w:lang w:val="es-ES_tradnl" w:eastAsia="es-MX"/>
              </w:rPr>
            </w:pPr>
            <w:r>
              <w:rPr>
                <w:rFonts w:ascii="ITC Avant Garde" w:hAnsi="ITC Avant Garde"/>
                <w:color w:val="000000"/>
                <w:sz w:val="18"/>
                <w:szCs w:val="18"/>
              </w:rPr>
              <w:t>9</w:t>
            </w:r>
          </w:p>
        </w:tc>
        <w:tc>
          <w:tcPr>
            <w:tcW w:w="1034" w:type="pct"/>
            <w:shd w:val="clear" w:color="auto" w:fill="E2EFD9" w:themeFill="accent6" w:themeFillTint="33"/>
            <w:vAlign w:val="center"/>
          </w:tcPr>
          <w:p w14:paraId="0CB1690D" w14:textId="455CC965" w:rsidR="003B6289" w:rsidRPr="00735FDE"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Bloque Regional 1 (Región 9)</w:t>
            </w:r>
          </w:p>
        </w:tc>
        <w:tc>
          <w:tcPr>
            <w:tcW w:w="2776" w:type="pct"/>
            <w:shd w:val="clear" w:color="auto" w:fill="E2EFD9" w:themeFill="accent6" w:themeFillTint="33"/>
            <w:vAlign w:val="center"/>
          </w:tcPr>
          <w:p w14:paraId="0D17C788" w14:textId="6E779250" w:rsidR="003B6289" w:rsidRPr="00735FDE" w:rsidRDefault="003B6289" w:rsidP="00B156EB">
            <w:pPr>
              <w:spacing w:before="240" w:after="240"/>
              <w:contextualSpacing/>
              <w:jc w:val="both"/>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$9,559,000</w:t>
            </w:r>
            <w:r w:rsidR="000A528F">
              <w:rPr>
                <w:rFonts w:ascii="ITC Avant Garde" w:hAnsi="ITC Avant Garde"/>
                <w:color w:val="000000"/>
                <w:sz w:val="18"/>
                <w:szCs w:val="18"/>
              </w:rPr>
              <w:t>.00</w:t>
            </w:r>
            <w:r>
              <w:rPr>
                <w:rFonts w:ascii="ITC Avant Garde" w:hAnsi="ITC Avant Garde"/>
                <w:color w:val="000000"/>
                <w:sz w:val="18"/>
                <w:szCs w:val="18"/>
              </w:rPr>
              <w:t xml:space="preserve"> </w:t>
            </w:r>
            <w:r>
              <w:rPr>
                <w:rFonts w:ascii="ITC Avant Garde" w:hAnsi="ITC Avant Garde" w:cs="Arial Unicode MS"/>
                <w:bCs/>
                <w:sz w:val="18"/>
                <w:u w:color="000000"/>
                <w:bdr w:val="nil"/>
                <w:lang w:val="es-ES_tradnl" w:eastAsia="es-MX"/>
              </w:rPr>
              <w:t>(</w:t>
            </w:r>
            <w:r w:rsidRPr="00787DC1">
              <w:rPr>
                <w:rFonts w:ascii="ITC Avant Garde" w:hAnsi="ITC Avant Garde" w:cs="Arial Unicode MS"/>
                <w:bCs/>
                <w:sz w:val="18"/>
                <w:u w:color="000000"/>
                <w:bdr w:val="nil"/>
                <w:lang w:val="es-ES_tradnl" w:eastAsia="es-MX"/>
              </w:rPr>
              <w:t>NUEVE MILLONES QUINIENTOS CINCUENTA Y NUEVE MIL PESOS 00/100 M.N.</w:t>
            </w:r>
            <w:r>
              <w:rPr>
                <w:rFonts w:ascii="ITC Avant Garde" w:hAnsi="ITC Avant Garde" w:cs="Arial Unicode MS"/>
                <w:bCs/>
                <w:sz w:val="18"/>
                <w:u w:color="000000"/>
                <w:bdr w:val="nil"/>
                <w:lang w:val="es-ES_tradnl" w:eastAsia="es-MX"/>
              </w:rPr>
              <w:t>)</w:t>
            </w:r>
          </w:p>
        </w:tc>
        <w:tc>
          <w:tcPr>
            <w:tcW w:w="717" w:type="pct"/>
            <w:shd w:val="clear" w:color="auto" w:fill="E2EFD9" w:themeFill="accent6" w:themeFillTint="33"/>
            <w:vAlign w:val="center"/>
          </w:tcPr>
          <w:p w14:paraId="644E5B89" w14:textId="4E6A562C" w:rsidR="003B6289"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sidRPr="00645835">
              <w:rPr>
                <w:rFonts w:ascii="ITC Avant Garde" w:hAnsi="ITC Avant Garde"/>
                <w:color w:val="000000"/>
                <w:sz w:val="18"/>
                <w:szCs w:val="18"/>
              </w:rPr>
              <w:t>Secundaria</w:t>
            </w:r>
          </w:p>
        </w:tc>
      </w:tr>
      <w:tr w:rsidR="00787DC1" w:rsidRPr="00735FDE" w14:paraId="0CE2F626" w14:textId="77777777" w:rsidTr="00A372D8">
        <w:trPr>
          <w:trHeight w:val="689"/>
          <w:jc w:val="center"/>
        </w:trPr>
        <w:tc>
          <w:tcPr>
            <w:tcW w:w="472" w:type="pct"/>
            <w:vAlign w:val="center"/>
          </w:tcPr>
          <w:p w14:paraId="60063FE4" w14:textId="541D8BE2" w:rsidR="00787DC1" w:rsidRDefault="00787DC1" w:rsidP="00B156EB">
            <w:pPr>
              <w:spacing w:before="240" w:after="240"/>
              <w:contextualSpacing/>
              <w:jc w:val="center"/>
              <w:outlineLvl w:val="1"/>
              <w:rPr>
                <w:rFonts w:ascii="ITC Avant Garde" w:hAnsi="ITC Avant Garde" w:cs="Arial Unicode MS"/>
                <w:b/>
                <w:bCs/>
                <w:sz w:val="18"/>
                <w:u w:color="000000"/>
                <w:bdr w:val="nil"/>
                <w:lang w:val="es-ES_tradnl" w:eastAsia="es-MX"/>
              </w:rPr>
            </w:pPr>
            <w:r>
              <w:rPr>
                <w:rFonts w:ascii="ITC Avant Garde" w:hAnsi="ITC Avant Garde"/>
                <w:color w:val="000000"/>
                <w:sz w:val="18"/>
                <w:szCs w:val="18"/>
              </w:rPr>
              <w:t>10</w:t>
            </w:r>
          </w:p>
        </w:tc>
        <w:tc>
          <w:tcPr>
            <w:tcW w:w="1034" w:type="pct"/>
            <w:vAlign w:val="center"/>
          </w:tcPr>
          <w:p w14:paraId="6ACDF228" w14:textId="0F3C04E3" w:rsidR="00787DC1" w:rsidRPr="00735FDE" w:rsidRDefault="00787DC1"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Bloque Nacional 1</w:t>
            </w:r>
          </w:p>
        </w:tc>
        <w:tc>
          <w:tcPr>
            <w:tcW w:w="2776" w:type="pct"/>
            <w:vAlign w:val="center"/>
          </w:tcPr>
          <w:p w14:paraId="79CFCAAF" w14:textId="18DB0435" w:rsidR="00787DC1" w:rsidRPr="00735FDE" w:rsidRDefault="00787DC1" w:rsidP="00B156EB">
            <w:pPr>
              <w:spacing w:before="240" w:after="240"/>
              <w:contextualSpacing/>
              <w:jc w:val="both"/>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$500,000</w:t>
            </w:r>
            <w:r w:rsidR="000A528F">
              <w:rPr>
                <w:rFonts w:ascii="ITC Avant Garde" w:hAnsi="ITC Avant Garde"/>
                <w:color w:val="000000"/>
                <w:sz w:val="18"/>
                <w:szCs w:val="18"/>
              </w:rPr>
              <w:t>.00</w:t>
            </w:r>
            <w:r w:rsidR="003B6289">
              <w:rPr>
                <w:rFonts w:ascii="ITC Avant Garde" w:hAnsi="ITC Avant Garde"/>
                <w:color w:val="000000"/>
                <w:sz w:val="18"/>
                <w:szCs w:val="18"/>
              </w:rPr>
              <w:t xml:space="preserve"> </w:t>
            </w:r>
            <w:r w:rsidR="002D387A">
              <w:rPr>
                <w:rFonts w:ascii="ITC Avant Garde" w:hAnsi="ITC Avant Garde" w:cs="Arial Unicode MS"/>
                <w:bCs/>
                <w:sz w:val="18"/>
                <w:u w:color="000000"/>
                <w:bdr w:val="nil"/>
                <w:lang w:val="es-ES_tradnl" w:eastAsia="es-MX"/>
              </w:rPr>
              <w:t>(</w:t>
            </w:r>
            <w:r w:rsidR="003B6289" w:rsidRPr="00787DC1">
              <w:rPr>
                <w:rFonts w:ascii="ITC Avant Garde" w:hAnsi="ITC Avant Garde" w:cs="Arial Unicode MS"/>
                <w:bCs/>
                <w:sz w:val="18"/>
                <w:u w:color="000000"/>
                <w:bdr w:val="nil"/>
                <w:lang w:val="es-ES_tradnl" w:eastAsia="es-MX"/>
              </w:rPr>
              <w:t xml:space="preserve">QUINIENTOS MIL PESOS </w:t>
            </w:r>
            <w:r w:rsidRPr="00787DC1">
              <w:rPr>
                <w:rFonts w:ascii="ITC Avant Garde" w:hAnsi="ITC Avant Garde" w:cs="Arial Unicode MS"/>
                <w:bCs/>
                <w:sz w:val="18"/>
                <w:u w:color="000000"/>
                <w:bdr w:val="nil"/>
                <w:lang w:val="es-ES_tradnl" w:eastAsia="es-MX"/>
              </w:rPr>
              <w:t>00/100 M.N.</w:t>
            </w:r>
            <w:r w:rsidR="002D387A">
              <w:rPr>
                <w:rFonts w:ascii="ITC Avant Garde" w:hAnsi="ITC Avant Garde" w:cs="Arial Unicode MS"/>
                <w:bCs/>
                <w:sz w:val="18"/>
                <w:u w:color="000000"/>
                <w:bdr w:val="nil"/>
                <w:lang w:val="es-ES_tradnl" w:eastAsia="es-MX"/>
              </w:rPr>
              <w:t>)</w:t>
            </w:r>
          </w:p>
        </w:tc>
        <w:tc>
          <w:tcPr>
            <w:tcW w:w="717" w:type="pct"/>
            <w:vAlign w:val="center"/>
          </w:tcPr>
          <w:p w14:paraId="339F99FB" w14:textId="1EB6FAAE" w:rsidR="00787DC1"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Primaria</w:t>
            </w:r>
          </w:p>
        </w:tc>
      </w:tr>
      <w:tr w:rsidR="00787DC1" w:rsidRPr="00735FDE" w14:paraId="713ED2D6" w14:textId="77777777" w:rsidTr="00A372D8">
        <w:trPr>
          <w:trHeight w:val="689"/>
          <w:jc w:val="center"/>
        </w:trPr>
        <w:tc>
          <w:tcPr>
            <w:tcW w:w="472" w:type="pct"/>
            <w:shd w:val="clear" w:color="auto" w:fill="E2EFD9" w:themeFill="accent6" w:themeFillTint="33"/>
            <w:vAlign w:val="center"/>
          </w:tcPr>
          <w:p w14:paraId="5B059DB8" w14:textId="5EF47F77" w:rsidR="00787DC1" w:rsidRDefault="00787DC1" w:rsidP="00B156EB">
            <w:pPr>
              <w:spacing w:before="240" w:after="240"/>
              <w:contextualSpacing/>
              <w:jc w:val="center"/>
              <w:outlineLvl w:val="1"/>
              <w:rPr>
                <w:rFonts w:ascii="ITC Avant Garde" w:hAnsi="ITC Avant Garde" w:cs="Arial Unicode MS"/>
                <w:b/>
                <w:bCs/>
                <w:sz w:val="18"/>
                <w:u w:color="000000"/>
                <w:bdr w:val="nil"/>
                <w:lang w:val="es-ES_tradnl" w:eastAsia="es-MX"/>
              </w:rPr>
            </w:pPr>
            <w:r>
              <w:rPr>
                <w:rFonts w:ascii="ITC Avant Garde" w:hAnsi="ITC Avant Garde"/>
                <w:color w:val="000000"/>
                <w:sz w:val="18"/>
                <w:szCs w:val="18"/>
              </w:rPr>
              <w:t>11</w:t>
            </w:r>
          </w:p>
        </w:tc>
        <w:tc>
          <w:tcPr>
            <w:tcW w:w="1034" w:type="pct"/>
            <w:shd w:val="clear" w:color="auto" w:fill="E2EFD9" w:themeFill="accent6" w:themeFillTint="33"/>
            <w:vAlign w:val="center"/>
          </w:tcPr>
          <w:p w14:paraId="01808A24" w14:textId="2A76024A" w:rsidR="00787DC1" w:rsidRPr="00735FDE" w:rsidRDefault="00787DC1"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Bloque Nacional 2</w:t>
            </w:r>
          </w:p>
        </w:tc>
        <w:tc>
          <w:tcPr>
            <w:tcW w:w="2776" w:type="pct"/>
            <w:shd w:val="clear" w:color="auto" w:fill="E2EFD9" w:themeFill="accent6" w:themeFillTint="33"/>
            <w:vAlign w:val="center"/>
          </w:tcPr>
          <w:p w14:paraId="3B4048F1" w14:textId="2BC3CA6D" w:rsidR="00787DC1" w:rsidRPr="00735FDE" w:rsidRDefault="00787DC1" w:rsidP="00B156EB">
            <w:pPr>
              <w:spacing w:before="240" w:after="240"/>
              <w:contextualSpacing/>
              <w:jc w:val="both"/>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$500,000</w:t>
            </w:r>
            <w:r w:rsidR="000A528F">
              <w:rPr>
                <w:rFonts w:ascii="ITC Avant Garde" w:hAnsi="ITC Avant Garde"/>
                <w:color w:val="000000"/>
                <w:sz w:val="18"/>
                <w:szCs w:val="18"/>
              </w:rPr>
              <w:t>.00</w:t>
            </w:r>
            <w:r w:rsidR="003B6289">
              <w:rPr>
                <w:rFonts w:ascii="ITC Avant Garde" w:hAnsi="ITC Avant Garde"/>
                <w:color w:val="000000"/>
                <w:sz w:val="18"/>
                <w:szCs w:val="18"/>
              </w:rPr>
              <w:t xml:space="preserve"> </w:t>
            </w:r>
            <w:r w:rsidR="002D387A">
              <w:rPr>
                <w:rFonts w:ascii="ITC Avant Garde" w:hAnsi="ITC Avant Garde" w:cs="Arial Unicode MS"/>
                <w:bCs/>
                <w:sz w:val="18"/>
                <w:u w:color="000000"/>
                <w:bdr w:val="nil"/>
                <w:lang w:val="es-ES_tradnl" w:eastAsia="es-MX"/>
              </w:rPr>
              <w:t>(</w:t>
            </w:r>
            <w:r w:rsidR="003B6289" w:rsidRPr="00787DC1">
              <w:rPr>
                <w:rFonts w:ascii="ITC Avant Garde" w:hAnsi="ITC Avant Garde" w:cs="Arial Unicode MS"/>
                <w:bCs/>
                <w:sz w:val="18"/>
                <w:u w:color="000000"/>
                <w:bdr w:val="nil"/>
                <w:lang w:val="es-ES_tradnl" w:eastAsia="es-MX"/>
              </w:rPr>
              <w:t xml:space="preserve">QUINIENTOS MIL PESOS </w:t>
            </w:r>
            <w:r w:rsidRPr="00787DC1">
              <w:rPr>
                <w:rFonts w:ascii="ITC Avant Garde" w:hAnsi="ITC Avant Garde" w:cs="Arial Unicode MS"/>
                <w:bCs/>
                <w:sz w:val="18"/>
                <w:u w:color="000000"/>
                <w:bdr w:val="nil"/>
                <w:lang w:val="es-ES_tradnl" w:eastAsia="es-MX"/>
              </w:rPr>
              <w:t>00/100 M.N.</w:t>
            </w:r>
            <w:r w:rsidR="002D387A">
              <w:rPr>
                <w:rFonts w:ascii="ITC Avant Garde" w:hAnsi="ITC Avant Garde" w:cs="Arial Unicode MS"/>
                <w:bCs/>
                <w:sz w:val="18"/>
                <w:u w:color="000000"/>
                <w:bdr w:val="nil"/>
                <w:lang w:val="es-ES_tradnl" w:eastAsia="es-MX"/>
              </w:rPr>
              <w:t>)</w:t>
            </w:r>
          </w:p>
        </w:tc>
        <w:tc>
          <w:tcPr>
            <w:tcW w:w="717" w:type="pct"/>
            <w:shd w:val="clear" w:color="auto" w:fill="E2EFD9" w:themeFill="accent6" w:themeFillTint="33"/>
            <w:vAlign w:val="center"/>
          </w:tcPr>
          <w:p w14:paraId="2C3B126E" w14:textId="0CC23C9C" w:rsidR="00787DC1" w:rsidRDefault="003B6289" w:rsidP="00B156EB">
            <w:pPr>
              <w:spacing w:before="240" w:after="240"/>
              <w:contextualSpacing/>
              <w:jc w:val="center"/>
              <w:outlineLvl w:val="1"/>
              <w:rPr>
                <w:rFonts w:ascii="ITC Avant Garde" w:hAnsi="ITC Avant Garde" w:cs="Arial Unicode MS"/>
                <w:bCs/>
                <w:sz w:val="18"/>
                <w:u w:color="000000"/>
                <w:bdr w:val="nil"/>
                <w:lang w:val="es-ES_tradnl" w:eastAsia="es-MX"/>
              </w:rPr>
            </w:pPr>
            <w:r>
              <w:rPr>
                <w:rFonts w:ascii="ITC Avant Garde" w:hAnsi="ITC Avant Garde"/>
                <w:color w:val="000000"/>
                <w:sz w:val="18"/>
                <w:szCs w:val="18"/>
              </w:rPr>
              <w:t>Primaria</w:t>
            </w:r>
          </w:p>
        </w:tc>
      </w:tr>
    </w:tbl>
    <w:p w14:paraId="32BF0C52" w14:textId="77777777" w:rsidR="00B156EB" w:rsidRDefault="00D02E25" w:rsidP="00B156EB">
      <w:pPr>
        <w:tabs>
          <w:tab w:val="left" w:pos="142"/>
        </w:tabs>
        <w:spacing w:before="240" w:after="240" w:line="240" w:lineRule="auto"/>
        <w:ind w:left="851"/>
        <w:jc w:val="both"/>
        <w:rPr>
          <w:rFonts w:ascii="ITC Avant Garde" w:hAnsi="ITC Avant Garde"/>
        </w:rPr>
      </w:pPr>
      <w:r>
        <w:rPr>
          <w:rFonts w:ascii="ITC Avant Garde" w:eastAsia="Arial Unicode MS" w:hAnsi="ITC Avant Garde" w:cs="Arial"/>
          <w:bCs/>
          <w:u w:color="000000"/>
          <w:bdr w:val="nil"/>
          <w:lang w:val="es-ES_tradnl"/>
        </w:rPr>
        <w:t>Los</w:t>
      </w:r>
      <w:r w:rsidR="00E05F79" w:rsidRPr="00735FDE">
        <w:rPr>
          <w:rFonts w:ascii="ITC Avant Garde" w:eastAsia="Arial Unicode MS" w:hAnsi="ITC Avant Garde" w:cs="Arial"/>
          <w:bCs/>
          <w:u w:color="000000"/>
          <w:bdr w:val="nil"/>
          <w:lang w:val="es-ES_tradnl"/>
        </w:rPr>
        <w:t xml:space="preserve"> pago</w:t>
      </w:r>
      <w:r>
        <w:rPr>
          <w:rFonts w:ascii="ITC Avant Garde" w:eastAsia="Arial Unicode MS" w:hAnsi="ITC Avant Garde" w:cs="Arial"/>
          <w:bCs/>
          <w:u w:color="000000"/>
          <w:bdr w:val="nil"/>
          <w:lang w:val="es-ES_tradnl"/>
        </w:rPr>
        <w:t>s</w:t>
      </w:r>
      <w:r w:rsidR="00E05F79" w:rsidRPr="00735FDE">
        <w:rPr>
          <w:rFonts w:ascii="ITC Avant Garde" w:eastAsia="Arial Unicode MS" w:hAnsi="ITC Avant Garde" w:cs="Arial"/>
          <w:bCs/>
          <w:u w:color="000000"/>
          <w:bdr w:val="nil"/>
          <w:lang w:val="es-ES_tradnl"/>
        </w:rPr>
        <w:t xml:space="preserve"> de mérito se </w:t>
      </w:r>
      <w:r>
        <w:rPr>
          <w:rFonts w:ascii="ITC Avant Garde" w:eastAsia="Arial Unicode MS" w:hAnsi="ITC Avant Garde" w:cs="Arial"/>
          <w:bCs/>
          <w:u w:color="000000"/>
          <w:bdr w:val="nil"/>
          <w:lang w:val="es-ES_tradnl"/>
        </w:rPr>
        <w:t xml:space="preserve">deberán </w:t>
      </w:r>
      <w:r w:rsidR="00E05F79" w:rsidRPr="00735FDE">
        <w:rPr>
          <w:rFonts w:ascii="ITC Avant Garde" w:eastAsia="Arial Unicode MS" w:hAnsi="ITC Avant Garde" w:cs="Arial"/>
          <w:bCs/>
          <w:u w:color="000000"/>
          <w:bdr w:val="nil"/>
          <w:lang w:val="es-ES_tradnl"/>
        </w:rPr>
        <w:t xml:space="preserve">realizar a favor de la Tesorería de la Federación y </w:t>
      </w:r>
      <w:r w:rsidR="00E05F79" w:rsidRPr="00735FDE">
        <w:rPr>
          <w:rFonts w:ascii="ITC Avant Garde" w:hAnsi="ITC Avant Garde"/>
        </w:rPr>
        <w:t>se acreditará</w:t>
      </w:r>
      <w:r>
        <w:rPr>
          <w:rFonts w:ascii="ITC Avant Garde" w:hAnsi="ITC Avant Garde"/>
        </w:rPr>
        <w:t>n</w:t>
      </w:r>
      <w:r w:rsidR="00E05F79" w:rsidRPr="00735FDE">
        <w:rPr>
          <w:rFonts w:ascii="ITC Avant Garde" w:hAnsi="ITC Avant Garde"/>
        </w:rPr>
        <w:t xml:space="preserve"> mediante la entrega de los originales de los comprobantes respectivos ante la UER en el Domicilio del Instituto, </w:t>
      </w:r>
      <w:r w:rsidR="00F40F35">
        <w:rPr>
          <w:rFonts w:ascii="ITC Avant Garde" w:hAnsi="ITC Avant Garde"/>
        </w:rPr>
        <w:t>los</w:t>
      </w:r>
      <w:r w:rsidR="00E05F79" w:rsidRPr="00735FDE">
        <w:rPr>
          <w:rFonts w:ascii="ITC Avant Garde" w:hAnsi="ITC Avant Garde"/>
        </w:rPr>
        <w:t xml:space="preserve"> cual</w:t>
      </w:r>
      <w:r w:rsidR="00F40F35">
        <w:rPr>
          <w:rFonts w:ascii="ITC Avant Garde" w:hAnsi="ITC Avant Garde"/>
        </w:rPr>
        <w:t>es</w:t>
      </w:r>
      <w:r w:rsidR="00E05F79" w:rsidRPr="00735FDE">
        <w:rPr>
          <w:rFonts w:ascii="ITC Avant Garde" w:hAnsi="ITC Avant Garde"/>
        </w:rPr>
        <w:t xml:space="preserve"> deberá</w:t>
      </w:r>
      <w:r w:rsidR="00F40F35">
        <w:rPr>
          <w:rFonts w:ascii="ITC Avant Garde" w:hAnsi="ITC Avant Garde"/>
        </w:rPr>
        <w:t>n</w:t>
      </w:r>
      <w:r w:rsidR="00E05F79" w:rsidRPr="00735FDE">
        <w:rPr>
          <w:rFonts w:ascii="ITC Avant Garde" w:hAnsi="ITC Avant Garde"/>
        </w:rPr>
        <w:t xml:space="preserve"> realizarse </w:t>
      </w:r>
      <w:r w:rsidR="00E05F79" w:rsidRPr="00735FDE">
        <w:rPr>
          <w:rFonts w:ascii="ITC Avant Garde" w:hAnsi="ITC Avant Garde"/>
        </w:rPr>
        <w:lastRenderedPageBreak/>
        <w:t>en moneda de curso legal en los Estados Unidos Mexicanos. Para efectos del pago de la</w:t>
      </w:r>
      <w:r w:rsidR="00DA0FE0">
        <w:rPr>
          <w:rFonts w:ascii="ITC Avant Garde" w:hAnsi="ITC Avant Garde"/>
        </w:rPr>
        <w:t>s c</w:t>
      </w:r>
      <w:r>
        <w:rPr>
          <w:rFonts w:ascii="ITC Avant Garde" w:hAnsi="ITC Avant Garde"/>
        </w:rPr>
        <w:t>ontraprestacio</w:t>
      </w:r>
      <w:r w:rsidR="00E05F79" w:rsidRPr="00735FDE">
        <w:rPr>
          <w:rFonts w:ascii="ITC Avant Garde" w:hAnsi="ITC Avant Garde"/>
        </w:rPr>
        <w:t>n</w:t>
      </w:r>
      <w:r>
        <w:rPr>
          <w:rFonts w:ascii="ITC Avant Garde" w:hAnsi="ITC Avant Garde"/>
        </w:rPr>
        <w:t>es</w:t>
      </w:r>
      <w:r w:rsidR="00E05F79" w:rsidRPr="00735FDE">
        <w:rPr>
          <w:rFonts w:ascii="ITC Avant Garde" w:hAnsi="ITC Avant Garde"/>
        </w:rPr>
        <w:t>, el Instituto no otorgará prórroga alguna.</w:t>
      </w:r>
    </w:p>
    <w:p w14:paraId="03DF917D" w14:textId="77777777" w:rsidR="00B156EB" w:rsidRDefault="00E05F79" w:rsidP="00B156EB">
      <w:pPr>
        <w:pStyle w:val="Prrafodelista"/>
        <w:numPr>
          <w:ilvl w:val="0"/>
          <w:numId w:val="28"/>
        </w:numPr>
        <w:pBdr>
          <w:top w:val="nil"/>
          <w:left w:val="nil"/>
          <w:bottom w:val="nil"/>
          <w:right w:val="nil"/>
          <w:between w:val="nil"/>
          <w:bar w:val="nil"/>
        </w:pBdr>
        <w:spacing w:before="240" w:after="240"/>
        <w:ind w:left="851" w:hanging="425"/>
        <w:contextualSpacing/>
        <w:jc w:val="both"/>
        <w:rPr>
          <w:rFonts w:ascii="ITC Avant Garde" w:eastAsia="Arial Unicode MS" w:hAnsi="ITC Avant Garde" w:cs="Arial"/>
          <w:bCs/>
          <w:u w:color="000000"/>
          <w:bdr w:val="nil"/>
          <w:lang w:val="es-ES_tradnl"/>
        </w:rPr>
      </w:pPr>
      <w:r w:rsidRPr="00B546A7">
        <w:rPr>
          <w:rFonts w:ascii="ITC Avant Garde" w:eastAsia="Arial Unicode MS" w:hAnsi="ITC Avant Garde" w:cs="Arial"/>
          <w:bCs/>
          <w:u w:color="000000"/>
          <w:bdr w:val="nil"/>
          <w:lang w:val="es-ES_tradnl"/>
        </w:rPr>
        <w:t>Entregar físicamente</w:t>
      </w:r>
      <w:r w:rsidR="00847F2A" w:rsidRPr="00B546A7">
        <w:rPr>
          <w:rFonts w:ascii="ITC Avant Garde" w:eastAsia="Arial Unicode MS" w:hAnsi="ITC Avant Garde" w:cs="Arial"/>
          <w:bCs/>
          <w:u w:color="000000"/>
          <w:bdr w:val="nil"/>
          <w:lang w:val="es-ES_tradnl"/>
        </w:rPr>
        <w:t xml:space="preserve"> todos</w:t>
      </w:r>
      <w:r w:rsidRPr="00B546A7">
        <w:rPr>
          <w:rFonts w:ascii="ITC Avant Garde" w:eastAsia="Arial Unicode MS" w:hAnsi="ITC Avant Garde" w:cs="Arial"/>
          <w:bCs/>
          <w:u w:color="000000"/>
          <w:bdr w:val="nil"/>
          <w:lang w:val="es-ES_tradnl"/>
        </w:rPr>
        <w:t xml:space="preserve"> los documentos previstos en las Bases, que conforman los Anexos del Apéndice A y el Apéndice E</w:t>
      </w:r>
      <w:r w:rsidR="001E7FC5" w:rsidRPr="00B546A7">
        <w:rPr>
          <w:rFonts w:ascii="ITC Avant Garde" w:eastAsia="Arial Unicode MS" w:hAnsi="ITC Avant Garde" w:cs="Arial"/>
          <w:bCs/>
          <w:u w:color="000000"/>
          <w:bdr w:val="nil"/>
          <w:lang w:val="es-ES_tradnl"/>
        </w:rPr>
        <w:t>,</w:t>
      </w:r>
      <w:r w:rsidRPr="00B546A7">
        <w:rPr>
          <w:rFonts w:ascii="ITC Avant Garde" w:eastAsia="Arial Unicode MS" w:hAnsi="ITC Avant Garde" w:cs="Arial"/>
          <w:bCs/>
          <w:u w:color="000000"/>
          <w:bdr w:val="nil"/>
          <w:lang w:val="es-ES_tradnl"/>
        </w:rPr>
        <w:t xml:space="preserve"> en términos del numeral 5.4.1 de las Bases.</w:t>
      </w:r>
    </w:p>
    <w:p w14:paraId="64B7E556" w14:textId="77777777" w:rsidR="00B156EB" w:rsidRDefault="00E05F79" w:rsidP="00B156EB">
      <w:pPr>
        <w:pBdr>
          <w:top w:val="nil"/>
          <w:left w:val="nil"/>
          <w:bottom w:val="nil"/>
          <w:right w:val="nil"/>
          <w:between w:val="nil"/>
          <w:bar w:val="nil"/>
        </w:pBdr>
        <w:spacing w:before="240" w:after="240" w:line="240" w:lineRule="auto"/>
        <w:contextualSpacing/>
        <w:jc w:val="both"/>
        <w:rPr>
          <w:rFonts w:ascii="ITC Avant Garde" w:eastAsia="Arial Unicode MS" w:hAnsi="ITC Avant Garde" w:cs="Arial"/>
          <w:bCs/>
          <w:u w:color="000000"/>
          <w:bdr w:val="nil"/>
          <w:lang w:val="es-ES_tradnl"/>
        </w:rPr>
      </w:pPr>
      <w:r w:rsidRPr="00735FDE">
        <w:rPr>
          <w:rFonts w:ascii="ITC Avant Garde" w:eastAsia="Arial Unicode MS" w:hAnsi="ITC Avant Garde" w:cs="Arial"/>
          <w:bCs/>
          <w:u w:color="000000"/>
          <w:bdr w:val="nil"/>
          <w:lang w:val="es-ES_tradnl"/>
        </w:rPr>
        <w:t>Cabe señalar que, para dar cumplimiento a lo dispuesto en los numerales 1 y</w:t>
      </w:r>
      <w:r w:rsidR="00985A66">
        <w:rPr>
          <w:rFonts w:ascii="ITC Avant Garde" w:eastAsia="Arial Unicode MS" w:hAnsi="ITC Avant Garde" w:cs="Arial"/>
          <w:bCs/>
          <w:u w:color="000000"/>
          <w:bdr w:val="nil"/>
          <w:lang w:val="es-ES_tradnl"/>
        </w:rPr>
        <w:t xml:space="preserve"> 2 del presente </w:t>
      </w:r>
      <w:r w:rsidR="005D732B">
        <w:rPr>
          <w:rFonts w:ascii="ITC Avant Garde" w:eastAsia="Arial Unicode MS" w:hAnsi="ITC Avant Garde" w:cs="Arial"/>
          <w:bCs/>
          <w:u w:color="000000"/>
          <w:bdr w:val="nil"/>
          <w:lang w:val="es-ES_tradnl"/>
        </w:rPr>
        <w:t>apartado considerativo</w:t>
      </w:r>
      <w:r w:rsidR="00985A66">
        <w:rPr>
          <w:rFonts w:ascii="ITC Avant Garde" w:eastAsia="Arial Unicode MS" w:hAnsi="ITC Avant Garde" w:cs="Arial"/>
          <w:bCs/>
          <w:u w:color="000000"/>
          <w:bdr w:val="nil"/>
          <w:lang w:val="es-ES_tradnl"/>
        </w:rPr>
        <w:t xml:space="preserve">, </w:t>
      </w:r>
      <w:r w:rsidR="00092A27">
        <w:rPr>
          <w:rFonts w:ascii="ITC Avant Garde" w:eastAsia="Arial Unicode MS" w:hAnsi="ITC Avant Garde" w:cs="Arial"/>
          <w:bCs/>
          <w:u w:color="000000"/>
          <w:bdr w:val="nil"/>
          <w:lang w:val="es-ES_tradnl"/>
        </w:rPr>
        <w:t xml:space="preserve">a más tardar </w:t>
      </w:r>
      <w:r w:rsidR="00985A66">
        <w:rPr>
          <w:rFonts w:ascii="ITC Avant Garde" w:eastAsia="Arial Unicode MS" w:hAnsi="ITC Avant Garde" w:cs="Arial"/>
          <w:bCs/>
          <w:u w:color="000000"/>
          <w:bdr w:val="nil"/>
          <w:lang w:val="es-ES_tradnl"/>
        </w:rPr>
        <w:t>el</w:t>
      </w:r>
      <w:r w:rsidRPr="00735FDE">
        <w:rPr>
          <w:rFonts w:ascii="ITC Avant Garde" w:eastAsia="Arial Unicode MS" w:hAnsi="ITC Avant Garde" w:cs="Arial"/>
          <w:bCs/>
          <w:u w:color="000000"/>
          <w:bdr w:val="nil"/>
          <w:lang w:val="es-ES_tradnl"/>
        </w:rPr>
        <w:t xml:space="preserve"> día </w:t>
      </w:r>
      <w:r w:rsidR="00F40F35">
        <w:rPr>
          <w:rFonts w:ascii="ITC Avant Garde" w:eastAsia="Arial Unicode MS" w:hAnsi="ITC Avant Garde" w:cs="Arial"/>
          <w:bCs/>
          <w:u w:color="000000"/>
          <w:bdr w:val="nil"/>
          <w:lang w:val="es-ES_tradnl"/>
        </w:rPr>
        <w:t>23</w:t>
      </w:r>
      <w:r w:rsidR="00985A66">
        <w:rPr>
          <w:rFonts w:ascii="ITC Avant Garde" w:eastAsia="Arial Unicode MS" w:hAnsi="ITC Avant Garde" w:cs="Arial"/>
          <w:bCs/>
          <w:u w:color="000000"/>
          <w:bdr w:val="nil"/>
          <w:lang w:val="es-ES_tradnl"/>
        </w:rPr>
        <w:t xml:space="preserve"> de </w:t>
      </w:r>
      <w:r w:rsidR="00F40F35">
        <w:rPr>
          <w:rFonts w:ascii="ITC Avant Garde" w:eastAsia="Arial Unicode MS" w:hAnsi="ITC Avant Garde" w:cs="Arial"/>
          <w:bCs/>
          <w:u w:color="000000"/>
          <w:bdr w:val="nil"/>
          <w:lang w:val="es-ES_tradnl"/>
        </w:rPr>
        <w:t>noviembre</w:t>
      </w:r>
      <w:r w:rsidRPr="00735FDE">
        <w:rPr>
          <w:rFonts w:ascii="ITC Avant Garde" w:eastAsia="Arial Unicode MS" w:hAnsi="ITC Avant Garde" w:cs="Arial"/>
          <w:bCs/>
          <w:u w:color="000000"/>
          <w:bdr w:val="nil"/>
          <w:lang w:val="es-ES_tradnl"/>
        </w:rPr>
        <w:t xml:space="preserve"> de 2017 se publicará en el Portal de Internet del Instituto, el calendario </w:t>
      </w:r>
      <w:r w:rsidR="00857948">
        <w:rPr>
          <w:rFonts w:ascii="ITC Avant Garde" w:eastAsia="Arial Unicode MS" w:hAnsi="ITC Avant Garde" w:cs="Arial"/>
          <w:bCs/>
          <w:u w:color="000000"/>
          <w:bdr w:val="nil"/>
          <w:lang w:val="es-ES_tradnl"/>
        </w:rPr>
        <w:t>con las</w:t>
      </w:r>
      <w:r w:rsidRPr="00735FDE">
        <w:rPr>
          <w:rFonts w:ascii="ITC Avant Garde" w:eastAsia="Arial Unicode MS" w:hAnsi="ITC Avant Garde" w:cs="Arial"/>
          <w:bCs/>
          <w:u w:color="000000"/>
          <w:bdr w:val="nil"/>
          <w:lang w:val="es-ES_tradnl"/>
        </w:rPr>
        <w:t xml:space="preserve"> fechas para la entrega de documentación física, así como los números de referencia para el pago de la</w:t>
      </w:r>
      <w:r w:rsidR="00CB72AB">
        <w:rPr>
          <w:rFonts w:ascii="ITC Avant Garde" w:eastAsia="Arial Unicode MS" w:hAnsi="ITC Avant Garde" w:cs="Arial"/>
          <w:bCs/>
          <w:u w:color="000000"/>
          <w:bdr w:val="nil"/>
          <w:lang w:val="es-ES_tradnl"/>
        </w:rPr>
        <w:t>s contraprestacio</w:t>
      </w:r>
      <w:r w:rsidRPr="00735FDE">
        <w:rPr>
          <w:rFonts w:ascii="ITC Avant Garde" w:eastAsia="Arial Unicode MS" w:hAnsi="ITC Avant Garde" w:cs="Arial"/>
          <w:bCs/>
          <w:u w:color="000000"/>
          <w:bdr w:val="nil"/>
          <w:lang w:val="es-ES_tradnl"/>
        </w:rPr>
        <w:t>n</w:t>
      </w:r>
      <w:r w:rsidR="00CB72AB">
        <w:rPr>
          <w:rFonts w:ascii="ITC Avant Garde" w:eastAsia="Arial Unicode MS" w:hAnsi="ITC Avant Garde" w:cs="Arial"/>
          <w:bCs/>
          <w:u w:color="000000"/>
          <w:bdr w:val="nil"/>
          <w:lang w:val="es-ES_tradnl"/>
        </w:rPr>
        <w:t>es</w:t>
      </w:r>
      <w:r w:rsidRPr="00735FDE">
        <w:rPr>
          <w:rFonts w:ascii="ITC Avant Garde" w:eastAsia="Arial Unicode MS" w:hAnsi="ITC Avant Garde" w:cs="Arial"/>
          <w:bCs/>
          <w:u w:color="000000"/>
          <w:bdr w:val="nil"/>
          <w:lang w:val="es-ES_tradnl"/>
        </w:rPr>
        <w:t xml:space="preserve"> en términos del numeral 5.4.1 de las Bases.</w:t>
      </w:r>
    </w:p>
    <w:p w14:paraId="7D271C8B" w14:textId="77777777" w:rsidR="00B156EB" w:rsidRDefault="00E05F79" w:rsidP="00B156EB">
      <w:pPr>
        <w:pBdr>
          <w:top w:val="nil"/>
          <w:left w:val="nil"/>
          <w:bottom w:val="nil"/>
          <w:right w:val="nil"/>
          <w:between w:val="nil"/>
          <w:bar w:val="nil"/>
        </w:pBdr>
        <w:spacing w:before="240" w:after="240" w:line="240" w:lineRule="auto"/>
        <w:contextualSpacing/>
        <w:jc w:val="both"/>
        <w:rPr>
          <w:rFonts w:ascii="ITC Avant Garde" w:eastAsia="Arial Unicode MS" w:hAnsi="ITC Avant Garde" w:cs="Arial"/>
          <w:bCs/>
          <w:u w:color="000000"/>
          <w:bdr w:val="nil"/>
          <w:lang w:val="es-ES_tradnl"/>
        </w:rPr>
      </w:pPr>
      <w:r w:rsidRPr="00735FDE">
        <w:rPr>
          <w:rFonts w:ascii="ITC Avant Garde" w:eastAsia="Arial Unicode MS" w:hAnsi="ITC Avant Garde" w:cs="Arial"/>
          <w:bCs/>
          <w:u w:color="000000"/>
          <w:bdr w:val="nil"/>
          <w:lang w:val="es-ES_tradnl"/>
        </w:rPr>
        <w:t xml:space="preserve">Una vez acreditadas las condiciones señaladas con anterioridad, y cumplido lo dispuesto en la presente Resolución por parte del Participante Ganador, </w:t>
      </w:r>
      <w:r w:rsidR="00CB43B2">
        <w:rPr>
          <w:rFonts w:ascii="ITC Avant Garde" w:eastAsia="Arial Unicode MS" w:hAnsi="ITC Avant Garde" w:cs="Arial"/>
          <w:bCs/>
          <w:u w:color="000000"/>
          <w:bdr w:val="nil"/>
          <w:lang w:val="es-ES_tradnl"/>
        </w:rPr>
        <w:t xml:space="preserve">en términos del numeral 5.4.4 de las Bases </w:t>
      </w:r>
      <w:r w:rsidRPr="00735FDE">
        <w:rPr>
          <w:rFonts w:ascii="ITC Avant Garde" w:eastAsia="Arial Unicode MS" w:hAnsi="ITC Avant Garde" w:cs="Arial"/>
          <w:bCs/>
          <w:u w:color="000000"/>
          <w:bdr w:val="nil"/>
          <w:lang w:val="es-ES_tradnl"/>
        </w:rPr>
        <w:t>se llevará a cabo la entrega de</w:t>
      </w:r>
      <w:r w:rsidR="00CB43B2">
        <w:rPr>
          <w:rFonts w:ascii="ITC Avant Garde" w:eastAsia="Arial Unicode MS" w:hAnsi="ITC Avant Garde" w:cs="Arial"/>
          <w:bCs/>
          <w:u w:color="000000"/>
          <w:bdr w:val="nil"/>
          <w:lang w:val="es-ES_tradnl"/>
        </w:rPr>
        <w:t xml:space="preserve"> un</w:t>
      </w:r>
      <w:r w:rsidRPr="00735FDE">
        <w:rPr>
          <w:rFonts w:ascii="ITC Avant Garde" w:eastAsia="Arial Unicode MS" w:hAnsi="ITC Avant Garde" w:cs="Arial"/>
          <w:bCs/>
          <w:u w:color="000000"/>
          <w:bdr w:val="nil"/>
          <w:lang w:val="es-ES_tradnl"/>
        </w:rPr>
        <w:t xml:space="preserve"> título de Concesión de Espectro Radioeléctrico para Uso Comercial a su favor, de conformidad con el Apéndice C de las Bases, y dentro del plazo establecido en el Calendario de Actividades de las mismas. En caso de que sea necesario un título de Concesión Única para Uso Comercial, en el mismo acto el Instituto le entregará dicho título de concesión considerando el modelo de título del Apéndice D de las Bases. </w:t>
      </w:r>
      <w:r w:rsidR="006B6B67">
        <w:rPr>
          <w:rFonts w:ascii="ITC Avant Garde" w:eastAsia="Arial Unicode MS" w:hAnsi="ITC Avant Garde" w:cs="Arial"/>
          <w:bCs/>
          <w:u w:color="000000"/>
          <w:bdr w:val="nil"/>
          <w:lang w:val="es-ES_tradnl"/>
        </w:rPr>
        <w:t>Cabe aclarar, que s</w:t>
      </w:r>
      <w:r w:rsidRPr="00735FDE">
        <w:rPr>
          <w:rFonts w:ascii="ITC Avant Garde" w:eastAsia="Arial Unicode MS" w:hAnsi="ITC Avant Garde" w:cs="Arial"/>
          <w:bCs/>
          <w:u w:color="000000"/>
          <w:bdr w:val="nil"/>
          <w:lang w:val="es-ES_tradnl"/>
        </w:rPr>
        <w:t xml:space="preserve">i el Participante Ganador cuenta con título de Concesión Única para Uso Comercial vigente no requerirá de uno nuevo. </w:t>
      </w:r>
    </w:p>
    <w:p w14:paraId="005F4667" w14:textId="77777777" w:rsidR="00B156EB" w:rsidRDefault="00E05F79" w:rsidP="00B156EB">
      <w:pPr>
        <w:pBdr>
          <w:top w:val="nil"/>
          <w:left w:val="nil"/>
          <w:bottom w:val="nil"/>
          <w:right w:val="nil"/>
          <w:between w:val="nil"/>
          <w:bar w:val="nil"/>
        </w:pBdr>
        <w:spacing w:before="240" w:after="240" w:line="240" w:lineRule="auto"/>
        <w:contextualSpacing/>
        <w:jc w:val="both"/>
        <w:rPr>
          <w:rFonts w:ascii="ITC Avant Garde" w:eastAsia="Arial Unicode MS" w:hAnsi="ITC Avant Garde" w:cs="Arial"/>
          <w:bCs/>
          <w:u w:color="000000"/>
          <w:bdr w:val="nil"/>
          <w:lang w:val="es-ES_tradnl"/>
        </w:rPr>
      </w:pPr>
      <w:r w:rsidRPr="00DA0FE0">
        <w:rPr>
          <w:rFonts w:ascii="ITC Avant Garde" w:eastAsia="Arial Unicode MS" w:hAnsi="ITC Avant Garde" w:cs="Arial"/>
          <w:bCs/>
          <w:u w:color="000000"/>
          <w:bdr w:val="nil"/>
          <w:lang w:val="es-ES_tradnl"/>
        </w:rPr>
        <w:t>En relación al otorgamiento de</w:t>
      </w:r>
      <w:r w:rsidR="00DA0FE0" w:rsidRPr="00DA0FE0">
        <w:rPr>
          <w:rFonts w:ascii="ITC Avant Garde" w:eastAsia="Arial Unicode MS" w:hAnsi="ITC Avant Garde" w:cs="Arial"/>
          <w:bCs/>
          <w:u w:color="000000"/>
          <w:bdr w:val="nil"/>
          <w:lang w:val="es-ES_tradnl"/>
        </w:rPr>
        <w:t>l</w:t>
      </w:r>
      <w:r w:rsidR="005D5260" w:rsidRPr="00DA0FE0">
        <w:rPr>
          <w:rFonts w:ascii="ITC Avant Garde" w:eastAsia="Arial Unicode MS" w:hAnsi="ITC Avant Garde" w:cs="Arial"/>
          <w:bCs/>
          <w:u w:color="000000"/>
          <w:bdr w:val="nil"/>
          <w:lang w:val="es-ES_tradnl"/>
        </w:rPr>
        <w:t xml:space="preserve"> </w:t>
      </w:r>
      <w:r w:rsidRPr="00DA0FE0">
        <w:rPr>
          <w:rFonts w:ascii="ITC Avant Garde" w:eastAsia="Arial Unicode MS" w:hAnsi="ITC Avant Garde" w:cs="Arial"/>
          <w:bCs/>
          <w:u w:color="000000"/>
          <w:bdr w:val="nil"/>
          <w:lang w:val="es-ES_tradnl"/>
        </w:rPr>
        <w:t xml:space="preserve">título de Concesión de Espectro Radioeléctrico para Uso Comercial y </w:t>
      </w:r>
      <w:r w:rsidR="00DD5EAC">
        <w:rPr>
          <w:rFonts w:ascii="ITC Avant Garde" w:eastAsia="Arial Unicode MS" w:hAnsi="ITC Avant Garde" w:cs="Arial"/>
          <w:bCs/>
          <w:u w:color="000000"/>
          <w:bdr w:val="nil"/>
          <w:lang w:val="es-ES_tradnl"/>
        </w:rPr>
        <w:t xml:space="preserve">en su caso, </w:t>
      </w:r>
      <w:r w:rsidRPr="00DA0FE0">
        <w:rPr>
          <w:rFonts w:ascii="ITC Avant Garde" w:eastAsia="Arial Unicode MS" w:hAnsi="ITC Avant Garde" w:cs="Arial"/>
          <w:bCs/>
          <w:u w:color="000000"/>
          <w:bdr w:val="nil"/>
          <w:lang w:val="es-ES_tradnl"/>
        </w:rPr>
        <w:t xml:space="preserve">del título de Concesión Única para Uso Comercial, el </w:t>
      </w:r>
      <w:r w:rsidR="00985A66" w:rsidRPr="00DA0FE0">
        <w:rPr>
          <w:rFonts w:ascii="ITC Avant Garde" w:eastAsia="Arial Unicode MS" w:hAnsi="ITC Avant Garde" w:cs="Arial"/>
          <w:bCs/>
          <w:u w:color="000000"/>
          <w:bdr w:val="nil"/>
          <w:lang w:val="es-ES_tradnl"/>
        </w:rPr>
        <w:t>6</w:t>
      </w:r>
      <w:r w:rsidRPr="00DA0FE0">
        <w:rPr>
          <w:rFonts w:ascii="ITC Avant Garde" w:eastAsia="Arial Unicode MS" w:hAnsi="ITC Avant Garde" w:cs="Arial"/>
          <w:u w:color="000000"/>
          <w:bdr w:val="nil"/>
          <w:lang w:val="es-ES_tradnl"/>
        </w:rPr>
        <w:t xml:space="preserve"> de </w:t>
      </w:r>
      <w:r w:rsidR="00985A66" w:rsidRPr="00DA0FE0">
        <w:rPr>
          <w:rFonts w:ascii="ITC Avant Garde" w:eastAsia="Arial Unicode MS" w:hAnsi="ITC Avant Garde" w:cs="Arial"/>
          <w:u w:color="000000"/>
          <w:bdr w:val="nil"/>
          <w:lang w:val="es-ES_tradnl"/>
        </w:rPr>
        <w:t>octubre</w:t>
      </w:r>
      <w:r w:rsidRPr="00DA0FE0">
        <w:rPr>
          <w:rFonts w:ascii="ITC Avant Garde" w:eastAsia="Arial Unicode MS" w:hAnsi="ITC Avant Garde" w:cs="Arial"/>
          <w:u w:color="000000"/>
          <w:bdr w:val="nil"/>
          <w:lang w:val="es-ES_tradnl"/>
        </w:rPr>
        <w:t xml:space="preserve"> de 2017</w:t>
      </w:r>
      <w:r w:rsidRPr="00DA0FE0">
        <w:rPr>
          <w:rFonts w:ascii="ITC Avant Garde" w:eastAsia="Arial Unicode MS" w:hAnsi="ITC Avant Garde" w:cs="Arial"/>
          <w:bCs/>
          <w:u w:color="000000"/>
          <w:bdr w:val="nil"/>
          <w:lang w:val="es-ES_tradnl"/>
        </w:rPr>
        <w:t xml:space="preserve"> el Participante Ganador</w:t>
      </w:r>
      <w:r w:rsidR="00F40F35">
        <w:rPr>
          <w:rFonts w:ascii="ITC Avant Garde" w:eastAsia="Arial Unicode MS" w:hAnsi="ITC Avant Garde" w:cs="Arial"/>
          <w:bCs/>
          <w:u w:color="000000"/>
          <w:bdr w:val="nil"/>
          <w:lang w:val="es-ES_tradnl"/>
        </w:rPr>
        <w:t>,</w:t>
      </w:r>
      <w:r w:rsidRPr="00DA0FE0">
        <w:rPr>
          <w:rFonts w:ascii="ITC Avant Garde" w:eastAsia="Arial Unicode MS" w:hAnsi="ITC Avant Garde" w:cs="Arial"/>
          <w:bCs/>
          <w:u w:color="000000"/>
          <w:bdr w:val="nil"/>
          <w:lang w:val="es-ES_tradnl"/>
        </w:rPr>
        <w:t xml:space="preserve"> en términos de lo previsto en el numeral 5.2.</w:t>
      </w:r>
      <w:r w:rsidR="00A03695" w:rsidRPr="00DA0FE0">
        <w:rPr>
          <w:rFonts w:ascii="ITC Avant Garde" w:eastAsia="Arial Unicode MS" w:hAnsi="ITC Avant Garde" w:cs="Arial"/>
          <w:bCs/>
          <w:u w:color="000000"/>
          <w:bdr w:val="nil"/>
          <w:lang w:val="es-ES_tradnl"/>
        </w:rPr>
        <w:t>1</w:t>
      </w:r>
      <w:r w:rsidRPr="00DA0FE0">
        <w:rPr>
          <w:rFonts w:ascii="ITC Avant Garde" w:eastAsia="Arial Unicode MS" w:hAnsi="ITC Avant Garde" w:cs="Arial"/>
          <w:bCs/>
          <w:u w:color="000000"/>
          <w:bdr w:val="nil"/>
          <w:lang w:val="es-ES_tradnl"/>
        </w:rPr>
        <w:t xml:space="preserve"> de las Bases</w:t>
      </w:r>
      <w:r w:rsidR="007D004C" w:rsidRPr="00DA0FE0">
        <w:rPr>
          <w:rFonts w:ascii="ITC Avant Garde" w:eastAsia="Arial Unicode MS" w:hAnsi="ITC Avant Garde" w:cs="Arial"/>
          <w:bCs/>
          <w:u w:color="000000"/>
          <w:bdr w:val="nil"/>
          <w:lang w:val="es-ES_tradnl"/>
        </w:rPr>
        <w:t>,</w:t>
      </w:r>
      <w:r w:rsidRPr="00DA0FE0">
        <w:rPr>
          <w:rFonts w:ascii="ITC Avant Garde" w:eastAsia="Arial Unicode MS" w:hAnsi="ITC Avant Garde" w:cs="Arial"/>
          <w:bCs/>
          <w:u w:color="000000"/>
          <w:bdr w:val="nil"/>
          <w:lang w:val="es-ES_tradnl"/>
        </w:rPr>
        <w:t xml:space="preserve"> entregó el comprobante del pago de derechos por el estudio de la solicitud y, en su caso, por la expedición de los títulos de concesión en comento, de conformidad con lo previsto en la Ley Federal de Derechos, en su artículo 173, fracción I del inciso A, y </w:t>
      </w:r>
      <w:r w:rsidR="008708DA">
        <w:rPr>
          <w:rFonts w:ascii="ITC Avant Garde" w:eastAsia="Arial Unicode MS" w:hAnsi="ITC Avant Garde" w:cs="Arial"/>
          <w:bCs/>
          <w:u w:color="000000"/>
          <w:bdr w:val="nil"/>
          <w:lang w:val="es-ES_tradnl"/>
        </w:rPr>
        <w:t>último</w:t>
      </w:r>
      <w:r w:rsidR="008708DA" w:rsidRPr="00DA0FE0">
        <w:rPr>
          <w:rFonts w:ascii="ITC Avant Garde" w:eastAsia="Arial Unicode MS" w:hAnsi="ITC Avant Garde" w:cs="Arial"/>
          <w:bCs/>
          <w:u w:color="000000"/>
          <w:bdr w:val="nil"/>
          <w:lang w:val="es-ES_tradnl"/>
        </w:rPr>
        <w:t xml:space="preserve"> </w:t>
      </w:r>
      <w:r w:rsidRPr="00DA0FE0">
        <w:rPr>
          <w:rFonts w:ascii="ITC Avant Garde" w:eastAsia="Arial Unicode MS" w:hAnsi="ITC Avant Garde" w:cs="Arial"/>
          <w:bCs/>
          <w:u w:color="000000"/>
          <w:bdr w:val="nil"/>
          <w:lang w:val="es-ES_tradnl"/>
        </w:rPr>
        <w:t>párrafo.</w:t>
      </w:r>
    </w:p>
    <w:p w14:paraId="7D820C44" w14:textId="77777777" w:rsidR="00B156EB" w:rsidRDefault="00E05F79" w:rsidP="00B156EB">
      <w:pPr>
        <w:pBdr>
          <w:top w:val="nil"/>
          <w:left w:val="nil"/>
          <w:bottom w:val="nil"/>
          <w:right w:val="nil"/>
          <w:between w:val="nil"/>
          <w:bar w:val="nil"/>
        </w:pBdr>
        <w:spacing w:before="240" w:after="240" w:line="240" w:lineRule="auto"/>
        <w:contextualSpacing/>
        <w:jc w:val="both"/>
        <w:rPr>
          <w:rFonts w:ascii="ITC Avant Garde" w:eastAsia="Arial Unicode MS" w:hAnsi="ITC Avant Garde" w:cs="Arial"/>
          <w:bCs/>
          <w:u w:color="000000"/>
          <w:bdr w:val="nil"/>
          <w:lang w:val="es-ES_tradnl"/>
        </w:rPr>
      </w:pPr>
      <w:r w:rsidRPr="00735FDE">
        <w:rPr>
          <w:rFonts w:ascii="ITC Avant Garde" w:eastAsia="Arial Unicode MS" w:hAnsi="ITC Avant Garde" w:cs="Arial"/>
          <w:bCs/>
          <w:u w:color="000000"/>
          <w:bdr w:val="nil"/>
          <w:lang w:val="es-ES_tradnl"/>
        </w:rPr>
        <w:t>El otorgamiento de las concesiones correspondientes a que se refiere la presente Resolución se encuentra sujeto al cumplimiento de las condiciones a que se refiere el presente</w:t>
      </w:r>
      <w:r w:rsidR="005D732B">
        <w:rPr>
          <w:rFonts w:ascii="ITC Avant Garde" w:eastAsia="Arial Unicode MS" w:hAnsi="ITC Avant Garde" w:cs="Arial"/>
          <w:bCs/>
          <w:u w:color="000000"/>
          <w:bdr w:val="nil"/>
          <w:lang w:val="es-ES_tradnl"/>
        </w:rPr>
        <w:t xml:space="preserve"> apartado considerativo</w:t>
      </w:r>
      <w:r w:rsidRPr="00735FDE">
        <w:rPr>
          <w:rFonts w:ascii="ITC Avant Garde" w:eastAsia="Arial Unicode MS" w:hAnsi="ITC Avant Garde" w:cs="Arial"/>
          <w:bCs/>
          <w:u w:color="000000"/>
          <w:bdr w:val="nil"/>
          <w:lang w:val="es-ES_tradnl"/>
        </w:rPr>
        <w:t>, lo cual deberá verificarse por la UER.</w:t>
      </w:r>
    </w:p>
    <w:p w14:paraId="6509D995" w14:textId="77777777" w:rsidR="00B156EB" w:rsidRDefault="00E05F79" w:rsidP="00B156EB">
      <w:pPr>
        <w:pBdr>
          <w:top w:val="nil"/>
          <w:left w:val="nil"/>
          <w:bottom w:val="nil"/>
          <w:right w:val="nil"/>
          <w:between w:val="nil"/>
          <w:bar w:val="nil"/>
        </w:pBdr>
        <w:spacing w:before="240" w:after="240" w:line="240" w:lineRule="auto"/>
        <w:contextualSpacing/>
        <w:jc w:val="both"/>
        <w:rPr>
          <w:rFonts w:ascii="ITC Avant Garde" w:eastAsia="Arial Unicode MS" w:hAnsi="ITC Avant Garde" w:cs="Arial"/>
          <w:bCs/>
          <w:u w:color="000000"/>
          <w:bdr w:val="nil"/>
          <w:lang w:val="es-ES_tradnl"/>
        </w:rPr>
      </w:pPr>
      <w:r w:rsidRPr="00735FDE">
        <w:rPr>
          <w:rFonts w:ascii="ITC Avant Garde" w:eastAsia="Arial Unicode MS" w:hAnsi="ITC Avant Garde" w:cs="Arial"/>
          <w:bCs/>
          <w:u w:color="000000"/>
          <w:bdr w:val="nil"/>
          <w:lang w:val="es-ES_tradnl"/>
        </w:rPr>
        <w:t>En términos de</w:t>
      </w:r>
      <w:r w:rsidR="00A03695">
        <w:rPr>
          <w:rFonts w:ascii="ITC Avant Garde" w:eastAsia="Arial Unicode MS" w:hAnsi="ITC Avant Garde" w:cs="Arial"/>
          <w:bCs/>
          <w:u w:color="000000"/>
          <w:bdr w:val="nil"/>
          <w:lang w:val="es-ES_tradnl"/>
        </w:rPr>
        <w:t xml:space="preserve"> </w:t>
      </w:r>
      <w:r w:rsidRPr="00735FDE">
        <w:rPr>
          <w:rFonts w:ascii="ITC Avant Garde" w:eastAsia="Arial Unicode MS" w:hAnsi="ITC Avant Garde" w:cs="Arial"/>
          <w:bCs/>
          <w:u w:color="000000"/>
          <w:bdr w:val="nil"/>
          <w:lang w:val="es-ES_tradnl"/>
        </w:rPr>
        <w:t>l</w:t>
      </w:r>
      <w:r w:rsidR="00A03695">
        <w:rPr>
          <w:rFonts w:ascii="ITC Avant Garde" w:eastAsia="Arial Unicode MS" w:hAnsi="ITC Avant Garde" w:cs="Arial"/>
          <w:bCs/>
          <w:u w:color="000000"/>
          <w:bdr w:val="nil"/>
          <w:lang w:val="es-ES_tradnl"/>
        </w:rPr>
        <w:t>os</w:t>
      </w:r>
      <w:r w:rsidRPr="00735FDE">
        <w:rPr>
          <w:rFonts w:ascii="ITC Avant Garde" w:eastAsia="Arial Unicode MS" w:hAnsi="ITC Avant Garde" w:cs="Arial"/>
          <w:bCs/>
          <w:u w:color="000000"/>
          <w:bdr w:val="nil"/>
          <w:lang w:val="es-ES_tradnl"/>
        </w:rPr>
        <w:t xml:space="preserve"> numeral</w:t>
      </w:r>
      <w:r w:rsidR="00A03695">
        <w:rPr>
          <w:rFonts w:ascii="ITC Avant Garde" w:eastAsia="Arial Unicode MS" w:hAnsi="ITC Avant Garde" w:cs="Arial"/>
          <w:bCs/>
          <w:u w:color="000000"/>
          <w:bdr w:val="nil"/>
          <w:lang w:val="es-ES_tradnl"/>
        </w:rPr>
        <w:t>es</w:t>
      </w:r>
      <w:r w:rsidRPr="00735FDE">
        <w:rPr>
          <w:rFonts w:ascii="ITC Avant Garde" w:eastAsia="Arial Unicode MS" w:hAnsi="ITC Avant Garde" w:cs="Arial"/>
          <w:bCs/>
          <w:u w:color="000000"/>
          <w:bdr w:val="nil"/>
          <w:lang w:val="es-ES_tradnl"/>
        </w:rPr>
        <w:t xml:space="preserve"> 13</w:t>
      </w:r>
      <w:r w:rsidR="00985A66">
        <w:rPr>
          <w:rFonts w:ascii="ITC Avant Garde" w:eastAsia="Arial Unicode MS" w:hAnsi="ITC Avant Garde" w:cs="Arial"/>
          <w:bCs/>
          <w:u w:color="000000"/>
          <w:bdr w:val="nil"/>
          <w:lang w:val="es-ES_tradnl"/>
        </w:rPr>
        <w:t>.1</w:t>
      </w:r>
      <w:r w:rsidR="00A03695">
        <w:rPr>
          <w:rFonts w:ascii="ITC Avant Garde" w:eastAsia="Arial Unicode MS" w:hAnsi="ITC Avant Garde" w:cs="Arial"/>
          <w:bCs/>
          <w:u w:color="000000"/>
          <w:bdr w:val="nil"/>
          <w:lang w:val="es-ES_tradnl"/>
        </w:rPr>
        <w:t xml:space="preserve"> y 13.2</w:t>
      </w:r>
      <w:r w:rsidRPr="00735FDE">
        <w:rPr>
          <w:rFonts w:ascii="ITC Avant Garde" w:eastAsia="Arial Unicode MS" w:hAnsi="ITC Avant Garde" w:cs="Arial"/>
          <w:bCs/>
          <w:u w:color="000000"/>
          <w:bdr w:val="nil"/>
          <w:lang w:val="es-ES_tradnl"/>
        </w:rPr>
        <w:t xml:space="preserve"> de las Bases, </w:t>
      </w:r>
      <w:r w:rsidR="00DA0FE0">
        <w:rPr>
          <w:rFonts w:ascii="ITC Avant Garde" w:eastAsia="Arial Unicode MS" w:hAnsi="ITC Avant Garde" w:cs="Arial"/>
          <w:bCs/>
          <w:u w:color="000000"/>
          <w:bdr w:val="nil"/>
          <w:lang w:val="es-ES_tradnl"/>
        </w:rPr>
        <w:t>el</w:t>
      </w:r>
      <w:r w:rsidRPr="00735FDE">
        <w:rPr>
          <w:rFonts w:ascii="ITC Avant Garde" w:eastAsia="Arial Unicode MS" w:hAnsi="ITC Avant Garde" w:cs="Arial"/>
          <w:bCs/>
          <w:u w:color="000000"/>
          <w:bdr w:val="nil"/>
          <w:lang w:val="es-ES_tradnl"/>
        </w:rPr>
        <w:t xml:space="preserve"> </w:t>
      </w:r>
      <w:r w:rsidR="006B19C9">
        <w:rPr>
          <w:rFonts w:ascii="ITC Avant Garde" w:eastAsia="Arial Unicode MS" w:hAnsi="ITC Avant Garde" w:cs="Arial"/>
          <w:bCs/>
          <w:u w:color="000000"/>
          <w:bdr w:val="nil"/>
          <w:lang w:val="es-ES_tradnl"/>
        </w:rPr>
        <w:t>t</w:t>
      </w:r>
      <w:r w:rsidRPr="00735FDE">
        <w:rPr>
          <w:rFonts w:ascii="ITC Avant Garde" w:eastAsia="Arial Unicode MS" w:hAnsi="ITC Avant Garde" w:cs="Arial"/>
          <w:bCs/>
          <w:u w:color="000000"/>
          <w:bdr w:val="nil"/>
          <w:lang w:val="es-ES_tradnl"/>
        </w:rPr>
        <w:t>ítulo de Concesión de Espectro Radioeléctrico para Uso Comercial</w:t>
      </w:r>
      <w:r w:rsidR="008708DA">
        <w:rPr>
          <w:rFonts w:ascii="ITC Avant Garde" w:eastAsia="Arial Unicode MS" w:hAnsi="ITC Avant Garde" w:cs="Arial"/>
          <w:bCs/>
          <w:u w:color="000000"/>
          <w:bdr w:val="nil"/>
          <w:lang w:val="es-ES_tradnl"/>
        </w:rPr>
        <w:t>, así como el título de Concesión Única para Uso Comercial</w:t>
      </w:r>
      <w:r w:rsidRPr="00735FDE">
        <w:rPr>
          <w:rFonts w:ascii="ITC Avant Garde" w:eastAsia="Arial Unicode MS" w:hAnsi="ITC Avant Garde" w:cs="Arial"/>
          <w:bCs/>
          <w:u w:color="000000"/>
          <w:bdr w:val="nil"/>
          <w:lang w:val="es-ES_tradnl"/>
        </w:rPr>
        <w:t xml:space="preserve"> tendrá</w:t>
      </w:r>
      <w:r w:rsidR="008708DA">
        <w:rPr>
          <w:rFonts w:ascii="ITC Avant Garde" w:eastAsia="Arial Unicode MS" w:hAnsi="ITC Avant Garde" w:cs="Arial"/>
          <w:bCs/>
          <w:u w:color="000000"/>
          <w:bdr w:val="nil"/>
          <w:lang w:val="es-ES_tradnl"/>
        </w:rPr>
        <w:t>n</w:t>
      </w:r>
      <w:r w:rsidRPr="00735FDE">
        <w:rPr>
          <w:rFonts w:ascii="ITC Avant Garde" w:eastAsia="Arial Unicode MS" w:hAnsi="ITC Avant Garde" w:cs="Arial"/>
          <w:bCs/>
          <w:u w:color="000000"/>
          <w:bdr w:val="nil"/>
          <w:lang w:val="es-ES_tradnl"/>
        </w:rPr>
        <w:t xml:space="preserve"> una vigencia de 20 (veinte) años contados a partir de la fecha de su otorgamiento, los cuales podrán ser prorrogados en los términos establecidos en la Ley.</w:t>
      </w:r>
    </w:p>
    <w:p w14:paraId="3277CBA2" w14:textId="77777777" w:rsidR="00B156EB" w:rsidRDefault="00E05F79" w:rsidP="00B156EB">
      <w:pPr>
        <w:pBdr>
          <w:top w:val="nil"/>
          <w:left w:val="nil"/>
          <w:bottom w:val="nil"/>
          <w:right w:val="nil"/>
          <w:between w:val="nil"/>
          <w:bar w:val="nil"/>
        </w:pBdr>
        <w:spacing w:before="240" w:after="240" w:line="240" w:lineRule="auto"/>
        <w:contextualSpacing/>
        <w:jc w:val="both"/>
        <w:rPr>
          <w:rFonts w:ascii="ITC Avant Garde" w:eastAsia="Arial Unicode MS" w:hAnsi="ITC Avant Garde" w:cs="Arial"/>
          <w:bCs/>
          <w:u w:color="000000"/>
          <w:bdr w:val="nil"/>
          <w:lang w:val="es-ES_tradnl"/>
        </w:rPr>
      </w:pPr>
      <w:r w:rsidRPr="00735FDE">
        <w:rPr>
          <w:rFonts w:ascii="ITC Avant Garde" w:eastAsia="Arial Unicode MS" w:hAnsi="ITC Avant Garde" w:cs="Arial"/>
          <w:bCs/>
          <w:u w:color="000000"/>
          <w:bdr w:val="nil"/>
          <w:lang w:val="es-ES_tradnl"/>
        </w:rPr>
        <w:t xml:space="preserve">Por otra parte, de acuerdo con lo previsto en el numeral 5.4.1, </w:t>
      </w:r>
      <w:r w:rsidR="003E523A">
        <w:rPr>
          <w:rFonts w:ascii="ITC Avant Garde" w:eastAsia="Arial Unicode MS" w:hAnsi="ITC Avant Garde" w:cs="Arial"/>
          <w:bCs/>
          <w:u w:color="000000"/>
          <w:bdr w:val="nil"/>
          <w:lang w:val="es-ES_tradnl"/>
        </w:rPr>
        <w:t>séptimo</w:t>
      </w:r>
      <w:r w:rsidRPr="00735FDE">
        <w:rPr>
          <w:rFonts w:ascii="ITC Avant Garde" w:eastAsia="Arial Unicode MS" w:hAnsi="ITC Avant Garde" w:cs="Arial"/>
          <w:bCs/>
          <w:u w:color="000000"/>
          <w:bdr w:val="nil"/>
          <w:lang w:val="es-ES_tradnl"/>
        </w:rPr>
        <w:t xml:space="preserve"> párrafo de las Bases, en caso de incumplimiento de las condiciones anteriormente indicadas</w:t>
      </w:r>
      <w:r w:rsidR="00F9687F">
        <w:rPr>
          <w:rFonts w:ascii="ITC Avant Garde" w:eastAsia="Arial Unicode MS" w:hAnsi="ITC Avant Garde" w:cs="Arial"/>
          <w:bCs/>
          <w:u w:color="000000"/>
          <w:bdr w:val="nil"/>
          <w:lang w:val="es-ES_tradnl"/>
        </w:rPr>
        <w:t xml:space="preserve"> respecto</w:t>
      </w:r>
      <w:r w:rsidR="004D0DD8">
        <w:rPr>
          <w:rFonts w:ascii="ITC Avant Garde" w:eastAsia="Arial Unicode MS" w:hAnsi="ITC Avant Garde" w:cs="Arial"/>
          <w:bCs/>
          <w:u w:color="000000"/>
          <w:bdr w:val="nil"/>
          <w:lang w:val="es-ES_tradnl"/>
        </w:rPr>
        <w:t xml:space="preserve"> de</w:t>
      </w:r>
      <w:r w:rsidR="00F9687F">
        <w:rPr>
          <w:rFonts w:ascii="ITC Avant Garde" w:eastAsia="Arial Unicode MS" w:hAnsi="ITC Avant Garde" w:cs="Arial"/>
          <w:bCs/>
          <w:u w:color="000000"/>
          <w:bdr w:val="nil"/>
          <w:lang w:val="es-ES_tradnl"/>
        </w:rPr>
        <w:t xml:space="preserve"> uno o más Bloques</w:t>
      </w:r>
      <w:r w:rsidR="00DA0FE0">
        <w:rPr>
          <w:rFonts w:ascii="ITC Avant Garde" w:eastAsia="Arial Unicode MS" w:hAnsi="ITC Avant Garde" w:cs="Arial"/>
          <w:bCs/>
          <w:u w:color="000000"/>
          <w:bdr w:val="nil"/>
          <w:lang w:val="es-ES_tradnl"/>
        </w:rPr>
        <w:t xml:space="preserve"> asignados en la Fase Primaria</w:t>
      </w:r>
      <w:r w:rsidRPr="00735FDE">
        <w:rPr>
          <w:rFonts w:ascii="ITC Avant Garde" w:eastAsia="Arial Unicode MS" w:hAnsi="ITC Avant Garde" w:cs="Arial"/>
          <w:bCs/>
          <w:u w:color="000000"/>
          <w:bdr w:val="nil"/>
          <w:lang w:val="es-ES_tradnl"/>
        </w:rPr>
        <w:t>, quedará sin efectos el Acta de Fallo para el Part</w:t>
      </w:r>
      <w:r w:rsidR="00843D1B">
        <w:rPr>
          <w:rFonts w:ascii="ITC Avant Garde" w:eastAsia="Arial Unicode MS" w:hAnsi="ITC Avant Garde" w:cs="Arial"/>
          <w:bCs/>
          <w:u w:color="000000"/>
          <w:bdr w:val="nil"/>
          <w:lang w:val="es-ES_tradnl"/>
        </w:rPr>
        <w:t>icipante G</w:t>
      </w:r>
      <w:r w:rsidR="00EC58D7">
        <w:rPr>
          <w:rFonts w:ascii="ITC Avant Garde" w:eastAsia="Arial Unicode MS" w:hAnsi="ITC Avant Garde" w:cs="Arial"/>
          <w:bCs/>
          <w:u w:color="000000"/>
          <w:bdr w:val="nil"/>
          <w:lang w:val="es-ES_tradnl"/>
        </w:rPr>
        <w:t>anador</w:t>
      </w:r>
      <w:r w:rsidR="00843D1B">
        <w:rPr>
          <w:rFonts w:ascii="ITC Avant Garde" w:eastAsia="Arial Unicode MS" w:hAnsi="ITC Avant Garde" w:cs="Arial"/>
          <w:bCs/>
          <w:u w:color="000000"/>
          <w:bdr w:val="nil"/>
          <w:lang w:val="es-ES_tradnl"/>
        </w:rPr>
        <w:t xml:space="preserve"> </w:t>
      </w:r>
      <w:r w:rsidR="00DD5EAC">
        <w:rPr>
          <w:rFonts w:ascii="ITC Avant Garde" w:eastAsia="Arial Unicode MS" w:hAnsi="ITC Avant Garde" w:cs="Arial"/>
          <w:bCs/>
          <w:u w:color="000000"/>
          <w:bdr w:val="nil"/>
          <w:lang w:val="es-ES_tradnl"/>
        </w:rPr>
        <w:t>en relación</w:t>
      </w:r>
      <w:r w:rsidR="004D0DD8">
        <w:rPr>
          <w:rFonts w:ascii="ITC Avant Garde" w:eastAsia="Arial Unicode MS" w:hAnsi="ITC Avant Garde" w:cs="Arial"/>
          <w:bCs/>
          <w:u w:color="000000"/>
          <w:bdr w:val="nil"/>
          <w:lang w:val="es-ES_tradnl"/>
        </w:rPr>
        <w:t xml:space="preserve"> </w:t>
      </w:r>
      <w:r w:rsidR="00DD5EAC">
        <w:rPr>
          <w:rFonts w:ascii="ITC Avant Garde" w:eastAsia="Arial Unicode MS" w:hAnsi="ITC Avant Garde" w:cs="Arial"/>
          <w:bCs/>
          <w:u w:color="000000"/>
          <w:bdr w:val="nil"/>
          <w:lang w:val="es-ES_tradnl"/>
        </w:rPr>
        <w:t>al(</w:t>
      </w:r>
      <w:r w:rsidR="00F9687F">
        <w:rPr>
          <w:rFonts w:ascii="ITC Avant Garde" w:eastAsia="Arial Unicode MS" w:hAnsi="ITC Avant Garde" w:cs="Arial"/>
          <w:bCs/>
          <w:u w:color="000000"/>
          <w:bdr w:val="nil"/>
          <w:lang w:val="es-ES_tradnl"/>
        </w:rPr>
        <w:t>los)</w:t>
      </w:r>
      <w:r w:rsidR="00843D1B">
        <w:rPr>
          <w:rFonts w:ascii="ITC Avant Garde" w:eastAsia="Arial Unicode MS" w:hAnsi="ITC Avant Garde" w:cs="Arial"/>
          <w:bCs/>
          <w:u w:color="000000"/>
          <w:bdr w:val="nil"/>
          <w:lang w:val="es-ES_tradnl"/>
        </w:rPr>
        <w:t xml:space="preserve"> Bloque</w:t>
      </w:r>
      <w:r w:rsidR="00F9687F">
        <w:rPr>
          <w:rFonts w:ascii="ITC Avant Garde" w:eastAsia="Arial Unicode MS" w:hAnsi="ITC Avant Garde" w:cs="Arial"/>
          <w:bCs/>
          <w:u w:color="000000"/>
          <w:bdr w:val="nil"/>
          <w:lang w:val="es-ES_tradnl"/>
        </w:rPr>
        <w:t>(s)</w:t>
      </w:r>
      <w:r w:rsidR="00843D1B">
        <w:rPr>
          <w:rFonts w:ascii="ITC Avant Garde" w:eastAsia="Arial Unicode MS" w:hAnsi="ITC Avant Garde" w:cs="Arial"/>
          <w:bCs/>
          <w:u w:color="000000"/>
          <w:bdr w:val="nil"/>
          <w:lang w:val="es-ES_tradnl"/>
        </w:rPr>
        <w:t xml:space="preserve"> de que se trate</w:t>
      </w:r>
      <w:r w:rsidRPr="00735FDE">
        <w:rPr>
          <w:rFonts w:ascii="ITC Avant Garde" w:eastAsia="Arial Unicode MS" w:hAnsi="ITC Avant Garde" w:cs="Arial"/>
          <w:bCs/>
          <w:u w:color="000000"/>
          <w:bdr w:val="nil"/>
          <w:lang w:val="es-ES_tradnl"/>
        </w:rPr>
        <w:t xml:space="preserve">, </w:t>
      </w:r>
      <w:r w:rsidR="004D0DD8">
        <w:rPr>
          <w:rFonts w:ascii="ITC Avant Garde" w:eastAsia="Arial Unicode MS" w:hAnsi="ITC Avant Garde" w:cs="Arial"/>
          <w:bCs/>
          <w:u w:color="000000"/>
          <w:bdr w:val="nil"/>
          <w:lang w:val="es-ES_tradnl"/>
        </w:rPr>
        <w:t>motivo por el cual</w:t>
      </w:r>
      <w:r w:rsidRPr="00735FDE">
        <w:rPr>
          <w:rFonts w:ascii="ITC Avant Garde" w:eastAsia="Arial Unicode MS" w:hAnsi="ITC Avant Garde" w:cs="Arial"/>
          <w:bCs/>
          <w:u w:color="000000"/>
          <w:bdr w:val="nil"/>
          <w:lang w:val="es-ES_tradnl"/>
        </w:rPr>
        <w:t xml:space="preserve">  el Instituto procederá a declarar su descalificación, de </w:t>
      </w:r>
      <w:r w:rsidR="00975B58">
        <w:rPr>
          <w:rFonts w:ascii="ITC Avant Garde" w:eastAsia="Arial Unicode MS" w:hAnsi="ITC Avant Garde" w:cs="Arial"/>
          <w:bCs/>
          <w:u w:color="000000"/>
          <w:bdr w:val="nil"/>
          <w:lang w:val="es-ES_tradnl"/>
        </w:rPr>
        <w:t xml:space="preserve">conformidad </w:t>
      </w:r>
      <w:r w:rsidRPr="00735FDE">
        <w:rPr>
          <w:rFonts w:ascii="ITC Avant Garde" w:eastAsia="Arial Unicode MS" w:hAnsi="ITC Avant Garde" w:cs="Arial"/>
          <w:bCs/>
          <w:u w:color="000000"/>
          <w:bdr w:val="nil"/>
          <w:lang w:val="es-ES_tradnl"/>
        </w:rPr>
        <w:t>con el numeral 10.</w:t>
      </w:r>
      <w:r w:rsidR="00F62F7A">
        <w:rPr>
          <w:rFonts w:ascii="ITC Avant Garde" w:eastAsia="Arial Unicode MS" w:hAnsi="ITC Avant Garde" w:cs="Arial"/>
          <w:bCs/>
          <w:u w:color="000000"/>
          <w:bdr w:val="nil"/>
          <w:lang w:val="es-ES_tradnl"/>
        </w:rPr>
        <w:t>1 fracción IX</w:t>
      </w:r>
      <w:r w:rsidR="00F62F7A" w:rsidRPr="00735FDE">
        <w:rPr>
          <w:rFonts w:ascii="ITC Avant Garde" w:eastAsia="Arial Unicode MS" w:hAnsi="ITC Avant Garde" w:cs="Arial"/>
          <w:bCs/>
          <w:u w:color="000000"/>
          <w:bdr w:val="nil"/>
          <w:lang w:val="es-ES_tradnl"/>
        </w:rPr>
        <w:t xml:space="preserve"> </w:t>
      </w:r>
      <w:r w:rsidRPr="00735FDE">
        <w:rPr>
          <w:rFonts w:ascii="ITC Avant Garde" w:eastAsia="Arial Unicode MS" w:hAnsi="ITC Avant Garde" w:cs="Arial"/>
          <w:bCs/>
          <w:u w:color="000000"/>
          <w:bdr w:val="nil"/>
          <w:lang w:val="es-ES_tradnl"/>
        </w:rPr>
        <w:t>de las Bases y realizará las gestiones necesarias para la ejecución de la(s) Garantía(s) de Seriedad respectiva(s)</w:t>
      </w:r>
      <w:r w:rsidR="00F62F7A">
        <w:rPr>
          <w:rFonts w:ascii="ITC Avant Garde" w:eastAsia="Arial Unicode MS" w:hAnsi="ITC Avant Garde" w:cs="Arial"/>
          <w:bCs/>
          <w:u w:color="000000"/>
          <w:bdr w:val="nil"/>
          <w:lang w:val="es-ES_tradnl"/>
        </w:rPr>
        <w:t xml:space="preserve"> en términos de lo señalado en el numeral 10.3 de las Bases</w:t>
      </w:r>
      <w:r w:rsidRPr="00735FDE">
        <w:rPr>
          <w:rFonts w:ascii="ITC Avant Garde" w:eastAsia="Arial Unicode MS" w:hAnsi="ITC Avant Garde" w:cs="Arial"/>
          <w:bCs/>
          <w:u w:color="000000"/>
          <w:bdr w:val="nil"/>
          <w:lang w:val="es-ES_tradnl"/>
        </w:rPr>
        <w:t>.</w:t>
      </w:r>
    </w:p>
    <w:p w14:paraId="6F4E4D9D" w14:textId="0DD1E4A3" w:rsidR="00EC58D7" w:rsidRPr="00B156EB" w:rsidRDefault="00FC7C6C" w:rsidP="00B156EB">
      <w:pPr>
        <w:pBdr>
          <w:top w:val="nil"/>
          <w:left w:val="nil"/>
          <w:bottom w:val="nil"/>
          <w:right w:val="nil"/>
          <w:between w:val="nil"/>
          <w:bar w:val="nil"/>
        </w:pBdr>
        <w:spacing w:before="240" w:after="240" w:line="240" w:lineRule="auto"/>
        <w:contextualSpacing/>
        <w:jc w:val="both"/>
        <w:rPr>
          <w:rFonts w:ascii="ITC Avant Garde" w:eastAsia="Arial Unicode MS" w:hAnsi="ITC Avant Garde" w:cs="Arial"/>
          <w:bCs/>
          <w:u w:color="000000"/>
          <w:bdr w:val="nil"/>
          <w:lang w:val="es-ES_tradnl"/>
        </w:rPr>
      </w:pPr>
      <w:r>
        <w:rPr>
          <w:rFonts w:ascii="ITC Avant Garde" w:eastAsia="Arial Unicode MS" w:hAnsi="ITC Avant Garde" w:cs="Arial"/>
          <w:bCs/>
          <w:u w:color="000000"/>
          <w:bdr w:val="nil"/>
          <w:lang w:val="es-ES_tradnl"/>
        </w:rPr>
        <w:t>C</w:t>
      </w:r>
      <w:proofErr w:type="spellStart"/>
      <w:r>
        <w:rPr>
          <w:rFonts w:ascii="ITC Avant Garde" w:hAnsi="ITC Avant Garde"/>
        </w:rPr>
        <w:t>abe</w:t>
      </w:r>
      <w:proofErr w:type="spellEnd"/>
      <w:r>
        <w:rPr>
          <w:rFonts w:ascii="ITC Avant Garde" w:hAnsi="ITC Avant Garde"/>
        </w:rPr>
        <w:t xml:space="preserve"> señalar que, </w:t>
      </w:r>
      <w:r w:rsidR="00E22E35">
        <w:rPr>
          <w:rFonts w:ascii="ITC Avant Garde" w:hAnsi="ITC Avant Garde"/>
        </w:rPr>
        <w:t xml:space="preserve">para </w:t>
      </w:r>
      <w:r w:rsidR="00DC745F">
        <w:rPr>
          <w:rFonts w:ascii="ITC Avant Garde" w:hAnsi="ITC Avant Garde"/>
        </w:rPr>
        <w:t>e</w:t>
      </w:r>
      <w:r w:rsidR="00E22E35">
        <w:rPr>
          <w:rFonts w:ascii="ITC Avant Garde" w:hAnsi="ITC Avant Garde"/>
        </w:rPr>
        <w:t>l</w:t>
      </w:r>
      <w:r w:rsidR="00DC745F">
        <w:rPr>
          <w:rFonts w:ascii="ITC Avant Garde" w:hAnsi="ITC Avant Garde"/>
        </w:rPr>
        <w:t xml:space="preserve"> caso </w:t>
      </w:r>
      <w:r w:rsidR="00E22E35">
        <w:rPr>
          <w:rFonts w:ascii="ITC Avant Garde" w:hAnsi="ITC Avant Garde"/>
        </w:rPr>
        <w:t xml:space="preserve">de </w:t>
      </w:r>
      <w:r w:rsidR="00DC745F">
        <w:rPr>
          <w:rFonts w:ascii="ITC Avant Garde" w:hAnsi="ITC Avant Garde"/>
        </w:rPr>
        <w:t xml:space="preserve">que </w:t>
      </w:r>
      <w:r w:rsidR="006D2B02">
        <w:rPr>
          <w:rFonts w:ascii="ITC Avant Garde" w:hAnsi="ITC Avant Garde"/>
        </w:rPr>
        <w:t xml:space="preserve">el incumplimiento de las condiciones mencionadas </w:t>
      </w:r>
      <w:r w:rsidR="003D2CA1">
        <w:rPr>
          <w:rFonts w:ascii="ITC Avant Garde" w:hAnsi="ITC Avant Garde"/>
        </w:rPr>
        <w:t xml:space="preserve"> </w:t>
      </w:r>
      <w:r w:rsidR="00E22E35">
        <w:rPr>
          <w:rFonts w:ascii="ITC Avant Garde" w:hAnsi="ITC Avant Garde"/>
        </w:rPr>
        <w:t xml:space="preserve">se dé </w:t>
      </w:r>
      <w:r w:rsidR="00DA0FE0">
        <w:rPr>
          <w:rFonts w:ascii="ITC Avant Garde" w:hAnsi="ITC Avant Garde"/>
        </w:rPr>
        <w:t xml:space="preserve">respecto de uno o más Bloques asignados </w:t>
      </w:r>
      <w:r w:rsidR="00E22E35">
        <w:rPr>
          <w:rFonts w:ascii="ITC Avant Garde" w:hAnsi="ITC Avant Garde"/>
        </w:rPr>
        <w:t>en</w:t>
      </w:r>
      <w:r>
        <w:rPr>
          <w:rFonts w:ascii="ITC Avant Garde" w:hAnsi="ITC Avant Garde"/>
        </w:rPr>
        <w:t xml:space="preserve"> la Fase Secundaria, </w:t>
      </w:r>
      <w:r w:rsidR="00EC58D7" w:rsidRPr="00735FDE">
        <w:rPr>
          <w:rFonts w:ascii="ITC Avant Garde" w:eastAsia="Arial Unicode MS" w:hAnsi="ITC Avant Garde" w:cs="Arial"/>
          <w:bCs/>
          <w:u w:color="000000"/>
          <w:bdr w:val="nil"/>
          <w:lang w:val="es-ES_tradnl"/>
        </w:rPr>
        <w:lastRenderedPageBreak/>
        <w:t>quedará sin efectos el Acta de Fallo para el Part</w:t>
      </w:r>
      <w:r w:rsidR="00EC58D7">
        <w:rPr>
          <w:rFonts w:ascii="ITC Avant Garde" w:eastAsia="Arial Unicode MS" w:hAnsi="ITC Avant Garde" w:cs="Arial"/>
          <w:bCs/>
          <w:u w:color="000000"/>
          <w:bdr w:val="nil"/>
          <w:lang w:val="es-ES_tradnl"/>
        </w:rPr>
        <w:t xml:space="preserve">icipante Ganador respecto </w:t>
      </w:r>
      <w:r w:rsidR="00EC58D7">
        <w:rPr>
          <w:rFonts w:ascii="ITC Avant Garde" w:hAnsi="ITC Avant Garde"/>
        </w:rPr>
        <w:t>de</w:t>
      </w:r>
      <w:r>
        <w:rPr>
          <w:rFonts w:ascii="ITC Avant Garde" w:hAnsi="ITC Avant Garde"/>
        </w:rPr>
        <w:t xml:space="preserve"> todos los Bloques en los que </w:t>
      </w:r>
      <w:r w:rsidR="00DA0FE0">
        <w:rPr>
          <w:rFonts w:ascii="ITC Avant Garde" w:hAnsi="ITC Avant Garde"/>
        </w:rPr>
        <w:t>haya tenido p</w:t>
      </w:r>
      <w:r>
        <w:rPr>
          <w:rFonts w:ascii="ITC Avant Garde" w:hAnsi="ITC Avant Garde"/>
        </w:rPr>
        <w:t>articipación en dicha fase</w:t>
      </w:r>
      <w:r w:rsidR="00E22E35">
        <w:rPr>
          <w:rFonts w:ascii="ITC Avant Garde" w:hAnsi="ITC Avant Garde"/>
        </w:rPr>
        <w:t>, por lo que el Instituto</w:t>
      </w:r>
      <w:r w:rsidR="00FD7395" w:rsidRPr="00735FDE">
        <w:rPr>
          <w:rFonts w:ascii="ITC Avant Garde" w:eastAsia="Arial Unicode MS" w:hAnsi="ITC Avant Garde" w:cs="Arial"/>
          <w:bCs/>
          <w:u w:color="000000"/>
          <w:bdr w:val="nil"/>
          <w:lang w:val="es-ES_tradnl"/>
        </w:rPr>
        <w:t xml:space="preserve"> </w:t>
      </w:r>
      <w:r w:rsidR="006D2B02">
        <w:rPr>
          <w:rFonts w:ascii="ITC Avant Garde" w:eastAsia="Arial Unicode MS" w:hAnsi="ITC Avant Garde" w:cs="Arial"/>
          <w:bCs/>
          <w:u w:color="000000"/>
          <w:bdr w:val="nil"/>
          <w:lang w:val="es-ES_tradnl"/>
        </w:rPr>
        <w:t xml:space="preserve">descalificará al Participante Ganador respecto de dichos Bloques y </w:t>
      </w:r>
      <w:r w:rsidR="00FD7395" w:rsidRPr="00735FDE">
        <w:rPr>
          <w:rFonts w:ascii="ITC Avant Garde" w:eastAsia="Arial Unicode MS" w:hAnsi="ITC Avant Garde" w:cs="Arial"/>
          <w:bCs/>
          <w:u w:color="000000"/>
          <w:bdr w:val="nil"/>
          <w:lang w:val="es-ES_tradnl"/>
        </w:rPr>
        <w:t xml:space="preserve">realizará las gestiones necesarias para la </w:t>
      </w:r>
      <w:r w:rsidR="00FD7395">
        <w:rPr>
          <w:rFonts w:ascii="ITC Avant Garde" w:eastAsia="Arial Unicode MS" w:hAnsi="ITC Avant Garde" w:cs="Arial"/>
          <w:bCs/>
          <w:u w:color="000000"/>
          <w:bdr w:val="nil"/>
          <w:lang w:val="es-ES_tradnl"/>
        </w:rPr>
        <w:t xml:space="preserve">ejecución de la </w:t>
      </w:r>
      <w:r w:rsidR="00FD7395" w:rsidRPr="00735FDE">
        <w:rPr>
          <w:rFonts w:ascii="ITC Avant Garde" w:eastAsia="Arial Unicode MS" w:hAnsi="ITC Avant Garde" w:cs="Arial"/>
          <w:bCs/>
          <w:u w:color="000000"/>
          <w:bdr w:val="nil"/>
          <w:lang w:val="es-ES_tradnl"/>
        </w:rPr>
        <w:t xml:space="preserve">Garantía de Seriedad </w:t>
      </w:r>
      <w:r w:rsidR="00FD7395">
        <w:rPr>
          <w:rFonts w:ascii="ITC Avant Garde" w:eastAsia="Arial Unicode MS" w:hAnsi="ITC Avant Garde" w:cs="Arial"/>
          <w:bCs/>
          <w:u w:color="000000"/>
          <w:bdr w:val="nil"/>
          <w:lang w:val="es-ES_tradnl"/>
        </w:rPr>
        <w:t>correspondiente a la Fase Secundaria</w:t>
      </w:r>
      <w:r w:rsidR="00FD7395">
        <w:rPr>
          <w:rFonts w:ascii="ITC Avant Garde" w:hAnsi="ITC Avant Garde"/>
        </w:rPr>
        <w:t xml:space="preserve">, </w:t>
      </w:r>
      <w:r w:rsidR="00FD7395" w:rsidRPr="00735FDE">
        <w:rPr>
          <w:rFonts w:ascii="ITC Avant Garde" w:eastAsia="Arial Unicode MS" w:hAnsi="ITC Avant Garde" w:cs="Arial"/>
          <w:bCs/>
          <w:u w:color="000000"/>
          <w:bdr w:val="nil"/>
          <w:lang w:val="es-ES_tradnl"/>
        </w:rPr>
        <w:t xml:space="preserve">de </w:t>
      </w:r>
      <w:r w:rsidR="00FD7395">
        <w:rPr>
          <w:rFonts w:ascii="ITC Avant Garde" w:eastAsia="Arial Unicode MS" w:hAnsi="ITC Avant Garde" w:cs="Arial"/>
          <w:bCs/>
          <w:u w:color="000000"/>
          <w:bdr w:val="nil"/>
          <w:lang w:val="es-ES_tradnl"/>
        </w:rPr>
        <w:t xml:space="preserve">conformidad </w:t>
      </w:r>
      <w:r w:rsidR="00FD7395" w:rsidRPr="00735FDE">
        <w:rPr>
          <w:rFonts w:ascii="ITC Avant Garde" w:eastAsia="Arial Unicode MS" w:hAnsi="ITC Avant Garde" w:cs="Arial"/>
          <w:bCs/>
          <w:u w:color="000000"/>
          <w:bdr w:val="nil"/>
          <w:lang w:val="es-ES_tradnl"/>
        </w:rPr>
        <w:t>con el numeral 10.3</w:t>
      </w:r>
      <w:r w:rsidR="00F62F7A">
        <w:rPr>
          <w:rFonts w:ascii="ITC Avant Garde" w:eastAsia="Arial Unicode MS" w:hAnsi="ITC Avant Garde" w:cs="Arial"/>
          <w:bCs/>
          <w:u w:color="000000"/>
          <w:bdr w:val="nil"/>
          <w:lang w:val="es-ES_tradnl"/>
        </w:rPr>
        <w:t>,</w:t>
      </w:r>
      <w:r w:rsidR="00FD7395" w:rsidRPr="00735FDE">
        <w:rPr>
          <w:rFonts w:ascii="ITC Avant Garde" w:eastAsia="Arial Unicode MS" w:hAnsi="ITC Avant Garde" w:cs="Arial"/>
          <w:bCs/>
          <w:u w:color="000000"/>
          <w:bdr w:val="nil"/>
          <w:lang w:val="es-ES_tradnl"/>
        </w:rPr>
        <w:t xml:space="preserve"> </w:t>
      </w:r>
      <w:r w:rsidR="00F62F7A">
        <w:rPr>
          <w:rFonts w:ascii="ITC Avant Garde" w:eastAsia="Arial Unicode MS" w:hAnsi="ITC Avant Garde" w:cs="Arial"/>
          <w:bCs/>
          <w:u w:color="000000"/>
          <w:bdr w:val="nil"/>
          <w:lang w:val="es-ES_tradnl"/>
        </w:rPr>
        <w:t xml:space="preserve">en relación con el  10.1 </w:t>
      </w:r>
      <w:r w:rsidR="00FD7395" w:rsidRPr="00735FDE">
        <w:rPr>
          <w:rFonts w:ascii="ITC Avant Garde" w:eastAsia="Arial Unicode MS" w:hAnsi="ITC Avant Garde" w:cs="Arial"/>
          <w:bCs/>
          <w:u w:color="000000"/>
          <w:bdr w:val="nil"/>
          <w:lang w:val="es-ES_tradnl"/>
        </w:rPr>
        <w:t>de las Bases</w:t>
      </w:r>
      <w:r w:rsidR="00DA0FE0">
        <w:rPr>
          <w:rFonts w:ascii="ITC Avant Garde" w:eastAsia="Arial Unicode MS" w:hAnsi="ITC Avant Garde" w:cs="Arial"/>
          <w:bCs/>
          <w:u w:color="000000"/>
          <w:bdr w:val="nil"/>
          <w:lang w:val="es-ES_tradnl"/>
        </w:rPr>
        <w:t>.</w:t>
      </w:r>
    </w:p>
    <w:p w14:paraId="7F65A593" w14:textId="77777777" w:rsidR="00B156EB" w:rsidRDefault="00E05F79" w:rsidP="00B156EB">
      <w:pPr>
        <w:pBdr>
          <w:top w:val="nil"/>
          <w:left w:val="nil"/>
          <w:bottom w:val="nil"/>
          <w:right w:val="nil"/>
          <w:between w:val="nil"/>
          <w:bar w:val="nil"/>
        </w:pBdr>
        <w:spacing w:before="240" w:after="240" w:line="240" w:lineRule="auto"/>
        <w:contextualSpacing/>
        <w:jc w:val="both"/>
        <w:rPr>
          <w:rFonts w:ascii="ITC Avant Garde" w:hAnsi="ITC Avant Garde" w:cs="Arial"/>
        </w:rPr>
      </w:pPr>
      <w:r w:rsidRPr="00735FDE">
        <w:rPr>
          <w:rFonts w:ascii="ITC Avant Garde" w:hAnsi="ITC Avant Garde" w:cs="Arial"/>
        </w:rPr>
        <w:t>Por consiguiente, en caso de que el Participante Ganador no cumpla con las condiciones establecidas para el otorgamiento de</w:t>
      </w:r>
      <w:r w:rsidR="005D5260">
        <w:rPr>
          <w:rFonts w:ascii="ITC Avant Garde" w:hAnsi="ITC Avant Garde" w:cs="Arial"/>
        </w:rPr>
        <w:t xml:space="preserve"> </w:t>
      </w:r>
      <w:r w:rsidRPr="00735FDE">
        <w:rPr>
          <w:rFonts w:ascii="ITC Avant Garde" w:hAnsi="ITC Avant Garde" w:cs="Arial"/>
        </w:rPr>
        <w:t>l</w:t>
      </w:r>
      <w:r w:rsidR="005D5260">
        <w:rPr>
          <w:rFonts w:ascii="ITC Avant Garde" w:hAnsi="ITC Avant Garde" w:cs="Arial"/>
        </w:rPr>
        <w:t>os</w:t>
      </w:r>
      <w:r w:rsidRPr="00735FDE">
        <w:rPr>
          <w:rFonts w:ascii="ITC Avant Garde" w:hAnsi="ITC Avant Garde" w:cs="Arial"/>
        </w:rPr>
        <w:t xml:space="preserve"> título</w:t>
      </w:r>
      <w:r w:rsidR="005D5260">
        <w:rPr>
          <w:rFonts w:ascii="ITC Avant Garde" w:hAnsi="ITC Avant Garde" w:cs="Arial"/>
        </w:rPr>
        <w:t>s</w:t>
      </w:r>
      <w:r w:rsidRPr="00735FDE">
        <w:rPr>
          <w:rFonts w:ascii="ITC Avant Garde" w:hAnsi="ITC Avant Garde" w:cs="Arial"/>
        </w:rPr>
        <w:t xml:space="preserve"> de concesión dentro del período establecido para tal efecto, el Instituto procederá a asignar, a través de una nueva Acta de Fallo, el</w:t>
      </w:r>
      <w:r w:rsidR="00F9687F">
        <w:rPr>
          <w:rFonts w:ascii="ITC Avant Garde" w:hAnsi="ITC Avant Garde" w:cs="Arial"/>
        </w:rPr>
        <w:t>(los)</w:t>
      </w:r>
      <w:r w:rsidRPr="00735FDE">
        <w:rPr>
          <w:rFonts w:ascii="ITC Avant Garde" w:hAnsi="ITC Avant Garde" w:cs="Arial"/>
        </w:rPr>
        <w:t xml:space="preserve"> </w:t>
      </w:r>
      <w:r w:rsidR="00843D1B">
        <w:rPr>
          <w:rFonts w:ascii="ITC Avant Garde" w:hAnsi="ITC Avant Garde" w:cs="Arial"/>
        </w:rPr>
        <w:t>Bloque</w:t>
      </w:r>
      <w:r w:rsidR="00F9687F">
        <w:rPr>
          <w:rFonts w:ascii="ITC Avant Garde" w:hAnsi="ITC Avant Garde" w:cs="Arial"/>
        </w:rPr>
        <w:t>(s)</w:t>
      </w:r>
      <w:r w:rsidRPr="00735FDE">
        <w:rPr>
          <w:rFonts w:ascii="ITC Avant Garde" w:hAnsi="ITC Avant Garde" w:cs="Arial"/>
        </w:rPr>
        <w:t xml:space="preserve"> al Participante con el Puntaje Subsecuente más Alto que haya manifestado su interés en continuar en el proce</w:t>
      </w:r>
      <w:r w:rsidR="00CD0431">
        <w:rPr>
          <w:rFonts w:ascii="ITC Avant Garde" w:hAnsi="ITC Avant Garde" w:cs="Arial"/>
        </w:rPr>
        <w:t>dimiento</w:t>
      </w:r>
      <w:r w:rsidRPr="00735FDE">
        <w:rPr>
          <w:rFonts w:ascii="ITC Avant Garde" w:hAnsi="ITC Avant Garde" w:cs="Arial"/>
        </w:rPr>
        <w:t xml:space="preserve">, en términos de Apéndice H de las Bases, </w:t>
      </w:r>
      <w:r w:rsidR="005D732B">
        <w:rPr>
          <w:rFonts w:ascii="ITC Avant Garde" w:hAnsi="ITC Avant Garde" w:cs="Arial"/>
        </w:rPr>
        <w:t xml:space="preserve">una vez realizada la </w:t>
      </w:r>
      <w:r w:rsidRPr="00735FDE">
        <w:rPr>
          <w:rFonts w:ascii="ITC Avant Garde" w:hAnsi="ITC Avant Garde" w:cs="Arial"/>
        </w:rPr>
        <w:t xml:space="preserve"> descalificación del</w:t>
      </w:r>
      <w:r w:rsidR="00843D1B">
        <w:rPr>
          <w:rFonts w:ascii="ITC Avant Garde" w:hAnsi="ITC Avant Garde" w:cs="Arial"/>
        </w:rPr>
        <w:t xml:space="preserve"> anterior Participante Ganador, de acuerdo a los casos siguientes:</w:t>
      </w:r>
    </w:p>
    <w:p w14:paraId="555C3181" w14:textId="77777777" w:rsidR="00B156EB" w:rsidRDefault="00843D1B" w:rsidP="00B156EB">
      <w:pPr>
        <w:pBdr>
          <w:top w:val="nil"/>
          <w:left w:val="nil"/>
          <w:bottom w:val="nil"/>
          <w:right w:val="nil"/>
          <w:between w:val="nil"/>
          <w:bar w:val="nil"/>
        </w:pBdr>
        <w:spacing w:before="240" w:after="240" w:line="240" w:lineRule="auto"/>
        <w:ind w:left="709"/>
        <w:contextualSpacing/>
        <w:jc w:val="both"/>
        <w:rPr>
          <w:rFonts w:ascii="ITC Avant Garde" w:hAnsi="ITC Avant Garde" w:cs="Arial"/>
        </w:rPr>
      </w:pPr>
      <w:r w:rsidRPr="00843D1B">
        <w:rPr>
          <w:rFonts w:ascii="ITC Avant Garde" w:hAnsi="ITC Avant Garde" w:cs="Arial"/>
        </w:rPr>
        <w:t>-</w:t>
      </w:r>
      <w:r w:rsidRPr="00843D1B">
        <w:rPr>
          <w:rFonts w:ascii="ITC Avant Garde" w:hAnsi="ITC Avant Garde" w:cs="Arial"/>
        </w:rPr>
        <w:tab/>
        <w:t>Si existe únicamente un Participante con el Puntaje Subsecuente más Alto para un Bloque específico, y éste ha manifestado su interés en continuar en el proce</w:t>
      </w:r>
      <w:r w:rsidR="00CD0431">
        <w:rPr>
          <w:rFonts w:ascii="ITC Avant Garde" w:hAnsi="ITC Avant Garde" w:cs="Arial"/>
        </w:rPr>
        <w:t>dimiento</w:t>
      </w:r>
      <w:r w:rsidR="00866023">
        <w:rPr>
          <w:rFonts w:ascii="ITC Avant Garde" w:hAnsi="ITC Avant Garde" w:cs="Arial"/>
        </w:rPr>
        <w:t xml:space="preserve">, </w:t>
      </w:r>
      <w:r w:rsidR="00866023" w:rsidRPr="00843D1B">
        <w:rPr>
          <w:rFonts w:ascii="ITC Avant Garde" w:hAnsi="ITC Avant Garde" w:cs="Arial"/>
        </w:rPr>
        <w:t>se emitirá nueva Acta de Fallo</w:t>
      </w:r>
      <w:r w:rsidR="00866023">
        <w:rPr>
          <w:rFonts w:ascii="ITC Avant Garde" w:hAnsi="ITC Avant Garde" w:cs="Arial"/>
        </w:rPr>
        <w:t xml:space="preserve"> </w:t>
      </w:r>
      <w:r w:rsidR="00CD0431">
        <w:rPr>
          <w:rFonts w:ascii="ITC Avant Garde" w:hAnsi="ITC Avant Garde" w:cs="Arial"/>
        </w:rPr>
        <w:t>a</w:t>
      </w:r>
      <w:r w:rsidR="00866023">
        <w:rPr>
          <w:rFonts w:ascii="ITC Avant Garde" w:hAnsi="ITC Avant Garde" w:cs="Arial"/>
        </w:rPr>
        <w:t xml:space="preserve"> </w:t>
      </w:r>
      <w:r w:rsidR="00C16D86">
        <w:rPr>
          <w:rFonts w:ascii="ITC Avant Garde" w:hAnsi="ITC Avant Garde" w:cs="Arial"/>
        </w:rPr>
        <w:t xml:space="preserve">su </w:t>
      </w:r>
      <w:r w:rsidR="00866023">
        <w:rPr>
          <w:rFonts w:ascii="ITC Avant Garde" w:hAnsi="ITC Avant Garde" w:cs="Arial"/>
        </w:rPr>
        <w:t>favor</w:t>
      </w:r>
      <w:r w:rsidRPr="00843D1B">
        <w:rPr>
          <w:rFonts w:ascii="ITC Avant Garde" w:hAnsi="ITC Avant Garde" w:cs="Arial"/>
        </w:rPr>
        <w:t>.</w:t>
      </w:r>
    </w:p>
    <w:p w14:paraId="6335E34D" w14:textId="77777777" w:rsidR="00B156EB" w:rsidRDefault="00843D1B" w:rsidP="00B156EB">
      <w:pPr>
        <w:pBdr>
          <w:top w:val="nil"/>
          <w:left w:val="nil"/>
          <w:bottom w:val="nil"/>
          <w:right w:val="nil"/>
          <w:between w:val="nil"/>
          <w:bar w:val="nil"/>
        </w:pBdr>
        <w:spacing w:before="240" w:after="240" w:line="240" w:lineRule="auto"/>
        <w:ind w:left="709"/>
        <w:contextualSpacing/>
        <w:jc w:val="both"/>
        <w:rPr>
          <w:rFonts w:ascii="ITC Avant Garde" w:hAnsi="ITC Avant Garde" w:cs="Arial"/>
        </w:rPr>
      </w:pPr>
      <w:r w:rsidRPr="00843D1B">
        <w:rPr>
          <w:rFonts w:ascii="ITC Avant Garde" w:hAnsi="ITC Avant Garde" w:cs="Arial"/>
        </w:rPr>
        <w:t>-</w:t>
      </w:r>
      <w:r w:rsidRPr="00843D1B">
        <w:rPr>
          <w:rFonts w:ascii="ITC Avant Garde" w:hAnsi="ITC Avant Garde" w:cs="Arial"/>
        </w:rPr>
        <w:tab/>
        <w:t>Si existen dos o más Participantes (que hayan manifestado su interés en continuar en el proce</w:t>
      </w:r>
      <w:r w:rsidR="00CD0431">
        <w:rPr>
          <w:rFonts w:ascii="ITC Avant Garde" w:hAnsi="ITC Avant Garde" w:cs="Arial"/>
        </w:rPr>
        <w:t>dimiento</w:t>
      </w:r>
      <w:r w:rsidRPr="00843D1B">
        <w:rPr>
          <w:rFonts w:ascii="ITC Avant Garde" w:hAnsi="ITC Avant Garde" w:cs="Arial"/>
        </w:rPr>
        <w:t xml:space="preserve">) con Puntajes Subsecuentes más Altos, se emitirá nueva Acta de Fallo </w:t>
      </w:r>
      <w:r w:rsidR="00866023">
        <w:rPr>
          <w:rFonts w:ascii="ITC Avant Garde" w:hAnsi="ITC Avant Garde" w:cs="Arial"/>
        </w:rPr>
        <w:t>en favor de</w:t>
      </w:r>
      <w:r w:rsidR="00866023" w:rsidRPr="00843D1B">
        <w:rPr>
          <w:rFonts w:ascii="ITC Avant Garde" w:hAnsi="ITC Avant Garde" w:cs="Arial"/>
        </w:rPr>
        <w:t xml:space="preserve"> </w:t>
      </w:r>
      <w:r w:rsidRPr="00843D1B">
        <w:rPr>
          <w:rFonts w:ascii="ITC Avant Garde" w:hAnsi="ITC Avant Garde" w:cs="Arial"/>
        </w:rPr>
        <w:t>aqu</w:t>
      </w:r>
      <w:r w:rsidR="00CD0431">
        <w:rPr>
          <w:rFonts w:ascii="ITC Avant Garde" w:hAnsi="ITC Avant Garde" w:cs="Arial"/>
        </w:rPr>
        <w:t>é</w:t>
      </w:r>
      <w:r w:rsidRPr="00843D1B">
        <w:rPr>
          <w:rFonts w:ascii="ITC Avant Garde" w:hAnsi="ITC Avant Garde" w:cs="Arial"/>
        </w:rPr>
        <w:t>l que obtenga el Puntaje más Alto en el mecanismo de desempate.</w:t>
      </w:r>
    </w:p>
    <w:p w14:paraId="1D18E9CE" w14:textId="77777777" w:rsidR="00B156EB" w:rsidRDefault="00843D1B" w:rsidP="00B156EB">
      <w:pPr>
        <w:pBdr>
          <w:top w:val="nil"/>
          <w:left w:val="nil"/>
          <w:bottom w:val="nil"/>
          <w:right w:val="nil"/>
          <w:between w:val="nil"/>
          <w:bar w:val="nil"/>
        </w:pBdr>
        <w:spacing w:before="240" w:after="240" w:line="240" w:lineRule="auto"/>
        <w:ind w:left="709"/>
        <w:contextualSpacing/>
        <w:jc w:val="both"/>
        <w:rPr>
          <w:rFonts w:ascii="ITC Avant Garde" w:hAnsi="ITC Avant Garde" w:cs="Arial"/>
        </w:rPr>
      </w:pPr>
      <w:r w:rsidRPr="00843D1B">
        <w:rPr>
          <w:rFonts w:ascii="ITC Avant Garde" w:hAnsi="ITC Avant Garde" w:cs="Arial"/>
        </w:rPr>
        <w:t xml:space="preserve">El mecanismo de desempate se llevará a cabo mediante un procedimiento de presentación física de ofertas (en el Domicilio del Instituto) en sobre cerrado, ante la presencia del testigo social y de un fedatario público, para lo cual se le informará a los Participantes vía correo electrónico con al menos 3 días hábiles de anticipación, la fecha y la hora en la que se llevará a cabo dicho procedimiento, de conformidad con el </w:t>
      </w:r>
      <w:r w:rsidR="004A1C33">
        <w:rPr>
          <w:rFonts w:ascii="ITC Avant Garde" w:hAnsi="ITC Avant Garde" w:cs="Arial"/>
        </w:rPr>
        <w:t>n</w:t>
      </w:r>
      <w:r w:rsidRPr="00843D1B">
        <w:rPr>
          <w:rFonts w:ascii="ITC Avant Garde" w:hAnsi="ITC Avant Garde" w:cs="Arial"/>
        </w:rPr>
        <w:t>umeral</w:t>
      </w:r>
      <w:r w:rsidR="004A1C33">
        <w:rPr>
          <w:rFonts w:ascii="ITC Avant Garde" w:hAnsi="ITC Avant Garde" w:cs="Arial"/>
        </w:rPr>
        <w:t xml:space="preserve"> 5.4.1 de las Bases</w:t>
      </w:r>
      <w:r w:rsidRPr="00843D1B">
        <w:rPr>
          <w:rFonts w:ascii="ITC Avant Garde" w:hAnsi="ITC Avant Garde" w:cs="Arial"/>
        </w:rPr>
        <w:t>. Para lo anterior, serán aplicables en lo conducente, las reglas a), c) y d) del mecanismo de las Rondas de Desempate previsto en el numeral 2 del Apéndice B</w:t>
      </w:r>
      <w:r>
        <w:rPr>
          <w:rFonts w:ascii="ITC Avant Garde" w:hAnsi="ITC Avant Garde" w:cs="Arial"/>
        </w:rPr>
        <w:t xml:space="preserve"> de las Bases</w:t>
      </w:r>
      <w:r w:rsidRPr="00843D1B">
        <w:rPr>
          <w:rFonts w:ascii="ITC Avant Garde" w:hAnsi="ITC Avant Garde" w:cs="Arial"/>
        </w:rPr>
        <w:t xml:space="preserve">. </w:t>
      </w:r>
    </w:p>
    <w:p w14:paraId="07EA2A2F" w14:textId="77777777" w:rsidR="00B156EB" w:rsidRDefault="00843D1B" w:rsidP="00B156EB">
      <w:pPr>
        <w:pBdr>
          <w:top w:val="nil"/>
          <w:left w:val="nil"/>
          <w:bottom w:val="nil"/>
          <w:right w:val="nil"/>
          <w:between w:val="nil"/>
          <w:bar w:val="nil"/>
        </w:pBdr>
        <w:spacing w:before="240" w:after="240" w:line="240" w:lineRule="auto"/>
        <w:contextualSpacing/>
        <w:jc w:val="both"/>
        <w:rPr>
          <w:rFonts w:ascii="ITC Avant Garde" w:hAnsi="ITC Avant Garde" w:cs="Arial"/>
        </w:rPr>
      </w:pPr>
      <w:r w:rsidRPr="00843D1B">
        <w:rPr>
          <w:rFonts w:ascii="ITC Avant Garde" w:hAnsi="ITC Avant Garde" w:cs="Arial"/>
        </w:rPr>
        <w:t xml:space="preserve">En estos casos, para cada Bloque específico, el Participante con el Puntaje Subsecuente más Alto pagará el Componente Económico correspondiente a su Puntaje de acuerdo a la Fórmula de Evaluación definida en el Apéndice B de </w:t>
      </w:r>
      <w:r w:rsidR="004A1C33">
        <w:rPr>
          <w:rFonts w:ascii="ITC Avant Garde" w:hAnsi="ITC Avant Garde" w:cs="Arial"/>
        </w:rPr>
        <w:t>las</w:t>
      </w:r>
      <w:r w:rsidRPr="00843D1B">
        <w:rPr>
          <w:rFonts w:ascii="ITC Avant Garde" w:hAnsi="ITC Avant Garde" w:cs="Arial"/>
        </w:rPr>
        <w:t xml:space="preserve"> Bases. Asimismo deberá presentar el Comprobante del pago de derechos por el estudio de la solicitud y, en su caso, expedición del título para el uso, aprovechamiento o explotación de bandas de frecuencias del espectro radioeléctrico de uso determinado para uso comercial.</w:t>
      </w:r>
    </w:p>
    <w:p w14:paraId="4C1741A3" w14:textId="77777777" w:rsidR="00B156EB" w:rsidRDefault="00843D1B" w:rsidP="00B156EB">
      <w:pPr>
        <w:pBdr>
          <w:top w:val="nil"/>
          <w:left w:val="nil"/>
          <w:bottom w:val="nil"/>
          <w:right w:val="nil"/>
          <w:between w:val="nil"/>
          <w:bar w:val="nil"/>
        </w:pBdr>
        <w:spacing w:before="240" w:after="240" w:line="240" w:lineRule="auto"/>
        <w:contextualSpacing/>
        <w:jc w:val="both"/>
        <w:rPr>
          <w:rFonts w:ascii="ITC Avant Garde" w:hAnsi="ITC Avant Garde" w:cs="Arial"/>
        </w:rPr>
      </w:pPr>
      <w:r w:rsidRPr="00843D1B">
        <w:rPr>
          <w:rFonts w:ascii="ITC Avant Garde" w:hAnsi="ITC Avant Garde" w:cs="Arial"/>
        </w:rPr>
        <w:t>Cabe mencionar que</w:t>
      </w:r>
      <w:r>
        <w:rPr>
          <w:rFonts w:ascii="ITC Avant Garde" w:hAnsi="ITC Avant Garde" w:cs="Arial"/>
        </w:rPr>
        <w:t>,</w:t>
      </w:r>
      <w:r w:rsidRPr="00843D1B">
        <w:rPr>
          <w:rFonts w:ascii="ITC Avant Garde" w:hAnsi="ITC Avant Garde" w:cs="Arial"/>
        </w:rPr>
        <w:t xml:space="preserve"> </w:t>
      </w:r>
      <w:r w:rsidR="00C16D86">
        <w:rPr>
          <w:rFonts w:ascii="ITC Avant Garde" w:hAnsi="ITC Avant Garde" w:cs="Arial"/>
        </w:rPr>
        <w:t xml:space="preserve">en caso de emitirse una nueva Acta de Fallo, </w:t>
      </w:r>
      <w:r w:rsidRPr="00843D1B">
        <w:rPr>
          <w:rFonts w:ascii="ITC Avant Garde" w:hAnsi="ITC Avant Garde" w:cs="Arial"/>
        </w:rPr>
        <w:t xml:space="preserve">cada Participante con el Puntaje Subsecuente más Alto, deberá dar cumplimiento a las condiciones establecidas </w:t>
      </w:r>
      <w:r w:rsidR="004C78A2">
        <w:rPr>
          <w:rFonts w:ascii="ITC Avant Garde" w:hAnsi="ITC Avant Garde" w:cs="Arial"/>
        </w:rPr>
        <w:t xml:space="preserve">en el </w:t>
      </w:r>
      <w:r w:rsidR="00C16D86">
        <w:rPr>
          <w:rFonts w:ascii="ITC Avant Garde" w:hAnsi="ITC Avant Garde" w:cs="Arial"/>
        </w:rPr>
        <w:t>apartado considerativo</w:t>
      </w:r>
      <w:r w:rsidR="00DD5EAC">
        <w:rPr>
          <w:rFonts w:ascii="ITC Avant Garde" w:hAnsi="ITC Avant Garde" w:cs="Arial"/>
        </w:rPr>
        <w:t xml:space="preserve"> respectivo,</w:t>
      </w:r>
      <w:r w:rsidR="004C78A2">
        <w:rPr>
          <w:rFonts w:ascii="ITC Avant Garde" w:hAnsi="ITC Avant Garde" w:cs="Arial"/>
        </w:rPr>
        <w:t xml:space="preserve"> </w:t>
      </w:r>
      <w:r w:rsidRPr="00843D1B">
        <w:rPr>
          <w:rFonts w:ascii="ITC Avant Garde" w:hAnsi="ITC Avant Garde" w:cs="Arial"/>
        </w:rPr>
        <w:t>para el otorgamiento de</w:t>
      </w:r>
      <w:r w:rsidR="006B6B67">
        <w:rPr>
          <w:rFonts w:ascii="ITC Avant Garde" w:hAnsi="ITC Avant Garde" w:cs="Arial"/>
        </w:rPr>
        <w:t xml:space="preserve"> los títulos</w:t>
      </w:r>
      <w:r w:rsidR="0075460B">
        <w:rPr>
          <w:rFonts w:ascii="ITC Avant Garde" w:hAnsi="ITC Avant Garde" w:cs="Arial"/>
        </w:rPr>
        <w:t xml:space="preserve"> de concesión correspondientes</w:t>
      </w:r>
      <w:r w:rsidRPr="00843D1B">
        <w:rPr>
          <w:rFonts w:ascii="ITC Avant Garde" w:hAnsi="ITC Avant Garde" w:cs="Arial"/>
        </w:rPr>
        <w:t xml:space="preserve"> y se le aplicarán los mismos periodos señalados en la Cuarta Etapa: </w:t>
      </w:r>
      <w:r w:rsidR="006B19C9">
        <w:rPr>
          <w:rFonts w:ascii="ITC Avant Garde" w:hAnsi="ITC Avant Garde" w:cs="Arial"/>
        </w:rPr>
        <w:t>“</w:t>
      </w:r>
      <w:r w:rsidRPr="006B19C9">
        <w:rPr>
          <w:rFonts w:ascii="ITC Avant Garde" w:hAnsi="ITC Avant Garde" w:cs="Arial"/>
          <w:i/>
        </w:rPr>
        <w:t>Emisión de Acta de Fallo, Pago de Contraprestación y Otorgamiento de Títulos de Concesión</w:t>
      </w:r>
      <w:r w:rsidR="006B19C9">
        <w:rPr>
          <w:rFonts w:ascii="ITC Avant Garde" w:hAnsi="ITC Avant Garde" w:cs="Arial"/>
        </w:rPr>
        <w:t>”</w:t>
      </w:r>
      <w:r w:rsidRPr="00843D1B">
        <w:rPr>
          <w:rFonts w:ascii="ITC Avant Garde" w:hAnsi="ITC Avant Garde" w:cs="Arial"/>
        </w:rPr>
        <w:t xml:space="preserve"> del Calendario de Actividades.</w:t>
      </w:r>
    </w:p>
    <w:p w14:paraId="69BBAF3D" w14:textId="77777777" w:rsidR="00B156EB" w:rsidRDefault="00843D1B" w:rsidP="00B156EB">
      <w:pPr>
        <w:pBdr>
          <w:top w:val="nil"/>
          <w:left w:val="nil"/>
          <w:bottom w:val="nil"/>
          <w:right w:val="nil"/>
          <w:between w:val="nil"/>
          <w:bar w:val="nil"/>
        </w:pBdr>
        <w:spacing w:before="240" w:after="240" w:line="240" w:lineRule="auto"/>
        <w:contextualSpacing/>
        <w:jc w:val="both"/>
        <w:rPr>
          <w:rFonts w:ascii="ITC Avant Garde" w:hAnsi="ITC Avant Garde" w:cs="Arial"/>
        </w:rPr>
      </w:pPr>
      <w:r w:rsidRPr="00843D1B">
        <w:rPr>
          <w:rFonts w:ascii="ITC Avant Garde" w:hAnsi="ITC Avant Garde" w:cs="Arial"/>
        </w:rPr>
        <w:t>En caso de que ningún Participante haya manifestado interés en ese</w:t>
      </w:r>
      <w:r w:rsidR="009B2E1D">
        <w:rPr>
          <w:rFonts w:ascii="ITC Avant Garde" w:hAnsi="ITC Avant Garde" w:cs="Arial"/>
        </w:rPr>
        <w:t>(esos)</w:t>
      </w:r>
      <w:r w:rsidRPr="00843D1B">
        <w:rPr>
          <w:rFonts w:ascii="ITC Avant Garde" w:hAnsi="ITC Avant Garde" w:cs="Arial"/>
        </w:rPr>
        <w:t xml:space="preserve"> Bloque</w:t>
      </w:r>
      <w:r w:rsidR="009B2E1D">
        <w:rPr>
          <w:rFonts w:ascii="ITC Avant Garde" w:hAnsi="ITC Avant Garde" w:cs="Arial"/>
        </w:rPr>
        <w:t>(s)</w:t>
      </w:r>
      <w:r w:rsidRPr="00843D1B">
        <w:rPr>
          <w:rFonts w:ascii="ITC Avant Garde" w:hAnsi="ITC Avant Garde" w:cs="Arial"/>
        </w:rPr>
        <w:t>, o que todos los Participantes hayan sido descalificados, o no hayan cumplido con las condiciones previstas en e</w:t>
      </w:r>
      <w:r w:rsidR="002C353B">
        <w:rPr>
          <w:rFonts w:ascii="ITC Avant Garde" w:hAnsi="ITC Avant Garde" w:cs="Arial"/>
        </w:rPr>
        <w:t>l</w:t>
      </w:r>
      <w:r w:rsidRPr="00843D1B">
        <w:rPr>
          <w:rFonts w:ascii="ITC Avant Garde" w:hAnsi="ITC Avant Garde" w:cs="Arial"/>
        </w:rPr>
        <w:t xml:space="preserve"> numeral</w:t>
      </w:r>
      <w:r w:rsidR="002C353B">
        <w:rPr>
          <w:rFonts w:ascii="ITC Avant Garde" w:hAnsi="ITC Avant Garde" w:cs="Arial"/>
        </w:rPr>
        <w:t xml:space="preserve"> 5.4.1 de las Bases</w:t>
      </w:r>
      <w:r w:rsidRPr="00843D1B">
        <w:rPr>
          <w:rFonts w:ascii="ITC Avant Garde" w:hAnsi="ITC Avant Garde" w:cs="Arial"/>
        </w:rPr>
        <w:t>, se declarará desierto definitivamente el proce</w:t>
      </w:r>
      <w:r w:rsidR="002C353B">
        <w:rPr>
          <w:rFonts w:ascii="ITC Avant Garde" w:hAnsi="ITC Avant Garde" w:cs="Arial"/>
        </w:rPr>
        <w:t>dimiento</w:t>
      </w:r>
      <w:r w:rsidRPr="00843D1B">
        <w:rPr>
          <w:rFonts w:ascii="ITC Avant Garde" w:hAnsi="ITC Avant Garde" w:cs="Arial"/>
        </w:rPr>
        <w:t xml:space="preserve"> licitatorio </w:t>
      </w:r>
      <w:r w:rsidR="004C78A2">
        <w:rPr>
          <w:rFonts w:ascii="ITC Avant Garde" w:hAnsi="ITC Avant Garde" w:cs="Arial"/>
        </w:rPr>
        <w:t>únicamente respecto d</w:t>
      </w:r>
      <w:r w:rsidR="00DD5EAC">
        <w:rPr>
          <w:rFonts w:ascii="ITC Avant Garde" w:hAnsi="ITC Avant Garde" w:cs="Arial"/>
        </w:rPr>
        <w:t>el</w:t>
      </w:r>
      <w:r w:rsidR="009B2E1D">
        <w:rPr>
          <w:rFonts w:ascii="ITC Avant Garde" w:hAnsi="ITC Avant Garde" w:cs="Arial"/>
        </w:rPr>
        <w:t xml:space="preserve">(de los) </w:t>
      </w:r>
      <w:r w:rsidRPr="00843D1B">
        <w:rPr>
          <w:rFonts w:ascii="ITC Avant Garde" w:hAnsi="ITC Avant Garde" w:cs="Arial"/>
        </w:rPr>
        <w:t>Bloque</w:t>
      </w:r>
      <w:r w:rsidR="009B2E1D">
        <w:rPr>
          <w:rFonts w:ascii="ITC Avant Garde" w:hAnsi="ITC Avant Garde" w:cs="Arial"/>
        </w:rPr>
        <w:t>(s)</w:t>
      </w:r>
      <w:r w:rsidRPr="00843D1B">
        <w:rPr>
          <w:rFonts w:ascii="ITC Avant Garde" w:hAnsi="ITC Avant Garde" w:cs="Arial"/>
        </w:rPr>
        <w:t xml:space="preserve"> de que se trate. </w:t>
      </w:r>
    </w:p>
    <w:p w14:paraId="5BDD3834" w14:textId="77777777" w:rsidR="00B156EB" w:rsidRDefault="00843D1B" w:rsidP="00B156EB">
      <w:pPr>
        <w:pBdr>
          <w:top w:val="nil"/>
          <w:left w:val="nil"/>
          <w:bottom w:val="nil"/>
          <w:right w:val="nil"/>
          <w:between w:val="nil"/>
          <w:bar w:val="nil"/>
        </w:pBdr>
        <w:spacing w:before="240" w:after="240" w:line="240" w:lineRule="auto"/>
        <w:contextualSpacing/>
        <w:jc w:val="both"/>
        <w:rPr>
          <w:rFonts w:ascii="ITC Avant Garde" w:hAnsi="ITC Avant Garde" w:cs="Arial"/>
        </w:rPr>
      </w:pPr>
      <w:r w:rsidRPr="00843D1B">
        <w:rPr>
          <w:rFonts w:ascii="ITC Avant Garde" w:hAnsi="ITC Avant Garde" w:cs="Arial"/>
        </w:rPr>
        <w:lastRenderedPageBreak/>
        <w:t>En caso de que lo señalado en el párrafo anterior ocurra para todos los Bloques disponibles en la presente Licitación, se declarará desierto definitivamente el proce</w:t>
      </w:r>
      <w:r w:rsidR="002C353B">
        <w:rPr>
          <w:rFonts w:ascii="ITC Avant Garde" w:hAnsi="ITC Avant Garde" w:cs="Arial"/>
        </w:rPr>
        <w:t>dimiento</w:t>
      </w:r>
      <w:r w:rsidRPr="00843D1B">
        <w:rPr>
          <w:rFonts w:ascii="ITC Avant Garde" w:hAnsi="ITC Avant Garde" w:cs="Arial"/>
        </w:rPr>
        <w:t xml:space="preserve"> licitatorio.</w:t>
      </w:r>
      <w:r w:rsidR="00E05F79" w:rsidRPr="00735FDE">
        <w:rPr>
          <w:rFonts w:ascii="ITC Avant Garde" w:hAnsi="ITC Avant Garde" w:cs="Arial"/>
        </w:rPr>
        <w:t xml:space="preserve"> </w:t>
      </w:r>
    </w:p>
    <w:p w14:paraId="4095BABD" w14:textId="77777777" w:rsidR="00B156EB" w:rsidRDefault="00B546A7" w:rsidP="00B156EB">
      <w:pPr>
        <w:pStyle w:val="Prrafodelista"/>
        <w:spacing w:before="240" w:after="240"/>
        <w:ind w:left="0"/>
        <w:jc w:val="both"/>
        <w:rPr>
          <w:rFonts w:ascii="ITC Avant Garde" w:eastAsia="Arial Unicode MS" w:hAnsi="ITC Avant Garde" w:cs="Arial"/>
          <w:bCs/>
          <w:sz w:val="22"/>
          <w:szCs w:val="22"/>
          <w:u w:color="000000"/>
          <w:bdr w:val="nil"/>
          <w:lang w:val="es-ES_tradnl"/>
        </w:rPr>
      </w:pPr>
      <w:r>
        <w:rPr>
          <w:rFonts w:ascii="ITC Avant Garde" w:eastAsia="Arial Unicode MS" w:hAnsi="ITC Avant Garde" w:cs="Arial"/>
          <w:b/>
          <w:bCs/>
          <w:sz w:val="22"/>
          <w:szCs w:val="22"/>
          <w:u w:color="000000"/>
          <w:bdr w:val="nil"/>
          <w:lang w:val="es-ES_tradnl"/>
        </w:rPr>
        <w:t>QUINTO.</w:t>
      </w:r>
      <w:r>
        <w:rPr>
          <w:rFonts w:ascii="ITC Avant Garde" w:eastAsia="Arial Unicode MS" w:hAnsi="ITC Avant Garde" w:cs="Arial"/>
          <w:b/>
          <w:bCs/>
          <w:sz w:val="22"/>
          <w:szCs w:val="22"/>
          <w:u w:color="000000"/>
          <w:bdr w:val="nil"/>
          <w:lang w:val="es-ES_tradnl"/>
        </w:rPr>
        <w:tab/>
      </w:r>
      <w:r w:rsidR="00E05F79" w:rsidRPr="00735FDE">
        <w:rPr>
          <w:rFonts w:ascii="ITC Avant Garde" w:eastAsia="Arial Unicode MS" w:hAnsi="ITC Avant Garde" w:cs="Arial"/>
          <w:b/>
          <w:bCs/>
          <w:sz w:val="22"/>
          <w:szCs w:val="22"/>
          <w:u w:color="000000"/>
          <w:bdr w:val="nil"/>
          <w:lang w:val="es-ES_tradnl"/>
        </w:rPr>
        <w:t xml:space="preserve">Liberación de las Garantías de Seriedad. </w:t>
      </w:r>
      <w:r w:rsidR="00E05F79" w:rsidRPr="00735FDE">
        <w:rPr>
          <w:rFonts w:ascii="ITC Avant Garde" w:eastAsia="Arial Unicode MS" w:hAnsi="ITC Avant Garde" w:cs="Arial"/>
          <w:bCs/>
          <w:sz w:val="22"/>
          <w:szCs w:val="22"/>
          <w:u w:color="000000"/>
          <w:bdr w:val="nil"/>
          <w:lang w:val="es-ES_tradnl"/>
        </w:rPr>
        <w:t>El Instituto liberará la Garantía de Seriedad de los Participantes no Ganadores que no manifiesten su interés de cont</w:t>
      </w:r>
      <w:r w:rsidR="001C227A">
        <w:rPr>
          <w:rFonts w:ascii="ITC Avant Garde" w:eastAsia="Arial Unicode MS" w:hAnsi="ITC Avant Garde" w:cs="Arial"/>
          <w:bCs/>
          <w:sz w:val="22"/>
          <w:szCs w:val="22"/>
          <w:u w:color="000000"/>
          <w:bdr w:val="nil"/>
          <w:lang w:val="es-ES_tradnl"/>
        </w:rPr>
        <w:t>inuar en la Licitación No. IFT-5</w:t>
      </w:r>
      <w:r w:rsidR="00E05F79" w:rsidRPr="00735FDE">
        <w:rPr>
          <w:rFonts w:ascii="ITC Avant Garde" w:eastAsia="Arial Unicode MS" w:hAnsi="ITC Avant Garde" w:cs="Arial"/>
          <w:bCs/>
          <w:sz w:val="22"/>
          <w:szCs w:val="22"/>
          <w:u w:color="000000"/>
          <w:bdr w:val="nil"/>
          <w:lang w:val="es-ES_tradnl"/>
        </w:rPr>
        <w:t xml:space="preserve">, respecto </w:t>
      </w:r>
      <w:r w:rsidR="00383766">
        <w:rPr>
          <w:rFonts w:ascii="ITC Avant Garde" w:eastAsia="Arial Unicode MS" w:hAnsi="ITC Avant Garde" w:cs="Arial"/>
          <w:bCs/>
          <w:sz w:val="22"/>
          <w:szCs w:val="22"/>
          <w:u w:color="000000"/>
          <w:bdr w:val="nil"/>
          <w:lang w:val="es-ES_tradnl"/>
        </w:rPr>
        <w:t>de</w:t>
      </w:r>
      <w:r w:rsidR="00C113ED">
        <w:rPr>
          <w:rFonts w:ascii="ITC Avant Garde" w:eastAsia="Arial Unicode MS" w:hAnsi="ITC Avant Garde" w:cs="Arial"/>
          <w:bCs/>
          <w:sz w:val="22"/>
          <w:szCs w:val="22"/>
          <w:u w:color="000000"/>
          <w:bdr w:val="nil"/>
          <w:lang w:val="es-ES_tradnl"/>
        </w:rPr>
        <w:t xml:space="preserve"> </w:t>
      </w:r>
      <w:r w:rsidR="00E05F79" w:rsidRPr="00735FDE">
        <w:rPr>
          <w:rFonts w:ascii="ITC Avant Garde" w:eastAsia="Arial Unicode MS" w:hAnsi="ITC Avant Garde" w:cs="Arial"/>
          <w:bCs/>
          <w:sz w:val="22"/>
          <w:szCs w:val="22"/>
          <w:u w:color="000000"/>
          <w:bdr w:val="nil"/>
          <w:lang w:val="es-ES_tradnl"/>
        </w:rPr>
        <w:t>l</w:t>
      </w:r>
      <w:r w:rsidR="00C113ED">
        <w:rPr>
          <w:rFonts w:ascii="ITC Avant Garde" w:eastAsia="Arial Unicode MS" w:hAnsi="ITC Avant Garde" w:cs="Arial"/>
          <w:bCs/>
          <w:sz w:val="22"/>
          <w:szCs w:val="22"/>
          <w:u w:color="000000"/>
          <w:bdr w:val="nil"/>
          <w:lang w:val="es-ES_tradnl"/>
        </w:rPr>
        <w:t>os</w:t>
      </w:r>
      <w:r w:rsidR="00E05F79" w:rsidRPr="00735FDE">
        <w:rPr>
          <w:rFonts w:ascii="ITC Avant Garde" w:eastAsia="Arial Unicode MS" w:hAnsi="ITC Avant Garde" w:cs="Arial"/>
          <w:bCs/>
          <w:sz w:val="22"/>
          <w:szCs w:val="22"/>
          <w:u w:color="000000"/>
          <w:bdr w:val="nil"/>
          <w:lang w:val="es-ES_tradnl"/>
        </w:rPr>
        <w:t xml:space="preserve"> </w:t>
      </w:r>
      <w:r w:rsidR="00C113ED">
        <w:rPr>
          <w:rFonts w:ascii="ITC Avant Garde" w:eastAsia="Arial Unicode MS" w:hAnsi="ITC Avant Garde" w:cs="Arial"/>
          <w:bCs/>
          <w:sz w:val="22"/>
          <w:szCs w:val="22"/>
          <w:u w:color="000000"/>
          <w:bdr w:val="nil"/>
          <w:lang w:val="es-ES_tradnl"/>
        </w:rPr>
        <w:t>Bloques</w:t>
      </w:r>
      <w:r w:rsidR="00C113ED" w:rsidRPr="00735FDE">
        <w:rPr>
          <w:rFonts w:ascii="ITC Avant Garde" w:eastAsia="Arial Unicode MS" w:hAnsi="ITC Avant Garde" w:cs="Arial"/>
          <w:bCs/>
          <w:sz w:val="22"/>
          <w:szCs w:val="22"/>
          <w:u w:color="000000"/>
          <w:bdr w:val="nil"/>
          <w:lang w:val="es-ES_tradnl"/>
        </w:rPr>
        <w:t xml:space="preserve"> </w:t>
      </w:r>
      <w:r w:rsidR="00E05F79" w:rsidRPr="00735FDE">
        <w:rPr>
          <w:rFonts w:ascii="ITC Avant Garde" w:eastAsia="Arial Unicode MS" w:hAnsi="ITC Avant Garde" w:cs="Arial"/>
          <w:bCs/>
          <w:sz w:val="22"/>
          <w:szCs w:val="22"/>
          <w:u w:color="000000"/>
          <w:bdr w:val="nil"/>
          <w:lang w:val="es-ES_tradnl"/>
        </w:rPr>
        <w:t>que nos ocupa</w:t>
      </w:r>
      <w:r w:rsidR="00C113ED">
        <w:rPr>
          <w:rFonts w:ascii="ITC Avant Garde" w:eastAsia="Arial Unicode MS" w:hAnsi="ITC Avant Garde" w:cs="Arial"/>
          <w:bCs/>
          <w:sz w:val="22"/>
          <w:szCs w:val="22"/>
          <w:u w:color="000000"/>
          <w:bdr w:val="nil"/>
          <w:lang w:val="es-ES_tradnl"/>
        </w:rPr>
        <w:t>n</w:t>
      </w:r>
      <w:r w:rsidR="00E05F79" w:rsidRPr="00735FDE">
        <w:rPr>
          <w:rFonts w:ascii="ITC Avant Garde" w:eastAsia="Arial Unicode MS" w:hAnsi="ITC Avant Garde" w:cs="Arial"/>
          <w:bCs/>
          <w:sz w:val="22"/>
          <w:szCs w:val="22"/>
          <w:u w:color="000000"/>
          <w:bdr w:val="nil"/>
          <w:lang w:val="es-ES_tradnl"/>
        </w:rPr>
        <w:t xml:space="preserve">, de acuerdo con el numeral </w:t>
      </w:r>
      <w:r w:rsidR="008A51F9">
        <w:rPr>
          <w:rFonts w:ascii="ITC Avant Garde" w:eastAsia="Arial Unicode MS" w:hAnsi="ITC Avant Garde" w:cs="Arial"/>
          <w:bCs/>
          <w:sz w:val="22"/>
          <w:szCs w:val="22"/>
          <w:u w:color="000000"/>
          <w:bdr w:val="nil"/>
          <w:lang w:val="es-ES_tradnl"/>
        </w:rPr>
        <w:t>8.8,</w:t>
      </w:r>
      <w:r w:rsidR="00E05F79" w:rsidRPr="00735FDE">
        <w:rPr>
          <w:rFonts w:ascii="ITC Avant Garde" w:eastAsia="Arial Unicode MS" w:hAnsi="ITC Avant Garde" w:cs="Arial"/>
          <w:bCs/>
          <w:sz w:val="22"/>
          <w:szCs w:val="22"/>
          <w:u w:color="000000"/>
          <w:bdr w:val="nil"/>
          <w:lang w:val="es-ES_tradnl"/>
        </w:rPr>
        <w:t xml:space="preserve"> fracción II de las Bases, una vez concluido el plazo previsto en el Calendario de Actividades para presenta</w:t>
      </w:r>
      <w:r w:rsidR="008A51F9">
        <w:rPr>
          <w:rFonts w:ascii="ITC Avant Garde" w:eastAsia="Arial Unicode MS" w:hAnsi="ITC Avant Garde" w:cs="Arial"/>
          <w:bCs/>
          <w:sz w:val="22"/>
          <w:szCs w:val="22"/>
          <w:u w:color="000000"/>
          <w:bdr w:val="nil"/>
          <w:lang w:val="es-ES_tradnl"/>
        </w:rPr>
        <w:t xml:space="preserve">r tal manifestación, </w:t>
      </w:r>
      <w:r w:rsidR="00DD5EAC">
        <w:rPr>
          <w:rFonts w:ascii="ITC Avant Garde" w:eastAsia="Arial Unicode MS" w:hAnsi="ITC Avant Garde" w:cs="Arial"/>
          <w:bCs/>
          <w:sz w:val="22"/>
          <w:szCs w:val="22"/>
          <w:u w:color="000000"/>
          <w:bdr w:val="nil"/>
          <w:lang w:val="es-ES_tradnl"/>
        </w:rPr>
        <w:t>siempre</w:t>
      </w:r>
      <w:r w:rsidR="00E05F79" w:rsidRPr="00735FDE">
        <w:rPr>
          <w:rFonts w:ascii="ITC Avant Garde" w:eastAsia="Arial Unicode MS" w:hAnsi="ITC Avant Garde" w:cs="Arial"/>
          <w:bCs/>
          <w:sz w:val="22"/>
          <w:szCs w:val="22"/>
          <w:u w:color="000000"/>
          <w:bdr w:val="nil"/>
          <w:lang w:val="es-ES_tradnl"/>
        </w:rPr>
        <w:t xml:space="preserve"> </w:t>
      </w:r>
      <w:r w:rsidR="0014549F">
        <w:rPr>
          <w:rFonts w:ascii="ITC Avant Garde" w:eastAsia="Arial Unicode MS" w:hAnsi="ITC Avant Garde" w:cs="Arial"/>
          <w:bCs/>
          <w:sz w:val="22"/>
          <w:szCs w:val="22"/>
          <w:u w:color="000000"/>
          <w:bdr w:val="nil"/>
          <w:lang w:val="es-ES_tradnl"/>
        </w:rPr>
        <w:t xml:space="preserve">que </w:t>
      </w:r>
      <w:r w:rsidR="00E05F79" w:rsidRPr="00735FDE">
        <w:rPr>
          <w:rFonts w:ascii="ITC Avant Garde" w:eastAsia="Arial Unicode MS" w:hAnsi="ITC Avant Garde" w:cs="Arial"/>
          <w:bCs/>
          <w:sz w:val="22"/>
          <w:szCs w:val="22"/>
          <w:u w:color="000000"/>
          <w:bdr w:val="nil"/>
          <w:lang w:val="es-ES_tradnl"/>
        </w:rPr>
        <w:t>no hayan incurrido en una causal de descalificación.</w:t>
      </w:r>
    </w:p>
    <w:p w14:paraId="1BBD4354" w14:textId="77777777" w:rsidR="00B156EB" w:rsidRDefault="00E05F79" w:rsidP="00B156EB">
      <w:pPr>
        <w:pBdr>
          <w:top w:val="nil"/>
          <w:left w:val="nil"/>
          <w:bottom w:val="nil"/>
          <w:right w:val="nil"/>
          <w:between w:val="nil"/>
          <w:bar w:val="nil"/>
        </w:pBdr>
        <w:spacing w:before="240" w:after="240" w:line="240" w:lineRule="auto"/>
        <w:contextualSpacing/>
        <w:jc w:val="both"/>
        <w:rPr>
          <w:rFonts w:ascii="ITC Avant Garde" w:hAnsi="ITC Avant Garde" w:cs="Arial"/>
        </w:rPr>
      </w:pPr>
      <w:r w:rsidRPr="00735FDE">
        <w:rPr>
          <w:rFonts w:ascii="ITC Avant Garde" w:hAnsi="ITC Avant Garde" w:cs="Arial"/>
        </w:rPr>
        <w:t xml:space="preserve">Asimismo, </w:t>
      </w:r>
      <w:r w:rsidRPr="00735FDE" w:rsidDel="00B27955">
        <w:rPr>
          <w:rFonts w:ascii="ITC Avant Garde" w:hAnsi="ITC Avant Garde" w:cs="Arial"/>
        </w:rPr>
        <w:t>una</w:t>
      </w:r>
      <w:r w:rsidRPr="00735FDE">
        <w:rPr>
          <w:rFonts w:ascii="ITC Avant Garde" w:hAnsi="ITC Avant Garde" w:cs="Arial"/>
        </w:rPr>
        <w:t xml:space="preserve"> </w:t>
      </w:r>
      <w:r w:rsidRPr="00735FDE" w:rsidDel="00B27955">
        <w:rPr>
          <w:rFonts w:ascii="ITC Avant Garde" w:hAnsi="ITC Avant Garde" w:cs="Arial"/>
        </w:rPr>
        <w:t>vez</w:t>
      </w:r>
      <w:r w:rsidRPr="00735FDE">
        <w:rPr>
          <w:rFonts w:ascii="ITC Avant Garde" w:hAnsi="ITC Avant Garde" w:cs="Arial"/>
        </w:rPr>
        <w:t xml:space="preserve"> </w:t>
      </w:r>
      <w:r w:rsidRPr="00735FDE" w:rsidDel="00B27955">
        <w:rPr>
          <w:rFonts w:ascii="ITC Avant Garde" w:hAnsi="ITC Avant Garde" w:cs="Arial"/>
        </w:rPr>
        <w:t>entregado</w:t>
      </w:r>
      <w:r w:rsidR="00762988">
        <w:rPr>
          <w:rFonts w:ascii="ITC Avant Garde" w:hAnsi="ITC Avant Garde" w:cs="Arial"/>
        </w:rPr>
        <w:t>(s)</w:t>
      </w:r>
      <w:r w:rsidRPr="00735FDE">
        <w:rPr>
          <w:rFonts w:ascii="ITC Avant Garde" w:hAnsi="ITC Avant Garde" w:cs="Arial"/>
        </w:rPr>
        <w:t xml:space="preserve"> el(</w:t>
      </w:r>
      <w:r w:rsidRPr="00735FDE" w:rsidDel="00B27955">
        <w:rPr>
          <w:rFonts w:ascii="ITC Avant Garde" w:hAnsi="ITC Avant Garde" w:cs="Arial"/>
        </w:rPr>
        <w:t>los</w:t>
      </w:r>
      <w:r w:rsidRPr="00735FDE">
        <w:rPr>
          <w:rFonts w:ascii="ITC Avant Garde" w:hAnsi="ITC Avant Garde" w:cs="Arial"/>
        </w:rPr>
        <w:t xml:space="preserve">) </w:t>
      </w:r>
      <w:r w:rsidRPr="00735FDE" w:rsidDel="00B27955">
        <w:rPr>
          <w:rFonts w:ascii="ITC Avant Garde" w:hAnsi="ITC Avant Garde" w:cs="Arial"/>
        </w:rPr>
        <w:t>Título</w:t>
      </w:r>
      <w:r w:rsidRPr="00735FDE">
        <w:rPr>
          <w:rFonts w:ascii="ITC Avant Garde" w:hAnsi="ITC Avant Garde" w:cs="Arial"/>
        </w:rPr>
        <w:t>(</w:t>
      </w:r>
      <w:r w:rsidRPr="00735FDE" w:rsidDel="00B27955">
        <w:rPr>
          <w:rFonts w:ascii="ITC Avant Garde" w:hAnsi="ITC Avant Garde" w:cs="Arial"/>
        </w:rPr>
        <w:t>s</w:t>
      </w:r>
      <w:r w:rsidRPr="00735FDE">
        <w:rPr>
          <w:rFonts w:ascii="ITC Avant Garde" w:hAnsi="ITC Avant Garde" w:cs="Arial"/>
        </w:rPr>
        <w:t xml:space="preserve">) </w:t>
      </w:r>
      <w:r w:rsidRPr="00735FDE" w:rsidDel="00B27955">
        <w:rPr>
          <w:rFonts w:ascii="ITC Avant Garde" w:hAnsi="ITC Avant Garde" w:cs="Arial"/>
        </w:rPr>
        <w:t>de</w:t>
      </w:r>
      <w:r w:rsidRPr="00735FDE">
        <w:rPr>
          <w:rFonts w:ascii="ITC Avant Garde" w:hAnsi="ITC Avant Garde" w:cs="Arial"/>
        </w:rPr>
        <w:t xml:space="preserve"> </w:t>
      </w:r>
      <w:r w:rsidRPr="00735FDE" w:rsidDel="00B27955">
        <w:rPr>
          <w:rFonts w:ascii="ITC Avant Garde" w:hAnsi="ITC Avant Garde" w:cs="Arial"/>
        </w:rPr>
        <w:t>Concesión</w:t>
      </w:r>
      <w:r w:rsidRPr="00735FDE">
        <w:rPr>
          <w:rFonts w:ascii="ITC Avant Garde" w:hAnsi="ITC Avant Garde" w:cs="Arial"/>
        </w:rPr>
        <w:t xml:space="preserve"> </w:t>
      </w:r>
      <w:r w:rsidRPr="00735FDE" w:rsidDel="00B27955">
        <w:rPr>
          <w:rFonts w:ascii="ITC Avant Garde" w:hAnsi="ITC Avant Garde" w:cs="Arial"/>
        </w:rPr>
        <w:t>respectivo</w:t>
      </w:r>
      <w:r w:rsidRPr="00735FDE">
        <w:rPr>
          <w:rFonts w:ascii="ITC Avant Garde" w:hAnsi="ITC Avant Garde" w:cs="Arial"/>
        </w:rPr>
        <w:t>(</w:t>
      </w:r>
      <w:r w:rsidRPr="00735FDE" w:rsidDel="00B27955">
        <w:rPr>
          <w:rFonts w:ascii="ITC Avant Garde" w:hAnsi="ITC Avant Garde" w:cs="Arial"/>
        </w:rPr>
        <w:t>s</w:t>
      </w:r>
      <w:r w:rsidRPr="00735FDE">
        <w:rPr>
          <w:rFonts w:ascii="ITC Avant Garde" w:hAnsi="ITC Avant Garde" w:cs="Arial"/>
        </w:rPr>
        <w:t xml:space="preserve">) </w:t>
      </w:r>
      <w:r w:rsidRPr="00735FDE" w:rsidDel="00B27955">
        <w:rPr>
          <w:rFonts w:ascii="ITC Avant Garde" w:hAnsi="ITC Avant Garde" w:cs="Arial"/>
        </w:rPr>
        <w:t>al</w:t>
      </w:r>
      <w:r w:rsidRPr="00735FDE">
        <w:rPr>
          <w:rFonts w:ascii="ITC Avant Garde" w:hAnsi="ITC Avant Garde" w:cs="Arial"/>
        </w:rPr>
        <w:t xml:space="preserve"> </w:t>
      </w:r>
      <w:r w:rsidRPr="00735FDE" w:rsidDel="00B27955">
        <w:rPr>
          <w:rFonts w:ascii="ITC Avant Garde" w:hAnsi="ITC Avant Garde" w:cs="Arial"/>
        </w:rPr>
        <w:t>Participante</w:t>
      </w:r>
      <w:r w:rsidRPr="00735FDE">
        <w:rPr>
          <w:rFonts w:ascii="ITC Avant Garde" w:hAnsi="ITC Avant Garde" w:cs="Arial"/>
        </w:rPr>
        <w:t xml:space="preserve"> </w:t>
      </w:r>
      <w:r w:rsidRPr="00735FDE" w:rsidDel="00B27955">
        <w:rPr>
          <w:rFonts w:ascii="ITC Avant Garde" w:hAnsi="ITC Avant Garde" w:cs="Arial"/>
        </w:rPr>
        <w:t>Ganador,</w:t>
      </w:r>
      <w:r w:rsidRPr="00735FDE">
        <w:rPr>
          <w:rFonts w:ascii="ITC Avant Garde" w:hAnsi="ITC Avant Garde" w:cs="Arial"/>
        </w:rPr>
        <w:t xml:space="preserve"> </w:t>
      </w:r>
      <w:r w:rsidRPr="00735FDE" w:rsidDel="00B27955">
        <w:rPr>
          <w:rFonts w:ascii="ITC Avant Garde" w:hAnsi="ITC Avant Garde" w:cs="Arial"/>
        </w:rPr>
        <w:t>el</w:t>
      </w:r>
      <w:r w:rsidRPr="00735FDE">
        <w:rPr>
          <w:rFonts w:ascii="ITC Avant Garde" w:hAnsi="ITC Avant Garde" w:cs="Arial"/>
        </w:rPr>
        <w:t xml:space="preserve"> </w:t>
      </w:r>
      <w:r w:rsidRPr="00735FDE" w:rsidDel="00B27955">
        <w:rPr>
          <w:rFonts w:ascii="ITC Avant Garde" w:hAnsi="ITC Avant Garde" w:cs="Arial"/>
        </w:rPr>
        <w:t>Instituto</w:t>
      </w:r>
      <w:r w:rsidRPr="00735FDE">
        <w:rPr>
          <w:rFonts w:ascii="ITC Avant Garde" w:hAnsi="ITC Avant Garde" w:cs="Arial"/>
        </w:rPr>
        <w:t xml:space="preserve"> </w:t>
      </w:r>
      <w:r w:rsidRPr="00735FDE" w:rsidDel="00B27955">
        <w:rPr>
          <w:rFonts w:ascii="ITC Avant Garde" w:hAnsi="ITC Avant Garde" w:cs="Arial"/>
        </w:rPr>
        <w:t>liberará</w:t>
      </w:r>
      <w:r w:rsidRPr="00735FDE">
        <w:rPr>
          <w:rFonts w:ascii="ITC Avant Garde" w:hAnsi="ITC Avant Garde" w:cs="Arial"/>
        </w:rPr>
        <w:t xml:space="preserve"> </w:t>
      </w:r>
      <w:r w:rsidRPr="00735FDE" w:rsidDel="00B27955">
        <w:rPr>
          <w:rFonts w:ascii="ITC Avant Garde" w:hAnsi="ITC Avant Garde" w:cs="Arial"/>
        </w:rPr>
        <w:t>la</w:t>
      </w:r>
      <w:r w:rsidRPr="00735FDE">
        <w:rPr>
          <w:rFonts w:ascii="ITC Avant Garde" w:hAnsi="ITC Avant Garde" w:cs="Arial"/>
        </w:rPr>
        <w:t xml:space="preserve"> </w:t>
      </w:r>
      <w:r w:rsidRPr="00735FDE" w:rsidDel="00B27955">
        <w:rPr>
          <w:rFonts w:ascii="ITC Avant Garde" w:hAnsi="ITC Avant Garde" w:cs="Arial"/>
        </w:rPr>
        <w:t>Garantía</w:t>
      </w:r>
      <w:r w:rsidRPr="00735FDE">
        <w:rPr>
          <w:rFonts w:ascii="ITC Avant Garde" w:hAnsi="ITC Avant Garde" w:cs="Arial"/>
        </w:rPr>
        <w:t xml:space="preserve"> </w:t>
      </w:r>
      <w:r w:rsidRPr="00735FDE" w:rsidDel="00B27955">
        <w:rPr>
          <w:rFonts w:ascii="ITC Avant Garde" w:hAnsi="ITC Avant Garde" w:cs="Arial"/>
        </w:rPr>
        <w:t>de</w:t>
      </w:r>
      <w:r w:rsidRPr="00735FDE">
        <w:rPr>
          <w:rFonts w:ascii="ITC Avant Garde" w:hAnsi="ITC Avant Garde" w:cs="Arial"/>
        </w:rPr>
        <w:t xml:space="preserve"> </w:t>
      </w:r>
      <w:r w:rsidRPr="00735FDE" w:rsidDel="00B27955">
        <w:rPr>
          <w:rFonts w:ascii="ITC Avant Garde" w:hAnsi="ITC Avant Garde" w:cs="Arial"/>
        </w:rPr>
        <w:t>Seriedad</w:t>
      </w:r>
      <w:r w:rsidRPr="00735FDE">
        <w:rPr>
          <w:rFonts w:ascii="ITC Avant Garde" w:hAnsi="ITC Avant Garde" w:cs="Arial"/>
        </w:rPr>
        <w:t xml:space="preserve"> </w:t>
      </w:r>
      <w:r w:rsidRPr="00735FDE" w:rsidDel="00B27955">
        <w:rPr>
          <w:rFonts w:ascii="ITC Avant Garde" w:hAnsi="ITC Avant Garde" w:cs="Arial"/>
        </w:rPr>
        <w:t>de</w:t>
      </w:r>
      <w:r w:rsidRPr="00735FDE">
        <w:rPr>
          <w:rFonts w:ascii="ITC Avant Garde" w:hAnsi="ITC Avant Garde" w:cs="Arial"/>
        </w:rPr>
        <w:t xml:space="preserve"> </w:t>
      </w:r>
      <w:r w:rsidRPr="00735FDE" w:rsidDel="00B27955">
        <w:rPr>
          <w:rFonts w:ascii="ITC Avant Garde" w:hAnsi="ITC Avant Garde" w:cs="Arial"/>
        </w:rPr>
        <w:t>los</w:t>
      </w:r>
      <w:r w:rsidRPr="00735FDE">
        <w:rPr>
          <w:rFonts w:ascii="ITC Avant Garde" w:hAnsi="ITC Avant Garde" w:cs="Arial"/>
        </w:rPr>
        <w:t xml:space="preserve"> </w:t>
      </w:r>
      <w:r w:rsidRPr="00735FDE" w:rsidDel="00B27955">
        <w:rPr>
          <w:rFonts w:ascii="ITC Avant Garde" w:hAnsi="ITC Avant Garde" w:cs="Arial"/>
        </w:rPr>
        <w:t>Participantes</w:t>
      </w:r>
      <w:r w:rsidRPr="00735FDE">
        <w:rPr>
          <w:rFonts w:ascii="ITC Avant Garde" w:hAnsi="ITC Avant Garde" w:cs="Arial"/>
        </w:rPr>
        <w:t xml:space="preserve"> </w:t>
      </w:r>
      <w:r w:rsidR="00DD5EAC">
        <w:rPr>
          <w:rFonts w:ascii="ITC Avant Garde" w:hAnsi="ITC Avant Garde" w:cs="Arial"/>
        </w:rPr>
        <w:t xml:space="preserve">Ganadores y de los Participantes </w:t>
      </w:r>
      <w:r w:rsidRPr="00735FDE" w:rsidDel="00B27955">
        <w:rPr>
          <w:rFonts w:ascii="ITC Avant Garde" w:hAnsi="ITC Avant Garde" w:cs="Arial"/>
        </w:rPr>
        <w:t>no</w:t>
      </w:r>
      <w:r w:rsidRPr="00735FDE">
        <w:rPr>
          <w:rFonts w:ascii="ITC Avant Garde" w:hAnsi="ITC Avant Garde" w:cs="Arial"/>
        </w:rPr>
        <w:t xml:space="preserve"> </w:t>
      </w:r>
      <w:r w:rsidRPr="00735FDE" w:rsidDel="00B27955">
        <w:rPr>
          <w:rFonts w:ascii="ITC Avant Garde" w:hAnsi="ITC Avant Garde" w:cs="Arial"/>
        </w:rPr>
        <w:t>ganadores</w:t>
      </w:r>
      <w:r w:rsidRPr="00735FDE">
        <w:rPr>
          <w:rFonts w:ascii="ITC Avant Garde" w:hAnsi="ITC Avant Garde" w:cs="Arial"/>
        </w:rPr>
        <w:t xml:space="preserve"> </w:t>
      </w:r>
      <w:r w:rsidRPr="00735FDE" w:rsidDel="00B27955">
        <w:rPr>
          <w:rFonts w:ascii="ITC Avant Garde" w:hAnsi="ITC Avant Garde" w:cs="Arial"/>
        </w:rPr>
        <w:t>que</w:t>
      </w:r>
      <w:r w:rsidRPr="00735FDE">
        <w:rPr>
          <w:rFonts w:ascii="ITC Avant Garde" w:hAnsi="ITC Avant Garde" w:cs="Arial"/>
        </w:rPr>
        <w:t xml:space="preserve"> </w:t>
      </w:r>
      <w:r w:rsidRPr="00735FDE" w:rsidDel="00B27955">
        <w:rPr>
          <w:rFonts w:ascii="ITC Avant Garde" w:hAnsi="ITC Avant Garde" w:cs="Arial"/>
        </w:rPr>
        <w:t>manifestaron</w:t>
      </w:r>
      <w:r w:rsidRPr="00735FDE">
        <w:rPr>
          <w:rFonts w:ascii="ITC Avant Garde" w:hAnsi="ITC Avant Garde" w:cs="Arial"/>
        </w:rPr>
        <w:t xml:space="preserve"> </w:t>
      </w:r>
      <w:r w:rsidRPr="00735FDE" w:rsidDel="00B27955">
        <w:rPr>
          <w:rFonts w:ascii="ITC Avant Garde" w:hAnsi="ITC Avant Garde" w:cs="Arial"/>
        </w:rPr>
        <w:t>su</w:t>
      </w:r>
      <w:r w:rsidRPr="00735FDE">
        <w:rPr>
          <w:rFonts w:ascii="ITC Avant Garde" w:hAnsi="ITC Avant Garde" w:cs="Arial"/>
        </w:rPr>
        <w:t xml:space="preserve"> </w:t>
      </w:r>
      <w:r w:rsidRPr="00735FDE" w:rsidDel="00B27955">
        <w:rPr>
          <w:rFonts w:ascii="ITC Avant Garde" w:hAnsi="ITC Avant Garde" w:cs="Arial"/>
        </w:rPr>
        <w:t>interés</w:t>
      </w:r>
      <w:r w:rsidRPr="00735FDE">
        <w:rPr>
          <w:rFonts w:ascii="ITC Avant Garde" w:hAnsi="ITC Avant Garde" w:cs="Arial"/>
        </w:rPr>
        <w:t xml:space="preserve"> </w:t>
      </w:r>
      <w:r w:rsidRPr="00735FDE" w:rsidDel="00B27955">
        <w:rPr>
          <w:rFonts w:ascii="ITC Avant Garde" w:hAnsi="ITC Avant Garde" w:cs="Arial"/>
        </w:rPr>
        <w:t>de</w:t>
      </w:r>
      <w:r w:rsidRPr="00735FDE">
        <w:rPr>
          <w:rFonts w:ascii="ITC Avant Garde" w:hAnsi="ITC Avant Garde" w:cs="Arial"/>
        </w:rPr>
        <w:t xml:space="preserve"> </w:t>
      </w:r>
      <w:r w:rsidRPr="00735FDE" w:rsidDel="00B27955">
        <w:rPr>
          <w:rFonts w:ascii="ITC Avant Garde" w:hAnsi="ITC Avant Garde" w:cs="Arial"/>
        </w:rPr>
        <w:t>continuar</w:t>
      </w:r>
      <w:r w:rsidRPr="00735FDE">
        <w:rPr>
          <w:rFonts w:ascii="ITC Avant Garde" w:hAnsi="ITC Avant Garde" w:cs="Arial"/>
        </w:rPr>
        <w:t xml:space="preserve"> </w:t>
      </w:r>
      <w:r w:rsidRPr="00735FDE" w:rsidDel="00B27955">
        <w:rPr>
          <w:rFonts w:ascii="ITC Avant Garde" w:hAnsi="ITC Avant Garde" w:cs="Arial"/>
        </w:rPr>
        <w:t>en</w:t>
      </w:r>
      <w:r w:rsidRPr="00735FDE">
        <w:rPr>
          <w:rFonts w:ascii="ITC Avant Garde" w:hAnsi="ITC Avant Garde" w:cs="Arial"/>
        </w:rPr>
        <w:t xml:space="preserve"> </w:t>
      </w:r>
      <w:r w:rsidRPr="00735FDE" w:rsidDel="00B27955">
        <w:rPr>
          <w:rFonts w:ascii="ITC Avant Garde" w:hAnsi="ITC Avant Garde" w:cs="Arial"/>
        </w:rPr>
        <w:t>la</w:t>
      </w:r>
      <w:r w:rsidRPr="00735FDE">
        <w:rPr>
          <w:rFonts w:ascii="ITC Avant Garde" w:hAnsi="ITC Avant Garde" w:cs="Arial"/>
        </w:rPr>
        <w:t xml:space="preserve"> </w:t>
      </w:r>
      <w:r w:rsidRPr="00735FDE" w:rsidDel="00B27955">
        <w:rPr>
          <w:rFonts w:ascii="ITC Avant Garde" w:hAnsi="ITC Avant Garde" w:cs="Arial"/>
        </w:rPr>
        <w:t>Licitación</w:t>
      </w:r>
      <w:r w:rsidRPr="00735FDE">
        <w:rPr>
          <w:rFonts w:ascii="ITC Avant Garde" w:hAnsi="ITC Avant Garde" w:cs="Arial"/>
        </w:rPr>
        <w:t xml:space="preserve"> </w:t>
      </w:r>
      <w:r w:rsidRPr="00735FDE" w:rsidDel="00B27955">
        <w:rPr>
          <w:rFonts w:ascii="ITC Avant Garde" w:hAnsi="ITC Avant Garde" w:cs="Arial"/>
        </w:rPr>
        <w:t>No.</w:t>
      </w:r>
      <w:r w:rsidRPr="00735FDE">
        <w:rPr>
          <w:rFonts w:ascii="ITC Avant Garde" w:hAnsi="ITC Avant Garde" w:cs="Arial"/>
        </w:rPr>
        <w:t xml:space="preserve"> </w:t>
      </w:r>
      <w:r w:rsidRPr="00735FDE" w:rsidDel="00B27955">
        <w:rPr>
          <w:rFonts w:ascii="ITC Avant Garde" w:hAnsi="ITC Avant Garde" w:cs="Arial"/>
        </w:rPr>
        <w:t>IFT-</w:t>
      </w:r>
      <w:r w:rsidR="001C227A">
        <w:rPr>
          <w:rFonts w:ascii="ITC Avant Garde" w:hAnsi="ITC Avant Garde" w:cs="Arial"/>
        </w:rPr>
        <w:t>5</w:t>
      </w:r>
      <w:r w:rsidR="00DD5EAC">
        <w:rPr>
          <w:rFonts w:ascii="ITC Avant Garde" w:hAnsi="ITC Avant Garde" w:cs="Arial"/>
        </w:rPr>
        <w:t>, siempre</w:t>
      </w:r>
      <w:r w:rsidR="00B0487D">
        <w:rPr>
          <w:rFonts w:ascii="ITC Avant Garde" w:hAnsi="ITC Avant Garde" w:cs="Arial"/>
        </w:rPr>
        <w:t xml:space="preserve"> que no hayan incurrido en una causal de descalificación</w:t>
      </w:r>
      <w:r w:rsidRPr="00735FDE" w:rsidDel="00B27955">
        <w:rPr>
          <w:rFonts w:ascii="ITC Avant Garde" w:hAnsi="ITC Avant Garde" w:cs="Arial"/>
        </w:rPr>
        <w:t>.</w:t>
      </w:r>
    </w:p>
    <w:p w14:paraId="637644AF" w14:textId="77777777" w:rsidR="00B156EB" w:rsidRDefault="0086693A" w:rsidP="00B156EB">
      <w:pPr>
        <w:spacing w:before="240" w:after="240" w:line="240" w:lineRule="auto"/>
        <w:contextualSpacing/>
        <w:jc w:val="both"/>
        <w:rPr>
          <w:rFonts w:ascii="ITC Avant Garde" w:eastAsia="Times New Roman" w:hAnsi="ITC Avant Garde" w:cs="Arial"/>
          <w:lang w:eastAsia="es-MX"/>
        </w:rPr>
      </w:pPr>
      <w:r w:rsidRPr="0086693A">
        <w:rPr>
          <w:rFonts w:ascii="ITC Avant Garde" w:eastAsia="Times New Roman" w:hAnsi="ITC Avant Garde" w:cs="Arial"/>
          <w:lang w:eastAsia="es-MX"/>
        </w:rPr>
        <w:t>Por lo expuesto, con fundamento en los artículos 6o., párrafo tercer</w:t>
      </w:r>
      <w:r w:rsidR="00DD5EAC">
        <w:rPr>
          <w:rFonts w:ascii="ITC Avant Garde" w:eastAsia="Times New Roman" w:hAnsi="ITC Avant Garde" w:cs="Arial"/>
          <w:lang w:eastAsia="es-MX"/>
        </w:rPr>
        <w:t>o y Apartado B, fracción II, 27 párrafos cuarto y sexto, 28</w:t>
      </w:r>
      <w:r w:rsidRPr="0086693A">
        <w:rPr>
          <w:rFonts w:ascii="ITC Avant Garde" w:eastAsia="Times New Roman" w:hAnsi="ITC Avant Garde" w:cs="Arial"/>
          <w:lang w:eastAsia="es-MX"/>
        </w:rPr>
        <w:t xml:space="preserve"> párrafos décimo primero, décimo quinto, décimo sexto, décimo séptimo y décimo octavo y 134 de la Constitución Política de los Estados Unidos Mexicanos; 1, 2, 7, 15 fracciones VII, XVIII y LXIII, </w:t>
      </w:r>
      <w:r>
        <w:rPr>
          <w:rFonts w:ascii="ITC Avant Garde" w:eastAsia="Times New Roman" w:hAnsi="ITC Avant Garde" w:cs="Arial"/>
          <w:lang w:eastAsia="es-MX"/>
        </w:rPr>
        <w:t xml:space="preserve">16, </w:t>
      </w:r>
      <w:r w:rsidRPr="0086693A">
        <w:rPr>
          <w:rFonts w:ascii="ITC Avant Garde" w:eastAsia="Times New Roman" w:hAnsi="ITC Avant Garde" w:cs="Arial"/>
          <w:lang w:eastAsia="es-MX"/>
        </w:rPr>
        <w:t>17 fr</w:t>
      </w:r>
      <w:r w:rsidR="00DD5EAC">
        <w:rPr>
          <w:rFonts w:ascii="ITC Avant Garde" w:eastAsia="Times New Roman" w:hAnsi="ITC Avant Garde" w:cs="Arial"/>
          <w:lang w:eastAsia="es-MX"/>
        </w:rPr>
        <w:t>acción XV, 54, 78</w:t>
      </w:r>
      <w:r w:rsidR="00A633B8">
        <w:rPr>
          <w:rFonts w:ascii="ITC Avant Garde" w:eastAsia="Times New Roman" w:hAnsi="ITC Avant Garde" w:cs="Arial"/>
          <w:lang w:eastAsia="es-MX"/>
        </w:rPr>
        <w:t xml:space="preserve"> fracción I, </w:t>
      </w:r>
      <w:r w:rsidRPr="0086693A">
        <w:rPr>
          <w:rFonts w:ascii="ITC Avant Garde" w:eastAsia="Times New Roman" w:hAnsi="ITC Avant Garde" w:cs="Arial"/>
          <w:lang w:eastAsia="es-MX"/>
        </w:rPr>
        <w:t>79,</w:t>
      </w:r>
      <w:r w:rsidR="00A633B8">
        <w:rPr>
          <w:rFonts w:ascii="ITC Avant Garde" w:eastAsia="Times New Roman" w:hAnsi="ITC Avant Garde" w:cs="Arial"/>
          <w:lang w:eastAsia="es-MX"/>
        </w:rPr>
        <w:t xml:space="preserve"> 101 y 102</w:t>
      </w:r>
      <w:r w:rsidRPr="0086693A">
        <w:rPr>
          <w:rFonts w:ascii="ITC Avant Garde" w:eastAsia="Times New Roman" w:hAnsi="ITC Avant Garde" w:cs="Arial"/>
          <w:lang w:eastAsia="es-MX"/>
        </w:rPr>
        <w:t xml:space="preserve"> de la Ley Federal de Telecomunicaciones y Radiodifusión; 1, 4 fracción I, 6 fracción I, 27, 29 fracciones I y </w:t>
      </w:r>
      <w:r>
        <w:rPr>
          <w:rFonts w:ascii="ITC Avant Garde" w:eastAsia="Times New Roman" w:hAnsi="ITC Avant Garde" w:cs="Arial"/>
          <w:lang w:eastAsia="es-MX"/>
        </w:rPr>
        <w:t xml:space="preserve">V </w:t>
      </w:r>
      <w:r w:rsidRPr="0086693A">
        <w:rPr>
          <w:rFonts w:ascii="ITC Avant Garde" w:eastAsia="Times New Roman" w:hAnsi="ITC Avant Garde" w:cs="Arial"/>
          <w:lang w:eastAsia="es-MX"/>
        </w:rPr>
        <w:t>del Estatuto Orgánico del Instituto Federal de Telecomunic</w:t>
      </w:r>
      <w:r>
        <w:rPr>
          <w:rFonts w:ascii="ITC Avant Garde" w:eastAsia="Times New Roman" w:hAnsi="ITC Avant Garde" w:cs="Arial"/>
          <w:lang w:eastAsia="es-MX"/>
        </w:rPr>
        <w:t>aciones</w:t>
      </w:r>
      <w:r w:rsidR="00DB42E6">
        <w:rPr>
          <w:rFonts w:ascii="ITC Avant Garde" w:eastAsia="Times New Roman" w:hAnsi="ITC Avant Garde" w:cs="Arial"/>
          <w:lang w:eastAsia="es-MX"/>
        </w:rPr>
        <w:t>;</w:t>
      </w:r>
      <w:r>
        <w:rPr>
          <w:rFonts w:ascii="ITC Avant Garde" w:eastAsia="Times New Roman" w:hAnsi="ITC Avant Garde" w:cs="Arial"/>
          <w:lang w:eastAsia="es-MX"/>
        </w:rPr>
        <w:t xml:space="preserve"> y</w:t>
      </w:r>
      <w:r w:rsidR="00383766">
        <w:rPr>
          <w:rFonts w:ascii="ITC Avant Garde" w:eastAsia="Times New Roman" w:hAnsi="ITC Avant Garde" w:cs="Arial"/>
          <w:lang w:eastAsia="es-MX"/>
        </w:rPr>
        <w:t xml:space="preserve"> los</w:t>
      </w:r>
      <w:r>
        <w:rPr>
          <w:rFonts w:ascii="ITC Avant Garde" w:eastAsia="Times New Roman" w:hAnsi="ITC Avant Garde" w:cs="Arial"/>
          <w:lang w:eastAsia="es-MX"/>
        </w:rPr>
        <w:t xml:space="preserve"> numerales 1, 2.1, 3.2</w:t>
      </w:r>
      <w:r w:rsidRPr="0086693A">
        <w:rPr>
          <w:rFonts w:ascii="ITC Avant Garde" w:eastAsia="Times New Roman" w:hAnsi="ITC Avant Garde" w:cs="Arial"/>
          <w:lang w:eastAsia="es-MX"/>
        </w:rPr>
        <w:t>, 4, 5.</w:t>
      </w:r>
      <w:r>
        <w:rPr>
          <w:rFonts w:ascii="ITC Avant Garde" w:eastAsia="Times New Roman" w:hAnsi="ITC Avant Garde" w:cs="Arial"/>
          <w:lang w:eastAsia="es-MX"/>
        </w:rPr>
        <w:t xml:space="preserve">4.1, 5.4.3, 5.4.4 </w:t>
      </w:r>
      <w:r w:rsidRPr="0086693A">
        <w:rPr>
          <w:rFonts w:ascii="ITC Avant Garde" w:eastAsia="Times New Roman" w:hAnsi="ITC Avant Garde" w:cs="Arial"/>
          <w:lang w:eastAsia="es-MX"/>
        </w:rPr>
        <w:t>y 16.4 de las 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 el Pleno del Instituto Federal de Telecomunicaciones emite el siguiente:</w:t>
      </w:r>
    </w:p>
    <w:p w14:paraId="4EB11172" w14:textId="73356BD2" w:rsidR="00B156EB" w:rsidRDefault="00E05F79" w:rsidP="00B156EB">
      <w:pPr>
        <w:pBdr>
          <w:top w:val="nil"/>
          <w:left w:val="nil"/>
          <w:bottom w:val="nil"/>
          <w:right w:val="nil"/>
          <w:between w:val="nil"/>
          <w:bar w:val="nil"/>
        </w:pBdr>
        <w:spacing w:before="240" w:after="240" w:line="240" w:lineRule="auto"/>
        <w:contextualSpacing/>
        <w:jc w:val="center"/>
        <w:outlineLvl w:val="1"/>
        <w:rPr>
          <w:rFonts w:ascii="ITC Avant Garde" w:hAnsi="ITC Avant Garde"/>
          <w:b/>
          <w:bCs/>
          <w:lang w:eastAsia="es-MX"/>
        </w:rPr>
      </w:pPr>
      <w:r w:rsidRPr="00735FDE">
        <w:rPr>
          <w:rFonts w:ascii="ITC Avant Garde" w:hAnsi="ITC Avant Garde"/>
          <w:b/>
          <w:bCs/>
          <w:lang w:eastAsia="es-MX"/>
        </w:rPr>
        <w:t>FALLO</w:t>
      </w:r>
    </w:p>
    <w:p w14:paraId="1B360749" w14:textId="6AE0D750" w:rsidR="00E05F79" w:rsidRPr="003B6289" w:rsidRDefault="00B546A7" w:rsidP="00B156EB">
      <w:pPr>
        <w:pStyle w:val="Prrafodelista"/>
        <w:spacing w:before="240" w:after="240"/>
        <w:ind w:left="0"/>
        <w:jc w:val="both"/>
        <w:rPr>
          <w:rFonts w:ascii="ITC Avant Garde" w:eastAsia="Arial Unicode MS" w:hAnsi="ITC Avant Garde" w:cs="Arial"/>
          <w:bCs/>
          <w:sz w:val="22"/>
          <w:szCs w:val="22"/>
          <w:u w:color="000000"/>
          <w:bdr w:val="nil"/>
          <w:lang w:val="es-ES_tradnl"/>
        </w:rPr>
      </w:pPr>
      <w:r w:rsidRPr="00B546A7">
        <w:rPr>
          <w:rFonts w:ascii="ITC Avant Garde" w:eastAsia="Arial Unicode MS" w:hAnsi="ITC Avant Garde" w:cs="Arial"/>
          <w:b/>
          <w:bCs/>
          <w:sz w:val="22"/>
          <w:szCs w:val="22"/>
          <w:u w:color="000000"/>
          <w:bdr w:val="nil"/>
          <w:lang w:val="es-ES_tradnl"/>
        </w:rPr>
        <w:t>PRIMERO.</w:t>
      </w:r>
      <w:r>
        <w:rPr>
          <w:rFonts w:ascii="ITC Avant Garde" w:eastAsia="Arial Unicode MS" w:hAnsi="ITC Avant Garde" w:cs="Arial"/>
          <w:bCs/>
          <w:sz w:val="22"/>
          <w:szCs w:val="22"/>
          <w:u w:color="000000"/>
          <w:bdr w:val="nil"/>
          <w:lang w:val="es-ES_tradnl"/>
        </w:rPr>
        <w:t xml:space="preserve"> </w:t>
      </w:r>
      <w:r w:rsidR="00E05F79" w:rsidRPr="003B6289">
        <w:rPr>
          <w:rFonts w:ascii="ITC Avant Garde" w:eastAsia="Arial Unicode MS" w:hAnsi="ITC Avant Garde" w:cs="Arial"/>
          <w:bCs/>
          <w:sz w:val="22"/>
          <w:szCs w:val="22"/>
          <w:u w:color="000000"/>
          <w:bdr w:val="nil"/>
          <w:lang w:val="es-ES_tradnl"/>
        </w:rPr>
        <w:t>Se declara como Participante Ganador de la Licitación No. IFT-</w:t>
      </w:r>
      <w:r w:rsidR="004F2488" w:rsidRPr="003B6289">
        <w:rPr>
          <w:rFonts w:ascii="ITC Avant Garde" w:eastAsia="Arial Unicode MS" w:hAnsi="ITC Avant Garde" w:cs="Arial"/>
          <w:bCs/>
          <w:sz w:val="22"/>
          <w:szCs w:val="22"/>
          <w:u w:color="000000"/>
          <w:bdr w:val="nil"/>
          <w:lang w:val="es-ES_tradnl"/>
        </w:rPr>
        <w:t>5</w:t>
      </w:r>
      <w:r w:rsidR="00E05F79" w:rsidRPr="003B6289">
        <w:rPr>
          <w:rFonts w:ascii="ITC Avant Garde" w:eastAsia="Arial Unicode MS" w:hAnsi="ITC Avant Garde" w:cs="Arial"/>
          <w:bCs/>
          <w:sz w:val="22"/>
          <w:szCs w:val="22"/>
          <w:u w:color="000000"/>
          <w:bdr w:val="nil"/>
          <w:lang w:val="es-ES_tradnl"/>
        </w:rPr>
        <w:t xml:space="preserve">, al Participante </w:t>
      </w:r>
      <w:r w:rsidR="00760704" w:rsidRPr="003B6289">
        <w:rPr>
          <w:rFonts w:ascii="ITC Avant Garde" w:eastAsia="Arial Unicode MS" w:hAnsi="ITC Avant Garde" w:cs="Arial"/>
          <w:b/>
          <w:bCs/>
          <w:sz w:val="22"/>
          <w:szCs w:val="22"/>
          <w:u w:color="000000"/>
          <w:bdr w:val="nil"/>
          <w:lang w:val="es-ES_tradnl"/>
        </w:rPr>
        <w:t>CONCESIONARIA COMSEG, S.A. DE C.V.</w:t>
      </w:r>
      <w:r w:rsidR="00E05F79" w:rsidRPr="003B6289">
        <w:rPr>
          <w:rFonts w:ascii="ITC Avant Garde" w:eastAsia="Arial Unicode MS" w:hAnsi="ITC Avant Garde" w:cs="Arial"/>
          <w:bCs/>
          <w:sz w:val="22"/>
          <w:szCs w:val="22"/>
          <w:u w:color="000000"/>
          <w:bdr w:val="nil"/>
          <w:lang w:val="es-ES_tradnl"/>
        </w:rPr>
        <w:t xml:space="preserve">, con número de Folio Único </w:t>
      </w:r>
      <w:r w:rsidR="00760704" w:rsidRPr="003B6289">
        <w:rPr>
          <w:rFonts w:ascii="ITC Avant Garde" w:eastAsia="Arial Unicode MS" w:hAnsi="ITC Avant Garde" w:cs="Arial"/>
          <w:b/>
          <w:bCs/>
          <w:sz w:val="22"/>
          <w:szCs w:val="22"/>
          <w:u w:color="000000"/>
          <w:bdr w:val="nil"/>
          <w:lang w:val="es-ES_tradnl"/>
        </w:rPr>
        <w:t>C1-440444</w:t>
      </w:r>
      <w:r w:rsidR="00E05F79" w:rsidRPr="003B6289">
        <w:rPr>
          <w:rFonts w:ascii="ITC Avant Garde" w:eastAsia="Arial Unicode MS" w:hAnsi="ITC Avant Garde" w:cs="Arial"/>
          <w:bCs/>
          <w:sz w:val="22"/>
          <w:szCs w:val="22"/>
          <w:u w:color="000000"/>
          <w:bdr w:val="nil"/>
          <w:lang w:val="es-ES_tradnl"/>
        </w:rPr>
        <w:t>, respecto de</w:t>
      </w:r>
      <w:r w:rsidR="009B2E1D" w:rsidRPr="003B6289">
        <w:rPr>
          <w:rFonts w:ascii="ITC Avant Garde" w:eastAsia="Arial Unicode MS" w:hAnsi="ITC Avant Garde" w:cs="Arial"/>
          <w:bCs/>
          <w:sz w:val="22"/>
          <w:szCs w:val="22"/>
          <w:u w:color="000000"/>
          <w:bdr w:val="nil"/>
          <w:lang w:val="es-ES_tradnl"/>
        </w:rPr>
        <w:t xml:space="preserve"> </w:t>
      </w:r>
      <w:r w:rsidR="00E05F79" w:rsidRPr="003B6289">
        <w:rPr>
          <w:rFonts w:ascii="ITC Avant Garde" w:eastAsia="Arial Unicode MS" w:hAnsi="ITC Avant Garde" w:cs="Arial"/>
          <w:bCs/>
          <w:sz w:val="22"/>
          <w:szCs w:val="22"/>
          <w:u w:color="000000"/>
          <w:bdr w:val="nil"/>
          <w:lang w:val="es-ES_tradnl"/>
        </w:rPr>
        <w:t>l</w:t>
      </w:r>
      <w:r w:rsidR="009B2E1D" w:rsidRPr="003B6289">
        <w:rPr>
          <w:rFonts w:ascii="ITC Avant Garde" w:eastAsia="Arial Unicode MS" w:hAnsi="ITC Avant Garde" w:cs="Arial"/>
          <w:bCs/>
          <w:sz w:val="22"/>
          <w:szCs w:val="22"/>
          <w:u w:color="000000"/>
          <w:bdr w:val="nil"/>
          <w:lang w:val="es-ES_tradnl"/>
        </w:rPr>
        <w:t>os</w:t>
      </w:r>
      <w:r w:rsidR="00E05F79" w:rsidRPr="003B6289">
        <w:rPr>
          <w:rFonts w:ascii="ITC Avant Garde" w:eastAsia="Arial Unicode MS" w:hAnsi="ITC Avant Garde" w:cs="Arial"/>
          <w:bCs/>
          <w:sz w:val="22"/>
          <w:szCs w:val="22"/>
          <w:u w:color="000000"/>
          <w:bdr w:val="nil"/>
          <w:lang w:val="es-ES_tradnl"/>
        </w:rPr>
        <w:t xml:space="preserve"> </w:t>
      </w:r>
      <w:r w:rsidR="00985A66" w:rsidRPr="003B6289">
        <w:rPr>
          <w:rFonts w:ascii="ITC Avant Garde" w:eastAsia="Arial Unicode MS" w:hAnsi="ITC Avant Garde" w:cs="Arial"/>
          <w:bCs/>
          <w:sz w:val="22"/>
          <w:szCs w:val="22"/>
          <w:u w:color="000000"/>
          <w:bdr w:val="nil"/>
          <w:lang w:val="es-ES_tradnl"/>
        </w:rPr>
        <w:t>Bloque</w:t>
      </w:r>
      <w:r w:rsidR="009B2E1D" w:rsidRPr="003B6289">
        <w:rPr>
          <w:rFonts w:ascii="ITC Avant Garde" w:eastAsia="Arial Unicode MS" w:hAnsi="ITC Avant Garde" w:cs="Arial"/>
          <w:bCs/>
          <w:sz w:val="22"/>
          <w:szCs w:val="22"/>
          <w:u w:color="000000"/>
          <w:bdr w:val="nil"/>
          <w:lang w:val="es-ES_tradnl"/>
        </w:rPr>
        <w:t>s</w:t>
      </w:r>
      <w:r w:rsidR="00985A66" w:rsidRPr="003B6289">
        <w:rPr>
          <w:rFonts w:ascii="ITC Avant Garde" w:eastAsia="Arial Unicode MS" w:hAnsi="ITC Avant Garde" w:cs="Arial"/>
          <w:bCs/>
          <w:sz w:val="22"/>
          <w:szCs w:val="22"/>
          <w:u w:color="000000"/>
          <w:bdr w:val="nil"/>
          <w:lang w:val="es-ES_tradnl"/>
        </w:rPr>
        <w:t xml:space="preserve"> </w:t>
      </w:r>
      <w:r w:rsidR="00760704" w:rsidRPr="003B6289">
        <w:rPr>
          <w:rFonts w:ascii="ITC Avant Garde" w:hAnsi="ITC Avant Garde"/>
          <w:b/>
          <w:bCs/>
          <w:noProof/>
          <w:sz w:val="22"/>
          <w:szCs w:val="22"/>
          <w:lang w:eastAsia="es-MX"/>
        </w:rPr>
        <w:t>1, 2, 4, 5</w:t>
      </w:r>
      <w:r w:rsidR="00760704" w:rsidRPr="003B6289">
        <w:rPr>
          <w:rFonts w:ascii="ITC Avant Garde" w:hAnsi="ITC Avant Garde"/>
          <w:b/>
          <w:bCs/>
          <w:sz w:val="22"/>
          <w:szCs w:val="22"/>
          <w:lang w:eastAsia="es-MX"/>
        </w:rPr>
        <w:t>,</w:t>
      </w:r>
      <w:r w:rsidR="003B6289">
        <w:rPr>
          <w:rFonts w:ascii="ITC Avant Garde" w:hAnsi="ITC Avant Garde"/>
          <w:b/>
          <w:bCs/>
          <w:sz w:val="22"/>
          <w:szCs w:val="22"/>
          <w:lang w:eastAsia="es-MX"/>
        </w:rPr>
        <w:t xml:space="preserve"> 7, 8, 9, 10 y</w:t>
      </w:r>
      <w:r w:rsidR="00760704" w:rsidRPr="003B6289">
        <w:rPr>
          <w:rFonts w:ascii="ITC Avant Garde" w:hAnsi="ITC Avant Garde"/>
          <w:b/>
          <w:bCs/>
          <w:sz w:val="22"/>
          <w:szCs w:val="22"/>
          <w:lang w:eastAsia="es-MX"/>
        </w:rPr>
        <w:t xml:space="preserve"> 11</w:t>
      </w:r>
      <w:r w:rsidR="00E05F79" w:rsidRPr="003B6289">
        <w:rPr>
          <w:rFonts w:ascii="ITC Avant Garde" w:eastAsia="Arial Unicode MS" w:hAnsi="ITC Avant Garde" w:cs="Arial"/>
          <w:bCs/>
          <w:sz w:val="22"/>
          <w:szCs w:val="22"/>
          <w:u w:color="000000"/>
          <w:bdr w:val="nil"/>
          <w:lang w:val="es-ES_tradnl"/>
        </w:rPr>
        <w:t xml:space="preserve">, </w:t>
      </w:r>
      <w:r w:rsidR="00E05F79" w:rsidRPr="003B6289">
        <w:rPr>
          <w:rFonts w:ascii="ITC Avant Garde" w:hAnsi="ITC Avant Garde" w:cs="Arial"/>
          <w:bCs/>
          <w:sz w:val="22"/>
          <w:szCs w:val="22"/>
          <w:u w:color="000000"/>
          <w:bdr w:val="nil"/>
          <w:lang w:val="es-ES_tradnl" w:eastAsia="es-MX"/>
        </w:rPr>
        <w:t xml:space="preserve">de conformidad con lo dispuesto en el Considerando </w:t>
      </w:r>
      <w:r w:rsidR="00E05F79" w:rsidRPr="003B6289">
        <w:rPr>
          <w:rFonts w:ascii="ITC Avant Garde" w:hAnsi="ITC Avant Garde" w:cs="Arial"/>
          <w:b/>
          <w:bCs/>
          <w:sz w:val="22"/>
          <w:szCs w:val="22"/>
          <w:u w:color="000000"/>
          <w:bdr w:val="nil"/>
          <w:lang w:val="es-ES_tradnl" w:eastAsia="es-MX"/>
        </w:rPr>
        <w:t>CUARTO</w:t>
      </w:r>
      <w:r w:rsidR="00E05F79" w:rsidRPr="003B6289">
        <w:rPr>
          <w:rFonts w:ascii="ITC Avant Garde" w:hAnsi="ITC Avant Garde" w:cs="Arial"/>
          <w:bCs/>
          <w:sz w:val="22"/>
          <w:szCs w:val="22"/>
          <w:u w:color="000000"/>
          <w:bdr w:val="nil"/>
          <w:lang w:val="es-ES_tradnl" w:eastAsia="es-MX"/>
        </w:rPr>
        <w:t xml:space="preserve"> de la presente Resolución,</w:t>
      </w:r>
      <w:r w:rsidR="00E05F79" w:rsidRPr="003B6289">
        <w:rPr>
          <w:rFonts w:ascii="ITC Avant Garde" w:eastAsia="Arial Unicode MS" w:hAnsi="ITC Avant Garde" w:cs="Arial"/>
          <w:bCs/>
          <w:sz w:val="22"/>
          <w:szCs w:val="22"/>
          <w:u w:color="000000"/>
          <w:bdr w:val="nil"/>
          <w:lang w:val="es-ES_tradnl"/>
        </w:rPr>
        <w:t xml:space="preserve"> </w:t>
      </w:r>
      <w:r w:rsidR="00083A9F" w:rsidRPr="00992931">
        <w:rPr>
          <w:rFonts w:ascii="ITC Avant Garde" w:eastAsia="Arial Unicode MS" w:hAnsi="ITC Avant Garde" w:cs="Arial"/>
          <w:bCs/>
          <w:sz w:val="22"/>
          <w:szCs w:val="22"/>
          <w:u w:color="000000"/>
          <w:bdr w:val="nil"/>
          <w:lang w:val="es-ES_tradnl"/>
        </w:rPr>
        <w:t xml:space="preserve">quien obtuvo </w:t>
      </w:r>
      <w:r w:rsidR="00083A9F">
        <w:rPr>
          <w:rFonts w:ascii="ITC Avant Garde" w:eastAsia="Arial Unicode MS" w:hAnsi="ITC Avant Garde" w:cs="Arial"/>
          <w:bCs/>
          <w:sz w:val="22"/>
          <w:szCs w:val="22"/>
          <w:u w:color="000000"/>
          <w:bdr w:val="nil"/>
          <w:lang w:val="es-ES_tradnl"/>
        </w:rPr>
        <w:t>los</w:t>
      </w:r>
      <w:r w:rsidR="00083A9F" w:rsidRPr="00992931">
        <w:rPr>
          <w:rFonts w:ascii="ITC Avant Garde" w:eastAsia="Arial Unicode MS" w:hAnsi="ITC Avant Garde" w:cs="Arial"/>
          <w:bCs/>
          <w:sz w:val="22"/>
          <w:szCs w:val="22"/>
          <w:u w:color="000000"/>
          <w:bdr w:val="nil"/>
          <w:lang w:val="es-ES_tradnl"/>
        </w:rPr>
        <w:t xml:space="preserve"> resultado</w:t>
      </w:r>
      <w:r w:rsidR="00083A9F">
        <w:rPr>
          <w:rFonts w:ascii="ITC Avant Garde" w:eastAsia="Arial Unicode MS" w:hAnsi="ITC Avant Garde" w:cs="Arial"/>
          <w:bCs/>
          <w:sz w:val="22"/>
          <w:szCs w:val="22"/>
          <w:u w:color="000000"/>
          <w:bdr w:val="nil"/>
          <w:lang w:val="es-ES_tradnl"/>
        </w:rPr>
        <w:t>s que se indican</w:t>
      </w:r>
      <w:r w:rsidR="00083A9F" w:rsidRPr="00992931">
        <w:rPr>
          <w:rFonts w:ascii="ITC Avant Garde" w:eastAsia="Arial Unicode MS" w:hAnsi="ITC Avant Garde" w:cs="Arial"/>
          <w:bCs/>
          <w:sz w:val="22"/>
          <w:szCs w:val="22"/>
          <w:u w:color="000000"/>
          <w:bdr w:val="nil"/>
          <w:lang w:val="es-ES_tradnl"/>
        </w:rPr>
        <w:t xml:space="preserve"> y a quien se le asigna</w:t>
      </w:r>
      <w:r w:rsidR="00083A9F">
        <w:rPr>
          <w:rFonts w:ascii="ITC Avant Garde" w:eastAsia="Arial Unicode MS" w:hAnsi="ITC Avant Garde" w:cs="Arial"/>
          <w:bCs/>
          <w:sz w:val="22"/>
          <w:szCs w:val="22"/>
          <w:u w:color="000000"/>
          <w:bdr w:val="nil"/>
          <w:lang w:val="es-ES_tradnl"/>
        </w:rPr>
        <w:t>n</w:t>
      </w:r>
      <w:r w:rsidR="00083A9F" w:rsidRPr="00992931">
        <w:rPr>
          <w:rFonts w:ascii="ITC Avant Garde" w:eastAsia="Arial Unicode MS" w:hAnsi="ITC Avant Garde" w:cs="Arial"/>
          <w:bCs/>
          <w:sz w:val="22"/>
          <w:szCs w:val="22"/>
          <w:u w:color="000000"/>
          <w:bdr w:val="nil"/>
          <w:lang w:val="es-ES_tradnl"/>
        </w:rPr>
        <w:t xml:space="preserve"> </w:t>
      </w:r>
      <w:r w:rsidR="00083A9F">
        <w:rPr>
          <w:rFonts w:ascii="ITC Avant Garde" w:eastAsia="Arial Unicode MS" w:hAnsi="ITC Avant Garde" w:cs="Arial"/>
          <w:bCs/>
          <w:sz w:val="22"/>
          <w:szCs w:val="22"/>
          <w:u w:color="000000"/>
          <w:bdr w:val="nil"/>
          <w:lang w:val="es-ES_tradnl"/>
        </w:rPr>
        <w:t>los</w:t>
      </w:r>
      <w:r w:rsidR="00083A9F" w:rsidRPr="00992931">
        <w:rPr>
          <w:rFonts w:ascii="ITC Avant Garde" w:eastAsia="Arial Unicode MS" w:hAnsi="ITC Avant Garde" w:cs="Arial"/>
          <w:bCs/>
          <w:sz w:val="22"/>
          <w:szCs w:val="22"/>
          <w:u w:color="000000"/>
          <w:bdr w:val="nil"/>
          <w:lang w:val="es-ES_tradnl"/>
        </w:rPr>
        <w:t xml:space="preserve"> </w:t>
      </w:r>
      <w:r w:rsidR="00083A9F">
        <w:rPr>
          <w:rFonts w:ascii="ITC Avant Garde" w:eastAsia="Arial Unicode MS" w:hAnsi="ITC Avant Garde" w:cs="Arial"/>
          <w:bCs/>
          <w:sz w:val="22"/>
          <w:szCs w:val="22"/>
          <w:u w:color="000000"/>
          <w:bdr w:val="nil"/>
          <w:lang w:val="es-ES_tradnl"/>
        </w:rPr>
        <w:t>Bloques</w:t>
      </w:r>
      <w:r w:rsidR="00083A9F" w:rsidRPr="00735FDE">
        <w:rPr>
          <w:rFonts w:ascii="ITC Avant Garde" w:eastAsia="Arial Unicode MS" w:hAnsi="ITC Avant Garde" w:cs="Arial"/>
          <w:bCs/>
          <w:sz w:val="22"/>
          <w:szCs w:val="22"/>
          <w:u w:color="000000"/>
          <w:bdr w:val="nil"/>
          <w:lang w:val="es-ES_tradnl"/>
        </w:rPr>
        <w:t xml:space="preserve"> </w:t>
      </w:r>
      <w:r w:rsidR="00083A9F">
        <w:rPr>
          <w:rFonts w:ascii="ITC Avant Garde" w:eastAsia="Arial Unicode MS" w:hAnsi="ITC Avant Garde" w:cs="Arial"/>
          <w:bCs/>
          <w:sz w:val="22"/>
          <w:szCs w:val="22"/>
          <w:u w:color="000000"/>
          <w:bdr w:val="nil"/>
          <w:lang w:val="es-ES_tradnl"/>
        </w:rPr>
        <w:t>siguientes</w:t>
      </w:r>
      <w:r w:rsidR="00083A9F" w:rsidRPr="00735FDE">
        <w:rPr>
          <w:rFonts w:ascii="ITC Avant Garde" w:eastAsia="Arial Unicode MS" w:hAnsi="ITC Avant Garde" w:cs="Arial"/>
          <w:bCs/>
          <w:sz w:val="22"/>
          <w:szCs w:val="22"/>
          <w:u w:color="000000"/>
          <w:bdr w:val="nil"/>
          <w:lang w:val="es-ES_tradnl"/>
        </w:rPr>
        <w:t>:</w:t>
      </w:r>
    </w:p>
    <w:tbl>
      <w:tblPr>
        <w:tblStyle w:val="Tablaconcuadrcula"/>
        <w:tblW w:w="0" w:type="auto"/>
        <w:jc w:val="center"/>
        <w:tblLook w:val="04A0" w:firstRow="1" w:lastRow="0" w:firstColumn="1" w:lastColumn="0" w:noHBand="0" w:noVBand="1"/>
        <w:tblCaption w:val="Tabla"/>
        <w:tblDescription w:val="Resultados y bloques asignados."/>
      </w:tblPr>
      <w:tblGrid>
        <w:gridCol w:w="884"/>
        <w:gridCol w:w="3017"/>
        <w:gridCol w:w="2782"/>
        <w:gridCol w:w="1252"/>
      </w:tblGrid>
      <w:tr w:rsidR="003B6289" w:rsidRPr="00735FDE" w14:paraId="79A2785F" w14:textId="77777777" w:rsidTr="00BD445E">
        <w:trPr>
          <w:trHeight w:val="858"/>
          <w:tblHeader/>
          <w:jc w:val="center"/>
        </w:trPr>
        <w:tc>
          <w:tcPr>
            <w:tcW w:w="884" w:type="dxa"/>
            <w:shd w:val="clear" w:color="auto" w:fill="92D050"/>
            <w:vAlign w:val="center"/>
          </w:tcPr>
          <w:p w14:paraId="57B6CEAD" w14:textId="77777777" w:rsidR="003B6289" w:rsidRDefault="003B6289"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No.</w:t>
            </w:r>
          </w:p>
          <w:p w14:paraId="1B239ABE" w14:textId="77777777" w:rsidR="003B6289" w:rsidRPr="00735FDE" w:rsidRDefault="003B6289"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Bloque</w:t>
            </w:r>
            <w:r w:rsidRPr="00735FDE">
              <w:rPr>
                <w:rStyle w:val="Refdenotaalpie"/>
                <w:rFonts w:ascii="ITC Avant Garde" w:hAnsi="ITC Avant Garde" w:cs="Arial Unicode MS"/>
                <w:sz w:val="18"/>
                <w:szCs w:val="18"/>
                <w:u w:color="000000"/>
                <w:bdr w:val="nil"/>
                <w:lang w:val="es-ES_tradnl" w:eastAsia="es-MX"/>
              </w:rPr>
              <w:footnoteReference w:id="5"/>
            </w:r>
          </w:p>
        </w:tc>
        <w:tc>
          <w:tcPr>
            <w:tcW w:w="3017" w:type="dxa"/>
            <w:shd w:val="clear" w:color="auto" w:fill="92D050"/>
            <w:vAlign w:val="center"/>
          </w:tcPr>
          <w:p w14:paraId="3FF420F9" w14:textId="77777777" w:rsidR="003B6289" w:rsidRPr="00735FDE" w:rsidRDefault="003B6289"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Nombre del Bloque</w:t>
            </w:r>
          </w:p>
        </w:tc>
        <w:tc>
          <w:tcPr>
            <w:tcW w:w="2782" w:type="dxa"/>
            <w:shd w:val="clear" w:color="auto" w:fill="92D050"/>
            <w:vAlign w:val="center"/>
          </w:tcPr>
          <w:p w14:paraId="13A1C1E8" w14:textId="77777777" w:rsidR="003B6289" w:rsidRDefault="003B6289"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Segmento de la</w:t>
            </w:r>
          </w:p>
          <w:p w14:paraId="3F98A5C4" w14:textId="77777777" w:rsidR="003B6289" w:rsidRPr="00735FDE" w:rsidRDefault="003B6289"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Banda 440-450</w:t>
            </w:r>
          </w:p>
        </w:tc>
        <w:tc>
          <w:tcPr>
            <w:tcW w:w="1252" w:type="dxa"/>
            <w:shd w:val="clear" w:color="auto" w:fill="92D050"/>
            <w:vAlign w:val="center"/>
          </w:tcPr>
          <w:p w14:paraId="5E1C2ACA" w14:textId="77777777" w:rsidR="003B6289" w:rsidRDefault="003B6289" w:rsidP="00B156EB">
            <w:pPr>
              <w:spacing w:before="240" w:after="240"/>
              <w:contextualSpacing/>
              <w:jc w:val="center"/>
              <w:outlineLvl w:val="1"/>
              <w:rPr>
                <w:rFonts w:ascii="ITC Avant Garde" w:hAnsi="ITC Avant Garde" w:cs="Arial Unicode MS"/>
                <w:sz w:val="18"/>
                <w:szCs w:val="18"/>
                <w:u w:color="000000"/>
                <w:bdr w:val="nil"/>
                <w:lang w:val="es-ES_tradnl" w:eastAsia="es-MX"/>
              </w:rPr>
            </w:pPr>
            <w:r>
              <w:rPr>
                <w:rFonts w:ascii="ITC Avant Garde" w:hAnsi="ITC Avant Garde" w:cs="Arial Unicode MS"/>
                <w:sz w:val="18"/>
                <w:szCs w:val="18"/>
                <w:u w:color="000000"/>
                <w:bdr w:val="nil"/>
                <w:lang w:val="es-ES_tradnl" w:eastAsia="es-MX"/>
              </w:rPr>
              <w:t>Puntaje</w:t>
            </w:r>
          </w:p>
        </w:tc>
      </w:tr>
      <w:tr w:rsidR="003B6289" w:rsidRPr="00F14D9D" w14:paraId="2C94A4CF" w14:textId="77777777" w:rsidTr="00BD445E">
        <w:trPr>
          <w:trHeight w:val="745"/>
          <w:jc w:val="center"/>
        </w:trPr>
        <w:tc>
          <w:tcPr>
            <w:tcW w:w="884" w:type="dxa"/>
            <w:shd w:val="clear" w:color="auto" w:fill="E2EFD9" w:themeFill="accent6" w:themeFillTint="33"/>
            <w:vAlign w:val="center"/>
          </w:tcPr>
          <w:p w14:paraId="68F0D16A" w14:textId="77777777" w:rsidR="003B6289" w:rsidRPr="00F14D9D" w:rsidRDefault="003B6289"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1</w:t>
            </w:r>
          </w:p>
        </w:tc>
        <w:tc>
          <w:tcPr>
            <w:tcW w:w="3017" w:type="dxa"/>
            <w:shd w:val="clear" w:color="auto" w:fill="E2EFD9" w:themeFill="accent6" w:themeFillTint="33"/>
            <w:vAlign w:val="center"/>
          </w:tcPr>
          <w:p w14:paraId="799EC7EA"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1)</w:t>
            </w:r>
          </w:p>
        </w:tc>
        <w:tc>
          <w:tcPr>
            <w:tcW w:w="2782" w:type="dxa"/>
            <w:shd w:val="clear" w:color="auto" w:fill="E2EFD9" w:themeFill="accent6" w:themeFillTint="33"/>
            <w:vAlign w:val="center"/>
          </w:tcPr>
          <w:p w14:paraId="5B68583D"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52" w:type="dxa"/>
            <w:shd w:val="clear" w:color="auto" w:fill="E2EFD9" w:themeFill="accent6" w:themeFillTint="33"/>
            <w:vAlign w:val="center"/>
          </w:tcPr>
          <w:p w14:paraId="4D0DFC4B"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1062</w:t>
            </w:r>
          </w:p>
        </w:tc>
      </w:tr>
      <w:tr w:rsidR="003B6289" w:rsidRPr="00F14D9D" w14:paraId="3ADF1B38" w14:textId="77777777" w:rsidTr="00BD445E">
        <w:trPr>
          <w:trHeight w:val="745"/>
          <w:jc w:val="center"/>
        </w:trPr>
        <w:tc>
          <w:tcPr>
            <w:tcW w:w="884" w:type="dxa"/>
            <w:vAlign w:val="center"/>
          </w:tcPr>
          <w:p w14:paraId="5D8371B0" w14:textId="77777777" w:rsidR="003B6289" w:rsidRPr="00F14D9D" w:rsidRDefault="003B6289"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2</w:t>
            </w:r>
          </w:p>
        </w:tc>
        <w:tc>
          <w:tcPr>
            <w:tcW w:w="3017" w:type="dxa"/>
            <w:vAlign w:val="center"/>
          </w:tcPr>
          <w:p w14:paraId="16AD5AA3"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2)</w:t>
            </w:r>
          </w:p>
        </w:tc>
        <w:tc>
          <w:tcPr>
            <w:tcW w:w="2782" w:type="dxa"/>
            <w:vAlign w:val="center"/>
          </w:tcPr>
          <w:p w14:paraId="137ACFB2"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52" w:type="dxa"/>
            <w:vAlign w:val="center"/>
          </w:tcPr>
          <w:p w14:paraId="697EA725"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261</w:t>
            </w:r>
          </w:p>
        </w:tc>
      </w:tr>
      <w:tr w:rsidR="003B6289" w:rsidRPr="00F14D9D" w14:paraId="51151013" w14:textId="77777777" w:rsidTr="00BD445E">
        <w:trPr>
          <w:trHeight w:val="745"/>
          <w:jc w:val="center"/>
        </w:trPr>
        <w:tc>
          <w:tcPr>
            <w:tcW w:w="884" w:type="dxa"/>
            <w:shd w:val="clear" w:color="auto" w:fill="E2EFD9" w:themeFill="accent6" w:themeFillTint="33"/>
            <w:vAlign w:val="center"/>
          </w:tcPr>
          <w:p w14:paraId="1C2418F3" w14:textId="77777777" w:rsidR="003B6289" w:rsidRPr="00F14D9D" w:rsidRDefault="003B6289"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lastRenderedPageBreak/>
              <w:t>4</w:t>
            </w:r>
          </w:p>
        </w:tc>
        <w:tc>
          <w:tcPr>
            <w:tcW w:w="3017" w:type="dxa"/>
            <w:shd w:val="clear" w:color="auto" w:fill="E2EFD9" w:themeFill="accent6" w:themeFillTint="33"/>
            <w:vAlign w:val="center"/>
          </w:tcPr>
          <w:p w14:paraId="2FDDE171"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4)</w:t>
            </w:r>
          </w:p>
        </w:tc>
        <w:tc>
          <w:tcPr>
            <w:tcW w:w="2782" w:type="dxa"/>
            <w:shd w:val="clear" w:color="auto" w:fill="E2EFD9" w:themeFill="accent6" w:themeFillTint="33"/>
            <w:vAlign w:val="center"/>
          </w:tcPr>
          <w:p w14:paraId="6E1E8A9C"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52" w:type="dxa"/>
            <w:shd w:val="clear" w:color="auto" w:fill="E2EFD9" w:themeFill="accent6" w:themeFillTint="33"/>
            <w:vAlign w:val="center"/>
          </w:tcPr>
          <w:p w14:paraId="24B8655B"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5202</w:t>
            </w:r>
          </w:p>
        </w:tc>
      </w:tr>
      <w:tr w:rsidR="003B6289" w:rsidRPr="00F14D9D" w14:paraId="050A15FE" w14:textId="77777777" w:rsidTr="00BD445E">
        <w:trPr>
          <w:trHeight w:val="745"/>
          <w:jc w:val="center"/>
        </w:trPr>
        <w:tc>
          <w:tcPr>
            <w:tcW w:w="884" w:type="dxa"/>
            <w:vAlign w:val="center"/>
          </w:tcPr>
          <w:p w14:paraId="301695B3" w14:textId="77777777" w:rsidR="003B6289" w:rsidRPr="00F14D9D" w:rsidRDefault="003B6289"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5</w:t>
            </w:r>
          </w:p>
        </w:tc>
        <w:tc>
          <w:tcPr>
            <w:tcW w:w="3017" w:type="dxa"/>
            <w:vAlign w:val="center"/>
          </w:tcPr>
          <w:p w14:paraId="6D79C3F9"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5)</w:t>
            </w:r>
          </w:p>
        </w:tc>
        <w:tc>
          <w:tcPr>
            <w:tcW w:w="2782" w:type="dxa"/>
            <w:vAlign w:val="center"/>
          </w:tcPr>
          <w:p w14:paraId="73602063"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52" w:type="dxa"/>
            <w:vAlign w:val="center"/>
          </w:tcPr>
          <w:p w14:paraId="49C77CC3"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2730</w:t>
            </w:r>
          </w:p>
        </w:tc>
      </w:tr>
      <w:tr w:rsidR="003B6289" w:rsidRPr="00F14D9D" w14:paraId="1E763CD6" w14:textId="77777777" w:rsidTr="00BD445E">
        <w:trPr>
          <w:trHeight w:val="745"/>
          <w:jc w:val="center"/>
        </w:trPr>
        <w:tc>
          <w:tcPr>
            <w:tcW w:w="884" w:type="dxa"/>
            <w:shd w:val="clear" w:color="auto" w:fill="E2EFD9" w:themeFill="accent6" w:themeFillTint="33"/>
            <w:vAlign w:val="center"/>
          </w:tcPr>
          <w:p w14:paraId="6EFA59E2" w14:textId="77777777" w:rsidR="003B6289" w:rsidRPr="00F14D9D" w:rsidRDefault="003B6289"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7</w:t>
            </w:r>
          </w:p>
        </w:tc>
        <w:tc>
          <w:tcPr>
            <w:tcW w:w="3017" w:type="dxa"/>
            <w:shd w:val="clear" w:color="auto" w:fill="E2EFD9" w:themeFill="accent6" w:themeFillTint="33"/>
            <w:vAlign w:val="center"/>
          </w:tcPr>
          <w:p w14:paraId="15571E2D"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7)</w:t>
            </w:r>
          </w:p>
        </w:tc>
        <w:tc>
          <w:tcPr>
            <w:tcW w:w="2782" w:type="dxa"/>
            <w:shd w:val="clear" w:color="auto" w:fill="E2EFD9" w:themeFill="accent6" w:themeFillTint="33"/>
            <w:vAlign w:val="center"/>
          </w:tcPr>
          <w:p w14:paraId="4A2D6D8D"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52" w:type="dxa"/>
            <w:shd w:val="clear" w:color="auto" w:fill="E2EFD9" w:themeFill="accent6" w:themeFillTint="33"/>
            <w:vAlign w:val="center"/>
          </w:tcPr>
          <w:p w14:paraId="4BD0A5D2"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241</w:t>
            </w:r>
          </w:p>
        </w:tc>
      </w:tr>
      <w:tr w:rsidR="003B6289" w:rsidRPr="00F14D9D" w14:paraId="2A04626B" w14:textId="77777777" w:rsidTr="00BD445E">
        <w:trPr>
          <w:trHeight w:val="745"/>
          <w:jc w:val="center"/>
        </w:trPr>
        <w:tc>
          <w:tcPr>
            <w:tcW w:w="884" w:type="dxa"/>
            <w:vAlign w:val="center"/>
          </w:tcPr>
          <w:p w14:paraId="3908A586" w14:textId="77777777" w:rsidR="003B6289" w:rsidRPr="00F14D9D" w:rsidRDefault="003B6289"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8</w:t>
            </w:r>
          </w:p>
        </w:tc>
        <w:tc>
          <w:tcPr>
            <w:tcW w:w="3017" w:type="dxa"/>
            <w:vAlign w:val="center"/>
          </w:tcPr>
          <w:p w14:paraId="1BC2DFF9"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8)</w:t>
            </w:r>
          </w:p>
        </w:tc>
        <w:tc>
          <w:tcPr>
            <w:tcW w:w="2782" w:type="dxa"/>
            <w:vAlign w:val="center"/>
          </w:tcPr>
          <w:p w14:paraId="1E170237"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52" w:type="dxa"/>
            <w:vAlign w:val="center"/>
          </w:tcPr>
          <w:p w14:paraId="73BCB8A4"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305</w:t>
            </w:r>
          </w:p>
        </w:tc>
      </w:tr>
      <w:tr w:rsidR="003B6289" w:rsidRPr="00F14D9D" w14:paraId="3FDDA098" w14:textId="77777777" w:rsidTr="00BD445E">
        <w:trPr>
          <w:trHeight w:val="745"/>
          <w:jc w:val="center"/>
        </w:trPr>
        <w:tc>
          <w:tcPr>
            <w:tcW w:w="884" w:type="dxa"/>
            <w:shd w:val="clear" w:color="auto" w:fill="E2EFD9" w:themeFill="accent6" w:themeFillTint="33"/>
            <w:vAlign w:val="center"/>
          </w:tcPr>
          <w:p w14:paraId="054059A6" w14:textId="77777777" w:rsidR="003B6289" w:rsidRPr="00F14D9D" w:rsidRDefault="003B6289"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9</w:t>
            </w:r>
          </w:p>
        </w:tc>
        <w:tc>
          <w:tcPr>
            <w:tcW w:w="3017" w:type="dxa"/>
            <w:shd w:val="clear" w:color="auto" w:fill="E2EFD9" w:themeFill="accent6" w:themeFillTint="33"/>
            <w:vAlign w:val="center"/>
          </w:tcPr>
          <w:p w14:paraId="10BBE051"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Regional 1 (Región 9)</w:t>
            </w:r>
          </w:p>
        </w:tc>
        <w:tc>
          <w:tcPr>
            <w:tcW w:w="2782" w:type="dxa"/>
            <w:shd w:val="clear" w:color="auto" w:fill="E2EFD9" w:themeFill="accent6" w:themeFillTint="33"/>
            <w:vAlign w:val="center"/>
          </w:tcPr>
          <w:p w14:paraId="129940F2"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440 MHz - 441 MHz (Uplink) / 445 MHz - 446 MHz (Downlink)</w:t>
            </w:r>
          </w:p>
        </w:tc>
        <w:tc>
          <w:tcPr>
            <w:tcW w:w="1252" w:type="dxa"/>
            <w:shd w:val="clear" w:color="auto" w:fill="E2EFD9" w:themeFill="accent6" w:themeFillTint="33"/>
            <w:vAlign w:val="center"/>
          </w:tcPr>
          <w:p w14:paraId="1C5D3C43"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9559</w:t>
            </w:r>
          </w:p>
        </w:tc>
      </w:tr>
      <w:tr w:rsidR="003B6289" w:rsidRPr="00F14D9D" w14:paraId="65277B20" w14:textId="77777777" w:rsidTr="00BD445E">
        <w:trPr>
          <w:trHeight w:val="745"/>
          <w:jc w:val="center"/>
        </w:trPr>
        <w:tc>
          <w:tcPr>
            <w:tcW w:w="884" w:type="dxa"/>
            <w:vAlign w:val="center"/>
          </w:tcPr>
          <w:p w14:paraId="3466C149" w14:textId="77777777" w:rsidR="003B6289" w:rsidRPr="00F14D9D" w:rsidRDefault="003B6289"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10</w:t>
            </w:r>
          </w:p>
        </w:tc>
        <w:tc>
          <w:tcPr>
            <w:tcW w:w="3017" w:type="dxa"/>
            <w:vAlign w:val="center"/>
          </w:tcPr>
          <w:p w14:paraId="6511CDBB"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Nacional 1</w:t>
            </w:r>
          </w:p>
        </w:tc>
        <w:tc>
          <w:tcPr>
            <w:tcW w:w="2782" w:type="dxa"/>
            <w:vAlign w:val="center"/>
          </w:tcPr>
          <w:p w14:paraId="770E7252"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441 MHz - 442 MHz (Uplink) / 446 MHz - 447 MHz (Downlink)</w:t>
            </w:r>
          </w:p>
        </w:tc>
        <w:tc>
          <w:tcPr>
            <w:tcW w:w="1252" w:type="dxa"/>
            <w:vAlign w:val="center"/>
          </w:tcPr>
          <w:p w14:paraId="0044A981"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500</w:t>
            </w:r>
          </w:p>
        </w:tc>
      </w:tr>
      <w:tr w:rsidR="003B6289" w:rsidRPr="00F14D9D" w14:paraId="62065043" w14:textId="77777777" w:rsidTr="00BD445E">
        <w:trPr>
          <w:trHeight w:val="745"/>
          <w:jc w:val="center"/>
        </w:trPr>
        <w:tc>
          <w:tcPr>
            <w:tcW w:w="884" w:type="dxa"/>
            <w:shd w:val="clear" w:color="auto" w:fill="E2EFD9" w:themeFill="accent6" w:themeFillTint="33"/>
            <w:vAlign w:val="center"/>
          </w:tcPr>
          <w:p w14:paraId="36AB5C7C" w14:textId="77777777" w:rsidR="003B6289" w:rsidRPr="00F14D9D" w:rsidRDefault="003B6289" w:rsidP="00B156EB">
            <w:pPr>
              <w:spacing w:before="240" w:after="240"/>
              <w:contextualSpacing/>
              <w:jc w:val="center"/>
              <w:outlineLvl w:val="1"/>
              <w:rPr>
                <w:rFonts w:ascii="ITC Avant Garde" w:hAnsi="ITC Avant Garde" w:cs="Arial Unicode MS"/>
                <w:b/>
                <w:bCs/>
                <w:sz w:val="18"/>
                <w:szCs w:val="18"/>
                <w:u w:color="000000"/>
                <w:bdr w:val="nil"/>
                <w:lang w:val="es-ES_tradnl" w:eastAsia="es-MX"/>
              </w:rPr>
            </w:pPr>
            <w:r w:rsidRPr="00F14D9D">
              <w:rPr>
                <w:rFonts w:ascii="ITC Avant Garde" w:hAnsi="ITC Avant Garde" w:cs="Arial Unicode MS"/>
                <w:sz w:val="18"/>
                <w:szCs w:val="18"/>
                <w:u w:color="000000"/>
                <w:bdr w:val="nil"/>
                <w:lang w:val="es-ES_tradnl" w:eastAsia="es-MX"/>
              </w:rPr>
              <w:t>11</w:t>
            </w:r>
          </w:p>
        </w:tc>
        <w:tc>
          <w:tcPr>
            <w:tcW w:w="3017" w:type="dxa"/>
            <w:shd w:val="clear" w:color="auto" w:fill="E2EFD9" w:themeFill="accent6" w:themeFillTint="33"/>
            <w:vAlign w:val="center"/>
          </w:tcPr>
          <w:p w14:paraId="6707CB73"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Bloque Nacional 2</w:t>
            </w:r>
          </w:p>
        </w:tc>
        <w:tc>
          <w:tcPr>
            <w:tcW w:w="2782" w:type="dxa"/>
            <w:shd w:val="clear" w:color="auto" w:fill="E2EFD9" w:themeFill="accent6" w:themeFillTint="33"/>
            <w:vAlign w:val="center"/>
          </w:tcPr>
          <w:p w14:paraId="3114E2C7"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Pr>
                <w:rFonts w:ascii="ITC Avant Garde" w:hAnsi="ITC Avant Garde"/>
                <w:color w:val="000000"/>
                <w:sz w:val="18"/>
                <w:szCs w:val="18"/>
              </w:rPr>
              <w:t>442 MHz - 443 MHz (Uplink) / 447 MHz - 448 MHz (Downlink)</w:t>
            </w:r>
          </w:p>
        </w:tc>
        <w:tc>
          <w:tcPr>
            <w:tcW w:w="1252" w:type="dxa"/>
            <w:shd w:val="clear" w:color="auto" w:fill="E2EFD9" w:themeFill="accent6" w:themeFillTint="33"/>
            <w:vAlign w:val="center"/>
          </w:tcPr>
          <w:p w14:paraId="094CCAA2" w14:textId="77777777" w:rsidR="003B6289" w:rsidRPr="00F14D9D" w:rsidRDefault="003B6289" w:rsidP="00B156E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F14D9D">
              <w:rPr>
                <w:rFonts w:ascii="ITC Avant Garde" w:hAnsi="ITC Avant Garde" w:cs="Arial Unicode MS"/>
                <w:bCs/>
                <w:sz w:val="18"/>
                <w:szCs w:val="18"/>
                <w:u w:color="000000"/>
                <w:bdr w:val="nil"/>
                <w:lang w:val="es-ES_tradnl" w:eastAsia="es-MX"/>
              </w:rPr>
              <w:t>500</w:t>
            </w:r>
          </w:p>
        </w:tc>
      </w:tr>
    </w:tbl>
    <w:p w14:paraId="197F2A38" w14:textId="77777777" w:rsidR="00B156EB" w:rsidRDefault="00B546A7" w:rsidP="00B156EB">
      <w:pPr>
        <w:pStyle w:val="Prrafodelista"/>
        <w:spacing w:before="240" w:after="240"/>
        <w:ind w:left="0"/>
        <w:jc w:val="both"/>
        <w:rPr>
          <w:rFonts w:ascii="ITC Avant Garde" w:hAnsi="ITC Avant Garde" w:cs="Arial"/>
          <w:b/>
          <w:sz w:val="22"/>
          <w:szCs w:val="22"/>
        </w:rPr>
      </w:pPr>
      <w:r w:rsidRPr="00B546A7">
        <w:rPr>
          <w:rFonts w:ascii="ITC Avant Garde" w:eastAsia="Arial Unicode MS" w:hAnsi="ITC Avant Garde" w:cs="Arial"/>
          <w:b/>
          <w:bCs/>
          <w:sz w:val="22"/>
          <w:szCs w:val="22"/>
          <w:u w:color="000000"/>
          <w:bdr w:val="nil"/>
          <w:lang w:val="es-ES_tradnl"/>
        </w:rPr>
        <w:t>SEGUNDO.</w:t>
      </w:r>
      <w:r>
        <w:rPr>
          <w:rFonts w:ascii="ITC Avant Garde" w:eastAsia="Arial Unicode MS" w:hAnsi="ITC Avant Garde" w:cs="Arial"/>
          <w:bCs/>
          <w:sz w:val="22"/>
          <w:szCs w:val="22"/>
          <w:u w:color="000000"/>
          <w:bdr w:val="nil"/>
          <w:lang w:val="es-ES_tradnl"/>
        </w:rPr>
        <w:tab/>
      </w:r>
      <w:r w:rsidR="00E05F79" w:rsidRPr="00992931">
        <w:rPr>
          <w:rFonts w:ascii="ITC Avant Garde" w:eastAsia="Arial Unicode MS" w:hAnsi="ITC Avant Garde" w:cs="Arial"/>
          <w:bCs/>
          <w:sz w:val="22"/>
          <w:szCs w:val="22"/>
          <w:u w:color="000000"/>
          <w:bdr w:val="nil"/>
          <w:lang w:val="es-ES_tradnl"/>
        </w:rPr>
        <w:t xml:space="preserve">Se instruye a la Unidad de Espectro Radioeléctrico para que notifique </w:t>
      </w:r>
      <w:r w:rsidR="00760704">
        <w:rPr>
          <w:rFonts w:ascii="ITC Avant Garde" w:eastAsia="Arial Unicode MS" w:hAnsi="ITC Avant Garde" w:cs="Arial"/>
          <w:bCs/>
          <w:sz w:val="22"/>
          <w:szCs w:val="22"/>
          <w:u w:color="000000"/>
          <w:bdr w:val="nil"/>
          <w:lang w:val="es-ES_tradnl"/>
        </w:rPr>
        <w:t xml:space="preserve">vía </w:t>
      </w:r>
      <w:r w:rsidR="00985A66">
        <w:rPr>
          <w:rFonts w:ascii="ITC Avant Garde" w:eastAsia="Arial Unicode MS" w:hAnsi="ITC Avant Garde" w:cs="Arial"/>
          <w:bCs/>
          <w:sz w:val="22"/>
          <w:szCs w:val="22"/>
          <w:u w:color="000000"/>
          <w:bdr w:val="nil"/>
          <w:lang w:val="es-ES_tradnl"/>
        </w:rPr>
        <w:t xml:space="preserve">correo electrónico </w:t>
      </w:r>
      <w:r w:rsidR="00E05F79" w:rsidRPr="00992931">
        <w:rPr>
          <w:rFonts w:ascii="ITC Avant Garde" w:eastAsia="Arial Unicode MS" w:hAnsi="ITC Avant Garde" w:cs="Arial"/>
          <w:sz w:val="22"/>
          <w:szCs w:val="22"/>
          <w:bdr w:val="nil"/>
          <w:lang w:val="es-ES_tradnl"/>
        </w:rPr>
        <w:t xml:space="preserve">la presente Acta de Fallo al Participante Ganador </w:t>
      </w:r>
      <w:r w:rsidR="00760704" w:rsidRPr="00760704">
        <w:rPr>
          <w:rFonts w:ascii="ITC Avant Garde" w:eastAsia="Arial Unicode MS" w:hAnsi="ITC Avant Garde" w:cs="Arial"/>
          <w:b/>
          <w:sz w:val="22"/>
          <w:szCs w:val="22"/>
          <w:bdr w:val="nil"/>
          <w:lang w:val="es-ES_tradnl"/>
        </w:rPr>
        <w:t>CONCESIONARIA COMSEG, S.A. DE C.V.</w:t>
      </w:r>
    </w:p>
    <w:p w14:paraId="4F05AB60" w14:textId="77777777" w:rsidR="00B156EB" w:rsidRDefault="00B546A7" w:rsidP="00B156EB">
      <w:pPr>
        <w:pStyle w:val="Prrafodelista"/>
        <w:spacing w:before="240" w:after="240"/>
        <w:ind w:left="0"/>
        <w:jc w:val="both"/>
        <w:rPr>
          <w:rFonts w:ascii="ITC Avant Garde" w:eastAsia="Arial Unicode MS" w:hAnsi="ITC Avant Garde" w:cs="Arial"/>
          <w:sz w:val="22"/>
          <w:szCs w:val="22"/>
          <w:bdr w:val="nil"/>
          <w:lang w:val="es-ES_tradnl"/>
        </w:rPr>
      </w:pPr>
      <w:r w:rsidRPr="00B546A7">
        <w:rPr>
          <w:rFonts w:ascii="ITC Avant Garde" w:eastAsia="Arial Unicode MS" w:hAnsi="ITC Avant Garde" w:cs="Arial"/>
          <w:b/>
          <w:sz w:val="22"/>
          <w:szCs w:val="22"/>
          <w:bdr w:val="nil"/>
          <w:lang w:val="es-ES_tradnl"/>
        </w:rPr>
        <w:t>TERCERO.</w:t>
      </w:r>
      <w:r>
        <w:rPr>
          <w:rFonts w:ascii="ITC Avant Garde" w:eastAsia="Arial Unicode MS" w:hAnsi="ITC Avant Garde" w:cs="Arial"/>
          <w:sz w:val="22"/>
          <w:szCs w:val="22"/>
          <w:bdr w:val="nil"/>
          <w:lang w:val="es-ES_tradnl"/>
        </w:rPr>
        <w:tab/>
      </w:r>
      <w:r w:rsidR="00E05F79" w:rsidRPr="00992931">
        <w:rPr>
          <w:rFonts w:ascii="ITC Avant Garde" w:eastAsia="Arial Unicode MS" w:hAnsi="ITC Avant Garde" w:cs="Arial"/>
          <w:sz w:val="22"/>
          <w:szCs w:val="22"/>
          <w:bdr w:val="nil"/>
          <w:lang w:val="es-ES_tradnl"/>
        </w:rPr>
        <w:t>Se instruye a la Unidad de E</w:t>
      </w:r>
      <w:r w:rsidR="00371F94">
        <w:rPr>
          <w:rFonts w:ascii="ITC Avant Garde" w:eastAsia="Arial Unicode MS" w:hAnsi="ITC Avant Garde" w:cs="Arial"/>
          <w:sz w:val="22"/>
          <w:szCs w:val="22"/>
          <w:bdr w:val="nil"/>
          <w:lang w:val="es-ES_tradnl"/>
        </w:rPr>
        <w:t>spectro Radioeléctrico para que,</w:t>
      </w:r>
      <w:r w:rsidR="00E05F79" w:rsidRPr="00992931">
        <w:rPr>
          <w:rFonts w:ascii="ITC Avant Garde" w:eastAsia="Arial Unicode MS" w:hAnsi="ITC Avant Garde" w:cs="Arial"/>
          <w:sz w:val="22"/>
          <w:szCs w:val="22"/>
          <w:bdr w:val="nil"/>
          <w:lang w:val="es-ES_tradnl"/>
        </w:rPr>
        <w:t xml:space="preserve"> una vez que el Participante Ganador acredite el cumplimiento de las condiciones para la entrega de</w:t>
      </w:r>
      <w:r w:rsidR="00371F94">
        <w:rPr>
          <w:rFonts w:ascii="ITC Avant Garde" w:eastAsia="Arial Unicode MS" w:hAnsi="ITC Avant Garde" w:cs="Arial"/>
          <w:sz w:val="22"/>
          <w:szCs w:val="22"/>
          <w:bdr w:val="nil"/>
          <w:lang w:val="es-ES_tradnl"/>
        </w:rPr>
        <w:t>l(de los)</w:t>
      </w:r>
      <w:r w:rsidR="00E05F79" w:rsidRPr="00992931">
        <w:rPr>
          <w:rFonts w:ascii="ITC Avant Garde" w:eastAsia="Arial Unicode MS" w:hAnsi="ITC Avant Garde" w:cs="Arial"/>
          <w:sz w:val="22"/>
          <w:szCs w:val="22"/>
          <w:bdr w:val="nil"/>
          <w:lang w:val="es-ES_tradnl"/>
        </w:rPr>
        <w:t xml:space="preserve"> </w:t>
      </w:r>
      <w:r w:rsidR="00371F94">
        <w:rPr>
          <w:rFonts w:ascii="ITC Avant Garde" w:eastAsia="Arial Unicode MS" w:hAnsi="ITC Avant Garde" w:cs="Arial"/>
          <w:sz w:val="22"/>
          <w:szCs w:val="22"/>
          <w:bdr w:val="nil"/>
          <w:lang w:val="es-ES_tradnl"/>
        </w:rPr>
        <w:t>título(s) de concesión</w:t>
      </w:r>
      <w:r w:rsidR="00E05F79" w:rsidRPr="00992931">
        <w:rPr>
          <w:rFonts w:ascii="ITC Avant Garde" w:eastAsia="Arial Unicode MS" w:hAnsi="ITC Avant Garde" w:cs="Arial"/>
          <w:sz w:val="22"/>
          <w:szCs w:val="22"/>
          <w:bdr w:val="nil"/>
          <w:lang w:val="es-ES_tradnl"/>
        </w:rPr>
        <w:t xml:space="preserve"> establecidas en el Considerando </w:t>
      </w:r>
      <w:r w:rsidR="00E05F79" w:rsidRPr="00470978">
        <w:rPr>
          <w:rFonts w:ascii="ITC Avant Garde" w:eastAsia="Arial Unicode MS" w:hAnsi="ITC Avant Garde" w:cs="Arial"/>
          <w:b/>
          <w:sz w:val="22"/>
          <w:szCs w:val="22"/>
          <w:bdr w:val="nil"/>
          <w:lang w:val="es-ES_tradnl"/>
        </w:rPr>
        <w:t>CUARTO</w:t>
      </w:r>
      <w:r w:rsidR="00E05F79" w:rsidRPr="00992931">
        <w:rPr>
          <w:rFonts w:ascii="ITC Avant Garde" w:eastAsia="Arial Unicode MS" w:hAnsi="ITC Avant Garde" w:cs="Arial"/>
          <w:sz w:val="22"/>
          <w:szCs w:val="22"/>
          <w:bdr w:val="nil"/>
          <w:lang w:val="es-ES_tradnl"/>
        </w:rPr>
        <w:t xml:space="preserve"> de la presente Resolución, en coordinación con la Unidad de Concesiones y Servicios, lleve a cabo los actos necesarios para que con base en las facultades </w:t>
      </w:r>
      <w:r w:rsidR="00EF6830">
        <w:rPr>
          <w:rFonts w:ascii="ITC Avant Garde" w:eastAsia="Arial Unicode MS" w:hAnsi="ITC Avant Garde" w:cs="Arial"/>
          <w:sz w:val="22"/>
          <w:szCs w:val="22"/>
          <w:bdr w:val="nil"/>
          <w:lang w:val="es-ES_tradnl"/>
        </w:rPr>
        <w:t>conferidas en</w:t>
      </w:r>
      <w:r w:rsidR="00E05F79" w:rsidRPr="00992931">
        <w:rPr>
          <w:rFonts w:ascii="ITC Avant Garde" w:eastAsia="Arial Unicode MS" w:hAnsi="ITC Avant Garde" w:cs="Arial"/>
          <w:sz w:val="22"/>
          <w:szCs w:val="22"/>
          <w:bdr w:val="nil"/>
          <w:lang w:val="es-ES_tradnl"/>
        </w:rPr>
        <w:t xml:space="preserve"> el artículo 14 fracción X del Estatuto Orgánico del Instituto Federal de Telecomunicaciones, </w:t>
      </w:r>
      <w:r w:rsidR="00A64ED1">
        <w:rPr>
          <w:rFonts w:ascii="ITC Avant Garde" w:eastAsia="Arial Unicode MS" w:hAnsi="ITC Avant Garde" w:cs="Arial"/>
          <w:sz w:val="22"/>
          <w:szCs w:val="22"/>
          <w:bdr w:val="nil"/>
          <w:lang w:val="es-ES_tradnl"/>
        </w:rPr>
        <w:t xml:space="preserve">se </w:t>
      </w:r>
      <w:r w:rsidR="00E05F79" w:rsidRPr="00992931">
        <w:rPr>
          <w:rFonts w:ascii="ITC Avant Garde" w:eastAsia="Arial Unicode MS" w:hAnsi="ITC Avant Garde" w:cs="Arial"/>
          <w:sz w:val="22"/>
          <w:szCs w:val="22"/>
          <w:bdr w:val="nil"/>
          <w:lang w:val="es-ES_tradnl"/>
        </w:rPr>
        <w:t>suscriba el título de Concesión de Espectro Radioeléctrico para Uso Comercial, así como</w:t>
      </w:r>
      <w:r w:rsidR="00AE304B">
        <w:rPr>
          <w:rFonts w:ascii="ITC Avant Garde" w:eastAsia="Arial Unicode MS" w:hAnsi="ITC Avant Garde" w:cs="Arial"/>
          <w:sz w:val="22"/>
          <w:szCs w:val="22"/>
          <w:bdr w:val="nil"/>
          <w:lang w:val="es-ES_tradnl"/>
        </w:rPr>
        <w:t>,</w:t>
      </w:r>
      <w:r w:rsidR="00E05F79" w:rsidRPr="00992931">
        <w:rPr>
          <w:rFonts w:ascii="ITC Avant Garde" w:eastAsia="Arial Unicode MS" w:hAnsi="ITC Avant Garde" w:cs="Arial"/>
          <w:sz w:val="22"/>
          <w:szCs w:val="22"/>
          <w:bdr w:val="nil"/>
          <w:lang w:val="es-ES_tradnl"/>
        </w:rPr>
        <w:t xml:space="preserve"> en su caso, </w:t>
      </w:r>
      <w:r w:rsidR="005D5260">
        <w:rPr>
          <w:rFonts w:ascii="ITC Avant Garde" w:eastAsia="Arial Unicode MS" w:hAnsi="ITC Avant Garde" w:cs="Arial"/>
          <w:sz w:val="22"/>
          <w:szCs w:val="22"/>
          <w:bdr w:val="nil"/>
          <w:lang w:val="es-ES_tradnl"/>
        </w:rPr>
        <w:t>e</w:t>
      </w:r>
      <w:r w:rsidR="00B60462">
        <w:rPr>
          <w:rFonts w:ascii="ITC Avant Garde" w:eastAsia="Arial Unicode MS" w:hAnsi="ITC Avant Garde" w:cs="Arial"/>
          <w:sz w:val="22"/>
          <w:szCs w:val="22"/>
          <w:bdr w:val="nil"/>
          <w:lang w:val="es-ES_tradnl"/>
        </w:rPr>
        <w:t>l</w:t>
      </w:r>
      <w:r w:rsidR="00E05F79" w:rsidRPr="00992931">
        <w:rPr>
          <w:rFonts w:ascii="ITC Avant Garde" w:eastAsia="Arial Unicode MS" w:hAnsi="ITC Avant Garde" w:cs="Arial"/>
          <w:sz w:val="22"/>
          <w:szCs w:val="22"/>
          <w:bdr w:val="nil"/>
          <w:lang w:val="es-ES_tradnl"/>
        </w:rPr>
        <w:t xml:space="preserve"> título de Concesión Única para Uso Comercial.</w:t>
      </w:r>
    </w:p>
    <w:p w14:paraId="5061F93C" w14:textId="77777777" w:rsidR="00B156EB" w:rsidRDefault="00B546A7" w:rsidP="00B156EB">
      <w:pPr>
        <w:pStyle w:val="Prrafodelista"/>
        <w:spacing w:before="240" w:after="240"/>
        <w:ind w:left="0"/>
        <w:jc w:val="both"/>
        <w:rPr>
          <w:rFonts w:ascii="ITC Avant Garde" w:eastAsia="Arial Unicode MS" w:hAnsi="ITC Avant Garde" w:cs="Arial"/>
          <w:sz w:val="22"/>
          <w:szCs w:val="22"/>
          <w:u w:color="000000"/>
          <w:bdr w:val="nil"/>
          <w:lang w:val="es-ES_tradnl"/>
        </w:rPr>
      </w:pPr>
      <w:r w:rsidRPr="00B546A7">
        <w:rPr>
          <w:rFonts w:ascii="ITC Avant Garde" w:hAnsi="ITC Avant Garde" w:cs="Arial"/>
          <w:b/>
          <w:sz w:val="22"/>
          <w:szCs w:val="22"/>
        </w:rPr>
        <w:t>CUARTO.</w:t>
      </w:r>
      <w:r>
        <w:rPr>
          <w:rFonts w:ascii="ITC Avant Garde" w:hAnsi="ITC Avant Garde" w:cs="Arial"/>
          <w:sz w:val="22"/>
          <w:szCs w:val="22"/>
        </w:rPr>
        <w:tab/>
      </w:r>
      <w:r w:rsidR="00E05F79" w:rsidRPr="00992931">
        <w:rPr>
          <w:rFonts w:ascii="ITC Avant Garde" w:hAnsi="ITC Avant Garde" w:cs="Arial"/>
          <w:sz w:val="22"/>
          <w:szCs w:val="22"/>
        </w:rPr>
        <w:t>Se instruye a la Unidad de Espectro Radioeléctrico a realizar la entrega d</w:t>
      </w:r>
      <w:r w:rsidR="00E05F79" w:rsidRPr="00992931">
        <w:rPr>
          <w:rFonts w:ascii="ITC Avant Garde" w:eastAsia="Arial Unicode MS" w:hAnsi="ITC Avant Garde" w:cs="Arial"/>
          <w:sz w:val="22"/>
          <w:szCs w:val="22"/>
          <w:bdr w:val="nil"/>
          <w:lang w:val="es-ES_tradnl"/>
        </w:rPr>
        <w:t>e</w:t>
      </w:r>
      <w:r w:rsidR="005C20D0">
        <w:rPr>
          <w:rFonts w:ascii="ITC Avant Garde" w:eastAsia="Arial Unicode MS" w:hAnsi="ITC Avant Garde" w:cs="Arial"/>
          <w:sz w:val="22"/>
          <w:szCs w:val="22"/>
          <w:bdr w:val="nil"/>
          <w:lang w:val="es-ES_tradnl"/>
        </w:rPr>
        <w:t>l</w:t>
      </w:r>
      <w:r w:rsidR="00B60462">
        <w:rPr>
          <w:rFonts w:ascii="ITC Avant Garde" w:eastAsia="Arial Unicode MS" w:hAnsi="ITC Avant Garde" w:cs="Arial"/>
          <w:sz w:val="22"/>
          <w:szCs w:val="22"/>
          <w:bdr w:val="nil"/>
          <w:lang w:val="es-ES_tradnl"/>
        </w:rPr>
        <w:t xml:space="preserve"> </w:t>
      </w:r>
      <w:r w:rsidR="00E05F79" w:rsidRPr="00992931">
        <w:rPr>
          <w:rFonts w:ascii="ITC Avant Garde" w:eastAsia="Arial Unicode MS" w:hAnsi="ITC Avant Garde" w:cs="Arial"/>
          <w:sz w:val="22"/>
          <w:szCs w:val="22"/>
          <w:bdr w:val="nil"/>
          <w:lang w:val="es-ES_tradnl"/>
        </w:rPr>
        <w:t>título de Concesión de Espectro Radioeléctrico para Uso Comercial, así como</w:t>
      </w:r>
      <w:r w:rsidR="00DB42E6">
        <w:rPr>
          <w:rFonts w:ascii="ITC Avant Garde" w:eastAsia="Arial Unicode MS" w:hAnsi="ITC Avant Garde" w:cs="Arial"/>
          <w:sz w:val="22"/>
          <w:szCs w:val="22"/>
          <w:bdr w:val="nil"/>
          <w:lang w:val="es-ES_tradnl"/>
        </w:rPr>
        <w:t>, en su caso,</w:t>
      </w:r>
      <w:r w:rsidR="00B60462">
        <w:rPr>
          <w:rFonts w:ascii="ITC Avant Garde" w:eastAsia="Arial Unicode MS" w:hAnsi="ITC Avant Garde" w:cs="Arial"/>
          <w:sz w:val="22"/>
          <w:szCs w:val="22"/>
          <w:bdr w:val="nil"/>
          <w:lang w:val="es-ES_tradnl"/>
        </w:rPr>
        <w:t xml:space="preserve"> </w:t>
      </w:r>
      <w:r w:rsidR="00A12054">
        <w:rPr>
          <w:rFonts w:ascii="ITC Avant Garde" w:eastAsia="Arial Unicode MS" w:hAnsi="ITC Avant Garde" w:cs="Arial"/>
          <w:sz w:val="22"/>
          <w:szCs w:val="22"/>
          <w:bdr w:val="nil"/>
          <w:lang w:val="es-ES_tradnl"/>
        </w:rPr>
        <w:t>el</w:t>
      </w:r>
      <w:r w:rsidR="00E05F79" w:rsidRPr="00992931">
        <w:rPr>
          <w:rFonts w:ascii="ITC Avant Garde" w:eastAsia="Arial Unicode MS" w:hAnsi="ITC Avant Garde" w:cs="Arial"/>
          <w:sz w:val="22"/>
          <w:szCs w:val="22"/>
          <w:bdr w:val="nil"/>
          <w:lang w:val="es-ES_tradnl"/>
        </w:rPr>
        <w:t xml:space="preserve"> título de Concesión Única para Uso Comercial, que se expidan con motivo de la presente Resolución.</w:t>
      </w:r>
    </w:p>
    <w:p w14:paraId="6B4F3D66" w14:textId="77777777" w:rsidR="00B156EB" w:rsidRDefault="00B546A7" w:rsidP="00B156EB">
      <w:pPr>
        <w:pStyle w:val="Prrafodelista"/>
        <w:spacing w:before="240" w:after="240"/>
        <w:ind w:left="0"/>
        <w:jc w:val="both"/>
        <w:rPr>
          <w:rFonts w:ascii="ITC Avant Garde" w:eastAsia="Arial Unicode MS" w:hAnsi="ITC Avant Garde" w:cs="Arial"/>
          <w:sz w:val="22"/>
          <w:szCs w:val="22"/>
          <w:u w:color="000000"/>
          <w:bdr w:val="nil"/>
          <w:lang w:val="es-ES_tradnl"/>
        </w:rPr>
      </w:pPr>
      <w:r w:rsidRPr="00B546A7">
        <w:rPr>
          <w:rFonts w:ascii="ITC Avant Garde" w:eastAsia="Arial Unicode MS" w:hAnsi="ITC Avant Garde" w:cs="Arial"/>
          <w:b/>
          <w:sz w:val="22"/>
          <w:szCs w:val="22"/>
          <w:u w:color="000000"/>
          <w:bdr w:val="nil"/>
          <w:lang w:val="es-ES_tradnl"/>
        </w:rPr>
        <w:t>QUINTO.</w:t>
      </w:r>
      <w:r>
        <w:rPr>
          <w:rFonts w:ascii="ITC Avant Garde" w:eastAsia="Arial Unicode MS" w:hAnsi="ITC Avant Garde" w:cs="Arial"/>
          <w:sz w:val="22"/>
          <w:szCs w:val="22"/>
          <w:u w:color="000000"/>
          <w:bdr w:val="nil"/>
          <w:lang w:val="es-ES_tradnl"/>
        </w:rPr>
        <w:tab/>
      </w:r>
      <w:r w:rsidR="009E6848">
        <w:rPr>
          <w:rFonts w:ascii="ITC Avant Garde" w:eastAsia="Arial Unicode MS" w:hAnsi="ITC Avant Garde" w:cs="Arial"/>
          <w:sz w:val="22"/>
          <w:szCs w:val="22"/>
          <w:u w:color="000000"/>
          <w:bdr w:val="nil"/>
          <w:lang w:val="es-ES_tradnl"/>
        </w:rPr>
        <w:t xml:space="preserve">Se instruye a la Unidad de Espectro Radioeléctrico a que realice las acciones necesarias para que se </w:t>
      </w:r>
      <w:r w:rsidR="00C7209A">
        <w:rPr>
          <w:rFonts w:ascii="ITC Avant Garde" w:eastAsia="Arial Unicode MS" w:hAnsi="ITC Avant Garde" w:cs="Arial"/>
          <w:sz w:val="22"/>
          <w:szCs w:val="22"/>
          <w:u w:color="000000"/>
          <w:bdr w:val="nil"/>
          <w:lang w:val="es-ES_tradnl"/>
        </w:rPr>
        <w:t>i</w:t>
      </w:r>
      <w:r w:rsidR="00E05F79" w:rsidRPr="00992931">
        <w:rPr>
          <w:rFonts w:ascii="ITC Avant Garde" w:eastAsia="Arial Unicode MS" w:hAnsi="ITC Avant Garde" w:cs="Arial"/>
          <w:sz w:val="22"/>
          <w:szCs w:val="22"/>
          <w:u w:color="000000"/>
          <w:bdr w:val="nil"/>
          <w:lang w:val="es-ES_tradnl"/>
        </w:rPr>
        <w:t>nscr</w:t>
      </w:r>
      <w:r w:rsidR="00C7209A">
        <w:rPr>
          <w:rFonts w:ascii="ITC Avant Garde" w:eastAsia="Arial Unicode MS" w:hAnsi="ITC Avant Garde" w:cs="Arial"/>
          <w:sz w:val="22"/>
          <w:szCs w:val="22"/>
          <w:u w:color="000000"/>
          <w:bdr w:val="nil"/>
          <w:lang w:val="es-ES_tradnl"/>
        </w:rPr>
        <w:t>i</w:t>
      </w:r>
      <w:r w:rsidR="00E05F79" w:rsidRPr="00992931">
        <w:rPr>
          <w:rFonts w:ascii="ITC Avant Garde" w:eastAsia="Arial Unicode MS" w:hAnsi="ITC Avant Garde" w:cs="Arial"/>
          <w:sz w:val="22"/>
          <w:szCs w:val="22"/>
          <w:u w:color="000000"/>
          <w:bdr w:val="nil"/>
          <w:lang w:val="es-ES_tradnl"/>
        </w:rPr>
        <w:t xml:space="preserve">ba en el Registro Público de Concesiones </w:t>
      </w:r>
      <w:r w:rsidR="009E6848">
        <w:rPr>
          <w:rFonts w:ascii="ITC Avant Garde" w:eastAsia="Arial Unicode MS" w:hAnsi="ITC Avant Garde" w:cs="Arial"/>
          <w:sz w:val="22"/>
          <w:szCs w:val="22"/>
          <w:bdr w:val="nil"/>
          <w:lang w:val="es-ES_tradnl"/>
        </w:rPr>
        <w:t>el</w:t>
      </w:r>
      <w:r w:rsidR="009E6848" w:rsidRPr="00992931">
        <w:rPr>
          <w:rFonts w:ascii="ITC Avant Garde" w:eastAsia="Arial Unicode MS" w:hAnsi="ITC Avant Garde" w:cs="Arial"/>
          <w:sz w:val="22"/>
          <w:szCs w:val="22"/>
          <w:bdr w:val="nil"/>
          <w:lang w:val="es-ES_tradnl"/>
        </w:rPr>
        <w:t xml:space="preserve"> </w:t>
      </w:r>
      <w:r w:rsidR="00E05F79" w:rsidRPr="00992931">
        <w:rPr>
          <w:rFonts w:ascii="ITC Avant Garde" w:eastAsia="Arial Unicode MS" w:hAnsi="ITC Avant Garde" w:cs="Arial"/>
          <w:sz w:val="22"/>
          <w:szCs w:val="22"/>
          <w:bdr w:val="nil"/>
          <w:lang w:val="es-ES_tradnl"/>
        </w:rPr>
        <w:t>título de Concesión de Espectro Radioeléctrico para Uso Comercial, así como</w:t>
      </w:r>
      <w:r w:rsidR="00DB42E6">
        <w:rPr>
          <w:rFonts w:ascii="ITC Avant Garde" w:eastAsia="Arial Unicode MS" w:hAnsi="ITC Avant Garde" w:cs="Arial"/>
          <w:sz w:val="22"/>
          <w:szCs w:val="22"/>
          <w:bdr w:val="nil"/>
          <w:lang w:val="es-ES_tradnl"/>
        </w:rPr>
        <w:t>, en su caso,</w:t>
      </w:r>
      <w:r w:rsidR="00756F43">
        <w:rPr>
          <w:rFonts w:ascii="ITC Avant Garde" w:eastAsia="Arial Unicode MS" w:hAnsi="ITC Avant Garde" w:cs="Arial"/>
          <w:sz w:val="22"/>
          <w:szCs w:val="22"/>
          <w:bdr w:val="nil"/>
          <w:lang w:val="es-ES_tradnl"/>
        </w:rPr>
        <w:t xml:space="preserve"> </w:t>
      </w:r>
      <w:r w:rsidR="002E3603">
        <w:rPr>
          <w:rFonts w:ascii="ITC Avant Garde" w:eastAsia="Arial Unicode MS" w:hAnsi="ITC Avant Garde" w:cs="Arial"/>
          <w:sz w:val="22"/>
          <w:szCs w:val="22"/>
          <w:bdr w:val="nil"/>
          <w:lang w:val="es-ES_tradnl"/>
        </w:rPr>
        <w:t>e</w:t>
      </w:r>
      <w:r w:rsidR="00E05F79" w:rsidRPr="00992931">
        <w:rPr>
          <w:rFonts w:ascii="ITC Avant Garde" w:eastAsia="Arial Unicode MS" w:hAnsi="ITC Avant Garde" w:cs="Arial"/>
          <w:sz w:val="22"/>
          <w:szCs w:val="22"/>
          <w:bdr w:val="nil"/>
          <w:lang w:val="es-ES_tradnl"/>
        </w:rPr>
        <w:t>l título de Concesión Única para Uso Comercial, que se expidan con motivo de la presente Resolución, una vez que sean debidamente notificados y entregados.</w:t>
      </w:r>
    </w:p>
    <w:p w14:paraId="688D8116" w14:textId="77777777" w:rsidR="00B156EB" w:rsidRDefault="00B546A7" w:rsidP="00B156EB">
      <w:pPr>
        <w:pStyle w:val="Prrafodelista"/>
        <w:spacing w:before="240" w:after="240"/>
        <w:ind w:left="0"/>
        <w:jc w:val="both"/>
        <w:rPr>
          <w:rFonts w:ascii="ITC Avant Garde" w:eastAsia="Arial Unicode MS" w:hAnsi="ITC Avant Garde" w:cs="Arial"/>
          <w:sz w:val="22"/>
          <w:szCs w:val="22"/>
          <w:u w:color="000000"/>
          <w:bdr w:val="nil"/>
          <w:lang w:val="es-ES_tradnl"/>
        </w:rPr>
      </w:pPr>
      <w:r w:rsidRPr="00B546A7">
        <w:rPr>
          <w:rFonts w:ascii="ITC Avant Garde" w:hAnsi="ITC Avant Garde" w:cs="Arial"/>
          <w:b/>
          <w:sz w:val="22"/>
          <w:szCs w:val="22"/>
        </w:rPr>
        <w:lastRenderedPageBreak/>
        <w:t>SEXTO.</w:t>
      </w:r>
      <w:r w:rsidRPr="00B546A7">
        <w:rPr>
          <w:rFonts w:ascii="ITC Avant Garde" w:hAnsi="ITC Avant Garde" w:cs="Arial"/>
          <w:b/>
          <w:sz w:val="22"/>
          <w:szCs w:val="22"/>
        </w:rPr>
        <w:tab/>
      </w:r>
      <w:r>
        <w:rPr>
          <w:rFonts w:ascii="ITC Avant Garde" w:hAnsi="ITC Avant Garde" w:cs="Arial"/>
          <w:sz w:val="22"/>
          <w:szCs w:val="22"/>
        </w:rPr>
        <w:tab/>
      </w:r>
      <w:r w:rsidR="00E05F79" w:rsidRPr="00992931">
        <w:rPr>
          <w:rFonts w:ascii="ITC Avant Garde" w:hAnsi="ITC Avant Garde" w:cs="Arial"/>
          <w:sz w:val="22"/>
          <w:szCs w:val="22"/>
        </w:rPr>
        <w:t xml:space="preserve">Se instruye a la Unidad de Espectro Radioeléctrico, a efecto de que, conforme a lo establecido en las Bases, </w:t>
      </w:r>
      <w:proofErr w:type="gramStart"/>
      <w:r w:rsidR="00E05F79" w:rsidRPr="00992931">
        <w:rPr>
          <w:rFonts w:ascii="ITC Avant Garde" w:hAnsi="ITC Avant Garde" w:cs="Arial"/>
          <w:sz w:val="22"/>
          <w:szCs w:val="22"/>
        </w:rPr>
        <w:t>libere</w:t>
      </w:r>
      <w:proofErr w:type="gramEnd"/>
      <w:r w:rsidR="00E05F79" w:rsidRPr="00992931">
        <w:rPr>
          <w:rFonts w:ascii="ITC Avant Garde" w:hAnsi="ITC Avant Garde" w:cs="Arial"/>
          <w:sz w:val="22"/>
          <w:szCs w:val="22"/>
        </w:rPr>
        <w:t xml:space="preserve"> las Garantías de Seriedad de</w:t>
      </w:r>
      <w:r w:rsidR="009E6848">
        <w:rPr>
          <w:rFonts w:ascii="ITC Avant Garde" w:hAnsi="ITC Avant Garde" w:cs="Arial"/>
          <w:sz w:val="22"/>
          <w:szCs w:val="22"/>
        </w:rPr>
        <w:t>l</w:t>
      </w:r>
      <w:r w:rsidR="00E05F79" w:rsidRPr="00992931">
        <w:rPr>
          <w:rFonts w:ascii="ITC Avant Garde" w:hAnsi="ITC Avant Garde" w:cs="Arial"/>
          <w:sz w:val="22"/>
          <w:szCs w:val="22"/>
        </w:rPr>
        <w:t xml:space="preserve"> Participante </w:t>
      </w:r>
      <w:r w:rsidR="00371F94">
        <w:rPr>
          <w:rFonts w:ascii="ITC Avant Garde" w:hAnsi="ITC Avant Garde" w:cs="Arial"/>
          <w:sz w:val="22"/>
          <w:szCs w:val="22"/>
        </w:rPr>
        <w:t>Ganador y</w:t>
      </w:r>
      <w:r w:rsidR="009E6848">
        <w:rPr>
          <w:rFonts w:ascii="ITC Avant Garde" w:hAnsi="ITC Avant Garde" w:cs="Arial"/>
          <w:sz w:val="22"/>
          <w:szCs w:val="22"/>
        </w:rPr>
        <w:t>, en su caso, de los</w:t>
      </w:r>
      <w:r w:rsidR="00371F94">
        <w:rPr>
          <w:rFonts w:ascii="ITC Avant Garde" w:hAnsi="ITC Avant Garde" w:cs="Arial"/>
          <w:sz w:val="22"/>
          <w:szCs w:val="22"/>
        </w:rPr>
        <w:t xml:space="preserve"> Participantes </w:t>
      </w:r>
      <w:r w:rsidR="00E05F79" w:rsidRPr="00992931">
        <w:rPr>
          <w:rFonts w:ascii="ITC Avant Garde" w:hAnsi="ITC Avant Garde" w:cs="Arial"/>
          <w:sz w:val="22"/>
          <w:szCs w:val="22"/>
        </w:rPr>
        <w:t xml:space="preserve">no ganadores conforme a los supuestos previstos en el Considerando </w:t>
      </w:r>
      <w:r w:rsidR="00E05F79" w:rsidRPr="00470978">
        <w:rPr>
          <w:rFonts w:ascii="ITC Avant Garde" w:hAnsi="ITC Avant Garde" w:cs="Arial"/>
          <w:b/>
          <w:sz w:val="22"/>
          <w:szCs w:val="22"/>
        </w:rPr>
        <w:t>QUINTO</w:t>
      </w:r>
      <w:r w:rsidR="00E05F79" w:rsidRPr="00992931">
        <w:rPr>
          <w:rFonts w:ascii="ITC Avant Garde" w:hAnsi="ITC Avant Garde" w:cs="Arial"/>
          <w:sz w:val="22"/>
          <w:szCs w:val="22"/>
        </w:rPr>
        <w:t xml:space="preserve"> de la presente Resolución. </w:t>
      </w:r>
    </w:p>
    <w:p w14:paraId="28F59C78" w14:textId="77777777" w:rsidR="00B156EB" w:rsidRDefault="00B546A7" w:rsidP="00B156EB">
      <w:pPr>
        <w:pStyle w:val="Prrafodelista"/>
        <w:spacing w:before="240" w:after="240"/>
        <w:ind w:left="0"/>
        <w:jc w:val="both"/>
        <w:rPr>
          <w:rFonts w:ascii="ITC Avant Garde" w:eastAsia="Arial Unicode MS" w:hAnsi="ITC Avant Garde" w:cs="Arial"/>
          <w:sz w:val="22"/>
          <w:szCs w:val="22"/>
          <w:u w:color="000000"/>
          <w:bdr w:val="nil"/>
          <w:lang w:val="es-ES_tradnl"/>
        </w:rPr>
      </w:pPr>
      <w:r w:rsidRPr="00B546A7">
        <w:rPr>
          <w:rFonts w:ascii="ITC Avant Garde" w:hAnsi="ITC Avant Garde" w:cs="Arial"/>
          <w:b/>
          <w:sz w:val="22"/>
          <w:szCs w:val="22"/>
        </w:rPr>
        <w:t>SÉPTIMO.</w:t>
      </w:r>
      <w:r>
        <w:rPr>
          <w:rFonts w:ascii="ITC Avant Garde" w:hAnsi="ITC Avant Garde" w:cs="Arial"/>
          <w:sz w:val="22"/>
          <w:szCs w:val="22"/>
        </w:rPr>
        <w:tab/>
      </w:r>
      <w:r w:rsidR="00E05F79" w:rsidRPr="00992931">
        <w:rPr>
          <w:rFonts w:ascii="ITC Avant Garde" w:hAnsi="ITC Avant Garde" w:cs="Arial"/>
          <w:sz w:val="22"/>
          <w:szCs w:val="22"/>
        </w:rPr>
        <w:t xml:space="preserve"> Se instruye a la Unidad de Espectro Radioeléctrico para que, en coordinación con la Secretaría Técnica del Pleno, realice las gestiones necesarias a efecto de publicar </w:t>
      </w:r>
      <w:r w:rsidR="00E05F79" w:rsidRPr="00992931">
        <w:rPr>
          <w:rFonts w:ascii="ITC Avant Garde" w:hAnsi="ITC Avant Garde"/>
          <w:sz w:val="22"/>
          <w:szCs w:val="22"/>
          <w:lang w:eastAsia="es-MX"/>
        </w:rPr>
        <w:t>la presente Resolución</w:t>
      </w:r>
      <w:r w:rsidR="00E05F79" w:rsidRPr="00992931">
        <w:rPr>
          <w:rFonts w:ascii="ITC Avant Garde" w:eastAsia="Arial Unicode MS" w:hAnsi="ITC Avant Garde" w:cs="Arial Unicode MS"/>
          <w:i/>
          <w:sz w:val="22"/>
          <w:szCs w:val="22"/>
          <w:u w:color="000000"/>
          <w:bdr w:val="nil"/>
          <w:lang w:val="es-ES_tradnl"/>
        </w:rPr>
        <w:t xml:space="preserve"> </w:t>
      </w:r>
      <w:r w:rsidR="00E05F79" w:rsidRPr="00992931">
        <w:rPr>
          <w:rFonts w:ascii="ITC Avant Garde" w:hAnsi="ITC Avant Garde"/>
          <w:sz w:val="22"/>
          <w:szCs w:val="22"/>
        </w:rPr>
        <w:t xml:space="preserve">en el portal de Internet del Instituto, </w:t>
      </w:r>
      <w:r w:rsidR="00E05F79" w:rsidRPr="00992931">
        <w:rPr>
          <w:rFonts w:ascii="ITC Avant Garde" w:eastAsia="Arial Unicode MS" w:hAnsi="ITC Avant Garde" w:cs="Arial"/>
          <w:sz w:val="22"/>
          <w:szCs w:val="22"/>
          <w:u w:color="000000"/>
          <w:bdr w:val="nil"/>
          <w:lang w:val="es-ES_tradnl"/>
        </w:rPr>
        <w:t>una vez que haya sido notificada al Participante Ganador.</w:t>
      </w:r>
    </w:p>
    <w:p w14:paraId="66129D9D" w14:textId="77777777" w:rsidR="00B156EB" w:rsidRDefault="00B546A7" w:rsidP="00B156EB">
      <w:pPr>
        <w:pStyle w:val="Prrafodelista"/>
        <w:spacing w:before="240" w:after="240"/>
        <w:ind w:left="0"/>
        <w:jc w:val="both"/>
        <w:rPr>
          <w:rFonts w:ascii="ITC Avant Garde" w:hAnsi="ITC Avant Garde" w:cs="Arial"/>
          <w:sz w:val="22"/>
          <w:szCs w:val="22"/>
        </w:rPr>
      </w:pPr>
      <w:r w:rsidRPr="00B546A7">
        <w:rPr>
          <w:rFonts w:ascii="ITC Avant Garde" w:eastAsia="Arial Unicode MS" w:hAnsi="ITC Avant Garde" w:cs="Arial"/>
          <w:b/>
          <w:sz w:val="22"/>
          <w:szCs w:val="22"/>
          <w:u w:color="000000"/>
          <w:bdr w:val="nil"/>
          <w:lang w:val="es-ES_tradnl"/>
        </w:rPr>
        <w:t>OCTAVO.</w:t>
      </w:r>
      <w:r>
        <w:rPr>
          <w:rFonts w:ascii="ITC Avant Garde" w:eastAsia="Arial Unicode MS" w:hAnsi="ITC Avant Garde" w:cs="Arial"/>
          <w:sz w:val="22"/>
          <w:szCs w:val="22"/>
          <w:u w:color="000000"/>
          <w:bdr w:val="nil"/>
          <w:lang w:val="es-ES_tradnl"/>
        </w:rPr>
        <w:tab/>
      </w:r>
      <w:r w:rsidR="00E05F79" w:rsidRPr="00992931">
        <w:rPr>
          <w:rFonts w:ascii="ITC Avant Garde" w:eastAsia="Arial Unicode MS" w:hAnsi="ITC Avant Garde" w:cs="Arial"/>
          <w:sz w:val="22"/>
          <w:szCs w:val="22"/>
          <w:u w:color="000000"/>
          <w:bdr w:val="nil"/>
          <w:lang w:val="es-ES_tradnl"/>
        </w:rPr>
        <w:t xml:space="preserve"> </w:t>
      </w:r>
      <w:r w:rsidR="00E05F79" w:rsidRPr="00992931">
        <w:rPr>
          <w:rFonts w:ascii="ITC Avant Garde" w:hAnsi="ITC Avant Garde" w:cs="Arial"/>
          <w:sz w:val="22"/>
          <w:szCs w:val="22"/>
        </w:rPr>
        <w:t xml:space="preserve">Se hace del conocimiento del Participante </w:t>
      </w:r>
      <w:r w:rsidR="00760704" w:rsidRPr="00760704">
        <w:rPr>
          <w:rFonts w:ascii="ITC Avant Garde" w:hAnsi="ITC Avant Garde" w:cs="Arial"/>
          <w:b/>
          <w:sz w:val="22"/>
          <w:szCs w:val="22"/>
        </w:rPr>
        <w:t>CONCESIONARIA COMSEG, S.A. DE C.V.</w:t>
      </w:r>
      <w:r w:rsidR="00482FE2">
        <w:rPr>
          <w:rFonts w:ascii="ITC Avant Garde" w:hAnsi="ITC Avant Garde"/>
          <w:b/>
          <w:bCs/>
          <w:noProof/>
          <w:sz w:val="22"/>
          <w:szCs w:val="22"/>
          <w:lang w:eastAsia="es-MX"/>
        </w:rPr>
        <w:t xml:space="preserve"> </w:t>
      </w:r>
      <w:r w:rsidR="00E05F79" w:rsidRPr="00992931">
        <w:rPr>
          <w:rFonts w:ascii="ITC Avant Garde" w:hAnsi="ITC Avant Garde" w:cs="Arial"/>
          <w:sz w:val="22"/>
          <w:szCs w:val="22"/>
        </w:rPr>
        <w:t>que la presente Resolución constituye un acto administrativo definitivo y, por lo tanto, de conformidad con lo dispuesto en los artículos 28</w:t>
      </w:r>
      <w:r w:rsidR="009C03E0">
        <w:rPr>
          <w:rFonts w:ascii="ITC Avant Garde" w:hAnsi="ITC Avant Garde" w:cs="Arial"/>
          <w:sz w:val="22"/>
          <w:szCs w:val="22"/>
        </w:rPr>
        <w:t>,</w:t>
      </w:r>
      <w:r w:rsidR="00E05F79" w:rsidRPr="00992931">
        <w:rPr>
          <w:rFonts w:ascii="ITC Avant Garde" w:hAnsi="ITC Avant Garde" w:cs="Arial"/>
          <w:sz w:val="22"/>
          <w:szCs w:val="22"/>
        </w:rPr>
        <w:t xml:space="preserve"> párrafo vigésimo, fracción VII de la Constitución Política de los Estados Unidos Mexicanos y 312 de la Ley Federal de Telecomunicaciones y Radiodifusión, podrá ser</w:t>
      </w:r>
      <w:r w:rsidR="00E05F79" w:rsidRPr="00735FDE">
        <w:rPr>
          <w:rFonts w:ascii="ITC Avant Garde" w:hAnsi="ITC Avant Garde" w:cs="Arial"/>
          <w:sz w:val="22"/>
          <w:szCs w:val="22"/>
        </w:rPr>
        <w:t xml:space="preserve"> impugnado mediante juicio de amparo indirecto ante los juzgados de distrito especializados en materia de competencia </w:t>
      </w:r>
      <w:bookmarkStart w:id="0" w:name="_GoBack"/>
      <w:bookmarkEnd w:id="0"/>
      <w:r w:rsidR="00E05F79" w:rsidRPr="00735FDE">
        <w:rPr>
          <w:rFonts w:ascii="ITC Avant Garde" w:hAnsi="ITC Avant Garde" w:cs="Arial"/>
          <w:sz w:val="22"/>
          <w:szCs w:val="22"/>
        </w:rPr>
        <w:t>económica, radiodifusión y telecomunicaciones, con residencia en la Ciudad de México y jurisdicción territorial en toda la República, dentro del plazo de quince días hábiles contados a partir de que surta efectos la notificación de la presente Resolución, en términos del artículo 17, párrafo primero de la Ley de Amparo, Reglamentaria de los artículos 103 y 107 de la Constitución Política de los Estados Unidos Mexicanos.</w:t>
      </w:r>
    </w:p>
    <w:p w14:paraId="3023344B" w14:textId="71806794" w:rsidR="00E5473E" w:rsidRPr="004A33B7" w:rsidRDefault="004A33B7" w:rsidP="00B156EB">
      <w:pPr>
        <w:pStyle w:val="Prrafodelista"/>
        <w:spacing w:before="240" w:after="240"/>
        <w:ind w:left="0"/>
        <w:jc w:val="both"/>
        <w:rPr>
          <w:rFonts w:ascii="ITC Avant Garde" w:eastAsia="Arial Unicode MS" w:hAnsi="ITC Avant Garde" w:cs="Arial"/>
          <w:b/>
          <w:sz w:val="14"/>
          <w:szCs w:val="14"/>
          <w:u w:color="000000"/>
          <w:bdr w:val="nil"/>
          <w:lang w:val="es-ES_tradnl"/>
        </w:rPr>
      </w:pPr>
      <w:r w:rsidRPr="004A33B7">
        <w:rPr>
          <w:rFonts w:ascii="ITC Avant Garde" w:hAnsi="ITC Avant Garde"/>
          <w:sz w:val="14"/>
          <w:szCs w:val="14"/>
        </w:rPr>
        <w:t xml:space="preserve">La presente Resolución fue aprobada por el Pleno del Instituto Federal de Telecomunicaciones en su XLV Sesión Ordinaria celebrada el 8 de noviembre de 2017, </w:t>
      </w:r>
      <w:r w:rsidRPr="004A33B7">
        <w:rPr>
          <w:rFonts w:ascii="ITC Avant Garde" w:hAnsi="ITC Avant Garde"/>
          <w:bCs/>
          <w:sz w:val="14"/>
          <w:szCs w:val="14"/>
        </w:rPr>
        <w:t>por unanimidad</w:t>
      </w:r>
      <w:r w:rsidRPr="004A33B7">
        <w:rPr>
          <w:rFonts w:ascii="ITC Avant Garde" w:hAnsi="ITC Avant Garde"/>
          <w:sz w:val="14"/>
          <w:szCs w:val="14"/>
        </w:rPr>
        <w:t xml:space="preserve"> de votos de los Comisionados Gabriel Oswaldo Contreras Saldívar, Adriana Sofía </w:t>
      </w:r>
      <w:proofErr w:type="spellStart"/>
      <w:r w:rsidRPr="004A33B7">
        <w:rPr>
          <w:rFonts w:ascii="ITC Avant Garde" w:hAnsi="ITC Avant Garde"/>
          <w:sz w:val="14"/>
          <w:szCs w:val="14"/>
        </w:rPr>
        <w:t>Labardini</w:t>
      </w:r>
      <w:proofErr w:type="spellEnd"/>
      <w:r w:rsidRPr="004A33B7">
        <w:rPr>
          <w:rFonts w:ascii="ITC Avant Garde" w:hAnsi="ITC Avant Garde"/>
          <w:sz w:val="14"/>
          <w:szCs w:val="14"/>
        </w:rPr>
        <w:t xml:space="preserve"> </w:t>
      </w:r>
      <w:proofErr w:type="spellStart"/>
      <w:r w:rsidRPr="004A33B7">
        <w:rPr>
          <w:rFonts w:ascii="ITC Avant Garde" w:hAnsi="ITC Avant Garde"/>
          <w:sz w:val="14"/>
          <w:szCs w:val="14"/>
        </w:rPr>
        <w:t>Inzunza</w:t>
      </w:r>
      <w:proofErr w:type="spellEnd"/>
      <w:r w:rsidRPr="004A33B7">
        <w:rPr>
          <w:rFonts w:ascii="ITC Avant Garde" w:hAnsi="ITC Avant Garde"/>
          <w:sz w:val="14"/>
          <w:szCs w:val="14"/>
        </w:rPr>
        <w:t xml:space="preserve">, María Elena </w:t>
      </w:r>
      <w:proofErr w:type="spellStart"/>
      <w:r w:rsidRPr="004A33B7">
        <w:rPr>
          <w:rFonts w:ascii="ITC Avant Garde" w:hAnsi="ITC Avant Garde"/>
          <w:sz w:val="14"/>
          <w:szCs w:val="14"/>
        </w:rPr>
        <w:t>Estavillo</w:t>
      </w:r>
      <w:proofErr w:type="spellEnd"/>
      <w:r w:rsidRPr="004A33B7">
        <w:rPr>
          <w:rFonts w:ascii="ITC Avant Garde" w:hAnsi="ITC Avant Garde"/>
          <w:sz w:val="14"/>
          <w:szCs w:val="14"/>
        </w:rPr>
        <w:t xml:space="preserve"> Flores, Mario Germán Fromow Rangel, Adolfo Cuevas Teja, Javier Juárez Mojica y Arturo Robles </w:t>
      </w:r>
      <w:proofErr w:type="spellStart"/>
      <w:r w:rsidRPr="004A33B7">
        <w:rPr>
          <w:rFonts w:ascii="ITC Avant Garde" w:hAnsi="ITC Avant Garde"/>
          <w:sz w:val="14"/>
          <w:szCs w:val="14"/>
        </w:rPr>
        <w:t>Rovalo</w:t>
      </w:r>
      <w:proofErr w:type="spellEnd"/>
      <w:r w:rsidRPr="004A33B7">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P/IFT/081117/662.</w:t>
      </w:r>
    </w:p>
    <w:sectPr w:rsidR="00E5473E" w:rsidRPr="004A33B7" w:rsidSect="00E05F79">
      <w:headerReference w:type="even" r:id="rId13"/>
      <w:footerReference w:type="default" r:id="rId14"/>
      <w:headerReference w:type="first" r:id="rId15"/>
      <w:type w:val="continuous"/>
      <w:pgSz w:w="12240" w:h="15840"/>
      <w:pgMar w:top="2268" w:right="1418" w:bottom="709"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35BAE" w14:textId="77777777" w:rsidR="00236FFE" w:rsidRDefault="00236FFE">
      <w:pPr>
        <w:spacing w:after="0" w:line="240" w:lineRule="auto"/>
      </w:pPr>
      <w:r>
        <w:separator/>
      </w:r>
    </w:p>
  </w:endnote>
  <w:endnote w:type="continuationSeparator" w:id="0">
    <w:p w14:paraId="149995D4" w14:textId="77777777" w:rsidR="00236FFE" w:rsidRDefault="00236FFE">
      <w:pPr>
        <w:spacing w:after="0" w:line="240" w:lineRule="auto"/>
      </w:pPr>
      <w:r>
        <w:continuationSeparator/>
      </w:r>
    </w:p>
  </w:endnote>
  <w:endnote w:type="continuationNotice" w:id="1">
    <w:p w14:paraId="518E2756" w14:textId="77777777" w:rsidR="00236FFE" w:rsidRDefault="00236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Avant Garde">
    <w:altName w:val="ITC Avant Garde"/>
    <w:panose1 w:val="020B0402020203020304"/>
    <w:charset w:val="00"/>
    <w:family w:val="swiss"/>
    <w:pitch w:val="variable"/>
    <w:sig w:usb0="00000007" w:usb1="00000000" w:usb2="00000000" w:usb3="00000000" w:csb0="00000093" w:csb1="00000000"/>
  </w:font>
  <w:font w:name="Helvetica Neue">
    <w:charset w:val="00"/>
    <w:family w:val="auto"/>
    <w:pitch w:val="variable"/>
    <w:sig w:usb0="8000006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67FB8" w14:textId="63E30A99" w:rsidR="000B750E" w:rsidRPr="00B156EB" w:rsidRDefault="000B750E" w:rsidP="00B156EB">
    <w:pPr>
      <w:pStyle w:val="Piedepgina"/>
      <w:jc w:val="right"/>
      <w:rPr>
        <w:rFonts w:ascii="ITC Avant Garde" w:hAnsi="ITC Avant Garde"/>
        <w:sz w:val="14"/>
        <w:szCs w:val="14"/>
      </w:rPr>
    </w:pPr>
    <w:r w:rsidRPr="00CE61F7">
      <w:rPr>
        <w:rFonts w:ascii="ITC Avant Garde" w:hAnsi="ITC Avant Garde"/>
        <w:sz w:val="14"/>
        <w:szCs w:val="14"/>
      </w:rPr>
      <w:fldChar w:fldCharType="begin"/>
    </w:r>
    <w:r w:rsidRPr="00CE61F7">
      <w:rPr>
        <w:rFonts w:ascii="ITC Avant Garde" w:hAnsi="ITC Avant Garde"/>
        <w:sz w:val="14"/>
        <w:szCs w:val="14"/>
      </w:rPr>
      <w:instrText xml:space="preserve"> PAGE </w:instrText>
    </w:r>
    <w:r w:rsidRPr="00CE61F7">
      <w:rPr>
        <w:rFonts w:ascii="ITC Avant Garde" w:hAnsi="ITC Avant Garde"/>
        <w:sz w:val="14"/>
        <w:szCs w:val="14"/>
      </w:rPr>
      <w:fldChar w:fldCharType="separate"/>
    </w:r>
    <w:r w:rsidR="00B156EB">
      <w:rPr>
        <w:rFonts w:ascii="ITC Avant Garde" w:hAnsi="ITC Avant Garde"/>
        <w:noProof/>
        <w:sz w:val="14"/>
        <w:szCs w:val="14"/>
      </w:rPr>
      <w:t>13</w:t>
    </w:r>
    <w:r w:rsidRPr="00CE61F7">
      <w:rPr>
        <w:rFonts w:ascii="ITC Avant Garde" w:hAnsi="ITC Avant Garde"/>
        <w:sz w:val="14"/>
        <w:szCs w:val="14"/>
      </w:rPr>
      <w:fldChar w:fldCharType="end"/>
    </w:r>
    <w:r>
      <w:rPr>
        <w:rFonts w:ascii="ITC Avant Garde" w:hAnsi="ITC Avant Garde"/>
        <w:sz w:val="14"/>
        <w:szCs w:val="14"/>
      </w:rPr>
      <w:t xml:space="preserve"> </w:t>
    </w:r>
    <w:r w:rsidRPr="00CE61F7">
      <w:rPr>
        <w:rFonts w:ascii="ITC Avant Garde" w:hAnsi="ITC Avant Garde"/>
        <w:sz w:val="14"/>
        <w:szCs w:val="14"/>
      </w:rPr>
      <w:t>de</w:t>
    </w:r>
    <w:r>
      <w:rPr>
        <w:rFonts w:ascii="ITC Avant Garde" w:hAnsi="ITC Avant Garde"/>
        <w:sz w:val="14"/>
        <w:szCs w:val="14"/>
      </w:rPr>
      <w:t xml:space="preserve"> </w:t>
    </w:r>
    <w:r w:rsidRPr="00CE61F7">
      <w:rPr>
        <w:rFonts w:ascii="ITC Avant Garde" w:hAnsi="ITC Avant Garde"/>
        <w:sz w:val="14"/>
        <w:szCs w:val="14"/>
      </w:rPr>
      <w:fldChar w:fldCharType="begin"/>
    </w:r>
    <w:r w:rsidRPr="00CE61F7">
      <w:rPr>
        <w:rFonts w:ascii="ITC Avant Garde" w:hAnsi="ITC Avant Garde"/>
        <w:sz w:val="14"/>
        <w:szCs w:val="14"/>
      </w:rPr>
      <w:instrText xml:space="preserve"> NUMPAGES </w:instrText>
    </w:r>
    <w:r w:rsidRPr="00CE61F7">
      <w:rPr>
        <w:rFonts w:ascii="ITC Avant Garde" w:hAnsi="ITC Avant Garde"/>
        <w:sz w:val="14"/>
        <w:szCs w:val="14"/>
      </w:rPr>
      <w:fldChar w:fldCharType="separate"/>
    </w:r>
    <w:r w:rsidR="00B156EB">
      <w:rPr>
        <w:rFonts w:ascii="ITC Avant Garde" w:hAnsi="ITC Avant Garde"/>
        <w:noProof/>
        <w:sz w:val="14"/>
        <w:szCs w:val="14"/>
      </w:rPr>
      <w:t>15</w:t>
    </w:r>
    <w:r w:rsidRPr="00CE61F7">
      <w:rPr>
        <w:rFonts w:ascii="ITC Avant Garde" w:hAnsi="ITC Avant Garde"/>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9247A" w14:textId="77777777" w:rsidR="00236FFE" w:rsidRDefault="00236FFE">
      <w:pPr>
        <w:spacing w:after="0" w:line="240" w:lineRule="auto"/>
      </w:pPr>
      <w:r>
        <w:separator/>
      </w:r>
    </w:p>
  </w:footnote>
  <w:footnote w:type="continuationSeparator" w:id="0">
    <w:p w14:paraId="4F6F394B" w14:textId="77777777" w:rsidR="00236FFE" w:rsidRDefault="00236FFE">
      <w:pPr>
        <w:spacing w:after="0" w:line="240" w:lineRule="auto"/>
      </w:pPr>
      <w:r>
        <w:continuationSeparator/>
      </w:r>
    </w:p>
  </w:footnote>
  <w:footnote w:type="continuationNotice" w:id="1">
    <w:p w14:paraId="0B83188F" w14:textId="77777777" w:rsidR="00236FFE" w:rsidRDefault="00236FFE">
      <w:pPr>
        <w:spacing w:after="0" w:line="240" w:lineRule="auto"/>
      </w:pPr>
    </w:p>
  </w:footnote>
  <w:footnote w:id="2">
    <w:p w14:paraId="13B284B2" w14:textId="04CDBFA8" w:rsidR="000B750E" w:rsidRPr="00B156EB" w:rsidRDefault="000B750E">
      <w:pPr>
        <w:pStyle w:val="Textonotapie"/>
        <w:rPr>
          <w:rFonts w:ascii="ITC Avant Garde" w:hAnsi="ITC Avant Garde"/>
          <w:sz w:val="16"/>
          <w:szCs w:val="16"/>
        </w:rPr>
      </w:pPr>
      <w:r w:rsidRPr="00DA0FE0">
        <w:rPr>
          <w:rStyle w:val="Refdenotaalpie"/>
          <w:rFonts w:ascii="ITC Avant Garde" w:hAnsi="ITC Avant Garde"/>
          <w:sz w:val="16"/>
          <w:szCs w:val="16"/>
        </w:rPr>
        <w:footnoteRef/>
      </w:r>
      <w:r w:rsidRPr="00DA0FE0">
        <w:rPr>
          <w:rFonts w:ascii="ITC Avant Garde" w:hAnsi="ITC Avant Garde"/>
          <w:sz w:val="16"/>
          <w:szCs w:val="16"/>
        </w:rPr>
        <w:t xml:space="preserve"> Los términos utilizados en la presente Resolución corresponden a las definiciones previstas en las Bases.</w:t>
      </w:r>
    </w:p>
  </w:footnote>
  <w:footnote w:id="3">
    <w:p w14:paraId="1311EEA7" w14:textId="2C6633C0" w:rsidR="000B750E" w:rsidRPr="00FB4096" w:rsidRDefault="000B750E" w:rsidP="00914A5C">
      <w:pPr>
        <w:pStyle w:val="Textonotapie"/>
        <w:jc w:val="both"/>
        <w:rPr>
          <w:rFonts w:ascii="ITC Avant Garde" w:hAnsi="ITC Avant Garde"/>
          <w:sz w:val="16"/>
          <w:szCs w:val="16"/>
        </w:rPr>
      </w:pPr>
      <w:r w:rsidRPr="00FB4096">
        <w:rPr>
          <w:rStyle w:val="Refdenotaalpie"/>
          <w:rFonts w:ascii="ITC Avant Garde" w:hAnsi="ITC Avant Garde"/>
          <w:sz w:val="16"/>
          <w:szCs w:val="16"/>
        </w:rPr>
        <w:footnoteRef/>
      </w:r>
      <w:r w:rsidRPr="00FB4096">
        <w:rPr>
          <w:rFonts w:ascii="ITC Avant Garde" w:hAnsi="ITC Avant Garde"/>
          <w:sz w:val="16"/>
          <w:szCs w:val="16"/>
        </w:rPr>
        <w:t xml:space="preserve"> Conforme al número de </w:t>
      </w:r>
      <w:r>
        <w:rPr>
          <w:rFonts w:ascii="ITC Avant Garde" w:hAnsi="ITC Avant Garde"/>
          <w:sz w:val="16"/>
          <w:szCs w:val="16"/>
        </w:rPr>
        <w:t>Bloque establecido</w:t>
      </w:r>
      <w:r w:rsidRPr="00FB4096">
        <w:rPr>
          <w:rFonts w:ascii="ITC Avant Garde" w:hAnsi="ITC Avant Garde"/>
          <w:sz w:val="16"/>
          <w:szCs w:val="16"/>
        </w:rPr>
        <w:t xml:space="preserve"> en el numeral 3 de las Bases.</w:t>
      </w:r>
    </w:p>
  </w:footnote>
  <w:footnote w:id="4">
    <w:p w14:paraId="5B3AD572" w14:textId="683C0860" w:rsidR="000B750E" w:rsidRPr="00FB4096" w:rsidRDefault="000B750E" w:rsidP="009E0008">
      <w:pPr>
        <w:pStyle w:val="Textonotapie"/>
        <w:jc w:val="both"/>
        <w:rPr>
          <w:rFonts w:ascii="ITC Avant Garde" w:hAnsi="ITC Avant Garde"/>
          <w:sz w:val="16"/>
          <w:szCs w:val="16"/>
        </w:rPr>
      </w:pPr>
      <w:r w:rsidRPr="00FB4096">
        <w:rPr>
          <w:rStyle w:val="Refdenotaalpie"/>
          <w:rFonts w:ascii="ITC Avant Garde" w:hAnsi="ITC Avant Garde"/>
          <w:sz w:val="16"/>
          <w:szCs w:val="16"/>
        </w:rPr>
        <w:footnoteRef/>
      </w:r>
      <w:r w:rsidRPr="00FB4096">
        <w:rPr>
          <w:rFonts w:ascii="ITC Avant Garde" w:hAnsi="ITC Avant Garde"/>
          <w:sz w:val="16"/>
          <w:szCs w:val="16"/>
        </w:rPr>
        <w:t xml:space="preserve"> Conforme al número de </w:t>
      </w:r>
      <w:r>
        <w:rPr>
          <w:rFonts w:ascii="ITC Avant Garde" w:hAnsi="ITC Avant Garde"/>
          <w:sz w:val="16"/>
          <w:szCs w:val="16"/>
        </w:rPr>
        <w:t>Bloque establecido</w:t>
      </w:r>
      <w:r w:rsidRPr="00FB4096">
        <w:rPr>
          <w:rFonts w:ascii="ITC Avant Garde" w:hAnsi="ITC Avant Garde"/>
          <w:sz w:val="16"/>
          <w:szCs w:val="16"/>
        </w:rPr>
        <w:t xml:space="preserve"> en el numeral 3 de las Bases.</w:t>
      </w:r>
    </w:p>
  </w:footnote>
  <w:footnote w:id="5">
    <w:p w14:paraId="27420903" w14:textId="77777777" w:rsidR="003B6289" w:rsidRPr="00FB4096" w:rsidRDefault="003B6289" w:rsidP="003B6289">
      <w:pPr>
        <w:pStyle w:val="Textonotapie"/>
        <w:jc w:val="both"/>
        <w:rPr>
          <w:rFonts w:ascii="ITC Avant Garde" w:hAnsi="ITC Avant Garde"/>
          <w:sz w:val="16"/>
          <w:szCs w:val="16"/>
        </w:rPr>
      </w:pPr>
      <w:r w:rsidRPr="00FB4096">
        <w:rPr>
          <w:rStyle w:val="Refdenotaalpie"/>
          <w:rFonts w:ascii="ITC Avant Garde" w:hAnsi="ITC Avant Garde"/>
          <w:sz w:val="16"/>
          <w:szCs w:val="16"/>
        </w:rPr>
        <w:footnoteRef/>
      </w:r>
      <w:r w:rsidRPr="00FB4096">
        <w:rPr>
          <w:rFonts w:ascii="ITC Avant Garde" w:hAnsi="ITC Avant Garde"/>
          <w:sz w:val="16"/>
          <w:szCs w:val="16"/>
        </w:rPr>
        <w:t xml:space="preserve"> Conforme al número de </w:t>
      </w:r>
      <w:r>
        <w:rPr>
          <w:rFonts w:ascii="ITC Avant Garde" w:hAnsi="ITC Avant Garde"/>
          <w:sz w:val="16"/>
          <w:szCs w:val="16"/>
        </w:rPr>
        <w:t>Bloque establecido</w:t>
      </w:r>
      <w:r w:rsidRPr="00FB4096">
        <w:rPr>
          <w:rFonts w:ascii="ITC Avant Garde" w:hAnsi="ITC Avant Garde"/>
          <w:sz w:val="16"/>
          <w:szCs w:val="16"/>
        </w:rPr>
        <w:t xml:space="preserve"> en el numeral 3 de las Bases.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8D16" w14:textId="77777777" w:rsidR="000B750E" w:rsidRDefault="00236FFE">
    <w:pPr>
      <w:pStyle w:val="Encabezado"/>
    </w:pPr>
    <w:r>
      <w:rPr>
        <w:noProof/>
        <w:lang w:eastAsia="es-MX"/>
      </w:rPr>
      <w:pict w14:anchorId="5B9A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42F0B" w14:textId="77777777" w:rsidR="000B750E" w:rsidRDefault="00236FFE">
    <w:pPr>
      <w:pStyle w:val="Encabezado"/>
    </w:pPr>
    <w:r>
      <w:rPr>
        <w:noProof/>
        <w:lang w:eastAsia="es-MX"/>
      </w:rPr>
      <w:pict w14:anchorId="417AE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8239;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57CA6A3E"/>
    <w:lvl w:ilvl="0" w:tplc="76B8FDD4">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1">
    <w:nsid w:val="093D1F5A"/>
    <w:multiLevelType w:val="hybridMultilevel"/>
    <w:tmpl w:val="26563786"/>
    <w:lvl w:ilvl="0" w:tplc="6DF4C4F0">
      <w:start w:val="1"/>
      <w:numFmt w:val="lowerLetter"/>
      <w:pStyle w:val="NormalIFT"/>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11">
      <w:start w:val="1"/>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1">
    <w:nsid w:val="11C13AFD"/>
    <w:multiLevelType w:val="multilevel"/>
    <w:tmpl w:val="588ED2E2"/>
    <w:styleLink w:val="Guin"/>
    <w:lvl w:ilvl="0">
      <w:numFmt w:val="bullet"/>
      <w:lvlText w:val="-"/>
      <w:lvlJc w:val="left"/>
      <w:rPr>
        <w:position w:val="4"/>
        <w:shd w:val="clear" w:color="auto" w:fill="FFFF00"/>
        <w:rtl w:val="0"/>
      </w:rPr>
    </w:lvl>
    <w:lvl w:ilvl="1">
      <w:start w:val="1"/>
      <w:numFmt w:val="bullet"/>
      <w:lvlText w:val="-"/>
      <w:lvlJc w:val="left"/>
      <w:rPr>
        <w:position w:val="4"/>
        <w:shd w:val="clear" w:color="auto" w:fill="FFFF00"/>
        <w:rtl w:val="0"/>
      </w:rPr>
    </w:lvl>
    <w:lvl w:ilvl="2">
      <w:start w:val="1"/>
      <w:numFmt w:val="bullet"/>
      <w:lvlText w:val="-"/>
      <w:lvlJc w:val="left"/>
      <w:rPr>
        <w:position w:val="4"/>
        <w:shd w:val="clear" w:color="auto" w:fill="FFFF00"/>
        <w:rtl w:val="0"/>
      </w:rPr>
    </w:lvl>
    <w:lvl w:ilvl="3">
      <w:start w:val="1"/>
      <w:numFmt w:val="bullet"/>
      <w:lvlText w:val="-"/>
      <w:lvlJc w:val="left"/>
      <w:rPr>
        <w:position w:val="4"/>
        <w:shd w:val="clear" w:color="auto" w:fill="FFFF00"/>
        <w:rtl w:val="0"/>
      </w:rPr>
    </w:lvl>
    <w:lvl w:ilvl="4">
      <w:start w:val="1"/>
      <w:numFmt w:val="bullet"/>
      <w:lvlText w:val="-"/>
      <w:lvlJc w:val="left"/>
      <w:rPr>
        <w:position w:val="4"/>
        <w:shd w:val="clear" w:color="auto" w:fill="FFFF00"/>
        <w:rtl w:val="0"/>
      </w:rPr>
    </w:lvl>
    <w:lvl w:ilvl="5">
      <w:start w:val="1"/>
      <w:numFmt w:val="bullet"/>
      <w:lvlText w:val="-"/>
      <w:lvlJc w:val="left"/>
      <w:rPr>
        <w:position w:val="4"/>
        <w:shd w:val="clear" w:color="auto" w:fill="FFFF00"/>
        <w:rtl w:val="0"/>
      </w:rPr>
    </w:lvl>
    <w:lvl w:ilvl="6">
      <w:start w:val="1"/>
      <w:numFmt w:val="bullet"/>
      <w:lvlText w:val="-"/>
      <w:lvlJc w:val="left"/>
      <w:rPr>
        <w:position w:val="4"/>
        <w:shd w:val="clear" w:color="auto" w:fill="FFFF00"/>
        <w:rtl w:val="0"/>
      </w:rPr>
    </w:lvl>
    <w:lvl w:ilvl="7">
      <w:start w:val="1"/>
      <w:numFmt w:val="bullet"/>
      <w:lvlText w:val="-"/>
      <w:lvlJc w:val="left"/>
      <w:rPr>
        <w:position w:val="4"/>
        <w:shd w:val="clear" w:color="auto" w:fill="FFFF00"/>
        <w:rtl w:val="0"/>
      </w:rPr>
    </w:lvl>
    <w:lvl w:ilvl="8">
      <w:start w:val="1"/>
      <w:numFmt w:val="bullet"/>
      <w:lvlText w:val="-"/>
      <w:lvlJc w:val="left"/>
      <w:rPr>
        <w:position w:val="4"/>
        <w:shd w:val="clear" w:color="auto" w:fill="FFFF00"/>
        <w:rtl w:val="0"/>
      </w:rPr>
    </w:lvl>
  </w:abstractNum>
  <w:abstractNum w:abstractNumId="4" w15:restartNumberingAfterBreak="1">
    <w:nsid w:val="1975560E"/>
    <w:multiLevelType w:val="multilevel"/>
    <w:tmpl w:val="321490EA"/>
    <w:styleLink w:val="List8"/>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5" w15:restartNumberingAfterBreak="1">
    <w:nsid w:val="20A92FA0"/>
    <w:multiLevelType w:val="multilevel"/>
    <w:tmpl w:val="6D7A6C12"/>
    <w:styleLink w:val="List3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6"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258F109E"/>
    <w:multiLevelType w:val="multilevel"/>
    <w:tmpl w:val="71788D20"/>
    <w:styleLink w:val="List0"/>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8" w15:restartNumberingAfterBreak="1">
    <w:nsid w:val="328B40A8"/>
    <w:multiLevelType w:val="hybridMultilevel"/>
    <w:tmpl w:val="620A705E"/>
    <w:lvl w:ilvl="0" w:tplc="5960170E">
      <w:start w:val="1"/>
      <w:numFmt w:val="ordinalText"/>
      <w:lvlText w:val="%1."/>
      <w:lvlJc w:val="left"/>
      <w:pPr>
        <w:ind w:left="4188" w:hanging="360"/>
      </w:pPr>
      <w:rPr>
        <w:rFonts w:hint="default"/>
        <w:b/>
        <w:i w:val="0"/>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332B3D2E"/>
    <w:multiLevelType w:val="multilevel"/>
    <w:tmpl w:val="A552CFF0"/>
    <w:styleLink w:val="List2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0" w15:restartNumberingAfterBreak="1">
    <w:nsid w:val="35455C5C"/>
    <w:multiLevelType w:val="hybridMultilevel"/>
    <w:tmpl w:val="080E7EAC"/>
    <w:lvl w:ilvl="0" w:tplc="48F40F1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35B21CE4"/>
    <w:multiLevelType w:val="multilevel"/>
    <w:tmpl w:val="BCA2189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3AF33A14"/>
    <w:multiLevelType w:val="multilevel"/>
    <w:tmpl w:val="A65829DA"/>
    <w:styleLink w:val="List1"/>
    <w:lvl w:ilvl="0">
      <w:start w:val="1"/>
      <w:numFmt w:val="decimal"/>
      <w:lvlText w:val="%1."/>
      <w:lvlJc w:val="left"/>
      <w:rPr>
        <w:rFonts w:ascii="Cambria" w:eastAsia="Cambria" w:hAnsi="Cambria" w:cs="Cambria"/>
        <w:b/>
        <w:bCs/>
        <w:position w:val="0"/>
      </w:rPr>
    </w:lvl>
    <w:lvl w:ilvl="1">
      <w:start w:val="1"/>
      <w:numFmt w:val="decimal"/>
      <w:lvlText w:val="%1.%2."/>
      <w:lvlJc w:val="left"/>
      <w:rPr>
        <w:rFonts w:ascii="Cambria" w:eastAsia="Cambria" w:hAnsi="Cambria" w:cs="Cambria"/>
        <w:b/>
        <w:bCs/>
        <w:position w:val="0"/>
      </w:rPr>
    </w:lvl>
    <w:lvl w:ilvl="2">
      <w:start w:val="1"/>
      <w:numFmt w:val="decimal"/>
      <w:lvlText w:val="%1.%2.%3."/>
      <w:lvlJc w:val="left"/>
      <w:rPr>
        <w:rFonts w:ascii="Cambria" w:eastAsia="Cambria" w:hAnsi="Cambria" w:cs="Cambria"/>
        <w:b/>
        <w:bCs/>
        <w:position w:val="0"/>
      </w:rPr>
    </w:lvl>
    <w:lvl w:ilvl="3">
      <w:start w:val="1"/>
      <w:numFmt w:val="decimal"/>
      <w:lvlText w:val="%1.%2.%3.%4."/>
      <w:lvlJc w:val="left"/>
      <w:rPr>
        <w:rFonts w:ascii="Cambria" w:eastAsia="Cambria" w:hAnsi="Cambria" w:cs="Cambria"/>
        <w:b/>
        <w:bCs/>
        <w:position w:val="0"/>
      </w:rPr>
    </w:lvl>
    <w:lvl w:ilvl="4">
      <w:start w:val="1"/>
      <w:numFmt w:val="decimal"/>
      <w:lvlText w:val="%1.%2.%3.%4.%5."/>
      <w:lvlJc w:val="left"/>
      <w:rPr>
        <w:rFonts w:ascii="Cambria" w:eastAsia="Cambria" w:hAnsi="Cambria" w:cs="Cambria"/>
        <w:b/>
        <w:bCs/>
        <w:position w:val="0"/>
      </w:rPr>
    </w:lvl>
    <w:lvl w:ilvl="5">
      <w:start w:val="1"/>
      <w:numFmt w:val="decimal"/>
      <w:lvlText w:val="%1.%2.%3.%4.%5.%6."/>
      <w:lvlJc w:val="left"/>
      <w:rPr>
        <w:rFonts w:ascii="Cambria" w:eastAsia="Cambria" w:hAnsi="Cambria" w:cs="Cambria"/>
        <w:b/>
        <w:bCs/>
        <w:position w:val="0"/>
      </w:rPr>
    </w:lvl>
    <w:lvl w:ilvl="6">
      <w:start w:val="1"/>
      <w:numFmt w:val="decimal"/>
      <w:lvlText w:val="%1.%2.%3.%4.%5.%6.%7."/>
      <w:lvlJc w:val="left"/>
      <w:rPr>
        <w:rFonts w:ascii="Cambria" w:eastAsia="Cambria" w:hAnsi="Cambria" w:cs="Cambria"/>
        <w:b/>
        <w:bCs/>
        <w:position w:val="0"/>
      </w:rPr>
    </w:lvl>
    <w:lvl w:ilvl="7">
      <w:start w:val="1"/>
      <w:numFmt w:val="decimal"/>
      <w:lvlText w:val="%1.%2.%3.%4.%5.%6.%7.%8."/>
      <w:lvlJc w:val="left"/>
      <w:rPr>
        <w:rFonts w:ascii="Cambria" w:eastAsia="Cambria" w:hAnsi="Cambria" w:cs="Cambria"/>
        <w:b/>
        <w:bCs/>
        <w:position w:val="0"/>
      </w:rPr>
    </w:lvl>
    <w:lvl w:ilvl="8">
      <w:start w:val="1"/>
      <w:numFmt w:val="decimal"/>
      <w:lvlText w:val="%1.%2.%3.%4.%5.%6.%7.%8.%9."/>
      <w:lvlJc w:val="left"/>
      <w:rPr>
        <w:rFonts w:ascii="Cambria" w:eastAsia="Cambria" w:hAnsi="Cambria" w:cs="Cambria"/>
        <w:b/>
        <w:bCs/>
        <w:position w:val="0"/>
      </w:rPr>
    </w:lvl>
  </w:abstractNum>
  <w:abstractNum w:abstractNumId="13" w15:restartNumberingAfterBreak="1">
    <w:nsid w:val="3B3B79C0"/>
    <w:multiLevelType w:val="multilevel"/>
    <w:tmpl w:val="1D546C5E"/>
    <w:styleLink w:val="List7"/>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4" w15:restartNumberingAfterBreak="1">
    <w:nsid w:val="3DD14918"/>
    <w:multiLevelType w:val="hybridMultilevel"/>
    <w:tmpl w:val="DAC0A0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1">
    <w:nsid w:val="3F597CE2"/>
    <w:multiLevelType w:val="multilevel"/>
    <w:tmpl w:val="66286366"/>
    <w:styleLink w:val="List4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abstractNum>
  <w:abstractNum w:abstractNumId="16" w15:restartNumberingAfterBreak="1">
    <w:nsid w:val="459B7F2C"/>
    <w:multiLevelType w:val="hybridMultilevel"/>
    <w:tmpl w:val="045EE8E6"/>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15:restartNumberingAfterBreak="0">
    <w:nsid w:val="4C3E36FB"/>
    <w:multiLevelType w:val="hybridMultilevel"/>
    <w:tmpl w:val="E9FC0212"/>
    <w:lvl w:ilvl="0" w:tplc="42E268D8">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D1B410A"/>
    <w:multiLevelType w:val="hybridMultilevel"/>
    <w:tmpl w:val="E7D6B2B8"/>
    <w:lvl w:ilvl="0" w:tplc="D33C42E6">
      <w:start w:val="1"/>
      <w:numFmt w:val="lowerLetter"/>
      <w:lvlText w:val="%1)"/>
      <w:lvlJc w:val="left"/>
      <w:pPr>
        <w:ind w:left="1776" w:hanging="360"/>
      </w:pPr>
      <w:rPr>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1">
    <w:nsid w:val="4D322E6B"/>
    <w:multiLevelType w:val="multilevel"/>
    <w:tmpl w:val="D5AE0D50"/>
    <w:styleLink w:val="List6"/>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20" w15:restartNumberingAfterBreak="1">
    <w:nsid w:val="4DB157E5"/>
    <w:multiLevelType w:val="multilevel"/>
    <w:tmpl w:val="2BC20D32"/>
    <w:lvl w:ilvl="0">
      <w:start w:val="1"/>
      <w:numFmt w:val="decimal"/>
      <w:pStyle w:val="TtuloIFT-4"/>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072" w:hanging="504"/>
      </w:pPr>
      <w:rPr>
        <w:rFonts w:hint="default"/>
        <w:b/>
        <w:sz w:val="24"/>
        <w:szCs w:val="22"/>
      </w:rPr>
    </w:lvl>
    <w:lvl w:ilvl="3">
      <w:start w:val="1"/>
      <w:numFmt w:val="decimal"/>
      <w:lvlText w:val="%1.%2.%3.%4."/>
      <w:lvlJc w:val="left"/>
      <w:pPr>
        <w:ind w:left="790" w:hanging="648"/>
      </w:pPr>
      <w:rPr>
        <w:rFonts w:ascii="ITC Avant Garde" w:hAnsi="ITC Avant Garde"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1">
    <w:nsid w:val="4F0530F9"/>
    <w:multiLevelType w:val="hybridMultilevel"/>
    <w:tmpl w:val="23D4CFE2"/>
    <w:lvl w:ilvl="0" w:tplc="9732D404">
      <w:start w:val="1"/>
      <w:numFmt w:val="decimal"/>
      <w:pStyle w:val="Cuadros"/>
      <w:suff w:val="space"/>
      <w:lvlText w:val="Cuadro %1."/>
      <w:lvlJc w:val="left"/>
      <w:pPr>
        <w:ind w:left="720" w:hanging="360"/>
      </w:pPr>
      <w:rPr>
        <w:rFonts w:ascii="ITC Avant Garde" w:hAnsi="ITC Avant Garde"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0620FB3"/>
    <w:multiLevelType w:val="hybridMultilevel"/>
    <w:tmpl w:val="CD9A4252"/>
    <w:lvl w:ilvl="0" w:tplc="BCB4B87C">
      <w:start w:val="1"/>
      <w:numFmt w:val="upperRoman"/>
      <w:lvlText w:val="%1."/>
      <w:lvlJc w:val="left"/>
      <w:pPr>
        <w:ind w:left="2280" w:hanging="720"/>
      </w:pPr>
      <w:rPr>
        <w:rFonts w:hint="default"/>
        <w:b/>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3" w15:restartNumberingAfterBreak="1">
    <w:nsid w:val="524602C3"/>
    <w:multiLevelType w:val="hybridMultilevel"/>
    <w:tmpl w:val="5CA46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8C6F82"/>
    <w:multiLevelType w:val="hybridMultilevel"/>
    <w:tmpl w:val="956E185A"/>
    <w:lvl w:ilvl="0" w:tplc="794243A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542C6EF8"/>
    <w:multiLevelType w:val="multilevel"/>
    <w:tmpl w:val="EB8E4BC4"/>
    <w:styleLink w:val="List5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26" w15:restartNumberingAfterBreak="1">
    <w:nsid w:val="5666598E"/>
    <w:multiLevelType w:val="multilevel"/>
    <w:tmpl w:val="E2042ED6"/>
    <w:styleLink w:val="List10"/>
    <w:lvl w:ilvl="0">
      <w:numFmt w:val="bullet"/>
      <w:lvlText w:val="•"/>
      <w:lvlJc w:val="left"/>
      <w:pPr>
        <w:tabs>
          <w:tab w:val="num" w:pos="211"/>
        </w:tabs>
        <w:ind w:left="211" w:hanging="145"/>
      </w:pPr>
      <w:rPr>
        <w:rFonts w:ascii="Helvetica Neue" w:eastAsia="Helvetica Neue" w:hAnsi="Helvetica Neue" w:cs="Helvetica Neue"/>
        <w:caps w:val="0"/>
        <w:smallCaps w:val="0"/>
        <w:strike w:val="0"/>
        <w:dstrike w:val="0"/>
        <w:color w:val="000000"/>
        <w:spacing w:val="0"/>
        <w:kern w:val="0"/>
        <w:position w:val="0"/>
        <w:sz w:val="24"/>
        <w:szCs w:val="24"/>
        <w:u w:val="none" w:color="000000"/>
        <w:vertAlign w:val="baseline"/>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abstractNum>
  <w:abstractNum w:abstractNumId="27" w15:restartNumberingAfterBreak="0">
    <w:nsid w:val="579B125D"/>
    <w:multiLevelType w:val="hybridMultilevel"/>
    <w:tmpl w:val="6D7481B2"/>
    <w:lvl w:ilvl="0" w:tplc="9D229A7A">
      <w:start w:val="3"/>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1">
    <w:nsid w:val="5CBC6AEC"/>
    <w:multiLevelType w:val="hybridMultilevel"/>
    <w:tmpl w:val="540EF9B0"/>
    <w:lvl w:ilvl="0" w:tplc="080A0017">
      <w:start w:val="1"/>
      <w:numFmt w:val="lowerLetter"/>
      <w:lvlText w:val="%1)"/>
      <w:lvlJc w:val="left"/>
      <w:pPr>
        <w:ind w:left="1920" w:hanging="360"/>
      </w:p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9" w15:restartNumberingAfterBreak="1">
    <w:nsid w:val="60737478"/>
    <w:multiLevelType w:val="multilevel"/>
    <w:tmpl w:val="DE2E2452"/>
    <w:styleLink w:val="List9"/>
    <w:lvl w:ilvl="0">
      <w:numFmt w:val="bullet"/>
      <w:lvlText w:val="•"/>
      <w:lvlJc w:val="left"/>
      <w:pPr>
        <w:tabs>
          <w:tab w:val="num" w:pos="240"/>
        </w:tabs>
        <w:ind w:left="240" w:hanging="174"/>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n-US"/>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abstractNum>
  <w:abstractNum w:abstractNumId="30" w15:restartNumberingAfterBreak="1">
    <w:nsid w:val="610D03B5"/>
    <w:multiLevelType w:val="hybridMultilevel"/>
    <w:tmpl w:val="B73E4B5C"/>
    <w:lvl w:ilvl="0" w:tplc="7CB0CB60">
      <w:start w:val="4"/>
      <w:numFmt w:val="lowerLetter"/>
      <w:lvlText w:val="%1)"/>
      <w:lvlJc w:val="left"/>
      <w:pPr>
        <w:ind w:left="19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1">
    <w:nsid w:val="615D07FF"/>
    <w:multiLevelType w:val="hybridMultilevel"/>
    <w:tmpl w:val="AB80CD8C"/>
    <w:lvl w:ilvl="0" w:tplc="1B68B9B4">
      <w:start w:val="5"/>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1">
    <w:nsid w:val="61F672CD"/>
    <w:multiLevelType w:val="hybridMultilevel"/>
    <w:tmpl w:val="75B62192"/>
    <w:lvl w:ilvl="0" w:tplc="21145054">
      <w:start w:val="1"/>
      <w:numFmt w:val="upperRoman"/>
      <w:lvlText w:val="%1."/>
      <w:lvlJc w:val="right"/>
      <w:pPr>
        <w:ind w:left="720" w:hanging="360"/>
      </w:pPr>
      <w:rPr>
        <w:rFonts w:ascii="ITC Avant Garde" w:hAnsi="ITC Avant Garde"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50A07A5"/>
    <w:multiLevelType w:val="hybridMultilevel"/>
    <w:tmpl w:val="08529E2A"/>
    <w:lvl w:ilvl="0" w:tplc="185AB5E6">
      <w:start w:val="3"/>
      <w:numFmt w:val="lowerLetter"/>
      <w:lvlText w:val="%1)"/>
      <w:lvlJc w:val="left"/>
      <w:pPr>
        <w:ind w:left="19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DCF65E1"/>
    <w:multiLevelType w:val="hybridMultilevel"/>
    <w:tmpl w:val="8A5A2EEC"/>
    <w:lvl w:ilvl="0" w:tplc="080A0017">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35" w15:restartNumberingAfterBreak="0">
    <w:nsid w:val="70496C8F"/>
    <w:multiLevelType w:val="hybridMultilevel"/>
    <w:tmpl w:val="00787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1">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779C6017"/>
    <w:multiLevelType w:val="hybridMultilevel"/>
    <w:tmpl w:val="867A8D78"/>
    <w:lvl w:ilvl="0" w:tplc="D0AAB352">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39" w15:restartNumberingAfterBreak="1">
    <w:nsid w:val="7D9519FA"/>
    <w:multiLevelType w:val="hybridMultilevel"/>
    <w:tmpl w:val="DB3E78C2"/>
    <w:lvl w:ilvl="0" w:tplc="061E0D2C">
      <w:start w:val="1"/>
      <w:numFmt w:val="lowerRoman"/>
      <w:pStyle w:val="Ttulo6"/>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32"/>
  </w:num>
  <w:num w:numId="2">
    <w:abstractNumId w:val="37"/>
  </w:num>
  <w:num w:numId="3">
    <w:abstractNumId w:val="38"/>
  </w:num>
  <w:num w:numId="4">
    <w:abstractNumId w:val="7"/>
  </w:num>
  <w:num w:numId="5">
    <w:abstractNumId w:val="3"/>
  </w:num>
  <w:num w:numId="6">
    <w:abstractNumId w:val="12"/>
  </w:num>
  <w:num w:numId="7">
    <w:abstractNumId w:val="9"/>
  </w:num>
  <w:num w:numId="8">
    <w:abstractNumId w:val="5"/>
  </w:num>
  <w:num w:numId="9">
    <w:abstractNumId w:val="25"/>
  </w:num>
  <w:num w:numId="10">
    <w:abstractNumId w:val="19"/>
  </w:num>
  <w:num w:numId="11">
    <w:abstractNumId w:val="13"/>
  </w:num>
  <w:num w:numId="12">
    <w:abstractNumId w:val="4"/>
  </w:num>
  <w:num w:numId="13">
    <w:abstractNumId w:val="26"/>
  </w:num>
  <w:num w:numId="14">
    <w:abstractNumId w:val="15"/>
  </w:num>
  <w:num w:numId="15">
    <w:abstractNumId w:val="29"/>
  </w:num>
  <w:num w:numId="16">
    <w:abstractNumId w:val="39"/>
  </w:num>
  <w:num w:numId="17">
    <w:abstractNumId w:val="6"/>
  </w:num>
  <w:num w:numId="18">
    <w:abstractNumId w:val="8"/>
  </w:num>
  <w:num w:numId="19">
    <w:abstractNumId w:val="3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0"/>
  </w:num>
  <w:num w:numId="2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num>
  <w:num w:numId="27">
    <w:abstractNumId w:val="1"/>
  </w:num>
  <w:num w:numId="28">
    <w:abstractNumId w:val="16"/>
  </w:num>
  <w:num w:numId="29">
    <w:abstractNumId w:val="23"/>
  </w:num>
  <w:num w:numId="30">
    <w:abstractNumId w:val="10"/>
  </w:num>
  <w:num w:numId="31">
    <w:abstractNumId w:val="28"/>
  </w:num>
  <w:num w:numId="32">
    <w:abstractNumId w:val="30"/>
  </w:num>
  <w:num w:numId="33">
    <w:abstractNumId w:val="33"/>
  </w:num>
  <w:num w:numId="34">
    <w:abstractNumId w:val="36"/>
  </w:num>
  <w:num w:numId="35">
    <w:abstractNumId w:val="36"/>
    <w:lvlOverride w:ilvl="0">
      <w:lvl w:ilvl="0" w:tplc="CA1AD27E">
        <w:start w:val="2"/>
        <w:numFmt w:val="lowerLetter"/>
        <w:lvlText w:val="%1)"/>
        <w:lvlJc w:val="left"/>
        <w:pPr>
          <w:ind w:left="1920" w:hanging="360"/>
        </w:pPr>
        <w:rPr>
          <w:rFonts w:hint="default"/>
          <w:b/>
        </w:rPr>
      </w:lvl>
    </w:lvlOverride>
    <w:lvlOverride w:ilvl="1">
      <w:lvl w:ilvl="1" w:tplc="080A0019">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36">
    <w:abstractNumId w:val="18"/>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4"/>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24"/>
  </w:num>
  <w:num w:numId="44">
    <w:abstractNumId w:val="11"/>
  </w:num>
  <w:num w:numId="45">
    <w:abstractNumId w:val="27"/>
  </w:num>
  <w:num w:numId="4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A4"/>
    <w:rsid w:val="00000643"/>
    <w:rsid w:val="00000B50"/>
    <w:rsid w:val="000018A7"/>
    <w:rsid w:val="000019CA"/>
    <w:rsid w:val="00001E49"/>
    <w:rsid w:val="000038FC"/>
    <w:rsid w:val="0000529F"/>
    <w:rsid w:val="000052D7"/>
    <w:rsid w:val="00005656"/>
    <w:rsid w:val="00005931"/>
    <w:rsid w:val="000060AD"/>
    <w:rsid w:val="00006E12"/>
    <w:rsid w:val="0000710C"/>
    <w:rsid w:val="000078DE"/>
    <w:rsid w:val="00007DDB"/>
    <w:rsid w:val="000100F8"/>
    <w:rsid w:val="00010483"/>
    <w:rsid w:val="000114B4"/>
    <w:rsid w:val="000119F2"/>
    <w:rsid w:val="00012B30"/>
    <w:rsid w:val="00013210"/>
    <w:rsid w:val="00013CCC"/>
    <w:rsid w:val="00013FE2"/>
    <w:rsid w:val="00015477"/>
    <w:rsid w:val="0001727D"/>
    <w:rsid w:val="00017B3C"/>
    <w:rsid w:val="00020012"/>
    <w:rsid w:val="00020272"/>
    <w:rsid w:val="000205B5"/>
    <w:rsid w:val="0002175E"/>
    <w:rsid w:val="00025829"/>
    <w:rsid w:val="00025847"/>
    <w:rsid w:val="000258B9"/>
    <w:rsid w:val="00025D29"/>
    <w:rsid w:val="00027A37"/>
    <w:rsid w:val="00030726"/>
    <w:rsid w:val="00030FBC"/>
    <w:rsid w:val="0003197F"/>
    <w:rsid w:val="00032589"/>
    <w:rsid w:val="00033E49"/>
    <w:rsid w:val="000341D1"/>
    <w:rsid w:val="00034DC5"/>
    <w:rsid w:val="0003569E"/>
    <w:rsid w:val="00035CF5"/>
    <w:rsid w:val="00036792"/>
    <w:rsid w:val="00041443"/>
    <w:rsid w:val="00041B5A"/>
    <w:rsid w:val="00041BF3"/>
    <w:rsid w:val="00041D68"/>
    <w:rsid w:val="000431AF"/>
    <w:rsid w:val="00044B9C"/>
    <w:rsid w:val="000452ED"/>
    <w:rsid w:val="00045A87"/>
    <w:rsid w:val="00045D7C"/>
    <w:rsid w:val="00046B4D"/>
    <w:rsid w:val="00046C4E"/>
    <w:rsid w:val="00050A18"/>
    <w:rsid w:val="000514F0"/>
    <w:rsid w:val="00051812"/>
    <w:rsid w:val="00051AD9"/>
    <w:rsid w:val="00051C6F"/>
    <w:rsid w:val="0005301A"/>
    <w:rsid w:val="0005320F"/>
    <w:rsid w:val="00054D28"/>
    <w:rsid w:val="00054F85"/>
    <w:rsid w:val="00055394"/>
    <w:rsid w:val="00056047"/>
    <w:rsid w:val="00056288"/>
    <w:rsid w:val="00056D79"/>
    <w:rsid w:val="000574AE"/>
    <w:rsid w:val="000577D6"/>
    <w:rsid w:val="00057DC5"/>
    <w:rsid w:val="00060004"/>
    <w:rsid w:val="00060081"/>
    <w:rsid w:val="0006018B"/>
    <w:rsid w:val="00060DB5"/>
    <w:rsid w:val="0006112B"/>
    <w:rsid w:val="0006279E"/>
    <w:rsid w:val="00062993"/>
    <w:rsid w:val="00063F59"/>
    <w:rsid w:val="000641F2"/>
    <w:rsid w:val="000650EC"/>
    <w:rsid w:val="00066CF8"/>
    <w:rsid w:val="00066EAC"/>
    <w:rsid w:val="000674E4"/>
    <w:rsid w:val="0006762C"/>
    <w:rsid w:val="0006780C"/>
    <w:rsid w:val="00067DF7"/>
    <w:rsid w:val="00070805"/>
    <w:rsid w:val="0007137C"/>
    <w:rsid w:val="00072C49"/>
    <w:rsid w:val="00072C66"/>
    <w:rsid w:val="00072E4F"/>
    <w:rsid w:val="00074235"/>
    <w:rsid w:val="00074424"/>
    <w:rsid w:val="00074D29"/>
    <w:rsid w:val="000756A2"/>
    <w:rsid w:val="000768B8"/>
    <w:rsid w:val="000768FD"/>
    <w:rsid w:val="00077022"/>
    <w:rsid w:val="00077838"/>
    <w:rsid w:val="0008009E"/>
    <w:rsid w:val="00080185"/>
    <w:rsid w:val="000801BF"/>
    <w:rsid w:val="0008078D"/>
    <w:rsid w:val="00080E31"/>
    <w:rsid w:val="00081076"/>
    <w:rsid w:val="00081E56"/>
    <w:rsid w:val="00081FEF"/>
    <w:rsid w:val="00082A71"/>
    <w:rsid w:val="00083A9F"/>
    <w:rsid w:val="00084061"/>
    <w:rsid w:val="000846C6"/>
    <w:rsid w:val="000851ED"/>
    <w:rsid w:val="000858C8"/>
    <w:rsid w:val="00086070"/>
    <w:rsid w:val="0008656B"/>
    <w:rsid w:val="00087A38"/>
    <w:rsid w:val="00087CB9"/>
    <w:rsid w:val="0009240D"/>
    <w:rsid w:val="00092A27"/>
    <w:rsid w:val="0009452E"/>
    <w:rsid w:val="00094DC9"/>
    <w:rsid w:val="00095AAA"/>
    <w:rsid w:val="00096CF9"/>
    <w:rsid w:val="000A044C"/>
    <w:rsid w:val="000A14B4"/>
    <w:rsid w:val="000A1C24"/>
    <w:rsid w:val="000A24D5"/>
    <w:rsid w:val="000A3153"/>
    <w:rsid w:val="000A4197"/>
    <w:rsid w:val="000A5113"/>
    <w:rsid w:val="000A528F"/>
    <w:rsid w:val="000A5E2D"/>
    <w:rsid w:val="000A779C"/>
    <w:rsid w:val="000B0118"/>
    <w:rsid w:val="000B1214"/>
    <w:rsid w:val="000B1C3D"/>
    <w:rsid w:val="000B36C9"/>
    <w:rsid w:val="000B5448"/>
    <w:rsid w:val="000B54B0"/>
    <w:rsid w:val="000B6157"/>
    <w:rsid w:val="000B651C"/>
    <w:rsid w:val="000B6E71"/>
    <w:rsid w:val="000B750E"/>
    <w:rsid w:val="000B7690"/>
    <w:rsid w:val="000C04E1"/>
    <w:rsid w:val="000C0627"/>
    <w:rsid w:val="000C073E"/>
    <w:rsid w:val="000C0B2A"/>
    <w:rsid w:val="000C1374"/>
    <w:rsid w:val="000C1C4D"/>
    <w:rsid w:val="000C27C5"/>
    <w:rsid w:val="000C27E6"/>
    <w:rsid w:val="000C2C6D"/>
    <w:rsid w:val="000C37CB"/>
    <w:rsid w:val="000C434A"/>
    <w:rsid w:val="000C6262"/>
    <w:rsid w:val="000C64E9"/>
    <w:rsid w:val="000C70EF"/>
    <w:rsid w:val="000C71BA"/>
    <w:rsid w:val="000C7295"/>
    <w:rsid w:val="000C769D"/>
    <w:rsid w:val="000C7B11"/>
    <w:rsid w:val="000D083E"/>
    <w:rsid w:val="000D0885"/>
    <w:rsid w:val="000D0B55"/>
    <w:rsid w:val="000D12B1"/>
    <w:rsid w:val="000D1E23"/>
    <w:rsid w:val="000D1F39"/>
    <w:rsid w:val="000D24AB"/>
    <w:rsid w:val="000D5661"/>
    <w:rsid w:val="000D5F85"/>
    <w:rsid w:val="000D77FE"/>
    <w:rsid w:val="000D7D33"/>
    <w:rsid w:val="000E25B2"/>
    <w:rsid w:val="000E381D"/>
    <w:rsid w:val="000E49F0"/>
    <w:rsid w:val="000E4CAC"/>
    <w:rsid w:val="000E55A8"/>
    <w:rsid w:val="000E6BE8"/>
    <w:rsid w:val="000E6D6C"/>
    <w:rsid w:val="000E75FE"/>
    <w:rsid w:val="000E77B1"/>
    <w:rsid w:val="000E7CED"/>
    <w:rsid w:val="000F1DEC"/>
    <w:rsid w:val="000F3093"/>
    <w:rsid w:val="000F31BC"/>
    <w:rsid w:val="000F39BE"/>
    <w:rsid w:val="000F4295"/>
    <w:rsid w:val="000F4975"/>
    <w:rsid w:val="000F49CA"/>
    <w:rsid w:val="000F520E"/>
    <w:rsid w:val="000F53F5"/>
    <w:rsid w:val="000F593C"/>
    <w:rsid w:val="000F5C9E"/>
    <w:rsid w:val="000F6344"/>
    <w:rsid w:val="000F636F"/>
    <w:rsid w:val="000F6386"/>
    <w:rsid w:val="000F6EE2"/>
    <w:rsid w:val="000F7279"/>
    <w:rsid w:val="000F782D"/>
    <w:rsid w:val="00100484"/>
    <w:rsid w:val="00101271"/>
    <w:rsid w:val="00103B57"/>
    <w:rsid w:val="00103C14"/>
    <w:rsid w:val="001048DF"/>
    <w:rsid w:val="001049F4"/>
    <w:rsid w:val="001056E9"/>
    <w:rsid w:val="001071BD"/>
    <w:rsid w:val="001073FC"/>
    <w:rsid w:val="001101AF"/>
    <w:rsid w:val="00110BB0"/>
    <w:rsid w:val="001121B6"/>
    <w:rsid w:val="0011221F"/>
    <w:rsid w:val="001125B9"/>
    <w:rsid w:val="00112E34"/>
    <w:rsid w:val="001143FC"/>
    <w:rsid w:val="001157A8"/>
    <w:rsid w:val="00116307"/>
    <w:rsid w:val="001175FD"/>
    <w:rsid w:val="00120527"/>
    <w:rsid w:val="00120B37"/>
    <w:rsid w:val="0012279C"/>
    <w:rsid w:val="00124EBF"/>
    <w:rsid w:val="00125052"/>
    <w:rsid w:val="00125FB9"/>
    <w:rsid w:val="00126C5F"/>
    <w:rsid w:val="00127DA5"/>
    <w:rsid w:val="0013093E"/>
    <w:rsid w:val="00130F03"/>
    <w:rsid w:val="00131834"/>
    <w:rsid w:val="00131840"/>
    <w:rsid w:val="00132632"/>
    <w:rsid w:val="00132728"/>
    <w:rsid w:val="00133015"/>
    <w:rsid w:val="001345C4"/>
    <w:rsid w:val="001354BA"/>
    <w:rsid w:val="00135B8E"/>
    <w:rsid w:val="00135CA1"/>
    <w:rsid w:val="001365F3"/>
    <w:rsid w:val="00137FC8"/>
    <w:rsid w:val="00140611"/>
    <w:rsid w:val="00141ABC"/>
    <w:rsid w:val="00141B25"/>
    <w:rsid w:val="00143A98"/>
    <w:rsid w:val="0014459D"/>
    <w:rsid w:val="0014539D"/>
    <w:rsid w:val="0014549F"/>
    <w:rsid w:val="001455C2"/>
    <w:rsid w:val="001463F7"/>
    <w:rsid w:val="00147B5B"/>
    <w:rsid w:val="00151916"/>
    <w:rsid w:val="00151A6C"/>
    <w:rsid w:val="00153210"/>
    <w:rsid w:val="00153366"/>
    <w:rsid w:val="00153E76"/>
    <w:rsid w:val="00154049"/>
    <w:rsid w:val="00154AD7"/>
    <w:rsid w:val="00155123"/>
    <w:rsid w:val="00155380"/>
    <w:rsid w:val="00155D95"/>
    <w:rsid w:val="00155FF8"/>
    <w:rsid w:val="0016086F"/>
    <w:rsid w:val="0016101C"/>
    <w:rsid w:val="0016180F"/>
    <w:rsid w:val="00161F2A"/>
    <w:rsid w:val="0016297C"/>
    <w:rsid w:val="00162C0B"/>
    <w:rsid w:val="00162CEF"/>
    <w:rsid w:val="00162EF2"/>
    <w:rsid w:val="001636D1"/>
    <w:rsid w:val="001637D9"/>
    <w:rsid w:val="0016434D"/>
    <w:rsid w:val="00164FB1"/>
    <w:rsid w:val="00165F84"/>
    <w:rsid w:val="001665BE"/>
    <w:rsid w:val="00166D2B"/>
    <w:rsid w:val="0016740E"/>
    <w:rsid w:val="001701AB"/>
    <w:rsid w:val="00170881"/>
    <w:rsid w:val="00170968"/>
    <w:rsid w:val="00170AB5"/>
    <w:rsid w:val="00170CF0"/>
    <w:rsid w:val="00170E6B"/>
    <w:rsid w:val="00171E0E"/>
    <w:rsid w:val="00173777"/>
    <w:rsid w:val="0017388D"/>
    <w:rsid w:val="00173ABA"/>
    <w:rsid w:val="00173FCA"/>
    <w:rsid w:val="00174277"/>
    <w:rsid w:val="00175404"/>
    <w:rsid w:val="00176BA1"/>
    <w:rsid w:val="001776FF"/>
    <w:rsid w:val="00177E56"/>
    <w:rsid w:val="00180420"/>
    <w:rsid w:val="001809D5"/>
    <w:rsid w:val="001809FD"/>
    <w:rsid w:val="00181C82"/>
    <w:rsid w:val="00181E1B"/>
    <w:rsid w:val="001826E5"/>
    <w:rsid w:val="00183790"/>
    <w:rsid w:val="001847A3"/>
    <w:rsid w:val="00184E4E"/>
    <w:rsid w:val="00185E8F"/>
    <w:rsid w:val="0018633F"/>
    <w:rsid w:val="00186552"/>
    <w:rsid w:val="00186793"/>
    <w:rsid w:val="00186AA2"/>
    <w:rsid w:val="00187B22"/>
    <w:rsid w:val="00190ED7"/>
    <w:rsid w:val="001915DD"/>
    <w:rsid w:val="00192CBF"/>
    <w:rsid w:val="00192D33"/>
    <w:rsid w:val="00193370"/>
    <w:rsid w:val="00193670"/>
    <w:rsid w:val="001944B3"/>
    <w:rsid w:val="0019454F"/>
    <w:rsid w:val="00194B2D"/>
    <w:rsid w:val="00195419"/>
    <w:rsid w:val="00195821"/>
    <w:rsid w:val="00195CCF"/>
    <w:rsid w:val="001961C0"/>
    <w:rsid w:val="00196BE3"/>
    <w:rsid w:val="001974B8"/>
    <w:rsid w:val="00197873"/>
    <w:rsid w:val="001A066E"/>
    <w:rsid w:val="001A0F52"/>
    <w:rsid w:val="001A1320"/>
    <w:rsid w:val="001A163D"/>
    <w:rsid w:val="001A18A5"/>
    <w:rsid w:val="001A1DEC"/>
    <w:rsid w:val="001A21D7"/>
    <w:rsid w:val="001A32BE"/>
    <w:rsid w:val="001A337D"/>
    <w:rsid w:val="001A372D"/>
    <w:rsid w:val="001A451D"/>
    <w:rsid w:val="001A4E12"/>
    <w:rsid w:val="001A4F36"/>
    <w:rsid w:val="001A5D14"/>
    <w:rsid w:val="001A6B2D"/>
    <w:rsid w:val="001A77EA"/>
    <w:rsid w:val="001B0368"/>
    <w:rsid w:val="001B0465"/>
    <w:rsid w:val="001B1366"/>
    <w:rsid w:val="001B1ADE"/>
    <w:rsid w:val="001B1D37"/>
    <w:rsid w:val="001B1F43"/>
    <w:rsid w:val="001B210C"/>
    <w:rsid w:val="001B2EB0"/>
    <w:rsid w:val="001B3358"/>
    <w:rsid w:val="001B3549"/>
    <w:rsid w:val="001B3CFB"/>
    <w:rsid w:val="001B4E70"/>
    <w:rsid w:val="001B4EBB"/>
    <w:rsid w:val="001B55CF"/>
    <w:rsid w:val="001B720D"/>
    <w:rsid w:val="001B7303"/>
    <w:rsid w:val="001B769C"/>
    <w:rsid w:val="001C014C"/>
    <w:rsid w:val="001C06EE"/>
    <w:rsid w:val="001C103A"/>
    <w:rsid w:val="001C1B22"/>
    <w:rsid w:val="001C1C20"/>
    <w:rsid w:val="001C1D1C"/>
    <w:rsid w:val="001C1D44"/>
    <w:rsid w:val="001C1E2E"/>
    <w:rsid w:val="001C227A"/>
    <w:rsid w:val="001C24E2"/>
    <w:rsid w:val="001C3952"/>
    <w:rsid w:val="001C43BE"/>
    <w:rsid w:val="001C4532"/>
    <w:rsid w:val="001C59EE"/>
    <w:rsid w:val="001C6016"/>
    <w:rsid w:val="001C6542"/>
    <w:rsid w:val="001C6FB2"/>
    <w:rsid w:val="001D0418"/>
    <w:rsid w:val="001D0A48"/>
    <w:rsid w:val="001D0C8A"/>
    <w:rsid w:val="001D23D3"/>
    <w:rsid w:val="001D30A4"/>
    <w:rsid w:val="001D322C"/>
    <w:rsid w:val="001D358C"/>
    <w:rsid w:val="001D39A2"/>
    <w:rsid w:val="001D39A6"/>
    <w:rsid w:val="001D4423"/>
    <w:rsid w:val="001D4734"/>
    <w:rsid w:val="001D4771"/>
    <w:rsid w:val="001D584C"/>
    <w:rsid w:val="001D5BFF"/>
    <w:rsid w:val="001D6916"/>
    <w:rsid w:val="001D6B3B"/>
    <w:rsid w:val="001D73DC"/>
    <w:rsid w:val="001D7456"/>
    <w:rsid w:val="001E02CE"/>
    <w:rsid w:val="001E1A03"/>
    <w:rsid w:val="001E1DA2"/>
    <w:rsid w:val="001E2727"/>
    <w:rsid w:val="001E28FF"/>
    <w:rsid w:val="001E324C"/>
    <w:rsid w:val="001E32AF"/>
    <w:rsid w:val="001E37B8"/>
    <w:rsid w:val="001E3E8A"/>
    <w:rsid w:val="001E4643"/>
    <w:rsid w:val="001E4A45"/>
    <w:rsid w:val="001E6570"/>
    <w:rsid w:val="001E65C0"/>
    <w:rsid w:val="001E6D80"/>
    <w:rsid w:val="001E729D"/>
    <w:rsid w:val="001E7D5F"/>
    <w:rsid w:val="001E7FC5"/>
    <w:rsid w:val="001F02C5"/>
    <w:rsid w:val="001F0549"/>
    <w:rsid w:val="001F2166"/>
    <w:rsid w:val="001F291A"/>
    <w:rsid w:val="001F2FAB"/>
    <w:rsid w:val="001F42B2"/>
    <w:rsid w:val="001F487E"/>
    <w:rsid w:val="001F6151"/>
    <w:rsid w:val="001F6D42"/>
    <w:rsid w:val="001F6E80"/>
    <w:rsid w:val="001F7E67"/>
    <w:rsid w:val="00200DD5"/>
    <w:rsid w:val="002012AA"/>
    <w:rsid w:val="00202303"/>
    <w:rsid w:val="00202733"/>
    <w:rsid w:val="002029ED"/>
    <w:rsid w:val="00203786"/>
    <w:rsid w:val="00204C9B"/>
    <w:rsid w:val="002053E7"/>
    <w:rsid w:val="0020561A"/>
    <w:rsid w:val="00205E07"/>
    <w:rsid w:val="00206CF1"/>
    <w:rsid w:val="00210C8D"/>
    <w:rsid w:val="00211E73"/>
    <w:rsid w:val="00213ADF"/>
    <w:rsid w:val="0021405E"/>
    <w:rsid w:val="00214512"/>
    <w:rsid w:val="002145A8"/>
    <w:rsid w:val="00214911"/>
    <w:rsid w:val="00215708"/>
    <w:rsid w:val="002159B3"/>
    <w:rsid w:val="00216D9E"/>
    <w:rsid w:val="00217D64"/>
    <w:rsid w:val="00217E03"/>
    <w:rsid w:val="00220EA7"/>
    <w:rsid w:val="00221EEF"/>
    <w:rsid w:val="00222BB9"/>
    <w:rsid w:val="00223342"/>
    <w:rsid w:val="00223C20"/>
    <w:rsid w:val="0022420C"/>
    <w:rsid w:val="002246C1"/>
    <w:rsid w:val="002257B6"/>
    <w:rsid w:val="00226325"/>
    <w:rsid w:val="00226E5B"/>
    <w:rsid w:val="002273DB"/>
    <w:rsid w:val="00230107"/>
    <w:rsid w:val="0023051A"/>
    <w:rsid w:val="002309C3"/>
    <w:rsid w:val="0023110C"/>
    <w:rsid w:val="00231F37"/>
    <w:rsid w:val="00232163"/>
    <w:rsid w:val="002325B5"/>
    <w:rsid w:val="002326E9"/>
    <w:rsid w:val="00233A2A"/>
    <w:rsid w:val="00234750"/>
    <w:rsid w:val="00235B58"/>
    <w:rsid w:val="00235C16"/>
    <w:rsid w:val="00236306"/>
    <w:rsid w:val="00236431"/>
    <w:rsid w:val="00236CAB"/>
    <w:rsid w:val="00236FFE"/>
    <w:rsid w:val="00240127"/>
    <w:rsid w:val="002402E0"/>
    <w:rsid w:val="0024098F"/>
    <w:rsid w:val="00240F37"/>
    <w:rsid w:val="0024134D"/>
    <w:rsid w:val="002413D8"/>
    <w:rsid w:val="00241681"/>
    <w:rsid w:val="00241B22"/>
    <w:rsid w:val="002427B9"/>
    <w:rsid w:val="00243757"/>
    <w:rsid w:val="002437D5"/>
    <w:rsid w:val="00243830"/>
    <w:rsid w:val="00243C71"/>
    <w:rsid w:val="00243E46"/>
    <w:rsid w:val="00244DD7"/>
    <w:rsid w:val="00245563"/>
    <w:rsid w:val="00246479"/>
    <w:rsid w:val="0024726D"/>
    <w:rsid w:val="00247531"/>
    <w:rsid w:val="00247758"/>
    <w:rsid w:val="00250F67"/>
    <w:rsid w:val="002516D2"/>
    <w:rsid w:val="00251A2A"/>
    <w:rsid w:val="002526AB"/>
    <w:rsid w:val="00252D37"/>
    <w:rsid w:val="002546C4"/>
    <w:rsid w:val="00254CCA"/>
    <w:rsid w:val="002552C3"/>
    <w:rsid w:val="002558DC"/>
    <w:rsid w:val="00255A55"/>
    <w:rsid w:val="00255E2C"/>
    <w:rsid w:val="00256CBE"/>
    <w:rsid w:val="00257C14"/>
    <w:rsid w:val="00257E3B"/>
    <w:rsid w:val="00257F01"/>
    <w:rsid w:val="00260C9B"/>
    <w:rsid w:val="00261AD5"/>
    <w:rsid w:val="00262C42"/>
    <w:rsid w:val="002638D4"/>
    <w:rsid w:val="00263E56"/>
    <w:rsid w:val="00263F3D"/>
    <w:rsid w:val="002647D3"/>
    <w:rsid w:val="002653DD"/>
    <w:rsid w:val="00266914"/>
    <w:rsid w:val="002670A3"/>
    <w:rsid w:val="002672A9"/>
    <w:rsid w:val="00267CFA"/>
    <w:rsid w:val="00270F0B"/>
    <w:rsid w:val="0027162B"/>
    <w:rsid w:val="00271969"/>
    <w:rsid w:val="002719DC"/>
    <w:rsid w:val="00271AC5"/>
    <w:rsid w:val="00272C4C"/>
    <w:rsid w:val="002735C1"/>
    <w:rsid w:val="00273D6A"/>
    <w:rsid w:val="002740C1"/>
    <w:rsid w:val="00274172"/>
    <w:rsid w:val="00274B19"/>
    <w:rsid w:val="00274DF8"/>
    <w:rsid w:val="00275686"/>
    <w:rsid w:val="00275AB0"/>
    <w:rsid w:val="00276590"/>
    <w:rsid w:val="002765C5"/>
    <w:rsid w:val="0027705B"/>
    <w:rsid w:val="00277842"/>
    <w:rsid w:val="00282B3A"/>
    <w:rsid w:val="00282DE9"/>
    <w:rsid w:val="002837F8"/>
    <w:rsid w:val="002840E2"/>
    <w:rsid w:val="00284687"/>
    <w:rsid w:val="00284AE9"/>
    <w:rsid w:val="0028524C"/>
    <w:rsid w:val="00285475"/>
    <w:rsid w:val="00285E72"/>
    <w:rsid w:val="00286496"/>
    <w:rsid w:val="00286FA0"/>
    <w:rsid w:val="00287931"/>
    <w:rsid w:val="00287941"/>
    <w:rsid w:val="00290522"/>
    <w:rsid w:val="0029102D"/>
    <w:rsid w:val="00291880"/>
    <w:rsid w:val="00291A57"/>
    <w:rsid w:val="00292312"/>
    <w:rsid w:val="00292EC0"/>
    <w:rsid w:val="0029457D"/>
    <w:rsid w:val="002946F8"/>
    <w:rsid w:val="00294DF1"/>
    <w:rsid w:val="00294E92"/>
    <w:rsid w:val="00295B47"/>
    <w:rsid w:val="0029643B"/>
    <w:rsid w:val="0029661F"/>
    <w:rsid w:val="00296C5A"/>
    <w:rsid w:val="002975B9"/>
    <w:rsid w:val="002A0081"/>
    <w:rsid w:val="002A02B2"/>
    <w:rsid w:val="002A0A12"/>
    <w:rsid w:val="002A0BCF"/>
    <w:rsid w:val="002A1E15"/>
    <w:rsid w:val="002A2183"/>
    <w:rsid w:val="002A3A40"/>
    <w:rsid w:val="002A42C8"/>
    <w:rsid w:val="002A43C8"/>
    <w:rsid w:val="002A4E9C"/>
    <w:rsid w:val="002A4FCF"/>
    <w:rsid w:val="002A5ED9"/>
    <w:rsid w:val="002A7020"/>
    <w:rsid w:val="002A74DD"/>
    <w:rsid w:val="002A7801"/>
    <w:rsid w:val="002B08FE"/>
    <w:rsid w:val="002B1AD7"/>
    <w:rsid w:val="002B1E1E"/>
    <w:rsid w:val="002B23D0"/>
    <w:rsid w:val="002B2E48"/>
    <w:rsid w:val="002B318D"/>
    <w:rsid w:val="002B4F8D"/>
    <w:rsid w:val="002B52D5"/>
    <w:rsid w:val="002B68D2"/>
    <w:rsid w:val="002B771D"/>
    <w:rsid w:val="002B77F1"/>
    <w:rsid w:val="002C024F"/>
    <w:rsid w:val="002C047F"/>
    <w:rsid w:val="002C1402"/>
    <w:rsid w:val="002C14C9"/>
    <w:rsid w:val="002C20C4"/>
    <w:rsid w:val="002C2B7B"/>
    <w:rsid w:val="002C353B"/>
    <w:rsid w:val="002C35E6"/>
    <w:rsid w:val="002C3834"/>
    <w:rsid w:val="002C399D"/>
    <w:rsid w:val="002C4478"/>
    <w:rsid w:val="002C44B8"/>
    <w:rsid w:val="002C4F96"/>
    <w:rsid w:val="002C560D"/>
    <w:rsid w:val="002C5915"/>
    <w:rsid w:val="002C6089"/>
    <w:rsid w:val="002C677A"/>
    <w:rsid w:val="002C68C8"/>
    <w:rsid w:val="002C707E"/>
    <w:rsid w:val="002C7174"/>
    <w:rsid w:val="002D0D57"/>
    <w:rsid w:val="002D0E5A"/>
    <w:rsid w:val="002D1DAB"/>
    <w:rsid w:val="002D1FB9"/>
    <w:rsid w:val="002D1FDC"/>
    <w:rsid w:val="002D265A"/>
    <w:rsid w:val="002D2A12"/>
    <w:rsid w:val="002D2D00"/>
    <w:rsid w:val="002D387A"/>
    <w:rsid w:val="002D3E91"/>
    <w:rsid w:val="002D4617"/>
    <w:rsid w:val="002D4636"/>
    <w:rsid w:val="002D7D69"/>
    <w:rsid w:val="002E0317"/>
    <w:rsid w:val="002E0ADD"/>
    <w:rsid w:val="002E0B27"/>
    <w:rsid w:val="002E1FC6"/>
    <w:rsid w:val="002E2DE3"/>
    <w:rsid w:val="002E30A5"/>
    <w:rsid w:val="002E3603"/>
    <w:rsid w:val="002E4012"/>
    <w:rsid w:val="002E485C"/>
    <w:rsid w:val="002E4B4D"/>
    <w:rsid w:val="002E5365"/>
    <w:rsid w:val="002E68DF"/>
    <w:rsid w:val="002F0C00"/>
    <w:rsid w:val="002F0C95"/>
    <w:rsid w:val="002F0D9D"/>
    <w:rsid w:val="002F13F9"/>
    <w:rsid w:val="002F1647"/>
    <w:rsid w:val="002F2110"/>
    <w:rsid w:val="002F2429"/>
    <w:rsid w:val="002F2550"/>
    <w:rsid w:val="002F38A3"/>
    <w:rsid w:val="002F5AAC"/>
    <w:rsid w:val="002F6C9E"/>
    <w:rsid w:val="002F71F8"/>
    <w:rsid w:val="002F7593"/>
    <w:rsid w:val="002F768C"/>
    <w:rsid w:val="002F7FE4"/>
    <w:rsid w:val="00300ED6"/>
    <w:rsid w:val="003010E5"/>
    <w:rsid w:val="0030143C"/>
    <w:rsid w:val="003018C5"/>
    <w:rsid w:val="00303465"/>
    <w:rsid w:val="00303AA1"/>
    <w:rsid w:val="00303C46"/>
    <w:rsid w:val="00303FE6"/>
    <w:rsid w:val="003040CC"/>
    <w:rsid w:val="00304B17"/>
    <w:rsid w:val="003051D1"/>
    <w:rsid w:val="00305415"/>
    <w:rsid w:val="00305C71"/>
    <w:rsid w:val="00305C9D"/>
    <w:rsid w:val="0031095E"/>
    <w:rsid w:val="00311DA5"/>
    <w:rsid w:val="00312EBB"/>
    <w:rsid w:val="00313AEA"/>
    <w:rsid w:val="00313D7C"/>
    <w:rsid w:val="00314719"/>
    <w:rsid w:val="00314C04"/>
    <w:rsid w:val="00315D83"/>
    <w:rsid w:val="00316515"/>
    <w:rsid w:val="003172F6"/>
    <w:rsid w:val="00317442"/>
    <w:rsid w:val="0032085A"/>
    <w:rsid w:val="00320DC6"/>
    <w:rsid w:val="00320E99"/>
    <w:rsid w:val="00320F1B"/>
    <w:rsid w:val="00321920"/>
    <w:rsid w:val="00322F4F"/>
    <w:rsid w:val="003236BE"/>
    <w:rsid w:val="00324A36"/>
    <w:rsid w:val="00324C47"/>
    <w:rsid w:val="00326029"/>
    <w:rsid w:val="003276FF"/>
    <w:rsid w:val="0033106D"/>
    <w:rsid w:val="003310B7"/>
    <w:rsid w:val="003325A9"/>
    <w:rsid w:val="00333271"/>
    <w:rsid w:val="003337F2"/>
    <w:rsid w:val="00333C66"/>
    <w:rsid w:val="003340EA"/>
    <w:rsid w:val="00336488"/>
    <w:rsid w:val="00336AC1"/>
    <w:rsid w:val="00337D29"/>
    <w:rsid w:val="0034369C"/>
    <w:rsid w:val="00343B7F"/>
    <w:rsid w:val="00344A34"/>
    <w:rsid w:val="00344EC7"/>
    <w:rsid w:val="00345382"/>
    <w:rsid w:val="00345E71"/>
    <w:rsid w:val="00345F45"/>
    <w:rsid w:val="00347B69"/>
    <w:rsid w:val="00347F30"/>
    <w:rsid w:val="00350430"/>
    <w:rsid w:val="00350C77"/>
    <w:rsid w:val="003524B6"/>
    <w:rsid w:val="0035387D"/>
    <w:rsid w:val="00353A11"/>
    <w:rsid w:val="00354F15"/>
    <w:rsid w:val="003552C5"/>
    <w:rsid w:val="00355C54"/>
    <w:rsid w:val="00357DB0"/>
    <w:rsid w:val="003609B3"/>
    <w:rsid w:val="00361CAB"/>
    <w:rsid w:val="003623F4"/>
    <w:rsid w:val="003639A7"/>
    <w:rsid w:val="003642A3"/>
    <w:rsid w:val="00364C73"/>
    <w:rsid w:val="003654B8"/>
    <w:rsid w:val="003656FA"/>
    <w:rsid w:val="00365901"/>
    <w:rsid w:val="00366598"/>
    <w:rsid w:val="0036693C"/>
    <w:rsid w:val="003671DC"/>
    <w:rsid w:val="00367B57"/>
    <w:rsid w:val="00367F7E"/>
    <w:rsid w:val="00370EEB"/>
    <w:rsid w:val="00370F5C"/>
    <w:rsid w:val="00371F94"/>
    <w:rsid w:val="00372E97"/>
    <w:rsid w:val="003732B9"/>
    <w:rsid w:val="00375563"/>
    <w:rsid w:val="00376A2A"/>
    <w:rsid w:val="00376EF3"/>
    <w:rsid w:val="0037792A"/>
    <w:rsid w:val="0038013F"/>
    <w:rsid w:val="00380D4F"/>
    <w:rsid w:val="00380F73"/>
    <w:rsid w:val="00381FCB"/>
    <w:rsid w:val="00382680"/>
    <w:rsid w:val="00382B64"/>
    <w:rsid w:val="00383766"/>
    <w:rsid w:val="0038459E"/>
    <w:rsid w:val="003848B5"/>
    <w:rsid w:val="00384AE4"/>
    <w:rsid w:val="00385393"/>
    <w:rsid w:val="003870A6"/>
    <w:rsid w:val="00390E4B"/>
    <w:rsid w:val="003910AD"/>
    <w:rsid w:val="003914C6"/>
    <w:rsid w:val="00391D1D"/>
    <w:rsid w:val="00392204"/>
    <w:rsid w:val="00392718"/>
    <w:rsid w:val="00392935"/>
    <w:rsid w:val="0039324E"/>
    <w:rsid w:val="00393AC3"/>
    <w:rsid w:val="00393C2B"/>
    <w:rsid w:val="00394DA1"/>
    <w:rsid w:val="00394FD5"/>
    <w:rsid w:val="00395AEF"/>
    <w:rsid w:val="00396158"/>
    <w:rsid w:val="003961AE"/>
    <w:rsid w:val="0039729F"/>
    <w:rsid w:val="003A0634"/>
    <w:rsid w:val="003A0929"/>
    <w:rsid w:val="003A1F6D"/>
    <w:rsid w:val="003A2344"/>
    <w:rsid w:val="003A3D06"/>
    <w:rsid w:val="003A4532"/>
    <w:rsid w:val="003A4FC3"/>
    <w:rsid w:val="003A5C60"/>
    <w:rsid w:val="003A62F3"/>
    <w:rsid w:val="003A6505"/>
    <w:rsid w:val="003A6572"/>
    <w:rsid w:val="003A70DB"/>
    <w:rsid w:val="003A7320"/>
    <w:rsid w:val="003A7377"/>
    <w:rsid w:val="003B03B9"/>
    <w:rsid w:val="003B0613"/>
    <w:rsid w:val="003B0ACD"/>
    <w:rsid w:val="003B1434"/>
    <w:rsid w:val="003B2471"/>
    <w:rsid w:val="003B3790"/>
    <w:rsid w:val="003B3A64"/>
    <w:rsid w:val="003B5143"/>
    <w:rsid w:val="003B6280"/>
    <w:rsid w:val="003B6289"/>
    <w:rsid w:val="003B64C8"/>
    <w:rsid w:val="003B7A31"/>
    <w:rsid w:val="003B7D15"/>
    <w:rsid w:val="003C0CA1"/>
    <w:rsid w:val="003C1638"/>
    <w:rsid w:val="003C198E"/>
    <w:rsid w:val="003C1F52"/>
    <w:rsid w:val="003C1FB3"/>
    <w:rsid w:val="003C232A"/>
    <w:rsid w:val="003C244F"/>
    <w:rsid w:val="003C27A7"/>
    <w:rsid w:val="003C2881"/>
    <w:rsid w:val="003C36CC"/>
    <w:rsid w:val="003C4B6B"/>
    <w:rsid w:val="003C518C"/>
    <w:rsid w:val="003C5BB7"/>
    <w:rsid w:val="003C5FAB"/>
    <w:rsid w:val="003C6403"/>
    <w:rsid w:val="003C6ACA"/>
    <w:rsid w:val="003C6C9F"/>
    <w:rsid w:val="003C7AD5"/>
    <w:rsid w:val="003D096C"/>
    <w:rsid w:val="003D0ACB"/>
    <w:rsid w:val="003D0BA3"/>
    <w:rsid w:val="003D10E8"/>
    <w:rsid w:val="003D1A5F"/>
    <w:rsid w:val="003D1D0B"/>
    <w:rsid w:val="003D23BC"/>
    <w:rsid w:val="003D2B16"/>
    <w:rsid w:val="003D2CA1"/>
    <w:rsid w:val="003D37D5"/>
    <w:rsid w:val="003D3C94"/>
    <w:rsid w:val="003D3E73"/>
    <w:rsid w:val="003D5D26"/>
    <w:rsid w:val="003D7291"/>
    <w:rsid w:val="003E02AB"/>
    <w:rsid w:val="003E1B21"/>
    <w:rsid w:val="003E1D26"/>
    <w:rsid w:val="003E1E6F"/>
    <w:rsid w:val="003E23E8"/>
    <w:rsid w:val="003E2A5E"/>
    <w:rsid w:val="003E2FD7"/>
    <w:rsid w:val="003E300B"/>
    <w:rsid w:val="003E4CE6"/>
    <w:rsid w:val="003E523A"/>
    <w:rsid w:val="003E572F"/>
    <w:rsid w:val="003E5D40"/>
    <w:rsid w:val="003E5FA0"/>
    <w:rsid w:val="003E615A"/>
    <w:rsid w:val="003E6ED8"/>
    <w:rsid w:val="003E6FC4"/>
    <w:rsid w:val="003E7D0E"/>
    <w:rsid w:val="003F2979"/>
    <w:rsid w:val="003F2C5B"/>
    <w:rsid w:val="003F2F89"/>
    <w:rsid w:val="003F3793"/>
    <w:rsid w:val="003F3930"/>
    <w:rsid w:val="003F4EB7"/>
    <w:rsid w:val="003F5D97"/>
    <w:rsid w:val="003F60AB"/>
    <w:rsid w:val="003F6139"/>
    <w:rsid w:val="003F6FB8"/>
    <w:rsid w:val="003F7F8C"/>
    <w:rsid w:val="004005BE"/>
    <w:rsid w:val="00400B50"/>
    <w:rsid w:val="00400C7A"/>
    <w:rsid w:val="00401AAB"/>
    <w:rsid w:val="004051C5"/>
    <w:rsid w:val="00405FFE"/>
    <w:rsid w:val="004060B8"/>
    <w:rsid w:val="00406508"/>
    <w:rsid w:val="00406BB0"/>
    <w:rsid w:val="00406DD0"/>
    <w:rsid w:val="00407EE2"/>
    <w:rsid w:val="00407F6D"/>
    <w:rsid w:val="00410173"/>
    <w:rsid w:val="004107C3"/>
    <w:rsid w:val="00411B29"/>
    <w:rsid w:val="0041250D"/>
    <w:rsid w:val="0041296E"/>
    <w:rsid w:val="00412A09"/>
    <w:rsid w:val="00413069"/>
    <w:rsid w:val="0041396D"/>
    <w:rsid w:val="00414446"/>
    <w:rsid w:val="00414C67"/>
    <w:rsid w:val="0041660F"/>
    <w:rsid w:val="00416A32"/>
    <w:rsid w:val="00417106"/>
    <w:rsid w:val="0042009A"/>
    <w:rsid w:val="00420C83"/>
    <w:rsid w:val="004213CB"/>
    <w:rsid w:val="00421A2A"/>
    <w:rsid w:val="00422575"/>
    <w:rsid w:val="00422652"/>
    <w:rsid w:val="0042308E"/>
    <w:rsid w:val="00423240"/>
    <w:rsid w:val="00424150"/>
    <w:rsid w:val="0042419A"/>
    <w:rsid w:val="00424443"/>
    <w:rsid w:val="00424AD0"/>
    <w:rsid w:val="00425083"/>
    <w:rsid w:val="004250CA"/>
    <w:rsid w:val="004254BC"/>
    <w:rsid w:val="00427BA5"/>
    <w:rsid w:val="0043029C"/>
    <w:rsid w:val="004318FA"/>
    <w:rsid w:val="004324AD"/>
    <w:rsid w:val="004332AD"/>
    <w:rsid w:val="004337B4"/>
    <w:rsid w:val="004351AB"/>
    <w:rsid w:val="004352B9"/>
    <w:rsid w:val="0043644A"/>
    <w:rsid w:val="00436728"/>
    <w:rsid w:val="00436939"/>
    <w:rsid w:val="004373DF"/>
    <w:rsid w:val="00437A02"/>
    <w:rsid w:val="00437A80"/>
    <w:rsid w:val="00437ADD"/>
    <w:rsid w:val="00437C96"/>
    <w:rsid w:val="004404BF"/>
    <w:rsid w:val="00441FD3"/>
    <w:rsid w:val="004425F6"/>
    <w:rsid w:val="00442910"/>
    <w:rsid w:val="00443682"/>
    <w:rsid w:val="00443890"/>
    <w:rsid w:val="00443FC4"/>
    <w:rsid w:val="00444694"/>
    <w:rsid w:val="00444A0D"/>
    <w:rsid w:val="00444EB5"/>
    <w:rsid w:val="004455DE"/>
    <w:rsid w:val="004457B5"/>
    <w:rsid w:val="004465E1"/>
    <w:rsid w:val="004474FA"/>
    <w:rsid w:val="0045121D"/>
    <w:rsid w:val="004522DE"/>
    <w:rsid w:val="004526FB"/>
    <w:rsid w:val="004528FA"/>
    <w:rsid w:val="00452A27"/>
    <w:rsid w:val="00453585"/>
    <w:rsid w:val="004535EB"/>
    <w:rsid w:val="00453890"/>
    <w:rsid w:val="00453967"/>
    <w:rsid w:val="00454418"/>
    <w:rsid w:val="00454FE0"/>
    <w:rsid w:val="00455FDB"/>
    <w:rsid w:val="00456587"/>
    <w:rsid w:val="00456790"/>
    <w:rsid w:val="00456D73"/>
    <w:rsid w:val="00456DBA"/>
    <w:rsid w:val="0045772C"/>
    <w:rsid w:val="00457AE5"/>
    <w:rsid w:val="00460A39"/>
    <w:rsid w:val="00460D3E"/>
    <w:rsid w:val="00460D56"/>
    <w:rsid w:val="00462D9C"/>
    <w:rsid w:val="004630DF"/>
    <w:rsid w:val="00463C95"/>
    <w:rsid w:val="00463CFA"/>
    <w:rsid w:val="00464257"/>
    <w:rsid w:val="004648A1"/>
    <w:rsid w:val="00464DD7"/>
    <w:rsid w:val="00465002"/>
    <w:rsid w:val="00465911"/>
    <w:rsid w:val="00465B4C"/>
    <w:rsid w:val="004669BD"/>
    <w:rsid w:val="004678F1"/>
    <w:rsid w:val="00467D46"/>
    <w:rsid w:val="00467F25"/>
    <w:rsid w:val="00470230"/>
    <w:rsid w:val="00470489"/>
    <w:rsid w:val="00470978"/>
    <w:rsid w:val="0047098C"/>
    <w:rsid w:val="00470BF3"/>
    <w:rsid w:val="0047101A"/>
    <w:rsid w:val="0047144A"/>
    <w:rsid w:val="00471512"/>
    <w:rsid w:val="0047266D"/>
    <w:rsid w:val="00472960"/>
    <w:rsid w:val="00472DB4"/>
    <w:rsid w:val="00473A17"/>
    <w:rsid w:val="00477F50"/>
    <w:rsid w:val="00480A98"/>
    <w:rsid w:val="00480E87"/>
    <w:rsid w:val="00480F43"/>
    <w:rsid w:val="00480FDD"/>
    <w:rsid w:val="004813B0"/>
    <w:rsid w:val="00482922"/>
    <w:rsid w:val="00482E49"/>
    <w:rsid w:val="00482FE2"/>
    <w:rsid w:val="00483E7F"/>
    <w:rsid w:val="0048416D"/>
    <w:rsid w:val="00484340"/>
    <w:rsid w:val="00484664"/>
    <w:rsid w:val="004847FA"/>
    <w:rsid w:val="00484D55"/>
    <w:rsid w:val="00485C1E"/>
    <w:rsid w:val="0048613C"/>
    <w:rsid w:val="00486D06"/>
    <w:rsid w:val="004872D1"/>
    <w:rsid w:val="0048746E"/>
    <w:rsid w:val="00487492"/>
    <w:rsid w:val="00490A48"/>
    <w:rsid w:val="004929AC"/>
    <w:rsid w:val="0049344F"/>
    <w:rsid w:val="0049454C"/>
    <w:rsid w:val="00494EF6"/>
    <w:rsid w:val="004954FE"/>
    <w:rsid w:val="004958C0"/>
    <w:rsid w:val="00495FD7"/>
    <w:rsid w:val="0049646F"/>
    <w:rsid w:val="00496EFE"/>
    <w:rsid w:val="004A0248"/>
    <w:rsid w:val="004A0837"/>
    <w:rsid w:val="004A1C33"/>
    <w:rsid w:val="004A26A5"/>
    <w:rsid w:val="004A291A"/>
    <w:rsid w:val="004A33B7"/>
    <w:rsid w:val="004A3DDC"/>
    <w:rsid w:val="004A5766"/>
    <w:rsid w:val="004B0599"/>
    <w:rsid w:val="004B1046"/>
    <w:rsid w:val="004B2208"/>
    <w:rsid w:val="004B2BDE"/>
    <w:rsid w:val="004B34EB"/>
    <w:rsid w:val="004B3509"/>
    <w:rsid w:val="004B3675"/>
    <w:rsid w:val="004B3694"/>
    <w:rsid w:val="004B4113"/>
    <w:rsid w:val="004B58CC"/>
    <w:rsid w:val="004B7661"/>
    <w:rsid w:val="004B7BA5"/>
    <w:rsid w:val="004C007D"/>
    <w:rsid w:val="004C0D48"/>
    <w:rsid w:val="004C33E7"/>
    <w:rsid w:val="004C35D2"/>
    <w:rsid w:val="004C390F"/>
    <w:rsid w:val="004C3B52"/>
    <w:rsid w:val="004C3C2A"/>
    <w:rsid w:val="004C41D7"/>
    <w:rsid w:val="004C49D0"/>
    <w:rsid w:val="004C50EC"/>
    <w:rsid w:val="004C5859"/>
    <w:rsid w:val="004C6A2D"/>
    <w:rsid w:val="004C742C"/>
    <w:rsid w:val="004C78A2"/>
    <w:rsid w:val="004D0DD8"/>
    <w:rsid w:val="004D14C7"/>
    <w:rsid w:val="004D2117"/>
    <w:rsid w:val="004D23FB"/>
    <w:rsid w:val="004D28B0"/>
    <w:rsid w:val="004D37F2"/>
    <w:rsid w:val="004D4855"/>
    <w:rsid w:val="004D51FB"/>
    <w:rsid w:val="004D5623"/>
    <w:rsid w:val="004D57AF"/>
    <w:rsid w:val="004D5BC2"/>
    <w:rsid w:val="004D5E0B"/>
    <w:rsid w:val="004D5F71"/>
    <w:rsid w:val="004D62A0"/>
    <w:rsid w:val="004D65EE"/>
    <w:rsid w:val="004D7014"/>
    <w:rsid w:val="004D7FC4"/>
    <w:rsid w:val="004E0A23"/>
    <w:rsid w:val="004E10EA"/>
    <w:rsid w:val="004E219B"/>
    <w:rsid w:val="004E317B"/>
    <w:rsid w:val="004E3DAE"/>
    <w:rsid w:val="004E4F09"/>
    <w:rsid w:val="004E6C68"/>
    <w:rsid w:val="004E6F59"/>
    <w:rsid w:val="004E7034"/>
    <w:rsid w:val="004F0150"/>
    <w:rsid w:val="004F1DFA"/>
    <w:rsid w:val="004F2488"/>
    <w:rsid w:val="004F2906"/>
    <w:rsid w:val="004F2A53"/>
    <w:rsid w:val="004F3F49"/>
    <w:rsid w:val="004F520F"/>
    <w:rsid w:val="004F545D"/>
    <w:rsid w:val="004F5648"/>
    <w:rsid w:val="004F58A4"/>
    <w:rsid w:val="004F5CB8"/>
    <w:rsid w:val="004F5E18"/>
    <w:rsid w:val="004F6F5F"/>
    <w:rsid w:val="004F714F"/>
    <w:rsid w:val="004F7571"/>
    <w:rsid w:val="004F773A"/>
    <w:rsid w:val="004F79A9"/>
    <w:rsid w:val="00500125"/>
    <w:rsid w:val="005004C2"/>
    <w:rsid w:val="005014C1"/>
    <w:rsid w:val="00502917"/>
    <w:rsid w:val="00504648"/>
    <w:rsid w:val="005048AA"/>
    <w:rsid w:val="005050C9"/>
    <w:rsid w:val="00505E3E"/>
    <w:rsid w:val="00505E4F"/>
    <w:rsid w:val="00505F1B"/>
    <w:rsid w:val="00506E8A"/>
    <w:rsid w:val="00506E8F"/>
    <w:rsid w:val="00510560"/>
    <w:rsid w:val="005117F5"/>
    <w:rsid w:val="00511DE9"/>
    <w:rsid w:val="00512C4C"/>
    <w:rsid w:val="0051375F"/>
    <w:rsid w:val="005143FA"/>
    <w:rsid w:val="00514636"/>
    <w:rsid w:val="0051657D"/>
    <w:rsid w:val="00517D90"/>
    <w:rsid w:val="00520D25"/>
    <w:rsid w:val="00521135"/>
    <w:rsid w:val="00521587"/>
    <w:rsid w:val="005221D7"/>
    <w:rsid w:val="00522BF3"/>
    <w:rsid w:val="00523020"/>
    <w:rsid w:val="00523DD8"/>
    <w:rsid w:val="00523E3A"/>
    <w:rsid w:val="00523EF8"/>
    <w:rsid w:val="0052426A"/>
    <w:rsid w:val="005249C4"/>
    <w:rsid w:val="005255A1"/>
    <w:rsid w:val="005255EB"/>
    <w:rsid w:val="0052569B"/>
    <w:rsid w:val="0052587E"/>
    <w:rsid w:val="005259BB"/>
    <w:rsid w:val="00525D94"/>
    <w:rsid w:val="00527779"/>
    <w:rsid w:val="005302EA"/>
    <w:rsid w:val="00530360"/>
    <w:rsid w:val="00531665"/>
    <w:rsid w:val="00531DDB"/>
    <w:rsid w:val="00532BBE"/>
    <w:rsid w:val="005333EF"/>
    <w:rsid w:val="0053340A"/>
    <w:rsid w:val="005338AB"/>
    <w:rsid w:val="00533A14"/>
    <w:rsid w:val="00533CB3"/>
    <w:rsid w:val="00533E79"/>
    <w:rsid w:val="005350DE"/>
    <w:rsid w:val="00535925"/>
    <w:rsid w:val="00536289"/>
    <w:rsid w:val="00536560"/>
    <w:rsid w:val="00536BA3"/>
    <w:rsid w:val="00537890"/>
    <w:rsid w:val="0054067B"/>
    <w:rsid w:val="00541B08"/>
    <w:rsid w:val="005422C9"/>
    <w:rsid w:val="005426FE"/>
    <w:rsid w:val="00542755"/>
    <w:rsid w:val="00542D83"/>
    <w:rsid w:val="00543352"/>
    <w:rsid w:val="00543B18"/>
    <w:rsid w:val="005448F9"/>
    <w:rsid w:val="00545373"/>
    <w:rsid w:val="00545632"/>
    <w:rsid w:val="00545FE7"/>
    <w:rsid w:val="00546109"/>
    <w:rsid w:val="005471FD"/>
    <w:rsid w:val="0054787E"/>
    <w:rsid w:val="00547BEA"/>
    <w:rsid w:val="005519A5"/>
    <w:rsid w:val="0055243D"/>
    <w:rsid w:val="00552E96"/>
    <w:rsid w:val="005530F1"/>
    <w:rsid w:val="00553A1B"/>
    <w:rsid w:val="0055454C"/>
    <w:rsid w:val="00555037"/>
    <w:rsid w:val="00555FE6"/>
    <w:rsid w:val="00556B68"/>
    <w:rsid w:val="00556E8B"/>
    <w:rsid w:val="00557277"/>
    <w:rsid w:val="0055796D"/>
    <w:rsid w:val="00557FED"/>
    <w:rsid w:val="00560A38"/>
    <w:rsid w:val="00560A53"/>
    <w:rsid w:val="00560E7D"/>
    <w:rsid w:val="005622B1"/>
    <w:rsid w:val="00563372"/>
    <w:rsid w:val="00563B64"/>
    <w:rsid w:val="00563F50"/>
    <w:rsid w:val="00564FF1"/>
    <w:rsid w:val="00565488"/>
    <w:rsid w:val="005665A4"/>
    <w:rsid w:val="0056678B"/>
    <w:rsid w:val="005703CB"/>
    <w:rsid w:val="005708D9"/>
    <w:rsid w:val="00570ED2"/>
    <w:rsid w:val="005718E5"/>
    <w:rsid w:val="00572011"/>
    <w:rsid w:val="00572116"/>
    <w:rsid w:val="005725EC"/>
    <w:rsid w:val="00574A91"/>
    <w:rsid w:val="005759A0"/>
    <w:rsid w:val="00575A1D"/>
    <w:rsid w:val="00575C9C"/>
    <w:rsid w:val="00576078"/>
    <w:rsid w:val="0057798F"/>
    <w:rsid w:val="00580AFF"/>
    <w:rsid w:val="00582F0C"/>
    <w:rsid w:val="00583A3A"/>
    <w:rsid w:val="00583D6F"/>
    <w:rsid w:val="00583DFA"/>
    <w:rsid w:val="0058462D"/>
    <w:rsid w:val="005853E5"/>
    <w:rsid w:val="00586550"/>
    <w:rsid w:val="00587348"/>
    <w:rsid w:val="00587D15"/>
    <w:rsid w:val="005922D4"/>
    <w:rsid w:val="00593614"/>
    <w:rsid w:val="005944A5"/>
    <w:rsid w:val="00594D29"/>
    <w:rsid w:val="00595B30"/>
    <w:rsid w:val="0059618B"/>
    <w:rsid w:val="00597E41"/>
    <w:rsid w:val="005A140A"/>
    <w:rsid w:val="005A1CF6"/>
    <w:rsid w:val="005A2425"/>
    <w:rsid w:val="005A28D7"/>
    <w:rsid w:val="005A2A81"/>
    <w:rsid w:val="005A2AAB"/>
    <w:rsid w:val="005A49DC"/>
    <w:rsid w:val="005A4C2E"/>
    <w:rsid w:val="005A564B"/>
    <w:rsid w:val="005A5E1B"/>
    <w:rsid w:val="005B1184"/>
    <w:rsid w:val="005B1326"/>
    <w:rsid w:val="005B1607"/>
    <w:rsid w:val="005B19E9"/>
    <w:rsid w:val="005B275F"/>
    <w:rsid w:val="005B2FFC"/>
    <w:rsid w:val="005B33E8"/>
    <w:rsid w:val="005B37F0"/>
    <w:rsid w:val="005B44C3"/>
    <w:rsid w:val="005B5335"/>
    <w:rsid w:val="005C0478"/>
    <w:rsid w:val="005C081B"/>
    <w:rsid w:val="005C0EF8"/>
    <w:rsid w:val="005C2049"/>
    <w:rsid w:val="005C20D0"/>
    <w:rsid w:val="005C22FB"/>
    <w:rsid w:val="005C2727"/>
    <w:rsid w:val="005C3188"/>
    <w:rsid w:val="005C3603"/>
    <w:rsid w:val="005C39A3"/>
    <w:rsid w:val="005C45B6"/>
    <w:rsid w:val="005C4837"/>
    <w:rsid w:val="005C4A99"/>
    <w:rsid w:val="005C6688"/>
    <w:rsid w:val="005C6CD2"/>
    <w:rsid w:val="005C7435"/>
    <w:rsid w:val="005C7F73"/>
    <w:rsid w:val="005D031D"/>
    <w:rsid w:val="005D0418"/>
    <w:rsid w:val="005D0B5D"/>
    <w:rsid w:val="005D0FCA"/>
    <w:rsid w:val="005D11A2"/>
    <w:rsid w:val="005D17F0"/>
    <w:rsid w:val="005D1D47"/>
    <w:rsid w:val="005D2CF5"/>
    <w:rsid w:val="005D30C0"/>
    <w:rsid w:val="005D333B"/>
    <w:rsid w:val="005D3628"/>
    <w:rsid w:val="005D3B2D"/>
    <w:rsid w:val="005D3E34"/>
    <w:rsid w:val="005D47F9"/>
    <w:rsid w:val="005D4A6E"/>
    <w:rsid w:val="005D5260"/>
    <w:rsid w:val="005D5382"/>
    <w:rsid w:val="005D6082"/>
    <w:rsid w:val="005D608E"/>
    <w:rsid w:val="005D676F"/>
    <w:rsid w:val="005D6ECB"/>
    <w:rsid w:val="005D71EF"/>
    <w:rsid w:val="005D732B"/>
    <w:rsid w:val="005D757A"/>
    <w:rsid w:val="005E262D"/>
    <w:rsid w:val="005E38D5"/>
    <w:rsid w:val="005E3B0C"/>
    <w:rsid w:val="005E47C3"/>
    <w:rsid w:val="005E5014"/>
    <w:rsid w:val="005E528D"/>
    <w:rsid w:val="005E588E"/>
    <w:rsid w:val="005E5FCE"/>
    <w:rsid w:val="005E60BF"/>
    <w:rsid w:val="005E683D"/>
    <w:rsid w:val="005E7E8A"/>
    <w:rsid w:val="005F036C"/>
    <w:rsid w:val="005F14FF"/>
    <w:rsid w:val="005F17FB"/>
    <w:rsid w:val="005F187F"/>
    <w:rsid w:val="005F300F"/>
    <w:rsid w:val="005F3231"/>
    <w:rsid w:val="005F4B7B"/>
    <w:rsid w:val="005F52EE"/>
    <w:rsid w:val="005F546D"/>
    <w:rsid w:val="005F57AF"/>
    <w:rsid w:val="005F5914"/>
    <w:rsid w:val="005F6451"/>
    <w:rsid w:val="005F6479"/>
    <w:rsid w:val="005F6E88"/>
    <w:rsid w:val="005F757E"/>
    <w:rsid w:val="005F7CF9"/>
    <w:rsid w:val="006009F1"/>
    <w:rsid w:val="00600C1E"/>
    <w:rsid w:val="006019BA"/>
    <w:rsid w:val="00605238"/>
    <w:rsid w:val="006056D6"/>
    <w:rsid w:val="00605956"/>
    <w:rsid w:val="00605F6C"/>
    <w:rsid w:val="0061021E"/>
    <w:rsid w:val="006103E9"/>
    <w:rsid w:val="00610611"/>
    <w:rsid w:val="006125A4"/>
    <w:rsid w:val="00612BEC"/>
    <w:rsid w:val="0061653F"/>
    <w:rsid w:val="00616DA4"/>
    <w:rsid w:val="0061734E"/>
    <w:rsid w:val="006174FD"/>
    <w:rsid w:val="00617A12"/>
    <w:rsid w:val="00622437"/>
    <w:rsid w:val="0062313B"/>
    <w:rsid w:val="00623AC4"/>
    <w:rsid w:val="00624B4D"/>
    <w:rsid w:val="00624EB8"/>
    <w:rsid w:val="00625400"/>
    <w:rsid w:val="0062621A"/>
    <w:rsid w:val="00626710"/>
    <w:rsid w:val="006275FD"/>
    <w:rsid w:val="0062764D"/>
    <w:rsid w:val="00627B79"/>
    <w:rsid w:val="00630097"/>
    <w:rsid w:val="006313DD"/>
    <w:rsid w:val="00631453"/>
    <w:rsid w:val="006314F5"/>
    <w:rsid w:val="00631B5E"/>
    <w:rsid w:val="006323D9"/>
    <w:rsid w:val="006330D7"/>
    <w:rsid w:val="00633C66"/>
    <w:rsid w:val="00634916"/>
    <w:rsid w:val="006349CC"/>
    <w:rsid w:val="006349EB"/>
    <w:rsid w:val="00637254"/>
    <w:rsid w:val="00637925"/>
    <w:rsid w:val="00640922"/>
    <w:rsid w:val="00640BD8"/>
    <w:rsid w:val="00640DCE"/>
    <w:rsid w:val="0064114D"/>
    <w:rsid w:val="00642DFA"/>
    <w:rsid w:val="00643C8C"/>
    <w:rsid w:val="00646468"/>
    <w:rsid w:val="00646FB3"/>
    <w:rsid w:val="0064773E"/>
    <w:rsid w:val="006478FD"/>
    <w:rsid w:val="0065051A"/>
    <w:rsid w:val="0065154B"/>
    <w:rsid w:val="0065176B"/>
    <w:rsid w:val="00653AF9"/>
    <w:rsid w:val="00653F3F"/>
    <w:rsid w:val="00655709"/>
    <w:rsid w:val="00655942"/>
    <w:rsid w:val="00656484"/>
    <w:rsid w:val="006578D4"/>
    <w:rsid w:val="00657B7B"/>
    <w:rsid w:val="006603CC"/>
    <w:rsid w:val="00661D98"/>
    <w:rsid w:val="00662029"/>
    <w:rsid w:val="00664324"/>
    <w:rsid w:val="006647F4"/>
    <w:rsid w:val="00666EE2"/>
    <w:rsid w:val="00666F37"/>
    <w:rsid w:val="006677CA"/>
    <w:rsid w:val="0067197B"/>
    <w:rsid w:val="006726A8"/>
    <w:rsid w:val="006735B7"/>
    <w:rsid w:val="00674D0A"/>
    <w:rsid w:val="006763BA"/>
    <w:rsid w:val="00676C1C"/>
    <w:rsid w:val="006804E6"/>
    <w:rsid w:val="0068059F"/>
    <w:rsid w:val="00680C6D"/>
    <w:rsid w:val="006818AB"/>
    <w:rsid w:val="006820BA"/>
    <w:rsid w:val="0068246D"/>
    <w:rsid w:val="0068324B"/>
    <w:rsid w:val="006858A8"/>
    <w:rsid w:val="00685BCF"/>
    <w:rsid w:val="0069026C"/>
    <w:rsid w:val="00691C40"/>
    <w:rsid w:val="00691F39"/>
    <w:rsid w:val="00692151"/>
    <w:rsid w:val="00692874"/>
    <w:rsid w:val="00692AC8"/>
    <w:rsid w:val="00693271"/>
    <w:rsid w:val="00693552"/>
    <w:rsid w:val="00694788"/>
    <w:rsid w:val="00695219"/>
    <w:rsid w:val="0069552B"/>
    <w:rsid w:val="006957E5"/>
    <w:rsid w:val="006966D6"/>
    <w:rsid w:val="00697EEA"/>
    <w:rsid w:val="006A055B"/>
    <w:rsid w:val="006A0BF9"/>
    <w:rsid w:val="006A191A"/>
    <w:rsid w:val="006A19B3"/>
    <w:rsid w:val="006A1E0E"/>
    <w:rsid w:val="006A1F40"/>
    <w:rsid w:val="006A2312"/>
    <w:rsid w:val="006A29E1"/>
    <w:rsid w:val="006A381B"/>
    <w:rsid w:val="006A3BDE"/>
    <w:rsid w:val="006A463D"/>
    <w:rsid w:val="006A463F"/>
    <w:rsid w:val="006A4BB3"/>
    <w:rsid w:val="006A5BBE"/>
    <w:rsid w:val="006A7E86"/>
    <w:rsid w:val="006B00A9"/>
    <w:rsid w:val="006B0C4A"/>
    <w:rsid w:val="006B11F3"/>
    <w:rsid w:val="006B1283"/>
    <w:rsid w:val="006B1788"/>
    <w:rsid w:val="006B19C9"/>
    <w:rsid w:val="006B2D27"/>
    <w:rsid w:val="006B2E56"/>
    <w:rsid w:val="006B41CC"/>
    <w:rsid w:val="006B4298"/>
    <w:rsid w:val="006B51E0"/>
    <w:rsid w:val="006B6B67"/>
    <w:rsid w:val="006B7BFC"/>
    <w:rsid w:val="006C0AC5"/>
    <w:rsid w:val="006C0C53"/>
    <w:rsid w:val="006C0CE6"/>
    <w:rsid w:val="006C1EF6"/>
    <w:rsid w:val="006C2A95"/>
    <w:rsid w:val="006C31E0"/>
    <w:rsid w:val="006C36D2"/>
    <w:rsid w:val="006C4C2F"/>
    <w:rsid w:val="006C5319"/>
    <w:rsid w:val="006C5A84"/>
    <w:rsid w:val="006C686D"/>
    <w:rsid w:val="006C6CF2"/>
    <w:rsid w:val="006C778F"/>
    <w:rsid w:val="006C7A80"/>
    <w:rsid w:val="006D068C"/>
    <w:rsid w:val="006D154B"/>
    <w:rsid w:val="006D1E33"/>
    <w:rsid w:val="006D2232"/>
    <w:rsid w:val="006D2B02"/>
    <w:rsid w:val="006D36E6"/>
    <w:rsid w:val="006D47D3"/>
    <w:rsid w:val="006D4E5F"/>
    <w:rsid w:val="006D54FB"/>
    <w:rsid w:val="006D6FA4"/>
    <w:rsid w:val="006E0FF6"/>
    <w:rsid w:val="006E1489"/>
    <w:rsid w:val="006E172E"/>
    <w:rsid w:val="006E1CA2"/>
    <w:rsid w:val="006E311D"/>
    <w:rsid w:val="006E3D65"/>
    <w:rsid w:val="006E4440"/>
    <w:rsid w:val="006E45C6"/>
    <w:rsid w:val="006E6195"/>
    <w:rsid w:val="006E66D7"/>
    <w:rsid w:val="006E6A23"/>
    <w:rsid w:val="006E6A51"/>
    <w:rsid w:val="006E71DC"/>
    <w:rsid w:val="006F05E9"/>
    <w:rsid w:val="006F0ED3"/>
    <w:rsid w:val="006F140A"/>
    <w:rsid w:val="006F1551"/>
    <w:rsid w:val="006F1A00"/>
    <w:rsid w:val="006F1D13"/>
    <w:rsid w:val="006F1E13"/>
    <w:rsid w:val="006F2EBD"/>
    <w:rsid w:val="006F3F34"/>
    <w:rsid w:val="006F420D"/>
    <w:rsid w:val="006F5141"/>
    <w:rsid w:val="006F5824"/>
    <w:rsid w:val="006F5B40"/>
    <w:rsid w:val="006F61EC"/>
    <w:rsid w:val="006F66D8"/>
    <w:rsid w:val="006F7378"/>
    <w:rsid w:val="006F7842"/>
    <w:rsid w:val="006F7AC1"/>
    <w:rsid w:val="00700612"/>
    <w:rsid w:val="00701EC1"/>
    <w:rsid w:val="00702127"/>
    <w:rsid w:val="0070222F"/>
    <w:rsid w:val="007028F5"/>
    <w:rsid w:val="00703007"/>
    <w:rsid w:val="00705CFA"/>
    <w:rsid w:val="00706EEB"/>
    <w:rsid w:val="00706FBD"/>
    <w:rsid w:val="00707006"/>
    <w:rsid w:val="0070723E"/>
    <w:rsid w:val="00707733"/>
    <w:rsid w:val="00710244"/>
    <w:rsid w:val="007108F2"/>
    <w:rsid w:val="00710CCB"/>
    <w:rsid w:val="00711F06"/>
    <w:rsid w:val="007120A2"/>
    <w:rsid w:val="00712151"/>
    <w:rsid w:val="00712530"/>
    <w:rsid w:val="00712F65"/>
    <w:rsid w:val="0071306E"/>
    <w:rsid w:val="00714ECE"/>
    <w:rsid w:val="0071519C"/>
    <w:rsid w:val="00720BA4"/>
    <w:rsid w:val="00720F1B"/>
    <w:rsid w:val="00721EA1"/>
    <w:rsid w:val="00722F67"/>
    <w:rsid w:val="007234EF"/>
    <w:rsid w:val="00723647"/>
    <w:rsid w:val="007249C4"/>
    <w:rsid w:val="00724C87"/>
    <w:rsid w:val="0072695D"/>
    <w:rsid w:val="00727106"/>
    <w:rsid w:val="007273DF"/>
    <w:rsid w:val="00730296"/>
    <w:rsid w:val="00730FCC"/>
    <w:rsid w:val="00731B41"/>
    <w:rsid w:val="00733285"/>
    <w:rsid w:val="007335BD"/>
    <w:rsid w:val="00733799"/>
    <w:rsid w:val="00733904"/>
    <w:rsid w:val="00734B81"/>
    <w:rsid w:val="00734D02"/>
    <w:rsid w:val="007358A4"/>
    <w:rsid w:val="00735FDE"/>
    <w:rsid w:val="00737C6D"/>
    <w:rsid w:val="007404E0"/>
    <w:rsid w:val="00740F26"/>
    <w:rsid w:val="00740F5A"/>
    <w:rsid w:val="00741034"/>
    <w:rsid w:val="007412AD"/>
    <w:rsid w:val="007412C7"/>
    <w:rsid w:val="00742B50"/>
    <w:rsid w:val="00742C43"/>
    <w:rsid w:val="00743ACD"/>
    <w:rsid w:val="00743DBD"/>
    <w:rsid w:val="00743F41"/>
    <w:rsid w:val="007445BB"/>
    <w:rsid w:val="00745FB6"/>
    <w:rsid w:val="007465B8"/>
    <w:rsid w:val="007469F9"/>
    <w:rsid w:val="00746C3C"/>
    <w:rsid w:val="00746D01"/>
    <w:rsid w:val="00747DAB"/>
    <w:rsid w:val="0075071C"/>
    <w:rsid w:val="00750B42"/>
    <w:rsid w:val="00751214"/>
    <w:rsid w:val="007512A2"/>
    <w:rsid w:val="00752584"/>
    <w:rsid w:val="00753687"/>
    <w:rsid w:val="00753950"/>
    <w:rsid w:val="0075460B"/>
    <w:rsid w:val="007549A9"/>
    <w:rsid w:val="00754ADC"/>
    <w:rsid w:val="007555B3"/>
    <w:rsid w:val="0075636A"/>
    <w:rsid w:val="0075666D"/>
    <w:rsid w:val="00756F43"/>
    <w:rsid w:val="00757421"/>
    <w:rsid w:val="00757FC9"/>
    <w:rsid w:val="00760299"/>
    <w:rsid w:val="00760525"/>
    <w:rsid w:val="00760704"/>
    <w:rsid w:val="00760AE9"/>
    <w:rsid w:val="00760C0B"/>
    <w:rsid w:val="00760F5E"/>
    <w:rsid w:val="00762988"/>
    <w:rsid w:val="007634F0"/>
    <w:rsid w:val="00763A42"/>
    <w:rsid w:val="00763D1E"/>
    <w:rsid w:val="00763EE2"/>
    <w:rsid w:val="00763F37"/>
    <w:rsid w:val="007641E2"/>
    <w:rsid w:val="00764381"/>
    <w:rsid w:val="00765391"/>
    <w:rsid w:val="00765A5D"/>
    <w:rsid w:val="00765FA1"/>
    <w:rsid w:val="00766039"/>
    <w:rsid w:val="0076697F"/>
    <w:rsid w:val="00766BF1"/>
    <w:rsid w:val="00767285"/>
    <w:rsid w:val="00767F28"/>
    <w:rsid w:val="00771191"/>
    <w:rsid w:val="0077150A"/>
    <w:rsid w:val="00771DBD"/>
    <w:rsid w:val="00771EF4"/>
    <w:rsid w:val="00772748"/>
    <w:rsid w:val="00773B3F"/>
    <w:rsid w:val="0077432B"/>
    <w:rsid w:val="0077492F"/>
    <w:rsid w:val="00774B61"/>
    <w:rsid w:val="00775C23"/>
    <w:rsid w:val="00776829"/>
    <w:rsid w:val="0077718F"/>
    <w:rsid w:val="00777B1E"/>
    <w:rsid w:val="00780383"/>
    <w:rsid w:val="007814BF"/>
    <w:rsid w:val="00782175"/>
    <w:rsid w:val="0078425D"/>
    <w:rsid w:val="00785669"/>
    <w:rsid w:val="00786946"/>
    <w:rsid w:val="0078775F"/>
    <w:rsid w:val="00787DC1"/>
    <w:rsid w:val="00790424"/>
    <w:rsid w:val="00790D65"/>
    <w:rsid w:val="00792120"/>
    <w:rsid w:val="00792316"/>
    <w:rsid w:val="007931B8"/>
    <w:rsid w:val="0079428D"/>
    <w:rsid w:val="00794C25"/>
    <w:rsid w:val="00794F1D"/>
    <w:rsid w:val="0079515E"/>
    <w:rsid w:val="007A0963"/>
    <w:rsid w:val="007A0EFF"/>
    <w:rsid w:val="007A1D26"/>
    <w:rsid w:val="007A2632"/>
    <w:rsid w:val="007A28FE"/>
    <w:rsid w:val="007A2EAD"/>
    <w:rsid w:val="007A3556"/>
    <w:rsid w:val="007A4214"/>
    <w:rsid w:val="007A4D82"/>
    <w:rsid w:val="007A4DBA"/>
    <w:rsid w:val="007A61C4"/>
    <w:rsid w:val="007A6685"/>
    <w:rsid w:val="007A7071"/>
    <w:rsid w:val="007A7BA6"/>
    <w:rsid w:val="007B077C"/>
    <w:rsid w:val="007B0877"/>
    <w:rsid w:val="007B1308"/>
    <w:rsid w:val="007B22C6"/>
    <w:rsid w:val="007B44E1"/>
    <w:rsid w:val="007B6802"/>
    <w:rsid w:val="007B6B79"/>
    <w:rsid w:val="007B6DB9"/>
    <w:rsid w:val="007B6E8A"/>
    <w:rsid w:val="007B7377"/>
    <w:rsid w:val="007C0DC7"/>
    <w:rsid w:val="007C1851"/>
    <w:rsid w:val="007C1C57"/>
    <w:rsid w:val="007C2030"/>
    <w:rsid w:val="007C29AE"/>
    <w:rsid w:val="007C3111"/>
    <w:rsid w:val="007C3CA9"/>
    <w:rsid w:val="007C5A28"/>
    <w:rsid w:val="007C5CEA"/>
    <w:rsid w:val="007C5FF8"/>
    <w:rsid w:val="007C62FC"/>
    <w:rsid w:val="007C69A0"/>
    <w:rsid w:val="007C6DDF"/>
    <w:rsid w:val="007D004C"/>
    <w:rsid w:val="007D0413"/>
    <w:rsid w:val="007D0429"/>
    <w:rsid w:val="007D0E95"/>
    <w:rsid w:val="007D172F"/>
    <w:rsid w:val="007D2987"/>
    <w:rsid w:val="007D4993"/>
    <w:rsid w:val="007D5602"/>
    <w:rsid w:val="007D60BB"/>
    <w:rsid w:val="007D6F02"/>
    <w:rsid w:val="007E00E7"/>
    <w:rsid w:val="007E156B"/>
    <w:rsid w:val="007E15D1"/>
    <w:rsid w:val="007E17B6"/>
    <w:rsid w:val="007E1897"/>
    <w:rsid w:val="007E2F7B"/>
    <w:rsid w:val="007E31E5"/>
    <w:rsid w:val="007E3755"/>
    <w:rsid w:val="007E37D7"/>
    <w:rsid w:val="007E4426"/>
    <w:rsid w:val="007E4F30"/>
    <w:rsid w:val="007E5106"/>
    <w:rsid w:val="007E6034"/>
    <w:rsid w:val="007E725A"/>
    <w:rsid w:val="007E73DF"/>
    <w:rsid w:val="007E7B0A"/>
    <w:rsid w:val="007F119E"/>
    <w:rsid w:val="007F1664"/>
    <w:rsid w:val="007F19C4"/>
    <w:rsid w:val="007F26F8"/>
    <w:rsid w:val="007F2B95"/>
    <w:rsid w:val="007F35B9"/>
    <w:rsid w:val="007F4E4E"/>
    <w:rsid w:val="007F4EE5"/>
    <w:rsid w:val="007F5986"/>
    <w:rsid w:val="007F61FC"/>
    <w:rsid w:val="007F6414"/>
    <w:rsid w:val="007F7BB3"/>
    <w:rsid w:val="007F7DE2"/>
    <w:rsid w:val="007F7E4F"/>
    <w:rsid w:val="0080029A"/>
    <w:rsid w:val="00800565"/>
    <w:rsid w:val="00801523"/>
    <w:rsid w:val="00801A3E"/>
    <w:rsid w:val="00801EDF"/>
    <w:rsid w:val="0080205F"/>
    <w:rsid w:val="0080441D"/>
    <w:rsid w:val="008045D7"/>
    <w:rsid w:val="00804993"/>
    <w:rsid w:val="00804F8A"/>
    <w:rsid w:val="008051F4"/>
    <w:rsid w:val="00805424"/>
    <w:rsid w:val="00805D15"/>
    <w:rsid w:val="00806A1E"/>
    <w:rsid w:val="00806D30"/>
    <w:rsid w:val="00807570"/>
    <w:rsid w:val="008076E6"/>
    <w:rsid w:val="0081026E"/>
    <w:rsid w:val="00810A91"/>
    <w:rsid w:val="008110A7"/>
    <w:rsid w:val="008111C8"/>
    <w:rsid w:val="008114D6"/>
    <w:rsid w:val="00811A1C"/>
    <w:rsid w:val="00812654"/>
    <w:rsid w:val="00812AA5"/>
    <w:rsid w:val="00813909"/>
    <w:rsid w:val="00813BDA"/>
    <w:rsid w:val="008140F5"/>
    <w:rsid w:val="008145ED"/>
    <w:rsid w:val="0081477A"/>
    <w:rsid w:val="00814DAE"/>
    <w:rsid w:val="0081555C"/>
    <w:rsid w:val="00816009"/>
    <w:rsid w:val="0081668D"/>
    <w:rsid w:val="0081746C"/>
    <w:rsid w:val="00817579"/>
    <w:rsid w:val="0082238F"/>
    <w:rsid w:val="0082340A"/>
    <w:rsid w:val="0082538C"/>
    <w:rsid w:val="00825F0C"/>
    <w:rsid w:val="0082684B"/>
    <w:rsid w:val="008273B7"/>
    <w:rsid w:val="00827743"/>
    <w:rsid w:val="008279A2"/>
    <w:rsid w:val="00827B46"/>
    <w:rsid w:val="008304F2"/>
    <w:rsid w:val="00830542"/>
    <w:rsid w:val="008320C4"/>
    <w:rsid w:val="00832E23"/>
    <w:rsid w:val="0083398D"/>
    <w:rsid w:val="008352C8"/>
    <w:rsid w:val="00835A57"/>
    <w:rsid w:val="008364CD"/>
    <w:rsid w:val="008372A1"/>
    <w:rsid w:val="00837F96"/>
    <w:rsid w:val="00840CF9"/>
    <w:rsid w:val="00840D43"/>
    <w:rsid w:val="00841524"/>
    <w:rsid w:val="0084172E"/>
    <w:rsid w:val="00841E13"/>
    <w:rsid w:val="0084216D"/>
    <w:rsid w:val="00842F3A"/>
    <w:rsid w:val="00843D1B"/>
    <w:rsid w:val="00843FF8"/>
    <w:rsid w:val="00845380"/>
    <w:rsid w:val="0084597B"/>
    <w:rsid w:val="0084640E"/>
    <w:rsid w:val="008467F9"/>
    <w:rsid w:val="00846920"/>
    <w:rsid w:val="00846B17"/>
    <w:rsid w:val="00846B97"/>
    <w:rsid w:val="00847EF9"/>
    <w:rsid w:val="00847F2A"/>
    <w:rsid w:val="00851262"/>
    <w:rsid w:val="00851288"/>
    <w:rsid w:val="00852656"/>
    <w:rsid w:val="00852AB6"/>
    <w:rsid w:val="00852AEF"/>
    <w:rsid w:val="0085382C"/>
    <w:rsid w:val="00853BD1"/>
    <w:rsid w:val="00853F1C"/>
    <w:rsid w:val="008542EB"/>
    <w:rsid w:val="0085439E"/>
    <w:rsid w:val="008554FB"/>
    <w:rsid w:val="008561D1"/>
    <w:rsid w:val="00856CF2"/>
    <w:rsid w:val="00856F14"/>
    <w:rsid w:val="0085764E"/>
    <w:rsid w:val="00857948"/>
    <w:rsid w:val="00860160"/>
    <w:rsid w:val="00860719"/>
    <w:rsid w:val="00860DB3"/>
    <w:rsid w:val="00861D4A"/>
    <w:rsid w:val="0086228B"/>
    <w:rsid w:val="00864B72"/>
    <w:rsid w:val="00864C75"/>
    <w:rsid w:val="00865994"/>
    <w:rsid w:val="00865A65"/>
    <w:rsid w:val="00866023"/>
    <w:rsid w:val="0086693A"/>
    <w:rsid w:val="00866FEB"/>
    <w:rsid w:val="00867081"/>
    <w:rsid w:val="00870188"/>
    <w:rsid w:val="008708DA"/>
    <w:rsid w:val="008714D9"/>
    <w:rsid w:val="00871529"/>
    <w:rsid w:val="00872503"/>
    <w:rsid w:val="00872EC7"/>
    <w:rsid w:val="008733C3"/>
    <w:rsid w:val="00873B60"/>
    <w:rsid w:val="008753C4"/>
    <w:rsid w:val="00875A18"/>
    <w:rsid w:val="008763F7"/>
    <w:rsid w:val="008765CA"/>
    <w:rsid w:val="00877E7C"/>
    <w:rsid w:val="008819ED"/>
    <w:rsid w:val="00882B0D"/>
    <w:rsid w:val="00883F43"/>
    <w:rsid w:val="008849C5"/>
    <w:rsid w:val="00885B5E"/>
    <w:rsid w:val="00885F2B"/>
    <w:rsid w:val="00886E33"/>
    <w:rsid w:val="008875CF"/>
    <w:rsid w:val="008877B9"/>
    <w:rsid w:val="008903F2"/>
    <w:rsid w:val="00891767"/>
    <w:rsid w:val="00891A63"/>
    <w:rsid w:val="008924A5"/>
    <w:rsid w:val="00893A0C"/>
    <w:rsid w:val="008943AD"/>
    <w:rsid w:val="00894C16"/>
    <w:rsid w:val="00895038"/>
    <w:rsid w:val="00896081"/>
    <w:rsid w:val="008960E1"/>
    <w:rsid w:val="00896C1F"/>
    <w:rsid w:val="00897185"/>
    <w:rsid w:val="00897376"/>
    <w:rsid w:val="008A0138"/>
    <w:rsid w:val="008A0555"/>
    <w:rsid w:val="008A0C52"/>
    <w:rsid w:val="008A2268"/>
    <w:rsid w:val="008A2A2F"/>
    <w:rsid w:val="008A2B7A"/>
    <w:rsid w:val="008A2F28"/>
    <w:rsid w:val="008A2F8A"/>
    <w:rsid w:val="008A30F5"/>
    <w:rsid w:val="008A3B20"/>
    <w:rsid w:val="008A40C3"/>
    <w:rsid w:val="008A5006"/>
    <w:rsid w:val="008A50C4"/>
    <w:rsid w:val="008A51F9"/>
    <w:rsid w:val="008A52AF"/>
    <w:rsid w:val="008A5F1D"/>
    <w:rsid w:val="008A5F21"/>
    <w:rsid w:val="008A6628"/>
    <w:rsid w:val="008B0BE6"/>
    <w:rsid w:val="008B19BA"/>
    <w:rsid w:val="008B1C43"/>
    <w:rsid w:val="008B26F3"/>
    <w:rsid w:val="008B2D56"/>
    <w:rsid w:val="008B37E9"/>
    <w:rsid w:val="008B386F"/>
    <w:rsid w:val="008B3A78"/>
    <w:rsid w:val="008B482E"/>
    <w:rsid w:val="008B52FB"/>
    <w:rsid w:val="008B623A"/>
    <w:rsid w:val="008B7674"/>
    <w:rsid w:val="008C0DCB"/>
    <w:rsid w:val="008C0F16"/>
    <w:rsid w:val="008C11CF"/>
    <w:rsid w:val="008C12A6"/>
    <w:rsid w:val="008C1BE8"/>
    <w:rsid w:val="008C29C6"/>
    <w:rsid w:val="008C34F3"/>
    <w:rsid w:val="008C4D65"/>
    <w:rsid w:val="008C5C76"/>
    <w:rsid w:val="008C5D16"/>
    <w:rsid w:val="008C65B7"/>
    <w:rsid w:val="008C6757"/>
    <w:rsid w:val="008D0464"/>
    <w:rsid w:val="008D1130"/>
    <w:rsid w:val="008D1B77"/>
    <w:rsid w:val="008D2658"/>
    <w:rsid w:val="008D266F"/>
    <w:rsid w:val="008D387C"/>
    <w:rsid w:val="008D3A46"/>
    <w:rsid w:val="008D3A8E"/>
    <w:rsid w:val="008D3AC0"/>
    <w:rsid w:val="008D4792"/>
    <w:rsid w:val="008D76BE"/>
    <w:rsid w:val="008E0087"/>
    <w:rsid w:val="008E04AA"/>
    <w:rsid w:val="008E05AF"/>
    <w:rsid w:val="008E1770"/>
    <w:rsid w:val="008E22DC"/>
    <w:rsid w:val="008E2D5C"/>
    <w:rsid w:val="008E36A4"/>
    <w:rsid w:val="008E39EB"/>
    <w:rsid w:val="008E4936"/>
    <w:rsid w:val="008E4F5B"/>
    <w:rsid w:val="008E604C"/>
    <w:rsid w:val="008E61D0"/>
    <w:rsid w:val="008E6FD7"/>
    <w:rsid w:val="008E7F96"/>
    <w:rsid w:val="008F060F"/>
    <w:rsid w:val="008F086D"/>
    <w:rsid w:val="008F1C14"/>
    <w:rsid w:val="008F1F9B"/>
    <w:rsid w:val="008F2109"/>
    <w:rsid w:val="008F3B5B"/>
    <w:rsid w:val="008F408F"/>
    <w:rsid w:val="008F47BF"/>
    <w:rsid w:val="008F4F57"/>
    <w:rsid w:val="008F67DE"/>
    <w:rsid w:val="008F6B9B"/>
    <w:rsid w:val="008F7688"/>
    <w:rsid w:val="00900579"/>
    <w:rsid w:val="00900FF0"/>
    <w:rsid w:val="009015DE"/>
    <w:rsid w:val="00901736"/>
    <w:rsid w:val="00901EC3"/>
    <w:rsid w:val="009023F9"/>
    <w:rsid w:val="00902A08"/>
    <w:rsid w:val="0090305C"/>
    <w:rsid w:val="00904C9F"/>
    <w:rsid w:val="00904F15"/>
    <w:rsid w:val="0090525D"/>
    <w:rsid w:val="00905898"/>
    <w:rsid w:val="00905B2A"/>
    <w:rsid w:val="00905CB5"/>
    <w:rsid w:val="00906154"/>
    <w:rsid w:val="0090630F"/>
    <w:rsid w:val="0090756C"/>
    <w:rsid w:val="009075D9"/>
    <w:rsid w:val="009079AE"/>
    <w:rsid w:val="0091158C"/>
    <w:rsid w:val="00911AE4"/>
    <w:rsid w:val="00914242"/>
    <w:rsid w:val="009144EA"/>
    <w:rsid w:val="00914705"/>
    <w:rsid w:val="00914A5C"/>
    <w:rsid w:val="0091521A"/>
    <w:rsid w:val="009164A0"/>
    <w:rsid w:val="00917689"/>
    <w:rsid w:val="00917CA3"/>
    <w:rsid w:val="009204E2"/>
    <w:rsid w:val="0092434E"/>
    <w:rsid w:val="00925721"/>
    <w:rsid w:val="00927B28"/>
    <w:rsid w:val="00927C4D"/>
    <w:rsid w:val="00927C6B"/>
    <w:rsid w:val="00930E6E"/>
    <w:rsid w:val="00931DC1"/>
    <w:rsid w:val="00932515"/>
    <w:rsid w:val="0093293A"/>
    <w:rsid w:val="009336D0"/>
    <w:rsid w:val="00933723"/>
    <w:rsid w:val="0093546F"/>
    <w:rsid w:val="009354B6"/>
    <w:rsid w:val="00935F42"/>
    <w:rsid w:val="009374D5"/>
    <w:rsid w:val="009378D4"/>
    <w:rsid w:val="00940C76"/>
    <w:rsid w:val="00941885"/>
    <w:rsid w:val="00942761"/>
    <w:rsid w:val="00943ACD"/>
    <w:rsid w:val="00943E41"/>
    <w:rsid w:val="00944C89"/>
    <w:rsid w:val="00945587"/>
    <w:rsid w:val="00945C2D"/>
    <w:rsid w:val="009463B6"/>
    <w:rsid w:val="00946414"/>
    <w:rsid w:val="0095094D"/>
    <w:rsid w:val="0095117D"/>
    <w:rsid w:val="009511C8"/>
    <w:rsid w:val="00952A0C"/>
    <w:rsid w:val="00953486"/>
    <w:rsid w:val="00953B35"/>
    <w:rsid w:val="00954677"/>
    <w:rsid w:val="009549C8"/>
    <w:rsid w:val="00954BD2"/>
    <w:rsid w:val="00955FE4"/>
    <w:rsid w:val="00957BE1"/>
    <w:rsid w:val="00960ABD"/>
    <w:rsid w:val="0096163B"/>
    <w:rsid w:val="009616DD"/>
    <w:rsid w:val="0096239A"/>
    <w:rsid w:val="0096250B"/>
    <w:rsid w:val="00962C82"/>
    <w:rsid w:val="00962E56"/>
    <w:rsid w:val="00963F05"/>
    <w:rsid w:val="009644BC"/>
    <w:rsid w:val="00964E3F"/>
    <w:rsid w:val="00966490"/>
    <w:rsid w:val="00966E3B"/>
    <w:rsid w:val="00967D6B"/>
    <w:rsid w:val="00970397"/>
    <w:rsid w:val="00970619"/>
    <w:rsid w:val="00971158"/>
    <w:rsid w:val="00972823"/>
    <w:rsid w:val="00972A19"/>
    <w:rsid w:val="009732B9"/>
    <w:rsid w:val="0097384E"/>
    <w:rsid w:val="00975B35"/>
    <w:rsid w:val="00975B58"/>
    <w:rsid w:val="00975E16"/>
    <w:rsid w:val="00977A8E"/>
    <w:rsid w:val="00980C4E"/>
    <w:rsid w:val="00980E8A"/>
    <w:rsid w:val="00981D27"/>
    <w:rsid w:val="00981EF7"/>
    <w:rsid w:val="009839D2"/>
    <w:rsid w:val="00983BD6"/>
    <w:rsid w:val="00984E30"/>
    <w:rsid w:val="0098525D"/>
    <w:rsid w:val="00985A66"/>
    <w:rsid w:val="00986BDF"/>
    <w:rsid w:val="00986C4E"/>
    <w:rsid w:val="00986CC0"/>
    <w:rsid w:val="00987236"/>
    <w:rsid w:val="009872D8"/>
    <w:rsid w:val="0098748F"/>
    <w:rsid w:val="00987542"/>
    <w:rsid w:val="009876C1"/>
    <w:rsid w:val="0098794E"/>
    <w:rsid w:val="00990D1B"/>
    <w:rsid w:val="00990F0D"/>
    <w:rsid w:val="00991A7A"/>
    <w:rsid w:val="00992931"/>
    <w:rsid w:val="00993188"/>
    <w:rsid w:val="00993366"/>
    <w:rsid w:val="0099348F"/>
    <w:rsid w:val="00994CF2"/>
    <w:rsid w:val="00994EE2"/>
    <w:rsid w:val="00995673"/>
    <w:rsid w:val="00995722"/>
    <w:rsid w:val="00997F4E"/>
    <w:rsid w:val="009A0C6A"/>
    <w:rsid w:val="009A1FC5"/>
    <w:rsid w:val="009A2109"/>
    <w:rsid w:val="009A23AC"/>
    <w:rsid w:val="009A296C"/>
    <w:rsid w:val="009A2C3F"/>
    <w:rsid w:val="009A2CAC"/>
    <w:rsid w:val="009A2F9B"/>
    <w:rsid w:val="009A41C7"/>
    <w:rsid w:val="009A44B0"/>
    <w:rsid w:val="009A57D9"/>
    <w:rsid w:val="009A594B"/>
    <w:rsid w:val="009A6451"/>
    <w:rsid w:val="009A6E1F"/>
    <w:rsid w:val="009A6E3E"/>
    <w:rsid w:val="009A6FC8"/>
    <w:rsid w:val="009A705D"/>
    <w:rsid w:val="009B14C5"/>
    <w:rsid w:val="009B188C"/>
    <w:rsid w:val="009B1CFE"/>
    <w:rsid w:val="009B226B"/>
    <w:rsid w:val="009B27D6"/>
    <w:rsid w:val="009B28C4"/>
    <w:rsid w:val="009B2A80"/>
    <w:rsid w:val="009B2E1D"/>
    <w:rsid w:val="009B30CE"/>
    <w:rsid w:val="009B3BC7"/>
    <w:rsid w:val="009B3C31"/>
    <w:rsid w:val="009B4191"/>
    <w:rsid w:val="009B4A3E"/>
    <w:rsid w:val="009B5A5B"/>
    <w:rsid w:val="009B5C9D"/>
    <w:rsid w:val="009B60D9"/>
    <w:rsid w:val="009B6150"/>
    <w:rsid w:val="009B62D7"/>
    <w:rsid w:val="009B6526"/>
    <w:rsid w:val="009B72AA"/>
    <w:rsid w:val="009C03E0"/>
    <w:rsid w:val="009C0A6F"/>
    <w:rsid w:val="009C0B60"/>
    <w:rsid w:val="009C0EEC"/>
    <w:rsid w:val="009C1954"/>
    <w:rsid w:val="009C344B"/>
    <w:rsid w:val="009C34F7"/>
    <w:rsid w:val="009C68F5"/>
    <w:rsid w:val="009C6999"/>
    <w:rsid w:val="009C6BA9"/>
    <w:rsid w:val="009C7678"/>
    <w:rsid w:val="009D0359"/>
    <w:rsid w:val="009D0AF7"/>
    <w:rsid w:val="009D0D9B"/>
    <w:rsid w:val="009D1054"/>
    <w:rsid w:val="009D108C"/>
    <w:rsid w:val="009D21EB"/>
    <w:rsid w:val="009D2804"/>
    <w:rsid w:val="009D283A"/>
    <w:rsid w:val="009D3B16"/>
    <w:rsid w:val="009D3B53"/>
    <w:rsid w:val="009D4BBD"/>
    <w:rsid w:val="009D4E2A"/>
    <w:rsid w:val="009D500F"/>
    <w:rsid w:val="009D691D"/>
    <w:rsid w:val="009D7B61"/>
    <w:rsid w:val="009E0008"/>
    <w:rsid w:val="009E150D"/>
    <w:rsid w:val="009E2630"/>
    <w:rsid w:val="009E3420"/>
    <w:rsid w:val="009E3453"/>
    <w:rsid w:val="009E3601"/>
    <w:rsid w:val="009E405D"/>
    <w:rsid w:val="009E53C7"/>
    <w:rsid w:val="009E56ED"/>
    <w:rsid w:val="009E5CCB"/>
    <w:rsid w:val="009E6848"/>
    <w:rsid w:val="009E6F63"/>
    <w:rsid w:val="009E76E4"/>
    <w:rsid w:val="009E77E2"/>
    <w:rsid w:val="009F0CF2"/>
    <w:rsid w:val="009F1102"/>
    <w:rsid w:val="009F2DDD"/>
    <w:rsid w:val="009F3145"/>
    <w:rsid w:val="009F3703"/>
    <w:rsid w:val="009F4ED1"/>
    <w:rsid w:val="009F4FF9"/>
    <w:rsid w:val="009F53D9"/>
    <w:rsid w:val="009F552F"/>
    <w:rsid w:val="009F57A3"/>
    <w:rsid w:val="009F6479"/>
    <w:rsid w:val="009F732E"/>
    <w:rsid w:val="009F7F0F"/>
    <w:rsid w:val="00A00641"/>
    <w:rsid w:val="00A00F55"/>
    <w:rsid w:val="00A011E7"/>
    <w:rsid w:val="00A03695"/>
    <w:rsid w:val="00A036CA"/>
    <w:rsid w:val="00A04D7B"/>
    <w:rsid w:val="00A0524D"/>
    <w:rsid w:val="00A05A70"/>
    <w:rsid w:val="00A05AFC"/>
    <w:rsid w:val="00A05F56"/>
    <w:rsid w:val="00A070AC"/>
    <w:rsid w:val="00A11E87"/>
    <w:rsid w:val="00A12054"/>
    <w:rsid w:val="00A12060"/>
    <w:rsid w:val="00A129E3"/>
    <w:rsid w:val="00A12D8F"/>
    <w:rsid w:val="00A1311C"/>
    <w:rsid w:val="00A140D6"/>
    <w:rsid w:val="00A14414"/>
    <w:rsid w:val="00A145C6"/>
    <w:rsid w:val="00A145DD"/>
    <w:rsid w:val="00A153E4"/>
    <w:rsid w:val="00A1569D"/>
    <w:rsid w:val="00A15C43"/>
    <w:rsid w:val="00A15DAF"/>
    <w:rsid w:val="00A15E09"/>
    <w:rsid w:val="00A179D4"/>
    <w:rsid w:val="00A2035B"/>
    <w:rsid w:val="00A20564"/>
    <w:rsid w:val="00A21BFF"/>
    <w:rsid w:val="00A23E68"/>
    <w:rsid w:val="00A24693"/>
    <w:rsid w:val="00A24F61"/>
    <w:rsid w:val="00A26FAA"/>
    <w:rsid w:val="00A274A0"/>
    <w:rsid w:val="00A27ABC"/>
    <w:rsid w:val="00A303A7"/>
    <w:rsid w:val="00A304E3"/>
    <w:rsid w:val="00A314C7"/>
    <w:rsid w:val="00A31711"/>
    <w:rsid w:val="00A31C5C"/>
    <w:rsid w:val="00A33166"/>
    <w:rsid w:val="00A34115"/>
    <w:rsid w:val="00A34664"/>
    <w:rsid w:val="00A3605B"/>
    <w:rsid w:val="00A372D8"/>
    <w:rsid w:val="00A37B17"/>
    <w:rsid w:val="00A4026A"/>
    <w:rsid w:val="00A40C5A"/>
    <w:rsid w:val="00A410D8"/>
    <w:rsid w:val="00A41DF3"/>
    <w:rsid w:val="00A43553"/>
    <w:rsid w:val="00A43C00"/>
    <w:rsid w:val="00A443A4"/>
    <w:rsid w:val="00A4445D"/>
    <w:rsid w:val="00A44BCD"/>
    <w:rsid w:val="00A44FC5"/>
    <w:rsid w:val="00A45460"/>
    <w:rsid w:val="00A45C29"/>
    <w:rsid w:val="00A465F4"/>
    <w:rsid w:val="00A47D0A"/>
    <w:rsid w:val="00A47F4D"/>
    <w:rsid w:val="00A509F3"/>
    <w:rsid w:val="00A50BC1"/>
    <w:rsid w:val="00A51145"/>
    <w:rsid w:val="00A511C0"/>
    <w:rsid w:val="00A51E01"/>
    <w:rsid w:val="00A52583"/>
    <w:rsid w:val="00A52E59"/>
    <w:rsid w:val="00A53062"/>
    <w:rsid w:val="00A538E7"/>
    <w:rsid w:val="00A5507C"/>
    <w:rsid w:val="00A5598F"/>
    <w:rsid w:val="00A559EA"/>
    <w:rsid w:val="00A56E4A"/>
    <w:rsid w:val="00A57699"/>
    <w:rsid w:val="00A57C52"/>
    <w:rsid w:val="00A60903"/>
    <w:rsid w:val="00A62700"/>
    <w:rsid w:val="00A62DE1"/>
    <w:rsid w:val="00A63106"/>
    <w:rsid w:val="00A633B8"/>
    <w:rsid w:val="00A63985"/>
    <w:rsid w:val="00A64836"/>
    <w:rsid w:val="00A64C04"/>
    <w:rsid w:val="00A64ED1"/>
    <w:rsid w:val="00A651F4"/>
    <w:rsid w:val="00A65FCC"/>
    <w:rsid w:val="00A6623D"/>
    <w:rsid w:val="00A7121A"/>
    <w:rsid w:val="00A71A59"/>
    <w:rsid w:val="00A71FFA"/>
    <w:rsid w:val="00A729D3"/>
    <w:rsid w:val="00A72A9E"/>
    <w:rsid w:val="00A730A6"/>
    <w:rsid w:val="00A73567"/>
    <w:rsid w:val="00A73B34"/>
    <w:rsid w:val="00A7717D"/>
    <w:rsid w:val="00A7726E"/>
    <w:rsid w:val="00A77D98"/>
    <w:rsid w:val="00A81D28"/>
    <w:rsid w:val="00A81FC5"/>
    <w:rsid w:val="00A8231D"/>
    <w:rsid w:val="00A823FB"/>
    <w:rsid w:val="00A830F2"/>
    <w:rsid w:val="00A84A6B"/>
    <w:rsid w:val="00A87DD2"/>
    <w:rsid w:val="00A9033C"/>
    <w:rsid w:val="00A906B7"/>
    <w:rsid w:val="00A9091B"/>
    <w:rsid w:val="00A9093F"/>
    <w:rsid w:val="00A92576"/>
    <w:rsid w:val="00A938F7"/>
    <w:rsid w:val="00A95D2D"/>
    <w:rsid w:val="00A964EF"/>
    <w:rsid w:val="00A96FCD"/>
    <w:rsid w:val="00AA040F"/>
    <w:rsid w:val="00AA1D5A"/>
    <w:rsid w:val="00AA1E30"/>
    <w:rsid w:val="00AA46FA"/>
    <w:rsid w:val="00AA51E7"/>
    <w:rsid w:val="00AA5488"/>
    <w:rsid w:val="00AA5739"/>
    <w:rsid w:val="00AA596F"/>
    <w:rsid w:val="00AA5A4C"/>
    <w:rsid w:val="00AA5F83"/>
    <w:rsid w:val="00AA6D46"/>
    <w:rsid w:val="00AA6DC6"/>
    <w:rsid w:val="00AA6F6F"/>
    <w:rsid w:val="00AB11DD"/>
    <w:rsid w:val="00AB13A5"/>
    <w:rsid w:val="00AB1DD5"/>
    <w:rsid w:val="00AB24AC"/>
    <w:rsid w:val="00AB26DF"/>
    <w:rsid w:val="00AB2876"/>
    <w:rsid w:val="00AB2B6F"/>
    <w:rsid w:val="00AB3AAF"/>
    <w:rsid w:val="00AB3C86"/>
    <w:rsid w:val="00AB3D49"/>
    <w:rsid w:val="00AB4BD1"/>
    <w:rsid w:val="00AB504A"/>
    <w:rsid w:val="00AB53A4"/>
    <w:rsid w:val="00AB5A78"/>
    <w:rsid w:val="00AB5B0B"/>
    <w:rsid w:val="00AB62E5"/>
    <w:rsid w:val="00AB62FB"/>
    <w:rsid w:val="00AB7460"/>
    <w:rsid w:val="00AC02AB"/>
    <w:rsid w:val="00AC1E47"/>
    <w:rsid w:val="00AC2037"/>
    <w:rsid w:val="00AC25D7"/>
    <w:rsid w:val="00AC26E3"/>
    <w:rsid w:val="00AC34AD"/>
    <w:rsid w:val="00AC36D9"/>
    <w:rsid w:val="00AC4D79"/>
    <w:rsid w:val="00AC4D87"/>
    <w:rsid w:val="00AC54E3"/>
    <w:rsid w:val="00AC57D5"/>
    <w:rsid w:val="00AC5A87"/>
    <w:rsid w:val="00AD1A24"/>
    <w:rsid w:val="00AD24C6"/>
    <w:rsid w:val="00AD45B0"/>
    <w:rsid w:val="00AD46AA"/>
    <w:rsid w:val="00AD5202"/>
    <w:rsid w:val="00AD53AC"/>
    <w:rsid w:val="00AE0ACF"/>
    <w:rsid w:val="00AE1412"/>
    <w:rsid w:val="00AE1BE6"/>
    <w:rsid w:val="00AE1FB9"/>
    <w:rsid w:val="00AE2156"/>
    <w:rsid w:val="00AE28FC"/>
    <w:rsid w:val="00AE2A4B"/>
    <w:rsid w:val="00AE2D21"/>
    <w:rsid w:val="00AE2ED0"/>
    <w:rsid w:val="00AE304B"/>
    <w:rsid w:val="00AE36D1"/>
    <w:rsid w:val="00AE3B50"/>
    <w:rsid w:val="00AE4752"/>
    <w:rsid w:val="00AE5274"/>
    <w:rsid w:val="00AE6404"/>
    <w:rsid w:val="00AE706C"/>
    <w:rsid w:val="00AE70C8"/>
    <w:rsid w:val="00AE7372"/>
    <w:rsid w:val="00AE7AFA"/>
    <w:rsid w:val="00AE7ED0"/>
    <w:rsid w:val="00AF080F"/>
    <w:rsid w:val="00AF1169"/>
    <w:rsid w:val="00AF1CFE"/>
    <w:rsid w:val="00AF214B"/>
    <w:rsid w:val="00AF2D8E"/>
    <w:rsid w:val="00AF3103"/>
    <w:rsid w:val="00AF3A1C"/>
    <w:rsid w:val="00AF4862"/>
    <w:rsid w:val="00AF5D83"/>
    <w:rsid w:val="00AF5DB5"/>
    <w:rsid w:val="00AF656F"/>
    <w:rsid w:val="00AF6C2C"/>
    <w:rsid w:val="00B003D3"/>
    <w:rsid w:val="00B008B0"/>
    <w:rsid w:val="00B0091D"/>
    <w:rsid w:val="00B009D2"/>
    <w:rsid w:val="00B0114A"/>
    <w:rsid w:val="00B01408"/>
    <w:rsid w:val="00B03517"/>
    <w:rsid w:val="00B036EA"/>
    <w:rsid w:val="00B03E2E"/>
    <w:rsid w:val="00B0487D"/>
    <w:rsid w:val="00B04A96"/>
    <w:rsid w:val="00B063C6"/>
    <w:rsid w:val="00B06498"/>
    <w:rsid w:val="00B06B05"/>
    <w:rsid w:val="00B07456"/>
    <w:rsid w:val="00B07967"/>
    <w:rsid w:val="00B07E66"/>
    <w:rsid w:val="00B1029B"/>
    <w:rsid w:val="00B10DA6"/>
    <w:rsid w:val="00B10E88"/>
    <w:rsid w:val="00B11095"/>
    <w:rsid w:val="00B129A6"/>
    <w:rsid w:val="00B12BA2"/>
    <w:rsid w:val="00B13429"/>
    <w:rsid w:val="00B14435"/>
    <w:rsid w:val="00B156EB"/>
    <w:rsid w:val="00B15F1A"/>
    <w:rsid w:val="00B17357"/>
    <w:rsid w:val="00B17F74"/>
    <w:rsid w:val="00B20627"/>
    <w:rsid w:val="00B20DB5"/>
    <w:rsid w:val="00B22139"/>
    <w:rsid w:val="00B230EF"/>
    <w:rsid w:val="00B2328A"/>
    <w:rsid w:val="00B23CDF"/>
    <w:rsid w:val="00B2594F"/>
    <w:rsid w:val="00B25EF1"/>
    <w:rsid w:val="00B26E4D"/>
    <w:rsid w:val="00B270E8"/>
    <w:rsid w:val="00B273CF"/>
    <w:rsid w:val="00B27955"/>
    <w:rsid w:val="00B27F8C"/>
    <w:rsid w:val="00B30BF5"/>
    <w:rsid w:val="00B30ED1"/>
    <w:rsid w:val="00B31170"/>
    <w:rsid w:val="00B31191"/>
    <w:rsid w:val="00B311CC"/>
    <w:rsid w:val="00B313E8"/>
    <w:rsid w:val="00B31801"/>
    <w:rsid w:val="00B319E0"/>
    <w:rsid w:val="00B31E69"/>
    <w:rsid w:val="00B31E93"/>
    <w:rsid w:val="00B35A24"/>
    <w:rsid w:val="00B3728E"/>
    <w:rsid w:val="00B40537"/>
    <w:rsid w:val="00B41042"/>
    <w:rsid w:val="00B4249E"/>
    <w:rsid w:val="00B44119"/>
    <w:rsid w:val="00B44DAF"/>
    <w:rsid w:val="00B456EF"/>
    <w:rsid w:val="00B45707"/>
    <w:rsid w:val="00B459E9"/>
    <w:rsid w:val="00B466DD"/>
    <w:rsid w:val="00B46977"/>
    <w:rsid w:val="00B47D15"/>
    <w:rsid w:val="00B50149"/>
    <w:rsid w:val="00B5030F"/>
    <w:rsid w:val="00B50A22"/>
    <w:rsid w:val="00B50FEF"/>
    <w:rsid w:val="00B51476"/>
    <w:rsid w:val="00B52163"/>
    <w:rsid w:val="00B52335"/>
    <w:rsid w:val="00B5234E"/>
    <w:rsid w:val="00B523DD"/>
    <w:rsid w:val="00B53A19"/>
    <w:rsid w:val="00B5411B"/>
    <w:rsid w:val="00B546A7"/>
    <w:rsid w:val="00B54C52"/>
    <w:rsid w:val="00B54D2E"/>
    <w:rsid w:val="00B55202"/>
    <w:rsid w:val="00B55A98"/>
    <w:rsid w:val="00B55D21"/>
    <w:rsid w:val="00B56379"/>
    <w:rsid w:val="00B57E34"/>
    <w:rsid w:val="00B60190"/>
    <w:rsid w:val="00B60440"/>
    <w:rsid w:val="00B60462"/>
    <w:rsid w:val="00B60E3E"/>
    <w:rsid w:val="00B62B0B"/>
    <w:rsid w:val="00B62B58"/>
    <w:rsid w:val="00B62B9F"/>
    <w:rsid w:val="00B6388F"/>
    <w:rsid w:val="00B63D54"/>
    <w:rsid w:val="00B65A78"/>
    <w:rsid w:val="00B660E2"/>
    <w:rsid w:val="00B66531"/>
    <w:rsid w:val="00B710D3"/>
    <w:rsid w:val="00B711B9"/>
    <w:rsid w:val="00B7130E"/>
    <w:rsid w:val="00B721FA"/>
    <w:rsid w:val="00B731A9"/>
    <w:rsid w:val="00B73C3C"/>
    <w:rsid w:val="00B749A5"/>
    <w:rsid w:val="00B75AD8"/>
    <w:rsid w:val="00B75C15"/>
    <w:rsid w:val="00B7620D"/>
    <w:rsid w:val="00B76854"/>
    <w:rsid w:val="00B77DCB"/>
    <w:rsid w:val="00B80363"/>
    <w:rsid w:val="00B80810"/>
    <w:rsid w:val="00B80B9B"/>
    <w:rsid w:val="00B812C4"/>
    <w:rsid w:val="00B8183F"/>
    <w:rsid w:val="00B82FC6"/>
    <w:rsid w:val="00B838F0"/>
    <w:rsid w:val="00B83E8D"/>
    <w:rsid w:val="00B8419D"/>
    <w:rsid w:val="00B847AC"/>
    <w:rsid w:val="00B849DF"/>
    <w:rsid w:val="00B859BB"/>
    <w:rsid w:val="00B85D29"/>
    <w:rsid w:val="00B85D4B"/>
    <w:rsid w:val="00B8621A"/>
    <w:rsid w:val="00B875D3"/>
    <w:rsid w:val="00B878A3"/>
    <w:rsid w:val="00B87CE5"/>
    <w:rsid w:val="00B903D6"/>
    <w:rsid w:val="00B9316F"/>
    <w:rsid w:val="00B93846"/>
    <w:rsid w:val="00B9418D"/>
    <w:rsid w:val="00B941CF"/>
    <w:rsid w:val="00B94623"/>
    <w:rsid w:val="00B94A5F"/>
    <w:rsid w:val="00B94C3A"/>
    <w:rsid w:val="00B9502A"/>
    <w:rsid w:val="00B9508A"/>
    <w:rsid w:val="00B95617"/>
    <w:rsid w:val="00B96FD2"/>
    <w:rsid w:val="00B975D8"/>
    <w:rsid w:val="00B97A7C"/>
    <w:rsid w:val="00BA0DD8"/>
    <w:rsid w:val="00BA190E"/>
    <w:rsid w:val="00BA1FCC"/>
    <w:rsid w:val="00BA3482"/>
    <w:rsid w:val="00BA5B26"/>
    <w:rsid w:val="00BA5C63"/>
    <w:rsid w:val="00BA6438"/>
    <w:rsid w:val="00BA677B"/>
    <w:rsid w:val="00BA67DA"/>
    <w:rsid w:val="00BA68CC"/>
    <w:rsid w:val="00BA6FA2"/>
    <w:rsid w:val="00BA71AA"/>
    <w:rsid w:val="00BA79AD"/>
    <w:rsid w:val="00BB06CF"/>
    <w:rsid w:val="00BB08E6"/>
    <w:rsid w:val="00BB0E54"/>
    <w:rsid w:val="00BB1DA9"/>
    <w:rsid w:val="00BB1F02"/>
    <w:rsid w:val="00BB2262"/>
    <w:rsid w:val="00BB4FE3"/>
    <w:rsid w:val="00BB58DB"/>
    <w:rsid w:val="00BB5B6A"/>
    <w:rsid w:val="00BB791F"/>
    <w:rsid w:val="00BC12DE"/>
    <w:rsid w:val="00BC23BE"/>
    <w:rsid w:val="00BC25C4"/>
    <w:rsid w:val="00BC25FE"/>
    <w:rsid w:val="00BC3157"/>
    <w:rsid w:val="00BC6D8D"/>
    <w:rsid w:val="00BD07FF"/>
    <w:rsid w:val="00BD131C"/>
    <w:rsid w:val="00BD13AE"/>
    <w:rsid w:val="00BD24EB"/>
    <w:rsid w:val="00BD2EE5"/>
    <w:rsid w:val="00BD37AA"/>
    <w:rsid w:val="00BD3F62"/>
    <w:rsid w:val="00BD4425"/>
    <w:rsid w:val="00BD445E"/>
    <w:rsid w:val="00BD45E6"/>
    <w:rsid w:val="00BD56B8"/>
    <w:rsid w:val="00BD5B4E"/>
    <w:rsid w:val="00BD5D8A"/>
    <w:rsid w:val="00BD6072"/>
    <w:rsid w:val="00BD6501"/>
    <w:rsid w:val="00BD70CE"/>
    <w:rsid w:val="00BD7C30"/>
    <w:rsid w:val="00BE0312"/>
    <w:rsid w:val="00BE0591"/>
    <w:rsid w:val="00BE1304"/>
    <w:rsid w:val="00BE13B1"/>
    <w:rsid w:val="00BE1717"/>
    <w:rsid w:val="00BE17EA"/>
    <w:rsid w:val="00BE1D8F"/>
    <w:rsid w:val="00BE21E3"/>
    <w:rsid w:val="00BE24BF"/>
    <w:rsid w:val="00BE2690"/>
    <w:rsid w:val="00BE30DB"/>
    <w:rsid w:val="00BE3A0A"/>
    <w:rsid w:val="00BE3D2E"/>
    <w:rsid w:val="00BE5CBF"/>
    <w:rsid w:val="00BE6263"/>
    <w:rsid w:val="00BE755E"/>
    <w:rsid w:val="00BE75C5"/>
    <w:rsid w:val="00BE7C7A"/>
    <w:rsid w:val="00BF00E0"/>
    <w:rsid w:val="00BF0329"/>
    <w:rsid w:val="00BF0B8A"/>
    <w:rsid w:val="00BF11A5"/>
    <w:rsid w:val="00BF1600"/>
    <w:rsid w:val="00BF1CA9"/>
    <w:rsid w:val="00BF1CDF"/>
    <w:rsid w:val="00BF1E10"/>
    <w:rsid w:val="00BF2760"/>
    <w:rsid w:val="00BF2BDF"/>
    <w:rsid w:val="00BF3999"/>
    <w:rsid w:val="00BF6F23"/>
    <w:rsid w:val="00BF7650"/>
    <w:rsid w:val="00C0112C"/>
    <w:rsid w:val="00C011D2"/>
    <w:rsid w:val="00C01A7E"/>
    <w:rsid w:val="00C01DC5"/>
    <w:rsid w:val="00C02DDF"/>
    <w:rsid w:val="00C04E09"/>
    <w:rsid w:val="00C05A58"/>
    <w:rsid w:val="00C113ED"/>
    <w:rsid w:val="00C11BF7"/>
    <w:rsid w:val="00C122BC"/>
    <w:rsid w:val="00C125BC"/>
    <w:rsid w:val="00C12808"/>
    <w:rsid w:val="00C12FB4"/>
    <w:rsid w:val="00C1577C"/>
    <w:rsid w:val="00C1638F"/>
    <w:rsid w:val="00C163B2"/>
    <w:rsid w:val="00C168E0"/>
    <w:rsid w:val="00C16D86"/>
    <w:rsid w:val="00C1759D"/>
    <w:rsid w:val="00C17C8B"/>
    <w:rsid w:val="00C17E59"/>
    <w:rsid w:val="00C17F8A"/>
    <w:rsid w:val="00C201E2"/>
    <w:rsid w:val="00C20A83"/>
    <w:rsid w:val="00C2145E"/>
    <w:rsid w:val="00C21C8B"/>
    <w:rsid w:val="00C21EF1"/>
    <w:rsid w:val="00C22030"/>
    <w:rsid w:val="00C2312B"/>
    <w:rsid w:val="00C24005"/>
    <w:rsid w:val="00C24319"/>
    <w:rsid w:val="00C26B6A"/>
    <w:rsid w:val="00C26D16"/>
    <w:rsid w:val="00C26FA0"/>
    <w:rsid w:val="00C27530"/>
    <w:rsid w:val="00C27757"/>
    <w:rsid w:val="00C31A0E"/>
    <w:rsid w:val="00C3230B"/>
    <w:rsid w:val="00C325E4"/>
    <w:rsid w:val="00C32B21"/>
    <w:rsid w:val="00C33186"/>
    <w:rsid w:val="00C33E92"/>
    <w:rsid w:val="00C35A55"/>
    <w:rsid w:val="00C35AE9"/>
    <w:rsid w:val="00C35EA0"/>
    <w:rsid w:val="00C36020"/>
    <w:rsid w:val="00C369EF"/>
    <w:rsid w:val="00C4028C"/>
    <w:rsid w:val="00C4064D"/>
    <w:rsid w:val="00C40A9A"/>
    <w:rsid w:val="00C430F9"/>
    <w:rsid w:val="00C43617"/>
    <w:rsid w:val="00C43C77"/>
    <w:rsid w:val="00C4452A"/>
    <w:rsid w:val="00C44766"/>
    <w:rsid w:val="00C4510C"/>
    <w:rsid w:val="00C45DB6"/>
    <w:rsid w:val="00C466A0"/>
    <w:rsid w:val="00C4712B"/>
    <w:rsid w:val="00C47C98"/>
    <w:rsid w:val="00C514F9"/>
    <w:rsid w:val="00C51B75"/>
    <w:rsid w:val="00C51CBA"/>
    <w:rsid w:val="00C51EFC"/>
    <w:rsid w:val="00C53064"/>
    <w:rsid w:val="00C54EA0"/>
    <w:rsid w:val="00C55C66"/>
    <w:rsid w:val="00C55F39"/>
    <w:rsid w:val="00C60801"/>
    <w:rsid w:val="00C6130C"/>
    <w:rsid w:val="00C62A37"/>
    <w:rsid w:val="00C637C3"/>
    <w:rsid w:val="00C63F06"/>
    <w:rsid w:val="00C64F93"/>
    <w:rsid w:val="00C651A6"/>
    <w:rsid w:val="00C657B8"/>
    <w:rsid w:val="00C667FA"/>
    <w:rsid w:val="00C668A3"/>
    <w:rsid w:val="00C67E76"/>
    <w:rsid w:val="00C70006"/>
    <w:rsid w:val="00C70FF8"/>
    <w:rsid w:val="00C71166"/>
    <w:rsid w:val="00C7209A"/>
    <w:rsid w:val="00C7388E"/>
    <w:rsid w:val="00C747D3"/>
    <w:rsid w:val="00C753E4"/>
    <w:rsid w:val="00C75814"/>
    <w:rsid w:val="00C76DCD"/>
    <w:rsid w:val="00C77577"/>
    <w:rsid w:val="00C77A0B"/>
    <w:rsid w:val="00C80BC5"/>
    <w:rsid w:val="00C82E60"/>
    <w:rsid w:val="00C83CFB"/>
    <w:rsid w:val="00C83E95"/>
    <w:rsid w:val="00C841B2"/>
    <w:rsid w:val="00C86576"/>
    <w:rsid w:val="00C86922"/>
    <w:rsid w:val="00C9133B"/>
    <w:rsid w:val="00C917B4"/>
    <w:rsid w:val="00C91ECC"/>
    <w:rsid w:val="00C92316"/>
    <w:rsid w:val="00C945B2"/>
    <w:rsid w:val="00C949EC"/>
    <w:rsid w:val="00C94AA8"/>
    <w:rsid w:val="00C95A05"/>
    <w:rsid w:val="00C97C9D"/>
    <w:rsid w:val="00C97DFD"/>
    <w:rsid w:val="00CA06FB"/>
    <w:rsid w:val="00CA0A06"/>
    <w:rsid w:val="00CA11A1"/>
    <w:rsid w:val="00CA1684"/>
    <w:rsid w:val="00CA1C2F"/>
    <w:rsid w:val="00CA2186"/>
    <w:rsid w:val="00CA241B"/>
    <w:rsid w:val="00CA2698"/>
    <w:rsid w:val="00CA2EA6"/>
    <w:rsid w:val="00CA3EFD"/>
    <w:rsid w:val="00CA4169"/>
    <w:rsid w:val="00CA4426"/>
    <w:rsid w:val="00CA6A1E"/>
    <w:rsid w:val="00CA72DD"/>
    <w:rsid w:val="00CA7A98"/>
    <w:rsid w:val="00CB06B7"/>
    <w:rsid w:val="00CB070A"/>
    <w:rsid w:val="00CB0984"/>
    <w:rsid w:val="00CB10CD"/>
    <w:rsid w:val="00CB132F"/>
    <w:rsid w:val="00CB19F8"/>
    <w:rsid w:val="00CB1D23"/>
    <w:rsid w:val="00CB20B1"/>
    <w:rsid w:val="00CB21EB"/>
    <w:rsid w:val="00CB25CC"/>
    <w:rsid w:val="00CB2A97"/>
    <w:rsid w:val="00CB3109"/>
    <w:rsid w:val="00CB334B"/>
    <w:rsid w:val="00CB426D"/>
    <w:rsid w:val="00CB43B2"/>
    <w:rsid w:val="00CB5693"/>
    <w:rsid w:val="00CB677D"/>
    <w:rsid w:val="00CB6EE5"/>
    <w:rsid w:val="00CB72AB"/>
    <w:rsid w:val="00CB78BD"/>
    <w:rsid w:val="00CB7CDB"/>
    <w:rsid w:val="00CC10A0"/>
    <w:rsid w:val="00CC1E3C"/>
    <w:rsid w:val="00CC3ADE"/>
    <w:rsid w:val="00CC3E03"/>
    <w:rsid w:val="00CC5871"/>
    <w:rsid w:val="00CC632B"/>
    <w:rsid w:val="00CC7666"/>
    <w:rsid w:val="00CD0431"/>
    <w:rsid w:val="00CD1228"/>
    <w:rsid w:val="00CD14C4"/>
    <w:rsid w:val="00CD1E2F"/>
    <w:rsid w:val="00CD261F"/>
    <w:rsid w:val="00CD2DCC"/>
    <w:rsid w:val="00CD343C"/>
    <w:rsid w:val="00CD3933"/>
    <w:rsid w:val="00CD3D2E"/>
    <w:rsid w:val="00CD3D38"/>
    <w:rsid w:val="00CD4154"/>
    <w:rsid w:val="00CD4A09"/>
    <w:rsid w:val="00CD4DF4"/>
    <w:rsid w:val="00CD7251"/>
    <w:rsid w:val="00CD7851"/>
    <w:rsid w:val="00CD791A"/>
    <w:rsid w:val="00CD7976"/>
    <w:rsid w:val="00CD7FF3"/>
    <w:rsid w:val="00CE0DE2"/>
    <w:rsid w:val="00CE0E90"/>
    <w:rsid w:val="00CE11D6"/>
    <w:rsid w:val="00CE2219"/>
    <w:rsid w:val="00CE22BF"/>
    <w:rsid w:val="00CE24E9"/>
    <w:rsid w:val="00CE25BE"/>
    <w:rsid w:val="00CE263C"/>
    <w:rsid w:val="00CE2CBF"/>
    <w:rsid w:val="00CE530A"/>
    <w:rsid w:val="00CE5A1B"/>
    <w:rsid w:val="00CE5E3D"/>
    <w:rsid w:val="00CE65EA"/>
    <w:rsid w:val="00CE7086"/>
    <w:rsid w:val="00CF00B1"/>
    <w:rsid w:val="00CF05B3"/>
    <w:rsid w:val="00CF15A9"/>
    <w:rsid w:val="00CF1AA1"/>
    <w:rsid w:val="00CF2397"/>
    <w:rsid w:val="00CF2618"/>
    <w:rsid w:val="00CF4A71"/>
    <w:rsid w:val="00CF53C8"/>
    <w:rsid w:val="00CF5F93"/>
    <w:rsid w:val="00CF63F0"/>
    <w:rsid w:val="00CF66ED"/>
    <w:rsid w:val="00CF67A0"/>
    <w:rsid w:val="00CF6AC0"/>
    <w:rsid w:val="00CF70BB"/>
    <w:rsid w:val="00CF70F1"/>
    <w:rsid w:val="00CF75CD"/>
    <w:rsid w:val="00D00123"/>
    <w:rsid w:val="00D0269B"/>
    <w:rsid w:val="00D02E25"/>
    <w:rsid w:val="00D03174"/>
    <w:rsid w:val="00D059A6"/>
    <w:rsid w:val="00D05DB9"/>
    <w:rsid w:val="00D05F09"/>
    <w:rsid w:val="00D0645B"/>
    <w:rsid w:val="00D06A33"/>
    <w:rsid w:val="00D117CA"/>
    <w:rsid w:val="00D12284"/>
    <w:rsid w:val="00D124CE"/>
    <w:rsid w:val="00D138E8"/>
    <w:rsid w:val="00D13A89"/>
    <w:rsid w:val="00D1532E"/>
    <w:rsid w:val="00D17FC5"/>
    <w:rsid w:val="00D208CA"/>
    <w:rsid w:val="00D215B2"/>
    <w:rsid w:val="00D21EF3"/>
    <w:rsid w:val="00D22863"/>
    <w:rsid w:val="00D22FC1"/>
    <w:rsid w:val="00D23C39"/>
    <w:rsid w:val="00D25477"/>
    <w:rsid w:val="00D27040"/>
    <w:rsid w:val="00D273AF"/>
    <w:rsid w:val="00D303D2"/>
    <w:rsid w:val="00D30699"/>
    <w:rsid w:val="00D30CE0"/>
    <w:rsid w:val="00D3164A"/>
    <w:rsid w:val="00D3172F"/>
    <w:rsid w:val="00D32004"/>
    <w:rsid w:val="00D32333"/>
    <w:rsid w:val="00D328AD"/>
    <w:rsid w:val="00D32AD8"/>
    <w:rsid w:val="00D32D73"/>
    <w:rsid w:val="00D32FB7"/>
    <w:rsid w:val="00D33106"/>
    <w:rsid w:val="00D33262"/>
    <w:rsid w:val="00D336F8"/>
    <w:rsid w:val="00D33B61"/>
    <w:rsid w:val="00D34092"/>
    <w:rsid w:val="00D3486D"/>
    <w:rsid w:val="00D35193"/>
    <w:rsid w:val="00D352BD"/>
    <w:rsid w:val="00D35527"/>
    <w:rsid w:val="00D35AF0"/>
    <w:rsid w:val="00D37864"/>
    <w:rsid w:val="00D3793E"/>
    <w:rsid w:val="00D37B18"/>
    <w:rsid w:val="00D4035B"/>
    <w:rsid w:val="00D40447"/>
    <w:rsid w:val="00D409A5"/>
    <w:rsid w:val="00D4100A"/>
    <w:rsid w:val="00D41A73"/>
    <w:rsid w:val="00D429F2"/>
    <w:rsid w:val="00D42F9A"/>
    <w:rsid w:val="00D43180"/>
    <w:rsid w:val="00D43316"/>
    <w:rsid w:val="00D4389D"/>
    <w:rsid w:val="00D438FB"/>
    <w:rsid w:val="00D43DA9"/>
    <w:rsid w:val="00D43E18"/>
    <w:rsid w:val="00D43F4F"/>
    <w:rsid w:val="00D4421A"/>
    <w:rsid w:val="00D44CD9"/>
    <w:rsid w:val="00D45A74"/>
    <w:rsid w:val="00D463EA"/>
    <w:rsid w:val="00D4674A"/>
    <w:rsid w:val="00D469FF"/>
    <w:rsid w:val="00D46AB9"/>
    <w:rsid w:val="00D47A77"/>
    <w:rsid w:val="00D47B3E"/>
    <w:rsid w:val="00D47BC4"/>
    <w:rsid w:val="00D50827"/>
    <w:rsid w:val="00D509F9"/>
    <w:rsid w:val="00D5161D"/>
    <w:rsid w:val="00D51DEA"/>
    <w:rsid w:val="00D523B9"/>
    <w:rsid w:val="00D5242A"/>
    <w:rsid w:val="00D5376F"/>
    <w:rsid w:val="00D53F1D"/>
    <w:rsid w:val="00D549DB"/>
    <w:rsid w:val="00D54FFF"/>
    <w:rsid w:val="00D55619"/>
    <w:rsid w:val="00D56005"/>
    <w:rsid w:val="00D56459"/>
    <w:rsid w:val="00D60026"/>
    <w:rsid w:val="00D60BA3"/>
    <w:rsid w:val="00D6104C"/>
    <w:rsid w:val="00D6188D"/>
    <w:rsid w:val="00D61B12"/>
    <w:rsid w:val="00D62D31"/>
    <w:rsid w:val="00D62FAD"/>
    <w:rsid w:val="00D64982"/>
    <w:rsid w:val="00D65330"/>
    <w:rsid w:val="00D66B3B"/>
    <w:rsid w:val="00D71C37"/>
    <w:rsid w:val="00D71D02"/>
    <w:rsid w:val="00D720F3"/>
    <w:rsid w:val="00D72EF0"/>
    <w:rsid w:val="00D73978"/>
    <w:rsid w:val="00D7457A"/>
    <w:rsid w:val="00D7464F"/>
    <w:rsid w:val="00D7475D"/>
    <w:rsid w:val="00D74797"/>
    <w:rsid w:val="00D7507E"/>
    <w:rsid w:val="00D754D7"/>
    <w:rsid w:val="00D75BCC"/>
    <w:rsid w:val="00D76C9E"/>
    <w:rsid w:val="00D7777A"/>
    <w:rsid w:val="00D77B46"/>
    <w:rsid w:val="00D8000D"/>
    <w:rsid w:val="00D80C6E"/>
    <w:rsid w:val="00D816D5"/>
    <w:rsid w:val="00D81EB0"/>
    <w:rsid w:val="00D8206A"/>
    <w:rsid w:val="00D82AFA"/>
    <w:rsid w:val="00D8329B"/>
    <w:rsid w:val="00D8336B"/>
    <w:rsid w:val="00D83487"/>
    <w:rsid w:val="00D836CC"/>
    <w:rsid w:val="00D83C30"/>
    <w:rsid w:val="00D8418E"/>
    <w:rsid w:val="00D84883"/>
    <w:rsid w:val="00D84E76"/>
    <w:rsid w:val="00D8500E"/>
    <w:rsid w:val="00D851A1"/>
    <w:rsid w:val="00D85962"/>
    <w:rsid w:val="00D865BA"/>
    <w:rsid w:val="00D86966"/>
    <w:rsid w:val="00D86EEE"/>
    <w:rsid w:val="00D8741A"/>
    <w:rsid w:val="00D87C22"/>
    <w:rsid w:val="00D90A6C"/>
    <w:rsid w:val="00D90D23"/>
    <w:rsid w:val="00D9243A"/>
    <w:rsid w:val="00D9393A"/>
    <w:rsid w:val="00D93A41"/>
    <w:rsid w:val="00D9421E"/>
    <w:rsid w:val="00D95F7D"/>
    <w:rsid w:val="00D96D8C"/>
    <w:rsid w:val="00D97A46"/>
    <w:rsid w:val="00DA0399"/>
    <w:rsid w:val="00DA0D93"/>
    <w:rsid w:val="00DA0FE0"/>
    <w:rsid w:val="00DA1A7E"/>
    <w:rsid w:val="00DA1F76"/>
    <w:rsid w:val="00DA22FB"/>
    <w:rsid w:val="00DA3146"/>
    <w:rsid w:val="00DA3404"/>
    <w:rsid w:val="00DA353F"/>
    <w:rsid w:val="00DA36A5"/>
    <w:rsid w:val="00DA3FCA"/>
    <w:rsid w:val="00DA4396"/>
    <w:rsid w:val="00DA4C27"/>
    <w:rsid w:val="00DA54E2"/>
    <w:rsid w:val="00DA5A69"/>
    <w:rsid w:val="00DA5D5A"/>
    <w:rsid w:val="00DA7356"/>
    <w:rsid w:val="00DB0DA9"/>
    <w:rsid w:val="00DB0DF9"/>
    <w:rsid w:val="00DB1F5E"/>
    <w:rsid w:val="00DB42E6"/>
    <w:rsid w:val="00DB55DC"/>
    <w:rsid w:val="00DB568A"/>
    <w:rsid w:val="00DB78B0"/>
    <w:rsid w:val="00DB7E38"/>
    <w:rsid w:val="00DB7FF7"/>
    <w:rsid w:val="00DC0336"/>
    <w:rsid w:val="00DC0AB1"/>
    <w:rsid w:val="00DC0ED4"/>
    <w:rsid w:val="00DC11A5"/>
    <w:rsid w:val="00DC11B7"/>
    <w:rsid w:val="00DC1A9B"/>
    <w:rsid w:val="00DC1FCB"/>
    <w:rsid w:val="00DC25EF"/>
    <w:rsid w:val="00DC29EE"/>
    <w:rsid w:val="00DC3435"/>
    <w:rsid w:val="00DC4E65"/>
    <w:rsid w:val="00DC53EB"/>
    <w:rsid w:val="00DC66EF"/>
    <w:rsid w:val="00DC745F"/>
    <w:rsid w:val="00DC7575"/>
    <w:rsid w:val="00DC78FB"/>
    <w:rsid w:val="00DC7FC6"/>
    <w:rsid w:val="00DD0B4B"/>
    <w:rsid w:val="00DD12D4"/>
    <w:rsid w:val="00DD1314"/>
    <w:rsid w:val="00DD139D"/>
    <w:rsid w:val="00DD1842"/>
    <w:rsid w:val="00DD4A07"/>
    <w:rsid w:val="00DD4C74"/>
    <w:rsid w:val="00DD4CA6"/>
    <w:rsid w:val="00DD54A1"/>
    <w:rsid w:val="00DD550B"/>
    <w:rsid w:val="00DD5569"/>
    <w:rsid w:val="00DD58AA"/>
    <w:rsid w:val="00DD5978"/>
    <w:rsid w:val="00DD5CB4"/>
    <w:rsid w:val="00DD5EAC"/>
    <w:rsid w:val="00DD5F5E"/>
    <w:rsid w:val="00DD6394"/>
    <w:rsid w:val="00DE0BDE"/>
    <w:rsid w:val="00DE0F59"/>
    <w:rsid w:val="00DE15F7"/>
    <w:rsid w:val="00DE177E"/>
    <w:rsid w:val="00DE1CE7"/>
    <w:rsid w:val="00DE2F24"/>
    <w:rsid w:val="00DE3F64"/>
    <w:rsid w:val="00DE4806"/>
    <w:rsid w:val="00DE48A5"/>
    <w:rsid w:val="00DE4C14"/>
    <w:rsid w:val="00DE5971"/>
    <w:rsid w:val="00DE6705"/>
    <w:rsid w:val="00DE674B"/>
    <w:rsid w:val="00DE7127"/>
    <w:rsid w:val="00DF09EC"/>
    <w:rsid w:val="00DF2382"/>
    <w:rsid w:val="00DF2CA0"/>
    <w:rsid w:val="00DF330A"/>
    <w:rsid w:val="00DF362B"/>
    <w:rsid w:val="00DF3FFE"/>
    <w:rsid w:val="00DF4AD9"/>
    <w:rsid w:val="00DF53CC"/>
    <w:rsid w:val="00DF606E"/>
    <w:rsid w:val="00DF6471"/>
    <w:rsid w:val="00DF6595"/>
    <w:rsid w:val="00DF6B51"/>
    <w:rsid w:val="00DF76E9"/>
    <w:rsid w:val="00E0024D"/>
    <w:rsid w:val="00E01002"/>
    <w:rsid w:val="00E01C2D"/>
    <w:rsid w:val="00E01CFD"/>
    <w:rsid w:val="00E02271"/>
    <w:rsid w:val="00E024B1"/>
    <w:rsid w:val="00E02B3A"/>
    <w:rsid w:val="00E0348B"/>
    <w:rsid w:val="00E04C38"/>
    <w:rsid w:val="00E05F79"/>
    <w:rsid w:val="00E061B7"/>
    <w:rsid w:val="00E07220"/>
    <w:rsid w:val="00E0737B"/>
    <w:rsid w:val="00E07637"/>
    <w:rsid w:val="00E079D3"/>
    <w:rsid w:val="00E07C0A"/>
    <w:rsid w:val="00E1042F"/>
    <w:rsid w:val="00E1120E"/>
    <w:rsid w:val="00E11539"/>
    <w:rsid w:val="00E120D5"/>
    <w:rsid w:val="00E124CB"/>
    <w:rsid w:val="00E12F7F"/>
    <w:rsid w:val="00E13245"/>
    <w:rsid w:val="00E13349"/>
    <w:rsid w:val="00E134AB"/>
    <w:rsid w:val="00E14071"/>
    <w:rsid w:val="00E14EC2"/>
    <w:rsid w:val="00E153F6"/>
    <w:rsid w:val="00E1558C"/>
    <w:rsid w:val="00E17C81"/>
    <w:rsid w:val="00E202DF"/>
    <w:rsid w:val="00E205BB"/>
    <w:rsid w:val="00E208D6"/>
    <w:rsid w:val="00E20A91"/>
    <w:rsid w:val="00E2184C"/>
    <w:rsid w:val="00E22E35"/>
    <w:rsid w:val="00E23124"/>
    <w:rsid w:val="00E239DA"/>
    <w:rsid w:val="00E23C56"/>
    <w:rsid w:val="00E23CB7"/>
    <w:rsid w:val="00E2506E"/>
    <w:rsid w:val="00E25703"/>
    <w:rsid w:val="00E259A0"/>
    <w:rsid w:val="00E25A48"/>
    <w:rsid w:val="00E268BB"/>
    <w:rsid w:val="00E305CF"/>
    <w:rsid w:val="00E30B92"/>
    <w:rsid w:val="00E32AE7"/>
    <w:rsid w:val="00E340F1"/>
    <w:rsid w:val="00E34510"/>
    <w:rsid w:val="00E34E6D"/>
    <w:rsid w:val="00E35BF7"/>
    <w:rsid w:val="00E35D43"/>
    <w:rsid w:val="00E37587"/>
    <w:rsid w:val="00E37B3A"/>
    <w:rsid w:val="00E37CE3"/>
    <w:rsid w:val="00E4059A"/>
    <w:rsid w:val="00E40AA2"/>
    <w:rsid w:val="00E41BFD"/>
    <w:rsid w:val="00E42656"/>
    <w:rsid w:val="00E433E2"/>
    <w:rsid w:val="00E43D77"/>
    <w:rsid w:val="00E44850"/>
    <w:rsid w:val="00E44D61"/>
    <w:rsid w:val="00E46B04"/>
    <w:rsid w:val="00E46B87"/>
    <w:rsid w:val="00E46FED"/>
    <w:rsid w:val="00E47840"/>
    <w:rsid w:val="00E47D8E"/>
    <w:rsid w:val="00E5013A"/>
    <w:rsid w:val="00E5039A"/>
    <w:rsid w:val="00E506BB"/>
    <w:rsid w:val="00E507C6"/>
    <w:rsid w:val="00E5147B"/>
    <w:rsid w:val="00E52A4C"/>
    <w:rsid w:val="00E52BAD"/>
    <w:rsid w:val="00E52CB9"/>
    <w:rsid w:val="00E52D1B"/>
    <w:rsid w:val="00E536DB"/>
    <w:rsid w:val="00E539C7"/>
    <w:rsid w:val="00E54314"/>
    <w:rsid w:val="00E54510"/>
    <w:rsid w:val="00E5473E"/>
    <w:rsid w:val="00E55F83"/>
    <w:rsid w:val="00E6048D"/>
    <w:rsid w:val="00E61DC4"/>
    <w:rsid w:val="00E6264F"/>
    <w:rsid w:val="00E64E97"/>
    <w:rsid w:val="00E6684B"/>
    <w:rsid w:val="00E66DF0"/>
    <w:rsid w:val="00E674AA"/>
    <w:rsid w:val="00E706D2"/>
    <w:rsid w:val="00E70E0E"/>
    <w:rsid w:val="00E7102C"/>
    <w:rsid w:val="00E71683"/>
    <w:rsid w:val="00E71A2D"/>
    <w:rsid w:val="00E71B45"/>
    <w:rsid w:val="00E72241"/>
    <w:rsid w:val="00E723CB"/>
    <w:rsid w:val="00E728E4"/>
    <w:rsid w:val="00E729BA"/>
    <w:rsid w:val="00E74450"/>
    <w:rsid w:val="00E7463D"/>
    <w:rsid w:val="00E7531F"/>
    <w:rsid w:val="00E75C11"/>
    <w:rsid w:val="00E766B9"/>
    <w:rsid w:val="00E7748E"/>
    <w:rsid w:val="00E775E0"/>
    <w:rsid w:val="00E801BF"/>
    <w:rsid w:val="00E802E7"/>
    <w:rsid w:val="00E80350"/>
    <w:rsid w:val="00E805D8"/>
    <w:rsid w:val="00E80AFD"/>
    <w:rsid w:val="00E81222"/>
    <w:rsid w:val="00E814BE"/>
    <w:rsid w:val="00E819F6"/>
    <w:rsid w:val="00E81DEB"/>
    <w:rsid w:val="00E822B5"/>
    <w:rsid w:val="00E8282F"/>
    <w:rsid w:val="00E82864"/>
    <w:rsid w:val="00E83F91"/>
    <w:rsid w:val="00E84179"/>
    <w:rsid w:val="00E84521"/>
    <w:rsid w:val="00E84B4F"/>
    <w:rsid w:val="00E84DA6"/>
    <w:rsid w:val="00E861F9"/>
    <w:rsid w:val="00E86453"/>
    <w:rsid w:val="00E87701"/>
    <w:rsid w:val="00E87A44"/>
    <w:rsid w:val="00E87E09"/>
    <w:rsid w:val="00E9048E"/>
    <w:rsid w:val="00E9061C"/>
    <w:rsid w:val="00E911D6"/>
    <w:rsid w:val="00E918DC"/>
    <w:rsid w:val="00E91936"/>
    <w:rsid w:val="00E919F3"/>
    <w:rsid w:val="00E929FA"/>
    <w:rsid w:val="00E92CC8"/>
    <w:rsid w:val="00E92E71"/>
    <w:rsid w:val="00E932BF"/>
    <w:rsid w:val="00E93B5F"/>
    <w:rsid w:val="00E94C2C"/>
    <w:rsid w:val="00E94C72"/>
    <w:rsid w:val="00E94EAB"/>
    <w:rsid w:val="00E963C7"/>
    <w:rsid w:val="00E9640C"/>
    <w:rsid w:val="00E97584"/>
    <w:rsid w:val="00E9771D"/>
    <w:rsid w:val="00E97EDB"/>
    <w:rsid w:val="00EA0AF6"/>
    <w:rsid w:val="00EA0E25"/>
    <w:rsid w:val="00EA1831"/>
    <w:rsid w:val="00EA2B46"/>
    <w:rsid w:val="00EA3B71"/>
    <w:rsid w:val="00EA3EB3"/>
    <w:rsid w:val="00EA477C"/>
    <w:rsid w:val="00EA495B"/>
    <w:rsid w:val="00EA553C"/>
    <w:rsid w:val="00EA6BE8"/>
    <w:rsid w:val="00EB01D9"/>
    <w:rsid w:val="00EB0D77"/>
    <w:rsid w:val="00EB3826"/>
    <w:rsid w:val="00EB38AE"/>
    <w:rsid w:val="00EB49E7"/>
    <w:rsid w:val="00EB5565"/>
    <w:rsid w:val="00EB7420"/>
    <w:rsid w:val="00EB7C7E"/>
    <w:rsid w:val="00EB7CA6"/>
    <w:rsid w:val="00EB7E66"/>
    <w:rsid w:val="00EB7F77"/>
    <w:rsid w:val="00EC011F"/>
    <w:rsid w:val="00EC204E"/>
    <w:rsid w:val="00EC22F7"/>
    <w:rsid w:val="00EC2509"/>
    <w:rsid w:val="00EC32C1"/>
    <w:rsid w:val="00EC38F1"/>
    <w:rsid w:val="00EC3F97"/>
    <w:rsid w:val="00EC407A"/>
    <w:rsid w:val="00EC4A23"/>
    <w:rsid w:val="00EC58D7"/>
    <w:rsid w:val="00EC6A43"/>
    <w:rsid w:val="00ED00AF"/>
    <w:rsid w:val="00ED0552"/>
    <w:rsid w:val="00ED1911"/>
    <w:rsid w:val="00ED2FC7"/>
    <w:rsid w:val="00ED318C"/>
    <w:rsid w:val="00ED358B"/>
    <w:rsid w:val="00ED442E"/>
    <w:rsid w:val="00ED48D0"/>
    <w:rsid w:val="00ED4A44"/>
    <w:rsid w:val="00ED4EC7"/>
    <w:rsid w:val="00ED5BC7"/>
    <w:rsid w:val="00ED6182"/>
    <w:rsid w:val="00ED6621"/>
    <w:rsid w:val="00ED6974"/>
    <w:rsid w:val="00ED6E68"/>
    <w:rsid w:val="00ED7FAC"/>
    <w:rsid w:val="00EE16FF"/>
    <w:rsid w:val="00EE190A"/>
    <w:rsid w:val="00EE3D86"/>
    <w:rsid w:val="00EE5ACE"/>
    <w:rsid w:val="00EE67FA"/>
    <w:rsid w:val="00EF0123"/>
    <w:rsid w:val="00EF058D"/>
    <w:rsid w:val="00EF06B1"/>
    <w:rsid w:val="00EF1048"/>
    <w:rsid w:val="00EF18C1"/>
    <w:rsid w:val="00EF1F35"/>
    <w:rsid w:val="00EF2894"/>
    <w:rsid w:val="00EF2FDD"/>
    <w:rsid w:val="00EF3973"/>
    <w:rsid w:val="00EF3F10"/>
    <w:rsid w:val="00EF4650"/>
    <w:rsid w:val="00EF4A80"/>
    <w:rsid w:val="00EF4E0A"/>
    <w:rsid w:val="00EF55A9"/>
    <w:rsid w:val="00EF5A18"/>
    <w:rsid w:val="00EF6062"/>
    <w:rsid w:val="00EF6737"/>
    <w:rsid w:val="00EF6830"/>
    <w:rsid w:val="00EF6993"/>
    <w:rsid w:val="00EF6D7F"/>
    <w:rsid w:val="00EF6F73"/>
    <w:rsid w:val="00EF7CCE"/>
    <w:rsid w:val="00F004B4"/>
    <w:rsid w:val="00F012CB"/>
    <w:rsid w:val="00F0160F"/>
    <w:rsid w:val="00F01A87"/>
    <w:rsid w:val="00F01CF2"/>
    <w:rsid w:val="00F0293E"/>
    <w:rsid w:val="00F0325A"/>
    <w:rsid w:val="00F038AB"/>
    <w:rsid w:val="00F03E0E"/>
    <w:rsid w:val="00F04512"/>
    <w:rsid w:val="00F04653"/>
    <w:rsid w:val="00F05A09"/>
    <w:rsid w:val="00F062C0"/>
    <w:rsid w:val="00F06CE1"/>
    <w:rsid w:val="00F06FF0"/>
    <w:rsid w:val="00F07042"/>
    <w:rsid w:val="00F07209"/>
    <w:rsid w:val="00F10A1D"/>
    <w:rsid w:val="00F135F4"/>
    <w:rsid w:val="00F13C1F"/>
    <w:rsid w:val="00F14423"/>
    <w:rsid w:val="00F14D9D"/>
    <w:rsid w:val="00F1502F"/>
    <w:rsid w:val="00F1540F"/>
    <w:rsid w:val="00F157A7"/>
    <w:rsid w:val="00F15A50"/>
    <w:rsid w:val="00F15DAA"/>
    <w:rsid w:val="00F16923"/>
    <w:rsid w:val="00F17572"/>
    <w:rsid w:val="00F17CB0"/>
    <w:rsid w:val="00F17F7F"/>
    <w:rsid w:val="00F20C7F"/>
    <w:rsid w:val="00F213EE"/>
    <w:rsid w:val="00F219EC"/>
    <w:rsid w:val="00F21AD0"/>
    <w:rsid w:val="00F2239C"/>
    <w:rsid w:val="00F2297E"/>
    <w:rsid w:val="00F23C36"/>
    <w:rsid w:val="00F23C51"/>
    <w:rsid w:val="00F24084"/>
    <w:rsid w:val="00F24FFF"/>
    <w:rsid w:val="00F25A36"/>
    <w:rsid w:val="00F27863"/>
    <w:rsid w:val="00F27B99"/>
    <w:rsid w:val="00F31454"/>
    <w:rsid w:val="00F31EE3"/>
    <w:rsid w:val="00F32AD2"/>
    <w:rsid w:val="00F32E07"/>
    <w:rsid w:val="00F343DB"/>
    <w:rsid w:val="00F348D4"/>
    <w:rsid w:val="00F368D3"/>
    <w:rsid w:val="00F36EFD"/>
    <w:rsid w:val="00F37A54"/>
    <w:rsid w:val="00F403A2"/>
    <w:rsid w:val="00F40AF1"/>
    <w:rsid w:val="00F40F35"/>
    <w:rsid w:val="00F4159F"/>
    <w:rsid w:val="00F41831"/>
    <w:rsid w:val="00F4185C"/>
    <w:rsid w:val="00F4202A"/>
    <w:rsid w:val="00F43635"/>
    <w:rsid w:val="00F44EBC"/>
    <w:rsid w:val="00F452C8"/>
    <w:rsid w:val="00F46292"/>
    <w:rsid w:val="00F465F1"/>
    <w:rsid w:val="00F46BE0"/>
    <w:rsid w:val="00F47271"/>
    <w:rsid w:val="00F47FC8"/>
    <w:rsid w:val="00F50713"/>
    <w:rsid w:val="00F50986"/>
    <w:rsid w:val="00F50DC4"/>
    <w:rsid w:val="00F5102C"/>
    <w:rsid w:val="00F524B3"/>
    <w:rsid w:val="00F5266E"/>
    <w:rsid w:val="00F52D88"/>
    <w:rsid w:val="00F534F0"/>
    <w:rsid w:val="00F5402B"/>
    <w:rsid w:val="00F55E44"/>
    <w:rsid w:val="00F5649D"/>
    <w:rsid w:val="00F5794A"/>
    <w:rsid w:val="00F57A0B"/>
    <w:rsid w:val="00F6058E"/>
    <w:rsid w:val="00F622A7"/>
    <w:rsid w:val="00F62F7A"/>
    <w:rsid w:val="00F63676"/>
    <w:rsid w:val="00F64846"/>
    <w:rsid w:val="00F64BAF"/>
    <w:rsid w:val="00F64BF2"/>
    <w:rsid w:val="00F66D7A"/>
    <w:rsid w:val="00F67419"/>
    <w:rsid w:val="00F67C68"/>
    <w:rsid w:val="00F7057D"/>
    <w:rsid w:val="00F70A91"/>
    <w:rsid w:val="00F712D9"/>
    <w:rsid w:val="00F72B6E"/>
    <w:rsid w:val="00F73286"/>
    <w:rsid w:val="00F73877"/>
    <w:rsid w:val="00F74EC9"/>
    <w:rsid w:val="00F75DB6"/>
    <w:rsid w:val="00F76227"/>
    <w:rsid w:val="00F76BD7"/>
    <w:rsid w:val="00F76E6E"/>
    <w:rsid w:val="00F76FCE"/>
    <w:rsid w:val="00F800C5"/>
    <w:rsid w:val="00F8027D"/>
    <w:rsid w:val="00F802EC"/>
    <w:rsid w:val="00F80B75"/>
    <w:rsid w:val="00F81C6E"/>
    <w:rsid w:val="00F823E6"/>
    <w:rsid w:val="00F825BC"/>
    <w:rsid w:val="00F82814"/>
    <w:rsid w:val="00F83404"/>
    <w:rsid w:val="00F8394E"/>
    <w:rsid w:val="00F839D7"/>
    <w:rsid w:val="00F83ACF"/>
    <w:rsid w:val="00F84621"/>
    <w:rsid w:val="00F84B52"/>
    <w:rsid w:val="00F84D49"/>
    <w:rsid w:val="00F84F23"/>
    <w:rsid w:val="00F860FE"/>
    <w:rsid w:val="00F8682F"/>
    <w:rsid w:val="00F8701C"/>
    <w:rsid w:val="00F87095"/>
    <w:rsid w:val="00F900A3"/>
    <w:rsid w:val="00F90B14"/>
    <w:rsid w:val="00F91181"/>
    <w:rsid w:val="00F9152B"/>
    <w:rsid w:val="00F9319E"/>
    <w:rsid w:val="00F9344B"/>
    <w:rsid w:val="00F93F76"/>
    <w:rsid w:val="00F94CCD"/>
    <w:rsid w:val="00F958C8"/>
    <w:rsid w:val="00F9609E"/>
    <w:rsid w:val="00F9619B"/>
    <w:rsid w:val="00F9687F"/>
    <w:rsid w:val="00F975F3"/>
    <w:rsid w:val="00FA0CEB"/>
    <w:rsid w:val="00FA1CB0"/>
    <w:rsid w:val="00FA4FBD"/>
    <w:rsid w:val="00FA51DF"/>
    <w:rsid w:val="00FA74C2"/>
    <w:rsid w:val="00FA7D4D"/>
    <w:rsid w:val="00FB0373"/>
    <w:rsid w:val="00FB07D6"/>
    <w:rsid w:val="00FB0A12"/>
    <w:rsid w:val="00FB135C"/>
    <w:rsid w:val="00FB14D7"/>
    <w:rsid w:val="00FB2149"/>
    <w:rsid w:val="00FB279D"/>
    <w:rsid w:val="00FB2A7C"/>
    <w:rsid w:val="00FB30DA"/>
    <w:rsid w:val="00FB4096"/>
    <w:rsid w:val="00FB4A96"/>
    <w:rsid w:val="00FB5485"/>
    <w:rsid w:val="00FB5D5F"/>
    <w:rsid w:val="00FB5D74"/>
    <w:rsid w:val="00FB7337"/>
    <w:rsid w:val="00FC05F9"/>
    <w:rsid w:val="00FC1509"/>
    <w:rsid w:val="00FC1968"/>
    <w:rsid w:val="00FC20AC"/>
    <w:rsid w:val="00FC2726"/>
    <w:rsid w:val="00FC37F6"/>
    <w:rsid w:val="00FC46D7"/>
    <w:rsid w:val="00FC4C7E"/>
    <w:rsid w:val="00FC5670"/>
    <w:rsid w:val="00FC5F23"/>
    <w:rsid w:val="00FC6690"/>
    <w:rsid w:val="00FC66DE"/>
    <w:rsid w:val="00FC6776"/>
    <w:rsid w:val="00FC6879"/>
    <w:rsid w:val="00FC789B"/>
    <w:rsid w:val="00FC7C6C"/>
    <w:rsid w:val="00FD0038"/>
    <w:rsid w:val="00FD01B1"/>
    <w:rsid w:val="00FD0845"/>
    <w:rsid w:val="00FD087C"/>
    <w:rsid w:val="00FD0899"/>
    <w:rsid w:val="00FD0A3E"/>
    <w:rsid w:val="00FD0C40"/>
    <w:rsid w:val="00FD139D"/>
    <w:rsid w:val="00FD1B92"/>
    <w:rsid w:val="00FD1D6A"/>
    <w:rsid w:val="00FD1F24"/>
    <w:rsid w:val="00FD2D1A"/>
    <w:rsid w:val="00FD32FF"/>
    <w:rsid w:val="00FD40A0"/>
    <w:rsid w:val="00FD415E"/>
    <w:rsid w:val="00FD5FC6"/>
    <w:rsid w:val="00FD60DB"/>
    <w:rsid w:val="00FD62BF"/>
    <w:rsid w:val="00FD69D5"/>
    <w:rsid w:val="00FD720F"/>
    <w:rsid w:val="00FD7395"/>
    <w:rsid w:val="00FD7772"/>
    <w:rsid w:val="00FD7848"/>
    <w:rsid w:val="00FE0B73"/>
    <w:rsid w:val="00FE1D05"/>
    <w:rsid w:val="00FE22FB"/>
    <w:rsid w:val="00FE23BD"/>
    <w:rsid w:val="00FE2593"/>
    <w:rsid w:val="00FE2BC3"/>
    <w:rsid w:val="00FE2ED8"/>
    <w:rsid w:val="00FE3A75"/>
    <w:rsid w:val="00FE3F18"/>
    <w:rsid w:val="00FE48A9"/>
    <w:rsid w:val="00FE5361"/>
    <w:rsid w:val="00FE6770"/>
    <w:rsid w:val="00FE7128"/>
    <w:rsid w:val="00FE7452"/>
    <w:rsid w:val="00FE772C"/>
    <w:rsid w:val="00FF0301"/>
    <w:rsid w:val="00FF0993"/>
    <w:rsid w:val="00FF0E74"/>
    <w:rsid w:val="00FF0FC2"/>
    <w:rsid w:val="00FF13D8"/>
    <w:rsid w:val="00FF3951"/>
    <w:rsid w:val="00FF478E"/>
    <w:rsid w:val="00FF48EC"/>
    <w:rsid w:val="00FF5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CE3FF0"/>
  <w15:chartTrackingRefBased/>
  <w15:docId w15:val="{24C1A1E5-34A6-424F-87A6-551D2448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5A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183790"/>
    <w:pPr>
      <w:pBdr>
        <w:top w:val="nil"/>
        <w:left w:val="nil"/>
        <w:bottom w:val="nil"/>
        <w:right w:val="nil"/>
        <w:between w:val="nil"/>
        <w:bar w:val="nil"/>
      </w:pBdr>
      <w:spacing w:after="0" w:line="240" w:lineRule="auto"/>
      <w:contextualSpacing/>
      <w:jc w:val="both"/>
      <w:outlineLvl w:val="0"/>
    </w:pPr>
    <w:rPr>
      <w:rFonts w:ascii="ITC Avant Garde" w:eastAsia="Times New Roman" w:hAnsi="ITC Avant Garde" w:cs="Arial"/>
      <w:b/>
      <w:color w:val="2F2F2F"/>
      <w:bdr w:val="nil"/>
      <w:lang w:eastAsia="es-MX"/>
    </w:rPr>
  </w:style>
  <w:style w:type="paragraph" w:styleId="Ttulo2">
    <w:name w:val="heading 2"/>
    <w:basedOn w:val="Normal"/>
    <w:next w:val="Normal"/>
    <w:link w:val="Ttulo2Car"/>
    <w:uiPriority w:val="9"/>
    <w:unhideWhenUsed/>
    <w:qFormat/>
    <w:rsid w:val="00183790"/>
    <w:pPr>
      <w:pBdr>
        <w:top w:val="nil"/>
        <w:left w:val="nil"/>
        <w:bottom w:val="nil"/>
        <w:right w:val="nil"/>
        <w:between w:val="nil"/>
        <w:bar w:val="nil"/>
      </w:pBdr>
      <w:spacing w:after="0" w:line="240" w:lineRule="auto"/>
      <w:contextualSpacing/>
      <w:jc w:val="center"/>
      <w:outlineLvl w:val="1"/>
    </w:pPr>
    <w:rPr>
      <w:rFonts w:ascii="ITC Avant Garde" w:eastAsia="Times New Roman" w:hAnsi="ITC Avant Garde" w:cs="Times"/>
      <w:b/>
      <w:color w:val="2F2F2F"/>
      <w:bdr w:val="nil"/>
      <w:lang w:eastAsia="es-MX"/>
    </w:rPr>
  </w:style>
  <w:style w:type="paragraph" w:styleId="Ttulo3">
    <w:name w:val="heading 3"/>
    <w:basedOn w:val="Ttulo2"/>
    <w:next w:val="Normal"/>
    <w:link w:val="Ttulo3Car"/>
    <w:uiPriority w:val="9"/>
    <w:unhideWhenUsed/>
    <w:qFormat/>
    <w:rsid w:val="00183790"/>
    <w:pPr>
      <w:numPr>
        <w:numId w:val="17"/>
      </w:numPr>
      <w:outlineLvl w:val="2"/>
    </w:pPr>
    <w:rPr>
      <w:sz w:val="24"/>
      <w:szCs w:val="24"/>
    </w:rPr>
  </w:style>
  <w:style w:type="paragraph" w:styleId="Ttulo4">
    <w:name w:val="heading 4"/>
    <w:basedOn w:val="Cuerpo"/>
    <w:next w:val="Normal"/>
    <w:link w:val="Ttulo4Car"/>
    <w:uiPriority w:val="9"/>
    <w:unhideWhenUsed/>
    <w:qFormat/>
    <w:rsid w:val="00183790"/>
    <w:pPr>
      <w:ind w:left="720" w:hanging="360"/>
      <w:contextualSpacing/>
      <w:jc w:val="both"/>
      <w:outlineLvl w:val="3"/>
    </w:pPr>
    <w:rPr>
      <w:rFonts w:hAnsi="Cambria"/>
      <w:b/>
      <w:bCs/>
      <w:sz w:val="22"/>
      <w:szCs w:val="22"/>
    </w:rPr>
  </w:style>
  <w:style w:type="paragraph" w:styleId="Ttulo5">
    <w:name w:val="heading 5"/>
    <w:basedOn w:val="Prrafodelista"/>
    <w:next w:val="Normal"/>
    <w:link w:val="Ttulo5Car"/>
    <w:uiPriority w:val="9"/>
    <w:unhideWhenUsed/>
    <w:qFormat/>
    <w:rsid w:val="00183790"/>
    <w:pPr>
      <w:pBdr>
        <w:top w:val="nil"/>
        <w:left w:val="nil"/>
        <w:bottom w:val="nil"/>
        <w:right w:val="nil"/>
        <w:between w:val="nil"/>
        <w:bar w:val="nil"/>
      </w:pBdr>
      <w:ind w:left="1440" w:hanging="360"/>
      <w:contextualSpacing/>
      <w:jc w:val="both"/>
      <w:outlineLvl w:val="4"/>
    </w:pPr>
    <w:rPr>
      <w:rFonts w:ascii="ITC Avant Garde" w:eastAsia="Arial Unicode MS" w:hAnsi="ITC Avant Garde" w:cs="Arial"/>
      <w:b/>
      <w:color w:val="000000"/>
      <w:sz w:val="22"/>
      <w:szCs w:val="22"/>
      <w:u w:color="000000"/>
      <w:bdr w:val="nil"/>
      <w:lang w:val="es-ES_tradnl"/>
    </w:rPr>
  </w:style>
  <w:style w:type="paragraph" w:styleId="Ttulo6">
    <w:name w:val="heading 6"/>
    <w:basedOn w:val="Prrafodelista"/>
    <w:next w:val="Normal"/>
    <w:link w:val="Ttulo6Car"/>
    <w:uiPriority w:val="9"/>
    <w:unhideWhenUsed/>
    <w:qFormat/>
    <w:rsid w:val="00183790"/>
    <w:pPr>
      <w:numPr>
        <w:numId w:val="16"/>
      </w:numPr>
      <w:pBdr>
        <w:top w:val="nil"/>
        <w:left w:val="nil"/>
        <w:bottom w:val="nil"/>
        <w:right w:val="nil"/>
        <w:between w:val="nil"/>
        <w:bar w:val="nil"/>
      </w:pBdr>
      <w:contextualSpacing/>
      <w:jc w:val="both"/>
      <w:outlineLvl w:val="5"/>
    </w:pPr>
    <w:rPr>
      <w:rFonts w:ascii="ITC Avant Garde" w:eastAsia="Arial Unicode MS" w:hAnsi="ITC Avant Garde" w:cs="Arial Unicode MS"/>
      <w:b/>
      <w:color w:val="000000"/>
      <w:sz w:val="22"/>
      <w:szCs w:val="22"/>
      <w:u w:color="000000"/>
      <w:bdr w:val="nil"/>
      <w:lang w:val="es-ES"/>
    </w:rPr>
  </w:style>
  <w:style w:type="paragraph" w:styleId="Ttulo7">
    <w:name w:val="heading 7"/>
    <w:basedOn w:val="Normal"/>
    <w:next w:val="Normal"/>
    <w:link w:val="Ttulo7Car"/>
    <w:uiPriority w:val="9"/>
    <w:unhideWhenUsed/>
    <w:qFormat/>
    <w:rsid w:val="00183790"/>
    <w:pPr>
      <w:tabs>
        <w:tab w:val="left" w:pos="1843"/>
      </w:tabs>
      <w:spacing w:after="0" w:line="240" w:lineRule="auto"/>
      <w:ind w:left="1701"/>
      <w:contextualSpacing/>
      <w:jc w:val="both"/>
      <w:outlineLvl w:val="6"/>
    </w:pPr>
    <w:rPr>
      <w:rFonts w:ascii="ITC Avant Garde" w:eastAsia="Arial Unicode MS" w:hAnsi="ITC Avant Garde"/>
      <w:b/>
      <w:bdr w:val="nil"/>
      <w:lang w:val="es-ES"/>
    </w:rPr>
  </w:style>
  <w:style w:type="paragraph" w:styleId="Ttulo8">
    <w:name w:val="heading 8"/>
    <w:basedOn w:val="Normal"/>
    <w:next w:val="Normal"/>
    <w:link w:val="Ttulo8Car"/>
    <w:uiPriority w:val="9"/>
    <w:unhideWhenUsed/>
    <w:qFormat/>
    <w:rsid w:val="00183790"/>
    <w:pPr>
      <w:keepNext/>
      <w:tabs>
        <w:tab w:val="left" w:pos="7655"/>
      </w:tabs>
      <w:spacing w:after="0" w:line="240" w:lineRule="auto"/>
      <w:ind w:right="49"/>
      <w:contextualSpacing/>
      <w:jc w:val="center"/>
      <w:outlineLvl w:val="7"/>
    </w:pPr>
    <w:rPr>
      <w:rFonts w:ascii="ITC Avant Garde" w:eastAsia="Arial Unicode MS" w:hAnsi="ITC Avant Garde"/>
      <w:b/>
      <w:color w:val="000000" w:themeColor="text1"/>
      <w:sz w:val="20"/>
      <w:szCs w:val="20"/>
      <w:bdr w:val="nil"/>
    </w:rPr>
  </w:style>
  <w:style w:type="paragraph" w:styleId="Ttulo9">
    <w:name w:val="heading 9"/>
    <w:basedOn w:val="Normal"/>
    <w:next w:val="Normal"/>
    <w:link w:val="Ttulo9Car"/>
    <w:uiPriority w:val="9"/>
    <w:unhideWhenUsed/>
    <w:qFormat/>
    <w:rsid w:val="00183790"/>
    <w:pPr>
      <w:keepNext/>
      <w:tabs>
        <w:tab w:val="left" w:pos="7655"/>
      </w:tabs>
      <w:spacing w:after="0" w:line="240" w:lineRule="auto"/>
      <w:ind w:right="49"/>
      <w:contextualSpacing/>
      <w:jc w:val="center"/>
      <w:outlineLvl w:val="8"/>
    </w:pPr>
    <w:rPr>
      <w:rFonts w:ascii="ITC Avant Garde" w:eastAsia="Arial Unicode MS" w:hAnsi="ITC Avant Garde"/>
      <w:b/>
      <w:bCs/>
      <w:color w:val="FFFFFF" w:themeColor="background1"/>
      <w:sz w:val="20"/>
      <w:szCs w:val="20"/>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tête SQ,base,Encabezado1,h,.üG·"/>
    <w:basedOn w:val="Normal"/>
    <w:link w:val="EncabezadoCar"/>
    <w:uiPriority w:val="99"/>
    <w:unhideWhenUsed/>
    <w:rsid w:val="005665A4"/>
    <w:pPr>
      <w:tabs>
        <w:tab w:val="center" w:pos="4419"/>
        <w:tab w:val="right" w:pos="8838"/>
      </w:tabs>
      <w:spacing w:after="0" w:line="240" w:lineRule="auto"/>
    </w:pPr>
  </w:style>
  <w:style w:type="character" w:customStyle="1" w:styleId="EncabezadoCar">
    <w:name w:val="Encabezado Car"/>
    <w:aliases w:val="En-tête SQ Car,base Car,Encabezado1 Car,h Car,.üG· Car"/>
    <w:basedOn w:val="Fuentedeprrafopredeter"/>
    <w:link w:val="Encabezado"/>
    <w:uiPriority w:val="99"/>
    <w:rsid w:val="005665A4"/>
    <w:rPr>
      <w:rFonts w:ascii="Calibri" w:eastAsia="Calibri" w:hAnsi="Calibri" w:cs="Times New Roman"/>
    </w:rPr>
  </w:style>
  <w:style w:type="paragraph" w:styleId="Piedepgina">
    <w:name w:val="footer"/>
    <w:basedOn w:val="Normal"/>
    <w:link w:val="PiedepginaCar"/>
    <w:uiPriority w:val="99"/>
    <w:unhideWhenUsed/>
    <w:rsid w:val="005665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5A4"/>
    <w:rPr>
      <w:rFonts w:ascii="Calibri" w:eastAsia="Calibri" w:hAnsi="Calibri" w:cs="Times New Roman"/>
    </w:rPr>
  </w:style>
  <w:style w:type="paragraph" w:styleId="NormalWeb">
    <w:name w:val="Normal (Web)"/>
    <w:basedOn w:val="Normal"/>
    <w:uiPriority w:val="99"/>
    <w:unhideWhenUsed/>
    <w:rsid w:val="005665A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5665A4"/>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Prrafodelista">
    <w:name w:val="List Paragraph"/>
    <w:aliases w:val="Numeración 1,Cuadrícula media 1 - Énfasis 21,4 Viñ 1nivel,Listas,lp1,Bullet List,FooterText,numbered,List Paragraph1,Paragraphe de liste1,Bulletr List Paragraph,列出段落,列出段落1,Lista general"/>
    <w:basedOn w:val="Normal"/>
    <w:link w:val="PrrafodelistaCar"/>
    <w:uiPriority w:val="34"/>
    <w:qFormat/>
    <w:rsid w:val="005665A4"/>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Bullet List Car,FooterText Car,numbered Car,List Paragraph1 Car,Paragraphe de liste1 Car,Bulletr List Paragraph Car,列出段落 Car,列出段落1 Car"/>
    <w:link w:val="Prrafodelista"/>
    <w:uiPriority w:val="34"/>
    <w:locked/>
    <w:rsid w:val="005665A4"/>
    <w:rPr>
      <w:rFonts w:ascii="Arial" w:eastAsia="Times New Roman" w:hAnsi="Arial" w:cs="Times New Roman"/>
      <w:sz w:val="24"/>
      <w:szCs w:val="20"/>
    </w:rPr>
  </w:style>
  <w:style w:type="paragraph" w:customStyle="1" w:styleId="Texto">
    <w:name w:val="Texto"/>
    <w:basedOn w:val="Normal"/>
    <w:link w:val="TextoCar"/>
    <w:rsid w:val="005665A4"/>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5665A4"/>
    <w:rPr>
      <w:rFonts w:ascii="Arial" w:eastAsia="Times New Roman" w:hAnsi="Arial" w:cs="Arial"/>
      <w:sz w:val="18"/>
      <w:szCs w:val="18"/>
      <w:lang w:val="es-ES" w:eastAsia="es-ES"/>
    </w:rPr>
  </w:style>
  <w:style w:type="character" w:styleId="Refdecomentario">
    <w:name w:val="annotation reference"/>
    <w:basedOn w:val="Fuentedeprrafopredeter"/>
    <w:uiPriority w:val="99"/>
    <w:unhideWhenUsed/>
    <w:rsid w:val="00BF1CDF"/>
    <w:rPr>
      <w:sz w:val="16"/>
      <w:szCs w:val="16"/>
    </w:rPr>
  </w:style>
  <w:style w:type="paragraph" w:styleId="Textocomentario">
    <w:name w:val="annotation text"/>
    <w:basedOn w:val="Normal"/>
    <w:link w:val="TextocomentarioCar"/>
    <w:uiPriority w:val="99"/>
    <w:unhideWhenUsed/>
    <w:rsid w:val="00BF1CDF"/>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BF1CDF"/>
    <w:rPr>
      <w:sz w:val="20"/>
      <w:szCs w:val="20"/>
    </w:rPr>
  </w:style>
  <w:style w:type="paragraph" w:styleId="Textodeglobo">
    <w:name w:val="Balloon Text"/>
    <w:basedOn w:val="Normal"/>
    <w:link w:val="TextodegloboCar"/>
    <w:uiPriority w:val="99"/>
    <w:semiHidden/>
    <w:unhideWhenUsed/>
    <w:rsid w:val="00BF1C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CDF"/>
    <w:rPr>
      <w:rFonts w:ascii="Segoe UI" w:eastAsia="Calibri" w:hAnsi="Segoe UI" w:cs="Segoe UI"/>
      <w:sz w:val="18"/>
      <w:szCs w:val="18"/>
    </w:rPr>
  </w:style>
  <w:style w:type="character" w:styleId="nfasis">
    <w:name w:val="Emphasis"/>
    <w:basedOn w:val="Fuentedeprrafopredeter"/>
    <w:uiPriority w:val="20"/>
    <w:qFormat/>
    <w:rsid w:val="00B0091D"/>
    <w:rPr>
      <w:i/>
      <w:iCs/>
    </w:rPr>
  </w:style>
  <w:style w:type="paragraph" w:styleId="Asuntodelcomentario">
    <w:name w:val="annotation subject"/>
    <w:basedOn w:val="Textocomentario"/>
    <w:next w:val="Textocomentario"/>
    <w:link w:val="AsuntodelcomentarioCar"/>
    <w:uiPriority w:val="99"/>
    <w:semiHidden/>
    <w:unhideWhenUsed/>
    <w:rsid w:val="006A7E86"/>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6A7E86"/>
    <w:rPr>
      <w:rFonts w:ascii="Calibri" w:eastAsia="Calibri" w:hAnsi="Calibri" w:cs="Times New Roman"/>
      <w:b/>
      <w:bCs/>
      <w:sz w:val="20"/>
      <w:szCs w:val="20"/>
    </w:rPr>
  </w:style>
  <w:style w:type="character" w:styleId="Textodelmarcadordeposicin">
    <w:name w:val="Placeholder Text"/>
    <w:basedOn w:val="Fuentedeprrafopredeter"/>
    <w:uiPriority w:val="99"/>
    <w:semiHidden/>
    <w:rsid w:val="00E6264F"/>
    <w:rPr>
      <w:color w:val="808080"/>
    </w:rPr>
  </w:style>
  <w:style w:type="paragraph" w:styleId="Revisin">
    <w:name w:val="Revision"/>
    <w:hidden/>
    <w:uiPriority w:val="99"/>
    <w:semiHidden/>
    <w:rsid w:val="00627B79"/>
    <w:pPr>
      <w:spacing w:after="0" w:line="240" w:lineRule="auto"/>
    </w:pPr>
    <w:rPr>
      <w:rFonts w:ascii="Calibri" w:eastAsia="Calibri" w:hAnsi="Calibri" w:cs="Times New Roman"/>
    </w:rPr>
  </w:style>
  <w:style w:type="paragraph" w:customStyle="1" w:styleId="TextoNormal">
    <w:name w:val="Texto Normal"/>
    <w:basedOn w:val="Normal"/>
    <w:link w:val="TextoNormalCar"/>
    <w:qFormat/>
    <w:rsid w:val="00A50BC1"/>
    <w:pPr>
      <w:pBdr>
        <w:top w:val="nil"/>
        <w:left w:val="nil"/>
        <w:bottom w:val="nil"/>
        <w:right w:val="nil"/>
        <w:between w:val="nil"/>
        <w:bar w:val="nil"/>
      </w:pBdr>
      <w:spacing w:after="0" w:line="240" w:lineRule="auto"/>
      <w:contextualSpacing/>
      <w:jc w:val="both"/>
    </w:pPr>
    <w:rPr>
      <w:rFonts w:ascii="Cambria" w:eastAsia="Arial Unicode MS" w:hAnsi="Cambria" w:cs="Arial Unicode MS"/>
      <w:color w:val="000000"/>
      <w:u w:color="000000"/>
      <w:bdr w:val="nil"/>
      <w:lang w:val="es-ES_tradnl"/>
    </w:rPr>
  </w:style>
  <w:style w:type="character" w:customStyle="1" w:styleId="TextoNormalCar">
    <w:name w:val="Texto Normal Car"/>
    <w:link w:val="TextoNormal"/>
    <w:rsid w:val="00A50BC1"/>
    <w:rPr>
      <w:rFonts w:ascii="Cambria" w:eastAsia="Arial Unicode MS" w:hAnsi="Cambria" w:cs="Arial Unicode MS"/>
      <w:color w:val="000000"/>
      <w:u w:color="000000"/>
      <w:bdr w:val="nil"/>
      <w:lang w:val="es-ES_tradnl"/>
    </w:rPr>
  </w:style>
  <w:style w:type="paragraph" w:customStyle="1" w:styleId="texto0">
    <w:name w:val="texto"/>
    <w:basedOn w:val="Normal"/>
    <w:rsid w:val="002053E7"/>
    <w:pPr>
      <w:spacing w:before="100" w:beforeAutospacing="1" w:after="100" w:afterAutospacing="1" w:line="240" w:lineRule="auto"/>
    </w:pPr>
    <w:rPr>
      <w:rFonts w:ascii="Times New Roman" w:eastAsia="Times New Roman" w:hAnsi="Times New Roman"/>
      <w:sz w:val="24"/>
      <w:szCs w:val="24"/>
      <w:lang w:eastAsia="es-MX"/>
    </w:rPr>
  </w:style>
  <w:style w:type="paragraph" w:styleId="Textosinformato">
    <w:name w:val="Plain Text"/>
    <w:basedOn w:val="Normal"/>
    <w:link w:val="TextosinformatoCar"/>
    <w:uiPriority w:val="99"/>
    <w:semiHidden/>
    <w:unhideWhenUsed/>
    <w:rsid w:val="002053E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extosinformatoCar">
    <w:name w:val="Texto sin formato Car"/>
    <w:basedOn w:val="Fuentedeprrafopredeter"/>
    <w:link w:val="Textosinformato"/>
    <w:uiPriority w:val="99"/>
    <w:semiHidden/>
    <w:rsid w:val="002053E7"/>
    <w:rPr>
      <w:rFonts w:ascii="Times New Roman" w:eastAsia="Times New Roman" w:hAnsi="Times New Roman" w:cs="Times New Roman"/>
      <w:sz w:val="24"/>
      <w:szCs w:val="24"/>
      <w:lang w:eastAsia="es-MX"/>
    </w:rPr>
  </w:style>
  <w:style w:type="table" w:styleId="Tablaconcuadrcula">
    <w:name w:val="Table Grid"/>
    <w:basedOn w:val="Tablanormal"/>
    <w:uiPriority w:val="39"/>
    <w:rsid w:val="004B2208"/>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753950"/>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753950"/>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753950"/>
    <w:rPr>
      <w:vertAlign w:val="superscript"/>
    </w:rPr>
  </w:style>
  <w:style w:type="table" w:styleId="Tabladecuadrcula4-nfasis6">
    <w:name w:val="Grid Table 4 Accent 6"/>
    <w:basedOn w:val="Tablanormal"/>
    <w:uiPriority w:val="49"/>
    <w:rsid w:val="003C6AC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independiente">
    <w:name w:val="Body Text"/>
    <w:basedOn w:val="Normal"/>
    <w:link w:val="TextoindependienteCar"/>
    <w:qFormat/>
    <w:rsid w:val="00B523DD"/>
    <w:pPr>
      <w:spacing w:after="240" w:line="240" w:lineRule="auto"/>
    </w:pPr>
    <w:rPr>
      <w:rFonts w:asciiTheme="minorHAnsi" w:eastAsiaTheme="minorEastAsia" w:hAnsiTheme="minorHAnsi" w:cstheme="minorBidi"/>
      <w:sz w:val="24"/>
      <w:szCs w:val="24"/>
      <w:lang w:val="en-GB" w:eastAsia="ja-JP"/>
    </w:rPr>
  </w:style>
  <w:style w:type="character" w:customStyle="1" w:styleId="TextoindependienteCar">
    <w:name w:val="Texto independiente Car"/>
    <w:basedOn w:val="Fuentedeprrafopredeter"/>
    <w:link w:val="Textoindependiente"/>
    <w:rsid w:val="00B523DD"/>
    <w:rPr>
      <w:rFonts w:eastAsiaTheme="minorEastAsia"/>
      <w:sz w:val="24"/>
      <w:szCs w:val="24"/>
      <w:lang w:val="en-GB" w:eastAsia="ja-JP"/>
    </w:rPr>
  </w:style>
  <w:style w:type="character" w:customStyle="1" w:styleId="Ttulo1Car">
    <w:name w:val="Título 1 Car"/>
    <w:basedOn w:val="Fuentedeprrafopredeter"/>
    <w:link w:val="Ttulo1"/>
    <w:uiPriority w:val="9"/>
    <w:rsid w:val="00183790"/>
    <w:rPr>
      <w:rFonts w:ascii="ITC Avant Garde" w:eastAsia="Times New Roman" w:hAnsi="ITC Avant Garde" w:cs="Arial"/>
      <w:b/>
      <w:color w:val="2F2F2F"/>
      <w:bdr w:val="nil"/>
      <w:lang w:eastAsia="es-MX"/>
    </w:rPr>
  </w:style>
  <w:style w:type="character" w:customStyle="1" w:styleId="Ttulo2Car">
    <w:name w:val="Título 2 Car"/>
    <w:basedOn w:val="Fuentedeprrafopredeter"/>
    <w:link w:val="Ttulo2"/>
    <w:uiPriority w:val="9"/>
    <w:rsid w:val="00183790"/>
    <w:rPr>
      <w:rFonts w:ascii="ITC Avant Garde" w:eastAsia="Times New Roman" w:hAnsi="ITC Avant Garde" w:cs="Times"/>
      <w:b/>
      <w:color w:val="2F2F2F"/>
      <w:bdr w:val="nil"/>
      <w:lang w:eastAsia="es-MX"/>
    </w:rPr>
  </w:style>
  <w:style w:type="character" w:customStyle="1" w:styleId="Ttulo3Car">
    <w:name w:val="Título 3 Car"/>
    <w:basedOn w:val="Fuentedeprrafopredeter"/>
    <w:link w:val="Ttulo3"/>
    <w:uiPriority w:val="9"/>
    <w:rsid w:val="00183790"/>
    <w:rPr>
      <w:rFonts w:ascii="ITC Avant Garde" w:eastAsia="Times New Roman" w:hAnsi="ITC Avant Garde" w:cs="Times"/>
      <w:b/>
      <w:color w:val="2F2F2F"/>
      <w:sz w:val="24"/>
      <w:szCs w:val="24"/>
      <w:bdr w:val="nil"/>
      <w:lang w:eastAsia="es-MX"/>
    </w:rPr>
  </w:style>
  <w:style w:type="character" w:customStyle="1" w:styleId="Ttulo4Car">
    <w:name w:val="Título 4 Car"/>
    <w:basedOn w:val="Fuentedeprrafopredeter"/>
    <w:link w:val="Ttulo4"/>
    <w:uiPriority w:val="9"/>
    <w:rsid w:val="00183790"/>
    <w:rPr>
      <w:rFonts w:ascii="Cambria" w:eastAsia="Arial Unicode MS" w:hAnsi="Cambria" w:cs="Arial Unicode MS"/>
      <w:b/>
      <w:bCs/>
      <w:color w:val="000000"/>
      <w:u w:color="000000"/>
      <w:bdr w:val="nil"/>
      <w:lang w:val="es-ES_tradnl"/>
    </w:rPr>
  </w:style>
  <w:style w:type="character" w:customStyle="1" w:styleId="Ttulo5Car">
    <w:name w:val="Título 5 Car"/>
    <w:basedOn w:val="Fuentedeprrafopredeter"/>
    <w:link w:val="Ttulo5"/>
    <w:uiPriority w:val="9"/>
    <w:rsid w:val="00183790"/>
    <w:rPr>
      <w:rFonts w:ascii="ITC Avant Garde" w:eastAsia="Arial Unicode MS" w:hAnsi="ITC Avant Garde" w:cs="Arial"/>
      <w:b/>
      <w:color w:val="000000"/>
      <w:u w:color="000000"/>
      <w:bdr w:val="nil"/>
      <w:lang w:val="es-ES_tradnl"/>
    </w:rPr>
  </w:style>
  <w:style w:type="character" w:customStyle="1" w:styleId="Ttulo6Car">
    <w:name w:val="Título 6 Car"/>
    <w:basedOn w:val="Fuentedeprrafopredeter"/>
    <w:link w:val="Ttulo6"/>
    <w:uiPriority w:val="9"/>
    <w:rsid w:val="00183790"/>
    <w:rPr>
      <w:rFonts w:ascii="ITC Avant Garde" w:eastAsia="Arial Unicode MS" w:hAnsi="ITC Avant Garde" w:cs="Arial Unicode MS"/>
      <w:b/>
      <w:color w:val="000000"/>
      <w:u w:color="000000"/>
      <w:bdr w:val="nil"/>
      <w:lang w:val="es-ES"/>
    </w:rPr>
  </w:style>
  <w:style w:type="character" w:customStyle="1" w:styleId="Ttulo7Car">
    <w:name w:val="Título 7 Car"/>
    <w:basedOn w:val="Fuentedeprrafopredeter"/>
    <w:link w:val="Ttulo7"/>
    <w:uiPriority w:val="9"/>
    <w:rsid w:val="00183790"/>
    <w:rPr>
      <w:rFonts w:ascii="ITC Avant Garde" w:eastAsia="Arial Unicode MS" w:hAnsi="ITC Avant Garde" w:cs="Times New Roman"/>
      <w:b/>
      <w:bdr w:val="nil"/>
      <w:lang w:val="es-ES"/>
    </w:rPr>
  </w:style>
  <w:style w:type="character" w:customStyle="1" w:styleId="Ttulo8Car">
    <w:name w:val="Título 8 Car"/>
    <w:basedOn w:val="Fuentedeprrafopredeter"/>
    <w:link w:val="Ttulo8"/>
    <w:uiPriority w:val="9"/>
    <w:rsid w:val="00183790"/>
    <w:rPr>
      <w:rFonts w:ascii="ITC Avant Garde" w:eastAsia="Arial Unicode MS" w:hAnsi="ITC Avant Garde" w:cs="Times New Roman"/>
      <w:b/>
      <w:color w:val="000000" w:themeColor="text1"/>
      <w:sz w:val="20"/>
      <w:szCs w:val="20"/>
      <w:bdr w:val="nil"/>
    </w:rPr>
  </w:style>
  <w:style w:type="character" w:customStyle="1" w:styleId="Ttulo9Car">
    <w:name w:val="Título 9 Car"/>
    <w:basedOn w:val="Fuentedeprrafopredeter"/>
    <w:link w:val="Ttulo9"/>
    <w:uiPriority w:val="9"/>
    <w:rsid w:val="00183790"/>
    <w:rPr>
      <w:rFonts w:ascii="ITC Avant Garde" w:eastAsia="Arial Unicode MS" w:hAnsi="ITC Avant Garde" w:cs="Times New Roman"/>
      <w:b/>
      <w:bCs/>
      <w:color w:val="FFFFFF" w:themeColor="background1"/>
      <w:sz w:val="20"/>
      <w:szCs w:val="20"/>
      <w:bdr w:val="nil"/>
    </w:rPr>
  </w:style>
  <w:style w:type="character" w:styleId="Hipervnculo">
    <w:name w:val="Hyperlink"/>
    <w:uiPriority w:val="99"/>
    <w:rsid w:val="00183790"/>
    <w:rPr>
      <w:u w:val="single"/>
    </w:rPr>
  </w:style>
  <w:style w:type="paragraph" w:customStyle="1" w:styleId="Cuerpo">
    <w:name w:val="Cuerpo"/>
    <w:link w:val="CuerpoCar"/>
    <w:rsid w:val="00183790"/>
    <w:pPr>
      <w:pBdr>
        <w:top w:val="nil"/>
        <w:left w:val="nil"/>
        <w:bottom w:val="nil"/>
        <w:right w:val="nil"/>
        <w:between w:val="nil"/>
        <w:bar w:val="nil"/>
      </w:pBdr>
      <w:spacing w:after="0" w:line="240" w:lineRule="auto"/>
    </w:pPr>
    <w:rPr>
      <w:rFonts w:ascii="Cambria" w:eastAsia="Arial Unicode MS" w:hAnsi="Arial Unicode MS" w:cs="Arial Unicode MS"/>
      <w:color w:val="000000"/>
      <w:sz w:val="24"/>
      <w:szCs w:val="24"/>
      <w:u w:color="000000"/>
      <w:bdr w:val="nil"/>
      <w:lang w:val="es-ES_tradnl"/>
    </w:rPr>
  </w:style>
  <w:style w:type="character" w:styleId="Nmerodepgina">
    <w:name w:val="page number"/>
    <w:rsid w:val="00183790"/>
    <w:rPr>
      <w:lang w:val="es-ES_tradnl"/>
    </w:rPr>
  </w:style>
  <w:style w:type="numbering" w:customStyle="1" w:styleId="List0">
    <w:name w:val="List 0"/>
    <w:basedOn w:val="Estiloimportado1"/>
    <w:rsid w:val="00183790"/>
    <w:pPr>
      <w:numPr>
        <w:numId w:val="4"/>
      </w:numPr>
    </w:pPr>
  </w:style>
  <w:style w:type="numbering" w:customStyle="1" w:styleId="Estiloimportado1">
    <w:name w:val="Estilo importado 1"/>
    <w:rsid w:val="00183790"/>
  </w:style>
  <w:style w:type="numbering" w:customStyle="1" w:styleId="Guin">
    <w:name w:val="Guión"/>
    <w:rsid w:val="00183790"/>
    <w:pPr>
      <w:numPr>
        <w:numId w:val="5"/>
      </w:numPr>
    </w:pPr>
  </w:style>
  <w:style w:type="paragraph" w:customStyle="1" w:styleId="Poromisin">
    <w:name w:val="Por omisión"/>
    <w:rsid w:val="00183790"/>
    <w:pPr>
      <w:pBdr>
        <w:top w:val="nil"/>
        <w:left w:val="nil"/>
        <w:bottom w:val="nil"/>
        <w:right w:val="nil"/>
        <w:between w:val="nil"/>
        <w:bar w:val="nil"/>
      </w:pBdr>
      <w:spacing w:after="0" w:line="240" w:lineRule="auto"/>
    </w:pPr>
    <w:rPr>
      <w:rFonts w:ascii="Helvetica" w:eastAsia="Helvetica" w:hAnsi="Helvetica" w:cs="Helvetica"/>
      <w:color w:val="000000"/>
      <w:bdr w:val="nil"/>
      <w:lang w:val="es-ES_tradnl"/>
    </w:rPr>
  </w:style>
  <w:style w:type="numbering" w:customStyle="1" w:styleId="List1">
    <w:name w:val="List 1"/>
    <w:basedOn w:val="Estiloimportado6"/>
    <w:rsid w:val="00183790"/>
    <w:pPr>
      <w:numPr>
        <w:numId w:val="6"/>
      </w:numPr>
    </w:pPr>
  </w:style>
  <w:style w:type="numbering" w:customStyle="1" w:styleId="Estiloimportado6">
    <w:name w:val="Estilo importado 6"/>
    <w:rsid w:val="00183790"/>
  </w:style>
  <w:style w:type="paragraph" w:customStyle="1" w:styleId="Estilodetabla2">
    <w:name w:val="Estilo de tabla 2"/>
    <w:rsid w:val="00183790"/>
    <w:pPr>
      <w:pBdr>
        <w:top w:val="nil"/>
        <w:left w:val="nil"/>
        <w:bottom w:val="nil"/>
        <w:right w:val="nil"/>
        <w:between w:val="nil"/>
        <w:bar w:val="nil"/>
      </w:pBdr>
      <w:spacing w:after="0" w:line="240" w:lineRule="auto"/>
    </w:pPr>
    <w:rPr>
      <w:rFonts w:ascii="Helvetica" w:eastAsia="Helvetica" w:hAnsi="Helvetica" w:cs="Helvetica"/>
      <w:color w:val="000000"/>
      <w:sz w:val="24"/>
      <w:szCs w:val="24"/>
      <w:bdr w:val="nil"/>
      <w:lang w:val="es-ES_tradnl"/>
    </w:rPr>
  </w:style>
  <w:style w:type="character" w:customStyle="1" w:styleId="Hyperlink0">
    <w:name w:val="Hyperlink.0"/>
    <w:rsid w:val="00183790"/>
    <w:rPr>
      <w:color w:val="0000FF"/>
      <w:u w:val="single" w:color="0000FF"/>
    </w:rPr>
  </w:style>
  <w:style w:type="paragraph" w:customStyle="1" w:styleId="Encabezamiento2">
    <w:name w:val="Encabezamiento 2"/>
    <w:next w:val="Cuerpo"/>
    <w:rsid w:val="00183790"/>
    <w:pPr>
      <w:keepNext/>
      <w:keepLines/>
      <w:pBdr>
        <w:top w:val="nil"/>
        <w:left w:val="nil"/>
        <w:bottom w:val="nil"/>
        <w:right w:val="nil"/>
        <w:between w:val="nil"/>
        <w:bar w:val="nil"/>
      </w:pBdr>
      <w:spacing w:before="200" w:after="0" w:line="276" w:lineRule="auto"/>
      <w:outlineLvl w:val="1"/>
    </w:pPr>
    <w:rPr>
      <w:rFonts w:ascii="Calibri" w:eastAsia="Arial Unicode MS" w:hAnsi="Arial Unicode MS" w:cs="Arial Unicode MS"/>
      <w:b/>
      <w:bCs/>
      <w:color w:val="4F81BD"/>
      <w:sz w:val="26"/>
      <w:szCs w:val="26"/>
      <w:u w:color="4F81BD"/>
      <w:bdr w:val="nil"/>
      <w:lang w:val="es-ES_tradnl"/>
    </w:rPr>
  </w:style>
  <w:style w:type="paragraph" w:customStyle="1" w:styleId="Encabezamiento3">
    <w:name w:val="Encabezamiento 3"/>
    <w:next w:val="Cuerpo"/>
    <w:rsid w:val="00183790"/>
    <w:pPr>
      <w:keepNext/>
      <w:keepLines/>
      <w:pBdr>
        <w:top w:val="nil"/>
        <w:left w:val="nil"/>
        <w:bottom w:val="nil"/>
        <w:right w:val="nil"/>
        <w:between w:val="nil"/>
        <w:bar w:val="nil"/>
      </w:pBdr>
      <w:spacing w:before="200" w:after="0" w:line="276" w:lineRule="auto"/>
      <w:outlineLvl w:val="2"/>
    </w:pPr>
    <w:rPr>
      <w:rFonts w:ascii="Calibri" w:eastAsia="Arial Unicode MS" w:hAnsi="Arial Unicode MS" w:cs="Arial Unicode MS"/>
      <w:b/>
      <w:bCs/>
      <w:color w:val="4F81BD"/>
      <w:u w:color="4F81BD"/>
      <w:bdr w:val="nil"/>
      <w:lang w:val="es-ES_tradnl"/>
    </w:rPr>
  </w:style>
  <w:style w:type="numbering" w:customStyle="1" w:styleId="List21">
    <w:name w:val="List 21"/>
    <w:basedOn w:val="Estiloimportado9"/>
    <w:rsid w:val="00183790"/>
    <w:pPr>
      <w:numPr>
        <w:numId w:val="7"/>
      </w:numPr>
    </w:pPr>
  </w:style>
  <w:style w:type="numbering" w:customStyle="1" w:styleId="Estiloimportado9">
    <w:name w:val="Estilo importado 9"/>
    <w:rsid w:val="00183790"/>
  </w:style>
  <w:style w:type="paragraph" w:styleId="Sinespaciado">
    <w:name w:val="No Spacing"/>
    <w:uiPriority w:val="99"/>
    <w:qFormat/>
    <w:rsid w:val="00183790"/>
    <w:pPr>
      <w:pBdr>
        <w:top w:val="nil"/>
        <w:left w:val="nil"/>
        <w:bottom w:val="nil"/>
        <w:right w:val="nil"/>
        <w:between w:val="nil"/>
        <w:bar w:val="nil"/>
      </w:pBdr>
      <w:spacing w:after="0" w:line="240" w:lineRule="auto"/>
    </w:pPr>
    <w:rPr>
      <w:rFonts w:ascii="Cambria" w:eastAsia="Cambria" w:hAnsi="Cambria" w:cs="Cambria"/>
      <w:color w:val="000000"/>
      <w:u w:color="000000"/>
      <w:bdr w:val="nil"/>
      <w:lang w:val="es-ES_tradnl"/>
    </w:rPr>
  </w:style>
  <w:style w:type="numbering" w:customStyle="1" w:styleId="List31">
    <w:name w:val="List 31"/>
    <w:basedOn w:val="Estiloimportado90"/>
    <w:rsid w:val="00183790"/>
    <w:pPr>
      <w:numPr>
        <w:numId w:val="8"/>
      </w:numPr>
    </w:pPr>
  </w:style>
  <w:style w:type="numbering" w:customStyle="1" w:styleId="Estiloimportado90">
    <w:name w:val="Estilo importado 9.0"/>
    <w:rsid w:val="00183790"/>
  </w:style>
  <w:style w:type="numbering" w:customStyle="1" w:styleId="List41">
    <w:name w:val="List 41"/>
    <w:basedOn w:val="Estiloimportado91"/>
    <w:rsid w:val="00183790"/>
    <w:pPr>
      <w:numPr>
        <w:numId w:val="14"/>
      </w:numPr>
    </w:pPr>
  </w:style>
  <w:style w:type="numbering" w:customStyle="1" w:styleId="Estiloimportado91">
    <w:name w:val="Estilo importado 9.1"/>
    <w:rsid w:val="00183790"/>
  </w:style>
  <w:style w:type="numbering" w:customStyle="1" w:styleId="List51">
    <w:name w:val="List 51"/>
    <w:basedOn w:val="Estiloimportado92"/>
    <w:rsid w:val="00183790"/>
    <w:pPr>
      <w:numPr>
        <w:numId w:val="9"/>
      </w:numPr>
    </w:pPr>
  </w:style>
  <w:style w:type="numbering" w:customStyle="1" w:styleId="Estiloimportado92">
    <w:name w:val="Estilo importado 9.2"/>
    <w:rsid w:val="00183790"/>
  </w:style>
  <w:style w:type="numbering" w:customStyle="1" w:styleId="List6">
    <w:name w:val="List 6"/>
    <w:basedOn w:val="Estiloimportado93"/>
    <w:rsid w:val="00183790"/>
    <w:pPr>
      <w:numPr>
        <w:numId w:val="10"/>
      </w:numPr>
    </w:pPr>
  </w:style>
  <w:style w:type="numbering" w:customStyle="1" w:styleId="Estiloimportado93">
    <w:name w:val="Estilo importado 9.3"/>
    <w:rsid w:val="00183790"/>
  </w:style>
  <w:style w:type="numbering" w:customStyle="1" w:styleId="List7">
    <w:name w:val="List 7"/>
    <w:basedOn w:val="Estiloimportado94"/>
    <w:rsid w:val="00183790"/>
    <w:pPr>
      <w:numPr>
        <w:numId w:val="11"/>
      </w:numPr>
    </w:pPr>
  </w:style>
  <w:style w:type="numbering" w:customStyle="1" w:styleId="Estiloimportado94">
    <w:name w:val="Estilo importado 9.4"/>
    <w:rsid w:val="00183790"/>
  </w:style>
  <w:style w:type="numbering" w:customStyle="1" w:styleId="List8">
    <w:name w:val="List 8"/>
    <w:basedOn w:val="Estiloimportado95"/>
    <w:rsid w:val="00183790"/>
    <w:pPr>
      <w:numPr>
        <w:numId w:val="12"/>
      </w:numPr>
    </w:pPr>
  </w:style>
  <w:style w:type="numbering" w:customStyle="1" w:styleId="Estiloimportado95">
    <w:name w:val="Estilo importado 9.5"/>
    <w:rsid w:val="00183790"/>
  </w:style>
  <w:style w:type="numbering" w:customStyle="1" w:styleId="List9">
    <w:name w:val="List 9"/>
    <w:basedOn w:val="Estiloimportado91"/>
    <w:rsid w:val="00183790"/>
    <w:pPr>
      <w:numPr>
        <w:numId w:val="15"/>
      </w:numPr>
    </w:pPr>
  </w:style>
  <w:style w:type="numbering" w:customStyle="1" w:styleId="List10">
    <w:name w:val="List 10"/>
    <w:basedOn w:val="Estiloimportado91"/>
    <w:rsid w:val="00183790"/>
    <w:pPr>
      <w:numPr>
        <w:numId w:val="13"/>
      </w:numPr>
    </w:pPr>
  </w:style>
  <w:style w:type="paragraph" w:styleId="Textonotaalfinal">
    <w:name w:val="endnote text"/>
    <w:basedOn w:val="Normal"/>
    <w:link w:val="TextonotaalfinalCar"/>
    <w:rsid w:val="00183790"/>
    <w:pPr>
      <w:spacing w:after="0" w:line="240" w:lineRule="auto"/>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rsid w:val="00183790"/>
    <w:rPr>
      <w:rFonts w:ascii="Times New Roman" w:eastAsia="Times New Roman" w:hAnsi="Times New Roman" w:cs="Times New Roman"/>
      <w:sz w:val="20"/>
      <w:szCs w:val="20"/>
      <w:lang w:val="es-ES" w:eastAsia="es-ES"/>
    </w:rPr>
  </w:style>
  <w:style w:type="paragraph" w:styleId="TtulodeTDC">
    <w:name w:val="TOC Heading"/>
    <w:basedOn w:val="Ttulo1"/>
    <w:next w:val="Normal"/>
    <w:uiPriority w:val="39"/>
    <w:unhideWhenUsed/>
    <w:qFormat/>
    <w:rsid w:val="0018379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DC2">
    <w:name w:val="toc 2"/>
    <w:basedOn w:val="Normal"/>
    <w:next w:val="Normal"/>
    <w:autoRedefine/>
    <w:uiPriority w:val="39"/>
    <w:unhideWhenUsed/>
    <w:rsid w:val="00183790"/>
    <w:pPr>
      <w:pBdr>
        <w:top w:val="nil"/>
        <w:left w:val="nil"/>
        <w:bottom w:val="nil"/>
        <w:right w:val="nil"/>
        <w:between w:val="nil"/>
        <w:bar w:val="nil"/>
      </w:pBdr>
      <w:tabs>
        <w:tab w:val="right" w:leader="dot" w:pos="8630"/>
      </w:tabs>
      <w:spacing w:after="100" w:line="240" w:lineRule="auto"/>
      <w:ind w:left="142"/>
    </w:pPr>
    <w:rPr>
      <w:rFonts w:ascii="Times New Roman" w:eastAsia="Arial Unicode MS" w:hAnsi="Times New Roman"/>
      <w:sz w:val="24"/>
      <w:szCs w:val="24"/>
      <w:bdr w:val="nil"/>
    </w:rPr>
  </w:style>
  <w:style w:type="paragraph" w:styleId="TDC3">
    <w:name w:val="toc 3"/>
    <w:basedOn w:val="Normal"/>
    <w:next w:val="Normal"/>
    <w:autoRedefine/>
    <w:uiPriority w:val="39"/>
    <w:unhideWhenUsed/>
    <w:rsid w:val="00183790"/>
    <w:pPr>
      <w:pBdr>
        <w:top w:val="nil"/>
        <w:left w:val="nil"/>
        <w:bottom w:val="nil"/>
        <w:right w:val="nil"/>
        <w:between w:val="nil"/>
        <w:bar w:val="nil"/>
      </w:pBdr>
      <w:spacing w:after="100" w:line="240" w:lineRule="auto"/>
      <w:ind w:left="480"/>
    </w:pPr>
    <w:rPr>
      <w:rFonts w:ascii="Times New Roman" w:eastAsia="Arial Unicode MS" w:hAnsi="Times New Roman"/>
      <w:sz w:val="24"/>
      <w:szCs w:val="24"/>
      <w:bdr w:val="nil"/>
    </w:rPr>
  </w:style>
  <w:style w:type="paragraph" w:styleId="TDC1">
    <w:name w:val="toc 1"/>
    <w:basedOn w:val="Normal"/>
    <w:next w:val="Normal"/>
    <w:autoRedefine/>
    <w:uiPriority w:val="39"/>
    <w:unhideWhenUsed/>
    <w:rsid w:val="00183790"/>
    <w:pPr>
      <w:pBdr>
        <w:top w:val="nil"/>
        <w:left w:val="nil"/>
        <w:bottom w:val="nil"/>
        <w:right w:val="nil"/>
        <w:between w:val="nil"/>
        <w:bar w:val="nil"/>
      </w:pBdr>
      <w:spacing w:after="100" w:line="240" w:lineRule="auto"/>
    </w:pPr>
    <w:rPr>
      <w:rFonts w:ascii="Times New Roman" w:eastAsia="Arial Unicode MS" w:hAnsi="Times New Roman"/>
      <w:sz w:val="24"/>
      <w:szCs w:val="24"/>
      <w:bdr w:val="nil"/>
    </w:rPr>
  </w:style>
  <w:style w:type="paragraph" w:styleId="TDC4">
    <w:name w:val="toc 4"/>
    <w:basedOn w:val="Normal"/>
    <w:next w:val="Normal"/>
    <w:autoRedefine/>
    <w:uiPriority w:val="39"/>
    <w:unhideWhenUsed/>
    <w:rsid w:val="00183790"/>
    <w:pPr>
      <w:spacing w:after="100" w:line="259" w:lineRule="auto"/>
      <w:ind w:left="660"/>
    </w:pPr>
    <w:rPr>
      <w:rFonts w:ascii="Helvetica" w:eastAsia="Helvetica" w:hAnsi="Helvetica"/>
      <w:lang w:eastAsia="es-MX"/>
    </w:rPr>
  </w:style>
  <w:style w:type="character" w:customStyle="1" w:styleId="CuerpoCar">
    <w:name w:val="Cuerpo Car"/>
    <w:link w:val="Cuerpo"/>
    <w:rsid w:val="00183790"/>
    <w:rPr>
      <w:rFonts w:ascii="Cambria" w:eastAsia="Arial Unicode MS" w:hAnsi="Arial Unicode MS" w:cs="Arial Unicode MS"/>
      <w:color w:val="000000"/>
      <w:sz w:val="24"/>
      <w:szCs w:val="24"/>
      <w:u w:color="000000"/>
      <w:bdr w:val="nil"/>
      <w:lang w:val="es-ES_tradnl"/>
    </w:rPr>
  </w:style>
  <w:style w:type="paragraph" w:styleId="TDC5">
    <w:name w:val="toc 5"/>
    <w:basedOn w:val="Normal"/>
    <w:next w:val="Normal"/>
    <w:autoRedefine/>
    <w:uiPriority w:val="39"/>
    <w:unhideWhenUsed/>
    <w:rsid w:val="00183790"/>
    <w:pPr>
      <w:spacing w:after="100" w:line="259" w:lineRule="auto"/>
      <w:ind w:left="880"/>
    </w:pPr>
    <w:rPr>
      <w:rFonts w:ascii="Helvetica" w:eastAsia="Helvetica" w:hAnsi="Helvetica"/>
      <w:lang w:eastAsia="es-MX"/>
    </w:rPr>
  </w:style>
  <w:style w:type="paragraph" w:styleId="TDC6">
    <w:name w:val="toc 6"/>
    <w:basedOn w:val="Normal"/>
    <w:next w:val="Normal"/>
    <w:autoRedefine/>
    <w:uiPriority w:val="39"/>
    <w:unhideWhenUsed/>
    <w:rsid w:val="00183790"/>
    <w:pPr>
      <w:spacing w:after="100" w:line="259" w:lineRule="auto"/>
      <w:ind w:left="1100"/>
    </w:pPr>
    <w:rPr>
      <w:rFonts w:ascii="Helvetica" w:eastAsia="Helvetica" w:hAnsi="Helvetica"/>
      <w:lang w:eastAsia="es-MX"/>
    </w:rPr>
  </w:style>
  <w:style w:type="paragraph" w:styleId="TDC7">
    <w:name w:val="toc 7"/>
    <w:basedOn w:val="Normal"/>
    <w:next w:val="Normal"/>
    <w:autoRedefine/>
    <w:uiPriority w:val="39"/>
    <w:unhideWhenUsed/>
    <w:rsid w:val="00183790"/>
    <w:pPr>
      <w:spacing w:after="100" w:line="259" w:lineRule="auto"/>
      <w:ind w:left="1320"/>
    </w:pPr>
    <w:rPr>
      <w:rFonts w:ascii="Helvetica" w:eastAsia="Helvetica" w:hAnsi="Helvetica"/>
      <w:lang w:eastAsia="es-MX"/>
    </w:rPr>
  </w:style>
  <w:style w:type="paragraph" w:styleId="TDC8">
    <w:name w:val="toc 8"/>
    <w:basedOn w:val="Normal"/>
    <w:next w:val="Normal"/>
    <w:autoRedefine/>
    <w:uiPriority w:val="39"/>
    <w:unhideWhenUsed/>
    <w:rsid w:val="00183790"/>
    <w:pPr>
      <w:spacing w:after="100" w:line="259" w:lineRule="auto"/>
      <w:ind w:left="1540"/>
    </w:pPr>
    <w:rPr>
      <w:rFonts w:ascii="Helvetica" w:eastAsia="Helvetica" w:hAnsi="Helvetica"/>
      <w:lang w:eastAsia="es-MX"/>
    </w:rPr>
  </w:style>
  <w:style w:type="paragraph" w:styleId="TDC9">
    <w:name w:val="toc 9"/>
    <w:basedOn w:val="Normal"/>
    <w:next w:val="Normal"/>
    <w:autoRedefine/>
    <w:uiPriority w:val="39"/>
    <w:unhideWhenUsed/>
    <w:rsid w:val="00183790"/>
    <w:pPr>
      <w:spacing w:after="100" w:line="259" w:lineRule="auto"/>
      <w:ind w:left="1760"/>
    </w:pPr>
    <w:rPr>
      <w:rFonts w:ascii="Helvetica" w:eastAsia="Helvetica" w:hAnsi="Helvetica"/>
      <w:lang w:eastAsia="es-MX"/>
    </w:rPr>
  </w:style>
  <w:style w:type="paragraph" w:customStyle="1" w:styleId="Transcripcin">
    <w:name w:val="Transcripción"/>
    <w:basedOn w:val="Cuerpo"/>
    <w:link w:val="TranscripcinCar"/>
    <w:qFormat/>
    <w:rsid w:val="00183790"/>
    <w:pPr>
      <w:ind w:left="567"/>
      <w:contextualSpacing/>
      <w:jc w:val="both"/>
    </w:pPr>
    <w:rPr>
      <w:rFonts w:hAnsi="Cambria"/>
      <w:i/>
      <w:sz w:val="20"/>
      <w:szCs w:val="22"/>
      <w:lang w:val="es-ES"/>
    </w:rPr>
  </w:style>
  <w:style w:type="paragraph" w:customStyle="1" w:styleId="Bullets">
    <w:name w:val="Bullets"/>
    <w:basedOn w:val="TextoNormal"/>
    <w:link w:val="BulletsCar"/>
    <w:qFormat/>
    <w:rsid w:val="00183790"/>
    <w:pPr>
      <w:ind w:left="1134" w:hanging="567"/>
    </w:pPr>
  </w:style>
  <w:style w:type="character" w:customStyle="1" w:styleId="TranscripcinCar">
    <w:name w:val="Transcripción Car"/>
    <w:link w:val="Transcripcin"/>
    <w:rsid w:val="00183790"/>
    <w:rPr>
      <w:rFonts w:ascii="Cambria" w:eastAsia="Arial Unicode MS" w:hAnsi="Cambria" w:cs="Arial Unicode MS"/>
      <w:i/>
      <w:color w:val="000000"/>
      <w:sz w:val="20"/>
      <w:u w:color="000000"/>
      <w:bdr w:val="nil"/>
      <w:lang w:val="es-ES"/>
    </w:rPr>
  </w:style>
  <w:style w:type="table" w:customStyle="1" w:styleId="Tabladecuadrcula5oscura-nfasis21">
    <w:name w:val="Tabla de cuadrícula 5 oscura - Énfasis 21"/>
    <w:basedOn w:val="Tablanormal"/>
    <w:uiPriority w:val="50"/>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F3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C03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C03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C03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C038"/>
      </w:tcPr>
    </w:tblStylePr>
    <w:tblStylePr w:type="band1Vert">
      <w:tblPr/>
      <w:tcPr>
        <w:shd w:val="clear" w:color="auto" w:fill="C4E7AD"/>
      </w:tcPr>
    </w:tblStylePr>
    <w:tblStylePr w:type="band1Horz">
      <w:tblPr/>
      <w:tcPr>
        <w:shd w:val="clear" w:color="auto" w:fill="C4E7AD"/>
      </w:tcPr>
    </w:tblStylePr>
  </w:style>
  <w:style w:type="character" w:customStyle="1" w:styleId="BulletsCar">
    <w:name w:val="Bullets Car"/>
    <w:link w:val="Bullets"/>
    <w:rsid w:val="00183790"/>
    <w:rPr>
      <w:rFonts w:ascii="Cambria" w:eastAsia="Arial Unicode MS" w:hAnsi="Cambria" w:cs="Arial Unicode MS"/>
      <w:color w:val="000000"/>
      <w:u w:color="000000"/>
      <w:bdr w:val="nil"/>
      <w:lang w:val="es-ES_tradnl"/>
    </w:rPr>
  </w:style>
  <w:style w:type="table" w:customStyle="1" w:styleId="Tabladecuadrcula1clara1">
    <w:name w:val="Tabla de cuadrícula 1 clara1"/>
    <w:basedOn w:val="Tablanormal"/>
    <w:uiPriority w:val="46"/>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ipervnculovisitado">
    <w:name w:val="FollowedHyperlink"/>
    <w:uiPriority w:val="99"/>
    <w:semiHidden/>
    <w:unhideWhenUsed/>
    <w:rsid w:val="00183790"/>
    <w:rPr>
      <w:color w:val="FF00FF"/>
      <w:u w:val="single"/>
    </w:rPr>
  </w:style>
  <w:style w:type="paragraph" w:customStyle="1" w:styleId="Headingb">
    <w:name w:val="Heading_b"/>
    <w:basedOn w:val="Ttulo3"/>
    <w:next w:val="Normal"/>
    <w:link w:val="HeadingbChar"/>
    <w:rsid w:val="0018379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94"/>
        <w:tab w:val="left" w:pos="1191"/>
        <w:tab w:val="left" w:pos="1588"/>
        <w:tab w:val="left" w:pos="1985"/>
      </w:tabs>
      <w:overflowPunct w:val="0"/>
      <w:autoSpaceDE w:val="0"/>
      <w:autoSpaceDN w:val="0"/>
      <w:adjustRightInd w:val="0"/>
      <w:spacing w:before="160"/>
      <w:contextualSpacing w:val="0"/>
      <w:textAlignment w:val="baseline"/>
      <w:outlineLvl w:val="9"/>
    </w:pPr>
    <w:rPr>
      <w:rFonts w:ascii="Times New Roman" w:hAnsi="Times New Roman" w:cs="Times New Roman"/>
      <w:bCs/>
      <w:color w:val="auto"/>
      <w:szCs w:val="20"/>
      <w:bdr w:val="none" w:sz="0" w:space="0" w:color="auto"/>
      <w:lang w:val="fr-FR"/>
    </w:rPr>
  </w:style>
  <w:style w:type="character" w:customStyle="1" w:styleId="HeadingbChar">
    <w:name w:val="Heading_b Char"/>
    <w:link w:val="Headingb"/>
    <w:locked/>
    <w:rsid w:val="00183790"/>
    <w:rPr>
      <w:rFonts w:ascii="Times New Roman" w:eastAsia="Times New Roman" w:hAnsi="Times New Roman" w:cs="Times New Roman"/>
      <w:b/>
      <w:bCs/>
      <w:sz w:val="24"/>
      <w:szCs w:val="20"/>
      <w:lang w:val="fr-FR" w:eastAsia="es-MX"/>
    </w:rPr>
  </w:style>
  <w:style w:type="character" w:customStyle="1" w:styleId="EstiloCar">
    <w:name w:val="Estilo Car"/>
    <w:link w:val="Estilo"/>
    <w:locked/>
    <w:rsid w:val="00183790"/>
    <w:rPr>
      <w:rFonts w:ascii="Arial" w:hAnsi="Arial" w:cs="Arial"/>
      <w:sz w:val="24"/>
    </w:rPr>
  </w:style>
  <w:style w:type="paragraph" w:customStyle="1" w:styleId="Estilo">
    <w:name w:val="Estilo"/>
    <w:basedOn w:val="Sinespaciado"/>
    <w:link w:val="EstiloCar"/>
    <w:qFormat/>
    <w:rsid w:val="0018379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heme="minorHAnsi" w:hAnsi="Arial" w:cs="Arial"/>
      <w:color w:val="auto"/>
      <w:sz w:val="24"/>
      <w:bdr w:val="none" w:sz="0" w:space="0" w:color="auto"/>
      <w:lang w:val="es-MX"/>
    </w:rPr>
  </w:style>
  <w:style w:type="character" w:customStyle="1" w:styleId="apple-converted-space">
    <w:name w:val="apple-converted-space"/>
    <w:basedOn w:val="Fuentedeprrafopredeter"/>
    <w:rsid w:val="00183790"/>
  </w:style>
  <w:style w:type="character" w:styleId="Refdenotaalfinal">
    <w:name w:val="endnote reference"/>
    <w:basedOn w:val="Fuentedeprrafopredeter"/>
    <w:uiPriority w:val="99"/>
    <w:semiHidden/>
    <w:unhideWhenUsed/>
    <w:rsid w:val="00183790"/>
    <w:rPr>
      <w:vertAlign w:val="superscript"/>
    </w:rPr>
  </w:style>
  <w:style w:type="table" w:customStyle="1" w:styleId="Tabladelista3-nfasis21">
    <w:name w:val="Tabla de lista 3 - Énfasis 21"/>
    <w:basedOn w:val="Tablanormal"/>
    <w:uiPriority w:val="48"/>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Subttulo">
    <w:name w:val="Subtitle"/>
    <w:basedOn w:val="Normal"/>
    <w:next w:val="Normal"/>
    <w:link w:val="SubttuloCar"/>
    <w:uiPriority w:val="11"/>
    <w:rsid w:val="00183790"/>
    <w:pPr>
      <w:numPr>
        <w:ilvl w:val="1"/>
      </w:numPr>
      <w:pBdr>
        <w:top w:val="nil"/>
        <w:left w:val="nil"/>
        <w:bottom w:val="nil"/>
        <w:right w:val="nil"/>
        <w:between w:val="nil"/>
        <w:bar w:val="nil"/>
      </w:pBdr>
      <w:spacing w:after="160" w:line="240" w:lineRule="auto"/>
    </w:pPr>
    <w:rPr>
      <w:rFonts w:asciiTheme="minorHAnsi" w:eastAsiaTheme="minorEastAsia" w:hAnsiTheme="minorHAnsi" w:cstheme="minorBidi"/>
      <w:color w:val="5A5A5A" w:themeColor="text1" w:themeTint="A5"/>
      <w:spacing w:val="15"/>
      <w:bdr w:val="nil"/>
    </w:rPr>
  </w:style>
  <w:style w:type="character" w:customStyle="1" w:styleId="SubttuloCar">
    <w:name w:val="Subtítulo Car"/>
    <w:basedOn w:val="Fuentedeprrafopredeter"/>
    <w:link w:val="Subttulo"/>
    <w:uiPriority w:val="11"/>
    <w:rsid w:val="00183790"/>
    <w:rPr>
      <w:rFonts w:eastAsiaTheme="minorEastAsia"/>
      <w:color w:val="5A5A5A" w:themeColor="text1" w:themeTint="A5"/>
      <w:spacing w:val="15"/>
      <w:bdr w:val="nil"/>
    </w:rPr>
  </w:style>
  <w:style w:type="table" w:customStyle="1" w:styleId="Tabladecuadrcula4-nfasis21">
    <w:name w:val="Tabla de cuadrícula 4 - Énfasis 21"/>
    <w:basedOn w:val="Tablanormal"/>
    <w:uiPriority w:val="49"/>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cuadrcula1Claro-nfasis21">
    <w:name w:val="Tabla de cuadrícula 1 Claro - Énfasis 21"/>
    <w:basedOn w:val="Tablanormal"/>
    <w:uiPriority w:val="46"/>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nfasissutil">
    <w:name w:val="Subtle Emphasis"/>
    <w:basedOn w:val="Fuentedeprrafopredeter"/>
    <w:uiPriority w:val="19"/>
    <w:rsid w:val="00183790"/>
    <w:rPr>
      <w:i/>
      <w:iCs/>
      <w:color w:val="404040" w:themeColor="text1" w:themeTint="BF"/>
    </w:rPr>
  </w:style>
  <w:style w:type="paragraph" w:customStyle="1" w:styleId="Ttulo10">
    <w:name w:val="Título1"/>
    <w:basedOn w:val="Normal"/>
    <w:link w:val="TtuloCar"/>
    <w:qFormat/>
    <w:rsid w:val="00183790"/>
    <w:pPr>
      <w:pBdr>
        <w:top w:val="nil"/>
        <w:left w:val="nil"/>
        <w:bottom w:val="nil"/>
        <w:right w:val="nil"/>
        <w:between w:val="nil"/>
        <w:bar w:val="nil"/>
      </w:pBdr>
      <w:spacing w:after="0"/>
      <w:contextualSpacing/>
      <w:jc w:val="center"/>
    </w:pPr>
    <w:rPr>
      <w:rFonts w:ascii="ITC Avant Garde" w:eastAsia="Times New Roman" w:hAnsi="ITC Avant Garde" w:cs="Arial"/>
      <w:b/>
      <w:color w:val="2F2F2F"/>
      <w:sz w:val="28"/>
      <w:bdr w:val="nil"/>
      <w:lang w:eastAsia="es-MX"/>
    </w:rPr>
  </w:style>
  <w:style w:type="character" w:customStyle="1" w:styleId="TtuloCar">
    <w:name w:val="Título Car"/>
    <w:basedOn w:val="Fuentedeprrafopredeter"/>
    <w:link w:val="Ttulo10"/>
    <w:rsid w:val="00183790"/>
    <w:rPr>
      <w:rFonts w:ascii="ITC Avant Garde" w:eastAsia="Times New Roman" w:hAnsi="ITC Avant Garde" w:cs="Arial"/>
      <w:b/>
      <w:color w:val="2F2F2F"/>
      <w:sz w:val="28"/>
      <w:bdr w:val="nil"/>
      <w:lang w:eastAsia="es-MX"/>
    </w:rPr>
  </w:style>
  <w:style w:type="paragraph" w:styleId="Sangradetextonormal">
    <w:name w:val="Body Text Indent"/>
    <w:basedOn w:val="Normal"/>
    <w:link w:val="SangradetextonormalCar"/>
    <w:uiPriority w:val="99"/>
    <w:semiHidden/>
    <w:unhideWhenUsed/>
    <w:rsid w:val="0018379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angradetextonormalCar">
    <w:name w:val="Sangría de texto normal Car"/>
    <w:basedOn w:val="Fuentedeprrafopredeter"/>
    <w:link w:val="Sangradetextonormal"/>
    <w:uiPriority w:val="99"/>
    <w:semiHidden/>
    <w:rsid w:val="00183790"/>
    <w:rPr>
      <w:rFonts w:ascii="Times New Roman" w:eastAsia="Times New Roman" w:hAnsi="Times New Roman" w:cs="Times New Roman"/>
      <w:sz w:val="24"/>
      <w:szCs w:val="24"/>
      <w:lang w:eastAsia="es-MX"/>
    </w:rPr>
  </w:style>
  <w:style w:type="character" w:customStyle="1" w:styleId="red">
    <w:name w:val="red"/>
    <w:basedOn w:val="Fuentedeprrafopredeter"/>
    <w:rsid w:val="00183790"/>
  </w:style>
  <w:style w:type="paragraph" w:customStyle="1" w:styleId="Titulo1">
    <w:name w:val="Titulo 1"/>
    <w:basedOn w:val="Texto"/>
    <w:rsid w:val="00183790"/>
    <w:pPr>
      <w:pBdr>
        <w:bottom w:val="single" w:sz="12" w:space="1" w:color="auto"/>
      </w:pBdr>
      <w:spacing w:before="120" w:after="0" w:line="240" w:lineRule="auto"/>
      <w:ind w:firstLine="0"/>
      <w:outlineLvl w:val="0"/>
    </w:pPr>
    <w:rPr>
      <w:rFonts w:ascii="Times New Roman" w:hAnsi="Times New Roman"/>
      <w:b/>
      <w:u w:color="000000"/>
      <w:lang w:val="es-MX" w:eastAsia="es-MX"/>
    </w:rPr>
  </w:style>
  <w:style w:type="table" w:customStyle="1" w:styleId="Tablaconcuadrcula1">
    <w:name w:val="Tabla con cuadrícula1"/>
    <w:basedOn w:val="Tablanormal"/>
    <w:next w:val="Tablaconcuadrcula"/>
    <w:uiPriority w:val="39"/>
    <w:rsid w:val="00183790"/>
    <w:pPr>
      <w:spacing w:after="0" w:line="240" w:lineRule="auto"/>
      <w:ind w:left="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183790"/>
    <w:pPr>
      <w:pBdr>
        <w:top w:val="nil"/>
        <w:left w:val="nil"/>
        <w:bottom w:val="nil"/>
        <w:right w:val="nil"/>
        <w:between w:val="nil"/>
        <w:bar w:val="nil"/>
      </w:pBdr>
      <w:spacing w:after="0" w:line="240" w:lineRule="auto"/>
      <w:ind w:left="1134" w:right="1182"/>
      <w:contextualSpacing/>
      <w:jc w:val="both"/>
    </w:pPr>
    <w:rPr>
      <w:rFonts w:ascii="ITC Avant Garde" w:eastAsia="Arial Unicode MS" w:hAnsi="ITC Avant Garde" w:cs="Arial"/>
      <w:i/>
      <w:color w:val="000000" w:themeColor="text1"/>
      <w:sz w:val="18"/>
      <w:szCs w:val="20"/>
      <w:bdr w:val="nil"/>
    </w:rPr>
  </w:style>
  <w:style w:type="paragraph" w:styleId="Textoindependiente2">
    <w:name w:val="Body Text 2"/>
    <w:basedOn w:val="Normal"/>
    <w:link w:val="Textoindependiente2Car"/>
    <w:uiPriority w:val="99"/>
    <w:unhideWhenUsed/>
    <w:rsid w:val="00183790"/>
    <w:pPr>
      <w:pBdr>
        <w:top w:val="nil"/>
        <w:left w:val="nil"/>
        <w:bottom w:val="nil"/>
        <w:right w:val="nil"/>
        <w:between w:val="nil"/>
        <w:bar w:val="nil"/>
      </w:pBdr>
      <w:suppressAutoHyphens/>
      <w:spacing w:after="0" w:line="240" w:lineRule="auto"/>
      <w:ind w:right="-62"/>
      <w:contextualSpacing/>
      <w:jc w:val="both"/>
    </w:pPr>
    <w:rPr>
      <w:rFonts w:ascii="ITC Avant Garde" w:eastAsiaTheme="minorHAnsi" w:hAnsi="ITC Avant Garde" w:cs="Arial"/>
      <w:color w:val="000000" w:themeColor="text1"/>
      <w:sz w:val="20"/>
      <w:szCs w:val="20"/>
      <w:bdr w:val="nil"/>
    </w:rPr>
  </w:style>
  <w:style w:type="character" w:customStyle="1" w:styleId="Textoindependiente2Car">
    <w:name w:val="Texto independiente 2 Car"/>
    <w:basedOn w:val="Fuentedeprrafopredeter"/>
    <w:link w:val="Textoindependiente2"/>
    <w:uiPriority w:val="99"/>
    <w:rsid w:val="00183790"/>
    <w:rPr>
      <w:rFonts w:ascii="ITC Avant Garde" w:hAnsi="ITC Avant Garde" w:cs="Arial"/>
      <w:color w:val="000000" w:themeColor="text1"/>
      <w:sz w:val="20"/>
      <w:szCs w:val="20"/>
      <w:bdr w:val="nil"/>
    </w:rPr>
  </w:style>
  <w:style w:type="paragraph" w:styleId="Sangra2detindependiente">
    <w:name w:val="Body Text Indent 2"/>
    <w:basedOn w:val="Normal"/>
    <w:link w:val="Sangra2detindependienteCar"/>
    <w:uiPriority w:val="99"/>
    <w:unhideWhenUsed/>
    <w:rsid w:val="00183790"/>
    <w:pPr>
      <w:pBdr>
        <w:top w:val="nil"/>
        <w:left w:val="nil"/>
        <w:bottom w:val="nil"/>
        <w:right w:val="nil"/>
        <w:between w:val="nil"/>
        <w:bar w:val="nil"/>
      </w:pBdr>
      <w:spacing w:after="0" w:line="240" w:lineRule="auto"/>
      <w:ind w:left="1134"/>
      <w:contextualSpacing/>
      <w:jc w:val="both"/>
    </w:pPr>
    <w:rPr>
      <w:rFonts w:ascii="ITC Avant Garde" w:eastAsia="Arial Unicode MS" w:hAnsi="ITC Avant Garde" w:cs="Arial"/>
      <w:color w:val="000000" w:themeColor="text1"/>
      <w:sz w:val="20"/>
      <w:szCs w:val="20"/>
      <w:bdr w:val="nil"/>
    </w:rPr>
  </w:style>
  <w:style w:type="character" w:customStyle="1" w:styleId="Sangra2detindependienteCar">
    <w:name w:val="Sangría 2 de t. independiente Car"/>
    <w:basedOn w:val="Fuentedeprrafopredeter"/>
    <w:link w:val="Sangra2detindependiente"/>
    <w:uiPriority w:val="99"/>
    <w:rsid w:val="00183790"/>
    <w:rPr>
      <w:rFonts w:ascii="ITC Avant Garde" w:eastAsia="Arial Unicode MS" w:hAnsi="ITC Avant Garde" w:cs="Arial"/>
      <w:color w:val="000000" w:themeColor="text1"/>
      <w:sz w:val="20"/>
      <w:szCs w:val="20"/>
      <w:bdr w:val="nil"/>
    </w:rPr>
  </w:style>
  <w:style w:type="paragraph" w:styleId="Textoindependiente3">
    <w:name w:val="Body Text 3"/>
    <w:basedOn w:val="Normal"/>
    <w:link w:val="Textoindependiente3Car"/>
    <w:uiPriority w:val="99"/>
    <w:unhideWhenUsed/>
    <w:rsid w:val="00183790"/>
    <w:pPr>
      <w:tabs>
        <w:tab w:val="left" w:pos="7655"/>
      </w:tabs>
      <w:spacing w:after="0" w:line="240" w:lineRule="auto"/>
      <w:ind w:right="49"/>
      <w:contextualSpacing/>
      <w:jc w:val="center"/>
    </w:pPr>
    <w:rPr>
      <w:rFonts w:ascii="ITC Avant Garde" w:eastAsia="Arial Unicode MS" w:hAnsi="ITC Avant Garde"/>
      <w:b/>
      <w:color w:val="000000" w:themeColor="text1"/>
      <w:sz w:val="16"/>
      <w:szCs w:val="20"/>
      <w:bdr w:val="nil"/>
    </w:rPr>
  </w:style>
  <w:style w:type="character" w:customStyle="1" w:styleId="Textoindependiente3Car">
    <w:name w:val="Texto independiente 3 Car"/>
    <w:basedOn w:val="Fuentedeprrafopredeter"/>
    <w:link w:val="Textoindependiente3"/>
    <w:uiPriority w:val="99"/>
    <w:rsid w:val="00183790"/>
    <w:rPr>
      <w:rFonts w:ascii="ITC Avant Garde" w:eastAsia="Arial Unicode MS" w:hAnsi="ITC Avant Garde" w:cs="Times New Roman"/>
      <w:b/>
      <w:color w:val="000000" w:themeColor="text1"/>
      <w:sz w:val="16"/>
      <w:szCs w:val="20"/>
      <w:bdr w:val="nil"/>
    </w:rPr>
  </w:style>
  <w:style w:type="paragraph" w:styleId="Sangra3detindependiente">
    <w:name w:val="Body Text Indent 3"/>
    <w:basedOn w:val="Normal"/>
    <w:link w:val="Sangra3detindependienteCar"/>
    <w:uiPriority w:val="99"/>
    <w:unhideWhenUsed/>
    <w:rsid w:val="00183790"/>
    <w:pPr>
      <w:pBdr>
        <w:top w:val="nil"/>
        <w:left w:val="nil"/>
        <w:bottom w:val="nil"/>
        <w:right w:val="nil"/>
        <w:between w:val="nil"/>
        <w:bar w:val="nil"/>
      </w:pBdr>
      <w:spacing w:after="0" w:line="240" w:lineRule="auto"/>
      <w:ind w:left="1134"/>
      <w:contextualSpacing/>
      <w:jc w:val="both"/>
    </w:pPr>
    <w:rPr>
      <w:rFonts w:ascii="ITC Avant Garde" w:eastAsia="Arial Unicode MS" w:hAnsi="ITC Avant Garde" w:cs="Arial"/>
      <w:sz w:val="20"/>
      <w:szCs w:val="20"/>
      <w:bdr w:val="nil"/>
    </w:rPr>
  </w:style>
  <w:style w:type="character" w:customStyle="1" w:styleId="Sangra3detindependienteCar">
    <w:name w:val="Sangría 3 de t. independiente Car"/>
    <w:basedOn w:val="Fuentedeprrafopredeter"/>
    <w:link w:val="Sangra3detindependiente"/>
    <w:uiPriority w:val="99"/>
    <w:rsid w:val="00183790"/>
    <w:rPr>
      <w:rFonts w:ascii="ITC Avant Garde" w:eastAsia="Arial Unicode MS" w:hAnsi="ITC Avant Garde" w:cs="Arial"/>
      <w:sz w:val="20"/>
      <w:szCs w:val="20"/>
      <w:bdr w:val="nil"/>
    </w:rPr>
  </w:style>
  <w:style w:type="table" w:customStyle="1" w:styleId="Tabladecuadrcula4-nfasis31">
    <w:name w:val="Tabla de cuadrícula 4 - Énfasis 31"/>
    <w:basedOn w:val="Tablanormal"/>
    <w:next w:val="Tabladecuadrcula4-nfasis32"/>
    <w:uiPriority w:val="49"/>
    <w:rsid w:val="00183790"/>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32">
    <w:name w:val="Tabla de cuadrícula 4 - Énfasis 32"/>
    <w:basedOn w:val="Tablanormal"/>
    <w:uiPriority w:val="49"/>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22">
    <w:name w:val="Tabla de cuadrícula 4 - Énfasis 22"/>
    <w:basedOn w:val="Tablanormal"/>
    <w:uiPriority w:val="49"/>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wText">
    <w:name w:val="wText"/>
    <w:basedOn w:val="Normal"/>
    <w:uiPriority w:val="2"/>
    <w:qFormat/>
    <w:rsid w:val="00183790"/>
    <w:pPr>
      <w:spacing w:after="240" w:line="240" w:lineRule="auto"/>
      <w:jc w:val="both"/>
    </w:pPr>
    <w:rPr>
      <w:rFonts w:ascii="Times New Roman" w:eastAsia="MS Mincho" w:hAnsi="Times New Roman" w:cstheme="minorBidi"/>
      <w:sz w:val="24"/>
      <w:lang w:val="es-ES_tradnl"/>
    </w:rPr>
  </w:style>
  <w:style w:type="paragraph" w:customStyle="1" w:styleId="Text">
    <w:name w:val="Text"/>
    <w:basedOn w:val="Normal"/>
    <w:rsid w:val="00183790"/>
    <w:pPr>
      <w:spacing w:after="240" w:line="240" w:lineRule="auto"/>
    </w:pPr>
    <w:rPr>
      <w:rFonts w:ascii="Arial" w:hAnsi="Arial" w:cs="Arial"/>
      <w:b/>
      <w:sz w:val="24"/>
      <w:szCs w:val="20"/>
      <w:lang w:val="es-ES_tradnl"/>
    </w:rPr>
  </w:style>
  <w:style w:type="table" w:customStyle="1" w:styleId="Tabladecuadrcula4-nfasis61">
    <w:name w:val="Tabla de cuadrícula 4 - Énfasis 61"/>
    <w:basedOn w:val="Tablanormal"/>
    <w:uiPriority w:val="49"/>
    <w:rsid w:val="0018379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ormalIFT">
    <w:name w:val="Normal IFT"/>
    <w:basedOn w:val="Prrafodelista"/>
    <w:link w:val="NormalIFTCar"/>
    <w:autoRedefine/>
    <w:qFormat/>
    <w:rsid w:val="00183790"/>
    <w:pPr>
      <w:numPr>
        <w:numId w:val="20"/>
      </w:numPr>
      <w:shd w:val="clear" w:color="auto" w:fill="FFFFFF"/>
      <w:autoSpaceDE w:val="0"/>
      <w:autoSpaceDN w:val="0"/>
      <w:adjustRightInd w:val="0"/>
      <w:spacing w:before="120" w:after="120"/>
      <w:ind w:left="360"/>
      <w:jc w:val="both"/>
    </w:pPr>
    <w:rPr>
      <w:rFonts w:ascii="ITC Avant Garde" w:hAnsi="ITC Avant Garde"/>
      <w:bCs/>
      <w:color w:val="000000"/>
      <w:sz w:val="22"/>
      <w:szCs w:val="24"/>
      <w:u w:color="000000"/>
      <w:shd w:val="clear" w:color="auto" w:fill="FFFFFF"/>
      <w:lang w:val="es-ES_tradnl" w:eastAsia="es-ES"/>
    </w:rPr>
  </w:style>
  <w:style w:type="character" w:customStyle="1" w:styleId="NormalIFTCar">
    <w:name w:val="Normal IFT Car"/>
    <w:link w:val="NormalIFT"/>
    <w:rsid w:val="00183790"/>
    <w:rPr>
      <w:rFonts w:ascii="ITC Avant Garde" w:eastAsia="Times New Roman" w:hAnsi="ITC Avant Garde" w:cs="Times New Roman"/>
      <w:bCs/>
      <w:color w:val="000000"/>
      <w:szCs w:val="24"/>
      <w:u w:color="000000"/>
      <w:shd w:val="clear" w:color="auto" w:fill="FFFFFF"/>
      <w:lang w:val="es-ES_tradnl" w:eastAsia="es-ES"/>
    </w:rPr>
  </w:style>
  <w:style w:type="paragraph" w:customStyle="1" w:styleId="Cuadros">
    <w:name w:val="Cuadros"/>
    <w:basedOn w:val="Normal"/>
    <w:qFormat/>
    <w:rsid w:val="00183790"/>
    <w:pPr>
      <w:keepNext/>
      <w:numPr>
        <w:numId w:val="21"/>
      </w:numPr>
      <w:spacing w:before="240" w:after="0"/>
      <w:ind w:left="714" w:hanging="357"/>
      <w:jc w:val="center"/>
    </w:pPr>
    <w:rPr>
      <w:rFonts w:ascii="ITC Avant Garde" w:hAnsi="ITC Avant Garde"/>
      <w:b/>
      <w:lang w:eastAsia="es-MX"/>
    </w:rPr>
  </w:style>
  <w:style w:type="paragraph" w:customStyle="1" w:styleId="TtuloIFT-4">
    <w:name w:val="Título IFT-4"/>
    <w:basedOn w:val="Normal"/>
    <w:next w:val="Normal"/>
    <w:link w:val="TtuloIFT-4Car"/>
    <w:qFormat/>
    <w:rsid w:val="00183790"/>
    <w:pPr>
      <w:numPr>
        <w:numId w:val="22"/>
      </w:numPr>
      <w:tabs>
        <w:tab w:val="left" w:pos="142"/>
      </w:tabs>
      <w:spacing w:after="0" w:line="240" w:lineRule="auto"/>
      <w:jc w:val="both"/>
    </w:pPr>
    <w:rPr>
      <w:rFonts w:ascii="ITC Avant Garde" w:eastAsia="Times New Roman" w:hAnsi="ITC Avant Garde"/>
      <w:b/>
      <w:sz w:val="24"/>
      <w:szCs w:val="24"/>
      <w:lang w:eastAsia="es-MX"/>
    </w:rPr>
  </w:style>
  <w:style w:type="character" w:customStyle="1" w:styleId="TtuloIFT-4Car">
    <w:name w:val="Título IFT-4 Car"/>
    <w:link w:val="TtuloIFT-4"/>
    <w:rsid w:val="00183790"/>
    <w:rPr>
      <w:rFonts w:ascii="ITC Avant Garde" w:eastAsia="Times New Roman" w:hAnsi="ITC Avant Garde" w:cs="Times New Roman"/>
      <w:b/>
      <w:sz w:val="24"/>
      <w:szCs w:val="24"/>
      <w:lang w:eastAsia="es-MX"/>
    </w:rPr>
  </w:style>
  <w:style w:type="paragraph" w:customStyle="1" w:styleId="Ttulo">
    <w:name w:val="Título"/>
    <w:basedOn w:val="Normal"/>
    <w:qFormat/>
    <w:rsid w:val="00EC4A23"/>
    <w:pPr>
      <w:pBdr>
        <w:top w:val="nil"/>
        <w:left w:val="nil"/>
        <w:bottom w:val="nil"/>
        <w:right w:val="nil"/>
        <w:between w:val="nil"/>
        <w:bar w:val="nil"/>
      </w:pBdr>
      <w:spacing w:after="0"/>
      <w:contextualSpacing/>
      <w:jc w:val="center"/>
    </w:pPr>
    <w:rPr>
      <w:rFonts w:ascii="ITC Avant Garde" w:eastAsia="Times New Roman" w:hAnsi="ITC Avant Garde" w:cs="Arial"/>
      <w:b/>
      <w:color w:val="2F2F2F"/>
      <w:sz w:val="28"/>
      <w:bdr w:val="nil"/>
      <w:lang w:eastAsia="es-MX"/>
    </w:rPr>
  </w:style>
  <w:style w:type="table" w:styleId="Tabladecuadrcula4-nfasis3">
    <w:name w:val="Grid Table 4 Accent 3"/>
    <w:basedOn w:val="Tablanormal"/>
    <w:uiPriority w:val="49"/>
    <w:rsid w:val="00EC4A23"/>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2">
    <w:name w:val="Grid Table 4 Accent 2"/>
    <w:basedOn w:val="Tablanormal"/>
    <w:uiPriority w:val="49"/>
    <w:rsid w:val="00EC4A23"/>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l63">
    <w:name w:val="xl63"/>
    <w:basedOn w:val="Normal"/>
    <w:rsid w:val="004535EB"/>
    <w:pPr>
      <w:pBdr>
        <w:top w:val="single" w:sz="12"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4">
    <w:name w:val="xl64"/>
    <w:basedOn w:val="Normal"/>
    <w:rsid w:val="004535EB"/>
    <w:pPr>
      <w:pBdr>
        <w:top w:val="single" w:sz="12"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5">
    <w:name w:val="xl65"/>
    <w:basedOn w:val="Normal"/>
    <w:rsid w:val="004535EB"/>
    <w:pPr>
      <w:pBdr>
        <w:top w:val="single" w:sz="12"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6">
    <w:name w:val="xl66"/>
    <w:basedOn w:val="Normal"/>
    <w:rsid w:val="004535EB"/>
    <w:pPr>
      <w:pBdr>
        <w:top w:val="single" w:sz="12"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7">
    <w:name w:val="xl67"/>
    <w:basedOn w:val="Normal"/>
    <w:rsid w:val="004535EB"/>
    <w:pPr>
      <w:pBdr>
        <w:top w:val="single" w:sz="12"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8">
    <w:name w:val="xl68"/>
    <w:basedOn w:val="Normal"/>
    <w:rsid w:val="004535EB"/>
    <w:pPr>
      <w:pBdr>
        <w:top w:val="single" w:sz="4" w:space="0" w:color="A9D08E"/>
        <w:left w:val="single" w:sz="8" w:space="0" w:color="A8D08D"/>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9">
    <w:name w:val="xl69"/>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0">
    <w:name w:val="xl70"/>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1">
    <w:name w:val="xl71"/>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2">
    <w:name w:val="xl72"/>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3">
    <w:name w:val="xl73"/>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4">
    <w:name w:val="xl74"/>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5">
    <w:name w:val="xl75"/>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6">
    <w:name w:val="xl76"/>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7">
    <w:name w:val="xl77"/>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8">
    <w:name w:val="xl78"/>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9">
    <w:name w:val="xl79"/>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0">
    <w:name w:val="xl80"/>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1">
    <w:name w:val="xl81"/>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2">
    <w:name w:val="xl82"/>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3">
    <w:name w:val="xl83"/>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4">
    <w:name w:val="xl84"/>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5">
    <w:name w:val="xl85"/>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6">
    <w:name w:val="xl86"/>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7">
    <w:name w:val="xl87"/>
    <w:basedOn w:val="Normal"/>
    <w:rsid w:val="004535EB"/>
    <w:pPr>
      <w:pBdr>
        <w:top w:val="single" w:sz="4" w:space="0" w:color="A9D08E"/>
        <w:left w:val="single" w:sz="8" w:space="0" w:color="A8D08D"/>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8">
    <w:name w:val="xl88"/>
    <w:basedOn w:val="Normal"/>
    <w:rsid w:val="004535EB"/>
    <w:pPr>
      <w:pBdr>
        <w:top w:val="single" w:sz="4" w:space="0" w:color="A9D08E"/>
        <w:left w:val="single" w:sz="8" w:space="0" w:color="A8D08D"/>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9">
    <w:name w:val="xl89"/>
    <w:basedOn w:val="Normal"/>
    <w:rsid w:val="004535EB"/>
    <w:pPr>
      <w:pBdr>
        <w:top w:val="single" w:sz="4" w:space="0" w:color="A9D08E"/>
        <w:left w:val="single" w:sz="8" w:space="0" w:color="A8D08D"/>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90">
    <w:name w:val="xl90"/>
    <w:basedOn w:val="Normal"/>
    <w:rsid w:val="004535EB"/>
    <w:pPr>
      <w:pBdr>
        <w:top w:val="single" w:sz="4" w:space="0" w:color="A9D08E"/>
        <w:left w:val="single" w:sz="8" w:space="0" w:color="A8D08D"/>
        <w:bottom w:val="single" w:sz="12"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91">
    <w:name w:val="xl91"/>
    <w:basedOn w:val="Normal"/>
    <w:rsid w:val="004535EB"/>
    <w:pPr>
      <w:pBdr>
        <w:top w:val="single" w:sz="4" w:space="0" w:color="A9D08E"/>
        <w:bottom w:val="single" w:sz="12"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92">
    <w:name w:val="xl92"/>
    <w:basedOn w:val="Normal"/>
    <w:rsid w:val="004535EB"/>
    <w:pPr>
      <w:pBdr>
        <w:top w:val="single" w:sz="4" w:space="0" w:color="A9D08E"/>
        <w:bottom w:val="single" w:sz="12"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93">
    <w:name w:val="xl93"/>
    <w:basedOn w:val="Normal"/>
    <w:rsid w:val="004535EB"/>
    <w:pPr>
      <w:pBdr>
        <w:top w:val="single" w:sz="4" w:space="0" w:color="A9D08E"/>
        <w:bottom w:val="single" w:sz="12"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94">
    <w:name w:val="xl94"/>
    <w:basedOn w:val="Normal"/>
    <w:rsid w:val="004535EB"/>
    <w:pPr>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5">
    <w:name w:val="xl95"/>
    <w:basedOn w:val="Normal"/>
    <w:rsid w:val="004535EB"/>
    <w:pP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96">
    <w:name w:val="xl96"/>
    <w:basedOn w:val="Normal"/>
    <w:rsid w:val="004535EB"/>
    <w:pP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97">
    <w:name w:val="xl97"/>
    <w:basedOn w:val="Normal"/>
    <w:rsid w:val="004535EB"/>
    <w:pP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98">
    <w:name w:val="xl98"/>
    <w:basedOn w:val="Normal"/>
    <w:rsid w:val="004535EB"/>
    <w:pPr>
      <w:pBdr>
        <w:top w:val="single" w:sz="4" w:space="0" w:color="C6E0B4"/>
        <w:left w:val="single" w:sz="4" w:space="0" w:color="C6E0B4"/>
        <w:bottom w:val="single" w:sz="12" w:space="0" w:color="A9D08E"/>
        <w:right w:val="single" w:sz="8" w:space="0" w:color="A9D08E"/>
      </w:pBdr>
      <w:shd w:val="clear" w:color="000000" w:fill="70AD47"/>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99">
    <w:name w:val="xl99"/>
    <w:basedOn w:val="Normal"/>
    <w:rsid w:val="004535EB"/>
    <w:pPr>
      <w:pBdr>
        <w:top w:val="single" w:sz="4" w:space="0" w:color="C6E0B4"/>
        <w:left w:val="single" w:sz="8" w:space="0" w:color="A9D08E"/>
        <w:bottom w:val="single" w:sz="12" w:space="0" w:color="A9D08E"/>
        <w:right w:val="single" w:sz="8" w:space="0" w:color="A9D08E"/>
      </w:pBdr>
      <w:shd w:val="clear" w:color="000000" w:fill="70AD47"/>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100">
    <w:name w:val="xl100"/>
    <w:basedOn w:val="Normal"/>
    <w:rsid w:val="004535EB"/>
    <w:pPr>
      <w:pBdr>
        <w:top w:val="single" w:sz="4" w:space="0" w:color="C6E0B4"/>
        <w:left w:val="single" w:sz="8" w:space="0" w:color="A9D08E"/>
        <w:bottom w:val="single" w:sz="12" w:space="0" w:color="A9D08E"/>
        <w:right w:val="single" w:sz="8" w:space="0" w:color="A9D08E"/>
      </w:pBdr>
      <w:shd w:val="clear" w:color="000000" w:fill="70AD47"/>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101">
    <w:name w:val="xl101"/>
    <w:basedOn w:val="Normal"/>
    <w:rsid w:val="004535EB"/>
    <w:pPr>
      <w:pBdr>
        <w:top w:val="single" w:sz="4" w:space="0" w:color="C6E0B4"/>
        <w:left w:val="single" w:sz="8" w:space="0" w:color="A9D08E"/>
        <w:bottom w:val="single" w:sz="12" w:space="0" w:color="A9D08E"/>
        <w:right w:val="single" w:sz="8" w:space="0" w:color="A9D08E"/>
      </w:pBdr>
      <w:shd w:val="clear" w:color="000000" w:fill="70AD47"/>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102">
    <w:name w:val="xl102"/>
    <w:basedOn w:val="Normal"/>
    <w:rsid w:val="004535EB"/>
    <w:pPr>
      <w:pBdr>
        <w:top w:val="single" w:sz="4" w:space="0" w:color="C6E0B4"/>
        <w:left w:val="single" w:sz="8" w:space="0" w:color="A9D08E"/>
        <w:bottom w:val="single" w:sz="12" w:space="0" w:color="A9D08E"/>
        <w:right w:val="single" w:sz="4" w:space="0" w:color="C6E0B4"/>
      </w:pBdr>
      <w:shd w:val="clear" w:color="000000" w:fill="70AD47"/>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103">
    <w:name w:val="xl103"/>
    <w:basedOn w:val="Normal"/>
    <w:rsid w:val="004535EB"/>
    <w:pPr>
      <w:pBdr>
        <w:top w:val="single" w:sz="12" w:space="0" w:color="A9D08E"/>
        <w:left w:val="single" w:sz="4" w:space="0" w:color="C6E0B4"/>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4">
    <w:name w:val="xl104"/>
    <w:basedOn w:val="Normal"/>
    <w:rsid w:val="004535EB"/>
    <w:pPr>
      <w:pBdr>
        <w:top w:val="single" w:sz="12" w:space="0" w:color="A9D08E"/>
        <w:bottom w:val="single" w:sz="4" w:space="0" w:color="A9D08E"/>
        <w:right w:val="single" w:sz="4" w:space="0" w:color="C6E0B4"/>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5">
    <w:name w:val="xl105"/>
    <w:basedOn w:val="Normal"/>
    <w:rsid w:val="004535EB"/>
    <w:pPr>
      <w:pBdr>
        <w:top w:val="single" w:sz="4" w:space="0" w:color="A9D08E"/>
        <w:bottom w:val="single" w:sz="4" w:space="0" w:color="A9D08E"/>
        <w:right w:val="single" w:sz="4" w:space="0" w:color="C6E0B4"/>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6">
    <w:name w:val="xl106"/>
    <w:basedOn w:val="Normal"/>
    <w:rsid w:val="004535EB"/>
    <w:pPr>
      <w:pBdr>
        <w:top w:val="single" w:sz="4" w:space="0" w:color="A9D08E"/>
        <w:bottom w:val="single" w:sz="4" w:space="0" w:color="A9D08E"/>
        <w:right w:val="single" w:sz="4" w:space="0" w:color="C6E0B4"/>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7">
    <w:name w:val="xl107"/>
    <w:basedOn w:val="Normal"/>
    <w:rsid w:val="004535EB"/>
    <w:pPr>
      <w:pBdr>
        <w:top w:val="single" w:sz="4" w:space="0" w:color="A9D08E"/>
        <w:left w:val="single" w:sz="4" w:space="0" w:color="C6E0B4"/>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8">
    <w:name w:val="xl108"/>
    <w:basedOn w:val="Normal"/>
    <w:rsid w:val="004535EB"/>
    <w:pPr>
      <w:pBdr>
        <w:top w:val="single" w:sz="4" w:space="0" w:color="A9D08E"/>
        <w:left w:val="single" w:sz="4" w:space="0" w:color="C6E0B4"/>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9">
    <w:name w:val="xl109"/>
    <w:basedOn w:val="Normal"/>
    <w:rsid w:val="004535EB"/>
    <w:pPr>
      <w:pBdr>
        <w:top w:val="single" w:sz="4" w:space="0" w:color="A9D08E"/>
        <w:bottom w:val="single" w:sz="4" w:space="0" w:color="A9D08E"/>
        <w:right w:val="single" w:sz="4" w:space="0" w:color="C6E0B4"/>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10">
    <w:name w:val="xl110"/>
    <w:basedOn w:val="Normal"/>
    <w:rsid w:val="004535EB"/>
    <w:pPr>
      <w:pBdr>
        <w:top w:val="single" w:sz="4" w:space="0" w:color="A9D08E"/>
        <w:bottom w:val="single" w:sz="4" w:space="0" w:color="A9D08E"/>
        <w:right w:val="single" w:sz="4" w:space="0" w:color="C6E0B4"/>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11">
    <w:name w:val="xl111"/>
    <w:basedOn w:val="Normal"/>
    <w:rsid w:val="004535EB"/>
    <w:pPr>
      <w:pBdr>
        <w:top w:val="single" w:sz="4" w:space="0" w:color="A9D08E"/>
        <w:left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12">
    <w:name w:val="xl112"/>
    <w:basedOn w:val="Normal"/>
    <w:rsid w:val="004535EB"/>
    <w:pPr>
      <w:pBdr>
        <w:top w:val="single" w:sz="4" w:space="0" w:color="A9D08E"/>
        <w:left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13">
    <w:name w:val="xl113"/>
    <w:basedOn w:val="Normal"/>
    <w:rsid w:val="004535EB"/>
    <w:pPr>
      <w:pBdr>
        <w:top w:val="single" w:sz="4" w:space="0" w:color="A9D08E"/>
        <w:left w:val="single" w:sz="8" w:space="0" w:color="A8D08D"/>
        <w:bottom w:val="single" w:sz="4" w:space="0" w:color="A9D08E"/>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4">
    <w:name w:val="xl114"/>
    <w:basedOn w:val="Normal"/>
    <w:rsid w:val="004535EB"/>
    <w:pPr>
      <w:pBdr>
        <w:top w:val="single" w:sz="4" w:space="0" w:color="A9D08E"/>
        <w:bottom w:val="single" w:sz="4" w:space="0" w:color="A9D08E"/>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5">
    <w:name w:val="xl115"/>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6">
    <w:name w:val="xl116"/>
    <w:basedOn w:val="Normal"/>
    <w:rsid w:val="004535EB"/>
    <w:pPr>
      <w:pBdr>
        <w:top w:val="single" w:sz="4" w:space="0" w:color="A9D08E"/>
        <w:left w:val="single" w:sz="8" w:space="0" w:color="A8D08D"/>
        <w:bottom w:val="single" w:sz="4" w:space="0" w:color="A9D08E"/>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7">
    <w:name w:val="xl117"/>
    <w:basedOn w:val="Normal"/>
    <w:rsid w:val="004535EB"/>
    <w:pPr>
      <w:pBdr>
        <w:top w:val="single" w:sz="4" w:space="0" w:color="A9D08E"/>
        <w:bottom w:val="single" w:sz="4" w:space="0" w:color="A9D08E"/>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8">
    <w:name w:val="xl118"/>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9">
    <w:name w:val="xl119"/>
    <w:basedOn w:val="Normal"/>
    <w:rsid w:val="004535EB"/>
    <w:pPr>
      <w:pBdr>
        <w:top w:val="single" w:sz="4" w:space="0" w:color="A9D08E"/>
        <w:bottom w:val="single" w:sz="4" w:space="0" w:color="A9D08E"/>
        <w:right w:val="single" w:sz="4" w:space="0" w:color="C6E0B4"/>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20">
    <w:name w:val="xl120"/>
    <w:basedOn w:val="Normal"/>
    <w:rsid w:val="004535EB"/>
    <w:pPr>
      <w:pBdr>
        <w:top w:val="single" w:sz="4" w:space="0" w:color="A9D08E"/>
        <w:bottom w:val="single" w:sz="4" w:space="0" w:color="A9D08E"/>
        <w:right w:val="single" w:sz="4" w:space="0" w:color="C6E0B4"/>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styleId="Citadestacada">
    <w:name w:val="Intense Quote"/>
    <w:basedOn w:val="Normal"/>
    <w:next w:val="Normal"/>
    <w:link w:val="CitadestacadaCar"/>
    <w:uiPriority w:val="30"/>
    <w:qFormat/>
    <w:rsid w:val="009464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46414"/>
    <w:rPr>
      <w:rFonts w:ascii="Calibri" w:eastAsia="Calibri" w:hAnsi="Calibri" w:cs="Times New Roman"/>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1218">
      <w:bodyDiv w:val="1"/>
      <w:marLeft w:val="0"/>
      <w:marRight w:val="0"/>
      <w:marTop w:val="0"/>
      <w:marBottom w:val="0"/>
      <w:divBdr>
        <w:top w:val="none" w:sz="0" w:space="0" w:color="auto"/>
        <w:left w:val="none" w:sz="0" w:space="0" w:color="auto"/>
        <w:bottom w:val="none" w:sz="0" w:space="0" w:color="auto"/>
        <w:right w:val="none" w:sz="0" w:space="0" w:color="auto"/>
      </w:divBdr>
    </w:div>
    <w:div w:id="52043290">
      <w:bodyDiv w:val="1"/>
      <w:marLeft w:val="0"/>
      <w:marRight w:val="0"/>
      <w:marTop w:val="0"/>
      <w:marBottom w:val="0"/>
      <w:divBdr>
        <w:top w:val="none" w:sz="0" w:space="0" w:color="auto"/>
        <w:left w:val="none" w:sz="0" w:space="0" w:color="auto"/>
        <w:bottom w:val="none" w:sz="0" w:space="0" w:color="auto"/>
        <w:right w:val="none" w:sz="0" w:space="0" w:color="auto"/>
      </w:divBdr>
    </w:div>
    <w:div w:id="52430240">
      <w:bodyDiv w:val="1"/>
      <w:marLeft w:val="0"/>
      <w:marRight w:val="0"/>
      <w:marTop w:val="0"/>
      <w:marBottom w:val="0"/>
      <w:divBdr>
        <w:top w:val="none" w:sz="0" w:space="0" w:color="auto"/>
        <w:left w:val="none" w:sz="0" w:space="0" w:color="auto"/>
        <w:bottom w:val="none" w:sz="0" w:space="0" w:color="auto"/>
        <w:right w:val="none" w:sz="0" w:space="0" w:color="auto"/>
      </w:divBdr>
    </w:div>
    <w:div w:id="71705085">
      <w:bodyDiv w:val="1"/>
      <w:marLeft w:val="0"/>
      <w:marRight w:val="0"/>
      <w:marTop w:val="0"/>
      <w:marBottom w:val="0"/>
      <w:divBdr>
        <w:top w:val="none" w:sz="0" w:space="0" w:color="auto"/>
        <w:left w:val="none" w:sz="0" w:space="0" w:color="auto"/>
        <w:bottom w:val="none" w:sz="0" w:space="0" w:color="auto"/>
        <w:right w:val="none" w:sz="0" w:space="0" w:color="auto"/>
      </w:divBdr>
    </w:div>
    <w:div w:id="95951809">
      <w:bodyDiv w:val="1"/>
      <w:marLeft w:val="0"/>
      <w:marRight w:val="0"/>
      <w:marTop w:val="0"/>
      <w:marBottom w:val="0"/>
      <w:divBdr>
        <w:top w:val="none" w:sz="0" w:space="0" w:color="auto"/>
        <w:left w:val="none" w:sz="0" w:space="0" w:color="auto"/>
        <w:bottom w:val="none" w:sz="0" w:space="0" w:color="auto"/>
        <w:right w:val="none" w:sz="0" w:space="0" w:color="auto"/>
      </w:divBdr>
    </w:div>
    <w:div w:id="127017667">
      <w:bodyDiv w:val="1"/>
      <w:marLeft w:val="0"/>
      <w:marRight w:val="0"/>
      <w:marTop w:val="0"/>
      <w:marBottom w:val="0"/>
      <w:divBdr>
        <w:top w:val="none" w:sz="0" w:space="0" w:color="auto"/>
        <w:left w:val="none" w:sz="0" w:space="0" w:color="auto"/>
        <w:bottom w:val="none" w:sz="0" w:space="0" w:color="auto"/>
        <w:right w:val="none" w:sz="0" w:space="0" w:color="auto"/>
      </w:divBdr>
    </w:div>
    <w:div w:id="134759774">
      <w:bodyDiv w:val="1"/>
      <w:marLeft w:val="0"/>
      <w:marRight w:val="0"/>
      <w:marTop w:val="0"/>
      <w:marBottom w:val="0"/>
      <w:divBdr>
        <w:top w:val="none" w:sz="0" w:space="0" w:color="auto"/>
        <w:left w:val="none" w:sz="0" w:space="0" w:color="auto"/>
        <w:bottom w:val="none" w:sz="0" w:space="0" w:color="auto"/>
        <w:right w:val="none" w:sz="0" w:space="0" w:color="auto"/>
      </w:divBdr>
    </w:div>
    <w:div w:id="141119096">
      <w:bodyDiv w:val="1"/>
      <w:marLeft w:val="0"/>
      <w:marRight w:val="0"/>
      <w:marTop w:val="0"/>
      <w:marBottom w:val="0"/>
      <w:divBdr>
        <w:top w:val="none" w:sz="0" w:space="0" w:color="auto"/>
        <w:left w:val="none" w:sz="0" w:space="0" w:color="auto"/>
        <w:bottom w:val="none" w:sz="0" w:space="0" w:color="auto"/>
        <w:right w:val="none" w:sz="0" w:space="0" w:color="auto"/>
      </w:divBdr>
    </w:div>
    <w:div w:id="154300453">
      <w:bodyDiv w:val="1"/>
      <w:marLeft w:val="0"/>
      <w:marRight w:val="0"/>
      <w:marTop w:val="0"/>
      <w:marBottom w:val="0"/>
      <w:divBdr>
        <w:top w:val="none" w:sz="0" w:space="0" w:color="auto"/>
        <w:left w:val="none" w:sz="0" w:space="0" w:color="auto"/>
        <w:bottom w:val="none" w:sz="0" w:space="0" w:color="auto"/>
        <w:right w:val="none" w:sz="0" w:space="0" w:color="auto"/>
      </w:divBdr>
    </w:div>
    <w:div w:id="161628065">
      <w:bodyDiv w:val="1"/>
      <w:marLeft w:val="0"/>
      <w:marRight w:val="0"/>
      <w:marTop w:val="0"/>
      <w:marBottom w:val="0"/>
      <w:divBdr>
        <w:top w:val="none" w:sz="0" w:space="0" w:color="auto"/>
        <w:left w:val="none" w:sz="0" w:space="0" w:color="auto"/>
        <w:bottom w:val="none" w:sz="0" w:space="0" w:color="auto"/>
        <w:right w:val="none" w:sz="0" w:space="0" w:color="auto"/>
      </w:divBdr>
    </w:div>
    <w:div w:id="179244463">
      <w:bodyDiv w:val="1"/>
      <w:marLeft w:val="0"/>
      <w:marRight w:val="0"/>
      <w:marTop w:val="0"/>
      <w:marBottom w:val="0"/>
      <w:divBdr>
        <w:top w:val="none" w:sz="0" w:space="0" w:color="auto"/>
        <w:left w:val="none" w:sz="0" w:space="0" w:color="auto"/>
        <w:bottom w:val="none" w:sz="0" w:space="0" w:color="auto"/>
        <w:right w:val="none" w:sz="0" w:space="0" w:color="auto"/>
      </w:divBdr>
    </w:div>
    <w:div w:id="179515070">
      <w:bodyDiv w:val="1"/>
      <w:marLeft w:val="0"/>
      <w:marRight w:val="0"/>
      <w:marTop w:val="0"/>
      <w:marBottom w:val="0"/>
      <w:divBdr>
        <w:top w:val="none" w:sz="0" w:space="0" w:color="auto"/>
        <w:left w:val="none" w:sz="0" w:space="0" w:color="auto"/>
        <w:bottom w:val="none" w:sz="0" w:space="0" w:color="auto"/>
        <w:right w:val="none" w:sz="0" w:space="0" w:color="auto"/>
      </w:divBdr>
    </w:div>
    <w:div w:id="186330877">
      <w:bodyDiv w:val="1"/>
      <w:marLeft w:val="0"/>
      <w:marRight w:val="0"/>
      <w:marTop w:val="0"/>
      <w:marBottom w:val="0"/>
      <w:divBdr>
        <w:top w:val="none" w:sz="0" w:space="0" w:color="auto"/>
        <w:left w:val="none" w:sz="0" w:space="0" w:color="auto"/>
        <w:bottom w:val="none" w:sz="0" w:space="0" w:color="auto"/>
        <w:right w:val="none" w:sz="0" w:space="0" w:color="auto"/>
      </w:divBdr>
    </w:div>
    <w:div w:id="188299508">
      <w:bodyDiv w:val="1"/>
      <w:marLeft w:val="0"/>
      <w:marRight w:val="0"/>
      <w:marTop w:val="0"/>
      <w:marBottom w:val="0"/>
      <w:divBdr>
        <w:top w:val="none" w:sz="0" w:space="0" w:color="auto"/>
        <w:left w:val="none" w:sz="0" w:space="0" w:color="auto"/>
        <w:bottom w:val="none" w:sz="0" w:space="0" w:color="auto"/>
        <w:right w:val="none" w:sz="0" w:space="0" w:color="auto"/>
      </w:divBdr>
    </w:div>
    <w:div w:id="190578894">
      <w:bodyDiv w:val="1"/>
      <w:marLeft w:val="0"/>
      <w:marRight w:val="0"/>
      <w:marTop w:val="0"/>
      <w:marBottom w:val="0"/>
      <w:divBdr>
        <w:top w:val="none" w:sz="0" w:space="0" w:color="auto"/>
        <w:left w:val="none" w:sz="0" w:space="0" w:color="auto"/>
        <w:bottom w:val="none" w:sz="0" w:space="0" w:color="auto"/>
        <w:right w:val="none" w:sz="0" w:space="0" w:color="auto"/>
      </w:divBdr>
    </w:div>
    <w:div w:id="201673622">
      <w:bodyDiv w:val="1"/>
      <w:marLeft w:val="0"/>
      <w:marRight w:val="0"/>
      <w:marTop w:val="0"/>
      <w:marBottom w:val="0"/>
      <w:divBdr>
        <w:top w:val="none" w:sz="0" w:space="0" w:color="auto"/>
        <w:left w:val="none" w:sz="0" w:space="0" w:color="auto"/>
        <w:bottom w:val="none" w:sz="0" w:space="0" w:color="auto"/>
        <w:right w:val="none" w:sz="0" w:space="0" w:color="auto"/>
      </w:divBdr>
    </w:div>
    <w:div w:id="203443002">
      <w:bodyDiv w:val="1"/>
      <w:marLeft w:val="0"/>
      <w:marRight w:val="0"/>
      <w:marTop w:val="0"/>
      <w:marBottom w:val="0"/>
      <w:divBdr>
        <w:top w:val="none" w:sz="0" w:space="0" w:color="auto"/>
        <w:left w:val="none" w:sz="0" w:space="0" w:color="auto"/>
        <w:bottom w:val="none" w:sz="0" w:space="0" w:color="auto"/>
        <w:right w:val="none" w:sz="0" w:space="0" w:color="auto"/>
      </w:divBdr>
    </w:div>
    <w:div w:id="212233901">
      <w:bodyDiv w:val="1"/>
      <w:marLeft w:val="0"/>
      <w:marRight w:val="0"/>
      <w:marTop w:val="0"/>
      <w:marBottom w:val="0"/>
      <w:divBdr>
        <w:top w:val="none" w:sz="0" w:space="0" w:color="auto"/>
        <w:left w:val="none" w:sz="0" w:space="0" w:color="auto"/>
        <w:bottom w:val="none" w:sz="0" w:space="0" w:color="auto"/>
        <w:right w:val="none" w:sz="0" w:space="0" w:color="auto"/>
      </w:divBdr>
    </w:div>
    <w:div w:id="239097028">
      <w:bodyDiv w:val="1"/>
      <w:marLeft w:val="0"/>
      <w:marRight w:val="0"/>
      <w:marTop w:val="0"/>
      <w:marBottom w:val="0"/>
      <w:divBdr>
        <w:top w:val="none" w:sz="0" w:space="0" w:color="auto"/>
        <w:left w:val="none" w:sz="0" w:space="0" w:color="auto"/>
        <w:bottom w:val="none" w:sz="0" w:space="0" w:color="auto"/>
        <w:right w:val="none" w:sz="0" w:space="0" w:color="auto"/>
      </w:divBdr>
    </w:div>
    <w:div w:id="286013326">
      <w:bodyDiv w:val="1"/>
      <w:marLeft w:val="0"/>
      <w:marRight w:val="0"/>
      <w:marTop w:val="0"/>
      <w:marBottom w:val="0"/>
      <w:divBdr>
        <w:top w:val="none" w:sz="0" w:space="0" w:color="auto"/>
        <w:left w:val="none" w:sz="0" w:space="0" w:color="auto"/>
        <w:bottom w:val="none" w:sz="0" w:space="0" w:color="auto"/>
        <w:right w:val="none" w:sz="0" w:space="0" w:color="auto"/>
      </w:divBdr>
    </w:div>
    <w:div w:id="290868499">
      <w:bodyDiv w:val="1"/>
      <w:marLeft w:val="0"/>
      <w:marRight w:val="0"/>
      <w:marTop w:val="0"/>
      <w:marBottom w:val="0"/>
      <w:divBdr>
        <w:top w:val="none" w:sz="0" w:space="0" w:color="auto"/>
        <w:left w:val="none" w:sz="0" w:space="0" w:color="auto"/>
        <w:bottom w:val="none" w:sz="0" w:space="0" w:color="auto"/>
        <w:right w:val="none" w:sz="0" w:space="0" w:color="auto"/>
      </w:divBdr>
    </w:div>
    <w:div w:id="308290030">
      <w:bodyDiv w:val="1"/>
      <w:marLeft w:val="0"/>
      <w:marRight w:val="0"/>
      <w:marTop w:val="0"/>
      <w:marBottom w:val="0"/>
      <w:divBdr>
        <w:top w:val="none" w:sz="0" w:space="0" w:color="auto"/>
        <w:left w:val="none" w:sz="0" w:space="0" w:color="auto"/>
        <w:bottom w:val="none" w:sz="0" w:space="0" w:color="auto"/>
        <w:right w:val="none" w:sz="0" w:space="0" w:color="auto"/>
      </w:divBdr>
    </w:div>
    <w:div w:id="308483784">
      <w:bodyDiv w:val="1"/>
      <w:marLeft w:val="0"/>
      <w:marRight w:val="0"/>
      <w:marTop w:val="0"/>
      <w:marBottom w:val="0"/>
      <w:divBdr>
        <w:top w:val="none" w:sz="0" w:space="0" w:color="auto"/>
        <w:left w:val="none" w:sz="0" w:space="0" w:color="auto"/>
        <w:bottom w:val="none" w:sz="0" w:space="0" w:color="auto"/>
        <w:right w:val="none" w:sz="0" w:space="0" w:color="auto"/>
      </w:divBdr>
    </w:div>
    <w:div w:id="315260053">
      <w:bodyDiv w:val="1"/>
      <w:marLeft w:val="0"/>
      <w:marRight w:val="0"/>
      <w:marTop w:val="0"/>
      <w:marBottom w:val="0"/>
      <w:divBdr>
        <w:top w:val="none" w:sz="0" w:space="0" w:color="auto"/>
        <w:left w:val="none" w:sz="0" w:space="0" w:color="auto"/>
        <w:bottom w:val="none" w:sz="0" w:space="0" w:color="auto"/>
        <w:right w:val="none" w:sz="0" w:space="0" w:color="auto"/>
      </w:divBdr>
    </w:div>
    <w:div w:id="322202572">
      <w:bodyDiv w:val="1"/>
      <w:marLeft w:val="0"/>
      <w:marRight w:val="0"/>
      <w:marTop w:val="0"/>
      <w:marBottom w:val="0"/>
      <w:divBdr>
        <w:top w:val="none" w:sz="0" w:space="0" w:color="auto"/>
        <w:left w:val="none" w:sz="0" w:space="0" w:color="auto"/>
        <w:bottom w:val="none" w:sz="0" w:space="0" w:color="auto"/>
        <w:right w:val="none" w:sz="0" w:space="0" w:color="auto"/>
      </w:divBdr>
    </w:div>
    <w:div w:id="357780465">
      <w:bodyDiv w:val="1"/>
      <w:marLeft w:val="0"/>
      <w:marRight w:val="0"/>
      <w:marTop w:val="0"/>
      <w:marBottom w:val="0"/>
      <w:divBdr>
        <w:top w:val="none" w:sz="0" w:space="0" w:color="auto"/>
        <w:left w:val="none" w:sz="0" w:space="0" w:color="auto"/>
        <w:bottom w:val="none" w:sz="0" w:space="0" w:color="auto"/>
        <w:right w:val="none" w:sz="0" w:space="0" w:color="auto"/>
      </w:divBdr>
    </w:div>
    <w:div w:id="386342413">
      <w:bodyDiv w:val="1"/>
      <w:marLeft w:val="0"/>
      <w:marRight w:val="0"/>
      <w:marTop w:val="0"/>
      <w:marBottom w:val="0"/>
      <w:divBdr>
        <w:top w:val="none" w:sz="0" w:space="0" w:color="auto"/>
        <w:left w:val="none" w:sz="0" w:space="0" w:color="auto"/>
        <w:bottom w:val="none" w:sz="0" w:space="0" w:color="auto"/>
        <w:right w:val="none" w:sz="0" w:space="0" w:color="auto"/>
      </w:divBdr>
    </w:div>
    <w:div w:id="395662544">
      <w:bodyDiv w:val="1"/>
      <w:marLeft w:val="0"/>
      <w:marRight w:val="0"/>
      <w:marTop w:val="0"/>
      <w:marBottom w:val="0"/>
      <w:divBdr>
        <w:top w:val="none" w:sz="0" w:space="0" w:color="auto"/>
        <w:left w:val="none" w:sz="0" w:space="0" w:color="auto"/>
        <w:bottom w:val="none" w:sz="0" w:space="0" w:color="auto"/>
        <w:right w:val="none" w:sz="0" w:space="0" w:color="auto"/>
      </w:divBdr>
    </w:div>
    <w:div w:id="432746172">
      <w:bodyDiv w:val="1"/>
      <w:marLeft w:val="0"/>
      <w:marRight w:val="0"/>
      <w:marTop w:val="0"/>
      <w:marBottom w:val="0"/>
      <w:divBdr>
        <w:top w:val="none" w:sz="0" w:space="0" w:color="auto"/>
        <w:left w:val="none" w:sz="0" w:space="0" w:color="auto"/>
        <w:bottom w:val="none" w:sz="0" w:space="0" w:color="auto"/>
        <w:right w:val="none" w:sz="0" w:space="0" w:color="auto"/>
      </w:divBdr>
    </w:div>
    <w:div w:id="439644207">
      <w:bodyDiv w:val="1"/>
      <w:marLeft w:val="0"/>
      <w:marRight w:val="0"/>
      <w:marTop w:val="0"/>
      <w:marBottom w:val="0"/>
      <w:divBdr>
        <w:top w:val="none" w:sz="0" w:space="0" w:color="auto"/>
        <w:left w:val="none" w:sz="0" w:space="0" w:color="auto"/>
        <w:bottom w:val="none" w:sz="0" w:space="0" w:color="auto"/>
        <w:right w:val="none" w:sz="0" w:space="0" w:color="auto"/>
      </w:divBdr>
    </w:div>
    <w:div w:id="457727811">
      <w:bodyDiv w:val="1"/>
      <w:marLeft w:val="0"/>
      <w:marRight w:val="0"/>
      <w:marTop w:val="0"/>
      <w:marBottom w:val="0"/>
      <w:divBdr>
        <w:top w:val="none" w:sz="0" w:space="0" w:color="auto"/>
        <w:left w:val="none" w:sz="0" w:space="0" w:color="auto"/>
        <w:bottom w:val="none" w:sz="0" w:space="0" w:color="auto"/>
        <w:right w:val="none" w:sz="0" w:space="0" w:color="auto"/>
      </w:divBdr>
    </w:div>
    <w:div w:id="472524675">
      <w:bodyDiv w:val="1"/>
      <w:marLeft w:val="0"/>
      <w:marRight w:val="0"/>
      <w:marTop w:val="0"/>
      <w:marBottom w:val="0"/>
      <w:divBdr>
        <w:top w:val="none" w:sz="0" w:space="0" w:color="auto"/>
        <w:left w:val="none" w:sz="0" w:space="0" w:color="auto"/>
        <w:bottom w:val="none" w:sz="0" w:space="0" w:color="auto"/>
        <w:right w:val="none" w:sz="0" w:space="0" w:color="auto"/>
      </w:divBdr>
    </w:div>
    <w:div w:id="484397399">
      <w:bodyDiv w:val="1"/>
      <w:marLeft w:val="0"/>
      <w:marRight w:val="0"/>
      <w:marTop w:val="0"/>
      <w:marBottom w:val="0"/>
      <w:divBdr>
        <w:top w:val="none" w:sz="0" w:space="0" w:color="auto"/>
        <w:left w:val="none" w:sz="0" w:space="0" w:color="auto"/>
        <w:bottom w:val="none" w:sz="0" w:space="0" w:color="auto"/>
        <w:right w:val="none" w:sz="0" w:space="0" w:color="auto"/>
      </w:divBdr>
    </w:div>
    <w:div w:id="499856462">
      <w:bodyDiv w:val="1"/>
      <w:marLeft w:val="0"/>
      <w:marRight w:val="0"/>
      <w:marTop w:val="0"/>
      <w:marBottom w:val="0"/>
      <w:divBdr>
        <w:top w:val="none" w:sz="0" w:space="0" w:color="auto"/>
        <w:left w:val="none" w:sz="0" w:space="0" w:color="auto"/>
        <w:bottom w:val="none" w:sz="0" w:space="0" w:color="auto"/>
        <w:right w:val="none" w:sz="0" w:space="0" w:color="auto"/>
      </w:divBdr>
    </w:div>
    <w:div w:id="505026004">
      <w:bodyDiv w:val="1"/>
      <w:marLeft w:val="0"/>
      <w:marRight w:val="0"/>
      <w:marTop w:val="0"/>
      <w:marBottom w:val="0"/>
      <w:divBdr>
        <w:top w:val="none" w:sz="0" w:space="0" w:color="auto"/>
        <w:left w:val="none" w:sz="0" w:space="0" w:color="auto"/>
        <w:bottom w:val="none" w:sz="0" w:space="0" w:color="auto"/>
        <w:right w:val="none" w:sz="0" w:space="0" w:color="auto"/>
      </w:divBdr>
    </w:div>
    <w:div w:id="522523741">
      <w:bodyDiv w:val="1"/>
      <w:marLeft w:val="0"/>
      <w:marRight w:val="0"/>
      <w:marTop w:val="0"/>
      <w:marBottom w:val="0"/>
      <w:divBdr>
        <w:top w:val="none" w:sz="0" w:space="0" w:color="auto"/>
        <w:left w:val="none" w:sz="0" w:space="0" w:color="auto"/>
        <w:bottom w:val="none" w:sz="0" w:space="0" w:color="auto"/>
        <w:right w:val="none" w:sz="0" w:space="0" w:color="auto"/>
      </w:divBdr>
    </w:div>
    <w:div w:id="529802054">
      <w:bodyDiv w:val="1"/>
      <w:marLeft w:val="0"/>
      <w:marRight w:val="0"/>
      <w:marTop w:val="0"/>
      <w:marBottom w:val="0"/>
      <w:divBdr>
        <w:top w:val="none" w:sz="0" w:space="0" w:color="auto"/>
        <w:left w:val="none" w:sz="0" w:space="0" w:color="auto"/>
        <w:bottom w:val="none" w:sz="0" w:space="0" w:color="auto"/>
        <w:right w:val="none" w:sz="0" w:space="0" w:color="auto"/>
      </w:divBdr>
    </w:div>
    <w:div w:id="533034348">
      <w:bodyDiv w:val="1"/>
      <w:marLeft w:val="0"/>
      <w:marRight w:val="0"/>
      <w:marTop w:val="0"/>
      <w:marBottom w:val="0"/>
      <w:divBdr>
        <w:top w:val="none" w:sz="0" w:space="0" w:color="auto"/>
        <w:left w:val="none" w:sz="0" w:space="0" w:color="auto"/>
        <w:bottom w:val="none" w:sz="0" w:space="0" w:color="auto"/>
        <w:right w:val="none" w:sz="0" w:space="0" w:color="auto"/>
      </w:divBdr>
    </w:div>
    <w:div w:id="539786759">
      <w:bodyDiv w:val="1"/>
      <w:marLeft w:val="0"/>
      <w:marRight w:val="0"/>
      <w:marTop w:val="0"/>
      <w:marBottom w:val="0"/>
      <w:divBdr>
        <w:top w:val="none" w:sz="0" w:space="0" w:color="auto"/>
        <w:left w:val="none" w:sz="0" w:space="0" w:color="auto"/>
        <w:bottom w:val="none" w:sz="0" w:space="0" w:color="auto"/>
        <w:right w:val="none" w:sz="0" w:space="0" w:color="auto"/>
      </w:divBdr>
    </w:div>
    <w:div w:id="543371206">
      <w:bodyDiv w:val="1"/>
      <w:marLeft w:val="0"/>
      <w:marRight w:val="0"/>
      <w:marTop w:val="0"/>
      <w:marBottom w:val="0"/>
      <w:divBdr>
        <w:top w:val="none" w:sz="0" w:space="0" w:color="auto"/>
        <w:left w:val="none" w:sz="0" w:space="0" w:color="auto"/>
        <w:bottom w:val="none" w:sz="0" w:space="0" w:color="auto"/>
        <w:right w:val="none" w:sz="0" w:space="0" w:color="auto"/>
      </w:divBdr>
    </w:div>
    <w:div w:id="543836898">
      <w:bodyDiv w:val="1"/>
      <w:marLeft w:val="0"/>
      <w:marRight w:val="0"/>
      <w:marTop w:val="0"/>
      <w:marBottom w:val="0"/>
      <w:divBdr>
        <w:top w:val="none" w:sz="0" w:space="0" w:color="auto"/>
        <w:left w:val="none" w:sz="0" w:space="0" w:color="auto"/>
        <w:bottom w:val="none" w:sz="0" w:space="0" w:color="auto"/>
        <w:right w:val="none" w:sz="0" w:space="0" w:color="auto"/>
      </w:divBdr>
    </w:div>
    <w:div w:id="547573306">
      <w:bodyDiv w:val="1"/>
      <w:marLeft w:val="0"/>
      <w:marRight w:val="0"/>
      <w:marTop w:val="0"/>
      <w:marBottom w:val="0"/>
      <w:divBdr>
        <w:top w:val="none" w:sz="0" w:space="0" w:color="auto"/>
        <w:left w:val="none" w:sz="0" w:space="0" w:color="auto"/>
        <w:bottom w:val="none" w:sz="0" w:space="0" w:color="auto"/>
        <w:right w:val="none" w:sz="0" w:space="0" w:color="auto"/>
      </w:divBdr>
    </w:div>
    <w:div w:id="550460631">
      <w:bodyDiv w:val="1"/>
      <w:marLeft w:val="0"/>
      <w:marRight w:val="0"/>
      <w:marTop w:val="0"/>
      <w:marBottom w:val="0"/>
      <w:divBdr>
        <w:top w:val="none" w:sz="0" w:space="0" w:color="auto"/>
        <w:left w:val="none" w:sz="0" w:space="0" w:color="auto"/>
        <w:bottom w:val="none" w:sz="0" w:space="0" w:color="auto"/>
        <w:right w:val="none" w:sz="0" w:space="0" w:color="auto"/>
      </w:divBdr>
    </w:div>
    <w:div w:id="552078193">
      <w:bodyDiv w:val="1"/>
      <w:marLeft w:val="0"/>
      <w:marRight w:val="0"/>
      <w:marTop w:val="0"/>
      <w:marBottom w:val="0"/>
      <w:divBdr>
        <w:top w:val="none" w:sz="0" w:space="0" w:color="auto"/>
        <w:left w:val="none" w:sz="0" w:space="0" w:color="auto"/>
        <w:bottom w:val="none" w:sz="0" w:space="0" w:color="auto"/>
        <w:right w:val="none" w:sz="0" w:space="0" w:color="auto"/>
      </w:divBdr>
    </w:div>
    <w:div w:id="557789187">
      <w:bodyDiv w:val="1"/>
      <w:marLeft w:val="0"/>
      <w:marRight w:val="0"/>
      <w:marTop w:val="0"/>
      <w:marBottom w:val="0"/>
      <w:divBdr>
        <w:top w:val="none" w:sz="0" w:space="0" w:color="auto"/>
        <w:left w:val="none" w:sz="0" w:space="0" w:color="auto"/>
        <w:bottom w:val="none" w:sz="0" w:space="0" w:color="auto"/>
        <w:right w:val="none" w:sz="0" w:space="0" w:color="auto"/>
      </w:divBdr>
    </w:div>
    <w:div w:id="561908816">
      <w:bodyDiv w:val="1"/>
      <w:marLeft w:val="0"/>
      <w:marRight w:val="0"/>
      <w:marTop w:val="0"/>
      <w:marBottom w:val="0"/>
      <w:divBdr>
        <w:top w:val="none" w:sz="0" w:space="0" w:color="auto"/>
        <w:left w:val="none" w:sz="0" w:space="0" w:color="auto"/>
        <w:bottom w:val="none" w:sz="0" w:space="0" w:color="auto"/>
        <w:right w:val="none" w:sz="0" w:space="0" w:color="auto"/>
      </w:divBdr>
    </w:div>
    <w:div w:id="604072028">
      <w:bodyDiv w:val="1"/>
      <w:marLeft w:val="0"/>
      <w:marRight w:val="0"/>
      <w:marTop w:val="0"/>
      <w:marBottom w:val="0"/>
      <w:divBdr>
        <w:top w:val="none" w:sz="0" w:space="0" w:color="auto"/>
        <w:left w:val="none" w:sz="0" w:space="0" w:color="auto"/>
        <w:bottom w:val="none" w:sz="0" w:space="0" w:color="auto"/>
        <w:right w:val="none" w:sz="0" w:space="0" w:color="auto"/>
      </w:divBdr>
    </w:div>
    <w:div w:id="613292301">
      <w:bodyDiv w:val="1"/>
      <w:marLeft w:val="0"/>
      <w:marRight w:val="0"/>
      <w:marTop w:val="0"/>
      <w:marBottom w:val="0"/>
      <w:divBdr>
        <w:top w:val="none" w:sz="0" w:space="0" w:color="auto"/>
        <w:left w:val="none" w:sz="0" w:space="0" w:color="auto"/>
        <w:bottom w:val="none" w:sz="0" w:space="0" w:color="auto"/>
        <w:right w:val="none" w:sz="0" w:space="0" w:color="auto"/>
      </w:divBdr>
    </w:div>
    <w:div w:id="617034394">
      <w:bodyDiv w:val="1"/>
      <w:marLeft w:val="0"/>
      <w:marRight w:val="0"/>
      <w:marTop w:val="0"/>
      <w:marBottom w:val="0"/>
      <w:divBdr>
        <w:top w:val="none" w:sz="0" w:space="0" w:color="auto"/>
        <w:left w:val="none" w:sz="0" w:space="0" w:color="auto"/>
        <w:bottom w:val="none" w:sz="0" w:space="0" w:color="auto"/>
        <w:right w:val="none" w:sz="0" w:space="0" w:color="auto"/>
      </w:divBdr>
    </w:div>
    <w:div w:id="621959664">
      <w:bodyDiv w:val="1"/>
      <w:marLeft w:val="0"/>
      <w:marRight w:val="0"/>
      <w:marTop w:val="0"/>
      <w:marBottom w:val="0"/>
      <w:divBdr>
        <w:top w:val="none" w:sz="0" w:space="0" w:color="auto"/>
        <w:left w:val="none" w:sz="0" w:space="0" w:color="auto"/>
        <w:bottom w:val="none" w:sz="0" w:space="0" w:color="auto"/>
        <w:right w:val="none" w:sz="0" w:space="0" w:color="auto"/>
      </w:divBdr>
    </w:div>
    <w:div w:id="629676713">
      <w:bodyDiv w:val="1"/>
      <w:marLeft w:val="0"/>
      <w:marRight w:val="0"/>
      <w:marTop w:val="0"/>
      <w:marBottom w:val="0"/>
      <w:divBdr>
        <w:top w:val="none" w:sz="0" w:space="0" w:color="auto"/>
        <w:left w:val="none" w:sz="0" w:space="0" w:color="auto"/>
        <w:bottom w:val="none" w:sz="0" w:space="0" w:color="auto"/>
        <w:right w:val="none" w:sz="0" w:space="0" w:color="auto"/>
      </w:divBdr>
    </w:div>
    <w:div w:id="630284861">
      <w:bodyDiv w:val="1"/>
      <w:marLeft w:val="0"/>
      <w:marRight w:val="0"/>
      <w:marTop w:val="0"/>
      <w:marBottom w:val="0"/>
      <w:divBdr>
        <w:top w:val="none" w:sz="0" w:space="0" w:color="auto"/>
        <w:left w:val="none" w:sz="0" w:space="0" w:color="auto"/>
        <w:bottom w:val="none" w:sz="0" w:space="0" w:color="auto"/>
        <w:right w:val="none" w:sz="0" w:space="0" w:color="auto"/>
      </w:divBdr>
    </w:div>
    <w:div w:id="639964705">
      <w:bodyDiv w:val="1"/>
      <w:marLeft w:val="0"/>
      <w:marRight w:val="0"/>
      <w:marTop w:val="0"/>
      <w:marBottom w:val="0"/>
      <w:divBdr>
        <w:top w:val="none" w:sz="0" w:space="0" w:color="auto"/>
        <w:left w:val="none" w:sz="0" w:space="0" w:color="auto"/>
        <w:bottom w:val="none" w:sz="0" w:space="0" w:color="auto"/>
        <w:right w:val="none" w:sz="0" w:space="0" w:color="auto"/>
      </w:divBdr>
    </w:div>
    <w:div w:id="641497023">
      <w:bodyDiv w:val="1"/>
      <w:marLeft w:val="0"/>
      <w:marRight w:val="0"/>
      <w:marTop w:val="0"/>
      <w:marBottom w:val="0"/>
      <w:divBdr>
        <w:top w:val="none" w:sz="0" w:space="0" w:color="auto"/>
        <w:left w:val="none" w:sz="0" w:space="0" w:color="auto"/>
        <w:bottom w:val="none" w:sz="0" w:space="0" w:color="auto"/>
        <w:right w:val="none" w:sz="0" w:space="0" w:color="auto"/>
      </w:divBdr>
    </w:div>
    <w:div w:id="669480859">
      <w:bodyDiv w:val="1"/>
      <w:marLeft w:val="0"/>
      <w:marRight w:val="0"/>
      <w:marTop w:val="0"/>
      <w:marBottom w:val="0"/>
      <w:divBdr>
        <w:top w:val="none" w:sz="0" w:space="0" w:color="auto"/>
        <w:left w:val="none" w:sz="0" w:space="0" w:color="auto"/>
        <w:bottom w:val="none" w:sz="0" w:space="0" w:color="auto"/>
        <w:right w:val="none" w:sz="0" w:space="0" w:color="auto"/>
      </w:divBdr>
    </w:div>
    <w:div w:id="686522211">
      <w:bodyDiv w:val="1"/>
      <w:marLeft w:val="0"/>
      <w:marRight w:val="0"/>
      <w:marTop w:val="0"/>
      <w:marBottom w:val="0"/>
      <w:divBdr>
        <w:top w:val="none" w:sz="0" w:space="0" w:color="auto"/>
        <w:left w:val="none" w:sz="0" w:space="0" w:color="auto"/>
        <w:bottom w:val="none" w:sz="0" w:space="0" w:color="auto"/>
        <w:right w:val="none" w:sz="0" w:space="0" w:color="auto"/>
      </w:divBdr>
    </w:div>
    <w:div w:id="687487799">
      <w:bodyDiv w:val="1"/>
      <w:marLeft w:val="0"/>
      <w:marRight w:val="0"/>
      <w:marTop w:val="0"/>
      <w:marBottom w:val="0"/>
      <w:divBdr>
        <w:top w:val="none" w:sz="0" w:space="0" w:color="auto"/>
        <w:left w:val="none" w:sz="0" w:space="0" w:color="auto"/>
        <w:bottom w:val="none" w:sz="0" w:space="0" w:color="auto"/>
        <w:right w:val="none" w:sz="0" w:space="0" w:color="auto"/>
      </w:divBdr>
    </w:div>
    <w:div w:id="688918996">
      <w:bodyDiv w:val="1"/>
      <w:marLeft w:val="0"/>
      <w:marRight w:val="0"/>
      <w:marTop w:val="0"/>
      <w:marBottom w:val="0"/>
      <w:divBdr>
        <w:top w:val="none" w:sz="0" w:space="0" w:color="auto"/>
        <w:left w:val="none" w:sz="0" w:space="0" w:color="auto"/>
        <w:bottom w:val="none" w:sz="0" w:space="0" w:color="auto"/>
        <w:right w:val="none" w:sz="0" w:space="0" w:color="auto"/>
      </w:divBdr>
      <w:divsChild>
        <w:div w:id="1304845406">
          <w:marLeft w:val="0"/>
          <w:marRight w:val="0"/>
          <w:marTop w:val="0"/>
          <w:marBottom w:val="0"/>
          <w:divBdr>
            <w:top w:val="none" w:sz="0" w:space="0" w:color="auto"/>
            <w:left w:val="none" w:sz="0" w:space="0" w:color="auto"/>
            <w:bottom w:val="none" w:sz="0" w:space="0" w:color="auto"/>
            <w:right w:val="none" w:sz="0" w:space="0" w:color="auto"/>
          </w:divBdr>
          <w:divsChild>
            <w:div w:id="417750461">
              <w:marLeft w:val="0"/>
              <w:marRight w:val="0"/>
              <w:marTop w:val="0"/>
              <w:marBottom w:val="0"/>
              <w:divBdr>
                <w:top w:val="none" w:sz="0" w:space="0" w:color="auto"/>
                <w:left w:val="none" w:sz="0" w:space="0" w:color="auto"/>
                <w:bottom w:val="none" w:sz="0" w:space="0" w:color="auto"/>
                <w:right w:val="none" w:sz="0" w:space="0" w:color="auto"/>
              </w:divBdr>
              <w:divsChild>
                <w:div w:id="436994749">
                  <w:marLeft w:val="0"/>
                  <w:marRight w:val="0"/>
                  <w:marTop w:val="0"/>
                  <w:marBottom w:val="0"/>
                  <w:divBdr>
                    <w:top w:val="none" w:sz="0" w:space="0" w:color="auto"/>
                    <w:left w:val="none" w:sz="0" w:space="0" w:color="auto"/>
                    <w:bottom w:val="none" w:sz="0" w:space="0" w:color="auto"/>
                    <w:right w:val="none" w:sz="0" w:space="0" w:color="auto"/>
                  </w:divBdr>
                  <w:divsChild>
                    <w:div w:id="669866491">
                      <w:marLeft w:val="0"/>
                      <w:marRight w:val="0"/>
                      <w:marTop w:val="0"/>
                      <w:marBottom w:val="0"/>
                      <w:divBdr>
                        <w:top w:val="none" w:sz="0" w:space="0" w:color="auto"/>
                        <w:left w:val="none" w:sz="0" w:space="0" w:color="auto"/>
                        <w:bottom w:val="none" w:sz="0" w:space="0" w:color="auto"/>
                        <w:right w:val="none" w:sz="0" w:space="0" w:color="auto"/>
                      </w:divBdr>
                      <w:divsChild>
                        <w:div w:id="1511338165">
                          <w:marLeft w:val="0"/>
                          <w:marRight w:val="0"/>
                          <w:marTop w:val="0"/>
                          <w:marBottom w:val="0"/>
                          <w:divBdr>
                            <w:top w:val="none" w:sz="0" w:space="0" w:color="auto"/>
                            <w:left w:val="none" w:sz="0" w:space="0" w:color="auto"/>
                            <w:bottom w:val="none" w:sz="0" w:space="0" w:color="auto"/>
                            <w:right w:val="none" w:sz="0" w:space="0" w:color="auto"/>
                          </w:divBdr>
                          <w:divsChild>
                            <w:div w:id="1001082821">
                              <w:marLeft w:val="0"/>
                              <w:marRight w:val="0"/>
                              <w:marTop w:val="0"/>
                              <w:marBottom w:val="0"/>
                              <w:divBdr>
                                <w:top w:val="none" w:sz="0" w:space="0" w:color="auto"/>
                                <w:left w:val="single" w:sz="6" w:space="0" w:color="E5E3E3"/>
                                <w:bottom w:val="none" w:sz="0" w:space="0" w:color="auto"/>
                                <w:right w:val="none" w:sz="0" w:space="0" w:color="auto"/>
                              </w:divBdr>
                              <w:divsChild>
                                <w:div w:id="1069696233">
                                  <w:marLeft w:val="0"/>
                                  <w:marRight w:val="0"/>
                                  <w:marTop w:val="0"/>
                                  <w:marBottom w:val="0"/>
                                  <w:divBdr>
                                    <w:top w:val="none" w:sz="0" w:space="0" w:color="auto"/>
                                    <w:left w:val="none" w:sz="0" w:space="0" w:color="auto"/>
                                    <w:bottom w:val="none" w:sz="0" w:space="0" w:color="auto"/>
                                    <w:right w:val="none" w:sz="0" w:space="0" w:color="auto"/>
                                  </w:divBdr>
                                  <w:divsChild>
                                    <w:div w:id="648216601">
                                      <w:marLeft w:val="0"/>
                                      <w:marRight w:val="0"/>
                                      <w:marTop w:val="0"/>
                                      <w:marBottom w:val="0"/>
                                      <w:divBdr>
                                        <w:top w:val="none" w:sz="0" w:space="0" w:color="auto"/>
                                        <w:left w:val="none" w:sz="0" w:space="0" w:color="auto"/>
                                        <w:bottom w:val="none" w:sz="0" w:space="0" w:color="auto"/>
                                        <w:right w:val="none" w:sz="0" w:space="0" w:color="auto"/>
                                      </w:divBdr>
                                      <w:divsChild>
                                        <w:div w:id="1095633064">
                                          <w:marLeft w:val="0"/>
                                          <w:marRight w:val="0"/>
                                          <w:marTop w:val="0"/>
                                          <w:marBottom w:val="0"/>
                                          <w:divBdr>
                                            <w:top w:val="none" w:sz="0" w:space="0" w:color="auto"/>
                                            <w:left w:val="none" w:sz="0" w:space="0" w:color="auto"/>
                                            <w:bottom w:val="none" w:sz="0" w:space="0" w:color="auto"/>
                                            <w:right w:val="none" w:sz="0" w:space="0" w:color="auto"/>
                                          </w:divBdr>
                                          <w:divsChild>
                                            <w:div w:id="254243503">
                                              <w:marLeft w:val="0"/>
                                              <w:marRight w:val="0"/>
                                              <w:marTop w:val="0"/>
                                              <w:marBottom w:val="0"/>
                                              <w:divBdr>
                                                <w:top w:val="none" w:sz="0" w:space="0" w:color="auto"/>
                                                <w:left w:val="none" w:sz="0" w:space="0" w:color="auto"/>
                                                <w:bottom w:val="none" w:sz="0" w:space="0" w:color="auto"/>
                                                <w:right w:val="none" w:sz="0" w:space="0" w:color="auto"/>
                                              </w:divBdr>
                                              <w:divsChild>
                                                <w:div w:id="2023848252">
                                                  <w:marLeft w:val="0"/>
                                                  <w:marRight w:val="0"/>
                                                  <w:marTop w:val="0"/>
                                                  <w:marBottom w:val="0"/>
                                                  <w:divBdr>
                                                    <w:top w:val="none" w:sz="0" w:space="0" w:color="auto"/>
                                                    <w:left w:val="none" w:sz="0" w:space="0" w:color="auto"/>
                                                    <w:bottom w:val="none" w:sz="0" w:space="0" w:color="auto"/>
                                                    <w:right w:val="none" w:sz="0" w:space="0" w:color="auto"/>
                                                  </w:divBdr>
                                                  <w:divsChild>
                                                    <w:div w:id="1827359165">
                                                      <w:marLeft w:val="0"/>
                                                      <w:marRight w:val="0"/>
                                                      <w:marTop w:val="0"/>
                                                      <w:marBottom w:val="0"/>
                                                      <w:divBdr>
                                                        <w:top w:val="none" w:sz="0" w:space="0" w:color="auto"/>
                                                        <w:left w:val="none" w:sz="0" w:space="0" w:color="auto"/>
                                                        <w:bottom w:val="none" w:sz="0" w:space="0" w:color="auto"/>
                                                        <w:right w:val="none" w:sz="0" w:space="0" w:color="auto"/>
                                                      </w:divBdr>
                                                      <w:divsChild>
                                                        <w:div w:id="681123608">
                                                          <w:marLeft w:val="480"/>
                                                          <w:marRight w:val="0"/>
                                                          <w:marTop w:val="0"/>
                                                          <w:marBottom w:val="0"/>
                                                          <w:divBdr>
                                                            <w:top w:val="none" w:sz="0" w:space="0" w:color="auto"/>
                                                            <w:left w:val="none" w:sz="0" w:space="0" w:color="auto"/>
                                                            <w:bottom w:val="none" w:sz="0" w:space="0" w:color="auto"/>
                                                            <w:right w:val="none" w:sz="0" w:space="0" w:color="auto"/>
                                                          </w:divBdr>
                                                          <w:divsChild>
                                                            <w:div w:id="2083018552">
                                                              <w:marLeft w:val="0"/>
                                                              <w:marRight w:val="0"/>
                                                              <w:marTop w:val="0"/>
                                                              <w:marBottom w:val="0"/>
                                                              <w:divBdr>
                                                                <w:top w:val="none" w:sz="0" w:space="0" w:color="auto"/>
                                                                <w:left w:val="none" w:sz="0" w:space="0" w:color="auto"/>
                                                                <w:bottom w:val="none" w:sz="0" w:space="0" w:color="auto"/>
                                                                <w:right w:val="none" w:sz="0" w:space="0" w:color="auto"/>
                                                              </w:divBdr>
                                                              <w:divsChild>
                                                                <w:div w:id="430319235">
                                                                  <w:marLeft w:val="0"/>
                                                                  <w:marRight w:val="0"/>
                                                                  <w:marTop w:val="0"/>
                                                                  <w:marBottom w:val="0"/>
                                                                  <w:divBdr>
                                                                    <w:top w:val="none" w:sz="0" w:space="0" w:color="auto"/>
                                                                    <w:left w:val="none" w:sz="0" w:space="0" w:color="auto"/>
                                                                    <w:bottom w:val="none" w:sz="0" w:space="0" w:color="auto"/>
                                                                    <w:right w:val="none" w:sz="0" w:space="0" w:color="auto"/>
                                                                  </w:divBdr>
                                                                  <w:divsChild>
                                                                    <w:div w:id="109856920">
                                                                      <w:marLeft w:val="0"/>
                                                                      <w:marRight w:val="0"/>
                                                                      <w:marTop w:val="0"/>
                                                                      <w:marBottom w:val="0"/>
                                                                      <w:divBdr>
                                                                        <w:top w:val="none" w:sz="0" w:space="0" w:color="auto"/>
                                                                        <w:left w:val="none" w:sz="0" w:space="0" w:color="auto"/>
                                                                        <w:bottom w:val="none" w:sz="0" w:space="0" w:color="auto"/>
                                                                        <w:right w:val="none" w:sz="0" w:space="0" w:color="auto"/>
                                                                      </w:divBdr>
                                                                      <w:divsChild>
                                                                        <w:div w:id="174921800">
                                                                          <w:marLeft w:val="0"/>
                                                                          <w:marRight w:val="0"/>
                                                                          <w:marTop w:val="0"/>
                                                                          <w:marBottom w:val="0"/>
                                                                          <w:divBdr>
                                                                            <w:top w:val="none" w:sz="0" w:space="0" w:color="auto"/>
                                                                            <w:left w:val="none" w:sz="0" w:space="0" w:color="auto"/>
                                                                            <w:bottom w:val="none" w:sz="0" w:space="0" w:color="auto"/>
                                                                            <w:right w:val="none" w:sz="0" w:space="0" w:color="auto"/>
                                                                          </w:divBdr>
                                                                          <w:divsChild>
                                                                            <w:div w:id="2117864946">
                                                                              <w:marLeft w:val="0"/>
                                                                              <w:marRight w:val="0"/>
                                                                              <w:marTop w:val="0"/>
                                                                              <w:marBottom w:val="0"/>
                                                                              <w:divBdr>
                                                                                <w:top w:val="none" w:sz="0" w:space="0" w:color="auto"/>
                                                                                <w:left w:val="none" w:sz="0" w:space="0" w:color="auto"/>
                                                                                <w:bottom w:val="none" w:sz="0" w:space="0" w:color="auto"/>
                                                                                <w:right w:val="none" w:sz="0" w:space="0" w:color="auto"/>
                                                                              </w:divBdr>
                                                                              <w:divsChild>
                                                                                <w:div w:id="224730628">
                                                                                  <w:marLeft w:val="0"/>
                                                                                  <w:marRight w:val="0"/>
                                                                                  <w:marTop w:val="0"/>
                                                                                  <w:marBottom w:val="0"/>
                                                                                  <w:divBdr>
                                                                                    <w:top w:val="none" w:sz="0" w:space="0" w:color="auto"/>
                                                                                    <w:left w:val="none" w:sz="0" w:space="0" w:color="auto"/>
                                                                                    <w:bottom w:val="single" w:sz="6" w:space="23" w:color="auto"/>
                                                                                    <w:right w:val="none" w:sz="0" w:space="0" w:color="auto"/>
                                                                                  </w:divBdr>
                                                                                  <w:divsChild>
                                                                                    <w:div w:id="1451589054">
                                                                                      <w:marLeft w:val="0"/>
                                                                                      <w:marRight w:val="0"/>
                                                                                      <w:marTop w:val="0"/>
                                                                                      <w:marBottom w:val="0"/>
                                                                                      <w:divBdr>
                                                                                        <w:top w:val="none" w:sz="0" w:space="0" w:color="auto"/>
                                                                                        <w:left w:val="none" w:sz="0" w:space="0" w:color="auto"/>
                                                                                        <w:bottom w:val="none" w:sz="0" w:space="0" w:color="auto"/>
                                                                                        <w:right w:val="none" w:sz="0" w:space="0" w:color="auto"/>
                                                                                      </w:divBdr>
                                                                                      <w:divsChild>
                                                                                        <w:div w:id="1792700076">
                                                                                          <w:marLeft w:val="0"/>
                                                                                          <w:marRight w:val="0"/>
                                                                                          <w:marTop w:val="0"/>
                                                                                          <w:marBottom w:val="0"/>
                                                                                          <w:divBdr>
                                                                                            <w:top w:val="none" w:sz="0" w:space="0" w:color="auto"/>
                                                                                            <w:left w:val="none" w:sz="0" w:space="0" w:color="auto"/>
                                                                                            <w:bottom w:val="none" w:sz="0" w:space="0" w:color="auto"/>
                                                                                            <w:right w:val="none" w:sz="0" w:space="0" w:color="auto"/>
                                                                                          </w:divBdr>
                                                                                          <w:divsChild>
                                                                                            <w:div w:id="2044136665">
                                                                                              <w:marLeft w:val="0"/>
                                                                                              <w:marRight w:val="0"/>
                                                                                              <w:marTop w:val="0"/>
                                                                                              <w:marBottom w:val="0"/>
                                                                                              <w:divBdr>
                                                                                                <w:top w:val="none" w:sz="0" w:space="0" w:color="auto"/>
                                                                                                <w:left w:val="none" w:sz="0" w:space="0" w:color="auto"/>
                                                                                                <w:bottom w:val="none" w:sz="0" w:space="0" w:color="auto"/>
                                                                                                <w:right w:val="none" w:sz="0" w:space="0" w:color="auto"/>
                                                                                              </w:divBdr>
                                                                                              <w:divsChild>
                                                                                                <w:div w:id="758260321">
                                                                                                  <w:marLeft w:val="0"/>
                                                                                                  <w:marRight w:val="0"/>
                                                                                                  <w:marTop w:val="0"/>
                                                                                                  <w:marBottom w:val="0"/>
                                                                                                  <w:divBdr>
                                                                                                    <w:top w:val="none" w:sz="0" w:space="0" w:color="auto"/>
                                                                                                    <w:left w:val="none" w:sz="0" w:space="0" w:color="auto"/>
                                                                                                    <w:bottom w:val="none" w:sz="0" w:space="0" w:color="auto"/>
                                                                                                    <w:right w:val="none" w:sz="0" w:space="0" w:color="auto"/>
                                                                                                  </w:divBdr>
                                                                                                  <w:divsChild>
                                                                                                    <w:div w:id="19695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04">
      <w:bodyDiv w:val="1"/>
      <w:marLeft w:val="0"/>
      <w:marRight w:val="0"/>
      <w:marTop w:val="0"/>
      <w:marBottom w:val="0"/>
      <w:divBdr>
        <w:top w:val="none" w:sz="0" w:space="0" w:color="auto"/>
        <w:left w:val="none" w:sz="0" w:space="0" w:color="auto"/>
        <w:bottom w:val="none" w:sz="0" w:space="0" w:color="auto"/>
        <w:right w:val="none" w:sz="0" w:space="0" w:color="auto"/>
      </w:divBdr>
    </w:div>
    <w:div w:id="712578743">
      <w:bodyDiv w:val="1"/>
      <w:marLeft w:val="0"/>
      <w:marRight w:val="0"/>
      <w:marTop w:val="0"/>
      <w:marBottom w:val="0"/>
      <w:divBdr>
        <w:top w:val="none" w:sz="0" w:space="0" w:color="auto"/>
        <w:left w:val="none" w:sz="0" w:space="0" w:color="auto"/>
        <w:bottom w:val="none" w:sz="0" w:space="0" w:color="auto"/>
        <w:right w:val="none" w:sz="0" w:space="0" w:color="auto"/>
      </w:divBdr>
    </w:div>
    <w:div w:id="723211128">
      <w:bodyDiv w:val="1"/>
      <w:marLeft w:val="0"/>
      <w:marRight w:val="0"/>
      <w:marTop w:val="0"/>
      <w:marBottom w:val="0"/>
      <w:divBdr>
        <w:top w:val="none" w:sz="0" w:space="0" w:color="auto"/>
        <w:left w:val="none" w:sz="0" w:space="0" w:color="auto"/>
        <w:bottom w:val="none" w:sz="0" w:space="0" w:color="auto"/>
        <w:right w:val="none" w:sz="0" w:space="0" w:color="auto"/>
      </w:divBdr>
    </w:div>
    <w:div w:id="726341463">
      <w:bodyDiv w:val="1"/>
      <w:marLeft w:val="0"/>
      <w:marRight w:val="0"/>
      <w:marTop w:val="0"/>
      <w:marBottom w:val="0"/>
      <w:divBdr>
        <w:top w:val="none" w:sz="0" w:space="0" w:color="auto"/>
        <w:left w:val="none" w:sz="0" w:space="0" w:color="auto"/>
        <w:bottom w:val="none" w:sz="0" w:space="0" w:color="auto"/>
        <w:right w:val="none" w:sz="0" w:space="0" w:color="auto"/>
      </w:divBdr>
    </w:div>
    <w:div w:id="738331645">
      <w:bodyDiv w:val="1"/>
      <w:marLeft w:val="0"/>
      <w:marRight w:val="0"/>
      <w:marTop w:val="0"/>
      <w:marBottom w:val="0"/>
      <w:divBdr>
        <w:top w:val="none" w:sz="0" w:space="0" w:color="auto"/>
        <w:left w:val="none" w:sz="0" w:space="0" w:color="auto"/>
        <w:bottom w:val="none" w:sz="0" w:space="0" w:color="auto"/>
        <w:right w:val="none" w:sz="0" w:space="0" w:color="auto"/>
      </w:divBdr>
    </w:div>
    <w:div w:id="747969233">
      <w:bodyDiv w:val="1"/>
      <w:marLeft w:val="0"/>
      <w:marRight w:val="0"/>
      <w:marTop w:val="0"/>
      <w:marBottom w:val="0"/>
      <w:divBdr>
        <w:top w:val="none" w:sz="0" w:space="0" w:color="auto"/>
        <w:left w:val="none" w:sz="0" w:space="0" w:color="auto"/>
        <w:bottom w:val="none" w:sz="0" w:space="0" w:color="auto"/>
        <w:right w:val="none" w:sz="0" w:space="0" w:color="auto"/>
      </w:divBdr>
    </w:div>
    <w:div w:id="752506514">
      <w:bodyDiv w:val="1"/>
      <w:marLeft w:val="0"/>
      <w:marRight w:val="0"/>
      <w:marTop w:val="0"/>
      <w:marBottom w:val="0"/>
      <w:divBdr>
        <w:top w:val="none" w:sz="0" w:space="0" w:color="auto"/>
        <w:left w:val="none" w:sz="0" w:space="0" w:color="auto"/>
        <w:bottom w:val="none" w:sz="0" w:space="0" w:color="auto"/>
        <w:right w:val="none" w:sz="0" w:space="0" w:color="auto"/>
      </w:divBdr>
    </w:div>
    <w:div w:id="755713532">
      <w:bodyDiv w:val="1"/>
      <w:marLeft w:val="0"/>
      <w:marRight w:val="0"/>
      <w:marTop w:val="0"/>
      <w:marBottom w:val="0"/>
      <w:divBdr>
        <w:top w:val="none" w:sz="0" w:space="0" w:color="auto"/>
        <w:left w:val="none" w:sz="0" w:space="0" w:color="auto"/>
        <w:bottom w:val="none" w:sz="0" w:space="0" w:color="auto"/>
        <w:right w:val="none" w:sz="0" w:space="0" w:color="auto"/>
      </w:divBdr>
    </w:div>
    <w:div w:id="762646553">
      <w:bodyDiv w:val="1"/>
      <w:marLeft w:val="0"/>
      <w:marRight w:val="0"/>
      <w:marTop w:val="0"/>
      <w:marBottom w:val="0"/>
      <w:divBdr>
        <w:top w:val="none" w:sz="0" w:space="0" w:color="auto"/>
        <w:left w:val="none" w:sz="0" w:space="0" w:color="auto"/>
        <w:bottom w:val="none" w:sz="0" w:space="0" w:color="auto"/>
        <w:right w:val="none" w:sz="0" w:space="0" w:color="auto"/>
      </w:divBdr>
    </w:div>
    <w:div w:id="773135755">
      <w:bodyDiv w:val="1"/>
      <w:marLeft w:val="0"/>
      <w:marRight w:val="0"/>
      <w:marTop w:val="0"/>
      <w:marBottom w:val="0"/>
      <w:divBdr>
        <w:top w:val="none" w:sz="0" w:space="0" w:color="auto"/>
        <w:left w:val="none" w:sz="0" w:space="0" w:color="auto"/>
        <w:bottom w:val="none" w:sz="0" w:space="0" w:color="auto"/>
        <w:right w:val="none" w:sz="0" w:space="0" w:color="auto"/>
      </w:divBdr>
    </w:div>
    <w:div w:id="774911112">
      <w:bodyDiv w:val="1"/>
      <w:marLeft w:val="0"/>
      <w:marRight w:val="0"/>
      <w:marTop w:val="0"/>
      <w:marBottom w:val="0"/>
      <w:divBdr>
        <w:top w:val="none" w:sz="0" w:space="0" w:color="auto"/>
        <w:left w:val="none" w:sz="0" w:space="0" w:color="auto"/>
        <w:bottom w:val="none" w:sz="0" w:space="0" w:color="auto"/>
        <w:right w:val="none" w:sz="0" w:space="0" w:color="auto"/>
      </w:divBdr>
    </w:div>
    <w:div w:id="787745633">
      <w:bodyDiv w:val="1"/>
      <w:marLeft w:val="0"/>
      <w:marRight w:val="0"/>
      <w:marTop w:val="0"/>
      <w:marBottom w:val="0"/>
      <w:divBdr>
        <w:top w:val="none" w:sz="0" w:space="0" w:color="auto"/>
        <w:left w:val="none" w:sz="0" w:space="0" w:color="auto"/>
        <w:bottom w:val="none" w:sz="0" w:space="0" w:color="auto"/>
        <w:right w:val="none" w:sz="0" w:space="0" w:color="auto"/>
      </w:divBdr>
    </w:div>
    <w:div w:id="788544806">
      <w:bodyDiv w:val="1"/>
      <w:marLeft w:val="0"/>
      <w:marRight w:val="0"/>
      <w:marTop w:val="0"/>
      <w:marBottom w:val="0"/>
      <w:divBdr>
        <w:top w:val="none" w:sz="0" w:space="0" w:color="auto"/>
        <w:left w:val="none" w:sz="0" w:space="0" w:color="auto"/>
        <w:bottom w:val="none" w:sz="0" w:space="0" w:color="auto"/>
        <w:right w:val="none" w:sz="0" w:space="0" w:color="auto"/>
      </w:divBdr>
    </w:div>
    <w:div w:id="795876465">
      <w:bodyDiv w:val="1"/>
      <w:marLeft w:val="0"/>
      <w:marRight w:val="0"/>
      <w:marTop w:val="0"/>
      <w:marBottom w:val="0"/>
      <w:divBdr>
        <w:top w:val="none" w:sz="0" w:space="0" w:color="auto"/>
        <w:left w:val="none" w:sz="0" w:space="0" w:color="auto"/>
        <w:bottom w:val="none" w:sz="0" w:space="0" w:color="auto"/>
        <w:right w:val="none" w:sz="0" w:space="0" w:color="auto"/>
      </w:divBdr>
    </w:div>
    <w:div w:id="821505656">
      <w:bodyDiv w:val="1"/>
      <w:marLeft w:val="0"/>
      <w:marRight w:val="0"/>
      <w:marTop w:val="0"/>
      <w:marBottom w:val="0"/>
      <w:divBdr>
        <w:top w:val="none" w:sz="0" w:space="0" w:color="auto"/>
        <w:left w:val="none" w:sz="0" w:space="0" w:color="auto"/>
        <w:bottom w:val="none" w:sz="0" w:space="0" w:color="auto"/>
        <w:right w:val="none" w:sz="0" w:space="0" w:color="auto"/>
      </w:divBdr>
    </w:div>
    <w:div w:id="825632436">
      <w:bodyDiv w:val="1"/>
      <w:marLeft w:val="0"/>
      <w:marRight w:val="0"/>
      <w:marTop w:val="0"/>
      <w:marBottom w:val="0"/>
      <w:divBdr>
        <w:top w:val="none" w:sz="0" w:space="0" w:color="auto"/>
        <w:left w:val="none" w:sz="0" w:space="0" w:color="auto"/>
        <w:bottom w:val="none" w:sz="0" w:space="0" w:color="auto"/>
        <w:right w:val="none" w:sz="0" w:space="0" w:color="auto"/>
      </w:divBdr>
    </w:div>
    <w:div w:id="832140694">
      <w:bodyDiv w:val="1"/>
      <w:marLeft w:val="0"/>
      <w:marRight w:val="0"/>
      <w:marTop w:val="0"/>
      <w:marBottom w:val="0"/>
      <w:divBdr>
        <w:top w:val="none" w:sz="0" w:space="0" w:color="auto"/>
        <w:left w:val="none" w:sz="0" w:space="0" w:color="auto"/>
        <w:bottom w:val="none" w:sz="0" w:space="0" w:color="auto"/>
        <w:right w:val="none" w:sz="0" w:space="0" w:color="auto"/>
      </w:divBdr>
    </w:div>
    <w:div w:id="839734177">
      <w:bodyDiv w:val="1"/>
      <w:marLeft w:val="0"/>
      <w:marRight w:val="0"/>
      <w:marTop w:val="0"/>
      <w:marBottom w:val="0"/>
      <w:divBdr>
        <w:top w:val="none" w:sz="0" w:space="0" w:color="auto"/>
        <w:left w:val="none" w:sz="0" w:space="0" w:color="auto"/>
        <w:bottom w:val="none" w:sz="0" w:space="0" w:color="auto"/>
        <w:right w:val="none" w:sz="0" w:space="0" w:color="auto"/>
      </w:divBdr>
    </w:div>
    <w:div w:id="845943928">
      <w:bodyDiv w:val="1"/>
      <w:marLeft w:val="0"/>
      <w:marRight w:val="0"/>
      <w:marTop w:val="0"/>
      <w:marBottom w:val="0"/>
      <w:divBdr>
        <w:top w:val="none" w:sz="0" w:space="0" w:color="auto"/>
        <w:left w:val="none" w:sz="0" w:space="0" w:color="auto"/>
        <w:bottom w:val="none" w:sz="0" w:space="0" w:color="auto"/>
        <w:right w:val="none" w:sz="0" w:space="0" w:color="auto"/>
      </w:divBdr>
    </w:div>
    <w:div w:id="878854211">
      <w:bodyDiv w:val="1"/>
      <w:marLeft w:val="0"/>
      <w:marRight w:val="0"/>
      <w:marTop w:val="0"/>
      <w:marBottom w:val="0"/>
      <w:divBdr>
        <w:top w:val="none" w:sz="0" w:space="0" w:color="auto"/>
        <w:left w:val="none" w:sz="0" w:space="0" w:color="auto"/>
        <w:bottom w:val="none" w:sz="0" w:space="0" w:color="auto"/>
        <w:right w:val="none" w:sz="0" w:space="0" w:color="auto"/>
      </w:divBdr>
    </w:div>
    <w:div w:id="882448433">
      <w:bodyDiv w:val="1"/>
      <w:marLeft w:val="0"/>
      <w:marRight w:val="0"/>
      <w:marTop w:val="0"/>
      <w:marBottom w:val="0"/>
      <w:divBdr>
        <w:top w:val="none" w:sz="0" w:space="0" w:color="auto"/>
        <w:left w:val="none" w:sz="0" w:space="0" w:color="auto"/>
        <w:bottom w:val="none" w:sz="0" w:space="0" w:color="auto"/>
        <w:right w:val="none" w:sz="0" w:space="0" w:color="auto"/>
      </w:divBdr>
    </w:div>
    <w:div w:id="899555597">
      <w:bodyDiv w:val="1"/>
      <w:marLeft w:val="0"/>
      <w:marRight w:val="0"/>
      <w:marTop w:val="0"/>
      <w:marBottom w:val="0"/>
      <w:divBdr>
        <w:top w:val="none" w:sz="0" w:space="0" w:color="auto"/>
        <w:left w:val="none" w:sz="0" w:space="0" w:color="auto"/>
        <w:bottom w:val="none" w:sz="0" w:space="0" w:color="auto"/>
        <w:right w:val="none" w:sz="0" w:space="0" w:color="auto"/>
      </w:divBdr>
    </w:div>
    <w:div w:id="901982846">
      <w:bodyDiv w:val="1"/>
      <w:marLeft w:val="0"/>
      <w:marRight w:val="0"/>
      <w:marTop w:val="0"/>
      <w:marBottom w:val="0"/>
      <w:divBdr>
        <w:top w:val="none" w:sz="0" w:space="0" w:color="auto"/>
        <w:left w:val="none" w:sz="0" w:space="0" w:color="auto"/>
        <w:bottom w:val="none" w:sz="0" w:space="0" w:color="auto"/>
        <w:right w:val="none" w:sz="0" w:space="0" w:color="auto"/>
      </w:divBdr>
    </w:div>
    <w:div w:id="906188959">
      <w:bodyDiv w:val="1"/>
      <w:marLeft w:val="0"/>
      <w:marRight w:val="0"/>
      <w:marTop w:val="0"/>
      <w:marBottom w:val="0"/>
      <w:divBdr>
        <w:top w:val="none" w:sz="0" w:space="0" w:color="auto"/>
        <w:left w:val="none" w:sz="0" w:space="0" w:color="auto"/>
        <w:bottom w:val="none" w:sz="0" w:space="0" w:color="auto"/>
        <w:right w:val="none" w:sz="0" w:space="0" w:color="auto"/>
      </w:divBdr>
    </w:div>
    <w:div w:id="916596796">
      <w:bodyDiv w:val="1"/>
      <w:marLeft w:val="0"/>
      <w:marRight w:val="0"/>
      <w:marTop w:val="0"/>
      <w:marBottom w:val="0"/>
      <w:divBdr>
        <w:top w:val="none" w:sz="0" w:space="0" w:color="auto"/>
        <w:left w:val="none" w:sz="0" w:space="0" w:color="auto"/>
        <w:bottom w:val="none" w:sz="0" w:space="0" w:color="auto"/>
        <w:right w:val="none" w:sz="0" w:space="0" w:color="auto"/>
      </w:divBdr>
    </w:div>
    <w:div w:id="919369029">
      <w:bodyDiv w:val="1"/>
      <w:marLeft w:val="0"/>
      <w:marRight w:val="0"/>
      <w:marTop w:val="0"/>
      <w:marBottom w:val="0"/>
      <w:divBdr>
        <w:top w:val="none" w:sz="0" w:space="0" w:color="auto"/>
        <w:left w:val="none" w:sz="0" w:space="0" w:color="auto"/>
        <w:bottom w:val="none" w:sz="0" w:space="0" w:color="auto"/>
        <w:right w:val="none" w:sz="0" w:space="0" w:color="auto"/>
      </w:divBdr>
    </w:div>
    <w:div w:id="922836285">
      <w:bodyDiv w:val="1"/>
      <w:marLeft w:val="0"/>
      <w:marRight w:val="0"/>
      <w:marTop w:val="0"/>
      <w:marBottom w:val="0"/>
      <w:divBdr>
        <w:top w:val="none" w:sz="0" w:space="0" w:color="auto"/>
        <w:left w:val="none" w:sz="0" w:space="0" w:color="auto"/>
        <w:bottom w:val="none" w:sz="0" w:space="0" w:color="auto"/>
        <w:right w:val="none" w:sz="0" w:space="0" w:color="auto"/>
      </w:divBdr>
    </w:div>
    <w:div w:id="930506242">
      <w:bodyDiv w:val="1"/>
      <w:marLeft w:val="0"/>
      <w:marRight w:val="0"/>
      <w:marTop w:val="0"/>
      <w:marBottom w:val="0"/>
      <w:divBdr>
        <w:top w:val="none" w:sz="0" w:space="0" w:color="auto"/>
        <w:left w:val="none" w:sz="0" w:space="0" w:color="auto"/>
        <w:bottom w:val="none" w:sz="0" w:space="0" w:color="auto"/>
        <w:right w:val="none" w:sz="0" w:space="0" w:color="auto"/>
      </w:divBdr>
    </w:div>
    <w:div w:id="966278704">
      <w:bodyDiv w:val="1"/>
      <w:marLeft w:val="0"/>
      <w:marRight w:val="0"/>
      <w:marTop w:val="0"/>
      <w:marBottom w:val="0"/>
      <w:divBdr>
        <w:top w:val="none" w:sz="0" w:space="0" w:color="auto"/>
        <w:left w:val="none" w:sz="0" w:space="0" w:color="auto"/>
        <w:bottom w:val="none" w:sz="0" w:space="0" w:color="auto"/>
        <w:right w:val="none" w:sz="0" w:space="0" w:color="auto"/>
      </w:divBdr>
    </w:div>
    <w:div w:id="975526276">
      <w:bodyDiv w:val="1"/>
      <w:marLeft w:val="0"/>
      <w:marRight w:val="0"/>
      <w:marTop w:val="0"/>
      <w:marBottom w:val="0"/>
      <w:divBdr>
        <w:top w:val="none" w:sz="0" w:space="0" w:color="auto"/>
        <w:left w:val="none" w:sz="0" w:space="0" w:color="auto"/>
        <w:bottom w:val="none" w:sz="0" w:space="0" w:color="auto"/>
        <w:right w:val="none" w:sz="0" w:space="0" w:color="auto"/>
      </w:divBdr>
    </w:div>
    <w:div w:id="980883792">
      <w:bodyDiv w:val="1"/>
      <w:marLeft w:val="0"/>
      <w:marRight w:val="0"/>
      <w:marTop w:val="0"/>
      <w:marBottom w:val="0"/>
      <w:divBdr>
        <w:top w:val="none" w:sz="0" w:space="0" w:color="auto"/>
        <w:left w:val="none" w:sz="0" w:space="0" w:color="auto"/>
        <w:bottom w:val="none" w:sz="0" w:space="0" w:color="auto"/>
        <w:right w:val="none" w:sz="0" w:space="0" w:color="auto"/>
      </w:divBdr>
    </w:div>
    <w:div w:id="1062216971">
      <w:bodyDiv w:val="1"/>
      <w:marLeft w:val="0"/>
      <w:marRight w:val="0"/>
      <w:marTop w:val="0"/>
      <w:marBottom w:val="0"/>
      <w:divBdr>
        <w:top w:val="none" w:sz="0" w:space="0" w:color="auto"/>
        <w:left w:val="none" w:sz="0" w:space="0" w:color="auto"/>
        <w:bottom w:val="none" w:sz="0" w:space="0" w:color="auto"/>
        <w:right w:val="none" w:sz="0" w:space="0" w:color="auto"/>
      </w:divBdr>
    </w:div>
    <w:div w:id="1074159870">
      <w:bodyDiv w:val="1"/>
      <w:marLeft w:val="0"/>
      <w:marRight w:val="0"/>
      <w:marTop w:val="0"/>
      <w:marBottom w:val="0"/>
      <w:divBdr>
        <w:top w:val="none" w:sz="0" w:space="0" w:color="auto"/>
        <w:left w:val="none" w:sz="0" w:space="0" w:color="auto"/>
        <w:bottom w:val="none" w:sz="0" w:space="0" w:color="auto"/>
        <w:right w:val="none" w:sz="0" w:space="0" w:color="auto"/>
      </w:divBdr>
    </w:div>
    <w:div w:id="1105081096">
      <w:bodyDiv w:val="1"/>
      <w:marLeft w:val="0"/>
      <w:marRight w:val="0"/>
      <w:marTop w:val="0"/>
      <w:marBottom w:val="0"/>
      <w:divBdr>
        <w:top w:val="none" w:sz="0" w:space="0" w:color="auto"/>
        <w:left w:val="none" w:sz="0" w:space="0" w:color="auto"/>
        <w:bottom w:val="none" w:sz="0" w:space="0" w:color="auto"/>
        <w:right w:val="none" w:sz="0" w:space="0" w:color="auto"/>
      </w:divBdr>
    </w:div>
    <w:div w:id="1120954070">
      <w:bodyDiv w:val="1"/>
      <w:marLeft w:val="0"/>
      <w:marRight w:val="0"/>
      <w:marTop w:val="0"/>
      <w:marBottom w:val="0"/>
      <w:divBdr>
        <w:top w:val="none" w:sz="0" w:space="0" w:color="auto"/>
        <w:left w:val="none" w:sz="0" w:space="0" w:color="auto"/>
        <w:bottom w:val="none" w:sz="0" w:space="0" w:color="auto"/>
        <w:right w:val="none" w:sz="0" w:space="0" w:color="auto"/>
      </w:divBdr>
    </w:div>
    <w:div w:id="1127971550">
      <w:bodyDiv w:val="1"/>
      <w:marLeft w:val="0"/>
      <w:marRight w:val="0"/>
      <w:marTop w:val="0"/>
      <w:marBottom w:val="0"/>
      <w:divBdr>
        <w:top w:val="none" w:sz="0" w:space="0" w:color="auto"/>
        <w:left w:val="none" w:sz="0" w:space="0" w:color="auto"/>
        <w:bottom w:val="none" w:sz="0" w:space="0" w:color="auto"/>
        <w:right w:val="none" w:sz="0" w:space="0" w:color="auto"/>
      </w:divBdr>
    </w:div>
    <w:div w:id="1129201738">
      <w:bodyDiv w:val="1"/>
      <w:marLeft w:val="0"/>
      <w:marRight w:val="0"/>
      <w:marTop w:val="0"/>
      <w:marBottom w:val="0"/>
      <w:divBdr>
        <w:top w:val="none" w:sz="0" w:space="0" w:color="auto"/>
        <w:left w:val="none" w:sz="0" w:space="0" w:color="auto"/>
        <w:bottom w:val="none" w:sz="0" w:space="0" w:color="auto"/>
        <w:right w:val="none" w:sz="0" w:space="0" w:color="auto"/>
      </w:divBdr>
    </w:div>
    <w:div w:id="1136801809">
      <w:bodyDiv w:val="1"/>
      <w:marLeft w:val="0"/>
      <w:marRight w:val="0"/>
      <w:marTop w:val="0"/>
      <w:marBottom w:val="0"/>
      <w:divBdr>
        <w:top w:val="none" w:sz="0" w:space="0" w:color="auto"/>
        <w:left w:val="none" w:sz="0" w:space="0" w:color="auto"/>
        <w:bottom w:val="none" w:sz="0" w:space="0" w:color="auto"/>
        <w:right w:val="none" w:sz="0" w:space="0" w:color="auto"/>
      </w:divBdr>
    </w:div>
    <w:div w:id="1144082480">
      <w:bodyDiv w:val="1"/>
      <w:marLeft w:val="0"/>
      <w:marRight w:val="0"/>
      <w:marTop w:val="0"/>
      <w:marBottom w:val="0"/>
      <w:divBdr>
        <w:top w:val="none" w:sz="0" w:space="0" w:color="auto"/>
        <w:left w:val="none" w:sz="0" w:space="0" w:color="auto"/>
        <w:bottom w:val="none" w:sz="0" w:space="0" w:color="auto"/>
        <w:right w:val="none" w:sz="0" w:space="0" w:color="auto"/>
      </w:divBdr>
    </w:div>
    <w:div w:id="1161385378">
      <w:bodyDiv w:val="1"/>
      <w:marLeft w:val="0"/>
      <w:marRight w:val="0"/>
      <w:marTop w:val="0"/>
      <w:marBottom w:val="0"/>
      <w:divBdr>
        <w:top w:val="none" w:sz="0" w:space="0" w:color="auto"/>
        <w:left w:val="none" w:sz="0" w:space="0" w:color="auto"/>
        <w:bottom w:val="none" w:sz="0" w:space="0" w:color="auto"/>
        <w:right w:val="none" w:sz="0" w:space="0" w:color="auto"/>
      </w:divBdr>
    </w:div>
    <w:div w:id="1162432804">
      <w:bodyDiv w:val="1"/>
      <w:marLeft w:val="0"/>
      <w:marRight w:val="0"/>
      <w:marTop w:val="0"/>
      <w:marBottom w:val="0"/>
      <w:divBdr>
        <w:top w:val="none" w:sz="0" w:space="0" w:color="auto"/>
        <w:left w:val="none" w:sz="0" w:space="0" w:color="auto"/>
        <w:bottom w:val="none" w:sz="0" w:space="0" w:color="auto"/>
        <w:right w:val="none" w:sz="0" w:space="0" w:color="auto"/>
      </w:divBdr>
    </w:div>
    <w:div w:id="1177189401">
      <w:bodyDiv w:val="1"/>
      <w:marLeft w:val="0"/>
      <w:marRight w:val="0"/>
      <w:marTop w:val="0"/>
      <w:marBottom w:val="0"/>
      <w:divBdr>
        <w:top w:val="none" w:sz="0" w:space="0" w:color="auto"/>
        <w:left w:val="none" w:sz="0" w:space="0" w:color="auto"/>
        <w:bottom w:val="none" w:sz="0" w:space="0" w:color="auto"/>
        <w:right w:val="none" w:sz="0" w:space="0" w:color="auto"/>
      </w:divBdr>
    </w:div>
    <w:div w:id="1200053331">
      <w:bodyDiv w:val="1"/>
      <w:marLeft w:val="0"/>
      <w:marRight w:val="0"/>
      <w:marTop w:val="0"/>
      <w:marBottom w:val="0"/>
      <w:divBdr>
        <w:top w:val="none" w:sz="0" w:space="0" w:color="auto"/>
        <w:left w:val="none" w:sz="0" w:space="0" w:color="auto"/>
        <w:bottom w:val="none" w:sz="0" w:space="0" w:color="auto"/>
        <w:right w:val="none" w:sz="0" w:space="0" w:color="auto"/>
      </w:divBdr>
    </w:div>
    <w:div w:id="1235121129">
      <w:bodyDiv w:val="1"/>
      <w:marLeft w:val="0"/>
      <w:marRight w:val="0"/>
      <w:marTop w:val="0"/>
      <w:marBottom w:val="0"/>
      <w:divBdr>
        <w:top w:val="none" w:sz="0" w:space="0" w:color="auto"/>
        <w:left w:val="none" w:sz="0" w:space="0" w:color="auto"/>
        <w:bottom w:val="none" w:sz="0" w:space="0" w:color="auto"/>
        <w:right w:val="none" w:sz="0" w:space="0" w:color="auto"/>
      </w:divBdr>
    </w:div>
    <w:div w:id="1239052115">
      <w:bodyDiv w:val="1"/>
      <w:marLeft w:val="0"/>
      <w:marRight w:val="0"/>
      <w:marTop w:val="0"/>
      <w:marBottom w:val="0"/>
      <w:divBdr>
        <w:top w:val="none" w:sz="0" w:space="0" w:color="auto"/>
        <w:left w:val="none" w:sz="0" w:space="0" w:color="auto"/>
        <w:bottom w:val="none" w:sz="0" w:space="0" w:color="auto"/>
        <w:right w:val="none" w:sz="0" w:space="0" w:color="auto"/>
      </w:divBdr>
    </w:div>
    <w:div w:id="1255282507">
      <w:bodyDiv w:val="1"/>
      <w:marLeft w:val="0"/>
      <w:marRight w:val="0"/>
      <w:marTop w:val="0"/>
      <w:marBottom w:val="0"/>
      <w:divBdr>
        <w:top w:val="none" w:sz="0" w:space="0" w:color="auto"/>
        <w:left w:val="none" w:sz="0" w:space="0" w:color="auto"/>
        <w:bottom w:val="none" w:sz="0" w:space="0" w:color="auto"/>
        <w:right w:val="none" w:sz="0" w:space="0" w:color="auto"/>
      </w:divBdr>
    </w:div>
    <w:div w:id="1259369138">
      <w:bodyDiv w:val="1"/>
      <w:marLeft w:val="0"/>
      <w:marRight w:val="0"/>
      <w:marTop w:val="0"/>
      <w:marBottom w:val="0"/>
      <w:divBdr>
        <w:top w:val="none" w:sz="0" w:space="0" w:color="auto"/>
        <w:left w:val="none" w:sz="0" w:space="0" w:color="auto"/>
        <w:bottom w:val="none" w:sz="0" w:space="0" w:color="auto"/>
        <w:right w:val="none" w:sz="0" w:space="0" w:color="auto"/>
      </w:divBdr>
    </w:div>
    <w:div w:id="1267498282">
      <w:bodyDiv w:val="1"/>
      <w:marLeft w:val="0"/>
      <w:marRight w:val="0"/>
      <w:marTop w:val="0"/>
      <w:marBottom w:val="0"/>
      <w:divBdr>
        <w:top w:val="none" w:sz="0" w:space="0" w:color="auto"/>
        <w:left w:val="none" w:sz="0" w:space="0" w:color="auto"/>
        <w:bottom w:val="none" w:sz="0" w:space="0" w:color="auto"/>
        <w:right w:val="none" w:sz="0" w:space="0" w:color="auto"/>
      </w:divBdr>
    </w:div>
    <w:div w:id="1286153430">
      <w:bodyDiv w:val="1"/>
      <w:marLeft w:val="0"/>
      <w:marRight w:val="0"/>
      <w:marTop w:val="0"/>
      <w:marBottom w:val="0"/>
      <w:divBdr>
        <w:top w:val="none" w:sz="0" w:space="0" w:color="auto"/>
        <w:left w:val="none" w:sz="0" w:space="0" w:color="auto"/>
        <w:bottom w:val="none" w:sz="0" w:space="0" w:color="auto"/>
        <w:right w:val="none" w:sz="0" w:space="0" w:color="auto"/>
      </w:divBdr>
    </w:div>
    <w:div w:id="1293750984">
      <w:bodyDiv w:val="1"/>
      <w:marLeft w:val="0"/>
      <w:marRight w:val="0"/>
      <w:marTop w:val="0"/>
      <w:marBottom w:val="0"/>
      <w:divBdr>
        <w:top w:val="none" w:sz="0" w:space="0" w:color="auto"/>
        <w:left w:val="none" w:sz="0" w:space="0" w:color="auto"/>
        <w:bottom w:val="none" w:sz="0" w:space="0" w:color="auto"/>
        <w:right w:val="none" w:sz="0" w:space="0" w:color="auto"/>
      </w:divBdr>
    </w:div>
    <w:div w:id="1304313953">
      <w:bodyDiv w:val="1"/>
      <w:marLeft w:val="0"/>
      <w:marRight w:val="0"/>
      <w:marTop w:val="0"/>
      <w:marBottom w:val="0"/>
      <w:divBdr>
        <w:top w:val="none" w:sz="0" w:space="0" w:color="auto"/>
        <w:left w:val="none" w:sz="0" w:space="0" w:color="auto"/>
        <w:bottom w:val="none" w:sz="0" w:space="0" w:color="auto"/>
        <w:right w:val="none" w:sz="0" w:space="0" w:color="auto"/>
      </w:divBdr>
    </w:div>
    <w:div w:id="1310207152">
      <w:bodyDiv w:val="1"/>
      <w:marLeft w:val="0"/>
      <w:marRight w:val="0"/>
      <w:marTop w:val="0"/>
      <w:marBottom w:val="0"/>
      <w:divBdr>
        <w:top w:val="none" w:sz="0" w:space="0" w:color="auto"/>
        <w:left w:val="none" w:sz="0" w:space="0" w:color="auto"/>
        <w:bottom w:val="none" w:sz="0" w:space="0" w:color="auto"/>
        <w:right w:val="none" w:sz="0" w:space="0" w:color="auto"/>
      </w:divBdr>
    </w:div>
    <w:div w:id="1322193648">
      <w:bodyDiv w:val="1"/>
      <w:marLeft w:val="0"/>
      <w:marRight w:val="0"/>
      <w:marTop w:val="0"/>
      <w:marBottom w:val="0"/>
      <w:divBdr>
        <w:top w:val="none" w:sz="0" w:space="0" w:color="auto"/>
        <w:left w:val="none" w:sz="0" w:space="0" w:color="auto"/>
        <w:bottom w:val="none" w:sz="0" w:space="0" w:color="auto"/>
        <w:right w:val="none" w:sz="0" w:space="0" w:color="auto"/>
      </w:divBdr>
    </w:div>
    <w:div w:id="1352879117">
      <w:bodyDiv w:val="1"/>
      <w:marLeft w:val="0"/>
      <w:marRight w:val="0"/>
      <w:marTop w:val="0"/>
      <w:marBottom w:val="0"/>
      <w:divBdr>
        <w:top w:val="none" w:sz="0" w:space="0" w:color="auto"/>
        <w:left w:val="none" w:sz="0" w:space="0" w:color="auto"/>
        <w:bottom w:val="none" w:sz="0" w:space="0" w:color="auto"/>
        <w:right w:val="none" w:sz="0" w:space="0" w:color="auto"/>
      </w:divBdr>
    </w:div>
    <w:div w:id="1358971100">
      <w:bodyDiv w:val="1"/>
      <w:marLeft w:val="0"/>
      <w:marRight w:val="0"/>
      <w:marTop w:val="0"/>
      <w:marBottom w:val="0"/>
      <w:divBdr>
        <w:top w:val="none" w:sz="0" w:space="0" w:color="auto"/>
        <w:left w:val="none" w:sz="0" w:space="0" w:color="auto"/>
        <w:bottom w:val="none" w:sz="0" w:space="0" w:color="auto"/>
        <w:right w:val="none" w:sz="0" w:space="0" w:color="auto"/>
      </w:divBdr>
    </w:div>
    <w:div w:id="1362393356">
      <w:bodyDiv w:val="1"/>
      <w:marLeft w:val="0"/>
      <w:marRight w:val="0"/>
      <w:marTop w:val="0"/>
      <w:marBottom w:val="0"/>
      <w:divBdr>
        <w:top w:val="none" w:sz="0" w:space="0" w:color="auto"/>
        <w:left w:val="none" w:sz="0" w:space="0" w:color="auto"/>
        <w:bottom w:val="none" w:sz="0" w:space="0" w:color="auto"/>
        <w:right w:val="none" w:sz="0" w:space="0" w:color="auto"/>
      </w:divBdr>
    </w:div>
    <w:div w:id="1367173756">
      <w:bodyDiv w:val="1"/>
      <w:marLeft w:val="0"/>
      <w:marRight w:val="0"/>
      <w:marTop w:val="0"/>
      <w:marBottom w:val="0"/>
      <w:divBdr>
        <w:top w:val="none" w:sz="0" w:space="0" w:color="auto"/>
        <w:left w:val="none" w:sz="0" w:space="0" w:color="auto"/>
        <w:bottom w:val="none" w:sz="0" w:space="0" w:color="auto"/>
        <w:right w:val="none" w:sz="0" w:space="0" w:color="auto"/>
      </w:divBdr>
    </w:div>
    <w:div w:id="1381827338">
      <w:bodyDiv w:val="1"/>
      <w:marLeft w:val="0"/>
      <w:marRight w:val="0"/>
      <w:marTop w:val="0"/>
      <w:marBottom w:val="0"/>
      <w:divBdr>
        <w:top w:val="none" w:sz="0" w:space="0" w:color="auto"/>
        <w:left w:val="none" w:sz="0" w:space="0" w:color="auto"/>
        <w:bottom w:val="none" w:sz="0" w:space="0" w:color="auto"/>
        <w:right w:val="none" w:sz="0" w:space="0" w:color="auto"/>
      </w:divBdr>
    </w:div>
    <w:div w:id="1386876381">
      <w:bodyDiv w:val="1"/>
      <w:marLeft w:val="0"/>
      <w:marRight w:val="0"/>
      <w:marTop w:val="0"/>
      <w:marBottom w:val="0"/>
      <w:divBdr>
        <w:top w:val="none" w:sz="0" w:space="0" w:color="auto"/>
        <w:left w:val="none" w:sz="0" w:space="0" w:color="auto"/>
        <w:bottom w:val="none" w:sz="0" w:space="0" w:color="auto"/>
        <w:right w:val="none" w:sz="0" w:space="0" w:color="auto"/>
      </w:divBdr>
    </w:div>
    <w:div w:id="1415980894">
      <w:bodyDiv w:val="1"/>
      <w:marLeft w:val="0"/>
      <w:marRight w:val="0"/>
      <w:marTop w:val="0"/>
      <w:marBottom w:val="0"/>
      <w:divBdr>
        <w:top w:val="none" w:sz="0" w:space="0" w:color="auto"/>
        <w:left w:val="none" w:sz="0" w:space="0" w:color="auto"/>
        <w:bottom w:val="none" w:sz="0" w:space="0" w:color="auto"/>
        <w:right w:val="none" w:sz="0" w:space="0" w:color="auto"/>
      </w:divBdr>
    </w:div>
    <w:div w:id="1439640808">
      <w:bodyDiv w:val="1"/>
      <w:marLeft w:val="0"/>
      <w:marRight w:val="0"/>
      <w:marTop w:val="0"/>
      <w:marBottom w:val="0"/>
      <w:divBdr>
        <w:top w:val="none" w:sz="0" w:space="0" w:color="auto"/>
        <w:left w:val="none" w:sz="0" w:space="0" w:color="auto"/>
        <w:bottom w:val="none" w:sz="0" w:space="0" w:color="auto"/>
        <w:right w:val="none" w:sz="0" w:space="0" w:color="auto"/>
      </w:divBdr>
    </w:div>
    <w:div w:id="1439988907">
      <w:bodyDiv w:val="1"/>
      <w:marLeft w:val="0"/>
      <w:marRight w:val="0"/>
      <w:marTop w:val="0"/>
      <w:marBottom w:val="0"/>
      <w:divBdr>
        <w:top w:val="none" w:sz="0" w:space="0" w:color="auto"/>
        <w:left w:val="none" w:sz="0" w:space="0" w:color="auto"/>
        <w:bottom w:val="none" w:sz="0" w:space="0" w:color="auto"/>
        <w:right w:val="none" w:sz="0" w:space="0" w:color="auto"/>
      </w:divBdr>
    </w:div>
    <w:div w:id="1444812621">
      <w:bodyDiv w:val="1"/>
      <w:marLeft w:val="0"/>
      <w:marRight w:val="0"/>
      <w:marTop w:val="0"/>
      <w:marBottom w:val="0"/>
      <w:divBdr>
        <w:top w:val="none" w:sz="0" w:space="0" w:color="auto"/>
        <w:left w:val="none" w:sz="0" w:space="0" w:color="auto"/>
        <w:bottom w:val="none" w:sz="0" w:space="0" w:color="auto"/>
        <w:right w:val="none" w:sz="0" w:space="0" w:color="auto"/>
      </w:divBdr>
    </w:div>
    <w:div w:id="1454254672">
      <w:bodyDiv w:val="1"/>
      <w:marLeft w:val="0"/>
      <w:marRight w:val="0"/>
      <w:marTop w:val="0"/>
      <w:marBottom w:val="0"/>
      <w:divBdr>
        <w:top w:val="none" w:sz="0" w:space="0" w:color="auto"/>
        <w:left w:val="none" w:sz="0" w:space="0" w:color="auto"/>
        <w:bottom w:val="none" w:sz="0" w:space="0" w:color="auto"/>
        <w:right w:val="none" w:sz="0" w:space="0" w:color="auto"/>
      </w:divBdr>
    </w:div>
    <w:div w:id="1458332991">
      <w:bodyDiv w:val="1"/>
      <w:marLeft w:val="0"/>
      <w:marRight w:val="0"/>
      <w:marTop w:val="0"/>
      <w:marBottom w:val="0"/>
      <w:divBdr>
        <w:top w:val="none" w:sz="0" w:space="0" w:color="auto"/>
        <w:left w:val="none" w:sz="0" w:space="0" w:color="auto"/>
        <w:bottom w:val="none" w:sz="0" w:space="0" w:color="auto"/>
        <w:right w:val="none" w:sz="0" w:space="0" w:color="auto"/>
      </w:divBdr>
    </w:div>
    <w:div w:id="1460755992">
      <w:bodyDiv w:val="1"/>
      <w:marLeft w:val="0"/>
      <w:marRight w:val="0"/>
      <w:marTop w:val="0"/>
      <w:marBottom w:val="0"/>
      <w:divBdr>
        <w:top w:val="none" w:sz="0" w:space="0" w:color="auto"/>
        <w:left w:val="none" w:sz="0" w:space="0" w:color="auto"/>
        <w:bottom w:val="none" w:sz="0" w:space="0" w:color="auto"/>
        <w:right w:val="none" w:sz="0" w:space="0" w:color="auto"/>
      </w:divBdr>
    </w:div>
    <w:div w:id="1481728460">
      <w:bodyDiv w:val="1"/>
      <w:marLeft w:val="0"/>
      <w:marRight w:val="0"/>
      <w:marTop w:val="0"/>
      <w:marBottom w:val="0"/>
      <w:divBdr>
        <w:top w:val="none" w:sz="0" w:space="0" w:color="auto"/>
        <w:left w:val="none" w:sz="0" w:space="0" w:color="auto"/>
        <w:bottom w:val="none" w:sz="0" w:space="0" w:color="auto"/>
        <w:right w:val="none" w:sz="0" w:space="0" w:color="auto"/>
      </w:divBdr>
    </w:div>
    <w:div w:id="1483961313">
      <w:bodyDiv w:val="1"/>
      <w:marLeft w:val="0"/>
      <w:marRight w:val="0"/>
      <w:marTop w:val="0"/>
      <w:marBottom w:val="0"/>
      <w:divBdr>
        <w:top w:val="none" w:sz="0" w:space="0" w:color="auto"/>
        <w:left w:val="none" w:sz="0" w:space="0" w:color="auto"/>
        <w:bottom w:val="none" w:sz="0" w:space="0" w:color="auto"/>
        <w:right w:val="none" w:sz="0" w:space="0" w:color="auto"/>
      </w:divBdr>
    </w:div>
    <w:div w:id="1491095987">
      <w:bodyDiv w:val="1"/>
      <w:marLeft w:val="0"/>
      <w:marRight w:val="0"/>
      <w:marTop w:val="0"/>
      <w:marBottom w:val="0"/>
      <w:divBdr>
        <w:top w:val="none" w:sz="0" w:space="0" w:color="auto"/>
        <w:left w:val="none" w:sz="0" w:space="0" w:color="auto"/>
        <w:bottom w:val="none" w:sz="0" w:space="0" w:color="auto"/>
        <w:right w:val="none" w:sz="0" w:space="0" w:color="auto"/>
      </w:divBdr>
    </w:div>
    <w:div w:id="1511606144">
      <w:bodyDiv w:val="1"/>
      <w:marLeft w:val="0"/>
      <w:marRight w:val="0"/>
      <w:marTop w:val="0"/>
      <w:marBottom w:val="0"/>
      <w:divBdr>
        <w:top w:val="none" w:sz="0" w:space="0" w:color="auto"/>
        <w:left w:val="none" w:sz="0" w:space="0" w:color="auto"/>
        <w:bottom w:val="none" w:sz="0" w:space="0" w:color="auto"/>
        <w:right w:val="none" w:sz="0" w:space="0" w:color="auto"/>
      </w:divBdr>
    </w:div>
    <w:div w:id="1528134727">
      <w:bodyDiv w:val="1"/>
      <w:marLeft w:val="0"/>
      <w:marRight w:val="0"/>
      <w:marTop w:val="0"/>
      <w:marBottom w:val="0"/>
      <w:divBdr>
        <w:top w:val="none" w:sz="0" w:space="0" w:color="auto"/>
        <w:left w:val="none" w:sz="0" w:space="0" w:color="auto"/>
        <w:bottom w:val="none" w:sz="0" w:space="0" w:color="auto"/>
        <w:right w:val="none" w:sz="0" w:space="0" w:color="auto"/>
      </w:divBdr>
    </w:div>
    <w:div w:id="1538852444">
      <w:bodyDiv w:val="1"/>
      <w:marLeft w:val="0"/>
      <w:marRight w:val="0"/>
      <w:marTop w:val="0"/>
      <w:marBottom w:val="0"/>
      <w:divBdr>
        <w:top w:val="none" w:sz="0" w:space="0" w:color="auto"/>
        <w:left w:val="none" w:sz="0" w:space="0" w:color="auto"/>
        <w:bottom w:val="none" w:sz="0" w:space="0" w:color="auto"/>
        <w:right w:val="none" w:sz="0" w:space="0" w:color="auto"/>
      </w:divBdr>
    </w:div>
    <w:div w:id="1539661728">
      <w:bodyDiv w:val="1"/>
      <w:marLeft w:val="0"/>
      <w:marRight w:val="0"/>
      <w:marTop w:val="0"/>
      <w:marBottom w:val="0"/>
      <w:divBdr>
        <w:top w:val="none" w:sz="0" w:space="0" w:color="auto"/>
        <w:left w:val="none" w:sz="0" w:space="0" w:color="auto"/>
        <w:bottom w:val="none" w:sz="0" w:space="0" w:color="auto"/>
        <w:right w:val="none" w:sz="0" w:space="0" w:color="auto"/>
      </w:divBdr>
    </w:div>
    <w:div w:id="1540776019">
      <w:bodyDiv w:val="1"/>
      <w:marLeft w:val="0"/>
      <w:marRight w:val="0"/>
      <w:marTop w:val="0"/>
      <w:marBottom w:val="0"/>
      <w:divBdr>
        <w:top w:val="none" w:sz="0" w:space="0" w:color="auto"/>
        <w:left w:val="none" w:sz="0" w:space="0" w:color="auto"/>
        <w:bottom w:val="none" w:sz="0" w:space="0" w:color="auto"/>
        <w:right w:val="none" w:sz="0" w:space="0" w:color="auto"/>
      </w:divBdr>
    </w:div>
    <w:div w:id="1547909218">
      <w:bodyDiv w:val="1"/>
      <w:marLeft w:val="0"/>
      <w:marRight w:val="0"/>
      <w:marTop w:val="0"/>
      <w:marBottom w:val="0"/>
      <w:divBdr>
        <w:top w:val="none" w:sz="0" w:space="0" w:color="auto"/>
        <w:left w:val="none" w:sz="0" w:space="0" w:color="auto"/>
        <w:bottom w:val="none" w:sz="0" w:space="0" w:color="auto"/>
        <w:right w:val="none" w:sz="0" w:space="0" w:color="auto"/>
      </w:divBdr>
    </w:div>
    <w:div w:id="1549147943">
      <w:bodyDiv w:val="1"/>
      <w:marLeft w:val="0"/>
      <w:marRight w:val="0"/>
      <w:marTop w:val="0"/>
      <w:marBottom w:val="0"/>
      <w:divBdr>
        <w:top w:val="none" w:sz="0" w:space="0" w:color="auto"/>
        <w:left w:val="none" w:sz="0" w:space="0" w:color="auto"/>
        <w:bottom w:val="none" w:sz="0" w:space="0" w:color="auto"/>
        <w:right w:val="none" w:sz="0" w:space="0" w:color="auto"/>
      </w:divBdr>
    </w:div>
    <w:div w:id="1573588560">
      <w:bodyDiv w:val="1"/>
      <w:marLeft w:val="0"/>
      <w:marRight w:val="0"/>
      <w:marTop w:val="0"/>
      <w:marBottom w:val="0"/>
      <w:divBdr>
        <w:top w:val="none" w:sz="0" w:space="0" w:color="auto"/>
        <w:left w:val="none" w:sz="0" w:space="0" w:color="auto"/>
        <w:bottom w:val="none" w:sz="0" w:space="0" w:color="auto"/>
        <w:right w:val="none" w:sz="0" w:space="0" w:color="auto"/>
      </w:divBdr>
    </w:div>
    <w:div w:id="1588952856">
      <w:bodyDiv w:val="1"/>
      <w:marLeft w:val="0"/>
      <w:marRight w:val="0"/>
      <w:marTop w:val="0"/>
      <w:marBottom w:val="0"/>
      <w:divBdr>
        <w:top w:val="none" w:sz="0" w:space="0" w:color="auto"/>
        <w:left w:val="none" w:sz="0" w:space="0" w:color="auto"/>
        <w:bottom w:val="none" w:sz="0" w:space="0" w:color="auto"/>
        <w:right w:val="none" w:sz="0" w:space="0" w:color="auto"/>
      </w:divBdr>
    </w:div>
    <w:div w:id="1594045525">
      <w:bodyDiv w:val="1"/>
      <w:marLeft w:val="0"/>
      <w:marRight w:val="0"/>
      <w:marTop w:val="0"/>
      <w:marBottom w:val="0"/>
      <w:divBdr>
        <w:top w:val="none" w:sz="0" w:space="0" w:color="auto"/>
        <w:left w:val="none" w:sz="0" w:space="0" w:color="auto"/>
        <w:bottom w:val="none" w:sz="0" w:space="0" w:color="auto"/>
        <w:right w:val="none" w:sz="0" w:space="0" w:color="auto"/>
      </w:divBdr>
    </w:div>
    <w:div w:id="1600336406">
      <w:bodyDiv w:val="1"/>
      <w:marLeft w:val="0"/>
      <w:marRight w:val="0"/>
      <w:marTop w:val="0"/>
      <w:marBottom w:val="0"/>
      <w:divBdr>
        <w:top w:val="none" w:sz="0" w:space="0" w:color="auto"/>
        <w:left w:val="none" w:sz="0" w:space="0" w:color="auto"/>
        <w:bottom w:val="none" w:sz="0" w:space="0" w:color="auto"/>
        <w:right w:val="none" w:sz="0" w:space="0" w:color="auto"/>
      </w:divBdr>
    </w:div>
    <w:div w:id="1627278160">
      <w:bodyDiv w:val="1"/>
      <w:marLeft w:val="0"/>
      <w:marRight w:val="0"/>
      <w:marTop w:val="0"/>
      <w:marBottom w:val="0"/>
      <w:divBdr>
        <w:top w:val="none" w:sz="0" w:space="0" w:color="auto"/>
        <w:left w:val="none" w:sz="0" w:space="0" w:color="auto"/>
        <w:bottom w:val="none" w:sz="0" w:space="0" w:color="auto"/>
        <w:right w:val="none" w:sz="0" w:space="0" w:color="auto"/>
      </w:divBdr>
    </w:div>
    <w:div w:id="1632591537">
      <w:bodyDiv w:val="1"/>
      <w:marLeft w:val="0"/>
      <w:marRight w:val="0"/>
      <w:marTop w:val="0"/>
      <w:marBottom w:val="0"/>
      <w:divBdr>
        <w:top w:val="none" w:sz="0" w:space="0" w:color="auto"/>
        <w:left w:val="none" w:sz="0" w:space="0" w:color="auto"/>
        <w:bottom w:val="none" w:sz="0" w:space="0" w:color="auto"/>
        <w:right w:val="none" w:sz="0" w:space="0" w:color="auto"/>
      </w:divBdr>
    </w:div>
    <w:div w:id="1633290670">
      <w:bodyDiv w:val="1"/>
      <w:marLeft w:val="0"/>
      <w:marRight w:val="0"/>
      <w:marTop w:val="0"/>
      <w:marBottom w:val="0"/>
      <w:divBdr>
        <w:top w:val="none" w:sz="0" w:space="0" w:color="auto"/>
        <w:left w:val="none" w:sz="0" w:space="0" w:color="auto"/>
        <w:bottom w:val="none" w:sz="0" w:space="0" w:color="auto"/>
        <w:right w:val="none" w:sz="0" w:space="0" w:color="auto"/>
      </w:divBdr>
    </w:div>
    <w:div w:id="1636715693">
      <w:bodyDiv w:val="1"/>
      <w:marLeft w:val="0"/>
      <w:marRight w:val="0"/>
      <w:marTop w:val="0"/>
      <w:marBottom w:val="0"/>
      <w:divBdr>
        <w:top w:val="none" w:sz="0" w:space="0" w:color="auto"/>
        <w:left w:val="none" w:sz="0" w:space="0" w:color="auto"/>
        <w:bottom w:val="none" w:sz="0" w:space="0" w:color="auto"/>
        <w:right w:val="none" w:sz="0" w:space="0" w:color="auto"/>
      </w:divBdr>
    </w:div>
    <w:div w:id="1645311579">
      <w:bodyDiv w:val="1"/>
      <w:marLeft w:val="0"/>
      <w:marRight w:val="0"/>
      <w:marTop w:val="0"/>
      <w:marBottom w:val="0"/>
      <w:divBdr>
        <w:top w:val="none" w:sz="0" w:space="0" w:color="auto"/>
        <w:left w:val="none" w:sz="0" w:space="0" w:color="auto"/>
        <w:bottom w:val="none" w:sz="0" w:space="0" w:color="auto"/>
        <w:right w:val="none" w:sz="0" w:space="0" w:color="auto"/>
      </w:divBdr>
    </w:div>
    <w:div w:id="1652440359">
      <w:bodyDiv w:val="1"/>
      <w:marLeft w:val="0"/>
      <w:marRight w:val="0"/>
      <w:marTop w:val="0"/>
      <w:marBottom w:val="0"/>
      <w:divBdr>
        <w:top w:val="none" w:sz="0" w:space="0" w:color="auto"/>
        <w:left w:val="none" w:sz="0" w:space="0" w:color="auto"/>
        <w:bottom w:val="none" w:sz="0" w:space="0" w:color="auto"/>
        <w:right w:val="none" w:sz="0" w:space="0" w:color="auto"/>
      </w:divBdr>
    </w:div>
    <w:div w:id="1663968278">
      <w:bodyDiv w:val="1"/>
      <w:marLeft w:val="0"/>
      <w:marRight w:val="0"/>
      <w:marTop w:val="0"/>
      <w:marBottom w:val="0"/>
      <w:divBdr>
        <w:top w:val="none" w:sz="0" w:space="0" w:color="auto"/>
        <w:left w:val="none" w:sz="0" w:space="0" w:color="auto"/>
        <w:bottom w:val="none" w:sz="0" w:space="0" w:color="auto"/>
        <w:right w:val="none" w:sz="0" w:space="0" w:color="auto"/>
      </w:divBdr>
    </w:div>
    <w:div w:id="1670794774">
      <w:bodyDiv w:val="1"/>
      <w:marLeft w:val="0"/>
      <w:marRight w:val="0"/>
      <w:marTop w:val="0"/>
      <w:marBottom w:val="0"/>
      <w:divBdr>
        <w:top w:val="none" w:sz="0" w:space="0" w:color="auto"/>
        <w:left w:val="none" w:sz="0" w:space="0" w:color="auto"/>
        <w:bottom w:val="none" w:sz="0" w:space="0" w:color="auto"/>
        <w:right w:val="none" w:sz="0" w:space="0" w:color="auto"/>
      </w:divBdr>
    </w:div>
    <w:div w:id="1696420995">
      <w:bodyDiv w:val="1"/>
      <w:marLeft w:val="0"/>
      <w:marRight w:val="0"/>
      <w:marTop w:val="0"/>
      <w:marBottom w:val="0"/>
      <w:divBdr>
        <w:top w:val="none" w:sz="0" w:space="0" w:color="auto"/>
        <w:left w:val="none" w:sz="0" w:space="0" w:color="auto"/>
        <w:bottom w:val="none" w:sz="0" w:space="0" w:color="auto"/>
        <w:right w:val="none" w:sz="0" w:space="0" w:color="auto"/>
      </w:divBdr>
    </w:div>
    <w:div w:id="1722944016">
      <w:bodyDiv w:val="1"/>
      <w:marLeft w:val="0"/>
      <w:marRight w:val="0"/>
      <w:marTop w:val="0"/>
      <w:marBottom w:val="0"/>
      <w:divBdr>
        <w:top w:val="none" w:sz="0" w:space="0" w:color="auto"/>
        <w:left w:val="none" w:sz="0" w:space="0" w:color="auto"/>
        <w:bottom w:val="none" w:sz="0" w:space="0" w:color="auto"/>
        <w:right w:val="none" w:sz="0" w:space="0" w:color="auto"/>
      </w:divBdr>
    </w:div>
    <w:div w:id="1744521458">
      <w:bodyDiv w:val="1"/>
      <w:marLeft w:val="0"/>
      <w:marRight w:val="0"/>
      <w:marTop w:val="0"/>
      <w:marBottom w:val="0"/>
      <w:divBdr>
        <w:top w:val="none" w:sz="0" w:space="0" w:color="auto"/>
        <w:left w:val="none" w:sz="0" w:space="0" w:color="auto"/>
        <w:bottom w:val="none" w:sz="0" w:space="0" w:color="auto"/>
        <w:right w:val="none" w:sz="0" w:space="0" w:color="auto"/>
      </w:divBdr>
    </w:div>
    <w:div w:id="1745294016">
      <w:bodyDiv w:val="1"/>
      <w:marLeft w:val="0"/>
      <w:marRight w:val="0"/>
      <w:marTop w:val="0"/>
      <w:marBottom w:val="0"/>
      <w:divBdr>
        <w:top w:val="none" w:sz="0" w:space="0" w:color="auto"/>
        <w:left w:val="none" w:sz="0" w:space="0" w:color="auto"/>
        <w:bottom w:val="none" w:sz="0" w:space="0" w:color="auto"/>
        <w:right w:val="none" w:sz="0" w:space="0" w:color="auto"/>
      </w:divBdr>
    </w:div>
    <w:div w:id="1750927229">
      <w:bodyDiv w:val="1"/>
      <w:marLeft w:val="0"/>
      <w:marRight w:val="0"/>
      <w:marTop w:val="0"/>
      <w:marBottom w:val="0"/>
      <w:divBdr>
        <w:top w:val="none" w:sz="0" w:space="0" w:color="auto"/>
        <w:left w:val="none" w:sz="0" w:space="0" w:color="auto"/>
        <w:bottom w:val="none" w:sz="0" w:space="0" w:color="auto"/>
        <w:right w:val="none" w:sz="0" w:space="0" w:color="auto"/>
      </w:divBdr>
    </w:div>
    <w:div w:id="1752508839">
      <w:bodyDiv w:val="1"/>
      <w:marLeft w:val="0"/>
      <w:marRight w:val="0"/>
      <w:marTop w:val="0"/>
      <w:marBottom w:val="0"/>
      <w:divBdr>
        <w:top w:val="none" w:sz="0" w:space="0" w:color="auto"/>
        <w:left w:val="none" w:sz="0" w:space="0" w:color="auto"/>
        <w:bottom w:val="none" w:sz="0" w:space="0" w:color="auto"/>
        <w:right w:val="none" w:sz="0" w:space="0" w:color="auto"/>
      </w:divBdr>
    </w:div>
    <w:div w:id="1757046340">
      <w:bodyDiv w:val="1"/>
      <w:marLeft w:val="0"/>
      <w:marRight w:val="0"/>
      <w:marTop w:val="0"/>
      <w:marBottom w:val="0"/>
      <w:divBdr>
        <w:top w:val="none" w:sz="0" w:space="0" w:color="auto"/>
        <w:left w:val="none" w:sz="0" w:space="0" w:color="auto"/>
        <w:bottom w:val="none" w:sz="0" w:space="0" w:color="auto"/>
        <w:right w:val="none" w:sz="0" w:space="0" w:color="auto"/>
      </w:divBdr>
    </w:div>
    <w:div w:id="1778135988">
      <w:bodyDiv w:val="1"/>
      <w:marLeft w:val="0"/>
      <w:marRight w:val="0"/>
      <w:marTop w:val="0"/>
      <w:marBottom w:val="0"/>
      <w:divBdr>
        <w:top w:val="none" w:sz="0" w:space="0" w:color="auto"/>
        <w:left w:val="none" w:sz="0" w:space="0" w:color="auto"/>
        <w:bottom w:val="none" w:sz="0" w:space="0" w:color="auto"/>
        <w:right w:val="none" w:sz="0" w:space="0" w:color="auto"/>
      </w:divBdr>
    </w:div>
    <w:div w:id="1778403341">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801419313">
      <w:bodyDiv w:val="1"/>
      <w:marLeft w:val="0"/>
      <w:marRight w:val="0"/>
      <w:marTop w:val="0"/>
      <w:marBottom w:val="0"/>
      <w:divBdr>
        <w:top w:val="none" w:sz="0" w:space="0" w:color="auto"/>
        <w:left w:val="none" w:sz="0" w:space="0" w:color="auto"/>
        <w:bottom w:val="none" w:sz="0" w:space="0" w:color="auto"/>
        <w:right w:val="none" w:sz="0" w:space="0" w:color="auto"/>
      </w:divBdr>
    </w:div>
    <w:div w:id="1805393122">
      <w:bodyDiv w:val="1"/>
      <w:marLeft w:val="0"/>
      <w:marRight w:val="0"/>
      <w:marTop w:val="0"/>
      <w:marBottom w:val="0"/>
      <w:divBdr>
        <w:top w:val="none" w:sz="0" w:space="0" w:color="auto"/>
        <w:left w:val="none" w:sz="0" w:space="0" w:color="auto"/>
        <w:bottom w:val="none" w:sz="0" w:space="0" w:color="auto"/>
        <w:right w:val="none" w:sz="0" w:space="0" w:color="auto"/>
      </w:divBdr>
    </w:div>
    <w:div w:id="1808931654">
      <w:bodyDiv w:val="1"/>
      <w:marLeft w:val="0"/>
      <w:marRight w:val="0"/>
      <w:marTop w:val="0"/>
      <w:marBottom w:val="0"/>
      <w:divBdr>
        <w:top w:val="none" w:sz="0" w:space="0" w:color="auto"/>
        <w:left w:val="none" w:sz="0" w:space="0" w:color="auto"/>
        <w:bottom w:val="none" w:sz="0" w:space="0" w:color="auto"/>
        <w:right w:val="none" w:sz="0" w:space="0" w:color="auto"/>
      </w:divBdr>
    </w:div>
    <w:div w:id="1832062852">
      <w:bodyDiv w:val="1"/>
      <w:marLeft w:val="0"/>
      <w:marRight w:val="0"/>
      <w:marTop w:val="0"/>
      <w:marBottom w:val="0"/>
      <w:divBdr>
        <w:top w:val="none" w:sz="0" w:space="0" w:color="auto"/>
        <w:left w:val="none" w:sz="0" w:space="0" w:color="auto"/>
        <w:bottom w:val="none" w:sz="0" w:space="0" w:color="auto"/>
        <w:right w:val="none" w:sz="0" w:space="0" w:color="auto"/>
      </w:divBdr>
    </w:div>
    <w:div w:id="1844782028">
      <w:bodyDiv w:val="1"/>
      <w:marLeft w:val="0"/>
      <w:marRight w:val="0"/>
      <w:marTop w:val="0"/>
      <w:marBottom w:val="0"/>
      <w:divBdr>
        <w:top w:val="none" w:sz="0" w:space="0" w:color="auto"/>
        <w:left w:val="none" w:sz="0" w:space="0" w:color="auto"/>
        <w:bottom w:val="none" w:sz="0" w:space="0" w:color="auto"/>
        <w:right w:val="none" w:sz="0" w:space="0" w:color="auto"/>
      </w:divBdr>
    </w:div>
    <w:div w:id="1847791803">
      <w:bodyDiv w:val="1"/>
      <w:marLeft w:val="0"/>
      <w:marRight w:val="0"/>
      <w:marTop w:val="0"/>
      <w:marBottom w:val="0"/>
      <w:divBdr>
        <w:top w:val="none" w:sz="0" w:space="0" w:color="auto"/>
        <w:left w:val="none" w:sz="0" w:space="0" w:color="auto"/>
        <w:bottom w:val="none" w:sz="0" w:space="0" w:color="auto"/>
        <w:right w:val="none" w:sz="0" w:space="0" w:color="auto"/>
      </w:divBdr>
    </w:div>
    <w:div w:id="1848055518">
      <w:bodyDiv w:val="1"/>
      <w:marLeft w:val="0"/>
      <w:marRight w:val="0"/>
      <w:marTop w:val="0"/>
      <w:marBottom w:val="0"/>
      <w:divBdr>
        <w:top w:val="none" w:sz="0" w:space="0" w:color="auto"/>
        <w:left w:val="none" w:sz="0" w:space="0" w:color="auto"/>
        <w:bottom w:val="none" w:sz="0" w:space="0" w:color="auto"/>
        <w:right w:val="none" w:sz="0" w:space="0" w:color="auto"/>
      </w:divBdr>
    </w:div>
    <w:div w:id="1863977359">
      <w:bodyDiv w:val="1"/>
      <w:marLeft w:val="0"/>
      <w:marRight w:val="0"/>
      <w:marTop w:val="0"/>
      <w:marBottom w:val="0"/>
      <w:divBdr>
        <w:top w:val="none" w:sz="0" w:space="0" w:color="auto"/>
        <w:left w:val="none" w:sz="0" w:space="0" w:color="auto"/>
        <w:bottom w:val="none" w:sz="0" w:space="0" w:color="auto"/>
        <w:right w:val="none" w:sz="0" w:space="0" w:color="auto"/>
      </w:divBdr>
    </w:div>
    <w:div w:id="1876577174">
      <w:bodyDiv w:val="1"/>
      <w:marLeft w:val="0"/>
      <w:marRight w:val="0"/>
      <w:marTop w:val="0"/>
      <w:marBottom w:val="0"/>
      <w:divBdr>
        <w:top w:val="none" w:sz="0" w:space="0" w:color="auto"/>
        <w:left w:val="none" w:sz="0" w:space="0" w:color="auto"/>
        <w:bottom w:val="none" w:sz="0" w:space="0" w:color="auto"/>
        <w:right w:val="none" w:sz="0" w:space="0" w:color="auto"/>
      </w:divBdr>
    </w:div>
    <w:div w:id="1883784011">
      <w:bodyDiv w:val="1"/>
      <w:marLeft w:val="0"/>
      <w:marRight w:val="0"/>
      <w:marTop w:val="0"/>
      <w:marBottom w:val="0"/>
      <w:divBdr>
        <w:top w:val="none" w:sz="0" w:space="0" w:color="auto"/>
        <w:left w:val="none" w:sz="0" w:space="0" w:color="auto"/>
        <w:bottom w:val="none" w:sz="0" w:space="0" w:color="auto"/>
        <w:right w:val="none" w:sz="0" w:space="0" w:color="auto"/>
      </w:divBdr>
    </w:div>
    <w:div w:id="1892383293">
      <w:bodyDiv w:val="1"/>
      <w:marLeft w:val="0"/>
      <w:marRight w:val="0"/>
      <w:marTop w:val="0"/>
      <w:marBottom w:val="0"/>
      <w:divBdr>
        <w:top w:val="none" w:sz="0" w:space="0" w:color="auto"/>
        <w:left w:val="none" w:sz="0" w:space="0" w:color="auto"/>
        <w:bottom w:val="none" w:sz="0" w:space="0" w:color="auto"/>
        <w:right w:val="none" w:sz="0" w:space="0" w:color="auto"/>
      </w:divBdr>
    </w:div>
    <w:div w:id="1900437631">
      <w:bodyDiv w:val="1"/>
      <w:marLeft w:val="0"/>
      <w:marRight w:val="0"/>
      <w:marTop w:val="0"/>
      <w:marBottom w:val="0"/>
      <w:divBdr>
        <w:top w:val="none" w:sz="0" w:space="0" w:color="auto"/>
        <w:left w:val="none" w:sz="0" w:space="0" w:color="auto"/>
        <w:bottom w:val="none" w:sz="0" w:space="0" w:color="auto"/>
        <w:right w:val="none" w:sz="0" w:space="0" w:color="auto"/>
      </w:divBdr>
    </w:div>
    <w:div w:id="1904756992">
      <w:bodyDiv w:val="1"/>
      <w:marLeft w:val="0"/>
      <w:marRight w:val="0"/>
      <w:marTop w:val="0"/>
      <w:marBottom w:val="0"/>
      <w:divBdr>
        <w:top w:val="none" w:sz="0" w:space="0" w:color="auto"/>
        <w:left w:val="none" w:sz="0" w:space="0" w:color="auto"/>
        <w:bottom w:val="none" w:sz="0" w:space="0" w:color="auto"/>
        <w:right w:val="none" w:sz="0" w:space="0" w:color="auto"/>
      </w:divBdr>
    </w:div>
    <w:div w:id="1918703471">
      <w:bodyDiv w:val="1"/>
      <w:marLeft w:val="0"/>
      <w:marRight w:val="0"/>
      <w:marTop w:val="0"/>
      <w:marBottom w:val="0"/>
      <w:divBdr>
        <w:top w:val="none" w:sz="0" w:space="0" w:color="auto"/>
        <w:left w:val="none" w:sz="0" w:space="0" w:color="auto"/>
        <w:bottom w:val="none" w:sz="0" w:space="0" w:color="auto"/>
        <w:right w:val="none" w:sz="0" w:space="0" w:color="auto"/>
      </w:divBdr>
    </w:div>
    <w:div w:id="1934436104">
      <w:bodyDiv w:val="1"/>
      <w:marLeft w:val="0"/>
      <w:marRight w:val="0"/>
      <w:marTop w:val="0"/>
      <w:marBottom w:val="0"/>
      <w:divBdr>
        <w:top w:val="none" w:sz="0" w:space="0" w:color="auto"/>
        <w:left w:val="none" w:sz="0" w:space="0" w:color="auto"/>
        <w:bottom w:val="none" w:sz="0" w:space="0" w:color="auto"/>
        <w:right w:val="none" w:sz="0" w:space="0" w:color="auto"/>
      </w:divBdr>
    </w:div>
    <w:div w:id="1937013959">
      <w:bodyDiv w:val="1"/>
      <w:marLeft w:val="0"/>
      <w:marRight w:val="0"/>
      <w:marTop w:val="0"/>
      <w:marBottom w:val="0"/>
      <w:divBdr>
        <w:top w:val="none" w:sz="0" w:space="0" w:color="auto"/>
        <w:left w:val="none" w:sz="0" w:space="0" w:color="auto"/>
        <w:bottom w:val="none" w:sz="0" w:space="0" w:color="auto"/>
        <w:right w:val="none" w:sz="0" w:space="0" w:color="auto"/>
      </w:divBdr>
    </w:div>
    <w:div w:id="1958178686">
      <w:bodyDiv w:val="1"/>
      <w:marLeft w:val="0"/>
      <w:marRight w:val="0"/>
      <w:marTop w:val="0"/>
      <w:marBottom w:val="0"/>
      <w:divBdr>
        <w:top w:val="none" w:sz="0" w:space="0" w:color="auto"/>
        <w:left w:val="none" w:sz="0" w:space="0" w:color="auto"/>
        <w:bottom w:val="none" w:sz="0" w:space="0" w:color="auto"/>
        <w:right w:val="none" w:sz="0" w:space="0" w:color="auto"/>
      </w:divBdr>
    </w:div>
    <w:div w:id="1969895729">
      <w:bodyDiv w:val="1"/>
      <w:marLeft w:val="0"/>
      <w:marRight w:val="0"/>
      <w:marTop w:val="0"/>
      <w:marBottom w:val="0"/>
      <w:divBdr>
        <w:top w:val="none" w:sz="0" w:space="0" w:color="auto"/>
        <w:left w:val="none" w:sz="0" w:space="0" w:color="auto"/>
        <w:bottom w:val="none" w:sz="0" w:space="0" w:color="auto"/>
        <w:right w:val="none" w:sz="0" w:space="0" w:color="auto"/>
      </w:divBdr>
    </w:div>
    <w:div w:id="1973485741">
      <w:bodyDiv w:val="1"/>
      <w:marLeft w:val="0"/>
      <w:marRight w:val="0"/>
      <w:marTop w:val="0"/>
      <w:marBottom w:val="0"/>
      <w:divBdr>
        <w:top w:val="none" w:sz="0" w:space="0" w:color="auto"/>
        <w:left w:val="none" w:sz="0" w:space="0" w:color="auto"/>
        <w:bottom w:val="none" w:sz="0" w:space="0" w:color="auto"/>
        <w:right w:val="none" w:sz="0" w:space="0" w:color="auto"/>
      </w:divBdr>
    </w:div>
    <w:div w:id="2004891599">
      <w:bodyDiv w:val="1"/>
      <w:marLeft w:val="0"/>
      <w:marRight w:val="0"/>
      <w:marTop w:val="0"/>
      <w:marBottom w:val="0"/>
      <w:divBdr>
        <w:top w:val="none" w:sz="0" w:space="0" w:color="auto"/>
        <w:left w:val="none" w:sz="0" w:space="0" w:color="auto"/>
        <w:bottom w:val="none" w:sz="0" w:space="0" w:color="auto"/>
        <w:right w:val="none" w:sz="0" w:space="0" w:color="auto"/>
      </w:divBdr>
    </w:div>
    <w:div w:id="2047363867">
      <w:bodyDiv w:val="1"/>
      <w:marLeft w:val="0"/>
      <w:marRight w:val="0"/>
      <w:marTop w:val="0"/>
      <w:marBottom w:val="0"/>
      <w:divBdr>
        <w:top w:val="none" w:sz="0" w:space="0" w:color="auto"/>
        <w:left w:val="none" w:sz="0" w:space="0" w:color="auto"/>
        <w:bottom w:val="none" w:sz="0" w:space="0" w:color="auto"/>
        <w:right w:val="none" w:sz="0" w:space="0" w:color="auto"/>
      </w:divBdr>
    </w:div>
    <w:div w:id="2050109996">
      <w:bodyDiv w:val="1"/>
      <w:marLeft w:val="0"/>
      <w:marRight w:val="0"/>
      <w:marTop w:val="0"/>
      <w:marBottom w:val="0"/>
      <w:divBdr>
        <w:top w:val="none" w:sz="0" w:space="0" w:color="auto"/>
        <w:left w:val="none" w:sz="0" w:space="0" w:color="auto"/>
        <w:bottom w:val="none" w:sz="0" w:space="0" w:color="auto"/>
        <w:right w:val="none" w:sz="0" w:space="0" w:color="auto"/>
      </w:divBdr>
    </w:div>
    <w:div w:id="2064257827">
      <w:bodyDiv w:val="1"/>
      <w:marLeft w:val="0"/>
      <w:marRight w:val="0"/>
      <w:marTop w:val="0"/>
      <w:marBottom w:val="0"/>
      <w:divBdr>
        <w:top w:val="none" w:sz="0" w:space="0" w:color="auto"/>
        <w:left w:val="none" w:sz="0" w:space="0" w:color="auto"/>
        <w:bottom w:val="none" w:sz="0" w:space="0" w:color="auto"/>
        <w:right w:val="none" w:sz="0" w:space="0" w:color="auto"/>
      </w:divBdr>
    </w:div>
    <w:div w:id="2072464386">
      <w:bodyDiv w:val="1"/>
      <w:marLeft w:val="0"/>
      <w:marRight w:val="0"/>
      <w:marTop w:val="0"/>
      <w:marBottom w:val="0"/>
      <w:divBdr>
        <w:top w:val="none" w:sz="0" w:space="0" w:color="auto"/>
        <w:left w:val="none" w:sz="0" w:space="0" w:color="auto"/>
        <w:bottom w:val="none" w:sz="0" w:space="0" w:color="auto"/>
        <w:right w:val="none" w:sz="0" w:space="0" w:color="auto"/>
      </w:divBdr>
    </w:div>
    <w:div w:id="2079012946">
      <w:bodyDiv w:val="1"/>
      <w:marLeft w:val="0"/>
      <w:marRight w:val="0"/>
      <w:marTop w:val="0"/>
      <w:marBottom w:val="0"/>
      <w:divBdr>
        <w:top w:val="none" w:sz="0" w:space="0" w:color="auto"/>
        <w:left w:val="none" w:sz="0" w:space="0" w:color="auto"/>
        <w:bottom w:val="none" w:sz="0" w:space="0" w:color="auto"/>
        <w:right w:val="none" w:sz="0" w:space="0" w:color="auto"/>
      </w:divBdr>
    </w:div>
    <w:div w:id="2103380137">
      <w:bodyDiv w:val="1"/>
      <w:marLeft w:val="0"/>
      <w:marRight w:val="0"/>
      <w:marTop w:val="0"/>
      <w:marBottom w:val="0"/>
      <w:divBdr>
        <w:top w:val="none" w:sz="0" w:space="0" w:color="auto"/>
        <w:left w:val="none" w:sz="0" w:space="0" w:color="auto"/>
        <w:bottom w:val="none" w:sz="0" w:space="0" w:color="auto"/>
        <w:right w:val="none" w:sz="0" w:space="0" w:color="auto"/>
      </w:divBdr>
    </w:div>
    <w:div w:id="2124811476">
      <w:bodyDiv w:val="1"/>
      <w:marLeft w:val="0"/>
      <w:marRight w:val="0"/>
      <w:marTop w:val="0"/>
      <w:marBottom w:val="0"/>
      <w:divBdr>
        <w:top w:val="none" w:sz="0" w:space="0" w:color="auto"/>
        <w:left w:val="none" w:sz="0" w:space="0" w:color="auto"/>
        <w:bottom w:val="none" w:sz="0" w:space="0" w:color="auto"/>
        <w:right w:val="none" w:sz="0" w:space="0" w:color="auto"/>
      </w:divBdr>
    </w:div>
    <w:div w:id="213274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AbrirModal(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AbrirModal(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97F1-7E3D-43B1-AB64-462C0BEA9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61CBA9-C5BB-4E1C-A424-1B0C29BB809D}">
  <ds:schemaRefs>
    <ds:schemaRef ds:uri="http://schemas.microsoft.com/sharepoint/v3/contenttype/forms"/>
  </ds:schemaRefs>
</ds:datastoreItem>
</file>

<file path=customXml/itemProps3.xml><?xml version="1.0" encoding="utf-8"?>
<ds:datastoreItem xmlns:ds="http://schemas.openxmlformats.org/officeDocument/2006/customXml" ds:itemID="{934403B2-BEB1-4C46-A4BE-FCA085D332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9C71FA-620A-4F2E-A2BF-38D37354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6499</Words>
  <Characters>35746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Sosa Hernandez</dc:creator>
  <cp:keywords/>
  <dc:description/>
  <cp:lastModifiedBy>Maria del Consuelo Gonzalez Moreno</cp:lastModifiedBy>
  <cp:revision>49</cp:revision>
  <cp:lastPrinted>2017-03-01T16:23:00Z</cp:lastPrinted>
  <dcterms:created xsi:type="dcterms:W3CDTF">2017-11-01T15:32:00Z</dcterms:created>
  <dcterms:modified xsi:type="dcterms:W3CDTF">2017-11-28T18:32:00Z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