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49C81" w14:textId="02CC63E9" w:rsidR="00394255" w:rsidRDefault="00117AD4" w:rsidP="00FE3747">
      <w:pPr>
        <w:keepNext/>
        <w:spacing w:after="0"/>
        <w:jc w:val="both"/>
        <w:outlineLvl w:val="1"/>
        <w:rPr>
          <w:rFonts w:ascii="ITC Avant Garde" w:eastAsia="Times New Roman" w:hAnsi="ITC Avant Garde"/>
          <w:b/>
          <w:bCs/>
          <w:iCs/>
          <w:lang w:eastAsia="es-ES"/>
        </w:rPr>
      </w:pPr>
      <w:r>
        <w:rPr>
          <w:rFonts w:ascii="ITC Avant Garde" w:eastAsia="Times New Roman" w:hAnsi="ITC Avant Garde"/>
          <w:b/>
          <w:bCs/>
          <w:lang w:val="es-ES" w:eastAsia="es-ES"/>
        </w:rPr>
        <w:t xml:space="preserve">RESOLUCIÓN </w:t>
      </w:r>
      <w:r w:rsidR="00394255" w:rsidRPr="00AC70DC">
        <w:rPr>
          <w:rFonts w:ascii="ITC Avant Garde" w:eastAsia="Times New Roman" w:hAnsi="ITC Avant Garde"/>
          <w:b/>
          <w:bCs/>
          <w:lang w:val="es-ES" w:eastAsia="es-ES"/>
        </w:rPr>
        <w:t>MEDIANTE LA CUAL EL PLENO DEL INSTITUT</w:t>
      </w:r>
      <w:r w:rsidR="0053642E">
        <w:rPr>
          <w:rFonts w:ascii="ITC Avant Garde" w:eastAsia="Times New Roman" w:hAnsi="ITC Avant Garde"/>
          <w:b/>
          <w:bCs/>
          <w:lang w:val="es-ES" w:eastAsia="es-ES"/>
        </w:rPr>
        <w:t xml:space="preserve">O FEDERAL DE TELECOMUNICACIONES DA </w:t>
      </w:r>
      <w:r w:rsidR="0025195D">
        <w:rPr>
          <w:rFonts w:ascii="ITC Avant Garde" w:eastAsia="Times New Roman" w:hAnsi="ITC Avant Garde"/>
          <w:b/>
          <w:bCs/>
          <w:lang w:val="es-ES" w:eastAsia="es-ES"/>
        </w:rPr>
        <w:t xml:space="preserve">CUMPLIMIENTO </w:t>
      </w:r>
      <w:r w:rsidR="0025195D" w:rsidRPr="0025195D">
        <w:rPr>
          <w:rFonts w:ascii="ITC Avant Garde" w:eastAsia="Times New Roman" w:hAnsi="ITC Avant Garde"/>
          <w:b/>
          <w:bCs/>
          <w:iCs/>
          <w:lang w:eastAsia="es-ES"/>
        </w:rPr>
        <w:t>A LA</w:t>
      </w:r>
      <w:r w:rsidR="0032210B">
        <w:rPr>
          <w:rFonts w:ascii="ITC Avant Garde" w:eastAsia="Times New Roman" w:hAnsi="ITC Avant Garde"/>
          <w:b/>
          <w:bCs/>
          <w:iCs/>
          <w:lang w:eastAsia="es-ES"/>
        </w:rPr>
        <w:t xml:space="preserve"> RESOLUCIÓN </w:t>
      </w:r>
      <w:r w:rsidR="0025195D" w:rsidRPr="0025195D">
        <w:rPr>
          <w:rFonts w:ascii="ITC Avant Garde" w:eastAsia="Times New Roman" w:hAnsi="ITC Avant Garde"/>
          <w:b/>
          <w:bCs/>
          <w:iCs/>
          <w:lang w:eastAsia="es-ES"/>
        </w:rPr>
        <w:t xml:space="preserve">DICTADA </w:t>
      </w:r>
      <w:r w:rsidR="0053642E">
        <w:rPr>
          <w:rFonts w:ascii="ITC Avant Garde" w:eastAsia="Times New Roman" w:hAnsi="ITC Avant Garde"/>
          <w:b/>
          <w:bCs/>
          <w:iCs/>
          <w:lang w:eastAsia="es-ES"/>
        </w:rPr>
        <w:t>POR EL P</w:t>
      </w:r>
      <w:r w:rsidR="0032210B">
        <w:rPr>
          <w:rFonts w:ascii="ITC Avant Garde" w:eastAsia="Times New Roman" w:hAnsi="ITC Avant Garde"/>
          <w:b/>
          <w:bCs/>
          <w:iCs/>
          <w:lang w:eastAsia="es-ES"/>
        </w:rPr>
        <w:t xml:space="preserve">LENO DE SALA SUPERIOR DEL TRIBUNAL FEDERAL DE JUSTICIA FISCAL Y ADMINISTRATIVA </w:t>
      </w:r>
      <w:r w:rsidR="00575114">
        <w:rPr>
          <w:rFonts w:ascii="ITC Avant Garde" w:eastAsia="Times New Roman" w:hAnsi="ITC Avant Garde"/>
          <w:b/>
          <w:bCs/>
          <w:iCs/>
          <w:lang w:eastAsia="es-ES"/>
        </w:rPr>
        <w:t>EN</w:t>
      </w:r>
      <w:r w:rsidR="00F77074">
        <w:rPr>
          <w:rFonts w:ascii="ITC Avant Garde" w:eastAsia="Times New Roman" w:hAnsi="ITC Avant Garde"/>
          <w:b/>
          <w:bCs/>
          <w:iCs/>
          <w:lang w:eastAsia="es-ES"/>
        </w:rPr>
        <w:t xml:space="preserve"> </w:t>
      </w:r>
      <w:r w:rsidR="0053642E">
        <w:rPr>
          <w:rFonts w:ascii="ITC Avant Garde" w:eastAsia="Times New Roman" w:hAnsi="ITC Avant Garde"/>
          <w:b/>
          <w:bCs/>
          <w:iCs/>
          <w:lang w:eastAsia="es-ES"/>
        </w:rPr>
        <w:t xml:space="preserve">EL </w:t>
      </w:r>
      <w:r w:rsidR="0032210B">
        <w:rPr>
          <w:rFonts w:ascii="ITC Avant Garde" w:eastAsia="Times New Roman" w:hAnsi="ITC Avant Garde"/>
          <w:b/>
          <w:bCs/>
          <w:iCs/>
          <w:lang w:eastAsia="es-ES"/>
        </w:rPr>
        <w:t>EXPEDIENTE 107/11-EOR-01-8/1128/12-PL-06-04-QC</w:t>
      </w:r>
      <w:r w:rsidR="0053642E">
        <w:rPr>
          <w:rFonts w:ascii="ITC Avant Garde" w:eastAsia="Times New Roman" w:hAnsi="ITC Avant Garde"/>
          <w:b/>
          <w:bCs/>
          <w:iCs/>
          <w:lang w:eastAsia="es-ES"/>
        </w:rPr>
        <w:t xml:space="preserve">. </w:t>
      </w:r>
    </w:p>
    <w:p w14:paraId="700B8C3B" w14:textId="77777777" w:rsidR="0010524D" w:rsidRDefault="0010524D" w:rsidP="000C1BE1">
      <w:pPr>
        <w:spacing w:after="0"/>
        <w:jc w:val="both"/>
        <w:rPr>
          <w:rFonts w:ascii="ITC Avant Garde" w:hAnsi="ITC Avant Garde"/>
        </w:rPr>
      </w:pPr>
    </w:p>
    <w:p w14:paraId="060FADDF" w14:textId="77777777" w:rsidR="0010524D" w:rsidRPr="00AC70DC" w:rsidRDefault="00C25F00" w:rsidP="00FE3747">
      <w:pPr>
        <w:pStyle w:val="Ttulo3"/>
        <w:keepNext w:val="0"/>
        <w:widowControl w:val="0"/>
        <w:spacing w:line="276" w:lineRule="auto"/>
        <w:ind w:left="0"/>
        <w:jc w:val="center"/>
        <w:rPr>
          <w:rFonts w:ascii="ITC Avant Garde" w:hAnsi="ITC Avant Garde" w:cs="Times New Roman"/>
          <w:szCs w:val="22"/>
        </w:rPr>
      </w:pPr>
      <w:r w:rsidRPr="00AC70DC">
        <w:rPr>
          <w:rFonts w:ascii="ITC Avant Garde" w:hAnsi="ITC Avant Garde" w:cs="Times New Roman"/>
          <w:szCs w:val="22"/>
        </w:rPr>
        <w:t>ANTECEDENTES</w:t>
      </w:r>
    </w:p>
    <w:p w14:paraId="228DEFFF" w14:textId="77777777" w:rsidR="0010524D" w:rsidRDefault="0010524D" w:rsidP="00FE3747">
      <w:pPr>
        <w:spacing w:after="0"/>
        <w:jc w:val="both"/>
        <w:rPr>
          <w:rFonts w:ascii="ITC Avant Garde" w:hAnsi="ITC Avant Garde"/>
        </w:rPr>
      </w:pPr>
    </w:p>
    <w:p w14:paraId="61EF7FB4" w14:textId="76218C33" w:rsidR="009F02B4" w:rsidRPr="00E13C29" w:rsidRDefault="00C14454" w:rsidP="000C1BE1">
      <w:pPr>
        <w:numPr>
          <w:ilvl w:val="0"/>
          <w:numId w:val="12"/>
        </w:numPr>
        <w:tabs>
          <w:tab w:val="clear" w:pos="900"/>
        </w:tabs>
        <w:spacing w:after="0" w:line="360" w:lineRule="auto"/>
        <w:ind w:left="993" w:hanging="567"/>
        <w:jc w:val="both"/>
        <w:rPr>
          <w:rFonts w:ascii="ITC Avant Garde" w:eastAsia="Times New Roman" w:hAnsi="ITC Avant Garde"/>
          <w:lang w:eastAsia="es-ES"/>
        </w:rPr>
      </w:pPr>
      <w:r>
        <w:rPr>
          <w:rFonts w:ascii="ITC Avant Garde" w:eastAsia="Times New Roman" w:hAnsi="ITC Avant Garde"/>
          <w:lang w:eastAsia="es-ES"/>
        </w:rPr>
        <w:t>Con</w:t>
      </w:r>
      <w:r w:rsidR="00030002">
        <w:rPr>
          <w:rFonts w:ascii="ITC Avant Garde" w:eastAsia="Times New Roman" w:hAnsi="ITC Avant Garde"/>
          <w:lang w:eastAsia="es-ES"/>
        </w:rPr>
        <w:t xml:space="preserve"> fecha </w:t>
      </w:r>
      <w:r w:rsidR="00D42CA1">
        <w:rPr>
          <w:rFonts w:ascii="ITC Avant Garde" w:eastAsia="Times New Roman" w:hAnsi="ITC Avant Garde"/>
          <w:lang w:eastAsia="es-ES"/>
        </w:rPr>
        <w:t xml:space="preserve">13 de octubre de 2009, </w:t>
      </w:r>
      <w:proofErr w:type="spellStart"/>
      <w:r w:rsidR="00030002">
        <w:rPr>
          <w:rFonts w:ascii="ITC Avant Garde" w:eastAsia="Times New Roman" w:hAnsi="ITC Avant Garde"/>
          <w:lang w:eastAsia="es-ES"/>
        </w:rPr>
        <w:t>Marcatel</w:t>
      </w:r>
      <w:proofErr w:type="spellEnd"/>
      <w:r w:rsidR="00030002">
        <w:rPr>
          <w:rFonts w:ascii="ITC Avant Garde" w:eastAsia="Times New Roman" w:hAnsi="ITC Avant Garde"/>
          <w:lang w:eastAsia="es-ES"/>
        </w:rPr>
        <w:t xml:space="preserve"> </w:t>
      </w:r>
      <w:proofErr w:type="spellStart"/>
      <w:r w:rsidR="00030002">
        <w:rPr>
          <w:rFonts w:ascii="ITC Avant Garde" w:eastAsia="Times New Roman" w:hAnsi="ITC Avant Garde"/>
          <w:lang w:eastAsia="es-ES"/>
        </w:rPr>
        <w:t>Com</w:t>
      </w:r>
      <w:proofErr w:type="spellEnd"/>
      <w:r w:rsidR="00030002">
        <w:rPr>
          <w:rFonts w:ascii="ITC Avant Garde" w:eastAsia="Times New Roman" w:hAnsi="ITC Avant Garde"/>
          <w:lang w:eastAsia="es-ES"/>
        </w:rPr>
        <w:t xml:space="preserve">, S.A. de C.V., </w:t>
      </w:r>
      <w:r w:rsidR="00E13C29">
        <w:rPr>
          <w:rFonts w:ascii="ITC Avant Garde" w:eastAsia="Times New Roman" w:hAnsi="ITC Avant Garde"/>
          <w:lang w:eastAsia="es-ES"/>
        </w:rPr>
        <w:t xml:space="preserve">(en lo sucesivo, “Marcatel”) </w:t>
      </w:r>
      <w:r w:rsidR="00030002">
        <w:rPr>
          <w:rFonts w:ascii="ITC Avant Garde" w:eastAsia="Times New Roman" w:hAnsi="ITC Avant Garde"/>
          <w:lang w:eastAsia="es-ES"/>
        </w:rPr>
        <w:t>solicitó a la extinta Comisión Federal de Telecomunicaciones</w:t>
      </w:r>
      <w:r w:rsidR="00E13C29">
        <w:rPr>
          <w:rFonts w:ascii="ITC Avant Garde" w:eastAsia="Times New Roman" w:hAnsi="ITC Avant Garde"/>
          <w:lang w:eastAsia="es-ES"/>
        </w:rPr>
        <w:t xml:space="preserve"> (en lo sucesivo, la “extinta Comisión”)</w:t>
      </w:r>
      <w:r w:rsidR="00030002">
        <w:rPr>
          <w:rFonts w:ascii="ITC Avant Garde" w:eastAsia="Times New Roman" w:hAnsi="ITC Avant Garde"/>
          <w:lang w:eastAsia="es-ES"/>
        </w:rPr>
        <w:t xml:space="preserve"> su intervención para resolver el desacuerdo</w:t>
      </w:r>
      <w:r w:rsidR="009F02B4">
        <w:rPr>
          <w:rFonts w:ascii="ITC Avant Garde" w:eastAsia="Times New Roman" w:hAnsi="ITC Avant Garde"/>
          <w:lang w:eastAsia="es-ES"/>
        </w:rPr>
        <w:t xml:space="preserve"> con Teléfonos de México, S.A.B. de C.V.</w:t>
      </w:r>
      <w:r w:rsidR="00E13C29">
        <w:rPr>
          <w:rFonts w:ascii="ITC Avant Garde" w:eastAsia="Times New Roman" w:hAnsi="ITC Avant Garde"/>
          <w:lang w:eastAsia="es-ES"/>
        </w:rPr>
        <w:t xml:space="preserve">, (en lo sucesivo, “Telmex”) </w:t>
      </w:r>
      <w:r w:rsidR="00E13C29" w:rsidRPr="00E13C29">
        <w:rPr>
          <w:rFonts w:ascii="ITC Avant Garde" w:eastAsia="Times New Roman" w:hAnsi="ITC Avant Garde"/>
          <w:lang w:eastAsia="es-ES"/>
        </w:rPr>
        <w:t>con el objeto de que dicho</w:t>
      </w:r>
      <w:r w:rsidR="00E13C29">
        <w:rPr>
          <w:rFonts w:ascii="ITC Avant Garde" w:eastAsia="Times New Roman" w:hAnsi="ITC Avant Garde"/>
          <w:lang w:eastAsia="es-ES"/>
        </w:rPr>
        <w:t xml:space="preserve"> </w:t>
      </w:r>
      <w:r w:rsidR="00E13C29" w:rsidRPr="00E13C29">
        <w:rPr>
          <w:rFonts w:ascii="ITC Avant Garde" w:eastAsia="Times New Roman" w:hAnsi="ITC Avant Garde"/>
          <w:lang w:eastAsia="es-ES"/>
        </w:rPr>
        <w:t>concesionario le proporcion</w:t>
      </w:r>
      <w:r w:rsidR="00E13C29">
        <w:rPr>
          <w:rFonts w:ascii="ITC Avant Garde" w:eastAsia="Times New Roman" w:hAnsi="ITC Avant Garde"/>
          <w:lang w:eastAsia="es-ES"/>
        </w:rPr>
        <w:t>ará</w:t>
      </w:r>
      <w:r w:rsidR="00E13C29" w:rsidRPr="00E13C29">
        <w:rPr>
          <w:rFonts w:ascii="ITC Avant Garde" w:eastAsia="Times New Roman" w:hAnsi="ITC Avant Garde"/>
          <w:lang w:eastAsia="es-ES"/>
        </w:rPr>
        <w:t xml:space="preserve"> la ubicación </w:t>
      </w:r>
      <w:r w:rsidR="00E13C29">
        <w:rPr>
          <w:rFonts w:ascii="ITC Avant Garde" w:eastAsia="Times New Roman" w:hAnsi="ITC Avant Garde"/>
          <w:lang w:eastAsia="es-ES"/>
        </w:rPr>
        <w:t>d</w:t>
      </w:r>
      <w:r w:rsidR="00E13C29" w:rsidRPr="00E13C29">
        <w:rPr>
          <w:rFonts w:ascii="ITC Avant Garde" w:eastAsia="Times New Roman" w:hAnsi="ITC Avant Garde"/>
          <w:lang w:eastAsia="es-ES"/>
        </w:rPr>
        <w:t xml:space="preserve">e los puntos </w:t>
      </w:r>
      <w:r w:rsidR="00E13C29">
        <w:rPr>
          <w:rFonts w:ascii="ITC Avant Garde" w:eastAsia="Times New Roman" w:hAnsi="ITC Avant Garde"/>
          <w:lang w:eastAsia="es-ES"/>
        </w:rPr>
        <w:t xml:space="preserve">de </w:t>
      </w:r>
      <w:r w:rsidR="00E13C29" w:rsidRPr="00E13C29">
        <w:rPr>
          <w:rFonts w:ascii="ITC Avant Garde" w:eastAsia="Times New Roman" w:hAnsi="ITC Avant Garde"/>
          <w:lang w:eastAsia="es-ES"/>
        </w:rPr>
        <w:t>interconexión (en lo sucesivo,</w:t>
      </w:r>
      <w:r w:rsidR="00E13C29">
        <w:rPr>
          <w:rFonts w:ascii="ITC Avant Garde" w:eastAsia="Times New Roman" w:hAnsi="ITC Avant Garde"/>
          <w:lang w:eastAsia="es-ES"/>
        </w:rPr>
        <w:t xml:space="preserve"> </w:t>
      </w:r>
      <w:r w:rsidR="00E13C29" w:rsidRPr="00E13C29">
        <w:rPr>
          <w:rFonts w:ascii="ITC Avant Garde" w:eastAsia="Times New Roman" w:hAnsi="ITC Avant Garde"/>
          <w:lang w:eastAsia="es-ES"/>
        </w:rPr>
        <w:t>"</w:t>
      </w:r>
      <w:proofErr w:type="spellStart"/>
      <w:r w:rsidR="00E13C29" w:rsidRPr="00E13C29">
        <w:rPr>
          <w:rFonts w:ascii="ITC Avant Garde" w:eastAsia="Times New Roman" w:hAnsi="ITC Avant Garde"/>
          <w:lang w:eastAsia="es-ES"/>
        </w:rPr>
        <w:t>PDIC's</w:t>
      </w:r>
      <w:proofErr w:type="spellEnd"/>
      <w:r w:rsidR="00E13C29" w:rsidRPr="00E13C29">
        <w:rPr>
          <w:rFonts w:ascii="ITC Avant Garde" w:eastAsia="Times New Roman" w:hAnsi="ITC Avant Garde"/>
          <w:lang w:eastAsia="es-ES"/>
        </w:rPr>
        <w:t>") para pod</w:t>
      </w:r>
      <w:r w:rsidR="00E13C29">
        <w:rPr>
          <w:rFonts w:ascii="ITC Avant Garde" w:eastAsia="Times New Roman" w:hAnsi="ITC Avant Garde"/>
          <w:lang w:eastAsia="es-ES"/>
        </w:rPr>
        <w:t>er interconectar sus redes púb</w:t>
      </w:r>
      <w:r w:rsidR="00E13C29" w:rsidRPr="00E13C29">
        <w:rPr>
          <w:rFonts w:ascii="ITC Avant Garde" w:eastAsia="Times New Roman" w:hAnsi="ITC Avant Garde"/>
          <w:lang w:eastAsia="es-ES"/>
        </w:rPr>
        <w:t>licas de telecomunicaciones en las</w:t>
      </w:r>
      <w:r w:rsidR="00E13C29">
        <w:rPr>
          <w:rFonts w:ascii="ITC Avant Garde" w:eastAsia="Times New Roman" w:hAnsi="ITC Avant Garde"/>
          <w:lang w:eastAsia="es-ES"/>
        </w:rPr>
        <w:t xml:space="preserve"> </w:t>
      </w:r>
      <w:r w:rsidR="00E13C29" w:rsidRPr="00E13C29">
        <w:rPr>
          <w:rFonts w:ascii="ITC Avant Garde" w:eastAsia="Times New Roman" w:hAnsi="ITC Avant Garde"/>
          <w:lang w:eastAsia="es-ES"/>
        </w:rPr>
        <w:t>localidades de: (i) Nuevo Laredo, Tamaulipas, (ii) Cancún, Quintana Roo, (iii) Playa del</w:t>
      </w:r>
      <w:r w:rsidR="00E13C29">
        <w:rPr>
          <w:rFonts w:ascii="ITC Avant Garde" w:eastAsia="Times New Roman" w:hAnsi="ITC Avant Garde"/>
          <w:lang w:eastAsia="es-ES"/>
        </w:rPr>
        <w:t xml:space="preserve"> </w:t>
      </w:r>
      <w:r w:rsidR="00E13C29" w:rsidRPr="00E13C29">
        <w:rPr>
          <w:rFonts w:ascii="ITC Avant Garde" w:eastAsia="Times New Roman" w:hAnsi="ITC Avant Garde"/>
          <w:lang w:eastAsia="es-ES"/>
        </w:rPr>
        <w:t>Carmen, Quintana Roo, (iv) León, Guanajuato, (v) Toluca, Estado de México, (vi) Ciénega</w:t>
      </w:r>
      <w:r w:rsidR="00E13C29">
        <w:rPr>
          <w:rFonts w:ascii="ITC Avant Garde" w:eastAsia="Times New Roman" w:hAnsi="ITC Avant Garde"/>
          <w:lang w:eastAsia="es-ES"/>
        </w:rPr>
        <w:t xml:space="preserve"> de Flores, Nuevo León, (vii) Cárdenas y </w:t>
      </w:r>
      <w:proofErr w:type="spellStart"/>
      <w:r w:rsidR="00E13C29">
        <w:rPr>
          <w:rFonts w:ascii="ITC Avant Garde" w:eastAsia="Times New Roman" w:hAnsi="ITC Avant Garde"/>
          <w:lang w:eastAsia="es-ES"/>
        </w:rPr>
        <w:t>Valtierrilla</w:t>
      </w:r>
      <w:proofErr w:type="spellEnd"/>
      <w:r w:rsidR="00E13C29">
        <w:rPr>
          <w:rFonts w:ascii="ITC Avant Garde" w:eastAsia="Times New Roman" w:hAnsi="ITC Avant Garde"/>
          <w:lang w:eastAsia="es-ES"/>
        </w:rPr>
        <w:t xml:space="preserve"> ubicadas en</w:t>
      </w:r>
      <w:r w:rsidR="00E13C29" w:rsidRPr="00E13C29">
        <w:rPr>
          <w:rFonts w:ascii="ITC Avant Garde" w:eastAsia="Times New Roman" w:hAnsi="ITC Avant Garde"/>
          <w:lang w:eastAsia="es-ES"/>
        </w:rPr>
        <w:t xml:space="preserve"> el municipio de</w:t>
      </w:r>
      <w:r w:rsidR="00E13C29">
        <w:rPr>
          <w:rFonts w:ascii="ITC Avant Garde" w:eastAsia="Times New Roman" w:hAnsi="ITC Avant Garde"/>
          <w:lang w:eastAsia="es-ES"/>
        </w:rPr>
        <w:t xml:space="preserve"> </w:t>
      </w:r>
      <w:r w:rsidR="00E13C29" w:rsidRPr="00E13C29">
        <w:rPr>
          <w:rFonts w:ascii="ITC Avant Garde" w:eastAsia="Times New Roman" w:hAnsi="ITC Avant Garde"/>
          <w:lang w:eastAsia="es-ES"/>
        </w:rPr>
        <w:t>Salamanca, Guanaj</w:t>
      </w:r>
      <w:r w:rsidR="00E13C29">
        <w:rPr>
          <w:rFonts w:ascii="ITC Avant Garde" w:eastAsia="Times New Roman" w:hAnsi="ITC Avant Garde"/>
          <w:lang w:eastAsia="es-ES"/>
        </w:rPr>
        <w:t>uat</w:t>
      </w:r>
      <w:r w:rsidR="00E13C29" w:rsidRPr="00E13C29">
        <w:rPr>
          <w:rFonts w:ascii="ITC Avant Garde" w:eastAsia="Times New Roman" w:hAnsi="ITC Avant Garde"/>
          <w:lang w:eastAsia="es-ES"/>
        </w:rPr>
        <w:t>o, (</w:t>
      </w:r>
      <w:proofErr w:type="spellStart"/>
      <w:r w:rsidR="00E13C29" w:rsidRPr="00E13C29">
        <w:rPr>
          <w:rFonts w:ascii="ITC Avant Garde" w:eastAsia="Times New Roman" w:hAnsi="ITC Avant Garde"/>
          <w:lang w:eastAsia="es-ES"/>
        </w:rPr>
        <w:t>Viii</w:t>
      </w:r>
      <w:proofErr w:type="spellEnd"/>
      <w:r w:rsidR="00E13C29" w:rsidRPr="00E13C29">
        <w:rPr>
          <w:rFonts w:ascii="ITC Avant Garde" w:eastAsia="Times New Roman" w:hAnsi="ITC Avant Garde"/>
          <w:lang w:eastAsia="es-ES"/>
        </w:rPr>
        <w:t xml:space="preserve">) Ramita, Guanajuato, (ix) </w:t>
      </w:r>
      <w:proofErr w:type="spellStart"/>
      <w:r w:rsidR="00E13C29" w:rsidRPr="00E13C29">
        <w:rPr>
          <w:rFonts w:ascii="ITC Avant Garde" w:eastAsia="Times New Roman" w:hAnsi="ITC Avant Garde"/>
          <w:lang w:eastAsia="es-ES"/>
        </w:rPr>
        <w:t>Cuerámaro</w:t>
      </w:r>
      <w:proofErr w:type="spellEnd"/>
      <w:r w:rsidR="00E13C29" w:rsidRPr="00E13C29">
        <w:rPr>
          <w:rFonts w:ascii="ITC Avant Garde" w:eastAsia="Times New Roman" w:hAnsi="ITC Avant Garde"/>
          <w:lang w:eastAsia="es-ES"/>
        </w:rPr>
        <w:t>, Guanajuato y (x)</w:t>
      </w:r>
      <w:r w:rsidR="00E13C29">
        <w:rPr>
          <w:rFonts w:ascii="ITC Avant Garde" w:eastAsia="Times New Roman" w:hAnsi="ITC Avant Garde"/>
          <w:lang w:eastAsia="es-ES"/>
        </w:rPr>
        <w:t xml:space="preserve"> </w:t>
      </w:r>
      <w:r w:rsidR="00E13C29" w:rsidRPr="00E13C29">
        <w:rPr>
          <w:rFonts w:ascii="ITC Avant Garde" w:eastAsia="Times New Roman" w:hAnsi="ITC Avant Garde"/>
          <w:lang w:eastAsia="es-ES"/>
        </w:rPr>
        <w:t>Sahuayo, Michoacán de Ocampo.</w:t>
      </w:r>
    </w:p>
    <w:p w14:paraId="0557F422" w14:textId="602E561C" w:rsidR="00E13C29" w:rsidRDefault="00E13C29" w:rsidP="000C1BE1">
      <w:pPr>
        <w:numPr>
          <w:ilvl w:val="0"/>
          <w:numId w:val="12"/>
        </w:numPr>
        <w:tabs>
          <w:tab w:val="clear" w:pos="900"/>
        </w:tabs>
        <w:spacing w:after="0" w:line="360" w:lineRule="auto"/>
        <w:ind w:left="993" w:hanging="567"/>
        <w:jc w:val="both"/>
        <w:rPr>
          <w:rFonts w:ascii="ITC Avant Garde" w:eastAsia="Times New Roman" w:hAnsi="ITC Avant Garde"/>
          <w:lang w:eastAsia="es-ES"/>
        </w:rPr>
      </w:pPr>
      <w:r>
        <w:rPr>
          <w:rFonts w:ascii="ITC Avant Garde" w:eastAsia="Times New Roman" w:hAnsi="ITC Avant Garde"/>
          <w:lang w:eastAsia="es-ES"/>
        </w:rPr>
        <w:t xml:space="preserve">Con fecha 14 de abril de 2010, la extinta Comisión emitió el Acuerdo de Pleno </w:t>
      </w:r>
      <w:r w:rsidRPr="00E13C29">
        <w:rPr>
          <w:rFonts w:ascii="ITC Avant Garde" w:eastAsia="Times New Roman" w:hAnsi="ITC Avant Garde"/>
          <w:lang w:eastAsia="es-ES"/>
        </w:rPr>
        <w:t>P/140410/236</w:t>
      </w:r>
      <w:r>
        <w:rPr>
          <w:rFonts w:ascii="ITC Avant Garde" w:eastAsia="Times New Roman" w:hAnsi="ITC Avant Garde"/>
          <w:lang w:eastAsia="es-ES"/>
        </w:rPr>
        <w:t xml:space="preserve">, por el cual resolvió la solicitud de desacuerdo </w:t>
      </w:r>
      <w:r w:rsidR="00030002">
        <w:rPr>
          <w:rFonts w:ascii="ITC Avant Garde" w:eastAsia="Times New Roman" w:hAnsi="ITC Avant Garde"/>
          <w:lang w:eastAsia="es-ES"/>
        </w:rPr>
        <w:t>de interconexión</w:t>
      </w:r>
      <w:r>
        <w:rPr>
          <w:rFonts w:ascii="ITC Avant Garde" w:eastAsia="Times New Roman" w:hAnsi="ITC Avant Garde"/>
          <w:lang w:eastAsia="es-ES"/>
        </w:rPr>
        <w:t xml:space="preserve">, </w:t>
      </w:r>
      <w:r w:rsidR="00057A74">
        <w:rPr>
          <w:rFonts w:ascii="ITC Avant Garde" w:eastAsia="Times New Roman" w:hAnsi="ITC Avant Garde"/>
          <w:lang w:eastAsia="es-ES"/>
        </w:rPr>
        <w:t xml:space="preserve">presentado </w:t>
      </w:r>
      <w:r>
        <w:rPr>
          <w:rFonts w:ascii="ITC Avant Garde" w:eastAsia="Times New Roman" w:hAnsi="ITC Avant Garde"/>
          <w:lang w:eastAsia="es-ES"/>
        </w:rPr>
        <w:t>por Marcatel.</w:t>
      </w:r>
    </w:p>
    <w:p w14:paraId="1708509E" w14:textId="47B338EA" w:rsidR="00276BCF" w:rsidRPr="00274C70" w:rsidRDefault="00EF21FD" w:rsidP="000C1BE1">
      <w:pPr>
        <w:numPr>
          <w:ilvl w:val="0"/>
          <w:numId w:val="12"/>
        </w:numPr>
        <w:tabs>
          <w:tab w:val="clear" w:pos="900"/>
        </w:tabs>
        <w:spacing w:after="0" w:line="360" w:lineRule="auto"/>
        <w:ind w:left="993" w:hanging="567"/>
        <w:jc w:val="both"/>
        <w:rPr>
          <w:rFonts w:ascii="ITC Avant Garde" w:eastAsia="Times New Roman" w:hAnsi="ITC Avant Garde"/>
          <w:lang w:eastAsia="es-ES"/>
        </w:rPr>
      </w:pPr>
      <w:r>
        <w:rPr>
          <w:rFonts w:ascii="ITC Avant Garde" w:eastAsia="Times New Roman" w:hAnsi="ITC Avant Garde"/>
          <w:lang w:eastAsia="es-ES"/>
        </w:rPr>
        <w:t>El 29</w:t>
      </w:r>
      <w:r w:rsidR="00D30FD7">
        <w:rPr>
          <w:rFonts w:ascii="ITC Avant Garde" w:eastAsia="Times New Roman" w:hAnsi="ITC Avant Garde"/>
          <w:lang w:eastAsia="es-ES"/>
        </w:rPr>
        <w:t xml:space="preserve"> de </w:t>
      </w:r>
      <w:r>
        <w:rPr>
          <w:rFonts w:ascii="ITC Avant Garde" w:eastAsia="Times New Roman" w:hAnsi="ITC Avant Garde"/>
          <w:lang w:eastAsia="es-ES"/>
        </w:rPr>
        <w:t xml:space="preserve">junio de 2010, el apoderado legal de </w:t>
      </w:r>
      <w:r w:rsidR="00E93FFA">
        <w:rPr>
          <w:rFonts w:ascii="ITC Avant Garde" w:eastAsia="Times New Roman" w:hAnsi="ITC Avant Garde"/>
          <w:lang w:eastAsia="es-ES"/>
        </w:rPr>
        <w:t>Telmex, demandó</w:t>
      </w:r>
      <w:r>
        <w:rPr>
          <w:rFonts w:ascii="ITC Avant Garde" w:eastAsia="Times New Roman" w:hAnsi="ITC Avant Garde"/>
          <w:lang w:eastAsia="es-ES"/>
        </w:rPr>
        <w:t xml:space="preserve"> vía juicio de nulidad el Acuerdo P/140410/236, así como su correspondiente inscripción en el Registro Público de Telecomunicaciones</w:t>
      </w:r>
      <w:r w:rsidR="00057A74">
        <w:rPr>
          <w:rFonts w:ascii="ITC Avant Garde" w:eastAsia="Times New Roman" w:hAnsi="ITC Avant Garde"/>
          <w:lang w:eastAsia="es-ES"/>
        </w:rPr>
        <w:t>, quedando</w:t>
      </w:r>
      <w:r w:rsidR="00274C70">
        <w:rPr>
          <w:rFonts w:ascii="ITC Avant Garde" w:eastAsia="Times New Roman" w:hAnsi="ITC Avant Garde"/>
          <w:lang w:eastAsia="es-ES"/>
        </w:rPr>
        <w:t xml:space="preserve"> registrado </w:t>
      </w:r>
      <w:r w:rsidR="00E93FFA" w:rsidRPr="00E93FFA">
        <w:rPr>
          <w:rFonts w:ascii="ITC Avant Garde" w:eastAsia="Times New Roman" w:hAnsi="ITC Avant Garde"/>
          <w:lang w:eastAsia="es-ES"/>
        </w:rPr>
        <w:t xml:space="preserve">en la entonces Sala Especializada en Resoluciones de Órganos Reguladores de la Actividad del Estado </w:t>
      </w:r>
      <w:r w:rsidR="00274C70">
        <w:rPr>
          <w:rFonts w:ascii="ITC Avant Garde" w:eastAsia="Times New Roman" w:hAnsi="ITC Avant Garde"/>
          <w:lang w:eastAsia="es-ES"/>
        </w:rPr>
        <w:t xml:space="preserve">bajo el </w:t>
      </w:r>
      <w:r w:rsidR="00274C70" w:rsidRPr="00274C70">
        <w:rPr>
          <w:rFonts w:ascii="ITC Avant Garde" w:eastAsia="Times New Roman" w:hAnsi="ITC Avant Garde"/>
          <w:lang w:eastAsia="es-ES"/>
        </w:rPr>
        <w:t>expediente</w:t>
      </w:r>
      <w:r w:rsidR="00274C70" w:rsidRPr="00274C70">
        <w:rPr>
          <w:rFonts w:ascii="ITC Avant Garde" w:eastAsia="Times New Roman" w:hAnsi="ITC Avant Garde"/>
          <w:bCs/>
          <w:iCs/>
          <w:lang w:eastAsia="es-ES"/>
        </w:rPr>
        <w:t>107/11-EOR-01-8</w:t>
      </w:r>
      <w:r w:rsidR="00274C70">
        <w:rPr>
          <w:rFonts w:ascii="ITC Avant Garde" w:eastAsia="Times New Roman" w:hAnsi="ITC Avant Garde"/>
          <w:bCs/>
          <w:iCs/>
          <w:lang w:eastAsia="es-ES"/>
        </w:rPr>
        <w:t xml:space="preserve"> (en lo sucesivo el “juicio de nulidad 107”)</w:t>
      </w:r>
      <w:r w:rsidR="00DE50C5" w:rsidRPr="00274C70">
        <w:rPr>
          <w:rFonts w:ascii="ITC Avant Garde" w:eastAsia="Times New Roman" w:hAnsi="ITC Avant Garde"/>
          <w:lang w:eastAsia="es-ES"/>
        </w:rPr>
        <w:t>.</w:t>
      </w:r>
    </w:p>
    <w:p w14:paraId="52AEB0DE" w14:textId="0F0DB96D" w:rsidR="00276BCF" w:rsidRDefault="00DE50C5" w:rsidP="000C1BE1">
      <w:pPr>
        <w:pStyle w:val="Prrafodelista"/>
        <w:numPr>
          <w:ilvl w:val="0"/>
          <w:numId w:val="12"/>
        </w:numPr>
        <w:spacing w:line="360" w:lineRule="auto"/>
        <w:ind w:left="896" w:hanging="357"/>
        <w:rPr>
          <w:rFonts w:ascii="ITC Avant Garde" w:hAnsi="ITC Avant Garde"/>
          <w:szCs w:val="22"/>
        </w:rPr>
      </w:pPr>
      <w:r w:rsidRPr="00276BCF">
        <w:rPr>
          <w:rFonts w:ascii="ITC Avant Garde" w:hAnsi="ITC Avant Garde"/>
        </w:rPr>
        <w:t xml:space="preserve"> </w:t>
      </w:r>
      <w:r w:rsidR="00276BCF" w:rsidRPr="00276BCF">
        <w:rPr>
          <w:rFonts w:ascii="ITC Avant Garde" w:hAnsi="ITC Avant Garde"/>
          <w:szCs w:val="22"/>
        </w:rPr>
        <w:t>El 11 de junio de 2013, se publicó en el D</w:t>
      </w:r>
      <w:r w:rsidR="00E13C29">
        <w:rPr>
          <w:rFonts w:ascii="ITC Avant Garde" w:hAnsi="ITC Avant Garde"/>
          <w:szCs w:val="22"/>
        </w:rPr>
        <w:t xml:space="preserve">iario </w:t>
      </w:r>
      <w:r w:rsidR="00276BCF" w:rsidRPr="00276BCF">
        <w:rPr>
          <w:rFonts w:ascii="ITC Avant Garde" w:hAnsi="ITC Avant Garde"/>
          <w:szCs w:val="22"/>
        </w:rPr>
        <w:t>O</w:t>
      </w:r>
      <w:r w:rsidR="00E13C29">
        <w:rPr>
          <w:rFonts w:ascii="ITC Avant Garde" w:hAnsi="ITC Avant Garde"/>
          <w:szCs w:val="22"/>
        </w:rPr>
        <w:t xml:space="preserve">ficial de la </w:t>
      </w:r>
      <w:r w:rsidR="00276BCF" w:rsidRPr="00276BCF">
        <w:rPr>
          <w:rFonts w:ascii="ITC Avant Garde" w:hAnsi="ITC Avant Garde"/>
          <w:szCs w:val="22"/>
        </w:rPr>
        <w:t>F</w:t>
      </w:r>
      <w:r w:rsidR="00E13C29">
        <w:rPr>
          <w:rFonts w:ascii="ITC Avant Garde" w:hAnsi="ITC Avant Garde"/>
          <w:szCs w:val="22"/>
        </w:rPr>
        <w:t>ederación</w:t>
      </w:r>
      <w:r w:rsidR="00057A74">
        <w:rPr>
          <w:rFonts w:ascii="ITC Avant Garde" w:hAnsi="ITC Avant Garde"/>
          <w:szCs w:val="22"/>
        </w:rPr>
        <w:t xml:space="preserve"> (en lo sucesivo, el “DOF”)</w:t>
      </w:r>
      <w:r w:rsidR="00276BCF" w:rsidRPr="00276BCF">
        <w:rPr>
          <w:rFonts w:ascii="ITC Avant Garde" w:hAnsi="ITC Avant Garde"/>
          <w:szCs w:val="22"/>
        </w:rPr>
        <w:t xml:space="preserve">, el “DECRETO por el que se reforman y adicionan diversas disposiciones de los artículos 6o., 7o., 27, 28, 73, 78, 94 y 105 de la Constitución </w:t>
      </w:r>
      <w:r w:rsidR="00276BCF" w:rsidRPr="00276BCF">
        <w:rPr>
          <w:rFonts w:ascii="ITC Avant Garde" w:hAnsi="ITC Avant Garde"/>
          <w:szCs w:val="22"/>
        </w:rPr>
        <w:lastRenderedPageBreak/>
        <w:t>Política de los Estados Unidos Mexicanos, en materia de telecomunicaciones”, mediante el cual se creó al Instituto Federal de Telecomunicaciones (en lo sucesivo, el “Instituto”), como un órgano autónomo con personalidad jurídica y patrimonio propio, cuyo objeto es el desarrollo eficiente de la radiodifusión y las telecomunicaciones conforme a lo dispuesto en la propia Constitución Política de los Estados Unidos Mexicanos (en lo sucesivo, la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7F4A6B3A" w14:textId="4F552007" w:rsidR="00EF21FD" w:rsidRPr="00276BCF" w:rsidRDefault="00EF21FD" w:rsidP="000C1BE1">
      <w:pPr>
        <w:pStyle w:val="Prrafodelista"/>
        <w:numPr>
          <w:ilvl w:val="0"/>
          <w:numId w:val="12"/>
        </w:numPr>
        <w:spacing w:line="360" w:lineRule="auto"/>
        <w:ind w:left="896" w:hanging="357"/>
        <w:rPr>
          <w:rFonts w:ascii="ITC Avant Garde" w:hAnsi="ITC Avant Garde"/>
          <w:szCs w:val="22"/>
        </w:rPr>
      </w:pPr>
      <w:r w:rsidRPr="00276BCF">
        <w:rPr>
          <w:rFonts w:ascii="ITC Avant Garde" w:hAnsi="ITC Avant Garde"/>
        </w:rPr>
        <w:t>Con fecha 30 de octubre de 2013, el Pleno de la Sala Superior del Tribunal Federal de Justicia Fiscal y Administrativa (</w:t>
      </w:r>
      <w:r w:rsidR="00E8297D">
        <w:rPr>
          <w:rFonts w:ascii="ITC Avant Garde" w:hAnsi="ITC Avant Garde"/>
        </w:rPr>
        <w:t>en lo sucesivo, el “</w:t>
      </w:r>
      <w:proofErr w:type="spellStart"/>
      <w:r w:rsidRPr="00276BCF">
        <w:rPr>
          <w:rFonts w:ascii="ITC Avant Garde" w:hAnsi="ITC Avant Garde"/>
        </w:rPr>
        <w:t>TFJFyA</w:t>
      </w:r>
      <w:proofErr w:type="spellEnd"/>
      <w:r w:rsidR="00E8297D">
        <w:rPr>
          <w:rFonts w:ascii="ITC Avant Garde" w:hAnsi="ITC Avant Garde"/>
        </w:rPr>
        <w:t>”</w:t>
      </w:r>
      <w:r w:rsidR="00E93FFA">
        <w:rPr>
          <w:rFonts w:ascii="ITC Avant Garde" w:hAnsi="ITC Avant Garde"/>
        </w:rPr>
        <w:t xml:space="preserve">), dictó </w:t>
      </w:r>
      <w:r w:rsidRPr="00276BCF">
        <w:rPr>
          <w:rFonts w:ascii="ITC Avant Garde" w:hAnsi="ITC Avant Garde"/>
        </w:rPr>
        <w:t xml:space="preserve">sentencia definitiva en el </w:t>
      </w:r>
      <w:r w:rsidR="00E13C29">
        <w:rPr>
          <w:rFonts w:ascii="ITC Avant Garde" w:hAnsi="ITC Avant Garde"/>
        </w:rPr>
        <w:t>juicio de n</w:t>
      </w:r>
      <w:r w:rsidR="00274C70">
        <w:rPr>
          <w:rFonts w:ascii="ITC Avant Garde" w:hAnsi="ITC Avant Garde"/>
        </w:rPr>
        <w:t xml:space="preserve">ulidad 107 en el </w:t>
      </w:r>
      <w:r w:rsidRPr="00276BCF">
        <w:rPr>
          <w:rFonts w:ascii="ITC Avant Garde" w:hAnsi="ITC Avant Garde"/>
        </w:rPr>
        <w:t>sentido de declarar la nulidad del acto impugnado para efectos.</w:t>
      </w:r>
    </w:p>
    <w:p w14:paraId="72C39365" w14:textId="000C8754" w:rsidR="00ED3899" w:rsidRDefault="00EF21FD" w:rsidP="000C1BE1">
      <w:pPr>
        <w:numPr>
          <w:ilvl w:val="0"/>
          <w:numId w:val="12"/>
        </w:numPr>
        <w:tabs>
          <w:tab w:val="clear" w:pos="900"/>
        </w:tabs>
        <w:spacing w:after="0" w:line="360" w:lineRule="auto"/>
        <w:ind w:left="993" w:hanging="567"/>
        <w:jc w:val="both"/>
        <w:rPr>
          <w:rFonts w:ascii="ITC Avant Garde" w:eastAsia="Times New Roman" w:hAnsi="ITC Avant Garde"/>
          <w:lang w:eastAsia="es-ES"/>
        </w:rPr>
      </w:pPr>
      <w:r>
        <w:rPr>
          <w:rFonts w:ascii="ITC Avant Garde" w:eastAsia="Times New Roman" w:hAnsi="ITC Avant Garde"/>
          <w:lang w:eastAsia="es-ES"/>
        </w:rPr>
        <w:t>En contra de la sentencia arriba indicada la actora promovió Juicio de Garantías y la autoridad Recurso de Revisión, bajo los números D.A. 2/2014 y R.F. 1/2014</w:t>
      </w:r>
      <w:r w:rsidR="00ED3899">
        <w:rPr>
          <w:rFonts w:ascii="ITC Avant Garde" w:eastAsia="Times New Roman" w:hAnsi="ITC Avant Garde"/>
          <w:lang w:eastAsia="es-ES"/>
        </w:rPr>
        <w:t>, mismo</w:t>
      </w:r>
      <w:r w:rsidR="00575114">
        <w:rPr>
          <w:rFonts w:ascii="ITC Avant Garde" w:eastAsia="Times New Roman" w:hAnsi="ITC Avant Garde"/>
          <w:lang w:eastAsia="es-ES"/>
        </w:rPr>
        <w:t>s</w:t>
      </w:r>
      <w:r w:rsidR="00E93FFA">
        <w:rPr>
          <w:rFonts w:ascii="ITC Avant Garde" w:eastAsia="Times New Roman" w:hAnsi="ITC Avant Garde"/>
          <w:lang w:eastAsia="es-ES"/>
        </w:rPr>
        <w:t xml:space="preserve"> que tocó</w:t>
      </w:r>
      <w:r w:rsidR="00ED3899">
        <w:rPr>
          <w:rFonts w:ascii="ITC Avant Garde" w:eastAsia="Times New Roman" w:hAnsi="ITC Avant Garde"/>
          <w:lang w:eastAsia="es-ES"/>
        </w:rPr>
        <w:t xml:space="preserve"> conocer </w:t>
      </w:r>
      <w:r w:rsidR="00575114">
        <w:rPr>
          <w:rFonts w:ascii="ITC Avant Garde" w:eastAsia="Times New Roman" w:hAnsi="ITC Avant Garde"/>
          <w:lang w:eastAsia="es-ES"/>
        </w:rPr>
        <w:t>a</w:t>
      </w:r>
      <w:r w:rsidR="00ED3899">
        <w:rPr>
          <w:rFonts w:ascii="ITC Avant Garde" w:eastAsia="Times New Roman" w:hAnsi="ITC Avant Garde"/>
          <w:lang w:eastAsia="es-ES"/>
        </w:rPr>
        <w:t xml:space="preserve">l Primer Tribunal Colegiado de Circuito en Materia Administrativa Especializado en Competencia Económica, Radiodifusión y Telecomunicaciones. </w:t>
      </w:r>
    </w:p>
    <w:p w14:paraId="24BCEA3E" w14:textId="38DB8D60" w:rsidR="00ED3899" w:rsidRDefault="00ED3899" w:rsidP="000C1BE1">
      <w:pPr>
        <w:numPr>
          <w:ilvl w:val="0"/>
          <w:numId w:val="12"/>
        </w:numPr>
        <w:tabs>
          <w:tab w:val="clear" w:pos="900"/>
        </w:tabs>
        <w:spacing w:after="0" w:line="360" w:lineRule="auto"/>
        <w:ind w:left="993" w:hanging="567"/>
        <w:jc w:val="both"/>
        <w:rPr>
          <w:rFonts w:ascii="ITC Avant Garde" w:eastAsia="Times New Roman" w:hAnsi="ITC Avant Garde"/>
          <w:lang w:eastAsia="es-ES"/>
        </w:rPr>
      </w:pPr>
      <w:r>
        <w:rPr>
          <w:rFonts w:ascii="ITC Avant Garde" w:eastAsia="Times New Roman" w:hAnsi="ITC Avant Garde"/>
          <w:lang w:eastAsia="es-ES"/>
        </w:rPr>
        <w:t>Con fecha 20 de marzo de 2014, el Tribunal de alzada resolvió por un lado amparar a Telmex y p</w:t>
      </w:r>
      <w:r w:rsidR="00FA6B51">
        <w:rPr>
          <w:rFonts w:ascii="ITC Avant Garde" w:eastAsia="Times New Roman" w:hAnsi="ITC Avant Garde"/>
          <w:lang w:eastAsia="es-ES"/>
        </w:rPr>
        <w:t xml:space="preserve">or el otro desechar </w:t>
      </w:r>
      <w:r w:rsidR="00575114">
        <w:rPr>
          <w:rFonts w:ascii="ITC Avant Garde" w:eastAsia="Times New Roman" w:hAnsi="ITC Avant Garde"/>
          <w:lang w:eastAsia="es-ES"/>
        </w:rPr>
        <w:t>el</w:t>
      </w:r>
      <w:r w:rsidR="00FA6B51">
        <w:rPr>
          <w:rFonts w:ascii="ITC Avant Garde" w:eastAsia="Times New Roman" w:hAnsi="ITC Avant Garde"/>
          <w:lang w:eastAsia="es-ES"/>
        </w:rPr>
        <w:t xml:space="preserve"> </w:t>
      </w:r>
      <w:r w:rsidR="00575114">
        <w:rPr>
          <w:rFonts w:ascii="ITC Avant Garde" w:eastAsia="Times New Roman" w:hAnsi="ITC Avant Garde"/>
          <w:lang w:eastAsia="es-ES"/>
        </w:rPr>
        <w:t xml:space="preserve">Recurso de </w:t>
      </w:r>
      <w:r w:rsidR="00FA6B51">
        <w:rPr>
          <w:rFonts w:ascii="ITC Avant Garde" w:eastAsia="Times New Roman" w:hAnsi="ITC Avant Garde"/>
          <w:lang w:eastAsia="es-ES"/>
        </w:rPr>
        <w:t>Revisión F</w:t>
      </w:r>
      <w:r>
        <w:rPr>
          <w:rFonts w:ascii="ITC Avant Garde" w:eastAsia="Times New Roman" w:hAnsi="ITC Avant Garde"/>
          <w:lang w:eastAsia="es-ES"/>
        </w:rPr>
        <w:t>iscal promovid</w:t>
      </w:r>
      <w:r w:rsidR="00575114">
        <w:rPr>
          <w:rFonts w:ascii="ITC Avant Garde" w:eastAsia="Times New Roman" w:hAnsi="ITC Avant Garde"/>
          <w:lang w:eastAsia="es-ES"/>
        </w:rPr>
        <w:t>o</w:t>
      </w:r>
      <w:r>
        <w:rPr>
          <w:rFonts w:ascii="ITC Avant Garde" w:eastAsia="Times New Roman" w:hAnsi="ITC Avant Garde"/>
          <w:lang w:eastAsia="es-ES"/>
        </w:rPr>
        <w:t xml:space="preserve"> por la autoridad.</w:t>
      </w:r>
    </w:p>
    <w:p w14:paraId="10064C4B" w14:textId="4126F4BC" w:rsidR="00ED3899" w:rsidRDefault="00ED3899" w:rsidP="000C1BE1">
      <w:pPr>
        <w:numPr>
          <w:ilvl w:val="0"/>
          <w:numId w:val="12"/>
        </w:numPr>
        <w:tabs>
          <w:tab w:val="clear" w:pos="900"/>
        </w:tabs>
        <w:spacing w:after="0" w:line="360" w:lineRule="auto"/>
        <w:ind w:left="993" w:hanging="567"/>
        <w:jc w:val="both"/>
        <w:rPr>
          <w:rFonts w:ascii="ITC Avant Garde" w:eastAsia="Times New Roman" w:hAnsi="ITC Avant Garde"/>
          <w:lang w:eastAsia="es-ES"/>
        </w:rPr>
      </w:pPr>
      <w:r>
        <w:rPr>
          <w:rFonts w:ascii="ITC Avant Garde" w:eastAsia="Times New Roman" w:hAnsi="ITC Avant Garde"/>
          <w:lang w:eastAsia="es-ES"/>
        </w:rPr>
        <w:t xml:space="preserve">En cumplimiento a la ejecutoria de 20 de marzo de 2014, el Pleno del </w:t>
      </w:r>
      <w:proofErr w:type="spellStart"/>
      <w:r>
        <w:rPr>
          <w:rFonts w:ascii="ITC Avant Garde" w:eastAsia="Times New Roman" w:hAnsi="ITC Avant Garde"/>
          <w:lang w:eastAsia="es-ES"/>
        </w:rPr>
        <w:t>TFJFyA</w:t>
      </w:r>
      <w:proofErr w:type="spellEnd"/>
      <w:r>
        <w:rPr>
          <w:rFonts w:ascii="ITC Avant Garde" w:eastAsia="Times New Roman" w:hAnsi="ITC Avant Garde"/>
          <w:lang w:eastAsia="es-ES"/>
        </w:rPr>
        <w:t xml:space="preserve">, emitió </w:t>
      </w:r>
      <w:r w:rsidR="007A2473">
        <w:rPr>
          <w:rFonts w:ascii="ITC Avant Garde" w:eastAsia="Times New Roman" w:hAnsi="ITC Avant Garde"/>
          <w:lang w:eastAsia="es-ES"/>
        </w:rPr>
        <w:t xml:space="preserve">de nueva cuenta </w:t>
      </w:r>
      <w:r>
        <w:rPr>
          <w:rFonts w:ascii="ITC Avant Garde" w:eastAsia="Times New Roman" w:hAnsi="ITC Avant Garde"/>
          <w:lang w:eastAsia="es-ES"/>
        </w:rPr>
        <w:t xml:space="preserve">sentencia de fecha 11 de junio de 2014, en la que se resolvió lo siguiente: </w:t>
      </w:r>
    </w:p>
    <w:p w14:paraId="28FAED30" w14:textId="649B25C3" w:rsidR="00FA6B51" w:rsidRDefault="00FA6B51" w:rsidP="000C1BE1">
      <w:pPr>
        <w:spacing w:after="0" w:line="360" w:lineRule="auto"/>
        <w:ind w:left="1701" w:right="615"/>
        <w:jc w:val="both"/>
        <w:rPr>
          <w:rFonts w:ascii="ITC Avant Garde" w:eastAsia="Times New Roman" w:hAnsi="ITC Avant Garde"/>
          <w:i/>
          <w:sz w:val="18"/>
          <w:szCs w:val="18"/>
          <w:lang w:eastAsia="es-ES"/>
        </w:rPr>
      </w:pPr>
      <w:r w:rsidRPr="00FA6B51">
        <w:rPr>
          <w:rFonts w:ascii="ITC Avant Garde" w:eastAsia="Times New Roman" w:hAnsi="ITC Avant Garde"/>
          <w:i/>
          <w:sz w:val="18"/>
          <w:szCs w:val="18"/>
          <w:lang w:eastAsia="es-ES"/>
        </w:rPr>
        <w:t>I.</w:t>
      </w:r>
      <w:r w:rsidRPr="00FA6B51">
        <w:rPr>
          <w:rFonts w:ascii="ITC Avant Garde" w:eastAsia="Times New Roman" w:hAnsi="ITC Avant Garde"/>
          <w:i/>
          <w:sz w:val="18"/>
          <w:szCs w:val="18"/>
          <w:lang w:eastAsia="es-ES"/>
        </w:rPr>
        <w:tab/>
        <w:t xml:space="preserve">En cumplimiento a la ejecutoria pronunciada en el D.A. 2/2014 (CONEXO CON EL R.F. 1/2014), por el Primer Tribunal Colegiado de Circuito en Materia Administrativa Especializado en Competencia Económica, Radiodifusión y </w:t>
      </w:r>
      <w:r w:rsidRPr="00FA6B51">
        <w:rPr>
          <w:rFonts w:ascii="ITC Avant Garde" w:eastAsia="Times New Roman" w:hAnsi="ITC Avant Garde"/>
          <w:i/>
          <w:sz w:val="18"/>
          <w:szCs w:val="18"/>
          <w:lang w:eastAsia="es-ES"/>
        </w:rPr>
        <w:lastRenderedPageBreak/>
        <w:t>Telecomunicaciones, con residencia en el Distrito Federal y jurisdicción en toda República, de deja sin efectos la sentencia de fecha 30 de octubre de 2013.</w:t>
      </w:r>
    </w:p>
    <w:p w14:paraId="3D6A0568" w14:textId="67A033A4" w:rsidR="00FA6B51" w:rsidRPr="00FA6B51" w:rsidRDefault="00FA6B51" w:rsidP="000C1BE1">
      <w:pPr>
        <w:spacing w:after="0" w:line="360" w:lineRule="auto"/>
        <w:ind w:left="1701" w:right="615"/>
        <w:jc w:val="both"/>
        <w:rPr>
          <w:rFonts w:ascii="ITC Avant Garde" w:eastAsia="Times New Roman" w:hAnsi="ITC Avant Garde"/>
          <w:i/>
          <w:sz w:val="18"/>
          <w:szCs w:val="18"/>
          <w:lang w:eastAsia="es-ES"/>
        </w:rPr>
      </w:pPr>
      <w:r w:rsidRPr="00FA6B51">
        <w:rPr>
          <w:rFonts w:ascii="ITC Avant Garde" w:eastAsia="Times New Roman" w:hAnsi="ITC Avant Garde"/>
          <w:i/>
          <w:sz w:val="18"/>
          <w:szCs w:val="18"/>
          <w:lang w:eastAsia="es-ES"/>
        </w:rPr>
        <w:t>II.</w:t>
      </w:r>
      <w:r w:rsidRPr="00FA6B51">
        <w:rPr>
          <w:rFonts w:ascii="ITC Avant Garde" w:eastAsia="Times New Roman" w:hAnsi="ITC Avant Garde"/>
          <w:i/>
          <w:sz w:val="18"/>
          <w:szCs w:val="18"/>
          <w:lang w:eastAsia="es-ES"/>
        </w:rPr>
        <w:tab/>
        <w:t>Resultó PARCIALMENTE FUNDADA la causal de improcedencia y sobreseimiento que se analizó de oficio por este Órgano Colegiado conforme a los lineamientos de la</w:t>
      </w:r>
      <w:r>
        <w:rPr>
          <w:rFonts w:ascii="ITC Avant Garde" w:eastAsia="Times New Roman" w:hAnsi="ITC Avant Garde"/>
          <w:i/>
          <w:sz w:val="18"/>
          <w:szCs w:val="18"/>
          <w:lang w:eastAsia="es-ES"/>
        </w:rPr>
        <w:t xml:space="preserve"> ejecutoria que se cumplimenta,</w:t>
      </w:r>
      <w:r w:rsidRPr="00FA6B51">
        <w:rPr>
          <w:rFonts w:ascii="ITC Avant Garde" w:eastAsia="Times New Roman" w:hAnsi="ITC Avant Garde"/>
          <w:i/>
          <w:sz w:val="18"/>
          <w:szCs w:val="18"/>
          <w:lang w:eastAsia="es-ES"/>
        </w:rPr>
        <w:t xml:space="preserve"> e INFUNDA</w:t>
      </w:r>
      <w:r w:rsidR="00575114">
        <w:rPr>
          <w:rFonts w:ascii="ITC Avant Garde" w:eastAsia="Times New Roman" w:hAnsi="ITC Avant Garde"/>
          <w:i/>
          <w:sz w:val="18"/>
          <w:szCs w:val="18"/>
          <w:lang w:eastAsia="es-ES"/>
        </w:rPr>
        <w:t>DA</w:t>
      </w:r>
      <w:r w:rsidRPr="00FA6B51">
        <w:rPr>
          <w:rFonts w:ascii="ITC Avant Garde" w:eastAsia="Times New Roman" w:hAnsi="ITC Avant Garde"/>
          <w:i/>
          <w:sz w:val="18"/>
          <w:szCs w:val="18"/>
          <w:lang w:eastAsia="es-ES"/>
        </w:rPr>
        <w:t xml:space="preserve"> la causal de improcedencia hecha valer por la autoridad demandada; en consecuencia:</w:t>
      </w:r>
    </w:p>
    <w:p w14:paraId="275E3EC0" w14:textId="77777777" w:rsidR="00FA6B51" w:rsidRPr="00FA6B51" w:rsidRDefault="00FA6B51" w:rsidP="000C1BE1">
      <w:pPr>
        <w:spacing w:after="0" w:line="360" w:lineRule="auto"/>
        <w:ind w:left="1701" w:right="615"/>
        <w:jc w:val="both"/>
        <w:rPr>
          <w:rFonts w:ascii="ITC Avant Garde" w:eastAsia="Times New Roman" w:hAnsi="ITC Avant Garde"/>
          <w:i/>
          <w:sz w:val="18"/>
          <w:szCs w:val="18"/>
          <w:lang w:eastAsia="es-ES"/>
        </w:rPr>
      </w:pPr>
      <w:r w:rsidRPr="00FA6B51">
        <w:rPr>
          <w:rFonts w:ascii="ITC Avant Garde" w:eastAsia="Times New Roman" w:hAnsi="ITC Avant Garde"/>
          <w:i/>
          <w:sz w:val="18"/>
          <w:szCs w:val="18"/>
          <w:lang w:eastAsia="es-ES"/>
        </w:rPr>
        <w:t>III.</w:t>
      </w:r>
      <w:r w:rsidRPr="00FA6B51">
        <w:rPr>
          <w:rFonts w:ascii="ITC Avant Garde" w:eastAsia="Times New Roman" w:hAnsi="ITC Avant Garde"/>
          <w:i/>
          <w:sz w:val="18"/>
          <w:szCs w:val="18"/>
          <w:lang w:eastAsia="es-ES"/>
        </w:rPr>
        <w:tab/>
        <w:t xml:space="preserve">Se SOBRESEE el juicio únicamente por lo que hace los artículos 2°, 4°, 5°, 6°, fracción I, inciso b), 16, 17 y 22, y no así por lo que hace a los artículos 8°, 9°  y 15 del Plan Técnico Fundamental de Interconexión Interoperabilidad, por las consideraciones y fundamentos contenidos en los Considerados Quinto y Sexto de este fallo. </w:t>
      </w:r>
    </w:p>
    <w:p w14:paraId="659A08AA" w14:textId="77777777" w:rsidR="00FA6B51" w:rsidRPr="00FA6B51" w:rsidRDefault="00FA6B51" w:rsidP="000C1BE1">
      <w:pPr>
        <w:spacing w:after="0" w:line="360" w:lineRule="auto"/>
        <w:ind w:left="1701" w:right="615"/>
        <w:jc w:val="both"/>
        <w:rPr>
          <w:rFonts w:ascii="ITC Avant Garde" w:eastAsia="Times New Roman" w:hAnsi="ITC Avant Garde"/>
          <w:i/>
          <w:sz w:val="18"/>
          <w:szCs w:val="18"/>
          <w:lang w:eastAsia="es-ES"/>
        </w:rPr>
      </w:pPr>
      <w:r w:rsidRPr="00FA6B51">
        <w:rPr>
          <w:rFonts w:ascii="ITC Avant Garde" w:eastAsia="Times New Roman" w:hAnsi="ITC Avant Garde"/>
          <w:i/>
          <w:sz w:val="18"/>
          <w:szCs w:val="18"/>
          <w:lang w:eastAsia="es-ES"/>
        </w:rPr>
        <w:t>IV.</w:t>
      </w:r>
      <w:r w:rsidRPr="00FA6B51">
        <w:rPr>
          <w:rFonts w:ascii="ITC Avant Garde" w:eastAsia="Times New Roman" w:hAnsi="ITC Avant Garde"/>
          <w:i/>
          <w:sz w:val="18"/>
          <w:szCs w:val="18"/>
          <w:lang w:eastAsia="es-ES"/>
        </w:rPr>
        <w:tab/>
        <w:t>La demandante probó parcialmente los extremos de su pretensión, en consecuencia:</w:t>
      </w:r>
    </w:p>
    <w:p w14:paraId="614B5572" w14:textId="77777777" w:rsidR="00FA6B51" w:rsidRPr="00FA6B51" w:rsidRDefault="00FA6B51" w:rsidP="000C1BE1">
      <w:pPr>
        <w:spacing w:after="0" w:line="360" w:lineRule="auto"/>
        <w:ind w:left="1701" w:right="615"/>
        <w:jc w:val="both"/>
        <w:rPr>
          <w:rFonts w:ascii="ITC Avant Garde" w:eastAsia="Times New Roman" w:hAnsi="ITC Avant Garde"/>
          <w:i/>
          <w:sz w:val="18"/>
          <w:szCs w:val="18"/>
          <w:lang w:eastAsia="es-ES"/>
        </w:rPr>
      </w:pPr>
      <w:r w:rsidRPr="00FA6B51">
        <w:rPr>
          <w:rFonts w:ascii="ITC Avant Garde" w:eastAsia="Times New Roman" w:hAnsi="ITC Avant Garde"/>
          <w:i/>
          <w:sz w:val="18"/>
          <w:szCs w:val="18"/>
          <w:lang w:eastAsia="es-ES"/>
        </w:rPr>
        <w:t>V.</w:t>
      </w:r>
      <w:r w:rsidRPr="00FA6B51">
        <w:rPr>
          <w:rFonts w:ascii="ITC Avant Garde" w:eastAsia="Times New Roman" w:hAnsi="ITC Avant Garde"/>
          <w:i/>
          <w:sz w:val="18"/>
          <w:szCs w:val="18"/>
          <w:lang w:eastAsia="es-ES"/>
        </w:rPr>
        <w:tab/>
        <w:t>Se reconoce la validez de los artículos 8°, 9° y 15 del Plan Técnico Fundamental de Interconexión Interoperabilidad, por las consideraciones y fundamentos indicados en el Considerado Séptimo de este fallo.</w:t>
      </w:r>
    </w:p>
    <w:p w14:paraId="2219E1A3" w14:textId="77777777" w:rsidR="00FA6B51" w:rsidRPr="00FA6B51" w:rsidRDefault="00FA6B51" w:rsidP="000C1BE1">
      <w:pPr>
        <w:spacing w:after="0" w:line="360" w:lineRule="auto"/>
        <w:ind w:left="1701" w:right="615"/>
        <w:jc w:val="both"/>
        <w:rPr>
          <w:rFonts w:ascii="ITC Avant Garde" w:eastAsia="Times New Roman" w:hAnsi="ITC Avant Garde"/>
          <w:i/>
          <w:sz w:val="18"/>
          <w:szCs w:val="18"/>
          <w:lang w:eastAsia="es-ES"/>
        </w:rPr>
      </w:pPr>
      <w:r w:rsidRPr="00FA6B51">
        <w:rPr>
          <w:rFonts w:ascii="ITC Avant Garde" w:eastAsia="Times New Roman" w:hAnsi="ITC Avant Garde"/>
          <w:i/>
          <w:sz w:val="18"/>
          <w:szCs w:val="18"/>
          <w:lang w:eastAsia="es-ES"/>
        </w:rPr>
        <w:t>VI.</w:t>
      </w:r>
      <w:r w:rsidRPr="00FA6B51">
        <w:rPr>
          <w:rFonts w:ascii="ITC Avant Garde" w:eastAsia="Times New Roman" w:hAnsi="ITC Avant Garde"/>
          <w:i/>
          <w:sz w:val="18"/>
          <w:szCs w:val="18"/>
          <w:lang w:eastAsia="es-ES"/>
        </w:rPr>
        <w:tab/>
        <w:t xml:space="preserve">Se declara NULIDAD del acto impugnado que se describe en el Resultado 1°, inciso B), para los efectos precisados en la parte final del Noveno Considerado del presente fallo, entre los que se encuentra cancelar la inscripción descrita en el inciso C) del referido Resultado </w:t>
      </w:r>
    </w:p>
    <w:p w14:paraId="123007F6" w14:textId="2853ADE3" w:rsidR="00FA6B51" w:rsidRPr="00FA6B51" w:rsidRDefault="00FA6B51" w:rsidP="000C1BE1">
      <w:pPr>
        <w:spacing w:after="0" w:line="360" w:lineRule="auto"/>
        <w:ind w:left="1701" w:right="615"/>
        <w:jc w:val="both"/>
        <w:rPr>
          <w:rFonts w:ascii="ITC Avant Garde" w:eastAsia="Times New Roman" w:hAnsi="ITC Avant Garde"/>
          <w:i/>
          <w:sz w:val="18"/>
          <w:szCs w:val="18"/>
          <w:lang w:eastAsia="es-ES"/>
        </w:rPr>
      </w:pPr>
      <w:r w:rsidRPr="00FA6B51">
        <w:rPr>
          <w:rFonts w:ascii="ITC Avant Garde" w:eastAsia="Times New Roman" w:hAnsi="ITC Avant Garde"/>
          <w:i/>
          <w:sz w:val="18"/>
          <w:szCs w:val="18"/>
          <w:lang w:eastAsia="es-ES"/>
        </w:rPr>
        <w:t>VII.</w:t>
      </w:r>
      <w:r w:rsidRPr="00FA6B51">
        <w:rPr>
          <w:rFonts w:ascii="ITC Avant Garde" w:eastAsia="Times New Roman" w:hAnsi="ITC Avant Garde"/>
          <w:i/>
          <w:sz w:val="18"/>
          <w:szCs w:val="18"/>
          <w:lang w:eastAsia="es-ES"/>
        </w:rPr>
        <w:tab/>
        <w:t>Mediante atento oficio que al efecto se gire al Primer Tribunal Colegiado de Circuito en Materia Administrativa Especializado en Competencia Económica, Radiodifusión y Telecomunicaciones, con residencia en el Distrito Federal y jurisdicción en toda República, remítasele copia certificada de esta resolución como constancia del cumplimiento dado a la ejecutoria de amparo directo D.A. 2/201</w:t>
      </w:r>
      <w:r w:rsidR="00E8297D">
        <w:rPr>
          <w:rFonts w:ascii="ITC Avant Garde" w:eastAsia="Times New Roman" w:hAnsi="ITC Avant Garde"/>
          <w:i/>
          <w:sz w:val="18"/>
          <w:szCs w:val="18"/>
          <w:lang w:eastAsia="es-ES"/>
        </w:rPr>
        <w:t>4 (CONEXO CON EL R.F. 1/2014)</w:t>
      </w:r>
    </w:p>
    <w:p w14:paraId="0FACDB8B" w14:textId="59CB7351" w:rsidR="00CD7D97" w:rsidRPr="00CD7D97" w:rsidRDefault="00FA6B51" w:rsidP="000C1BE1">
      <w:pPr>
        <w:numPr>
          <w:ilvl w:val="0"/>
          <w:numId w:val="12"/>
        </w:numPr>
        <w:tabs>
          <w:tab w:val="clear" w:pos="900"/>
        </w:tabs>
        <w:spacing w:after="0" w:line="360" w:lineRule="auto"/>
        <w:ind w:left="993" w:hanging="567"/>
        <w:jc w:val="both"/>
        <w:rPr>
          <w:rFonts w:ascii="ITC Avant Garde" w:eastAsia="Times New Roman" w:hAnsi="ITC Avant Garde"/>
          <w:lang w:eastAsia="es-ES"/>
        </w:rPr>
      </w:pPr>
      <w:r>
        <w:rPr>
          <w:rFonts w:ascii="ITC Avant Garde" w:eastAsia="Times New Roman" w:hAnsi="ITC Avant Garde"/>
          <w:lang w:eastAsia="es-ES"/>
        </w:rPr>
        <w:t>Inconforme con el fallo, Telmex promovi</w:t>
      </w:r>
      <w:r w:rsidR="00E93FFA">
        <w:rPr>
          <w:rFonts w:ascii="ITC Avant Garde" w:eastAsia="Times New Roman" w:hAnsi="ITC Avant Garde"/>
          <w:lang w:eastAsia="es-ES"/>
        </w:rPr>
        <w:t>ó demanda de amparo la cual tocó</w:t>
      </w:r>
      <w:r>
        <w:rPr>
          <w:rFonts w:ascii="ITC Avant Garde" w:eastAsia="Times New Roman" w:hAnsi="ITC Avant Garde"/>
          <w:lang w:eastAsia="es-ES"/>
        </w:rPr>
        <w:t xml:space="preserve"> conocer </w:t>
      </w:r>
      <w:r w:rsidR="00575114">
        <w:rPr>
          <w:rFonts w:ascii="ITC Avant Garde" w:eastAsia="Times New Roman" w:hAnsi="ITC Avant Garde"/>
          <w:lang w:eastAsia="es-ES"/>
        </w:rPr>
        <w:t>a</w:t>
      </w:r>
      <w:r>
        <w:rPr>
          <w:rFonts w:ascii="ITC Avant Garde" w:eastAsia="Times New Roman" w:hAnsi="ITC Avant Garde"/>
          <w:lang w:eastAsia="es-ES"/>
        </w:rPr>
        <w:t xml:space="preserve">l Primer Tribunal </w:t>
      </w:r>
      <w:r w:rsidRPr="00FA6B51">
        <w:rPr>
          <w:rFonts w:ascii="ITC Avant Garde" w:eastAsia="Times New Roman" w:hAnsi="ITC Avant Garde"/>
          <w:lang w:eastAsia="es-ES"/>
        </w:rPr>
        <w:t>Colegiado de Circuito en Materia Administrativa Especializado en Competencia Económica, Radiodifusión y Telecomunicaciones</w:t>
      </w:r>
      <w:r>
        <w:rPr>
          <w:rFonts w:ascii="ITC Avant Garde" w:eastAsia="Times New Roman" w:hAnsi="ITC Avant Garde"/>
          <w:lang w:eastAsia="es-ES"/>
        </w:rPr>
        <w:t>, bajo el toca D.A. 17/2014.</w:t>
      </w:r>
    </w:p>
    <w:p w14:paraId="5F786548" w14:textId="77777777" w:rsidR="00CD7D97" w:rsidRPr="002E6E57" w:rsidRDefault="00CD7D97" w:rsidP="000C1BE1">
      <w:pPr>
        <w:numPr>
          <w:ilvl w:val="0"/>
          <w:numId w:val="12"/>
        </w:numPr>
        <w:tabs>
          <w:tab w:val="clear" w:pos="900"/>
        </w:tabs>
        <w:spacing w:after="0" w:line="360" w:lineRule="auto"/>
        <w:ind w:left="993" w:hanging="567"/>
        <w:jc w:val="both"/>
        <w:rPr>
          <w:rFonts w:ascii="ITC Avant Garde" w:eastAsia="Times New Roman" w:hAnsi="ITC Avant Garde"/>
          <w:i/>
          <w:lang w:val="es-ES" w:eastAsia="es-ES"/>
        </w:rPr>
      </w:pPr>
      <w:r w:rsidRPr="002E6E57">
        <w:rPr>
          <w:rFonts w:ascii="ITC Avant Garde" w:eastAsia="Times New Roman" w:hAnsi="ITC Avant Garde"/>
          <w:lang w:val="es-ES" w:eastAsia="es-ES"/>
        </w:rPr>
        <w:t>El 14 de julio de 2014, se publicó en el DOF el</w:t>
      </w:r>
      <w:r w:rsidRPr="002E6E57">
        <w:rPr>
          <w:rFonts w:ascii="ITC Avant Garde" w:eastAsia="Times New Roman" w:hAnsi="ITC Avant Garde"/>
          <w:i/>
          <w:lang w:val="es-ES" w:eastAsia="es-ES"/>
        </w:rPr>
        <w:t xml:space="preserve"> “DECRETO  por el que se expiden la Ley Federal de Telecomunicaciones y Radiodifusión, y la Ley del Sistema Público de Radiodifusión del Estado Mexicano; y se reforman, adicionan y derogan diversas disposiciones en materia de telecomunicaciones y </w:t>
      </w:r>
      <w:r w:rsidRPr="002E6E57">
        <w:rPr>
          <w:rFonts w:ascii="ITC Avant Garde" w:eastAsia="Times New Roman" w:hAnsi="ITC Avant Garde"/>
          <w:i/>
          <w:lang w:val="es-ES" w:eastAsia="es-ES"/>
        </w:rPr>
        <w:lastRenderedPageBreak/>
        <w:t xml:space="preserve">radiodifusión” (en lo sucesivo, el “Decreto de Ley”), </w:t>
      </w:r>
      <w:r w:rsidRPr="002E6E57">
        <w:rPr>
          <w:rFonts w:ascii="ITC Avant Garde" w:eastAsia="Times New Roman" w:hAnsi="ITC Avant Garde"/>
          <w:lang w:val="es-ES" w:eastAsia="es-ES"/>
        </w:rPr>
        <w:t>entrando en vigor la Ley Federal de Telecomunicaciones y Radiodi</w:t>
      </w:r>
      <w:r>
        <w:rPr>
          <w:rFonts w:ascii="ITC Avant Garde" w:eastAsia="Times New Roman" w:hAnsi="ITC Avant Garde"/>
          <w:lang w:val="es-ES" w:eastAsia="es-ES"/>
        </w:rPr>
        <w:t>fusión (en lo sucesivo, la “</w:t>
      </w:r>
      <w:proofErr w:type="spellStart"/>
      <w:r>
        <w:rPr>
          <w:rFonts w:ascii="ITC Avant Garde" w:eastAsia="Times New Roman" w:hAnsi="ITC Avant Garde"/>
          <w:lang w:val="es-ES" w:eastAsia="es-ES"/>
        </w:rPr>
        <w:t>LFTy</w:t>
      </w:r>
      <w:r w:rsidRPr="002E6E57">
        <w:rPr>
          <w:rFonts w:ascii="ITC Avant Garde" w:eastAsia="Times New Roman" w:hAnsi="ITC Avant Garde"/>
          <w:lang w:val="es-ES" w:eastAsia="es-ES"/>
        </w:rPr>
        <w:t>R</w:t>
      </w:r>
      <w:proofErr w:type="spellEnd"/>
      <w:r w:rsidRPr="002E6E57">
        <w:rPr>
          <w:rFonts w:ascii="ITC Avant Garde" w:eastAsia="Times New Roman" w:hAnsi="ITC Avant Garde"/>
          <w:lang w:val="es-ES" w:eastAsia="es-ES"/>
        </w:rPr>
        <w:t>”)</w:t>
      </w:r>
      <w:r w:rsidRPr="002E6E57">
        <w:rPr>
          <w:rFonts w:ascii="ITC Avant Garde" w:eastAsia="Times New Roman" w:hAnsi="ITC Avant Garde"/>
          <w:i/>
          <w:lang w:val="es-ES" w:eastAsia="es-ES"/>
        </w:rPr>
        <w:t xml:space="preserve"> </w:t>
      </w:r>
      <w:r w:rsidRPr="002E6E57">
        <w:rPr>
          <w:rFonts w:ascii="ITC Avant Garde" w:eastAsia="Times New Roman" w:hAnsi="ITC Avant Garde"/>
          <w:lang w:val="es-ES" w:eastAsia="es-ES"/>
        </w:rPr>
        <w:t>el 13 de agosto del 2014, de conformidad a lo establecido en el artículo Primero Transitorio del citado Decreto de Ley.</w:t>
      </w:r>
    </w:p>
    <w:p w14:paraId="70039208" w14:textId="77777777" w:rsidR="00CD7D97" w:rsidRPr="001F4691" w:rsidRDefault="00CD7D97" w:rsidP="000C1BE1">
      <w:pPr>
        <w:numPr>
          <w:ilvl w:val="0"/>
          <w:numId w:val="12"/>
        </w:numPr>
        <w:spacing w:after="0" w:line="360" w:lineRule="auto"/>
        <w:jc w:val="both"/>
        <w:rPr>
          <w:rFonts w:ascii="ITC Avant Garde" w:eastAsia="Times New Roman" w:hAnsi="ITC Avant Garde"/>
          <w:i/>
          <w:lang w:val="es-ES" w:eastAsia="es-ES"/>
        </w:rPr>
      </w:pPr>
      <w:r w:rsidRPr="002E6E57">
        <w:rPr>
          <w:rFonts w:ascii="ITC Avant Garde" w:eastAsia="Times New Roman" w:hAnsi="ITC Avant Garde"/>
          <w:lang w:val="es-ES" w:eastAsia="es-ES"/>
        </w:rPr>
        <w:t xml:space="preserve">El 4 de septiembre de 2014 se publicó en el DOF el </w:t>
      </w:r>
      <w:r w:rsidRPr="002E6E57">
        <w:rPr>
          <w:rFonts w:ascii="ITC Avant Garde" w:eastAsia="Times New Roman" w:hAnsi="ITC Avant Garde"/>
          <w:i/>
          <w:lang w:val="es-ES" w:eastAsia="es-ES"/>
        </w:rPr>
        <w:t>“ESTATUTO Orgánico del Instituto Federal de Telecomunicaciones” (en lo sucesivo, el “Estatuto”)</w:t>
      </w:r>
      <w:r w:rsidRPr="002E6E57">
        <w:rPr>
          <w:rFonts w:ascii="ITC Avant Garde" w:eastAsia="Times New Roman" w:hAnsi="ITC Avant Garde"/>
          <w:lang w:val="es-ES" w:eastAsia="es-ES"/>
        </w:rPr>
        <w:t>, mismo que entró en vigor el 26 de septiembre de 2014 y fue modificado el 17 de octubre de 2014.</w:t>
      </w:r>
      <w:bookmarkStart w:id="0" w:name="_GoBack"/>
      <w:bookmarkEnd w:id="0"/>
    </w:p>
    <w:p w14:paraId="1E9C6E76" w14:textId="7E943895" w:rsidR="003001F2" w:rsidRDefault="00FA6B51" w:rsidP="000C1BE1">
      <w:pPr>
        <w:numPr>
          <w:ilvl w:val="0"/>
          <w:numId w:val="12"/>
        </w:numPr>
        <w:tabs>
          <w:tab w:val="clear" w:pos="900"/>
        </w:tabs>
        <w:spacing w:after="0" w:line="360" w:lineRule="auto"/>
        <w:ind w:left="993" w:hanging="567"/>
        <w:jc w:val="both"/>
        <w:rPr>
          <w:rFonts w:ascii="ITC Avant Garde" w:eastAsia="Times New Roman" w:hAnsi="ITC Avant Garde"/>
          <w:lang w:eastAsia="es-ES"/>
        </w:rPr>
      </w:pPr>
      <w:r>
        <w:rPr>
          <w:rFonts w:ascii="ITC Avant Garde" w:eastAsia="Times New Roman" w:hAnsi="ITC Avant Garde"/>
          <w:lang w:eastAsia="es-ES"/>
        </w:rPr>
        <w:t>Con</w:t>
      </w:r>
      <w:r w:rsidR="00CD7D97">
        <w:rPr>
          <w:rFonts w:ascii="ITC Avant Garde" w:eastAsia="Times New Roman" w:hAnsi="ITC Avant Garde"/>
          <w:lang w:eastAsia="es-ES"/>
        </w:rPr>
        <w:t xml:space="preserve"> fecha 26 de marzo de 2015 el Tribunal de alzada resolvió el amparo D.A. 17/2015 en los siguientes términos:</w:t>
      </w:r>
    </w:p>
    <w:p w14:paraId="2885F2A3" w14:textId="66022C74" w:rsidR="00CD7D97" w:rsidRPr="00CD7D97" w:rsidRDefault="00CD7D97" w:rsidP="000C1BE1">
      <w:pPr>
        <w:spacing w:after="0" w:line="360" w:lineRule="auto"/>
        <w:ind w:left="1701" w:right="615"/>
        <w:jc w:val="both"/>
        <w:rPr>
          <w:rFonts w:ascii="ITC Avant Garde" w:eastAsia="Times New Roman" w:hAnsi="ITC Avant Garde"/>
          <w:i/>
          <w:sz w:val="18"/>
          <w:szCs w:val="18"/>
          <w:lang w:eastAsia="es-ES"/>
        </w:rPr>
      </w:pPr>
      <w:r w:rsidRPr="00CD7D97">
        <w:rPr>
          <w:rFonts w:ascii="ITC Avant Garde" w:eastAsia="Times New Roman" w:hAnsi="ITC Avant Garde"/>
          <w:i/>
          <w:sz w:val="18"/>
          <w:szCs w:val="18"/>
          <w:lang w:eastAsia="es-ES"/>
        </w:rPr>
        <w:t xml:space="preserve">“UNICO.- La Justicia de la Unión </w:t>
      </w:r>
      <w:r w:rsidRPr="00CD7D97">
        <w:rPr>
          <w:rFonts w:ascii="ITC Avant Garde" w:eastAsia="Times New Roman" w:hAnsi="ITC Avant Garde"/>
          <w:b/>
          <w:i/>
          <w:sz w:val="18"/>
          <w:szCs w:val="18"/>
          <w:lang w:eastAsia="es-ES"/>
        </w:rPr>
        <w:t xml:space="preserve">NO AMPARA NI PROTEGE </w:t>
      </w:r>
      <w:r w:rsidRPr="00CD7D97">
        <w:rPr>
          <w:rFonts w:ascii="ITC Avant Garde" w:eastAsia="Times New Roman" w:hAnsi="ITC Avant Garde"/>
          <w:i/>
          <w:sz w:val="18"/>
          <w:szCs w:val="18"/>
          <w:lang w:eastAsia="es-ES"/>
        </w:rPr>
        <w:t>a</w:t>
      </w:r>
      <w:r w:rsidRPr="00CD7D97">
        <w:rPr>
          <w:rFonts w:ascii="ITC Avant Garde" w:eastAsia="Times New Roman" w:hAnsi="ITC Avant Garde"/>
          <w:b/>
          <w:i/>
          <w:sz w:val="18"/>
          <w:szCs w:val="18"/>
          <w:lang w:eastAsia="es-ES"/>
        </w:rPr>
        <w:t xml:space="preserve"> TELÉFONOS DE MÉXICO, SOCIEDAD ANÓNIMA BURSÁTIL DE CAPITAL VARIABLE,</w:t>
      </w:r>
      <w:r w:rsidRPr="00CD7D97">
        <w:rPr>
          <w:rFonts w:ascii="ITC Avant Garde" w:eastAsia="Times New Roman" w:hAnsi="ITC Avant Garde"/>
          <w:i/>
          <w:sz w:val="18"/>
          <w:szCs w:val="18"/>
          <w:lang w:eastAsia="es-ES"/>
        </w:rPr>
        <w:t xml:space="preserve"> contra la sentencia dictada el once de junio de dos mil catorce, por el Pleno de la Sala Superior del Tribunal Federal de Justicia Fiscal y Administrativa en el expediente número 107/11-EOR-01-8/1128/12-PL-06-04.” </w:t>
      </w:r>
    </w:p>
    <w:p w14:paraId="3F03873F" w14:textId="6D952E58" w:rsidR="00CD7D97" w:rsidRDefault="00CD7D97" w:rsidP="000C1BE1">
      <w:pPr>
        <w:spacing w:after="0" w:line="360" w:lineRule="auto"/>
        <w:ind w:left="993"/>
        <w:jc w:val="both"/>
        <w:rPr>
          <w:rFonts w:ascii="ITC Avant Garde" w:eastAsia="Times New Roman" w:hAnsi="ITC Avant Garde"/>
          <w:lang w:eastAsia="es-ES"/>
        </w:rPr>
      </w:pPr>
      <w:r>
        <w:rPr>
          <w:rFonts w:ascii="ITC Avant Garde" w:eastAsia="Times New Roman" w:hAnsi="ITC Avant Garde"/>
          <w:lang w:eastAsia="es-ES"/>
        </w:rPr>
        <w:t xml:space="preserve">En base a lo anterior, mediante oficio 1167/2015 de 28 de abril de 2015, dicho Tribunal, informó que la </w:t>
      </w:r>
      <w:r w:rsidR="0051691F">
        <w:rPr>
          <w:rFonts w:ascii="ITC Avant Garde" w:eastAsia="Times New Roman" w:hAnsi="ITC Avant Garde"/>
          <w:lang w:eastAsia="es-ES"/>
        </w:rPr>
        <w:t>ejecutoria citada en el párrafo que antecede, causó estado.</w:t>
      </w:r>
    </w:p>
    <w:p w14:paraId="2CA7F70F" w14:textId="77777777" w:rsidR="0051691F" w:rsidRDefault="0051691F" w:rsidP="000C1BE1">
      <w:pPr>
        <w:numPr>
          <w:ilvl w:val="0"/>
          <w:numId w:val="12"/>
        </w:numPr>
        <w:tabs>
          <w:tab w:val="clear" w:pos="900"/>
        </w:tabs>
        <w:spacing w:after="0" w:line="360" w:lineRule="auto"/>
        <w:ind w:left="993" w:hanging="567"/>
        <w:jc w:val="both"/>
        <w:rPr>
          <w:rFonts w:ascii="ITC Avant Garde" w:eastAsia="Times New Roman" w:hAnsi="ITC Avant Garde"/>
          <w:lang w:eastAsia="es-ES"/>
        </w:rPr>
      </w:pPr>
      <w:r w:rsidRPr="0051691F">
        <w:rPr>
          <w:rFonts w:ascii="ITC Avant Garde" w:eastAsia="Times New Roman" w:hAnsi="ITC Avant Garde"/>
          <w:lang w:eastAsia="es-ES"/>
        </w:rPr>
        <w:t xml:space="preserve">Por Oficio IFT/227/UAJ/DG-DEJU/2392/2015 de 11 de septiembre de 2015, se informó al Pleno de Sala Superior del </w:t>
      </w:r>
      <w:proofErr w:type="spellStart"/>
      <w:r w:rsidRPr="0051691F">
        <w:rPr>
          <w:rFonts w:ascii="ITC Avant Garde" w:eastAsia="Times New Roman" w:hAnsi="ITC Avant Garde"/>
          <w:lang w:eastAsia="es-ES"/>
        </w:rPr>
        <w:t>TFJFyA</w:t>
      </w:r>
      <w:proofErr w:type="spellEnd"/>
      <w:r w:rsidRPr="0051691F">
        <w:rPr>
          <w:rFonts w:ascii="ITC Avant Garde" w:eastAsia="Times New Roman" w:hAnsi="ITC Avant Garde"/>
          <w:lang w:eastAsia="es-ES"/>
        </w:rPr>
        <w:t xml:space="preserve"> el cumplimiento dado a la sentencia definitiva de fecha 11 de junio de 2014. </w:t>
      </w:r>
    </w:p>
    <w:p w14:paraId="286A0F92" w14:textId="6D13C34A" w:rsidR="003001F2" w:rsidRPr="0051691F" w:rsidRDefault="0051691F" w:rsidP="000C1BE1">
      <w:pPr>
        <w:spacing w:after="0" w:line="360" w:lineRule="auto"/>
        <w:ind w:left="993"/>
        <w:jc w:val="both"/>
        <w:rPr>
          <w:rFonts w:ascii="ITC Avant Garde" w:eastAsia="Times New Roman" w:hAnsi="ITC Avant Garde"/>
          <w:lang w:eastAsia="es-ES"/>
        </w:rPr>
      </w:pPr>
      <w:r>
        <w:rPr>
          <w:rFonts w:ascii="ITC Avant Garde" w:eastAsia="Times New Roman" w:hAnsi="ITC Avant Garde"/>
          <w:lang w:eastAsia="es-ES"/>
        </w:rPr>
        <w:t>En contra de</w:t>
      </w:r>
      <w:r w:rsidR="00065E07" w:rsidRPr="0051691F">
        <w:rPr>
          <w:rFonts w:ascii="ITC Avant Garde" w:eastAsia="Times New Roman" w:hAnsi="ITC Avant Garde"/>
          <w:lang w:eastAsia="es-ES"/>
        </w:rPr>
        <w:t>l</w:t>
      </w:r>
      <w:r>
        <w:rPr>
          <w:rFonts w:ascii="ITC Avant Garde" w:eastAsia="Times New Roman" w:hAnsi="ITC Avant Garde"/>
          <w:lang w:eastAsia="es-ES"/>
        </w:rPr>
        <w:t xml:space="preserve"> oficio anterior</w:t>
      </w:r>
      <w:r w:rsidR="00065E07" w:rsidRPr="0051691F">
        <w:rPr>
          <w:rFonts w:ascii="ITC Avant Garde" w:eastAsia="Times New Roman" w:hAnsi="ITC Avant Garde"/>
          <w:lang w:eastAsia="es-ES"/>
        </w:rPr>
        <w:t xml:space="preserve">, Telmex </w:t>
      </w:r>
      <w:r w:rsidR="007A2473" w:rsidRPr="0051691F">
        <w:rPr>
          <w:rFonts w:ascii="ITC Avant Garde" w:eastAsia="Times New Roman" w:hAnsi="ITC Avant Garde"/>
          <w:lang w:eastAsia="es-ES"/>
        </w:rPr>
        <w:t xml:space="preserve">interpuso </w:t>
      </w:r>
      <w:r>
        <w:rPr>
          <w:rFonts w:ascii="ITC Avant Garde" w:eastAsia="Times New Roman" w:hAnsi="ITC Avant Garde"/>
          <w:lang w:eastAsia="es-ES"/>
        </w:rPr>
        <w:t xml:space="preserve">ante ese </w:t>
      </w:r>
      <w:proofErr w:type="spellStart"/>
      <w:r>
        <w:rPr>
          <w:rFonts w:ascii="ITC Avant Garde" w:eastAsia="Times New Roman" w:hAnsi="ITC Avant Garde"/>
          <w:lang w:eastAsia="es-ES"/>
        </w:rPr>
        <w:t>TFJFyA</w:t>
      </w:r>
      <w:proofErr w:type="spellEnd"/>
      <w:r w:rsidRPr="0051691F">
        <w:rPr>
          <w:rFonts w:ascii="ITC Avant Garde" w:eastAsia="Times New Roman" w:hAnsi="ITC Avant Garde"/>
          <w:lang w:eastAsia="es-ES"/>
        </w:rPr>
        <w:t xml:space="preserve"> </w:t>
      </w:r>
      <w:r w:rsidR="007A2473" w:rsidRPr="0051691F">
        <w:rPr>
          <w:rFonts w:ascii="ITC Avant Garde" w:eastAsia="Times New Roman" w:hAnsi="ITC Avant Garde"/>
          <w:lang w:eastAsia="es-ES"/>
        </w:rPr>
        <w:t>la instancia de queja por defecto</w:t>
      </w:r>
      <w:r>
        <w:rPr>
          <w:rFonts w:ascii="ITC Avant Garde" w:eastAsia="Times New Roman" w:hAnsi="ITC Avant Garde"/>
          <w:lang w:eastAsia="es-ES"/>
        </w:rPr>
        <w:t xml:space="preserve"> </w:t>
      </w:r>
      <w:r w:rsidR="007A2473" w:rsidRPr="0051691F">
        <w:rPr>
          <w:rFonts w:ascii="ITC Avant Garde" w:eastAsia="Times New Roman" w:hAnsi="ITC Avant Garde"/>
          <w:lang w:eastAsia="es-ES"/>
        </w:rPr>
        <w:t>en el cumplimiento de la sentencia de 11 de junio de 2014.</w:t>
      </w:r>
    </w:p>
    <w:p w14:paraId="72D5EF34" w14:textId="3213FE2A" w:rsidR="00910AF5" w:rsidRDefault="00575114" w:rsidP="000C1BE1">
      <w:pPr>
        <w:tabs>
          <w:tab w:val="left" w:pos="567"/>
        </w:tabs>
        <w:spacing w:after="0" w:line="360" w:lineRule="auto"/>
        <w:ind w:left="993"/>
        <w:jc w:val="both"/>
        <w:rPr>
          <w:rFonts w:ascii="ITC Avant Garde" w:eastAsia="Times New Roman" w:hAnsi="ITC Avant Garde"/>
          <w:lang w:eastAsia="es-ES"/>
        </w:rPr>
      </w:pPr>
      <w:r>
        <w:rPr>
          <w:rFonts w:ascii="ITC Avant Garde" w:eastAsia="Times New Roman" w:hAnsi="ITC Avant Garde"/>
          <w:lang w:eastAsia="es-ES"/>
        </w:rPr>
        <w:t>Con fecha 18 de mayo de 2016 se notificó al Instituto la</w:t>
      </w:r>
      <w:r w:rsidR="007A2473">
        <w:rPr>
          <w:rFonts w:ascii="ITC Avant Garde" w:eastAsia="Times New Roman" w:hAnsi="ITC Avant Garde"/>
          <w:lang w:eastAsia="es-ES"/>
        </w:rPr>
        <w:t xml:space="preserve"> resolución de 13 de abril de</w:t>
      </w:r>
      <w:r>
        <w:rPr>
          <w:rFonts w:ascii="ITC Avant Garde" w:eastAsia="Times New Roman" w:hAnsi="ITC Avant Garde"/>
          <w:lang w:eastAsia="es-ES"/>
        </w:rPr>
        <w:t>l mismo año</w:t>
      </w:r>
      <w:r w:rsidR="007A2473">
        <w:rPr>
          <w:rFonts w:ascii="ITC Avant Garde" w:eastAsia="Times New Roman" w:hAnsi="ITC Avant Garde"/>
          <w:lang w:eastAsia="es-ES"/>
        </w:rPr>
        <w:t xml:space="preserve">, </w:t>
      </w:r>
      <w:r>
        <w:rPr>
          <w:rFonts w:ascii="ITC Avant Garde" w:eastAsia="Times New Roman" w:hAnsi="ITC Avant Garde"/>
          <w:lang w:eastAsia="es-ES"/>
        </w:rPr>
        <w:t xml:space="preserve">dictada por </w:t>
      </w:r>
      <w:r w:rsidR="007A2473">
        <w:rPr>
          <w:rFonts w:ascii="ITC Avant Garde" w:eastAsia="Times New Roman" w:hAnsi="ITC Avant Garde"/>
          <w:lang w:eastAsia="es-ES"/>
        </w:rPr>
        <w:t xml:space="preserve">el Pleno de la </w:t>
      </w:r>
      <w:r w:rsidR="00D46AA1">
        <w:rPr>
          <w:rFonts w:ascii="ITC Avant Garde" w:eastAsia="Times New Roman" w:hAnsi="ITC Avant Garde"/>
          <w:lang w:eastAsia="es-ES"/>
        </w:rPr>
        <w:t xml:space="preserve">Sala </w:t>
      </w:r>
      <w:r w:rsidR="007A2473">
        <w:rPr>
          <w:rFonts w:ascii="ITC Avant Garde" w:eastAsia="Times New Roman" w:hAnsi="ITC Avant Garde"/>
          <w:lang w:eastAsia="es-ES"/>
        </w:rPr>
        <w:t xml:space="preserve">Superior del </w:t>
      </w:r>
      <w:proofErr w:type="spellStart"/>
      <w:r w:rsidR="007A2473">
        <w:rPr>
          <w:rFonts w:ascii="ITC Avant Garde" w:eastAsia="Times New Roman" w:hAnsi="ITC Avant Garde"/>
          <w:lang w:eastAsia="es-ES"/>
        </w:rPr>
        <w:t>TFJFyA</w:t>
      </w:r>
      <w:proofErr w:type="spellEnd"/>
      <w:r w:rsidR="007A2473">
        <w:rPr>
          <w:rFonts w:ascii="ITC Avant Garde" w:eastAsia="Times New Roman" w:hAnsi="ITC Avant Garde"/>
          <w:lang w:eastAsia="es-ES"/>
        </w:rPr>
        <w:t xml:space="preserve"> </w:t>
      </w:r>
      <w:r>
        <w:rPr>
          <w:rFonts w:ascii="ITC Avant Garde" w:eastAsia="Times New Roman" w:hAnsi="ITC Avant Garde"/>
          <w:lang w:eastAsia="es-ES"/>
        </w:rPr>
        <w:t xml:space="preserve">en la que </w:t>
      </w:r>
      <w:r w:rsidR="00D46AA1">
        <w:rPr>
          <w:rFonts w:ascii="ITC Avant Garde" w:eastAsia="Times New Roman" w:hAnsi="ITC Avant Garde"/>
          <w:lang w:eastAsia="es-ES"/>
        </w:rPr>
        <w:t>resolvió</w:t>
      </w:r>
      <w:r w:rsidR="0051691F">
        <w:rPr>
          <w:rFonts w:ascii="ITC Avant Garde" w:eastAsia="Times New Roman" w:hAnsi="ITC Avant Garde"/>
          <w:lang w:eastAsia="es-ES"/>
        </w:rPr>
        <w:t xml:space="preserve"> la queja por defecto</w:t>
      </w:r>
      <w:r>
        <w:rPr>
          <w:rFonts w:ascii="ITC Avant Garde" w:eastAsia="Times New Roman" w:hAnsi="ITC Avant Garde"/>
          <w:lang w:eastAsia="es-ES"/>
        </w:rPr>
        <w:t>,</w:t>
      </w:r>
      <w:r w:rsidR="0051691F">
        <w:rPr>
          <w:rFonts w:ascii="ITC Avant Garde" w:eastAsia="Times New Roman" w:hAnsi="ITC Avant Garde"/>
          <w:lang w:eastAsia="es-ES"/>
        </w:rPr>
        <w:t xml:space="preserve"> </w:t>
      </w:r>
      <w:r>
        <w:rPr>
          <w:rFonts w:ascii="ITC Avant Garde" w:eastAsia="Times New Roman" w:hAnsi="ITC Avant Garde"/>
          <w:lang w:eastAsia="es-ES"/>
        </w:rPr>
        <w:t>determinando</w:t>
      </w:r>
      <w:r w:rsidR="0051691F">
        <w:rPr>
          <w:rFonts w:ascii="ITC Avant Garde" w:eastAsia="Times New Roman" w:hAnsi="ITC Avant Garde"/>
          <w:lang w:eastAsia="es-ES"/>
        </w:rPr>
        <w:t>: i)</w:t>
      </w:r>
      <w:r w:rsidR="007A2473">
        <w:rPr>
          <w:rFonts w:ascii="ITC Avant Garde" w:eastAsia="Times New Roman" w:hAnsi="ITC Avant Garde"/>
          <w:lang w:eastAsia="es-ES"/>
        </w:rPr>
        <w:t xml:space="preserve"> es procedente y fundado el incidente de queja por defecto promovido por Telmex</w:t>
      </w:r>
      <w:r w:rsidR="00D46AA1">
        <w:rPr>
          <w:rFonts w:ascii="ITC Avant Garde" w:hAnsi="ITC Avant Garde"/>
          <w:lang w:val="es-ES"/>
        </w:rPr>
        <w:t xml:space="preserve">; y, ii) </w:t>
      </w:r>
      <w:r w:rsidR="007A2473">
        <w:rPr>
          <w:rFonts w:ascii="ITC Avant Garde" w:hAnsi="ITC Avant Garde"/>
          <w:lang w:val="es-ES"/>
        </w:rPr>
        <w:t xml:space="preserve">se concede a la autoridad veinte días para que </w:t>
      </w:r>
      <w:r w:rsidR="00A86113">
        <w:rPr>
          <w:rFonts w:ascii="ITC Avant Garde" w:hAnsi="ITC Avant Garde"/>
          <w:lang w:val="es-ES"/>
        </w:rPr>
        <w:t>dé</w:t>
      </w:r>
      <w:r w:rsidR="007A2473">
        <w:rPr>
          <w:rFonts w:ascii="ITC Avant Garde" w:hAnsi="ITC Avant Garde"/>
          <w:lang w:val="es-ES"/>
        </w:rPr>
        <w:t xml:space="preserve"> cumplimiento debido a la sentencia def</w:t>
      </w:r>
      <w:r w:rsidR="00A86113">
        <w:rPr>
          <w:rFonts w:ascii="ITC Avant Garde" w:hAnsi="ITC Avant Garde"/>
          <w:lang w:val="es-ES"/>
        </w:rPr>
        <w:t xml:space="preserve">initiva dictada por el Pleno de </w:t>
      </w:r>
      <w:r w:rsidR="007A2473">
        <w:rPr>
          <w:rFonts w:ascii="ITC Avant Garde" w:hAnsi="ITC Avant Garde"/>
          <w:lang w:val="es-ES"/>
        </w:rPr>
        <w:t>esa Sala el 11 de junio de 2014, en los términos señalados en el considerando cuarto de dicha resoluci</w:t>
      </w:r>
      <w:r w:rsidR="00A86113">
        <w:rPr>
          <w:rFonts w:ascii="ITC Avant Garde" w:hAnsi="ITC Avant Garde"/>
          <w:lang w:val="es-ES"/>
        </w:rPr>
        <w:t>ón.</w:t>
      </w:r>
    </w:p>
    <w:p w14:paraId="3846609A" w14:textId="77777777" w:rsidR="00426D8C" w:rsidRDefault="00426D8C" w:rsidP="00FE3747">
      <w:pPr>
        <w:tabs>
          <w:tab w:val="left" w:pos="567"/>
        </w:tabs>
        <w:spacing w:line="240" w:lineRule="auto"/>
        <w:jc w:val="both"/>
        <w:rPr>
          <w:rFonts w:ascii="ITC Avant Garde" w:hAnsi="ITC Avant Garde"/>
        </w:rPr>
      </w:pPr>
    </w:p>
    <w:p w14:paraId="7EF4D37A" w14:textId="77777777" w:rsidR="0010524D" w:rsidRDefault="00F11878" w:rsidP="00FE3747">
      <w:pPr>
        <w:widowControl w:val="0"/>
        <w:spacing w:after="0"/>
        <w:jc w:val="both"/>
        <w:rPr>
          <w:rFonts w:ascii="ITC Avant Garde" w:eastAsia="Times New Roman" w:hAnsi="ITC Avant Garde"/>
          <w:lang w:eastAsia="es-ES"/>
        </w:rPr>
      </w:pPr>
      <w:bookmarkStart w:id="1" w:name="HipótesisNormativa"/>
      <w:r w:rsidRPr="00AC70DC">
        <w:rPr>
          <w:rFonts w:ascii="ITC Avant Garde" w:eastAsia="Times New Roman" w:hAnsi="ITC Avant Garde"/>
          <w:lang w:eastAsia="es-ES"/>
        </w:rPr>
        <w:lastRenderedPageBreak/>
        <w:t>En virtud de los referidos Antecedentes, y</w:t>
      </w:r>
    </w:p>
    <w:p w14:paraId="70ABFA98" w14:textId="77777777" w:rsidR="001F4691" w:rsidRPr="00AC70DC" w:rsidRDefault="001F4691" w:rsidP="00FE3747">
      <w:pPr>
        <w:widowControl w:val="0"/>
        <w:spacing w:after="0"/>
        <w:jc w:val="both"/>
        <w:rPr>
          <w:rFonts w:ascii="ITC Avant Garde" w:eastAsia="Times New Roman" w:hAnsi="ITC Avant Garde"/>
          <w:lang w:eastAsia="es-ES"/>
        </w:rPr>
      </w:pPr>
    </w:p>
    <w:p w14:paraId="1512D7AE" w14:textId="77777777" w:rsidR="0010524D" w:rsidRDefault="00F11878" w:rsidP="00FE3747">
      <w:pPr>
        <w:widowControl w:val="0"/>
        <w:spacing w:after="0"/>
        <w:jc w:val="center"/>
        <w:outlineLvl w:val="2"/>
        <w:rPr>
          <w:rFonts w:ascii="ITC Avant Garde" w:eastAsia="Times New Roman" w:hAnsi="ITC Avant Garde"/>
          <w:b/>
          <w:bCs/>
        </w:rPr>
      </w:pPr>
      <w:r w:rsidRPr="00AC70DC">
        <w:rPr>
          <w:rFonts w:ascii="ITC Avant Garde" w:eastAsia="Times New Roman" w:hAnsi="ITC Avant Garde"/>
          <w:b/>
          <w:bCs/>
        </w:rPr>
        <w:t>CONSIDERANDO</w:t>
      </w:r>
    </w:p>
    <w:p w14:paraId="09352874" w14:textId="77777777" w:rsidR="001F4691" w:rsidRPr="000C1BE1" w:rsidRDefault="001F4691" w:rsidP="000C1BE1">
      <w:pPr>
        <w:widowControl w:val="0"/>
        <w:spacing w:after="0"/>
        <w:jc w:val="both"/>
        <w:rPr>
          <w:rFonts w:ascii="ITC Avant Garde" w:eastAsia="Times New Roman" w:hAnsi="ITC Avant Garde"/>
          <w:lang w:eastAsia="es-ES"/>
        </w:rPr>
      </w:pPr>
    </w:p>
    <w:p w14:paraId="19B65120" w14:textId="2CBFD164" w:rsidR="0010524D" w:rsidRDefault="003B083D" w:rsidP="00FE3747">
      <w:pPr>
        <w:pStyle w:val="Textoindependiente"/>
        <w:spacing w:line="276" w:lineRule="auto"/>
        <w:rPr>
          <w:rFonts w:ascii="ITC Avant Garde" w:hAnsi="ITC Avant Garde" w:cs="Arial"/>
          <w:bCs/>
          <w:szCs w:val="22"/>
        </w:rPr>
      </w:pPr>
      <w:bookmarkStart w:id="2" w:name="primero"/>
      <w:r w:rsidRPr="00AC70DC">
        <w:rPr>
          <w:rFonts w:ascii="ITC Avant Garde" w:hAnsi="ITC Avant Garde" w:cs="Arial"/>
          <w:b/>
          <w:bCs/>
          <w:lang w:val="es-ES"/>
        </w:rPr>
        <w:t>PRIMERO.- Competencia del Instituto</w:t>
      </w:r>
      <w:r w:rsidRPr="00AC70DC">
        <w:rPr>
          <w:rFonts w:ascii="ITC Avant Garde" w:hAnsi="ITC Avant Garde" w:cs="Arial"/>
          <w:bCs/>
          <w:lang w:val="es-ES"/>
        </w:rPr>
        <w:t xml:space="preserve">. </w:t>
      </w:r>
      <w:r w:rsidRPr="00AC70DC">
        <w:rPr>
          <w:rFonts w:ascii="ITC Avant Garde" w:hAnsi="ITC Avant Garde" w:cs="Arial"/>
          <w:bCs/>
        </w:rPr>
        <w:t>De conformidad con los artículos 6</w:t>
      </w:r>
      <w:r w:rsidR="00572734" w:rsidRPr="00AC70DC">
        <w:rPr>
          <w:rFonts w:ascii="ITC Avant Garde" w:hAnsi="ITC Avant Garde" w:cs="Arial"/>
          <w:bCs/>
        </w:rPr>
        <w:t>°</w:t>
      </w:r>
      <w:r w:rsidRPr="00AC70DC">
        <w:rPr>
          <w:rFonts w:ascii="ITC Avant Garde" w:hAnsi="ITC Avant Garde" w:cs="Arial"/>
          <w:bCs/>
        </w:rPr>
        <w:t>,</w:t>
      </w:r>
      <w:r w:rsidR="00572734" w:rsidRPr="00AC70DC">
        <w:rPr>
          <w:rFonts w:ascii="ITC Avant Garde" w:hAnsi="ITC Avant Garde" w:cs="Arial"/>
          <w:bCs/>
        </w:rPr>
        <w:t xml:space="preserve"> apartado B fracción II,</w:t>
      </w:r>
      <w:r w:rsidRPr="00AC70DC">
        <w:rPr>
          <w:rFonts w:ascii="ITC Avant Garde" w:hAnsi="ITC Avant Garde" w:cs="Arial"/>
          <w:bCs/>
        </w:rPr>
        <w:t xml:space="preserve"> 28, párrafo</w:t>
      </w:r>
      <w:r w:rsidR="00572734" w:rsidRPr="00AC70DC">
        <w:rPr>
          <w:rFonts w:ascii="ITC Avant Garde" w:hAnsi="ITC Avant Garde" w:cs="Arial"/>
          <w:bCs/>
        </w:rPr>
        <w:t>s</w:t>
      </w:r>
      <w:r w:rsidRPr="00AC70DC">
        <w:rPr>
          <w:rFonts w:ascii="ITC Avant Garde" w:hAnsi="ITC Avant Garde" w:cs="Arial"/>
          <w:bCs/>
        </w:rPr>
        <w:t xml:space="preserve"> décimo quinto y décimo sexto de la Constitución</w:t>
      </w:r>
      <w:r w:rsidR="00910AF5">
        <w:rPr>
          <w:rFonts w:ascii="ITC Avant Garde" w:hAnsi="ITC Avant Garde" w:cs="Arial"/>
          <w:bCs/>
        </w:rPr>
        <w:t xml:space="preserve"> </w:t>
      </w:r>
      <w:r w:rsidRPr="00AC70DC">
        <w:rPr>
          <w:rFonts w:ascii="ITC Avant Garde" w:hAnsi="ITC Avant Garde" w:cs="Arial"/>
          <w:bCs/>
          <w:szCs w:val="22"/>
        </w:rPr>
        <w:t>y 7</w:t>
      </w:r>
      <w:r w:rsidR="00D15FF7" w:rsidRPr="00AC70DC">
        <w:rPr>
          <w:rFonts w:ascii="ITC Avant Garde" w:hAnsi="ITC Avant Garde" w:cs="Arial"/>
          <w:bCs/>
          <w:szCs w:val="22"/>
        </w:rPr>
        <w:t>°</w:t>
      </w:r>
      <w:r w:rsidR="00572734" w:rsidRPr="00AC70DC">
        <w:rPr>
          <w:rFonts w:ascii="ITC Avant Garde" w:hAnsi="ITC Avant Garde" w:cs="Arial"/>
          <w:bCs/>
          <w:szCs w:val="22"/>
        </w:rPr>
        <w:t>, primer párrafo</w:t>
      </w:r>
      <w:r w:rsidRPr="00AC70DC">
        <w:rPr>
          <w:rFonts w:ascii="ITC Avant Garde" w:hAnsi="ITC Avant Garde" w:cs="Arial"/>
          <w:bCs/>
          <w:szCs w:val="22"/>
        </w:rPr>
        <w:t xml:space="preserve"> de la </w:t>
      </w:r>
      <w:proofErr w:type="spellStart"/>
      <w:r w:rsidR="00910AF5">
        <w:rPr>
          <w:rFonts w:ascii="ITC Avant Garde" w:hAnsi="ITC Avant Garde" w:cs="Arial"/>
          <w:bCs/>
          <w:szCs w:val="22"/>
        </w:rPr>
        <w:t>LFT</w:t>
      </w:r>
      <w:r w:rsidR="008331F9">
        <w:rPr>
          <w:rFonts w:ascii="ITC Avant Garde" w:hAnsi="ITC Avant Garde" w:cs="Arial"/>
          <w:bCs/>
          <w:szCs w:val="22"/>
        </w:rPr>
        <w:t>y</w:t>
      </w:r>
      <w:r w:rsidR="00910AF5">
        <w:rPr>
          <w:rFonts w:ascii="ITC Avant Garde" w:hAnsi="ITC Avant Garde" w:cs="Arial"/>
          <w:bCs/>
          <w:szCs w:val="22"/>
        </w:rPr>
        <w:t>R</w:t>
      </w:r>
      <w:proofErr w:type="spellEnd"/>
      <w:r w:rsidRPr="00AC70DC">
        <w:rPr>
          <w:rFonts w:ascii="ITC Avant Garde" w:hAnsi="ITC Avant Garde" w:cs="Arial"/>
          <w:bCs/>
          <w:szCs w:val="22"/>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AC70DC">
        <w:rPr>
          <w:rFonts w:ascii="ITC Avant Garde" w:hAnsi="ITC Avant Garde" w:cs="Arial"/>
          <w:bCs/>
          <w:szCs w:val="22"/>
        </w:rPr>
        <w:t>LFT</w:t>
      </w:r>
      <w:r w:rsidR="008331F9">
        <w:rPr>
          <w:rFonts w:ascii="ITC Avant Garde" w:hAnsi="ITC Avant Garde" w:cs="Arial"/>
          <w:bCs/>
          <w:szCs w:val="22"/>
        </w:rPr>
        <w:t>y</w:t>
      </w:r>
      <w:r w:rsidRPr="00AC70DC">
        <w:rPr>
          <w:rFonts w:ascii="ITC Avant Garde" w:hAnsi="ITC Avant Garde" w:cs="Arial"/>
          <w:bCs/>
          <w:szCs w:val="22"/>
        </w:rPr>
        <w:t>R</w:t>
      </w:r>
      <w:proofErr w:type="spellEnd"/>
      <w:r w:rsidRPr="00AC70DC">
        <w:rPr>
          <w:rFonts w:ascii="ITC Avant Garde" w:hAnsi="ITC Avant Garde" w:cs="Arial"/>
          <w:bCs/>
          <w:szCs w:val="22"/>
        </w:rPr>
        <w:t xml:space="preserve"> y demás disposiciones aplicables</w:t>
      </w:r>
      <w:r w:rsidR="00721E96" w:rsidRPr="00AC70DC">
        <w:rPr>
          <w:rFonts w:ascii="ITC Avant Garde" w:hAnsi="ITC Avant Garde" w:cs="Arial"/>
          <w:bCs/>
          <w:szCs w:val="22"/>
        </w:rPr>
        <w:t>.</w:t>
      </w:r>
      <w:r w:rsidRPr="00AC70DC">
        <w:rPr>
          <w:rFonts w:ascii="ITC Avant Garde" w:hAnsi="ITC Avant Garde" w:cs="Arial"/>
          <w:bCs/>
          <w:szCs w:val="22"/>
        </w:rPr>
        <w:t xml:space="preserve"> </w:t>
      </w:r>
    </w:p>
    <w:p w14:paraId="575D9419" w14:textId="77777777" w:rsidR="001F4691" w:rsidRPr="00AC70DC" w:rsidRDefault="001F4691" w:rsidP="00FE3747">
      <w:pPr>
        <w:pStyle w:val="Textoindependiente"/>
        <w:spacing w:line="276" w:lineRule="auto"/>
        <w:rPr>
          <w:rFonts w:ascii="ITC Avant Garde" w:hAnsi="ITC Avant Garde" w:cs="Arial"/>
          <w:bCs/>
          <w:szCs w:val="22"/>
        </w:rPr>
      </w:pPr>
    </w:p>
    <w:p w14:paraId="45129245" w14:textId="6CAA9E76" w:rsidR="0010524D" w:rsidRPr="00AC70DC" w:rsidRDefault="00D15FF7" w:rsidP="00FE3747">
      <w:pPr>
        <w:pStyle w:val="Textoindependiente"/>
        <w:spacing w:line="276" w:lineRule="auto"/>
        <w:rPr>
          <w:rFonts w:ascii="ITC Avant Garde" w:hAnsi="ITC Avant Garde" w:cs="Arial"/>
          <w:bCs/>
          <w:szCs w:val="22"/>
        </w:rPr>
      </w:pPr>
      <w:r w:rsidRPr="00AC70DC">
        <w:rPr>
          <w:rFonts w:ascii="ITC Avant Garde" w:hAnsi="ITC Avant Garde" w:cs="Arial"/>
          <w:bCs/>
          <w:szCs w:val="22"/>
        </w:rPr>
        <w:t>Adicionalmente e</w:t>
      </w:r>
      <w:r w:rsidR="003B083D" w:rsidRPr="00AC70DC">
        <w:rPr>
          <w:rFonts w:ascii="ITC Avant Garde" w:hAnsi="ITC Avant Garde" w:cs="Arial"/>
          <w:bCs/>
          <w:szCs w:val="22"/>
        </w:rPr>
        <w:t>l artículo 6</w:t>
      </w:r>
      <w:r w:rsidR="00536328" w:rsidRPr="00AC70DC">
        <w:rPr>
          <w:rFonts w:ascii="ITC Avant Garde" w:hAnsi="ITC Avant Garde" w:cs="Arial"/>
          <w:bCs/>
          <w:szCs w:val="22"/>
        </w:rPr>
        <w:t>°</w:t>
      </w:r>
      <w:r w:rsidRPr="00AC70DC">
        <w:rPr>
          <w:rFonts w:ascii="ITC Avant Garde" w:hAnsi="ITC Avant Garde" w:cs="Arial"/>
          <w:bCs/>
          <w:szCs w:val="22"/>
        </w:rPr>
        <w:t>, fracción I</w:t>
      </w:r>
      <w:r w:rsidR="003B083D" w:rsidRPr="00AC70DC">
        <w:rPr>
          <w:rFonts w:ascii="ITC Avant Garde" w:hAnsi="ITC Avant Garde" w:cs="Arial"/>
          <w:bCs/>
          <w:szCs w:val="22"/>
        </w:rPr>
        <w:t xml:space="preserve"> del Estatuto establece que corresponde al Pleno, además de las atribuciones establecidas como indelegables en la </w:t>
      </w:r>
      <w:proofErr w:type="spellStart"/>
      <w:r w:rsidR="003B083D" w:rsidRPr="00AC70DC">
        <w:rPr>
          <w:rFonts w:ascii="ITC Avant Garde" w:hAnsi="ITC Avant Garde" w:cs="Arial"/>
          <w:bCs/>
          <w:szCs w:val="22"/>
        </w:rPr>
        <w:t>LFT</w:t>
      </w:r>
      <w:r w:rsidR="008331F9">
        <w:rPr>
          <w:rFonts w:ascii="ITC Avant Garde" w:hAnsi="ITC Avant Garde" w:cs="Arial"/>
          <w:bCs/>
          <w:szCs w:val="22"/>
        </w:rPr>
        <w:t>y</w:t>
      </w:r>
      <w:r w:rsidR="003B083D" w:rsidRPr="00AC70DC">
        <w:rPr>
          <w:rFonts w:ascii="ITC Avant Garde" w:hAnsi="ITC Avant Garde" w:cs="Arial"/>
          <w:bCs/>
          <w:szCs w:val="22"/>
        </w:rPr>
        <w:t>R</w:t>
      </w:r>
      <w:proofErr w:type="spellEnd"/>
      <w:r w:rsidR="003B083D" w:rsidRPr="00AC70DC">
        <w:rPr>
          <w:rFonts w:ascii="ITC Avant Garde" w:hAnsi="ITC Avant Garde" w:cs="Arial"/>
          <w:bCs/>
          <w:szCs w:val="22"/>
        </w:rPr>
        <w:t>,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74822F84" w14:textId="77777777" w:rsidR="0010524D" w:rsidRPr="009037C1" w:rsidRDefault="0010524D" w:rsidP="00FE3747">
      <w:pPr>
        <w:pStyle w:val="Textoindependiente"/>
        <w:spacing w:line="276" w:lineRule="auto"/>
        <w:rPr>
          <w:rFonts w:ascii="ITC Avant Garde" w:hAnsi="ITC Avant Garde" w:cs="Arial"/>
          <w:szCs w:val="22"/>
        </w:rPr>
      </w:pPr>
    </w:p>
    <w:p w14:paraId="4165D29D" w14:textId="423203EE" w:rsidR="00AA0157" w:rsidRPr="009037C1" w:rsidRDefault="009037C1" w:rsidP="00FE3747">
      <w:pPr>
        <w:pStyle w:val="Textoindependiente"/>
        <w:spacing w:line="276" w:lineRule="auto"/>
        <w:rPr>
          <w:rFonts w:ascii="ITC Avant Garde" w:hAnsi="ITC Avant Garde" w:cs="Arial"/>
          <w:szCs w:val="22"/>
        </w:rPr>
      </w:pPr>
      <w:r w:rsidRPr="009037C1">
        <w:rPr>
          <w:rFonts w:ascii="ITC Avant Garde" w:hAnsi="ITC Avant Garde" w:cs="Arial"/>
          <w:szCs w:val="22"/>
        </w:rPr>
        <w:t xml:space="preserve">Asimismo, </w:t>
      </w:r>
      <w:r>
        <w:rPr>
          <w:rFonts w:ascii="ITC Avant Garde" w:hAnsi="ITC Avant Garde" w:cs="Arial"/>
          <w:szCs w:val="22"/>
        </w:rPr>
        <w:t>el Poder Judicial ha determinado que es el Inst</w:t>
      </w:r>
      <w:r w:rsidR="00E93FFA">
        <w:rPr>
          <w:rFonts w:ascii="ITC Avant Garde" w:hAnsi="ITC Avant Garde" w:cs="Arial"/>
          <w:szCs w:val="22"/>
        </w:rPr>
        <w:t>ituto la autoridad que sustituyó</w:t>
      </w:r>
      <w:r>
        <w:rPr>
          <w:rFonts w:ascii="ITC Avant Garde" w:hAnsi="ITC Avant Garde" w:cs="Arial"/>
          <w:szCs w:val="22"/>
        </w:rPr>
        <w:t xml:space="preserve"> a la extinta Comisión</w:t>
      </w:r>
      <w:r>
        <w:rPr>
          <w:rStyle w:val="Refdenotaalpie"/>
          <w:rFonts w:ascii="ITC Avant Garde" w:hAnsi="ITC Avant Garde" w:cs="Arial"/>
          <w:szCs w:val="22"/>
        </w:rPr>
        <w:footnoteReference w:id="1"/>
      </w:r>
      <w:r>
        <w:rPr>
          <w:rFonts w:ascii="ITC Avant Garde" w:hAnsi="ITC Avant Garde" w:cs="Arial"/>
          <w:szCs w:val="22"/>
        </w:rPr>
        <w:t xml:space="preserve">. </w:t>
      </w:r>
      <w:r w:rsidR="003B083D" w:rsidRPr="00AC70DC">
        <w:rPr>
          <w:rFonts w:ascii="ITC Avant Garde" w:hAnsi="ITC Avant Garde"/>
          <w:szCs w:val="22"/>
        </w:rPr>
        <w:t xml:space="preserve">Por lo anterior y de conformidad con lo dispuesto en los artículos indicados, el Pleno del Instituto resulta competente para emitir la presente </w:t>
      </w:r>
      <w:r w:rsidR="00D15FF7" w:rsidRPr="00AC70DC">
        <w:rPr>
          <w:rFonts w:ascii="ITC Avant Garde" w:hAnsi="ITC Avant Garde"/>
          <w:szCs w:val="22"/>
        </w:rPr>
        <w:t>R</w:t>
      </w:r>
      <w:r w:rsidR="003B083D" w:rsidRPr="00AC70DC">
        <w:rPr>
          <w:rFonts w:ascii="ITC Avant Garde" w:hAnsi="ITC Avant Garde"/>
          <w:szCs w:val="22"/>
        </w:rPr>
        <w:t>esolución</w:t>
      </w:r>
      <w:r w:rsidR="00AA0157">
        <w:rPr>
          <w:rFonts w:ascii="ITC Avant Garde" w:hAnsi="ITC Avant Garde"/>
          <w:szCs w:val="22"/>
        </w:rPr>
        <w:t>.</w:t>
      </w:r>
    </w:p>
    <w:bookmarkEnd w:id="2"/>
    <w:p w14:paraId="3A9BBD6E" w14:textId="77777777" w:rsidR="001F4691" w:rsidRDefault="001F4691" w:rsidP="00FE3747">
      <w:pPr>
        <w:autoSpaceDE w:val="0"/>
        <w:autoSpaceDN w:val="0"/>
        <w:adjustRightInd w:val="0"/>
        <w:spacing w:after="0"/>
        <w:jc w:val="both"/>
        <w:rPr>
          <w:rFonts w:ascii="ITC Avant Garde" w:eastAsia="Times New Roman" w:hAnsi="ITC Avant Garde"/>
          <w:lang w:eastAsia="es-ES"/>
        </w:rPr>
      </w:pPr>
    </w:p>
    <w:p w14:paraId="67B6905F" w14:textId="65C0F984" w:rsidR="008331F9" w:rsidRDefault="00F413A3" w:rsidP="00FE3747">
      <w:pPr>
        <w:pStyle w:val="Textoindependiente"/>
        <w:spacing w:line="276" w:lineRule="auto"/>
        <w:rPr>
          <w:rFonts w:ascii="ITC Avant Garde" w:hAnsi="ITC Avant Garde" w:cs="Arial"/>
        </w:rPr>
      </w:pPr>
      <w:bookmarkStart w:id="3" w:name="segundo"/>
      <w:r w:rsidRPr="00AC70DC">
        <w:rPr>
          <w:rFonts w:ascii="ITC Avant Garde" w:hAnsi="ITC Avant Garde" w:cs="Arial"/>
          <w:b/>
        </w:rPr>
        <w:lastRenderedPageBreak/>
        <w:t xml:space="preserve">SEGUNDO.- </w:t>
      </w:r>
      <w:r w:rsidR="00AA0157">
        <w:rPr>
          <w:rFonts w:ascii="ITC Avant Garde" w:hAnsi="ITC Avant Garde" w:cs="Arial"/>
          <w:b/>
        </w:rPr>
        <w:t xml:space="preserve">Consecuencias del fallo. </w:t>
      </w:r>
      <w:r w:rsidR="009160B5">
        <w:rPr>
          <w:rFonts w:ascii="ITC Avant Garde" w:hAnsi="ITC Avant Garde" w:cs="Arial"/>
        </w:rPr>
        <w:t>E</w:t>
      </w:r>
      <w:r w:rsidR="0084213A">
        <w:rPr>
          <w:rFonts w:ascii="ITC Avant Garde" w:hAnsi="ITC Avant Garde" w:cs="Arial"/>
        </w:rPr>
        <w:t xml:space="preserve">l </w:t>
      </w:r>
      <w:r w:rsidR="008331F9">
        <w:rPr>
          <w:rFonts w:ascii="ITC Avant Garde" w:hAnsi="ITC Avant Garde" w:cs="Arial"/>
        </w:rPr>
        <w:t xml:space="preserve">Pleno de Sala Superior del </w:t>
      </w:r>
      <w:proofErr w:type="spellStart"/>
      <w:r w:rsidR="0084213A">
        <w:rPr>
          <w:rFonts w:ascii="ITC Avant Garde" w:hAnsi="ITC Avant Garde" w:cs="Arial"/>
        </w:rPr>
        <w:t>T</w:t>
      </w:r>
      <w:r w:rsidR="008331F9">
        <w:rPr>
          <w:rFonts w:ascii="ITC Avant Garde" w:hAnsi="ITC Avant Garde" w:cs="Arial"/>
        </w:rPr>
        <w:t>FJFyA</w:t>
      </w:r>
      <w:proofErr w:type="spellEnd"/>
      <w:r w:rsidR="00124D84">
        <w:rPr>
          <w:rFonts w:ascii="ITC Avant Garde" w:hAnsi="ITC Avant Garde" w:cs="Arial"/>
        </w:rPr>
        <w:t xml:space="preserve"> </w:t>
      </w:r>
      <w:r w:rsidR="0084213A">
        <w:rPr>
          <w:rFonts w:ascii="ITC Avant Garde" w:hAnsi="ITC Avant Garde" w:cs="Arial"/>
        </w:rPr>
        <w:t xml:space="preserve">concedió </w:t>
      </w:r>
      <w:r w:rsidR="008331F9">
        <w:rPr>
          <w:rFonts w:ascii="ITC Avant Garde" w:hAnsi="ITC Avant Garde" w:cs="Arial"/>
        </w:rPr>
        <w:t>a esta autoridad veinte días</w:t>
      </w:r>
      <w:r w:rsidR="000F4C9C">
        <w:rPr>
          <w:rFonts w:ascii="ITC Avant Garde" w:hAnsi="ITC Avant Garde" w:cs="Arial"/>
        </w:rPr>
        <w:t xml:space="preserve">, </w:t>
      </w:r>
      <w:r w:rsidR="00AA0157">
        <w:rPr>
          <w:rFonts w:ascii="ITC Avant Garde" w:hAnsi="ITC Avant Garde" w:cs="Arial"/>
        </w:rPr>
        <w:t xml:space="preserve">para el efecto de que, </w:t>
      </w:r>
      <w:r w:rsidR="0084213A">
        <w:rPr>
          <w:rFonts w:ascii="ITC Avant Garde" w:hAnsi="ITC Avant Garde" w:cs="Arial"/>
        </w:rPr>
        <w:t xml:space="preserve">en su calidad de </w:t>
      </w:r>
      <w:r w:rsidR="00AA0157">
        <w:rPr>
          <w:rFonts w:ascii="ITC Avant Garde" w:hAnsi="ITC Avant Garde" w:cs="Arial"/>
        </w:rPr>
        <w:t>autoridad responsable d</w:t>
      </w:r>
      <w:r w:rsidR="008331F9">
        <w:rPr>
          <w:rFonts w:ascii="ITC Avant Garde" w:hAnsi="ITC Avant Garde" w:cs="Arial"/>
        </w:rPr>
        <w:t>ict</w:t>
      </w:r>
      <w:r w:rsidR="00AA0157">
        <w:rPr>
          <w:rFonts w:ascii="ITC Avant Garde" w:hAnsi="ITC Avant Garde" w:cs="Arial"/>
        </w:rPr>
        <w:t>e</w:t>
      </w:r>
      <w:r w:rsidR="008331F9">
        <w:rPr>
          <w:rFonts w:ascii="ITC Avant Garde" w:hAnsi="ITC Avant Garde" w:cs="Arial"/>
        </w:rPr>
        <w:t xml:space="preserve"> resolución que </w:t>
      </w:r>
      <w:r w:rsidR="00E8297D">
        <w:rPr>
          <w:rFonts w:ascii="ITC Avant Garde" w:hAnsi="ITC Avant Garde" w:cs="Arial"/>
        </w:rPr>
        <w:t>dé</w:t>
      </w:r>
      <w:r w:rsidR="008331F9">
        <w:rPr>
          <w:rFonts w:ascii="ITC Avant Garde" w:hAnsi="ITC Avant Garde" w:cs="Arial"/>
        </w:rPr>
        <w:t xml:space="preserve"> cumplimiento a la diversa de fecha 11 de junio de 2014, en los términos precisados en el considerando cuarto del fallo que resolvió la queja por defecto, lo anterior, al dejar sin efectos el oficio IFT/221/UPR/DG-RIRST/840/2015 de fecha 8 de septiembre de 2015.</w:t>
      </w:r>
    </w:p>
    <w:p w14:paraId="3C07787F" w14:textId="77777777" w:rsidR="001F4691" w:rsidRDefault="001F4691" w:rsidP="00FE3747">
      <w:pPr>
        <w:pStyle w:val="Textoindependiente"/>
        <w:spacing w:line="276" w:lineRule="auto"/>
        <w:rPr>
          <w:rFonts w:ascii="ITC Avant Garde" w:hAnsi="ITC Avant Garde" w:cs="Arial"/>
        </w:rPr>
      </w:pPr>
    </w:p>
    <w:bookmarkEnd w:id="1"/>
    <w:bookmarkEnd w:id="3"/>
    <w:p w14:paraId="5B889089" w14:textId="77777777" w:rsidR="00D77B48" w:rsidRDefault="005C7DC6" w:rsidP="00FE3747">
      <w:pPr>
        <w:spacing w:after="0"/>
        <w:jc w:val="both"/>
        <w:rPr>
          <w:rFonts w:ascii="ITC Avant Garde" w:hAnsi="ITC Avant Garde"/>
        </w:rPr>
      </w:pPr>
      <w:r>
        <w:rPr>
          <w:rFonts w:ascii="ITC Avant Garde" w:hAnsi="ITC Avant Garde"/>
        </w:rPr>
        <w:t xml:space="preserve">De la lectura que se hace a la resolución de fecha </w:t>
      </w:r>
      <w:r w:rsidRPr="00D0449B">
        <w:rPr>
          <w:rFonts w:ascii="ITC Avant Garde" w:hAnsi="ITC Avant Garde"/>
        </w:rPr>
        <w:t>de 11 de junio de 2014</w:t>
      </w:r>
      <w:r w:rsidR="007F5CF3">
        <w:rPr>
          <w:rFonts w:ascii="ITC Avant Garde" w:hAnsi="ITC Avant Garde"/>
        </w:rPr>
        <w:t>, se advierte que</w:t>
      </w:r>
      <w:r>
        <w:rPr>
          <w:rFonts w:ascii="ITC Avant Garde" w:hAnsi="ITC Avant Garde"/>
        </w:rPr>
        <w:t xml:space="preserve"> </w:t>
      </w:r>
      <w:r w:rsidR="008F3F8B">
        <w:rPr>
          <w:rFonts w:ascii="ITC Avant Garde" w:hAnsi="ITC Avant Garde"/>
        </w:rPr>
        <w:t>tuvo dos efectos</w:t>
      </w:r>
      <w:r w:rsidR="00D77B48">
        <w:rPr>
          <w:rFonts w:ascii="ITC Avant Garde" w:hAnsi="ITC Avant Garde"/>
        </w:rPr>
        <w:t>:</w:t>
      </w:r>
    </w:p>
    <w:p w14:paraId="3DD24264" w14:textId="77777777" w:rsidR="00FE3747" w:rsidRDefault="00FE3747" w:rsidP="00FE3747">
      <w:pPr>
        <w:spacing w:after="0"/>
        <w:jc w:val="both"/>
        <w:rPr>
          <w:rFonts w:ascii="ITC Avant Garde" w:hAnsi="ITC Avant Garde"/>
        </w:rPr>
      </w:pPr>
    </w:p>
    <w:p w14:paraId="5EF57353" w14:textId="17322D10" w:rsidR="00DA2CEF" w:rsidRDefault="00D77B48" w:rsidP="00FE3747">
      <w:pPr>
        <w:spacing w:after="0"/>
        <w:jc w:val="both"/>
        <w:rPr>
          <w:rFonts w:ascii="ITC Avant Garde" w:hAnsi="ITC Avant Garde"/>
        </w:rPr>
      </w:pPr>
      <w:r>
        <w:rPr>
          <w:rFonts w:ascii="ITC Avant Garde" w:hAnsi="ITC Avant Garde"/>
        </w:rPr>
        <w:t>P</w:t>
      </w:r>
      <w:r w:rsidR="008F3F8B">
        <w:rPr>
          <w:rFonts w:ascii="ITC Avant Garde" w:hAnsi="ITC Avant Garde"/>
        </w:rPr>
        <w:t>rimero,</w:t>
      </w:r>
      <w:r w:rsidR="005C7DC6">
        <w:rPr>
          <w:rFonts w:ascii="ITC Avant Garde" w:hAnsi="ITC Avant Garde"/>
        </w:rPr>
        <w:t xml:space="preserve"> que la autoridad emitiera una nueva en la que</w:t>
      </w:r>
      <w:r w:rsidR="008F3F8B">
        <w:rPr>
          <w:rFonts w:ascii="ITC Avant Garde" w:hAnsi="ITC Avant Garde"/>
        </w:rPr>
        <w:t xml:space="preserve"> resolviera </w:t>
      </w:r>
      <w:r w:rsidR="005C7DC6">
        <w:rPr>
          <w:rFonts w:ascii="ITC Avant Garde" w:hAnsi="ITC Avant Garde"/>
        </w:rPr>
        <w:t xml:space="preserve">dentro del marco de sus atribuciones, y de conformidad por lo dispuesto en la Ley Federal de Telecomunicaciones </w:t>
      </w:r>
      <w:r w:rsidR="00FA0517">
        <w:rPr>
          <w:rFonts w:ascii="ITC Avant Garde" w:hAnsi="ITC Avant Garde"/>
        </w:rPr>
        <w:t xml:space="preserve">(en lo sucesivo, la “LFT”) </w:t>
      </w:r>
      <w:r w:rsidR="005C7DC6">
        <w:rPr>
          <w:rFonts w:ascii="ITC Avant Garde" w:hAnsi="ITC Avant Garde"/>
        </w:rPr>
        <w:t xml:space="preserve">y demás ordenamientos aplicables en materia de interconexión de redes públicas de telecomunicaciones, la solicitud a través de la cual el representante legal de la empresa Marcatel, solicitó la intervención de la autoridad para que Telmex le proporcionara la ubicación de los puntos de interconexión en donde pueda interconectar sus redes públicas de telecomunicaciones en </w:t>
      </w:r>
      <w:r w:rsidR="00480926">
        <w:rPr>
          <w:rFonts w:ascii="ITC Avant Garde" w:hAnsi="ITC Avant Garde"/>
        </w:rPr>
        <w:t>las</w:t>
      </w:r>
      <w:r w:rsidR="005C7DC6">
        <w:rPr>
          <w:rFonts w:ascii="ITC Avant Garde" w:hAnsi="ITC Avant Garde"/>
        </w:rPr>
        <w:t xml:space="preserve"> localidades</w:t>
      </w:r>
      <w:r w:rsidR="00480926">
        <w:rPr>
          <w:rFonts w:ascii="ITC Avant Garde" w:hAnsi="ITC Avant Garde"/>
        </w:rPr>
        <w:t xml:space="preserve"> que se encuentran descritas en el antecedente I de la presente</w:t>
      </w:r>
      <w:r w:rsidR="005C7DC6">
        <w:rPr>
          <w:rFonts w:ascii="ITC Avant Garde" w:hAnsi="ITC Avant Garde"/>
        </w:rPr>
        <w:t xml:space="preserve">, estableciendo al respecto las obligaciones que resulten procedentes y teniendo en cuenta que en el caso no se actualiza el artículo 42 de la citada </w:t>
      </w:r>
      <w:r w:rsidR="00FA0517">
        <w:rPr>
          <w:rFonts w:ascii="ITC Avant Garde" w:hAnsi="ITC Avant Garde"/>
        </w:rPr>
        <w:t>LFT, relativo a la intervención de la autoridad para resolver</w:t>
      </w:r>
      <w:r w:rsidR="00480926">
        <w:rPr>
          <w:rFonts w:ascii="ITC Avant Garde" w:hAnsi="ITC Avant Garde"/>
        </w:rPr>
        <w:t xml:space="preserve"> dicha solicitud vía desacuerdo de </w:t>
      </w:r>
      <w:r w:rsidR="00FA0517">
        <w:rPr>
          <w:rFonts w:ascii="ITC Avant Garde" w:hAnsi="ITC Avant Garde"/>
        </w:rPr>
        <w:t xml:space="preserve">condiciones de interconexión; </w:t>
      </w:r>
    </w:p>
    <w:p w14:paraId="4A2F1FE5" w14:textId="77777777" w:rsidR="00DA2CEF" w:rsidRDefault="00DA2CEF" w:rsidP="00FE3747">
      <w:pPr>
        <w:spacing w:after="0"/>
        <w:jc w:val="both"/>
        <w:rPr>
          <w:rFonts w:ascii="ITC Avant Garde" w:hAnsi="ITC Avant Garde"/>
        </w:rPr>
      </w:pPr>
    </w:p>
    <w:p w14:paraId="005382DA" w14:textId="2F43AAB3" w:rsidR="00FA0517" w:rsidRDefault="00DA2CEF" w:rsidP="00FE3747">
      <w:pPr>
        <w:spacing w:after="0"/>
        <w:jc w:val="both"/>
        <w:rPr>
          <w:rFonts w:ascii="ITC Avant Garde" w:hAnsi="ITC Avant Garde"/>
        </w:rPr>
      </w:pPr>
      <w:r>
        <w:rPr>
          <w:rFonts w:ascii="ITC Avant Garde" w:hAnsi="ITC Avant Garde"/>
        </w:rPr>
        <w:t>S</w:t>
      </w:r>
      <w:r w:rsidR="00480926">
        <w:rPr>
          <w:rFonts w:ascii="ITC Avant Garde" w:hAnsi="ITC Avant Garde"/>
        </w:rPr>
        <w:t>egundo,</w:t>
      </w:r>
      <w:r w:rsidR="00FA0517">
        <w:rPr>
          <w:rFonts w:ascii="ITC Avant Garde" w:hAnsi="ITC Avant Garde"/>
        </w:rPr>
        <w:t xml:space="preserve"> </w:t>
      </w:r>
      <w:r>
        <w:rPr>
          <w:rFonts w:ascii="ITC Avant Garde" w:hAnsi="ITC Avant Garde"/>
        </w:rPr>
        <w:t xml:space="preserve">dejar sin efectos la resolución </w:t>
      </w:r>
      <w:r w:rsidRPr="00DA2CEF">
        <w:rPr>
          <w:rFonts w:ascii="ITC Avant Garde" w:hAnsi="ITC Avant Garde"/>
        </w:rPr>
        <w:t>P/140410/236 de 14 de abril de 2010</w:t>
      </w:r>
      <w:r>
        <w:rPr>
          <w:rFonts w:ascii="ITC Avant Garde" w:hAnsi="ITC Avant Garde"/>
        </w:rPr>
        <w:t xml:space="preserve">, por la que este Instituto resolvió el desacuerdo de interconexión entre Marcatel y Telmex, y que en vía de consecuencia se </w:t>
      </w:r>
      <w:r w:rsidR="007D18E6">
        <w:rPr>
          <w:rFonts w:ascii="ITC Avant Garde" w:hAnsi="ITC Avant Garde"/>
        </w:rPr>
        <w:t xml:space="preserve">dejarían </w:t>
      </w:r>
      <w:r>
        <w:rPr>
          <w:rFonts w:ascii="ITC Avant Garde" w:hAnsi="ITC Avant Garde"/>
        </w:rPr>
        <w:t>sin efectos todas las actuaciones del procedimiento que dieron origen a la resolución en comento así como</w:t>
      </w:r>
      <w:r w:rsidR="00FA0517">
        <w:rPr>
          <w:rFonts w:ascii="ITC Avant Garde" w:hAnsi="ITC Avant Garde"/>
        </w:rPr>
        <w:t xml:space="preserve"> la inscripción en el Registro Público de Telecomunicaciones</w:t>
      </w:r>
      <w:r w:rsidR="00D77B48">
        <w:rPr>
          <w:rFonts w:ascii="ITC Avant Garde" w:hAnsi="ITC Avant Garde"/>
        </w:rPr>
        <w:t xml:space="preserve"> </w:t>
      </w:r>
      <w:r>
        <w:rPr>
          <w:rFonts w:ascii="ITC Avant Garde" w:hAnsi="ITC Avant Garde"/>
        </w:rPr>
        <w:t>de la misma.</w:t>
      </w:r>
    </w:p>
    <w:p w14:paraId="1DADA9D3" w14:textId="77777777" w:rsidR="00FA0517" w:rsidRDefault="00FA0517" w:rsidP="00FE3747">
      <w:pPr>
        <w:spacing w:after="0"/>
        <w:jc w:val="both"/>
        <w:rPr>
          <w:rFonts w:ascii="ITC Avant Garde" w:hAnsi="ITC Avant Garde"/>
        </w:rPr>
      </w:pPr>
    </w:p>
    <w:p w14:paraId="61DAE06F" w14:textId="2646E35C" w:rsidR="00551D61" w:rsidRDefault="00551D61" w:rsidP="00FE3747">
      <w:pPr>
        <w:spacing w:after="0"/>
        <w:jc w:val="both"/>
        <w:rPr>
          <w:rFonts w:ascii="ITC Avant Garde" w:hAnsi="ITC Avant Garde"/>
        </w:rPr>
      </w:pPr>
      <w:r>
        <w:rPr>
          <w:rFonts w:ascii="ITC Avant Garde" w:hAnsi="ITC Avant Garde"/>
        </w:rPr>
        <w:t xml:space="preserve">Es así que del análisis al fallo en cumplimiento, se desprende que esta autoridad </w:t>
      </w:r>
      <w:r w:rsidR="00DA2CEF">
        <w:rPr>
          <w:rFonts w:ascii="ITC Avant Garde" w:hAnsi="ITC Avant Garde"/>
        </w:rPr>
        <w:t xml:space="preserve">por un lado </w:t>
      </w:r>
      <w:r>
        <w:rPr>
          <w:rFonts w:ascii="ITC Avant Garde" w:hAnsi="ITC Avant Garde"/>
        </w:rPr>
        <w:t xml:space="preserve">debe emitir </w:t>
      </w:r>
      <w:r w:rsidR="00480926">
        <w:rPr>
          <w:rFonts w:ascii="ITC Avant Garde" w:hAnsi="ITC Avant Garde"/>
        </w:rPr>
        <w:t xml:space="preserve">resolución </w:t>
      </w:r>
      <w:r>
        <w:rPr>
          <w:rFonts w:ascii="ITC Avant Garde" w:hAnsi="ITC Avant Garde"/>
        </w:rPr>
        <w:t>dirigid</w:t>
      </w:r>
      <w:r w:rsidR="00480926">
        <w:rPr>
          <w:rFonts w:ascii="ITC Avant Garde" w:hAnsi="ITC Avant Garde"/>
        </w:rPr>
        <w:t>a</w:t>
      </w:r>
      <w:r>
        <w:rPr>
          <w:rFonts w:ascii="ITC Avant Garde" w:hAnsi="ITC Avant Garde"/>
        </w:rPr>
        <w:t xml:space="preserve"> a las partes en </w:t>
      </w:r>
      <w:r w:rsidR="00384410">
        <w:rPr>
          <w:rFonts w:ascii="ITC Avant Garde" w:hAnsi="ITC Avant Garde"/>
        </w:rPr>
        <w:t>la</w:t>
      </w:r>
      <w:r>
        <w:rPr>
          <w:rFonts w:ascii="ITC Avant Garde" w:hAnsi="ITC Avant Garde"/>
        </w:rPr>
        <w:t xml:space="preserve"> que se determinen las obligaciones que resulten procedentes de la petición inicial sin que para ello se resuelva con fundamento en el artículo 42</w:t>
      </w:r>
      <w:r w:rsidR="00384410">
        <w:rPr>
          <w:rFonts w:ascii="ITC Avant Garde" w:hAnsi="ITC Avant Garde"/>
        </w:rPr>
        <w:t>,</w:t>
      </w:r>
      <w:r>
        <w:rPr>
          <w:rFonts w:ascii="ITC Avant Garde" w:hAnsi="ITC Avant Garde"/>
        </w:rPr>
        <w:t xml:space="preserve"> relativo a la necesidad de la intervención de la Autoridad para resolver las condiciones de interconexión que no hayan podido convenirse entre concesionarios de redes públicas de telecomunicaciones</w:t>
      </w:r>
      <w:r w:rsidR="00DA2CEF">
        <w:rPr>
          <w:rFonts w:ascii="ITC Avant Garde" w:hAnsi="ITC Avant Garde"/>
        </w:rPr>
        <w:t xml:space="preserve"> y por otro dejar sin efectos la resolución</w:t>
      </w:r>
      <w:r w:rsidR="00DA2CEF" w:rsidRPr="00DA2CEF">
        <w:rPr>
          <w:rFonts w:ascii="ITC Avant Garde" w:hAnsi="ITC Avant Garde"/>
        </w:rPr>
        <w:t xml:space="preserve"> P/140410/236 de 14 de abril de 2010</w:t>
      </w:r>
      <w:r w:rsidR="00DA2CEF">
        <w:rPr>
          <w:rFonts w:ascii="ITC Avant Garde" w:hAnsi="ITC Avant Garde"/>
        </w:rPr>
        <w:t>, así como las consecuencias que derivaron de la misma.</w:t>
      </w:r>
      <w:r>
        <w:rPr>
          <w:rFonts w:ascii="ITC Avant Garde" w:hAnsi="ITC Avant Garde"/>
        </w:rPr>
        <w:t xml:space="preserve"> </w:t>
      </w:r>
    </w:p>
    <w:p w14:paraId="480C60B9" w14:textId="77777777" w:rsidR="001F4691" w:rsidRDefault="001F4691" w:rsidP="00FE3747">
      <w:pPr>
        <w:spacing w:after="0"/>
        <w:jc w:val="both"/>
        <w:rPr>
          <w:rFonts w:ascii="ITC Avant Garde" w:hAnsi="ITC Avant Garde"/>
        </w:rPr>
      </w:pPr>
    </w:p>
    <w:p w14:paraId="7DFF7977" w14:textId="6CAA4B0F" w:rsidR="007D18E6" w:rsidRDefault="00480926" w:rsidP="00FE3747">
      <w:pPr>
        <w:spacing w:after="0"/>
        <w:jc w:val="both"/>
        <w:rPr>
          <w:rFonts w:ascii="ITC Avant Garde" w:hAnsi="ITC Avant Garde"/>
        </w:rPr>
      </w:pPr>
      <w:r w:rsidRPr="00480926">
        <w:rPr>
          <w:rFonts w:ascii="ITC Avant Garde" w:hAnsi="ITC Avant Garde"/>
          <w:b/>
        </w:rPr>
        <w:lastRenderedPageBreak/>
        <w:t>TERCERO.- Cumplimiento al fallo de fecha 13 de abril de 2016</w:t>
      </w:r>
      <w:r>
        <w:rPr>
          <w:rFonts w:ascii="ITC Avant Garde" w:hAnsi="ITC Avant Garde"/>
        </w:rPr>
        <w:t xml:space="preserve">. </w:t>
      </w:r>
      <w:r w:rsidR="007D18E6">
        <w:rPr>
          <w:rFonts w:ascii="ITC Avant Garde" w:hAnsi="ITC Avant Garde"/>
        </w:rPr>
        <w:t xml:space="preserve">En estricto cumplimiento al fallo emitido por el Pleno de la Sala Superior del </w:t>
      </w:r>
      <w:proofErr w:type="spellStart"/>
      <w:r w:rsidR="007D18E6">
        <w:rPr>
          <w:rFonts w:ascii="ITC Avant Garde" w:hAnsi="ITC Avant Garde"/>
        </w:rPr>
        <w:t>TFJFyA</w:t>
      </w:r>
      <w:proofErr w:type="spellEnd"/>
      <w:r w:rsidR="007D18E6">
        <w:rPr>
          <w:rFonts w:ascii="ITC Avant Garde" w:hAnsi="ITC Avant Garde"/>
        </w:rPr>
        <w:t xml:space="preserve"> esta autoridad da acatamiento en el siguiente sentido:</w:t>
      </w:r>
    </w:p>
    <w:p w14:paraId="5BE7DE7A" w14:textId="77777777" w:rsidR="007D18E6" w:rsidRDefault="007D18E6" w:rsidP="00FE3747">
      <w:pPr>
        <w:spacing w:after="0"/>
        <w:jc w:val="both"/>
        <w:rPr>
          <w:rFonts w:ascii="ITC Avant Garde" w:hAnsi="ITC Avant Garde"/>
        </w:rPr>
      </w:pPr>
    </w:p>
    <w:p w14:paraId="20358B65" w14:textId="5B962A36" w:rsidR="007D18E6" w:rsidRDefault="007D18E6" w:rsidP="00FE3747">
      <w:pPr>
        <w:spacing w:after="0"/>
        <w:jc w:val="both"/>
        <w:rPr>
          <w:rFonts w:ascii="ITC Avant Garde" w:hAnsi="ITC Avant Garde"/>
        </w:rPr>
      </w:pPr>
      <w:r>
        <w:rPr>
          <w:rFonts w:ascii="ITC Avant Garde" w:hAnsi="ITC Avant Garde"/>
        </w:rPr>
        <w:t xml:space="preserve">Primero: de la lectura que se hace a foja 82 del fallo se desprende que </w:t>
      </w:r>
      <w:r w:rsidR="00D525E0">
        <w:rPr>
          <w:rFonts w:ascii="ITC Avant Garde" w:hAnsi="ITC Avant Garde"/>
        </w:rPr>
        <w:t xml:space="preserve">esa Juzgadora determina que no se está cumpliendo en forma debida con los efectos de la sentencia de 11 de junio de 2014, ya que sólo se indicó que había quedada superada la materia sobre la que versó la solicitud de intervención de Marcatel </w:t>
      </w:r>
      <w:r>
        <w:rPr>
          <w:rFonts w:ascii="ITC Avant Garde" w:hAnsi="ITC Avant Garde"/>
        </w:rPr>
        <w:t xml:space="preserve">con la emisión del </w:t>
      </w:r>
      <w:r w:rsidRPr="007D18E6">
        <w:rPr>
          <w:rFonts w:ascii="ITC Avant Garde" w:hAnsi="ITC Avant Garde"/>
          <w:i/>
        </w:rPr>
        <w:t>ACUERDO MEDIANTE EL CUAL EL PLENO DEL INSTITUTO FEDERAL DE TELECOMUNICACIONES DEFINE LOS PUNTOS DE INTERCONEXIÓN A LA RED PÚBLICA DE TELECOMUNICACIONES DEL AGENTE ECONÓMICO PREPONDERANTE</w:t>
      </w:r>
      <w:r w:rsidRPr="007D18E6">
        <w:rPr>
          <w:rFonts w:ascii="ITC Avant Garde" w:hAnsi="ITC Avant Garde"/>
        </w:rPr>
        <w:t>” (en lo sucesivo, “Acuerdo de Puntos de Interconexión”).</w:t>
      </w:r>
      <w:r>
        <w:rPr>
          <w:rFonts w:ascii="ITC Avant Garde" w:hAnsi="ITC Avant Garde"/>
        </w:rPr>
        <w:t xml:space="preserve"> Publicado en el DOF el 17 de febrero de 2015, </w:t>
      </w:r>
      <w:r w:rsidR="00D525E0">
        <w:rPr>
          <w:rFonts w:ascii="ITC Avant Garde" w:hAnsi="ITC Avant Garde"/>
        </w:rPr>
        <w:t xml:space="preserve">sin que se haya dejado sin efectos la </w:t>
      </w:r>
      <w:r w:rsidR="00D525E0" w:rsidRPr="00D525E0">
        <w:rPr>
          <w:rFonts w:ascii="ITC Avant Garde" w:hAnsi="ITC Avant Garde"/>
        </w:rPr>
        <w:t>resolución P/140410/236 de 14 de abril de 2010</w:t>
      </w:r>
      <w:r w:rsidR="00D525E0">
        <w:rPr>
          <w:rFonts w:ascii="ITC Avant Garde" w:hAnsi="ITC Avant Garde"/>
        </w:rPr>
        <w:t xml:space="preserve">, por la que en primera instancia había atendido la solicitud de Marcatel. </w:t>
      </w:r>
    </w:p>
    <w:p w14:paraId="4649CAB3" w14:textId="77777777" w:rsidR="00FE3747" w:rsidRDefault="00FE3747" w:rsidP="00FE3747">
      <w:pPr>
        <w:spacing w:after="0"/>
        <w:jc w:val="both"/>
        <w:rPr>
          <w:rFonts w:ascii="ITC Avant Garde" w:hAnsi="ITC Avant Garde"/>
        </w:rPr>
      </w:pPr>
    </w:p>
    <w:p w14:paraId="41317516" w14:textId="26A89FDC" w:rsidR="007D18E6" w:rsidRPr="007D18E6" w:rsidRDefault="00D525E0" w:rsidP="00FE3747">
      <w:pPr>
        <w:spacing w:after="0"/>
        <w:jc w:val="both"/>
        <w:rPr>
          <w:rFonts w:ascii="ITC Avant Garde" w:hAnsi="ITC Avant Garde"/>
        </w:rPr>
      </w:pPr>
      <w:r>
        <w:rPr>
          <w:rFonts w:ascii="ITC Avant Garde" w:hAnsi="ITC Avant Garde"/>
        </w:rPr>
        <w:t xml:space="preserve">Es así que en observancia al fallo en cumplimiento esta autoridad deja sin efectos la resolución </w:t>
      </w:r>
      <w:r w:rsidRPr="00D525E0">
        <w:rPr>
          <w:rFonts w:ascii="ITC Avant Garde" w:hAnsi="ITC Avant Garde"/>
        </w:rPr>
        <w:t>P/140410/236 de 14 de abril de 2010</w:t>
      </w:r>
      <w:r>
        <w:rPr>
          <w:rFonts w:ascii="ITC Avant Garde" w:hAnsi="ITC Avant Garde"/>
        </w:rPr>
        <w:t>, así como las</w:t>
      </w:r>
      <w:r w:rsidRPr="00D525E0">
        <w:rPr>
          <w:rFonts w:ascii="ITC Avant Garde" w:hAnsi="ITC Avant Garde"/>
        </w:rPr>
        <w:t xml:space="preserve"> actuaciones del procedimiento que dieron origen a la </w:t>
      </w:r>
      <w:r>
        <w:rPr>
          <w:rFonts w:ascii="ITC Avant Garde" w:hAnsi="ITC Avant Garde"/>
        </w:rPr>
        <w:t xml:space="preserve">misma y las </w:t>
      </w:r>
      <w:r w:rsidRPr="00D525E0">
        <w:rPr>
          <w:rFonts w:ascii="ITC Avant Garde" w:hAnsi="ITC Avant Garde"/>
        </w:rPr>
        <w:t xml:space="preserve">consecuencias que derivaron de </w:t>
      </w:r>
      <w:r>
        <w:rPr>
          <w:rFonts w:ascii="ITC Avant Garde" w:hAnsi="ITC Avant Garde"/>
        </w:rPr>
        <w:t xml:space="preserve">ella.  </w:t>
      </w:r>
    </w:p>
    <w:p w14:paraId="39812969" w14:textId="3F88DAED" w:rsidR="00480926" w:rsidRDefault="00D525E0" w:rsidP="00FE3747">
      <w:pPr>
        <w:spacing w:after="0"/>
        <w:jc w:val="both"/>
        <w:rPr>
          <w:rFonts w:ascii="ITC Avant Garde" w:hAnsi="ITC Avant Garde"/>
        </w:rPr>
      </w:pPr>
      <w:r>
        <w:rPr>
          <w:rFonts w:ascii="ITC Avant Garde" w:hAnsi="ITC Avant Garde"/>
        </w:rPr>
        <w:t>Segundo: d</w:t>
      </w:r>
      <w:r w:rsidR="00480926">
        <w:rPr>
          <w:rFonts w:ascii="ITC Avant Garde" w:hAnsi="ITC Avant Garde"/>
        </w:rPr>
        <w:t xml:space="preserve">el análisis a la solicitud original hecha por Marcatel, se desprende que dicho concesionario solicitó </w:t>
      </w:r>
      <w:r w:rsidR="00384410">
        <w:rPr>
          <w:rFonts w:ascii="ITC Avant Garde" w:hAnsi="ITC Avant Garde"/>
        </w:rPr>
        <w:t>a la</w:t>
      </w:r>
      <w:r w:rsidR="00480926">
        <w:rPr>
          <w:rFonts w:ascii="ITC Avant Garde" w:hAnsi="ITC Avant Garde"/>
        </w:rPr>
        <w:t xml:space="preserve"> autoridad su intervención </w:t>
      </w:r>
      <w:r w:rsidR="008E6D86">
        <w:rPr>
          <w:rFonts w:ascii="ITC Avant Garde" w:hAnsi="ITC Avant Garde"/>
        </w:rPr>
        <w:t xml:space="preserve">para que en base a sus atribuciones determine que Telmex </w:t>
      </w:r>
      <w:r w:rsidR="008E6D86" w:rsidRPr="00937697">
        <w:rPr>
          <w:rFonts w:ascii="ITC Avant Garde" w:hAnsi="ITC Avant Garde"/>
          <w:b/>
        </w:rPr>
        <w:t xml:space="preserve">debe </w:t>
      </w:r>
      <w:r w:rsidR="00480926" w:rsidRPr="00937697">
        <w:rPr>
          <w:rFonts w:ascii="ITC Avant Garde" w:hAnsi="ITC Avant Garde"/>
          <w:b/>
        </w:rPr>
        <w:t xml:space="preserve">proporcionar la ubicación de los </w:t>
      </w:r>
      <w:proofErr w:type="spellStart"/>
      <w:r w:rsidR="008E6D86" w:rsidRPr="00937697">
        <w:rPr>
          <w:rFonts w:ascii="ITC Avant Garde" w:hAnsi="ITC Avant Garde"/>
          <w:b/>
        </w:rPr>
        <w:t>PDIC</w:t>
      </w:r>
      <w:r w:rsidR="00480926" w:rsidRPr="00937697">
        <w:rPr>
          <w:rFonts w:ascii="ITC Avant Garde" w:hAnsi="ITC Avant Garde"/>
          <w:b/>
        </w:rPr>
        <w:t>'s</w:t>
      </w:r>
      <w:proofErr w:type="spellEnd"/>
      <w:r w:rsidR="00480926" w:rsidRPr="00937697">
        <w:rPr>
          <w:rFonts w:ascii="ITC Avant Garde" w:hAnsi="ITC Avant Garde"/>
          <w:b/>
        </w:rPr>
        <w:t xml:space="preserve"> </w:t>
      </w:r>
      <w:r w:rsidR="00480926" w:rsidRPr="00480926">
        <w:rPr>
          <w:rFonts w:ascii="ITC Avant Garde" w:hAnsi="ITC Avant Garde"/>
        </w:rPr>
        <w:t>para poder interconectar sus redes públicas de telecomunicaciones en las localidades de: (i) Nuevo Laredo, Tamaulipas, (ii) Cancún, Quintana Roo, (iii) Playa del Carmen, Quintana Roo, (iv) León, Guan</w:t>
      </w:r>
      <w:r w:rsidR="008E6D86">
        <w:rPr>
          <w:rFonts w:ascii="ITC Avant Garde" w:hAnsi="ITC Avant Garde"/>
        </w:rPr>
        <w:t>ajuato, (v) Toluca, Estado de</w:t>
      </w:r>
      <w:r w:rsidR="00480926" w:rsidRPr="00480926">
        <w:rPr>
          <w:rFonts w:ascii="ITC Avant Garde" w:hAnsi="ITC Avant Garde"/>
        </w:rPr>
        <w:t xml:space="preserve"> México, (vi) Ciénega de Flores, Nuevo León, (vii) Cárdenas y </w:t>
      </w:r>
      <w:proofErr w:type="spellStart"/>
      <w:r w:rsidR="00480926" w:rsidRPr="00480926">
        <w:rPr>
          <w:rFonts w:ascii="ITC Avant Garde" w:hAnsi="ITC Avant Garde"/>
        </w:rPr>
        <w:t>Valtierrilla</w:t>
      </w:r>
      <w:proofErr w:type="spellEnd"/>
      <w:r w:rsidR="00480926" w:rsidRPr="00480926">
        <w:rPr>
          <w:rFonts w:ascii="ITC Avant Garde" w:hAnsi="ITC Avant Garde"/>
        </w:rPr>
        <w:t xml:space="preserve"> ubicadas en el municipio de Salamanca, Guanajuato, (</w:t>
      </w:r>
      <w:proofErr w:type="spellStart"/>
      <w:r w:rsidR="00480926" w:rsidRPr="00480926">
        <w:rPr>
          <w:rFonts w:ascii="ITC Avant Garde" w:hAnsi="ITC Avant Garde"/>
        </w:rPr>
        <w:t>Viii</w:t>
      </w:r>
      <w:proofErr w:type="spellEnd"/>
      <w:r w:rsidR="00480926" w:rsidRPr="00480926">
        <w:rPr>
          <w:rFonts w:ascii="ITC Avant Garde" w:hAnsi="ITC Avant Garde"/>
        </w:rPr>
        <w:t xml:space="preserve">) Ramita, Guanajuato, (ix) </w:t>
      </w:r>
      <w:proofErr w:type="spellStart"/>
      <w:r w:rsidR="00480926" w:rsidRPr="00480926">
        <w:rPr>
          <w:rFonts w:ascii="ITC Avant Garde" w:hAnsi="ITC Avant Garde"/>
        </w:rPr>
        <w:t>Cuerámaro</w:t>
      </w:r>
      <w:proofErr w:type="spellEnd"/>
      <w:r w:rsidR="00480926" w:rsidRPr="00480926">
        <w:rPr>
          <w:rFonts w:ascii="ITC Avant Garde" w:hAnsi="ITC Avant Garde"/>
        </w:rPr>
        <w:t>, Guanajuato y (x) Sahuayo, Michoacán de Ocampo.</w:t>
      </w:r>
      <w:r w:rsidR="00480926">
        <w:rPr>
          <w:rFonts w:ascii="ITC Avant Garde" w:hAnsi="ITC Avant Garde"/>
        </w:rPr>
        <w:t xml:space="preserve"> </w:t>
      </w:r>
    </w:p>
    <w:p w14:paraId="2B1E74FE" w14:textId="77777777" w:rsidR="00480926" w:rsidRDefault="00480926" w:rsidP="00FE3747">
      <w:pPr>
        <w:spacing w:after="0"/>
        <w:jc w:val="both"/>
        <w:rPr>
          <w:rFonts w:ascii="ITC Avant Garde" w:hAnsi="ITC Avant Garde"/>
        </w:rPr>
      </w:pPr>
    </w:p>
    <w:p w14:paraId="777BBD0D" w14:textId="60080C1C" w:rsidR="005F19B0" w:rsidRDefault="005F19B0" w:rsidP="00FE3747">
      <w:pPr>
        <w:spacing w:after="0"/>
        <w:jc w:val="both"/>
        <w:rPr>
          <w:rFonts w:ascii="ITC Avant Garde" w:hAnsi="ITC Avant Garde"/>
        </w:rPr>
      </w:pPr>
      <w:r>
        <w:rPr>
          <w:rFonts w:ascii="ITC Avant Garde" w:hAnsi="ITC Avant Garde"/>
        </w:rPr>
        <w:t xml:space="preserve">Ahora bien, es importante señalar que </w:t>
      </w:r>
      <w:r w:rsidRPr="005F19B0">
        <w:rPr>
          <w:rFonts w:ascii="ITC Avant Garde" w:hAnsi="ITC Avant Garde"/>
        </w:rPr>
        <w:t>el 6 de marzo de 2014 el Pleno del Instituto, en su V Sesión Extraordinaria aprobó la “RESOLUCIÓN MEDIANTE LA CUAL EL PLENO</w:t>
      </w:r>
      <w:r>
        <w:rPr>
          <w:rFonts w:ascii="ITC Avant Garde" w:hAnsi="ITC Avant Garde"/>
        </w:rPr>
        <w:t xml:space="preserve"> </w:t>
      </w:r>
      <w:r w:rsidRPr="005F19B0">
        <w:rPr>
          <w:rFonts w:ascii="ITC Avant Garde" w:hAnsi="ITC Avant Garde"/>
        </w:rPr>
        <w:t>DEL INSTITUTO FEDERAL DE TELECOMUNICACIONES DETERMINA AL GRUPO DE INTERÉS</w:t>
      </w:r>
      <w:r>
        <w:rPr>
          <w:rFonts w:ascii="ITC Avant Garde" w:hAnsi="ITC Avant Garde"/>
        </w:rPr>
        <w:t xml:space="preserve"> </w:t>
      </w:r>
      <w:r w:rsidRPr="005F19B0">
        <w:rPr>
          <w:rFonts w:ascii="ITC Avant Garde" w:hAnsi="ITC Avant Garde"/>
        </w:rPr>
        <w:t>ECONÓMICO DEL QUE FORMAN PARTE AMÉRICA MÓVIL, S.A.B. DE C.V., TELÉFONOS DE</w:t>
      </w:r>
      <w:r>
        <w:rPr>
          <w:rFonts w:ascii="ITC Avant Garde" w:hAnsi="ITC Avant Garde"/>
        </w:rPr>
        <w:t xml:space="preserve"> </w:t>
      </w:r>
      <w:r w:rsidRPr="005F19B0">
        <w:rPr>
          <w:rFonts w:ascii="ITC Avant Garde" w:hAnsi="ITC Avant Garde"/>
        </w:rPr>
        <w:t>MÉXICO, S.A.B. DE C.V., TELÉFONOS DEL NOROESTE, S.A. DE C.V., RADIOMÓVIL DIPSA,</w:t>
      </w:r>
      <w:r>
        <w:rPr>
          <w:rFonts w:ascii="ITC Avant Garde" w:hAnsi="ITC Avant Garde"/>
        </w:rPr>
        <w:t xml:space="preserve"> </w:t>
      </w:r>
      <w:r w:rsidRPr="005F19B0">
        <w:rPr>
          <w:rFonts w:ascii="ITC Avant Garde" w:hAnsi="ITC Avant Garde"/>
        </w:rPr>
        <w:t>S.A.B. DE C.V., GRUPO CARSO, S.A.B. DE C.V., Y GRUPO FINANCIERO INBURSA, S.A.B. DE</w:t>
      </w:r>
      <w:r>
        <w:rPr>
          <w:rFonts w:ascii="ITC Avant Garde" w:hAnsi="ITC Avant Garde"/>
        </w:rPr>
        <w:t xml:space="preserve"> </w:t>
      </w:r>
      <w:r w:rsidRPr="005F19B0">
        <w:rPr>
          <w:rFonts w:ascii="ITC Avant Garde" w:hAnsi="ITC Avant Garde"/>
        </w:rPr>
        <w:t>C.V., COMO AGENTE ECONÓMICO PREPONDERANTE EN EL SECTOR DE</w:t>
      </w:r>
      <w:r>
        <w:rPr>
          <w:rFonts w:ascii="ITC Avant Garde" w:hAnsi="ITC Avant Garde"/>
        </w:rPr>
        <w:t xml:space="preserve"> </w:t>
      </w:r>
      <w:r w:rsidRPr="005F19B0">
        <w:rPr>
          <w:rFonts w:ascii="ITC Avant Garde" w:hAnsi="ITC Avant Garde"/>
        </w:rPr>
        <w:t>TELECOMUNICACIONES Y LE IMPONE LAS MEDIDAS NECESARIAS PARA EVITAR QUE SE</w:t>
      </w:r>
      <w:r>
        <w:rPr>
          <w:rFonts w:ascii="ITC Avant Garde" w:hAnsi="ITC Avant Garde"/>
        </w:rPr>
        <w:t xml:space="preserve"> </w:t>
      </w:r>
      <w:r w:rsidRPr="005F19B0">
        <w:rPr>
          <w:rFonts w:ascii="ITC Avant Garde" w:hAnsi="ITC Avant Garde"/>
        </w:rPr>
        <w:t>AFECTE LA COMPETENCIA Y LA LIBRE CONCURRENCIA”, aprobada mediante Acuerdo</w:t>
      </w:r>
      <w:r>
        <w:rPr>
          <w:rFonts w:ascii="ITC Avant Garde" w:hAnsi="ITC Avant Garde"/>
        </w:rPr>
        <w:t xml:space="preserve"> </w:t>
      </w:r>
      <w:r w:rsidRPr="005F19B0">
        <w:rPr>
          <w:rFonts w:ascii="ITC Avant Garde" w:hAnsi="ITC Avant Garde"/>
        </w:rPr>
        <w:t>P/IFT/EXT/060314/76 (en lo sucesivo, la “Resolución AEP”).</w:t>
      </w:r>
    </w:p>
    <w:p w14:paraId="2FC5695C" w14:textId="398ECBC1" w:rsidR="005F19B0" w:rsidRDefault="00E87AA7" w:rsidP="00FE3747">
      <w:pPr>
        <w:spacing w:after="0"/>
        <w:jc w:val="both"/>
        <w:rPr>
          <w:rFonts w:ascii="ITC Avant Garde" w:hAnsi="ITC Avant Garde"/>
        </w:rPr>
      </w:pPr>
      <w:r>
        <w:rPr>
          <w:rFonts w:ascii="ITC Avant Garde" w:hAnsi="ITC Avant Garde"/>
        </w:rPr>
        <w:lastRenderedPageBreak/>
        <w:t>Por su parte, e</w:t>
      </w:r>
      <w:r w:rsidR="00384410">
        <w:rPr>
          <w:rFonts w:ascii="ITC Avant Garde" w:hAnsi="ITC Avant Garde"/>
        </w:rPr>
        <w:t>l artículo Vigésimo Quinto d</w:t>
      </w:r>
      <w:r w:rsidR="005F19B0" w:rsidRPr="005F19B0">
        <w:rPr>
          <w:rFonts w:ascii="ITC Avant Garde" w:hAnsi="ITC Avant Garde"/>
        </w:rPr>
        <w:t xml:space="preserve">el Decreto de </w:t>
      </w:r>
      <w:r w:rsidR="00384410">
        <w:rPr>
          <w:rFonts w:ascii="ITC Avant Garde" w:hAnsi="ITC Avant Garde"/>
        </w:rPr>
        <w:t>L</w:t>
      </w:r>
      <w:r w:rsidR="005F19B0">
        <w:rPr>
          <w:rFonts w:ascii="ITC Avant Garde" w:hAnsi="ITC Avant Garde"/>
        </w:rPr>
        <w:t xml:space="preserve">ey, </w:t>
      </w:r>
      <w:r w:rsidR="005F19B0" w:rsidRPr="005F19B0">
        <w:rPr>
          <w:rFonts w:ascii="ITC Avant Garde" w:hAnsi="ITC Avant Garde"/>
        </w:rPr>
        <w:t xml:space="preserve">estableció que el Instituto </w:t>
      </w:r>
      <w:r w:rsidR="00384410">
        <w:rPr>
          <w:rFonts w:ascii="ITC Avant Garde" w:hAnsi="ITC Avant Garde"/>
        </w:rPr>
        <w:t>debía</w:t>
      </w:r>
      <w:r w:rsidR="005F19B0" w:rsidRPr="005F19B0">
        <w:rPr>
          <w:rFonts w:ascii="ITC Avant Garde" w:hAnsi="ITC Avant Garde"/>
        </w:rPr>
        <w:t xml:space="preserve"> definir los</w:t>
      </w:r>
      <w:r w:rsidR="005F19B0">
        <w:rPr>
          <w:rFonts w:ascii="ITC Avant Garde" w:hAnsi="ITC Avant Garde"/>
        </w:rPr>
        <w:t xml:space="preserve"> </w:t>
      </w:r>
      <w:r w:rsidR="005F19B0" w:rsidRPr="005F19B0">
        <w:rPr>
          <w:rFonts w:ascii="ITC Avant Garde" w:hAnsi="ITC Avant Garde"/>
        </w:rPr>
        <w:t>puntos de interconexión a la red pública de telecomunicaciones del Agente Económico</w:t>
      </w:r>
      <w:r w:rsidR="005F19B0">
        <w:rPr>
          <w:rFonts w:ascii="ITC Avant Garde" w:hAnsi="ITC Avant Garde"/>
        </w:rPr>
        <w:t xml:space="preserve"> </w:t>
      </w:r>
      <w:r w:rsidR="005F19B0" w:rsidRPr="005F19B0">
        <w:rPr>
          <w:rFonts w:ascii="ITC Avant Garde" w:hAnsi="ITC Avant Garde"/>
        </w:rPr>
        <w:t>Preponderante dentro de los 180 días siguientes a la entrada en vigor de</w:t>
      </w:r>
      <w:r w:rsidR="00384410">
        <w:rPr>
          <w:rFonts w:ascii="ITC Avant Garde" w:hAnsi="ITC Avant Garde"/>
        </w:rPr>
        <w:t xml:space="preserve"> dicho Decreto</w:t>
      </w:r>
      <w:r w:rsidR="005F19B0" w:rsidRPr="005F19B0">
        <w:rPr>
          <w:rFonts w:ascii="ITC Avant Garde" w:hAnsi="ITC Avant Garde"/>
        </w:rPr>
        <w:t>.</w:t>
      </w:r>
    </w:p>
    <w:p w14:paraId="6B5A3FC0" w14:textId="77777777" w:rsidR="001F4691" w:rsidRDefault="001F4691" w:rsidP="00FE3747">
      <w:pPr>
        <w:spacing w:after="0"/>
        <w:jc w:val="both"/>
        <w:rPr>
          <w:rFonts w:ascii="ITC Avant Garde" w:hAnsi="ITC Avant Garde"/>
        </w:rPr>
      </w:pPr>
    </w:p>
    <w:p w14:paraId="658FA662" w14:textId="7C493EC9" w:rsidR="005F19B0" w:rsidRDefault="002A5441" w:rsidP="00FE3747">
      <w:pPr>
        <w:spacing w:after="0"/>
        <w:jc w:val="both"/>
        <w:rPr>
          <w:rFonts w:ascii="ITC Avant Garde" w:hAnsi="ITC Avant Garde"/>
        </w:rPr>
      </w:pPr>
      <w:r w:rsidRPr="002A5441">
        <w:rPr>
          <w:rFonts w:ascii="ITC Avant Garde" w:hAnsi="ITC Avant Garde"/>
        </w:rPr>
        <w:t xml:space="preserve">Es así </w:t>
      </w:r>
      <w:r w:rsidR="005F19B0" w:rsidRPr="002A5441">
        <w:rPr>
          <w:rFonts w:ascii="ITC Avant Garde" w:hAnsi="ITC Avant Garde"/>
        </w:rPr>
        <w:t>que con fecha 17 de febrero de 2015</w:t>
      </w:r>
      <w:r w:rsidR="00384410">
        <w:rPr>
          <w:rFonts w:ascii="ITC Avant Garde" w:hAnsi="ITC Avant Garde"/>
        </w:rPr>
        <w:t>,</w:t>
      </w:r>
      <w:r w:rsidR="005F19B0" w:rsidRPr="002A5441">
        <w:rPr>
          <w:rFonts w:ascii="ITC Avant Garde" w:hAnsi="ITC Avant Garde"/>
        </w:rPr>
        <w:t xml:space="preserve"> que se publicó en el DOF el </w:t>
      </w:r>
      <w:r w:rsidR="00384410">
        <w:rPr>
          <w:rFonts w:ascii="ITC Avant Garde" w:hAnsi="ITC Avant Garde"/>
        </w:rPr>
        <w:t>“</w:t>
      </w:r>
      <w:r w:rsidR="005F19B0" w:rsidRPr="002F20CD">
        <w:rPr>
          <w:rFonts w:ascii="ITC Avant Garde" w:hAnsi="ITC Avant Garde"/>
          <w:i/>
        </w:rPr>
        <w:t>ACUERDO MEDIANTE EL CUAL EL PLENO DEL INSTITUTO FEDERAL DE TELECOMUNICACIONES DEFINE LOS PUNTOS DE INTERCONEXIÓN A LA RED PÚBLICA DE TELECOMUNICACIONES DEL AGENTE ECONÓMICO PREPONDERANTE</w:t>
      </w:r>
      <w:r w:rsidR="00384410">
        <w:rPr>
          <w:rFonts w:ascii="ITC Avant Garde" w:hAnsi="ITC Avant Garde"/>
        </w:rPr>
        <w:t>” (en lo sucesivo</w:t>
      </w:r>
      <w:r w:rsidR="002F20CD">
        <w:rPr>
          <w:rFonts w:ascii="ITC Avant Garde" w:hAnsi="ITC Avant Garde"/>
        </w:rPr>
        <w:t>,</w:t>
      </w:r>
      <w:r w:rsidR="00384410">
        <w:rPr>
          <w:rFonts w:ascii="ITC Avant Garde" w:hAnsi="ITC Avant Garde"/>
        </w:rPr>
        <w:t xml:space="preserve"> </w:t>
      </w:r>
      <w:r w:rsidR="002F20CD">
        <w:rPr>
          <w:rFonts w:ascii="ITC Avant Garde" w:hAnsi="ITC Avant Garde"/>
        </w:rPr>
        <w:t>“</w:t>
      </w:r>
      <w:r w:rsidR="00384410">
        <w:rPr>
          <w:rFonts w:ascii="ITC Avant Garde" w:hAnsi="ITC Avant Garde"/>
        </w:rPr>
        <w:t>Acuerdo de Puntos de Interconexión</w:t>
      </w:r>
      <w:r w:rsidR="002F20CD">
        <w:rPr>
          <w:rFonts w:ascii="ITC Avant Garde" w:hAnsi="ITC Avant Garde"/>
        </w:rPr>
        <w:t>”</w:t>
      </w:r>
      <w:r w:rsidR="00384410">
        <w:rPr>
          <w:rFonts w:ascii="ITC Avant Garde" w:hAnsi="ITC Avant Garde"/>
        </w:rPr>
        <w:t>)</w:t>
      </w:r>
      <w:r w:rsidR="005F19B0" w:rsidRPr="002A5441">
        <w:rPr>
          <w:rFonts w:ascii="ITC Avant Garde" w:hAnsi="ITC Avant Garde"/>
        </w:rPr>
        <w:t>.</w:t>
      </w:r>
    </w:p>
    <w:p w14:paraId="669132E4" w14:textId="77777777" w:rsidR="001F4691" w:rsidRDefault="001F4691" w:rsidP="00FE3747">
      <w:pPr>
        <w:spacing w:after="0"/>
        <w:jc w:val="both"/>
        <w:rPr>
          <w:rFonts w:ascii="ITC Avant Garde" w:hAnsi="ITC Avant Garde"/>
        </w:rPr>
      </w:pPr>
    </w:p>
    <w:p w14:paraId="7F682221" w14:textId="14B29D98" w:rsidR="002A5441" w:rsidRDefault="002A5441" w:rsidP="00FE3747">
      <w:pPr>
        <w:autoSpaceDE w:val="0"/>
        <w:autoSpaceDN w:val="0"/>
        <w:adjustRightInd w:val="0"/>
        <w:spacing w:after="0"/>
        <w:jc w:val="both"/>
        <w:rPr>
          <w:rFonts w:ascii="ITC Avant Garde" w:hAnsi="ITC Avant Garde" w:cs="Helvetica"/>
          <w:lang w:eastAsia="es-MX"/>
        </w:rPr>
      </w:pPr>
      <w:r w:rsidRPr="002A5441">
        <w:rPr>
          <w:rFonts w:ascii="ITC Avant Garde" w:hAnsi="ITC Avant Garde" w:cs="Helvetica"/>
          <w:lang w:eastAsia="es-MX"/>
        </w:rPr>
        <w:t>La definición de los puntos de interconexión a la red pública del</w:t>
      </w:r>
      <w:r>
        <w:rPr>
          <w:rFonts w:ascii="ITC Avant Garde" w:hAnsi="ITC Avant Garde" w:cs="Helvetica"/>
          <w:lang w:eastAsia="es-MX"/>
        </w:rPr>
        <w:t xml:space="preserve"> Agente Económico Preponderante</w:t>
      </w:r>
      <w:r w:rsidR="00384410">
        <w:rPr>
          <w:rFonts w:ascii="ITC Avant Garde" w:hAnsi="ITC Avant Garde" w:cs="Helvetica"/>
          <w:lang w:eastAsia="es-MX"/>
        </w:rPr>
        <w:t xml:space="preserve"> (en lo sucesivo</w:t>
      </w:r>
      <w:r w:rsidR="002F20CD">
        <w:rPr>
          <w:rFonts w:ascii="ITC Avant Garde" w:hAnsi="ITC Avant Garde" w:cs="Helvetica"/>
          <w:lang w:eastAsia="es-MX"/>
        </w:rPr>
        <w:t>,</w:t>
      </w:r>
      <w:r w:rsidR="00384410">
        <w:rPr>
          <w:rFonts w:ascii="ITC Avant Garde" w:hAnsi="ITC Avant Garde" w:cs="Helvetica"/>
          <w:lang w:eastAsia="es-MX"/>
        </w:rPr>
        <w:t xml:space="preserve"> el </w:t>
      </w:r>
      <w:r w:rsidR="002F20CD">
        <w:rPr>
          <w:rFonts w:ascii="ITC Avant Garde" w:hAnsi="ITC Avant Garde" w:cs="Helvetica"/>
          <w:lang w:eastAsia="es-MX"/>
        </w:rPr>
        <w:t>“</w:t>
      </w:r>
      <w:r w:rsidR="00384410">
        <w:rPr>
          <w:rFonts w:ascii="ITC Avant Garde" w:hAnsi="ITC Avant Garde" w:cs="Helvetica"/>
          <w:lang w:eastAsia="es-MX"/>
        </w:rPr>
        <w:t>AEP</w:t>
      </w:r>
      <w:r w:rsidR="002F20CD">
        <w:rPr>
          <w:rFonts w:ascii="ITC Avant Garde" w:hAnsi="ITC Avant Garde" w:cs="Helvetica"/>
          <w:lang w:eastAsia="es-MX"/>
        </w:rPr>
        <w:t>”</w:t>
      </w:r>
      <w:r w:rsidR="00384410">
        <w:rPr>
          <w:rFonts w:ascii="ITC Avant Garde" w:hAnsi="ITC Avant Garde" w:cs="Helvetica"/>
          <w:lang w:eastAsia="es-MX"/>
        </w:rPr>
        <w:t>),</w:t>
      </w:r>
      <w:r>
        <w:rPr>
          <w:rFonts w:ascii="ITC Avant Garde" w:hAnsi="ITC Avant Garde" w:cs="Helvetica"/>
          <w:lang w:eastAsia="es-MX"/>
        </w:rPr>
        <w:t xml:space="preserve"> permite</w:t>
      </w:r>
      <w:r w:rsidRPr="002A5441">
        <w:rPr>
          <w:rFonts w:ascii="ITC Avant Garde" w:hAnsi="ITC Avant Garde" w:cs="Helvetica"/>
          <w:lang w:eastAsia="es-MX"/>
        </w:rPr>
        <w:t xml:space="preserve"> que los concesionarios que presten servicios públicos de telec</w:t>
      </w:r>
      <w:r>
        <w:rPr>
          <w:rFonts w:ascii="ITC Avant Garde" w:hAnsi="ITC Avant Garde" w:cs="Helvetica"/>
          <w:lang w:eastAsia="es-MX"/>
        </w:rPr>
        <w:t xml:space="preserve">omunicaciones a través de redes </w:t>
      </w:r>
      <w:r w:rsidRPr="002A5441">
        <w:rPr>
          <w:rFonts w:ascii="ITC Avant Garde" w:hAnsi="ITC Avant Garde" w:cs="Helvetica"/>
          <w:lang w:eastAsia="es-MX"/>
        </w:rPr>
        <w:t>públicas de telecomunicaciones realicen el intercambio de tráfico en los pun</w:t>
      </w:r>
      <w:r>
        <w:rPr>
          <w:rFonts w:ascii="ITC Avant Garde" w:hAnsi="ITC Avant Garde" w:cs="Helvetica"/>
          <w:lang w:eastAsia="es-MX"/>
        </w:rPr>
        <w:t xml:space="preserve">tos de interconexión en que sea </w:t>
      </w:r>
      <w:r w:rsidRPr="002A5441">
        <w:rPr>
          <w:rFonts w:ascii="ITC Avant Garde" w:hAnsi="ITC Avant Garde" w:cs="Helvetica"/>
          <w:lang w:eastAsia="es-MX"/>
        </w:rPr>
        <w:t>técnicamente factible, ofreciendo con ello igualdad de condiciones ya que</w:t>
      </w:r>
      <w:r>
        <w:rPr>
          <w:rFonts w:ascii="ITC Avant Garde" w:hAnsi="ITC Avant Garde" w:cs="Helvetica"/>
          <w:lang w:eastAsia="es-MX"/>
        </w:rPr>
        <w:t xml:space="preserve"> dichos puntos de interconexión </w:t>
      </w:r>
      <w:r w:rsidRPr="002A5441">
        <w:rPr>
          <w:rFonts w:ascii="ITC Avant Garde" w:hAnsi="ITC Avant Garde" w:cs="Helvetica"/>
          <w:lang w:eastAsia="es-MX"/>
        </w:rPr>
        <w:t>estarán disponibles para todos los concesionarios y los mismos podrán selecc</w:t>
      </w:r>
      <w:r>
        <w:rPr>
          <w:rFonts w:ascii="ITC Avant Garde" w:hAnsi="ITC Avant Garde" w:cs="Helvetica"/>
          <w:lang w:eastAsia="es-MX"/>
        </w:rPr>
        <w:t xml:space="preserve">ionar los puntos en los cuales, </w:t>
      </w:r>
      <w:r w:rsidRPr="002A5441">
        <w:rPr>
          <w:rFonts w:ascii="ITC Avant Garde" w:hAnsi="ITC Avant Garde" w:cs="Helvetica"/>
          <w:lang w:eastAsia="es-MX"/>
        </w:rPr>
        <w:t>de acuerdo a su arquitectura de red, volumen de tráfico y presencia, realizarán dicho intercambio.</w:t>
      </w:r>
    </w:p>
    <w:p w14:paraId="592F0B05" w14:textId="77777777" w:rsidR="001F4691" w:rsidRDefault="001F4691" w:rsidP="00FE3747">
      <w:pPr>
        <w:autoSpaceDE w:val="0"/>
        <w:autoSpaceDN w:val="0"/>
        <w:adjustRightInd w:val="0"/>
        <w:spacing w:after="0"/>
        <w:jc w:val="both"/>
        <w:rPr>
          <w:rFonts w:ascii="ITC Avant Garde" w:hAnsi="ITC Avant Garde" w:cs="Helvetica"/>
          <w:lang w:eastAsia="es-MX"/>
        </w:rPr>
      </w:pPr>
    </w:p>
    <w:p w14:paraId="04CB014B" w14:textId="12817AD5" w:rsidR="002A5441" w:rsidRPr="002A5441" w:rsidRDefault="002A5441" w:rsidP="00FE3747">
      <w:pPr>
        <w:autoSpaceDE w:val="0"/>
        <w:autoSpaceDN w:val="0"/>
        <w:adjustRightInd w:val="0"/>
        <w:spacing w:after="0"/>
        <w:jc w:val="both"/>
        <w:rPr>
          <w:rFonts w:ascii="ITC Avant Garde" w:hAnsi="ITC Avant Garde" w:cs="Helvetica"/>
          <w:lang w:eastAsia="es-MX"/>
        </w:rPr>
      </w:pPr>
      <w:r w:rsidRPr="002A5441">
        <w:rPr>
          <w:rFonts w:ascii="ITC Avant Garde" w:hAnsi="ITC Avant Garde" w:cs="Helvetica"/>
          <w:lang w:eastAsia="es-MX"/>
        </w:rPr>
        <w:t>Los puntos de interconexión TDM establecidos</w:t>
      </w:r>
      <w:r w:rsidR="00384410">
        <w:rPr>
          <w:rFonts w:ascii="ITC Avant Garde" w:hAnsi="ITC Avant Garde" w:cs="Helvetica"/>
          <w:lang w:eastAsia="es-MX"/>
        </w:rPr>
        <w:t>,</w:t>
      </w:r>
      <w:r w:rsidRPr="002A5441">
        <w:rPr>
          <w:rFonts w:ascii="ITC Avant Garde" w:hAnsi="ITC Avant Garde" w:cs="Helvetica"/>
          <w:lang w:eastAsia="es-MX"/>
        </w:rPr>
        <w:t xml:space="preserve"> comprenden aquellos en lo</w:t>
      </w:r>
      <w:r>
        <w:rPr>
          <w:rFonts w:ascii="ITC Avant Garde" w:hAnsi="ITC Avant Garde" w:cs="Helvetica"/>
          <w:lang w:eastAsia="es-MX"/>
        </w:rPr>
        <w:t xml:space="preserve">s que actualmente se realiza el </w:t>
      </w:r>
      <w:r w:rsidRPr="002A5441">
        <w:rPr>
          <w:rFonts w:ascii="ITC Avant Garde" w:hAnsi="ITC Avant Garde" w:cs="Helvetica"/>
          <w:lang w:eastAsia="es-MX"/>
        </w:rPr>
        <w:t>intercambio de tráfico con la red del Agente Económico Preponderante (198 pu</w:t>
      </w:r>
      <w:r>
        <w:rPr>
          <w:rFonts w:ascii="ITC Avant Garde" w:hAnsi="ITC Avant Garde" w:cs="Helvetica"/>
          <w:lang w:eastAsia="es-MX"/>
        </w:rPr>
        <w:t xml:space="preserve">ntos para el servicio fijo y 46 </w:t>
      </w:r>
      <w:r w:rsidRPr="002A5441">
        <w:rPr>
          <w:rFonts w:ascii="ITC Avant Garde" w:hAnsi="ITC Avant Garde" w:cs="Helvetica"/>
          <w:lang w:eastAsia="es-MX"/>
        </w:rPr>
        <w:t>para el móvil). Es así que se considera que los puntos de interconex</w:t>
      </w:r>
      <w:r>
        <w:rPr>
          <w:rFonts w:ascii="ITC Avant Garde" w:hAnsi="ITC Avant Garde" w:cs="Helvetica"/>
          <w:lang w:eastAsia="es-MX"/>
        </w:rPr>
        <w:t xml:space="preserve">ión señalados permitirán que el </w:t>
      </w:r>
      <w:r w:rsidRPr="002A5441">
        <w:rPr>
          <w:rFonts w:ascii="ITC Avant Garde" w:hAnsi="ITC Avant Garde" w:cs="Helvetica"/>
          <w:lang w:eastAsia="es-MX"/>
        </w:rPr>
        <w:t>intercambio de tráfico se realice de forma distribuida</w:t>
      </w:r>
      <w:r w:rsidR="00384410">
        <w:rPr>
          <w:rFonts w:ascii="ITC Avant Garde" w:hAnsi="ITC Avant Garde" w:cs="Helvetica"/>
          <w:lang w:eastAsia="es-MX"/>
        </w:rPr>
        <w:t>,</w:t>
      </w:r>
      <w:r w:rsidRPr="002A5441">
        <w:rPr>
          <w:rFonts w:ascii="ITC Avant Garde" w:hAnsi="ITC Avant Garde" w:cs="Helvetica"/>
          <w:lang w:eastAsia="es-MX"/>
        </w:rPr>
        <w:t xml:space="preserve"> por lo cual se cons</w:t>
      </w:r>
      <w:r>
        <w:rPr>
          <w:rFonts w:ascii="ITC Avant Garde" w:hAnsi="ITC Avant Garde" w:cs="Helvetica"/>
          <w:lang w:eastAsia="es-MX"/>
        </w:rPr>
        <w:t xml:space="preserve">ideran suficientes para que los </w:t>
      </w:r>
      <w:r w:rsidRPr="002A5441">
        <w:rPr>
          <w:rFonts w:ascii="ITC Avant Garde" w:hAnsi="ITC Avant Garde" w:cs="Helvetica"/>
          <w:lang w:eastAsia="es-MX"/>
        </w:rPr>
        <w:t>concesionarios que presten servicios públicos de telecomunicaciones a través de redes públicas d</w:t>
      </w:r>
      <w:r>
        <w:rPr>
          <w:rFonts w:ascii="ITC Avant Garde" w:hAnsi="ITC Avant Garde" w:cs="Helvetica"/>
          <w:lang w:eastAsia="es-MX"/>
        </w:rPr>
        <w:t xml:space="preserve">e </w:t>
      </w:r>
      <w:r w:rsidRPr="002A5441">
        <w:rPr>
          <w:rFonts w:ascii="ITC Avant Garde" w:hAnsi="ITC Avant Garde" w:cs="Helvetica"/>
          <w:lang w:eastAsia="es-MX"/>
        </w:rPr>
        <w:t>telecomunicaciones realicen el intercambio de tráfico a la red del Agente E</w:t>
      </w:r>
      <w:r>
        <w:rPr>
          <w:rFonts w:ascii="ITC Avant Garde" w:hAnsi="ITC Avant Garde" w:cs="Helvetica"/>
          <w:lang w:eastAsia="es-MX"/>
        </w:rPr>
        <w:t xml:space="preserve">conómico Preponderante de forma </w:t>
      </w:r>
      <w:r w:rsidRPr="002A5441">
        <w:rPr>
          <w:rFonts w:ascii="ITC Avant Garde" w:hAnsi="ITC Avant Garde" w:cs="Helvetica"/>
          <w:lang w:eastAsia="es-MX"/>
        </w:rPr>
        <w:t>que les resulte eficiente.</w:t>
      </w:r>
    </w:p>
    <w:p w14:paraId="6009417E" w14:textId="77777777" w:rsidR="002A5441" w:rsidRDefault="002A5441" w:rsidP="00FE3747">
      <w:pPr>
        <w:spacing w:after="0"/>
        <w:jc w:val="both"/>
        <w:rPr>
          <w:rFonts w:ascii="ITC Avant Garde" w:hAnsi="ITC Avant Garde"/>
        </w:rPr>
      </w:pPr>
    </w:p>
    <w:p w14:paraId="719DFDB0" w14:textId="07B04632" w:rsidR="002A5441" w:rsidRDefault="00664D09" w:rsidP="00FE3747">
      <w:pPr>
        <w:spacing w:after="0"/>
        <w:jc w:val="both"/>
        <w:rPr>
          <w:rFonts w:ascii="ITC Avant Garde" w:hAnsi="ITC Avant Garde"/>
        </w:rPr>
      </w:pPr>
      <w:r>
        <w:rPr>
          <w:rFonts w:ascii="ITC Avant Garde" w:hAnsi="ITC Avant Garde"/>
        </w:rPr>
        <w:t xml:space="preserve">En ese sentido en términos del </w:t>
      </w:r>
      <w:r w:rsidR="00384410">
        <w:rPr>
          <w:rFonts w:ascii="ITC Avant Garde" w:hAnsi="ITC Avant Garde"/>
        </w:rPr>
        <w:t>Punto Quinto del A</w:t>
      </w:r>
      <w:r>
        <w:rPr>
          <w:rFonts w:ascii="ITC Avant Garde" w:hAnsi="ITC Avant Garde"/>
        </w:rPr>
        <w:t xml:space="preserve">cuerdo de </w:t>
      </w:r>
      <w:r w:rsidR="00384410">
        <w:rPr>
          <w:rFonts w:ascii="ITC Avant Garde" w:hAnsi="ITC Avant Garde"/>
        </w:rPr>
        <w:t>P</w:t>
      </w:r>
      <w:r>
        <w:rPr>
          <w:rFonts w:ascii="ITC Avant Garde" w:hAnsi="ITC Avant Garde"/>
        </w:rPr>
        <w:t xml:space="preserve">untos de </w:t>
      </w:r>
      <w:r w:rsidR="00384410">
        <w:rPr>
          <w:rFonts w:ascii="ITC Avant Garde" w:hAnsi="ITC Avant Garde"/>
        </w:rPr>
        <w:t>I</w:t>
      </w:r>
      <w:r>
        <w:rPr>
          <w:rFonts w:ascii="ITC Avant Garde" w:hAnsi="ITC Avant Garde"/>
        </w:rPr>
        <w:t xml:space="preserve">nterconexión, </w:t>
      </w:r>
      <w:r w:rsidR="00384410">
        <w:rPr>
          <w:rFonts w:ascii="ITC Avant Garde" w:hAnsi="ITC Avant Garde"/>
        </w:rPr>
        <w:t>e</w:t>
      </w:r>
      <w:r w:rsidR="002A5441" w:rsidRPr="002A5441">
        <w:rPr>
          <w:rFonts w:ascii="ITC Avant Garde" w:hAnsi="ITC Avant Garde"/>
        </w:rPr>
        <w:t xml:space="preserve">l </w:t>
      </w:r>
      <w:r>
        <w:rPr>
          <w:rFonts w:ascii="ITC Avant Garde" w:hAnsi="ITC Avant Garde"/>
        </w:rPr>
        <w:t xml:space="preserve">AEP </w:t>
      </w:r>
      <w:r w:rsidR="002A5441" w:rsidRPr="002A5441">
        <w:rPr>
          <w:rFonts w:ascii="ITC Avant Garde" w:hAnsi="ITC Avant Garde"/>
        </w:rPr>
        <w:t>deberá proporcionar a los c</w:t>
      </w:r>
      <w:r>
        <w:rPr>
          <w:rFonts w:ascii="ITC Avant Garde" w:hAnsi="ITC Avant Garde"/>
        </w:rPr>
        <w:t xml:space="preserve">oncesionarios que lo soliciten, </w:t>
      </w:r>
      <w:r w:rsidR="002A5441" w:rsidRPr="002A5441">
        <w:rPr>
          <w:rFonts w:ascii="ITC Avant Garde" w:hAnsi="ITC Avant Garde"/>
        </w:rPr>
        <w:t>la información relativa a los Puntos de Interconexión establecidos en</w:t>
      </w:r>
      <w:r>
        <w:rPr>
          <w:rFonts w:ascii="ITC Avant Garde" w:hAnsi="ITC Avant Garde"/>
        </w:rPr>
        <w:t xml:space="preserve"> los Acuerdos Tercero y Cuarto del mismo ordenamiento, </w:t>
      </w:r>
      <w:r w:rsidR="002A5441" w:rsidRPr="002A5441">
        <w:rPr>
          <w:rFonts w:ascii="ITC Avant Garde" w:hAnsi="ITC Avant Garde"/>
        </w:rPr>
        <w:t xml:space="preserve">en un plazo de 5 días hábiles, </w:t>
      </w:r>
      <w:r w:rsidR="00BE4A92">
        <w:rPr>
          <w:rFonts w:ascii="ITC Avant Garde" w:hAnsi="ITC Avant Garde"/>
        </w:rPr>
        <w:t>dentro d</w:t>
      </w:r>
      <w:r>
        <w:rPr>
          <w:rFonts w:ascii="ITC Avant Garde" w:hAnsi="ITC Avant Garde"/>
        </w:rPr>
        <w:t>e</w:t>
      </w:r>
      <w:r w:rsidR="00BE4A92">
        <w:rPr>
          <w:rFonts w:ascii="ITC Avant Garde" w:hAnsi="ITC Avant Garde"/>
        </w:rPr>
        <w:t xml:space="preserve"> </w:t>
      </w:r>
      <w:r>
        <w:rPr>
          <w:rFonts w:ascii="ITC Avant Garde" w:hAnsi="ITC Avant Garde"/>
        </w:rPr>
        <w:t>la cual deberá considerarse</w:t>
      </w:r>
      <w:r w:rsidR="002A5441" w:rsidRPr="002A5441">
        <w:rPr>
          <w:rFonts w:ascii="ITC Avant Garde" w:hAnsi="ITC Avant Garde"/>
        </w:rPr>
        <w:t>:</w:t>
      </w:r>
    </w:p>
    <w:p w14:paraId="0D244C53" w14:textId="77777777" w:rsidR="00664D09" w:rsidRDefault="00664D09" w:rsidP="00FE3747">
      <w:pPr>
        <w:spacing w:after="0"/>
        <w:jc w:val="both"/>
        <w:rPr>
          <w:rFonts w:ascii="ITC Avant Garde" w:hAnsi="ITC Avant Garde"/>
        </w:rPr>
      </w:pPr>
    </w:p>
    <w:p w14:paraId="551A2E2A" w14:textId="403880BD" w:rsidR="002A5441" w:rsidRPr="00664D09" w:rsidRDefault="002A5441" w:rsidP="00FE3747">
      <w:pPr>
        <w:pStyle w:val="Prrafodelista"/>
        <w:numPr>
          <w:ilvl w:val="0"/>
          <w:numId w:val="15"/>
        </w:numPr>
        <w:spacing w:line="276" w:lineRule="auto"/>
        <w:rPr>
          <w:rFonts w:ascii="ITC Avant Garde" w:hAnsi="ITC Avant Garde"/>
        </w:rPr>
      </w:pPr>
      <w:r w:rsidRPr="00664D09">
        <w:rPr>
          <w:rFonts w:ascii="ITC Avant Garde" w:hAnsi="ITC Avant Garde"/>
        </w:rPr>
        <w:t>Nombre y códigos de identificación.</w:t>
      </w:r>
    </w:p>
    <w:p w14:paraId="6869EA61" w14:textId="4490B4EA" w:rsidR="002A5441" w:rsidRPr="00664D09" w:rsidRDefault="002A5441" w:rsidP="00FE3747">
      <w:pPr>
        <w:pStyle w:val="Prrafodelista"/>
        <w:numPr>
          <w:ilvl w:val="0"/>
          <w:numId w:val="15"/>
        </w:numPr>
        <w:spacing w:line="276" w:lineRule="auto"/>
        <w:rPr>
          <w:rFonts w:ascii="ITC Avant Garde" w:hAnsi="ITC Avant Garde"/>
        </w:rPr>
      </w:pPr>
      <w:r w:rsidRPr="00664D09">
        <w:rPr>
          <w:rFonts w:ascii="ITC Avant Garde" w:hAnsi="ITC Avant Garde"/>
        </w:rPr>
        <w:t>Dirección postal y coordenadas geográficas.</w:t>
      </w:r>
    </w:p>
    <w:p w14:paraId="2FF30D38" w14:textId="77777777" w:rsidR="00664D09" w:rsidRPr="00664D09" w:rsidRDefault="002A5441" w:rsidP="00FE3747">
      <w:pPr>
        <w:pStyle w:val="Prrafodelista"/>
        <w:numPr>
          <w:ilvl w:val="0"/>
          <w:numId w:val="15"/>
        </w:numPr>
        <w:spacing w:line="276" w:lineRule="auto"/>
        <w:rPr>
          <w:rFonts w:ascii="ITC Avant Garde" w:hAnsi="ITC Avant Garde"/>
        </w:rPr>
      </w:pPr>
      <w:r w:rsidRPr="00664D09">
        <w:rPr>
          <w:rFonts w:ascii="ITC Avant Garde" w:hAnsi="ITC Avant Garde"/>
        </w:rPr>
        <w:t>Ubicación de los pares de Puntos de</w:t>
      </w:r>
      <w:r w:rsidR="00664D09" w:rsidRPr="00664D09">
        <w:rPr>
          <w:rFonts w:ascii="ITC Avant Garde" w:hAnsi="ITC Avant Garde"/>
        </w:rPr>
        <w:t xml:space="preserve"> Transferencia de Señalización.</w:t>
      </w:r>
    </w:p>
    <w:p w14:paraId="4C766A33" w14:textId="6A2C7FC5" w:rsidR="002A5441" w:rsidRPr="00664D09" w:rsidRDefault="002A5441" w:rsidP="00FE3747">
      <w:pPr>
        <w:pStyle w:val="Prrafodelista"/>
        <w:numPr>
          <w:ilvl w:val="0"/>
          <w:numId w:val="15"/>
        </w:numPr>
        <w:spacing w:line="276" w:lineRule="auto"/>
        <w:rPr>
          <w:rFonts w:ascii="ITC Avant Garde" w:hAnsi="ITC Avant Garde"/>
        </w:rPr>
      </w:pPr>
      <w:r w:rsidRPr="00664D09">
        <w:rPr>
          <w:rFonts w:ascii="ITC Avant Garde" w:hAnsi="ITC Avant Garde"/>
        </w:rPr>
        <w:lastRenderedPageBreak/>
        <w:t xml:space="preserve">Puntos de Transferencia de Señalización </w:t>
      </w:r>
      <w:proofErr w:type="gramStart"/>
      <w:r w:rsidRPr="00664D09">
        <w:rPr>
          <w:rFonts w:ascii="ITC Avant Garde" w:hAnsi="ITC Avant Garde"/>
        </w:rPr>
        <w:t>a</w:t>
      </w:r>
      <w:proofErr w:type="gramEnd"/>
      <w:r w:rsidRPr="00664D09">
        <w:rPr>
          <w:rFonts w:ascii="ITC Avant Garde" w:hAnsi="ITC Avant Garde"/>
        </w:rPr>
        <w:t xml:space="preserve"> los que es</w:t>
      </w:r>
      <w:r w:rsidR="00664D09" w:rsidRPr="00664D09">
        <w:rPr>
          <w:rFonts w:ascii="ITC Avant Garde" w:hAnsi="ITC Avant Garde"/>
        </w:rPr>
        <w:t xml:space="preserve">tá interconectado cada Punto de </w:t>
      </w:r>
      <w:r w:rsidRPr="00664D09">
        <w:rPr>
          <w:rFonts w:ascii="ITC Avant Garde" w:hAnsi="ITC Avant Garde"/>
        </w:rPr>
        <w:t>Interconexión.</w:t>
      </w:r>
    </w:p>
    <w:p w14:paraId="3B08E234" w14:textId="482E8EB2" w:rsidR="005F19B0" w:rsidRPr="00664D09" w:rsidRDefault="002A5441" w:rsidP="00FE3747">
      <w:pPr>
        <w:pStyle w:val="Prrafodelista"/>
        <w:numPr>
          <w:ilvl w:val="0"/>
          <w:numId w:val="15"/>
        </w:numPr>
        <w:spacing w:line="276" w:lineRule="auto"/>
        <w:rPr>
          <w:rFonts w:ascii="ITC Avant Garde" w:hAnsi="ITC Avant Garde"/>
        </w:rPr>
      </w:pPr>
      <w:r w:rsidRPr="00664D09">
        <w:rPr>
          <w:rFonts w:ascii="ITC Avant Garde" w:hAnsi="ITC Avant Garde"/>
        </w:rPr>
        <w:t>Códigos de puntos de señalización de origen y destino.</w:t>
      </w:r>
    </w:p>
    <w:p w14:paraId="41B9A99F" w14:textId="77777777" w:rsidR="001F4691" w:rsidRDefault="001F4691" w:rsidP="00FE3747">
      <w:pPr>
        <w:spacing w:after="0"/>
        <w:jc w:val="both"/>
        <w:rPr>
          <w:rFonts w:ascii="ITC Avant Garde" w:hAnsi="ITC Avant Garde"/>
        </w:rPr>
      </w:pPr>
    </w:p>
    <w:p w14:paraId="3D7F64C6" w14:textId="1081983A" w:rsidR="005C7DC6" w:rsidRDefault="008E6D86" w:rsidP="00FE3747">
      <w:pPr>
        <w:spacing w:after="0"/>
        <w:jc w:val="both"/>
        <w:rPr>
          <w:rFonts w:ascii="ITC Avant Garde" w:hAnsi="ITC Avant Garde"/>
        </w:rPr>
      </w:pPr>
      <w:r>
        <w:rPr>
          <w:rFonts w:ascii="ITC Avant Garde" w:hAnsi="ITC Avant Garde"/>
        </w:rPr>
        <w:t xml:space="preserve">Ahora bien, </w:t>
      </w:r>
      <w:r w:rsidR="00664D09">
        <w:rPr>
          <w:rFonts w:ascii="ITC Avant Garde" w:hAnsi="ITC Avant Garde"/>
        </w:rPr>
        <w:t xml:space="preserve">se indica que </w:t>
      </w:r>
      <w:r>
        <w:rPr>
          <w:rFonts w:ascii="ITC Avant Garde" w:hAnsi="ITC Avant Garde"/>
        </w:rPr>
        <w:t>el artículo 9-A fracción X</w:t>
      </w:r>
      <w:r w:rsidR="00384410">
        <w:rPr>
          <w:rFonts w:ascii="ITC Avant Garde" w:hAnsi="ITC Avant Garde"/>
        </w:rPr>
        <w:t>, de la LFT</w:t>
      </w:r>
      <w:r>
        <w:rPr>
          <w:rFonts w:ascii="ITC Avant Garde" w:hAnsi="ITC Avant Garde"/>
        </w:rPr>
        <w:t xml:space="preserve"> establecía literalmente lo siguiente:</w:t>
      </w:r>
    </w:p>
    <w:p w14:paraId="069FB149" w14:textId="77777777" w:rsidR="001F4691" w:rsidRDefault="001F4691" w:rsidP="00FE3747">
      <w:pPr>
        <w:spacing w:after="0"/>
        <w:jc w:val="both"/>
        <w:rPr>
          <w:rFonts w:ascii="ITC Avant Garde" w:hAnsi="ITC Avant Garde"/>
        </w:rPr>
      </w:pPr>
    </w:p>
    <w:p w14:paraId="68DE3EF9" w14:textId="6F8059F1" w:rsidR="008E6D86" w:rsidRDefault="008E6D86" w:rsidP="00FE3747">
      <w:pPr>
        <w:spacing w:after="0"/>
        <w:ind w:left="851" w:right="615"/>
        <w:jc w:val="both"/>
        <w:rPr>
          <w:rFonts w:ascii="ITC Avant Garde" w:hAnsi="ITC Avant Garde"/>
          <w:i/>
          <w:sz w:val="18"/>
          <w:szCs w:val="18"/>
        </w:rPr>
      </w:pPr>
      <w:r w:rsidRPr="008E6D86">
        <w:rPr>
          <w:rFonts w:ascii="ITC Avant Garde" w:hAnsi="ITC Avant Garde"/>
          <w:b/>
          <w:i/>
          <w:sz w:val="18"/>
          <w:szCs w:val="18"/>
        </w:rPr>
        <w:t>Artículo 9-A.</w:t>
      </w:r>
      <w:r w:rsidRPr="008E6D86">
        <w:rPr>
          <w:rFonts w:ascii="ITC Avant Garde" w:hAnsi="ITC Avant Garde"/>
          <w:i/>
          <w:sz w:val="18"/>
          <w:szCs w:val="18"/>
        </w:rPr>
        <w:t xml:space="preserve"> La Comisión Federal de Telecomunicaciones es el órgano administrativo desconcentrado de la Secretaría, con autonomía técnica, operativa, de gasto y de gestión, encargado de regular, promover y supervisar el desarrollo eficiente y la cobertura social amplia de las telecomunicaciones y la radiodifusión en México, y tendrá autonomía plena para dictar sus resoluciones. Para el logro de estos objetivos, corresponde a la citada Comisión el ejercicio de las siguientes atribuciones:</w:t>
      </w:r>
    </w:p>
    <w:p w14:paraId="7B42E26D" w14:textId="261CBF1F" w:rsidR="008E6D86" w:rsidRDefault="008E6D86" w:rsidP="00FE3747">
      <w:pPr>
        <w:spacing w:after="0"/>
        <w:ind w:left="851" w:right="615"/>
        <w:jc w:val="both"/>
        <w:rPr>
          <w:rFonts w:ascii="ITC Avant Garde" w:hAnsi="ITC Avant Garde"/>
          <w:i/>
          <w:sz w:val="18"/>
          <w:szCs w:val="18"/>
        </w:rPr>
      </w:pPr>
      <w:proofErr w:type="gramStart"/>
      <w:r w:rsidRPr="008E6D86">
        <w:rPr>
          <w:rFonts w:ascii="ITC Avant Garde" w:hAnsi="ITC Avant Garde"/>
          <w:i/>
          <w:sz w:val="18"/>
          <w:szCs w:val="18"/>
        </w:rPr>
        <w:t>I.</w:t>
      </w:r>
      <w:proofErr w:type="gramEnd"/>
      <w:r w:rsidRPr="008E6D86">
        <w:rPr>
          <w:rFonts w:ascii="ITC Avant Garde" w:hAnsi="ITC Avant Garde"/>
          <w:i/>
          <w:sz w:val="18"/>
          <w:szCs w:val="18"/>
        </w:rPr>
        <w:t>…</w:t>
      </w:r>
    </w:p>
    <w:p w14:paraId="3CA13BD0" w14:textId="6F6BDDE2" w:rsidR="005C7DC6" w:rsidRDefault="008E6D86" w:rsidP="00FE3747">
      <w:pPr>
        <w:spacing w:after="0"/>
        <w:ind w:left="851" w:right="615"/>
        <w:jc w:val="both"/>
        <w:rPr>
          <w:rFonts w:ascii="ITC Avant Garde" w:hAnsi="ITC Avant Garde"/>
        </w:rPr>
      </w:pPr>
      <w:r w:rsidRPr="008E6D86">
        <w:rPr>
          <w:rFonts w:ascii="ITC Avant Garde" w:hAnsi="ITC Avant Garde"/>
          <w:i/>
          <w:sz w:val="18"/>
          <w:szCs w:val="18"/>
        </w:rPr>
        <w:t>X. Promover y vigilar la eficiente interconexión de los equipos y redes públicas de telecomunicaciones,</w:t>
      </w:r>
    </w:p>
    <w:p w14:paraId="66554676" w14:textId="77777777" w:rsidR="00BD2512" w:rsidRDefault="00BD2512" w:rsidP="00FE3747">
      <w:pPr>
        <w:spacing w:after="0"/>
        <w:jc w:val="both"/>
        <w:rPr>
          <w:rFonts w:ascii="ITC Avant Garde" w:hAnsi="ITC Avant Garde"/>
        </w:rPr>
      </w:pPr>
    </w:p>
    <w:p w14:paraId="617708D2" w14:textId="4BBC7A36" w:rsidR="00664D09" w:rsidRDefault="009037C1" w:rsidP="00FE3747">
      <w:pPr>
        <w:spacing w:after="0"/>
        <w:jc w:val="both"/>
        <w:rPr>
          <w:rFonts w:ascii="ITC Avant Garde" w:hAnsi="ITC Avant Garde"/>
        </w:rPr>
      </w:pPr>
      <w:r>
        <w:rPr>
          <w:rFonts w:ascii="ITC Avant Garde" w:hAnsi="ITC Avant Garde"/>
        </w:rPr>
        <w:t xml:space="preserve">De la transcripción anterior, se desprende que es la autoridad reguladora la que debe velar por la eficiente interconexión de las redes públicas de telecomunicaciones. </w:t>
      </w:r>
      <w:r w:rsidR="00664D09">
        <w:rPr>
          <w:rFonts w:ascii="ITC Avant Garde" w:hAnsi="ITC Avant Garde"/>
        </w:rPr>
        <w:t>Es</w:t>
      </w:r>
      <w:r w:rsidR="005F19B0">
        <w:rPr>
          <w:rFonts w:ascii="ITC Avant Garde" w:hAnsi="ITC Avant Garde"/>
        </w:rPr>
        <w:t xml:space="preserve"> así que </w:t>
      </w:r>
      <w:r w:rsidR="00664D09">
        <w:rPr>
          <w:rFonts w:ascii="ITC Avant Garde" w:hAnsi="ITC Avant Garde"/>
        </w:rPr>
        <w:t>en base a las atribuciones de esta Autoridad y de la regulación hoy vigente se determina que Telmex deberá atender la solicitud de Marcatel</w:t>
      </w:r>
      <w:r w:rsidR="00664D09" w:rsidRPr="002F20CD">
        <w:rPr>
          <w:rFonts w:ascii="ITC Avant Garde" w:hAnsi="ITC Avant Garde"/>
        </w:rPr>
        <w:t xml:space="preserve">, </w:t>
      </w:r>
      <w:r w:rsidR="0053034A" w:rsidRPr="002F20CD">
        <w:rPr>
          <w:rFonts w:ascii="ITC Avant Garde" w:hAnsi="ITC Avant Garde"/>
        </w:rPr>
        <w:t>en términos del Acuerdo de Puntos de Interconexión,</w:t>
      </w:r>
      <w:r w:rsidR="0053034A">
        <w:rPr>
          <w:rFonts w:ascii="ITC Avant Garde" w:hAnsi="ITC Avant Garde"/>
        </w:rPr>
        <w:t xml:space="preserve"> </w:t>
      </w:r>
      <w:r w:rsidR="00664D09">
        <w:rPr>
          <w:rFonts w:ascii="ITC Avant Garde" w:hAnsi="ITC Avant Garde"/>
        </w:rPr>
        <w:t xml:space="preserve">respecto de </w:t>
      </w:r>
      <w:r w:rsidR="00664D09" w:rsidRPr="00664D09">
        <w:rPr>
          <w:rFonts w:ascii="ITC Avant Garde" w:hAnsi="ITC Avant Garde"/>
        </w:rPr>
        <w:t xml:space="preserve">proporcionar la ubicación de los </w:t>
      </w:r>
      <w:proofErr w:type="spellStart"/>
      <w:r w:rsidR="00664D09" w:rsidRPr="00664D09">
        <w:rPr>
          <w:rFonts w:ascii="ITC Avant Garde" w:hAnsi="ITC Avant Garde"/>
        </w:rPr>
        <w:t>PDIC's</w:t>
      </w:r>
      <w:proofErr w:type="spellEnd"/>
      <w:r w:rsidR="00664D09" w:rsidRPr="00664D09">
        <w:rPr>
          <w:rFonts w:ascii="ITC Avant Garde" w:hAnsi="ITC Avant Garde"/>
        </w:rPr>
        <w:t xml:space="preserve"> para poder interconectar sus redes públicas de telecomunicaciones en </w:t>
      </w:r>
      <w:r w:rsidR="00664D09">
        <w:rPr>
          <w:rFonts w:ascii="ITC Avant Garde" w:hAnsi="ITC Avant Garde"/>
        </w:rPr>
        <w:t xml:space="preserve">diversa </w:t>
      </w:r>
      <w:r w:rsidR="00664D09" w:rsidRPr="00664D09">
        <w:rPr>
          <w:rFonts w:ascii="ITC Avant Garde" w:hAnsi="ITC Avant Garde"/>
        </w:rPr>
        <w:t>localidades</w:t>
      </w:r>
      <w:r w:rsidR="00664D09">
        <w:rPr>
          <w:rFonts w:ascii="ITC Avant Garde" w:hAnsi="ITC Avant Garde"/>
        </w:rPr>
        <w:t xml:space="preserve">, para lo cual </w:t>
      </w:r>
      <w:r w:rsidR="00664D09" w:rsidRPr="00664D09">
        <w:rPr>
          <w:rFonts w:ascii="ITC Avant Garde" w:hAnsi="ITC Avant Garde"/>
        </w:rPr>
        <w:t>podrán seleccionar los puntos en los cuales, de acuerdo a su arquitectura de red, volumen de tráfico y presencia, realizarán dicho intercambio.</w:t>
      </w:r>
    </w:p>
    <w:p w14:paraId="3760FE55" w14:textId="77777777" w:rsidR="001F4691" w:rsidRDefault="001F4691" w:rsidP="00FE3747">
      <w:pPr>
        <w:spacing w:after="0"/>
        <w:jc w:val="both"/>
        <w:rPr>
          <w:rFonts w:ascii="ITC Avant Garde" w:hAnsi="ITC Avant Garde"/>
        </w:rPr>
      </w:pPr>
    </w:p>
    <w:p w14:paraId="7A9CB08C" w14:textId="15695389" w:rsidR="0010524D" w:rsidRPr="000A095A" w:rsidRDefault="00D974D4" w:rsidP="00FE3747">
      <w:pPr>
        <w:spacing w:after="0"/>
        <w:jc w:val="both"/>
        <w:rPr>
          <w:rFonts w:ascii="ITC Avant Garde" w:hAnsi="ITC Avant Garde"/>
        </w:rPr>
      </w:pPr>
      <w:r w:rsidRPr="00D974D4">
        <w:rPr>
          <w:rFonts w:ascii="ITC Avant Garde" w:hAnsi="ITC Avant Garde"/>
        </w:rPr>
        <w:t>Por lo antes expuesto y con fundamento</w:t>
      </w:r>
      <w:r w:rsidR="003D50DE">
        <w:rPr>
          <w:rFonts w:ascii="ITC Avant Garde" w:hAnsi="ITC Avant Garde"/>
        </w:rPr>
        <w:t xml:space="preserve"> en los </w:t>
      </w:r>
      <w:r w:rsidRPr="00D974D4">
        <w:rPr>
          <w:rFonts w:ascii="ITC Avant Garde" w:hAnsi="ITC Avant Garde"/>
        </w:rPr>
        <w:t>Artículo</w:t>
      </w:r>
      <w:r w:rsidR="003D50DE">
        <w:rPr>
          <w:rFonts w:ascii="ITC Avant Garde" w:hAnsi="ITC Avant Garde"/>
        </w:rPr>
        <w:t>s</w:t>
      </w:r>
      <w:r w:rsidR="00FF141C">
        <w:rPr>
          <w:rFonts w:ascii="ITC Avant Garde" w:hAnsi="ITC Avant Garde"/>
        </w:rPr>
        <w:t xml:space="preserve"> 6º</w:t>
      </w:r>
      <w:r w:rsidR="00711B35">
        <w:rPr>
          <w:rFonts w:ascii="ITC Avant Garde" w:hAnsi="ITC Avant Garde"/>
        </w:rPr>
        <w:t>, apartado B, fracción II</w:t>
      </w:r>
      <w:r w:rsidR="00FF141C">
        <w:rPr>
          <w:rFonts w:ascii="ITC Avant Garde" w:hAnsi="ITC Avant Garde"/>
        </w:rPr>
        <w:t xml:space="preserve"> y </w:t>
      </w:r>
      <w:r w:rsidR="003D50DE" w:rsidRPr="003D50DE">
        <w:rPr>
          <w:rFonts w:ascii="ITC Avant Garde" w:hAnsi="ITC Avant Garde"/>
        </w:rPr>
        <w:t>28, párrafo</w:t>
      </w:r>
      <w:r w:rsidR="00711B35">
        <w:rPr>
          <w:rFonts w:ascii="ITC Avant Garde" w:hAnsi="ITC Avant Garde"/>
        </w:rPr>
        <w:t>s</w:t>
      </w:r>
      <w:r w:rsidR="003D50DE" w:rsidRPr="003D50DE">
        <w:rPr>
          <w:rFonts w:ascii="ITC Avant Garde" w:hAnsi="ITC Avant Garde"/>
        </w:rPr>
        <w:t xml:space="preserve"> décimo quinto y décimo sexto de la Constitución Política de los Estados Unidos</w:t>
      </w:r>
      <w:r w:rsidR="00FF141C">
        <w:rPr>
          <w:rFonts w:ascii="ITC Avant Garde" w:hAnsi="ITC Avant Garde"/>
        </w:rPr>
        <w:t xml:space="preserve"> Mexicanos; </w:t>
      </w:r>
      <w:r w:rsidR="00CD7E32" w:rsidRPr="00CD7E32">
        <w:rPr>
          <w:rFonts w:ascii="ITC Avant Garde" w:hAnsi="ITC Avant Garde"/>
        </w:rPr>
        <w:t>Séptimo Transitorio del Decreto por el que se reforman y adicionan diversas disposiciones de los artículos 6o., 7o., 27, 28, 73, 78, 94 y 105 de la Constitución Política de los Estados Unidos Mexicanos, en materia de telecomunicaciones</w:t>
      </w:r>
      <w:r w:rsidR="00D0449B">
        <w:rPr>
          <w:rFonts w:ascii="ITC Avant Garde" w:hAnsi="ITC Avant Garde"/>
        </w:rPr>
        <w:t>,</w:t>
      </w:r>
      <w:r w:rsidR="00E93FFA">
        <w:rPr>
          <w:rFonts w:ascii="ITC Avant Garde" w:hAnsi="ITC Avant Garde"/>
        </w:rPr>
        <w:t xml:space="preserve"> y</w:t>
      </w:r>
      <w:r w:rsidR="00CD7E32">
        <w:rPr>
          <w:rFonts w:ascii="ITC Avant Garde" w:hAnsi="ITC Avant Garde"/>
        </w:rPr>
        <w:t xml:space="preserve"> Sexto Transitorio del </w:t>
      </w:r>
      <w:r w:rsidR="00CD7E32" w:rsidRPr="00CD7E32">
        <w:rPr>
          <w:rFonts w:ascii="ITC Avant Garde" w:hAnsi="ITC Avant Garde"/>
        </w:rPr>
        <w:t xml:space="preserve">Decreto </w:t>
      </w:r>
      <w:r w:rsidR="00CD7E32" w:rsidRPr="00CD7E32">
        <w:rPr>
          <w:rFonts w:ascii="ITC Avant Garde" w:hAnsi="ITC Avant Garde"/>
          <w:lang w:val="es-ES"/>
        </w:rPr>
        <w:t>por el que se expiden la Ley Federal de Telecomunicaciones y Radiodifusión, y la Ley del Sistema Público de Radiodifusión del Estado Mexicano; y se reforman, adicionan y derogan diversas disposiciones en materia de telecomunicaciones y radiodifusión</w:t>
      </w:r>
      <w:r w:rsidR="00E93FFA">
        <w:rPr>
          <w:rFonts w:ascii="ITC Avant Garde" w:hAnsi="ITC Avant Garde"/>
          <w:lang w:val="es-ES"/>
        </w:rPr>
        <w:t xml:space="preserve"> en relación con el artículo </w:t>
      </w:r>
      <w:r w:rsidR="002B1259">
        <w:rPr>
          <w:rFonts w:ascii="ITC Avant Garde" w:hAnsi="ITC Avant Garde"/>
        </w:rPr>
        <w:t>9 fracción X</w:t>
      </w:r>
      <w:r w:rsidR="00E93FFA">
        <w:rPr>
          <w:rFonts w:ascii="ITC Avant Garde" w:hAnsi="ITC Avant Garde"/>
        </w:rPr>
        <w:t>, primera parte</w:t>
      </w:r>
      <w:r w:rsidR="00D0449B">
        <w:rPr>
          <w:rFonts w:ascii="ITC Avant Garde" w:hAnsi="ITC Avant Garde"/>
        </w:rPr>
        <w:t>,</w:t>
      </w:r>
      <w:r w:rsidR="002B1259">
        <w:rPr>
          <w:rFonts w:ascii="ITC Avant Garde" w:hAnsi="ITC Avant Garde"/>
        </w:rPr>
        <w:t xml:space="preserve"> de la Ley Federal de Telecomunicaciones, </w:t>
      </w:r>
      <w:r w:rsidR="00FF141C" w:rsidRPr="00CD7E32">
        <w:rPr>
          <w:rFonts w:ascii="ITC Avant Garde" w:hAnsi="ITC Avant Garde"/>
        </w:rPr>
        <w:t>6, fracción IV</w:t>
      </w:r>
      <w:r w:rsidR="00F723D2" w:rsidRPr="00CD7E32">
        <w:rPr>
          <w:rFonts w:ascii="ITC Avant Garde" w:hAnsi="ITC Avant Garde"/>
        </w:rPr>
        <w:t>, 7, segundo</w:t>
      </w:r>
      <w:r w:rsidR="00F723D2">
        <w:rPr>
          <w:rFonts w:ascii="ITC Avant Garde" w:hAnsi="ITC Avant Garde"/>
        </w:rPr>
        <w:t xml:space="preserve"> párrafo</w:t>
      </w:r>
      <w:r w:rsidR="00FF141C">
        <w:rPr>
          <w:rFonts w:ascii="ITC Avant Garde" w:hAnsi="ITC Avant Garde"/>
        </w:rPr>
        <w:t xml:space="preserve"> y</w:t>
      </w:r>
      <w:r w:rsidR="003D50DE" w:rsidRPr="003D50DE">
        <w:rPr>
          <w:rFonts w:ascii="ITC Avant Garde" w:hAnsi="ITC Avant Garde"/>
        </w:rPr>
        <w:t xml:space="preserve"> 15, </w:t>
      </w:r>
      <w:r w:rsidR="003D50DE" w:rsidRPr="00FF141C">
        <w:rPr>
          <w:rFonts w:ascii="ITC Avant Garde" w:hAnsi="ITC Avant Garde"/>
        </w:rPr>
        <w:t xml:space="preserve">fracción </w:t>
      </w:r>
      <w:r w:rsidR="00FF141C" w:rsidRPr="00FF141C">
        <w:rPr>
          <w:rFonts w:ascii="ITC Avant Garde" w:hAnsi="ITC Avant Garde"/>
          <w:lang w:val="es-ES_tradnl"/>
        </w:rPr>
        <w:t>LXIII</w:t>
      </w:r>
      <w:r w:rsidR="003D50DE" w:rsidRPr="00FF141C">
        <w:rPr>
          <w:rFonts w:ascii="ITC Avant Garde" w:hAnsi="ITC Avant Garde"/>
        </w:rPr>
        <w:t>,</w:t>
      </w:r>
      <w:r w:rsidR="00711B35">
        <w:rPr>
          <w:rFonts w:ascii="ITC Avant Garde" w:hAnsi="ITC Avant Garde"/>
        </w:rPr>
        <w:t xml:space="preserve"> 16 y 17 penúltimo párrafo</w:t>
      </w:r>
      <w:r w:rsidR="003D50DE" w:rsidRPr="003D50DE">
        <w:rPr>
          <w:rFonts w:ascii="ITC Avant Garde" w:hAnsi="ITC Avant Garde"/>
        </w:rPr>
        <w:t xml:space="preserve"> de la Ley Federal de Telecomunicaciones y Radiodifusión;</w:t>
      </w:r>
      <w:r w:rsidR="00FF141C">
        <w:rPr>
          <w:rFonts w:ascii="ITC Avant Garde" w:hAnsi="ITC Avant Garde"/>
        </w:rPr>
        <w:t xml:space="preserve"> 35, fracción I, 36, 38, 39</w:t>
      </w:r>
      <w:r w:rsidR="003D50DE" w:rsidRPr="003D50DE">
        <w:rPr>
          <w:rFonts w:ascii="ITC Avant Garde" w:hAnsi="ITC Avant Garde"/>
        </w:rPr>
        <w:t xml:space="preserve"> de la Ley Federal </w:t>
      </w:r>
      <w:r w:rsidR="00FF141C">
        <w:rPr>
          <w:rFonts w:ascii="ITC Avant Garde" w:hAnsi="ITC Avant Garde"/>
        </w:rPr>
        <w:t>de Procedimiento Administrativo</w:t>
      </w:r>
      <w:r w:rsidR="003D50DE" w:rsidRPr="003D50DE">
        <w:rPr>
          <w:rFonts w:ascii="ITC Avant Garde" w:hAnsi="ITC Avant Garde"/>
        </w:rPr>
        <w:t xml:space="preserve"> y 4 fracción I y 6, fracción XXXVII</w:t>
      </w:r>
      <w:r w:rsidR="00FF141C">
        <w:rPr>
          <w:rFonts w:ascii="ITC Avant Garde" w:hAnsi="ITC Avant Garde"/>
        </w:rPr>
        <w:t xml:space="preserve"> y </w:t>
      </w:r>
      <w:r w:rsidR="00FF141C" w:rsidRPr="00FF141C">
        <w:rPr>
          <w:rFonts w:ascii="ITC Avant Garde" w:hAnsi="ITC Avant Garde"/>
          <w:lang w:val="es-ES_tradnl"/>
        </w:rPr>
        <w:t xml:space="preserve">55 </w:t>
      </w:r>
      <w:r w:rsidR="00FF141C" w:rsidRPr="00FF141C">
        <w:rPr>
          <w:rFonts w:ascii="ITC Avant Garde" w:hAnsi="ITC Avant Garde"/>
        </w:rPr>
        <w:t>fracción III</w:t>
      </w:r>
      <w:r w:rsidR="003D50DE" w:rsidRPr="003D50DE">
        <w:rPr>
          <w:rFonts w:ascii="ITC Avant Garde" w:hAnsi="ITC Avant Garde"/>
        </w:rPr>
        <w:t xml:space="preserve">, del Estatuto Orgánico del Instituto Federal de </w:t>
      </w:r>
      <w:r w:rsidR="003D50DE" w:rsidRPr="003D50DE">
        <w:rPr>
          <w:rFonts w:ascii="ITC Avant Garde" w:hAnsi="ITC Avant Garde"/>
        </w:rPr>
        <w:lastRenderedPageBreak/>
        <w:t xml:space="preserve">Telecomunicaciones, el Pleno del Instituto Federal de Telecomunicaciones </w:t>
      </w:r>
      <w:r w:rsidR="00FF141C">
        <w:rPr>
          <w:rFonts w:ascii="ITC Avant Garde" w:hAnsi="ITC Avant Garde"/>
        </w:rPr>
        <w:t xml:space="preserve">emite los </w:t>
      </w:r>
      <w:r w:rsidRPr="00D974D4">
        <w:rPr>
          <w:rFonts w:ascii="ITC Avant Garde" w:hAnsi="ITC Avant Garde"/>
        </w:rPr>
        <w:t>siguiente</w:t>
      </w:r>
      <w:r w:rsidR="00B61B54">
        <w:rPr>
          <w:rFonts w:ascii="ITC Avant Garde" w:hAnsi="ITC Avant Garde"/>
        </w:rPr>
        <w:t>s</w:t>
      </w:r>
      <w:r w:rsidRPr="00D974D4">
        <w:rPr>
          <w:rFonts w:ascii="ITC Avant Garde" w:hAnsi="ITC Avant Garde"/>
        </w:rPr>
        <w:t>:</w:t>
      </w:r>
    </w:p>
    <w:p w14:paraId="0631AC80" w14:textId="77777777" w:rsidR="001F4691" w:rsidRPr="001F4691" w:rsidRDefault="001F4691" w:rsidP="00FE3747">
      <w:pPr>
        <w:spacing w:after="0"/>
        <w:jc w:val="both"/>
        <w:rPr>
          <w:rFonts w:ascii="ITC Avant Garde" w:hAnsi="ITC Avant Garde" w:cs="Arial"/>
          <w:b/>
        </w:rPr>
      </w:pPr>
    </w:p>
    <w:p w14:paraId="5054ED8B" w14:textId="77777777" w:rsidR="004D3C02" w:rsidRDefault="00AC04A2" w:rsidP="000C1BE1">
      <w:pPr>
        <w:widowControl w:val="0"/>
        <w:spacing w:after="0"/>
        <w:jc w:val="center"/>
        <w:outlineLvl w:val="2"/>
        <w:rPr>
          <w:rFonts w:ascii="ITC Avant Garde" w:hAnsi="ITC Avant Garde" w:cs="Arial"/>
          <w:b/>
        </w:rPr>
      </w:pPr>
      <w:r w:rsidRPr="000C1BE1">
        <w:rPr>
          <w:rFonts w:ascii="ITC Avant Garde" w:eastAsia="Times New Roman" w:hAnsi="ITC Avant Garde"/>
          <w:b/>
          <w:bCs/>
        </w:rPr>
        <w:t>RESOLUTIVOS</w:t>
      </w:r>
    </w:p>
    <w:p w14:paraId="113DE3FC" w14:textId="77777777" w:rsidR="004D3C02" w:rsidRDefault="004D3C02" w:rsidP="004D3C02">
      <w:pPr>
        <w:spacing w:after="0"/>
        <w:jc w:val="center"/>
        <w:rPr>
          <w:rFonts w:ascii="ITC Avant Garde" w:hAnsi="ITC Avant Garde" w:cs="Arial"/>
          <w:b/>
        </w:rPr>
      </w:pPr>
    </w:p>
    <w:p w14:paraId="0FFEFC15" w14:textId="77777777" w:rsidR="004D3C02" w:rsidRDefault="00946933" w:rsidP="004D3C02">
      <w:pPr>
        <w:spacing w:after="0"/>
        <w:jc w:val="both"/>
        <w:rPr>
          <w:rFonts w:ascii="ITC Avant Garde" w:hAnsi="ITC Avant Garde" w:cs="Arial"/>
          <w:b/>
        </w:rPr>
      </w:pPr>
      <w:r w:rsidRPr="00AC70DC">
        <w:rPr>
          <w:rFonts w:ascii="ITC Avant Garde" w:hAnsi="ITC Avant Garde" w:cs="Arial"/>
          <w:b/>
        </w:rPr>
        <w:t>PRIMERO</w:t>
      </w:r>
      <w:r w:rsidR="00502B82">
        <w:rPr>
          <w:rFonts w:ascii="ITC Avant Garde" w:hAnsi="ITC Avant Garde" w:cs="Arial"/>
        </w:rPr>
        <w:t xml:space="preserve">.- </w:t>
      </w:r>
      <w:r w:rsidR="009160B5">
        <w:rPr>
          <w:rFonts w:ascii="ITC Avant Garde" w:hAnsi="ITC Avant Garde" w:cs="Arial"/>
        </w:rPr>
        <w:t xml:space="preserve">En estricto cumplimiento a la </w:t>
      </w:r>
      <w:r w:rsidR="00E93FFA">
        <w:rPr>
          <w:rFonts w:ascii="ITC Avant Garde" w:hAnsi="ITC Avant Garde" w:cs="Arial"/>
        </w:rPr>
        <w:t xml:space="preserve">sentencia definitiva de 11 de junio de 2014 </w:t>
      </w:r>
      <w:r w:rsidR="00502B82">
        <w:rPr>
          <w:rFonts w:ascii="ITC Avant Garde" w:hAnsi="ITC Avant Garde" w:cs="Arial"/>
        </w:rPr>
        <w:t xml:space="preserve">se deja sin efectos el </w:t>
      </w:r>
      <w:r w:rsidR="00FE3747">
        <w:rPr>
          <w:rFonts w:ascii="ITC Avant Garde" w:hAnsi="ITC Avant Garde" w:cs="Arial"/>
        </w:rPr>
        <w:t xml:space="preserve">Acuerdo de Pleno </w:t>
      </w:r>
      <w:r w:rsidR="00502B82" w:rsidRPr="00502B82">
        <w:rPr>
          <w:rFonts w:ascii="ITC Avant Garde" w:hAnsi="ITC Avant Garde" w:cs="Arial"/>
        </w:rPr>
        <w:t>P/140410/236,</w:t>
      </w:r>
      <w:r w:rsidR="00502B82">
        <w:rPr>
          <w:rFonts w:ascii="ITC Avant Garde" w:hAnsi="ITC Avant Garde" w:cs="Arial"/>
        </w:rPr>
        <w:t xml:space="preserve"> de fecha 14 de abril de 2010,</w:t>
      </w:r>
      <w:r w:rsidR="00502B82" w:rsidRPr="00502B82">
        <w:rPr>
          <w:rFonts w:ascii="ITC Avant Garde" w:hAnsi="ITC Avant Garde" w:cs="Arial"/>
        </w:rPr>
        <w:t xml:space="preserve"> por el </w:t>
      </w:r>
      <w:r w:rsidR="00502B82" w:rsidRPr="001F4691">
        <w:rPr>
          <w:rFonts w:ascii="ITC Avant Garde" w:hAnsi="ITC Avant Garde" w:cs="Arial"/>
        </w:rPr>
        <w:t>cual resolvió la solicitud de desacuerdo de interconexión, presentado por Marcatel</w:t>
      </w:r>
      <w:r w:rsidR="00D525E0" w:rsidRPr="001F4691">
        <w:rPr>
          <w:rFonts w:ascii="ITC Avant Garde" w:hAnsi="ITC Avant Garde" w:cs="Arial"/>
        </w:rPr>
        <w:t>, en términos de lo establecido al Considerando Tercero</w:t>
      </w:r>
      <w:r w:rsidR="00502B82" w:rsidRPr="001F4691">
        <w:rPr>
          <w:rFonts w:ascii="ITC Avant Garde" w:hAnsi="ITC Avant Garde" w:cs="Arial"/>
        </w:rPr>
        <w:t>.</w:t>
      </w:r>
    </w:p>
    <w:p w14:paraId="707D0803" w14:textId="77777777" w:rsidR="00BD2512" w:rsidRDefault="00BD2512" w:rsidP="004D3C02">
      <w:pPr>
        <w:spacing w:after="0"/>
        <w:jc w:val="both"/>
        <w:rPr>
          <w:rFonts w:ascii="ITC Avant Garde" w:hAnsi="ITC Avant Garde" w:cs="Arial"/>
          <w:b/>
        </w:rPr>
      </w:pPr>
    </w:p>
    <w:p w14:paraId="67A0F27E" w14:textId="77777777" w:rsidR="004D3C02" w:rsidRDefault="008709E2" w:rsidP="004D3C02">
      <w:pPr>
        <w:spacing w:after="0"/>
        <w:jc w:val="both"/>
        <w:rPr>
          <w:rFonts w:ascii="ITC Avant Garde" w:hAnsi="ITC Avant Garde" w:cs="Arial"/>
        </w:rPr>
      </w:pPr>
      <w:r w:rsidRPr="001F4691">
        <w:rPr>
          <w:rFonts w:ascii="ITC Avant Garde" w:hAnsi="ITC Avant Garde" w:cs="Arial"/>
          <w:b/>
        </w:rPr>
        <w:t>SEGUNDO.-</w:t>
      </w:r>
      <w:r w:rsidRPr="001F4691">
        <w:rPr>
          <w:rFonts w:ascii="ITC Avant Garde" w:hAnsi="ITC Avant Garde" w:cs="Arial"/>
        </w:rPr>
        <w:t xml:space="preserve"> </w:t>
      </w:r>
      <w:r w:rsidR="00004E2E" w:rsidRPr="001F4691">
        <w:rPr>
          <w:rFonts w:ascii="ITC Avant Garde" w:hAnsi="ITC Avant Garde" w:cs="Arial"/>
        </w:rPr>
        <w:t xml:space="preserve">Se hace del conocimiento de </w:t>
      </w:r>
      <w:r w:rsidR="0053034A" w:rsidRPr="001F4691">
        <w:rPr>
          <w:rFonts w:ascii="ITC Avant Garde" w:hAnsi="ITC Avant Garde" w:cs="Arial"/>
        </w:rPr>
        <w:t xml:space="preserve">Teléfonos de México, S.A.B. de C.V., </w:t>
      </w:r>
      <w:r w:rsidR="00004E2E" w:rsidRPr="001F4691">
        <w:rPr>
          <w:rFonts w:ascii="ITC Avant Garde" w:hAnsi="ITC Avant Garde" w:cs="Arial"/>
        </w:rPr>
        <w:t>y de conformidad</w:t>
      </w:r>
      <w:r w:rsidR="00004E2E">
        <w:rPr>
          <w:rFonts w:ascii="ITC Avant Garde" w:hAnsi="ITC Avant Garde" w:cs="Arial"/>
        </w:rPr>
        <w:t xml:space="preserve"> con lo expuesto en el C</w:t>
      </w:r>
      <w:r w:rsidR="00004E2E" w:rsidRPr="00004E2E">
        <w:rPr>
          <w:rFonts w:ascii="ITC Avant Garde" w:hAnsi="ITC Avant Garde" w:cs="Arial"/>
        </w:rPr>
        <w:t xml:space="preserve">onsiderando </w:t>
      </w:r>
      <w:r w:rsidR="00004E2E">
        <w:rPr>
          <w:rFonts w:ascii="ITC Avant Garde" w:hAnsi="ITC Avant Garde" w:cs="Arial"/>
        </w:rPr>
        <w:t>Tercero</w:t>
      </w:r>
      <w:r w:rsidR="00004E2E" w:rsidRPr="00004E2E">
        <w:rPr>
          <w:rFonts w:ascii="ITC Avant Garde" w:hAnsi="ITC Avant Garde" w:cs="Arial"/>
        </w:rPr>
        <w:t xml:space="preserve">, que derivado del Acuerdo de Puntos de Interconexión, se encuentra obligado a </w:t>
      </w:r>
      <w:r w:rsidR="00502B82">
        <w:rPr>
          <w:rFonts w:ascii="ITC Avant Garde" w:hAnsi="ITC Avant Garde" w:cs="Arial"/>
        </w:rPr>
        <w:t>proporcionar a</w:t>
      </w:r>
      <w:r w:rsidR="0053034A" w:rsidRPr="0053034A">
        <w:rPr>
          <w:rFonts w:ascii="ITC Avant Garde" w:hAnsi="ITC Avant Garde" w:cs="Arial"/>
        </w:rPr>
        <w:t xml:space="preserve"> </w:t>
      </w:r>
      <w:proofErr w:type="spellStart"/>
      <w:r w:rsidR="0053034A" w:rsidRPr="0053034A">
        <w:rPr>
          <w:rFonts w:ascii="ITC Avant Garde" w:hAnsi="ITC Avant Garde" w:cs="Arial"/>
        </w:rPr>
        <w:t>Marcatel</w:t>
      </w:r>
      <w:proofErr w:type="spellEnd"/>
      <w:r w:rsidR="0053034A">
        <w:rPr>
          <w:rFonts w:ascii="ITC Avant Garde" w:hAnsi="ITC Avant Garde" w:cs="Arial"/>
        </w:rPr>
        <w:t xml:space="preserve"> </w:t>
      </w:r>
      <w:proofErr w:type="spellStart"/>
      <w:r w:rsidR="0053034A">
        <w:rPr>
          <w:rFonts w:ascii="ITC Avant Garde" w:hAnsi="ITC Avant Garde" w:cs="Arial"/>
        </w:rPr>
        <w:t>Com</w:t>
      </w:r>
      <w:proofErr w:type="spellEnd"/>
      <w:r w:rsidR="0053034A" w:rsidRPr="0053034A">
        <w:rPr>
          <w:rFonts w:ascii="ITC Avant Garde" w:hAnsi="ITC Avant Garde" w:cs="Arial"/>
        </w:rPr>
        <w:t>,</w:t>
      </w:r>
      <w:r w:rsidR="0053034A">
        <w:rPr>
          <w:rFonts w:ascii="ITC Avant Garde" w:hAnsi="ITC Avant Garde" w:cs="Arial"/>
        </w:rPr>
        <w:t xml:space="preserve"> S.A. de C.V.,</w:t>
      </w:r>
      <w:r w:rsidR="0053034A" w:rsidRPr="0053034A">
        <w:rPr>
          <w:rFonts w:ascii="ITC Avant Garde" w:hAnsi="ITC Avant Garde" w:cs="Arial"/>
        </w:rPr>
        <w:t xml:space="preserve"> </w:t>
      </w:r>
      <w:r w:rsidR="0053034A" w:rsidRPr="00502B82">
        <w:rPr>
          <w:rFonts w:ascii="ITC Avant Garde" w:hAnsi="ITC Avant Garde" w:cs="Arial"/>
        </w:rPr>
        <w:t>la ubicación de</w:t>
      </w:r>
      <w:r w:rsidR="0053034A" w:rsidRPr="0053034A">
        <w:rPr>
          <w:rFonts w:ascii="ITC Avant Garde" w:hAnsi="ITC Avant Garde" w:cs="Arial"/>
        </w:rPr>
        <w:t xml:space="preserve"> los </w:t>
      </w:r>
      <w:r w:rsidR="00E93FFA">
        <w:rPr>
          <w:rFonts w:ascii="ITC Avant Garde" w:hAnsi="ITC Avant Garde" w:cs="Arial"/>
        </w:rPr>
        <w:t>Puntos de Interconexión (</w:t>
      </w:r>
      <w:proofErr w:type="spellStart"/>
      <w:r w:rsidR="0053034A" w:rsidRPr="0053034A">
        <w:rPr>
          <w:rFonts w:ascii="ITC Avant Garde" w:hAnsi="ITC Avant Garde" w:cs="Arial"/>
        </w:rPr>
        <w:t>PDIC's</w:t>
      </w:r>
      <w:proofErr w:type="spellEnd"/>
      <w:r w:rsidR="00E93FFA">
        <w:rPr>
          <w:rFonts w:ascii="ITC Avant Garde" w:hAnsi="ITC Avant Garde" w:cs="Arial"/>
        </w:rPr>
        <w:t>)</w:t>
      </w:r>
      <w:r w:rsidR="0053034A" w:rsidRPr="0053034A">
        <w:rPr>
          <w:rFonts w:ascii="ITC Avant Garde" w:hAnsi="ITC Avant Garde" w:cs="Arial"/>
        </w:rPr>
        <w:t xml:space="preserve"> para poder interconectar </w:t>
      </w:r>
      <w:r w:rsidR="0053034A" w:rsidRPr="001F4691">
        <w:rPr>
          <w:rFonts w:ascii="ITC Avant Garde" w:hAnsi="ITC Avant Garde" w:cs="Arial"/>
        </w:rPr>
        <w:t>sus redes públicas de telecomuni</w:t>
      </w:r>
      <w:r w:rsidR="00937697" w:rsidRPr="001F4691">
        <w:rPr>
          <w:rFonts w:ascii="ITC Avant Garde" w:hAnsi="ITC Avant Garde" w:cs="Arial"/>
        </w:rPr>
        <w:t>caciones en</w:t>
      </w:r>
      <w:r w:rsidR="003B66EE" w:rsidRPr="001F4691">
        <w:rPr>
          <w:rFonts w:ascii="ITC Avant Garde" w:hAnsi="ITC Avant Garde" w:cs="Arial"/>
        </w:rPr>
        <w:t xml:space="preserve"> </w:t>
      </w:r>
      <w:r w:rsidR="001F4691">
        <w:rPr>
          <w:rFonts w:ascii="ITC Avant Garde" w:hAnsi="ITC Avant Garde" w:cs="Arial"/>
        </w:rPr>
        <w:t>las localidades señaladas en el</w:t>
      </w:r>
      <w:r w:rsidR="004D3C02">
        <w:rPr>
          <w:rFonts w:ascii="ITC Avant Garde" w:hAnsi="ITC Avant Garde" w:cs="Arial"/>
        </w:rPr>
        <w:t xml:space="preserve"> </w:t>
      </w:r>
      <w:r w:rsidR="001F4691">
        <w:rPr>
          <w:rFonts w:ascii="ITC Avant Garde" w:hAnsi="ITC Avant Garde" w:cs="Arial"/>
        </w:rPr>
        <w:t xml:space="preserve">Antecedentes </w:t>
      </w:r>
      <w:r w:rsidR="003B66EE" w:rsidRPr="001F4691">
        <w:rPr>
          <w:rFonts w:ascii="ITC Avant Garde" w:hAnsi="ITC Avant Garde" w:cs="Arial"/>
        </w:rPr>
        <w:t>I de la presente Resolución</w:t>
      </w:r>
      <w:r w:rsidR="00937697" w:rsidRPr="001F4691">
        <w:rPr>
          <w:rFonts w:ascii="ITC Avant Garde" w:hAnsi="ITC Avant Garde" w:cs="Arial"/>
        </w:rPr>
        <w:t xml:space="preserve">, </w:t>
      </w:r>
      <w:r w:rsidR="00B1709B" w:rsidRPr="001F4691">
        <w:rPr>
          <w:rFonts w:ascii="ITC Avant Garde" w:hAnsi="ITC Avant Garde" w:cs="Arial"/>
        </w:rPr>
        <w:t xml:space="preserve">en un plazo máximo de 5 días hábiles a partir de la notificación de la presente Resolución, </w:t>
      </w:r>
      <w:r w:rsidR="00937697" w:rsidRPr="001F4691">
        <w:rPr>
          <w:rFonts w:ascii="ITC Avant Garde" w:hAnsi="ITC Avant Garde" w:cs="Arial"/>
        </w:rPr>
        <w:t>dentro de la cual deberá considerarse:</w:t>
      </w:r>
      <w:r w:rsidR="00B1709B" w:rsidRPr="001F4691">
        <w:rPr>
          <w:rFonts w:ascii="ITC Avant Garde" w:hAnsi="ITC Avant Garde" w:cs="Arial"/>
        </w:rPr>
        <w:t xml:space="preserve"> </w:t>
      </w:r>
    </w:p>
    <w:p w14:paraId="6A7DBDCF" w14:textId="77777777" w:rsidR="004D3C02" w:rsidRDefault="004D3C02" w:rsidP="004D3C02">
      <w:pPr>
        <w:spacing w:after="0"/>
        <w:jc w:val="both"/>
        <w:rPr>
          <w:rFonts w:ascii="ITC Avant Garde" w:hAnsi="ITC Avant Garde" w:cs="Arial"/>
        </w:rPr>
      </w:pPr>
    </w:p>
    <w:p w14:paraId="71F5F251" w14:textId="77777777" w:rsidR="004D3C02" w:rsidRPr="004D3C02" w:rsidRDefault="00937697" w:rsidP="004D3C02">
      <w:pPr>
        <w:pStyle w:val="Prrafodelista"/>
        <w:numPr>
          <w:ilvl w:val="0"/>
          <w:numId w:val="15"/>
        </w:numPr>
        <w:spacing w:line="276" w:lineRule="auto"/>
        <w:rPr>
          <w:rFonts w:ascii="ITC Avant Garde" w:hAnsi="ITC Avant Garde"/>
        </w:rPr>
      </w:pPr>
      <w:r w:rsidRPr="004D3C02">
        <w:rPr>
          <w:rFonts w:ascii="ITC Avant Garde" w:hAnsi="ITC Avant Garde"/>
        </w:rPr>
        <w:t>Nombre y códigos de identificación.</w:t>
      </w:r>
    </w:p>
    <w:p w14:paraId="1546B2A9" w14:textId="77777777" w:rsidR="004D3C02" w:rsidRPr="004D3C02" w:rsidRDefault="00937697" w:rsidP="004D3C02">
      <w:pPr>
        <w:pStyle w:val="Prrafodelista"/>
        <w:numPr>
          <w:ilvl w:val="0"/>
          <w:numId w:val="15"/>
        </w:numPr>
        <w:spacing w:line="276" w:lineRule="auto"/>
        <w:rPr>
          <w:rFonts w:ascii="ITC Avant Garde" w:hAnsi="ITC Avant Garde"/>
        </w:rPr>
      </w:pPr>
      <w:r w:rsidRPr="004D3C02">
        <w:rPr>
          <w:rFonts w:ascii="ITC Avant Garde" w:hAnsi="ITC Avant Garde"/>
        </w:rPr>
        <w:t>Dirección postal y coordenadas geográficas.</w:t>
      </w:r>
    </w:p>
    <w:p w14:paraId="5ED8BD71" w14:textId="77777777" w:rsidR="004D3C02" w:rsidRPr="004D3C02" w:rsidRDefault="00937697" w:rsidP="004D3C02">
      <w:pPr>
        <w:pStyle w:val="Prrafodelista"/>
        <w:numPr>
          <w:ilvl w:val="0"/>
          <w:numId w:val="15"/>
        </w:numPr>
        <w:spacing w:line="276" w:lineRule="auto"/>
        <w:rPr>
          <w:rFonts w:ascii="ITC Avant Garde" w:hAnsi="ITC Avant Garde"/>
        </w:rPr>
      </w:pPr>
      <w:r w:rsidRPr="004D3C02">
        <w:rPr>
          <w:rFonts w:ascii="ITC Avant Garde" w:hAnsi="ITC Avant Garde"/>
        </w:rPr>
        <w:t>Ubicación de los pares de Puntos de Transferencia de Señalización.</w:t>
      </w:r>
    </w:p>
    <w:p w14:paraId="11900832" w14:textId="77777777" w:rsidR="004D3C02" w:rsidRPr="004D3C02" w:rsidRDefault="00937697" w:rsidP="004D3C02">
      <w:pPr>
        <w:pStyle w:val="Prrafodelista"/>
        <w:numPr>
          <w:ilvl w:val="0"/>
          <w:numId w:val="15"/>
        </w:numPr>
        <w:spacing w:line="276" w:lineRule="auto"/>
        <w:rPr>
          <w:rFonts w:ascii="ITC Avant Garde" w:hAnsi="ITC Avant Garde"/>
        </w:rPr>
      </w:pPr>
      <w:r w:rsidRPr="004D3C02">
        <w:rPr>
          <w:rFonts w:ascii="ITC Avant Garde" w:hAnsi="ITC Avant Garde"/>
        </w:rPr>
        <w:t>Puntos de Transferencia de Señalización a los que está interconectado cada Punto de Interconexión.</w:t>
      </w:r>
    </w:p>
    <w:p w14:paraId="745FC1EC" w14:textId="77777777" w:rsidR="004D3C02" w:rsidRPr="004D3C02" w:rsidRDefault="00937697" w:rsidP="004D3C02">
      <w:pPr>
        <w:pStyle w:val="Prrafodelista"/>
        <w:numPr>
          <w:ilvl w:val="0"/>
          <w:numId w:val="15"/>
        </w:numPr>
        <w:spacing w:line="276" w:lineRule="auto"/>
        <w:rPr>
          <w:rFonts w:ascii="ITC Avant Garde" w:hAnsi="ITC Avant Garde"/>
        </w:rPr>
      </w:pPr>
      <w:r w:rsidRPr="004D3C02">
        <w:rPr>
          <w:rFonts w:ascii="ITC Avant Garde" w:hAnsi="ITC Avant Garde"/>
        </w:rPr>
        <w:t>Códigos de puntos de s</w:t>
      </w:r>
      <w:r w:rsidR="004D3C02" w:rsidRPr="004D3C02">
        <w:rPr>
          <w:rFonts w:ascii="ITC Avant Garde" w:hAnsi="ITC Avant Garde"/>
        </w:rPr>
        <w:t>eñalización de origen y destino.</w:t>
      </w:r>
    </w:p>
    <w:p w14:paraId="5F4F6C6F" w14:textId="77777777" w:rsidR="00BD2512" w:rsidRDefault="00BD2512" w:rsidP="004D3C02">
      <w:pPr>
        <w:spacing w:after="0"/>
        <w:jc w:val="both"/>
        <w:rPr>
          <w:rFonts w:ascii="ITC Avant Garde" w:hAnsi="ITC Avant Garde" w:cs="Arial"/>
          <w:b/>
        </w:rPr>
      </w:pPr>
    </w:p>
    <w:p w14:paraId="4C084B4B" w14:textId="77777777" w:rsidR="004D3C02" w:rsidRDefault="008709E2" w:rsidP="004D3C02">
      <w:pPr>
        <w:spacing w:after="0"/>
        <w:jc w:val="both"/>
        <w:rPr>
          <w:rFonts w:ascii="ITC Avant Garde" w:hAnsi="ITC Avant Garde" w:cs="Arial"/>
        </w:rPr>
      </w:pPr>
      <w:r w:rsidRPr="001F4691">
        <w:rPr>
          <w:rFonts w:ascii="ITC Avant Garde" w:hAnsi="ITC Avant Garde" w:cs="Arial"/>
          <w:b/>
        </w:rPr>
        <w:t>TERCER</w:t>
      </w:r>
      <w:r w:rsidR="00502B82" w:rsidRPr="001F4691">
        <w:rPr>
          <w:rFonts w:ascii="ITC Avant Garde" w:hAnsi="ITC Avant Garde" w:cs="Arial"/>
          <w:b/>
        </w:rPr>
        <w:t>O</w:t>
      </w:r>
      <w:r w:rsidR="00D974D4" w:rsidRPr="001F4691">
        <w:rPr>
          <w:rFonts w:ascii="ITC Avant Garde" w:hAnsi="ITC Avant Garde" w:cs="Arial"/>
          <w:b/>
        </w:rPr>
        <w:t>.</w:t>
      </w:r>
      <w:r w:rsidR="0053034A" w:rsidRPr="001F4691">
        <w:rPr>
          <w:rFonts w:ascii="ITC Avant Garde" w:hAnsi="ITC Avant Garde" w:cs="Arial"/>
        </w:rPr>
        <w:t>-</w:t>
      </w:r>
      <w:r w:rsidR="00D974D4" w:rsidRPr="001F4691">
        <w:rPr>
          <w:rFonts w:ascii="ITC Avant Garde" w:hAnsi="ITC Avant Garde" w:cs="Arial"/>
        </w:rPr>
        <w:t xml:space="preserve"> Notifíquese personalmente a</w:t>
      </w:r>
      <w:r w:rsidR="0053034A" w:rsidRPr="001F4691">
        <w:rPr>
          <w:rFonts w:ascii="ITC Avant Garde" w:hAnsi="ITC Avant Garde" w:cs="Arial"/>
        </w:rPr>
        <w:t xml:space="preserve"> </w:t>
      </w:r>
      <w:r w:rsidR="00D974D4" w:rsidRPr="001F4691">
        <w:rPr>
          <w:rFonts w:ascii="ITC Avant Garde" w:hAnsi="ITC Avant Garde" w:cs="Arial"/>
        </w:rPr>
        <w:t>l</w:t>
      </w:r>
      <w:r w:rsidR="0053034A" w:rsidRPr="001F4691">
        <w:rPr>
          <w:rFonts w:ascii="ITC Avant Garde" w:hAnsi="ITC Avant Garde" w:cs="Arial"/>
        </w:rPr>
        <w:t>os</w:t>
      </w:r>
      <w:r w:rsidR="00D974D4" w:rsidRPr="001F4691">
        <w:rPr>
          <w:rFonts w:ascii="ITC Avant Garde" w:hAnsi="ITC Avant Garde" w:cs="Arial"/>
        </w:rPr>
        <w:t xml:space="preserve"> representante</w:t>
      </w:r>
      <w:r w:rsidR="0053034A" w:rsidRPr="001F4691">
        <w:rPr>
          <w:rFonts w:ascii="ITC Avant Garde" w:hAnsi="ITC Avant Garde" w:cs="Arial"/>
        </w:rPr>
        <w:t>s</w:t>
      </w:r>
      <w:r w:rsidR="00D974D4" w:rsidRPr="001F4691">
        <w:rPr>
          <w:rFonts w:ascii="ITC Avant Garde" w:hAnsi="ITC Avant Garde" w:cs="Arial"/>
        </w:rPr>
        <w:t xml:space="preserve"> legal</w:t>
      </w:r>
      <w:r w:rsidR="0053034A" w:rsidRPr="001F4691">
        <w:rPr>
          <w:rFonts w:ascii="ITC Avant Garde" w:hAnsi="ITC Avant Garde" w:cs="Arial"/>
        </w:rPr>
        <w:t>es</w:t>
      </w:r>
      <w:r w:rsidR="00BE252E" w:rsidRPr="001F4691">
        <w:rPr>
          <w:rFonts w:ascii="ITC Avant Garde" w:hAnsi="ITC Avant Garde" w:cs="Arial"/>
        </w:rPr>
        <w:t xml:space="preserve"> </w:t>
      </w:r>
      <w:r w:rsidR="00D974D4" w:rsidRPr="001F4691">
        <w:rPr>
          <w:rFonts w:ascii="ITC Avant Garde" w:hAnsi="ITC Avant Garde" w:cs="Arial"/>
        </w:rPr>
        <w:t>de Teléfonos de México S.A.B de C.V.</w:t>
      </w:r>
      <w:r w:rsidR="0053034A" w:rsidRPr="001F4691">
        <w:rPr>
          <w:rFonts w:ascii="ITC Avant Garde" w:hAnsi="ITC Avant Garde" w:cs="Arial"/>
        </w:rPr>
        <w:t xml:space="preserve">, </w:t>
      </w:r>
      <w:r w:rsidRPr="001F4691">
        <w:rPr>
          <w:rFonts w:ascii="ITC Avant Garde" w:hAnsi="ITC Avant Garde" w:cs="Arial"/>
        </w:rPr>
        <w:t xml:space="preserve">y de </w:t>
      </w:r>
      <w:proofErr w:type="spellStart"/>
      <w:r w:rsidRPr="001F4691">
        <w:rPr>
          <w:rFonts w:ascii="ITC Avant Garde" w:hAnsi="ITC Avant Garde" w:cs="Arial"/>
        </w:rPr>
        <w:t>Marcatel</w:t>
      </w:r>
      <w:proofErr w:type="spellEnd"/>
      <w:r w:rsidRPr="001F4691">
        <w:rPr>
          <w:rFonts w:ascii="ITC Avant Garde" w:hAnsi="ITC Avant Garde" w:cs="Arial"/>
        </w:rPr>
        <w:t xml:space="preserve"> </w:t>
      </w:r>
      <w:proofErr w:type="spellStart"/>
      <w:r w:rsidRPr="001F4691">
        <w:rPr>
          <w:rFonts w:ascii="ITC Avant Garde" w:hAnsi="ITC Avant Garde" w:cs="Arial"/>
        </w:rPr>
        <w:t>Com</w:t>
      </w:r>
      <w:proofErr w:type="spellEnd"/>
      <w:r w:rsidRPr="001F4691">
        <w:rPr>
          <w:rFonts w:ascii="ITC Avant Garde" w:hAnsi="ITC Avant Garde" w:cs="Arial"/>
        </w:rPr>
        <w:t>, S</w:t>
      </w:r>
      <w:r w:rsidR="004D3C02">
        <w:rPr>
          <w:rFonts w:ascii="ITC Avant Garde" w:hAnsi="ITC Avant Garde" w:cs="Arial"/>
        </w:rPr>
        <w:t>.A. de C.V.</w:t>
      </w:r>
    </w:p>
    <w:p w14:paraId="0A93F5ED" w14:textId="77777777" w:rsidR="00BD2512" w:rsidRDefault="00BD2512" w:rsidP="004D3C02">
      <w:pPr>
        <w:spacing w:after="0"/>
        <w:jc w:val="both"/>
        <w:rPr>
          <w:rFonts w:ascii="ITC Avant Garde" w:hAnsi="ITC Avant Garde" w:cs="Arial"/>
        </w:rPr>
      </w:pPr>
    </w:p>
    <w:p w14:paraId="5F16710E" w14:textId="753D56D5" w:rsidR="0039399A" w:rsidRPr="001F4691" w:rsidRDefault="0039399A" w:rsidP="004D3C02">
      <w:pPr>
        <w:spacing w:after="0"/>
        <w:jc w:val="both"/>
        <w:rPr>
          <w:rFonts w:ascii="ITC Avant Garde" w:hAnsi="ITC Avant Garde" w:cs="Arial"/>
        </w:rPr>
      </w:pPr>
      <w:r w:rsidRPr="001F4691">
        <w:rPr>
          <w:rFonts w:ascii="ITC Avant Garde" w:hAnsi="ITC Avant Garde" w:cs="Arial"/>
          <w:b/>
        </w:rPr>
        <w:t>CUARTO</w:t>
      </w:r>
      <w:r w:rsidRPr="001F4691">
        <w:rPr>
          <w:rFonts w:ascii="ITC Avant Garde" w:hAnsi="ITC Avant Garde" w:cs="Arial"/>
          <w:b/>
          <w:snapToGrid w:val="0"/>
        </w:rPr>
        <w:t>.-</w:t>
      </w:r>
      <w:r w:rsidRPr="001F4691">
        <w:rPr>
          <w:rFonts w:ascii="ITC Avant Garde" w:hAnsi="ITC Avant Garde" w:cs="Arial"/>
        </w:rPr>
        <w:t xml:space="preserve"> </w:t>
      </w:r>
      <w:r w:rsidRPr="001F4691">
        <w:rPr>
          <w:rFonts w:ascii="ITC Avant Garde" w:hAnsi="ITC Avant Garde"/>
          <w:lang w:val="es-ES" w:eastAsia="ar-SA"/>
        </w:rPr>
        <w:t xml:space="preserve">Se instruye a la Unidad de Asuntos Jurídicos, para que una vez que reciba copia certificada de la presente resolución, gire oficio al </w:t>
      </w:r>
      <w:r w:rsidR="0053034A" w:rsidRPr="001F4691">
        <w:rPr>
          <w:rFonts w:ascii="ITC Avant Garde" w:hAnsi="ITC Avant Garde"/>
          <w:lang w:val="es-ES" w:eastAsia="ar-SA"/>
        </w:rPr>
        <w:t>Pleno de Sala Superior del Tribunal Federal de Justicia Fiscal y Administrativa</w:t>
      </w:r>
      <w:r w:rsidRPr="001F4691">
        <w:rPr>
          <w:rFonts w:ascii="ITC Avant Garde" w:hAnsi="ITC Avant Garde"/>
          <w:lang w:eastAsia="ar-SA"/>
        </w:rPr>
        <w:t>, en los autos del juicio</w:t>
      </w:r>
      <w:r w:rsidR="0053034A" w:rsidRPr="001F4691">
        <w:rPr>
          <w:rFonts w:ascii="ITC Avant Garde" w:hAnsi="ITC Avant Garde"/>
          <w:lang w:eastAsia="ar-SA"/>
        </w:rPr>
        <w:t xml:space="preserve"> de nulidad </w:t>
      </w:r>
      <w:r w:rsidRPr="001F4691">
        <w:rPr>
          <w:rFonts w:ascii="ITC Avant Garde" w:hAnsi="ITC Avant Garde"/>
          <w:lang w:eastAsia="ar-SA"/>
        </w:rPr>
        <w:t xml:space="preserve"> </w:t>
      </w:r>
      <w:r w:rsidR="0053034A" w:rsidRPr="001F4691">
        <w:rPr>
          <w:rFonts w:ascii="ITC Avant Garde" w:hAnsi="ITC Avant Garde"/>
          <w:b/>
          <w:bCs/>
          <w:iCs/>
          <w:lang w:eastAsia="ar-SA"/>
        </w:rPr>
        <w:t>107/11-EOR-01-8/1128/12-PL-06-04</w:t>
      </w:r>
      <w:r w:rsidRPr="001F4691">
        <w:rPr>
          <w:rFonts w:ascii="ITC Avant Garde" w:hAnsi="ITC Avant Garde"/>
          <w:lang w:eastAsia="ar-SA"/>
        </w:rPr>
        <w:t>, a efecto de informar y acreditar el debido</w:t>
      </w:r>
      <w:r w:rsidRPr="0039399A">
        <w:rPr>
          <w:rFonts w:ascii="ITC Avant Garde" w:hAnsi="ITC Avant Garde"/>
          <w:lang w:eastAsia="ar-SA"/>
        </w:rPr>
        <w:t xml:space="preserve"> cumplimiento a la </w:t>
      </w:r>
      <w:r w:rsidR="00E93FFA">
        <w:rPr>
          <w:rFonts w:ascii="ITC Avant Garde" w:hAnsi="ITC Avant Garde"/>
          <w:lang w:eastAsia="ar-SA"/>
        </w:rPr>
        <w:t xml:space="preserve">resolución de fecha 11 de junio de 2014 en relación con la diversa de </w:t>
      </w:r>
      <w:r w:rsidR="0053034A">
        <w:rPr>
          <w:rFonts w:ascii="ITC Avant Garde" w:hAnsi="ITC Avant Garde"/>
          <w:lang w:eastAsia="ar-SA"/>
        </w:rPr>
        <w:t xml:space="preserve">abril de 2016 </w:t>
      </w:r>
      <w:r w:rsidRPr="0039399A">
        <w:rPr>
          <w:rFonts w:ascii="ITC Avant Garde" w:hAnsi="ITC Avant Garde"/>
          <w:lang w:eastAsia="ar-SA"/>
        </w:rPr>
        <w:t>dictada</w:t>
      </w:r>
      <w:r w:rsidR="00E93FFA">
        <w:rPr>
          <w:rFonts w:ascii="ITC Avant Garde" w:hAnsi="ITC Avant Garde"/>
          <w:lang w:eastAsia="ar-SA"/>
        </w:rPr>
        <w:t>s</w:t>
      </w:r>
      <w:r w:rsidRPr="0039399A">
        <w:rPr>
          <w:rFonts w:ascii="ITC Avant Garde" w:hAnsi="ITC Avant Garde"/>
          <w:lang w:eastAsia="ar-SA"/>
        </w:rPr>
        <w:t xml:space="preserve"> por </w:t>
      </w:r>
      <w:r w:rsidR="0053034A">
        <w:rPr>
          <w:rFonts w:ascii="ITC Avant Garde" w:hAnsi="ITC Avant Garde"/>
          <w:lang w:eastAsia="ar-SA"/>
        </w:rPr>
        <w:t>esa Juzgadora</w:t>
      </w:r>
      <w:r w:rsidRPr="0039399A">
        <w:rPr>
          <w:rFonts w:ascii="ITC Avant Garde" w:hAnsi="ITC Avant Garde"/>
          <w:lang w:eastAsia="ar-SA"/>
        </w:rPr>
        <w:t>.</w:t>
      </w:r>
    </w:p>
    <w:p w14:paraId="7AFC132E" w14:textId="77777777" w:rsidR="0039399A" w:rsidRPr="00AC70DC" w:rsidRDefault="0039399A" w:rsidP="004D3C02">
      <w:pPr>
        <w:spacing w:after="0"/>
        <w:jc w:val="both"/>
        <w:rPr>
          <w:rFonts w:ascii="ITC Avant Garde" w:hAnsi="ITC Avant Garde" w:cs="Arial"/>
          <w:b/>
        </w:rPr>
      </w:pPr>
    </w:p>
    <w:p w14:paraId="3E218B1C" w14:textId="0678BAA9" w:rsidR="00401048" w:rsidRDefault="00401048" w:rsidP="00401048">
      <w:pPr>
        <w:pStyle w:val="Sinespaciado"/>
        <w:jc w:val="both"/>
        <w:rPr>
          <w:rFonts w:ascii="ITC Avant Garde" w:hAnsi="ITC Avant Garde"/>
          <w:bCs/>
          <w:color w:val="000000"/>
          <w:lang w:eastAsia="es-MX"/>
        </w:rPr>
      </w:pPr>
      <w:r w:rsidRPr="00401048">
        <w:rPr>
          <w:rFonts w:ascii="ITC Avant Garde" w:hAnsi="ITC Avant Garde"/>
          <w:sz w:val="14"/>
        </w:rPr>
        <w:t>La presente Resolución fue aprobada por el Pleno del Instituto Federal de Telecomunicaciones en su XIV Sesión Ordinaria celebrada el 8 de junio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P/IFT/080616/239.</w:t>
      </w:r>
    </w:p>
    <w:sectPr w:rsidR="00401048" w:rsidSect="004D3C02">
      <w:headerReference w:type="even" r:id="rId11"/>
      <w:footerReference w:type="default" r:id="rId12"/>
      <w:headerReference w:type="first" r:id="rId13"/>
      <w:pgSz w:w="12240" w:h="15840" w:code="1"/>
      <w:pgMar w:top="1985"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EA216" w14:textId="77777777" w:rsidR="00401048" w:rsidRDefault="00401048" w:rsidP="00072BC8">
      <w:pPr>
        <w:spacing w:after="0" w:line="240" w:lineRule="auto"/>
      </w:pPr>
      <w:r>
        <w:separator/>
      </w:r>
    </w:p>
  </w:endnote>
  <w:endnote w:type="continuationSeparator" w:id="0">
    <w:p w14:paraId="28131DBA" w14:textId="77777777" w:rsidR="00401048" w:rsidRDefault="00401048"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689150"/>
      <w:docPartObj>
        <w:docPartGallery w:val="Page Numbers (Bottom of Page)"/>
        <w:docPartUnique/>
      </w:docPartObj>
    </w:sdtPr>
    <w:sdtEndPr/>
    <w:sdtContent>
      <w:p w14:paraId="45000B65" w14:textId="77777777" w:rsidR="00401048" w:rsidRDefault="00401048">
        <w:pPr>
          <w:pStyle w:val="Piedepgina"/>
          <w:jc w:val="right"/>
        </w:pPr>
        <w:r>
          <w:fldChar w:fldCharType="begin"/>
        </w:r>
        <w:r>
          <w:instrText>PAGE   \* MERGEFORMAT</w:instrText>
        </w:r>
        <w:r>
          <w:fldChar w:fldCharType="separate"/>
        </w:r>
        <w:r w:rsidR="000C1BE1" w:rsidRPr="000C1BE1">
          <w:rPr>
            <w:noProof/>
            <w:lang w:val="es-ES"/>
          </w:rPr>
          <w:t>9</w:t>
        </w:r>
        <w:r>
          <w:fldChar w:fldCharType="end"/>
        </w:r>
      </w:p>
    </w:sdtContent>
  </w:sdt>
  <w:p w14:paraId="2DC1ED5F" w14:textId="77777777" w:rsidR="00401048" w:rsidRDefault="00401048" w:rsidP="000377C2">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C19A5" w14:textId="77777777" w:rsidR="00401048" w:rsidRDefault="00401048" w:rsidP="00072BC8">
      <w:pPr>
        <w:spacing w:after="0" w:line="240" w:lineRule="auto"/>
      </w:pPr>
      <w:r>
        <w:separator/>
      </w:r>
    </w:p>
  </w:footnote>
  <w:footnote w:type="continuationSeparator" w:id="0">
    <w:p w14:paraId="1504676D" w14:textId="77777777" w:rsidR="00401048" w:rsidRDefault="00401048" w:rsidP="00072BC8">
      <w:pPr>
        <w:spacing w:after="0" w:line="240" w:lineRule="auto"/>
      </w:pPr>
      <w:r>
        <w:continuationSeparator/>
      </w:r>
    </w:p>
  </w:footnote>
  <w:footnote w:id="1">
    <w:p w14:paraId="40FF571E" w14:textId="104EE55F" w:rsidR="00401048" w:rsidRPr="002F20CD" w:rsidRDefault="00401048" w:rsidP="00E93FFA">
      <w:pPr>
        <w:pStyle w:val="Textonotapie"/>
        <w:jc w:val="both"/>
        <w:rPr>
          <w:rFonts w:ascii="ITC Avant Garde" w:hAnsi="ITC Avant Garde"/>
          <w:sz w:val="16"/>
          <w:szCs w:val="16"/>
          <w:lang w:val="es-MX"/>
        </w:rPr>
      </w:pPr>
      <w:r>
        <w:rPr>
          <w:rStyle w:val="Refdenotaalpie"/>
        </w:rPr>
        <w:footnoteRef/>
      </w:r>
      <w:r>
        <w:t xml:space="preserve"> </w:t>
      </w:r>
      <w:r w:rsidRPr="002F20CD">
        <w:rPr>
          <w:rFonts w:ascii="ITC Avant Garde" w:hAnsi="ITC Avant Garde"/>
          <w:sz w:val="16"/>
          <w:szCs w:val="16"/>
          <w:lang w:val="es-MX"/>
        </w:rPr>
        <w:t>Resulta aplicable, por identidad de razón, la Tesis I.1o.A.E.8 K (10a.), de la Décima Época, con número de Registro 2006773, Materia(s): Común, sustentada por el Primer Tribunal Colegiado de Circuito en Materia Administrativa Especializado en Competencia Económica, Radiodifusión y Telecomunicaciones, consultable en la Gaceta del Semanario Judicial de la Federación, Libro 7, Junio de 2014, Tomo II, página 1731, de rubro y texto siguientes:</w:t>
      </w:r>
    </w:p>
    <w:p w14:paraId="1EBDF743" w14:textId="77777777" w:rsidR="00401048" w:rsidRPr="002F20CD" w:rsidRDefault="00401048" w:rsidP="00E93FFA">
      <w:pPr>
        <w:pStyle w:val="Textonotapie"/>
        <w:jc w:val="both"/>
        <w:rPr>
          <w:rFonts w:ascii="ITC Avant Garde" w:hAnsi="ITC Avant Garde"/>
          <w:sz w:val="16"/>
          <w:szCs w:val="16"/>
        </w:rPr>
      </w:pPr>
    </w:p>
    <w:p w14:paraId="7FDBE620" w14:textId="3135D7A0" w:rsidR="00401048" w:rsidRPr="002F20CD" w:rsidRDefault="00401048" w:rsidP="00E93FFA">
      <w:pPr>
        <w:pStyle w:val="Textonotapie"/>
        <w:jc w:val="both"/>
        <w:rPr>
          <w:rFonts w:ascii="ITC Avant Garde" w:hAnsi="ITC Avant Garde"/>
          <w:sz w:val="16"/>
          <w:szCs w:val="16"/>
        </w:rPr>
      </w:pPr>
      <w:r w:rsidRPr="002F20CD">
        <w:rPr>
          <w:rFonts w:ascii="ITC Avant Garde" w:hAnsi="ITC Avant Garde"/>
          <w:b/>
          <w:sz w:val="16"/>
          <w:szCs w:val="16"/>
        </w:rPr>
        <w:t>INSTITUTO FEDERAL DE TELECOMUNICACIONES. ES AUTORIDAD RESPONSABLE SUSTITUTA DE LA EXTINTA COMISIÓN FEDERAL DE COMPETENCIA, PARA LA PROCEDENCIA DEL JUICIO DE AMPARO.</w:t>
      </w:r>
      <w:r>
        <w:rPr>
          <w:rFonts w:ascii="ITC Avant Garde" w:hAnsi="ITC Avant Garde"/>
          <w:sz w:val="16"/>
          <w:szCs w:val="16"/>
        </w:rPr>
        <w:t xml:space="preserve"> </w:t>
      </w:r>
      <w:r w:rsidRPr="002F20CD">
        <w:rPr>
          <w:rFonts w:ascii="ITC Avant Garde" w:hAnsi="ITC Avant Garde"/>
          <w:sz w:val="16"/>
          <w:szCs w:val="16"/>
        </w:rPr>
        <w:t>El decreto por el que se reforman y adicionan diversas disposiciones de la Constitución Política de los Estados Unidos Mexicanos, en materia de telecomunicaciones, publicado en el Diario Oficial de la Federación el 11 de junio de 2013, específicamente, el artículo 28, párrafos décimo cuarto, décimo quinto y décimo sexto, creó la Comisión Federal de Competencia Económica y el Instituto Federal de Telecomunicaciones, los cuales quedaron debidamente integrados el 10 de septiembre de 2013(*), fecha en que éste asumió, entre otras facultades, aquellas en materia de competencia económica para el sector de telecomunicaciones y radiodifusión. En razón de lo anterior, no obstante que los actos reclamados en el juicio de amparo correspondan a un procedimiento iniciado por la extinta Comisión Federal de Competencia, para su procedencia, el Instituto Federal de Telecomunicaciones es autoridad responsable sustituta por mandato constitucional, pues, de obtener sentencia favorable, serán sus autoridades las encargadas de darle cumplimiento.</w:t>
      </w:r>
    </w:p>
    <w:p w14:paraId="32185FD3" w14:textId="77777777" w:rsidR="00401048" w:rsidRPr="002F20CD" w:rsidRDefault="00401048" w:rsidP="00E93FFA">
      <w:pPr>
        <w:pStyle w:val="Textonotapie"/>
        <w:jc w:val="both"/>
        <w:rPr>
          <w:rFonts w:ascii="ITC Avant Garde" w:hAnsi="ITC Avant Garde"/>
          <w:sz w:val="16"/>
          <w:szCs w:val="16"/>
        </w:rPr>
      </w:pPr>
    </w:p>
    <w:p w14:paraId="6C20E16A" w14:textId="77777777" w:rsidR="00401048" w:rsidRPr="002F20CD" w:rsidRDefault="00401048" w:rsidP="00E93FFA">
      <w:pPr>
        <w:pStyle w:val="Textonotapie"/>
        <w:jc w:val="both"/>
        <w:rPr>
          <w:rFonts w:ascii="ITC Avant Garde" w:hAnsi="ITC Avant Garde"/>
          <w:sz w:val="16"/>
          <w:szCs w:val="16"/>
        </w:rPr>
      </w:pPr>
      <w:r w:rsidRPr="002F20CD">
        <w:rPr>
          <w:rFonts w:ascii="ITC Avant Garde" w:hAnsi="ITC Avant Garde"/>
          <w:sz w:val="16"/>
          <w:szCs w:val="16"/>
        </w:rPr>
        <w:t>Nota: (*) Según se advierte del Diario de Debates del Senado de la República de diez de septiembre de dos mil trece, consultable en la dirección electrónica: http://www.senado.gob.mx/?ver=sp&amp;mn=3&amp;sm=2&amp;lg=62&amp;ano=1&amp;id=42918</w:t>
      </w:r>
    </w:p>
    <w:p w14:paraId="44748F73" w14:textId="77777777" w:rsidR="00401048" w:rsidRPr="002F20CD" w:rsidRDefault="00401048" w:rsidP="00E93FFA">
      <w:pPr>
        <w:pStyle w:val="Textonotapie"/>
        <w:jc w:val="both"/>
        <w:rPr>
          <w:rFonts w:ascii="ITC Avant Garde" w:hAnsi="ITC Avant Garde"/>
          <w:sz w:val="16"/>
          <w:szCs w:val="16"/>
        </w:rPr>
      </w:pPr>
    </w:p>
    <w:p w14:paraId="56EBBC15" w14:textId="46B01701" w:rsidR="00401048" w:rsidRPr="002F20CD" w:rsidRDefault="00401048" w:rsidP="00E93FFA">
      <w:pPr>
        <w:pStyle w:val="Textonotapie"/>
        <w:jc w:val="both"/>
        <w:rPr>
          <w:rFonts w:ascii="ITC Avant Garde" w:hAnsi="ITC Avant Garde"/>
          <w:sz w:val="16"/>
          <w:szCs w:val="16"/>
          <w:lang w:val="es-MX"/>
        </w:rPr>
      </w:pPr>
      <w:r w:rsidRPr="002F20CD">
        <w:rPr>
          <w:rFonts w:ascii="ITC Avant Garde" w:hAnsi="ITC Avant Garde"/>
          <w:sz w:val="16"/>
          <w:szCs w:val="16"/>
          <w:lang w:val="es-MX"/>
        </w:rPr>
        <w:t>Esta tesis se publicó el viernes 20 de junio de 2014 a las 10:35 horas en el Semanario Judicial de la Federación.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4669" w14:textId="77777777" w:rsidR="00401048" w:rsidRDefault="000C1BE1">
    <w:pPr>
      <w:pStyle w:val="Encabezado"/>
    </w:pPr>
    <w:r>
      <w:rPr>
        <w:noProof/>
        <w:lang w:eastAsia="es-MX"/>
      </w:rPr>
      <w:pict w14:anchorId="399A4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24551" w14:textId="77777777" w:rsidR="00401048" w:rsidRDefault="000C1BE1">
    <w:pPr>
      <w:pStyle w:val="Encabezado"/>
    </w:pPr>
    <w:r>
      <w:rPr>
        <w:noProof/>
        <w:lang w:eastAsia="es-MX"/>
      </w:rPr>
      <w:pict w14:anchorId="6F793B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5"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6"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3D245152"/>
    <w:multiLevelType w:val="hybridMultilevel"/>
    <w:tmpl w:val="1B248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E70EA2"/>
    <w:multiLevelType w:val="hybridMultilevel"/>
    <w:tmpl w:val="D85CD706"/>
    <w:lvl w:ilvl="0" w:tplc="CE924A3A">
      <w:start w:val="1"/>
      <w:numFmt w:val="upperRoman"/>
      <w:lvlText w:val="%1.-"/>
      <w:lvlJc w:val="left"/>
      <w:pPr>
        <w:ind w:left="1069" w:hanging="360"/>
      </w:pPr>
      <w:rPr>
        <w:rFonts w:ascii="Arial" w:hAnsi="Arial" w:hint="default"/>
        <w:b/>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13"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7051F1"/>
    <w:multiLevelType w:val="hybridMultilevel"/>
    <w:tmpl w:val="903AAAA6"/>
    <w:lvl w:ilvl="0" w:tplc="25BE4B30">
      <w:start w:val="1"/>
      <w:numFmt w:val="upperRoman"/>
      <w:lvlText w:val="%1."/>
      <w:lvlJc w:val="left"/>
      <w:pPr>
        <w:tabs>
          <w:tab w:val="num" w:pos="900"/>
        </w:tabs>
        <w:ind w:left="900" w:hanging="360"/>
      </w:pPr>
      <w:rPr>
        <w:rFonts w:hint="default"/>
        <w:b/>
        <w:i w:val="0"/>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5" w15:restartNumberingAfterBreak="0">
    <w:nsid w:val="6FD76A32"/>
    <w:multiLevelType w:val="hybridMultilevel"/>
    <w:tmpl w:val="1AB87A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2"/>
  </w:num>
  <w:num w:numId="3">
    <w:abstractNumId w:val="0"/>
  </w:num>
  <w:num w:numId="4">
    <w:abstractNumId w:val="1"/>
  </w:num>
  <w:num w:numId="5">
    <w:abstractNumId w:val="9"/>
  </w:num>
  <w:num w:numId="6">
    <w:abstractNumId w:val="6"/>
  </w:num>
  <w:num w:numId="7">
    <w:abstractNumId w:val="11"/>
  </w:num>
  <w:num w:numId="8">
    <w:abstractNumId w:val="4"/>
  </w:num>
  <w:num w:numId="9">
    <w:abstractNumId w:val="8"/>
  </w:num>
  <w:num w:numId="10">
    <w:abstractNumId w:val="3"/>
  </w:num>
  <w:num w:numId="11">
    <w:abstractNumId w:val="13"/>
  </w:num>
  <w:num w:numId="12">
    <w:abstractNumId w:val="14"/>
  </w:num>
  <w:num w:numId="13">
    <w:abstractNumId w:val="2"/>
  </w:num>
  <w:num w:numId="14">
    <w:abstractNumId w:val="10"/>
  </w:num>
  <w:num w:numId="15">
    <w:abstractNumId w:val="7"/>
  </w:num>
  <w:num w:numId="1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B8C"/>
    <w:rsid w:val="0000234A"/>
    <w:rsid w:val="000036B5"/>
    <w:rsid w:val="00004591"/>
    <w:rsid w:val="00004E2E"/>
    <w:rsid w:val="00011447"/>
    <w:rsid w:val="00011561"/>
    <w:rsid w:val="00012309"/>
    <w:rsid w:val="00014B54"/>
    <w:rsid w:val="000154B0"/>
    <w:rsid w:val="00020418"/>
    <w:rsid w:val="000205C9"/>
    <w:rsid w:val="00021C46"/>
    <w:rsid w:val="00023013"/>
    <w:rsid w:val="00027B39"/>
    <w:rsid w:val="00030002"/>
    <w:rsid w:val="00033BE9"/>
    <w:rsid w:val="000358CA"/>
    <w:rsid w:val="00036447"/>
    <w:rsid w:val="00036B81"/>
    <w:rsid w:val="000377C2"/>
    <w:rsid w:val="00037889"/>
    <w:rsid w:val="000411CB"/>
    <w:rsid w:val="00041E55"/>
    <w:rsid w:val="00042E7E"/>
    <w:rsid w:val="00052044"/>
    <w:rsid w:val="00053422"/>
    <w:rsid w:val="000569A7"/>
    <w:rsid w:val="00057A2A"/>
    <w:rsid w:val="00057A74"/>
    <w:rsid w:val="00060D36"/>
    <w:rsid w:val="000632C4"/>
    <w:rsid w:val="00065E07"/>
    <w:rsid w:val="00067018"/>
    <w:rsid w:val="00071002"/>
    <w:rsid w:val="000718F8"/>
    <w:rsid w:val="000720EE"/>
    <w:rsid w:val="00072BC8"/>
    <w:rsid w:val="00073DDC"/>
    <w:rsid w:val="00074558"/>
    <w:rsid w:val="00075376"/>
    <w:rsid w:val="0007607F"/>
    <w:rsid w:val="0007621B"/>
    <w:rsid w:val="00081068"/>
    <w:rsid w:val="00081503"/>
    <w:rsid w:val="00081B80"/>
    <w:rsid w:val="00081C98"/>
    <w:rsid w:val="00081CFB"/>
    <w:rsid w:val="00082BAF"/>
    <w:rsid w:val="00083396"/>
    <w:rsid w:val="00083ECA"/>
    <w:rsid w:val="000901D2"/>
    <w:rsid w:val="00091012"/>
    <w:rsid w:val="00096D65"/>
    <w:rsid w:val="00096FE1"/>
    <w:rsid w:val="00097822"/>
    <w:rsid w:val="000978F0"/>
    <w:rsid w:val="000A05E5"/>
    <w:rsid w:val="000A095A"/>
    <w:rsid w:val="000A1910"/>
    <w:rsid w:val="000A2091"/>
    <w:rsid w:val="000A2AF8"/>
    <w:rsid w:val="000A50DB"/>
    <w:rsid w:val="000A5E4A"/>
    <w:rsid w:val="000A7D62"/>
    <w:rsid w:val="000B0DC1"/>
    <w:rsid w:val="000B334C"/>
    <w:rsid w:val="000B3735"/>
    <w:rsid w:val="000B48AE"/>
    <w:rsid w:val="000C1BE1"/>
    <w:rsid w:val="000C1F38"/>
    <w:rsid w:val="000C27E7"/>
    <w:rsid w:val="000C2CF4"/>
    <w:rsid w:val="000C4877"/>
    <w:rsid w:val="000C6FC6"/>
    <w:rsid w:val="000D04CA"/>
    <w:rsid w:val="000D1A16"/>
    <w:rsid w:val="000D4A3A"/>
    <w:rsid w:val="000E305E"/>
    <w:rsid w:val="000E4C0A"/>
    <w:rsid w:val="000E6467"/>
    <w:rsid w:val="000E6F53"/>
    <w:rsid w:val="000F3AAC"/>
    <w:rsid w:val="000F4101"/>
    <w:rsid w:val="000F4C9C"/>
    <w:rsid w:val="000F5BEC"/>
    <w:rsid w:val="00102C7D"/>
    <w:rsid w:val="00104C74"/>
    <w:rsid w:val="0010524D"/>
    <w:rsid w:val="001056DB"/>
    <w:rsid w:val="00106523"/>
    <w:rsid w:val="001100CF"/>
    <w:rsid w:val="0011030F"/>
    <w:rsid w:val="0011309A"/>
    <w:rsid w:val="00113E2E"/>
    <w:rsid w:val="00114132"/>
    <w:rsid w:val="001150FE"/>
    <w:rsid w:val="001175D7"/>
    <w:rsid w:val="001179F4"/>
    <w:rsid w:val="00117AD4"/>
    <w:rsid w:val="00120E4C"/>
    <w:rsid w:val="001226C1"/>
    <w:rsid w:val="0012304B"/>
    <w:rsid w:val="0012475C"/>
    <w:rsid w:val="00124D84"/>
    <w:rsid w:val="00125F77"/>
    <w:rsid w:val="001272DB"/>
    <w:rsid w:val="00132267"/>
    <w:rsid w:val="00132D70"/>
    <w:rsid w:val="001335BC"/>
    <w:rsid w:val="0013473E"/>
    <w:rsid w:val="00140E59"/>
    <w:rsid w:val="0014228B"/>
    <w:rsid w:val="0014251D"/>
    <w:rsid w:val="001514AC"/>
    <w:rsid w:val="00153C43"/>
    <w:rsid w:val="00157BBE"/>
    <w:rsid w:val="00162A30"/>
    <w:rsid w:val="001639C6"/>
    <w:rsid w:val="001718B2"/>
    <w:rsid w:val="001755FC"/>
    <w:rsid w:val="00175EFA"/>
    <w:rsid w:val="00175FA8"/>
    <w:rsid w:val="00176F5F"/>
    <w:rsid w:val="001803C9"/>
    <w:rsid w:val="001813C5"/>
    <w:rsid w:val="001840B6"/>
    <w:rsid w:val="00186CD7"/>
    <w:rsid w:val="0019438F"/>
    <w:rsid w:val="0019449A"/>
    <w:rsid w:val="00195DC5"/>
    <w:rsid w:val="001960F0"/>
    <w:rsid w:val="00197E92"/>
    <w:rsid w:val="001A48DD"/>
    <w:rsid w:val="001A4C2D"/>
    <w:rsid w:val="001A604E"/>
    <w:rsid w:val="001A7B3A"/>
    <w:rsid w:val="001A7C52"/>
    <w:rsid w:val="001A7F98"/>
    <w:rsid w:val="001B33C4"/>
    <w:rsid w:val="001B48C1"/>
    <w:rsid w:val="001B58A1"/>
    <w:rsid w:val="001B6768"/>
    <w:rsid w:val="001B7C7A"/>
    <w:rsid w:val="001C3D05"/>
    <w:rsid w:val="001C5A3B"/>
    <w:rsid w:val="001C5CF5"/>
    <w:rsid w:val="001D0D90"/>
    <w:rsid w:val="001D1388"/>
    <w:rsid w:val="001D169C"/>
    <w:rsid w:val="001D2FA2"/>
    <w:rsid w:val="001D3B09"/>
    <w:rsid w:val="001D5838"/>
    <w:rsid w:val="001D6547"/>
    <w:rsid w:val="001E0251"/>
    <w:rsid w:val="001E13B8"/>
    <w:rsid w:val="001E1D9E"/>
    <w:rsid w:val="001E20AD"/>
    <w:rsid w:val="001E265E"/>
    <w:rsid w:val="001E3033"/>
    <w:rsid w:val="001E3E45"/>
    <w:rsid w:val="001E6A98"/>
    <w:rsid w:val="001F113D"/>
    <w:rsid w:val="001F2F07"/>
    <w:rsid w:val="001F325B"/>
    <w:rsid w:val="001F3BC9"/>
    <w:rsid w:val="001F4691"/>
    <w:rsid w:val="001F5FDB"/>
    <w:rsid w:val="001F6109"/>
    <w:rsid w:val="001F6744"/>
    <w:rsid w:val="002007A5"/>
    <w:rsid w:val="002012FB"/>
    <w:rsid w:val="002032A7"/>
    <w:rsid w:val="00204F43"/>
    <w:rsid w:val="0020508C"/>
    <w:rsid w:val="002059D2"/>
    <w:rsid w:val="00207B91"/>
    <w:rsid w:val="00207FD9"/>
    <w:rsid w:val="00210F73"/>
    <w:rsid w:val="00213DC6"/>
    <w:rsid w:val="00215FF3"/>
    <w:rsid w:val="00217CF8"/>
    <w:rsid w:val="00223B93"/>
    <w:rsid w:val="0022460D"/>
    <w:rsid w:val="0023288D"/>
    <w:rsid w:val="002356B1"/>
    <w:rsid w:val="0023752B"/>
    <w:rsid w:val="00241FA8"/>
    <w:rsid w:val="00242E29"/>
    <w:rsid w:val="0024328F"/>
    <w:rsid w:val="00243B5A"/>
    <w:rsid w:val="00244F4B"/>
    <w:rsid w:val="00250617"/>
    <w:rsid w:val="0025109B"/>
    <w:rsid w:val="0025195D"/>
    <w:rsid w:val="002534E8"/>
    <w:rsid w:val="00253E94"/>
    <w:rsid w:val="00254946"/>
    <w:rsid w:val="002618FF"/>
    <w:rsid w:val="002659C5"/>
    <w:rsid w:val="00272B28"/>
    <w:rsid w:val="002749C6"/>
    <w:rsid w:val="00274C70"/>
    <w:rsid w:val="00276BCF"/>
    <w:rsid w:val="002803B3"/>
    <w:rsid w:val="00281965"/>
    <w:rsid w:val="00282DC3"/>
    <w:rsid w:val="00283541"/>
    <w:rsid w:val="0028363B"/>
    <w:rsid w:val="00285020"/>
    <w:rsid w:val="002866D0"/>
    <w:rsid w:val="00287F2B"/>
    <w:rsid w:val="0029172A"/>
    <w:rsid w:val="002920C0"/>
    <w:rsid w:val="00292595"/>
    <w:rsid w:val="00293D63"/>
    <w:rsid w:val="00295CBF"/>
    <w:rsid w:val="002960C7"/>
    <w:rsid w:val="00297480"/>
    <w:rsid w:val="0029760C"/>
    <w:rsid w:val="002A29AA"/>
    <w:rsid w:val="002A489F"/>
    <w:rsid w:val="002A5441"/>
    <w:rsid w:val="002A6F5E"/>
    <w:rsid w:val="002B1259"/>
    <w:rsid w:val="002B20B2"/>
    <w:rsid w:val="002B2865"/>
    <w:rsid w:val="002B4382"/>
    <w:rsid w:val="002B69B0"/>
    <w:rsid w:val="002B711E"/>
    <w:rsid w:val="002C05D5"/>
    <w:rsid w:val="002C12B0"/>
    <w:rsid w:val="002C21CB"/>
    <w:rsid w:val="002C3D16"/>
    <w:rsid w:val="002C50F4"/>
    <w:rsid w:val="002D1D4B"/>
    <w:rsid w:val="002D2EF5"/>
    <w:rsid w:val="002D3BF7"/>
    <w:rsid w:val="002D4C98"/>
    <w:rsid w:val="002D7FBC"/>
    <w:rsid w:val="002E015C"/>
    <w:rsid w:val="002E1682"/>
    <w:rsid w:val="002E6B97"/>
    <w:rsid w:val="002E6E57"/>
    <w:rsid w:val="002E71F1"/>
    <w:rsid w:val="002E71F9"/>
    <w:rsid w:val="002E7677"/>
    <w:rsid w:val="002F20CD"/>
    <w:rsid w:val="002F3BC8"/>
    <w:rsid w:val="003001CB"/>
    <w:rsid w:val="003001F2"/>
    <w:rsid w:val="00302363"/>
    <w:rsid w:val="00306204"/>
    <w:rsid w:val="003067F0"/>
    <w:rsid w:val="00307639"/>
    <w:rsid w:val="00307F97"/>
    <w:rsid w:val="00311A21"/>
    <w:rsid w:val="0031277B"/>
    <w:rsid w:val="00315919"/>
    <w:rsid w:val="00315F86"/>
    <w:rsid w:val="00317F0E"/>
    <w:rsid w:val="00321C60"/>
    <w:rsid w:val="0032210B"/>
    <w:rsid w:val="00323EF9"/>
    <w:rsid w:val="00331467"/>
    <w:rsid w:val="00343316"/>
    <w:rsid w:val="0035272A"/>
    <w:rsid w:val="00353A56"/>
    <w:rsid w:val="00356263"/>
    <w:rsid w:val="0036049A"/>
    <w:rsid w:val="00360FFA"/>
    <w:rsid w:val="00364E26"/>
    <w:rsid w:val="00365376"/>
    <w:rsid w:val="00367B4C"/>
    <w:rsid w:val="00370258"/>
    <w:rsid w:val="00370F9A"/>
    <w:rsid w:val="003719BA"/>
    <w:rsid w:val="00372474"/>
    <w:rsid w:val="00372783"/>
    <w:rsid w:val="00372D37"/>
    <w:rsid w:val="00373118"/>
    <w:rsid w:val="00373D57"/>
    <w:rsid w:val="00376D64"/>
    <w:rsid w:val="003821F7"/>
    <w:rsid w:val="00383334"/>
    <w:rsid w:val="00384051"/>
    <w:rsid w:val="00384410"/>
    <w:rsid w:val="0038575C"/>
    <w:rsid w:val="00385C0C"/>
    <w:rsid w:val="00390CDA"/>
    <w:rsid w:val="0039193D"/>
    <w:rsid w:val="0039399A"/>
    <w:rsid w:val="00394255"/>
    <w:rsid w:val="00394A6D"/>
    <w:rsid w:val="003A1BA9"/>
    <w:rsid w:val="003A2FA7"/>
    <w:rsid w:val="003A3C8A"/>
    <w:rsid w:val="003A49C5"/>
    <w:rsid w:val="003A5479"/>
    <w:rsid w:val="003A5C87"/>
    <w:rsid w:val="003A7B99"/>
    <w:rsid w:val="003B083D"/>
    <w:rsid w:val="003B1A89"/>
    <w:rsid w:val="003B1B27"/>
    <w:rsid w:val="003B3FCD"/>
    <w:rsid w:val="003B4F28"/>
    <w:rsid w:val="003B56D0"/>
    <w:rsid w:val="003B66EE"/>
    <w:rsid w:val="003B7A53"/>
    <w:rsid w:val="003C0C79"/>
    <w:rsid w:val="003C27D5"/>
    <w:rsid w:val="003C2F9A"/>
    <w:rsid w:val="003C3901"/>
    <w:rsid w:val="003C657A"/>
    <w:rsid w:val="003C6814"/>
    <w:rsid w:val="003D10E6"/>
    <w:rsid w:val="003D2034"/>
    <w:rsid w:val="003D2097"/>
    <w:rsid w:val="003D50DE"/>
    <w:rsid w:val="003D719A"/>
    <w:rsid w:val="003E14D5"/>
    <w:rsid w:val="003E205A"/>
    <w:rsid w:val="003E3311"/>
    <w:rsid w:val="003E53A0"/>
    <w:rsid w:val="003E75E6"/>
    <w:rsid w:val="003F0E9A"/>
    <w:rsid w:val="003F5ABC"/>
    <w:rsid w:val="003F6162"/>
    <w:rsid w:val="003F6797"/>
    <w:rsid w:val="004007ED"/>
    <w:rsid w:val="00400F9A"/>
    <w:rsid w:val="00401048"/>
    <w:rsid w:val="004059C9"/>
    <w:rsid w:val="0040651D"/>
    <w:rsid w:val="00413744"/>
    <w:rsid w:val="004203FE"/>
    <w:rsid w:val="00423F95"/>
    <w:rsid w:val="00425C7A"/>
    <w:rsid w:val="00426594"/>
    <w:rsid w:val="004265EF"/>
    <w:rsid w:val="00426D8C"/>
    <w:rsid w:val="004302BF"/>
    <w:rsid w:val="00434B05"/>
    <w:rsid w:val="00435466"/>
    <w:rsid w:val="004359B5"/>
    <w:rsid w:val="00436827"/>
    <w:rsid w:val="00436B02"/>
    <w:rsid w:val="00450136"/>
    <w:rsid w:val="00450D28"/>
    <w:rsid w:val="00450F7F"/>
    <w:rsid w:val="004511A0"/>
    <w:rsid w:val="00451BA5"/>
    <w:rsid w:val="00454089"/>
    <w:rsid w:val="0045681D"/>
    <w:rsid w:val="00457370"/>
    <w:rsid w:val="004573DA"/>
    <w:rsid w:val="00460408"/>
    <w:rsid w:val="00460F82"/>
    <w:rsid w:val="00461629"/>
    <w:rsid w:val="00463A03"/>
    <w:rsid w:val="00465308"/>
    <w:rsid w:val="00466E9A"/>
    <w:rsid w:val="004709AF"/>
    <w:rsid w:val="004709B8"/>
    <w:rsid w:val="004753FA"/>
    <w:rsid w:val="00480926"/>
    <w:rsid w:val="00482BD2"/>
    <w:rsid w:val="00483036"/>
    <w:rsid w:val="00483F69"/>
    <w:rsid w:val="00484CCD"/>
    <w:rsid w:val="004934DE"/>
    <w:rsid w:val="00493A68"/>
    <w:rsid w:val="0049721A"/>
    <w:rsid w:val="00497331"/>
    <w:rsid w:val="00497CA5"/>
    <w:rsid w:val="004A1218"/>
    <w:rsid w:val="004A2048"/>
    <w:rsid w:val="004A2786"/>
    <w:rsid w:val="004A3929"/>
    <w:rsid w:val="004A40CA"/>
    <w:rsid w:val="004A5DB0"/>
    <w:rsid w:val="004A6BF6"/>
    <w:rsid w:val="004B50FD"/>
    <w:rsid w:val="004C04C8"/>
    <w:rsid w:val="004C417D"/>
    <w:rsid w:val="004C42FC"/>
    <w:rsid w:val="004C5520"/>
    <w:rsid w:val="004C7D3F"/>
    <w:rsid w:val="004D0BC3"/>
    <w:rsid w:val="004D3C02"/>
    <w:rsid w:val="004D7F10"/>
    <w:rsid w:val="004E07D2"/>
    <w:rsid w:val="004E1AE6"/>
    <w:rsid w:val="004E20D1"/>
    <w:rsid w:val="004E3E69"/>
    <w:rsid w:val="004E41F0"/>
    <w:rsid w:val="004E5E44"/>
    <w:rsid w:val="004E6845"/>
    <w:rsid w:val="004F38AB"/>
    <w:rsid w:val="004F79B2"/>
    <w:rsid w:val="0050145B"/>
    <w:rsid w:val="00502B82"/>
    <w:rsid w:val="005039AE"/>
    <w:rsid w:val="00504FF0"/>
    <w:rsid w:val="00506798"/>
    <w:rsid w:val="0051108D"/>
    <w:rsid w:val="005112D1"/>
    <w:rsid w:val="005137DD"/>
    <w:rsid w:val="0051432C"/>
    <w:rsid w:val="0051488F"/>
    <w:rsid w:val="005160CE"/>
    <w:rsid w:val="00516539"/>
    <w:rsid w:val="0051691F"/>
    <w:rsid w:val="00516A2D"/>
    <w:rsid w:val="00517FC6"/>
    <w:rsid w:val="005205CE"/>
    <w:rsid w:val="005237BB"/>
    <w:rsid w:val="00526B1D"/>
    <w:rsid w:val="00526ED8"/>
    <w:rsid w:val="0053034A"/>
    <w:rsid w:val="005306E4"/>
    <w:rsid w:val="00531974"/>
    <w:rsid w:val="00531CAD"/>
    <w:rsid w:val="00532ACB"/>
    <w:rsid w:val="00532D4D"/>
    <w:rsid w:val="005339FC"/>
    <w:rsid w:val="00534DA1"/>
    <w:rsid w:val="0053533F"/>
    <w:rsid w:val="00536328"/>
    <w:rsid w:val="0053642E"/>
    <w:rsid w:val="00537EAE"/>
    <w:rsid w:val="0054340E"/>
    <w:rsid w:val="00543D44"/>
    <w:rsid w:val="00543E0C"/>
    <w:rsid w:val="0054738F"/>
    <w:rsid w:val="00551D61"/>
    <w:rsid w:val="00557E14"/>
    <w:rsid w:val="00563BF8"/>
    <w:rsid w:val="00563F87"/>
    <w:rsid w:val="0056638E"/>
    <w:rsid w:val="00572386"/>
    <w:rsid w:val="00572537"/>
    <w:rsid w:val="00572734"/>
    <w:rsid w:val="005733B3"/>
    <w:rsid w:val="00575114"/>
    <w:rsid w:val="00577A79"/>
    <w:rsid w:val="00581186"/>
    <w:rsid w:val="005811A6"/>
    <w:rsid w:val="00581BE7"/>
    <w:rsid w:val="00582ECE"/>
    <w:rsid w:val="005848B7"/>
    <w:rsid w:val="00585AEC"/>
    <w:rsid w:val="00585B2F"/>
    <w:rsid w:val="00586B2C"/>
    <w:rsid w:val="00586C89"/>
    <w:rsid w:val="00591550"/>
    <w:rsid w:val="00592351"/>
    <w:rsid w:val="00594BE4"/>
    <w:rsid w:val="00595F36"/>
    <w:rsid w:val="00596401"/>
    <w:rsid w:val="00597908"/>
    <w:rsid w:val="005A115B"/>
    <w:rsid w:val="005A712D"/>
    <w:rsid w:val="005A7F63"/>
    <w:rsid w:val="005B04CE"/>
    <w:rsid w:val="005B0A5C"/>
    <w:rsid w:val="005B1A19"/>
    <w:rsid w:val="005B299D"/>
    <w:rsid w:val="005C1F9F"/>
    <w:rsid w:val="005C2DBE"/>
    <w:rsid w:val="005C2E47"/>
    <w:rsid w:val="005C4A37"/>
    <w:rsid w:val="005C4D9E"/>
    <w:rsid w:val="005C6BBC"/>
    <w:rsid w:val="005C7DC6"/>
    <w:rsid w:val="005D1666"/>
    <w:rsid w:val="005D4D44"/>
    <w:rsid w:val="005D6448"/>
    <w:rsid w:val="005D64CC"/>
    <w:rsid w:val="005D723B"/>
    <w:rsid w:val="005E0BE8"/>
    <w:rsid w:val="005E114F"/>
    <w:rsid w:val="005E2570"/>
    <w:rsid w:val="005E3257"/>
    <w:rsid w:val="005E3BAE"/>
    <w:rsid w:val="005E44CF"/>
    <w:rsid w:val="005E55D1"/>
    <w:rsid w:val="005E6BF9"/>
    <w:rsid w:val="005F0C9F"/>
    <w:rsid w:val="005F19B0"/>
    <w:rsid w:val="005F2C5B"/>
    <w:rsid w:val="005F5681"/>
    <w:rsid w:val="005F616C"/>
    <w:rsid w:val="005F641C"/>
    <w:rsid w:val="005F6F5C"/>
    <w:rsid w:val="00604B22"/>
    <w:rsid w:val="0061535D"/>
    <w:rsid w:val="00617D3E"/>
    <w:rsid w:val="00621B17"/>
    <w:rsid w:val="00623521"/>
    <w:rsid w:val="00624783"/>
    <w:rsid w:val="00625030"/>
    <w:rsid w:val="006259FF"/>
    <w:rsid w:val="00625D13"/>
    <w:rsid w:val="00630352"/>
    <w:rsid w:val="00631D55"/>
    <w:rsid w:val="00634533"/>
    <w:rsid w:val="00634F7D"/>
    <w:rsid w:val="00636388"/>
    <w:rsid w:val="00640D6D"/>
    <w:rsid w:val="00640D86"/>
    <w:rsid w:val="00641BAE"/>
    <w:rsid w:val="00641E7E"/>
    <w:rsid w:val="00642729"/>
    <w:rsid w:val="00644742"/>
    <w:rsid w:val="00644D33"/>
    <w:rsid w:val="006451F4"/>
    <w:rsid w:val="00646BCE"/>
    <w:rsid w:val="00646E5B"/>
    <w:rsid w:val="00653AA8"/>
    <w:rsid w:val="00654BF8"/>
    <w:rsid w:val="00654EC5"/>
    <w:rsid w:val="00656863"/>
    <w:rsid w:val="00656F6F"/>
    <w:rsid w:val="00663F7D"/>
    <w:rsid w:val="00664D09"/>
    <w:rsid w:val="006659FA"/>
    <w:rsid w:val="006737B9"/>
    <w:rsid w:val="00673901"/>
    <w:rsid w:val="00673A58"/>
    <w:rsid w:val="00675562"/>
    <w:rsid w:val="00676A1B"/>
    <w:rsid w:val="00677524"/>
    <w:rsid w:val="00685183"/>
    <w:rsid w:val="006858B0"/>
    <w:rsid w:val="00685E34"/>
    <w:rsid w:val="006879E8"/>
    <w:rsid w:val="00690651"/>
    <w:rsid w:val="0069339A"/>
    <w:rsid w:val="00693CD2"/>
    <w:rsid w:val="006A0F32"/>
    <w:rsid w:val="006A15A7"/>
    <w:rsid w:val="006A2729"/>
    <w:rsid w:val="006A2A6B"/>
    <w:rsid w:val="006A4A36"/>
    <w:rsid w:val="006A6728"/>
    <w:rsid w:val="006A6FA6"/>
    <w:rsid w:val="006A718C"/>
    <w:rsid w:val="006B307F"/>
    <w:rsid w:val="006B3148"/>
    <w:rsid w:val="006B4165"/>
    <w:rsid w:val="006B6E39"/>
    <w:rsid w:val="006C122D"/>
    <w:rsid w:val="006C1D5C"/>
    <w:rsid w:val="006C2424"/>
    <w:rsid w:val="006C3B66"/>
    <w:rsid w:val="006C57B6"/>
    <w:rsid w:val="006C64FC"/>
    <w:rsid w:val="006C7A30"/>
    <w:rsid w:val="006D1173"/>
    <w:rsid w:val="006D1275"/>
    <w:rsid w:val="006D2516"/>
    <w:rsid w:val="006D3F8A"/>
    <w:rsid w:val="006D5432"/>
    <w:rsid w:val="006E0012"/>
    <w:rsid w:val="006E1AFC"/>
    <w:rsid w:val="006E1F9B"/>
    <w:rsid w:val="006E7757"/>
    <w:rsid w:val="006E7DBD"/>
    <w:rsid w:val="006F171E"/>
    <w:rsid w:val="006F1BE4"/>
    <w:rsid w:val="006F3F35"/>
    <w:rsid w:val="00700A3A"/>
    <w:rsid w:val="00701FD1"/>
    <w:rsid w:val="00704C5E"/>
    <w:rsid w:val="00706D65"/>
    <w:rsid w:val="00706E09"/>
    <w:rsid w:val="007101A1"/>
    <w:rsid w:val="00711B35"/>
    <w:rsid w:val="00711FEF"/>
    <w:rsid w:val="00714688"/>
    <w:rsid w:val="007167AC"/>
    <w:rsid w:val="00716BF5"/>
    <w:rsid w:val="00716D1E"/>
    <w:rsid w:val="00720768"/>
    <w:rsid w:val="007209F3"/>
    <w:rsid w:val="00721E96"/>
    <w:rsid w:val="00730664"/>
    <w:rsid w:val="00733341"/>
    <w:rsid w:val="00737377"/>
    <w:rsid w:val="00741CD1"/>
    <w:rsid w:val="007422A3"/>
    <w:rsid w:val="00742C48"/>
    <w:rsid w:val="00743530"/>
    <w:rsid w:val="0074416D"/>
    <w:rsid w:val="00744575"/>
    <w:rsid w:val="00750C4E"/>
    <w:rsid w:val="00752320"/>
    <w:rsid w:val="0075271F"/>
    <w:rsid w:val="00753E5C"/>
    <w:rsid w:val="0076107F"/>
    <w:rsid w:val="00761C83"/>
    <w:rsid w:val="00763D2A"/>
    <w:rsid w:val="007660DB"/>
    <w:rsid w:val="007707A8"/>
    <w:rsid w:val="007711CF"/>
    <w:rsid w:val="00773807"/>
    <w:rsid w:val="007759EF"/>
    <w:rsid w:val="00775BE7"/>
    <w:rsid w:val="00777374"/>
    <w:rsid w:val="00780A91"/>
    <w:rsid w:val="00781F67"/>
    <w:rsid w:val="00783F3E"/>
    <w:rsid w:val="00785CB9"/>
    <w:rsid w:val="007875B3"/>
    <w:rsid w:val="0079092F"/>
    <w:rsid w:val="00795AF2"/>
    <w:rsid w:val="007964DF"/>
    <w:rsid w:val="00796567"/>
    <w:rsid w:val="007977EA"/>
    <w:rsid w:val="007A2473"/>
    <w:rsid w:val="007A4D7D"/>
    <w:rsid w:val="007A5A5A"/>
    <w:rsid w:val="007B01F7"/>
    <w:rsid w:val="007B024F"/>
    <w:rsid w:val="007B1C84"/>
    <w:rsid w:val="007B2A2F"/>
    <w:rsid w:val="007B5B74"/>
    <w:rsid w:val="007B613D"/>
    <w:rsid w:val="007B61B2"/>
    <w:rsid w:val="007C3CBD"/>
    <w:rsid w:val="007C4060"/>
    <w:rsid w:val="007C6BCB"/>
    <w:rsid w:val="007C75AA"/>
    <w:rsid w:val="007D10A9"/>
    <w:rsid w:val="007D18E6"/>
    <w:rsid w:val="007D2E77"/>
    <w:rsid w:val="007D74D8"/>
    <w:rsid w:val="007E18DA"/>
    <w:rsid w:val="007E2CA1"/>
    <w:rsid w:val="007E3008"/>
    <w:rsid w:val="007E5602"/>
    <w:rsid w:val="007E5BD3"/>
    <w:rsid w:val="007F0357"/>
    <w:rsid w:val="007F196A"/>
    <w:rsid w:val="007F1C14"/>
    <w:rsid w:val="007F2514"/>
    <w:rsid w:val="007F5CF3"/>
    <w:rsid w:val="00800247"/>
    <w:rsid w:val="00810133"/>
    <w:rsid w:val="00813158"/>
    <w:rsid w:val="00813237"/>
    <w:rsid w:val="0081376F"/>
    <w:rsid w:val="00813A32"/>
    <w:rsid w:val="0081546C"/>
    <w:rsid w:val="008200C1"/>
    <w:rsid w:val="008208FF"/>
    <w:rsid w:val="00821777"/>
    <w:rsid w:val="00821BC8"/>
    <w:rsid w:val="0082298D"/>
    <w:rsid w:val="00823B48"/>
    <w:rsid w:val="00824819"/>
    <w:rsid w:val="00826BE0"/>
    <w:rsid w:val="008308BF"/>
    <w:rsid w:val="00832075"/>
    <w:rsid w:val="008329A3"/>
    <w:rsid w:val="00832AC6"/>
    <w:rsid w:val="00832DC1"/>
    <w:rsid w:val="00833151"/>
    <w:rsid w:val="008331F9"/>
    <w:rsid w:val="008339A0"/>
    <w:rsid w:val="00834E04"/>
    <w:rsid w:val="0083510F"/>
    <w:rsid w:val="0083675D"/>
    <w:rsid w:val="0084106D"/>
    <w:rsid w:val="0084213A"/>
    <w:rsid w:val="00842438"/>
    <w:rsid w:val="00842B3D"/>
    <w:rsid w:val="00846B32"/>
    <w:rsid w:val="00850586"/>
    <w:rsid w:val="00850FE0"/>
    <w:rsid w:val="00852C0D"/>
    <w:rsid w:val="008545B1"/>
    <w:rsid w:val="008561AB"/>
    <w:rsid w:val="008604EC"/>
    <w:rsid w:val="0086061A"/>
    <w:rsid w:val="008611AA"/>
    <w:rsid w:val="008628B4"/>
    <w:rsid w:val="008648E7"/>
    <w:rsid w:val="00864B7D"/>
    <w:rsid w:val="00865478"/>
    <w:rsid w:val="00865A8A"/>
    <w:rsid w:val="00867046"/>
    <w:rsid w:val="008670BE"/>
    <w:rsid w:val="008702DD"/>
    <w:rsid w:val="008709E2"/>
    <w:rsid w:val="00870E1B"/>
    <w:rsid w:val="00880192"/>
    <w:rsid w:val="008814D3"/>
    <w:rsid w:val="00883BE7"/>
    <w:rsid w:val="00883DED"/>
    <w:rsid w:val="0088467D"/>
    <w:rsid w:val="00885374"/>
    <w:rsid w:val="00887D97"/>
    <w:rsid w:val="00892598"/>
    <w:rsid w:val="00892BAB"/>
    <w:rsid w:val="00892E88"/>
    <w:rsid w:val="008957EA"/>
    <w:rsid w:val="00895C16"/>
    <w:rsid w:val="008A0EDD"/>
    <w:rsid w:val="008A4232"/>
    <w:rsid w:val="008A7B3F"/>
    <w:rsid w:val="008B2FB1"/>
    <w:rsid w:val="008B416A"/>
    <w:rsid w:val="008B6100"/>
    <w:rsid w:val="008B6370"/>
    <w:rsid w:val="008B738D"/>
    <w:rsid w:val="008C1468"/>
    <w:rsid w:val="008C1596"/>
    <w:rsid w:val="008C2685"/>
    <w:rsid w:val="008C26BB"/>
    <w:rsid w:val="008C26D2"/>
    <w:rsid w:val="008C5961"/>
    <w:rsid w:val="008C68C2"/>
    <w:rsid w:val="008D11E0"/>
    <w:rsid w:val="008D1631"/>
    <w:rsid w:val="008D24CF"/>
    <w:rsid w:val="008D5992"/>
    <w:rsid w:val="008D7869"/>
    <w:rsid w:val="008E46F2"/>
    <w:rsid w:val="008E5006"/>
    <w:rsid w:val="008E6A60"/>
    <w:rsid w:val="008E6D86"/>
    <w:rsid w:val="008E6E32"/>
    <w:rsid w:val="008E7682"/>
    <w:rsid w:val="008F1F51"/>
    <w:rsid w:val="008F3F8B"/>
    <w:rsid w:val="008F738B"/>
    <w:rsid w:val="009006A3"/>
    <w:rsid w:val="009037C1"/>
    <w:rsid w:val="00904329"/>
    <w:rsid w:val="0090537E"/>
    <w:rsid w:val="009055AD"/>
    <w:rsid w:val="00910AF5"/>
    <w:rsid w:val="00911A59"/>
    <w:rsid w:val="00913F50"/>
    <w:rsid w:val="00914D23"/>
    <w:rsid w:val="0091520E"/>
    <w:rsid w:val="009159B6"/>
    <w:rsid w:val="009160B5"/>
    <w:rsid w:val="0091646C"/>
    <w:rsid w:val="00916A7E"/>
    <w:rsid w:val="00916B56"/>
    <w:rsid w:val="00921BDA"/>
    <w:rsid w:val="00925F61"/>
    <w:rsid w:val="00931527"/>
    <w:rsid w:val="009360BF"/>
    <w:rsid w:val="009368CE"/>
    <w:rsid w:val="00937697"/>
    <w:rsid w:val="009400E6"/>
    <w:rsid w:val="0094254B"/>
    <w:rsid w:val="009448F5"/>
    <w:rsid w:val="00945587"/>
    <w:rsid w:val="00945D02"/>
    <w:rsid w:val="00946933"/>
    <w:rsid w:val="00946B26"/>
    <w:rsid w:val="00951D0F"/>
    <w:rsid w:val="00953C12"/>
    <w:rsid w:val="00962602"/>
    <w:rsid w:val="00962C12"/>
    <w:rsid w:val="0096656F"/>
    <w:rsid w:val="009669DE"/>
    <w:rsid w:val="00971FBE"/>
    <w:rsid w:val="00973367"/>
    <w:rsid w:val="00973D49"/>
    <w:rsid w:val="009755A7"/>
    <w:rsid w:val="00977C98"/>
    <w:rsid w:val="009804A7"/>
    <w:rsid w:val="00980CB5"/>
    <w:rsid w:val="0098102B"/>
    <w:rsid w:val="0098189F"/>
    <w:rsid w:val="009829A7"/>
    <w:rsid w:val="00986149"/>
    <w:rsid w:val="0098722A"/>
    <w:rsid w:val="00987C0F"/>
    <w:rsid w:val="009932C8"/>
    <w:rsid w:val="0099404A"/>
    <w:rsid w:val="00995ED8"/>
    <w:rsid w:val="009966E4"/>
    <w:rsid w:val="0099721C"/>
    <w:rsid w:val="00997253"/>
    <w:rsid w:val="009A1A86"/>
    <w:rsid w:val="009A4640"/>
    <w:rsid w:val="009A52AC"/>
    <w:rsid w:val="009B07DB"/>
    <w:rsid w:val="009B0D32"/>
    <w:rsid w:val="009B2156"/>
    <w:rsid w:val="009B4EF5"/>
    <w:rsid w:val="009B7E3F"/>
    <w:rsid w:val="009C0700"/>
    <w:rsid w:val="009C0AA9"/>
    <w:rsid w:val="009C1888"/>
    <w:rsid w:val="009C307B"/>
    <w:rsid w:val="009C3918"/>
    <w:rsid w:val="009D02B5"/>
    <w:rsid w:val="009D0466"/>
    <w:rsid w:val="009D0C9B"/>
    <w:rsid w:val="009D368F"/>
    <w:rsid w:val="009D3E31"/>
    <w:rsid w:val="009D5962"/>
    <w:rsid w:val="009D5A07"/>
    <w:rsid w:val="009D5B96"/>
    <w:rsid w:val="009D78CF"/>
    <w:rsid w:val="009D7D03"/>
    <w:rsid w:val="009E4A70"/>
    <w:rsid w:val="009E65BF"/>
    <w:rsid w:val="009E766C"/>
    <w:rsid w:val="009F02B4"/>
    <w:rsid w:val="009F1137"/>
    <w:rsid w:val="009F23FB"/>
    <w:rsid w:val="009F3D3D"/>
    <w:rsid w:val="009F49C0"/>
    <w:rsid w:val="00A01F86"/>
    <w:rsid w:val="00A06D46"/>
    <w:rsid w:val="00A11309"/>
    <w:rsid w:val="00A12F38"/>
    <w:rsid w:val="00A144C4"/>
    <w:rsid w:val="00A144E9"/>
    <w:rsid w:val="00A15480"/>
    <w:rsid w:val="00A17918"/>
    <w:rsid w:val="00A17AD3"/>
    <w:rsid w:val="00A20403"/>
    <w:rsid w:val="00A22A69"/>
    <w:rsid w:val="00A2333F"/>
    <w:rsid w:val="00A23A53"/>
    <w:rsid w:val="00A258E3"/>
    <w:rsid w:val="00A26621"/>
    <w:rsid w:val="00A26A82"/>
    <w:rsid w:val="00A26E7D"/>
    <w:rsid w:val="00A274D2"/>
    <w:rsid w:val="00A311A9"/>
    <w:rsid w:val="00A31649"/>
    <w:rsid w:val="00A33134"/>
    <w:rsid w:val="00A36073"/>
    <w:rsid w:val="00A40995"/>
    <w:rsid w:val="00A45E7A"/>
    <w:rsid w:val="00A50269"/>
    <w:rsid w:val="00A52D89"/>
    <w:rsid w:val="00A5312F"/>
    <w:rsid w:val="00A54818"/>
    <w:rsid w:val="00A66049"/>
    <w:rsid w:val="00A67924"/>
    <w:rsid w:val="00A70124"/>
    <w:rsid w:val="00A702DA"/>
    <w:rsid w:val="00A72C37"/>
    <w:rsid w:val="00A7512D"/>
    <w:rsid w:val="00A76511"/>
    <w:rsid w:val="00A77EE0"/>
    <w:rsid w:val="00A8213D"/>
    <w:rsid w:val="00A8499D"/>
    <w:rsid w:val="00A850C1"/>
    <w:rsid w:val="00A85F3C"/>
    <w:rsid w:val="00A86113"/>
    <w:rsid w:val="00A86A0C"/>
    <w:rsid w:val="00A91D02"/>
    <w:rsid w:val="00A91F6F"/>
    <w:rsid w:val="00A92E0D"/>
    <w:rsid w:val="00A95361"/>
    <w:rsid w:val="00A959FB"/>
    <w:rsid w:val="00AA0157"/>
    <w:rsid w:val="00AA1914"/>
    <w:rsid w:val="00AA6A37"/>
    <w:rsid w:val="00AB04AF"/>
    <w:rsid w:val="00AB3AFA"/>
    <w:rsid w:val="00AB3E3E"/>
    <w:rsid w:val="00AB522F"/>
    <w:rsid w:val="00AB7BD4"/>
    <w:rsid w:val="00AC035E"/>
    <w:rsid w:val="00AC04A2"/>
    <w:rsid w:val="00AC30E6"/>
    <w:rsid w:val="00AC5611"/>
    <w:rsid w:val="00AC70DC"/>
    <w:rsid w:val="00AC7E9C"/>
    <w:rsid w:val="00AD0379"/>
    <w:rsid w:val="00AD1D7A"/>
    <w:rsid w:val="00AD2A27"/>
    <w:rsid w:val="00AD34A3"/>
    <w:rsid w:val="00AD502C"/>
    <w:rsid w:val="00AD54D6"/>
    <w:rsid w:val="00AD76C4"/>
    <w:rsid w:val="00AE0144"/>
    <w:rsid w:val="00AE0BC2"/>
    <w:rsid w:val="00AE1A75"/>
    <w:rsid w:val="00AE4963"/>
    <w:rsid w:val="00AE4C14"/>
    <w:rsid w:val="00AF0992"/>
    <w:rsid w:val="00AF2474"/>
    <w:rsid w:val="00AF6655"/>
    <w:rsid w:val="00AF746D"/>
    <w:rsid w:val="00B00254"/>
    <w:rsid w:val="00B016AC"/>
    <w:rsid w:val="00B018AF"/>
    <w:rsid w:val="00B04D8E"/>
    <w:rsid w:val="00B053F4"/>
    <w:rsid w:val="00B11341"/>
    <w:rsid w:val="00B114A0"/>
    <w:rsid w:val="00B114F0"/>
    <w:rsid w:val="00B12060"/>
    <w:rsid w:val="00B1290B"/>
    <w:rsid w:val="00B12A7B"/>
    <w:rsid w:val="00B1374F"/>
    <w:rsid w:val="00B13E63"/>
    <w:rsid w:val="00B1709B"/>
    <w:rsid w:val="00B17178"/>
    <w:rsid w:val="00B20E30"/>
    <w:rsid w:val="00B2152D"/>
    <w:rsid w:val="00B217FC"/>
    <w:rsid w:val="00B2338B"/>
    <w:rsid w:val="00B23FA4"/>
    <w:rsid w:val="00B25AE9"/>
    <w:rsid w:val="00B307CF"/>
    <w:rsid w:val="00B314BD"/>
    <w:rsid w:val="00B32EAF"/>
    <w:rsid w:val="00B333E6"/>
    <w:rsid w:val="00B33AD4"/>
    <w:rsid w:val="00B35EE2"/>
    <w:rsid w:val="00B42341"/>
    <w:rsid w:val="00B514ED"/>
    <w:rsid w:val="00B51A8D"/>
    <w:rsid w:val="00B53B55"/>
    <w:rsid w:val="00B54661"/>
    <w:rsid w:val="00B54F1C"/>
    <w:rsid w:val="00B56ACF"/>
    <w:rsid w:val="00B6064D"/>
    <w:rsid w:val="00B61B54"/>
    <w:rsid w:val="00B63ABD"/>
    <w:rsid w:val="00B67744"/>
    <w:rsid w:val="00B761D6"/>
    <w:rsid w:val="00B763E3"/>
    <w:rsid w:val="00B77051"/>
    <w:rsid w:val="00B825DE"/>
    <w:rsid w:val="00B85774"/>
    <w:rsid w:val="00B90D6E"/>
    <w:rsid w:val="00B93471"/>
    <w:rsid w:val="00B93D94"/>
    <w:rsid w:val="00B9618E"/>
    <w:rsid w:val="00BA189C"/>
    <w:rsid w:val="00BA6EDA"/>
    <w:rsid w:val="00BA70C1"/>
    <w:rsid w:val="00BA7508"/>
    <w:rsid w:val="00BA7770"/>
    <w:rsid w:val="00BB1103"/>
    <w:rsid w:val="00BB22C6"/>
    <w:rsid w:val="00BB2907"/>
    <w:rsid w:val="00BB2ECF"/>
    <w:rsid w:val="00BB504D"/>
    <w:rsid w:val="00BB71F5"/>
    <w:rsid w:val="00BC031E"/>
    <w:rsid w:val="00BD2512"/>
    <w:rsid w:val="00BD5DB7"/>
    <w:rsid w:val="00BD685D"/>
    <w:rsid w:val="00BE12E9"/>
    <w:rsid w:val="00BE1367"/>
    <w:rsid w:val="00BE252E"/>
    <w:rsid w:val="00BE37A9"/>
    <w:rsid w:val="00BE4A92"/>
    <w:rsid w:val="00BE7E9A"/>
    <w:rsid w:val="00BF1CFD"/>
    <w:rsid w:val="00BF30D8"/>
    <w:rsid w:val="00BF55ED"/>
    <w:rsid w:val="00BF7EA4"/>
    <w:rsid w:val="00C00AAD"/>
    <w:rsid w:val="00C00B7C"/>
    <w:rsid w:val="00C03D38"/>
    <w:rsid w:val="00C04305"/>
    <w:rsid w:val="00C05AB7"/>
    <w:rsid w:val="00C061C1"/>
    <w:rsid w:val="00C07A78"/>
    <w:rsid w:val="00C07E1D"/>
    <w:rsid w:val="00C121DE"/>
    <w:rsid w:val="00C14454"/>
    <w:rsid w:val="00C1518B"/>
    <w:rsid w:val="00C2117D"/>
    <w:rsid w:val="00C21449"/>
    <w:rsid w:val="00C21D08"/>
    <w:rsid w:val="00C25F00"/>
    <w:rsid w:val="00C2605C"/>
    <w:rsid w:val="00C26D39"/>
    <w:rsid w:val="00C32053"/>
    <w:rsid w:val="00C36D2B"/>
    <w:rsid w:val="00C41712"/>
    <w:rsid w:val="00C42477"/>
    <w:rsid w:val="00C43215"/>
    <w:rsid w:val="00C43BA0"/>
    <w:rsid w:val="00C47CBF"/>
    <w:rsid w:val="00C51D8E"/>
    <w:rsid w:val="00C54AF8"/>
    <w:rsid w:val="00C57D73"/>
    <w:rsid w:val="00C621AE"/>
    <w:rsid w:val="00C62307"/>
    <w:rsid w:val="00C62F78"/>
    <w:rsid w:val="00C63840"/>
    <w:rsid w:val="00C638BC"/>
    <w:rsid w:val="00C639E3"/>
    <w:rsid w:val="00C63C78"/>
    <w:rsid w:val="00C65C03"/>
    <w:rsid w:val="00C67423"/>
    <w:rsid w:val="00C7037D"/>
    <w:rsid w:val="00C72962"/>
    <w:rsid w:val="00C73F82"/>
    <w:rsid w:val="00C745EE"/>
    <w:rsid w:val="00C766C9"/>
    <w:rsid w:val="00C8065B"/>
    <w:rsid w:val="00C81437"/>
    <w:rsid w:val="00C81BDA"/>
    <w:rsid w:val="00C82FCC"/>
    <w:rsid w:val="00C8323C"/>
    <w:rsid w:val="00C906FD"/>
    <w:rsid w:val="00C90862"/>
    <w:rsid w:val="00C92C0A"/>
    <w:rsid w:val="00C92EBC"/>
    <w:rsid w:val="00C94947"/>
    <w:rsid w:val="00C95888"/>
    <w:rsid w:val="00C9687A"/>
    <w:rsid w:val="00CA02D1"/>
    <w:rsid w:val="00CA1B60"/>
    <w:rsid w:val="00CA490C"/>
    <w:rsid w:val="00CA4975"/>
    <w:rsid w:val="00CA7A8F"/>
    <w:rsid w:val="00CB006D"/>
    <w:rsid w:val="00CB0DB6"/>
    <w:rsid w:val="00CB2D9F"/>
    <w:rsid w:val="00CB45C7"/>
    <w:rsid w:val="00CB523C"/>
    <w:rsid w:val="00CB6632"/>
    <w:rsid w:val="00CB76D2"/>
    <w:rsid w:val="00CC3F97"/>
    <w:rsid w:val="00CC4DB6"/>
    <w:rsid w:val="00CC56CB"/>
    <w:rsid w:val="00CC6278"/>
    <w:rsid w:val="00CC6A85"/>
    <w:rsid w:val="00CC7A9E"/>
    <w:rsid w:val="00CD0EB4"/>
    <w:rsid w:val="00CD3AF0"/>
    <w:rsid w:val="00CD46BA"/>
    <w:rsid w:val="00CD6E2A"/>
    <w:rsid w:val="00CD74E9"/>
    <w:rsid w:val="00CD7AAC"/>
    <w:rsid w:val="00CD7D97"/>
    <w:rsid w:val="00CD7E32"/>
    <w:rsid w:val="00CE0199"/>
    <w:rsid w:val="00CE51BA"/>
    <w:rsid w:val="00CE712C"/>
    <w:rsid w:val="00CF35D8"/>
    <w:rsid w:val="00D01652"/>
    <w:rsid w:val="00D0449B"/>
    <w:rsid w:val="00D12DD9"/>
    <w:rsid w:val="00D15FF7"/>
    <w:rsid w:val="00D1754B"/>
    <w:rsid w:val="00D20C63"/>
    <w:rsid w:val="00D2366D"/>
    <w:rsid w:val="00D2532E"/>
    <w:rsid w:val="00D2553A"/>
    <w:rsid w:val="00D25CA6"/>
    <w:rsid w:val="00D30863"/>
    <w:rsid w:val="00D30FD7"/>
    <w:rsid w:val="00D320D7"/>
    <w:rsid w:val="00D4008B"/>
    <w:rsid w:val="00D416AB"/>
    <w:rsid w:val="00D42CA1"/>
    <w:rsid w:val="00D44FBC"/>
    <w:rsid w:val="00D4516C"/>
    <w:rsid w:val="00D46AA1"/>
    <w:rsid w:val="00D46C0A"/>
    <w:rsid w:val="00D47034"/>
    <w:rsid w:val="00D47F56"/>
    <w:rsid w:val="00D508A1"/>
    <w:rsid w:val="00D511C6"/>
    <w:rsid w:val="00D511D7"/>
    <w:rsid w:val="00D51DB7"/>
    <w:rsid w:val="00D525E0"/>
    <w:rsid w:val="00D53241"/>
    <w:rsid w:val="00D53F28"/>
    <w:rsid w:val="00D65B5F"/>
    <w:rsid w:val="00D76F7A"/>
    <w:rsid w:val="00D77B48"/>
    <w:rsid w:val="00D862E4"/>
    <w:rsid w:val="00D8670A"/>
    <w:rsid w:val="00D93A72"/>
    <w:rsid w:val="00D94FDF"/>
    <w:rsid w:val="00D957AB"/>
    <w:rsid w:val="00D95B28"/>
    <w:rsid w:val="00D96107"/>
    <w:rsid w:val="00D974D4"/>
    <w:rsid w:val="00D97E2E"/>
    <w:rsid w:val="00D97EEC"/>
    <w:rsid w:val="00DA2812"/>
    <w:rsid w:val="00DA2CEF"/>
    <w:rsid w:val="00DA3EB6"/>
    <w:rsid w:val="00DB1610"/>
    <w:rsid w:val="00DB34B7"/>
    <w:rsid w:val="00DB366C"/>
    <w:rsid w:val="00DB4908"/>
    <w:rsid w:val="00DB57A5"/>
    <w:rsid w:val="00DB783F"/>
    <w:rsid w:val="00DC08AF"/>
    <w:rsid w:val="00DC1565"/>
    <w:rsid w:val="00DC4719"/>
    <w:rsid w:val="00DC5DF9"/>
    <w:rsid w:val="00DD07CE"/>
    <w:rsid w:val="00DD22B5"/>
    <w:rsid w:val="00DD42C1"/>
    <w:rsid w:val="00DD52BF"/>
    <w:rsid w:val="00DD5863"/>
    <w:rsid w:val="00DD7B76"/>
    <w:rsid w:val="00DE1BC0"/>
    <w:rsid w:val="00DE465B"/>
    <w:rsid w:val="00DE50C5"/>
    <w:rsid w:val="00DE7BF7"/>
    <w:rsid w:val="00DF0229"/>
    <w:rsid w:val="00DF0FA4"/>
    <w:rsid w:val="00DF1595"/>
    <w:rsid w:val="00DF3C33"/>
    <w:rsid w:val="00DF56ED"/>
    <w:rsid w:val="00DF5BCF"/>
    <w:rsid w:val="00E03E63"/>
    <w:rsid w:val="00E03E8D"/>
    <w:rsid w:val="00E05FD7"/>
    <w:rsid w:val="00E06A0B"/>
    <w:rsid w:val="00E07D09"/>
    <w:rsid w:val="00E135BC"/>
    <w:rsid w:val="00E13C29"/>
    <w:rsid w:val="00E13DEC"/>
    <w:rsid w:val="00E153F3"/>
    <w:rsid w:val="00E16899"/>
    <w:rsid w:val="00E17263"/>
    <w:rsid w:val="00E20E8B"/>
    <w:rsid w:val="00E2354C"/>
    <w:rsid w:val="00E306CE"/>
    <w:rsid w:val="00E31F63"/>
    <w:rsid w:val="00E35FA1"/>
    <w:rsid w:val="00E40772"/>
    <w:rsid w:val="00E41834"/>
    <w:rsid w:val="00E42BDA"/>
    <w:rsid w:val="00E44093"/>
    <w:rsid w:val="00E449FD"/>
    <w:rsid w:val="00E44B15"/>
    <w:rsid w:val="00E46A95"/>
    <w:rsid w:val="00E46CE4"/>
    <w:rsid w:val="00E52477"/>
    <w:rsid w:val="00E52655"/>
    <w:rsid w:val="00E52DCB"/>
    <w:rsid w:val="00E5440B"/>
    <w:rsid w:val="00E61820"/>
    <w:rsid w:val="00E61936"/>
    <w:rsid w:val="00E6488C"/>
    <w:rsid w:val="00E70613"/>
    <w:rsid w:val="00E70F9E"/>
    <w:rsid w:val="00E717C8"/>
    <w:rsid w:val="00E729CA"/>
    <w:rsid w:val="00E747B2"/>
    <w:rsid w:val="00E81A0D"/>
    <w:rsid w:val="00E8297D"/>
    <w:rsid w:val="00E82AE2"/>
    <w:rsid w:val="00E8371E"/>
    <w:rsid w:val="00E878D9"/>
    <w:rsid w:val="00E87AA7"/>
    <w:rsid w:val="00E908F1"/>
    <w:rsid w:val="00E92352"/>
    <w:rsid w:val="00E93740"/>
    <w:rsid w:val="00E93FFA"/>
    <w:rsid w:val="00E95170"/>
    <w:rsid w:val="00E96C61"/>
    <w:rsid w:val="00E973A1"/>
    <w:rsid w:val="00E97C11"/>
    <w:rsid w:val="00EA0370"/>
    <w:rsid w:val="00EA1407"/>
    <w:rsid w:val="00EA2750"/>
    <w:rsid w:val="00EA49AC"/>
    <w:rsid w:val="00EA5E80"/>
    <w:rsid w:val="00EA7155"/>
    <w:rsid w:val="00EA7F48"/>
    <w:rsid w:val="00EB1811"/>
    <w:rsid w:val="00EB544C"/>
    <w:rsid w:val="00EB7CAB"/>
    <w:rsid w:val="00EC1061"/>
    <w:rsid w:val="00EC176A"/>
    <w:rsid w:val="00EC21FE"/>
    <w:rsid w:val="00EC4E55"/>
    <w:rsid w:val="00EC575C"/>
    <w:rsid w:val="00EC5D5F"/>
    <w:rsid w:val="00EC7A10"/>
    <w:rsid w:val="00ED0F27"/>
    <w:rsid w:val="00ED312D"/>
    <w:rsid w:val="00ED3899"/>
    <w:rsid w:val="00ED780B"/>
    <w:rsid w:val="00ED7BAF"/>
    <w:rsid w:val="00EE1420"/>
    <w:rsid w:val="00EE47D1"/>
    <w:rsid w:val="00EE59A6"/>
    <w:rsid w:val="00EE5B70"/>
    <w:rsid w:val="00EE5B85"/>
    <w:rsid w:val="00EE77C6"/>
    <w:rsid w:val="00EE7C64"/>
    <w:rsid w:val="00EF1077"/>
    <w:rsid w:val="00EF17C0"/>
    <w:rsid w:val="00EF21FD"/>
    <w:rsid w:val="00EF2BE3"/>
    <w:rsid w:val="00EF4F8B"/>
    <w:rsid w:val="00EF77F8"/>
    <w:rsid w:val="00EF7D1C"/>
    <w:rsid w:val="00F01691"/>
    <w:rsid w:val="00F07759"/>
    <w:rsid w:val="00F11878"/>
    <w:rsid w:val="00F14160"/>
    <w:rsid w:val="00F145E2"/>
    <w:rsid w:val="00F14AE8"/>
    <w:rsid w:val="00F14F39"/>
    <w:rsid w:val="00F240A6"/>
    <w:rsid w:val="00F2559A"/>
    <w:rsid w:val="00F2748D"/>
    <w:rsid w:val="00F3083F"/>
    <w:rsid w:val="00F31239"/>
    <w:rsid w:val="00F31563"/>
    <w:rsid w:val="00F341FA"/>
    <w:rsid w:val="00F34E18"/>
    <w:rsid w:val="00F357C3"/>
    <w:rsid w:val="00F361E0"/>
    <w:rsid w:val="00F37AFE"/>
    <w:rsid w:val="00F407F3"/>
    <w:rsid w:val="00F413A3"/>
    <w:rsid w:val="00F428E9"/>
    <w:rsid w:val="00F444CB"/>
    <w:rsid w:val="00F44769"/>
    <w:rsid w:val="00F47C55"/>
    <w:rsid w:val="00F5075C"/>
    <w:rsid w:val="00F51B2A"/>
    <w:rsid w:val="00F529F7"/>
    <w:rsid w:val="00F52B88"/>
    <w:rsid w:val="00F54259"/>
    <w:rsid w:val="00F57E3C"/>
    <w:rsid w:val="00F602C0"/>
    <w:rsid w:val="00F61165"/>
    <w:rsid w:val="00F62BDB"/>
    <w:rsid w:val="00F66828"/>
    <w:rsid w:val="00F66920"/>
    <w:rsid w:val="00F66FD9"/>
    <w:rsid w:val="00F67A5C"/>
    <w:rsid w:val="00F67F34"/>
    <w:rsid w:val="00F723D2"/>
    <w:rsid w:val="00F72737"/>
    <w:rsid w:val="00F74E67"/>
    <w:rsid w:val="00F76F3D"/>
    <w:rsid w:val="00F77074"/>
    <w:rsid w:val="00F8187C"/>
    <w:rsid w:val="00F81EFE"/>
    <w:rsid w:val="00F86A86"/>
    <w:rsid w:val="00F90ECF"/>
    <w:rsid w:val="00F9232F"/>
    <w:rsid w:val="00F93194"/>
    <w:rsid w:val="00F93247"/>
    <w:rsid w:val="00F93B9C"/>
    <w:rsid w:val="00F94C2A"/>
    <w:rsid w:val="00F9610D"/>
    <w:rsid w:val="00F96FAC"/>
    <w:rsid w:val="00F971A0"/>
    <w:rsid w:val="00FA0517"/>
    <w:rsid w:val="00FA2C6E"/>
    <w:rsid w:val="00FA6170"/>
    <w:rsid w:val="00FA6B51"/>
    <w:rsid w:val="00FA7C65"/>
    <w:rsid w:val="00FB0436"/>
    <w:rsid w:val="00FB1FB0"/>
    <w:rsid w:val="00FB2DD4"/>
    <w:rsid w:val="00FB4D4E"/>
    <w:rsid w:val="00FB5C51"/>
    <w:rsid w:val="00FB7CC4"/>
    <w:rsid w:val="00FC0086"/>
    <w:rsid w:val="00FC0302"/>
    <w:rsid w:val="00FC1836"/>
    <w:rsid w:val="00FC348D"/>
    <w:rsid w:val="00FC3C90"/>
    <w:rsid w:val="00FC3D09"/>
    <w:rsid w:val="00FC4BCC"/>
    <w:rsid w:val="00FC6C36"/>
    <w:rsid w:val="00FC77C8"/>
    <w:rsid w:val="00FD14EB"/>
    <w:rsid w:val="00FD183C"/>
    <w:rsid w:val="00FE3747"/>
    <w:rsid w:val="00FE50BF"/>
    <w:rsid w:val="00FE5895"/>
    <w:rsid w:val="00FE7D28"/>
    <w:rsid w:val="00FF02BD"/>
    <w:rsid w:val="00FF141C"/>
    <w:rsid w:val="00FF22B7"/>
    <w:rsid w:val="00FF2D8E"/>
    <w:rsid w:val="00FF4F00"/>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EF7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3"/>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4"/>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2"/>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5"/>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1"/>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8"/>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9"/>
      </w:numPr>
    </w:pPr>
  </w:style>
  <w:style w:type="paragraph" w:customStyle="1" w:styleId="LL">
    <w:name w:val="LL"/>
    <w:basedOn w:val="ListBullet2Compact"/>
    <w:rsid w:val="00F11878"/>
    <w:pPr>
      <w:numPr>
        <w:numId w:val="7"/>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0"/>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1"/>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8"/>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8"/>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8"/>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6"/>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n">
    <w:name w:val="Revision"/>
    <w:hidden/>
    <w:uiPriority w:val="99"/>
    <w:semiHidden/>
    <w:rsid w:val="0082298D"/>
    <w:rPr>
      <w:sz w:val="22"/>
      <w:szCs w:val="22"/>
      <w:lang w:eastAsia="en-US"/>
    </w:rPr>
  </w:style>
  <w:style w:type="character" w:customStyle="1" w:styleId="SinespaciadoCar">
    <w:name w:val="Sin espaciado Car"/>
    <w:basedOn w:val="Fuentedeprrafopredeter"/>
    <w:link w:val="Sinespaciado"/>
    <w:uiPriority w:val="1"/>
    <w:locked/>
    <w:rsid w:val="0040104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59333857">
      <w:bodyDiv w:val="1"/>
      <w:marLeft w:val="0"/>
      <w:marRight w:val="0"/>
      <w:marTop w:val="0"/>
      <w:marBottom w:val="0"/>
      <w:divBdr>
        <w:top w:val="none" w:sz="0" w:space="0" w:color="auto"/>
        <w:left w:val="none" w:sz="0" w:space="0" w:color="auto"/>
        <w:bottom w:val="none" w:sz="0" w:space="0" w:color="auto"/>
        <w:right w:val="none" w:sz="0" w:space="0" w:color="auto"/>
      </w:divBdr>
    </w:div>
    <w:div w:id="12721207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491724096">
      <w:bodyDiv w:val="1"/>
      <w:marLeft w:val="0"/>
      <w:marRight w:val="0"/>
      <w:marTop w:val="0"/>
      <w:marBottom w:val="0"/>
      <w:divBdr>
        <w:top w:val="none" w:sz="0" w:space="0" w:color="auto"/>
        <w:left w:val="none" w:sz="0" w:space="0" w:color="auto"/>
        <w:bottom w:val="none" w:sz="0" w:space="0" w:color="auto"/>
        <w:right w:val="none" w:sz="0" w:space="0" w:color="auto"/>
      </w:divBdr>
    </w:div>
    <w:div w:id="551617489">
      <w:bodyDiv w:val="1"/>
      <w:marLeft w:val="0"/>
      <w:marRight w:val="0"/>
      <w:marTop w:val="0"/>
      <w:marBottom w:val="0"/>
      <w:divBdr>
        <w:top w:val="none" w:sz="0" w:space="0" w:color="auto"/>
        <w:left w:val="none" w:sz="0" w:space="0" w:color="auto"/>
        <w:bottom w:val="none" w:sz="0" w:space="0" w:color="auto"/>
        <w:right w:val="none" w:sz="0" w:space="0" w:color="auto"/>
      </w:divBdr>
    </w:div>
    <w:div w:id="598954533">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96586488">
      <w:bodyDiv w:val="1"/>
      <w:marLeft w:val="0"/>
      <w:marRight w:val="0"/>
      <w:marTop w:val="0"/>
      <w:marBottom w:val="0"/>
      <w:divBdr>
        <w:top w:val="none" w:sz="0" w:space="0" w:color="auto"/>
        <w:left w:val="none" w:sz="0" w:space="0" w:color="auto"/>
        <w:bottom w:val="none" w:sz="0" w:space="0" w:color="auto"/>
        <w:right w:val="none" w:sz="0" w:space="0" w:color="auto"/>
      </w:divBdr>
    </w:div>
    <w:div w:id="697388699">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8817029">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56569265">
      <w:bodyDiv w:val="1"/>
      <w:marLeft w:val="0"/>
      <w:marRight w:val="0"/>
      <w:marTop w:val="0"/>
      <w:marBottom w:val="0"/>
      <w:divBdr>
        <w:top w:val="none" w:sz="0" w:space="0" w:color="auto"/>
        <w:left w:val="none" w:sz="0" w:space="0" w:color="auto"/>
        <w:bottom w:val="none" w:sz="0" w:space="0" w:color="auto"/>
        <w:right w:val="none" w:sz="0" w:space="0" w:color="auto"/>
      </w:divBdr>
      <w:divsChild>
        <w:div w:id="1955091176">
          <w:marLeft w:val="0"/>
          <w:marRight w:val="0"/>
          <w:marTop w:val="0"/>
          <w:marBottom w:val="0"/>
          <w:divBdr>
            <w:top w:val="none" w:sz="0" w:space="0" w:color="auto"/>
            <w:left w:val="none" w:sz="0" w:space="0" w:color="auto"/>
            <w:bottom w:val="none" w:sz="0" w:space="0" w:color="auto"/>
            <w:right w:val="none" w:sz="0" w:space="0" w:color="auto"/>
          </w:divBdr>
          <w:divsChild>
            <w:div w:id="5098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07255099">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3028760">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65255446">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73283346">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57062549">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 w:id="205091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2c4975a522403e03402feaa9c4d1eec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2.xml><?xml version="1.0" encoding="utf-8"?>
<ds:datastoreItem xmlns:ds="http://schemas.openxmlformats.org/officeDocument/2006/customXml" ds:itemID="{61EE86D0-D9AD-4F2D-80FA-2BD893FB7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9C6B72-09F2-4EEB-A10F-25FD580A4D3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0B3918E-9DE9-4D75-A56E-5D545862C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3490</Words>
  <Characters>19199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2015-02-27T18:54:00Z</cp:lastPrinted>
  <dcterms:created xsi:type="dcterms:W3CDTF">2016-06-06T19:22:00Z</dcterms:created>
  <dcterms:modified xsi:type="dcterms:W3CDTF">2016-06-15T16:22:00Z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