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4A" w:rsidRPr="008A514A" w:rsidRDefault="009312DC" w:rsidP="008A514A">
      <w:pPr>
        <w:pStyle w:val="Ttulo1"/>
        <w:spacing w:after="240" w:line="240" w:lineRule="auto"/>
        <w:jc w:val="both"/>
        <w:rPr>
          <w:rFonts w:ascii="ITC Avant Garde" w:hAnsi="ITC Avant Garde"/>
          <w:b/>
          <w:color w:val="000000" w:themeColor="text1"/>
          <w:sz w:val="22"/>
          <w:szCs w:val="22"/>
          <w:lang w:eastAsia="es-MX"/>
        </w:rPr>
      </w:pPr>
      <w:r w:rsidRPr="008A514A">
        <w:rPr>
          <w:rFonts w:ascii="ITC Avant Garde" w:hAnsi="ITC Avant Garde"/>
          <w:b/>
          <w:color w:val="000000" w:themeColor="text1"/>
          <w:sz w:val="22"/>
          <w:szCs w:val="22"/>
          <w:lang w:eastAsia="es-MX"/>
        </w:rPr>
        <w:t xml:space="preserve">RESOLUCIÓN MEDIANTE LA CUAL EL PLENO DEL INSTITUTO FEDERAL DE TELECOMUNICACIONES AUTORIZA A LA EMPRESA </w:t>
      </w:r>
      <w:r w:rsidR="004C18B1" w:rsidRPr="008A514A">
        <w:rPr>
          <w:rFonts w:ascii="ITC Avant Garde" w:hAnsi="ITC Avant Garde"/>
          <w:b/>
          <w:color w:val="000000" w:themeColor="text1"/>
          <w:sz w:val="22"/>
          <w:szCs w:val="22"/>
          <w:lang w:eastAsia="es-MX"/>
        </w:rPr>
        <w:t>RADIOCOMUNICACIONES Y SERVICIOS, S.A. DE C.V.</w:t>
      </w:r>
      <w:r w:rsidRPr="008A514A">
        <w:rPr>
          <w:rFonts w:ascii="ITC Avant Garde" w:hAnsi="ITC Avant Garde"/>
          <w:b/>
          <w:color w:val="000000" w:themeColor="text1"/>
          <w:sz w:val="22"/>
          <w:szCs w:val="22"/>
          <w:lang w:eastAsia="es-MX"/>
        </w:rPr>
        <w:t xml:space="preserve">, EL CAMBIO DE </w:t>
      </w:r>
      <w:r w:rsidR="004C18B1" w:rsidRPr="008A514A">
        <w:rPr>
          <w:rFonts w:ascii="ITC Avant Garde" w:hAnsi="ITC Avant Garde"/>
          <w:b/>
          <w:color w:val="000000" w:themeColor="text1"/>
          <w:sz w:val="22"/>
          <w:szCs w:val="22"/>
          <w:lang w:eastAsia="es-MX"/>
        </w:rPr>
        <w:t xml:space="preserve">LAS </w:t>
      </w:r>
      <w:r w:rsidRPr="008A514A">
        <w:rPr>
          <w:rFonts w:ascii="ITC Avant Garde" w:hAnsi="ITC Avant Garde"/>
          <w:b/>
          <w:color w:val="000000" w:themeColor="text1"/>
          <w:sz w:val="22"/>
          <w:szCs w:val="22"/>
          <w:lang w:eastAsia="es-MX"/>
        </w:rPr>
        <w:t xml:space="preserve">BANDAS DE FRECUENCIAS DEL ESPECTRO RADIOELÉCTRICO </w:t>
      </w:r>
      <w:r w:rsidR="004C18B1" w:rsidRPr="008A514A">
        <w:rPr>
          <w:rFonts w:ascii="ITC Avant Garde" w:hAnsi="ITC Avant Garde"/>
          <w:b/>
          <w:color w:val="000000" w:themeColor="text1"/>
          <w:sz w:val="22"/>
          <w:szCs w:val="22"/>
          <w:lang w:eastAsia="es-MX"/>
        </w:rPr>
        <w:t xml:space="preserve">QUE TIENE CONCESIONADAS </w:t>
      </w:r>
      <w:r w:rsidRPr="008A514A">
        <w:rPr>
          <w:rFonts w:ascii="ITC Avant Garde" w:hAnsi="ITC Avant Garde"/>
          <w:b/>
          <w:color w:val="000000" w:themeColor="text1"/>
          <w:sz w:val="22"/>
          <w:szCs w:val="22"/>
          <w:lang w:eastAsia="es-MX"/>
        </w:rPr>
        <w:t xml:space="preserve">DENTRO DE LA BANDA </w:t>
      </w:r>
      <w:r w:rsidR="004C18B1" w:rsidRPr="008A514A">
        <w:rPr>
          <w:rFonts w:ascii="ITC Avant Garde" w:hAnsi="ITC Avant Garde"/>
          <w:b/>
          <w:color w:val="000000" w:themeColor="text1"/>
          <w:sz w:val="22"/>
          <w:szCs w:val="22"/>
          <w:lang w:eastAsia="es-MX"/>
        </w:rPr>
        <w:t xml:space="preserve">DE FRECUENCIAS </w:t>
      </w:r>
      <w:r w:rsidRPr="008A514A">
        <w:rPr>
          <w:rFonts w:ascii="ITC Avant Garde" w:hAnsi="ITC Avant Garde"/>
          <w:b/>
          <w:color w:val="000000" w:themeColor="text1"/>
          <w:sz w:val="22"/>
          <w:szCs w:val="22"/>
          <w:lang w:eastAsia="es-MX"/>
        </w:rPr>
        <w:t>410-430 MHZ.</w:t>
      </w:r>
    </w:p>
    <w:p w:rsidR="008A514A" w:rsidRPr="008A514A" w:rsidRDefault="009312DC" w:rsidP="008A514A">
      <w:pPr>
        <w:pStyle w:val="Ttulo2"/>
        <w:spacing w:after="240"/>
        <w:jc w:val="center"/>
        <w:rPr>
          <w:rFonts w:ascii="ITC Avant Garde" w:hAnsi="ITC Avant Garde"/>
          <w:b/>
          <w:color w:val="000000" w:themeColor="text1"/>
          <w:sz w:val="22"/>
          <w:szCs w:val="22"/>
        </w:rPr>
      </w:pPr>
      <w:r w:rsidRPr="008A514A">
        <w:rPr>
          <w:rFonts w:ascii="ITC Avant Garde" w:hAnsi="ITC Avant Garde"/>
          <w:b/>
          <w:color w:val="000000" w:themeColor="text1"/>
          <w:sz w:val="22"/>
          <w:szCs w:val="22"/>
        </w:rPr>
        <w:t>ANTECEDENTES</w:t>
      </w:r>
    </w:p>
    <w:p w:rsidR="008A514A" w:rsidRPr="008A514A" w:rsidRDefault="009312DC" w:rsidP="008A514A">
      <w:pPr>
        <w:numPr>
          <w:ilvl w:val="0"/>
          <w:numId w:val="1"/>
        </w:numPr>
        <w:spacing w:before="240" w:line="240" w:lineRule="auto"/>
        <w:ind w:left="567" w:hanging="567"/>
        <w:jc w:val="both"/>
        <w:rPr>
          <w:rFonts w:ascii="ITC Avant Garde" w:hAnsi="ITC Avant Garde"/>
          <w:bCs/>
          <w:color w:val="000000"/>
          <w:lang w:eastAsia="es-MX"/>
        </w:rPr>
      </w:pPr>
      <w:r w:rsidRPr="008A514A">
        <w:rPr>
          <w:rFonts w:ascii="ITC Avant Garde" w:hAnsi="ITC Avant Garde"/>
          <w:b/>
          <w:bCs/>
          <w:color w:val="000000"/>
          <w:lang w:eastAsia="es-MX"/>
        </w:rPr>
        <w:t xml:space="preserve">Decreto de Reforma Constitucional. </w:t>
      </w:r>
      <w:r w:rsidRPr="008A514A">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(el “Instituto”), como un órgano autónomo que tiene por objeto el desarrollo eficiente de la radiodifusión y las telecomunicaciones.</w:t>
      </w:r>
    </w:p>
    <w:p w:rsidR="008A514A" w:rsidRPr="008A514A" w:rsidRDefault="009312DC" w:rsidP="008A514A">
      <w:pPr>
        <w:numPr>
          <w:ilvl w:val="0"/>
          <w:numId w:val="1"/>
        </w:numPr>
        <w:spacing w:before="240" w:line="240" w:lineRule="auto"/>
        <w:ind w:left="567"/>
        <w:jc w:val="both"/>
        <w:rPr>
          <w:rFonts w:ascii="ITC Avant Garde" w:hAnsi="ITC Avant Garde"/>
          <w:bCs/>
          <w:color w:val="000000"/>
          <w:lang w:eastAsia="es-MX"/>
        </w:rPr>
      </w:pPr>
      <w:r w:rsidRPr="008A514A">
        <w:rPr>
          <w:rFonts w:ascii="ITC Avant Garde" w:hAnsi="ITC Avant Garde"/>
          <w:b/>
          <w:bCs/>
          <w:color w:val="000000" w:themeColor="text1"/>
          <w:lang w:eastAsia="es-MX"/>
        </w:rPr>
        <w:t xml:space="preserve">Decreto de Ley. </w:t>
      </w:r>
      <w:r w:rsidRPr="008A514A">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p>
    <w:p w:rsidR="008A514A" w:rsidRPr="008A514A" w:rsidRDefault="009312DC" w:rsidP="008A514A">
      <w:pPr>
        <w:numPr>
          <w:ilvl w:val="0"/>
          <w:numId w:val="1"/>
        </w:numPr>
        <w:spacing w:before="240" w:line="240" w:lineRule="auto"/>
        <w:ind w:left="567"/>
        <w:jc w:val="both"/>
        <w:rPr>
          <w:rFonts w:ascii="ITC Avant Garde" w:hAnsi="ITC Avant Garde"/>
          <w:bCs/>
          <w:color w:val="000000"/>
          <w:lang w:eastAsia="es-MX"/>
        </w:rPr>
      </w:pPr>
      <w:r w:rsidRPr="008A514A">
        <w:rPr>
          <w:rFonts w:ascii="ITC Avant Garde" w:hAnsi="ITC Avant Garde" w:cs="Arial"/>
          <w:b/>
          <w:bCs/>
          <w:color w:val="000000"/>
          <w:shd w:val="clear" w:color="auto" w:fill="FFFFFF"/>
        </w:rPr>
        <w:t>Estatuto Orgánico.</w:t>
      </w:r>
      <w:r w:rsidRPr="008A514A">
        <w:rPr>
          <w:rStyle w:val="apple-converted-space"/>
          <w:rFonts w:ascii="ITC Avant Garde" w:hAnsi="ITC Avant Garde" w:cs="Arial"/>
          <w:b/>
          <w:bCs/>
          <w:color w:val="000000"/>
          <w:shd w:val="clear" w:color="auto" w:fill="FFFFFF"/>
        </w:rPr>
        <w:t xml:space="preserve"> </w:t>
      </w:r>
      <w:r w:rsidRPr="008A514A">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w:t>
      </w:r>
      <w:r w:rsidR="00716500" w:rsidRPr="008A514A">
        <w:rPr>
          <w:rFonts w:ascii="ITC Avant Garde" w:hAnsi="ITC Avant Garde"/>
          <w:color w:val="000000"/>
          <w:shd w:val="clear" w:color="auto" w:fill="FFFFFF"/>
        </w:rPr>
        <w:t>gor el 26 de septiembre de 2014</w:t>
      </w:r>
      <w:r w:rsidRPr="008A514A">
        <w:rPr>
          <w:rFonts w:ascii="ITC Avant Garde" w:hAnsi="ITC Avant Garde"/>
          <w:color w:val="000000"/>
          <w:shd w:val="clear" w:color="auto" w:fill="FFFFFF"/>
        </w:rPr>
        <w:t xml:space="preserve"> y fue modificado </w:t>
      </w:r>
      <w:r w:rsidR="00716500" w:rsidRPr="008A514A">
        <w:rPr>
          <w:rFonts w:ascii="ITC Avant Garde" w:hAnsi="ITC Avant Garde"/>
          <w:color w:val="000000"/>
          <w:shd w:val="clear" w:color="auto" w:fill="FFFFFF"/>
        </w:rPr>
        <w:t xml:space="preserve">por última vez </w:t>
      </w:r>
      <w:r w:rsidRPr="008A514A">
        <w:rPr>
          <w:rFonts w:ascii="ITC Avant Garde" w:hAnsi="ITC Avant Garde"/>
          <w:color w:val="000000"/>
          <w:shd w:val="clear" w:color="auto" w:fill="FFFFFF"/>
        </w:rPr>
        <w:t xml:space="preserve">el 17 de octubre de </w:t>
      </w:r>
      <w:r w:rsidR="00716500" w:rsidRPr="008A514A">
        <w:rPr>
          <w:rFonts w:ascii="ITC Avant Garde" w:hAnsi="ITC Avant Garde"/>
          <w:color w:val="000000"/>
          <w:shd w:val="clear" w:color="auto" w:fill="FFFFFF"/>
        </w:rPr>
        <w:t>2016</w:t>
      </w:r>
      <w:r w:rsidRPr="008A514A">
        <w:rPr>
          <w:rFonts w:ascii="ITC Avant Garde" w:hAnsi="ITC Avant Garde"/>
          <w:color w:val="000000"/>
          <w:shd w:val="clear" w:color="auto" w:fill="FFFFFF"/>
        </w:rPr>
        <w:t>.</w:t>
      </w:r>
    </w:p>
    <w:p w:rsidR="008A514A" w:rsidRDefault="00716500" w:rsidP="008A514A">
      <w:pPr>
        <w:numPr>
          <w:ilvl w:val="0"/>
          <w:numId w:val="1"/>
        </w:numPr>
        <w:spacing w:before="240" w:line="240" w:lineRule="auto"/>
        <w:ind w:left="567"/>
        <w:jc w:val="both"/>
        <w:rPr>
          <w:rFonts w:ascii="ITC Avant Garde" w:hAnsi="ITC Avant Garde"/>
          <w:bCs/>
          <w:color w:val="000000"/>
          <w:lang w:eastAsia="es-MX"/>
        </w:rPr>
      </w:pPr>
      <w:r w:rsidRPr="008A514A">
        <w:rPr>
          <w:rFonts w:ascii="ITC Avant Garde" w:hAnsi="ITC Avant Garde"/>
          <w:b/>
          <w:bCs/>
          <w:color w:val="000000"/>
          <w:lang w:eastAsia="es-MX"/>
        </w:rPr>
        <w:t xml:space="preserve">Otorgamiento de la Concesión. </w:t>
      </w:r>
      <w:r w:rsidRPr="008A514A">
        <w:rPr>
          <w:rFonts w:ascii="ITC Avant Garde" w:hAnsi="ITC Avant Garde"/>
          <w:bCs/>
          <w:color w:val="000000"/>
          <w:lang w:eastAsia="es-MX"/>
        </w:rPr>
        <w:t>El 6 de junio de 2016, el Instituto otorgó a Radiocomunicaciones y Servicios, S.A. de C.V., un título de concesión para usar, aprovechar y explotar bandas de frecuencias del espectro radioeléctrico para uso comercial, con una vigencia de 20</w:t>
      </w:r>
      <w:r w:rsidR="00AF0A1E" w:rsidRPr="008A514A">
        <w:rPr>
          <w:rFonts w:ascii="ITC Avant Garde" w:hAnsi="ITC Avant Garde"/>
          <w:bCs/>
          <w:color w:val="000000"/>
          <w:lang w:eastAsia="es-MX"/>
        </w:rPr>
        <w:t xml:space="preserve"> (veinte)</w:t>
      </w:r>
      <w:r w:rsidRPr="008A514A">
        <w:rPr>
          <w:rFonts w:ascii="ITC Avant Garde" w:hAnsi="ITC Avant Garde"/>
          <w:bCs/>
          <w:color w:val="000000"/>
          <w:lang w:eastAsia="es-MX"/>
        </w:rPr>
        <w:t xml:space="preserve"> años, contados a partir del 4 de junio de 2009, para la prestación del servicio móvil de radiocomunicación especializada de flotillas</w:t>
      </w:r>
      <w:r w:rsidR="00A171F6" w:rsidRPr="008A514A">
        <w:rPr>
          <w:rFonts w:ascii="ITC Avant Garde" w:hAnsi="ITC Avant Garde"/>
          <w:bCs/>
          <w:color w:val="000000"/>
          <w:lang w:eastAsia="es-MX"/>
        </w:rPr>
        <w:t xml:space="preserve"> (la “Concesión”)</w:t>
      </w:r>
      <w:r w:rsidRPr="008A514A">
        <w:rPr>
          <w:rFonts w:ascii="ITC Avant Garde" w:hAnsi="ITC Avant Garde"/>
          <w:bCs/>
          <w:color w:val="000000"/>
          <w:lang w:eastAsia="es-MX"/>
        </w:rPr>
        <w:t>, utilizando los pares de frecuencias de la banda de frecuencias 410-430 MHz en la cobertura geográfica que se indica a continuación:</w:t>
      </w:r>
      <w:r w:rsidR="008A514A">
        <w:rPr>
          <w:rFonts w:ascii="ITC Avant Garde" w:hAnsi="ITC Avant Garde"/>
          <w:bCs/>
          <w:color w:val="000000"/>
          <w:lang w:eastAsia="es-MX"/>
        </w:rPr>
        <w:br w:type="page"/>
      </w:r>
    </w:p>
    <w:tbl>
      <w:tblPr>
        <w:tblStyle w:val="Tablaconcuadrcula"/>
        <w:tblW w:w="0" w:type="auto"/>
        <w:jc w:val="center"/>
        <w:tblLayout w:type="fixed"/>
        <w:tblLook w:val="04A0" w:firstRow="1" w:lastRow="0" w:firstColumn="1" w:lastColumn="0" w:noHBand="0" w:noVBand="1"/>
        <w:tblCaption w:val="Cobertura del otorgamiento de la Concesión"/>
        <w:tblDescription w:val="En una tabla de 3 columnas, se proporcionan grupos de asignación de bandas por estado y municipio"/>
      </w:tblPr>
      <w:tblGrid>
        <w:gridCol w:w="2263"/>
        <w:gridCol w:w="3201"/>
        <w:gridCol w:w="1969"/>
      </w:tblGrid>
      <w:tr w:rsidR="008A514A" w:rsidRPr="008A514A" w:rsidTr="00271761">
        <w:trPr>
          <w:trHeight w:val="228"/>
          <w:tblHeader/>
          <w:jc w:val="center"/>
        </w:trPr>
        <w:tc>
          <w:tcPr>
            <w:tcW w:w="2263" w:type="dxa"/>
            <w:tcBorders>
              <w:right w:val="nil"/>
            </w:tcBorders>
            <w:shd w:val="clear" w:color="auto" w:fill="BFBFBF" w:themeFill="background1" w:themeFillShade="BF"/>
            <w:vAlign w:val="center"/>
          </w:tcPr>
          <w:p w:rsidR="008A514A" w:rsidRPr="008A514A" w:rsidRDefault="008A514A" w:rsidP="008A514A">
            <w:pPr>
              <w:spacing w:after="0"/>
              <w:jc w:val="center"/>
              <w:rPr>
                <w:rFonts w:ascii="ITC Avant Garde" w:hAnsi="ITC Avant Garde"/>
                <w:b/>
                <w:sz w:val="2"/>
                <w:szCs w:val="2"/>
              </w:rPr>
            </w:pPr>
            <w:r w:rsidRPr="008A514A">
              <w:rPr>
                <w:rFonts w:ascii="ITC Avant Garde" w:hAnsi="ITC Avant Garde"/>
                <w:b/>
                <w:sz w:val="2"/>
                <w:szCs w:val="2"/>
              </w:rPr>
              <w:lastRenderedPageBreak/>
              <w:t>.</w:t>
            </w:r>
          </w:p>
        </w:tc>
        <w:tc>
          <w:tcPr>
            <w:tcW w:w="3201" w:type="dxa"/>
            <w:tcBorders>
              <w:left w:val="nil"/>
              <w:right w:val="single" w:sz="4" w:space="0" w:color="auto"/>
            </w:tcBorders>
            <w:shd w:val="clear" w:color="auto" w:fill="BFBFBF" w:themeFill="background1" w:themeFillShade="BF"/>
            <w:vAlign w:val="center"/>
          </w:tcPr>
          <w:p w:rsidR="008A514A" w:rsidRPr="008A514A" w:rsidRDefault="008A514A" w:rsidP="008A514A">
            <w:pPr>
              <w:spacing w:after="0"/>
              <w:jc w:val="center"/>
              <w:rPr>
                <w:rFonts w:ascii="ITC Avant Garde" w:hAnsi="ITC Avant Garde"/>
                <w:b/>
                <w:sz w:val="14"/>
                <w:szCs w:val="14"/>
              </w:rPr>
            </w:pPr>
            <w:r w:rsidRPr="008A514A">
              <w:rPr>
                <w:rFonts w:ascii="ITC Avant Garde" w:hAnsi="ITC Avant Garde"/>
                <w:b/>
                <w:sz w:val="14"/>
                <w:szCs w:val="14"/>
              </w:rPr>
              <w:t>Cobertura</w:t>
            </w:r>
          </w:p>
        </w:tc>
        <w:tc>
          <w:tcPr>
            <w:tcW w:w="1969" w:type="dxa"/>
            <w:tcBorders>
              <w:left w:val="single" w:sz="4" w:space="0" w:color="auto"/>
              <w:bottom w:val="nil"/>
            </w:tcBorders>
            <w:shd w:val="clear" w:color="auto" w:fill="BFBFBF" w:themeFill="background1" w:themeFillShade="BF"/>
            <w:vAlign w:val="center"/>
          </w:tcPr>
          <w:p w:rsidR="008A514A" w:rsidRPr="008A514A" w:rsidRDefault="008A514A" w:rsidP="008A514A">
            <w:pPr>
              <w:spacing w:after="0"/>
              <w:jc w:val="center"/>
              <w:rPr>
                <w:rFonts w:ascii="ITC Avant Garde" w:hAnsi="ITC Avant Garde"/>
                <w:b/>
                <w:sz w:val="2"/>
                <w:szCs w:val="2"/>
              </w:rPr>
            </w:pPr>
            <w:r w:rsidRPr="008A514A">
              <w:rPr>
                <w:rFonts w:ascii="ITC Avant Garde" w:hAnsi="ITC Avant Garde"/>
                <w:b/>
                <w:sz w:val="2"/>
                <w:szCs w:val="2"/>
              </w:rPr>
              <w:t>.</w:t>
            </w:r>
          </w:p>
        </w:tc>
      </w:tr>
      <w:tr w:rsidR="00716500" w:rsidRPr="008A514A" w:rsidTr="00271761">
        <w:trPr>
          <w:trHeight w:val="510"/>
          <w:jc w:val="center"/>
        </w:trPr>
        <w:tc>
          <w:tcPr>
            <w:tcW w:w="2263" w:type="dxa"/>
            <w:shd w:val="clear" w:color="auto" w:fill="BFBFBF" w:themeFill="background1" w:themeFillShade="BF"/>
          </w:tcPr>
          <w:p w:rsidR="00716500" w:rsidRPr="008A514A" w:rsidRDefault="00716500" w:rsidP="008A514A">
            <w:pPr>
              <w:spacing w:after="0"/>
              <w:jc w:val="center"/>
              <w:rPr>
                <w:rFonts w:ascii="ITC Avant Garde" w:hAnsi="ITC Avant Garde"/>
                <w:b/>
                <w:sz w:val="14"/>
                <w:szCs w:val="14"/>
              </w:rPr>
            </w:pPr>
            <w:r w:rsidRPr="008A514A">
              <w:rPr>
                <w:rFonts w:ascii="ITC Avant Garde" w:hAnsi="ITC Avant Garde"/>
                <w:b/>
                <w:sz w:val="14"/>
                <w:szCs w:val="14"/>
              </w:rPr>
              <w:t>Estado</w:t>
            </w:r>
          </w:p>
        </w:tc>
        <w:tc>
          <w:tcPr>
            <w:tcW w:w="3201" w:type="dxa"/>
            <w:shd w:val="clear" w:color="auto" w:fill="BFBFBF" w:themeFill="background1" w:themeFillShade="BF"/>
          </w:tcPr>
          <w:p w:rsidR="00716500" w:rsidRPr="008A514A" w:rsidRDefault="00716500" w:rsidP="008A514A">
            <w:pPr>
              <w:spacing w:after="0"/>
              <w:jc w:val="center"/>
              <w:rPr>
                <w:rFonts w:ascii="ITC Avant Garde" w:hAnsi="ITC Avant Garde"/>
                <w:b/>
                <w:sz w:val="14"/>
                <w:szCs w:val="14"/>
              </w:rPr>
            </w:pPr>
            <w:r w:rsidRPr="008A514A">
              <w:rPr>
                <w:rFonts w:ascii="ITC Avant Garde" w:hAnsi="ITC Avant Garde"/>
                <w:b/>
                <w:sz w:val="14"/>
                <w:szCs w:val="14"/>
              </w:rPr>
              <w:t>Municipios</w:t>
            </w:r>
          </w:p>
        </w:tc>
        <w:tc>
          <w:tcPr>
            <w:tcW w:w="1969" w:type="dxa"/>
            <w:tcBorders>
              <w:top w:val="nil"/>
            </w:tcBorders>
            <w:shd w:val="clear" w:color="auto" w:fill="BFBFBF" w:themeFill="background1" w:themeFillShade="BF"/>
          </w:tcPr>
          <w:p w:rsidR="00716500" w:rsidRPr="008A514A" w:rsidRDefault="008A514A" w:rsidP="008A514A">
            <w:pPr>
              <w:spacing w:after="0"/>
              <w:jc w:val="center"/>
              <w:rPr>
                <w:rFonts w:ascii="ITC Avant Garde" w:hAnsi="ITC Avant Garde"/>
                <w:sz w:val="14"/>
                <w:szCs w:val="14"/>
              </w:rPr>
            </w:pPr>
            <w:r w:rsidRPr="008A514A">
              <w:rPr>
                <w:rFonts w:ascii="ITC Avant Garde" w:hAnsi="ITC Avant Garde"/>
                <w:b/>
                <w:sz w:val="14"/>
                <w:szCs w:val="14"/>
              </w:rPr>
              <w:t>Grupos de frecuencia asignados en la banda de 400 MHz</w:t>
            </w:r>
          </w:p>
        </w:tc>
      </w:tr>
      <w:tr w:rsidR="00716500" w:rsidRPr="008A514A" w:rsidTr="00271761">
        <w:trPr>
          <w:trHeight w:val="761"/>
          <w:jc w:val="center"/>
        </w:trPr>
        <w:tc>
          <w:tcPr>
            <w:tcW w:w="2263" w:type="dxa"/>
            <w:vAlign w:val="center"/>
          </w:tcPr>
          <w:p w:rsidR="00716500" w:rsidRPr="008A514A" w:rsidRDefault="00716500" w:rsidP="00271761">
            <w:pPr>
              <w:spacing w:after="0"/>
              <w:jc w:val="center"/>
              <w:rPr>
                <w:rFonts w:ascii="ITC Avant Garde" w:hAnsi="ITC Avant Garde"/>
                <w:sz w:val="14"/>
                <w:szCs w:val="14"/>
              </w:rPr>
            </w:pPr>
            <w:r w:rsidRPr="008A514A">
              <w:rPr>
                <w:rFonts w:ascii="ITC Avant Garde" w:hAnsi="ITC Avant Garde"/>
                <w:sz w:val="14"/>
                <w:szCs w:val="14"/>
              </w:rPr>
              <w:t>Nuevo León</w:t>
            </w:r>
          </w:p>
        </w:tc>
        <w:tc>
          <w:tcPr>
            <w:tcW w:w="3201" w:type="dxa"/>
          </w:tcPr>
          <w:p w:rsidR="00716500" w:rsidRPr="008A514A" w:rsidRDefault="00716500" w:rsidP="008A514A">
            <w:pPr>
              <w:spacing w:after="0"/>
              <w:rPr>
                <w:rFonts w:ascii="ITC Avant Garde" w:hAnsi="ITC Avant Garde"/>
                <w:color w:val="000000"/>
                <w:sz w:val="14"/>
                <w:szCs w:val="14"/>
              </w:rPr>
            </w:pPr>
            <w:r w:rsidRPr="008A514A">
              <w:rPr>
                <w:rFonts w:ascii="ITC Avant Garde" w:hAnsi="ITC Avant Garde"/>
                <w:sz w:val="14"/>
                <w:szCs w:val="14"/>
              </w:rPr>
              <w:t xml:space="preserve">Apodaca, General Escobedo, Salinas Victoria, San Nicolás de los Garza, Santiago, General </w:t>
            </w:r>
            <w:proofErr w:type="spellStart"/>
            <w:r w:rsidRPr="008A514A">
              <w:rPr>
                <w:rFonts w:ascii="ITC Avant Garde" w:hAnsi="ITC Avant Garde"/>
                <w:sz w:val="14"/>
                <w:szCs w:val="14"/>
              </w:rPr>
              <w:t>Zauza</w:t>
            </w:r>
            <w:proofErr w:type="spellEnd"/>
            <w:r w:rsidRPr="008A514A">
              <w:rPr>
                <w:rFonts w:ascii="ITC Avant Garde" w:hAnsi="ITC Avant Garde"/>
                <w:sz w:val="14"/>
                <w:szCs w:val="14"/>
              </w:rPr>
              <w:t xml:space="preserve">, Ciénega de Flores, Sabinas Hidalgo, Vallecillo, Anáhuac, Allende, Montemorelos, </w:t>
            </w:r>
            <w:proofErr w:type="spellStart"/>
            <w:r w:rsidRPr="008A514A">
              <w:rPr>
                <w:rFonts w:ascii="ITC Avant Garde" w:hAnsi="ITC Avant Garde"/>
                <w:sz w:val="14"/>
                <w:szCs w:val="14"/>
              </w:rPr>
              <w:t>Hualahuises</w:t>
            </w:r>
            <w:proofErr w:type="spellEnd"/>
            <w:r w:rsidRPr="008A514A">
              <w:rPr>
                <w:rFonts w:ascii="ITC Avant Garde" w:hAnsi="ITC Avant Garde"/>
                <w:sz w:val="14"/>
                <w:szCs w:val="14"/>
              </w:rPr>
              <w:t xml:space="preserve"> y Linares.</w:t>
            </w:r>
          </w:p>
        </w:tc>
        <w:tc>
          <w:tcPr>
            <w:tcW w:w="1969" w:type="dxa"/>
          </w:tcPr>
          <w:p w:rsidR="00716500" w:rsidRPr="008A514A" w:rsidRDefault="00716500" w:rsidP="008A514A">
            <w:pPr>
              <w:spacing w:after="0"/>
              <w:jc w:val="center"/>
              <w:rPr>
                <w:rFonts w:ascii="ITC Avant Garde" w:hAnsi="ITC Avant Garde"/>
                <w:sz w:val="14"/>
                <w:szCs w:val="14"/>
              </w:rPr>
            </w:pPr>
            <w:r w:rsidRPr="008A514A">
              <w:rPr>
                <w:rFonts w:ascii="ITC Avant Garde" w:hAnsi="ITC Avant Garde"/>
                <w:sz w:val="14"/>
                <w:szCs w:val="14"/>
              </w:rPr>
              <w:t>21</w:t>
            </w:r>
          </w:p>
        </w:tc>
      </w:tr>
      <w:tr w:rsidR="00271761" w:rsidRPr="008A514A" w:rsidTr="00271761">
        <w:trPr>
          <w:trHeight w:val="761"/>
          <w:jc w:val="center"/>
        </w:trPr>
        <w:tc>
          <w:tcPr>
            <w:tcW w:w="2263" w:type="dxa"/>
            <w:vAlign w:val="center"/>
          </w:tcPr>
          <w:p w:rsidR="00271761" w:rsidRDefault="00271761" w:rsidP="00271761">
            <w:pPr>
              <w:jc w:val="center"/>
            </w:pPr>
            <w:r w:rsidRPr="008F51A1">
              <w:rPr>
                <w:rFonts w:ascii="ITC Avant Garde" w:hAnsi="ITC Avant Garde"/>
                <w:sz w:val="14"/>
                <w:szCs w:val="14"/>
              </w:rPr>
              <w:t>Nuevo León</w:t>
            </w:r>
          </w:p>
        </w:tc>
        <w:tc>
          <w:tcPr>
            <w:tcW w:w="3201" w:type="dxa"/>
          </w:tcPr>
          <w:p w:rsidR="00271761" w:rsidRPr="008A514A" w:rsidRDefault="00271761" w:rsidP="00271761">
            <w:pPr>
              <w:spacing w:after="0"/>
              <w:rPr>
                <w:rFonts w:ascii="ITC Avant Garde" w:hAnsi="ITC Avant Garde"/>
                <w:sz w:val="14"/>
                <w:szCs w:val="14"/>
              </w:rPr>
            </w:pPr>
            <w:r w:rsidRPr="008A514A">
              <w:rPr>
                <w:rFonts w:ascii="ITC Avant Garde" w:hAnsi="ITC Avant Garde"/>
                <w:sz w:val="14"/>
                <w:szCs w:val="14"/>
              </w:rPr>
              <w:t>Cadereyta de Jiménez, Guadalupe, Juárez, Los Ramones, China, General Bravo y Dr. Coss.</w:t>
            </w:r>
          </w:p>
        </w:tc>
        <w:tc>
          <w:tcPr>
            <w:tcW w:w="1969" w:type="dxa"/>
          </w:tcPr>
          <w:p w:rsidR="00271761" w:rsidRPr="008A514A" w:rsidRDefault="00271761" w:rsidP="00271761">
            <w:pPr>
              <w:spacing w:after="0"/>
              <w:jc w:val="center"/>
              <w:rPr>
                <w:rFonts w:ascii="ITC Avant Garde" w:hAnsi="ITC Avant Garde"/>
                <w:sz w:val="14"/>
                <w:szCs w:val="14"/>
              </w:rPr>
            </w:pPr>
            <w:r w:rsidRPr="008A514A">
              <w:rPr>
                <w:rFonts w:ascii="ITC Avant Garde" w:hAnsi="ITC Avant Garde"/>
                <w:sz w:val="14"/>
                <w:szCs w:val="14"/>
              </w:rPr>
              <w:t>22</w:t>
            </w:r>
          </w:p>
        </w:tc>
      </w:tr>
      <w:tr w:rsidR="00271761" w:rsidRPr="008A514A" w:rsidTr="00271761">
        <w:trPr>
          <w:trHeight w:val="761"/>
          <w:jc w:val="center"/>
        </w:trPr>
        <w:tc>
          <w:tcPr>
            <w:tcW w:w="2263" w:type="dxa"/>
            <w:vAlign w:val="center"/>
          </w:tcPr>
          <w:p w:rsidR="00271761" w:rsidRDefault="00271761" w:rsidP="00271761">
            <w:pPr>
              <w:jc w:val="center"/>
            </w:pPr>
            <w:r w:rsidRPr="008F51A1">
              <w:rPr>
                <w:rFonts w:ascii="ITC Avant Garde" w:hAnsi="ITC Avant Garde"/>
                <w:sz w:val="14"/>
                <w:szCs w:val="14"/>
              </w:rPr>
              <w:t>Nuevo León</w:t>
            </w:r>
          </w:p>
        </w:tc>
        <w:tc>
          <w:tcPr>
            <w:tcW w:w="3201" w:type="dxa"/>
          </w:tcPr>
          <w:p w:rsidR="00271761" w:rsidRPr="008A514A" w:rsidRDefault="00271761" w:rsidP="00271761">
            <w:pPr>
              <w:spacing w:after="0"/>
              <w:rPr>
                <w:rFonts w:ascii="ITC Avant Garde" w:hAnsi="ITC Avant Garde"/>
                <w:sz w:val="14"/>
                <w:szCs w:val="14"/>
              </w:rPr>
            </w:pPr>
            <w:r w:rsidRPr="008A514A">
              <w:rPr>
                <w:rFonts w:ascii="ITC Avant Garde" w:hAnsi="ITC Avant Garde"/>
                <w:color w:val="000000"/>
                <w:sz w:val="14"/>
                <w:szCs w:val="14"/>
              </w:rPr>
              <w:t>Monterrey.</w:t>
            </w:r>
          </w:p>
        </w:tc>
        <w:tc>
          <w:tcPr>
            <w:tcW w:w="1969" w:type="dxa"/>
          </w:tcPr>
          <w:p w:rsidR="00271761" w:rsidRPr="008A514A" w:rsidRDefault="00271761" w:rsidP="00271761">
            <w:pPr>
              <w:spacing w:after="0"/>
              <w:jc w:val="center"/>
              <w:rPr>
                <w:rFonts w:ascii="ITC Avant Garde" w:hAnsi="ITC Avant Garde"/>
                <w:sz w:val="14"/>
                <w:szCs w:val="14"/>
              </w:rPr>
            </w:pPr>
            <w:r w:rsidRPr="008A514A">
              <w:rPr>
                <w:rFonts w:ascii="ITC Avant Garde" w:hAnsi="ITC Avant Garde"/>
                <w:sz w:val="14"/>
                <w:szCs w:val="14"/>
              </w:rPr>
              <w:t>21 y 22</w:t>
            </w:r>
          </w:p>
        </w:tc>
      </w:tr>
      <w:tr w:rsidR="00716500" w:rsidRPr="008A514A" w:rsidTr="00271761">
        <w:trPr>
          <w:trHeight w:val="761"/>
          <w:jc w:val="center"/>
        </w:trPr>
        <w:tc>
          <w:tcPr>
            <w:tcW w:w="2263" w:type="dxa"/>
            <w:vAlign w:val="center"/>
          </w:tcPr>
          <w:p w:rsidR="00716500" w:rsidRPr="008A514A" w:rsidRDefault="00716500" w:rsidP="00271761">
            <w:pPr>
              <w:spacing w:after="0"/>
              <w:jc w:val="center"/>
              <w:rPr>
                <w:rFonts w:ascii="ITC Avant Garde" w:hAnsi="ITC Avant Garde"/>
                <w:sz w:val="14"/>
                <w:szCs w:val="14"/>
              </w:rPr>
            </w:pPr>
            <w:r w:rsidRPr="008A514A">
              <w:rPr>
                <w:rFonts w:ascii="ITC Avant Garde" w:hAnsi="ITC Avant Garde"/>
                <w:sz w:val="14"/>
                <w:szCs w:val="14"/>
              </w:rPr>
              <w:t>Tamaulipas</w:t>
            </w:r>
          </w:p>
        </w:tc>
        <w:tc>
          <w:tcPr>
            <w:tcW w:w="3201" w:type="dxa"/>
          </w:tcPr>
          <w:p w:rsidR="00716500" w:rsidRPr="008A514A" w:rsidRDefault="00716500" w:rsidP="008A514A">
            <w:pPr>
              <w:spacing w:after="0"/>
              <w:rPr>
                <w:rFonts w:ascii="ITC Avant Garde" w:hAnsi="ITC Avant Garde"/>
                <w:color w:val="000000"/>
                <w:sz w:val="14"/>
                <w:szCs w:val="14"/>
              </w:rPr>
            </w:pPr>
            <w:r w:rsidRPr="008A514A">
              <w:rPr>
                <w:rFonts w:ascii="ITC Avant Garde" w:hAnsi="ITC Avant Garde"/>
                <w:color w:val="000000"/>
                <w:sz w:val="14"/>
                <w:szCs w:val="14"/>
              </w:rPr>
              <w:t xml:space="preserve">Reynosa, Río Bravo, Valle Hermoso y Matamoros. </w:t>
            </w:r>
          </w:p>
        </w:tc>
        <w:tc>
          <w:tcPr>
            <w:tcW w:w="1969" w:type="dxa"/>
          </w:tcPr>
          <w:p w:rsidR="00716500" w:rsidRPr="008A514A" w:rsidRDefault="00716500" w:rsidP="008A514A">
            <w:pPr>
              <w:spacing w:after="0"/>
              <w:jc w:val="center"/>
              <w:rPr>
                <w:rFonts w:ascii="ITC Avant Garde" w:hAnsi="ITC Avant Garde"/>
                <w:sz w:val="14"/>
                <w:szCs w:val="14"/>
              </w:rPr>
            </w:pPr>
            <w:r w:rsidRPr="008A514A">
              <w:rPr>
                <w:rFonts w:ascii="ITC Avant Garde" w:hAnsi="ITC Avant Garde"/>
                <w:sz w:val="14"/>
                <w:szCs w:val="14"/>
              </w:rPr>
              <w:t>22 y 24</w:t>
            </w:r>
          </w:p>
        </w:tc>
      </w:tr>
      <w:tr w:rsidR="00271761" w:rsidRPr="008A514A" w:rsidTr="00271761">
        <w:trPr>
          <w:trHeight w:val="761"/>
          <w:jc w:val="center"/>
        </w:trPr>
        <w:tc>
          <w:tcPr>
            <w:tcW w:w="2263" w:type="dxa"/>
            <w:vAlign w:val="center"/>
          </w:tcPr>
          <w:p w:rsidR="00271761" w:rsidRDefault="00271761" w:rsidP="00271761">
            <w:pPr>
              <w:jc w:val="center"/>
            </w:pPr>
            <w:r w:rsidRPr="002105A4">
              <w:rPr>
                <w:rFonts w:ascii="ITC Avant Garde" w:hAnsi="ITC Avant Garde"/>
                <w:sz w:val="14"/>
                <w:szCs w:val="14"/>
              </w:rPr>
              <w:t>Tamaulipas</w:t>
            </w:r>
          </w:p>
        </w:tc>
        <w:tc>
          <w:tcPr>
            <w:tcW w:w="3201" w:type="dxa"/>
          </w:tcPr>
          <w:p w:rsidR="00271761" w:rsidRPr="008A514A" w:rsidRDefault="00271761" w:rsidP="00271761">
            <w:pPr>
              <w:spacing w:after="0"/>
              <w:rPr>
                <w:rFonts w:ascii="ITC Avant Garde" w:hAnsi="ITC Avant Garde"/>
                <w:color w:val="000000"/>
                <w:sz w:val="14"/>
                <w:szCs w:val="14"/>
              </w:rPr>
            </w:pPr>
            <w:r w:rsidRPr="008A514A">
              <w:rPr>
                <w:rFonts w:ascii="ITC Avant Garde" w:hAnsi="ITC Avant Garde"/>
                <w:sz w:val="14"/>
                <w:szCs w:val="14"/>
              </w:rPr>
              <w:t xml:space="preserve">Guerrero, Nuevo Laredo, </w:t>
            </w:r>
            <w:proofErr w:type="spellStart"/>
            <w:r w:rsidRPr="008A514A">
              <w:rPr>
                <w:rFonts w:ascii="ITC Avant Garde" w:hAnsi="ITC Avant Garde"/>
                <w:sz w:val="14"/>
                <w:szCs w:val="14"/>
              </w:rPr>
              <w:t>Mainero</w:t>
            </w:r>
            <w:proofErr w:type="spellEnd"/>
            <w:r w:rsidRPr="008A514A">
              <w:rPr>
                <w:rFonts w:ascii="ITC Avant Garde" w:hAnsi="ITC Avant Garde"/>
                <w:sz w:val="14"/>
                <w:szCs w:val="14"/>
              </w:rPr>
              <w:t xml:space="preserve">, Villagrán, </w:t>
            </w:r>
            <w:proofErr w:type="spellStart"/>
            <w:r w:rsidRPr="008A514A">
              <w:rPr>
                <w:rFonts w:ascii="ITC Avant Garde" w:hAnsi="ITC Avant Garde"/>
                <w:sz w:val="14"/>
                <w:szCs w:val="14"/>
              </w:rPr>
              <w:t>Güémez</w:t>
            </w:r>
            <w:proofErr w:type="spellEnd"/>
            <w:r w:rsidRPr="008A514A">
              <w:rPr>
                <w:rFonts w:ascii="ITC Avant Garde" w:hAnsi="ITC Avant Garde"/>
                <w:sz w:val="14"/>
                <w:szCs w:val="14"/>
              </w:rPr>
              <w:t>, Hidalgo y Padilla.</w:t>
            </w:r>
          </w:p>
        </w:tc>
        <w:tc>
          <w:tcPr>
            <w:tcW w:w="1969" w:type="dxa"/>
          </w:tcPr>
          <w:p w:rsidR="00271761" w:rsidRPr="008A514A" w:rsidRDefault="00271761" w:rsidP="00271761">
            <w:pPr>
              <w:spacing w:after="0"/>
              <w:jc w:val="center"/>
              <w:rPr>
                <w:rFonts w:ascii="ITC Avant Garde" w:hAnsi="ITC Avant Garde"/>
                <w:sz w:val="14"/>
                <w:szCs w:val="14"/>
              </w:rPr>
            </w:pPr>
            <w:r w:rsidRPr="008A514A">
              <w:rPr>
                <w:rFonts w:ascii="ITC Avant Garde" w:hAnsi="ITC Avant Garde"/>
                <w:sz w:val="14"/>
                <w:szCs w:val="14"/>
              </w:rPr>
              <w:t>21</w:t>
            </w:r>
          </w:p>
        </w:tc>
      </w:tr>
      <w:tr w:rsidR="00271761" w:rsidRPr="008A514A" w:rsidTr="00271761">
        <w:trPr>
          <w:trHeight w:val="761"/>
          <w:jc w:val="center"/>
        </w:trPr>
        <w:tc>
          <w:tcPr>
            <w:tcW w:w="2263" w:type="dxa"/>
            <w:vAlign w:val="center"/>
          </w:tcPr>
          <w:p w:rsidR="00271761" w:rsidRDefault="00271761" w:rsidP="00271761">
            <w:pPr>
              <w:jc w:val="center"/>
            </w:pPr>
            <w:r w:rsidRPr="002105A4">
              <w:rPr>
                <w:rFonts w:ascii="ITC Avant Garde" w:hAnsi="ITC Avant Garde"/>
                <w:sz w:val="14"/>
                <w:szCs w:val="14"/>
              </w:rPr>
              <w:t>Tamaulipas</w:t>
            </w:r>
          </w:p>
        </w:tc>
        <w:tc>
          <w:tcPr>
            <w:tcW w:w="3201" w:type="dxa"/>
          </w:tcPr>
          <w:p w:rsidR="00271761" w:rsidRPr="008A514A" w:rsidRDefault="00271761" w:rsidP="00271761">
            <w:pPr>
              <w:spacing w:after="0"/>
              <w:rPr>
                <w:rFonts w:ascii="ITC Avant Garde" w:hAnsi="ITC Avant Garde"/>
                <w:color w:val="000000"/>
                <w:sz w:val="14"/>
                <w:szCs w:val="14"/>
              </w:rPr>
            </w:pPr>
            <w:r w:rsidRPr="008A514A">
              <w:rPr>
                <w:rFonts w:ascii="ITC Avant Garde" w:hAnsi="ITC Avant Garde"/>
                <w:color w:val="000000"/>
                <w:sz w:val="14"/>
                <w:szCs w:val="14"/>
              </w:rPr>
              <w:t>Victoria, Llera, Xicoténcatl, Gómez Farías, El Mante, Altamira, Tampico, Casas, y González.</w:t>
            </w:r>
          </w:p>
        </w:tc>
        <w:tc>
          <w:tcPr>
            <w:tcW w:w="1969" w:type="dxa"/>
          </w:tcPr>
          <w:p w:rsidR="00271761" w:rsidRPr="008A514A" w:rsidRDefault="00271761" w:rsidP="00271761">
            <w:pPr>
              <w:spacing w:after="0"/>
              <w:jc w:val="center"/>
              <w:rPr>
                <w:rFonts w:ascii="ITC Avant Garde" w:hAnsi="ITC Avant Garde"/>
                <w:sz w:val="14"/>
                <w:szCs w:val="14"/>
              </w:rPr>
            </w:pPr>
            <w:r w:rsidRPr="008A514A">
              <w:rPr>
                <w:rFonts w:ascii="ITC Avant Garde" w:hAnsi="ITC Avant Garde"/>
                <w:sz w:val="14"/>
                <w:szCs w:val="14"/>
              </w:rPr>
              <w:t>1 y 2</w:t>
            </w:r>
          </w:p>
        </w:tc>
      </w:tr>
    </w:tbl>
    <w:p w:rsidR="008A514A" w:rsidRPr="008A514A" w:rsidRDefault="00A171F6" w:rsidP="008A514A">
      <w:pPr>
        <w:spacing w:before="240" w:line="240" w:lineRule="auto"/>
        <w:ind w:left="567"/>
        <w:jc w:val="both"/>
        <w:rPr>
          <w:rFonts w:ascii="ITC Avant Garde" w:hAnsi="ITC Avant Garde"/>
          <w:bCs/>
          <w:color w:val="000000"/>
          <w:lang w:eastAsia="es-MX"/>
        </w:rPr>
      </w:pPr>
      <w:r w:rsidRPr="008A514A">
        <w:rPr>
          <w:rFonts w:ascii="ITC Avant Garde" w:hAnsi="ITC Avant Garde"/>
          <w:bCs/>
          <w:color w:val="000000"/>
          <w:lang w:eastAsia="es-MX"/>
        </w:rPr>
        <w:t>Lo anterior, como resultado de la prórroga de vigencia del título de concesión para instalar, operar y explotar por un periodo de 15 (quince) años, una red pública del servicio móvil de radiocomunicación especializada de flotillas</w:t>
      </w:r>
      <w:r w:rsidR="005568A1" w:rsidRPr="008A514A">
        <w:rPr>
          <w:rFonts w:ascii="ITC Avant Garde" w:hAnsi="ITC Avant Garde"/>
          <w:bCs/>
          <w:color w:val="000000"/>
          <w:lang w:eastAsia="es-MX"/>
        </w:rPr>
        <w:t xml:space="preserve"> en la banda de frecuencias 806-821/851-866 MHz</w:t>
      </w:r>
      <w:r w:rsidRPr="008A514A">
        <w:rPr>
          <w:rFonts w:ascii="ITC Avant Garde" w:hAnsi="ITC Avant Garde"/>
          <w:bCs/>
          <w:color w:val="000000"/>
          <w:lang w:eastAsia="es-MX"/>
        </w:rPr>
        <w:t>, otorgado por la Secretaría de Comunicaciones y Transportes el 3 de junio de 1994.</w:t>
      </w:r>
    </w:p>
    <w:p w:rsidR="008A514A" w:rsidRPr="008A514A" w:rsidRDefault="009312DC" w:rsidP="008A514A">
      <w:pPr>
        <w:numPr>
          <w:ilvl w:val="0"/>
          <w:numId w:val="1"/>
        </w:numPr>
        <w:spacing w:before="240" w:line="240" w:lineRule="auto"/>
        <w:ind w:left="567"/>
        <w:jc w:val="both"/>
        <w:rPr>
          <w:rFonts w:ascii="ITC Avant Garde" w:hAnsi="ITC Avant Garde" w:cs="Arial"/>
          <w:b/>
          <w:bCs/>
          <w:color w:val="000000"/>
          <w:shd w:val="clear" w:color="auto" w:fill="FFFFFF"/>
        </w:rPr>
      </w:pPr>
      <w:r w:rsidRPr="008A514A">
        <w:rPr>
          <w:rFonts w:ascii="ITC Avant Garde" w:hAnsi="ITC Avant Garde" w:cs="Arial"/>
          <w:b/>
          <w:bCs/>
          <w:color w:val="000000"/>
          <w:shd w:val="clear" w:color="auto" w:fill="FFFFFF"/>
        </w:rPr>
        <w:t xml:space="preserve">Solicitud de Cambio de Bandas. </w:t>
      </w:r>
      <w:r w:rsidRPr="008A514A">
        <w:rPr>
          <w:rFonts w:ascii="ITC Avant Garde" w:hAnsi="ITC Avant Garde" w:cs="Arial"/>
          <w:bCs/>
          <w:color w:val="000000"/>
          <w:shd w:val="clear" w:color="auto" w:fill="FFFFFF"/>
        </w:rPr>
        <w:t xml:space="preserve">Con escrito presentado ante el Instituto el </w:t>
      </w:r>
      <w:r w:rsidR="0005347E" w:rsidRPr="008A514A">
        <w:rPr>
          <w:rFonts w:ascii="ITC Avant Garde" w:hAnsi="ITC Avant Garde" w:cs="Arial"/>
          <w:bCs/>
          <w:color w:val="000000"/>
          <w:shd w:val="clear" w:color="auto" w:fill="FFFFFF"/>
        </w:rPr>
        <w:t>23 de noviembre de 2016</w:t>
      </w:r>
      <w:r w:rsidRPr="008A514A">
        <w:rPr>
          <w:rFonts w:ascii="ITC Avant Garde" w:hAnsi="ITC Avant Garde" w:cs="Arial"/>
          <w:bCs/>
          <w:color w:val="000000"/>
          <w:shd w:val="clear" w:color="auto" w:fill="FFFFFF"/>
        </w:rPr>
        <w:t xml:space="preserve">, el representante legal de </w:t>
      </w:r>
      <w:r w:rsidR="0005347E" w:rsidRPr="008A514A">
        <w:rPr>
          <w:rFonts w:ascii="ITC Avant Garde" w:hAnsi="ITC Avant Garde" w:cs="Arial"/>
          <w:bCs/>
          <w:color w:val="000000"/>
          <w:shd w:val="clear" w:color="auto" w:fill="FFFFFF"/>
        </w:rPr>
        <w:t>Radiocomunicaciones y Servicios, S.A. de C.V.</w:t>
      </w:r>
      <w:r w:rsidRPr="008A514A">
        <w:rPr>
          <w:rFonts w:ascii="ITC Avant Garde" w:hAnsi="ITC Avant Garde" w:cs="Arial"/>
          <w:bCs/>
          <w:color w:val="000000"/>
          <w:shd w:val="clear" w:color="auto" w:fill="FFFFFF"/>
        </w:rPr>
        <w:t xml:space="preserve"> solicitó</w:t>
      </w:r>
      <w:r w:rsidRPr="008A514A">
        <w:rPr>
          <w:rFonts w:ascii="ITC Avant Garde" w:hAnsi="ITC Avant Garde"/>
          <w:bCs/>
          <w:color w:val="000000"/>
          <w:lang w:eastAsia="es-MX"/>
        </w:rPr>
        <w:t xml:space="preserve"> el cambio de las frecuencias </w:t>
      </w:r>
      <w:r w:rsidR="0005347E" w:rsidRPr="008A514A">
        <w:rPr>
          <w:rFonts w:ascii="ITC Avant Garde" w:hAnsi="ITC Avant Garde"/>
          <w:bCs/>
          <w:color w:val="000000"/>
          <w:lang w:eastAsia="es-MX"/>
        </w:rPr>
        <w:t>otorgadas</w:t>
      </w:r>
      <w:r w:rsidRPr="008A514A">
        <w:rPr>
          <w:rFonts w:ascii="ITC Avant Garde" w:hAnsi="ITC Avant Garde"/>
          <w:bCs/>
          <w:color w:val="000000"/>
          <w:lang w:eastAsia="es-MX"/>
        </w:rPr>
        <w:t xml:space="preserve"> en la Concesión, </w:t>
      </w:r>
      <w:r w:rsidR="0005347E" w:rsidRPr="008A514A">
        <w:rPr>
          <w:rFonts w:ascii="ITC Avant Garde" w:hAnsi="ITC Avant Garde"/>
          <w:bCs/>
          <w:color w:val="000000"/>
          <w:lang w:eastAsia="es-MX"/>
        </w:rPr>
        <w:t xml:space="preserve">específicamente, en lo que respecta al grupo de frecuencias en el Municipio de Monterrey, en virtud de la interferencia por intermodulación detectada en </w:t>
      </w:r>
      <w:r w:rsidR="007A6D14" w:rsidRPr="008A514A">
        <w:rPr>
          <w:rFonts w:ascii="ITC Avant Garde" w:hAnsi="ITC Avant Garde"/>
          <w:bCs/>
          <w:color w:val="000000"/>
          <w:lang w:eastAsia="es-MX"/>
        </w:rPr>
        <w:t xml:space="preserve">dicho grupo </w:t>
      </w:r>
      <w:r w:rsidR="0005347E" w:rsidRPr="008A514A">
        <w:rPr>
          <w:rFonts w:ascii="ITC Avant Garde" w:hAnsi="ITC Avant Garde"/>
          <w:bCs/>
          <w:color w:val="000000"/>
          <w:lang w:eastAsia="es-MX"/>
        </w:rPr>
        <w:t xml:space="preserve">de frecuencias </w:t>
      </w:r>
      <w:r w:rsidRPr="008A514A">
        <w:rPr>
          <w:rFonts w:ascii="ITC Avant Garde" w:hAnsi="ITC Avant Garde"/>
          <w:bCs/>
          <w:color w:val="000000"/>
          <w:lang w:eastAsia="es-MX"/>
        </w:rPr>
        <w:t>(la “Solicitud de Cambio de Bandas”)</w:t>
      </w:r>
      <w:r w:rsidR="005568A1" w:rsidRPr="008A514A">
        <w:rPr>
          <w:rFonts w:ascii="ITC Avant Garde" w:hAnsi="ITC Avant Garde"/>
          <w:bCs/>
          <w:color w:val="000000"/>
          <w:lang w:eastAsia="es-MX"/>
        </w:rPr>
        <w:t>, en los siguientes términos:</w:t>
      </w:r>
    </w:p>
    <w:p w:rsidR="008A514A" w:rsidRPr="008A514A" w:rsidRDefault="00D46FBB" w:rsidP="008A514A">
      <w:pPr>
        <w:spacing w:before="240" w:line="240" w:lineRule="auto"/>
        <w:ind w:left="709" w:right="615"/>
        <w:jc w:val="both"/>
        <w:rPr>
          <w:rFonts w:ascii="ITC Avant Garde" w:hAnsi="ITC Avant Garde" w:cs="Arial"/>
          <w:bCs/>
          <w:color w:val="000000"/>
          <w:sz w:val="18"/>
          <w:szCs w:val="18"/>
          <w:shd w:val="clear" w:color="auto" w:fill="FFFFFF"/>
        </w:rPr>
      </w:pPr>
      <w:r w:rsidRPr="008A514A">
        <w:rPr>
          <w:rFonts w:ascii="ITC Avant Garde" w:hAnsi="ITC Avant Garde" w:cs="Arial"/>
          <w:bCs/>
          <w:color w:val="000000"/>
          <w:sz w:val="18"/>
          <w:szCs w:val="18"/>
          <w:shd w:val="clear" w:color="auto" w:fill="FFFFFF"/>
        </w:rPr>
        <w:t>“</w:t>
      </w:r>
      <w:r w:rsidR="005568A1" w:rsidRPr="008A514A">
        <w:rPr>
          <w:rFonts w:ascii="ITC Avant Garde" w:hAnsi="ITC Avant Garde" w:cs="Arial"/>
          <w:bCs/>
          <w:color w:val="000000"/>
          <w:sz w:val="18"/>
          <w:szCs w:val="18"/>
          <w:shd w:val="clear" w:color="auto" w:fill="FFFFFF"/>
        </w:rPr>
        <w:t>Derivado del cambio de banda, mi Representada</w:t>
      </w:r>
      <w:r w:rsidRPr="008A514A">
        <w:rPr>
          <w:rFonts w:ascii="ITC Avant Garde" w:hAnsi="ITC Avant Garde" w:cs="Arial"/>
          <w:bCs/>
          <w:color w:val="000000"/>
          <w:sz w:val="18"/>
          <w:szCs w:val="18"/>
          <w:shd w:val="clear" w:color="auto" w:fill="FFFFFF"/>
        </w:rPr>
        <w:t xml:space="preserve"> se ha visto en la necesidad de adquirir e implementar un nuevo sistema para continuar con la operación de los servicios, por lo cual en cuestiones de calidad y eficiencia, adquirió el sistema ‘HYTERA DS-6210 DMR </w:t>
      </w:r>
      <w:proofErr w:type="spellStart"/>
      <w:r w:rsidRPr="008A514A">
        <w:rPr>
          <w:rFonts w:ascii="ITC Avant Garde" w:hAnsi="ITC Avant Garde" w:cs="Arial"/>
          <w:bCs/>
          <w:color w:val="000000"/>
          <w:sz w:val="18"/>
          <w:szCs w:val="18"/>
          <w:shd w:val="clear" w:color="auto" w:fill="FFFFFF"/>
        </w:rPr>
        <w:t>Trunking</w:t>
      </w:r>
      <w:proofErr w:type="spellEnd"/>
      <w:r w:rsidRPr="008A514A">
        <w:rPr>
          <w:rFonts w:ascii="ITC Avant Garde" w:hAnsi="ITC Avant Garde" w:cs="Arial"/>
          <w:bCs/>
          <w:color w:val="000000"/>
          <w:sz w:val="18"/>
          <w:szCs w:val="18"/>
          <w:shd w:val="clear" w:color="auto" w:fill="FFFFFF"/>
        </w:rPr>
        <w:t xml:space="preserve"> Pro’ para reemplazar su infraestructura de radiocomunicación existente.</w:t>
      </w:r>
    </w:p>
    <w:p w:rsidR="008A514A" w:rsidRPr="008A514A" w:rsidRDefault="00D46FBB" w:rsidP="008A514A">
      <w:pPr>
        <w:spacing w:before="240" w:line="240" w:lineRule="auto"/>
        <w:ind w:left="709" w:right="615"/>
        <w:jc w:val="both"/>
        <w:rPr>
          <w:rFonts w:ascii="ITC Avant Garde" w:hAnsi="ITC Avant Garde" w:cs="Arial"/>
          <w:bCs/>
          <w:color w:val="000000"/>
          <w:sz w:val="18"/>
          <w:szCs w:val="18"/>
          <w:shd w:val="clear" w:color="auto" w:fill="FFFFFF"/>
        </w:rPr>
      </w:pPr>
      <w:r w:rsidRPr="008A514A">
        <w:rPr>
          <w:rFonts w:ascii="ITC Avant Garde" w:hAnsi="ITC Avant Garde" w:cs="Arial"/>
          <w:bCs/>
          <w:color w:val="000000"/>
          <w:sz w:val="18"/>
          <w:szCs w:val="18"/>
          <w:shd w:val="clear" w:color="auto" w:fill="FFFFFF"/>
        </w:rPr>
        <w:t>Sin embargo, derivado de las –pruebas de funcionalidad, el proveedor de equipo y el área técnica de la empresa, encontró que como se planteó la asignación de bloques contiguos –no se permite la utilización de combinación de pares de frecuencias para la prestación de servicios-, toda vez que se generan i</w:t>
      </w:r>
      <w:r w:rsidRPr="008A514A">
        <w:rPr>
          <w:rFonts w:ascii="ITC Avant Garde" w:hAnsi="ITC Avant Garde" w:cs="Arial"/>
          <w:b/>
          <w:bCs/>
          <w:color w:val="000000"/>
          <w:sz w:val="18"/>
          <w:szCs w:val="18"/>
          <w:shd w:val="clear" w:color="auto" w:fill="FFFFFF"/>
        </w:rPr>
        <w:t>nterferencias por Intermodulación en la banda e interferencias no lineales fuera de banda</w:t>
      </w:r>
      <w:r w:rsidRPr="008A514A">
        <w:rPr>
          <w:rFonts w:ascii="ITC Avant Garde" w:hAnsi="ITC Avant Garde" w:cs="Arial"/>
          <w:bCs/>
          <w:color w:val="000000"/>
          <w:sz w:val="18"/>
          <w:szCs w:val="18"/>
          <w:shd w:val="clear" w:color="auto" w:fill="FFFFFF"/>
        </w:rPr>
        <w:t>, al utilizar los pares tan cercanos.</w:t>
      </w:r>
    </w:p>
    <w:p w:rsidR="008A514A" w:rsidRPr="008A514A" w:rsidRDefault="00D933E8" w:rsidP="008A514A">
      <w:pPr>
        <w:spacing w:before="240" w:line="240" w:lineRule="auto"/>
        <w:ind w:left="709" w:right="615"/>
        <w:jc w:val="both"/>
        <w:rPr>
          <w:rFonts w:ascii="ITC Avant Garde" w:hAnsi="ITC Avant Garde" w:cs="Arial"/>
          <w:bCs/>
          <w:color w:val="000000"/>
          <w:sz w:val="18"/>
          <w:szCs w:val="18"/>
          <w:shd w:val="clear" w:color="auto" w:fill="FFFFFF"/>
        </w:rPr>
      </w:pPr>
      <w:r w:rsidRPr="008A514A">
        <w:rPr>
          <w:rFonts w:ascii="ITC Avant Garde" w:hAnsi="ITC Avant Garde" w:cs="Arial"/>
          <w:bCs/>
          <w:color w:val="000000"/>
          <w:sz w:val="18"/>
          <w:szCs w:val="18"/>
          <w:shd w:val="clear" w:color="auto" w:fill="FFFFFF"/>
        </w:rPr>
        <w:t>[…]</w:t>
      </w:r>
    </w:p>
    <w:p w:rsidR="008A514A" w:rsidRPr="008A514A" w:rsidRDefault="00D933E8" w:rsidP="008A514A">
      <w:pPr>
        <w:spacing w:before="240" w:line="240" w:lineRule="auto"/>
        <w:ind w:left="709" w:right="615"/>
        <w:jc w:val="both"/>
        <w:rPr>
          <w:rFonts w:ascii="ITC Avant Garde" w:hAnsi="ITC Avant Garde" w:cs="Arial"/>
          <w:bCs/>
          <w:color w:val="000000"/>
          <w:sz w:val="18"/>
          <w:szCs w:val="18"/>
          <w:shd w:val="clear" w:color="auto" w:fill="FFFFFF"/>
        </w:rPr>
      </w:pPr>
      <w:r w:rsidRPr="008A514A">
        <w:rPr>
          <w:rFonts w:ascii="ITC Avant Garde" w:hAnsi="ITC Avant Garde" w:cs="Arial"/>
          <w:bCs/>
          <w:color w:val="000000"/>
          <w:sz w:val="18"/>
          <w:szCs w:val="18"/>
          <w:shd w:val="clear" w:color="auto" w:fill="FFFFFF"/>
        </w:rPr>
        <w:lastRenderedPageBreak/>
        <w:t>Por lo precedentemente expuesto, el proveedor de equipo y el área técnica, han concluido que para ‘</w:t>
      </w:r>
      <w:r w:rsidR="00452E38" w:rsidRPr="008A514A">
        <w:rPr>
          <w:rFonts w:ascii="ITC Avant Garde" w:hAnsi="ITC Avant Garde" w:cs="Arial"/>
          <w:bCs/>
          <w:color w:val="000000"/>
          <w:sz w:val="18"/>
          <w:szCs w:val="18"/>
          <w:shd w:val="clear" w:color="auto" w:fill="FFFFFF"/>
        </w:rPr>
        <w:t>continuar con la prestación del servicio en condiciones de óptima calidad’ se requiere una mayor separación entre los bloques asignados, que no sean contiguos o en su caso un cambio de grupo de frecuencias, para estar en posibilidad de usar efectivamente los 10 pares de frecuencias asignadas, como se cita, únicamente en la ciudad de Monterrey N.L.</w:t>
      </w:r>
      <w:r w:rsidR="00D46FBB" w:rsidRPr="008A514A">
        <w:rPr>
          <w:rFonts w:ascii="ITC Avant Garde" w:hAnsi="ITC Avant Garde" w:cs="Arial"/>
          <w:bCs/>
          <w:color w:val="000000"/>
          <w:sz w:val="18"/>
          <w:szCs w:val="18"/>
          <w:shd w:val="clear" w:color="auto" w:fill="FFFFFF"/>
        </w:rPr>
        <w:t>”</w:t>
      </w:r>
    </w:p>
    <w:p w:rsidR="008A514A" w:rsidRPr="008A514A" w:rsidRDefault="009312DC" w:rsidP="008A514A">
      <w:pPr>
        <w:numPr>
          <w:ilvl w:val="0"/>
          <w:numId w:val="1"/>
        </w:numPr>
        <w:spacing w:before="240" w:line="240" w:lineRule="auto"/>
        <w:ind w:left="567"/>
        <w:jc w:val="both"/>
        <w:rPr>
          <w:rFonts w:ascii="ITC Avant Garde" w:hAnsi="ITC Avant Garde" w:cs="Arial"/>
          <w:b/>
          <w:bCs/>
          <w:color w:val="000000"/>
          <w:shd w:val="clear" w:color="auto" w:fill="FFFFFF"/>
        </w:rPr>
      </w:pPr>
      <w:r w:rsidRPr="008A514A">
        <w:rPr>
          <w:rFonts w:ascii="ITC Avant Garde" w:hAnsi="ITC Avant Garde"/>
          <w:b/>
          <w:color w:val="000000"/>
        </w:rPr>
        <w:t>Opinión de la Unidad de Espectro Radioeléctrico.</w:t>
      </w:r>
      <w:r w:rsidRPr="008A514A">
        <w:rPr>
          <w:rFonts w:ascii="ITC Avant Garde" w:hAnsi="ITC Avant Garde"/>
          <w:color w:val="000000"/>
        </w:rPr>
        <w:t xml:space="preserve"> Mediante oficio</w:t>
      </w:r>
      <w:r w:rsidR="0025212D" w:rsidRPr="008A514A">
        <w:rPr>
          <w:rFonts w:ascii="ITC Avant Garde" w:hAnsi="ITC Avant Garde"/>
          <w:color w:val="000000"/>
        </w:rPr>
        <w:t>s</w:t>
      </w:r>
      <w:r w:rsidRPr="008A514A">
        <w:rPr>
          <w:rFonts w:ascii="ITC Avant Garde" w:hAnsi="ITC Avant Garde"/>
          <w:color w:val="000000"/>
        </w:rPr>
        <w:t xml:space="preserve"> IFT/222/UER/DG-IEET/</w:t>
      </w:r>
      <w:r w:rsidR="007A6D14" w:rsidRPr="008A514A">
        <w:rPr>
          <w:rFonts w:ascii="ITC Avant Garde" w:hAnsi="ITC Avant Garde"/>
          <w:color w:val="000000"/>
        </w:rPr>
        <w:t>0158</w:t>
      </w:r>
      <w:r w:rsidRPr="008A514A">
        <w:rPr>
          <w:rFonts w:ascii="ITC Avant Garde" w:hAnsi="ITC Avant Garde"/>
          <w:color w:val="000000"/>
        </w:rPr>
        <w:t>/201</w:t>
      </w:r>
      <w:r w:rsidR="007A6D14" w:rsidRPr="008A514A">
        <w:rPr>
          <w:rFonts w:ascii="ITC Avant Garde" w:hAnsi="ITC Avant Garde"/>
          <w:color w:val="000000"/>
        </w:rPr>
        <w:t>7</w:t>
      </w:r>
      <w:r w:rsidRPr="008A514A">
        <w:rPr>
          <w:rFonts w:ascii="ITC Avant Garde" w:hAnsi="ITC Avant Garde"/>
          <w:color w:val="000000"/>
        </w:rPr>
        <w:t xml:space="preserve"> de fecha </w:t>
      </w:r>
      <w:r w:rsidR="007A6D14" w:rsidRPr="008A514A">
        <w:rPr>
          <w:rFonts w:ascii="ITC Avant Garde" w:hAnsi="ITC Avant Garde"/>
          <w:color w:val="000000"/>
        </w:rPr>
        <w:t>15 de febrero de 2017</w:t>
      </w:r>
      <w:r w:rsidR="0025212D" w:rsidRPr="008A514A">
        <w:rPr>
          <w:rFonts w:ascii="ITC Avant Garde" w:hAnsi="ITC Avant Garde"/>
          <w:color w:val="000000"/>
        </w:rPr>
        <w:t xml:space="preserve"> e IFT/222/UER/DGIEET/0390/2017 de fecha 8 de </w:t>
      </w:r>
      <w:r w:rsidR="00145575" w:rsidRPr="008A514A">
        <w:rPr>
          <w:rFonts w:ascii="ITC Avant Garde" w:hAnsi="ITC Avant Garde"/>
          <w:color w:val="000000"/>
        </w:rPr>
        <w:t>marzo</w:t>
      </w:r>
      <w:r w:rsidR="0025212D" w:rsidRPr="008A514A">
        <w:rPr>
          <w:rFonts w:ascii="ITC Avant Garde" w:hAnsi="ITC Avant Garde"/>
          <w:color w:val="000000"/>
        </w:rPr>
        <w:t xml:space="preserve"> de 2017</w:t>
      </w:r>
      <w:r w:rsidRPr="008A514A">
        <w:rPr>
          <w:rFonts w:ascii="ITC Avant Garde" w:hAnsi="ITC Avant Garde"/>
          <w:color w:val="000000"/>
        </w:rPr>
        <w:t>, la Unidad de Espectro Radioeléctrico del Instituto, a través de la Dirección General de Ingeniería del Espectro y Estudios Técnicos, emitió opinión favorable respecto a la Solicitud de Cambio de Bandas.</w:t>
      </w:r>
    </w:p>
    <w:p w:rsidR="008A514A" w:rsidRPr="008A514A" w:rsidRDefault="009312DC" w:rsidP="008A514A">
      <w:pPr>
        <w:spacing w:before="240" w:line="240" w:lineRule="auto"/>
        <w:jc w:val="both"/>
        <w:rPr>
          <w:rFonts w:ascii="ITC Avant Garde" w:hAnsi="ITC Avant Garde"/>
          <w:bCs/>
          <w:color w:val="000000"/>
          <w:lang w:eastAsia="es-MX"/>
        </w:rPr>
      </w:pPr>
      <w:r w:rsidRPr="008A514A">
        <w:rPr>
          <w:rFonts w:ascii="ITC Avant Garde" w:hAnsi="ITC Avant Garde"/>
          <w:bCs/>
          <w:color w:val="000000"/>
          <w:lang w:eastAsia="es-MX"/>
        </w:rPr>
        <w:t>En virtud de los Antecedentes referidos y,</w:t>
      </w:r>
    </w:p>
    <w:p w:rsidR="008A514A" w:rsidRPr="008A514A" w:rsidRDefault="009312DC" w:rsidP="008A514A">
      <w:pPr>
        <w:pStyle w:val="Ttulo2"/>
        <w:spacing w:after="240"/>
        <w:jc w:val="center"/>
        <w:rPr>
          <w:rFonts w:ascii="ITC Avant Garde" w:hAnsi="ITC Avant Garde"/>
          <w:b/>
          <w:color w:val="000000" w:themeColor="text1"/>
          <w:sz w:val="22"/>
          <w:szCs w:val="22"/>
        </w:rPr>
      </w:pPr>
      <w:r w:rsidRPr="008A514A">
        <w:rPr>
          <w:rFonts w:ascii="ITC Avant Garde" w:hAnsi="ITC Avant Garde"/>
          <w:b/>
          <w:color w:val="000000" w:themeColor="text1"/>
          <w:sz w:val="22"/>
          <w:szCs w:val="22"/>
        </w:rPr>
        <w:t>CONSIDERANDO</w:t>
      </w:r>
    </w:p>
    <w:p w:rsidR="008A514A" w:rsidRPr="008A514A" w:rsidRDefault="009312DC" w:rsidP="008A514A">
      <w:pPr>
        <w:autoSpaceDE w:val="0"/>
        <w:autoSpaceDN w:val="0"/>
        <w:adjustRightInd w:val="0"/>
        <w:spacing w:before="240" w:line="240" w:lineRule="auto"/>
        <w:jc w:val="both"/>
        <w:rPr>
          <w:rFonts w:ascii="ITC Avant Garde" w:hAnsi="ITC Avant Garde"/>
          <w:bCs/>
          <w:color w:val="000000"/>
          <w:lang w:eastAsia="es-MX"/>
        </w:rPr>
      </w:pPr>
      <w:r w:rsidRPr="008A514A">
        <w:rPr>
          <w:rFonts w:ascii="ITC Avant Garde" w:hAnsi="ITC Avant Garde"/>
          <w:b/>
          <w:bCs/>
        </w:rPr>
        <w:t>Primero.-</w:t>
      </w:r>
      <w:r w:rsidRPr="008A514A">
        <w:rPr>
          <w:rFonts w:ascii="ITC Avant Garde" w:hAnsi="ITC Avant Garde"/>
          <w:bCs/>
        </w:rPr>
        <w:t xml:space="preserve"> </w:t>
      </w:r>
      <w:r w:rsidRPr="008A514A">
        <w:rPr>
          <w:rFonts w:ascii="ITC Avant Garde" w:hAnsi="ITC Avant Garde"/>
          <w:b/>
          <w:bCs/>
        </w:rPr>
        <w:t>Competencia.</w:t>
      </w:r>
      <w:r w:rsidRPr="008A514A">
        <w:rPr>
          <w:rFonts w:ascii="ITC Avant Garde" w:hAnsi="ITC Avant Garde"/>
          <w:bCs/>
        </w:rPr>
        <w:t xml:space="preserve"> </w:t>
      </w:r>
      <w:r w:rsidRPr="008A514A">
        <w:rPr>
          <w:rFonts w:ascii="ITC Avant Garde" w:hAnsi="ITC Avant Garde"/>
          <w:bCs/>
          <w:color w:val="000000"/>
          <w:lang w:eastAsia="es-MX"/>
        </w:rPr>
        <w:t>Conforme lo dispone el artículo 28 párrafos décimo quinto y décimo sexto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A514A" w:rsidRPr="008A514A" w:rsidRDefault="009312DC" w:rsidP="008A514A">
      <w:pPr>
        <w:autoSpaceDE w:val="0"/>
        <w:autoSpaceDN w:val="0"/>
        <w:adjustRightInd w:val="0"/>
        <w:spacing w:before="240" w:line="240" w:lineRule="auto"/>
        <w:jc w:val="both"/>
        <w:rPr>
          <w:rFonts w:ascii="ITC Avant Garde" w:hAnsi="ITC Avant Garde"/>
          <w:bCs/>
          <w:color w:val="000000"/>
          <w:lang w:eastAsia="es-MX"/>
        </w:rPr>
      </w:pPr>
      <w:r w:rsidRPr="008A514A">
        <w:rPr>
          <w:rFonts w:ascii="ITC Avant Garde" w:hAnsi="ITC Avant Garde"/>
          <w:bCs/>
          <w:color w:val="000000"/>
          <w:lang w:eastAsia="es-MX"/>
        </w:rPr>
        <w:t xml:space="preserve">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8A514A">
        <w:rPr>
          <w:rFonts w:ascii="ITC Avant Garde" w:hAnsi="ITC Avant Garde"/>
          <w:bCs/>
          <w:color w:val="000000"/>
          <w:lang w:eastAsia="es-MX"/>
        </w:rPr>
        <w:t>concesionamiento</w:t>
      </w:r>
      <w:proofErr w:type="spellEnd"/>
      <w:r w:rsidRPr="008A514A">
        <w:rPr>
          <w:rFonts w:ascii="ITC Avant Garde" w:hAnsi="ITC Avant Garde"/>
          <w:bCs/>
          <w:color w:val="000000"/>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8A514A" w:rsidRPr="008A514A" w:rsidRDefault="009312DC" w:rsidP="008A514A">
      <w:pPr>
        <w:autoSpaceDE w:val="0"/>
        <w:autoSpaceDN w:val="0"/>
        <w:adjustRightInd w:val="0"/>
        <w:spacing w:before="240" w:line="240" w:lineRule="auto"/>
        <w:jc w:val="both"/>
        <w:rPr>
          <w:rFonts w:ascii="ITC Avant Garde" w:hAnsi="ITC Avant Garde"/>
          <w:bCs/>
          <w:color w:val="000000"/>
          <w:lang w:eastAsia="es-MX"/>
        </w:rPr>
      </w:pPr>
      <w:r w:rsidRPr="008A514A">
        <w:rPr>
          <w:rFonts w:ascii="ITC Avant Garde" w:hAnsi="ITC Avant Garde"/>
          <w:bCs/>
          <w:color w:val="000000"/>
          <w:lang w:eastAsia="es-MX"/>
        </w:rPr>
        <w:t xml:space="preserve">De igual forma, corresponde al Instituto, conforme </w:t>
      </w:r>
      <w:r w:rsidR="007A6D14" w:rsidRPr="008A514A">
        <w:rPr>
          <w:rFonts w:ascii="ITC Avant Garde" w:hAnsi="ITC Avant Garde"/>
          <w:bCs/>
          <w:color w:val="000000"/>
          <w:lang w:eastAsia="es-MX"/>
        </w:rPr>
        <w:t xml:space="preserve">a </w:t>
      </w:r>
      <w:r w:rsidRPr="008A514A">
        <w:rPr>
          <w:rFonts w:ascii="ITC Avant Garde" w:hAnsi="ITC Avant Garde"/>
          <w:bCs/>
          <w:color w:val="000000"/>
          <w:lang w:eastAsia="es-MX"/>
        </w:rPr>
        <w:t xml:space="preserve">lo establecido por los artículos 15 fracción XV y 106 de la Ley, resolver sobre las solicitudes de autorización relativas al cambio de bandas de frecuencias a solicitud de parte interesada, para lo cual el Instituto deberá tomar en consideración, entre otros aspectos, la planeación y administración eficiente del espectro, los avances tecnológicos y el interés público. </w:t>
      </w:r>
    </w:p>
    <w:p w:rsidR="008A514A" w:rsidRPr="008A514A" w:rsidRDefault="009312DC" w:rsidP="008A514A">
      <w:pPr>
        <w:autoSpaceDE w:val="0"/>
        <w:autoSpaceDN w:val="0"/>
        <w:adjustRightInd w:val="0"/>
        <w:spacing w:before="240" w:line="240" w:lineRule="auto"/>
        <w:jc w:val="both"/>
        <w:rPr>
          <w:rFonts w:ascii="ITC Avant Garde" w:hAnsi="ITC Avant Garde"/>
          <w:bCs/>
        </w:rPr>
      </w:pPr>
      <w:r w:rsidRPr="008A514A">
        <w:rPr>
          <w:rFonts w:ascii="ITC Avant Garde" w:hAnsi="ITC Avant Garde" w:cs="Tahoma"/>
          <w:bCs/>
          <w:lang w:eastAsia="es-MX"/>
        </w:rPr>
        <w:t xml:space="preserve">Asimismo, el artículo 6 fracciones </w:t>
      </w:r>
      <w:r w:rsidR="007A6D14" w:rsidRPr="008A514A">
        <w:rPr>
          <w:rFonts w:ascii="ITC Avant Garde" w:hAnsi="ITC Avant Garde" w:cs="Tahoma"/>
          <w:bCs/>
          <w:lang w:eastAsia="es-MX"/>
        </w:rPr>
        <w:t xml:space="preserve">I </w:t>
      </w:r>
      <w:r w:rsidRPr="008A514A">
        <w:rPr>
          <w:rFonts w:ascii="ITC Avant Garde" w:hAnsi="ITC Avant Garde" w:cs="Tahoma"/>
          <w:bCs/>
          <w:lang w:eastAsia="es-MX"/>
        </w:rPr>
        <w:t>y XXXVII</w:t>
      </w:r>
      <w:r w:rsidR="007A6D14" w:rsidRPr="008A514A">
        <w:rPr>
          <w:rFonts w:ascii="ITC Avant Garde" w:hAnsi="ITC Avant Garde" w:cs="Tahoma"/>
          <w:bCs/>
          <w:lang w:eastAsia="es-MX"/>
        </w:rPr>
        <w:t>I</w:t>
      </w:r>
      <w:r w:rsidRPr="008A514A">
        <w:rPr>
          <w:rFonts w:ascii="ITC Avant Garde" w:hAnsi="ITC Avant Garde" w:cs="Tahoma"/>
          <w:bCs/>
          <w:lang w:eastAsia="es-MX"/>
        </w:rPr>
        <w:t xml:space="preserve"> del </w:t>
      </w:r>
      <w:r w:rsidRPr="008A514A">
        <w:rPr>
          <w:rFonts w:ascii="ITC Avant Garde" w:hAnsi="ITC Avant Garde"/>
          <w:bCs/>
          <w:lang w:eastAsia="es-MX"/>
        </w:rPr>
        <w:t>Estatuto Orgánico,</w:t>
      </w:r>
      <w:r w:rsidRPr="008A514A">
        <w:rPr>
          <w:rFonts w:ascii="ITC Avant Garde" w:hAnsi="ITC Avant Garde" w:cs="Tahoma"/>
          <w:bCs/>
          <w:lang w:eastAsia="es-MX"/>
        </w:rPr>
        <w:t xml:space="preserve"> establece</w:t>
      </w:r>
      <w:r w:rsidR="007A6D14" w:rsidRPr="008A514A">
        <w:rPr>
          <w:rFonts w:ascii="ITC Avant Garde" w:hAnsi="ITC Avant Garde" w:cs="Tahoma"/>
          <w:bCs/>
          <w:lang w:eastAsia="es-MX"/>
        </w:rPr>
        <w:t>n</w:t>
      </w:r>
      <w:r w:rsidRPr="008A514A">
        <w:rPr>
          <w:rFonts w:ascii="ITC Avant Garde" w:hAnsi="ITC Avant Garde" w:cs="Tahoma"/>
          <w:bCs/>
          <w:lang w:eastAsia="es-MX"/>
        </w:rPr>
        <w:t xml:space="preserve"> como atribuciones del Pleno del Instituto, entre otras, la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w:t>
      </w:r>
      <w:r w:rsidRPr="008A514A">
        <w:rPr>
          <w:rFonts w:ascii="ITC Avant Garde" w:hAnsi="ITC Avant Garde" w:cs="Tahoma"/>
          <w:bCs/>
          <w:lang w:eastAsia="es-MX"/>
        </w:rPr>
        <w:lastRenderedPageBreak/>
        <w:t>activa, pasiva e insumos esenciales</w:t>
      </w:r>
      <w:r w:rsidR="007A6D14" w:rsidRPr="008A514A">
        <w:rPr>
          <w:rFonts w:ascii="ITC Avant Garde" w:hAnsi="ITC Avant Garde" w:cs="Tahoma"/>
          <w:bCs/>
          <w:lang w:eastAsia="es-MX"/>
        </w:rPr>
        <w:t xml:space="preserve">, </w:t>
      </w:r>
      <w:r w:rsidRPr="008A514A">
        <w:rPr>
          <w:rFonts w:ascii="ITC Avant Garde" w:hAnsi="ITC Avant Garde" w:cs="Tahoma"/>
          <w:bCs/>
          <w:lang w:eastAsia="es-MX"/>
        </w:rPr>
        <w:t>y las demás que la Ley y otros ordenamientos le confieran.</w:t>
      </w:r>
    </w:p>
    <w:p w:rsidR="008A514A" w:rsidRPr="008A514A" w:rsidRDefault="009312DC" w:rsidP="008A514A">
      <w:pPr>
        <w:autoSpaceDE w:val="0"/>
        <w:autoSpaceDN w:val="0"/>
        <w:adjustRightInd w:val="0"/>
        <w:spacing w:before="240" w:line="240" w:lineRule="auto"/>
        <w:jc w:val="both"/>
        <w:rPr>
          <w:rFonts w:ascii="ITC Avant Garde" w:hAnsi="ITC Avant Garde" w:cs="Tahoma"/>
          <w:bCs/>
          <w:lang w:eastAsia="es-MX"/>
        </w:rPr>
      </w:pPr>
      <w:r w:rsidRPr="008A514A">
        <w:rPr>
          <w:rFonts w:ascii="ITC Avant Garde" w:hAnsi="ITC Avant Garde" w:cs="Tahoma"/>
          <w:bCs/>
          <w:lang w:eastAsia="es-MX"/>
        </w:rPr>
        <w:t xml:space="preserve">Por otro lado, conforme a los artículos 32 y 33 </w:t>
      </w:r>
      <w:proofErr w:type="gramStart"/>
      <w:r w:rsidRPr="008A514A">
        <w:rPr>
          <w:rFonts w:ascii="ITC Avant Garde" w:hAnsi="ITC Avant Garde" w:cs="Tahoma"/>
          <w:bCs/>
          <w:lang w:eastAsia="es-MX"/>
        </w:rPr>
        <w:t>fracción</w:t>
      </w:r>
      <w:proofErr w:type="gramEnd"/>
      <w:r w:rsidRPr="008A514A">
        <w:rPr>
          <w:rFonts w:ascii="ITC Avant Garde" w:hAnsi="ITC Avant Garde" w:cs="Tahoma"/>
          <w:bCs/>
          <w:lang w:eastAsia="es-MX"/>
        </w:rPr>
        <w:t xml:space="preserve"> XIV del Estatuto Orgánico,</w:t>
      </w:r>
      <w:r w:rsidRPr="008A514A">
        <w:rPr>
          <w:rFonts w:ascii="ITC Avant Garde" w:hAnsi="ITC Avant Garde"/>
          <w:bCs/>
        </w:rPr>
        <w:t xml:space="preserve"> corresponde a </w:t>
      </w:r>
      <w:r w:rsidRPr="008A514A">
        <w:rPr>
          <w:rFonts w:ascii="ITC Avant Garde" w:hAnsi="ITC Avant Garde" w:cs="Tahoma"/>
          <w:bCs/>
          <w:lang w:eastAsia="es-MX"/>
        </w:rPr>
        <w:t xml:space="preserve">la Unidad de Concesiones y Servicios, a través de la Dirección General de Concesiones de Telecomunicaciones, tramitar, entre otras, las solicitudes para el cambio de bandas de frecuencias de espectro radioeléctrico de concesionarios en materia de telecomunicaciones y someterlas a consideración del Pleno. </w:t>
      </w:r>
    </w:p>
    <w:p w:rsidR="008A514A" w:rsidRPr="008A514A" w:rsidRDefault="009312DC" w:rsidP="008A514A">
      <w:pPr>
        <w:autoSpaceDE w:val="0"/>
        <w:autoSpaceDN w:val="0"/>
        <w:adjustRightInd w:val="0"/>
        <w:spacing w:before="240" w:line="240" w:lineRule="auto"/>
        <w:jc w:val="both"/>
        <w:rPr>
          <w:rFonts w:ascii="ITC Avant Garde" w:hAnsi="ITC Avant Garde"/>
          <w:b/>
          <w:bCs/>
        </w:rPr>
      </w:pPr>
      <w:r w:rsidRPr="008A514A">
        <w:rPr>
          <w:rFonts w:ascii="ITC Avant Garde" w:hAnsi="ITC Avant Garde"/>
          <w:bCs/>
        </w:rPr>
        <w:t>En este orden de ideas y toda vez que el Instituto tiene a su cargo la regulación, promoción y supervisión de</w:t>
      </w:r>
      <w:r w:rsidRPr="008A514A">
        <w:rPr>
          <w:rFonts w:ascii="ITC Avant Garde" w:hAnsi="ITC Avant Garde" w:cs="Tahoma"/>
          <w:bCs/>
          <w:lang w:eastAsia="es-MX"/>
        </w:rPr>
        <w:t xml:space="preserve">l uso, aprovechamiento y explotación del espectro radioeléctrico, los recursos orbitales, los servicios satelitales, las redes de telecomunicaciones y la prestación de los servicios de radiodifusión y telecomunicaciones, así como el acceso a infraestructura activa, pasiva e insumos esenciales, </w:t>
      </w:r>
      <w:r w:rsidRPr="008A514A">
        <w:rPr>
          <w:rFonts w:ascii="ITC Avant Garde" w:hAnsi="ITC Avant Garde"/>
          <w:bCs/>
        </w:rPr>
        <w:t xml:space="preserve">está facultado para </w:t>
      </w:r>
      <w:r w:rsidRPr="008A514A">
        <w:rPr>
          <w:rFonts w:ascii="ITC Avant Garde" w:hAnsi="ITC Avant Garde"/>
          <w:bCs/>
          <w:color w:val="000000"/>
          <w:lang w:eastAsia="es-MX"/>
        </w:rPr>
        <w:t>resolver sobre las solicitudes de autorización de cambio de bandas de frecuencias del espectro radioeléctrico que presenten los concesionarios.</w:t>
      </w:r>
      <w:r w:rsidRPr="008A514A">
        <w:rPr>
          <w:rFonts w:ascii="ITC Avant Garde" w:hAnsi="ITC Avant Garde"/>
          <w:bCs/>
        </w:rPr>
        <w:t xml:space="preserve"> P</w:t>
      </w:r>
      <w:r w:rsidRPr="008A514A">
        <w:rPr>
          <w:rFonts w:ascii="ITC Avant Garde" w:hAnsi="ITC Avant Garde" w:cs="Tahoma"/>
          <w:bCs/>
          <w:lang w:eastAsia="es-MX"/>
        </w:rPr>
        <w:t xml:space="preserve">or lo que </w:t>
      </w:r>
      <w:r w:rsidRPr="008A514A">
        <w:rPr>
          <w:rFonts w:ascii="ITC Avant Garde" w:hAnsi="ITC Avant Garde"/>
          <w:bCs/>
        </w:rPr>
        <w:t>el Pleno, como órgano máximo de gobierno y decisión del Instituto, se encuentra plenamente facultado para resolver la Solicitud de Cambio de Bandas.</w:t>
      </w:r>
    </w:p>
    <w:p w:rsidR="008A514A" w:rsidRPr="008A514A" w:rsidRDefault="009312DC" w:rsidP="008A514A">
      <w:pPr>
        <w:autoSpaceDE w:val="0"/>
        <w:autoSpaceDN w:val="0"/>
        <w:adjustRightInd w:val="0"/>
        <w:spacing w:before="240" w:line="240" w:lineRule="auto"/>
        <w:jc w:val="both"/>
        <w:rPr>
          <w:rFonts w:ascii="ITC Avant Garde" w:hAnsi="ITC Avant Garde"/>
          <w:bCs/>
          <w:color w:val="000000"/>
          <w:lang w:eastAsia="es-MX"/>
        </w:rPr>
      </w:pPr>
      <w:r w:rsidRPr="008A514A">
        <w:rPr>
          <w:rFonts w:ascii="ITC Avant Garde" w:hAnsi="ITC Avant Garde"/>
          <w:b/>
          <w:bCs/>
        </w:rPr>
        <w:t>Segundo.-</w:t>
      </w:r>
      <w:r w:rsidRPr="008A514A">
        <w:rPr>
          <w:rFonts w:ascii="ITC Avant Garde" w:hAnsi="ITC Avant Garde"/>
        </w:rPr>
        <w:t xml:space="preserve"> </w:t>
      </w:r>
      <w:r w:rsidRPr="008A514A">
        <w:rPr>
          <w:rFonts w:ascii="ITC Avant Garde" w:hAnsi="ITC Avant Garde"/>
          <w:b/>
          <w:bCs/>
        </w:rPr>
        <w:t>Marco normativo general aplicable a la Solicitud de Cambio de Bandas.</w:t>
      </w:r>
      <w:r w:rsidRPr="008A514A">
        <w:rPr>
          <w:rFonts w:ascii="ITC Avant Garde" w:hAnsi="ITC Avant Garde"/>
        </w:rPr>
        <w:t xml:space="preserve"> </w:t>
      </w:r>
      <w:r w:rsidR="002615A1" w:rsidRPr="008A514A">
        <w:rPr>
          <w:rFonts w:ascii="ITC Avant Garde" w:hAnsi="ITC Avant Garde"/>
          <w:bCs/>
          <w:color w:val="000000"/>
          <w:lang w:eastAsia="es-MX"/>
        </w:rPr>
        <w:t>El artículo 54 de la Ley señala que al administrar el espectro, el Instituto perseguirá diversos objetivos generales en beneficio de los usuarios, como son la competencia efectiva en los mercados convergentes de los sectores de telecomunicaciones y radiodifusión; así como el uso eficaz del espectro y su protección. Asimismo, el artículo 56 de la Ley establece que para la adecuada planeación, administración y control del espectro radioeléctrico y para su uso y aprovechamiento eficiente, el Instituto, entre otras cosas, deberá considerar la evolución tecnológica en materia de telecomunicaciones y radiodifusión, particularmente la de radiocomunicación y la reglamentación en materia de radiocomunicación de la Unión Internacional de Telecomunicaciones</w:t>
      </w:r>
      <w:r w:rsidRPr="008A514A">
        <w:rPr>
          <w:rFonts w:ascii="ITC Avant Garde" w:hAnsi="ITC Avant Garde"/>
          <w:bCs/>
          <w:color w:val="000000"/>
          <w:lang w:eastAsia="es-MX"/>
        </w:rPr>
        <w:t xml:space="preserve">. </w:t>
      </w:r>
    </w:p>
    <w:p w:rsidR="008A514A" w:rsidRPr="008A514A" w:rsidRDefault="009312DC" w:rsidP="008A514A">
      <w:pPr>
        <w:autoSpaceDE w:val="0"/>
        <w:autoSpaceDN w:val="0"/>
        <w:adjustRightInd w:val="0"/>
        <w:spacing w:before="240" w:line="240" w:lineRule="auto"/>
        <w:jc w:val="both"/>
        <w:rPr>
          <w:rFonts w:ascii="ITC Avant Garde" w:hAnsi="ITC Avant Garde"/>
          <w:bCs/>
          <w:color w:val="000000"/>
          <w:lang w:eastAsia="es-MX"/>
        </w:rPr>
      </w:pPr>
      <w:r w:rsidRPr="008A514A">
        <w:rPr>
          <w:rFonts w:ascii="ITC Avant Garde" w:hAnsi="ITC Avant Garde"/>
          <w:bCs/>
          <w:color w:val="000000"/>
          <w:lang w:eastAsia="es-MX"/>
        </w:rPr>
        <w:t xml:space="preserve">Con respecto al cambio de bandas </w:t>
      </w:r>
      <w:r w:rsidR="002615A1" w:rsidRPr="008A514A">
        <w:rPr>
          <w:rFonts w:ascii="ITC Avant Garde" w:hAnsi="ITC Avant Garde"/>
          <w:bCs/>
          <w:color w:val="000000"/>
          <w:lang w:eastAsia="es-MX"/>
        </w:rPr>
        <w:t xml:space="preserve">de frecuencias </w:t>
      </w:r>
      <w:r w:rsidRPr="008A514A">
        <w:rPr>
          <w:rFonts w:ascii="ITC Avant Garde" w:hAnsi="ITC Avant Garde"/>
          <w:bCs/>
          <w:color w:val="000000"/>
          <w:lang w:eastAsia="es-MX"/>
        </w:rPr>
        <w:t>del espectro radioeléctrico, el artículo 106 de la Ley establece, entre otros aspectos, lo siguiente:</w:t>
      </w:r>
    </w:p>
    <w:p w:rsidR="008A514A" w:rsidRPr="008A514A" w:rsidRDefault="009312DC" w:rsidP="008A514A">
      <w:pPr>
        <w:autoSpaceDE w:val="0"/>
        <w:autoSpaceDN w:val="0"/>
        <w:adjustRightInd w:val="0"/>
        <w:spacing w:before="240" w:line="240" w:lineRule="auto"/>
        <w:ind w:left="708" w:right="615"/>
        <w:jc w:val="both"/>
        <w:rPr>
          <w:rFonts w:ascii="ITC Avant Garde" w:hAnsi="ITC Avant Garde"/>
          <w:bCs/>
          <w:color w:val="000000"/>
          <w:sz w:val="18"/>
          <w:szCs w:val="18"/>
          <w:lang w:eastAsia="es-MX"/>
        </w:rPr>
      </w:pPr>
      <w:r w:rsidRPr="008A514A">
        <w:rPr>
          <w:rFonts w:ascii="ITC Avant Garde" w:hAnsi="ITC Avant Garde"/>
          <w:bCs/>
          <w:color w:val="000000"/>
          <w:sz w:val="18"/>
          <w:szCs w:val="18"/>
          <w:lang w:eastAsia="es-MX"/>
        </w:rPr>
        <w:t>“</w:t>
      </w:r>
      <w:r w:rsidRPr="008A514A">
        <w:rPr>
          <w:rFonts w:ascii="ITC Avant Garde" w:hAnsi="ITC Avant Garde"/>
          <w:b/>
          <w:bCs/>
          <w:color w:val="000000"/>
          <w:sz w:val="18"/>
          <w:szCs w:val="18"/>
          <w:lang w:eastAsia="es-MX"/>
        </w:rPr>
        <w:t>Artículo 106.</w:t>
      </w:r>
      <w:r w:rsidRPr="008A514A">
        <w:rPr>
          <w:rFonts w:ascii="ITC Avant Garde" w:hAnsi="ITC Avant Garde"/>
          <w:bCs/>
          <w:color w:val="000000"/>
          <w:sz w:val="18"/>
          <w:szCs w:val="18"/>
          <w:lang w:eastAsia="es-MX"/>
        </w:rPr>
        <w:t xml:space="preserve"> El cambio de bandas de frecuencias o de recursos orbitales, podrá realizarse de oficio o a solicitud de parte interesada.</w:t>
      </w:r>
    </w:p>
    <w:p w:rsidR="008A514A" w:rsidRPr="008A514A" w:rsidRDefault="009312DC" w:rsidP="008A514A">
      <w:pPr>
        <w:autoSpaceDE w:val="0"/>
        <w:autoSpaceDN w:val="0"/>
        <w:adjustRightInd w:val="0"/>
        <w:spacing w:before="240" w:line="240" w:lineRule="auto"/>
        <w:ind w:left="708" w:right="615"/>
        <w:jc w:val="both"/>
        <w:rPr>
          <w:rFonts w:ascii="ITC Avant Garde" w:hAnsi="ITC Avant Garde"/>
          <w:bCs/>
          <w:color w:val="000000"/>
          <w:sz w:val="18"/>
          <w:szCs w:val="18"/>
          <w:lang w:eastAsia="es-MX"/>
        </w:rPr>
      </w:pPr>
      <w:r w:rsidRPr="008A514A">
        <w:rPr>
          <w:rFonts w:ascii="ITC Avant Garde" w:hAnsi="ITC Avant Garde"/>
          <w:bCs/>
          <w:color w:val="000000"/>
          <w:sz w:val="18"/>
          <w:szCs w:val="18"/>
          <w:lang w:eastAsia="es-MX"/>
        </w:rPr>
        <w:t>Cuando el concesionario solicite el cambio que se refiere este artículo, el Instituto deberá resolver dentro de los noventa días hábiles, siguiente</w:t>
      </w:r>
      <w:r w:rsidR="002615A1" w:rsidRPr="008A514A">
        <w:rPr>
          <w:rFonts w:ascii="ITC Avant Garde" w:hAnsi="ITC Avant Garde"/>
          <w:bCs/>
          <w:color w:val="000000"/>
          <w:sz w:val="18"/>
          <w:szCs w:val="18"/>
          <w:lang w:eastAsia="es-MX"/>
        </w:rPr>
        <w:t>s</w:t>
      </w:r>
      <w:r w:rsidRPr="008A514A">
        <w:rPr>
          <w:rFonts w:ascii="ITC Avant Garde" w:hAnsi="ITC Avant Garde"/>
          <w:bCs/>
          <w:color w:val="000000"/>
          <w:sz w:val="18"/>
          <w:szCs w:val="18"/>
          <w:lang w:eastAsia="es-MX"/>
        </w:rPr>
        <w:t xml:space="preserve"> a la fecha de presentación de la solicitud, tomando en consideración la planeación y administración eficiente del espectro, los recursos orbitales, los avances tecnológicos y el interés público. </w:t>
      </w:r>
    </w:p>
    <w:p w:rsidR="008A514A" w:rsidRPr="008A514A" w:rsidRDefault="009312DC" w:rsidP="008A514A">
      <w:pPr>
        <w:autoSpaceDE w:val="0"/>
        <w:autoSpaceDN w:val="0"/>
        <w:adjustRightInd w:val="0"/>
        <w:spacing w:before="240" w:line="240" w:lineRule="auto"/>
        <w:ind w:left="708" w:right="615"/>
        <w:jc w:val="both"/>
        <w:rPr>
          <w:rFonts w:ascii="ITC Avant Garde" w:hAnsi="ITC Avant Garde"/>
          <w:bCs/>
          <w:color w:val="000000"/>
          <w:sz w:val="18"/>
          <w:szCs w:val="18"/>
          <w:lang w:eastAsia="es-MX"/>
        </w:rPr>
      </w:pPr>
      <w:r w:rsidRPr="008A514A">
        <w:rPr>
          <w:rFonts w:ascii="ITC Avant Garde" w:hAnsi="ITC Avant Garde"/>
          <w:bCs/>
          <w:color w:val="000000"/>
          <w:sz w:val="18"/>
          <w:szCs w:val="18"/>
          <w:lang w:eastAsia="es-MX"/>
        </w:rPr>
        <w:t>[…]”</w:t>
      </w:r>
    </w:p>
    <w:p w:rsidR="008A514A" w:rsidRPr="008A514A" w:rsidRDefault="002615A1" w:rsidP="008A514A">
      <w:pPr>
        <w:autoSpaceDE w:val="0"/>
        <w:autoSpaceDN w:val="0"/>
        <w:adjustRightInd w:val="0"/>
        <w:spacing w:before="240" w:line="240" w:lineRule="auto"/>
        <w:jc w:val="both"/>
        <w:rPr>
          <w:rFonts w:ascii="ITC Avant Garde" w:hAnsi="ITC Avant Garde"/>
          <w:bCs/>
        </w:rPr>
      </w:pPr>
      <w:r w:rsidRPr="008A514A">
        <w:rPr>
          <w:rFonts w:ascii="ITC Avant Garde" w:hAnsi="ITC Avant Garde"/>
          <w:bCs/>
        </w:rPr>
        <w:t>Por su parte, la Condición 3 “Modalidad de uso de la Concesión de Espectro Radioeléctrico” de la Concesión señala, entre otros aspectos, lo siguiente:</w:t>
      </w:r>
    </w:p>
    <w:p w:rsidR="008A514A" w:rsidRPr="008A514A" w:rsidRDefault="00920579" w:rsidP="008A514A">
      <w:pPr>
        <w:autoSpaceDE w:val="0"/>
        <w:autoSpaceDN w:val="0"/>
        <w:adjustRightInd w:val="0"/>
        <w:spacing w:before="240" w:line="240" w:lineRule="auto"/>
        <w:ind w:left="708" w:right="615"/>
        <w:jc w:val="both"/>
        <w:rPr>
          <w:rFonts w:ascii="ITC Avant Garde" w:hAnsi="ITC Avant Garde"/>
          <w:bCs/>
          <w:color w:val="000000"/>
          <w:sz w:val="18"/>
          <w:szCs w:val="18"/>
          <w:lang w:eastAsia="es-MX"/>
        </w:rPr>
      </w:pPr>
      <w:r w:rsidRPr="008A514A">
        <w:rPr>
          <w:rFonts w:ascii="ITC Avant Garde" w:hAnsi="ITC Avant Garde"/>
          <w:bCs/>
          <w:color w:val="000000"/>
          <w:sz w:val="18"/>
          <w:szCs w:val="18"/>
          <w:lang w:eastAsia="es-MX"/>
        </w:rPr>
        <w:t>“</w:t>
      </w:r>
      <w:r w:rsidRPr="008A514A">
        <w:rPr>
          <w:rFonts w:ascii="ITC Avant Garde" w:hAnsi="ITC Avant Garde"/>
          <w:b/>
          <w:bCs/>
          <w:color w:val="000000"/>
          <w:sz w:val="18"/>
          <w:szCs w:val="18"/>
          <w:lang w:eastAsia="es-MX"/>
        </w:rPr>
        <w:t>3. Modalidad de uso de la Concesión de Espectro Radioeléctrico.</w:t>
      </w:r>
      <w:r w:rsidRPr="008A514A">
        <w:rPr>
          <w:rFonts w:ascii="ITC Avant Garde" w:hAnsi="ITC Avant Garde"/>
          <w:bCs/>
          <w:color w:val="000000"/>
          <w:sz w:val="18"/>
          <w:szCs w:val="18"/>
          <w:lang w:eastAsia="es-MX"/>
        </w:rPr>
        <w:t xml:space="preserve"> La presente Concesión de Espectro Radioeléctrico se otorga para uso comercial, en términos de lo establecido por el artículo 76 fracción I de la Ley y otorga el derecho para el uso, aprovechamiento y </w:t>
      </w:r>
      <w:r w:rsidRPr="008A514A">
        <w:rPr>
          <w:rFonts w:ascii="ITC Avant Garde" w:hAnsi="ITC Avant Garde"/>
          <w:bCs/>
          <w:color w:val="000000"/>
          <w:sz w:val="18"/>
          <w:szCs w:val="18"/>
          <w:lang w:eastAsia="es-MX"/>
        </w:rPr>
        <w:lastRenderedPageBreak/>
        <w:t xml:space="preserve">explotación de bandas de frecuencias del espectro radioeléctrico de uso determinado, con fines de lucro. </w:t>
      </w:r>
    </w:p>
    <w:p w:rsidR="008A514A" w:rsidRPr="008A514A" w:rsidRDefault="00920579" w:rsidP="008A514A">
      <w:pPr>
        <w:autoSpaceDE w:val="0"/>
        <w:autoSpaceDN w:val="0"/>
        <w:adjustRightInd w:val="0"/>
        <w:spacing w:before="240" w:line="240" w:lineRule="auto"/>
        <w:ind w:left="708" w:right="615"/>
        <w:jc w:val="both"/>
        <w:rPr>
          <w:rFonts w:ascii="ITC Avant Garde" w:hAnsi="ITC Avant Garde"/>
          <w:bCs/>
          <w:color w:val="000000"/>
          <w:sz w:val="18"/>
          <w:szCs w:val="18"/>
          <w:lang w:eastAsia="es-MX"/>
        </w:rPr>
      </w:pPr>
      <w:r w:rsidRPr="008A514A">
        <w:rPr>
          <w:rFonts w:ascii="ITC Avant Garde" w:hAnsi="ITC Avant Garde"/>
          <w:bCs/>
          <w:color w:val="000000"/>
          <w:sz w:val="18"/>
          <w:szCs w:val="18"/>
          <w:lang w:eastAsia="es-MX"/>
        </w:rPr>
        <w:t>El uso de las bandas de frecuencias del espectro radioeléctrico objeto del presente título y la prestación de los servicios de telecomunicaciones que tenga autorizados el Concesionario, así como la instalación, operación y explotación de la infraestructura asociada a los mismos, deberá sujetarse a la Constitución Política de los Estados Unidos Mexicanos, a los tratados internacionales de los que el Estado Mexicano sea parte, leyes, reglamentos, decretos, reglas, planes técnicos fundamentales, disposiciones técnicas, Normas Oficiales Mexicanas, normas técnicas, resoluciones, acuerdos, circulares y demás disposiciones administrativas de carácter general, así como a las condiciones establecidas en el presente título.</w:t>
      </w:r>
    </w:p>
    <w:p w:rsidR="008A514A" w:rsidRPr="008A514A" w:rsidRDefault="00920579" w:rsidP="008A514A">
      <w:pPr>
        <w:autoSpaceDE w:val="0"/>
        <w:autoSpaceDN w:val="0"/>
        <w:adjustRightInd w:val="0"/>
        <w:spacing w:before="240" w:line="240" w:lineRule="auto"/>
        <w:ind w:left="708" w:right="615"/>
        <w:jc w:val="both"/>
        <w:rPr>
          <w:rFonts w:ascii="ITC Avant Garde" w:hAnsi="ITC Avant Garde"/>
          <w:bCs/>
          <w:color w:val="000000"/>
          <w:sz w:val="18"/>
          <w:szCs w:val="18"/>
          <w:lang w:eastAsia="es-MX"/>
        </w:rPr>
      </w:pPr>
      <w:r w:rsidRPr="008A514A">
        <w:rPr>
          <w:rFonts w:ascii="ITC Avant Garde" w:hAnsi="ITC Avant Garde"/>
          <w:bCs/>
          <w:color w:val="000000"/>
          <w:sz w:val="18"/>
          <w:szCs w:val="18"/>
          <w:lang w:eastAsia="es-MX"/>
        </w:rPr>
        <w:t>[…]”</w:t>
      </w:r>
    </w:p>
    <w:p w:rsidR="008A514A" w:rsidRPr="008A514A" w:rsidRDefault="009312DC" w:rsidP="008A514A">
      <w:pPr>
        <w:autoSpaceDE w:val="0"/>
        <w:autoSpaceDN w:val="0"/>
        <w:adjustRightInd w:val="0"/>
        <w:spacing w:before="240" w:line="240" w:lineRule="auto"/>
        <w:jc w:val="both"/>
        <w:rPr>
          <w:rFonts w:ascii="ITC Avant Garde" w:hAnsi="ITC Avant Garde"/>
          <w:bCs/>
        </w:rPr>
      </w:pPr>
      <w:r w:rsidRPr="008A514A">
        <w:rPr>
          <w:rFonts w:ascii="ITC Avant Garde" w:hAnsi="ITC Avant Garde"/>
          <w:bCs/>
        </w:rPr>
        <w:t xml:space="preserve">Derivado de lo anterior, y considerando que el título de concesión objeto de la Solicitud de Cambio de Bandas </w:t>
      </w:r>
      <w:r w:rsidR="002615A1" w:rsidRPr="008A514A">
        <w:rPr>
          <w:rFonts w:ascii="ITC Avant Garde" w:hAnsi="ITC Avant Garde"/>
          <w:bCs/>
        </w:rPr>
        <w:t>se encuentra sujeto</w:t>
      </w:r>
      <w:r w:rsidRPr="008A514A">
        <w:rPr>
          <w:rFonts w:ascii="ITC Avant Garde" w:hAnsi="ITC Avant Garde"/>
          <w:bCs/>
        </w:rPr>
        <w:t xml:space="preserve"> al nuevo régimen legal, para llevar a cabo el análisis de la citada solicitud, el Instituto debe tomar en consideración la planeación y administración eficiente del espectro, los avances tecnológicos y el interés público.</w:t>
      </w:r>
    </w:p>
    <w:p w:rsidR="008A514A" w:rsidRPr="008A514A" w:rsidRDefault="009312DC" w:rsidP="008A514A">
      <w:pPr>
        <w:spacing w:before="240" w:line="240" w:lineRule="auto"/>
        <w:jc w:val="both"/>
        <w:rPr>
          <w:rFonts w:ascii="ITC Avant Garde" w:hAnsi="ITC Avant Garde"/>
          <w:bCs/>
          <w:color w:val="000000"/>
          <w:lang w:eastAsia="es-MX"/>
        </w:rPr>
      </w:pPr>
      <w:r w:rsidRPr="008A514A">
        <w:rPr>
          <w:rFonts w:ascii="ITC Avant Garde" w:hAnsi="ITC Avant Garde"/>
          <w:bCs/>
        </w:rPr>
        <w:t xml:space="preserve">Ahora bien, cabe destacar que para este tipo de solicitudes </w:t>
      </w:r>
      <w:r w:rsidR="00480184" w:rsidRPr="008A514A">
        <w:rPr>
          <w:rFonts w:ascii="ITC Avant Garde" w:hAnsi="ITC Avant Garde"/>
          <w:bCs/>
        </w:rPr>
        <w:t>debe</w:t>
      </w:r>
      <w:r w:rsidRPr="008A514A">
        <w:rPr>
          <w:rFonts w:ascii="ITC Avant Garde" w:hAnsi="ITC Avant Garde"/>
          <w:bCs/>
        </w:rPr>
        <w:t xml:space="preserve"> acatarse el requisito establecido en el artículo </w:t>
      </w:r>
      <w:r w:rsidR="00480184" w:rsidRPr="008A514A">
        <w:rPr>
          <w:rFonts w:ascii="ITC Avant Garde" w:hAnsi="ITC Avant Garde"/>
          <w:bCs/>
        </w:rPr>
        <w:t>174-C fracción X</w:t>
      </w:r>
      <w:r w:rsidRPr="008A514A">
        <w:rPr>
          <w:rFonts w:ascii="ITC Avant Garde" w:hAnsi="ITC Avant Garde"/>
          <w:bCs/>
        </w:rPr>
        <w:t xml:space="preserve"> de la Ley Federal de Derechos, </w:t>
      </w:r>
      <w:r w:rsidR="00480184" w:rsidRPr="008A514A">
        <w:rPr>
          <w:rFonts w:ascii="ITC Avant Garde" w:hAnsi="ITC Avant Garde"/>
          <w:bCs/>
          <w:color w:val="000000" w:themeColor="text1"/>
          <w:lang w:eastAsia="es-MX"/>
        </w:rPr>
        <w:t>por concepto del estudio y, en su caso, la autorización de las solicitudes de modificaciones técnicas, administrativas, operativas y legales de los títulos de concesión en materia de telecomunicaciones y radiodifusión, por el cambio de canal, frecuencias, bandas de frecuencias o recursos orbitales</w:t>
      </w:r>
      <w:r w:rsidRPr="008A514A">
        <w:rPr>
          <w:rFonts w:ascii="ITC Avant Garde" w:hAnsi="ITC Avant Garde"/>
          <w:bCs/>
          <w:color w:val="000000"/>
          <w:lang w:eastAsia="es-MX"/>
        </w:rPr>
        <w:t>, como es el caso que nos ocupa.</w:t>
      </w:r>
    </w:p>
    <w:p w:rsidR="008A514A" w:rsidRPr="008A514A" w:rsidRDefault="009312DC" w:rsidP="008A514A">
      <w:pPr>
        <w:spacing w:before="240" w:line="240" w:lineRule="auto"/>
        <w:jc w:val="both"/>
        <w:rPr>
          <w:rFonts w:ascii="ITC Avant Garde" w:hAnsi="ITC Avant Garde" w:cs="Arial"/>
          <w:bCs/>
          <w:color w:val="000000"/>
          <w:shd w:val="clear" w:color="auto" w:fill="FFFFFF"/>
        </w:rPr>
      </w:pPr>
      <w:r w:rsidRPr="008A514A">
        <w:rPr>
          <w:rFonts w:ascii="ITC Avant Garde" w:hAnsi="ITC Avant Garde"/>
          <w:b/>
          <w:bCs/>
        </w:rPr>
        <w:t>Tercero.- Análisis de la Solicitud de Cambio de Bandas.</w:t>
      </w:r>
      <w:r w:rsidRPr="008A514A">
        <w:rPr>
          <w:rFonts w:ascii="ITC Avant Garde" w:hAnsi="ITC Avant Garde" w:cs="Arial"/>
          <w:bCs/>
          <w:color w:val="000000"/>
          <w:shd w:val="clear" w:color="auto" w:fill="FFFFFF"/>
        </w:rPr>
        <w:t xml:space="preserve"> En atención a lo establecido en artículo 106 de la Ley, en lo que respecta a</w:t>
      </w:r>
      <w:r w:rsidRPr="008A514A">
        <w:rPr>
          <w:rFonts w:ascii="ITC Avant Garde" w:hAnsi="ITC Avant Garde"/>
          <w:bCs/>
        </w:rPr>
        <w:t xml:space="preserve"> la planeación y administración eficiente del espectro y los avances tecnológicos</w:t>
      </w:r>
      <w:r w:rsidRPr="008A514A">
        <w:rPr>
          <w:rFonts w:ascii="ITC Avant Garde" w:hAnsi="ITC Avant Garde" w:cs="Arial"/>
          <w:bCs/>
          <w:color w:val="000000"/>
          <w:shd w:val="clear" w:color="auto" w:fill="FFFFFF"/>
        </w:rPr>
        <w:t>, mediante oficio IFT/223/UCS/DG-CTEL/</w:t>
      </w:r>
      <w:r w:rsidR="005568A1" w:rsidRPr="008A514A">
        <w:rPr>
          <w:rFonts w:ascii="ITC Avant Garde" w:hAnsi="ITC Avant Garde" w:cs="Arial"/>
          <w:bCs/>
          <w:color w:val="000000"/>
          <w:shd w:val="clear" w:color="auto" w:fill="FFFFFF"/>
        </w:rPr>
        <w:t>2835/2016</w:t>
      </w:r>
      <w:r w:rsidRPr="008A514A">
        <w:rPr>
          <w:rFonts w:ascii="ITC Avant Garde" w:hAnsi="ITC Avant Garde" w:cs="Arial"/>
          <w:bCs/>
          <w:color w:val="000000"/>
          <w:shd w:val="clear" w:color="auto" w:fill="FFFFFF"/>
        </w:rPr>
        <w:t xml:space="preserve"> de fecha </w:t>
      </w:r>
      <w:r w:rsidR="005568A1" w:rsidRPr="008A514A">
        <w:rPr>
          <w:rFonts w:ascii="ITC Avant Garde" w:hAnsi="ITC Avant Garde" w:cs="Arial"/>
          <w:bCs/>
          <w:color w:val="000000"/>
          <w:shd w:val="clear" w:color="auto" w:fill="FFFFFF"/>
        </w:rPr>
        <w:t>28 de noviembre de 2016</w:t>
      </w:r>
      <w:r w:rsidRPr="008A514A">
        <w:rPr>
          <w:rFonts w:ascii="ITC Avant Garde" w:hAnsi="ITC Avant Garde" w:cs="Arial"/>
          <w:bCs/>
          <w:color w:val="000000"/>
          <w:shd w:val="clear" w:color="auto" w:fill="FFFFFF"/>
        </w:rPr>
        <w:t xml:space="preserve">, la Unidad de Concesiones y Servicios, a través de la Dirección General de Concesiones de Telecomunicaciones, requirió la opinión técnica de </w:t>
      </w:r>
      <w:r w:rsidRPr="008A514A">
        <w:rPr>
          <w:rFonts w:ascii="ITC Avant Garde" w:hAnsi="ITC Avant Garde"/>
          <w:bCs/>
          <w:color w:val="000000"/>
          <w:lang w:eastAsia="es-MX"/>
        </w:rPr>
        <w:t xml:space="preserve">la Unidad de Espectro Radioeléctrico, respecto a la </w:t>
      </w:r>
      <w:r w:rsidRPr="008A514A">
        <w:rPr>
          <w:rFonts w:ascii="ITC Avant Garde" w:hAnsi="ITC Avant Garde" w:cs="Arial"/>
          <w:bCs/>
          <w:color w:val="000000"/>
          <w:shd w:val="clear" w:color="auto" w:fill="FFFFFF"/>
        </w:rPr>
        <w:t>Solicitud de Cambio de Bandas que nos ocupa.</w:t>
      </w:r>
    </w:p>
    <w:p w:rsidR="008A514A" w:rsidRPr="008A514A" w:rsidRDefault="009312DC" w:rsidP="008A514A">
      <w:pPr>
        <w:spacing w:before="240" w:line="240" w:lineRule="auto"/>
        <w:jc w:val="both"/>
        <w:rPr>
          <w:rFonts w:ascii="ITC Avant Garde" w:hAnsi="ITC Avant Garde" w:cs="Arial"/>
          <w:bCs/>
          <w:color w:val="000000"/>
          <w:shd w:val="clear" w:color="auto" w:fill="FFFFFF"/>
        </w:rPr>
      </w:pPr>
      <w:r w:rsidRPr="008A514A">
        <w:rPr>
          <w:rFonts w:ascii="ITC Avant Garde" w:hAnsi="ITC Avant Garde" w:cs="Arial"/>
          <w:bCs/>
          <w:color w:val="000000"/>
          <w:shd w:val="clear" w:color="auto" w:fill="FFFFFF"/>
        </w:rPr>
        <w:t>En respuesta a dicho requerimiento, mediante oficio</w:t>
      </w:r>
      <w:r w:rsidR="0025212D" w:rsidRPr="008A514A">
        <w:rPr>
          <w:rFonts w:ascii="ITC Avant Garde" w:hAnsi="ITC Avant Garde" w:cs="Arial"/>
          <w:bCs/>
          <w:color w:val="000000"/>
          <w:shd w:val="clear" w:color="auto" w:fill="FFFFFF"/>
        </w:rPr>
        <w:t>s</w:t>
      </w:r>
      <w:r w:rsidRPr="008A514A">
        <w:rPr>
          <w:rFonts w:ascii="ITC Avant Garde" w:hAnsi="ITC Avant Garde" w:cs="Arial"/>
          <w:bCs/>
          <w:color w:val="000000"/>
          <w:shd w:val="clear" w:color="auto" w:fill="FFFFFF"/>
        </w:rPr>
        <w:t xml:space="preserve"> IFT/22</w:t>
      </w:r>
      <w:r w:rsidR="005568A1" w:rsidRPr="008A514A">
        <w:rPr>
          <w:rFonts w:ascii="ITC Avant Garde" w:hAnsi="ITC Avant Garde" w:cs="Arial"/>
          <w:bCs/>
          <w:color w:val="000000"/>
          <w:shd w:val="clear" w:color="auto" w:fill="FFFFFF"/>
        </w:rPr>
        <w:t>2</w:t>
      </w:r>
      <w:r w:rsidRPr="008A514A">
        <w:rPr>
          <w:rFonts w:ascii="ITC Avant Garde" w:hAnsi="ITC Avant Garde" w:cs="Arial"/>
          <w:bCs/>
          <w:color w:val="000000"/>
          <w:shd w:val="clear" w:color="auto" w:fill="FFFFFF"/>
        </w:rPr>
        <w:t>/UER/DG-IEET/</w:t>
      </w:r>
      <w:r w:rsidR="005568A1" w:rsidRPr="008A514A">
        <w:rPr>
          <w:rFonts w:ascii="ITC Avant Garde" w:hAnsi="ITC Avant Garde" w:cs="Arial"/>
          <w:bCs/>
          <w:color w:val="000000"/>
          <w:shd w:val="clear" w:color="auto" w:fill="FFFFFF"/>
        </w:rPr>
        <w:t>0158</w:t>
      </w:r>
      <w:r w:rsidRPr="008A514A">
        <w:rPr>
          <w:rFonts w:ascii="ITC Avant Garde" w:hAnsi="ITC Avant Garde" w:cs="Arial"/>
          <w:bCs/>
          <w:color w:val="000000"/>
          <w:shd w:val="clear" w:color="auto" w:fill="FFFFFF"/>
        </w:rPr>
        <w:t>/201</w:t>
      </w:r>
      <w:r w:rsidR="005568A1" w:rsidRPr="008A514A">
        <w:rPr>
          <w:rFonts w:ascii="ITC Avant Garde" w:hAnsi="ITC Avant Garde" w:cs="Arial"/>
          <w:bCs/>
          <w:color w:val="000000"/>
          <w:shd w:val="clear" w:color="auto" w:fill="FFFFFF"/>
        </w:rPr>
        <w:t>7</w:t>
      </w:r>
      <w:r w:rsidRPr="008A514A">
        <w:rPr>
          <w:rFonts w:ascii="ITC Avant Garde" w:hAnsi="ITC Avant Garde" w:cs="Arial"/>
          <w:bCs/>
          <w:color w:val="000000"/>
          <w:shd w:val="clear" w:color="auto" w:fill="FFFFFF"/>
        </w:rPr>
        <w:t xml:space="preserve"> de fecha </w:t>
      </w:r>
      <w:r w:rsidR="005568A1" w:rsidRPr="008A514A">
        <w:rPr>
          <w:rFonts w:ascii="ITC Avant Garde" w:hAnsi="ITC Avant Garde" w:cs="Arial"/>
          <w:bCs/>
          <w:color w:val="000000"/>
          <w:shd w:val="clear" w:color="auto" w:fill="FFFFFF"/>
        </w:rPr>
        <w:t>15 de febrero de 2017</w:t>
      </w:r>
      <w:r w:rsidR="0025212D" w:rsidRPr="008A514A">
        <w:rPr>
          <w:rFonts w:ascii="ITC Avant Garde" w:hAnsi="ITC Avant Garde" w:cs="Arial"/>
          <w:bCs/>
          <w:color w:val="000000"/>
          <w:shd w:val="clear" w:color="auto" w:fill="FFFFFF"/>
        </w:rPr>
        <w:t xml:space="preserve"> </w:t>
      </w:r>
      <w:r w:rsidR="0025212D" w:rsidRPr="008A514A">
        <w:rPr>
          <w:rFonts w:ascii="ITC Avant Garde" w:hAnsi="ITC Avant Garde"/>
          <w:color w:val="000000"/>
        </w:rPr>
        <w:t xml:space="preserve">e IFT/222/UER/DGIEET/0390/2017 de fecha 8 de </w:t>
      </w:r>
      <w:r w:rsidR="00145575" w:rsidRPr="008A514A">
        <w:rPr>
          <w:rFonts w:ascii="ITC Avant Garde" w:hAnsi="ITC Avant Garde"/>
          <w:color w:val="000000"/>
        </w:rPr>
        <w:t>marzo</w:t>
      </w:r>
      <w:r w:rsidR="0025212D" w:rsidRPr="008A514A">
        <w:rPr>
          <w:rFonts w:ascii="ITC Avant Garde" w:hAnsi="ITC Avant Garde"/>
          <w:color w:val="000000"/>
        </w:rPr>
        <w:t xml:space="preserve"> de 2017</w:t>
      </w:r>
      <w:r w:rsidRPr="008A514A">
        <w:rPr>
          <w:rFonts w:ascii="ITC Avant Garde" w:hAnsi="ITC Avant Garde" w:cs="Arial"/>
          <w:bCs/>
          <w:color w:val="000000"/>
          <w:shd w:val="clear" w:color="auto" w:fill="FFFFFF"/>
        </w:rPr>
        <w:t>, la Dirección General de Ingeniería del Espectro y Estudios Técnicos, adscrita a la Unidad de Espectro Radioeléctrico, manifestó, entre otros aspectos, lo siguiente:</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w:t>
      </w:r>
    </w:p>
    <w:p w:rsidR="008462CE" w:rsidRPr="008A514A" w:rsidRDefault="008462CE" w:rsidP="008A514A">
      <w:pPr>
        <w:pStyle w:val="Default"/>
        <w:numPr>
          <w:ilvl w:val="0"/>
          <w:numId w:val="11"/>
        </w:numPr>
        <w:spacing w:before="240" w:after="200"/>
        <w:ind w:left="567" w:right="473" w:firstLine="142"/>
        <w:jc w:val="both"/>
        <w:rPr>
          <w:rFonts w:ascii="ITC Avant Garde" w:hAnsi="ITC Avant Garde"/>
          <w:b/>
          <w:bCs/>
          <w:color w:val="auto"/>
          <w:sz w:val="18"/>
          <w:szCs w:val="18"/>
        </w:rPr>
      </w:pPr>
      <w:r w:rsidRPr="008A514A">
        <w:rPr>
          <w:rFonts w:ascii="ITC Avant Garde" w:hAnsi="ITC Avant Garde"/>
          <w:b/>
          <w:bCs/>
          <w:color w:val="auto"/>
          <w:sz w:val="18"/>
          <w:szCs w:val="18"/>
        </w:rPr>
        <w:t>Problemática expuesta en la Solicitud</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De forma general, derivado de las acciones de planeación de bandas de frecuencia del Instituto, las cuales contemplan el reordenamiento de los concesionarios comerciales del servicio móvil de radiocomunicación especializada de flotillas (</w:t>
      </w:r>
      <w:proofErr w:type="spellStart"/>
      <w:r w:rsidRPr="008A514A">
        <w:rPr>
          <w:rFonts w:ascii="ITC Avant Garde" w:hAnsi="ITC Avant Garde"/>
          <w:bCs/>
          <w:color w:val="auto"/>
          <w:sz w:val="18"/>
          <w:szCs w:val="18"/>
        </w:rPr>
        <w:t>trunking</w:t>
      </w:r>
      <w:proofErr w:type="spellEnd"/>
      <w:r w:rsidRPr="008A514A">
        <w:rPr>
          <w:rFonts w:ascii="ITC Avant Garde" w:hAnsi="ITC Avant Garde"/>
          <w:bCs/>
          <w:color w:val="auto"/>
          <w:sz w:val="18"/>
          <w:szCs w:val="18"/>
        </w:rPr>
        <w:t xml:space="preserve">) de la banda de origen 806-821/851-866 MHz a la banda destino 410-430 MHz, cuya aplicación se efectuó en el acto de la prórroga del Título de Concesión de Espectro del Concesionario, la Solicitud expresa que éste ‘se ha visto en la necesidad de adquirir e implementar un nuevo sistema para continuar con la operación de los servicios, por lo cual en cuestiones de calidad y eficiencia, adquirió el sistema </w:t>
      </w:r>
      <w:r w:rsidRPr="008A514A">
        <w:rPr>
          <w:rFonts w:ascii="ITC Avant Garde" w:hAnsi="ITC Avant Garde"/>
          <w:bCs/>
          <w:color w:val="auto"/>
          <w:sz w:val="18"/>
          <w:szCs w:val="18"/>
        </w:rPr>
        <w:lastRenderedPageBreak/>
        <w:t xml:space="preserve">‘HYTERA DS-6210 DMR </w:t>
      </w:r>
      <w:proofErr w:type="spellStart"/>
      <w:r w:rsidRPr="008A514A">
        <w:rPr>
          <w:rFonts w:ascii="ITC Avant Garde" w:hAnsi="ITC Avant Garde"/>
          <w:bCs/>
          <w:color w:val="auto"/>
          <w:sz w:val="18"/>
          <w:szCs w:val="18"/>
        </w:rPr>
        <w:t>Trunking</w:t>
      </w:r>
      <w:proofErr w:type="spellEnd"/>
      <w:r w:rsidRPr="008A514A">
        <w:rPr>
          <w:rFonts w:ascii="ITC Avant Garde" w:hAnsi="ITC Avant Garde"/>
          <w:bCs/>
          <w:color w:val="auto"/>
          <w:sz w:val="18"/>
          <w:szCs w:val="18"/>
        </w:rPr>
        <w:t xml:space="preserve"> Pro’ para remplazar su infraestructura de radiocomunicaciones existente’.</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No obstante lo anterior, debido a la asignación de frecuencias establecidas en su Título de Concesión, utilizando el esquema de canalización de ancho de canal de 12.5 kHz, el Concesionario menciona que su proveedor tecnológico ‘encontró que como se planteó la asignación de bloques contiguos –no se permite la utilización de combinación de pares de frecuencias para la prestación de servicios-, toda vez que se generan </w:t>
      </w:r>
      <w:r w:rsidRPr="008A514A">
        <w:rPr>
          <w:rFonts w:ascii="ITC Avant Garde" w:hAnsi="ITC Avant Garde"/>
          <w:b/>
          <w:bCs/>
          <w:color w:val="auto"/>
          <w:sz w:val="18"/>
          <w:szCs w:val="18"/>
        </w:rPr>
        <w:t>interferencias de intermodulación en la banda e interferencias no lineales fuera de banda</w:t>
      </w:r>
      <w:r w:rsidRPr="008A514A">
        <w:rPr>
          <w:rFonts w:ascii="ITC Avant Garde" w:hAnsi="ITC Avant Garde"/>
          <w:bCs/>
          <w:color w:val="auto"/>
          <w:sz w:val="18"/>
          <w:szCs w:val="18"/>
        </w:rPr>
        <w:t>, al utilizar los pares tan cercanos’.</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En este sentido, después de que el proveedor tecnológico del Concesionario realizó pruebas de campo, configurando los grupos de frecuencias 21 y 22 en el municipio de Monterrey, expresando en su solicitud a manera de conclusión que ‘para continuar con la prestación del servicio en condiciones de óptima calidad se requiere una mayor separación entre los bloques asignados [en la Prórroga], que no sean contiguos o en su caso un cambio de grupo de frecuencias, para estar en posibilidad de usar efectivamente 10 pares de frecuencias asignadas, como se cita, únicamente en la ciudad de Monterrey N.L.’.</w:t>
      </w:r>
    </w:p>
    <w:p w:rsidR="008462CE" w:rsidRPr="008A514A" w:rsidRDefault="008462CE" w:rsidP="008A514A">
      <w:pPr>
        <w:pStyle w:val="Default"/>
        <w:numPr>
          <w:ilvl w:val="0"/>
          <w:numId w:val="11"/>
        </w:numPr>
        <w:spacing w:before="240" w:after="200"/>
        <w:ind w:left="567" w:right="473" w:firstLine="142"/>
        <w:jc w:val="both"/>
        <w:rPr>
          <w:rFonts w:ascii="ITC Avant Garde" w:hAnsi="ITC Avant Garde"/>
          <w:b/>
          <w:bCs/>
          <w:color w:val="auto"/>
          <w:sz w:val="18"/>
          <w:szCs w:val="18"/>
        </w:rPr>
      </w:pPr>
      <w:r w:rsidRPr="008A514A">
        <w:rPr>
          <w:rFonts w:ascii="ITC Avant Garde" w:hAnsi="ITC Avant Garde"/>
          <w:b/>
          <w:bCs/>
          <w:color w:val="auto"/>
          <w:sz w:val="18"/>
          <w:szCs w:val="18"/>
        </w:rPr>
        <w:t>Análisis de la Solicitud</w:t>
      </w:r>
    </w:p>
    <w:p w:rsidR="008A514A"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Ante la problemática enunciada en el numeral anterior, esta Dirección General procedió a su análisis, a efecto de verificar la justificación desde el punto de vista técnico de dicha problemática, para lo cual se recabaron los elementos e información necesarios para emitir la presente opinión. </w:t>
      </w:r>
    </w:p>
    <w:p w:rsidR="008462CE" w:rsidRPr="008A514A" w:rsidRDefault="008462CE" w:rsidP="008A514A">
      <w:pPr>
        <w:pStyle w:val="Default"/>
        <w:spacing w:before="240" w:after="200"/>
        <w:ind w:left="567" w:right="473"/>
        <w:jc w:val="both"/>
        <w:rPr>
          <w:rFonts w:ascii="ITC Avant Garde" w:hAnsi="ITC Avant Garde"/>
          <w:b/>
          <w:bCs/>
          <w:color w:val="auto"/>
          <w:sz w:val="18"/>
          <w:szCs w:val="18"/>
        </w:rPr>
      </w:pPr>
      <w:r w:rsidRPr="008A514A">
        <w:rPr>
          <w:rFonts w:ascii="ITC Avant Garde" w:hAnsi="ITC Avant Garde"/>
          <w:b/>
          <w:bCs/>
          <w:color w:val="auto"/>
          <w:sz w:val="18"/>
          <w:szCs w:val="18"/>
        </w:rPr>
        <w:t>3.1 Evidencia Técnica del Concesionario</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La empresa </w:t>
      </w:r>
      <w:proofErr w:type="spellStart"/>
      <w:r w:rsidRPr="008A514A">
        <w:rPr>
          <w:rFonts w:ascii="ITC Avant Garde" w:hAnsi="ITC Avant Garde"/>
          <w:bCs/>
          <w:color w:val="auto"/>
          <w:sz w:val="18"/>
          <w:szCs w:val="18"/>
        </w:rPr>
        <w:t>Hytera</w:t>
      </w:r>
      <w:proofErr w:type="spellEnd"/>
      <w:r w:rsidRPr="008A514A">
        <w:rPr>
          <w:rFonts w:ascii="ITC Avant Garde" w:hAnsi="ITC Avant Garde"/>
          <w:bCs/>
          <w:color w:val="auto"/>
          <w:sz w:val="18"/>
          <w:szCs w:val="18"/>
        </w:rPr>
        <w:t xml:space="preserve">, fabricante y proveedor de los equipos que pretende desplegar </w:t>
      </w:r>
      <w:proofErr w:type="spellStart"/>
      <w:r w:rsidRPr="008A514A">
        <w:rPr>
          <w:rFonts w:ascii="ITC Avant Garde" w:hAnsi="ITC Avant Garde"/>
          <w:bCs/>
          <w:color w:val="auto"/>
          <w:sz w:val="18"/>
          <w:szCs w:val="18"/>
        </w:rPr>
        <w:t>Radyserv</w:t>
      </w:r>
      <w:proofErr w:type="spellEnd"/>
      <w:r w:rsidRPr="008A514A">
        <w:rPr>
          <w:rFonts w:ascii="ITC Avant Garde" w:hAnsi="ITC Avant Garde"/>
          <w:bCs/>
          <w:color w:val="auto"/>
          <w:sz w:val="18"/>
          <w:szCs w:val="18"/>
        </w:rPr>
        <w:t>, describe en su documento (ANEXO II) que en el repetidor se originaban interferencias por intermodulación de tercer orden las cuales eran causantes de fallas en la prestación del servicio para el Concesionario. Se argumentó que dichas interferencias eran provocadas por la cercanía espectral de los grupos de frecuencia que se le habían otorgado en la Prórroga (grupo 21 y 22), es decir, dentro del mismo repetidor se estaban configurando los 10 pares de frecuencia correspondientes al grupo 21 y 22. De esta forma, debido a la separación entre portadoras tan cercana, se originaban productos de intermodulación de tercer orden, provocando así fallas operacionales en el Repetidor.</w:t>
      </w:r>
    </w:p>
    <w:p w:rsidR="008A514A"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Por consiguiente, como resultado de las pruebas realizadas por el propio concesionario, esta Dirección General destaca lo siguiente:</w:t>
      </w:r>
    </w:p>
    <w:p w:rsidR="008462CE" w:rsidRPr="008A514A" w:rsidRDefault="008462CE" w:rsidP="008A514A">
      <w:pPr>
        <w:pStyle w:val="Default"/>
        <w:numPr>
          <w:ilvl w:val="0"/>
          <w:numId w:val="9"/>
        </w:numPr>
        <w:spacing w:before="240" w:after="200"/>
        <w:ind w:left="851" w:right="473" w:hanging="284"/>
        <w:jc w:val="both"/>
        <w:rPr>
          <w:rFonts w:ascii="ITC Avant Garde" w:hAnsi="ITC Avant Garde"/>
          <w:bCs/>
          <w:color w:val="auto"/>
          <w:sz w:val="18"/>
          <w:szCs w:val="18"/>
        </w:rPr>
      </w:pPr>
      <w:r w:rsidRPr="008A514A">
        <w:rPr>
          <w:rFonts w:ascii="ITC Avant Garde" w:hAnsi="ITC Avant Garde"/>
          <w:bCs/>
          <w:color w:val="auto"/>
          <w:sz w:val="18"/>
          <w:szCs w:val="18"/>
        </w:rPr>
        <w:t>Las pruebas de campo se realizaron en el Cerro del Mirador en Monterrey, N.L.</w:t>
      </w:r>
    </w:p>
    <w:p w:rsidR="008462CE" w:rsidRPr="008A514A" w:rsidRDefault="008462CE" w:rsidP="008A514A">
      <w:pPr>
        <w:pStyle w:val="Default"/>
        <w:numPr>
          <w:ilvl w:val="0"/>
          <w:numId w:val="9"/>
        </w:numPr>
        <w:spacing w:before="240" w:after="200"/>
        <w:ind w:left="851" w:right="473" w:hanging="284"/>
        <w:jc w:val="both"/>
        <w:rPr>
          <w:rFonts w:ascii="ITC Avant Garde" w:hAnsi="ITC Avant Garde"/>
          <w:bCs/>
          <w:color w:val="auto"/>
          <w:sz w:val="18"/>
          <w:szCs w:val="18"/>
        </w:rPr>
      </w:pPr>
      <w:r w:rsidRPr="008A514A">
        <w:rPr>
          <w:rFonts w:ascii="ITC Avant Garde" w:hAnsi="ITC Avant Garde"/>
          <w:bCs/>
          <w:color w:val="auto"/>
          <w:sz w:val="18"/>
          <w:szCs w:val="18"/>
        </w:rPr>
        <w:t xml:space="preserve">Se configuraron en el repetidor 8 canales a 12.5 kHz consecutivos de los grupos 21 y 22, en donde la separación de los canales del grupo 22 es de 25 kHz. </w:t>
      </w:r>
    </w:p>
    <w:p w:rsidR="008462CE" w:rsidRPr="008A514A" w:rsidRDefault="008462CE" w:rsidP="008A514A">
      <w:pPr>
        <w:pStyle w:val="Default"/>
        <w:numPr>
          <w:ilvl w:val="0"/>
          <w:numId w:val="9"/>
        </w:numPr>
        <w:spacing w:before="240" w:after="200"/>
        <w:ind w:left="851" w:right="473" w:hanging="284"/>
        <w:jc w:val="both"/>
        <w:rPr>
          <w:rFonts w:ascii="ITC Avant Garde" w:hAnsi="ITC Avant Garde"/>
          <w:bCs/>
          <w:color w:val="auto"/>
          <w:sz w:val="18"/>
          <w:szCs w:val="18"/>
        </w:rPr>
      </w:pPr>
      <w:r w:rsidRPr="008A514A">
        <w:rPr>
          <w:rFonts w:ascii="ITC Avant Garde" w:hAnsi="ITC Avant Garde"/>
          <w:bCs/>
          <w:color w:val="auto"/>
          <w:sz w:val="18"/>
          <w:szCs w:val="18"/>
        </w:rPr>
        <w:t xml:space="preserve">El equipo repetidor de </w:t>
      </w:r>
      <w:proofErr w:type="spellStart"/>
      <w:r w:rsidRPr="008A514A">
        <w:rPr>
          <w:rFonts w:ascii="ITC Avant Garde" w:hAnsi="ITC Avant Garde"/>
          <w:bCs/>
          <w:color w:val="auto"/>
          <w:sz w:val="18"/>
          <w:szCs w:val="18"/>
        </w:rPr>
        <w:t>Hytera</w:t>
      </w:r>
      <w:proofErr w:type="spellEnd"/>
      <w:r w:rsidRPr="008A514A">
        <w:rPr>
          <w:rFonts w:ascii="ITC Avant Garde" w:hAnsi="ITC Avant Garde"/>
          <w:bCs/>
          <w:color w:val="auto"/>
          <w:sz w:val="18"/>
          <w:szCs w:val="18"/>
        </w:rPr>
        <w:t xml:space="preserve"> soporta hasta 16 canales (2 cavidades de 8 canales).</w:t>
      </w:r>
    </w:p>
    <w:p w:rsidR="008462CE" w:rsidRPr="008A514A" w:rsidRDefault="008462CE" w:rsidP="008A514A">
      <w:pPr>
        <w:pStyle w:val="Default"/>
        <w:numPr>
          <w:ilvl w:val="0"/>
          <w:numId w:val="9"/>
        </w:numPr>
        <w:spacing w:before="240" w:after="200"/>
        <w:ind w:left="851" w:right="473" w:hanging="284"/>
        <w:jc w:val="both"/>
        <w:rPr>
          <w:rFonts w:ascii="ITC Avant Garde" w:hAnsi="ITC Avant Garde"/>
          <w:bCs/>
          <w:color w:val="auto"/>
          <w:sz w:val="18"/>
          <w:szCs w:val="18"/>
        </w:rPr>
      </w:pPr>
      <w:r w:rsidRPr="008A514A">
        <w:rPr>
          <w:rFonts w:ascii="ITC Avant Garde" w:hAnsi="ITC Avant Garde"/>
          <w:bCs/>
          <w:sz w:val="18"/>
          <w:szCs w:val="18"/>
        </w:rPr>
        <w:t xml:space="preserve">El repetidor utilizado (HYTERA DMR </w:t>
      </w:r>
      <w:proofErr w:type="spellStart"/>
      <w:r w:rsidRPr="008A514A">
        <w:rPr>
          <w:rFonts w:ascii="ITC Avant Garde" w:hAnsi="ITC Avant Garde"/>
          <w:bCs/>
          <w:sz w:val="18"/>
          <w:szCs w:val="18"/>
        </w:rPr>
        <w:t>Trunking</w:t>
      </w:r>
      <w:proofErr w:type="spellEnd"/>
      <w:r w:rsidRPr="008A514A">
        <w:rPr>
          <w:rFonts w:ascii="ITC Avant Garde" w:hAnsi="ITC Avant Garde"/>
          <w:bCs/>
          <w:sz w:val="18"/>
          <w:szCs w:val="18"/>
        </w:rPr>
        <w:t xml:space="preserve"> Pro DS-6210) contiene un </w:t>
      </w:r>
      <w:proofErr w:type="spellStart"/>
      <w:r w:rsidRPr="008A514A">
        <w:rPr>
          <w:rFonts w:ascii="ITC Avant Garde" w:hAnsi="ITC Avant Garde"/>
          <w:bCs/>
          <w:sz w:val="18"/>
          <w:szCs w:val="18"/>
        </w:rPr>
        <w:t>combinador</w:t>
      </w:r>
      <w:proofErr w:type="spellEnd"/>
      <w:r w:rsidRPr="008A514A">
        <w:rPr>
          <w:rFonts w:ascii="ITC Avant Garde" w:hAnsi="ITC Avant Garde"/>
          <w:bCs/>
          <w:sz w:val="18"/>
          <w:szCs w:val="18"/>
        </w:rPr>
        <w:t xml:space="preserve"> con separación a 250 kHz, con potencia de 45 W. No obstante, se señala que existen equipos de </w:t>
      </w:r>
      <w:r w:rsidRPr="008A514A">
        <w:rPr>
          <w:rFonts w:ascii="ITC Avant Garde" w:hAnsi="ITC Avant Garde"/>
          <w:bCs/>
          <w:color w:val="auto"/>
          <w:sz w:val="18"/>
          <w:szCs w:val="18"/>
        </w:rPr>
        <w:t>otros fabricantes para la tecnología DMR que utilizan separaciones de portadora de 200 kHz.</w:t>
      </w:r>
    </w:p>
    <w:p w:rsidR="008A514A" w:rsidRPr="008A514A" w:rsidRDefault="008462CE" w:rsidP="008A514A">
      <w:pPr>
        <w:pStyle w:val="Default"/>
        <w:numPr>
          <w:ilvl w:val="0"/>
          <w:numId w:val="9"/>
        </w:numPr>
        <w:spacing w:before="240" w:after="200"/>
        <w:ind w:left="851" w:right="473" w:hanging="284"/>
        <w:jc w:val="both"/>
        <w:rPr>
          <w:rFonts w:ascii="ITC Avant Garde" w:hAnsi="ITC Avant Garde"/>
          <w:bCs/>
          <w:color w:val="auto"/>
          <w:sz w:val="18"/>
          <w:szCs w:val="18"/>
        </w:rPr>
      </w:pPr>
      <w:r w:rsidRPr="008A514A">
        <w:rPr>
          <w:rFonts w:ascii="ITC Avant Garde" w:hAnsi="ITC Avant Garde"/>
          <w:bCs/>
          <w:color w:val="auto"/>
          <w:sz w:val="18"/>
          <w:szCs w:val="18"/>
        </w:rPr>
        <w:t xml:space="preserve">Si bien el municipio de Monterrey no se encuentra dentro de la zona de coordinación en la zona de la frontera común considerada en el protocolo bilateral entre México y los Estados </w:t>
      </w:r>
      <w:r w:rsidRPr="008A514A">
        <w:rPr>
          <w:rFonts w:ascii="ITC Avant Garde" w:hAnsi="ITC Avant Garde"/>
          <w:bCs/>
          <w:color w:val="auto"/>
          <w:sz w:val="18"/>
          <w:szCs w:val="18"/>
        </w:rPr>
        <w:lastRenderedPageBreak/>
        <w:t>Unidos de América para la banda de 400 MHz</w:t>
      </w:r>
      <w:r w:rsidRPr="008A514A">
        <w:rPr>
          <w:rStyle w:val="Refdenotaalpie"/>
          <w:sz w:val="18"/>
        </w:rPr>
        <w:footnoteReference w:id="1"/>
      </w:r>
      <w:r w:rsidRPr="008A514A">
        <w:rPr>
          <w:rFonts w:ascii="ITC Avant Garde" w:hAnsi="ITC Avant Garde"/>
          <w:bCs/>
          <w:color w:val="auto"/>
          <w:sz w:val="18"/>
          <w:szCs w:val="18"/>
        </w:rPr>
        <w:t>, existen municipios que forman parte de la Zona Metropolitana de Monterrey que sí están contenidos dentro de dicha zona, por lo que el análisis para el cambio de frecuencias en Monterrey, depende de la disponibilidad de frecuencias adjudicadas a título primario para México con base en el citado Protocolo.</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Esta Dirección General considera que, en efecto, las interferencias aducidas por </w:t>
      </w:r>
      <w:proofErr w:type="spellStart"/>
      <w:r w:rsidRPr="008A514A">
        <w:rPr>
          <w:rFonts w:ascii="ITC Avant Garde" w:hAnsi="ITC Avant Garde"/>
          <w:bCs/>
          <w:color w:val="auto"/>
          <w:sz w:val="18"/>
          <w:szCs w:val="18"/>
        </w:rPr>
        <w:t>Radyserv</w:t>
      </w:r>
      <w:proofErr w:type="spellEnd"/>
      <w:r w:rsidRPr="008A514A">
        <w:rPr>
          <w:rFonts w:ascii="ITC Avant Garde" w:hAnsi="ITC Avant Garde"/>
          <w:bCs/>
          <w:color w:val="auto"/>
          <w:sz w:val="18"/>
          <w:szCs w:val="18"/>
        </w:rPr>
        <w:t xml:space="preserve"> ocurrirían por las siguientes causas:  </w:t>
      </w:r>
    </w:p>
    <w:p w:rsidR="008462CE" w:rsidRPr="008A514A" w:rsidRDefault="008462CE" w:rsidP="008A514A">
      <w:pPr>
        <w:pStyle w:val="Default"/>
        <w:numPr>
          <w:ilvl w:val="0"/>
          <w:numId w:val="10"/>
        </w:numPr>
        <w:spacing w:before="240" w:after="200"/>
        <w:ind w:left="567" w:right="473" w:firstLine="0"/>
        <w:jc w:val="both"/>
        <w:rPr>
          <w:rFonts w:ascii="ITC Avant Garde" w:hAnsi="ITC Avant Garde"/>
          <w:bCs/>
          <w:color w:val="auto"/>
          <w:sz w:val="18"/>
          <w:szCs w:val="18"/>
        </w:rPr>
      </w:pPr>
      <w:r w:rsidRPr="008A514A">
        <w:rPr>
          <w:rFonts w:ascii="ITC Avant Garde" w:hAnsi="ITC Avant Garde"/>
          <w:bCs/>
          <w:color w:val="auto"/>
          <w:sz w:val="18"/>
          <w:szCs w:val="18"/>
        </w:rPr>
        <w:t xml:space="preserve">El Plan de Canalización de la banda de 400 MHz (PC400 MHz) fue diseñado para separaciones entre portadoras de 200 kHz y no así para 250 kHz, tal y como está diseñado el </w:t>
      </w:r>
      <w:proofErr w:type="spellStart"/>
      <w:r w:rsidRPr="008A514A">
        <w:rPr>
          <w:rFonts w:ascii="ITC Avant Garde" w:hAnsi="ITC Avant Garde"/>
          <w:bCs/>
          <w:color w:val="auto"/>
          <w:sz w:val="18"/>
          <w:szCs w:val="18"/>
        </w:rPr>
        <w:t>combinador</w:t>
      </w:r>
      <w:proofErr w:type="spellEnd"/>
      <w:r w:rsidRPr="008A514A">
        <w:rPr>
          <w:rFonts w:ascii="ITC Avant Garde" w:hAnsi="ITC Avant Garde"/>
          <w:bCs/>
          <w:color w:val="auto"/>
          <w:sz w:val="18"/>
          <w:szCs w:val="18"/>
        </w:rPr>
        <w:t xml:space="preserve"> del repetidor de los equipos del fabricante. En consecuencia, esto provoca considerables atenuaciones en potencia en la señal de transmisión. </w:t>
      </w:r>
    </w:p>
    <w:p w:rsidR="008462CE" w:rsidRPr="008A514A" w:rsidRDefault="008462CE" w:rsidP="008A514A">
      <w:pPr>
        <w:pStyle w:val="Default"/>
        <w:numPr>
          <w:ilvl w:val="0"/>
          <w:numId w:val="10"/>
        </w:numPr>
        <w:spacing w:before="240" w:after="200"/>
        <w:ind w:left="567" w:right="473" w:firstLine="0"/>
        <w:jc w:val="both"/>
        <w:rPr>
          <w:rFonts w:ascii="ITC Avant Garde" w:hAnsi="ITC Avant Garde"/>
          <w:bCs/>
          <w:color w:val="auto"/>
          <w:sz w:val="18"/>
          <w:szCs w:val="18"/>
        </w:rPr>
      </w:pPr>
      <w:r w:rsidRPr="008A514A">
        <w:rPr>
          <w:rFonts w:ascii="ITC Avant Garde" w:hAnsi="ITC Avant Garde"/>
          <w:bCs/>
          <w:color w:val="auto"/>
          <w:sz w:val="18"/>
          <w:szCs w:val="18"/>
        </w:rPr>
        <w:t xml:space="preserve">La separación entre frecuencias de transmisión en un mismo Repetidor debería ser de 200 kHz, por lo que al configurar frecuencias de grupos contiguos en un mismo </w:t>
      </w:r>
      <w:proofErr w:type="spellStart"/>
      <w:r w:rsidRPr="008A514A">
        <w:rPr>
          <w:rFonts w:ascii="ITC Avant Garde" w:hAnsi="ITC Avant Garde"/>
          <w:bCs/>
          <w:color w:val="auto"/>
          <w:sz w:val="18"/>
          <w:szCs w:val="18"/>
        </w:rPr>
        <w:t>combinador</w:t>
      </w:r>
      <w:proofErr w:type="spellEnd"/>
      <w:r w:rsidRPr="008A514A">
        <w:rPr>
          <w:rFonts w:ascii="ITC Avant Garde" w:hAnsi="ITC Avant Garde"/>
          <w:bCs/>
          <w:color w:val="auto"/>
          <w:sz w:val="18"/>
          <w:szCs w:val="18"/>
        </w:rPr>
        <w:t xml:space="preserve"> dentro del Repetidor, solo se estaría logrando una separación de 25 kHz entre portadoras.</w:t>
      </w:r>
    </w:p>
    <w:p w:rsidR="008462CE" w:rsidRPr="008A514A" w:rsidRDefault="008462CE" w:rsidP="008A514A">
      <w:pPr>
        <w:pStyle w:val="Default"/>
        <w:numPr>
          <w:ilvl w:val="0"/>
          <w:numId w:val="10"/>
        </w:numPr>
        <w:spacing w:before="240" w:after="200"/>
        <w:ind w:left="567" w:right="473" w:firstLine="0"/>
        <w:jc w:val="both"/>
        <w:rPr>
          <w:rFonts w:ascii="ITC Avant Garde" w:hAnsi="ITC Avant Garde"/>
          <w:bCs/>
          <w:color w:val="auto"/>
          <w:sz w:val="18"/>
          <w:szCs w:val="18"/>
        </w:rPr>
      </w:pPr>
      <w:r w:rsidRPr="008A514A">
        <w:rPr>
          <w:rFonts w:ascii="ITC Avant Garde" w:hAnsi="ITC Avant Garde"/>
          <w:bCs/>
          <w:color w:val="auto"/>
          <w:sz w:val="18"/>
          <w:szCs w:val="18"/>
        </w:rPr>
        <w:t xml:space="preserve">Dados los grupos asignados en el municipio de Monterrey, solo se pueden configurar hasta 5 canales por repetidor, ya que al ocupar frecuencias de los grupos de frecuencias autorizados (21 </w:t>
      </w:r>
      <w:proofErr w:type="spellStart"/>
      <w:r w:rsidRPr="008A514A">
        <w:rPr>
          <w:rFonts w:ascii="ITC Avant Garde" w:hAnsi="ITC Avant Garde"/>
          <w:bCs/>
          <w:color w:val="auto"/>
          <w:sz w:val="18"/>
          <w:szCs w:val="18"/>
        </w:rPr>
        <w:t>ó</w:t>
      </w:r>
      <w:proofErr w:type="spellEnd"/>
      <w:r w:rsidRPr="008A514A">
        <w:rPr>
          <w:rFonts w:ascii="ITC Avant Garde" w:hAnsi="ITC Avant Garde"/>
          <w:bCs/>
          <w:color w:val="auto"/>
          <w:sz w:val="18"/>
          <w:szCs w:val="18"/>
        </w:rPr>
        <w:t xml:space="preserve"> 22), no se tiene la debida separación entre portadoras de transmisión.</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Cabe aclarar que tecnología DMR</w:t>
      </w:r>
      <w:r w:rsidRPr="008A514A">
        <w:rPr>
          <w:rStyle w:val="Refdenotaalpie"/>
          <w:rFonts w:ascii="ITC Avant Garde" w:hAnsi="ITC Avant Garde"/>
          <w:bCs/>
          <w:color w:val="auto"/>
          <w:sz w:val="18"/>
          <w:szCs w:val="18"/>
        </w:rPr>
        <w:footnoteReference w:id="2"/>
      </w:r>
      <w:r w:rsidRPr="008A514A">
        <w:rPr>
          <w:rFonts w:ascii="ITC Avant Garde" w:hAnsi="ITC Avant Garde"/>
          <w:bCs/>
          <w:color w:val="auto"/>
          <w:sz w:val="18"/>
          <w:szCs w:val="18"/>
        </w:rPr>
        <w:t xml:space="preserve"> no específica la separación mínima y máxima entre las portadoras de transmisión, por lo que dependerá de cada fabricante el diseño de los equipos.</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En aras de encontrar una solución técnicamente factible para resolver la problemática expuesta por el Concesionario, sin causar un detrimento a los usuarios ya establecidos en la banda en cuestión, se detalla a continuación la siguiente propuesta.</w:t>
      </w:r>
    </w:p>
    <w:p w:rsidR="008462CE" w:rsidRPr="008A514A" w:rsidRDefault="008462CE" w:rsidP="008A514A">
      <w:pPr>
        <w:pStyle w:val="Default"/>
        <w:numPr>
          <w:ilvl w:val="0"/>
          <w:numId w:val="11"/>
        </w:numPr>
        <w:spacing w:before="240" w:after="200"/>
        <w:ind w:left="567" w:right="473" w:firstLine="142"/>
        <w:jc w:val="both"/>
        <w:rPr>
          <w:rFonts w:ascii="ITC Avant Garde" w:hAnsi="ITC Avant Garde"/>
          <w:b/>
          <w:bCs/>
          <w:color w:val="auto"/>
          <w:sz w:val="18"/>
          <w:szCs w:val="18"/>
        </w:rPr>
      </w:pPr>
      <w:r w:rsidRPr="008A514A">
        <w:rPr>
          <w:rFonts w:ascii="ITC Avant Garde" w:hAnsi="ITC Avant Garde"/>
          <w:b/>
          <w:bCs/>
          <w:color w:val="auto"/>
          <w:sz w:val="18"/>
          <w:szCs w:val="18"/>
        </w:rPr>
        <w:t xml:space="preserve">Propuesta de solución </w:t>
      </w:r>
    </w:p>
    <w:p w:rsidR="008462CE" w:rsidRPr="008A514A" w:rsidRDefault="008462CE" w:rsidP="008A514A">
      <w:pPr>
        <w:pStyle w:val="Default"/>
        <w:spacing w:before="240" w:after="200"/>
        <w:ind w:left="567" w:right="473"/>
        <w:jc w:val="both"/>
        <w:rPr>
          <w:rFonts w:ascii="ITC Avant Garde" w:hAnsi="ITC Avant Garde"/>
          <w:b/>
          <w:bCs/>
          <w:color w:val="auto"/>
          <w:sz w:val="18"/>
          <w:szCs w:val="18"/>
        </w:rPr>
      </w:pPr>
      <w:r w:rsidRPr="008A514A">
        <w:rPr>
          <w:rFonts w:ascii="ITC Avant Garde" w:hAnsi="ITC Avant Garde"/>
          <w:b/>
          <w:bCs/>
          <w:color w:val="auto"/>
          <w:sz w:val="18"/>
          <w:szCs w:val="18"/>
        </w:rPr>
        <w:t>4.1 Municipios afectados por el cambio de frecuencias</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El Primer Título de Concesión de </w:t>
      </w:r>
      <w:proofErr w:type="spellStart"/>
      <w:r w:rsidRPr="008A514A">
        <w:rPr>
          <w:rFonts w:ascii="ITC Avant Garde" w:hAnsi="ITC Avant Garde"/>
          <w:bCs/>
          <w:color w:val="auto"/>
          <w:sz w:val="18"/>
          <w:szCs w:val="18"/>
        </w:rPr>
        <w:t>Radyserv</w:t>
      </w:r>
      <w:proofErr w:type="spellEnd"/>
      <w:r w:rsidRPr="008A514A">
        <w:rPr>
          <w:rFonts w:ascii="ITC Avant Garde" w:hAnsi="ITC Avant Garde"/>
          <w:bCs/>
          <w:color w:val="auto"/>
          <w:sz w:val="18"/>
          <w:szCs w:val="18"/>
        </w:rPr>
        <w:t xml:space="preserve"> (del año 1994) contemplaba la asignación de coberturas bajo la modalidad de cuatro rutas carreteras, de las cuales dos de ellas convergen en el municipio de Monterrey: el tramo carretero Cd. Victoria-Monterrey-Nuevo Laredo (85) y el tramo Monterrey-Reynosa (40), las cuales se muestran en las Figuras 1 y 2 del ANEXO I. Así, cuando esta Dirección General realizó la transformación de ruta carretera a municipios, al municipio de Monterrey se le asignaron dos grupos de frecuencias, cada uno perteneciente a una ruta carretera diferente. </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Para ejemplificar lo anterior, la traslación de ruta carretera a municipios para este Concesionario está ilustrada en la Figura 3 del ANEXO I.</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Por otro lado, debido a las potencias y las alturas de antenas que usualmente son configurados para los repetidores del servicio </w:t>
      </w:r>
      <w:proofErr w:type="spellStart"/>
      <w:r w:rsidRPr="008A514A">
        <w:rPr>
          <w:rFonts w:ascii="ITC Avant Garde" w:hAnsi="ITC Avant Garde"/>
          <w:bCs/>
          <w:color w:val="auto"/>
          <w:sz w:val="18"/>
          <w:szCs w:val="18"/>
        </w:rPr>
        <w:t>trunking</w:t>
      </w:r>
      <w:proofErr w:type="spellEnd"/>
      <w:r w:rsidRPr="008A514A">
        <w:rPr>
          <w:rFonts w:ascii="ITC Avant Garde" w:hAnsi="ITC Avant Garde"/>
          <w:bCs/>
          <w:color w:val="auto"/>
          <w:sz w:val="18"/>
          <w:szCs w:val="18"/>
        </w:rPr>
        <w:t xml:space="preserve">, las áreas de servicio de los repetidores oscilan típicamente en el orden de decenas de kilómetros de radio. En consecuencia, para valorar la </w:t>
      </w:r>
      <w:r w:rsidRPr="008A514A">
        <w:rPr>
          <w:rFonts w:ascii="ITC Avant Garde" w:hAnsi="ITC Avant Garde"/>
          <w:bCs/>
          <w:color w:val="auto"/>
          <w:sz w:val="18"/>
          <w:szCs w:val="18"/>
        </w:rPr>
        <w:lastRenderedPageBreak/>
        <w:t>viabilidad de modificación de frecuencias para el municipio de Monterrey, deben tomarse en cuenta los municipios circundantes debido a la cobertura del sitio de repetición.</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En este sentido, con los parámetros de operación de las estaciones del concesionario y mediante las herramientas que forman parte del Sistema Integral de Administración del Espectro Radioeléctrico (SIAER) para la predicción de coberturas, se procedió a estimar la cobertura del sitio de repetición localizado en </w:t>
      </w:r>
      <w:r w:rsidR="00B83393" w:rsidRPr="008A514A">
        <w:rPr>
          <w:rFonts w:ascii="ITC Avant Garde" w:hAnsi="ITC Avant Garde"/>
          <w:bCs/>
          <w:color w:val="auto"/>
          <w:sz w:val="18"/>
          <w:szCs w:val="18"/>
        </w:rPr>
        <w:t xml:space="preserve">el cerro ‘El Mirador’ </w:t>
      </w:r>
      <w:r w:rsidRPr="008A514A">
        <w:rPr>
          <w:rFonts w:ascii="ITC Avant Garde" w:hAnsi="ITC Avant Garde"/>
          <w:bCs/>
          <w:color w:val="auto"/>
          <w:sz w:val="18"/>
          <w:szCs w:val="18"/>
        </w:rPr>
        <w:t>en Monterrey, obteniendo el resultado que se ilustra en la Figura 4 a) del ANEXO I.</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Del resultado del análisis, se concluye que el modificar un grupo de frecuencias en el municipio de Monterrey, además conlleva modificar el grupo de frecuencias definido para algunos municipios pertenecientes al tramo carretero Monterrey-Reynosa, debido a la cobertura del sitio de repetición de Monterrey. </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Por otro lado, en el tramo carretero Monterrey-Reynosa el concesionario cuenta con 6 sitios de repetición que dan cobertura a dicha ruta carreta (contando con aquel que se encuentra en Monterrey). No obstante, sólo uno de ellos se vería afectado por la modificación de frecuencias en el municipio de Monterrey, el cual se identifica como el sitio de repetición </w:t>
      </w:r>
      <w:r w:rsidR="00B83393" w:rsidRPr="008A514A">
        <w:rPr>
          <w:rFonts w:ascii="ITC Avant Garde" w:hAnsi="ITC Avant Garde"/>
          <w:bCs/>
          <w:color w:val="auto"/>
          <w:sz w:val="18"/>
          <w:szCs w:val="18"/>
        </w:rPr>
        <w:t>‘Papagayos’</w:t>
      </w:r>
      <w:r w:rsidRPr="008A514A">
        <w:rPr>
          <w:rFonts w:ascii="ITC Avant Garde" w:hAnsi="ITC Avant Garde"/>
          <w:bCs/>
          <w:color w:val="auto"/>
          <w:sz w:val="18"/>
          <w:szCs w:val="18"/>
        </w:rPr>
        <w:t xml:space="preserve">, que se encuentra ubicado en el municipio de Los Ramones, Nuevo León. Por lo anterior, se procedió estimar la cobertura del sitio de repetición </w:t>
      </w:r>
      <w:r w:rsidR="00B83393" w:rsidRPr="008A514A">
        <w:rPr>
          <w:rFonts w:ascii="ITC Avant Garde" w:hAnsi="ITC Avant Garde"/>
          <w:bCs/>
          <w:color w:val="auto"/>
          <w:sz w:val="18"/>
          <w:szCs w:val="18"/>
        </w:rPr>
        <w:t>‘</w:t>
      </w:r>
      <w:r w:rsidRPr="008A514A">
        <w:rPr>
          <w:rFonts w:ascii="ITC Avant Garde" w:hAnsi="ITC Avant Garde"/>
          <w:bCs/>
          <w:color w:val="auto"/>
          <w:sz w:val="18"/>
          <w:szCs w:val="18"/>
        </w:rPr>
        <w:t>Papagayos</w:t>
      </w:r>
      <w:r w:rsidR="00B83393" w:rsidRPr="008A514A">
        <w:rPr>
          <w:rFonts w:ascii="ITC Avant Garde" w:hAnsi="ITC Avant Garde"/>
          <w:bCs/>
          <w:color w:val="auto"/>
          <w:sz w:val="18"/>
          <w:szCs w:val="18"/>
        </w:rPr>
        <w:t>’</w:t>
      </w:r>
      <w:r w:rsidRPr="008A514A">
        <w:rPr>
          <w:rFonts w:ascii="ITC Avant Garde" w:hAnsi="ITC Avant Garde"/>
          <w:bCs/>
          <w:color w:val="auto"/>
          <w:sz w:val="18"/>
          <w:szCs w:val="18"/>
        </w:rPr>
        <w:t>, la cual se puede consultar en la Figura 4 b) del ANEXO I.</w:t>
      </w:r>
    </w:p>
    <w:p w:rsidR="008A514A"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De los análisis anteriores, se concluye que para modificar un grupo de frecuencias en el repetidor ubicado en el municipio de Monterrey, también implica modificar el grupo de frecuencias del repetidor</w:t>
      </w:r>
      <w:r w:rsidR="00B83393" w:rsidRPr="008A514A">
        <w:rPr>
          <w:rFonts w:ascii="ITC Avant Garde" w:hAnsi="ITC Avant Garde"/>
          <w:bCs/>
          <w:color w:val="auto"/>
          <w:sz w:val="18"/>
          <w:szCs w:val="18"/>
        </w:rPr>
        <w:t xml:space="preserve"> ‘Papagayos’</w:t>
      </w:r>
      <w:r w:rsidRPr="008A514A">
        <w:rPr>
          <w:rFonts w:ascii="ITC Avant Garde" w:hAnsi="ITC Avant Garde"/>
          <w:bCs/>
          <w:color w:val="auto"/>
          <w:sz w:val="18"/>
          <w:szCs w:val="18"/>
        </w:rPr>
        <w:t xml:space="preserve">, afectando así a los siguientes municipios: Guadalupe, Juárez, Cadereyta de Jiménez y Los Ramones, los cuales se ilustran en la Figura 5 del ANEXO I. </w:t>
      </w:r>
    </w:p>
    <w:p w:rsidR="008462CE" w:rsidRPr="008A514A" w:rsidRDefault="008462CE" w:rsidP="008A514A">
      <w:pPr>
        <w:pStyle w:val="Default"/>
        <w:spacing w:before="240" w:after="200"/>
        <w:ind w:left="567" w:right="473"/>
        <w:jc w:val="both"/>
        <w:rPr>
          <w:rFonts w:ascii="ITC Avant Garde" w:hAnsi="ITC Avant Garde"/>
          <w:b/>
          <w:bCs/>
          <w:color w:val="auto"/>
          <w:sz w:val="18"/>
          <w:szCs w:val="18"/>
        </w:rPr>
      </w:pPr>
      <w:r w:rsidRPr="008A514A">
        <w:rPr>
          <w:rFonts w:ascii="ITC Avant Garde" w:hAnsi="ITC Avant Garde"/>
          <w:b/>
          <w:bCs/>
          <w:color w:val="auto"/>
          <w:sz w:val="18"/>
          <w:szCs w:val="18"/>
        </w:rPr>
        <w:t>4.2 Propuesta de grupos de frecuencias</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Aunque el municipio de Monterrey no pertenezca a la zona compartida de frontera definida en el Protocolo de 4</w:t>
      </w:r>
      <w:r w:rsidR="00B83393" w:rsidRPr="008A514A">
        <w:rPr>
          <w:rFonts w:ascii="ITC Avant Garde" w:hAnsi="ITC Avant Garde"/>
          <w:bCs/>
          <w:color w:val="auto"/>
          <w:sz w:val="18"/>
          <w:szCs w:val="18"/>
        </w:rPr>
        <w:t>00 MHz, el sitio de repetición ‘Papagayos’</w:t>
      </w:r>
      <w:r w:rsidRPr="008A514A">
        <w:rPr>
          <w:rFonts w:ascii="ITC Avant Garde" w:hAnsi="ITC Avant Garde"/>
          <w:bCs/>
          <w:color w:val="auto"/>
          <w:sz w:val="18"/>
          <w:szCs w:val="18"/>
        </w:rPr>
        <w:t xml:space="preserve"> sí cae dentro de la zona compartida, por lo que el grupo de frecuencias que se vaya a modificar en Monterrey debe estar contemplado en las frecuencias a título primario para México definidas en el protocolo (grupos 9 al 24 del PC400MHz). </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Entonces, con base en los registros de los usuarios de la banda de 400 MHz, se determinó que únicamente el grupo 16 está disponible para ser asignado en los municipios antes mencionados.</w:t>
      </w:r>
    </w:p>
    <w:p w:rsidR="008462CE" w:rsidRPr="008A514A" w:rsidRDefault="008462CE" w:rsidP="008A514A">
      <w:pPr>
        <w:pStyle w:val="Default"/>
        <w:numPr>
          <w:ilvl w:val="0"/>
          <w:numId w:val="11"/>
        </w:numPr>
        <w:spacing w:before="240" w:after="200"/>
        <w:ind w:left="567" w:right="473" w:firstLine="142"/>
        <w:jc w:val="both"/>
        <w:rPr>
          <w:rFonts w:ascii="ITC Avant Garde" w:hAnsi="ITC Avant Garde"/>
          <w:b/>
          <w:bCs/>
          <w:color w:val="auto"/>
          <w:sz w:val="18"/>
          <w:szCs w:val="18"/>
        </w:rPr>
      </w:pPr>
      <w:r w:rsidRPr="008A514A">
        <w:rPr>
          <w:rFonts w:ascii="ITC Avant Garde" w:hAnsi="ITC Avant Garde"/>
          <w:b/>
          <w:bCs/>
          <w:color w:val="auto"/>
          <w:sz w:val="18"/>
          <w:szCs w:val="18"/>
        </w:rPr>
        <w:t>Opinión Respecto a la Solicitud</w:t>
      </w:r>
    </w:p>
    <w:p w:rsidR="008462CE"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Por consiguiente y tomando en cuenta todas las consideraciones explicadas en los numerales anteriores, esta Dirección General observa como </w:t>
      </w:r>
      <w:r w:rsidRPr="008A514A">
        <w:rPr>
          <w:rFonts w:ascii="ITC Avant Garde" w:hAnsi="ITC Avant Garde"/>
          <w:b/>
          <w:bCs/>
          <w:color w:val="auto"/>
          <w:sz w:val="18"/>
          <w:szCs w:val="18"/>
        </w:rPr>
        <w:t>PROCEDENTE</w:t>
      </w:r>
      <w:r w:rsidRPr="008A514A">
        <w:rPr>
          <w:rFonts w:ascii="ITC Avant Garde" w:hAnsi="ITC Avant Garde"/>
          <w:bCs/>
          <w:color w:val="auto"/>
          <w:sz w:val="18"/>
          <w:szCs w:val="18"/>
        </w:rPr>
        <w:t xml:space="preserve"> el cambio de frecuencias para Radiocomunicaciones y Servicios de S.A. de C.V., cambiando </w:t>
      </w:r>
      <w:r w:rsidRPr="008A514A">
        <w:rPr>
          <w:rFonts w:ascii="ITC Avant Garde" w:hAnsi="ITC Avant Garde"/>
          <w:b/>
          <w:bCs/>
          <w:color w:val="auto"/>
          <w:sz w:val="18"/>
          <w:szCs w:val="18"/>
        </w:rPr>
        <w:t>únicamente</w:t>
      </w:r>
      <w:r w:rsidRPr="008A514A">
        <w:rPr>
          <w:rFonts w:ascii="ITC Avant Garde" w:hAnsi="ITC Avant Garde"/>
          <w:bCs/>
          <w:color w:val="auto"/>
          <w:sz w:val="18"/>
          <w:szCs w:val="18"/>
        </w:rPr>
        <w:t xml:space="preserve"> </w:t>
      </w:r>
      <w:r w:rsidRPr="008A514A">
        <w:rPr>
          <w:rFonts w:ascii="ITC Avant Garde" w:hAnsi="ITC Avant Garde"/>
          <w:b/>
          <w:bCs/>
          <w:color w:val="auto"/>
          <w:sz w:val="18"/>
          <w:szCs w:val="18"/>
        </w:rPr>
        <w:t>el grupo 22 por el grupo 16</w:t>
      </w:r>
      <w:r w:rsidRPr="008A514A">
        <w:rPr>
          <w:rFonts w:ascii="ITC Avant Garde" w:hAnsi="ITC Avant Garde"/>
          <w:bCs/>
          <w:color w:val="auto"/>
          <w:sz w:val="18"/>
          <w:szCs w:val="18"/>
        </w:rPr>
        <w:t xml:space="preserve"> en los siguientes municipios del estado de Nuevo León: </w:t>
      </w:r>
      <w:r w:rsidRPr="008A514A">
        <w:rPr>
          <w:rFonts w:ascii="ITC Avant Garde" w:hAnsi="ITC Avant Garde"/>
          <w:b/>
          <w:bCs/>
          <w:color w:val="auto"/>
          <w:sz w:val="18"/>
          <w:szCs w:val="18"/>
        </w:rPr>
        <w:t>Monterrey, Guadalupe, Juárez, Cadereyta de Jiménez y Los Ramones.</w:t>
      </w:r>
      <w:r w:rsidRPr="008A514A">
        <w:rPr>
          <w:rFonts w:ascii="ITC Avant Garde" w:hAnsi="ITC Avant Garde"/>
          <w:bCs/>
          <w:color w:val="auto"/>
          <w:sz w:val="18"/>
          <w:szCs w:val="18"/>
        </w:rPr>
        <w:t xml:space="preserve"> </w:t>
      </w:r>
      <w:r w:rsidRPr="008A514A">
        <w:rPr>
          <w:rFonts w:ascii="ITC Avant Garde" w:hAnsi="ITC Avant Garde"/>
          <w:b/>
          <w:bCs/>
          <w:color w:val="auto"/>
          <w:sz w:val="18"/>
          <w:szCs w:val="18"/>
        </w:rPr>
        <w:t>Para tal efecto, el concesionario deberá realizar los ajustes técnicos necesarios en sus estaciones transmisoras a efecto de que</w:t>
      </w:r>
      <w:r w:rsidRPr="008A514A">
        <w:rPr>
          <w:rFonts w:ascii="ITC Avant Garde" w:hAnsi="ITC Avant Garde"/>
          <w:b/>
          <w:bCs/>
          <w:color w:val="auto"/>
          <w:sz w:val="18"/>
          <w:szCs w:val="18"/>
          <w:u w:val="single"/>
        </w:rPr>
        <w:t xml:space="preserve"> sus emisiones se contengan dentro del contorno geográfico establecido por los municipios, </w:t>
      </w:r>
      <w:r w:rsidRPr="008A514A">
        <w:rPr>
          <w:rFonts w:ascii="ITC Avant Garde" w:hAnsi="ITC Avant Garde"/>
          <w:b/>
          <w:bCs/>
          <w:color w:val="auto"/>
          <w:sz w:val="18"/>
          <w:szCs w:val="18"/>
        </w:rPr>
        <w:t>con la finalidad de evitar posibles interferencias perjudiciales con asignaciones de frecuencias que se lleguen a realizar en otros municipios en la zona de influencia de sus estaciones</w:t>
      </w:r>
      <w:r w:rsidRPr="008A514A">
        <w:rPr>
          <w:rFonts w:ascii="ITC Avant Garde" w:hAnsi="ITC Avant Garde"/>
          <w:bCs/>
          <w:color w:val="auto"/>
          <w:sz w:val="18"/>
          <w:szCs w:val="18"/>
        </w:rPr>
        <w:t xml:space="preserve">. </w:t>
      </w:r>
    </w:p>
    <w:p w:rsidR="00335597" w:rsidRPr="008A514A" w:rsidRDefault="008462CE" w:rsidP="008A514A">
      <w:pPr>
        <w:pStyle w:val="Default"/>
        <w:spacing w:before="240" w:after="200"/>
        <w:ind w:left="567" w:right="473"/>
        <w:jc w:val="both"/>
        <w:rPr>
          <w:rFonts w:ascii="ITC Avant Garde" w:hAnsi="ITC Avant Garde"/>
          <w:bCs/>
          <w:color w:val="auto"/>
          <w:sz w:val="18"/>
          <w:szCs w:val="18"/>
        </w:rPr>
      </w:pPr>
      <w:r w:rsidRPr="008A514A">
        <w:rPr>
          <w:rFonts w:ascii="ITC Avant Garde" w:hAnsi="ITC Avant Garde"/>
          <w:bCs/>
          <w:color w:val="auto"/>
          <w:sz w:val="18"/>
          <w:szCs w:val="18"/>
        </w:rPr>
        <w:t xml:space="preserve">En resumen, en caso de ser aprobado el cambio de frecuencias solicitado, deberá ser asignado conforme a la siguiente tabla, en la cual se resaltan en negritas los cambios, permaneciendo las demás asignaciones del título sin cambio alguno: </w:t>
      </w:r>
    </w:p>
    <w:tbl>
      <w:tblPr>
        <w:tblStyle w:val="Tablaconcuadrcula"/>
        <w:tblpPr w:leftFromText="141" w:rightFromText="141" w:vertAnchor="text" w:tblpXSpec="center" w:tblpY="1"/>
        <w:tblW w:w="7347" w:type="dxa"/>
        <w:tblLayout w:type="fixed"/>
        <w:tblLook w:val="04A0" w:firstRow="1" w:lastRow="0" w:firstColumn="1" w:lastColumn="0" w:noHBand="0" w:noVBand="1"/>
        <w:tblCaption w:val="Cambios de Bandas de Frecuencias"/>
        <w:tblDescription w:val="En una tabla de 3 columnas, se proporciona en letra negrita, los cambios de asignación de bandas, en caso de ser aprobado el cambio de frecuencias solicitado."/>
      </w:tblPr>
      <w:tblGrid>
        <w:gridCol w:w="1555"/>
        <w:gridCol w:w="4110"/>
        <w:gridCol w:w="1682"/>
      </w:tblGrid>
      <w:tr w:rsidR="008462CE" w:rsidRPr="008A514A" w:rsidTr="008A514A">
        <w:trPr>
          <w:trHeight w:val="533"/>
          <w:tblHeader/>
        </w:trPr>
        <w:tc>
          <w:tcPr>
            <w:tcW w:w="1555" w:type="dxa"/>
            <w:shd w:val="clear" w:color="auto" w:fill="BFBFBF" w:themeFill="background1" w:themeFillShade="BF"/>
            <w:vAlign w:val="center"/>
          </w:tcPr>
          <w:p w:rsidR="008462CE" w:rsidRPr="008A514A" w:rsidRDefault="008462CE" w:rsidP="008A514A">
            <w:pPr>
              <w:pStyle w:val="Default"/>
              <w:tabs>
                <w:tab w:val="left" w:pos="171"/>
              </w:tabs>
              <w:spacing w:before="240" w:after="200"/>
              <w:ind w:right="29"/>
              <w:jc w:val="center"/>
              <w:rPr>
                <w:rFonts w:ascii="ITC Avant Garde" w:hAnsi="ITC Avant Garde"/>
                <w:b/>
                <w:bCs/>
                <w:sz w:val="18"/>
                <w:szCs w:val="18"/>
              </w:rPr>
            </w:pPr>
            <w:r w:rsidRPr="008A514A">
              <w:rPr>
                <w:rFonts w:ascii="ITC Avant Garde" w:hAnsi="ITC Avant Garde"/>
                <w:b/>
                <w:bCs/>
                <w:sz w:val="18"/>
                <w:szCs w:val="18"/>
              </w:rPr>
              <w:lastRenderedPageBreak/>
              <w:t>Estado</w:t>
            </w:r>
          </w:p>
        </w:tc>
        <w:tc>
          <w:tcPr>
            <w:tcW w:w="4110" w:type="dxa"/>
            <w:shd w:val="clear" w:color="auto" w:fill="BFBFBF" w:themeFill="background1" w:themeFillShade="BF"/>
            <w:vAlign w:val="center"/>
          </w:tcPr>
          <w:p w:rsidR="008462CE" w:rsidRPr="008A514A" w:rsidRDefault="008462CE" w:rsidP="008A514A">
            <w:pPr>
              <w:pStyle w:val="Default"/>
              <w:spacing w:before="240" w:after="200"/>
              <w:jc w:val="center"/>
              <w:rPr>
                <w:rFonts w:ascii="ITC Avant Garde" w:hAnsi="ITC Avant Garde"/>
                <w:b/>
                <w:bCs/>
                <w:sz w:val="18"/>
                <w:szCs w:val="18"/>
              </w:rPr>
            </w:pPr>
            <w:r w:rsidRPr="008A514A">
              <w:rPr>
                <w:rFonts w:ascii="ITC Avant Garde" w:hAnsi="ITC Avant Garde"/>
                <w:b/>
                <w:bCs/>
                <w:sz w:val="18"/>
                <w:szCs w:val="18"/>
              </w:rPr>
              <w:t>Municipio</w:t>
            </w:r>
          </w:p>
        </w:tc>
        <w:tc>
          <w:tcPr>
            <w:tcW w:w="1682" w:type="dxa"/>
            <w:shd w:val="clear" w:color="auto" w:fill="BFBFBF" w:themeFill="background1" w:themeFillShade="BF"/>
            <w:vAlign w:val="center"/>
          </w:tcPr>
          <w:p w:rsidR="008462CE" w:rsidRPr="008A514A" w:rsidRDefault="008462CE" w:rsidP="008A514A">
            <w:pPr>
              <w:pStyle w:val="Default"/>
              <w:tabs>
                <w:tab w:val="left" w:pos="742"/>
              </w:tabs>
              <w:spacing w:before="240" w:after="200"/>
              <w:ind w:right="14"/>
              <w:jc w:val="center"/>
              <w:rPr>
                <w:rFonts w:ascii="ITC Avant Garde" w:hAnsi="ITC Avant Garde"/>
                <w:b/>
                <w:bCs/>
                <w:sz w:val="18"/>
                <w:szCs w:val="18"/>
              </w:rPr>
            </w:pPr>
            <w:r w:rsidRPr="008A514A">
              <w:rPr>
                <w:rFonts w:ascii="ITC Avant Garde" w:hAnsi="ITC Avant Garde"/>
                <w:b/>
                <w:bCs/>
                <w:sz w:val="18"/>
                <w:szCs w:val="18"/>
              </w:rPr>
              <w:t>Grupo de frecuencia</w:t>
            </w:r>
          </w:p>
        </w:tc>
      </w:tr>
      <w:tr w:rsidR="008462CE" w:rsidRPr="008A514A" w:rsidTr="00271761">
        <w:trPr>
          <w:trHeight w:val="1183"/>
        </w:trPr>
        <w:tc>
          <w:tcPr>
            <w:tcW w:w="1555" w:type="dxa"/>
            <w:vAlign w:val="center"/>
            <w:hideMark/>
          </w:tcPr>
          <w:p w:rsidR="008462CE" w:rsidRPr="008A514A" w:rsidRDefault="008462CE" w:rsidP="00271761">
            <w:pPr>
              <w:pStyle w:val="Default"/>
              <w:spacing w:before="240" w:after="200"/>
              <w:ind w:right="29"/>
              <w:jc w:val="center"/>
              <w:rPr>
                <w:rFonts w:ascii="ITC Avant Garde" w:hAnsi="ITC Avant Garde"/>
                <w:bCs/>
                <w:sz w:val="18"/>
                <w:szCs w:val="18"/>
              </w:rPr>
            </w:pPr>
            <w:r w:rsidRPr="008A514A">
              <w:rPr>
                <w:rFonts w:ascii="ITC Avant Garde" w:hAnsi="ITC Avant Garde"/>
                <w:bCs/>
                <w:sz w:val="18"/>
                <w:szCs w:val="18"/>
              </w:rPr>
              <w:t>Nuevo León</w:t>
            </w:r>
          </w:p>
        </w:tc>
        <w:tc>
          <w:tcPr>
            <w:tcW w:w="4110" w:type="dxa"/>
            <w:hideMark/>
          </w:tcPr>
          <w:p w:rsidR="008462CE" w:rsidRPr="008A514A" w:rsidRDefault="00271761" w:rsidP="008A514A">
            <w:pPr>
              <w:pStyle w:val="Default"/>
              <w:spacing w:before="240" w:after="200"/>
              <w:ind w:right="34"/>
              <w:jc w:val="both"/>
              <w:rPr>
                <w:rFonts w:ascii="ITC Avant Garde" w:hAnsi="ITC Avant Garde"/>
                <w:bCs/>
                <w:sz w:val="18"/>
                <w:szCs w:val="18"/>
              </w:rPr>
            </w:pPr>
            <w:r>
              <w:rPr>
                <w:rFonts w:ascii="ITC Avant Garde" w:hAnsi="ITC Avant Garde"/>
                <w:bCs/>
                <w:sz w:val="18"/>
                <w:szCs w:val="18"/>
              </w:rPr>
              <w:t xml:space="preserve">Apodaca, </w:t>
            </w:r>
            <w:r w:rsidR="008462CE" w:rsidRPr="008A514A">
              <w:rPr>
                <w:rFonts w:ascii="ITC Avant Garde" w:hAnsi="ITC Avant Garde"/>
                <w:bCs/>
                <w:sz w:val="18"/>
                <w:szCs w:val="18"/>
              </w:rPr>
              <w:t xml:space="preserve">General Escobedo, Salinas Victoria,  San Nicolás de los Garza, Santiago, General </w:t>
            </w:r>
            <w:proofErr w:type="spellStart"/>
            <w:r w:rsidR="008462CE" w:rsidRPr="008A514A">
              <w:rPr>
                <w:rFonts w:ascii="ITC Avant Garde" w:hAnsi="ITC Avant Garde"/>
                <w:bCs/>
                <w:sz w:val="18"/>
                <w:szCs w:val="18"/>
              </w:rPr>
              <w:t>Zauza</w:t>
            </w:r>
            <w:proofErr w:type="spellEnd"/>
            <w:r w:rsidR="008462CE" w:rsidRPr="008A514A">
              <w:rPr>
                <w:rFonts w:ascii="ITC Avant Garde" w:hAnsi="ITC Avant Garde"/>
                <w:bCs/>
                <w:sz w:val="18"/>
                <w:szCs w:val="18"/>
              </w:rPr>
              <w:t xml:space="preserve">, Ciénega de Flores, Sabinas Hidalgo,  Vallecillo, Anáhuac, Allende, Montemorelos,  </w:t>
            </w:r>
            <w:proofErr w:type="spellStart"/>
            <w:r w:rsidR="008462CE" w:rsidRPr="008A514A">
              <w:rPr>
                <w:rFonts w:ascii="ITC Avant Garde" w:hAnsi="ITC Avant Garde"/>
                <w:bCs/>
                <w:sz w:val="18"/>
                <w:szCs w:val="18"/>
              </w:rPr>
              <w:t>Hualahuises</w:t>
            </w:r>
            <w:proofErr w:type="spellEnd"/>
            <w:r w:rsidR="008462CE" w:rsidRPr="008A514A">
              <w:rPr>
                <w:rFonts w:ascii="ITC Avant Garde" w:hAnsi="ITC Avant Garde"/>
                <w:bCs/>
                <w:sz w:val="18"/>
                <w:szCs w:val="18"/>
              </w:rPr>
              <w:t xml:space="preserve"> y Linares.</w:t>
            </w:r>
          </w:p>
        </w:tc>
        <w:tc>
          <w:tcPr>
            <w:tcW w:w="1682" w:type="dxa"/>
            <w:hideMark/>
          </w:tcPr>
          <w:p w:rsidR="008462CE" w:rsidRPr="008A514A" w:rsidRDefault="008462CE" w:rsidP="008A514A">
            <w:pPr>
              <w:pStyle w:val="Default"/>
              <w:spacing w:before="240" w:after="200"/>
              <w:ind w:right="14"/>
              <w:jc w:val="center"/>
              <w:rPr>
                <w:rFonts w:ascii="ITC Avant Garde" w:hAnsi="ITC Avant Garde"/>
                <w:bCs/>
                <w:sz w:val="18"/>
                <w:szCs w:val="18"/>
              </w:rPr>
            </w:pPr>
            <w:r w:rsidRPr="008A514A">
              <w:rPr>
                <w:rFonts w:ascii="ITC Avant Garde" w:hAnsi="ITC Avant Garde"/>
                <w:bCs/>
                <w:sz w:val="18"/>
                <w:szCs w:val="18"/>
              </w:rPr>
              <w:t>21</w:t>
            </w:r>
          </w:p>
        </w:tc>
      </w:tr>
      <w:tr w:rsidR="00271761" w:rsidRPr="008A514A" w:rsidTr="00271761">
        <w:trPr>
          <w:trHeight w:val="591"/>
        </w:trPr>
        <w:tc>
          <w:tcPr>
            <w:tcW w:w="1555" w:type="dxa"/>
            <w:vAlign w:val="center"/>
            <w:hideMark/>
          </w:tcPr>
          <w:p w:rsidR="00271761" w:rsidRDefault="00271761" w:rsidP="00271761">
            <w:pPr>
              <w:jc w:val="center"/>
            </w:pPr>
            <w:r w:rsidRPr="00E4599C">
              <w:rPr>
                <w:rFonts w:ascii="ITC Avant Garde" w:hAnsi="ITC Avant Garde"/>
                <w:bCs/>
                <w:sz w:val="18"/>
                <w:szCs w:val="18"/>
              </w:rPr>
              <w:t>Nuevo León</w:t>
            </w:r>
          </w:p>
        </w:tc>
        <w:tc>
          <w:tcPr>
            <w:tcW w:w="4110" w:type="dxa"/>
            <w:hideMark/>
          </w:tcPr>
          <w:p w:rsidR="00271761" w:rsidRPr="008A514A" w:rsidRDefault="00271761" w:rsidP="00271761">
            <w:pPr>
              <w:pStyle w:val="Default"/>
              <w:spacing w:before="240" w:after="200"/>
              <w:ind w:right="34"/>
              <w:jc w:val="both"/>
              <w:rPr>
                <w:rFonts w:ascii="ITC Avant Garde" w:hAnsi="ITC Avant Garde"/>
                <w:bCs/>
                <w:sz w:val="18"/>
                <w:szCs w:val="18"/>
              </w:rPr>
            </w:pPr>
            <w:r w:rsidRPr="008A514A">
              <w:rPr>
                <w:rFonts w:ascii="ITC Avant Garde" w:hAnsi="ITC Avant Garde"/>
                <w:bCs/>
                <w:sz w:val="18"/>
                <w:szCs w:val="18"/>
              </w:rPr>
              <w:t>China, General Bravo y Dr. Coss.</w:t>
            </w:r>
          </w:p>
        </w:tc>
        <w:tc>
          <w:tcPr>
            <w:tcW w:w="1682" w:type="dxa"/>
            <w:hideMark/>
          </w:tcPr>
          <w:p w:rsidR="00271761" w:rsidRPr="008A514A" w:rsidRDefault="00271761" w:rsidP="00271761">
            <w:pPr>
              <w:pStyle w:val="Default"/>
              <w:spacing w:before="240" w:after="200"/>
              <w:ind w:right="14"/>
              <w:jc w:val="center"/>
              <w:rPr>
                <w:rFonts w:ascii="ITC Avant Garde" w:hAnsi="ITC Avant Garde"/>
                <w:bCs/>
                <w:sz w:val="18"/>
                <w:szCs w:val="18"/>
              </w:rPr>
            </w:pPr>
            <w:r w:rsidRPr="008A514A">
              <w:rPr>
                <w:rFonts w:ascii="ITC Avant Garde" w:hAnsi="ITC Avant Garde"/>
                <w:bCs/>
                <w:sz w:val="18"/>
                <w:szCs w:val="18"/>
              </w:rPr>
              <w:t>22</w:t>
            </w:r>
          </w:p>
        </w:tc>
      </w:tr>
      <w:tr w:rsidR="00271761" w:rsidRPr="008A514A" w:rsidTr="00271761">
        <w:trPr>
          <w:trHeight w:val="148"/>
        </w:trPr>
        <w:tc>
          <w:tcPr>
            <w:tcW w:w="1555" w:type="dxa"/>
            <w:vAlign w:val="center"/>
            <w:hideMark/>
          </w:tcPr>
          <w:p w:rsidR="00271761" w:rsidRDefault="00271761" w:rsidP="00271761">
            <w:pPr>
              <w:jc w:val="center"/>
            </w:pPr>
            <w:r w:rsidRPr="00E4599C">
              <w:rPr>
                <w:rFonts w:ascii="ITC Avant Garde" w:hAnsi="ITC Avant Garde"/>
                <w:bCs/>
                <w:sz w:val="18"/>
                <w:szCs w:val="18"/>
              </w:rPr>
              <w:t>Nuevo León</w:t>
            </w:r>
          </w:p>
        </w:tc>
        <w:tc>
          <w:tcPr>
            <w:tcW w:w="4110" w:type="dxa"/>
            <w:hideMark/>
          </w:tcPr>
          <w:p w:rsidR="00271761" w:rsidRPr="008A514A" w:rsidRDefault="00271761" w:rsidP="00271761">
            <w:pPr>
              <w:pStyle w:val="Default"/>
              <w:spacing w:before="240" w:after="200"/>
              <w:ind w:right="34"/>
              <w:jc w:val="both"/>
              <w:rPr>
                <w:rFonts w:ascii="ITC Avant Garde" w:hAnsi="ITC Avant Garde"/>
                <w:b/>
                <w:bCs/>
                <w:sz w:val="18"/>
                <w:szCs w:val="18"/>
              </w:rPr>
            </w:pPr>
            <w:r w:rsidRPr="008A514A">
              <w:rPr>
                <w:rFonts w:ascii="ITC Avant Garde" w:hAnsi="ITC Avant Garde"/>
                <w:b/>
                <w:bCs/>
                <w:sz w:val="18"/>
                <w:szCs w:val="18"/>
              </w:rPr>
              <w:t>Monterrey.</w:t>
            </w:r>
          </w:p>
        </w:tc>
        <w:tc>
          <w:tcPr>
            <w:tcW w:w="1682" w:type="dxa"/>
            <w:hideMark/>
          </w:tcPr>
          <w:p w:rsidR="00271761" w:rsidRPr="008A514A" w:rsidRDefault="00271761" w:rsidP="00271761">
            <w:pPr>
              <w:pStyle w:val="Default"/>
              <w:spacing w:before="240" w:after="200"/>
              <w:ind w:right="14"/>
              <w:jc w:val="center"/>
              <w:rPr>
                <w:rFonts w:ascii="ITC Avant Garde" w:hAnsi="ITC Avant Garde"/>
                <w:b/>
                <w:bCs/>
                <w:sz w:val="18"/>
                <w:szCs w:val="18"/>
              </w:rPr>
            </w:pPr>
            <w:r w:rsidRPr="008A514A">
              <w:rPr>
                <w:rFonts w:ascii="ITC Avant Garde" w:hAnsi="ITC Avant Garde"/>
                <w:b/>
                <w:bCs/>
                <w:sz w:val="18"/>
                <w:szCs w:val="18"/>
              </w:rPr>
              <w:t>16 y 21</w:t>
            </w:r>
          </w:p>
        </w:tc>
      </w:tr>
      <w:tr w:rsidR="00271761" w:rsidRPr="008A514A" w:rsidTr="00271761">
        <w:tc>
          <w:tcPr>
            <w:tcW w:w="1555" w:type="dxa"/>
            <w:vAlign w:val="center"/>
            <w:hideMark/>
          </w:tcPr>
          <w:p w:rsidR="00271761" w:rsidRDefault="00271761" w:rsidP="00271761">
            <w:pPr>
              <w:jc w:val="center"/>
            </w:pPr>
            <w:r w:rsidRPr="00E4599C">
              <w:rPr>
                <w:rFonts w:ascii="ITC Avant Garde" w:hAnsi="ITC Avant Garde"/>
                <w:bCs/>
                <w:sz w:val="18"/>
                <w:szCs w:val="18"/>
              </w:rPr>
              <w:t>Nuevo León</w:t>
            </w:r>
          </w:p>
        </w:tc>
        <w:tc>
          <w:tcPr>
            <w:tcW w:w="4110" w:type="dxa"/>
            <w:hideMark/>
          </w:tcPr>
          <w:p w:rsidR="00271761" w:rsidRPr="008A514A" w:rsidRDefault="00271761" w:rsidP="00271761">
            <w:pPr>
              <w:pStyle w:val="Default"/>
              <w:spacing w:before="240" w:after="200"/>
              <w:ind w:right="34"/>
              <w:jc w:val="both"/>
              <w:rPr>
                <w:rFonts w:ascii="ITC Avant Garde" w:hAnsi="ITC Avant Garde"/>
                <w:b/>
                <w:bCs/>
                <w:sz w:val="18"/>
                <w:szCs w:val="18"/>
              </w:rPr>
            </w:pPr>
            <w:r w:rsidRPr="008A514A">
              <w:rPr>
                <w:rFonts w:ascii="ITC Avant Garde" w:hAnsi="ITC Avant Garde"/>
                <w:b/>
                <w:bCs/>
                <w:sz w:val="18"/>
                <w:szCs w:val="18"/>
              </w:rPr>
              <w:t>Guadalupe, Juárez, Cadereyta de Jiménez y Los Ramones.</w:t>
            </w:r>
          </w:p>
        </w:tc>
        <w:tc>
          <w:tcPr>
            <w:tcW w:w="1682" w:type="dxa"/>
            <w:hideMark/>
          </w:tcPr>
          <w:p w:rsidR="00271761" w:rsidRPr="008A514A" w:rsidRDefault="00271761" w:rsidP="00271761">
            <w:pPr>
              <w:pStyle w:val="Default"/>
              <w:spacing w:before="240" w:after="200"/>
              <w:ind w:right="14"/>
              <w:jc w:val="center"/>
              <w:rPr>
                <w:rFonts w:ascii="ITC Avant Garde" w:hAnsi="ITC Avant Garde"/>
                <w:b/>
                <w:bCs/>
                <w:sz w:val="18"/>
                <w:szCs w:val="18"/>
              </w:rPr>
            </w:pPr>
            <w:r w:rsidRPr="008A514A">
              <w:rPr>
                <w:rFonts w:ascii="ITC Avant Garde" w:hAnsi="ITC Avant Garde"/>
                <w:b/>
                <w:bCs/>
                <w:sz w:val="18"/>
                <w:szCs w:val="18"/>
              </w:rPr>
              <w:t>16</w:t>
            </w:r>
          </w:p>
        </w:tc>
      </w:tr>
      <w:tr w:rsidR="008462CE" w:rsidRPr="008A514A" w:rsidTr="00271761">
        <w:trPr>
          <w:trHeight w:val="673"/>
        </w:trPr>
        <w:tc>
          <w:tcPr>
            <w:tcW w:w="1555" w:type="dxa"/>
            <w:vAlign w:val="center"/>
            <w:hideMark/>
          </w:tcPr>
          <w:p w:rsidR="008462CE" w:rsidRPr="008A514A" w:rsidRDefault="008462CE" w:rsidP="00271761">
            <w:pPr>
              <w:pStyle w:val="Default"/>
              <w:spacing w:before="240" w:after="200"/>
              <w:ind w:right="29"/>
              <w:jc w:val="center"/>
              <w:rPr>
                <w:rFonts w:ascii="ITC Avant Garde" w:hAnsi="ITC Avant Garde"/>
                <w:bCs/>
                <w:sz w:val="18"/>
                <w:szCs w:val="18"/>
              </w:rPr>
            </w:pPr>
            <w:r w:rsidRPr="008A514A">
              <w:rPr>
                <w:rFonts w:ascii="ITC Avant Garde" w:hAnsi="ITC Avant Garde"/>
                <w:bCs/>
                <w:sz w:val="18"/>
                <w:szCs w:val="18"/>
              </w:rPr>
              <w:t>Tamaulipas</w:t>
            </w:r>
          </w:p>
        </w:tc>
        <w:tc>
          <w:tcPr>
            <w:tcW w:w="4110" w:type="dxa"/>
            <w:hideMark/>
          </w:tcPr>
          <w:p w:rsidR="008462CE" w:rsidRPr="008A514A" w:rsidRDefault="008462CE" w:rsidP="008A514A">
            <w:pPr>
              <w:pStyle w:val="Default"/>
              <w:spacing w:before="240" w:after="200"/>
              <w:ind w:right="34"/>
              <w:jc w:val="both"/>
              <w:rPr>
                <w:rFonts w:ascii="ITC Avant Garde" w:hAnsi="ITC Avant Garde"/>
                <w:bCs/>
                <w:sz w:val="18"/>
                <w:szCs w:val="18"/>
              </w:rPr>
            </w:pPr>
            <w:r w:rsidRPr="008A514A">
              <w:rPr>
                <w:rFonts w:ascii="ITC Avant Garde" w:hAnsi="ITC Avant Garde"/>
                <w:bCs/>
                <w:sz w:val="18"/>
                <w:szCs w:val="18"/>
              </w:rPr>
              <w:t>Reynosa, Río Bravo, Valle Hermoso y Matamoros.</w:t>
            </w:r>
          </w:p>
        </w:tc>
        <w:tc>
          <w:tcPr>
            <w:tcW w:w="1682" w:type="dxa"/>
            <w:hideMark/>
          </w:tcPr>
          <w:p w:rsidR="008462CE" w:rsidRPr="008A514A" w:rsidRDefault="008462CE" w:rsidP="008A514A">
            <w:pPr>
              <w:pStyle w:val="Default"/>
              <w:spacing w:before="240" w:after="200"/>
              <w:ind w:right="14"/>
              <w:jc w:val="center"/>
              <w:rPr>
                <w:rFonts w:ascii="ITC Avant Garde" w:hAnsi="ITC Avant Garde"/>
                <w:bCs/>
                <w:sz w:val="18"/>
                <w:szCs w:val="18"/>
              </w:rPr>
            </w:pPr>
            <w:r w:rsidRPr="008A514A">
              <w:rPr>
                <w:rFonts w:ascii="ITC Avant Garde" w:hAnsi="ITC Avant Garde"/>
                <w:bCs/>
                <w:sz w:val="18"/>
                <w:szCs w:val="18"/>
              </w:rPr>
              <w:t>22 y 24</w:t>
            </w:r>
          </w:p>
        </w:tc>
      </w:tr>
      <w:tr w:rsidR="00271761" w:rsidRPr="008A514A" w:rsidTr="00271761">
        <w:trPr>
          <w:trHeight w:val="591"/>
        </w:trPr>
        <w:tc>
          <w:tcPr>
            <w:tcW w:w="1555" w:type="dxa"/>
            <w:vAlign w:val="center"/>
            <w:hideMark/>
          </w:tcPr>
          <w:p w:rsidR="00271761" w:rsidRDefault="00271761" w:rsidP="00271761">
            <w:pPr>
              <w:jc w:val="center"/>
            </w:pPr>
            <w:r w:rsidRPr="00376906">
              <w:rPr>
                <w:rFonts w:ascii="ITC Avant Garde" w:hAnsi="ITC Avant Garde"/>
                <w:bCs/>
                <w:sz w:val="18"/>
                <w:szCs w:val="18"/>
              </w:rPr>
              <w:t>Tamaulipas</w:t>
            </w:r>
          </w:p>
        </w:tc>
        <w:tc>
          <w:tcPr>
            <w:tcW w:w="4110" w:type="dxa"/>
            <w:hideMark/>
          </w:tcPr>
          <w:p w:rsidR="00271761" w:rsidRPr="008A514A" w:rsidRDefault="00271761" w:rsidP="00271761">
            <w:pPr>
              <w:pStyle w:val="Default"/>
              <w:spacing w:before="240" w:after="200"/>
              <w:ind w:right="34"/>
              <w:jc w:val="both"/>
              <w:rPr>
                <w:rFonts w:ascii="ITC Avant Garde" w:hAnsi="ITC Avant Garde"/>
                <w:bCs/>
                <w:sz w:val="18"/>
                <w:szCs w:val="18"/>
              </w:rPr>
            </w:pPr>
            <w:r w:rsidRPr="008A514A">
              <w:rPr>
                <w:rFonts w:ascii="ITC Avant Garde" w:hAnsi="ITC Avant Garde"/>
                <w:bCs/>
                <w:sz w:val="18"/>
                <w:szCs w:val="18"/>
              </w:rPr>
              <w:t xml:space="preserve">Guerrero, Nuevo Laredo, </w:t>
            </w:r>
            <w:proofErr w:type="spellStart"/>
            <w:r w:rsidRPr="008A514A">
              <w:rPr>
                <w:rFonts w:ascii="ITC Avant Garde" w:hAnsi="ITC Avant Garde"/>
                <w:bCs/>
                <w:sz w:val="18"/>
                <w:szCs w:val="18"/>
              </w:rPr>
              <w:t>Mainero</w:t>
            </w:r>
            <w:proofErr w:type="spellEnd"/>
            <w:r w:rsidRPr="008A514A">
              <w:rPr>
                <w:rFonts w:ascii="ITC Avant Garde" w:hAnsi="ITC Avant Garde"/>
                <w:bCs/>
                <w:sz w:val="18"/>
                <w:szCs w:val="18"/>
              </w:rPr>
              <w:t xml:space="preserve">, Villagrán, </w:t>
            </w:r>
            <w:proofErr w:type="spellStart"/>
            <w:r w:rsidRPr="008A514A">
              <w:rPr>
                <w:rFonts w:ascii="ITC Avant Garde" w:hAnsi="ITC Avant Garde"/>
                <w:bCs/>
                <w:sz w:val="18"/>
                <w:szCs w:val="18"/>
              </w:rPr>
              <w:t>Güémez</w:t>
            </w:r>
            <w:proofErr w:type="spellEnd"/>
            <w:r w:rsidRPr="008A514A">
              <w:rPr>
                <w:rFonts w:ascii="ITC Avant Garde" w:hAnsi="ITC Avant Garde"/>
                <w:bCs/>
                <w:sz w:val="18"/>
                <w:szCs w:val="18"/>
              </w:rPr>
              <w:t>, Hidalgo y Padilla.</w:t>
            </w:r>
          </w:p>
        </w:tc>
        <w:tc>
          <w:tcPr>
            <w:tcW w:w="1682" w:type="dxa"/>
            <w:hideMark/>
          </w:tcPr>
          <w:p w:rsidR="00271761" w:rsidRPr="008A514A" w:rsidRDefault="00271761" w:rsidP="00271761">
            <w:pPr>
              <w:pStyle w:val="Default"/>
              <w:spacing w:before="240" w:after="200"/>
              <w:ind w:right="14"/>
              <w:jc w:val="center"/>
              <w:rPr>
                <w:rFonts w:ascii="ITC Avant Garde" w:hAnsi="ITC Avant Garde"/>
                <w:bCs/>
                <w:sz w:val="18"/>
                <w:szCs w:val="18"/>
              </w:rPr>
            </w:pPr>
            <w:r w:rsidRPr="008A514A">
              <w:rPr>
                <w:rFonts w:ascii="ITC Avant Garde" w:hAnsi="ITC Avant Garde"/>
                <w:bCs/>
                <w:sz w:val="18"/>
                <w:szCs w:val="18"/>
              </w:rPr>
              <w:t>21</w:t>
            </w:r>
          </w:p>
        </w:tc>
      </w:tr>
      <w:tr w:rsidR="00271761" w:rsidRPr="008A514A" w:rsidTr="00271761">
        <w:trPr>
          <w:trHeight w:val="605"/>
        </w:trPr>
        <w:tc>
          <w:tcPr>
            <w:tcW w:w="1555" w:type="dxa"/>
            <w:vAlign w:val="center"/>
            <w:hideMark/>
          </w:tcPr>
          <w:p w:rsidR="00271761" w:rsidRDefault="00271761" w:rsidP="00271761">
            <w:pPr>
              <w:jc w:val="center"/>
            </w:pPr>
            <w:r w:rsidRPr="00376906">
              <w:rPr>
                <w:rFonts w:ascii="ITC Avant Garde" w:hAnsi="ITC Avant Garde"/>
                <w:bCs/>
                <w:sz w:val="18"/>
                <w:szCs w:val="18"/>
              </w:rPr>
              <w:t>Tamaulipas</w:t>
            </w:r>
          </w:p>
        </w:tc>
        <w:tc>
          <w:tcPr>
            <w:tcW w:w="4110" w:type="dxa"/>
            <w:hideMark/>
          </w:tcPr>
          <w:p w:rsidR="00271761" w:rsidRPr="008A514A" w:rsidRDefault="00271761" w:rsidP="00271761">
            <w:pPr>
              <w:pStyle w:val="Default"/>
              <w:spacing w:before="240" w:after="200"/>
              <w:ind w:right="34"/>
              <w:jc w:val="both"/>
              <w:rPr>
                <w:rFonts w:ascii="ITC Avant Garde" w:hAnsi="ITC Avant Garde"/>
                <w:bCs/>
                <w:sz w:val="18"/>
                <w:szCs w:val="18"/>
              </w:rPr>
            </w:pPr>
            <w:r w:rsidRPr="008A514A">
              <w:rPr>
                <w:rFonts w:ascii="ITC Avant Garde" w:hAnsi="ITC Avant Garde"/>
                <w:bCs/>
                <w:sz w:val="18"/>
                <w:szCs w:val="18"/>
              </w:rPr>
              <w:t>Victoria, Llera, Xicoténcatl, Gómez Farías, El Mante, Altamira, Tampico, Casas, y González.</w:t>
            </w:r>
          </w:p>
        </w:tc>
        <w:tc>
          <w:tcPr>
            <w:tcW w:w="1682" w:type="dxa"/>
            <w:hideMark/>
          </w:tcPr>
          <w:p w:rsidR="00271761" w:rsidRPr="008A514A" w:rsidRDefault="00271761" w:rsidP="00271761">
            <w:pPr>
              <w:pStyle w:val="Default"/>
              <w:spacing w:before="240" w:after="200"/>
              <w:ind w:right="14"/>
              <w:jc w:val="center"/>
              <w:rPr>
                <w:rFonts w:ascii="ITC Avant Garde" w:hAnsi="ITC Avant Garde"/>
                <w:bCs/>
                <w:sz w:val="18"/>
                <w:szCs w:val="18"/>
              </w:rPr>
            </w:pPr>
            <w:r w:rsidRPr="008A514A">
              <w:rPr>
                <w:rFonts w:ascii="ITC Avant Garde" w:hAnsi="ITC Avant Garde"/>
                <w:bCs/>
                <w:sz w:val="18"/>
                <w:szCs w:val="18"/>
              </w:rPr>
              <w:t>1 y 2</w:t>
            </w:r>
          </w:p>
        </w:tc>
      </w:tr>
    </w:tbl>
    <w:p w:rsidR="008A514A" w:rsidRDefault="008A514A" w:rsidP="008A514A">
      <w:pPr>
        <w:pStyle w:val="Default"/>
        <w:spacing w:before="240" w:after="200"/>
        <w:ind w:left="567" w:right="473"/>
        <w:jc w:val="both"/>
        <w:rPr>
          <w:rFonts w:ascii="ITC Avant Garde" w:hAnsi="ITC Avant Garde"/>
          <w:bCs/>
          <w:sz w:val="18"/>
          <w:szCs w:val="18"/>
        </w:rPr>
        <w:sectPr w:rsidR="008A514A" w:rsidSect="00811B70">
          <w:headerReference w:type="even" r:id="rId8"/>
          <w:footerReference w:type="default" r:id="rId9"/>
          <w:headerReference w:type="first" r:id="rId10"/>
          <w:pgSz w:w="12240" w:h="15840"/>
          <w:pgMar w:top="2268" w:right="1418" w:bottom="567" w:left="1418" w:header="709" w:footer="709" w:gutter="0"/>
          <w:cols w:space="708"/>
          <w:docGrid w:linePitch="360"/>
        </w:sectPr>
      </w:pPr>
    </w:p>
    <w:p w:rsidR="009312DC" w:rsidRPr="008A514A" w:rsidRDefault="009312DC" w:rsidP="008A514A">
      <w:pPr>
        <w:pStyle w:val="Default"/>
        <w:spacing w:before="240" w:after="200"/>
        <w:ind w:left="567" w:right="473"/>
        <w:jc w:val="both"/>
        <w:rPr>
          <w:rFonts w:ascii="ITC Avant Garde" w:hAnsi="ITC Avant Garde"/>
          <w:bCs/>
          <w:sz w:val="18"/>
          <w:szCs w:val="18"/>
        </w:rPr>
      </w:pPr>
      <w:r w:rsidRPr="008A514A">
        <w:rPr>
          <w:rFonts w:ascii="ITC Avant Garde" w:hAnsi="ITC Avant Garde"/>
          <w:bCs/>
          <w:sz w:val="18"/>
          <w:szCs w:val="18"/>
        </w:rPr>
        <w:lastRenderedPageBreak/>
        <w:t>[…]”  Énfasis añadido.</w:t>
      </w:r>
    </w:p>
    <w:p w:rsidR="00604492" w:rsidRPr="008A514A" w:rsidRDefault="009312DC" w:rsidP="008A514A">
      <w:pPr>
        <w:pStyle w:val="Default"/>
        <w:spacing w:before="240" w:after="200"/>
        <w:ind w:right="48"/>
        <w:jc w:val="both"/>
        <w:rPr>
          <w:rFonts w:ascii="ITC Avant Garde" w:hAnsi="ITC Avant Garde"/>
          <w:bCs/>
          <w:sz w:val="22"/>
          <w:szCs w:val="22"/>
        </w:rPr>
      </w:pPr>
      <w:r w:rsidRPr="008A514A">
        <w:rPr>
          <w:rFonts w:ascii="ITC Avant Garde" w:hAnsi="ITC Avant Garde"/>
          <w:bCs/>
          <w:sz w:val="22"/>
          <w:szCs w:val="22"/>
        </w:rPr>
        <w:t xml:space="preserve">De lo anterior se desprende que </w:t>
      </w:r>
      <w:r w:rsidR="00A73D20" w:rsidRPr="008A514A">
        <w:rPr>
          <w:rFonts w:ascii="ITC Avant Garde" w:hAnsi="ITC Avant Garde"/>
          <w:bCs/>
          <w:sz w:val="22"/>
          <w:szCs w:val="22"/>
        </w:rPr>
        <w:t>debido a la tecnología</w:t>
      </w:r>
      <w:r w:rsidR="00071180" w:rsidRPr="008A514A">
        <w:rPr>
          <w:rFonts w:ascii="ITC Avant Garde" w:hAnsi="ITC Avant Garde"/>
          <w:bCs/>
          <w:sz w:val="22"/>
          <w:szCs w:val="22"/>
        </w:rPr>
        <w:t xml:space="preserve"> y a la configuración de equipos</w:t>
      </w:r>
      <w:r w:rsidR="00A73D20" w:rsidRPr="008A514A">
        <w:rPr>
          <w:rFonts w:ascii="ITC Avant Garde" w:hAnsi="ITC Avant Garde"/>
          <w:bCs/>
          <w:sz w:val="22"/>
          <w:szCs w:val="22"/>
        </w:rPr>
        <w:t xml:space="preserve"> que pretende emplear Radiocomunicaciones y Servicios, S.A. de C.V. en los grupos de frecuencias </w:t>
      </w:r>
      <w:r w:rsidR="00071180" w:rsidRPr="008A514A">
        <w:rPr>
          <w:rFonts w:ascii="ITC Avant Garde" w:hAnsi="ITC Avant Garde"/>
          <w:bCs/>
          <w:sz w:val="22"/>
          <w:szCs w:val="22"/>
        </w:rPr>
        <w:t xml:space="preserve">que tiene </w:t>
      </w:r>
      <w:r w:rsidR="00A73D20" w:rsidRPr="008A514A">
        <w:rPr>
          <w:rFonts w:ascii="ITC Avant Garde" w:hAnsi="ITC Avant Garde"/>
          <w:bCs/>
          <w:sz w:val="22"/>
          <w:szCs w:val="22"/>
        </w:rPr>
        <w:t>concesionados dentro de la banda de frecuencias de 410-430 MHz</w:t>
      </w:r>
      <w:r w:rsidR="00071180" w:rsidRPr="008A514A">
        <w:rPr>
          <w:rFonts w:ascii="ITC Avant Garde" w:hAnsi="ITC Avant Garde"/>
          <w:bCs/>
          <w:sz w:val="22"/>
          <w:szCs w:val="22"/>
        </w:rPr>
        <w:t xml:space="preserve"> en el Municipio de Monterrey</w:t>
      </w:r>
      <w:r w:rsidR="00A73D20" w:rsidRPr="008A514A">
        <w:rPr>
          <w:rFonts w:ascii="ITC Avant Garde" w:hAnsi="ITC Avant Garde"/>
          <w:bCs/>
          <w:sz w:val="22"/>
          <w:szCs w:val="22"/>
        </w:rPr>
        <w:t>, se originan interferencias por intermodulación que causan fallas en la prestación del servicio m</w:t>
      </w:r>
      <w:r w:rsidR="00361072" w:rsidRPr="008A514A">
        <w:rPr>
          <w:rFonts w:ascii="ITC Avant Garde" w:hAnsi="ITC Avant Garde"/>
          <w:bCs/>
          <w:sz w:val="22"/>
          <w:szCs w:val="22"/>
        </w:rPr>
        <w:t>óvil de radiocomunicación especializada de flotillas</w:t>
      </w:r>
      <w:r w:rsidR="00A73D20" w:rsidRPr="008A514A">
        <w:rPr>
          <w:rFonts w:ascii="ITC Avant Garde" w:hAnsi="ITC Avant Garde"/>
          <w:bCs/>
          <w:sz w:val="22"/>
          <w:szCs w:val="22"/>
        </w:rPr>
        <w:t xml:space="preserve"> </w:t>
      </w:r>
      <w:r w:rsidR="00361072" w:rsidRPr="008A514A">
        <w:rPr>
          <w:rFonts w:ascii="ITC Avant Garde" w:hAnsi="ITC Avant Garde"/>
          <w:bCs/>
          <w:sz w:val="22"/>
          <w:szCs w:val="22"/>
        </w:rPr>
        <w:t xml:space="preserve">por </w:t>
      </w:r>
      <w:r w:rsidR="00A73D20" w:rsidRPr="008A514A">
        <w:rPr>
          <w:rFonts w:ascii="ITC Avant Garde" w:hAnsi="ITC Avant Garde"/>
          <w:bCs/>
          <w:sz w:val="22"/>
          <w:szCs w:val="22"/>
        </w:rPr>
        <w:t>parte</w:t>
      </w:r>
      <w:r w:rsidR="00361072" w:rsidRPr="008A514A">
        <w:rPr>
          <w:rFonts w:ascii="ITC Avant Garde" w:hAnsi="ITC Avant Garde"/>
          <w:bCs/>
          <w:sz w:val="22"/>
          <w:szCs w:val="22"/>
        </w:rPr>
        <w:t xml:space="preserve"> de dicho concesionario</w:t>
      </w:r>
      <w:r w:rsidR="00604492" w:rsidRPr="008A514A">
        <w:rPr>
          <w:rFonts w:ascii="ITC Avant Garde" w:hAnsi="ITC Avant Garde"/>
          <w:bCs/>
          <w:sz w:val="22"/>
          <w:szCs w:val="22"/>
        </w:rPr>
        <w:t xml:space="preserve">. </w:t>
      </w:r>
    </w:p>
    <w:p w:rsidR="008A514A" w:rsidRPr="008A514A" w:rsidRDefault="00604492" w:rsidP="008A514A">
      <w:pPr>
        <w:pStyle w:val="Default"/>
        <w:spacing w:before="240" w:after="200"/>
        <w:ind w:right="48"/>
        <w:jc w:val="both"/>
        <w:rPr>
          <w:rFonts w:ascii="ITC Avant Garde" w:hAnsi="ITC Avant Garde"/>
          <w:bCs/>
          <w:sz w:val="22"/>
          <w:szCs w:val="22"/>
        </w:rPr>
      </w:pPr>
      <w:r w:rsidRPr="008A514A">
        <w:rPr>
          <w:rFonts w:ascii="ITC Avant Garde" w:hAnsi="ITC Avant Garde"/>
          <w:bCs/>
          <w:sz w:val="22"/>
          <w:szCs w:val="22"/>
        </w:rPr>
        <w:t>Lo anterior, en virtud de que el Plan de Canalización de la banda de 400 MHz</w:t>
      </w:r>
      <w:r w:rsidR="001745FB" w:rsidRPr="008A514A">
        <w:rPr>
          <w:rStyle w:val="Refdenotaalpie"/>
          <w:rFonts w:ascii="ITC Avant Garde" w:hAnsi="ITC Avant Garde"/>
          <w:bCs/>
          <w:sz w:val="22"/>
          <w:szCs w:val="22"/>
        </w:rPr>
        <w:footnoteReference w:id="3"/>
      </w:r>
      <w:r w:rsidRPr="008A514A">
        <w:rPr>
          <w:rFonts w:ascii="ITC Avant Garde" w:hAnsi="ITC Avant Garde"/>
          <w:bCs/>
          <w:sz w:val="22"/>
          <w:szCs w:val="22"/>
        </w:rPr>
        <w:t xml:space="preserve"> fue diseñado para separaciones entre portadoras de 200 kHz y no así para 250 kHz, tal y como está diseñado el </w:t>
      </w:r>
      <w:proofErr w:type="spellStart"/>
      <w:r w:rsidRPr="008A514A">
        <w:rPr>
          <w:rFonts w:ascii="ITC Avant Garde" w:hAnsi="ITC Avant Garde"/>
          <w:bCs/>
          <w:sz w:val="22"/>
          <w:szCs w:val="22"/>
        </w:rPr>
        <w:t>combinador</w:t>
      </w:r>
      <w:proofErr w:type="spellEnd"/>
      <w:r w:rsidRPr="008A514A">
        <w:rPr>
          <w:rFonts w:ascii="ITC Avant Garde" w:hAnsi="ITC Avant Garde"/>
          <w:bCs/>
          <w:sz w:val="22"/>
          <w:szCs w:val="22"/>
        </w:rPr>
        <w:t xml:space="preserve"> del repetidor de los equipos del concesionario,</w:t>
      </w:r>
      <w:r w:rsidR="00B71F11" w:rsidRPr="008A514A">
        <w:rPr>
          <w:rFonts w:ascii="ITC Avant Garde" w:hAnsi="ITC Avant Garde"/>
          <w:bCs/>
          <w:sz w:val="22"/>
          <w:szCs w:val="22"/>
        </w:rPr>
        <w:t xml:space="preserve"> por lo que tal situación</w:t>
      </w:r>
      <w:r w:rsidRPr="008A514A">
        <w:rPr>
          <w:rFonts w:ascii="ITC Avant Garde" w:hAnsi="ITC Avant Garde"/>
          <w:bCs/>
          <w:sz w:val="22"/>
          <w:szCs w:val="22"/>
        </w:rPr>
        <w:t xml:space="preserve"> provoca atenuaciones considerables de potencia en la señal de transmisión. </w:t>
      </w:r>
      <w:r w:rsidR="00071180" w:rsidRPr="008A514A">
        <w:rPr>
          <w:rFonts w:ascii="ITC Avant Garde" w:hAnsi="ITC Avant Garde"/>
          <w:bCs/>
          <w:sz w:val="22"/>
          <w:szCs w:val="22"/>
        </w:rPr>
        <w:t xml:space="preserve">Asimismo, toda vez que Radiocomunicaciones y Servicios, S.A. de C.V. pretende configurar los grupos de frecuencias que tiene concesionados </w:t>
      </w:r>
      <w:r w:rsidRPr="008A514A">
        <w:rPr>
          <w:rFonts w:ascii="ITC Avant Garde" w:hAnsi="ITC Avant Garde"/>
          <w:bCs/>
          <w:sz w:val="22"/>
          <w:szCs w:val="22"/>
        </w:rPr>
        <w:t xml:space="preserve">en el </w:t>
      </w:r>
      <w:r w:rsidR="00830379" w:rsidRPr="008A514A">
        <w:rPr>
          <w:rFonts w:ascii="ITC Avant Garde" w:hAnsi="ITC Avant Garde"/>
          <w:bCs/>
          <w:sz w:val="22"/>
          <w:szCs w:val="22"/>
        </w:rPr>
        <w:t>M</w:t>
      </w:r>
      <w:r w:rsidRPr="008A514A">
        <w:rPr>
          <w:rFonts w:ascii="ITC Avant Garde" w:hAnsi="ITC Avant Garde"/>
          <w:bCs/>
          <w:sz w:val="22"/>
          <w:szCs w:val="22"/>
        </w:rPr>
        <w:t>unicipio de Monterrey</w:t>
      </w:r>
      <w:r w:rsidR="00071180" w:rsidRPr="008A514A">
        <w:rPr>
          <w:rFonts w:ascii="ITC Avant Garde" w:hAnsi="ITC Avant Garde"/>
          <w:bCs/>
          <w:sz w:val="22"/>
          <w:szCs w:val="22"/>
        </w:rPr>
        <w:t xml:space="preserve"> en un mismo </w:t>
      </w:r>
      <w:proofErr w:type="spellStart"/>
      <w:r w:rsidR="00071180" w:rsidRPr="008A514A">
        <w:rPr>
          <w:rFonts w:ascii="ITC Avant Garde" w:hAnsi="ITC Avant Garde"/>
          <w:bCs/>
          <w:sz w:val="22"/>
          <w:szCs w:val="22"/>
        </w:rPr>
        <w:t>combinador</w:t>
      </w:r>
      <w:proofErr w:type="spellEnd"/>
      <w:r w:rsidR="00071180" w:rsidRPr="008A514A">
        <w:rPr>
          <w:rFonts w:ascii="ITC Avant Garde" w:hAnsi="ITC Avant Garde"/>
          <w:bCs/>
          <w:sz w:val="22"/>
          <w:szCs w:val="22"/>
        </w:rPr>
        <w:t xml:space="preserve"> dentro del repetidor, sólo se estaría logrando una separación de 25 kHz entre las portadoras de dichos</w:t>
      </w:r>
      <w:r w:rsidR="00B71F11" w:rsidRPr="008A514A">
        <w:rPr>
          <w:rFonts w:ascii="ITC Avant Garde" w:hAnsi="ITC Avant Garde"/>
          <w:bCs/>
          <w:sz w:val="22"/>
          <w:szCs w:val="22"/>
        </w:rPr>
        <w:t xml:space="preserve"> </w:t>
      </w:r>
      <w:r w:rsidR="00071180" w:rsidRPr="008A514A">
        <w:rPr>
          <w:rFonts w:ascii="ITC Avant Garde" w:hAnsi="ITC Avant Garde"/>
          <w:bCs/>
          <w:sz w:val="22"/>
          <w:szCs w:val="22"/>
        </w:rPr>
        <w:t>grupos de frecuencia, por lo que no se obtiene la separación en frecuencias pre</w:t>
      </w:r>
      <w:r w:rsidR="00B71F11" w:rsidRPr="008A514A">
        <w:rPr>
          <w:rFonts w:ascii="ITC Avant Garde" w:hAnsi="ITC Avant Garde"/>
          <w:bCs/>
          <w:sz w:val="22"/>
          <w:szCs w:val="22"/>
        </w:rPr>
        <w:t>vista</w:t>
      </w:r>
      <w:r w:rsidR="00071180" w:rsidRPr="008A514A">
        <w:rPr>
          <w:rFonts w:ascii="ITC Avant Garde" w:hAnsi="ITC Avant Garde"/>
          <w:bCs/>
          <w:sz w:val="22"/>
          <w:szCs w:val="22"/>
        </w:rPr>
        <w:t xml:space="preserve"> en el plan de canalización antes mencionado. En tal caso,</w:t>
      </w:r>
      <w:r w:rsidRPr="008A514A">
        <w:rPr>
          <w:rFonts w:ascii="ITC Avant Garde" w:hAnsi="ITC Avant Garde"/>
          <w:bCs/>
          <w:sz w:val="22"/>
          <w:szCs w:val="22"/>
        </w:rPr>
        <w:t xml:space="preserve"> s</w:t>
      </w:r>
      <w:r w:rsidR="00643F35" w:rsidRPr="008A514A">
        <w:rPr>
          <w:rFonts w:ascii="ITC Avant Garde" w:hAnsi="ITC Avant Garde"/>
          <w:bCs/>
          <w:sz w:val="22"/>
          <w:szCs w:val="22"/>
        </w:rPr>
        <w:t>ó</w:t>
      </w:r>
      <w:r w:rsidRPr="008A514A">
        <w:rPr>
          <w:rFonts w:ascii="ITC Avant Garde" w:hAnsi="ITC Avant Garde"/>
          <w:bCs/>
          <w:sz w:val="22"/>
          <w:szCs w:val="22"/>
        </w:rPr>
        <w:t>lo se pueden configurar hasta 5 canales</w:t>
      </w:r>
      <w:r w:rsidR="00FC0A40" w:rsidRPr="008A514A">
        <w:rPr>
          <w:rFonts w:ascii="ITC Avant Garde" w:hAnsi="ITC Avant Garde"/>
          <w:bCs/>
          <w:sz w:val="22"/>
          <w:szCs w:val="22"/>
        </w:rPr>
        <w:t xml:space="preserve"> </w:t>
      </w:r>
      <w:r w:rsidR="004C53F4" w:rsidRPr="008A514A">
        <w:rPr>
          <w:rFonts w:ascii="ITC Avant Garde" w:hAnsi="ITC Avant Garde"/>
          <w:bCs/>
          <w:sz w:val="22"/>
          <w:szCs w:val="22"/>
        </w:rPr>
        <w:t xml:space="preserve">por repetidor, </w:t>
      </w:r>
      <w:r w:rsidR="00FC0A40" w:rsidRPr="008A514A">
        <w:rPr>
          <w:rFonts w:ascii="ITC Avant Garde" w:hAnsi="ITC Avant Garde"/>
          <w:bCs/>
          <w:sz w:val="22"/>
          <w:szCs w:val="22"/>
        </w:rPr>
        <w:t xml:space="preserve">de </w:t>
      </w:r>
      <w:r w:rsidR="004C53F4" w:rsidRPr="008A514A">
        <w:rPr>
          <w:rFonts w:ascii="ITC Avant Garde" w:hAnsi="ITC Avant Garde"/>
          <w:bCs/>
          <w:sz w:val="22"/>
          <w:szCs w:val="22"/>
        </w:rPr>
        <w:t xml:space="preserve">los </w:t>
      </w:r>
      <w:r w:rsidR="00FC0A40" w:rsidRPr="008A514A">
        <w:rPr>
          <w:rFonts w:ascii="ITC Avant Garde" w:hAnsi="ITC Avant Garde"/>
          <w:bCs/>
          <w:sz w:val="22"/>
          <w:szCs w:val="22"/>
        </w:rPr>
        <w:t>10 canales</w:t>
      </w:r>
      <w:r w:rsidR="004C53F4" w:rsidRPr="008A514A">
        <w:rPr>
          <w:rFonts w:ascii="ITC Avant Garde" w:hAnsi="ITC Avant Garde"/>
          <w:bCs/>
          <w:sz w:val="22"/>
          <w:szCs w:val="22"/>
        </w:rPr>
        <w:t xml:space="preserve"> asignados a dicho </w:t>
      </w:r>
      <w:r w:rsidR="00C41B21" w:rsidRPr="008A514A">
        <w:rPr>
          <w:rFonts w:ascii="ITC Avant Garde" w:hAnsi="ITC Avant Garde"/>
          <w:bCs/>
          <w:sz w:val="22"/>
          <w:szCs w:val="22"/>
        </w:rPr>
        <w:t>M</w:t>
      </w:r>
      <w:r w:rsidR="004C53F4" w:rsidRPr="008A514A">
        <w:rPr>
          <w:rFonts w:ascii="ITC Avant Garde" w:hAnsi="ITC Avant Garde"/>
          <w:bCs/>
          <w:sz w:val="22"/>
          <w:szCs w:val="22"/>
        </w:rPr>
        <w:t>unicipio</w:t>
      </w:r>
      <w:r w:rsidRPr="008A514A">
        <w:rPr>
          <w:rFonts w:ascii="ITC Avant Garde" w:hAnsi="ITC Avant Garde"/>
          <w:bCs/>
          <w:sz w:val="22"/>
          <w:szCs w:val="22"/>
        </w:rPr>
        <w:t xml:space="preserve">, ya que al ocupar frecuencias de </w:t>
      </w:r>
      <w:r w:rsidR="004C53F4" w:rsidRPr="008A514A">
        <w:rPr>
          <w:rFonts w:ascii="ITC Avant Garde" w:hAnsi="ITC Avant Garde"/>
          <w:bCs/>
          <w:sz w:val="22"/>
          <w:szCs w:val="22"/>
        </w:rPr>
        <w:t xml:space="preserve">ambos </w:t>
      </w:r>
      <w:r w:rsidRPr="008A514A">
        <w:rPr>
          <w:rFonts w:ascii="ITC Avant Garde" w:hAnsi="ITC Avant Garde"/>
          <w:bCs/>
          <w:sz w:val="22"/>
          <w:szCs w:val="22"/>
        </w:rPr>
        <w:t xml:space="preserve">grupos </w:t>
      </w:r>
      <w:r w:rsidR="002B3726" w:rsidRPr="008A514A">
        <w:rPr>
          <w:rFonts w:ascii="ITC Avant Garde" w:hAnsi="ITC Avant Garde"/>
          <w:bCs/>
          <w:sz w:val="22"/>
          <w:szCs w:val="22"/>
        </w:rPr>
        <w:t xml:space="preserve">de frecuencias autorizados (21 </w:t>
      </w:r>
      <w:r w:rsidR="004C53F4" w:rsidRPr="008A514A">
        <w:rPr>
          <w:rFonts w:ascii="ITC Avant Garde" w:hAnsi="ITC Avant Garde"/>
          <w:bCs/>
          <w:sz w:val="22"/>
          <w:szCs w:val="22"/>
        </w:rPr>
        <w:t>y</w:t>
      </w:r>
      <w:r w:rsidRPr="008A514A">
        <w:rPr>
          <w:rFonts w:ascii="ITC Avant Garde" w:hAnsi="ITC Avant Garde"/>
          <w:bCs/>
          <w:sz w:val="22"/>
          <w:szCs w:val="22"/>
        </w:rPr>
        <w:t xml:space="preserve"> 22), no se tiene la debida separación entre portadoras de transmisión</w:t>
      </w:r>
      <w:r w:rsidR="00071180" w:rsidRPr="008A514A">
        <w:rPr>
          <w:rFonts w:ascii="ITC Avant Garde" w:hAnsi="ITC Avant Garde"/>
          <w:bCs/>
          <w:sz w:val="22"/>
          <w:szCs w:val="22"/>
        </w:rPr>
        <w:t>, lo cual implica no hacer un uso eficiente del espectro radioeléctrico</w:t>
      </w:r>
      <w:r w:rsidRPr="008A514A">
        <w:rPr>
          <w:rFonts w:ascii="ITC Avant Garde" w:hAnsi="ITC Avant Garde"/>
          <w:bCs/>
          <w:sz w:val="22"/>
          <w:szCs w:val="22"/>
        </w:rPr>
        <w:t>.</w:t>
      </w:r>
    </w:p>
    <w:p w:rsidR="008A514A" w:rsidRPr="008A514A" w:rsidRDefault="00DE5791" w:rsidP="008A514A">
      <w:pPr>
        <w:pStyle w:val="Default"/>
        <w:spacing w:before="240" w:after="200"/>
        <w:ind w:right="48"/>
        <w:jc w:val="both"/>
        <w:rPr>
          <w:rFonts w:ascii="ITC Avant Garde" w:hAnsi="ITC Avant Garde"/>
          <w:bCs/>
          <w:sz w:val="22"/>
          <w:szCs w:val="22"/>
        </w:rPr>
      </w:pPr>
      <w:r w:rsidRPr="008A514A">
        <w:rPr>
          <w:rFonts w:ascii="ITC Avant Garde" w:hAnsi="ITC Avant Garde"/>
          <w:bCs/>
          <w:sz w:val="22"/>
          <w:szCs w:val="22"/>
        </w:rPr>
        <w:t>Por otra parte, del análisis realizado por la Dirección General de Ingeniería del Espectro y Estudios Técnicos de la Unidad de Espectro Radioeléctrico, se concluye que en caso de modificar un grupo de frecuencias en el Municipio de Monterrey, se requiere la modificación del grupo de frecuencias definido para algunos Municipios pertenecientes al tramo carretero Monterrey-Reynosa, debido a la cobertura del sitio de repetición de Monterrey.</w:t>
      </w:r>
    </w:p>
    <w:p w:rsidR="008A514A" w:rsidRPr="008A514A" w:rsidRDefault="00830379" w:rsidP="008A514A">
      <w:pPr>
        <w:autoSpaceDE w:val="0"/>
        <w:autoSpaceDN w:val="0"/>
        <w:adjustRightInd w:val="0"/>
        <w:spacing w:before="240" w:line="240" w:lineRule="auto"/>
        <w:jc w:val="both"/>
        <w:rPr>
          <w:rFonts w:ascii="ITC Avant Garde" w:hAnsi="ITC Avant Garde" w:cs="Tahoma"/>
          <w:bCs/>
          <w:lang w:eastAsia="es-MX"/>
        </w:rPr>
      </w:pPr>
      <w:r w:rsidRPr="008A514A">
        <w:rPr>
          <w:rFonts w:ascii="ITC Avant Garde" w:hAnsi="ITC Avant Garde" w:cs="Tahoma"/>
          <w:bCs/>
          <w:lang w:eastAsia="es-MX"/>
        </w:rPr>
        <w:t>Por lo anterior</w:t>
      </w:r>
      <w:r w:rsidR="009312DC" w:rsidRPr="008A514A">
        <w:rPr>
          <w:rFonts w:ascii="ITC Avant Garde" w:hAnsi="ITC Avant Garde" w:cs="Tahoma"/>
          <w:bCs/>
          <w:lang w:eastAsia="es-MX"/>
        </w:rPr>
        <w:t>, se considera pr</w:t>
      </w:r>
      <w:r w:rsidRPr="008A514A">
        <w:rPr>
          <w:rFonts w:ascii="ITC Avant Garde" w:hAnsi="ITC Avant Garde" w:cs="Tahoma"/>
          <w:bCs/>
          <w:lang w:eastAsia="es-MX"/>
        </w:rPr>
        <w:t xml:space="preserve">ocedente autorizar la Solicitud de Cambio de Bandas </w:t>
      </w:r>
      <w:r w:rsidR="009312DC" w:rsidRPr="008A514A">
        <w:rPr>
          <w:rFonts w:ascii="ITC Avant Garde" w:hAnsi="ITC Avant Garde" w:cs="Tahoma"/>
          <w:bCs/>
          <w:lang w:eastAsia="es-MX"/>
        </w:rPr>
        <w:t xml:space="preserve">en los términos propuestos por la Dirección General de Ingeniería y Estudios Técnicos de la Unidad de Espectro Radioeléctrico, </w:t>
      </w:r>
      <w:r w:rsidRPr="008A514A">
        <w:rPr>
          <w:rFonts w:ascii="ITC Avant Garde" w:hAnsi="ITC Avant Garde" w:cs="Tahoma"/>
          <w:bCs/>
          <w:lang w:eastAsia="es-MX"/>
        </w:rPr>
        <w:t>cambiando únicamente el grupo 22 por el grupo 16 en los siguientes M</w:t>
      </w:r>
      <w:r w:rsidR="00754CDC" w:rsidRPr="008A514A">
        <w:rPr>
          <w:rFonts w:ascii="ITC Avant Garde" w:hAnsi="ITC Avant Garde" w:cs="Tahoma"/>
          <w:bCs/>
          <w:lang w:eastAsia="es-MX"/>
        </w:rPr>
        <w:t>unicipios del E</w:t>
      </w:r>
      <w:r w:rsidRPr="008A514A">
        <w:rPr>
          <w:rFonts w:ascii="ITC Avant Garde" w:hAnsi="ITC Avant Garde" w:cs="Tahoma"/>
          <w:bCs/>
          <w:lang w:eastAsia="es-MX"/>
        </w:rPr>
        <w:t xml:space="preserve">stado de Nuevo León: Monterrey, Guadalupe, Juárez, Cadereyta de Jiménez y Los Ramones. </w:t>
      </w:r>
    </w:p>
    <w:p w:rsidR="008A514A" w:rsidRPr="008A514A" w:rsidRDefault="009312DC" w:rsidP="008A514A">
      <w:pPr>
        <w:spacing w:before="240" w:line="240" w:lineRule="auto"/>
        <w:jc w:val="both"/>
        <w:rPr>
          <w:rFonts w:ascii="ITC Avant Garde" w:hAnsi="ITC Avant Garde"/>
          <w:bCs/>
          <w:color w:val="000000"/>
          <w:lang w:eastAsia="es-MX"/>
        </w:rPr>
      </w:pPr>
      <w:r w:rsidRPr="008A514A">
        <w:rPr>
          <w:rFonts w:ascii="ITC Avant Garde" w:hAnsi="ITC Avant Garde" w:cs="Tahoma"/>
          <w:bCs/>
          <w:lang w:eastAsia="es-MX"/>
        </w:rPr>
        <w:t xml:space="preserve">Finalmente, </w:t>
      </w:r>
      <w:r w:rsidR="00BD5294" w:rsidRPr="008A514A">
        <w:rPr>
          <w:rFonts w:ascii="ITC Avant Garde" w:hAnsi="ITC Avant Garde" w:cs="Tahoma"/>
          <w:bCs/>
          <w:lang w:eastAsia="es-MX"/>
        </w:rPr>
        <w:t>Radiocomunicaciones y Servicios, S.A. de C.V. presentó al Instituto la factura número 160004030</w:t>
      </w:r>
      <w:r w:rsidRPr="008A514A">
        <w:rPr>
          <w:rFonts w:ascii="ITC Avant Garde" w:hAnsi="ITC Avant Garde" w:cs="Tahoma"/>
          <w:bCs/>
          <w:lang w:eastAsia="es-MX"/>
        </w:rPr>
        <w:t>, por concepto del</w:t>
      </w:r>
      <w:r w:rsidR="00BD5294" w:rsidRPr="008A514A">
        <w:rPr>
          <w:rFonts w:ascii="ITC Avant Garde" w:hAnsi="ITC Avant Garde" w:cs="Tahoma"/>
          <w:bCs/>
          <w:lang w:eastAsia="es-MX"/>
        </w:rPr>
        <w:t xml:space="preserve"> pago de derechos por el </w:t>
      </w:r>
      <w:r w:rsidR="00BD5294" w:rsidRPr="008A514A">
        <w:rPr>
          <w:rFonts w:ascii="ITC Avant Garde" w:hAnsi="ITC Avant Garde"/>
          <w:bCs/>
          <w:color w:val="000000" w:themeColor="text1"/>
          <w:lang w:eastAsia="es-MX"/>
        </w:rPr>
        <w:t>estudio y, en su caso, la autorización del cambio de canal, frecuencias, bandas de frecuencias o recursos orbitales</w:t>
      </w:r>
      <w:r w:rsidR="00BD5294" w:rsidRPr="008A514A">
        <w:rPr>
          <w:rFonts w:ascii="ITC Avant Garde" w:hAnsi="ITC Avant Garde"/>
          <w:bCs/>
          <w:color w:val="000000"/>
          <w:lang w:eastAsia="es-MX"/>
        </w:rPr>
        <w:t>, aplicable a la Solicitud de Cambio de Bandas.</w:t>
      </w:r>
    </w:p>
    <w:p w:rsidR="008A514A" w:rsidRPr="008A514A" w:rsidRDefault="009312DC" w:rsidP="008A514A">
      <w:pPr>
        <w:autoSpaceDE w:val="0"/>
        <w:autoSpaceDN w:val="0"/>
        <w:adjustRightInd w:val="0"/>
        <w:spacing w:before="240" w:line="240" w:lineRule="auto"/>
        <w:jc w:val="both"/>
        <w:rPr>
          <w:rFonts w:ascii="ITC Avant Garde" w:hAnsi="ITC Avant Garde"/>
          <w:bCs/>
        </w:rPr>
      </w:pPr>
      <w:r w:rsidRPr="008A514A">
        <w:rPr>
          <w:rFonts w:ascii="ITC Avant Garde" w:hAnsi="ITC Avant Garde"/>
          <w:bCs/>
        </w:rPr>
        <w:lastRenderedPageBreak/>
        <w:t>Por lo anteriormente señalado, y con fundamento en los artículos 6o. Apartado B fracción II, 28 párrafos décimo quinto y décimo sexto de la Constitución Política de los Estados Unidos Mexicanos; 6 fracción IV, 15 fracción XV, 54,</w:t>
      </w:r>
      <w:r w:rsidR="001554D9" w:rsidRPr="008A514A">
        <w:rPr>
          <w:rFonts w:ascii="ITC Avant Garde" w:hAnsi="ITC Avant Garde"/>
          <w:bCs/>
        </w:rPr>
        <w:t xml:space="preserve"> 56</w:t>
      </w:r>
      <w:r w:rsidRPr="008A514A">
        <w:rPr>
          <w:rFonts w:ascii="ITC Avant Garde" w:hAnsi="ITC Avant Garde"/>
          <w:bCs/>
        </w:rPr>
        <w:t xml:space="preserve"> 106, y 177 fracciones I y </w:t>
      </w:r>
      <w:r w:rsidR="001554D9" w:rsidRPr="008A514A">
        <w:rPr>
          <w:rFonts w:ascii="ITC Avant Garde" w:hAnsi="ITC Avant Garde"/>
          <w:bCs/>
        </w:rPr>
        <w:t>VI</w:t>
      </w:r>
      <w:r w:rsidRPr="008A514A">
        <w:rPr>
          <w:rFonts w:ascii="ITC Avant Garde" w:hAnsi="ITC Avant Garde"/>
          <w:bCs/>
        </w:rPr>
        <w:t xml:space="preserve"> de la Ley Federal de Telecomunicaciones y Radiodifusión; 35 fracción I, 36, 38 y 39 de la Ley Federal de Procedimiento Administrativo; </w:t>
      </w:r>
      <w:r w:rsidR="001554D9" w:rsidRPr="008A514A">
        <w:rPr>
          <w:rFonts w:ascii="ITC Avant Garde" w:hAnsi="ITC Avant Garde"/>
          <w:bCs/>
          <w:color w:val="000000"/>
          <w:lang w:eastAsia="es-MX"/>
        </w:rPr>
        <w:t>174-C</w:t>
      </w:r>
      <w:r w:rsidRPr="008A514A">
        <w:rPr>
          <w:rFonts w:ascii="ITC Avant Garde" w:hAnsi="ITC Avant Garde"/>
          <w:bCs/>
          <w:color w:val="000000"/>
          <w:lang w:eastAsia="es-MX"/>
        </w:rPr>
        <w:t xml:space="preserve"> fracción </w:t>
      </w:r>
      <w:r w:rsidR="001554D9" w:rsidRPr="008A514A">
        <w:rPr>
          <w:rFonts w:ascii="ITC Avant Garde" w:hAnsi="ITC Avant Garde"/>
          <w:bCs/>
          <w:color w:val="000000"/>
          <w:lang w:eastAsia="es-MX"/>
        </w:rPr>
        <w:t>X</w:t>
      </w:r>
      <w:r w:rsidRPr="008A514A">
        <w:rPr>
          <w:rFonts w:ascii="ITC Avant Garde" w:hAnsi="ITC Avant Garde"/>
          <w:bCs/>
          <w:color w:val="000000"/>
          <w:lang w:eastAsia="es-MX"/>
        </w:rPr>
        <w:t xml:space="preserve"> </w:t>
      </w:r>
      <w:r w:rsidRPr="008A514A">
        <w:rPr>
          <w:rFonts w:ascii="ITC Avant Garde" w:hAnsi="ITC Avant Garde"/>
          <w:bCs/>
        </w:rPr>
        <w:t>de la Ley Federal de Derechos;</w:t>
      </w:r>
      <w:r w:rsidRPr="008A514A">
        <w:rPr>
          <w:rFonts w:ascii="ITC Avant Garde" w:hAnsi="ITC Avant Garde"/>
          <w:bCs/>
          <w:color w:val="000000"/>
          <w:lang w:eastAsia="es-MX"/>
        </w:rPr>
        <w:t xml:space="preserve"> </w:t>
      </w:r>
      <w:r w:rsidRPr="008A514A">
        <w:rPr>
          <w:rFonts w:ascii="ITC Avant Garde" w:hAnsi="ITC Avant Garde"/>
          <w:bCs/>
        </w:rPr>
        <w:t>1, 6 fracciones I y XXXVII</w:t>
      </w:r>
      <w:r w:rsidR="001554D9" w:rsidRPr="008A514A">
        <w:rPr>
          <w:rFonts w:ascii="ITC Avant Garde" w:hAnsi="ITC Avant Garde"/>
          <w:bCs/>
        </w:rPr>
        <w:t>I</w:t>
      </w:r>
      <w:r w:rsidRPr="008A514A">
        <w:rPr>
          <w:rFonts w:ascii="ITC Avant Garde" w:hAnsi="ITC Avant Garde"/>
          <w:bCs/>
        </w:rPr>
        <w:t>, 32 y 33 fracción XIV del Estatuto Orgánico del Instituto Federal de Telecomunicaciones;</w:t>
      </w:r>
      <w:r w:rsidRPr="008A514A">
        <w:rPr>
          <w:rFonts w:ascii="ITC Avant Garde" w:hAnsi="ITC Avant Garde" w:cs="Tahoma"/>
          <w:bCs/>
          <w:lang w:eastAsia="es-MX"/>
        </w:rPr>
        <w:t xml:space="preserve"> </w:t>
      </w:r>
      <w:r w:rsidRPr="008A514A">
        <w:rPr>
          <w:rFonts w:ascii="ITC Avant Garde" w:hAnsi="ITC Avant Garde"/>
          <w:bCs/>
        </w:rPr>
        <w:t>este órgano autónomo emite los siguientes:</w:t>
      </w:r>
    </w:p>
    <w:p w:rsidR="008A514A" w:rsidRPr="008A514A" w:rsidRDefault="009312DC" w:rsidP="008A514A">
      <w:pPr>
        <w:pStyle w:val="Ttulo2"/>
        <w:spacing w:after="240"/>
        <w:jc w:val="center"/>
        <w:rPr>
          <w:rFonts w:ascii="ITC Avant Garde" w:hAnsi="ITC Avant Garde"/>
          <w:b/>
          <w:color w:val="000000" w:themeColor="text1"/>
          <w:sz w:val="22"/>
          <w:szCs w:val="22"/>
        </w:rPr>
      </w:pPr>
      <w:r w:rsidRPr="008A514A">
        <w:rPr>
          <w:rFonts w:ascii="ITC Avant Garde" w:hAnsi="ITC Avant Garde"/>
          <w:b/>
          <w:color w:val="000000" w:themeColor="text1"/>
          <w:sz w:val="22"/>
          <w:szCs w:val="22"/>
        </w:rPr>
        <w:t>RESOLUTIVOS</w:t>
      </w:r>
    </w:p>
    <w:p w:rsidR="00FB77DD" w:rsidRPr="008A514A" w:rsidRDefault="009312DC" w:rsidP="008A514A">
      <w:pPr>
        <w:autoSpaceDE w:val="0"/>
        <w:autoSpaceDN w:val="0"/>
        <w:adjustRightInd w:val="0"/>
        <w:spacing w:before="240" w:line="240" w:lineRule="auto"/>
        <w:jc w:val="both"/>
        <w:rPr>
          <w:rFonts w:ascii="ITC Avant Garde" w:hAnsi="ITC Avant Garde"/>
          <w:bCs/>
          <w:color w:val="000000"/>
          <w:lang w:eastAsia="es-MX"/>
        </w:rPr>
      </w:pPr>
      <w:r w:rsidRPr="008A514A">
        <w:rPr>
          <w:rFonts w:ascii="ITC Avant Garde" w:hAnsi="ITC Avant Garde"/>
          <w:b/>
          <w:bCs/>
        </w:rPr>
        <w:t>PRIMERO.-</w:t>
      </w:r>
      <w:r w:rsidRPr="008A514A">
        <w:rPr>
          <w:rFonts w:ascii="ITC Avant Garde" w:hAnsi="ITC Avant Garde"/>
          <w:bCs/>
        </w:rPr>
        <w:t xml:space="preserve"> Se autoriza a </w:t>
      </w:r>
      <w:r w:rsidR="00FB77DD" w:rsidRPr="008A514A">
        <w:rPr>
          <w:rFonts w:ascii="ITC Avant Garde" w:hAnsi="ITC Avant Garde"/>
          <w:bCs/>
          <w:color w:val="000000"/>
          <w:lang w:eastAsia="es-MX"/>
        </w:rPr>
        <w:t>Radiocomunicaciones y Servicios, S.A. de C.V.</w:t>
      </w:r>
      <w:r w:rsidRPr="008A514A">
        <w:rPr>
          <w:rFonts w:ascii="ITC Avant Garde" w:hAnsi="ITC Avant Garde"/>
          <w:bCs/>
          <w:color w:val="000000"/>
          <w:lang w:eastAsia="es-MX"/>
        </w:rPr>
        <w:t xml:space="preserve"> el cambio de las bandas de frecuencias que tiene concesionadas al amparo </w:t>
      </w:r>
      <w:r w:rsidR="00FB77DD" w:rsidRPr="008A514A">
        <w:rPr>
          <w:rFonts w:ascii="ITC Avant Garde" w:hAnsi="ITC Avant Garde"/>
          <w:bCs/>
          <w:color w:val="000000"/>
          <w:lang w:eastAsia="es-MX"/>
        </w:rPr>
        <w:t>del título de concesión para usar, aprovechar y explotar bandas de frecuencias del espectro radioeléctrico para uso comercial,</w:t>
      </w:r>
      <w:r w:rsidR="000B6B24" w:rsidRPr="008A514A">
        <w:rPr>
          <w:rFonts w:ascii="ITC Avant Garde" w:hAnsi="ITC Avant Garde"/>
          <w:bCs/>
          <w:color w:val="000000"/>
          <w:lang w:eastAsia="es-MX"/>
        </w:rPr>
        <w:t xml:space="preserve"> otorgado por el Instituto Federal de Telecomunicaciones el 6 de junio de 2016,</w:t>
      </w:r>
      <w:r w:rsidR="00FB77DD" w:rsidRPr="008A514A">
        <w:rPr>
          <w:rFonts w:ascii="ITC Avant Garde" w:hAnsi="ITC Avant Garde"/>
          <w:bCs/>
          <w:color w:val="000000"/>
          <w:lang w:eastAsia="es-MX"/>
        </w:rPr>
        <w:t xml:space="preserve"> con una vigencia de 20 </w:t>
      </w:r>
      <w:r w:rsidR="008155AA" w:rsidRPr="008A514A">
        <w:rPr>
          <w:rFonts w:ascii="ITC Avant Garde" w:hAnsi="ITC Avant Garde"/>
          <w:bCs/>
          <w:color w:val="000000"/>
          <w:lang w:eastAsia="es-MX"/>
        </w:rPr>
        <w:t xml:space="preserve">(veinte) </w:t>
      </w:r>
      <w:r w:rsidR="00FB77DD" w:rsidRPr="008A514A">
        <w:rPr>
          <w:rFonts w:ascii="ITC Avant Garde" w:hAnsi="ITC Avant Garde"/>
          <w:bCs/>
          <w:color w:val="000000"/>
          <w:lang w:eastAsia="es-MX"/>
        </w:rPr>
        <w:t xml:space="preserve">años, contados a partir del 4 de junio de 2009, para la prestación del servicio móvil de radiocomunicación especializada de flotillas, </w:t>
      </w:r>
      <w:r w:rsidR="008A0227" w:rsidRPr="008A514A">
        <w:rPr>
          <w:rFonts w:ascii="ITC Avant Garde" w:hAnsi="ITC Avant Garde"/>
          <w:bCs/>
          <w:color w:val="000000"/>
          <w:lang w:eastAsia="es-MX"/>
        </w:rPr>
        <w:t xml:space="preserve">para sustituir el grupo 22 por el grupo 16 en los Municipios de </w:t>
      </w:r>
      <w:r w:rsidR="008A0227" w:rsidRPr="008A514A">
        <w:rPr>
          <w:rFonts w:ascii="ITC Avant Garde" w:hAnsi="ITC Avant Garde" w:cs="Tahoma"/>
          <w:bCs/>
          <w:lang w:eastAsia="es-MX"/>
        </w:rPr>
        <w:t xml:space="preserve">Monterrey, Guadalupe, Juárez, Cadereyta de Jiménez y Los Ramones, en el Estado de Nuevo León, </w:t>
      </w:r>
      <w:r w:rsidR="00FB77DD" w:rsidRPr="008A514A">
        <w:rPr>
          <w:rFonts w:ascii="ITC Avant Garde" w:hAnsi="ITC Avant Garde"/>
          <w:bCs/>
          <w:color w:val="000000"/>
          <w:lang w:eastAsia="es-MX"/>
        </w:rPr>
        <w:t>de conformidad con el siguiente cuadro</w:t>
      </w:r>
      <w:r w:rsidR="00692844" w:rsidRPr="008A514A">
        <w:rPr>
          <w:rFonts w:ascii="ITC Avant Garde" w:hAnsi="ITC Avant Garde"/>
          <w:bCs/>
          <w:color w:val="000000"/>
          <w:lang w:eastAsia="es-MX"/>
        </w:rPr>
        <w:t xml:space="preserve"> y el Anexo de la presente Resolución</w:t>
      </w:r>
      <w:r w:rsidR="00FB77DD" w:rsidRPr="008A514A">
        <w:rPr>
          <w:rFonts w:ascii="ITC Avant Garde" w:hAnsi="ITC Avant Garde"/>
          <w:bCs/>
          <w:color w:val="000000"/>
          <w:lang w:eastAsia="es-MX"/>
        </w:rPr>
        <w:t>:</w:t>
      </w:r>
    </w:p>
    <w:tbl>
      <w:tblPr>
        <w:tblStyle w:val="Tablaconcuadrcula"/>
        <w:tblW w:w="7347" w:type="dxa"/>
        <w:jc w:val="center"/>
        <w:tblLayout w:type="fixed"/>
        <w:tblLook w:val="04A0" w:firstRow="1" w:lastRow="0" w:firstColumn="1" w:lastColumn="0" w:noHBand="0" w:noVBand="1"/>
        <w:tblCaption w:val="Cambio de las bandas de frecuencias aprobado"/>
        <w:tblDescription w:val="En una tabla de 3 columnas, se proporcionan los cambios de las bandas de frecuencias aprobados y concesionadas al amparo del título de concesión."/>
      </w:tblPr>
      <w:tblGrid>
        <w:gridCol w:w="1555"/>
        <w:gridCol w:w="4110"/>
        <w:gridCol w:w="1682"/>
      </w:tblGrid>
      <w:tr w:rsidR="00FB77DD" w:rsidRPr="008A514A" w:rsidTr="00271761">
        <w:trPr>
          <w:trHeight w:val="533"/>
          <w:tblHeader/>
          <w:jc w:val="center"/>
        </w:trPr>
        <w:tc>
          <w:tcPr>
            <w:tcW w:w="1555" w:type="dxa"/>
            <w:shd w:val="clear" w:color="auto" w:fill="BFBFBF" w:themeFill="background1" w:themeFillShade="BF"/>
            <w:vAlign w:val="center"/>
          </w:tcPr>
          <w:p w:rsidR="00FB77DD" w:rsidRPr="008A514A" w:rsidRDefault="00FB77DD" w:rsidP="00271761">
            <w:pPr>
              <w:pStyle w:val="Default"/>
              <w:tabs>
                <w:tab w:val="left" w:pos="171"/>
              </w:tabs>
              <w:ind w:right="29"/>
              <w:jc w:val="center"/>
              <w:rPr>
                <w:rFonts w:ascii="ITC Avant Garde" w:hAnsi="ITC Avant Garde"/>
                <w:b/>
                <w:bCs/>
                <w:sz w:val="18"/>
                <w:szCs w:val="18"/>
              </w:rPr>
            </w:pPr>
            <w:r w:rsidRPr="008A514A">
              <w:rPr>
                <w:rFonts w:ascii="ITC Avant Garde" w:hAnsi="ITC Avant Garde"/>
                <w:b/>
                <w:bCs/>
                <w:sz w:val="18"/>
                <w:szCs w:val="18"/>
              </w:rPr>
              <w:t>Estado</w:t>
            </w:r>
          </w:p>
        </w:tc>
        <w:tc>
          <w:tcPr>
            <w:tcW w:w="4110" w:type="dxa"/>
            <w:shd w:val="clear" w:color="auto" w:fill="BFBFBF" w:themeFill="background1" w:themeFillShade="BF"/>
            <w:vAlign w:val="center"/>
          </w:tcPr>
          <w:p w:rsidR="00FB77DD" w:rsidRPr="008A514A" w:rsidRDefault="00FB77DD" w:rsidP="00271761">
            <w:pPr>
              <w:pStyle w:val="Default"/>
              <w:jc w:val="center"/>
              <w:rPr>
                <w:rFonts w:ascii="ITC Avant Garde" w:hAnsi="ITC Avant Garde"/>
                <w:b/>
                <w:bCs/>
                <w:sz w:val="18"/>
                <w:szCs w:val="18"/>
              </w:rPr>
            </w:pPr>
            <w:r w:rsidRPr="008A514A">
              <w:rPr>
                <w:rFonts w:ascii="ITC Avant Garde" w:hAnsi="ITC Avant Garde"/>
                <w:b/>
                <w:bCs/>
                <w:sz w:val="18"/>
                <w:szCs w:val="18"/>
              </w:rPr>
              <w:t>Municipio</w:t>
            </w:r>
          </w:p>
        </w:tc>
        <w:tc>
          <w:tcPr>
            <w:tcW w:w="1682" w:type="dxa"/>
            <w:shd w:val="clear" w:color="auto" w:fill="BFBFBF" w:themeFill="background1" w:themeFillShade="BF"/>
            <w:vAlign w:val="center"/>
          </w:tcPr>
          <w:p w:rsidR="00FB77DD" w:rsidRPr="008A514A" w:rsidRDefault="00FB77DD" w:rsidP="00271761">
            <w:pPr>
              <w:pStyle w:val="Default"/>
              <w:tabs>
                <w:tab w:val="left" w:pos="742"/>
              </w:tabs>
              <w:ind w:right="14"/>
              <w:jc w:val="center"/>
              <w:rPr>
                <w:rFonts w:ascii="ITC Avant Garde" w:hAnsi="ITC Avant Garde"/>
                <w:b/>
                <w:bCs/>
                <w:sz w:val="18"/>
                <w:szCs w:val="18"/>
              </w:rPr>
            </w:pPr>
            <w:r w:rsidRPr="008A514A">
              <w:rPr>
                <w:rFonts w:ascii="ITC Avant Garde" w:hAnsi="ITC Avant Garde"/>
                <w:b/>
                <w:bCs/>
                <w:sz w:val="18"/>
                <w:szCs w:val="18"/>
              </w:rPr>
              <w:t>Grupo de frecuencia</w:t>
            </w:r>
          </w:p>
        </w:tc>
      </w:tr>
      <w:tr w:rsidR="00FB77DD" w:rsidRPr="008A514A" w:rsidTr="00271761">
        <w:trPr>
          <w:trHeight w:val="1183"/>
          <w:jc w:val="center"/>
        </w:trPr>
        <w:tc>
          <w:tcPr>
            <w:tcW w:w="1555" w:type="dxa"/>
            <w:vAlign w:val="center"/>
            <w:hideMark/>
          </w:tcPr>
          <w:p w:rsidR="00FB77DD" w:rsidRPr="008A514A" w:rsidRDefault="00FB77DD" w:rsidP="00271761">
            <w:pPr>
              <w:pStyle w:val="Default"/>
              <w:ind w:right="29"/>
              <w:jc w:val="center"/>
              <w:rPr>
                <w:rFonts w:ascii="ITC Avant Garde" w:hAnsi="ITC Avant Garde"/>
                <w:bCs/>
                <w:sz w:val="18"/>
                <w:szCs w:val="18"/>
              </w:rPr>
            </w:pPr>
            <w:r w:rsidRPr="008A514A">
              <w:rPr>
                <w:rFonts w:ascii="ITC Avant Garde" w:hAnsi="ITC Avant Garde"/>
                <w:bCs/>
                <w:sz w:val="18"/>
                <w:szCs w:val="18"/>
              </w:rPr>
              <w:t>Nuevo León</w:t>
            </w:r>
          </w:p>
        </w:tc>
        <w:tc>
          <w:tcPr>
            <w:tcW w:w="4110" w:type="dxa"/>
            <w:hideMark/>
          </w:tcPr>
          <w:p w:rsidR="00FB77DD" w:rsidRPr="008A514A" w:rsidRDefault="00271761" w:rsidP="00271761">
            <w:pPr>
              <w:pStyle w:val="Default"/>
              <w:ind w:right="34"/>
              <w:jc w:val="both"/>
              <w:rPr>
                <w:rFonts w:ascii="ITC Avant Garde" w:hAnsi="ITC Avant Garde"/>
                <w:bCs/>
                <w:sz w:val="18"/>
                <w:szCs w:val="18"/>
              </w:rPr>
            </w:pPr>
            <w:r>
              <w:rPr>
                <w:rFonts w:ascii="ITC Avant Garde" w:hAnsi="ITC Avant Garde"/>
                <w:bCs/>
                <w:sz w:val="18"/>
                <w:szCs w:val="18"/>
              </w:rPr>
              <w:t xml:space="preserve">Apodaca, </w:t>
            </w:r>
            <w:r w:rsidR="00FB77DD" w:rsidRPr="008A514A">
              <w:rPr>
                <w:rFonts w:ascii="ITC Avant Garde" w:hAnsi="ITC Avant Garde"/>
                <w:bCs/>
                <w:sz w:val="18"/>
                <w:szCs w:val="18"/>
              </w:rPr>
              <w:t>General Escobedo, Salinas Victoria,  San Nico</w:t>
            </w:r>
            <w:bookmarkStart w:id="0" w:name="_GoBack"/>
            <w:bookmarkEnd w:id="0"/>
            <w:r w:rsidR="00FB77DD" w:rsidRPr="008A514A">
              <w:rPr>
                <w:rFonts w:ascii="ITC Avant Garde" w:hAnsi="ITC Avant Garde"/>
                <w:bCs/>
                <w:sz w:val="18"/>
                <w:szCs w:val="18"/>
              </w:rPr>
              <w:t xml:space="preserve">lás de los Garza, Santiago, General </w:t>
            </w:r>
            <w:proofErr w:type="spellStart"/>
            <w:r w:rsidR="00FB77DD" w:rsidRPr="008A514A">
              <w:rPr>
                <w:rFonts w:ascii="ITC Avant Garde" w:hAnsi="ITC Avant Garde"/>
                <w:bCs/>
                <w:sz w:val="18"/>
                <w:szCs w:val="18"/>
              </w:rPr>
              <w:t>Zauza</w:t>
            </w:r>
            <w:proofErr w:type="spellEnd"/>
            <w:r w:rsidR="00FB77DD" w:rsidRPr="008A514A">
              <w:rPr>
                <w:rFonts w:ascii="ITC Avant Garde" w:hAnsi="ITC Avant Garde"/>
                <w:bCs/>
                <w:sz w:val="18"/>
                <w:szCs w:val="18"/>
              </w:rPr>
              <w:t xml:space="preserve">, Ciénega de Flores, Sabinas Hidalgo,  Vallecillo, Anáhuac, Allende, Montemorelos,  </w:t>
            </w:r>
            <w:proofErr w:type="spellStart"/>
            <w:r w:rsidR="00FB77DD" w:rsidRPr="008A514A">
              <w:rPr>
                <w:rFonts w:ascii="ITC Avant Garde" w:hAnsi="ITC Avant Garde"/>
                <w:bCs/>
                <w:sz w:val="18"/>
                <w:szCs w:val="18"/>
              </w:rPr>
              <w:t>Hualahuises</w:t>
            </w:r>
            <w:proofErr w:type="spellEnd"/>
            <w:r w:rsidR="00FB77DD" w:rsidRPr="008A514A">
              <w:rPr>
                <w:rFonts w:ascii="ITC Avant Garde" w:hAnsi="ITC Avant Garde"/>
                <w:bCs/>
                <w:sz w:val="18"/>
                <w:szCs w:val="18"/>
              </w:rPr>
              <w:t xml:space="preserve"> y Linares.</w:t>
            </w:r>
          </w:p>
        </w:tc>
        <w:tc>
          <w:tcPr>
            <w:tcW w:w="1682" w:type="dxa"/>
            <w:hideMark/>
          </w:tcPr>
          <w:p w:rsidR="00FB77DD" w:rsidRPr="008A514A" w:rsidRDefault="00FB77DD" w:rsidP="00271761">
            <w:pPr>
              <w:pStyle w:val="Default"/>
              <w:ind w:right="14"/>
              <w:jc w:val="center"/>
              <w:rPr>
                <w:rFonts w:ascii="ITC Avant Garde" w:hAnsi="ITC Avant Garde"/>
                <w:bCs/>
                <w:sz w:val="18"/>
                <w:szCs w:val="18"/>
              </w:rPr>
            </w:pPr>
            <w:r w:rsidRPr="008A514A">
              <w:rPr>
                <w:rFonts w:ascii="ITC Avant Garde" w:hAnsi="ITC Avant Garde"/>
                <w:bCs/>
                <w:sz w:val="18"/>
                <w:szCs w:val="18"/>
              </w:rPr>
              <w:t>21</w:t>
            </w:r>
          </w:p>
        </w:tc>
      </w:tr>
      <w:tr w:rsidR="00271761" w:rsidRPr="008A514A" w:rsidTr="00271761">
        <w:trPr>
          <w:trHeight w:val="591"/>
          <w:jc w:val="center"/>
        </w:trPr>
        <w:tc>
          <w:tcPr>
            <w:tcW w:w="1555" w:type="dxa"/>
            <w:vAlign w:val="center"/>
            <w:hideMark/>
          </w:tcPr>
          <w:p w:rsidR="00271761" w:rsidRDefault="00271761" w:rsidP="00271761">
            <w:pPr>
              <w:jc w:val="center"/>
            </w:pPr>
            <w:r w:rsidRPr="00007CB1">
              <w:rPr>
                <w:rFonts w:ascii="ITC Avant Garde" w:hAnsi="ITC Avant Garde"/>
                <w:bCs/>
                <w:sz w:val="18"/>
                <w:szCs w:val="18"/>
              </w:rPr>
              <w:t>Nuevo León</w:t>
            </w:r>
          </w:p>
        </w:tc>
        <w:tc>
          <w:tcPr>
            <w:tcW w:w="4110" w:type="dxa"/>
            <w:hideMark/>
          </w:tcPr>
          <w:p w:rsidR="00271761" w:rsidRPr="008A514A" w:rsidRDefault="00271761" w:rsidP="00271761">
            <w:pPr>
              <w:pStyle w:val="Default"/>
              <w:ind w:right="34"/>
              <w:jc w:val="both"/>
              <w:rPr>
                <w:rFonts w:ascii="ITC Avant Garde" w:hAnsi="ITC Avant Garde"/>
                <w:bCs/>
                <w:sz w:val="18"/>
                <w:szCs w:val="18"/>
              </w:rPr>
            </w:pPr>
            <w:r w:rsidRPr="008A514A">
              <w:rPr>
                <w:rFonts w:ascii="ITC Avant Garde" w:hAnsi="ITC Avant Garde"/>
                <w:bCs/>
                <w:sz w:val="18"/>
                <w:szCs w:val="18"/>
              </w:rPr>
              <w:t>China, General Bravo y Dr. Coss.</w:t>
            </w:r>
          </w:p>
        </w:tc>
        <w:tc>
          <w:tcPr>
            <w:tcW w:w="1682" w:type="dxa"/>
            <w:hideMark/>
          </w:tcPr>
          <w:p w:rsidR="00271761" w:rsidRPr="008A514A" w:rsidRDefault="00271761" w:rsidP="00271761">
            <w:pPr>
              <w:pStyle w:val="Default"/>
              <w:ind w:right="14"/>
              <w:jc w:val="center"/>
              <w:rPr>
                <w:rFonts w:ascii="ITC Avant Garde" w:hAnsi="ITC Avant Garde"/>
                <w:bCs/>
                <w:sz w:val="18"/>
                <w:szCs w:val="18"/>
              </w:rPr>
            </w:pPr>
            <w:r w:rsidRPr="008A514A">
              <w:rPr>
                <w:rFonts w:ascii="ITC Avant Garde" w:hAnsi="ITC Avant Garde"/>
                <w:bCs/>
                <w:sz w:val="18"/>
                <w:szCs w:val="18"/>
              </w:rPr>
              <w:t>22</w:t>
            </w:r>
          </w:p>
        </w:tc>
      </w:tr>
      <w:tr w:rsidR="00271761" w:rsidRPr="008A514A" w:rsidTr="00271761">
        <w:trPr>
          <w:trHeight w:val="148"/>
          <w:jc w:val="center"/>
        </w:trPr>
        <w:tc>
          <w:tcPr>
            <w:tcW w:w="1555" w:type="dxa"/>
            <w:vAlign w:val="center"/>
            <w:hideMark/>
          </w:tcPr>
          <w:p w:rsidR="00271761" w:rsidRDefault="00271761" w:rsidP="00271761">
            <w:pPr>
              <w:jc w:val="center"/>
            </w:pPr>
            <w:r w:rsidRPr="00007CB1">
              <w:rPr>
                <w:rFonts w:ascii="ITC Avant Garde" w:hAnsi="ITC Avant Garde"/>
                <w:bCs/>
                <w:sz w:val="18"/>
                <w:szCs w:val="18"/>
              </w:rPr>
              <w:t>Nuevo León</w:t>
            </w:r>
          </w:p>
        </w:tc>
        <w:tc>
          <w:tcPr>
            <w:tcW w:w="4110" w:type="dxa"/>
            <w:hideMark/>
          </w:tcPr>
          <w:p w:rsidR="00271761" w:rsidRPr="008A514A" w:rsidRDefault="00271761" w:rsidP="00271761">
            <w:pPr>
              <w:pStyle w:val="Default"/>
              <w:ind w:right="34"/>
              <w:jc w:val="both"/>
              <w:rPr>
                <w:rFonts w:ascii="ITC Avant Garde" w:hAnsi="ITC Avant Garde"/>
                <w:b/>
                <w:bCs/>
                <w:sz w:val="18"/>
                <w:szCs w:val="18"/>
              </w:rPr>
            </w:pPr>
            <w:r w:rsidRPr="008A514A">
              <w:rPr>
                <w:rFonts w:ascii="ITC Avant Garde" w:hAnsi="ITC Avant Garde"/>
                <w:b/>
                <w:bCs/>
                <w:sz w:val="18"/>
                <w:szCs w:val="18"/>
              </w:rPr>
              <w:t>Monterrey.</w:t>
            </w:r>
          </w:p>
        </w:tc>
        <w:tc>
          <w:tcPr>
            <w:tcW w:w="1682" w:type="dxa"/>
            <w:hideMark/>
          </w:tcPr>
          <w:p w:rsidR="00271761" w:rsidRPr="008A514A" w:rsidRDefault="00271761" w:rsidP="00271761">
            <w:pPr>
              <w:pStyle w:val="Default"/>
              <w:ind w:right="14"/>
              <w:jc w:val="center"/>
              <w:rPr>
                <w:rFonts w:ascii="ITC Avant Garde" w:hAnsi="ITC Avant Garde"/>
                <w:b/>
                <w:bCs/>
                <w:sz w:val="18"/>
                <w:szCs w:val="18"/>
              </w:rPr>
            </w:pPr>
            <w:r w:rsidRPr="008A514A">
              <w:rPr>
                <w:rFonts w:ascii="ITC Avant Garde" w:hAnsi="ITC Avant Garde"/>
                <w:b/>
                <w:bCs/>
                <w:sz w:val="18"/>
                <w:szCs w:val="18"/>
              </w:rPr>
              <w:t>16 y 21</w:t>
            </w:r>
          </w:p>
        </w:tc>
      </w:tr>
      <w:tr w:rsidR="00271761" w:rsidRPr="008A514A" w:rsidTr="00271761">
        <w:trPr>
          <w:jc w:val="center"/>
        </w:trPr>
        <w:tc>
          <w:tcPr>
            <w:tcW w:w="1555" w:type="dxa"/>
            <w:vAlign w:val="center"/>
            <w:hideMark/>
          </w:tcPr>
          <w:p w:rsidR="00271761" w:rsidRDefault="00271761" w:rsidP="00271761">
            <w:pPr>
              <w:jc w:val="center"/>
            </w:pPr>
            <w:r w:rsidRPr="00007CB1">
              <w:rPr>
                <w:rFonts w:ascii="ITC Avant Garde" w:hAnsi="ITC Avant Garde"/>
                <w:bCs/>
                <w:sz w:val="18"/>
                <w:szCs w:val="18"/>
              </w:rPr>
              <w:t>Nuevo León</w:t>
            </w:r>
          </w:p>
        </w:tc>
        <w:tc>
          <w:tcPr>
            <w:tcW w:w="4110" w:type="dxa"/>
            <w:hideMark/>
          </w:tcPr>
          <w:p w:rsidR="00271761" w:rsidRPr="008A514A" w:rsidRDefault="00271761" w:rsidP="00271761">
            <w:pPr>
              <w:pStyle w:val="Default"/>
              <w:ind w:right="34"/>
              <w:jc w:val="both"/>
              <w:rPr>
                <w:rFonts w:ascii="ITC Avant Garde" w:hAnsi="ITC Avant Garde"/>
                <w:b/>
                <w:bCs/>
                <w:sz w:val="18"/>
                <w:szCs w:val="18"/>
              </w:rPr>
            </w:pPr>
            <w:r w:rsidRPr="008A514A">
              <w:rPr>
                <w:rFonts w:ascii="ITC Avant Garde" w:hAnsi="ITC Avant Garde"/>
                <w:b/>
                <w:bCs/>
                <w:sz w:val="18"/>
                <w:szCs w:val="18"/>
              </w:rPr>
              <w:t>Guadalupe, Juárez, Cadereyta de Jiménez y Los Ramones.</w:t>
            </w:r>
          </w:p>
        </w:tc>
        <w:tc>
          <w:tcPr>
            <w:tcW w:w="1682" w:type="dxa"/>
            <w:hideMark/>
          </w:tcPr>
          <w:p w:rsidR="00271761" w:rsidRPr="008A514A" w:rsidRDefault="00271761" w:rsidP="00271761">
            <w:pPr>
              <w:pStyle w:val="Default"/>
              <w:ind w:right="14"/>
              <w:jc w:val="center"/>
              <w:rPr>
                <w:rFonts w:ascii="ITC Avant Garde" w:hAnsi="ITC Avant Garde"/>
                <w:b/>
                <w:bCs/>
                <w:sz w:val="18"/>
                <w:szCs w:val="18"/>
              </w:rPr>
            </w:pPr>
            <w:r w:rsidRPr="008A514A">
              <w:rPr>
                <w:rFonts w:ascii="ITC Avant Garde" w:hAnsi="ITC Avant Garde"/>
                <w:b/>
                <w:bCs/>
                <w:sz w:val="18"/>
                <w:szCs w:val="18"/>
              </w:rPr>
              <w:t>16</w:t>
            </w:r>
          </w:p>
        </w:tc>
      </w:tr>
      <w:tr w:rsidR="00FB77DD" w:rsidRPr="008A514A" w:rsidTr="00271761">
        <w:trPr>
          <w:trHeight w:val="673"/>
          <w:jc w:val="center"/>
        </w:trPr>
        <w:tc>
          <w:tcPr>
            <w:tcW w:w="1555" w:type="dxa"/>
            <w:vAlign w:val="center"/>
            <w:hideMark/>
          </w:tcPr>
          <w:p w:rsidR="00FB77DD" w:rsidRPr="008A514A" w:rsidRDefault="00FB77DD" w:rsidP="00271761">
            <w:pPr>
              <w:pStyle w:val="Default"/>
              <w:ind w:right="29"/>
              <w:jc w:val="center"/>
              <w:rPr>
                <w:rFonts w:ascii="ITC Avant Garde" w:hAnsi="ITC Avant Garde"/>
                <w:bCs/>
                <w:sz w:val="18"/>
                <w:szCs w:val="18"/>
              </w:rPr>
            </w:pPr>
            <w:r w:rsidRPr="008A514A">
              <w:rPr>
                <w:rFonts w:ascii="ITC Avant Garde" w:hAnsi="ITC Avant Garde"/>
                <w:bCs/>
                <w:sz w:val="18"/>
                <w:szCs w:val="18"/>
              </w:rPr>
              <w:t>Tamaulipas</w:t>
            </w:r>
          </w:p>
        </w:tc>
        <w:tc>
          <w:tcPr>
            <w:tcW w:w="4110" w:type="dxa"/>
            <w:hideMark/>
          </w:tcPr>
          <w:p w:rsidR="00FB77DD" w:rsidRPr="008A514A" w:rsidRDefault="00FB77DD" w:rsidP="00271761">
            <w:pPr>
              <w:pStyle w:val="Default"/>
              <w:ind w:right="34"/>
              <w:jc w:val="both"/>
              <w:rPr>
                <w:rFonts w:ascii="ITC Avant Garde" w:hAnsi="ITC Avant Garde"/>
                <w:bCs/>
                <w:sz w:val="18"/>
                <w:szCs w:val="18"/>
              </w:rPr>
            </w:pPr>
            <w:r w:rsidRPr="008A514A">
              <w:rPr>
                <w:rFonts w:ascii="ITC Avant Garde" w:hAnsi="ITC Avant Garde"/>
                <w:bCs/>
                <w:sz w:val="18"/>
                <w:szCs w:val="18"/>
              </w:rPr>
              <w:t>Reynosa, Río Bravo, Valle Hermoso y Matamoros.</w:t>
            </w:r>
          </w:p>
        </w:tc>
        <w:tc>
          <w:tcPr>
            <w:tcW w:w="1682" w:type="dxa"/>
            <w:hideMark/>
          </w:tcPr>
          <w:p w:rsidR="00FB77DD" w:rsidRPr="008A514A" w:rsidRDefault="00FB77DD" w:rsidP="00271761">
            <w:pPr>
              <w:pStyle w:val="Default"/>
              <w:ind w:right="14"/>
              <w:jc w:val="center"/>
              <w:rPr>
                <w:rFonts w:ascii="ITC Avant Garde" w:hAnsi="ITC Avant Garde"/>
                <w:bCs/>
                <w:sz w:val="18"/>
                <w:szCs w:val="18"/>
              </w:rPr>
            </w:pPr>
            <w:r w:rsidRPr="008A514A">
              <w:rPr>
                <w:rFonts w:ascii="ITC Avant Garde" w:hAnsi="ITC Avant Garde"/>
                <w:bCs/>
                <w:sz w:val="18"/>
                <w:szCs w:val="18"/>
              </w:rPr>
              <w:t>22 y 24</w:t>
            </w:r>
          </w:p>
        </w:tc>
      </w:tr>
      <w:tr w:rsidR="00271761" w:rsidRPr="008A514A" w:rsidTr="00271761">
        <w:trPr>
          <w:trHeight w:val="591"/>
          <w:jc w:val="center"/>
        </w:trPr>
        <w:tc>
          <w:tcPr>
            <w:tcW w:w="1555" w:type="dxa"/>
            <w:vAlign w:val="center"/>
            <w:hideMark/>
          </w:tcPr>
          <w:p w:rsidR="00271761" w:rsidRPr="008A514A" w:rsidRDefault="00271761" w:rsidP="00271761">
            <w:pPr>
              <w:pStyle w:val="Default"/>
              <w:ind w:right="29"/>
              <w:jc w:val="center"/>
              <w:rPr>
                <w:rFonts w:ascii="ITC Avant Garde" w:hAnsi="ITC Avant Garde"/>
                <w:bCs/>
                <w:sz w:val="18"/>
                <w:szCs w:val="18"/>
              </w:rPr>
            </w:pPr>
            <w:r w:rsidRPr="008A514A">
              <w:rPr>
                <w:rFonts w:ascii="ITC Avant Garde" w:hAnsi="ITC Avant Garde"/>
                <w:bCs/>
                <w:sz w:val="18"/>
                <w:szCs w:val="18"/>
              </w:rPr>
              <w:t>Tamaulipas</w:t>
            </w:r>
          </w:p>
        </w:tc>
        <w:tc>
          <w:tcPr>
            <w:tcW w:w="4110" w:type="dxa"/>
            <w:hideMark/>
          </w:tcPr>
          <w:p w:rsidR="00271761" w:rsidRPr="008A514A" w:rsidRDefault="00271761" w:rsidP="00271761">
            <w:pPr>
              <w:pStyle w:val="Default"/>
              <w:ind w:right="34"/>
              <w:jc w:val="both"/>
              <w:rPr>
                <w:rFonts w:ascii="ITC Avant Garde" w:hAnsi="ITC Avant Garde"/>
                <w:bCs/>
                <w:sz w:val="18"/>
                <w:szCs w:val="18"/>
              </w:rPr>
            </w:pPr>
            <w:r w:rsidRPr="008A514A">
              <w:rPr>
                <w:rFonts w:ascii="ITC Avant Garde" w:hAnsi="ITC Avant Garde"/>
                <w:bCs/>
                <w:sz w:val="18"/>
                <w:szCs w:val="18"/>
              </w:rPr>
              <w:t xml:space="preserve">Guerrero, Nuevo Laredo, </w:t>
            </w:r>
            <w:proofErr w:type="spellStart"/>
            <w:r w:rsidRPr="008A514A">
              <w:rPr>
                <w:rFonts w:ascii="ITC Avant Garde" w:hAnsi="ITC Avant Garde"/>
                <w:bCs/>
                <w:sz w:val="18"/>
                <w:szCs w:val="18"/>
              </w:rPr>
              <w:t>Mainero</w:t>
            </w:r>
            <w:proofErr w:type="spellEnd"/>
            <w:r w:rsidRPr="008A514A">
              <w:rPr>
                <w:rFonts w:ascii="ITC Avant Garde" w:hAnsi="ITC Avant Garde"/>
                <w:bCs/>
                <w:sz w:val="18"/>
                <w:szCs w:val="18"/>
              </w:rPr>
              <w:t xml:space="preserve">, Villagrán, </w:t>
            </w:r>
            <w:proofErr w:type="spellStart"/>
            <w:r w:rsidRPr="008A514A">
              <w:rPr>
                <w:rFonts w:ascii="ITC Avant Garde" w:hAnsi="ITC Avant Garde"/>
                <w:bCs/>
                <w:sz w:val="18"/>
                <w:szCs w:val="18"/>
              </w:rPr>
              <w:t>Güémez</w:t>
            </w:r>
            <w:proofErr w:type="spellEnd"/>
            <w:r w:rsidRPr="008A514A">
              <w:rPr>
                <w:rFonts w:ascii="ITC Avant Garde" w:hAnsi="ITC Avant Garde"/>
                <w:bCs/>
                <w:sz w:val="18"/>
                <w:szCs w:val="18"/>
              </w:rPr>
              <w:t>, Hidalgo y Padilla.</w:t>
            </w:r>
          </w:p>
        </w:tc>
        <w:tc>
          <w:tcPr>
            <w:tcW w:w="1682" w:type="dxa"/>
            <w:hideMark/>
          </w:tcPr>
          <w:p w:rsidR="00271761" w:rsidRPr="008A514A" w:rsidRDefault="00271761" w:rsidP="00271761">
            <w:pPr>
              <w:pStyle w:val="Default"/>
              <w:ind w:right="14"/>
              <w:jc w:val="center"/>
              <w:rPr>
                <w:rFonts w:ascii="ITC Avant Garde" w:hAnsi="ITC Avant Garde"/>
                <w:bCs/>
                <w:sz w:val="18"/>
                <w:szCs w:val="18"/>
              </w:rPr>
            </w:pPr>
            <w:r w:rsidRPr="008A514A">
              <w:rPr>
                <w:rFonts w:ascii="ITC Avant Garde" w:hAnsi="ITC Avant Garde"/>
                <w:bCs/>
                <w:sz w:val="18"/>
                <w:szCs w:val="18"/>
              </w:rPr>
              <w:t>21</w:t>
            </w:r>
          </w:p>
        </w:tc>
      </w:tr>
      <w:tr w:rsidR="00271761" w:rsidRPr="008A514A" w:rsidTr="00271761">
        <w:trPr>
          <w:trHeight w:val="605"/>
          <w:jc w:val="center"/>
        </w:trPr>
        <w:tc>
          <w:tcPr>
            <w:tcW w:w="1555" w:type="dxa"/>
            <w:vAlign w:val="center"/>
            <w:hideMark/>
          </w:tcPr>
          <w:p w:rsidR="00271761" w:rsidRPr="008A514A" w:rsidRDefault="00271761" w:rsidP="00271761">
            <w:pPr>
              <w:pStyle w:val="Default"/>
              <w:ind w:right="29"/>
              <w:jc w:val="center"/>
              <w:rPr>
                <w:rFonts w:ascii="ITC Avant Garde" w:hAnsi="ITC Avant Garde"/>
                <w:bCs/>
                <w:sz w:val="18"/>
                <w:szCs w:val="18"/>
              </w:rPr>
            </w:pPr>
            <w:r w:rsidRPr="008A514A">
              <w:rPr>
                <w:rFonts w:ascii="ITC Avant Garde" w:hAnsi="ITC Avant Garde"/>
                <w:bCs/>
                <w:sz w:val="18"/>
                <w:szCs w:val="18"/>
              </w:rPr>
              <w:t>Tamaulipas</w:t>
            </w:r>
          </w:p>
        </w:tc>
        <w:tc>
          <w:tcPr>
            <w:tcW w:w="4110" w:type="dxa"/>
            <w:hideMark/>
          </w:tcPr>
          <w:p w:rsidR="00271761" w:rsidRPr="008A514A" w:rsidRDefault="00271761" w:rsidP="00271761">
            <w:pPr>
              <w:pStyle w:val="Default"/>
              <w:ind w:right="34"/>
              <w:jc w:val="both"/>
              <w:rPr>
                <w:rFonts w:ascii="ITC Avant Garde" w:hAnsi="ITC Avant Garde"/>
                <w:bCs/>
                <w:sz w:val="18"/>
                <w:szCs w:val="18"/>
              </w:rPr>
            </w:pPr>
            <w:r w:rsidRPr="008A514A">
              <w:rPr>
                <w:rFonts w:ascii="ITC Avant Garde" w:hAnsi="ITC Avant Garde"/>
                <w:bCs/>
                <w:sz w:val="18"/>
                <w:szCs w:val="18"/>
              </w:rPr>
              <w:t>Victoria, Llera, Xicoténcatl, Gómez Farías, El Mante, Altamira, Tampico, Casas, y González.</w:t>
            </w:r>
          </w:p>
        </w:tc>
        <w:tc>
          <w:tcPr>
            <w:tcW w:w="1682" w:type="dxa"/>
            <w:hideMark/>
          </w:tcPr>
          <w:p w:rsidR="00271761" w:rsidRPr="008A514A" w:rsidRDefault="00271761" w:rsidP="00271761">
            <w:pPr>
              <w:pStyle w:val="Default"/>
              <w:ind w:right="14"/>
              <w:jc w:val="center"/>
              <w:rPr>
                <w:rFonts w:ascii="ITC Avant Garde" w:hAnsi="ITC Avant Garde"/>
                <w:bCs/>
                <w:sz w:val="18"/>
                <w:szCs w:val="18"/>
              </w:rPr>
            </w:pPr>
            <w:r w:rsidRPr="008A514A">
              <w:rPr>
                <w:rFonts w:ascii="ITC Avant Garde" w:hAnsi="ITC Avant Garde"/>
                <w:bCs/>
                <w:sz w:val="18"/>
                <w:szCs w:val="18"/>
              </w:rPr>
              <w:t>1 y 2</w:t>
            </w:r>
          </w:p>
        </w:tc>
      </w:tr>
    </w:tbl>
    <w:p w:rsidR="008A514A" w:rsidRPr="008A514A" w:rsidRDefault="00BD5294" w:rsidP="008A514A">
      <w:pPr>
        <w:autoSpaceDE w:val="0"/>
        <w:autoSpaceDN w:val="0"/>
        <w:adjustRightInd w:val="0"/>
        <w:spacing w:before="240" w:line="240" w:lineRule="auto"/>
        <w:jc w:val="both"/>
        <w:rPr>
          <w:rFonts w:ascii="ITC Avant Garde" w:hAnsi="ITC Avant Garde" w:cs="Tahoma"/>
          <w:bCs/>
          <w:lang w:eastAsia="es-MX"/>
        </w:rPr>
      </w:pPr>
      <w:r w:rsidRPr="008A514A">
        <w:rPr>
          <w:rFonts w:ascii="ITC Avant Garde" w:hAnsi="ITC Avant Garde" w:cs="Tahoma"/>
          <w:bCs/>
          <w:lang w:eastAsia="es-MX"/>
        </w:rPr>
        <w:t xml:space="preserve">Para tal efecto, el concesionario deberá realizar los ajustes técnicos necesarios en sus estaciones transmisoras a efecto de que sus emisiones se contengan dentro del contorno </w:t>
      </w:r>
      <w:r w:rsidR="008155AA" w:rsidRPr="008A514A">
        <w:rPr>
          <w:rFonts w:ascii="ITC Avant Garde" w:hAnsi="ITC Avant Garde" w:cs="Tahoma"/>
          <w:bCs/>
          <w:lang w:eastAsia="es-MX"/>
        </w:rPr>
        <w:t>geográfico establecido por los M</w:t>
      </w:r>
      <w:r w:rsidRPr="008A514A">
        <w:rPr>
          <w:rFonts w:ascii="ITC Avant Garde" w:hAnsi="ITC Avant Garde" w:cs="Tahoma"/>
          <w:bCs/>
          <w:lang w:eastAsia="es-MX"/>
        </w:rPr>
        <w:t xml:space="preserve">unicipios, con la finalidad de evitar posibles interferencias perjudiciales con asignaciones de frecuencias que </w:t>
      </w:r>
      <w:r w:rsidR="008155AA" w:rsidRPr="008A514A">
        <w:rPr>
          <w:rFonts w:ascii="ITC Avant Garde" w:hAnsi="ITC Avant Garde" w:cs="Tahoma"/>
          <w:bCs/>
          <w:lang w:eastAsia="es-MX"/>
        </w:rPr>
        <w:t>se lleguen a realizar en otros M</w:t>
      </w:r>
      <w:r w:rsidRPr="008A514A">
        <w:rPr>
          <w:rFonts w:ascii="ITC Avant Garde" w:hAnsi="ITC Avant Garde" w:cs="Tahoma"/>
          <w:bCs/>
          <w:lang w:eastAsia="es-MX"/>
        </w:rPr>
        <w:t xml:space="preserve">unicipios en la zona de influencia de sus estaciones. </w:t>
      </w:r>
    </w:p>
    <w:p w:rsidR="008A514A" w:rsidRPr="008A514A" w:rsidRDefault="009312DC" w:rsidP="008A514A">
      <w:pPr>
        <w:autoSpaceDE w:val="0"/>
        <w:autoSpaceDN w:val="0"/>
        <w:adjustRightInd w:val="0"/>
        <w:spacing w:before="240" w:line="240" w:lineRule="auto"/>
        <w:jc w:val="both"/>
        <w:rPr>
          <w:rFonts w:ascii="ITC Avant Garde" w:hAnsi="ITC Avant Garde"/>
          <w:bCs/>
          <w:lang w:val="es-ES_tradnl"/>
        </w:rPr>
      </w:pPr>
      <w:r w:rsidRPr="008A514A">
        <w:rPr>
          <w:rFonts w:ascii="ITC Avant Garde" w:hAnsi="ITC Avant Garde"/>
          <w:b/>
          <w:bCs/>
          <w:lang w:val="es-ES_tradnl"/>
        </w:rPr>
        <w:lastRenderedPageBreak/>
        <w:t>SEGUNDO.-</w:t>
      </w:r>
      <w:r w:rsidRPr="008A514A">
        <w:rPr>
          <w:rFonts w:ascii="ITC Avant Garde" w:hAnsi="ITC Avant Garde"/>
          <w:bCs/>
          <w:lang w:val="es-ES_tradnl"/>
        </w:rPr>
        <w:t xml:space="preserve"> Con la finalidad de garantizar la continuidad en la prestación </w:t>
      </w:r>
      <w:r w:rsidR="00921CDE" w:rsidRPr="008A514A">
        <w:rPr>
          <w:rFonts w:ascii="ITC Avant Garde" w:hAnsi="ITC Avant Garde"/>
          <w:bCs/>
          <w:lang w:val="es-ES_tradnl"/>
        </w:rPr>
        <w:t>del</w:t>
      </w:r>
      <w:r w:rsidRPr="008A514A">
        <w:rPr>
          <w:rFonts w:ascii="ITC Avant Garde" w:hAnsi="ITC Avant Garde"/>
          <w:bCs/>
          <w:lang w:val="es-ES_tradnl"/>
        </w:rPr>
        <w:t xml:space="preserve"> servicio, y la migración de los usuarios, </w:t>
      </w:r>
      <w:r w:rsidR="00921CDE" w:rsidRPr="008A514A">
        <w:rPr>
          <w:rFonts w:ascii="ITC Avant Garde" w:hAnsi="ITC Avant Garde"/>
          <w:bCs/>
          <w:color w:val="000000"/>
          <w:lang w:eastAsia="es-MX"/>
        </w:rPr>
        <w:t>Radiocomunicaciones y Servicios, S.A. de C.V.</w:t>
      </w:r>
      <w:r w:rsidRPr="008A514A">
        <w:rPr>
          <w:rFonts w:ascii="ITC Avant Garde" w:hAnsi="ITC Avant Garde"/>
          <w:bCs/>
          <w:lang w:val="es-ES_tradnl"/>
        </w:rPr>
        <w:t xml:space="preserve"> tendrá un plazo </w:t>
      </w:r>
      <w:r w:rsidR="00921CDE" w:rsidRPr="008A514A">
        <w:rPr>
          <w:rFonts w:ascii="ITC Avant Garde" w:hAnsi="ITC Avant Garde"/>
          <w:bCs/>
          <w:lang w:val="es-ES_tradnl"/>
        </w:rPr>
        <w:t xml:space="preserve">improrrogable </w:t>
      </w:r>
      <w:r w:rsidRPr="008A514A">
        <w:rPr>
          <w:rFonts w:ascii="ITC Avant Garde" w:hAnsi="ITC Avant Garde"/>
          <w:bCs/>
          <w:lang w:val="es-ES_tradnl"/>
        </w:rPr>
        <w:t xml:space="preserve">de </w:t>
      </w:r>
      <w:r w:rsidR="00921CDE" w:rsidRPr="008A514A">
        <w:rPr>
          <w:rFonts w:ascii="ITC Avant Garde" w:hAnsi="ITC Avant Garde"/>
          <w:bCs/>
          <w:lang w:val="es-ES_tradnl"/>
        </w:rPr>
        <w:t>9</w:t>
      </w:r>
      <w:r w:rsidRPr="008A514A">
        <w:rPr>
          <w:rFonts w:ascii="ITC Avant Garde" w:hAnsi="ITC Avant Garde"/>
          <w:bCs/>
          <w:lang w:val="es-ES_tradnl"/>
        </w:rPr>
        <w:t>0 (</w:t>
      </w:r>
      <w:r w:rsidR="00921CDE" w:rsidRPr="008A514A">
        <w:rPr>
          <w:rFonts w:ascii="ITC Avant Garde" w:hAnsi="ITC Avant Garde"/>
          <w:bCs/>
          <w:lang w:val="es-ES_tradnl"/>
        </w:rPr>
        <w:t>noventa</w:t>
      </w:r>
      <w:r w:rsidRPr="008A514A">
        <w:rPr>
          <w:rFonts w:ascii="ITC Avant Garde" w:hAnsi="ITC Avant Garde"/>
          <w:bCs/>
          <w:lang w:val="es-ES_tradnl"/>
        </w:rPr>
        <w:t>) días naturales, contados a partir del día siguiente a aquel en que haya surtido efectos la notificación de la presente Resolución, para llevar a cabo el cambio de bandas autorizado en el Resolutivo Primero anterior.</w:t>
      </w:r>
    </w:p>
    <w:p w:rsidR="008A514A" w:rsidRPr="008A514A" w:rsidRDefault="009312DC" w:rsidP="008A514A">
      <w:pPr>
        <w:autoSpaceDE w:val="0"/>
        <w:autoSpaceDN w:val="0"/>
        <w:adjustRightInd w:val="0"/>
        <w:spacing w:before="240" w:line="240" w:lineRule="auto"/>
        <w:jc w:val="both"/>
        <w:rPr>
          <w:rFonts w:ascii="ITC Avant Garde" w:hAnsi="ITC Avant Garde"/>
          <w:bCs/>
          <w:lang w:val="es-ES_tradnl"/>
        </w:rPr>
      </w:pPr>
      <w:r w:rsidRPr="008A514A">
        <w:rPr>
          <w:rFonts w:ascii="ITC Avant Garde" w:hAnsi="ITC Avant Garde"/>
          <w:b/>
          <w:bCs/>
          <w:lang w:val="es-ES_tradnl"/>
        </w:rPr>
        <w:t>TERCERO.-</w:t>
      </w:r>
      <w:r w:rsidRPr="008A514A">
        <w:rPr>
          <w:rFonts w:ascii="ITC Avant Garde" w:hAnsi="ITC Avant Garde"/>
          <w:bCs/>
          <w:lang w:val="es-ES_tradnl"/>
        </w:rPr>
        <w:t xml:space="preserve"> Una vez concluido el cambio de bandas autorizado en el Resolutivo Primero de la presente Resolución, </w:t>
      </w:r>
      <w:r w:rsidR="00921CDE" w:rsidRPr="008A514A">
        <w:rPr>
          <w:rFonts w:ascii="ITC Avant Garde" w:hAnsi="ITC Avant Garde"/>
          <w:bCs/>
          <w:color w:val="000000"/>
          <w:lang w:eastAsia="es-MX"/>
        </w:rPr>
        <w:t>Radiocomunicaciones y Servicios, S.A. de C.V.</w:t>
      </w:r>
      <w:r w:rsidRPr="008A514A">
        <w:rPr>
          <w:rFonts w:ascii="ITC Avant Garde" w:hAnsi="ITC Avant Garde"/>
          <w:bCs/>
          <w:lang w:val="es-ES_tradnl"/>
        </w:rPr>
        <w:t xml:space="preserve"> deberá notificar tal situación al Instituto Federal de Telecomunicaciones, dentro del plazo de 3 (tres) días hábiles contados a partir de la conclusión del citado cambio. </w:t>
      </w:r>
    </w:p>
    <w:p w:rsidR="008A514A" w:rsidRPr="008A514A" w:rsidRDefault="009312DC" w:rsidP="008A514A">
      <w:pPr>
        <w:spacing w:before="240" w:line="240" w:lineRule="auto"/>
        <w:jc w:val="both"/>
        <w:rPr>
          <w:rFonts w:ascii="ITC Avant Garde" w:hAnsi="ITC Avant Garde"/>
          <w:bCs/>
          <w:lang w:val="es-ES_tradnl"/>
        </w:rPr>
      </w:pPr>
      <w:r w:rsidRPr="008A514A">
        <w:rPr>
          <w:rFonts w:ascii="ITC Avant Garde" w:hAnsi="ITC Avant Garde"/>
          <w:bCs/>
          <w:color w:val="000000"/>
          <w:lang w:eastAsia="es-MX"/>
        </w:rPr>
        <w:t>Una vez notificado dicho cambio, las bandas de frecuencias que le fueron originalmente asignadas, revertirán a favor de la Nación, sin perjuicio de que el Instituto Federal de Telecomunicaciones pueda ejercer las atribuciones de verificación, supervisión y, en su caso, sanción que correspondan.</w:t>
      </w:r>
    </w:p>
    <w:p w:rsidR="008A514A" w:rsidRPr="008A514A" w:rsidRDefault="009312DC" w:rsidP="008A514A">
      <w:pPr>
        <w:autoSpaceDE w:val="0"/>
        <w:autoSpaceDN w:val="0"/>
        <w:adjustRightInd w:val="0"/>
        <w:spacing w:before="240" w:line="240" w:lineRule="auto"/>
        <w:jc w:val="both"/>
        <w:rPr>
          <w:rFonts w:ascii="ITC Avant Garde" w:hAnsi="ITC Avant Garde"/>
          <w:bCs/>
          <w:lang w:val="es-ES_tradnl"/>
        </w:rPr>
      </w:pPr>
      <w:r w:rsidRPr="008A514A">
        <w:rPr>
          <w:rFonts w:ascii="ITC Avant Garde" w:hAnsi="ITC Avant Garde"/>
          <w:b/>
          <w:bCs/>
          <w:lang w:val="es-ES_tradnl"/>
        </w:rPr>
        <w:t>CUARTO.-</w:t>
      </w:r>
      <w:r w:rsidRPr="008A514A">
        <w:rPr>
          <w:rFonts w:ascii="ITC Avant Garde" w:hAnsi="ITC Avant Garde"/>
          <w:bCs/>
          <w:lang w:val="es-ES_tradnl"/>
        </w:rPr>
        <w:t xml:space="preserve"> Se instruye a la Unidad de Concesiones y Servicios a hacer del conocimiento de </w:t>
      </w:r>
      <w:r w:rsidR="00921CDE" w:rsidRPr="008A514A">
        <w:rPr>
          <w:rFonts w:ascii="ITC Avant Garde" w:hAnsi="ITC Avant Garde"/>
          <w:bCs/>
          <w:color w:val="000000"/>
          <w:lang w:eastAsia="es-MX"/>
        </w:rPr>
        <w:t>Radiocomunicaciones y Servicios, S.A. de C.V.</w:t>
      </w:r>
      <w:r w:rsidRPr="008A514A">
        <w:rPr>
          <w:rFonts w:ascii="ITC Avant Garde" w:hAnsi="ITC Avant Garde"/>
          <w:bCs/>
          <w:lang w:val="es-ES_tradnl"/>
        </w:rPr>
        <w:t xml:space="preserve">, el contenido de la presente Resolución. </w:t>
      </w:r>
    </w:p>
    <w:p w:rsidR="008A514A" w:rsidRPr="008A514A" w:rsidRDefault="009312DC" w:rsidP="008A514A">
      <w:pPr>
        <w:spacing w:before="240" w:line="240" w:lineRule="auto"/>
        <w:jc w:val="both"/>
        <w:rPr>
          <w:sz w:val="20"/>
          <w:szCs w:val="20"/>
        </w:rPr>
      </w:pPr>
      <w:r w:rsidRPr="008A514A">
        <w:rPr>
          <w:rFonts w:ascii="ITC Avant Garde" w:hAnsi="ITC Avant Garde"/>
          <w:b/>
          <w:bCs/>
          <w:lang w:val="es-ES_tradnl"/>
        </w:rPr>
        <w:t>QUINTO.-</w:t>
      </w:r>
      <w:r w:rsidRPr="008A514A">
        <w:rPr>
          <w:rFonts w:ascii="ITC Avant Garde" w:hAnsi="ITC Avant Garde"/>
          <w:bCs/>
          <w:lang w:val="es-ES_tradnl"/>
        </w:rPr>
        <w:t xml:space="preserve"> Una vez que </w:t>
      </w:r>
      <w:r w:rsidR="00921CDE" w:rsidRPr="008A514A">
        <w:rPr>
          <w:rFonts w:ascii="ITC Avant Garde" w:hAnsi="ITC Avant Garde"/>
          <w:bCs/>
          <w:color w:val="000000"/>
          <w:lang w:eastAsia="es-MX"/>
        </w:rPr>
        <w:t>Radiocomunicaciones y Servicios, S.A. de C.V.</w:t>
      </w:r>
      <w:r w:rsidRPr="008A514A">
        <w:rPr>
          <w:rFonts w:ascii="ITC Avant Garde" w:hAnsi="ITC Avant Garde"/>
          <w:bCs/>
          <w:lang w:val="es-ES_tradnl"/>
        </w:rPr>
        <w:t xml:space="preserve"> presente la notificación a la que se refiere el Resolutivo Tercero, esta Resolución deberá ser inscrita en el Registro Público de Concesiones y formará parte integral </w:t>
      </w:r>
      <w:r w:rsidR="00952D02" w:rsidRPr="008A514A">
        <w:rPr>
          <w:rFonts w:ascii="ITC Avant Garde" w:hAnsi="ITC Avant Garde"/>
          <w:bCs/>
          <w:color w:val="000000"/>
          <w:lang w:eastAsia="es-MX"/>
        </w:rPr>
        <w:t>del título de concesión para usar, aprovechar y explotar bandas de frecuencias del espectro radioeléctrico para uso comercial, otorgado a Radiocomunicaciones y Servicios, S.A. de C.V. por el Instituto Federal de Telecomunicaciones, el 6 de junio de 2016, con una vigencia de 20 (veinte) años, contados a partir del 4 de junio de 2009, para la prestación del servicio móvil de radiocomunicación especializada de flotillas,</w:t>
      </w:r>
      <w:r w:rsidRPr="008A514A">
        <w:rPr>
          <w:rFonts w:ascii="ITC Avant Garde" w:hAnsi="ITC Avant Garde"/>
          <w:bCs/>
          <w:lang w:val="es-ES_tradnl"/>
        </w:rPr>
        <w:t xml:space="preserve"> cuyas obligaciones subsisten en todos sus términos.</w:t>
      </w:r>
    </w:p>
    <w:p w:rsidR="008A514A" w:rsidRPr="008A514A" w:rsidRDefault="009312DC" w:rsidP="008A514A">
      <w:pPr>
        <w:autoSpaceDE w:val="0"/>
        <w:autoSpaceDN w:val="0"/>
        <w:adjustRightInd w:val="0"/>
        <w:spacing w:before="240" w:line="240" w:lineRule="auto"/>
        <w:jc w:val="both"/>
        <w:rPr>
          <w:rFonts w:ascii="ITC Avant Garde" w:hAnsi="ITC Avant Garde"/>
          <w:bCs/>
          <w:lang w:val="es-ES_tradnl"/>
        </w:rPr>
      </w:pPr>
      <w:r w:rsidRPr="008A514A">
        <w:rPr>
          <w:rFonts w:ascii="ITC Avant Garde" w:hAnsi="ITC Avant Garde"/>
          <w:b/>
          <w:bCs/>
          <w:lang w:val="es-ES_tradnl"/>
        </w:rPr>
        <w:t>SEXTO.-</w:t>
      </w:r>
      <w:r w:rsidRPr="008A514A">
        <w:rPr>
          <w:rFonts w:ascii="ITC Avant Garde" w:hAnsi="ITC Avant Garde"/>
          <w:bCs/>
          <w:lang w:val="es-ES_tradnl"/>
        </w:rPr>
        <w:t xml:space="preserve"> Se instruye a la Secretaría Técnica del Pleno a hacer del conocimiento de las Unidades de Espectro Radioeléctrico y de Cumplimiento el contenido de la presente Resolución para los efectos conducentes. </w:t>
      </w:r>
    </w:p>
    <w:p w:rsidR="009312DC" w:rsidRPr="008A514A" w:rsidRDefault="00335597" w:rsidP="008A514A">
      <w:pPr>
        <w:pStyle w:val="Prrafodelista"/>
        <w:spacing w:before="240" w:after="200"/>
        <w:ind w:left="0"/>
        <w:jc w:val="both"/>
        <w:rPr>
          <w:rFonts w:ascii="ITC Avant Garde" w:hAnsi="ITC Avant Garde"/>
          <w:bCs/>
          <w:lang w:val="es-ES_tradnl"/>
        </w:rPr>
      </w:pPr>
      <w:r w:rsidRPr="008A514A">
        <w:rPr>
          <w:rFonts w:ascii="ITC Avant Garde" w:hAnsi="ITC Avant Garde"/>
          <w:sz w:val="14"/>
          <w:szCs w:val="14"/>
        </w:rPr>
        <w:t xml:space="preserve">La presente Resolución fue aprobada por el Pleno del Instituto Federal de Telecomunicaciones en su X Sesión Ordinaria celebrada el 8 de marzo de 2017, </w:t>
      </w:r>
      <w:r w:rsidRPr="008A514A">
        <w:rPr>
          <w:rFonts w:ascii="ITC Avant Garde" w:hAnsi="ITC Avant Garde"/>
          <w:bCs/>
          <w:sz w:val="14"/>
          <w:szCs w:val="14"/>
        </w:rPr>
        <w:t>por unanimidad</w:t>
      </w:r>
      <w:r w:rsidRPr="008A514A">
        <w:rPr>
          <w:rFonts w:ascii="ITC Avant Garde" w:hAnsi="ITC Avant Garde"/>
          <w:sz w:val="14"/>
          <w:szCs w:val="14"/>
        </w:rPr>
        <w:t xml:space="preserve"> de votos de los Comisionados Gabriel Oswaldo Contreras Saldívar, Adriana Sofía </w:t>
      </w:r>
      <w:proofErr w:type="spellStart"/>
      <w:r w:rsidRPr="008A514A">
        <w:rPr>
          <w:rFonts w:ascii="ITC Avant Garde" w:hAnsi="ITC Avant Garde"/>
          <w:sz w:val="14"/>
          <w:szCs w:val="14"/>
        </w:rPr>
        <w:t>Labardini</w:t>
      </w:r>
      <w:proofErr w:type="spellEnd"/>
      <w:r w:rsidRPr="008A514A">
        <w:rPr>
          <w:rFonts w:ascii="ITC Avant Garde" w:hAnsi="ITC Avant Garde"/>
          <w:sz w:val="14"/>
          <w:szCs w:val="14"/>
        </w:rPr>
        <w:t xml:space="preserve"> </w:t>
      </w:r>
      <w:proofErr w:type="spellStart"/>
      <w:r w:rsidRPr="008A514A">
        <w:rPr>
          <w:rFonts w:ascii="ITC Avant Garde" w:hAnsi="ITC Avant Garde"/>
          <w:sz w:val="14"/>
          <w:szCs w:val="14"/>
        </w:rPr>
        <w:t>Inzunza</w:t>
      </w:r>
      <w:proofErr w:type="spellEnd"/>
      <w:r w:rsidRPr="008A514A">
        <w:rPr>
          <w:rFonts w:ascii="ITC Avant Garde" w:hAnsi="ITC Avant Garde"/>
          <w:sz w:val="14"/>
          <w:szCs w:val="14"/>
        </w:rPr>
        <w:t xml:space="preserve">, María Elena </w:t>
      </w:r>
      <w:proofErr w:type="spellStart"/>
      <w:r w:rsidRPr="008A514A">
        <w:rPr>
          <w:rFonts w:ascii="ITC Avant Garde" w:hAnsi="ITC Avant Garde"/>
          <w:sz w:val="14"/>
          <w:szCs w:val="14"/>
        </w:rPr>
        <w:t>Estavillo</w:t>
      </w:r>
      <w:proofErr w:type="spellEnd"/>
      <w:r w:rsidRPr="008A514A">
        <w:rPr>
          <w:rFonts w:ascii="ITC Avant Garde" w:hAnsi="ITC Avant Garde"/>
          <w:sz w:val="14"/>
          <w:szCs w:val="14"/>
        </w:rPr>
        <w:t xml:space="preserve"> Flores, Mario Germán </w:t>
      </w:r>
      <w:proofErr w:type="spellStart"/>
      <w:r w:rsidRPr="008A514A">
        <w:rPr>
          <w:rFonts w:ascii="ITC Avant Garde" w:hAnsi="ITC Avant Garde"/>
          <w:sz w:val="14"/>
          <w:szCs w:val="14"/>
        </w:rPr>
        <w:t>Fromow</w:t>
      </w:r>
      <w:proofErr w:type="spellEnd"/>
      <w:r w:rsidRPr="008A514A">
        <w:rPr>
          <w:rFonts w:ascii="ITC Avant Garde" w:hAnsi="ITC Avant Garde"/>
          <w:sz w:val="14"/>
          <w:szCs w:val="14"/>
        </w:rPr>
        <w:t xml:space="preserve">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P/IFT/080317/129.</w:t>
      </w:r>
    </w:p>
    <w:p w:rsidR="00692844" w:rsidRPr="008A514A" w:rsidRDefault="00692844" w:rsidP="008A514A">
      <w:pPr>
        <w:spacing w:before="240" w:line="259" w:lineRule="auto"/>
        <w:rPr>
          <w:rFonts w:ascii="ITC Avant Garde" w:eastAsia="Times New Roman" w:hAnsi="ITC Avant Garde"/>
          <w:b/>
          <w:bCs/>
          <w:color w:val="000000"/>
          <w:lang w:eastAsia="es-MX"/>
        </w:rPr>
      </w:pPr>
      <w:r w:rsidRPr="008A514A">
        <w:rPr>
          <w:rFonts w:ascii="ITC Avant Garde" w:eastAsia="Times New Roman" w:hAnsi="ITC Avant Garde"/>
          <w:b/>
          <w:bCs/>
          <w:color w:val="000000"/>
          <w:lang w:eastAsia="es-MX"/>
        </w:rPr>
        <w:br w:type="page"/>
      </w:r>
    </w:p>
    <w:p w:rsidR="009312DC" w:rsidRPr="008A514A" w:rsidRDefault="0025212D" w:rsidP="008A514A">
      <w:pPr>
        <w:pStyle w:val="Ttulo1"/>
        <w:spacing w:after="240" w:line="240" w:lineRule="auto"/>
        <w:jc w:val="both"/>
        <w:rPr>
          <w:rFonts w:ascii="ITC Avant Garde" w:hAnsi="ITC Avant Garde"/>
          <w:b/>
          <w:color w:val="000000" w:themeColor="text1"/>
          <w:sz w:val="22"/>
          <w:szCs w:val="22"/>
          <w:lang w:eastAsia="es-MX"/>
        </w:rPr>
      </w:pPr>
      <w:r w:rsidRPr="008A514A">
        <w:rPr>
          <w:rFonts w:ascii="ITC Avant Garde" w:hAnsi="ITC Avant Garde"/>
          <w:b/>
          <w:color w:val="000000" w:themeColor="text1"/>
          <w:sz w:val="22"/>
          <w:szCs w:val="22"/>
          <w:lang w:eastAsia="es-MX"/>
        </w:rPr>
        <w:lastRenderedPageBreak/>
        <w:t>ANEXO. PROPUESTA DE ASIGNACIÓN DE GRUPOS DE FRECUENCIAS EN LA BANDA DE</w:t>
      </w:r>
      <w:r w:rsidR="0097765D" w:rsidRPr="008A514A">
        <w:rPr>
          <w:rFonts w:ascii="ITC Avant Garde" w:hAnsi="ITC Avant Garde"/>
          <w:b/>
          <w:color w:val="000000" w:themeColor="text1"/>
          <w:sz w:val="22"/>
          <w:szCs w:val="22"/>
          <w:lang w:eastAsia="es-MX"/>
        </w:rPr>
        <w:t xml:space="preserve"> 400 MHz</w:t>
      </w:r>
      <w:r w:rsidRPr="008A514A">
        <w:rPr>
          <w:rFonts w:ascii="ITC Avant Garde" w:hAnsi="ITC Avant Garde"/>
          <w:b/>
          <w:color w:val="000000" w:themeColor="text1"/>
          <w:sz w:val="22"/>
          <w:szCs w:val="22"/>
          <w:lang w:eastAsia="es-MX"/>
        </w:rPr>
        <w:t>, CANALIZACIÓN DE 12.5 kH</w:t>
      </w:r>
      <w:r w:rsidR="0097765D" w:rsidRPr="008A514A">
        <w:rPr>
          <w:rFonts w:ascii="ITC Avant Garde" w:hAnsi="ITC Avant Garde"/>
          <w:b/>
          <w:color w:val="000000" w:themeColor="text1"/>
          <w:sz w:val="22"/>
          <w:szCs w:val="22"/>
          <w:lang w:eastAsia="es-MX"/>
        </w:rPr>
        <w:t>z</w:t>
      </w:r>
      <w:r w:rsidRPr="008A514A">
        <w:rPr>
          <w:rFonts w:ascii="ITC Avant Garde" w:hAnsi="ITC Avant Garde"/>
          <w:b/>
          <w:color w:val="000000" w:themeColor="text1"/>
          <w:sz w:val="22"/>
          <w:szCs w:val="22"/>
          <w:lang w:eastAsia="es-MX"/>
        </w:rPr>
        <w:t xml:space="preserve"> Y 25 kH</w:t>
      </w:r>
      <w:r w:rsidR="0097765D" w:rsidRPr="008A514A">
        <w:rPr>
          <w:rFonts w:ascii="ITC Avant Garde" w:hAnsi="ITC Avant Garde"/>
          <w:b/>
          <w:color w:val="000000" w:themeColor="text1"/>
          <w:sz w:val="22"/>
          <w:szCs w:val="22"/>
          <w:lang w:eastAsia="es-MX"/>
        </w:rPr>
        <w:t>z</w:t>
      </w:r>
      <w:r w:rsidRPr="008A514A">
        <w:rPr>
          <w:rFonts w:ascii="ITC Avant Garde" w:hAnsi="ITC Avant Garde"/>
          <w:b/>
          <w:color w:val="000000" w:themeColor="text1"/>
          <w:sz w:val="22"/>
          <w:szCs w:val="22"/>
          <w:lang w:eastAsia="es-MX"/>
        </w:rPr>
        <w:t>, (DONDE LA FRECUENCIA TX CORRESPONDE A LA ESTACIÓN TRANSMISORA).</w:t>
      </w:r>
    </w:p>
    <w:tbl>
      <w:tblPr>
        <w:tblStyle w:val="Tablaconcuadrcula"/>
        <w:tblW w:w="8868" w:type="dxa"/>
        <w:jc w:val="center"/>
        <w:tblLook w:val="04A0" w:firstRow="1" w:lastRow="0" w:firstColumn="1" w:lastColumn="0" w:noHBand="0" w:noVBand="1"/>
        <w:tblCaption w:val="Asignación de Grupos de Frecuencias"/>
        <w:tblDescription w:val="En una tabla irregular de 2 columnas dividades en 2 grandes grupos, se proporciona para cada uno 2 circuitos con su correpsondiente dato de RX y TX."/>
      </w:tblPr>
      <w:tblGrid>
        <w:gridCol w:w="994"/>
        <w:gridCol w:w="1064"/>
        <w:gridCol w:w="1064"/>
        <w:gridCol w:w="894"/>
        <w:gridCol w:w="1064"/>
        <w:gridCol w:w="1064"/>
        <w:gridCol w:w="994"/>
        <w:gridCol w:w="865"/>
        <w:gridCol w:w="865"/>
      </w:tblGrid>
      <w:tr w:rsidR="0025212D" w:rsidRPr="008A514A" w:rsidTr="00271761">
        <w:trPr>
          <w:trHeight w:val="423"/>
          <w:tblHeader/>
          <w:jc w:val="center"/>
        </w:trPr>
        <w:tc>
          <w:tcPr>
            <w:tcW w:w="6144" w:type="dxa"/>
            <w:gridSpan w:val="6"/>
            <w:vMerge w:val="restart"/>
            <w:shd w:val="clear" w:color="auto" w:fill="BFBFBF" w:themeFill="background1" w:themeFillShade="BF"/>
            <w:noWrap/>
            <w:vAlign w:val="center"/>
            <w:hideMark/>
          </w:tcPr>
          <w:p w:rsidR="0025212D" w:rsidRPr="008A514A" w:rsidRDefault="0025212D" w:rsidP="00271761">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Canalización 12.5 kHz</w:t>
            </w:r>
          </w:p>
        </w:tc>
        <w:tc>
          <w:tcPr>
            <w:tcW w:w="2724" w:type="dxa"/>
            <w:gridSpan w:val="3"/>
            <w:vMerge w:val="restart"/>
            <w:shd w:val="clear" w:color="auto" w:fill="BFBFBF" w:themeFill="background1" w:themeFillShade="BF"/>
            <w:noWrap/>
            <w:vAlign w:val="center"/>
            <w:hideMark/>
          </w:tcPr>
          <w:p w:rsidR="0025212D" w:rsidRPr="008A514A" w:rsidRDefault="0025212D" w:rsidP="00271761">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Canalización 25 kHz</w:t>
            </w:r>
          </w:p>
        </w:tc>
      </w:tr>
      <w:tr w:rsidR="0025212D" w:rsidRPr="008A514A" w:rsidTr="00271761">
        <w:trPr>
          <w:trHeight w:val="663"/>
          <w:tblHeader/>
          <w:jc w:val="center"/>
        </w:trPr>
        <w:tc>
          <w:tcPr>
            <w:tcW w:w="6144" w:type="dxa"/>
            <w:gridSpan w:val="6"/>
            <w:vMerge/>
            <w:shd w:val="clear" w:color="auto" w:fill="BFBFBF" w:themeFill="background1" w:themeFillShade="BF"/>
            <w:hideMark/>
          </w:tcPr>
          <w:p w:rsidR="0025212D" w:rsidRPr="008A514A" w:rsidRDefault="0025212D" w:rsidP="008A514A">
            <w:pPr>
              <w:spacing w:after="0" w:line="240" w:lineRule="auto"/>
              <w:rPr>
                <w:rFonts w:ascii="ITC Avant Garde" w:eastAsia="Times New Roman" w:hAnsi="ITC Avant Garde"/>
                <w:b/>
                <w:bCs/>
                <w:color w:val="000000"/>
                <w:sz w:val="18"/>
                <w:szCs w:val="18"/>
              </w:rPr>
            </w:pPr>
          </w:p>
        </w:tc>
        <w:tc>
          <w:tcPr>
            <w:tcW w:w="2724" w:type="dxa"/>
            <w:gridSpan w:val="3"/>
            <w:vMerge/>
            <w:shd w:val="clear" w:color="auto" w:fill="BFBFBF" w:themeFill="background1" w:themeFillShade="BF"/>
            <w:hideMark/>
          </w:tcPr>
          <w:p w:rsidR="0025212D" w:rsidRPr="008A514A" w:rsidRDefault="0025212D" w:rsidP="008A514A">
            <w:pPr>
              <w:spacing w:after="0" w:line="240" w:lineRule="auto"/>
              <w:rPr>
                <w:rFonts w:ascii="ITC Avant Garde" w:eastAsia="Times New Roman" w:hAnsi="ITC Avant Garde"/>
                <w:b/>
                <w:bCs/>
                <w:color w:val="000000"/>
                <w:sz w:val="18"/>
                <w:szCs w:val="18"/>
              </w:rPr>
            </w:pPr>
          </w:p>
        </w:tc>
      </w:tr>
      <w:tr w:rsidR="0025212D" w:rsidRPr="008A514A" w:rsidTr="00271761">
        <w:trPr>
          <w:trHeight w:val="20"/>
          <w:jc w:val="center"/>
        </w:trPr>
        <w:tc>
          <w:tcPr>
            <w:tcW w:w="6144" w:type="dxa"/>
            <w:gridSpan w:val="6"/>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1</w:t>
            </w:r>
          </w:p>
        </w:tc>
        <w:tc>
          <w:tcPr>
            <w:tcW w:w="2724" w:type="dxa"/>
            <w:gridSpan w:val="3"/>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1</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8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A</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410.01875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420.01875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B</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410.03125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420.03125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1</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410.025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420.025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C</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410.21875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420.21875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D</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410.23125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420.23125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2</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410.225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420.225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E</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410.41875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420.41875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F</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410.43125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420.43125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3</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410.425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420.425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G</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410.61875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420.61875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H</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410.63125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420.63125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410.625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420.625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I</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410.81875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420.81875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J</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410.83125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420.83125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410.825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420.825</w:t>
            </w:r>
          </w:p>
        </w:tc>
      </w:tr>
      <w:tr w:rsidR="0025212D" w:rsidRPr="008A514A" w:rsidTr="00271761">
        <w:trPr>
          <w:trHeight w:val="20"/>
          <w:jc w:val="center"/>
        </w:trPr>
        <w:tc>
          <w:tcPr>
            <w:tcW w:w="6144" w:type="dxa"/>
            <w:gridSpan w:val="6"/>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w:t>
            </w:r>
          </w:p>
        </w:tc>
        <w:tc>
          <w:tcPr>
            <w:tcW w:w="2724" w:type="dxa"/>
            <w:gridSpan w:val="3"/>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8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A</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410.04375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420.04375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B</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410.05625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420.05625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1</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410.050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420.050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C</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410.24375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420.24375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D</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410.25625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420.25625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2</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410.250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420.250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E</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410.44375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420.44375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F</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410.45625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420.45625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3</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410.450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420.450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G</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410.64375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420.64375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H</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410.65625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420.65625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410.650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420.650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I</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410.84375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420.84375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J</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410.85625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420.85625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410.850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420.850</w:t>
            </w:r>
          </w:p>
        </w:tc>
      </w:tr>
      <w:tr w:rsidR="0025212D" w:rsidRPr="008A514A" w:rsidTr="00271761">
        <w:trPr>
          <w:trHeight w:val="20"/>
          <w:jc w:val="center"/>
        </w:trPr>
        <w:tc>
          <w:tcPr>
            <w:tcW w:w="6144" w:type="dxa"/>
            <w:gridSpan w:val="6"/>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16</w:t>
            </w:r>
          </w:p>
        </w:tc>
        <w:tc>
          <w:tcPr>
            <w:tcW w:w="2724" w:type="dxa"/>
            <w:gridSpan w:val="3"/>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16</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8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A</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411.19375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421.19375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B</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411.20625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421.20625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1</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411.200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421.200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C</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411.39375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421.39375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D</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411.40625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421.40625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2</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411.400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421.400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E</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411.59375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421.59375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F</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411.60625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421.60625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3</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411.600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421.600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G</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411.79375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421.79375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H</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411.80625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421.80625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411.800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421.800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I</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411.99375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421.99375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J</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412.00625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422.00625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412.000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422.000</w:t>
            </w:r>
          </w:p>
        </w:tc>
      </w:tr>
      <w:tr w:rsidR="0025212D" w:rsidRPr="008A514A" w:rsidTr="00271761">
        <w:trPr>
          <w:trHeight w:val="20"/>
          <w:jc w:val="center"/>
        </w:trPr>
        <w:tc>
          <w:tcPr>
            <w:tcW w:w="6144" w:type="dxa"/>
            <w:gridSpan w:val="6"/>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21</w:t>
            </w:r>
          </w:p>
        </w:tc>
        <w:tc>
          <w:tcPr>
            <w:tcW w:w="2724" w:type="dxa"/>
            <w:gridSpan w:val="3"/>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21</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8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A</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B</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1</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C</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D</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2</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E</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F</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3</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G</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H</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422.725</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I</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412.91875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422.91875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J</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412.93125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422.93125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412.925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422.925</w:t>
            </w:r>
          </w:p>
        </w:tc>
      </w:tr>
      <w:tr w:rsidR="0025212D" w:rsidRPr="008A514A" w:rsidTr="00271761">
        <w:trPr>
          <w:trHeight w:val="20"/>
          <w:jc w:val="center"/>
        </w:trPr>
        <w:tc>
          <w:tcPr>
            <w:tcW w:w="6144" w:type="dxa"/>
            <w:gridSpan w:val="6"/>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22</w:t>
            </w:r>
          </w:p>
        </w:tc>
        <w:tc>
          <w:tcPr>
            <w:tcW w:w="2724" w:type="dxa"/>
            <w:gridSpan w:val="3"/>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22</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8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A</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B</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1</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C</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D</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2</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E</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F</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3</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G</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H</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422.750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I</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412.94375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422.94375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J</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412.95625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422.95625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412.950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422.950</w:t>
            </w:r>
          </w:p>
        </w:tc>
      </w:tr>
      <w:tr w:rsidR="0025212D" w:rsidRPr="008A514A" w:rsidTr="00271761">
        <w:trPr>
          <w:trHeight w:val="20"/>
          <w:jc w:val="center"/>
        </w:trPr>
        <w:tc>
          <w:tcPr>
            <w:tcW w:w="6144" w:type="dxa"/>
            <w:gridSpan w:val="6"/>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24</w:t>
            </w:r>
          </w:p>
        </w:tc>
        <w:tc>
          <w:tcPr>
            <w:tcW w:w="2724" w:type="dxa"/>
            <w:gridSpan w:val="3"/>
            <w:noWrap/>
            <w:hideMark/>
          </w:tcPr>
          <w:p w:rsidR="0025212D" w:rsidRPr="008A514A" w:rsidRDefault="0025212D" w:rsidP="008A514A">
            <w:pPr>
              <w:spacing w:after="0" w:line="240" w:lineRule="auto"/>
              <w:jc w:val="center"/>
              <w:rPr>
                <w:rFonts w:ascii="ITC Avant Garde" w:eastAsia="Times New Roman" w:hAnsi="ITC Avant Garde"/>
                <w:b/>
                <w:bCs/>
                <w:color w:val="000000"/>
                <w:sz w:val="18"/>
                <w:szCs w:val="18"/>
              </w:rPr>
            </w:pPr>
            <w:r w:rsidRPr="008A514A">
              <w:rPr>
                <w:rFonts w:ascii="ITC Avant Garde" w:eastAsia="Times New Roman" w:hAnsi="ITC Avant Garde"/>
                <w:b/>
                <w:bCs/>
                <w:color w:val="000000"/>
                <w:sz w:val="18"/>
                <w:szCs w:val="18"/>
              </w:rPr>
              <w:t>Grupo 24</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8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106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c>
          <w:tcPr>
            <w:tcW w:w="994"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r w:rsidRPr="008A514A">
              <w:rPr>
                <w:rFonts w:ascii="ITC Avant Garde" w:eastAsia="Times New Roman" w:hAnsi="ITC Avant Garde"/>
                <w:iCs/>
                <w:color w:val="000000"/>
                <w:sz w:val="18"/>
                <w:szCs w:val="16"/>
              </w:rPr>
              <w:t>Circuito</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Rx</w:t>
            </w:r>
            <w:proofErr w:type="spellEnd"/>
          </w:p>
        </w:tc>
        <w:tc>
          <w:tcPr>
            <w:tcW w:w="865" w:type="dxa"/>
            <w:noWrap/>
            <w:hideMark/>
          </w:tcPr>
          <w:p w:rsidR="0025212D" w:rsidRPr="008A514A" w:rsidRDefault="0025212D" w:rsidP="008A514A">
            <w:pPr>
              <w:spacing w:after="0" w:line="240" w:lineRule="auto"/>
              <w:jc w:val="center"/>
              <w:rPr>
                <w:rFonts w:ascii="ITC Avant Garde" w:eastAsia="Times New Roman" w:hAnsi="ITC Avant Garde"/>
                <w:iCs/>
                <w:color w:val="000000"/>
                <w:sz w:val="18"/>
                <w:szCs w:val="18"/>
              </w:rPr>
            </w:pPr>
            <w:proofErr w:type="spellStart"/>
            <w:r w:rsidRPr="008A514A">
              <w:rPr>
                <w:rFonts w:ascii="ITC Avant Garde" w:eastAsia="Times New Roman" w:hAnsi="ITC Avant Garde"/>
                <w:iCs/>
                <w:color w:val="000000"/>
                <w:sz w:val="18"/>
                <w:szCs w:val="16"/>
              </w:rPr>
              <w:t>Tx</w:t>
            </w:r>
            <w:proofErr w:type="spellEnd"/>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A</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412.19375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422.19375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B</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412.20625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422.20625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1</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412.200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422.200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C</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412.39375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422.39375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D</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412.40625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422.40625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2</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412.400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422.400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E</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412.59375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422.59375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F</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412.60625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422.60625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3</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412.600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422.600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G</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412.79375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422.79375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H</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412.80625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422.80625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412.800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422.800</w:t>
            </w:r>
          </w:p>
        </w:tc>
      </w:tr>
      <w:tr w:rsidR="0025212D" w:rsidRPr="008A514A" w:rsidTr="00271761">
        <w:trPr>
          <w:trHeight w:val="20"/>
          <w:jc w:val="center"/>
        </w:trPr>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I</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412.99375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422.99375</w:t>
            </w:r>
          </w:p>
        </w:tc>
        <w:tc>
          <w:tcPr>
            <w:tcW w:w="8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J</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413.00625</w:t>
            </w:r>
          </w:p>
        </w:tc>
        <w:tc>
          <w:tcPr>
            <w:tcW w:w="106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423.00625</w:t>
            </w:r>
          </w:p>
        </w:tc>
        <w:tc>
          <w:tcPr>
            <w:tcW w:w="994"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5</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413.000</w:t>
            </w:r>
          </w:p>
        </w:tc>
        <w:tc>
          <w:tcPr>
            <w:tcW w:w="865" w:type="dxa"/>
            <w:noWrap/>
            <w:hideMark/>
          </w:tcPr>
          <w:p w:rsidR="0025212D" w:rsidRPr="008A514A" w:rsidRDefault="0025212D" w:rsidP="008A514A">
            <w:pPr>
              <w:spacing w:after="0" w:line="240" w:lineRule="auto"/>
              <w:jc w:val="center"/>
              <w:rPr>
                <w:rFonts w:ascii="ITC Avant Garde" w:eastAsia="Times New Roman" w:hAnsi="ITC Avant Garde"/>
                <w:color w:val="000000"/>
                <w:sz w:val="18"/>
                <w:szCs w:val="18"/>
              </w:rPr>
            </w:pPr>
            <w:r w:rsidRPr="008A514A">
              <w:rPr>
                <w:rFonts w:ascii="ITC Avant Garde" w:eastAsia="Times New Roman" w:hAnsi="ITC Avant Garde"/>
                <w:color w:val="000000"/>
                <w:sz w:val="18"/>
                <w:szCs w:val="18"/>
              </w:rPr>
              <w:t>423.000</w:t>
            </w:r>
          </w:p>
        </w:tc>
      </w:tr>
    </w:tbl>
    <w:p w:rsidR="00692844" w:rsidRPr="008A514A" w:rsidRDefault="00692844" w:rsidP="008A514A">
      <w:pPr>
        <w:spacing w:before="240"/>
        <w:rPr>
          <w:sz w:val="14"/>
        </w:rPr>
      </w:pPr>
    </w:p>
    <w:sectPr w:rsidR="00692844" w:rsidRPr="008A514A" w:rsidSect="00811B70">
      <w:pgSz w:w="12240" w:h="15840"/>
      <w:pgMar w:top="226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64D" w:rsidRDefault="003C764D" w:rsidP="009312DC">
      <w:pPr>
        <w:spacing w:after="0" w:line="240" w:lineRule="auto"/>
      </w:pPr>
      <w:r>
        <w:separator/>
      </w:r>
    </w:p>
  </w:endnote>
  <w:endnote w:type="continuationSeparator" w:id="0">
    <w:p w:rsidR="003C764D" w:rsidRDefault="003C764D" w:rsidP="00931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ITC Avant Garde" w:hAnsi="ITC Avant Garde"/>
        <w:noProof/>
        <w:sz w:val="20"/>
        <w:lang w:val="es-ES"/>
      </w:rPr>
      <w:id w:val="16206603"/>
      <w:docPartObj>
        <w:docPartGallery w:val="Page Numbers (Bottom of Page)"/>
        <w:docPartUnique/>
      </w:docPartObj>
    </w:sdtPr>
    <w:sdtContent>
      <w:p w:rsidR="008A514A" w:rsidRPr="008A514A" w:rsidRDefault="008A514A" w:rsidP="008A514A">
        <w:pPr>
          <w:pStyle w:val="Piedepgina"/>
          <w:jc w:val="right"/>
          <w:rPr>
            <w:rFonts w:ascii="ITC Avant Garde" w:hAnsi="ITC Avant Garde"/>
            <w:noProof/>
            <w:sz w:val="20"/>
            <w:lang w:val="es-ES"/>
          </w:rPr>
        </w:pPr>
        <w:r w:rsidRPr="00335597">
          <w:rPr>
            <w:rFonts w:ascii="ITC Avant Garde" w:hAnsi="ITC Avant Garde"/>
            <w:noProof/>
            <w:sz w:val="20"/>
            <w:lang w:val="es-ES"/>
          </w:rPr>
          <w:fldChar w:fldCharType="begin"/>
        </w:r>
        <w:r w:rsidRPr="00335597">
          <w:rPr>
            <w:rFonts w:ascii="ITC Avant Garde" w:hAnsi="ITC Avant Garde"/>
            <w:noProof/>
            <w:sz w:val="20"/>
            <w:lang w:val="es-ES"/>
          </w:rPr>
          <w:instrText>PAGE   \* MERGEFORMAT</w:instrText>
        </w:r>
        <w:r w:rsidRPr="00335597">
          <w:rPr>
            <w:rFonts w:ascii="ITC Avant Garde" w:hAnsi="ITC Avant Garde"/>
            <w:noProof/>
            <w:sz w:val="20"/>
            <w:lang w:val="es-ES"/>
          </w:rPr>
          <w:fldChar w:fldCharType="separate"/>
        </w:r>
        <w:r w:rsidR="00271761">
          <w:rPr>
            <w:rFonts w:ascii="ITC Avant Garde" w:hAnsi="ITC Avant Garde"/>
            <w:noProof/>
            <w:sz w:val="20"/>
            <w:lang w:val="es-ES"/>
          </w:rPr>
          <w:t>13</w:t>
        </w:r>
        <w:r w:rsidRPr="00335597">
          <w:rPr>
            <w:rFonts w:ascii="ITC Avant Garde" w:hAnsi="ITC Avant Garde"/>
            <w:noProof/>
            <w:sz w:val="20"/>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64D" w:rsidRDefault="003C764D" w:rsidP="009312DC">
      <w:pPr>
        <w:spacing w:after="0" w:line="240" w:lineRule="auto"/>
      </w:pPr>
      <w:r>
        <w:separator/>
      </w:r>
    </w:p>
  </w:footnote>
  <w:footnote w:type="continuationSeparator" w:id="0">
    <w:p w:rsidR="003C764D" w:rsidRDefault="003C764D" w:rsidP="009312DC">
      <w:pPr>
        <w:spacing w:after="0" w:line="240" w:lineRule="auto"/>
      </w:pPr>
      <w:r>
        <w:continuationSeparator/>
      </w:r>
    </w:p>
  </w:footnote>
  <w:footnote w:id="1">
    <w:p w:rsidR="008A514A" w:rsidRPr="001B59D1" w:rsidRDefault="008A514A" w:rsidP="008462CE">
      <w:pPr>
        <w:pStyle w:val="Textonotapie"/>
        <w:jc w:val="both"/>
        <w:rPr>
          <w:rFonts w:ascii="ITC Avant Garde" w:hAnsi="ITC Avant Garde" w:cs="Tahoma"/>
          <w:bCs/>
          <w:i/>
          <w:sz w:val="16"/>
          <w:szCs w:val="16"/>
          <w:lang w:eastAsia="es-MX"/>
        </w:rPr>
      </w:pPr>
      <w:r w:rsidRPr="001B59D1">
        <w:rPr>
          <w:rStyle w:val="Refdenotaalpie"/>
          <w:rFonts w:ascii="ITC Avant Garde" w:hAnsi="ITC Avant Garde"/>
          <w:i/>
        </w:rPr>
        <w:footnoteRef/>
      </w:r>
      <w:r w:rsidRPr="001B59D1">
        <w:rPr>
          <w:rFonts w:ascii="ITC Avant Garde" w:hAnsi="ITC Avant Garde"/>
          <w:i/>
        </w:rPr>
        <w:t xml:space="preserve"> “</w:t>
      </w:r>
      <w:r w:rsidRPr="001B59D1">
        <w:rPr>
          <w:rFonts w:ascii="ITC Avant Garde" w:hAnsi="ITC Avant Garde" w:cs="Tahoma"/>
          <w:bCs/>
          <w:i/>
          <w:sz w:val="16"/>
          <w:szCs w:val="16"/>
          <w:lang w:eastAsia="es-MX"/>
        </w:rPr>
        <w:t xml:space="preserve">Protocolo entre la Secretaría de Comunicaciones y Transportes de los Estados Unidos Mexicanos y el </w:t>
      </w:r>
      <w:proofErr w:type="spellStart"/>
      <w:r w:rsidRPr="001B59D1">
        <w:rPr>
          <w:rFonts w:ascii="ITC Avant Garde" w:hAnsi="ITC Avant Garde" w:cs="Tahoma"/>
          <w:bCs/>
          <w:i/>
          <w:sz w:val="16"/>
          <w:szCs w:val="16"/>
          <w:lang w:eastAsia="es-MX"/>
        </w:rPr>
        <w:t>Department</w:t>
      </w:r>
      <w:proofErr w:type="spellEnd"/>
      <w:r w:rsidRPr="001B59D1">
        <w:rPr>
          <w:rFonts w:ascii="ITC Avant Garde" w:hAnsi="ITC Avant Garde" w:cs="Tahoma"/>
          <w:bCs/>
          <w:i/>
          <w:sz w:val="16"/>
          <w:szCs w:val="16"/>
          <w:lang w:eastAsia="es-MX"/>
        </w:rPr>
        <w:t xml:space="preserve"> of </w:t>
      </w:r>
      <w:proofErr w:type="spellStart"/>
      <w:r w:rsidRPr="001B59D1">
        <w:rPr>
          <w:rFonts w:ascii="ITC Avant Garde" w:hAnsi="ITC Avant Garde" w:cs="Tahoma"/>
          <w:bCs/>
          <w:i/>
          <w:sz w:val="16"/>
          <w:szCs w:val="16"/>
          <w:lang w:eastAsia="es-MX"/>
        </w:rPr>
        <w:t>State</w:t>
      </w:r>
      <w:proofErr w:type="spellEnd"/>
      <w:r w:rsidRPr="001B59D1">
        <w:rPr>
          <w:rFonts w:ascii="ITC Avant Garde" w:hAnsi="ITC Avant Garde" w:cs="Tahoma"/>
          <w:bCs/>
          <w:i/>
          <w:sz w:val="16"/>
          <w:szCs w:val="16"/>
          <w:lang w:eastAsia="es-MX"/>
        </w:rPr>
        <w:t xml:space="preserve"> de los Estados Unidos de América (EUA) relativo a la Adjudicación y Uso de la Banda de 406.1-420 MHz para los Servicios Fijo y Móvil a lo Largo de la Frontera Común”, disponible en:</w:t>
      </w:r>
    </w:p>
    <w:p w:rsidR="008A514A" w:rsidRPr="001B59D1" w:rsidRDefault="008A514A" w:rsidP="008462CE">
      <w:pPr>
        <w:pStyle w:val="Textonotapie"/>
        <w:jc w:val="both"/>
        <w:rPr>
          <w:rFonts w:ascii="ITC Avant Garde" w:hAnsi="ITC Avant Garde" w:cs="Tahoma"/>
          <w:bCs/>
          <w:i/>
          <w:sz w:val="16"/>
          <w:szCs w:val="16"/>
          <w:lang w:eastAsia="es-MX"/>
        </w:rPr>
      </w:pPr>
      <w:r w:rsidRPr="001B59D1">
        <w:rPr>
          <w:rFonts w:ascii="ITC Avant Garde" w:hAnsi="ITC Avant Garde" w:cs="Tahoma"/>
          <w:bCs/>
          <w:i/>
          <w:sz w:val="16"/>
          <w:szCs w:val="16"/>
          <w:lang w:eastAsia="es-MX"/>
        </w:rPr>
        <w:t>http://www.ift.org.mx/sites/default/files/industria/asuntos-internacionales/protocolo4061420mhzing27jul05.pdf</w:t>
      </w:r>
    </w:p>
  </w:footnote>
  <w:footnote w:id="2">
    <w:p w:rsidR="008A514A" w:rsidRPr="001C230A" w:rsidRDefault="008A514A" w:rsidP="008462CE">
      <w:pPr>
        <w:pStyle w:val="Textonotapie"/>
        <w:rPr>
          <w:lang w:val="en-US"/>
        </w:rPr>
      </w:pPr>
      <w:r w:rsidRPr="001B59D1">
        <w:rPr>
          <w:rStyle w:val="Refdenotaalpie"/>
          <w:rFonts w:ascii="ITC Avant Garde" w:hAnsi="ITC Avant Garde"/>
          <w:i/>
        </w:rPr>
        <w:footnoteRef/>
      </w:r>
      <w:r w:rsidRPr="001B59D1">
        <w:rPr>
          <w:rFonts w:ascii="ITC Avant Garde" w:hAnsi="ITC Avant Garde"/>
          <w:i/>
          <w:lang w:val="en-US"/>
        </w:rPr>
        <w:t xml:space="preserve"> </w:t>
      </w:r>
      <w:r w:rsidRPr="001B59D1">
        <w:rPr>
          <w:rFonts w:ascii="ITC Avant Garde" w:hAnsi="ITC Avant Garde" w:cs="Tahoma"/>
          <w:bCs/>
          <w:i/>
          <w:sz w:val="16"/>
          <w:szCs w:val="16"/>
          <w:lang w:val="en-US" w:eastAsia="es-MX"/>
        </w:rPr>
        <w:t xml:space="preserve">“ETSI TS 102 361-4 V1.8.1 (2016-02). Electromagnetic compatibility and Radio spectrum Matters (ERM); Digital Mobile Radio (DMR) Systems; Part 4: DMR </w:t>
      </w:r>
      <w:proofErr w:type="spellStart"/>
      <w:r w:rsidRPr="001B59D1">
        <w:rPr>
          <w:rFonts w:ascii="ITC Avant Garde" w:hAnsi="ITC Avant Garde" w:cs="Tahoma"/>
          <w:bCs/>
          <w:i/>
          <w:sz w:val="16"/>
          <w:szCs w:val="16"/>
          <w:lang w:val="en-US" w:eastAsia="es-MX"/>
        </w:rPr>
        <w:t>trunking</w:t>
      </w:r>
      <w:proofErr w:type="spellEnd"/>
      <w:r w:rsidRPr="001B59D1">
        <w:rPr>
          <w:rFonts w:ascii="ITC Avant Garde" w:hAnsi="ITC Avant Garde" w:cs="Tahoma"/>
          <w:bCs/>
          <w:i/>
          <w:sz w:val="16"/>
          <w:szCs w:val="16"/>
          <w:lang w:val="en-US" w:eastAsia="es-MX"/>
        </w:rPr>
        <w:t xml:space="preserve"> protocol”, </w:t>
      </w:r>
      <w:proofErr w:type="spellStart"/>
      <w:r w:rsidRPr="001B59D1">
        <w:rPr>
          <w:rFonts w:ascii="ITC Avant Garde" w:hAnsi="ITC Avant Garde" w:cs="Tahoma"/>
          <w:bCs/>
          <w:i/>
          <w:sz w:val="16"/>
          <w:szCs w:val="16"/>
          <w:lang w:val="en-US" w:eastAsia="es-MX"/>
        </w:rPr>
        <w:t>disponible</w:t>
      </w:r>
      <w:proofErr w:type="spellEnd"/>
      <w:r w:rsidRPr="001B59D1">
        <w:rPr>
          <w:rFonts w:ascii="ITC Avant Garde" w:hAnsi="ITC Avant Garde" w:cs="Tahoma"/>
          <w:bCs/>
          <w:i/>
          <w:sz w:val="16"/>
          <w:szCs w:val="16"/>
          <w:lang w:val="en-US" w:eastAsia="es-MX"/>
        </w:rPr>
        <w:t xml:space="preserve"> </w:t>
      </w:r>
      <w:proofErr w:type="spellStart"/>
      <w:r w:rsidRPr="001B59D1">
        <w:rPr>
          <w:rFonts w:ascii="ITC Avant Garde" w:hAnsi="ITC Avant Garde" w:cs="Tahoma"/>
          <w:bCs/>
          <w:i/>
          <w:sz w:val="16"/>
          <w:szCs w:val="16"/>
          <w:lang w:val="en-US" w:eastAsia="es-MX"/>
        </w:rPr>
        <w:t>en</w:t>
      </w:r>
      <w:proofErr w:type="spellEnd"/>
      <w:r w:rsidRPr="001B59D1">
        <w:rPr>
          <w:rFonts w:ascii="ITC Avant Garde" w:hAnsi="ITC Avant Garde" w:cs="Tahoma"/>
          <w:bCs/>
          <w:i/>
          <w:sz w:val="16"/>
          <w:szCs w:val="16"/>
          <w:lang w:val="en-US" w:eastAsia="es-MX"/>
        </w:rPr>
        <w:t>: http://www.etsi.org/deliver/etsi_ts/102300_102399/10236104/01.08.01_60/ts_10236104v010801p.pdf</w:t>
      </w:r>
    </w:p>
  </w:footnote>
  <w:footnote w:id="3">
    <w:p w:rsidR="008A514A" w:rsidRPr="001745FB" w:rsidRDefault="008A514A" w:rsidP="00FC0A40">
      <w:pPr>
        <w:pStyle w:val="Textonotapie"/>
        <w:jc w:val="both"/>
        <w:rPr>
          <w:i/>
        </w:rPr>
      </w:pPr>
      <w:r w:rsidRPr="001745FB">
        <w:rPr>
          <w:rStyle w:val="Refdenotaalpie"/>
          <w:i/>
        </w:rPr>
        <w:footnoteRef/>
      </w:r>
      <w:r w:rsidRPr="001745FB">
        <w:rPr>
          <w:i/>
        </w:rPr>
        <w:t xml:space="preserve"> </w:t>
      </w:r>
      <w:r w:rsidRPr="00FC0A40">
        <w:rPr>
          <w:rFonts w:ascii="ITC Avant Garde" w:hAnsi="ITC Avant Garde" w:cs="Tahoma"/>
          <w:bCs/>
          <w:sz w:val="16"/>
          <w:szCs w:val="16"/>
          <w:lang w:eastAsia="es-MX"/>
        </w:rPr>
        <w:t xml:space="preserve">Unidad de Espectro Radioeléctrico, Dirección General de Ingeniería del Espectro y Estudios Técnicos, Anexos II y III del Oficio IFT/222/UER/DG-IEET/625/2015 de fecha 19 de junio de 2015, mismo que </w:t>
      </w:r>
      <w:r>
        <w:rPr>
          <w:rFonts w:ascii="ITC Avant Garde" w:hAnsi="ITC Avant Garde" w:cs="Tahoma"/>
          <w:bCs/>
          <w:sz w:val="16"/>
          <w:szCs w:val="16"/>
          <w:lang w:eastAsia="es-MX"/>
        </w:rPr>
        <w:t xml:space="preserve">forma parte del expediente de la prórroga de vigencia </w:t>
      </w:r>
      <w:r w:rsidRPr="00FC0A40">
        <w:rPr>
          <w:rFonts w:ascii="ITC Avant Garde" w:hAnsi="ITC Avant Garde" w:cs="Tahoma"/>
          <w:bCs/>
          <w:sz w:val="16"/>
          <w:szCs w:val="16"/>
          <w:lang w:eastAsia="es-MX"/>
        </w:rPr>
        <w:t>del título de concesión para instalar, operar y explotar por un periodo de 15 (quince) años, una red pública del servicio móvil de radiocomunicación especializada de flotillas en la banda de frecuencias 806-821/851-866 MHz, otorgado el 3 de junio de 1994</w:t>
      </w:r>
      <w:r>
        <w:rPr>
          <w:rFonts w:ascii="ITC Avant Garde" w:hAnsi="ITC Avant Garde" w:cs="Tahoma"/>
          <w:bCs/>
          <w:sz w:val="16"/>
          <w:szCs w:val="16"/>
          <w:lang w:eastAsia="es-MX"/>
        </w:rPr>
        <w:t xml:space="preserve"> a Radiocomunicaciones y Servicios, S.A. de C.V</w:t>
      </w:r>
      <w:r w:rsidRPr="00FC0A40">
        <w:rPr>
          <w:rFonts w:ascii="ITC Avant Garde" w:hAnsi="ITC Avant Garde" w:cs="Tahoma"/>
          <w:bCs/>
          <w:sz w:val="16"/>
          <w:szCs w:val="16"/>
          <w:lang w:eastAsia="es-MX"/>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4A" w:rsidRDefault="008A514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14A" w:rsidRPr="000F5E4B" w:rsidRDefault="008A514A">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479"/>
    <w:multiLevelType w:val="hybridMultilevel"/>
    <w:tmpl w:val="70668612"/>
    <w:lvl w:ilvl="0" w:tplc="D47C3BE0">
      <w:start w:val="4"/>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6C5E3E"/>
    <w:multiLevelType w:val="hybridMultilevel"/>
    <w:tmpl w:val="FD80D590"/>
    <w:lvl w:ilvl="0" w:tplc="4852DE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7D4E"/>
    <w:multiLevelType w:val="hybridMultilevel"/>
    <w:tmpl w:val="144AD522"/>
    <w:lvl w:ilvl="0" w:tplc="D4EE51B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25154179"/>
    <w:multiLevelType w:val="hybridMultilevel"/>
    <w:tmpl w:val="397CAC7C"/>
    <w:lvl w:ilvl="0" w:tplc="88C8C28E">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417444C9"/>
    <w:multiLevelType w:val="hybridMultilevel"/>
    <w:tmpl w:val="19D2D6D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D9483804"/>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F6A489C"/>
    <w:multiLevelType w:val="hybridMultilevel"/>
    <w:tmpl w:val="8E9C8796"/>
    <w:lvl w:ilvl="0" w:tplc="F10AA95C">
      <w:start w:val="2"/>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2058B1"/>
    <w:multiLevelType w:val="hybridMultilevel"/>
    <w:tmpl w:val="FD80D590"/>
    <w:lvl w:ilvl="0" w:tplc="4852DE7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90262EF"/>
    <w:multiLevelType w:val="multilevel"/>
    <w:tmpl w:val="D6F89D14"/>
    <w:lvl w:ilvl="0">
      <w:start w:val="1"/>
      <w:numFmt w:val="decimal"/>
      <w:lvlText w:val="%1."/>
      <w:lvlJc w:val="left"/>
      <w:pPr>
        <w:ind w:left="3480" w:hanging="360"/>
      </w:pPr>
      <w:rPr>
        <w:b/>
        <w:sz w:val="22"/>
      </w:rPr>
    </w:lvl>
    <w:lvl w:ilvl="1">
      <w:start w:val="1"/>
      <w:numFmt w:val="decimal"/>
      <w:lvlText w:val="%1.%2."/>
      <w:lvlJc w:val="left"/>
      <w:pPr>
        <w:ind w:left="397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BD24EF"/>
    <w:multiLevelType w:val="multilevel"/>
    <w:tmpl w:val="5736151E"/>
    <w:lvl w:ilvl="0">
      <w:start w:val="2"/>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DAF59E2"/>
    <w:multiLevelType w:val="hybridMultilevel"/>
    <w:tmpl w:val="0C6CE6D4"/>
    <w:lvl w:ilvl="0" w:tplc="141CDD56">
      <w:start w:val="1"/>
      <w:numFmt w:val="upperRoman"/>
      <w:lvlText w:val="%1."/>
      <w:lvlJc w:val="left"/>
      <w:pPr>
        <w:ind w:left="1080" w:hanging="720"/>
      </w:pPr>
      <w:rPr>
        <w:rFonts w:ascii="ITC Avant Garde Std Bk" w:eastAsia="Calibri" w:hAnsi="ITC Avant Garde Std Bk" w:cs="Times New Roman"/>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DEA47E8"/>
    <w:multiLevelType w:val="hybridMultilevel"/>
    <w:tmpl w:val="F95E177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9"/>
  </w:num>
  <w:num w:numId="3">
    <w:abstractNumId w:val="11"/>
  </w:num>
  <w:num w:numId="4">
    <w:abstractNumId w:val="0"/>
  </w:num>
  <w:num w:numId="5">
    <w:abstractNumId w:val="3"/>
  </w:num>
  <w:num w:numId="6">
    <w:abstractNumId w:val="10"/>
  </w:num>
  <w:num w:numId="7">
    <w:abstractNumId w:val="8"/>
  </w:num>
  <w:num w:numId="8">
    <w:abstractNumId w:val="4"/>
  </w:num>
  <w:num w:numId="9">
    <w:abstractNumId w:val="2"/>
  </w:num>
  <w:num w:numId="10">
    <w:abstractNumId w:val="7"/>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2DC"/>
    <w:rsid w:val="00023ACF"/>
    <w:rsid w:val="0005347E"/>
    <w:rsid w:val="0006486E"/>
    <w:rsid w:val="00071180"/>
    <w:rsid w:val="00095EBE"/>
    <w:rsid w:val="000B6B24"/>
    <w:rsid w:val="000C0329"/>
    <w:rsid w:val="00145575"/>
    <w:rsid w:val="001554D9"/>
    <w:rsid w:val="001745FB"/>
    <w:rsid w:val="001B59D1"/>
    <w:rsid w:val="001E256B"/>
    <w:rsid w:val="0025212D"/>
    <w:rsid w:val="002615A1"/>
    <w:rsid w:val="00271761"/>
    <w:rsid w:val="00290D8A"/>
    <w:rsid w:val="002B3726"/>
    <w:rsid w:val="003120F8"/>
    <w:rsid w:val="00314849"/>
    <w:rsid w:val="00335597"/>
    <w:rsid w:val="00343EC7"/>
    <w:rsid w:val="00361072"/>
    <w:rsid w:val="003C764D"/>
    <w:rsid w:val="003E0085"/>
    <w:rsid w:val="0041536A"/>
    <w:rsid w:val="00433E01"/>
    <w:rsid w:val="004413DC"/>
    <w:rsid w:val="00452E38"/>
    <w:rsid w:val="00480184"/>
    <w:rsid w:val="00485AB1"/>
    <w:rsid w:val="004C060B"/>
    <w:rsid w:val="004C18B1"/>
    <w:rsid w:val="004C53F4"/>
    <w:rsid w:val="004C6003"/>
    <w:rsid w:val="005018C8"/>
    <w:rsid w:val="00506918"/>
    <w:rsid w:val="005568A1"/>
    <w:rsid w:val="005E51D0"/>
    <w:rsid w:val="00604492"/>
    <w:rsid w:val="00643F35"/>
    <w:rsid w:val="00661E3A"/>
    <w:rsid w:val="00692844"/>
    <w:rsid w:val="006F2DA4"/>
    <w:rsid w:val="00716500"/>
    <w:rsid w:val="00754CDC"/>
    <w:rsid w:val="007557B1"/>
    <w:rsid w:val="00756AD7"/>
    <w:rsid w:val="007674B8"/>
    <w:rsid w:val="007A6D14"/>
    <w:rsid w:val="00811B70"/>
    <w:rsid w:val="008155AA"/>
    <w:rsid w:val="00830379"/>
    <w:rsid w:val="008462CE"/>
    <w:rsid w:val="008A0227"/>
    <w:rsid w:val="008A514A"/>
    <w:rsid w:val="008A7A48"/>
    <w:rsid w:val="008C6758"/>
    <w:rsid w:val="008E2244"/>
    <w:rsid w:val="00920579"/>
    <w:rsid w:val="00921CDE"/>
    <w:rsid w:val="009312DC"/>
    <w:rsid w:val="00952D02"/>
    <w:rsid w:val="0097765D"/>
    <w:rsid w:val="009D3E8C"/>
    <w:rsid w:val="00A1708D"/>
    <w:rsid w:val="00A171F6"/>
    <w:rsid w:val="00A73D20"/>
    <w:rsid w:val="00A9759F"/>
    <w:rsid w:val="00AA6F94"/>
    <w:rsid w:val="00AE0EE8"/>
    <w:rsid w:val="00AF0A1E"/>
    <w:rsid w:val="00B3610A"/>
    <w:rsid w:val="00B572A9"/>
    <w:rsid w:val="00B71F11"/>
    <w:rsid w:val="00B83393"/>
    <w:rsid w:val="00BD5294"/>
    <w:rsid w:val="00BE3A80"/>
    <w:rsid w:val="00C41B21"/>
    <w:rsid w:val="00C753D6"/>
    <w:rsid w:val="00CB07D9"/>
    <w:rsid w:val="00D46FBB"/>
    <w:rsid w:val="00D933E8"/>
    <w:rsid w:val="00DA184A"/>
    <w:rsid w:val="00DE5791"/>
    <w:rsid w:val="00E27889"/>
    <w:rsid w:val="00E42B52"/>
    <w:rsid w:val="00E8178A"/>
    <w:rsid w:val="00F06546"/>
    <w:rsid w:val="00FB77DD"/>
    <w:rsid w:val="00FC0A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9C2BBBC-58B9-463B-81BC-F0B98A55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2DC"/>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A51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A51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2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12DC"/>
    <w:rPr>
      <w:rFonts w:ascii="Calibri" w:eastAsia="Calibri" w:hAnsi="Calibri" w:cs="Times New Roman"/>
    </w:rPr>
  </w:style>
  <w:style w:type="paragraph" w:styleId="Prrafodelista">
    <w:name w:val="List Paragraph"/>
    <w:basedOn w:val="Normal"/>
    <w:link w:val="PrrafodelistaCar"/>
    <w:uiPriority w:val="34"/>
    <w:qFormat/>
    <w:rsid w:val="009312DC"/>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9312DC"/>
  </w:style>
  <w:style w:type="character" w:customStyle="1" w:styleId="PrrafodelistaCar">
    <w:name w:val="Párrafo de lista Car"/>
    <w:link w:val="Prrafodelista"/>
    <w:uiPriority w:val="34"/>
    <w:rsid w:val="009312DC"/>
    <w:rPr>
      <w:rFonts w:ascii="Arial" w:eastAsia="Times New Roman" w:hAnsi="Arial" w:cs="Times New Roman"/>
      <w:sz w:val="24"/>
      <w:szCs w:val="20"/>
      <w:lang w:val="es-ES" w:eastAsia="es-ES"/>
    </w:rPr>
  </w:style>
  <w:style w:type="table" w:styleId="Tablaconcuadrcula">
    <w:name w:val="Table Grid"/>
    <w:basedOn w:val="Tablanormal"/>
    <w:uiPriority w:val="59"/>
    <w:rsid w:val="009312DC"/>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312D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12DC"/>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9312DC"/>
    <w:rPr>
      <w:vertAlign w:val="superscript"/>
    </w:rPr>
  </w:style>
  <w:style w:type="paragraph" w:customStyle="1" w:styleId="Default">
    <w:name w:val="Default"/>
    <w:rsid w:val="008462CE"/>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uiPriority w:val="99"/>
    <w:unhideWhenUsed/>
    <w:rsid w:val="008462CE"/>
    <w:pPr>
      <w:spacing w:after="120" w:line="259" w:lineRule="auto"/>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rsid w:val="008462CE"/>
  </w:style>
  <w:style w:type="paragraph" w:styleId="Textodeglobo">
    <w:name w:val="Balloon Text"/>
    <w:basedOn w:val="Normal"/>
    <w:link w:val="TextodegloboCar"/>
    <w:uiPriority w:val="99"/>
    <w:semiHidden/>
    <w:unhideWhenUsed/>
    <w:rsid w:val="001745F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5FB"/>
    <w:rPr>
      <w:rFonts w:ascii="Segoe UI" w:eastAsia="Calibri" w:hAnsi="Segoe UI" w:cs="Segoe UI"/>
      <w:sz w:val="18"/>
      <w:szCs w:val="18"/>
    </w:rPr>
  </w:style>
  <w:style w:type="paragraph" w:styleId="Piedepgina">
    <w:name w:val="footer"/>
    <w:basedOn w:val="Normal"/>
    <w:link w:val="PiedepginaCar"/>
    <w:uiPriority w:val="99"/>
    <w:unhideWhenUsed/>
    <w:rsid w:val="003355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597"/>
    <w:rPr>
      <w:rFonts w:ascii="Calibri" w:eastAsia="Calibri" w:hAnsi="Calibri" w:cs="Times New Roman"/>
    </w:rPr>
  </w:style>
  <w:style w:type="character" w:customStyle="1" w:styleId="Ttulo1Car">
    <w:name w:val="Título 1 Car"/>
    <w:basedOn w:val="Fuentedeprrafopredeter"/>
    <w:link w:val="Ttulo1"/>
    <w:uiPriority w:val="9"/>
    <w:rsid w:val="008A514A"/>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A514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5FCE-E119-4771-98F2-829C4C1E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5369</Words>
  <Characters>29534</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Nathali Gomez Rodriguez</dc:creator>
  <cp:keywords/>
  <dc:description/>
  <cp:lastModifiedBy>Maria del Consuelo Gonzalez Moreno</cp:lastModifiedBy>
  <cp:revision>4</cp:revision>
  <dcterms:created xsi:type="dcterms:W3CDTF">2017-04-19T23:11:00Z</dcterms:created>
  <dcterms:modified xsi:type="dcterms:W3CDTF">2017-05-08T22:09:00Z</dcterms:modified>
</cp:coreProperties>
</file>