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9BF" w:rsidRPr="002F215F" w:rsidRDefault="001409BF" w:rsidP="00B05625">
      <w:pPr>
        <w:pStyle w:val="Ttulo1"/>
        <w:spacing w:after="240" w:line="240" w:lineRule="auto"/>
        <w:jc w:val="both"/>
        <w:rPr>
          <w:rFonts w:ascii="ITC Avant Garde" w:hAnsi="ITC Avant Garde"/>
          <w:b/>
          <w:color w:val="000000" w:themeColor="text1"/>
          <w:sz w:val="24"/>
          <w:szCs w:val="24"/>
          <w:lang w:eastAsia="es-MX"/>
        </w:rPr>
      </w:pPr>
      <w:r w:rsidRPr="002F215F">
        <w:rPr>
          <w:rFonts w:ascii="ITC Avant Garde" w:hAnsi="ITC Avant Garde"/>
          <w:b/>
          <w:color w:val="000000" w:themeColor="text1"/>
          <w:sz w:val="24"/>
          <w:szCs w:val="24"/>
          <w:lang w:eastAsia="es-MX"/>
        </w:rPr>
        <w:t>RESOLUCIÓN MEDIANTE LA CUAL EL PLENO DEL INSTITUTO FEDERAL DE TELECOMUNICACIONES PRORROGA LA VIGENCIA Y AUTORIZA LA TRANSICIÓN AL RÉGIMEN DE CONCESIÓN DE LA LEY FEDERAL DE TELECOMUNICACIONES Y RADIODIFUSIÓN DE VEINTISÉIS PERMISOS DE RADIODIFUSIÓN, PARA LO CUAL OTORGA RESPECTIVAMENTE, UNA CONCESIÓN PARA USAR Y APROVECHAR BANDAS DE FRECUENCIAS DEL ESPECTRO RADIOELÉCTRICO</w:t>
      </w:r>
      <w:r w:rsidR="00E50A28" w:rsidRPr="002F215F">
        <w:rPr>
          <w:rFonts w:ascii="ITC Avant Garde" w:hAnsi="ITC Avant Garde"/>
          <w:b/>
          <w:color w:val="000000" w:themeColor="text1"/>
          <w:sz w:val="24"/>
          <w:szCs w:val="24"/>
          <w:lang w:eastAsia="es-MX"/>
        </w:rPr>
        <w:t xml:space="preserve"> PARA</w:t>
      </w:r>
      <w:r w:rsidRPr="002F215F">
        <w:rPr>
          <w:rFonts w:ascii="ITC Avant Garde" w:hAnsi="ITC Avant Garde"/>
          <w:b/>
          <w:color w:val="000000" w:themeColor="text1"/>
          <w:sz w:val="24"/>
          <w:szCs w:val="24"/>
          <w:lang w:eastAsia="es-MX"/>
        </w:rPr>
        <w:t xml:space="preserve"> USO PÚBLICO PARA LA PRESTACIÓN DEL SERVICIO DE TELEVISIÓN DIGITAL TERRESTRE</w:t>
      </w:r>
    </w:p>
    <w:p w:rsidR="00B05625" w:rsidRPr="002F215F" w:rsidRDefault="001409BF" w:rsidP="00B0562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F215F">
        <w:rPr>
          <w:rFonts w:ascii="ITC Avant Garde" w:hAnsi="ITC Avant Garde"/>
          <w:b/>
          <w:color w:val="000000" w:themeColor="text1"/>
          <w:sz w:val="22"/>
          <w:szCs w:val="22"/>
        </w:rPr>
        <w:t>ANTECEDENTES</w:t>
      </w:r>
    </w:p>
    <w:p w:rsidR="00B05625" w:rsidRPr="002F215F" w:rsidRDefault="001409BF" w:rsidP="00B05625">
      <w:pPr>
        <w:numPr>
          <w:ilvl w:val="0"/>
          <w:numId w:val="2"/>
        </w:numPr>
        <w:spacing w:before="240" w:line="240" w:lineRule="auto"/>
        <w:ind w:left="426" w:hanging="437"/>
        <w:jc w:val="both"/>
        <w:rPr>
          <w:rFonts w:ascii="ITC Avant Garde" w:eastAsia="Times New Roman" w:hAnsi="ITC Avant Garde" w:cs="Times New Roman"/>
          <w:lang w:eastAsia="es-MX"/>
        </w:rPr>
      </w:pPr>
      <w:r w:rsidRPr="002F215F">
        <w:rPr>
          <w:rFonts w:ascii="ITC Avant Garde" w:eastAsia="Times New Roman" w:hAnsi="ITC Avant Garde" w:cs="Times New Roman"/>
          <w:b/>
          <w:lang w:eastAsia="es-MX"/>
        </w:rPr>
        <w:t xml:space="preserve">Otorgamiento de Permisos. </w:t>
      </w:r>
      <w:r w:rsidRPr="002F215F">
        <w:rPr>
          <w:rFonts w:ascii="ITC Avant Garde" w:eastAsia="Times New Roman" w:hAnsi="ITC Avant Garde" w:cs="Times New Roman"/>
          <w:lang w:eastAsia="es-MX"/>
        </w:rPr>
        <w:t>La extinta Comisión Federal de Telecomunicaciones</w:t>
      </w:r>
      <w:r w:rsidR="00DA28BA" w:rsidRPr="002F215F">
        <w:rPr>
          <w:rFonts w:ascii="ITC Avant Garde" w:eastAsia="Times New Roman" w:hAnsi="ITC Avant Garde" w:cs="Times New Roman"/>
          <w:lang w:eastAsia="es-MX"/>
        </w:rPr>
        <w:t xml:space="preserve"> (la “Comisión”) </w:t>
      </w:r>
      <w:r w:rsidRPr="002F215F">
        <w:rPr>
          <w:rFonts w:ascii="ITC Avant Garde" w:eastAsia="Times New Roman" w:hAnsi="ITC Avant Garde" w:cs="Times New Roman"/>
          <w:lang w:eastAsia="es-MX"/>
        </w:rPr>
        <w:t xml:space="preserve">, de conformidad con la Ley Federal de Radio y Televisión ( la “LFRTV”) otorgó diversos permisos para usar y aprovechar bandas de frecuencias del espectro radioeléctrico (los “Permisos”) a favor de las personas morales de carácter público que se indican en el </w:t>
      </w:r>
      <w:r w:rsidR="00004DF2" w:rsidRPr="002F215F">
        <w:rPr>
          <w:rFonts w:ascii="ITC Avant Garde" w:eastAsia="Times New Roman" w:hAnsi="ITC Avant Garde" w:cs="Times New Roman"/>
          <w:lang w:eastAsia="es-MX"/>
        </w:rPr>
        <w:t xml:space="preserve">Antecedente II </w:t>
      </w:r>
      <w:r w:rsidRPr="002F215F">
        <w:rPr>
          <w:rFonts w:ascii="ITC Avant Garde" w:eastAsia="Times New Roman" w:hAnsi="ITC Avant Garde" w:cs="Times New Roman"/>
          <w:lang w:eastAsia="es-MX"/>
        </w:rPr>
        <w:t xml:space="preserve">(los “Permisionarios”), </w:t>
      </w:r>
      <w:r w:rsidRPr="002F215F">
        <w:rPr>
          <w:rFonts w:ascii="ITC Avant Garde" w:hAnsi="ITC Avant Garde"/>
          <w:lang w:eastAsia="es-MX"/>
        </w:rPr>
        <w:t>para</w:t>
      </w:r>
      <w:r w:rsidR="00004DF2" w:rsidRPr="002F215F">
        <w:rPr>
          <w:rFonts w:ascii="ITC Avant Garde" w:hAnsi="ITC Avant Garde"/>
          <w:lang w:eastAsia="es-MX"/>
        </w:rPr>
        <w:t xml:space="preserve"> prestar el servicio de televisión radiodifundida a</w:t>
      </w:r>
      <w:r w:rsidRPr="002F215F">
        <w:rPr>
          <w:rFonts w:ascii="ITC Avant Garde" w:hAnsi="ITC Avant Garde"/>
          <w:lang w:eastAsia="es-MX"/>
        </w:rPr>
        <w:t xml:space="preserve"> través de </w:t>
      </w:r>
      <w:r w:rsidR="00105B74" w:rsidRPr="002F215F">
        <w:rPr>
          <w:rFonts w:ascii="ITC Avant Garde" w:hAnsi="ITC Avant Garde"/>
          <w:lang w:eastAsia="es-MX"/>
        </w:rPr>
        <w:t xml:space="preserve">las </w:t>
      </w:r>
      <w:r w:rsidRPr="002F215F">
        <w:rPr>
          <w:rFonts w:ascii="ITC Avant Garde" w:hAnsi="ITC Avant Garde"/>
          <w:lang w:eastAsia="es-MX"/>
        </w:rPr>
        <w:t xml:space="preserve">estaciones </w:t>
      </w:r>
      <w:r w:rsidRPr="002F215F">
        <w:rPr>
          <w:rFonts w:ascii="ITC Avant Garde" w:eastAsia="Times New Roman" w:hAnsi="ITC Avant Garde" w:cs="Times New Roman"/>
          <w:lang w:eastAsia="es-MX"/>
        </w:rPr>
        <w:t>con distintivo de llamada,</w:t>
      </w:r>
      <w:r w:rsidR="00004DF2" w:rsidRPr="002F215F">
        <w:rPr>
          <w:rFonts w:ascii="ITC Avant Garde" w:eastAsia="Times New Roman" w:hAnsi="ITC Avant Garde" w:cs="Times New Roman"/>
          <w:lang w:eastAsia="es-MX"/>
        </w:rPr>
        <w:t xml:space="preserve"> canal,</w:t>
      </w:r>
      <w:r w:rsidRPr="002F215F">
        <w:rPr>
          <w:rFonts w:ascii="ITC Avant Garde" w:eastAsia="Times New Roman" w:hAnsi="ITC Avant Garde" w:cs="Times New Roman"/>
          <w:lang w:eastAsia="es-MX"/>
        </w:rPr>
        <w:t xml:space="preserve"> cobertura y vigencia, descritas en el </w:t>
      </w:r>
      <w:r w:rsidRPr="002F215F">
        <w:rPr>
          <w:rFonts w:ascii="ITC Avant Garde" w:eastAsia="Times New Roman" w:hAnsi="ITC Avant Garde" w:cs="Times New Roman"/>
          <w:b/>
          <w:lang w:eastAsia="es-MX"/>
        </w:rPr>
        <w:t>Anexo 1</w:t>
      </w:r>
      <w:r w:rsidRPr="002F215F">
        <w:rPr>
          <w:rFonts w:ascii="ITC Avant Garde" w:eastAsia="Times New Roman" w:hAnsi="ITC Avant Garde" w:cs="Times New Roman"/>
          <w:lang w:eastAsia="es-MX"/>
        </w:rPr>
        <w:t xml:space="preserve"> de la presente Resolución.</w:t>
      </w:r>
    </w:p>
    <w:p w:rsidR="00B05625" w:rsidRPr="002F215F" w:rsidRDefault="001409BF" w:rsidP="00B05625">
      <w:pPr>
        <w:numPr>
          <w:ilvl w:val="0"/>
          <w:numId w:val="2"/>
        </w:numPr>
        <w:spacing w:before="240" w:line="240" w:lineRule="auto"/>
        <w:ind w:left="426" w:hanging="437"/>
        <w:jc w:val="both"/>
        <w:rPr>
          <w:rFonts w:ascii="ITC Avant Garde" w:eastAsia="Times New Roman" w:hAnsi="ITC Avant Garde" w:cs="Times New Roman"/>
          <w:b/>
          <w:bCs/>
          <w:lang w:eastAsia="es-MX"/>
        </w:rPr>
      </w:pPr>
      <w:r w:rsidRPr="002F215F">
        <w:rPr>
          <w:rFonts w:ascii="ITC Avant Garde" w:eastAsia="Times New Roman" w:hAnsi="ITC Avant Garde" w:cs="Times New Roman"/>
          <w:b/>
          <w:bCs/>
          <w:lang w:eastAsia="es-MX"/>
        </w:rPr>
        <w:t xml:space="preserve">Solicitudes de Refrendo o Prórroga. </w:t>
      </w:r>
      <w:r w:rsidRPr="002F215F">
        <w:rPr>
          <w:rFonts w:ascii="ITC Avant Garde" w:eastAsia="Times New Roman" w:hAnsi="ITC Avant Garde" w:cs="Times New Roman"/>
          <w:bCs/>
          <w:lang w:eastAsia="es-MX"/>
        </w:rPr>
        <w:t>Mediante diversos oficios</w:t>
      </w:r>
      <w:r w:rsidRPr="002F215F">
        <w:rPr>
          <w:rFonts w:ascii="ITC Avant Garde" w:hAnsi="ITC Avant Garde"/>
          <w:bCs/>
          <w:lang w:eastAsia="es-MX"/>
        </w:rPr>
        <w:t xml:space="preserve"> con fechas de presentación</w:t>
      </w:r>
      <w:r w:rsidRPr="002F215F">
        <w:rPr>
          <w:rFonts w:ascii="ITC Avant Garde" w:eastAsia="Times New Roman" w:hAnsi="ITC Avant Garde" w:cs="Times New Roman"/>
          <w:bCs/>
          <w:lang w:eastAsia="es-MX"/>
        </w:rPr>
        <w:t xml:space="preserve"> precisadas </w:t>
      </w:r>
      <w:r w:rsidR="00004DF2" w:rsidRPr="002F215F">
        <w:rPr>
          <w:rFonts w:ascii="ITC Avant Garde" w:eastAsia="Times New Roman" w:hAnsi="ITC Avant Garde" w:cs="Times New Roman"/>
          <w:bCs/>
          <w:lang w:eastAsia="es-MX"/>
        </w:rPr>
        <w:t>en el siguiente cuadro</w:t>
      </w:r>
      <w:r w:rsidRPr="002F215F">
        <w:rPr>
          <w:rFonts w:ascii="ITC Avant Garde" w:eastAsia="Times New Roman" w:hAnsi="ITC Avant Garde" w:cs="Times New Roman"/>
          <w:bCs/>
          <w:lang w:eastAsia="es-MX"/>
        </w:rPr>
        <w:t xml:space="preserve">, </w:t>
      </w:r>
      <w:r w:rsidR="00004DF2" w:rsidRPr="002F215F">
        <w:rPr>
          <w:rFonts w:ascii="ITC Avant Garde" w:eastAsia="Times New Roman" w:hAnsi="ITC Avant Garde" w:cs="Times New Roman"/>
          <w:bCs/>
          <w:lang w:eastAsia="es-MX"/>
        </w:rPr>
        <w:t xml:space="preserve"> así como en el citado Anexo 1, </w:t>
      </w:r>
      <w:r w:rsidRPr="002F215F">
        <w:rPr>
          <w:rFonts w:ascii="ITC Avant Garde" w:eastAsia="Times New Roman" w:hAnsi="ITC Avant Garde" w:cs="Times New Roman"/>
          <w:bCs/>
          <w:lang w:eastAsia="es-MX"/>
        </w:rPr>
        <w:t>los Permisionarios por conducto de su representante legal, solicitaron al Instituto Federal de Telecomunicaciones (el “Instituto”)</w:t>
      </w:r>
      <w:r w:rsidRPr="002F215F">
        <w:rPr>
          <w:rFonts w:ascii="ITC Avant Garde" w:eastAsia="Times New Roman" w:hAnsi="ITC Avant Garde" w:cs="Times New Roman"/>
          <w:b/>
          <w:bCs/>
          <w:lang w:eastAsia="es-MX"/>
        </w:rPr>
        <w:t xml:space="preserve"> </w:t>
      </w:r>
      <w:r w:rsidRPr="002F215F">
        <w:rPr>
          <w:rFonts w:ascii="ITC Avant Garde" w:eastAsia="Times New Roman" w:hAnsi="ITC Avant Garde" w:cs="Times New Roman"/>
          <w:bCs/>
          <w:lang w:eastAsia="es-MX"/>
        </w:rPr>
        <w:t xml:space="preserve">el refrendo de los Permisos (las “Solicitudes de Prórroga”). </w:t>
      </w:r>
    </w:p>
    <w:p w:rsidR="00C57850" w:rsidRPr="002F215F" w:rsidRDefault="00C57850" w:rsidP="00B05625">
      <w:pPr>
        <w:pStyle w:val="Prrafodelista"/>
        <w:spacing w:before="240" w:line="240" w:lineRule="auto"/>
        <w:jc w:val="center"/>
        <w:rPr>
          <w:rFonts w:ascii="ITC Avant Garde" w:eastAsia="Times New Roman" w:hAnsi="ITC Avant Garde" w:cs="Times New Roman"/>
          <w:b/>
          <w:bCs/>
          <w:sz w:val="52"/>
          <w:szCs w:val="52"/>
          <w:lang w:eastAsia="es-MX"/>
        </w:rPr>
      </w:pPr>
      <w:r w:rsidRPr="002F215F">
        <w:rPr>
          <w:rFonts w:ascii="ITC Avant Garde" w:eastAsia="Times New Roman" w:hAnsi="ITC Avant Garde" w:cs="Times New Roman"/>
          <w:b/>
          <w:bCs/>
          <w:sz w:val="52"/>
          <w:szCs w:val="52"/>
          <w:lang w:eastAsia="es-MX"/>
        </w:rPr>
        <w:t>-ESPACIO EN BLANCO-</w:t>
      </w:r>
    </w:p>
    <w:p w:rsidR="00B05625" w:rsidRPr="002F215F" w:rsidRDefault="005175A3" w:rsidP="00B05625">
      <w:pPr>
        <w:spacing w:before="240" w:line="276" w:lineRule="auto"/>
        <w:jc w:val="both"/>
        <w:rPr>
          <w:rFonts w:ascii="ITC Avant Garde" w:eastAsia="Times New Roman" w:hAnsi="ITC Avant Garde" w:cs="Times New Roman"/>
          <w:b/>
          <w:bCs/>
          <w:lang w:eastAsia="es-MX"/>
        </w:rPr>
      </w:pPr>
      <w:r w:rsidRPr="002F215F">
        <w:rPr>
          <w:noProof/>
          <w:lang w:eastAsia="es-MX"/>
        </w:rPr>
        <w:lastRenderedPageBreak/>
        <w:drawing>
          <wp:inline distT="0" distB="0" distL="0" distR="0" wp14:anchorId="7038B8DA" wp14:editId="06B4EEF6">
            <wp:extent cx="5971540" cy="7494270"/>
            <wp:effectExtent l="0" t="0" r="0" b="0"/>
            <wp:docPr id="3" name="Imagen 3" descr="En una tabla de 10 columnas se proporciona para los 26 Permisionarios, las fechas de presentación de los representantes legales, en las que solicitan al Instituto el refrendo de Permiso." title="Solicitudes de Refrendo o Prórroga"/>
            <wp:cNvGraphicFramePr/>
            <a:graphic xmlns:a="http://schemas.openxmlformats.org/drawingml/2006/main">
              <a:graphicData uri="http://schemas.openxmlformats.org/drawingml/2006/picture">
                <pic:pic xmlns:pic="http://schemas.openxmlformats.org/drawingml/2006/picture">
                  <pic:nvPicPr>
                    <pic:cNvPr id="3" name="Imagen 3" descr="En una tabla de 10 columnas se proporciona para los 26 Permisionarios, las fechas de presentación de los representantes legales, en las que solicitan al Instituto el refrendo de Permiso." title="Solicitudes de Refrendo o Prórroga"/>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1540" cy="7494270"/>
                    </a:xfrm>
                    <a:prstGeom prst="rect">
                      <a:avLst/>
                    </a:prstGeom>
                    <a:noFill/>
                    <a:ln>
                      <a:noFill/>
                    </a:ln>
                  </pic:spPr>
                </pic:pic>
              </a:graphicData>
            </a:graphic>
          </wp:inline>
        </w:drawing>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lang w:eastAsia="es-MX"/>
        </w:rPr>
      </w:pPr>
      <w:r w:rsidRPr="002F215F">
        <w:rPr>
          <w:rFonts w:ascii="ITC Avant Garde" w:eastAsia="Times New Roman" w:hAnsi="ITC Avant Garde" w:cs="Times New Roman"/>
          <w:b/>
          <w:lang w:eastAsia="es-MX"/>
        </w:rPr>
        <w:lastRenderedPageBreak/>
        <w:t>Decreto de Reforma Constitucional.</w:t>
      </w:r>
      <w:r w:rsidRPr="002F215F">
        <w:rPr>
          <w:rFonts w:ascii="ITC Avant Garde" w:eastAsia="Times New Roman" w:hAnsi="ITC Avant Garde" w:cs="Times New Roman"/>
          <w:lang w:eastAsia="es-MX"/>
        </w:rPr>
        <w:t xml:space="preserve"> Con fecha 11 de junio de 2013, se publicó en </w:t>
      </w:r>
      <w:r w:rsidRPr="002F215F">
        <w:rPr>
          <w:rFonts w:ascii="ITC Avant Garde" w:eastAsia="Times New Roman" w:hAnsi="ITC Avant Garde" w:cs="Times New Roman"/>
          <w:bCs/>
          <w:lang w:eastAsia="es-MX"/>
        </w:rPr>
        <w:t xml:space="preserve">el Diario Oficial de la Federación (el “DOF”) </w:t>
      </w:r>
      <w:r w:rsidRPr="002F215F">
        <w:rPr>
          <w:rFonts w:ascii="ITC Avant Garde" w:eastAsia="Times New Roman" w:hAnsi="ITC Avant Garde" w:cs="Times New Roman"/>
          <w:lang w:eastAsia="es-MX"/>
        </w:rPr>
        <w:t>el “Decreto por el que se reforman y adicionan diversas dispos</w:t>
      </w:r>
      <w:r w:rsidR="00AB1877" w:rsidRPr="002F215F">
        <w:rPr>
          <w:rFonts w:ascii="ITC Avant Garde" w:eastAsia="Times New Roman" w:hAnsi="ITC Avant Garde" w:cs="Times New Roman"/>
          <w:lang w:eastAsia="es-MX"/>
        </w:rPr>
        <w:t>iciones de los artículos 6o., 7o</w:t>
      </w:r>
      <w:r w:rsidRPr="002F215F">
        <w:rPr>
          <w:rFonts w:ascii="ITC Avant Garde" w:eastAsia="Times New Roman" w:hAnsi="ITC Avant Garde" w:cs="Times New Roman"/>
          <w:lang w:eastAsia="es-MX"/>
        </w:rPr>
        <w:t>., 27, 28, 73, 78, 94 y 105 de la Constitución Política de los Estados Unidos Mexicanos, en materia de telecomunicaciones” (el “Decreto de Reforma Constitucional”), median</w:t>
      </w:r>
      <w:r w:rsidR="00C25E35" w:rsidRPr="002F215F">
        <w:rPr>
          <w:rFonts w:ascii="ITC Avant Garde" w:eastAsia="Times New Roman" w:hAnsi="ITC Avant Garde" w:cs="Times New Roman"/>
          <w:lang w:eastAsia="es-MX"/>
        </w:rPr>
        <w:t>te el cual se creó el Instituto.</w:t>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bCs/>
          <w:lang w:eastAsia="es-MX"/>
        </w:rPr>
      </w:pPr>
      <w:r w:rsidRPr="002F215F">
        <w:rPr>
          <w:rFonts w:ascii="ITC Avant Garde" w:eastAsia="Times New Roman" w:hAnsi="ITC Avant Garde" w:cs="Times New Roman"/>
          <w:b/>
          <w:bCs/>
          <w:lang w:eastAsia="es-MX"/>
        </w:rPr>
        <w:t xml:space="preserve">Decreto de Ley. </w:t>
      </w:r>
      <w:r w:rsidRPr="002F215F">
        <w:rPr>
          <w:rFonts w:ascii="ITC Avant Garde" w:eastAsia="Times New Roman" w:hAnsi="ITC Avant Garde" w:cs="Times New Roman"/>
          <w:bCs/>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B05625" w:rsidRPr="002F215F" w:rsidRDefault="001409BF" w:rsidP="00B05625">
      <w:pPr>
        <w:numPr>
          <w:ilvl w:val="0"/>
          <w:numId w:val="2"/>
        </w:numPr>
        <w:suppressAutoHyphens/>
        <w:spacing w:before="240" w:line="276" w:lineRule="auto"/>
        <w:ind w:left="426" w:right="-62" w:hanging="426"/>
        <w:jc w:val="both"/>
        <w:rPr>
          <w:rFonts w:ascii="ITC Avant Garde" w:eastAsia="Times New Roman" w:hAnsi="ITC Avant Garde" w:cs="Times New Roman"/>
          <w:lang w:val="es-ES" w:eastAsia="ar-SA"/>
        </w:rPr>
      </w:pPr>
      <w:r w:rsidRPr="002F215F">
        <w:rPr>
          <w:rFonts w:ascii="ITC Avant Garde" w:eastAsia="Times New Roman" w:hAnsi="ITC Avant Garde" w:cs="Arial"/>
          <w:b/>
          <w:kern w:val="1"/>
          <w:lang w:eastAsia="ar-SA"/>
        </w:rPr>
        <w:t>Estatuto Orgánico.</w:t>
      </w:r>
      <w:r w:rsidRPr="002F215F">
        <w:rPr>
          <w:rFonts w:ascii="ITC Avant Garde" w:eastAsia="Times New Roman" w:hAnsi="ITC Avant Garde" w:cs="Times New Roman"/>
          <w:kern w:val="1"/>
          <w:lang w:eastAsia="ar-SA"/>
        </w:rPr>
        <w:t xml:space="preserve"> El 4 de septiembre de 2014, se publicó en el DOF el “Estatuto Orgánico del Instituto Federal de Telecomunicaciones” (el “Estatuto Orgánico”), el cual entró en vigor el 26 de septiembre de 2014 y cuya última modificación fue publicada el 17 de octubre de 2016.</w:t>
      </w:r>
    </w:p>
    <w:p w:rsidR="00B05625" w:rsidRPr="002F215F" w:rsidRDefault="001409BF" w:rsidP="00B05625">
      <w:pPr>
        <w:numPr>
          <w:ilvl w:val="0"/>
          <w:numId w:val="2"/>
        </w:numPr>
        <w:spacing w:before="240" w:line="276" w:lineRule="auto"/>
        <w:ind w:left="426" w:hanging="426"/>
        <w:jc w:val="both"/>
        <w:rPr>
          <w:rFonts w:ascii="ITC Avant Garde" w:eastAsia="Calibri" w:hAnsi="ITC Avant Garde" w:cs="Times New Roman"/>
        </w:rPr>
      </w:pPr>
      <w:r w:rsidRPr="002F215F">
        <w:rPr>
          <w:rFonts w:ascii="ITC Avant Garde" w:eastAsia="Calibri" w:hAnsi="ITC Avant Garde" w:cs="Times New Roman"/>
          <w:b/>
        </w:rPr>
        <w:t>Autorización para realizar transmisiones digitales.</w:t>
      </w:r>
      <w:r w:rsidRPr="002F215F">
        <w:rPr>
          <w:rFonts w:ascii="ITC Avant Garde" w:eastAsia="Calibri" w:hAnsi="ITC Avant Garde" w:cs="Times New Roman"/>
        </w:rPr>
        <w:t xml:space="preserve"> El Instituto, mediante los oficios que se detallan en el </w:t>
      </w:r>
      <w:r w:rsidRPr="002F215F">
        <w:rPr>
          <w:rFonts w:ascii="ITC Avant Garde" w:eastAsia="Calibri" w:hAnsi="ITC Avant Garde" w:cs="Times New Roman"/>
          <w:b/>
        </w:rPr>
        <w:t>Anexo 1</w:t>
      </w:r>
      <w:r w:rsidRPr="002F215F">
        <w:rPr>
          <w:rFonts w:ascii="ITC Avant Garde" w:eastAsia="Calibri" w:hAnsi="ITC Avant Garde" w:cs="Times New Roman"/>
        </w:rPr>
        <w:t>, autorizó a los Permisionarios la realización de transmisiones digitales a través de alguno de los mecanismos señalados en los artículos 7 y 8 de la Política para la Transición a la Televisión Digital Terrestre, publicada en el DOF el 11 de septiembre de 2014.</w:t>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bCs/>
          <w:lang w:eastAsia="es-MX"/>
        </w:rPr>
      </w:pPr>
      <w:r w:rsidRPr="002F215F">
        <w:rPr>
          <w:rFonts w:ascii="ITC Avant Garde" w:eastAsia="Times New Roman" w:hAnsi="ITC Avant Garde" w:cs="Times New Roman"/>
          <w:b/>
          <w:lang w:eastAsia="ar-SA"/>
        </w:rPr>
        <w:t xml:space="preserve">Lineamientos generales para el otorgamiento de las concesiones. </w:t>
      </w:r>
      <w:r w:rsidRPr="002F215F">
        <w:rPr>
          <w:rFonts w:ascii="ITC Avant Garde" w:eastAsia="Times New Roman" w:hAnsi="ITC Avant Garde" w:cs="Times New Roman"/>
          <w:lang w:eastAsia="ar-SA"/>
        </w:rPr>
        <w:t>Con fecha 24 de julio de 2015 se publicó en el DOF el “Acuerdo mediante el cual el Pleno del Instituto Federal de Telecomunicaciones aprueba y emite los Lineamientos Generales para el otorgamiento de las concesiones a que se refiere el título cuarto de la Ley Federal de Telecomunicaciones y Radiodifusión” (los “Lineamientos”).</w:t>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bCs/>
          <w:lang w:eastAsia="es-MX"/>
        </w:rPr>
      </w:pPr>
      <w:r w:rsidRPr="002F215F">
        <w:rPr>
          <w:rFonts w:ascii="ITC Avant Garde" w:eastAsia="Times New Roman" w:hAnsi="ITC Avant Garde" w:cs="Times New Roman"/>
          <w:b/>
          <w:bCs/>
          <w:lang w:eastAsia="es-MX"/>
        </w:rPr>
        <w:t xml:space="preserve">Solicitudes de Transición. </w:t>
      </w:r>
      <w:r w:rsidRPr="002F215F">
        <w:rPr>
          <w:rFonts w:ascii="ITC Avant Garde" w:eastAsia="Times New Roman" w:hAnsi="ITC Avant Garde" w:cs="Times New Roman"/>
          <w:bCs/>
          <w:lang w:eastAsia="es-MX"/>
        </w:rPr>
        <w:t xml:space="preserve">En términos de lo dispuesto en el artículo Décimo Séptimo Transitorio del Decreto de Ley, los Permisionarios exhibieron ante el Instituto, </w:t>
      </w:r>
      <w:r w:rsidR="00334DC0" w:rsidRPr="002F215F">
        <w:rPr>
          <w:rFonts w:ascii="ITC Avant Garde" w:eastAsia="Times New Roman" w:hAnsi="ITC Avant Garde" w:cs="Times New Roman"/>
          <w:bCs/>
          <w:lang w:eastAsia="es-MX"/>
        </w:rPr>
        <w:t>los respectivos</w:t>
      </w:r>
      <w:r w:rsidRPr="002F215F">
        <w:rPr>
          <w:rFonts w:ascii="ITC Avant Garde" w:eastAsia="Times New Roman" w:hAnsi="ITC Avant Garde" w:cs="Times New Roman"/>
          <w:bCs/>
          <w:lang w:eastAsia="es-MX"/>
        </w:rPr>
        <w:t xml:space="preserve"> oficios mediante los cuales solicitan transitar los Permisos al régimen de concesión </w:t>
      </w:r>
      <w:r w:rsidR="00116C99" w:rsidRPr="002F215F">
        <w:rPr>
          <w:rFonts w:ascii="ITC Avant Garde" w:eastAsia="Times New Roman" w:hAnsi="ITC Avant Garde" w:cs="Times New Roman"/>
          <w:bCs/>
          <w:lang w:eastAsia="es-MX"/>
        </w:rPr>
        <w:t xml:space="preserve">para </w:t>
      </w:r>
      <w:r w:rsidRPr="002F215F">
        <w:rPr>
          <w:rFonts w:ascii="ITC Avant Garde" w:eastAsia="Times New Roman" w:hAnsi="ITC Avant Garde" w:cs="Times New Roman"/>
          <w:bCs/>
          <w:lang w:eastAsia="es-MX"/>
        </w:rPr>
        <w:t>uso público (las “Solicitudes de Transición”) a que se refiere la Ley Federal de Telecomunicaciones y R</w:t>
      </w:r>
      <w:r w:rsidR="00334DC0" w:rsidRPr="002F215F">
        <w:rPr>
          <w:rFonts w:ascii="ITC Avant Garde" w:eastAsia="Times New Roman" w:hAnsi="ITC Avant Garde" w:cs="Times New Roman"/>
          <w:bCs/>
          <w:lang w:eastAsia="es-MX"/>
        </w:rPr>
        <w:t>adiodifusión (la “Ley”), dentro del plazo establecido para tal efecto en los Lineamientos.</w:t>
      </w:r>
    </w:p>
    <w:p w:rsidR="00B05625" w:rsidRPr="002F215F" w:rsidRDefault="00334DC0" w:rsidP="005175A3">
      <w:pPr>
        <w:numPr>
          <w:ilvl w:val="0"/>
          <w:numId w:val="2"/>
        </w:numPr>
        <w:spacing w:before="240" w:line="276" w:lineRule="auto"/>
        <w:ind w:left="426" w:hanging="426"/>
        <w:jc w:val="both"/>
        <w:rPr>
          <w:rFonts w:ascii="ITC Avant Garde" w:eastAsia="Times New Roman" w:hAnsi="ITC Avant Garde" w:cs="Times New Roman"/>
          <w:b/>
          <w:lang w:eastAsia="es-MX"/>
        </w:rPr>
      </w:pPr>
      <w:r w:rsidRPr="002F215F">
        <w:rPr>
          <w:rFonts w:ascii="ITC Avant Garde" w:eastAsia="Times New Roman" w:hAnsi="ITC Avant Garde" w:cs="Times New Roman"/>
          <w:b/>
          <w:bCs/>
          <w:lang w:eastAsia="es-MX"/>
        </w:rPr>
        <w:t>Terminación</w:t>
      </w:r>
      <w:r w:rsidRPr="002F215F">
        <w:rPr>
          <w:rFonts w:ascii="ITC Avant Garde" w:eastAsia="Calibri" w:hAnsi="ITC Avant Garde" w:cs="Times New Roman"/>
          <w:b/>
          <w:lang w:eastAsia="ar-SA"/>
        </w:rPr>
        <w:t xml:space="preserve"> de transmisiones analógicas de televisión radiodifundida.</w:t>
      </w:r>
      <w:r w:rsidRPr="002F215F">
        <w:rPr>
          <w:rFonts w:ascii="ITC Avant Garde" w:eastAsia="Calibri" w:hAnsi="ITC Avant Garde" w:cs="Times New Roman"/>
          <w:lang w:eastAsia="ar-SA"/>
        </w:rPr>
        <w:t xml:space="preserve"> Conforme a lo establecido en el artículo Décimo Noveno Transitorio del Decreto de Ley, la transición a la televisión digital terrestre culminó el 31 de diciembre de 2015, es decir, </w:t>
      </w:r>
      <w:r w:rsidRPr="002F215F">
        <w:rPr>
          <w:rFonts w:ascii="ITC Avant Garde" w:eastAsia="Calibri" w:hAnsi="ITC Avant Garde" w:cs="Times New Roman"/>
          <w:lang w:eastAsia="ar-SA"/>
        </w:rPr>
        <w:lastRenderedPageBreak/>
        <w:t>todas las estaciones de televisión debieron concluir sus transmisiones analógicas en esa fecha.</w:t>
      </w:r>
      <w:r w:rsidR="00105B74" w:rsidRPr="002F215F">
        <w:rPr>
          <w:rFonts w:ascii="ITC Avant Garde" w:eastAsia="Calibri" w:hAnsi="ITC Avant Garde" w:cs="Times New Roman"/>
          <w:lang w:eastAsia="ar-SA"/>
        </w:rPr>
        <w:t xml:space="preserve"> es decir, todas las estaciones de televisión debieron concluir sus transmisiones analógicas en esa fecha, o bien, en los términos señalados en el “Acuerdo mediante el cual el Pleno del Instituto Federal de Telecomunicaciones establece las estaciones y equipos complementarios que deberán continuar realizando transmisiones analógicas de televisión radiodifundida de acuerdo con los supuestos normativos contenidos en los párrafos séptimo y octavo del artículo décimo noveno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31 de diciembre de 2015.</w:t>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bCs/>
          <w:lang w:eastAsia="es-MX"/>
        </w:rPr>
      </w:pPr>
      <w:r w:rsidRPr="002F215F">
        <w:rPr>
          <w:rFonts w:ascii="ITC Avant Garde" w:eastAsia="Times New Roman" w:hAnsi="ITC Avant Garde" w:cs="Times New Roman"/>
          <w:b/>
          <w:bCs/>
          <w:lang w:eastAsia="es-MX"/>
        </w:rPr>
        <w:t>Opinión de la Secretaría de Comunicaciones y Transportes</w:t>
      </w:r>
      <w:r w:rsidRPr="002F215F">
        <w:rPr>
          <w:rFonts w:ascii="ITC Avant Garde" w:eastAsia="Times New Roman" w:hAnsi="ITC Avant Garde" w:cs="Times New Roman"/>
          <w:bCs/>
          <w:lang w:eastAsia="es-MX"/>
        </w:rPr>
        <w:t xml:space="preserve">. La </w:t>
      </w:r>
      <w:r w:rsidRPr="002F215F">
        <w:rPr>
          <w:rFonts w:ascii="ITC Avant Garde" w:eastAsia="Calibri" w:hAnsi="ITC Avant Garde" w:cs="Arial"/>
          <w:kern w:val="1"/>
          <w:lang w:eastAsia="ar-SA"/>
        </w:rPr>
        <w:t xml:space="preserve">Secretaría de Comunicaciones y Transportes (la “SCT”) por oficio 1.- 163 de fecha 10 de agosto de 2016, </w:t>
      </w:r>
      <w:r w:rsidRPr="002F215F">
        <w:rPr>
          <w:rFonts w:ascii="ITC Avant Garde" w:eastAsia="Calibri" w:hAnsi="ITC Avant Garde" w:cs="Times New Roman"/>
          <w:bCs/>
          <w:lang w:eastAsia="es-MX"/>
        </w:rPr>
        <w:t>emitió la opinión técnica solicitada por la Unidad de Concesiones y Servicios, mediante oficio IFT/223/UCS/945/2016 de fecha 15 de junio de 2016, respecto de las Solicitudes de Prórroga materia de la presente Resolución.</w:t>
      </w:r>
    </w:p>
    <w:p w:rsidR="00B05625" w:rsidRPr="002F215F" w:rsidRDefault="001409BF" w:rsidP="00B05625">
      <w:pPr>
        <w:numPr>
          <w:ilvl w:val="0"/>
          <w:numId w:val="2"/>
        </w:numPr>
        <w:spacing w:before="240" w:line="276" w:lineRule="auto"/>
        <w:ind w:left="426" w:hanging="426"/>
        <w:jc w:val="both"/>
        <w:rPr>
          <w:rFonts w:ascii="ITC Avant Garde" w:eastAsia="Times New Roman" w:hAnsi="ITC Avant Garde" w:cs="Times New Roman"/>
          <w:bCs/>
          <w:lang w:eastAsia="es-MX"/>
        </w:rPr>
      </w:pPr>
      <w:r w:rsidRPr="002F215F">
        <w:rPr>
          <w:rFonts w:ascii="ITC Avant Garde" w:eastAsia="Times New Roman" w:hAnsi="ITC Avant Garde" w:cs="Times New Roman"/>
          <w:b/>
          <w:bCs/>
          <w:lang w:eastAsia="es-MX"/>
        </w:rPr>
        <w:t>Opinión de la Unidad de Espectro Radioeléctrico del Instituto</w:t>
      </w:r>
      <w:r w:rsidRPr="002F215F">
        <w:rPr>
          <w:rFonts w:ascii="ITC Avant Garde" w:eastAsia="Times New Roman" w:hAnsi="ITC Avant Garde" w:cs="Times New Roman"/>
          <w:bCs/>
          <w:lang w:eastAsia="es-MX"/>
        </w:rPr>
        <w:t>. La Unidad de Espectro Radioeléctrico por IFT/222/UER/DGPE/001/2017 de fecha 11 de enero de 2017, emitió la opinión solicitada por la Unidad de Concesiones y Servicios mediante oficio  IFT/223/UCS/DG-CRAD/1830/2016 de fecha 15 de junio de 2016, en relación al interés público de recuperar las frecuencias del espectro radioeléctrico asignadas a los Permisionarios.</w:t>
      </w:r>
    </w:p>
    <w:p w:rsidR="00B05625" w:rsidRPr="002F215F" w:rsidRDefault="001409BF" w:rsidP="00B05625">
      <w:pPr>
        <w:spacing w:before="240" w:line="276" w:lineRule="auto"/>
        <w:jc w:val="both"/>
        <w:rPr>
          <w:rFonts w:ascii="ITC Avant Garde" w:eastAsia="Calibri" w:hAnsi="ITC Avant Garde" w:cs="Times New Roman"/>
          <w:bCs/>
          <w:lang w:eastAsia="es-MX"/>
        </w:rPr>
      </w:pPr>
      <w:r w:rsidRPr="002F215F">
        <w:rPr>
          <w:rFonts w:ascii="ITC Avant Garde" w:eastAsia="Calibri" w:hAnsi="ITC Avant Garde" w:cs="Times New Roman"/>
          <w:bCs/>
          <w:lang w:eastAsia="es-MX"/>
        </w:rPr>
        <w:t>En virtud de los Antecedentes referidos y,</w:t>
      </w:r>
    </w:p>
    <w:p w:rsidR="00B05625" w:rsidRPr="002F215F" w:rsidRDefault="001409BF" w:rsidP="00B0562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F215F">
        <w:rPr>
          <w:rFonts w:ascii="ITC Avant Garde" w:hAnsi="ITC Avant Garde"/>
          <w:b/>
          <w:color w:val="000000" w:themeColor="text1"/>
          <w:sz w:val="22"/>
          <w:szCs w:val="22"/>
        </w:rPr>
        <w:t>CONSIDERANDO</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imes New Roman"/>
          <w:bCs/>
          <w:lang w:val="es-ES"/>
        </w:rPr>
      </w:pPr>
      <w:r w:rsidRPr="002F215F">
        <w:rPr>
          <w:rFonts w:ascii="ITC Avant Garde" w:eastAsia="Times New Roman" w:hAnsi="ITC Avant Garde" w:cs="Times New Roman"/>
          <w:b/>
          <w:kern w:val="1"/>
          <w:lang w:val="es-ES" w:eastAsia="ar-SA"/>
        </w:rPr>
        <w:t>PRIMERO.-</w:t>
      </w:r>
      <w:r w:rsidRPr="002F215F">
        <w:rPr>
          <w:rFonts w:ascii="ITC Avant Garde" w:eastAsia="Calibri" w:hAnsi="ITC Avant Garde" w:cs="Times New Roman"/>
          <w:b/>
          <w:bCs/>
        </w:rPr>
        <w:t xml:space="preserve"> Ámbito</w:t>
      </w:r>
      <w:r w:rsidRPr="002F215F">
        <w:rPr>
          <w:rFonts w:ascii="ITC Avant Garde" w:eastAsia="Calibri" w:hAnsi="ITC Avant Garde" w:cs="Times New Roman"/>
          <w:bCs/>
        </w:rPr>
        <w:t xml:space="preserve"> </w:t>
      </w:r>
      <w:r w:rsidRPr="002F215F">
        <w:rPr>
          <w:rFonts w:ascii="ITC Avant Garde" w:eastAsia="Calibri" w:hAnsi="ITC Avant Garde" w:cs="Times New Roman"/>
          <w:b/>
          <w:bCs/>
        </w:rPr>
        <w:t>Competencial.</w:t>
      </w:r>
      <w:r w:rsidRPr="002F215F">
        <w:rPr>
          <w:rFonts w:ascii="ITC Avant Garde" w:eastAsia="Calibri" w:hAnsi="ITC Avant Garde" w:cs="Times New Roman"/>
          <w:bCs/>
        </w:rPr>
        <w:t xml:space="preserve"> Conforme lo dispone el artículo 28 párrafo décimo quinto de la Constitución Política de los Estados Unidos Mexicanos (la “Constitución”), e</w:t>
      </w:r>
      <w:r w:rsidRPr="002F215F">
        <w:rPr>
          <w:rFonts w:ascii="ITC Avant Garde" w:eastAsia="Calibri" w:hAnsi="ITC Avant Garde" w:cs="Times New Roman"/>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B05625" w:rsidRPr="002F215F" w:rsidRDefault="001409BF" w:rsidP="00B05625">
      <w:pPr>
        <w:tabs>
          <w:tab w:val="left" w:pos="1418"/>
        </w:tabs>
        <w:autoSpaceDE w:val="0"/>
        <w:autoSpaceDN w:val="0"/>
        <w:adjustRightInd w:val="0"/>
        <w:spacing w:before="240" w:line="276" w:lineRule="auto"/>
        <w:jc w:val="both"/>
        <w:rPr>
          <w:rFonts w:ascii="ITC Avant Garde" w:eastAsia="Calibri" w:hAnsi="ITC Avant Garde" w:cs="Times New Roman"/>
          <w:bCs/>
        </w:rPr>
      </w:pPr>
      <w:r w:rsidRPr="002F215F">
        <w:rPr>
          <w:rFonts w:ascii="ITC Avant Garde" w:eastAsia="Calibri" w:hAnsi="ITC Avant Garde" w:cs="Times New Roman"/>
          <w:bCs/>
        </w:rPr>
        <w:lastRenderedPageBreak/>
        <w:t xml:space="preserve">Asimismo, </w:t>
      </w:r>
      <w:r w:rsidRPr="002F215F">
        <w:rPr>
          <w:rFonts w:ascii="ITC Avant Garde" w:eastAsia="Times New Roman" w:hAnsi="ITC Avant Garde" w:cs="Times New Roman"/>
          <w:bCs/>
          <w:kern w:val="1"/>
          <w:lang w:eastAsia="ar-SA"/>
        </w:rPr>
        <w:t xml:space="preserve">el párrafo décimo sexto del artículo 28 de la Constitución establece que el </w:t>
      </w:r>
      <w:r w:rsidRPr="002F215F">
        <w:rPr>
          <w:rFonts w:ascii="ITC Avant Garde" w:eastAsia="Calibri" w:hAnsi="ITC Avant Garde" w:cs="Times New Roman"/>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imes New Roman"/>
          <w:bCs/>
        </w:rPr>
      </w:pPr>
      <w:r w:rsidRPr="002F215F">
        <w:rPr>
          <w:rFonts w:ascii="ITC Avant Garde" w:eastAsia="Calibri" w:hAnsi="ITC Avant Garde" w:cs="Times New Roman"/>
          <w:bCs/>
          <w:lang w:val="es-ES"/>
        </w:rPr>
        <w:t xml:space="preserve">Por su parte, el párrafo décimo séptimo del artículo 28 de la Constitución dispone que </w:t>
      </w:r>
      <w:r w:rsidRPr="002F215F">
        <w:rPr>
          <w:rFonts w:ascii="ITC Avant Garde" w:eastAsia="Calibri" w:hAnsi="ITC Avant Garde" w:cs="Times New Roman"/>
          <w:bCs/>
        </w:rPr>
        <w:t>corresponde al Instituto el otorgamiento, la revocación, así como la autorización de cesiones o cambios de control accionario, titularidad u operación de sociedades relacionadas con concesiones en materia de radiodifusión y telecomunicaciones.</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De igual forma, conforme a lo establecido en los artículos 15 fracción IV y 17 fracción I de la Ley </w:t>
      </w:r>
      <w:r w:rsidRPr="002F215F">
        <w:rPr>
          <w:rFonts w:ascii="ITC Avant Garde" w:eastAsia="Calibri" w:hAnsi="ITC Avant Garde" w:cs="Times New Roman"/>
          <w:bCs/>
          <w:lang w:eastAsia="es-MX"/>
        </w:rPr>
        <w:t xml:space="preserve">y </w:t>
      </w:r>
      <w:r w:rsidRPr="002F215F">
        <w:rPr>
          <w:rFonts w:ascii="ITC Avant Garde" w:eastAsia="Calibri" w:hAnsi="ITC Avant Garde" w:cs="Tahoma"/>
          <w:bCs/>
          <w:lang w:eastAsia="es-MX"/>
        </w:rPr>
        <w:t>6 fracciones I y XXXVII</w:t>
      </w:r>
      <w:r w:rsidR="002705DE" w:rsidRPr="002F215F">
        <w:rPr>
          <w:rFonts w:ascii="ITC Avant Garde" w:eastAsia="Calibri" w:hAnsi="ITC Avant Garde" w:cs="Tahoma"/>
          <w:bCs/>
          <w:lang w:eastAsia="es-MX"/>
        </w:rPr>
        <w:t>I</w:t>
      </w:r>
      <w:r w:rsidRPr="002F215F">
        <w:rPr>
          <w:rFonts w:ascii="ITC Avant Garde" w:eastAsia="Calibri" w:hAnsi="ITC Avant Garde" w:cs="Tahoma"/>
          <w:bCs/>
          <w:lang w:eastAsia="es-MX"/>
        </w:rPr>
        <w:t xml:space="preserve"> del Estatuto Orgánico</w:t>
      </w:r>
      <w:r w:rsidRPr="002F215F">
        <w:rPr>
          <w:rFonts w:ascii="ITC Avant Garde" w:eastAsia="Calibri" w:hAnsi="ITC Avant Garde" w:cs="Times New Roman"/>
          <w:bCs/>
          <w:lang w:eastAsia="es-MX"/>
        </w:rPr>
        <w:t xml:space="preserve">, </w:t>
      </w:r>
      <w:r w:rsidRPr="002F215F">
        <w:rPr>
          <w:rFonts w:ascii="ITC Avant Garde" w:eastAsia="Calibri" w:hAnsi="ITC Avant Garde" w:cs="Tahoma"/>
          <w:bCs/>
          <w:lang w:eastAsia="es-MX"/>
        </w:rPr>
        <w:t>corresponde al Pleno del Instituto la facultad de otorgar las concesiones previstas en dicho ordenamiento legal y resolver sobre su prórroga.</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imes New Roman"/>
          <w:bCs/>
        </w:rPr>
      </w:pPr>
      <w:r w:rsidRPr="002F215F">
        <w:rPr>
          <w:rFonts w:ascii="ITC Avant Garde" w:eastAsia="Calibri" w:hAnsi="ITC Avant Garde" w:cs="Tahoma"/>
          <w:bCs/>
          <w:lang w:eastAsia="es-MX"/>
        </w:rPr>
        <w:t xml:space="preserve">Para dichos efectos, conforme a los artículos 32 y 34, fracciones I y II del Estatuto Orgánico </w:t>
      </w:r>
      <w:r w:rsidRPr="002F215F">
        <w:rPr>
          <w:rFonts w:ascii="ITC Avant Garde" w:eastAsia="Calibri" w:hAnsi="ITC Avant Garde" w:cs="Times New Roman"/>
          <w:bCs/>
        </w:rPr>
        <w:t xml:space="preserve">corresponde originariamente a </w:t>
      </w:r>
      <w:r w:rsidRPr="002F215F">
        <w:rPr>
          <w:rFonts w:ascii="ITC Avant Garde" w:eastAsia="Calibri" w:hAnsi="ITC Avant Garde" w:cs="Tahoma"/>
          <w:bCs/>
          <w:lang w:eastAsia="es-MX"/>
        </w:rPr>
        <w:t xml:space="preserve">la Unidad de Concesiones y Servicios por conducto de la Dirección General de Concesiones de Radiodifusión, </w:t>
      </w:r>
      <w:r w:rsidRPr="002F215F">
        <w:rPr>
          <w:rFonts w:ascii="ITC Avant Garde" w:eastAsia="Calibri" w:hAnsi="ITC Avant Garde" w:cs="Tahoma"/>
          <w:bCs/>
          <w:lang w:val="es-ES_tradnl" w:eastAsia="es-MX"/>
        </w:rPr>
        <w:t>tramitar y evaluar las solicitudes de prórroga, así como las solicitudes de transición para el otorgamiento de concesiones en materia de radiodifusión para someterlas a consideración del Pleno</w:t>
      </w:r>
      <w:r w:rsidRPr="002F215F">
        <w:rPr>
          <w:rFonts w:ascii="ITC Avant Garde" w:eastAsia="Calibri" w:hAnsi="ITC Avant Garde" w:cs="Tahoma"/>
          <w:bCs/>
          <w:lang w:eastAsia="es-MX"/>
        </w:rPr>
        <w:t>.</w:t>
      </w:r>
    </w:p>
    <w:p w:rsidR="001409BF" w:rsidRPr="002F215F" w:rsidRDefault="001409BF" w:rsidP="00B05625">
      <w:pPr>
        <w:autoSpaceDE w:val="0"/>
        <w:autoSpaceDN w:val="0"/>
        <w:adjustRightInd w:val="0"/>
        <w:spacing w:before="240" w:line="276" w:lineRule="auto"/>
        <w:jc w:val="both"/>
        <w:rPr>
          <w:rFonts w:ascii="ITC Avant Garde" w:eastAsia="Calibri" w:hAnsi="ITC Avant Garde" w:cs="Times New Roman"/>
          <w:bCs/>
        </w:rPr>
      </w:pPr>
      <w:r w:rsidRPr="002F215F">
        <w:rPr>
          <w:rFonts w:ascii="ITC Avant Garde" w:eastAsia="Calibri" w:hAnsi="ITC Avant Garde" w:cs="Times New Roman"/>
          <w:bCs/>
        </w:rPr>
        <w:t xml:space="preserve">En este orden de ideas y considerando que el Instituto tiene a su cargo la regulación, promoción y supervisión de las telecomunicaciones y la radiodifusión, así como la facultad </w:t>
      </w:r>
      <w:r w:rsidRPr="002F215F">
        <w:rPr>
          <w:rFonts w:ascii="ITC Avant Garde" w:eastAsia="Calibri" w:hAnsi="ITC Avant Garde" w:cs="Tahoma"/>
          <w:bCs/>
          <w:lang w:eastAsia="es-MX"/>
        </w:rPr>
        <w:t>para otorgar las concesiones previstas en la Ley y resolver sobre la prórroga de permisos</w:t>
      </w:r>
      <w:r w:rsidRPr="002F215F">
        <w:rPr>
          <w:rFonts w:ascii="ITC Avant Garde" w:eastAsia="Calibri" w:hAnsi="ITC Avant Garde" w:cs="Times New Roman"/>
          <w:bCs/>
        </w:rPr>
        <w:t xml:space="preserve">, el Pleno, órgano máximo de gobierno y decisión del Instituto, se encuentra plenamente facultado para resolver sobre la solicitud de refrendo o prórroga, así como las solicitudes de transición para el otorgamiento de concesiones </w:t>
      </w:r>
      <w:r w:rsidR="00116C99" w:rsidRPr="002F215F">
        <w:rPr>
          <w:rFonts w:ascii="ITC Avant Garde" w:eastAsia="Calibri" w:hAnsi="ITC Avant Garde" w:cs="Times New Roman"/>
          <w:bCs/>
        </w:rPr>
        <w:t xml:space="preserve">para </w:t>
      </w:r>
      <w:r w:rsidRPr="002F215F">
        <w:rPr>
          <w:rFonts w:ascii="ITC Avant Garde" w:eastAsia="Calibri" w:hAnsi="ITC Avant Garde" w:cs="Times New Roman"/>
          <w:bCs/>
        </w:rPr>
        <w:t>uso público.</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Times New Roman" w:hAnsi="ITC Avant Garde" w:cs="Times New Roman"/>
          <w:b/>
          <w:kern w:val="1"/>
          <w:lang w:val="es-ES" w:eastAsia="ar-SA"/>
        </w:rPr>
        <w:t>SEGUNDO</w:t>
      </w:r>
      <w:r w:rsidRPr="002F215F">
        <w:rPr>
          <w:rFonts w:ascii="ITC Avant Garde" w:eastAsia="Times New Roman" w:hAnsi="ITC Avant Garde" w:cs="Times New Roman"/>
          <w:b/>
          <w:kern w:val="1"/>
          <w:lang w:eastAsia="ar-SA"/>
        </w:rPr>
        <w:t>.- Marco jurídico aplicable.</w:t>
      </w:r>
      <w:r w:rsidR="004105B7" w:rsidRPr="002F215F">
        <w:rPr>
          <w:rFonts w:ascii="ITC Avant Garde" w:eastAsia="Calibri" w:hAnsi="ITC Avant Garde" w:cs="Tahoma"/>
          <w:bCs/>
          <w:lang w:eastAsia="es-MX"/>
        </w:rPr>
        <w:t xml:space="preserve"> P</w:t>
      </w:r>
      <w:r w:rsidR="0005691E" w:rsidRPr="002F215F">
        <w:rPr>
          <w:rFonts w:ascii="ITC Avant Garde" w:eastAsia="Calibri" w:hAnsi="ITC Avant Garde" w:cs="Tahoma"/>
          <w:bCs/>
          <w:lang w:eastAsia="es-MX"/>
        </w:rPr>
        <w:t xml:space="preserve">ara efectos del trámite e integración de las Solicitudes de Prórroga </w:t>
      </w:r>
      <w:r w:rsidR="00BA0CC1" w:rsidRPr="002F215F">
        <w:rPr>
          <w:rFonts w:ascii="ITC Avant Garde" w:eastAsia="Calibri" w:hAnsi="ITC Avant Garde" w:cs="Tahoma"/>
          <w:bCs/>
          <w:lang w:eastAsia="es-MX"/>
        </w:rPr>
        <w:t>materia de la presente Resolución, deberán</w:t>
      </w:r>
      <w:r w:rsidR="0005691E" w:rsidRPr="002F215F">
        <w:rPr>
          <w:rFonts w:ascii="ITC Avant Garde" w:eastAsia="Calibri" w:hAnsi="ITC Avant Garde" w:cs="Tahoma"/>
          <w:bCs/>
          <w:lang w:eastAsia="es-MX"/>
        </w:rPr>
        <w:t xml:space="preserve"> observarse l</w:t>
      </w:r>
      <w:r w:rsidR="00BA0CC1" w:rsidRPr="002F215F">
        <w:rPr>
          <w:rFonts w:ascii="ITC Avant Garde" w:eastAsia="Calibri" w:hAnsi="ITC Avant Garde" w:cs="Tahoma"/>
          <w:bCs/>
          <w:lang w:eastAsia="es-MX"/>
        </w:rPr>
        <w:t>os requisitos establecidos en la legislación vigente al momento de presentación de las mismas, es</w:t>
      </w:r>
      <w:r w:rsidR="004105B7" w:rsidRPr="002F215F">
        <w:rPr>
          <w:rFonts w:ascii="ITC Avant Garde" w:eastAsia="Calibri" w:hAnsi="ITC Avant Garde" w:cs="Tahoma"/>
          <w:bCs/>
          <w:lang w:eastAsia="es-MX"/>
        </w:rPr>
        <w:t>to es,  en concordancia con lo establecido en el artículo 114 de la Ley</w:t>
      </w:r>
      <w:r w:rsidR="003910D3" w:rsidRPr="002F215F">
        <w:rPr>
          <w:rFonts w:ascii="ITC Avant Garde" w:eastAsia="Calibri" w:hAnsi="ITC Avant Garde" w:cs="Tahoma"/>
          <w:bCs/>
          <w:lang w:eastAsia="es-MX"/>
        </w:rPr>
        <w:t>.</w:t>
      </w:r>
    </w:p>
    <w:p w:rsidR="00B05625" w:rsidRPr="002F215F" w:rsidRDefault="003910D3" w:rsidP="00B05625">
      <w:pPr>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De igual forma, los Permisos en la condición relativa a la vigencia establece un periodo de 12 (doce) años y señala en su parte conducente que la autoridad podrá otorgar el </w:t>
      </w:r>
      <w:r w:rsidRPr="002F215F">
        <w:rPr>
          <w:rFonts w:ascii="ITC Avant Garde" w:eastAsia="Calibri" w:hAnsi="ITC Avant Garde" w:cs="Tahoma"/>
          <w:bCs/>
          <w:lang w:eastAsia="es-MX"/>
        </w:rPr>
        <w:lastRenderedPageBreak/>
        <w:t>refrendo del permiso en términos del propio título y de las d</w:t>
      </w:r>
      <w:r w:rsidR="00770D26" w:rsidRPr="002F215F">
        <w:rPr>
          <w:rFonts w:ascii="ITC Avant Garde" w:eastAsia="Calibri" w:hAnsi="ITC Avant Garde" w:cs="Tahoma"/>
          <w:bCs/>
          <w:lang w:eastAsia="es-MX"/>
        </w:rPr>
        <w:t>isposiciones legales aplicables</w:t>
      </w:r>
      <w:r w:rsidRPr="002F215F">
        <w:rPr>
          <w:rFonts w:ascii="ITC Avant Garde" w:eastAsia="Calibri" w:hAnsi="ITC Avant Garde" w:cs="Tahoma"/>
          <w:bCs/>
          <w:lang w:eastAsia="es-MX"/>
        </w:rPr>
        <w:t>.</w:t>
      </w:r>
    </w:p>
    <w:p w:rsidR="00B05625" w:rsidRPr="002F215F" w:rsidRDefault="003910D3" w:rsidP="00B05625">
      <w:pPr>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Ahora bien, el artículo 114 de la Ley, que en su parte conducente prescribe lo siguiente:</w:t>
      </w:r>
    </w:p>
    <w:p w:rsidR="004105B7" w:rsidRPr="002F215F" w:rsidRDefault="004105B7" w:rsidP="00B05625">
      <w:pPr>
        <w:shd w:val="clear" w:color="auto" w:fill="FFFFFF"/>
        <w:spacing w:before="240"/>
        <w:ind w:left="567" w:right="757"/>
        <w:jc w:val="both"/>
        <w:rPr>
          <w:rFonts w:ascii="ITC Avant Garde" w:eastAsia="Times New Roman" w:hAnsi="ITC Avant Garde" w:cs="Arial"/>
          <w:sz w:val="18"/>
          <w:szCs w:val="18"/>
          <w:lang w:eastAsia="es-MX"/>
        </w:rPr>
      </w:pPr>
      <w:r w:rsidRPr="002F215F">
        <w:rPr>
          <w:rFonts w:ascii="ITC Avant Garde" w:eastAsia="Times New Roman" w:hAnsi="ITC Avant Garde" w:cs="Arial"/>
          <w:b/>
          <w:bCs/>
          <w:sz w:val="18"/>
          <w:szCs w:val="18"/>
          <w:lang w:eastAsia="es-MX"/>
        </w:rPr>
        <w:t>“Artículo 114.</w:t>
      </w:r>
      <w:r w:rsidRPr="002F215F">
        <w:rPr>
          <w:rFonts w:ascii="ITC Avant Garde" w:eastAsia="Times New Roman" w:hAnsi="ITC Avant Garde" w:cs="Arial"/>
          <w:sz w:val="18"/>
          <w:szCs w:val="18"/>
          <w:lang w:eastAsia="es-MX"/>
        </w:rPr>
        <w:t xml:space="preserve"> Para el otorgamiento de las prórrogas de concesiones de bandas de frecuencias o de recursos orbitales, será necesario que el concesionario </w:t>
      </w:r>
      <w:r w:rsidRPr="002F215F">
        <w:rPr>
          <w:rFonts w:ascii="ITC Avant Garde" w:eastAsia="Times New Roman" w:hAnsi="ITC Avant Garde" w:cs="Arial"/>
          <w:sz w:val="18"/>
          <w:szCs w:val="18"/>
          <w:u w:val="single"/>
          <w:lang w:eastAsia="es-MX"/>
        </w:rPr>
        <w:t>la solicite al Instituto dentro del año previo al inicio de la última quinta parte del plazo de vigencia</w:t>
      </w:r>
      <w:r w:rsidRPr="002F215F">
        <w:rPr>
          <w:rFonts w:ascii="ITC Avant Garde" w:eastAsia="Times New Roman" w:hAnsi="ITC Avant Garde" w:cs="Arial"/>
          <w:sz w:val="18"/>
          <w:szCs w:val="18"/>
          <w:lang w:eastAsia="es-MX"/>
        </w:rPr>
        <w:t xml:space="preserve"> de la concesión, </w:t>
      </w:r>
      <w:r w:rsidRPr="002F215F">
        <w:rPr>
          <w:rFonts w:ascii="ITC Avant Garde" w:eastAsia="Times New Roman" w:hAnsi="ITC Avant Garde" w:cs="Arial"/>
          <w:sz w:val="18"/>
          <w:szCs w:val="18"/>
          <w:u w:val="single"/>
          <w:lang w:eastAsia="es-MX"/>
        </w:rPr>
        <w:t>se encuentre al corriente en el cumplimiento de las obligaciones</w:t>
      </w:r>
      <w:r w:rsidRPr="002F215F">
        <w:rPr>
          <w:rFonts w:ascii="ITC Avant Garde" w:eastAsia="Times New Roman" w:hAnsi="ITC Avant Garde" w:cs="Arial"/>
          <w:sz w:val="18"/>
          <w:szCs w:val="18"/>
          <w:lang w:eastAsia="es-MX"/>
        </w:rPr>
        <w:t xml:space="preserve"> establecidas en la Ley y demás disposiciones aplicables, así como en su título de concesión.</w:t>
      </w:r>
    </w:p>
    <w:p w:rsidR="00770D26" w:rsidRPr="002F215F" w:rsidRDefault="00770D26" w:rsidP="00B05625">
      <w:pPr>
        <w:shd w:val="clear" w:color="auto" w:fill="FFFFFF"/>
        <w:spacing w:before="240"/>
        <w:ind w:left="567" w:right="757"/>
        <w:jc w:val="both"/>
        <w:rPr>
          <w:rFonts w:ascii="ITC Avant Garde" w:eastAsia="Times New Roman" w:hAnsi="ITC Avant Garde" w:cs="Arial"/>
          <w:sz w:val="18"/>
          <w:szCs w:val="18"/>
          <w:lang w:eastAsia="es-MX"/>
        </w:rPr>
      </w:pPr>
      <w:r w:rsidRPr="002F215F">
        <w:rPr>
          <w:rFonts w:ascii="ITC Avant Garde" w:eastAsia="Times New Roman" w:hAnsi="ITC Avant Garde" w:cs="Arial"/>
          <w:sz w:val="18"/>
          <w:szCs w:val="18"/>
          <w:lang w:eastAsia="es-MX"/>
        </w:rPr>
        <w:t xml:space="preserve">El Instituto resolverá dentro del año siguiente a la presentación de la solicitud, </w:t>
      </w:r>
      <w:r w:rsidRPr="002F215F">
        <w:rPr>
          <w:rFonts w:ascii="ITC Avant Garde" w:eastAsia="Times New Roman" w:hAnsi="ITC Avant Garde" w:cs="Arial"/>
          <w:sz w:val="18"/>
          <w:szCs w:val="18"/>
          <w:u w:val="single"/>
          <w:lang w:eastAsia="es-MX"/>
        </w:rPr>
        <w:t>si existe interés público en recuperar el espectro radioeléctrico</w:t>
      </w:r>
      <w:r w:rsidRPr="002F215F">
        <w:rPr>
          <w:rFonts w:ascii="ITC Avant Garde" w:eastAsia="Times New Roman" w:hAnsi="ITC Avant Garde" w:cs="Arial"/>
          <w:sz w:val="18"/>
          <w:szCs w:val="18"/>
          <w:lang w:eastAsia="es-MX"/>
        </w:rPr>
        <w:t xml:space="preserve"> o los recursos orbitales, en cuyo caso notificará al concesionario su determinación y procederá la terminación de la concesión al término de su vigencia.</w:t>
      </w:r>
    </w:p>
    <w:p w:rsidR="00770D26" w:rsidRPr="002F215F" w:rsidRDefault="00770D26" w:rsidP="00B05625">
      <w:pPr>
        <w:shd w:val="clear" w:color="auto" w:fill="FFFFFF"/>
        <w:spacing w:before="240"/>
        <w:ind w:left="567" w:right="757"/>
        <w:jc w:val="both"/>
        <w:rPr>
          <w:rFonts w:ascii="ITC Avant Garde" w:eastAsia="Times New Roman" w:hAnsi="ITC Avant Garde" w:cs="Arial"/>
          <w:sz w:val="18"/>
          <w:szCs w:val="18"/>
          <w:lang w:eastAsia="es-MX"/>
        </w:rPr>
      </w:pPr>
      <w:r w:rsidRPr="002F215F">
        <w:rPr>
          <w:rFonts w:ascii="ITC Avant Garde" w:eastAsia="Times New Roman" w:hAnsi="ITC Avant Garde" w:cs="Arial"/>
          <w:sz w:val="18"/>
          <w:szCs w:val="18"/>
          <w:lang w:eastAsia="es-MX"/>
        </w:rPr>
        <w:t xml:space="preserve">En caso que el Instituto determine que no existe interés público en recuperar el espectro radioeléctrico o los recursos orbitales, otorgará la prórroga solicitada dentro del mismo plazo señalado en el artículo anterior, siempre y cuando el concesionario </w:t>
      </w:r>
      <w:r w:rsidRPr="002F215F">
        <w:rPr>
          <w:rFonts w:ascii="ITC Avant Garde" w:eastAsia="Times New Roman" w:hAnsi="ITC Avant Garde" w:cs="Arial"/>
          <w:sz w:val="18"/>
          <w:szCs w:val="18"/>
          <w:u w:val="single"/>
          <w:lang w:eastAsia="es-MX"/>
        </w:rPr>
        <w:t>acepte, previamente, las nuevas condiciones</w:t>
      </w:r>
      <w:r w:rsidRPr="002F215F">
        <w:rPr>
          <w:rFonts w:ascii="ITC Avant Garde" w:eastAsia="Times New Roman" w:hAnsi="ITC Avant Garde" w:cs="Arial"/>
          <w:sz w:val="18"/>
          <w:szCs w:val="18"/>
          <w:lang w:eastAsia="es-MX"/>
        </w:rPr>
        <w:t xml:space="preserve"> que fije el Instituto entre las cuales incluirá el pago de una contraprestación.</w:t>
      </w:r>
    </w:p>
    <w:p w:rsidR="00770D26" w:rsidRPr="002F215F" w:rsidRDefault="00770D26" w:rsidP="00B05625">
      <w:pPr>
        <w:shd w:val="clear" w:color="auto" w:fill="FFFFFF"/>
        <w:spacing w:before="240"/>
        <w:ind w:left="567" w:right="757"/>
        <w:jc w:val="both"/>
        <w:rPr>
          <w:rFonts w:ascii="ITC Avant Garde" w:eastAsia="Times New Roman" w:hAnsi="ITC Avant Garde" w:cs="Arial"/>
          <w:sz w:val="18"/>
          <w:szCs w:val="18"/>
          <w:lang w:eastAsia="es-MX"/>
        </w:rPr>
      </w:pPr>
      <w:r w:rsidRPr="002F215F">
        <w:rPr>
          <w:rFonts w:ascii="ITC Avant Garde" w:eastAsia="Times New Roman" w:hAnsi="ITC Avant Garde" w:cs="Arial"/>
          <w:sz w:val="18"/>
          <w:szCs w:val="18"/>
          <w:lang w:eastAsia="es-MX"/>
        </w:rPr>
        <w:t>[…]”</w:t>
      </w:r>
    </w:p>
    <w:p w:rsidR="00B05625" w:rsidRPr="002F215F" w:rsidRDefault="00770D26" w:rsidP="00B05625">
      <w:pPr>
        <w:autoSpaceDE w:val="0"/>
        <w:autoSpaceDN w:val="0"/>
        <w:adjustRightInd w:val="0"/>
        <w:spacing w:before="240" w:line="276" w:lineRule="auto"/>
        <w:ind w:firstLine="567"/>
        <w:jc w:val="both"/>
        <w:rPr>
          <w:rFonts w:ascii="ITC Avant Garde" w:hAnsi="ITC Avant Garde" w:cs="Arial"/>
          <w:sz w:val="18"/>
          <w:szCs w:val="18"/>
        </w:rPr>
      </w:pPr>
      <w:r w:rsidRPr="002F215F">
        <w:rPr>
          <w:rFonts w:ascii="ITC Avant Garde" w:hAnsi="ITC Avant Garde" w:cs="Arial"/>
          <w:sz w:val="18"/>
          <w:szCs w:val="18"/>
        </w:rPr>
        <w:t xml:space="preserve"> </w:t>
      </w:r>
      <w:r w:rsidR="004105B7" w:rsidRPr="002F215F">
        <w:rPr>
          <w:rFonts w:ascii="ITC Avant Garde" w:hAnsi="ITC Avant Garde" w:cs="Arial"/>
          <w:sz w:val="18"/>
          <w:szCs w:val="18"/>
        </w:rPr>
        <w:t>[Énfasis Añadido]</w:t>
      </w:r>
    </w:p>
    <w:p w:rsidR="00B05625" w:rsidRPr="002F215F" w:rsidRDefault="004105B7" w:rsidP="00B05625">
      <w:pPr>
        <w:autoSpaceDE w:val="0"/>
        <w:autoSpaceDN w:val="0"/>
        <w:adjustRightInd w:val="0"/>
        <w:spacing w:before="240" w:line="276" w:lineRule="auto"/>
        <w:jc w:val="both"/>
        <w:rPr>
          <w:rFonts w:ascii="ITC Avant Garde" w:eastAsia="Times New Roman" w:hAnsi="ITC Avant Garde" w:cs="Arial"/>
          <w:lang w:eastAsia="es-MX"/>
        </w:rPr>
      </w:pPr>
      <w:r w:rsidRPr="002F215F">
        <w:rPr>
          <w:rFonts w:ascii="ITC Avant Garde" w:eastAsia="Times New Roman" w:hAnsi="ITC Avant Garde" w:cs="Arial"/>
          <w:lang w:eastAsia="es-MX"/>
        </w:rPr>
        <w:t>Así, esta disposición señala que para el otorgamiento de las prórrogas será necesario: i) solicitarlo al Instituto dentro del año previo al inicio de la última quinta parte del plazo de vigencia, ii) estar al corriente en el cumplimiento de las obligaciones establecidas en la Ley y demás disposiciones aplicables, así como en su título de concesi</w:t>
      </w:r>
      <w:r w:rsidR="00913E8B" w:rsidRPr="002F215F">
        <w:rPr>
          <w:rFonts w:ascii="ITC Avant Garde" w:eastAsia="Times New Roman" w:hAnsi="ITC Avant Garde" w:cs="Arial"/>
          <w:lang w:eastAsia="es-MX"/>
        </w:rPr>
        <w:t>ón y, iii) determinar si existe interés público por parte del Instituto en recuperar el espectro radioeléctrico</w:t>
      </w:r>
      <w:r w:rsidR="00770D26" w:rsidRPr="002F215F">
        <w:rPr>
          <w:rFonts w:ascii="ITC Avant Garde" w:eastAsia="Times New Roman" w:hAnsi="ITC Avant Garde" w:cs="Arial"/>
          <w:lang w:eastAsia="es-MX"/>
        </w:rPr>
        <w:t xml:space="preserve"> y, iv) de ser el caso, aceptar previamente las nuevas condiciones.</w:t>
      </w:r>
    </w:p>
    <w:p w:rsidR="00B05625" w:rsidRPr="002F215F" w:rsidRDefault="00943842" w:rsidP="00B05625">
      <w:pPr>
        <w:autoSpaceDE w:val="0"/>
        <w:autoSpaceDN w:val="0"/>
        <w:adjustRightInd w:val="0"/>
        <w:spacing w:before="240" w:line="276" w:lineRule="auto"/>
        <w:jc w:val="both"/>
        <w:rPr>
          <w:rFonts w:ascii="ITC Avant Garde" w:eastAsia="Times New Roman" w:hAnsi="ITC Avant Garde" w:cs="Arial"/>
          <w:lang w:eastAsia="es-MX"/>
        </w:rPr>
      </w:pPr>
      <w:r w:rsidRPr="002F215F">
        <w:rPr>
          <w:rFonts w:ascii="ITC Avant Garde" w:eastAsia="Times New Roman" w:hAnsi="ITC Avant Garde" w:cs="Arial"/>
          <w:lang w:eastAsia="es-MX"/>
        </w:rPr>
        <w:t>En ese sentido, en cuanto al requisito de temporalidad ordenado por la Ley, los Permisionarios deben presentar su solicitud de prórroga un año previo al inicio de la última quinta parte del plazo de vigencia del permiso, no obstante en el caso que nos ocupa dicho plazo no podría ser exigible considerando que el mismo empezó a transcurrir previo a la entrada en vigor de la Ley.</w:t>
      </w:r>
    </w:p>
    <w:p w:rsidR="00B05625" w:rsidRPr="002F215F" w:rsidRDefault="00943842" w:rsidP="00B05625">
      <w:pPr>
        <w:autoSpaceDE w:val="0"/>
        <w:autoSpaceDN w:val="0"/>
        <w:adjustRightInd w:val="0"/>
        <w:spacing w:before="240" w:line="276" w:lineRule="auto"/>
        <w:jc w:val="both"/>
        <w:rPr>
          <w:rFonts w:ascii="ITC Avant Garde" w:eastAsia="Times New Roman" w:hAnsi="ITC Avant Garde" w:cs="Arial"/>
          <w:lang w:eastAsia="es-MX"/>
        </w:rPr>
      </w:pPr>
      <w:r w:rsidRPr="002F215F">
        <w:rPr>
          <w:rFonts w:ascii="ITC Avant Garde" w:eastAsia="Times New Roman" w:hAnsi="ITC Avant Garde" w:cs="Arial"/>
          <w:lang w:eastAsia="es-MX"/>
        </w:rPr>
        <w:t xml:space="preserve">En consecuencia de lo anterior, por un principio de certeza jurídica la exigibilidad del plazo no sería aplicable, toda vez el artículo 114 de la Ley, prevé que los concesionarios deberán gozar de un año para la presentación de la solicitud de prórroga de que se trate. Esto significa que en un procedimiento administrativo no podría disminuirse la oportunidad que tendría por ministerio de ley, es decir, un año íntegro bajo el entendido </w:t>
      </w:r>
      <w:r w:rsidRPr="002F215F">
        <w:rPr>
          <w:rFonts w:ascii="ITC Avant Garde" w:eastAsia="Times New Roman" w:hAnsi="ITC Avant Garde" w:cs="Arial"/>
          <w:lang w:eastAsia="es-MX"/>
        </w:rPr>
        <w:lastRenderedPageBreak/>
        <w:t>de que éste debe computarse, previo a la última quinta parte de la vigencia del permiso, de lo contrario, se coartaría el derecho que tienen los interesados para la presentación de su prórroga dado que se daría un plazo menor al establecido en la Ley.</w:t>
      </w:r>
    </w:p>
    <w:p w:rsidR="00B05625" w:rsidRPr="002F215F" w:rsidRDefault="00943842" w:rsidP="00B05625">
      <w:pPr>
        <w:autoSpaceDE w:val="0"/>
        <w:autoSpaceDN w:val="0"/>
        <w:adjustRightInd w:val="0"/>
        <w:spacing w:before="240" w:line="276" w:lineRule="auto"/>
        <w:jc w:val="both"/>
        <w:rPr>
          <w:rFonts w:ascii="ITC Avant Garde" w:hAnsi="ITC Avant Garde"/>
          <w:bCs/>
        </w:rPr>
      </w:pPr>
      <w:r w:rsidRPr="002F215F">
        <w:rPr>
          <w:rFonts w:ascii="ITC Avant Garde" w:eastAsia="Calibri" w:hAnsi="ITC Avant Garde" w:cs="Tahoma"/>
          <w:bCs/>
          <w:lang w:eastAsia="es-MX"/>
        </w:rPr>
        <w:t xml:space="preserve">Ahora bien, dado que el plazo de la Ley no le es aplicable por los motivos antes expuestos, </w:t>
      </w:r>
      <w:r w:rsidRPr="002F215F">
        <w:rPr>
          <w:rFonts w:ascii="ITC Avant Garde" w:hAnsi="ITC Avant Garde"/>
          <w:bCs/>
        </w:rPr>
        <w:t xml:space="preserve">debe atenderse a lo dispuesto en la Condición </w:t>
      </w:r>
      <w:r w:rsidR="00F97D50" w:rsidRPr="002F215F">
        <w:rPr>
          <w:rFonts w:ascii="ITC Avant Garde" w:hAnsi="ITC Avant Garde"/>
          <w:bCs/>
        </w:rPr>
        <w:t>de vigencia de los Permisos, que prevé</w:t>
      </w:r>
      <w:r w:rsidRPr="002F215F">
        <w:rPr>
          <w:rFonts w:ascii="ITC Avant Garde" w:hAnsi="ITC Avant Garde"/>
          <w:bCs/>
        </w:rPr>
        <w:t xml:space="preserve"> </w:t>
      </w:r>
      <w:r w:rsidRPr="002F215F">
        <w:rPr>
          <w:rFonts w:ascii="ITC Avant Garde" w:eastAsia="Times New Roman" w:hAnsi="ITC Avant Garde" w:cs="Times New Roman"/>
          <w:kern w:val="1"/>
          <w:lang w:val="es-ES" w:eastAsia="ar-SA"/>
        </w:rPr>
        <w:t xml:space="preserve">la posibilidad legal de refrendar los permisos otorgados. No obstante, debe señalarse que la </w:t>
      </w:r>
      <w:r w:rsidR="00F97D50" w:rsidRPr="002F215F">
        <w:rPr>
          <w:rFonts w:ascii="ITC Avant Garde" w:eastAsia="Times New Roman" w:hAnsi="ITC Avant Garde" w:cs="Times New Roman"/>
          <w:kern w:val="1"/>
          <w:lang w:val="es-ES" w:eastAsia="ar-SA"/>
        </w:rPr>
        <w:t>misma</w:t>
      </w:r>
      <w:r w:rsidRPr="002F215F">
        <w:rPr>
          <w:rFonts w:ascii="ITC Avant Garde" w:eastAsia="Times New Roman" w:hAnsi="ITC Avant Garde" w:cs="Times New Roman"/>
          <w:kern w:val="1"/>
          <w:lang w:val="es-ES" w:eastAsia="ar-SA"/>
        </w:rPr>
        <w:t xml:space="preserve"> no señala un periodo específico para la presentación de las respectivas solicitudes, esto significa que los Permisionarios en términos de su título de permiso, gozaban de un plazo abierto para solicitar ante la autoridad el refrendo de sus autorizaciones para usar y aprovechar el espectro radioeléctrico para la prestación de los servicios, en las poblaciones autorizadas.</w:t>
      </w:r>
    </w:p>
    <w:p w:rsidR="00B05625" w:rsidRPr="002F215F" w:rsidRDefault="00943842" w:rsidP="00B05625">
      <w:pPr>
        <w:autoSpaceDE w:val="0"/>
        <w:autoSpaceDN w:val="0"/>
        <w:adjustRightInd w:val="0"/>
        <w:spacing w:before="240" w:line="276" w:lineRule="auto"/>
        <w:jc w:val="both"/>
        <w:rPr>
          <w:rFonts w:ascii="ITC Avant Garde" w:eastAsia="Times New Roman" w:hAnsi="ITC Avant Garde" w:cs="Arial"/>
          <w:lang w:eastAsia="es-MX"/>
        </w:rPr>
      </w:pPr>
      <w:r w:rsidRPr="002F215F">
        <w:rPr>
          <w:rFonts w:ascii="ITC Avant Garde" w:eastAsia="Calibri" w:hAnsi="ITC Avant Garde" w:cs="Tahoma"/>
          <w:bCs/>
          <w:lang w:eastAsia="es-MX"/>
        </w:rPr>
        <w:t>En tal sentido, considerando que los Permisionarios no se encontraban sujetos a un plazo vinculante para la presentación de su solicitud, se deberá tener por cumplido el requisito de temporalidad en el entendido, de que ésta siempre deberá ser presentada durante la vigencia del permiso respectivo.</w:t>
      </w:r>
    </w:p>
    <w:p w:rsidR="00B05625" w:rsidRPr="002F215F" w:rsidRDefault="00C11CD8" w:rsidP="00B05625">
      <w:pPr>
        <w:autoSpaceDE w:val="0"/>
        <w:autoSpaceDN w:val="0"/>
        <w:adjustRightInd w:val="0"/>
        <w:spacing w:before="240" w:line="276" w:lineRule="auto"/>
        <w:jc w:val="both"/>
        <w:rPr>
          <w:rFonts w:ascii="ITC Avant Garde" w:eastAsia="Times New Roman" w:hAnsi="ITC Avant Garde" w:cs="Arial"/>
          <w:lang w:eastAsia="es-MX"/>
        </w:rPr>
      </w:pPr>
      <w:r w:rsidRPr="002F215F">
        <w:rPr>
          <w:rFonts w:ascii="ITC Avant Garde" w:eastAsia="Calibri" w:hAnsi="ITC Avant Garde" w:cs="Tahoma"/>
          <w:bCs/>
          <w:lang w:eastAsia="es-MX"/>
        </w:rPr>
        <w:t>Por otro lado,</w:t>
      </w:r>
      <w:r w:rsidR="004105B7" w:rsidRPr="002F215F">
        <w:rPr>
          <w:rFonts w:ascii="ITC Avant Garde" w:eastAsia="Calibri" w:hAnsi="ITC Avant Garde" w:cs="Tahoma"/>
          <w:bCs/>
          <w:lang w:eastAsia="es-MX"/>
        </w:rPr>
        <w:t xml:space="preserve"> en relación al </w:t>
      </w:r>
      <w:r w:rsidR="00E34A2A" w:rsidRPr="002F215F">
        <w:rPr>
          <w:rFonts w:ascii="ITC Avant Garde" w:eastAsia="Calibri" w:hAnsi="ITC Avant Garde" w:cs="Tahoma"/>
          <w:bCs/>
          <w:lang w:eastAsia="es-MX"/>
        </w:rPr>
        <w:t>requisito</w:t>
      </w:r>
      <w:r w:rsidR="00E34A2A" w:rsidRPr="002F215F">
        <w:rPr>
          <w:rFonts w:ascii="ITC Avant Garde" w:eastAsia="Times New Roman" w:hAnsi="ITC Avant Garde" w:cs="Arial"/>
          <w:lang w:eastAsia="es-MX"/>
        </w:rPr>
        <w:t xml:space="preserve"> señalado por el artículo 114 de la Ley, consistente en estar al corriente en el cumplimiento de las obligaciones establecidas en la Ley y demás disposiciones aplicables, así como en su título de concesión</w:t>
      </w:r>
      <w:r w:rsidR="004105B7" w:rsidRPr="002F215F">
        <w:rPr>
          <w:rFonts w:ascii="ITC Avant Garde" w:eastAsia="Calibri" w:hAnsi="ITC Avant Garde" w:cs="Tahoma"/>
          <w:bCs/>
          <w:lang w:eastAsia="es-MX"/>
        </w:rPr>
        <w:t>, tal y como se señala en el Considerando Tercero, dado que en la presente Resolución se resuelven en un solo acto los trámites de prórroga y transición conforme a lo previsto en los Lineamientos, los Permisionarios únicamente están condicionados a la declaración expresa para cumplir con la condiciones pendientes establecidas en el título de permiso al momento d</w:t>
      </w:r>
      <w:r w:rsidR="00F85974" w:rsidRPr="002F215F">
        <w:rPr>
          <w:rFonts w:ascii="ITC Avant Garde" w:eastAsia="Calibri" w:hAnsi="ITC Avant Garde" w:cs="Tahoma"/>
          <w:bCs/>
          <w:lang w:eastAsia="es-MX"/>
        </w:rPr>
        <w:t>e las determinaciones de mérito.</w:t>
      </w:r>
    </w:p>
    <w:p w:rsidR="00B05625" w:rsidRPr="002F215F" w:rsidRDefault="00D8228E" w:rsidP="00B05625">
      <w:pPr>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Ahora bien</w:t>
      </w:r>
      <w:r w:rsidR="00C11CD8" w:rsidRPr="002F215F">
        <w:rPr>
          <w:rFonts w:ascii="ITC Avant Garde" w:eastAsia="Calibri" w:hAnsi="ITC Avant Garde" w:cs="Tahoma"/>
          <w:bCs/>
          <w:lang w:eastAsia="es-MX"/>
        </w:rPr>
        <w:t>, en relación sobre el interés de recuperar el espectro radioeléctrico por parte del Instituto de las bandas asignadas a dichos permisionarios, tal y como se señaló en el Antecedente X</w:t>
      </w:r>
      <w:r w:rsidR="003B65E6" w:rsidRPr="002F215F">
        <w:rPr>
          <w:rFonts w:ascii="ITC Avant Garde" w:eastAsia="Calibri" w:hAnsi="ITC Avant Garde" w:cs="Tahoma"/>
          <w:bCs/>
          <w:lang w:eastAsia="es-MX"/>
        </w:rPr>
        <w:t>I</w:t>
      </w:r>
      <w:r w:rsidR="00C11CD8" w:rsidRPr="002F215F">
        <w:rPr>
          <w:rFonts w:ascii="ITC Avant Garde" w:eastAsia="Calibri" w:hAnsi="ITC Avant Garde" w:cs="Tahoma"/>
          <w:bCs/>
          <w:lang w:eastAsia="es-MX"/>
        </w:rPr>
        <w:t xml:space="preserve"> de la presente Resolución, la Dirección General de Concesiones de Radiodifusión solicitó el dictamen correspondiente.</w:t>
      </w:r>
    </w:p>
    <w:p w:rsidR="00B05625" w:rsidRPr="002F215F" w:rsidRDefault="00C11CD8" w:rsidP="00B05625">
      <w:pPr>
        <w:autoSpaceDE w:val="0"/>
        <w:autoSpaceDN w:val="0"/>
        <w:adjustRightInd w:val="0"/>
        <w:spacing w:before="240" w:line="276" w:lineRule="auto"/>
        <w:ind w:right="48"/>
        <w:jc w:val="both"/>
        <w:rPr>
          <w:rFonts w:ascii="ITC Avant Garde" w:eastAsia="Times New Roman" w:hAnsi="ITC Avant Garde" w:cs="Times New Roman"/>
          <w:bCs/>
        </w:rPr>
      </w:pPr>
      <w:r w:rsidRPr="002F215F">
        <w:rPr>
          <w:rFonts w:ascii="ITC Avant Garde" w:eastAsia="Calibri" w:hAnsi="ITC Avant Garde" w:cs="Times New Roman"/>
          <w:bCs/>
        </w:rPr>
        <w:t xml:space="preserve">Cabe destacar que para este tipo de solicitudes debe acatarse el requisito de procedencia establecido por el artículo </w:t>
      </w:r>
      <w:r w:rsidRPr="002F215F">
        <w:rPr>
          <w:rFonts w:ascii="ITC Avant Garde" w:eastAsia="Times New Roman" w:hAnsi="ITC Avant Garde" w:cs="Times New Roman"/>
          <w:bCs/>
        </w:rPr>
        <w:t>173, inciso C, fracción II, en relación con el diverso 174-L, fracción I, de la Ley Federal de Derechos, por concepto de prórroga de concesiones en materia de radiodifusión para el uso y aprovechamiento de bandas de frecuencias del espectro radioeléctrico para uso público y social, respecto de la concesión que se solicita refrendar, como es el caso que nos ocupa y que debe acompañarse al escrito de petición.</w:t>
      </w:r>
    </w:p>
    <w:p w:rsidR="00B05625" w:rsidRPr="002F215F" w:rsidRDefault="001409BF" w:rsidP="00B05625">
      <w:pPr>
        <w:autoSpaceDE w:val="0"/>
        <w:autoSpaceDN w:val="0"/>
        <w:adjustRightInd w:val="0"/>
        <w:spacing w:before="240" w:line="276" w:lineRule="auto"/>
        <w:ind w:right="48"/>
        <w:jc w:val="both"/>
        <w:rPr>
          <w:rFonts w:ascii="ITC Avant Garde" w:eastAsia="Calibri" w:hAnsi="ITC Avant Garde" w:cs="Tahoma"/>
          <w:bCs/>
          <w:lang w:eastAsia="es-MX"/>
        </w:rPr>
      </w:pPr>
      <w:r w:rsidRPr="002F215F">
        <w:rPr>
          <w:rFonts w:ascii="ITC Avant Garde" w:eastAsia="Calibri" w:hAnsi="ITC Avant Garde" w:cs="Tahoma"/>
          <w:bCs/>
          <w:lang w:eastAsia="es-MX"/>
        </w:rPr>
        <w:lastRenderedPageBreak/>
        <w:t xml:space="preserve">Por otro lado, por lo que hace al esquema de transición de permisos al régimen de concesión, el artículo 28 de la Constitución, párrafos décimo séptimo y décimo octavo establecen, de manera respectiva, los tipos de concesiones en materia de telecomunicaciones y radiodifusión, así como los mecanismos para su otorgamiento. </w:t>
      </w:r>
    </w:p>
    <w:p w:rsidR="00B05625" w:rsidRPr="002F215F" w:rsidRDefault="001409BF" w:rsidP="00B05625">
      <w:pPr>
        <w:spacing w:before="240" w:line="276" w:lineRule="auto"/>
        <w:ind w:right="48"/>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rsidR="001409BF" w:rsidRPr="002F215F" w:rsidRDefault="001409BF" w:rsidP="00B05625">
      <w:pPr>
        <w:tabs>
          <w:tab w:val="left" w:pos="2700"/>
        </w:tabs>
        <w:spacing w:before="240" w:line="276" w:lineRule="auto"/>
        <w:ind w:left="567" w:right="615" w:firstLine="6"/>
        <w:jc w:val="both"/>
        <w:rPr>
          <w:rFonts w:ascii="ITC Avant Garde" w:eastAsia="Times New Roman" w:hAnsi="ITC Avant Garde" w:cs="Arial"/>
          <w:sz w:val="18"/>
          <w:szCs w:val="18"/>
          <w:lang w:val="es-ES" w:eastAsia="es-ES"/>
        </w:rPr>
      </w:pPr>
      <w:r w:rsidRPr="002F215F">
        <w:rPr>
          <w:rFonts w:ascii="ITC Avant Garde" w:eastAsia="Times New Roman" w:hAnsi="ITC Avant Garde" w:cs="Arial"/>
          <w:sz w:val="18"/>
          <w:szCs w:val="18"/>
          <w:lang w:val="es-ES" w:eastAsia="es-ES"/>
        </w:rPr>
        <w:t>“</w:t>
      </w:r>
      <w:r w:rsidRPr="002F215F">
        <w:rPr>
          <w:rFonts w:ascii="ITC Avant Garde" w:eastAsia="Times New Roman" w:hAnsi="ITC Avant Garde" w:cs="Arial"/>
          <w:b/>
          <w:sz w:val="18"/>
          <w:szCs w:val="18"/>
          <w:lang w:val="es-ES" w:eastAsia="es-ES"/>
        </w:rPr>
        <w:t>Artículo 28.</w:t>
      </w:r>
      <w:r w:rsidR="002900ED" w:rsidRPr="002F215F">
        <w:rPr>
          <w:rFonts w:ascii="ITC Avant Garde" w:eastAsia="Times New Roman" w:hAnsi="ITC Avant Garde" w:cs="Arial"/>
          <w:sz w:val="18"/>
          <w:szCs w:val="18"/>
          <w:lang w:val="es-ES" w:eastAsia="es-ES"/>
        </w:rPr>
        <w:t xml:space="preserve"> …</w:t>
      </w:r>
    </w:p>
    <w:p w:rsidR="00B05625" w:rsidRPr="002F215F" w:rsidRDefault="001409BF" w:rsidP="00B05625">
      <w:pPr>
        <w:spacing w:before="240" w:line="276" w:lineRule="auto"/>
        <w:ind w:left="567" w:right="615" w:firstLine="6"/>
        <w:jc w:val="both"/>
        <w:rPr>
          <w:rFonts w:ascii="ITC Avant Garde" w:eastAsia="Times New Roman" w:hAnsi="ITC Avant Garde" w:cs="Arial"/>
          <w:sz w:val="18"/>
          <w:szCs w:val="18"/>
          <w:lang w:val="es-ES" w:eastAsia="es-ES"/>
        </w:rPr>
      </w:pPr>
      <w:r w:rsidRPr="002F215F">
        <w:rPr>
          <w:rFonts w:ascii="ITC Avant Garde" w:eastAsia="Times New Roman" w:hAnsi="ITC Avant Garde" w:cs="Arial"/>
          <w:sz w:val="18"/>
          <w:szCs w:val="18"/>
          <w:lang w:val="es-ES" w:eastAsia="es-ES"/>
        </w:rPr>
        <w:t>….</w:t>
      </w:r>
    </w:p>
    <w:p w:rsidR="00B05625" w:rsidRPr="002F215F" w:rsidRDefault="001409BF" w:rsidP="00B05625">
      <w:pPr>
        <w:spacing w:before="240" w:line="276" w:lineRule="auto"/>
        <w:ind w:left="567" w:right="615" w:firstLine="6"/>
        <w:jc w:val="both"/>
        <w:rPr>
          <w:rFonts w:ascii="ITC Avant Garde" w:eastAsia="Times New Roman" w:hAnsi="ITC Avant Garde" w:cs="Arial"/>
          <w:sz w:val="18"/>
          <w:szCs w:val="18"/>
          <w:lang w:val="es-ES" w:eastAsia="es-ES"/>
        </w:rPr>
      </w:pPr>
      <w:r w:rsidRPr="002F215F">
        <w:rPr>
          <w:rFonts w:ascii="ITC Avant Garde" w:eastAsia="Times New Roman" w:hAnsi="ITC Avant Garde" w:cs="Arial"/>
          <w:sz w:val="18"/>
          <w:szCs w:val="18"/>
          <w:lang w:val="es-ES" w:eastAsia="es-ES"/>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F215F">
        <w:rPr>
          <w:rFonts w:ascii="ITC Avant Garde" w:eastAsia="Times New Roman" w:hAnsi="ITC Avant Garde" w:cs="Arial"/>
          <w:sz w:val="18"/>
          <w:szCs w:val="18"/>
          <w:u w:val="single"/>
          <w:lang w:val="es-ES" w:eastAsia="es-ES"/>
        </w:rPr>
        <w:t>Las concesiones podrán ser para uso comercial, público, privado y social que incluyen las comunitarias y las indígenas, las que se sujetarán, de acuerdo con sus fines, a los principios establecidos en los artículos 2o., 3o., 6o. y 7o. de esta Constitución</w:t>
      </w:r>
      <w:r w:rsidRPr="002F215F">
        <w:rPr>
          <w:rFonts w:ascii="ITC Avant Garde" w:eastAsia="Times New Roman" w:hAnsi="ITC Avant Garde" w:cs="Arial"/>
          <w:sz w:val="18"/>
          <w:szCs w:val="18"/>
          <w:lang w:val="es-ES" w:eastAsia="es-ES"/>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rsidR="00B05625" w:rsidRPr="002F215F" w:rsidRDefault="001409BF" w:rsidP="00B05625">
      <w:pPr>
        <w:autoSpaceDE w:val="0"/>
        <w:autoSpaceDN w:val="0"/>
        <w:adjustRightInd w:val="0"/>
        <w:spacing w:before="240" w:line="276" w:lineRule="auto"/>
        <w:ind w:left="567"/>
        <w:jc w:val="both"/>
        <w:rPr>
          <w:rFonts w:ascii="ITC Avant Garde" w:hAnsi="ITC Avant Garde" w:cs="Arial"/>
          <w:bCs/>
          <w:sz w:val="18"/>
          <w:szCs w:val="18"/>
        </w:rPr>
      </w:pPr>
      <w:r w:rsidRPr="002F215F">
        <w:rPr>
          <w:rFonts w:ascii="ITC Avant Garde" w:hAnsi="ITC Avant Garde" w:cs="Arial"/>
          <w:bCs/>
          <w:sz w:val="18"/>
          <w:szCs w:val="18"/>
        </w:rPr>
        <w:t>[Énfasis añadido]</w:t>
      </w:r>
    </w:p>
    <w:p w:rsidR="00B05625" w:rsidRPr="002F215F" w:rsidRDefault="001409BF" w:rsidP="00B05625">
      <w:pPr>
        <w:spacing w:before="240" w:line="276" w:lineRule="auto"/>
        <w:ind w:right="-144"/>
        <w:jc w:val="both"/>
        <w:rPr>
          <w:rFonts w:ascii="ITC Avant Garde" w:eastAsia="Calibri" w:hAnsi="ITC Avant Garde" w:cs="Times New Roman"/>
          <w:bCs/>
        </w:rPr>
      </w:pPr>
      <w:r w:rsidRPr="002F215F">
        <w:rPr>
          <w:rFonts w:ascii="ITC Avant Garde" w:eastAsia="Calibri" w:hAnsi="ITC Avant Garde" w:cs="Times New Roman"/>
          <w:bCs/>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y tratándose de concesiones para uso público y social, las mismas se otorgarán bajo el mecanismo de asignación directa y sin fines de lucro conforme a lo previsto por la ley de la materia. </w:t>
      </w:r>
    </w:p>
    <w:p w:rsidR="00B05625" w:rsidRPr="002F215F" w:rsidRDefault="001409BF" w:rsidP="00B05625">
      <w:pPr>
        <w:spacing w:before="240" w:line="276" w:lineRule="auto"/>
        <w:ind w:right="-144"/>
        <w:jc w:val="both"/>
        <w:rPr>
          <w:rFonts w:ascii="ITC Avant Garde" w:eastAsia="Calibri" w:hAnsi="ITC Avant Garde" w:cs="Times New Roman"/>
          <w:bCs/>
        </w:rPr>
      </w:pPr>
      <w:r w:rsidRPr="002F215F">
        <w:rPr>
          <w:rFonts w:ascii="ITC Avant Garde" w:eastAsia="Calibri" w:hAnsi="ITC Avant Garde" w:cs="Times New Roman"/>
          <w:bCs/>
        </w:rPr>
        <w:t xml:space="preserve">A continuación se realiza la transcripción del párrafo en comento: </w:t>
      </w:r>
    </w:p>
    <w:p w:rsidR="001409BF" w:rsidRPr="002F215F" w:rsidRDefault="001409BF" w:rsidP="00B05625">
      <w:pPr>
        <w:spacing w:before="240" w:line="276" w:lineRule="auto"/>
        <w:ind w:left="567" w:right="615" w:firstLine="6"/>
        <w:jc w:val="both"/>
        <w:rPr>
          <w:rFonts w:ascii="ITC Avant Garde" w:eastAsia="Times New Roman" w:hAnsi="ITC Avant Garde" w:cs="Arial"/>
          <w:sz w:val="18"/>
          <w:szCs w:val="18"/>
          <w:lang w:val="es-ES" w:eastAsia="es-ES"/>
        </w:rPr>
      </w:pPr>
      <w:r w:rsidRPr="002F215F">
        <w:rPr>
          <w:rFonts w:ascii="ITC Avant Garde" w:eastAsia="Times New Roman" w:hAnsi="ITC Avant Garde" w:cs="Arial"/>
          <w:sz w:val="18"/>
          <w:szCs w:val="18"/>
          <w:lang w:val="es-ES" w:eastAsia="es-ES"/>
        </w:rPr>
        <w:t>“</w:t>
      </w:r>
      <w:r w:rsidRPr="002F215F">
        <w:rPr>
          <w:rFonts w:ascii="ITC Avant Garde" w:eastAsia="Times New Roman" w:hAnsi="ITC Avant Garde" w:cs="Arial"/>
          <w:b/>
          <w:sz w:val="18"/>
          <w:szCs w:val="18"/>
          <w:lang w:val="es-ES" w:eastAsia="es-ES"/>
        </w:rPr>
        <w:t>Artículo 28.</w:t>
      </w:r>
      <w:r w:rsidRPr="002F215F">
        <w:rPr>
          <w:rFonts w:ascii="ITC Avant Garde" w:eastAsia="Times New Roman" w:hAnsi="ITC Avant Garde" w:cs="Arial"/>
          <w:sz w:val="18"/>
          <w:szCs w:val="18"/>
          <w:lang w:val="es-ES" w:eastAsia="es-ES"/>
        </w:rPr>
        <w:t xml:space="preserve"> …</w:t>
      </w:r>
    </w:p>
    <w:p w:rsidR="00B05625" w:rsidRPr="002F215F" w:rsidRDefault="001409BF" w:rsidP="00B05625">
      <w:pPr>
        <w:spacing w:before="240" w:line="276" w:lineRule="auto"/>
        <w:ind w:left="567" w:right="615" w:firstLine="6"/>
        <w:jc w:val="both"/>
        <w:rPr>
          <w:rFonts w:ascii="ITC Avant Garde" w:eastAsia="Times New Roman" w:hAnsi="ITC Avant Garde" w:cs="Arial"/>
          <w:sz w:val="18"/>
          <w:szCs w:val="18"/>
          <w:lang w:val="es-ES" w:eastAsia="es-ES"/>
        </w:rPr>
      </w:pPr>
      <w:r w:rsidRPr="002F215F">
        <w:rPr>
          <w:rFonts w:ascii="ITC Avant Garde" w:eastAsia="Times New Roman" w:hAnsi="ITC Avant Garde" w:cs="Arial"/>
          <w:sz w:val="18"/>
          <w:szCs w:val="18"/>
          <w:lang w:val="es-ES" w:eastAsia="es-ES"/>
        </w:rPr>
        <w:t>….</w:t>
      </w:r>
    </w:p>
    <w:p w:rsidR="00B05625" w:rsidRPr="002F215F" w:rsidRDefault="001409BF" w:rsidP="00B05625">
      <w:pPr>
        <w:spacing w:before="240" w:line="276" w:lineRule="auto"/>
        <w:ind w:left="567" w:right="615"/>
        <w:jc w:val="both"/>
        <w:rPr>
          <w:rFonts w:ascii="ITC Avant Garde" w:eastAsia="Times New Roman" w:hAnsi="ITC Avant Garde" w:cs="Arial"/>
          <w:lang w:val="es-ES" w:eastAsia="es-ES"/>
        </w:rPr>
      </w:pPr>
      <w:r w:rsidRPr="002F215F">
        <w:rPr>
          <w:rFonts w:ascii="ITC Avant Garde" w:eastAsia="Times New Roman" w:hAnsi="ITC Avant Garde" w:cs="Arial"/>
          <w:sz w:val="18"/>
          <w:szCs w:val="18"/>
          <w:lang w:val="es-ES" w:eastAsia="es-ES"/>
        </w:rPr>
        <w:lastRenderedPageBreak/>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F215F">
        <w:rPr>
          <w:rFonts w:ascii="ITC Avant Garde" w:eastAsia="Times New Roman" w:hAnsi="ITC Avant Garde" w:cs="Arial"/>
          <w:sz w:val="18"/>
          <w:szCs w:val="18"/>
          <w:u w:val="single"/>
          <w:lang w:val="es-ES" w:eastAsia="es-ES"/>
        </w:rPr>
        <w:t xml:space="preserve"> Las concesiones para </w:t>
      </w:r>
      <w:r w:rsidRPr="002F215F">
        <w:rPr>
          <w:rFonts w:ascii="ITC Avant Garde" w:eastAsia="Times New Roman" w:hAnsi="ITC Avant Garde" w:cs="Arial"/>
          <w:b/>
          <w:sz w:val="18"/>
          <w:szCs w:val="18"/>
          <w:u w:val="single"/>
          <w:lang w:val="es-ES" w:eastAsia="es-ES"/>
        </w:rPr>
        <w:t>uso público y social</w:t>
      </w:r>
      <w:r w:rsidRPr="002F215F">
        <w:rPr>
          <w:rFonts w:ascii="ITC Avant Garde" w:eastAsia="Times New Roman" w:hAnsi="ITC Avant Garde" w:cs="Arial"/>
          <w:sz w:val="18"/>
          <w:szCs w:val="18"/>
          <w:u w:val="single"/>
          <w:lang w:val="es-ES" w:eastAsia="es-ES"/>
        </w:rPr>
        <w:t xml:space="preserve"> serán </w:t>
      </w:r>
      <w:r w:rsidRPr="002F215F">
        <w:rPr>
          <w:rFonts w:ascii="ITC Avant Garde" w:eastAsia="Times New Roman" w:hAnsi="ITC Avant Garde" w:cs="Arial"/>
          <w:b/>
          <w:sz w:val="18"/>
          <w:szCs w:val="18"/>
          <w:u w:val="single"/>
          <w:lang w:val="es-ES" w:eastAsia="es-ES"/>
        </w:rPr>
        <w:t>sin fines de lucro</w:t>
      </w:r>
      <w:r w:rsidRPr="002F215F">
        <w:rPr>
          <w:rFonts w:ascii="ITC Avant Garde" w:eastAsia="Times New Roman" w:hAnsi="ITC Avant Garde" w:cs="Arial"/>
          <w:sz w:val="18"/>
          <w:szCs w:val="18"/>
          <w:u w:val="single"/>
          <w:lang w:val="es-ES" w:eastAsia="es-ES"/>
        </w:rPr>
        <w:t xml:space="preserve"> y se otorgarán bajo el </w:t>
      </w:r>
      <w:r w:rsidRPr="002F215F">
        <w:rPr>
          <w:rFonts w:ascii="ITC Avant Garde" w:eastAsia="Times New Roman" w:hAnsi="ITC Avant Garde" w:cs="Arial"/>
          <w:b/>
          <w:sz w:val="18"/>
          <w:szCs w:val="18"/>
          <w:u w:val="single"/>
          <w:lang w:val="es-ES" w:eastAsia="es-ES"/>
        </w:rPr>
        <w:t>mecanismo de asignación directa</w:t>
      </w:r>
      <w:r w:rsidRPr="002F215F">
        <w:rPr>
          <w:rFonts w:ascii="ITC Avant Garde" w:eastAsia="Times New Roman" w:hAnsi="ITC Avant Garde" w:cs="Arial"/>
          <w:sz w:val="18"/>
          <w:szCs w:val="18"/>
          <w:u w:val="single"/>
          <w:lang w:val="es-ES" w:eastAsia="es-ES"/>
        </w:rPr>
        <w:t xml:space="preserve"> conforme a lo previsto por la ley y en condiciones que garanticen la transparencia del procedimiento</w:t>
      </w:r>
      <w:r w:rsidRPr="002F215F">
        <w:rPr>
          <w:rFonts w:ascii="ITC Avant Garde" w:eastAsia="Times New Roman" w:hAnsi="ITC Avant Garde" w:cs="Arial"/>
          <w:sz w:val="18"/>
          <w:szCs w:val="18"/>
          <w:lang w:val="es-ES" w:eastAsia="es-ES"/>
        </w:rPr>
        <w:t>…”</w:t>
      </w:r>
    </w:p>
    <w:p w:rsidR="00B05625" w:rsidRPr="002F215F" w:rsidRDefault="001409BF" w:rsidP="00B05625">
      <w:pPr>
        <w:autoSpaceDE w:val="0"/>
        <w:autoSpaceDN w:val="0"/>
        <w:adjustRightInd w:val="0"/>
        <w:spacing w:before="240" w:line="276" w:lineRule="auto"/>
        <w:ind w:left="567"/>
        <w:jc w:val="both"/>
        <w:rPr>
          <w:rFonts w:ascii="ITC Avant Garde" w:hAnsi="ITC Avant Garde" w:cs="Arial"/>
          <w:bCs/>
          <w:sz w:val="18"/>
          <w:szCs w:val="18"/>
        </w:rPr>
      </w:pPr>
      <w:r w:rsidRPr="002F215F">
        <w:rPr>
          <w:rFonts w:ascii="ITC Avant Garde" w:hAnsi="ITC Avant Garde" w:cs="Arial"/>
          <w:bCs/>
          <w:sz w:val="18"/>
          <w:szCs w:val="18"/>
        </w:rPr>
        <w:t>[Énfasis Añadido]</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 xml:space="preserve">En correspondencia con la norma constitucional, la Ley establece los tipos de concesiones para prestar servicios de telecomunicaciones y radiodifusión, así como de espectro radioeléctrico, de acuerdo a su modalidad de uso. </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 xml:space="preserve">Así, el artículo 76 del mismo ordenamiento legal establece los tipos de concesiones sobre el espectro radioeléctrico que confieren el derecho de usar, aprovechar y explotar bandas de frecuencias del espectro radioeléctrico de uso determinado, para lo cual prevé que sean </w:t>
      </w:r>
      <w:r w:rsidR="00116C99" w:rsidRPr="002F215F">
        <w:rPr>
          <w:rFonts w:ascii="ITC Avant Garde" w:eastAsia="Calibri" w:hAnsi="ITC Avant Garde" w:cs="Times New Roman"/>
        </w:rPr>
        <w:t xml:space="preserve">para </w:t>
      </w:r>
      <w:r w:rsidRPr="002F215F">
        <w:rPr>
          <w:rFonts w:ascii="ITC Avant Garde" w:eastAsia="Calibri" w:hAnsi="ITC Avant Garde" w:cs="Times New Roman"/>
        </w:rPr>
        <w:t>uso comercial, público, privado o social.</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 xml:space="preserve">Por lo que hace al uso público, la fracción II del propio artículo 76 de la Ley dispone que éstas únicamente se otorgan a los Poderes de la Unión, de los Estados, los órganos de Gobierno del Distrito Federal, los Municipios, los órganos constitucionales autónomos y las instituciones de educación superior de carácter público sin que pueda usarse, aprovecharse o explotarse el espectro radioeléctrico con fines de lucro, como se lee a continuación: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 xml:space="preserve">“Artículo 76. </w:t>
      </w:r>
      <w:r w:rsidRPr="002F215F">
        <w:rPr>
          <w:rFonts w:ascii="ITC Avant Garde" w:hAnsi="ITC Avant Garde" w:cs="Arial"/>
          <w:sz w:val="18"/>
          <w:szCs w:val="18"/>
        </w:rPr>
        <w:t xml:space="preserve">De acuerdo con sus fines, las concesiones a que se refiere este capítulo serán: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 xml:space="preserve">II. Para uso público: </w:t>
      </w:r>
      <w:r w:rsidRPr="002F215F">
        <w:rPr>
          <w:rFonts w:ascii="ITC Avant Garde" w:hAnsi="ITC Avant Garde" w:cs="Arial"/>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2F215F">
        <w:rPr>
          <w:rFonts w:ascii="ITC Avant Garde" w:hAnsi="ITC Avant Garde" w:cs="Arial"/>
          <w:sz w:val="18"/>
          <w:szCs w:val="18"/>
        </w:rPr>
        <w:t xml:space="preserve">. </w:t>
      </w:r>
    </w:p>
    <w:p w:rsidR="00B05625" w:rsidRPr="002F215F" w:rsidRDefault="001409BF" w:rsidP="00B05625">
      <w:pPr>
        <w:spacing w:before="240" w:line="276" w:lineRule="auto"/>
        <w:ind w:left="567" w:right="615"/>
        <w:jc w:val="both"/>
        <w:rPr>
          <w:rFonts w:ascii="ITC Avant Garde" w:eastAsia="Calibri" w:hAnsi="ITC Avant Garde" w:cs="Times New Roman"/>
          <w:sz w:val="18"/>
          <w:szCs w:val="18"/>
        </w:rPr>
      </w:pPr>
      <w:r w:rsidRPr="002F215F">
        <w:rPr>
          <w:rFonts w:ascii="ITC Avant Garde" w:hAnsi="ITC Avant Garde" w:cs="Arial"/>
          <w:sz w:val="18"/>
          <w:szCs w:val="18"/>
        </w:rPr>
        <w:t>…”</w:t>
      </w:r>
    </w:p>
    <w:p w:rsidR="00B05625" w:rsidRPr="002F215F" w:rsidRDefault="001409BF" w:rsidP="00B05625">
      <w:pPr>
        <w:autoSpaceDE w:val="0"/>
        <w:autoSpaceDN w:val="0"/>
        <w:adjustRightInd w:val="0"/>
        <w:spacing w:before="240" w:line="276" w:lineRule="auto"/>
        <w:ind w:left="567"/>
        <w:jc w:val="both"/>
        <w:rPr>
          <w:rFonts w:ascii="ITC Avant Garde" w:hAnsi="ITC Avant Garde" w:cs="Arial"/>
          <w:bCs/>
          <w:sz w:val="18"/>
          <w:szCs w:val="18"/>
        </w:rPr>
      </w:pPr>
      <w:r w:rsidRPr="002F215F">
        <w:rPr>
          <w:rFonts w:ascii="ITC Avant Garde" w:hAnsi="ITC Avant Garde" w:cs="Arial"/>
          <w:bCs/>
          <w:sz w:val="18"/>
          <w:szCs w:val="18"/>
        </w:rPr>
        <w:t>[Énfasis Añadido]</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 xml:space="preserve">Efectivamente, tratándose de concesiones </w:t>
      </w:r>
      <w:r w:rsidRPr="002F215F">
        <w:rPr>
          <w:rFonts w:ascii="ITC Avant Garde" w:eastAsia="Calibri" w:hAnsi="ITC Avant Garde" w:cs="Tahoma"/>
          <w:bCs/>
          <w:lang w:eastAsia="es-MX"/>
        </w:rPr>
        <w:t xml:space="preserve">sobre el espectro radioeléctrico </w:t>
      </w:r>
      <w:r w:rsidRPr="002F215F">
        <w:rPr>
          <w:rFonts w:ascii="ITC Avant Garde" w:eastAsia="Calibri" w:hAnsi="ITC Avant Garde" w:cs="Times New Roman"/>
        </w:rPr>
        <w:t xml:space="preserve">para uso público,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los </w:t>
      </w:r>
      <w:r w:rsidRPr="002F215F">
        <w:rPr>
          <w:rFonts w:ascii="ITC Avant Garde" w:eastAsia="Calibri" w:hAnsi="ITC Avant Garde" w:cs="Times New Roman"/>
        </w:rPr>
        <w:lastRenderedPageBreak/>
        <w:t xml:space="preserve">poderes públicos y demás personas jurídicas de carácter público a que se refiere la fracción II del artículo 76 de la Ley. </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Ahora bien, en cuanto a la vigencia para las concesiones de carácter público la Ley prevé que su concesionamiento puede realizarse hasta por quince años y que pueden prorrogarse hasta por plazos iguales. Al respecto, el artículo 83 de la Ley expresamente dispone:</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 xml:space="preserve">“Artículo 83. </w:t>
      </w:r>
      <w:r w:rsidRPr="002F215F">
        <w:rPr>
          <w:rFonts w:ascii="ITC Avant Garde" w:hAnsi="ITC Avant Garde" w:cs="Arial"/>
          <w:bCs/>
          <w:sz w:val="18"/>
          <w:szCs w:val="18"/>
        </w:rPr>
        <w:t xml:space="preserve">Las </w:t>
      </w:r>
      <w:r w:rsidRPr="002F215F">
        <w:rPr>
          <w:rFonts w:ascii="ITC Avant Garde" w:hAnsi="ITC Avant Garde" w:cs="Arial"/>
          <w:bCs/>
          <w:sz w:val="18"/>
          <w:szCs w:val="18"/>
          <w:u w:val="single"/>
        </w:rPr>
        <w:t>concesiones sobre el espectro radioeléctrico para uso público o social se otorgarán mediante asignación directa hasta por quince años</w:t>
      </w:r>
      <w:r w:rsidRPr="002F215F">
        <w:rPr>
          <w:rFonts w:ascii="ITC Avant Garde" w:hAnsi="ITC Avant Garde" w:cs="Arial"/>
          <w:bCs/>
          <w:sz w:val="18"/>
          <w:szCs w:val="18"/>
        </w:rPr>
        <w:t xml:space="preserve"> y podrán ser prorrogadas hasta por plazos iguales: conforme lo dispuesto en el capítulo VI de este Título. </w:t>
      </w:r>
      <w:r w:rsidRPr="002F215F">
        <w:rPr>
          <w:rFonts w:ascii="ITC Avant Garde" w:hAnsi="ITC Avant Garde" w:cs="Arial"/>
          <w:bCs/>
          <w:sz w:val="18"/>
          <w:szCs w:val="18"/>
          <w:u w:val="single"/>
        </w:rPr>
        <w:t>Bajo esta modalidad de concesiones no se podrán prestar servicios con fines de lucro, ni compartir el espectro radioeléctrico con terceros</w:t>
      </w:r>
      <w:r w:rsidRPr="002F215F">
        <w:rPr>
          <w:rFonts w:ascii="ITC Avant Garde" w:hAnsi="ITC Avant Garde" w:cs="Arial"/>
          <w:bCs/>
          <w:sz w:val="18"/>
          <w:szCs w:val="18"/>
        </w:rPr>
        <w:t>. Lo anterior, sin perjuicio de la multiprogramación de las concesiones de radiodifusión en la que se podrá ofrecer capacidad a terceros de conformidad con esta Ley.”</w:t>
      </w:r>
      <w:r w:rsidRPr="002F215F">
        <w:rPr>
          <w:rFonts w:ascii="ITC Avant Garde" w:hAnsi="ITC Avant Garde" w:cs="Arial"/>
          <w:sz w:val="18"/>
          <w:szCs w:val="18"/>
        </w:rPr>
        <w:t xml:space="preserve">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t>[Énfasis añadido]</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Por su parte, el artículo 70 de la Ley establece que se requiere concesión única para uso público cuando se necesite utilizar o aprovechar bandas de frecuencias del espectro radioeléctrico que no sean de uso libre. En consecuencia con lo anterior, el segundo párrafo 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rsidR="00B05625" w:rsidRPr="002F215F" w:rsidRDefault="001409BF" w:rsidP="00B05625">
      <w:pPr>
        <w:spacing w:before="240" w:line="276" w:lineRule="auto"/>
        <w:ind w:right="-144"/>
        <w:jc w:val="both"/>
        <w:rPr>
          <w:rFonts w:ascii="ITC Avant Garde" w:eastAsia="Calibri" w:hAnsi="ITC Avant Garde" w:cs="Times New Roman"/>
        </w:rPr>
      </w:pPr>
      <w:r w:rsidRPr="002F215F">
        <w:rPr>
          <w:rFonts w:ascii="ITC Avant Garde" w:eastAsia="Calibri" w:hAnsi="ITC Avant Garde" w:cs="Times New Roman"/>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Estados, los órganos de Gobierno del Distrito Federal, los Municipios, los órganos constitucionales autónomos y las instituciones de educación superior de carácter público, el derecho de prestar servicios de radiodifusión y telecomunicaciones para lograr el cumplimiento de sus propios fines y atribuciones, sin fines de lucro, como se advierte de la lectura siguiente: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 xml:space="preserve">“Artículo 67. </w:t>
      </w:r>
      <w:r w:rsidRPr="002F215F">
        <w:rPr>
          <w:rFonts w:ascii="ITC Avant Garde" w:hAnsi="ITC Avant Garde" w:cs="Arial"/>
          <w:sz w:val="18"/>
          <w:szCs w:val="18"/>
        </w:rPr>
        <w:t xml:space="preserve">De acuerdo con sus fines, la concesión única será: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b/>
          <w:bCs/>
          <w:sz w:val="18"/>
          <w:szCs w:val="18"/>
        </w:rPr>
        <w:t xml:space="preserve">II. Para uso público: </w:t>
      </w:r>
      <w:r w:rsidRPr="002F215F">
        <w:rPr>
          <w:rFonts w:ascii="ITC Avant Garde" w:hAnsi="ITC Avant Garde" w:cs="Arial"/>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2F215F">
        <w:rPr>
          <w:rFonts w:ascii="ITC Avant Garde" w:hAnsi="ITC Avant Garde" w:cs="Arial"/>
          <w:sz w:val="18"/>
          <w:szCs w:val="18"/>
        </w:rPr>
        <w:t xml:space="preserve">.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lastRenderedPageBreak/>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2F215F">
        <w:rPr>
          <w:rFonts w:ascii="ITC Avant Garde" w:hAnsi="ITC Avant Garde" w:cs="Arial"/>
          <w:sz w:val="18"/>
          <w:szCs w:val="18"/>
        </w:rPr>
        <w:t xml:space="preserve">; </w:t>
      </w:r>
    </w:p>
    <w:p w:rsidR="00B05625" w:rsidRPr="002F215F" w:rsidRDefault="001409BF" w:rsidP="00B05625">
      <w:pPr>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t>…”</w:t>
      </w:r>
    </w:p>
    <w:p w:rsidR="00B05625" w:rsidRPr="002F215F" w:rsidRDefault="001409BF" w:rsidP="00B05625">
      <w:pPr>
        <w:spacing w:before="240" w:line="276" w:lineRule="auto"/>
        <w:ind w:left="567" w:right="615"/>
        <w:jc w:val="both"/>
        <w:rPr>
          <w:rFonts w:ascii="ITC Avant Garde" w:eastAsia="Calibri" w:hAnsi="ITC Avant Garde" w:cs="Times New Roman"/>
          <w:sz w:val="18"/>
          <w:szCs w:val="18"/>
        </w:rPr>
      </w:pPr>
      <w:r w:rsidRPr="002F215F">
        <w:rPr>
          <w:rFonts w:ascii="ITC Avant Garde" w:hAnsi="ITC Avant Garde" w:cs="Arial"/>
          <w:sz w:val="18"/>
          <w:szCs w:val="18"/>
        </w:rPr>
        <w:t>[Énfasis Añadido]</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Ahora bien, respecto al procedimiento para transitar los permisos de radiodifusión al régimen de concesiones establecido en la Ley, el artículo Décimo Séptimo Transitorio del Decreto de Ley, dispone lo siguiente:</w:t>
      </w:r>
    </w:p>
    <w:p w:rsidR="00B05625" w:rsidRPr="002F215F" w:rsidRDefault="001409BF" w:rsidP="00B05625">
      <w:pPr>
        <w:spacing w:before="240" w:line="276" w:lineRule="auto"/>
        <w:ind w:left="567" w:right="899"/>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w:t>
      </w:r>
      <w:r w:rsidRPr="002F215F">
        <w:rPr>
          <w:rFonts w:ascii="ITC Avant Garde" w:eastAsia="Calibri" w:hAnsi="ITC Avant Garde" w:cs="Tahoma"/>
          <w:b/>
          <w:bCs/>
          <w:sz w:val="18"/>
          <w:szCs w:val="18"/>
          <w:lang w:eastAsia="es-MX"/>
        </w:rPr>
        <w:t>DÉCIMO SÉPTIMO</w:t>
      </w:r>
      <w:r w:rsidRPr="002F215F">
        <w:rPr>
          <w:rFonts w:ascii="ITC Avant Garde" w:eastAsia="Calibri" w:hAnsi="ITC Avant Garde" w:cs="Tahoma"/>
          <w:bCs/>
          <w:sz w:val="18"/>
          <w:szCs w:val="18"/>
          <w:lang w:eastAsia="es-MX"/>
        </w:rPr>
        <w:t xml:space="preserve">. </w:t>
      </w:r>
      <w:r w:rsidRPr="002F215F">
        <w:rPr>
          <w:rFonts w:ascii="ITC Avant Garde" w:eastAsia="Calibri" w:hAnsi="ITC Avant Garde" w:cs="Tahoma"/>
          <w:bCs/>
          <w:sz w:val="18"/>
          <w:szCs w:val="18"/>
          <w:u w:val="single"/>
          <w:lang w:eastAsia="es-MX"/>
        </w:rPr>
        <w:t>Los permisos de radiodifusión que se encuentren vigentes o en proceso de refrendo a la entrada en vigor del presente Decreto, deberán transitar al régimen de concesión correspondiente</w:t>
      </w:r>
      <w:r w:rsidRPr="002F215F">
        <w:rPr>
          <w:rFonts w:ascii="ITC Avant Garde" w:eastAsia="Calibri" w:hAnsi="ITC Avant Garde" w:cs="Tahoma"/>
          <w:bCs/>
          <w:sz w:val="18"/>
          <w:szCs w:val="18"/>
          <w:lang w:eastAsia="es-MX"/>
        </w:rPr>
        <w:t xml:space="preserve"> dentro del año siguiente a la entrada en vigor de la Ley Federal de Telecomunicaciones y Radiodifusión, en los términos que establezca el Instituto. </w:t>
      </w:r>
      <w:r w:rsidRPr="002F215F">
        <w:rPr>
          <w:rFonts w:ascii="ITC Avant Garde" w:eastAsia="Calibri" w:hAnsi="ITC Avant Garde" w:cs="Tahoma"/>
          <w:bCs/>
          <w:sz w:val="18"/>
          <w:szCs w:val="18"/>
          <w:u w:val="single"/>
          <w:lang w:eastAsia="es-MX"/>
        </w:rPr>
        <w:t>Los permisos que hayan sido otorgados a los poderes de la Unión, de los estados, los órganos de Gobierno del Distrito Federal, los municipios, los órganos constitucionales autónomos e instituciones de educación superior de carácter público deberán transitar al régimen de concesión de uso público</w:t>
      </w:r>
      <w:r w:rsidRPr="002F215F">
        <w:rPr>
          <w:rFonts w:ascii="ITC Avant Garde" w:eastAsia="Calibri" w:hAnsi="ITC Avant Garde" w:cs="Tahoma"/>
          <w:bCs/>
          <w:sz w:val="18"/>
          <w:szCs w:val="18"/>
          <w:lang w:eastAsia="es-MX"/>
        </w:rPr>
        <w:t xml:space="preserve">, mientras que el resto de los permisos otorgados deberán hacerlo al régimen de concesión de uso social. </w:t>
      </w:r>
    </w:p>
    <w:p w:rsidR="00B05625" w:rsidRPr="002F215F" w:rsidRDefault="001409BF" w:rsidP="00B05625">
      <w:pPr>
        <w:spacing w:before="240" w:line="276" w:lineRule="auto"/>
        <w:ind w:left="567" w:right="899"/>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u w:val="single"/>
          <w:lang w:eastAsia="es-MX"/>
        </w:rPr>
        <w:t>Para transitar al régimen de concesión correspondiente, los permisionarios deberán presentar solicitud al Instituto Federal de Telecomunicaciones</w:t>
      </w:r>
      <w:r w:rsidRPr="002F215F">
        <w:rPr>
          <w:rFonts w:ascii="ITC Avant Garde" w:eastAsia="Calibri" w:hAnsi="ITC Avant Garde" w:cs="Tahoma"/>
          <w:bCs/>
          <w:sz w:val="18"/>
          <w:szCs w:val="18"/>
          <w:lang w:eastAsia="es-MX"/>
        </w:rPr>
        <w:t xml:space="preserve">, quien resolverá lo conducente, en un plazo de noventa días hábiles. </w:t>
      </w:r>
    </w:p>
    <w:p w:rsidR="00B05625" w:rsidRPr="002F215F" w:rsidRDefault="001409BF" w:rsidP="00B05625">
      <w:pPr>
        <w:spacing w:before="240" w:line="276" w:lineRule="auto"/>
        <w:ind w:left="567" w:right="899"/>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En caso de no cumplir con el presente artículo, los permisos concluirán su vigencia.”</w:t>
      </w:r>
    </w:p>
    <w:p w:rsidR="00B05625" w:rsidRPr="002F215F" w:rsidRDefault="001409BF" w:rsidP="00B05625">
      <w:pPr>
        <w:spacing w:before="240" w:line="276" w:lineRule="auto"/>
        <w:ind w:left="567" w:right="899"/>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[Énfasis añadido]</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De la interpretación armónica y sistemática de los artículos referidos, se desprende que el mecanismo mediante el cual se homologa</w:t>
      </w:r>
      <w:r w:rsidRPr="002F215F">
        <w:rPr>
          <w:rFonts w:ascii="ITC Avant Garde" w:eastAsia="Calibri" w:hAnsi="ITC Avant Garde" w:cs="Tahoma"/>
          <w:bCs/>
          <w:vertAlign w:val="superscript"/>
          <w:lang w:eastAsia="es-MX"/>
        </w:rPr>
        <w:footnoteReference w:id="1"/>
      </w:r>
      <w:r w:rsidRPr="002F215F">
        <w:rPr>
          <w:rFonts w:ascii="ITC Avant Garde" w:eastAsia="Calibri" w:hAnsi="ITC Avant Garde" w:cs="Tahoma"/>
          <w:bCs/>
          <w:lang w:eastAsia="es-MX"/>
        </w:rPr>
        <w:t xml:space="preserve"> el régimen de permisos otorgados al amparo de la abrogada LFRTV y de concesiones en materia de radiodifusión, es a través de una solicitud de transición al régimen de concesión correspondiente, ya sea </w:t>
      </w:r>
      <w:r w:rsidR="00116C99" w:rsidRPr="002F215F">
        <w:rPr>
          <w:rFonts w:ascii="ITC Avant Garde" w:eastAsia="Calibri" w:hAnsi="ITC Avant Garde" w:cs="Tahoma"/>
          <w:bCs/>
          <w:lang w:eastAsia="es-MX"/>
        </w:rPr>
        <w:t xml:space="preserve">para </w:t>
      </w:r>
      <w:r w:rsidRPr="002F215F">
        <w:rPr>
          <w:rFonts w:ascii="ITC Avant Garde" w:eastAsia="Calibri" w:hAnsi="ITC Avant Garde" w:cs="Tahoma"/>
          <w:bCs/>
          <w:lang w:eastAsia="es-MX"/>
        </w:rPr>
        <w:t xml:space="preserve">uso público o social. Es decir, los titulares de permisos para prestar servicios de radiodifusión, </w:t>
      </w:r>
      <w:r w:rsidRPr="002F215F">
        <w:rPr>
          <w:rFonts w:ascii="ITC Avant Garde" w:eastAsia="Calibri" w:hAnsi="ITC Avant Garde" w:cs="Tahoma"/>
          <w:bCs/>
          <w:lang w:eastAsia="es-MX"/>
        </w:rPr>
        <w:lastRenderedPageBreak/>
        <w:t xml:space="preserve">interesados en transitar al régimen de concesión, deben presentar su solicitud en los términos que al efecto establezca el Instituto. </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En este sentido, el Instituto en el artículo Segundo Transitorio de los Lineamientos estableció los términos y condiciones que deberán cumplir los actuales permisionarios de radiodifusión para que puedan transitar al régimen de concesión correspondiente y particularmente aquellos que se encuentren en proceso de refrendo o prórroga de vigencia a la entrada en vigor de los Lineamientos.</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Así, esta disposición transitoria dispone que los titulares de un permiso de radiodifusión cuyo título se encuentre en proceso de refrendo a la entrada en vigor de la Ley, deberán presentar su solicitud ante el Instituto para transitar al régimen de concesión que corresponda, a más tardar dentro de los 90 (noventa) días naturales posteriores a la entrada en vigor de los Lineamientos en los términos previstos en dicho artículo. </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En particular, la fracción III del artículo Segundo Transitorio de los Lineamientos establece que en aquellos casos en los que se solicite la transición y el título de permiso se encuentre en proceso de prórroga de vigencia, el Instituto resolverá ambas solicitudes en el mismo acto.</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Dicho precepto señala textualmente lo siguiente:</w:t>
      </w:r>
    </w:p>
    <w:p w:rsidR="001409BF" w:rsidRPr="002F215F" w:rsidRDefault="001409BF" w:rsidP="00B05625">
      <w:pPr>
        <w:spacing w:before="240" w:line="276" w:lineRule="auto"/>
        <w:ind w:left="567" w:right="615"/>
        <w:jc w:val="both"/>
        <w:rPr>
          <w:rFonts w:ascii="ITC Avant Garde" w:eastAsia="Calibri" w:hAnsi="ITC Avant Garde" w:cs="Tahoma"/>
          <w:b/>
          <w:bCs/>
          <w:sz w:val="18"/>
          <w:szCs w:val="18"/>
          <w:lang w:eastAsia="es-MX"/>
        </w:rPr>
      </w:pPr>
      <w:r w:rsidRPr="002F215F">
        <w:rPr>
          <w:rFonts w:ascii="ITC Avant Garde" w:eastAsia="Calibri" w:hAnsi="ITC Avant Garde" w:cs="Tahoma"/>
          <w:bCs/>
          <w:sz w:val="18"/>
          <w:szCs w:val="18"/>
          <w:lang w:eastAsia="es-MX"/>
        </w:rPr>
        <w:t>“</w:t>
      </w:r>
      <w:r w:rsidRPr="002F215F">
        <w:rPr>
          <w:rFonts w:ascii="ITC Avant Garde" w:eastAsia="Calibri" w:hAnsi="ITC Avant Garde" w:cs="Tahoma"/>
          <w:b/>
          <w:bCs/>
          <w:sz w:val="18"/>
          <w:szCs w:val="18"/>
          <w:lang w:eastAsia="es-MX"/>
        </w:rPr>
        <w:t>SEGUNDO.-</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 xml:space="preserve">III. </w:t>
      </w:r>
      <w:r w:rsidRPr="002F215F">
        <w:rPr>
          <w:rFonts w:ascii="ITC Avant Garde" w:eastAsia="Calibri" w:hAnsi="ITC Avant Garde" w:cs="Tahoma"/>
          <w:bCs/>
          <w:sz w:val="18"/>
          <w:szCs w:val="18"/>
          <w:lang w:eastAsia="es-MX"/>
        </w:rPr>
        <w:t>En los casos en los que el título de permiso se encuentre en proceso de refrendo o prórroga de vigencia a la entrada en vigor de los presentes Lineamientos, adicionalmente a la solicitud a que se refiere el primer párrafo de este artículo, el permisionario de que se trate deberá manifestar de manera expresa que: i) se compromete a cumplir con las obligaciones que se encuentren pendientes derivadas de la normatividad aplicable, así como a ii) cumplir con las condiciones pendientes establecidas en su título de permiso primigenio. Lo anterior, a efecto de que el Instituto resuelva sobre la solicitud de refrendo o prórroga de vigencia y la transición al régimen de concesión en un mismo acto, siempre que se cumpla con los requisitos y formalidades aplicables.</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 xml:space="preserve">La manifestación a que se refiere el párrafo anterior, será independiente del cumplimiento de los requisitos y formalidades que debieron haberse satisfecho al momento de la presentación de la solicitud de refrendo, atendiendo a lo dispuesto por las disposiciones legales y administrativas aplicables.” </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Adicionalmente, la fracción IV del artículo Segundo Transitorio de los Lineamientos indica los requisitos que deberá cumplir el solicitante, mismo que a la letra establece:</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lastRenderedPageBreak/>
        <w:t>“SEGUNDO</w:t>
      </w:r>
      <w:r w:rsidRPr="002F215F">
        <w:rPr>
          <w:rFonts w:ascii="ITC Avant Garde" w:eastAsia="Calibri" w:hAnsi="ITC Avant Garde" w:cs="Tahoma"/>
          <w:bCs/>
          <w:sz w:val="18"/>
          <w:szCs w:val="18"/>
          <w:lang w:eastAsia="es-MX"/>
        </w:rPr>
        <w:t>.- Los titulares de un permiso de radiodifusión cuyo título se encuentre vigente o en proceso de refrendo a la entrada en vigor de la Ley, deberán presentar su solicitud ante el Instituto para transitar al régimen de concesión que corresponda, a más tardar dentro de los 90 (noventa) días naturales posteriores a la entrada en vigor de los presentes Lineamientos, en los términos previstos en este artículo, para lo cual deberá observarse lo siguiente:</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IV</w:t>
      </w:r>
      <w:r w:rsidRPr="002F215F">
        <w:rPr>
          <w:rFonts w:ascii="ITC Avant Garde" w:eastAsia="Calibri" w:hAnsi="ITC Avant Garde" w:cs="Tahoma"/>
          <w:bCs/>
          <w:sz w:val="18"/>
          <w:szCs w:val="18"/>
          <w:lang w:eastAsia="es-MX"/>
        </w:rPr>
        <w:t>. La solicitud para transitar al régimen de concesión que corresponda, deberá presentarse ante el Instituto y deberá contener la siguiente información:</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a)</w:t>
      </w:r>
      <w:r w:rsidRPr="002F215F">
        <w:rPr>
          <w:rFonts w:ascii="ITC Avant Garde" w:eastAsia="Calibri" w:hAnsi="ITC Avant Garde" w:cs="Tahoma"/>
          <w:b/>
          <w:bCs/>
          <w:sz w:val="18"/>
          <w:szCs w:val="18"/>
          <w:lang w:eastAsia="es-MX"/>
        </w:rPr>
        <w:tab/>
      </w:r>
      <w:r w:rsidRPr="002F215F">
        <w:rPr>
          <w:rFonts w:ascii="ITC Avant Garde" w:eastAsia="Calibri" w:hAnsi="ITC Avant Garde" w:cs="Tahoma"/>
          <w:bCs/>
          <w:sz w:val="18"/>
          <w:szCs w:val="18"/>
          <w:lang w:eastAsia="es-MX"/>
        </w:rPr>
        <w:t>Nombre y domicilio del solicitante (calle, número exterior, número interior, localidad o colonia, municipio o delegación, entidad federativa y código postal);</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b)</w:t>
      </w:r>
      <w:r w:rsidRPr="002F215F">
        <w:rPr>
          <w:rFonts w:ascii="ITC Avant Garde" w:eastAsia="Calibri" w:hAnsi="ITC Avant Garde" w:cs="Tahoma"/>
          <w:bCs/>
          <w:sz w:val="18"/>
          <w:szCs w:val="18"/>
          <w:lang w:eastAsia="es-MX"/>
        </w:rPr>
        <w:tab/>
        <w:t>En su caso, correo electrónico y teléfono;</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c)</w:t>
      </w:r>
      <w:r w:rsidRPr="002F215F">
        <w:rPr>
          <w:rFonts w:ascii="ITC Avant Garde" w:eastAsia="Calibri" w:hAnsi="ITC Avant Garde" w:cs="Tahoma"/>
          <w:bCs/>
          <w:sz w:val="18"/>
          <w:szCs w:val="18"/>
          <w:lang w:eastAsia="es-MX"/>
        </w:rPr>
        <w:tab/>
        <w:t>Nombre del Representante Legal y copia certificada de su poder notarial, así como copia simple de identificación oficial del Representante Legal;</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d)</w:t>
      </w:r>
      <w:r w:rsidRPr="002F215F">
        <w:rPr>
          <w:rFonts w:ascii="ITC Avant Garde" w:eastAsia="Calibri" w:hAnsi="ITC Avant Garde" w:cs="Tahoma"/>
          <w:bCs/>
          <w:sz w:val="18"/>
          <w:szCs w:val="18"/>
          <w:lang w:eastAsia="es-MX"/>
        </w:rPr>
        <w:tab/>
        <w:t>Distintivo de llamada;</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e)</w:t>
      </w:r>
      <w:r w:rsidRPr="002F215F">
        <w:rPr>
          <w:rFonts w:ascii="ITC Avant Garde" w:eastAsia="Calibri" w:hAnsi="ITC Avant Garde" w:cs="Tahoma"/>
          <w:bCs/>
          <w:sz w:val="18"/>
          <w:szCs w:val="18"/>
          <w:lang w:eastAsia="es-MX"/>
        </w:rPr>
        <w:tab/>
        <w:t>Frecuencia(s) o canal(es) asignado(s);</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f)</w:t>
      </w:r>
      <w:r w:rsidRPr="002F215F">
        <w:rPr>
          <w:rFonts w:ascii="ITC Avant Garde" w:eastAsia="Calibri" w:hAnsi="ITC Avant Garde" w:cs="Tahoma"/>
          <w:bCs/>
          <w:sz w:val="18"/>
          <w:szCs w:val="18"/>
          <w:lang w:eastAsia="es-MX"/>
        </w:rPr>
        <w:tab/>
        <w:t>Población principal a servir (Localidad, Municipio, Estado y Clave del área geoestadística del Instituto Nacional de Estadística y Geografía);</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g)</w:t>
      </w:r>
      <w:r w:rsidRPr="002F215F">
        <w:rPr>
          <w:rFonts w:ascii="ITC Avant Garde" w:eastAsia="Calibri" w:hAnsi="ITC Avant Garde" w:cs="Tahoma"/>
          <w:bCs/>
          <w:sz w:val="18"/>
          <w:szCs w:val="18"/>
          <w:lang w:eastAsia="es-MX"/>
        </w:rPr>
        <w:tab/>
        <w:t>Fecha de expedición y vigencia del título de permiso objeto de la transición;</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h)</w:t>
      </w:r>
      <w:r w:rsidRPr="002F215F">
        <w:rPr>
          <w:rFonts w:ascii="ITC Avant Garde" w:eastAsia="Calibri" w:hAnsi="ITC Avant Garde" w:cs="Tahoma"/>
          <w:bCs/>
          <w:sz w:val="18"/>
          <w:szCs w:val="18"/>
          <w:lang w:eastAsia="es-MX"/>
        </w:rPr>
        <w:tab/>
        <w:t>Uso de la Concesión, es decir, para Uso Público o Uso Social y, en su caso, si es Social Comunitaria o Social Indígena;</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i)</w:t>
      </w:r>
      <w:r w:rsidRPr="002F215F">
        <w:rPr>
          <w:rFonts w:ascii="ITC Avant Garde" w:eastAsia="Calibri" w:hAnsi="ITC Avant Garde" w:cs="Tahoma"/>
          <w:bCs/>
          <w:sz w:val="18"/>
          <w:szCs w:val="18"/>
          <w:lang w:eastAsia="es-MX"/>
        </w:rPr>
        <w:tab/>
        <w:t>La manifestación expresa del Interesado de que se encuentra operando la estación y, por ende, haciendo uso o aprovechamiento de la frecuencia o canal asignado de que se trate, y</w:t>
      </w:r>
    </w:p>
    <w:p w:rsidR="001409BF" w:rsidRPr="002F215F" w:rsidRDefault="001409BF" w:rsidP="00B05625">
      <w:pPr>
        <w:spacing w:before="240" w:line="276" w:lineRule="auto"/>
        <w:ind w:left="851" w:right="615" w:hanging="284"/>
        <w:jc w:val="both"/>
        <w:rPr>
          <w:rFonts w:ascii="ITC Avant Garde" w:eastAsia="Calibri" w:hAnsi="ITC Avant Garde" w:cs="Tahoma"/>
          <w:bCs/>
          <w:sz w:val="18"/>
          <w:szCs w:val="18"/>
          <w:lang w:eastAsia="es-MX"/>
        </w:rPr>
      </w:pPr>
      <w:r w:rsidRPr="002F215F">
        <w:rPr>
          <w:rFonts w:ascii="ITC Avant Garde" w:eastAsia="Calibri" w:hAnsi="ITC Avant Garde" w:cs="Tahoma"/>
          <w:b/>
          <w:bCs/>
          <w:sz w:val="18"/>
          <w:szCs w:val="18"/>
          <w:lang w:eastAsia="es-MX"/>
        </w:rPr>
        <w:t>j)</w:t>
      </w:r>
      <w:r w:rsidRPr="002F215F">
        <w:rPr>
          <w:rFonts w:ascii="ITC Avant Garde" w:eastAsia="Calibri" w:hAnsi="ITC Avant Garde" w:cs="Tahoma"/>
          <w:bCs/>
          <w:sz w:val="18"/>
          <w:szCs w:val="18"/>
          <w:lang w:eastAsia="es-MX"/>
        </w:rPr>
        <w:tab/>
        <w:t>La manifestación expresa de someterse a todas y cada una de las condiciones establecidas en el título de concesión que al efecto se expida.</w:t>
      </w:r>
    </w:p>
    <w:p w:rsidR="00B05625" w:rsidRPr="002F215F" w:rsidRDefault="001409BF" w:rsidP="00B05625">
      <w:pPr>
        <w:spacing w:before="240" w:line="276" w:lineRule="auto"/>
        <w:ind w:left="851" w:right="615"/>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Para efectos de la solicitud a que se refiere esta fracción, los Interesados podrán utilizar el Formato IFT-Transición Radiodifusión.</w:t>
      </w:r>
    </w:p>
    <w:p w:rsidR="00B05625" w:rsidRPr="002F215F" w:rsidRDefault="001409BF" w:rsidP="00B05625">
      <w:pPr>
        <w:spacing w:before="240" w:line="276" w:lineRule="auto"/>
        <w:ind w:left="567" w:right="615"/>
        <w:jc w:val="both"/>
        <w:rPr>
          <w:rFonts w:ascii="ITC Avant Garde" w:eastAsia="Calibri" w:hAnsi="ITC Avant Garde" w:cs="Tahoma"/>
          <w:bCs/>
          <w:sz w:val="18"/>
          <w:szCs w:val="18"/>
          <w:lang w:eastAsia="es-MX"/>
        </w:rPr>
      </w:pPr>
      <w:r w:rsidRPr="002F215F">
        <w:rPr>
          <w:rFonts w:ascii="ITC Avant Garde" w:eastAsia="Calibri" w:hAnsi="ITC Avant Garde" w:cs="Tahoma"/>
          <w:bCs/>
          <w:sz w:val="18"/>
          <w:szCs w:val="18"/>
          <w:lang w:eastAsia="es-MX"/>
        </w:rPr>
        <w:t>…”</w:t>
      </w:r>
    </w:p>
    <w:p w:rsidR="00B05625" w:rsidRPr="002F215F" w:rsidRDefault="001409BF" w:rsidP="00B05625">
      <w:pPr>
        <w:spacing w:before="240" w:line="276" w:lineRule="auto"/>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Por otra parte, la fracción VII del artículo Segundo Transitorio citado señala que el otorgamiento del título que con motivo de la transición al régimen de concesión se expida, reconocerá la vigencia, características, condiciones y parámetros técnicos establecidos en el permiso y, en su caso, modificaciones técnicas autorizadas, salvo en </w:t>
      </w:r>
      <w:r w:rsidRPr="002F215F">
        <w:rPr>
          <w:rFonts w:ascii="ITC Avant Garde" w:eastAsia="Calibri" w:hAnsi="ITC Avant Garde" w:cs="Tahoma"/>
          <w:bCs/>
          <w:lang w:eastAsia="es-MX"/>
        </w:rPr>
        <w:lastRenderedPageBreak/>
        <w:t>aquellos casos previstos por el artículo 90 de la Ley y demás disposiciones aplicables, en los que el Instituto podrá determinar la asignación de una frecuencia distinta.</w:t>
      </w:r>
    </w:p>
    <w:p w:rsidR="00B05625" w:rsidRPr="002F215F" w:rsidRDefault="001409BF" w:rsidP="00B05625">
      <w:pPr>
        <w:autoSpaceDE w:val="0"/>
        <w:autoSpaceDN w:val="0"/>
        <w:adjustRightInd w:val="0"/>
        <w:spacing w:before="240" w:line="276" w:lineRule="auto"/>
        <w:ind w:right="48"/>
        <w:jc w:val="both"/>
        <w:rPr>
          <w:rFonts w:ascii="ITC Avant Garde" w:hAnsi="ITC Avant Garde" w:cs="Arial"/>
        </w:rPr>
      </w:pPr>
      <w:r w:rsidRPr="002F215F">
        <w:rPr>
          <w:rFonts w:ascii="ITC Avant Garde" w:hAnsi="ITC Avant Garde" w:cs="Arial"/>
        </w:rPr>
        <w:t xml:space="preserve">Aunado a los preceptos antes señalados, cabe destacar que para el otorgamiento de concesiones sobre el espectro radioeléctrico </w:t>
      </w:r>
      <w:r w:rsidR="00116C99" w:rsidRPr="002F215F">
        <w:rPr>
          <w:rFonts w:ascii="ITC Avant Garde" w:hAnsi="ITC Avant Garde" w:cs="Arial"/>
        </w:rPr>
        <w:t xml:space="preserve">para </w:t>
      </w:r>
      <w:r w:rsidRPr="002F215F">
        <w:rPr>
          <w:rFonts w:ascii="ITC Avant Garde" w:hAnsi="ITC Avant Garde" w:cs="Arial"/>
        </w:rPr>
        <w:t xml:space="preserve">uso público para servicios de radiodifusión debe acatarse el contenido señalado en el artículo Décimo Transitorio del Decreto de Reforma Constitucional así como en el párrafo segundo del artículo 86 de la Ley que indica las características y directrices que definen a los medios públicos en nuestro sistema jurídico, al disponer lo siguiente dichos preceptos: </w:t>
      </w:r>
    </w:p>
    <w:p w:rsidR="001409BF" w:rsidRPr="002F215F" w:rsidRDefault="001409BF" w:rsidP="002900ED">
      <w:pPr>
        <w:spacing w:before="240" w:line="276" w:lineRule="auto"/>
        <w:ind w:left="567"/>
        <w:jc w:val="both"/>
        <w:rPr>
          <w:rFonts w:ascii="ITC Avant Garde" w:hAnsi="ITC Avant Garde" w:cs="Arial"/>
          <w:sz w:val="18"/>
          <w:szCs w:val="18"/>
        </w:rPr>
      </w:pPr>
      <w:r w:rsidRPr="002F215F">
        <w:rPr>
          <w:rFonts w:ascii="ITC Avant Garde" w:eastAsia="Times New Roman" w:hAnsi="ITC Avant Garde" w:cs="Arial"/>
          <w:sz w:val="18"/>
          <w:szCs w:val="18"/>
          <w:lang w:val="es-ES" w:eastAsia="es-ES"/>
        </w:rPr>
        <w:t>“</w:t>
      </w:r>
      <w:r w:rsidRPr="002F215F">
        <w:rPr>
          <w:rFonts w:ascii="ITC Avant Garde" w:hAnsi="ITC Avant Garde" w:cs="Arial"/>
          <w:b/>
          <w:sz w:val="18"/>
          <w:szCs w:val="18"/>
        </w:rPr>
        <w:t>DÉCIMO.</w:t>
      </w:r>
      <w:r w:rsidRPr="002F215F">
        <w:rPr>
          <w:rFonts w:ascii="ITC Avant Garde" w:hAnsi="ITC Avant Garde" w:cs="Arial"/>
          <w:sz w:val="18"/>
          <w:szCs w:val="18"/>
        </w:rPr>
        <w:t xml:space="preserve"> 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w:t>
      </w:r>
      <w:r w:rsidR="002900ED" w:rsidRPr="002F215F">
        <w:rPr>
          <w:rFonts w:ascii="ITC Avant Garde" w:hAnsi="ITC Avant Garde" w:cs="Arial"/>
          <w:sz w:val="18"/>
          <w:szCs w:val="18"/>
        </w:rPr>
        <w:t>lógicas, étnicas y culturales.”</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t>“</w:t>
      </w:r>
      <w:r w:rsidRPr="002F215F">
        <w:rPr>
          <w:rFonts w:ascii="ITC Avant Garde" w:hAnsi="ITC Avant Garde" w:cs="Arial"/>
          <w:b/>
          <w:sz w:val="18"/>
          <w:szCs w:val="18"/>
        </w:rPr>
        <w:t>Artículo 86</w:t>
      </w:r>
      <w:r w:rsidRPr="002F215F">
        <w:rPr>
          <w:rFonts w:ascii="ITC Avant Garde" w:hAnsi="ITC Avant Garde" w:cs="Arial"/>
          <w:sz w:val="18"/>
          <w:szCs w:val="18"/>
        </w:rPr>
        <w:t>.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rPr>
      </w:pPr>
      <w:r w:rsidRPr="002F215F">
        <w:rPr>
          <w:rFonts w:ascii="ITC Avant Garde" w:hAnsi="ITC Avant Garde" w:cs="Arial"/>
          <w:sz w:val="18"/>
          <w:szCs w:val="18"/>
        </w:rPr>
        <w:t>El Instituto verificará que los mecanismos expuestos en la solicitud sean suficientes para garantizar dichos objetivos y, de lo contrario, prevendrá al solicitante para que realice las modificaciones pertinentes.”</w:t>
      </w:r>
    </w:p>
    <w:p w:rsidR="00B05625" w:rsidRPr="002F215F" w:rsidRDefault="001409BF" w:rsidP="00B05625">
      <w:pPr>
        <w:autoSpaceDE w:val="0"/>
        <w:autoSpaceDN w:val="0"/>
        <w:adjustRightInd w:val="0"/>
        <w:spacing w:before="240" w:line="276" w:lineRule="auto"/>
        <w:ind w:right="48"/>
        <w:jc w:val="both"/>
        <w:rPr>
          <w:rFonts w:ascii="ITC Avant Garde" w:hAnsi="ITC Avant Garde" w:cs="Arial"/>
          <w:lang w:val="es-ES"/>
        </w:rPr>
      </w:pPr>
      <w:r w:rsidRPr="002F215F">
        <w:rPr>
          <w:rFonts w:ascii="ITC Avant Garde" w:hAnsi="ITC Avant Garde" w:cs="Arial"/>
          <w:lang w:val="es-ES"/>
        </w:rPr>
        <w:t>En congruencia con las disposiciones constitucionales y legislativas citadas y, atendiendo a lo dispuesto en la fracción VIII del artículo Segundo Transitorio de los Lineamientos, se observa que el solicitante queda obligado mediante el título de concesión correspondiente a dar cumplimiento a lo dispuesto en los Lineamientos y a los objetivos del citado artículo 86 de la Ley, en un plazo de seis meses contados a partir del día siguiente del otorgamiento de la concesión. Al respecto, la fracción VIII del artículo Segundo Transitorio de los Lineamientos prevé en su parte conducente lo siguiente:</w:t>
      </w:r>
    </w:p>
    <w:p w:rsidR="001409BF" w:rsidRPr="002F215F" w:rsidRDefault="001409BF" w:rsidP="00B05625">
      <w:pPr>
        <w:autoSpaceDE w:val="0"/>
        <w:autoSpaceDN w:val="0"/>
        <w:adjustRightInd w:val="0"/>
        <w:spacing w:before="240" w:line="276" w:lineRule="auto"/>
        <w:ind w:left="567" w:right="615"/>
        <w:jc w:val="both"/>
        <w:rPr>
          <w:rFonts w:ascii="ITC Avant Garde" w:hAnsi="ITC Avant Garde" w:cs="Arial"/>
          <w:b/>
          <w:sz w:val="18"/>
          <w:szCs w:val="18"/>
          <w:lang w:val="es-ES"/>
        </w:rPr>
      </w:pPr>
      <w:r w:rsidRPr="002F215F">
        <w:rPr>
          <w:rFonts w:ascii="ITC Avant Garde" w:hAnsi="ITC Avant Garde" w:cs="Arial"/>
          <w:b/>
          <w:sz w:val="18"/>
          <w:szCs w:val="18"/>
          <w:lang w:val="es-ES"/>
        </w:rPr>
        <w:t>“SEGUNDO.-</w:t>
      </w:r>
    </w:p>
    <w:p w:rsidR="001409BF"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lang w:val="es-ES"/>
        </w:rPr>
      </w:pPr>
      <w:r w:rsidRPr="002F215F">
        <w:rPr>
          <w:rFonts w:ascii="ITC Avant Garde" w:hAnsi="ITC Avant Garde" w:cs="Arial"/>
          <w:sz w:val="18"/>
          <w:szCs w:val="18"/>
          <w:lang w:val="es-ES"/>
        </w:rPr>
        <w:t xml:space="preserve">… </w:t>
      </w:r>
    </w:p>
    <w:p w:rsidR="001409BF"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lang w:val="es-ES"/>
        </w:rPr>
      </w:pPr>
      <w:r w:rsidRPr="002F215F">
        <w:rPr>
          <w:rFonts w:ascii="ITC Avant Garde" w:hAnsi="ITC Avant Garde" w:cs="Arial"/>
          <w:b/>
          <w:sz w:val="18"/>
          <w:szCs w:val="18"/>
          <w:lang w:val="es-ES"/>
        </w:rPr>
        <w:t>VIII.</w:t>
      </w:r>
      <w:r w:rsidRPr="002F215F">
        <w:rPr>
          <w:rFonts w:ascii="ITC Avant Garde" w:hAnsi="ITC Avant Garde" w:cs="Arial"/>
          <w:sz w:val="18"/>
          <w:szCs w:val="18"/>
          <w:lang w:val="es-ES"/>
        </w:rPr>
        <w:t xml:space="preserve"> Los permisionarios que transiten al régimen de Concesión para Uso Público, de conformidad con los títulos de concesión respectivos, quedarán obligados a cumplir con los principios a que se refiere el segundo párrafo del artículo 86 de la Ley, por lo que el </w:t>
      </w:r>
      <w:r w:rsidRPr="002F215F">
        <w:rPr>
          <w:rFonts w:ascii="ITC Avant Garde" w:hAnsi="ITC Avant Garde" w:cs="Arial"/>
          <w:sz w:val="18"/>
          <w:szCs w:val="18"/>
          <w:lang w:val="es-ES"/>
        </w:rPr>
        <w:lastRenderedPageBreak/>
        <w:t xml:space="preserve">concesionario contará con </w:t>
      </w:r>
      <w:r w:rsidRPr="002F215F">
        <w:rPr>
          <w:rFonts w:ascii="ITC Avant Garde" w:hAnsi="ITC Avant Garde" w:cs="Arial"/>
          <w:b/>
          <w:sz w:val="18"/>
          <w:szCs w:val="18"/>
          <w:u w:val="single"/>
          <w:lang w:val="es-ES"/>
        </w:rPr>
        <w:t>un plazo de 6 (seis) meses</w:t>
      </w:r>
      <w:r w:rsidRPr="002F215F">
        <w:rPr>
          <w:rFonts w:ascii="ITC Avant Garde" w:hAnsi="ITC Avant Garde" w:cs="Arial"/>
          <w:sz w:val="18"/>
          <w:szCs w:val="18"/>
          <w:lang w:val="es-ES"/>
        </w:rPr>
        <w:t xml:space="preserve"> contados a partir del día siguiente del otorgamiento del título de concesión de Espectro Radioeléctrico respectivo para presentar ante el Instituto, en términos del artículo 8 fracción IV de los presentes Lineamientos, los mecanismos concretos para asegurar dichos principios. El incumplimiento a esta obligación motivará la revocación de las concesiones involucradas, y</w:t>
      </w:r>
    </w:p>
    <w:p w:rsidR="00B05625" w:rsidRPr="002F215F" w:rsidRDefault="001409BF" w:rsidP="00B05625">
      <w:pPr>
        <w:autoSpaceDE w:val="0"/>
        <w:autoSpaceDN w:val="0"/>
        <w:adjustRightInd w:val="0"/>
        <w:spacing w:before="240" w:line="276" w:lineRule="auto"/>
        <w:ind w:left="567" w:right="615"/>
        <w:jc w:val="both"/>
        <w:rPr>
          <w:rFonts w:ascii="ITC Avant Garde" w:hAnsi="ITC Avant Garde" w:cs="Arial"/>
          <w:sz w:val="18"/>
          <w:szCs w:val="18"/>
          <w:lang w:val="es-ES"/>
        </w:rPr>
      </w:pPr>
      <w:r w:rsidRPr="002F215F">
        <w:rPr>
          <w:rFonts w:ascii="ITC Avant Garde" w:hAnsi="ITC Avant Garde" w:cs="Arial"/>
          <w:sz w:val="18"/>
          <w:szCs w:val="18"/>
          <w:lang w:val="es-ES"/>
        </w:rPr>
        <w:t>…”</w:t>
      </w:r>
    </w:p>
    <w:p w:rsidR="00B05625" w:rsidRPr="002F215F" w:rsidRDefault="001409BF" w:rsidP="00B05625">
      <w:pPr>
        <w:autoSpaceDE w:val="0"/>
        <w:autoSpaceDN w:val="0"/>
        <w:adjustRightInd w:val="0"/>
        <w:spacing w:before="240" w:line="276" w:lineRule="auto"/>
        <w:jc w:val="both"/>
        <w:rPr>
          <w:rFonts w:ascii="ITC Avant Garde" w:hAnsi="ITC Avant Garde"/>
          <w:lang w:eastAsia="es-MX"/>
        </w:rPr>
      </w:pPr>
      <w:r w:rsidRPr="002F215F">
        <w:rPr>
          <w:rFonts w:ascii="ITC Avant Garde" w:eastAsia="Times New Roman" w:hAnsi="ITC Avant Garde" w:cs="Times New Roman"/>
          <w:b/>
          <w:kern w:val="1"/>
          <w:lang w:val="es-ES" w:eastAsia="ar-SA"/>
        </w:rPr>
        <w:t xml:space="preserve">TERCERO.- Análisis de las Solicitudes de Prórroga </w:t>
      </w:r>
      <w:r w:rsidRPr="002F215F">
        <w:rPr>
          <w:rFonts w:ascii="ITC Avant Garde" w:hAnsi="ITC Avant Garde"/>
          <w:lang w:eastAsia="es-MX"/>
        </w:rPr>
        <w:t>La Unidad de Concesiones y Servicios por conducto de la Dirección General de Concesiones de Radiodifusión, realizó el análisis conforme a lo establecido en las disposiciones aplicables en los siguientes términos:</w:t>
      </w:r>
    </w:p>
    <w:p w:rsidR="00B05625" w:rsidRPr="002F215F" w:rsidRDefault="003F6EAD" w:rsidP="00B05625">
      <w:pPr>
        <w:pStyle w:val="Prrafodelista"/>
        <w:numPr>
          <w:ilvl w:val="0"/>
          <w:numId w:val="3"/>
        </w:numPr>
        <w:spacing w:before="240" w:line="276" w:lineRule="auto"/>
        <w:ind w:right="473"/>
        <w:jc w:val="both"/>
        <w:rPr>
          <w:rFonts w:ascii="ITC Avant Garde" w:eastAsia="Calibri" w:hAnsi="ITC Avant Garde" w:cs="Tahoma"/>
          <w:bCs/>
          <w:lang w:eastAsia="es-MX"/>
        </w:rPr>
      </w:pPr>
      <w:r w:rsidRPr="002F215F">
        <w:rPr>
          <w:rFonts w:ascii="ITC Avant Garde" w:eastAsia="Times New Roman" w:hAnsi="ITC Avant Garde" w:cs="Times New Roman"/>
          <w:b/>
          <w:bCs/>
        </w:rPr>
        <w:t>Temporalidad.</w:t>
      </w:r>
      <w:r w:rsidRPr="002F215F">
        <w:rPr>
          <w:rFonts w:ascii="ITC Avant Garde" w:eastAsia="Times New Roman" w:hAnsi="ITC Avant Garde" w:cs="Times New Roman"/>
          <w:bCs/>
        </w:rPr>
        <w:t xml:space="preserve"> </w:t>
      </w:r>
      <w:r w:rsidR="00FD2AEB" w:rsidRPr="002F215F">
        <w:rPr>
          <w:rFonts w:ascii="ITC Avant Garde" w:eastAsia="Times New Roman" w:hAnsi="ITC Avant Garde" w:cs="Times New Roman"/>
          <w:bCs/>
        </w:rPr>
        <w:t>Los Permisos fueron otorgados</w:t>
      </w:r>
      <w:r w:rsidR="00FD2AEB" w:rsidRPr="002F215F">
        <w:rPr>
          <w:rFonts w:ascii="ITC Avant Garde" w:eastAsia="Times New Roman" w:hAnsi="ITC Avant Garde" w:cs="Times New Roman"/>
          <w:bCs/>
          <w:lang w:eastAsia="es-MX"/>
        </w:rPr>
        <w:t xml:space="preserve"> con una</w:t>
      </w:r>
      <w:r w:rsidR="00FD2AEB" w:rsidRPr="002F215F">
        <w:rPr>
          <w:rFonts w:ascii="ITC Avant Garde" w:eastAsia="Times New Roman" w:hAnsi="ITC Avant Garde" w:cs="Times New Roman"/>
          <w:bCs/>
        </w:rPr>
        <w:t xml:space="preserve"> vigencia de 12 (doce) años</w:t>
      </w:r>
      <w:r w:rsidR="00FD2AEB" w:rsidRPr="002F215F">
        <w:rPr>
          <w:rFonts w:ascii="ITC Avant Garde" w:eastAsia="Times New Roman" w:hAnsi="ITC Avant Garde" w:cs="Times New Roman"/>
          <w:lang w:eastAsia="es-MX"/>
        </w:rPr>
        <w:t xml:space="preserve"> y a efecto de que la autoridad se encuentre en aptitud legal de realizar el trámite de refrendo o prórroga que nos ocupa, era </w:t>
      </w:r>
      <w:r w:rsidR="00FD2AEB" w:rsidRPr="002F215F">
        <w:rPr>
          <w:rFonts w:ascii="ITC Avant Garde" w:eastAsia="Times New Roman" w:hAnsi="ITC Avant Garde" w:cs="Times New Roman"/>
          <w:bCs/>
        </w:rPr>
        <w:t xml:space="preserve"> indispensable que los Permisionarios formularan sus peticiones </w:t>
      </w:r>
      <w:r w:rsidR="00FD2AEB" w:rsidRPr="002F215F">
        <w:rPr>
          <w:rFonts w:ascii="ITC Avant Garde" w:eastAsia="Times New Roman" w:hAnsi="ITC Avant Garde" w:cs="Times New Roman"/>
          <w:bCs/>
          <w:lang w:val="es-ES_tradnl"/>
        </w:rPr>
        <w:t>a más tardar antes de la fecha de vencimiento de los Permisos, pues como se señaló en el considerando anterior, los mismos no establecen un plazo para la presentación de la solicitud de prórroga</w:t>
      </w:r>
    </w:p>
    <w:p w:rsidR="00B05625" w:rsidRPr="002F215F" w:rsidRDefault="00821FC0" w:rsidP="00B05625">
      <w:pPr>
        <w:spacing w:before="240" w:line="276" w:lineRule="auto"/>
        <w:ind w:left="644" w:right="473"/>
        <w:jc w:val="both"/>
        <w:rPr>
          <w:rFonts w:ascii="ITC Avant Garde" w:eastAsia="Times New Roman" w:hAnsi="ITC Avant Garde" w:cs="Times New Roman"/>
          <w:bCs/>
        </w:rPr>
      </w:pPr>
      <w:r w:rsidRPr="002F215F">
        <w:rPr>
          <w:rFonts w:ascii="ITC Avant Garde" w:eastAsia="Times New Roman" w:hAnsi="ITC Avant Garde" w:cs="Times New Roman"/>
          <w:bCs/>
        </w:rPr>
        <w:t>Bajo esa tesitura y toda vez que las Solicitudes de Prórroga fueron presentadas antes del vencimiento de los Permisos, esta autoridad estima que cumplen con el requisito de oportunidad.</w:t>
      </w:r>
    </w:p>
    <w:p w:rsidR="00B05625" w:rsidRPr="002F215F" w:rsidRDefault="001409BF" w:rsidP="00B05625">
      <w:pPr>
        <w:numPr>
          <w:ilvl w:val="0"/>
          <w:numId w:val="3"/>
        </w:numPr>
        <w:spacing w:before="240" w:line="276" w:lineRule="auto"/>
        <w:ind w:right="473"/>
        <w:jc w:val="both"/>
        <w:rPr>
          <w:rFonts w:ascii="ITC Avant Garde" w:eastAsia="Times New Roman" w:hAnsi="ITC Avant Garde" w:cs="Times New Roman"/>
          <w:bCs/>
        </w:rPr>
      </w:pPr>
      <w:r w:rsidRPr="002F215F">
        <w:rPr>
          <w:rFonts w:ascii="ITC Avant Garde" w:eastAsia="Times New Roman" w:hAnsi="ITC Avant Garde" w:cs="Times New Roman"/>
          <w:b/>
          <w:bCs/>
        </w:rPr>
        <w:t>Cumplimiento de obligaciones</w:t>
      </w:r>
      <w:r w:rsidRPr="002F215F">
        <w:rPr>
          <w:rFonts w:ascii="ITC Avant Garde" w:eastAsia="Times New Roman" w:hAnsi="ITC Avant Garde" w:cs="Times New Roman"/>
          <w:bCs/>
          <w:lang w:eastAsia="es-MX"/>
        </w:rPr>
        <w:t>.</w:t>
      </w:r>
      <w:r w:rsidRPr="002F215F">
        <w:rPr>
          <w:rFonts w:ascii="ITC Avant Garde" w:eastAsia="Calibri" w:hAnsi="ITC Avant Garde" w:cs="Tahoma"/>
          <w:bCs/>
          <w:lang w:eastAsia="es-MX"/>
        </w:rPr>
        <w:t xml:space="preserve"> </w:t>
      </w:r>
      <w:r w:rsidRPr="002F215F">
        <w:rPr>
          <w:rFonts w:ascii="ITC Avant Garde" w:eastAsia="Times New Roman" w:hAnsi="ITC Avant Garde" w:cs="Times New Roman"/>
          <w:bCs/>
        </w:rPr>
        <w:t>En términos de lo señalado en la fracción III del artículo Segundo Transitorio de los Lineamientos,</w:t>
      </w:r>
      <w:r w:rsidRPr="002F215F">
        <w:rPr>
          <w:rFonts w:ascii="ITC Avant Garde" w:hAnsi="ITC Avant Garde"/>
          <w:bCs/>
        </w:rPr>
        <w:t xml:space="preserve"> los </w:t>
      </w:r>
      <w:r w:rsidRPr="002F215F">
        <w:rPr>
          <w:rFonts w:ascii="ITC Avant Garde" w:hAnsi="ITC Avant Garde"/>
          <w:lang w:eastAsia="es-MX"/>
        </w:rPr>
        <w:t xml:space="preserve">Permisionarios detallados en el </w:t>
      </w:r>
      <w:r w:rsidRPr="002F215F">
        <w:rPr>
          <w:rFonts w:ascii="ITC Avant Garde" w:hAnsi="ITC Avant Garde"/>
          <w:b/>
          <w:lang w:eastAsia="es-MX"/>
        </w:rPr>
        <w:t>Anexo 1</w:t>
      </w:r>
      <w:r w:rsidRPr="002F215F">
        <w:rPr>
          <w:rFonts w:ascii="ITC Avant Garde" w:hAnsi="ITC Avant Garde"/>
          <w:lang w:eastAsia="es-MX"/>
        </w:rPr>
        <w:t xml:space="preserve">, manifestaron expresamente que se comprometen a cumplir con las obligaciones que se encuentran pendientes </w:t>
      </w:r>
      <w:r w:rsidRPr="002F215F">
        <w:rPr>
          <w:rFonts w:ascii="ITC Avant Garde" w:eastAsia="Calibri" w:hAnsi="ITC Avant Garde" w:cs="Tahoma"/>
          <w:bCs/>
          <w:lang w:eastAsia="es-MX"/>
        </w:rPr>
        <w:t>derivadas de la normatividad vigente aplicable, así como a cumplir con las condiciones pendientes establecidas en su título de permiso primigenio. En ese sentido, dicho requisito se tiene por satisfecho.</w:t>
      </w:r>
      <w:r w:rsidRPr="002F215F">
        <w:rPr>
          <w:rFonts w:ascii="ITC Avant Garde" w:eastAsia="Times New Roman" w:hAnsi="ITC Avant Garde" w:cs="Times New Roman"/>
          <w:bCs/>
        </w:rPr>
        <w:t xml:space="preserve"> Cabe hacer la precisión, que si bien dicha manifestación es suficiente para que este Instituto continúe con el trámite que nos ocupa, ésta no releva al titular del cumplimiento de las obligaciones o responsabilidades contraídas.</w:t>
      </w:r>
    </w:p>
    <w:p w:rsidR="00B05625" w:rsidRPr="002F215F" w:rsidRDefault="006B2EA6" w:rsidP="00B05625">
      <w:pPr>
        <w:spacing w:before="240" w:line="276" w:lineRule="auto"/>
        <w:ind w:left="644" w:right="473"/>
        <w:jc w:val="both"/>
        <w:rPr>
          <w:rFonts w:ascii="ITC Avant Garde" w:eastAsia="Times New Roman" w:hAnsi="ITC Avant Garde" w:cs="Times New Roman"/>
          <w:bCs/>
        </w:rPr>
      </w:pPr>
      <w:r w:rsidRPr="002F215F">
        <w:rPr>
          <w:rFonts w:ascii="ITC Avant Garde" w:eastAsia="Times New Roman" w:hAnsi="ITC Avant Garde" w:cs="Times New Roman"/>
          <w:bCs/>
        </w:rPr>
        <w:t>Es importante resaltar</w:t>
      </w:r>
      <w:r w:rsidR="00AC3BE4" w:rsidRPr="002F215F">
        <w:rPr>
          <w:rFonts w:ascii="ITC Avant Garde" w:eastAsia="Times New Roman" w:hAnsi="ITC Avant Garde" w:cs="Times New Roman"/>
          <w:bCs/>
        </w:rPr>
        <w:t xml:space="preserve"> </w:t>
      </w:r>
      <w:r w:rsidR="00D04429" w:rsidRPr="002F215F">
        <w:rPr>
          <w:rFonts w:ascii="ITC Avant Garde" w:eastAsia="Times New Roman" w:hAnsi="ITC Avant Garde" w:cs="Times New Roman"/>
          <w:bCs/>
        </w:rPr>
        <w:t xml:space="preserve">que </w:t>
      </w:r>
      <w:r w:rsidR="00AC3BE4" w:rsidRPr="002F215F">
        <w:rPr>
          <w:rFonts w:ascii="ITC Avant Garde" w:eastAsia="Times New Roman" w:hAnsi="ITC Avant Garde" w:cs="Times New Roman"/>
          <w:bCs/>
        </w:rPr>
        <w:t>las solicitudes ingresadas por el Gobierno del Estado de Sonora, fueron presentadas de manera posterior a la entrada</w:t>
      </w:r>
      <w:r w:rsidRPr="002F215F">
        <w:rPr>
          <w:rFonts w:ascii="ITC Avant Garde" w:eastAsia="Times New Roman" w:hAnsi="ITC Avant Garde" w:cs="Times New Roman"/>
          <w:bCs/>
        </w:rPr>
        <w:t xml:space="preserve"> en vigor </w:t>
      </w:r>
      <w:r w:rsidR="00FF328E" w:rsidRPr="002F215F">
        <w:rPr>
          <w:rFonts w:ascii="ITC Avant Garde" w:eastAsia="Times New Roman" w:hAnsi="ITC Avant Garde" w:cs="Times New Roman"/>
          <w:bCs/>
        </w:rPr>
        <w:t xml:space="preserve">de </w:t>
      </w:r>
      <w:r w:rsidRPr="002F215F">
        <w:rPr>
          <w:rFonts w:ascii="ITC Avant Garde" w:eastAsia="Times New Roman" w:hAnsi="ITC Avant Garde" w:cs="Times New Roman"/>
          <w:bCs/>
        </w:rPr>
        <w:t xml:space="preserve">los Lineamientos, esto es, </w:t>
      </w:r>
      <w:r w:rsidR="00AC3BE4" w:rsidRPr="002F215F">
        <w:rPr>
          <w:rFonts w:ascii="ITC Avant Garde" w:eastAsia="Times New Roman" w:hAnsi="ITC Avant Garde" w:cs="Times New Roman"/>
          <w:bCs/>
        </w:rPr>
        <w:t xml:space="preserve">después del </w:t>
      </w:r>
      <w:r w:rsidR="00FF328E" w:rsidRPr="002F215F">
        <w:rPr>
          <w:rFonts w:ascii="ITC Avant Garde" w:eastAsia="Times New Roman" w:hAnsi="ITC Avant Garde" w:cs="Times New Roman"/>
          <w:bCs/>
        </w:rPr>
        <w:t>3</w:t>
      </w:r>
      <w:r w:rsidRPr="002F215F">
        <w:rPr>
          <w:rFonts w:ascii="ITC Avant Garde" w:eastAsia="Times New Roman" w:hAnsi="ITC Avant Garde" w:cs="Times New Roman"/>
          <w:bCs/>
        </w:rPr>
        <w:t xml:space="preserve"> de</w:t>
      </w:r>
      <w:r w:rsidR="00C8332D" w:rsidRPr="002F215F">
        <w:rPr>
          <w:rFonts w:ascii="ITC Avant Garde" w:eastAsia="Times New Roman" w:hAnsi="ITC Avant Garde" w:cs="Times New Roman"/>
          <w:bCs/>
        </w:rPr>
        <w:t xml:space="preserve"> </w:t>
      </w:r>
      <w:r w:rsidR="00FF328E" w:rsidRPr="002F215F">
        <w:rPr>
          <w:rFonts w:ascii="ITC Avant Garde" w:eastAsia="Times New Roman" w:hAnsi="ITC Avant Garde" w:cs="Times New Roman"/>
          <w:bCs/>
        </w:rPr>
        <w:t>agosto</w:t>
      </w:r>
      <w:r w:rsidR="00C8332D" w:rsidRPr="002F215F">
        <w:rPr>
          <w:rFonts w:ascii="ITC Avant Garde" w:eastAsia="Times New Roman" w:hAnsi="ITC Avant Garde" w:cs="Times New Roman"/>
          <w:bCs/>
        </w:rPr>
        <w:t xml:space="preserve"> de 2015, por lo que en sentido estricto no se encontraba</w:t>
      </w:r>
      <w:r w:rsidR="00AC3BE4" w:rsidRPr="002F215F">
        <w:rPr>
          <w:rFonts w:ascii="ITC Avant Garde" w:eastAsia="Times New Roman" w:hAnsi="ITC Avant Garde" w:cs="Times New Roman"/>
          <w:bCs/>
        </w:rPr>
        <w:t>n</w:t>
      </w:r>
      <w:r w:rsidR="00655748" w:rsidRPr="002F215F">
        <w:rPr>
          <w:rFonts w:ascii="ITC Avant Garde" w:eastAsia="Times New Roman" w:hAnsi="ITC Avant Garde" w:cs="Times New Roman"/>
          <w:bCs/>
        </w:rPr>
        <w:t xml:space="preserve"> en la hipótesis normativa a la que alude la fracción III del </w:t>
      </w:r>
      <w:r w:rsidR="00AC3BE4" w:rsidRPr="002F215F">
        <w:rPr>
          <w:rFonts w:ascii="ITC Avant Garde" w:eastAsia="Times New Roman" w:hAnsi="ITC Avant Garde" w:cs="Times New Roman"/>
          <w:bCs/>
        </w:rPr>
        <w:t xml:space="preserve">artículo </w:t>
      </w:r>
      <w:r w:rsidR="00655748" w:rsidRPr="002F215F">
        <w:rPr>
          <w:rFonts w:ascii="ITC Avant Garde" w:eastAsia="Times New Roman" w:hAnsi="ITC Avant Garde" w:cs="Times New Roman"/>
          <w:bCs/>
        </w:rPr>
        <w:t xml:space="preserve">Segundo Transitorio antes citado, </w:t>
      </w:r>
      <w:r w:rsidR="00AC3BE4" w:rsidRPr="002F215F">
        <w:rPr>
          <w:rFonts w:ascii="ITC Avant Garde" w:eastAsia="Times New Roman" w:hAnsi="ITC Avant Garde" w:cs="Times New Roman"/>
          <w:bCs/>
        </w:rPr>
        <w:t xml:space="preserve">al no estar </w:t>
      </w:r>
      <w:r w:rsidR="00655748" w:rsidRPr="002F215F">
        <w:rPr>
          <w:rFonts w:ascii="ITC Avant Garde" w:eastAsia="Times New Roman" w:hAnsi="ITC Avant Garde" w:cs="Times New Roman"/>
          <w:bCs/>
        </w:rPr>
        <w:t xml:space="preserve">en proceso </w:t>
      </w:r>
      <w:r w:rsidR="00655748" w:rsidRPr="002F215F">
        <w:rPr>
          <w:rFonts w:ascii="ITC Avant Garde" w:eastAsia="Times New Roman" w:hAnsi="ITC Avant Garde" w:cs="Times New Roman"/>
          <w:bCs/>
        </w:rPr>
        <w:lastRenderedPageBreak/>
        <w:t>de refrendo o prórroga</w:t>
      </w:r>
      <w:r w:rsidR="00AC3BE4" w:rsidRPr="002F215F">
        <w:rPr>
          <w:rFonts w:ascii="ITC Avant Garde" w:eastAsia="Times New Roman" w:hAnsi="ITC Avant Garde" w:cs="Times New Roman"/>
          <w:bCs/>
        </w:rPr>
        <w:t xml:space="preserve"> en ese momento</w:t>
      </w:r>
      <w:r w:rsidR="006266B7" w:rsidRPr="002F215F">
        <w:rPr>
          <w:rFonts w:ascii="ITC Avant Garde" w:eastAsia="Times New Roman" w:hAnsi="ITC Avant Garde" w:cs="Times New Roman"/>
          <w:bCs/>
        </w:rPr>
        <w:t>; no obstante,</w:t>
      </w:r>
      <w:r w:rsidR="00FE3654" w:rsidRPr="002F215F">
        <w:rPr>
          <w:rFonts w:ascii="ITC Avant Garde" w:eastAsia="Times New Roman" w:hAnsi="ITC Avant Garde" w:cs="Times New Roman"/>
          <w:bCs/>
        </w:rPr>
        <w:t xml:space="preserve"> </w:t>
      </w:r>
      <w:r w:rsidR="00FF328E" w:rsidRPr="002F215F">
        <w:rPr>
          <w:rFonts w:ascii="ITC Avant Garde" w:eastAsia="Times New Roman" w:hAnsi="ITC Avant Garde" w:cs="Times New Roman"/>
          <w:bCs/>
        </w:rPr>
        <w:t>por</w:t>
      </w:r>
      <w:r w:rsidR="00234E38" w:rsidRPr="002F215F">
        <w:rPr>
          <w:rFonts w:ascii="ITC Avant Garde" w:eastAsia="Times New Roman" w:hAnsi="ITC Avant Garde" w:cs="Times New Roman"/>
          <w:bCs/>
        </w:rPr>
        <w:t xml:space="preserve"> </w:t>
      </w:r>
      <w:r w:rsidR="00AC3BE4" w:rsidRPr="002F215F">
        <w:rPr>
          <w:rFonts w:ascii="ITC Avant Garde" w:eastAsia="Times New Roman" w:hAnsi="ITC Avant Garde" w:cs="Times New Roman"/>
          <w:bCs/>
        </w:rPr>
        <w:t xml:space="preserve">analogía se colige que </w:t>
      </w:r>
      <w:r w:rsidR="00897289" w:rsidRPr="002F215F">
        <w:rPr>
          <w:rFonts w:ascii="ITC Avant Garde" w:eastAsia="Times New Roman" w:hAnsi="ITC Avant Garde" w:cs="Times New Roman"/>
          <w:bCs/>
        </w:rPr>
        <w:t>se encuentra</w:t>
      </w:r>
      <w:r w:rsidR="00AC3BE4" w:rsidRPr="002F215F">
        <w:rPr>
          <w:rFonts w:ascii="ITC Avant Garde" w:eastAsia="Times New Roman" w:hAnsi="ITC Avant Garde" w:cs="Times New Roman"/>
          <w:bCs/>
        </w:rPr>
        <w:t>n</w:t>
      </w:r>
      <w:r w:rsidR="00655748" w:rsidRPr="002F215F">
        <w:rPr>
          <w:rFonts w:ascii="ITC Avant Garde" w:eastAsia="Times New Roman" w:hAnsi="ITC Avant Garde" w:cs="Times New Roman"/>
          <w:bCs/>
        </w:rPr>
        <w:t xml:space="preserve"> en igualdad </w:t>
      </w:r>
      <w:r w:rsidR="00C3717D" w:rsidRPr="002F215F">
        <w:rPr>
          <w:rFonts w:ascii="ITC Avant Garde" w:eastAsia="Times New Roman" w:hAnsi="ITC Avant Garde" w:cs="Times New Roman"/>
          <w:bCs/>
        </w:rPr>
        <w:t xml:space="preserve">esencial </w:t>
      </w:r>
      <w:r w:rsidR="006266B7" w:rsidRPr="002F215F">
        <w:rPr>
          <w:rFonts w:ascii="ITC Avant Garde" w:eastAsia="Times New Roman" w:hAnsi="ITC Avant Garde" w:cs="Times New Roman"/>
          <w:bCs/>
        </w:rPr>
        <w:t xml:space="preserve">de </w:t>
      </w:r>
      <w:r w:rsidR="00C3717D" w:rsidRPr="002F215F">
        <w:rPr>
          <w:rFonts w:ascii="ITC Avant Garde" w:eastAsia="Times New Roman" w:hAnsi="ITC Avant Garde" w:cs="Times New Roman"/>
          <w:bCs/>
        </w:rPr>
        <w:t>hechos</w:t>
      </w:r>
      <w:r w:rsidR="00655748" w:rsidRPr="002F215F">
        <w:rPr>
          <w:rFonts w:ascii="ITC Avant Garde" w:eastAsia="Times New Roman" w:hAnsi="ITC Avant Garde" w:cs="Times New Roman"/>
          <w:bCs/>
        </w:rPr>
        <w:t xml:space="preserve"> </w:t>
      </w:r>
      <w:r w:rsidR="00207CC3" w:rsidRPr="002F215F">
        <w:rPr>
          <w:rFonts w:ascii="ITC Avant Garde" w:eastAsia="Times New Roman" w:hAnsi="ITC Avant Garde" w:cs="Times New Roman"/>
          <w:bCs/>
        </w:rPr>
        <w:t xml:space="preserve">y circunstancias </w:t>
      </w:r>
      <w:r w:rsidR="00AC3BE4" w:rsidRPr="002F215F">
        <w:rPr>
          <w:rFonts w:ascii="ITC Avant Garde" w:eastAsia="Times New Roman" w:hAnsi="ITC Avant Garde" w:cs="Times New Roman"/>
          <w:bCs/>
        </w:rPr>
        <w:t xml:space="preserve">con las solicitudes presentadas por </w:t>
      </w:r>
      <w:r w:rsidR="00655748" w:rsidRPr="002F215F">
        <w:rPr>
          <w:rFonts w:ascii="ITC Avant Garde" w:eastAsia="Times New Roman" w:hAnsi="ITC Avant Garde" w:cs="Times New Roman"/>
          <w:bCs/>
        </w:rPr>
        <w:t>el Gobierno de</w:t>
      </w:r>
      <w:r w:rsidR="00AC3BE4" w:rsidRPr="002F215F">
        <w:rPr>
          <w:rFonts w:ascii="ITC Avant Garde" w:eastAsia="Times New Roman" w:hAnsi="ITC Avant Garde" w:cs="Times New Roman"/>
          <w:bCs/>
        </w:rPr>
        <w:t>l Estado de</w:t>
      </w:r>
      <w:r w:rsidR="00655748" w:rsidRPr="002F215F">
        <w:rPr>
          <w:rFonts w:ascii="ITC Avant Garde" w:eastAsia="Times New Roman" w:hAnsi="ITC Avant Garde" w:cs="Times New Roman"/>
          <w:bCs/>
        </w:rPr>
        <w:t xml:space="preserve"> Nuevo León, toda vez </w:t>
      </w:r>
      <w:r w:rsidR="00234E38" w:rsidRPr="002F215F">
        <w:rPr>
          <w:rFonts w:ascii="ITC Avant Garde" w:eastAsia="Times New Roman" w:hAnsi="ITC Avant Garde" w:cs="Times New Roman"/>
          <w:bCs/>
        </w:rPr>
        <w:t xml:space="preserve">que en ambos casos se solicitaron tanto la prórroga de vigencia como la transición a concesión. En consecuencia, les debe corresponder el mismo tratamiento, es decir,  </w:t>
      </w:r>
      <w:r w:rsidR="00FE3654" w:rsidRPr="002F215F">
        <w:rPr>
          <w:rFonts w:ascii="ITC Avant Garde" w:eastAsia="Times New Roman" w:hAnsi="ITC Avant Garde" w:cs="Times New Roman"/>
          <w:bCs/>
        </w:rPr>
        <w:t>el estudio, análisis y resolución de los trámites de mérito,  acorde a</w:t>
      </w:r>
      <w:r w:rsidR="00234E38" w:rsidRPr="002F215F">
        <w:rPr>
          <w:rFonts w:ascii="ITC Avant Garde" w:eastAsia="Times New Roman" w:hAnsi="ITC Avant Garde" w:cs="Times New Roman"/>
          <w:bCs/>
        </w:rPr>
        <w:t xml:space="preserve"> la fracción III del artículo Segundo Transitorio multicitado</w:t>
      </w:r>
      <w:r w:rsidR="00FE3654" w:rsidRPr="002F215F">
        <w:rPr>
          <w:rFonts w:ascii="ITC Avant Garde" w:eastAsia="Times New Roman" w:hAnsi="ITC Avant Garde" w:cs="Times New Roman"/>
          <w:bCs/>
        </w:rPr>
        <w:t>.</w:t>
      </w:r>
    </w:p>
    <w:p w:rsidR="00B05625" w:rsidRPr="002F215F" w:rsidRDefault="006266B7" w:rsidP="00B05625">
      <w:pPr>
        <w:spacing w:before="240" w:line="276" w:lineRule="auto"/>
        <w:ind w:left="644" w:right="473"/>
        <w:jc w:val="both"/>
        <w:rPr>
          <w:rFonts w:ascii="ITC Avant Garde" w:eastAsia="Times New Roman" w:hAnsi="ITC Avant Garde" w:cs="Times New Roman"/>
          <w:bCs/>
        </w:rPr>
      </w:pPr>
      <w:r w:rsidRPr="002F215F">
        <w:rPr>
          <w:rFonts w:ascii="ITC Avant Garde" w:eastAsia="Times New Roman" w:hAnsi="ITC Avant Garde" w:cs="Times New Roman"/>
          <w:bCs/>
        </w:rPr>
        <w:t xml:space="preserve">Lo anterior, se sustenta con la tesis que a la letra dice: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Época: Décima Época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Registro: 2005156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Instancia: Tribunales Colegiados de Circuito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Tipo de Tesis: Aislada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Fuente: Gaceta del Semanario Judicial de la Federación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Libro 1, Diciembre de 2013, Tomo II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Materia(s): Constitucional </w:t>
      </w:r>
    </w:p>
    <w:p w:rsidR="006266B7"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Tesis: XI.1o.A.T.11 K (10a.) </w:t>
      </w:r>
    </w:p>
    <w:p w:rsidR="00B05625" w:rsidRPr="002F215F" w:rsidRDefault="006266B7" w:rsidP="00B05625">
      <w:pPr>
        <w:spacing w:before="240" w:line="240" w:lineRule="auto"/>
        <w:ind w:left="851" w:right="615"/>
        <w:jc w:val="both"/>
        <w:rPr>
          <w:rFonts w:ascii="ITC Avant Garde" w:hAnsi="ITC Avant Garde"/>
          <w:sz w:val="18"/>
          <w:szCs w:val="18"/>
        </w:rPr>
      </w:pPr>
      <w:r w:rsidRPr="002F215F">
        <w:rPr>
          <w:rFonts w:ascii="ITC Avant Garde" w:hAnsi="ITC Avant Garde"/>
          <w:sz w:val="18"/>
          <w:szCs w:val="18"/>
        </w:rPr>
        <w:t xml:space="preserve">Página: 1189 </w:t>
      </w:r>
    </w:p>
    <w:p w:rsidR="006266B7" w:rsidRPr="002F215F" w:rsidRDefault="006266B7" w:rsidP="00B05625">
      <w:pPr>
        <w:spacing w:before="240"/>
        <w:ind w:left="851" w:right="615"/>
        <w:jc w:val="both"/>
        <w:rPr>
          <w:rFonts w:ascii="ITC Avant Garde" w:hAnsi="ITC Avant Garde"/>
          <w:sz w:val="18"/>
          <w:szCs w:val="18"/>
        </w:rPr>
      </w:pPr>
      <w:r w:rsidRPr="002F215F">
        <w:rPr>
          <w:rFonts w:ascii="ITC Avant Garde" w:hAnsi="ITC Avant Garde"/>
          <w:sz w:val="18"/>
          <w:szCs w:val="18"/>
        </w:rPr>
        <w:t>"LAGUNA JURÍDICA O DEL DERECHO" O "VACÍO LEGISLATIVO". PARA LLENARLO EL JUZGADOR DEBE ACUDIR, PRIMERO, A LA SUPLETORIEDAD O LA ANALOGÍA Y, DESPUÉS, A LOS PRINCIPIOS GENERALES DEL DERECHO.</w:t>
      </w:r>
    </w:p>
    <w:p w:rsidR="006266B7" w:rsidRPr="002F215F" w:rsidRDefault="006266B7" w:rsidP="00B05625">
      <w:pPr>
        <w:spacing w:before="240"/>
        <w:ind w:left="851" w:right="615"/>
        <w:jc w:val="both"/>
        <w:rPr>
          <w:rFonts w:ascii="ITC Avant Garde" w:hAnsi="ITC Avant Garde"/>
          <w:sz w:val="18"/>
          <w:szCs w:val="18"/>
        </w:rPr>
      </w:pPr>
      <w:r w:rsidRPr="002F215F">
        <w:rPr>
          <w:rFonts w:ascii="ITC Avant Garde" w:hAnsi="ITC Avant Garde"/>
          <w:sz w:val="18"/>
          <w:szCs w:val="18"/>
        </w:rPr>
        <w:t xml:space="preserve">Se denomina "laguna jurídica o del derecho" o "vacío legislativo" a la ausencia de reglamentación legislativa en una materia concreta; esto es, se trata de la omisión en el texto de la ley, de la regulación específica a una determinada situación, parte o negocio; con ello se obliga a los operadores jurídicos a emplear técnicas sustitutivas con las cuales puedan obtener una respuesta eficaz a la expresada tara legal. Así, las lagunas o vacíos legislativos pueden deberse a la negligencia o falta de previsión del legislador (involuntarias) o a que éste, a propósito, deja sin regulación determinadas materias (voluntarias), o bien, a que las normas son muy concretas, que no comprenden todos los casos de la misma naturaleza o son muy generales y revelan en su interior vacíos que deben ser llenados por el juzgador, con un proceso de integración, mediante dos sistemas: a) la heterointegración, llamada también derecho supletorio o supletoriedad; y, b) la autointegración, reconocida expresamente por la mayoría de los ordenamientos como analogía y principios generales del derecho. En estas condiciones, </w:t>
      </w:r>
      <w:r w:rsidRPr="002F215F">
        <w:rPr>
          <w:rFonts w:ascii="ITC Avant Garde" w:hAnsi="ITC Avant Garde"/>
          <w:sz w:val="18"/>
          <w:szCs w:val="18"/>
          <w:u w:val="single"/>
        </w:rPr>
        <w:t>el uso de la analogía implica necesariamente creación o innovación del derecho, y pueden distinguirse dos clases resaltantes de ésta: la "legis" y la "iuri"</w:t>
      </w:r>
      <w:r w:rsidRPr="002F215F">
        <w:rPr>
          <w:rFonts w:ascii="ITC Avant Garde" w:hAnsi="ITC Avant Garde"/>
          <w:sz w:val="18"/>
          <w:szCs w:val="18"/>
        </w:rPr>
        <w:t>; y es aceptada bajo dos condiciones, a saber: a) La falta expresa de la norma aplicable al supuesto concreto; y</w:t>
      </w:r>
      <w:r w:rsidRPr="002F215F">
        <w:rPr>
          <w:rFonts w:ascii="ITC Avant Garde" w:hAnsi="ITC Avant Garde"/>
          <w:b/>
          <w:sz w:val="18"/>
          <w:szCs w:val="18"/>
        </w:rPr>
        <w:t xml:space="preserve">, b) Igualdad esencial de </w:t>
      </w:r>
      <w:r w:rsidRPr="002F215F">
        <w:rPr>
          <w:rFonts w:ascii="ITC Avant Garde" w:hAnsi="ITC Avant Garde"/>
          <w:b/>
          <w:sz w:val="18"/>
          <w:szCs w:val="18"/>
        </w:rPr>
        <w:lastRenderedPageBreak/>
        <w:t>los hechos</w:t>
      </w:r>
      <w:r w:rsidRPr="002F215F">
        <w:rPr>
          <w:rFonts w:ascii="ITC Avant Garde" w:hAnsi="ITC Avant Garde"/>
          <w:sz w:val="18"/>
          <w:szCs w:val="18"/>
        </w:rPr>
        <w:t xml:space="preserve">. En conclusión, </w:t>
      </w:r>
      <w:r w:rsidRPr="002F215F">
        <w:rPr>
          <w:rFonts w:ascii="ITC Avant Garde" w:hAnsi="ITC Avant Garde"/>
          <w:b/>
          <w:sz w:val="18"/>
          <w:szCs w:val="18"/>
        </w:rPr>
        <w:t>es imposible que la mente humana pueda prever y regular con normas adecuadas todos los innumerables casos futuros en particular</w:t>
      </w:r>
      <w:r w:rsidRPr="002F215F">
        <w:rPr>
          <w:rFonts w:ascii="ITC Avant Garde" w:hAnsi="ITC Avant Garde"/>
          <w:sz w:val="18"/>
          <w:szCs w:val="18"/>
        </w:rPr>
        <w:t xml:space="preserve">; sin embargo, el </w:t>
      </w:r>
      <w:r w:rsidRPr="002F215F">
        <w:rPr>
          <w:rFonts w:ascii="ITC Avant Garde" w:hAnsi="ITC Avant Garde"/>
          <w:sz w:val="18"/>
          <w:szCs w:val="18"/>
          <w:u w:val="single"/>
        </w:rPr>
        <w:t>silencio, oscuridad o insuficiencia de la ley no autoriza a los Jueces o tribunales a dejar de resolver una controversi</w:t>
      </w:r>
      <w:r w:rsidRPr="002F215F">
        <w:rPr>
          <w:rFonts w:ascii="ITC Avant Garde" w:hAnsi="ITC Avant Garde"/>
          <w:sz w:val="18"/>
          <w:szCs w:val="18"/>
        </w:rPr>
        <w:t>a, por lo que existen diversos métodos que el juzgador debe emplear para llenar ese vacío legislativo, siempre que no sea posible resolver una controversia, aplicando una disposición precisa de la ley y tales fuentes son: primero, la supletoriedad o la analogía y, después, los principios generales del derecho.</w:t>
      </w:r>
    </w:p>
    <w:p w:rsidR="006266B7" w:rsidRPr="002F215F" w:rsidRDefault="006266B7" w:rsidP="00B05625">
      <w:pPr>
        <w:spacing w:before="240"/>
        <w:ind w:left="851" w:right="615"/>
        <w:jc w:val="both"/>
        <w:rPr>
          <w:rFonts w:ascii="ITC Avant Garde" w:hAnsi="ITC Avant Garde"/>
          <w:sz w:val="18"/>
          <w:szCs w:val="18"/>
        </w:rPr>
      </w:pPr>
      <w:r w:rsidRPr="002F215F">
        <w:rPr>
          <w:rFonts w:ascii="ITC Avant Garde" w:hAnsi="ITC Avant Garde"/>
          <w:sz w:val="18"/>
          <w:szCs w:val="18"/>
        </w:rPr>
        <w:t>PRIMER TRIBUNAL COLEGIADO EN MATERIAS ADMINISTRATIVA Y DE TRABAJO DEL DÉCIMO PRIMER CIRCUITO.</w:t>
      </w:r>
    </w:p>
    <w:p w:rsidR="006266B7" w:rsidRPr="002F215F" w:rsidRDefault="006266B7" w:rsidP="00B05625">
      <w:pPr>
        <w:spacing w:before="240"/>
        <w:ind w:left="851" w:right="615"/>
        <w:jc w:val="both"/>
        <w:rPr>
          <w:rFonts w:ascii="ITC Avant Garde" w:hAnsi="ITC Avant Garde"/>
          <w:sz w:val="18"/>
          <w:szCs w:val="18"/>
        </w:rPr>
      </w:pPr>
      <w:r w:rsidRPr="002F215F">
        <w:rPr>
          <w:rFonts w:ascii="ITC Avant Garde" w:hAnsi="ITC Avant Garde"/>
          <w:sz w:val="18"/>
          <w:szCs w:val="18"/>
        </w:rPr>
        <w:t>Amparo directo 424/2012. Miguel Ángel Rodríguez Bustos. 18 de octubre de 2012. Unanimidad de votos. Ponente: Juan García Orozco. Secretario: Edgar Díaz Cortés.</w:t>
      </w:r>
    </w:p>
    <w:p w:rsidR="006266B7" w:rsidRPr="002F215F" w:rsidRDefault="006266B7" w:rsidP="00B05625">
      <w:pPr>
        <w:spacing w:before="240"/>
        <w:ind w:left="851" w:right="615"/>
        <w:jc w:val="both"/>
        <w:rPr>
          <w:rFonts w:ascii="ITC Avant Garde" w:hAnsi="ITC Avant Garde"/>
          <w:sz w:val="18"/>
          <w:szCs w:val="18"/>
        </w:rPr>
      </w:pPr>
      <w:r w:rsidRPr="002F215F">
        <w:rPr>
          <w:rFonts w:ascii="ITC Avant Garde" w:hAnsi="ITC Avant Garde"/>
          <w:sz w:val="18"/>
          <w:szCs w:val="18"/>
        </w:rPr>
        <w:t>Esta tesis se publicó el viernes 13 de diciembre de 2013 a las 13:20 horas en el Semanario Judicial de la Federación.”</w:t>
      </w:r>
    </w:p>
    <w:p w:rsidR="00B05625" w:rsidRPr="002F215F" w:rsidRDefault="00CC2AE3" w:rsidP="00B05625">
      <w:pPr>
        <w:spacing w:before="240"/>
        <w:ind w:left="851" w:right="615"/>
        <w:jc w:val="both"/>
        <w:rPr>
          <w:rFonts w:ascii="ITC Avant Garde" w:hAnsi="ITC Avant Garde"/>
          <w:sz w:val="18"/>
          <w:szCs w:val="18"/>
        </w:rPr>
      </w:pPr>
      <w:r w:rsidRPr="002F215F">
        <w:rPr>
          <w:rFonts w:ascii="ITC Avant Garde" w:hAnsi="ITC Avant Garde"/>
          <w:sz w:val="18"/>
          <w:szCs w:val="18"/>
        </w:rPr>
        <w:t>[Énfasis añadido]</w:t>
      </w:r>
    </w:p>
    <w:p w:rsidR="00B05625" w:rsidRPr="002F215F" w:rsidRDefault="001409BF" w:rsidP="00B05625">
      <w:pPr>
        <w:numPr>
          <w:ilvl w:val="0"/>
          <w:numId w:val="3"/>
        </w:numPr>
        <w:autoSpaceDE w:val="0"/>
        <w:autoSpaceDN w:val="0"/>
        <w:adjustRightInd w:val="0"/>
        <w:spacing w:before="240" w:line="276" w:lineRule="auto"/>
        <w:ind w:right="473"/>
        <w:jc w:val="both"/>
        <w:rPr>
          <w:rFonts w:ascii="ITC Avant Garde" w:eastAsia="Times New Roman" w:hAnsi="ITC Avant Garde" w:cs="Times New Roman"/>
          <w:bCs/>
        </w:rPr>
      </w:pPr>
      <w:r w:rsidRPr="002F215F">
        <w:rPr>
          <w:rFonts w:ascii="ITC Avant Garde" w:eastAsia="Times New Roman" w:hAnsi="ITC Avant Garde" w:cs="Times New Roman"/>
          <w:b/>
          <w:bCs/>
        </w:rPr>
        <w:t>Pago de derechos.</w:t>
      </w:r>
      <w:r w:rsidRPr="002F215F">
        <w:rPr>
          <w:rFonts w:ascii="ITC Avant Garde" w:eastAsia="Times New Roman" w:hAnsi="ITC Avant Garde" w:cs="Times New Roman"/>
          <w:bCs/>
        </w:rPr>
        <w:t xml:space="preserve"> Los permisionarios relacionados en el multicitado </w:t>
      </w:r>
      <w:r w:rsidRPr="002F215F">
        <w:rPr>
          <w:rFonts w:ascii="ITC Avant Garde" w:eastAsia="Times New Roman" w:hAnsi="ITC Avant Garde" w:cs="Times New Roman"/>
          <w:b/>
          <w:bCs/>
        </w:rPr>
        <w:t>Anexo 1</w:t>
      </w:r>
      <w:r w:rsidRPr="002F215F">
        <w:rPr>
          <w:rFonts w:ascii="ITC Avant Garde" w:eastAsia="Times New Roman" w:hAnsi="ITC Avant Garde" w:cs="Times New Roman"/>
          <w:bCs/>
        </w:rPr>
        <w:t>, adjuntaron el comprobante de pago de derechos al que se refiere el artículo 173, inciso C) fracción II, en relación con el artículo 174-L, fracción I, de la Ley Federal de Derechos, por concepto de prórroga de concesiones en materia de radiodifusión para el uso y aprovechamiento de bandas de frecuencias del espectro radioeléctrico para uso público y social.</w:t>
      </w:r>
    </w:p>
    <w:p w:rsidR="00B05625" w:rsidRPr="002F215F" w:rsidRDefault="001409BF" w:rsidP="00B05625">
      <w:pPr>
        <w:autoSpaceDE w:val="0"/>
        <w:autoSpaceDN w:val="0"/>
        <w:adjustRightInd w:val="0"/>
        <w:spacing w:before="240" w:line="276" w:lineRule="auto"/>
        <w:ind w:right="48"/>
        <w:jc w:val="both"/>
        <w:rPr>
          <w:rFonts w:ascii="ITC Avant Garde" w:eastAsia="Times New Roman" w:hAnsi="ITC Avant Garde"/>
          <w:bCs/>
        </w:rPr>
      </w:pPr>
      <w:r w:rsidRPr="002F215F">
        <w:rPr>
          <w:rFonts w:ascii="ITC Avant Garde" w:eastAsia="Times New Roman" w:hAnsi="ITC Avant Garde"/>
          <w:bCs/>
        </w:rPr>
        <w:t>Asimismo, tal y como se señaló en el Anteced</w:t>
      </w:r>
      <w:r w:rsidR="00BF6676" w:rsidRPr="002F215F">
        <w:rPr>
          <w:rFonts w:ascii="ITC Avant Garde" w:eastAsia="Times New Roman" w:hAnsi="ITC Avant Garde"/>
          <w:bCs/>
        </w:rPr>
        <w:t xml:space="preserve">ente </w:t>
      </w:r>
      <w:r w:rsidRPr="002F215F">
        <w:rPr>
          <w:rFonts w:ascii="ITC Avant Garde" w:eastAsia="Times New Roman" w:hAnsi="ITC Avant Garde"/>
          <w:bCs/>
        </w:rPr>
        <w:t>X de la presente Resolución, la SCT conforme a lo ordenado en el párrafo décimo séptimo del artículo 28 de la Constitución Política de Los Estados Unidos Mexicanos y fracción I del artículo 9 de la Ley, mediante oficio 1.- 163 de fecha 10 de agosto de 2016, emitió opinión técnica no vinculante al otorgamiento de concesiones en materia de telecomunicaciones.</w:t>
      </w:r>
    </w:p>
    <w:p w:rsidR="00B05625" w:rsidRPr="002F215F" w:rsidRDefault="00BF6676" w:rsidP="00B05625">
      <w:pPr>
        <w:autoSpaceDE w:val="0"/>
        <w:autoSpaceDN w:val="0"/>
        <w:adjustRightInd w:val="0"/>
        <w:spacing w:before="240"/>
        <w:ind w:right="48"/>
        <w:jc w:val="both"/>
        <w:rPr>
          <w:rFonts w:ascii="ITC Avant Garde" w:eastAsia="Times New Roman" w:hAnsi="ITC Avant Garde"/>
          <w:bCs/>
        </w:rPr>
      </w:pPr>
      <w:r w:rsidRPr="002F215F">
        <w:rPr>
          <w:rFonts w:ascii="ITC Avant Garde" w:eastAsia="Times New Roman" w:hAnsi="ITC Avant Garde"/>
          <w:bCs/>
        </w:rPr>
        <w:t xml:space="preserve">Respecto a las manifestaciones realizadas por la SCT en su opinión, en el sentido de que las solicitudes se presentaron de forma extemporánea conforme a los plazos establecidos en el artículo 114 de la Ley y en la condición respectiva de los Permisos, debe señalarse que derivado del análisis realizado por este Instituto, el cual se describe en el Considerando Segundo de la presente Resolución, se considera que los plazos señalados en dichos preceptos no resultan aplicables a las solicitudes y al no existir plazos vinculantes para la presentación de solicitudes basta con que sean presentadas durante la vigencia de los Permisos.  </w:t>
      </w:r>
    </w:p>
    <w:p w:rsidR="00B05625" w:rsidRPr="002F215F" w:rsidRDefault="001409BF" w:rsidP="00B05625">
      <w:pPr>
        <w:suppressAutoHyphens/>
        <w:spacing w:before="240" w:line="276" w:lineRule="auto"/>
        <w:ind w:right="-62"/>
        <w:jc w:val="both"/>
        <w:rPr>
          <w:rFonts w:ascii="ITC Avant Garde" w:eastAsia="Calibri" w:hAnsi="ITC Avant Garde" w:cs="Tahoma"/>
          <w:bCs/>
          <w:lang w:eastAsia="es-MX"/>
        </w:rPr>
      </w:pPr>
      <w:r w:rsidRPr="002F215F">
        <w:rPr>
          <w:rFonts w:ascii="ITC Avant Garde" w:eastAsia="Calibri" w:hAnsi="ITC Avant Garde" w:cs="Tahoma"/>
          <w:bCs/>
          <w:lang w:eastAsia="es-MX"/>
        </w:rPr>
        <w:t xml:space="preserve">Ahora bien, la Unidad de Espectro Radioeléctrico mediante oficio </w:t>
      </w:r>
      <w:r w:rsidR="001B7535" w:rsidRPr="002F215F">
        <w:rPr>
          <w:rFonts w:ascii="ITC Avant Garde" w:eastAsia="Times New Roman" w:hAnsi="ITC Avant Garde" w:cs="Times New Roman"/>
          <w:bCs/>
          <w:lang w:eastAsia="es-MX"/>
        </w:rPr>
        <w:t>IFT/222/UER/DGPE/001/2017 de fecha 11 de enero de 2017</w:t>
      </w:r>
      <w:r w:rsidRPr="002F215F">
        <w:rPr>
          <w:rFonts w:ascii="ITC Avant Garde" w:eastAsia="Calibri" w:hAnsi="ITC Avant Garde" w:cs="Tahoma"/>
          <w:bCs/>
          <w:lang w:eastAsia="es-MX"/>
        </w:rPr>
        <w:t xml:space="preserve">, hizo del conocimiento a la Unidad de Concesiones y Servicios, que de conformidad con el artículo 114 de la Ley,  no </w:t>
      </w:r>
      <w:r w:rsidRPr="002F215F">
        <w:rPr>
          <w:rFonts w:ascii="ITC Avant Garde" w:eastAsia="Calibri" w:hAnsi="ITC Avant Garde" w:cs="Tahoma"/>
          <w:bCs/>
          <w:lang w:eastAsia="es-MX"/>
        </w:rPr>
        <w:lastRenderedPageBreak/>
        <w:t>existe interés público por parte del Instituto en recuperar el espectro radioeléctrico para su re planificación o futura utilización para un servicio distinto al de la radiodifusión.</w:t>
      </w:r>
    </w:p>
    <w:p w:rsidR="00B05625" w:rsidRPr="002F215F" w:rsidRDefault="0077457F" w:rsidP="00B05625">
      <w:pPr>
        <w:suppressAutoHyphens/>
        <w:spacing w:before="240" w:line="276" w:lineRule="auto"/>
        <w:ind w:right="-62"/>
        <w:jc w:val="both"/>
        <w:rPr>
          <w:rFonts w:ascii="ITC Avant Garde" w:eastAsia="Calibri" w:hAnsi="ITC Avant Garde" w:cs="Tahoma"/>
          <w:bCs/>
          <w:lang w:eastAsia="es-MX"/>
        </w:rPr>
      </w:pPr>
      <w:r w:rsidRPr="002F215F">
        <w:rPr>
          <w:rFonts w:ascii="ITC Avant Garde" w:eastAsia="Calibri" w:hAnsi="ITC Avant Garde" w:cs="Tahoma"/>
          <w:bCs/>
          <w:lang w:eastAsia="es-MX"/>
        </w:rPr>
        <w:t>Por lo descrito en los puntos antes referidos, se considera que se han satisfecho los requisitos de procedencia del refrendo o prórroga establecido en las disposiciones legales aplicables y en los propios Permisos y no se advierte ninguna otra causa o impedimento legal, en consecuencia, esta autoridad estima procedente el otorgamiento de las prórrogas solicitadas.</w:t>
      </w:r>
    </w:p>
    <w:p w:rsidR="00B05625" w:rsidRPr="002F215F" w:rsidRDefault="001409BF" w:rsidP="00B05625">
      <w:pPr>
        <w:autoSpaceDE w:val="0"/>
        <w:autoSpaceDN w:val="0"/>
        <w:adjustRightInd w:val="0"/>
        <w:spacing w:before="240" w:line="276" w:lineRule="auto"/>
        <w:jc w:val="both"/>
        <w:rPr>
          <w:rFonts w:ascii="ITC Avant Garde" w:eastAsia="Times New Roman" w:hAnsi="ITC Avant Garde" w:cs="Times New Roman"/>
          <w:bCs/>
          <w:kern w:val="1"/>
          <w:lang w:val="es-ES" w:eastAsia="ar-SA"/>
        </w:rPr>
      </w:pPr>
      <w:r w:rsidRPr="002F215F">
        <w:rPr>
          <w:rFonts w:ascii="ITC Avant Garde" w:eastAsia="Times New Roman" w:hAnsi="ITC Avant Garde" w:cs="Times New Roman"/>
          <w:b/>
          <w:bCs/>
          <w:kern w:val="2"/>
          <w:lang w:eastAsia="ar-SA"/>
        </w:rPr>
        <w:t xml:space="preserve">CUARTO.-  Análisis de las Solicitudes de Transición. </w:t>
      </w:r>
      <w:r w:rsidRPr="002F215F">
        <w:rPr>
          <w:rFonts w:ascii="ITC Avant Garde" w:eastAsia="Times New Roman" w:hAnsi="ITC Avant Garde" w:cs="Times New Roman"/>
          <w:kern w:val="1"/>
          <w:lang w:val="es-ES" w:eastAsia="ar-SA"/>
        </w:rPr>
        <w:t xml:space="preserve">Del estudio y revisión realizados a las Solicitudes de Transición, por lo que hace a la oportunidad o momento de su presentación, se advierte que </w:t>
      </w:r>
      <w:r w:rsidRPr="002F215F">
        <w:rPr>
          <w:rFonts w:ascii="ITC Avant Garde" w:eastAsia="Times New Roman" w:hAnsi="ITC Avant Garde" w:cs="Times New Roman"/>
          <w:bCs/>
          <w:kern w:val="1"/>
          <w:lang w:val="es-ES" w:eastAsia="ar-SA"/>
        </w:rPr>
        <w:t xml:space="preserve">fueron presentadas ante la oficialía de partes de este Instituto con posterioridad a la entrada en vigor de los Lineamientos, pero durante el plazo de 90 días naturales siguientes a la entrada en vigor de éstos, según lo establece el artículo Segundo transitorio, en virtud de lo cual cumplen con el requisito de oportunidad. </w:t>
      </w:r>
    </w:p>
    <w:p w:rsidR="001409BF" w:rsidRPr="002F215F" w:rsidRDefault="001409BF" w:rsidP="00B05625">
      <w:pPr>
        <w:autoSpaceDE w:val="0"/>
        <w:autoSpaceDN w:val="0"/>
        <w:adjustRightInd w:val="0"/>
        <w:spacing w:before="240" w:line="276" w:lineRule="auto"/>
        <w:jc w:val="both"/>
        <w:rPr>
          <w:rFonts w:ascii="ITC Avant Garde" w:eastAsia="Calibri" w:hAnsi="ITC Avant Garde" w:cs="Times New Roman"/>
          <w:bCs/>
          <w:noProof/>
        </w:rPr>
      </w:pPr>
      <w:r w:rsidRPr="002F215F">
        <w:rPr>
          <w:rFonts w:ascii="ITC Avant Garde" w:eastAsia="Calibri" w:hAnsi="ITC Avant Garde" w:cs="Times New Roman"/>
          <w:bCs/>
        </w:rPr>
        <w:t xml:space="preserve">Asimismo, del análisis efectuado a la información entregada por </w:t>
      </w:r>
      <w:r w:rsidRPr="002F215F">
        <w:rPr>
          <w:rFonts w:ascii="ITC Avant Garde" w:eastAsia="Calibri" w:hAnsi="ITC Avant Garde" w:cs="Times New Roman"/>
          <w:bCs/>
          <w:noProof/>
        </w:rPr>
        <w:t xml:space="preserve">los Permisionarios, </w:t>
      </w:r>
      <w:r w:rsidRPr="002F215F">
        <w:rPr>
          <w:rFonts w:ascii="ITC Avant Garde" w:eastAsia="Calibri" w:hAnsi="ITC Avant Garde" w:cs="Times New Roman"/>
          <w:bCs/>
        </w:rPr>
        <w:t xml:space="preserve">se desprende que la Solicitud de Transición contienen la información prevista en la fracción IV del artículo Segundo Transitorio de los Lineamientos consistentes en: a) nombre y domicilio del solicitante; b) nombre del representante legal y acreditación de la personalidad jurídica, así como copia simple de su identificación oficial; c) distintivo de llamada, frecuencia o canal asignado y población principal a servir; d) fecha de expedición y vigencia del título de permiso objeto de la transición; e) uso de la concesión; f) manifestación del solicitante respecto a la operación de la estación, y g) manifestación del solicitante relativa a la aceptación de las condiciones que se establecerán en el título de concesión que al efecto se expida. </w:t>
      </w:r>
    </w:p>
    <w:p w:rsidR="00B05625" w:rsidRPr="002F215F" w:rsidRDefault="001409BF" w:rsidP="00B05625">
      <w:pPr>
        <w:autoSpaceDE w:val="0"/>
        <w:autoSpaceDN w:val="0"/>
        <w:adjustRightInd w:val="0"/>
        <w:spacing w:before="240" w:line="276" w:lineRule="auto"/>
        <w:jc w:val="both"/>
        <w:rPr>
          <w:rFonts w:ascii="ITC Avant Garde" w:eastAsia="Calibri" w:hAnsi="ITC Avant Garde" w:cs="Times New Roman"/>
          <w:bCs/>
        </w:rPr>
      </w:pPr>
      <w:r w:rsidRPr="002F215F">
        <w:rPr>
          <w:rFonts w:ascii="ITC Avant Garde" w:eastAsia="Calibri" w:hAnsi="ITC Avant Garde" w:cs="Times New Roman"/>
          <w:bCs/>
        </w:rPr>
        <w:t xml:space="preserve">Los requisitos a que hace referencia el párrafo anterior, fueron evaluados por la Dirección General de Concesiones de Radiodifusión, adscrita a la Unidad de Concesiones y Servicios de este Instituto, advirtiéndose por dicha Dirección que los mismos se cumplen en los términos previstos en la fracción IV del artículo Segundo Transitorio de los Lineamientos. Dichos requisitos se encuentran contenidos en el </w:t>
      </w:r>
      <w:r w:rsidRPr="002F215F">
        <w:rPr>
          <w:rFonts w:ascii="ITC Avant Garde" w:eastAsia="Calibri" w:hAnsi="ITC Avant Garde" w:cs="Times New Roman"/>
          <w:b/>
          <w:bCs/>
        </w:rPr>
        <w:t>Anexo 1</w:t>
      </w:r>
      <w:r w:rsidRPr="002F215F">
        <w:rPr>
          <w:rFonts w:ascii="ITC Avant Garde" w:eastAsia="Calibri" w:hAnsi="ITC Avant Garde" w:cs="Times New Roman"/>
          <w:bCs/>
        </w:rPr>
        <w:t xml:space="preserve"> de la presente Resolución, así como en el expediente administrativo correspondiente a cada una de las Solicitudes de Transición.</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lang w:eastAsia="es-MX"/>
        </w:rPr>
      </w:pPr>
      <w:r w:rsidRPr="002F215F">
        <w:rPr>
          <w:rFonts w:ascii="ITC Avant Garde" w:eastAsia="Calibri" w:hAnsi="ITC Avant Garde" w:cs="Tahoma"/>
          <w:bCs/>
          <w:lang w:eastAsia="es-MX"/>
        </w:rPr>
        <w:t xml:space="preserve">En este orden de ideas, esta autoridad considera que las Solicitudes </w:t>
      </w:r>
      <w:r w:rsidRPr="002F215F">
        <w:rPr>
          <w:rFonts w:ascii="ITC Avant Garde" w:eastAsia="Calibri" w:hAnsi="ITC Avant Garde" w:cs="Tahoma"/>
          <w:bCs/>
          <w:lang w:val="es-ES" w:eastAsia="es-MX"/>
        </w:rPr>
        <w:t>de Transición</w:t>
      </w:r>
      <w:r w:rsidRPr="002F215F">
        <w:rPr>
          <w:rFonts w:ascii="ITC Avant Garde" w:eastAsia="Calibri" w:hAnsi="ITC Avant Garde" w:cs="Tahoma"/>
          <w:bCs/>
          <w:lang w:eastAsia="es-MX"/>
        </w:rPr>
        <w:t xml:space="preserve"> se encuentran debidamente integradas para su aprobación toda vez que la información presentada con motivo de la misma cumple con los requisitos previstos en la fracción IV del artículo Segundo Transitorio de los Lineamientos.</w:t>
      </w:r>
    </w:p>
    <w:p w:rsidR="00B05625" w:rsidRPr="002F215F" w:rsidRDefault="001409BF" w:rsidP="00B05625">
      <w:pPr>
        <w:spacing w:before="240" w:line="276" w:lineRule="auto"/>
        <w:jc w:val="both"/>
        <w:rPr>
          <w:rFonts w:ascii="ITC Avant Garde" w:eastAsia="Times New Roman" w:hAnsi="ITC Avant Garde" w:cs="Times New Roman"/>
          <w:b/>
          <w:bCs/>
          <w:kern w:val="2"/>
          <w:lang w:eastAsia="ar-SA"/>
        </w:rPr>
      </w:pPr>
      <w:r w:rsidRPr="002F215F">
        <w:rPr>
          <w:rFonts w:ascii="ITC Avant Garde" w:eastAsia="Times New Roman" w:hAnsi="ITC Avant Garde" w:cs="Times New Roman"/>
          <w:b/>
          <w:bCs/>
          <w:kern w:val="2"/>
          <w:lang w:eastAsia="ar-SA"/>
        </w:rPr>
        <w:lastRenderedPageBreak/>
        <w:t xml:space="preserve">QUINTO.- Concesiones para uso público. </w:t>
      </w:r>
      <w:r w:rsidRPr="002F215F">
        <w:rPr>
          <w:rFonts w:ascii="ITC Avant Garde" w:eastAsia="Times New Roman" w:hAnsi="ITC Avant Garde" w:cs="Times New Roman"/>
          <w:bCs/>
          <w:kern w:val="2"/>
          <w:lang w:eastAsia="ar-SA"/>
        </w:rPr>
        <w:t xml:space="preserve">Como se expuso previamente, el carácter público de las concesiones </w:t>
      </w:r>
      <w:r w:rsidRPr="002F215F">
        <w:rPr>
          <w:rFonts w:ascii="ITC Avant Garde" w:eastAsia="Times New Roman" w:hAnsi="ITC Avant Garde" w:cs="Times New Roman"/>
          <w:bCs/>
          <w:kern w:val="2"/>
          <w:lang w:val="es-ES_tradnl" w:eastAsia="ar-SA"/>
        </w:rPr>
        <w:t xml:space="preserve">para usar y aprovechar bandas de frecuencias del espectro radioeléctrico </w:t>
      </w:r>
      <w:r w:rsidRPr="002F215F">
        <w:rPr>
          <w:rFonts w:ascii="ITC Avant Garde" w:eastAsia="Times New Roman" w:hAnsi="ITC Avant Garde" w:cs="Times New Roman"/>
          <w:bCs/>
          <w:kern w:val="2"/>
          <w:lang w:eastAsia="ar-SA"/>
        </w:rPr>
        <w:t xml:space="preserve">confiere </w:t>
      </w:r>
      <w:r w:rsidRPr="002F215F">
        <w:rPr>
          <w:rFonts w:ascii="ITC Avant Garde" w:eastAsia="Times New Roman" w:hAnsi="ITC Avant Garde" w:cs="Times New Roman"/>
          <w:bCs/>
          <w:kern w:val="2"/>
          <w:lang w:val="es-ES_tradnl" w:eastAsia="ar-SA"/>
        </w:rPr>
        <w:t xml:space="preserve">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 En este sentido, a los Permisionarios </w:t>
      </w:r>
      <w:r w:rsidRPr="002F215F">
        <w:rPr>
          <w:rFonts w:ascii="ITC Avant Garde" w:eastAsia="Times New Roman" w:hAnsi="ITC Avant Garde" w:cs="Times New Roman"/>
          <w:bCs/>
          <w:kern w:val="2"/>
          <w:lang w:eastAsia="ar-SA"/>
        </w:rPr>
        <w:t>les correspondería atendiendo a su naturaleza jurídica, una concesión para uso público.</w:t>
      </w:r>
    </w:p>
    <w:p w:rsidR="00B05625" w:rsidRPr="002F215F" w:rsidRDefault="001409BF" w:rsidP="00B05625">
      <w:pPr>
        <w:spacing w:before="240" w:line="276" w:lineRule="auto"/>
        <w:jc w:val="both"/>
        <w:rPr>
          <w:rFonts w:ascii="ITC Avant Garde" w:eastAsia="Calibri" w:hAnsi="ITC Avant Garde" w:cs="Times New Roman"/>
          <w:bCs/>
        </w:rPr>
      </w:pPr>
      <w:r w:rsidRPr="002F215F">
        <w:rPr>
          <w:rFonts w:ascii="ITC Avant Garde" w:eastAsia="Times New Roman" w:hAnsi="ITC Avant Garde" w:cs="Times New Roman"/>
          <w:bCs/>
          <w:lang w:eastAsia="es-MX"/>
        </w:rPr>
        <w:t>En este tenor y al</w:t>
      </w:r>
      <w:r w:rsidRPr="002F215F">
        <w:rPr>
          <w:rFonts w:ascii="ITC Avant Garde" w:eastAsia="Calibri" w:hAnsi="ITC Avant Garde" w:cs="Times New Roman"/>
          <w:bCs/>
        </w:rPr>
        <w:t xml:space="preserve"> haberse satisfecho los requisitos señalados en el Considerando Cuarto de la presente Resolución en relación con lo ordenado por la fracción IV del artículo Segundo Transitorio de los Lineamientos, esta autoridad determina que procede la transición de los permisos de mérito al régimen de concesión para uso público en los términos a que se refiere el artículo Décimo Séptimo Transitorio del Decreto de Ley.</w:t>
      </w:r>
    </w:p>
    <w:p w:rsidR="00B05625" w:rsidRPr="002F215F" w:rsidRDefault="001409BF" w:rsidP="00B05625">
      <w:pPr>
        <w:suppressAutoHyphens/>
        <w:spacing w:before="240" w:line="276" w:lineRule="auto"/>
        <w:ind w:right="-62"/>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Cs/>
          <w:lang w:eastAsia="es-MX"/>
        </w:rPr>
        <w:t xml:space="preserve">Con motivo de lo anterior, este Instituto </w:t>
      </w:r>
      <w:r w:rsidRPr="002F215F">
        <w:rPr>
          <w:rFonts w:ascii="ITC Avant Garde" w:eastAsia="Calibri" w:hAnsi="ITC Avant Garde" w:cs="Times New Roman"/>
        </w:rPr>
        <w:t xml:space="preserve">considera procedente </w:t>
      </w:r>
      <w:r w:rsidRPr="002F215F">
        <w:rPr>
          <w:rFonts w:ascii="ITC Avant Garde" w:eastAsia="Times New Roman" w:hAnsi="ITC Avant Garde" w:cs="Times New Roman"/>
          <w:lang w:val="es-ES_tradnl" w:eastAsia="es-ES"/>
        </w:rPr>
        <w:t>otorgar a favor de los Permisionarios una concesión para usar y aprovechar bandas de frecuencias del espectro radioeléctrico para uso público en términos del artículo 83 de la Ley.</w:t>
      </w:r>
    </w:p>
    <w:p w:rsidR="00B05625" w:rsidRPr="002F215F" w:rsidRDefault="001409BF" w:rsidP="00B05625">
      <w:pPr>
        <w:suppressAutoHyphens/>
        <w:spacing w:before="240" w:line="276" w:lineRule="auto"/>
        <w:ind w:right="-62"/>
        <w:jc w:val="both"/>
        <w:rPr>
          <w:rFonts w:ascii="ITC Avant Garde" w:eastAsia="Calibri" w:hAnsi="ITC Avant Garde" w:cs="Times New Roman"/>
          <w:bCs/>
        </w:rPr>
      </w:pPr>
      <w:r w:rsidRPr="002F215F">
        <w:rPr>
          <w:rFonts w:ascii="ITC Avant Garde" w:eastAsia="Calibri" w:hAnsi="ITC Avant Garde" w:cs="Times New Roman"/>
          <w:bCs/>
        </w:rPr>
        <w:t xml:space="preserve">Es importante resaltar que, tal y como se detalla en el </w:t>
      </w:r>
      <w:r w:rsidRPr="002F215F">
        <w:rPr>
          <w:rFonts w:ascii="ITC Avant Garde" w:eastAsia="Calibri" w:hAnsi="ITC Avant Garde" w:cs="Times New Roman"/>
          <w:b/>
          <w:bCs/>
        </w:rPr>
        <w:t>Anexo 1</w:t>
      </w:r>
      <w:r w:rsidRPr="002F215F">
        <w:rPr>
          <w:rFonts w:ascii="ITC Avant Garde" w:eastAsia="Calibri" w:hAnsi="ITC Avant Garde" w:cs="Times New Roman"/>
          <w:bCs/>
        </w:rPr>
        <w:t xml:space="preserve"> de la presente Resolución, el Pleno del Instituto resolvió previamente otorgar una concesión única </w:t>
      </w:r>
      <w:r w:rsidR="00116C99" w:rsidRPr="002F215F">
        <w:rPr>
          <w:rFonts w:ascii="ITC Avant Garde" w:eastAsia="Calibri" w:hAnsi="ITC Avant Garde" w:cs="Times New Roman"/>
          <w:bCs/>
        </w:rPr>
        <w:t xml:space="preserve">para </w:t>
      </w:r>
      <w:r w:rsidRPr="002F215F">
        <w:rPr>
          <w:rFonts w:ascii="ITC Avant Garde" w:eastAsia="Calibri" w:hAnsi="ITC Avant Garde" w:cs="Times New Roman"/>
          <w:bCs/>
        </w:rPr>
        <w:t>uso público a favor de los Permisionarios indicados en el citado Anexo, razón por la cual se exceptúa en este acto de la entrega de dicho título a los solicitantes.</w:t>
      </w:r>
    </w:p>
    <w:p w:rsidR="00B05625" w:rsidRPr="002F215F" w:rsidRDefault="001409BF" w:rsidP="00B05625">
      <w:pPr>
        <w:suppressAutoHyphens/>
        <w:spacing w:before="240" w:line="276" w:lineRule="auto"/>
        <w:ind w:right="-62"/>
        <w:jc w:val="both"/>
        <w:rPr>
          <w:rFonts w:ascii="ITC Avant Garde" w:eastAsia="Calibri" w:hAnsi="ITC Avant Garde" w:cs="Times New Roman"/>
          <w:bCs/>
        </w:rPr>
      </w:pPr>
      <w:r w:rsidRPr="002F215F">
        <w:rPr>
          <w:rFonts w:ascii="ITC Avant Garde" w:eastAsia="Calibri" w:hAnsi="ITC Avant Garde" w:cs="Times New Roman"/>
          <w:bCs/>
        </w:rPr>
        <w:t>Con lo anterior este órgano regulador determina la plena transición de los Permisos al régimen de concesión contenido en la Ley a través de los instrumentos jurídicos que permiten la prestación del servicio de interés general a la población.</w:t>
      </w:r>
    </w:p>
    <w:p w:rsidR="00B05625" w:rsidRPr="002F215F" w:rsidRDefault="001409BF" w:rsidP="00B05625">
      <w:pPr>
        <w:suppressAutoHyphens/>
        <w:spacing w:before="240" w:line="276" w:lineRule="auto"/>
        <w:ind w:right="-62"/>
        <w:jc w:val="both"/>
        <w:rPr>
          <w:rFonts w:ascii="ITC Avant Garde" w:eastAsia="Calibri" w:hAnsi="ITC Avant Garde" w:cs="Times New Roman"/>
          <w:bCs/>
        </w:rPr>
      </w:pPr>
      <w:r w:rsidRPr="002F215F">
        <w:rPr>
          <w:rFonts w:ascii="ITC Avant Garde" w:eastAsia="Calibri" w:hAnsi="ITC Avant Garde" w:cs="Times New Roman"/>
          <w:bCs/>
        </w:rPr>
        <w:t xml:space="preserve">El </w:t>
      </w:r>
      <w:r w:rsidRPr="002F215F">
        <w:rPr>
          <w:rFonts w:ascii="ITC Avant Garde" w:eastAsia="Calibri" w:hAnsi="ITC Avant Garde" w:cs="Times New Roman"/>
          <w:b/>
          <w:bCs/>
        </w:rPr>
        <w:t xml:space="preserve">Anexo 2 </w:t>
      </w:r>
      <w:r w:rsidRPr="002F215F">
        <w:rPr>
          <w:rFonts w:ascii="ITC Avant Garde" w:eastAsia="Calibri" w:hAnsi="ITC Avant Garde" w:cs="Times New Roman"/>
          <w:bCs/>
        </w:rPr>
        <w:t>de la presente Resolución, contiene el modelo del título de concesión de bandas de frecuencia del espectro radioeléctrico referido anteriormente, el cual establece los términos y condiciones a que estarán sujetos los concesionarios involucrados.</w:t>
      </w:r>
    </w:p>
    <w:p w:rsidR="00B05625" w:rsidRPr="002F215F" w:rsidRDefault="001409BF" w:rsidP="00B05625">
      <w:pPr>
        <w:spacing w:before="240" w:line="276" w:lineRule="auto"/>
        <w:jc w:val="both"/>
        <w:rPr>
          <w:rFonts w:ascii="ITC Avant Garde" w:eastAsia="Times New Roman" w:hAnsi="ITC Avant Garde" w:cs="Times New Roman"/>
          <w:bCs/>
          <w:lang w:eastAsia="es-MX"/>
        </w:rPr>
      </w:pPr>
      <w:r w:rsidRPr="002F215F">
        <w:rPr>
          <w:rFonts w:ascii="ITC Avant Garde" w:eastAsia="Times New Roman" w:hAnsi="ITC Avant Garde" w:cs="Times New Roman"/>
          <w:bCs/>
          <w:lang w:val="es-ES" w:eastAsia="es-MX"/>
        </w:rPr>
        <w:t>Acorde con lo previsto en el artículo Segundo Transitorio fracción VII de los Lineamientos, el otorgamiento de los títulos que con motivo de la presente Resolución se expidan, reconocerá la vigencia, características, condiciones y parámetros técnicos establecidos en los permisos de mérito y, en su caso, las modificaciones técnicas autorizadas. Ahora bien, considerando que en el presente acto se resuelve la prórroga de vigencia aunada a la transición, la vigencia de los títulos se determina conforme a lo señalado en el siguiente considerando.</w:t>
      </w:r>
    </w:p>
    <w:p w:rsidR="00B05625" w:rsidRPr="002F215F" w:rsidRDefault="001409BF" w:rsidP="00B05625">
      <w:pPr>
        <w:suppressAutoHyphens/>
        <w:spacing w:before="240" w:line="276" w:lineRule="auto"/>
        <w:ind w:right="-62"/>
        <w:jc w:val="both"/>
        <w:rPr>
          <w:rFonts w:ascii="ITC Avant Garde" w:hAnsi="ITC Avant Garde" w:cs="Times New Roman"/>
          <w:szCs w:val="18"/>
        </w:rPr>
      </w:pPr>
      <w:r w:rsidRPr="002F215F">
        <w:rPr>
          <w:rFonts w:ascii="ITC Avant Garde" w:eastAsia="Calibri" w:hAnsi="ITC Avant Garde" w:cs="Times New Roman"/>
          <w:bCs/>
          <w:lang w:val="es-ES_tradnl"/>
        </w:rPr>
        <w:lastRenderedPageBreak/>
        <w:t>Cabe hacer mención que, considerando la naturaleza jurídica y los fines de la concesión para uso público a otorgarse, se hace necesario que los concesionarios que presten el servicio de radiodifusión bajo esa modalidad, queden</w:t>
      </w:r>
      <w:r w:rsidRPr="002F215F">
        <w:rPr>
          <w:rFonts w:ascii="ITC Avant Garde" w:eastAsia="Calibri" w:hAnsi="ITC Avant Garde" w:cs="Times New Roman"/>
          <w:bCs/>
        </w:rPr>
        <w:t xml:space="preserve"> obligados a cumplir con lo establecido en los Lineamientos en relación con los principios establecidos en los artículos Décimo Transitorio del Decreto de Reforma Constitucional y 86 de la propia Ley, y a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consecuencia, el interesado a través del título de </w:t>
      </w:r>
      <w:r w:rsidRPr="002F215F">
        <w:rPr>
          <w:rFonts w:ascii="ITC Avant Garde" w:eastAsia="Calibri" w:hAnsi="ITC Avant Garde" w:cs="Times New Roman"/>
          <w:bCs/>
          <w:lang w:val="es-ES"/>
        </w:rPr>
        <w:t xml:space="preserve">concesión </w:t>
      </w:r>
      <w:r w:rsidRPr="002F215F">
        <w:rPr>
          <w:rFonts w:ascii="ITC Avant Garde" w:eastAsia="Calibri" w:hAnsi="ITC Avant Garde" w:cs="Times New Roman"/>
          <w:bCs/>
          <w:lang w:val="es-ES_tradnl"/>
        </w:rPr>
        <w:t>para usar y aprovechar bandas de frecuencias del espectro radioeléctrico</w:t>
      </w:r>
      <w:r w:rsidRPr="002F215F">
        <w:rPr>
          <w:rFonts w:ascii="ITC Avant Garde" w:eastAsia="Calibri" w:hAnsi="ITC Avant Garde" w:cs="Times New Roman"/>
          <w:b/>
          <w:bCs/>
          <w:lang w:val="es-ES_tradnl"/>
        </w:rPr>
        <w:t xml:space="preserve"> </w:t>
      </w:r>
      <w:r w:rsidRPr="002F215F">
        <w:rPr>
          <w:rFonts w:ascii="ITC Avant Garde" w:eastAsia="Calibri" w:hAnsi="ITC Avant Garde" w:cs="Times New Roman"/>
          <w:bCs/>
        </w:rPr>
        <w:t xml:space="preserve">para la prestación del servicio público de radiodifusión correspondiente deberá observar de manera permanente durante la vigencia de la concesión los principios señalados que garantizan el carácter de uso público en la prestación de servicios de radiodifusión a que se refieren los artículos anteriormente citados. </w:t>
      </w:r>
    </w:p>
    <w:p w:rsidR="00B05625" w:rsidRPr="002F215F" w:rsidRDefault="001409BF" w:rsidP="00B05625">
      <w:pPr>
        <w:spacing w:before="240" w:line="276" w:lineRule="auto"/>
        <w:jc w:val="both"/>
        <w:rPr>
          <w:rFonts w:ascii="ITC Avant Garde" w:eastAsia="Times New Roman" w:hAnsi="ITC Avant Garde" w:cs="Times New Roman"/>
          <w:bCs/>
          <w:lang w:eastAsia="es-MX"/>
        </w:rPr>
      </w:pPr>
      <w:r w:rsidRPr="002F215F">
        <w:rPr>
          <w:rFonts w:ascii="ITC Avant Garde" w:eastAsia="Times New Roman" w:hAnsi="ITC Avant Garde" w:cs="Times New Roman"/>
          <w:bCs/>
          <w:lang w:eastAsia="es-MX"/>
        </w:rPr>
        <w:t xml:space="preserve">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 </w:t>
      </w:r>
    </w:p>
    <w:p w:rsidR="00B05625" w:rsidRPr="002F215F" w:rsidRDefault="001409BF" w:rsidP="00B05625">
      <w:pPr>
        <w:spacing w:before="240" w:line="276" w:lineRule="auto"/>
        <w:jc w:val="both"/>
        <w:rPr>
          <w:rFonts w:ascii="ITC Avant Garde" w:eastAsia="Times New Roman" w:hAnsi="ITC Avant Garde" w:cs="Times New Roman"/>
          <w:bCs/>
          <w:lang w:val="es-ES_tradnl" w:eastAsia="es-MX"/>
        </w:rPr>
      </w:pPr>
      <w:r w:rsidRPr="002F215F">
        <w:rPr>
          <w:rFonts w:ascii="ITC Avant Garde" w:eastAsia="Times New Roman" w:hAnsi="ITC Avant Garde" w:cs="Times New Roman"/>
          <w:bCs/>
          <w:lang w:val="es-ES_tradnl" w:eastAsia="es-MX"/>
        </w:rPr>
        <w:t xml:space="preserve">Derivado del contenido normativo de dicho artículo, en relación con los objetivos previstos en el párrafo segundo del artículo 86 de la Ley, es indispensable que los concesionarios observen el contenido de los Lineamientos sobre esta materia. En cualquier caso, el Instituto valorará los mecanismos presentados por los concesionarios y verificará que los mismos sean </w:t>
      </w:r>
      <w:r w:rsidRPr="002F215F">
        <w:rPr>
          <w:rFonts w:ascii="ITC Avant Garde" w:eastAsia="Calibri" w:hAnsi="ITC Avant Garde" w:cs="Times New Roman"/>
        </w:rPr>
        <w:t xml:space="preserve">suficientes para garantizar dichos objetivos. </w:t>
      </w:r>
      <w:r w:rsidRPr="002F215F">
        <w:rPr>
          <w:rFonts w:ascii="ITC Avant Garde" w:eastAsia="Times New Roman" w:hAnsi="ITC Avant Garde" w:cs="Times New Roman"/>
          <w:bCs/>
          <w:lang w:val="es-ES_tradnl" w:eastAsia="es-MX"/>
        </w:rPr>
        <w:t>Para lo anterior, contarán con un plazo de seis meses contados a partir del día siguiente a la fecha de entrega del título de concesión de espectro radioeléctrico para uso público, de conformidad con la fracción VIII del artículo Segundo Transitorio de dichos Lineamientos. En caso de que el Concesionario no dé cumplimiento a lo anterior, la concesión será revocada en términos previstos en la legislación aplicable. Los mecanismos para cumplir los principios a que alude el precepto legal en cita deberán ser observados por el concesionario durante la vigencia del título de concesión correspondiente.</w:t>
      </w:r>
    </w:p>
    <w:p w:rsidR="00B05625" w:rsidRPr="002F215F" w:rsidRDefault="001409BF" w:rsidP="00B05625">
      <w:pPr>
        <w:tabs>
          <w:tab w:val="left" w:pos="0"/>
        </w:tabs>
        <w:autoSpaceDE w:val="0"/>
        <w:autoSpaceDN w:val="0"/>
        <w:adjustRightInd w:val="0"/>
        <w:spacing w:before="240" w:line="276" w:lineRule="auto"/>
        <w:jc w:val="both"/>
        <w:rPr>
          <w:rFonts w:ascii="ITC Avant Garde" w:eastAsia="Times New Roman" w:hAnsi="ITC Avant Garde" w:cs="Arial"/>
          <w:bCs/>
          <w:lang w:eastAsia="es-MX"/>
        </w:rPr>
      </w:pPr>
      <w:r w:rsidRPr="002F215F">
        <w:rPr>
          <w:rFonts w:ascii="ITC Avant Garde" w:eastAsia="Times New Roman" w:hAnsi="ITC Avant Garde" w:cs="Arial"/>
          <w:b/>
          <w:bCs/>
          <w:kern w:val="1"/>
          <w:lang w:val="es-ES" w:eastAsia="ar-SA"/>
        </w:rPr>
        <w:lastRenderedPageBreak/>
        <w:t>SEXTO.- Vigencia de las concesiones para uso público</w:t>
      </w:r>
      <w:r w:rsidRPr="002F215F">
        <w:rPr>
          <w:rFonts w:ascii="ITC Avant Garde" w:eastAsia="Times New Roman" w:hAnsi="ITC Avant Garde" w:cs="Arial"/>
          <w:bCs/>
          <w:kern w:val="1"/>
          <w:lang w:val="es-ES" w:eastAsia="ar-SA"/>
        </w:rPr>
        <w:t>.</w:t>
      </w:r>
      <w:r w:rsidRPr="002F215F">
        <w:rPr>
          <w:rFonts w:ascii="ITC Avant Garde" w:eastAsia="Times New Roman" w:hAnsi="ITC Avant Garde" w:cs="Arial"/>
          <w:bCs/>
          <w:lang w:eastAsia="es-MX"/>
        </w:rPr>
        <w:t xml:space="preserve"> En términos de lo dispuesto por el artículo 83 de la Ley, la vigencia de las concesiones sobre el espectro radioeléctrico para el uso público será hasta por 15 (quince) años, en atención a que éstas buscan dar cumplimiento a los fines y atribuciones correspondientes a cada persona moral. En este sentido y atendiendo al Considerando Tercero de la presente Resolución en virtud del cual se consideró procedente la prórroga de los Permisos, la vigencia de las concesiones sobre el espectro radioeléctrico para uso público que con motivo de la presente Resolución se otorguen será de 15 (quince) años, esto se considera viable toda vez que no existe impedimento alguno para que el Instituto conforme a sus atribuciones conferidas establezca un nuevo periodo de vigencia de las concesiones a otorgar, ya que se trata de un nuevo marco de otorgamiento regulado de manera distinta al anterior marco legal.</w:t>
      </w:r>
    </w:p>
    <w:p w:rsidR="00B05625" w:rsidRPr="002F215F" w:rsidRDefault="001409BF" w:rsidP="00B05625">
      <w:pPr>
        <w:tabs>
          <w:tab w:val="left" w:pos="0"/>
        </w:tabs>
        <w:autoSpaceDE w:val="0"/>
        <w:autoSpaceDN w:val="0"/>
        <w:adjustRightInd w:val="0"/>
        <w:spacing w:before="240" w:line="276" w:lineRule="auto"/>
        <w:jc w:val="both"/>
        <w:rPr>
          <w:rFonts w:ascii="ITC Avant Garde" w:eastAsia="Times New Roman" w:hAnsi="ITC Avant Garde" w:cs="Arial"/>
          <w:bCs/>
          <w:lang w:eastAsia="es-MX"/>
        </w:rPr>
      </w:pPr>
      <w:r w:rsidRPr="002F215F">
        <w:rPr>
          <w:rFonts w:ascii="ITC Avant Garde" w:eastAsia="Times New Roman" w:hAnsi="ITC Avant Garde" w:cs="Arial"/>
          <w:bCs/>
          <w:lang w:eastAsia="es-MX"/>
        </w:rPr>
        <w:t>En términos de lo dispuesto por la fracción VI y VII del artículo Segundo Transitorio de los Lineamientos, y considerando que se resuelve en este acto los procedimientos de prórroga de vigencia y de transición al nuevo régimen, el título de concesión para usar y aprovechar bandas de frecuencias del espectro radioeléctrico</w:t>
      </w:r>
      <w:r w:rsidRPr="002F215F">
        <w:rPr>
          <w:rFonts w:ascii="ITC Avant Garde" w:eastAsia="Times New Roman" w:hAnsi="ITC Avant Garde" w:cs="Arial"/>
          <w:b/>
          <w:bCs/>
          <w:lang w:eastAsia="es-MX"/>
        </w:rPr>
        <w:t xml:space="preserve"> </w:t>
      </w:r>
      <w:r w:rsidRPr="002F215F">
        <w:rPr>
          <w:rFonts w:ascii="ITC Avant Garde" w:eastAsia="Times New Roman" w:hAnsi="ITC Avant Garde" w:cs="Arial"/>
          <w:bCs/>
          <w:lang w:eastAsia="es-MX"/>
        </w:rPr>
        <w:t xml:space="preserve">que con motivo de la transición al régimen de concesión se expida, reconocerá las características, condiciones y parámetros técnicos establecidos, y tendrá una vigencia de 15 (quince) años contados a partir del día siguiente de la fecha de vencimiento establecida en el permiso correspondiente. </w:t>
      </w:r>
    </w:p>
    <w:p w:rsidR="00B05625" w:rsidRPr="002F215F" w:rsidRDefault="001409BF" w:rsidP="00B05625">
      <w:pPr>
        <w:tabs>
          <w:tab w:val="left" w:pos="0"/>
        </w:tabs>
        <w:autoSpaceDE w:val="0"/>
        <w:autoSpaceDN w:val="0"/>
        <w:adjustRightInd w:val="0"/>
        <w:spacing w:before="240" w:line="276" w:lineRule="auto"/>
        <w:jc w:val="both"/>
        <w:rPr>
          <w:rFonts w:ascii="ITC Avant Garde" w:eastAsia="Calibri" w:hAnsi="ITC Avant Garde" w:cs="Times New Roman"/>
        </w:rPr>
      </w:pPr>
      <w:r w:rsidRPr="002F215F">
        <w:rPr>
          <w:rFonts w:ascii="ITC Avant Garde" w:eastAsia="Calibri" w:hAnsi="ITC Avant Garde" w:cs="Times New Roman"/>
        </w:rPr>
        <w:t xml:space="preserve">Lo anterior, en virtud de que dicho plazo máximo previsto en la Ley es congruente con la vigencia otorgada para las concesiones </w:t>
      </w:r>
      <w:r w:rsidR="00116C99" w:rsidRPr="002F215F">
        <w:rPr>
          <w:rFonts w:ascii="ITC Avant Garde" w:eastAsia="Calibri" w:hAnsi="ITC Avant Garde" w:cs="Times New Roman"/>
        </w:rPr>
        <w:t xml:space="preserve">para </w:t>
      </w:r>
      <w:r w:rsidRPr="002F215F">
        <w:rPr>
          <w:rFonts w:ascii="ITC Avant Garde" w:eastAsia="Calibri" w:hAnsi="ITC Avant Garde" w:cs="Times New Roman"/>
        </w:rPr>
        <w:t>uso público en materia de radiodifusión que el Instituto ha resuelto previamente a favor de otros entes y organismos públicos, lo cual refleja el trato equitativo en relación con las concesiones cuyo otorgamiento se resuelve en virtud de la presente Resolución.</w:t>
      </w:r>
    </w:p>
    <w:p w:rsidR="00B05625" w:rsidRPr="002F215F" w:rsidRDefault="001409BF" w:rsidP="00B05625">
      <w:pPr>
        <w:tabs>
          <w:tab w:val="left" w:pos="0"/>
        </w:tabs>
        <w:autoSpaceDE w:val="0"/>
        <w:autoSpaceDN w:val="0"/>
        <w:adjustRightInd w:val="0"/>
        <w:spacing w:before="240" w:line="276" w:lineRule="auto"/>
        <w:jc w:val="both"/>
        <w:rPr>
          <w:rFonts w:ascii="ITC Avant Garde" w:eastAsia="Calibri" w:hAnsi="ITC Avant Garde" w:cs="Tahoma"/>
          <w:bCs/>
          <w:lang w:eastAsia="es-MX"/>
        </w:rPr>
      </w:pPr>
      <w:r w:rsidRPr="002F215F">
        <w:rPr>
          <w:rFonts w:ascii="ITC Avant Garde" w:eastAsia="Times New Roman" w:hAnsi="ITC Avant Garde" w:cs="Times New Roman"/>
          <w:kern w:val="1"/>
          <w:lang w:val="es-ES" w:eastAsia="ar-SA"/>
        </w:rPr>
        <w:t>Por lo anterior, con fundamento en los artículos 27 párrafos cuarto y sexto; 28 párrafos décimo quinto, décimo sexto, décimo séptimo y décimo octavo de la Constitución Política de los Estados Unidos Mexicanos; Tercero fracción III y Décimo Transitorios del “</w:t>
      </w:r>
      <w:r w:rsidRPr="002F215F">
        <w:rPr>
          <w:rFonts w:ascii="ITC Avant Garde" w:eastAsia="Calibri" w:hAnsi="ITC Avant Garde" w:cs="Times New Roman"/>
          <w:lang w:eastAsia="es-MX"/>
        </w:rPr>
        <w:t xml:space="preserve">Decreto </w:t>
      </w:r>
      <w:r w:rsidRPr="002F215F">
        <w:rPr>
          <w:rFonts w:ascii="ITC Avant Garde" w:eastAsia="Times New Roman" w:hAnsi="ITC Avant Garde" w:cs="Times New Roman"/>
          <w:kern w:val="1"/>
          <w:lang w:val="es-ES" w:eastAsia="ar-SA"/>
        </w:rPr>
        <w:t>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Décimo Séptimo Transitorio del “</w:t>
      </w:r>
      <w:r w:rsidRPr="002F215F">
        <w:rPr>
          <w:rFonts w:ascii="ITC Avant Garde" w:eastAsia="Calibri" w:hAnsi="ITC Avant Garde" w:cs="Times New Roman"/>
          <w:bCs/>
          <w:lang w:eastAsia="es-MX"/>
        </w:rPr>
        <w:t xml:space="preserve">Decreto </w:t>
      </w:r>
      <w:r w:rsidRPr="002F215F">
        <w:rPr>
          <w:rFonts w:ascii="ITC Avant Garde" w:eastAsia="Times New Roman" w:hAnsi="ITC Avant Garde" w:cs="Times New Roman"/>
          <w:kern w:val="1"/>
          <w:lang w:eastAsia="ar-SA"/>
        </w:rPr>
        <w:t>por el que se expiden la Ley Federal de Telecomunicaciones y Radiodifusión, y la Ley del Sistema Público de Radiodifusión del Estado Mexicano; y se reforman, adicionan y derogan diversas disposiciones en materia de telecomunicaciones y radiodifusión”</w:t>
      </w:r>
      <w:r w:rsidRPr="002F215F">
        <w:rPr>
          <w:rFonts w:ascii="ITC Avant Garde" w:eastAsia="Times New Roman" w:hAnsi="ITC Avant Garde" w:cs="Times New Roman"/>
          <w:kern w:val="1"/>
          <w:lang w:val="es-ES" w:eastAsia="ar-SA"/>
        </w:rPr>
        <w:t xml:space="preserve">, publicado en el Diario Oficial de la Federación el 14 de julio de 2014; 1, 2, 9, fracción I, </w:t>
      </w:r>
      <w:r w:rsidRPr="002F215F">
        <w:rPr>
          <w:rFonts w:ascii="ITC Avant Garde" w:eastAsia="Times New Roman" w:hAnsi="ITC Avant Garde" w:cs="Times New Roman"/>
          <w:kern w:val="1"/>
          <w:lang w:val="es-ES" w:eastAsia="ar-SA"/>
        </w:rPr>
        <w:lastRenderedPageBreak/>
        <w:t xml:space="preserve">15 fracción IV,17 fracción I, 54, 55 fracción I, 75 párrafo segundo, 76 fracción II, 77, 83, 85, 86 y 114 de la Ley Federal de Telecomunicaciones y Radiodifusión; </w:t>
      </w:r>
      <w:r w:rsidRPr="002F215F">
        <w:rPr>
          <w:rFonts w:ascii="ITC Avant Garde" w:eastAsia="Times New Roman" w:hAnsi="ITC Avant Garde" w:cs="Times New Roman"/>
          <w:bCs/>
          <w:kern w:val="1"/>
          <w:lang w:eastAsia="ar-SA"/>
        </w:rPr>
        <w:t>Segundo Transitorio fracciones II, III, IV, V, VI, VII, VIII y IX de los Lineamientos Generales para el otorgamiento de concesiones a que se refiere el título cuarto de la Ley Federal de Telecomunicaciones y Radiodifusión, publicado en el Diario Oficial de la Federación el 24 de julio de 2015;</w:t>
      </w:r>
      <w:r w:rsidRPr="002F215F">
        <w:rPr>
          <w:rFonts w:ascii="ITC Avant Garde" w:eastAsia="Calibri" w:hAnsi="ITC Avant Garde" w:cs="Tahoma"/>
          <w:bCs/>
          <w:lang w:eastAsia="es-MX"/>
        </w:rPr>
        <w:t xml:space="preserve"> Condición Sexta de los Títulos de Permisos; 3, 13, </w:t>
      </w:r>
      <w:r w:rsidRPr="002F215F">
        <w:rPr>
          <w:rFonts w:ascii="ITC Avant Garde" w:eastAsia="Times New Roman" w:hAnsi="ITC Avant Garde" w:cs="Times New Roman"/>
          <w:bCs/>
          <w:kern w:val="1"/>
          <w:lang w:eastAsia="ar-SA"/>
        </w:rPr>
        <w:t xml:space="preserve">35 fracción I, 36, 38 y 57 fracción I de la Ley Federal de Procedimiento Administrativo, y </w:t>
      </w:r>
      <w:r w:rsidRPr="002F215F">
        <w:rPr>
          <w:rFonts w:ascii="ITC Avant Garde" w:eastAsia="Times New Roman" w:hAnsi="ITC Avant Garde" w:cs="Times New Roman"/>
          <w:lang w:eastAsia="es-ES"/>
        </w:rPr>
        <w:t>1, 4 fracción I, 6 fracciones I y XXXV</w:t>
      </w:r>
      <w:r w:rsidR="00643D18" w:rsidRPr="002F215F">
        <w:rPr>
          <w:rFonts w:ascii="ITC Avant Garde" w:eastAsia="Times New Roman" w:hAnsi="ITC Avant Garde" w:cs="Times New Roman"/>
          <w:lang w:eastAsia="es-ES"/>
        </w:rPr>
        <w:t>I</w:t>
      </w:r>
      <w:r w:rsidRPr="002F215F">
        <w:rPr>
          <w:rFonts w:ascii="ITC Avant Garde" w:eastAsia="Times New Roman" w:hAnsi="ITC Avant Garde" w:cs="Times New Roman"/>
          <w:lang w:eastAsia="es-ES"/>
        </w:rPr>
        <w:t xml:space="preserve">II, 32 y 34 fracciones I y II del </w:t>
      </w:r>
      <w:r w:rsidRPr="002F215F">
        <w:rPr>
          <w:rFonts w:ascii="ITC Avant Garde" w:eastAsia="Calibri" w:hAnsi="ITC Avant Garde" w:cs="Arial"/>
          <w:kern w:val="1"/>
          <w:lang w:eastAsia="ar-SA"/>
        </w:rPr>
        <w:t>Estatuto Orgánico</w:t>
      </w:r>
      <w:r w:rsidRPr="002F215F">
        <w:rPr>
          <w:rFonts w:ascii="ITC Avant Garde" w:eastAsia="Times New Roman" w:hAnsi="ITC Avant Garde" w:cs="Times New Roman"/>
          <w:lang w:eastAsia="es-ES"/>
        </w:rPr>
        <w:t xml:space="preserve"> del Instituto Federal de Telecomunicaciones</w:t>
      </w:r>
      <w:r w:rsidRPr="002F215F">
        <w:rPr>
          <w:rFonts w:ascii="ITC Avant Garde" w:eastAsia="Calibri" w:hAnsi="ITC Avant Garde" w:cs="Tahoma"/>
          <w:bCs/>
          <w:lang w:eastAsia="es-MX"/>
        </w:rPr>
        <w:t>; este órgano autónomo emite los siguientes:</w:t>
      </w:r>
    </w:p>
    <w:p w:rsidR="00B05625" w:rsidRPr="002F215F" w:rsidRDefault="001409BF" w:rsidP="00B05625">
      <w:pPr>
        <w:pStyle w:val="Ttulo2"/>
        <w:numPr>
          <w:ilvl w:val="5"/>
          <w:numId w:val="1"/>
        </w:numPr>
        <w:tabs>
          <w:tab w:val="clear" w:pos="1152"/>
        </w:tabs>
        <w:spacing w:after="240"/>
        <w:ind w:left="0" w:firstLine="0"/>
        <w:jc w:val="center"/>
        <w:rPr>
          <w:rFonts w:ascii="ITC Avant Garde" w:hAnsi="ITC Avant Garde"/>
          <w:b/>
          <w:color w:val="000000" w:themeColor="text1"/>
          <w:sz w:val="22"/>
          <w:szCs w:val="22"/>
        </w:rPr>
      </w:pPr>
      <w:r w:rsidRPr="002F215F">
        <w:rPr>
          <w:rFonts w:ascii="ITC Avant Garde" w:hAnsi="ITC Avant Garde"/>
          <w:b/>
          <w:color w:val="000000" w:themeColor="text1"/>
          <w:sz w:val="22"/>
          <w:szCs w:val="22"/>
        </w:rPr>
        <w:t>RESOLUTIVOS</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eastAsia="ar-SA"/>
        </w:rPr>
      </w:pPr>
      <w:r w:rsidRPr="002F215F">
        <w:rPr>
          <w:rFonts w:ascii="ITC Avant Garde" w:eastAsia="Times New Roman" w:hAnsi="ITC Avant Garde" w:cs="Times New Roman"/>
          <w:b/>
          <w:bCs/>
          <w:kern w:val="1"/>
          <w:lang w:eastAsia="ar-SA"/>
        </w:rPr>
        <w:t xml:space="preserve">PRIMERO.- </w:t>
      </w:r>
      <w:r w:rsidRPr="002F215F">
        <w:rPr>
          <w:rFonts w:ascii="ITC Avant Garde" w:eastAsia="Times New Roman" w:hAnsi="ITC Avant Garde" w:cs="Times New Roman"/>
          <w:bCs/>
          <w:kern w:val="1"/>
          <w:lang w:eastAsia="ar-SA"/>
        </w:rPr>
        <w:t xml:space="preserve">Se prorroga la vigencia de los permisos señalados en el </w:t>
      </w:r>
      <w:r w:rsidRPr="002F215F">
        <w:rPr>
          <w:rFonts w:ascii="ITC Avant Garde" w:eastAsia="Times New Roman" w:hAnsi="ITC Avant Garde" w:cs="Times New Roman"/>
          <w:b/>
          <w:bCs/>
          <w:kern w:val="1"/>
          <w:lang w:eastAsia="ar-SA"/>
        </w:rPr>
        <w:t>Anexo 1</w:t>
      </w:r>
      <w:r w:rsidRPr="002F215F">
        <w:rPr>
          <w:rFonts w:ascii="ITC Avant Garde" w:eastAsia="Times New Roman" w:hAnsi="ITC Avant Garde" w:cs="Times New Roman"/>
          <w:bCs/>
          <w:kern w:val="1"/>
          <w:lang w:eastAsia="ar-SA"/>
        </w:rPr>
        <w:t xml:space="preserve"> de la presente Resolución, a favor de las siguientes personas morales de carácter público, para </w:t>
      </w:r>
      <w:r w:rsidRPr="002F215F">
        <w:rPr>
          <w:rFonts w:ascii="ITC Avant Garde" w:eastAsia="Times New Roman" w:hAnsi="ITC Avant Garde" w:cs="Times New Roman"/>
          <w:lang w:eastAsia="es-MX"/>
        </w:rPr>
        <w:t>continuar prestando el servicio público</w:t>
      </w:r>
      <w:r w:rsidRPr="002F215F">
        <w:rPr>
          <w:rFonts w:ascii="ITC Avant Garde" w:eastAsia="Times New Roman" w:hAnsi="ITC Avant Garde" w:cs="Times New Roman"/>
          <w:bCs/>
          <w:kern w:val="1"/>
          <w:lang w:eastAsia="ar-SA"/>
        </w:rPr>
        <w:t xml:space="preserve"> de televisión digital terrestre.</w:t>
      </w:r>
    </w:p>
    <w:p w:rsidR="00B05625" w:rsidRPr="002F215F" w:rsidRDefault="001409BF" w:rsidP="00B05625">
      <w:pPr>
        <w:suppressAutoHyphens/>
        <w:spacing w:before="240" w:line="276" w:lineRule="auto"/>
        <w:ind w:right="-62"/>
        <w:jc w:val="center"/>
        <w:rPr>
          <w:rFonts w:ascii="ITC Avant Garde" w:eastAsia="Times New Roman" w:hAnsi="ITC Avant Garde" w:cs="Times New Roman"/>
          <w:b/>
          <w:bCs/>
          <w:kern w:val="1"/>
          <w:lang w:eastAsia="ar-SA"/>
        </w:rPr>
      </w:pPr>
      <w:r w:rsidRPr="002F215F">
        <w:rPr>
          <w:rFonts w:ascii="ITC Avant Garde" w:eastAsia="Times New Roman" w:hAnsi="ITC Avant Garde" w:cs="Times New Roman"/>
          <w:b/>
          <w:bCs/>
          <w:noProof/>
          <w:kern w:val="1"/>
          <w:lang w:eastAsia="es-MX"/>
        </w:rPr>
        <w:drawing>
          <wp:inline distT="0" distB="0" distL="0" distR="0" wp14:anchorId="68802D20" wp14:editId="1850030A">
            <wp:extent cx="4650453" cy="3933825"/>
            <wp:effectExtent l="0" t="0" r="0" b="0"/>
            <wp:docPr id="2" name="Imagen 2" descr="En una tabla de 6 columnas se proporciona para los 26 Permisionarios y Concesionarios la población, el distintivo de llamda, la banda y los canales analógicos. " title="Prorroga de vigencia autori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8157" cy="3948801"/>
                    </a:xfrm>
                    <a:prstGeom prst="rect">
                      <a:avLst/>
                    </a:prstGeom>
                    <a:noFill/>
                  </pic:spPr>
                </pic:pic>
              </a:graphicData>
            </a:graphic>
          </wp:inline>
        </w:drawing>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eastAsia="ar-SA"/>
        </w:rPr>
      </w:pPr>
      <w:r w:rsidRPr="002F215F">
        <w:rPr>
          <w:rFonts w:ascii="ITC Avant Garde" w:eastAsia="Times New Roman" w:hAnsi="ITC Avant Garde" w:cs="Times New Roman"/>
          <w:b/>
          <w:bCs/>
          <w:kern w:val="1"/>
          <w:lang w:eastAsia="ar-SA"/>
        </w:rPr>
        <w:t>SEGUNDO</w:t>
      </w:r>
      <w:r w:rsidRPr="002F215F">
        <w:rPr>
          <w:rFonts w:ascii="ITC Avant Garde" w:eastAsia="Times New Roman" w:hAnsi="ITC Avant Garde" w:cs="Times New Roman"/>
          <w:bCs/>
          <w:kern w:val="1"/>
          <w:lang w:eastAsia="ar-SA"/>
        </w:rPr>
        <w:t>.- Se autoriza</w:t>
      </w:r>
      <w:r w:rsidRPr="002F215F">
        <w:rPr>
          <w:rFonts w:ascii="ITC Avant Garde" w:eastAsia="Times New Roman" w:hAnsi="ITC Avant Garde" w:cs="Times New Roman"/>
          <w:b/>
          <w:bCs/>
          <w:kern w:val="1"/>
          <w:lang w:eastAsia="ar-SA"/>
        </w:rPr>
        <w:t xml:space="preserve"> </w:t>
      </w:r>
      <w:r w:rsidRPr="002F215F">
        <w:rPr>
          <w:rFonts w:ascii="ITC Avant Garde" w:eastAsia="Times New Roman" w:hAnsi="ITC Avant Garde" w:cs="Times New Roman"/>
          <w:bCs/>
          <w:kern w:val="1"/>
          <w:lang w:eastAsia="ar-SA"/>
        </w:rPr>
        <w:t>la transición de los permisos señalados en el Resolutivo Primero anterior, al régimen de concesión para uso público previsto en la Ley Federal de Telecomunicaciones y Radiodifusión.</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eastAsia="ar-SA"/>
        </w:rPr>
      </w:pPr>
      <w:r w:rsidRPr="002F215F">
        <w:rPr>
          <w:rFonts w:ascii="ITC Avant Garde" w:eastAsia="Times New Roman" w:hAnsi="ITC Avant Garde" w:cs="Times New Roman"/>
          <w:b/>
          <w:bCs/>
          <w:kern w:val="1"/>
          <w:lang w:eastAsia="ar-SA"/>
        </w:rPr>
        <w:lastRenderedPageBreak/>
        <w:t>TERCERO.-</w:t>
      </w:r>
      <w:r w:rsidRPr="002F215F">
        <w:rPr>
          <w:rFonts w:ascii="ITC Avant Garde" w:eastAsia="Times New Roman" w:hAnsi="ITC Avant Garde" w:cs="Times New Roman"/>
          <w:bCs/>
          <w:kern w:val="1"/>
          <w:lang w:eastAsia="ar-SA"/>
        </w:rPr>
        <w:t xml:space="preserve"> Para efectos de lo dispuesto en los Resolutivos Primero y Segundo anteriores, se otorga </w:t>
      </w:r>
      <w:r w:rsidRPr="002F215F">
        <w:rPr>
          <w:rFonts w:ascii="ITC Avant Garde" w:eastAsia="Calibri" w:hAnsi="ITC Avant Garde" w:cs="Times New Roman"/>
        </w:rPr>
        <w:t xml:space="preserve">a favor de cada solicitante, </w:t>
      </w:r>
      <w:r w:rsidRPr="002F215F">
        <w:rPr>
          <w:rFonts w:ascii="ITC Avant Garde" w:eastAsia="Times New Roman" w:hAnsi="ITC Avant Garde" w:cs="Times New Roman"/>
          <w:bCs/>
          <w:noProof/>
          <w:kern w:val="1"/>
          <w:lang w:val="es-ES" w:eastAsia="ar-SA"/>
        </w:rPr>
        <w:t xml:space="preserve">una concesión </w:t>
      </w:r>
      <w:r w:rsidR="00116C99" w:rsidRPr="002F215F">
        <w:rPr>
          <w:rFonts w:ascii="ITC Avant Garde" w:eastAsia="Times New Roman" w:hAnsi="ITC Avant Garde" w:cs="Times New Roman"/>
          <w:bCs/>
          <w:noProof/>
          <w:kern w:val="1"/>
          <w:lang w:val="es-ES" w:eastAsia="ar-SA"/>
        </w:rPr>
        <w:t xml:space="preserve">para </w:t>
      </w:r>
      <w:r w:rsidRPr="002F215F">
        <w:rPr>
          <w:rFonts w:ascii="ITC Avant Garde" w:eastAsia="Times New Roman" w:hAnsi="ITC Avant Garde" w:cs="Times New Roman"/>
          <w:bCs/>
          <w:noProof/>
          <w:kern w:val="1"/>
          <w:lang w:val="es-ES" w:eastAsia="ar-SA"/>
        </w:rPr>
        <w:t xml:space="preserve">uso público </w:t>
      </w:r>
      <w:r w:rsidRPr="002F215F">
        <w:rPr>
          <w:rFonts w:ascii="ITC Avant Garde" w:eastAsia="Times New Roman" w:hAnsi="ITC Avant Garde" w:cs="Times New Roman"/>
          <w:lang w:val="es-ES_tradnl" w:eastAsia="es-ES"/>
        </w:rPr>
        <w:t>para usar y aprovechar bandas de frecuencias del espectro radioeléctrico</w:t>
      </w:r>
      <w:r w:rsidRPr="002F215F">
        <w:rPr>
          <w:rFonts w:ascii="ITC Avant Garde" w:eastAsia="Times New Roman" w:hAnsi="ITC Avant Garde" w:cs="Times New Roman"/>
          <w:b/>
          <w:lang w:val="es-ES_tradnl" w:eastAsia="es-ES"/>
        </w:rPr>
        <w:t xml:space="preserve"> </w:t>
      </w:r>
      <w:r w:rsidRPr="002F215F">
        <w:rPr>
          <w:rFonts w:ascii="ITC Avant Garde" w:eastAsia="Times New Roman" w:hAnsi="ITC Avant Garde" w:cs="Times New Roman"/>
          <w:lang w:val="es-ES_tradnl" w:eastAsia="es-ES"/>
        </w:rPr>
        <w:t xml:space="preserve">con una vigencia de </w:t>
      </w:r>
      <w:r w:rsidRPr="002F215F">
        <w:rPr>
          <w:rFonts w:ascii="ITC Avant Garde" w:eastAsia="Times New Roman" w:hAnsi="ITC Avant Garde" w:cs="Times New Roman"/>
          <w:b/>
          <w:lang w:val="es-ES_tradnl" w:eastAsia="es-ES"/>
        </w:rPr>
        <w:t xml:space="preserve">15 (quince) años </w:t>
      </w:r>
      <w:r w:rsidRPr="002F215F">
        <w:rPr>
          <w:rFonts w:ascii="ITC Avant Garde" w:eastAsia="Times New Roman" w:hAnsi="ITC Avant Garde" w:cs="Times New Roman"/>
          <w:lang w:val="es-ES_tradnl" w:eastAsia="es-ES"/>
        </w:rPr>
        <w:t xml:space="preserve">contados </w:t>
      </w:r>
      <w:r w:rsidRPr="002F215F">
        <w:rPr>
          <w:rFonts w:ascii="ITC Avant Garde" w:eastAsia="Times New Roman" w:hAnsi="ITC Avant Garde" w:cs="Times New Roman"/>
          <w:bCs/>
          <w:kern w:val="1"/>
          <w:lang w:eastAsia="ar-SA"/>
        </w:rPr>
        <w:t xml:space="preserve">a partir del día siguiente de la fecha de vencimiento establecida en el permiso respectivo, para </w:t>
      </w:r>
      <w:r w:rsidRPr="002F215F">
        <w:rPr>
          <w:rFonts w:ascii="ITC Avant Garde" w:eastAsia="Calibri" w:hAnsi="ITC Avant Garde" w:cs="Times New Roman"/>
        </w:rPr>
        <w:t xml:space="preserve">la prestación del servicio público de </w:t>
      </w:r>
      <w:r w:rsidRPr="002F215F">
        <w:rPr>
          <w:rFonts w:ascii="ITC Avant Garde" w:eastAsia="Times New Roman" w:hAnsi="ITC Avant Garde" w:cs="Times New Roman"/>
          <w:bCs/>
          <w:kern w:val="1"/>
          <w:lang w:eastAsia="ar-SA"/>
        </w:rPr>
        <w:t xml:space="preserve">televisión digital terrestre a través del canal, distintivo de llamada, cobertura y vigencia indicados en el </w:t>
      </w:r>
      <w:r w:rsidRPr="002F215F">
        <w:rPr>
          <w:rFonts w:ascii="ITC Avant Garde" w:eastAsia="Times New Roman" w:hAnsi="ITC Avant Garde" w:cs="Times New Roman"/>
          <w:b/>
          <w:bCs/>
          <w:kern w:val="1"/>
          <w:lang w:eastAsia="ar-SA"/>
        </w:rPr>
        <w:t>Anexo 1</w:t>
      </w:r>
      <w:r w:rsidRPr="002F215F">
        <w:rPr>
          <w:rFonts w:ascii="ITC Avant Garde" w:eastAsia="Times New Roman" w:hAnsi="ITC Avant Garde" w:cs="Times New Roman"/>
          <w:bCs/>
          <w:kern w:val="1"/>
          <w:lang w:eastAsia="ar-SA"/>
        </w:rPr>
        <w:t>.</w:t>
      </w:r>
    </w:p>
    <w:p w:rsidR="00B05625" w:rsidRPr="002F215F" w:rsidRDefault="001409BF" w:rsidP="00B05625">
      <w:pPr>
        <w:suppressAutoHyphens/>
        <w:spacing w:before="240" w:line="276" w:lineRule="auto"/>
        <w:ind w:right="-62"/>
        <w:jc w:val="both"/>
        <w:rPr>
          <w:rFonts w:ascii="ITC Avant Garde" w:eastAsia="Calibri" w:hAnsi="ITC Avant Garde" w:cs="Times New Roman"/>
          <w:bCs/>
        </w:rPr>
      </w:pPr>
      <w:r w:rsidRPr="002F215F">
        <w:rPr>
          <w:rFonts w:ascii="ITC Avant Garde" w:eastAsia="Calibri" w:hAnsi="ITC Avant Garde" w:cs="Times New Roman"/>
          <w:bCs/>
        </w:rPr>
        <w:t>Los términos y condiciones a que estarán sujetos los concesionarios involucrados, se encuentran contenidos en el</w:t>
      </w:r>
      <w:r w:rsidRPr="002F215F">
        <w:rPr>
          <w:rFonts w:ascii="ITC Avant Garde" w:eastAsia="Calibri" w:hAnsi="ITC Avant Garde" w:cs="Times New Roman"/>
          <w:b/>
          <w:bCs/>
        </w:rPr>
        <w:t xml:space="preserve"> Anexo 2 </w:t>
      </w:r>
      <w:r w:rsidRPr="002F215F">
        <w:rPr>
          <w:rFonts w:ascii="ITC Avant Garde" w:eastAsia="Calibri" w:hAnsi="ITC Avant Garde" w:cs="Times New Roman"/>
          <w:bCs/>
        </w:rPr>
        <w:t>de la presente Resolución, que contiene el modelo del título de concesión de bandas de frecuencias del espectro radioeléctrico.</w:t>
      </w:r>
    </w:p>
    <w:p w:rsidR="00B05625" w:rsidRPr="002F215F" w:rsidRDefault="001409BF" w:rsidP="00B05625">
      <w:pPr>
        <w:spacing w:before="240" w:line="276" w:lineRule="auto"/>
        <w:jc w:val="both"/>
        <w:rPr>
          <w:rFonts w:ascii="ITC Avant Garde" w:eastAsia="Times New Roman" w:hAnsi="ITC Avant Garde" w:cs="Times New Roman"/>
          <w:bCs/>
          <w:kern w:val="1"/>
          <w:lang w:val="es-ES" w:eastAsia="ar-SA"/>
        </w:rPr>
      </w:pPr>
      <w:r w:rsidRPr="002F215F">
        <w:rPr>
          <w:rFonts w:ascii="ITC Avant Garde" w:eastAsia="Times New Roman" w:hAnsi="ITC Avant Garde" w:cs="Times New Roman"/>
          <w:b/>
          <w:bCs/>
          <w:kern w:val="1"/>
          <w:lang w:val="es-ES" w:eastAsia="ar-SA"/>
        </w:rPr>
        <w:t xml:space="preserve">CUARTO.- </w:t>
      </w:r>
      <w:r w:rsidRPr="002F215F">
        <w:rPr>
          <w:rFonts w:ascii="ITC Avant Garde" w:eastAsia="Times New Roman" w:hAnsi="ITC Avant Garde" w:cs="Times New Roman"/>
          <w:bCs/>
          <w:kern w:val="1"/>
          <w:lang w:val="es-ES" w:eastAsia="ar-SA"/>
        </w:rPr>
        <w:t xml:space="preserve">Los concesionarios referidos en el </w:t>
      </w:r>
      <w:r w:rsidRPr="002F215F">
        <w:rPr>
          <w:rFonts w:ascii="ITC Avant Garde" w:eastAsia="Times New Roman" w:hAnsi="ITC Avant Garde" w:cs="Times New Roman"/>
          <w:b/>
          <w:bCs/>
          <w:kern w:val="1"/>
          <w:lang w:val="es-ES" w:eastAsia="ar-SA"/>
        </w:rPr>
        <w:t>Anexo 1</w:t>
      </w:r>
      <w:r w:rsidRPr="002F215F">
        <w:rPr>
          <w:rFonts w:ascii="ITC Avant Garde" w:eastAsia="Times New Roman" w:hAnsi="ITC Avant Garde" w:cs="Times New Roman"/>
          <w:bCs/>
          <w:kern w:val="1"/>
          <w:lang w:val="es-ES" w:eastAsia="ar-SA"/>
        </w:rPr>
        <w:t>,</w:t>
      </w:r>
      <w:r w:rsidRPr="002F215F">
        <w:rPr>
          <w:rFonts w:ascii="ITC Avant Garde" w:eastAsia="Times New Roman" w:hAnsi="ITC Avant Garde" w:cs="Times New Roman"/>
          <w:bCs/>
          <w:kern w:val="1"/>
          <w:lang w:eastAsia="ar-SA"/>
        </w:rPr>
        <w:t xml:space="preserve"> </w:t>
      </w:r>
      <w:r w:rsidRPr="002F215F">
        <w:rPr>
          <w:rFonts w:ascii="ITC Avant Garde" w:eastAsia="Times New Roman" w:hAnsi="ITC Avant Garde" w:cs="Times New Roman"/>
          <w:bCs/>
          <w:kern w:val="1"/>
          <w:lang w:val="es-ES" w:eastAsia="ar-SA"/>
        </w:rPr>
        <w:t xml:space="preserve">quedan obligados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Dicha obligación deberá ser cumplida por el concesionario dentro del plazo de </w:t>
      </w:r>
      <w:r w:rsidRPr="002F215F">
        <w:rPr>
          <w:rFonts w:ascii="ITC Avant Garde" w:eastAsia="Times New Roman" w:hAnsi="ITC Avant Garde" w:cs="Times New Roman"/>
          <w:b/>
          <w:bCs/>
          <w:kern w:val="1"/>
          <w:u w:val="single"/>
          <w:lang w:val="es-ES" w:eastAsia="ar-SA"/>
        </w:rPr>
        <w:t>seis meses</w:t>
      </w:r>
      <w:r w:rsidRPr="002F215F">
        <w:rPr>
          <w:rFonts w:ascii="ITC Avant Garde" w:eastAsia="Times New Roman" w:hAnsi="ITC Avant Garde" w:cs="Times New Roman"/>
          <w:bCs/>
          <w:kern w:val="1"/>
          <w:lang w:val="es-ES" w:eastAsia="ar-SA"/>
        </w:rPr>
        <w:t xml:space="preserve"> contados a partir del día siguiente de la fecha de entrega de los títulos a que se refiere el Resolutivo Tercero.</w:t>
      </w:r>
      <w:r w:rsidRPr="002F215F">
        <w:rPr>
          <w:rFonts w:ascii="ITC Avant Garde" w:eastAsia="Times New Roman" w:hAnsi="ITC Avant Garde" w:cs="Times New Roman"/>
          <w:bCs/>
          <w:lang w:val="es-ES_tradnl" w:eastAsia="es-MX"/>
        </w:rPr>
        <w:t xml:space="preserve"> En caso de incumplimiento a lo anterior, la concesión les será revocada.</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val="es-ES" w:eastAsia="ar-SA"/>
        </w:rPr>
      </w:pPr>
      <w:r w:rsidRPr="002F215F">
        <w:rPr>
          <w:rFonts w:ascii="ITC Avant Garde" w:eastAsia="Times New Roman" w:hAnsi="ITC Avant Garde" w:cs="Times New Roman"/>
          <w:b/>
          <w:bCs/>
          <w:kern w:val="1"/>
          <w:lang w:val="es-ES" w:eastAsia="ar-SA"/>
        </w:rPr>
        <w:t xml:space="preserve">QUINTO.- </w:t>
      </w:r>
      <w:r w:rsidRPr="002F215F">
        <w:rPr>
          <w:rFonts w:ascii="ITC Avant Garde" w:eastAsia="Times New Roman" w:hAnsi="ITC Avant Garde" w:cs="Times New Roman"/>
          <w:bCs/>
          <w:kern w:val="1"/>
          <w:lang w:val="es-ES" w:eastAsia="ar-SA"/>
        </w:rPr>
        <w:t xml:space="preserve">Las concesiones para usar y aprovechar bandas de frecuencias del espectro radioeléctrico </w:t>
      </w:r>
      <w:r w:rsidR="00116C99" w:rsidRPr="002F215F">
        <w:rPr>
          <w:rFonts w:ascii="ITC Avant Garde" w:eastAsia="Times New Roman" w:hAnsi="ITC Avant Garde" w:cs="Times New Roman"/>
          <w:bCs/>
          <w:kern w:val="1"/>
          <w:lang w:val="es-ES" w:eastAsia="ar-SA"/>
        </w:rPr>
        <w:t xml:space="preserve">para </w:t>
      </w:r>
      <w:r w:rsidRPr="002F215F">
        <w:rPr>
          <w:rFonts w:ascii="ITC Avant Garde" w:eastAsia="Times New Roman" w:hAnsi="ITC Avant Garde" w:cs="Times New Roman"/>
          <w:bCs/>
          <w:kern w:val="1"/>
          <w:lang w:val="es-ES" w:eastAsia="ar-SA"/>
        </w:rPr>
        <w:t xml:space="preserve">uso público para la prestación del servicio público de televisión digital terrestre, objeto de la presente Resolución, </w:t>
      </w:r>
      <w:r w:rsidRPr="002F215F">
        <w:rPr>
          <w:rFonts w:ascii="ITC Avant Garde" w:eastAsia="Calibri" w:hAnsi="ITC Avant Garde" w:cs="Times New Roman"/>
        </w:rPr>
        <w:t xml:space="preserve">reconocen </w:t>
      </w:r>
      <w:r w:rsidRPr="002F215F">
        <w:rPr>
          <w:rFonts w:ascii="ITC Avant Garde" w:eastAsia="Times New Roman" w:hAnsi="ITC Avant Garde" w:cs="Times New Roman"/>
          <w:bCs/>
          <w:lang w:val="es-ES" w:eastAsia="es-MX"/>
        </w:rPr>
        <w:t>las características, condiciones y parámetros técnicos establecidos en los permisos de mérito y, en su caso, las modificaciones técnicas autorizadas.</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val="es-ES" w:eastAsia="ar-SA"/>
        </w:rPr>
      </w:pPr>
      <w:r w:rsidRPr="002F215F">
        <w:rPr>
          <w:rFonts w:ascii="ITC Avant Garde" w:eastAsia="Times New Roman" w:hAnsi="ITC Avant Garde" w:cs="Times New Roman"/>
          <w:b/>
          <w:bCs/>
          <w:kern w:val="1"/>
          <w:lang w:eastAsia="ar-SA"/>
        </w:rPr>
        <w:t>SEXTO</w:t>
      </w:r>
      <w:r w:rsidRPr="002F215F">
        <w:rPr>
          <w:rFonts w:ascii="ITC Avant Garde" w:eastAsia="Times New Roman" w:hAnsi="ITC Avant Garde" w:cs="Times New Roman"/>
          <w:bCs/>
          <w:kern w:val="1"/>
          <w:lang w:val="es-ES" w:eastAsia="ar-SA"/>
        </w:rPr>
        <w:t xml:space="preserve">.- </w:t>
      </w:r>
      <w:r w:rsidRPr="002F215F">
        <w:rPr>
          <w:rFonts w:ascii="ITC Avant Garde" w:eastAsia="Times New Roman" w:hAnsi="ITC Avant Garde" w:cs="Times New Roman"/>
          <w:bCs/>
          <w:kern w:val="1"/>
          <w:lang w:eastAsia="ar-SA"/>
        </w:rPr>
        <w:t xml:space="preserve">El Comisionado Presidente del Instituto, con base en las facultades que le confiere el artículo 14 fracción X del </w:t>
      </w:r>
      <w:r w:rsidRPr="002F215F">
        <w:rPr>
          <w:rFonts w:ascii="ITC Avant Garde" w:eastAsia="Times New Roman" w:hAnsi="ITC Avant Garde" w:cs="Times New Roman"/>
          <w:lang w:eastAsia="es-ES"/>
        </w:rPr>
        <w:t>Estatuto Orgánico del Instituto Federal de Telecomunicaciones</w:t>
      </w:r>
      <w:r w:rsidRPr="002F215F">
        <w:rPr>
          <w:rFonts w:ascii="ITC Avant Garde" w:eastAsia="Times New Roman" w:hAnsi="ITC Avant Garde" w:cs="Times New Roman"/>
          <w:bCs/>
          <w:kern w:val="1"/>
          <w:lang w:eastAsia="ar-SA"/>
        </w:rPr>
        <w:t xml:space="preserve">, suscribirá los títulos de concesión </w:t>
      </w:r>
      <w:r w:rsidRPr="002F215F">
        <w:rPr>
          <w:rFonts w:ascii="ITC Avant Garde" w:eastAsia="Times New Roman" w:hAnsi="ITC Avant Garde" w:cs="Times New Roman"/>
          <w:lang w:val="es-ES_tradnl" w:eastAsia="es-ES"/>
        </w:rPr>
        <w:t>para usar y aprovechar bandas de frecuencias del espectro radioeléctrico para uso público</w:t>
      </w:r>
      <w:r w:rsidRPr="002F215F">
        <w:rPr>
          <w:rFonts w:ascii="ITC Avant Garde" w:eastAsia="Times New Roman" w:hAnsi="ITC Avant Garde" w:cs="Times New Roman"/>
          <w:bCs/>
          <w:kern w:val="1"/>
          <w:lang w:eastAsia="ar-SA"/>
        </w:rPr>
        <w:t>, que se otorguen con motivo de la presente Resolución.</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eastAsia="ar-SA"/>
        </w:rPr>
      </w:pPr>
      <w:r w:rsidRPr="002F215F">
        <w:rPr>
          <w:rFonts w:ascii="ITC Avant Garde" w:eastAsia="Times New Roman" w:hAnsi="ITC Avant Garde" w:cs="Times New Roman"/>
          <w:b/>
          <w:bCs/>
          <w:kern w:val="1"/>
          <w:lang w:eastAsia="ar-SA"/>
        </w:rPr>
        <w:t xml:space="preserve">SÉPTIMO.- </w:t>
      </w:r>
      <w:r w:rsidRPr="002F215F">
        <w:rPr>
          <w:rFonts w:ascii="ITC Avant Garde" w:eastAsia="Times New Roman" w:hAnsi="ITC Avant Garde" w:cs="Times New Roman"/>
          <w:bCs/>
          <w:kern w:val="1"/>
          <w:lang w:eastAsia="ar-SA"/>
        </w:rPr>
        <w:t xml:space="preserve">Se instruye a la Unidad de Concesiones y Servicios a notificar personalmente a los concesionarios la presente Resolución, así como a realizar la entrega de los títulos de concesión </w:t>
      </w:r>
      <w:r w:rsidRPr="002F215F">
        <w:rPr>
          <w:rFonts w:ascii="ITC Avant Garde" w:eastAsia="Times New Roman" w:hAnsi="ITC Avant Garde" w:cs="Times New Roman"/>
          <w:bCs/>
          <w:kern w:val="1"/>
          <w:lang w:val="es-ES_tradnl" w:eastAsia="ar-SA"/>
        </w:rPr>
        <w:t>para usar y aprovechar bandas de frecuencias del espectro radioeléctrico para uso público,</w:t>
      </w:r>
      <w:r w:rsidRPr="002F215F">
        <w:rPr>
          <w:rFonts w:ascii="ITC Avant Garde" w:eastAsia="Times New Roman" w:hAnsi="ITC Avant Garde" w:cs="Times New Roman"/>
          <w:bCs/>
          <w:kern w:val="1"/>
          <w:lang w:eastAsia="ar-SA"/>
        </w:rPr>
        <w:t xml:space="preserve"> que se otorguen con motivo de la presente Resolución.</w:t>
      </w:r>
    </w:p>
    <w:p w:rsidR="00B05625" w:rsidRPr="002F215F" w:rsidRDefault="001409BF" w:rsidP="00B05625">
      <w:pPr>
        <w:suppressAutoHyphens/>
        <w:spacing w:before="240" w:line="276" w:lineRule="auto"/>
        <w:ind w:right="-62"/>
        <w:jc w:val="both"/>
        <w:rPr>
          <w:rFonts w:ascii="ITC Avant Garde" w:eastAsia="Times New Roman" w:hAnsi="ITC Avant Garde" w:cs="Times New Roman"/>
          <w:bCs/>
          <w:kern w:val="1"/>
          <w:lang w:eastAsia="ar-SA"/>
        </w:rPr>
      </w:pPr>
      <w:r w:rsidRPr="002F215F">
        <w:rPr>
          <w:rFonts w:ascii="ITC Avant Garde" w:eastAsia="Times New Roman" w:hAnsi="ITC Avant Garde" w:cs="Times New Roman"/>
          <w:b/>
          <w:bCs/>
          <w:kern w:val="1"/>
          <w:lang w:eastAsia="ar-SA"/>
        </w:rPr>
        <w:t>OCTAVO.-</w:t>
      </w:r>
      <w:r w:rsidRPr="002F215F">
        <w:rPr>
          <w:rFonts w:ascii="ITC Avant Garde" w:eastAsia="Times New Roman" w:hAnsi="ITC Avant Garde" w:cs="Times New Roman"/>
          <w:bCs/>
          <w:kern w:val="1"/>
          <w:lang w:eastAsia="ar-SA"/>
        </w:rPr>
        <w:t xml:space="preserve"> Inscríbanse en el Registro Público de Concesiones los títulos de concesión para usar y aprovechar bandas de frecuencias del espectro radioeléctrico para uso público </w:t>
      </w:r>
      <w:r w:rsidRPr="002F215F">
        <w:rPr>
          <w:rFonts w:ascii="ITC Avant Garde" w:eastAsia="Times New Roman" w:hAnsi="ITC Avant Garde" w:cs="Times New Roman"/>
          <w:bCs/>
          <w:kern w:val="1"/>
          <w:lang w:eastAsia="ar-SA"/>
        </w:rPr>
        <w:lastRenderedPageBreak/>
        <w:t>a que se refiere la presente Resolución, una vez que sean debidamente notificados y entregados a los interesados.</w:t>
      </w:r>
    </w:p>
    <w:p w:rsidR="00B05625" w:rsidRPr="002F215F" w:rsidRDefault="001409BF" w:rsidP="00B05625">
      <w:pPr>
        <w:spacing w:before="240" w:line="276" w:lineRule="auto"/>
        <w:jc w:val="both"/>
        <w:rPr>
          <w:rFonts w:ascii="ITC Avant Garde" w:hAnsi="ITC Avant Garde"/>
          <w:lang w:val="es-ES_tradnl" w:eastAsia="ar-SA"/>
        </w:rPr>
      </w:pPr>
      <w:r w:rsidRPr="002F215F">
        <w:rPr>
          <w:rFonts w:ascii="ITC Avant Garde" w:hAnsi="ITC Avant Garde"/>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B05625" w:rsidRPr="002F215F" w:rsidRDefault="00970DB8" w:rsidP="00B05625">
      <w:pPr>
        <w:pStyle w:val="Prrafodelista"/>
        <w:spacing w:before="240" w:line="240" w:lineRule="auto"/>
        <w:ind w:left="0"/>
        <w:jc w:val="both"/>
        <w:rPr>
          <w:rFonts w:ascii="ITC Avant Garde" w:hAnsi="ITC Avant Garde"/>
          <w:sz w:val="13"/>
          <w:szCs w:val="13"/>
        </w:rPr>
      </w:pPr>
      <w:r w:rsidRPr="002F215F">
        <w:rPr>
          <w:rFonts w:ascii="ITC Avant Garde" w:hAnsi="ITC Avant Garde"/>
          <w:sz w:val="13"/>
          <w:szCs w:val="13"/>
        </w:rPr>
        <w:t xml:space="preserve">La presente Resolución fue aprobada por el Pleno del Instituto Federal de Telecomunicaciones en su IV Sesión Ordinaria celebrada el 8 de febrero de 2017, en lo general por mayoría de votos de los Comisionados Gabriel Oswaldo Contreras Saldívar, Ernesto Estrada González, Adriana Sofía Labardini Inzunza, María Elena Estavillo Flores, Mario Germán Fromow Rangel y Javier Juárez Mojica; y con el voto en contra del Comisionado Adolfo Cuevas Teja, quien presentará un voto por escrito. </w:t>
      </w:r>
    </w:p>
    <w:p w:rsidR="00B05625" w:rsidRPr="002F215F" w:rsidRDefault="00970DB8" w:rsidP="00B05625">
      <w:pPr>
        <w:pStyle w:val="Prrafodelista"/>
        <w:spacing w:before="240" w:line="240" w:lineRule="auto"/>
        <w:ind w:left="0"/>
        <w:jc w:val="both"/>
        <w:rPr>
          <w:rFonts w:ascii="ITC Avant Garde" w:hAnsi="ITC Avant Garde"/>
          <w:sz w:val="13"/>
          <w:szCs w:val="13"/>
        </w:rPr>
      </w:pPr>
      <w:r w:rsidRPr="002F215F">
        <w:rPr>
          <w:rFonts w:ascii="ITC Avant Garde" w:hAnsi="ITC Avant Garde"/>
          <w:sz w:val="13"/>
          <w:szCs w:val="13"/>
        </w:rPr>
        <w:t>En lo particular, la Comisionada Adriana Sofía Labardini Inzunza manifestó voto en contra de los Resolutivos Primero, Tercero, Cuarto, Quinto, Sexto, Séptimo y Octavo, en lo relativo al otorgamiento de las prórrogas, por no cumplir con los requisitos que establece el artículo 114 de la Ley Federal de Telecomunicaciones y Radiodifusión, en lo referente al cumplimiento de obligaciones.</w:t>
      </w:r>
    </w:p>
    <w:p w:rsidR="00B05625" w:rsidRPr="002F215F" w:rsidRDefault="00970DB8" w:rsidP="00B05625">
      <w:pPr>
        <w:pStyle w:val="Prrafodelista"/>
        <w:spacing w:before="240" w:line="240" w:lineRule="auto"/>
        <w:ind w:left="0"/>
        <w:jc w:val="both"/>
        <w:rPr>
          <w:rFonts w:ascii="ITC Avant Garde" w:hAnsi="ITC Avant Garde"/>
          <w:sz w:val="13"/>
          <w:szCs w:val="13"/>
        </w:rPr>
      </w:pPr>
      <w:r w:rsidRPr="002F215F">
        <w:rPr>
          <w:rFonts w:ascii="ITC Avant Garde" w:hAnsi="ITC Avant Garde"/>
          <w:sz w:val="13"/>
          <w:szCs w:val="13"/>
        </w:rPr>
        <w:t>La Comisionada María Elena Estavillo Flores manifestó voto en contra del otorgamiento de prórroga correspondiente a los numerales 3 a 26 listados en el Resolutivo Primero, al encontrarse en una situación distinta de los numerales 1 y 2, y no contar con elementos para valorar el cumplimiento de sus obligaciones, requisito establecido en el artículo 114 de la Ley Federal de Telecomunicaciones y Radiodifusión.</w:t>
      </w:r>
    </w:p>
    <w:p w:rsidR="00E306AF" w:rsidRPr="002F215F" w:rsidRDefault="00970DB8" w:rsidP="00B05625">
      <w:pPr>
        <w:pStyle w:val="Prrafodelista"/>
        <w:spacing w:before="240" w:line="240" w:lineRule="auto"/>
        <w:ind w:left="0"/>
        <w:jc w:val="both"/>
        <w:rPr>
          <w:rFonts w:ascii="ITC Avant Garde" w:hAnsi="ITC Avant Garde"/>
          <w:sz w:val="13"/>
          <w:szCs w:val="13"/>
        </w:rPr>
        <w:sectPr w:rsidR="00E306AF" w:rsidRPr="002F215F" w:rsidSect="00C57850">
          <w:headerReference w:type="even" r:id="rId10"/>
          <w:footerReference w:type="default" r:id="rId11"/>
          <w:headerReference w:type="first" r:id="rId12"/>
          <w:pgSz w:w="12240" w:h="15840"/>
          <w:pgMar w:top="2268" w:right="1418" w:bottom="1418" w:left="1418" w:header="709" w:footer="709" w:gutter="0"/>
          <w:cols w:space="708"/>
          <w:docGrid w:linePitch="360"/>
        </w:sectPr>
      </w:pPr>
      <w:r w:rsidRPr="002F215F">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P/IFT/080217/70.</w:t>
      </w:r>
    </w:p>
    <w:p w:rsidR="001F46B2" w:rsidRPr="002F215F" w:rsidRDefault="001F46B2" w:rsidP="00B05625">
      <w:pPr>
        <w:pStyle w:val="Ttulo1"/>
        <w:jc w:val="center"/>
        <w:rPr>
          <w:rFonts w:ascii="ITC Avant Garde" w:eastAsia="Times New Roman" w:hAnsi="ITC Avant Garde"/>
          <w:b/>
          <w:color w:val="000000" w:themeColor="text1"/>
          <w:sz w:val="22"/>
          <w:szCs w:val="22"/>
          <w:lang w:eastAsia="es-MX"/>
        </w:rPr>
      </w:pPr>
      <w:r w:rsidRPr="002F215F">
        <w:rPr>
          <w:rFonts w:ascii="ITC Avant Garde" w:eastAsia="Times New Roman" w:hAnsi="ITC Avant Garde"/>
          <w:b/>
          <w:color w:val="000000" w:themeColor="text1"/>
          <w:sz w:val="22"/>
          <w:szCs w:val="22"/>
          <w:lang w:eastAsia="es-MX"/>
        </w:rPr>
        <w:lastRenderedPageBreak/>
        <w:t>ANEXO 1</w:t>
      </w:r>
    </w:p>
    <w:p w:rsidR="001F46B2" w:rsidRPr="002F215F" w:rsidRDefault="001F46B2" w:rsidP="00B05625">
      <w:pPr>
        <w:spacing w:before="240"/>
        <w:ind w:right="-1171"/>
        <w:jc w:val="both"/>
        <w:rPr>
          <w:b/>
        </w:rPr>
      </w:pPr>
      <w:r w:rsidRPr="002F215F">
        <w:rPr>
          <w:b/>
        </w:rPr>
        <w:t>RESOLUCIÓN MEDIANTE LA CUAL EL PLENO DEL INSTITUTO FEDERAL DE TELECOMUNICACIONES PRORROGA LA VIGENCIA Y AUTORIZA LA TRANSICIÓN AL RÉGIMEN DE CONCESIÓN DE LA LEY FEDERAL DE TELECOMUNICACIONES Y RADIODIFUSIÓN DE VEINTISÉIS PERMISOS DE RADIODIFUSIÓN, PARA LO CUAL OTORGA RESPECTIVAMENTE, UNA CONCESIÓN PARA USAR Y APROVECHAR BANDAS DE FRECUENCIAS DEL ESPECTRO RADIOELÉCTRICO PARA USO PÚBLICO PARA LA PRESTACIÓN DEL SERVICIO DE TELEVISIÓN DIGITAL TERRESTRE</w:t>
      </w:r>
    </w:p>
    <w:tbl>
      <w:tblPr>
        <w:tblStyle w:val="Tablaconcuadrcula"/>
        <w:tblW w:w="13994" w:type="dxa"/>
        <w:tblInd w:w="-289" w:type="dxa"/>
        <w:tblLayout w:type="fixed"/>
        <w:tblLook w:val="04A0" w:firstRow="1" w:lastRow="0" w:firstColumn="1" w:lastColumn="0" w:noHBand="0" w:noVBand="1"/>
        <w:tblCaption w:val="Anexo 1"/>
        <w:tblDescription w:val="Describe en una tabla de 22 columnas por 26 filas, los datos específicos de cada uno de los títulos de concesión que se otorgan."/>
      </w:tblPr>
      <w:tblGrid>
        <w:gridCol w:w="568"/>
        <w:gridCol w:w="1221"/>
        <w:gridCol w:w="617"/>
        <w:gridCol w:w="471"/>
        <w:gridCol w:w="411"/>
        <w:gridCol w:w="643"/>
        <w:gridCol w:w="544"/>
        <w:gridCol w:w="519"/>
        <w:gridCol w:w="477"/>
        <w:gridCol w:w="500"/>
        <w:gridCol w:w="692"/>
        <w:gridCol w:w="888"/>
        <w:gridCol w:w="530"/>
        <w:gridCol w:w="530"/>
        <w:gridCol w:w="631"/>
        <w:gridCol w:w="631"/>
        <w:gridCol w:w="873"/>
        <w:gridCol w:w="637"/>
        <w:gridCol w:w="637"/>
        <w:gridCol w:w="674"/>
        <w:gridCol w:w="698"/>
        <w:gridCol w:w="602"/>
      </w:tblGrid>
      <w:tr w:rsidR="00B435BE" w:rsidRPr="002F215F" w:rsidTr="005175A3">
        <w:trPr>
          <w:trHeight w:val="20"/>
          <w:tblHeader/>
        </w:trPr>
        <w:tc>
          <w:tcPr>
            <w:tcW w:w="568"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bookmarkStart w:id="0" w:name="_GoBack"/>
            <w:r w:rsidRPr="002F215F">
              <w:rPr>
                <w:rFonts w:ascii="ITC Avant Garde" w:eastAsia="Times New Roman" w:hAnsi="ITC Avant Garde" w:cs="Times New Roman"/>
                <w:b/>
                <w:bCs/>
                <w:color w:val="000000"/>
                <w:sz w:val="6"/>
                <w:szCs w:val="6"/>
                <w:lang w:eastAsia="es-MX"/>
              </w:rPr>
              <w:t>Número</w:t>
            </w:r>
          </w:p>
        </w:tc>
        <w:tc>
          <w:tcPr>
            <w:tcW w:w="1221"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Concesionario/Permisionario</w:t>
            </w:r>
          </w:p>
        </w:tc>
        <w:tc>
          <w:tcPr>
            <w:tcW w:w="617"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Población Principal a Servir</w:t>
            </w:r>
          </w:p>
        </w:tc>
        <w:tc>
          <w:tcPr>
            <w:tcW w:w="471"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Distintivo de llamada</w:t>
            </w:r>
          </w:p>
        </w:tc>
        <w:tc>
          <w:tcPr>
            <w:tcW w:w="411"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Banda</w:t>
            </w:r>
          </w:p>
        </w:tc>
        <w:tc>
          <w:tcPr>
            <w:tcW w:w="643"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Canal Analógico/TDT</w:t>
            </w:r>
          </w:p>
        </w:tc>
        <w:tc>
          <w:tcPr>
            <w:tcW w:w="544"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Canal Analógico/TDT</w:t>
            </w:r>
          </w:p>
        </w:tc>
        <w:tc>
          <w:tcPr>
            <w:tcW w:w="519"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Fecha de expedición del Título del Permiso o del Título de Refrendo</w:t>
            </w:r>
          </w:p>
        </w:tc>
        <w:tc>
          <w:tcPr>
            <w:tcW w:w="477"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Vigencia del Título de Permiso o del Título de Refrendo</w:t>
            </w:r>
          </w:p>
        </w:tc>
        <w:tc>
          <w:tcPr>
            <w:tcW w:w="500"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Fecha de Solicitud de Prórroga</w:t>
            </w:r>
          </w:p>
        </w:tc>
        <w:tc>
          <w:tcPr>
            <w:tcW w:w="692"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Fecha de Solicitud de Transición</w:t>
            </w:r>
          </w:p>
        </w:tc>
        <w:tc>
          <w:tcPr>
            <w:tcW w:w="888"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Inicio de vigencia del Título de Concesión otorgado con motivo de la Prórroga y Transición</w:t>
            </w:r>
          </w:p>
        </w:tc>
        <w:tc>
          <w:tcPr>
            <w:tcW w:w="530"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Término de vigencia del Título de Concesión otorgado con motivo de la Prórroga y Transición</w:t>
            </w:r>
          </w:p>
        </w:tc>
        <w:tc>
          <w:tcPr>
            <w:tcW w:w="530"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Uso de la Concesión</w:t>
            </w:r>
          </w:p>
        </w:tc>
        <w:tc>
          <w:tcPr>
            <w:tcW w:w="631"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Manifestación expresa del Solicitante respecto a la operación de la estación</w:t>
            </w:r>
          </w:p>
        </w:tc>
        <w:tc>
          <w:tcPr>
            <w:tcW w:w="631"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Manifestación expresa del Solicitante respecto a las condiciones que se establecerán en el título de concesión</w:t>
            </w:r>
          </w:p>
        </w:tc>
        <w:tc>
          <w:tcPr>
            <w:tcW w:w="873"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Autorización canal digital</w:t>
            </w:r>
          </w:p>
        </w:tc>
        <w:tc>
          <w:tcPr>
            <w:tcW w:w="637"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Centro de la zona de Cobertura (coordenadas geográficas: LN)</w:t>
            </w:r>
          </w:p>
        </w:tc>
        <w:tc>
          <w:tcPr>
            <w:tcW w:w="637"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Centro de la zona de Cobertura (coordenadas geográficas: LW)</w:t>
            </w:r>
          </w:p>
        </w:tc>
        <w:tc>
          <w:tcPr>
            <w:tcW w:w="674"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Zona de Cobertura-UCS</w:t>
            </w:r>
          </w:p>
        </w:tc>
        <w:tc>
          <w:tcPr>
            <w:tcW w:w="698"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Procede el otorgamiento de la Concesión Única por 30 años contados a partir de la fecha de vencimiento del permiso correspondiente</w:t>
            </w:r>
          </w:p>
        </w:tc>
        <w:tc>
          <w:tcPr>
            <w:tcW w:w="602" w:type="dxa"/>
            <w:shd w:val="clear" w:color="auto" w:fill="A6A6A6" w:themeFill="background1" w:themeFillShade="A6"/>
            <w:vAlign w:val="center"/>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Oportunidad en la presentación de la solicitud de prórroga</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NUEVO LEÓN</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MONTERREY, NUEVO LEÓN</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XHMNL</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28</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(554-560)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23 de mayo de 2005 al 22 de mayo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02-jul-15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19-ago-15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23-may-17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23-may-32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CFT/D01/STP/7891/13 de fecha 10 de septiembre de 2013</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25° 37' 35''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100°19' 13''</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dos sectores circulares, cuyo origen es el centro de la zona de cobertura conforme se especifica enseguida: 1</w:t>
            </w:r>
            <w:r w:rsidR="005175A3" w:rsidRPr="002F215F">
              <w:rPr>
                <w:rFonts w:ascii="ITC Avant Garde" w:eastAsia="Times New Roman" w:hAnsi="ITC Avant Garde" w:cs="Times New Roman"/>
                <w:sz w:val="4"/>
                <w:szCs w:val="4"/>
                <w:lang w:eastAsia="es-MX"/>
              </w:rPr>
              <w:t>)</w:t>
            </w:r>
            <w:r w:rsidRPr="002F215F">
              <w:rPr>
                <w:rFonts w:ascii="ITC Avant Garde" w:eastAsia="Times New Roman" w:hAnsi="ITC Avant Garde" w:cs="Times New Roman"/>
                <w:sz w:val="4"/>
                <w:szCs w:val="4"/>
                <w:lang w:eastAsia="es-MX"/>
              </w:rPr>
              <w:t xml:space="preserve"> Un radio de 60.00 km con una abertura de 225° a partir de los 285° en dirección del giro de las manecillas del reloj considerando el Norte geográfico como origen, y</w:t>
            </w:r>
            <w:r w:rsidR="005175A3" w:rsidRPr="002F215F">
              <w:rPr>
                <w:rFonts w:ascii="ITC Avant Garde" w:eastAsia="Times New Roman" w:hAnsi="ITC Avant Garde" w:cs="Times New Roman"/>
                <w:sz w:val="4"/>
                <w:szCs w:val="4"/>
                <w:lang w:eastAsia="es-MX"/>
              </w:rPr>
              <w:t xml:space="preserve"> </w:t>
            </w:r>
            <w:r w:rsidRPr="002F215F">
              <w:rPr>
                <w:rFonts w:ascii="ITC Avant Garde" w:eastAsia="Times New Roman" w:hAnsi="ITC Avant Garde" w:cs="Times New Roman"/>
                <w:sz w:val="4"/>
                <w:szCs w:val="4"/>
                <w:lang w:eastAsia="es-MX"/>
              </w:rPr>
              <w:t>2</w:t>
            </w:r>
            <w:r w:rsidR="005175A3" w:rsidRPr="002F215F">
              <w:rPr>
                <w:rFonts w:ascii="ITC Avant Garde" w:eastAsia="Times New Roman" w:hAnsi="ITC Avant Garde" w:cs="Times New Roman"/>
                <w:sz w:val="4"/>
                <w:szCs w:val="4"/>
                <w:lang w:eastAsia="es-MX"/>
              </w:rPr>
              <w:t>)</w:t>
            </w:r>
            <w:r w:rsidRPr="002F215F">
              <w:rPr>
                <w:rFonts w:ascii="ITC Avant Garde" w:eastAsia="Times New Roman" w:hAnsi="ITC Avant Garde" w:cs="Times New Roman"/>
                <w:sz w:val="4"/>
                <w:szCs w:val="4"/>
                <w:lang w:eastAsia="es-MX"/>
              </w:rPr>
              <w:t xml:space="preserve"> Un radio de 15.00 km con una abertura de 135° a partir de los 150°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XHGAL-FM Acuerdo P/IFT/160616/318</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NUEVO LEÓN</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PARAS, NUEVO LEÓN</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XHPRS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27</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(548-554)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10 de octubre de 2005 al 9 de octubre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01-jul-15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19-ago-15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10-oct-17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10-oct-32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IFT/223/UCS/1442/2015 de fecha 3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26°30' 00''</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99°31' 26''</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35.00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XHGAL-FM Acuerdo P/IFT/160616/318</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3</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ARIVECHI,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XHACH</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22</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(518-524)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IFT/223/UCS/1525/2015 de fecha 3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28°55'37''</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109°11'20''</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w:t>
            </w:r>
            <w:r w:rsidRPr="002F215F">
              <w:rPr>
                <w:rFonts w:ascii="ITC Avant Garde" w:eastAsia="Times New Roman" w:hAnsi="ITC Avant Garde" w:cs="Times New Roman"/>
                <w:sz w:val="4"/>
                <w:szCs w:val="4"/>
                <w:lang w:eastAsia="es-MX"/>
              </w:rPr>
              <w:br/>
            </w:r>
            <w:r w:rsidRPr="002F215F">
              <w:rPr>
                <w:rFonts w:ascii="ITC Avant Garde" w:eastAsia="Times New Roman" w:hAnsi="ITC Avant Garde" w:cs="Times New Roman"/>
                <w:sz w:val="4"/>
                <w:szCs w:val="4"/>
                <w:lang w:eastAsia="es-MX"/>
              </w:rPr>
              <w:br/>
              <w:t>1) Un radio de 15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X</w:t>
            </w:r>
            <w:r w:rsidRPr="002F215F">
              <w:rPr>
                <w:rFonts w:ascii="Calibri" w:eastAsia="Times New Roman" w:hAnsi="Calibri" w:cs="Times New Roman"/>
                <w:color w:val="000000"/>
                <w:sz w:val="6"/>
                <w:szCs w:val="6"/>
                <w:lang w:eastAsia="es-MX"/>
              </w:rPr>
              <w:b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4</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CABORCA,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XHCAS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36</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(602-608)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IFT/223/UCS/1507/2015 de fecha 3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30°43'38''</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112°09'18''</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50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5</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DIVISADEROS,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XHDVS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16</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(482-488)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IFT/223/UCS/1848/2016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29°36'53.38"</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109°28'12.62"</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35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6</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FRONTERAS,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XHFAS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19</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(500-506)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IFT/223/UCS/1853/2016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30°53'40.65"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109°34'05.92"</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20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7</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HUASABAS,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XHHAS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18</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(494-500)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IFT/223/UCS/1833/2016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29°54'38.54"</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109°18'03.64"</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15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8</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IMURIS,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XHIMS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19</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(500-506)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IFT/223/UCS/1607/2015 de fecha 11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30°47'36''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110°50'47''</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15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9</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MAZATÁN,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XHMZN</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(590-596)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IFT/223/UCS/1832/2016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29°00'19.39''</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110°08'45.33''</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w:t>
            </w:r>
            <w:r w:rsidR="005175A3" w:rsidRPr="002F215F">
              <w:rPr>
                <w:rFonts w:ascii="ITC Avant Garde" w:eastAsia="Times New Roman" w:hAnsi="ITC Avant Garde" w:cs="Times New Roman"/>
                <w:sz w:val="4"/>
                <w:szCs w:val="4"/>
                <w:lang w:eastAsia="es-MX"/>
              </w:rPr>
              <w:t xml:space="preserve"> </w:t>
            </w:r>
            <w:r w:rsidRPr="002F215F">
              <w:rPr>
                <w:rFonts w:ascii="ITC Avant Garde" w:eastAsia="Times New Roman" w:hAnsi="ITC Avant Garde" w:cs="Times New Roman"/>
                <w:sz w:val="4"/>
                <w:szCs w:val="4"/>
                <w:lang w:eastAsia="es-MX"/>
              </w:rPr>
              <w:t xml:space="preserve">1) Un radio de 15 km con una abertura de 360° a partir de los 0° en </w:t>
            </w:r>
            <w:r w:rsidRPr="002F215F">
              <w:rPr>
                <w:rFonts w:ascii="ITC Avant Garde" w:eastAsia="Times New Roman" w:hAnsi="ITC Avant Garde" w:cs="Times New Roman"/>
                <w:sz w:val="4"/>
                <w:szCs w:val="4"/>
                <w:lang w:eastAsia="es-MX"/>
              </w:rPr>
              <w:lastRenderedPageBreak/>
              <w:t>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lastRenderedPageBreak/>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lastRenderedPageBreak/>
              <w:t>10</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NACO,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XHNAC</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33</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(584-590)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IFT/223/UCS/1020/2015 de fecha 12 de junio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31°19'38''</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109°56'55''</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w:t>
            </w:r>
            <w:r w:rsidR="005175A3" w:rsidRPr="002F215F">
              <w:rPr>
                <w:rFonts w:ascii="ITC Avant Garde" w:eastAsia="Times New Roman" w:hAnsi="ITC Avant Garde" w:cs="Times New Roman"/>
                <w:sz w:val="4"/>
                <w:szCs w:val="4"/>
                <w:lang w:eastAsia="es-MX"/>
              </w:rPr>
              <w:t xml:space="preserve"> </w:t>
            </w:r>
            <w:r w:rsidRPr="002F215F">
              <w:rPr>
                <w:rFonts w:ascii="ITC Avant Garde" w:eastAsia="Times New Roman" w:hAnsi="ITC Avant Garde" w:cs="Times New Roman"/>
                <w:sz w:val="4"/>
                <w:szCs w:val="4"/>
                <w:lang w:eastAsia="es-MX"/>
              </w:rPr>
              <w:t>1) Un radio de 12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11</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ÓNAVAS,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XHONV</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IFT/223/UCS/1881/2016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28°27'37.03"</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109°31'40.45"</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enseguida:1) Un radio de 15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12</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QUEROBABI,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XHQBI</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16</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(482-488)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IFT/223/UCS/1826/2016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30°03'03.52"</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111°01'48"</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w:t>
            </w:r>
            <w:r w:rsidR="005175A3" w:rsidRPr="002F215F">
              <w:rPr>
                <w:rFonts w:ascii="ITC Avant Garde" w:eastAsia="Times New Roman" w:hAnsi="ITC Avant Garde" w:cs="Times New Roman"/>
                <w:sz w:val="4"/>
                <w:szCs w:val="4"/>
                <w:lang w:eastAsia="es-MX"/>
              </w:rPr>
              <w:t xml:space="preserve"> </w:t>
            </w:r>
            <w:r w:rsidRPr="002F215F">
              <w:rPr>
                <w:rFonts w:ascii="ITC Avant Garde" w:eastAsia="Times New Roman" w:hAnsi="ITC Avant Garde" w:cs="Times New Roman"/>
                <w:sz w:val="4"/>
                <w:szCs w:val="4"/>
                <w:lang w:eastAsia="es-MX"/>
              </w:rPr>
              <w:t>1) Un radio de 20 km con una abertura de 360° a partir de los 0° en dirección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13</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SAN LUIS RIO COLORADO,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XHRCS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(566-572)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IFT/223/UCS/1059/2015 de fecha 16 de junio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32°28'25''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114°47' 03''</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w:t>
            </w:r>
            <w:r w:rsidR="005175A3" w:rsidRPr="002F215F">
              <w:rPr>
                <w:rFonts w:ascii="ITC Avant Garde" w:eastAsia="Times New Roman" w:hAnsi="ITC Avant Garde" w:cs="Times New Roman"/>
                <w:sz w:val="4"/>
                <w:szCs w:val="4"/>
                <w:lang w:eastAsia="es-MX"/>
              </w:rPr>
              <w:t xml:space="preserve"> </w:t>
            </w:r>
            <w:r w:rsidRPr="002F215F">
              <w:rPr>
                <w:rFonts w:ascii="ITC Avant Garde" w:eastAsia="Times New Roman" w:hAnsi="ITC Avant Garde" w:cs="Times New Roman"/>
                <w:sz w:val="4"/>
                <w:szCs w:val="4"/>
                <w:lang w:eastAsia="es-MX"/>
              </w:rPr>
              <w:t>1. Un radio de 40.00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14</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RAYÓN,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XHRON</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15</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(476-482)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IFT/223/UCS/1825/2016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29°42' 25.86''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110°34' 03.27''</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 xml:space="preserve">Aquella delimitada por dos sectores cuyo origen es el centro de la zona de cobertura, conforme se especifica enseguida: </w:t>
            </w:r>
            <w:r w:rsidR="005175A3" w:rsidRPr="002F215F">
              <w:rPr>
                <w:rFonts w:ascii="ITC Avant Garde" w:eastAsia="Times New Roman" w:hAnsi="ITC Avant Garde" w:cs="Times New Roman"/>
                <w:sz w:val="4"/>
                <w:szCs w:val="4"/>
                <w:lang w:eastAsia="es-MX"/>
              </w:rPr>
              <w:t>1)</w:t>
            </w:r>
            <w:r w:rsidRPr="002F215F">
              <w:rPr>
                <w:rFonts w:ascii="ITC Avant Garde" w:eastAsia="Times New Roman" w:hAnsi="ITC Avant Garde" w:cs="Times New Roman"/>
                <w:sz w:val="4"/>
                <w:szCs w:val="4"/>
                <w:lang w:eastAsia="es-MX"/>
              </w:rPr>
              <w:t xml:space="preserve"> Un radio de 25.00 km con una abertura de 130° a partir de los 315° en dirección del giro de las manecillas del reloj considerando el Norte geográfico como origen, y</w:t>
            </w:r>
            <w:r w:rsidR="005175A3" w:rsidRPr="002F215F">
              <w:rPr>
                <w:rFonts w:ascii="ITC Avant Garde" w:eastAsia="Times New Roman" w:hAnsi="ITC Avant Garde" w:cs="Times New Roman"/>
                <w:sz w:val="4"/>
                <w:szCs w:val="4"/>
                <w:lang w:eastAsia="es-MX"/>
              </w:rPr>
              <w:t xml:space="preserve"> 2) </w:t>
            </w:r>
            <w:r w:rsidRPr="002F215F">
              <w:rPr>
                <w:rFonts w:ascii="ITC Avant Garde" w:eastAsia="Times New Roman" w:hAnsi="ITC Avant Garde" w:cs="Times New Roman"/>
                <w:sz w:val="4"/>
                <w:szCs w:val="4"/>
                <w:lang w:eastAsia="es-MX"/>
              </w:rPr>
              <w:t>Un radio de 10.00 km con una abertura de 230° a partir de los 85°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15</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CUCURPE,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XHRPS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IFT/223/UCS/1849/2016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30°19'49.43"</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110°42'16.32"</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7.00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16</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ROSARIO,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XHRSO</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35</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(596-602)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IFT/223/UCS/1295/2015 de fecha 8 de julio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27°51'03''</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109°21'54''</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15.00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17</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SANTA CRUZ,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XHSCZ</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IFT/223/UCS/1876/2016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31°14'14.8"</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110°35'44.44"</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10.00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18</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SAN FELIPE DE JESUS,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XHSFS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18</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(494-500)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IFT/223/UCS/1875/2016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29°51'30.44"</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110°14'36.25"</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20.00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19</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GUAYMAS,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XHSGU</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18</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(494-500)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IFT/223/UCS/1445/2015 de fecha 3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27°56'33''</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110°54' 16''</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85.00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20</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SAN JAVIER,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XHSJR</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IFT/223/UCS/1887/2016 de fecha 26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28°35'46.58"</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109°44'12.93"</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5.00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tcBorders>
              <w:bottom w:val="single" w:sz="4" w:space="0" w:color="auto"/>
            </w:tcBorders>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lastRenderedPageBreak/>
              <w:t>21</w:t>
            </w:r>
          </w:p>
        </w:tc>
        <w:tc>
          <w:tcPr>
            <w:tcW w:w="122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SAHUARIPA, SONORA</w:t>
            </w:r>
          </w:p>
        </w:tc>
        <w:tc>
          <w:tcPr>
            <w:tcW w:w="47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XHSPA</w:t>
            </w:r>
          </w:p>
        </w:tc>
        <w:tc>
          <w:tcPr>
            <w:tcW w:w="41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20</w:t>
            </w:r>
          </w:p>
        </w:tc>
        <w:tc>
          <w:tcPr>
            <w:tcW w:w="544"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(506-512) MHz</w:t>
            </w:r>
          </w:p>
        </w:tc>
        <w:tc>
          <w:tcPr>
            <w:tcW w:w="519"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IFT/223/UCS/1526/2015 de fecha 3 de agosto de 2015</w:t>
            </w:r>
          </w:p>
        </w:tc>
        <w:tc>
          <w:tcPr>
            <w:tcW w:w="63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29°03'22''</w:t>
            </w:r>
          </w:p>
        </w:tc>
        <w:tc>
          <w:tcPr>
            <w:tcW w:w="63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109°14'03''</w:t>
            </w:r>
          </w:p>
        </w:tc>
        <w:tc>
          <w:tcPr>
            <w:tcW w:w="674" w:type="dxa"/>
            <w:tcBorders>
              <w:bottom w:val="single" w:sz="4" w:space="0" w:color="auto"/>
            </w:tcBorders>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20.00 km con una abertura de 360° a partir de los 0° en dirección del giro de las manecillas del reloj considerando el Norte geográfico como origen.</w:t>
            </w:r>
          </w:p>
        </w:tc>
        <w:tc>
          <w:tcPr>
            <w:tcW w:w="698"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tcBorders>
              <w:bottom w:val="single" w:sz="4" w:space="0" w:color="auto"/>
            </w:tcBorders>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22</w:t>
            </w:r>
          </w:p>
        </w:tc>
        <w:tc>
          <w:tcPr>
            <w:tcW w:w="122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SAN PEDRO DE LA CUEVA, SONORA</w:t>
            </w:r>
          </w:p>
        </w:tc>
        <w:tc>
          <w:tcPr>
            <w:tcW w:w="47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XHSPE</w:t>
            </w:r>
          </w:p>
        </w:tc>
        <w:tc>
          <w:tcPr>
            <w:tcW w:w="41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IFT/223/UCS/1830/2016 de fecha 23 de septiembre de 2016</w:t>
            </w:r>
          </w:p>
        </w:tc>
        <w:tc>
          <w:tcPr>
            <w:tcW w:w="63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29°17'19.27"</w:t>
            </w:r>
          </w:p>
        </w:tc>
        <w:tc>
          <w:tcPr>
            <w:tcW w:w="637"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109°44'38.24"</w:t>
            </w:r>
          </w:p>
        </w:tc>
        <w:tc>
          <w:tcPr>
            <w:tcW w:w="674" w:type="dxa"/>
            <w:tcBorders>
              <w:bottom w:val="single" w:sz="4" w:space="0" w:color="auto"/>
            </w:tcBorders>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10.00 km con una abertura de 360° a partir de los 0° en dirección del giro de las manecillas del reloj considerando el Norte geográfico como origen.</w:t>
            </w:r>
          </w:p>
        </w:tc>
        <w:tc>
          <w:tcPr>
            <w:tcW w:w="698"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tcBorders>
              <w:bottom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tcBorders>
              <w:top w:val="single" w:sz="4" w:space="0" w:color="auto"/>
            </w:tcBorders>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23</w:t>
            </w:r>
          </w:p>
        </w:tc>
        <w:tc>
          <w:tcPr>
            <w:tcW w:w="1221"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SINOQUIPE, SONORA</w:t>
            </w:r>
          </w:p>
        </w:tc>
        <w:tc>
          <w:tcPr>
            <w:tcW w:w="471"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XHSQP</w:t>
            </w:r>
          </w:p>
        </w:tc>
        <w:tc>
          <w:tcPr>
            <w:tcW w:w="411"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17</w:t>
            </w:r>
          </w:p>
        </w:tc>
        <w:tc>
          <w:tcPr>
            <w:tcW w:w="544"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(488-494) MHz</w:t>
            </w:r>
          </w:p>
        </w:tc>
        <w:tc>
          <w:tcPr>
            <w:tcW w:w="519"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IFT/223/UCS/1846/2016 de fecha 26 de septiembre de 2016</w:t>
            </w:r>
          </w:p>
        </w:tc>
        <w:tc>
          <w:tcPr>
            <w:tcW w:w="637"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30°09'27.05"</w:t>
            </w:r>
          </w:p>
        </w:tc>
        <w:tc>
          <w:tcPr>
            <w:tcW w:w="637"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100°14'45.01"</w:t>
            </w:r>
          </w:p>
        </w:tc>
        <w:tc>
          <w:tcPr>
            <w:tcW w:w="674" w:type="dxa"/>
            <w:tcBorders>
              <w:top w:val="single" w:sz="4" w:space="0" w:color="auto"/>
            </w:tcBorders>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15.00 km con una abertura de 360° a partir de los 0° en dirección del giro de las manecillas del reloj considerando el Norte geográfico como origen.</w:t>
            </w:r>
          </w:p>
        </w:tc>
        <w:tc>
          <w:tcPr>
            <w:tcW w:w="698"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tcBorders>
              <w:top w:val="single" w:sz="4" w:space="0" w:color="auto"/>
            </w:tcBorders>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24</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TEPACHE,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XHTCE</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IFT/223/UCS/1827/2016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29°31'44.32"</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109°31'46.56"</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15.00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25</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URES,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XHUES</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IFT/223/UCS/1599/2015 de fecha 11 de agosto de 2015</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29°25'42''</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110°22'36''</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30.00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tr w:rsidR="00B435BE" w:rsidRPr="002F215F" w:rsidTr="005175A3">
        <w:trPr>
          <w:trHeight w:val="20"/>
        </w:trPr>
        <w:tc>
          <w:tcPr>
            <w:tcW w:w="568" w:type="dxa"/>
            <w:hideMark/>
          </w:tcPr>
          <w:p w:rsidR="00B435BE" w:rsidRPr="002F215F" w:rsidRDefault="00B435BE" w:rsidP="006929F9">
            <w:pPr>
              <w:jc w:val="center"/>
              <w:rPr>
                <w:rFonts w:ascii="Calibri" w:eastAsia="Times New Roman" w:hAnsi="Calibri" w:cs="Times New Roman"/>
                <w:color w:val="000000"/>
                <w:sz w:val="6"/>
                <w:szCs w:val="6"/>
                <w:lang w:eastAsia="es-MX"/>
              </w:rPr>
            </w:pPr>
            <w:r w:rsidRPr="002F215F">
              <w:rPr>
                <w:rFonts w:ascii="Calibri" w:eastAsia="Times New Roman" w:hAnsi="Calibri" w:cs="Times New Roman"/>
                <w:color w:val="000000"/>
                <w:sz w:val="6"/>
                <w:szCs w:val="6"/>
                <w:lang w:eastAsia="es-MX"/>
              </w:rPr>
              <w:t>26</w:t>
            </w:r>
          </w:p>
        </w:tc>
        <w:tc>
          <w:tcPr>
            <w:tcW w:w="122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GOBIERNO DEL ESTADO DE SONORA</w:t>
            </w:r>
          </w:p>
        </w:tc>
        <w:tc>
          <w:tcPr>
            <w:tcW w:w="61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VILLA HIDALGO, SONORA</w:t>
            </w:r>
          </w:p>
        </w:tc>
        <w:tc>
          <w:tcPr>
            <w:tcW w:w="47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XHVHO</w:t>
            </w:r>
          </w:p>
        </w:tc>
        <w:tc>
          <w:tcPr>
            <w:tcW w:w="411"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TDT</w:t>
            </w:r>
          </w:p>
        </w:tc>
        <w:tc>
          <w:tcPr>
            <w:tcW w:w="643"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14</w:t>
            </w:r>
          </w:p>
        </w:tc>
        <w:tc>
          <w:tcPr>
            <w:tcW w:w="544"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(470-476) MHz</w:t>
            </w:r>
          </w:p>
        </w:tc>
        <w:tc>
          <w:tcPr>
            <w:tcW w:w="519"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10-sep-13</w:t>
            </w:r>
          </w:p>
        </w:tc>
        <w:tc>
          <w:tcPr>
            <w:tcW w:w="477"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7 de marzo de 2005 al 6 de marzo de 2017</w:t>
            </w:r>
          </w:p>
        </w:tc>
        <w:tc>
          <w:tcPr>
            <w:tcW w:w="500"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31-ago-15</w:t>
            </w:r>
          </w:p>
        </w:tc>
        <w:tc>
          <w:tcPr>
            <w:tcW w:w="692"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13-ago-15</w:t>
            </w:r>
          </w:p>
        </w:tc>
        <w:tc>
          <w:tcPr>
            <w:tcW w:w="888"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07-mar-17</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07-mar-32</w:t>
            </w:r>
          </w:p>
        </w:tc>
        <w:tc>
          <w:tcPr>
            <w:tcW w:w="530"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Pública</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631"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Segoe UI Symbol" w:eastAsia="Times New Roman" w:hAnsi="Segoe UI Symbol" w:cs="Segoe UI Symbol"/>
                <w:b/>
                <w:bCs/>
                <w:color w:val="000000"/>
                <w:sz w:val="6"/>
                <w:szCs w:val="6"/>
                <w:lang w:eastAsia="es-MX"/>
              </w:rPr>
              <w:t>SI</w:t>
            </w:r>
          </w:p>
        </w:tc>
        <w:tc>
          <w:tcPr>
            <w:tcW w:w="873"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IFT/223/UCS/1828/2016 de fecha 23 de septiembre de 2016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30°09'59.16"</w:t>
            </w:r>
          </w:p>
        </w:tc>
        <w:tc>
          <w:tcPr>
            <w:tcW w:w="637" w:type="dxa"/>
            <w:hideMark/>
          </w:tcPr>
          <w:p w:rsidR="00B435BE" w:rsidRPr="002F215F" w:rsidRDefault="00B435BE" w:rsidP="006929F9">
            <w:pPr>
              <w:jc w:val="center"/>
              <w:rPr>
                <w:rFonts w:ascii="ITC Avant Garde" w:eastAsia="Times New Roman" w:hAnsi="ITC Avant Garde" w:cs="Times New Roman"/>
                <w:sz w:val="6"/>
                <w:szCs w:val="6"/>
                <w:lang w:eastAsia="es-MX"/>
              </w:rPr>
            </w:pPr>
            <w:r w:rsidRPr="002F215F">
              <w:rPr>
                <w:rFonts w:ascii="ITC Avant Garde" w:eastAsia="Times New Roman" w:hAnsi="ITC Avant Garde" w:cs="Times New Roman"/>
                <w:sz w:val="6"/>
                <w:szCs w:val="6"/>
                <w:lang w:eastAsia="es-MX"/>
              </w:rPr>
              <w:t>109°19'19.84"</w:t>
            </w:r>
          </w:p>
        </w:tc>
        <w:tc>
          <w:tcPr>
            <w:tcW w:w="674" w:type="dxa"/>
            <w:vAlign w:val="center"/>
            <w:hideMark/>
          </w:tcPr>
          <w:p w:rsidR="00B435BE" w:rsidRPr="002F215F" w:rsidRDefault="00B435BE" w:rsidP="006929F9">
            <w:pPr>
              <w:jc w:val="center"/>
              <w:rPr>
                <w:rFonts w:ascii="ITC Avant Garde" w:eastAsia="Times New Roman" w:hAnsi="ITC Avant Garde" w:cs="Times New Roman"/>
                <w:sz w:val="4"/>
                <w:szCs w:val="4"/>
                <w:lang w:eastAsia="es-MX"/>
              </w:rPr>
            </w:pPr>
            <w:r w:rsidRPr="002F215F">
              <w:rPr>
                <w:rFonts w:ascii="ITC Avant Garde" w:eastAsia="Times New Roman" w:hAnsi="ITC Avant Garde" w:cs="Times New Roman"/>
                <w:sz w:val="4"/>
                <w:szCs w:val="4"/>
                <w:lang w:eastAsia="es-MX"/>
              </w:rPr>
              <w:t>Aquella delimitada por un círculo cuyo origen es el centro de la zona de cobertura, conforme se especifica enseguida: 1. Un radio de 10.00 km, con una abertura de 360° a partir de los 0° en dirección del giro de las manecillas del reloj considerando el Norte geográfico como origen.</w:t>
            </w:r>
          </w:p>
        </w:tc>
        <w:tc>
          <w:tcPr>
            <w:tcW w:w="698" w:type="dxa"/>
            <w:hideMark/>
          </w:tcPr>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ITC Avant Garde" w:eastAsia="Times New Roman" w:hAnsi="ITC Avant Garde" w:cs="Times New Roman"/>
                <w:b/>
                <w:bCs/>
                <w:color w:val="000000"/>
                <w:sz w:val="6"/>
                <w:szCs w:val="6"/>
                <w:lang w:eastAsia="es-MX"/>
              </w:rPr>
              <w:t>NO</w:t>
            </w:r>
          </w:p>
          <w:p w:rsidR="00B435BE" w:rsidRPr="002F215F" w:rsidRDefault="00B435BE" w:rsidP="006929F9">
            <w:pPr>
              <w:jc w:val="center"/>
              <w:rPr>
                <w:rFonts w:ascii="ITC Avant Garde" w:eastAsia="Times New Roman" w:hAnsi="ITC Avant Garde" w:cs="Times New Roman"/>
                <w:b/>
                <w:bCs/>
                <w:color w:val="000000"/>
                <w:sz w:val="6"/>
                <w:szCs w:val="6"/>
                <w:lang w:eastAsia="es-MX"/>
              </w:rPr>
            </w:pPr>
            <w:r w:rsidRPr="002F215F">
              <w:rPr>
                <w:rFonts w:ascii="Calibri" w:eastAsia="Times New Roman" w:hAnsi="Calibri" w:cs="Times New Roman"/>
                <w:color w:val="000000"/>
                <w:sz w:val="6"/>
                <w:szCs w:val="6"/>
                <w:lang w:eastAsia="es-MX"/>
              </w:rPr>
              <w:t>Transición XHAPS-FM Acuerdo P/IFT/010716/364</w:t>
            </w:r>
          </w:p>
        </w:tc>
        <w:tc>
          <w:tcPr>
            <w:tcW w:w="602" w:type="dxa"/>
            <w:hideMark/>
          </w:tcPr>
          <w:p w:rsidR="00B435BE" w:rsidRPr="002F215F" w:rsidRDefault="00B435BE" w:rsidP="006929F9">
            <w:pPr>
              <w:jc w:val="center"/>
              <w:rPr>
                <w:rFonts w:ascii="ITC Avant Garde" w:eastAsia="Times New Roman" w:hAnsi="ITC Avant Garde" w:cs="Times New Roman"/>
                <w:color w:val="000000"/>
                <w:sz w:val="6"/>
                <w:szCs w:val="6"/>
                <w:lang w:eastAsia="es-MX"/>
              </w:rPr>
            </w:pPr>
            <w:r w:rsidRPr="002F215F">
              <w:rPr>
                <w:rFonts w:ascii="ITC Avant Garde" w:eastAsia="Times New Roman" w:hAnsi="ITC Avant Garde" w:cs="Times New Roman"/>
                <w:color w:val="000000"/>
                <w:sz w:val="6"/>
                <w:szCs w:val="6"/>
                <w:lang w:eastAsia="es-MX"/>
              </w:rPr>
              <w:t>No se especifica plazo de presentación en el título</w:t>
            </w:r>
          </w:p>
        </w:tc>
      </w:tr>
      <w:bookmarkEnd w:id="0"/>
    </w:tbl>
    <w:p w:rsidR="00E306AF" w:rsidRPr="002F215F" w:rsidRDefault="00E306AF" w:rsidP="00B05625">
      <w:pPr>
        <w:pStyle w:val="Prrafodelista"/>
        <w:spacing w:before="240" w:line="240" w:lineRule="auto"/>
        <w:ind w:left="0"/>
        <w:jc w:val="both"/>
        <w:rPr>
          <w:sz w:val="13"/>
          <w:szCs w:val="13"/>
        </w:rPr>
        <w:sectPr w:rsidR="00E306AF" w:rsidRPr="002F215F" w:rsidSect="00E306AF">
          <w:footerReference w:type="default" r:id="rId13"/>
          <w:pgSz w:w="15840" w:h="12240" w:orient="landscape"/>
          <w:pgMar w:top="1418" w:right="2268" w:bottom="1418" w:left="1418" w:header="709" w:footer="709" w:gutter="0"/>
          <w:cols w:space="708"/>
          <w:docGrid w:linePitch="360"/>
        </w:sectPr>
      </w:pPr>
    </w:p>
    <w:p w:rsidR="00B05625" w:rsidRPr="002F215F" w:rsidRDefault="00B05625" w:rsidP="00B05625">
      <w:pPr>
        <w:pStyle w:val="Ttulo1"/>
        <w:jc w:val="center"/>
        <w:rPr>
          <w:rFonts w:ascii="ITC Avant Garde" w:eastAsia="Times New Roman" w:hAnsi="ITC Avant Garde"/>
          <w:b/>
          <w:color w:val="000000" w:themeColor="text1"/>
          <w:sz w:val="22"/>
          <w:szCs w:val="22"/>
          <w:lang w:eastAsia="es-MX"/>
        </w:rPr>
      </w:pPr>
      <w:r w:rsidRPr="002F215F">
        <w:rPr>
          <w:rFonts w:ascii="ITC Avant Garde" w:eastAsia="Times New Roman" w:hAnsi="ITC Avant Garde"/>
          <w:b/>
          <w:color w:val="000000" w:themeColor="text1"/>
          <w:sz w:val="22"/>
          <w:szCs w:val="22"/>
          <w:lang w:eastAsia="es-MX"/>
        </w:rPr>
        <w:lastRenderedPageBreak/>
        <w:t>ANEXO 2</w:t>
      </w:r>
    </w:p>
    <w:p w:rsidR="00B05625" w:rsidRPr="002F215F" w:rsidRDefault="00E306AF" w:rsidP="002F215F">
      <w:pPr>
        <w:pStyle w:val="Ttulo2"/>
        <w:numPr>
          <w:ilvl w:val="5"/>
          <w:numId w:val="1"/>
        </w:numPr>
        <w:tabs>
          <w:tab w:val="clear" w:pos="1152"/>
        </w:tabs>
        <w:spacing w:after="240"/>
        <w:ind w:left="0" w:firstLine="0"/>
        <w:jc w:val="both"/>
        <w:rPr>
          <w:rFonts w:ascii="ITC Avant Garde" w:hAnsi="ITC Avant Garde"/>
          <w:b/>
          <w:color w:val="000000" w:themeColor="text1"/>
          <w:sz w:val="22"/>
          <w:szCs w:val="22"/>
        </w:rPr>
      </w:pPr>
      <w:r w:rsidRPr="002F215F">
        <w:rPr>
          <w:rFonts w:ascii="ITC Avant Garde" w:hAnsi="ITC Avant Garde"/>
          <w:b/>
          <w:color w:val="000000" w:themeColor="text1"/>
          <w:sz w:val="22"/>
          <w:szCs w:val="22"/>
        </w:rPr>
        <w:t xml:space="preserve">TÍTULO DE CONCESIÓN PARA USAR Y APROVECHAR BANDAS DE FRECUENCIAS DEL ESPECTRO RADIOELÉCTRICO PARA USO PÚBLICO QUE OTORGA EL INSTITUTO FEDERAL DE TELECOMUNICACIONES, A FAVOR DE </w:t>
      </w:r>
      <w:r w:rsidR="00B05625" w:rsidRPr="002F215F">
        <w:rPr>
          <w:rFonts w:ascii="ITC Avant Garde" w:eastAsia="Arial" w:hAnsi="ITC Avant Garde"/>
          <w:b/>
          <w:color w:val="0000FF"/>
        </w:rPr>
        <w:t>(…)</w:t>
      </w:r>
      <w:r w:rsidRPr="002F215F">
        <w:rPr>
          <w:rFonts w:ascii="ITC Avant Garde" w:hAnsi="ITC Avant Garde"/>
          <w:b/>
          <w:color w:val="000000" w:themeColor="text1"/>
          <w:sz w:val="22"/>
          <w:szCs w:val="22"/>
        </w:rPr>
        <w:t>, DE CONFORMIDAD CON LOS SIGUIENTES:</w:t>
      </w:r>
    </w:p>
    <w:p w:rsidR="00B05625" w:rsidRPr="002F215F" w:rsidRDefault="00B05625" w:rsidP="00B05625">
      <w:pPr>
        <w:pStyle w:val="Ttulo3"/>
        <w:spacing w:after="240"/>
        <w:jc w:val="center"/>
        <w:rPr>
          <w:rFonts w:ascii="ITC Avant Garde" w:hAnsi="ITC Avant Garde"/>
          <w:b/>
          <w:color w:val="000000" w:themeColor="text1"/>
          <w:sz w:val="22"/>
          <w:szCs w:val="22"/>
        </w:rPr>
      </w:pPr>
      <w:r w:rsidRPr="002F215F">
        <w:rPr>
          <w:rFonts w:ascii="ITC Avant Garde" w:hAnsi="ITC Avant Garde"/>
          <w:b/>
          <w:color w:val="000000" w:themeColor="text1"/>
          <w:sz w:val="22"/>
          <w:szCs w:val="22"/>
        </w:rPr>
        <w:t>A</w:t>
      </w:r>
      <w:r w:rsidR="00E306AF" w:rsidRPr="002F215F">
        <w:rPr>
          <w:rFonts w:ascii="ITC Avant Garde" w:hAnsi="ITC Avant Garde"/>
          <w:b/>
          <w:color w:val="000000" w:themeColor="text1"/>
          <w:sz w:val="22"/>
          <w:szCs w:val="22"/>
        </w:rPr>
        <w:t>NTECEDENTES</w:t>
      </w:r>
    </w:p>
    <w:p w:rsidR="00B05625" w:rsidRPr="002F215F" w:rsidRDefault="00E306AF" w:rsidP="00B05625">
      <w:pPr>
        <w:numPr>
          <w:ilvl w:val="0"/>
          <w:numId w:val="4"/>
        </w:numPr>
        <w:spacing w:before="240" w:line="276" w:lineRule="auto"/>
        <w:ind w:left="426" w:hanging="426"/>
        <w:jc w:val="both"/>
        <w:rPr>
          <w:rFonts w:ascii="ITC Avant Garde" w:eastAsia="Times New Roman" w:hAnsi="ITC Avant Garde" w:cs="Times New Roman"/>
          <w:lang w:eastAsia="es-MX"/>
        </w:rPr>
      </w:pPr>
      <w:r w:rsidRPr="002F215F">
        <w:rPr>
          <w:rFonts w:ascii="ITC Avant Garde" w:eastAsia="Times New Roman" w:hAnsi="ITC Avant Garde" w:cs="Times New Roman"/>
          <w:lang w:eastAsia="es-MX"/>
        </w:rPr>
        <w:t>Mediante oficio</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xml:space="preserve"> presentado el</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solicitó la prórroga del permiso otorgado por la</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 xml:space="preserve">(…) </w:t>
      </w:r>
      <w:r w:rsidRPr="002F215F">
        <w:rPr>
          <w:rFonts w:ascii="ITC Avant Garde" w:eastAsia="Times New Roman" w:hAnsi="ITC Avant Garde" w:cs="Times New Roman"/>
          <w:lang w:eastAsia="es-MX"/>
        </w:rPr>
        <w:t>el</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para instalar  y operar la estación de televisión con distintivo de llamada</w:t>
      </w:r>
      <w:r w:rsidR="00B05625" w:rsidRPr="002F215F">
        <w:rPr>
          <w:rFonts w:ascii="ITC Avant Garde" w:eastAsia="Times New Roman" w:hAnsi="ITC Avant Garde" w:cs="Times New Roman"/>
          <w:lang w:eastAsia="es-MX"/>
        </w:rPr>
        <w:t xml:space="preserve"> </w:t>
      </w:r>
      <w:r w:rsidR="00B05625" w:rsidRPr="002F215F">
        <w:rPr>
          <w:rFonts w:ascii="ITC Avant Garde" w:eastAsia="Arial" w:hAnsi="ITC Avant Garde"/>
          <w:b/>
          <w:color w:val="0000FF"/>
        </w:rPr>
        <w:t xml:space="preserve">(…) </w:t>
      </w:r>
      <w:r w:rsidRPr="002F215F">
        <w:rPr>
          <w:rFonts w:ascii="ITC Avant Garde" w:eastAsia="Times New Roman" w:hAnsi="ITC Avant Garde" w:cs="Times New Roman"/>
          <w:lang w:eastAsia="es-MX"/>
        </w:rPr>
        <w:t xml:space="preserve">en la localidad de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w:t>
      </w:r>
    </w:p>
    <w:p w:rsidR="00B05625" w:rsidRPr="002F215F" w:rsidRDefault="00E306AF" w:rsidP="00B05625">
      <w:pPr>
        <w:numPr>
          <w:ilvl w:val="0"/>
          <w:numId w:val="4"/>
        </w:numPr>
        <w:spacing w:before="240" w:line="276" w:lineRule="auto"/>
        <w:ind w:left="426" w:hanging="426"/>
        <w:jc w:val="both"/>
        <w:rPr>
          <w:rFonts w:ascii="ITC Avant Garde" w:eastAsia="Times New Roman" w:hAnsi="ITC Avant Garde" w:cs="Times New Roman"/>
          <w:lang w:eastAsia="es-MX"/>
        </w:rPr>
      </w:pPr>
      <w:r w:rsidRPr="002F215F">
        <w:rPr>
          <w:rFonts w:ascii="ITC Avant Garde" w:eastAsia="Times New Roman" w:hAnsi="ITC Avant Garde" w:cs="Times New Roman"/>
          <w:bCs/>
          <w:color w:val="000000"/>
          <w:lang w:eastAsia="es-MX"/>
        </w:rPr>
        <w:t xml:space="preserve">Mediante oficio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presentado el</w:t>
      </w:r>
      <w:r w:rsidR="00B05625" w:rsidRPr="002F215F">
        <w:rPr>
          <w:rFonts w:ascii="ITC Avant Garde" w:eastAsia="Times New Roman" w:hAnsi="ITC Avant Garde" w:cs="Times New Roman"/>
          <w:bCs/>
          <w:color w:val="000000"/>
          <w:lang w:eastAsia="es-MX"/>
        </w:rPr>
        <w:t xml:space="preserve"> </w:t>
      </w:r>
      <w:r w:rsidR="00B05625" w:rsidRPr="002F215F">
        <w:rPr>
          <w:rFonts w:ascii="ITC Avant Garde" w:eastAsia="Arial" w:hAnsi="ITC Avant Garde"/>
          <w:b/>
          <w:color w:val="0000FF"/>
        </w:rPr>
        <w:t>(…)</w:t>
      </w:r>
      <w:r w:rsidRPr="002F215F">
        <w:rPr>
          <w:rFonts w:ascii="ITC Avant Garde" w:eastAsia="Times New Roman" w:hAnsi="ITC Avant Garde" w:cs="Times New Roman"/>
          <w:bCs/>
          <w:color w:val="000000"/>
          <w:lang w:eastAsia="es-MX"/>
        </w:rPr>
        <w:t>,</w:t>
      </w:r>
      <w:r w:rsidR="00B05625" w:rsidRPr="002F215F">
        <w:rPr>
          <w:rFonts w:ascii="ITC Avant Garde" w:eastAsia="Times New Roman" w:hAnsi="ITC Avant Garde" w:cs="Times New Roman"/>
          <w:bCs/>
          <w:color w:val="000000"/>
          <w:lang w:eastAsia="es-MX"/>
        </w:rPr>
        <w:t xml:space="preserve"> </w:t>
      </w:r>
      <w:r w:rsidR="00B05625" w:rsidRPr="002F215F">
        <w:rPr>
          <w:rFonts w:ascii="ITC Avant Garde" w:eastAsia="Arial" w:hAnsi="ITC Avant Garde"/>
          <w:b/>
          <w:color w:val="0000FF"/>
        </w:rPr>
        <w:t xml:space="preserve">(…) </w:t>
      </w:r>
      <w:r w:rsidRPr="002F215F">
        <w:rPr>
          <w:rFonts w:ascii="ITC Avant Garde" w:eastAsia="Times New Roman" w:hAnsi="ITC Avant Garde" w:cs="Times New Roman"/>
          <w:bCs/>
          <w:color w:val="000000"/>
          <w:lang w:eastAsia="es-MX"/>
        </w:rPr>
        <w:t xml:space="preserve">solicitó </w:t>
      </w:r>
      <w:r w:rsidRPr="002F215F">
        <w:rPr>
          <w:rFonts w:ascii="ITC Avant Garde" w:eastAsia="Times New Roman" w:hAnsi="ITC Avant Garde" w:cs="Times New Roman"/>
          <w:color w:val="000000"/>
          <w:lang w:eastAsia="es-MX"/>
        </w:rPr>
        <w:t xml:space="preserve">la transición al régimen de concesión de uso público del permiso señalado en el antecedente I, </w:t>
      </w:r>
      <w:r w:rsidRPr="002F215F">
        <w:rPr>
          <w:rFonts w:ascii="ITC Avant Garde" w:eastAsia="Times New Roman" w:hAnsi="ITC Avant Garde" w:cs="Times New Roman"/>
          <w:lang w:eastAsia="es-MX"/>
        </w:rPr>
        <w:t xml:space="preserve">anexando la documentación requerida conforme al artículo Segundo Transitorio de los Lineamientos Generales para el otorgamiento de las concesiones a que se refiere el título cuarto de la Ley Federal de Telecomunicaciones y Radiodifusión, publicados en el Diario Oficial de la Federación el 24 de julio de 2015, y </w:t>
      </w:r>
    </w:p>
    <w:p w:rsidR="00B05625" w:rsidRPr="002F215F" w:rsidRDefault="00E306AF" w:rsidP="00B05625">
      <w:pPr>
        <w:numPr>
          <w:ilvl w:val="0"/>
          <w:numId w:val="4"/>
        </w:numPr>
        <w:spacing w:before="240" w:line="276" w:lineRule="auto"/>
        <w:ind w:left="426" w:hanging="426"/>
        <w:jc w:val="both"/>
        <w:rPr>
          <w:rFonts w:ascii="ITC Avant Garde" w:eastAsia="Times New Roman" w:hAnsi="ITC Avant Garde" w:cs="Times New Roman"/>
          <w:lang w:eastAsia="es-MX"/>
        </w:rPr>
      </w:pPr>
      <w:r w:rsidRPr="002F215F">
        <w:rPr>
          <w:rFonts w:ascii="ITC Avant Garde" w:eastAsia="Times New Roman" w:hAnsi="ITC Avant Garde" w:cs="Times New Roman"/>
          <w:lang w:eastAsia="es-MX"/>
        </w:rPr>
        <w:t>El Pleno del Instituto Federal de Telecomunicaciones, mediante Acuerdo P/IFT/</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xml:space="preserve"> de fecha </w:t>
      </w:r>
      <w:r w:rsidR="00B05625" w:rsidRPr="002F215F">
        <w:rPr>
          <w:rFonts w:ascii="ITC Avant Garde" w:eastAsia="Arial" w:hAnsi="ITC Avant Garde"/>
          <w:b/>
          <w:color w:val="0000FF"/>
        </w:rPr>
        <w:t>(…)</w:t>
      </w:r>
      <w:r w:rsidRPr="002F215F">
        <w:rPr>
          <w:rFonts w:ascii="ITC Avant Garde" w:eastAsia="Times New Roman" w:hAnsi="ITC Avant Garde" w:cs="Times New Roman"/>
          <w:lang w:eastAsia="es-MX"/>
        </w:rPr>
        <w:t xml:space="preserve"> de 2017, resolvió otorgar una Concesión </w:t>
      </w:r>
      <w:r w:rsidRPr="002F215F">
        <w:rPr>
          <w:rFonts w:ascii="ITC Avant Garde" w:eastAsia="Times New Roman" w:hAnsi="ITC Avant Garde" w:cs="Times New Roman"/>
          <w:bCs/>
          <w:lang w:eastAsia="es-MX"/>
        </w:rPr>
        <w:t xml:space="preserve">para usar y aprovechar bandas de frecuencias </w:t>
      </w:r>
      <w:r w:rsidRPr="002F215F">
        <w:rPr>
          <w:rFonts w:ascii="ITC Avant Garde" w:eastAsia="Times New Roman" w:hAnsi="ITC Avant Garde" w:cs="Times New Roman"/>
          <w:lang w:eastAsia="es-MX"/>
        </w:rPr>
        <w:t xml:space="preserve">del espectro radioeléctrico para uso público, a favor de </w:t>
      </w:r>
      <w:r w:rsidR="00B05625" w:rsidRPr="002F215F">
        <w:rPr>
          <w:rFonts w:ascii="ITC Avant Garde" w:eastAsia="Arial" w:hAnsi="ITC Avant Garde"/>
          <w:b/>
          <w:color w:val="0000FF"/>
        </w:rPr>
        <w:t>(…)</w:t>
      </w:r>
      <w:r w:rsidR="00B05625" w:rsidRPr="002F215F">
        <w:rPr>
          <w:rFonts w:ascii="ITC Avant Garde" w:eastAsia="Times New Roman" w:hAnsi="ITC Avant Garde" w:cs="Times New Roman"/>
          <w:bCs/>
          <w:lang w:eastAsia="es-MX"/>
        </w:rPr>
        <w:t>.</w:t>
      </w:r>
    </w:p>
    <w:p w:rsidR="00B05625" w:rsidRPr="002F215F" w:rsidRDefault="00E306AF" w:rsidP="00B05625">
      <w:pPr>
        <w:spacing w:before="240" w:line="276" w:lineRule="auto"/>
        <w:jc w:val="both"/>
        <w:rPr>
          <w:rFonts w:ascii="ITC Avant Garde" w:eastAsia="Calibri" w:hAnsi="ITC Avant Garde" w:cs="Times New Roman"/>
          <w:bCs/>
          <w:lang w:eastAsia="es-MX"/>
        </w:rPr>
      </w:pPr>
      <w:r w:rsidRPr="002F215F">
        <w:rPr>
          <w:rFonts w:ascii="ITC Avant Garde" w:eastAsia="Calibri" w:hAnsi="ITC Avant Garde" w:cs="Times New Roman"/>
          <w:lang w:eastAsia="es-MX"/>
        </w:rPr>
        <w:t>Derivado de lo anterior, con fundamento en los artículos 27 párrafos cuarto y sexto, 28 párrafos décimo quinto, décimo sexto, décimo séptimo y décimo octavo de la Constitución Política de los Estados Unidos Mexicanos;</w:t>
      </w:r>
      <w:r w:rsidRPr="002F215F">
        <w:rPr>
          <w:rFonts w:ascii="ITC Avant Garde" w:eastAsia="Calibri" w:hAnsi="ITC Avant Garde" w:cs="Times New Roman"/>
          <w:bCs/>
          <w:lang w:eastAsia="es-MX"/>
        </w:rPr>
        <w:t xml:space="preserve"> 1, 2, 4, 5, 7, 15 fracción IV, 16, 17 párrafo primero fracción I, 75, 76 fracción II, 83 y 114 de la Ley Federal de Telecomunicaciones y Radiodifusión; Segundo Transitorio fracciones VI, VII, VIII y IX de los </w:t>
      </w:r>
      <w:r w:rsidRPr="002F215F">
        <w:rPr>
          <w:rFonts w:ascii="ITC Avant Garde" w:eastAsia="Calibri" w:hAnsi="ITC Avant Garde" w:cs="Times New Roman"/>
        </w:rPr>
        <w:t xml:space="preserve">Lineamientos </w:t>
      </w:r>
      <w:r w:rsidRPr="002F215F">
        <w:rPr>
          <w:rFonts w:ascii="ITC Avant Garde" w:eastAsia="Calibri" w:hAnsi="ITC Avant Garde" w:cs="Times New Roman"/>
          <w:lang w:eastAsia="es-MX"/>
        </w:rPr>
        <w:t>Generales para el otorgamiento de las concesiones a que se refiere el título cuarto de la Ley Federal de Telecomunicaciones y Radiodifusión;</w:t>
      </w:r>
      <w:r w:rsidRPr="002F215F">
        <w:rPr>
          <w:rFonts w:ascii="ITC Avant Garde" w:eastAsia="Calibri" w:hAnsi="ITC Avant Garde" w:cs="Times New Roman"/>
          <w:bCs/>
          <w:lang w:eastAsia="es-MX"/>
        </w:rPr>
        <w:t xml:space="preserve"> y 1, 4 fracción II y 14 fracción X del Estatuto Orgánico del Instituto Federal de Telecomunicaciones, se expide el presente Título de Concesión para usar y aprovechar bandas de frecuencias del espectro radioeléctrico para uso público sujeto a las siguientes:</w:t>
      </w:r>
    </w:p>
    <w:p w:rsidR="00B05625" w:rsidRPr="002F215F" w:rsidRDefault="00E306AF" w:rsidP="00B05625">
      <w:pPr>
        <w:pStyle w:val="Ttulo3"/>
        <w:spacing w:after="240"/>
        <w:jc w:val="center"/>
        <w:rPr>
          <w:rFonts w:ascii="ITC Avant Garde" w:hAnsi="ITC Avant Garde"/>
          <w:b/>
          <w:color w:val="000000" w:themeColor="text1"/>
          <w:sz w:val="22"/>
          <w:szCs w:val="22"/>
        </w:rPr>
      </w:pPr>
      <w:r w:rsidRPr="002F215F">
        <w:rPr>
          <w:rFonts w:ascii="ITC Avant Garde" w:hAnsi="ITC Avant Garde"/>
          <w:b/>
          <w:color w:val="000000" w:themeColor="text1"/>
          <w:sz w:val="22"/>
          <w:szCs w:val="22"/>
        </w:rPr>
        <w:t>CONDICIONES</w:t>
      </w:r>
    </w:p>
    <w:p w:rsidR="00B05625" w:rsidRPr="002F215F" w:rsidRDefault="00E306AF" w:rsidP="005175A3">
      <w:pPr>
        <w:pStyle w:val="Ttulo4"/>
        <w:spacing w:after="240"/>
        <w:jc w:val="center"/>
        <w:rPr>
          <w:rFonts w:ascii="ITC Avant Garde" w:hAnsi="ITC Avant Garde"/>
          <w:b/>
          <w:i w:val="0"/>
          <w:color w:val="000000" w:themeColor="text1"/>
        </w:rPr>
      </w:pPr>
      <w:r w:rsidRPr="002F215F">
        <w:rPr>
          <w:rFonts w:ascii="ITC Avant Garde" w:hAnsi="ITC Avant Garde"/>
          <w:b/>
          <w:i w:val="0"/>
          <w:color w:val="000000" w:themeColor="text1"/>
        </w:rPr>
        <w:t>Disposiciones Generales</w:t>
      </w:r>
    </w:p>
    <w:p w:rsidR="00B05625" w:rsidRPr="002F215F" w:rsidRDefault="00E306AF" w:rsidP="00B05625">
      <w:pPr>
        <w:numPr>
          <w:ilvl w:val="0"/>
          <w:numId w:val="5"/>
        </w:numPr>
        <w:spacing w:before="240" w:line="276" w:lineRule="auto"/>
        <w:jc w:val="both"/>
        <w:rPr>
          <w:rFonts w:ascii="ITC Avant Garde" w:eastAsia="Calibri" w:hAnsi="ITC Avant Garde" w:cs="Times New Roman"/>
        </w:rPr>
      </w:pPr>
      <w:r w:rsidRPr="002F215F">
        <w:rPr>
          <w:rFonts w:ascii="ITC Avant Garde" w:eastAsia="Calibri" w:hAnsi="ITC Avant Garde" w:cs="Times New Roman"/>
          <w:b/>
          <w:bCs/>
        </w:rPr>
        <w:t xml:space="preserve">Definición de términos. </w:t>
      </w:r>
      <w:r w:rsidRPr="002F215F">
        <w:rPr>
          <w:rFonts w:ascii="ITC Avant Garde" w:eastAsia="Calibri" w:hAnsi="ITC Avant Garde" w:cs="Times New Roman"/>
          <w:bCs/>
        </w:rPr>
        <w:t>Para los efectos del presente título, se entenderá por:</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lastRenderedPageBreak/>
        <w:t>Concesión de espectro radioeléctrico:</w:t>
      </w:r>
      <w:r w:rsidRPr="002F215F">
        <w:rPr>
          <w:rFonts w:ascii="ITC Avant Garde" w:eastAsia="Times New Roman" w:hAnsi="ITC Avant Garde" w:cs="Times New Roman"/>
          <w:lang w:val="es-ES_tradnl" w:eastAsia="es-ES"/>
        </w:rPr>
        <w:t xml:space="preserve"> La presente concesión que confiere el derecho para usar y aprovechar bandas de frecuencias del espectro radioeléctrico para uso público que otorga el Instituto;</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t>Concesionario:</w:t>
      </w:r>
      <w:r w:rsidRPr="002F215F">
        <w:rPr>
          <w:rFonts w:ascii="ITC Avant Garde" w:eastAsia="Times New Roman" w:hAnsi="ITC Avant Garde" w:cs="Times New Roman"/>
          <w:lang w:val="es-ES_tradnl" w:eastAsia="es-ES"/>
        </w:rPr>
        <w:t xml:space="preserve"> </w:t>
      </w:r>
      <w:r w:rsidRPr="002F215F">
        <w:rPr>
          <w:rFonts w:ascii="ITC Avant Garde" w:eastAsia="Times New Roman" w:hAnsi="ITC Avant Garde" w:cs="Times New Roman"/>
          <w:bCs/>
          <w:lang w:val="es-ES_tradnl" w:eastAsia="es-ES"/>
        </w:rPr>
        <w:t>El titular de la Concesión de espectro radioeléctrico;</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t>Instituto:</w:t>
      </w:r>
      <w:r w:rsidRPr="002F215F">
        <w:rPr>
          <w:rFonts w:ascii="ITC Avant Garde" w:eastAsia="Times New Roman" w:hAnsi="ITC Avant Garde" w:cs="Times New Roman"/>
          <w:lang w:val="es-ES_tradnl" w:eastAsia="es-ES"/>
        </w:rPr>
        <w:t xml:space="preserve"> </w:t>
      </w:r>
      <w:r w:rsidRPr="002F215F">
        <w:rPr>
          <w:rFonts w:ascii="ITC Avant Garde" w:eastAsia="Times New Roman" w:hAnsi="ITC Avant Garde" w:cs="Times New Roman"/>
          <w:bCs/>
          <w:lang w:val="es-ES_tradnl" w:eastAsia="es-ES"/>
        </w:rPr>
        <w:t>El Instituto Federal de Telecomunicaciones;</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Calibri" w:hAnsi="ITC Avant Garde" w:cs="Times New Roman"/>
        </w:rPr>
      </w:pPr>
      <w:r w:rsidRPr="002F215F">
        <w:rPr>
          <w:rFonts w:ascii="ITC Avant Garde" w:eastAsia="Calibri" w:hAnsi="ITC Avant Garde" w:cs="Times New Roman"/>
          <w:b/>
        </w:rPr>
        <w:t>Ley:</w:t>
      </w:r>
      <w:r w:rsidRPr="002F215F">
        <w:rPr>
          <w:rFonts w:ascii="ITC Avant Garde" w:eastAsia="Calibri" w:hAnsi="ITC Avant Garde" w:cs="Times New Roman"/>
        </w:rPr>
        <w:t xml:space="preserve"> Ley Federal de Telecomunicaciones y Radiodifusión, </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Calibri" w:hAnsi="ITC Avant Garde" w:cs="Times New Roman"/>
        </w:rPr>
      </w:pPr>
      <w:r w:rsidRPr="002F215F">
        <w:rPr>
          <w:rFonts w:ascii="ITC Avant Garde" w:eastAsia="Calibri" w:hAnsi="ITC Avant Garde" w:cs="Times New Roman"/>
          <w:b/>
        </w:rPr>
        <w:t xml:space="preserve"> Servicio Público de Televisión Radiodifundida Digital:</w:t>
      </w:r>
      <w:r w:rsidRPr="002F215F">
        <w:rPr>
          <w:rFonts w:ascii="ITC Avant Garde" w:eastAsia="Calibri" w:hAnsi="ITC Avant Garde" w:cs="Times New Roman"/>
        </w:rPr>
        <w:t xml:space="preserve"> Servicio público de interés general que se presta mediante la propagación de ondas electromagnéticas que transportan señales digitales de audio y video asociados, haciendo uso y aprovechamiento de canales de transmisión de radiodifusión, con el que la población puede recibir de manera directa y gratuita las señales del emisor utilizando los dispositivos idóneos para ello.</w:t>
      </w:r>
    </w:p>
    <w:p w:rsidR="00B05625" w:rsidRPr="002F215F" w:rsidRDefault="00E306AF" w:rsidP="00B05625">
      <w:pPr>
        <w:numPr>
          <w:ilvl w:val="0"/>
          <w:numId w:val="6"/>
        </w:numPr>
        <w:tabs>
          <w:tab w:val="num" w:pos="851"/>
        </w:tabs>
        <w:spacing w:before="240" w:line="276" w:lineRule="auto"/>
        <w:ind w:left="851" w:hanging="425"/>
        <w:jc w:val="both"/>
        <w:rPr>
          <w:rFonts w:ascii="ITC Avant Garde" w:eastAsia="Calibri" w:hAnsi="ITC Avant Garde" w:cs="Times New Roman"/>
        </w:rPr>
      </w:pPr>
      <w:r w:rsidRPr="002F215F">
        <w:rPr>
          <w:rFonts w:ascii="ITC Avant Garde" w:eastAsia="Calibri" w:hAnsi="ITC Avant Garde" w:cs="Times New Roman"/>
          <w:b/>
        </w:rPr>
        <w:t xml:space="preserve">Zona de Cobertura: </w:t>
      </w:r>
      <w:r w:rsidRPr="002F215F">
        <w:rPr>
          <w:rFonts w:ascii="ITC Avant Garde" w:eastAsia="Calibri" w:hAnsi="ITC Avant Garde" w:cs="Times New Roman"/>
        </w:rPr>
        <w:t>Área geográfica circular determinada por el radio de cobertura y las coordenadas de referencia, asociada a un canal de transmisión de radiodifusión, dentro de la cual se podrá prestar el Servicio Público de Televisión Radiodifundida Digital.</w:t>
      </w:r>
    </w:p>
    <w:p w:rsidR="00B05625" w:rsidRPr="002F215F" w:rsidRDefault="00E306AF" w:rsidP="00B05625">
      <w:pPr>
        <w:numPr>
          <w:ilvl w:val="0"/>
          <w:numId w:val="5"/>
        </w:numPr>
        <w:spacing w:before="240" w:line="276" w:lineRule="auto"/>
        <w:jc w:val="both"/>
        <w:rPr>
          <w:rFonts w:ascii="ITC Avant Garde" w:eastAsia="Calibri" w:hAnsi="ITC Avant Garde" w:cs="Times New Roman"/>
          <w:bCs/>
        </w:rPr>
      </w:pPr>
      <w:r w:rsidRPr="002F215F">
        <w:rPr>
          <w:rFonts w:ascii="ITC Avant Garde" w:eastAsia="Calibri" w:hAnsi="ITC Avant Garde" w:cs="Times New Roman"/>
          <w:b/>
        </w:rPr>
        <w:t xml:space="preserve">Modalidad de uso de la Concesión de espectro radioeléctrico. </w:t>
      </w:r>
      <w:r w:rsidRPr="002F215F">
        <w:rPr>
          <w:rFonts w:ascii="ITC Avant Garde" w:eastAsia="Calibri" w:hAnsi="ITC Avant Garde" w:cs="Times New Roman"/>
        </w:rPr>
        <w:t>Con la concesión de espectro radioeléctrico se otorga el uso y aprovechamiento de las bandas de frecuencias del espectro para uso público, sin fines de lucro, para el cumplimiento de sus fines y atribuciones.</w:t>
      </w:r>
    </w:p>
    <w:p w:rsidR="00B05625" w:rsidRPr="002F215F" w:rsidRDefault="00E306AF" w:rsidP="00B05625">
      <w:pPr>
        <w:spacing w:before="240" w:line="276" w:lineRule="auto"/>
        <w:ind w:left="567"/>
        <w:jc w:val="both"/>
        <w:rPr>
          <w:rFonts w:ascii="ITC Avant Garde" w:eastAsia="Calibri" w:hAnsi="ITC Avant Garde" w:cs="Times New Roman"/>
        </w:rPr>
      </w:pPr>
      <w:r w:rsidRPr="002F215F">
        <w:rPr>
          <w:rFonts w:ascii="ITC Avant Garde" w:eastAsia="Calibri" w:hAnsi="ITC Avant Garde" w:cs="Times New Roman"/>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disposiciones técnicas, resoluciones, acuerdos, circulares y demás disposiciones administrativas de carácter general, así como a las condiciones establecidas en el presente título.</w:t>
      </w:r>
    </w:p>
    <w:p w:rsidR="00B05625" w:rsidRPr="002F215F" w:rsidRDefault="00E306AF" w:rsidP="00B05625">
      <w:pPr>
        <w:spacing w:before="240" w:line="276" w:lineRule="auto"/>
        <w:ind w:left="510"/>
        <w:jc w:val="both"/>
        <w:rPr>
          <w:rFonts w:ascii="ITC Avant Garde" w:eastAsia="Calibri" w:hAnsi="ITC Avant Garde" w:cs="Times New Roman"/>
          <w:lang w:val="es-ES_tradnl"/>
        </w:rPr>
      </w:pPr>
      <w:r w:rsidRPr="002F215F">
        <w:rPr>
          <w:rFonts w:ascii="ITC Avant Garde" w:eastAsia="Calibri" w:hAnsi="ITC Avant Garde" w:cs="Times New Roman"/>
          <w:lang w:val="es-ES_tradnl"/>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B05625" w:rsidRPr="002F215F" w:rsidRDefault="00E306AF" w:rsidP="00B05625">
      <w:pPr>
        <w:numPr>
          <w:ilvl w:val="0"/>
          <w:numId w:val="5"/>
        </w:numPr>
        <w:spacing w:before="240" w:line="276" w:lineRule="auto"/>
        <w:jc w:val="both"/>
        <w:rPr>
          <w:rFonts w:ascii="Times New Roman" w:eastAsia="Times New Roman" w:hAnsi="Times New Roman" w:cs="Times New Roman"/>
          <w:lang w:eastAsia="es-MX"/>
        </w:rPr>
      </w:pPr>
      <w:r w:rsidRPr="002F215F">
        <w:rPr>
          <w:rFonts w:ascii="ITC Avant Garde" w:eastAsia="Times New Roman" w:hAnsi="ITC Avant Garde" w:cs="Times New Roman"/>
          <w:b/>
          <w:bCs/>
          <w:lang w:eastAsia="es-MX"/>
        </w:rPr>
        <w:lastRenderedPageBreak/>
        <w:t xml:space="preserve">Domicilio convencional. </w:t>
      </w:r>
      <w:r w:rsidRPr="002F215F">
        <w:rPr>
          <w:rFonts w:ascii="ITC Avant Garde" w:eastAsia="Times New Roman" w:hAnsi="ITC Avant Garde" w:cs="Times New Roman"/>
          <w:bCs/>
          <w:lang w:eastAsia="es-MX"/>
        </w:rPr>
        <w:t>El Concesionario</w:t>
      </w:r>
      <w:r w:rsidRPr="002F215F">
        <w:rPr>
          <w:rFonts w:ascii="ITC Avant Garde" w:eastAsia="Times New Roman" w:hAnsi="ITC Avant Garde" w:cs="Times New Roman"/>
          <w:b/>
          <w:bCs/>
          <w:lang w:eastAsia="es-MX"/>
        </w:rPr>
        <w:t xml:space="preserve"> </w:t>
      </w:r>
      <w:r w:rsidRPr="002F215F">
        <w:rPr>
          <w:rFonts w:ascii="ITC Avant Garde" w:eastAsia="Times New Roman" w:hAnsi="ITC Avant Garde" w:cs="Times New Roman"/>
          <w:bCs/>
          <w:lang w:eastAsia="es-MX"/>
        </w:rPr>
        <w:t xml:space="preserve">señaló como domicilio para oír y recibir todo tipo de notificaciones y documentos, el ubicado en: </w:t>
      </w:r>
      <w:r w:rsidR="00B05625" w:rsidRPr="002F215F">
        <w:rPr>
          <w:rFonts w:ascii="ITC Avant Garde" w:eastAsia="Arial" w:hAnsi="ITC Avant Garde"/>
          <w:b/>
          <w:color w:val="0000FF"/>
        </w:rPr>
        <w:t>(…)</w:t>
      </w:r>
      <w:r w:rsidRPr="002F215F">
        <w:rPr>
          <w:rFonts w:ascii="Times New Roman" w:eastAsia="Times New Roman" w:hAnsi="Times New Roman" w:cs="Times New Roman"/>
          <w:noProof/>
          <w:lang w:eastAsia="es-MX"/>
        </w:rPr>
        <w:t>.</w:t>
      </w:r>
    </w:p>
    <w:p w:rsidR="00B05625" w:rsidRPr="002F215F" w:rsidRDefault="00E306AF" w:rsidP="00B05625">
      <w:pPr>
        <w:spacing w:before="240" w:line="276" w:lineRule="auto"/>
        <w:ind w:left="567"/>
        <w:jc w:val="both"/>
        <w:rPr>
          <w:rFonts w:ascii="ITC Avant Garde" w:eastAsia="Times New Roman" w:hAnsi="ITC Avant Garde" w:cs="Times New Roman"/>
          <w:bCs/>
          <w:lang w:eastAsia="es-MX"/>
        </w:rPr>
      </w:pPr>
      <w:r w:rsidRPr="002F215F">
        <w:rPr>
          <w:rFonts w:ascii="ITC Avant Garde" w:eastAsia="Times New Roman" w:hAnsi="ITC Avant Garde" w:cs="Times New Roman"/>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F215F" w:rsidDel="000C0E5E">
        <w:rPr>
          <w:rFonts w:ascii="ITC Avant Garde" w:eastAsia="Times New Roman" w:hAnsi="ITC Avant Garde" w:cs="Times New Roman"/>
          <w:bCs/>
          <w:lang w:eastAsia="es-MX"/>
        </w:rPr>
        <w:t xml:space="preserve"> </w:t>
      </w:r>
    </w:p>
    <w:p w:rsidR="00E306AF" w:rsidRPr="002F215F" w:rsidRDefault="00E306AF" w:rsidP="00B05625">
      <w:pPr>
        <w:keepLines/>
        <w:numPr>
          <w:ilvl w:val="0"/>
          <w:numId w:val="5"/>
        </w:numPr>
        <w:tabs>
          <w:tab w:val="left" w:pos="567"/>
        </w:tabs>
        <w:spacing w:before="240" w:line="276" w:lineRule="auto"/>
        <w:jc w:val="both"/>
        <w:rPr>
          <w:rFonts w:ascii="ITC Avant Garde" w:eastAsia="Calibri" w:hAnsi="ITC Avant Garde" w:cs="Times New Roman"/>
        </w:rPr>
      </w:pPr>
      <w:r w:rsidRPr="002F215F">
        <w:rPr>
          <w:rFonts w:ascii="ITC Avant Garde" w:eastAsia="Calibri" w:hAnsi="ITC Avant Garde" w:cs="Times New Roman"/>
          <w:b/>
        </w:rPr>
        <w:t xml:space="preserve">Condiciones del uso de la banda de frecuencias. </w:t>
      </w:r>
      <w:r w:rsidRPr="002F215F">
        <w:rPr>
          <w:rFonts w:ascii="ITC Avant Garde" w:eastAsia="Calibri" w:hAnsi="ITC Avant Garde" w:cs="Times New Roman"/>
        </w:rPr>
        <w:t xml:space="preserve">El Concesionario podrá usar y aprovechar las bandas de frecuencias del espectro radioeléctrico de </w:t>
      </w:r>
      <w:r w:rsidRPr="002F215F">
        <w:rPr>
          <w:rFonts w:ascii="ITC Avant Garde" w:eastAsia="Calibri" w:hAnsi="ITC Avant Garde" w:cs="Times New Roman"/>
          <w:bCs/>
        </w:rPr>
        <w:t>radiodifusión</w:t>
      </w:r>
      <w:r w:rsidRPr="002F215F">
        <w:rPr>
          <w:rFonts w:ascii="ITC Avant Garde" w:eastAsia="Calibri" w:hAnsi="ITC Avant Garde" w:cs="Times New Roman"/>
        </w:rPr>
        <w:t xml:space="preserve"> bajo los parámetros y </w:t>
      </w:r>
      <w:r w:rsidRPr="002F215F">
        <w:rPr>
          <w:rFonts w:ascii="ITC Avant Garde" w:eastAsia="Times New Roman" w:hAnsi="ITC Avant Garde" w:cs="Times New Roman"/>
          <w:bCs/>
          <w:lang w:eastAsia="es-ES"/>
        </w:rPr>
        <w:t>características técnicas siguientes:</w:t>
      </w:r>
    </w:p>
    <w:p w:rsidR="00B05625" w:rsidRPr="002F215F" w:rsidRDefault="00B05625" w:rsidP="00B05625">
      <w:pPr>
        <w:pStyle w:val="estilo30"/>
        <w:spacing w:before="0" w:beforeAutospacing="0" w:after="240" w:afterAutospacing="0" w:line="276" w:lineRule="auto"/>
        <w:ind w:left="1134"/>
        <w:jc w:val="both"/>
        <w:rPr>
          <w:rFonts w:ascii="ITC Avant Garde" w:eastAsia="Arial" w:hAnsi="ITC Avant Garde"/>
          <w:b/>
          <w:u w:val="single"/>
        </w:rPr>
      </w:pPr>
      <w:r w:rsidRPr="002F215F">
        <w:rPr>
          <w:rFonts w:ascii="ITC Avant Garde" w:eastAsia="Arial" w:hAnsi="ITC Avant Garde"/>
          <w:b/>
        </w:rPr>
        <w:t>1. Canal asignado:</w:t>
      </w:r>
      <w:r w:rsidRPr="002F215F">
        <w:rPr>
          <w:rFonts w:ascii="ITC Avant Garde" w:eastAsia="Arial" w:hAnsi="ITC Avant Garde"/>
        </w:rPr>
        <w:t xml:space="preserve"> </w:t>
      </w:r>
      <w:r w:rsidRPr="002F215F">
        <w:rPr>
          <w:rFonts w:ascii="ITC Avant Garde" w:eastAsia="Arial" w:hAnsi="ITC Avant Garde"/>
          <w:b/>
          <w:color w:val="0000FF"/>
        </w:rPr>
        <w:t>(…)</w:t>
      </w:r>
    </w:p>
    <w:p w:rsidR="00B05625" w:rsidRPr="002F215F" w:rsidRDefault="00B05625" w:rsidP="00B05625">
      <w:pPr>
        <w:pStyle w:val="estilo30"/>
        <w:spacing w:before="0" w:beforeAutospacing="0" w:after="240" w:afterAutospacing="0" w:line="276" w:lineRule="auto"/>
        <w:ind w:left="1134"/>
        <w:jc w:val="both"/>
        <w:rPr>
          <w:rFonts w:ascii="ITC Avant Garde" w:eastAsia="Arial" w:hAnsi="ITC Avant Garde"/>
        </w:rPr>
      </w:pPr>
      <w:r w:rsidRPr="002F215F">
        <w:rPr>
          <w:rFonts w:ascii="ITC Avant Garde" w:eastAsia="Arial" w:hAnsi="ITC Avant Garde"/>
          <w:b/>
        </w:rPr>
        <w:t xml:space="preserve">2. Distintivo de Llamada: </w:t>
      </w:r>
      <w:r w:rsidRPr="002F215F">
        <w:rPr>
          <w:rFonts w:ascii="ITC Avant Garde" w:eastAsia="Arial" w:hAnsi="ITC Avant Garde"/>
          <w:b/>
          <w:color w:val="0000FF"/>
        </w:rPr>
        <w:t>(…)</w:t>
      </w:r>
    </w:p>
    <w:p w:rsidR="00B05625" w:rsidRPr="002F215F" w:rsidRDefault="00B05625" w:rsidP="00B05625">
      <w:pPr>
        <w:pStyle w:val="estilo30"/>
        <w:spacing w:before="0" w:beforeAutospacing="0" w:after="240" w:afterAutospacing="0" w:line="276" w:lineRule="auto"/>
        <w:ind w:left="1134"/>
        <w:jc w:val="both"/>
        <w:rPr>
          <w:rFonts w:ascii="ITC Avant Garde" w:eastAsia="Arial" w:hAnsi="ITC Avant Garde"/>
        </w:rPr>
      </w:pPr>
      <w:r w:rsidRPr="002F215F">
        <w:rPr>
          <w:rFonts w:ascii="ITC Avant Garde" w:eastAsia="Arial" w:hAnsi="ITC Avant Garde"/>
          <w:b/>
        </w:rPr>
        <w:t xml:space="preserve">3. Población principal a servir: </w:t>
      </w:r>
      <w:r w:rsidRPr="002F215F">
        <w:rPr>
          <w:rFonts w:ascii="ITC Avant Garde" w:eastAsia="Arial" w:hAnsi="ITC Avant Garde"/>
          <w:b/>
          <w:color w:val="0000FF"/>
        </w:rPr>
        <w:t>(…)</w:t>
      </w:r>
    </w:p>
    <w:p w:rsidR="00B05625" w:rsidRPr="002F215F" w:rsidRDefault="00B05625" w:rsidP="00B05625">
      <w:pPr>
        <w:pStyle w:val="estilo30"/>
        <w:spacing w:before="0" w:beforeAutospacing="0" w:after="240" w:afterAutospacing="0" w:line="276" w:lineRule="auto"/>
        <w:ind w:left="1134"/>
        <w:jc w:val="both"/>
        <w:rPr>
          <w:rFonts w:ascii="ITC Avant Garde" w:eastAsia="Arial" w:hAnsi="ITC Avant Garde"/>
        </w:rPr>
      </w:pPr>
      <w:r w:rsidRPr="002F215F">
        <w:rPr>
          <w:rFonts w:ascii="ITC Avant Garde" w:eastAsia="Arial" w:hAnsi="ITC Avant Garde"/>
          <w:b/>
        </w:rPr>
        <w:t xml:space="preserve">4. Zona de Cobertura: </w:t>
      </w:r>
      <w:r w:rsidRPr="002F215F">
        <w:rPr>
          <w:rFonts w:ascii="ITC Avant Garde" w:eastAsia="Arial" w:hAnsi="ITC Avant Garde"/>
          <w:b/>
          <w:color w:val="0000FF"/>
        </w:rPr>
        <w:t>(…)</w:t>
      </w:r>
    </w:p>
    <w:p w:rsidR="00B05625" w:rsidRPr="002F215F" w:rsidRDefault="00B05625" w:rsidP="00B05625">
      <w:pPr>
        <w:pStyle w:val="estilo30"/>
        <w:spacing w:before="0" w:beforeAutospacing="0" w:after="240" w:afterAutospacing="0" w:line="276" w:lineRule="auto"/>
        <w:ind w:left="1134"/>
        <w:jc w:val="both"/>
        <w:rPr>
          <w:rFonts w:ascii="ITC Avant Garde" w:eastAsia="Arial" w:hAnsi="ITC Avant Garde"/>
        </w:rPr>
      </w:pPr>
      <w:r w:rsidRPr="002F215F">
        <w:rPr>
          <w:rFonts w:ascii="ITC Avant Garde" w:eastAsia="Arial" w:hAnsi="ITC Avant Garde"/>
          <w:b/>
        </w:rPr>
        <w:t xml:space="preserve">5. Centro de la zona de Cobertura (coordenadas geográficas de referencia): </w:t>
      </w:r>
      <w:r w:rsidRPr="002F215F">
        <w:rPr>
          <w:rFonts w:ascii="ITC Avant Garde" w:eastAsia="Arial" w:hAnsi="ITC Avant Garde"/>
        </w:rPr>
        <w:t xml:space="preserve">L.N. </w:t>
      </w:r>
      <w:r w:rsidRPr="002F215F">
        <w:rPr>
          <w:rFonts w:ascii="ITC Avant Garde" w:eastAsia="Arial" w:hAnsi="ITC Avant Garde"/>
          <w:b/>
          <w:color w:val="0000FF"/>
        </w:rPr>
        <w:t>(…)</w:t>
      </w:r>
      <w:r w:rsidRPr="002F215F">
        <w:rPr>
          <w:rFonts w:ascii="ITC Avant Garde" w:eastAsia="Arial" w:hAnsi="ITC Avant Garde"/>
        </w:rPr>
        <w:t xml:space="preserve">° </w:t>
      </w:r>
      <w:r w:rsidRPr="002F215F">
        <w:rPr>
          <w:rFonts w:ascii="ITC Avant Garde" w:eastAsia="Arial" w:hAnsi="ITC Avant Garde"/>
          <w:b/>
          <w:color w:val="0000FF"/>
        </w:rPr>
        <w:t>(…)</w:t>
      </w:r>
      <w:r w:rsidRPr="002F215F">
        <w:rPr>
          <w:rFonts w:ascii="ITC Avant Garde" w:eastAsia="Arial" w:hAnsi="ITC Avant Garde"/>
        </w:rPr>
        <w:t xml:space="preserve">´ </w:t>
      </w:r>
      <w:r w:rsidRPr="002F215F">
        <w:rPr>
          <w:rFonts w:ascii="ITC Avant Garde" w:eastAsia="Arial" w:hAnsi="ITC Avant Garde"/>
          <w:b/>
          <w:color w:val="0000FF"/>
        </w:rPr>
        <w:t>(…)</w:t>
      </w:r>
      <w:r w:rsidRPr="002F215F">
        <w:rPr>
          <w:rFonts w:ascii="ITC Avant Garde" w:eastAsia="Arial" w:hAnsi="ITC Avant Garde"/>
        </w:rPr>
        <w:t xml:space="preserve">" y L.W. </w:t>
      </w:r>
      <w:r w:rsidRPr="002F215F">
        <w:rPr>
          <w:rFonts w:ascii="ITC Avant Garde" w:eastAsia="Arial" w:hAnsi="ITC Avant Garde"/>
          <w:b/>
          <w:color w:val="0000FF"/>
        </w:rPr>
        <w:t>(…)</w:t>
      </w:r>
      <w:r w:rsidRPr="002F215F">
        <w:rPr>
          <w:rFonts w:ascii="ITC Avant Garde" w:eastAsia="Arial" w:hAnsi="ITC Avant Garde"/>
        </w:rPr>
        <w:t xml:space="preserve">° </w:t>
      </w:r>
      <w:r w:rsidRPr="002F215F">
        <w:rPr>
          <w:rFonts w:ascii="ITC Avant Garde" w:eastAsia="Arial" w:hAnsi="ITC Avant Garde"/>
          <w:b/>
          <w:color w:val="0000FF"/>
        </w:rPr>
        <w:t>(…)</w:t>
      </w:r>
      <w:r w:rsidRPr="002F215F">
        <w:rPr>
          <w:rFonts w:ascii="ITC Avant Garde" w:eastAsia="Arial" w:hAnsi="ITC Avant Garde"/>
        </w:rPr>
        <w:t xml:space="preserve">´ </w:t>
      </w:r>
      <w:r w:rsidRPr="002F215F">
        <w:rPr>
          <w:rFonts w:ascii="ITC Avant Garde" w:eastAsia="Arial" w:hAnsi="ITC Avant Garde"/>
          <w:b/>
          <w:color w:val="0000FF"/>
        </w:rPr>
        <w:t>(…)</w:t>
      </w:r>
      <w:r w:rsidRPr="002F215F">
        <w:rPr>
          <w:rFonts w:ascii="ITC Avant Garde" w:eastAsia="Arial" w:hAnsi="ITC Avant Garde"/>
        </w:rPr>
        <w:t>"</w:t>
      </w:r>
    </w:p>
    <w:p w:rsidR="00E306AF" w:rsidRPr="002F215F" w:rsidRDefault="00E306AF" w:rsidP="00B05625">
      <w:pPr>
        <w:spacing w:before="240" w:line="276" w:lineRule="auto"/>
        <w:ind w:left="567"/>
        <w:jc w:val="both"/>
        <w:rPr>
          <w:rFonts w:ascii="ITC Avant Garde" w:eastAsia="Arial" w:hAnsi="ITC Avant Garde" w:cs="Times New Roman"/>
          <w:bCs/>
        </w:rPr>
      </w:pPr>
      <w:r w:rsidRPr="002F215F">
        <w:rPr>
          <w:rFonts w:ascii="ITC Avant Garde" w:eastAsia="Arial" w:hAnsi="ITC Avant Garde" w:cs="Times New Roman"/>
          <w:bCs/>
        </w:rPr>
        <w:t xml:space="preserve">Las demás características, condiciones y parámetros técnicos autorizados hasta el momento, relacionados con el permiso objeto de transición que no se señalen en el presente título se mantienen en los términos autorizados hasta en tanto no sean modificadas. </w:t>
      </w:r>
    </w:p>
    <w:p w:rsidR="00B05625" w:rsidRPr="002F215F" w:rsidRDefault="00E306AF" w:rsidP="00B05625">
      <w:pPr>
        <w:spacing w:before="240" w:line="276" w:lineRule="auto"/>
        <w:ind w:left="567"/>
        <w:jc w:val="both"/>
        <w:rPr>
          <w:rFonts w:ascii="ITC Avant Garde" w:eastAsia="Calibri" w:hAnsi="ITC Avant Garde" w:cs="Times New Roman"/>
          <w:bCs/>
        </w:rPr>
      </w:pPr>
      <w:r w:rsidRPr="002F215F">
        <w:rPr>
          <w:rFonts w:ascii="ITC Avant Garde" w:eastAsia="Calibri" w:hAnsi="ITC Avant Garde" w:cs="Times New Roman"/>
          <w:bCs/>
        </w:rPr>
        <w:t xml:space="preserve">El objeto de la concesión es el uso y aprovechamiento de bandas de frecuencias del espectro radioeléctrico para la prestación del servicio de radiodifusión </w:t>
      </w:r>
      <w:r w:rsidRPr="002F215F">
        <w:rPr>
          <w:rFonts w:ascii="ITC Avant Garde" w:eastAsia="Arial" w:hAnsi="ITC Avant Garde" w:cs="Times New Roman"/>
          <w:bCs/>
        </w:rPr>
        <w:t>señalado</w:t>
      </w:r>
      <w:r w:rsidRPr="002F215F">
        <w:rPr>
          <w:rFonts w:ascii="ITC Avant Garde" w:eastAsia="Calibri" w:hAnsi="ITC Avant Garde" w:cs="Times New Roman"/>
          <w:bCs/>
        </w:rPr>
        <w:t>, sin fines de lucro para el cumplimiento de sus fines y atribuciones, por lo que, en ningún caso, podrán utilizarse las bandas de frecuencias señaladas en el presente título para fines distintos.</w:t>
      </w:r>
    </w:p>
    <w:p w:rsidR="00E306AF" w:rsidRPr="002F215F" w:rsidRDefault="00E306AF" w:rsidP="00B05625">
      <w:pPr>
        <w:numPr>
          <w:ilvl w:val="0"/>
          <w:numId w:val="7"/>
        </w:numPr>
        <w:spacing w:before="240" w:line="276" w:lineRule="auto"/>
        <w:jc w:val="both"/>
        <w:rPr>
          <w:rFonts w:ascii="ITC Avant Garde" w:eastAsia="Times New Roman" w:hAnsi="ITC Avant Garde" w:cs="Times New Roman"/>
          <w:bCs/>
          <w:lang w:val="es-ES_tradnl" w:eastAsia="es-ES"/>
        </w:rPr>
      </w:pPr>
      <w:r w:rsidRPr="002F215F">
        <w:rPr>
          <w:rFonts w:ascii="ITC Avant Garde" w:eastAsia="Calibri" w:hAnsi="ITC Avant Garde" w:cs="Times New Roman"/>
          <w:b/>
          <w:bCs/>
        </w:rPr>
        <w:t>Zona de Cobertura.</w:t>
      </w:r>
      <w:r w:rsidRPr="002F215F">
        <w:rPr>
          <w:rFonts w:ascii="ITC Avant Garde" w:eastAsia="Calibri" w:hAnsi="ITC Avant Garde" w:cs="Times New Roman"/>
          <w:bCs/>
        </w:rPr>
        <w:t xml:space="preserve"> El Concesionario deberá usar y aprovechar las frecuencias radioeléctricas para prestar el Servicio Público de Televisión Radiodifundida Digital con las características técnicas señaladas en:</w:t>
      </w:r>
    </w:p>
    <w:p w:rsidR="00B05625" w:rsidRPr="002F215F" w:rsidRDefault="00B05625" w:rsidP="00B05625">
      <w:pPr>
        <w:pStyle w:val="Prrafodelista"/>
        <w:spacing w:after="240"/>
        <w:jc w:val="center"/>
        <w:rPr>
          <w:rFonts w:ascii="ITC Avant Garde" w:eastAsia="Arial" w:hAnsi="ITC Avant Garde"/>
        </w:rPr>
      </w:pPr>
      <w:r w:rsidRPr="002F215F">
        <w:rPr>
          <w:rFonts w:ascii="ITC Avant Garde" w:hAnsi="ITC Avant Garde"/>
          <w:b/>
          <w:bCs/>
        </w:rPr>
        <w:t xml:space="preserve">Población principal a servir / Estado(s): </w:t>
      </w:r>
      <w:r w:rsidRPr="002F215F">
        <w:rPr>
          <w:rFonts w:ascii="ITC Avant Garde" w:eastAsia="Arial" w:hAnsi="ITC Avant Garde"/>
          <w:b/>
          <w:color w:val="0000FF"/>
        </w:rPr>
        <w:t>(…)</w:t>
      </w:r>
    </w:p>
    <w:p w:rsidR="00B05625" w:rsidRPr="002F215F" w:rsidRDefault="00B05625" w:rsidP="00B05625">
      <w:pPr>
        <w:pStyle w:val="Prrafodelista"/>
        <w:spacing w:after="240"/>
        <w:jc w:val="center"/>
        <w:rPr>
          <w:rFonts w:ascii="ITC Avant Garde" w:hAnsi="ITC Avant Garde"/>
          <w:bCs/>
        </w:rPr>
      </w:pPr>
      <w:r w:rsidRPr="002F215F">
        <w:rPr>
          <w:rFonts w:ascii="ITC Avant Garde" w:eastAsia="Calibri" w:hAnsi="ITC Avant Garde" w:cs="Times New Roman"/>
          <w:b/>
          <w:bCs/>
        </w:rPr>
        <w:t xml:space="preserve">Coordenadas de referencia: Latitud (N) </w:t>
      </w:r>
      <w:r w:rsidRPr="002F215F">
        <w:rPr>
          <w:rFonts w:ascii="ITC Avant Garde" w:eastAsia="Arial" w:hAnsi="ITC Avant Garde"/>
          <w:b/>
          <w:color w:val="0000FF"/>
        </w:rPr>
        <w:t xml:space="preserve">(…) </w:t>
      </w:r>
      <w:r w:rsidRPr="002F215F">
        <w:rPr>
          <w:rFonts w:ascii="ITC Avant Garde" w:eastAsia="Calibri" w:hAnsi="ITC Avant Garde" w:cs="Times New Roman"/>
          <w:b/>
          <w:bCs/>
        </w:rPr>
        <w:t xml:space="preserve">y Longitud (O) </w:t>
      </w:r>
      <w:r w:rsidRPr="002F215F">
        <w:rPr>
          <w:rFonts w:ascii="ITC Avant Garde" w:eastAsia="Arial" w:hAnsi="ITC Avant Garde"/>
          <w:b/>
          <w:color w:val="0000FF"/>
        </w:rPr>
        <w:t>(…)</w:t>
      </w:r>
    </w:p>
    <w:p w:rsidR="00B05625" w:rsidRPr="002F215F" w:rsidRDefault="00E306AF" w:rsidP="00B05625">
      <w:pPr>
        <w:keepLines/>
        <w:numPr>
          <w:ilvl w:val="0"/>
          <w:numId w:val="7"/>
        </w:numPr>
        <w:spacing w:before="240" w:line="276" w:lineRule="auto"/>
        <w:jc w:val="both"/>
        <w:rPr>
          <w:rFonts w:ascii="ITC Avant Garde" w:eastAsia="Times New Roman" w:hAnsi="ITC Avant Garde" w:cs="Times New Roman"/>
          <w:bCs/>
          <w:lang w:val="es-ES_tradnl" w:eastAsia="es-ES"/>
        </w:rPr>
      </w:pPr>
      <w:r w:rsidRPr="002F215F">
        <w:rPr>
          <w:rFonts w:ascii="ITC Avant Garde" w:eastAsia="Times New Roman" w:hAnsi="ITC Avant Garde" w:cs="Times New Roman"/>
          <w:b/>
          <w:lang w:val="es-ES_tradnl" w:eastAsia="es-ES"/>
        </w:rPr>
        <w:lastRenderedPageBreak/>
        <w:t>Vigencia de la Concesión.</w:t>
      </w:r>
      <w:r w:rsidRPr="002F215F">
        <w:rPr>
          <w:rFonts w:ascii="ITC Avant Garde" w:eastAsia="Times New Roman" w:hAnsi="ITC Avant Garde" w:cs="Times New Roman"/>
          <w:lang w:val="es-ES_tradnl" w:eastAsia="es-ES"/>
        </w:rPr>
        <w:t xml:space="preserve"> La Concesión de espectro radioeléctrico para uso público tendrá una vigencia de 15 (quince) años contados a partir del día siguiente a la fecha de vencimiento establecida en el permiso respectivo, esto es, del </w:t>
      </w:r>
      <w:r w:rsidR="00B05625" w:rsidRPr="002F215F">
        <w:rPr>
          <w:rFonts w:ascii="ITC Avant Garde" w:eastAsia="Arial" w:hAnsi="ITC Avant Garde"/>
          <w:b/>
          <w:color w:val="0000FF"/>
        </w:rPr>
        <w:t>(…)</w:t>
      </w:r>
      <w:r w:rsidRPr="002F215F">
        <w:rPr>
          <w:rFonts w:ascii="ITC Avant Garde" w:eastAsia="Times New Roman" w:hAnsi="ITC Avant Garde" w:cs="Times New Roman"/>
          <w:lang w:val="es-ES_tradnl" w:eastAsia="es-ES"/>
        </w:rPr>
        <w:t xml:space="preserve"> al </w:t>
      </w:r>
      <w:r w:rsidR="00B05625" w:rsidRPr="002F215F">
        <w:rPr>
          <w:rFonts w:ascii="ITC Avant Garde" w:eastAsia="Arial" w:hAnsi="ITC Avant Garde"/>
          <w:b/>
          <w:color w:val="0000FF"/>
        </w:rPr>
        <w:t>(…)</w:t>
      </w:r>
      <w:r w:rsidRPr="002F215F">
        <w:rPr>
          <w:rFonts w:ascii="ITC Avant Garde" w:eastAsia="Times New Roman" w:hAnsi="ITC Avant Garde" w:cs="Times New Roman"/>
          <w:lang w:val="es-ES_tradnl" w:eastAsia="es-ES"/>
        </w:rPr>
        <w:t xml:space="preserve"> </w:t>
      </w:r>
      <w:r w:rsidRPr="002F215F">
        <w:rPr>
          <w:rFonts w:ascii="ITC Avant Garde" w:eastAsia="Times New Roman" w:hAnsi="ITC Avant Garde" w:cs="Times New Roman"/>
          <w:bCs/>
          <w:lang w:val="es-ES_tradnl" w:eastAsia="es-ES"/>
        </w:rPr>
        <w:t>y podrá ser prorrogada hasta por plazos iguales conforme a lo dispuesto en la Ley.</w:t>
      </w:r>
    </w:p>
    <w:p w:rsidR="00B05625" w:rsidRPr="002F215F" w:rsidRDefault="00E306AF" w:rsidP="005175A3">
      <w:pPr>
        <w:pStyle w:val="Ttulo4"/>
        <w:spacing w:after="240"/>
        <w:jc w:val="center"/>
        <w:rPr>
          <w:rFonts w:ascii="ITC Avant Garde" w:hAnsi="ITC Avant Garde"/>
          <w:b/>
          <w:i w:val="0"/>
          <w:color w:val="000000" w:themeColor="text1"/>
        </w:rPr>
      </w:pPr>
      <w:r w:rsidRPr="002F215F">
        <w:rPr>
          <w:rFonts w:ascii="ITC Avant Garde" w:hAnsi="ITC Avant Garde"/>
          <w:b/>
          <w:i w:val="0"/>
          <w:color w:val="000000" w:themeColor="text1"/>
        </w:rPr>
        <w:t>Derechos y obligaciones</w:t>
      </w:r>
    </w:p>
    <w:p w:rsidR="00B05625" w:rsidRPr="002F215F" w:rsidRDefault="00E306AF" w:rsidP="00B05625">
      <w:pPr>
        <w:numPr>
          <w:ilvl w:val="0"/>
          <w:numId w:val="7"/>
        </w:numPr>
        <w:tabs>
          <w:tab w:val="left" w:pos="567"/>
        </w:tabs>
        <w:spacing w:before="240" w:line="276" w:lineRule="auto"/>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t xml:space="preserve"> Calidad de la Operación.</w:t>
      </w:r>
      <w:r w:rsidRPr="002F215F">
        <w:rPr>
          <w:rFonts w:ascii="ITC Avant Garde" w:eastAsia="Times New Roman" w:hAnsi="ITC Avant Garde" w:cs="Times New Roman"/>
          <w:lang w:val="es-ES_tradnl" w:eastAsia="es-ES"/>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E306AF" w:rsidRPr="002F215F" w:rsidRDefault="00E306AF" w:rsidP="00B05625">
      <w:pPr>
        <w:numPr>
          <w:ilvl w:val="0"/>
          <w:numId w:val="7"/>
        </w:numPr>
        <w:tabs>
          <w:tab w:val="left" w:pos="567"/>
        </w:tabs>
        <w:spacing w:before="240" w:line="276" w:lineRule="auto"/>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t xml:space="preserve">  Interferencias Perjudiciales. </w:t>
      </w:r>
      <w:r w:rsidRPr="002F215F">
        <w:rPr>
          <w:rFonts w:ascii="ITC Avant Garde" w:eastAsia="Times New Roman" w:hAnsi="ITC Avant Garde" w:cs="Times New Roman"/>
          <w:lang w:val="es-ES_tradnl" w:eastAsia="es-ES"/>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B05625" w:rsidRPr="002F215F" w:rsidRDefault="00E306AF" w:rsidP="00B05625">
      <w:pPr>
        <w:tabs>
          <w:tab w:val="left" w:pos="709"/>
        </w:tabs>
        <w:spacing w:before="240" w:line="276" w:lineRule="auto"/>
        <w:ind w:left="709"/>
        <w:jc w:val="both"/>
        <w:rPr>
          <w:rFonts w:ascii="ITC Avant Garde" w:eastAsia="Calibri" w:hAnsi="ITC Avant Garde" w:cs="Times New Roman"/>
        </w:rPr>
      </w:pPr>
      <w:r w:rsidRPr="002F215F">
        <w:rPr>
          <w:rFonts w:ascii="ITC Avant Garde" w:eastAsia="Calibri" w:hAnsi="ITC Avant Garde" w:cs="Times New Roman"/>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B05625" w:rsidRPr="002F215F" w:rsidRDefault="00E306AF" w:rsidP="00B05625">
      <w:pPr>
        <w:numPr>
          <w:ilvl w:val="0"/>
          <w:numId w:val="7"/>
        </w:numPr>
        <w:tabs>
          <w:tab w:val="center" w:pos="709"/>
        </w:tabs>
        <w:spacing w:before="240" w:line="276" w:lineRule="auto"/>
        <w:ind w:left="709" w:hanging="283"/>
        <w:jc w:val="both"/>
        <w:rPr>
          <w:rFonts w:ascii="ITC Avant Garde" w:eastAsia="Calibri" w:hAnsi="ITC Avant Garde" w:cs="Times New Roman"/>
          <w:b/>
        </w:rPr>
      </w:pPr>
      <w:r w:rsidRPr="002F215F">
        <w:rPr>
          <w:rFonts w:ascii="ITC Avant Garde" w:eastAsia="Calibri" w:hAnsi="ITC Avant Garde" w:cs="Times New Roman"/>
          <w:b/>
        </w:rPr>
        <w:t>Modificaciones Técnicas.</w:t>
      </w:r>
      <w:r w:rsidRPr="002F215F">
        <w:rPr>
          <w:rFonts w:ascii="ITC Avant Garde" w:eastAsia="Calibri" w:hAnsi="ITC Avant Garde" w:cs="Times New Roman"/>
        </w:rPr>
        <w:t xml:space="preserve"> </w:t>
      </w:r>
      <w:r w:rsidRPr="002F215F">
        <w:rPr>
          <w:rFonts w:ascii="ITC Avant Garde" w:eastAsia="Calibri" w:hAnsi="ITC Avant Garde" w:cs="Times New Roman"/>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B05625" w:rsidRPr="002F215F" w:rsidRDefault="00E306AF" w:rsidP="00B05625">
      <w:pPr>
        <w:numPr>
          <w:ilvl w:val="0"/>
          <w:numId w:val="7"/>
        </w:numPr>
        <w:spacing w:before="240" w:line="276" w:lineRule="auto"/>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eastAsia="es-ES"/>
        </w:rPr>
        <w:t>Multiprogramación.</w:t>
      </w:r>
      <w:r w:rsidRPr="002F215F">
        <w:rPr>
          <w:rFonts w:ascii="ITC Avant Garde" w:eastAsia="Times New Roman" w:hAnsi="ITC Avant Garde" w:cs="Times New Roman"/>
          <w:lang w:eastAsia="es-ES"/>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w:t>
      </w:r>
      <w:r w:rsidRPr="002F215F">
        <w:rPr>
          <w:rFonts w:ascii="ITC Avant Garde" w:eastAsia="Times New Roman" w:hAnsi="ITC Avant Garde" w:cs="Times New Roman"/>
          <w:lang w:eastAsia="es-ES"/>
        </w:rPr>
        <w:lastRenderedPageBreak/>
        <w:t>de la Federación el 17 de febrero de 2015, o bien, la normatividad que en este aspecto emita el Instituto.</w:t>
      </w:r>
    </w:p>
    <w:p w:rsidR="00B05625" w:rsidRPr="002F215F" w:rsidRDefault="00E306AF" w:rsidP="00B05625">
      <w:pPr>
        <w:numPr>
          <w:ilvl w:val="0"/>
          <w:numId w:val="7"/>
        </w:numPr>
        <w:spacing w:before="240" w:line="276" w:lineRule="auto"/>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lang w:val="es-ES_tradnl" w:eastAsia="es-ES"/>
        </w:rPr>
        <w:t>Contraprestaciones.</w:t>
      </w:r>
      <w:r w:rsidRPr="002F215F">
        <w:rPr>
          <w:rFonts w:ascii="ITC Avant Garde" w:eastAsia="Times New Roman" w:hAnsi="ITC Avant Garde" w:cs="Times New Roman"/>
          <w:lang w:val="es-ES_tradnl" w:eastAsia="es-ES"/>
        </w:rPr>
        <w:t xml:space="preserve"> </w:t>
      </w:r>
      <w:r w:rsidRPr="002F215F">
        <w:rPr>
          <w:rFonts w:ascii="ITC Avant Garde" w:eastAsia="Times New Roman" w:hAnsi="ITC Avant Garde" w:cs="Times New Roman"/>
          <w:lang w:eastAsia="es-ES"/>
        </w:rPr>
        <w:t>El Concesionario queda obligado a pagar todas las contraprestaciones que al efecto establezca el Instituto o las disposiciones aplicables en la materia y las contribuciones que deriven del uso y aprovechamiento de las bandas de frecuencias del espectro radioeléctrico.</w:t>
      </w:r>
    </w:p>
    <w:p w:rsidR="00B05625" w:rsidRPr="002F215F" w:rsidRDefault="00E306AF" w:rsidP="00B05625">
      <w:pPr>
        <w:numPr>
          <w:ilvl w:val="0"/>
          <w:numId w:val="7"/>
        </w:numPr>
        <w:spacing w:before="240" w:line="276" w:lineRule="auto"/>
        <w:jc w:val="both"/>
        <w:rPr>
          <w:rFonts w:ascii="ITC Avant Garde" w:eastAsia="Times New Roman" w:hAnsi="ITC Avant Garde" w:cs="Times New Roman"/>
          <w:lang w:val="es-ES_tradnl" w:eastAsia="es-ES"/>
        </w:rPr>
      </w:pPr>
      <w:r w:rsidRPr="002F215F">
        <w:rPr>
          <w:rFonts w:ascii="ITC Avant Garde" w:eastAsia="Times New Roman" w:hAnsi="ITC Avant Garde" w:cs="Times New Roman"/>
          <w:b/>
          <w:bCs/>
          <w:lang w:val="es-ES_tradnl" w:eastAsia="es-ES"/>
        </w:rPr>
        <w:t xml:space="preserve">Mecanismos para garantizar el carácter de uso público. </w:t>
      </w:r>
      <w:r w:rsidRPr="002F215F">
        <w:rPr>
          <w:rFonts w:ascii="ITC Avant Garde" w:eastAsia="Times New Roman" w:hAnsi="ITC Avant Garde" w:cs="Times New Roman"/>
          <w:lang w:val="es-ES_tradnl" w:eastAsia="es-ES"/>
        </w:rPr>
        <w:t>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mecanismos a que se refiere el artículo 86 de la Ley que aseguren los siguientes principios: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Dicha obligación deberá ser cumplida por el Concesionario dentro del plazo de seis meses contados a partir del día siguiente de la fecha de entrega del presente título. El incumplimiento a esta obligación motivará la revocación de la concesión.</w:t>
      </w:r>
    </w:p>
    <w:p w:rsidR="00B05625" w:rsidRPr="002F215F" w:rsidRDefault="00E306AF" w:rsidP="005175A3">
      <w:pPr>
        <w:pStyle w:val="Ttulo4"/>
        <w:spacing w:after="240"/>
        <w:jc w:val="center"/>
        <w:rPr>
          <w:rFonts w:ascii="ITC Avant Garde" w:hAnsi="ITC Avant Garde"/>
          <w:b/>
          <w:i w:val="0"/>
          <w:color w:val="000000" w:themeColor="text1"/>
        </w:rPr>
      </w:pPr>
      <w:r w:rsidRPr="002F215F">
        <w:rPr>
          <w:rFonts w:ascii="ITC Avant Garde" w:hAnsi="ITC Avant Garde"/>
          <w:b/>
          <w:i w:val="0"/>
          <w:color w:val="000000" w:themeColor="text1"/>
        </w:rPr>
        <w:t>Jurisdicción y competencia</w:t>
      </w:r>
    </w:p>
    <w:p w:rsidR="00B05625" w:rsidRPr="002F215F" w:rsidRDefault="00E306AF" w:rsidP="00B05625">
      <w:pPr>
        <w:numPr>
          <w:ilvl w:val="0"/>
          <w:numId w:val="7"/>
        </w:numPr>
        <w:spacing w:before="240" w:line="276" w:lineRule="auto"/>
        <w:jc w:val="both"/>
        <w:rPr>
          <w:rFonts w:ascii="ITC Avant Garde" w:eastAsia="Calibri" w:hAnsi="ITC Avant Garde" w:cs="Times New Roman"/>
        </w:rPr>
      </w:pPr>
      <w:r w:rsidRPr="002F215F">
        <w:rPr>
          <w:rFonts w:ascii="ITC Avant Garde" w:eastAsia="Calibri" w:hAnsi="ITC Avant Garde" w:cs="Times New Roman"/>
          <w:b/>
          <w:bCs/>
        </w:rPr>
        <w:t xml:space="preserve">Jurisdicción y competencia. </w:t>
      </w:r>
      <w:r w:rsidRPr="002F215F">
        <w:rPr>
          <w:rFonts w:ascii="ITC Avant Garde" w:eastAsia="Calibri" w:hAnsi="ITC Avant Garde" w:cs="Times New Roman"/>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2F215F">
        <w:rPr>
          <w:rFonts w:ascii="ITC Avant Garde" w:eastAsia="Calibri" w:hAnsi="ITC Avant Garde" w:cs="Times New Roman"/>
        </w:rPr>
        <w:t xml:space="preserve"> </w:t>
      </w:r>
    </w:p>
    <w:p w:rsidR="00B05625" w:rsidRPr="002F215F" w:rsidRDefault="00E306AF" w:rsidP="00B05625">
      <w:pPr>
        <w:spacing w:before="240" w:line="276" w:lineRule="auto"/>
        <w:jc w:val="both"/>
        <w:rPr>
          <w:rFonts w:ascii="ITC Avant Garde" w:eastAsia="Times New Roman" w:hAnsi="ITC Avant Garde" w:cs="Times New Roman"/>
          <w:b/>
          <w:bCs/>
          <w:lang w:eastAsia="es-MX"/>
        </w:rPr>
      </w:pPr>
      <w:r w:rsidRPr="002F215F">
        <w:rPr>
          <w:rFonts w:ascii="ITC Avant Garde" w:eastAsia="Times New Roman" w:hAnsi="ITC Avant Garde" w:cs="Times New Roman"/>
          <w:b/>
          <w:bCs/>
          <w:lang w:eastAsia="es-MX"/>
        </w:rPr>
        <w:t xml:space="preserve">Ciudad de México, a </w:t>
      </w:r>
      <w:r w:rsidR="00B05625" w:rsidRPr="002F215F">
        <w:rPr>
          <w:rFonts w:ascii="ITC Avant Garde" w:eastAsia="Arial" w:hAnsi="ITC Avant Garde"/>
          <w:b/>
          <w:color w:val="0000FF"/>
        </w:rPr>
        <w:t>(…)</w:t>
      </w:r>
    </w:p>
    <w:p w:rsidR="00B05625" w:rsidRPr="002F215F" w:rsidRDefault="00B05625" w:rsidP="003D5542">
      <w:pPr>
        <w:pStyle w:val="estilo30"/>
        <w:spacing w:before="0" w:beforeAutospacing="0" w:after="240" w:afterAutospacing="0"/>
        <w:jc w:val="center"/>
        <w:rPr>
          <w:rFonts w:ascii="ITC Avant Garde" w:hAnsi="ITC Avant Garde"/>
          <w:b/>
          <w:bCs/>
          <w:sz w:val="22"/>
          <w:szCs w:val="22"/>
        </w:rPr>
      </w:pPr>
      <w:r w:rsidRPr="002F215F">
        <w:rPr>
          <w:rFonts w:ascii="ITC Avant Garde" w:hAnsi="ITC Avant Garde"/>
          <w:b/>
          <w:bCs/>
          <w:sz w:val="22"/>
          <w:szCs w:val="22"/>
        </w:rPr>
        <w:t>INSTITUTO FEDERAL DE TELECOMUNICACIONES</w:t>
      </w:r>
    </w:p>
    <w:p w:rsidR="00B05625" w:rsidRPr="002F215F" w:rsidRDefault="00B05625" w:rsidP="003D5542">
      <w:pPr>
        <w:pStyle w:val="estilo30"/>
        <w:spacing w:before="0" w:beforeAutospacing="0" w:after="240" w:afterAutospacing="0"/>
        <w:jc w:val="center"/>
        <w:rPr>
          <w:rFonts w:ascii="ITC Avant Garde" w:hAnsi="ITC Avant Garde"/>
          <w:b/>
          <w:bCs/>
          <w:sz w:val="22"/>
          <w:szCs w:val="22"/>
        </w:rPr>
      </w:pPr>
      <w:r w:rsidRPr="002F215F">
        <w:rPr>
          <w:rFonts w:ascii="ITC Avant Garde" w:hAnsi="ITC Avant Garde"/>
          <w:b/>
          <w:bCs/>
          <w:sz w:val="22"/>
          <w:szCs w:val="22"/>
        </w:rPr>
        <w:t>EL COMISIONADO PRESIDENTE</w:t>
      </w:r>
    </w:p>
    <w:p w:rsidR="00B05625" w:rsidRPr="002F215F" w:rsidRDefault="00B05625" w:rsidP="003D5542">
      <w:pPr>
        <w:pStyle w:val="estilo30"/>
        <w:spacing w:before="0" w:beforeAutospacing="0" w:after="240" w:afterAutospacing="0"/>
        <w:jc w:val="center"/>
        <w:rPr>
          <w:rFonts w:ascii="ITC Avant Garde" w:hAnsi="ITC Avant Garde"/>
          <w:b/>
          <w:bCs/>
          <w:sz w:val="22"/>
          <w:szCs w:val="22"/>
        </w:rPr>
      </w:pPr>
      <w:r w:rsidRPr="002F215F">
        <w:rPr>
          <w:rFonts w:ascii="ITC Avant Garde" w:hAnsi="ITC Avant Garde"/>
          <w:b/>
          <w:bCs/>
          <w:sz w:val="22"/>
          <w:szCs w:val="22"/>
        </w:rPr>
        <w:t>GABRIEL OSWALDO CONTRERAS SALDÍVAR</w:t>
      </w:r>
    </w:p>
    <w:p w:rsidR="00B05625" w:rsidRPr="002F215F" w:rsidRDefault="00B05625" w:rsidP="003D5542">
      <w:pPr>
        <w:pStyle w:val="estilo30"/>
        <w:spacing w:before="0" w:beforeAutospacing="0" w:after="240" w:afterAutospacing="0"/>
        <w:jc w:val="center"/>
        <w:rPr>
          <w:rFonts w:ascii="ITC Avant Garde" w:hAnsi="ITC Avant Garde"/>
          <w:b/>
          <w:bCs/>
          <w:sz w:val="22"/>
          <w:szCs w:val="22"/>
        </w:rPr>
      </w:pPr>
      <w:r w:rsidRPr="002F215F">
        <w:rPr>
          <w:rFonts w:ascii="ITC Avant Garde" w:hAnsi="ITC Avant Garde"/>
          <w:b/>
          <w:bCs/>
          <w:sz w:val="22"/>
          <w:szCs w:val="22"/>
        </w:rPr>
        <w:t>EL CONCESIONARIO</w:t>
      </w:r>
    </w:p>
    <w:p w:rsidR="00970DB8" w:rsidRPr="002F215F" w:rsidRDefault="00B05625" w:rsidP="003D5542">
      <w:pPr>
        <w:pStyle w:val="estilo30"/>
        <w:spacing w:before="0" w:beforeAutospacing="0" w:after="240" w:afterAutospacing="0"/>
        <w:jc w:val="center"/>
        <w:rPr>
          <w:rFonts w:ascii="ITC Avant Garde" w:hAnsi="ITC Avant Garde"/>
          <w:b/>
          <w:bCs/>
          <w:sz w:val="22"/>
          <w:szCs w:val="22"/>
        </w:rPr>
      </w:pPr>
      <w:r w:rsidRPr="002F215F">
        <w:rPr>
          <w:rFonts w:ascii="ITC Avant Garde" w:hAnsi="ITC Avant Garde"/>
          <w:b/>
          <w:bCs/>
          <w:sz w:val="22"/>
          <w:szCs w:val="22"/>
        </w:rPr>
        <w:t>REPRESENTANTE LEGAL</w:t>
      </w:r>
    </w:p>
    <w:sectPr w:rsidR="00970DB8" w:rsidRPr="002F215F" w:rsidSect="003D5542">
      <w:headerReference w:type="even" r:id="rId14"/>
      <w:headerReference w:type="default" r:id="rId15"/>
      <w:footerReference w:type="default" r:id="rId16"/>
      <w:headerReference w:type="first" r:id="rId17"/>
      <w:footerReference w:type="first" r:id="rId18"/>
      <w:pgSz w:w="12240" w:h="15840"/>
      <w:pgMar w:top="1985"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26" w:rsidRDefault="001F3826" w:rsidP="001409BF">
      <w:pPr>
        <w:spacing w:after="0" w:line="240" w:lineRule="auto"/>
      </w:pPr>
      <w:r>
        <w:separator/>
      </w:r>
    </w:p>
  </w:endnote>
  <w:endnote w:type="continuationSeparator" w:id="0">
    <w:p w:rsidR="001F3826" w:rsidRDefault="001F3826" w:rsidP="0014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93572"/>
      <w:docPartObj>
        <w:docPartGallery w:val="Page Numbers (Bottom of Page)"/>
        <w:docPartUnique/>
      </w:docPartObj>
    </w:sdtPr>
    <w:sdtEndPr>
      <w:rPr>
        <w:rFonts w:ascii="ITC Avant Garde" w:hAnsi="ITC Avant Garde"/>
        <w:sz w:val="20"/>
        <w:szCs w:val="20"/>
      </w:rPr>
    </w:sdtEndPr>
    <w:sdtContent>
      <w:p w:rsidR="00B05625" w:rsidRPr="002900ED" w:rsidRDefault="00B05625" w:rsidP="002900ED">
        <w:pPr>
          <w:pStyle w:val="Piedepgina"/>
          <w:jc w:val="right"/>
          <w:rPr>
            <w:rFonts w:ascii="ITC Avant Garde" w:hAnsi="ITC Avant Garde"/>
            <w:sz w:val="20"/>
            <w:szCs w:val="20"/>
          </w:rPr>
        </w:pPr>
        <w:r w:rsidRPr="00BC1DC4">
          <w:rPr>
            <w:rFonts w:ascii="ITC Avant Garde" w:hAnsi="ITC Avant Garde"/>
            <w:sz w:val="20"/>
            <w:szCs w:val="20"/>
          </w:rPr>
          <w:fldChar w:fldCharType="begin"/>
        </w:r>
        <w:r w:rsidRPr="00BC1DC4">
          <w:rPr>
            <w:rFonts w:ascii="ITC Avant Garde" w:hAnsi="ITC Avant Garde"/>
            <w:sz w:val="20"/>
            <w:szCs w:val="20"/>
          </w:rPr>
          <w:instrText>PAGE   \* MERGEFORMAT</w:instrText>
        </w:r>
        <w:r w:rsidRPr="00BC1DC4">
          <w:rPr>
            <w:rFonts w:ascii="ITC Avant Garde" w:hAnsi="ITC Avant Garde"/>
            <w:sz w:val="20"/>
            <w:szCs w:val="20"/>
          </w:rPr>
          <w:fldChar w:fldCharType="separate"/>
        </w:r>
        <w:r w:rsidR="006929F9" w:rsidRPr="006929F9">
          <w:rPr>
            <w:rFonts w:ascii="ITC Avant Garde" w:hAnsi="ITC Avant Garde"/>
            <w:noProof/>
            <w:sz w:val="20"/>
            <w:szCs w:val="20"/>
            <w:lang w:val="es-ES"/>
          </w:rPr>
          <w:t>24</w:t>
        </w:r>
        <w:r w:rsidRPr="00BC1DC4">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Pr="00CE61F7" w:rsidRDefault="00B05625" w:rsidP="00266A18">
    <w:pPr>
      <w:pStyle w:val="Piedepgina"/>
      <w:jc w:val="center"/>
      <w:rPr>
        <w:rFonts w:ascii="ITC Avant Garde" w:hAnsi="ITC Avant Gard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73722"/>
      <w:docPartObj>
        <w:docPartGallery w:val="Page Numbers (Bottom of Page)"/>
        <w:docPartUnique/>
      </w:docPartObj>
    </w:sdtPr>
    <w:sdtEndPr>
      <w:rPr>
        <w:rFonts w:ascii="ITC Avant Garde" w:hAnsi="ITC Avant Garde"/>
        <w:sz w:val="20"/>
        <w:szCs w:val="20"/>
      </w:rPr>
    </w:sdtEndPr>
    <w:sdtContent>
      <w:p w:rsidR="00B05625" w:rsidRPr="00B05625" w:rsidRDefault="00B05625" w:rsidP="00B05625">
        <w:pPr>
          <w:pStyle w:val="Piedepgina"/>
          <w:jc w:val="right"/>
          <w:rPr>
            <w:rFonts w:ascii="ITC Avant Garde" w:hAnsi="ITC Avant Garde"/>
            <w:sz w:val="20"/>
            <w:szCs w:val="20"/>
          </w:rPr>
        </w:pPr>
        <w:r w:rsidRPr="00F15DCE">
          <w:rPr>
            <w:rFonts w:ascii="ITC Avant Garde" w:hAnsi="ITC Avant Garde"/>
            <w:sz w:val="20"/>
            <w:szCs w:val="20"/>
          </w:rPr>
          <w:fldChar w:fldCharType="begin"/>
        </w:r>
        <w:r w:rsidRPr="00F15DCE">
          <w:rPr>
            <w:rFonts w:ascii="ITC Avant Garde" w:hAnsi="ITC Avant Garde"/>
            <w:sz w:val="20"/>
            <w:szCs w:val="20"/>
          </w:rPr>
          <w:instrText>PAGE   \* MERGEFORMAT</w:instrText>
        </w:r>
        <w:r w:rsidRPr="00F15DCE">
          <w:rPr>
            <w:rFonts w:ascii="ITC Avant Garde" w:hAnsi="ITC Avant Garde"/>
            <w:sz w:val="20"/>
            <w:szCs w:val="20"/>
          </w:rPr>
          <w:fldChar w:fldCharType="separate"/>
        </w:r>
        <w:r w:rsidR="006929F9" w:rsidRPr="006929F9">
          <w:rPr>
            <w:rFonts w:ascii="ITC Avant Garde" w:hAnsi="ITC Avant Garde"/>
            <w:noProof/>
            <w:sz w:val="20"/>
            <w:szCs w:val="20"/>
            <w:lang w:val="es-ES"/>
          </w:rPr>
          <w:t>2</w:t>
        </w:r>
        <w:r w:rsidRPr="00F15DCE">
          <w:rPr>
            <w:rFonts w:ascii="ITC Avant Garde" w:hAnsi="ITC Avant Garde"/>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770385"/>
      <w:docPartObj>
        <w:docPartGallery w:val="Page Numbers (Bottom of Page)"/>
        <w:docPartUnique/>
      </w:docPartObj>
    </w:sdtPr>
    <w:sdtEndPr>
      <w:rPr>
        <w:rFonts w:ascii="ITC Avant Garde" w:hAnsi="ITC Avant Garde"/>
        <w:sz w:val="20"/>
        <w:szCs w:val="20"/>
      </w:rPr>
    </w:sdtEndPr>
    <w:sdtContent>
      <w:p w:rsidR="00B05625" w:rsidRPr="005C3366" w:rsidRDefault="00B05625" w:rsidP="005C3366">
        <w:pPr>
          <w:pStyle w:val="Piedepgina"/>
          <w:jc w:val="right"/>
          <w:rPr>
            <w:rFonts w:ascii="ITC Avant Garde" w:hAnsi="ITC Avant Garde"/>
            <w:sz w:val="20"/>
            <w:szCs w:val="20"/>
          </w:rPr>
        </w:pPr>
        <w:r w:rsidRPr="00F15DCE">
          <w:rPr>
            <w:rFonts w:ascii="ITC Avant Garde" w:hAnsi="ITC Avant Garde"/>
            <w:sz w:val="20"/>
            <w:szCs w:val="20"/>
          </w:rPr>
          <w:fldChar w:fldCharType="begin"/>
        </w:r>
        <w:r w:rsidRPr="00F15DCE">
          <w:rPr>
            <w:rFonts w:ascii="ITC Avant Garde" w:hAnsi="ITC Avant Garde"/>
            <w:sz w:val="20"/>
            <w:szCs w:val="20"/>
          </w:rPr>
          <w:instrText>PAGE   \* MERGEFORMAT</w:instrText>
        </w:r>
        <w:r w:rsidRPr="00F15DCE">
          <w:rPr>
            <w:rFonts w:ascii="ITC Avant Garde" w:hAnsi="ITC Avant Garde"/>
            <w:sz w:val="20"/>
            <w:szCs w:val="20"/>
          </w:rPr>
          <w:fldChar w:fldCharType="separate"/>
        </w:r>
        <w:r w:rsidR="006929F9" w:rsidRPr="006929F9">
          <w:rPr>
            <w:rFonts w:ascii="ITC Avant Garde" w:hAnsi="ITC Avant Garde"/>
            <w:noProof/>
            <w:sz w:val="20"/>
            <w:szCs w:val="20"/>
            <w:lang w:val="es-ES"/>
          </w:rPr>
          <w:t>1</w:t>
        </w:r>
        <w:r w:rsidRPr="00F15DCE">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26" w:rsidRDefault="001F3826" w:rsidP="001409BF">
      <w:pPr>
        <w:spacing w:after="0" w:line="240" w:lineRule="auto"/>
      </w:pPr>
      <w:r>
        <w:separator/>
      </w:r>
    </w:p>
  </w:footnote>
  <w:footnote w:type="continuationSeparator" w:id="0">
    <w:p w:rsidR="001F3826" w:rsidRDefault="001F3826" w:rsidP="001409BF">
      <w:pPr>
        <w:spacing w:after="0" w:line="240" w:lineRule="auto"/>
      </w:pPr>
      <w:r>
        <w:continuationSeparator/>
      </w:r>
    </w:p>
  </w:footnote>
  <w:footnote w:id="1">
    <w:p w:rsidR="00B05625" w:rsidRPr="002900ED" w:rsidRDefault="00B05625" w:rsidP="002900ED">
      <w:pPr>
        <w:spacing w:after="0"/>
        <w:jc w:val="both"/>
        <w:rPr>
          <w:rFonts w:ascii="ITC Avant Garde" w:hAnsi="ITC Avant Garde" w:cs="Tahoma"/>
          <w:bCs/>
          <w:color w:val="000000"/>
          <w:sz w:val="18"/>
          <w:szCs w:val="18"/>
          <w:lang w:eastAsia="es-MX"/>
        </w:rPr>
      </w:pPr>
      <w:r w:rsidRPr="00150F69">
        <w:rPr>
          <w:rStyle w:val="Refdenotaalpie"/>
          <w:sz w:val="18"/>
          <w:szCs w:val="18"/>
        </w:rPr>
        <w:footnoteRef/>
      </w:r>
      <w:r w:rsidRPr="00150F69">
        <w:rPr>
          <w:sz w:val="18"/>
          <w:szCs w:val="18"/>
        </w:rPr>
        <w:t xml:space="preserve"> </w:t>
      </w:r>
      <w:r w:rsidRPr="00150F69">
        <w:rPr>
          <w:rFonts w:ascii="ITC Avant Garde" w:hAnsi="ITC Avant Garde" w:cs="Tahoma"/>
          <w:bCs/>
          <w:color w:val="000000"/>
          <w:sz w:val="18"/>
          <w:szCs w:val="18"/>
          <w:lang w:val="es-ES" w:eastAsia="es-MX"/>
        </w:rPr>
        <w:t xml:space="preserve">El artículo </w:t>
      </w:r>
      <w:r w:rsidRPr="00150F69">
        <w:rPr>
          <w:rFonts w:ascii="ITC Avant Garde" w:hAnsi="ITC Avant Garde" w:cs="Tahoma"/>
          <w:bCs/>
          <w:color w:val="000000"/>
          <w:sz w:val="18"/>
          <w:szCs w:val="18"/>
          <w:lang w:eastAsia="es-MX"/>
        </w:rPr>
        <w:t xml:space="preserve">Tercero Transitorio fracción III del Decreto de Reforma Constitucional señala que el Congreso de la Unión realizará adecuaciones necesarias al marco jurídico y que deberá establecer los mecanismos para homologar el régimen de permisos y concesiones de radiodifusión, a efecto de que únicamente existan concesiones, asegurando una diversidad de medios que permita distinguir las concesiones </w:t>
      </w:r>
      <w:r>
        <w:rPr>
          <w:rFonts w:ascii="ITC Avant Garde" w:hAnsi="ITC Avant Garde" w:cs="Tahoma"/>
          <w:bCs/>
          <w:color w:val="000000"/>
          <w:sz w:val="18"/>
          <w:szCs w:val="18"/>
          <w:lang w:eastAsia="es-MX"/>
        </w:rPr>
        <w:t>para</w:t>
      </w:r>
      <w:r w:rsidRPr="00150F69">
        <w:rPr>
          <w:rFonts w:ascii="ITC Avant Garde" w:hAnsi="ITC Avant Garde" w:cs="Tahoma"/>
          <w:bCs/>
          <w:color w:val="000000"/>
          <w:sz w:val="18"/>
          <w:szCs w:val="18"/>
          <w:lang w:eastAsia="es-MX"/>
        </w:rPr>
        <w:t xml:space="preserve"> uso comercial, público, privado y social que incluyen las comunitarias e indígenas;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Default="001F3826">
    <w:pPr>
      <w:pStyle w:val="Encabezado"/>
    </w:pPr>
    <w:r>
      <w:rPr>
        <w:noProof/>
        <w:lang w:eastAsia="es-MX"/>
      </w:rPr>
      <w:pict w14:anchorId="3222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Default="001F3826">
    <w:pPr>
      <w:pStyle w:val="Encabezado"/>
    </w:pPr>
    <w:r>
      <w:rPr>
        <w:noProof/>
        <w:lang w:eastAsia="es-MX"/>
      </w:rPr>
      <w:pict w14:anchorId="637DD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Default="00B05625">
    <w:pPr>
      <w:pStyle w:val="Encabezado"/>
    </w:pPr>
    <w:r>
      <w:rPr>
        <w:noProof/>
        <w:lang w:eastAsia="es-MX"/>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772400" cy="10058400"/>
          <wp:effectExtent l="0" t="0" r="0" b="0"/>
          <wp:wrapNone/>
          <wp:docPr id="13" name="Imagen 13"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Default="00B05625" w:rsidP="00E306AF">
    <w:pPr>
      <w:pStyle w:val="Encabezado"/>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625" w:rsidRPr="004F0AF1" w:rsidRDefault="00B05625" w:rsidP="00E306AF">
    <w:pPr>
      <w:pStyle w:val="Encabezado"/>
      <w:jc w:val="center"/>
      <w:rPr>
        <w:rFonts w:ascii="ITC Avant Garde Std Bk" w:hAnsi="ITC Avant Garde Std Bk"/>
        <w:b/>
        <w:color w:val="808080" w:themeColor="background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1842AD"/>
    <w:multiLevelType w:val="hybridMultilevel"/>
    <w:tmpl w:val="5240EF18"/>
    <w:lvl w:ilvl="0" w:tplc="F16C68C2">
      <w:start w:val="1"/>
      <w:numFmt w:val="lowerLetter"/>
      <w:lvlText w:val="%1)"/>
      <w:lvlJc w:val="left"/>
      <w:pPr>
        <w:ind w:left="644" w:hanging="360"/>
      </w:pPr>
      <w:rPr>
        <w:rFonts w:hint="default"/>
        <w:b/>
        <w:i w:val="0"/>
        <w:sz w:val="22"/>
        <w:szCs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16C40675"/>
    <w:multiLevelType w:val="hybridMultilevel"/>
    <w:tmpl w:val="26BC550A"/>
    <w:lvl w:ilvl="0" w:tplc="A45CE75A">
      <w:start w:val="1"/>
      <w:numFmt w:val="upp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67557E7F"/>
    <w:multiLevelType w:val="hybridMultilevel"/>
    <w:tmpl w:val="2B02779A"/>
    <w:lvl w:ilvl="0" w:tplc="D51C0B30">
      <w:start w:val="1"/>
      <w:numFmt w:val="upperRoman"/>
      <w:lvlText w:val="%1."/>
      <w:lvlJc w:val="left"/>
      <w:pPr>
        <w:ind w:left="1080" w:hanging="72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B445B00"/>
    <w:multiLevelType w:val="hybridMultilevel"/>
    <w:tmpl w:val="F01C03FA"/>
    <w:lvl w:ilvl="0" w:tplc="D41CCF14">
      <w:start w:val="5"/>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E8736F"/>
    <w:multiLevelType w:val="hybridMultilevel"/>
    <w:tmpl w:val="22E037F6"/>
    <w:lvl w:ilvl="0" w:tplc="59B041D2">
      <w:start w:val="1"/>
      <w:numFmt w:val="decimal"/>
      <w:lvlText w:val="1.%1."/>
      <w:lvlJc w:val="left"/>
      <w:pPr>
        <w:ind w:left="720"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BF"/>
    <w:rsid w:val="00004DF2"/>
    <w:rsid w:val="000134BB"/>
    <w:rsid w:val="00017921"/>
    <w:rsid w:val="00026521"/>
    <w:rsid w:val="0005691E"/>
    <w:rsid w:val="000643B2"/>
    <w:rsid w:val="00066881"/>
    <w:rsid w:val="00072A45"/>
    <w:rsid w:val="000757A8"/>
    <w:rsid w:val="0009731A"/>
    <w:rsid w:val="000E3F4E"/>
    <w:rsid w:val="000F57DC"/>
    <w:rsid w:val="00105B74"/>
    <w:rsid w:val="001071E3"/>
    <w:rsid w:val="00116C99"/>
    <w:rsid w:val="00122DE6"/>
    <w:rsid w:val="0013541C"/>
    <w:rsid w:val="001409BF"/>
    <w:rsid w:val="001B7535"/>
    <w:rsid w:val="001F3826"/>
    <w:rsid w:val="001F46B2"/>
    <w:rsid w:val="00207CC3"/>
    <w:rsid w:val="002324C7"/>
    <w:rsid w:val="00234E38"/>
    <w:rsid w:val="00250C03"/>
    <w:rsid w:val="00266A18"/>
    <w:rsid w:val="002705DE"/>
    <w:rsid w:val="00275545"/>
    <w:rsid w:val="002900ED"/>
    <w:rsid w:val="002A3C88"/>
    <w:rsid w:val="002B65FE"/>
    <w:rsid w:val="002F215F"/>
    <w:rsid w:val="00302358"/>
    <w:rsid w:val="00334DC0"/>
    <w:rsid w:val="00366252"/>
    <w:rsid w:val="0038357F"/>
    <w:rsid w:val="003910D3"/>
    <w:rsid w:val="003B65E6"/>
    <w:rsid w:val="003D5542"/>
    <w:rsid w:val="003F6EAD"/>
    <w:rsid w:val="004105B7"/>
    <w:rsid w:val="004241CA"/>
    <w:rsid w:val="00440E3F"/>
    <w:rsid w:val="004666AC"/>
    <w:rsid w:val="00496C64"/>
    <w:rsid w:val="004C03CC"/>
    <w:rsid w:val="004E12CC"/>
    <w:rsid w:val="005175A3"/>
    <w:rsid w:val="0053299F"/>
    <w:rsid w:val="00541B93"/>
    <w:rsid w:val="0055134B"/>
    <w:rsid w:val="00577F08"/>
    <w:rsid w:val="005B6EC7"/>
    <w:rsid w:val="005C3366"/>
    <w:rsid w:val="005E5F63"/>
    <w:rsid w:val="006266B7"/>
    <w:rsid w:val="00630DFF"/>
    <w:rsid w:val="00643D18"/>
    <w:rsid w:val="00655748"/>
    <w:rsid w:val="006929F9"/>
    <w:rsid w:val="006B2EA6"/>
    <w:rsid w:val="006C2C60"/>
    <w:rsid w:val="007356B3"/>
    <w:rsid w:val="00736FBB"/>
    <w:rsid w:val="00770D26"/>
    <w:rsid w:val="0077457F"/>
    <w:rsid w:val="00776697"/>
    <w:rsid w:val="00805E99"/>
    <w:rsid w:val="0081217E"/>
    <w:rsid w:val="00821FC0"/>
    <w:rsid w:val="008366B4"/>
    <w:rsid w:val="00853B21"/>
    <w:rsid w:val="00854673"/>
    <w:rsid w:val="00885149"/>
    <w:rsid w:val="00892965"/>
    <w:rsid w:val="00897289"/>
    <w:rsid w:val="008C0712"/>
    <w:rsid w:val="008C546E"/>
    <w:rsid w:val="008F4969"/>
    <w:rsid w:val="00910C37"/>
    <w:rsid w:val="00913E8B"/>
    <w:rsid w:val="00943842"/>
    <w:rsid w:val="00970DB8"/>
    <w:rsid w:val="009A4A84"/>
    <w:rsid w:val="009A7865"/>
    <w:rsid w:val="009D1280"/>
    <w:rsid w:val="00A34746"/>
    <w:rsid w:val="00A95D89"/>
    <w:rsid w:val="00AB1877"/>
    <w:rsid w:val="00AC3BE4"/>
    <w:rsid w:val="00B05625"/>
    <w:rsid w:val="00B431CD"/>
    <w:rsid w:val="00B435BE"/>
    <w:rsid w:val="00BA0CC1"/>
    <w:rsid w:val="00BB575F"/>
    <w:rsid w:val="00BB5991"/>
    <w:rsid w:val="00BB7CAB"/>
    <w:rsid w:val="00BC1DC4"/>
    <w:rsid w:val="00BF59F9"/>
    <w:rsid w:val="00BF6676"/>
    <w:rsid w:val="00C11CD8"/>
    <w:rsid w:val="00C231C3"/>
    <w:rsid w:val="00C25E35"/>
    <w:rsid w:val="00C3717D"/>
    <w:rsid w:val="00C57850"/>
    <w:rsid w:val="00C8332D"/>
    <w:rsid w:val="00CC2AE3"/>
    <w:rsid w:val="00CD5BB3"/>
    <w:rsid w:val="00D01803"/>
    <w:rsid w:val="00D04429"/>
    <w:rsid w:val="00D4157C"/>
    <w:rsid w:val="00D8228E"/>
    <w:rsid w:val="00DA28BA"/>
    <w:rsid w:val="00DC0D01"/>
    <w:rsid w:val="00DF3126"/>
    <w:rsid w:val="00E306AF"/>
    <w:rsid w:val="00E34A2A"/>
    <w:rsid w:val="00E44E1D"/>
    <w:rsid w:val="00E50A28"/>
    <w:rsid w:val="00EE4C75"/>
    <w:rsid w:val="00F85974"/>
    <w:rsid w:val="00F97D50"/>
    <w:rsid w:val="00FB18A6"/>
    <w:rsid w:val="00FD2AEB"/>
    <w:rsid w:val="00FE3654"/>
    <w:rsid w:val="00FF3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2575929D-17C8-4BBC-8594-FE4C931E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56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05625"/>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05625"/>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05625"/>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9B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1409BF"/>
    <w:rPr>
      <w:rFonts w:ascii="Calibri" w:eastAsia="Calibri" w:hAnsi="Calibri" w:cs="Times New Roman"/>
    </w:rPr>
  </w:style>
  <w:style w:type="paragraph" w:styleId="Piedepgina">
    <w:name w:val="footer"/>
    <w:basedOn w:val="Normal"/>
    <w:link w:val="PiedepginaCar"/>
    <w:uiPriority w:val="99"/>
    <w:unhideWhenUsed/>
    <w:rsid w:val="001409B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1409BF"/>
    <w:rPr>
      <w:rFonts w:ascii="Calibri" w:eastAsia="Calibri" w:hAnsi="Calibri" w:cs="Times New Roman"/>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1409BF"/>
    <w:rPr>
      <w:vertAlign w:val="superscript"/>
    </w:rPr>
  </w:style>
  <w:style w:type="table" w:styleId="Tablaconcuadrcula">
    <w:name w:val="Table Grid"/>
    <w:basedOn w:val="Tablanormal"/>
    <w:uiPriority w:val="39"/>
    <w:rsid w:val="0014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F6EAD"/>
    <w:pPr>
      <w:ind w:left="720"/>
      <w:contextualSpacing/>
    </w:pPr>
  </w:style>
  <w:style w:type="paragraph" w:styleId="Textonotapie">
    <w:name w:val="footnote text"/>
    <w:basedOn w:val="Normal"/>
    <w:link w:val="TextonotapieCar"/>
    <w:uiPriority w:val="99"/>
    <w:semiHidden/>
    <w:unhideWhenUsed/>
    <w:rsid w:val="00821FC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821FC0"/>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334DC0"/>
    <w:rPr>
      <w:sz w:val="16"/>
      <w:szCs w:val="16"/>
    </w:rPr>
  </w:style>
  <w:style w:type="paragraph" w:styleId="Textocomentario">
    <w:name w:val="annotation text"/>
    <w:basedOn w:val="Normal"/>
    <w:link w:val="TextocomentarioCar"/>
    <w:uiPriority w:val="99"/>
    <w:semiHidden/>
    <w:unhideWhenUsed/>
    <w:rsid w:val="00334D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4DC0"/>
    <w:rPr>
      <w:sz w:val="20"/>
      <w:szCs w:val="20"/>
    </w:rPr>
  </w:style>
  <w:style w:type="paragraph" w:styleId="Textodeglobo">
    <w:name w:val="Balloon Text"/>
    <w:basedOn w:val="Normal"/>
    <w:link w:val="TextodegloboCar"/>
    <w:uiPriority w:val="99"/>
    <w:semiHidden/>
    <w:unhideWhenUsed/>
    <w:rsid w:val="00334D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4DC0"/>
    <w:rPr>
      <w:rFonts w:ascii="Segoe UI" w:hAnsi="Segoe UI" w:cs="Segoe UI"/>
      <w:sz w:val="18"/>
      <w:szCs w:val="18"/>
    </w:rPr>
  </w:style>
  <w:style w:type="paragraph" w:styleId="NormalWeb">
    <w:name w:val="Normal (Web)"/>
    <w:basedOn w:val="Normal"/>
    <w:uiPriority w:val="99"/>
    <w:semiHidden/>
    <w:unhideWhenUsed/>
    <w:rsid w:val="00A95D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basedOn w:val="Fuentedeprrafopredeter"/>
    <w:link w:val="Prrafodelista"/>
    <w:uiPriority w:val="34"/>
    <w:locked/>
    <w:rsid w:val="00A95D89"/>
  </w:style>
  <w:style w:type="character" w:customStyle="1" w:styleId="Ttulo1Car">
    <w:name w:val="Título 1 Car"/>
    <w:basedOn w:val="Fuentedeprrafopredeter"/>
    <w:link w:val="Ttulo1"/>
    <w:uiPriority w:val="9"/>
    <w:rsid w:val="00B0562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0562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05625"/>
    <w:rPr>
      <w:rFonts w:asciiTheme="majorHAnsi" w:eastAsiaTheme="majorEastAsia" w:hAnsiTheme="majorHAnsi" w:cstheme="majorBidi"/>
      <w:color w:val="1F4D78" w:themeColor="accent1" w:themeShade="7F"/>
      <w:sz w:val="24"/>
      <w:szCs w:val="24"/>
    </w:rPr>
  </w:style>
  <w:style w:type="paragraph" w:customStyle="1" w:styleId="estilo30">
    <w:name w:val="estilo30"/>
    <w:basedOn w:val="Normal"/>
    <w:uiPriority w:val="99"/>
    <w:rsid w:val="00B056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B0562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5430">
      <w:bodyDiv w:val="1"/>
      <w:marLeft w:val="0"/>
      <w:marRight w:val="0"/>
      <w:marTop w:val="0"/>
      <w:marBottom w:val="0"/>
      <w:divBdr>
        <w:top w:val="none" w:sz="0" w:space="0" w:color="auto"/>
        <w:left w:val="none" w:sz="0" w:space="0" w:color="auto"/>
        <w:bottom w:val="none" w:sz="0" w:space="0" w:color="auto"/>
        <w:right w:val="none" w:sz="0" w:space="0" w:color="auto"/>
      </w:divBdr>
    </w:div>
    <w:div w:id="11790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567E-1CCB-41A6-80DC-009EB850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32</Pages>
  <Words>13277</Words>
  <Characters>73025</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 Perez Gonzalez</dc:creator>
  <cp:keywords/>
  <dc:description/>
  <cp:lastModifiedBy>Maria del Consuelo Gonzalez Moreno</cp:lastModifiedBy>
  <cp:revision>11</cp:revision>
  <dcterms:created xsi:type="dcterms:W3CDTF">2017-02-15T22:36:00Z</dcterms:created>
  <dcterms:modified xsi:type="dcterms:W3CDTF">2017-03-28T19:52:00Z</dcterms:modified>
</cp:coreProperties>
</file>