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49" w:rsidRPr="00B73ED8" w:rsidRDefault="00F23F04" w:rsidP="00223A49">
      <w:pPr>
        <w:tabs>
          <w:tab w:val="right" w:pos="8789"/>
        </w:tabs>
        <w:spacing w:after="0"/>
        <w:jc w:val="both"/>
        <w:rPr>
          <w:rFonts w:ascii="ITC Avant Garde" w:hAnsi="ITC Avant Garde"/>
        </w:rPr>
      </w:pPr>
      <w:r w:rsidRPr="00B73ED8">
        <w:rPr>
          <w:rFonts w:ascii="ITC Avant Garde" w:hAnsi="ITC Avant Garde"/>
        </w:rPr>
        <w:t xml:space="preserve">Ciudad de México, a </w:t>
      </w:r>
      <w:r w:rsidR="00A109AC" w:rsidRPr="00B73ED8">
        <w:rPr>
          <w:rFonts w:ascii="ITC Avant Garde" w:hAnsi="ITC Avant Garde"/>
        </w:rPr>
        <w:t>ocho</w:t>
      </w:r>
      <w:r w:rsidRPr="00B73ED8">
        <w:rPr>
          <w:rFonts w:ascii="ITC Avant Garde" w:hAnsi="ITC Avant Garde"/>
        </w:rPr>
        <w:t xml:space="preserve"> de febrero de dos mil diecisiete.- Vistos:</w:t>
      </w:r>
    </w:p>
    <w:p w:rsidR="00F23F04" w:rsidRPr="00B73ED8" w:rsidRDefault="00F23F04" w:rsidP="00223A49">
      <w:pPr>
        <w:spacing w:before="120" w:after="0"/>
        <w:jc w:val="both"/>
        <w:rPr>
          <w:rFonts w:ascii="ITC Avant Garde" w:hAnsi="ITC Avant Garde"/>
        </w:rPr>
      </w:pPr>
      <w:r w:rsidRPr="00B73ED8">
        <w:rPr>
          <w:rFonts w:ascii="ITC Avant Garde" w:hAnsi="ITC Avant Garde"/>
          <w:b/>
        </w:rPr>
        <w:t>I.</w:t>
      </w:r>
      <w:r w:rsidRPr="00B73ED8">
        <w:rPr>
          <w:rFonts w:ascii="ITC Avant Garde" w:hAnsi="ITC Avant Garde"/>
        </w:rPr>
        <w:t xml:space="preserve"> La resolución </w:t>
      </w:r>
      <w:r w:rsidR="00A109AC" w:rsidRPr="00B73ED8">
        <w:rPr>
          <w:rFonts w:ascii="ITC Avant Garde" w:hAnsi="ITC Avant Garde"/>
        </w:rPr>
        <w:t>adopta</w:t>
      </w:r>
      <w:r w:rsidRPr="00B73ED8">
        <w:rPr>
          <w:rFonts w:ascii="ITC Avant Garde" w:hAnsi="ITC Avant Garde"/>
        </w:rPr>
        <w:t xml:space="preserve">da en el acuerdo P/IFT/EXT/300915/114, </w:t>
      </w:r>
      <w:r w:rsidR="00A109AC" w:rsidRPr="00B73ED8">
        <w:rPr>
          <w:rFonts w:ascii="ITC Avant Garde" w:hAnsi="ITC Avant Garde"/>
        </w:rPr>
        <w:t>emiti</w:t>
      </w:r>
      <w:r w:rsidRPr="00B73ED8">
        <w:rPr>
          <w:rFonts w:ascii="ITC Avant Garde" w:hAnsi="ITC Avant Garde"/>
        </w:rPr>
        <w:t>da en el expediente AI/DC-001-2014, por el Pleno del Instituto Federal de Telecomunicaciones</w:t>
      </w:r>
      <w:r w:rsidR="00FE0AAF" w:rsidRPr="00B73ED8">
        <w:rPr>
          <w:rFonts w:ascii="ITC Avant Garde" w:hAnsi="ITC Avant Garde"/>
        </w:rPr>
        <w:t xml:space="preserve"> (Pleno)</w:t>
      </w:r>
      <w:r w:rsidRPr="00B73ED8">
        <w:rPr>
          <w:rFonts w:ascii="ITC Avant Garde" w:hAnsi="ITC Avant Garde"/>
        </w:rPr>
        <w:t xml:space="preserve"> en su XXXIII Sesión Extraordinaria del dos mil quince, celebrada el treinta de septiembre de dos mil quince.</w:t>
      </w:r>
    </w:p>
    <w:p w:rsidR="00F23F04" w:rsidRPr="00B73ED8" w:rsidRDefault="00F23F04" w:rsidP="00223A49">
      <w:pPr>
        <w:spacing w:before="120" w:after="0"/>
        <w:jc w:val="both"/>
        <w:rPr>
          <w:rFonts w:ascii="ITC Avant Garde" w:hAnsi="ITC Avant Garde"/>
        </w:rPr>
      </w:pPr>
      <w:r w:rsidRPr="00B73ED8">
        <w:rPr>
          <w:rFonts w:ascii="ITC Avant Garde" w:hAnsi="ITC Avant Garde"/>
          <w:b/>
        </w:rPr>
        <w:t>II.</w:t>
      </w:r>
      <w:r w:rsidRPr="00B73ED8">
        <w:rPr>
          <w:rFonts w:ascii="ITC Avant Garde" w:hAnsi="ITC Avant Garde"/>
        </w:rPr>
        <w:t xml:space="preserve"> La sentencia de veintisiete de septiembre de dos mil dieciséis emitida en el expediente del juicio de amparo 1675/2015 por el Juez Primero de Distrito en Materia Administrativa Especializado en Competencia Económica, Radiodifusión y Telecomunicaciones, con residencia en la Ciudad de México y jurisdicción en toda la República</w:t>
      </w:r>
      <w:r w:rsidR="00A109AC" w:rsidRPr="00B73ED8">
        <w:rPr>
          <w:rFonts w:ascii="ITC Avant Garde" w:hAnsi="ITC Avant Garde"/>
        </w:rPr>
        <w:t xml:space="preserve"> (Juzgado Especializado)</w:t>
      </w:r>
      <w:r w:rsidRPr="00B73ED8">
        <w:rPr>
          <w:rFonts w:ascii="ITC Avant Garde" w:hAnsi="ITC Avant Garde"/>
        </w:rPr>
        <w:t>, a través de la cual resuelve sobreseer el juicio de amparo interpuesto Televisora del Valle de México, S.A.P.I. de C.V.</w:t>
      </w:r>
      <w:r w:rsidR="00CC7F8E" w:rsidRPr="00B73ED8">
        <w:rPr>
          <w:rFonts w:ascii="ITC Avant Garde" w:hAnsi="ITC Avant Garde"/>
        </w:rPr>
        <w:t xml:space="preserve"> (TVM)</w:t>
      </w:r>
      <w:r w:rsidRPr="00B73ED8">
        <w:rPr>
          <w:rFonts w:ascii="ITC Avant Garde" w:hAnsi="ITC Avant Garde"/>
        </w:rPr>
        <w:t>, en contra de la Resolución (Sentencia).</w:t>
      </w:r>
    </w:p>
    <w:p w:rsidR="004B5D06" w:rsidRPr="00B73ED8" w:rsidRDefault="00F23F04" w:rsidP="00223A49">
      <w:pPr>
        <w:spacing w:before="120" w:after="0"/>
        <w:jc w:val="both"/>
        <w:rPr>
          <w:rFonts w:ascii="ITC Avant Garde" w:hAnsi="ITC Avant Garde"/>
        </w:rPr>
      </w:pPr>
      <w:r w:rsidRPr="00B73ED8">
        <w:rPr>
          <w:rFonts w:ascii="ITC Avant Garde" w:hAnsi="ITC Avant Garde"/>
          <w:b/>
        </w:rPr>
        <w:t>II</w:t>
      </w:r>
      <w:r w:rsidR="00FA4088" w:rsidRPr="00B73ED8">
        <w:rPr>
          <w:rFonts w:ascii="ITC Avant Garde" w:hAnsi="ITC Avant Garde"/>
          <w:b/>
        </w:rPr>
        <w:t>I</w:t>
      </w:r>
      <w:r w:rsidRPr="00B73ED8">
        <w:rPr>
          <w:rFonts w:ascii="ITC Avant Garde" w:hAnsi="ITC Avant Garde"/>
          <w:b/>
        </w:rPr>
        <w:t>.</w:t>
      </w:r>
      <w:r w:rsidRPr="00B73ED8">
        <w:rPr>
          <w:rFonts w:ascii="ITC Avant Garde" w:hAnsi="ITC Avant Garde"/>
        </w:rPr>
        <w:t xml:space="preserve"> La </w:t>
      </w:r>
      <w:r w:rsidR="00D26CE6" w:rsidRPr="00B73ED8">
        <w:rPr>
          <w:rFonts w:ascii="ITC Avant Garde" w:hAnsi="ITC Avant Garde"/>
        </w:rPr>
        <w:t>resolución adoptada en sesión</w:t>
      </w:r>
      <w:r w:rsidRPr="00B73ED8">
        <w:rPr>
          <w:rFonts w:ascii="ITC Avant Garde" w:hAnsi="ITC Avant Garde"/>
        </w:rPr>
        <w:t xml:space="preserve"> de diecinueve de enero de dos mil diecisiete, emitida en el amparo en revisión 141/2016 </w:t>
      </w:r>
      <w:r w:rsidR="00D26CE6" w:rsidRPr="00B73ED8">
        <w:rPr>
          <w:rFonts w:ascii="ITC Avant Garde" w:hAnsi="ITC Avant Garde"/>
        </w:rPr>
        <w:t>del índice d</w:t>
      </w:r>
      <w:r w:rsidRPr="00B73ED8">
        <w:rPr>
          <w:rFonts w:ascii="ITC Avant Garde" w:hAnsi="ITC Avant Garde"/>
        </w:rPr>
        <w:t>el Primer Tribunal Colegiado de Circuito en Materia Administrativa Especializado en Competencia Económica, Radiodifusión y Telecomunicaciones, con residencia en la Ciudad de México y jurisdicción en toda la República</w:t>
      </w:r>
      <w:r w:rsidR="00A109AC" w:rsidRPr="00B73ED8">
        <w:rPr>
          <w:rFonts w:ascii="ITC Avant Garde" w:hAnsi="ITC Avant Garde"/>
        </w:rPr>
        <w:t xml:space="preserve"> (</w:t>
      </w:r>
      <w:r w:rsidR="00253A54" w:rsidRPr="00B73ED8">
        <w:rPr>
          <w:rFonts w:ascii="ITC Avant Garde" w:hAnsi="ITC Avant Garde"/>
        </w:rPr>
        <w:t xml:space="preserve">Primer </w:t>
      </w:r>
      <w:r w:rsidR="00A109AC" w:rsidRPr="00B73ED8">
        <w:rPr>
          <w:rFonts w:ascii="ITC Avant Garde" w:hAnsi="ITC Avant Garde"/>
        </w:rPr>
        <w:t>Tribunal Colegiado)</w:t>
      </w:r>
      <w:r w:rsidRPr="00B73ED8">
        <w:rPr>
          <w:rFonts w:ascii="ITC Avant Garde" w:hAnsi="ITC Avant Garde"/>
        </w:rPr>
        <w:t>, a través de la cual resuelve</w:t>
      </w:r>
      <w:r w:rsidR="004B5D06" w:rsidRPr="00B73ED8">
        <w:rPr>
          <w:rFonts w:ascii="ITC Avant Garde" w:hAnsi="ITC Avant Garde"/>
        </w:rPr>
        <w:t xml:space="preserve"> lo siguiente (Ejecutoria):</w:t>
      </w:r>
    </w:p>
    <w:p w:rsidR="004B5D06" w:rsidRPr="00B73ED8" w:rsidRDefault="004B5D06" w:rsidP="00223A49">
      <w:pPr>
        <w:spacing w:before="120" w:after="0"/>
        <w:ind w:left="284" w:right="333"/>
        <w:jc w:val="both"/>
        <w:rPr>
          <w:rFonts w:ascii="ITC Avant Garde" w:hAnsi="ITC Avant Garde"/>
          <w:sz w:val="20"/>
          <w:szCs w:val="20"/>
        </w:rPr>
      </w:pPr>
      <w:r w:rsidRPr="00B73ED8">
        <w:rPr>
          <w:rFonts w:ascii="ITC Avant Garde" w:hAnsi="ITC Avant Garde"/>
          <w:sz w:val="20"/>
          <w:szCs w:val="20"/>
        </w:rPr>
        <w:t xml:space="preserve">“PRIMERO. Se revoca la sentencia dictada el veintisiete de septiembre de dos mil dieciséis, por la juez Primero de Distrito en Materia Administrativa Especializada en Competencia Económica, Radiodifusión y Telecomunicaciones, con residencia en la ciudad de México y jurisdicción en toda la República, en el juicio de amparo indirecto 1675/2015. </w:t>
      </w:r>
    </w:p>
    <w:p w:rsidR="004B5D06" w:rsidRPr="00B73ED8" w:rsidRDefault="004B5D06" w:rsidP="00223A49">
      <w:pPr>
        <w:spacing w:before="120" w:after="0"/>
        <w:ind w:left="284" w:right="333"/>
        <w:jc w:val="both"/>
        <w:rPr>
          <w:rFonts w:ascii="ITC Avant Garde" w:hAnsi="ITC Avant Garde"/>
          <w:sz w:val="20"/>
          <w:szCs w:val="20"/>
        </w:rPr>
      </w:pPr>
      <w:r w:rsidRPr="00B73ED8">
        <w:rPr>
          <w:rFonts w:ascii="ITC Avant Garde" w:hAnsi="ITC Avant Garde"/>
          <w:sz w:val="20"/>
          <w:szCs w:val="20"/>
        </w:rPr>
        <w:t>SEGUNDO. No se sobresee el juicio de amparo promovido por Televisora del Valle de México, S.A.P.I. de C.V., respecto del a</w:t>
      </w:r>
      <w:bookmarkStart w:id="0" w:name="_GoBack"/>
      <w:bookmarkEnd w:id="0"/>
      <w:r w:rsidRPr="00B73ED8">
        <w:rPr>
          <w:rFonts w:ascii="ITC Avant Garde" w:hAnsi="ITC Avant Garde"/>
          <w:sz w:val="20"/>
          <w:szCs w:val="20"/>
        </w:rPr>
        <w:t xml:space="preserve">cto reclamado consistente en la resolución de treinta de septiembre de dos mil quince, emitida por el Pleno del IFT en su XXXIII sesión extraordinaria, contenida en el Acuerdo P/IFT/EXT/300915/114. </w:t>
      </w:r>
    </w:p>
    <w:p w:rsidR="004B5D06" w:rsidRPr="00B73ED8" w:rsidRDefault="004B5D06" w:rsidP="00223A49">
      <w:pPr>
        <w:spacing w:before="120" w:after="0"/>
        <w:ind w:left="284" w:right="333"/>
        <w:jc w:val="both"/>
        <w:rPr>
          <w:rFonts w:ascii="ITC Avant Garde" w:hAnsi="ITC Avant Garde"/>
          <w:sz w:val="20"/>
          <w:szCs w:val="20"/>
        </w:rPr>
      </w:pPr>
      <w:r w:rsidRPr="00B73ED8">
        <w:rPr>
          <w:rFonts w:ascii="ITC Avant Garde" w:hAnsi="ITC Avant Garde"/>
          <w:sz w:val="20"/>
          <w:szCs w:val="20"/>
        </w:rPr>
        <w:t xml:space="preserve">TERCERO. La justicia de la Unión ampara y protege a Televisora del Valle de México, S.A.P.I. de C.V., en contra del acto de autoridad consistente en la resolución de treinta de septiembre de dos mil quince, emitida por el Pleno del IFT en su XXXIII sesión extraordinaria, contenida en el Acuerdo P/IFT/EXT/300915/114, para los efectos precisados en los parágrafos 188 y 189. </w:t>
      </w:r>
    </w:p>
    <w:p w:rsidR="004B5D06" w:rsidRPr="00B73ED8" w:rsidRDefault="004B5D06" w:rsidP="00223A49">
      <w:pPr>
        <w:spacing w:before="120" w:after="0"/>
        <w:ind w:left="284" w:right="333"/>
        <w:jc w:val="both"/>
        <w:rPr>
          <w:rFonts w:ascii="ITC Avant Garde" w:hAnsi="ITC Avant Garde"/>
          <w:sz w:val="20"/>
          <w:szCs w:val="20"/>
        </w:rPr>
      </w:pPr>
      <w:r w:rsidRPr="00B73ED8">
        <w:rPr>
          <w:rFonts w:ascii="ITC Avant Garde" w:hAnsi="ITC Avant Garde"/>
          <w:sz w:val="20"/>
          <w:szCs w:val="20"/>
        </w:rPr>
        <w:t xml:space="preserve">CUARTO. Son infundadas las revisiones adhesivas interpuestas por el director General de Defensa Jurídica del IFT y por las terceras interesadas. </w:t>
      </w:r>
    </w:p>
    <w:p w:rsidR="004B5D06" w:rsidRPr="00B73ED8" w:rsidRDefault="004B5D06" w:rsidP="00223A49">
      <w:pPr>
        <w:spacing w:before="120" w:after="0"/>
        <w:ind w:left="284" w:right="333"/>
        <w:jc w:val="both"/>
        <w:rPr>
          <w:rFonts w:ascii="ITC Avant Garde" w:hAnsi="ITC Avant Garde"/>
          <w:sz w:val="20"/>
          <w:szCs w:val="20"/>
        </w:rPr>
      </w:pPr>
      <w:r w:rsidRPr="00B73ED8">
        <w:rPr>
          <w:rFonts w:ascii="ITC Avant Garde" w:hAnsi="ITC Avant Garde"/>
          <w:sz w:val="20"/>
          <w:szCs w:val="20"/>
        </w:rPr>
        <w:t>NOTIFÍQUESE; con testimonio de esta resolución, devuélvase el expediente al juzgado de su origen, y en su oportunidad, archívese el toca como asunto concluido.”</w:t>
      </w:r>
    </w:p>
    <w:p w:rsidR="00253A54" w:rsidRPr="00B73ED8" w:rsidRDefault="00253A54" w:rsidP="00223A49">
      <w:pPr>
        <w:spacing w:before="120" w:after="0"/>
        <w:ind w:right="333"/>
        <w:jc w:val="both"/>
        <w:rPr>
          <w:rFonts w:ascii="ITC Avant Garde" w:eastAsia="Calibri" w:hAnsi="ITC Avant Garde" w:cs="Times New Roman"/>
        </w:rPr>
      </w:pPr>
      <w:r w:rsidRPr="00B73ED8">
        <w:rPr>
          <w:rFonts w:ascii="ITC Avant Garde" w:eastAsia="Calibri" w:hAnsi="ITC Avant Garde" w:cs="Times New Roman"/>
        </w:rPr>
        <w:lastRenderedPageBreak/>
        <w:t>A su vez, los parágrafos 188 y 189 referidos señalan:</w:t>
      </w:r>
    </w:p>
    <w:p w:rsidR="00253A54" w:rsidRPr="00B73ED8" w:rsidRDefault="00253A54" w:rsidP="00223A49">
      <w:pPr>
        <w:spacing w:before="120" w:after="0"/>
        <w:ind w:left="284" w:right="333"/>
        <w:jc w:val="both"/>
        <w:rPr>
          <w:rFonts w:ascii="ITC Avant Garde" w:hAnsi="ITC Avant Garde"/>
          <w:sz w:val="20"/>
          <w:szCs w:val="20"/>
        </w:rPr>
      </w:pPr>
      <w:r w:rsidRPr="00B73ED8">
        <w:rPr>
          <w:rFonts w:ascii="ITC Avant Garde" w:hAnsi="ITC Avant Garde"/>
          <w:sz w:val="20"/>
          <w:szCs w:val="20"/>
        </w:rPr>
        <w:t>“Consecuencias del fallo.</w:t>
      </w:r>
    </w:p>
    <w:p w:rsidR="00253A54" w:rsidRPr="00B73ED8" w:rsidRDefault="00253A54" w:rsidP="00223A49">
      <w:pPr>
        <w:spacing w:before="120" w:after="0"/>
        <w:ind w:left="284" w:right="333"/>
        <w:jc w:val="both"/>
        <w:rPr>
          <w:rFonts w:ascii="ITC Avant Garde" w:hAnsi="ITC Avant Garde"/>
          <w:sz w:val="20"/>
          <w:szCs w:val="20"/>
        </w:rPr>
      </w:pPr>
      <w:r w:rsidRPr="00B73ED8">
        <w:rPr>
          <w:rFonts w:ascii="ITC Avant Garde" w:hAnsi="ITC Avant Garde"/>
          <w:b/>
          <w:sz w:val="20"/>
          <w:szCs w:val="20"/>
        </w:rPr>
        <w:t>188.</w:t>
      </w:r>
      <w:r w:rsidRPr="00B73ED8">
        <w:rPr>
          <w:rFonts w:ascii="ITC Avant Garde" w:hAnsi="ITC Avant Garde"/>
          <w:sz w:val="20"/>
          <w:szCs w:val="20"/>
        </w:rPr>
        <w:t xml:space="preserve"> Atento al resultado de los conceptos de violación analizados, y a que resultaron fundados y suficientes, se impone conceder el amparo y protección de la justicia Federal, para el efecto de que el Pleno del IFT, </w:t>
      </w:r>
      <w:r w:rsidRPr="00B73ED8">
        <w:rPr>
          <w:rFonts w:ascii="ITC Avant Garde" w:hAnsi="ITC Avant Garde"/>
          <w:b/>
          <w:sz w:val="20"/>
          <w:szCs w:val="20"/>
        </w:rPr>
        <w:t>deje sin efectos</w:t>
      </w:r>
      <w:r w:rsidRPr="00B73ED8">
        <w:rPr>
          <w:rFonts w:ascii="ITC Avant Garde" w:hAnsi="ITC Avant Garde"/>
          <w:sz w:val="20"/>
          <w:szCs w:val="20"/>
        </w:rPr>
        <w:t xml:space="preserve"> la resolución contenida en el Acuerdo P/IFT/EXT/300915/114, emitido en la XXXIII sesión extraordinaria celebrada de treinta de septiembre de dos mil quince, para el efecto de que dicte una nueva evaluando los datos pertinentes y utilizados por la autoridad investigadora al emitir su dictamen preliminar, en claro acatamiento a la orden y mandato impuesto por el legislador en el artículo Trigésimo Noveno Transitorio de la LFTyR.</w:t>
      </w:r>
    </w:p>
    <w:p w:rsidR="00253A54" w:rsidRPr="00B73ED8" w:rsidRDefault="00253A54" w:rsidP="00223A49">
      <w:pPr>
        <w:spacing w:before="120" w:after="0"/>
        <w:ind w:left="284" w:right="333"/>
        <w:jc w:val="both"/>
        <w:rPr>
          <w:rFonts w:ascii="ITC Avant Garde" w:hAnsi="ITC Avant Garde"/>
          <w:sz w:val="20"/>
          <w:szCs w:val="20"/>
        </w:rPr>
      </w:pPr>
      <w:r w:rsidRPr="00B73ED8">
        <w:rPr>
          <w:rFonts w:ascii="ITC Avant Garde" w:hAnsi="ITC Avant Garde"/>
          <w:b/>
          <w:sz w:val="20"/>
          <w:szCs w:val="20"/>
        </w:rPr>
        <w:t>189. En relación con las medidas que, en su caso, merezcan ser impuestas,</w:t>
      </w:r>
      <w:r w:rsidRPr="00B73ED8">
        <w:rPr>
          <w:rFonts w:ascii="ITC Avant Garde" w:hAnsi="ITC Avant Garde"/>
          <w:sz w:val="20"/>
          <w:szCs w:val="20"/>
        </w:rPr>
        <w:t xml:space="preserve"> serán las oportunas, razonables, idóneas y pertinentes, al momento que sean decretadas, eso sí, con base y de acuerdo con en el marco regulador pertinente.”</w:t>
      </w:r>
    </w:p>
    <w:p w:rsidR="004B5D06" w:rsidRPr="00B73ED8" w:rsidRDefault="00FA4088" w:rsidP="00223A49">
      <w:pPr>
        <w:spacing w:before="120" w:after="0"/>
        <w:jc w:val="both"/>
        <w:rPr>
          <w:rFonts w:ascii="ITC Avant Garde" w:eastAsia="Calibri" w:hAnsi="ITC Avant Garde" w:cs="Times New Roman"/>
        </w:rPr>
      </w:pPr>
      <w:r w:rsidRPr="00B73ED8">
        <w:rPr>
          <w:rFonts w:ascii="ITC Avant Garde" w:hAnsi="ITC Avant Garde"/>
          <w:b/>
        </w:rPr>
        <w:t>IV</w:t>
      </w:r>
      <w:r w:rsidR="00F23F04" w:rsidRPr="00B73ED8">
        <w:rPr>
          <w:rFonts w:ascii="ITC Avant Garde" w:hAnsi="ITC Avant Garde"/>
          <w:b/>
        </w:rPr>
        <w:t>.</w:t>
      </w:r>
      <w:r w:rsidR="00F23F04" w:rsidRPr="00B73ED8">
        <w:rPr>
          <w:rFonts w:ascii="ITC Avant Garde" w:hAnsi="ITC Avant Garde"/>
        </w:rPr>
        <w:t xml:space="preserve"> </w:t>
      </w:r>
      <w:r w:rsidR="00D26CE6" w:rsidRPr="00B73ED8">
        <w:rPr>
          <w:rFonts w:ascii="ITC Avant Garde" w:eastAsia="Calibri" w:hAnsi="ITC Avant Garde" w:cs="Times New Roman"/>
        </w:rPr>
        <w:t xml:space="preserve">El acuerdo de </w:t>
      </w:r>
      <w:r w:rsidR="00CC7F8E" w:rsidRPr="00B73ED8">
        <w:rPr>
          <w:rFonts w:ascii="ITC Avant Garde" w:eastAsia="Calibri" w:hAnsi="ITC Avant Garde" w:cs="Times New Roman"/>
        </w:rPr>
        <w:t>dos</w:t>
      </w:r>
      <w:r w:rsidR="00A109AC" w:rsidRPr="00B73ED8">
        <w:rPr>
          <w:rFonts w:ascii="ITC Avant Garde" w:eastAsia="Calibri" w:hAnsi="ITC Avant Garde" w:cs="Times New Roman"/>
        </w:rPr>
        <w:t xml:space="preserve"> de febr</w:t>
      </w:r>
      <w:r w:rsidR="00D26CE6" w:rsidRPr="00B73ED8">
        <w:rPr>
          <w:rFonts w:ascii="ITC Avant Garde" w:eastAsia="Calibri" w:hAnsi="ITC Avant Garde" w:cs="Times New Roman"/>
        </w:rPr>
        <w:t>ero de dos mil diecisiete, emitido por el</w:t>
      </w:r>
      <w:r w:rsidR="00A109AC" w:rsidRPr="00B73ED8">
        <w:rPr>
          <w:rFonts w:ascii="ITC Avant Garde" w:eastAsia="Calibri" w:hAnsi="ITC Avant Garde" w:cs="Times New Roman"/>
        </w:rPr>
        <w:t xml:space="preserve"> </w:t>
      </w:r>
      <w:r w:rsidR="00A109AC" w:rsidRPr="00B73ED8">
        <w:rPr>
          <w:rFonts w:ascii="ITC Avant Garde" w:hAnsi="ITC Avant Garde"/>
        </w:rPr>
        <w:t>Juzgado Especializado</w:t>
      </w:r>
      <w:r w:rsidR="004B5D06" w:rsidRPr="00B73ED8">
        <w:rPr>
          <w:rFonts w:ascii="ITC Avant Garde" w:hAnsi="ITC Avant Garde"/>
        </w:rPr>
        <w:t xml:space="preserve"> en el expediente del juicio de amparo 1675/2015</w:t>
      </w:r>
      <w:r w:rsidR="00C72AAC" w:rsidRPr="00B73ED8">
        <w:rPr>
          <w:rFonts w:ascii="ITC Avant Garde" w:eastAsia="Calibri" w:hAnsi="ITC Avant Garde" w:cs="Times New Roman"/>
        </w:rPr>
        <w:t xml:space="preserve"> (Acuerdo de Cumplimiento),</w:t>
      </w:r>
      <w:r w:rsidR="00D26CE6" w:rsidRPr="00B73ED8">
        <w:rPr>
          <w:rFonts w:ascii="ITC Avant Garde" w:eastAsia="Calibri" w:hAnsi="ITC Avant Garde" w:cs="Times New Roman"/>
        </w:rPr>
        <w:t xml:space="preserve"> a través del cual hace</w:t>
      </w:r>
      <w:r w:rsidR="004B5D06" w:rsidRPr="00B73ED8">
        <w:rPr>
          <w:rFonts w:ascii="ITC Avant Garde" w:eastAsia="Calibri" w:hAnsi="ITC Avant Garde" w:cs="Times New Roman"/>
        </w:rPr>
        <w:t xml:space="preserve"> del conocimiento de las partes lo resuelto por el</w:t>
      </w:r>
      <w:r w:rsidR="00D26CE6" w:rsidRPr="00B73ED8">
        <w:rPr>
          <w:rFonts w:ascii="ITC Avant Garde" w:eastAsia="Calibri" w:hAnsi="ITC Avant Garde" w:cs="Times New Roman"/>
        </w:rPr>
        <w:t xml:space="preserve"> Tribunal Colegiado </w:t>
      </w:r>
      <w:r w:rsidR="004B5D06" w:rsidRPr="00B73ED8">
        <w:rPr>
          <w:rFonts w:ascii="ITC Avant Garde" w:eastAsia="Calibri" w:hAnsi="ITC Avant Garde" w:cs="Times New Roman"/>
        </w:rPr>
        <w:t xml:space="preserve">en la Ejecutoria, e indica que para dar cabal cumplimiento </w:t>
      </w:r>
      <w:r w:rsidR="00617ED7" w:rsidRPr="00B73ED8">
        <w:rPr>
          <w:rFonts w:ascii="ITC Avant Garde" w:eastAsia="Calibri" w:hAnsi="ITC Avant Garde" w:cs="Times New Roman"/>
        </w:rPr>
        <w:t>a é</w:t>
      </w:r>
      <w:r w:rsidR="00C72AAC" w:rsidRPr="00B73ED8">
        <w:rPr>
          <w:rFonts w:ascii="ITC Avant Garde" w:eastAsia="Calibri" w:hAnsi="ITC Avant Garde" w:cs="Times New Roman"/>
        </w:rPr>
        <w:t xml:space="preserve">sta, </w:t>
      </w:r>
      <w:r w:rsidR="004B5D06" w:rsidRPr="00B73ED8">
        <w:rPr>
          <w:rFonts w:ascii="ITC Avant Garde" w:eastAsia="Calibri" w:hAnsi="ITC Avant Garde" w:cs="Times New Roman"/>
        </w:rPr>
        <w:t xml:space="preserve">el Pleno del Instituto Federal Telecomunicaciones </w:t>
      </w:r>
      <w:r w:rsidR="00C72AAC" w:rsidRPr="00B73ED8">
        <w:rPr>
          <w:rFonts w:ascii="ITC Avant Garde" w:eastAsia="Calibri" w:hAnsi="ITC Avant Garde" w:cs="Times New Roman"/>
        </w:rPr>
        <w:t>deberá:</w:t>
      </w:r>
    </w:p>
    <w:p w:rsidR="004B5D06" w:rsidRPr="00B73ED8" w:rsidRDefault="004B5D06" w:rsidP="00223A49">
      <w:pPr>
        <w:spacing w:before="120" w:after="0"/>
        <w:ind w:left="284" w:right="333"/>
        <w:jc w:val="both"/>
        <w:rPr>
          <w:rFonts w:ascii="ITC Avant Garde" w:eastAsia="Calibri" w:hAnsi="ITC Avant Garde" w:cs="Times New Roman"/>
          <w:sz w:val="20"/>
          <w:szCs w:val="20"/>
        </w:rPr>
      </w:pPr>
      <w:r w:rsidRPr="00B73ED8">
        <w:rPr>
          <w:rFonts w:ascii="ITC Avant Garde" w:eastAsia="Calibri" w:hAnsi="ITC Avant Garde" w:cs="Times New Roman"/>
          <w:sz w:val="20"/>
          <w:szCs w:val="20"/>
        </w:rPr>
        <w:t>a. Dejar insubsistente la resolución de treinta de septiembre de dos mil quince, contenida en el Acuerdo P/FT/EXT/300915/114.</w:t>
      </w:r>
    </w:p>
    <w:p w:rsidR="004B5D06" w:rsidRPr="00B73ED8" w:rsidRDefault="004B5D06" w:rsidP="00223A49">
      <w:pPr>
        <w:spacing w:before="120" w:after="0"/>
        <w:ind w:left="284" w:right="333"/>
        <w:jc w:val="both"/>
        <w:rPr>
          <w:rFonts w:ascii="ITC Avant Garde" w:eastAsia="Calibri" w:hAnsi="ITC Avant Garde" w:cs="Times New Roman"/>
          <w:sz w:val="20"/>
          <w:szCs w:val="20"/>
        </w:rPr>
      </w:pPr>
      <w:r w:rsidRPr="00B73ED8">
        <w:rPr>
          <w:rFonts w:ascii="ITC Avant Garde" w:eastAsia="Calibri" w:hAnsi="ITC Avant Garde" w:cs="Times New Roman"/>
          <w:sz w:val="20"/>
          <w:szCs w:val="20"/>
        </w:rPr>
        <w:t>b. Emitir una nueva resolución, en la que se pronuncie respecto de lo efectivamente analizado en el dictamen preliminar, a efecto de que ciña su arbitrio a tal referente, que coincida con la orden y mandato impuesto por el legislador en el artículo Trigésimo Noveno Transitorio de la Ley Federal de Telecomunicaciones y Radiodifusión.</w:t>
      </w:r>
    </w:p>
    <w:p w:rsidR="00223A49" w:rsidRPr="00B73ED8" w:rsidRDefault="004B5D06" w:rsidP="00B73ED8">
      <w:pPr>
        <w:spacing w:before="120" w:after="0"/>
        <w:ind w:left="284" w:right="333"/>
        <w:jc w:val="both"/>
        <w:rPr>
          <w:rFonts w:ascii="ITC Avant Garde" w:eastAsia="Calibri" w:hAnsi="ITC Avant Garde" w:cs="Times New Roman"/>
          <w:sz w:val="20"/>
          <w:szCs w:val="20"/>
        </w:rPr>
      </w:pPr>
      <w:r w:rsidRPr="00B73ED8">
        <w:rPr>
          <w:rFonts w:ascii="ITC Avant Garde" w:eastAsia="Calibri" w:hAnsi="ITC Avant Garde" w:cs="Times New Roman"/>
          <w:sz w:val="20"/>
          <w:szCs w:val="20"/>
        </w:rPr>
        <w:t>c. Que las medidas que deba imponer al agente declarado con poder sustancial en el mercado de servicio de televisión y audio restringido, éstas deben ser las oportunas, razonables, idóneas y pertinentes, al momento que sean decretadas, con base y de acuerdo con el marco regulador que disponen los artículos 282 al 283 y 266 al 277 de la Ley Federal de Telecomunicaciones y Radiodifusión, aunado a lo que dispone el numeral 56 de la Ley Federal de Competencia Económica, como obligaciones propias y correlativas a los agentes declarados con poder sustancial.</w:t>
      </w:r>
    </w:p>
    <w:p w:rsidR="00253A54" w:rsidRPr="00B73ED8" w:rsidRDefault="00253A54" w:rsidP="00223A49">
      <w:pPr>
        <w:spacing w:before="120" w:after="0"/>
        <w:ind w:right="333"/>
        <w:jc w:val="both"/>
        <w:rPr>
          <w:rFonts w:ascii="ITC Avant Garde" w:hAnsi="ITC Avant Garde"/>
        </w:rPr>
      </w:pPr>
      <w:r w:rsidRPr="00B73ED8">
        <w:rPr>
          <w:rFonts w:ascii="ITC Avant Garde" w:eastAsia="Times New Roman" w:hAnsi="ITC Avant Garde" w:cs="Courier New"/>
          <w:color w:val="000000"/>
          <w:lang w:eastAsia="es-MX"/>
        </w:rPr>
        <w:t xml:space="preserve">El Pleno del Instituto Federal de Telecomunicaciones, de conformidad con los artículos citados a lo largo del presente acuerdo; </w:t>
      </w:r>
      <w:r w:rsidRPr="00B73ED8">
        <w:rPr>
          <w:rFonts w:ascii="ITC Avant Garde" w:hAnsi="ITC Avant Garde"/>
        </w:rPr>
        <w:t>así como en los artículos 117, tercer párrafo, de la Ley Federal de Competencia Económica, 69, fracción I</w:t>
      </w:r>
      <w:r w:rsidR="00FC2204" w:rsidRPr="00B73ED8">
        <w:rPr>
          <w:rFonts w:ascii="ITC Avant Garde" w:hAnsi="ITC Avant Garde"/>
        </w:rPr>
        <w:t>I</w:t>
      </w:r>
      <w:r w:rsidRPr="00B73ED8">
        <w:rPr>
          <w:rFonts w:ascii="ITC Avant Garde" w:hAnsi="ITC Avant Garde"/>
        </w:rPr>
        <w:t>, 7</w:t>
      </w:r>
      <w:r w:rsidR="00FC2204" w:rsidRPr="00B73ED8">
        <w:rPr>
          <w:rFonts w:ascii="ITC Avant Garde" w:hAnsi="ITC Avant Garde"/>
        </w:rPr>
        <w:t>1</w:t>
      </w:r>
      <w:r w:rsidRPr="00B73ED8">
        <w:rPr>
          <w:rFonts w:ascii="ITC Avant Garde" w:hAnsi="ITC Avant Garde"/>
        </w:rPr>
        <w:t xml:space="preserve"> y 78 de las Disposiciones Regulatorias de la Ley Federal de Competencia Económica para los </w:t>
      </w:r>
      <w:r w:rsidRPr="00B73ED8">
        <w:rPr>
          <w:rFonts w:ascii="ITC Avant Garde" w:hAnsi="ITC Avant Garde"/>
        </w:rPr>
        <w:lastRenderedPageBreak/>
        <w:t>sectores de telecomunicaciones y radiodifusión;</w:t>
      </w:r>
      <w:r w:rsidRPr="00B73ED8">
        <w:rPr>
          <w:rStyle w:val="Refdenotaalpie"/>
          <w:rFonts w:ascii="ITC Avant Garde" w:hAnsi="ITC Avant Garde"/>
        </w:rPr>
        <w:footnoteReference w:id="1"/>
      </w:r>
      <w:r w:rsidRPr="00B73ED8">
        <w:rPr>
          <w:rFonts w:ascii="ITC Avant Garde" w:eastAsia="Times New Roman" w:hAnsi="ITC Avant Garde" w:cs="Courier New"/>
          <w:color w:val="000000"/>
          <w:lang w:eastAsia="es-MX"/>
        </w:rPr>
        <w:t xml:space="preserve"> </w:t>
      </w:r>
      <w:r w:rsidRPr="00B73ED8">
        <w:rPr>
          <w:rFonts w:ascii="ITC Avant Garde" w:hAnsi="ITC Avant Garde"/>
        </w:rPr>
        <w:t xml:space="preserve">y 4, fracción I del Estatuto Orgánico del Instituto Federal de Telecomunicaciones, </w:t>
      </w:r>
    </w:p>
    <w:p w:rsidR="00F23F04" w:rsidRPr="00B73ED8" w:rsidRDefault="00F23F04" w:rsidP="00B73ED8">
      <w:pPr>
        <w:pStyle w:val="Ttulo2"/>
        <w:spacing w:after="240"/>
        <w:jc w:val="center"/>
        <w:rPr>
          <w:rFonts w:ascii="ITC Avant Garde" w:hAnsi="ITC Avant Garde"/>
          <w:b/>
          <w:color w:val="000000" w:themeColor="text1"/>
          <w:sz w:val="22"/>
          <w:szCs w:val="22"/>
        </w:rPr>
      </w:pPr>
      <w:r w:rsidRPr="00B73ED8">
        <w:rPr>
          <w:rFonts w:ascii="ITC Avant Garde" w:hAnsi="ITC Avant Garde"/>
          <w:b/>
          <w:color w:val="000000" w:themeColor="text1"/>
          <w:sz w:val="22"/>
          <w:szCs w:val="22"/>
        </w:rPr>
        <w:t>ACUERDA:</w:t>
      </w:r>
    </w:p>
    <w:p w:rsidR="00F23F04" w:rsidRPr="00B73ED8" w:rsidRDefault="00F23F04" w:rsidP="00223A49">
      <w:pPr>
        <w:tabs>
          <w:tab w:val="left" w:pos="284"/>
        </w:tabs>
        <w:suppressAutoHyphens/>
        <w:overflowPunct w:val="0"/>
        <w:autoSpaceDE w:val="0"/>
        <w:autoSpaceDN w:val="0"/>
        <w:adjustRightInd w:val="0"/>
        <w:spacing w:before="120" w:after="0"/>
        <w:jc w:val="both"/>
        <w:textAlignment w:val="baseline"/>
        <w:rPr>
          <w:rFonts w:ascii="ITC Avant Garde" w:hAnsi="ITC Avant Garde"/>
          <w:bCs/>
          <w:color w:val="000000"/>
        </w:rPr>
      </w:pPr>
      <w:r w:rsidRPr="00B73ED8">
        <w:rPr>
          <w:rFonts w:ascii="ITC Avant Garde" w:hAnsi="ITC Avant Garde"/>
          <w:b/>
          <w:bCs/>
          <w:color w:val="000000"/>
        </w:rPr>
        <w:t xml:space="preserve">Primero.- </w:t>
      </w:r>
      <w:r w:rsidRPr="00B73ED8">
        <w:rPr>
          <w:rFonts w:ascii="ITC Avant Garde" w:hAnsi="ITC Avant Garde"/>
          <w:bCs/>
          <w:color w:val="000000"/>
        </w:rPr>
        <w:t xml:space="preserve">En cumplimiento a lo ordenado en </w:t>
      </w:r>
      <w:r w:rsidR="00253A54" w:rsidRPr="00B73ED8">
        <w:rPr>
          <w:rFonts w:ascii="ITC Avant Garde" w:hAnsi="ITC Avant Garde"/>
          <w:bCs/>
          <w:color w:val="000000"/>
        </w:rPr>
        <w:t xml:space="preserve">el resolutivo tercero de </w:t>
      </w:r>
      <w:r w:rsidRPr="00B73ED8">
        <w:rPr>
          <w:rFonts w:ascii="ITC Avant Garde" w:hAnsi="ITC Avant Garde"/>
          <w:bCs/>
          <w:color w:val="000000"/>
        </w:rPr>
        <w:t>la Ejecutoria</w:t>
      </w:r>
      <w:r w:rsidR="0014328C" w:rsidRPr="00B73ED8">
        <w:rPr>
          <w:rFonts w:ascii="ITC Avant Garde" w:hAnsi="ITC Avant Garde"/>
          <w:bCs/>
          <w:color w:val="000000"/>
        </w:rPr>
        <w:t xml:space="preserve"> por el </w:t>
      </w:r>
      <w:r w:rsidR="0014328C" w:rsidRPr="00B73ED8">
        <w:rPr>
          <w:rFonts w:ascii="ITC Avant Garde" w:hAnsi="ITC Avant Garde"/>
        </w:rPr>
        <w:t>Primer Tribunal Colegiado de Circuito en Materia Administrativa Especializado en Competencia Económica, Radiodifusión y Telecomunicaciones, con residencia en la Ciudad de México y jurisdicción en toda la República</w:t>
      </w:r>
      <w:r w:rsidRPr="00B73ED8">
        <w:rPr>
          <w:rFonts w:ascii="ITC Avant Garde" w:hAnsi="ITC Avant Garde"/>
          <w:bCs/>
          <w:color w:val="000000"/>
        </w:rPr>
        <w:t>,</w:t>
      </w:r>
      <w:r w:rsidR="004B5D06" w:rsidRPr="00B73ED8">
        <w:rPr>
          <w:rFonts w:ascii="ITC Avant Garde" w:hAnsi="ITC Avant Garde"/>
          <w:bCs/>
          <w:color w:val="000000"/>
        </w:rPr>
        <w:t xml:space="preserve"> así como en el inciso a) </w:t>
      </w:r>
      <w:r w:rsidR="00C72AAC" w:rsidRPr="00B73ED8">
        <w:rPr>
          <w:rFonts w:ascii="ITC Avant Garde" w:hAnsi="ITC Avant Garde"/>
          <w:bCs/>
          <w:color w:val="000000"/>
        </w:rPr>
        <w:t>del Acuerdo de Cumplimiento</w:t>
      </w:r>
      <w:r w:rsidR="0014328C" w:rsidRPr="00B73ED8">
        <w:rPr>
          <w:rFonts w:ascii="ITC Avant Garde" w:hAnsi="ITC Avant Garde"/>
          <w:bCs/>
          <w:color w:val="000000"/>
        </w:rPr>
        <w:t xml:space="preserve"> emitido por el Juzgado </w:t>
      </w:r>
      <w:r w:rsidR="0014328C" w:rsidRPr="00B73ED8">
        <w:rPr>
          <w:rFonts w:ascii="ITC Avant Garde" w:hAnsi="ITC Avant Garde"/>
        </w:rPr>
        <w:t>Primero de Distrito en Materia Administrativa Especializado en Competencia Económica, Radiodifusión y Telecomunicaciones, con residencia en la Ciudad de México y jurisdicción en toda la República</w:t>
      </w:r>
      <w:r w:rsidR="00C72AAC" w:rsidRPr="00B73ED8">
        <w:rPr>
          <w:rFonts w:ascii="ITC Avant Garde" w:hAnsi="ITC Avant Garde"/>
          <w:bCs/>
          <w:color w:val="000000"/>
        </w:rPr>
        <w:t xml:space="preserve">, </w:t>
      </w:r>
      <w:r w:rsidRPr="00B73ED8">
        <w:rPr>
          <w:rFonts w:ascii="ITC Avant Garde" w:hAnsi="ITC Avant Garde"/>
          <w:bCs/>
          <w:color w:val="000000"/>
        </w:rPr>
        <w:t xml:space="preserve">se deja sin efectos la </w:t>
      </w:r>
      <w:r w:rsidR="00A109AC" w:rsidRPr="00B73ED8">
        <w:rPr>
          <w:rFonts w:ascii="ITC Avant Garde" w:hAnsi="ITC Avant Garde"/>
        </w:rPr>
        <w:t>resolución adoptada en el acuerdo P/IFT/EXT/300915/114, emitida en el expediente AI/DC-001-2014, por este Pleno en su XXXIII Sesión Extraordinaria del dos mil quince, celebrada el treinta de septiembre de ese año</w:t>
      </w:r>
      <w:r w:rsidRPr="00B73ED8">
        <w:rPr>
          <w:rFonts w:ascii="ITC Avant Garde" w:hAnsi="ITC Avant Garde"/>
          <w:bCs/>
          <w:color w:val="000000"/>
        </w:rPr>
        <w:t>.</w:t>
      </w:r>
    </w:p>
    <w:p w:rsidR="00F23F04" w:rsidRPr="00B73ED8" w:rsidRDefault="00F23F04" w:rsidP="00223A49">
      <w:pPr>
        <w:tabs>
          <w:tab w:val="left" w:pos="284"/>
        </w:tabs>
        <w:suppressAutoHyphens/>
        <w:overflowPunct w:val="0"/>
        <w:autoSpaceDE w:val="0"/>
        <w:autoSpaceDN w:val="0"/>
        <w:adjustRightInd w:val="0"/>
        <w:spacing w:before="120" w:after="0"/>
        <w:jc w:val="both"/>
        <w:textAlignment w:val="baseline"/>
        <w:rPr>
          <w:rFonts w:ascii="ITC Avant Garde" w:hAnsi="ITC Avant Garde"/>
        </w:rPr>
      </w:pPr>
      <w:r w:rsidRPr="00B73ED8">
        <w:rPr>
          <w:rFonts w:ascii="ITC Avant Garde" w:hAnsi="ITC Avant Garde"/>
          <w:b/>
          <w:bCs/>
          <w:color w:val="000000"/>
        </w:rPr>
        <w:t xml:space="preserve">Segundo.- </w:t>
      </w:r>
      <w:r w:rsidR="00326769" w:rsidRPr="00B73ED8">
        <w:rPr>
          <w:rFonts w:ascii="ITC Avant Garde" w:hAnsi="ITC Avant Garde"/>
        </w:rPr>
        <w:t xml:space="preserve">Instruir a la Unidad de Competencia Económica de este Instituto a efecto de que </w:t>
      </w:r>
      <w:r w:rsidR="007522D6" w:rsidRPr="00B73ED8">
        <w:rPr>
          <w:rFonts w:ascii="ITC Avant Garde" w:hAnsi="ITC Avant Garde"/>
        </w:rPr>
        <w:t xml:space="preserve">presente un proyecto a discusión de este Pleno que evalúe los datos pertinentes y utilizados por la autoridad investigadora al emitir su dictamen preliminar, para resolver </w:t>
      </w:r>
      <w:r w:rsidR="00326769" w:rsidRPr="00B73ED8">
        <w:rPr>
          <w:rFonts w:ascii="ITC Avant Garde" w:hAnsi="ITC Avant Garde"/>
        </w:rPr>
        <w:t xml:space="preserve">con libertad de jurisdicción </w:t>
      </w:r>
      <w:r w:rsidR="007522D6" w:rsidRPr="00B73ED8">
        <w:rPr>
          <w:rFonts w:ascii="ITC Avant Garde" w:hAnsi="ITC Avant Garde"/>
        </w:rPr>
        <w:t>y dar</w:t>
      </w:r>
      <w:r w:rsidR="00D465E9" w:rsidRPr="00B73ED8">
        <w:rPr>
          <w:rFonts w:ascii="ITC Avant Garde" w:hAnsi="ITC Avant Garde"/>
        </w:rPr>
        <w:t xml:space="preserve"> cabal cumplimiento</w:t>
      </w:r>
      <w:r w:rsidR="007522D6" w:rsidRPr="00B73ED8">
        <w:rPr>
          <w:rFonts w:ascii="ITC Avant Garde" w:hAnsi="ITC Avant Garde"/>
        </w:rPr>
        <w:t xml:space="preserve"> al resolutivo tercero de la Ejecutoria. </w:t>
      </w:r>
    </w:p>
    <w:p w:rsidR="00C72AAC" w:rsidRPr="00B73ED8" w:rsidRDefault="00C72AAC" w:rsidP="00223A49">
      <w:pPr>
        <w:tabs>
          <w:tab w:val="left" w:pos="284"/>
        </w:tabs>
        <w:suppressAutoHyphens/>
        <w:overflowPunct w:val="0"/>
        <w:autoSpaceDE w:val="0"/>
        <w:autoSpaceDN w:val="0"/>
        <w:adjustRightInd w:val="0"/>
        <w:spacing w:before="120"/>
        <w:jc w:val="both"/>
        <w:textAlignment w:val="baseline"/>
        <w:rPr>
          <w:rFonts w:ascii="ITC Avant Garde" w:hAnsi="ITC Avant Garde"/>
          <w:bCs/>
          <w:color w:val="000000"/>
        </w:rPr>
      </w:pPr>
      <w:r w:rsidRPr="00B73ED8">
        <w:rPr>
          <w:rFonts w:ascii="ITC Avant Garde" w:hAnsi="ITC Avant Garde"/>
          <w:b/>
          <w:bCs/>
          <w:color w:val="000000"/>
        </w:rPr>
        <w:t xml:space="preserve">Tercero.- </w:t>
      </w:r>
      <w:r w:rsidR="00617ED7" w:rsidRPr="00B73ED8">
        <w:rPr>
          <w:rFonts w:ascii="ITC Avant Garde" w:hAnsi="ITC Avant Garde"/>
          <w:bCs/>
          <w:color w:val="000000"/>
        </w:rPr>
        <w:t xml:space="preserve">Instruir a la Unidad de Asuntos Jurídicos de este Instituto a efecto de que </w:t>
      </w:r>
      <w:r w:rsidR="00253A54" w:rsidRPr="00B73ED8">
        <w:rPr>
          <w:rFonts w:ascii="ITC Avant Garde" w:hAnsi="ITC Avant Garde"/>
          <w:bCs/>
          <w:color w:val="000000"/>
        </w:rPr>
        <w:t xml:space="preserve">exhiba este Acuerdo al </w:t>
      </w:r>
      <w:r w:rsidR="00617ED7" w:rsidRPr="00B73ED8">
        <w:rPr>
          <w:rFonts w:ascii="ITC Avant Garde" w:hAnsi="ITC Avant Garde"/>
          <w:bCs/>
          <w:color w:val="000000"/>
        </w:rPr>
        <w:t xml:space="preserve">Juzgado </w:t>
      </w:r>
      <w:r w:rsidR="0014328C" w:rsidRPr="00B73ED8">
        <w:rPr>
          <w:rFonts w:ascii="ITC Avant Garde" w:hAnsi="ITC Avant Garde"/>
        </w:rPr>
        <w:t>Primero de Distrito en Materia Administrativa Especializado en Competencia Económica, Radiodifusión y Telecomunicaciones, con residencia en la Ciudad de México y jurisdicción en toda la República</w:t>
      </w:r>
      <w:r w:rsidR="0014328C" w:rsidRPr="00B73ED8">
        <w:rPr>
          <w:rFonts w:ascii="ITC Avant Garde" w:hAnsi="ITC Avant Garde"/>
          <w:bCs/>
          <w:color w:val="000000"/>
        </w:rPr>
        <w:t xml:space="preserve"> </w:t>
      </w:r>
      <w:r w:rsidR="00617ED7" w:rsidRPr="00B73ED8">
        <w:rPr>
          <w:rFonts w:ascii="ITC Avant Garde" w:hAnsi="ITC Avant Garde"/>
          <w:bCs/>
          <w:color w:val="000000"/>
        </w:rPr>
        <w:t xml:space="preserve">y gestione una prórroga </w:t>
      </w:r>
      <w:r w:rsidR="0014328C" w:rsidRPr="00B73ED8">
        <w:rPr>
          <w:rFonts w:ascii="ITC Avant Garde" w:hAnsi="ITC Avant Garde"/>
          <w:bCs/>
          <w:color w:val="000000"/>
        </w:rPr>
        <w:t>para</w:t>
      </w:r>
      <w:r w:rsidR="00617ED7" w:rsidRPr="00B73ED8">
        <w:rPr>
          <w:rFonts w:ascii="ITC Avant Garde" w:hAnsi="ITC Avant Garde"/>
          <w:bCs/>
          <w:color w:val="000000"/>
        </w:rPr>
        <w:t xml:space="preserve"> dar cumplimiento a lo ordenado</w:t>
      </w:r>
      <w:r w:rsidR="0014328C" w:rsidRPr="00B73ED8">
        <w:rPr>
          <w:rFonts w:ascii="ITC Avant Garde" w:hAnsi="ITC Avant Garde"/>
          <w:bCs/>
          <w:color w:val="000000"/>
        </w:rPr>
        <w:t xml:space="preserve"> en el resolutivo tercero de la Ejecutoria por el </w:t>
      </w:r>
      <w:r w:rsidR="0014328C" w:rsidRPr="00B73ED8">
        <w:rPr>
          <w:rFonts w:ascii="ITC Avant Garde" w:hAnsi="ITC Avant Garde"/>
        </w:rPr>
        <w:t>Primer Tribunal Colegiado de Circuito en Materia Administrativa Especializado en Competencia Económica, Radiodifusión y Telecomunicaciones, con residencia en la Ciudad de México y jurisdicción en toda la República</w:t>
      </w:r>
      <w:r w:rsidR="00617ED7" w:rsidRPr="00B73ED8">
        <w:rPr>
          <w:rFonts w:ascii="ITC Avant Garde" w:hAnsi="ITC Avant Garde"/>
          <w:bCs/>
          <w:color w:val="000000"/>
        </w:rPr>
        <w:t>.</w:t>
      </w:r>
    </w:p>
    <w:p w:rsidR="00253A54" w:rsidRPr="00B73ED8" w:rsidRDefault="00253A54" w:rsidP="00223A49">
      <w:pPr>
        <w:jc w:val="both"/>
        <w:rPr>
          <w:rFonts w:ascii="ITC Avant Garde" w:eastAsia="Times New Roman" w:hAnsi="ITC Avant Garde" w:cs="Courier New"/>
          <w:color w:val="000000"/>
          <w:lang w:eastAsia="es-MX"/>
        </w:rPr>
      </w:pPr>
      <w:r w:rsidRPr="00B73ED8">
        <w:rPr>
          <w:rFonts w:ascii="ITC Avant Garde" w:eastAsia="Times New Roman" w:hAnsi="ITC Avant Garde" w:cs="Courier New"/>
          <w:b/>
          <w:color w:val="000000"/>
          <w:lang w:eastAsia="es-MX"/>
        </w:rPr>
        <w:t xml:space="preserve">Cuarto.- </w:t>
      </w:r>
      <w:r w:rsidRPr="00B73ED8">
        <w:rPr>
          <w:rFonts w:ascii="ITC Avant Garde" w:eastAsia="Times New Roman" w:hAnsi="ITC Avant Garde" w:cs="Courier New"/>
          <w:color w:val="000000"/>
          <w:lang w:eastAsia="es-MX"/>
        </w:rPr>
        <w:t>Notifíquese</w:t>
      </w:r>
      <w:r w:rsidR="0014328C" w:rsidRPr="00B73ED8">
        <w:rPr>
          <w:rFonts w:ascii="ITC Avant Garde" w:eastAsia="Times New Roman" w:hAnsi="ITC Avant Garde" w:cs="Courier New"/>
          <w:color w:val="000000"/>
          <w:lang w:eastAsia="es-MX"/>
        </w:rPr>
        <w:t>.</w:t>
      </w:r>
    </w:p>
    <w:p w:rsidR="0045500E" w:rsidRPr="00B73ED8" w:rsidRDefault="002B75DB" w:rsidP="00B73ED8">
      <w:pPr>
        <w:pStyle w:val="Prrafodelista"/>
        <w:spacing w:before="800" w:after="0" w:line="240" w:lineRule="auto"/>
        <w:ind w:left="0"/>
        <w:jc w:val="both"/>
        <w:rPr>
          <w:rFonts w:ascii="ITC Avant Garde" w:hAnsi="ITC Avant Garde"/>
          <w:b/>
          <w:bCs/>
          <w:sz w:val="14"/>
          <w:szCs w:val="14"/>
        </w:rPr>
      </w:pPr>
      <w:r w:rsidRPr="00B73ED8">
        <w:rPr>
          <w:rFonts w:ascii="ITC Avant Garde" w:hAnsi="ITC Avant Garde"/>
          <w:sz w:val="14"/>
          <w:szCs w:val="14"/>
        </w:rPr>
        <w:t>El presente Acuerdo fue aprobado por el Pleno del Instituto Federal de Telecomunicaciones en su IV Sesión Ordinaria celebrada el 8 de febrero de 2017</w:t>
      </w:r>
      <w:r w:rsidRPr="00B73ED8">
        <w:rPr>
          <w:rFonts w:ascii="ITC Avant Garde" w:hAnsi="ITC Avant Garde"/>
          <w:sz w:val="14"/>
          <w:szCs w:val="14"/>
          <w:lang w:val="es-ES_tradnl"/>
        </w:rPr>
        <w:t xml:space="preserve">, </w:t>
      </w:r>
      <w:r w:rsidRPr="00B73ED8">
        <w:rPr>
          <w:rFonts w:ascii="ITC Avant Garde" w:hAnsi="ITC Avant Garde"/>
          <w:bCs/>
          <w:sz w:val="14"/>
          <w:szCs w:val="14"/>
          <w:lang w:val="es-ES_tradnl"/>
        </w:rPr>
        <w:t>por</w:t>
      </w:r>
      <w:r w:rsidRPr="00B73ED8">
        <w:rPr>
          <w:rFonts w:ascii="ITC Avant Garde" w:hAnsi="ITC Avant Garde"/>
          <w:sz w:val="14"/>
          <w:szCs w:val="14"/>
          <w:lang w:val="es-ES_tradnl"/>
        </w:rPr>
        <w:t xml:space="preserve"> </w:t>
      </w:r>
      <w:r w:rsidRPr="00B73ED8">
        <w:rPr>
          <w:rFonts w:ascii="ITC Avant Garde" w:hAnsi="ITC Avant Garde"/>
          <w:bCs/>
          <w:sz w:val="14"/>
          <w:szCs w:val="14"/>
          <w:lang w:val="es-ES_tradnl"/>
        </w:rPr>
        <w:t>unanimidad</w:t>
      </w:r>
      <w:r w:rsidRPr="00B73ED8">
        <w:rPr>
          <w:rFonts w:ascii="ITC Avant Garde" w:hAnsi="ITC Avant Garde"/>
          <w:sz w:val="14"/>
          <w:szCs w:val="14"/>
          <w:lang w:val="es-ES_tradnl"/>
        </w:rPr>
        <w:t xml:space="preserve"> de votos de los Comisionados Gabriel Oswaldo Contreras Saldívar, Ernesto Estrada González, Adriana </w:t>
      </w:r>
      <w:r w:rsidRPr="00B73ED8">
        <w:rPr>
          <w:rFonts w:ascii="ITC Avant Garde" w:hAnsi="ITC Avant Garde"/>
          <w:sz w:val="14"/>
          <w:szCs w:val="14"/>
          <w:lang w:val="es-ES_tradnl"/>
        </w:rPr>
        <w:lastRenderedPageBreak/>
        <w:t>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P/IFT/080217/55.</w:t>
      </w:r>
    </w:p>
    <w:sectPr w:rsidR="0045500E" w:rsidRPr="00B73ED8" w:rsidSect="00223A49">
      <w:headerReference w:type="even" r:id="rId8"/>
      <w:headerReference w:type="default" r:id="rId9"/>
      <w:footerReference w:type="default" r:id="rId10"/>
      <w:headerReference w:type="first" r:id="rId11"/>
      <w:pgSz w:w="12240" w:h="15840"/>
      <w:pgMar w:top="255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96" w:rsidRDefault="00FE4796" w:rsidP="00406DF7">
      <w:pPr>
        <w:spacing w:after="0" w:line="240" w:lineRule="auto"/>
      </w:pPr>
      <w:r>
        <w:separator/>
      </w:r>
    </w:p>
  </w:endnote>
  <w:endnote w:type="continuationSeparator" w:id="0">
    <w:p w:rsidR="00FE4796" w:rsidRDefault="00FE4796"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720022"/>
      <w:docPartObj>
        <w:docPartGallery w:val="Page Numbers (Bottom of Page)"/>
        <w:docPartUnique/>
      </w:docPartObj>
    </w:sdtPr>
    <w:sdtEndPr>
      <w:rPr>
        <w:rFonts w:ascii="ITC Avant Garde" w:hAnsi="ITC Avant Garde"/>
        <w:sz w:val="20"/>
      </w:rPr>
    </w:sdtEndPr>
    <w:sdtContent>
      <w:p w:rsidR="00223A49" w:rsidRPr="00B73ED8" w:rsidRDefault="00223A49" w:rsidP="00B73ED8">
        <w:pPr>
          <w:pStyle w:val="Piedepgina"/>
          <w:jc w:val="right"/>
          <w:rPr>
            <w:rFonts w:ascii="ITC Avant Garde" w:hAnsi="ITC Avant Garde"/>
            <w:sz w:val="20"/>
          </w:rPr>
        </w:pPr>
        <w:r w:rsidRPr="00223A49">
          <w:rPr>
            <w:rFonts w:ascii="ITC Avant Garde" w:hAnsi="ITC Avant Garde"/>
            <w:sz w:val="20"/>
          </w:rPr>
          <w:fldChar w:fldCharType="begin"/>
        </w:r>
        <w:r w:rsidRPr="00223A49">
          <w:rPr>
            <w:rFonts w:ascii="ITC Avant Garde" w:hAnsi="ITC Avant Garde"/>
            <w:sz w:val="20"/>
          </w:rPr>
          <w:instrText>PAGE   \* MERGEFORMAT</w:instrText>
        </w:r>
        <w:r w:rsidRPr="00223A49">
          <w:rPr>
            <w:rFonts w:ascii="ITC Avant Garde" w:hAnsi="ITC Avant Garde"/>
            <w:sz w:val="20"/>
          </w:rPr>
          <w:fldChar w:fldCharType="separate"/>
        </w:r>
        <w:r w:rsidR="00B73ED8" w:rsidRPr="00B73ED8">
          <w:rPr>
            <w:rFonts w:ascii="ITC Avant Garde" w:hAnsi="ITC Avant Garde"/>
            <w:noProof/>
            <w:sz w:val="20"/>
            <w:lang w:val="es-ES"/>
          </w:rPr>
          <w:t>4</w:t>
        </w:r>
        <w:r w:rsidRPr="00223A49">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96" w:rsidRDefault="00FE4796" w:rsidP="00406DF7">
      <w:pPr>
        <w:spacing w:after="0" w:line="240" w:lineRule="auto"/>
      </w:pPr>
      <w:r>
        <w:separator/>
      </w:r>
    </w:p>
  </w:footnote>
  <w:footnote w:type="continuationSeparator" w:id="0">
    <w:p w:rsidR="00FE4796" w:rsidRDefault="00FE4796" w:rsidP="00406DF7">
      <w:pPr>
        <w:spacing w:after="0" w:line="240" w:lineRule="auto"/>
      </w:pPr>
      <w:r>
        <w:continuationSeparator/>
      </w:r>
    </w:p>
  </w:footnote>
  <w:footnote w:id="1">
    <w:p w:rsidR="00253A54" w:rsidRPr="005A22C9" w:rsidRDefault="00253A54" w:rsidP="00253A54">
      <w:pPr>
        <w:pStyle w:val="Textonotapie"/>
        <w:rPr>
          <w:rFonts w:ascii="ITC Avant Garde" w:hAnsi="ITC Avant Garde"/>
          <w:sz w:val="16"/>
          <w:szCs w:val="16"/>
        </w:rPr>
      </w:pPr>
      <w:r w:rsidRPr="005A22C9">
        <w:rPr>
          <w:rStyle w:val="Refdenotaalpie"/>
          <w:rFonts w:ascii="ITC Avant Garde" w:hAnsi="ITC Avant Garde"/>
          <w:sz w:val="16"/>
          <w:szCs w:val="16"/>
        </w:rPr>
        <w:footnoteRef/>
      </w:r>
      <w:r w:rsidRPr="005A22C9">
        <w:rPr>
          <w:rFonts w:ascii="ITC Avant Garde" w:hAnsi="ITC Avant Garde"/>
          <w:sz w:val="16"/>
          <w:szCs w:val="16"/>
        </w:rPr>
        <w:t xml:space="preserve"> Publicadas en el DOF el veintiocho de julio de dos mil catorce</w:t>
      </w:r>
      <w:r>
        <w:rPr>
          <w:rFonts w:ascii="ITC Avant Garde" w:hAnsi="ITC Avant Garde"/>
          <w:sz w:val="16"/>
          <w:szCs w:val="16"/>
        </w:rPr>
        <w:t>, aplicables al presente procedimiento de conformidad con lo dispuesto en el artículo Segundo Transitorio de la publicación en el DOF aludida y al haber estado vigentes al inicio del procedimiento tramitado en el expediente AI/DC-001-2014</w:t>
      </w:r>
      <w:r w:rsidRPr="005A22C9">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F7" w:rsidRDefault="00FE4796">
    <w:pPr>
      <w:pStyle w:val="Encabezado"/>
    </w:pPr>
    <w:r>
      <w:rPr>
        <w:noProof/>
        <w:lang w:eastAsia="es-MX"/>
      </w:rPr>
      <w:pict w14:anchorId="2FCE6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87907" o:spid="_x0000_s2071" type="#_x0000_t75" style="position:absolute;margin-left:0;margin-top:0;width:612pt;height:11in;z-index:-251657216;mso-position-horizontal:center;mso-position-horizontal-relative:margin;mso-position-vertical:center;mso-position-vertical-relative:margin" o:allowincell="f">
          <v:imagedata r:id="rId1" o:title="Constitución2_bost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D4" w:rsidRDefault="002E6ED4" w:rsidP="00253A5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F7" w:rsidRDefault="00FE4796">
    <w:pPr>
      <w:pStyle w:val="Encabezado"/>
    </w:pPr>
    <w:r>
      <w:rPr>
        <w:noProof/>
        <w:lang w:eastAsia="es-MX"/>
      </w:rPr>
      <w:pict w14:anchorId="35F51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87906" o:spid="_x0000_s2070" type="#_x0000_t75" style="position:absolute;margin-left:0;margin-top:0;width:612pt;height:11in;z-index:-251658240;mso-position-horizontal:center;mso-position-horizontal-relative:margin;mso-position-vertical:center;mso-position-vertical-relative:margin" o:allowincell="f">
          <v:imagedata r:id="rId1" o:title="Constitución2_bost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A0BE7"/>
    <w:multiLevelType w:val="hybridMultilevel"/>
    <w:tmpl w:val="66EC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843EA"/>
    <w:rsid w:val="00125294"/>
    <w:rsid w:val="0014328C"/>
    <w:rsid w:val="00197D24"/>
    <w:rsid w:val="001C1C34"/>
    <w:rsid w:val="00223A49"/>
    <w:rsid w:val="00253A54"/>
    <w:rsid w:val="002B75DB"/>
    <w:rsid w:val="002E6ED4"/>
    <w:rsid w:val="00326769"/>
    <w:rsid w:val="00384D43"/>
    <w:rsid w:val="00406DF7"/>
    <w:rsid w:val="0042017A"/>
    <w:rsid w:val="0045500E"/>
    <w:rsid w:val="00495C25"/>
    <w:rsid w:val="004A4026"/>
    <w:rsid w:val="004B5D06"/>
    <w:rsid w:val="005B5683"/>
    <w:rsid w:val="005C2141"/>
    <w:rsid w:val="005F622A"/>
    <w:rsid w:val="00617ED7"/>
    <w:rsid w:val="00635EC5"/>
    <w:rsid w:val="00695D9C"/>
    <w:rsid w:val="007522D6"/>
    <w:rsid w:val="007673EB"/>
    <w:rsid w:val="007963D2"/>
    <w:rsid w:val="008F30CF"/>
    <w:rsid w:val="009A4EB7"/>
    <w:rsid w:val="009E464E"/>
    <w:rsid w:val="00A02D10"/>
    <w:rsid w:val="00A109AC"/>
    <w:rsid w:val="00A72149"/>
    <w:rsid w:val="00A80E5D"/>
    <w:rsid w:val="00B73ED8"/>
    <w:rsid w:val="00B934EC"/>
    <w:rsid w:val="00B95B51"/>
    <w:rsid w:val="00BB22C6"/>
    <w:rsid w:val="00BE315C"/>
    <w:rsid w:val="00BF63DD"/>
    <w:rsid w:val="00C72AAC"/>
    <w:rsid w:val="00C7517E"/>
    <w:rsid w:val="00CC18FC"/>
    <w:rsid w:val="00CC7F8E"/>
    <w:rsid w:val="00CD1663"/>
    <w:rsid w:val="00D26CE6"/>
    <w:rsid w:val="00D465E9"/>
    <w:rsid w:val="00DB7955"/>
    <w:rsid w:val="00DE09C3"/>
    <w:rsid w:val="00DE7D4B"/>
    <w:rsid w:val="00E02CC7"/>
    <w:rsid w:val="00E1546B"/>
    <w:rsid w:val="00E5550C"/>
    <w:rsid w:val="00ED4136"/>
    <w:rsid w:val="00EE7C64"/>
    <w:rsid w:val="00F23F04"/>
    <w:rsid w:val="00FA4088"/>
    <w:rsid w:val="00FC2204"/>
    <w:rsid w:val="00FE0AAF"/>
    <w:rsid w:val="00FE4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73E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table" w:customStyle="1" w:styleId="Tablaconcuadrcula1">
    <w:name w:val="Tabla con cuadrícula1"/>
    <w:basedOn w:val="Tablanormal"/>
    <w:next w:val="Tablaconcuadrcula"/>
    <w:uiPriority w:val="39"/>
    <w:rsid w:val="00F2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2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A109AC"/>
    <w:pPr>
      <w:spacing w:after="0" w:line="240" w:lineRule="auto"/>
      <w:jc w:val="both"/>
    </w:pPr>
    <w:rPr>
      <w:rFonts w:ascii="Times New Roman" w:eastAsia="Calibri" w:hAnsi="Times New Roman"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109AC"/>
    <w:rPr>
      <w:rFonts w:ascii="Times New Roman" w:eastAsia="Calibri" w:hAnsi="Times New Roman" w:cs="Times New Roman"/>
      <w:sz w:val="20"/>
      <w:szCs w:val="20"/>
    </w:rPr>
  </w:style>
  <w:style w:type="character" w:styleId="Refdenotaalpie">
    <w:name w:val="footnote reference"/>
    <w:aliases w:val="Ref,de nota al pie"/>
    <w:uiPriority w:val="99"/>
    <w:unhideWhenUsed/>
    <w:qFormat/>
    <w:rsid w:val="00A109AC"/>
    <w:rPr>
      <w:vertAlign w:val="superscript"/>
    </w:rPr>
  </w:style>
  <w:style w:type="character" w:styleId="Refdecomentario">
    <w:name w:val="annotation reference"/>
    <w:basedOn w:val="Fuentedeprrafopredeter"/>
    <w:uiPriority w:val="99"/>
    <w:semiHidden/>
    <w:unhideWhenUsed/>
    <w:rsid w:val="00253A54"/>
    <w:rPr>
      <w:sz w:val="16"/>
      <w:szCs w:val="16"/>
    </w:rPr>
  </w:style>
  <w:style w:type="paragraph" w:styleId="Textocomentario">
    <w:name w:val="annotation text"/>
    <w:basedOn w:val="Normal"/>
    <w:link w:val="TextocomentarioCar"/>
    <w:uiPriority w:val="99"/>
    <w:semiHidden/>
    <w:unhideWhenUsed/>
    <w:rsid w:val="00253A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3A54"/>
    <w:rPr>
      <w:sz w:val="20"/>
      <w:szCs w:val="20"/>
    </w:rPr>
  </w:style>
  <w:style w:type="paragraph" w:styleId="Asuntodelcomentario">
    <w:name w:val="annotation subject"/>
    <w:basedOn w:val="Textocomentario"/>
    <w:next w:val="Textocomentario"/>
    <w:link w:val="AsuntodelcomentarioCar"/>
    <w:uiPriority w:val="99"/>
    <w:semiHidden/>
    <w:unhideWhenUsed/>
    <w:rsid w:val="00253A54"/>
    <w:rPr>
      <w:b/>
      <w:bCs/>
    </w:rPr>
  </w:style>
  <w:style w:type="character" w:customStyle="1" w:styleId="AsuntodelcomentarioCar">
    <w:name w:val="Asunto del comentario Car"/>
    <w:basedOn w:val="TextocomentarioCar"/>
    <w:link w:val="Asuntodelcomentario"/>
    <w:uiPriority w:val="99"/>
    <w:semiHidden/>
    <w:rsid w:val="00253A54"/>
    <w:rPr>
      <w:b/>
      <w:bCs/>
      <w:sz w:val="20"/>
      <w:szCs w:val="20"/>
    </w:rPr>
  </w:style>
  <w:style w:type="paragraph" w:styleId="Textodeglobo">
    <w:name w:val="Balloon Text"/>
    <w:basedOn w:val="Normal"/>
    <w:link w:val="TextodegloboCar"/>
    <w:uiPriority w:val="99"/>
    <w:semiHidden/>
    <w:unhideWhenUsed/>
    <w:rsid w:val="00253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54"/>
    <w:rPr>
      <w:rFonts w:ascii="Segoe UI" w:hAnsi="Segoe UI" w:cs="Segoe UI"/>
      <w:sz w:val="18"/>
      <w:szCs w:val="18"/>
    </w:rPr>
  </w:style>
  <w:style w:type="paragraph" w:styleId="Prrafodelista">
    <w:name w:val="List Paragraph"/>
    <w:basedOn w:val="Normal"/>
    <w:link w:val="PrrafodelistaCar"/>
    <w:uiPriority w:val="34"/>
    <w:qFormat/>
    <w:rsid w:val="00223A49"/>
    <w:pPr>
      <w:ind w:left="720"/>
      <w:contextualSpacing/>
    </w:pPr>
  </w:style>
  <w:style w:type="character" w:customStyle="1" w:styleId="IFTnormalCar">
    <w:name w:val="IFT normal Car"/>
    <w:basedOn w:val="Fuentedeprrafopredeter"/>
    <w:link w:val="IFTnormal"/>
    <w:locked/>
    <w:rsid w:val="0045500E"/>
    <w:rPr>
      <w:rFonts w:ascii="ITC Avant Garde" w:hAnsi="ITC Avant Garde"/>
    </w:rPr>
  </w:style>
  <w:style w:type="paragraph" w:customStyle="1" w:styleId="IFTnormal">
    <w:name w:val="IFT normal"/>
    <w:basedOn w:val="Normal"/>
    <w:link w:val="IFTnormalCar"/>
    <w:rsid w:val="0045500E"/>
    <w:pPr>
      <w:jc w:val="both"/>
    </w:pPr>
    <w:rPr>
      <w:rFonts w:ascii="ITC Avant Garde" w:hAnsi="ITC Avant Garde"/>
    </w:rPr>
  </w:style>
  <w:style w:type="character" w:customStyle="1" w:styleId="PrrafodelistaCar">
    <w:name w:val="Párrafo de lista Car"/>
    <w:basedOn w:val="Fuentedeprrafopredeter"/>
    <w:link w:val="Prrafodelista"/>
    <w:uiPriority w:val="34"/>
    <w:locked/>
    <w:rsid w:val="002B75DB"/>
  </w:style>
  <w:style w:type="character" w:customStyle="1" w:styleId="Ttulo2Car">
    <w:name w:val="Título 2 Car"/>
    <w:basedOn w:val="Fuentedeprrafopredeter"/>
    <w:link w:val="Ttulo2"/>
    <w:uiPriority w:val="9"/>
    <w:rsid w:val="00B73E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AE81-959B-4AA2-B50B-6891E839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1255</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cp:revision>
  <cp:lastPrinted>2017-02-08T17:54:00Z</cp:lastPrinted>
  <dcterms:created xsi:type="dcterms:W3CDTF">2017-02-13T22:01:00Z</dcterms:created>
  <dcterms:modified xsi:type="dcterms:W3CDTF">2017-02-13T22:12:00Z</dcterms:modified>
</cp:coreProperties>
</file>