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E659E" w14:textId="77777777" w:rsidR="002D7BBD" w:rsidRPr="002D7BBD" w:rsidRDefault="0003037D" w:rsidP="002D7BBD">
      <w:pPr>
        <w:pStyle w:val="Ttulo1"/>
        <w:spacing w:before="240" w:after="240"/>
        <w:jc w:val="both"/>
        <w:rPr>
          <w:rFonts w:ascii="ITC Avant Garde" w:hAnsi="ITC Avant Garde"/>
          <w:bCs/>
          <w:color w:val="000000"/>
          <w:sz w:val="22"/>
          <w:szCs w:val="22"/>
          <w:lang w:val="es-MX" w:eastAsia="es-MX"/>
        </w:rPr>
      </w:pPr>
      <w:r w:rsidRPr="002D7BBD">
        <w:rPr>
          <w:rFonts w:ascii="ITC Avant Garde" w:hAnsi="ITC Avant Garde"/>
          <w:bCs/>
          <w:color w:val="000000"/>
          <w:sz w:val="22"/>
          <w:szCs w:val="22"/>
          <w:lang w:val="es-MX" w:eastAsia="es-MX"/>
        </w:rPr>
        <w:t xml:space="preserve">RESOLUCIÓN </w:t>
      </w:r>
      <w:r w:rsidR="001F2391" w:rsidRPr="002D7BBD">
        <w:rPr>
          <w:rFonts w:ascii="ITC Avant Garde" w:hAnsi="ITC Avant Garde"/>
          <w:bCs/>
          <w:color w:val="000000"/>
          <w:sz w:val="22"/>
          <w:szCs w:val="22"/>
          <w:lang w:val="es-MX" w:eastAsia="es-MX"/>
        </w:rPr>
        <w:t>MEDIANTE</w:t>
      </w:r>
      <w:r w:rsidRPr="002D7BBD">
        <w:rPr>
          <w:rFonts w:ascii="ITC Avant Garde" w:hAnsi="ITC Avant Garde"/>
          <w:bCs/>
          <w:color w:val="000000"/>
          <w:sz w:val="22"/>
          <w:szCs w:val="22"/>
          <w:lang w:val="es-MX" w:eastAsia="es-MX"/>
        </w:rPr>
        <w:t xml:space="preserve"> LA CUAL EL PLENO DEL INSTITUTO FEDERAL DE TELECOMUNICACIONES OTORGA</w:t>
      </w:r>
      <w:r w:rsidRPr="002D7BBD">
        <w:rPr>
          <w:rFonts w:ascii="ITC Avant Garde" w:hAnsi="ITC Avant Garde"/>
          <w:sz w:val="22"/>
          <w:szCs w:val="22"/>
        </w:rPr>
        <w:t xml:space="preserve"> </w:t>
      </w:r>
      <w:r w:rsidR="001F2391" w:rsidRPr="002D7BBD">
        <w:rPr>
          <w:rFonts w:ascii="ITC Avant Garde" w:hAnsi="ITC Avant Garde"/>
          <w:sz w:val="22"/>
          <w:szCs w:val="22"/>
        </w:rPr>
        <w:t>UN TÍTULO DE CONCESIÓN PARA USAR Y APROVECHAR BANDAS DE FRECUENCIAS DEL ESPECTRO RADIOELÉCTRICO, ASÍ COMO UN TÍTULO DE CONCESIÓN ÚNICA, AMBOS PARA USO PÚBLICO</w:t>
      </w:r>
      <w:r w:rsidR="00484F18" w:rsidRPr="002D7BBD">
        <w:rPr>
          <w:rFonts w:ascii="ITC Avant Garde" w:hAnsi="ITC Avant Garde"/>
          <w:sz w:val="22"/>
          <w:szCs w:val="22"/>
        </w:rPr>
        <w:t>,</w:t>
      </w:r>
      <w:r w:rsidR="001F2391" w:rsidRPr="002D7BBD">
        <w:rPr>
          <w:rFonts w:ascii="ITC Avant Garde" w:hAnsi="ITC Avant Garde"/>
          <w:sz w:val="22"/>
          <w:szCs w:val="22"/>
        </w:rPr>
        <w:t xml:space="preserve"> A</w:t>
      </w:r>
      <w:r w:rsidR="00841BF1" w:rsidRPr="002D7BBD">
        <w:rPr>
          <w:rFonts w:ascii="ITC Avant Garde" w:hAnsi="ITC Avant Garde"/>
          <w:sz w:val="22"/>
          <w:szCs w:val="22"/>
        </w:rPr>
        <w:t xml:space="preserve"> FAVOR DE</w:t>
      </w:r>
      <w:r w:rsidR="001F2391" w:rsidRPr="002D7BBD">
        <w:rPr>
          <w:rFonts w:ascii="ITC Avant Garde" w:hAnsi="ITC Avant Garde"/>
          <w:sz w:val="22"/>
          <w:szCs w:val="22"/>
        </w:rPr>
        <w:t xml:space="preserve"> LA EMPRESA</w:t>
      </w:r>
      <w:r w:rsidR="00841BF1" w:rsidRPr="002D7BBD">
        <w:rPr>
          <w:rFonts w:ascii="ITC Avant Garde" w:hAnsi="ITC Avant Garde"/>
          <w:bCs/>
          <w:color w:val="000000"/>
          <w:sz w:val="22"/>
          <w:szCs w:val="22"/>
          <w:lang w:val="es-MX" w:eastAsia="es-MX"/>
        </w:rPr>
        <w:t xml:space="preserve"> </w:t>
      </w:r>
      <w:r w:rsidR="008A62D6" w:rsidRPr="002D7BBD">
        <w:rPr>
          <w:rFonts w:ascii="ITC Avant Garde" w:hAnsi="ITC Avant Garde"/>
          <w:bCs/>
          <w:color w:val="000000"/>
          <w:sz w:val="22"/>
          <w:szCs w:val="22"/>
          <w:lang w:val="es-MX" w:eastAsia="es-MX"/>
        </w:rPr>
        <w:t>FERROSUR</w:t>
      </w:r>
      <w:r w:rsidR="00841BF1" w:rsidRPr="002D7BBD">
        <w:rPr>
          <w:rFonts w:ascii="ITC Avant Garde" w:hAnsi="ITC Avant Garde"/>
          <w:bCs/>
          <w:color w:val="000000"/>
          <w:sz w:val="22"/>
          <w:szCs w:val="22"/>
          <w:lang w:val="es-MX" w:eastAsia="es-MX"/>
        </w:rPr>
        <w:t>, S.A. DE C.V</w:t>
      </w:r>
      <w:r w:rsidR="00550C52" w:rsidRPr="002D7BBD">
        <w:rPr>
          <w:rFonts w:ascii="ITC Avant Garde" w:hAnsi="ITC Avant Garde"/>
          <w:bCs/>
          <w:color w:val="000000"/>
          <w:sz w:val="22"/>
          <w:szCs w:val="22"/>
          <w:lang w:val="es-MX" w:eastAsia="es-MX"/>
        </w:rPr>
        <w:t>.</w:t>
      </w:r>
      <w:r w:rsidR="001F2391" w:rsidRPr="002D7BBD">
        <w:rPr>
          <w:rFonts w:ascii="ITC Avant Garde" w:hAnsi="ITC Avant Garde"/>
          <w:bCs/>
          <w:color w:val="000000"/>
          <w:sz w:val="22"/>
          <w:szCs w:val="22"/>
          <w:lang w:val="es-MX" w:eastAsia="es-MX"/>
        </w:rPr>
        <w:t>, CONCESIONARIA DEL SERVICIO PÚBLICO DE TRANSPORTE FERROVIARIO.</w:t>
      </w:r>
    </w:p>
    <w:p w14:paraId="414F181C" w14:textId="77777777" w:rsidR="002D7BBD" w:rsidRPr="002D7BBD" w:rsidRDefault="00AA28E4" w:rsidP="002D7BBD">
      <w:pPr>
        <w:pStyle w:val="Ttulo2"/>
        <w:spacing w:before="240" w:after="240"/>
        <w:ind w:firstLine="0"/>
        <w:jc w:val="center"/>
        <w:rPr>
          <w:rFonts w:ascii="ITC Avant Garde" w:hAnsi="ITC Avant Garde"/>
          <w:sz w:val="22"/>
          <w:szCs w:val="22"/>
        </w:rPr>
      </w:pPr>
      <w:r w:rsidRPr="002D7BBD">
        <w:rPr>
          <w:rFonts w:ascii="ITC Avant Garde" w:hAnsi="ITC Avant Garde"/>
          <w:sz w:val="22"/>
          <w:szCs w:val="22"/>
        </w:rPr>
        <w:t>ANTECEDENTES</w:t>
      </w:r>
    </w:p>
    <w:p w14:paraId="08E19AE8" w14:textId="77777777" w:rsidR="002D7BBD" w:rsidRDefault="006A072D" w:rsidP="002D7BBD">
      <w:pPr>
        <w:numPr>
          <w:ilvl w:val="0"/>
          <w:numId w:val="21"/>
        </w:numPr>
        <w:spacing w:before="240" w:after="240"/>
        <w:ind w:left="567" w:hanging="567"/>
        <w:jc w:val="both"/>
        <w:rPr>
          <w:rFonts w:ascii="ITC Avant Garde" w:hAnsi="ITC Avant Garde"/>
          <w:bCs/>
          <w:color w:val="000000"/>
          <w:sz w:val="22"/>
          <w:szCs w:val="22"/>
          <w:lang w:val="es-MX" w:eastAsia="es-MX"/>
        </w:rPr>
      </w:pPr>
      <w:r>
        <w:rPr>
          <w:rFonts w:ascii="ITC Avant Garde" w:hAnsi="ITC Avant Garde"/>
          <w:b/>
          <w:bCs/>
          <w:color w:val="000000"/>
          <w:sz w:val="22"/>
          <w:szCs w:val="22"/>
          <w:lang w:val="es-MX" w:eastAsia="es-MX"/>
        </w:rPr>
        <w:t>Concesión para prestar el s</w:t>
      </w:r>
      <w:r w:rsidR="00E64326" w:rsidRPr="00D519C5">
        <w:rPr>
          <w:rFonts w:ascii="ITC Avant Garde" w:hAnsi="ITC Avant Garde"/>
          <w:b/>
          <w:bCs/>
          <w:color w:val="000000"/>
          <w:sz w:val="22"/>
          <w:szCs w:val="22"/>
          <w:lang w:val="es-MX" w:eastAsia="es-MX"/>
        </w:rPr>
        <w:t xml:space="preserve">ervicio </w:t>
      </w:r>
      <w:r>
        <w:rPr>
          <w:rFonts w:ascii="ITC Avant Garde" w:hAnsi="ITC Avant Garde"/>
          <w:b/>
          <w:bCs/>
          <w:color w:val="000000"/>
          <w:sz w:val="22"/>
          <w:szCs w:val="22"/>
          <w:lang w:val="es-MX" w:eastAsia="es-MX"/>
        </w:rPr>
        <w:t>p</w:t>
      </w:r>
      <w:r w:rsidR="00E64326" w:rsidRPr="00D519C5">
        <w:rPr>
          <w:rFonts w:ascii="ITC Avant Garde" w:hAnsi="ITC Avant Garde"/>
          <w:b/>
          <w:bCs/>
          <w:color w:val="000000"/>
          <w:sz w:val="22"/>
          <w:szCs w:val="22"/>
          <w:lang w:val="es-MX" w:eastAsia="es-MX"/>
        </w:rPr>
        <w:t xml:space="preserve">úblico </w:t>
      </w:r>
      <w:r w:rsidR="001208A9">
        <w:rPr>
          <w:rFonts w:ascii="ITC Avant Garde" w:hAnsi="ITC Avant Garde"/>
          <w:b/>
          <w:bCs/>
          <w:color w:val="000000"/>
          <w:sz w:val="22"/>
          <w:szCs w:val="22"/>
          <w:lang w:val="es-MX" w:eastAsia="es-MX"/>
        </w:rPr>
        <w:t xml:space="preserve">de transporte </w:t>
      </w:r>
      <w:r>
        <w:rPr>
          <w:rFonts w:ascii="ITC Avant Garde" w:hAnsi="ITC Avant Garde"/>
          <w:b/>
          <w:bCs/>
          <w:color w:val="000000"/>
          <w:sz w:val="22"/>
          <w:szCs w:val="22"/>
          <w:lang w:val="es-MX" w:eastAsia="es-MX"/>
        </w:rPr>
        <w:t>f</w:t>
      </w:r>
      <w:r w:rsidR="00E64326" w:rsidRPr="00D519C5">
        <w:rPr>
          <w:rFonts w:ascii="ITC Avant Garde" w:hAnsi="ITC Avant Garde"/>
          <w:b/>
          <w:bCs/>
          <w:color w:val="000000"/>
          <w:sz w:val="22"/>
          <w:szCs w:val="22"/>
          <w:lang w:val="es-MX" w:eastAsia="es-MX"/>
        </w:rPr>
        <w:t>erroviario</w:t>
      </w:r>
      <w:r>
        <w:rPr>
          <w:rFonts w:ascii="ITC Avant Garde" w:hAnsi="ITC Avant Garde"/>
          <w:b/>
          <w:bCs/>
          <w:color w:val="000000"/>
          <w:sz w:val="22"/>
          <w:szCs w:val="22"/>
          <w:lang w:val="es-MX" w:eastAsia="es-MX"/>
        </w:rPr>
        <w:t>, otorgadas a la empresa Ferrocarril del Sureste, S.A. de C.V</w:t>
      </w:r>
      <w:r w:rsidR="00E64326" w:rsidRPr="00D519C5">
        <w:rPr>
          <w:rFonts w:ascii="ITC Avant Garde" w:hAnsi="ITC Avant Garde"/>
          <w:b/>
          <w:bCs/>
          <w:color w:val="000000"/>
          <w:sz w:val="22"/>
          <w:szCs w:val="22"/>
          <w:lang w:val="es-MX" w:eastAsia="es-MX"/>
        </w:rPr>
        <w:t xml:space="preserve">. </w:t>
      </w:r>
      <w:r w:rsidR="00E64326" w:rsidRPr="00D519C5">
        <w:rPr>
          <w:rFonts w:ascii="ITC Avant Garde" w:hAnsi="ITC Avant Garde"/>
          <w:bCs/>
          <w:color w:val="000000"/>
          <w:sz w:val="22"/>
          <w:szCs w:val="22"/>
          <w:lang w:val="es-MX" w:eastAsia="es-MX"/>
        </w:rPr>
        <w:t xml:space="preserve">El </w:t>
      </w:r>
      <w:r w:rsidR="008A62D6">
        <w:rPr>
          <w:rFonts w:ascii="ITC Avant Garde" w:hAnsi="ITC Avant Garde"/>
          <w:bCs/>
          <w:color w:val="000000"/>
          <w:sz w:val="22"/>
          <w:szCs w:val="22"/>
          <w:lang w:val="es-MX" w:eastAsia="es-MX"/>
        </w:rPr>
        <w:t>29</w:t>
      </w:r>
      <w:r w:rsidR="00B77B9A" w:rsidRPr="00D519C5">
        <w:rPr>
          <w:rFonts w:ascii="ITC Avant Garde" w:hAnsi="ITC Avant Garde"/>
          <w:bCs/>
          <w:color w:val="000000"/>
          <w:sz w:val="22"/>
          <w:szCs w:val="22"/>
          <w:lang w:val="es-MX" w:eastAsia="es-MX"/>
        </w:rPr>
        <w:t xml:space="preserve"> de junio de 199</w:t>
      </w:r>
      <w:r w:rsidR="008A62D6">
        <w:rPr>
          <w:rFonts w:ascii="ITC Avant Garde" w:hAnsi="ITC Avant Garde"/>
          <w:bCs/>
          <w:color w:val="000000"/>
          <w:sz w:val="22"/>
          <w:szCs w:val="22"/>
          <w:lang w:val="es-MX" w:eastAsia="es-MX"/>
        </w:rPr>
        <w:t>8,</w:t>
      </w:r>
      <w:r w:rsidR="00FD1C09">
        <w:rPr>
          <w:rFonts w:ascii="ITC Avant Garde" w:hAnsi="ITC Avant Garde"/>
          <w:bCs/>
          <w:color w:val="000000"/>
          <w:sz w:val="22"/>
          <w:szCs w:val="22"/>
          <w:lang w:val="es-MX" w:eastAsia="es-MX"/>
        </w:rPr>
        <w:t xml:space="preserve"> </w:t>
      </w:r>
      <w:r w:rsidR="008A62D6">
        <w:rPr>
          <w:rFonts w:ascii="ITC Avant Garde" w:hAnsi="ITC Avant Garde"/>
          <w:bCs/>
          <w:color w:val="000000"/>
          <w:sz w:val="22"/>
          <w:szCs w:val="22"/>
          <w:lang w:val="es-MX" w:eastAsia="es-MX"/>
        </w:rPr>
        <w:t>l</w:t>
      </w:r>
      <w:r w:rsidR="00E64326" w:rsidRPr="00D519C5">
        <w:rPr>
          <w:rFonts w:ascii="ITC Avant Garde" w:hAnsi="ITC Avant Garde"/>
          <w:bCs/>
          <w:color w:val="000000"/>
          <w:sz w:val="22"/>
          <w:szCs w:val="22"/>
          <w:lang w:val="es-MX" w:eastAsia="es-MX"/>
        </w:rPr>
        <w:t xml:space="preserve">a </w:t>
      </w:r>
      <w:r w:rsidR="00B77B9A" w:rsidRPr="00D519C5">
        <w:rPr>
          <w:rFonts w:ascii="ITC Avant Garde" w:hAnsi="ITC Avant Garde"/>
          <w:bCs/>
          <w:color w:val="000000"/>
          <w:sz w:val="22"/>
          <w:szCs w:val="22"/>
          <w:lang w:val="es-MX" w:eastAsia="es-MX"/>
        </w:rPr>
        <w:t xml:space="preserve">Secretaría de Comunicaciones y Transportes (la “Secretaría”) otorgó a favor de la </w:t>
      </w:r>
      <w:r w:rsidR="00E64326" w:rsidRPr="00D519C5">
        <w:rPr>
          <w:rFonts w:ascii="ITC Avant Garde" w:hAnsi="ITC Avant Garde"/>
          <w:bCs/>
          <w:color w:val="000000"/>
          <w:sz w:val="22"/>
          <w:szCs w:val="22"/>
          <w:lang w:val="es-MX" w:eastAsia="es-MX"/>
        </w:rPr>
        <w:t xml:space="preserve">empresa </w:t>
      </w:r>
      <w:r w:rsidR="0059710B" w:rsidRPr="00D519C5">
        <w:rPr>
          <w:rFonts w:ascii="ITC Avant Garde" w:hAnsi="ITC Avant Garde"/>
          <w:bCs/>
          <w:color w:val="000000"/>
          <w:sz w:val="22"/>
          <w:szCs w:val="22"/>
          <w:lang w:val="es-MX" w:eastAsia="es-MX"/>
        </w:rPr>
        <w:t xml:space="preserve">Ferrocarril </w:t>
      </w:r>
      <w:r w:rsidR="008A62D6">
        <w:rPr>
          <w:rFonts w:ascii="ITC Avant Garde" w:hAnsi="ITC Avant Garde"/>
          <w:bCs/>
          <w:color w:val="000000"/>
          <w:sz w:val="22"/>
          <w:szCs w:val="22"/>
          <w:lang w:val="es-MX" w:eastAsia="es-MX"/>
        </w:rPr>
        <w:t>del Sureste, S.A. de C.V.,</w:t>
      </w:r>
      <w:r w:rsidR="001208A9">
        <w:rPr>
          <w:rFonts w:ascii="ITC Avant Garde" w:hAnsi="ITC Avant Garde"/>
          <w:bCs/>
          <w:color w:val="000000"/>
          <w:sz w:val="22"/>
          <w:szCs w:val="22"/>
          <w:lang w:val="es-MX" w:eastAsia="es-MX"/>
        </w:rPr>
        <w:t xml:space="preserve"> </w:t>
      </w:r>
      <w:r w:rsidR="00E64326" w:rsidRPr="00D519C5">
        <w:rPr>
          <w:rFonts w:ascii="ITC Avant Garde" w:hAnsi="ITC Avant Garde"/>
          <w:bCs/>
          <w:color w:val="000000"/>
          <w:sz w:val="22"/>
          <w:szCs w:val="22"/>
          <w:lang w:val="es-MX" w:eastAsia="es-MX"/>
        </w:rPr>
        <w:t>concesi</w:t>
      </w:r>
      <w:r w:rsidR="008A62D6">
        <w:rPr>
          <w:rFonts w:ascii="ITC Avant Garde" w:hAnsi="ITC Avant Garde"/>
          <w:bCs/>
          <w:color w:val="000000"/>
          <w:sz w:val="22"/>
          <w:szCs w:val="22"/>
          <w:lang w:val="es-MX" w:eastAsia="es-MX"/>
        </w:rPr>
        <w:t xml:space="preserve">ón </w:t>
      </w:r>
      <w:r w:rsidR="00E64326" w:rsidRPr="00D519C5">
        <w:rPr>
          <w:rFonts w:ascii="ITC Avant Garde" w:hAnsi="ITC Avant Garde"/>
          <w:bCs/>
          <w:color w:val="000000"/>
          <w:sz w:val="22"/>
          <w:szCs w:val="22"/>
          <w:lang w:val="es-MX" w:eastAsia="es-MX"/>
        </w:rPr>
        <w:t>para prestar el servicio público de transporte ferroviario en la vía ferroviaria</w:t>
      </w:r>
      <w:r w:rsidR="00980537">
        <w:rPr>
          <w:rFonts w:ascii="ITC Avant Garde" w:hAnsi="ITC Avant Garde"/>
          <w:bCs/>
          <w:color w:val="000000"/>
          <w:sz w:val="22"/>
          <w:szCs w:val="22"/>
          <w:lang w:val="es-MX" w:eastAsia="es-MX"/>
        </w:rPr>
        <w:t xml:space="preserve"> </w:t>
      </w:r>
      <w:r w:rsidR="009F42AA">
        <w:rPr>
          <w:rFonts w:ascii="ITC Avant Garde" w:hAnsi="ITC Avant Garde"/>
          <w:bCs/>
          <w:color w:val="000000"/>
          <w:sz w:val="22"/>
          <w:szCs w:val="22"/>
          <w:lang w:val="es-MX" w:eastAsia="es-MX"/>
        </w:rPr>
        <w:t xml:space="preserve">del </w:t>
      </w:r>
      <w:r w:rsidR="00980537">
        <w:rPr>
          <w:rFonts w:ascii="ITC Avant Garde" w:hAnsi="ITC Avant Garde"/>
          <w:bCs/>
          <w:color w:val="000000"/>
          <w:sz w:val="22"/>
          <w:szCs w:val="22"/>
          <w:lang w:val="es-MX" w:eastAsia="es-MX"/>
        </w:rPr>
        <w:t xml:space="preserve">Sureste, la cual incluye la vía corta Coatzacoalcos-Mérida </w:t>
      </w:r>
      <w:r w:rsidR="00FD1C09" w:rsidRPr="00D519C5">
        <w:rPr>
          <w:rFonts w:ascii="ITC Avant Garde" w:hAnsi="ITC Avant Garde"/>
          <w:bCs/>
          <w:color w:val="000000"/>
          <w:sz w:val="22"/>
          <w:szCs w:val="22"/>
          <w:lang w:val="es-MX" w:eastAsia="es-MX"/>
        </w:rPr>
        <w:t>con una vigencia de 50 (cincuenta) años contados a partir de la fecha de conclusión de la diligencia de entrega-recepción de la vía férrea y</w:t>
      </w:r>
      <w:r w:rsidR="00980537">
        <w:rPr>
          <w:rFonts w:ascii="ITC Avant Garde" w:hAnsi="ITC Avant Garde"/>
          <w:bCs/>
          <w:color w:val="000000"/>
          <w:sz w:val="22"/>
          <w:szCs w:val="22"/>
          <w:lang w:val="es-MX" w:eastAsia="es-MX"/>
        </w:rPr>
        <w:t xml:space="preserve"> de los bienes o a partir del 17</w:t>
      </w:r>
      <w:r w:rsidR="00FD1C09" w:rsidRPr="00D519C5">
        <w:rPr>
          <w:rFonts w:ascii="ITC Avant Garde" w:hAnsi="ITC Avant Garde"/>
          <w:bCs/>
          <w:color w:val="000000"/>
          <w:sz w:val="22"/>
          <w:szCs w:val="22"/>
          <w:lang w:val="es-MX" w:eastAsia="es-MX"/>
        </w:rPr>
        <w:t xml:space="preserve"> de febrero de 199</w:t>
      </w:r>
      <w:r w:rsidR="00980537">
        <w:rPr>
          <w:rFonts w:ascii="ITC Avant Garde" w:hAnsi="ITC Avant Garde"/>
          <w:bCs/>
          <w:color w:val="000000"/>
          <w:sz w:val="22"/>
          <w:szCs w:val="22"/>
          <w:lang w:val="es-MX" w:eastAsia="es-MX"/>
        </w:rPr>
        <w:t>9</w:t>
      </w:r>
      <w:r w:rsidR="00565396">
        <w:rPr>
          <w:rFonts w:ascii="ITC Avant Garde" w:hAnsi="ITC Avant Garde"/>
          <w:bCs/>
          <w:color w:val="000000"/>
          <w:sz w:val="22"/>
          <w:szCs w:val="22"/>
          <w:lang w:val="es-MX" w:eastAsia="es-MX"/>
        </w:rPr>
        <w:t>, lo que ocurriera primero</w:t>
      </w:r>
      <w:r w:rsidR="00FD1C09">
        <w:rPr>
          <w:rFonts w:ascii="ITC Avant Garde" w:hAnsi="ITC Avant Garde"/>
          <w:bCs/>
          <w:color w:val="000000"/>
          <w:sz w:val="22"/>
          <w:szCs w:val="22"/>
          <w:lang w:val="es-MX" w:eastAsia="es-MX"/>
        </w:rPr>
        <w:t xml:space="preserve">. </w:t>
      </w:r>
    </w:p>
    <w:p w14:paraId="0E1FB34F" w14:textId="125CB03C" w:rsidR="002D7BBD" w:rsidRDefault="009A6AA5" w:rsidP="002D7BBD">
      <w:pPr>
        <w:pStyle w:val="Prrafodelista"/>
        <w:numPr>
          <w:ilvl w:val="0"/>
          <w:numId w:val="21"/>
        </w:numPr>
        <w:spacing w:before="240" w:after="240"/>
        <w:ind w:left="567" w:hanging="567"/>
        <w:jc w:val="both"/>
        <w:rPr>
          <w:rFonts w:ascii="ITC Avant Garde" w:hAnsi="ITC Avant Garde"/>
          <w:bCs/>
          <w:color w:val="000000"/>
          <w:sz w:val="22"/>
          <w:szCs w:val="22"/>
          <w:lang w:val="es-MX" w:eastAsia="es-MX"/>
        </w:rPr>
      </w:pPr>
      <w:r>
        <w:rPr>
          <w:rFonts w:ascii="ITC Avant Garde" w:hAnsi="ITC Avant Garde"/>
          <w:b/>
          <w:bCs/>
          <w:color w:val="000000"/>
          <w:sz w:val="22"/>
          <w:szCs w:val="22"/>
          <w:lang w:val="es-MX" w:eastAsia="es-MX"/>
        </w:rPr>
        <w:t>Fusión de las empresas Ferrocarril del Sureste, S.A. de C.V. y Ferrosur, S.A. de C.V</w:t>
      </w:r>
      <w:r w:rsidR="009F42AA" w:rsidRPr="009F42AA">
        <w:rPr>
          <w:rFonts w:ascii="ITC Avant Garde" w:hAnsi="ITC Avant Garde"/>
          <w:b/>
          <w:bCs/>
          <w:color w:val="000000"/>
          <w:sz w:val="22"/>
          <w:szCs w:val="22"/>
          <w:lang w:val="es-MX" w:eastAsia="es-MX"/>
        </w:rPr>
        <w:t>.</w:t>
      </w:r>
      <w:r w:rsidR="009F42AA">
        <w:rPr>
          <w:rFonts w:ascii="ITC Avant Garde" w:hAnsi="ITC Avant Garde"/>
          <w:bCs/>
          <w:color w:val="000000"/>
          <w:sz w:val="22"/>
          <w:szCs w:val="22"/>
          <w:lang w:val="es-MX" w:eastAsia="es-MX"/>
        </w:rPr>
        <w:t xml:space="preserve"> Por</w:t>
      </w:r>
      <w:r w:rsidR="009F42AA" w:rsidRPr="009F42AA">
        <w:rPr>
          <w:rFonts w:ascii="ITC Avant Garde" w:hAnsi="ITC Avant Garde"/>
          <w:bCs/>
          <w:color w:val="000000"/>
          <w:sz w:val="22"/>
          <w:szCs w:val="22"/>
          <w:lang w:val="es-MX" w:eastAsia="es-MX"/>
        </w:rPr>
        <w:t xml:space="preserve"> instrumento notarial número 116,623 de fecha 30 de diciembre de 1999</w:t>
      </w:r>
      <w:r w:rsidR="009F42AA">
        <w:rPr>
          <w:rFonts w:ascii="ITC Avant Garde" w:hAnsi="ITC Avant Garde"/>
          <w:bCs/>
          <w:color w:val="000000"/>
          <w:sz w:val="22"/>
          <w:szCs w:val="22"/>
          <w:lang w:val="es-MX" w:eastAsia="es-MX"/>
        </w:rPr>
        <w:t>,</w:t>
      </w:r>
      <w:r w:rsidR="009F42AA" w:rsidRPr="009F42AA">
        <w:rPr>
          <w:rFonts w:ascii="ITC Avant Garde" w:hAnsi="ITC Avant Garde"/>
          <w:bCs/>
          <w:color w:val="000000"/>
          <w:sz w:val="22"/>
          <w:szCs w:val="22"/>
          <w:lang w:val="es-MX" w:eastAsia="es-MX"/>
        </w:rPr>
        <w:t xml:space="preserve"> </w:t>
      </w:r>
      <w:r w:rsidR="009F42AA">
        <w:rPr>
          <w:rFonts w:ascii="ITC Avant Garde" w:hAnsi="ITC Avant Garde"/>
          <w:bCs/>
          <w:color w:val="000000"/>
          <w:sz w:val="22"/>
          <w:szCs w:val="22"/>
          <w:lang w:val="es-MX" w:eastAsia="es-MX"/>
        </w:rPr>
        <w:t>otorgado por el N</w:t>
      </w:r>
      <w:r w:rsidR="009F42AA" w:rsidRPr="009F42AA">
        <w:rPr>
          <w:rFonts w:ascii="ITC Avant Garde" w:hAnsi="ITC Avant Garde"/>
          <w:bCs/>
          <w:color w:val="000000"/>
          <w:sz w:val="22"/>
          <w:szCs w:val="22"/>
          <w:lang w:val="es-MX" w:eastAsia="es-MX"/>
        </w:rPr>
        <w:t>otar</w:t>
      </w:r>
      <w:r w:rsidR="009F42AA">
        <w:rPr>
          <w:rFonts w:ascii="ITC Avant Garde" w:hAnsi="ITC Avant Garde"/>
          <w:bCs/>
          <w:color w:val="000000"/>
          <w:sz w:val="22"/>
          <w:szCs w:val="22"/>
          <w:lang w:val="es-MX" w:eastAsia="es-MX"/>
        </w:rPr>
        <w:t>io</w:t>
      </w:r>
      <w:r w:rsidR="009F42AA" w:rsidRPr="009F42AA">
        <w:rPr>
          <w:rFonts w:ascii="ITC Avant Garde" w:hAnsi="ITC Avant Garde"/>
          <w:bCs/>
          <w:color w:val="000000"/>
          <w:sz w:val="22"/>
          <w:szCs w:val="22"/>
          <w:lang w:val="es-MX" w:eastAsia="es-MX"/>
        </w:rPr>
        <w:t xml:space="preserve"> </w:t>
      </w:r>
      <w:r w:rsidR="009F42AA">
        <w:rPr>
          <w:rFonts w:ascii="ITC Avant Garde" w:hAnsi="ITC Avant Garde"/>
          <w:bCs/>
          <w:color w:val="000000"/>
          <w:sz w:val="22"/>
          <w:szCs w:val="22"/>
          <w:lang w:val="es-MX" w:eastAsia="es-MX"/>
        </w:rPr>
        <w:t xml:space="preserve">Público </w:t>
      </w:r>
      <w:r w:rsidR="009F42AA" w:rsidRPr="009F42AA">
        <w:rPr>
          <w:rFonts w:ascii="ITC Avant Garde" w:hAnsi="ITC Avant Garde"/>
          <w:bCs/>
          <w:color w:val="000000"/>
          <w:sz w:val="22"/>
          <w:szCs w:val="22"/>
          <w:lang w:val="es-MX" w:eastAsia="es-MX"/>
        </w:rPr>
        <w:t>número 20 del</w:t>
      </w:r>
      <w:r w:rsidR="009F42AA">
        <w:rPr>
          <w:rFonts w:ascii="ITC Avant Garde" w:hAnsi="ITC Avant Garde"/>
          <w:bCs/>
          <w:color w:val="000000"/>
          <w:sz w:val="22"/>
          <w:szCs w:val="22"/>
          <w:lang w:val="es-MX" w:eastAsia="es-MX"/>
        </w:rPr>
        <w:t xml:space="preserve"> Distrito Federal</w:t>
      </w:r>
      <w:r w:rsidR="009F42AA" w:rsidRPr="009F42AA">
        <w:rPr>
          <w:rFonts w:ascii="ITC Avant Garde" w:hAnsi="ITC Avant Garde"/>
          <w:bCs/>
          <w:color w:val="000000"/>
          <w:sz w:val="22"/>
          <w:szCs w:val="22"/>
          <w:lang w:val="es-MX" w:eastAsia="es-MX"/>
        </w:rPr>
        <w:t xml:space="preserve"> </w:t>
      </w:r>
      <w:r w:rsidR="009F42AA">
        <w:rPr>
          <w:rFonts w:ascii="ITC Avant Garde" w:hAnsi="ITC Avant Garde"/>
          <w:bCs/>
          <w:color w:val="000000"/>
          <w:sz w:val="22"/>
          <w:szCs w:val="22"/>
          <w:lang w:val="es-MX" w:eastAsia="es-MX"/>
        </w:rPr>
        <w:t xml:space="preserve">(hoy </w:t>
      </w:r>
      <w:r w:rsidR="009F42AA" w:rsidRPr="009F42AA">
        <w:rPr>
          <w:rFonts w:ascii="ITC Avant Garde" w:hAnsi="ITC Avant Garde"/>
          <w:bCs/>
          <w:color w:val="000000"/>
          <w:sz w:val="22"/>
          <w:szCs w:val="22"/>
          <w:lang w:val="es-MX" w:eastAsia="es-MX"/>
        </w:rPr>
        <w:t>Ciudad de México</w:t>
      </w:r>
      <w:r w:rsidR="009F42AA">
        <w:rPr>
          <w:rFonts w:ascii="ITC Avant Garde" w:hAnsi="ITC Avant Garde"/>
          <w:bCs/>
          <w:color w:val="000000"/>
          <w:sz w:val="22"/>
          <w:szCs w:val="22"/>
          <w:lang w:val="es-MX" w:eastAsia="es-MX"/>
        </w:rPr>
        <w:t>)</w:t>
      </w:r>
      <w:r w:rsidR="009F42AA" w:rsidRPr="009F42AA">
        <w:rPr>
          <w:rFonts w:ascii="ITC Avant Garde" w:hAnsi="ITC Avant Garde"/>
          <w:bCs/>
          <w:color w:val="000000"/>
          <w:sz w:val="22"/>
          <w:szCs w:val="22"/>
          <w:lang w:val="es-MX" w:eastAsia="es-MX"/>
        </w:rPr>
        <w:t xml:space="preserve">, se hizo constar la </w:t>
      </w:r>
      <w:r>
        <w:rPr>
          <w:rFonts w:ascii="ITC Avant Garde" w:hAnsi="ITC Avant Garde"/>
          <w:bCs/>
          <w:color w:val="000000"/>
          <w:sz w:val="22"/>
          <w:szCs w:val="22"/>
          <w:lang w:val="es-MX" w:eastAsia="es-MX"/>
        </w:rPr>
        <w:t>protocolización de la</w:t>
      </w:r>
      <w:r w:rsidR="009F42AA" w:rsidRPr="009F42AA">
        <w:rPr>
          <w:rFonts w:ascii="ITC Avant Garde" w:hAnsi="ITC Avant Garde"/>
          <w:bCs/>
          <w:color w:val="000000"/>
          <w:sz w:val="22"/>
          <w:szCs w:val="22"/>
          <w:lang w:val="es-MX" w:eastAsia="es-MX"/>
        </w:rPr>
        <w:t xml:space="preserve">s </w:t>
      </w:r>
      <w:r>
        <w:rPr>
          <w:rFonts w:ascii="ITC Avant Garde" w:hAnsi="ITC Avant Garde"/>
          <w:bCs/>
          <w:color w:val="000000"/>
          <w:sz w:val="22"/>
          <w:szCs w:val="22"/>
          <w:lang w:val="es-MX" w:eastAsia="es-MX"/>
        </w:rPr>
        <w:t xml:space="preserve">actas de asambleas generales extraordinarias de accionistas de Ferrosur, S.A. de C.V. (“Ferrosur”), y de Ferrocarril del Sureste S.A. de C.V., celebradas el 17 de diciembre de 1999, así como el </w:t>
      </w:r>
      <w:r w:rsidR="009F42AA" w:rsidRPr="009F42AA">
        <w:rPr>
          <w:rFonts w:ascii="ITC Avant Garde" w:hAnsi="ITC Avant Garde"/>
          <w:bCs/>
          <w:color w:val="000000"/>
          <w:sz w:val="22"/>
          <w:szCs w:val="22"/>
          <w:lang w:val="es-MX" w:eastAsia="es-MX"/>
        </w:rPr>
        <w:t xml:space="preserve">acuerdo de fusión </w:t>
      </w:r>
      <w:r>
        <w:rPr>
          <w:rFonts w:ascii="ITC Avant Garde" w:hAnsi="ITC Avant Garde"/>
          <w:bCs/>
          <w:color w:val="000000"/>
          <w:sz w:val="22"/>
          <w:szCs w:val="22"/>
          <w:lang w:val="es-MX" w:eastAsia="es-MX"/>
        </w:rPr>
        <w:t>de dichas sociedades.</w:t>
      </w:r>
    </w:p>
    <w:p w14:paraId="20D7F04B" w14:textId="77777777" w:rsidR="002D7BBD" w:rsidRDefault="00317D05" w:rsidP="002D7BBD">
      <w:pPr>
        <w:pStyle w:val="Prrafodelista"/>
        <w:spacing w:before="240" w:after="240"/>
        <w:ind w:left="567"/>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Con d</w:t>
      </w:r>
      <w:r w:rsidR="009A6AA5">
        <w:rPr>
          <w:rFonts w:ascii="ITC Avant Garde" w:hAnsi="ITC Avant Garde"/>
          <w:bCs/>
          <w:color w:val="000000"/>
          <w:sz w:val="22"/>
          <w:szCs w:val="22"/>
          <w:lang w:val="es-MX" w:eastAsia="es-MX"/>
        </w:rPr>
        <w:t xml:space="preserve">icha fusión </w:t>
      </w:r>
      <w:r w:rsidR="00AC0A0F">
        <w:rPr>
          <w:rFonts w:ascii="ITC Avant Garde" w:hAnsi="ITC Avant Garde"/>
          <w:bCs/>
          <w:color w:val="000000"/>
          <w:sz w:val="22"/>
          <w:szCs w:val="22"/>
          <w:lang w:val="es-MX" w:eastAsia="es-MX"/>
        </w:rPr>
        <w:t xml:space="preserve">subsistió </w:t>
      </w:r>
      <w:r>
        <w:rPr>
          <w:rFonts w:ascii="ITC Avant Garde" w:hAnsi="ITC Avant Garde"/>
          <w:bCs/>
          <w:color w:val="000000"/>
          <w:sz w:val="22"/>
          <w:szCs w:val="22"/>
          <w:lang w:val="es-MX" w:eastAsia="es-MX"/>
        </w:rPr>
        <w:t xml:space="preserve">la empresa </w:t>
      </w:r>
      <w:r w:rsidR="00AC0A0F">
        <w:rPr>
          <w:rFonts w:ascii="ITC Avant Garde" w:hAnsi="ITC Avant Garde"/>
          <w:bCs/>
          <w:color w:val="000000"/>
          <w:sz w:val="22"/>
          <w:szCs w:val="22"/>
          <w:lang w:val="es-MX" w:eastAsia="es-MX"/>
        </w:rPr>
        <w:t xml:space="preserve">Ferrosur, en </w:t>
      </w:r>
      <w:r>
        <w:rPr>
          <w:rFonts w:ascii="ITC Avant Garde" w:hAnsi="ITC Avant Garde"/>
          <w:bCs/>
          <w:color w:val="000000"/>
          <w:sz w:val="22"/>
          <w:szCs w:val="22"/>
          <w:lang w:val="es-MX" w:eastAsia="es-MX"/>
        </w:rPr>
        <w:t>s</w:t>
      </w:r>
      <w:r w:rsidR="00AC0A0F">
        <w:rPr>
          <w:rFonts w:ascii="ITC Avant Garde" w:hAnsi="ITC Avant Garde"/>
          <w:bCs/>
          <w:color w:val="000000"/>
          <w:sz w:val="22"/>
          <w:szCs w:val="22"/>
          <w:lang w:val="es-MX" w:eastAsia="es-MX"/>
        </w:rPr>
        <w:t xml:space="preserve">u </w:t>
      </w:r>
      <w:r w:rsidR="009F42AA" w:rsidRPr="009F42AA">
        <w:rPr>
          <w:rFonts w:ascii="ITC Avant Garde" w:hAnsi="ITC Avant Garde"/>
          <w:bCs/>
          <w:color w:val="000000"/>
          <w:sz w:val="22"/>
          <w:szCs w:val="22"/>
          <w:lang w:val="es-MX" w:eastAsia="es-MX"/>
        </w:rPr>
        <w:t>c</w:t>
      </w:r>
      <w:r w:rsidR="00AC0A0F">
        <w:rPr>
          <w:rFonts w:ascii="ITC Avant Garde" w:hAnsi="ITC Avant Garde"/>
          <w:bCs/>
          <w:color w:val="000000"/>
          <w:sz w:val="22"/>
          <w:szCs w:val="22"/>
          <w:lang w:val="es-MX" w:eastAsia="es-MX"/>
        </w:rPr>
        <w:t xml:space="preserve">arácter de fusionante, extinguiéndose </w:t>
      </w:r>
      <w:r w:rsidR="009F42AA" w:rsidRPr="009F42AA">
        <w:rPr>
          <w:rFonts w:ascii="ITC Avant Garde" w:hAnsi="ITC Avant Garde"/>
          <w:bCs/>
          <w:color w:val="000000"/>
          <w:sz w:val="22"/>
          <w:szCs w:val="22"/>
          <w:lang w:val="es-MX" w:eastAsia="es-MX"/>
        </w:rPr>
        <w:t>Ferrocarril del Sureste, S.A. de C.V.,</w:t>
      </w:r>
      <w:r w:rsidR="00AC0A0F">
        <w:rPr>
          <w:rFonts w:ascii="ITC Avant Garde" w:hAnsi="ITC Avant Garde"/>
          <w:bCs/>
          <w:color w:val="000000"/>
          <w:sz w:val="22"/>
          <w:szCs w:val="22"/>
          <w:lang w:val="es-MX" w:eastAsia="es-MX"/>
        </w:rPr>
        <w:t xml:space="preserve"> en su carácter de</w:t>
      </w:r>
      <w:r w:rsidR="009F42AA" w:rsidRPr="009F42AA">
        <w:rPr>
          <w:rFonts w:ascii="ITC Avant Garde" w:hAnsi="ITC Avant Garde"/>
          <w:bCs/>
          <w:color w:val="000000"/>
          <w:sz w:val="22"/>
          <w:szCs w:val="22"/>
          <w:lang w:val="es-MX" w:eastAsia="es-MX"/>
        </w:rPr>
        <w:t xml:space="preserve"> fusionada</w:t>
      </w:r>
      <w:r w:rsidR="00AC0A0F">
        <w:rPr>
          <w:rFonts w:ascii="ITC Avant Garde" w:hAnsi="ITC Avant Garde"/>
          <w:bCs/>
          <w:color w:val="000000"/>
          <w:sz w:val="22"/>
          <w:szCs w:val="22"/>
          <w:lang w:val="es-MX" w:eastAsia="es-MX"/>
        </w:rPr>
        <w:t>.</w:t>
      </w:r>
      <w:r w:rsidR="009F42AA" w:rsidRPr="009F42AA">
        <w:rPr>
          <w:rFonts w:ascii="ITC Avant Garde" w:hAnsi="ITC Avant Garde"/>
          <w:bCs/>
          <w:color w:val="000000"/>
          <w:sz w:val="22"/>
          <w:szCs w:val="22"/>
          <w:lang w:val="es-MX" w:eastAsia="es-MX"/>
        </w:rPr>
        <w:t xml:space="preserve"> </w:t>
      </w:r>
    </w:p>
    <w:p w14:paraId="76E5B220" w14:textId="77777777" w:rsidR="002D7BBD" w:rsidRDefault="00AC0A0F" w:rsidP="002D7BBD">
      <w:pPr>
        <w:spacing w:before="240" w:after="240"/>
        <w:ind w:left="567"/>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 xml:space="preserve">Esta situación </w:t>
      </w:r>
      <w:r w:rsidR="007E2E2B">
        <w:rPr>
          <w:rFonts w:ascii="ITC Avant Garde" w:hAnsi="ITC Avant Garde"/>
          <w:bCs/>
          <w:color w:val="000000"/>
          <w:sz w:val="22"/>
          <w:szCs w:val="22"/>
          <w:lang w:val="es-MX" w:eastAsia="es-MX"/>
        </w:rPr>
        <w:t>se hizo constar por el instrumento público antes descrito mismo que forma parte de</w:t>
      </w:r>
      <w:r w:rsidR="00697155">
        <w:rPr>
          <w:rFonts w:ascii="ITC Avant Garde" w:hAnsi="ITC Avant Garde"/>
          <w:bCs/>
          <w:color w:val="000000"/>
          <w:sz w:val="22"/>
          <w:szCs w:val="22"/>
          <w:lang w:val="es-MX" w:eastAsia="es-MX"/>
        </w:rPr>
        <w:t xml:space="preserve"> </w:t>
      </w:r>
      <w:r w:rsidR="007E2E2B">
        <w:rPr>
          <w:rFonts w:ascii="ITC Avant Garde" w:hAnsi="ITC Avant Garde"/>
          <w:bCs/>
          <w:color w:val="000000"/>
          <w:sz w:val="22"/>
          <w:szCs w:val="22"/>
          <w:lang w:val="es-MX" w:eastAsia="es-MX"/>
        </w:rPr>
        <w:t>l</w:t>
      </w:r>
      <w:r w:rsidR="00697155">
        <w:rPr>
          <w:rFonts w:ascii="ITC Avant Garde" w:hAnsi="ITC Avant Garde"/>
          <w:bCs/>
          <w:color w:val="000000"/>
          <w:sz w:val="22"/>
          <w:szCs w:val="22"/>
          <w:lang w:val="es-MX" w:eastAsia="es-MX"/>
        </w:rPr>
        <w:t>os</w:t>
      </w:r>
      <w:r w:rsidR="007E2E2B">
        <w:rPr>
          <w:rFonts w:ascii="ITC Avant Garde" w:hAnsi="ITC Avant Garde"/>
          <w:bCs/>
          <w:color w:val="000000"/>
          <w:sz w:val="22"/>
          <w:szCs w:val="22"/>
          <w:lang w:val="es-MX" w:eastAsia="es-MX"/>
        </w:rPr>
        <w:t xml:space="preserve"> anexos que fueron acompañados en el escrito de solicitud que se describe en el Antecedente IV de la presente Resolución</w:t>
      </w:r>
      <w:r>
        <w:rPr>
          <w:rFonts w:ascii="ITC Avant Garde" w:hAnsi="ITC Avant Garde"/>
          <w:bCs/>
          <w:color w:val="000000"/>
          <w:sz w:val="22"/>
          <w:szCs w:val="22"/>
          <w:lang w:val="es-MX" w:eastAsia="es-MX"/>
        </w:rPr>
        <w:t>.</w:t>
      </w:r>
    </w:p>
    <w:p w14:paraId="5172C6CF" w14:textId="52007718" w:rsidR="002D7BBD" w:rsidRDefault="009F42AA" w:rsidP="002D7BBD">
      <w:pPr>
        <w:numPr>
          <w:ilvl w:val="0"/>
          <w:numId w:val="21"/>
        </w:numPr>
        <w:spacing w:before="240" w:after="240"/>
        <w:ind w:left="567" w:hanging="567"/>
        <w:jc w:val="both"/>
        <w:rPr>
          <w:rFonts w:ascii="ITC Avant Garde" w:hAnsi="ITC Avant Garde"/>
          <w:bCs/>
          <w:color w:val="000000"/>
          <w:sz w:val="22"/>
          <w:szCs w:val="22"/>
          <w:lang w:val="es-MX" w:eastAsia="es-MX"/>
        </w:rPr>
      </w:pPr>
      <w:r w:rsidRPr="009F42AA">
        <w:rPr>
          <w:rFonts w:ascii="ITC Avant Garde" w:hAnsi="ITC Avant Garde"/>
          <w:b/>
          <w:bCs/>
          <w:color w:val="000000"/>
          <w:sz w:val="22"/>
          <w:szCs w:val="22"/>
          <w:lang w:val="es-MX" w:eastAsia="es-MX"/>
        </w:rPr>
        <w:t xml:space="preserve">Concesión otorgada a </w:t>
      </w:r>
      <w:proofErr w:type="spellStart"/>
      <w:r w:rsidRPr="009F42AA">
        <w:rPr>
          <w:rFonts w:ascii="ITC Avant Garde" w:hAnsi="ITC Avant Garde"/>
          <w:b/>
          <w:bCs/>
          <w:color w:val="000000"/>
          <w:sz w:val="22"/>
          <w:szCs w:val="22"/>
          <w:lang w:val="es-MX" w:eastAsia="es-MX"/>
        </w:rPr>
        <w:t>Ferrosur</w:t>
      </w:r>
      <w:proofErr w:type="spellEnd"/>
      <w:r w:rsidRPr="009F42AA">
        <w:rPr>
          <w:rFonts w:ascii="ITC Avant Garde" w:hAnsi="ITC Avant Garde"/>
          <w:b/>
          <w:bCs/>
          <w:color w:val="000000"/>
          <w:sz w:val="22"/>
          <w:szCs w:val="22"/>
          <w:lang w:val="es-MX" w:eastAsia="es-MX"/>
        </w:rPr>
        <w:t>.</w:t>
      </w:r>
      <w:r>
        <w:rPr>
          <w:rFonts w:ascii="ITC Avant Garde" w:hAnsi="ITC Avant Garde"/>
          <w:bCs/>
          <w:color w:val="000000"/>
          <w:sz w:val="22"/>
          <w:szCs w:val="22"/>
          <w:lang w:val="es-MX" w:eastAsia="es-MX"/>
        </w:rPr>
        <w:t xml:space="preserve"> </w:t>
      </w:r>
      <w:r w:rsidR="00AC0A0F">
        <w:rPr>
          <w:rFonts w:ascii="ITC Avant Garde" w:hAnsi="ITC Avant Garde"/>
          <w:bCs/>
          <w:color w:val="000000"/>
          <w:sz w:val="22"/>
          <w:szCs w:val="22"/>
          <w:lang w:val="es-MX" w:eastAsia="es-MX"/>
        </w:rPr>
        <w:t>C</w:t>
      </w:r>
      <w:r w:rsidR="00FD1C09">
        <w:rPr>
          <w:rFonts w:ascii="ITC Avant Garde" w:hAnsi="ITC Avant Garde"/>
          <w:bCs/>
          <w:color w:val="000000"/>
          <w:sz w:val="22"/>
          <w:szCs w:val="22"/>
          <w:lang w:val="es-MX" w:eastAsia="es-MX"/>
        </w:rPr>
        <w:t xml:space="preserve">on fecha </w:t>
      </w:r>
      <w:r w:rsidR="00980537">
        <w:rPr>
          <w:rFonts w:ascii="ITC Avant Garde" w:hAnsi="ITC Avant Garde"/>
          <w:bCs/>
          <w:color w:val="000000"/>
          <w:sz w:val="22"/>
          <w:szCs w:val="22"/>
          <w:lang w:val="es-MX" w:eastAsia="es-MX"/>
        </w:rPr>
        <w:t>14</w:t>
      </w:r>
      <w:r w:rsidR="00FD1C09">
        <w:rPr>
          <w:rFonts w:ascii="ITC Avant Garde" w:hAnsi="ITC Avant Garde"/>
          <w:bCs/>
          <w:color w:val="000000"/>
          <w:sz w:val="22"/>
          <w:szCs w:val="22"/>
          <w:lang w:val="es-MX" w:eastAsia="es-MX"/>
        </w:rPr>
        <w:t xml:space="preserve"> de </w:t>
      </w:r>
      <w:r w:rsidR="00980537">
        <w:rPr>
          <w:rFonts w:ascii="ITC Avant Garde" w:hAnsi="ITC Avant Garde"/>
          <w:bCs/>
          <w:color w:val="000000"/>
          <w:sz w:val="22"/>
          <w:szCs w:val="22"/>
          <w:lang w:val="es-MX" w:eastAsia="es-MX"/>
        </w:rPr>
        <w:t>octubre</w:t>
      </w:r>
      <w:r w:rsidR="00FD1C09">
        <w:rPr>
          <w:rFonts w:ascii="ITC Avant Garde" w:hAnsi="ITC Avant Garde"/>
          <w:bCs/>
          <w:color w:val="000000"/>
          <w:sz w:val="22"/>
          <w:szCs w:val="22"/>
          <w:lang w:val="es-MX" w:eastAsia="es-MX"/>
        </w:rPr>
        <w:t xml:space="preserve"> de </w:t>
      </w:r>
      <w:r w:rsidR="00980537">
        <w:rPr>
          <w:rFonts w:ascii="ITC Avant Garde" w:hAnsi="ITC Avant Garde"/>
          <w:bCs/>
          <w:color w:val="000000"/>
          <w:sz w:val="22"/>
          <w:szCs w:val="22"/>
          <w:lang w:val="es-MX" w:eastAsia="es-MX"/>
        </w:rPr>
        <w:t>2005</w:t>
      </w:r>
      <w:r w:rsidR="00FD1C09">
        <w:rPr>
          <w:rFonts w:ascii="ITC Avant Garde" w:hAnsi="ITC Avant Garde"/>
          <w:bCs/>
          <w:color w:val="000000"/>
          <w:sz w:val="22"/>
          <w:szCs w:val="22"/>
          <w:lang w:val="es-MX" w:eastAsia="es-MX"/>
        </w:rPr>
        <w:t xml:space="preserve"> la Secretaría otorgó a favor de Ferro</w:t>
      </w:r>
      <w:r w:rsidR="00565396">
        <w:rPr>
          <w:rFonts w:ascii="ITC Avant Garde" w:hAnsi="ITC Avant Garde"/>
          <w:bCs/>
          <w:color w:val="000000"/>
          <w:sz w:val="22"/>
          <w:szCs w:val="22"/>
          <w:lang w:val="es-MX" w:eastAsia="es-MX"/>
        </w:rPr>
        <w:t>sur</w:t>
      </w:r>
      <w:r w:rsidR="00E36482">
        <w:rPr>
          <w:rFonts w:ascii="ITC Avant Garde" w:hAnsi="ITC Avant Garde"/>
          <w:bCs/>
          <w:color w:val="000000"/>
          <w:sz w:val="22"/>
          <w:szCs w:val="22"/>
          <w:lang w:val="es-MX" w:eastAsia="es-MX"/>
        </w:rPr>
        <w:t>,</w:t>
      </w:r>
      <w:r w:rsidR="00FD1C09">
        <w:rPr>
          <w:rFonts w:ascii="ITC Avant Garde" w:hAnsi="ITC Avant Garde"/>
          <w:bCs/>
          <w:color w:val="000000"/>
          <w:sz w:val="22"/>
          <w:szCs w:val="22"/>
          <w:lang w:val="es-MX" w:eastAsia="es-MX"/>
        </w:rPr>
        <w:t xml:space="preserve"> una concesión </w:t>
      </w:r>
      <w:r w:rsidR="00FD1C09" w:rsidRPr="00FD1C09">
        <w:rPr>
          <w:rFonts w:ascii="ITC Avant Garde" w:hAnsi="ITC Avant Garde"/>
          <w:bCs/>
          <w:color w:val="000000"/>
          <w:sz w:val="22"/>
          <w:szCs w:val="22"/>
          <w:lang w:val="es-MX" w:eastAsia="es-MX"/>
        </w:rPr>
        <w:t xml:space="preserve">para prestar el servicio público de transporte ferroviario </w:t>
      </w:r>
      <w:r w:rsidR="00FD1C09">
        <w:rPr>
          <w:rFonts w:ascii="ITC Avant Garde" w:hAnsi="ITC Avant Garde"/>
          <w:bCs/>
          <w:color w:val="000000"/>
          <w:sz w:val="22"/>
          <w:szCs w:val="22"/>
          <w:lang w:val="es-MX" w:eastAsia="es-MX"/>
        </w:rPr>
        <w:t>en la</w:t>
      </w:r>
      <w:r w:rsidR="00565396">
        <w:rPr>
          <w:rFonts w:ascii="ITC Avant Garde" w:hAnsi="ITC Avant Garde"/>
          <w:bCs/>
          <w:color w:val="000000"/>
          <w:sz w:val="22"/>
          <w:szCs w:val="22"/>
          <w:lang w:val="es-MX" w:eastAsia="es-MX"/>
        </w:rPr>
        <w:t>s</w:t>
      </w:r>
      <w:r w:rsidR="00A466C0" w:rsidRPr="00D519C5">
        <w:rPr>
          <w:rFonts w:ascii="ITC Avant Garde" w:hAnsi="ITC Avant Garde"/>
          <w:bCs/>
          <w:color w:val="000000"/>
          <w:sz w:val="22"/>
          <w:szCs w:val="22"/>
          <w:lang w:val="es-MX" w:eastAsia="es-MX"/>
        </w:rPr>
        <w:t xml:space="preserve"> </w:t>
      </w:r>
      <w:r w:rsidR="00BA0EC5" w:rsidRPr="00D519C5">
        <w:rPr>
          <w:rFonts w:ascii="ITC Avant Garde" w:hAnsi="ITC Avant Garde"/>
          <w:bCs/>
          <w:color w:val="000000"/>
          <w:sz w:val="22"/>
          <w:szCs w:val="22"/>
          <w:lang w:val="es-MX" w:eastAsia="es-MX"/>
        </w:rPr>
        <w:t>vía</w:t>
      </w:r>
      <w:r w:rsidR="00565396">
        <w:rPr>
          <w:rFonts w:ascii="ITC Avant Garde" w:hAnsi="ITC Avant Garde"/>
          <w:bCs/>
          <w:color w:val="000000"/>
          <w:sz w:val="22"/>
          <w:szCs w:val="22"/>
          <w:lang w:val="es-MX" w:eastAsia="es-MX"/>
        </w:rPr>
        <w:t>s</w:t>
      </w:r>
      <w:r w:rsidR="00BA0EC5" w:rsidRPr="00D519C5">
        <w:rPr>
          <w:rFonts w:ascii="ITC Avant Garde" w:hAnsi="ITC Avant Garde"/>
          <w:bCs/>
          <w:color w:val="000000"/>
          <w:sz w:val="22"/>
          <w:szCs w:val="22"/>
          <w:lang w:val="es-MX" w:eastAsia="es-MX"/>
        </w:rPr>
        <w:t xml:space="preserve"> corta</w:t>
      </w:r>
      <w:r w:rsidR="00565396">
        <w:rPr>
          <w:rFonts w:ascii="ITC Avant Garde" w:hAnsi="ITC Avant Garde"/>
          <w:bCs/>
          <w:color w:val="000000"/>
          <w:sz w:val="22"/>
          <w:szCs w:val="22"/>
          <w:lang w:val="es-MX" w:eastAsia="es-MX"/>
        </w:rPr>
        <w:t>s</w:t>
      </w:r>
      <w:r w:rsidR="00BA0EC5" w:rsidRPr="00D519C5">
        <w:rPr>
          <w:rFonts w:ascii="ITC Avant Garde" w:hAnsi="ITC Avant Garde"/>
          <w:bCs/>
          <w:color w:val="000000"/>
          <w:sz w:val="22"/>
          <w:szCs w:val="22"/>
          <w:lang w:val="es-MX" w:eastAsia="es-MX"/>
        </w:rPr>
        <w:t xml:space="preserve"> </w:t>
      </w:r>
      <w:r w:rsidR="00565396">
        <w:rPr>
          <w:rFonts w:ascii="ITC Avant Garde" w:hAnsi="ITC Avant Garde"/>
          <w:bCs/>
          <w:color w:val="000000"/>
          <w:sz w:val="22"/>
          <w:szCs w:val="22"/>
          <w:lang w:val="es-MX" w:eastAsia="es-MX"/>
        </w:rPr>
        <w:t xml:space="preserve">Oaxaca y </w:t>
      </w:r>
      <w:r w:rsidR="00565396" w:rsidRPr="00AC0A0F">
        <w:rPr>
          <w:rFonts w:ascii="ITC Avant Garde" w:hAnsi="ITC Avant Garde"/>
          <w:bCs/>
          <w:color w:val="000000"/>
          <w:sz w:val="22"/>
          <w:szCs w:val="22"/>
          <w:lang w:val="es-MX" w:eastAsia="es-MX"/>
        </w:rPr>
        <w:t>sur</w:t>
      </w:r>
      <w:r w:rsidR="00FD1C09">
        <w:rPr>
          <w:rFonts w:ascii="ITC Avant Garde" w:hAnsi="ITC Avant Garde"/>
          <w:bCs/>
          <w:color w:val="000000"/>
          <w:sz w:val="22"/>
          <w:szCs w:val="22"/>
          <w:lang w:val="es-MX" w:eastAsia="es-MX"/>
        </w:rPr>
        <w:t xml:space="preserve"> con una</w:t>
      </w:r>
      <w:r w:rsidR="00E64326" w:rsidRPr="00D519C5">
        <w:rPr>
          <w:rFonts w:ascii="ITC Avant Garde" w:hAnsi="ITC Avant Garde"/>
          <w:bCs/>
          <w:color w:val="000000"/>
          <w:sz w:val="22"/>
          <w:szCs w:val="22"/>
          <w:lang w:val="es-MX" w:eastAsia="es-MX"/>
        </w:rPr>
        <w:t xml:space="preserve"> </w:t>
      </w:r>
      <w:r w:rsidR="00FD1C09">
        <w:rPr>
          <w:rFonts w:ascii="ITC Avant Garde" w:hAnsi="ITC Avant Garde"/>
          <w:bCs/>
          <w:color w:val="000000"/>
          <w:sz w:val="22"/>
          <w:szCs w:val="22"/>
          <w:lang w:val="es-MX" w:eastAsia="es-MX"/>
        </w:rPr>
        <w:t>vigencia de 30 (treinta) años contados a partir</w:t>
      </w:r>
      <w:r w:rsidR="00E64326" w:rsidRPr="00D519C5">
        <w:rPr>
          <w:rFonts w:ascii="ITC Avant Garde" w:hAnsi="ITC Avant Garde"/>
          <w:bCs/>
          <w:color w:val="000000"/>
          <w:sz w:val="22"/>
          <w:szCs w:val="22"/>
          <w:lang w:val="es-MX" w:eastAsia="es-MX"/>
        </w:rPr>
        <w:t xml:space="preserve"> de la fecha de conclusión de la diligencia de entrega-recepción de la</w:t>
      </w:r>
      <w:r w:rsidR="00565396">
        <w:rPr>
          <w:rFonts w:ascii="ITC Avant Garde" w:hAnsi="ITC Avant Garde"/>
          <w:bCs/>
          <w:color w:val="000000"/>
          <w:sz w:val="22"/>
          <w:szCs w:val="22"/>
          <w:lang w:val="es-MX" w:eastAsia="es-MX"/>
        </w:rPr>
        <w:t>s</w:t>
      </w:r>
      <w:r w:rsidR="00E64326" w:rsidRPr="00D519C5">
        <w:rPr>
          <w:rFonts w:ascii="ITC Avant Garde" w:hAnsi="ITC Avant Garde"/>
          <w:bCs/>
          <w:color w:val="000000"/>
          <w:sz w:val="22"/>
          <w:szCs w:val="22"/>
          <w:lang w:val="es-MX" w:eastAsia="es-MX"/>
        </w:rPr>
        <w:t xml:space="preserve"> </w:t>
      </w:r>
      <w:r w:rsidR="00CD7095" w:rsidRPr="00D519C5">
        <w:rPr>
          <w:rFonts w:ascii="ITC Avant Garde" w:hAnsi="ITC Avant Garde"/>
          <w:bCs/>
          <w:color w:val="000000"/>
          <w:sz w:val="22"/>
          <w:szCs w:val="22"/>
          <w:lang w:val="es-MX" w:eastAsia="es-MX"/>
        </w:rPr>
        <w:t>v</w:t>
      </w:r>
      <w:r w:rsidR="00E64326" w:rsidRPr="00D519C5">
        <w:rPr>
          <w:rFonts w:ascii="ITC Avant Garde" w:hAnsi="ITC Avant Garde"/>
          <w:bCs/>
          <w:color w:val="000000"/>
          <w:sz w:val="22"/>
          <w:szCs w:val="22"/>
          <w:lang w:val="es-MX" w:eastAsia="es-MX"/>
        </w:rPr>
        <w:t>ía</w:t>
      </w:r>
      <w:r w:rsidR="00565396">
        <w:rPr>
          <w:rFonts w:ascii="ITC Avant Garde" w:hAnsi="ITC Avant Garde"/>
          <w:bCs/>
          <w:color w:val="000000"/>
          <w:sz w:val="22"/>
          <w:szCs w:val="22"/>
          <w:lang w:val="es-MX" w:eastAsia="es-MX"/>
        </w:rPr>
        <w:t>s</w:t>
      </w:r>
      <w:r w:rsidR="00E64326" w:rsidRPr="00D519C5">
        <w:rPr>
          <w:rFonts w:ascii="ITC Avant Garde" w:hAnsi="ITC Avant Garde"/>
          <w:bCs/>
          <w:color w:val="000000"/>
          <w:sz w:val="22"/>
          <w:szCs w:val="22"/>
          <w:lang w:val="es-MX" w:eastAsia="es-MX"/>
        </w:rPr>
        <w:t xml:space="preserve"> </w:t>
      </w:r>
      <w:r w:rsidR="00CD7095" w:rsidRPr="00D519C5">
        <w:rPr>
          <w:rFonts w:ascii="ITC Avant Garde" w:hAnsi="ITC Avant Garde"/>
          <w:bCs/>
          <w:color w:val="000000"/>
          <w:sz w:val="22"/>
          <w:szCs w:val="22"/>
          <w:lang w:val="es-MX" w:eastAsia="es-MX"/>
        </w:rPr>
        <w:t>corta</w:t>
      </w:r>
      <w:r w:rsidR="00565396">
        <w:rPr>
          <w:rFonts w:ascii="ITC Avant Garde" w:hAnsi="ITC Avant Garde"/>
          <w:bCs/>
          <w:color w:val="000000"/>
          <w:sz w:val="22"/>
          <w:szCs w:val="22"/>
          <w:lang w:val="es-MX" w:eastAsia="es-MX"/>
        </w:rPr>
        <w:t>s</w:t>
      </w:r>
      <w:r w:rsidR="00CD7095" w:rsidRPr="00D519C5">
        <w:rPr>
          <w:rFonts w:ascii="ITC Avant Garde" w:hAnsi="ITC Avant Garde"/>
          <w:bCs/>
          <w:color w:val="000000"/>
          <w:sz w:val="22"/>
          <w:szCs w:val="22"/>
          <w:lang w:val="es-MX" w:eastAsia="es-MX"/>
        </w:rPr>
        <w:t xml:space="preserve"> y de los b</w:t>
      </w:r>
      <w:r w:rsidR="00E64326" w:rsidRPr="00D519C5">
        <w:rPr>
          <w:rFonts w:ascii="ITC Avant Garde" w:hAnsi="ITC Avant Garde"/>
          <w:bCs/>
          <w:color w:val="000000"/>
          <w:sz w:val="22"/>
          <w:szCs w:val="22"/>
          <w:lang w:val="es-MX" w:eastAsia="es-MX"/>
        </w:rPr>
        <w:t xml:space="preserve">ienes, o a partir del 1 de </w:t>
      </w:r>
      <w:r w:rsidR="00565396">
        <w:rPr>
          <w:rFonts w:ascii="ITC Avant Garde" w:hAnsi="ITC Avant Garde"/>
          <w:bCs/>
          <w:color w:val="000000"/>
          <w:sz w:val="22"/>
          <w:szCs w:val="22"/>
          <w:lang w:val="es-MX" w:eastAsia="es-MX"/>
        </w:rPr>
        <w:t>diciembre</w:t>
      </w:r>
      <w:r w:rsidR="00E64326" w:rsidRPr="00D519C5">
        <w:rPr>
          <w:rFonts w:ascii="ITC Avant Garde" w:hAnsi="ITC Avant Garde"/>
          <w:bCs/>
          <w:color w:val="000000"/>
          <w:sz w:val="22"/>
          <w:szCs w:val="22"/>
          <w:lang w:val="es-MX" w:eastAsia="es-MX"/>
        </w:rPr>
        <w:t xml:space="preserve"> de </w:t>
      </w:r>
      <w:r w:rsidR="00565396">
        <w:rPr>
          <w:rFonts w:ascii="ITC Avant Garde" w:hAnsi="ITC Avant Garde"/>
          <w:bCs/>
          <w:color w:val="000000"/>
          <w:sz w:val="22"/>
          <w:szCs w:val="22"/>
          <w:lang w:val="es-MX" w:eastAsia="es-MX"/>
        </w:rPr>
        <w:t>2005</w:t>
      </w:r>
      <w:r w:rsidR="00E64326" w:rsidRPr="00D519C5">
        <w:rPr>
          <w:rFonts w:ascii="ITC Avant Garde" w:hAnsi="ITC Avant Garde"/>
          <w:bCs/>
          <w:color w:val="000000"/>
          <w:sz w:val="22"/>
          <w:szCs w:val="22"/>
          <w:lang w:val="es-MX" w:eastAsia="es-MX"/>
        </w:rPr>
        <w:t>, lo que ocurr</w:t>
      </w:r>
      <w:r w:rsidR="001F2391" w:rsidRPr="00D519C5">
        <w:rPr>
          <w:rFonts w:ascii="ITC Avant Garde" w:hAnsi="ITC Avant Garde"/>
          <w:bCs/>
          <w:color w:val="000000"/>
          <w:sz w:val="22"/>
          <w:szCs w:val="22"/>
          <w:lang w:val="es-MX" w:eastAsia="es-MX"/>
        </w:rPr>
        <w:t>ier</w:t>
      </w:r>
      <w:r w:rsidR="00E64326" w:rsidRPr="00D519C5">
        <w:rPr>
          <w:rFonts w:ascii="ITC Avant Garde" w:hAnsi="ITC Avant Garde"/>
          <w:bCs/>
          <w:color w:val="000000"/>
          <w:sz w:val="22"/>
          <w:szCs w:val="22"/>
          <w:lang w:val="es-MX" w:eastAsia="es-MX"/>
        </w:rPr>
        <w:t>a primero</w:t>
      </w:r>
      <w:r w:rsidR="00AD3528" w:rsidRPr="00D519C5">
        <w:rPr>
          <w:rFonts w:ascii="ITC Avant Garde" w:hAnsi="ITC Avant Garde"/>
          <w:bCs/>
          <w:color w:val="000000"/>
          <w:sz w:val="22"/>
          <w:szCs w:val="22"/>
          <w:lang w:val="es-MX" w:eastAsia="es-MX"/>
        </w:rPr>
        <w:t>.</w:t>
      </w:r>
    </w:p>
    <w:p w14:paraId="65559676" w14:textId="77777777" w:rsidR="002D7BBD" w:rsidRDefault="001F2391" w:rsidP="002D7BBD">
      <w:pPr>
        <w:numPr>
          <w:ilvl w:val="0"/>
          <w:numId w:val="21"/>
        </w:numPr>
        <w:spacing w:before="240" w:after="240"/>
        <w:ind w:left="567" w:hanging="567"/>
        <w:jc w:val="both"/>
        <w:rPr>
          <w:rFonts w:ascii="ITC Avant Garde" w:hAnsi="ITC Avant Garde"/>
          <w:bCs/>
          <w:color w:val="000000"/>
          <w:sz w:val="22"/>
          <w:szCs w:val="22"/>
          <w:lang w:val="es-MX" w:eastAsia="es-MX"/>
        </w:rPr>
      </w:pPr>
      <w:r w:rsidRPr="00D519C5">
        <w:rPr>
          <w:rFonts w:ascii="ITC Avant Garde" w:hAnsi="ITC Avant Garde"/>
          <w:b/>
          <w:bCs/>
          <w:color w:val="000000"/>
          <w:sz w:val="22"/>
          <w:szCs w:val="22"/>
          <w:lang w:val="es-MX" w:eastAsia="es-MX"/>
        </w:rPr>
        <w:t>Solicitud de A</w:t>
      </w:r>
      <w:r w:rsidR="00550C52" w:rsidRPr="00D519C5">
        <w:rPr>
          <w:rFonts w:ascii="ITC Avant Garde" w:hAnsi="ITC Avant Garde"/>
          <w:b/>
          <w:bCs/>
          <w:color w:val="000000"/>
          <w:sz w:val="22"/>
          <w:szCs w:val="22"/>
          <w:lang w:val="es-MX" w:eastAsia="es-MX"/>
        </w:rPr>
        <w:t>signación</w:t>
      </w:r>
      <w:r w:rsidR="00BF40FB" w:rsidRPr="00D519C5">
        <w:rPr>
          <w:rFonts w:ascii="ITC Avant Garde" w:hAnsi="ITC Avant Garde"/>
          <w:bCs/>
          <w:color w:val="000000"/>
          <w:sz w:val="22"/>
          <w:szCs w:val="22"/>
          <w:lang w:val="es-MX" w:eastAsia="es-MX"/>
        </w:rPr>
        <w:t xml:space="preserve">. Con escritos </w:t>
      </w:r>
      <w:r w:rsidR="00505CBE" w:rsidRPr="00D519C5">
        <w:rPr>
          <w:rFonts w:ascii="ITC Avant Garde" w:hAnsi="ITC Avant Garde"/>
          <w:bCs/>
          <w:color w:val="000000"/>
          <w:sz w:val="22"/>
          <w:szCs w:val="22"/>
          <w:lang w:val="es-MX" w:eastAsia="es-MX"/>
        </w:rPr>
        <w:t>presentados ante la Secretaría el</w:t>
      </w:r>
      <w:r w:rsidR="00BF40FB" w:rsidRPr="00D519C5">
        <w:rPr>
          <w:rFonts w:ascii="ITC Avant Garde" w:hAnsi="ITC Avant Garde"/>
          <w:bCs/>
          <w:color w:val="000000"/>
          <w:sz w:val="22"/>
          <w:szCs w:val="22"/>
          <w:lang w:val="es-MX" w:eastAsia="es-MX"/>
        </w:rPr>
        <w:t xml:space="preserve"> 2</w:t>
      </w:r>
      <w:r w:rsidR="00505CBE" w:rsidRPr="00D519C5">
        <w:rPr>
          <w:rFonts w:ascii="ITC Avant Garde" w:hAnsi="ITC Avant Garde"/>
          <w:bCs/>
          <w:color w:val="000000"/>
          <w:sz w:val="22"/>
          <w:szCs w:val="22"/>
          <w:lang w:val="es-MX" w:eastAsia="es-MX"/>
        </w:rPr>
        <w:t>3</w:t>
      </w:r>
      <w:r w:rsidR="003D26ED">
        <w:rPr>
          <w:rFonts w:ascii="ITC Avant Garde" w:hAnsi="ITC Avant Garde"/>
          <w:bCs/>
          <w:color w:val="000000"/>
          <w:sz w:val="22"/>
          <w:szCs w:val="22"/>
          <w:lang w:val="es-MX" w:eastAsia="es-MX"/>
        </w:rPr>
        <w:t xml:space="preserve"> de marzo de</w:t>
      </w:r>
      <w:r w:rsidR="007E6879" w:rsidRPr="00D519C5">
        <w:rPr>
          <w:rFonts w:ascii="ITC Avant Garde" w:hAnsi="ITC Avant Garde"/>
          <w:bCs/>
          <w:color w:val="000000"/>
          <w:sz w:val="22"/>
          <w:szCs w:val="22"/>
          <w:lang w:val="es-MX" w:eastAsia="es-MX"/>
        </w:rPr>
        <w:t xml:space="preserve"> 2012 y</w:t>
      </w:r>
      <w:r w:rsidR="00550C52" w:rsidRPr="00D519C5">
        <w:rPr>
          <w:rFonts w:ascii="ITC Avant Garde" w:hAnsi="ITC Avant Garde"/>
          <w:bCs/>
          <w:color w:val="000000"/>
          <w:sz w:val="22"/>
          <w:szCs w:val="22"/>
          <w:lang w:val="es-MX" w:eastAsia="es-MX"/>
        </w:rPr>
        <w:t xml:space="preserve"> </w:t>
      </w:r>
      <w:r w:rsidR="00505CBE" w:rsidRPr="00D519C5">
        <w:rPr>
          <w:rFonts w:ascii="ITC Avant Garde" w:hAnsi="ITC Avant Garde"/>
          <w:bCs/>
          <w:color w:val="000000"/>
          <w:sz w:val="22"/>
          <w:szCs w:val="22"/>
          <w:lang w:val="es-MX" w:eastAsia="es-MX"/>
        </w:rPr>
        <w:t>el 31</w:t>
      </w:r>
      <w:r w:rsidR="007E6879" w:rsidRPr="00D519C5">
        <w:rPr>
          <w:rFonts w:ascii="ITC Avant Garde" w:hAnsi="ITC Avant Garde"/>
          <w:bCs/>
          <w:color w:val="000000"/>
          <w:sz w:val="22"/>
          <w:szCs w:val="22"/>
          <w:lang w:val="es-MX" w:eastAsia="es-MX"/>
        </w:rPr>
        <w:t xml:space="preserve"> </w:t>
      </w:r>
      <w:r w:rsidR="00BF40FB" w:rsidRPr="00D519C5">
        <w:rPr>
          <w:rFonts w:ascii="ITC Avant Garde" w:hAnsi="ITC Avant Garde"/>
          <w:bCs/>
          <w:color w:val="000000"/>
          <w:sz w:val="22"/>
          <w:szCs w:val="22"/>
          <w:lang w:val="es-MX" w:eastAsia="es-MX"/>
        </w:rPr>
        <w:t>de agosto</w:t>
      </w:r>
      <w:r w:rsidR="00550C52" w:rsidRPr="00D519C5">
        <w:rPr>
          <w:rFonts w:ascii="ITC Avant Garde" w:hAnsi="ITC Avant Garde"/>
          <w:bCs/>
          <w:color w:val="000000"/>
          <w:sz w:val="22"/>
          <w:szCs w:val="22"/>
          <w:lang w:val="es-MX" w:eastAsia="es-MX"/>
        </w:rPr>
        <w:t xml:space="preserve"> de</w:t>
      </w:r>
      <w:r w:rsidR="00505CBE" w:rsidRPr="00D519C5">
        <w:rPr>
          <w:rFonts w:ascii="ITC Avant Garde" w:hAnsi="ITC Avant Garde"/>
          <w:bCs/>
          <w:color w:val="000000"/>
          <w:sz w:val="22"/>
          <w:szCs w:val="22"/>
          <w:lang w:val="es-MX" w:eastAsia="es-MX"/>
        </w:rPr>
        <w:t>l mismo año</w:t>
      </w:r>
      <w:r w:rsidR="007E6879" w:rsidRPr="00D519C5">
        <w:rPr>
          <w:rFonts w:ascii="ITC Avant Garde" w:hAnsi="ITC Avant Garde"/>
          <w:bCs/>
          <w:color w:val="000000"/>
          <w:sz w:val="22"/>
          <w:szCs w:val="22"/>
          <w:lang w:val="es-MX" w:eastAsia="es-MX"/>
        </w:rPr>
        <w:t>,</w:t>
      </w:r>
      <w:r w:rsidR="00550C52" w:rsidRPr="00D519C5">
        <w:rPr>
          <w:rFonts w:ascii="ITC Avant Garde" w:hAnsi="ITC Avant Garde"/>
          <w:bCs/>
          <w:color w:val="000000"/>
          <w:sz w:val="22"/>
          <w:szCs w:val="22"/>
          <w:lang w:val="es-MX" w:eastAsia="es-MX"/>
        </w:rPr>
        <w:t xml:space="preserve"> </w:t>
      </w:r>
      <w:r w:rsidR="00F47EB2" w:rsidRPr="00D519C5">
        <w:rPr>
          <w:rFonts w:ascii="ITC Avant Garde" w:hAnsi="ITC Avant Garde"/>
          <w:bCs/>
          <w:color w:val="000000"/>
          <w:sz w:val="22"/>
          <w:szCs w:val="22"/>
          <w:lang w:val="es-MX" w:eastAsia="es-MX"/>
        </w:rPr>
        <w:t>el r</w:t>
      </w:r>
      <w:r w:rsidR="00550C52" w:rsidRPr="00D519C5">
        <w:rPr>
          <w:rFonts w:ascii="ITC Avant Garde" w:hAnsi="ITC Avant Garde"/>
          <w:bCs/>
          <w:color w:val="000000"/>
          <w:sz w:val="22"/>
          <w:szCs w:val="22"/>
          <w:lang w:val="es-MX" w:eastAsia="es-MX"/>
        </w:rPr>
        <w:t xml:space="preserve">epresentante legal </w:t>
      </w:r>
      <w:r w:rsidR="00AD3528" w:rsidRPr="00D519C5">
        <w:rPr>
          <w:rFonts w:ascii="ITC Avant Garde" w:hAnsi="ITC Avant Garde"/>
          <w:bCs/>
          <w:color w:val="000000"/>
          <w:sz w:val="22"/>
          <w:szCs w:val="22"/>
          <w:lang w:val="es-MX" w:eastAsia="es-MX"/>
        </w:rPr>
        <w:t xml:space="preserve">de </w:t>
      </w:r>
      <w:r w:rsidR="00F555ED">
        <w:rPr>
          <w:rFonts w:ascii="ITC Avant Garde" w:hAnsi="ITC Avant Garde"/>
          <w:bCs/>
          <w:color w:val="000000"/>
          <w:sz w:val="22"/>
          <w:szCs w:val="22"/>
          <w:lang w:val="es-MX" w:eastAsia="es-MX"/>
        </w:rPr>
        <w:t>Ferrosur</w:t>
      </w:r>
      <w:r w:rsidR="00550C52" w:rsidRPr="00D519C5">
        <w:rPr>
          <w:rFonts w:ascii="ITC Avant Garde" w:hAnsi="ITC Avant Garde"/>
          <w:bCs/>
          <w:color w:val="000000"/>
          <w:sz w:val="22"/>
          <w:szCs w:val="22"/>
          <w:lang w:val="es-MX" w:eastAsia="es-MX"/>
        </w:rPr>
        <w:t xml:space="preserve"> solicitó a </w:t>
      </w:r>
      <w:r w:rsidR="00015BDD">
        <w:rPr>
          <w:rFonts w:ascii="ITC Avant Garde" w:hAnsi="ITC Avant Garde"/>
          <w:bCs/>
          <w:color w:val="000000"/>
          <w:sz w:val="22"/>
          <w:szCs w:val="22"/>
          <w:lang w:val="es-MX" w:eastAsia="es-MX"/>
        </w:rPr>
        <w:t>dicha Dependencia,</w:t>
      </w:r>
      <w:r w:rsidR="00550C52" w:rsidRPr="00D519C5">
        <w:rPr>
          <w:rFonts w:ascii="ITC Avant Garde" w:hAnsi="ITC Avant Garde"/>
          <w:bCs/>
          <w:color w:val="000000"/>
          <w:sz w:val="22"/>
          <w:szCs w:val="22"/>
          <w:lang w:val="es-MX" w:eastAsia="es-MX"/>
        </w:rPr>
        <w:t xml:space="preserve"> la asignación </w:t>
      </w:r>
      <w:r w:rsidR="00015BDD">
        <w:rPr>
          <w:rFonts w:ascii="ITC Avant Garde" w:hAnsi="ITC Avant Garde"/>
          <w:bCs/>
          <w:color w:val="000000"/>
          <w:sz w:val="22"/>
          <w:szCs w:val="22"/>
          <w:lang w:val="es-MX" w:eastAsia="es-MX"/>
        </w:rPr>
        <w:t xml:space="preserve">para uso oficial </w:t>
      </w:r>
      <w:r w:rsidR="00550C52" w:rsidRPr="00D519C5">
        <w:rPr>
          <w:rFonts w:ascii="ITC Avant Garde" w:hAnsi="ITC Avant Garde"/>
          <w:bCs/>
          <w:color w:val="000000"/>
          <w:sz w:val="22"/>
          <w:szCs w:val="22"/>
          <w:lang w:val="es-MX" w:eastAsia="es-MX"/>
        </w:rPr>
        <w:t>de</w:t>
      </w:r>
      <w:r w:rsidR="008A7378" w:rsidRPr="00D519C5">
        <w:rPr>
          <w:rFonts w:ascii="ITC Avant Garde" w:hAnsi="ITC Avant Garde"/>
          <w:bCs/>
          <w:color w:val="000000"/>
          <w:sz w:val="22"/>
          <w:szCs w:val="22"/>
          <w:lang w:val="es-MX" w:eastAsia="es-MX"/>
        </w:rPr>
        <w:t xml:space="preserve"> </w:t>
      </w:r>
      <w:r w:rsidR="006641F8" w:rsidRPr="00D519C5">
        <w:rPr>
          <w:rFonts w:ascii="ITC Avant Garde" w:hAnsi="ITC Avant Garde"/>
          <w:bCs/>
          <w:color w:val="000000"/>
          <w:sz w:val="22"/>
          <w:szCs w:val="22"/>
          <w:lang w:val="es-MX" w:eastAsia="es-MX"/>
        </w:rPr>
        <w:t>diversas</w:t>
      </w:r>
      <w:r w:rsidR="00550C52" w:rsidRPr="00D519C5">
        <w:rPr>
          <w:rFonts w:ascii="ITC Avant Garde" w:hAnsi="ITC Avant Garde"/>
          <w:bCs/>
          <w:color w:val="000000"/>
          <w:sz w:val="22"/>
          <w:szCs w:val="22"/>
          <w:lang w:val="es-MX" w:eastAsia="es-MX"/>
        </w:rPr>
        <w:t xml:space="preserve"> frecuencias</w:t>
      </w:r>
      <w:r w:rsidR="006641F8" w:rsidRPr="00D519C5">
        <w:rPr>
          <w:rFonts w:ascii="ITC Avant Garde" w:hAnsi="ITC Avant Garde"/>
          <w:bCs/>
          <w:color w:val="000000"/>
          <w:sz w:val="22"/>
          <w:szCs w:val="22"/>
          <w:lang w:val="es-MX" w:eastAsia="es-MX"/>
        </w:rPr>
        <w:t xml:space="preserve"> en </w:t>
      </w:r>
      <w:r w:rsidR="003C5349" w:rsidRPr="00D519C5">
        <w:rPr>
          <w:rFonts w:ascii="ITC Avant Garde" w:hAnsi="ITC Avant Garde"/>
          <w:bCs/>
          <w:color w:val="000000"/>
          <w:sz w:val="22"/>
          <w:szCs w:val="22"/>
          <w:lang w:val="es-MX" w:eastAsia="es-MX"/>
        </w:rPr>
        <w:t>l</w:t>
      </w:r>
      <w:r w:rsidR="006641F8" w:rsidRPr="00D519C5">
        <w:rPr>
          <w:rFonts w:ascii="ITC Avant Garde" w:hAnsi="ITC Avant Garde"/>
          <w:bCs/>
          <w:color w:val="000000"/>
          <w:sz w:val="22"/>
          <w:szCs w:val="22"/>
          <w:lang w:val="es-MX" w:eastAsia="es-MX"/>
        </w:rPr>
        <w:t>os</w:t>
      </w:r>
      <w:r w:rsidR="003C5349" w:rsidRPr="00D519C5">
        <w:rPr>
          <w:rFonts w:ascii="ITC Avant Garde" w:hAnsi="ITC Avant Garde"/>
          <w:bCs/>
          <w:color w:val="000000"/>
          <w:sz w:val="22"/>
          <w:szCs w:val="22"/>
          <w:lang w:val="es-MX" w:eastAsia="es-MX"/>
        </w:rPr>
        <w:t xml:space="preserve"> rango</w:t>
      </w:r>
      <w:r w:rsidR="006641F8" w:rsidRPr="00D519C5">
        <w:rPr>
          <w:rFonts w:ascii="ITC Avant Garde" w:hAnsi="ITC Avant Garde"/>
          <w:bCs/>
          <w:color w:val="000000"/>
          <w:sz w:val="22"/>
          <w:szCs w:val="22"/>
          <w:lang w:val="es-MX" w:eastAsia="es-MX"/>
        </w:rPr>
        <w:t>s</w:t>
      </w:r>
      <w:r w:rsidR="008A7378" w:rsidRPr="00D519C5">
        <w:rPr>
          <w:rFonts w:ascii="ITC Avant Garde" w:hAnsi="ITC Avant Garde"/>
          <w:bCs/>
          <w:color w:val="000000"/>
          <w:sz w:val="22"/>
          <w:szCs w:val="22"/>
          <w:lang w:val="es-MX" w:eastAsia="es-MX"/>
        </w:rPr>
        <w:t xml:space="preserve"> de</w:t>
      </w:r>
      <w:r w:rsidR="00550C52" w:rsidRPr="00D519C5">
        <w:rPr>
          <w:rFonts w:ascii="ITC Avant Garde" w:hAnsi="ITC Avant Garde"/>
          <w:bCs/>
          <w:color w:val="000000"/>
          <w:sz w:val="22"/>
          <w:szCs w:val="22"/>
          <w:lang w:val="es-MX" w:eastAsia="es-MX"/>
        </w:rPr>
        <w:t xml:space="preserve"> 157-174</w:t>
      </w:r>
      <w:r w:rsidR="006641F8" w:rsidRPr="00D519C5">
        <w:rPr>
          <w:rFonts w:ascii="ITC Avant Garde" w:hAnsi="ITC Avant Garde"/>
          <w:bCs/>
          <w:color w:val="000000"/>
          <w:sz w:val="22"/>
          <w:szCs w:val="22"/>
          <w:lang w:val="es-MX" w:eastAsia="es-MX"/>
        </w:rPr>
        <w:t xml:space="preserve"> MHz</w:t>
      </w:r>
      <w:r w:rsidR="00550C52" w:rsidRPr="00D519C5">
        <w:rPr>
          <w:rFonts w:ascii="ITC Avant Garde" w:hAnsi="ITC Avant Garde"/>
          <w:bCs/>
          <w:color w:val="000000"/>
          <w:sz w:val="22"/>
          <w:szCs w:val="22"/>
          <w:lang w:val="es-MX" w:eastAsia="es-MX"/>
        </w:rPr>
        <w:t>,</w:t>
      </w:r>
      <w:r w:rsidR="00AD3528" w:rsidRPr="00D519C5">
        <w:rPr>
          <w:rFonts w:ascii="ITC Avant Garde" w:hAnsi="ITC Avant Garde"/>
          <w:bCs/>
          <w:color w:val="000000"/>
          <w:sz w:val="22"/>
          <w:szCs w:val="22"/>
          <w:lang w:val="es-MX" w:eastAsia="es-MX"/>
        </w:rPr>
        <w:t xml:space="preserve"> </w:t>
      </w:r>
      <w:r w:rsidR="00E914FC" w:rsidRPr="00D519C5">
        <w:rPr>
          <w:rFonts w:ascii="ITC Avant Garde" w:hAnsi="ITC Avant Garde"/>
          <w:bCs/>
          <w:color w:val="000000"/>
          <w:sz w:val="22"/>
          <w:szCs w:val="22"/>
          <w:lang w:val="es-MX" w:eastAsia="es-MX"/>
        </w:rPr>
        <w:t>220-222</w:t>
      </w:r>
      <w:r w:rsidR="006641F8" w:rsidRPr="00D519C5">
        <w:rPr>
          <w:rFonts w:ascii="ITC Avant Garde" w:hAnsi="ITC Avant Garde"/>
          <w:bCs/>
          <w:color w:val="000000"/>
          <w:sz w:val="22"/>
          <w:szCs w:val="22"/>
          <w:lang w:val="es-MX" w:eastAsia="es-MX"/>
        </w:rPr>
        <w:t xml:space="preserve"> MHz</w:t>
      </w:r>
      <w:r w:rsidR="00E914FC" w:rsidRPr="00D519C5">
        <w:rPr>
          <w:rFonts w:ascii="ITC Avant Garde" w:hAnsi="ITC Avant Garde"/>
          <w:bCs/>
          <w:color w:val="000000"/>
          <w:sz w:val="22"/>
          <w:szCs w:val="22"/>
          <w:lang w:val="es-MX" w:eastAsia="es-MX"/>
        </w:rPr>
        <w:t>,</w:t>
      </w:r>
      <w:r w:rsidR="00D350C6" w:rsidRPr="00D519C5">
        <w:rPr>
          <w:rFonts w:ascii="ITC Avant Garde" w:hAnsi="ITC Avant Garde"/>
          <w:bCs/>
          <w:color w:val="000000"/>
          <w:sz w:val="22"/>
          <w:szCs w:val="22"/>
          <w:lang w:val="es-MX" w:eastAsia="es-MX"/>
        </w:rPr>
        <w:t xml:space="preserve"> </w:t>
      </w:r>
      <w:r w:rsidR="00950ED0" w:rsidRPr="00D519C5">
        <w:rPr>
          <w:rFonts w:ascii="ITC Avant Garde" w:hAnsi="ITC Avant Garde"/>
          <w:bCs/>
          <w:color w:val="000000"/>
          <w:sz w:val="22"/>
          <w:szCs w:val="22"/>
          <w:lang w:val="es-MX" w:eastAsia="es-MX"/>
        </w:rPr>
        <w:t>350-380</w:t>
      </w:r>
      <w:r w:rsidR="006641F8" w:rsidRPr="00D519C5">
        <w:rPr>
          <w:rFonts w:ascii="ITC Avant Garde" w:hAnsi="ITC Avant Garde"/>
          <w:bCs/>
          <w:color w:val="000000"/>
          <w:sz w:val="22"/>
          <w:szCs w:val="22"/>
          <w:lang w:val="es-MX" w:eastAsia="es-MX"/>
        </w:rPr>
        <w:t xml:space="preserve"> </w:t>
      </w:r>
      <w:r w:rsidR="006641F8" w:rsidRPr="00D519C5">
        <w:rPr>
          <w:rFonts w:ascii="ITC Avant Garde" w:hAnsi="ITC Avant Garde"/>
          <w:bCs/>
          <w:sz w:val="22"/>
          <w:szCs w:val="22"/>
          <w:lang w:val="es-MX" w:eastAsia="es-MX"/>
        </w:rPr>
        <w:t xml:space="preserve">MHz, </w:t>
      </w:r>
      <w:r w:rsidR="008105BA" w:rsidRPr="00D519C5">
        <w:rPr>
          <w:rFonts w:ascii="ITC Avant Garde" w:hAnsi="ITC Avant Garde"/>
          <w:bCs/>
          <w:sz w:val="22"/>
          <w:szCs w:val="22"/>
          <w:lang w:val="es-MX" w:eastAsia="es-MX"/>
        </w:rPr>
        <w:t>452-458</w:t>
      </w:r>
      <w:r w:rsidR="006641F8" w:rsidRPr="00D519C5">
        <w:rPr>
          <w:rFonts w:ascii="ITC Avant Garde" w:hAnsi="ITC Avant Garde"/>
          <w:bCs/>
          <w:sz w:val="22"/>
          <w:szCs w:val="22"/>
          <w:lang w:val="es-MX" w:eastAsia="es-MX"/>
        </w:rPr>
        <w:t xml:space="preserve"> MHz</w:t>
      </w:r>
      <w:r w:rsidR="00E914FC" w:rsidRPr="00D519C5">
        <w:rPr>
          <w:rFonts w:ascii="ITC Avant Garde" w:hAnsi="ITC Avant Garde"/>
          <w:bCs/>
          <w:sz w:val="22"/>
          <w:szCs w:val="22"/>
          <w:lang w:val="es-MX" w:eastAsia="es-MX"/>
        </w:rPr>
        <w:t xml:space="preserve">, </w:t>
      </w:r>
      <w:r w:rsidR="00E914FC" w:rsidRPr="00D519C5">
        <w:rPr>
          <w:rFonts w:ascii="ITC Avant Garde" w:hAnsi="ITC Avant Garde"/>
          <w:bCs/>
          <w:sz w:val="22"/>
          <w:szCs w:val="22"/>
          <w:lang w:val="es-MX" w:eastAsia="es-MX"/>
        </w:rPr>
        <w:lastRenderedPageBreak/>
        <w:t>1427</w:t>
      </w:r>
      <w:r w:rsidR="00E914FC" w:rsidRPr="00D519C5">
        <w:rPr>
          <w:rFonts w:ascii="ITC Avant Garde" w:hAnsi="ITC Avant Garde"/>
          <w:bCs/>
          <w:color w:val="000000"/>
          <w:sz w:val="22"/>
          <w:szCs w:val="22"/>
          <w:lang w:val="es-MX" w:eastAsia="es-MX"/>
        </w:rPr>
        <w:t>-1517</w:t>
      </w:r>
      <w:r w:rsidR="008105BA" w:rsidRPr="00D519C5">
        <w:rPr>
          <w:rFonts w:ascii="ITC Avant Garde" w:hAnsi="ITC Avant Garde"/>
          <w:bCs/>
          <w:color w:val="000000"/>
          <w:sz w:val="22"/>
          <w:szCs w:val="22"/>
          <w:lang w:val="es-MX" w:eastAsia="es-MX"/>
        </w:rPr>
        <w:t xml:space="preserve"> </w:t>
      </w:r>
      <w:r w:rsidR="006641F8" w:rsidRPr="00D519C5">
        <w:rPr>
          <w:rFonts w:ascii="ITC Avant Garde" w:hAnsi="ITC Avant Garde"/>
          <w:bCs/>
          <w:color w:val="000000"/>
          <w:sz w:val="22"/>
          <w:szCs w:val="22"/>
          <w:lang w:val="es-MX" w:eastAsia="es-MX"/>
        </w:rPr>
        <w:t xml:space="preserve">MHz </w:t>
      </w:r>
      <w:r w:rsidR="008105BA" w:rsidRPr="00D519C5">
        <w:rPr>
          <w:rFonts w:ascii="ITC Avant Garde" w:hAnsi="ITC Avant Garde"/>
          <w:bCs/>
          <w:color w:val="000000"/>
          <w:sz w:val="22"/>
          <w:szCs w:val="22"/>
          <w:lang w:val="es-MX" w:eastAsia="es-MX"/>
        </w:rPr>
        <w:t>y 21225-23575</w:t>
      </w:r>
      <w:r w:rsidR="00950ED0" w:rsidRPr="00D519C5">
        <w:rPr>
          <w:rFonts w:ascii="ITC Avant Garde" w:hAnsi="ITC Avant Garde"/>
          <w:bCs/>
          <w:color w:val="000000"/>
          <w:sz w:val="22"/>
          <w:szCs w:val="22"/>
          <w:lang w:val="es-MX" w:eastAsia="es-MX"/>
        </w:rPr>
        <w:t xml:space="preserve"> </w:t>
      </w:r>
      <w:r w:rsidR="00550C52" w:rsidRPr="00D519C5">
        <w:rPr>
          <w:rFonts w:ascii="ITC Avant Garde" w:hAnsi="ITC Avant Garde"/>
          <w:bCs/>
          <w:color w:val="000000"/>
          <w:sz w:val="22"/>
          <w:szCs w:val="22"/>
          <w:lang w:val="es-MX" w:eastAsia="es-MX"/>
        </w:rPr>
        <w:t xml:space="preserve">MHz de uso oficial, para la operación y seguridad del </w:t>
      </w:r>
      <w:r w:rsidR="00C215FF" w:rsidRPr="00D519C5">
        <w:rPr>
          <w:rFonts w:ascii="ITC Avant Garde" w:hAnsi="ITC Avant Garde"/>
          <w:bCs/>
          <w:color w:val="000000"/>
          <w:sz w:val="22"/>
          <w:szCs w:val="22"/>
          <w:lang w:val="es-MX" w:eastAsia="es-MX"/>
        </w:rPr>
        <w:t xml:space="preserve">servicio público de transporte ferroviario </w:t>
      </w:r>
      <w:r w:rsidR="00550C52" w:rsidRPr="00D519C5">
        <w:rPr>
          <w:rFonts w:ascii="ITC Avant Garde" w:hAnsi="ITC Avant Garde"/>
          <w:bCs/>
          <w:color w:val="000000"/>
          <w:sz w:val="22"/>
          <w:szCs w:val="22"/>
          <w:lang w:val="es-MX" w:eastAsia="es-MX"/>
        </w:rPr>
        <w:t xml:space="preserve">concesionado </w:t>
      </w:r>
      <w:r w:rsidR="00015BDD">
        <w:rPr>
          <w:rFonts w:ascii="ITC Avant Garde" w:hAnsi="ITC Avant Garde"/>
          <w:bCs/>
          <w:color w:val="000000"/>
          <w:sz w:val="22"/>
          <w:szCs w:val="22"/>
          <w:lang w:val="es-MX" w:eastAsia="es-MX"/>
        </w:rPr>
        <w:t>a su representada</w:t>
      </w:r>
      <w:r w:rsidR="00550C52" w:rsidRPr="00D519C5">
        <w:rPr>
          <w:rFonts w:ascii="ITC Avant Garde" w:hAnsi="ITC Avant Garde"/>
          <w:bCs/>
          <w:color w:val="000000"/>
          <w:sz w:val="22"/>
          <w:szCs w:val="22"/>
          <w:lang w:val="es-MX" w:eastAsia="es-MX"/>
        </w:rPr>
        <w:t xml:space="preserve">. </w:t>
      </w:r>
    </w:p>
    <w:p w14:paraId="27DE99BD" w14:textId="77777777" w:rsidR="002D7BBD" w:rsidRDefault="00015BDD" w:rsidP="002D7BBD">
      <w:pPr>
        <w:spacing w:before="240" w:after="240"/>
        <w:ind w:left="567"/>
        <w:jc w:val="both"/>
        <w:rPr>
          <w:rFonts w:ascii="ITC Avant Garde" w:hAnsi="ITC Avant Garde"/>
          <w:bCs/>
          <w:color w:val="000000"/>
          <w:sz w:val="22"/>
          <w:szCs w:val="22"/>
          <w:lang w:val="es-MX" w:eastAsia="es-MX"/>
        </w:rPr>
      </w:pPr>
      <w:r w:rsidRPr="00015BDD">
        <w:rPr>
          <w:rFonts w:ascii="ITC Avant Garde" w:hAnsi="ITC Avant Garde"/>
          <w:bCs/>
          <w:color w:val="000000"/>
          <w:sz w:val="22"/>
          <w:szCs w:val="22"/>
          <w:lang w:val="es-MX" w:eastAsia="es-MX"/>
        </w:rPr>
        <w:t>Por lo que se refiere al escrito de fecha 31 de agosto de 2012, el mismo fue remitido por dicha Dependencia a la Comisión Federal de Telecomunicaciones (la “Comisión”), mediante el oficio número 2.1.203.-417</w:t>
      </w:r>
      <w:r>
        <w:rPr>
          <w:rFonts w:ascii="ITC Avant Garde" w:hAnsi="ITC Avant Garde"/>
          <w:bCs/>
          <w:color w:val="000000"/>
          <w:sz w:val="22"/>
          <w:szCs w:val="22"/>
          <w:lang w:val="es-MX" w:eastAsia="es-MX"/>
        </w:rPr>
        <w:t>8</w:t>
      </w:r>
      <w:r w:rsidRPr="00015BDD">
        <w:rPr>
          <w:rFonts w:ascii="ITC Avant Garde" w:hAnsi="ITC Avant Garde"/>
          <w:bCs/>
          <w:color w:val="000000"/>
          <w:sz w:val="22"/>
          <w:szCs w:val="22"/>
          <w:lang w:val="es-MX" w:eastAsia="es-MX"/>
        </w:rPr>
        <w:t xml:space="preserve"> de fecha 4 de septiembre de 2012, para que dicho órgano desconcentrado emitiera la opinión respectiva (la “Solicitud de Asignación”).</w:t>
      </w:r>
    </w:p>
    <w:p w14:paraId="50C4A08E" w14:textId="77777777" w:rsidR="002D7BBD" w:rsidRDefault="00015BDD" w:rsidP="002D7BBD">
      <w:pPr>
        <w:spacing w:before="240" w:after="240"/>
        <w:ind w:left="567"/>
        <w:jc w:val="both"/>
        <w:rPr>
          <w:rFonts w:ascii="ITC Avant Garde" w:hAnsi="ITC Avant Garde"/>
          <w:bCs/>
          <w:color w:val="000000"/>
          <w:sz w:val="22"/>
          <w:szCs w:val="22"/>
          <w:lang w:val="es-MX" w:eastAsia="es-MX"/>
        </w:rPr>
      </w:pPr>
      <w:r w:rsidRPr="00015BDD">
        <w:rPr>
          <w:rFonts w:ascii="ITC Avant Garde" w:hAnsi="ITC Avant Garde"/>
          <w:bCs/>
          <w:color w:val="000000"/>
          <w:sz w:val="22"/>
          <w:szCs w:val="22"/>
          <w:lang w:val="es-MX" w:eastAsia="es-MX"/>
        </w:rPr>
        <w:t>Cabe hacer mención que el escrito presentado ante la Secretaría el 23 de marzo de 2012 no fue remitido a la extinta Comisión por dicha Dependencia, sino hasta el Acta Entrega-Recepción que se describe en el Antecedente VIII de la presente Resolución.</w:t>
      </w:r>
    </w:p>
    <w:p w14:paraId="7EA544D7" w14:textId="77777777" w:rsidR="002D7BBD" w:rsidRDefault="00970AE1" w:rsidP="002D7BBD">
      <w:pPr>
        <w:numPr>
          <w:ilvl w:val="0"/>
          <w:numId w:val="21"/>
        </w:numPr>
        <w:spacing w:before="240" w:after="240"/>
        <w:ind w:left="567" w:hanging="567"/>
        <w:jc w:val="both"/>
        <w:rPr>
          <w:rFonts w:ascii="ITC Avant Garde" w:hAnsi="ITC Avant Garde"/>
          <w:b/>
          <w:bCs/>
          <w:color w:val="000000"/>
          <w:sz w:val="22"/>
          <w:szCs w:val="22"/>
          <w:lang w:val="es-MX" w:eastAsia="es-MX"/>
        </w:rPr>
      </w:pPr>
      <w:r w:rsidRPr="00D519C5">
        <w:rPr>
          <w:rFonts w:ascii="ITC Avant Garde" w:hAnsi="ITC Avant Garde"/>
          <w:b/>
          <w:bCs/>
          <w:color w:val="000000"/>
          <w:sz w:val="22"/>
          <w:szCs w:val="22"/>
          <w:lang w:val="es-MX" w:eastAsia="es-MX"/>
        </w:rPr>
        <w:t xml:space="preserve">Decreto de </w:t>
      </w:r>
      <w:r w:rsidR="00360692" w:rsidRPr="00D519C5">
        <w:rPr>
          <w:rFonts w:ascii="ITC Avant Garde" w:hAnsi="ITC Avant Garde"/>
          <w:b/>
          <w:bCs/>
          <w:color w:val="000000"/>
          <w:sz w:val="22"/>
          <w:szCs w:val="22"/>
          <w:lang w:val="es-MX" w:eastAsia="es-MX"/>
        </w:rPr>
        <w:t xml:space="preserve">Reforma Constitucional. </w:t>
      </w:r>
      <w:r w:rsidR="00360692" w:rsidRPr="00D519C5">
        <w:rPr>
          <w:rFonts w:ascii="ITC Avant Garde" w:hAnsi="ITC Avant Garde"/>
          <w:bCs/>
          <w:color w:val="000000"/>
          <w:sz w:val="22"/>
          <w:szCs w:val="22"/>
          <w:lang w:val="es-MX" w:eastAsia="es-MX"/>
        </w:rPr>
        <w:t xml:space="preserve">Con fecha 11 de junio de 2013, se publicó en el Diario Oficial de la Federación el </w:t>
      </w:r>
      <w:r w:rsidR="00360692" w:rsidRPr="00D519C5">
        <w:rPr>
          <w:rFonts w:ascii="ITC Avant Garde" w:hAnsi="ITC Avant Garde"/>
          <w:bCs/>
          <w:i/>
          <w:color w:val="000000"/>
          <w:sz w:val="22"/>
          <w:szCs w:val="22"/>
          <w:lang w:val="es-MX" w:eastAsia="es-MX"/>
        </w:rPr>
        <w:t>“D</w:t>
      </w:r>
      <w:r w:rsidR="00D77D24" w:rsidRPr="00D519C5">
        <w:rPr>
          <w:rFonts w:ascii="ITC Avant Garde" w:hAnsi="ITC Avant Garde"/>
          <w:bCs/>
          <w:i/>
          <w:color w:val="000000"/>
          <w:sz w:val="22"/>
          <w:szCs w:val="22"/>
          <w:lang w:val="es-MX" w:eastAsia="es-MX"/>
        </w:rPr>
        <w:t>ecreto</w:t>
      </w:r>
      <w:r w:rsidR="00360692" w:rsidRPr="00D519C5">
        <w:rPr>
          <w:rFonts w:ascii="ITC Avant Garde" w:hAnsi="ITC Avant Garde"/>
          <w:bCs/>
          <w:i/>
          <w:color w:val="000000"/>
          <w:sz w:val="22"/>
          <w:szCs w:val="22"/>
          <w:lang w:val="es-MX" w:eastAsia="es-MX"/>
        </w:rPr>
        <w:t xml:space="preserve"> por el que se reforman y adicionan diversas disposiciones de los artículos 6o., 7o., 27, 28, 73, 78, 94 y 105 de la Constitución Política de los Estados Unidos Mexicanos, en materia de telecomunicaciones”</w:t>
      </w:r>
      <w:r w:rsidR="00360692" w:rsidRPr="00D519C5">
        <w:rPr>
          <w:rFonts w:ascii="ITC Avant Garde" w:hAnsi="ITC Avant Garde"/>
          <w:bCs/>
          <w:color w:val="000000"/>
          <w:sz w:val="22"/>
          <w:szCs w:val="22"/>
          <w:lang w:val="es-MX" w:eastAsia="es-MX"/>
        </w:rPr>
        <w:t xml:space="preserve"> (el “Decreto de </w:t>
      </w:r>
      <w:r w:rsidR="00360692" w:rsidRPr="00D519C5">
        <w:rPr>
          <w:rFonts w:ascii="ITC Avant Garde" w:hAnsi="ITC Avant Garde"/>
          <w:bCs/>
          <w:sz w:val="22"/>
          <w:szCs w:val="22"/>
          <w:lang w:val="es-MX" w:eastAsia="es-MX"/>
        </w:rPr>
        <w:t>Reforma Constitucional”), mediante el cual se creó el Instituto Federal de Telecomunicaciones (el “Instituto”)</w:t>
      </w:r>
      <w:r w:rsidR="00695E06" w:rsidRPr="00D519C5">
        <w:rPr>
          <w:rFonts w:ascii="ITC Avant Garde" w:hAnsi="ITC Avant Garde"/>
          <w:bCs/>
          <w:sz w:val="22"/>
          <w:szCs w:val="22"/>
          <w:lang w:val="es-MX" w:eastAsia="es-MX"/>
        </w:rPr>
        <w:t xml:space="preserve"> que tiene por </w:t>
      </w:r>
      <w:r w:rsidR="00695E06" w:rsidRPr="00D519C5">
        <w:rPr>
          <w:rFonts w:ascii="ITC Avant Garde" w:hAnsi="ITC Avant Garde"/>
          <w:bCs/>
          <w:color w:val="000000" w:themeColor="text1"/>
          <w:sz w:val="22"/>
          <w:szCs w:val="22"/>
          <w:lang w:eastAsia="es-MX"/>
        </w:rPr>
        <w:t>objeto el desarrollo eficiente de la radiodifusión y las telecomunicaciones</w:t>
      </w:r>
      <w:r w:rsidR="00360692" w:rsidRPr="00D519C5">
        <w:rPr>
          <w:rFonts w:ascii="ITC Avant Garde" w:hAnsi="ITC Avant Garde"/>
          <w:bCs/>
          <w:sz w:val="22"/>
          <w:szCs w:val="22"/>
          <w:lang w:val="es-MX" w:eastAsia="es-MX"/>
        </w:rPr>
        <w:t>.</w:t>
      </w:r>
    </w:p>
    <w:p w14:paraId="5F22CC00" w14:textId="77777777" w:rsidR="002D7BBD" w:rsidRDefault="00CE3302" w:rsidP="002D7BBD">
      <w:pPr>
        <w:numPr>
          <w:ilvl w:val="0"/>
          <w:numId w:val="21"/>
        </w:numPr>
        <w:spacing w:before="240" w:after="240"/>
        <w:ind w:left="567" w:hanging="567"/>
        <w:jc w:val="both"/>
        <w:rPr>
          <w:rFonts w:ascii="ITC Avant Garde" w:hAnsi="ITC Avant Garde"/>
          <w:b/>
          <w:bCs/>
          <w:i/>
          <w:color w:val="000000"/>
          <w:sz w:val="22"/>
          <w:szCs w:val="22"/>
          <w:lang w:val="es-MX" w:eastAsia="es-MX"/>
        </w:rPr>
      </w:pPr>
      <w:r w:rsidRPr="00D519C5">
        <w:rPr>
          <w:rFonts w:ascii="ITC Avant Garde" w:hAnsi="ITC Avant Garde"/>
          <w:b/>
          <w:bCs/>
          <w:color w:val="000000"/>
          <w:sz w:val="22"/>
          <w:szCs w:val="22"/>
          <w:lang w:eastAsia="es-MX"/>
        </w:rPr>
        <w:t>Opinión del Pleno de la Comisión</w:t>
      </w:r>
      <w:r w:rsidR="006829D9" w:rsidRPr="00D519C5">
        <w:rPr>
          <w:rFonts w:ascii="ITC Avant Garde" w:hAnsi="ITC Avant Garde"/>
          <w:b/>
          <w:bCs/>
          <w:color w:val="000000"/>
          <w:sz w:val="22"/>
          <w:szCs w:val="22"/>
          <w:lang w:val="es-MX" w:eastAsia="es-MX"/>
        </w:rPr>
        <w:t xml:space="preserve">. </w:t>
      </w:r>
      <w:r w:rsidR="006829D9" w:rsidRPr="00D519C5">
        <w:rPr>
          <w:rFonts w:ascii="ITC Avant Garde" w:hAnsi="ITC Avant Garde"/>
          <w:bCs/>
          <w:color w:val="000000"/>
          <w:sz w:val="22"/>
          <w:szCs w:val="22"/>
          <w:lang w:val="es-MX" w:eastAsia="es-MX"/>
        </w:rPr>
        <w:t xml:space="preserve">Con </w:t>
      </w:r>
      <w:r w:rsidR="00FA611B">
        <w:rPr>
          <w:rFonts w:ascii="ITC Avant Garde" w:hAnsi="ITC Avant Garde"/>
          <w:bCs/>
          <w:color w:val="000000"/>
          <w:sz w:val="22"/>
          <w:szCs w:val="22"/>
          <w:lang w:val="es-MX" w:eastAsia="es-MX"/>
        </w:rPr>
        <w:t>oficio CFT/D03/USI/DGB/5720</w:t>
      </w:r>
      <w:r w:rsidR="00423622" w:rsidRPr="00D519C5">
        <w:rPr>
          <w:rFonts w:ascii="ITC Avant Garde" w:hAnsi="ITC Avant Garde"/>
          <w:bCs/>
          <w:color w:val="000000"/>
          <w:sz w:val="22"/>
          <w:szCs w:val="22"/>
          <w:lang w:val="es-MX" w:eastAsia="es-MX"/>
        </w:rPr>
        <w:t xml:space="preserve">/2013 de </w:t>
      </w:r>
      <w:r w:rsidR="006829D9" w:rsidRPr="00D519C5">
        <w:rPr>
          <w:rFonts w:ascii="ITC Avant Garde" w:hAnsi="ITC Avant Garde"/>
          <w:bCs/>
          <w:color w:val="000000"/>
          <w:sz w:val="22"/>
          <w:szCs w:val="22"/>
          <w:lang w:val="es-MX" w:eastAsia="es-MX"/>
        </w:rPr>
        <w:t>fecha</w:t>
      </w:r>
      <w:r w:rsidR="00423622" w:rsidRPr="00D519C5">
        <w:rPr>
          <w:rFonts w:ascii="ITC Avant Garde" w:hAnsi="ITC Avant Garde"/>
          <w:bCs/>
          <w:color w:val="000000"/>
          <w:sz w:val="22"/>
          <w:szCs w:val="22"/>
          <w:lang w:val="es-MX" w:eastAsia="es-MX"/>
        </w:rPr>
        <w:t xml:space="preserve"> 20</w:t>
      </w:r>
      <w:r w:rsidR="006829D9" w:rsidRPr="00D519C5">
        <w:rPr>
          <w:rFonts w:ascii="ITC Avant Garde" w:hAnsi="ITC Avant Garde"/>
          <w:bCs/>
          <w:color w:val="000000"/>
          <w:sz w:val="22"/>
          <w:szCs w:val="22"/>
          <w:lang w:val="es-MX" w:eastAsia="es-MX"/>
        </w:rPr>
        <w:t xml:space="preserve"> de </w:t>
      </w:r>
      <w:r w:rsidR="00423622" w:rsidRPr="00D519C5">
        <w:rPr>
          <w:rFonts w:ascii="ITC Avant Garde" w:hAnsi="ITC Avant Garde"/>
          <w:bCs/>
          <w:color w:val="000000"/>
          <w:sz w:val="22"/>
          <w:szCs w:val="22"/>
          <w:lang w:val="es-MX" w:eastAsia="es-MX"/>
        </w:rPr>
        <w:t>ag</w:t>
      </w:r>
      <w:r w:rsidR="00B63C5B" w:rsidRPr="00D519C5">
        <w:rPr>
          <w:rFonts w:ascii="ITC Avant Garde" w:hAnsi="ITC Avant Garde"/>
          <w:bCs/>
          <w:color w:val="000000"/>
          <w:sz w:val="22"/>
          <w:szCs w:val="22"/>
          <w:lang w:val="es-MX" w:eastAsia="es-MX"/>
        </w:rPr>
        <w:t>osto de 2013</w:t>
      </w:r>
      <w:r w:rsidR="00D63EEA" w:rsidRPr="00D519C5">
        <w:rPr>
          <w:rFonts w:ascii="ITC Avant Garde" w:hAnsi="ITC Avant Garde"/>
          <w:bCs/>
          <w:color w:val="000000"/>
          <w:sz w:val="22"/>
          <w:szCs w:val="22"/>
          <w:lang w:val="es-MX" w:eastAsia="es-MX"/>
        </w:rPr>
        <w:t>,</w:t>
      </w:r>
      <w:r w:rsidR="00B63C5B" w:rsidRPr="00D519C5">
        <w:rPr>
          <w:rFonts w:ascii="ITC Avant Garde" w:hAnsi="ITC Avant Garde"/>
          <w:bCs/>
          <w:color w:val="000000"/>
          <w:sz w:val="22"/>
          <w:szCs w:val="22"/>
          <w:lang w:val="es-MX" w:eastAsia="es-MX"/>
        </w:rPr>
        <w:t xml:space="preserve"> </w:t>
      </w:r>
      <w:r w:rsidR="00695E06" w:rsidRPr="00D519C5">
        <w:rPr>
          <w:rFonts w:ascii="ITC Avant Garde" w:hAnsi="ITC Avant Garde"/>
          <w:bCs/>
          <w:color w:val="000000"/>
          <w:sz w:val="22"/>
          <w:szCs w:val="22"/>
          <w:lang w:val="es-MX" w:eastAsia="es-MX"/>
        </w:rPr>
        <w:t xml:space="preserve">la </w:t>
      </w:r>
      <w:r w:rsidR="001124AB" w:rsidRPr="00D519C5">
        <w:rPr>
          <w:rFonts w:ascii="ITC Avant Garde" w:hAnsi="ITC Avant Garde"/>
          <w:bCs/>
          <w:color w:val="000000"/>
          <w:sz w:val="22"/>
          <w:szCs w:val="22"/>
          <w:lang w:val="es-MX" w:eastAsia="es-MX"/>
        </w:rPr>
        <w:t xml:space="preserve">entonces </w:t>
      </w:r>
      <w:r w:rsidR="00695E06" w:rsidRPr="00D519C5">
        <w:rPr>
          <w:rFonts w:ascii="ITC Avant Garde" w:hAnsi="ITC Avant Garde"/>
          <w:bCs/>
          <w:color w:val="000000"/>
          <w:sz w:val="22"/>
          <w:szCs w:val="22"/>
          <w:lang w:val="es-MX" w:eastAsia="es-MX"/>
        </w:rPr>
        <w:t xml:space="preserve">Unidad de Servicios a la Industria de la Comisión </w:t>
      </w:r>
      <w:r w:rsidR="00B63C5B" w:rsidRPr="00D519C5">
        <w:rPr>
          <w:rFonts w:ascii="ITC Avant Garde" w:hAnsi="ITC Avant Garde"/>
          <w:bCs/>
          <w:color w:val="000000"/>
          <w:sz w:val="22"/>
          <w:szCs w:val="22"/>
          <w:lang w:val="es-MX" w:eastAsia="es-MX"/>
        </w:rPr>
        <w:t>remitió a la Secretaría</w:t>
      </w:r>
      <w:r w:rsidR="00423622" w:rsidRPr="00D519C5">
        <w:rPr>
          <w:rFonts w:ascii="ITC Avant Garde" w:hAnsi="ITC Avant Garde"/>
          <w:bCs/>
          <w:color w:val="000000"/>
          <w:sz w:val="22"/>
          <w:szCs w:val="22"/>
          <w:lang w:val="es-MX" w:eastAsia="es-MX"/>
        </w:rPr>
        <w:t xml:space="preserve"> </w:t>
      </w:r>
      <w:r w:rsidRPr="00D519C5">
        <w:rPr>
          <w:rFonts w:ascii="ITC Avant Garde" w:hAnsi="ITC Avant Garde"/>
          <w:bCs/>
          <w:color w:val="000000"/>
          <w:sz w:val="22"/>
          <w:szCs w:val="22"/>
          <w:lang w:val="es-MX" w:eastAsia="es-MX"/>
        </w:rPr>
        <w:t xml:space="preserve">el </w:t>
      </w:r>
      <w:r w:rsidR="001124AB" w:rsidRPr="00D519C5">
        <w:rPr>
          <w:rFonts w:ascii="ITC Avant Garde" w:hAnsi="ITC Avant Garde"/>
          <w:bCs/>
          <w:color w:val="000000"/>
          <w:sz w:val="22"/>
          <w:szCs w:val="22"/>
          <w:lang w:val="es-MX" w:eastAsia="es-MX"/>
        </w:rPr>
        <w:t>A</w:t>
      </w:r>
      <w:r w:rsidR="00423622" w:rsidRPr="00D519C5">
        <w:rPr>
          <w:rFonts w:ascii="ITC Avant Garde" w:hAnsi="ITC Avant Garde"/>
          <w:bCs/>
          <w:color w:val="000000"/>
          <w:sz w:val="22"/>
          <w:szCs w:val="22"/>
          <w:lang w:val="es-MX" w:eastAsia="es-MX"/>
        </w:rPr>
        <w:t xml:space="preserve">cuerdo </w:t>
      </w:r>
      <w:r w:rsidRPr="00D519C5">
        <w:rPr>
          <w:rFonts w:ascii="ITC Avant Garde" w:hAnsi="ITC Avant Garde"/>
          <w:bCs/>
          <w:color w:val="000000"/>
          <w:sz w:val="22"/>
          <w:szCs w:val="22"/>
          <w:lang w:val="es-MX" w:eastAsia="es-MX"/>
        </w:rPr>
        <w:t>P/100713/46</w:t>
      </w:r>
      <w:r w:rsidR="00FA611B">
        <w:rPr>
          <w:rFonts w:ascii="ITC Avant Garde" w:hAnsi="ITC Avant Garde"/>
          <w:bCs/>
          <w:color w:val="000000"/>
          <w:sz w:val="22"/>
          <w:szCs w:val="22"/>
          <w:lang w:val="es-MX" w:eastAsia="es-MX"/>
        </w:rPr>
        <w:t>5</w:t>
      </w:r>
      <w:r w:rsidRPr="00D519C5">
        <w:rPr>
          <w:rFonts w:ascii="ITC Avant Garde" w:hAnsi="ITC Avant Garde"/>
          <w:bCs/>
          <w:color w:val="000000"/>
          <w:sz w:val="22"/>
          <w:szCs w:val="22"/>
          <w:lang w:val="es-MX" w:eastAsia="es-MX"/>
        </w:rPr>
        <w:t xml:space="preserve"> de fecha 10 de julio de 2013, mediante el</w:t>
      </w:r>
      <w:r w:rsidR="00271993" w:rsidRPr="00D519C5">
        <w:rPr>
          <w:rFonts w:ascii="ITC Avant Garde" w:hAnsi="ITC Avant Garde"/>
          <w:bCs/>
          <w:color w:val="000000"/>
          <w:sz w:val="22"/>
          <w:szCs w:val="22"/>
          <w:lang w:val="es-MX" w:eastAsia="es-MX"/>
        </w:rPr>
        <w:t xml:space="preserve"> cual el Pleno de la Comisión</w:t>
      </w:r>
      <w:r w:rsidR="00423622" w:rsidRPr="00D519C5">
        <w:rPr>
          <w:rFonts w:ascii="ITC Avant Garde" w:hAnsi="ITC Avant Garde"/>
          <w:bCs/>
          <w:color w:val="000000"/>
          <w:sz w:val="22"/>
          <w:szCs w:val="22"/>
          <w:lang w:val="es-MX" w:eastAsia="es-MX"/>
        </w:rPr>
        <w:t xml:space="preserve"> emit</w:t>
      </w:r>
      <w:r w:rsidR="003F31B5">
        <w:rPr>
          <w:rFonts w:ascii="ITC Avant Garde" w:hAnsi="ITC Avant Garde"/>
          <w:bCs/>
          <w:color w:val="000000"/>
          <w:sz w:val="22"/>
          <w:szCs w:val="22"/>
          <w:lang w:val="es-MX" w:eastAsia="es-MX"/>
        </w:rPr>
        <w:t>ió opinión favorable respecto a</w:t>
      </w:r>
      <w:r w:rsidR="00423622" w:rsidRPr="00D519C5">
        <w:rPr>
          <w:rFonts w:ascii="ITC Avant Garde" w:hAnsi="ITC Avant Garde"/>
          <w:bCs/>
          <w:color w:val="000000"/>
          <w:sz w:val="22"/>
          <w:szCs w:val="22"/>
          <w:lang w:val="es-MX" w:eastAsia="es-MX"/>
        </w:rPr>
        <w:t xml:space="preserve"> la</w:t>
      </w:r>
      <w:r w:rsidR="00D63EEA" w:rsidRPr="00D519C5">
        <w:rPr>
          <w:rFonts w:ascii="ITC Avant Garde" w:hAnsi="ITC Avant Garde"/>
          <w:bCs/>
          <w:color w:val="000000"/>
          <w:sz w:val="22"/>
          <w:szCs w:val="22"/>
          <w:lang w:val="es-MX" w:eastAsia="es-MX"/>
        </w:rPr>
        <w:t xml:space="preserve"> S</w:t>
      </w:r>
      <w:r w:rsidR="0069566F" w:rsidRPr="00D519C5">
        <w:rPr>
          <w:rFonts w:ascii="ITC Avant Garde" w:hAnsi="ITC Avant Garde"/>
          <w:bCs/>
          <w:color w:val="000000"/>
          <w:sz w:val="22"/>
          <w:szCs w:val="22"/>
          <w:lang w:val="es-MX" w:eastAsia="es-MX"/>
        </w:rPr>
        <w:t>ol</w:t>
      </w:r>
      <w:r w:rsidR="00D63EEA" w:rsidRPr="00D519C5">
        <w:rPr>
          <w:rFonts w:ascii="ITC Avant Garde" w:hAnsi="ITC Avant Garde"/>
          <w:bCs/>
          <w:color w:val="000000"/>
          <w:sz w:val="22"/>
          <w:szCs w:val="22"/>
          <w:lang w:val="es-MX" w:eastAsia="es-MX"/>
        </w:rPr>
        <w:t>icitud</w:t>
      </w:r>
      <w:r w:rsidR="00AF719B">
        <w:rPr>
          <w:rFonts w:ascii="ITC Avant Garde" w:hAnsi="ITC Avant Garde"/>
          <w:bCs/>
          <w:color w:val="000000"/>
          <w:sz w:val="22"/>
          <w:szCs w:val="22"/>
          <w:lang w:val="es-MX" w:eastAsia="es-MX"/>
        </w:rPr>
        <w:t xml:space="preserve"> de Asignación</w:t>
      </w:r>
      <w:r w:rsidR="00D63EEA" w:rsidRPr="00D519C5">
        <w:rPr>
          <w:rFonts w:ascii="ITC Avant Garde" w:hAnsi="ITC Avant Garde"/>
          <w:bCs/>
          <w:color w:val="000000"/>
          <w:sz w:val="22"/>
          <w:szCs w:val="22"/>
          <w:lang w:val="es-MX" w:eastAsia="es-MX"/>
        </w:rPr>
        <w:t>.</w:t>
      </w:r>
    </w:p>
    <w:p w14:paraId="6FDC152D" w14:textId="77777777" w:rsidR="002D7BBD" w:rsidRDefault="00CE3302" w:rsidP="002D7BBD">
      <w:pPr>
        <w:numPr>
          <w:ilvl w:val="0"/>
          <w:numId w:val="21"/>
        </w:numPr>
        <w:spacing w:before="240" w:after="240"/>
        <w:ind w:left="567" w:hanging="567"/>
        <w:jc w:val="both"/>
        <w:rPr>
          <w:rFonts w:ascii="ITC Avant Garde" w:hAnsi="ITC Avant Garde"/>
          <w:b/>
          <w:bCs/>
          <w:color w:val="000000"/>
          <w:sz w:val="22"/>
          <w:szCs w:val="22"/>
          <w:lang w:val="es-MX" w:eastAsia="es-MX"/>
        </w:rPr>
      </w:pPr>
      <w:r w:rsidRPr="00D519C5">
        <w:rPr>
          <w:rFonts w:ascii="ITC Avant Garde" w:hAnsi="ITC Avant Garde"/>
          <w:b/>
          <w:bCs/>
          <w:color w:val="000000"/>
          <w:sz w:val="22"/>
          <w:szCs w:val="22"/>
          <w:lang w:eastAsia="es-MX"/>
        </w:rPr>
        <w:t xml:space="preserve">Integración del Instituto. </w:t>
      </w:r>
      <w:r w:rsidRPr="00D519C5">
        <w:rPr>
          <w:rFonts w:ascii="ITC Avant Garde" w:hAnsi="ITC Avant Garde"/>
          <w:bCs/>
          <w:color w:val="000000"/>
          <w:sz w:val="22"/>
          <w:szCs w:val="22"/>
          <w:lang w:eastAsia="es-MX"/>
        </w:rPr>
        <w:t>El 10 de septiembre de 2013 quedó debidamente integrado el Instituto, en términos de lo dispuesto por el artículo Sexto Transitorio del Decreto de Reforma Constitucional, mediante la ratificación por parte del Senado de la República, de los nombramientos de los Comisionados que integran su órgano de gobierno y la designación de su Presidente, extinguiéndose la Comisión como consecuencia de dicha integración.</w:t>
      </w:r>
    </w:p>
    <w:p w14:paraId="3820E479" w14:textId="54F9025A" w:rsidR="002D7BBD" w:rsidRDefault="004E3E86" w:rsidP="002D7BBD">
      <w:pPr>
        <w:numPr>
          <w:ilvl w:val="0"/>
          <w:numId w:val="21"/>
        </w:numPr>
        <w:spacing w:before="240" w:after="240"/>
        <w:ind w:left="567" w:hanging="567"/>
        <w:jc w:val="both"/>
        <w:rPr>
          <w:rFonts w:ascii="ITC Avant Garde" w:hAnsi="ITC Avant Garde"/>
          <w:bCs/>
          <w:color w:val="000000"/>
          <w:sz w:val="22"/>
          <w:szCs w:val="22"/>
          <w:lang w:eastAsia="es-MX"/>
        </w:rPr>
      </w:pPr>
      <w:r w:rsidRPr="003E5549">
        <w:rPr>
          <w:rFonts w:ascii="ITC Avant Garde" w:hAnsi="ITC Avant Garde"/>
          <w:b/>
          <w:bCs/>
          <w:color w:val="000000"/>
          <w:sz w:val="22"/>
          <w:szCs w:val="22"/>
          <w:lang w:eastAsia="es-MX"/>
        </w:rPr>
        <w:t>Acta de entrega-recepción de asuntos</w:t>
      </w:r>
      <w:r w:rsidRPr="003E5549">
        <w:rPr>
          <w:rFonts w:ascii="ITC Avant Garde" w:hAnsi="ITC Avant Garde"/>
          <w:bCs/>
          <w:color w:val="000000"/>
          <w:sz w:val="22"/>
          <w:szCs w:val="22"/>
          <w:lang w:eastAsia="es-MX"/>
        </w:rPr>
        <w:t xml:space="preserve">. Con fecha 15 de octubre de 2013, la Secretaría y el Instituto suscribieron el Acta Administrativa de Entrega-Recepción por la que dicha dependencia hizo entrega formal a este Instituto, de diversos expedientes </w:t>
      </w:r>
      <w:r w:rsidR="00CE3302" w:rsidRPr="003E5549">
        <w:rPr>
          <w:rFonts w:ascii="ITC Avant Garde" w:hAnsi="ITC Avant Garde"/>
          <w:bCs/>
          <w:color w:val="000000"/>
          <w:sz w:val="22"/>
          <w:szCs w:val="22"/>
          <w:lang w:eastAsia="es-MX"/>
        </w:rPr>
        <w:t>a los cuales no les recayó resolución definitiva, entre los que se encuentra la Solicitud</w:t>
      </w:r>
      <w:r w:rsidR="0055195A">
        <w:rPr>
          <w:rFonts w:ascii="ITC Avant Garde" w:hAnsi="ITC Avant Garde"/>
          <w:bCs/>
          <w:color w:val="000000"/>
          <w:sz w:val="22"/>
          <w:szCs w:val="22"/>
          <w:lang w:eastAsia="es-MX"/>
        </w:rPr>
        <w:t xml:space="preserve"> de Asignación, así como el escrito y anexos presentados por Ferrosur a la Secretaría el 23 de marzo de 2012 </w:t>
      </w:r>
      <w:r w:rsidR="0055195A">
        <w:rPr>
          <w:rFonts w:ascii="ITC Avant Garde" w:hAnsi="ITC Avant Garde"/>
          <w:bCs/>
          <w:color w:val="000000"/>
          <w:sz w:val="22"/>
          <w:szCs w:val="22"/>
          <w:lang w:val="es-MX" w:eastAsia="es-MX"/>
        </w:rPr>
        <w:t>(en conjunto con la “Solicitud de Asignación” integran la “Solicitud”)</w:t>
      </w:r>
      <w:r w:rsidRPr="003E5549">
        <w:rPr>
          <w:rFonts w:ascii="ITC Avant Garde" w:hAnsi="ITC Avant Garde"/>
          <w:bCs/>
          <w:color w:val="000000"/>
          <w:sz w:val="22"/>
          <w:szCs w:val="22"/>
          <w:lang w:eastAsia="es-MX"/>
        </w:rPr>
        <w:t>.</w:t>
      </w:r>
    </w:p>
    <w:p w14:paraId="5A1752A9" w14:textId="77777777" w:rsidR="002D7BBD" w:rsidRDefault="004E3E86" w:rsidP="002D7BBD">
      <w:pPr>
        <w:spacing w:before="240" w:after="240"/>
        <w:ind w:left="567"/>
        <w:jc w:val="both"/>
        <w:rPr>
          <w:rFonts w:ascii="ITC Avant Garde" w:hAnsi="ITC Avant Garde"/>
          <w:b/>
          <w:bCs/>
          <w:color w:val="000000"/>
          <w:sz w:val="22"/>
          <w:szCs w:val="22"/>
          <w:lang w:val="es-MX" w:eastAsia="es-MX"/>
        </w:rPr>
      </w:pPr>
      <w:r w:rsidRPr="00D519C5">
        <w:rPr>
          <w:rFonts w:ascii="ITC Avant Garde" w:hAnsi="ITC Avant Garde"/>
          <w:bCs/>
          <w:color w:val="000000"/>
          <w:sz w:val="22"/>
          <w:szCs w:val="22"/>
          <w:lang w:val="es-MX" w:eastAsia="es-MX"/>
        </w:rPr>
        <w:lastRenderedPageBreak/>
        <w:t>Dicha entrega de expedientes se realizó con la finalidad de que el Instituto, conforme a sus atribuciones constitucionales, llevar</w:t>
      </w:r>
      <w:r w:rsidR="003F31B5">
        <w:rPr>
          <w:rFonts w:ascii="ITC Avant Garde" w:hAnsi="ITC Avant Garde"/>
          <w:bCs/>
          <w:color w:val="000000"/>
          <w:sz w:val="22"/>
          <w:szCs w:val="22"/>
          <w:lang w:val="es-MX" w:eastAsia="es-MX"/>
        </w:rPr>
        <w:t xml:space="preserve">a a cabo el análisis respectivo </w:t>
      </w:r>
      <w:r w:rsidRPr="00D519C5">
        <w:rPr>
          <w:rFonts w:ascii="ITC Avant Garde" w:hAnsi="ITC Avant Garde"/>
          <w:bCs/>
          <w:color w:val="000000"/>
          <w:sz w:val="22"/>
          <w:szCs w:val="22"/>
          <w:lang w:val="es-MX" w:eastAsia="es-MX"/>
        </w:rPr>
        <w:t>y emitiera la resolución que en definitiva procediera para cada caso particular</w:t>
      </w:r>
      <w:r w:rsidRPr="00D519C5">
        <w:rPr>
          <w:rFonts w:ascii="ITC Avant Garde" w:hAnsi="ITC Avant Garde"/>
          <w:b/>
          <w:bCs/>
          <w:color w:val="000000"/>
          <w:sz w:val="22"/>
          <w:szCs w:val="22"/>
          <w:lang w:val="es-MX" w:eastAsia="es-MX"/>
        </w:rPr>
        <w:t>.</w:t>
      </w:r>
    </w:p>
    <w:p w14:paraId="4639166C" w14:textId="77777777" w:rsidR="002D7BBD" w:rsidRDefault="00EB1A89" w:rsidP="002D7BBD">
      <w:pPr>
        <w:pStyle w:val="Prrafodelista"/>
        <w:numPr>
          <w:ilvl w:val="0"/>
          <w:numId w:val="21"/>
        </w:numPr>
        <w:spacing w:before="240" w:after="240"/>
        <w:ind w:left="567" w:hanging="567"/>
        <w:jc w:val="both"/>
        <w:rPr>
          <w:rFonts w:ascii="ITC Avant Garde" w:hAnsi="ITC Avant Garde"/>
          <w:bCs/>
          <w:color w:val="000000"/>
          <w:sz w:val="22"/>
          <w:szCs w:val="22"/>
          <w:lang w:val="es-MX" w:eastAsia="es-MX"/>
        </w:rPr>
      </w:pPr>
      <w:r w:rsidRPr="00D519C5">
        <w:rPr>
          <w:rFonts w:ascii="ITC Avant Garde" w:hAnsi="ITC Avant Garde"/>
          <w:b/>
          <w:bCs/>
          <w:color w:val="000000"/>
          <w:sz w:val="22"/>
          <w:szCs w:val="22"/>
          <w:lang w:val="es-MX" w:eastAsia="es-MX"/>
        </w:rPr>
        <w:t xml:space="preserve">Decreto por el que se expide la Ley Federal de Telecomunicaciones y Radiodifusión. </w:t>
      </w:r>
      <w:r w:rsidRPr="00D519C5">
        <w:rPr>
          <w:rFonts w:ascii="ITC Avant Garde" w:hAnsi="ITC Avant Garde"/>
          <w:bCs/>
          <w:color w:val="000000"/>
          <w:sz w:val="22"/>
          <w:szCs w:val="22"/>
          <w:lang w:val="es-MX" w:eastAsia="es-MX"/>
        </w:rPr>
        <w:t>El 14 de julio de 2014 se publicó en el Diario Oficial de la Federación el “</w:t>
      </w:r>
      <w:r w:rsidRPr="00D519C5">
        <w:rPr>
          <w:rFonts w:ascii="ITC Avant Garde" w:hAnsi="ITC Avant Garde"/>
          <w:bCs/>
          <w:i/>
          <w:color w:val="000000"/>
          <w:sz w:val="22"/>
          <w:szCs w:val="22"/>
          <w:lang w:val="es-MX"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D519C5">
        <w:rPr>
          <w:rFonts w:ascii="ITC Avant Garde" w:hAnsi="ITC Avant Garde"/>
          <w:bCs/>
          <w:color w:val="000000"/>
          <w:sz w:val="22"/>
          <w:szCs w:val="22"/>
          <w:lang w:val="es-MX" w:eastAsia="es-MX"/>
        </w:rPr>
        <w:t xml:space="preserve"> (el “Decreto de Ley”), mismo que entró en vigor el 13 de agosto de 2014.</w:t>
      </w:r>
    </w:p>
    <w:p w14:paraId="77F37F33" w14:textId="77777777" w:rsidR="002D7BBD" w:rsidRDefault="00EB1A89" w:rsidP="002D7BBD">
      <w:pPr>
        <w:pStyle w:val="Prrafodelista"/>
        <w:numPr>
          <w:ilvl w:val="0"/>
          <w:numId w:val="21"/>
        </w:numPr>
        <w:spacing w:before="240" w:after="240"/>
        <w:ind w:left="567" w:hanging="567"/>
        <w:rPr>
          <w:rFonts w:ascii="ITC Avant Garde" w:hAnsi="ITC Avant Garde"/>
          <w:bCs/>
          <w:color w:val="000000"/>
          <w:sz w:val="22"/>
          <w:szCs w:val="22"/>
          <w:lang w:val="es-MX" w:eastAsia="es-MX"/>
        </w:rPr>
      </w:pPr>
      <w:r w:rsidRPr="00D519C5">
        <w:rPr>
          <w:rFonts w:ascii="ITC Avant Garde" w:hAnsi="ITC Avant Garde"/>
          <w:b/>
          <w:bCs/>
          <w:color w:val="000000"/>
          <w:sz w:val="22"/>
          <w:szCs w:val="22"/>
          <w:lang w:val="es-MX" w:eastAsia="es-MX"/>
        </w:rPr>
        <w:t xml:space="preserve">Estatuto Orgánico. </w:t>
      </w:r>
      <w:r w:rsidRPr="00D519C5">
        <w:rPr>
          <w:rFonts w:ascii="ITC Avant Garde" w:hAnsi="ITC Avant Garde"/>
          <w:bCs/>
          <w:color w:val="000000"/>
          <w:sz w:val="22"/>
          <w:szCs w:val="22"/>
          <w:lang w:val="es-MX" w:eastAsia="es-MX"/>
        </w:rPr>
        <w:t xml:space="preserve">El 4 de septiembre de 2014 se publicó en el Diario Oficial de la Federación el </w:t>
      </w:r>
      <w:r w:rsidRPr="00D519C5">
        <w:rPr>
          <w:rFonts w:ascii="ITC Avant Garde" w:hAnsi="ITC Avant Garde"/>
          <w:bCs/>
          <w:i/>
          <w:color w:val="000000"/>
          <w:sz w:val="22"/>
          <w:szCs w:val="22"/>
          <w:lang w:val="es-MX" w:eastAsia="es-MX"/>
        </w:rPr>
        <w:t>“Estatuto Orgánico del Instituto Federal de Telecomunicaciones”</w:t>
      </w:r>
      <w:r w:rsidRPr="00D519C5">
        <w:rPr>
          <w:rFonts w:ascii="ITC Avant Garde" w:hAnsi="ITC Avant Garde"/>
          <w:bCs/>
          <w:color w:val="000000"/>
          <w:sz w:val="22"/>
          <w:szCs w:val="22"/>
          <w:lang w:val="es-MX" w:eastAsia="es-MX"/>
        </w:rPr>
        <w:t xml:space="preserve"> (el “Estatuto Orgánico”), mismo que entró en vigor el 26 de septiembre de 2014</w:t>
      </w:r>
      <w:r w:rsidR="00695E06" w:rsidRPr="00D519C5">
        <w:rPr>
          <w:rFonts w:ascii="ITC Avant Garde" w:hAnsi="ITC Avant Garde"/>
          <w:bCs/>
          <w:color w:val="000000"/>
          <w:sz w:val="22"/>
          <w:szCs w:val="22"/>
          <w:lang w:val="es-MX" w:eastAsia="es-MX"/>
        </w:rPr>
        <w:t xml:space="preserve"> </w:t>
      </w:r>
      <w:r w:rsidR="00695E06" w:rsidRPr="00D519C5">
        <w:rPr>
          <w:rFonts w:ascii="ITC Avant Garde" w:hAnsi="ITC Avant Garde"/>
          <w:color w:val="000000"/>
          <w:sz w:val="22"/>
          <w:szCs w:val="22"/>
          <w:shd w:val="clear" w:color="auto" w:fill="FFFFFF"/>
        </w:rPr>
        <w:t>y fue modificado el 17 de octubre d</w:t>
      </w:r>
      <w:r w:rsidR="00DB6FA9">
        <w:rPr>
          <w:rFonts w:ascii="ITC Avant Garde" w:hAnsi="ITC Avant Garde"/>
          <w:color w:val="000000"/>
          <w:sz w:val="22"/>
          <w:szCs w:val="22"/>
          <w:shd w:val="clear" w:color="auto" w:fill="FFFFFF"/>
        </w:rPr>
        <w:t xml:space="preserve"> </w:t>
      </w:r>
      <w:r w:rsidR="00695E06" w:rsidRPr="00D519C5">
        <w:rPr>
          <w:rFonts w:ascii="ITC Avant Garde" w:hAnsi="ITC Avant Garde"/>
          <w:color w:val="000000"/>
          <w:sz w:val="22"/>
          <w:szCs w:val="22"/>
          <w:shd w:val="clear" w:color="auto" w:fill="FFFFFF"/>
        </w:rPr>
        <w:t>el mismo año.</w:t>
      </w:r>
    </w:p>
    <w:p w14:paraId="32856A33" w14:textId="77777777" w:rsidR="002D7BBD" w:rsidRDefault="00AF0583" w:rsidP="002D7BBD">
      <w:pPr>
        <w:numPr>
          <w:ilvl w:val="0"/>
          <w:numId w:val="21"/>
        </w:numPr>
        <w:spacing w:before="240" w:after="240"/>
        <w:ind w:left="567" w:hanging="567"/>
        <w:jc w:val="both"/>
        <w:rPr>
          <w:rFonts w:ascii="ITC Avant Garde" w:hAnsi="ITC Avant Garde"/>
          <w:b/>
          <w:bCs/>
          <w:color w:val="000000"/>
          <w:sz w:val="22"/>
          <w:szCs w:val="22"/>
          <w:lang w:val="es-MX" w:eastAsia="es-MX"/>
        </w:rPr>
      </w:pPr>
      <w:r w:rsidRPr="00D519C5">
        <w:rPr>
          <w:rFonts w:ascii="ITC Avant Garde" w:hAnsi="ITC Avant Garde"/>
          <w:b/>
          <w:bCs/>
          <w:color w:val="000000"/>
          <w:sz w:val="22"/>
          <w:szCs w:val="22"/>
          <w:lang w:val="es-MX" w:eastAsia="es-MX"/>
        </w:rPr>
        <w:t xml:space="preserve">Solicitud </w:t>
      </w:r>
      <w:r w:rsidR="004D45F5" w:rsidRPr="00D519C5">
        <w:rPr>
          <w:rFonts w:ascii="ITC Avant Garde" w:hAnsi="ITC Avant Garde"/>
          <w:b/>
          <w:bCs/>
          <w:color w:val="000000"/>
          <w:sz w:val="22"/>
          <w:szCs w:val="22"/>
          <w:lang w:val="es-MX" w:eastAsia="es-MX"/>
        </w:rPr>
        <w:t xml:space="preserve">de Opinión </w:t>
      </w:r>
      <w:r w:rsidRPr="00D519C5">
        <w:rPr>
          <w:rFonts w:ascii="ITC Avant Garde" w:hAnsi="ITC Avant Garde"/>
          <w:b/>
          <w:bCs/>
          <w:color w:val="000000"/>
          <w:sz w:val="22"/>
          <w:szCs w:val="22"/>
          <w:lang w:val="es-MX" w:eastAsia="es-MX"/>
        </w:rPr>
        <w:t xml:space="preserve">a la Unidad de Espectro Radioeléctrico. </w:t>
      </w:r>
      <w:r w:rsidR="004D45F5" w:rsidRPr="00D519C5">
        <w:rPr>
          <w:rFonts w:ascii="ITC Avant Garde" w:hAnsi="ITC Avant Garde"/>
          <w:bCs/>
          <w:color w:val="000000"/>
          <w:sz w:val="22"/>
          <w:szCs w:val="22"/>
          <w:lang w:val="es-MX" w:eastAsia="es-MX"/>
        </w:rPr>
        <w:t>La Unidad de Concesiones y Servicios, a través de la Dirección General de Concesiones de Telecomunicaciones mediante los</w:t>
      </w:r>
      <w:r w:rsidRPr="00D519C5">
        <w:rPr>
          <w:rFonts w:ascii="ITC Avant Garde" w:hAnsi="ITC Avant Garde"/>
          <w:bCs/>
          <w:color w:val="000000"/>
          <w:sz w:val="22"/>
          <w:szCs w:val="22"/>
          <w:lang w:val="es-MX" w:eastAsia="es-MX"/>
        </w:rPr>
        <w:t xml:space="preserve"> oficio</w:t>
      </w:r>
      <w:r w:rsidR="004D45F5" w:rsidRPr="00D519C5">
        <w:rPr>
          <w:rFonts w:ascii="ITC Avant Garde" w:hAnsi="ITC Avant Garde"/>
          <w:bCs/>
          <w:color w:val="000000"/>
          <w:sz w:val="22"/>
          <w:szCs w:val="22"/>
          <w:lang w:val="es-MX" w:eastAsia="es-MX"/>
        </w:rPr>
        <w:t>s</w:t>
      </w:r>
      <w:r w:rsidRPr="00D519C5">
        <w:rPr>
          <w:rFonts w:ascii="ITC Avant Garde" w:hAnsi="ITC Avant Garde"/>
          <w:bCs/>
          <w:color w:val="000000"/>
          <w:sz w:val="22"/>
          <w:szCs w:val="22"/>
          <w:lang w:val="es-MX" w:eastAsia="es-MX"/>
        </w:rPr>
        <w:t xml:space="preserve"> IFT/223/UCS/DG-CTEL/008/201</w:t>
      </w:r>
      <w:r w:rsidR="004D45F5" w:rsidRPr="00D519C5">
        <w:rPr>
          <w:rFonts w:ascii="ITC Avant Garde" w:hAnsi="ITC Avant Garde"/>
          <w:bCs/>
          <w:color w:val="000000"/>
          <w:sz w:val="22"/>
          <w:szCs w:val="22"/>
          <w:lang w:val="es-MX" w:eastAsia="es-MX"/>
        </w:rPr>
        <w:t xml:space="preserve">4 </w:t>
      </w:r>
      <w:r w:rsidR="00671CA3" w:rsidRPr="00D519C5">
        <w:rPr>
          <w:rFonts w:ascii="ITC Avant Garde" w:hAnsi="ITC Avant Garde"/>
          <w:bCs/>
          <w:color w:val="000000"/>
          <w:sz w:val="22"/>
          <w:szCs w:val="22"/>
          <w:lang w:val="es-MX" w:eastAsia="es-MX"/>
        </w:rPr>
        <w:t>notificado el 9</w:t>
      </w:r>
      <w:r w:rsidR="004D45F5" w:rsidRPr="00D519C5">
        <w:rPr>
          <w:rFonts w:ascii="ITC Avant Garde" w:hAnsi="ITC Avant Garde"/>
          <w:bCs/>
          <w:color w:val="000000"/>
          <w:sz w:val="22"/>
          <w:szCs w:val="22"/>
          <w:lang w:val="es-MX" w:eastAsia="es-MX"/>
        </w:rPr>
        <w:t xml:space="preserve"> de octubre </w:t>
      </w:r>
      <w:r w:rsidR="00AE5380">
        <w:rPr>
          <w:rFonts w:ascii="ITC Avant Garde" w:hAnsi="ITC Avant Garde"/>
          <w:bCs/>
          <w:color w:val="000000"/>
          <w:sz w:val="22"/>
          <w:szCs w:val="22"/>
          <w:lang w:val="es-MX" w:eastAsia="es-MX"/>
        </w:rPr>
        <w:t>de 2014, IFT/223/UCS/DG-CTEL/146</w:t>
      </w:r>
      <w:r w:rsidR="004D45F5" w:rsidRPr="00D519C5">
        <w:rPr>
          <w:rFonts w:ascii="ITC Avant Garde" w:hAnsi="ITC Avant Garde"/>
          <w:bCs/>
          <w:color w:val="000000"/>
          <w:sz w:val="22"/>
          <w:szCs w:val="22"/>
          <w:lang w:val="es-MX" w:eastAsia="es-MX"/>
        </w:rPr>
        <w:t xml:space="preserve">/2014 </w:t>
      </w:r>
      <w:r w:rsidR="00671CA3" w:rsidRPr="00D519C5">
        <w:rPr>
          <w:rFonts w:ascii="ITC Avant Garde" w:hAnsi="ITC Avant Garde"/>
          <w:bCs/>
          <w:color w:val="000000"/>
          <w:sz w:val="22"/>
          <w:szCs w:val="22"/>
          <w:lang w:val="es-MX" w:eastAsia="es-MX"/>
        </w:rPr>
        <w:t>notificado el</w:t>
      </w:r>
      <w:r w:rsidR="004D45F5" w:rsidRPr="00D519C5">
        <w:rPr>
          <w:rFonts w:ascii="ITC Avant Garde" w:hAnsi="ITC Avant Garde"/>
          <w:bCs/>
          <w:color w:val="000000"/>
          <w:sz w:val="22"/>
          <w:szCs w:val="22"/>
          <w:lang w:val="es-MX" w:eastAsia="es-MX"/>
        </w:rPr>
        <w:t xml:space="preserve"> 3</w:t>
      </w:r>
      <w:r w:rsidR="00671CA3" w:rsidRPr="00D519C5">
        <w:rPr>
          <w:rFonts w:ascii="ITC Avant Garde" w:hAnsi="ITC Avant Garde"/>
          <w:bCs/>
          <w:color w:val="000000"/>
          <w:sz w:val="22"/>
          <w:szCs w:val="22"/>
          <w:lang w:val="es-MX" w:eastAsia="es-MX"/>
        </w:rPr>
        <w:t>1</w:t>
      </w:r>
      <w:r w:rsidR="004D45F5" w:rsidRPr="00D519C5">
        <w:rPr>
          <w:rFonts w:ascii="ITC Avant Garde" w:hAnsi="ITC Avant Garde"/>
          <w:bCs/>
          <w:color w:val="000000"/>
          <w:sz w:val="22"/>
          <w:szCs w:val="22"/>
          <w:lang w:val="es-MX" w:eastAsia="es-MX"/>
        </w:rPr>
        <w:t xml:space="preserve"> de octubre del mismo año</w:t>
      </w:r>
      <w:r w:rsidR="00671CA3" w:rsidRPr="00D519C5">
        <w:rPr>
          <w:rFonts w:ascii="ITC Avant Garde" w:hAnsi="ITC Avant Garde"/>
          <w:bCs/>
          <w:color w:val="000000"/>
          <w:sz w:val="22"/>
          <w:szCs w:val="22"/>
          <w:lang w:val="es-MX" w:eastAsia="es-MX"/>
        </w:rPr>
        <w:t xml:space="preserve"> e</w:t>
      </w:r>
      <w:r w:rsidR="00AE5380">
        <w:rPr>
          <w:rFonts w:ascii="ITC Avant Garde" w:hAnsi="ITC Avant Garde"/>
          <w:bCs/>
          <w:color w:val="000000"/>
          <w:sz w:val="22"/>
          <w:szCs w:val="22"/>
          <w:lang w:val="es-MX" w:eastAsia="es-MX"/>
        </w:rPr>
        <w:t xml:space="preserve"> IFT/223/UCS/DG-CTEL/671</w:t>
      </w:r>
      <w:r w:rsidR="00671CA3" w:rsidRPr="00D519C5">
        <w:rPr>
          <w:rFonts w:ascii="ITC Avant Garde" w:hAnsi="ITC Avant Garde"/>
          <w:bCs/>
          <w:color w:val="000000"/>
          <w:sz w:val="22"/>
          <w:szCs w:val="22"/>
          <w:lang w:val="es-MX" w:eastAsia="es-MX"/>
        </w:rPr>
        <w:t>/2015 notificado el 12 de febrero de 2015,</w:t>
      </w:r>
      <w:r w:rsidR="004D45F5" w:rsidRPr="00D519C5">
        <w:rPr>
          <w:rFonts w:ascii="ITC Avant Garde" w:hAnsi="ITC Avant Garde"/>
          <w:bCs/>
          <w:color w:val="000000"/>
          <w:sz w:val="22"/>
          <w:szCs w:val="22"/>
          <w:lang w:val="es-MX" w:eastAsia="es-MX"/>
        </w:rPr>
        <w:t xml:space="preserve"> solicitó</w:t>
      </w:r>
      <w:r w:rsidRPr="00D519C5">
        <w:rPr>
          <w:rFonts w:ascii="ITC Avant Garde" w:hAnsi="ITC Avant Garde"/>
          <w:bCs/>
          <w:color w:val="000000"/>
          <w:sz w:val="22"/>
          <w:szCs w:val="22"/>
          <w:lang w:val="es-MX" w:eastAsia="es-MX"/>
        </w:rPr>
        <w:t xml:space="preserve"> a la Unidad de Espectro Radioeléctrico se llevaran a cabo los trámites correspondientes a fin de fijar la contraprestación respectiva</w:t>
      </w:r>
      <w:r w:rsidR="004D45F5" w:rsidRPr="00D519C5">
        <w:rPr>
          <w:rFonts w:ascii="ITC Avant Garde" w:hAnsi="ITC Avant Garde"/>
          <w:bCs/>
          <w:color w:val="000000"/>
          <w:sz w:val="22"/>
          <w:szCs w:val="22"/>
          <w:lang w:val="es-MX" w:eastAsia="es-MX"/>
        </w:rPr>
        <w:t>, así como emitir dictamen sobre la compatibilidad electromagnética</w:t>
      </w:r>
      <w:r w:rsidRPr="00D519C5">
        <w:rPr>
          <w:rFonts w:ascii="ITC Avant Garde" w:hAnsi="ITC Avant Garde"/>
          <w:bCs/>
          <w:color w:val="000000"/>
          <w:sz w:val="22"/>
          <w:szCs w:val="22"/>
          <w:lang w:val="es-MX" w:eastAsia="es-MX"/>
        </w:rPr>
        <w:t xml:space="preserve"> </w:t>
      </w:r>
      <w:r w:rsidR="00671CA3" w:rsidRPr="00D519C5">
        <w:rPr>
          <w:rFonts w:ascii="ITC Avant Garde" w:hAnsi="ITC Avant Garde"/>
          <w:bCs/>
          <w:color w:val="000000"/>
          <w:sz w:val="22"/>
          <w:szCs w:val="22"/>
          <w:lang w:val="es-MX" w:eastAsia="es-MX"/>
        </w:rPr>
        <w:t>y de ser el caso, las medidas técnico-operativas que podrían incorporarse a la concesión que, en su caso, se otorgara con motivo de la Solicitud</w:t>
      </w:r>
      <w:r w:rsidRPr="00D519C5">
        <w:rPr>
          <w:rFonts w:ascii="ITC Avant Garde" w:hAnsi="ITC Avant Garde"/>
          <w:bCs/>
          <w:color w:val="000000"/>
          <w:sz w:val="22"/>
          <w:szCs w:val="22"/>
          <w:lang w:val="es-MX" w:eastAsia="es-MX"/>
        </w:rPr>
        <w:t xml:space="preserve">. </w:t>
      </w:r>
    </w:p>
    <w:p w14:paraId="3CEC8031" w14:textId="77777777" w:rsidR="002D7BBD" w:rsidRDefault="00BF7BF8" w:rsidP="002D7BBD">
      <w:pPr>
        <w:numPr>
          <w:ilvl w:val="0"/>
          <w:numId w:val="21"/>
        </w:numPr>
        <w:spacing w:before="240" w:after="240"/>
        <w:ind w:left="567" w:hanging="567"/>
        <w:jc w:val="both"/>
        <w:rPr>
          <w:rFonts w:ascii="ITC Avant Garde" w:hAnsi="ITC Avant Garde"/>
          <w:bCs/>
          <w:color w:val="000000"/>
          <w:sz w:val="22"/>
          <w:szCs w:val="22"/>
          <w:lang w:val="es-MX" w:eastAsia="es-MX"/>
        </w:rPr>
      </w:pPr>
      <w:r w:rsidRPr="00D519C5">
        <w:rPr>
          <w:rFonts w:ascii="ITC Avant Garde" w:hAnsi="ITC Avant Garde"/>
          <w:b/>
          <w:bCs/>
          <w:color w:val="000000"/>
          <w:sz w:val="22"/>
          <w:szCs w:val="22"/>
          <w:lang w:val="es-MX" w:eastAsia="es-MX"/>
        </w:rPr>
        <w:t>Opinión de</w:t>
      </w:r>
      <w:r w:rsidR="00606CCA" w:rsidRPr="00D519C5">
        <w:rPr>
          <w:rFonts w:ascii="ITC Avant Garde" w:hAnsi="ITC Avant Garde"/>
          <w:b/>
          <w:bCs/>
          <w:color w:val="000000"/>
          <w:sz w:val="22"/>
          <w:szCs w:val="22"/>
          <w:lang w:val="es-MX" w:eastAsia="es-MX"/>
        </w:rPr>
        <w:t xml:space="preserve"> la</w:t>
      </w:r>
      <w:r w:rsidR="008552EE" w:rsidRPr="00D519C5">
        <w:rPr>
          <w:rFonts w:ascii="ITC Avant Garde" w:hAnsi="ITC Avant Garde"/>
          <w:bCs/>
          <w:color w:val="000000"/>
          <w:sz w:val="22"/>
          <w:szCs w:val="22"/>
          <w:lang w:val="es-MX" w:eastAsia="es-MX"/>
        </w:rPr>
        <w:t xml:space="preserve"> </w:t>
      </w:r>
      <w:r w:rsidR="00FC3F16">
        <w:rPr>
          <w:rFonts w:ascii="ITC Avant Garde" w:hAnsi="ITC Avant Garde"/>
          <w:b/>
          <w:bCs/>
          <w:color w:val="000000"/>
          <w:sz w:val="22"/>
          <w:szCs w:val="22"/>
          <w:lang w:val="es-MX" w:eastAsia="es-MX"/>
        </w:rPr>
        <w:t>Dirección General de Planeación del Espectro</w:t>
      </w:r>
      <w:r w:rsidR="008552EE" w:rsidRPr="00D519C5">
        <w:rPr>
          <w:rFonts w:ascii="ITC Avant Garde" w:hAnsi="ITC Avant Garde"/>
          <w:b/>
          <w:bCs/>
          <w:color w:val="000000"/>
          <w:sz w:val="22"/>
          <w:szCs w:val="22"/>
          <w:lang w:val="es-MX" w:eastAsia="es-MX"/>
        </w:rPr>
        <w:t xml:space="preserve">. </w:t>
      </w:r>
      <w:r w:rsidRPr="00D519C5">
        <w:rPr>
          <w:rFonts w:ascii="ITC Avant Garde" w:hAnsi="ITC Avant Garde"/>
          <w:bCs/>
          <w:color w:val="000000"/>
          <w:sz w:val="22"/>
          <w:szCs w:val="22"/>
          <w:lang w:val="es-MX" w:eastAsia="es-MX"/>
        </w:rPr>
        <w:t>C</w:t>
      </w:r>
      <w:r w:rsidR="00DC1294" w:rsidRPr="00D519C5">
        <w:rPr>
          <w:rFonts w:ascii="ITC Avant Garde" w:hAnsi="ITC Avant Garde"/>
          <w:bCs/>
          <w:color w:val="000000"/>
          <w:sz w:val="22"/>
          <w:szCs w:val="22"/>
          <w:lang w:val="es-MX" w:eastAsia="es-MX"/>
        </w:rPr>
        <w:t>on oficio IFT/</w:t>
      </w:r>
      <w:r w:rsidR="00CD55B7" w:rsidRPr="00D519C5">
        <w:rPr>
          <w:rFonts w:ascii="ITC Avant Garde" w:hAnsi="ITC Avant Garde"/>
          <w:bCs/>
          <w:color w:val="000000"/>
          <w:sz w:val="22"/>
          <w:szCs w:val="22"/>
          <w:lang w:val="es-MX" w:eastAsia="es-MX"/>
        </w:rPr>
        <w:t>222</w:t>
      </w:r>
      <w:r w:rsidR="00DC1294" w:rsidRPr="00D519C5">
        <w:rPr>
          <w:rFonts w:ascii="ITC Avant Garde" w:hAnsi="ITC Avant Garde"/>
          <w:bCs/>
          <w:color w:val="000000"/>
          <w:sz w:val="22"/>
          <w:szCs w:val="22"/>
          <w:lang w:val="es-MX" w:eastAsia="es-MX"/>
        </w:rPr>
        <w:t>/U</w:t>
      </w:r>
      <w:r w:rsidR="00CD55B7" w:rsidRPr="00D519C5">
        <w:rPr>
          <w:rFonts w:ascii="ITC Avant Garde" w:hAnsi="ITC Avant Garde"/>
          <w:bCs/>
          <w:color w:val="000000"/>
          <w:sz w:val="22"/>
          <w:szCs w:val="22"/>
          <w:lang w:val="es-MX" w:eastAsia="es-MX"/>
        </w:rPr>
        <w:t>ER</w:t>
      </w:r>
      <w:r w:rsidR="008552EE" w:rsidRPr="00D519C5">
        <w:rPr>
          <w:rFonts w:ascii="ITC Avant Garde" w:hAnsi="ITC Avant Garde"/>
          <w:bCs/>
          <w:color w:val="000000"/>
          <w:sz w:val="22"/>
          <w:szCs w:val="22"/>
          <w:lang w:val="es-MX" w:eastAsia="es-MX"/>
        </w:rPr>
        <w:t>/</w:t>
      </w:r>
      <w:r w:rsidR="00DC1294" w:rsidRPr="00D519C5">
        <w:rPr>
          <w:rFonts w:ascii="ITC Avant Garde" w:hAnsi="ITC Avant Garde"/>
          <w:bCs/>
          <w:color w:val="000000"/>
          <w:sz w:val="22"/>
          <w:szCs w:val="22"/>
          <w:lang w:val="es-MX" w:eastAsia="es-MX"/>
        </w:rPr>
        <w:t>DG</w:t>
      </w:r>
      <w:r w:rsidR="00CD55B7" w:rsidRPr="00D519C5">
        <w:rPr>
          <w:rFonts w:ascii="ITC Avant Garde" w:hAnsi="ITC Avant Garde"/>
          <w:bCs/>
          <w:color w:val="000000"/>
          <w:sz w:val="22"/>
          <w:szCs w:val="22"/>
          <w:lang w:val="es-MX" w:eastAsia="es-MX"/>
        </w:rPr>
        <w:t>PE</w:t>
      </w:r>
      <w:r w:rsidR="00DC1294" w:rsidRPr="00D519C5">
        <w:rPr>
          <w:rFonts w:ascii="ITC Avant Garde" w:hAnsi="ITC Avant Garde"/>
          <w:bCs/>
          <w:color w:val="000000"/>
          <w:sz w:val="22"/>
          <w:szCs w:val="22"/>
          <w:lang w:val="es-MX" w:eastAsia="es-MX"/>
        </w:rPr>
        <w:t>/</w:t>
      </w:r>
      <w:r w:rsidR="00CD55B7" w:rsidRPr="00D519C5">
        <w:rPr>
          <w:rFonts w:ascii="ITC Avant Garde" w:hAnsi="ITC Avant Garde"/>
          <w:bCs/>
          <w:color w:val="000000"/>
          <w:sz w:val="22"/>
          <w:szCs w:val="22"/>
          <w:lang w:val="es-MX" w:eastAsia="es-MX"/>
        </w:rPr>
        <w:t>006</w:t>
      </w:r>
      <w:r w:rsidR="00DC1294" w:rsidRPr="00D519C5">
        <w:rPr>
          <w:rFonts w:ascii="ITC Avant Garde" w:hAnsi="ITC Avant Garde"/>
          <w:bCs/>
          <w:color w:val="000000"/>
          <w:sz w:val="22"/>
          <w:szCs w:val="22"/>
          <w:lang w:val="es-MX" w:eastAsia="es-MX"/>
        </w:rPr>
        <w:t>/201</w:t>
      </w:r>
      <w:r w:rsidR="00CD55B7" w:rsidRPr="00D519C5">
        <w:rPr>
          <w:rFonts w:ascii="ITC Avant Garde" w:hAnsi="ITC Avant Garde"/>
          <w:bCs/>
          <w:color w:val="000000"/>
          <w:sz w:val="22"/>
          <w:szCs w:val="22"/>
          <w:lang w:val="es-MX" w:eastAsia="es-MX"/>
        </w:rPr>
        <w:t>5</w:t>
      </w:r>
      <w:r w:rsidR="00DC1294" w:rsidRPr="00D519C5">
        <w:rPr>
          <w:rFonts w:ascii="ITC Avant Garde" w:hAnsi="ITC Avant Garde"/>
          <w:bCs/>
          <w:color w:val="000000"/>
          <w:sz w:val="22"/>
          <w:szCs w:val="22"/>
          <w:lang w:val="es-MX" w:eastAsia="es-MX"/>
        </w:rPr>
        <w:t xml:space="preserve"> </w:t>
      </w:r>
      <w:r w:rsidR="00EA4D8B" w:rsidRPr="00D519C5">
        <w:rPr>
          <w:rFonts w:ascii="ITC Avant Garde" w:hAnsi="ITC Avant Garde"/>
          <w:bCs/>
          <w:color w:val="000000"/>
          <w:sz w:val="22"/>
          <w:szCs w:val="22"/>
          <w:lang w:val="es-MX" w:eastAsia="es-MX"/>
        </w:rPr>
        <w:t xml:space="preserve">recibido en la Unidad de Concesiones y Servicios el </w:t>
      </w:r>
      <w:r w:rsidR="00D77D24" w:rsidRPr="00D519C5">
        <w:rPr>
          <w:rFonts w:ascii="ITC Avant Garde" w:hAnsi="ITC Avant Garde"/>
          <w:bCs/>
          <w:color w:val="000000"/>
          <w:sz w:val="22"/>
          <w:szCs w:val="22"/>
          <w:lang w:val="es-MX" w:eastAsia="es-MX"/>
        </w:rPr>
        <w:t>3</w:t>
      </w:r>
      <w:r w:rsidR="00CD55B7" w:rsidRPr="00D519C5">
        <w:rPr>
          <w:rFonts w:ascii="ITC Avant Garde" w:hAnsi="ITC Avant Garde"/>
          <w:bCs/>
          <w:color w:val="000000"/>
          <w:sz w:val="22"/>
          <w:szCs w:val="22"/>
          <w:lang w:val="es-MX" w:eastAsia="es-MX"/>
        </w:rPr>
        <w:t>0</w:t>
      </w:r>
      <w:r w:rsidR="00DC1294" w:rsidRPr="00D519C5">
        <w:rPr>
          <w:rFonts w:ascii="ITC Avant Garde" w:hAnsi="ITC Avant Garde"/>
          <w:bCs/>
          <w:color w:val="000000"/>
          <w:sz w:val="22"/>
          <w:szCs w:val="22"/>
          <w:lang w:val="es-MX" w:eastAsia="es-MX"/>
        </w:rPr>
        <w:t xml:space="preserve"> de </w:t>
      </w:r>
      <w:r w:rsidR="00CD55B7" w:rsidRPr="00D519C5">
        <w:rPr>
          <w:rFonts w:ascii="ITC Avant Garde" w:hAnsi="ITC Avant Garde"/>
          <w:bCs/>
          <w:color w:val="000000"/>
          <w:sz w:val="22"/>
          <w:szCs w:val="22"/>
          <w:lang w:val="es-MX" w:eastAsia="es-MX"/>
        </w:rPr>
        <w:t>enero</w:t>
      </w:r>
      <w:r w:rsidR="00DC1294" w:rsidRPr="00D519C5">
        <w:rPr>
          <w:rFonts w:ascii="ITC Avant Garde" w:hAnsi="ITC Avant Garde"/>
          <w:bCs/>
          <w:color w:val="000000"/>
          <w:sz w:val="22"/>
          <w:szCs w:val="22"/>
          <w:lang w:val="es-MX" w:eastAsia="es-MX"/>
        </w:rPr>
        <w:t xml:space="preserve"> de 201</w:t>
      </w:r>
      <w:r w:rsidR="00CD55B7" w:rsidRPr="00D519C5">
        <w:rPr>
          <w:rFonts w:ascii="ITC Avant Garde" w:hAnsi="ITC Avant Garde"/>
          <w:bCs/>
          <w:color w:val="000000"/>
          <w:sz w:val="22"/>
          <w:szCs w:val="22"/>
          <w:lang w:val="es-MX" w:eastAsia="es-MX"/>
        </w:rPr>
        <w:t>5</w:t>
      </w:r>
      <w:r w:rsidR="00DC1294" w:rsidRPr="00D519C5">
        <w:rPr>
          <w:rFonts w:ascii="ITC Avant Garde" w:hAnsi="ITC Avant Garde"/>
          <w:bCs/>
          <w:color w:val="000000"/>
          <w:sz w:val="22"/>
          <w:szCs w:val="22"/>
          <w:lang w:val="es-MX" w:eastAsia="es-MX"/>
        </w:rPr>
        <w:t xml:space="preserve">, la Dirección General de </w:t>
      </w:r>
      <w:r w:rsidR="00CD55B7" w:rsidRPr="00D519C5">
        <w:rPr>
          <w:rFonts w:ascii="ITC Avant Garde" w:hAnsi="ITC Avant Garde"/>
          <w:bCs/>
          <w:color w:val="000000"/>
          <w:sz w:val="22"/>
          <w:szCs w:val="22"/>
          <w:lang w:val="es-MX" w:eastAsia="es-MX"/>
        </w:rPr>
        <w:t xml:space="preserve">Planeación del </w:t>
      </w:r>
      <w:r w:rsidR="00DC1294" w:rsidRPr="00D519C5">
        <w:rPr>
          <w:rFonts w:ascii="ITC Avant Garde" w:hAnsi="ITC Avant Garde"/>
          <w:bCs/>
          <w:color w:val="000000"/>
          <w:sz w:val="22"/>
          <w:szCs w:val="22"/>
          <w:lang w:val="es-MX" w:eastAsia="es-MX"/>
        </w:rPr>
        <w:t xml:space="preserve">Espectro </w:t>
      </w:r>
      <w:r w:rsidR="00FC3F16">
        <w:rPr>
          <w:rFonts w:ascii="ITC Avant Garde" w:hAnsi="ITC Avant Garde"/>
          <w:bCs/>
          <w:color w:val="000000"/>
          <w:sz w:val="22"/>
          <w:szCs w:val="22"/>
          <w:lang w:val="es-MX" w:eastAsia="es-MX"/>
        </w:rPr>
        <w:t>adscrita a</w:t>
      </w:r>
      <w:r w:rsidR="00FC3F16" w:rsidRPr="00D519C5">
        <w:rPr>
          <w:rFonts w:ascii="ITC Avant Garde" w:hAnsi="ITC Avant Garde"/>
          <w:bCs/>
          <w:color w:val="000000"/>
          <w:sz w:val="22"/>
          <w:szCs w:val="22"/>
          <w:lang w:val="es-MX" w:eastAsia="es-MX"/>
        </w:rPr>
        <w:t xml:space="preserve"> </w:t>
      </w:r>
      <w:r w:rsidR="00DC1294" w:rsidRPr="00D519C5">
        <w:rPr>
          <w:rFonts w:ascii="ITC Avant Garde" w:hAnsi="ITC Avant Garde"/>
          <w:bCs/>
          <w:color w:val="000000"/>
          <w:sz w:val="22"/>
          <w:szCs w:val="22"/>
          <w:lang w:val="es-MX" w:eastAsia="es-MX"/>
        </w:rPr>
        <w:t>la U</w:t>
      </w:r>
      <w:r w:rsidR="003C5972" w:rsidRPr="00D519C5">
        <w:rPr>
          <w:rFonts w:ascii="ITC Avant Garde" w:hAnsi="ITC Avant Garde"/>
          <w:bCs/>
          <w:color w:val="000000"/>
          <w:sz w:val="22"/>
          <w:szCs w:val="22"/>
          <w:lang w:val="es-MX" w:eastAsia="es-MX"/>
        </w:rPr>
        <w:t xml:space="preserve">nidad de </w:t>
      </w:r>
      <w:r w:rsidR="00CD55B7" w:rsidRPr="00D519C5">
        <w:rPr>
          <w:rFonts w:ascii="ITC Avant Garde" w:hAnsi="ITC Avant Garde"/>
          <w:bCs/>
          <w:color w:val="000000"/>
          <w:sz w:val="22"/>
          <w:szCs w:val="22"/>
          <w:lang w:val="es-MX" w:eastAsia="es-MX"/>
        </w:rPr>
        <w:t>E</w:t>
      </w:r>
      <w:r w:rsidR="003C5972" w:rsidRPr="00D519C5">
        <w:rPr>
          <w:rFonts w:ascii="ITC Avant Garde" w:hAnsi="ITC Avant Garde"/>
          <w:bCs/>
          <w:color w:val="000000"/>
          <w:sz w:val="22"/>
          <w:szCs w:val="22"/>
          <w:lang w:val="es-MX" w:eastAsia="es-MX"/>
        </w:rPr>
        <w:t xml:space="preserve">spectro </w:t>
      </w:r>
      <w:r w:rsidR="00CD55B7" w:rsidRPr="00D519C5">
        <w:rPr>
          <w:rFonts w:ascii="ITC Avant Garde" w:hAnsi="ITC Avant Garde"/>
          <w:bCs/>
          <w:color w:val="000000"/>
          <w:sz w:val="22"/>
          <w:szCs w:val="22"/>
          <w:lang w:val="es-MX" w:eastAsia="es-MX"/>
        </w:rPr>
        <w:t>R</w:t>
      </w:r>
      <w:r w:rsidR="003C5972" w:rsidRPr="00D519C5">
        <w:rPr>
          <w:rFonts w:ascii="ITC Avant Garde" w:hAnsi="ITC Avant Garde"/>
          <w:bCs/>
          <w:color w:val="000000"/>
          <w:sz w:val="22"/>
          <w:szCs w:val="22"/>
          <w:lang w:val="es-MX" w:eastAsia="es-MX"/>
        </w:rPr>
        <w:t>adioeléctrico</w:t>
      </w:r>
      <w:r w:rsidR="00DC1294" w:rsidRPr="00D519C5">
        <w:rPr>
          <w:rFonts w:ascii="ITC Avant Garde" w:hAnsi="ITC Avant Garde"/>
          <w:bCs/>
          <w:color w:val="000000"/>
          <w:sz w:val="22"/>
          <w:szCs w:val="22"/>
          <w:lang w:val="es-MX" w:eastAsia="es-MX"/>
        </w:rPr>
        <w:t xml:space="preserve">, </w:t>
      </w:r>
      <w:r w:rsidR="003F31B5">
        <w:rPr>
          <w:rFonts w:ascii="ITC Avant Garde" w:hAnsi="ITC Avant Garde"/>
          <w:bCs/>
          <w:color w:val="000000"/>
          <w:sz w:val="22"/>
          <w:szCs w:val="22"/>
          <w:lang w:val="es-MX" w:eastAsia="es-MX"/>
        </w:rPr>
        <w:t>emitió opinión respecto a</w:t>
      </w:r>
      <w:r w:rsidR="00EA4D8B" w:rsidRPr="00D519C5">
        <w:rPr>
          <w:rFonts w:ascii="ITC Avant Garde" w:hAnsi="ITC Avant Garde"/>
          <w:bCs/>
          <w:color w:val="000000"/>
          <w:sz w:val="22"/>
          <w:szCs w:val="22"/>
          <w:lang w:val="es-MX" w:eastAsia="es-MX"/>
        </w:rPr>
        <w:t xml:space="preserve"> la Solicitud.</w:t>
      </w:r>
    </w:p>
    <w:p w14:paraId="0A420661" w14:textId="434804CA" w:rsidR="002D7BBD" w:rsidRDefault="00E24D56" w:rsidP="002D7BBD">
      <w:pPr>
        <w:numPr>
          <w:ilvl w:val="0"/>
          <w:numId w:val="21"/>
        </w:numPr>
        <w:spacing w:before="240" w:after="240"/>
        <w:ind w:left="567" w:hanging="567"/>
        <w:jc w:val="both"/>
        <w:rPr>
          <w:rFonts w:ascii="ITC Avant Garde" w:hAnsi="ITC Avant Garde"/>
          <w:bCs/>
          <w:color w:val="000000"/>
          <w:sz w:val="22"/>
          <w:szCs w:val="22"/>
          <w:lang w:val="es-MX" w:eastAsia="es-MX"/>
        </w:rPr>
      </w:pPr>
      <w:r w:rsidRPr="00D519C5">
        <w:rPr>
          <w:rFonts w:ascii="ITC Avant Garde" w:hAnsi="ITC Avant Garde"/>
          <w:b/>
          <w:bCs/>
          <w:color w:val="000000"/>
          <w:sz w:val="22"/>
          <w:szCs w:val="22"/>
          <w:lang w:val="es-MX" w:eastAsia="es-MX"/>
        </w:rPr>
        <w:t>Aprovechamientos a</w:t>
      </w:r>
      <w:r w:rsidR="00236ACA" w:rsidRPr="00D519C5">
        <w:rPr>
          <w:rFonts w:ascii="ITC Avant Garde" w:hAnsi="ITC Avant Garde"/>
          <w:b/>
          <w:bCs/>
          <w:color w:val="000000"/>
          <w:sz w:val="22"/>
          <w:szCs w:val="22"/>
          <w:lang w:val="es-MX" w:eastAsia="es-MX"/>
        </w:rPr>
        <w:t>utoriza</w:t>
      </w:r>
      <w:r w:rsidRPr="00D519C5">
        <w:rPr>
          <w:rFonts w:ascii="ITC Avant Garde" w:hAnsi="ITC Avant Garde"/>
          <w:b/>
          <w:bCs/>
          <w:color w:val="000000"/>
          <w:sz w:val="22"/>
          <w:szCs w:val="22"/>
          <w:lang w:val="es-MX" w:eastAsia="es-MX"/>
        </w:rPr>
        <w:t>dos</w:t>
      </w:r>
      <w:r w:rsidR="00236ACA" w:rsidRPr="00D519C5">
        <w:rPr>
          <w:rFonts w:ascii="ITC Avant Garde" w:hAnsi="ITC Avant Garde"/>
          <w:b/>
          <w:bCs/>
          <w:color w:val="000000"/>
          <w:sz w:val="22"/>
          <w:szCs w:val="22"/>
          <w:lang w:val="es-MX" w:eastAsia="es-MX"/>
        </w:rPr>
        <w:t xml:space="preserve"> </w:t>
      </w:r>
      <w:r w:rsidRPr="00D519C5">
        <w:rPr>
          <w:rFonts w:ascii="ITC Avant Garde" w:hAnsi="ITC Avant Garde"/>
          <w:b/>
          <w:bCs/>
          <w:color w:val="000000"/>
          <w:sz w:val="22"/>
          <w:szCs w:val="22"/>
          <w:lang w:val="es-MX" w:eastAsia="es-MX"/>
        </w:rPr>
        <w:t xml:space="preserve">por la Secretaría de Hacienda y Crédito Público. </w:t>
      </w:r>
      <w:r w:rsidR="00CC1C4F" w:rsidRPr="00D519C5">
        <w:rPr>
          <w:rFonts w:ascii="ITC Avant Garde" w:hAnsi="ITC Avant Garde"/>
          <w:bCs/>
          <w:color w:val="000000"/>
          <w:sz w:val="22"/>
          <w:szCs w:val="22"/>
          <w:lang w:val="es-MX" w:eastAsia="es-MX"/>
        </w:rPr>
        <w:t xml:space="preserve">Con </w:t>
      </w:r>
      <w:r w:rsidR="00E17CA9" w:rsidRPr="00D519C5">
        <w:rPr>
          <w:rFonts w:ascii="ITC Avant Garde" w:hAnsi="ITC Avant Garde"/>
          <w:bCs/>
          <w:color w:val="000000"/>
          <w:sz w:val="22"/>
          <w:szCs w:val="22"/>
          <w:lang w:val="es-MX" w:eastAsia="es-MX"/>
        </w:rPr>
        <w:t>oficio</w:t>
      </w:r>
      <w:r w:rsidR="00CC1C4F" w:rsidRPr="00D519C5">
        <w:rPr>
          <w:rFonts w:ascii="ITC Avant Garde" w:hAnsi="ITC Avant Garde"/>
          <w:bCs/>
          <w:color w:val="000000"/>
          <w:sz w:val="22"/>
          <w:szCs w:val="22"/>
          <w:lang w:val="es-MX" w:eastAsia="es-MX"/>
        </w:rPr>
        <w:t xml:space="preserve"> IFT/222/UER/109/20</w:t>
      </w:r>
      <w:r w:rsidR="00E17CA9" w:rsidRPr="00D519C5">
        <w:rPr>
          <w:rFonts w:ascii="ITC Avant Garde" w:hAnsi="ITC Avant Garde"/>
          <w:bCs/>
          <w:color w:val="000000"/>
          <w:sz w:val="22"/>
          <w:szCs w:val="22"/>
          <w:lang w:val="es-MX" w:eastAsia="es-MX"/>
        </w:rPr>
        <w:t>15 de fecha 22 de abril de 2015,</w:t>
      </w:r>
      <w:r w:rsidR="00CC1C4F" w:rsidRPr="00D519C5">
        <w:rPr>
          <w:rFonts w:ascii="ITC Avant Garde" w:hAnsi="ITC Avant Garde"/>
          <w:bCs/>
          <w:color w:val="000000"/>
          <w:sz w:val="22"/>
          <w:szCs w:val="22"/>
          <w:lang w:val="es-MX" w:eastAsia="es-MX"/>
        </w:rPr>
        <w:t xml:space="preserve"> </w:t>
      </w:r>
      <w:r w:rsidR="00E17CA9" w:rsidRPr="00D519C5">
        <w:rPr>
          <w:rFonts w:ascii="ITC Avant Garde" w:hAnsi="ITC Avant Garde"/>
          <w:bCs/>
          <w:color w:val="000000"/>
          <w:sz w:val="22"/>
          <w:szCs w:val="22"/>
          <w:lang w:val="es-MX" w:eastAsia="es-MX"/>
        </w:rPr>
        <w:t>la Unidad de Espectro Radioeléctrico solicitó a la Unidad de Política de Ingresos No Tributarios de la Secretaría de Hacienda y Crédito Público</w:t>
      </w:r>
      <w:r w:rsidR="00FC3F16">
        <w:rPr>
          <w:rFonts w:ascii="ITC Avant Garde" w:hAnsi="ITC Avant Garde"/>
          <w:bCs/>
          <w:color w:val="000000"/>
          <w:sz w:val="22"/>
          <w:szCs w:val="22"/>
          <w:lang w:val="es-MX" w:eastAsia="es-MX"/>
        </w:rPr>
        <w:t xml:space="preserve"> (la “SHCP”)</w:t>
      </w:r>
      <w:r w:rsidR="00E17CA9" w:rsidRPr="00D519C5">
        <w:rPr>
          <w:rFonts w:ascii="ITC Avant Garde" w:hAnsi="ITC Avant Garde"/>
          <w:bCs/>
          <w:color w:val="000000"/>
          <w:sz w:val="22"/>
          <w:szCs w:val="22"/>
          <w:lang w:val="es-MX" w:eastAsia="es-MX"/>
        </w:rPr>
        <w:t>, autorizar l</w:t>
      </w:r>
      <w:r w:rsidR="00884464" w:rsidRPr="00D519C5">
        <w:rPr>
          <w:rFonts w:ascii="ITC Avant Garde" w:hAnsi="ITC Avant Garde"/>
          <w:bCs/>
          <w:color w:val="000000"/>
          <w:sz w:val="22"/>
          <w:szCs w:val="22"/>
          <w:lang w:val="es-MX" w:eastAsia="es-MX"/>
        </w:rPr>
        <w:t>a</w:t>
      </w:r>
      <w:r w:rsidR="00E17CA9" w:rsidRPr="00D519C5">
        <w:rPr>
          <w:rFonts w:ascii="ITC Avant Garde" w:hAnsi="ITC Avant Garde"/>
          <w:bCs/>
          <w:color w:val="000000"/>
          <w:sz w:val="22"/>
          <w:szCs w:val="22"/>
          <w:lang w:val="es-MX" w:eastAsia="es-MX"/>
        </w:rPr>
        <w:t xml:space="preserve"> </w:t>
      </w:r>
      <w:r w:rsidR="00884464" w:rsidRPr="00D519C5">
        <w:rPr>
          <w:rFonts w:ascii="ITC Avant Garde" w:hAnsi="ITC Avant Garde"/>
          <w:bCs/>
          <w:color w:val="000000"/>
          <w:sz w:val="22"/>
          <w:szCs w:val="22"/>
          <w:lang w:val="es-MX" w:eastAsia="es-MX"/>
        </w:rPr>
        <w:t>contraprestación</w:t>
      </w:r>
      <w:r w:rsidR="00E17CA9" w:rsidRPr="00D519C5">
        <w:rPr>
          <w:rFonts w:ascii="ITC Avant Garde" w:hAnsi="ITC Avant Garde"/>
          <w:bCs/>
          <w:color w:val="000000"/>
          <w:sz w:val="22"/>
          <w:szCs w:val="22"/>
          <w:lang w:val="es-MX" w:eastAsia="es-MX"/>
        </w:rPr>
        <w:t xml:space="preserve"> que deber</w:t>
      </w:r>
      <w:r w:rsidR="00342301" w:rsidRPr="00D519C5">
        <w:rPr>
          <w:rFonts w:ascii="ITC Avant Garde" w:hAnsi="ITC Avant Garde"/>
          <w:bCs/>
          <w:color w:val="000000"/>
          <w:sz w:val="22"/>
          <w:szCs w:val="22"/>
          <w:lang w:val="es-MX" w:eastAsia="es-MX"/>
        </w:rPr>
        <w:t>ía</w:t>
      </w:r>
      <w:r w:rsidR="00E17CA9" w:rsidRPr="00D519C5">
        <w:rPr>
          <w:rFonts w:ascii="ITC Avant Garde" w:hAnsi="ITC Avant Garde"/>
          <w:bCs/>
          <w:color w:val="000000"/>
          <w:sz w:val="22"/>
          <w:szCs w:val="22"/>
          <w:lang w:val="es-MX" w:eastAsia="es-MX"/>
        </w:rPr>
        <w:t xml:space="preserve">n pagar </w:t>
      </w:r>
      <w:r w:rsidR="00E17CA9" w:rsidRPr="00D519C5">
        <w:rPr>
          <w:rFonts w:ascii="ITC Avant Garde" w:hAnsi="ITC Avant Garde"/>
          <w:bCs/>
          <w:color w:val="000000"/>
          <w:sz w:val="22"/>
          <w:szCs w:val="22"/>
          <w:lang w:eastAsia="es-MX"/>
        </w:rPr>
        <w:t>diversas empresas ferroviarias</w:t>
      </w:r>
      <w:r w:rsidR="00C97B80" w:rsidRPr="00D519C5">
        <w:rPr>
          <w:rFonts w:ascii="ITC Avant Garde" w:hAnsi="ITC Avant Garde"/>
          <w:bCs/>
          <w:color w:val="000000"/>
          <w:sz w:val="22"/>
          <w:szCs w:val="22"/>
          <w:lang w:eastAsia="es-MX"/>
        </w:rPr>
        <w:t xml:space="preserve">, entre ellas </w:t>
      </w:r>
      <w:r w:rsidR="00F555ED">
        <w:rPr>
          <w:rFonts w:ascii="ITC Avant Garde" w:hAnsi="ITC Avant Garde"/>
          <w:bCs/>
          <w:color w:val="000000"/>
          <w:sz w:val="22"/>
          <w:szCs w:val="22"/>
          <w:lang w:eastAsia="es-MX"/>
        </w:rPr>
        <w:t>Ferrosur</w:t>
      </w:r>
      <w:r w:rsidR="00E17CA9" w:rsidRPr="00D519C5">
        <w:rPr>
          <w:rFonts w:ascii="ITC Avant Garde" w:hAnsi="ITC Avant Garde"/>
          <w:bCs/>
          <w:color w:val="000000"/>
          <w:sz w:val="22"/>
          <w:szCs w:val="22"/>
          <w:lang w:eastAsia="es-MX"/>
        </w:rPr>
        <w:t xml:space="preserve"> por la asignación de bandas de frecuencias destinadas para uso oficial</w:t>
      </w:r>
      <w:r w:rsidR="003F31B5">
        <w:rPr>
          <w:rFonts w:ascii="ITC Avant Garde" w:hAnsi="ITC Avant Garde"/>
          <w:bCs/>
          <w:color w:val="000000"/>
          <w:sz w:val="22"/>
          <w:szCs w:val="22"/>
          <w:lang w:eastAsia="es-MX"/>
        </w:rPr>
        <w:t>.</w:t>
      </w:r>
    </w:p>
    <w:p w14:paraId="5EEF2966" w14:textId="77777777" w:rsidR="002D7BBD" w:rsidRDefault="003F31B5" w:rsidP="002D7BBD">
      <w:pPr>
        <w:spacing w:before="240" w:after="240"/>
        <w:ind w:left="567"/>
        <w:jc w:val="both"/>
        <w:rPr>
          <w:rFonts w:ascii="ITC Avant Garde" w:hAnsi="ITC Avant Garde"/>
          <w:bCs/>
          <w:color w:val="000000"/>
          <w:sz w:val="22"/>
          <w:szCs w:val="22"/>
          <w:lang w:val="es-MX" w:eastAsia="es-MX"/>
        </w:rPr>
      </w:pPr>
      <w:r>
        <w:rPr>
          <w:rFonts w:ascii="ITC Avant Garde" w:hAnsi="ITC Avant Garde"/>
          <w:bCs/>
          <w:color w:val="000000"/>
          <w:sz w:val="22"/>
          <w:szCs w:val="22"/>
          <w:lang w:eastAsia="es-MX"/>
        </w:rPr>
        <w:t>E</w:t>
      </w:r>
      <w:r w:rsidR="00884464" w:rsidRPr="00D519C5">
        <w:rPr>
          <w:rFonts w:ascii="ITC Avant Garde" w:hAnsi="ITC Avant Garde"/>
          <w:bCs/>
          <w:color w:val="000000"/>
          <w:sz w:val="22"/>
          <w:szCs w:val="22"/>
          <w:lang w:eastAsia="es-MX"/>
        </w:rPr>
        <w:t>n respuesta a lo anterior</w:t>
      </w:r>
      <w:r w:rsidR="00484F18" w:rsidRPr="00D519C5">
        <w:rPr>
          <w:rFonts w:ascii="ITC Avant Garde" w:hAnsi="ITC Avant Garde"/>
          <w:bCs/>
          <w:color w:val="000000"/>
          <w:sz w:val="22"/>
          <w:szCs w:val="22"/>
          <w:lang w:eastAsia="es-MX"/>
        </w:rPr>
        <w:t>,</w:t>
      </w:r>
      <w:r w:rsidR="00884464" w:rsidRPr="00D519C5">
        <w:rPr>
          <w:rFonts w:ascii="ITC Avant Garde" w:hAnsi="ITC Avant Garde"/>
          <w:bCs/>
          <w:color w:val="000000"/>
          <w:sz w:val="22"/>
          <w:szCs w:val="22"/>
          <w:lang w:eastAsia="es-MX"/>
        </w:rPr>
        <w:t xml:space="preserve"> con oficio </w:t>
      </w:r>
      <w:r w:rsidR="00A9637C">
        <w:rPr>
          <w:rFonts w:ascii="ITC Avant Garde" w:hAnsi="ITC Avant Garde"/>
          <w:bCs/>
          <w:color w:val="000000"/>
          <w:sz w:val="22"/>
          <w:szCs w:val="22"/>
          <w:lang w:eastAsia="es-MX"/>
        </w:rPr>
        <w:t xml:space="preserve">IFT/222/UER/135/2015 de fecha 26 de mayo de 2015 la Unidad de Espectro Radioeléctrico notificó a la Unidad de Concesiones y Servicios el oficio </w:t>
      </w:r>
      <w:r w:rsidR="00884464" w:rsidRPr="00D519C5">
        <w:rPr>
          <w:rFonts w:ascii="ITC Avant Garde" w:hAnsi="ITC Avant Garde"/>
          <w:bCs/>
          <w:color w:val="000000"/>
          <w:sz w:val="22"/>
          <w:szCs w:val="22"/>
          <w:lang w:eastAsia="es-MX"/>
        </w:rPr>
        <w:t>número 349-B-206</w:t>
      </w:r>
      <w:r w:rsidR="00484F18" w:rsidRPr="00D519C5">
        <w:rPr>
          <w:rFonts w:ascii="ITC Avant Garde" w:hAnsi="ITC Avant Garde"/>
          <w:bCs/>
          <w:color w:val="000000"/>
          <w:sz w:val="22"/>
          <w:szCs w:val="22"/>
          <w:lang w:eastAsia="es-MX"/>
        </w:rPr>
        <w:t xml:space="preserve"> de fecha 20 de mayo de 2015,</w:t>
      </w:r>
      <w:r w:rsidR="00884464" w:rsidRPr="00D519C5">
        <w:rPr>
          <w:rFonts w:ascii="ITC Avant Garde" w:hAnsi="ITC Avant Garde"/>
          <w:bCs/>
          <w:color w:val="000000"/>
          <w:sz w:val="22"/>
          <w:szCs w:val="22"/>
          <w:lang w:eastAsia="es-MX"/>
        </w:rPr>
        <w:t xml:space="preserve"> </w:t>
      </w:r>
      <w:r w:rsidR="00FC3F16">
        <w:rPr>
          <w:rFonts w:ascii="ITC Avant Garde" w:hAnsi="ITC Avant Garde"/>
          <w:bCs/>
          <w:color w:val="000000"/>
          <w:sz w:val="22"/>
          <w:szCs w:val="22"/>
          <w:lang w:eastAsia="es-MX"/>
        </w:rPr>
        <w:t xml:space="preserve">mediante el cual </w:t>
      </w:r>
      <w:r w:rsidR="00884464" w:rsidRPr="00D519C5">
        <w:rPr>
          <w:rFonts w:ascii="ITC Avant Garde" w:hAnsi="ITC Avant Garde"/>
          <w:bCs/>
          <w:color w:val="000000"/>
          <w:sz w:val="22"/>
          <w:szCs w:val="22"/>
          <w:lang w:eastAsia="es-MX"/>
        </w:rPr>
        <w:t xml:space="preserve">la </w:t>
      </w:r>
      <w:r w:rsidR="00884464" w:rsidRPr="00D519C5">
        <w:rPr>
          <w:rFonts w:ascii="ITC Avant Garde" w:hAnsi="ITC Avant Garde"/>
          <w:bCs/>
          <w:color w:val="000000"/>
          <w:sz w:val="22"/>
          <w:szCs w:val="22"/>
          <w:lang w:val="es-MX" w:eastAsia="es-MX"/>
        </w:rPr>
        <w:t>Unidad de Política de Ingresos No Tributarios</w:t>
      </w:r>
      <w:r w:rsidR="00FC3F16">
        <w:rPr>
          <w:rFonts w:ascii="ITC Avant Garde" w:hAnsi="ITC Avant Garde"/>
          <w:bCs/>
          <w:color w:val="000000"/>
          <w:sz w:val="22"/>
          <w:szCs w:val="22"/>
          <w:lang w:val="es-MX" w:eastAsia="es-MX"/>
        </w:rPr>
        <w:t xml:space="preserve"> de la SHCP</w:t>
      </w:r>
      <w:r w:rsidR="000A439B" w:rsidRPr="00D519C5">
        <w:rPr>
          <w:rFonts w:ascii="ITC Avant Garde" w:hAnsi="ITC Avant Garde"/>
          <w:bCs/>
          <w:color w:val="000000"/>
          <w:sz w:val="22"/>
          <w:szCs w:val="22"/>
          <w:lang w:val="es-MX" w:eastAsia="es-MX"/>
        </w:rPr>
        <w:t xml:space="preserve"> autorizó al Instituto</w:t>
      </w:r>
      <w:r w:rsidR="00884464" w:rsidRPr="00D519C5">
        <w:rPr>
          <w:rFonts w:ascii="ITC Avant Garde" w:hAnsi="ITC Avant Garde"/>
          <w:bCs/>
          <w:color w:val="000000"/>
          <w:sz w:val="22"/>
          <w:szCs w:val="22"/>
          <w:lang w:val="es-MX" w:eastAsia="es-MX"/>
        </w:rPr>
        <w:t xml:space="preserve"> el cobro de los aprovechamientos que deberían pagar las </w:t>
      </w:r>
      <w:r w:rsidR="00884464" w:rsidRPr="00D519C5">
        <w:rPr>
          <w:rFonts w:ascii="ITC Avant Garde" w:hAnsi="ITC Avant Garde"/>
          <w:bCs/>
          <w:color w:val="000000"/>
          <w:sz w:val="22"/>
          <w:szCs w:val="22"/>
          <w:lang w:val="es-MX" w:eastAsia="es-MX"/>
        </w:rPr>
        <w:lastRenderedPageBreak/>
        <w:t>empresas ferroviarias</w:t>
      </w:r>
      <w:r>
        <w:rPr>
          <w:rFonts w:ascii="ITC Avant Garde" w:hAnsi="ITC Avant Garde"/>
          <w:bCs/>
          <w:color w:val="000000"/>
          <w:sz w:val="22"/>
          <w:szCs w:val="22"/>
          <w:lang w:val="es-MX" w:eastAsia="es-MX"/>
        </w:rPr>
        <w:t>, entre ellas Ferrosur</w:t>
      </w:r>
      <w:r w:rsidR="00FC3F16">
        <w:rPr>
          <w:rFonts w:ascii="ITC Avant Garde" w:hAnsi="ITC Avant Garde"/>
          <w:bCs/>
          <w:color w:val="000000"/>
          <w:sz w:val="22"/>
          <w:szCs w:val="22"/>
          <w:lang w:val="es-MX" w:eastAsia="es-MX"/>
        </w:rPr>
        <w:t>,</w:t>
      </w:r>
      <w:r w:rsidR="00884464" w:rsidRPr="00D519C5">
        <w:rPr>
          <w:rFonts w:ascii="ITC Avant Garde" w:hAnsi="ITC Avant Garde"/>
          <w:bCs/>
          <w:color w:val="000000"/>
          <w:sz w:val="22"/>
          <w:szCs w:val="22"/>
          <w:lang w:val="es-MX" w:eastAsia="es-MX"/>
        </w:rPr>
        <w:t xml:space="preserve"> por concepto de la asignación de bandas de frecuencias destinadas para uso oficial.</w:t>
      </w:r>
    </w:p>
    <w:p w14:paraId="54BEBF82" w14:textId="77777777" w:rsidR="002D7BBD" w:rsidRDefault="00583A11" w:rsidP="002D7BBD">
      <w:pPr>
        <w:pStyle w:val="Prrafodelista"/>
        <w:numPr>
          <w:ilvl w:val="0"/>
          <w:numId w:val="21"/>
        </w:numPr>
        <w:spacing w:before="240" w:after="240"/>
        <w:ind w:left="567" w:hanging="567"/>
        <w:jc w:val="both"/>
        <w:rPr>
          <w:rFonts w:ascii="ITC Avant Garde" w:hAnsi="ITC Avant Garde"/>
          <w:bCs/>
          <w:color w:val="000000"/>
          <w:sz w:val="22"/>
          <w:szCs w:val="22"/>
          <w:lang w:val="es-MX" w:eastAsia="es-MX"/>
        </w:rPr>
      </w:pPr>
      <w:r w:rsidRPr="00B05377">
        <w:rPr>
          <w:rFonts w:ascii="ITC Avant Garde" w:hAnsi="ITC Avant Garde"/>
          <w:b/>
          <w:bCs/>
          <w:color w:val="000000"/>
          <w:sz w:val="22"/>
          <w:szCs w:val="22"/>
          <w:lang w:val="es-MX" w:eastAsia="es-MX"/>
        </w:rPr>
        <w:t xml:space="preserve">Información adicional. </w:t>
      </w:r>
      <w:r w:rsidR="00B05377" w:rsidRPr="0044508D">
        <w:rPr>
          <w:rFonts w:ascii="ITC Avant Garde" w:hAnsi="ITC Avant Garde"/>
          <w:bCs/>
          <w:color w:val="000000"/>
          <w:sz w:val="22"/>
          <w:szCs w:val="22"/>
          <w:lang w:val="es-MX" w:eastAsia="es-MX"/>
        </w:rPr>
        <w:t xml:space="preserve">Mediante escrito y anexos recibidos en el Instituto el </w:t>
      </w:r>
      <w:r w:rsidR="00B05377">
        <w:rPr>
          <w:rFonts w:ascii="ITC Avant Garde" w:hAnsi="ITC Avant Garde"/>
          <w:bCs/>
          <w:color w:val="000000"/>
          <w:sz w:val="22"/>
          <w:szCs w:val="22"/>
          <w:lang w:val="es-MX" w:eastAsia="es-MX"/>
        </w:rPr>
        <w:t>1</w:t>
      </w:r>
      <w:r w:rsidR="00B05377" w:rsidRPr="0044508D">
        <w:rPr>
          <w:rFonts w:ascii="ITC Avant Garde" w:hAnsi="ITC Avant Garde"/>
          <w:bCs/>
          <w:color w:val="000000"/>
          <w:sz w:val="22"/>
          <w:szCs w:val="22"/>
          <w:lang w:val="es-MX" w:eastAsia="es-MX"/>
        </w:rPr>
        <w:t>8 de ju</w:t>
      </w:r>
      <w:r w:rsidR="00B05377">
        <w:rPr>
          <w:rFonts w:ascii="ITC Avant Garde" w:hAnsi="ITC Avant Garde"/>
          <w:bCs/>
          <w:color w:val="000000"/>
          <w:sz w:val="22"/>
          <w:szCs w:val="22"/>
          <w:lang w:val="es-MX" w:eastAsia="es-MX"/>
        </w:rPr>
        <w:t>n</w:t>
      </w:r>
      <w:r w:rsidR="00B05377" w:rsidRPr="0044508D">
        <w:rPr>
          <w:rFonts w:ascii="ITC Avant Garde" w:hAnsi="ITC Avant Garde"/>
          <w:bCs/>
          <w:color w:val="000000"/>
          <w:sz w:val="22"/>
          <w:szCs w:val="22"/>
          <w:lang w:val="es-MX" w:eastAsia="es-MX"/>
        </w:rPr>
        <w:t>io de 2015, Ferro</w:t>
      </w:r>
      <w:r w:rsidR="00B05377">
        <w:rPr>
          <w:rFonts w:ascii="ITC Avant Garde" w:hAnsi="ITC Avant Garde"/>
          <w:bCs/>
          <w:color w:val="000000"/>
          <w:sz w:val="22"/>
          <w:szCs w:val="22"/>
          <w:lang w:val="es-MX" w:eastAsia="es-MX"/>
        </w:rPr>
        <w:t xml:space="preserve">sur </w:t>
      </w:r>
      <w:r w:rsidR="00B05377" w:rsidRPr="0044508D">
        <w:rPr>
          <w:rFonts w:ascii="ITC Avant Garde" w:hAnsi="ITC Avant Garde"/>
          <w:bCs/>
          <w:color w:val="000000"/>
          <w:sz w:val="22"/>
          <w:szCs w:val="22"/>
          <w:lang w:val="es-MX" w:eastAsia="es-MX"/>
        </w:rPr>
        <w:t xml:space="preserve">presentó información tendiente a solventar lo requerido por la Dirección General de </w:t>
      </w:r>
      <w:r w:rsidR="00B05377">
        <w:rPr>
          <w:rFonts w:ascii="ITC Avant Garde" w:hAnsi="ITC Avant Garde"/>
          <w:bCs/>
          <w:color w:val="000000"/>
          <w:sz w:val="22"/>
          <w:szCs w:val="22"/>
          <w:lang w:val="es-MX" w:eastAsia="es-MX"/>
        </w:rPr>
        <w:t>Ingeniería del Espectro en reuniones de trabajo</w:t>
      </w:r>
      <w:r w:rsidR="00B05377" w:rsidRPr="0044508D">
        <w:rPr>
          <w:rFonts w:ascii="ITC Avant Garde" w:hAnsi="ITC Avant Garde"/>
          <w:bCs/>
          <w:color w:val="000000"/>
          <w:sz w:val="22"/>
          <w:szCs w:val="22"/>
          <w:lang w:val="es-MX" w:eastAsia="es-MX"/>
        </w:rPr>
        <w:t>. Dicha información fue remitida a la Unidad de Espectro Radioeléctrico, mediante</w:t>
      </w:r>
      <w:r w:rsidR="00B05377" w:rsidRPr="001B321A">
        <w:rPr>
          <w:rFonts w:ascii="ITC Avant Garde" w:hAnsi="ITC Avant Garde"/>
          <w:bCs/>
          <w:color w:val="000000"/>
          <w:sz w:val="22"/>
          <w:szCs w:val="22"/>
          <w:lang w:val="es-MX" w:eastAsia="es-MX"/>
        </w:rPr>
        <w:t xml:space="preserve"> oficio IFT/223/UCS/DG-CTEL/1955</w:t>
      </w:r>
      <w:r w:rsidR="00B05377" w:rsidRPr="0044508D">
        <w:rPr>
          <w:rFonts w:ascii="ITC Avant Garde" w:hAnsi="ITC Avant Garde"/>
          <w:bCs/>
          <w:color w:val="000000"/>
          <w:sz w:val="22"/>
          <w:szCs w:val="22"/>
          <w:lang w:val="es-MX" w:eastAsia="es-MX"/>
        </w:rPr>
        <w:t xml:space="preserve">/2015 el </w:t>
      </w:r>
      <w:r w:rsidR="00B05377">
        <w:rPr>
          <w:rFonts w:ascii="ITC Avant Garde" w:hAnsi="ITC Avant Garde"/>
          <w:bCs/>
          <w:color w:val="000000"/>
          <w:sz w:val="22"/>
          <w:szCs w:val="22"/>
          <w:lang w:val="es-MX" w:eastAsia="es-MX"/>
        </w:rPr>
        <w:t>26</w:t>
      </w:r>
      <w:r w:rsidR="00B05377" w:rsidRPr="0044508D">
        <w:rPr>
          <w:rFonts w:ascii="ITC Avant Garde" w:hAnsi="ITC Avant Garde"/>
          <w:bCs/>
          <w:color w:val="000000"/>
          <w:sz w:val="22"/>
          <w:szCs w:val="22"/>
          <w:lang w:val="es-MX" w:eastAsia="es-MX"/>
        </w:rPr>
        <w:t xml:space="preserve"> de ju</w:t>
      </w:r>
      <w:r w:rsidR="00B05377">
        <w:rPr>
          <w:rFonts w:ascii="ITC Avant Garde" w:hAnsi="ITC Avant Garde"/>
          <w:bCs/>
          <w:color w:val="000000"/>
          <w:sz w:val="22"/>
          <w:szCs w:val="22"/>
          <w:lang w:val="es-MX" w:eastAsia="es-MX"/>
        </w:rPr>
        <w:t>n</w:t>
      </w:r>
      <w:r w:rsidR="00B05377" w:rsidRPr="0044508D">
        <w:rPr>
          <w:rFonts w:ascii="ITC Avant Garde" w:hAnsi="ITC Avant Garde"/>
          <w:bCs/>
          <w:color w:val="000000"/>
          <w:sz w:val="22"/>
          <w:szCs w:val="22"/>
          <w:lang w:val="es-MX" w:eastAsia="es-MX"/>
        </w:rPr>
        <w:t>io de 2015.</w:t>
      </w:r>
    </w:p>
    <w:p w14:paraId="080ABB70" w14:textId="18141037" w:rsidR="002D7BBD" w:rsidRDefault="00583A11" w:rsidP="002D7BBD">
      <w:pPr>
        <w:pStyle w:val="Prrafodelista"/>
        <w:numPr>
          <w:ilvl w:val="0"/>
          <w:numId w:val="21"/>
        </w:numPr>
        <w:spacing w:before="240" w:after="240"/>
        <w:ind w:left="567" w:hanging="567"/>
        <w:jc w:val="both"/>
        <w:rPr>
          <w:rFonts w:ascii="ITC Avant Garde" w:hAnsi="ITC Avant Garde"/>
          <w:bCs/>
          <w:color w:val="000000"/>
          <w:sz w:val="22"/>
          <w:szCs w:val="22"/>
          <w:lang w:val="es-MX" w:eastAsia="es-MX"/>
        </w:rPr>
      </w:pPr>
      <w:r w:rsidRPr="00D4214C">
        <w:rPr>
          <w:rFonts w:ascii="ITC Avant Garde" w:eastAsia="Calibri" w:hAnsi="ITC Avant Garde"/>
          <w:b/>
          <w:bCs/>
          <w:color w:val="000000"/>
          <w:sz w:val="22"/>
          <w:szCs w:val="22"/>
          <w:lang w:eastAsia="es-MX"/>
        </w:rPr>
        <w:t>Actualización del monto del aprovechamiento autorizado por la SHCP</w:t>
      </w:r>
      <w:r w:rsidRPr="00D4214C">
        <w:rPr>
          <w:rFonts w:ascii="ITC Avant Garde" w:hAnsi="ITC Avant Garde"/>
          <w:b/>
          <w:bCs/>
          <w:color w:val="000000"/>
          <w:sz w:val="22"/>
          <w:szCs w:val="22"/>
          <w:lang w:val="es-MX" w:eastAsia="es-MX"/>
        </w:rPr>
        <w:t xml:space="preserve">. </w:t>
      </w:r>
      <w:r w:rsidRPr="00D4214C">
        <w:rPr>
          <w:rFonts w:ascii="ITC Avant Garde" w:hAnsi="ITC Avant Garde"/>
          <w:bCs/>
          <w:color w:val="000000"/>
          <w:sz w:val="22"/>
          <w:szCs w:val="22"/>
          <w:lang w:eastAsia="es-MX"/>
        </w:rPr>
        <w:t xml:space="preserve">Con oficios </w:t>
      </w:r>
      <w:r w:rsidRPr="00D4214C">
        <w:rPr>
          <w:rFonts w:ascii="ITC Avant Garde" w:hAnsi="ITC Avant Garde"/>
          <w:bCs/>
          <w:color w:val="000000"/>
          <w:sz w:val="22"/>
          <w:szCs w:val="22"/>
          <w:lang w:val="es-MX" w:eastAsia="es-MX"/>
        </w:rPr>
        <w:t>IFT/222/UER/031/2016 de fecha 19 de febrero de 2016</w:t>
      </w:r>
      <w:r w:rsidR="00B05377" w:rsidRPr="00D4214C">
        <w:rPr>
          <w:rFonts w:ascii="ITC Avant Garde" w:hAnsi="ITC Avant Garde"/>
          <w:bCs/>
          <w:color w:val="000000"/>
          <w:sz w:val="22"/>
          <w:szCs w:val="22"/>
          <w:lang w:val="es-MX" w:eastAsia="es-MX"/>
        </w:rPr>
        <w:t>, IFT/222/UER/190/2016 de fecha 17 de marzo de 2016</w:t>
      </w:r>
      <w:r w:rsidRPr="00D4214C">
        <w:rPr>
          <w:rFonts w:ascii="ITC Avant Garde" w:hAnsi="ITC Avant Garde"/>
          <w:bCs/>
          <w:color w:val="000000"/>
          <w:sz w:val="22"/>
          <w:szCs w:val="22"/>
          <w:lang w:val="es-MX" w:eastAsia="es-MX"/>
        </w:rPr>
        <w:t xml:space="preserve"> e IFT/222/UER/235/2016 de fecha 25 de mayo del mismo año, la Unidad de Espectro Radioeléctrico en alcance al oficio IFT/222/UER/109/2015</w:t>
      </w:r>
      <w:r w:rsidR="00D4214C" w:rsidRPr="00D4214C">
        <w:rPr>
          <w:rFonts w:ascii="ITC Avant Garde" w:hAnsi="ITC Avant Garde"/>
          <w:bCs/>
          <w:color w:val="000000"/>
          <w:sz w:val="22"/>
          <w:szCs w:val="22"/>
          <w:lang w:val="es-MX" w:eastAsia="es-MX"/>
        </w:rPr>
        <w:t xml:space="preserve"> señalado en el Antecedente XIII de la presente Resolución</w:t>
      </w:r>
      <w:r w:rsidRPr="00D4214C">
        <w:rPr>
          <w:rFonts w:ascii="ITC Avant Garde" w:hAnsi="ITC Avant Garde"/>
          <w:bCs/>
          <w:color w:val="000000"/>
          <w:sz w:val="22"/>
          <w:szCs w:val="22"/>
          <w:lang w:val="es-MX" w:eastAsia="es-MX"/>
        </w:rPr>
        <w:t>, solicitó nuevamente a la Unidad de Política de Ingresos No Tributarios</w:t>
      </w:r>
      <w:r w:rsidR="00D4214C" w:rsidRPr="00D4214C">
        <w:rPr>
          <w:rFonts w:ascii="ITC Avant Garde" w:hAnsi="ITC Avant Garde"/>
          <w:bCs/>
          <w:color w:val="000000"/>
          <w:sz w:val="22"/>
          <w:szCs w:val="22"/>
          <w:lang w:val="es-MX" w:eastAsia="es-MX"/>
        </w:rPr>
        <w:t xml:space="preserve"> de la SHCP</w:t>
      </w:r>
      <w:r w:rsidRPr="00D4214C">
        <w:rPr>
          <w:rFonts w:ascii="ITC Avant Garde" w:hAnsi="ITC Avant Garde"/>
          <w:bCs/>
          <w:color w:val="000000"/>
          <w:sz w:val="22"/>
          <w:szCs w:val="22"/>
          <w:lang w:val="es-MX" w:eastAsia="es-MX"/>
        </w:rPr>
        <w:t xml:space="preserve"> la autorización </w:t>
      </w:r>
      <w:r w:rsidR="00D4214C" w:rsidRPr="00D4214C">
        <w:rPr>
          <w:rFonts w:ascii="ITC Avant Garde" w:hAnsi="ITC Avant Garde"/>
          <w:bCs/>
          <w:color w:val="000000"/>
          <w:sz w:val="22"/>
          <w:szCs w:val="22"/>
          <w:lang w:val="es-MX" w:eastAsia="es-MX"/>
        </w:rPr>
        <w:t>de</w:t>
      </w:r>
      <w:r w:rsidRPr="00D4214C">
        <w:rPr>
          <w:rFonts w:ascii="ITC Avant Garde" w:hAnsi="ITC Avant Garde"/>
          <w:bCs/>
          <w:color w:val="000000"/>
          <w:sz w:val="22"/>
          <w:szCs w:val="22"/>
          <w:lang w:val="es-MX" w:eastAsia="es-MX"/>
        </w:rPr>
        <w:t xml:space="preserve"> los montos a pagar </w:t>
      </w:r>
      <w:r w:rsidR="00D4214C" w:rsidRPr="00D4214C">
        <w:rPr>
          <w:rFonts w:ascii="ITC Avant Garde" w:hAnsi="ITC Avant Garde"/>
          <w:bCs/>
          <w:color w:val="000000"/>
          <w:sz w:val="22"/>
          <w:szCs w:val="22"/>
          <w:lang w:val="es-MX" w:eastAsia="es-MX"/>
        </w:rPr>
        <w:t xml:space="preserve">por diversas empresas ferroviarias, </w:t>
      </w:r>
      <w:r w:rsidRPr="00D4214C">
        <w:rPr>
          <w:rFonts w:ascii="ITC Avant Garde" w:hAnsi="ITC Avant Garde"/>
          <w:bCs/>
          <w:color w:val="000000"/>
          <w:sz w:val="22"/>
          <w:szCs w:val="22"/>
          <w:lang w:val="es-MX" w:eastAsia="es-MX"/>
        </w:rPr>
        <w:t>por concepto de contraprestación</w:t>
      </w:r>
      <w:r w:rsidR="00D4214C" w:rsidRPr="00D4214C">
        <w:rPr>
          <w:rFonts w:ascii="ITC Avant Garde" w:hAnsi="ITC Avant Garde"/>
          <w:bCs/>
          <w:color w:val="000000"/>
          <w:sz w:val="22"/>
          <w:szCs w:val="22"/>
          <w:lang w:val="es-MX" w:eastAsia="es-MX"/>
        </w:rPr>
        <w:t xml:space="preserve">, entre las que encontraba Ferrosur. Lo anterior, debido a que la Dirección General de Planeación del Espectro del Instituto había determinado, entre otros aspectos y </w:t>
      </w:r>
      <w:r w:rsidR="00D4214C">
        <w:rPr>
          <w:rFonts w:ascii="ITC Avant Garde" w:hAnsi="ITC Avant Garde"/>
          <w:bCs/>
          <w:color w:val="000000"/>
          <w:sz w:val="22"/>
          <w:szCs w:val="22"/>
          <w:lang w:val="es-MX" w:eastAsia="es-MX"/>
        </w:rPr>
        <w:t>por lo que se refiere a Ferrosur</w:t>
      </w:r>
      <w:r w:rsidR="00D4214C" w:rsidRPr="00D4214C">
        <w:rPr>
          <w:rFonts w:ascii="ITC Avant Garde" w:hAnsi="ITC Avant Garde"/>
          <w:bCs/>
          <w:color w:val="000000"/>
          <w:sz w:val="22"/>
          <w:szCs w:val="22"/>
          <w:lang w:val="es-MX" w:eastAsia="es-MX"/>
        </w:rPr>
        <w:t xml:space="preserve">, nuevos periodos de vigencia a los segmentos de frecuencias solicitados por dicha empresa. </w:t>
      </w:r>
    </w:p>
    <w:p w14:paraId="20921195" w14:textId="77777777" w:rsidR="002D7BBD" w:rsidRDefault="00583A11" w:rsidP="002D7BBD">
      <w:pPr>
        <w:spacing w:before="240" w:after="240"/>
        <w:ind w:left="567"/>
        <w:jc w:val="both"/>
        <w:rPr>
          <w:rFonts w:ascii="ITC Avant Garde" w:hAnsi="ITC Avant Garde"/>
          <w:bCs/>
          <w:color w:val="000000"/>
          <w:sz w:val="22"/>
          <w:szCs w:val="22"/>
          <w:lang w:val="es-MX" w:eastAsia="es-MX"/>
        </w:rPr>
      </w:pPr>
      <w:r w:rsidRPr="00583A11">
        <w:rPr>
          <w:rFonts w:ascii="ITC Avant Garde" w:eastAsia="Calibri" w:hAnsi="ITC Avant Garde"/>
          <w:bCs/>
          <w:color w:val="000000"/>
          <w:sz w:val="22"/>
          <w:szCs w:val="22"/>
          <w:lang w:eastAsia="es-MX"/>
        </w:rPr>
        <w:t xml:space="preserve">Al respecto con oficio número 349-B-282 de fecha 4 de julio de 2016, </w:t>
      </w:r>
      <w:r w:rsidRPr="00583A11">
        <w:rPr>
          <w:rFonts w:ascii="ITC Avant Garde" w:hAnsi="ITC Avant Garde"/>
          <w:bCs/>
          <w:color w:val="000000"/>
          <w:sz w:val="22"/>
          <w:szCs w:val="22"/>
          <w:lang w:val="es-MX" w:eastAsia="es-MX"/>
        </w:rPr>
        <w:t xml:space="preserve">la Unidad de Política de Ingresos No Tributarios de la SHCP </w:t>
      </w:r>
      <w:r w:rsidRPr="00583A11">
        <w:rPr>
          <w:rFonts w:ascii="ITC Avant Garde" w:eastAsia="Calibri" w:hAnsi="ITC Avant Garde"/>
          <w:bCs/>
          <w:color w:val="000000"/>
          <w:sz w:val="22"/>
          <w:szCs w:val="22"/>
          <w:lang w:eastAsia="es-MX"/>
        </w:rPr>
        <w:t>autorizó el cobro de los aprovechamientos que deberán pagar diversas empresas ferroviarias por la asignación de bandas de frecuencias destinadas para uso oficial, entre las que se encuentra</w:t>
      </w:r>
      <w:r>
        <w:rPr>
          <w:rFonts w:ascii="ITC Avant Garde" w:eastAsia="Calibri" w:hAnsi="ITC Avant Garde"/>
          <w:bCs/>
          <w:color w:val="000000"/>
          <w:sz w:val="22"/>
          <w:szCs w:val="22"/>
          <w:lang w:eastAsia="es-MX"/>
        </w:rPr>
        <w:t xml:space="preserve"> </w:t>
      </w:r>
      <w:proofErr w:type="spellStart"/>
      <w:r>
        <w:rPr>
          <w:rFonts w:ascii="ITC Avant Garde" w:eastAsia="Calibri" w:hAnsi="ITC Avant Garde"/>
          <w:bCs/>
          <w:color w:val="000000"/>
          <w:sz w:val="22"/>
          <w:szCs w:val="22"/>
          <w:lang w:eastAsia="es-MX"/>
        </w:rPr>
        <w:t>Ferrosur</w:t>
      </w:r>
      <w:proofErr w:type="spellEnd"/>
      <w:r>
        <w:rPr>
          <w:rFonts w:ascii="ITC Avant Garde" w:eastAsia="Calibri" w:hAnsi="ITC Avant Garde"/>
          <w:bCs/>
          <w:color w:val="000000"/>
          <w:sz w:val="22"/>
          <w:szCs w:val="22"/>
          <w:lang w:eastAsia="es-MX"/>
        </w:rPr>
        <w:t>.</w:t>
      </w:r>
    </w:p>
    <w:p w14:paraId="44B072A0" w14:textId="77777777" w:rsidR="002D7BBD" w:rsidRDefault="00C14B47" w:rsidP="002D7BBD">
      <w:pPr>
        <w:numPr>
          <w:ilvl w:val="0"/>
          <w:numId w:val="21"/>
        </w:numPr>
        <w:spacing w:before="240" w:after="240"/>
        <w:ind w:left="567" w:hanging="567"/>
        <w:jc w:val="both"/>
        <w:rPr>
          <w:rFonts w:ascii="ITC Avant Garde" w:hAnsi="ITC Avant Garde"/>
          <w:bCs/>
          <w:color w:val="000000"/>
          <w:sz w:val="22"/>
          <w:szCs w:val="22"/>
          <w:lang w:val="es-MX" w:eastAsia="es-MX"/>
        </w:rPr>
      </w:pPr>
      <w:r w:rsidRPr="0065758B">
        <w:rPr>
          <w:rFonts w:ascii="ITC Avant Garde" w:hAnsi="ITC Avant Garde"/>
          <w:b/>
          <w:bCs/>
          <w:color w:val="000000"/>
          <w:sz w:val="22"/>
          <w:szCs w:val="22"/>
          <w:lang w:val="es-MX" w:eastAsia="es-MX"/>
        </w:rPr>
        <w:t>Opinión de la U</w:t>
      </w:r>
      <w:r w:rsidR="003C5972" w:rsidRPr="0065758B">
        <w:rPr>
          <w:rFonts w:ascii="ITC Avant Garde" w:hAnsi="ITC Avant Garde"/>
          <w:b/>
          <w:bCs/>
          <w:color w:val="000000"/>
          <w:sz w:val="22"/>
          <w:szCs w:val="22"/>
          <w:lang w:val="es-MX" w:eastAsia="es-MX"/>
        </w:rPr>
        <w:t xml:space="preserve">nidad de </w:t>
      </w:r>
      <w:r w:rsidRPr="0065758B">
        <w:rPr>
          <w:rFonts w:ascii="ITC Avant Garde" w:hAnsi="ITC Avant Garde"/>
          <w:b/>
          <w:bCs/>
          <w:color w:val="000000"/>
          <w:sz w:val="22"/>
          <w:szCs w:val="22"/>
          <w:lang w:val="es-MX" w:eastAsia="es-MX"/>
        </w:rPr>
        <w:t>E</w:t>
      </w:r>
      <w:r w:rsidR="003C5972" w:rsidRPr="0065758B">
        <w:rPr>
          <w:rFonts w:ascii="ITC Avant Garde" w:hAnsi="ITC Avant Garde"/>
          <w:b/>
          <w:bCs/>
          <w:color w:val="000000"/>
          <w:sz w:val="22"/>
          <w:szCs w:val="22"/>
          <w:lang w:val="es-MX" w:eastAsia="es-MX"/>
        </w:rPr>
        <w:t xml:space="preserve">spectro </w:t>
      </w:r>
      <w:r w:rsidRPr="0065758B">
        <w:rPr>
          <w:rFonts w:ascii="ITC Avant Garde" w:hAnsi="ITC Avant Garde"/>
          <w:b/>
          <w:bCs/>
          <w:color w:val="000000"/>
          <w:sz w:val="22"/>
          <w:szCs w:val="22"/>
          <w:lang w:val="es-MX" w:eastAsia="es-MX"/>
        </w:rPr>
        <w:t>R</w:t>
      </w:r>
      <w:r w:rsidR="003C5972" w:rsidRPr="0065758B">
        <w:rPr>
          <w:rFonts w:ascii="ITC Avant Garde" w:hAnsi="ITC Avant Garde"/>
          <w:b/>
          <w:bCs/>
          <w:color w:val="000000"/>
          <w:sz w:val="22"/>
          <w:szCs w:val="22"/>
          <w:lang w:val="es-MX" w:eastAsia="es-MX"/>
        </w:rPr>
        <w:t>adioeléctrico</w:t>
      </w:r>
      <w:r w:rsidRPr="0065758B">
        <w:rPr>
          <w:rFonts w:ascii="ITC Avant Garde" w:hAnsi="ITC Avant Garde"/>
          <w:bCs/>
          <w:color w:val="000000"/>
          <w:sz w:val="22"/>
          <w:szCs w:val="22"/>
          <w:lang w:val="es-MX" w:eastAsia="es-MX"/>
        </w:rPr>
        <w:t>.</w:t>
      </w:r>
      <w:r w:rsidR="00583A11" w:rsidRPr="0065758B">
        <w:rPr>
          <w:rFonts w:ascii="ITC Avant Garde" w:hAnsi="ITC Avant Garde"/>
          <w:bCs/>
          <w:color w:val="000000"/>
          <w:sz w:val="22"/>
          <w:szCs w:val="22"/>
          <w:lang w:val="es-MX" w:eastAsia="es-MX"/>
        </w:rPr>
        <w:t xml:space="preserve"> </w:t>
      </w:r>
      <w:r w:rsidR="0065758B" w:rsidRPr="0065758B">
        <w:rPr>
          <w:rFonts w:ascii="ITC Avant Garde" w:hAnsi="ITC Avant Garde"/>
          <w:bCs/>
          <w:color w:val="000000"/>
          <w:sz w:val="22"/>
          <w:szCs w:val="22"/>
          <w:lang w:val="es-MX" w:eastAsia="es-MX"/>
        </w:rPr>
        <w:t>Con oficio IFT/222/UER/DGPE/028/2016 notificado el 8 de julio de 2016, a la Unidad de Concesiones y Servicios, la Unidad de Espectro Radioeléctrico, a través de la Dirección General de Planeación del Espectro emitió los dictámenes correspondientes a la Solicitud.</w:t>
      </w:r>
    </w:p>
    <w:p w14:paraId="2D5078A8" w14:textId="77777777" w:rsidR="002D7BBD" w:rsidRDefault="00AA28E4" w:rsidP="002D7BBD">
      <w:pPr>
        <w:spacing w:before="240" w:after="240"/>
        <w:jc w:val="both"/>
        <w:rPr>
          <w:rFonts w:ascii="ITC Avant Garde" w:hAnsi="ITC Avant Garde"/>
          <w:bCs/>
          <w:color w:val="000000"/>
          <w:sz w:val="22"/>
          <w:szCs w:val="22"/>
          <w:lang w:val="es-MX" w:eastAsia="es-MX"/>
        </w:rPr>
      </w:pPr>
      <w:r w:rsidRPr="00D519C5">
        <w:rPr>
          <w:rFonts w:ascii="ITC Avant Garde" w:hAnsi="ITC Avant Garde"/>
          <w:bCs/>
          <w:color w:val="000000"/>
          <w:sz w:val="22"/>
          <w:szCs w:val="22"/>
          <w:lang w:val="es-MX" w:eastAsia="es-MX"/>
        </w:rPr>
        <w:t>En virtud de los Antecedentes referidos y,</w:t>
      </w:r>
    </w:p>
    <w:p w14:paraId="207AD044" w14:textId="77777777" w:rsidR="002D7BBD" w:rsidRPr="002D7BBD" w:rsidRDefault="00AA28E4" w:rsidP="002D7BBD">
      <w:pPr>
        <w:pStyle w:val="Ttulo2"/>
        <w:spacing w:before="240" w:after="240"/>
        <w:ind w:firstLine="0"/>
        <w:jc w:val="center"/>
        <w:rPr>
          <w:rFonts w:ascii="ITC Avant Garde" w:hAnsi="ITC Avant Garde"/>
          <w:sz w:val="22"/>
          <w:szCs w:val="22"/>
        </w:rPr>
      </w:pPr>
      <w:r w:rsidRPr="002D7BBD">
        <w:rPr>
          <w:rFonts w:ascii="ITC Avant Garde" w:hAnsi="ITC Avant Garde"/>
          <w:sz w:val="22"/>
          <w:szCs w:val="22"/>
        </w:rPr>
        <w:t>CONSIDERANDO</w:t>
      </w:r>
    </w:p>
    <w:p w14:paraId="25FEB23A" w14:textId="03319702" w:rsidR="002D7BBD" w:rsidRDefault="00AA28E4" w:rsidP="002D7BBD">
      <w:pPr>
        <w:autoSpaceDE w:val="0"/>
        <w:autoSpaceDN w:val="0"/>
        <w:adjustRightInd w:val="0"/>
        <w:spacing w:before="240" w:after="240"/>
        <w:jc w:val="both"/>
        <w:rPr>
          <w:rFonts w:ascii="ITC Avant Garde" w:hAnsi="ITC Avant Garde"/>
          <w:bCs/>
          <w:sz w:val="22"/>
          <w:szCs w:val="22"/>
        </w:rPr>
      </w:pPr>
      <w:r w:rsidRPr="00D519C5">
        <w:rPr>
          <w:rFonts w:ascii="ITC Avant Garde" w:hAnsi="ITC Avant Garde"/>
          <w:b/>
          <w:bCs/>
          <w:sz w:val="22"/>
          <w:szCs w:val="22"/>
        </w:rPr>
        <w:t>Primero.- Competencia.</w:t>
      </w:r>
      <w:r w:rsidRPr="00D519C5">
        <w:rPr>
          <w:rFonts w:ascii="ITC Avant Garde" w:hAnsi="ITC Avant Garde"/>
          <w:bCs/>
          <w:sz w:val="22"/>
          <w:szCs w:val="22"/>
        </w:rPr>
        <w:t xml:space="preserve"> Conforme lo dispone el artículo 28 párrafo</w:t>
      </w:r>
      <w:r w:rsidR="00A17510" w:rsidRPr="00D519C5">
        <w:rPr>
          <w:rFonts w:ascii="ITC Avant Garde" w:hAnsi="ITC Avant Garde"/>
          <w:bCs/>
          <w:sz w:val="22"/>
          <w:szCs w:val="22"/>
        </w:rPr>
        <w:t>s</w:t>
      </w:r>
      <w:r w:rsidRPr="00D519C5">
        <w:rPr>
          <w:rFonts w:ascii="ITC Avant Garde" w:hAnsi="ITC Avant Garde"/>
          <w:bCs/>
          <w:sz w:val="22"/>
          <w:szCs w:val="22"/>
        </w:rPr>
        <w:t xml:space="preserve"> décimo quinto</w:t>
      </w:r>
      <w:r w:rsidR="007314D0" w:rsidRPr="00D519C5">
        <w:rPr>
          <w:rFonts w:ascii="ITC Avant Garde" w:hAnsi="ITC Avant Garde"/>
          <w:bCs/>
          <w:sz w:val="22"/>
          <w:szCs w:val="22"/>
        </w:rPr>
        <w:t>,</w:t>
      </w:r>
      <w:r w:rsidR="00A17510" w:rsidRPr="00D519C5">
        <w:rPr>
          <w:rFonts w:ascii="ITC Avant Garde" w:hAnsi="ITC Avant Garde"/>
          <w:bCs/>
          <w:sz w:val="22"/>
          <w:szCs w:val="22"/>
        </w:rPr>
        <w:t xml:space="preserve"> </w:t>
      </w:r>
      <w:r w:rsidR="00354108" w:rsidRPr="00D519C5">
        <w:rPr>
          <w:rFonts w:ascii="ITC Avant Garde" w:hAnsi="ITC Avant Garde"/>
          <w:bCs/>
          <w:sz w:val="22"/>
          <w:szCs w:val="22"/>
        </w:rPr>
        <w:t>décimo sexto</w:t>
      </w:r>
      <w:r w:rsidR="007314D0" w:rsidRPr="00D519C5">
        <w:rPr>
          <w:rFonts w:ascii="ITC Avant Garde" w:hAnsi="ITC Avant Garde"/>
          <w:bCs/>
          <w:sz w:val="22"/>
          <w:szCs w:val="22"/>
        </w:rPr>
        <w:t xml:space="preserve"> y décimo séptimo</w:t>
      </w:r>
      <w:r w:rsidR="00A17510" w:rsidRPr="00D519C5">
        <w:rPr>
          <w:rFonts w:ascii="ITC Avant Garde" w:hAnsi="ITC Avant Garde"/>
          <w:bCs/>
          <w:sz w:val="22"/>
          <w:szCs w:val="22"/>
        </w:rPr>
        <w:t xml:space="preserve"> </w:t>
      </w:r>
      <w:r w:rsidRPr="00D519C5">
        <w:rPr>
          <w:rFonts w:ascii="ITC Avant Garde" w:hAnsi="ITC Avant Garde"/>
          <w:bCs/>
          <w:sz w:val="22"/>
          <w:szCs w:val="22"/>
        </w:rPr>
        <w:t>de la Constitución</w:t>
      </w:r>
      <w:r w:rsidR="0085760F" w:rsidRPr="00D519C5">
        <w:rPr>
          <w:rFonts w:ascii="ITC Avant Garde" w:hAnsi="ITC Avant Garde"/>
          <w:bCs/>
          <w:sz w:val="22"/>
          <w:szCs w:val="22"/>
        </w:rPr>
        <w:t xml:space="preserve"> Política de los Estados Unidos Mexicanos (la “Constitución</w:t>
      </w:r>
      <w:r w:rsidR="009706A4" w:rsidRPr="00D519C5">
        <w:rPr>
          <w:rFonts w:ascii="ITC Avant Garde" w:hAnsi="ITC Avant Garde"/>
          <w:bCs/>
          <w:sz w:val="22"/>
          <w:szCs w:val="22"/>
        </w:rPr>
        <w:t>”</w:t>
      </w:r>
      <w:r w:rsidR="0085760F" w:rsidRPr="00D519C5">
        <w:rPr>
          <w:rFonts w:ascii="ITC Avant Garde" w:hAnsi="ITC Avant Garde"/>
          <w:bCs/>
          <w:sz w:val="22"/>
          <w:szCs w:val="22"/>
        </w:rPr>
        <w:t>)</w:t>
      </w:r>
      <w:r w:rsidRPr="00D519C5">
        <w:rPr>
          <w:rFonts w:ascii="ITC Avant Garde" w:hAnsi="ITC Avant Garde"/>
          <w:bCs/>
          <w:sz w:val="22"/>
          <w:szCs w:val="22"/>
        </w:rPr>
        <w:t xml:space="preserve">, el Instituto es </w:t>
      </w:r>
      <w:r w:rsidR="004A3A5A" w:rsidRPr="00D519C5">
        <w:rPr>
          <w:rFonts w:ascii="ITC Avant Garde" w:hAnsi="ITC Avant Garde"/>
          <w:bCs/>
          <w:sz w:val="22"/>
          <w:szCs w:val="22"/>
        </w:rPr>
        <w:t>un</w:t>
      </w:r>
      <w:r w:rsidRPr="00D519C5">
        <w:rPr>
          <w:rFonts w:ascii="ITC Avant Garde" w:hAnsi="ITC Avant Garde"/>
          <w:bCs/>
          <w:sz w:val="22"/>
          <w:szCs w:val="22"/>
        </w:rPr>
        <w:t xml:space="preserve"> órgano autónomo, con personalidad jurídica y patrimonio propio, que tiene por objeto el desarrollo eficiente de la radiodifusión y las telecomunicaciones, conforme a lo dispuesto por la propia Constitución y en los términos que fijen las leyes, teniendo a su cargo la regulación, promoción y supervisión del uso, aprovechamiento y explotación del espectro </w:t>
      </w:r>
      <w:r w:rsidRPr="00D519C5">
        <w:rPr>
          <w:rFonts w:ascii="ITC Avant Garde" w:hAnsi="ITC Avant Garde"/>
          <w:bCs/>
          <w:sz w:val="22"/>
          <w:szCs w:val="22"/>
        </w:rPr>
        <w:lastRenderedPageBreak/>
        <w:t>radioeléctrico, las redes y la prestación de los servicios de radiodifusión y telecomunicaciones, así como del acceso a infraestructura activa, pasiva y otros insumos esenciales, garantizando lo establecido en los artículos 6o. y 7o. constitucionales.</w:t>
      </w:r>
      <w:r w:rsidR="00D01485" w:rsidRPr="00D519C5">
        <w:rPr>
          <w:rFonts w:ascii="ITC Avant Garde" w:hAnsi="ITC Avant Garde"/>
          <w:bCs/>
          <w:sz w:val="22"/>
          <w:szCs w:val="22"/>
        </w:rPr>
        <w:t xml:space="preserve"> De igual forma, corresponde al Instituto el otorgamiento de concesiones en materia de radiodifusión y telecomunicaciones. </w:t>
      </w:r>
    </w:p>
    <w:p w14:paraId="4F2DB3F9" w14:textId="77777777" w:rsidR="002D7BBD" w:rsidRDefault="005D686C" w:rsidP="002D7BBD">
      <w:pPr>
        <w:autoSpaceDE w:val="0"/>
        <w:autoSpaceDN w:val="0"/>
        <w:adjustRightInd w:val="0"/>
        <w:spacing w:before="240" w:after="240"/>
        <w:jc w:val="both"/>
        <w:rPr>
          <w:rFonts w:ascii="ITC Avant Garde" w:hAnsi="ITC Avant Garde"/>
          <w:bCs/>
          <w:sz w:val="22"/>
          <w:szCs w:val="22"/>
        </w:rPr>
      </w:pPr>
      <w:r w:rsidRPr="00D519C5">
        <w:rPr>
          <w:rFonts w:ascii="ITC Avant Garde" w:hAnsi="ITC Avant Garde"/>
          <w:bCs/>
          <w:sz w:val="22"/>
          <w:szCs w:val="22"/>
        </w:rPr>
        <w:t>Asimismo, el Instituto es la autoridad en la materia de competencia económica de los sectores de radiodifusión y telecomunicaciones, por lo que</w:t>
      </w:r>
      <w:r w:rsidR="00B33909" w:rsidRPr="00D519C5">
        <w:rPr>
          <w:rFonts w:ascii="ITC Avant Garde" w:hAnsi="ITC Avant Garde"/>
          <w:bCs/>
          <w:sz w:val="22"/>
          <w:szCs w:val="22"/>
        </w:rPr>
        <w:t>,</w:t>
      </w:r>
      <w:r w:rsidRPr="00D519C5">
        <w:rPr>
          <w:rFonts w:ascii="ITC Avant Garde" w:hAnsi="ITC Avant Garde"/>
          <w:bCs/>
          <w:sz w:val="22"/>
          <w:szCs w:val="22"/>
        </w:rPr>
        <w:t xml:space="preserve"> entre otros aspectos, regulará de forma asimétrica a los participantes en estos mercados con el objeto de eliminar eficazmente las barreras a la competencia y la libre co</w:t>
      </w:r>
      <w:r w:rsidR="004A3A5A" w:rsidRPr="00D519C5">
        <w:rPr>
          <w:rFonts w:ascii="ITC Avant Garde" w:hAnsi="ITC Avant Garde"/>
          <w:bCs/>
          <w:sz w:val="22"/>
          <w:szCs w:val="22"/>
        </w:rPr>
        <w:t>ncurrencia</w:t>
      </w:r>
      <w:r w:rsidR="00B33909" w:rsidRPr="00D519C5">
        <w:rPr>
          <w:rFonts w:ascii="ITC Avant Garde" w:hAnsi="ITC Avant Garde"/>
          <w:bCs/>
          <w:sz w:val="22"/>
          <w:szCs w:val="22"/>
        </w:rPr>
        <w:t>, e</w:t>
      </w:r>
      <w:r w:rsidRPr="00D519C5">
        <w:rPr>
          <w:rFonts w:ascii="ITC Avant Garde" w:hAnsi="ITC Avant Garde"/>
          <w:bCs/>
          <w:sz w:val="22"/>
          <w:szCs w:val="22"/>
        </w:rPr>
        <w:t xml:space="preserve"> impondrá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6567AD54" w14:textId="77777777" w:rsidR="002D7BBD" w:rsidRDefault="00695E06" w:rsidP="002D7BBD">
      <w:pPr>
        <w:autoSpaceDE w:val="0"/>
        <w:autoSpaceDN w:val="0"/>
        <w:adjustRightInd w:val="0"/>
        <w:spacing w:before="240" w:after="240"/>
        <w:jc w:val="both"/>
        <w:rPr>
          <w:rFonts w:ascii="ITC Avant Garde" w:hAnsi="ITC Avant Garde"/>
          <w:bCs/>
          <w:sz w:val="22"/>
          <w:szCs w:val="22"/>
        </w:rPr>
      </w:pPr>
      <w:r w:rsidRPr="00D519C5">
        <w:rPr>
          <w:rFonts w:ascii="ITC Avant Garde" w:hAnsi="ITC Avant Garde"/>
          <w:bCs/>
          <w:sz w:val="22"/>
          <w:szCs w:val="22"/>
        </w:rPr>
        <w:t>Ahora bien, corresponde al Pleno del Instituto, conforme a lo establecido por los artículos 15 fracción IV y 17 fracción I de la Ley Federal de Telecomunicaciones y Radiodifusión (la “Ley”), el otorgamiento de concesiones, así como resolver respecto de las prórrogas, modificación o terminación de las mismas.</w:t>
      </w:r>
    </w:p>
    <w:p w14:paraId="797652EE" w14:textId="77777777" w:rsidR="002D7BBD" w:rsidRDefault="00695E06" w:rsidP="002D7BBD">
      <w:pPr>
        <w:autoSpaceDE w:val="0"/>
        <w:autoSpaceDN w:val="0"/>
        <w:adjustRightInd w:val="0"/>
        <w:spacing w:before="240" w:after="240"/>
        <w:jc w:val="both"/>
        <w:rPr>
          <w:rFonts w:ascii="ITC Avant Garde" w:hAnsi="ITC Avant Garde"/>
          <w:bCs/>
          <w:sz w:val="22"/>
          <w:szCs w:val="22"/>
        </w:rPr>
      </w:pPr>
      <w:r w:rsidRPr="00D519C5">
        <w:rPr>
          <w:rFonts w:ascii="ITC Avant Garde" w:hAnsi="ITC Avant Garde"/>
          <w:bCs/>
          <w:sz w:val="22"/>
          <w:szCs w:val="22"/>
        </w:rPr>
        <w:t>Por su parte, además de las atribuciones indelegables establecidas por la Ley al Pleno del Instituto, el artículo 6 fracción I del Estatuto Orgánico establece como atribución de dicho órgano colegiado la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14:paraId="1A21BF49" w14:textId="77777777" w:rsidR="002D7BBD" w:rsidRDefault="00695E06" w:rsidP="002D7BBD">
      <w:pPr>
        <w:autoSpaceDE w:val="0"/>
        <w:autoSpaceDN w:val="0"/>
        <w:adjustRightInd w:val="0"/>
        <w:spacing w:before="240" w:after="240"/>
        <w:jc w:val="both"/>
        <w:rPr>
          <w:rFonts w:ascii="ITC Avant Garde" w:hAnsi="ITC Avant Garde"/>
          <w:bCs/>
          <w:sz w:val="22"/>
          <w:szCs w:val="22"/>
        </w:rPr>
      </w:pPr>
      <w:r w:rsidRPr="00D519C5">
        <w:rPr>
          <w:rFonts w:ascii="ITC Avant Garde" w:hAnsi="ITC Avant Garde"/>
          <w:bCs/>
          <w:sz w:val="22"/>
          <w:szCs w:val="22"/>
        </w:rPr>
        <w:t>Conforme a los artículos 32 y 33 fracción I del Estatuto Orgánico, corresponde a la Unidad de Concesiones y Servicios a través de la Dirección General de Concesiones de Telecomunicaciones, tramitar y evaluar las solicitudes para el otorgamiento de concesiones en materia de telecomunicaciones, con excepción de aquellas que deban otorgarse a través de un procedimiento de licitación pública, para someterlas a consideración del Pleno.</w:t>
      </w:r>
    </w:p>
    <w:p w14:paraId="35C3BFAB" w14:textId="77777777" w:rsidR="002D7BBD" w:rsidRDefault="00695E06" w:rsidP="002D7BBD">
      <w:pPr>
        <w:autoSpaceDE w:val="0"/>
        <w:autoSpaceDN w:val="0"/>
        <w:adjustRightInd w:val="0"/>
        <w:spacing w:before="240" w:after="240"/>
        <w:jc w:val="both"/>
        <w:rPr>
          <w:rFonts w:ascii="ITC Avant Garde" w:hAnsi="ITC Avant Garde"/>
          <w:bCs/>
          <w:sz w:val="22"/>
          <w:szCs w:val="22"/>
        </w:rPr>
      </w:pPr>
      <w:r w:rsidRPr="00D519C5">
        <w:rPr>
          <w:rFonts w:ascii="ITC Avant Garde" w:hAnsi="ITC Avant Garde"/>
          <w:bCs/>
          <w:sz w:val="22"/>
          <w:szCs w:val="22"/>
        </w:rPr>
        <w:t>En este orden de ideas, y considerando que el Instituto tiene a su cargo la regulación, promoción y supervisión de las telecomunicaciones, así como la facultad de otorgar concesiones en materia de telecomunicaciones y radiodifusión, el Pleno, como órgano máximo de gobierno y decisión del Instituto, se encuentra plenamente facultado para resolver la Solicitud.</w:t>
      </w:r>
    </w:p>
    <w:p w14:paraId="0F5DC32D" w14:textId="22947E73" w:rsidR="002D7BBD" w:rsidRDefault="006132C1" w:rsidP="002D7BBD">
      <w:pPr>
        <w:autoSpaceDE w:val="0"/>
        <w:autoSpaceDN w:val="0"/>
        <w:adjustRightInd w:val="0"/>
        <w:spacing w:before="240" w:after="240"/>
        <w:jc w:val="both"/>
        <w:rPr>
          <w:rFonts w:ascii="ITC Avant Garde" w:hAnsi="ITC Avant Garde"/>
          <w:bCs/>
          <w:color w:val="000000"/>
          <w:sz w:val="22"/>
          <w:szCs w:val="22"/>
          <w:lang w:val="es-MX" w:eastAsia="es-MX"/>
        </w:rPr>
      </w:pPr>
      <w:r w:rsidRPr="00D519C5">
        <w:rPr>
          <w:rFonts w:ascii="ITC Avant Garde" w:hAnsi="ITC Avant Garde"/>
          <w:b/>
          <w:bCs/>
          <w:color w:val="000000"/>
          <w:sz w:val="22"/>
          <w:szCs w:val="22"/>
          <w:lang w:val="es-MX" w:eastAsia="es-MX"/>
        </w:rPr>
        <w:t>Segundo</w:t>
      </w:r>
      <w:r w:rsidR="00AA28E4" w:rsidRPr="00D519C5">
        <w:rPr>
          <w:rFonts w:ascii="ITC Avant Garde" w:hAnsi="ITC Avant Garde"/>
          <w:b/>
          <w:bCs/>
          <w:color w:val="000000"/>
          <w:sz w:val="22"/>
          <w:szCs w:val="22"/>
          <w:lang w:val="es-MX" w:eastAsia="es-MX"/>
        </w:rPr>
        <w:t xml:space="preserve">.- </w:t>
      </w:r>
      <w:r w:rsidR="00D800FA" w:rsidRPr="00D519C5">
        <w:rPr>
          <w:rFonts w:ascii="ITC Avant Garde" w:hAnsi="ITC Avant Garde"/>
          <w:b/>
          <w:bCs/>
          <w:color w:val="000000"/>
          <w:sz w:val="22"/>
          <w:szCs w:val="22"/>
          <w:lang w:val="es-MX" w:eastAsia="es-MX"/>
        </w:rPr>
        <w:t xml:space="preserve">Marco legal </w:t>
      </w:r>
      <w:r w:rsidR="00B33909" w:rsidRPr="00D519C5">
        <w:rPr>
          <w:rFonts w:ascii="ITC Avant Garde" w:hAnsi="ITC Avant Garde"/>
          <w:b/>
          <w:bCs/>
          <w:color w:val="000000"/>
          <w:sz w:val="22"/>
          <w:szCs w:val="22"/>
          <w:lang w:val="es-MX" w:eastAsia="es-MX"/>
        </w:rPr>
        <w:t xml:space="preserve">aplicable </w:t>
      </w:r>
      <w:r w:rsidR="00695E06" w:rsidRPr="00D519C5">
        <w:rPr>
          <w:rFonts w:ascii="ITC Avant Garde" w:hAnsi="ITC Avant Garde"/>
          <w:b/>
          <w:bCs/>
          <w:color w:val="000000"/>
          <w:sz w:val="22"/>
          <w:szCs w:val="22"/>
          <w:lang w:val="es-MX" w:eastAsia="es-MX"/>
        </w:rPr>
        <w:t>a</w:t>
      </w:r>
      <w:r w:rsidR="00AA28E4" w:rsidRPr="00D519C5">
        <w:rPr>
          <w:rFonts w:ascii="ITC Avant Garde" w:hAnsi="ITC Avant Garde"/>
          <w:b/>
          <w:bCs/>
          <w:color w:val="000000"/>
          <w:sz w:val="22"/>
          <w:szCs w:val="22"/>
          <w:lang w:val="es-MX" w:eastAsia="es-MX"/>
        </w:rPr>
        <w:t xml:space="preserve"> la </w:t>
      </w:r>
      <w:r w:rsidR="00D63EEA" w:rsidRPr="00D519C5">
        <w:rPr>
          <w:rFonts w:ascii="ITC Avant Garde" w:hAnsi="ITC Avant Garde"/>
          <w:b/>
          <w:bCs/>
          <w:color w:val="000000"/>
          <w:sz w:val="22"/>
          <w:szCs w:val="22"/>
          <w:lang w:val="es-MX" w:eastAsia="es-MX"/>
        </w:rPr>
        <w:t>S</w:t>
      </w:r>
      <w:r w:rsidR="00AA28E4" w:rsidRPr="00D519C5">
        <w:rPr>
          <w:rFonts w:ascii="ITC Avant Garde" w:hAnsi="ITC Avant Garde"/>
          <w:b/>
          <w:bCs/>
          <w:color w:val="000000"/>
          <w:sz w:val="22"/>
          <w:szCs w:val="22"/>
          <w:lang w:val="es-MX" w:eastAsia="es-MX"/>
        </w:rPr>
        <w:t xml:space="preserve">olicitud. </w:t>
      </w:r>
      <w:r w:rsidR="00695E06" w:rsidRPr="00D519C5">
        <w:rPr>
          <w:rFonts w:ascii="ITC Avant Garde" w:hAnsi="ITC Avant Garde"/>
          <w:bCs/>
          <w:color w:val="000000"/>
          <w:sz w:val="22"/>
          <w:szCs w:val="22"/>
          <w:lang w:val="es-MX" w:eastAsia="es-MX"/>
        </w:rPr>
        <w:t>Tomando en cuenta qu</w:t>
      </w:r>
      <w:r w:rsidR="00836133" w:rsidRPr="00D519C5">
        <w:rPr>
          <w:rFonts w:ascii="ITC Avant Garde" w:hAnsi="ITC Avant Garde"/>
          <w:bCs/>
          <w:color w:val="000000"/>
          <w:sz w:val="22"/>
          <w:szCs w:val="22"/>
          <w:lang w:val="es-MX" w:eastAsia="es-MX"/>
        </w:rPr>
        <w:t>e la Solicitud se presentó el 23 de marzo de 2012 y 31 de agosto del mismo año</w:t>
      </w:r>
      <w:r w:rsidR="00695E06" w:rsidRPr="00D519C5">
        <w:rPr>
          <w:rFonts w:ascii="ITC Avant Garde" w:hAnsi="ITC Avant Garde"/>
          <w:bCs/>
          <w:color w:val="000000"/>
          <w:sz w:val="22"/>
          <w:szCs w:val="22"/>
          <w:lang w:val="es-MX" w:eastAsia="es-MX"/>
        </w:rPr>
        <w:t xml:space="preserve"> ante la Secretaría, le resulta aplicable lo dispuesto por el segundo párrafo del artículo Séptimo Transitorio del Decreto de Reforma Constitucional, mismo que en relación con el artículo Sexto </w:t>
      </w:r>
      <w:r w:rsidR="00695E06" w:rsidRPr="00D519C5">
        <w:rPr>
          <w:rFonts w:ascii="ITC Avant Garde" w:hAnsi="ITC Avant Garde"/>
          <w:bCs/>
          <w:color w:val="000000"/>
          <w:sz w:val="22"/>
          <w:szCs w:val="22"/>
          <w:lang w:val="es-MX" w:eastAsia="es-MX"/>
        </w:rPr>
        <w:lastRenderedPageBreak/>
        <w:t xml:space="preserve">Transitorio del Decreto de Ley, establece que los procedimientos iniciados con anterioridad a la integración del Instituto, como es el caso particular, continuarán su trámite ante dicho órgano en términos de la legislación aplicable al momento de su inicio. En ese sentido, </w:t>
      </w:r>
      <w:r w:rsidR="00395074">
        <w:rPr>
          <w:rFonts w:ascii="ITC Avant Garde" w:hAnsi="ITC Avant Garde"/>
          <w:bCs/>
          <w:color w:val="000000"/>
          <w:sz w:val="22"/>
          <w:szCs w:val="22"/>
          <w:lang w:val="es-MX" w:eastAsia="es-MX"/>
        </w:rPr>
        <w:t>la Solicitud</w:t>
      </w:r>
      <w:r w:rsidR="00695E06" w:rsidRPr="00D519C5">
        <w:rPr>
          <w:rFonts w:ascii="ITC Avant Garde" w:hAnsi="ITC Avant Garde"/>
          <w:bCs/>
          <w:color w:val="000000"/>
          <w:sz w:val="22"/>
          <w:szCs w:val="22"/>
          <w:lang w:val="es-MX" w:eastAsia="es-MX"/>
        </w:rPr>
        <w:t xml:space="preserve"> debe ser atendida desde el punto de vista procesal, a la luz del marco legal aplicable al momento en que se presentó, es decir, de conformidad con lo establecido en la entonces vigente Ley Federal de Telecomunicaciones (la “LFT”).</w:t>
      </w:r>
    </w:p>
    <w:p w14:paraId="18D16CC3" w14:textId="77777777" w:rsidR="002D7BBD" w:rsidRDefault="00395074" w:rsidP="002D7BBD">
      <w:pPr>
        <w:autoSpaceDE w:val="0"/>
        <w:autoSpaceDN w:val="0"/>
        <w:adjustRightInd w:val="0"/>
        <w:spacing w:before="240" w:after="240"/>
        <w:jc w:val="both"/>
        <w:rPr>
          <w:rFonts w:ascii="ITC Avant Garde" w:hAnsi="ITC Avant Garde"/>
          <w:bCs/>
          <w:color w:val="000000"/>
          <w:sz w:val="22"/>
          <w:szCs w:val="22"/>
          <w:lang w:val="es-MX" w:eastAsia="es-MX"/>
        </w:rPr>
      </w:pPr>
      <w:r w:rsidRPr="00D519C5">
        <w:rPr>
          <w:rFonts w:ascii="ITC Avant Garde" w:hAnsi="ITC Avant Garde"/>
          <w:bCs/>
          <w:color w:val="000000"/>
          <w:sz w:val="22"/>
          <w:szCs w:val="22"/>
          <w:lang w:val="es-MX" w:eastAsia="es-MX"/>
        </w:rPr>
        <w:t xml:space="preserve">Al respecto, el </w:t>
      </w:r>
      <w:r>
        <w:rPr>
          <w:rFonts w:ascii="ITC Avant Garde" w:hAnsi="ITC Avant Garde"/>
          <w:bCs/>
          <w:color w:val="000000"/>
          <w:sz w:val="22"/>
          <w:szCs w:val="22"/>
          <w:lang w:val="es-MX" w:eastAsia="es-MX"/>
        </w:rPr>
        <w:t xml:space="preserve">artículo 10 </w:t>
      </w:r>
      <w:proofErr w:type="gramStart"/>
      <w:r>
        <w:rPr>
          <w:rFonts w:ascii="ITC Avant Garde" w:hAnsi="ITC Avant Garde"/>
          <w:bCs/>
          <w:color w:val="000000"/>
          <w:sz w:val="22"/>
          <w:szCs w:val="22"/>
          <w:lang w:val="es-MX" w:eastAsia="es-MX"/>
        </w:rPr>
        <w:t>fracción</w:t>
      </w:r>
      <w:proofErr w:type="gramEnd"/>
      <w:r>
        <w:rPr>
          <w:rFonts w:ascii="ITC Avant Garde" w:hAnsi="ITC Avant Garde"/>
          <w:bCs/>
          <w:color w:val="000000"/>
          <w:sz w:val="22"/>
          <w:szCs w:val="22"/>
          <w:lang w:val="es-MX" w:eastAsia="es-MX"/>
        </w:rPr>
        <w:t xml:space="preserve"> III de la LFT estableció lo siguiente:</w:t>
      </w:r>
    </w:p>
    <w:p w14:paraId="150A8734" w14:textId="1B153CFD" w:rsidR="00395074" w:rsidRPr="008417D2" w:rsidRDefault="00395074" w:rsidP="002D7BBD">
      <w:pPr>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8417D2">
        <w:rPr>
          <w:rFonts w:ascii="ITC Avant Garde" w:hAnsi="ITC Avant Garde"/>
          <w:bCs/>
          <w:i/>
          <w:color w:val="000000"/>
          <w:sz w:val="18"/>
          <w:szCs w:val="18"/>
          <w:lang w:val="es-MX" w:eastAsia="es-MX"/>
        </w:rPr>
        <w:t>“</w:t>
      </w:r>
      <w:r w:rsidRPr="008417D2">
        <w:rPr>
          <w:rFonts w:ascii="ITC Avant Garde" w:hAnsi="ITC Avant Garde"/>
          <w:b/>
          <w:bCs/>
          <w:i/>
          <w:color w:val="000000"/>
          <w:sz w:val="18"/>
          <w:szCs w:val="18"/>
          <w:lang w:val="es-MX" w:eastAsia="es-MX"/>
        </w:rPr>
        <w:t>Artículo 10.</w:t>
      </w:r>
      <w:r w:rsidRPr="008417D2">
        <w:rPr>
          <w:rFonts w:ascii="ITC Avant Garde" w:hAnsi="ITC Avant Garde"/>
          <w:bCs/>
          <w:i/>
          <w:color w:val="000000"/>
          <w:sz w:val="18"/>
          <w:szCs w:val="18"/>
          <w:lang w:val="es-MX" w:eastAsia="es-MX"/>
        </w:rPr>
        <w:t xml:space="preserve"> El uso de las bandas de frecuencias del espectro radioeléctrico se clasificará de acuerdo con lo siguiente: </w:t>
      </w:r>
    </w:p>
    <w:p w14:paraId="5F4BFFAF" w14:textId="77777777" w:rsidR="002D7BBD" w:rsidRDefault="00395074" w:rsidP="002D7BBD">
      <w:pPr>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8417D2">
        <w:rPr>
          <w:rFonts w:ascii="ITC Avant Garde" w:hAnsi="ITC Avant Garde"/>
          <w:bCs/>
          <w:i/>
          <w:color w:val="000000"/>
          <w:sz w:val="18"/>
          <w:szCs w:val="18"/>
          <w:lang w:val="es-MX" w:eastAsia="es-MX"/>
        </w:rPr>
        <w:t>[…]</w:t>
      </w:r>
    </w:p>
    <w:p w14:paraId="74D80920" w14:textId="77777777" w:rsidR="002D7BBD" w:rsidRDefault="00395074" w:rsidP="002D7BBD">
      <w:pPr>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8417D2">
        <w:rPr>
          <w:rFonts w:ascii="ITC Avant Garde" w:hAnsi="ITC Avant Garde"/>
          <w:b/>
          <w:bCs/>
          <w:i/>
          <w:color w:val="000000"/>
          <w:sz w:val="18"/>
          <w:szCs w:val="18"/>
          <w:lang w:val="es-MX" w:eastAsia="es-MX"/>
        </w:rPr>
        <w:t>III.</w:t>
      </w:r>
      <w:r w:rsidRPr="008417D2">
        <w:rPr>
          <w:rFonts w:ascii="ITC Avant Garde" w:hAnsi="ITC Avant Garde"/>
          <w:bCs/>
          <w:i/>
          <w:color w:val="000000"/>
          <w:sz w:val="18"/>
          <w:szCs w:val="18"/>
          <w:lang w:val="es-MX" w:eastAsia="es-MX"/>
        </w:rPr>
        <w:t xml:space="preserve"> Espectro para uso oficial: Son aquellas bandas de frecuencia destinadas para el uso exclusivo de la administración pública federal, gobiernos estatales y municipales, organismos autónomos constitucionales y concesionarios de servicios públicos, en éste último caso, cuando sean necesarias para la operación y seguridad del servicio de que se trate, otorgadas mediante asignación directa. </w:t>
      </w:r>
    </w:p>
    <w:p w14:paraId="04FB957B" w14:textId="77777777" w:rsidR="002D7BBD" w:rsidRDefault="00395074" w:rsidP="002D7BBD">
      <w:pPr>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8417D2">
        <w:rPr>
          <w:rFonts w:ascii="ITC Avant Garde" w:hAnsi="ITC Avant Garde"/>
          <w:bCs/>
          <w:i/>
          <w:color w:val="000000"/>
          <w:sz w:val="18"/>
          <w:szCs w:val="18"/>
          <w:lang w:val="es-MX" w:eastAsia="es-MX"/>
        </w:rPr>
        <w:t xml:space="preserve">Los concesionarios de servicios públicos, previo a la asignación directa de las frecuencias destinadas para uso oficial, deberán haber acreditado ante la Secretaría, la necesidad de contar con el uso de dichas bandas de frecuencia, para la operación y seguridad del servicio que prestan y quedarán obligados a pagar por el uso de las bandas de frecuencia que se menciona en el párrafo que antecede, la contraprestación que fije la autoridad correspondiente y a no prestar comercialmente servicios de telecomunicaciones con el espectro para uso oficial que le sea asignado, no pudiendo compartirlo con terceros ya que será única y exclusivamente para la operación y seguridad del servicio público concesionado; </w:t>
      </w:r>
    </w:p>
    <w:p w14:paraId="680B15A4" w14:textId="77777777" w:rsidR="002D7BBD" w:rsidRDefault="00395074" w:rsidP="002D7BBD">
      <w:pPr>
        <w:autoSpaceDE w:val="0"/>
        <w:autoSpaceDN w:val="0"/>
        <w:adjustRightInd w:val="0"/>
        <w:spacing w:before="240" w:after="240"/>
        <w:ind w:left="567" w:right="709"/>
        <w:jc w:val="both"/>
        <w:rPr>
          <w:rFonts w:ascii="ITC Avant Garde" w:hAnsi="ITC Avant Garde"/>
          <w:bCs/>
          <w:color w:val="000000"/>
          <w:sz w:val="18"/>
          <w:szCs w:val="18"/>
          <w:lang w:val="es-MX" w:eastAsia="es-MX"/>
        </w:rPr>
      </w:pPr>
      <w:r w:rsidRPr="008417D2">
        <w:rPr>
          <w:rFonts w:ascii="ITC Avant Garde" w:hAnsi="ITC Avant Garde"/>
          <w:bCs/>
          <w:i/>
          <w:color w:val="000000"/>
          <w:sz w:val="18"/>
          <w:szCs w:val="18"/>
          <w:lang w:val="es-MX" w:eastAsia="es-MX"/>
        </w:rPr>
        <w:t>[…]”</w:t>
      </w:r>
      <w:r w:rsidRPr="008417D2">
        <w:rPr>
          <w:rFonts w:ascii="ITC Avant Garde" w:hAnsi="ITC Avant Garde"/>
          <w:bCs/>
          <w:color w:val="000000"/>
          <w:sz w:val="18"/>
          <w:szCs w:val="18"/>
          <w:lang w:val="es-MX" w:eastAsia="es-MX"/>
        </w:rPr>
        <w:t xml:space="preserve"> (sic)</w:t>
      </w:r>
    </w:p>
    <w:p w14:paraId="10C188EA" w14:textId="77777777" w:rsidR="002D7BBD" w:rsidRDefault="00395074" w:rsidP="002D7BBD">
      <w:pPr>
        <w:autoSpaceDE w:val="0"/>
        <w:autoSpaceDN w:val="0"/>
        <w:adjustRightInd w:val="0"/>
        <w:spacing w:before="240" w:after="240"/>
        <w:jc w:val="both"/>
        <w:rPr>
          <w:rFonts w:ascii="ITC Avant Garde" w:hAnsi="ITC Avant Garde"/>
          <w:sz w:val="22"/>
          <w:szCs w:val="22"/>
          <w:lang w:val="es-MX" w:eastAsia="es-MX"/>
        </w:rPr>
      </w:pPr>
      <w:r w:rsidRPr="00395074">
        <w:rPr>
          <w:rFonts w:ascii="ITC Avant Garde" w:hAnsi="ITC Avant Garde"/>
          <w:sz w:val="22"/>
          <w:szCs w:val="22"/>
          <w:lang w:val="es-MX" w:eastAsia="es-MX"/>
        </w:rPr>
        <w:t xml:space="preserve">En relación con lo señalado en el artículo 10 fracción III de la LFT, el “Decreto por el que se reforma la fracción III del artículo 10 de la Ley Federal de Telecomunicaciones”, publicado en el Diario Oficial de la Federación el 16 de enero de 2012 (el “Decreto de Reforma a la LFT”), estableció en su artículo Segundo Transitorio, entre otros aspectos, que la SHCP fijaría el monto de la contraprestación que los concesionarios de servicios públicos deberían pagar al Estado por la asignación del Espectro de Uso Oficial de conformidad con las leyes de la materia. </w:t>
      </w:r>
    </w:p>
    <w:p w14:paraId="17AA97A8" w14:textId="77777777" w:rsidR="002D7BBD" w:rsidRDefault="00985F7B" w:rsidP="002D7BBD">
      <w:pPr>
        <w:autoSpaceDE w:val="0"/>
        <w:autoSpaceDN w:val="0"/>
        <w:adjustRightInd w:val="0"/>
        <w:spacing w:before="240" w:after="240"/>
        <w:jc w:val="both"/>
        <w:rPr>
          <w:rFonts w:ascii="ITC Avant Garde" w:hAnsi="ITC Avant Garde"/>
          <w:bCs/>
          <w:color w:val="000000"/>
          <w:sz w:val="22"/>
          <w:szCs w:val="22"/>
          <w:lang w:val="es-MX" w:eastAsia="es-MX"/>
        </w:rPr>
      </w:pPr>
      <w:r w:rsidRPr="00D519C5">
        <w:rPr>
          <w:rFonts w:ascii="ITC Avant Garde" w:hAnsi="ITC Avant Garde"/>
          <w:bCs/>
          <w:color w:val="000000"/>
          <w:sz w:val="22"/>
          <w:szCs w:val="22"/>
          <w:lang w:val="es-MX" w:eastAsia="es-MX"/>
        </w:rPr>
        <w:t>De igual forma</w:t>
      </w:r>
      <w:r w:rsidR="00D25C0D" w:rsidRPr="00D519C5">
        <w:rPr>
          <w:rFonts w:ascii="ITC Avant Garde" w:hAnsi="ITC Avant Garde"/>
          <w:bCs/>
          <w:color w:val="000000"/>
          <w:sz w:val="22"/>
          <w:szCs w:val="22"/>
          <w:lang w:val="es-MX" w:eastAsia="es-MX"/>
        </w:rPr>
        <w:t>,</w:t>
      </w:r>
      <w:r w:rsidRPr="00D519C5">
        <w:rPr>
          <w:rFonts w:ascii="ITC Avant Garde" w:hAnsi="ITC Avant Garde"/>
          <w:bCs/>
          <w:color w:val="000000"/>
          <w:sz w:val="22"/>
          <w:szCs w:val="22"/>
          <w:lang w:val="es-MX" w:eastAsia="es-MX"/>
        </w:rPr>
        <w:t xml:space="preserve"> el artículo 22 de la LFT establec</w:t>
      </w:r>
      <w:r w:rsidR="0099541D" w:rsidRPr="00D519C5">
        <w:rPr>
          <w:rFonts w:ascii="ITC Avant Garde" w:hAnsi="ITC Avant Garde"/>
          <w:bCs/>
          <w:color w:val="000000"/>
          <w:sz w:val="22"/>
          <w:szCs w:val="22"/>
          <w:lang w:val="es-MX" w:eastAsia="es-MX"/>
        </w:rPr>
        <w:t>ía</w:t>
      </w:r>
      <w:r w:rsidRPr="00D519C5">
        <w:rPr>
          <w:rFonts w:ascii="ITC Avant Garde" w:hAnsi="ITC Avant Garde"/>
          <w:bCs/>
          <w:color w:val="000000"/>
          <w:sz w:val="22"/>
          <w:szCs w:val="22"/>
          <w:lang w:val="es-MX" w:eastAsia="es-MX"/>
        </w:rPr>
        <w:t xml:space="preserve"> que</w:t>
      </w:r>
      <w:r w:rsidR="00036921" w:rsidRPr="00D519C5">
        <w:rPr>
          <w:rFonts w:ascii="ITC Avant Garde" w:hAnsi="ITC Avant Garde"/>
          <w:bCs/>
          <w:color w:val="000000"/>
          <w:sz w:val="22"/>
          <w:szCs w:val="22"/>
          <w:lang w:val="es-MX" w:eastAsia="es-MX"/>
        </w:rPr>
        <w:t xml:space="preserve"> las asignaciones para el uso, aprovechamiento o explotación de bandas de frecuencia para uso oficial, ser</w:t>
      </w:r>
      <w:r w:rsidR="009E4618" w:rsidRPr="00D519C5">
        <w:rPr>
          <w:rFonts w:ascii="ITC Avant Garde" w:hAnsi="ITC Avant Garde"/>
          <w:bCs/>
          <w:color w:val="000000"/>
          <w:sz w:val="22"/>
          <w:szCs w:val="22"/>
          <w:lang w:val="es-MX" w:eastAsia="es-MX"/>
        </w:rPr>
        <w:t>ía</w:t>
      </w:r>
      <w:r w:rsidR="00036921" w:rsidRPr="00D519C5">
        <w:rPr>
          <w:rFonts w:ascii="ITC Avant Garde" w:hAnsi="ITC Avant Garde"/>
          <w:bCs/>
          <w:color w:val="000000"/>
          <w:sz w:val="22"/>
          <w:szCs w:val="22"/>
          <w:lang w:val="es-MX" w:eastAsia="es-MX"/>
        </w:rPr>
        <w:t>n intransferibles y estar</w:t>
      </w:r>
      <w:r w:rsidR="009E4618" w:rsidRPr="00D519C5">
        <w:rPr>
          <w:rFonts w:ascii="ITC Avant Garde" w:hAnsi="ITC Avant Garde"/>
          <w:bCs/>
          <w:color w:val="000000"/>
          <w:sz w:val="22"/>
          <w:szCs w:val="22"/>
          <w:lang w:val="es-MX" w:eastAsia="es-MX"/>
        </w:rPr>
        <w:t>ía</w:t>
      </w:r>
      <w:r w:rsidR="00036921" w:rsidRPr="00D519C5">
        <w:rPr>
          <w:rFonts w:ascii="ITC Avant Garde" w:hAnsi="ITC Avant Garde"/>
          <w:bCs/>
          <w:color w:val="000000"/>
          <w:sz w:val="22"/>
          <w:szCs w:val="22"/>
          <w:lang w:val="es-MX" w:eastAsia="es-MX"/>
        </w:rPr>
        <w:t xml:space="preserve">n sujetas a las disposiciones que en materia de concesiones </w:t>
      </w:r>
      <w:r w:rsidR="00C8194A" w:rsidRPr="00D519C5">
        <w:rPr>
          <w:rFonts w:ascii="ITC Avant Garde" w:hAnsi="ITC Avant Garde"/>
          <w:bCs/>
          <w:color w:val="000000"/>
          <w:sz w:val="22"/>
          <w:szCs w:val="22"/>
          <w:lang w:val="es-MX" w:eastAsia="es-MX"/>
        </w:rPr>
        <w:t>preveía</w:t>
      </w:r>
      <w:r w:rsidR="00036921" w:rsidRPr="00D519C5">
        <w:rPr>
          <w:rFonts w:ascii="ITC Avant Garde" w:hAnsi="ITC Avant Garde"/>
          <w:bCs/>
          <w:color w:val="000000"/>
          <w:sz w:val="22"/>
          <w:szCs w:val="22"/>
          <w:lang w:val="es-MX" w:eastAsia="es-MX"/>
        </w:rPr>
        <w:t xml:space="preserve"> </w:t>
      </w:r>
      <w:r w:rsidR="00A236D2" w:rsidRPr="00D519C5">
        <w:rPr>
          <w:rFonts w:ascii="ITC Avant Garde" w:hAnsi="ITC Avant Garde"/>
          <w:bCs/>
          <w:color w:val="000000"/>
          <w:sz w:val="22"/>
          <w:szCs w:val="22"/>
          <w:lang w:val="es-MX" w:eastAsia="es-MX"/>
        </w:rPr>
        <w:t>dicho ordenamiento,</w:t>
      </w:r>
      <w:r w:rsidR="00036921" w:rsidRPr="00D519C5">
        <w:rPr>
          <w:rFonts w:ascii="ITC Avant Garde" w:hAnsi="ITC Avant Garde"/>
          <w:bCs/>
          <w:color w:val="000000"/>
          <w:sz w:val="22"/>
          <w:szCs w:val="22"/>
          <w:lang w:val="es-MX" w:eastAsia="es-MX"/>
        </w:rPr>
        <w:t xml:space="preserve"> con excepción de las referentes al procedimiento de licitación pública.</w:t>
      </w:r>
    </w:p>
    <w:p w14:paraId="47D02D6A" w14:textId="77777777" w:rsidR="002D7BBD" w:rsidRDefault="001634D3" w:rsidP="002D7BBD">
      <w:pPr>
        <w:autoSpaceDE w:val="0"/>
        <w:autoSpaceDN w:val="0"/>
        <w:adjustRightInd w:val="0"/>
        <w:spacing w:before="240" w:after="240"/>
        <w:jc w:val="both"/>
        <w:rPr>
          <w:rFonts w:ascii="ITC Avant Garde" w:hAnsi="ITC Avant Garde"/>
          <w:bCs/>
          <w:color w:val="000000"/>
          <w:sz w:val="22"/>
          <w:szCs w:val="22"/>
          <w:lang w:val="es-MX" w:eastAsia="es-MX"/>
        </w:rPr>
      </w:pPr>
      <w:r w:rsidRPr="00D519C5">
        <w:rPr>
          <w:rFonts w:ascii="ITC Avant Garde" w:hAnsi="ITC Avant Garde"/>
          <w:bCs/>
          <w:color w:val="000000"/>
          <w:sz w:val="22"/>
          <w:szCs w:val="22"/>
          <w:lang w:val="es-MX" w:eastAsia="es-MX"/>
        </w:rPr>
        <w:t>En este sentido, el artículo 24 de la LFT señala</w:t>
      </w:r>
      <w:r w:rsidR="009E4618" w:rsidRPr="00D519C5">
        <w:rPr>
          <w:rFonts w:ascii="ITC Avant Garde" w:hAnsi="ITC Avant Garde"/>
          <w:bCs/>
          <w:color w:val="000000"/>
          <w:sz w:val="22"/>
          <w:szCs w:val="22"/>
          <w:lang w:val="es-MX" w:eastAsia="es-MX"/>
        </w:rPr>
        <w:t>ba</w:t>
      </w:r>
      <w:r w:rsidRPr="00D519C5">
        <w:rPr>
          <w:rFonts w:ascii="ITC Avant Garde" w:hAnsi="ITC Avant Garde"/>
          <w:bCs/>
          <w:color w:val="000000"/>
          <w:sz w:val="22"/>
          <w:szCs w:val="22"/>
          <w:lang w:val="es-MX" w:eastAsia="es-MX"/>
        </w:rPr>
        <w:t xml:space="preserve"> que los interesados en obtener una </w:t>
      </w:r>
      <w:r w:rsidR="00EC3966" w:rsidRPr="00D519C5">
        <w:rPr>
          <w:rFonts w:ascii="ITC Avant Garde" w:hAnsi="ITC Avant Garde"/>
          <w:bCs/>
          <w:color w:val="000000"/>
          <w:sz w:val="22"/>
          <w:szCs w:val="22"/>
          <w:lang w:val="es-MX" w:eastAsia="es-MX"/>
        </w:rPr>
        <w:t xml:space="preserve">asignación para el uso, aprovechamiento o explotación de bandas de frecuencia </w:t>
      </w:r>
      <w:r w:rsidR="00EC3966" w:rsidRPr="00D519C5">
        <w:rPr>
          <w:rFonts w:ascii="ITC Avant Garde" w:hAnsi="ITC Avant Garde"/>
          <w:bCs/>
          <w:color w:val="000000"/>
          <w:sz w:val="22"/>
          <w:szCs w:val="22"/>
          <w:lang w:val="es-MX" w:eastAsia="es-MX"/>
        </w:rPr>
        <w:lastRenderedPageBreak/>
        <w:t>para uso oficial</w:t>
      </w:r>
      <w:r w:rsidRPr="00D519C5">
        <w:rPr>
          <w:rFonts w:ascii="ITC Avant Garde" w:hAnsi="ITC Avant Garde"/>
          <w:bCs/>
          <w:color w:val="000000"/>
          <w:sz w:val="22"/>
          <w:szCs w:val="22"/>
          <w:lang w:val="es-MX" w:eastAsia="es-MX"/>
        </w:rPr>
        <w:t>, deber</w:t>
      </w:r>
      <w:r w:rsidR="009E4618" w:rsidRPr="00D519C5">
        <w:rPr>
          <w:rFonts w:ascii="ITC Avant Garde" w:hAnsi="ITC Avant Garde"/>
          <w:bCs/>
          <w:color w:val="000000"/>
          <w:sz w:val="22"/>
          <w:szCs w:val="22"/>
          <w:lang w:val="es-MX" w:eastAsia="es-MX"/>
        </w:rPr>
        <w:t>ía</w:t>
      </w:r>
      <w:r w:rsidRPr="00D519C5">
        <w:rPr>
          <w:rFonts w:ascii="ITC Avant Garde" w:hAnsi="ITC Avant Garde"/>
          <w:bCs/>
          <w:color w:val="000000"/>
          <w:sz w:val="22"/>
          <w:szCs w:val="22"/>
          <w:lang w:val="es-MX" w:eastAsia="es-MX"/>
        </w:rPr>
        <w:t xml:space="preserve">n presentar solicitud que </w:t>
      </w:r>
      <w:r w:rsidR="00C8194A" w:rsidRPr="00D519C5">
        <w:rPr>
          <w:rFonts w:ascii="ITC Avant Garde" w:hAnsi="ITC Avant Garde"/>
          <w:bCs/>
          <w:color w:val="000000"/>
          <w:sz w:val="22"/>
          <w:szCs w:val="22"/>
          <w:lang w:val="es-MX" w:eastAsia="es-MX"/>
        </w:rPr>
        <w:t>contuviera</w:t>
      </w:r>
      <w:r w:rsidRPr="00D519C5">
        <w:rPr>
          <w:rFonts w:ascii="ITC Avant Garde" w:hAnsi="ITC Avant Garde"/>
          <w:bCs/>
          <w:color w:val="000000"/>
          <w:sz w:val="22"/>
          <w:szCs w:val="22"/>
          <w:lang w:val="es-MX" w:eastAsia="es-MX"/>
        </w:rPr>
        <w:t xml:space="preserve"> como mínimo: i) nombre y domicilio del solicitante; ii) los servicios que desea prestar; iii) las especificaciones técnicas del proyecto; iv) los programas y compromisos de inversión, de cobertura y calidad de los servicios que se pretend</w:t>
      </w:r>
      <w:r w:rsidR="009E4618" w:rsidRPr="00D519C5">
        <w:rPr>
          <w:rFonts w:ascii="ITC Avant Garde" w:hAnsi="ITC Avant Garde"/>
          <w:bCs/>
          <w:color w:val="000000"/>
          <w:sz w:val="22"/>
          <w:szCs w:val="22"/>
          <w:lang w:val="es-MX" w:eastAsia="es-MX"/>
        </w:rPr>
        <w:t>ía</w:t>
      </w:r>
      <w:r w:rsidRPr="00D519C5">
        <w:rPr>
          <w:rFonts w:ascii="ITC Avant Garde" w:hAnsi="ITC Avant Garde"/>
          <w:bCs/>
          <w:color w:val="000000"/>
          <w:sz w:val="22"/>
          <w:szCs w:val="22"/>
          <w:lang w:val="es-MX" w:eastAsia="es-MX"/>
        </w:rPr>
        <w:t>n prestar; v) el plan de negocios, y vi) la documentación que acredit</w:t>
      </w:r>
      <w:r w:rsidR="009E4618" w:rsidRPr="00D519C5">
        <w:rPr>
          <w:rFonts w:ascii="ITC Avant Garde" w:hAnsi="ITC Avant Garde"/>
          <w:bCs/>
          <w:color w:val="000000"/>
          <w:sz w:val="22"/>
          <w:szCs w:val="22"/>
          <w:lang w:val="es-MX" w:eastAsia="es-MX"/>
        </w:rPr>
        <w:t>ara</w:t>
      </w:r>
      <w:r w:rsidRPr="00D519C5">
        <w:rPr>
          <w:rFonts w:ascii="ITC Avant Garde" w:hAnsi="ITC Avant Garde"/>
          <w:bCs/>
          <w:color w:val="000000"/>
          <w:sz w:val="22"/>
          <w:szCs w:val="22"/>
          <w:lang w:val="es-MX" w:eastAsia="es-MX"/>
        </w:rPr>
        <w:t xml:space="preserve"> su capacidad financiera, técnica, jurídica y administrativa</w:t>
      </w:r>
      <w:r w:rsidR="00036921" w:rsidRPr="00D519C5">
        <w:rPr>
          <w:rFonts w:ascii="ITC Avant Garde" w:hAnsi="ITC Avant Garde"/>
          <w:bCs/>
          <w:color w:val="000000"/>
          <w:sz w:val="22"/>
          <w:szCs w:val="22"/>
          <w:lang w:val="es-MX" w:eastAsia="es-MX"/>
        </w:rPr>
        <w:t>.</w:t>
      </w:r>
    </w:p>
    <w:p w14:paraId="5EDF8BD9" w14:textId="77777777" w:rsidR="002D7BBD" w:rsidRDefault="00F64036" w:rsidP="002D7BBD">
      <w:pPr>
        <w:autoSpaceDE w:val="0"/>
        <w:autoSpaceDN w:val="0"/>
        <w:adjustRightInd w:val="0"/>
        <w:spacing w:before="240" w:after="240"/>
        <w:jc w:val="both"/>
        <w:rPr>
          <w:rFonts w:ascii="ITC Avant Garde" w:hAnsi="ITC Avant Garde"/>
          <w:bCs/>
          <w:color w:val="000000"/>
          <w:sz w:val="22"/>
          <w:szCs w:val="22"/>
          <w:lang w:val="es-MX" w:eastAsia="es-MX"/>
        </w:rPr>
      </w:pPr>
      <w:r w:rsidRPr="00D519C5">
        <w:rPr>
          <w:rFonts w:ascii="ITC Avant Garde" w:hAnsi="ITC Avant Garde"/>
          <w:bCs/>
          <w:color w:val="000000"/>
          <w:sz w:val="22"/>
          <w:szCs w:val="22"/>
          <w:lang w:val="es-MX" w:eastAsia="es-MX"/>
        </w:rPr>
        <w:t>Por otra parte, s</w:t>
      </w:r>
      <w:r w:rsidR="00D323CF" w:rsidRPr="00D519C5">
        <w:rPr>
          <w:rFonts w:ascii="ITC Avant Garde" w:hAnsi="ITC Avant Garde"/>
          <w:bCs/>
          <w:color w:val="000000"/>
          <w:sz w:val="22"/>
          <w:szCs w:val="22"/>
          <w:lang w:val="es-MX" w:eastAsia="es-MX"/>
        </w:rPr>
        <w:t xml:space="preserve">i bien es cierto que </w:t>
      </w:r>
      <w:r w:rsidR="004F2F13" w:rsidRPr="00D519C5">
        <w:rPr>
          <w:rFonts w:ascii="ITC Avant Garde" w:hAnsi="ITC Avant Garde"/>
          <w:bCs/>
          <w:color w:val="000000"/>
          <w:sz w:val="22"/>
          <w:szCs w:val="22"/>
          <w:lang w:val="es-MX" w:eastAsia="es-MX"/>
        </w:rPr>
        <w:t>el análisis que debe realiz</w:t>
      </w:r>
      <w:r w:rsidR="00D63EEA" w:rsidRPr="00D519C5">
        <w:rPr>
          <w:rFonts w:ascii="ITC Avant Garde" w:hAnsi="ITC Avant Garde"/>
          <w:bCs/>
          <w:color w:val="000000"/>
          <w:sz w:val="22"/>
          <w:szCs w:val="22"/>
          <w:lang w:val="es-MX" w:eastAsia="es-MX"/>
        </w:rPr>
        <w:t>ar el Instituto respecto de la S</w:t>
      </w:r>
      <w:r w:rsidR="004F2F13" w:rsidRPr="00D519C5">
        <w:rPr>
          <w:rFonts w:ascii="ITC Avant Garde" w:hAnsi="ITC Avant Garde"/>
          <w:bCs/>
          <w:color w:val="000000"/>
          <w:sz w:val="22"/>
          <w:szCs w:val="22"/>
          <w:lang w:val="es-MX" w:eastAsia="es-MX"/>
        </w:rPr>
        <w:t xml:space="preserve">olicitud debe llevarse a cabo </w:t>
      </w:r>
      <w:r w:rsidR="00D323CF" w:rsidRPr="00D519C5">
        <w:rPr>
          <w:rFonts w:ascii="ITC Avant Garde" w:hAnsi="ITC Avant Garde"/>
          <w:bCs/>
          <w:color w:val="000000"/>
          <w:sz w:val="22"/>
          <w:szCs w:val="22"/>
          <w:lang w:val="es-MX" w:eastAsia="es-MX"/>
        </w:rPr>
        <w:t>en estricto apego a los términos y requisitos</w:t>
      </w:r>
      <w:r w:rsidR="004F2F13" w:rsidRPr="00D519C5">
        <w:rPr>
          <w:rFonts w:ascii="ITC Avant Garde" w:hAnsi="ITC Avant Garde"/>
          <w:bCs/>
          <w:color w:val="000000"/>
          <w:sz w:val="22"/>
          <w:szCs w:val="22"/>
          <w:lang w:val="es-MX" w:eastAsia="es-MX"/>
        </w:rPr>
        <w:t xml:space="preserve"> </w:t>
      </w:r>
      <w:r w:rsidR="00D323CF" w:rsidRPr="00D519C5">
        <w:rPr>
          <w:rFonts w:ascii="ITC Avant Garde" w:hAnsi="ITC Avant Garde"/>
          <w:bCs/>
          <w:color w:val="000000"/>
          <w:sz w:val="22"/>
          <w:szCs w:val="22"/>
          <w:lang w:val="es-MX" w:eastAsia="es-MX"/>
        </w:rPr>
        <w:t xml:space="preserve">previstos </w:t>
      </w:r>
      <w:r w:rsidR="004F2F13" w:rsidRPr="00D519C5">
        <w:rPr>
          <w:rFonts w:ascii="ITC Avant Garde" w:hAnsi="ITC Avant Garde"/>
          <w:bCs/>
          <w:color w:val="000000"/>
          <w:sz w:val="22"/>
          <w:szCs w:val="22"/>
          <w:lang w:val="es-MX" w:eastAsia="es-MX"/>
        </w:rPr>
        <w:t>por la LFT, disposición legal vigente al momento de iniciar el trámite</w:t>
      </w:r>
      <w:r w:rsidR="00D323CF" w:rsidRPr="00D519C5">
        <w:rPr>
          <w:rFonts w:ascii="ITC Avant Garde" w:hAnsi="ITC Avant Garde"/>
          <w:bCs/>
          <w:color w:val="000000"/>
          <w:sz w:val="22"/>
          <w:szCs w:val="22"/>
          <w:lang w:val="es-MX" w:eastAsia="es-MX"/>
        </w:rPr>
        <w:t xml:space="preserve"> de mérito</w:t>
      </w:r>
      <w:r w:rsidR="004F2F13" w:rsidRPr="00D519C5">
        <w:rPr>
          <w:rFonts w:ascii="ITC Avant Garde" w:hAnsi="ITC Avant Garde"/>
          <w:bCs/>
          <w:color w:val="000000"/>
          <w:sz w:val="22"/>
          <w:szCs w:val="22"/>
          <w:lang w:val="es-MX" w:eastAsia="es-MX"/>
        </w:rPr>
        <w:t xml:space="preserve">, </w:t>
      </w:r>
      <w:r w:rsidR="00D323CF" w:rsidRPr="00D519C5">
        <w:rPr>
          <w:rFonts w:ascii="ITC Avant Garde" w:hAnsi="ITC Avant Garde"/>
          <w:bCs/>
          <w:color w:val="000000"/>
          <w:sz w:val="22"/>
          <w:szCs w:val="22"/>
          <w:lang w:val="es-MX" w:eastAsia="es-MX"/>
        </w:rPr>
        <w:t>también lo es que el Instituto</w:t>
      </w:r>
      <w:r w:rsidR="00DD57FF" w:rsidRPr="00D519C5">
        <w:rPr>
          <w:rFonts w:ascii="ITC Avant Garde" w:hAnsi="ITC Avant Garde"/>
          <w:bCs/>
          <w:color w:val="000000"/>
          <w:sz w:val="22"/>
          <w:szCs w:val="22"/>
          <w:lang w:val="es-MX" w:eastAsia="es-MX"/>
        </w:rPr>
        <w:t>,</w:t>
      </w:r>
      <w:r w:rsidR="00D323CF" w:rsidRPr="00D519C5">
        <w:rPr>
          <w:rFonts w:ascii="ITC Avant Garde" w:hAnsi="ITC Avant Garde"/>
          <w:bCs/>
          <w:color w:val="000000"/>
          <w:sz w:val="22"/>
          <w:szCs w:val="22"/>
          <w:lang w:val="es-MX" w:eastAsia="es-MX"/>
        </w:rPr>
        <w:t xml:space="preserve"> al resolver en definitiva dicho </w:t>
      </w:r>
      <w:r w:rsidR="00E27CA6" w:rsidRPr="00D519C5">
        <w:rPr>
          <w:rFonts w:ascii="ITC Avant Garde" w:hAnsi="ITC Avant Garde"/>
          <w:bCs/>
          <w:color w:val="000000"/>
          <w:sz w:val="22"/>
          <w:szCs w:val="22"/>
          <w:lang w:val="es-MX" w:eastAsia="es-MX"/>
        </w:rPr>
        <w:t>trámite</w:t>
      </w:r>
      <w:r w:rsidR="00D323CF" w:rsidRPr="00D519C5">
        <w:rPr>
          <w:rFonts w:ascii="ITC Avant Garde" w:hAnsi="ITC Avant Garde"/>
          <w:bCs/>
          <w:color w:val="000000"/>
          <w:sz w:val="22"/>
          <w:szCs w:val="22"/>
          <w:lang w:val="es-MX" w:eastAsia="es-MX"/>
        </w:rPr>
        <w:t>, no puede otorgar alguna modalidad de concesión, que no se encuentre prevista en la Ley.</w:t>
      </w:r>
    </w:p>
    <w:p w14:paraId="74BE49E0" w14:textId="77777777" w:rsidR="002D7BBD" w:rsidRDefault="00627D03" w:rsidP="002D7BBD">
      <w:pPr>
        <w:autoSpaceDE w:val="0"/>
        <w:autoSpaceDN w:val="0"/>
        <w:adjustRightInd w:val="0"/>
        <w:spacing w:before="240" w:after="240"/>
        <w:jc w:val="both"/>
        <w:rPr>
          <w:rFonts w:ascii="ITC Avant Garde" w:hAnsi="ITC Avant Garde"/>
          <w:bCs/>
          <w:color w:val="000000"/>
          <w:sz w:val="22"/>
          <w:szCs w:val="22"/>
          <w:lang w:val="es-MX" w:eastAsia="es-MX"/>
        </w:rPr>
      </w:pPr>
      <w:r w:rsidRPr="00D519C5">
        <w:rPr>
          <w:rFonts w:ascii="ITC Avant Garde" w:hAnsi="ITC Avant Garde"/>
          <w:bCs/>
          <w:color w:val="000000"/>
          <w:sz w:val="22"/>
          <w:szCs w:val="22"/>
          <w:lang w:val="es-MX" w:eastAsia="es-MX"/>
        </w:rPr>
        <w:t>Es por ello, que de resolverse de ma</w:t>
      </w:r>
      <w:r w:rsidR="00D63EEA" w:rsidRPr="00D519C5">
        <w:rPr>
          <w:rFonts w:ascii="ITC Avant Garde" w:hAnsi="ITC Avant Garde"/>
          <w:bCs/>
          <w:color w:val="000000"/>
          <w:sz w:val="22"/>
          <w:szCs w:val="22"/>
          <w:lang w:val="es-MX" w:eastAsia="es-MX"/>
        </w:rPr>
        <w:t>nera favorable la S</w:t>
      </w:r>
      <w:r w:rsidRPr="00D519C5">
        <w:rPr>
          <w:rFonts w:ascii="ITC Avant Garde" w:hAnsi="ITC Avant Garde"/>
          <w:bCs/>
          <w:color w:val="000000"/>
          <w:sz w:val="22"/>
          <w:szCs w:val="22"/>
          <w:lang w:val="es-MX" w:eastAsia="es-MX"/>
        </w:rPr>
        <w:t>olicitud, debe de observarse el actual régimen de concesionamiento previsto en la Ley.</w:t>
      </w:r>
    </w:p>
    <w:p w14:paraId="7EE05487" w14:textId="77777777" w:rsidR="002D7BBD" w:rsidRDefault="00751E1F" w:rsidP="002D7BBD">
      <w:pPr>
        <w:autoSpaceDE w:val="0"/>
        <w:autoSpaceDN w:val="0"/>
        <w:adjustRightInd w:val="0"/>
        <w:spacing w:before="240" w:after="240"/>
        <w:jc w:val="both"/>
        <w:rPr>
          <w:rFonts w:ascii="ITC Avant Garde" w:hAnsi="ITC Avant Garde"/>
          <w:bCs/>
          <w:color w:val="000000"/>
          <w:sz w:val="22"/>
          <w:szCs w:val="22"/>
          <w:lang w:val="es-MX" w:eastAsia="es-MX"/>
        </w:rPr>
      </w:pPr>
      <w:r w:rsidRPr="00D519C5">
        <w:rPr>
          <w:rFonts w:ascii="ITC Avant Garde" w:hAnsi="ITC Avant Garde"/>
          <w:bCs/>
          <w:color w:val="000000"/>
          <w:sz w:val="22"/>
          <w:szCs w:val="22"/>
          <w:lang w:val="es-MX" w:eastAsia="es-MX"/>
        </w:rPr>
        <w:t xml:space="preserve">En ese sentido, el artículo 76 </w:t>
      </w:r>
      <w:proofErr w:type="gramStart"/>
      <w:r w:rsidRPr="00D519C5">
        <w:rPr>
          <w:rFonts w:ascii="ITC Avant Garde" w:hAnsi="ITC Avant Garde"/>
          <w:bCs/>
          <w:color w:val="000000"/>
          <w:sz w:val="22"/>
          <w:szCs w:val="22"/>
          <w:lang w:val="es-MX" w:eastAsia="es-MX"/>
        </w:rPr>
        <w:t>fracción</w:t>
      </w:r>
      <w:proofErr w:type="gramEnd"/>
      <w:r w:rsidRPr="00D519C5">
        <w:rPr>
          <w:rFonts w:ascii="ITC Avant Garde" w:hAnsi="ITC Avant Garde"/>
          <w:bCs/>
          <w:color w:val="000000"/>
          <w:sz w:val="22"/>
          <w:szCs w:val="22"/>
          <w:lang w:val="es-MX" w:eastAsia="es-MX"/>
        </w:rPr>
        <w:t xml:space="preserve"> II de la Ley indica que las concesiones sobre el espectro radioeléctrico para uso público, confieren el derecho, entre otros, a los concesionarios o permisionarios de servicios públicos, distintos a los de telecomunicaciones o de radiodifusión, </w:t>
      </w:r>
      <w:r w:rsidR="00A236D2" w:rsidRPr="00D519C5">
        <w:rPr>
          <w:rFonts w:ascii="ITC Avant Garde" w:hAnsi="ITC Avant Garde"/>
          <w:bCs/>
          <w:color w:val="000000"/>
          <w:sz w:val="22"/>
          <w:szCs w:val="22"/>
          <w:lang w:val="es-MX" w:eastAsia="es-MX"/>
        </w:rPr>
        <w:t xml:space="preserve">cuando éstas sean necesarias para </w:t>
      </w:r>
      <w:r w:rsidRPr="00D519C5">
        <w:rPr>
          <w:rFonts w:ascii="ITC Avant Garde" w:hAnsi="ITC Avant Garde"/>
          <w:bCs/>
          <w:color w:val="000000"/>
          <w:sz w:val="22"/>
          <w:szCs w:val="22"/>
          <w:lang w:val="es-MX" w:eastAsia="es-MX"/>
        </w:rPr>
        <w:t xml:space="preserve">la operación y seguridad del servicio </w:t>
      </w:r>
      <w:r w:rsidR="00A236D2" w:rsidRPr="00D519C5">
        <w:rPr>
          <w:rFonts w:ascii="ITC Avant Garde" w:hAnsi="ITC Avant Garde"/>
          <w:bCs/>
          <w:color w:val="000000"/>
          <w:sz w:val="22"/>
          <w:szCs w:val="22"/>
          <w:lang w:val="es-MX" w:eastAsia="es-MX"/>
        </w:rPr>
        <w:t>de que se trate</w:t>
      </w:r>
      <w:r w:rsidRPr="00D519C5">
        <w:rPr>
          <w:rFonts w:ascii="ITC Avant Garde" w:hAnsi="ITC Avant Garde"/>
          <w:bCs/>
          <w:color w:val="000000"/>
          <w:sz w:val="22"/>
          <w:szCs w:val="22"/>
          <w:lang w:val="es-MX" w:eastAsia="es-MX"/>
        </w:rPr>
        <w:t>.</w:t>
      </w:r>
      <w:r w:rsidR="005007E6" w:rsidRPr="00D519C5">
        <w:rPr>
          <w:rFonts w:ascii="ITC Avant Garde" w:hAnsi="ITC Avant Garde"/>
          <w:bCs/>
          <w:color w:val="000000"/>
          <w:sz w:val="22"/>
          <w:szCs w:val="22"/>
          <w:lang w:val="es-MX" w:eastAsia="es-MX"/>
        </w:rPr>
        <w:t xml:space="preserve"> </w:t>
      </w:r>
    </w:p>
    <w:p w14:paraId="4EBCF24A" w14:textId="77777777" w:rsidR="002D7BBD" w:rsidRDefault="00751E1F" w:rsidP="002D7BBD">
      <w:pPr>
        <w:autoSpaceDE w:val="0"/>
        <w:autoSpaceDN w:val="0"/>
        <w:adjustRightInd w:val="0"/>
        <w:spacing w:before="240" w:after="240"/>
        <w:jc w:val="both"/>
        <w:rPr>
          <w:rFonts w:ascii="ITC Avant Garde" w:hAnsi="ITC Avant Garde"/>
          <w:bCs/>
          <w:color w:val="000000"/>
          <w:sz w:val="22"/>
          <w:szCs w:val="22"/>
          <w:lang w:val="es-MX" w:eastAsia="es-MX"/>
        </w:rPr>
      </w:pPr>
      <w:r w:rsidRPr="00D519C5">
        <w:rPr>
          <w:rFonts w:ascii="ITC Avant Garde" w:hAnsi="ITC Avant Garde"/>
          <w:bCs/>
          <w:color w:val="000000"/>
          <w:sz w:val="22"/>
          <w:szCs w:val="22"/>
          <w:lang w:val="es-MX" w:eastAsia="es-MX"/>
        </w:rPr>
        <w:t xml:space="preserve">Asimismo, el artículo 83 de la Ley señala que la concesión sobre el espectro radioeléctrico para uso público se otorgará mediante asignación directa hasta por un plazo de 15 (quince) años y podrá ser prorrogada hasta por plazos iguales, en el entendido que bajo esta modalidad no podrán prestarse servicios con fines de lucro ni compartir el espectro radioeléctrico con terceros. </w:t>
      </w:r>
    </w:p>
    <w:p w14:paraId="5F67BDE9" w14:textId="77777777" w:rsidR="002D7BBD" w:rsidRDefault="009254E1" w:rsidP="002D7BBD">
      <w:pPr>
        <w:autoSpaceDE w:val="0"/>
        <w:autoSpaceDN w:val="0"/>
        <w:adjustRightInd w:val="0"/>
        <w:spacing w:before="240" w:after="240"/>
        <w:jc w:val="both"/>
        <w:rPr>
          <w:rFonts w:ascii="ITC Avant Garde" w:hAnsi="ITC Avant Garde"/>
          <w:bCs/>
          <w:color w:val="000000"/>
          <w:sz w:val="22"/>
          <w:szCs w:val="22"/>
          <w:lang w:val="es-MX" w:eastAsia="es-MX"/>
        </w:rPr>
      </w:pPr>
      <w:r w:rsidRPr="009254E1">
        <w:rPr>
          <w:rFonts w:ascii="ITC Avant Garde" w:hAnsi="ITC Avant Garde"/>
          <w:bCs/>
          <w:color w:val="000000"/>
          <w:sz w:val="22"/>
          <w:szCs w:val="22"/>
          <w:lang w:val="es-MX" w:eastAsia="es-MX"/>
        </w:rPr>
        <w:t>En relación con lo anterior, el artículo 84 del mismo ordenamiento legal establece que los concesionarios o permisionarios de servicios públicos distintos a los de telecomunicaciones y de radiodifusión, podrán obtener la asignación directa de las bandas de frecuencia para la operación o seguridad de dichos servicios públicos, debiendo acreditar ante el Instituto la necesidad de contar con el uso de dichas bandas de frecuencias. En este caso, los concesionarios o permisionarios deberán pagar previamente, la contraprestación correspondiente, misma que se fijará considerando exclusivamente los servicios prestados para los servicios públicos.</w:t>
      </w:r>
    </w:p>
    <w:p w14:paraId="196D8798" w14:textId="77777777" w:rsidR="002D7BBD" w:rsidRDefault="00EC3966" w:rsidP="002D7BBD">
      <w:pPr>
        <w:autoSpaceDE w:val="0"/>
        <w:autoSpaceDN w:val="0"/>
        <w:adjustRightInd w:val="0"/>
        <w:spacing w:before="240" w:after="240"/>
        <w:jc w:val="both"/>
        <w:rPr>
          <w:rFonts w:ascii="ITC Avant Garde" w:hAnsi="ITC Avant Garde"/>
          <w:bCs/>
          <w:color w:val="000000"/>
          <w:sz w:val="22"/>
          <w:szCs w:val="22"/>
          <w:lang w:val="es-MX" w:eastAsia="es-MX"/>
        </w:rPr>
      </w:pPr>
      <w:r w:rsidRPr="00D519C5">
        <w:rPr>
          <w:rFonts w:ascii="ITC Avant Garde" w:hAnsi="ITC Avant Garde"/>
          <w:bCs/>
          <w:color w:val="000000"/>
          <w:sz w:val="22"/>
          <w:szCs w:val="22"/>
          <w:lang w:val="es-MX" w:eastAsia="es-MX"/>
        </w:rPr>
        <w:t>De igual forma, el artículo 70 de la Ley señala que se requerirá concesión única para uso público, solamente cuando se necesite utilizar o aprovechar bandas de frecuencias del espectro radioeléctrico que no sean de uso libre o recursos orbitales, como es el caso de las bandas de frecuencias objeto de la Solicitud.</w:t>
      </w:r>
    </w:p>
    <w:p w14:paraId="49ED3706" w14:textId="77777777" w:rsidR="002D7BBD" w:rsidRDefault="00C24A41" w:rsidP="002D7BBD">
      <w:pPr>
        <w:autoSpaceDE w:val="0"/>
        <w:autoSpaceDN w:val="0"/>
        <w:adjustRightInd w:val="0"/>
        <w:spacing w:before="240" w:after="240"/>
        <w:jc w:val="both"/>
        <w:rPr>
          <w:rFonts w:ascii="ITC Avant Garde" w:hAnsi="ITC Avant Garde"/>
          <w:bCs/>
          <w:color w:val="000000"/>
          <w:sz w:val="22"/>
          <w:szCs w:val="22"/>
          <w:lang w:val="es-MX" w:eastAsia="es-MX"/>
        </w:rPr>
      </w:pPr>
      <w:r w:rsidRPr="00D519C5">
        <w:rPr>
          <w:rFonts w:ascii="ITC Avant Garde" w:hAnsi="ITC Avant Garde"/>
          <w:bCs/>
          <w:color w:val="000000"/>
          <w:sz w:val="22"/>
          <w:szCs w:val="22"/>
          <w:lang w:val="es-MX" w:eastAsia="es-MX"/>
        </w:rPr>
        <w:t>En ese sentido</w:t>
      </w:r>
      <w:r w:rsidR="00751E1F" w:rsidRPr="00D519C5">
        <w:rPr>
          <w:rFonts w:ascii="ITC Avant Garde" w:hAnsi="ITC Avant Garde"/>
          <w:bCs/>
          <w:color w:val="000000"/>
          <w:sz w:val="22"/>
          <w:szCs w:val="22"/>
          <w:lang w:val="es-MX" w:eastAsia="es-MX"/>
        </w:rPr>
        <w:t xml:space="preserve">, el artículo 67 fracción II de la Ley establece que la concesión única para uso público confiere el derecho </w:t>
      </w:r>
      <w:r w:rsidR="001B68EF" w:rsidRPr="00D519C5">
        <w:rPr>
          <w:rFonts w:ascii="ITC Avant Garde" w:hAnsi="ITC Avant Garde"/>
          <w:bCs/>
          <w:color w:val="000000"/>
          <w:sz w:val="22"/>
          <w:szCs w:val="22"/>
          <w:lang w:val="es-MX" w:eastAsia="es-MX"/>
        </w:rPr>
        <w:t xml:space="preserve">entre otros, </w:t>
      </w:r>
      <w:r w:rsidR="00751E1F" w:rsidRPr="00D519C5">
        <w:rPr>
          <w:rFonts w:ascii="ITC Avant Garde" w:hAnsi="ITC Avant Garde"/>
          <w:bCs/>
          <w:color w:val="000000"/>
          <w:sz w:val="22"/>
          <w:szCs w:val="22"/>
          <w:lang w:val="es-MX" w:eastAsia="es-MX"/>
        </w:rPr>
        <w:t xml:space="preserve">a los concesionarios o permisionarios de servicios públicos, distintos a los de telecomunicaciones o radiodifusión, para </w:t>
      </w:r>
      <w:r w:rsidR="00EB2177" w:rsidRPr="00D519C5">
        <w:rPr>
          <w:rFonts w:ascii="ITC Avant Garde" w:hAnsi="ITC Avant Garde"/>
          <w:bCs/>
          <w:color w:val="000000"/>
          <w:sz w:val="22"/>
          <w:szCs w:val="22"/>
          <w:lang w:val="es-MX" w:eastAsia="es-MX"/>
        </w:rPr>
        <w:lastRenderedPageBreak/>
        <w:t xml:space="preserve">proveer servicios de telecomunicaciones y radiodifusión para </w:t>
      </w:r>
      <w:r w:rsidR="00751E1F" w:rsidRPr="00D519C5">
        <w:rPr>
          <w:rFonts w:ascii="ITC Avant Garde" w:hAnsi="ITC Avant Garde"/>
          <w:bCs/>
          <w:color w:val="000000"/>
          <w:sz w:val="22"/>
          <w:szCs w:val="22"/>
          <w:lang w:val="es-MX" w:eastAsia="es-MX"/>
        </w:rPr>
        <w:t>la operación y seguridad del servicio concesionado.</w:t>
      </w:r>
    </w:p>
    <w:p w14:paraId="2E36CE33" w14:textId="77777777" w:rsidR="002D7BBD" w:rsidRDefault="001B68EF" w:rsidP="002D7BBD">
      <w:pPr>
        <w:autoSpaceDE w:val="0"/>
        <w:autoSpaceDN w:val="0"/>
        <w:adjustRightInd w:val="0"/>
        <w:spacing w:before="240" w:after="240"/>
        <w:jc w:val="both"/>
        <w:rPr>
          <w:rFonts w:ascii="ITC Avant Garde" w:hAnsi="ITC Avant Garde"/>
          <w:bCs/>
          <w:color w:val="000000"/>
          <w:sz w:val="22"/>
          <w:szCs w:val="22"/>
          <w:lang w:val="es-MX" w:eastAsia="es-MX"/>
        </w:rPr>
      </w:pPr>
      <w:r w:rsidRPr="00D519C5">
        <w:rPr>
          <w:rFonts w:ascii="ITC Avant Garde" w:hAnsi="ITC Avant Garde"/>
          <w:bCs/>
          <w:color w:val="000000"/>
          <w:sz w:val="22"/>
          <w:szCs w:val="22"/>
          <w:lang w:val="es-MX" w:eastAsia="es-MX"/>
        </w:rPr>
        <w:t>Por su parte, el artículo 72 de la Ley señala que la concesión única se otorgará por un plazo de hasta 30 (treinta) años y podrá ser prorrogada hasta por plazos iguales.</w:t>
      </w:r>
    </w:p>
    <w:p w14:paraId="6A0958B5" w14:textId="77777777" w:rsidR="002D7BBD" w:rsidRDefault="001B68EF" w:rsidP="002D7BBD">
      <w:pPr>
        <w:autoSpaceDE w:val="0"/>
        <w:autoSpaceDN w:val="0"/>
        <w:adjustRightInd w:val="0"/>
        <w:spacing w:before="240" w:after="240"/>
        <w:jc w:val="both"/>
        <w:rPr>
          <w:rFonts w:ascii="ITC Avant Garde" w:hAnsi="ITC Avant Garde"/>
          <w:bCs/>
          <w:color w:val="000000"/>
          <w:sz w:val="22"/>
          <w:szCs w:val="22"/>
          <w:lang w:val="es-MX" w:eastAsia="es-MX"/>
        </w:rPr>
      </w:pPr>
      <w:r w:rsidRPr="00D519C5">
        <w:rPr>
          <w:rFonts w:ascii="ITC Avant Garde" w:hAnsi="ITC Avant Garde"/>
          <w:bCs/>
          <w:color w:val="000000"/>
          <w:sz w:val="22"/>
          <w:szCs w:val="22"/>
          <w:lang w:val="es-MX" w:eastAsia="es-MX"/>
        </w:rPr>
        <w:t>Finalmente, y derivado del momento en que se presentó la Solicitud, la misma debió acatar el requisito de procedencia establecido en el artículo 105 fracción I de la Ley Federal de Derechos vigente en su momento, mismo que estableció la obligación para quien solicitara bandas de frecuencias para uso oficial, de pagar los derechos por el trámite relativo al estudio de la Solicitud.</w:t>
      </w:r>
    </w:p>
    <w:p w14:paraId="01C614F0" w14:textId="319CDE4F" w:rsidR="00AA28E4" w:rsidRPr="00D519C5" w:rsidRDefault="00CB55FE" w:rsidP="002D7BBD">
      <w:pPr>
        <w:tabs>
          <w:tab w:val="left" w:pos="1134"/>
        </w:tabs>
        <w:autoSpaceDE w:val="0"/>
        <w:autoSpaceDN w:val="0"/>
        <w:adjustRightInd w:val="0"/>
        <w:spacing w:before="240" w:after="240"/>
        <w:jc w:val="both"/>
        <w:rPr>
          <w:rFonts w:ascii="ITC Avant Garde" w:eastAsia="Calibri" w:hAnsi="ITC Avant Garde" w:cs="Tahoma"/>
          <w:color w:val="000000"/>
          <w:sz w:val="22"/>
          <w:szCs w:val="22"/>
          <w:lang w:val="es-MX" w:eastAsia="es-MX"/>
        </w:rPr>
      </w:pPr>
      <w:r w:rsidRPr="00D519C5">
        <w:rPr>
          <w:rFonts w:ascii="ITC Avant Garde" w:eastAsia="Calibri" w:hAnsi="ITC Avant Garde" w:cs="Tahoma"/>
          <w:b/>
          <w:bCs/>
          <w:color w:val="000000"/>
          <w:sz w:val="22"/>
          <w:szCs w:val="22"/>
          <w:lang w:val="es-MX" w:eastAsia="es-MX"/>
        </w:rPr>
        <w:t>Tercero</w:t>
      </w:r>
      <w:r w:rsidR="00AA28E4" w:rsidRPr="00D519C5">
        <w:rPr>
          <w:rFonts w:ascii="ITC Avant Garde" w:eastAsia="Calibri" w:hAnsi="ITC Avant Garde" w:cs="Tahoma"/>
          <w:b/>
          <w:bCs/>
          <w:color w:val="000000"/>
          <w:sz w:val="22"/>
          <w:szCs w:val="22"/>
          <w:lang w:val="es-MX" w:eastAsia="es-MX"/>
        </w:rPr>
        <w:t xml:space="preserve">.- </w:t>
      </w:r>
      <w:r w:rsidR="00AA28E4" w:rsidRPr="00D519C5">
        <w:rPr>
          <w:rFonts w:ascii="ITC Avant Garde" w:eastAsia="Calibri" w:hAnsi="ITC Avant Garde" w:cs="Tahoma"/>
          <w:b/>
          <w:color w:val="000000"/>
          <w:sz w:val="22"/>
          <w:szCs w:val="22"/>
          <w:lang w:val="es-MX" w:eastAsia="es-MX"/>
        </w:rPr>
        <w:t xml:space="preserve">Análisis de la </w:t>
      </w:r>
      <w:r w:rsidR="00BD082D" w:rsidRPr="00D519C5">
        <w:rPr>
          <w:rFonts w:ascii="ITC Avant Garde" w:eastAsia="Calibri" w:hAnsi="ITC Avant Garde" w:cs="Tahoma"/>
          <w:b/>
          <w:color w:val="000000"/>
          <w:sz w:val="22"/>
          <w:szCs w:val="22"/>
          <w:lang w:val="es-MX" w:eastAsia="es-MX"/>
        </w:rPr>
        <w:t>Solicitud</w:t>
      </w:r>
      <w:r w:rsidR="00AA28E4" w:rsidRPr="00D519C5">
        <w:rPr>
          <w:rFonts w:ascii="ITC Avant Garde" w:eastAsia="Calibri" w:hAnsi="ITC Avant Garde" w:cs="Tahoma"/>
          <w:b/>
          <w:color w:val="000000"/>
          <w:sz w:val="22"/>
          <w:szCs w:val="22"/>
          <w:lang w:val="es-MX" w:eastAsia="es-MX"/>
        </w:rPr>
        <w:t>.</w:t>
      </w:r>
      <w:r w:rsidR="00AA28E4" w:rsidRPr="00D519C5">
        <w:rPr>
          <w:rFonts w:ascii="ITC Avant Garde" w:eastAsia="Calibri" w:hAnsi="ITC Avant Garde" w:cs="Tahoma"/>
          <w:color w:val="000000"/>
          <w:sz w:val="22"/>
          <w:szCs w:val="22"/>
          <w:lang w:val="es-MX" w:eastAsia="es-MX"/>
        </w:rPr>
        <w:t xml:space="preserve"> Con respecto a los requisitos aplicables señalados </w:t>
      </w:r>
      <w:r w:rsidR="00AC1A27" w:rsidRPr="00D519C5">
        <w:rPr>
          <w:rFonts w:ascii="ITC Avant Garde" w:eastAsia="Calibri" w:hAnsi="ITC Avant Garde" w:cs="Tahoma"/>
          <w:color w:val="000000"/>
          <w:sz w:val="22"/>
          <w:szCs w:val="22"/>
          <w:lang w:val="es-MX" w:eastAsia="es-MX"/>
        </w:rPr>
        <w:t>por</w:t>
      </w:r>
      <w:r w:rsidR="00AA28E4" w:rsidRPr="00D519C5">
        <w:rPr>
          <w:rFonts w:ascii="ITC Avant Garde" w:eastAsia="Calibri" w:hAnsi="ITC Avant Garde" w:cs="Tahoma"/>
          <w:color w:val="000000"/>
          <w:sz w:val="22"/>
          <w:szCs w:val="22"/>
          <w:lang w:val="es-MX" w:eastAsia="es-MX"/>
        </w:rPr>
        <w:t xml:space="preserve"> </w:t>
      </w:r>
      <w:r w:rsidR="00AC1A27" w:rsidRPr="00D519C5">
        <w:rPr>
          <w:rFonts w:ascii="ITC Avant Garde" w:eastAsia="Calibri" w:hAnsi="ITC Avant Garde" w:cs="Tahoma"/>
          <w:color w:val="000000"/>
          <w:sz w:val="22"/>
          <w:szCs w:val="22"/>
          <w:lang w:val="es-MX" w:eastAsia="es-MX"/>
        </w:rPr>
        <w:t>los</w:t>
      </w:r>
      <w:r w:rsidR="00AA28E4" w:rsidRPr="00D519C5">
        <w:rPr>
          <w:rFonts w:ascii="ITC Avant Garde" w:eastAsia="Calibri" w:hAnsi="ITC Avant Garde" w:cs="Tahoma"/>
          <w:color w:val="000000"/>
          <w:sz w:val="22"/>
          <w:szCs w:val="22"/>
          <w:lang w:val="es-MX" w:eastAsia="es-MX"/>
        </w:rPr>
        <w:t xml:space="preserve"> artículo</w:t>
      </w:r>
      <w:r w:rsidR="00AC1A27" w:rsidRPr="00D519C5">
        <w:rPr>
          <w:rFonts w:ascii="ITC Avant Garde" w:eastAsia="Calibri" w:hAnsi="ITC Avant Garde" w:cs="Tahoma"/>
          <w:color w:val="000000"/>
          <w:sz w:val="22"/>
          <w:szCs w:val="22"/>
          <w:lang w:val="es-MX" w:eastAsia="es-MX"/>
        </w:rPr>
        <w:t>s</w:t>
      </w:r>
      <w:r w:rsidR="00AA28E4" w:rsidRPr="00D519C5">
        <w:rPr>
          <w:rFonts w:ascii="ITC Avant Garde" w:eastAsia="Calibri" w:hAnsi="ITC Avant Garde" w:cs="Tahoma"/>
          <w:color w:val="000000"/>
          <w:sz w:val="22"/>
          <w:szCs w:val="22"/>
          <w:lang w:val="es-MX" w:eastAsia="es-MX"/>
        </w:rPr>
        <w:t xml:space="preserve"> </w:t>
      </w:r>
      <w:r w:rsidR="00C369B9" w:rsidRPr="00D519C5">
        <w:rPr>
          <w:rFonts w:ascii="ITC Avant Garde" w:eastAsia="Calibri" w:hAnsi="ITC Avant Garde" w:cs="Tahoma"/>
          <w:color w:val="000000"/>
          <w:sz w:val="22"/>
          <w:szCs w:val="22"/>
          <w:lang w:val="es-MX" w:eastAsia="es-MX"/>
        </w:rPr>
        <w:t xml:space="preserve">10 fracción III, </w:t>
      </w:r>
      <w:r w:rsidR="00603B95" w:rsidRPr="00D519C5">
        <w:rPr>
          <w:rFonts w:ascii="ITC Avant Garde" w:eastAsia="Calibri" w:hAnsi="ITC Avant Garde" w:cs="Tahoma"/>
          <w:color w:val="000000"/>
          <w:sz w:val="22"/>
          <w:szCs w:val="22"/>
          <w:lang w:val="es-MX" w:eastAsia="es-MX"/>
        </w:rPr>
        <w:t xml:space="preserve">22 y </w:t>
      </w:r>
      <w:r w:rsidR="00AA28E4" w:rsidRPr="00D519C5">
        <w:rPr>
          <w:rFonts w:ascii="ITC Avant Garde" w:eastAsia="Calibri" w:hAnsi="ITC Avant Garde" w:cs="Tahoma"/>
          <w:color w:val="000000"/>
          <w:sz w:val="22"/>
          <w:szCs w:val="22"/>
          <w:lang w:val="es-MX" w:eastAsia="es-MX"/>
        </w:rPr>
        <w:t>24 de la L</w:t>
      </w:r>
      <w:r w:rsidR="00336A75" w:rsidRPr="00D519C5">
        <w:rPr>
          <w:rFonts w:ascii="ITC Avant Garde" w:eastAsia="Calibri" w:hAnsi="ITC Avant Garde" w:cs="Tahoma"/>
          <w:color w:val="000000"/>
          <w:sz w:val="22"/>
          <w:szCs w:val="22"/>
          <w:lang w:val="es-MX" w:eastAsia="es-MX"/>
        </w:rPr>
        <w:t>F</w:t>
      </w:r>
      <w:r w:rsidR="00603B95" w:rsidRPr="00D519C5">
        <w:rPr>
          <w:rFonts w:ascii="ITC Avant Garde" w:eastAsia="Calibri" w:hAnsi="ITC Avant Garde" w:cs="Tahoma"/>
          <w:color w:val="000000"/>
          <w:sz w:val="22"/>
          <w:szCs w:val="22"/>
          <w:lang w:val="es-MX" w:eastAsia="es-MX"/>
        </w:rPr>
        <w:t>T</w:t>
      </w:r>
      <w:r w:rsidR="00AA28E4" w:rsidRPr="00D519C5">
        <w:rPr>
          <w:rFonts w:ascii="ITC Avant Garde" w:eastAsia="Calibri" w:hAnsi="ITC Avant Garde" w:cs="Tahoma"/>
          <w:color w:val="000000"/>
          <w:sz w:val="22"/>
          <w:szCs w:val="22"/>
          <w:lang w:val="es-MX" w:eastAsia="es-MX"/>
        </w:rPr>
        <w:t xml:space="preserve">, </w:t>
      </w:r>
      <w:r w:rsidR="00A047B8" w:rsidRPr="00D519C5">
        <w:rPr>
          <w:rFonts w:ascii="ITC Avant Garde" w:eastAsia="Calibri" w:hAnsi="ITC Avant Garde" w:cs="Tahoma"/>
          <w:color w:val="000000"/>
          <w:sz w:val="22"/>
          <w:szCs w:val="22"/>
          <w:lang w:val="es-MX" w:eastAsia="es-MX"/>
        </w:rPr>
        <w:t>la U</w:t>
      </w:r>
      <w:r w:rsidR="003C5972" w:rsidRPr="00D519C5">
        <w:rPr>
          <w:rFonts w:ascii="ITC Avant Garde" w:eastAsia="Calibri" w:hAnsi="ITC Avant Garde" w:cs="Tahoma"/>
          <w:color w:val="000000"/>
          <w:sz w:val="22"/>
          <w:szCs w:val="22"/>
          <w:lang w:val="es-MX" w:eastAsia="es-MX"/>
        </w:rPr>
        <w:t xml:space="preserve">nidad de </w:t>
      </w:r>
      <w:r w:rsidR="00A047B8" w:rsidRPr="00D519C5">
        <w:rPr>
          <w:rFonts w:ascii="ITC Avant Garde" w:eastAsia="Calibri" w:hAnsi="ITC Avant Garde" w:cs="Tahoma"/>
          <w:color w:val="000000"/>
          <w:sz w:val="22"/>
          <w:szCs w:val="22"/>
          <w:lang w:val="es-MX" w:eastAsia="es-MX"/>
        </w:rPr>
        <w:t>C</w:t>
      </w:r>
      <w:r w:rsidR="003C5972" w:rsidRPr="00D519C5">
        <w:rPr>
          <w:rFonts w:ascii="ITC Avant Garde" w:eastAsia="Calibri" w:hAnsi="ITC Avant Garde" w:cs="Tahoma"/>
          <w:color w:val="000000"/>
          <w:sz w:val="22"/>
          <w:szCs w:val="22"/>
          <w:lang w:val="es-MX" w:eastAsia="es-MX"/>
        </w:rPr>
        <w:t xml:space="preserve">oncesiones y </w:t>
      </w:r>
      <w:r w:rsidR="00A047B8" w:rsidRPr="00D519C5">
        <w:rPr>
          <w:rFonts w:ascii="ITC Avant Garde" w:eastAsia="Calibri" w:hAnsi="ITC Avant Garde" w:cs="Tahoma"/>
          <w:color w:val="000000"/>
          <w:sz w:val="22"/>
          <w:szCs w:val="22"/>
          <w:lang w:val="es-MX" w:eastAsia="es-MX"/>
        </w:rPr>
        <w:t>S</w:t>
      </w:r>
      <w:r w:rsidR="003C5972" w:rsidRPr="00D519C5">
        <w:rPr>
          <w:rFonts w:ascii="ITC Avant Garde" w:eastAsia="Calibri" w:hAnsi="ITC Avant Garde" w:cs="Tahoma"/>
          <w:color w:val="000000"/>
          <w:sz w:val="22"/>
          <w:szCs w:val="22"/>
          <w:lang w:val="es-MX" w:eastAsia="es-MX"/>
        </w:rPr>
        <w:t>ervicios</w:t>
      </w:r>
      <w:r w:rsidR="00A047B8" w:rsidRPr="00D519C5">
        <w:rPr>
          <w:rFonts w:ascii="ITC Avant Garde" w:eastAsia="Calibri" w:hAnsi="ITC Avant Garde" w:cs="Tahoma"/>
          <w:color w:val="000000"/>
          <w:sz w:val="22"/>
          <w:szCs w:val="22"/>
          <w:lang w:val="es-MX" w:eastAsia="es-MX"/>
        </w:rPr>
        <w:t xml:space="preserve"> a través de la D</w:t>
      </w:r>
      <w:r w:rsidR="003C5972" w:rsidRPr="00D519C5">
        <w:rPr>
          <w:rFonts w:ascii="ITC Avant Garde" w:eastAsia="Calibri" w:hAnsi="ITC Avant Garde" w:cs="Tahoma"/>
          <w:color w:val="000000"/>
          <w:sz w:val="22"/>
          <w:szCs w:val="22"/>
          <w:lang w:val="es-MX" w:eastAsia="es-MX"/>
        </w:rPr>
        <w:t xml:space="preserve">irección </w:t>
      </w:r>
      <w:r w:rsidR="00A047B8" w:rsidRPr="00D519C5">
        <w:rPr>
          <w:rFonts w:ascii="ITC Avant Garde" w:eastAsia="Calibri" w:hAnsi="ITC Avant Garde" w:cs="Tahoma"/>
          <w:color w:val="000000"/>
          <w:sz w:val="22"/>
          <w:szCs w:val="22"/>
          <w:lang w:val="es-MX" w:eastAsia="es-MX"/>
        </w:rPr>
        <w:t>G</w:t>
      </w:r>
      <w:r w:rsidR="003C5972" w:rsidRPr="00D519C5">
        <w:rPr>
          <w:rFonts w:ascii="ITC Avant Garde" w:eastAsia="Calibri" w:hAnsi="ITC Avant Garde" w:cs="Tahoma"/>
          <w:color w:val="000000"/>
          <w:sz w:val="22"/>
          <w:szCs w:val="22"/>
          <w:lang w:val="es-MX" w:eastAsia="es-MX"/>
        </w:rPr>
        <w:t xml:space="preserve">eneral de </w:t>
      </w:r>
      <w:r w:rsidR="00751E1F" w:rsidRPr="00D519C5">
        <w:rPr>
          <w:rFonts w:ascii="ITC Avant Garde" w:eastAsia="Calibri" w:hAnsi="ITC Avant Garde" w:cs="Tahoma"/>
          <w:color w:val="000000"/>
          <w:sz w:val="22"/>
          <w:szCs w:val="22"/>
          <w:lang w:val="es-MX" w:eastAsia="es-MX"/>
        </w:rPr>
        <w:t>C</w:t>
      </w:r>
      <w:r w:rsidR="003C5972" w:rsidRPr="00D519C5">
        <w:rPr>
          <w:rFonts w:ascii="ITC Avant Garde" w:eastAsia="Calibri" w:hAnsi="ITC Avant Garde" w:cs="Tahoma"/>
          <w:color w:val="000000"/>
          <w:sz w:val="22"/>
          <w:szCs w:val="22"/>
          <w:lang w:val="es-MX" w:eastAsia="es-MX"/>
        </w:rPr>
        <w:t xml:space="preserve">oncesiones de </w:t>
      </w:r>
      <w:r w:rsidR="00A047B8" w:rsidRPr="00D519C5">
        <w:rPr>
          <w:rFonts w:ascii="ITC Avant Garde" w:eastAsia="Calibri" w:hAnsi="ITC Avant Garde" w:cs="Tahoma"/>
          <w:color w:val="000000"/>
          <w:sz w:val="22"/>
          <w:szCs w:val="22"/>
          <w:lang w:val="es-MX" w:eastAsia="es-MX"/>
        </w:rPr>
        <w:t>T</w:t>
      </w:r>
      <w:r w:rsidR="003C5972" w:rsidRPr="00D519C5">
        <w:rPr>
          <w:rFonts w:ascii="ITC Avant Garde" w:eastAsia="Calibri" w:hAnsi="ITC Avant Garde" w:cs="Tahoma"/>
          <w:color w:val="000000"/>
          <w:sz w:val="22"/>
          <w:szCs w:val="22"/>
          <w:lang w:val="es-MX" w:eastAsia="es-MX"/>
        </w:rPr>
        <w:t>elecomunicaciones</w:t>
      </w:r>
      <w:r w:rsidR="00A047B8" w:rsidRPr="00D519C5">
        <w:rPr>
          <w:rFonts w:ascii="ITC Avant Garde" w:eastAsia="Calibri" w:hAnsi="ITC Avant Garde" w:cs="Tahoma"/>
          <w:color w:val="000000"/>
          <w:sz w:val="22"/>
          <w:szCs w:val="22"/>
          <w:lang w:val="es-MX" w:eastAsia="es-MX"/>
        </w:rPr>
        <w:t xml:space="preserve">, </w:t>
      </w:r>
      <w:r w:rsidR="00AA28E4" w:rsidRPr="00D519C5">
        <w:rPr>
          <w:rFonts w:ascii="ITC Avant Garde" w:eastAsia="Calibri" w:hAnsi="ITC Avant Garde" w:cs="Tahoma"/>
          <w:color w:val="000000"/>
          <w:sz w:val="22"/>
          <w:szCs w:val="22"/>
          <w:lang w:val="es-MX" w:eastAsia="es-MX"/>
        </w:rPr>
        <w:t xml:space="preserve">revisó y evaluó la </w:t>
      </w:r>
      <w:r w:rsidR="00D63EEA" w:rsidRPr="00D519C5">
        <w:rPr>
          <w:rFonts w:ascii="ITC Avant Garde" w:eastAsia="Calibri" w:hAnsi="ITC Avant Garde" w:cs="Tahoma"/>
          <w:color w:val="000000"/>
          <w:sz w:val="22"/>
          <w:szCs w:val="22"/>
          <w:lang w:val="es-MX" w:eastAsia="es-MX"/>
        </w:rPr>
        <w:t>S</w:t>
      </w:r>
      <w:r w:rsidR="00AA28E4" w:rsidRPr="00D519C5">
        <w:rPr>
          <w:rFonts w:ascii="ITC Avant Garde" w:eastAsia="Calibri" w:hAnsi="ITC Avant Garde" w:cs="Tahoma"/>
          <w:color w:val="000000"/>
          <w:sz w:val="22"/>
          <w:szCs w:val="22"/>
          <w:lang w:val="es-MX" w:eastAsia="es-MX"/>
        </w:rPr>
        <w:t>olicitud</w:t>
      </w:r>
      <w:r w:rsidR="00BD082D" w:rsidRPr="00D519C5">
        <w:rPr>
          <w:rFonts w:ascii="ITC Avant Garde" w:eastAsia="Calibri" w:hAnsi="ITC Avant Garde" w:cs="Tahoma"/>
          <w:color w:val="000000"/>
          <w:sz w:val="22"/>
          <w:szCs w:val="22"/>
          <w:lang w:val="es-MX" w:eastAsia="es-MX"/>
        </w:rPr>
        <w:t xml:space="preserve">, observando que </w:t>
      </w:r>
      <w:r w:rsidR="00C24A41" w:rsidRPr="00D519C5">
        <w:rPr>
          <w:rFonts w:ascii="ITC Avant Garde" w:eastAsia="Calibri" w:hAnsi="ITC Avant Garde" w:cs="Tahoma"/>
          <w:color w:val="000000"/>
          <w:sz w:val="22"/>
          <w:szCs w:val="22"/>
          <w:lang w:val="es-MX" w:eastAsia="es-MX"/>
        </w:rPr>
        <w:t>con</w:t>
      </w:r>
      <w:r w:rsidR="00BD082D" w:rsidRPr="00D519C5">
        <w:rPr>
          <w:rFonts w:ascii="ITC Avant Garde" w:eastAsia="Calibri" w:hAnsi="ITC Avant Garde" w:cs="Tahoma"/>
          <w:color w:val="000000"/>
          <w:sz w:val="22"/>
          <w:szCs w:val="22"/>
          <w:lang w:val="es-MX" w:eastAsia="es-MX"/>
        </w:rPr>
        <w:t>tiene los siguientes elementos</w:t>
      </w:r>
      <w:r w:rsidR="00AA28E4" w:rsidRPr="00D519C5">
        <w:rPr>
          <w:rFonts w:ascii="ITC Avant Garde" w:eastAsia="Calibri" w:hAnsi="ITC Avant Garde" w:cs="Tahoma"/>
          <w:color w:val="000000"/>
          <w:sz w:val="22"/>
          <w:szCs w:val="22"/>
          <w:lang w:val="es-MX" w:eastAsia="es-MX"/>
        </w:rPr>
        <w:t>:</w:t>
      </w:r>
    </w:p>
    <w:p w14:paraId="5803108D" w14:textId="77777777" w:rsidR="002D7BBD" w:rsidRDefault="00C24A41" w:rsidP="002D7BBD">
      <w:pPr>
        <w:numPr>
          <w:ilvl w:val="0"/>
          <w:numId w:val="23"/>
        </w:numPr>
        <w:autoSpaceDE w:val="0"/>
        <w:autoSpaceDN w:val="0"/>
        <w:adjustRightInd w:val="0"/>
        <w:spacing w:before="240" w:after="240"/>
        <w:ind w:left="567" w:hanging="567"/>
        <w:jc w:val="both"/>
        <w:rPr>
          <w:rFonts w:ascii="ITC Avant Garde" w:eastAsia="Calibri" w:hAnsi="ITC Avant Garde"/>
          <w:sz w:val="22"/>
          <w:szCs w:val="22"/>
          <w:lang w:val="es-MX" w:eastAsia="en-US"/>
        </w:rPr>
      </w:pPr>
      <w:r w:rsidRPr="00D519C5">
        <w:rPr>
          <w:rFonts w:ascii="ITC Avant Garde" w:eastAsia="Calibri" w:hAnsi="ITC Avant Garde"/>
          <w:sz w:val="22"/>
          <w:szCs w:val="22"/>
          <w:lang w:val="es-MX" w:eastAsia="en-US"/>
        </w:rPr>
        <w:t>Nombre y domicilio del solicitante.</w:t>
      </w:r>
    </w:p>
    <w:p w14:paraId="4EEC8CF8" w14:textId="77777777" w:rsidR="002D7BBD" w:rsidRDefault="00C24A41" w:rsidP="002D7BBD">
      <w:pPr>
        <w:numPr>
          <w:ilvl w:val="0"/>
          <w:numId w:val="23"/>
        </w:numPr>
        <w:autoSpaceDE w:val="0"/>
        <w:autoSpaceDN w:val="0"/>
        <w:adjustRightInd w:val="0"/>
        <w:spacing w:before="240" w:after="240"/>
        <w:ind w:left="567" w:hanging="567"/>
        <w:jc w:val="both"/>
        <w:rPr>
          <w:rFonts w:ascii="ITC Avant Garde" w:eastAsia="Calibri" w:hAnsi="ITC Avant Garde"/>
          <w:sz w:val="22"/>
          <w:szCs w:val="22"/>
          <w:lang w:val="es-MX" w:eastAsia="en-US"/>
        </w:rPr>
      </w:pPr>
      <w:r w:rsidRPr="00D519C5">
        <w:rPr>
          <w:rFonts w:ascii="ITC Avant Garde" w:eastAsia="Calibri" w:hAnsi="ITC Avant Garde"/>
          <w:sz w:val="22"/>
          <w:szCs w:val="22"/>
          <w:lang w:val="es-MX" w:eastAsia="en-US"/>
        </w:rPr>
        <w:t>Los</w:t>
      </w:r>
      <w:r w:rsidR="00E34FAD" w:rsidRPr="00D519C5">
        <w:rPr>
          <w:rFonts w:ascii="ITC Avant Garde" w:eastAsia="Calibri" w:hAnsi="ITC Avant Garde"/>
          <w:sz w:val="22"/>
          <w:szCs w:val="22"/>
          <w:lang w:val="es-MX" w:eastAsia="en-US"/>
        </w:rPr>
        <w:t xml:space="preserve"> </w:t>
      </w:r>
      <w:r w:rsidRPr="00D519C5">
        <w:rPr>
          <w:rFonts w:ascii="ITC Avant Garde" w:eastAsia="Calibri" w:hAnsi="ITC Avant Garde"/>
          <w:sz w:val="22"/>
          <w:szCs w:val="22"/>
          <w:lang w:val="es-MX" w:eastAsia="en-US"/>
        </w:rPr>
        <w:t xml:space="preserve">servicios a proveer y las especificaciones técnicas del proyecto se encuentran indicadas en la Solicitud </w:t>
      </w:r>
      <w:r w:rsidR="00B23EA7" w:rsidRPr="00D519C5">
        <w:rPr>
          <w:rFonts w:ascii="ITC Avant Garde" w:eastAsia="Calibri" w:hAnsi="ITC Avant Garde"/>
          <w:sz w:val="22"/>
          <w:szCs w:val="22"/>
          <w:lang w:val="es-MX" w:eastAsia="en-US"/>
        </w:rPr>
        <w:t xml:space="preserve">y consisten </w:t>
      </w:r>
      <w:r w:rsidR="00912D1B" w:rsidRPr="00D519C5">
        <w:rPr>
          <w:rFonts w:ascii="ITC Avant Garde" w:eastAsia="Calibri" w:hAnsi="ITC Avant Garde"/>
          <w:sz w:val="22"/>
          <w:szCs w:val="22"/>
          <w:lang w:val="es-MX" w:eastAsia="en-US"/>
        </w:rPr>
        <w:t>en la operación de diversas estaciones</w:t>
      </w:r>
      <w:r w:rsidR="009254E1">
        <w:rPr>
          <w:rFonts w:ascii="ITC Avant Garde" w:eastAsia="Calibri" w:hAnsi="ITC Avant Garde"/>
          <w:sz w:val="22"/>
          <w:szCs w:val="22"/>
          <w:lang w:val="es-MX" w:eastAsia="en-US"/>
        </w:rPr>
        <w:t xml:space="preserve"> de radiocomunicación</w:t>
      </w:r>
      <w:r w:rsidR="001B4649" w:rsidRPr="00D519C5">
        <w:rPr>
          <w:rFonts w:ascii="ITC Avant Garde" w:eastAsia="Calibri" w:hAnsi="ITC Avant Garde"/>
          <w:sz w:val="22"/>
          <w:szCs w:val="22"/>
          <w:lang w:val="es-MX" w:eastAsia="en-US"/>
        </w:rPr>
        <w:t>,</w:t>
      </w:r>
      <w:r w:rsidR="00912D1B" w:rsidRPr="00D519C5">
        <w:rPr>
          <w:rFonts w:ascii="ITC Avant Garde" w:eastAsia="Calibri" w:hAnsi="ITC Avant Garde"/>
          <w:sz w:val="22"/>
          <w:szCs w:val="22"/>
          <w:lang w:val="es-MX" w:eastAsia="en-US"/>
        </w:rPr>
        <w:t xml:space="preserve"> así como </w:t>
      </w:r>
      <w:r w:rsidR="00CE1B52" w:rsidRPr="00D519C5">
        <w:rPr>
          <w:rFonts w:ascii="ITC Avant Garde" w:eastAsia="Calibri" w:hAnsi="ITC Avant Garde"/>
          <w:sz w:val="22"/>
          <w:szCs w:val="22"/>
          <w:lang w:val="es-MX" w:eastAsia="en-US"/>
        </w:rPr>
        <w:t xml:space="preserve">de </w:t>
      </w:r>
      <w:r w:rsidR="00912D1B" w:rsidRPr="00D519C5">
        <w:rPr>
          <w:rFonts w:ascii="ITC Avant Garde" w:eastAsia="Calibri" w:hAnsi="ITC Avant Garde"/>
          <w:sz w:val="22"/>
          <w:szCs w:val="22"/>
          <w:lang w:val="es-MX" w:eastAsia="en-US"/>
        </w:rPr>
        <w:t xml:space="preserve">repetidores en las </w:t>
      </w:r>
      <w:r w:rsidR="009254E1">
        <w:rPr>
          <w:rFonts w:ascii="ITC Avant Garde" w:eastAsia="Calibri" w:hAnsi="ITC Avant Garde"/>
          <w:sz w:val="22"/>
          <w:szCs w:val="22"/>
          <w:lang w:val="es-MX" w:eastAsia="en-US"/>
        </w:rPr>
        <w:t>e</w:t>
      </w:r>
      <w:r w:rsidR="00912D1B" w:rsidRPr="00D519C5">
        <w:rPr>
          <w:rFonts w:ascii="ITC Avant Garde" w:eastAsia="Calibri" w:hAnsi="ITC Avant Garde"/>
          <w:sz w:val="22"/>
          <w:szCs w:val="22"/>
          <w:lang w:val="es-MX" w:eastAsia="en-US"/>
        </w:rPr>
        <w:t xml:space="preserve">ntidades </w:t>
      </w:r>
      <w:r w:rsidR="009254E1">
        <w:rPr>
          <w:rFonts w:ascii="ITC Avant Garde" w:eastAsia="Calibri" w:hAnsi="ITC Avant Garde"/>
          <w:sz w:val="22"/>
          <w:szCs w:val="22"/>
          <w:lang w:val="es-MX" w:eastAsia="en-US"/>
        </w:rPr>
        <w:t>f</w:t>
      </w:r>
      <w:r w:rsidR="00912D1B" w:rsidRPr="00D519C5">
        <w:rPr>
          <w:rFonts w:ascii="ITC Avant Garde" w:eastAsia="Calibri" w:hAnsi="ITC Avant Garde"/>
          <w:sz w:val="22"/>
          <w:szCs w:val="22"/>
          <w:lang w:val="es-MX" w:eastAsia="en-US"/>
        </w:rPr>
        <w:t>ederativas de</w:t>
      </w:r>
      <w:r w:rsidR="00BE79E0">
        <w:rPr>
          <w:rFonts w:ascii="ITC Avant Garde" w:eastAsia="Calibri" w:hAnsi="ITC Avant Garde"/>
          <w:sz w:val="22"/>
          <w:szCs w:val="22"/>
          <w:lang w:val="es-MX" w:eastAsia="en-US"/>
        </w:rPr>
        <w:t xml:space="preserve"> Ciudad de México,</w:t>
      </w:r>
      <w:r w:rsidR="00912D1B" w:rsidRPr="00D519C5">
        <w:rPr>
          <w:rFonts w:ascii="ITC Avant Garde" w:eastAsia="Calibri" w:hAnsi="ITC Avant Garde"/>
          <w:sz w:val="22"/>
          <w:szCs w:val="22"/>
          <w:lang w:val="es-MX" w:eastAsia="en-US"/>
        </w:rPr>
        <w:t xml:space="preserve"> Hidalgo, México, M</w:t>
      </w:r>
      <w:r w:rsidR="00BE79E0">
        <w:rPr>
          <w:rFonts w:ascii="ITC Avant Garde" w:eastAsia="Calibri" w:hAnsi="ITC Avant Garde"/>
          <w:sz w:val="22"/>
          <w:szCs w:val="22"/>
          <w:lang w:val="es-MX" w:eastAsia="en-US"/>
        </w:rPr>
        <w:t>orelos</w:t>
      </w:r>
      <w:r w:rsidR="00912D1B" w:rsidRPr="00D519C5">
        <w:rPr>
          <w:rFonts w:ascii="ITC Avant Garde" w:eastAsia="Calibri" w:hAnsi="ITC Avant Garde"/>
          <w:sz w:val="22"/>
          <w:szCs w:val="22"/>
          <w:lang w:val="es-MX" w:eastAsia="en-US"/>
        </w:rPr>
        <w:t xml:space="preserve">, </w:t>
      </w:r>
      <w:r w:rsidR="00BE79E0">
        <w:rPr>
          <w:rFonts w:ascii="ITC Avant Garde" w:eastAsia="Calibri" w:hAnsi="ITC Avant Garde"/>
          <w:sz w:val="22"/>
          <w:szCs w:val="22"/>
          <w:lang w:val="es-MX" w:eastAsia="en-US"/>
        </w:rPr>
        <w:t>Oaxaca</w:t>
      </w:r>
      <w:r w:rsidR="00912D1B" w:rsidRPr="00D519C5">
        <w:rPr>
          <w:rFonts w:ascii="ITC Avant Garde" w:eastAsia="Calibri" w:hAnsi="ITC Avant Garde"/>
          <w:sz w:val="22"/>
          <w:szCs w:val="22"/>
          <w:lang w:val="es-MX" w:eastAsia="en-US"/>
        </w:rPr>
        <w:t xml:space="preserve">, </w:t>
      </w:r>
      <w:r w:rsidR="00BE79E0">
        <w:rPr>
          <w:rFonts w:ascii="ITC Avant Garde" w:eastAsia="Calibri" w:hAnsi="ITC Avant Garde"/>
          <w:sz w:val="22"/>
          <w:szCs w:val="22"/>
          <w:lang w:val="es-MX" w:eastAsia="en-US"/>
        </w:rPr>
        <w:t>Puebla</w:t>
      </w:r>
      <w:r w:rsidR="00912D1B" w:rsidRPr="00D519C5">
        <w:rPr>
          <w:rFonts w:ascii="ITC Avant Garde" w:eastAsia="Calibri" w:hAnsi="ITC Avant Garde"/>
          <w:sz w:val="22"/>
          <w:szCs w:val="22"/>
          <w:lang w:val="es-MX" w:eastAsia="en-US"/>
        </w:rPr>
        <w:t>, T</w:t>
      </w:r>
      <w:r w:rsidR="00BE79E0">
        <w:rPr>
          <w:rFonts w:ascii="ITC Avant Garde" w:eastAsia="Calibri" w:hAnsi="ITC Avant Garde"/>
          <w:sz w:val="22"/>
          <w:szCs w:val="22"/>
          <w:lang w:val="es-MX" w:eastAsia="en-US"/>
        </w:rPr>
        <w:t>l</w:t>
      </w:r>
      <w:r w:rsidR="00912D1B" w:rsidRPr="00D519C5">
        <w:rPr>
          <w:rFonts w:ascii="ITC Avant Garde" w:eastAsia="Calibri" w:hAnsi="ITC Avant Garde"/>
          <w:sz w:val="22"/>
          <w:szCs w:val="22"/>
          <w:lang w:val="es-MX" w:eastAsia="en-US"/>
        </w:rPr>
        <w:t>a</w:t>
      </w:r>
      <w:r w:rsidR="00BE79E0">
        <w:rPr>
          <w:rFonts w:ascii="ITC Avant Garde" w:eastAsia="Calibri" w:hAnsi="ITC Avant Garde"/>
          <w:sz w:val="22"/>
          <w:szCs w:val="22"/>
          <w:lang w:val="es-MX" w:eastAsia="en-US"/>
        </w:rPr>
        <w:t xml:space="preserve">xcala </w:t>
      </w:r>
      <w:r w:rsidR="00912D1B" w:rsidRPr="00D519C5">
        <w:rPr>
          <w:rFonts w:ascii="ITC Avant Garde" w:eastAsia="Calibri" w:hAnsi="ITC Avant Garde"/>
          <w:sz w:val="22"/>
          <w:szCs w:val="22"/>
          <w:lang w:val="es-MX" w:eastAsia="en-US"/>
        </w:rPr>
        <w:t xml:space="preserve">y </w:t>
      </w:r>
      <w:r w:rsidR="00BE79E0">
        <w:rPr>
          <w:rFonts w:ascii="ITC Avant Garde" w:eastAsia="Calibri" w:hAnsi="ITC Avant Garde"/>
          <w:sz w:val="22"/>
          <w:szCs w:val="22"/>
          <w:lang w:val="es-MX" w:eastAsia="en-US"/>
        </w:rPr>
        <w:t>Veracruz</w:t>
      </w:r>
      <w:r w:rsidR="00912D1B" w:rsidRPr="00D519C5">
        <w:rPr>
          <w:rFonts w:ascii="ITC Avant Garde" w:eastAsia="Calibri" w:hAnsi="ITC Avant Garde"/>
          <w:sz w:val="22"/>
          <w:szCs w:val="22"/>
          <w:lang w:val="es-MX" w:eastAsia="en-US"/>
        </w:rPr>
        <w:t>,</w:t>
      </w:r>
      <w:r w:rsidR="000652DA" w:rsidRPr="00D519C5">
        <w:rPr>
          <w:rFonts w:ascii="ITC Avant Garde" w:eastAsia="Calibri" w:hAnsi="ITC Avant Garde"/>
          <w:sz w:val="22"/>
          <w:szCs w:val="22"/>
          <w:lang w:val="es-MX" w:eastAsia="en-US"/>
        </w:rPr>
        <w:t xml:space="preserve"> </w:t>
      </w:r>
      <w:r w:rsidR="00912D1B" w:rsidRPr="00D519C5">
        <w:rPr>
          <w:rFonts w:ascii="ITC Avant Garde" w:eastAsia="Calibri" w:hAnsi="ITC Avant Garde"/>
          <w:sz w:val="22"/>
          <w:szCs w:val="22"/>
          <w:lang w:val="es-MX" w:eastAsia="en-US"/>
        </w:rPr>
        <w:t xml:space="preserve">para </w:t>
      </w:r>
      <w:r w:rsidR="00670F8D" w:rsidRPr="00D519C5">
        <w:rPr>
          <w:rFonts w:ascii="ITC Avant Garde" w:eastAsia="Calibri" w:hAnsi="ITC Avant Garde"/>
          <w:sz w:val="22"/>
          <w:szCs w:val="22"/>
          <w:lang w:val="es-MX" w:eastAsia="en-US"/>
        </w:rPr>
        <w:t xml:space="preserve">la operación y seguridad del servicio ferroviario </w:t>
      </w:r>
      <w:r w:rsidR="000652DA" w:rsidRPr="00D519C5">
        <w:rPr>
          <w:rFonts w:ascii="ITC Avant Garde" w:eastAsia="Calibri" w:hAnsi="ITC Avant Garde"/>
          <w:sz w:val="22"/>
          <w:szCs w:val="22"/>
          <w:lang w:val="es-MX" w:eastAsia="en-US"/>
        </w:rPr>
        <w:t>concesionado</w:t>
      </w:r>
      <w:r w:rsidR="009254E1">
        <w:rPr>
          <w:rFonts w:ascii="ITC Avant Garde" w:eastAsia="Calibri" w:hAnsi="ITC Avant Garde"/>
          <w:sz w:val="22"/>
          <w:szCs w:val="22"/>
          <w:lang w:val="es-MX" w:eastAsia="en-US"/>
        </w:rPr>
        <w:t xml:space="preserve"> a </w:t>
      </w:r>
      <w:proofErr w:type="spellStart"/>
      <w:r w:rsidR="009254E1">
        <w:rPr>
          <w:rFonts w:ascii="ITC Avant Garde" w:eastAsia="Calibri" w:hAnsi="ITC Avant Garde"/>
          <w:sz w:val="22"/>
          <w:szCs w:val="22"/>
          <w:lang w:val="es-MX" w:eastAsia="en-US"/>
        </w:rPr>
        <w:t>Ferrosur</w:t>
      </w:r>
      <w:proofErr w:type="spellEnd"/>
      <w:r w:rsidR="00670F8D" w:rsidRPr="00D519C5">
        <w:rPr>
          <w:rFonts w:ascii="ITC Avant Garde" w:eastAsia="Calibri" w:hAnsi="ITC Avant Garde"/>
          <w:sz w:val="22"/>
          <w:szCs w:val="22"/>
          <w:lang w:val="es-MX" w:eastAsia="en-US"/>
        </w:rPr>
        <w:t>.</w:t>
      </w:r>
    </w:p>
    <w:p w14:paraId="79BDF027" w14:textId="77777777" w:rsidR="002D7BBD" w:rsidRDefault="00A304B4" w:rsidP="002D7BBD">
      <w:pPr>
        <w:numPr>
          <w:ilvl w:val="0"/>
          <w:numId w:val="23"/>
        </w:numPr>
        <w:autoSpaceDE w:val="0"/>
        <w:autoSpaceDN w:val="0"/>
        <w:adjustRightInd w:val="0"/>
        <w:spacing w:before="240" w:after="240"/>
        <w:ind w:left="567" w:hanging="567"/>
        <w:jc w:val="both"/>
        <w:rPr>
          <w:rFonts w:ascii="ITC Avant Garde" w:eastAsia="Calibri" w:hAnsi="ITC Avant Garde"/>
          <w:sz w:val="22"/>
          <w:szCs w:val="22"/>
          <w:lang w:val="es-MX" w:eastAsia="en-US"/>
        </w:rPr>
      </w:pPr>
      <w:r w:rsidRPr="00D519C5">
        <w:rPr>
          <w:rFonts w:ascii="ITC Avant Garde" w:eastAsia="Calibri" w:hAnsi="ITC Avant Garde"/>
          <w:sz w:val="22"/>
          <w:szCs w:val="22"/>
          <w:lang w:val="es-MX" w:eastAsia="en-US"/>
        </w:rPr>
        <w:t>La</w:t>
      </w:r>
      <w:r w:rsidR="006E2B7A" w:rsidRPr="00D519C5">
        <w:rPr>
          <w:rFonts w:ascii="ITC Avant Garde" w:eastAsia="Calibri" w:hAnsi="ITC Avant Garde"/>
          <w:sz w:val="22"/>
          <w:szCs w:val="22"/>
          <w:lang w:val="es-MX" w:eastAsia="en-US"/>
        </w:rPr>
        <w:t xml:space="preserve"> </w:t>
      </w:r>
      <w:r w:rsidRPr="00D519C5">
        <w:rPr>
          <w:rFonts w:ascii="ITC Avant Garde" w:eastAsia="Calibri" w:hAnsi="ITC Avant Garde"/>
          <w:sz w:val="22"/>
          <w:szCs w:val="22"/>
          <w:lang w:val="es-MX" w:eastAsia="en-US"/>
        </w:rPr>
        <w:t xml:space="preserve">acreditación de las capacidades jurídica y administrativa del solicitante se tienen por satisfechas, debido a que la Solicitud fue suscrita por </w:t>
      </w:r>
      <w:r w:rsidR="000D6351">
        <w:rPr>
          <w:rFonts w:ascii="ITC Avant Garde" w:eastAsia="Calibri" w:hAnsi="ITC Avant Garde"/>
          <w:sz w:val="22"/>
          <w:szCs w:val="22"/>
          <w:lang w:val="es-MX" w:eastAsia="en-US"/>
        </w:rPr>
        <w:t xml:space="preserve">el entonces </w:t>
      </w:r>
      <w:r w:rsidR="009254E1">
        <w:rPr>
          <w:rFonts w:ascii="ITC Avant Garde" w:eastAsia="Calibri" w:hAnsi="ITC Avant Garde"/>
          <w:sz w:val="22"/>
          <w:szCs w:val="22"/>
          <w:lang w:val="es-MX" w:eastAsia="en-US"/>
        </w:rPr>
        <w:t>a</w:t>
      </w:r>
      <w:r w:rsidR="00507012">
        <w:rPr>
          <w:rFonts w:ascii="ITC Avant Garde" w:eastAsia="Calibri" w:hAnsi="ITC Avant Garde"/>
          <w:sz w:val="22"/>
          <w:szCs w:val="22"/>
          <w:lang w:val="es-MX" w:eastAsia="en-US"/>
        </w:rPr>
        <w:t xml:space="preserve">poderado </w:t>
      </w:r>
      <w:r w:rsidR="009254E1">
        <w:rPr>
          <w:rFonts w:ascii="ITC Avant Garde" w:eastAsia="Calibri" w:hAnsi="ITC Avant Garde"/>
          <w:sz w:val="22"/>
          <w:szCs w:val="22"/>
          <w:lang w:val="es-MX" w:eastAsia="en-US"/>
        </w:rPr>
        <w:t>l</w:t>
      </w:r>
      <w:r w:rsidR="00507012">
        <w:rPr>
          <w:rFonts w:ascii="ITC Avant Garde" w:eastAsia="Calibri" w:hAnsi="ITC Avant Garde"/>
          <w:sz w:val="22"/>
          <w:szCs w:val="22"/>
          <w:lang w:val="es-MX" w:eastAsia="en-US"/>
        </w:rPr>
        <w:t xml:space="preserve">egal </w:t>
      </w:r>
      <w:r w:rsidR="00C97B80" w:rsidRPr="00D519C5">
        <w:rPr>
          <w:rFonts w:ascii="ITC Avant Garde" w:eastAsia="Calibri" w:hAnsi="ITC Avant Garde"/>
          <w:sz w:val="22"/>
          <w:szCs w:val="22"/>
          <w:lang w:val="es-MX" w:eastAsia="en-US"/>
        </w:rPr>
        <w:t xml:space="preserve">de </w:t>
      </w:r>
      <w:r w:rsidR="00F555ED">
        <w:rPr>
          <w:rFonts w:ascii="ITC Avant Garde" w:eastAsia="Calibri" w:hAnsi="ITC Avant Garde"/>
          <w:sz w:val="22"/>
          <w:szCs w:val="22"/>
          <w:lang w:val="es-MX" w:eastAsia="en-US"/>
        </w:rPr>
        <w:t>Ferrosur</w:t>
      </w:r>
      <w:r w:rsidR="009C37F4" w:rsidRPr="00D519C5">
        <w:rPr>
          <w:rFonts w:ascii="ITC Avant Garde" w:eastAsia="Calibri" w:hAnsi="ITC Avant Garde"/>
          <w:sz w:val="22"/>
          <w:szCs w:val="22"/>
          <w:lang w:val="es-MX" w:eastAsia="en-US"/>
        </w:rPr>
        <w:t>,</w:t>
      </w:r>
      <w:r w:rsidR="00507012">
        <w:rPr>
          <w:rFonts w:ascii="ITC Avant Garde" w:eastAsia="Calibri" w:hAnsi="ITC Avant Garde"/>
          <w:sz w:val="22"/>
          <w:szCs w:val="22"/>
          <w:lang w:val="es-MX" w:eastAsia="en-US"/>
        </w:rPr>
        <w:t xml:space="preserve"> misma que fue ratificada</w:t>
      </w:r>
      <w:r w:rsidR="009C37F4" w:rsidRPr="00D519C5">
        <w:rPr>
          <w:rFonts w:ascii="ITC Avant Garde" w:eastAsia="Calibri" w:hAnsi="ITC Avant Garde"/>
          <w:sz w:val="22"/>
          <w:szCs w:val="22"/>
          <w:lang w:val="es-MX" w:eastAsia="en-US"/>
        </w:rPr>
        <w:t xml:space="preserve"> </w:t>
      </w:r>
      <w:r w:rsidR="00E917F6">
        <w:rPr>
          <w:rFonts w:ascii="ITC Avant Garde" w:eastAsia="Calibri" w:hAnsi="ITC Avant Garde"/>
          <w:sz w:val="22"/>
          <w:szCs w:val="22"/>
          <w:lang w:val="es-MX" w:eastAsia="en-US"/>
        </w:rPr>
        <w:t xml:space="preserve">por la </w:t>
      </w:r>
      <w:r w:rsidR="009254E1">
        <w:rPr>
          <w:rFonts w:ascii="ITC Avant Garde" w:eastAsia="Calibri" w:hAnsi="ITC Avant Garde"/>
          <w:sz w:val="22"/>
          <w:szCs w:val="22"/>
          <w:lang w:val="es-MX" w:eastAsia="en-US"/>
        </w:rPr>
        <w:t xml:space="preserve">actual </w:t>
      </w:r>
      <w:r w:rsidR="00E917F6">
        <w:rPr>
          <w:rFonts w:ascii="ITC Avant Garde" w:eastAsia="Calibri" w:hAnsi="ITC Avant Garde"/>
          <w:sz w:val="22"/>
          <w:szCs w:val="22"/>
          <w:lang w:val="es-MX" w:eastAsia="en-US"/>
        </w:rPr>
        <w:t xml:space="preserve">apoderada legal de esa empresa </w:t>
      </w:r>
      <w:r w:rsidR="002C763B">
        <w:rPr>
          <w:rFonts w:ascii="ITC Avant Garde" w:eastAsia="Calibri" w:hAnsi="ITC Avant Garde"/>
          <w:sz w:val="22"/>
          <w:szCs w:val="22"/>
          <w:lang w:val="es-MX" w:eastAsia="en-US"/>
        </w:rPr>
        <w:t>mediante oficio de fecha 17 de junio de 2015, remitiendo para tal efecto, copia certificada del poder general para pleitos y cobranzas así como poder especial para actos de administración número</w:t>
      </w:r>
      <w:r w:rsidR="009C37F4" w:rsidRPr="00D519C5">
        <w:rPr>
          <w:rFonts w:ascii="ITC Avant Garde" w:eastAsia="Calibri" w:hAnsi="ITC Avant Garde"/>
          <w:sz w:val="22"/>
          <w:szCs w:val="22"/>
          <w:lang w:val="es-MX" w:eastAsia="en-US"/>
        </w:rPr>
        <w:t xml:space="preserve"> </w:t>
      </w:r>
      <w:r w:rsidR="00BE79E0">
        <w:rPr>
          <w:rFonts w:ascii="ITC Avant Garde" w:eastAsia="Calibri" w:hAnsi="ITC Avant Garde"/>
          <w:sz w:val="22"/>
          <w:szCs w:val="22"/>
          <w:lang w:val="es-MX" w:eastAsia="en-US"/>
        </w:rPr>
        <w:t>32,745</w:t>
      </w:r>
      <w:r w:rsidR="009C37F4" w:rsidRPr="00D519C5">
        <w:rPr>
          <w:rFonts w:ascii="ITC Avant Garde" w:eastAsia="Calibri" w:hAnsi="ITC Avant Garde"/>
          <w:sz w:val="22"/>
          <w:szCs w:val="22"/>
          <w:lang w:val="es-MX" w:eastAsia="en-US"/>
        </w:rPr>
        <w:t xml:space="preserve"> de fecha </w:t>
      </w:r>
      <w:r w:rsidR="00BE79E0">
        <w:rPr>
          <w:rFonts w:ascii="ITC Avant Garde" w:eastAsia="Calibri" w:hAnsi="ITC Avant Garde"/>
          <w:sz w:val="22"/>
          <w:szCs w:val="22"/>
          <w:lang w:val="es-MX" w:eastAsia="en-US"/>
        </w:rPr>
        <w:t>12</w:t>
      </w:r>
      <w:r w:rsidR="009C37F4" w:rsidRPr="00D519C5">
        <w:rPr>
          <w:rFonts w:ascii="ITC Avant Garde" w:eastAsia="Calibri" w:hAnsi="ITC Avant Garde"/>
          <w:sz w:val="22"/>
          <w:szCs w:val="22"/>
          <w:lang w:val="es-MX" w:eastAsia="en-US"/>
        </w:rPr>
        <w:t xml:space="preserve"> de </w:t>
      </w:r>
      <w:r w:rsidR="00BE79E0">
        <w:rPr>
          <w:rFonts w:ascii="ITC Avant Garde" w:eastAsia="Calibri" w:hAnsi="ITC Avant Garde"/>
          <w:sz w:val="22"/>
          <w:szCs w:val="22"/>
          <w:lang w:val="es-MX" w:eastAsia="en-US"/>
        </w:rPr>
        <w:t>diciembre</w:t>
      </w:r>
      <w:r w:rsidR="009C37F4" w:rsidRPr="00D519C5">
        <w:rPr>
          <w:rFonts w:ascii="ITC Avant Garde" w:eastAsia="Calibri" w:hAnsi="ITC Avant Garde"/>
          <w:sz w:val="22"/>
          <w:szCs w:val="22"/>
          <w:lang w:val="es-MX" w:eastAsia="en-US"/>
        </w:rPr>
        <w:t xml:space="preserve"> de 2005</w:t>
      </w:r>
      <w:r w:rsidR="00C8194A" w:rsidRPr="00D519C5">
        <w:rPr>
          <w:rFonts w:ascii="ITC Avant Garde" w:eastAsia="Calibri" w:hAnsi="ITC Avant Garde"/>
          <w:sz w:val="22"/>
          <w:szCs w:val="22"/>
          <w:lang w:val="es-MX" w:eastAsia="en-US"/>
        </w:rPr>
        <w:t>,</w:t>
      </w:r>
      <w:r w:rsidR="009C37F4" w:rsidRPr="00D519C5">
        <w:rPr>
          <w:rFonts w:ascii="ITC Avant Garde" w:eastAsia="Calibri" w:hAnsi="ITC Avant Garde"/>
          <w:sz w:val="22"/>
          <w:szCs w:val="22"/>
          <w:lang w:val="es-MX" w:eastAsia="en-US"/>
        </w:rPr>
        <w:t xml:space="preserve"> pasado ante la fe del Titular de la Notaría Pública número 1</w:t>
      </w:r>
      <w:r w:rsidR="00BE79E0">
        <w:rPr>
          <w:rFonts w:ascii="ITC Avant Garde" w:eastAsia="Calibri" w:hAnsi="ITC Avant Garde"/>
          <w:sz w:val="22"/>
          <w:szCs w:val="22"/>
          <w:lang w:val="es-MX" w:eastAsia="en-US"/>
        </w:rPr>
        <w:t>81</w:t>
      </w:r>
      <w:r w:rsidR="009C37F4" w:rsidRPr="00D519C5">
        <w:rPr>
          <w:rFonts w:ascii="ITC Avant Garde" w:eastAsia="Calibri" w:hAnsi="ITC Avant Garde"/>
          <w:sz w:val="22"/>
          <w:szCs w:val="22"/>
          <w:lang w:val="es-MX" w:eastAsia="en-US"/>
        </w:rPr>
        <w:t xml:space="preserve"> de la Ciudad de México,</w:t>
      </w:r>
      <w:r w:rsidR="002C763B">
        <w:rPr>
          <w:rFonts w:ascii="ITC Avant Garde" w:eastAsia="Calibri" w:hAnsi="ITC Avant Garde"/>
          <w:sz w:val="22"/>
          <w:szCs w:val="22"/>
          <w:lang w:val="es-MX" w:eastAsia="en-US"/>
        </w:rPr>
        <w:t xml:space="preserve"> </w:t>
      </w:r>
      <w:r w:rsidR="009C37F4" w:rsidRPr="00D519C5">
        <w:rPr>
          <w:rFonts w:ascii="ITC Avant Garde" w:eastAsia="Calibri" w:hAnsi="ITC Avant Garde"/>
          <w:sz w:val="22"/>
          <w:szCs w:val="22"/>
          <w:lang w:val="es-MX" w:eastAsia="en-US"/>
        </w:rPr>
        <w:t>de tal forma que cuenta con facultades suficientes para presentar la Solicitud.</w:t>
      </w:r>
    </w:p>
    <w:p w14:paraId="1ED904E0" w14:textId="77777777" w:rsidR="002D7BBD" w:rsidRDefault="00FE61F2" w:rsidP="002D7BBD">
      <w:pPr>
        <w:autoSpaceDE w:val="0"/>
        <w:autoSpaceDN w:val="0"/>
        <w:adjustRightInd w:val="0"/>
        <w:spacing w:before="240" w:after="240"/>
        <w:ind w:left="567"/>
        <w:jc w:val="both"/>
        <w:rPr>
          <w:rFonts w:ascii="ITC Avant Garde" w:eastAsia="Calibri" w:hAnsi="ITC Avant Garde"/>
          <w:sz w:val="22"/>
          <w:szCs w:val="22"/>
          <w:lang w:val="es-MX" w:eastAsia="en-US"/>
        </w:rPr>
      </w:pPr>
      <w:r>
        <w:rPr>
          <w:rFonts w:ascii="ITC Avant Garde" w:eastAsia="Calibri" w:hAnsi="ITC Avant Garde"/>
          <w:sz w:val="22"/>
          <w:szCs w:val="22"/>
          <w:lang w:val="es-MX" w:eastAsia="en-US"/>
        </w:rPr>
        <w:t>Asimismo, de la Solicitud se desprende que cuentan con personal capacitado para operar la red de telecomunicaciones que se describió en su proyecto.</w:t>
      </w:r>
    </w:p>
    <w:p w14:paraId="4A4EBC9C" w14:textId="77777777" w:rsidR="002D7BBD" w:rsidRDefault="00F555ED" w:rsidP="002D7BBD">
      <w:pPr>
        <w:numPr>
          <w:ilvl w:val="0"/>
          <w:numId w:val="23"/>
        </w:numPr>
        <w:autoSpaceDE w:val="0"/>
        <w:autoSpaceDN w:val="0"/>
        <w:adjustRightInd w:val="0"/>
        <w:spacing w:before="240" w:after="240"/>
        <w:ind w:left="567" w:hanging="567"/>
        <w:jc w:val="both"/>
        <w:rPr>
          <w:rFonts w:ascii="ITC Avant Garde" w:eastAsia="Calibri" w:hAnsi="ITC Avant Garde"/>
          <w:sz w:val="22"/>
          <w:szCs w:val="22"/>
          <w:lang w:val="es-MX" w:eastAsia="en-US"/>
        </w:rPr>
      </w:pPr>
      <w:proofErr w:type="spellStart"/>
      <w:r>
        <w:rPr>
          <w:rFonts w:ascii="ITC Avant Garde" w:eastAsia="Calibri" w:hAnsi="ITC Avant Garde"/>
          <w:sz w:val="22"/>
          <w:szCs w:val="22"/>
          <w:lang w:val="es-MX" w:eastAsia="en-US"/>
        </w:rPr>
        <w:t>Ferrosur</w:t>
      </w:r>
      <w:proofErr w:type="spellEnd"/>
      <w:r w:rsidR="00474D65" w:rsidRPr="00D519C5">
        <w:rPr>
          <w:rFonts w:ascii="ITC Avant Garde" w:eastAsia="Calibri" w:hAnsi="ITC Avant Garde"/>
          <w:sz w:val="22"/>
          <w:szCs w:val="22"/>
          <w:lang w:val="es-MX" w:eastAsia="en-US"/>
        </w:rPr>
        <w:t xml:space="preserve"> </w:t>
      </w:r>
      <w:r w:rsidR="00C04039">
        <w:rPr>
          <w:rFonts w:ascii="ITC Avant Garde" w:eastAsia="Calibri" w:hAnsi="ITC Avant Garde"/>
          <w:sz w:val="22"/>
          <w:szCs w:val="22"/>
          <w:lang w:val="es-MX" w:eastAsia="en-US"/>
        </w:rPr>
        <w:t>e</w:t>
      </w:r>
      <w:r w:rsidR="00474D65" w:rsidRPr="00D519C5">
        <w:rPr>
          <w:rFonts w:ascii="ITC Avant Garde" w:eastAsia="Calibri" w:hAnsi="ITC Avant Garde"/>
          <w:sz w:val="22"/>
          <w:szCs w:val="22"/>
          <w:lang w:val="es-MX" w:eastAsia="en-US"/>
        </w:rPr>
        <w:t>s un concesionario de servicios públicos distintos a los de telecomunicac</w:t>
      </w:r>
      <w:r w:rsidR="00996EE4">
        <w:rPr>
          <w:rFonts w:ascii="ITC Avant Garde" w:eastAsia="Calibri" w:hAnsi="ITC Avant Garde"/>
          <w:sz w:val="22"/>
          <w:szCs w:val="22"/>
          <w:lang w:val="es-MX" w:eastAsia="en-US"/>
        </w:rPr>
        <w:t xml:space="preserve">iones </w:t>
      </w:r>
      <w:r w:rsidR="00C04039">
        <w:rPr>
          <w:rFonts w:ascii="ITC Avant Garde" w:eastAsia="Calibri" w:hAnsi="ITC Avant Garde"/>
          <w:sz w:val="22"/>
          <w:szCs w:val="22"/>
          <w:lang w:val="es-MX" w:eastAsia="en-US"/>
        </w:rPr>
        <w:t>o</w:t>
      </w:r>
      <w:r w:rsidR="00996EE4">
        <w:rPr>
          <w:rFonts w:ascii="ITC Avant Garde" w:eastAsia="Calibri" w:hAnsi="ITC Avant Garde"/>
          <w:sz w:val="22"/>
          <w:szCs w:val="22"/>
          <w:lang w:val="es-MX" w:eastAsia="en-US"/>
        </w:rPr>
        <w:t xml:space="preserve"> </w:t>
      </w:r>
      <w:r w:rsidR="00474D65" w:rsidRPr="00D519C5">
        <w:rPr>
          <w:rFonts w:ascii="ITC Avant Garde" w:eastAsia="Calibri" w:hAnsi="ITC Avant Garde"/>
          <w:sz w:val="22"/>
          <w:szCs w:val="22"/>
          <w:lang w:val="es-MX" w:eastAsia="en-US"/>
        </w:rPr>
        <w:t>radiodifusión</w:t>
      </w:r>
      <w:r w:rsidR="00C04039">
        <w:rPr>
          <w:rFonts w:ascii="ITC Avant Garde" w:eastAsia="Calibri" w:hAnsi="ITC Avant Garde"/>
          <w:sz w:val="22"/>
          <w:szCs w:val="22"/>
          <w:lang w:val="es-MX" w:eastAsia="en-US"/>
        </w:rPr>
        <w:t>,</w:t>
      </w:r>
      <w:r w:rsidR="00474D65" w:rsidRPr="00D519C5">
        <w:rPr>
          <w:rFonts w:ascii="ITC Avant Garde" w:eastAsia="Calibri" w:hAnsi="ITC Avant Garde"/>
          <w:sz w:val="22"/>
          <w:szCs w:val="22"/>
          <w:lang w:val="es-MX" w:eastAsia="en-US"/>
        </w:rPr>
        <w:t xml:space="preserve"> lo</w:t>
      </w:r>
      <w:r w:rsidR="00C04039">
        <w:rPr>
          <w:rFonts w:ascii="ITC Avant Garde" w:eastAsia="Calibri" w:hAnsi="ITC Avant Garde"/>
          <w:sz w:val="22"/>
          <w:szCs w:val="22"/>
          <w:lang w:val="es-MX" w:eastAsia="en-US"/>
        </w:rPr>
        <w:t xml:space="preserve"> que se</w:t>
      </w:r>
      <w:r w:rsidR="00474D65" w:rsidRPr="00D519C5">
        <w:rPr>
          <w:rFonts w:ascii="ITC Avant Garde" w:eastAsia="Calibri" w:hAnsi="ITC Avant Garde"/>
          <w:sz w:val="22"/>
          <w:szCs w:val="22"/>
          <w:lang w:val="es-MX" w:eastAsia="en-US"/>
        </w:rPr>
        <w:t xml:space="preserve"> acredita con las copias simples de las concesiones otorgadas a su favor por el Gobierno Federal</w:t>
      </w:r>
      <w:r w:rsidR="00C04039">
        <w:rPr>
          <w:rFonts w:ascii="ITC Avant Garde" w:eastAsia="Calibri" w:hAnsi="ITC Avant Garde"/>
          <w:sz w:val="22"/>
          <w:szCs w:val="22"/>
          <w:lang w:val="es-MX" w:eastAsia="en-US"/>
        </w:rPr>
        <w:t>, descritas</w:t>
      </w:r>
      <w:r w:rsidR="00611A7A">
        <w:rPr>
          <w:rFonts w:ascii="ITC Avant Garde" w:eastAsia="Calibri" w:hAnsi="ITC Avant Garde"/>
          <w:sz w:val="22"/>
          <w:szCs w:val="22"/>
          <w:lang w:val="es-MX" w:eastAsia="en-US"/>
        </w:rPr>
        <w:t xml:space="preserve"> </w:t>
      </w:r>
      <w:r w:rsidR="00C04039">
        <w:rPr>
          <w:rFonts w:ascii="ITC Avant Garde" w:eastAsia="Calibri" w:hAnsi="ITC Avant Garde"/>
          <w:sz w:val="22"/>
          <w:szCs w:val="22"/>
          <w:lang w:val="es-MX" w:eastAsia="en-US"/>
        </w:rPr>
        <w:t>en los Antecedentes I y III de la presente Resolución. Por</w:t>
      </w:r>
      <w:r w:rsidR="00DF1DC0" w:rsidRPr="00D519C5">
        <w:rPr>
          <w:rFonts w:ascii="ITC Avant Garde" w:eastAsia="Calibri" w:hAnsi="ITC Avant Garde"/>
          <w:sz w:val="22"/>
          <w:szCs w:val="22"/>
          <w:lang w:val="es-MX" w:eastAsia="en-US"/>
        </w:rPr>
        <w:t xml:space="preserve"> </w:t>
      </w:r>
      <w:r w:rsidR="00C04039">
        <w:rPr>
          <w:rFonts w:ascii="ITC Avant Garde" w:eastAsia="Calibri" w:hAnsi="ITC Avant Garde"/>
          <w:sz w:val="22"/>
          <w:szCs w:val="22"/>
          <w:lang w:val="es-MX" w:eastAsia="en-US"/>
        </w:rPr>
        <w:t xml:space="preserve">ello, </w:t>
      </w:r>
      <w:r w:rsidR="00474D65" w:rsidRPr="00D519C5">
        <w:rPr>
          <w:rFonts w:ascii="ITC Avant Garde" w:eastAsia="Calibri" w:hAnsi="ITC Avant Garde"/>
          <w:sz w:val="22"/>
          <w:szCs w:val="22"/>
          <w:lang w:val="es-MX" w:eastAsia="en-US"/>
        </w:rPr>
        <w:t xml:space="preserve">es susceptible de obtener una concesión </w:t>
      </w:r>
      <w:r w:rsidR="00DF1DC0" w:rsidRPr="00D519C5">
        <w:rPr>
          <w:rFonts w:ascii="ITC Avant Garde" w:eastAsia="Calibri" w:hAnsi="ITC Avant Garde"/>
          <w:sz w:val="22"/>
          <w:szCs w:val="22"/>
          <w:lang w:val="es-MX" w:eastAsia="en-US"/>
        </w:rPr>
        <w:t xml:space="preserve">sobre el espectro radioeléctrico y una concesión única, ambas para uso público, de conformidad con lo señalado en los artículos 76 fracción II y </w:t>
      </w:r>
      <w:r w:rsidR="00AB5085" w:rsidRPr="00D519C5">
        <w:rPr>
          <w:rFonts w:ascii="ITC Avant Garde" w:eastAsia="Calibri" w:hAnsi="ITC Avant Garde"/>
          <w:sz w:val="22"/>
          <w:szCs w:val="22"/>
          <w:lang w:val="es-MX" w:eastAsia="en-US"/>
        </w:rPr>
        <w:t>70</w:t>
      </w:r>
      <w:r w:rsidR="00DF1DC0" w:rsidRPr="00D519C5">
        <w:rPr>
          <w:rFonts w:ascii="ITC Avant Garde" w:eastAsia="Calibri" w:hAnsi="ITC Avant Garde"/>
          <w:sz w:val="22"/>
          <w:szCs w:val="22"/>
          <w:lang w:val="es-MX" w:eastAsia="en-US"/>
        </w:rPr>
        <w:t xml:space="preserve"> de la Ley, respectivamente.</w:t>
      </w:r>
    </w:p>
    <w:p w14:paraId="16017010" w14:textId="77777777" w:rsidR="002D7BBD" w:rsidRDefault="00C04039" w:rsidP="002D7BBD">
      <w:pPr>
        <w:numPr>
          <w:ilvl w:val="0"/>
          <w:numId w:val="23"/>
        </w:numPr>
        <w:autoSpaceDE w:val="0"/>
        <w:autoSpaceDN w:val="0"/>
        <w:adjustRightInd w:val="0"/>
        <w:spacing w:before="240" w:after="240"/>
        <w:ind w:left="567" w:hanging="567"/>
        <w:jc w:val="both"/>
        <w:rPr>
          <w:rFonts w:ascii="ITC Avant Garde" w:eastAsia="Calibri" w:hAnsi="ITC Avant Garde"/>
          <w:sz w:val="22"/>
          <w:szCs w:val="22"/>
          <w:lang w:val="es-MX" w:eastAsia="en-US"/>
        </w:rPr>
      </w:pPr>
      <w:r>
        <w:rPr>
          <w:rFonts w:ascii="ITC Avant Garde" w:eastAsia="Calibri" w:hAnsi="ITC Avant Garde"/>
          <w:sz w:val="22"/>
          <w:szCs w:val="22"/>
          <w:lang w:val="es-MX" w:eastAsia="en-US"/>
        </w:rPr>
        <w:lastRenderedPageBreak/>
        <w:t>Por lo que se refiere a lo dispuesto por la LFT en su artículo 10 fracción III, en cuanto a que el solicitante debía acreditar la necesidad de contar con bandas de frecuencias para uso oficial para la operación y seguridad del servicio público que presta, Ferrosur acredita lo anterior al manifestar que las frecuencias solicitadas serán para operar los diversos sistemas que permiten garantizar la seguridad y operabilidad del servicio ferroviario que tiene concesionado.</w:t>
      </w:r>
    </w:p>
    <w:p w14:paraId="1822DF21" w14:textId="77777777" w:rsidR="002D7BBD" w:rsidRDefault="00F555ED" w:rsidP="002D7BBD">
      <w:pPr>
        <w:numPr>
          <w:ilvl w:val="0"/>
          <w:numId w:val="23"/>
        </w:numPr>
        <w:autoSpaceDE w:val="0"/>
        <w:autoSpaceDN w:val="0"/>
        <w:adjustRightInd w:val="0"/>
        <w:spacing w:before="240" w:after="240"/>
        <w:ind w:left="567" w:hanging="567"/>
        <w:jc w:val="both"/>
        <w:rPr>
          <w:rFonts w:ascii="ITC Avant Garde" w:hAnsi="ITC Avant Garde"/>
          <w:bCs/>
          <w:color w:val="000000"/>
          <w:sz w:val="22"/>
          <w:szCs w:val="22"/>
          <w:lang w:val="es-MX" w:eastAsia="es-MX"/>
        </w:rPr>
      </w:pPr>
      <w:proofErr w:type="spellStart"/>
      <w:r>
        <w:rPr>
          <w:rFonts w:ascii="ITC Avant Garde" w:hAnsi="ITC Avant Garde"/>
          <w:bCs/>
          <w:color w:val="000000"/>
          <w:sz w:val="22"/>
          <w:szCs w:val="22"/>
          <w:lang w:val="es-MX" w:eastAsia="es-MX"/>
        </w:rPr>
        <w:t>Ferrosur</w:t>
      </w:r>
      <w:proofErr w:type="spellEnd"/>
      <w:r w:rsidR="00DF1DC0" w:rsidRPr="00D519C5">
        <w:rPr>
          <w:rFonts w:ascii="ITC Avant Garde" w:hAnsi="ITC Avant Garde"/>
          <w:bCs/>
          <w:color w:val="000000"/>
          <w:sz w:val="22"/>
          <w:szCs w:val="22"/>
          <w:lang w:val="es-MX" w:eastAsia="es-MX"/>
        </w:rPr>
        <w:t xml:space="preserve"> presentó la documentación requerida para cumplir con los requisitos indicados en la LFT, con excepción de</w:t>
      </w:r>
      <w:r w:rsidR="00F129A5">
        <w:rPr>
          <w:rFonts w:ascii="ITC Avant Garde" w:hAnsi="ITC Avant Garde"/>
          <w:bCs/>
          <w:color w:val="000000"/>
          <w:sz w:val="22"/>
          <w:szCs w:val="22"/>
          <w:lang w:val="es-MX" w:eastAsia="es-MX"/>
        </w:rPr>
        <w:t xml:space="preserve"> </w:t>
      </w:r>
      <w:r w:rsidR="00DF1DC0" w:rsidRPr="00D519C5">
        <w:rPr>
          <w:rFonts w:ascii="ITC Avant Garde" w:hAnsi="ITC Avant Garde"/>
          <w:bCs/>
          <w:color w:val="000000"/>
          <w:sz w:val="22"/>
          <w:szCs w:val="22"/>
          <w:lang w:val="es-MX" w:eastAsia="es-MX"/>
        </w:rPr>
        <w:t>l</w:t>
      </w:r>
      <w:r w:rsidR="00F129A5">
        <w:rPr>
          <w:rFonts w:ascii="ITC Avant Garde" w:hAnsi="ITC Avant Garde"/>
          <w:bCs/>
          <w:color w:val="000000"/>
          <w:sz w:val="22"/>
          <w:szCs w:val="22"/>
          <w:lang w:val="es-MX" w:eastAsia="es-MX"/>
        </w:rPr>
        <w:t>a capacidad financiera, el</w:t>
      </w:r>
      <w:r w:rsidR="00DF1DC0" w:rsidRPr="00D519C5">
        <w:rPr>
          <w:rFonts w:ascii="ITC Avant Garde" w:hAnsi="ITC Avant Garde"/>
          <w:bCs/>
          <w:color w:val="000000"/>
          <w:sz w:val="22"/>
          <w:szCs w:val="22"/>
          <w:lang w:val="es-MX" w:eastAsia="es-MX"/>
        </w:rPr>
        <w:t xml:space="preserve"> plan de negocios y programas de inversión, </w:t>
      </w:r>
      <w:r w:rsidR="00F20523" w:rsidRPr="00D519C5">
        <w:rPr>
          <w:rFonts w:ascii="ITC Avant Garde" w:hAnsi="ITC Avant Garde"/>
          <w:bCs/>
          <w:color w:val="000000"/>
          <w:sz w:val="22"/>
          <w:szCs w:val="22"/>
          <w:lang w:val="es-MX" w:eastAsia="es-MX"/>
        </w:rPr>
        <w:t xml:space="preserve">requisitos </w:t>
      </w:r>
      <w:r w:rsidR="00F20523">
        <w:rPr>
          <w:rFonts w:ascii="ITC Avant Garde" w:hAnsi="ITC Avant Garde"/>
          <w:bCs/>
          <w:color w:val="000000"/>
          <w:sz w:val="22"/>
          <w:szCs w:val="22"/>
          <w:lang w:val="es-MX" w:eastAsia="es-MX"/>
        </w:rPr>
        <w:t xml:space="preserve">que </w:t>
      </w:r>
      <w:r w:rsidR="00F20523" w:rsidRPr="00D519C5">
        <w:rPr>
          <w:rFonts w:ascii="ITC Avant Garde" w:hAnsi="ITC Avant Garde"/>
          <w:bCs/>
          <w:color w:val="000000"/>
          <w:sz w:val="22"/>
          <w:szCs w:val="22"/>
          <w:lang w:val="es-MX" w:eastAsia="es-MX"/>
        </w:rPr>
        <w:t>resultan inaplicables al caso concreto</w:t>
      </w:r>
      <w:r w:rsidR="00F20523">
        <w:rPr>
          <w:rFonts w:ascii="ITC Avant Garde" w:hAnsi="ITC Avant Garde"/>
          <w:bCs/>
          <w:color w:val="000000"/>
          <w:sz w:val="22"/>
          <w:szCs w:val="22"/>
          <w:lang w:val="es-MX" w:eastAsia="es-MX"/>
        </w:rPr>
        <w:t>, pues</w:t>
      </w:r>
      <w:r w:rsidR="00DF1DC0" w:rsidRPr="00D519C5">
        <w:rPr>
          <w:rFonts w:ascii="ITC Avant Garde" w:hAnsi="ITC Avant Garde"/>
          <w:bCs/>
          <w:color w:val="000000"/>
          <w:sz w:val="22"/>
          <w:szCs w:val="22"/>
          <w:lang w:val="es-MX" w:eastAsia="es-MX"/>
        </w:rPr>
        <w:t xml:space="preserve"> los requerimientos de espectro radioeléctrico del solicitante </w:t>
      </w:r>
      <w:r w:rsidR="00F20523">
        <w:rPr>
          <w:rFonts w:ascii="ITC Avant Garde" w:hAnsi="ITC Avant Garde"/>
          <w:bCs/>
          <w:color w:val="000000"/>
          <w:sz w:val="22"/>
          <w:szCs w:val="22"/>
          <w:lang w:val="es-MX" w:eastAsia="es-MX"/>
        </w:rPr>
        <w:t>están destinado a garantizar la seguridad y operabilidad del</w:t>
      </w:r>
      <w:r w:rsidR="00F20523" w:rsidRPr="00D519C5">
        <w:rPr>
          <w:rFonts w:ascii="ITC Avant Garde" w:hAnsi="ITC Avant Garde"/>
          <w:bCs/>
          <w:color w:val="000000"/>
          <w:sz w:val="22"/>
          <w:szCs w:val="22"/>
          <w:lang w:val="es-MX" w:eastAsia="es-MX"/>
        </w:rPr>
        <w:t xml:space="preserve"> servicio ferroviario </w:t>
      </w:r>
      <w:r w:rsidR="00F20523">
        <w:rPr>
          <w:rFonts w:ascii="ITC Avant Garde" w:hAnsi="ITC Avant Garde"/>
          <w:bCs/>
          <w:color w:val="000000"/>
          <w:sz w:val="22"/>
          <w:szCs w:val="22"/>
          <w:lang w:val="es-MX" w:eastAsia="es-MX"/>
        </w:rPr>
        <w:t>que tiene concesionado. Es decir, e</w:t>
      </w:r>
      <w:r w:rsidR="00F20523" w:rsidRPr="00D519C5">
        <w:rPr>
          <w:rFonts w:ascii="ITC Avant Garde" w:hAnsi="ITC Avant Garde"/>
          <w:bCs/>
          <w:color w:val="000000"/>
          <w:sz w:val="22"/>
          <w:szCs w:val="22"/>
          <w:lang w:val="es-MX" w:eastAsia="es-MX"/>
        </w:rPr>
        <w:t>n ningún momento</w:t>
      </w:r>
      <w:r w:rsidR="00F20523">
        <w:rPr>
          <w:rFonts w:ascii="ITC Avant Garde" w:hAnsi="ITC Avant Garde"/>
          <w:bCs/>
          <w:color w:val="000000"/>
          <w:sz w:val="22"/>
          <w:szCs w:val="22"/>
          <w:lang w:val="es-MX" w:eastAsia="es-MX"/>
        </w:rPr>
        <w:t>, el uso y aprovechamiento del espectro solicitando estará destinado al lucro</w:t>
      </w:r>
      <w:r w:rsidR="00DF1DC0" w:rsidRPr="00D519C5">
        <w:rPr>
          <w:rFonts w:ascii="ITC Avant Garde" w:hAnsi="ITC Avant Garde"/>
          <w:bCs/>
          <w:color w:val="000000"/>
          <w:sz w:val="22"/>
          <w:szCs w:val="22"/>
          <w:lang w:val="es-MX" w:eastAsia="es-MX"/>
        </w:rPr>
        <w:t>.</w:t>
      </w:r>
    </w:p>
    <w:p w14:paraId="267336FC" w14:textId="5034E430" w:rsidR="00002A8D" w:rsidRPr="00D519C5" w:rsidRDefault="00BD4421" w:rsidP="002D7BBD">
      <w:pPr>
        <w:autoSpaceDE w:val="0"/>
        <w:autoSpaceDN w:val="0"/>
        <w:adjustRightInd w:val="0"/>
        <w:spacing w:before="240" w:after="240"/>
        <w:jc w:val="both"/>
        <w:rPr>
          <w:rFonts w:ascii="ITC Avant Garde" w:eastAsia="Calibri" w:hAnsi="ITC Avant Garde"/>
          <w:sz w:val="22"/>
          <w:szCs w:val="22"/>
          <w:lang w:val="es-MX" w:eastAsia="en-US"/>
        </w:rPr>
      </w:pPr>
      <w:r w:rsidRPr="00D519C5">
        <w:rPr>
          <w:rFonts w:ascii="ITC Avant Garde" w:hAnsi="ITC Avant Garde"/>
          <w:bCs/>
          <w:color w:val="000000"/>
          <w:sz w:val="22"/>
          <w:szCs w:val="22"/>
          <w:lang w:val="es-MX" w:eastAsia="es-MX"/>
        </w:rPr>
        <w:t>P</w:t>
      </w:r>
      <w:r w:rsidR="00D554DC" w:rsidRPr="00D519C5">
        <w:rPr>
          <w:rFonts w:ascii="ITC Avant Garde" w:hAnsi="ITC Avant Garde"/>
          <w:bCs/>
          <w:color w:val="000000"/>
          <w:sz w:val="22"/>
          <w:szCs w:val="22"/>
          <w:lang w:val="es-MX" w:eastAsia="es-MX"/>
        </w:rPr>
        <w:t>or lo que se refiere al dictamen</w:t>
      </w:r>
      <w:r w:rsidRPr="00D519C5">
        <w:rPr>
          <w:rFonts w:ascii="ITC Avant Garde" w:hAnsi="ITC Avant Garde"/>
          <w:bCs/>
          <w:color w:val="000000"/>
          <w:sz w:val="22"/>
          <w:szCs w:val="22"/>
          <w:lang w:val="es-MX" w:eastAsia="es-MX"/>
        </w:rPr>
        <w:t xml:space="preserve"> realizado por la Dirección General de Planeación del Espectro, mismo que es parte de la opinión formulada por la Unidad de Espectro Radioeléctrico y que se señala en el Antecedente </w:t>
      </w:r>
      <w:r w:rsidRPr="0044508D">
        <w:rPr>
          <w:rFonts w:ascii="ITC Avant Garde" w:hAnsi="ITC Avant Garde"/>
          <w:bCs/>
          <w:color w:val="000000"/>
          <w:sz w:val="22"/>
          <w:szCs w:val="22"/>
          <w:lang w:val="es-MX" w:eastAsia="es-MX"/>
        </w:rPr>
        <w:t>X</w:t>
      </w:r>
      <w:r w:rsidR="003E5549" w:rsidRPr="0044508D">
        <w:rPr>
          <w:rFonts w:ascii="ITC Avant Garde" w:hAnsi="ITC Avant Garde"/>
          <w:bCs/>
          <w:color w:val="000000"/>
          <w:sz w:val="22"/>
          <w:szCs w:val="22"/>
          <w:lang w:val="es-MX" w:eastAsia="es-MX"/>
        </w:rPr>
        <w:t>V</w:t>
      </w:r>
      <w:r w:rsidR="00F20523">
        <w:rPr>
          <w:rFonts w:ascii="ITC Avant Garde" w:hAnsi="ITC Avant Garde"/>
          <w:bCs/>
          <w:color w:val="000000"/>
          <w:sz w:val="22"/>
          <w:szCs w:val="22"/>
          <w:lang w:val="es-MX" w:eastAsia="es-MX"/>
        </w:rPr>
        <w:t>I</w:t>
      </w:r>
      <w:r w:rsidRPr="00D519C5">
        <w:rPr>
          <w:rFonts w:ascii="ITC Avant Garde" w:hAnsi="ITC Avant Garde"/>
          <w:bCs/>
          <w:color w:val="000000"/>
          <w:sz w:val="22"/>
          <w:szCs w:val="22"/>
          <w:lang w:val="es-MX" w:eastAsia="es-MX"/>
        </w:rPr>
        <w:t xml:space="preserve"> de la presente Resolución, se considera procedente el uso solicitado dentro de los rangos de frecuencias de 148-174</w:t>
      </w:r>
      <w:r w:rsidR="008D3767" w:rsidRPr="00D519C5">
        <w:rPr>
          <w:rFonts w:ascii="ITC Avant Garde" w:hAnsi="ITC Avant Garde"/>
          <w:bCs/>
          <w:color w:val="000000"/>
          <w:sz w:val="22"/>
          <w:szCs w:val="22"/>
          <w:lang w:val="es-MX" w:eastAsia="es-MX"/>
        </w:rPr>
        <w:t xml:space="preserve"> MHz, 220-222</w:t>
      </w:r>
      <w:r w:rsidRPr="00D519C5">
        <w:rPr>
          <w:rFonts w:ascii="ITC Avant Garde" w:hAnsi="ITC Avant Garde"/>
          <w:bCs/>
          <w:color w:val="000000"/>
          <w:sz w:val="22"/>
          <w:szCs w:val="22"/>
          <w:lang w:val="es-MX" w:eastAsia="es-MX"/>
        </w:rPr>
        <w:t xml:space="preserve"> MHz</w:t>
      </w:r>
      <w:r w:rsidR="008D3767" w:rsidRPr="00D519C5">
        <w:rPr>
          <w:rFonts w:ascii="ITC Avant Garde" w:hAnsi="ITC Avant Garde"/>
          <w:bCs/>
          <w:color w:val="000000"/>
          <w:sz w:val="22"/>
          <w:szCs w:val="22"/>
          <w:lang w:val="es-MX" w:eastAsia="es-MX"/>
        </w:rPr>
        <w:t>, 350-380 MHz, 450-470 MHz</w:t>
      </w:r>
      <w:r w:rsidR="00AB5085" w:rsidRPr="00D519C5">
        <w:rPr>
          <w:rFonts w:ascii="ITC Avant Garde" w:hAnsi="ITC Avant Garde"/>
          <w:bCs/>
          <w:color w:val="000000"/>
          <w:sz w:val="22"/>
          <w:szCs w:val="22"/>
          <w:lang w:val="es-MX" w:eastAsia="es-MX"/>
        </w:rPr>
        <w:t>,</w:t>
      </w:r>
      <w:r w:rsidR="008D3767" w:rsidRPr="00D519C5">
        <w:rPr>
          <w:rFonts w:ascii="ITC Avant Garde" w:hAnsi="ITC Avant Garde"/>
          <w:bCs/>
          <w:color w:val="000000"/>
          <w:sz w:val="22"/>
          <w:szCs w:val="22"/>
          <w:lang w:val="es-MX" w:eastAsia="es-MX"/>
        </w:rPr>
        <w:t xml:space="preserve"> 1427-1518 MHz</w:t>
      </w:r>
      <w:r w:rsidR="00912975" w:rsidRPr="00D519C5">
        <w:rPr>
          <w:rFonts w:ascii="ITC Avant Garde" w:hAnsi="ITC Avant Garde"/>
          <w:bCs/>
          <w:color w:val="000000"/>
          <w:sz w:val="22"/>
          <w:szCs w:val="22"/>
          <w:lang w:val="es-MX" w:eastAsia="es-MX"/>
        </w:rPr>
        <w:t xml:space="preserve"> y</w:t>
      </w:r>
      <w:r w:rsidR="00912975" w:rsidRPr="00D519C5">
        <w:t xml:space="preserve"> </w:t>
      </w:r>
      <w:r w:rsidR="00912975" w:rsidRPr="00D519C5">
        <w:rPr>
          <w:rFonts w:ascii="ITC Avant Garde" w:hAnsi="ITC Avant Garde"/>
          <w:bCs/>
          <w:color w:val="000000"/>
          <w:sz w:val="22"/>
          <w:szCs w:val="22"/>
          <w:lang w:val="es-MX" w:eastAsia="es-MX"/>
        </w:rPr>
        <w:t>21</w:t>
      </w:r>
      <w:r w:rsidR="00E80765">
        <w:rPr>
          <w:rFonts w:ascii="ITC Avant Garde" w:hAnsi="ITC Avant Garde"/>
          <w:bCs/>
          <w:color w:val="000000"/>
          <w:sz w:val="22"/>
          <w:szCs w:val="22"/>
          <w:lang w:val="es-MX" w:eastAsia="es-MX"/>
        </w:rPr>
        <w:t>.</w:t>
      </w:r>
      <w:r w:rsidR="00912975" w:rsidRPr="00D519C5">
        <w:rPr>
          <w:rFonts w:ascii="ITC Avant Garde" w:hAnsi="ITC Avant Garde"/>
          <w:bCs/>
          <w:color w:val="000000"/>
          <w:sz w:val="22"/>
          <w:szCs w:val="22"/>
          <w:lang w:val="es-MX" w:eastAsia="es-MX"/>
        </w:rPr>
        <w:t>2-23</w:t>
      </w:r>
      <w:r w:rsidR="00E80765">
        <w:rPr>
          <w:rFonts w:ascii="ITC Avant Garde" w:hAnsi="ITC Avant Garde"/>
          <w:bCs/>
          <w:color w:val="000000"/>
          <w:sz w:val="22"/>
          <w:szCs w:val="22"/>
          <w:lang w:val="es-MX" w:eastAsia="es-MX"/>
        </w:rPr>
        <w:t>.6</w:t>
      </w:r>
      <w:r w:rsidR="00912975" w:rsidRPr="00D519C5">
        <w:rPr>
          <w:rFonts w:ascii="ITC Avant Garde" w:hAnsi="ITC Avant Garde"/>
          <w:bCs/>
          <w:color w:val="000000"/>
          <w:sz w:val="22"/>
          <w:szCs w:val="22"/>
          <w:lang w:val="es-MX" w:eastAsia="es-MX"/>
        </w:rPr>
        <w:t xml:space="preserve"> </w:t>
      </w:r>
      <w:r w:rsidR="00E80765">
        <w:rPr>
          <w:rFonts w:ascii="ITC Avant Garde" w:hAnsi="ITC Avant Garde"/>
          <w:bCs/>
          <w:color w:val="000000"/>
          <w:sz w:val="22"/>
          <w:szCs w:val="22"/>
          <w:lang w:val="es-MX" w:eastAsia="es-MX"/>
        </w:rPr>
        <w:t>G</w:t>
      </w:r>
      <w:r w:rsidR="00912975" w:rsidRPr="00D519C5">
        <w:rPr>
          <w:rFonts w:ascii="ITC Avant Garde" w:hAnsi="ITC Avant Garde"/>
          <w:bCs/>
          <w:color w:val="000000"/>
          <w:sz w:val="22"/>
          <w:szCs w:val="22"/>
          <w:lang w:val="es-MX" w:eastAsia="es-MX"/>
        </w:rPr>
        <w:t>Hz</w:t>
      </w:r>
      <w:r w:rsidRPr="00D519C5">
        <w:rPr>
          <w:rFonts w:ascii="ITC Avant Garde" w:hAnsi="ITC Avant Garde"/>
          <w:bCs/>
          <w:color w:val="000000"/>
          <w:sz w:val="22"/>
          <w:szCs w:val="22"/>
          <w:lang w:val="es-MX" w:eastAsia="es-MX"/>
        </w:rPr>
        <w:t xml:space="preserve"> objet</w:t>
      </w:r>
      <w:r w:rsidR="008D3767" w:rsidRPr="00D519C5">
        <w:rPr>
          <w:rFonts w:ascii="ITC Avant Garde" w:hAnsi="ITC Avant Garde"/>
          <w:bCs/>
          <w:color w:val="000000"/>
          <w:sz w:val="22"/>
          <w:szCs w:val="22"/>
          <w:lang w:val="es-MX" w:eastAsia="es-MX"/>
        </w:rPr>
        <w:t xml:space="preserve">o de la Solicitud, con base en </w:t>
      </w:r>
      <w:r w:rsidRPr="00D519C5">
        <w:rPr>
          <w:rFonts w:ascii="ITC Avant Garde" w:hAnsi="ITC Avant Garde"/>
          <w:bCs/>
          <w:color w:val="000000"/>
          <w:sz w:val="22"/>
          <w:szCs w:val="22"/>
          <w:lang w:val="es-MX" w:eastAsia="es-MX"/>
        </w:rPr>
        <w:t>l</w:t>
      </w:r>
      <w:r w:rsidR="008D3767" w:rsidRPr="00D519C5">
        <w:rPr>
          <w:rFonts w:ascii="ITC Avant Garde" w:hAnsi="ITC Avant Garde"/>
          <w:bCs/>
          <w:color w:val="000000"/>
          <w:sz w:val="22"/>
          <w:szCs w:val="22"/>
          <w:lang w:val="es-MX" w:eastAsia="es-MX"/>
        </w:rPr>
        <w:t>os</w:t>
      </w:r>
      <w:r w:rsidRPr="00D519C5">
        <w:rPr>
          <w:rFonts w:ascii="ITC Avant Garde" w:hAnsi="ITC Avant Garde"/>
          <w:bCs/>
          <w:color w:val="000000"/>
          <w:sz w:val="22"/>
          <w:szCs w:val="22"/>
          <w:lang w:val="es-MX" w:eastAsia="es-MX"/>
        </w:rPr>
        <w:t xml:space="preserve"> análisis siguiente</w:t>
      </w:r>
      <w:r w:rsidR="008D3767" w:rsidRPr="00D519C5">
        <w:rPr>
          <w:rFonts w:ascii="ITC Avant Garde" w:hAnsi="ITC Avant Garde"/>
          <w:bCs/>
          <w:color w:val="000000"/>
          <w:sz w:val="22"/>
          <w:szCs w:val="22"/>
          <w:lang w:val="es-MX" w:eastAsia="es-MX"/>
        </w:rPr>
        <w:t>s</w:t>
      </w:r>
      <w:r w:rsidRPr="00D519C5">
        <w:rPr>
          <w:rFonts w:ascii="ITC Avant Garde" w:hAnsi="ITC Avant Garde"/>
          <w:bCs/>
          <w:color w:val="000000"/>
          <w:sz w:val="22"/>
          <w:szCs w:val="22"/>
          <w:lang w:val="es-MX" w:eastAsia="es-MX"/>
        </w:rPr>
        <w:t>:</w:t>
      </w:r>
    </w:p>
    <w:p w14:paraId="247972D7" w14:textId="77777777" w:rsidR="002D7BBD" w:rsidRDefault="005B0176" w:rsidP="002D7BBD">
      <w:pPr>
        <w:autoSpaceDE w:val="0"/>
        <w:autoSpaceDN w:val="0"/>
        <w:adjustRightInd w:val="0"/>
        <w:spacing w:before="240" w:after="240"/>
        <w:jc w:val="both"/>
        <w:rPr>
          <w:rFonts w:ascii="ITC Avant Garde" w:eastAsia="Calibri" w:hAnsi="ITC Avant Garde"/>
          <w:sz w:val="22"/>
          <w:lang w:val="es-MX" w:eastAsia="en-US"/>
        </w:rPr>
      </w:pPr>
      <w:r w:rsidRPr="005B0176">
        <w:rPr>
          <w:rFonts w:ascii="ITC Avant Garde" w:eastAsia="Calibri" w:hAnsi="ITC Avant Garde"/>
          <w:sz w:val="22"/>
          <w:lang w:val="es-MX" w:eastAsia="en-US"/>
        </w:rPr>
        <w:t>A.</w:t>
      </w:r>
      <w:r w:rsidRPr="005B0176">
        <w:rPr>
          <w:rFonts w:ascii="ITC Avant Garde" w:eastAsia="Calibri" w:hAnsi="ITC Avant Garde"/>
          <w:sz w:val="22"/>
          <w:lang w:val="es-MX" w:eastAsia="en-US"/>
        </w:rPr>
        <w:tab/>
        <w:t>Por lo que hace al rango de frecuencias 148-174 MHz, se consideró lo siguiente</w:t>
      </w:r>
      <w:r>
        <w:rPr>
          <w:rFonts w:ascii="ITC Avant Garde" w:eastAsia="Calibri" w:hAnsi="ITC Avant Garde"/>
          <w:sz w:val="22"/>
          <w:lang w:val="es-MX" w:eastAsia="en-US"/>
        </w:rPr>
        <w:t>:</w:t>
      </w:r>
      <w:r w:rsidRPr="005B0176" w:rsidDel="005B0176">
        <w:rPr>
          <w:rFonts w:ascii="ITC Avant Garde" w:eastAsia="Calibri" w:hAnsi="ITC Avant Garde"/>
          <w:sz w:val="22"/>
          <w:lang w:val="es-MX" w:eastAsia="en-US"/>
        </w:rPr>
        <w:t xml:space="preserve"> </w:t>
      </w:r>
    </w:p>
    <w:p w14:paraId="03C079EE" w14:textId="77777777" w:rsidR="002D7BBD" w:rsidRDefault="0065758B" w:rsidP="002D7BBD">
      <w:pPr>
        <w:autoSpaceDE w:val="0"/>
        <w:autoSpaceDN w:val="0"/>
        <w:adjustRightInd w:val="0"/>
        <w:spacing w:before="240" w:after="240"/>
        <w:ind w:left="567" w:right="709"/>
        <w:jc w:val="both"/>
        <w:rPr>
          <w:rFonts w:ascii="ITC Avant Garde" w:eastAsia="Calibri" w:hAnsi="ITC Avant Garde"/>
          <w:i/>
          <w:sz w:val="18"/>
          <w:lang w:val="es-MX" w:eastAsia="en-US"/>
        </w:rPr>
      </w:pPr>
      <w:r w:rsidRPr="00D519C5">
        <w:rPr>
          <w:rFonts w:ascii="ITC Avant Garde" w:eastAsia="Calibri" w:hAnsi="ITC Avant Garde"/>
          <w:i/>
          <w:sz w:val="18"/>
          <w:lang w:val="es-MX" w:eastAsia="en-US"/>
        </w:rPr>
        <w:t xml:space="preserve">“[…] </w:t>
      </w:r>
    </w:p>
    <w:p w14:paraId="7A5E05DE" w14:textId="77777777" w:rsidR="002D7BBD" w:rsidRDefault="0065758B" w:rsidP="002D7BBD">
      <w:pPr>
        <w:autoSpaceDE w:val="0"/>
        <w:autoSpaceDN w:val="0"/>
        <w:adjustRightInd w:val="0"/>
        <w:spacing w:before="240" w:after="240"/>
        <w:ind w:left="567" w:right="709"/>
        <w:jc w:val="both"/>
        <w:rPr>
          <w:rFonts w:ascii="ITC Avant Garde" w:eastAsia="Calibri" w:hAnsi="ITC Avant Garde"/>
          <w:i/>
          <w:sz w:val="18"/>
          <w:lang w:val="es-MX" w:eastAsia="en-US"/>
        </w:rPr>
      </w:pPr>
      <w:r w:rsidRPr="00D519C5">
        <w:rPr>
          <w:rFonts w:ascii="ITC Avant Garde" w:eastAsia="Calibri" w:hAnsi="ITC Avant Garde"/>
          <w:i/>
          <w:sz w:val="18"/>
          <w:lang w:val="es-MX" w:eastAsia="en-US"/>
        </w:rPr>
        <w:t xml:space="preserve">En virtud de todo lo anterior, se prevé que en el corto plazo, la banda de frecuencias 148-174 MHz continúe siendo empleada para los servicios que se proveen actualmente, con la recomendación de que las correspondientes concesiones que pudieran ser emitidas, se otorguen con una vigencia que no exceda al </w:t>
      </w:r>
      <w:r w:rsidRPr="00D519C5">
        <w:rPr>
          <w:rFonts w:ascii="ITC Avant Garde" w:eastAsia="Calibri" w:hAnsi="ITC Avant Garde"/>
          <w:b/>
          <w:i/>
          <w:sz w:val="18"/>
          <w:lang w:val="es-MX" w:eastAsia="en-US"/>
        </w:rPr>
        <w:t>31 de diciembre de 2021</w:t>
      </w:r>
      <w:r w:rsidRPr="00D519C5">
        <w:rPr>
          <w:rFonts w:ascii="ITC Avant Garde" w:eastAsia="Calibri" w:hAnsi="ITC Avant Garde"/>
          <w:i/>
          <w:sz w:val="18"/>
          <w:lang w:val="es-MX" w:eastAsia="en-US"/>
        </w:rPr>
        <w:t>.</w:t>
      </w:r>
    </w:p>
    <w:p w14:paraId="10524CA2" w14:textId="77777777" w:rsidR="002D7BBD" w:rsidRDefault="0065758B" w:rsidP="002D7BBD">
      <w:pPr>
        <w:autoSpaceDE w:val="0"/>
        <w:autoSpaceDN w:val="0"/>
        <w:adjustRightInd w:val="0"/>
        <w:spacing w:before="240" w:after="240"/>
        <w:ind w:left="567" w:right="709"/>
        <w:jc w:val="both"/>
        <w:rPr>
          <w:rFonts w:ascii="ITC Avant Garde" w:eastAsia="Calibri" w:hAnsi="ITC Avant Garde"/>
          <w:i/>
          <w:sz w:val="18"/>
          <w:lang w:val="es-MX" w:eastAsia="en-US"/>
        </w:rPr>
      </w:pPr>
      <w:r w:rsidRPr="00D519C5">
        <w:rPr>
          <w:rFonts w:ascii="ITC Avant Garde" w:eastAsia="Calibri" w:hAnsi="ITC Avant Garde"/>
          <w:i/>
          <w:sz w:val="18"/>
          <w:lang w:val="es-MX" w:eastAsia="en-US"/>
        </w:rPr>
        <w:t>La presente salvedad sobre la vigencia, atiende a la necesidad de analizar prospectivamente todos los factores que intervienen en los estudios en desarrollo. Dichos estudios brindarán los insum</w:t>
      </w:r>
      <w:r>
        <w:rPr>
          <w:rFonts w:ascii="ITC Avant Garde" w:eastAsia="Calibri" w:hAnsi="ITC Avant Garde"/>
          <w:i/>
          <w:sz w:val="18"/>
          <w:lang w:val="es-MX" w:eastAsia="en-US"/>
        </w:rPr>
        <w:t>o</w:t>
      </w:r>
      <w:r w:rsidRPr="00D519C5">
        <w:rPr>
          <w:rFonts w:ascii="ITC Avant Garde" w:eastAsia="Calibri" w:hAnsi="ITC Avant Garde"/>
          <w:i/>
          <w:sz w:val="18"/>
          <w:lang w:val="es-MX" w:eastAsia="en-US"/>
        </w:rPr>
        <w:t xml:space="preserve">s para determinar la mejor estrategia a implementar en la banda 148-174 MHz, de forma tal que se propicie un uso eficaz y oportuno del espectro radioeléctrico para los servicios actuales y futuros en la banda de frecuencias en comento. </w:t>
      </w:r>
    </w:p>
    <w:p w14:paraId="3E2F65BA" w14:textId="77777777" w:rsidR="002D7BBD" w:rsidRDefault="0065758B" w:rsidP="002D7BBD">
      <w:pPr>
        <w:autoSpaceDE w:val="0"/>
        <w:autoSpaceDN w:val="0"/>
        <w:adjustRightInd w:val="0"/>
        <w:spacing w:before="240" w:after="240"/>
        <w:ind w:left="567" w:right="709"/>
        <w:jc w:val="both"/>
        <w:rPr>
          <w:rFonts w:ascii="ITC Avant Garde" w:eastAsia="Calibri" w:hAnsi="ITC Avant Garde"/>
          <w:i/>
          <w:sz w:val="18"/>
          <w:lang w:val="es-MX" w:eastAsia="en-US"/>
        </w:rPr>
      </w:pPr>
      <w:r w:rsidRPr="00D519C5">
        <w:rPr>
          <w:rFonts w:ascii="ITC Avant Garde" w:eastAsia="Calibri" w:hAnsi="ITC Avant Garde"/>
          <w:i/>
          <w:sz w:val="18"/>
          <w:lang w:val="es-MX" w:eastAsia="en-US"/>
        </w:rPr>
        <w:t>Finalmente, valorando que los sistemas de radiocomunicaciones para la operación de los ferrocarriles en nuestro país son de vital importancia para prevalecer la seguridad de la vida humana y que dichos sistemas constituyen una parte fundamental en el desarrollo de la industria ferroviaria, se considera que el uso de la banda de frecuencias 148-174 MHz en el corto plazo, es compatible con el uso solicitado.</w:t>
      </w:r>
    </w:p>
    <w:p w14:paraId="4AFD0EAA" w14:textId="4052A922" w:rsidR="0065758B" w:rsidRPr="00D519C5" w:rsidRDefault="0065758B" w:rsidP="002D7BBD">
      <w:pPr>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D519C5">
        <w:rPr>
          <w:rFonts w:ascii="ITC Avant Garde" w:hAnsi="ITC Avant Garde"/>
          <w:bCs/>
          <w:i/>
          <w:color w:val="000000"/>
          <w:sz w:val="18"/>
          <w:szCs w:val="18"/>
          <w:lang w:val="es-MX" w:eastAsia="es-MX"/>
        </w:rPr>
        <w:t>Dictamen</w:t>
      </w:r>
    </w:p>
    <w:p w14:paraId="304A6E23" w14:textId="77777777" w:rsidR="002D7BBD" w:rsidRDefault="0065758B" w:rsidP="002D7BBD">
      <w:pPr>
        <w:autoSpaceDE w:val="0"/>
        <w:autoSpaceDN w:val="0"/>
        <w:adjustRightInd w:val="0"/>
        <w:spacing w:before="240" w:after="240"/>
        <w:ind w:left="567" w:right="709"/>
        <w:jc w:val="both"/>
        <w:rPr>
          <w:rFonts w:ascii="ITC Avant Garde" w:eastAsia="Calibri" w:hAnsi="ITC Avant Garde"/>
          <w:i/>
          <w:sz w:val="18"/>
          <w:lang w:val="es-MX" w:eastAsia="en-US"/>
        </w:rPr>
      </w:pPr>
      <w:r w:rsidRPr="00D519C5">
        <w:rPr>
          <w:rFonts w:ascii="ITC Avant Garde" w:eastAsia="Calibri" w:hAnsi="ITC Avant Garde"/>
          <w:i/>
          <w:sz w:val="18"/>
          <w:lang w:val="es-MX" w:eastAsia="en-US"/>
        </w:rPr>
        <w:t xml:space="preserve">Con base en el análisis previo y desde el punto de vista de planeación del espectro, el uso solicitado dentro del rango de frecuencias objeto de la solicitud se considera </w:t>
      </w:r>
      <w:r w:rsidRPr="00D519C5">
        <w:rPr>
          <w:rFonts w:ascii="ITC Avant Garde" w:eastAsia="Calibri" w:hAnsi="ITC Avant Garde"/>
          <w:b/>
          <w:i/>
          <w:sz w:val="18"/>
          <w:lang w:val="es-MX" w:eastAsia="en-US"/>
        </w:rPr>
        <w:t>PROCEDENTE.</w:t>
      </w:r>
    </w:p>
    <w:p w14:paraId="0D926A4A" w14:textId="77777777" w:rsidR="002D7BBD" w:rsidRDefault="0065758B" w:rsidP="002D7BBD">
      <w:pPr>
        <w:autoSpaceDE w:val="0"/>
        <w:autoSpaceDN w:val="0"/>
        <w:adjustRightInd w:val="0"/>
        <w:spacing w:before="240" w:after="240"/>
        <w:ind w:left="567" w:right="709"/>
        <w:jc w:val="both"/>
        <w:rPr>
          <w:rFonts w:ascii="ITC Avant Garde" w:eastAsia="Calibri" w:hAnsi="ITC Avant Garde"/>
          <w:sz w:val="18"/>
          <w:lang w:val="es-MX" w:eastAsia="en-US"/>
        </w:rPr>
      </w:pPr>
      <w:r w:rsidRPr="00D519C5">
        <w:rPr>
          <w:rFonts w:ascii="ITC Avant Garde" w:eastAsia="Calibri" w:hAnsi="ITC Avant Garde"/>
          <w:i/>
          <w:sz w:val="18"/>
          <w:lang w:val="es-MX" w:eastAsia="en-US"/>
        </w:rPr>
        <w:t xml:space="preserve">[…]” </w:t>
      </w:r>
      <w:r w:rsidRPr="00D519C5">
        <w:rPr>
          <w:rFonts w:ascii="ITC Avant Garde" w:eastAsia="Calibri" w:hAnsi="ITC Avant Garde"/>
          <w:sz w:val="18"/>
          <w:lang w:val="es-MX" w:eastAsia="en-US"/>
        </w:rPr>
        <w:t>(Énfasis añadido)</w:t>
      </w:r>
    </w:p>
    <w:p w14:paraId="5378F9FF" w14:textId="77777777" w:rsidR="002D7BBD" w:rsidRDefault="005B0176" w:rsidP="002D7BBD">
      <w:pPr>
        <w:autoSpaceDE w:val="0"/>
        <w:autoSpaceDN w:val="0"/>
        <w:adjustRightInd w:val="0"/>
        <w:spacing w:before="240" w:after="240"/>
        <w:jc w:val="both"/>
        <w:rPr>
          <w:rFonts w:ascii="ITC Avant Garde" w:eastAsia="Calibri" w:hAnsi="ITC Avant Garde"/>
          <w:sz w:val="22"/>
          <w:lang w:val="es-MX" w:eastAsia="en-US"/>
        </w:rPr>
      </w:pPr>
      <w:r>
        <w:rPr>
          <w:rFonts w:ascii="ITC Avant Garde" w:eastAsia="Calibri" w:hAnsi="ITC Avant Garde"/>
          <w:sz w:val="22"/>
          <w:lang w:val="es-MX" w:eastAsia="en-US"/>
        </w:rPr>
        <w:lastRenderedPageBreak/>
        <w:t xml:space="preserve">B. </w:t>
      </w:r>
      <w:r w:rsidRPr="0044508D">
        <w:rPr>
          <w:rFonts w:ascii="ITC Avant Garde" w:eastAsia="Calibri" w:hAnsi="ITC Avant Garde"/>
          <w:sz w:val="22"/>
          <w:lang w:val="es-MX" w:eastAsia="en-US"/>
        </w:rPr>
        <w:t xml:space="preserve">Por lo que hace al rango de frecuencias de </w:t>
      </w:r>
      <w:r w:rsidRPr="001B321A">
        <w:rPr>
          <w:rFonts w:ascii="ITC Avant Garde" w:eastAsia="Calibri" w:hAnsi="ITC Avant Garde"/>
          <w:sz w:val="22"/>
          <w:lang w:val="es-MX" w:eastAsia="en-US"/>
        </w:rPr>
        <w:t xml:space="preserve">220-222 MHz, se consideró lo </w:t>
      </w:r>
      <w:r w:rsidRPr="0044508D">
        <w:rPr>
          <w:rFonts w:ascii="ITC Avant Garde" w:eastAsia="Calibri" w:hAnsi="ITC Avant Garde"/>
          <w:sz w:val="22"/>
          <w:lang w:val="es-MX" w:eastAsia="en-US"/>
        </w:rPr>
        <w:t>siguiente:</w:t>
      </w:r>
    </w:p>
    <w:p w14:paraId="30D11705" w14:textId="77777777" w:rsidR="002D7BBD" w:rsidRDefault="0065758B" w:rsidP="002D7BBD">
      <w:pPr>
        <w:pStyle w:val="Prrafodelista"/>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D519C5">
        <w:rPr>
          <w:rFonts w:ascii="ITC Avant Garde" w:hAnsi="ITC Avant Garde"/>
          <w:bCs/>
          <w:i/>
          <w:color w:val="000000"/>
          <w:sz w:val="18"/>
          <w:szCs w:val="18"/>
          <w:lang w:val="es-MX" w:eastAsia="es-MX"/>
        </w:rPr>
        <w:t>“[…]</w:t>
      </w:r>
    </w:p>
    <w:p w14:paraId="72CA77CE" w14:textId="631B7E81" w:rsidR="0065758B" w:rsidRPr="00D519C5" w:rsidRDefault="0065758B" w:rsidP="002D7BBD">
      <w:pPr>
        <w:pStyle w:val="Prrafodelista"/>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D519C5">
        <w:rPr>
          <w:rFonts w:ascii="ITC Avant Garde" w:hAnsi="ITC Avant Garde"/>
          <w:bCs/>
          <w:i/>
          <w:color w:val="000000"/>
          <w:sz w:val="18"/>
          <w:szCs w:val="18"/>
          <w:lang w:val="es-MX" w:eastAsia="es-MX"/>
        </w:rPr>
        <w:t>Particularmente, en la banda de frecuencias 220 a 222 MHz se tiene proyectada la operación de sistemas de prevención de colisiones en el transporte ferroviario conocidos como sistemas PTC (Positive Train Control). La implementación de dichos sistemas, ayudará a la prevención de accidentes, mediante mecanismos de control que evitan colisiones entre trenes, descarrilamientos provocados por exceso de velocidad e incursiones erróneas hacia zonas no autorizadas que deriven en lesiones considerables a los trabajadores ferroviarios y público en general.</w:t>
      </w:r>
    </w:p>
    <w:p w14:paraId="4ED30420" w14:textId="77777777" w:rsidR="002D7BBD" w:rsidRDefault="005B0176" w:rsidP="002D7BBD">
      <w:pPr>
        <w:pStyle w:val="Prrafodelista"/>
        <w:autoSpaceDE w:val="0"/>
        <w:autoSpaceDN w:val="0"/>
        <w:adjustRightInd w:val="0"/>
        <w:spacing w:before="240" w:after="240"/>
        <w:ind w:left="567" w:right="709"/>
        <w:jc w:val="both"/>
        <w:rPr>
          <w:rFonts w:ascii="ITC Avant Garde" w:hAnsi="ITC Avant Garde"/>
          <w:bCs/>
          <w:i/>
          <w:color w:val="000000"/>
          <w:sz w:val="18"/>
          <w:szCs w:val="18"/>
          <w:lang w:val="es-MX" w:eastAsia="es-MX"/>
        </w:rPr>
      </w:pPr>
      <w:r>
        <w:rPr>
          <w:rFonts w:ascii="ITC Avant Garde" w:hAnsi="ITC Avant Garde"/>
          <w:bCs/>
          <w:i/>
          <w:color w:val="000000"/>
          <w:sz w:val="18"/>
          <w:szCs w:val="18"/>
          <w:lang w:val="es-MX" w:eastAsia="es-MX"/>
        </w:rPr>
        <w:t xml:space="preserve">Por otro lado; en lo tocante al Protocolo mencionado en el numeral 3 del presente Dictamen, es de resaltar que ambas administraciones han planteado una reorganización de la banda que responde a la necesidad de establecer canales exclusivos para la operación del sistema PTC y de esta forma otorgar la seguridad necesaria para garantizar las operaciones que se encuentran destinadas para el sistema ferroviario y la preservación de la vida humana. </w:t>
      </w:r>
    </w:p>
    <w:p w14:paraId="39A1D0A7" w14:textId="77777777" w:rsidR="002D7BBD" w:rsidRDefault="005B0176" w:rsidP="002D7BBD">
      <w:pPr>
        <w:pStyle w:val="Prrafodelista"/>
        <w:autoSpaceDE w:val="0"/>
        <w:autoSpaceDN w:val="0"/>
        <w:adjustRightInd w:val="0"/>
        <w:spacing w:before="240" w:after="240"/>
        <w:ind w:left="567" w:right="709"/>
        <w:jc w:val="both"/>
        <w:rPr>
          <w:rFonts w:ascii="ITC Avant Garde" w:hAnsi="ITC Avant Garde"/>
          <w:bCs/>
          <w:i/>
          <w:color w:val="000000"/>
          <w:sz w:val="18"/>
          <w:szCs w:val="18"/>
          <w:lang w:val="es-MX" w:eastAsia="es-MX"/>
        </w:rPr>
      </w:pPr>
      <w:r>
        <w:rPr>
          <w:rFonts w:ascii="ITC Avant Garde" w:hAnsi="ITC Avant Garde"/>
          <w:bCs/>
          <w:i/>
          <w:color w:val="000000"/>
          <w:sz w:val="18"/>
          <w:szCs w:val="18"/>
          <w:lang w:val="es-MX" w:eastAsia="es-MX"/>
        </w:rPr>
        <w:t>Aunado a lo anterior, en la actualidad existen 135 registros de servicios móviles a nivel nacional, asignados a las empresas Ferrocarril Mexicano, S.A. de C.V.; y Kansas City Southern de México, S.A. de C.V., por lo que la solicitud presentada resulta adecuada a lo planificado por el Instituto.</w:t>
      </w:r>
    </w:p>
    <w:p w14:paraId="7BB0F490" w14:textId="77777777" w:rsidR="002D7BBD" w:rsidRDefault="0065758B" w:rsidP="002D7BBD">
      <w:pPr>
        <w:pStyle w:val="Prrafodelista"/>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D519C5">
        <w:rPr>
          <w:rFonts w:ascii="ITC Avant Garde" w:hAnsi="ITC Avant Garde"/>
          <w:bCs/>
          <w:i/>
          <w:color w:val="000000"/>
          <w:sz w:val="18"/>
          <w:szCs w:val="18"/>
          <w:lang w:val="es-MX" w:eastAsia="es-MX"/>
        </w:rPr>
        <w:t>[…]</w:t>
      </w:r>
    </w:p>
    <w:p w14:paraId="1879423C" w14:textId="0FCE62CC" w:rsidR="0065758B" w:rsidRPr="00D519C5" w:rsidRDefault="0065758B" w:rsidP="002D7BBD">
      <w:pPr>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D519C5">
        <w:rPr>
          <w:rFonts w:ascii="ITC Avant Garde" w:hAnsi="ITC Avant Garde"/>
          <w:bCs/>
          <w:i/>
          <w:color w:val="000000"/>
          <w:sz w:val="18"/>
          <w:szCs w:val="18"/>
          <w:lang w:val="es-MX" w:eastAsia="es-MX"/>
        </w:rPr>
        <w:t>Dictamen</w:t>
      </w:r>
    </w:p>
    <w:p w14:paraId="64B3A92E" w14:textId="77777777" w:rsidR="002D7BBD" w:rsidRDefault="0065758B" w:rsidP="002D7BBD">
      <w:pPr>
        <w:pStyle w:val="Prrafodelista"/>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D519C5">
        <w:rPr>
          <w:rFonts w:ascii="ITC Avant Garde" w:hAnsi="ITC Avant Garde"/>
          <w:bCs/>
          <w:i/>
          <w:color w:val="000000"/>
          <w:sz w:val="18"/>
          <w:szCs w:val="18"/>
          <w:lang w:val="es-MX" w:eastAsia="es-MX"/>
        </w:rPr>
        <w:t xml:space="preserve">Con base en el análisis previo y desde el punto de vista de planeación del espectro, el uso solicitado dentro del rango de frecuencias objeto de la solicitud se considera </w:t>
      </w:r>
      <w:r w:rsidRPr="00D519C5">
        <w:rPr>
          <w:rFonts w:ascii="ITC Avant Garde" w:hAnsi="ITC Avant Garde"/>
          <w:b/>
          <w:bCs/>
          <w:i/>
          <w:color w:val="000000"/>
          <w:sz w:val="18"/>
          <w:szCs w:val="18"/>
          <w:lang w:val="es-MX" w:eastAsia="es-MX"/>
        </w:rPr>
        <w:t>PROCEDENTE</w:t>
      </w:r>
      <w:r w:rsidRPr="00D519C5">
        <w:rPr>
          <w:rFonts w:ascii="ITC Avant Garde" w:hAnsi="ITC Avant Garde"/>
          <w:bCs/>
          <w:i/>
          <w:color w:val="000000"/>
          <w:sz w:val="18"/>
          <w:szCs w:val="18"/>
          <w:lang w:val="es-MX" w:eastAsia="es-MX"/>
        </w:rPr>
        <w:t>.</w:t>
      </w:r>
    </w:p>
    <w:p w14:paraId="2FE89543" w14:textId="77777777" w:rsidR="002D7BBD" w:rsidRDefault="0065758B" w:rsidP="002D7BBD">
      <w:pPr>
        <w:pStyle w:val="Prrafodelista"/>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D519C5">
        <w:rPr>
          <w:rFonts w:ascii="ITC Avant Garde" w:hAnsi="ITC Avant Garde"/>
          <w:bCs/>
          <w:i/>
          <w:color w:val="000000"/>
          <w:sz w:val="18"/>
          <w:szCs w:val="18"/>
          <w:lang w:val="es-MX" w:eastAsia="es-MX"/>
        </w:rPr>
        <w:t>[…]”</w:t>
      </w:r>
    </w:p>
    <w:p w14:paraId="52A497E1" w14:textId="77777777" w:rsidR="002D7BBD" w:rsidRDefault="005B0176" w:rsidP="002D7BBD">
      <w:pPr>
        <w:autoSpaceDE w:val="0"/>
        <w:autoSpaceDN w:val="0"/>
        <w:adjustRightInd w:val="0"/>
        <w:spacing w:before="240" w:after="240"/>
        <w:jc w:val="both"/>
        <w:rPr>
          <w:rFonts w:ascii="ITC Avant Garde" w:eastAsia="Calibri" w:hAnsi="ITC Avant Garde"/>
          <w:sz w:val="22"/>
          <w:lang w:val="es-MX" w:eastAsia="en-US"/>
        </w:rPr>
      </w:pPr>
      <w:r>
        <w:rPr>
          <w:rFonts w:ascii="ITC Avant Garde" w:hAnsi="ITC Avant Garde"/>
          <w:bCs/>
          <w:color w:val="000000"/>
          <w:sz w:val="22"/>
          <w:szCs w:val="22"/>
          <w:lang w:val="es-MX" w:eastAsia="es-MX"/>
        </w:rPr>
        <w:t xml:space="preserve">C. </w:t>
      </w:r>
      <w:r w:rsidRPr="0044508D">
        <w:rPr>
          <w:rFonts w:ascii="ITC Avant Garde" w:hAnsi="ITC Avant Garde"/>
          <w:bCs/>
          <w:color w:val="000000"/>
          <w:sz w:val="22"/>
          <w:szCs w:val="22"/>
          <w:lang w:val="es-MX" w:eastAsia="es-MX"/>
        </w:rPr>
        <w:t>Por lo que hace al r</w:t>
      </w:r>
      <w:r w:rsidRPr="0044508D">
        <w:rPr>
          <w:rFonts w:ascii="ITC Avant Garde" w:eastAsia="Calibri" w:hAnsi="ITC Avant Garde"/>
          <w:sz w:val="22"/>
          <w:lang w:val="es-MX" w:eastAsia="en-US"/>
        </w:rPr>
        <w:t>ango de frecuencias de 350-380 MHz, se consideró lo siguiente:</w:t>
      </w:r>
    </w:p>
    <w:p w14:paraId="75D8C975" w14:textId="77777777" w:rsidR="002D7BBD" w:rsidRDefault="0065758B" w:rsidP="002D7BBD">
      <w:pPr>
        <w:pStyle w:val="Prrafodelista"/>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D519C5">
        <w:rPr>
          <w:rFonts w:ascii="ITC Avant Garde" w:hAnsi="ITC Avant Garde"/>
          <w:bCs/>
          <w:i/>
          <w:color w:val="000000"/>
          <w:sz w:val="18"/>
          <w:szCs w:val="18"/>
          <w:lang w:val="es-MX" w:eastAsia="es-MX"/>
        </w:rPr>
        <w:t>“[…]</w:t>
      </w:r>
    </w:p>
    <w:p w14:paraId="085D86AE" w14:textId="77777777" w:rsidR="002D7BBD" w:rsidRDefault="0065758B" w:rsidP="002D7BBD">
      <w:pPr>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D519C5">
        <w:rPr>
          <w:rFonts w:ascii="ITC Avant Garde" w:hAnsi="ITC Avant Garde"/>
          <w:bCs/>
          <w:i/>
          <w:color w:val="000000"/>
          <w:sz w:val="18"/>
          <w:szCs w:val="18"/>
          <w:lang w:val="es-MX" w:eastAsia="es-MX"/>
        </w:rPr>
        <w:t>En virtud de lo expuesto anteriormente, dentro de las labores que se están llevando a cabo en este Instituto en materia de planificación del espectro, se prevé que la banda de frecuencias 350-380 MHz continúe siendo empleada para la prestación del servicio fijo, por lo que, el uso solicitado es compatible con las acciones de planificación previstas para esta banda de frecuencias.</w:t>
      </w:r>
    </w:p>
    <w:p w14:paraId="50427E04" w14:textId="77777777" w:rsidR="002D7BBD" w:rsidRDefault="005B0176" w:rsidP="002D7BBD">
      <w:pPr>
        <w:autoSpaceDE w:val="0"/>
        <w:autoSpaceDN w:val="0"/>
        <w:adjustRightInd w:val="0"/>
        <w:spacing w:before="240" w:after="240"/>
        <w:ind w:left="567" w:right="709"/>
        <w:jc w:val="both"/>
        <w:rPr>
          <w:rFonts w:ascii="ITC Avant Garde" w:hAnsi="ITC Avant Garde"/>
          <w:bCs/>
          <w:i/>
          <w:color w:val="000000"/>
          <w:sz w:val="18"/>
          <w:szCs w:val="18"/>
          <w:lang w:val="es-MX" w:eastAsia="es-MX"/>
        </w:rPr>
      </w:pPr>
      <w:r>
        <w:rPr>
          <w:rFonts w:ascii="ITC Avant Garde" w:hAnsi="ITC Avant Garde"/>
          <w:bCs/>
          <w:i/>
          <w:color w:val="000000"/>
          <w:sz w:val="18"/>
          <w:szCs w:val="18"/>
          <w:lang w:val="es-MX" w:eastAsia="es-MX"/>
        </w:rPr>
        <w:t>En este sentido, valorando que los sistemas de radiocomunicaciones para la operación de los ferrocarriles en nuestro país son de vital importancia para prevalecer la seguridad de la vida humana y que dichos sistemas constituyen una parte fundamental en el desarrollo de la industria ferroviaria, el uso solicitado en esta banda de frecuencias se considera viable para continuar con el trámite objeto de la solicitud.</w:t>
      </w:r>
    </w:p>
    <w:p w14:paraId="78EBEE6C" w14:textId="07046FD2" w:rsidR="0065758B" w:rsidRPr="00D519C5" w:rsidRDefault="0065758B" w:rsidP="002D7BBD">
      <w:pPr>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D519C5">
        <w:rPr>
          <w:rFonts w:ascii="ITC Avant Garde" w:hAnsi="ITC Avant Garde"/>
          <w:bCs/>
          <w:i/>
          <w:color w:val="000000"/>
          <w:sz w:val="18"/>
          <w:szCs w:val="18"/>
          <w:lang w:val="es-MX" w:eastAsia="es-MX"/>
        </w:rPr>
        <w:t>Dictamen</w:t>
      </w:r>
    </w:p>
    <w:p w14:paraId="0B1CA5DD" w14:textId="77777777" w:rsidR="002D7BBD" w:rsidRDefault="0065758B" w:rsidP="002D7BBD">
      <w:pPr>
        <w:autoSpaceDE w:val="0"/>
        <w:autoSpaceDN w:val="0"/>
        <w:adjustRightInd w:val="0"/>
        <w:spacing w:before="240" w:after="240"/>
        <w:ind w:left="567" w:right="709"/>
        <w:jc w:val="both"/>
        <w:rPr>
          <w:rFonts w:ascii="ITC Avant Garde" w:hAnsi="ITC Avant Garde"/>
          <w:b/>
          <w:bCs/>
          <w:i/>
          <w:color w:val="000000"/>
          <w:sz w:val="18"/>
          <w:szCs w:val="18"/>
          <w:lang w:val="es-MX" w:eastAsia="es-MX"/>
        </w:rPr>
      </w:pPr>
      <w:r w:rsidRPr="00D519C5">
        <w:rPr>
          <w:rFonts w:ascii="ITC Avant Garde" w:hAnsi="ITC Avant Garde"/>
          <w:bCs/>
          <w:i/>
          <w:color w:val="000000"/>
          <w:sz w:val="18"/>
          <w:szCs w:val="18"/>
          <w:lang w:val="es-MX" w:eastAsia="es-MX"/>
        </w:rPr>
        <w:t xml:space="preserve">Con base en el análisis previo y desde el punto de vista de planeación del espectro, el uso solicitado dentro del rango de frecuencias objeto de la solicitud se considera </w:t>
      </w:r>
      <w:r w:rsidRPr="00D519C5">
        <w:rPr>
          <w:rFonts w:ascii="ITC Avant Garde" w:hAnsi="ITC Avant Garde"/>
          <w:b/>
          <w:bCs/>
          <w:i/>
          <w:color w:val="000000"/>
          <w:sz w:val="18"/>
          <w:szCs w:val="18"/>
          <w:lang w:val="es-MX" w:eastAsia="es-MX"/>
        </w:rPr>
        <w:t>PROCEDENTE.</w:t>
      </w:r>
    </w:p>
    <w:p w14:paraId="3FD63F06" w14:textId="77777777" w:rsidR="002D7BBD" w:rsidRDefault="0065758B" w:rsidP="002D7BBD">
      <w:pPr>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D519C5">
        <w:rPr>
          <w:rFonts w:ascii="ITC Avant Garde" w:hAnsi="ITC Avant Garde"/>
          <w:bCs/>
          <w:i/>
          <w:color w:val="000000"/>
          <w:sz w:val="18"/>
          <w:szCs w:val="18"/>
          <w:lang w:val="es-MX" w:eastAsia="es-MX"/>
        </w:rPr>
        <w:lastRenderedPageBreak/>
        <w:t>[…]”</w:t>
      </w:r>
    </w:p>
    <w:p w14:paraId="465527D7" w14:textId="77777777" w:rsidR="002D7BBD" w:rsidRDefault="005B0176" w:rsidP="002D7BBD">
      <w:pPr>
        <w:autoSpaceDE w:val="0"/>
        <w:autoSpaceDN w:val="0"/>
        <w:adjustRightInd w:val="0"/>
        <w:spacing w:before="240" w:after="240"/>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 xml:space="preserve">D. </w:t>
      </w:r>
      <w:r w:rsidRPr="0044508D">
        <w:rPr>
          <w:rFonts w:ascii="ITC Avant Garde" w:hAnsi="ITC Avant Garde"/>
          <w:bCs/>
          <w:color w:val="000000"/>
          <w:sz w:val="22"/>
          <w:szCs w:val="22"/>
          <w:lang w:val="es-MX" w:eastAsia="es-MX"/>
        </w:rPr>
        <w:t>Por lo que hace al rango de frecuencias de 450-470 MHz, se consideró lo siguiente:</w:t>
      </w:r>
    </w:p>
    <w:p w14:paraId="5D54E3B6" w14:textId="77777777" w:rsidR="002D7BBD" w:rsidRDefault="0065758B" w:rsidP="002D7BBD">
      <w:pPr>
        <w:pStyle w:val="Prrafodelista"/>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D519C5">
        <w:rPr>
          <w:rFonts w:ascii="ITC Avant Garde" w:hAnsi="ITC Avant Garde"/>
          <w:bCs/>
          <w:i/>
          <w:color w:val="000000"/>
          <w:sz w:val="18"/>
          <w:szCs w:val="18"/>
          <w:lang w:val="es-MX" w:eastAsia="es-MX"/>
        </w:rPr>
        <w:t>“[…]</w:t>
      </w:r>
    </w:p>
    <w:p w14:paraId="3E9BDB2B" w14:textId="77777777" w:rsidR="002D7BBD" w:rsidRDefault="0065758B" w:rsidP="002D7BBD">
      <w:pPr>
        <w:pStyle w:val="Prrafodelista"/>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D519C5">
        <w:rPr>
          <w:rFonts w:ascii="ITC Avant Garde" w:hAnsi="ITC Avant Garde"/>
          <w:bCs/>
          <w:i/>
          <w:color w:val="000000"/>
          <w:sz w:val="18"/>
          <w:szCs w:val="18"/>
          <w:lang w:val="es-MX" w:eastAsia="es-MX"/>
        </w:rPr>
        <w:t xml:space="preserve">En virtud de todo lo anterior, se prevé que en el corto plazo, la banda 450-470 MHz continúe siendo empleada para la operación de los servicios que se proveen actualmente, con la recomendación de que las correspondientes concesiones que pudieran ser emitidas, se otorguen con una vigencia que no exceda al </w:t>
      </w:r>
      <w:r w:rsidRPr="00D519C5">
        <w:rPr>
          <w:rFonts w:ascii="ITC Avant Garde" w:hAnsi="ITC Avant Garde"/>
          <w:b/>
          <w:bCs/>
          <w:i/>
          <w:color w:val="000000"/>
          <w:sz w:val="18"/>
          <w:szCs w:val="18"/>
          <w:lang w:val="es-MX" w:eastAsia="es-MX"/>
        </w:rPr>
        <w:t>31 de diciembre de 2021</w:t>
      </w:r>
      <w:r w:rsidRPr="00D519C5">
        <w:rPr>
          <w:rFonts w:ascii="ITC Avant Garde" w:hAnsi="ITC Avant Garde"/>
          <w:bCs/>
          <w:i/>
          <w:color w:val="000000"/>
          <w:sz w:val="18"/>
          <w:szCs w:val="18"/>
          <w:lang w:val="es-MX" w:eastAsia="es-MX"/>
        </w:rPr>
        <w:t>.</w:t>
      </w:r>
    </w:p>
    <w:p w14:paraId="456AE22A" w14:textId="1CB09DA1" w:rsidR="0065758B" w:rsidRPr="00D519C5" w:rsidRDefault="0065758B" w:rsidP="002D7BBD">
      <w:pPr>
        <w:pStyle w:val="Prrafodelista"/>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D519C5">
        <w:rPr>
          <w:rFonts w:ascii="ITC Avant Garde" w:hAnsi="ITC Avant Garde"/>
          <w:bCs/>
          <w:i/>
          <w:color w:val="000000"/>
          <w:sz w:val="18"/>
          <w:szCs w:val="18"/>
          <w:lang w:val="es-MX" w:eastAsia="es-MX"/>
        </w:rPr>
        <w:t>La presente salvedad sobre la vigencia, atiende a la necesidad de analizar prospectivamente todos los factores que intervienen en los estudios en desarrollo. Dichos estudios brindarán los insum</w:t>
      </w:r>
      <w:r>
        <w:rPr>
          <w:rFonts w:ascii="ITC Avant Garde" w:hAnsi="ITC Avant Garde"/>
          <w:bCs/>
          <w:i/>
          <w:color w:val="000000"/>
          <w:sz w:val="18"/>
          <w:szCs w:val="18"/>
          <w:lang w:val="es-MX" w:eastAsia="es-MX"/>
        </w:rPr>
        <w:t>o</w:t>
      </w:r>
      <w:r w:rsidRPr="00D519C5">
        <w:rPr>
          <w:rFonts w:ascii="ITC Avant Garde" w:hAnsi="ITC Avant Garde"/>
          <w:bCs/>
          <w:i/>
          <w:color w:val="000000"/>
          <w:sz w:val="18"/>
          <w:szCs w:val="18"/>
          <w:lang w:val="es-MX" w:eastAsia="es-MX"/>
        </w:rPr>
        <w:t>s para determinar la mejor estrategia a implementar en la banda 450-470 MHz, de forma tal que se propicie un uso eficaz y oportuno del espectro radioeléctrico para los servicios actuales y futuros en la banda de frecuencias en comento.</w:t>
      </w:r>
    </w:p>
    <w:p w14:paraId="4EE6E3A9" w14:textId="77777777" w:rsidR="0065758B" w:rsidRDefault="0065758B" w:rsidP="002D7BBD">
      <w:pPr>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D519C5">
        <w:rPr>
          <w:rFonts w:ascii="ITC Avant Garde" w:hAnsi="ITC Avant Garde"/>
          <w:bCs/>
          <w:i/>
          <w:color w:val="000000"/>
          <w:sz w:val="18"/>
          <w:szCs w:val="18"/>
          <w:lang w:val="es-MX" w:eastAsia="es-MX"/>
        </w:rPr>
        <w:t>[…]</w:t>
      </w:r>
    </w:p>
    <w:p w14:paraId="252666B9" w14:textId="5493DA06" w:rsidR="0065758B" w:rsidRPr="0044508D" w:rsidRDefault="0065758B" w:rsidP="002D7BBD">
      <w:pPr>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D519C5">
        <w:rPr>
          <w:rFonts w:ascii="ITC Avant Garde" w:hAnsi="ITC Avant Garde"/>
          <w:bCs/>
          <w:i/>
          <w:color w:val="000000"/>
          <w:sz w:val="18"/>
          <w:szCs w:val="18"/>
          <w:lang w:val="es-MX" w:eastAsia="es-MX"/>
        </w:rPr>
        <w:t>Dictamen</w:t>
      </w:r>
    </w:p>
    <w:p w14:paraId="6906786E" w14:textId="77777777" w:rsidR="002D7BBD" w:rsidRDefault="0065758B" w:rsidP="002D7BBD">
      <w:pPr>
        <w:pStyle w:val="Prrafodelista"/>
        <w:autoSpaceDE w:val="0"/>
        <w:autoSpaceDN w:val="0"/>
        <w:adjustRightInd w:val="0"/>
        <w:spacing w:before="240" w:after="240"/>
        <w:ind w:left="567" w:right="709"/>
        <w:jc w:val="both"/>
        <w:rPr>
          <w:rFonts w:ascii="ITC Avant Garde" w:hAnsi="ITC Avant Garde"/>
          <w:b/>
          <w:bCs/>
          <w:i/>
          <w:color w:val="000000"/>
          <w:sz w:val="18"/>
          <w:szCs w:val="18"/>
          <w:lang w:val="es-MX" w:eastAsia="es-MX"/>
        </w:rPr>
      </w:pPr>
      <w:r w:rsidRPr="00D519C5">
        <w:rPr>
          <w:rFonts w:ascii="ITC Avant Garde" w:hAnsi="ITC Avant Garde"/>
          <w:bCs/>
          <w:i/>
          <w:color w:val="000000"/>
          <w:sz w:val="18"/>
          <w:szCs w:val="18"/>
          <w:lang w:val="es-MX" w:eastAsia="es-MX"/>
        </w:rPr>
        <w:t xml:space="preserve">Con base en el análisis previo y desde el punto de vista de planeación del espectro, el uso solicitado dentro del rango de frecuencias objeto de la solicitud se considera </w:t>
      </w:r>
      <w:r w:rsidRPr="00D519C5">
        <w:rPr>
          <w:rFonts w:ascii="ITC Avant Garde" w:hAnsi="ITC Avant Garde"/>
          <w:b/>
          <w:bCs/>
          <w:i/>
          <w:color w:val="000000"/>
          <w:sz w:val="18"/>
          <w:szCs w:val="18"/>
          <w:lang w:val="es-MX" w:eastAsia="es-MX"/>
        </w:rPr>
        <w:t>PROCEDENTE.</w:t>
      </w:r>
    </w:p>
    <w:p w14:paraId="16C9C45E" w14:textId="77777777" w:rsidR="002D7BBD" w:rsidRDefault="0065758B" w:rsidP="002D7BBD">
      <w:pPr>
        <w:autoSpaceDE w:val="0"/>
        <w:autoSpaceDN w:val="0"/>
        <w:adjustRightInd w:val="0"/>
        <w:spacing w:before="240" w:after="240"/>
        <w:ind w:left="567" w:right="709"/>
        <w:jc w:val="both"/>
        <w:rPr>
          <w:rFonts w:ascii="ITC Avant Garde" w:eastAsia="Calibri" w:hAnsi="ITC Avant Garde"/>
          <w:sz w:val="18"/>
          <w:lang w:val="es-MX" w:eastAsia="en-US"/>
        </w:rPr>
      </w:pPr>
      <w:r>
        <w:rPr>
          <w:rFonts w:ascii="ITC Avant Garde" w:hAnsi="ITC Avant Garde"/>
          <w:bCs/>
          <w:i/>
          <w:color w:val="000000"/>
          <w:sz w:val="18"/>
          <w:szCs w:val="18"/>
          <w:lang w:val="es-MX" w:eastAsia="es-MX"/>
        </w:rPr>
        <w:t>[…]”</w:t>
      </w:r>
      <w:r w:rsidRPr="00D519C5">
        <w:rPr>
          <w:rFonts w:ascii="ITC Avant Garde" w:hAnsi="ITC Avant Garde"/>
          <w:bCs/>
          <w:i/>
          <w:color w:val="000000"/>
          <w:sz w:val="18"/>
          <w:szCs w:val="18"/>
          <w:lang w:val="es-MX" w:eastAsia="es-MX"/>
        </w:rPr>
        <w:t xml:space="preserve"> </w:t>
      </w:r>
      <w:r w:rsidRPr="00D519C5">
        <w:rPr>
          <w:rFonts w:ascii="ITC Avant Garde" w:eastAsia="Calibri" w:hAnsi="ITC Avant Garde"/>
          <w:sz w:val="18"/>
          <w:lang w:val="es-MX" w:eastAsia="en-US"/>
        </w:rPr>
        <w:t>(Énfasis añadido)</w:t>
      </w:r>
    </w:p>
    <w:p w14:paraId="39245EA3" w14:textId="3846FFA2" w:rsidR="005B0176" w:rsidRPr="0044508D" w:rsidRDefault="005B0176" w:rsidP="002D7BBD">
      <w:pPr>
        <w:autoSpaceDE w:val="0"/>
        <w:autoSpaceDN w:val="0"/>
        <w:adjustRightInd w:val="0"/>
        <w:spacing w:before="240" w:after="240"/>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 xml:space="preserve">E. </w:t>
      </w:r>
      <w:r w:rsidRPr="0044508D">
        <w:rPr>
          <w:rFonts w:ascii="ITC Avant Garde" w:hAnsi="ITC Avant Garde"/>
          <w:bCs/>
          <w:color w:val="000000"/>
          <w:sz w:val="22"/>
          <w:szCs w:val="22"/>
          <w:lang w:val="es-MX" w:eastAsia="es-MX"/>
        </w:rPr>
        <w:t>Por lo que hace al rango de frecuencias de1427-1518 MHz, se consideró lo siguiente:</w:t>
      </w:r>
    </w:p>
    <w:p w14:paraId="064198DE" w14:textId="77777777" w:rsidR="002D7BBD" w:rsidRDefault="0065758B" w:rsidP="002D7BBD">
      <w:pPr>
        <w:pStyle w:val="Prrafodelista"/>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D519C5">
        <w:rPr>
          <w:rFonts w:ascii="ITC Avant Garde" w:hAnsi="ITC Avant Garde"/>
          <w:bCs/>
          <w:i/>
          <w:color w:val="000000"/>
          <w:sz w:val="18"/>
          <w:szCs w:val="18"/>
          <w:lang w:val="es-MX" w:eastAsia="es-MX"/>
        </w:rPr>
        <w:t xml:space="preserve">“[…] </w:t>
      </w:r>
    </w:p>
    <w:p w14:paraId="0B10DB87" w14:textId="77777777" w:rsidR="002D7BBD" w:rsidRDefault="0065758B" w:rsidP="002D7BBD">
      <w:pPr>
        <w:pStyle w:val="Prrafodelista"/>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D519C5">
        <w:rPr>
          <w:rFonts w:ascii="ITC Avant Garde" w:hAnsi="ITC Avant Garde"/>
          <w:bCs/>
          <w:i/>
          <w:color w:val="000000"/>
          <w:sz w:val="18"/>
          <w:szCs w:val="18"/>
          <w:lang w:val="es-MX" w:eastAsia="es-MX"/>
        </w:rPr>
        <w:t>En este orden de ideas, se prevé que en el corto plazo, la banda de frecuencias 1427-1518 MHz continúe siendo empleada para la operación de los servicios que se proveen actualmente, con la recomendación de que las correspondientes concesiones que pudieran ser emitidas, se otorguen con una vigencia que no exceda al</w:t>
      </w:r>
      <w:r>
        <w:rPr>
          <w:rFonts w:ascii="ITC Avant Garde" w:hAnsi="ITC Avant Garde"/>
          <w:bCs/>
          <w:i/>
          <w:color w:val="000000"/>
          <w:sz w:val="18"/>
          <w:szCs w:val="18"/>
          <w:lang w:val="es-MX" w:eastAsia="es-MX"/>
        </w:rPr>
        <w:t xml:space="preserve"> </w:t>
      </w:r>
      <w:r w:rsidRPr="00927940">
        <w:rPr>
          <w:rFonts w:ascii="ITC Avant Garde" w:hAnsi="ITC Avant Garde"/>
          <w:b/>
          <w:bCs/>
          <w:i/>
          <w:color w:val="000000"/>
          <w:sz w:val="18"/>
          <w:szCs w:val="18"/>
          <w:lang w:val="es-MX" w:eastAsia="es-MX"/>
        </w:rPr>
        <w:t>31 de diciembre de 2019</w:t>
      </w:r>
      <w:r w:rsidRPr="00D519C5">
        <w:rPr>
          <w:rFonts w:ascii="ITC Avant Garde" w:hAnsi="ITC Avant Garde"/>
          <w:bCs/>
          <w:i/>
          <w:color w:val="000000"/>
          <w:sz w:val="18"/>
          <w:szCs w:val="18"/>
          <w:lang w:val="es-MX" w:eastAsia="es-MX"/>
        </w:rPr>
        <w:t>.</w:t>
      </w:r>
    </w:p>
    <w:p w14:paraId="5F36B5EB" w14:textId="77777777" w:rsidR="002D7BBD" w:rsidRDefault="0065758B" w:rsidP="002D7BBD">
      <w:pPr>
        <w:pStyle w:val="Prrafodelista"/>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D519C5">
        <w:rPr>
          <w:rFonts w:ascii="ITC Avant Garde" w:hAnsi="ITC Avant Garde"/>
          <w:bCs/>
          <w:i/>
          <w:color w:val="000000"/>
          <w:sz w:val="18"/>
          <w:szCs w:val="18"/>
          <w:lang w:val="es-MX" w:eastAsia="es-MX"/>
        </w:rPr>
        <w:t>La presente salvedad sobre la vigencia, atiende a la necesidad de analizar prospectivamente todos los factores que intervienen en la reorganización de la banda. Dicho análisis brindará los insum</w:t>
      </w:r>
      <w:r>
        <w:rPr>
          <w:rFonts w:ascii="ITC Avant Garde" w:hAnsi="ITC Avant Garde"/>
          <w:bCs/>
          <w:i/>
          <w:color w:val="000000"/>
          <w:sz w:val="18"/>
          <w:szCs w:val="18"/>
          <w:lang w:val="es-MX" w:eastAsia="es-MX"/>
        </w:rPr>
        <w:t>o</w:t>
      </w:r>
      <w:r w:rsidRPr="00D519C5">
        <w:rPr>
          <w:rFonts w:ascii="ITC Avant Garde" w:hAnsi="ITC Avant Garde"/>
          <w:bCs/>
          <w:i/>
          <w:color w:val="000000"/>
          <w:sz w:val="18"/>
          <w:szCs w:val="18"/>
          <w:lang w:val="es-MX" w:eastAsia="es-MX"/>
        </w:rPr>
        <w:t>s para determinar la mejor estrategia a implementar en la banda 1427-1518 MHz, de forma tal que se propicie un uso eficaz y oportuno del espectro radioeléctrico para los servicios actuales y futuros en la banda de frecuencias en comento.</w:t>
      </w:r>
    </w:p>
    <w:p w14:paraId="52D942EC" w14:textId="77777777" w:rsidR="002D7BBD" w:rsidRDefault="0065758B" w:rsidP="002D7BBD">
      <w:pPr>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D519C5">
        <w:rPr>
          <w:rFonts w:ascii="ITC Avant Garde" w:hAnsi="ITC Avant Garde"/>
          <w:bCs/>
          <w:i/>
          <w:color w:val="000000"/>
          <w:sz w:val="18"/>
          <w:szCs w:val="18"/>
          <w:lang w:val="es-MX" w:eastAsia="es-MX"/>
        </w:rPr>
        <w:t>[…]</w:t>
      </w:r>
    </w:p>
    <w:p w14:paraId="2339FA4C" w14:textId="50EDEE3C" w:rsidR="0065758B" w:rsidRPr="00D519C5" w:rsidRDefault="0065758B" w:rsidP="002D7BBD">
      <w:pPr>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D519C5">
        <w:rPr>
          <w:rFonts w:ascii="ITC Avant Garde" w:hAnsi="ITC Avant Garde"/>
          <w:bCs/>
          <w:i/>
          <w:color w:val="000000"/>
          <w:sz w:val="18"/>
          <w:szCs w:val="18"/>
          <w:lang w:val="es-MX" w:eastAsia="es-MX"/>
        </w:rPr>
        <w:t>Dictamen</w:t>
      </w:r>
    </w:p>
    <w:p w14:paraId="530BB27D" w14:textId="77777777" w:rsidR="002D7BBD" w:rsidRDefault="0065758B" w:rsidP="002D7BBD">
      <w:pPr>
        <w:pStyle w:val="Prrafodelista"/>
        <w:autoSpaceDE w:val="0"/>
        <w:autoSpaceDN w:val="0"/>
        <w:adjustRightInd w:val="0"/>
        <w:spacing w:before="240" w:after="240"/>
        <w:ind w:left="567" w:right="709"/>
        <w:jc w:val="both"/>
        <w:rPr>
          <w:rFonts w:ascii="ITC Avant Garde" w:hAnsi="ITC Avant Garde"/>
          <w:b/>
          <w:bCs/>
          <w:i/>
          <w:color w:val="000000"/>
          <w:sz w:val="18"/>
          <w:szCs w:val="18"/>
          <w:lang w:val="es-MX" w:eastAsia="es-MX"/>
        </w:rPr>
      </w:pPr>
      <w:r w:rsidRPr="00D519C5">
        <w:rPr>
          <w:rFonts w:ascii="ITC Avant Garde" w:hAnsi="ITC Avant Garde"/>
          <w:bCs/>
          <w:i/>
          <w:color w:val="000000"/>
          <w:sz w:val="18"/>
          <w:szCs w:val="18"/>
          <w:lang w:val="es-MX" w:eastAsia="es-MX"/>
        </w:rPr>
        <w:t>Con base en el análisis previo y desde el punto de vista de planeación</w:t>
      </w:r>
      <w:r>
        <w:rPr>
          <w:rFonts w:ascii="ITC Avant Garde" w:hAnsi="ITC Avant Garde"/>
          <w:bCs/>
          <w:i/>
          <w:color w:val="000000"/>
          <w:sz w:val="18"/>
          <w:szCs w:val="18"/>
          <w:lang w:val="es-MX" w:eastAsia="es-MX"/>
        </w:rPr>
        <w:t xml:space="preserve"> </w:t>
      </w:r>
      <w:r w:rsidRPr="00D519C5">
        <w:rPr>
          <w:rFonts w:ascii="ITC Avant Garde" w:hAnsi="ITC Avant Garde"/>
          <w:bCs/>
          <w:i/>
          <w:color w:val="000000"/>
          <w:sz w:val="18"/>
          <w:szCs w:val="18"/>
          <w:lang w:val="es-MX" w:eastAsia="es-MX"/>
        </w:rPr>
        <w:t xml:space="preserve">del espectro, el uso solicitado dentro del rango de frecuencias objeto de la solicitud se considera </w:t>
      </w:r>
      <w:r w:rsidRPr="00D519C5">
        <w:rPr>
          <w:rFonts w:ascii="ITC Avant Garde" w:hAnsi="ITC Avant Garde"/>
          <w:b/>
          <w:bCs/>
          <w:i/>
          <w:color w:val="000000"/>
          <w:sz w:val="18"/>
          <w:szCs w:val="18"/>
          <w:lang w:val="es-MX" w:eastAsia="es-MX"/>
        </w:rPr>
        <w:t>PROCEDENTE.</w:t>
      </w:r>
    </w:p>
    <w:p w14:paraId="4C06B7BF" w14:textId="77777777" w:rsidR="002D7BBD" w:rsidRDefault="0065758B" w:rsidP="002D7BBD">
      <w:pPr>
        <w:autoSpaceDE w:val="0"/>
        <w:autoSpaceDN w:val="0"/>
        <w:adjustRightInd w:val="0"/>
        <w:spacing w:before="240" w:after="240"/>
        <w:ind w:left="567" w:right="709"/>
        <w:jc w:val="both"/>
        <w:rPr>
          <w:rFonts w:ascii="ITC Avant Garde" w:eastAsia="Calibri" w:hAnsi="ITC Avant Garde"/>
          <w:sz w:val="18"/>
          <w:lang w:val="es-MX" w:eastAsia="en-US"/>
        </w:rPr>
      </w:pPr>
      <w:r w:rsidRPr="00D519C5">
        <w:rPr>
          <w:rFonts w:ascii="ITC Avant Garde" w:hAnsi="ITC Avant Garde"/>
          <w:bCs/>
          <w:i/>
          <w:color w:val="000000"/>
          <w:sz w:val="18"/>
          <w:szCs w:val="18"/>
          <w:lang w:val="es-MX" w:eastAsia="es-MX"/>
        </w:rPr>
        <w:t>[…]”</w:t>
      </w:r>
      <w:r>
        <w:rPr>
          <w:rFonts w:ascii="ITC Avant Garde" w:hAnsi="ITC Avant Garde"/>
          <w:bCs/>
          <w:i/>
          <w:color w:val="000000"/>
          <w:sz w:val="18"/>
          <w:szCs w:val="18"/>
          <w:lang w:val="es-MX" w:eastAsia="es-MX"/>
        </w:rPr>
        <w:t xml:space="preserve"> </w:t>
      </w:r>
      <w:r w:rsidRPr="00D519C5">
        <w:rPr>
          <w:rFonts w:ascii="ITC Avant Garde" w:eastAsia="Calibri" w:hAnsi="ITC Avant Garde"/>
          <w:sz w:val="18"/>
          <w:lang w:val="es-MX" w:eastAsia="en-US"/>
        </w:rPr>
        <w:t>(Énfasis añadido)</w:t>
      </w:r>
    </w:p>
    <w:p w14:paraId="51D06E7C" w14:textId="77777777" w:rsidR="002D7BBD" w:rsidRDefault="005B0176" w:rsidP="002D7BBD">
      <w:pPr>
        <w:autoSpaceDE w:val="0"/>
        <w:autoSpaceDN w:val="0"/>
        <w:adjustRightInd w:val="0"/>
        <w:spacing w:before="240" w:after="240"/>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 xml:space="preserve">F. </w:t>
      </w:r>
      <w:r w:rsidRPr="0044508D">
        <w:rPr>
          <w:rFonts w:ascii="ITC Avant Garde" w:hAnsi="ITC Avant Garde"/>
          <w:bCs/>
          <w:color w:val="000000"/>
          <w:sz w:val="22"/>
          <w:szCs w:val="22"/>
          <w:lang w:val="es-MX" w:eastAsia="es-MX"/>
        </w:rPr>
        <w:t>Por lo que hace al rango de frecuencias de 21.2-23.6 GHz, se consideró lo siguiente:</w:t>
      </w:r>
    </w:p>
    <w:p w14:paraId="503A4518" w14:textId="77777777" w:rsidR="002D7BBD" w:rsidRDefault="0065758B" w:rsidP="002D7BBD">
      <w:pPr>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D519C5">
        <w:rPr>
          <w:rFonts w:ascii="ITC Avant Garde" w:hAnsi="ITC Avant Garde"/>
          <w:bCs/>
          <w:i/>
          <w:color w:val="000000"/>
          <w:sz w:val="18"/>
          <w:szCs w:val="18"/>
          <w:lang w:val="es-MX" w:eastAsia="es-MX"/>
        </w:rPr>
        <w:lastRenderedPageBreak/>
        <w:t>“[…]</w:t>
      </w:r>
    </w:p>
    <w:p w14:paraId="5D90C3F1" w14:textId="77777777" w:rsidR="002D7BBD" w:rsidRDefault="0065758B" w:rsidP="002D7BBD">
      <w:pPr>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D519C5">
        <w:rPr>
          <w:rFonts w:ascii="ITC Avant Garde" w:hAnsi="ITC Avant Garde"/>
          <w:bCs/>
          <w:i/>
          <w:color w:val="000000"/>
          <w:sz w:val="18"/>
          <w:szCs w:val="18"/>
          <w:lang w:val="es-MX" w:eastAsia="es-MX"/>
        </w:rPr>
        <w:t xml:space="preserve">En virtud de lo expuesto anteriormente, dentro de las labores que se están llevando a cabo en este Instituto en materia de planificación del espectro, se prevé que la banda de frecuencias 21.2-23.6 GHz continúe siendo empleada para la prestación del servicio fijo, por lo que, el uso solicitado es congruente con las acciones de planificación previstas para esta banda de frecuencias. </w:t>
      </w:r>
    </w:p>
    <w:p w14:paraId="0C33642B" w14:textId="66797BD7" w:rsidR="0065758B" w:rsidRPr="00D519C5" w:rsidRDefault="0065758B" w:rsidP="002D7BBD">
      <w:pPr>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D519C5">
        <w:rPr>
          <w:rFonts w:ascii="ITC Avant Garde" w:hAnsi="ITC Avant Garde"/>
          <w:bCs/>
          <w:i/>
          <w:color w:val="000000"/>
          <w:sz w:val="18"/>
          <w:szCs w:val="18"/>
          <w:lang w:val="es-MX" w:eastAsia="es-MX"/>
        </w:rPr>
        <w:t xml:space="preserve">No obstante lo anterior, es de observarse la condición actual del par de frecuencias solicitado, el cual se ubica en uno de los bloques de espectro concesionados para provisión de capacidad para enlaces de microondas punto a punto en el segmento 21.2-23.6 GHz. En consecuencia de esto, se sugiere que el par de frecuencias 21.825/23.025 GHz sea considerado en canales no concesionados dentro de la misma banda de frecuencias. </w:t>
      </w:r>
    </w:p>
    <w:p w14:paraId="147D4083" w14:textId="77777777" w:rsidR="002D7BBD" w:rsidRDefault="0065758B" w:rsidP="002D7BBD">
      <w:pPr>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D519C5">
        <w:rPr>
          <w:rFonts w:ascii="ITC Avant Garde" w:hAnsi="ITC Avant Garde"/>
          <w:bCs/>
          <w:i/>
          <w:color w:val="000000"/>
          <w:sz w:val="18"/>
          <w:szCs w:val="18"/>
          <w:lang w:val="es-MX" w:eastAsia="es-MX"/>
        </w:rPr>
        <w:t>[…]</w:t>
      </w:r>
    </w:p>
    <w:p w14:paraId="03B03563" w14:textId="15B9D06A" w:rsidR="0065758B" w:rsidRPr="00D519C5" w:rsidRDefault="0065758B" w:rsidP="002D7BBD">
      <w:pPr>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D519C5">
        <w:rPr>
          <w:rFonts w:ascii="ITC Avant Garde" w:hAnsi="ITC Avant Garde"/>
          <w:bCs/>
          <w:i/>
          <w:color w:val="000000"/>
          <w:sz w:val="18"/>
          <w:szCs w:val="18"/>
          <w:lang w:val="es-MX" w:eastAsia="es-MX"/>
        </w:rPr>
        <w:t>Dictamen</w:t>
      </w:r>
    </w:p>
    <w:p w14:paraId="1184D908" w14:textId="77777777" w:rsidR="002D7BBD" w:rsidRDefault="0065758B" w:rsidP="002D7BBD">
      <w:pPr>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D519C5">
        <w:rPr>
          <w:rFonts w:ascii="ITC Avant Garde" w:hAnsi="ITC Avant Garde"/>
          <w:bCs/>
          <w:i/>
          <w:color w:val="000000"/>
          <w:sz w:val="18"/>
          <w:szCs w:val="18"/>
          <w:lang w:val="es-MX" w:eastAsia="es-MX"/>
        </w:rPr>
        <w:t xml:space="preserve">Con base en el análisis previo y desde el punto de vista de planeación del espectro, el uso solicitado dentro de la banda de frecuencias en cuestión se considera </w:t>
      </w:r>
      <w:r w:rsidRPr="00D519C5">
        <w:rPr>
          <w:rFonts w:ascii="ITC Avant Garde" w:hAnsi="ITC Avant Garde"/>
          <w:b/>
          <w:bCs/>
          <w:i/>
          <w:color w:val="000000"/>
          <w:sz w:val="18"/>
          <w:szCs w:val="18"/>
          <w:lang w:val="es-MX" w:eastAsia="es-MX"/>
        </w:rPr>
        <w:t>PROCEDENTE</w:t>
      </w:r>
      <w:r w:rsidRPr="00D519C5">
        <w:rPr>
          <w:rFonts w:ascii="ITC Avant Garde" w:hAnsi="ITC Avant Garde"/>
          <w:bCs/>
          <w:i/>
          <w:color w:val="000000"/>
          <w:sz w:val="18"/>
          <w:szCs w:val="18"/>
          <w:lang w:val="es-MX" w:eastAsia="es-MX"/>
        </w:rPr>
        <w:t>.</w:t>
      </w:r>
    </w:p>
    <w:p w14:paraId="3CB2860F" w14:textId="77777777" w:rsidR="002D7BBD" w:rsidRDefault="0065758B" w:rsidP="002D7BBD">
      <w:pPr>
        <w:autoSpaceDE w:val="0"/>
        <w:autoSpaceDN w:val="0"/>
        <w:adjustRightInd w:val="0"/>
        <w:spacing w:before="240" w:after="240"/>
        <w:ind w:left="567" w:right="709"/>
        <w:jc w:val="both"/>
        <w:rPr>
          <w:rFonts w:ascii="ITC Avant Garde" w:hAnsi="ITC Avant Garde"/>
          <w:bCs/>
          <w:i/>
          <w:color w:val="000000"/>
          <w:sz w:val="18"/>
          <w:szCs w:val="18"/>
          <w:lang w:val="es-MX" w:eastAsia="es-MX"/>
        </w:rPr>
      </w:pPr>
      <w:r w:rsidRPr="00D519C5">
        <w:rPr>
          <w:rFonts w:ascii="ITC Avant Garde" w:hAnsi="ITC Avant Garde"/>
          <w:bCs/>
          <w:i/>
          <w:color w:val="000000"/>
          <w:sz w:val="18"/>
          <w:szCs w:val="18"/>
          <w:lang w:val="es-MX" w:eastAsia="es-MX"/>
        </w:rPr>
        <w:t>[…]”</w:t>
      </w:r>
    </w:p>
    <w:p w14:paraId="19863489" w14:textId="77777777" w:rsidR="002D7BBD" w:rsidRDefault="00BF2E7B" w:rsidP="002D7BBD">
      <w:pPr>
        <w:autoSpaceDE w:val="0"/>
        <w:autoSpaceDN w:val="0"/>
        <w:adjustRightInd w:val="0"/>
        <w:spacing w:before="240" w:after="240"/>
        <w:jc w:val="both"/>
        <w:rPr>
          <w:rFonts w:ascii="ITC Avant Garde" w:eastAsia="Calibri" w:hAnsi="ITC Avant Garde"/>
          <w:sz w:val="22"/>
          <w:szCs w:val="22"/>
          <w:lang w:val="es-MX" w:eastAsia="en-US"/>
        </w:rPr>
      </w:pPr>
      <w:r w:rsidRPr="00D519C5">
        <w:rPr>
          <w:rFonts w:ascii="ITC Avant Garde" w:eastAsia="Calibri" w:hAnsi="ITC Avant Garde"/>
          <w:sz w:val="22"/>
          <w:szCs w:val="22"/>
          <w:lang w:val="es-MX" w:eastAsia="en-US"/>
        </w:rPr>
        <w:t>Asimismo, y como parte integral de la opinión formulada por la Unidad de Espectro Radioeléctrico, la Dirección General de Ingeniería del Espectro y Estudios Técnicos emitió el dictamen</w:t>
      </w:r>
      <w:r w:rsidR="00A811BE">
        <w:rPr>
          <w:rFonts w:ascii="ITC Avant Garde" w:eastAsia="Calibri" w:hAnsi="ITC Avant Garde"/>
          <w:sz w:val="22"/>
          <w:szCs w:val="22"/>
          <w:lang w:val="es-MX" w:eastAsia="en-US"/>
        </w:rPr>
        <w:t xml:space="preserve"> técnico IFT/222/UER/DG-IEET/225</w:t>
      </w:r>
      <w:r w:rsidRPr="00D519C5">
        <w:rPr>
          <w:rFonts w:ascii="ITC Avant Garde" w:eastAsia="Calibri" w:hAnsi="ITC Avant Garde"/>
          <w:sz w:val="22"/>
          <w:szCs w:val="22"/>
          <w:lang w:val="es-MX" w:eastAsia="en-US"/>
        </w:rPr>
        <w:t xml:space="preserve">/2016 de fecha </w:t>
      </w:r>
      <w:r w:rsidR="00A811BE">
        <w:rPr>
          <w:rFonts w:ascii="ITC Avant Garde" w:eastAsia="Calibri" w:hAnsi="ITC Avant Garde"/>
          <w:sz w:val="22"/>
          <w:szCs w:val="22"/>
          <w:lang w:val="es-MX" w:eastAsia="en-US"/>
        </w:rPr>
        <w:t>29</w:t>
      </w:r>
      <w:r w:rsidRPr="00D519C5">
        <w:rPr>
          <w:rFonts w:ascii="ITC Avant Garde" w:eastAsia="Calibri" w:hAnsi="ITC Avant Garde"/>
          <w:sz w:val="22"/>
          <w:szCs w:val="22"/>
          <w:lang w:val="es-MX" w:eastAsia="en-US"/>
        </w:rPr>
        <w:t xml:space="preserve"> de marzo de 2016, donde señala que derivado del análisis realizado con base en los registros del Sistema de Administración del Espectro Radioeléctrico, determinó la factibilidad de asignación de frecuencias en los rangos de espectro solicitados 157-174 MHz, 220-222 MHz, 350-380 MHz, 452-458 MHz, 1427-1518 MHz y </w:t>
      </w:r>
      <w:r w:rsidR="008E69DA" w:rsidRPr="00D519C5">
        <w:rPr>
          <w:rFonts w:ascii="ITC Avant Garde" w:eastAsia="Calibri" w:hAnsi="ITC Avant Garde"/>
          <w:bCs/>
          <w:sz w:val="22"/>
          <w:szCs w:val="22"/>
          <w:lang w:eastAsia="en-US"/>
        </w:rPr>
        <w:t>23 GHz</w:t>
      </w:r>
      <w:r w:rsidR="00DE41ED" w:rsidRPr="00D519C5">
        <w:rPr>
          <w:rFonts w:ascii="ITC Avant Garde" w:eastAsia="Calibri" w:hAnsi="ITC Avant Garde"/>
          <w:sz w:val="22"/>
          <w:szCs w:val="22"/>
          <w:lang w:val="es-MX" w:eastAsia="en-US"/>
        </w:rPr>
        <w:t>.</w:t>
      </w:r>
      <w:r w:rsidRPr="00D519C5">
        <w:rPr>
          <w:rFonts w:ascii="ITC Avant Garde" w:eastAsia="Calibri" w:hAnsi="ITC Avant Garde"/>
          <w:sz w:val="22"/>
          <w:szCs w:val="22"/>
          <w:lang w:val="es-MX" w:eastAsia="en-US"/>
        </w:rPr>
        <w:t xml:space="preserve"> </w:t>
      </w:r>
      <w:r w:rsidR="00B12EB8">
        <w:rPr>
          <w:rFonts w:ascii="ITC Avant Garde" w:eastAsia="Calibri" w:hAnsi="ITC Avant Garde"/>
          <w:sz w:val="22"/>
          <w:szCs w:val="22"/>
          <w:lang w:val="es-MX" w:eastAsia="en-US"/>
        </w:rPr>
        <w:t>De igual forma</w:t>
      </w:r>
      <w:r w:rsidRPr="00D519C5">
        <w:rPr>
          <w:rFonts w:ascii="ITC Avant Garde" w:eastAsia="Calibri" w:hAnsi="ITC Avant Garde"/>
          <w:sz w:val="22"/>
          <w:szCs w:val="22"/>
          <w:lang w:val="es-MX" w:eastAsia="en-US"/>
        </w:rPr>
        <w:t xml:space="preserve">, </w:t>
      </w:r>
      <w:r w:rsidR="00B12EB8">
        <w:rPr>
          <w:rFonts w:ascii="ITC Avant Garde" w:eastAsia="Calibri" w:hAnsi="ITC Avant Garde"/>
          <w:sz w:val="22"/>
          <w:szCs w:val="22"/>
          <w:lang w:val="es-MX" w:eastAsia="en-US"/>
        </w:rPr>
        <w:t>en el mismo dictamen estableció</w:t>
      </w:r>
      <w:r w:rsidRPr="00D519C5">
        <w:rPr>
          <w:rFonts w:ascii="ITC Avant Garde" w:eastAsia="Calibri" w:hAnsi="ITC Avant Garde"/>
          <w:sz w:val="22"/>
          <w:szCs w:val="22"/>
          <w:lang w:val="es-MX" w:eastAsia="en-US"/>
        </w:rPr>
        <w:t xml:space="preserve"> las condiciones técnicas de operación para el uso y aprovechamiento de las frecuencias </w:t>
      </w:r>
      <w:r w:rsidR="00DE41ED" w:rsidRPr="00D519C5">
        <w:rPr>
          <w:rFonts w:ascii="ITC Avant Garde" w:eastAsia="Calibri" w:hAnsi="ITC Avant Garde"/>
          <w:sz w:val="22"/>
          <w:szCs w:val="22"/>
          <w:lang w:val="es-MX" w:eastAsia="en-US"/>
        </w:rPr>
        <w:t>en los rangos citados anteriormente, entre la</w:t>
      </w:r>
      <w:r w:rsidRPr="00D519C5">
        <w:rPr>
          <w:rFonts w:ascii="ITC Avant Garde" w:eastAsia="Calibri" w:hAnsi="ITC Avant Garde"/>
          <w:sz w:val="22"/>
          <w:szCs w:val="22"/>
          <w:lang w:val="es-MX" w:eastAsia="en-US"/>
        </w:rPr>
        <w:t xml:space="preserve">s que se encuentran las siguientes: i) Uso eficiente del espectro; ii) Cobertura; iii) Potencia; iv) </w:t>
      </w:r>
      <w:r w:rsidR="00DE41ED" w:rsidRPr="00D519C5">
        <w:rPr>
          <w:rFonts w:ascii="ITC Avant Garde" w:eastAsia="Calibri" w:hAnsi="ITC Avant Garde"/>
          <w:sz w:val="22"/>
          <w:szCs w:val="22"/>
          <w:lang w:val="es-MX" w:eastAsia="en-US"/>
        </w:rPr>
        <w:t>Solicitud de Información;</w:t>
      </w:r>
      <w:r w:rsidRPr="00D519C5">
        <w:rPr>
          <w:rFonts w:ascii="ITC Avant Garde" w:eastAsia="Calibri" w:hAnsi="ITC Avant Garde"/>
          <w:sz w:val="22"/>
          <w:szCs w:val="22"/>
          <w:lang w:val="es-MX" w:eastAsia="en-US"/>
        </w:rPr>
        <w:t xml:space="preserve"> v) </w:t>
      </w:r>
      <w:r w:rsidR="00DE41ED" w:rsidRPr="00D519C5">
        <w:rPr>
          <w:rFonts w:ascii="ITC Avant Garde" w:eastAsia="Calibri" w:hAnsi="ITC Avant Garde"/>
          <w:sz w:val="22"/>
          <w:szCs w:val="22"/>
          <w:lang w:val="es-MX" w:eastAsia="en-US"/>
        </w:rPr>
        <w:t>Homologación de Equipos</w:t>
      </w:r>
      <w:r w:rsidRPr="00D519C5">
        <w:rPr>
          <w:rFonts w:ascii="ITC Avant Garde" w:eastAsia="Calibri" w:hAnsi="ITC Avant Garde"/>
          <w:sz w:val="22"/>
          <w:szCs w:val="22"/>
          <w:lang w:val="es-MX" w:eastAsia="en-US"/>
        </w:rPr>
        <w:t xml:space="preserve">; vi) </w:t>
      </w:r>
      <w:r w:rsidR="00DE41ED" w:rsidRPr="00D519C5">
        <w:rPr>
          <w:rFonts w:ascii="ITC Avant Garde" w:eastAsia="Calibri" w:hAnsi="ITC Avant Garde"/>
          <w:sz w:val="22"/>
          <w:szCs w:val="22"/>
          <w:lang w:val="es-MX" w:eastAsia="en-US"/>
        </w:rPr>
        <w:t xml:space="preserve">Interferencias perjudiciales; </w:t>
      </w:r>
      <w:r w:rsidRPr="00D519C5">
        <w:rPr>
          <w:rFonts w:ascii="ITC Avant Garde" w:eastAsia="Calibri" w:hAnsi="ITC Avant Garde"/>
          <w:sz w:val="22"/>
          <w:szCs w:val="22"/>
          <w:lang w:val="es-MX" w:eastAsia="en-US"/>
        </w:rPr>
        <w:t xml:space="preserve">vii) </w:t>
      </w:r>
      <w:r w:rsidR="00DE41ED" w:rsidRPr="00D519C5">
        <w:rPr>
          <w:rFonts w:ascii="ITC Avant Garde" w:eastAsia="Calibri" w:hAnsi="ITC Avant Garde"/>
          <w:sz w:val="22"/>
          <w:szCs w:val="22"/>
          <w:lang w:val="es-MX" w:eastAsia="en-US"/>
        </w:rPr>
        <w:t xml:space="preserve">Servicios a título secundario y </w:t>
      </w:r>
      <w:r w:rsidR="00E602A5" w:rsidRPr="00D519C5">
        <w:rPr>
          <w:rFonts w:ascii="ITC Avant Garde" w:eastAsia="Calibri" w:hAnsi="ITC Avant Garde"/>
          <w:sz w:val="22"/>
          <w:szCs w:val="22"/>
          <w:lang w:val="es-MX" w:eastAsia="en-US"/>
        </w:rPr>
        <w:t>viii) Radiaciones Electromagnéticas.</w:t>
      </w:r>
    </w:p>
    <w:p w14:paraId="51DE0C57" w14:textId="77777777" w:rsidR="002D7BBD" w:rsidRDefault="00E602A5" w:rsidP="002D7BBD">
      <w:pPr>
        <w:autoSpaceDE w:val="0"/>
        <w:autoSpaceDN w:val="0"/>
        <w:adjustRightInd w:val="0"/>
        <w:spacing w:before="240" w:after="240"/>
        <w:jc w:val="both"/>
        <w:rPr>
          <w:rFonts w:ascii="ITC Avant Garde" w:eastAsia="Calibri" w:hAnsi="ITC Avant Garde"/>
          <w:sz w:val="22"/>
          <w:szCs w:val="22"/>
          <w:lang w:val="es-MX" w:eastAsia="en-US"/>
        </w:rPr>
      </w:pPr>
      <w:r w:rsidRPr="00D519C5">
        <w:rPr>
          <w:rFonts w:ascii="ITC Avant Garde" w:eastAsia="Calibri" w:hAnsi="ITC Avant Garde"/>
          <w:sz w:val="22"/>
          <w:szCs w:val="22"/>
          <w:lang w:val="es-MX" w:eastAsia="en-US"/>
        </w:rPr>
        <w:t xml:space="preserve">Por </w:t>
      </w:r>
      <w:r w:rsidR="00CC232C" w:rsidRPr="00D519C5">
        <w:rPr>
          <w:rFonts w:ascii="ITC Avant Garde" w:eastAsia="Calibri" w:hAnsi="ITC Avant Garde"/>
          <w:sz w:val="22"/>
          <w:szCs w:val="22"/>
          <w:lang w:val="es-MX" w:eastAsia="en-US"/>
        </w:rPr>
        <w:t xml:space="preserve">otro lado, y con respecto a la opinión no vinculante de la Secretaría que se establece en el artículo 28 párrafo décimo séptimo de la Constitución, para asuntos como el abordado en la presente Resolución, debe considerarse que la Solicitud fue presentada previo a la integración del Instituto, por lo que el trámite y desahogo de la misma, debe ajustarse a los términos establecidos por la legislación aplicable al momento de su inicio, misma que no preveía la solicitud de opinión técnica </w:t>
      </w:r>
      <w:r w:rsidR="00B12EB8">
        <w:rPr>
          <w:rFonts w:ascii="ITC Avant Garde" w:eastAsia="Calibri" w:hAnsi="ITC Avant Garde"/>
          <w:sz w:val="22"/>
          <w:szCs w:val="22"/>
          <w:lang w:val="es-MX" w:eastAsia="en-US"/>
        </w:rPr>
        <w:t>a</w:t>
      </w:r>
      <w:r w:rsidR="00CC232C" w:rsidRPr="00D519C5">
        <w:rPr>
          <w:rFonts w:ascii="ITC Avant Garde" w:eastAsia="Calibri" w:hAnsi="ITC Avant Garde"/>
          <w:sz w:val="22"/>
          <w:szCs w:val="22"/>
          <w:lang w:val="es-MX" w:eastAsia="en-US"/>
        </w:rPr>
        <w:t xml:space="preserve"> dicha Dependencia</w:t>
      </w:r>
      <w:r w:rsidR="00CC232C" w:rsidRPr="00D519C5">
        <w:rPr>
          <w:rFonts w:ascii="ITC Avant Garde" w:eastAsia="Calibri" w:hAnsi="ITC Avant Garde"/>
          <w:bCs/>
          <w:sz w:val="22"/>
          <w:szCs w:val="22"/>
          <w:lang w:val="es-MX" w:eastAsia="en-US"/>
        </w:rPr>
        <w:t>.</w:t>
      </w:r>
    </w:p>
    <w:p w14:paraId="3CFD600E" w14:textId="77777777" w:rsidR="002D7BBD" w:rsidRDefault="00CC232C" w:rsidP="002D7BBD">
      <w:pPr>
        <w:autoSpaceDE w:val="0"/>
        <w:autoSpaceDN w:val="0"/>
        <w:adjustRightInd w:val="0"/>
        <w:spacing w:before="240" w:after="240"/>
        <w:jc w:val="both"/>
        <w:rPr>
          <w:rFonts w:ascii="ITC Avant Garde" w:eastAsia="Calibri" w:hAnsi="ITC Avant Garde"/>
          <w:sz w:val="22"/>
          <w:szCs w:val="22"/>
          <w:lang w:val="es-MX" w:eastAsia="en-US"/>
        </w:rPr>
      </w:pPr>
      <w:r w:rsidRPr="00D519C5">
        <w:rPr>
          <w:rFonts w:ascii="ITC Avant Garde" w:eastAsia="Calibri" w:hAnsi="ITC Avant Garde"/>
          <w:sz w:val="22"/>
          <w:szCs w:val="22"/>
          <w:lang w:val="es-MX" w:eastAsia="en-US"/>
        </w:rPr>
        <w:t xml:space="preserve">Por lo que se refiere al pago de derechos, </w:t>
      </w:r>
      <w:r w:rsidR="00F555ED">
        <w:rPr>
          <w:rFonts w:ascii="ITC Avant Garde" w:hAnsi="ITC Avant Garde"/>
          <w:bCs/>
          <w:color w:val="000000"/>
          <w:sz w:val="22"/>
          <w:szCs w:val="22"/>
          <w:lang w:val="es-MX" w:eastAsia="es-MX"/>
        </w:rPr>
        <w:t>Ferrosur</w:t>
      </w:r>
      <w:r w:rsidRPr="00D519C5">
        <w:rPr>
          <w:rFonts w:ascii="ITC Avant Garde" w:eastAsia="Calibri" w:hAnsi="ITC Avant Garde"/>
          <w:sz w:val="22"/>
          <w:szCs w:val="22"/>
          <w:lang w:val="es-MX" w:eastAsia="en-US"/>
        </w:rPr>
        <w:t xml:space="preserve"> presentó copia del comprobante de pago con número de folio 6651200058</w:t>
      </w:r>
      <w:r w:rsidR="00797BB7">
        <w:rPr>
          <w:rFonts w:ascii="ITC Avant Garde" w:eastAsia="Calibri" w:hAnsi="ITC Avant Garde"/>
          <w:sz w:val="22"/>
          <w:szCs w:val="22"/>
          <w:lang w:val="es-MX" w:eastAsia="en-US"/>
        </w:rPr>
        <w:t>46</w:t>
      </w:r>
      <w:r w:rsidRPr="00D519C5">
        <w:rPr>
          <w:rFonts w:ascii="ITC Avant Garde" w:eastAsia="Calibri" w:hAnsi="ITC Avant Garde"/>
          <w:sz w:val="22"/>
          <w:szCs w:val="22"/>
          <w:lang w:val="es-MX" w:eastAsia="en-US"/>
        </w:rPr>
        <w:t xml:space="preserve"> por concepto del estudio de la solicitud de asignación</w:t>
      </w:r>
      <w:r w:rsidR="00FF44AD" w:rsidRPr="00D519C5">
        <w:rPr>
          <w:rFonts w:ascii="ITC Avant Garde" w:eastAsia="Calibri" w:hAnsi="ITC Avant Garde"/>
          <w:sz w:val="22"/>
          <w:szCs w:val="22"/>
          <w:lang w:val="es-MX" w:eastAsia="en-US"/>
        </w:rPr>
        <w:t xml:space="preserve"> de frecuencias para uso oficial</w:t>
      </w:r>
      <w:r w:rsidRPr="00D519C5">
        <w:rPr>
          <w:rFonts w:ascii="ITC Avant Garde" w:eastAsia="Calibri" w:hAnsi="ITC Avant Garde"/>
          <w:sz w:val="22"/>
          <w:szCs w:val="22"/>
          <w:lang w:val="es-MX" w:eastAsia="en-US"/>
        </w:rPr>
        <w:t>, conforme a lo establecido por la fracción I del artículo 105 de la Ley Federal de Derechos vigente en su momento.</w:t>
      </w:r>
    </w:p>
    <w:p w14:paraId="58B41D3C" w14:textId="039D1A0F" w:rsidR="002D7BBD" w:rsidRDefault="00B50ACA" w:rsidP="002D7BBD">
      <w:pPr>
        <w:tabs>
          <w:tab w:val="num" w:pos="540"/>
        </w:tabs>
        <w:spacing w:before="240" w:after="240"/>
        <w:jc w:val="both"/>
        <w:rPr>
          <w:rFonts w:ascii="ITC Avant Garde" w:eastAsia="Calibri" w:hAnsi="ITC Avant Garde"/>
          <w:bCs/>
          <w:color w:val="000000"/>
          <w:sz w:val="22"/>
          <w:szCs w:val="22"/>
          <w:lang w:eastAsia="es-MX"/>
        </w:rPr>
      </w:pPr>
      <w:r w:rsidRPr="00D519C5">
        <w:rPr>
          <w:rFonts w:ascii="ITC Avant Garde" w:hAnsi="ITC Avant Garde"/>
          <w:b/>
          <w:bCs/>
          <w:color w:val="000000"/>
          <w:sz w:val="22"/>
          <w:szCs w:val="22"/>
          <w:lang w:val="es-MX" w:eastAsia="es-MX"/>
        </w:rPr>
        <w:lastRenderedPageBreak/>
        <w:t xml:space="preserve">Cuarto.- </w:t>
      </w:r>
      <w:r w:rsidR="00B82FDC" w:rsidRPr="00D519C5">
        <w:rPr>
          <w:rFonts w:ascii="ITC Avant Garde" w:hAnsi="ITC Avant Garde"/>
          <w:b/>
          <w:bCs/>
          <w:color w:val="000000"/>
          <w:sz w:val="22"/>
          <w:szCs w:val="22"/>
          <w:lang w:val="es-MX" w:eastAsia="es-MX"/>
        </w:rPr>
        <w:t xml:space="preserve">Monto de la </w:t>
      </w:r>
      <w:r w:rsidR="00DC5546" w:rsidRPr="00D519C5">
        <w:rPr>
          <w:rFonts w:ascii="ITC Avant Garde" w:eastAsia="Calibri" w:hAnsi="ITC Avant Garde"/>
          <w:b/>
          <w:bCs/>
          <w:color w:val="000000"/>
          <w:sz w:val="22"/>
          <w:szCs w:val="22"/>
          <w:lang w:eastAsia="es-MX"/>
        </w:rPr>
        <w:t>contraprestación</w:t>
      </w:r>
      <w:r w:rsidRPr="00D519C5">
        <w:rPr>
          <w:rFonts w:ascii="ITC Avant Garde" w:eastAsia="Calibri" w:hAnsi="ITC Avant Garde"/>
          <w:b/>
          <w:bCs/>
          <w:color w:val="000000"/>
          <w:sz w:val="22"/>
          <w:szCs w:val="22"/>
          <w:lang w:eastAsia="es-MX"/>
        </w:rPr>
        <w:t>.</w:t>
      </w:r>
      <w:r w:rsidRPr="00D519C5">
        <w:rPr>
          <w:rFonts w:ascii="ITC Avant Garde" w:hAnsi="ITC Avant Garde"/>
          <w:bCs/>
          <w:color w:val="000000"/>
          <w:szCs w:val="24"/>
          <w:lang w:eastAsia="es-MX"/>
        </w:rPr>
        <w:t xml:space="preserve"> </w:t>
      </w:r>
      <w:r w:rsidRPr="00D519C5">
        <w:rPr>
          <w:rFonts w:ascii="ITC Avant Garde" w:eastAsia="Calibri" w:hAnsi="ITC Avant Garde"/>
          <w:bCs/>
          <w:color w:val="000000"/>
          <w:sz w:val="22"/>
          <w:szCs w:val="22"/>
          <w:lang w:eastAsia="es-MX"/>
        </w:rPr>
        <w:t>Como ya quedó señalado en el Considerando Segundo</w:t>
      </w:r>
      <w:r w:rsidR="008C288B">
        <w:rPr>
          <w:rFonts w:ascii="ITC Avant Garde" w:eastAsia="Calibri" w:hAnsi="ITC Avant Garde"/>
          <w:bCs/>
          <w:color w:val="000000"/>
          <w:sz w:val="22"/>
          <w:szCs w:val="22"/>
          <w:lang w:eastAsia="es-MX"/>
        </w:rPr>
        <w:t xml:space="preserve"> de la presente Resolución</w:t>
      </w:r>
      <w:r w:rsidRPr="00D519C5">
        <w:rPr>
          <w:rFonts w:ascii="ITC Avant Garde" w:eastAsia="Calibri" w:hAnsi="ITC Avant Garde"/>
          <w:bCs/>
          <w:color w:val="000000"/>
          <w:sz w:val="22"/>
          <w:szCs w:val="22"/>
          <w:lang w:eastAsia="es-MX"/>
        </w:rPr>
        <w:t>, la normativid</w:t>
      </w:r>
      <w:r w:rsidR="007C61F7" w:rsidRPr="00D519C5">
        <w:rPr>
          <w:rFonts w:ascii="ITC Avant Garde" w:eastAsia="Calibri" w:hAnsi="ITC Avant Garde"/>
          <w:bCs/>
          <w:color w:val="000000"/>
          <w:sz w:val="22"/>
          <w:szCs w:val="22"/>
          <w:lang w:eastAsia="es-MX"/>
        </w:rPr>
        <w:t>ad aplicable a la Solicitud estaba</w:t>
      </w:r>
      <w:r w:rsidRPr="00D519C5">
        <w:rPr>
          <w:rFonts w:ascii="ITC Avant Garde" w:eastAsia="Calibri" w:hAnsi="ITC Avant Garde"/>
          <w:bCs/>
          <w:color w:val="000000"/>
          <w:sz w:val="22"/>
          <w:szCs w:val="22"/>
          <w:lang w:eastAsia="es-MX"/>
        </w:rPr>
        <w:t xml:space="preserve"> contenida en la LFT, la cual, en su artículo 10 fracción III establec</w:t>
      </w:r>
      <w:r w:rsidR="007C61F7" w:rsidRPr="00D519C5">
        <w:rPr>
          <w:rFonts w:ascii="ITC Avant Garde" w:eastAsia="Calibri" w:hAnsi="ITC Avant Garde"/>
          <w:bCs/>
          <w:color w:val="000000"/>
          <w:sz w:val="22"/>
          <w:szCs w:val="22"/>
          <w:lang w:eastAsia="es-MX"/>
        </w:rPr>
        <w:t>ía</w:t>
      </w:r>
      <w:r w:rsidRPr="00D519C5">
        <w:rPr>
          <w:rFonts w:ascii="ITC Avant Garde" w:eastAsia="Calibri" w:hAnsi="ITC Avant Garde"/>
          <w:bCs/>
          <w:color w:val="000000"/>
          <w:sz w:val="22"/>
          <w:szCs w:val="22"/>
          <w:lang w:eastAsia="es-MX"/>
        </w:rPr>
        <w:t xml:space="preserve"> que los concesionarios de servicios públicos quedar</w:t>
      </w:r>
      <w:r w:rsidR="004F662C" w:rsidRPr="00D519C5">
        <w:rPr>
          <w:rFonts w:ascii="ITC Avant Garde" w:eastAsia="Calibri" w:hAnsi="ITC Avant Garde"/>
          <w:bCs/>
          <w:color w:val="000000"/>
          <w:sz w:val="22"/>
          <w:szCs w:val="22"/>
          <w:lang w:eastAsia="es-MX"/>
        </w:rPr>
        <w:t>í</w:t>
      </w:r>
      <w:r w:rsidR="007C61F7" w:rsidRPr="00D519C5">
        <w:rPr>
          <w:rFonts w:ascii="ITC Avant Garde" w:eastAsia="Calibri" w:hAnsi="ITC Avant Garde"/>
          <w:bCs/>
          <w:color w:val="000000"/>
          <w:sz w:val="22"/>
          <w:szCs w:val="22"/>
          <w:lang w:eastAsia="es-MX"/>
        </w:rPr>
        <w:t>a</w:t>
      </w:r>
      <w:r w:rsidRPr="00D519C5">
        <w:rPr>
          <w:rFonts w:ascii="ITC Avant Garde" w:eastAsia="Calibri" w:hAnsi="ITC Avant Garde"/>
          <w:bCs/>
          <w:color w:val="000000"/>
          <w:sz w:val="22"/>
          <w:szCs w:val="22"/>
          <w:lang w:eastAsia="es-MX"/>
        </w:rPr>
        <w:t xml:space="preserve">n obligados a pagar </w:t>
      </w:r>
      <w:r w:rsidR="00B12EB8" w:rsidRPr="00B12EB8">
        <w:rPr>
          <w:rFonts w:ascii="ITC Avant Garde" w:eastAsia="Calibri" w:hAnsi="ITC Avant Garde"/>
          <w:bCs/>
          <w:color w:val="000000"/>
          <w:sz w:val="22"/>
          <w:szCs w:val="22"/>
          <w:lang w:eastAsia="es-MX"/>
        </w:rPr>
        <w:t>la contraprestación que fijara la SHCP, por el uso de las bandas de frecuencia de uso oficial que en su caso se asignaran</w:t>
      </w:r>
      <w:r w:rsidRPr="00D519C5">
        <w:rPr>
          <w:rFonts w:ascii="ITC Avant Garde" w:eastAsia="Calibri" w:hAnsi="ITC Avant Garde"/>
          <w:bCs/>
          <w:color w:val="000000"/>
          <w:sz w:val="22"/>
          <w:szCs w:val="22"/>
          <w:lang w:eastAsia="es-MX"/>
        </w:rPr>
        <w:t>.</w:t>
      </w:r>
    </w:p>
    <w:p w14:paraId="7236BA5C" w14:textId="77777777" w:rsidR="002D7BBD" w:rsidRDefault="00B12EB8" w:rsidP="002D7BBD">
      <w:pPr>
        <w:spacing w:before="240" w:after="240"/>
        <w:jc w:val="both"/>
        <w:rPr>
          <w:rFonts w:ascii="ITC Avant Garde" w:hAnsi="ITC Avant Garde"/>
          <w:sz w:val="22"/>
          <w:szCs w:val="22"/>
        </w:rPr>
      </w:pPr>
      <w:r w:rsidRPr="00D519C5">
        <w:rPr>
          <w:rFonts w:ascii="ITC Avant Garde" w:eastAsia="Calibri" w:hAnsi="ITC Avant Garde"/>
          <w:bCs/>
          <w:color w:val="000000"/>
          <w:sz w:val="22"/>
          <w:szCs w:val="22"/>
          <w:lang w:eastAsia="es-MX"/>
        </w:rPr>
        <w:t>Es decir, los concesionarios de servicios públicos,</w:t>
      </w:r>
      <w:r>
        <w:rPr>
          <w:rFonts w:ascii="ITC Avant Garde" w:eastAsia="Calibri" w:hAnsi="ITC Avant Garde"/>
          <w:bCs/>
          <w:color w:val="000000"/>
          <w:sz w:val="22"/>
          <w:szCs w:val="22"/>
          <w:lang w:eastAsia="es-MX"/>
        </w:rPr>
        <w:t xml:space="preserve"> por</w:t>
      </w:r>
      <w:r w:rsidRPr="00D519C5">
        <w:rPr>
          <w:rFonts w:ascii="ITC Avant Garde" w:eastAsia="Calibri" w:hAnsi="ITC Avant Garde"/>
          <w:bCs/>
          <w:color w:val="000000"/>
          <w:sz w:val="22"/>
          <w:szCs w:val="22"/>
          <w:lang w:eastAsia="es-MX"/>
        </w:rPr>
        <w:t xml:space="preserve"> el otorgamiento de una concesión de espectro radioeléctrico quedaban obligados al pago de una contraprestación al Estado por el uso y aprovechamiento</w:t>
      </w:r>
      <w:r w:rsidRPr="00D519C5">
        <w:rPr>
          <w:rFonts w:ascii="ITC Avant Garde" w:hAnsi="ITC Avant Garde"/>
          <w:sz w:val="22"/>
          <w:szCs w:val="22"/>
        </w:rPr>
        <w:t xml:space="preserve"> de un bien de uso común, sujeto al régimen de dominio público de la Federación. </w:t>
      </w:r>
    </w:p>
    <w:p w14:paraId="43906DE1" w14:textId="77777777" w:rsidR="002D7BBD" w:rsidRDefault="00B12EB8" w:rsidP="002D7BBD">
      <w:pPr>
        <w:tabs>
          <w:tab w:val="num" w:pos="540"/>
        </w:tabs>
        <w:spacing w:before="240" w:after="240"/>
        <w:jc w:val="both"/>
        <w:rPr>
          <w:rFonts w:ascii="ITC Avant Garde" w:hAnsi="ITC Avant Garde"/>
          <w:bCs/>
          <w:color w:val="000000"/>
          <w:sz w:val="22"/>
          <w:szCs w:val="22"/>
          <w:lang w:eastAsia="es-MX"/>
        </w:rPr>
      </w:pPr>
      <w:r w:rsidRPr="00D519C5">
        <w:rPr>
          <w:rFonts w:ascii="ITC Avant Garde" w:hAnsi="ITC Avant Garde"/>
          <w:bCs/>
          <w:color w:val="000000"/>
          <w:sz w:val="22"/>
          <w:szCs w:val="22"/>
          <w:lang w:eastAsia="es-MX"/>
        </w:rPr>
        <w:t xml:space="preserve">En ese sentido, y </w:t>
      </w:r>
      <w:r>
        <w:rPr>
          <w:rFonts w:ascii="ITC Avant Garde" w:hAnsi="ITC Avant Garde"/>
          <w:bCs/>
          <w:color w:val="000000"/>
          <w:sz w:val="22"/>
          <w:szCs w:val="22"/>
          <w:lang w:eastAsia="es-MX"/>
        </w:rPr>
        <w:t xml:space="preserve">como quedó señalado en el Antecedente XIII de la presente Resolución, </w:t>
      </w:r>
      <w:r w:rsidRPr="00D519C5">
        <w:rPr>
          <w:rFonts w:ascii="ITC Avant Garde" w:hAnsi="ITC Avant Garde"/>
          <w:bCs/>
          <w:color w:val="000000"/>
          <w:sz w:val="22"/>
          <w:szCs w:val="22"/>
          <w:lang w:eastAsia="es-MX"/>
        </w:rPr>
        <w:t xml:space="preserve">a fin de que la SHCP fijara el monto de los aprovechamientos correspondientes, la Unidad de Espectro Radioeléctrico del Instituto, mediante oficio </w:t>
      </w:r>
      <w:r w:rsidRPr="00BE111C">
        <w:rPr>
          <w:rFonts w:ascii="ITC Avant Garde" w:hAnsi="ITC Avant Garde"/>
          <w:bCs/>
          <w:color w:val="000000"/>
          <w:sz w:val="22"/>
          <w:szCs w:val="22"/>
          <w:lang w:eastAsia="es-MX"/>
        </w:rPr>
        <w:t>IFT/222/UER/109/2015 de fecha 22 de abril de 2015</w:t>
      </w:r>
      <w:r>
        <w:rPr>
          <w:rFonts w:ascii="ITC Avant Garde" w:hAnsi="ITC Avant Garde"/>
          <w:bCs/>
          <w:color w:val="000000"/>
          <w:sz w:val="22"/>
          <w:szCs w:val="22"/>
          <w:lang w:eastAsia="es-MX"/>
        </w:rPr>
        <w:t xml:space="preserve"> </w:t>
      </w:r>
      <w:r w:rsidRPr="00D519C5">
        <w:rPr>
          <w:rFonts w:ascii="ITC Avant Garde" w:hAnsi="ITC Avant Garde"/>
          <w:bCs/>
          <w:color w:val="000000"/>
          <w:sz w:val="22"/>
          <w:szCs w:val="22"/>
          <w:lang w:eastAsia="es-MX"/>
        </w:rPr>
        <w:t>remitió</w:t>
      </w:r>
      <w:r w:rsidRPr="00D519C5" w:rsidDel="002D3390">
        <w:rPr>
          <w:rFonts w:ascii="ITC Avant Garde" w:hAnsi="ITC Avant Garde"/>
          <w:bCs/>
          <w:color w:val="000000"/>
          <w:sz w:val="22"/>
          <w:szCs w:val="22"/>
          <w:lang w:eastAsia="es-MX"/>
        </w:rPr>
        <w:t xml:space="preserve"> </w:t>
      </w:r>
      <w:r w:rsidRPr="00D519C5">
        <w:rPr>
          <w:rFonts w:ascii="ITC Avant Garde" w:hAnsi="ITC Avant Garde"/>
          <w:bCs/>
          <w:color w:val="000000"/>
          <w:sz w:val="22"/>
          <w:szCs w:val="22"/>
          <w:lang w:eastAsia="es-MX"/>
        </w:rPr>
        <w:t xml:space="preserve">a </w:t>
      </w:r>
      <w:r>
        <w:rPr>
          <w:rFonts w:ascii="ITC Avant Garde" w:hAnsi="ITC Avant Garde"/>
          <w:bCs/>
          <w:color w:val="000000"/>
          <w:sz w:val="22"/>
          <w:szCs w:val="22"/>
          <w:lang w:eastAsia="es-MX"/>
        </w:rPr>
        <w:t>la Unidad de Política de Ingresos No Tributarios de la SHCP</w:t>
      </w:r>
      <w:r w:rsidRPr="00D519C5">
        <w:rPr>
          <w:rFonts w:ascii="ITC Avant Garde" w:hAnsi="ITC Avant Garde"/>
          <w:bCs/>
          <w:color w:val="000000"/>
          <w:sz w:val="22"/>
          <w:szCs w:val="22"/>
          <w:lang w:eastAsia="es-MX"/>
        </w:rPr>
        <w:t>, las propuestas</w:t>
      </w:r>
      <w:r>
        <w:rPr>
          <w:rFonts w:ascii="ITC Avant Garde" w:hAnsi="ITC Avant Garde"/>
          <w:bCs/>
          <w:color w:val="000000"/>
          <w:sz w:val="22"/>
          <w:szCs w:val="22"/>
          <w:lang w:eastAsia="es-MX"/>
        </w:rPr>
        <w:t xml:space="preserve"> de aprovechamientos que debería</w:t>
      </w:r>
      <w:r w:rsidRPr="00D519C5">
        <w:rPr>
          <w:rFonts w:ascii="ITC Avant Garde" w:hAnsi="ITC Avant Garde"/>
          <w:bCs/>
          <w:color w:val="000000"/>
          <w:sz w:val="22"/>
          <w:szCs w:val="22"/>
          <w:lang w:eastAsia="es-MX"/>
        </w:rPr>
        <w:t xml:space="preserve"> pagar entre otr</w:t>
      </w:r>
      <w:r>
        <w:rPr>
          <w:rFonts w:ascii="ITC Avant Garde" w:hAnsi="ITC Avant Garde"/>
          <w:bCs/>
          <w:color w:val="000000"/>
          <w:sz w:val="22"/>
          <w:szCs w:val="22"/>
          <w:lang w:eastAsia="es-MX"/>
        </w:rPr>
        <w:t>a</w:t>
      </w:r>
      <w:r w:rsidRPr="00D519C5">
        <w:rPr>
          <w:rFonts w:ascii="ITC Avant Garde" w:hAnsi="ITC Avant Garde"/>
          <w:bCs/>
          <w:color w:val="000000"/>
          <w:sz w:val="22"/>
          <w:szCs w:val="22"/>
          <w:lang w:eastAsia="es-MX"/>
        </w:rPr>
        <w:t>s</w:t>
      </w:r>
      <w:r>
        <w:rPr>
          <w:rFonts w:ascii="ITC Avant Garde" w:hAnsi="ITC Avant Garde"/>
          <w:bCs/>
          <w:color w:val="000000"/>
          <w:sz w:val="22"/>
          <w:szCs w:val="22"/>
          <w:lang w:eastAsia="es-MX"/>
        </w:rPr>
        <w:t xml:space="preserve"> empresas, Ferrosur, por el uso y </w:t>
      </w:r>
      <w:r w:rsidRPr="00D519C5">
        <w:rPr>
          <w:rFonts w:ascii="ITC Avant Garde" w:hAnsi="ITC Avant Garde"/>
          <w:bCs/>
          <w:color w:val="000000"/>
          <w:sz w:val="22"/>
          <w:szCs w:val="22"/>
          <w:lang w:eastAsia="es-MX"/>
        </w:rPr>
        <w:t>aprovechamiento de las bandas de frecuencias en los segmentos 157-174 MHz, 220-222 MHz, 350-380 MHz, 452-458 MHz, 1427-1517 MHz y 21225-23575 MHz</w:t>
      </w:r>
      <w:r>
        <w:rPr>
          <w:rFonts w:ascii="ITC Avant Garde" w:hAnsi="ITC Avant Garde"/>
          <w:bCs/>
          <w:color w:val="000000"/>
          <w:sz w:val="22"/>
          <w:szCs w:val="22"/>
          <w:lang w:eastAsia="es-MX"/>
        </w:rPr>
        <w:t xml:space="preserve">, </w:t>
      </w:r>
      <w:r w:rsidRPr="00E54890">
        <w:rPr>
          <w:rFonts w:ascii="ITC Avant Garde" w:hAnsi="ITC Avant Garde"/>
          <w:bCs/>
          <w:color w:val="000000"/>
          <w:sz w:val="22"/>
          <w:szCs w:val="22"/>
          <w:lang w:eastAsia="es-MX"/>
        </w:rPr>
        <w:t>para lo cual consideró, entre otros</w:t>
      </w:r>
      <w:r>
        <w:rPr>
          <w:rFonts w:ascii="ITC Avant Garde" w:hAnsi="ITC Avant Garde"/>
          <w:bCs/>
          <w:color w:val="000000"/>
          <w:sz w:val="22"/>
          <w:szCs w:val="22"/>
          <w:lang w:eastAsia="es-MX"/>
        </w:rPr>
        <w:t>, lo</w:t>
      </w:r>
      <w:r w:rsidRPr="00E54890">
        <w:rPr>
          <w:rFonts w:ascii="ITC Avant Garde" w:hAnsi="ITC Avant Garde"/>
          <w:bCs/>
          <w:color w:val="000000"/>
          <w:sz w:val="22"/>
          <w:szCs w:val="22"/>
          <w:lang w:eastAsia="es-MX"/>
        </w:rPr>
        <w:t xml:space="preserve"> siguiente</w:t>
      </w:r>
      <w:r>
        <w:rPr>
          <w:rFonts w:ascii="ITC Avant Garde" w:hAnsi="ITC Avant Garde"/>
          <w:bCs/>
          <w:color w:val="000000"/>
          <w:sz w:val="22"/>
          <w:szCs w:val="22"/>
          <w:lang w:eastAsia="es-MX"/>
        </w:rPr>
        <w:t xml:space="preserve">: </w:t>
      </w:r>
    </w:p>
    <w:p w14:paraId="5EF057D0" w14:textId="38983E07" w:rsidR="00FE329B" w:rsidRPr="00B12EB8" w:rsidRDefault="00FE329B" w:rsidP="002D7BBD">
      <w:pPr>
        <w:tabs>
          <w:tab w:val="num" w:pos="540"/>
        </w:tabs>
        <w:spacing w:before="240" w:after="240"/>
        <w:ind w:left="567"/>
        <w:jc w:val="both"/>
        <w:rPr>
          <w:rFonts w:ascii="ITC Avant Garde" w:hAnsi="ITC Avant Garde"/>
          <w:bCs/>
          <w:color w:val="000000"/>
          <w:sz w:val="18"/>
          <w:szCs w:val="18"/>
          <w:lang w:eastAsia="es-MX"/>
        </w:rPr>
      </w:pPr>
      <w:r w:rsidRPr="00B12EB8">
        <w:rPr>
          <w:rFonts w:ascii="ITC Avant Garde" w:hAnsi="ITC Avant Garde"/>
          <w:bCs/>
          <w:color w:val="000000"/>
          <w:sz w:val="18"/>
          <w:szCs w:val="18"/>
          <w:lang w:eastAsia="es-MX"/>
        </w:rPr>
        <w:t>“</w:t>
      </w:r>
      <w:r w:rsidRPr="00B12EB8">
        <w:rPr>
          <w:rFonts w:ascii="ITC Avant Garde" w:hAnsi="ITC Avant Garde"/>
          <w:bCs/>
          <w:i/>
          <w:color w:val="000000"/>
          <w:sz w:val="18"/>
          <w:szCs w:val="18"/>
          <w:lang w:eastAsia="es-MX"/>
        </w:rPr>
        <w:t>[…]</w:t>
      </w:r>
    </w:p>
    <w:tbl>
      <w:tblPr>
        <w:tblStyle w:val="Tablaconcuadrcula1"/>
        <w:tblW w:w="0" w:type="auto"/>
        <w:jc w:val="center"/>
        <w:tblLayout w:type="fixed"/>
        <w:tblLook w:val="04A0" w:firstRow="1" w:lastRow="0" w:firstColumn="1" w:lastColumn="0" w:noHBand="0" w:noVBand="1"/>
        <w:tblCaption w:val="Propuesta de aprovechamientos"/>
        <w:tblDescription w:val="Se detalla en una tabla de 3 columnas, la cantidad del aprovechamiento a pagar por la empresa."/>
      </w:tblPr>
      <w:tblGrid>
        <w:gridCol w:w="426"/>
        <w:gridCol w:w="3969"/>
        <w:gridCol w:w="3827"/>
      </w:tblGrid>
      <w:tr w:rsidR="001B321A" w:rsidRPr="002D7BBD" w14:paraId="42D4170F" w14:textId="77777777" w:rsidTr="002D7BBD">
        <w:trPr>
          <w:tblHeader/>
          <w:jc w:val="center"/>
        </w:trPr>
        <w:tc>
          <w:tcPr>
            <w:tcW w:w="426" w:type="dxa"/>
            <w:shd w:val="clear" w:color="auto" w:fill="BFBFBF" w:themeFill="background1" w:themeFillShade="BF"/>
            <w:vAlign w:val="center"/>
          </w:tcPr>
          <w:p w14:paraId="41B684B5" w14:textId="64DA1CEF" w:rsidR="001B321A" w:rsidRPr="002D7BBD" w:rsidRDefault="002D7BBD" w:rsidP="002D7BBD">
            <w:pPr>
              <w:pStyle w:val="Prrafodelista"/>
              <w:ind w:left="0"/>
              <w:jc w:val="center"/>
              <w:rPr>
                <w:rFonts w:ascii="ITC Avant Garde" w:hAnsi="ITC Avant Garde"/>
                <w:b/>
                <w:bCs/>
                <w:i/>
                <w:color w:val="000000"/>
                <w:sz w:val="8"/>
                <w:szCs w:val="8"/>
                <w:lang w:eastAsia="es-MX"/>
              </w:rPr>
            </w:pPr>
            <w:r w:rsidRPr="002D7BBD">
              <w:rPr>
                <w:rFonts w:ascii="ITC Avant Garde" w:hAnsi="ITC Avant Garde"/>
                <w:b/>
                <w:bCs/>
                <w:i/>
                <w:color w:val="000000"/>
                <w:sz w:val="8"/>
                <w:szCs w:val="8"/>
                <w:lang w:eastAsia="es-MX"/>
              </w:rPr>
              <w:t>Número</w:t>
            </w:r>
          </w:p>
        </w:tc>
        <w:tc>
          <w:tcPr>
            <w:tcW w:w="3969" w:type="dxa"/>
            <w:shd w:val="clear" w:color="auto" w:fill="BFBFBF" w:themeFill="background1" w:themeFillShade="BF"/>
            <w:vAlign w:val="center"/>
          </w:tcPr>
          <w:p w14:paraId="120DE6DA" w14:textId="77777777" w:rsidR="001B321A" w:rsidRPr="002D7BBD" w:rsidRDefault="001B321A" w:rsidP="002D7BBD">
            <w:pPr>
              <w:pStyle w:val="Prrafodelista"/>
              <w:ind w:left="0"/>
              <w:jc w:val="center"/>
              <w:rPr>
                <w:rFonts w:ascii="ITC Avant Garde" w:hAnsi="ITC Avant Garde"/>
                <w:b/>
                <w:bCs/>
                <w:color w:val="000000"/>
                <w:sz w:val="20"/>
                <w:szCs w:val="20"/>
                <w:lang w:eastAsia="es-MX"/>
              </w:rPr>
            </w:pPr>
            <w:r w:rsidRPr="002D7BBD">
              <w:rPr>
                <w:rFonts w:ascii="ITC Avant Garde" w:hAnsi="ITC Avant Garde"/>
                <w:b/>
                <w:bCs/>
                <w:color w:val="000000"/>
                <w:sz w:val="20"/>
                <w:szCs w:val="20"/>
                <w:lang w:eastAsia="es-MX"/>
              </w:rPr>
              <w:t>Concesionario</w:t>
            </w:r>
          </w:p>
        </w:tc>
        <w:tc>
          <w:tcPr>
            <w:tcW w:w="3827" w:type="dxa"/>
            <w:shd w:val="clear" w:color="auto" w:fill="BFBFBF" w:themeFill="background1" w:themeFillShade="BF"/>
            <w:vAlign w:val="center"/>
          </w:tcPr>
          <w:p w14:paraId="3A5DFD88" w14:textId="77777777" w:rsidR="001B321A" w:rsidRPr="002D7BBD" w:rsidRDefault="001B321A" w:rsidP="002D7BBD">
            <w:pPr>
              <w:pStyle w:val="Prrafodelista"/>
              <w:ind w:left="0"/>
              <w:jc w:val="center"/>
              <w:rPr>
                <w:rFonts w:ascii="ITC Avant Garde" w:hAnsi="ITC Avant Garde"/>
                <w:b/>
                <w:bCs/>
                <w:color w:val="000000"/>
                <w:sz w:val="18"/>
                <w:szCs w:val="18"/>
                <w:lang w:eastAsia="es-MX"/>
              </w:rPr>
            </w:pPr>
            <w:r w:rsidRPr="002D7BBD">
              <w:rPr>
                <w:rFonts w:ascii="ITC Avant Garde" w:hAnsi="ITC Avant Garde"/>
                <w:b/>
                <w:bCs/>
                <w:color w:val="000000"/>
                <w:sz w:val="18"/>
                <w:szCs w:val="18"/>
                <w:lang w:eastAsia="es-MX"/>
              </w:rPr>
              <w:t>Aprovechamiento a pagar en una sola exhibición (Pesos)</w:t>
            </w:r>
          </w:p>
        </w:tc>
      </w:tr>
      <w:tr w:rsidR="001B321A" w:rsidRPr="002D7BBD" w14:paraId="0AE72E31" w14:textId="77777777" w:rsidTr="002D7BBD">
        <w:trPr>
          <w:jc w:val="center"/>
        </w:trPr>
        <w:tc>
          <w:tcPr>
            <w:tcW w:w="426" w:type="dxa"/>
          </w:tcPr>
          <w:p w14:paraId="5D856D52" w14:textId="77777777" w:rsidR="001B321A" w:rsidRPr="002D7BBD" w:rsidRDefault="001B321A" w:rsidP="002D7BBD">
            <w:pPr>
              <w:pStyle w:val="Prrafodelista"/>
              <w:ind w:left="0"/>
              <w:rPr>
                <w:rFonts w:ascii="ITC Avant Garde" w:hAnsi="ITC Avant Garde"/>
                <w:bCs/>
                <w:color w:val="000000"/>
                <w:sz w:val="18"/>
                <w:szCs w:val="18"/>
                <w:lang w:eastAsia="es-MX"/>
              </w:rPr>
            </w:pPr>
          </w:p>
        </w:tc>
        <w:tc>
          <w:tcPr>
            <w:tcW w:w="3969" w:type="dxa"/>
          </w:tcPr>
          <w:p w14:paraId="62BFB895" w14:textId="77777777" w:rsidR="001B321A" w:rsidRPr="002D7BBD" w:rsidRDefault="001B321A" w:rsidP="002D7BBD">
            <w:pPr>
              <w:pStyle w:val="Prrafodelista"/>
              <w:ind w:left="0"/>
              <w:rPr>
                <w:rFonts w:ascii="ITC Avant Garde" w:hAnsi="ITC Avant Garde"/>
                <w:bCs/>
                <w:color w:val="000000"/>
                <w:sz w:val="18"/>
                <w:szCs w:val="18"/>
                <w:lang w:eastAsia="es-MX"/>
              </w:rPr>
            </w:pPr>
            <w:r w:rsidRPr="002D7BBD">
              <w:rPr>
                <w:rFonts w:ascii="ITC Avant Garde" w:hAnsi="ITC Avant Garde"/>
                <w:bCs/>
                <w:color w:val="000000"/>
                <w:sz w:val="18"/>
                <w:szCs w:val="18"/>
                <w:lang w:eastAsia="es-MX"/>
              </w:rPr>
              <w:t>[…]</w:t>
            </w:r>
          </w:p>
        </w:tc>
        <w:tc>
          <w:tcPr>
            <w:tcW w:w="3827" w:type="dxa"/>
          </w:tcPr>
          <w:p w14:paraId="70190524" w14:textId="77777777" w:rsidR="001B321A" w:rsidRPr="002D7BBD" w:rsidRDefault="001B321A" w:rsidP="002D7BBD">
            <w:pPr>
              <w:pStyle w:val="Prrafodelista"/>
              <w:ind w:left="0"/>
              <w:jc w:val="right"/>
              <w:rPr>
                <w:rFonts w:ascii="ITC Avant Garde" w:hAnsi="ITC Avant Garde"/>
                <w:bCs/>
                <w:color w:val="000000"/>
                <w:sz w:val="18"/>
                <w:szCs w:val="18"/>
                <w:lang w:eastAsia="es-MX"/>
              </w:rPr>
            </w:pPr>
            <w:r w:rsidRPr="002D7BBD">
              <w:rPr>
                <w:rFonts w:ascii="ITC Avant Garde" w:hAnsi="ITC Avant Garde"/>
                <w:bCs/>
                <w:color w:val="000000"/>
                <w:sz w:val="18"/>
                <w:szCs w:val="18"/>
                <w:lang w:eastAsia="es-MX"/>
              </w:rPr>
              <w:t>[…]</w:t>
            </w:r>
          </w:p>
        </w:tc>
      </w:tr>
      <w:tr w:rsidR="001B321A" w:rsidRPr="002D7BBD" w14:paraId="72600BE7" w14:textId="77777777" w:rsidTr="002D7BBD">
        <w:trPr>
          <w:jc w:val="center"/>
        </w:trPr>
        <w:tc>
          <w:tcPr>
            <w:tcW w:w="426" w:type="dxa"/>
          </w:tcPr>
          <w:p w14:paraId="61E3C7DE" w14:textId="11895C42" w:rsidR="001B321A" w:rsidRPr="002D7BBD" w:rsidRDefault="001B321A" w:rsidP="002D7BBD">
            <w:pPr>
              <w:rPr>
                <w:rFonts w:ascii="ITC Avant Garde" w:hAnsi="ITC Avant Garde"/>
                <w:bCs/>
                <w:color w:val="000000"/>
                <w:sz w:val="18"/>
                <w:szCs w:val="18"/>
                <w:lang w:val="es-MX" w:eastAsia="es-MX"/>
              </w:rPr>
            </w:pPr>
            <w:r w:rsidRPr="002D7BBD">
              <w:rPr>
                <w:rFonts w:ascii="ITC Avant Garde" w:hAnsi="ITC Avant Garde"/>
                <w:bCs/>
                <w:color w:val="000000"/>
                <w:sz w:val="18"/>
                <w:szCs w:val="18"/>
                <w:lang w:val="es-MX" w:eastAsia="es-MX"/>
              </w:rPr>
              <w:t>3</w:t>
            </w:r>
          </w:p>
        </w:tc>
        <w:tc>
          <w:tcPr>
            <w:tcW w:w="3969" w:type="dxa"/>
          </w:tcPr>
          <w:p w14:paraId="7A778715" w14:textId="7292BA1D" w:rsidR="001B321A" w:rsidRPr="002D7BBD" w:rsidRDefault="001B321A" w:rsidP="002D7BBD">
            <w:pPr>
              <w:rPr>
                <w:rFonts w:ascii="ITC Avant Garde" w:hAnsi="ITC Avant Garde"/>
                <w:b/>
                <w:bCs/>
                <w:color w:val="000000"/>
                <w:sz w:val="18"/>
                <w:szCs w:val="18"/>
                <w:lang w:val="es-MX" w:eastAsia="es-MX"/>
              </w:rPr>
            </w:pPr>
            <w:r w:rsidRPr="002D7BBD">
              <w:rPr>
                <w:rFonts w:ascii="ITC Avant Garde" w:hAnsi="ITC Avant Garde"/>
                <w:bCs/>
                <w:color w:val="000000"/>
                <w:sz w:val="18"/>
                <w:szCs w:val="18"/>
                <w:lang w:val="es-MX" w:eastAsia="es-MX"/>
              </w:rPr>
              <w:t xml:space="preserve">FERROSUR, S.A. de C.V. </w:t>
            </w:r>
          </w:p>
        </w:tc>
        <w:tc>
          <w:tcPr>
            <w:tcW w:w="3827" w:type="dxa"/>
          </w:tcPr>
          <w:p w14:paraId="56861EFF" w14:textId="3842571C" w:rsidR="001B321A" w:rsidRPr="002D7BBD" w:rsidRDefault="001B321A" w:rsidP="002D7BBD">
            <w:pPr>
              <w:pStyle w:val="Prrafodelista"/>
              <w:ind w:left="0"/>
              <w:jc w:val="right"/>
              <w:rPr>
                <w:rFonts w:ascii="ITC Avant Garde" w:hAnsi="ITC Avant Garde"/>
                <w:bCs/>
                <w:color w:val="000000"/>
                <w:sz w:val="18"/>
                <w:szCs w:val="18"/>
                <w:lang w:eastAsia="es-MX"/>
              </w:rPr>
            </w:pPr>
            <w:r w:rsidRPr="002D7BBD">
              <w:rPr>
                <w:rFonts w:ascii="ITC Avant Garde" w:hAnsi="ITC Avant Garde"/>
                <w:b/>
                <w:bCs/>
                <w:color w:val="000000"/>
                <w:sz w:val="18"/>
                <w:szCs w:val="18"/>
                <w:lang w:val="es-MX" w:eastAsia="es-MX"/>
              </w:rPr>
              <w:t>5,975,664.83</w:t>
            </w:r>
          </w:p>
        </w:tc>
      </w:tr>
      <w:tr w:rsidR="001B321A" w:rsidRPr="002D7BBD" w14:paraId="00C839FC" w14:textId="77777777" w:rsidTr="002D7BBD">
        <w:trPr>
          <w:jc w:val="center"/>
        </w:trPr>
        <w:tc>
          <w:tcPr>
            <w:tcW w:w="426" w:type="dxa"/>
          </w:tcPr>
          <w:p w14:paraId="69B59301" w14:textId="77777777" w:rsidR="001B321A" w:rsidRPr="002D7BBD" w:rsidRDefault="001B321A" w:rsidP="002D7BBD">
            <w:pPr>
              <w:pStyle w:val="Prrafodelista"/>
              <w:ind w:left="0"/>
              <w:rPr>
                <w:rFonts w:ascii="ITC Avant Garde" w:hAnsi="ITC Avant Garde"/>
                <w:bCs/>
                <w:color w:val="000000"/>
                <w:sz w:val="18"/>
                <w:szCs w:val="18"/>
                <w:lang w:eastAsia="es-MX"/>
              </w:rPr>
            </w:pPr>
          </w:p>
        </w:tc>
        <w:tc>
          <w:tcPr>
            <w:tcW w:w="3969" w:type="dxa"/>
          </w:tcPr>
          <w:p w14:paraId="75D57164" w14:textId="77777777" w:rsidR="001B321A" w:rsidRPr="002D7BBD" w:rsidRDefault="001B321A" w:rsidP="002D7BBD">
            <w:pPr>
              <w:pStyle w:val="Prrafodelista"/>
              <w:ind w:left="0"/>
              <w:rPr>
                <w:rFonts w:ascii="ITC Avant Garde" w:hAnsi="ITC Avant Garde"/>
                <w:bCs/>
                <w:color w:val="000000"/>
                <w:sz w:val="18"/>
                <w:szCs w:val="18"/>
                <w:lang w:eastAsia="es-MX"/>
              </w:rPr>
            </w:pPr>
            <w:r w:rsidRPr="002D7BBD">
              <w:rPr>
                <w:rFonts w:ascii="ITC Avant Garde" w:hAnsi="ITC Avant Garde"/>
                <w:bCs/>
                <w:color w:val="000000"/>
                <w:sz w:val="18"/>
                <w:szCs w:val="18"/>
                <w:lang w:eastAsia="es-MX"/>
              </w:rPr>
              <w:t>[…]</w:t>
            </w:r>
          </w:p>
        </w:tc>
        <w:tc>
          <w:tcPr>
            <w:tcW w:w="3827" w:type="dxa"/>
          </w:tcPr>
          <w:p w14:paraId="186BF5FA" w14:textId="77777777" w:rsidR="001B321A" w:rsidRPr="002D7BBD" w:rsidRDefault="001B321A" w:rsidP="002D7BBD">
            <w:pPr>
              <w:pStyle w:val="Prrafodelista"/>
              <w:ind w:left="0"/>
              <w:jc w:val="right"/>
              <w:rPr>
                <w:rFonts w:ascii="ITC Avant Garde" w:hAnsi="ITC Avant Garde"/>
                <w:bCs/>
                <w:color w:val="000000"/>
                <w:sz w:val="18"/>
                <w:szCs w:val="18"/>
                <w:lang w:eastAsia="es-MX"/>
              </w:rPr>
            </w:pPr>
            <w:r w:rsidRPr="002D7BBD">
              <w:rPr>
                <w:rFonts w:ascii="ITC Avant Garde" w:hAnsi="ITC Avant Garde"/>
                <w:bCs/>
                <w:color w:val="000000"/>
                <w:sz w:val="18"/>
                <w:szCs w:val="18"/>
                <w:lang w:eastAsia="es-MX"/>
              </w:rPr>
              <w:t>[…]</w:t>
            </w:r>
          </w:p>
        </w:tc>
      </w:tr>
    </w:tbl>
    <w:p w14:paraId="441F557F" w14:textId="77777777" w:rsidR="00FE329B" w:rsidRDefault="00FE329B" w:rsidP="002D7BBD">
      <w:pPr>
        <w:tabs>
          <w:tab w:val="num" w:pos="540"/>
          <w:tab w:val="left" w:pos="8789"/>
        </w:tabs>
        <w:spacing w:before="240" w:after="240"/>
        <w:ind w:left="567" w:right="709"/>
        <w:jc w:val="both"/>
        <w:rPr>
          <w:rFonts w:ascii="ITC Avant Garde" w:hAnsi="ITC Avant Garde"/>
          <w:bCs/>
          <w:i/>
          <w:color w:val="000000"/>
          <w:sz w:val="18"/>
          <w:szCs w:val="18"/>
          <w:lang w:eastAsia="es-MX"/>
        </w:rPr>
      </w:pPr>
      <w:r w:rsidRPr="00B12EB8">
        <w:rPr>
          <w:rFonts w:ascii="ITC Avant Garde" w:hAnsi="ITC Avant Garde"/>
          <w:bCs/>
          <w:i/>
          <w:color w:val="000000"/>
          <w:sz w:val="18"/>
          <w:szCs w:val="18"/>
          <w:lang w:eastAsia="es-MX"/>
        </w:rPr>
        <w:t>Los montos que se proponen corresponden al 30% del valor estimado de la banda de frecuencias, el cual fue calculado con base en las cuotas de derechos establecidas en los artículos 240, 245 y 245-B de la Ley Federal de Derechos que actualmente pagan los concesionarios por concepto de las citadas bandas.</w:t>
      </w:r>
    </w:p>
    <w:p w14:paraId="66DC45A1" w14:textId="77777777" w:rsidR="002D7BBD" w:rsidRDefault="00FE329B" w:rsidP="002D7BBD">
      <w:pPr>
        <w:tabs>
          <w:tab w:val="num" w:pos="540"/>
        </w:tabs>
        <w:spacing w:before="240" w:after="240"/>
        <w:ind w:left="567" w:right="709"/>
        <w:jc w:val="both"/>
        <w:rPr>
          <w:rFonts w:ascii="ITC Avant Garde" w:hAnsi="ITC Avant Garde"/>
          <w:bCs/>
          <w:i/>
          <w:color w:val="000000"/>
          <w:sz w:val="18"/>
          <w:szCs w:val="18"/>
          <w:lang w:eastAsia="es-MX"/>
        </w:rPr>
      </w:pPr>
      <w:r w:rsidRPr="00B12EB8">
        <w:rPr>
          <w:rFonts w:ascii="ITC Avant Garde" w:hAnsi="ITC Avant Garde"/>
          <w:bCs/>
          <w:i/>
          <w:color w:val="000000"/>
          <w:sz w:val="18"/>
          <w:szCs w:val="18"/>
          <w:lang w:eastAsia="es-MX"/>
        </w:rPr>
        <w:t>[…]”</w:t>
      </w:r>
    </w:p>
    <w:p w14:paraId="56A90C16" w14:textId="77777777" w:rsidR="002D7BBD" w:rsidRDefault="00FE329B" w:rsidP="002D7BBD">
      <w:pPr>
        <w:tabs>
          <w:tab w:val="num" w:pos="540"/>
        </w:tabs>
        <w:spacing w:before="240" w:after="240"/>
        <w:jc w:val="both"/>
        <w:rPr>
          <w:rFonts w:ascii="ITC Avant Garde" w:hAnsi="ITC Avant Garde"/>
          <w:bCs/>
          <w:color w:val="000000"/>
          <w:sz w:val="22"/>
          <w:szCs w:val="22"/>
          <w:lang w:eastAsia="es-MX"/>
        </w:rPr>
      </w:pPr>
      <w:r w:rsidRPr="00BE111C">
        <w:rPr>
          <w:rFonts w:ascii="ITC Avant Garde" w:hAnsi="ITC Avant Garde"/>
          <w:bCs/>
          <w:color w:val="000000"/>
          <w:sz w:val="22"/>
          <w:szCs w:val="22"/>
          <w:lang w:eastAsia="es-MX"/>
        </w:rPr>
        <w:t>En respuesta a lo anterior</w:t>
      </w:r>
      <w:r w:rsidR="00B0405F">
        <w:rPr>
          <w:rFonts w:ascii="ITC Avant Garde" w:hAnsi="ITC Avant Garde"/>
          <w:bCs/>
          <w:color w:val="000000"/>
          <w:sz w:val="22"/>
          <w:szCs w:val="22"/>
          <w:lang w:eastAsia="es-MX"/>
        </w:rPr>
        <w:t>, la SHCP,</w:t>
      </w:r>
      <w:r>
        <w:rPr>
          <w:rFonts w:ascii="ITC Avant Garde" w:hAnsi="ITC Avant Garde"/>
          <w:bCs/>
          <w:color w:val="000000"/>
          <w:sz w:val="22"/>
          <w:szCs w:val="22"/>
          <w:lang w:eastAsia="es-MX"/>
        </w:rPr>
        <w:t xml:space="preserve"> con </w:t>
      </w:r>
      <w:r w:rsidRPr="00BE111C">
        <w:rPr>
          <w:rFonts w:ascii="ITC Avant Garde" w:hAnsi="ITC Avant Garde"/>
          <w:bCs/>
          <w:color w:val="000000"/>
          <w:sz w:val="22"/>
          <w:szCs w:val="22"/>
          <w:lang w:eastAsia="es-MX"/>
        </w:rPr>
        <w:t xml:space="preserve">oficio número 349-B-206 de fecha 20 de mayo de 2015, autorizó al Instituto el cobro de los aprovechamientos que deberían pagar </w:t>
      </w:r>
      <w:r>
        <w:rPr>
          <w:rFonts w:ascii="ITC Avant Garde" w:hAnsi="ITC Avant Garde"/>
          <w:bCs/>
          <w:color w:val="000000"/>
          <w:sz w:val="22"/>
          <w:szCs w:val="22"/>
          <w:lang w:eastAsia="es-MX"/>
        </w:rPr>
        <w:t>diversas</w:t>
      </w:r>
      <w:r w:rsidRPr="00BE111C">
        <w:rPr>
          <w:rFonts w:ascii="ITC Avant Garde" w:hAnsi="ITC Avant Garde"/>
          <w:bCs/>
          <w:color w:val="000000"/>
          <w:sz w:val="22"/>
          <w:szCs w:val="22"/>
          <w:lang w:eastAsia="es-MX"/>
        </w:rPr>
        <w:t xml:space="preserve"> empresas fe</w:t>
      </w:r>
      <w:r w:rsidR="00B854D1">
        <w:rPr>
          <w:rFonts w:ascii="ITC Avant Garde" w:hAnsi="ITC Avant Garde"/>
          <w:bCs/>
          <w:color w:val="000000"/>
          <w:sz w:val="22"/>
          <w:szCs w:val="22"/>
          <w:lang w:eastAsia="es-MX"/>
        </w:rPr>
        <w:t>rroviarias, entre ellas Ferrosur</w:t>
      </w:r>
      <w:r w:rsidR="00B0405F">
        <w:rPr>
          <w:rFonts w:ascii="ITC Avant Garde" w:hAnsi="ITC Avant Garde"/>
          <w:bCs/>
          <w:color w:val="000000"/>
          <w:sz w:val="22"/>
          <w:szCs w:val="22"/>
          <w:lang w:eastAsia="es-MX"/>
        </w:rPr>
        <w:t>,</w:t>
      </w:r>
      <w:r w:rsidRPr="00BE111C">
        <w:rPr>
          <w:rFonts w:ascii="ITC Avant Garde" w:hAnsi="ITC Avant Garde"/>
          <w:bCs/>
          <w:color w:val="000000"/>
          <w:sz w:val="22"/>
          <w:szCs w:val="22"/>
          <w:lang w:eastAsia="es-MX"/>
        </w:rPr>
        <w:t xml:space="preserve"> por concepto de la asignación de bandas de frecuencias destinadas para uso oficial.</w:t>
      </w:r>
    </w:p>
    <w:p w14:paraId="218640E8" w14:textId="77777777" w:rsidR="002D7BBD" w:rsidRDefault="00FE329B" w:rsidP="002D7BBD">
      <w:pPr>
        <w:tabs>
          <w:tab w:val="num" w:pos="540"/>
        </w:tabs>
        <w:spacing w:before="240" w:after="240"/>
        <w:jc w:val="both"/>
        <w:rPr>
          <w:rFonts w:ascii="ITC Avant Garde" w:hAnsi="ITC Avant Garde"/>
          <w:bCs/>
          <w:color w:val="000000"/>
          <w:sz w:val="22"/>
          <w:szCs w:val="22"/>
          <w:lang w:eastAsia="es-MX"/>
        </w:rPr>
      </w:pPr>
      <w:r>
        <w:rPr>
          <w:rFonts w:ascii="ITC Avant Garde" w:hAnsi="ITC Avant Garde"/>
          <w:bCs/>
          <w:color w:val="000000"/>
          <w:sz w:val="22"/>
          <w:szCs w:val="22"/>
          <w:lang w:eastAsia="es-MX"/>
        </w:rPr>
        <w:t xml:space="preserve">Ahora bien, con oficios </w:t>
      </w:r>
      <w:r w:rsidRPr="00D519C5">
        <w:rPr>
          <w:rFonts w:ascii="ITC Avant Garde" w:hAnsi="ITC Avant Garde"/>
          <w:bCs/>
          <w:color w:val="000000"/>
          <w:sz w:val="22"/>
          <w:szCs w:val="22"/>
          <w:lang w:eastAsia="es-MX"/>
        </w:rPr>
        <w:t>IFT/222/UER/031/2016 de fecha 19 de febrero de 2016 e IFT/222/UER/235/2016 de fecha 25 de mayo del mismo año</w:t>
      </w:r>
      <w:r>
        <w:rPr>
          <w:rFonts w:ascii="ITC Avant Garde" w:hAnsi="ITC Avant Garde"/>
          <w:bCs/>
          <w:color w:val="000000"/>
          <w:sz w:val="22"/>
          <w:szCs w:val="22"/>
          <w:lang w:eastAsia="es-MX"/>
        </w:rPr>
        <w:t xml:space="preserve">, la Unidad de Espectro Radioeléctrico </w:t>
      </w:r>
      <w:r w:rsidRPr="00BE111C">
        <w:rPr>
          <w:rFonts w:ascii="ITC Avant Garde" w:hAnsi="ITC Avant Garde"/>
          <w:bCs/>
          <w:color w:val="000000"/>
          <w:sz w:val="22"/>
          <w:szCs w:val="22"/>
          <w:lang w:eastAsia="es-MX"/>
        </w:rPr>
        <w:t>solicitó nuevamente a la Unidad de Polí</w:t>
      </w:r>
      <w:r>
        <w:rPr>
          <w:rFonts w:ascii="ITC Avant Garde" w:hAnsi="ITC Avant Garde"/>
          <w:bCs/>
          <w:color w:val="000000"/>
          <w:sz w:val="22"/>
          <w:szCs w:val="22"/>
          <w:lang w:eastAsia="es-MX"/>
        </w:rPr>
        <w:t xml:space="preserve">tica de Ingresos No Tributarios de la SHCP </w:t>
      </w:r>
      <w:r w:rsidRPr="00BE111C">
        <w:rPr>
          <w:rFonts w:ascii="ITC Avant Garde" w:hAnsi="ITC Avant Garde"/>
          <w:bCs/>
          <w:color w:val="000000"/>
          <w:sz w:val="22"/>
          <w:szCs w:val="22"/>
          <w:lang w:eastAsia="es-MX"/>
        </w:rPr>
        <w:t xml:space="preserve">la autorización a los montos a pagar por concepto de contraprestación por las empresas ferroviarias, toda vez que la Dirección General de Planeación del </w:t>
      </w:r>
      <w:r w:rsidRPr="00BE111C">
        <w:rPr>
          <w:rFonts w:ascii="ITC Avant Garde" w:hAnsi="ITC Avant Garde"/>
          <w:bCs/>
          <w:color w:val="000000"/>
          <w:sz w:val="22"/>
          <w:szCs w:val="22"/>
          <w:lang w:eastAsia="es-MX"/>
        </w:rPr>
        <w:lastRenderedPageBreak/>
        <w:t xml:space="preserve">Espectro </w:t>
      </w:r>
      <w:r>
        <w:rPr>
          <w:rFonts w:ascii="ITC Avant Garde" w:hAnsi="ITC Avant Garde"/>
          <w:bCs/>
          <w:color w:val="000000"/>
          <w:sz w:val="22"/>
          <w:szCs w:val="22"/>
          <w:lang w:eastAsia="es-MX"/>
        </w:rPr>
        <w:t>del Instituto</w:t>
      </w:r>
      <w:r w:rsidRPr="00BE111C">
        <w:rPr>
          <w:rFonts w:ascii="ITC Avant Garde" w:hAnsi="ITC Avant Garde"/>
          <w:bCs/>
          <w:color w:val="000000"/>
          <w:sz w:val="22"/>
          <w:szCs w:val="22"/>
          <w:lang w:eastAsia="es-MX"/>
        </w:rPr>
        <w:t xml:space="preserve"> determinó nuevos periodos de vigencia a los segmentos de frecuencias solicitados, por lo que se realizaron nuevos cálculos a dichos montos.</w:t>
      </w:r>
      <w:r w:rsidRPr="00D519C5">
        <w:rPr>
          <w:rFonts w:ascii="ITC Avant Garde" w:hAnsi="ITC Avant Garde"/>
          <w:bCs/>
          <w:color w:val="000000"/>
          <w:sz w:val="22"/>
          <w:szCs w:val="22"/>
          <w:lang w:eastAsia="es-MX"/>
        </w:rPr>
        <w:t xml:space="preserve"> </w:t>
      </w:r>
    </w:p>
    <w:p w14:paraId="3AA59204" w14:textId="77777777" w:rsidR="002D7BBD" w:rsidRDefault="00FE329B" w:rsidP="002D7BBD">
      <w:pPr>
        <w:spacing w:before="240" w:after="240"/>
        <w:jc w:val="both"/>
        <w:rPr>
          <w:rFonts w:ascii="ITC Avant Garde" w:eastAsia="Calibri" w:hAnsi="ITC Avant Garde"/>
          <w:bCs/>
          <w:color w:val="000000"/>
          <w:sz w:val="22"/>
          <w:szCs w:val="22"/>
          <w:lang w:eastAsia="es-MX"/>
        </w:rPr>
      </w:pPr>
      <w:r w:rsidRPr="00D519C5">
        <w:rPr>
          <w:rFonts w:ascii="ITC Avant Garde" w:eastAsia="Calibri" w:hAnsi="ITC Avant Garde"/>
          <w:bCs/>
          <w:color w:val="000000"/>
          <w:sz w:val="22"/>
          <w:szCs w:val="22"/>
          <w:lang w:eastAsia="es-MX"/>
        </w:rPr>
        <w:t xml:space="preserve">En atención a la propuesta presentada por la Unidad de Espectro Radioeléctrico con oficio </w:t>
      </w:r>
      <w:r>
        <w:rPr>
          <w:rFonts w:ascii="ITC Avant Garde" w:eastAsia="Calibri" w:hAnsi="ITC Avant Garde"/>
          <w:bCs/>
          <w:color w:val="000000"/>
          <w:sz w:val="22"/>
          <w:szCs w:val="22"/>
          <w:lang w:eastAsia="es-MX"/>
        </w:rPr>
        <w:t>número 349-B-282</w:t>
      </w:r>
      <w:r w:rsidRPr="00D519C5">
        <w:rPr>
          <w:rFonts w:ascii="ITC Avant Garde" w:eastAsia="Calibri" w:hAnsi="ITC Avant Garde"/>
          <w:bCs/>
          <w:color w:val="000000"/>
          <w:sz w:val="22"/>
          <w:szCs w:val="22"/>
          <w:lang w:eastAsia="es-MX"/>
        </w:rPr>
        <w:t xml:space="preserve"> señalado en el Antecedente </w:t>
      </w:r>
      <w:r w:rsidRPr="0065758B">
        <w:rPr>
          <w:rFonts w:ascii="ITC Avant Garde" w:eastAsia="Calibri" w:hAnsi="ITC Avant Garde"/>
          <w:bCs/>
          <w:color w:val="000000"/>
          <w:sz w:val="22"/>
          <w:szCs w:val="22"/>
          <w:lang w:eastAsia="es-MX"/>
        </w:rPr>
        <w:t>X</w:t>
      </w:r>
      <w:r w:rsidR="00B0405F">
        <w:rPr>
          <w:rFonts w:ascii="ITC Avant Garde" w:eastAsia="Calibri" w:hAnsi="ITC Avant Garde"/>
          <w:bCs/>
          <w:color w:val="000000"/>
          <w:sz w:val="22"/>
          <w:szCs w:val="22"/>
          <w:lang w:eastAsia="es-MX"/>
        </w:rPr>
        <w:t>V</w:t>
      </w:r>
      <w:r w:rsidRPr="0065758B">
        <w:rPr>
          <w:rFonts w:ascii="ITC Avant Garde" w:eastAsia="Calibri" w:hAnsi="ITC Avant Garde"/>
          <w:bCs/>
          <w:color w:val="000000"/>
          <w:sz w:val="22"/>
          <w:szCs w:val="22"/>
          <w:lang w:eastAsia="es-MX"/>
        </w:rPr>
        <w:t xml:space="preserve"> de</w:t>
      </w:r>
      <w:r>
        <w:rPr>
          <w:rFonts w:ascii="ITC Avant Garde" w:eastAsia="Calibri" w:hAnsi="ITC Avant Garde"/>
          <w:bCs/>
          <w:color w:val="000000"/>
          <w:sz w:val="22"/>
          <w:szCs w:val="22"/>
          <w:lang w:eastAsia="es-MX"/>
        </w:rPr>
        <w:t xml:space="preserve"> la presente Resolución</w:t>
      </w:r>
      <w:r w:rsidRPr="00D519C5">
        <w:rPr>
          <w:rFonts w:ascii="ITC Avant Garde" w:eastAsia="Calibri" w:hAnsi="ITC Avant Garde"/>
          <w:bCs/>
          <w:color w:val="000000"/>
          <w:sz w:val="22"/>
          <w:szCs w:val="22"/>
          <w:lang w:eastAsia="es-MX"/>
        </w:rPr>
        <w:t xml:space="preserve">, </w:t>
      </w:r>
      <w:r>
        <w:rPr>
          <w:rFonts w:ascii="ITC Avant Garde" w:eastAsia="Calibri" w:hAnsi="ITC Avant Garde"/>
          <w:bCs/>
          <w:color w:val="000000"/>
          <w:sz w:val="22"/>
          <w:szCs w:val="22"/>
          <w:lang w:eastAsia="es-MX"/>
        </w:rPr>
        <w:t xml:space="preserve">la Unidad de Política de Ingresos No Tributarios de </w:t>
      </w:r>
      <w:r w:rsidRPr="00D519C5">
        <w:rPr>
          <w:rFonts w:ascii="ITC Avant Garde" w:eastAsia="Calibri" w:hAnsi="ITC Avant Garde"/>
          <w:bCs/>
          <w:color w:val="000000"/>
          <w:sz w:val="22"/>
          <w:szCs w:val="22"/>
          <w:lang w:eastAsia="es-MX"/>
        </w:rPr>
        <w:t xml:space="preserve">la SHCP autorizó </w:t>
      </w:r>
      <w:r>
        <w:rPr>
          <w:rFonts w:ascii="ITC Avant Garde" w:eastAsia="Calibri" w:hAnsi="ITC Avant Garde"/>
          <w:bCs/>
          <w:color w:val="000000"/>
          <w:sz w:val="22"/>
          <w:szCs w:val="22"/>
          <w:lang w:eastAsia="es-MX"/>
        </w:rPr>
        <w:t>al Instituto el cobro de los</w:t>
      </w:r>
      <w:r w:rsidRPr="00D519C5">
        <w:rPr>
          <w:rFonts w:ascii="ITC Avant Garde" w:eastAsia="Calibri" w:hAnsi="ITC Avant Garde"/>
          <w:bCs/>
          <w:color w:val="000000"/>
          <w:sz w:val="22"/>
          <w:szCs w:val="22"/>
          <w:lang w:eastAsia="es-MX"/>
        </w:rPr>
        <w:t xml:space="preserve"> aprovechamiento</w:t>
      </w:r>
      <w:r>
        <w:rPr>
          <w:rFonts w:ascii="ITC Avant Garde" w:eastAsia="Calibri" w:hAnsi="ITC Avant Garde"/>
          <w:bCs/>
          <w:color w:val="000000"/>
          <w:sz w:val="22"/>
          <w:szCs w:val="22"/>
          <w:lang w:eastAsia="es-MX"/>
        </w:rPr>
        <w:t>s por concepto de asignación de bandas de frecuencias destinadas para uso oficial a diversas empresas ferroviarias entre las que se encuentra</w:t>
      </w:r>
      <w:r w:rsidRPr="00273C7F">
        <w:rPr>
          <w:rFonts w:ascii="ITC Avant Garde" w:eastAsia="Calibri" w:hAnsi="ITC Avant Garde"/>
          <w:bCs/>
          <w:color w:val="000000"/>
          <w:sz w:val="22"/>
          <w:szCs w:val="22"/>
          <w:lang w:eastAsia="es-MX"/>
        </w:rPr>
        <w:t xml:space="preserve"> </w:t>
      </w:r>
      <w:r w:rsidR="00B854D1">
        <w:rPr>
          <w:rFonts w:ascii="ITC Avant Garde" w:eastAsia="Calibri" w:hAnsi="ITC Avant Garde"/>
          <w:bCs/>
          <w:color w:val="000000"/>
          <w:sz w:val="22"/>
          <w:szCs w:val="22"/>
          <w:lang w:eastAsia="es-MX"/>
        </w:rPr>
        <w:t>Ferrosur</w:t>
      </w:r>
      <w:r>
        <w:rPr>
          <w:rFonts w:ascii="ITC Avant Garde" w:eastAsia="Calibri" w:hAnsi="ITC Avant Garde"/>
          <w:bCs/>
          <w:color w:val="000000"/>
          <w:sz w:val="22"/>
          <w:szCs w:val="22"/>
          <w:lang w:eastAsia="es-MX"/>
        </w:rPr>
        <w:t>, lo anterior</w:t>
      </w:r>
      <w:r w:rsidRPr="00D519C5">
        <w:rPr>
          <w:rFonts w:ascii="ITC Avant Garde" w:eastAsia="Calibri" w:hAnsi="ITC Avant Garde"/>
          <w:bCs/>
          <w:color w:val="000000"/>
          <w:sz w:val="22"/>
          <w:szCs w:val="22"/>
          <w:lang w:eastAsia="es-MX"/>
        </w:rPr>
        <w:t xml:space="preserve"> en los siguientes términos:</w:t>
      </w:r>
    </w:p>
    <w:p w14:paraId="3C3C5A97" w14:textId="3674D1E8" w:rsidR="00FE329B" w:rsidRPr="00910B1B" w:rsidRDefault="00B854D1" w:rsidP="002D7BBD">
      <w:pPr>
        <w:spacing w:before="240" w:after="240"/>
        <w:ind w:left="567" w:right="709"/>
        <w:jc w:val="both"/>
        <w:rPr>
          <w:rFonts w:ascii="ITC Avant Garde" w:eastAsia="Calibri" w:hAnsi="ITC Avant Garde"/>
          <w:bCs/>
          <w:i/>
          <w:color w:val="000000"/>
          <w:sz w:val="20"/>
          <w:lang w:eastAsia="es-MX"/>
        </w:rPr>
      </w:pPr>
      <w:r>
        <w:rPr>
          <w:rFonts w:ascii="ITC Avant Garde" w:eastAsia="Calibri" w:hAnsi="ITC Avant Garde"/>
          <w:bCs/>
          <w:i/>
          <w:color w:val="000000"/>
          <w:sz w:val="20"/>
          <w:lang w:eastAsia="es-MX"/>
        </w:rPr>
        <w:t>“</w:t>
      </w:r>
      <w:r w:rsidR="00FE329B" w:rsidRPr="00910B1B">
        <w:rPr>
          <w:rFonts w:ascii="ITC Avant Garde" w:eastAsia="Calibri" w:hAnsi="ITC Avant Garde"/>
          <w:bCs/>
          <w:i/>
          <w:color w:val="000000"/>
          <w:sz w:val="20"/>
          <w:lang w:eastAsia="es-MX"/>
        </w:rPr>
        <w:t>[…]</w:t>
      </w:r>
    </w:p>
    <w:p w14:paraId="2D4C9E09" w14:textId="18C43166" w:rsidR="00B0405F" w:rsidRPr="00B0405F" w:rsidRDefault="00B0405F" w:rsidP="002D7BBD">
      <w:pPr>
        <w:pStyle w:val="Prrafodelista"/>
        <w:numPr>
          <w:ilvl w:val="0"/>
          <w:numId w:val="30"/>
        </w:numPr>
        <w:spacing w:before="240" w:after="240"/>
        <w:ind w:left="567" w:right="709" w:hanging="567"/>
        <w:jc w:val="both"/>
        <w:rPr>
          <w:rFonts w:ascii="ITC Avant Garde" w:eastAsia="Calibri" w:hAnsi="ITC Avant Garde"/>
          <w:bCs/>
          <w:i/>
          <w:color w:val="000000"/>
          <w:sz w:val="20"/>
          <w:lang w:eastAsia="es-MX"/>
        </w:rPr>
      </w:pPr>
      <w:r w:rsidRPr="00B0405F">
        <w:rPr>
          <w:rFonts w:ascii="ITC Avant Garde" w:eastAsia="Calibri" w:hAnsi="ITC Avant Garde"/>
          <w:bCs/>
          <w:i/>
          <w:color w:val="000000"/>
          <w:sz w:val="20"/>
          <w:lang w:eastAsia="es-MX"/>
        </w:rPr>
        <w:t>Que el artículo séptimo transitorio del Decreto por el que se reforman y adicionan diversas disposiciones de los artículo 6o., 7o., 27, 28, 73, 78, 94 y 105 de la Constitución Política de los Estados Unidos Mexicanos</w:t>
      </w:r>
      <w:r w:rsidR="002B24E1">
        <w:rPr>
          <w:rFonts w:ascii="ITC Avant Garde" w:eastAsia="Calibri" w:hAnsi="ITC Avant Garde"/>
          <w:bCs/>
          <w:i/>
          <w:color w:val="000000"/>
          <w:sz w:val="20"/>
          <w:lang w:eastAsia="es-MX"/>
        </w:rPr>
        <w:t>,</w:t>
      </w:r>
      <w:r w:rsidRPr="00B0405F">
        <w:rPr>
          <w:rFonts w:ascii="ITC Avant Garde" w:eastAsia="Calibri" w:hAnsi="ITC Avant Garde"/>
          <w:bCs/>
          <w:i/>
          <w:color w:val="000000"/>
          <w:sz w:val="20"/>
          <w:lang w:eastAsia="es-MX"/>
        </w:rPr>
        <w:t xml:space="preserve"> en materia de telecomunicaciones señala en su segundo párrafo: “Los procedimientos iniciados con anterioridad a la integración de la Comisión Federal de Competencia Económica y del Instituto Federal de Telecomunicaciones</w:t>
      </w:r>
      <w:r w:rsidR="002B24E1">
        <w:rPr>
          <w:rFonts w:ascii="ITC Avant Garde" w:eastAsia="Calibri" w:hAnsi="ITC Avant Garde"/>
          <w:bCs/>
          <w:i/>
          <w:color w:val="000000"/>
          <w:sz w:val="20"/>
          <w:lang w:eastAsia="es-MX"/>
        </w:rPr>
        <w:t>,</w:t>
      </w:r>
      <w:r w:rsidRPr="00B0405F">
        <w:rPr>
          <w:rFonts w:ascii="ITC Avant Garde" w:eastAsia="Calibri" w:hAnsi="ITC Avant Garde"/>
          <w:bCs/>
          <w:i/>
          <w:color w:val="000000"/>
          <w:sz w:val="20"/>
          <w:lang w:eastAsia="es-MX"/>
        </w:rPr>
        <w:t xml:space="preserve"> continuarán su trámite ante estos órganos en términos de la legislación aplicable al momento de su inicio”</w:t>
      </w:r>
    </w:p>
    <w:p w14:paraId="4BC6E92B" w14:textId="300353C2" w:rsidR="00B0405F" w:rsidRPr="0044508D" w:rsidRDefault="00B0405F" w:rsidP="002D7BBD">
      <w:pPr>
        <w:pStyle w:val="Prrafodelista"/>
        <w:numPr>
          <w:ilvl w:val="0"/>
          <w:numId w:val="30"/>
        </w:numPr>
        <w:spacing w:before="240" w:after="240"/>
        <w:ind w:left="567" w:right="709" w:hanging="567"/>
        <w:jc w:val="both"/>
        <w:rPr>
          <w:rFonts w:ascii="ITC Avant Garde" w:eastAsia="Calibri" w:hAnsi="ITC Avant Garde"/>
          <w:bCs/>
          <w:i/>
          <w:color w:val="000000"/>
          <w:sz w:val="20"/>
          <w:lang w:eastAsia="es-MX"/>
        </w:rPr>
      </w:pPr>
      <w:r w:rsidRPr="00B0405F">
        <w:rPr>
          <w:rFonts w:ascii="ITC Avant Garde" w:eastAsia="Calibri" w:hAnsi="ITC Avant Garde"/>
          <w:bCs/>
          <w:i/>
          <w:color w:val="000000"/>
          <w:sz w:val="20"/>
          <w:lang w:eastAsia="es-MX"/>
        </w:rPr>
        <w:t>El decreto que reformó al Artículo 10, fracción III de la Ley Federal de Telecomunicaciones publicado en el Diario Oficial de la Federación el 16 de enero de 2012, que permite la asignación de bandas de frecuencias de uso oficial a concesionarios de servicios públicos, en su artículo 10, fracción III establece la obligación de pagar la contraprestación que fije la autoridad correspondiente por el uso de las bandas de frecuencias y, en su Artículo Segundo Transitorio</w:t>
      </w:r>
      <w:r w:rsidR="0040203D">
        <w:rPr>
          <w:rFonts w:ascii="ITC Avant Garde" w:eastAsia="Calibri" w:hAnsi="ITC Avant Garde"/>
          <w:bCs/>
          <w:i/>
          <w:color w:val="000000"/>
          <w:sz w:val="20"/>
          <w:lang w:eastAsia="es-MX"/>
        </w:rPr>
        <w:t>,</w:t>
      </w:r>
      <w:r w:rsidRPr="00B0405F">
        <w:rPr>
          <w:rFonts w:ascii="ITC Avant Garde" w:eastAsia="Calibri" w:hAnsi="ITC Avant Garde"/>
          <w:bCs/>
          <w:i/>
          <w:color w:val="000000"/>
          <w:sz w:val="20"/>
          <w:lang w:eastAsia="es-MX"/>
        </w:rPr>
        <w:t xml:space="preserve"> que la Secretaría de Hacienda y Crédito Público, así como las autoridades correspondientes</w:t>
      </w:r>
      <w:r w:rsidR="0040203D">
        <w:rPr>
          <w:rFonts w:ascii="ITC Avant Garde" w:eastAsia="Calibri" w:hAnsi="ITC Avant Garde"/>
          <w:bCs/>
          <w:i/>
          <w:color w:val="000000"/>
          <w:sz w:val="20"/>
          <w:lang w:eastAsia="es-MX"/>
        </w:rPr>
        <w:t>,</w:t>
      </w:r>
      <w:r w:rsidRPr="00B0405F">
        <w:rPr>
          <w:rFonts w:ascii="ITC Avant Garde" w:eastAsia="Calibri" w:hAnsi="ITC Avant Garde"/>
          <w:bCs/>
          <w:i/>
          <w:color w:val="000000"/>
          <w:sz w:val="20"/>
          <w:lang w:eastAsia="es-MX"/>
        </w:rPr>
        <w:t xml:space="preserve"> fijarán el monto de la contraprestación que los concesionarios de servicios públicos deban pagar al Estado por la asignación de las bandas de frecuencias de uso oficial de conformidad con las leyes de la materia </w:t>
      </w:r>
    </w:p>
    <w:p w14:paraId="726C20B4" w14:textId="77777777" w:rsidR="00FE329B" w:rsidRPr="00910B1B" w:rsidRDefault="00FE329B" w:rsidP="002D7BBD">
      <w:pPr>
        <w:pStyle w:val="Prrafodelista"/>
        <w:numPr>
          <w:ilvl w:val="0"/>
          <w:numId w:val="30"/>
        </w:numPr>
        <w:spacing w:before="240" w:after="240"/>
        <w:ind w:left="567" w:right="709" w:hanging="567"/>
        <w:jc w:val="both"/>
        <w:rPr>
          <w:rFonts w:ascii="ITC Avant Garde" w:eastAsia="Calibri" w:hAnsi="ITC Avant Garde"/>
          <w:bCs/>
          <w:i/>
          <w:color w:val="000000"/>
          <w:sz w:val="20"/>
          <w:lang w:eastAsia="es-MX"/>
        </w:rPr>
      </w:pPr>
      <w:r w:rsidRPr="00910B1B">
        <w:rPr>
          <w:rFonts w:ascii="ITC Avant Garde" w:eastAsia="Calibri" w:hAnsi="ITC Avant Garde"/>
          <w:bCs/>
          <w:i/>
          <w:color w:val="000000"/>
          <w:sz w:val="20"/>
          <w:lang w:eastAsia="es-MX"/>
        </w:rPr>
        <w:t>Que los montos de los apro</w:t>
      </w:r>
      <w:r>
        <w:rPr>
          <w:rFonts w:ascii="ITC Avant Garde" w:eastAsia="Calibri" w:hAnsi="ITC Avant Garde"/>
          <w:bCs/>
          <w:i/>
          <w:color w:val="000000"/>
          <w:sz w:val="20"/>
          <w:lang w:eastAsia="es-MX"/>
        </w:rPr>
        <w:t>vechamientos propuestos por el I</w:t>
      </w:r>
      <w:r w:rsidRPr="00910B1B">
        <w:rPr>
          <w:rFonts w:ascii="ITC Avant Garde" w:eastAsia="Calibri" w:hAnsi="ITC Avant Garde"/>
          <w:bCs/>
          <w:i/>
          <w:color w:val="000000"/>
          <w:sz w:val="20"/>
          <w:lang w:eastAsia="es-MX"/>
        </w:rPr>
        <w:t>FT corresponden al 30% del valor estimado de la banda de frecuencias, el cual toma como referencia los montos con los que actualmente se encuentran gravados las bandas de frecuencias a concesionar de acuerdo a lo que se establece en los artículos 240, 245 y 245-B de la LFD.</w:t>
      </w:r>
    </w:p>
    <w:p w14:paraId="392F8F07" w14:textId="77777777" w:rsidR="00FE329B" w:rsidRPr="00910B1B" w:rsidRDefault="00FE329B" w:rsidP="002D7BBD">
      <w:pPr>
        <w:pStyle w:val="Prrafodelista"/>
        <w:numPr>
          <w:ilvl w:val="0"/>
          <w:numId w:val="30"/>
        </w:numPr>
        <w:spacing w:before="240" w:after="240"/>
        <w:ind w:left="567" w:right="709" w:hanging="567"/>
        <w:jc w:val="both"/>
        <w:rPr>
          <w:rFonts w:ascii="ITC Avant Garde" w:eastAsia="Calibri" w:hAnsi="ITC Avant Garde"/>
          <w:bCs/>
          <w:i/>
          <w:color w:val="000000"/>
          <w:sz w:val="20"/>
          <w:lang w:eastAsia="es-MX"/>
        </w:rPr>
      </w:pPr>
      <w:r w:rsidRPr="00910B1B">
        <w:rPr>
          <w:rFonts w:ascii="ITC Avant Garde" w:eastAsia="Calibri" w:hAnsi="ITC Avant Garde"/>
          <w:bCs/>
          <w:i/>
          <w:color w:val="000000"/>
          <w:sz w:val="20"/>
          <w:lang w:eastAsia="es-MX"/>
        </w:rPr>
        <w:t>Que las bandas de frecuencias que utilizaran las empresas ferroviarias no son bandas de frecuencias que se puedan prestar servicios denominados como IMT avanzados, ni tampoco son bandas que las empresas ferroviarias puedan utilizar para proporcionar servicios de telecomunicaciones al público en general.</w:t>
      </w:r>
    </w:p>
    <w:p w14:paraId="21F3B928" w14:textId="77777777" w:rsidR="002D7BBD" w:rsidRDefault="00FE329B" w:rsidP="002D7BBD">
      <w:pPr>
        <w:pStyle w:val="Prrafodelista"/>
        <w:numPr>
          <w:ilvl w:val="0"/>
          <w:numId w:val="30"/>
        </w:numPr>
        <w:spacing w:before="240" w:after="240"/>
        <w:ind w:left="567" w:right="709" w:hanging="567"/>
        <w:jc w:val="both"/>
        <w:rPr>
          <w:rFonts w:ascii="ITC Avant Garde" w:eastAsia="Calibri" w:hAnsi="ITC Avant Garde"/>
          <w:bCs/>
          <w:i/>
          <w:color w:val="000000"/>
          <w:sz w:val="20"/>
          <w:lang w:eastAsia="es-MX"/>
        </w:rPr>
      </w:pPr>
      <w:r w:rsidRPr="00910B1B">
        <w:rPr>
          <w:rFonts w:ascii="ITC Avant Garde" w:eastAsia="Calibri" w:hAnsi="ITC Avant Garde"/>
          <w:bCs/>
          <w:i/>
          <w:color w:val="000000"/>
          <w:sz w:val="20"/>
          <w:lang w:eastAsia="es-MX"/>
        </w:rPr>
        <w:t>Que las modificaciones a las vigencias de las concesiones no supone un cambio de metodología de cálculo de las contraprestaciones.</w:t>
      </w:r>
    </w:p>
    <w:p w14:paraId="59A4A1D3" w14:textId="77777777" w:rsidR="002D7BBD" w:rsidRDefault="00FE329B" w:rsidP="002D7BBD">
      <w:pPr>
        <w:pStyle w:val="Prrafodelista"/>
        <w:spacing w:before="240" w:after="240"/>
        <w:ind w:left="567" w:right="709"/>
        <w:jc w:val="both"/>
        <w:rPr>
          <w:rFonts w:ascii="ITC Avant Garde" w:eastAsia="Calibri" w:hAnsi="ITC Avant Garde"/>
          <w:bCs/>
          <w:i/>
          <w:color w:val="000000"/>
          <w:sz w:val="20"/>
          <w:lang w:eastAsia="es-MX"/>
        </w:rPr>
      </w:pPr>
      <w:r>
        <w:rPr>
          <w:rFonts w:ascii="ITC Avant Garde" w:eastAsia="Calibri" w:hAnsi="ITC Avant Garde"/>
          <w:bCs/>
          <w:i/>
          <w:color w:val="000000"/>
          <w:sz w:val="20"/>
          <w:lang w:eastAsia="es-MX"/>
        </w:rPr>
        <w:t>[…]</w:t>
      </w:r>
    </w:p>
    <w:p w14:paraId="4A046F6F" w14:textId="1E12FDF0" w:rsidR="00FE329B" w:rsidRPr="00910B1B" w:rsidRDefault="00FE329B" w:rsidP="002D7BBD">
      <w:pPr>
        <w:pStyle w:val="Prrafodelista"/>
        <w:spacing w:before="240" w:after="240"/>
        <w:ind w:left="567" w:right="709"/>
        <w:jc w:val="both"/>
        <w:rPr>
          <w:rFonts w:ascii="ITC Avant Garde" w:eastAsia="Calibri" w:hAnsi="ITC Avant Garde"/>
          <w:bCs/>
          <w:i/>
          <w:color w:val="000000"/>
          <w:sz w:val="20"/>
          <w:lang w:eastAsia="es-MX"/>
        </w:rPr>
      </w:pPr>
      <w:r w:rsidRPr="00910B1B">
        <w:rPr>
          <w:rFonts w:ascii="ITC Avant Garde" w:eastAsia="Calibri" w:hAnsi="ITC Avant Garde"/>
          <w:bCs/>
          <w:i/>
          <w:color w:val="000000"/>
          <w:sz w:val="20"/>
          <w:lang w:eastAsia="es-MX"/>
        </w:rPr>
        <w:t xml:space="preserve">Con base en lo anterior, esta Secretaría con fundamento en lo establecido en el artículo 31, fracción XI de la Ley Orgánica de la Administración Pública Federal; </w:t>
      </w:r>
      <w:r w:rsidRPr="00910B1B">
        <w:rPr>
          <w:rFonts w:ascii="ITC Avant Garde" w:eastAsia="Calibri" w:hAnsi="ITC Avant Garde"/>
          <w:bCs/>
          <w:i/>
          <w:color w:val="000000"/>
          <w:sz w:val="20"/>
          <w:lang w:eastAsia="es-MX"/>
        </w:rPr>
        <w:lastRenderedPageBreak/>
        <w:t>38, fracción XXII del Reglamento Interior de la Secretaría de Hacienda y Crédito Público; 10 de la Ley de Ingresos de la Federación para el Ejercicio Fiscal de 2016; y 3° del Código Fiscal de la Federación; autoriza al IFT cobrar por concepto de asignación de bandas de frecuencias destinadas para uso oficial, los aprovechamientos siguientes:</w:t>
      </w:r>
    </w:p>
    <w:tbl>
      <w:tblPr>
        <w:tblStyle w:val="Tablaconcuadrcula1"/>
        <w:tblW w:w="0" w:type="auto"/>
        <w:jc w:val="center"/>
        <w:tblLook w:val="04A0" w:firstRow="1" w:lastRow="0" w:firstColumn="1" w:lastColumn="0" w:noHBand="0" w:noVBand="1"/>
        <w:tblCaption w:val="Cobro de aprovechamiento"/>
        <w:tblDescription w:val="En una tabla de 2 columnas se detalla el monto del aprovechamiento que podrá cobrar el IFT por concepto de asignación de bandas de frecuencias destinadas para uso oficial."/>
      </w:tblPr>
      <w:tblGrid>
        <w:gridCol w:w="4253"/>
        <w:gridCol w:w="3969"/>
      </w:tblGrid>
      <w:tr w:rsidR="00FE329B" w:rsidRPr="002D7BBD" w14:paraId="67EA40C4" w14:textId="77777777" w:rsidTr="002D7BBD">
        <w:trPr>
          <w:tblHeader/>
          <w:jc w:val="center"/>
        </w:trPr>
        <w:tc>
          <w:tcPr>
            <w:tcW w:w="4253" w:type="dxa"/>
            <w:shd w:val="clear" w:color="auto" w:fill="BFBFBF" w:themeFill="background1" w:themeFillShade="BF"/>
            <w:vAlign w:val="center"/>
          </w:tcPr>
          <w:p w14:paraId="0B069FC4" w14:textId="77777777" w:rsidR="00FE329B" w:rsidRPr="002D7BBD" w:rsidRDefault="00FE329B" w:rsidP="002D7BBD">
            <w:pPr>
              <w:pStyle w:val="Prrafodelista"/>
              <w:ind w:left="0"/>
              <w:jc w:val="center"/>
              <w:rPr>
                <w:rFonts w:ascii="ITC Avant Garde" w:hAnsi="ITC Avant Garde"/>
                <w:b/>
                <w:bCs/>
                <w:color w:val="000000"/>
                <w:sz w:val="20"/>
                <w:lang w:eastAsia="es-MX"/>
              </w:rPr>
            </w:pPr>
            <w:bookmarkStart w:id="0" w:name="_GoBack"/>
            <w:r w:rsidRPr="002D7BBD">
              <w:rPr>
                <w:rFonts w:ascii="ITC Avant Garde" w:hAnsi="ITC Avant Garde"/>
                <w:b/>
                <w:bCs/>
                <w:color w:val="000000"/>
                <w:sz w:val="20"/>
                <w:lang w:eastAsia="es-MX"/>
              </w:rPr>
              <w:t>Concesionario</w:t>
            </w:r>
          </w:p>
        </w:tc>
        <w:tc>
          <w:tcPr>
            <w:tcW w:w="3969" w:type="dxa"/>
            <w:shd w:val="clear" w:color="auto" w:fill="BFBFBF" w:themeFill="background1" w:themeFillShade="BF"/>
            <w:vAlign w:val="center"/>
          </w:tcPr>
          <w:p w14:paraId="182BEB30" w14:textId="77777777" w:rsidR="00FE329B" w:rsidRPr="002D7BBD" w:rsidRDefault="00FE329B" w:rsidP="002D7BBD">
            <w:pPr>
              <w:pStyle w:val="Prrafodelista"/>
              <w:ind w:left="0"/>
              <w:jc w:val="center"/>
              <w:rPr>
                <w:rFonts w:ascii="ITC Avant Garde" w:hAnsi="ITC Avant Garde"/>
                <w:b/>
                <w:bCs/>
                <w:color w:val="000000"/>
                <w:sz w:val="20"/>
                <w:lang w:eastAsia="es-MX"/>
              </w:rPr>
            </w:pPr>
            <w:r w:rsidRPr="002D7BBD">
              <w:rPr>
                <w:rFonts w:ascii="ITC Avant Garde" w:hAnsi="ITC Avant Garde"/>
                <w:b/>
                <w:bCs/>
                <w:color w:val="000000"/>
                <w:sz w:val="20"/>
                <w:lang w:eastAsia="es-MX"/>
              </w:rPr>
              <w:t>Aprovechamiento a pagarse en una sola exhibición (pesos)</w:t>
            </w:r>
          </w:p>
        </w:tc>
      </w:tr>
      <w:tr w:rsidR="00FE329B" w:rsidRPr="002D7BBD" w14:paraId="4A2836A7" w14:textId="77777777" w:rsidTr="002D7BBD">
        <w:trPr>
          <w:jc w:val="center"/>
        </w:trPr>
        <w:tc>
          <w:tcPr>
            <w:tcW w:w="4253" w:type="dxa"/>
          </w:tcPr>
          <w:p w14:paraId="20C37F1D" w14:textId="77777777" w:rsidR="00FE329B" w:rsidRPr="002D7BBD" w:rsidRDefault="00FE329B" w:rsidP="002D7BBD">
            <w:pPr>
              <w:pStyle w:val="Prrafodelista"/>
              <w:ind w:left="0"/>
              <w:rPr>
                <w:rFonts w:ascii="ITC Avant Garde" w:hAnsi="ITC Avant Garde"/>
                <w:bCs/>
                <w:color w:val="000000"/>
                <w:sz w:val="20"/>
                <w:lang w:eastAsia="es-MX"/>
              </w:rPr>
            </w:pPr>
            <w:r w:rsidRPr="002D7BBD">
              <w:rPr>
                <w:rFonts w:ascii="ITC Avant Garde" w:hAnsi="ITC Avant Garde"/>
                <w:bCs/>
                <w:color w:val="000000"/>
                <w:sz w:val="20"/>
                <w:lang w:eastAsia="es-MX"/>
              </w:rPr>
              <w:t>[…]</w:t>
            </w:r>
          </w:p>
        </w:tc>
        <w:tc>
          <w:tcPr>
            <w:tcW w:w="3969" w:type="dxa"/>
          </w:tcPr>
          <w:p w14:paraId="06F04232" w14:textId="77777777" w:rsidR="00FE329B" w:rsidRPr="002D7BBD" w:rsidRDefault="00FE329B" w:rsidP="002D7BBD">
            <w:pPr>
              <w:pStyle w:val="Prrafodelista"/>
              <w:ind w:left="0"/>
              <w:jc w:val="right"/>
              <w:rPr>
                <w:rFonts w:ascii="ITC Avant Garde" w:hAnsi="ITC Avant Garde"/>
                <w:bCs/>
                <w:color w:val="000000"/>
                <w:sz w:val="20"/>
                <w:lang w:eastAsia="es-MX"/>
              </w:rPr>
            </w:pPr>
            <w:r w:rsidRPr="002D7BBD">
              <w:rPr>
                <w:rFonts w:ascii="ITC Avant Garde" w:hAnsi="ITC Avant Garde"/>
                <w:bCs/>
                <w:color w:val="000000"/>
                <w:sz w:val="20"/>
                <w:lang w:eastAsia="es-MX"/>
              </w:rPr>
              <w:t>[…]</w:t>
            </w:r>
          </w:p>
        </w:tc>
      </w:tr>
      <w:tr w:rsidR="00FE329B" w:rsidRPr="002D7BBD" w14:paraId="380C439C" w14:textId="77777777" w:rsidTr="002D7BBD">
        <w:trPr>
          <w:jc w:val="center"/>
        </w:trPr>
        <w:tc>
          <w:tcPr>
            <w:tcW w:w="4253" w:type="dxa"/>
          </w:tcPr>
          <w:p w14:paraId="03C5913E" w14:textId="42C9F84B" w:rsidR="00FE329B" w:rsidRPr="002D7BBD" w:rsidRDefault="00FE329B" w:rsidP="002D7BBD">
            <w:pPr>
              <w:rPr>
                <w:rFonts w:ascii="ITC Avant Garde" w:hAnsi="ITC Avant Garde"/>
                <w:b/>
                <w:bCs/>
                <w:color w:val="000000"/>
                <w:sz w:val="20"/>
                <w:lang w:val="es-MX" w:eastAsia="es-MX"/>
              </w:rPr>
            </w:pPr>
            <w:r w:rsidRPr="002D7BBD">
              <w:rPr>
                <w:rFonts w:ascii="ITC Avant Garde" w:hAnsi="ITC Avant Garde"/>
                <w:bCs/>
                <w:color w:val="000000"/>
                <w:sz w:val="20"/>
                <w:lang w:val="es-MX" w:eastAsia="es-MX"/>
              </w:rPr>
              <w:t>Ferro</w:t>
            </w:r>
            <w:r w:rsidR="00B854D1" w:rsidRPr="002D7BBD">
              <w:rPr>
                <w:rFonts w:ascii="ITC Avant Garde" w:hAnsi="ITC Avant Garde"/>
                <w:bCs/>
                <w:color w:val="000000"/>
                <w:sz w:val="20"/>
                <w:lang w:val="es-MX" w:eastAsia="es-MX"/>
              </w:rPr>
              <w:t>sur</w:t>
            </w:r>
            <w:r w:rsidRPr="002D7BBD">
              <w:rPr>
                <w:rFonts w:ascii="ITC Avant Garde" w:hAnsi="ITC Avant Garde"/>
                <w:bCs/>
                <w:color w:val="000000"/>
                <w:sz w:val="20"/>
                <w:lang w:val="es-MX" w:eastAsia="es-MX"/>
              </w:rPr>
              <w:t xml:space="preserve">, S.A. de C.V. </w:t>
            </w:r>
          </w:p>
        </w:tc>
        <w:tc>
          <w:tcPr>
            <w:tcW w:w="3969" w:type="dxa"/>
          </w:tcPr>
          <w:p w14:paraId="4D61B291" w14:textId="218825C3" w:rsidR="00FE329B" w:rsidRPr="002D7BBD" w:rsidRDefault="00B854D1" w:rsidP="002D7BBD">
            <w:pPr>
              <w:pStyle w:val="Prrafodelista"/>
              <w:ind w:left="0"/>
              <w:jc w:val="right"/>
              <w:rPr>
                <w:rFonts w:ascii="ITC Avant Garde" w:hAnsi="ITC Avant Garde"/>
                <w:bCs/>
                <w:color w:val="000000"/>
                <w:sz w:val="20"/>
                <w:lang w:eastAsia="es-MX"/>
              </w:rPr>
            </w:pPr>
            <w:r w:rsidRPr="002D7BBD">
              <w:rPr>
                <w:rFonts w:ascii="ITC Avant Garde" w:hAnsi="ITC Avant Garde"/>
                <w:b/>
                <w:bCs/>
                <w:color w:val="000000"/>
                <w:sz w:val="20"/>
                <w:lang w:val="es-MX" w:eastAsia="es-MX"/>
              </w:rPr>
              <w:t>7</w:t>
            </w:r>
            <w:r w:rsidR="00FE329B" w:rsidRPr="002D7BBD">
              <w:rPr>
                <w:rFonts w:ascii="ITC Avant Garde" w:hAnsi="ITC Avant Garde"/>
                <w:b/>
                <w:bCs/>
                <w:color w:val="000000"/>
                <w:sz w:val="20"/>
                <w:lang w:val="es-MX" w:eastAsia="es-MX"/>
              </w:rPr>
              <w:t>,</w:t>
            </w:r>
            <w:r w:rsidRPr="002D7BBD">
              <w:rPr>
                <w:rFonts w:ascii="ITC Avant Garde" w:hAnsi="ITC Avant Garde"/>
                <w:b/>
                <w:bCs/>
                <w:color w:val="000000"/>
                <w:sz w:val="20"/>
                <w:lang w:val="es-MX" w:eastAsia="es-MX"/>
              </w:rPr>
              <w:t>102.886.</w:t>
            </w:r>
            <w:r w:rsidR="00FE329B" w:rsidRPr="002D7BBD">
              <w:rPr>
                <w:rFonts w:ascii="ITC Avant Garde" w:hAnsi="ITC Avant Garde"/>
                <w:b/>
                <w:bCs/>
                <w:color w:val="000000"/>
                <w:sz w:val="20"/>
                <w:lang w:val="es-MX" w:eastAsia="es-MX"/>
              </w:rPr>
              <w:t>00</w:t>
            </w:r>
          </w:p>
        </w:tc>
      </w:tr>
      <w:tr w:rsidR="00FE329B" w:rsidRPr="002D7BBD" w14:paraId="1652E1F8" w14:textId="77777777" w:rsidTr="002D7BBD">
        <w:trPr>
          <w:jc w:val="center"/>
        </w:trPr>
        <w:tc>
          <w:tcPr>
            <w:tcW w:w="4253" w:type="dxa"/>
          </w:tcPr>
          <w:p w14:paraId="498A96D5" w14:textId="77777777" w:rsidR="00FE329B" w:rsidRPr="002D7BBD" w:rsidRDefault="00FE329B" w:rsidP="002D7BBD">
            <w:pPr>
              <w:rPr>
                <w:rFonts w:ascii="ITC Avant Garde" w:hAnsi="ITC Avant Garde"/>
                <w:bCs/>
                <w:color w:val="000000"/>
                <w:sz w:val="20"/>
                <w:lang w:val="es-MX" w:eastAsia="es-MX"/>
              </w:rPr>
            </w:pPr>
            <w:r w:rsidRPr="002D7BBD">
              <w:rPr>
                <w:rFonts w:ascii="ITC Avant Garde" w:hAnsi="ITC Avant Garde"/>
                <w:bCs/>
                <w:color w:val="000000"/>
                <w:sz w:val="20"/>
                <w:lang w:val="es-MX" w:eastAsia="es-MX"/>
              </w:rPr>
              <w:t>[…]</w:t>
            </w:r>
          </w:p>
        </w:tc>
        <w:tc>
          <w:tcPr>
            <w:tcW w:w="3969" w:type="dxa"/>
          </w:tcPr>
          <w:p w14:paraId="64C93714" w14:textId="77777777" w:rsidR="00FE329B" w:rsidRPr="002D7BBD" w:rsidRDefault="00FE329B" w:rsidP="002D7BBD">
            <w:pPr>
              <w:pStyle w:val="Prrafodelista"/>
              <w:ind w:left="0"/>
              <w:jc w:val="right"/>
              <w:rPr>
                <w:rFonts w:ascii="ITC Avant Garde" w:hAnsi="ITC Avant Garde"/>
                <w:bCs/>
                <w:color w:val="000000"/>
                <w:sz w:val="20"/>
                <w:lang w:eastAsia="es-MX"/>
              </w:rPr>
            </w:pPr>
            <w:r w:rsidRPr="002D7BBD">
              <w:rPr>
                <w:rFonts w:ascii="ITC Avant Garde" w:hAnsi="ITC Avant Garde"/>
                <w:bCs/>
                <w:color w:val="000000"/>
                <w:sz w:val="20"/>
                <w:lang w:eastAsia="es-MX"/>
              </w:rPr>
              <w:t>[…]</w:t>
            </w:r>
          </w:p>
        </w:tc>
      </w:tr>
    </w:tbl>
    <w:bookmarkEnd w:id="0"/>
    <w:p w14:paraId="54CB8055" w14:textId="1E0728EE" w:rsidR="0040203D" w:rsidRPr="002E3C36" w:rsidRDefault="0040203D" w:rsidP="002D7BBD">
      <w:pPr>
        <w:pStyle w:val="Prrafodelista"/>
        <w:spacing w:before="240" w:after="240"/>
        <w:ind w:left="567" w:right="709"/>
        <w:jc w:val="both"/>
        <w:rPr>
          <w:rFonts w:ascii="ITC Avant Garde" w:eastAsia="Calibri" w:hAnsi="ITC Avant Garde"/>
          <w:bCs/>
          <w:i/>
          <w:color w:val="000000"/>
          <w:sz w:val="20"/>
          <w:lang w:eastAsia="es-MX"/>
        </w:rPr>
      </w:pPr>
      <w:r w:rsidRPr="002E3C36">
        <w:rPr>
          <w:rFonts w:ascii="ITC Avant Garde" w:eastAsia="Calibri" w:hAnsi="ITC Avant Garde"/>
          <w:bCs/>
          <w:i/>
          <w:color w:val="000000"/>
          <w:sz w:val="20"/>
          <w:lang w:eastAsia="es-MX"/>
        </w:rPr>
        <w:t>El entero del aprovechamiento autorizado mediante el presente oficio, deberá realizarse en las oficinas autorizadas por esta Secretaría, mediante la clave de entero correspondiente, previo a la entrega de los títulos de concesión respectivos</w:t>
      </w:r>
    </w:p>
    <w:p w14:paraId="3A3DE110" w14:textId="77777777" w:rsidR="002D7BBD" w:rsidRDefault="00FE329B" w:rsidP="002D7BBD">
      <w:pPr>
        <w:pStyle w:val="Prrafodelista"/>
        <w:spacing w:before="240" w:after="240"/>
        <w:ind w:left="567" w:right="709"/>
        <w:jc w:val="both"/>
        <w:rPr>
          <w:rFonts w:ascii="ITC Avant Garde" w:eastAsia="Calibri" w:hAnsi="ITC Avant Garde"/>
          <w:bCs/>
          <w:i/>
          <w:color w:val="000000"/>
          <w:sz w:val="20"/>
          <w:lang w:eastAsia="es-MX"/>
        </w:rPr>
      </w:pPr>
      <w:r w:rsidRPr="002E3C36">
        <w:rPr>
          <w:rFonts w:ascii="ITC Avant Garde" w:eastAsia="Calibri" w:hAnsi="ITC Avant Garde"/>
          <w:bCs/>
          <w:i/>
          <w:color w:val="000000"/>
          <w:sz w:val="20"/>
          <w:lang w:eastAsia="es-MX"/>
        </w:rPr>
        <w:t>[…]”</w:t>
      </w:r>
    </w:p>
    <w:p w14:paraId="2619433B" w14:textId="5F5AD22D" w:rsidR="002D7BBD" w:rsidRDefault="00B50ACA" w:rsidP="002D7BBD">
      <w:pPr>
        <w:spacing w:before="240" w:after="240"/>
        <w:jc w:val="both"/>
        <w:rPr>
          <w:rFonts w:ascii="ITC Avant Garde" w:hAnsi="ITC Avant Garde"/>
          <w:color w:val="000000"/>
          <w:sz w:val="22"/>
          <w:szCs w:val="22"/>
          <w:lang w:val="es-MX" w:eastAsia="es-MX"/>
        </w:rPr>
      </w:pPr>
      <w:r w:rsidRPr="00D519C5">
        <w:rPr>
          <w:rFonts w:ascii="ITC Avant Garde" w:hAnsi="ITC Avant Garde"/>
          <w:b/>
          <w:bCs/>
          <w:color w:val="000000"/>
          <w:sz w:val="22"/>
          <w:szCs w:val="22"/>
          <w:lang w:val="es-MX" w:eastAsia="es-MX"/>
        </w:rPr>
        <w:t>Quinto</w:t>
      </w:r>
      <w:r w:rsidR="00CC232C" w:rsidRPr="00D519C5">
        <w:rPr>
          <w:rFonts w:ascii="ITC Avant Garde" w:hAnsi="ITC Avant Garde"/>
          <w:b/>
          <w:bCs/>
          <w:color w:val="000000"/>
          <w:sz w:val="22"/>
          <w:szCs w:val="22"/>
          <w:lang w:val="es-MX" w:eastAsia="es-MX"/>
        </w:rPr>
        <w:t xml:space="preserve">.- Cobro sobre el pago de derechos por diversos trámites ante la entrada en vigor de la Ley Federal de Derechos vigente para 2016. </w:t>
      </w:r>
      <w:r w:rsidR="00CC232C" w:rsidRPr="00D519C5">
        <w:rPr>
          <w:rFonts w:ascii="ITC Avant Garde" w:hAnsi="ITC Avant Garde"/>
          <w:color w:val="000000"/>
          <w:sz w:val="22"/>
          <w:szCs w:val="22"/>
          <w:lang w:val="es-MX" w:eastAsia="es-MX"/>
        </w:rPr>
        <w:t>El pasado 18 de noviembre de 2015 se publicó en el Diario Oficial de la Federación el “</w:t>
      </w:r>
      <w:r w:rsidR="00CC232C" w:rsidRPr="00D519C5">
        <w:rPr>
          <w:rFonts w:ascii="ITC Avant Garde" w:hAnsi="ITC Avant Garde"/>
          <w:i/>
          <w:iCs/>
          <w:color w:val="000000"/>
          <w:sz w:val="22"/>
          <w:szCs w:val="22"/>
          <w:lang w:val="es-MX" w:eastAsia="es-MX"/>
        </w:rPr>
        <w:t>Decreto por el que se reforman, adicionan y derogan diversas disposiciones de la Ley Federal de Derechos</w:t>
      </w:r>
      <w:r w:rsidR="00CC232C" w:rsidRPr="00D519C5">
        <w:rPr>
          <w:rFonts w:ascii="ITC Avant Garde" w:hAnsi="ITC Avant Garde"/>
          <w:color w:val="000000"/>
          <w:sz w:val="22"/>
          <w:szCs w:val="22"/>
          <w:lang w:val="es-MX" w:eastAsia="es-MX"/>
        </w:rPr>
        <w:t xml:space="preserve">”, mismo que entró en vigor el 1° de enero de 2016. Por virtud de este decreto se derogó, entre otros rubros, la Sección Primera del Capítulo VIII del Título I denominada “Servicios de Telecomunicaciones” con los artículos 91, 93, 94, 94-A, 95, 96, 97, 98, 99, 100, 101, 102 y 105 de la Ley Federal de Derechos. A la vez, ese mismo decreto adicionó, entre otros aspectos, el Capítulo IX del Título I denominado “Del Instituto Federal de Telecomunicaciones” que comprende los artículos 173, 173-A, 173-B, 174, 174-A, 174-B, 174-C, 174-D, 174-E, 174-F, 174-G, 174-H, 174-I, 174-J, 174-K, 174-L y 174-M. </w:t>
      </w:r>
    </w:p>
    <w:p w14:paraId="3283710A" w14:textId="77777777" w:rsidR="002D7BBD" w:rsidRDefault="00CC232C" w:rsidP="002D7BBD">
      <w:pPr>
        <w:spacing w:before="240" w:after="240"/>
        <w:jc w:val="both"/>
        <w:rPr>
          <w:rFonts w:ascii="ITC Avant Garde" w:hAnsi="ITC Avant Garde"/>
          <w:color w:val="000000"/>
          <w:sz w:val="22"/>
          <w:szCs w:val="22"/>
          <w:lang w:val="es-MX" w:eastAsia="es-MX"/>
        </w:rPr>
      </w:pPr>
      <w:r w:rsidRPr="00D519C5">
        <w:rPr>
          <w:rFonts w:ascii="ITC Avant Garde" w:hAnsi="ITC Avant Garde"/>
          <w:color w:val="000000"/>
          <w:sz w:val="22"/>
          <w:szCs w:val="22"/>
          <w:lang w:val="es-MX" w:eastAsia="es-MX"/>
        </w:rPr>
        <w:t xml:space="preserve">Derivado de lo anterior, y en atención a lo establecido por el artículo 6o. del Código Fiscal de la Federación, se debe tener en cuenta que el hecho generador de los derechos derivados del otorgamiento del título de asignación que supondría la Solicitud, se actualizan al momento de la emisión y notificación de la presente Resolución y que el artículo 105 de la Ley Federal de Derechos, al haber sido derogado, no puede ser aplicado al trámite de la Solicitud. </w:t>
      </w:r>
    </w:p>
    <w:p w14:paraId="13D2BA22" w14:textId="77777777" w:rsidR="002D7BBD" w:rsidRDefault="00CC232C" w:rsidP="002D7BBD">
      <w:pPr>
        <w:spacing w:before="240" w:after="240"/>
        <w:jc w:val="both"/>
        <w:rPr>
          <w:rFonts w:ascii="ITC Avant Garde" w:hAnsi="ITC Avant Garde"/>
          <w:color w:val="000000"/>
          <w:sz w:val="22"/>
          <w:szCs w:val="22"/>
          <w:lang w:val="es-MX" w:eastAsia="es-MX"/>
        </w:rPr>
      </w:pPr>
      <w:r w:rsidRPr="00D519C5">
        <w:rPr>
          <w:rFonts w:ascii="ITC Avant Garde" w:hAnsi="ITC Avant Garde"/>
          <w:color w:val="000000"/>
          <w:sz w:val="22"/>
          <w:szCs w:val="22"/>
          <w:lang w:val="es-MX" w:eastAsia="es-MX"/>
        </w:rPr>
        <w:t xml:space="preserve">Al momento de iniciar el trámite que nos ocupa, </w:t>
      </w:r>
      <w:r w:rsidR="00F555ED">
        <w:rPr>
          <w:rFonts w:ascii="ITC Avant Garde" w:hAnsi="ITC Avant Garde"/>
          <w:bCs/>
          <w:color w:val="000000"/>
          <w:sz w:val="22"/>
          <w:szCs w:val="22"/>
          <w:lang w:val="es-MX" w:eastAsia="es-MX"/>
        </w:rPr>
        <w:t>Ferrosur</w:t>
      </w:r>
      <w:r w:rsidRPr="00D519C5">
        <w:rPr>
          <w:rFonts w:ascii="ITC Avant Garde" w:hAnsi="ITC Avant Garde"/>
          <w:color w:val="000000"/>
          <w:sz w:val="22"/>
          <w:szCs w:val="22"/>
          <w:lang w:val="es-MX" w:eastAsia="es-MX"/>
        </w:rPr>
        <w:t xml:space="preserve"> presentó de conformidad con la normatividad vigente en ese momento, el comprobante de pago de los derechos correspondientes al estudio de la documentación inherente a la Solicitud para obtener el título de asignación de frecuencias o bandas de frecuencias para uso oficial. </w:t>
      </w:r>
    </w:p>
    <w:p w14:paraId="7D26EFB8" w14:textId="77777777" w:rsidR="002D7BBD" w:rsidRDefault="00CC232C" w:rsidP="002D7BBD">
      <w:pPr>
        <w:spacing w:before="240" w:after="240"/>
        <w:jc w:val="both"/>
        <w:rPr>
          <w:rFonts w:ascii="ITC Avant Garde" w:hAnsi="ITC Avant Garde"/>
          <w:color w:val="000000"/>
          <w:sz w:val="22"/>
          <w:szCs w:val="22"/>
          <w:lang w:val="es-MX" w:eastAsia="es-MX"/>
        </w:rPr>
      </w:pPr>
      <w:r w:rsidRPr="00D519C5">
        <w:rPr>
          <w:rFonts w:ascii="ITC Avant Garde" w:hAnsi="ITC Avant Garde"/>
          <w:color w:val="000000"/>
          <w:sz w:val="22"/>
          <w:szCs w:val="22"/>
          <w:lang w:val="es-MX" w:eastAsia="es-MX"/>
        </w:rPr>
        <w:t xml:space="preserve">Bajo este tenor, conforme a la normatividad vigente en la fecha en que se </w:t>
      </w:r>
      <w:r w:rsidR="00273BED">
        <w:rPr>
          <w:rFonts w:ascii="ITC Avant Garde" w:hAnsi="ITC Avant Garde"/>
          <w:color w:val="000000"/>
          <w:sz w:val="22"/>
          <w:szCs w:val="22"/>
          <w:lang w:val="es-MX" w:eastAsia="es-MX"/>
        </w:rPr>
        <w:t>presentó la Solicitud,</w:t>
      </w:r>
      <w:r w:rsidRPr="00D519C5">
        <w:rPr>
          <w:rFonts w:ascii="ITC Avant Garde" w:hAnsi="ITC Avant Garde"/>
          <w:color w:val="000000"/>
          <w:sz w:val="22"/>
          <w:szCs w:val="22"/>
          <w:lang w:val="es-MX" w:eastAsia="es-MX"/>
        </w:rPr>
        <w:t xml:space="preserve"> procedería realizar el cobro por el otorgamiento del título de asignación correspondiente. </w:t>
      </w:r>
    </w:p>
    <w:p w14:paraId="5368D7AC" w14:textId="77777777" w:rsidR="002D7BBD" w:rsidRDefault="00CC232C" w:rsidP="002D7BBD">
      <w:pPr>
        <w:spacing w:before="240" w:after="240"/>
        <w:jc w:val="both"/>
        <w:rPr>
          <w:rFonts w:ascii="ITC Avant Garde" w:hAnsi="ITC Avant Garde"/>
          <w:color w:val="000000"/>
          <w:sz w:val="22"/>
          <w:szCs w:val="22"/>
          <w:lang w:val="es-MX" w:eastAsia="es-MX"/>
        </w:rPr>
      </w:pPr>
      <w:r w:rsidRPr="00D519C5">
        <w:rPr>
          <w:rFonts w:ascii="ITC Avant Garde" w:hAnsi="ITC Avant Garde"/>
          <w:color w:val="000000"/>
          <w:sz w:val="22"/>
          <w:szCs w:val="22"/>
          <w:lang w:val="es-MX" w:eastAsia="es-MX"/>
        </w:rPr>
        <w:lastRenderedPageBreak/>
        <w:t xml:space="preserve">Sin embargo, dado que la normatividad vigente es el artículo 173 Apartado C fracción I de la Ley Federal de Derechos, la que prevé actualmente un único cobro por el estudio y en su caso la expedición del título de concesión respectivo, este Instituto se encuentra imposibilitado para diferenciar el monto de los derechos que debiera cobrar por la parte correspondiente a la expedición de un título de concesión de mérito. </w:t>
      </w:r>
    </w:p>
    <w:p w14:paraId="020F83C4" w14:textId="77777777" w:rsidR="002D7BBD" w:rsidRDefault="00CC232C" w:rsidP="002D7BBD">
      <w:pPr>
        <w:spacing w:before="240" w:after="240"/>
        <w:jc w:val="both"/>
        <w:rPr>
          <w:rFonts w:ascii="ITC Avant Garde" w:hAnsi="ITC Avant Garde"/>
          <w:color w:val="000000"/>
          <w:sz w:val="22"/>
          <w:szCs w:val="22"/>
          <w:lang w:val="es-MX" w:eastAsia="es-MX"/>
        </w:rPr>
      </w:pPr>
      <w:r w:rsidRPr="00D519C5">
        <w:rPr>
          <w:rFonts w:ascii="ITC Avant Garde" w:hAnsi="ITC Avant Garde"/>
          <w:color w:val="000000"/>
          <w:sz w:val="22"/>
          <w:szCs w:val="22"/>
          <w:lang w:val="es-MX" w:eastAsia="es-MX"/>
        </w:rPr>
        <w:t xml:space="preserve">Asimismo, tratándose de disposiciones de carácter fiscal, se debe atender al principio de exacta aplicación de las mismas, por lo que no procede aplicar el cobro por la expedición del título de bandas de frecuencias para uso público que nos ocupa, toda vez que no puede ser diferenciado de la parte relativa al estudio. </w:t>
      </w:r>
    </w:p>
    <w:p w14:paraId="07CF4094" w14:textId="77777777" w:rsidR="002D7BBD" w:rsidRDefault="003D26ED" w:rsidP="002D7BBD">
      <w:pPr>
        <w:spacing w:before="240" w:after="240"/>
        <w:jc w:val="both"/>
        <w:rPr>
          <w:rFonts w:ascii="ITC Avant Garde" w:hAnsi="ITC Avant Garde"/>
          <w:color w:val="000000"/>
          <w:sz w:val="22"/>
          <w:szCs w:val="22"/>
          <w:lang w:val="es-MX" w:eastAsia="es-MX"/>
        </w:rPr>
      </w:pPr>
      <w:r>
        <w:rPr>
          <w:rFonts w:ascii="ITC Avant Garde" w:hAnsi="ITC Avant Garde"/>
          <w:color w:val="000000"/>
          <w:sz w:val="22"/>
          <w:szCs w:val="22"/>
          <w:lang w:val="es-MX" w:eastAsia="es-MX"/>
        </w:rPr>
        <w:t>Adicionalmente</w:t>
      </w:r>
      <w:r w:rsidR="00CC232C" w:rsidRPr="00D519C5">
        <w:rPr>
          <w:rFonts w:ascii="ITC Avant Garde" w:hAnsi="ITC Avant Garde"/>
          <w:color w:val="000000"/>
          <w:sz w:val="22"/>
          <w:szCs w:val="22"/>
          <w:lang w:val="es-MX" w:eastAsia="es-MX"/>
        </w:rPr>
        <w:t>, la Ley Federal de Derechos señala en el actual artículo 173 penúltimo párrafo, que cuando la explotación de los servicios objeto de la concesión de bandas de frecuencias a las que se refieren los apartados A, B, fracciones I y II y C, requiera el otorgamiento de un título de concesión única, en términos del artículo 75 de la Ley Federal de Telecomunicaciones y Radiodifusión, el pago de derechos correspondiente al de bandas de frecuencias, comprenderá la expedición de la concesión única respectiva.</w:t>
      </w:r>
    </w:p>
    <w:p w14:paraId="074982E6" w14:textId="77777777" w:rsidR="002D7BBD" w:rsidRDefault="00CC232C" w:rsidP="002D7BBD">
      <w:pPr>
        <w:spacing w:before="240" w:after="240"/>
        <w:jc w:val="both"/>
        <w:rPr>
          <w:rFonts w:ascii="ITC Avant Garde" w:hAnsi="ITC Avant Garde"/>
          <w:color w:val="000000"/>
          <w:sz w:val="22"/>
          <w:szCs w:val="22"/>
          <w:lang w:val="es-MX" w:eastAsia="es-MX"/>
        </w:rPr>
      </w:pPr>
      <w:r w:rsidRPr="00D519C5">
        <w:rPr>
          <w:rFonts w:ascii="ITC Avant Garde" w:hAnsi="ITC Avant Garde"/>
          <w:color w:val="000000"/>
          <w:sz w:val="22"/>
          <w:szCs w:val="22"/>
          <w:lang w:val="es-MX" w:eastAsia="es-MX"/>
        </w:rPr>
        <w:t xml:space="preserve">En ese sentido, y considerando que para el caso que nos ocupa se actualiza lo señalado en el párrafo que antecede, no procede el cobro por el otorgamiento de la concesión única para uso público. </w:t>
      </w:r>
    </w:p>
    <w:p w14:paraId="5AB73A93" w14:textId="34ED1B9F" w:rsidR="00CC232C" w:rsidRPr="00D519C5" w:rsidRDefault="00CC232C" w:rsidP="002D7BBD">
      <w:pPr>
        <w:autoSpaceDE w:val="0"/>
        <w:autoSpaceDN w:val="0"/>
        <w:adjustRightInd w:val="0"/>
        <w:spacing w:before="240" w:after="240"/>
        <w:jc w:val="both"/>
        <w:rPr>
          <w:rFonts w:ascii="ITC Avant Garde" w:hAnsi="ITC Avant Garde"/>
          <w:bCs/>
          <w:color w:val="000000"/>
          <w:sz w:val="22"/>
          <w:szCs w:val="22"/>
          <w:lang w:val="es-MX" w:eastAsia="es-MX"/>
        </w:rPr>
      </w:pPr>
      <w:r w:rsidRPr="00D519C5">
        <w:rPr>
          <w:rFonts w:ascii="ITC Avant Garde" w:hAnsi="ITC Avant Garde"/>
          <w:bCs/>
          <w:color w:val="000000"/>
          <w:sz w:val="22"/>
          <w:szCs w:val="22"/>
          <w:lang w:val="es-MX" w:eastAsia="es-MX"/>
        </w:rPr>
        <w:t xml:space="preserve">Atendiendo a lo anteriormente señalado, y considerando que la Solicitud cumple con los requisitos técnicos-regulatorios, legales y administrativos previstos en la LFT y que además la Unidad de Espectro Radioeléctrico emitió la opinión correspondiente, misma que es acorde a lo establecido en el Cuadro Nacional de Atribución de Frecuencias vigente, el Pleno del Instituto estima procedente resolver de manera favorable el otorgamiento de un título de concesión sobre el espectro radioeléctrico para uso público, así como un título de concesión única para uso público a favor de </w:t>
      </w:r>
      <w:r w:rsidR="00C97B80" w:rsidRPr="00D519C5">
        <w:rPr>
          <w:rFonts w:ascii="ITC Avant Garde" w:hAnsi="ITC Avant Garde"/>
          <w:bCs/>
          <w:color w:val="000000"/>
          <w:sz w:val="22"/>
          <w:szCs w:val="22"/>
          <w:lang w:val="es-MX" w:eastAsia="es-MX"/>
        </w:rPr>
        <w:t xml:space="preserve">la empresa </w:t>
      </w:r>
      <w:r w:rsidR="00B82FDC" w:rsidRPr="00D519C5">
        <w:rPr>
          <w:rFonts w:ascii="ITC Avant Garde" w:hAnsi="ITC Avant Garde"/>
          <w:bCs/>
          <w:color w:val="000000"/>
          <w:sz w:val="22"/>
          <w:szCs w:val="22"/>
          <w:lang w:val="es-MX" w:eastAsia="es-MX"/>
        </w:rPr>
        <w:t>Ferro</w:t>
      </w:r>
      <w:r w:rsidR="006D1A9A">
        <w:rPr>
          <w:rFonts w:ascii="ITC Avant Garde" w:hAnsi="ITC Avant Garde"/>
          <w:bCs/>
          <w:color w:val="000000"/>
          <w:sz w:val="22"/>
          <w:szCs w:val="22"/>
          <w:lang w:val="es-MX" w:eastAsia="es-MX"/>
        </w:rPr>
        <w:t>sur</w:t>
      </w:r>
      <w:r w:rsidR="00B82FDC" w:rsidRPr="00D519C5">
        <w:rPr>
          <w:rFonts w:ascii="ITC Avant Garde" w:hAnsi="ITC Avant Garde"/>
          <w:bCs/>
          <w:color w:val="000000"/>
          <w:sz w:val="22"/>
          <w:szCs w:val="22"/>
          <w:lang w:val="es-MX" w:eastAsia="es-MX"/>
        </w:rPr>
        <w:t xml:space="preserve">, S.A. de C.V., </w:t>
      </w:r>
      <w:r w:rsidR="00C97B80" w:rsidRPr="00D519C5">
        <w:rPr>
          <w:rFonts w:ascii="ITC Avant Garde" w:hAnsi="ITC Avant Garde"/>
          <w:bCs/>
          <w:color w:val="000000"/>
          <w:sz w:val="22"/>
          <w:szCs w:val="22"/>
          <w:lang w:val="es-MX" w:eastAsia="es-MX"/>
        </w:rPr>
        <w:t>concesionaria del servicio público de transporte ferroviario</w:t>
      </w:r>
      <w:r w:rsidR="00D91C76">
        <w:rPr>
          <w:rFonts w:ascii="ITC Avant Garde" w:hAnsi="ITC Avant Garde"/>
          <w:bCs/>
          <w:color w:val="000000"/>
          <w:sz w:val="22"/>
          <w:szCs w:val="22"/>
          <w:lang w:val="es-MX" w:eastAsia="es-MX"/>
        </w:rPr>
        <w:t>, esto sujeto al pago de los aprovechamientos correspondientes</w:t>
      </w:r>
      <w:r w:rsidR="00D363AC">
        <w:rPr>
          <w:rFonts w:ascii="ITC Avant Garde" w:hAnsi="ITC Avant Garde"/>
          <w:bCs/>
          <w:color w:val="000000"/>
          <w:sz w:val="22"/>
          <w:szCs w:val="22"/>
          <w:lang w:val="es-MX" w:eastAsia="es-MX"/>
        </w:rPr>
        <w:t>.</w:t>
      </w:r>
    </w:p>
    <w:p w14:paraId="7C186033" w14:textId="77777777" w:rsidR="002D7BBD" w:rsidRDefault="00F44E6B" w:rsidP="002D7BBD">
      <w:pPr>
        <w:autoSpaceDE w:val="0"/>
        <w:autoSpaceDN w:val="0"/>
        <w:adjustRightInd w:val="0"/>
        <w:spacing w:before="240" w:after="240"/>
        <w:jc w:val="both"/>
        <w:rPr>
          <w:rFonts w:ascii="ITC Avant Garde" w:eastAsia="Calibri" w:hAnsi="ITC Avant Garde"/>
          <w:sz w:val="22"/>
          <w:szCs w:val="22"/>
          <w:lang w:val="es-MX" w:eastAsia="en-US"/>
        </w:rPr>
      </w:pPr>
      <w:r w:rsidRPr="00D519C5">
        <w:rPr>
          <w:rFonts w:ascii="ITC Avant Garde" w:eastAsia="Calibri" w:hAnsi="ITC Avant Garde"/>
          <w:sz w:val="22"/>
          <w:szCs w:val="22"/>
          <w:lang w:val="es-MX" w:eastAsia="en-US"/>
        </w:rPr>
        <w:t>Por lo anterior y con fundamento en los artícu</w:t>
      </w:r>
      <w:r w:rsidR="00AF4ACD" w:rsidRPr="00D519C5">
        <w:rPr>
          <w:rFonts w:ascii="ITC Avant Garde" w:eastAsia="Calibri" w:hAnsi="ITC Avant Garde"/>
          <w:sz w:val="22"/>
          <w:szCs w:val="22"/>
          <w:lang w:val="es-MX" w:eastAsia="en-US"/>
        </w:rPr>
        <w:t xml:space="preserve">los 28 párrafos décimo quinto, </w:t>
      </w:r>
      <w:r w:rsidRPr="00D519C5">
        <w:rPr>
          <w:rFonts w:ascii="ITC Avant Garde" w:eastAsia="Calibri" w:hAnsi="ITC Avant Garde"/>
          <w:sz w:val="22"/>
          <w:szCs w:val="22"/>
          <w:lang w:val="es-MX" w:eastAsia="en-US"/>
        </w:rPr>
        <w:t xml:space="preserve">décimo sexto y décimo séptimo de la Constitución Política de los Estados Unidos Mexicanos; Séptimo Transitorio párrafo segundo del </w:t>
      </w:r>
      <w:r w:rsidRPr="00D519C5">
        <w:rPr>
          <w:rFonts w:ascii="ITC Avant Garde" w:eastAsia="Calibri" w:hAnsi="ITC Avant Garde"/>
          <w:i/>
          <w:sz w:val="22"/>
          <w:szCs w:val="22"/>
          <w:lang w:val="es-MX" w:eastAsia="en-US"/>
        </w:rPr>
        <w:t>“Decreto por el que se reforman y adicionan diversas disposiciones de los artículos 6o., 7o., 27, 28, 73, 78, 94 y 105 de la Constitución Política de los Estados Unidos Mexicanos, en materia de telecomunicaciones”</w:t>
      </w:r>
      <w:r w:rsidRPr="00D519C5">
        <w:rPr>
          <w:rFonts w:ascii="ITC Avant Garde" w:eastAsia="Calibri" w:hAnsi="ITC Avant Garde"/>
          <w:sz w:val="22"/>
          <w:szCs w:val="22"/>
          <w:lang w:val="es-MX" w:eastAsia="en-US"/>
        </w:rPr>
        <w:t xml:space="preserve">, publicado en el Diario Oficial de la Federación el 11 de junio de 2013; Sexto Transitorio del </w:t>
      </w:r>
      <w:r w:rsidRPr="00D519C5">
        <w:rPr>
          <w:rFonts w:ascii="ITC Avant Garde" w:eastAsia="Calibri" w:hAnsi="ITC Avant Garde"/>
          <w:i/>
          <w:sz w:val="22"/>
          <w:szCs w:val="22"/>
          <w:lang w:val="es-MX" w:eastAsia="en-US"/>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D519C5">
        <w:rPr>
          <w:rFonts w:ascii="ITC Avant Garde" w:eastAsia="Calibri" w:hAnsi="ITC Avant Garde"/>
          <w:sz w:val="22"/>
          <w:szCs w:val="22"/>
          <w:lang w:val="es-MX" w:eastAsia="en-US"/>
        </w:rPr>
        <w:t xml:space="preserve">, publicado en el Diario Oficial de la Federación el 14 de julio de 2014; </w:t>
      </w:r>
      <w:r w:rsidR="00841BF1" w:rsidRPr="00D519C5">
        <w:rPr>
          <w:rFonts w:ascii="ITC Avant Garde" w:eastAsia="Calibri" w:hAnsi="ITC Avant Garde"/>
          <w:sz w:val="22"/>
          <w:szCs w:val="22"/>
          <w:lang w:val="es-MX" w:eastAsia="en-US"/>
        </w:rPr>
        <w:t xml:space="preserve">6 fracción IV, </w:t>
      </w:r>
      <w:r w:rsidRPr="00D519C5">
        <w:rPr>
          <w:rFonts w:ascii="ITC Avant Garde" w:eastAsia="Calibri" w:hAnsi="ITC Avant Garde"/>
          <w:sz w:val="22"/>
          <w:szCs w:val="22"/>
          <w:lang w:val="es-MX" w:eastAsia="en-US"/>
        </w:rPr>
        <w:t xml:space="preserve">15 fracción IV, 17 fracción I, </w:t>
      </w:r>
      <w:r w:rsidR="00AF4ACD" w:rsidRPr="00D519C5">
        <w:rPr>
          <w:rFonts w:ascii="ITC Avant Garde" w:eastAsia="Calibri" w:hAnsi="ITC Avant Garde"/>
          <w:sz w:val="22"/>
          <w:szCs w:val="22"/>
          <w:lang w:val="es-MX" w:eastAsia="en-US"/>
        </w:rPr>
        <w:t xml:space="preserve">55 fracción I, </w:t>
      </w:r>
      <w:r w:rsidRPr="00D519C5">
        <w:rPr>
          <w:rFonts w:ascii="ITC Avant Garde" w:eastAsia="Calibri" w:hAnsi="ITC Avant Garde"/>
          <w:sz w:val="22"/>
          <w:szCs w:val="22"/>
          <w:lang w:val="es-MX" w:eastAsia="en-US"/>
        </w:rPr>
        <w:t xml:space="preserve">66, 67 </w:t>
      </w:r>
      <w:r w:rsidR="00615A50" w:rsidRPr="00D519C5">
        <w:rPr>
          <w:rFonts w:ascii="ITC Avant Garde" w:eastAsia="Calibri" w:hAnsi="ITC Avant Garde"/>
          <w:sz w:val="22"/>
          <w:szCs w:val="22"/>
          <w:lang w:val="es-MX" w:eastAsia="en-US"/>
        </w:rPr>
        <w:lastRenderedPageBreak/>
        <w:t>fracción II, 70, 72,</w:t>
      </w:r>
      <w:r w:rsidRPr="00D519C5">
        <w:rPr>
          <w:rFonts w:ascii="ITC Avant Garde" w:eastAsia="Calibri" w:hAnsi="ITC Avant Garde"/>
          <w:sz w:val="22"/>
          <w:szCs w:val="22"/>
          <w:lang w:val="es-MX" w:eastAsia="en-US"/>
        </w:rPr>
        <w:t xml:space="preserve"> 76 fracción II, 83, 84 y 102 de la Ley Federal de Telecomunicaciones y Radiodifusión; </w:t>
      </w:r>
      <w:r w:rsidR="00AF4ACD" w:rsidRPr="00D519C5">
        <w:rPr>
          <w:rFonts w:ascii="ITC Avant Garde" w:eastAsia="Calibri" w:hAnsi="ITC Avant Garde"/>
          <w:sz w:val="22"/>
          <w:szCs w:val="22"/>
          <w:lang w:val="es-MX" w:eastAsia="en-US"/>
        </w:rPr>
        <w:t xml:space="preserve">Segundo Transitorio del </w:t>
      </w:r>
      <w:r w:rsidR="00AF4ACD" w:rsidRPr="00D519C5">
        <w:rPr>
          <w:rFonts w:ascii="ITC Avant Garde" w:hAnsi="ITC Avant Garde"/>
          <w:bCs/>
          <w:i/>
          <w:color w:val="000000"/>
          <w:sz w:val="22"/>
          <w:szCs w:val="22"/>
          <w:lang w:val="es-MX" w:eastAsia="es-MX"/>
        </w:rPr>
        <w:t>“Decreto por el que se reforma la fracción III del artículo 10 de la Ley Federal de Telecomunicaciones”</w:t>
      </w:r>
      <w:r w:rsidR="00AF4ACD" w:rsidRPr="00D519C5">
        <w:rPr>
          <w:rFonts w:ascii="ITC Avant Garde" w:hAnsi="ITC Avant Garde"/>
          <w:bCs/>
          <w:color w:val="000000"/>
          <w:sz w:val="22"/>
          <w:szCs w:val="22"/>
          <w:lang w:val="es-MX" w:eastAsia="es-MX"/>
        </w:rPr>
        <w:t xml:space="preserve"> publicado en el Diario Oficial de la Federación el 16 de enero de 2012;</w:t>
      </w:r>
      <w:r w:rsidR="00AF4ACD" w:rsidRPr="00D519C5">
        <w:rPr>
          <w:rFonts w:ascii="ITC Avant Garde" w:hAnsi="ITC Avant Garde"/>
          <w:bCs/>
          <w:i/>
          <w:color w:val="000000"/>
          <w:sz w:val="22"/>
          <w:szCs w:val="22"/>
          <w:lang w:val="es-MX" w:eastAsia="es-MX"/>
        </w:rPr>
        <w:t xml:space="preserve"> </w:t>
      </w:r>
      <w:r w:rsidRPr="00D519C5">
        <w:rPr>
          <w:rFonts w:ascii="ITC Avant Garde" w:eastAsia="Calibri" w:hAnsi="ITC Avant Garde"/>
          <w:sz w:val="22"/>
          <w:szCs w:val="22"/>
          <w:lang w:val="es-MX" w:eastAsia="en-US"/>
        </w:rPr>
        <w:t>10 fracción III, 22 y 24 de la Le</w:t>
      </w:r>
      <w:r w:rsidR="003C5972" w:rsidRPr="00D519C5">
        <w:rPr>
          <w:rFonts w:ascii="ITC Avant Garde" w:eastAsia="Calibri" w:hAnsi="ITC Avant Garde"/>
          <w:sz w:val="22"/>
          <w:szCs w:val="22"/>
          <w:lang w:val="es-MX" w:eastAsia="en-US"/>
        </w:rPr>
        <w:t xml:space="preserve">y Federal de Telecomunicaciones; </w:t>
      </w:r>
      <w:r w:rsidR="00615A50" w:rsidRPr="00D519C5">
        <w:rPr>
          <w:rFonts w:ascii="ITC Avant Garde" w:hAnsi="ITC Avant Garde"/>
          <w:bCs/>
          <w:color w:val="000000"/>
          <w:sz w:val="22"/>
          <w:szCs w:val="22"/>
          <w:lang w:val="es-MX" w:eastAsia="es-MX"/>
        </w:rPr>
        <w:t xml:space="preserve">105 fracción I de la Ley Federal de Derechos vigente en el año 2012; </w:t>
      </w:r>
      <w:r w:rsidR="00611A7A">
        <w:rPr>
          <w:rFonts w:ascii="ITC Avant Garde" w:hAnsi="ITC Avant Garde"/>
          <w:bCs/>
          <w:color w:val="000000"/>
          <w:sz w:val="22"/>
          <w:szCs w:val="22"/>
          <w:lang w:val="es-MX" w:eastAsia="es-MX"/>
        </w:rPr>
        <w:t xml:space="preserve">3 fracción III, 11 fracción I, </w:t>
      </w:r>
      <w:r w:rsidR="00615A50" w:rsidRPr="00D519C5">
        <w:rPr>
          <w:rFonts w:ascii="ITC Avant Garde" w:hAnsi="ITC Avant Garde"/>
          <w:bCs/>
          <w:color w:val="000000"/>
          <w:sz w:val="22"/>
          <w:szCs w:val="22"/>
          <w:lang w:val="es-MX" w:eastAsia="es-MX"/>
        </w:rPr>
        <w:t>35 fracción I, 36, 38,</w:t>
      </w:r>
      <w:r w:rsidR="003C5972" w:rsidRPr="00D519C5">
        <w:rPr>
          <w:rFonts w:ascii="ITC Avant Garde" w:hAnsi="ITC Avant Garde"/>
          <w:bCs/>
          <w:color w:val="000000"/>
          <w:sz w:val="22"/>
          <w:szCs w:val="22"/>
          <w:lang w:val="es-MX" w:eastAsia="es-MX"/>
        </w:rPr>
        <w:t xml:space="preserve"> 39</w:t>
      </w:r>
      <w:r w:rsidR="00615A50" w:rsidRPr="00D519C5">
        <w:rPr>
          <w:rFonts w:ascii="ITC Avant Garde" w:hAnsi="ITC Avant Garde"/>
          <w:bCs/>
          <w:color w:val="000000"/>
          <w:sz w:val="22"/>
          <w:szCs w:val="22"/>
          <w:lang w:val="es-MX" w:eastAsia="es-MX"/>
        </w:rPr>
        <w:t xml:space="preserve"> y 57 fracción I</w:t>
      </w:r>
      <w:r w:rsidR="003C5972" w:rsidRPr="00D519C5">
        <w:rPr>
          <w:rFonts w:ascii="ITC Avant Garde" w:hAnsi="ITC Avant Garde"/>
          <w:bCs/>
          <w:color w:val="000000"/>
          <w:sz w:val="22"/>
          <w:szCs w:val="22"/>
          <w:lang w:val="es-MX" w:eastAsia="es-MX"/>
        </w:rPr>
        <w:t xml:space="preserve"> de la Ley Federal de Procedimiento Administrativo;</w:t>
      </w:r>
      <w:r w:rsidRPr="00D519C5">
        <w:rPr>
          <w:rFonts w:ascii="ITC Avant Garde" w:eastAsia="Calibri" w:hAnsi="ITC Avant Garde"/>
          <w:sz w:val="22"/>
          <w:szCs w:val="22"/>
          <w:lang w:val="es-MX" w:eastAsia="en-US"/>
        </w:rPr>
        <w:t xml:space="preserve"> 1, </w:t>
      </w:r>
      <w:r w:rsidR="00615A50" w:rsidRPr="00D519C5">
        <w:rPr>
          <w:rFonts w:ascii="ITC Avant Garde" w:eastAsia="Calibri" w:hAnsi="ITC Avant Garde"/>
          <w:sz w:val="22"/>
          <w:szCs w:val="22"/>
          <w:lang w:val="es-MX" w:eastAsia="en-US"/>
        </w:rPr>
        <w:t xml:space="preserve">4 fracciones I, II, V incisos ii) y iii), IX incisos vii), viii) y ix), </w:t>
      </w:r>
      <w:r w:rsidRPr="00D519C5">
        <w:rPr>
          <w:rFonts w:ascii="ITC Avant Garde" w:eastAsia="Calibri" w:hAnsi="ITC Avant Garde"/>
          <w:sz w:val="22"/>
          <w:szCs w:val="22"/>
          <w:lang w:val="es-MX" w:eastAsia="en-US"/>
        </w:rPr>
        <w:t xml:space="preserve">6 fracción I, </w:t>
      </w:r>
      <w:r w:rsidR="00615A50" w:rsidRPr="00D519C5">
        <w:rPr>
          <w:rFonts w:ascii="ITC Avant Garde" w:eastAsia="Calibri" w:hAnsi="ITC Avant Garde"/>
          <w:sz w:val="22"/>
          <w:szCs w:val="22"/>
          <w:lang w:val="es-MX" w:eastAsia="en-US"/>
        </w:rPr>
        <w:t>14 fracción X, 27,</w:t>
      </w:r>
      <w:r w:rsidR="00D91C76">
        <w:rPr>
          <w:rFonts w:ascii="ITC Avant Garde" w:eastAsia="Calibri" w:hAnsi="ITC Avant Garde"/>
          <w:sz w:val="22"/>
          <w:szCs w:val="22"/>
          <w:lang w:val="es-MX" w:eastAsia="en-US"/>
        </w:rPr>
        <w:t xml:space="preserve"> </w:t>
      </w:r>
      <w:r w:rsidR="007D6353">
        <w:rPr>
          <w:rFonts w:ascii="ITC Avant Garde" w:eastAsia="Calibri" w:hAnsi="ITC Avant Garde"/>
          <w:sz w:val="22"/>
          <w:szCs w:val="22"/>
          <w:lang w:val="es-MX" w:eastAsia="en-US"/>
        </w:rPr>
        <w:t>30</w:t>
      </w:r>
      <w:r w:rsidR="00D91C76">
        <w:rPr>
          <w:rFonts w:ascii="ITC Avant Garde" w:eastAsia="Calibri" w:hAnsi="ITC Avant Garde"/>
          <w:sz w:val="22"/>
          <w:szCs w:val="22"/>
          <w:lang w:val="es-MX" w:eastAsia="en-US"/>
        </w:rPr>
        <w:t>,</w:t>
      </w:r>
      <w:r w:rsidR="00615A50" w:rsidRPr="00D519C5">
        <w:rPr>
          <w:rFonts w:ascii="ITC Avant Garde" w:eastAsia="Calibri" w:hAnsi="ITC Avant Garde"/>
          <w:sz w:val="22"/>
          <w:szCs w:val="22"/>
          <w:lang w:val="es-MX" w:eastAsia="en-US"/>
        </w:rPr>
        <w:t xml:space="preserve"> 31 fracciones VII y XII, </w:t>
      </w:r>
      <w:r w:rsidRPr="00D519C5">
        <w:rPr>
          <w:rFonts w:ascii="ITC Avant Garde" w:eastAsia="Calibri" w:hAnsi="ITC Avant Garde"/>
          <w:sz w:val="22"/>
          <w:szCs w:val="22"/>
          <w:lang w:val="es-MX" w:eastAsia="en-US"/>
        </w:rPr>
        <w:t xml:space="preserve">32 y 33 fracción I del Estatuto Orgánico del Instituto Federal de Telecomunicaciones, </w:t>
      </w:r>
      <w:r w:rsidR="00891FD2" w:rsidRPr="00D519C5">
        <w:rPr>
          <w:rFonts w:ascii="ITC Avant Garde" w:eastAsia="Calibri" w:hAnsi="ITC Avant Garde"/>
          <w:sz w:val="22"/>
          <w:szCs w:val="22"/>
          <w:lang w:val="es-MX" w:eastAsia="en-US"/>
        </w:rPr>
        <w:t>y</w:t>
      </w:r>
      <w:r w:rsidR="00891FD2" w:rsidRPr="00D519C5">
        <w:t xml:space="preserve"> </w:t>
      </w:r>
      <w:r w:rsidR="00891FD2" w:rsidRPr="00D519C5">
        <w:rPr>
          <w:rFonts w:ascii="ITC Avant Garde" w:eastAsia="Calibri" w:hAnsi="ITC Avant Garde"/>
          <w:sz w:val="22"/>
          <w:szCs w:val="22"/>
          <w:lang w:val="es-MX" w:eastAsia="en-US"/>
        </w:rPr>
        <w:t xml:space="preserve">el </w:t>
      </w:r>
      <w:r w:rsidR="00891FD2" w:rsidRPr="00D519C5">
        <w:rPr>
          <w:rFonts w:ascii="ITC Avant Garde" w:eastAsia="Calibri" w:hAnsi="ITC Avant Garde"/>
          <w:i/>
          <w:sz w:val="22"/>
          <w:szCs w:val="22"/>
          <w:lang w:val="es-MX" w:eastAsia="en-US"/>
        </w:rPr>
        <w:t>“Acuerdo mediante el cual el Pleno del Instituto Federal de Telecomunicaciones aprueba el Cuadro Nacional de Atribución de Frecuencias”,</w:t>
      </w:r>
      <w:r w:rsidR="00891FD2" w:rsidRPr="00D519C5">
        <w:rPr>
          <w:rFonts w:ascii="ITC Avant Garde" w:eastAsia="Calibri" w:hAnsi="ITC Avant Garde"/>
          <w:sz w:val="22"/>
          <w:szCs w:val="22"/>
          <w:lang w:val="es-MX" w:eastAsia="en-US"/>
        </w:rPr>
        <w:t xml:space="preserve"> publicado en el Diario Oficial de la Federación el 20 de octubre de 2015, este Órgano Autónomo emite los siguientes:</w:t>
      </w:r>
    </w:p>
    <w:p w14:paraId="0D74692C" w14:textId="77777777" w:rsidR="002D7BBD" w:rsidRPr="002D7BBD" w:rsidRDefault="00AA28E4" w:rsidP="002D7BBD">
      <w:pPr>
        <w:pStyle w:val="Ttulo2"/>
        <w:spacing w:before="240" w:after="240"/>
        <w:ind w:firstLine="0"/>
        <w:jc w:val="center"/>
        <w:rPr>
          <w:rFonts w:ascii="ITC Avant Garde" w:hAnsi="ITC Avant Garde"/>
          <w:sz w:val="22"/>
          <w:szCs w:val="22"/>
        </w:rPr>
      </w:pPr>
      <w:r w:rsidRPr="002D7BBD">
        <w:rPr>
          <w:rFonts w:ascii="ITC Avant Garde" w:hAnsi="ITC Avant Garde"/>
          <w:sz w:val="22"/>
          <w:szCs w:val="22"/>
        </w:rPr>
        <w:t>RESOLUTIVOS</w:t>
      </w:r>
    </w:p>
    <w:p w14:paraId="6E0E6042" w14:textId="4E2F73A5" w:rsidR="002D7BBD" w:rsidRDefault="00AA28E4" w:rsidP="002D7BBD">
      <w:pPr>
        <w:spacing w:before="240" w:after="240"/>
        <w:jc w:val="both"/>
        <w:rPr>
          <w:rFonts w:ascii="ITC Avant Garde" w:hAnsi="ITC Avant Garde"/>
          <w:bCs/>
          <w:color w:val="000000"/>
          <w:sz w:val="22"/>
          <w:szCs w:val="22"/>
          <w:lang w:val="es-MX" w:eastAsia="es-MX"/>
        </w:rPr>
      </w:pPr>
      <w:r w:rsidRPr="00D519C5">
        <w:rPr>
          <w:rFonts w:ascii="ITC Avant Garde" w:hAnsi="ITC Avant Garde"/>
          <w:b/>
          <w:bCs/>
          <w:color w:val="000000"/>
          <w:sz w:val="22"/>
          <w:szCs w:val="22"/>
          <w:lang w:val="es-MX" w:eastAsia="es-MX"/>
        </w:rPr>
        <w:t xml:space="preserve">PRIMERO.- </w:t>
      </w:r>
      <w:r w:rsidR="00AB0398" w:rsidRPr="00D519C5">
        <w:rPr>
          <w:rFonts w:ascii="ITC Avant Garde" w:hAnsi="ITC Avant Garde"/>
          <w:bCs/>
          <w:color w:val="000000"/>
          <w:sz w:val="22"/>
          <w:szCs w:val="22"/>
          <w:lang w:val="es-MX" w:eastAsia="es-MX"/>
        </w:rPr>
        <w:t>Se otorga a</w:t>
      </w:r>
      <w:r w:rsidR="00F44E6B" w:rsidRPr="00D519C5">
        <w:rPr>
          <w:rFonts w:ascii="ITC Avant Garde" w:hAnsi="ITC Avant Garde"/>
          <w:bCs/>
          <w:color w:val="000000"/>
          <w:sz w:val="22"/>
          <w:szCs w:val="22"/>
          <w:lang w:val="es-MX" w:eastAsia="es-MX"/>
        </w:rPr>
        <w:t xml:space="preserve"> favor de </w:t>
      </w:r>
      <w:r w:rsidR="00AB0398" w:rsidRPr="00D519C5">
        <w:rPr>
          <w:rFonts w:ascii="ITC Avant Garde" w:hAnsi="ITC Avant Garde"/>
          <w:bCs/>
          <w:color w:val="000000"/>
          <w:sz w:val="22"/>
          <w:szCs w:val="22"/>
          <w:lang w:val="es-MX" w:eastAsia="es-MX"/>
        </w:rPr>
        <w:t xml:space="preserve">la empresa </w:t>
      </w:r>
      <w:r w:rsidR="00F44E6B" w:rsidRPr="00D519C5">
        <w:rPr>
          <w:rFonts w:ascii="ITC Avant Garde" w:hAnsi="ITC Avant Garde"/>
          <w:bCs/>
          <w:color w:val="000000"/>
          <w:sz w:val="22"/>
          <w:szCs w:val="22"/>
          <w:lang w:val="es-MX" w:eastAsia="es-MX"/>
        </w:rPr>
        <w:t>Ferro</w:t>
      </w:r>
      <w:r w:rsidR="006D1A9A">
        <w:rPr>
          <w:rFonts w:ascii="ITC Avant Garde" w:hAnsi="ITC Avant Garde"/>
          <w:bCs/>
          <w:color w:val="000000"/>
          <w:sz w:val="22"/>
          <w:szCs w:val="22"/>
          <w:lang w:val="es-MX" w:eastAsia="es-MX"/>
        </w:rPr>
        <w:t>sur</w:t>
      </w:r>
      <w:r w:rsidR="00F44E6B" w:rsidRPr="00D519C5">
        <w:rPr>
          <w:rFonts w:ascii="ITC Avant Garde" w:hAnsi="ITC Avant Garde"/>
          <w:bCs/>
          <w:color w:val="000000"/>
          <w:sz w:val="22"/>
          <w:szCs w:val="22"/>
          <w:lang w:val="es-MX" w:eastAsia="es-MX"/>
        </w:rPr>
        <w:t>, S.A. de C.V.,</w:t>
      </w:r>
      <w:r w:rsidR="00AB0398" w:rsidRPr="00D519C5">
        <w:rPr>
          <w:rFonts w:ascii="ITC Avant Garde" w:hAnsi="ITC Avant Garde"/>
          <w:bCs/>
          <w:color w:val="000000"/>
          <w:sz w:val="22"/>
          <w:szCs w:val="22"/>
          <w:lang w:val="es-MX" w:eastAsia="es-MX"/>
        </w:rPr>
        <w:t xml:space="preserve"> concesionaria del servicio público de transporte ferroviario</w:t>
      </w:r>
      <w:r w:rsidR="00D91C76">
        <w:rPr>
          <w:rFonts w:ascii="ITC Avant Garde" w:hAnsi="ITC Avant Garde"/>
          <w:bCs/>
          <w:color w:val="000000"/>
          <w:sz w:val="22"/>
          <w:szCs w:val="22"/>
          <w:lang w:val="es-MX" w:eastAsia="es-MX"/>
        </w:rPr>
        <w:t>,</w:t>
      </w:r>
      <w:r w:rsidR="00F44E6B" w:rsidRPr="00D519C5">
        <w:rPr>
          <w:rFonts w:ascii="ITC Avant Garde" w:hAnsi="ITC Avant Garde"/>
          <w:bCs/>
          <w:color w:val="000000"/>
          <w:sz w:val="22"/>
          <w:szCs w:val="22"/>
          <w:lang w:val="es-MX" w:eastAsia="es-MX"/>
        </w:rPr>
        <w:t xml:space="preserve"> </w:t>
      </w:r>
      <w:r w:rsidR="007D6353" w:rsidRPr="007D6353">
        <w:rPr>
          <w:rFonts w:ascii="ITC Avant Garde" w:hAnsi="ITC Avant Garde"/>
          <w:bCs/>
          <w:color w:val="000000"/>
          <w:sz w:val="22"/>
          <w:szCs w:val="22"/>
          <w:lang w:val="es-MX" w:eastAsia="es-MX"/>
        </w:rPr>
        <w:t xml:space="preserve">un título de concesión para usar y aprovechar bandas de frecuencias del espectro radioeléctrico para uso público, </w:t>
      </w:r>
      <w:r w:rsidR="00D507C6" w:rsidRPr="00D507C6">
        <w:rPr>
          <w:rFonts w:ascii="ITC Avant Garde" w:hAnsi="ITC Avant Garde"/>
          <w:bCs/>
          <w:color w:val="000000"/>
          <w:sz w:val="22"/>
          <w:szCs w:val="22"/>
          <w:lang w:val="es-MX" w:eastAsia="es-MX"/>
        </w:rPr>
        <w:t>que contempla diversas frecuencias dentro de los rangos y con las vigencias que se señalan a continuación</w:t>
      </w:r>
      <w:r w:rsidR="00D507C6">
        <w:rPr>
          <w:rFonts w:ascii="ITC Avant Garde" w:hAnsi="ITC Avant Garde"/>
          <w:bCs/>
          <w:color w:val="000000"/>
          <w:sz w:val="22"/>
          <w:szCs w:val="22"/>
          <w:lang w:val="es-MX" w:eastAsia="es-MX"/>
        </w:rPr>
        <w:t>:</w:t>
      </w:r>
    </w:p>
    <w:tbl>
      <w:tblPr>
        <w:tblStyle w:val="Tablaconcuadrcula1"/>
        <w:tblW w:w="0" w:type="auto"/>
        <w:jc w:val="center"/>
        <w:tblLook w:val="04A0" w:firstRow="1" w:lastRow="0" w:firstColumn="1" w:lastColumn="0" w:noHBand="0" w:noVBand="1"/>
        <w:tblCaption w:val="Frecuencias y vigencia del Título de Espectro"/>
        <w:tblDescription w:val="En una tabla de 2 columnas se proporcionan los rangos y vigencias que se señalan a continuación para el Título de Espectro"/>
      </w:tblPr>
      <w:tblGrid>
        <w:gridCol w:w="2008"/>
        <w:gridCol w:w="3615"/>
      </w:tblGrid>
      <w:tr w:rsidR="00D507C6" w:rsidRPr="00D519C5" w14:paraId="5B5B394B" w14:textId="77777777" w:rsidTr="002D7BBD">
        <w:trPr>
          <w:tblHeader/>
          <w:jc w:val="center"/>
        </w:trPr>
        <w:tc>
          <w:tcPr>
            <w:tcW w:w="2008" w:type="dxa"/>
            <w:shd w:val="clear" w:color="auto" w:fill="BFBFBF" w:themeFill="background1" w:themeFillShade="BF"/>
            <w:vAlign w:val="center"/>
          </w:tcPr>
          <w:p w14:paraId="443077F1" w14:textId="77777777" w:rsidR="00D507C6" w:rsidRPr="00560543" w:rsidRDefault="00D507C6" w:rsidP="002D7BBD">
            <w:pPr>
              <w:jc w:val="center"/>
              <w:rPr>
                <w:rFonts w:ascii="ITC Avant Garde" w:hAnsi="ITC Avant Garde"/>
                <w:b/>
                <w:sz w:val="20"/>
                <w:lang w:val="es-MX" w:eastAsia="es-MX"/>
              </w:rPr>
            </w:pPr>
            <w:r w:rsidRPr="00560543">
              <w:rPr>
                <w:rFonts w:ascii="ITC Avant Garde" w:hAnsi="ITC Avant Garde"/>
                <w:b/>
                <w:sz w:val="20"/>
                <w:lang w:val="es-MX" w:eastAsia="es-MX"/>
              </w:rPr>
              <w:t>Segmento MHz</w:t>
            </w:r>
          </w:p>
        </w:tc>
        <w:tc>
          <w:tcPr>
            <w:tcW w:w="3615" w:type="dxa"/>
            <w:shd w:val="clear" w:color="auto" w:fill="BFBFBF" w:themeFill="background1" w:themeFillShade="BF"/>
            <w:vAlign w:val="center"/>
          </w:tcPr>
          <w:p w14:paraId="127631A5" w14:textId="77777777" w:rsidR="00D507C6" w:rsidRPr="00560543" w:rsidRDefault="00D507C6" w:rsidP="002D7BBD">
            <w:pPr>
              <w:jc w:val="center"/>
              <w:rPr>
                <w:rFonts w:ascii="ITC Avant Garde" w:hAnsi="ITC Avant Garde"/>
                <w:b/>
                <w:sz w:val="20"/>
                <w:lang w:val="es-MX" w:eastAsia="es-MX"/>
              </w:rPr>
            </w:pPr>
            <w:r w:rsidRPr="00560543">
              <w:rPr>
                <w:rFonts w:ascii="ITC Avant Garde" w:hAnsi="ITC Avant Garde"/>
                <w:b/>
                <w:sz w:val="20"/>
                <w:lang w:val="es-MX" w:eastAsia="es-MX"/>
              </w:rPr>
              <w:t>Vigencia</w:t>
            </w:r>
          </w:p>
        </w:tc>
      </w:tr>
      <w:tr w:rsidR="00D507C6" w:rsidRPr="00D519C5" w14:paraId="5D5144A6" w14:textId="77777777" w:rsidTr="002D7BBD">
        <w:trPr>
          <w:jc w:val="center"/>
        </w:trPr>
        <w:tc>
          <w:tcPr>
            <w:tcW w:w="2008" w:type="dxa"/>
          </w:tcPr>
          <w:p w14:paraId="55B1CE7B" w14:textId="77777777" w:rsidR="00D507C6" w:rsidRPr="00560543" w:rsidRDefault="00D507C6" w:rsidP="002D7BBD">
            <w:pPr>
              <w:jc w:val="center"/>
              <w:rPr>
                <w:rFonts w:ascii="ITC Avant Garde" w:hAnsi="ITC Avant Garde"/>
                <w:sz w:val="20"/>
                <w:lang w:val="es-MX" w:eastAsia="es-MX"/>
              </w:rPr>
            </w:pPr>
            <w:r w:rsidRPr="00560543">
              <w:rPr>
                <w:rFonts w:ascii="ITC Avant Garde" w:hAnsi="ITC Avant Garde"/>
                <w:sz w:val="20"/>
                <w:lang w:val="es-MX" w:eastAsia="es-MX"/>
              </w:rPr>
              <w:t>157-174</w:t>
            </w:r>
          </w:p>
        </w:tc>
        <w:tc>
          <w:tcPr>
            <w:tcW w:w="3615" w:type="dxa"/>
          </w:tcPr>
          <w:p w14:paraId="214B3587" w14:textId="77777777" w:rsidR="00D507C6" w:rsidRPr="00560543" w:rsidRDefault="00D507C6" w:rsidP="002D7BBD">
            <w:pPr>
              <w:jc w:val="center"/>
              <w:rPr>
                <w:rFonts w:ascii="ITC Avant Garde" w:hAnsi="ITC Avant Garde"/>
                <w:sz w:val="20"/>
                <w:lang w:val="es-MX" w:eastAsia="es-MX"/>
              </w:rPr>
            </w:pPr>
            <w:r w:rsidRPr="00560543">
              <w:rPr>
                <w:rFonts w:ascii="ITC Avant Garde" w:hAnsi="ITC Avant Garde"/>
                <w:sz w:val="20"/>
                <w:lang w:val="es-MX" w:eastAsia="es-MX"/>
              </w:rPr>
              <w:t>Al 31 de diciembre de 2021</w:t>
            </w:r>
          </w:p>
        </w:tc>
      </w:tr>
      <w:tr w:rsidR="00D507C6" w:rsidRPr="00D519C5" w14:paraId="1E926A61" w14:textId="77777777" w:rsidTr="002D7BBD">
        <w:trPr>
          <w:jc w:val="center"/>
        </w:trPr>
        <w:tc>
          <w:tcPr>
            <w:tcW w:w="2008" w:type="dxa"/>
          </w:tcPr>
          <w:p w14:paraId="11C36E86" w14:textId="77777777" w:rsidR="00D507C6" w:rsidRPr="00560543" w:rsidRDefault="00D507C6" w:rsidP="002D7BBD">
            <w:pPr>
              <w:jc w:val="center"/>
              <w:rPr>
                <w:rFonts w:ascii="ITC Avant Garde" w:hAnsi="ITC Avant Garde"/>
                <w:sz w:val="20"/>
                <w:lang w:val="es-MX" w:eastAsia="es-MX"/>
              </w:rPr>
            </w:pPr>
            <w:r w:rsidRPr="00560543">
              <w:rPr>
                <w:rFonts w:ascii="ITC Avant Garde" w:hAnsi="ITC Avant Garde"/>
                <w:sz w:val="20"/>
                <w:lang w:val="es-MX" w:eastAsia="es-MX"/>
              </w:rPr>
              <w:t>220-222</w:t>
            </w:r>
          </w:p>
        </w:tc>
        <w:tc>
          <w:tcPr>
            <w:tcW w:w="3615" w:type="dxa"/>
          </w:tcPr>
          <w:p w14:paraId="1173B278" w14:textId="77777777" w:rsidR="00D507C6" w:rsidRPr="00560543" w:rsidRDefault="00D507C6" w:rsidP="002D7BBD">
            <w:pPr>
              <w:jc w:val="center"/>
              <w:rPr>
                <w:rFonts w:ascii="ITC Avant Garde" w:hAnsi="ITC Avant Garde"/>
                <w:sz w:val="20"/>
                <w:lang w:val="es-MX" w:eastAsia="es-MX"/>
              </w:rPr>
            </w:pPr>
            <w:r w:rsidRPr="00560543">
              <w:rPr>
                <w:rFonts w:ascii="ITC Avant Garde" w:hAnsi="ITC Avant Garde"/>
                <w:sz w:val="20"/>
                <w:lang w:val="es-MX" w:eastAsia="es-MX"/>
              </w:rPr>
              <w:t>15 años</w:t>
            </w:r>
          </w:p>
        </w:tc>
      </w:tr>
      <w:tr w:rsidR="00D507C6" w:rsidRPr="00D519C5" w14:paraId="005167CC" w14:textId="77777777" w:rsidTr="002D7BBD">
        <w:trPr>
          <w:jc w:val="center"/>
        </w:trPr>
        <w:tc>
          <w:tcPr>
            <w:tcW w:w="2008" w:type="dxa"/>
          </w:tcPr>
          <w:p w14:paraId="7207DB55" w14:textId="77777777" w:rsidR="00D507C6" w:rsidRPr="00560543" w:rsidRDefault="00D507C6" w:rsidP="002D7BBD">
            <w:pPr>
              <w:jc w:val="center"/>
              <w:rPr>
                <w:rFonts w:ascii="ITC Avant Garde" w:hAnsi="ITC Avant Garde"/>
                <w:sz w:val="20"/>
                <w:lang w:val="es-MX" w:eastAsia="es-MX"/>
              </w:rPr>
            </w:pPr>
            <w:r w:rsidRPr="00560543">
              <w:rPr>
                <w:rFonts w:ascii="ITC Avant Garde" w:hAnsi="ITC Avant Garde"/>
                <w:sz w:val="20"/>
                <w:lang w:val="es-MX" w:eastAsia="es-MX"/>
              </w:rPr>
              <w:t>350-380</w:t>
            </w:r>
          </w:p>
        </w:tc>
        <w:tc>
          <w:tcPr>
            <w:tcW w:w="3615" w:type="dxa"/>
          </w:tcPr>
          <w:p w14:paraId="327652C0" w14:textId="77777777" w:rsidR="00D507C6" w:rsidRPr="00560543" w:rsidRDefault="00D507C6" w:rsidP="002D7BBD">
            <w:pPr>
              <w:jc w:val="center"/>
              <w:rPr>
                <w:rFonts w:ascii="ITC Avant Garde" w:hAnsi="ITC Avant Garde"/>
                <w:sz w:val="20"/>
                <w:lang w:val="es-MX" w:eastAsia="es-MX"/>
              </w:rPr>
            </w:pPr>
            <w:r w:rsidRPr="00560543">
              <w:rPr>
                <w:rFonts w:ascii="ITC Avant Garde" w:hAnsi="ITC Avant Garde"/>
                <w:sz w:val="20"/>
                <w:lang w:val="es-MX" w:eastAsia="es-MX"/>
              </w:rPr>
              <w:t>15 años</w:t>
            </w:r>
          </w:p>
        </w:tc>
      </w:tr>
      <w:tr w:rsidR="00D507C6" w:rsidRPr="00D519C5" w14:paraId="3E8FCD12" w14:textId="77777777" w:rsidTr="002D7BBD">
        <w:trPr>
          <w:jc w:val="center"/>
        </w:trPr>
        <w:tc>
          <w:tcPr>
            <w:tcW w:w="2008" w:type="dxa"/>
          </w:tcPr>
          <w:p w14:paraId="4E079AA1" w14:textId="77777777" w:rsidR="00D507C6" w:rsidRPr="00560543" w:rsidRDefault="00D507C6" w:rsidP="002D7BBD">
            <w:pPr>
              <w:jc w:val="center"/>
              <w:rPr>
                <w:rFonts w:ascii="ITC Avant Garde" w:hAnsi="ITC Avant Garde"/>
                <w:sz w:val="20"/>
                <w:lang w:val="es-MX" w:eastAsia="es-MX"/>
              </w:rPr>
            </w:pPr>
            <w:r w:rsidRPr="00560543">
              <w:rPr>
                <w:rFonts w:ascii="ITC Avant Garde" w:hAnsi="ITC Avant Garde"/>
                <w:sz w:val="20"/>
                <w:lang w:val="es-MX" w:eastAsia="es-MX"/>
              </w:rPr>
              <w:t>452-458</w:t>
            </w:r>
          </w:p>
        </w:tc>
        <w:tc>
          <w:tcPr>
            <w:tcW w:w="3615" w:type="dxa"/>
          </w:tcPr>
          <w:p w14:paraId="14C40210" w14:textId="77777777" w:rsidR="00D507C6" w:rsidRPr="00560543" w:rsidRDefault="00D507C6" w:rsidP="002D7BBD">
            <w:pPr>
              <w:jc w:val="center"/>
              <w:rPr>
                <w:rFonts w:ascii="ITC Avant Garde" w:hAnsi="ITC Avant Garde"/>
                <w:sz w:val="20"/>
                <w:lang w:val="es-MX" w:eastAsia="es-MX"/>
              </w:rPr>
            </w:pPr>
            <w:r w:rsidRPr="00560543">
              <w:rPr>
                <w:rFonts w:ascii="ITC Avant Garde" w:hAnsi="ITC Avant Garde"/>
                <w:sz w:val="20"/>
                <w:lang w:val="es-MX" w:eastAsia="es-MX"/>
              </w:rPr>
              <w:t>Al 31 de diciembre de 2021</w:t>
            </w:r>
          </w:p>
        </w:tc>
      </w:tr>
      <w:tr w:rsidR="00D507C6" w:rsidRPr="00D519C5" w14:paraId="784E2B36" w14:textId="77777777" w:rsidTr="002D7BBD">
        <w:trPr>
          <w:jc w:val="center"/>
        </w:trPr>
        <w:tc>
          <w:tcPr>
            <w:tcW w:w="2008" w:type="dxa"/>
          </w:tcPr>
          <w:p w14:paraId="2DBAFA4A" w14:textId="77777777" w:rsidR="00D507C6" w:rsidRPr="00560543" w:rsidRDefault="00D507C6" w:rsidP="002D7BBD">
            <w:pPr>
              <w:jc w:val="center"/>
              <w:rPr>
                <w:rFonts w:ascii="ITC Avant Garde" w:hAnsi="ITC Avant Garde"/>
                <w:sz w:val="20"/>
                <w:lang w:val="es-MX" w:eastAsia="es-MX"/>
              </w:rPr>
            </w:pPr>
            <w:r w:rsidRPr="00560543">
              <w:rPr>
                <w:rFonts w:ascii="ITC Avant Garde" w:hAnsi="ITC Avant Garde"/>
                <w:sz w:val="20"/>
                <w:lang w:val="es-MX" w:eastAsia="es-MX"/>
              </w:rPr>
              <w:t>1427-1517</w:t>
            </w:r>
          </w:p>
        </w:tc>
        <w:tc>
          <w:tcPr>
            <w:tcW w:w="3615" w:type="dxa"/>
          </w:tcPr>
          <w:p w14:paraId="7920BF0C" w14:textId="77777777" w:rsidR="00D507C6" w:rsidRPr="00560543" w:rsidRDefault="00D507C6" w:rsidP="002D7BBD">
            <w:pPr>
              <w:jc w:val="center"/>
              <w:rPr>
                <w:rFonts w:ascii="ITC Avant Garde" w:hAnsi="ITC Avant Garde"/>
                <w:sz w:val="20"/>
                <w:lang w:val="es-MX" w:eastAsia="es-MX"/>
              </w:rPr>
            </w:pPr>
            <w:r w:rsidRPr="00560543">
              <w:rPr>
                <w:rFonts w:ascii="ITC Avant Garde" w:hAnsi="ITC Avant Garde"/>
                <w:sz w:val="20"/>
                <w:lang w:val="es-MX" w:eastAsia="es-MX"/>
              </w:rPr>
              <w:t>Al 31 de diciembre de 2019</w:t>
            </w:r>
          </w:p>
        </w:tc>
      </w:tr>
      <w:tr w:rsidR="00D507C6" w:rsidRPr="00D519C5" w14:paraId="678BC769" w14:textId="77777777" w:rsidTr="002D7BBD">
        <w:trPr>
          <w:jc w:val="center"/>
        </w:trPr>
        <w:tc>
          <w:tcPr>
            <w:tcW w:w="2008" w:type="dxa"/>
          </w:tcPr>
          <w:p w14:paraId="69DCC08F" w14:textId="77777777" w:rsidR="00D507C6" w:rsidRPr="00560543" w:rsidRDefault="00D507C6" w:rsidP="002D7BBD">
            <w:pPr>
              <w:jc w:val="center"/>
              <w:rPr>
                <w:rFonts w:ascii="ITC Avant Garde" w:hAnsi="ITC Avant Garde"/>
                <w:sz w:val="20"/>
                <w:lang w:val="es-MX" w:eastAsia="es-MX"/>
              </w:rPr>
            </w:pPr>
            <w:r w:rsidRPr="00560543">
              <w:rPr>
                <w:rFonts w:ascii="ITC Avant Garde" w:hAnsi="ITC Avant Garde"/>
                <w:bCs/>
                <w:sz w:val="20"/>
                <w:lang w:eastAsia="es-MX"/>
              </w:rPr>
              <w:t>21225-23575</w:t>
            </w:r>
          </w:p>
        </w:tc>
        <w:tc>
          <w:tcPr>
            <w:tcW w:w="3615" w:type="dxa"/>
          </w:tcPr>
          <w:p w14:paraId="54D41739" w14:textId="77777777" w:rsidR="00D507C6" w:rsidRPr="00560543" w:rsidRDefault="00D507C6" w:rsidP="002D7BBD">
            <w:pPr>
              <w:jc w:val="center"/>
              <w:rPr>
                <w:rFonts w:ascii="ITC Avant Garde" w:hAnsi="ITC Avant Garde"/>
                <w:sz w:val="20"/>
                <w:lang w:val="es-MX" w:eastAsia="es-MX"/>
              </w:rPr>
            </w:pPr>
            <w:r w:rsidRPr="00560543">
              <w:rPr>
                <w:rFonts w:ascii="ITC Avant Garde" w:hAnsi="ITC Avant Garde"/>
                <w:sz w:val="20"/>
                <w:lang w:val="es-MX" w:eastAsia="es-MX"/>
              </w:rPr>
              <w:t>15 años</w:t>
            </w:r>
          </w:p>
        </w:tc>
      </w:tr>
    </w:tbl>
    <w:p w14:paraId="3B38B3CE" w14:textId="77777777" w:rsidR="002D7BBD" w:rsidRDefault="00D507C6" w:rsidP="002D7BBD">
      <w:pPr>
        <w:spacing w:before="240" w:after="240"/>
        <w:jc w:val="both"/>
        <w:rPr>
          <w:rFonts w:ascii="ITC Avant Garde" w:hAnsi="ITC Avant Garde"/>
          <w:sz w:val="22"/>
          <w:szCs w:val="22"/>
          <w:lang w:val="es-MX" w:eastAsia="es-MX"/>
        </w:rPr>
      </w:pPr>
      <w:r w:rsidRPr="00D507C6">
        <w:rPr>
          <w:rFonts w:ascii="ITC Avant Garde" w:hAnsi="ITC Avant Garde"/>
          <w:sz w:val="22"/>
          <w:szCs w:val="22"/>
          <w:lang w:val="es-MX" w:eastAsia="es-MX"/>
        </w:rPr>
        <w:t>Las condiciones, especificaciones técnicas, coberturas y frecuencias específicas se encuentran establecidas en el citado título de concesión y su Anexo Técnico.</w:t>
      </w:r>
    </w:p>
    <w:p w14:paraId="615D1200" w14:textId="77777777" w:rsidR="002D7BBD" w:rsidRDefault="00D4777D" w:rsidP="002D7BBD">
      <w:pPr>
        <w:spacing w:before="240" w:after="240"/>
        <w:jc w:val="both"/>
        <w:rPr>
          <w:rFonts w:ascii="ITC Avant Garde" w:hAnsi="ITC Avant Garde"/>
          <w:bCs/>
          <w:color w:val="000000"/>
          <w:sz w:val="22"/>
          <w:szCs w:val="22"/>
          <w:lang w:val="es-MX" w:eastAsia="es-MX"/>
        </w:rPr>
      </w:pPr>
      <w:r w:rsidRPr="00D519C5">
        <w:rPr>
          <w:rFonts w:ascii="ITC Avant Garde" w:hAnsi="ITC Avant Garde"/>
          <w:b/>
          <w:bCs/>
          <w:color w:val="000000"/>
          <w:sz w:val="22"/>
          <w:szCs w:val="22"/>
          <w:lang w:val="es-MX" w:eastAsia="es-MX"/>
        </w:rPr>
        <w:t>SEGUNDO.</w:t>
      </w:r>
      <w:r w:rsidRPr="00D519C5">
        <w:rPr>
          <w:rFonts w:ascii="ITC Avant Garde" w:hAnsi="ITC Avant Garde"/>
          <w:bCs/>
          <w:color w:val="000000"/>
          <w:sz w:val="22"/>
          <w:szCs w:val="22"/>
          <w:lang w:val="es-MX" w:eastAsia="es-MX"/>
        </w:rPr>
        <w:t xml:space="preserve">- Se otorga </w:t>
      </w:r>
      <w:r w:rsidR="004B7854" w:rsidRPr="00D519C5">
        <w:rPr>
          <w:rFonts w:ascii="ITC Avant Garde" w:hAnsi="ITC Avant Garde"/>
          <w:bCs/>
          <w:color w:val="000000"/>
          <w:sz w:val="22"/>
          <w:szCs w:val="22"/>
          <w:lang w:val="es-MX" w:eastAsia="es-MX"/>
        </w:rPr>
        <w:t>a</w:t>
      </w:r>
      <w:r w:rsidRPr="00D519C5">
        <w:rPr>
          <w:rFonts w:ascii="ITC Avant Garde" w:hAnsi="ITC Avant Garde"/>
          <w:bCs/>
          <w:color w:val="000000"/>
          <w:sz w:val="22"/>
          <w:szCs w:val="22"/>
          <w:lang w:val="es-MX" w:eastAsia="es-MX"/>
        </w:rPr>
        <w:t xml:space="preserve"> favor de </w:t>
      </w:r>
      <w:r w:rsidR="00912975" w:rsidRPr="00D519C5">
        <w:rPr>
          <w:rFonts w:ascii="ITC Avant Garde" w:hAnsi="ITC Avant Garde"/>
          <w:bCs/>
          <w:color w:val="000000"/>
          <w:sz w:val="22"/>
          <w:szCs w:val="22"/>
          <w:lang w:val="es-MX" w:eastAsia="es-MX"/>
        </w:rPr>
        <w:t xml:space="preserve">la empresa </w:t>
      </w:r>
      <w:r w:rsidRPr="00D519C5">
        <w:rPr>
          <w:rFonts w:ascii="ITC Avant Garde" w:hAnsi="ITC Avant Garde"/>
          <w:bCs/>
          <w:color w:val="000000"/>
          <w:sz w:val="22"/>
          <w:szCs w:val="22"/>
          <w:lang w:val="es-MX" w:eastAsia="es-MX"/>
        </w:rPr>
        <w:t>Ferro</w:t>
      </w:r>
      <w:r w:rsidR="006D1A9A">
        <w:rPr>
          <w:rFonts w:ascii="ITC Avant Garde" w:hAnsi="ITC Avant Garde"/>
          <w:bCs/>
          <w:color w:val="000000"/>
          <w:sz w:val="22"/>
          <w:szCs w:val="22"/>
          <w:lang w:val="es-MX" w:eastAsia="es-MX"/>
        </w:rPr>
        <w:t>sur</w:t>
      </w:r>
      <w:r w:rsidRPr="00D519C5">
        <w:rPr>
          <w:rFonts w:ascii="ITC Avant Garde" w:hAnsi="ITC Avant Garde"/>
          <w:bCs/>
          <w:color w:val="000000"/>
          <w:sz w:val="22"/>
          <w:szCs w:val="22"/>
          <w:lang w:val="es-MX" w:eastAsia="es-MX"/>
        </w:rPr>
        <w:t>, S.A. de C.V.,</w:t>
      </w:r>
      <w:r w:rsidR="00912975" w:rsidRPr="00D519C5">
        <w:rPr>
          <w:rFonts w:ascii="ITC Avant Garde" w:hAnsi="ITC Avant Garde"/>
          <w:bCs/>
          <w:color w:val="000000"/>
          <w:sz w:val="22"/>
          <w:szCs w:val="22"/>
          <w:lang w:val="es-MX" w:eastAsia="es-MX"/>
        </w:rPr>
        <w:t xml:space="preserve"> concesionaria del servicio público de transporte ferroviario</w:t>
      </w:r>
      <w:r w:rsidR="00D91C76">
        <w:rPr>
          <w:rFonts w:ascii="ITC Avant Garde" w:hAnsi="ITC Avant Garde"/>
          <w:bCs/>
          <w:color w:val="000000"/>
          <w:sz w:val="22"/>
          <w:szCs w:val="22"/>
          <w:lang w:val="es-MX" w:eastAsia="es-MX"/>
        </w:rPr>
        <w:t>,</w:t>
      </w:r>
      <w:r w:rsidRPr="00D519C5">
        <w:rPr>
          <w:rFonts w:ascii="ITC Avant Garde" w:hAnsi="ITC Avant Garde"/>
          <w:bCs/>
          <w:color w:val="000000"/>
          <w:sz w:val="22"/>
          <w:szCs w:val="22"/>
          <w:lang w:val="es-MX" w:eastAsia="es-MX"/>
        </w:rPr>
        <w:t xml:space="preserve"> un título de concesión única para uso público, </w:t>
      </w:r>
      <w:r w:rsidR="004B7854" w:rsidRPr="00D519C5">
        <w:rPr>
          <w:rFonts w:ascii="ITC Avant Garde" w:hAnsi="ITC Avant Garde"/>
          <w:bCs/>
          <w:color w:val="000000"/>
          <w:sz w:val="22"/>
          <w:szCs w:val="22"/>
          <w:lang w:val="es-MX" w:eastAsia="es-MX"/>
        </w:rPr>
        <w:t>con una vigencia de</w:t>
      </w:r>
      <w:r w:rsidRPr="00D519C5">
        <w:rPr>
          <w:rFonts w:ascii="ITC Avant Garde" w:hAnsi="ITC Avant Garde"/>
          <w:bCs/>
          <w:color w:val="000000"/>
          <w:sz w:val="22"/>
          <w:szCs w:val="22"/>
          <w:lang w:val="es-MX" w:eastAsia="es-MX"/>
        </w:rPr>
        <w:t xml:space="preserve"> </w:t>
      </w:r>
      <w:r w:rsidR="00D507C6">
        <w:rPr>
          <w:rFonts w:ascii="ITC Avant Garde" w:hAnsi="ITC Avant Garde"/>
          <w:bCs/>
          <w:color w:val="000000"/>
          <w:sz w:val="22"/>
          <w:szCs w:val="22"/>
          <w:lang w:val="es-MX" w:eastAsia="es-MX"/>
        </w:rPr>
        <w:t>3</w:t>
      </w:r>
      <w:r w:rsidRPr="00D519C5">
        <w:rPr>
          <w:rFonts w:ascii="ITC Avant Garde" w:hAnsi="ITC Avant Garde"/>
          <w:bCs/>
          <w:color w:val="000000"/>
          <w:sz w:val="22"/>
          <w:szCs w:val="22"/>
          <w:lang w:val="es-MX" w:eastAsia="es-MX"/>
        </w:rPr>
        <w:t>0 (</w:t>
      </w:r>
      <w:r w:rsidR="00D507C6">
        <w:rPr>
          <w:rFonts w:ascii="ITC Avant Garde" w:hAnsi="ITC Avant Garde"/>
          <w:bCs/>
          <w:color w:val="000000"/>
          <w:sz w:val="22"/>
          <w:szCs w:val="22"/>
          <w:lang w:val="es-MX" w:eastAsia="es-MX"/>
        </w:rPr>
        <w:t>treinta</w:t>
      </w:r>
      <w:r w:rsidRPr="00D519C5">
        <w:rPr>
          <w:rFonts w:ascii="ITC Avant Garde" w:hAnsi="ITC Avant Garde"/>
          <w:bCs/>
          <w:color w:val="000000"/>
          <w:sz w:val="22"/>
          <w:szCs w:val="22"/>
          <w:lang w:val="es-MX" w:eastAsia="es-MX"/>
        </w:rPr>
        <w:t>) años</w:t>
      </w:r>
      <w:r w:rsidR="004B7854" w:rsidRPr="00D519C5">
        <w:rPr>
          <w:rFonts w:ascii="ITC Avant Garde" w:hAnsi="ITC Avant Garde"/>
          <w:bCs/>
          <w:color w:val="000000"/>
          <w:sz w:val="22"/>
          <w:szCs w:val="22"/>
          <w:lang w:val="es-MX" w:eastAsia="es-MX"/>
        </w:rPr>
        <w:t xml:space="preserve"> contados a partir de la fecha de su otorgamiento,</w:t>
      </w:r>
      <w:r w:rsidRPr="00D519C5">
        <w:rPr>
          <w:rFonts w:ascii="ITC Avant Garde" w:hAnsi="ITC Avant Garde"/>
          <w:bCs/>
          <w:color w:val="000000"/>
          <w:sz w:val="22"/>
          <w:szCs w:val="22"/>
          <w:lang w:val="es-MX" w:eastAsia="es-MX"/>
        </w:rPr>
        <w:t xml:space="preserve"> para pr</w:t>
      </w:r>
      <w:r w:rsidR="004B7854" w:rsidRPr="00D519C5">
        <w:rPr>
          <w:rFonts w:ascii="ITC Avant Garde" w:hAnsi="ITC Avant Garde"/>
          <w:bCs/>
          <w:color w:val="000000"/>
          <w:sz w:val="22"/>
          <w:szCs w:val="22"/>
          <w:lang w:val="es-MX" w:eastAsia="es-MX"/>
        </w:rPr>
        <w:t>oveer</w:t>
      </w:r>
      <w:r w:rsidRPr="00D519C5">
        <w:rPr>
          <w:rFonts w:ascii="ITC Avant Garde" w:hAnsi="ITC Avant Garde"/>
          <w:bCs/>
          <w:color w:val="000000"/>
          <w:sz w:val="22"/>
          <w:szCs w:val="22"/>
          <w:lang w:val="es-MX" w:eastAsia="es-MX"/>
        </w:rPr>
        <w:t xml:space="preserve"> todo tipo de servicios públicos de telecomunicaciones y radiodifusión.</w:t>
      </w:r>
    </w:p>
    <w:p w14:paraId="6DFABA4F" w14:textId="77777777" w:rsidR="002D7BBD" w:rsidRDefault="00D4777D" w:rsidP="002D7BBD">
      <w:pPr>
        <w:spacing w:before="240" w:after="240"/>
        <w:jc w:val="both"/>
        <w:rPr>
          <w:rFonts w:ascii="ITC Avant Garde" w:hAnsi="ITC Avant Garde"/>
          <w:sz w:val="22"/>
          <w:szCs w:val="22"/>
          <w:lang w:val="es-MX" w:eastAsia="es-MX"/>
        </w:rPr>
      </w:pPr>
      <w:r w:rsidRPr="00D519C5">
        <w:rPr>
          <w:rFonts w:ascii="ITC Avant Garde" w:hAnsi="ITC Avant Garde"/>
          <w:b/>
          <w:bCs/>
          <w:color w:val="000000"/>
          <w:sz w:val="22"/>
          <w:szCs w:val="22"/>
          <w:lang w:val="es-MX" w:eastAsia="es-MX"/>
        </w:rPr>
        <w:t>TERCERO</w:t>
      </w:r>
      <w:r w:rsidRPr="00D519C5">
        <w:rPr>
          <w:rFonts w:ascii="ITC Avant Garde" w:hAnsi="ITC Avant Garde"/>
          <w:sz w:val="22"/>
          <w:szCs w:val="22"/>
          <w:lang w:val="es-MX" w:eastAsia="es-MX"/>
        </w:rPr>
        <w:t xml:space="preserve">.- </w:t>
      </w:r>
      <w:r w:rsidR="007D6353" w:rsidRPr="00D519C5">
        <w:rPr>
          <w:rFonts w:ascii="ITC Avant Garde" w:hAnsi="ITC Avant Garde"/>
          <w:bCs/>
          <w:color w:val="000000"/>
          <w:sz w:val="22"/>
          <w:szCs w:val="22"/>
          <w:lang w:val="es-MX" w:eastAsia="es-MX"/>
        </w:rPr>
        <w:t>La empresa</w:t>
      </w:r>
      <w:r w:rsidR="007D6353" w:rsidRPr="00D519C5">
        <w:rPr>
          <w:rFonts w:ascii="ITC Avant Garde" w:hAnsi="ITC Avant Garde"/>
          <w:b/>
          <w:bCs/>
          <w:color w:val="000000"/>
          <w:sz w:val="22"/>
          <w:szCs w:val="22"/>
          <w:lang w:val="es-MX" w:eastAsia="es-MX"/>
        </w:rPr>
        <w:t xml:space="preserve"> </w:t>
      </w:r>
      <w:proofErr w:type="spellStart"/>
      <w:r w:rsidR="007D6353" w:rsidRPr="00D519C5">
        <w:rPr>
          <w:rFonts w:ascii="ITC Avant Garde" w:hAnsi="ITC Avant Garde"/>
          <w:sz w:val="22"/>
          <w:szCs w:val="22"/>
          <w:lang w:val="es-MX" w:eastAsia="es-MX"/>
        </w:rPr>
        <w:t>Ferro</w:t>
      </w:r>
      <w:r w:rsidR="007D6353">
        <w:rPr>
          <w:rFonts w:ascii="ITC Avant Garde" w:hAnsi="ITC Avant Garde"/>
          <w:sz w:val="22"/>
          <w:szCs w:val="22"/>
          <w:lang w:val="es-MX" w:eastAsia="es-MX"/>
        </w:rPr>
        <w:t>sur</w:t>
      </w:r>
      <w:proofErr w:type="spellEnd"/>
      <w:r w:rsidR="007D6353" w:rsidRPr="00D519C5">
        <w:rPr>
          <w:rFonts w:ascii="ITC Avant Garde" w:hAnsi="ITC Avant Garde"/>
          <w:sz w:val="22"/>
          <w:szCs w:val="22"/>
          <w:lang w:val="es-MX" w:eastAsia="es-MX"/>
        </w:rPr>
        <w:t>, S.A. de C.V., deberá presentar al Instituto Federal de Telecomunicaciones el comprobante de pago</w:t>
      </w:r>
      <w:r w:rsidR="007D6353">
        <w:rPr>
          <w:rFonts w:ascii="ITC Avant Garde" w:hAnsi="ITC Avant Garde"/>
          <w:sz w:val="22"/>
          <w:szCs w:val="22"/>
          <w:lang w:val="es-MX" w:eastAsia="es-MX"/>
        </w:rPr>
        <w:t>,</w:t>
      </w:r>
      <w:r w:rsidR="007D6353" w:rsidRPr="00D519C5">
        <w:rPr>
          <w:rFonts w:ascii="ITC Avant Garde" w:hAnsi="ITC Avant Garde"/>
          <w:sz w:val="22"/>
          <w:szCs w:val="22"/>
          <w:lang w:val="es-MX" w:eastAsia="es-MX"/>
        </w:rPr>
        <w:t xml:space="preserve"> </w:t>
      </w:r>
      <w:r w:rsidR="007D6353">
        <w:rPr>
          <w:rFonts w:ascii="ITC Avant Garde" w:hAnsi="ITC Avant Garde"/>
          <w:sz w:val="22"/>
          <w:szCs w:val="22"/>
          <w:lang w:val="es-MX" w:eastAsia="es-MX"/>
        </w:rPr>
        <w:t>en una sola exhibición,</w:t>
      </w:r>
      <w:r w:rsidR="007D6353" w:rsidRPr="00D519C5">
        <w:rPr>
          <w:rFonts w:ascii="ITC Avant Garde" w:hAnsi="ITC Avant Garde"/>
          <w:sz w:val="22"/>
          <w:szCs w:val="22"/>
          <w:lang w:val="es-MX" w:eastAsia="es-MX"/>
        </w:rPr>
        <w:t xml:space="preserve"> de</w:t>
      </w:r>
      <w:r w:rsidR="007D6353">
        <w:rPr>
          <w:rFonts w:ascii="ITC Avant Garde" w:hAnsi="ITC Avant Garde"/>
          <w:sz w:val="22"/>
          <w:szCs w:val="22"/>
          <w:lang w:val="es-MX" w:eastAsia="es-MX"/>
        </w:rPr>
        <w:t xml:space="preserve"> </w:t>
      </w:r>
      <w:r w:rsidR="007D6353" w:rsidRPr="00D519C5">
        <w:rPr>
          <w:rFonts w:ascii="ITC Avant Garde" w:hAnsi="ITC Avant Garde"/>
          <w:sz w:val="22"/>
          <w:szCs w:val="22"/>
          <w:lang w:val="es-MX" w:eastAsia="es-MX"/>
        </w:rPr>
        <w:t>l</w:t>
      </w:r>
      <w:r w:rsidR="007D6353">
        <w:rPr>
          <w:rFonts w:ascii="ITC Avant Garde" w:hAnsi="ITC Avant Garde"/>
          <w:sz w:val="22"/>
          <w:szCs w:val="22"/>
          <w:lang w:val="es-MX" w:eastAsia="es-MX"/>
        </w:rPr>
        <w:t>os</w:t>
      </w:r>
      <w:r w:rsidR="007D6353" w:rsidRPr="00D519C5">
        <w:rPr>
          <w:rFonts w:ascii="ITC Avant Garde" w:hAnsi="ITC Avant Garde"/>
          <w:sz w:val="22"/>
          <w:szCs w:val="22"/>
          <w:lang w:val="es-MX" w:eastAsia="es-MX"/>
        </w:rPr>
        <w:t xml:space="preserve"> aprovechamiento</w:t>
      </w:r>
      <w:r w:rsidR="007D6353">
        <w:rPr>
          <w:rFonts w:ascii="ITC Avant Garde" w:hAnsi="ITC Avant Garde"/>
          <w:sz w:val="22"/>
          <w:szCs w:val="22"/>
          <w:lang w:val="es-MX" w:eastAsia="es-MX"/>
        </w:rPr>
        <w:t>s</w:t>
      </w:r>
      <w:r w:rsidR="007D6353" w:rsidRPr="00D519C5">
        <w:rPr>
          <w:rFonts w:ascii="ITC Avant Garde" w:hAnsi="ITC Avant Garde"/>
          <w:sz w:val="22"/>
          <w:szCs w:val="22"/>
          <w:lang w:val="es-MX" w:eastAsia="es-MX"/>
        </w:rPr>
        <w:t xml:space="preserve"> por concepto de contraprestación autorizado</w:t>
      </w:r>
      <w:r w:rsidR="007D6353">
        <w:rPr>
          <w:rFonts w:ascii="ITC Avant Garde" w:hAnsi="ITC Avant Garde"/>
          <w:sz w:val="22"/>
          <w:szCs w:val="22"/>
          <w:lang w:val="es-MX" w:eastAsia="es-MX"/>
        </w:rPr>
        <w:t>s</w:t>
      </w:r>
      <w:r w:rsidR="007D6353" w:rsidRPr="00D519C5">
        <w:rPr>
          <w:rFonts w:ascii="ITC Avant Garde" w:hAnsi="ITC Avant Garde"/>
          <w:sz w:val="22"/>
          <w:szCs w:val="22"/>
          <w:lang w:val="es-MX" w:eastAsia="es-MX"/>
        </w:rPr>
        <w:t xml:space="preserve"> por la Secretaría de Hacienda y Crédito Público por un monto de </w:t>
      </w:r>
      <w:r w:rsidR="00931FDC">
        <w:rPr>
          <w:rFonts w:ascii="ITC Avant Garde" w:hAnsi="ITC Avant Garde"/>
          <w:sz w:val="22"/>
          <w:szCs w:val="22"/>
          <w:lang w:val="es-MX" w:eastAsia="es-MX"/>
        </w:rPr>
        <w:t xml:space="preserve">$ </w:t>
      </w:r>
      <w:r w:rsidR="007D6353">
        <w:rPr>
          <w:rFonts w:ascii="ITC Avant Garde" w:hAnsi="ITC Avant Garde"/>
          <w:sz w:val="22"/>
          <w:szCs w:val="22"/>
          <w:lang w:val="es-MX" w:eastAsia="es-MX"/>
        </w:rPr>
        <w:t xml:space="preserve">7,102.886.00 (siete millones ciento dos mil ochocientos ochenta y seis pesos 00/100 M.N.) </w:t>
      </w:r>
      <w:r w:rsidR="007D6353" w:rsidRPr="00D519C5">
        <w:rPr>
          <w:rFonts w:ascii="ITC Avant Garde" w:hAnsi="ITC Avant Garde"/>
          <w:sz w:val="22"/>
          <w:szCs w:val="22"/>
          <w:lang w:val="es-MX" w:eastAsia="es-MX"/>
        </w:rPr>
        <w:t xml:space="preserve">dentro del plazo de 30 (treinta) días hábiles </w:t>
      </w:r>
      <w:r w:rsidR="00B724AE">
        <w:rPr>
          <w:rFonts w:ascii="ITC Avant Garde" w:hAnsi="ITC Avant Garde"/>
          <w:sz w:val="22"/>
          <w:szCs w:val="22"/>
          <w:lang w:val="es-MX" w:eastAsia="es-MX"/>
        </w:rPr>
        <w:t>contados</w:t>
      </w:r>
      <w:r w:rsidR="00D73E15">
        <w:rPr>
          <w:rFonts w:ascii="ITC Avant Garde" w:hAnsi="ITC Avant Garde"/>
          <w:sz w:val="22"/>
          <w:szCs w:val="22"/>
          <w:lang w:val="es-MX" w:eastAsia="es-MX"/>
        </w:rPr>
        <w:t xml:space="preserve"> a partir del día </w:t>
      </w:r>
      <w:r w:rsidR="007D6353" w:rsidRPr="00D519C5">
        <w:rPr>
          <w:rFonts w:ascii="ITC Avant Garde" w:hAnsi="ITC Avant Garde"/>
          <w:sz w:val="22"/>
          <w:szCs w:val="22"/>
          <w:lang w:val="es-MX" w:eastAsia="es-MX"/>
        </w:rPr>
        <w:t xml:space="preserve">siguiente a </w:t>
      </w:r>
      <w:r w:rsidR="00D73E15">
        <w:rPr>
          <w:rFonts w:ascii="ITC Avant Garde" w:hAnsi="ITC Avant Garde"/>
          <w:sz w:val="22"/>
          <w:szCs w:val="22"/>
          <w:lang w:val="es-MX" w:eastAsia="es-MX"/>
        </w:rPr>
        <w:t xml:space="preserve">aquel en que surta efectos la </w:t>
      </w:r>
      <w:r w:rsidR="007D6353" w:rsidRPr="00D519C5">
        <w:rPr>
          <w:rFonts w:ascii="ITC Avant Garde" w:hAnsi="ITC Avant Garde"/>
          <w:sz w:val="22"/>
          <w:szCs w:val="22"/>
          <w:lang w:val="es-MX" w:eastAsia="es-MX"/>
        </w:rPr>
        <w:t>notifi</w:t>
      </w:r>
      <w:r w:rsidR="00D73E15">
        <w:rPr>
          <w:rFonts w:ascii="ITC Avant Garde" w:hAnsi="ITC Avant Garde"/>
          <w:sz w:val="22"/>
          <w:szCs w:val="22"/>
          <w:lang w:val="es-MX" w:eastAsia="es-MX"/>
        </w:rPr>
        <w:t>cación de</w:t>
      </w:r>
      <w:r w:rsidR="007D6353" w:rsidRPr="00D519C5">
        <w:rPr>
          <w:rFonts w:ascii="ITC Avant Garde" w:hAnsi="ITC Avant Garde"/>
          <w:sz w:val="22"/>
          <w:szCs w:val="22"/>
          <w:lang w:val="es-MX" w:eastAsia="es-MX"/>
        </w:rPr>
        <w:t xml:space="preserve"> la presente Resolución. </w:t>
      </w:r>
    </w:p>
    <w:p w14:paraId="5BF3D103" w14:textId="77777777" w:rsidR="002D7BBD" w:rsidRDefault="00931FDC" w:rsidP="002D7BBD">
      <w:pPr>
        <w:spacing w:before="240" w:after="240"/>
        <w:jc w:val="both"/>
        <w:rPr>
          <w:rFonts w:ascii="ITC Avant Garde" w:hAnsi="ITC Avant Garde"/>
          <w:sz w:val="22"/>
          <w:szCs w:val="22"/>
          <w:lang w:val="es-MX" w:eastAsia="es-MX"/>
        </w:rPr>
      </w:pPr>
      <w:r>
        <w:rPr>
          <w:rFonts w:ascii="ITC Avant Garde" w:hAnsi="ITC Avant Garde"/>
          <w:sz w:val="22"/>
          <w:szCs w:val="22"/>
          <w:lang w:val="es-MX" w:eastAsia="es-MX"/>
        </w:rPr>
        <w:lastRenderedPageBreak/>
        <w:t>El</w:t>
      </w:r>
      <w:r w:rsidR="007D6353" w:rsidRPr="00E1599A">
        <w:rPr>
          <w:rFonts w:ascii="ITC Avant Garde" w:hAnsi="ITC Avant Garde"/>
          <w:sz w:val="22"/>
          <w:szCs w:val="22"/>
          <w:lang w:val="es-MX" w:eastAsia="es-MX"/>
        </w:rPr>
        <w:t xml:space="preserve"> monto señalado en el presente Resolutivo deberá ser actualizado al momento del pago, tomando en cuenta el último Índice Nacional de Precios al Consumidor publicado por el Banco de México.</w:t>
      </w:r>
    </w:p>
    <w:p w14:paraId="0C53C244" w14:textId="77777777" w:rsidR="002D7BBD" w:rsidRDefault="0012064B" w:rsidP="002D7BBD">
      <w:pPr>
        <w:spacing w:before="240" w:after="240"/>
        <w:jc w:val="both"/>
        <w:rPr>
          <w:rFonts w:ascii="ITC Avant Garde" w:hAnsi="ITC Avant Garde"/>
          <w:sz w:val="22"/>
          <w:szCs w:val="22"/>
          <w:lang w:val="es-MX" w:eastAsia="es-MX"/>
        </w:rPr>
      </w:pPr>
      <w:r w:rsidRPr="00D519C5">
        <w:rPr>
          <w:rFonts w:ascii="ITC Avant Garde" w:hAnsi="ITC Avant Garde"/>
          <w:b/>
          <w:bCs/>
          <w:color w:val="000000"/>
          <w:sz w:val="22"/>
          <w:szCs w:val="22"/>
          <w:lang w:val="es-MX" w:eastAsia="es-MX"/>
        </w:rPr>
        <w:t xml:space="preserve">CUARTO.- </w:t>
      </w:r>
      <w:r w:rsidR="007D6353" w:rsidRPr="00D519C5">
        <w:rPr>
          <w:rFonts w:ascii="ITC Avant Garde" w:hAnsi="ITC Avant Garde"/>
          <w:bCs/>
          <w:color w:val="000000"/>
          <w:sz w:val="22"/>
          <w:szCs w:val="22"/>
          <w:lang w:eastAsia="es-MX"/>
        </w:rPr>
        <w:t xml:space="preserve">En caso de que la empresa </w:t>
      </w:r>
      <w:proofErr w:type="spellStart"/>
      <w:r w:rsidR="007D6353" w:rsidRPr="00D519C5">
        <w:rPr>
          <w:rFonts w:ascii="ITC Avant Garde" w:hAnsi="ITC Avant Garde"/>
          <w:sz w:val="22"/>
          <w:szCs w:val="22"/>
          <w:lang w:val="es-MX" w:eastAsia="es-MX"/>
        </w:rPr>
        <w:t>Ferro</w:t>
      </w:r>
      <w:r w:rsidR="007D6353">
        <w:rPr>
          <w:rFonts w:ascii="ITC Avant Garde" w:hAnsi="ITC Avant Garde"/>
          <w:sz w:val="22"/>
          <w:szCs w:val="22"/>
          <w:lang w:val="es-MX" w:eastAsia="es-MX"/>
        </w:rPr>
        <w:t>sur</w:t>
      </w:r>
      <w:proofErr w:type="spellEnd"/>
      <w:r w:rsidR="007D6353" w:rsidRPr="00D519C5">
        <w:rPr>
          <w:rFonts w:ascii="ITC Avant Garde" w:hAnsi="ITC Avant Garde"/>
          <w:sz w:val="22"/>
          <w:szCs w:val="22"/>
          <w:lang w:val="es-MX" w:eastAsia="es-MX"/>
        </w:rPr>
        <w:t xml:space="preserve">, S.A. de C.V., </w:t>
      </w:r>
      <w:r w:rsidR="00931FDC">
        <w:rPr>
          <w:rFonts w:ascii="ITC Avant Garde" w:hAnsi="ITC Avant Garde"/>
          <w:sz w:val="22"/>
          <w:szCs w:val="22"/>
          <w:lang w:val="es-MX" w:eastAsia="es-MX"/>
        </w:rPr>
        <w:t xml:space="preserve">no presente ante el Instituto </w:t>
      </w:r>
      <w:r w:rsidR="007D6353">
        <w:rPr>
          <w:rFonts w:ascii="ITC Avant Garde" w:hAnsi="ITC Avant Garde"/>
          <w:bCs/>
          <w:color w:val="000000"/>
          <w:sz w:val="22"/>
          <w:szCs w:val="22"/>
          <w:lang w:eastAsia="es-MX"/>
        </w:rPr>
        <w:t>el</w:t>
      </w:r>
      <w:r w:rsidR="007D6353" w:rsidRPr="00D519C5">
        <w:rPr>
          <w:rFonts w:ascii="ITC Avant Garde" w:hAnsi="ITC Avant Garde"/>
          <w:bCs/>
          <w:color w:val="000000"/>
          <w:sz w:val="22"/>
          <w:szCs w:val="22"/>
          <w:lang w:eastAsia="es-MX"/>
        </w:rPr>
        <w:t xml:space="preserve"> comprobante de pago de los aprovechamientos por concep</w:t>
      </w:r>
      <w:r w:rsidR="007D6353">
        <w:rPr>
          <w:rFonts w:ascii="ITC Avant Garde" w:hAnsi="ITC Avant Garde"/>
          <w:bCs/>
          <w:color w:val="000000"/>
          <w:sz w:val="22"/>
          <w:szCs w:val="22"/>
          <w:lang w:eastAsia="es-MX"/>
        </w:rPr>
        <w:t>to de contraprestación señalado</w:t>
      </w:r>
      <w:r w:rsidR="007D6353" w:rsidRPr="00D519C5">
        <w:rPr>
          <w:rFonts w:ascii="ITC Avant Garde" w:hAnsi="ITC Avant Garde"/>
          <w:bCs/>
          <w:color w:val="000000"/>
          <w:sz w:val="22"/>
          <w:szCs w:val="22"/>
          <w:lang w:eastAsia="es-MX"/>
        </w:rPr>
        <w:t xml:space="preserve"> en el Resolutivo anterior</w:t>
      </w:r>
      <w:r w:rsidR="00D153EB">
        <w:rPr>
          <w:rFonts w:ascii="ITC Avant Garde" w:hAnsi="ITC Avant Garde"/>
          <w:bCs/>
          <w:color w:val="000000"/>
          <w:sz w:val="22"/>
          <w:szCs w:val="22"/>
          <w:lang w:eastAsia="es-MX"/>
        </w:rPr>
        <w:t>,</w:t>
      </w:r>
      <w:r w:rsidR="007D6353" w:rsidRPr="00D519C5">
        <w:rPr>
          <w:rFonts w:ascii="ITC Avant Garde" w:hAnsi="ITC Avant Garde"/>
          <w:bCs/>
          <w:color w:val="000000"/>
          <w:sz w:val="22"/>
          <w:szCs w:val="22"/>
          <w:lang w:eastAsia="es-MX"/>
        </w:rPr>
        <w:t xml:space="preserve"> dentro del plazo establecido para tales efectos, la presente Resolución quedará sin efectos y, en consecuencia, se tendrá por negada la solicitud de concesión de espectro radioeléctrico para uso público. </w:t>
      </w:r>
    </w:p>
    <w:p w14:paraId="18205492" w14:textId="77777777" w:rsidR="002D7BBD" w:rsidRDefault="0012064B" w:rsidP="002D7BBD">
      <w:pPr>
        <w:spacing w:before="240" w:after="240"/>
        <w:jc w:val="both"/>
        <w:rPr>
          <w:rFonts w:ascii="ITC Avant Garde" w:hAnsi="ITC Avant Garde"/>
          <w:sz w:val="22"/>
          <w:szCs w:val="22"/>
          <w:lang w:val="es-MX" w:eastAsia="es-MX"/>
        </w:rPr>
      </w:pPr>
      <w:r w:rsidRPr="00D519C5">
        <w:rPr>
          <w:rFonts w:ascii="ITC Avant Garde" w:hAnsi="ITC Avant Garde"/>
          <w:b/>
          <w:sz w:val="22"/>
          <w:szCs w:val="22"/>
          <w:lang w:val="es-MX" w:eastAsia="es-MX"/>
        </w:rPr>
        <w:t>QUINTO.-</w:t>
      </w:r>
      <w:r w:rsidRPr="00D519C5">
        <w:rPr>
          <w:rFonts w:ascii="ITC Avant Garde" w:hAnsi="ITC Avant Garde"/>
          <w:sz w:val="22"/>
          <w:szCs w:val="22"/>
          <w:lang w:val="es-MX" w:eastAsia="es-MX"/>
        </w:rPr>
        <w:t xml:space="preserve"> </w:t>
      </w:r>
      <w:r w:rsidR="00611A7A">
        <w:rPr>
          <w:rFonts w:ascii="ITC Avant Garde" w:hAnsi="ITC Avant Garde"/>
          <w:sz w:val="22"/>
          <w:szCs w:val="22"/>
          <w:lang w:val="es-MX" w:eastAsia="es-MX"/>
        </w:rPr>
        <w:t>Las bandas de frecuencias a que se refiere el Resolutivo Primero de la presente Resolución se otorgan a Ferrosur, S.A. de C.V., con la finalidad de dotar a dicha empresa de un insumo para la operación y/o seguridad del servicio público de transporte ferroviario que tiene concesionado.</w:t>
      </w:r>
    </w:p>
    <w:p w14:paraId="147E6C96" w14:textId="77777777" w:rsidR="002D7BBD" w:rsidRDefault="00611A7A" w:rsidP="002D7BBD">
      <w:pPr>
        <w:spacing w:before="240" w:after="240"/>
        <w:jc w:val="both"/>
        <w:rPr>
          <w:rFonts w:ascii="ITC Avant Garde" w:hAnsi="ITC Avant Garde"/>
          <w:sz w:val="22"/>
          <w:szCs w:val="22"/>
          <w:lang w:val="es-MX" w:eastAsia="es-MX"/>
        </w:rPr>
      </w:pPr>
      <w:r>
        <w:rPr>
          <w:rFonts w:ascii="ITC Avant Garde" w:hAnsi="ITC Avant Garde"/>
          <w:sz w:val="22"/>
          <w:szCs w:val="22"/>
          <w:lang w:val="es-MX" w:eastAsia="es-MX"/>
        </w:rPr>
        <w:t>Derivado de lo anterior, s</w:t>
      </w:r>
      <w:r w:rsidR="00D507C6" w:rsidRPr="00D507C6">
        <w:rPr>
          <w:rFonts w:ascii="ITC Avant Garde" w:hAnsi="ITC Avant Garde"/>
          <w:sz w:val="22"/>
          <w:szCs w:val="22"/>
          <w:lang w:val="es-MX" w:eastAsia="es-MX"/>
        </w:rPr>
        <w:t>i durante la vigencia de los títulos de concesión que se señalan en los Resolutivos Primero y Segundo de la prese</w:t>
      </w:r>
      <w:r w:rsidR="002049F5">
        <w:rPr>
          <w:rFonts w:ascii="ITC Avant Garde" w:hAnsi="ITC Avant Garde"/>
          <w:sz w:val="22"/>
          <w:szCs w:val="22"/>
          <w:lang w:val="es-MX" w:eastAsia="es-MX"/>
        </w:rPr>
        <w:t>nte Resolución, la empresa Ferrosur</w:t>
      </w:r>
      <w:r w:rsidR="00D507C6" w:rsidRPr="00D507C6">
        <w:rPr>
          <w:rFonts w:ascii="ITC Avant Garde" w:hAnsi="ITC Avant Garde"/>
          <w:sz w:val="22"/>
          <w:szCs w:val="22"/>
          <w:lang w:val="es-MX" w:eastAsia="es-MX"/>
        </w:rPr>
        <w:t>, S.A. de C.V., perdiere su carácter de concesionario del servicio público ferroviario, dichos títulos de concesión quedarán sin efectos, y las bandas de frecuencias concesionadas revertirán a la Nación.</w:t>
      </w:r>
    </w:p>
    <w:p w14:paraId="2F7E0E16" w14:textId="77777777" w:rsidR="002D7BBD" w:rsidRDefault="006E1982" w:rsidP="002D7BBD">
      <w:pPr>
        <w:spacing w:before="240" w:after="240"/>
        <w:jc w:val="both"/>
        <w:rPr>
          <w:rFonts w:ascii="ITC Avant Garde" w:hAnsi="ITC Avant Garde"/>
          <w:bCs/>
          <w:color w:val="000000"/>
          <w:sz w:val="22"/>
          <w:szCs w:val="22"/>
          <w:lang w:val="es-MX" w:eastAsia="es-MX"/>
        </w:rPr>
      </w:pPr>
      <w:r w:rsidRPr="00D519C5">
        <w:rPr>
          <w:rFonts w:ascii="ITC Avant Garde" w:hAnsi="ITC Avant Garde"/>
          <w:b/>
          <w:bCs/>
          <w:color w:val="000000"/>
          <w:sz w:val="22"/>
          <w:szCs w:val="22"/>
          <w:lang w:val="es-MX" w:eastAsia="es-MX"/>
        </w:rPr>
        <w:t xml:space="preserve">SEXTO.- </w:t>
      </w:r>
      <w:r w:rsidR="00D507C6" w:rsidRPr="00D519C5">
        <w:rPr>
          <w:rFonts w:ascii="ITC Avant Garde" w:hAnsi="ITC Avant Garde"/>
          <w:sz w:val="22"/>
          <w:szCs w:val="22"/>
          <w:lang w:val="es-MX" w:eastAsia="es-MX"/>
        </w:rPr>
        <w:t>Se instruye a la Unidad de Concesiones y Servicios a notificar a la empresa Ferro</w:t>
      </w:r>
      <w:r w:rsidR="00D507C6">
        <w:rPr>
          <w:rFonts w:ascii="ITC Avant Garde" w:hAnsi="ITC Avant Garde"/>
          <w:sz w:val="22"/>
          <w:szCs w:val="22"/>
          <w:lang w:val="es-MX" w:eastAsia="es-MX"/>
        </w:rPr>
        <w:t>sur</w:t>
      </w:r>
      <w:r w:rsidR="00D507C6" w:rsidRPr="00D519C5">
        <w:rPr>
          <w:rFonts w:ascii="ITC Avant Garde" w:hAnsi="ITC Avant Garde"/>
          <w:sz w:val="22"/>
          <w:szCs w:val="22"/>
          <w:lang w:val="es-MX" w:eastAsia="es-MX"/>
        </w:rPr>
        <w:t xml:space="preserve">, S.A. de C.V., </w:t>
      </w:r>
      <w:r w:rsidR="00D507C6" w:rsidRPr="00D519C5">
        <w:rPr>
          <w:rFonts w:ascii="ITC Avant Garde" w:hAnsi="ITC Avant Garde"/>
          <w:bCs/>
          <w:color w:val="000000"/>
          <w:sz w:val="22"/>
          <w:szCs w:val="22"/>
          <w:lang w:val="es-MX" w:eastAsia="es-MX"/>
        </w:rPr>
        <w:t>el contenido de la presente Resolución</w:t>
      </w:r>
      <w:r w:rsidR="00D507C6">
        <w:rPr>
          <w:rFonts w:ascii="ITC Avant Garde" w:hAnsi="ITC Avant Garde"/>
          <w:bCs/>
          <w:color w:val="000000"/>
          <w:sz w:val="22"/>
          <w:szCs w:val="22"/>
          <w:lang w:val="es-MX" w:eastAsia="es-MX"/>
        </w:rPr>
        <w:t>.</w:t>
      </w:r>
    </w:p>
    <w:p w14:paraId="444575B4" w14:textId="51186240" w:rsidR="00D507C6" w:rsidRPr="00D519C5" w:rsidRDefault="006E1982" w:rsidP="002D7BBD">
      <w:pPr>
        <w:spacing w:before="240" w:after="240"/>
        <w:jc w:val="both"/>
        <w:rPr>
          <w:rFonts w:ascii="ITC Avant Garde" w:hAnsi="ITC Avant Garde"/>
          <w:bCs/>
          <w:color w:val="000000"/>
          <w:sz w:val="22"/>
          <w:szCs w:val="22"/>
          <w:lang w:val="es-MX" w:eastAsia="es-MX"/>
        </w:rPr>
      </w:pPr>
      <w:r w:rsidRPr="00D519C5">
        <w:rPr>
          <w:rFonts w:ascii="ITC Avant Garde" w:hAnsi="ITC Avant Garde"/>
          <w:b/>
          <w:bCs/>
          <w:color w:val="000000"/>
          <w:sz w:val="22"/>
          <w:szCs w:val="22"/>
          <w:lang w:val="es-MX" w:eastAsia="es-MX"/>
        </w:rPr>
        <w:t xml:space="preserve">SÉPTIMO.- </w:t>
      </w:r>
      <w:r w:rsidR="00D507C6" w:rsidRPr="00D519C5">
        <w:rPr>
          <w:rFonts w:ascii="ITC Avant Garde" w:hAnsi="ITC Avant Garde"/>
          <w:bCs/>
          <w:sz w:val="22"/>
          <w:szCs w:val="22"/>
          <w:lang w:val="es-ES_tradnl"/>
        </w:rPr>
        <w:t xml:space="preserve">Una vez satisfecho lo establecido en los Resolutivos Tercero y Cuarto, el </w:t>
      </w:r>
      <w:r w:rsidR="00D507C6" w:rsidRPr="00D519C5">
        <w:rPr>
          <w:rFonts w:ascii="ITC Avant Garde" w:hAnsi="ITC Avant Garde"/>
          <w:bCs/>
          <w:color w:val="000000"/>
          <w:sz w:val="22"/>
          <w:szCs w:val="22"/>
          <w:lang w:val="es-MX" w:eastAsia="es-MX"/>
        </w:rPr>
        <w:t>Comisionado Presidente del Instituto Federal de Telecomunicaciones, con base en las facultades que le confiere el artículo 14 fracción X del Estatuto Orgánico del Instituto Federal de Telecomunicaciones, suscribirá los Títulos de Concesión respectivos.</w:t>
      </w:r>
    </w:p>
    <w:p w14:paraId="2224C890" w14:textId="77777777" w:rsidR="002D7BBD" w:rsidRDefault="006E1982" w:rsidP="002D7BBD">
      <w:pPr>
        <w:spacing w:before="240" w:after="240"/>
        <w:jc w:val="both"/>
        <w:rPr>
          <w:rFonts w:ascii="ITC Avant Garde" w:hAnsi="ITC Avant Garde"/>
          <w:sz w:val="22"/>
          <w:szCs w:val="22"/>
          <w:lang w:val="es-MX" w:eastAsia="es-MX"/>
        </w:rPr>
      </w:pPr>
      <w:r w:rsidRPr="00D519C5">
        <w:rPr>
          <w:rFonts w:ascii="ITC Avant Garde" w:hAnsi="ITC Avant Garde" w:cs="Arial"/>
          <w:b/>
          <w:sz w:val="22"/>
          <w:szCs w:val="22"/>
        </w:rPr>
        <w:t xml:space="preserve">OCTAVO.- </w:t>
      </w:r>
      <w:r w:rsidR="00D507C6" w:rsidRPr="00D519C5">
        <w:rPr>
          <w:rFonts w:ascii="ITC Avant Garde" w:hAnsi="ITC Avant Garde"/>
          <w:sz w:val="22"/>
          <w:szCs w:val="22"/>
          <w:lang w:val="es-MX" w:eastAsia="es-MX"/>
        </w:rPr>
        <w:t xml:space="preserve">Como consecuencia de lo señalado en el Resolutivo que antecede, se instruye a la Unidad de Concesiones y Servicios a hacer entrega a la empresa </w:t>
      </w:r>
      <w:proofErr w:type="spellStart"/>
      <w:r w:rsidR="00D507C6" w:rsidRPr="00D519C5">
        <w:rPr>
          <w:rFonts w:ascii="ITC Avant Garde" w:hAnsi="ITC Avant Garde"/>
          <w:sz w:val="22"/>
          <w:szCs w:val="22"/>
          <w:lang w:val="es-MX" w:eastAsia="es-MX"/>
        </w:rPr>
        <w:t>Ferro</w:t>
      </w:r>
      <w:r w:rsidR="00D507C6">
        <w:rPr>
          <w:rFonts w:ascii="ITC Avant Garde" w:hAnsi="ITC Avant Garde"/>
          <w:sz w:val="22"/>
          <w:szCs w:val="22"/>
          <w:lang w:val="es-MX" w:eastAsia="es-MX"/>
        </w:rPr>
        <w:t>sur</w:t>
      </w:r>
      <w:proofErr w:type="spellEnd"/>
      <w:r w:rsidR="00D507C6" w:rsidRPr="00D519C5">
        <w:rPr>
          <w:rFonts w:ascii="ITC Avant Garde" w:hAnsi="ITC Avant Garde"/>
          <w:sz w:val="22"/>
          <w:szCs w:val="22"/>
          <w:lang w:val="es-MX" w:eastAsia="es-MX"/>
        </w:rPr>
        <w:t>, S.A. de C.V.,</w:t>
      </w:r>
      <w:r w:rsidR="00D507C6" w:rsidRPr="00D519C5">
        <w:rPr>
          <w:rFonts w:ascii="ITC Avant Garde" w:hAnsi="ITC Avant Garde" w:cs="Arial"/>
          <w:sz w:val="22"/>
          <w:szCs w:val="22"/>
        </w:rPr>
        <w:t xml:space="preserve"> los títulos de concesión </w:t>
      </w:r>
      <w:r w:rsidR="00D507C6">
        <w:rPr>
          <w:rFonts w:ascii="ITC Avant Garde" w:hAnsi="ITC Avant Garde" w:cs="Arial"/>
          <w:sz w:val="22"/>
          <w:szCs w:val="22"/>
        </w:rPr>
        <w:t>señalados en los Resolutivos Primero y Segundo</w:t>
      </w:r>
      <w:r w:rsidR="00D507C6" w:rsidRPr="00D519C5">
        <w:rPr>
          <w:rFonts w:ascii="ITC Avant Garde" w:hAnsi="ITC Avant Garde" w:cs="Arial"/>
          <w:sz w:val="22"/>
          <w:szCs w:val="22"/>
        </w:rPr>
        <w:t xml:space="preserve"> de la presente Resolución</w:t>
      </w:r>
      <w:r w:rsidR="00D507C6" w:rsidRPr="00D519C5">
        <w:rPr>
          <w:rFonts w:ascii="ITC Avant Garde" w:hAnsi="ITC Avant Garde"/>
          <w:sz w:val="22"/>
          <w:szCs w:val="22"/>
          <w:lang w:val="es-MX" w:eastAsia="es-MX"/>
        </w:rPr>
        <w:t>.</w:t>
      </w:r>
    </w:p>
    <w:p w14:paraId="2B61154F" w14:textId="77777777" w:rsidR="002D7BBD" w:rsidRDefault="00D507C6" w:rsidP="002D7BBD">
      <w:pPr>
        <w:spacing w:before="240" w:after="240"/>
        <w:jc w:val="both"/>
        <w:rPr>
          <w:rFonts w:ascii="ITC Avant Garde" w:hAnsi="ITC Avant Garde"/>
          <w:sz w:val="22"/>
          <w:szCs w:val="22"/>
          <w:lang w:val="es-MX" w:eastAsia="es-MX"/>
        </w:rPr>
      </w:pPr>
      <w:r w:rsidRPr="00D507C6">
        <w:rPr>
          <w:rFonts w:ascii="ITC Avant Garde" w:hAnsi="ITC Avant Garde"/>
          <w:b/>
          <w:sz w:val="22"/>
          <w:szCs w:val="22"/>
          <w:lang w:val="es-MX" w:eastAsia="es-MX"/>
        </w:rPr>
        <w:t>NOVENO.-</w:t>
      </w:r>
      <w:r>
        <w:rPr>
          <w:rFonts w:ascii="ITC Avant Garde" w:hAnsi="ITC Avant Garde"/>
          <w:sz w:val="22"/>
          <w:szCs w:val="22"/>
          <w:lang w:val="es-MX" w:eastAsia="es-MX"/>
        </w:rPr>
        <w:t xml:space="preserve"> </w:t>
      </w:r>
      <w:r w:rsidR="00D91C76" w:rsidRPr="00910B1B">
        <w:rPr>
          <w:rFonts w:ascii="ITC Avant Garde" w:hAnsi="ITC Avant Garde"/>
          <w:sz w:val="22"/>
          <w:szCs w:val="22"/>
          <w:lang w:val="es-MX" w:eastAsia="es-MX"/>
        </w:rPr>
        <w:t xml:space="preserve">Inscríbanse en el Registro Público de Concesiones los títulos de concesión señalados en </w:t>
      </w:r>
      <w:r w:rsidR="00D153EB">
        <w:rPr>
          <w:rFonts w:ascii="ITC Avant Garde" w:hAnsi="ITC Avant Garde"/>
          <w:sz w:val="22"/>
          <w:szCs w:val="22"/>
          <w:lang w:val="es-MX" w:eastAsia="es-MX"/>
        </w:rPr>
        <w:t>e</w:t>
      </w:r>
      <w:r w:rsidR="00D91C76" w:rsidRPr="00910B1B">
        <w:rPr>
          <w:rFonts w:ascii="ITC Avant Garde" w:hAnsi="ITC Avant Garde"/>
          <w:sz w:val="22"/>
          <w:szCs w:val="22"/>
          <w:lang w:val="es-MX" w:eastAsia="es-MX"/>
        </w:rPr>
        <w:t xml:space="preserve">l Resolutivo </w:t>
      </w:r>
      <w:r w:rsidR="00D153EB">
        <w:rPr>
          <w:rFonts w:ascii="ITC Avant Garde" w:hAnsi="ITC Avant Garde"/>
          <w:sz w:val="22"/>
          <w:szCs w:val="22"/>
          <w:lang w:val="es-MX" w:eastAsia="es-MX"/>
        </w:rPr>
        <w:t>que antecede</w:t>
      </w:r>
      <w:r w:rsidR="00D91C76" w:rsidRPr="00910B1B">
        <w:rPr>
          <w:rFonts w:ascii="ITC Avant Garde" w:hAnsi="ITC Avant Garde"/>
          <w:sz w:val="22"/>
          <w:szCs w:val="22"/>
          <w:lang w:val="es-MX" w:eastAsia="es-MX"/>
        </w:rPr>
        <w:t>, una vez que sean debidamente notificados al interesado.</w:t>
      </w:r>
    </w:p>
    <w:p w14:paraId="13867E55" w14:textId="5C8BB076" w:rsidR="002D7BBD" w:rsidRPr="002D7BBD" w:rsidRDefault="00EE5D64" w:rsidP="002D7BBD">
      <w:pPr>
        <w:spacing w:before="240" w:after="240"/>
        <w:jc w:val="both"/>
        <w:rPr>
          <w:rFonts w:ascii="ITC Avant Garde" w:hAnsi="ITC Avant Garde"/>
          <w:bCs/>
          <w:color w:val="000000"/>
          <w:sz w:val="22"/>
          <w:szCs w:val="22"/>
          <w:lang w:val="es-MX" w:eastAsia="es-MX"/>
        </w:rPr>
      </w:pPr>
      <w:r>
        <w:rPr>
          <w:rFonts w:ascii="ITC Avant Garde" w:hAnsi="ITC Avant Garde"/>
          <w:sz w:val="14"/>
        </w:rPr>
        <w:t>La presente Resolución fue aprobada</w:t>
      </w:r>
      <w:r w:rsidRPr="00EE5D64">
        <w:rPr>
          <w:rFonts w:ascii="ITC Avant Garde" w:hAnsi="ITC Avant Garde"/>
          <w:sz w:val="14"/>
        </w:rPr>
        <w:t xml:space="preserve"> por el Pleno del Instituto Federal de Telecomunicaciones en su XXIX Sesión Ordinaria celebrada el 7 de septiembre de 2016, por unanimidad de votos de los Comisionados presentes Gabriel Oswaldo Contreras Saldívar, Ernesto Estrada González, Adriana Sofía Labardini Inzunza, María Elena Estavillo Flores, Mario Germán Fromow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P/IFT/070916/474.</w:t>
      </w:r>
    </w:p>
    <w:sectPr w:rsidR="002D7BBD" w:rsidRPr="002D7BBD" w:rsidSect="00072A76">
      <w:footerReference w:type="even" r:id="rId8"/>
      <w:footerReference w:type="default" r:id="rId9"/>
      <w:footerReference w:type="first" r:id="rId10"/>
      <w:pgSz w:w="12240" w:h="15840" w:code="1"/>
      <w:pgMar w:top="2127" w:right="1608" w:bottom="1418" w:left="1418" w:header="993" w:footer="45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B7565" w14:textId="77777777" w:rsidR="00E86360" w:rsidRDefault="00E86360">
      <w:r>
        <w:separator/>
      </w:r>
    </w:p>
  </w:endnote>
  <w:endnote w:type="continuationSeparator" w:id="0">
    <w:p w14:paraId="6F0D6448" w14:textId="77777777" w:rsidR="00E86360" w:rsidRDefault="00E86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w:panose1 w:val="020B04020202030203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407C4" w14:textId="77777777" w:rsidR="002D7BBD" w:rsidRDefault="005B017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72A76">
      <w:rPr>
        <w:rStyle w:val="Nmerodepgina"/>
        <w:noProof/>
      </w:rPr>
      <w:t>8</w:t>
    </w:r>
    <w:r>
      <w:rPr>
        <w:rStyle w:val="Nmerodepgina"/>
      </w:rPr>
      <w:fldChar w:fldCharType="end"/>
    </w:r>
  </w:p>
  <w:p w14:paraId="786D0A19" w14:textId="467B5476" w:rsidR="005B0176" w:rsidRDefault="005B01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1FB20" w14:textId="35977D04" w:rsidR="005B0176" w:rsidRPr="004465B5" w:rsidRDefault="005B0176" w:rsidP="00C30C97">
    <w:pPr>
      <w:jc w:val="right"/>
      <w:rPr>
        <w:rFonts w:ascii="ITC Avant Garde" w:hAnsi="ITC Avant Garde"/>
        <w:sz w:val="18"/>
        <w:szCs w:val="18"/>
      </w:rPr>
    </w:pPr>
    <w:r w:rsidRPr="004465B5">
      <w:rPr>
        <w:rFonts w:ascii="ITC Avant Garde" w:hAnsi="ITC Avant Garde"/>
        <w:sz w:val="18"/>
        <w:szCs w:val="18"/>
      </w:rPr>
      <w:fldChar w:fldCharType="begin"/>
    </w:r>
    <w:r w:rsidRPr="004465B5">
      <w:rPr>
        <w:rFonts w:ascii="ITC Avant Garde" w:hAnsi="ITC Avant Garde"/>
        <w:sz w:val="18"/>
        <w:szCs w:val="18"/>
      </w:rPr>
      <w:instrText xml:space="preserve"> PAGE </w:instrText>
    </w:r>
    <w:r w:rsidRPr="004465B5">
      <w:rPr>
        <w:rFonts w:ascii="ITC Avant Garde" w:hAnsi="ITC Avant Garde"/>
        <w:sz w:val="18"/>
        <w:szCs w:val="18"/>
      </w:rPr>
      <w:fldChar w:fldCharType="separate"/>
    </w:r>
    <w:r w:rsidR="002D7BBD">
      <w:rPr>
        <w:rFonts w:ascii="ITC Avant Garde" w:hAnsi="ITC Avant Garde"/>
        <w:noProof/>
        <w:sz w:val="18"/>
        <w:szCs w:val="18"/>
      </w:rPr>
      <w:t>15</w:t>
    </w:r>
    <w:r w:rsidRPr="004465B5">
      <w:rPr>
        <w:rFonts w:ascii="ITC Avant Garde" w:hAnsi="ITC Avant Garde"/>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2C34B" w14:textId="7DBE543C" w:rsidR="005B0176" w:rsidRPr="004C7979" w:rsidRDefault="005B0176" w:rsidP="00423DEC">
    <w:pPr>
      <w:pStyle w:val="Piedepgina"/>
      <w:jc w:val="right"/>
      <w:rPr>
        <w:sz w:val="18"/>
        <w:szCs w:val="18"/>
      </w:rPr>
    </w:pPr>
    <w:r w:rsidRPr="004C7979">
      <w:rPr>
        <w:rFonts w:ascii="ITC Avant Garde" w:hAnsi="ITC Avant Garde" w:cs="Calibri"/>
        <w:sz w:val="18"/>
        <w:szCs w:val="18"/>
      </w:rPr>
      <w:fldChar w:fldCharType="begin"/>
    </w:r>
    <w:r w:rsidRPr="004C7979">
      <w:rPr>
        <w:rFonts w:ascii="ITC Avant Garde" w:hAnsi="ITC Avant Garde" w:cs="Calibri"/>
        <w:sz w:val="18"/>
        <w:szCs w:val="18"/>
      </w:rPr>
      <w:instrText>PAGE</w:instrText>
    </w:r>
    <w:r w:rsidRPr="004C7979">
      <w:rPr>
        <w:rFonts w:ascii="ITC Avant Garde" w:hAnsi="ITC Avant Garde" w:cs="Calibri"/>
        <w:sz w:val="18"/>
        <w:szCs w:val="18"/>
      </w:rPr>
      <w:fldChar w:fldCharType="separate"/>
    </w:r>
    <w:r w:rsidR="002D7BBD">
      <w:rPr>
        <w:rFonts w:ascii="ITC Avant Garde" w:hAnsi="ITC Avant Garde" w:cs="Calibri"/>
        <w:noProof/>
        <w:sz w:val="18"/>
        <w:szCs w:val="18"/>
      </w:rPr>
      <w:t>1</w:t>
    </w:r>
    <w:r w:rsidRPr="004C7979">
      <w:rPr>
        <w:rFonts w:ascii="ITC Avant Garde" w:hAnsi="ITC Avant Garde" w:cs="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1BF2D" w14:textId="77777777" w:rsidR="00E86360" w:rsidRDefault="00E86360">
      <w:r>
        <w:separator/>
      </w:r>
    </w:p>
  </w:footnote>
  <w:footnote w:type="continuationSeparator" w:id="0">
    <w:p w14:paraId="1FFA957E" w14:textId="77777777" w:rsidR="00E86360" w:rsidRDefault="00E863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6003"/>
    <w:multiLevelType w:val="hybridMultilevel"/>
    <w:tmpl w:val="27881ABC"/>
    <w:lvl w:ilvl="0" w:tplc="080A0017">
      <w:start w:val="1"/>
      <w:numFmt w:val="lowerLetter"/>
      <w:lvlText w:val="%1)"/>
      <w:lvlJc w:val="left"/>
      <w:pPr>
        <w:ind w:left="1222" w:hanging="360"/>
      </w:p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1" w15:restartNumberingAfterBreak="0">
    <w:nsid w:val="0A8D727C"/>
    <w:multiLevelType w:val="hybridMultilevel"/>
    <w:tmpl w:val="9A7E3A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B70F0C"/>
    <w:multiLevelType w:val="hybridMultilevel"/>
    <w:tmpl w:val="00C849B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B73E82"/>
    <w:multiLevelType w:val="hybridMultilevel"/>
    <w:tmpl w:val="1DD829DC"/>
    <w:lvl w:ilvl="0" w:tplc="54F6B54C">
      <w:start w:val="1"/>
      <w:numFmt w:val="lowerRoman"/>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7E4478"/>
    <w:multiLevelType w:val="hybridMultilevel"/>
    <w:tmpl w:val="5A12ECA0"/>
    <w:lvl w:ilvl="0" w:tplc="46FE0634">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5" w15:restartNumberingAfterBreak="0">
    <w:nsid w:val="1C7F5A8A"/>
    <w:multiLevelType w:val="hybridMultilevel"/>
    <w:tmpl w:val="559A6C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9B7918"/>
    <w:multiLevelType w:val="hybridMultilevel"/>
    <w:tmpl w:val="AB72C114"/>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494432"/>
    <w:multiLevelType w:val="hybridMultilevel"/>
    <w:tmpl w:val="1EAC269C"/>
    <w:lvl w:ilvl="0" w:tplc="9F0860A4">
      <w:start w:val="1"/>
      <w:numFmt w:val="upperRoman"/>
      <w:lvlText w:val="%1."/>
      <w:lvlJc w:val="left"/>
      <w:pPr>
        <w:ind w:left="720" w:hanging="72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D50788"/>
    <w:multiLevelType w:val="hybridMultilevel"/>
    <w:tmpl w:val="33220F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35814148"/>
    <w:multiLevelType w:val="hybridMultilevel"/>
    <w:tmpl w:val="45787A90"/>
    <w:lvl w:ilvl="0" w:tplc="080A0001">
      <w:start w:val="1"/>
      <w:numFmt w:val="bullet"/>
      <w:lvlText w:val=""/>
      <w:lvlJc w:val="left"/>
      <w:pPr>
        <w:ind w:left="1222" w:hanging="360"/>
      </w:pPr>
      <w:rPr>
        <w:rFonts w:ascii="Symbol" w:hAnsi="Symbol"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11" w15:restartNumberingAfterBreak="0">
    <w:nsid w:val="3F764838"/>
    <w:multiLevelType w:val="hybridMultilevel"/>
    <w:tmpl w:val="824C4334"/>
    <w:lvl w:ilvl="0" w:tplc="080A0017">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15:restartNumberingAfterBreak="0">
    <w:nsid w:val="4025017D"/>
    <w:multiLevelType w:val="hybridMultilevel"/>
    <w:tmpl w:val="0A444182"/>
    <w:lvl w:ilvl="0" w:tplc="080A0011">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3B5465"/>
    <w:multiLevelType w:val="hybridMultilevel"/>
    <w:tmpl w:val="E5242FF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CE4464"/>
    <w:multiLevelType w:val="hybridMultilevel"/>
    <w:tmpl w:val="C12660F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EE7362"/>
    <w:multiLevelType w:val="hybridMultilevel"/>
    <w:tmpl w:val="CD942F12"/>
    <w:lvl w:ilvl="0" w:tplc="141CDD56">
      <w:start w:val="1"/>
      <w:numFmt w:val="upperRoman"/>
      <w:lvlText w:val="%1."/>
      <w:lvlJc w:val="left"/>
      <w:pPr>
        <w:ind w:left="1080" w:hanging="720"/>
      </w:pPr>
      <w:rPr>
        <w:rFonts w:ascii="ITC Avant Garde Std Bk" w:eastAsia="Calibri" w:hAnsi="ITC Avant Garde Std Bk" w:cs="Times New Roman"/>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48F64EA4"/>
    <w:multiLevelType w:val="hybridMultilevel"/>
    <w:tmpl w:val="432A06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3E43F6"/>
    <w:multiLevelType w:val="hybridMultilevel"/>
    <w:tmpl w:val="0C929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8BB4F35"/>
    <w:multiLevelType w:val="hybridMultilevel"/>
    <w:tmpl w:val="E83E2DEE"/>
    <w:lvl w:ilvl="0" w:tplc="54F6B54C">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262B28"/>
    <w:multiLevelType w:val="hybridMultilevel"/>
    <w:tmpl w:val="DCC2B80E"/>
    <w:lvl w:ilvl="0" w:tplc="080A0017">
      <w:start w:val="1"/>
      <w:numFmt w:val="lowerLetter"/>
      <w:lvlText w:val="%1)"/>
      <w:lvlJc w:val="left"/>
      <w:pPr>
        <w:ind w:left="928"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A292960"/>
    <w:multiLevelType w:val="hybridMultilevel"/>
    <w:tmpl w:val="FB082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312544"/>
    <w:multiLevelType w:val="hybridMultilevel"/>
    <w:tmpl w:val="81B23086"/>
    <w:lvl w:ilvl="0" w:tplc="F81295BE">
      <w:start w:val="1"/>
      <w:numFmt w:val="upperRoman"/>
      <w:lvlText w:val="%1."/>
      <w:lvlJc w:val="right"/>
      <w:pPr>
        <w:ind w:left="502"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A138AE"/>
    <w:multiLevelType w:val="hybridMultilevel"/>
    <w:tmpl w:val="FF7CE0C8"/>
    <w:lvl w:ilvl="0" w:tplc="080A0015">
      <w:start w:val="1"/>
      <w:numFmt w:val="upp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3"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6646347"/>
    <w:multiLevelType w:val="hybridMultilevel"/>
    <w:tmpl w:val="F2A2D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8473728"/>
    <w:multiLevelType w:val="hybridMultilevel"/>
    <w:tmpl w:val="B3B84616"/>
    <w:lvl w:ilvl="0" w:tplc="E79E500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68DD46EC"/>
    <w:multiLevelType w:val="hybridMultilevel"/>
    <w:tmpl w:val="5D223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4A1651"/>
    <w:multiLevelType w:val="hybridMultilevel"/>
    <w:tmpl w:val="C49C3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0D7C1C"/>
    <w:multiLevelType w:val="hybridMultilevel"/>
    <w:tmpl w:val="21AAB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81B02DF"/>
    <w:multiLevelType w:val="hybridMultilevel"/>
    <w:tmpl w:val="B978DB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8"/>
  </w:num>
  <w:num w:numId="3">
    <w:abstractNumId w:val="9"/>
  </w:num>
  <w:num w:numId="4">
    <w:abstractNumId w:val="25"/>
  </w:num>
  <w:num w:numId="5">
    <w:abstractNumId w:val="27"/>
  </w:num>
  <w:num w:numId="6">
    <w:abstractNumId w:val="28"/>
  </w:num>
  <w:num w:numId="7">
    <w:abstractNumId w:val="17"/>
  </w:num>
  <w:num w:numId="8">
    <w:abstractNumId w:val="29"/>
  </w:num>
  <w:num w:numId="9">
    <w:abstractNumId w:val="26"/>
  </w:num>
  <w:num w:numId="10">
    <w:abstractNumId w:val="5"/>
  </w:num>
  <w:num w:numId="11">
    <w:abstractNumId w:val="8"/>
  </w:num>
  <w:num w:numId="12">
    <w:abstractNumId w:val="2"/>
  </w:num>
  <w:num w:numId="13">
    <w:abstractNumId w:val="13"/>
  </w:num>
  <w:num w:numId="14">
    <w:abstractNumId w:val="14"/>
  </w:num>
  <w:num w:numId="15">
    <w:abstractNumId w:val="16"/>
  </w:num>
  <w:num w:numId="16">
    <w:abstractNumId w:val="11"/>
  </w:num>
  <w:num w:numId="17">
    <w:abstractNumId w:val="6"/>
  </w:num>
  <w:num w:numId="18">
    <w:abstractNumId w:val="12"/>
  </w:num>
  <w:num w:numId="19">
    <w:abstractNumId w:val="23"/>
  </w:num>
  <w:num w:numId="20">
    <w:abstractNumId w:val="20"/>
  </w:num>
  <w:num w:numId="21">
    <w:abstractNumId w:val="7"/>
  </w:num>
  <w:num w:numId="22">
    <w:abstractNumId w:val="4"/>
  </w:num>
  <w:num w:numId="23">
    <w:abstractNumId w:val="19"/>
  </w:num>
  <w:num w:numId="24">
    <w:abstractNumId w:val="1"/>
  </w:num>
  <w:num w:numId="25">
    <w:abstractNumId w:val="21"/>
  </w:num>
  <w:num w:numId="26">
    <w:abstractNumId w:val="10"/>
  </w:num>
  <w:num w:numId="27">
    <w:abstractNumId w:val="0"/>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80"/>
    <w:rsid w:val="00000C7F"/>
    <w:rsid w:val="00002A8D"/>
    <w:rsid w:val="00004A1B"/>
    <w:rsid w:val="000055FA"/>
    <w:rsid w:val="000067ED"/>
    <w:rsid w:val="00006E01"/>
    <w:rsid w:val="000072D0"/>
    <w:rsid w:val="000074E2"/>
    <w:rsid w:val="0000783C"/>
    <w:rsid w:val="00010729"/>
    <w:rsid w:val="00011747"/>
    <w:rsid w:val="000138AD"/>
    <w:rsid w:val="00014011"/>
    <w:rsid w:val="00014500"/>
    <w:rsid w:val="000155D1"/>
    <w:rsid w:val="00015968"/>
    <w:rsid w:val="00015A39"/>
    <w:rsid w:val="00015BDD"/>
    <w:rsid w:val="0001764E"/>
    <w:rsid w:val="00017C5B"/>
    <w:rsid w:val="00020212"/>
    <w:rsid w:val="0002022A"/>
    <w:rsid w:val="000203A5"/>
    <w:rsid w:val="00020690"/>
    <w:rsid w:val="00020B7D"/>
    <w:rsid w:val="0002143B"/>
    <w:rsid w:val="00021499"/>
    <w:rsid w:val="00021B92"/>
    <w:rsid w:val="00021BFD"/>
    <w:rsid w:val="00023FC3"/>
    <w:rsid w:val="000257A3"/>
    <w:rsid w:val="00025D60"/>
    <w:rsid w:val="000276D8"/>
    <w:rsid w:val="0003037D"/>
    <w:rsid w:val="00030A33"/>
    <w:rsid w:val="00030FC5"/>
    <w:rsid w:val="00031003"/>
    <w:rsid w:val="00032351"/>
    <w:rsid w:val="00032A1F"/>
    <w:rsid w:val="00032F3B"/>
    <w:rsid w:val="00034C16"/>
    <w:rsid w:val="000364BD"/>
    <w:rsid w:val="00036921"/>
    <w:rsid w:val="00036D34"/>
    <w:rsid w:val="00037297"/>
    <w:rsid w:val="00037F2D"/>
    <w:rsid w:val="00040D21"/>
    <w:rsid w:val="000413E7"/>
    <w:rsid w:val="0004241F"/>
    <w:rsid w:val="00044F30"/>
    <w:rsid w:val="000450D8"/>
    <w:rsid w:val="00045AC2"/>
    <w:rsid w:val="00045C62"/>
    <w:rsid w:val="00046288"/>
    <w:rsid w:val="000463C3"/>
    <w:rsid w:val="0004660B"/>
    <w:rsid w:val="00046721"/>
    <w:rsid w:val="00047BB8"/>
    <w:rsid w:val="00051AE6"/>
    <w:rsid w:val="00051D63"/>
    <w:rsid w:val="00052829"/>
    <w:rsid w:val="00052D9F"/>
    <w:rsid w:val="0005402F"/>
    <w:rsid w:val="0005451A"/>
    <w:rsid w:val="000548BC"/>
    <w:rsid w:val="00054949"/>
    <w:rsid w:val="00061245"/>
    <w:rsid w:val="00061842"/>
    <w:rsid w:val="000624A5"/>
    <w:rsid w:val="000624EE"/>
    <w:rsid w:val="00062B07"/>
    <w:rsid w:val="0006346B"/>
    <w:rsid w:val="000635C5"/>
    <w:rsid w:val="000650D6"/>
    <w:rsid w:val="000652DA"/>
    <w:rsid w:val="00065914"/>
    <w:rsid w:val="000659D0"/>
    <w:rsid w:val="00066A93"/>
    <w:rsid w:val="00067772"/>
    <w:rsid w:val="00067854"/>
    <w:rsid w:val="000705C0"/>
    <w:rsid w:val="00070EFF"/>
    <w:rsid w:val="00071099"/>
    <w:rsid w:val="00072801"/>
    <w:rsid w:val="00072A76"/>
    <w:rsid w:val="00073606"/>
    <w:rsid w:val="00074E75"/>
    <w:rsid w:val="00075479"/>
    <w:rsid w:val="00075993"/>
    <w:rsid w:val="00075A4E"/>
    <w:rsid w:val="000769D5"/>
    <w:rsid w:val="00076B1E"/>
    <w:rsid w:val="00077366"/>
    <w:rsid w:val="00077C72"/>
    <w:rsid w:val="00080445"/>
    <w:rsid w:val="0008095F"/>
    <w:rsid w:val="00081763"/>
    <w:rsid w:val="00081E5C"/>
    <w:rsid w:val="00081FA3"/>
    <w:rsid w:val="000825E1"/>
    <w:rsid w:val="000839A1"/>
    <w:rsid w:val="00083B87"/>
    <w:rsid w:val="00083CF3"/>
    <w:rsid w:val="00083DDC"/>
    <w:rsid w:val="00084D00"/>
    <w:rsid w:val="00084D15"/>
    <w:rsid w:val="000852D5"/>
    <w:rsid w:val="00085863"/>
    <w:rsid w:val="00085950"/>
    <w:rsid w:val="00086F10"/>
    <w:rsid w:val="00087104"/>
    <w:rsid w:val="000872DE"/>
    <w:rsid w:val="000874EC"/>
    <w:rsid w:val="000907F6"/>
    <w:rsid w:val="000913F1"/>
    <w:rsid w:val="000922B6"/>
    <w:rsid w:val="000932E9"/>
    <w:rsid w:val="000939CC"/>
    <w:rsid w:val="00093CC4"/>
    <w:rsid w:val="00093D9F"/>
    <w:rsid w:val="000948A0"/>
    <w:rsid w:val="00094EFD"/>
    <w:rsid w:val="00095600"/>
    <w:rsid w:val="00095AE6"/>
    <w:rsid w:val="000A267F"/>
    <w:rsid w:val="000A3D71"/>
    <w:rsid w:val="000A439B"/>
    <w:rsid w:val="000A4944"/>
    <w:rsid w:val="000A6535"/>
    <w:rsid w:val="000A746D"/>
    <w:rsid w:val="000B0413"/>
    <w:rsid w:val="000B0CBA"/>
    <w:rsid w:val="000B166C"/>
    <w:rsid w:val="000B2548"/>
    <w:rsid w:val="000B3252"/>
    <w:rsid w:val="000B3DFF"/>
    <w:rsid w:val="000B51C0"/>
    <w:rsid w:val="000B69D7"/>
    <w:rsid w:val="000B7B62"/>
    <w:rsid w:val="000B7DEE"/>
    <w:rsid w:val="000C4D06"/>
    <w:rsid w:val="000C7383"/>
    <w:rsid w:val="000C7B32"/>
    <w:rsid w:val="000D08BB"/>
    <w:rsid w:val="000D1EC7"/>
    <w:rsid w:val="000D4112"/>
    <w:rsid w:val="000D4E02"/>
    <w:rsid w:val="000D4E64"/>
    <w:rsid w:val="000D6351"/>
    <w:rsid w:val="000D7607"/>
    <w:rsid w:val="000E0B85"/>
    <w:rsid w:val="000E0D15"/>
    <w:rsid w:val="000E33D6"/>
    <w:rsid w:val="000F238B"/>
    <w:rsid w:val="000F2906"/>
    <w:rsid w:val="000F3ACC"/>
    <w:rsid w:val="000F3BAB"/>
    <w:rsid w:val="000F47A9"/>
    <w:rsid w:val="000F490D"/>
    <w:rsid w:val="000F4E93"/>
    <w:rsid w:val="000F5441"/>
    <w:rsid w:val="000F68DA"/>
    <w:rsid w:val="000F7BD0"/>
    <w:rsid w:val="001004A4"/>
    <w:rsid w:val="00101477"/>
    <w:rsid w:val="00101604"/>
    <w:rsid w:val="0010174B"/>
    <w:rsid w:val="00102D0F"/>
    <w:rsid w:val="001035FD"/>
    <w:rsid w:val="00104A38"/>
    <w:rsid w:val="00104C40"/>
    <w:rsid w:val="001068CA"/>
    <w:rsid w:val="00106A75"/>
    <w:rsid w:val="00110D8D"/>
    <w:rsid w:val="0011233D"/>
    <w:rsid w:val="001124AB"/>
    <w:rsid w:val="001126EC"/>
    <w:rsid w:val="00114ABF"/>
    <w:rsid w:val="0011544C"/>
    <w:rsid w:val="00116552"/>
    <w:rsid w:val="0011721A"/>
    <w:rsid w:val="001172F1"/>
    <w:rsid w:val="0012064B"/>
    <w:rsid w:val="0012083B"/>
    <w:rsid w:val="001208A9"/>
    <w:rsid w:val="00121BD6"/>
    <w:rsid w:val="00122D64"/>
    <w:rsid w:val="00123CE7"/>
    <w:rsid w:val="00124845"/>
    <w:rsid w:val="001262DF"/>
    <w:rsid w:val="00126441"/>
    <w:rsid w:val="00127010"/>
    <w:rsid w:val="00127D64"/>
    <w:rsid w:val="001305DA"/>
    <w:rsid w:val="00133E35"/>
    <w:rsid w:val="00134D8E"/>
    <w:rsid w:val="00135F06"/>
    <w:rsid w:val="00136303"/>
    <w:rsid w:val="0013791C"/>
    <w:rsid w:val="00137EE0"/>
    <w:rsid w:val="00140B5C"/>
    <w:rsid w:val="0014159A"/>
    <w:rsid w:val="00141D4D"/>
    <w:rsid w:val="0014231A"/>
    <w:rsid w:val="0014380C"/>
    <w:rsid w:val="00143CF8"/>
    <w:rsid w:val="001449A3"/>
    <w:rsid w:val="001462C5"/>
    <w:rsid w:val="00146883"/>
    <w:rsid w:val="00146A83"/>
    <w:rsid w:val="001478B7"/>
    <w:rsid w:val="00147DB2"/>
    <w:rsid w:val="0015021E"/>
    <w:rsid w:val="00150FE3"/>
    <w:rsid w:val="001524BD"/>
    <w:rsid w:val="00155941"/>
    <w:rsid w:val="001574BC"/>
    <w:rsid w:val="00161A31"/>
    <w:rsid w:val="0016262B"/>
    <w:rsid w:val="001634D3"/>
    <w:rsid w:val="0016430C"/>
    <w:rsid w:val="00166E66"/>
    <w:rsid w:val="00167272"/>
    <w:rsid w:val="001707FA"/>
    <w:rsid w:val="00170E8D"/>
    <w:rsid w:val="0017192E"/>
    <w:rsid w:val="00171DF9"/>
    <w:rsid w:val="0017275C"/>
    <w:rsid w:val="00172A3D"/>
    <w:rsid w:val="0017381D"/>
    <w:rsid w:val="00173D77"/>
    <w:rsid w:val="001740E3"/>
    <w:rsid w:val="00174FDC"/>
    <w:rsid w:val="00175A43"/>
    <w:rsid w:val="00175B67"/>
    <w:rsid w:val="001763D8"/>
    <w:rsid w:val="001768B3"/>
    <w:rsid w:val="00177D5D"/>
    <w:rsid w:val="0018182F"/>
    <w:rsid w:val="001820D4"/>
    <w:rsid w:val="001823D1"/>
    <w:rsid w:val="00182839"/>
    <w:rsid w:val="001833AA"/>
    <w:rsid w:val="00184339"/>
    <w:rsid w:val="00187261"/>
    <w:rsid w:val="0019320F"/>
    <w:rsid w:val="001935AC"/>
    <w:rsid w:val="00193B5B"/>
    <w:rsid w:val="00195355"/>
    <w:rsid w:val="00195492"/>
    <w:rsid w:val="0019770A"/>
    <w:rsid w:val="001A2106"/>
    <w:rsid w:val="001A4AD6"/>
    <w:rsid w:val="001A4BD8"/>
    <w:rsid w:val="001A51A5"/>
    <w:rsid w:val="001A6399"/>
    <w:rsid w:val="001A6F66"/>
    <w:rsid w:val="001A7036"/>
    <w:rsid w:val="001A79E3"/>
    <w:rsid w:val="001A7BAE"/>
    <w:rsid w:val="001B0E7D"/>
    <w:rsid w:val="001B1731"/>
    <w:rsid w:val="001B321A"/>
    <w:rsid w:val="001B4649"/>
    <w:rsid w:val="001B5EEA"/>
    <w:rsid w:val="001B68EF"/>
    <w:rsid w:val="001B696E"/>
    <w:rsid w:val="001C1A58"/>
    <w:rsid w:val="001C2313"/>
    <w:rsid w:val="001C2A9D"/>
    <w:rsid w:val="001C3D2C"/>
    <w:rsid w:val="001C3DFA"/>
    <w:rsid w:val="001C4436"/>
    <w:rsid w:val="001C4A89"/>
    <w:rsid w:val="001C4AC9"/>
    <w:rsid w:val="001C6B89"/>
    <w:rsid w:val="001C6B94"/>
    <w:rsid w:val="001C6CC2"/>
    <w:rsid w:val="001D0BC5"/>
    <w:rsid w:val="001D17D3"/>
    <w:rsid w:val="001D27B0"/>
    <w:rsid w:val="001D41A6"/>
    <w:rsid w:val="001D4D5B"/>
    <w:rsid w:val="001D5572"/>
    <w:rsid w:val="001D5D4E"/>
    <w:rsid w:val="001D679A"/>
    <w:rsid w:val="001D6A1F"/>
    <w:rsid w:val="001D6D66"/>
    <w:rsid w:val="001D70CB"/>
    <w:rsid w:val="001D7CD1"/>
    <w:rsid w:val="001E06F7"/>
    <w:rsid w:val="001E0BA2"/>
    <w:rsid w:val="001E0D66"/>
    <w:rsid w:val="001E0DC1"/>
    <w:rsid w:val="001E3E15"/>
    <w:rsid w:val="001E5F01"/>
    <w:rsid w:val="001E710B"/>
    <w:rsid w:val="001F0027"/>
    <w:rsid w:val="001F08C9"/>
    <w:rsid w:val="001F0F70"/>
    <w:rsid w:val="001F2391"/>
    <w:rsid w:val="001F50E5"/>
    <w:rsid w:val="001F7293"/>
    <w:rsid w:val="001F76A7"/>
    <w:rsid w:val="00200FE3"/>
    <w:rsid w:val="00201C62"/>
    <w:rsid w:val="0020364B"/>
    <w:rsid w:val="00203B34"/>
    <w:rsid w:val="00203C4F"/>
    <w:rsid w:val="002049F5"/>
    <w:rsid w:val="002117B8"/>
    <w:rsid w:val="002127F6"/>
    <w:rsid w:val="00212FA3"/>
    <w:rsid w:val="002138E6"/>
    <w:rsid w:val="00213B7E"/>
    <w:rsid w:val="00215729"/>
    <w:rsid w:val="002157DB"/>
    <w:rsid w:val="00216370"/>
    <w:rsid w:val="00217E77"/>
    <w:rsid w:val="002210EE"/>
    <w:rsid w:val="0022134A"/>
    <w:rsid w:val="00221F9B"/>
    <w:rsid w:val="00222EFB"/>
    <w:rsid w:val="00223075"/>
    <w:rsid w:val="00223275"/>
    <w:rsid w:val="00223297"/>
    <w:rsid w:val="00224E0D"/>
    <w:rsid w:val="00224F8B"/>
    <w:rsid w:val="002250BD"/>
    <w:rsid w:val="0022538C"/>
    <w:rsid w:val="002273B3"/>
    <w:rsid w:val="00227836"/>
    <w:rsid w:val="00230319"/>
    <w:rsid w:val="0023126F"/>
    <w:rsid w:val="00231795"/>
    <w:rsid w:val="00233588"/>
    <w:rsid w:val="0023368F"/>
    <w:rsid w:val="00234A57"/>
    <w:rsid w:val="0023526C"/>
    <w:rsid w:val="00236ACA"/>
    <w:rsid w:val="002372A2"/>
    <w:rsid w:val="00237A51"/>
    <w:rsid w:val="0024050B"/>
    <w:rsid w:val="00240605"/>
    <w:rsid w:val="00241B90"/>
    <w:rsid w:val="00243140"/>
    <w:rsid w:val="00243214"/>
    <w:rsid w:val="00246906"/>
    <w:rsid w:val="002518C5"/>
    <w:rsid w:val="002527F7"/>
    <w:rsid w:val="00253771"/>
    <w:rsid w:val="00253B7E"/>
    <w:rsid w:val="0025514D"/>
    <w:rsid w:val="00256BAC"/>
    <w:rsid w:val="0025772F"/>
    <w:rsid w:val="00257CAC"/>
    <w:rsid w:val="0026000F"/>
    <w:rsid w:val="00260151"/>
    <w:rsid w:val="002605BF"/>
    <w:rsid w:val="0026189C"/>
    <w:rsid w:val="00261B36"/>
    <w:rsid w:val="00262969"/>
    <w:rsid w:val="00262DE5"/>
    <w:rsid w:val="0026595C"/>
    <w:rsid w:val="00267CAB"/>
    <w:rsid w:val="00271479"/>
    <w:rsid w:val="00271993"/>
    <w:rsid w:val="00272CA1"/>
    <w:rsid w:val="00273BED"/>
    <w:rsid w:val="00274A34"/>
    <w:rsid w:val="0027509C"/>
    <w:rsid w:val="0027663D"/>
    <w:rsid w:val="00280E84"/>
    <w:rsid w:val="002819A8"/>
    <w:rsid w:val="00281B08"/>
    <w:rsid w:val="002833ED"/>
    <w:rsid w:val="00283730"/>
    <w:rsid w:val="00284119"/>
    <w:rsid w:val="00284195"/>
    <w:rsid w:val="002844C1"/>
    <w:rsid w:val="00284AB6"/>
    <w:rsid w:val="00285258"/>
    <w:rsid w:val="0028670C"/>
    <w:rsid w:val="00286728"/>
    <w:rsid w:val="00287192"/>
    <w:rsid w:val="00287BF2"/>
    <w:rsid w:val="002931B8"/>
    <w:rsid w:val="00294B7C"/>
    <w:rsid w:val="002963B1"/>
    <w:rsid w:val="002964C0"/>
    <w:rsid w:val="002968EB"/>
    <w:rsid w:val="002A1002"/>
    <w:rsid w:val="002A104D"/>
    <w:rsid w:val="002A2975"/>
    <w:rsid w:val="002A3565"/>
    <w:rsid w:val="002A395A"/>
    <w:rsid w:val="002A4700"/>
    <w:rsid w:val="002A4DF0"/>
    <w:rsid w:val="002A544A"/>
    <w:rsid w:val="002A64ED"/>
    <w:rsid w:val="002A6CF3"/>
    <w:rsid w:val="002A7487"/>
    <w:rsid w:val="002B034E"/>
    <w:rsid w:val="002B1059"/>
    <w:rsid w:val="002B24E1"/>
    <w:rsid w:val="002B2944"/>
    <w:rsid w:val="002B42F1"/>
    <w:rsid w:val="002B4DA5"/>
    <w:rsid w:val="002B4DD6"/>
    <w:rsid w:val="002B4E8D"/>
    <w:rsid w:val="002B5A5F"/>
    <w:rsid w:val="002B5AB7"/>
    <w:rsid w:val="002B68C3"/>
    <w:rsid w:val="002B77DC"/>
    <w:rsid w:val="002B7A87"/>
    <w:rsid w:val="002C0CA1"/>
    <w:rsid w:val="002C1E86"/>
    <w:rsid w:val="002C32B7"/>
    <w:rsid w:val="002C3E90"/>
    <w:rsid w:val="002C42CE"/>
    <w:rsid w:val="002C4B15"/>
    <w:rsid w:val="002C763B"/>
    <w:rsid w:val="002C7DAD"/>
    <w:rsid w:val="002D0490"/>
    <w:rsid w:val="002D3760"/>
    <w:rsid w:val="002D6F66"/>
    <w:rsid w:val="002D75F2"/>
    <w:rsid w:val="002D7697"/>
    <w:rsid w:val="002D7BBD"/>
    <w:rsid w:val="002D7DA1"/>
    <w:rsid w:val="002D7DF0"/>
    <w:rsid w:val="002E04BD"/>
    <w:rsid w:val="002E0D85"/>
    <w:rsid w:val="002E2551"/>
    <w:rsid w:val="002E3C36"/>
    <w:rsid w:val="002E5BFD"/>
    <w:rsid w:val="002E5D42"/>
    <w:rsid w:val="002E6233"/>
    <w:rsid w:val="002E656C"/>
    <w:rsid w:val="002E737F"/>
    <w:rsid w:val="002E7F0D"/>
    <w:rsid w:val="002F1446"/>
    <w:rsid w:val="002F2C83"/>
    <w:rsid w:val="002F37C0"/>
    <w:rsid w:val="002F4209"/>
    <w:rsid w:val="002F4FC9"/>
    <w:rsid w:val="00300350"/>
    <w:rsid w:val="00300BC6"/>
    <w:rsid w:val="00300CAF"/>
    <w:rsid w:val="003022F4"/>
    <w:rsid w:val="003027A1"/>
    <w:rsid w:val="00302948"/>
    <w:rsid w:val="00303817"/>
    <w:rsid w:val="00303D0D"/>
    <w:rsid w:val="00303F9D"/>
    <w:rsid w:val="00304D79"/>
    <w:rsid w:val="003060F2"/>
    <w:rsid w:val="0031074A"/>
    <w:rsid w:val="00310964"/>
    <w:rsid w:val="003114DF"/>
    <w:rsid w:val="00311C72"/>
    <w:rsid w:val="00315469"/>
    <w:rsid w:val="0031602B"/>
    <w:rsid w:val="00317777"/>
    <w:rsid w:val="00317D05"/>
    <w:rsid w:val="00317D1C"/>
    <w:rsid w:val="00320989"/>
    <w:rsid w:val="00320D9F"/>
    <w:rsid w:val="00322AA9"/>
    <w:rsid w:val="00325F55"/>
    <w:rsid w:val="00326356"/>
    <w:rsid w:val="0032778E"/>
    <w:rsid w:val="00330668"/>
    <w:rsid w:val="00330DB1"/>
    <w:rsid w:val="00330F29"/>
    <w:rsid w:val="00333897"/>
    <w:rsid w:val="00333B37"/>
    <w:rsid w:val="00334BBC"/>
    <w:rsid w:val="00334F78"/>
    <w:rsid w:val="003367A4"/>
    <w:rsid w:val="00336A75"/>
    <w:rsid w:val="00342301"/>
    <w:rsid w:val="00343C5E"/>
    <w:rsid w:val="0034428E"/>
    <w:rsid w:val="003443AC"/>
    <w:rsid w:val="00344EBC"/>
    <w:rsid w:val="00346F3D"/>
    <w:rsid w:val="00347771"/>
    <w:rsid w:val="003478FC"/>
    <w:rsid w:val="003479EA"/>
    <w:rsid w:val="00350051"/>
    <w:rsid w:val="003501E5"/>
    <w:rsid w:val="0035236F"/>
    <w:rsid w:val="0035238E"/>
    <w:rsid w:val="00352642"/>
    <w:rsid w:val="00353800"/>
    <w:rsid w:val="00353BB8"/>
    <w:rsid w:val="00354108"/>
    <w:rsid w:val="003600F8"/>
    <w:rsid w:val="0036014C"/>
    <w:rsid w:val="003605A8"/>
    <w:rsid w:val="00360692"/>
    <w:rsid w:val="00363746"/>
    <w:rsid w:val="00363EA7"/>
    <w:rsid w:val="00364981"/>
    <w:rsid w:val="00365CA4"/>
    <w:rsid w:val="00365DBE"/>
    <w:rsid w:val="00366EF5"/>
    <w:rsid w:val="00366F67"/>
    <w:rsid w:val="00367198"/>
    <w:rsid w:val="00367871"/>
    <w:rsid w:val="003700F2"/>
    <w:rsid w:val="0037291B"/>
    <w:rsid w:val="0037485F"/>
    <w:rsid w:val="003764E8"/>
    <w:rsid w:val="00377C82"/>
    <w:rsid w:val="00380287"/>
    <w:rsid w:val="003806ED"/>
    <w:rsid w:val="003807E3"/>
    <w:rsid w:val="0038134C"/>
    <w:rsid w:val="003815F9"/>
    <w:rsid w:val="00381F29"/>
    <w:rsid w:val="00383516"/>
    <w:rsid w:val="003837BF"/>
    <w:rsid w:val="00383EF0"/>
    <w:rsid w:val="00384EB1"/>
    <w:rsid w:val="00384FD6"/>
    <w:rsid w:val="00385CA9"/>
    <w:rsid w:val="00385D28"/>
    <w:rsid w:val="00392167"/>
    <w:rsid w:val="00392C7B"/>
    <w:rsid w:val="00395074"/>
    <w:rsid w:val="00396175"/>
    <w:rsid w:val="00397378"/>
    <w:rsid w:val="003A12A0"/>
    <w:rsid w:val="003A4AEF"/>
    <w:rsid w:val="003A5177"/>
    <w:rsid w:val="003A5394"/>
    <w:rsid w:val="003A62CB"/>
    <w:rsid w:val="003A6D88"/>
    <w:rsid w:val="003A6D99"/>
    <w:rsid w:val="003B0228"/>
    <w:rsid w:val="003B0B32"/>
    <w:rsid w:val="003B3060"/>
    <w:rsid w:val="003B72D8"/>
    <w:rsid w:val="003B7C71"/>
    <w:rsid w:val="003C09B5"/>
    <w:rsid w:val="003C119E"/>
    <w:rsid w:val="003C3AC4"/>
    <w:rsid w:val="003C4618"/>
    <w:rsid w:val="003C5349"/>
    <w:rsid w:val="003C5972"/>
    <w:rsid w:val="003C6029"/>
    <w:rsid w:val="003C6807"/>
    <w:rsid w:val="003C6B0D"/>
    <w:rsid w:val="003C719A"/>
    <w:rsid w:val="003C7486"/>
    <w:rsid w:val="003D0641"/>
    <w:rsid w:val="003D1324"/>
    <w:rsid w:val="003D16A8"/>
    <w:rsid w:val="003D178C"/>
    <w:rsid w:val="003D1998"/>
    <w:rsid w:val="003D26ED"/>
    <w:rsid w:val="003D28A1"/>
    <w:rsid w:val="003D3969"/>
    <w:rsid w:val="003D4972"/>
    <w:rsid w:val="003D50D3"/>
    <w:rsid w:val="003D5EDD"/>
    <w:rsid w:val="003D5F02"/>
    <w:rsid w:val="003D66C9"/>
    <w:rsid w:val="003D7285"/>
    <w:rsid w:val="003D757F"/>
    <w:rsid w:val="003E1197"/>
    <w:rsid w:val="003E1C84"/>
    <w:rsid w:val="003E226E"/>
    <w:rsid w:val="003E2719"/>
    <w:rsid w:val="003E2CE5"/>
    <w:rsid w:val="003E3015"/>
    <w:rsid w:val="003E45C4"/>
    <w:rsid w:val="003E53F8"/>
    <w:rsid w:val="003E5549"/>
    <w:rsid w:val="003E6A12"/>
    <w:rsid w:val="003E6DF8"/>
    <w:rsid w:val="003F15D1"/>
    <w:rsid w:val="003F31B5"/>
    <w:rsid w:val="003F5158"/>
    <w:rsid w:val="003F619C"/>
    <w:rsid w:val="00401BF4"/>
    <w:rsid w:val="00401DE4"/>
    <w:rsid w:val="0040203D"/>
    <w:rsid w:val="00404646"/>
    <w:rsid w:val="00405301"/>
    <w:rsid w:val="00405A02"/>
    <w:rsid w:val="00405E06"/>
    <w:rsid w:val="00407174"/>
    <w:rsid w:val="00407312"/>
    <w:rsid w:val="0040741D"/>
    <w:rsid w:val="00407812"/>
    <w:rsid w:val="00407C0C"/>
    <w:rsid w:val="00410A47"/>
    <w:rsid w:val="00411A53"/>
    <w:rsid w:val="004124EE"/>
    <w:rsid w:val="00412664"/>
    <w:rsid w:val="004127EE"/>
    <w:rsid w:val="00412E21"/>
    <w:rsid w:val="00413304"/>
    <w:rsid w:val="00413FEF"/>
    <w:rsid w:val="00414F2C"/>
    <w:rsid w:val="00415652"/>
    <w:rsid w:val="00415D3A"/>
    <w:rsid w:val="004208CE"/>
    <w:rsid w:val="00420C26"/>
    <w:rsid w:val="00423109"/>
    <w:rsid w:val="00423622"/>
    <w:rsid w:val="00423699"/>
    <w:rsid w:val="00423D7A"/>
    <w:rsid w:val="00423DEC"/>
    <w:rsid w:val="00424887"/>
    <w:rsid w:val="00424A72"/>
    <w:rsid w:val="00426CD1"/>
    <w:rsid w:val="004278AF"/>
    <w:rsid w:val="00427CCA"/>
    <w:rsid w:val="00431544"/>
    <w:rsid w:val="00432FC5"/>
    <w:rsid w:val="0043485D"/>
    <w:rsid w:val="004358F8"/>
    <w:rsid w:val="00437148"/>
    <w:rsid w:val="00440096"/>
    <w:rsid w:val="004403DE"/>
    <w:rsid w:val="004404DA"/>
    <w:rsid w:val="00441630"/>
    <w:rsid w:val="0044175B"/>
    <w:rsid w:val="00441C02"/>
    <w:rsid w:val="00441E2F"/>
    <w:rsid w:val="0044295F"/>
    <w:rsid w:val="004440C3"/>
    <w:rsid w:val="00444D3C"/>
    <w:rsid w:val="0044508D"/>
    <w:rsid w:val="00445843"/>
    <w:rsid w:val="004465B5"/>
    <w:rsid w:val="004472BB"/>
    <w:rsid w:val="004476A2"/>
    <w:rsid w:val="00447CB5"/>
    <w:rsid w:val="00451592"/>
    <w:rsid w:val="004517FD"/>
    <w:rsid w:val="00451CDB"/>
    <w:rsid w:val="00452342"/>
    <w:rsid w:val="00452E0D"/>
    <w:rsid w:val="0045446E"/>
    <w:rsid w:val="0045501B"/>
    <w:rsid w:val="0045676D"/>
    <w:rsid w:val="00460087"/>
    <w:rsid w:val="00460E91"/>
    <w:rsid w:val="004612B4"/>
    <w:rsid w:val="004617B2"/>
    <w:rsid w:val="004633A2"/>
    <w:rsid w:val="00465CDE"/>
    <w:rsid w:val="00465CE8"/>
    <w:rsid w:val="00466D51"/>
    <w:rsid w:val="00466F8D"/>
    <w:rsid w:val="0046779F"/>
    <w:rsid w:val="00467B06"/>
    <w:rsid w:val="004706E3"/>
    <w:rsid w:val="00471EE9"/>
    <w:rsid w:val="0047392C"/>
    <w:rsid w:val="004743D4"/>
    <w:rsid w:val="00474D65"/>
    <w:rsid w:val="00475BD2"/>
    <w:rsid w:val="00476969"/>
    <w:rsid w:val="00480010"/>
    <w:rsid w:val="004806FF"/>
    <w:rsid w:val="00480B8D"/>
    <w:rsid w:val="0048130E"/>
    <w:rsid w:val="004821CF"/>
    <w:rsid w:val="00482314"/>
    <w:rsid w:val="004825F6"/>
    <w:rsid w:val="00482887"/>
    <w:rsid w:val="0048324C"/>
    <w:rsid w:val="0048331A"/>
    <w:rsid w:val="00484040"/>
    <w:rsid w:val="00484615"/>
    <w:rsid w:val="004848EA"/>
    <w:rsid w:val="00484D65"/>
    <w:rsid w:val="00484F18"/>
    <w:rsid w:val="00485C86"/>
    <w:rsid w:val="0048696C"/>
    <w:rsid w:val="00486D7E"/>
    <w:rsid w:val="004878F9"/>
    <w:rsid w:val="00487FD1"/>
    <w:rsid w:val="00490E42"/>
    <w:rsid w:val="004917C9"/>
    <w:rsid w:val="00493604"/>
    <w:rsid w:val="0049428A"/>
    <w:rsid w:val="00494D2C"/>
    <w:rsid w:val="0049602B"/>
    <w:rsid w:val="0049695D"/>
    <w:rsid w:val="00497D2A"/>
    <w:rsid w:val="004A0F40"/>
    <w:rsid w:val="004A16B4"/>
    <w:rsid w:val="004A2BAD"/>
    <w:rsid w:val="004A3A5A"/>
    <w:rsid w:val="004A404F"/>
    <w:rsid w:val="004A466E"/>
    <w:rsid w:val="004A4B45"/>
    <w:rsid w:val="004A4BC0"/>
    <w:rsid w:val="004A4BE6"/>
    <w:rsid w:val="004A5222"/>
    <w:rsid w:val="004A65D2"/>
    <w:rsid w:val="004A6A4D"/>
    <w:rsid w:val="004A71DD"/>
    <w:rsid w:val="004B0453"/>
    <w:rsid w:val="004B07F7"/>
    <w:rsid w:val="004B2D75"/>
    <w:rsid w:val="004B480C"/>
    <w:rsid w:val="004B495E"/>
    <w:rsid w:val="004B56A8"/>
    <w:rsid w:val="004B60E9"/>
    <w:rsid w:val="004B6328"/>
    <w:rsid w:val="004B6966"/>
    <w:rsid w:val="004B73E2"/>
    <w:rsid w:val="004B7854"/>
    <w:rsid w:val="004B7D50"/>
    <w:rsid w:val="004C0C86"/>
    <w:rsid w:val="004C12F1"/>
    <w:rsid w:val="004C231E"/>
    <w:rsid w:val="004C2541"/>
    <w:rsid w:val="004C2BF0"/>
    <w:rsid w:val="004C31B5"/>
    <w:rsid w:val="004C32F1"/>
    <w:rsid w:val="004C3AEC"/>
    <w:rsid w:val="004C5A91"/>
    <w:rsid w:val="004C6573"/>
    <w:rsid w:val="004C7215"/>
    <w:rsid w:val="004C7979"/>
    <w:rsid w:val="004D011F"/>
    <w:rsid w:val="004D0439"/>
    <w:rsid w:val="004D04F0"/>
    <w:rsid w:val="004D11C8"/>
    <w:rsid w:val="004D145B"/>
    <w:rsid w:val="004D17BA"/>
    <w:rsid w:val="004D2B96"/>
    <w:rsid w:val="004D2BDF"/>
    <w:rsid w:val="004D323B"/>
    <w:rsid w:val="004D45F5"/>
    <w:rsid w:val="004D4E63"/>
    <w:rsid w:val="004D5DDD"/>
    <w:rsid w:val="004E035E"/>
    <w:rsid w:val="004E129F"/>
    <w:rsid w:val="004E2DB4"/>
    <w:rsid w:val="004E33F4"/>
    <w:rsid w:val="004E3A3D"/>
    <w:rsid w:val="004E3E86"/>
    <w:rsid w:val="004E4815"/>
    <w:rsid w:val="004E4BDA"/>
    <w:rsid w:val="004E58F7"/>
    <w:rsid w:val="004E6925"/>
    <w:rsid w:val="004F0812"/>
    <w:rsid w:val="004F0861"/>
    <w:rsid w:val="004F1CE0"/>
    <w:rsid w:val="004F2D4F"/>
    <w:rsid w:val="004F2F13"/>
    <w:rsid w:val="004F3431"/>
    <w:rsid w:val="004F3E53"/>
    <w:rsid w:val="004F622F"/>
    <w:rsid w:val="004F662C"/>
    <w:rsid w:val="004F6DA1"/>
    <w:rsid w:val="004F76E4"/>
    <w:rsid w:val="004F7BF8"/>
    <w:rsid w:val="005007E6"/>
    <w:rsid w:val="0050375D"/>
    <w:rsid w:val="00504F11"/>
    <w:rsid w:val="00505CBE"/>
    <w:rsid w:val="00506BAE"/>
    <w:rsid w:val="00506E1C"/>
    <w:rsid w:val="00507012"/>
    <w:rsid w:val="0051172F"/>
    <w:rsid w:val="00511B2C"/>
    <w:rsid w:val="00512265"/>
    <w:rsid w:val="00512B89"/>
    <w:rsid w:val="00512E88"/>
    <w:rsid w:val="00513AF9"/>
    <w:rsid w:val="0051462E"/>
    <w:rsid w:val="00514B04"/>
    <w:rsid w:val="0051579A"/>
    <w:rsid w:val="00517A3E"/>
    <w:rsid w:val="00517DD3"/>
    <w:rsid w:val="005208A1"/>
    <w:rsid w:val="0052161E"/>
    <w:rsid w:val="0052277D"/>
    <w:rsid w:val="005241E2"/>
    <w:rsid w:val="005247EC"/>
    <w:rsid w:val="00524F06"/>
    <w:rsid w:val="005254C1"/>
    <w:rsid w:val="00526D42"/>
    <w:rsid w:val="00527BAF"/>
    <w:rsid w:val="0053340C"/>
    <w:rsid w:val="00534270"/>
    <w:rsid w:val="005343FE"/>
    <w:rsid w:val="005364F0"/>
    <w:rsid w:val="00537B66"/>
    <w:rsid w:val="00541876"/>
    <w:rsid w:val="00541C10"/>
    <w:rsid w:val="005442A1"/>
    <w:rsid w:val="00545E0F"/>
    <w:rsid w:val="00550399"/>
    <w:rsid w:val="00550C52"/>
    <w:rsid w:val="0055195A"/>
    <w:rsid w:val="005548F5"/>
    <w:rsid w:val="00555D7A"/>
    <w:rsid w:val="0055627D"/>
    <w:rsid w:val="005569C1"/>
    <w:rsid w:val="005573DA"/>
    <w:rsid w:val="00560543"/>
    <w:rsid w:val="0056306C"/>
    <w:rsid w:val="0056308C"/>
    <w:rsid w:val="00564321"/>
    <w:rsid w:val="00565396"/>
    <w:rsid w:val="0056615C"/>
    <w:rsid w:val="0056659F"/>
    <w:rsid w:val="0056791D"/>
    <w:rsid w:val="00567EBB"/>
    <w:rsid w:val="0057089E"/>
    <w:rsid w:val="00570E4B"/>
    <w:rsid w:val="0057302C"/>
    <w:rsid w:val="00573D70"/>
    <w:rsid w:val="005748EE"/>
    <w:rsid w:val="00574AC5"/>
    <w:rsid w:val="00574E96"/>
    <w:rsid w:val="0057529E"/>
    <w:rsid w:val="0057564E"/>
    <w:rsid w:val="005758B3"/>
    <w:rsid w:val="00575A7C"/>
    <w:rsid w:val="00575C58"/>
    <w:rsid w:val="00576309"/>
    <w:rsid w:val="00577273"/>
    <w:rsid w:val="005808A1"/>
    <w:rsid w:val="005809DA"/>
    <w:rsid w:val="00580C93"/>
    <w:rsid w:val="00583A11"/>
    <w:rsid w:val="005848B5"/>
    <w:rsid w:val="00585FBB"/>
    <w:rsid w:val="00586A77"/>
    <w:rsid w:val="00587FD7"/>
    <w:rsid w:val="00590974"/>
    <w:rsid w:val="00590FDF"/>
    <w:rsid w:val="00591F21"/>
    <w:rsid w:val="00592C03"/>
    <w:rsid w:val="00593750"/>
    <w:rsid w:val="00594ED5"/>
    <w:rsid w:val="00595550"/>
    <w:rsid w:val="0059568D"/>
    <w:rsid w:val="00595ECE"/>
    <w:rsid w:val="0059710B"/>
    <w:rsid w:val="00597147"/>
    <w:rsid w:val="005A381C"/>
    <w:rsid w:val="005A57FB"/>
    <w:rsid w:val="005A705A"/>
    <w:rsid w:val="005B0176"/>
    <w:rsid w:val="005B218B"/>
    <w:rsid w:val="005B2C64"/>
    <w:rsid w:val="005B4D74"/>
    <w:rsid w:val="005B54B5"/>
    <w:rsid w:val="005B6819"/>
    <w:rsid w:val="005B796B"/>
    <w:rsid w:val="005C1CF8"/>
    <w:rsid w:val="005C24A4"/>
    <w:rsid w:val="005C2687"/>
    <w:rsid w:val="005C3822"/>
    <w:rsid w:val="005C4E2B"/>
    <w:rsid w:val="005C560D"/>
    <w:rsid w:val="005C663C"/>
    <w:rsid w:val="005D0312"/>
    <w:rsid w:val="005D07F0"/>
    <w:rsid w:val="005D0E0C"/>
    <w:rsid w:val="005D2433"/>
    <w:rsid w:val="005D35F6"/>
    <w:rsid w:val="005D3C9B"/>
    <w:rsid w:val="005D4C69"/>
    <w:rsid w:val="005D686C"/>
    <w:rsid w:val="005D68F7"/>
    <w:rsid w:val="005D76D8"/>
    <w:rsid w:val="005E17D7"/>
    <w:rsid w:val="005E2AC2"/>
    <w:rsid w:val="005E4264"/>
    <w:rsid w:val="005E5B41"/>
    <w:rsid w:val="005E7238"/>
    <w:rsid w:val="005E7669"/>
    <w:rsid w:val="005E7C43"/>
    <w:rsid w:val="005F00B3"/>
    <w:rsid w:val="005F02EC"/>
    <w:rsid w:val="005F1BD0"/>
    <w:rsid w:val="005F2A5C"/>
    <w:rsid w:val="005F2B54"/>
    <w:rsid w:val="005F2D01"/>
    <w:rsid w:val="005F35DB"/>
    <w:rsid w:val="005F4268"/>
    <w:rsid w:val="005F5832"/>
    <w:rsid w:val="005F5AC9"/>
    <w:rsid w:val="005F6E25"/>
    <w:rsid w:val="006015FC"/>
    <w:rsid w:val="00601705"/>
    <w:rsid w:val="0060375B"/>
    <w:rsid w:val="00603B95"/>
    <w:rsid w:val="00604745"/>
    <w:rsid w:val="00606CB2"/>
    <w:rsid w:val="00606CCA"/>
    <w:rsid w:val="006070E1"/>
    <w:rsid w:val="0060753A"/>
    <w:rsid w:val="006075A7"/>
    <w:rsid w:val="00611A7A"/>
    <w:rsid w:val="006122AF"/>
    <w:rsid w:val="00612823"/>
    <w:rsid w:val="00612D71"/>
    <w:rsid w:val="00612FFF"/>
    <w:rsid w:val="00613077"/>
    <w:rsid w:val="006132C1"/>
    <w:rsid w:val="00613556"/>
    <w:rsid w:val="006135CD"/>
    <w:rsid w:val="00613AFE"/>
    <w:rsid w:val="00615A50"/>
    <w:rsid w:val="00615DD5"/>
    <w:rsid w:val="00616AB1"/>
    <w:rsid w:val="00616FA0"/>
    <w:rsid w:val="00617ACA"/>
    <w:rsid w:val="00620B94"/>
    <w:rsid w:val="00620DDD"/>
    <w:rsid w:val="0062114A"/>
    <w:rsid w:val="0062129E"/>
    <w:rsid w:val="00622B52"/>
    <w:rsid w:val="00623BE9"/>
    <w:rsid w:val="00623E05"/>
    <w:rsid w:val="00624B0F"/>
    <w:rsid w:val="00624BED"/>
    <w:rsid w:val="00624C74"/>
    <w:rsid w:val="00624EB2"/>
    <w:rsid w:val="0062501F"/>
    <w:rsid w:val="006262BF"/>
    <w:rsid w:val="00627D03"/>
    <w:rsid w:val="006306D2"/>
    <w:rsid w:val="006307DC"/>
    <w:rsid w:val="0063184D"/>
    <w:rsid w:val="00631E36"/>
    <w:rsid w:val="00632AE5"/>
    <w:rsid w:val="00633CD9"/>
    <w:rsid w:val="006342B3"/>
    <w:rsid w:val="006347CF"/>
    <w:rsid w:val="0063551B"/>
    <w:rsid w:val="00636F97"/>
    <w:rsid w:val="00641ADC"/>
    <w:rsid w:val="00641FA2"/>
    <w:rsid w:val="006425D9"/>
    <w:rsid w:val="0064260F"/>
    <w:rsid w:val="00642E6E"/>
    <w:rsid w:val="00643125"/>
    <w:rsid w:val="006445DD"/>
    <w:rsid w:val="00644B7A"/>
    <w:rsid w:val="0064782E"/>
    <w:rsid w:val="00651665"/>
    <w:rsid w:val="00651ECC"/>
    <w:rsid w:val="00652624"/>
    <w:rsid w:val="0065698E"/>
    <w:rsid w:val="0065758B"/>
    <w:rsid w:val="00657736"/>
    <w:rsid w:val="00660413"/>
    <w:rsid w:val="00660604"/>
    <w:rsid w:val="00661057"/>
    <w:rsid w:val="006618F0"/>
    <w:rsid w:val="00663F4A"/>
    <w:rsid w:val="00663FE4"/>
    <w:rsid w:val="006641F8"/>
    <w:rsid w:val="00667879"/>
    <w:rsid w:val="00667A4E"/>
    <w:rsid w:val="00670842"/>
    <w:rsid w:val="00670E7A"/>
    <w:rsid w:val="00670F8D"/>
    <w:rsid w:val="00671CA3"/>
    <w:rsid w:val="006723A8"/>
    <w:rsid w:val="006733F7"/>
    <w:rsid w:val="00675993"/>
    <w:rsid w:val="006829D9"/>
    <w:rsid w:val="00683227"/>
    <w:rsid w:val="006843B6"/>
    <w:rsid w:val="00685644"/>
    <w:rsid w:val="006863A3"/>
    <w:rsid w:val="006863C0"/>
    <w:rsid w:val="0068656C"/>
    <w:rsid w:val="00686DDE"/>
    <w:rsid w:val="00690247"/>
    <w:rsid w:val="00690CA6"/>
    <w:rsid w:val="00690E36"/>
    <w:rsid w:val="00692009"/>
    <w:rsid w:val="00692C2C"/>
    <w:rsid w:val="006930D5"/>
    <w:rsid w:val="00693675"/>
    <w:rsid w:val="00693FDF"/>
    <w:rsid w:val="0069566F"/>
    <w:rsid w:val="00695E06"/>
    <w:rsid w:val="00697155"/>
    <w:rsid w:val="006A072D"/>
    <w:rsid w:val="006A1984"/>
    <w:rsid w:val="006A3486"/>
    <w:rsid w:val="006A3E04"/>
    <w:rsid w:val="006A61BF"/>
    <w:rsid w:val="006A65F4"/>
    <w:rsid w:val="006A6F0E"/>
    <w:rsid w:val="006B0615"/>
    <w:rsid w:val="006B1381"/>
    <w:rsid w:val="006B20D1"/>
    <w:rsid w:val="006B25E9"/>
    <w:rsid w:val="006B26D4"/>
    <w:rsid w:val="006B2818"/>
    <w:rsid w:val="006B47FB"/>
    <w:rsid w:val="006B5642"/>
    <w:rsid w:val="006C32ED"/>
    <w:rsid w:val="006C4729"/>
    <w:rsid w:val="006C4A66"/>
    <w:rsid w:val="006C4AE8"/>
    <w:rsid w:val="006C6F9C"/>
    <w:rsid w:val="006D0C2C"/>
    <w:rsid w:val="006D1A9A"/>
    <w:rsid w:val="006D235F"/>
    <w:rsid w:val="006D25AC"/>
    <w:rsid w:val="006D4A69"/>
    <w:rsid w:val="006D58D3"/>
    <w:rsid w:val="006D6141"/>
    <w:rsid w:val="006D6B5D"/>
    <w:rsid w:val="006D7237"/>
    <w:rsid w:val="006D72EA"/>
    <w:rsid w:val="006E14B2"/>
    <w:rsid w:val="006E1982"/>
    <w:rsid w:val="006E2B7A"/>
    <w:rsid w:val="006E4424"/>
    <w:rsid w:val="006E56CF"/>
    <w:rsid w:val="006E69AB"/>
    <w:rsid w:val="006E6D7B"/>
    <w:rsid w:val="006E731E"/>
    <w:rsid w:val="006E747F"/>
    <w:rsid w:val="006E7741"/>
    <w:rsid w:val="006F23C2"/>
    <w:rsid w:val="006F252C"/>
    <w:rsid w:val="006F27B0"/>
    <w:rsid w:val="006F3AC9"/>
    <w:rsid w:val="006F5E8D"/>
    <w:rsid w:val="006F6CEE"/>
    <w:rsid w:val="006F73D1"/>
    <w:rsid w:val="006F7CDD"/>
    <w:rsid w:val="00701C92"/>
    <w:rsid w:val="00701E9D"/>
    <w:rsid w:val="0070280B"/>
    <w:rsid w:val="00702F97"/>
    <w:rsid w:val="0070494B"/>
    <w:rsid w:val="00705624"/>
    <w:rsid w:val="00705D72"/>
    <w:rsid w:val="00707A30"/>
    <w:rsid w:val="00707C98"/>
    <w:rsid w:val="00707F4B"/>
    <w:rsid w:val="0071061B"/>
    <w:rsid w:val="00710B2B"/>
    <w:rsid w:val="00711997"/>
    <w:rsid w:val="00712462"/>
    <w:rsid w:val="00712EC3"/>
    <w:rsid w:val="00713053"/>
    <w:rsid w:val="0071306B"/>
    <w:rsid w:val="007149EF"/>
    <w:rsid w:val="00714E55"/>
    <w:rsid w:val="00715ADE"/>
    <w:rsid w:val="00715BF3"/>
    <w:rsid w:val="007167A9"/>
    <w:rsid w:val="00716FA2"/>
    <w:rsid w:val="0071760C"/>
    <w:rsid w:val="00717ACB"/>
    <w:rsid w:val="00720CEA"/>
    <w:rsid w:val="00720FBD"/>
    <w:rsid w:val="0072113A"/>
    <w:rsid w:val="00722B1D"/>
    <w:rsid w:val="00723A81"/>
    <w:rsid w:val="007248DF"/>
    <w:rsid w:val="007258EE"/>
    <w:rsid w:val="00725CB5"/>
    <w:rsid w:val="007263C6"/>
    <w:rsid w:val="007263E1"/>
    <w:rsid w:val="007271C6"/>
    <w:rsid w:val="00727EC7"/>
    <w:rsid w:val="007314D0"/>
    <w:rsid w:val="00731BDA"/>
    <w:rsid w:val="00731ED4"/>
    <w:rsid w:val="00732DC5"/>
    <w:rsid w:val="00732E7A"/>
    <w:rsid w:val="00733136"/>
    <w:rsid w:val="0073365B"/>
    <w:rsid w:val="00734157"/>
    <w:rsid w:val="0073453A"/>
    <w:rsid w:val="00734FF0"/>
    <w:rsid w:val="007356BF"/>
    <w:rsid w:val="00735ED5"/>
    <w:rsid w:val="00736FB2"/>
    <w:rsid w:val="00740961"/>
    <w:rsid w:val="00740A27"/>
    <w:rsid w:val="00740F34"/>
    <w:rsid w:val="007417E8"/>
    <w:rsid w:val="007437F5"/>
    <w:rsid w:val="00746402"/>
    <w:rsid w:val="0074695C"/>
    <w:rsid w:val="00747E34"/>
    <w:rsid w:val="00750C07"/>
    <w:rsid w:val="00751679"/>
    <w:rsid w:val="00751E1F"/>
    <w:rsid w:val="00752B8C"/>
    <w:rsid w:val="00752CE0"/>
    <w:rsid w:val="0075654E"/>
    <w:rsid w:val="00757417"/>
    <w:rsid w:val="00761399"/>
    <w:rsid w:val="007613C6"/>
    <w:rsid w:val="00762355"/>
    <w:rsid w:val="00762DFC"/>
    <w:rsid w:val="00762F3E"/>
    <w:rsid w:val="00763754"/>
    <w:rsid w:val="007637CC"/>
    <w:rsid w:val="007656F0"/>
    <w:rsid w:val="00766171"/>
    <w:rsid w:val="007664CF"/>
    <w:rsid w:val="007666F8"/>
    <w:rsid w:val="00766BF9"/>
    <w:rsid w:val="00767243"/>
    <w:rsid w:val="00767EE6"/>
    <w:rsid w:val="00772829"/>
    <w:rsid w:val="00777A1C"/>
    <w:rsid w:val="007803DC"/>
    <w:rsid w:val="007804CA"/>
    <w:rsid w:val="00780954"/>
    <w:rsid w:val="007844B4"/>
    <w:rsid w:val="00785F7E"/>
    <w:rsid w:val="007868BD"/>
    <w:rsid w:val="00786B82"/>
    <w:rsid w:val="007870BC"/>
    <w:rsid w:val="00787509"/>
    <w:rsid w:val="0079014D"/>
    <w:rsid w:val="007916F9"/>
    <w:rsid w:val="00792359"/>
    <w:rsid w:val="00792E59"/>
    <w:rsid w:val="00792FC5"/>
    <w:rsid w:val="00794656"/>
    <w:rsid w:val="007958B6"/>
    <w:rsid w:val="00795A4B"/>
    <w:rsid w:val="0079674B"/>
    <w:rsid w:val="00796C34"/>
    <w:rsid w:val="00797883"/>
    <w:rsid w:val="00797BB7"/>
    <w:rsid w:val="007A3620"/>
    <w:rsid w:val="007A363E"/>
    <w:rsid w:val="007A3AC7"/>
    <w:rsid w:val="007A63FB"/>
    <w:rsid w:val="007A6781"/>
    <w:rsid w:val="007A7109"/>
    <w:rsid w:val="007A7EAC"/>
    <w:rsid w:val="007B08BC"/>
    <w:rsid w:val="007B23D4"/>
    <w:rsid w:val="007B2A33"/>
    <w:rsid w:val="007B3367"/>
    <w:rsid w:val="007B49BC"/>
    <w:rsid w:val="007B4B99"/>
    <w:rsid w:val="007B4ED4"/>
    <w:rsid w:val="007B556D"/>
    <w:rsid w:val="007B631B"/>
    <w:rsid w:val="007B6327"/>
    <w:rsid w:val="007B63E7"/>
    <w:rsid w:val="007B6675"/>
    <w:rsid w:val="007B6B09"/>
    <w:rsid w:val="007B7481"/>
    <w:rsid w:val="007C2BD2"/>
    <w:rsid w:val="007C30FC"/>
    <w:rsid w:val="007C31A6"/>
    <w:rsid w:val="007C31D6"/>
    <w:rsid w:val="007C50C7"/>
    <w:rsid w:val="007C5B9D"/>
    <w:rsid w:val="007C61F7"/>
    <w:rsid w:val="007C70FC"/>
    <w:rsid w:val="007D0116"/>
    <w:rsid w:val="007D02D2"/>
    <w:rsid w:val="007D0E2A"/>
    <w:rsid w:val="007D18A5"/>
    <w:rsid w:val="007D1D05"/>
    <w:rsid w:val="007D31B8"/>
    <w:rsid w:val="007D35B6"/>
    <w:rsid w:val="007D4937"/>
    <w:rsid w:val="007D5A5B"/>
    <w:rsid w:val="007D5C60"/>
    <w:rsid w:val="007D6353"/>
    <w:rsid w:val="007D70F6"/>
    <w:rsid w:val="007E08BD"/>
    <w:rsid w:val="007E1438"/>
    <w:rsid w:val="007E1E75"/>
    <w:rsid w:val="007E2062"/>
    <w:rsid w:val="007E2C59"/>
    <w:rsid w:val="007E2E2B"/>
    <w:rsid w:val="007E6879"/>
    <w:rsid w:val="007E6EF2"/>
    <w:rsid w:val="007E750B"/>
    <w:rsid w:val="007E7AA4"/>
    <w:rsid w:val="007F05D9"/>
    <w:rsid w:val="007F2040"/>
    <w:rsid w:val="007F4978"/>
    <w:rsid w:val="007F52BC"/>
    <w:rsid w:val="00800AED"/>
    <w:rsid w:val="00800F03"/>
    <w:rsid w:val="008010C3"/>
    <w:rsid w:val="00801324"/>
    <w:rsid w:val="00801CFB"/>
    <w:rsid w:val="00803B5E"/>
    <w:rsid w:val="00805B90"/>
    <w:rsid w:val="00805CB9"/>
    <w:rsid w:val="00807678"/>
    <w:rsid w:val="00807FAB"/>
    <w:rsid w:val="008105BA"/>
    <w:rsid w:val="00810C1B"/>
    <w:rsid w:val="00812F6F"/>
    <w:rsid w:val="00814AC3"/>
    <w:rsid w:val="00814CAB"/>
    <w:rsid w:val="008156C2"/>
    <w:rsid w:val="00815C1A"/>
    <w:rsid w:val="0081627B"/>
    <w:rsid w:val="00816723"/>
    <w:rsid w:val="008167A3"/>
    <w:rsid w:val="00817052"/>
    <w:rsid w:val="00820919"/>
    <w:rsid w:val="00820C12"/>
    <w:rsid w:val="00820E37"/>
    <w:rsid w:val="00821939"/>
    <w:rsid w:val="00821E8C"/>
    <w:rsid w:val="008225C0"/>
    <w:rsid w:val="00824700"/>
    <w:rsid w:val="00824AB0"/>
    <w:rsid w:val="0082679C"/>
    <w:rsid w:val="008274EE"/>
    <w:rsid w:val="00831F67"/>
    <w:rsid w:val="0083215A"/>
    <w:rsid w:val="00833C15"/>
    <w:rsid w:val="00834ECB"/>
    <w:rsid w:val="00835F2D"/>
    <w:rsid w:val="00836133"/>
    <w:rsid w:val="00837AAC"/>
    <w:rsid w:val="00841570"/>
    <w:rsid w:val="00841BF1"/>
    <w:rsid w:val="00842D00"/>
    <w:rsid w:val="008442D9"/>
    <w:rsid w:val="00844C37"/>
    <w:rsid w:val="00844E51"/>
    <w:rsid w:val="00845154"/>
    <w:rsid w:val="00846984"/>
    <w:rsid w:val="0084733A"/>
    <w:rsid w:val="0085056E"/>
    <w:rsid w:val="00850FA2"/>
    <w:rsid w:val="00851628"/>
    <w:rsid w:val="00851EE4"/>
    <w:rsid w:val="00852AAA"/>
    <w:rsid w:val="00852C1C"/>
    <w:rsid w:val="00852DEC"/>
    <w:rsid w:val="00852F67"/>
    <w:rsid w:val="008538E8"/>
    <w:rsid w:val="00853D28"/>
    <w:rsid w:val="008546A3"/>
    <w:rsid w:val="00854C2B"/>
    <w:rsid w:val="008550B5"/>
    <w:rsid w:val="008552EE"/>
    <w:rsid w:val="00856844"/>
    <w:rsid w:val="00856851"/>
    <w:rsid w:val="00856CCB"/>
    <w:rsid w:val="0085760F"/>
    <w:rsid w:val="008576F3"/>
    <w:rsid w:val="008616AB"/>
    <w:rsid w:val="00861946"/>
    <w:rsid w:val="00862947"/>
    <w:rsid w:val="008636E2"/>
    <w:rsid w:val="00863A14"/>
    <w:rsid w:val="00864FC9"/>
    <w:rsid w:val="00865BC9"/>
    <w:rsid w:val="00866511"/>
    <w:rsid w:val="00866956"/>
    <w:rsid w:val="00866D6B"/>
    <w:rsid w:val="00867DE6"/>
    <w:rsid w:val="00870988"/>
    <w:rsid w:val="00870D02"/>
    <w:rsid w:val="0087159C"/>
    <w:rsid w:val="00872A4C"/>
    <w:rsid w:val="00873643"/>
    <w:rsid w:val="00873E3F"/>
    <w:rsid w:val="00874146"/>
    <w:rsid w:val="00874A05"/>
    <w:rsid w:val="0087605E"/>
    <w:rsid w:val="00876087"/>
    <w:rsid w:val="00876583"/>
    <w:rsid w:val="008775F0"/>
    <w:rsid w:val="0088087B"/>
    <w:rsid w:val="00880FC7"/>
    <w:rsid w:val="00881799"/>
    <w:rsid w:val="008823D0"/>
    <w:rsid w:val="00882F87"/>
    <w:rsid w:val="008838C7"/>
    <w:rsid w:val="00883E3C"/>
    <w:rsid w:val="0088424C"/>
    <w:rsid w:val="00884464"/>
    <w:rsid w:val="008844AE"/>
    <w:rsid w:val="0089118F"/>
    <w:rsid w:val="0089139B"/>
    <w:rsid w:val="00891F6E"/>
    <w:rsid w:val="00891FD2"/>
    <w:rsid w:val="00894E64"/>
    <w:rsid w:val="0089742F"/>
    <w:rsid w:val="008A0A19"/>
    <w:rsid w:val="008A12D1"/>
    <w:rsid w:val="008A142B"/>
    <w:rsid w:val="008A18A5"/>
    <w:rsid w:val="008A1FE8"/>
    <w:rsid w:val="008A2250"/>
    <w:rsid w:val="008A37A6"/>
    <w:rsid w:val="008A3879"/>
    <w:rsid w:val="008A4FA3"/>
    <w:rsid w:val="008A53A9"/>
    <w:rsid w:val="008A53BF"/>
    <w:rsid w:val="008A55F0"/>
    <w:rsid w:val="008A5855"/>
    <w:rsid w:val="008A5E55"/>
    <w:rsid w:val="008A62D6"/>
    <w:rsid w:val="008A7378"/>
    <w:rsid w:val="008A7E7C"/>
    <w:rsid w:val="008B0FBB"/>
    <w:rsid w:val="008B2011"/>
    <w:rsid w:val="008B24EC"/>
    <w:rsid w:val="008B37F1"/>
    <w:rsid w:val="008B390C"/>
    <w:rsid w:val="008B39D7"/>
    <w:rsid w:val="008B4417"/>
    <w:rsid w:val="008B4E4E"/>
    <w:rsid w:val="008B4E8D"/>
    <w:rsid w:val="008B64F9"/>
    <w:rsid w:val="008B773E"/>
    <w:rsid w:val="008B7DE0"/>
    <w:rsid w:val="008C0443"/>
    <w:rsid w:val="008C1060"/>
    <w:rsid w:val="008C14DC"/>
    <w:rsid w:val="008C288B"/>
    <w:rsid w:val="008C35AE"/>
    <w:rsid w:val="008C42A7"/>
    <w:rsid w:val="008C5C47"/>
    <w:rsid w:val="008D0646"/>
    <w:rsid w:val="008D2739"/>
    <w:rsid w:val="008D2F7C"/>
    <w:rsid w:val="008D3767"/>
    <w:rsid w:val="008D3CC1"/>
    <w:rsid w:val="008D577F"/>
    <w:rsid w:val="008D5C68"/>
    <w:rsid w:val="008E00E7"/>
    <w:rsid w:val="008E1D09"/>
    <w:rsid w:val="008E3045"/>
    <w:rsid w:val="008E38DC"/>
    <w:rsid w:val="008E3A83"/>
    <w:rsid w:val="008E69DA"/>
    <w:rsid w:val="008E721D"/>
    <w:rsid w:val="008E7AB0"/>
    <w:rsid w:val="008F0C10"/>
    <w:rsid w:val="008F0DC0"/>
    <w:rsid w:val="008F2F34"/>
    <w:rsid w:val="008F34C3"/>
    <w:rsid w:val="008F390E"/>
    <w:rsid w:val="008F3FF5"/>
    <w:rsid w:val="008F42EF"/>
    <w:rsid w:val="008F692A"/>
    <w:rsid w:val="008F6E54"/>
    <w:rsid w:val="008F74C4"/>
    <w:rsid w:val="0090289B"/>
    <w:rsid w:val="009077D1"/>
    <w:rsid w:val="0090790F"/>
    <w:rsid w:val="00907FC2"/>
    <w:rsid w:val="0091006B"/>
    <w:rsid w:val="0091026E"/>
    <w:rsid w:val="0091089B"/>
    <w:rsid w:val="00910EE6"/>
    <w:rsid w:val="00911E5D"/>
    <w:rsid w:val="0091268A"/>
    <w:rsid w:val="00912975"/>
    <w:rsid w:val="00912D1B"/>
    <w:rsid w:val="009136C9"/>
    <w:rsid w:val="00913E12"/>
    <w:rsid w:val="00914C8A"/>
    <w:rsid w:val="009151E1"/>
    <w:rsid w:val="00917A4E"/>
    <w:rsid w:val="009218B5"/>
    <w:rsid w:val="0092237A"/>
    <w:rsid w:val="009234D5"/>
    <w:rsid w:val="0092359A"/>
    <w:rsid w:val="009253BF"/>
    <w:rsid w:val="009254E1"/>
    <w:rsid w:val="00925B6B"/>
    <w:rsid w:val="00925CE2"/>
    <w:rsid w:val="00926A4D"/>
    <w:rsid w:val="00931FDC"/>
    <w:rsid w:val="0093450C"/>
    <w:rsid w:val="00936692"/>
    <w:rsid w:val="00936B40"/>
    <w:rsid w:val="009406D8"/>
    <w:rsid w:val="009408A0"/>
    <w:rsid w:val="009419FD"/>
    <w:rsid w:val="0094275F"/>
    <w:rsid w:val="00943321"/>
    <w:rsid w:val="00943DBD"/>
    <w:rsid w:val="0094595D"/>
    <w:rsid w:val="00946FBF"/>
    <w:rsid w:val="00947727"/>
    <w:rsid w:val="00950A85"/>
    <w:rsid w:val="00950ED0"/>
    <w:rsid w:val="00951640"/>
    <w:rsid w:val="0095240C"/>
    <w:rsid w:val="00952895"/>
    <w:rsid w:val="00952DCF"/>
    <w:rsid w:val="009536D0"/>
    <w:rsid w:val="009547DE"/>
    <w:rsid w:val="0095551A"/>
    <w:rsid w:val="0095640D"/>
    <w:rsid w:val="009579A3"/>
    <w:rsid w:val="00957A1E"/>
    <w:rsid w:val="0096087E"/>
    <w:rsid w:val="00960DF8"/>
    <w:rsid w:val="00962416"/>
    <w:rsid w:val="009626F2"/>
    <w:rsid w:val="00963642"/>
    <w:rsid w:val="0096412A"/>
    <w:rsid w:val="00964BE5"/>
    <w:rsid w:val="00965C34"/>
    <w:rsid w:val="00967878"/>
    <w:rsid w:val="009706A4"/>
    <w:rsid w:val="00970AE1"/>
    <w:rsid w:val="00971C0E"/>
    <w:rsid w:val="00971E3A"/>
    <w:rsid w:val="00972DEA"/>
    <w:rsid w:val="009740EE"/>
    <w:rsid w:val="009759FF"/>
    <w:rsid w:val="0097703F"/>
    <w:rsid w:val="0097739F"/>
    <w:rsid w:val="009773E0"/>
    <w:rsid w:val="00977DB3"/>
    <w:rsid w:val="00980537"/>
    <w:rsid w:val="00980D6C"/>
    <w:rsid w:val="009816BF"/>
    <w:rsid w:val="00981DE4"/>
    <w:rsid w:val="00982852"/>
    <w:rsid w:val="00983635"/>
    <w:rsid w:val="009842E7"/>
    <w:rsid w:val="00984310"/>
    <w:rsid w:val="00984629"/>
    <w:rsid w:val="00985F7B"/>
    <w:rsid w:val="0098612F"/>
    <w:rsid w:val="00986768"/>
    <w:rsid w:val="00990BE2"/>
    <w:rsid w:val="00990E9E"/>
    <w:rsid w:val="009917A8"/>
    <w:rsid w:val="0099295A"/>
    <w:rsid w:val="00993490"/>
    <w:rsid w:val="00994923"/>
    <w:rsid w:val="00995207"/>
    <w:rsid w:val="0099541D"/>
    <w:rsid w:val="00995B19"/>
    <w:rsid w:val="00995B24"/>
    <w:rsid w:val="00996EE4"/>
    <w:rsid w:val="0099787F"/>
    <w:rsid w:val="009A0A51"/>
    <w:rsid w:val="009A37B9"/>
    <w:rsid w:val="009A4778"/>
    <w:rsid w:val="009A5894"/>
    <w:rsid w:val="009A5E7A"/>
    <w:rsid w:val="009A6AA5"/>
    <w:rsid w:val="009B08AA"/>
    <w:rsid w:val="009B0BFE"/>
    <w:rsid w:val="009B0D36"/>
    <w:rsid w:val="009B0F7A"/>
    <w:rsid w:val="009B10D3"/>
    <w:rsid w:val="009B43D3"/>
    <w:rsid w:val="009B4445"/>
    <w:rsid w:val="009B4E09"/>
    <w:rsid w:val="009B50A3"/>
    <w:rsid w:val="009B5AB6"/>
    <w:rsid w:val="009B738B"/>
    <w:rsid w:val="009B7953"/>
    <w:rsid w:val="009C0A25"/>
    <w:rsid w:val="009C0B51"/>
    <w:rsid w:val="009C16E1"/>
    <w:rsid w:val="009C1B35"/>
    <w:rsid w:val="009C21D0"/>
    <w:rsid w:val="009C22D2"/>
    <w:rsid w:val="009C2BF0"/>
    <w:rsid w:val="009C368C"/>
    <w:rsid w:val="009C3783"/>
    <w:rsid w:val="009C37F4"/>
    <w:rsid w:val="009C507A"/>
    <w:rsid w:val="009C64FD"/>
    <w:rsid w:val="009C7916"/>
    <w:rsid w:val="009D186C"/>
    <w:rsid w:val="009D1F18"/>
    <w:rsid w:val="009D24D7"/>
    <w:rsid w:val="009D300C"/>
    <w:rsid w:val="009D382D"/>
    <w:rsid w:val="009D3D0B"/>
    <w:rsid w:val="009D3D6B"/>
    <w:rsid w:val="009D464B"/>
    <w:rsid w:val="009D5518"/>
    <w:rsid w:val="009D6DAA"/>
    <w:rsid w:val="009D754B"/>
    <w:rsid w:val="009D789B"/>
    <w:rsid w:val="009E1CC5"/>
    <w:rsid w:val="009E1E67"/>
    <w:rsid w:val="009E2149"/>
    <w:rsid w:val="009E23DA"/>
    <w:rsid w:val="009E27E7"/>
    <w:rsid w:val="009E395D"/>
    <w:rsid w:val="009E39D7"/>
    <w:rsid w:val="009E3EC9"/>
    <w:rsid w:val="009E4434"/>
    <w:rsid w:val="009E4618"/>
    <w:rsid w:val="009E4CC1"/>
    <w:rsid w:val="009E5C53"/>
    <w:rsid w:val="009E6973"/>
    <w:rsid w:val="009E7F03"/>
    <w:rsid w:val="009F0D04"/>
    <w:rsid w:val="009F15FB"/>
    <w:rsid w:val="009F1842"/>
    <w:rsid w:val="009F25C3"/>
    <w:rsid w:val="009F3AEB"/>
    <w:rsid w:val="009F42AA"/>
    <w:rsid w:val="009F5195"/>
    <w:rsid w:val="009F5634"/>
    <w:rsid w:val="009F575C"/>
    <w:rsid w:val="009F597A"/>
    <w:rsid w:val="009F6198"/>
    <w:rsid w:val="009F6976"/>
    <w:rsid w:val="009F7DD8"/>
    <w:rsid w:val="00A01F1A"/>
    <w:rsid w:val="00A0204F"/>
    <w:rsid w:val="00A03144"/>
    <w:rsid w:val="00A031F1"/>
    <w:rsid w:val="00A03754"/>
    <w:rsid w:val="00A03C61"/>
    <w:rsid w:val="00A047B8"/>
    <w:rsid w:val="00A04B51"/>
    <w:rsid w:val="00A05145"/>
    <w:rsid w:val="00A05676"/>
    <w:rsid w:val="00A1017E"/>
    <w:rsid w:val="00A116E6"/>
    <w:rsid w:val="00A127A6"/>
    <w:rsid w:val="00A13207"/>
    <w:rsid w:val="00A14688"/>
    <w:rsid w:val="00A15D41"/>
    <w:rsid w:val="00A16D69"/>
    <w:rsid w:val="00A17463"/>
    <w:rsid w:val="00A17510"/>
    <w:rsid w:val="00A206B5"/>
    <w:rsid w:val="00A20A79"/>
    <w:rsid w:val="00A21390"/>
    <w:rsid w:val="00A21B36"/>
    <w:rsid w:val="00A21DC1"/>
    <w:rsid w:val="00A2224E"/>
    <w:rsid w:val="00A229A4"/>
    <w:rsid w:val="00A22AB8"/>
    <w:rsid w:val="00A23296"/>
    <w:rsid w:val="00A236D2"/>
    <w:rsid w:val="00A248CB"/>
    <w:rsid w:val="00A26296"/>
    <w:rsid w:val="00A303B0"/>
    <w:rsid w:val="00A304B4"/>
    <w:rsid w:val="00A30B51"/>
    <w:rsid w:val="00A30B7A"/>
    <w:rsid w:val="00A318AC"/>
    <w:rsid w:val="00A31FCE"/>
    <w:rsid w:val="00A327E7"/>
    <w:rsid w:val="00A32AFF"/>
    <w:rsid w:val="00A331D2"/>
    <w:rsid w:val="00A3405B"/>
    <w:rsid w:val="00A36551"/>
    <w:rsid w:val="00A36DAE"/>
    <w:rsid w:val="00A376D6"/>
    <w:rsid w:val="00A37F6F"/>
    <w:rsid w:val="00A4057F"/>
    <w:rsid w:val="00A4085F"/>
    <w:rsid w:val="00A40FED"/>
    <w:rsid w:val="00A419ED"/>
    <w:rsid w:val="00A41E2A"/>
    <w:rsid w:val="00A42A33"/>
    <w:rsid w:val="00A42B0F"/>
    <w:rsid w:val="00A43383"/>
    <w:rsid w:val="00A43728"/>
    <w:rsid w:val="00A44117"/>
    <w:rsid w:val="00A44512"/>
    <w:rsid w:val="00A447F1"/>
    <w:rsid w:val="00A451CD"/>
    <w:rsid w:val="00A466C0"/>
    <w:rsid w:val="00A46BAD"/>
    <w:rsid w:val="00A46CB5"/>
    <w:rsid w:val="00A47164"/>
    <w:rsid w:val="00A47233"/>
    <w:rsid w:val="00A47738"/>
    <w:rsid w:val="00A47C4C"/>
    <w:rsid w:val="00A47E41"/>
    <w:rsid w:val="00A53195"/>
    <w:rsid w:val="00A531FD"/>
    <w:rsid w:val="00A53513"/>
    <w:rsid w:val="00A54C44"/>
    <w:rsid w:val="00A54CAB"/>
    <w:rsid w:val="00A54EED"/>
    <w:rsid w:val="00A55DA1"/>
    <w:rsid w:val="00A55EEB"/>
    <w:rsid w:val="00A56C9D"/>
    <w:rsid w:val="00A61144"/>
    <w:rsid w:val="00A61D59"/>
    <w:rsid w:val="00A61DC0"/>
    <w:rsid w:val="00A62363"/>
    <w:rsid w:val="00A6371B"/>
    <w:rsid w:val="00A63A23"/>
    <w:rsid w:val="00A65752"/>
    <w:rsid w:val="00A65828"/>
    <w:rsid w:val="00A6640A"/>
    <w:rsid w:val="00A6719B"/>
    <w:rsid w:val="00A718B9"/>
    <w:rsid w:val="00A72191"/>
    <w:rsid w:val="00A74C4A"/>
    <w:rsid w:val="00A74C4F"/>
    <w:rsid w:val="00A75670"/>
    <w:rsid w:val="00A7696A"/>
    <w:rsid w:val="00A77530"/>
    <w:rsid w:val="00A77616"/>
    <w:rsid w:val="00A777C1"/>
    <w:rsid w:val="00A77FF9"/>
    <w:rsid w:val="00A80CCB"/>
    <w:rsid w:val="00A811BE"/>
    <w:rsid w:val="00A815D4"/>
    <w:rsid w:val="00A81B53"/>
    <w:rsid w:val="00A84DEB"/>
    <w:rsid w:val="00A8599F"/>
    <w:rsid w:val="00A86BA7"/>
    <w:rsid w:val="00A87521"/>
    <w:rsid w:val="00A90FEE"/>
    <w:rsid w:val="00A913DF"/>
    <w:rsid w:val="00A91E51"/>
    <w:rsid w:val="00A921BD"/>
    <w:rsid w:val="00A93523"/>
    <w:rsid w:val="00A939CB"/>
    <w:rsid w:val="00A94C09"/>
    <w:rsid w:val="00A95D26"/>
    <w:rsid w:val="00A95FBC"/>
    <w:rsid w:val="00A9637C"/>
    <w:rsid w:val="00A96ECB"/>
    <w:rsid w:val="00A974E1"/>
    <w:rsid w:val="00A9787A"/>
    <w:rsid w:val="00AA00C2"/>
    <w:rsid w:val="00AA0145"/>
    <w:rsid w:val="00AA1490"/>
    <w:rsid w:val="00AA174F"/>
    <w:rsid w:val="00AA2571"/>
    <w:rsid w:val="00AA28E4"/>
    <w:rsid w:val="00AA2F37"/>
    <w:rsid w:val="00AA3393"/>
    <w:rsid w:val="00AA3BD4"/>
    <w:rsid w:val="00AA4125"/>
    <w:rsid w:val="00AA44E3"/>
    <w:rsid w:val="00AA4ABD"/>
    <w:rsid w:val="00AA61C9"/>
    <w:rsid w:val="00AA74AD"/>
    <w:rsid w:val="00AA7501"/>
    <w:rsid w:val="00AB0220"/>
    <w:rsid w:val="00AB0398"/>
    <w:rsid w:val="00AB35E5"/>
    <w:rsid w:val="00AB5085"/>
    <w:rsid w:val="00AB5DA0"/>
    <w:rsid w:val="00AB7F7D"/>
    <w:rsid w:val="00AC082A"/>
    <w:rsid w:val="00AC0A0F"/>
    <w:rsid w:val="00AC0CA0"/>
    <w:rsid w:val="00AC1A27"/>
    <w:rsid w:val="00AC1FD3"/>
    <w:rsid w:val="00AC3680"/>
    <w:rsid w:val="00AC36CA"/>
    <w:rsid w:val="00AC4F34"/>
    <w:rsid w:val="00AD121D"/>
    <w:rsid w:val="00AD3528"/>
    <w:rsid w:val="00AD42B3"/>
    <w:rsid w:val="00AD42D8"/>
    <w:rsid w:val="00AD47BF"/>
    <w:rsid w:val="00AD51F6"/>
    <w:rsid w:val="00AD6EB4"/>
    <w:rsid w:val="00AE04B0"/>
    <w:rsid w:val="00AE0919"/>
    <w:rsid w:val="00AE1B0C"/>
    <w:rsid w:val="00AE4B61"/>
    <w:rsid w:val="00AE5380"/>
    <w:rsid w:val="00AE6E3A"/>
    <w:rsid w:val="00AE6E4A"/>
    <w:rsid w:val="00AF0583"/>
    <w:rsid w:val="00AF0EF7"/>
    <w:rsid w:val="00AF14DE"/>
    <w:rsid w:val="00AF2202"/>
    <w:rsid w:val="00AF36A6"/>
    <w:rsid w:val="00AF4026"/>
    <w:rsid w:val="00AF46DE"/>
    <w:rsid w:val="00AF4ACD"/>
    <w:rsid w:val="00AF4CD1"/>
    <w:rsid w:val="00AF52EA"/>
    <w:rsid w:val="00AF63AB"/>
    <w:rsid w:val="00AF719B"/>
    <w:rsid w:val="00B00EDB"/>
    <w:rsid w:val="00B0150D"/>
    <w:rsid w:val="00B0191F"/>
    <w:rsid w:val="00B0282B"/>
    <w:rsid w:val="00B0405F"/>
    <w:rsid w:val="00B05113"/>
    <w:rsid w:val="00B05377"/>
    <w:rsid w:val="00B06D77"/>
    <w:rsid w:val="00B0700B"/>
    <w:rsid w:val="00B072D3"/>
    <w:rsid w:val="00B10474"/>
    <w:rsid w:val="00B10702"/>
    <w:rsid w:val="00B10863"/>
    <w:rsid w:val="00B12EB8"/>
    <w:rsid w:val="00B131A5"/>
    <w:rsid w:val="00B13D99"/>
    <w:rsid w:val="00B148DB"/>
    <w:rsid w:val="00B17B6B"/>
    <w:rsid w:val="00B20973"/>
    <w:rsid w:val="00B21312"/>
    <w:rsid w:val="00B22E60"/>
    <w:rsid w:val="00B23A99"/>
    <w:rsid w:val="00B23EA7"/>
    <w:rsid w:val="00B23EAA"/>
    <w:rsid w:val="00B260DE"/>
    <w:rsid w:val="00B2640E"/>
    <w:rsid w:val="00B26F60"/>
    <w:rsid w:val="00B27AAC"/>
    <w:rsid w:val="00B30C77"/>
    <w:rsid w:val="00B335C4"/>
    <w:rsid w:val="00B33909"/>
    <w:rsid w:val="00B342FB"/>
    <w:rsid w:val="00B34750"/>
    <w:rsid w:val="00B34E0A"/>
    <w:rsid w:val="00B35109"/>
    <w:rsid w:val="00B35E6D"/>
    <w:rsid w:val="00B36A0B"/>
    <w:rsid w:val="00B36E39"/>
    <w:rsid w:val="00B37C45"/>
    <w:rsid w:val="00B404A5"/>
    <w:rsid w:val="00B43124"/>
    <w:rsid w:val="00B45561"/>
    <w:rsid w:val="00B465C7"/>
    <w:rsid w:val="00B466EC"/>
    <w:rsid w:val="00B50081"/>
    <w:rsid w:val="00B500F5"/>
    <w:rsid w:val="00B50254"/>
    <w:rsid w:val="00B50996"/>
    <w:rsid w:val="00B50ACA"/>
    <w:rsid w:val="00B519B6"/>
    <w:rsid w:val="00B54928"/>
    <w:rsid w:val="00B55F22"/>
    <w:rsid w:val="00B56C90"/>
    <w:rsid w:val="00B61743"/>
    <w:rsid w:val="00B62FC9"/>
    <w:rsid w:val="00B6398C"/>
    <w:rsid w:val="00B63BB6"/>
    <w:rsid w:val="00B63C5B"/>
    <w:rsid w:val="00B63F5E"/>
    <w:rsid w:val="00B6408F"/>
    <w:rsid w:val="00B6411C"/>
    <w:rsid w:val="00B65806"/>
    <w:rsid w:val="00B66402"/>
    <w:rsid w:val="00B6721B"/>
    <w:rsid w:val="00B67312"/>
    <w:rsid w:val="00B6740D"/>
    <w:rsid w:val="00B70395"/>
    <w:rsid w:val="00B71F8E"/>
    <w:rsid w:val="00B724AE"/>
    <w:rsid w:val="00B728FF"/>
    <w:rsid w:val="00B743FC"/>
    <w:rsid w:val="00B754A7"/>
    <w:rsid w:val="00B7627B"/>
    <w:rsid w:val="00B768CC"/>
    <w:rsid w:val="00B76D58"/>
    <w:rsid w:val="00B770D1"/>
    <w:rsid w:val="00B77B9A"/>
    <w:rsid w:val="00B80DDB"/>
    <w:rsid w:val="00B81496"/>
    <w:rsid w:val="00B82FDC"/>
    <w:rsid w:val="00B83976"/>
    <w:rsid w:val="00B85037"/>
    <w:rsid w:val="00B854D1"/>
    <w:rsid w:val="00B85B10"/>
    <w:rsid w:val="00B85D89"/>
    <w:rsid w:val="00B87249"/>
    <w:rsid w:val="00B87912"/>
    <w:rsid w:val="00B90D79"/>
    <w:rsid w:val="00B91596"/>
    <w:rsid w:val="00B9226D"/>
    <w:rsid w:val="00B9241B"/>
    <w:rsid w:val="00B928CC"/>
    <w:rsid w:val="00B92A62"/>
    <w:rsid w:val="00B92D98"/>
    <w:rsid w:val="00B94D1D"/>
    <w:rsid w:val="00B9595E"/>
    <w:rsid w:val="00B96732"/>
    <w:rsid w:val="00B970B6"/>
    <w:rsid w:val="00B97889"/>
    <w:rsid w:val="00B9799C"/>
    <w:rsid w:val="00B97EB7"/>
    <w:rsid w:val="00B97F61"/>
    <w:rsid w:val="00BA0EC5"/>
    <w:rsid w:val="00BA0FE9"/>
    <w:rsid w:val="00BA18BA"/>
    <w:rsid w:val="00BA1F59"/>
    <w:rsid w:val="00BA2A28"/>
    <w:rsid w:val="00BA2DCB"/>
    <w:rsid w:val="00BA404A"/>
    <w:rsid w:val="00BA56B1"/>
    <w:rsid w:val="00BA73B1"/>
    <w:rsid w:val="00BA749C"/>
    <w:rsid w:val="00BB0869"/>
    <w:rsid w:val="00BB0CD3"/>
    <w:rsid w:val="00BB1158"/>
    <w:rsid w:val="00BB16C2"/>
    <w:rsid w:val="00BB31F0"/>
    <w:rsid w:val="00BB43B0"/>
    <w:rsid w:val="00BC04D6"/>
    <w:rsid w:val="00BC0ABE"/>
    <w:rsid w:val="00BC3547"/>
    <w:rsid w:val="00BC45CD"/>
    <w:rsid w:val="00BC47C1"/>
    <w:rsid w:val="00BC4E2F"/>
    <w:rsid w:val="00BC545C"/>
    <w:rsid w:val="00BC5785"/>
    <w:rsid w:val="00BC600A"/>
    <w:rsid w:val="00BC6567"/>
    <w:rsid w:val="00BC7368"/>
    <w:rsid w:val="00BC78F6"/>
    <w:rsid w:val="00BD051D"/>
    <w:rsid w:val="00BD082D"/>
    <w:rsid w:val="00BD16EA"/>
    <w:rsid w:val="00BD19FD"/>
    <w:rsid w:val="00BD40F6"/>
    <w:rsid w:val="00BD4421"/>
    <w:rsid w:val="00BD490D"/>
    <w:rsid w:val="00BD4F4C"/>
    <w:rsid w:val="00BD5879"/>
    <w:rsid w:val="00BD608A"/>
    <w:rsid w:val="00BD6114"/>
    <w:rsid w:val="00BD6733"/>
    <w:rsid w:val="00BD70B0"/>
    <w:rsid w:val="00BD7890"/>
    <w:rsid w:val="00BE059A"/>
    <w:rsid w:val="00BE1EB4"/>
    <w:rsid w:val="00BE258E"/>
    <w:rsid w:val="00BE2993"/>
    <w:rsid w:val="00BE4366"/>
    <w:rsid w:val="00BE4930"/>
    <w:rsid w:val="00BE4940"/>
    <w:rsid w:val="00BE4970"/>
    <w:rsid w:val="00BE58D5"/>
    <w:rsid w:val="00BE5B6B"/>
    <w:rsid w:val="00BE5C04"/>
    <w:rsid w:val="00BE5E94"/>
    <w:rsid w:val="00BE742C"/>
    <w:rsid w:val="00BE7899"/>
    <w:rsid w:val="00BE79E0"/>
    <w:rsid w:val="00BF280E"/>
    <w:rsid w:val="00BF2E7B"/>
    <w:rsid w:val="00BF2F18"/>
    <w:rsid w:val="00BF39FA"/>
    <w:rsid w:val="00BF4012"/>
    <w:rsid w:val="00BF40FB"/>
    <w:rsid w:val="00BF4401"/>
    <w:rsid w:val="00BF57B1"/>
    <w:rsid w:val="00BF6409"/>
    <w:rsid w:val="00BF647C"/>
    <w:rsid w:val="00BF7017"/>
    <w:rsid w:val="00BF71D5"/>
    <w:rsid w:val="00BF73DC"/>
    <w:rsid w:val="00BF7454"/>
    <w:rsid w:val="00BF768F"/>
    <w:rsid w:val="00BF7BF8"/>
    <w:rsid w:val="00C000D4"/>
    <w:rsid w:val="00C04039"/>
    <w:rsid w:val="00C05732"/>
    <w:rsid w:val="00C058ED"/>
    <w:rsid w:val="00C059D2"/>
    <w:rsid w:val="00C0604F"/>
    <w:rsid w:val="00C07F33"/>
    <w:rsid w:val="00C1152F"/>
    <w:rsid w:val="00C120CF"/>
    <w:rsid w:val="00C1215B"/>
    <w:rsid w:val="00C12B53"/>
    <w:rsid w:val="00C12BD6"/>
    <w:rsid w:val="00C14B47"/>
    <w:rsid w:val="00C14EF2"/>
    <w:rsid w:val="00C15621"/>
    <w:rsid w:val="00C15E86"/>
    <w:rsid w:val="00C163E4"/>
    <w:rsid w:val="00C17B5E"/>
    <w:rsid w:val="00C20B51"/>
    <w:rsid w:val="00C215FF"/>
    <w:rsid w:val="00C219B4"/>
    <w:rsid w:val="00C21EEF"/>
    <w:rsid w:val="00C2495A"/>
    <w:rsid w:val="00C24A41"/>
    <w:rsid w:val="00C24FCD"/>
    <w:rsid w:val="00C27935"/>
    <w:rsid w:val="00C3007F"/>
    <w:rsid w:val="00C30336"/>
    <w:rsid w:val="00C30BFF"/>
    <w:rsid w:val="00C30C06"/>
    <w:rsid w:val="00C30C97"/>
    <w:rsid w:val="00C31AD1"/>
    <w:rsid w:val="00C31D40"/>
    <w:rsid w:val="00C324C4"/>
    <w:rsid w:val="00C32C57"/>
    <w:rsid w:val="00C35099"/>
    <w:rsid w:val="00C3534B"/>
    <w:rsid w:val="00C369B9"/>
    <w:rsid w:val="00C44C5C"/>
    <w:rsid w:val="00C472CC"/>
    <w:rsid w:val="00C505F6"/>
    <w:rsid w:val="00C52A32"/>
    <w:rsid w:val="00C52BB0"/>
    <w:rsid w:val="00C5438C"/>
    <w:rsid w:val="00C54C71"/>
    <w:rsid w:val="00C55742"/>
    <w:rsid w:val="00C55A52"/>
    <w:rsid w:val="00C55EEC"/>
    <w:rsid w:val="00C56618"/>
    <w:rsid w:val="00C6022D"/>
    <w:rsid w:val="00C60EFF"/>
    <w:rsid w:val="00C61810"/>
    <w:rsid w:val="00C61C08"/>
    <w:rsid w:val="00C61CA8"/>
    <w:rsid w:val="00C61F09"/>
    <w:rsid w:val="00C628E7"/>
    <w:rsid w:val="00C63320"/>
    <w:rsid w:val="00C6346A"/>
    <w:rsid w:val="00C63F6D"/>
    <w:rsid w:val="00C643C2"/>
    <w:rsid w:val="00C64EDC"/>
    <w:rsid w:val="00C65376"/>
    <w:rsid w:val="00C658E9"/>
    <w:rsid w:val="00C6716C"/>
    <w:rsid w:val="00C73028"/>
    <w:rsid w:val="00C73EEE"/>
    <w:rsid w:val="00C74719"/>
    <w:rsid w:val="00C74FFD"/>
    <w:rsid w:val="00C76BE5"/>
    <w:rsid w:val="00C76D2D"/>
    <w:rsid w:val="00C773ED"/>
    <w:rsid w:val="00C77D19"/>
    <w:rsid w:val="00C80F41"/>
    <w:rsid w:val="00C8194A"/>
    <w:rsid w:val="00C82CDF"/>
    <w:rsid w:val="00C84A35"/>
    <w:rsid w:val="00C84EB7"/>
    <w:rsid w:val="00C85AB5"/>
    <w:rsid w:val="00C862AB"/>
    <w:rsid w:val="00C877CE"/>
    <w:rsid w:val="00C903CC"/>
    <w:rsid w:val="00C904C3"/>
    <w:rsid w:val="00C907E5"/>
    <w:rsid w:val="00C90EE0"/>
    <w:rsid w:val="00C926FD"/>
    <w:rsid w:val="00C93F69"/>
    <w:rsid w:val="00C941BC"/>
    <w:rsid w:val="00C9540B"/>
    <w:rsid w:val="00C96B1B"/>
    <w:rsid w:val="00C9742B"/>
    <w:rsid w:val="00C97B80"/>
    <w:rsid w:val="00C97EBD"/>
    <w:rsid w:val="00CA15A6"/>
    <w:rsid w:val="00CA201B"/>
    <w:rsid w:val="00CA216C"/>
    <w:rsid w:val="00CA43DF"/>
    <w:rsid w:val="00CA46BB"/>
    <w:rsid w:val="00CA53B4"/>
    <w:rsid w:val="00CA5D01"/>
    <w:rsid w:val="00CA6580"/>
    <w:rsid w:val="00CA7279"/>
    <w:rsid w:val="00CA754D"/>
    <w:rsid w:val="00CB11C5"/>
    <w:rsid w:val="00CB55FE"/>
    <w:rsid w:val="00CB6293"/>
    <w:rsid w:val="00CB70B6"/>
    <w:rsid w:val="00CC02AB"/>
    <w:rsid w:val="00CC0590"/>
    <w:rsid w:val="00CC0930"/>
    <w:rsid w:val="00CC12F9"/>
    <w:rsid w:val="00CC1388"/>
    <w:rsid w:val="00CC1AEF"/>
    <w:rsid w:val="00CC1C4F"/>
    <w:rsid w:val="00CC232C"/>
    <w:rsid w:val="00CC3C02"/>
    <w:rsid w:val="00CC3F73"/>
    <w:rsid w:val="00CC3F9A"/>
    <w:rsid w:val="00CC5444"/>
    <w:rsid w:val="00CC70F0"/>
    <w:rsid w:val="00CC7B1D"/>
    <w:rsid w:val="00CD07E8"/>
    <w:rsid w:val="00CD0A29"/>
    <w:rsid w:val="00CD25E4"/>
    <w:rsid w:val="00CD3211"/>
    <w:rsid w:val="00CD48FD"/>
    <w:rsid w:val="00CD4991"/>
    <w:rsid w:val="00CD4E2D"/>
    <w:rsid w:val="00CD55B7"/>
    <w:rsid w:val="00CD68B6"/>
    <w:rsid w:val="00CD7095"/>
    <w:rsid w:val="00CE05B2"/>
    <w:rsid w:val="00CE062A"/>
    <w:rsid w:val="00CE0889"/>
    <w:rsid w:val="00CE1354"/>
    <w:rsid w:val="00CE1B52"/>
    <w:rsid w:val="00CE1E77"/>
    <w:rsid w:val="00CE3302"/>
    <w:rsid w:val="00CE35C5"/>
    <w:rsid w:val="00CE478F"/>
    <w:rsid w:val="00CE48DB"/>
    <w:rsid w:val="00CE5D2D"/>
    <w:rsid w:val="00CE5D6C"/>
    <w:rsid w:val="00CE7270"/>
    <w:rsid w:val="00CF0028"/>
    <w:rsid w:val="00CF04ED"/>
    <w:rsid w:val="00CF055F"/>
    <w:rsid w:val="00CF0C48"/>
    <w:rsid w:val="00CF1B0D"/>
    <w:rsid w:val="00CF2EDD"/>
    <w:rsid w:val="00CF40B8"/>
    <w:rsid w:val="00CF4E87"/>
    <w:rsid w:val="00CF56FF"/>
    <w:rsid w:val="00CF59F0"/>
    <w:rsid w:val="00CF67EC"/>
    <w:rsid w:val="00CF7131"/>
    <w:rsid w:val="00CF727E"/>
    <w:rsid w:val="00CF7401"/>
    <w:rsid w:val="00CF7C17"/>
    <w:rsid w:val="00CF7FD0"/>
    <w:rsid w:val="00D00B33"/>
    <w:rsid w:val="00D01485"/>
    <w:rsid w:val="00D022FF"/>
    <w:rsid w:val="00D02812"/>
    <w:rsid w:val="00D02B1E"/>
    <w:rsid w:val="00D03356"/>
    <w:rsid w:val="00D04E34"/>
    <w:rsid w:val="00D05A08"/>
    <w:rsid w:val="00D05C7C"/>
    <w:rsid w:val="00D05FC6"/>
    <w:rsid w:val="00D07349"/>
    <w:rsid w:val="00D07912"/>
    <w:rsid w:val="00D07E1C"/>
    <w:rsid w:val="00D10A5E"/>
    <w:rsid w:val="00D10D76"/>
    <w:rsid w:val="00D12A7B"/>
    <w:rsid w:val="00D134F6"/>
    <w:rsid w:val="00D142E7"/>
    <w:rsid w:val="00D153EB"/>
    <w:rsid w:val="00D20EE7"/>
    <w:rsid w:val="00D214F7"/>
    <w:rsid w:val="00D2184F"/>
    <w:rsid w:val="00D229D6"/>
    <w:rsid w:val="00D24499"/>
    <w:rsid w:val="00D24ABC"/>
    <w:rsid w:val="00D2599E"/>
    <w:rsid w:val="00D25C0D"/>
    <w:rsid w:val="00D277C7"/>
    <w:rsid w:val="00D30A39"/>
    <w:rsid w:val="00D31A88"/>
    <w:rsid w:val="00D323CF"/>
    <w:rsid w:val="00D32A25"/>
    <w:rsid w:val="00D32C28"/>
    <w:rsid w:val="00D33287"/>
    <w:rsid w:val="00D33A53"/>
    <w:rsid w:val="00D349C8"/>
    <w:rsid w:val="00D34F2A"/>
    <w:rsid w:val="00D34FBC"/>
    <w:rsid w:val="00D350C6"/>
    <w:rsid w:val="00D36073"/>
    <w:rsid w:val="00D363AC"/>
    <w:rsid w:val="00D379C4"/>
    <w:rsid w:val="00D404B6"/>
    <w:rsid w:val="00D4130F"/>
    <w:rsid w:val="00D4214C"/>
    <w:rsid w:val="00D43310"/>
    <w:rsid w:val="00D43E78"/>
    <w:rsid w:val="00D44E73"/>
    <w:rsid w:val="00D44EA9"/>
    <w:rsid w:val="00D46456"/>
    <w:rsid w:val="00D46CE8"/>
    <w:rsid w:val="00D4777D"/>
    <w:rsid w:val="00D507C6"/>
    <w:rsid w:val="00D519C5"/>
    <w:rsid w:val="00D5282A"/>
    <w:rsid w:val="00D52C17"/>
    <w:rsid w:val="00D530C9"/>
    <w:rsid w:val="00D532A7"/>
    <w:rsid w:val="00D53D68"/>
    <w:rsid w:val="00D551B9"/>
    <w:rsid w:val="00D554DC"/>
    <w:rsid w:val="00D55703"/>
    <w:rsid w:val="00D568FE"/>
    <w:rsid w:val="00D56DD4"/>
    <w:rsid w:val="00D57AB8"/>
    <w:rsid w:val="00D613C8"/>
    <w:rsid w:val="00D619AA"/>
    <w:rsid w:val="00D621C9"/>
    <w:rsid w:val="00D6225A"/>
    <w:rsid w:val="00D62574"/>
    <w:rsid w:val="00D62761"/>
    <w:rsid w:val="00D6374E"/>
    <w:rsid w:val="00D63EEA"/>
    <w:rsid w:val="00D65E9F"/>
    <w:rsid w:val="00D666B3"/>
    <w:rsid w:val="00D66BA4"/>
    <w:rsid w:val="00D677B6"/>
    <w:rsid w:val="00D70868"/>
    <w:rsid w:val="00D71CEE"/>
    <w:rsid w:val="00D72EE1"/>
    <w:rsid w:val="00D73B62"/>
    <w:rsid w:val="00D73CA5"/>
    <w:rsid w:val="00D73E15"/>
    <w:rsid w:val="00D746DA"/>
    <w:rsid w:val="00D74CC8"/>
    <w:rsid w:val="00D74E23"/>
    <w:rsid w:val="00D75109"/>
    <w:rsid w:val="00D76062"/>
    <w:rsid w:val="00D7637C"/>
    <w:rsid w:val="00D77D24"/>
    <w:rsid w:val="00D800FA"/>
    <w:rsid w:val="00D80791"/>
    <w:rsid w:val="00D809EE"/>
    <w:rsid w:val="00D8163B"/>
    <w:rsid w:val="00D822E3"/>
    <w:rsid w:val="00D82B97"/>
    <w:rsid w:val="00D82C17"/>
    <w:rsid w:val="00D83653"/>
    <w:rsid w:val="00D853B8"/>
    <w:rsid w:val="00D86427"/>
    <w:rsid w:val="00D86CCE"/>
    <w:rsid w:val="00D87F68"/>
    <w:rsid w:val="00D90F9B"/>
    <w:rsid w:val="00D91C76"/>
    <w:rsid w:val="00D91CBC"/>
    <w:rsid w:val="00D93328"/>
    <w:rsid w:val="00D93A4A"/>
    <w:rsid w:val="00D942DE"/>
    <w:rsid w:val="00D95BD5"/>
    <w:rsid w:val="00D9655C"/>
    <w:rsid w:val="00D965D8"/>
    <w:rsid w:val="00D966F7"/>
    <w:rsid w:val="00D9688B"/>
    <w:rsid w:val="00D96FD3"/>
    <w:rsid w:val="00D97B89"/>
    <w:rsid w:val="00DA26D2"/>
    <w:rsid w:val="00DA32B8"/>
    <w:rsid w:val="00DA33C4"/>
    <w:rsid w:val="00DA3E61"/>
    <w:rsid w:val="00DA472B"/>
    <w:rsid w:val="00DA54F9"/>
    <w:rsid w:val="00DA5F07"/>
    <w:rsid w:val="00DA757B"/>
    <w:rsid w:val="00DA78EE"/>
    <w:rsid w:val="00DA7E41"/>
    <w:rsid w:val="00DB0AA6"/>
    <w:rsid w:val="00DB1C61"/>
    <w:rsid w:val="00DB37F2"/>
    <w:rsid w:val="00DB51B6"/>
    <w:rsid w:val="00DB61F3"/>
    <w:rsid w:val="00DB6240"/>
    <w:rsid w:val="00DB6FA9"/>
    <w:rsid w:val="00DB7090"/>
    <w:rsid w:val="00DC1294"/>
    <w:rsid w:val="00DC3D5B"/>
    <w:rsid w:val="00DC3D8E"/>
    <w:rsid w:val="00DC3FAB"/>
    <w:rsid w:val="00DC4D80"/>
    <w:rsid w:val="00DC50F0"/>
    <w:rsid w:val="00DC5546"/>
    <w:rsid w:val="00DC673B"/>
    <w:rsid w:val="00DC6984"/>
    <w:rsid w:val="00DC752A"/>
    <w:rsid w:val="00DC7D57"/>
    <w:rsid w:val="00DD06B9"/>
    <w:rsid w:val="00DD07F1"/>
    <w:rsid w:val="00DD1C35"/>
    <w:rsid w:val="00DD1DA5"/>
    <w:rsid w:val="00DD2279"/>
    <w:rsid w:val="00DD245F"/>
    <w:rsid w:val="00DD28C7"/>
    <w:rsid w:val="00DD4A6E"/>
    <w:rsid w:val="00DD4EEA"/>
    <w:rsid w:val="00DD57FF"/>
    <w:rsid w:val="00DD608C"/>
    <w:rsid w:val="00DD70C0"/>
    <w:rsid w:val="00DD76A3"/>
    <w:rsid w:val="00DD786A"/>
    <w:rsid w:val="00DD79C6"/>
    <w:rsid w:val="00DE0A17"/>
    <w:rsid w:val="00DE152B"/>
    <w:rsid w:val="00DE2DA7"/>
    <w:rsid w:val="00DE3B55"/>
    <w:rsid w:val="00DE41ED"/>
    <w:rsid w:val="00DE6215"/>
    <w:rsid w:val="00DE7069"/>
    <w:rsid w:val="00DE75E6"/>
    <w:rsid w:val="00DE77E3"/>
    <w:rsid w:val="00DF0517"/>
    <w:rsid w:val="00DF09E3"/>
    <w:rsid w:val="00DF1DC0"/>
    <w:rsid w:val="00DF219C"/>
    <w:rsid w:val="00DF2372"/>
    <w:rsid w:val="00DF2876"/>
    <w:rsid w:val="00DF2E19"/>
    <w:rsid w:val="00DF3330"/>
    <w:rsid w:val="00DF487B"/>
    <w:rsid w:val="00DF4BFB"/>
    <w:rsid w:val="00DF5FDB"/>
    <w:rsid w:val="00DF6DC9"/>
    <w:rsid w:val="00DF7EFB"/>
    <w:rsid w:val="00E01723"/>
    <w:rsid w:val="00E02103"/>
    <w:rsid w:val="00E031C2"/>
    <w:rsid w:val="00E03A24"/>
    <w:rsid w:val="00E040A2"/>
    <w:rsid w:val="00E04209"/>
    <w:rsid w:val="00E04568"/>
    <w:rsid w:val="00E045EF"/>
    <w:rsid w:val="00E0504C"/>
    <w:rsid w:val="00E064AD"/>
    <w:rsid w:val="00E069AF"/>
    <w:rsid w:val="00E06CC7"/>
    <w:rsid w:val="00E07FF0"/>
    <w:rsid w:val="00E10B75"/>
    <w:rsid w:val="00E10EBB"/>
    <w:rsid w:val="00E11090"/>
    <w:rsid w:val="00E12035"/>
    <w:rsid w:val="00E14748"/>
    <w:rsid w:val="00E1551D"/>
    <w:rsid w:val="00E15D54"/>
    <w:rsid w:val="00E17CA9"/>
    <w:rsid w:val="00E17FB9"/>
    <w:rsid w:val="00E222B0"/>
    <w:rsid w:val="00E22CBD"/>
    <w:rsid w:val="00E23C3C"/>
    <w:rsid w:val="00E245F7"/>
    <w:rsid w:val="00E24B87"/>
    <w:rsid w:val="00E24D56"/>
    <w:rsid w:val="00E26455"/>
    <w:rsid w:val="00E264D5"/>
    <w:rsid w:val="00E265AD"/>
    <w:rsid w:val="00E274E0"/>
    <w:rsid w:val="00E27508"/>
    <w:rsid w:val="00E27CA6"/>
    <w:rsid w:val="00E30F0F"/>
    <w:rsid w:val="00E31624"/>
    <w:rsid w:val="00E32DD8"/>
    <w:rsid w:val="00E331D1"/>
    <w:rsid w:val="00E33C8C"/>
    <w:rsid w:val="00E33DA5"/>
    <w:rsid w:val="00E34FAD"/>
    <w:rsid w:val="00E36482"/>
    <w:rsid w:val="00E36664"/>
    <w:rsid w:val="00E37041"/>
    <w:rsid w:val="00E40B23"/>
    <w:rsid w:val="00E41052"/>
    <w:rsid w:val="00E41E92"/>
    <w:rsid w:val="00E433DE"/>
    <w:rsid w:val="00E44F10"/>
    <w:rsid w:val="00E46105"/>
    <w:rsid w:val="00E4679F"/>
    <w:rsid w:val="00E477EC"/>
    <w:rsid w:val="00E5098C"/>
    <w:rsid w:val="00E518E6"/>
    <w:rsid w:val="00E52939"/>
    <w:rsid w:val="00E552AD"/>
    <w:rsid w:val="00E559B0"/>
    <w:rsid w:val="00E602A5"/>
    <w:rsid w:val="00E60F53"/>
    <w:rsid w:val="00E624CA"/>
    <w:rsid w:val="00E6292E"/>
    <w:rsid w:val="00E62BBC"/>
    <w:rsid w:val="00E62C82"/>
    <w:rsid w:val="00E64326"/>
    <w:rsid w:val="00E644D8"/>
    <w:rsid w:val="00E64BED"/>
    <w:rsid w:val="00E65E93"/>
    <w:rsid w:val="00E66181"/>
    <w:rsid w:val="00E666A8"/>
    <w:rsid w:val="00E70188"/>
    <w:rsid w:val="00E70F72"/>
    <w:rsid w:val="00E71010"/>
    <w:rsid w:val="00E71020"/>
    <w:rsid w:val="00E72361"/>
    <w:rsid w:val="00E74189"/>
    <w:rsid w:val="00E74269"/>
    <w:rsid w:val="00E76786"/>
    <w:rsid w:val="00E76C7B"/>
    <w:rsid w:val="00E76D9B"/>
    <w:rsid w:val="00E776E2"/>
    <w:rsid w:val="00E80765"/>
    <w:rsid w:val="00E80B6E"/>
    <w:rsid w:val="00E81EC4"/>
    <w:rsid w:val="00E82766"/>
    <w:rsid w:val="00E842AE"/>
    <w:rsid w:val="00E8475F"/>
    <w:rsid w:val="00E85E05"/>
    <w:rsid w:val="00E86360"/>
    <w:rsid w:val="00E86741"/>
    <w:rsid w:val="00E90E81"/>
    <w:rsid w:val="00E914FC"/>
    <w:rsid w:val="00E917F6"/>
    <w:rsid w:val="00E92C55"/>
    <w:rsid w:val="00E9399C"/>
    <w:rsid w:val="00E9520F"/>
    <w:rsid w:val="00E96E34"/>
    <w:rsid w:val="00E9785F"/>
    <w:rsid w:val="00E979D2"/>
    <w:rsid w:val="00EA0620"/>
    <w:rsid w:val="00EA20F8"/>
    <w:rsid w:val="00EA24E0"/>
    <w:rsid w:val="00EA2B7E"/>
    <w:rsid w:val="00EA3AD2"/>
    <w:rsid w:val="00EA4D8B"/>
    <w:rsid w:val="00EA62B6"/>
    <w:rsid w:val="00EA71A5"/>
    <w:rsid w:val="00EA756F"/>
    <w:rsid w:val="00EA77DE"/>
    <w:rsid w:val="00EA7B05"/>
    <w:rsid w:val="00EB0925"/>
    <w:rsid w:val="00EB0954"/>
    <w:rsid w:val="00EB1A89"/>
    <w:rsid w:val="00EB2177"/>
    <w:rsid w:val="00EB3342"/>
    <w:rsid w:val="00EB35D5"/>
    <w:rsid w:val="00EB71A5"/>
    <w:rsid w:val="00EC1D8F"/>
    <w:rsid w:val="00EC3966"/>
    <w:rsid w:val="00EC4B5D"/>
    <w:rsid w:val="00EC5934"/>
    <w:rsid w:val="00EC5F4A"/>
    <w:rsid w:val="00EC600D"/>
    <w:rsid w:val="00ED24E0"/>
    <w:rsid w:val="00ED2D0A"/>
    <w:rsid w:val="00ED5545"/>
    <w:rsid w:val="00ED5962"/>
    <w:rsid w:val="00ED7B3A"/>
    <w:rsid w:val="00EE0F5F"/>
    <w:rsid w:val="00EE3986"/>
    <w:rsid w:val="00EE3E10"/>
    <w:rsid w:val="00EE4570"/>
    <w:rsid w:val="00EE5867"/>
    <w:rsid w:val="00EE5998"/>
    <w:rsid w:val="00EE5AD0"/>
    <w:rsid w:val="00EE5D64"/>
    <w:rsid w:val="00EE7AF0"/>
    <w:rsid w:val="00EE7DBA"/>
    <w:rsid w:val="00EF0DA2"/>
    <w:rsid w:val="00EF1C91"/>
    <w:rsid w:val="00EF24D5"/>
    <w:rsid w:val="00EF333F"/>
    <w:rsid w:val="00EF3633"/>
    <w:rsid w:val="00EF4502"/>
    <w:rsid w:val="00EF51C2"/>
    <w:rsid w:val="00EF6308"/>
    <w:rsid w:val="00EF661D"/>
    <w:rsid w:val="00EF728A"/>
    <w:rsid w:val="00EF7DEC"/>
    <w:rsid w:val="00F0145F"/>
    <w:rsid w:val="00F01758"/>
    <w:rsid w:val="00F02851"/>
    <w:rsid w:val="00F035D8"/>
    <w:rsid w:val="00F03C8B"/>
    <w:rsid w:val="00F04090"/>
    <w:rsid w:val="00F04365"/>
    <w:rsid w:val="00F04444"/>
    <w:rsid w:val="00F04F72"/>
    <w:rsid w:val="00F06186"/>
    <w:rsid w:val="00F07BF3"/>
    <w:rsid w:val="00F10C4A"/>
    <w:rsid w:val="00F10ECF"/>
    <w:rsid w:val="00F129A5"/>
    <w:rsid w:val="00F1301E"/>
    <w:rsid w:val="00F1357E"/>
    <w:rsid w:val="00F1479C"/>
    <w:rsid w:val="00F15346"/>
    <w:rsid w:val="00F161E1"/>
    <w:rsid w:val="00F174B7"/>
    <w:rsid w:val="00F178D0"/>
    <w:rsid w:val="00F17E35"/>
    <w:rsid w:val="00F20523"/>
    <w:rsid w:val="00F211D8"/>
    <w:rsid w:val="00F219B0"/>
    <w:rsid w:val="00F21A03"/>
    <w:rsid w:val="00F220E7"/>
    <w:rsid w:val="00F22234"/>
    <w:rsid w:val="00F22714"/>
    <w:rsid w:val="00F22D7A"/>
    <w:rsid w:val="00F267E4"/>
    <w:rsid w:val="00F26810"/>
    <w:rsid w:val="00F26FD3"/>
    <w:rsid w:val="00F2769A"/>
    <w:rsid w:val="00F27E27"/>
    <w:rsid w:val="00F316C5"/>
    <w:rsid w:val="00F321C5"/>
    <w:rsid w:val="00F32F23"/>
    <w:rsid w:val="00F34B89"/>
    <w:rsid w:val="00F3500B"/>
    <w:rsid w:val="00F35553"/>
    <w:rsid w:val="00F37397"/>
    <w:rsid w:val="00F378B0"/>
    <w:rsid w:val="00F40BBE"/>
    <w:rsid w:val="00F40BD7"/>
    <w:rsid w:val="00F42C15"/>
    <w:rsid w:val="00F44E6B"/>
    <w:rsid w:val="00F4525C"/>
    <w:rsid w:val="00F46F75"/>
    <w:rsid w:val="00F47EB2"/>
    <w:rsid w:val="00F47EE8"/>
    <w:rsid w:val="00F50F40"/>
    <w:rsid w:val="00F5138B"/>
    <w:rsid w:val="00F52611"/>
    <w:rsid w:val="00F52743"/>
    <w:rsid w:val="00F52BD3"/>
    <w:rsid w:val="00F531B8"/>
    <w:rsid w:val="00F534BA"/>
    <w:rsid w:val="00F5387F"/>
    <w:rsid w:val="00F53AA6"/>
    <w:rsid w:val="00F53E00"/>
    <w:rsid w:val="00F540A0"/>
    <w:rsid w:val="00F54BEF"/>
    <w:rsid w:val="00F554C6"/>
    <w:rsid w:val="00F555ED"/>
    <w:rsid w:val="00F55C48"/>
    <w:rsid w:val="00F57D1A"/>
    <w:rsid w:val="00F60A1F"/>
    <w:rsid w:val="00F611FF"/>
    <w:rsid w:val="00F62E9E"/>
    <w:rsid w:val="00F64036"/>
    <w:rsid w:val="00F64B45"/>
    <w:rsid w:val="00F6562F"/>
    <w:rsid w:val="00F65945"/>
    <w:rsid w:val="00F66577"/>
    <w:rsid w:val="00F70B83"/>
    <w:rsid w:val="00F71071"/>
    <w:rsid w:val="00F72CB0"/>
    <w:rsid w:val="00F731D7"/>
    <w:rsid w:val="00F73953"/>
    <w:rsid w:val="00F73B35"/>
    <w:rsid w:val="00F74060"/>
    <w:rsid w:val="00F75647"/>
    <w:rsid w:val="00F7596A"/>
    <w:rsid w:val="00F75F1B"/>
    <w:rsid w:val="00F75F1F"/>
    <w:rsid w:val="00F8048E"/>
    <w:rsid w:val="00F804AF"/>
    <w:rsid w:val="00F805D8"/>
    <w:rsid w:val="00F81866"/>
    <w:rsid w:val="00F82B98"/>
    <w:rsid w:val="00F83E60"/>
    <w:rsid w:val="00F84FBC"/>
    <w:rsid w:val="00F85A61"/>
    <w:rsid w:val="00F862C1"/>
    <w:rsid w:val="00F900C5"/>
    <w:rsid w:val="00F934F0"/>
    <w:rsid w:val="00F935AD"/>
    <w:rsid w:val="00F9397E"/>
    <w:rsid w:val="00F93990"/>
    <w:rsid w:val="00F94744"/>
    <w:rsid w:val="00F95703"/>
    <w:rsid w:val="00F97815"/>
    <w:rsid w:val="00FA21BC"/>
    <w:rsid w:val="00FA50C6"/>
    <w:rsid w:val="00FA57D3"/>
    <w:rsid w:val="00FA611B"/>
    <w:rsid w:val="00FA62FA"/>
    <w:rsid w:val="00FA63B9"/>
    <w:rsid w:val="00FA7020"/>
    <w:rsid w:val="00FB0996"/>
    <w:rsid w:val="00FB10FB"/>
    <w:rsid w:val="00FB1204"/>
    <w:rsid w:val="00FB311C"/>
    <w:rsid w:val="00FB3FE1"/>
    <w:rsid w:val="00FB3FF2"/>
    <w:rsid w:val="00FB5703"/>
    <w:rsid w:val="00FB5C48"/>
    <w:rsid w:val="00FB5E4A"/>
    <w:rsid w:val="00FC1324"/>
    <w:rsid w:val="00FC14E7"/>
    <w:rsid w:val="00FC2A5C"/>
    <w:rsid w:val="00FC314E"/>
    <w:rsid w:val="00FC348E"/>
    <w:rsid w:val="00FC3E98"/>
    <w:rsid w:val="00FC3F16"/>
    <w:rsid w:val="00FC67EE"/>
    <w:rsid w:val="00FC7654"/>
    <w:rsid w:val="00FC7BDB"/>
    <w:rsid w:val="00FD116D"/>
    <w:rsid w:val="00FD1C09"/>
    <w:rsid w:val="00FD27B9"/>
    <w:rsid w:val="00FD3148"/>
    <w:rsid w:val="00FD4D13"/>
    <w:rsid w:val="00FD50D9"/>
    <w:rsid w:val="00FD5508"/>
    <w:rsid w:val="00FD592E"/>
    <w:rsid w:val="00FD61E0"/>
    <w:rsid w:val="00FD6F17"/>
    <w:rsid w:val="00FD6F86"/>
    <w:rsid w:val="00FD713F"/>
    <w:rsid w:val="00FE23B5"/>
    <w:rsid w:val="00FE29D2"/>
    <w:rsid w:val="00FE2EFF"/>
    <w:rsid w:val="00FE329B"/>
    <w:rsid w:val="00FE36DC"/>
    <w:rsid w:val="00FE436C"/>
    <w:rsid w:val="00FE5739"/>
    <w:rsid w:val="00FE61F2"/>
    <w:rsid w:val="00FF0978"/>
    <w:rsid w:val="00FF3E0E"/>
    <w:rsid w:val="00FF44AD"/>
    <w:rsid w:val="00FF5173"/>
    <w:rsid w:val="00FF6660"/>
    <w:rsid w:val="00FF746A"/>
    <w:rsid w:val="00FF75E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F517FA"/>
  <w15:docId w15:val="{A3829BAD-CB2E-4379-835C-BA8085C4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233"/>
    <w:rPr>
      <w:rFonts w:ascii="Arial" w:hAnsi="Arial"/>
      <w:sz w:val="24"/>
      <w:lang w:val="es-ES" w:eastAsia="es-ES"/>
    </w:rPr>
  </w:style>
  <w:style w:type="paragraph" w:styleId="Ttulo1">
    <w:name w:val="heading 1"/>
    <w:basedOn w:val="Normal"/>
    <w:next w:val="Normal"/>
    <w:link w:val="Ttulo1Car"/>
    <w:qFormat/>
    <w:rsid w:val="000913F1"/>
    <w:pPr>
      <w:keepNext/>
      <w:outlineLvl w:val="0"/>
    </w:pPr>
    <w:rPr>
      <w:b/>
    </w:rPr>
  </w:style>
  <w:style w:type="paragraph" w:styleId="Ttulo2">
    <w:name w:val="heading 2"/>
    <w:basedOn w:val="Normal"/>
    <w:next w:val="Normal"/>
    <w:qFormat/>
    <w:rsid w:val="000913F1"/>
    <w:pPr>
      <w:keepNext/>
      <w:ind w:firstLine="2835"/>
      <w:jc w:val="both"/>
      <w:outlineLvl w:val="1"/>
    </w:pPr>
    <w:rPr>
      <w:b/>
      <w:lang w:val="es-MX"/>
    </w:rPr>
  </w:style>
  <w:style w:type="paragraph" w:styleId="Ttulo3">
    <w:name w:val="heading 3"/>
    <w:basedOn w:val="Normal"/>
    <w:next w:val="Normal"/>
    <w:qFormat/>
    <w:rsid w:val="000913F1"/>
    <w:pPr>
      <w:keepNext/>
      <w:jc w:val="both"/>
      <w:outlineLvl w:val="2"/>
    </w:pPr>
    <w:rPr>
      <w:b/>
      <w:lang w:val="es-MX"/>
    </w:rPr>
  </w:style>
  <w:style w:type="paragraph" w:styleId="Ttulo4">
    <w:name w:val="heading 4"/>
    <w:basedOn w:val="Normal"/>
    <w:next w:val="Normal"/>
    <w:qFormat/>
    <w:rsid w:val="000913F1"/>
    <w:pPr>
      <w:keepNext/>
      <w:jc w:val="center"/>
      <w:outlineLvl w:val="3"/>
    </w:pPr>
    <w:rPr>
      <w:b/>
      <w:sz w:val="22"/>
      <w:lang w:val="es-MX"/>
    </w:rPr>
  </w:style>
  <w:style w:type="paragraph" w:styleId="Ttulo5">
    <w:name w:val="heading 5"/>
    <w:basedOn w:val="Normal"/>
    <w:next w:val="Normal"/>
    <w:qFormat/>
    <w:rsid w:val="009C64FD"/>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913F1"/>
    <w:pPr>
      <w:jc w:val="both"/>
    </w:pPr>
  </w:style>
  <w:style w:type="paragraph" w:styleId="Sangradetextonormal">
    <w:name w:val="Body Text Indent"/>
    <w:basedOn w:val="Normal"/>
    <w:rsid w:val="000913F1"/>
    <w:pPr>
      <w:ind w:left="3540"/>
    </w:pPr>
    <w:rPr>
      <w:b/>
      <w:sz w:val="28"/>
      <w:lang w:val="es-MX"/>
    </w:rPr>
  </w:style>
  <w:style w:type="paragraph" w:styleId="Sangra2detindependiente">
    <w:name w:val="Body Text Indent 2"/>
    <w:basedOn w:val="Normal"/>
    <w:rsid w:val="000913F1"/>
    <w:pPr>
      <w:ind w:left="2552" w:hanging="2552"/>
      <w:jc w:val="both"/>
    </w:pPr>
    <w:rPr>
      <w:sz w:val="16"/>
      <w:lang w:val="es-MX"/>
    </w:rPr>
  </w:style>
  <w:style w:type="paragraph" w:styleId="Encabezado">
    <w:name w:val="header"/>
    <w:basedOn w:val="Normal"/>
    <w:rsid w:val="000913F1"/>
    <w:pPr>
      <w:tabs>
        <w:tab w:val="center" w:pos="4419"/>
        <w:tab w:val="right" w:pos="8838"/>
      </w:tabs>
    </w:pPr>
  </w:style>
  <w:style w:type="paragraph" w:styleId="Piedepgina">
    <w:name w:val="footer"/>
    <w:basedOn w:val="Normal"/>
    <w:link w:val="PiedepginaCar"/>
    <w:uiPriority w:val="99"/>
    <w:rsid w:val="000913F1"/>
    <w:pPr>
      <w:tabs>
        <w:tab w:val="center" w:pos="4419"/>
        <w:tab w:val="right" w:pos="8838"/>
      </w:tabs>
    </w:pPr>
  </w:style>
  <w:style w:type="character" w:styleId="Nmerodepgina">
    <w:name w:val="page number"/>
    <w:basedOn w:val="Fuentedeprrafopredeter"/>
    <w:rsid w:val="000913F1"/>
  </w:style>
  <w:style w:type="paragraph" w:styleId="Textoindependiente2">
    <w:name w:val="Body Text 2"/>
    <w:basedOn w:val="Normal"/>
    <w:rsid w:val="000913F1"/>
    <w:pPr>
      <w:jc w:val="both"/>
    </w:pPr>
    <w:rPr>
      <w:b/>
      <w:lang w:val="es-MX"/>
    </w:rPr>
  </w:style>
  <w:style w:type="paragraph" w:styleId="Textoindependiente3">
    <w:name w:val="Body Text 3"/>
    <w:basedOn w:val="Normal"/>
    <w:rsid w:val="000913F1"/>
    <w:pPr>
      <w:jc w:val="both"/>
    </w:pPr>
    <w:rPr>
      <w:sz w:val="20"/>
    </w:rPr>
  </w:style>
  <w:style w:type="paragraph" w:styleId="Textodeglobo">
    <w:name w:val="Balloon Text"/>
    <w:basedOn w:val="Normal"/>
    <w:semiHidden/>
    <w:rsid w:val="00CF56FF"/>
    <w:rPr>
      <w:rFonts w:ascii="Tahoma" w:hAnsi="Tahoma" w:cs="Tahoma"/>
      <w:sz w:val="16"/>
      <w:szCs w:val="16"/>
    </w:rPr>
  </w:style>
  <w:style w:type="table" w:styleId="Tablaconcuadrcula">
    <w:name w:val="Table Grid"/>
    <w:basedOn w:val="Tablanormal"/>
    <w:rsid w:val="00D4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2E04BD"/>
    <w:rPr>
      <w:rFonts w:ascii="Arial" w:hAnsi="Arial"/>
      <w:b/>
      <w:sz w:val="24"/>
      <w:lang w:eastAsia="es-ES"/>
    </w:rPr>
  </w:style>
  <w:style w:type="paragraph" w:styleId="Prrafodelista">
    <w:name w:val="List Paragraph"/>
    <w:basedOn w:val="Normal"/>
    <w:uiPriority w:val="34"/>
    <w:qFormat/>
    <w:rsid w:val="007A6781"/>
    <w:pPr>
      <w:ind w:left="708"/>
    </w:pPr>
  </w:style>
  <w:style w:type="character" w:customStyle="1" w:styleId="TextoindependienteCar">
    <w:name w:val="Texto independiente Car"/>
    <w:link w:val="Textoindependiente"/>
    <w:rsid w:val="00B50081"/>
    <w:rPr>
      <w:rFonts w:ascii="Arial" w:hAnsi="Arial"/>
      <w:sz w:val="24"/>
      <w:lang w:eastAsia="es-ES"/>
    </w:rPr>
  </w:style>
  <w:style w:type="paragraph" w:styleId="NormalWeb">
    <w:name w:val="Normal (Web)"/>
    <w:basedOn w:val="Normal"/>
    <w:rsid w:val="00F22714"/>
    <w:rPr>
      <w:rFonts w:ascii="Times New Roman" w:hAnsi="Times New Roman"/>
      <w:szCs w:val="24"/>
    </w:rPr>
  </w:style>
  <w:style w:type="character" w:customStyle="1" w:styleId="PiedepginaCar">
    <w:name w:val="Pie de página Car"/>
    <w:link w:val="Piedepgina"/>
    <w:uiPriority w:val="99"/>
    <w:rsid w:val="00E71020"/>
    <w:rPr>
      <w:rFonts w:ascii="Arial" w:hAnsi="Arial"/>
      <w:sz w:val="24"/>
      <w:lang w:val="es-ES" w:eastAsia="es-ES"/>
    </w:rPr>
  </w:style>
  <w:style w:type="paragraph" w:styleId="Puesto">
    <w:name w:val="Title"/>
    <w:basedOn w:val="Normal"/>
    <w:link w:val="PuestoCar"/>
    <w:qFormat/>
    <w:rsid w:val="00124845"/>
    <w:pPr>
      <w:jc w:val="center"/>
    </w:pPr>
    <w:rPr>
      <w:b/>
      <w:sz w:val="20"/>
    </w:rPr>
  </w:style>
  <w:style w:type="character" w:customStyle="1" w:styleId="PuestoCar">
    <w:name w:val="Puesto Car"/>
    <w:link w:val="Puesto"/>
    <w:rsid w:val="00124845"/>
    <w:rPr>
      <w:rFonts w:ascii="Arial" w:hAnsi="Arial"/>
      <w:b/>
      <w:lang w:eastAsia="es-ES"/>
    </w:rPr>
  </w:style>
  <w:style w:type="paragraph" w:customStyle="1" w:styleId="estilo30">
    <w:name w:val="estilo30"/>
    <w:basedOn w:val="Normal"/>
    <w:rsid w:val="004C7979"/>
    <w:pPr>
      <w:spacing w:before="100" w:beforeAutospacing="1" w:after="100" w:afterAutospacing="1"/>
    </w:pPr>
    <w:rPr>
      <w:rFonts w:ascii="Times New Roman" w:hAnsi="Times New Roman"/>
      <w:szCs w:val="24"/>
      <w:lang w:val="es-MX" w:eastAsia="es-MX"/>
    </w:rPr>
  </w:style>
  <w:style w:type="paragraph" w:styleId="Textonotapie">
    <w:name w:val="footnote text"/>
    <w:basedOn w:val="Normal"/>
    <w:link w:val="TextonotapieCar"/>
    <w:rsid w:val="004465B5"/>
    <w:rPr>
      <w:sz w:val="20"/>
    </w:rPr>
  </w:style>
  <w:style w:type="character" w:customStyle="1" w:styleId="TextonotapieCar">
    <w:name w:val="Texto nota pie Car"/>
    <w:link w:val="Textonotapie"/>
    <w:rsid w:val="004465B5"/>
    <w:rPr>
      <w:rFonts w:ascii="Arial" w:hAnsi="Arial"/>
      <w:lang w:val="es-ES" w:eastAsia="es-ES"/>
    </w:rPr>
  </w:style>
  <w:style w:type="character" w:styleId="Refdenotaalpie">
    <w:name w:val="footnote reference"/>
    <w:rsid w:val="004465B5"/>
    <w:rPr>
      <w:vertAlign w:val="superscript"/>
    </w:rPr>
  </w:style>
  <w:style w:type="character" w:styleId="Hipervnculo">
    <w:name w:val="Hyperlink"/>
    <w:rsid w:val="004465B5"/>
    <w:rPr>
      <w:color w:val="0000FF"/>
      <w:u w:val="single"/>
    </w:rPr>
  </w:style>
  <w:style w:type="paragraph" w:customStyle="1" w:styleId="Default">
    <w:name w:val="Default"/>
    <w:rsid w:val="00067854"/>
    <w:pPr>
      <w:autoSpaceDE w:val="0"/>
      <w:autoSpaceDN w:val="0"/>
      <w:adjustRightInd w:val="0"/>
    </w:pPr>
    <w:rPr>
      <w:rFonts w:ascii="Tahoma" w:eastAsia="Calibri" w:hAnsi="Tahoma" w:cs="Tahoma"/>
      <w:color w:val="000000"/>
      <w:sz w:val="24"/>
      <w:szCs w:val="24"/>
    </w:rPr>
  </w:style>
  <w:style w:type="character" w:styleId="Refdecomentario">
    <w:name w:val="annotation reference"/>
    <w:basedOn w:val="Fuentedeprrafopredeter"/>
    <w:semiHidden/>
    <w:unhideWhenUsed/>
    <w:rsid w:val="00360692"/>
    <w:rPr>
      <w:sz w:val="16"/>
      <w:szCs w:val="16"/>
    </w:rPr>
  </w:style>
  <w:style w:type="paragraph" w:styleId="Textocomentario">
    <w:name w:val="annotation text"/>
    <w:basedOn w:val="Normal"/>
    <w:link w:val="TextocomentarioCar"/>
    <w:semiHidden/>
    <w:unhideWhenUsed/>
    <w:rsid w:val="00360692"/>
    <w:rPr>
      <w:sz w:val="20"/>
    </w:rPr>
  </w:style>
  <w:style w:type="character" w:customStyle="1" w:styleId="TextocomentarioCar">
    <w:name w:val="Texto comentario Car"/>
    <w:basedOn w:val="Fuentedeprrafopredeter"/>
    <w:link w:val="Textocomentario"/>
    <w:semiHidden/>
    <w:rsid w:val="00360692"/>
    <w:rPr>
      <w:rFonts w:ascii="Arial" w:hAnsi="Arial"/>
      <w:lang w:val="es-ES" w:eastAsia="es-ES"/>
    </w:rPr>
  </w:style>
  <w:style w:type="paragraph" w:styleId="Asuntodelcomentario">
    <w:name w:val="annotation subject"/>
    <w:basedOn w:val="Textocomentario"/>
    <w:next w:val="Textocomentario"/>
    <w:link w:val="AsuntodelcomentarioCar"/>
    <w:semiHidden/>
    <w:unhideWhenUsed/>
    <w:rsid w:val="00360692"/>
    <w:rPr>
      <w:b/>
      <w:bCs/>
    </w:rPr>
  </w:style>
  <w:style w:type="character" w:customStyle="1" w:styleId="AsuntodelcomentarioCar">
    <w:name w:val="Asunto del comentario Car"/>
    <w:basedOn w:val="TextocomentarioCar"/>
    <w:link w:val="Asuntodelcomentario"/>
    <w:semiHidden/>
    <w:rsid w:val="00360692"/>
    <w:rPr>
      <w:rFonts w:ascii="Arial" w:hAnsi="Arial"/>
      <w:b/>
      <w:bCs/>
      <w:lang w:val="es-ES" w:eastAsia="es-ES"/>
    </w:rPr>
  </w:style>
  <w:style w:type="paragraph" w:styleId="Revisin">
    <w:name w:val="Revision"/>
    <w:hidden/>
    <w:uiPriority w:val="99"/>
    <w:semiHidden/>
    <w:rsid w:val="00C000D4"/>
    <w:rPr>
      <w:rFonts w:ascii="Arial" w:hAnsi="Arial"/>
      <w:sz w:val="24"/>
      <w:lang w:val="es-ES" w:eastAsia="es-ES"/>
    </w:rPr>
  </w:style>
  <w:style w:type="table" w:customStyle="1" w:styleId="Tablaconcuadrcula1">
    <w:name w:val="Tabla con cuadrícula1"/>
    <w:basedOn w:val="Tablanormal"/>
    <w:next w:val="Tablaconcuadrcula"/>
    <w:uiPriority w:val="39"/>
    <w:rsid w:val="00DD4A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72695">
      <w:bodyDiv w:val="1"/>
      <w:marLeft w:val="0"/>
      <w:marRight w:val="0"/>
      <w:marTop w:val="0"/>
      <w:marBottom w:val="0"/>
      <w:divBdr>
        <w:top w:val="none" w:sz="0" w:space="0" w:color="auto"/>
        <w:left w:val="none" w:sz="0" w:space="0" w:color="auto"/>
        <w:bottom w:val="none" w:sz="0" w:space="0" w:color="auto"/>
        <w:right w:val="none" w:sz="0" w:space="0" w:color="auto"/>
      </w:divBdr>
    </w:div>
    <w:div w:id="844057752">
      <w:bodyDiv w:val="1"/>
      <w:marLeft w:val="0"/>
      <w:marRight w:val="0"/>
      <w:marTop w:val="0"/>
      <w:marBottom w:val="0"/>
      <w:divBdr>
        <w:top w:val="none" w:sz="0" w:space="0" w:color="auto"/>
        <w:left w:val="none" w:sz="0" w:space="0" w:color="auto"/>
        <w:bottom w:val="none" w:sz="0" w:space="0" w:color="auto"/>
        <w:right w:val="none" w:sz="0" w:space="0" w:color="auto"/>
      </w:divBdr>
    </w:div>
    <w:div w:id="858852121">
      <w:bodyDiv w:val="1"/>
      <w:marLeft w:val="0"/>
      <w:marRight w:val="0"/>
      <w:marTop w:val="0"/>
      <w:marBottom w:val="0"/>
      <w:divBdr>
        <w:top w:val="none" w:sz="0" w:space="0" w:color="auto"/>
        <w:left w:val="none" w:sz="0" w:space="0" w:color="auto"/>
        <w:bottom w:val="none" w:sz="0" w:space="0" w:color="auto"/>
        <w:right w:val="none" w:sz="0" w:space="0" w:color="auto"/>
      </w:divBdr>
    </w:div>
    <w:div w:id="1317564929">
      <w:bodyDiv w:val="1"/>
      <w:marLeft w:val="0"/>
      <w:marRight w:val="0"/>
      <w:marTop w:val="0"/>
      <w:marBottom w:val="0"/>
      <w:divBdr>
        <w:top w:val="none" w:sz="0" w:space="0" w:color="auto"/>
        <w:left w:val="none" w:sz="0" w:space="0" w:color="auto"/>
        <w:bottom w:val="none" w:sz="0" w:space="0" w:color="auto"/>
        <w:right w:val="none" w:sz="0" w:space="0" w:color="auto"/>
      </w:divBdr>
    </w:div>
    <w:div w:id="1481267778">
      <w:bodyDiv w:val="1"/>
      <w:marLeft w:val="0"/>
      <w:marRight w:val="0"/>
      <w:marTop w:val="0"/>
      <w:marBottom w:val="0"/>
      <w:divBdr>
        <w:top w:val="none" w:sz="0" w:space="0" w:color="auto"/>
        <w:left w:val="none" w:sz="0" w:space="0" w:color="auto"/>
        <w:bottom w:val="none" w:sz="0" w:space="0" w:color="auto"/>
        <w:right w:val="none" w:sz="0" w:space="0" w:color="auto"/>
      </w:divBdr>
    </w:div>
    <w:div w:id="1504785130">
      <w:bodyDiv w:val="1"/>
      <w:marLeft w:val="0"/>
      <w:marRight w:val="0"/>
      <w:marTop w:val="0"/>
      <w:marBottom w:val="0"/>
      <w:divBdr>
        <w:top w:val="none" w:sz="0" w:space="0" w:color="auto"/>
        <w:left w:val="none" w:sz="0" w:space="0" w:color="auto"/>
        <w:bottom w:val="none" w:sz="0" w:space="0" w:color="auto"/>
        <w:right w:val="none" w:sz="0" w:space="0" w:color="auto"/>
      </w:divBdr>
    </w:div>
    <w:div w:id="1540360269">
      <w:bodyDiv w:val="1"/>
      <w:marLeft w:val="0"/>
      <w:marRight w:val="0"/>
      <w:marTop w:val="0"/>
      <w:marBottom w:val="0"/>
      <w:divBdr>
        <w:top w:val="none" w:sz="0" w:space="0" w:color="auto"/>
        <w:left w:val="none" w:sz="0" w:space="0" w:color="auto"/>
        <w:bottom w:val="none" w:sz="0" w:space="0" w:color="auto"/>
        <w:right w:val="none" w:sz="0" w:space="0" w:color="auto"/>
      </w:divBdr>
    </w:div>
    <w:div w:id="17770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53742-4613-4A53-AC95-566C8953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7694</Words>
  <Characters>42317</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COFETEL</Company>
  <LinksUpToDate>false</LinksUpToDate>
  <CharactersWithSpaces>49912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ecalderon</dc:creator>
  <cp:lastModifiedBy>Maria del Consuelo Gonzalez Moreno</cp:lastModifiedBy>
  <cp:revision>12</cp:revision>
  <cp:lastPrinted>2015-01-21T21:48:00Z</cp:lastPrinted>
  <dcterms:created xsi:type="dcterms:W3CDTF">2016-10-14T15:39:00Z</dcterms:created>
  <dcterms:modified xsi:type="dcterms:W3CDTF">2016-11-02T19:50:00Z</dcterms:modified>
</cp:coreProperties>
</file>