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60AC" w14:textId="77777777" w:rsidR="00800959" w:rsidRPr="00800959" w:rsidRDefault="004F2262" w:rsidP="00800959">
      <w:pPr>
        <w:pStyle w:val="Ttulo1"/>
        <w:spacing w:after="240"/>
        <w:jc w:val="both"/>
        <w:rPr>
          <w:rFonts w:ascii="ITC Avant Garde" w:eastAsia="Times New Roman" w:hAnsi="ITC Avant Garde"/>
          <w:b/>
          <w:iCs/>
          <w:color w:val="auto"/>
          <w:sz w:val="22"/>
          <w:szCs w:val="22"/>
          <w:lang w:eastAsia="es-ES"/>
        </w:rPr>
      </w:pPr>
      <w:bookmarkStart w:id="0" w:name="_GoBack"/>
      <w:r w:rsidRPr="00800959">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w:t>
      </w:r>
      <w:r w:rsidRPr="00800959">
        <w:rPr>
          <w:rFonts w:ascii="ITC Avant Garde" w:hAnsi="ITC Avant Garde" w:cs="Helvetica"/>
          <w:b/>
          <w:color w:val="auto"/>
          <w:sz w:val="22"/>
          <w:szCs w:val="22"/>
          <w:lang w:eastAsia="es-MX"/>
        </w:rPr>
        <w:t>ENTRE M</w:t>
      </w:r>
      <w:r w:rsidR="00134A6E" w:rsidRPr="00800959">
        <w:rPr>
          <w:rFonts w:ascii="ITC Avant Garde" w:hAnsi="ITC Avant Garde" w:cs="Helvetica"/>
          <w:b/>
          <w:color w:val="auto"/>
          <w:sz w:val="22"/>
          <w:szCs w:val="22"/>
          <w:lang w:eastAsia="es-MX"/>
        </w:rPr>
        <w:t>EGA CABLE, S.A. DE C.V.</w:t>
      </w:r>
      <w:r w:rsidR="00CB38C8" w:rsidRPr="00800959">
        <w:rPr>
          <w:rFonts w:ascii="ITC Avant Garde" w:hAnsi="ITC Avant Garde" w:cs="Helvetica"/>
          <w:b/>
          <w:color w:val="auto"/>
          <w:sz w:val="22"/>
          <w:szCs w:val="22"/>
          <w:lang w:eastAsia="es-MX"/>
        </w:rPr>
        <w:t>,</w:t>
      </w:r>
      <w:r w:rsidR="00134A6E" w:rsidRPr="00800959">
        <w:rPr>
          <w:rFonts w:ascii="ITC Avant Garde" w:hAnsi="ITC Avant Garde" w:cs="Helvetica"/>
          <w:b/>
          <w:color w:val="auto"/>
          <w:sz w:val="22"/>
          <w:szCs w:val="22"/>
          <w:lang w:eastAsia="es-MX"/>
        </w:rPr>
        <w:t xml:space="preserve"> Y LA EMPRESA</w:t>
      </w:r>
      <w:r w:rsidRPr="00800959">
        <w:rPr>
          <w:rFonts w:ascii="ITC Avant Garde" w:hAnsi="ITC Avant Garde" w:cs="Helvetica"/>
          <w:b/>
          <w:color w:val="auto"/>
          <w:sz w:val="22"/>
          <w:szCs w:val="22"/>
          <w:lang w:eastAsia="es-MX"/>
        </w:rPr>
        <w:t xml:space="preserve"> PEGASO PCS, S.A. DE C.V.</w:t>
      </w:r>
      <w:r w:rsidRPr="00800959">
        <w:rPr>
          <w:rFonts w:ascii="ITC Avant Garde" w:hAnsi="ITC Avant Garde" w:cs="Arial"/>
          <w:b/>
          <w:iCs/>
          <w:color w:val="auto"/>
          <w:sz w:val="22"/>
          <w:szCs w:val="22"/>
        </w:rPr>
        <w:t xml:space="preserve">, </w:t>
      </w:r>
      <w:r w:rsidR="00134A6E" w:rsidRPr="00800959">
        <w:rPr>
          <w:rFonts w:ascii="ITC Avant Garde" w:eastAsia="Times New Roman" w:hAnsi="ITC Avant Garde"/>
          <w:b/>
          <w:iCs/>
          <w:color w:val="auto"/>
          <w:sz w:val="22"/>
          <w:szCs w:val="22"/>
          <w:lang w:eastAsia="es-ES"/>
        </w:rPr>
        <w:t xml:space="preserve">APLICABLES DEL </w:t>
      </w:r>
      <w:r w:rsidR="00CC4A83" w:rsidRPr="00800959">
        <w:rPr>
          <w:rFonts w:ascii="ITC Avant Garde" w:eastAsia="Times New Roman" w:hAnsi="ITC Avant Garde"/>
          <w:b/>
          <w:iCs/>
          <w:color w:val="auto"/>
          <w:sz w:val="22"/>
          <w:szCs w:val="22"/>
          <w:lang w:eastAsia="es-ES"/>
        </w:rPr>
        <w:t>07 DE MARZO</w:t>
      </w:r>
      <w:r w:rsidR="007F3B6F" w:rsidRPr="00800959">
        <w:rPr>
          <w:rFonts w:ascii="ITC Avant Garde" w:eastAsia="Times New Roman" w:hAnsi="ITC Avant Garde"/>
          <w:b/>
          <w:iCs/>
          <w:color w:val="auto"/>
          <w:sz w:val="22"/>
          <w:szCs w:val="22"/>
          <w:lang w:eastAsia="es-ES"/>
        </w:rPr>
        <w:t xml:space="preserve"> </w:t>
      </w:r>
      <w:r w:rsidR="006759C6" w:rsidRPr="00800959">
        <w:rPr>
          <w:rFonts w:ascii="ITC Avant Garde" w:eastAsia="Times New Roman" w:hAnsi="ITC Avant Garde"/>
          <w:b/>
          <w:iCs/>
          <w:color w:val="auto"/>
          <w:sz w:val="22"/>
          <w:szCs w:val="22"/>
          <w:lang w:eastAsia="es-ES"/>
        </w:rPr>
        <w:t xml:space="preserve">AL </w:t>
      </w:r>
      <w:r w:rsidR="007F3B6F" w:rsidRPr="00800959">
        <w:rPr>
          <w:rFonts w:ascii="ITC Avant Garde" w:eastAsia="Times New Roman" w:hAnsi="ITC Avant Garde"/>
          <w:b/>
          <w:iCs/>
          <w:color w:val="auto"/>
          <w:sz w:val="22"/>
          <w:szCs w:val="22"/>
          <w:lang w:eastAsia="es-ES"/>
        </w:rPr>
        <w:t xml:space="preserve"> 31 DE DICIEMBRE DE 2018</w:t>
      </w:r>
      <w:r w:rsidRPr="00800959">
        <w:rPr>
          <w:rFonts w:ascii="ITC Avant Garde" w:eastAsia="Times New Roman" w:hAnsi="ITC Avant Garde"/>
          <w:b/>
          <w:iCs/>
          <w:color w:val="auto"/>
          <w:sz w:val="22"/>
          <w:szCs w:val="22"/>
          <w:lang w:eastAsia="es-ES"/>
        </w:rPr>
        <w:t>.</w:t>
      </w:r>
    </w:p>
    <w:p w14:paraId="7E290214" w14:textId="77777777" w:rsidR="00800959" w:rsidRPr="00800959" w:rsidRDefault="00040EBF" w:rsidP="00800959">
      <w:pPr>
        <w:pStyle w:val="Ttulo2"/>
        <w:spacing w:before="240" w:after="240"/>
        <w:jc w:val="center"/>
        <w:rPr>
          <w:rFonts w:ascii="ITC Avant Garde" w:hAnsi="ITC Avant Garde" w:cs="Times New Roman"/>
          <w:b/>
          <w:color w:val="auto"/>
          <w:sz w:val="22"/>
          <w:szCs w:val="22"/>
        </w:rPr>
      </w:pPr>
      <w:r w:rsidRPr="00800959">
        <w:rPr>
          <w:rFonts w:ascii="ITC Avant Garde" w:hAnsi="ITC Avant Garde" w:cs="Times New Roman"/>
          <w:b/>
          <w:color w:val="auto"/>
          <w:sz w:val="22"/>
          <w:szCs w:val="22"/>
        </w:rPr>
        <w:t>ANTECEDENTES</w:t>
      </w:r>
    </w:p>
    <w:p w14:paraId="239FF4E5" w14:textId="77777777" w:rsidR="00800959" w:rsidRPr="00800959" w:rsidRDefault="00B12C92" w:rsidP="00800959">
      <w:pPr>
        <w:numPr>
          <w:ilvl w:val="0"/>
          <w:numId w:val="1"/>
        </w:numPr>
        <w:tabs>
          <w:tab w:val="clear" w:pos="1106"/>
          <w:tab w:val="left" w:pos="142"/>
        </w:tabs>
        <w:spacing w:before="240" w:after="240"/>
        <w:ind w:left="426" w:right="23" w:hanging="426"/>
        <w:jc w:val="both"/>
        <w:rPr>
          <w:rFonts w:ascii="ITC Avant Garde" w:hAnsi="ITC Avant Garde" w:cs="Arial"/>
          <w:b/>
          <w:bCs/>
        </w:rPr>
      </w:pPr>
      <w:r w:rsidRPr="00800959">
        <w:rPr>
          <w:rFonts w:ascii="ITC Avant Garde" w:hAnsi="ITC Avant Garde" w:cs="Arial"/>
          <w:b/>
          <w:bCs/>
        </w:rPr>
        <w:t xml:space="preserve">Mega Cable, S.A. </w:t>
      </w:r>
      <w:r w:rsidR="00040EBF" w:rsidRPr="00800959">
        <w:rPr>
          <w:rFonts w:ascii="ITC Avant Garde" w:hAnsi="ITC Avant Garde" w:cs="Arial"/>
          <w:b/>
          <w:bCs/>
        </w:rPr>
        <w:t>de C.V. (en lo sucesivo, “M</w:t>
      </w:r>
      <w:r w:rsidRPr="00800959">
        <w:rPr>
          <w:rFonts w:ascii="ITC Avant Garde" w:hAnsi="ITC Avant Garde" w:cs="Arial"/>
          <w:b/>
          <w:bCs/>
        </w:rPr>
        <w:t>ega Cable</w:t>
      </w:r>
      <w:r w:rsidR="00040EBF" w:rsidRPr="00800959">
        <w:rPr>
          <w:rFonts w:ascii="ITC Avant Garde" w:hAnsi="ITC Avant Garde" w:cs="Arial"/>
          <w:b/>
          <w:bCs/>
        </w:rPr>
        <w:t>”)</w:t>
      </w:r>
      <w:r w:rsidR="00040EBF" w:rsidRPr="00800959">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18A99ED" w14:textId="77777777" w:rsidR="00800959" w:rsidRPr="00800959" w:rsidRDefault="001B4CEE" w:rsidP="00800959">
      <w:pPr>
        <w:numPr>
          <w:ilvl w:val="0"/>
          <w:numId w:val="1"/>
        </w:numPr>
        <w:tabs>
          <w:tab w:val="clear" w:pos="1106"/>
          <w:tab w:val="left" w:pos="142"/>
        </w:tabs>
        <w:spacing w:before="240" w:after="240"/>
        <w:ind w:left="426" w:right="23" w:hanging="426"/>
        <w:jc w:val="both"/>
        <w:rPr>
          <w:rFonts w:ascii="ITC Avant Garde" w:hAnsi="ITC Avant Garde" w:cs="Arial"/>
          <w:b/>
          <w:bCs/>
        </w:rPr>
      </w:pPr>
      <w:r w:rsidRPr="00800959">
        <w:rPr>
          <w:rFonts w:ascii="ITC Avant Garde" w:hAnsi="ITC Avant Garde" w:cs="Arial"/>
          <w:b/>
          <w:bCs/>
        </w:rPr>
        <w:t xml:space="preserve">Pegaso PCS, S.A. de C.V. </w:t>
      </w:r>
      <w:r w:rsidR="00B12C92" w:rsidRPr="00800959">
        <w:rPr>
          <w:rFonts w:ascii="ITC Avant Garde" w:hAnsi="ITC Avant Garde" w:cs="Arial"/>
          <w:b/>
          <w:bCs/>
        </w:rPr>
        <w:t xml:space="preserve"> </w:t>
      </w:r>
      <w:r w:rsidR="00B12C92" w:rsidRPr="00800959">
        <w:rPr>
          <w:rFonts w:ascii="ITC Avant Garde" w:hAnsi="ITC Avant Garde" w:cs="Arial"/>
          <w:bCs/>
        </w:rPr>
        <w:t>es un concesionario que cuenta</w:t>
      </w:r>
      <w:r w:rsidRPr="00800959">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6C207DC0" w14:textId="4A82A898" w:rsidR="001B4CEE" w:rsidRPr="00800959" w:rsidRDefault="001B4CEE" w:rsidP="00800959">
      <w:pPr>
        <w:tabs>
          <w:tab w:val="left" w:pos="142"/>
        </w:tabs>
        <w:spacing w:before="240" w:after="240"/>
        <w:ind w:left="426" w:right="23"/>
        <w:jc w:val="both"/>
        <w:rPr>
          <w:rFonts w:ascii="ITC Avant Garde" w:hAnsi="ITC Avant Garde" w:cs="Arial"/>
          <w:bCs/>
        </w:rPr>
      </w:pPr>
      <w:r w:rsidRPr="00800959">
        <w:rPr>
          <w:rFonts w:ascii="ITC Avant Garde" w:hAnsi="ITC Avant Garde" w:cs="Arial"/>
          <w:bCs/>
        </w:rPr>
        <w:t xml:space="preserve">Cabe señalar que el 11 de enero de 2017, el representante legal de Pegaso PCS, S.A. de C.V. notificó la fusión por absorción de fecha 31 de diciembre de 2016, entre Pegaso PCS, S.A. de C.V. (en lo sucesivo, “Pegaso PCS”) en su carácter de </w:t>
      </w:r>
      <w:proofErr w:type="spellStart"/>
      <w:r w:rsidRPr="00800959">
        <w:rPr>
          <w:rFonts w:ascii="ITC Avant Garde" w:hAnsi="ITC Avant Garde" w:cs="Arial"/>
          <w:bCs/>
        </w:rPr>
        <w:t>fusionante</w:t>
      </w:r>
      <w:proofErr w:type="spellEnd"/>
      <w:r w:rsidRPr="00800959">
        <w:rPr>
          <w:rFonts w:ascii="ITC Avant Garde" w:hAnsi="ITC Avant Garde" w:cs="Arial"/>
          <w:bCs/>
        </w:rPr>
        <w:t>, y Grupo de Telecomunicaciones Mexicanas, S.A. de C.V. (en lo sucesivo</w:t>
      </w:r>
      <w:r w:rsidR="000015C8" w:rsidRPr="00800959">
        <w:rPr>
          <w:rFonts w:ascii="ITC Avant Garde" w:hAnsi="ITC Avant Garde" w:cs="Arial"/>
          <w:bCs/>
        </w:rPr>
        <w:t>,</w:t>
      </w:r>
      <w:r w:rsidRPr="00800959">
        <w:rPr>
          <w:rFonts w:ascii="ITC Avant Garde" w:hAnsi="ITC Avant Garde" w:cs="Arial"/>
          <w:bCs/>
        </w:rPr>
        <w:t xml:space="preserve"> “GTM”) en su carácter de fusionada.</w:t>
      </w:r>
    </w:p>
    <w:p w14:paraId="6424CEBC" w14:textId="77777777" w:rsidR="00800959" w:rsidRPr="00800959" w:rsidRDefault="001B4CEE" w:rsidP="00800959">
      <w:pPr>
        <w:tabs>
          <w:tab w:val="left" w:pos="142"/>
        </w:tabs>
        <w:spacing w:before="240" w:after="240"/>
        <w:ind w:left="426" w:right="23"/>
        <w:jc w:val="both"/>
        <w:rPr>
          <w:rFonts w:ascii="ITC Avant Garde" w:hAnsi="ITC Avant Garde" w:cs="Arial"/>
          <w:bCs/>
        </w:rPr>
      </w:pPr>
      <w:r w:rsidRPr="00800959">
        <w:rPr>
          <w:rFonts w:ascii="ITC Avant Garde" w:hAnsi="ITC Avant Garde" w:cs="Arial"/>
          <w:bCs/>
        </w:rPr>
        <w:br/>
        <w:t>En virtud de lo anterior, mediante oficio IFT/223/UCS/DG-CTEL/069/2017 de fecha 12 de enero de 2017, la Unidad de Concesiones y Servicios del Instituto se dio por notificada del aviso de fusión y solicitó se inscribiera en el Registro Público de Concesiones la cesión de derechos y obligaciones de GTM a favor de Pegaso PCS.</w:t>
      </w:r>
    </w:p>
    <w:p w14:paraId="13036C69" w14:textId="77777777" w:rsidR="00800959" w:rsidRPr="00800959" w:rsidRDefault="00040EBF" w:rsidP="00800959">
      <w:pPr>
        <w:numPr>
          <w:ilvl w:val="0"/>
          <w:numId w:val="1"/>
        </w:numPr>
        <w:tabs>
          <w:tab w:val="clear" w:pos="1106"/>
          <w:tab w:val="left" w:pos="142"/>
        </w:tabs>
        <w:spacing w:before="240" w:after="240"/>
        <w:ind w:left="426" w:right="23" w:hanging="426"/>
        <w:jc w:val="both"/>
        <w:rPr>
          <w:rFonts w:ascii="ITC Avant Garde" w:hAnsi="ITC Avant Garde" w:cs="Arial"/>
          <w:b/>
          <w:bCs/>
        </w:rPr>
      </w:pPr>
      <w:r w:rsidRPr="00800959">
        <w:rPr>
          <w:rFonts w:ascii="ITC Avant Garde" w:hAnsi="ITC Avant Garde" w:cs="Arial"/>
          <w:b/>
          <w:bCs/>
        </w:rPr>
        <w:t xml:space="preserve">Metodología para el cálculo de costos de interconexión. </w:t>
      </w:r>
      <w:r w:rsidRPr="00800959">
        <w:rPr>
          <w:rFonts w:ascii="ITC Avant Garde" w:hAnsi="ITC Avant Garde" w:cs="Arial"/>
          <w:bCs/>
        </w:rPr>
        <w:t xml:space="preserve">El 18 de diciembre de 2014, </w:t>
      </w:r>
      <w:r w:rsidR="009D794B" w:rsidRPr="00800959">
        <w:rPr>
          <w:rFonts w:ascii="ITC Avant Garde" w:hAnsi="ITC Avant Garde" w:cs="Arial"/>
          <w:bCs/>
        </w:rPr>
        <w:t>se publicó</w:t>
      </w:r>
      <w:r w:rsidRPr="00800959">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3627FB62" w14:textId="77777777" w:rsidR="00800959" w:rsidRPr="00800959" w:rsidRDefault="00040EBF" w:rsidP="00800959">
      <w:pPr>
        <w:numPr>
          <w:ilvl w:val="0"/>
          <w:numId w:val="1"/>
        </w:numPr>
        <w:tabs>
          <w:tab w:val="clear" w:pos="1106"/>
          <w:tab w:val="left" w:pos="142"/>
        </w:tabs>
        <w:spacing w:before="240" w:after="240"/>
        <w:ind w:left="426" w:right="23" w:hanging="426"/>
        <w:jc w:val="both"/>
        <w:rPr>
          <w:rFonts w:ascii="ITC Avant Garde" w:hAnsi="ITC Avant Garde" w:cs="Arial"/>
          <w:b/>
          <w:bCs/>
        </w:rPr>
      </w:pPr>
      <w:r w:rsidRPr="00800959">
        <w:rPr>
          <w:rFonts w:ascii="ITC Avant Garde" w:hAnsi="ITC Avant Garde"/>
          <w:b/>
          <w:bCs/>
          <w:lang w:val="es-ES" w:eastAsia="es-ES"/>
        </w:rPr>
        <w:t>Sistema Electrónico de Solicitudes de Interconexión.</w:t>
      </w:r>
      <w:r w:rsidRPr="00800959">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w:t>
      </w:r>
      <w:r w:rsidRPr="00800959">
        <w:rPr>
          <w:rFonts w:ascii="ITC Avant Garde" w:hAnsi="ITC Avant Garde"/>
          <w:bCs/>
          <w:lang w:val="es-ES" w:eastAsia="es-ES"/>
        </w:rPr>
        <w:lastRenderedPageBreak/>
        <w:t xml:space="preserve">Interconexión” (en lo sucesivo, el “Acuerdo del Sistema”), mediante el cual se estableció el Sistema Electrónico </w:t>
      </w:r>
      <w:r w:rsidR="00604FC0" w:rsidRPr="00800959">
        <w:rPr>
          <w:rFonts w:ascii="ITC Avant Garde" w:hAnsi="ITC Avant Garde"/>
          <w:bCs/>
          <w:lang w:val="es-ES" w:eastAsia="es-ES"/>
        </w:rPr>
        <w:t>de Solicitudes de Interconexión</w:t>
      </w:r>
      <w:r w:rsidRPr="00800959">
        <w:rPr>
          <w:rFonts w:ascii="ITC Avant Garde" w:hAnsi="ITC Avant Garde"/>
          <w:bCs/>
          <w:lang w:val="es-ES" w:eastAsia="es-ES"/>
        </w:rPr>
        <w:t xml:space="preserve"> (en lo sucesivo, el “SESI”).</w:t>
      </w:r>
    </w:p>
    <w:p w14:paraId="5619BBE6" w14:textId="77777777" w:rsidR="00800959" w:rsidRPr="00800959" w:rsidRDefault="004C035B" w:rsidP="00800959">
      <w:pPr>
        <w:numPr>
          <w:ilvl w:val="0"/>
          <w:numId w:val="1"/>
        </w:numPr>
        <w:tabs>
          <w:tab w:val="clear" w:pos="1106"/>
          <w:tab w:val="left" w:pos="142"/>
        </w:tabs>
        <w:spacing w:before="240" w:after="240"/>
        <w:ind w:left="426" w:right="23" w:hanging="426"/>
        <w:jc w:val="both"/>
        <w:rPr>
          <w:rFonts w:ascii="ITC Avant Garde" w:hAnsi="ITC Avant Garde" w:cs="Arial"/>
          <w:b/>
          <w:bCs/>
        </w:rPr>
      </w:pPr>
      <w:r w:rsidRPr="00800959">
        <w:rPr>
          <w:rFonts w:ascii="ITC Avant Garde" w:eastAsia="Times New Roman" w:hAnsi="ITC Avant Garde"/>
          <w:b/>
          <w:bCs/>
          <w:lang w:val="es-ES" w:eastAsia="es-ES"/>
        </w:rPr>
        <w:t>Procedimiento de resolución de condiciones de interconexión no convenidas.</w:t>
      </w:r>
      <w:r w:rsidRPr="00800959">
        <w:rPr>
          <w:rFonts w:ascii="ITC Avant Garde" w:eastAsia="Times New Roman" w:hAnsi="ITC Avant Garde"/>
          <w:lang w:val="es-ES" w:eastAsia="es-ES"/>
        </w:rPr>
        <w:t xml:space="preserve"> </w:t>
      </w:r>
      <w:r w:rsidRPr="00800959">
        <w:rPr>
          <w:rFonts w:ascii="ITC Avant Garde" w:eastAsia="Times New Roman" w:hAnsi="ITC Avant Garde"/>
          <w:bCs/>
          <w:lang w:val="es-ES" w:eastAsia="es-ES"/>
        </w:rPr>
        <w:t>E</w:t>
      </w:r>
      <w:r w:rsidR="006C3F53" w:rsidRPr="00800959">
        <w:rPr>
          <w:rFonts w:ascii="ITC Avant Garde" w:eastAsia="Times New Roman" w:hAnsi="ITC Avant Garde"/>
          <w:bCs/>
          <w:lang w:val="es-ES" w:eastAsia="es-ES"/>
        </w:rPr>
        <w:t xml:space="preserve">l </w:t>
      </w:r>
      <w:r w:rsidR="008C75F8" w:rsidRPr="00800959">
        <w:rPr>
          <w:rFonts w:ascii="ITC Avant Garde" w:eastAsia="Times New Roman" w:hAnsi="ITC Avant Garde"/>
          <w:bCs/>
          <w:lang w:val="es-ES" w:eastAsia="es-ES"/>
        </w:rPr>
        <w:t>7</w:t>
      </w:r>
      <w:r w:rsidR="006C3F53" w:rsidRPr="00800959">
        <w:rPr>
          <w:rFonts w:ascii="ITC Avant Garde" w:eastAsia="Times New Roman" w:hAnsi="ITC Avant Garde"/>
          <w:bCs/>
          <w:lang w:val="es-ES" w:eastAsia="es-ES"/>
        </w:rPr>
        <w:t xml:space="preserve"> de </w:t>
      </w:r>
      <w:r w:rsidR="008C75F8" w:rsidRPr="00800959">
        <w:rPr>
          <w:rFonts w:ascii="ITC Avant Garde" w:eastAsia="Times New Roman" w:hAnsi="ITC Avant Garde"/>
          <w:bCs/>
          <w:lang w:val="es-ES" w:eastAsia="es-ES"/>
        </w:rPr>
        <w:t>noviembre</w:t>
      </w:r>
      <w:r w:rsidRPr="00800959">
        <w:rPr>
          <w:rFonts w:ascii="ITC Avant Garde" w:eastAsia="Times New Roman" w:hAnsi="ITC Avant Garde"/>
          <w:bCs/>
          <w:lang w:val="es-ES" w:eastAsia="es-ES"/>
        </w:rPr>
        <w:t xml:space="preserve"> de </w:t>
      </w:r>
      <w:r w:rsidR="006C3F53" w:rsidRPr="00800959">
        <w:rPr>
          <w:rFonts w:ascii="ITC Avant Garde" w:eastAsia="Times New Roman" w:hAnsi="ITC Avant Garde"/>
          <w:bCs/>
          <w:lang w:val="es-ES" w:eastAsia="es-ES"/>
        </w:rPr>
        <w:t>2017, el apoderado legal de M</w:t>
      </w:r>
      <w:r w:rsidR="008C75F8" w:rsidRPr="00800959">
        <w:rPr>
          <w:rFonts w:ascii="ITC Avant Garde" w:eastAsia="Times New Roman" w:hAnsi="ITC Avant Garde"/>
          <w:bCs/>
          <w:lang w:val="es-ES" w:eastAsia="es-ES"/>
        </w:rPr>
        <w:t>ega Cable</w:t>
      </w:r>
      <w:r w:rsidRPr="00800959">
        <w:rPr>
          <w:rFonts w:ascii="ITC Avant Garde" w:eastAsia="Times New Roman" w:hAnsi="ITC Avant Garde"/>
          <w:bCs/>
          <w:lang w:val="es-ES" w:eastAsia="es-ES"/>
        </w:rPr>
        <w:t xml:space="preserve"> presentó </w:t>
      </w:r>
      <w:r w:rsidRPr="00800959">
        <w:rPr>
          <w:rFonts w:ascii="ITC Avant Garde" w:eastAsia="Times New Roman" w:hAnsi="ITC Avant Garde"/>
          <w:lang w:val="es-ES" w:eastAsia="es-ES"/>
        </w:rPr>
        <w:t>ante el Instituto</w:t>
      </w:r>
      <w:r w:rsidR="00755875" w:rsidRPr="00800959">
        <w:rPr>
          <w:rFonts w:ascii="ITC Avant Garde" w:eastAsia="Times New Roman" w:hAnsi="ITC Avant Garde"/>
          <w:lang w:val="es-ES" w:eastAsia="es-ES"/>
        </w:rPr>
        <w:t>,</w:t>
      </w:r>
      <w:r w:rsidRPr="00800959">
        <w:rPr>
          <w:rFonts w:ascii="ITC Avant Garde" w:eastAsia="Times New Roman" w:hAnsi="ITC Avant Garde"/>
          <w:lang w:val="es-ES" w:eastAsia="es-ES"/>
        </w:rPr>
        <w:t xml:space="preserve"> escrito</w:t>
      </w:r>
      <w:r w:rsidR="00755875" w:rsidRPr="00800959">
        <w:rPr>
          <w:rFonts w:ascii="ITC Avant Garde" w:eastAsia="Times New Roman" w:hAnsi="ITC Avant Garde"/>
          <w:lang w:val="es-ES" w:eastAsia="es-ES"/>
        </w:rPr>
        <w:t>s</w:t>
      </w:r>
      <w:r w:rsidRPr="00800959">
        <w:rPr>
          <w:rFonts w:ascii="ITC Avant Garde" w:eastAsia="Times New Roman" w:hAnsi="ITC Avant Garde"/>
          <w:lang w:val="es-ES" w:eastAsia="es-ES"/>
        </w:rPr>
        <w:t xml:space="preserve"> mediante </w:t>
      </w:r>
      <w:r w:rsidR="00061B8C" w:rsidRPr="00800959">
        <w:rPr>
          <w:rFonts w:ascii="ITC Avant Garde" w:eastAsia="Times New Roman" w:hAnsi="ITC Avant Garde"/>
          <w:lang w:val="es-ES" w:eastAsia="es-ES"/>
        </w:rPr>
        <w:t>los cuales</w:t>
      </w:r>
      <w:r w:rsidRPr="00800959">
        <w:rPr>
          <w:rFonts w:ascii="ITC Avant Garde" w:eastAsia="Times New Roman" w:hAnsi="ITC Avant Garde"/>
          <w:lang w:val="es-ES" w:eastAsia="es-ES"/>
        </w:rPr>
        <w:t xml:space="preserve"> solicitó su intervención para resolver los términos, condiciones</w:t>
      </w:r>
      <w:r w:rsidR="00061B8C" w:rsidRPr="00800959">
        <w:rPr>
          <w:rFonts w:ascii="ITC Avant Garde" w:eastAsia="Times New Roman" w:hAnsi="ITC Avant Garde"/>
          <w:lang w:val="es-ES" w:eastAsia="es-ES"/>
        </w:rPr>
        <w:t xml:space="preserve"> y tarifas </w:t>
      </w:r>
      <w:r w:rsidRPr="00800959">
        <w:rPr>
          <w:rFonts w:ascii="ITC Avant Garde" w:eastAsia="Times New Roman" w:hAnsi="ITC Avant Garde"/>
          <w:lang w:val="es-ES" w:eastAsia="es-ES"/>
        </w:rPr>
        <w:t>que no pudo convenir con</w:t>
      </w:r>
      <w:r w:rsidR="00061B8C" w:rsidRPr="00800959">
        <w:rPr>
          <w:rFonts w:ascii="ITC Avant Garde" w:eastAsia="Times New Roman" w:hAnsi="ITC Avant Garde"/>
          <w:lang w:val="es-ES" w:eastAsia="es-ES"/>
        </w:rPr>
        <w:t xml:space="preserve"> </w:t>
      </w:r>
      <w:r w:rsidRPr="00800959">
        <w:rPr>
          <w:rFonts w:ascii="ITC Avant Garde" w:eastAsia="Times New Roman" w:hAnsi="ITC Avant Garde"/>
          <w:lang w:val="es-ES" w:eastAsia="es-ES"/>
        </w:rPr>
        <w:t>Pegaso PCS</w:t>
      </w:r>
      <w:r w:rsidR="000050A7" w:rsidRPr="00800959">
        <w:rPr>
          <w:rFonts w:ascii="ITC Avant Garde" w:eastAsia="Times New Roman" w:hAnsi="ITC Avant Garde"/>
          <w:lang w:val="es-ES" w:eastAsia="es-ES"/>
        </w:rPr>
        <w:t xml:space="preserve"> </w:t>
      </w:r>
      <w:r w:rsidRPr="00800959">
        <w:rPr>
          <w:rFonts w:ascii="ITC Avant Garde" w:eastAsia="Times New Roman" w:hAnsi="ITC Avant Garde"/>
          <w:lang w:val="es-ES" w:eastAsia="es-ES"/>
        </w:rPr>
        <w:t xml:space="preserve">para la interconexión de sus respectivas redes públicas de telecomunicaciones, aplicables </w:t>
      </w:r>
      <w:r w:rsidR="008C75F8" w:rsidRPr="00800959">
        <w:rPr>
          <w:rFonts w:ascii="ITC Avant Garde" w:eastAsia="Times New Roman" w:hAnsi="ITC Avant Garde"/>
          <w:lang w:val="es-ES" w:eastAsia="es-ES"/>
        </w:rPr>
        <w:t>al periodo</w:t>
      </w:r>
      <w:r w:rsidRPr="00800959">
        <w:rPr>
          <w:rFonts w:ascii="ITC Avant Garde" w:eastAsia="Times New Roman" w:hAnsi="ITC Avant Garde"/>
          <w:lang w:val="es-ES" w:eastAsia="es-ES"/>
        </w:rPr>
        <w:t xml:space="preserve"> 201</w:t>
      </w:r>
      <w:r w:rsidR="00430332" w:rsidRPr="00800959">
        <w:rPr>
          <w:rFonts w:ascii="ITC Avant Garde" w:eastAsia="Times New Roman" w:hAnsi="ITC Avant Garde"/>
          <w:lang w:val="es-ES" w:eastAsia="es-ES"/>
        </w:rPr>
        <w:t>8</w:t>
      </w:r>
      <w:r w:rsidRPr="00800959">
        <w:rPr>
          <w:rFonts w:ascii="ITC Avant Garde" w:eastAsia="Times New Roman" w:hAnsi="ITC Avant Garde"/>
          <w:lang w:val="es-ES" w:eastAsia="es-ES"/>
        </w:rPr>
        <w:t xml:space="preserve"> (en lo sucesivo, la</w:t>
      </w:r>
      <w:r w:rsidR="00A13F02" w:rsidRPr="00800959">
        <w:rPr>
          <w:rFonts w:ascii="ITC Avant Garde" w:eastAsia="Times New Roman" w:hAnsi="ITC Avant Garde"/>
          <w:lang w:val="es-ES" w:eastAsia="es-ES"/>
        </w:rPr>
        <w:t>s</w:t>
      </w:r>
      <w:r w:rsidRPr="00800959">
        <w:rPr>
          <w:rFonts w:ascii="ITC Avant Garde" w:eastAsia="Times New Roman" w:hAnsi="ITC Avant Garde"/>
          <w:lang w:val="es-ES" w:eastAsia="es-ES"/>
        </w:rPr>
        <w:t xml:space="preserve"> “Solicitud</w:t>
      </w:r>
      <w:r w:rsidR="00A13F02" w:rsidRPr="00800959">
        <w:rPr>
          <w:rFonts w:ascii="ITC Avant Garde" w:eastAsia="Times New Roman" w:hAnsi="ITC Avant Garde"/>
          <w:lang w:val="es-ES" w:eastAsia="es-ES"/>
        </w:rPr>
        <w:t>es</w:t>
      </w:r>
      <w:r w:rsidRPr="00800959">
        <w:rPr>
          <w:rFonts w:ascii="ITC Avant Garde" w:eastAsia="Times New Roman" w:hAnsi="ITC Avant Garde"/>
          <w:lang w:val="es-ES" w:eastAsia="es-ES"/>
        </w:rPr>
        <w:t xml:space="preserve"> de Resolución”).</w:t>
      </w:r>
    </w:p>
    <w:p w14:paraId="20C5E6A8" w14:textId="77777777" w:rsidR="00800959" w:rsidRPr="00800959" w:rsidRDefault="004C035B" w:rsidP="00800959">
      <w:pPr>
        <w:spacing w:before="240" w:after="240"/>
        <w:ind w:left="426"/>
        <w:jc w:val="both"/>
        <w:rPr>
          <w:rFonts w:ascii="ITC Avant Garde" w:eastAsia="Times New Roman" w:hAnsi="ITC Avant Garde"/>
          <w:bCs/>
          <w:lang w:eastAsia="es-ES"/>
        </w:rPr>
      </w:pPr>
      <w:r w:rsidRPr="00800959">
        <w:rPr>
          <w:rFonts w:ascii="ITC Avant Garde" w:eastAsia="Times New Roman" w:hAnsi="ITC Avant Garde"/>
          <w:bCs/>
          <w:lang w:val="es-ES" w:eastAsia="es-ES"/>
        </w:rPr>
        <w:t>La</w:t>
      </w:r>
      <w:r w:rsidR="00061B8C" w:rsidRPr="00800959">
        <w:rPr>
          <w:rFonts w:ascii="ITC Avant Garde" w:eastAsia="Times New Roman" w:hAnsi="ITC Avant Garde"/>
          <w:bCs/>
          <w:lang w:val="es-ES" w:eastAsia="es-ES"/>
        </w:rPr>
        <w:t>s</w:t>
      </w:r>
      <w:r w:rsidRPr="00800959">
        <w:rPr>
          <w:rFonts w:ascii="ITC Avant Garde" w:eastAsia="Times New Roman" w:hAnsi="ITC Avant Garde"/>
          <w:bCs/>
          <w:lang w:val="es-ES" w:eastAsia="es-ES"/>
        </w:rPr>
        <w:t xml:space="preserve"> Solicitud</w:t>
      </w:r>
      <w:r w:rsidR="00061B8C" w:rsidRPr="00800959">
        <w:rPr>
          <w:rFonts w:ascii="ITC Avant Garde" w:eastAsia="Times New Roman" w:hAnsi="ITC Avant Garde"/>
          <w:bCs/>
          <w:lang w:val="es-ES" w:eastAsia="es-ES"/>
        </w:rPr>
        <w:t>es</w:t>
      </w:r>
      <w:r w:rsidRPr="00800959">
        <w:rPr>
          <w:rFonts w:ascii="ITC Avant Garde" w:eastAsia="Times New Roman" w:hAnsi="ITC Avant Garde"/>
          <w:bCs/>
          <w:lang w:val="es-ES" w:eastAsia="es-ES"/>
        </w:rPr>
        <w:t xml:space="preserve"> de Resolución </w:t>
      </w:r>
      <w:r w:rsidR="002D2078" w:rsidRPr="00800959">
        <w:rPr>
          <w:rFonts w:ascii="ITC Avant Garde" w:eastAsia="Times New Roman" w:hAnsi="ITC Avant Garde"/>
          <w:bCs/>
          <w:lang w:val="es-ES" w:eastAsia="es-ES"/>
        </w:rPr>
        <w:t>se admitieron</w:t>
      </w:r>
      <w:r w:rsidRPr="00800959">
        <w:rPr>
          <w:rFonts w:ascii="ITC Avant Garde" w:eastAsia="Times New Roman" w:hAnsi="ITC Avant Garde"/>
          <w:bCs/>
          <w:lang w:val="es-ES" w:eastAsia="es-ES"/>
        </w:rPr>
        <w:t xml:space="preserve"> a trámite</w:t>
      </w:r>
      <w:r w:rsidR="002D2078" w:rsidRPr="00800959">
        <w:rPr>
          <w:rFonts w:ascii="ITC Avant Garde" w:eastAsia="Times New Roman" w:hAnsi="ITC Avant Garde"/>
          <w:bCs/>
          <w:lang w:val="es-ES" w:eastAsia="es-ES"/>
        </w:rPr>
        <w:t>,</w:t>
      </w:r>
      <w:r w:rsidRPr="00800959">
        <w:rPr>
          <w:rFonts w:ascii="ITC Avant Garde" w:eastAsia="Times New Roman" w:hAnsi="ITC Avant Garde"/>
          <w:bCs/>
          <w:lang w:val="es-ES" w:eastAsia="es-ES"/>
        </w:rPr>
        <w:t xml:space="preserve"> </w:t>
      </w:r>
      <w:r w:rsidRPr="00800959">
        <w:rPr>
          <w:rFonts w:ascii="ITC Avant Garde" w:eastAsia="Times New Roman" w:hAnsi="ITC Avant Garde"/>
          <w:lang w:val="es-ES" w:eastAsia="es-ES"/>
        </w:rPr>
        <w:t>asignándole</w:t>
      </w:r>
      <w:r w:rsidR="002D2078" w:rsidRPr="00800959">
        <w:rPr>
          <w:rFonts w:ascii="ITC Avant Garde" w:eastAsia="Times New Roman" w:hAnsi="ITC Avant Garde"/>
          <w:lang w:val="es-ES" w:eastAsia="es-ES"/>
        </w:rPr>
        <w:t>s</w:t>
      </w:r>
      <w:r w:rsidRPr="00800959">
        <w:rPr>
          <w:rFonts w:ascii="ITC Avant Garde" w:eastAsia="Times New Roman" w:hAnsi="ITC Avant Garde"/>
          <w:lang w:val="es-ES" w:eastAsia="es-ES"/>
        </w:rPr>
        <w:t xml:space="preserve"> </w:t>
      </w:r>
      <w:r w:rsidR="002D2078" w:rsidRPr="00800959">
        <w:rPr>
          <w:rFonts w:ascii="ITC Avant Garde" w:eastAsia="Times New Roman" w:hAnsi="ITC Avant Garde"/>
          <w:lang w:val="es-ES" w:eastAsia="es-ES"/>
        </w:rPr>
        <w:t>los números</w:t>
      </w:r>
      <w:r w:rsidRPr="00800959">
        <w:rPr>
          <w:rFonts w:ascii="ITC Avant Garde" w:eastAsia="Times New Roman" w:hAnsi="ITC Avant Garde"/>
          <w:lang w:val="es-ES" w:eastAsia="es-ES"/>
        </w:rPr>
        <w:t xml:space="preserve"> de expediente </w:t>
      </w:r>
      <w:r w:rsidRPr="00800959">
        <w:rPr>
          <w:rFonts w:ascii="ITC Avant Garde" w:eastAsia="Times New Roman" w:hAnsi="ITC Avant Garde"/>
          <w:b/>
          <w:lang w:val="es-ES" w:eastAsia="es-ES"/>
        </w:rPr>
        <w:t>I</w:t>
      </w:r>
      <w:r w:rsidR="008C75F8" w:rsidRPr="00800959">
        <w:rPr>
          <w:rFonts w:ascii="ITC Avant Garde" w:eastAsia="Times New Roman" w:hAnsi="ITC Avant Garde"/>
          <w:b/>
          <w:lang w:val="es-ES" w:eastAsia="es-ES"/>
        </w:rPr>
        <w:t>FT/221/UPR/DG-RIRST/189</w:t>
      </w:r>
      <w:r w:rsidRPr="00800959">
        <w:rPr>
          <w:rFonts w:ascii="ITC Avant Garde" w:eastAsia="Times New Roman" w:hAnsi="ITC Avant Garde"/>
          <w:b/>
          <w:lang w:val="es-ES" w:eastAsia="es-ES"/>
        </w:rPr>
        <w:t>.</w:t>
      </w:r>
      <w:r w:rsidR="008C75F8" w:rsidRPr="00800959">
        <w:rPr>
          <w:rFonts w:ascii="ITC Avant Garde" w:eastAsia="Times New Roman" w:hAnsi="ITC Avant Garde"/>
          <w:b/>
          <w:lang w:val="es-ES" w:eastAsia="es-ES"/>
        </w:rPr>
        <w:t>0711</w:t>
      </w:r>
      <w:r w:rsidRPr="00800959">
        <w:rPr>
          <w:rFonts w:ascii="ITC Avant Garde" w:eastAsia="Times New Roman" w:hAnsi="ITC Avant Garde"/>
          <w:b/>
          <w:lang w:val="es-ES" w:eastAsia="es-ES"/>
        </w:rPr>
        <w:t>17/ITX</w:t>
      </w:r>
      <w:r w:rsidR="00AC4E99" w:rsidRPr="00800959">
        <w:rPr>
          <w:rFonts w:ascii="ITC Avant Garde" w:eastAsia="Times New Roman" w:hAnsi="ITC Avant Garde"/>
          <w:lang w:val="es-ES" w:eastAsia="es-ES"/>
        </w:rPr>
        <w:t xml:space="preserve"> e</w:t>
      </w:r>
      <w:r w:rsidR="002D2078" w:rsidRPr="00800959">
        <w:rPr>
          <w:rFonts w:ascii="ITC Avant Garde" w:eastAsia="Times New Roman" w:hAnsi="ITC Avant Garde"/>
          <w:lang w:val="es-ES" w:eastAsia="es-ES"/>
        </w:rPr>
        <w:t xml:space="preserve"> </w:t>
      </w:r>
      <w:r w:rsidR="002D2078" w:rsidRPr="00800959">
        <w:rPr>
          <w:rFonts w:ascii="ITC Avant Garde" w:eastAsia="Times New Roman" w:hAnsi="ITC Avant Garde"/>
          <w:b/>
          <w:lang w:val="es-ES" w:eastAsia="es-ES"/>
        </w:rPr>
        <w:t>IFT/221/UPR/DG-RIRST/</w:t>
      </w:r>
      <w:r w:rsidR="008C75F8" w:rsidRPr="00800959">
        <w:rPr>
          <w:rFonts w:ascii="ITC Avant Garde" w:eastAsia="Times New Roman" w:hAnsi="ITC Avant Garde"/>
          <w:b/>
          <w:lang w:val="es-ES" w:eastAsia="es-ES"/>
        </w:rPr>
        <w:t>190.071117</w:t>
      </w:r>
      <w:r w:rsidR="002D2078" w:rsidRPr="00800959">
        <w:rPr>
          <w:rFonts w:ascii="ITC Avant Garde" w:eastAsia="Times New Roman" w:hAnsi="ITC Avant Garde"/>
          <w:b/>
          <w:lang w:val="es-ES" w:eastAsia="es-ES"/>
        </w:rPr>
        <w:t>/ITX</w:t>
      </w:r>
      <w:r w:rsidR="00AC4E99" w:rsidRPr="00800959">
        <w:rPr>
          <w:rFonts w:ascii="ITC Avant Garde" w:eastAsia="Times New Roman" w:hAnsi="ITC Avant Garde"/>
          <w:b/>
          <w:lang w:val="es-ES" w:eastAsia="es-ES"/>
        </w:rPr>
        <w:t xml:space="preserve">. </w:t>
      </w:r>
      <w:r w:rsidR="00AC4E99" w:rsidRPr="00800959">
        <w:rPr>
          <w:rFonts w:ascii="ITC Avant Garde" w:eastAsia="Times New Roman" w:hAnsi="ITC Avant Garde"/>
          <w:lang w:val="es-ES" w:eastAsia="es-ES"/>
        </w:rPr>
        <w:t>A</w:t>
      </w:r>
      <w:r w:rsidR="002D2078" w:rsidRPr="00800959">
        <w:rPr>
          <w:rFonts w:ascii="ITC Avant Garde" w:eastAsia="Times New Roman" w:hAnsi="ITC Avant Garde"/>
          <w:lang w:val="es-ES" w:eastAsia="es-ES"/>
        </w:rPr>
        <w:t>simismo toda vez que los pro</w:t>
      </w:r>
      <w:r w:rsidR="008C75F8" w:rsidRPr="00800959">
        <w:rPr>
          <w:rFonts w:ascii="ITC Avant Garde" w:eastAsia="Times New Roman" w:hAnsi="ITC Avant Garde"/>
          <w:lang w:val="es-ES" w:eastAsia="es-ES"/>
        </w:rPr>
        <w:t>cedimientos iniciados por Mega Cable</w:t>
      </w:r>
      <w:r w:rsidR="002D2078" w:rsidRPr="00800959">
        <w:rPr>
          <w:rFonts w:ascii="ITC Avant Garde" w:eastAsia="Times New Roman" w:hAnsi="ITC Avant Garde"/>
          <w:lang w:val="es-ES" w:eastAsia="es-E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LFTR, y siendo legalmente factible, se ordenó la acumulación del más nuevo al más antiguo tal como lo dispone el artículo 72 del CFPC, quedando acumulados en el procedimiento administrativo iniciado por </w:t>
      </w:r>
      <w:r w:rsidR="008E69F9" w:rsidRPr="00800959">
        <w:rPr>
          <w:rFonts w:ascii="ITC Avant Garde" w:eastAsia="Times New Roman" w:hAnsi="ITC Avant Garde"/>
          <w:lang w:val="es-ES" w:eastAsia="es-ES"/>
        </w:rPr>
        <w:t>M</w:t>
      </w:r>
      <w:r w:rsidR="008C75F8" w:rsidRPr="00800959">
        <w:rPr>
          <w:rFonts w:ascii="ITC Avant Garde" w:eastAsia="Times New Roman" w:hAnsi="ITC Avant Garde"/>
          <w:lang w:val="es-ES" w:eastAsia="es-ES"/>
        </w:rPr>
        <w:t>ega Cable</w:t>
      </w:r>
      <w:r w:rsidR="002D2078" w:rsidRPr="00800959">
        <w:rPr>
          <w:rFonts w:ascii="ITC Avant Garde" w:eastAsia="Times New Roman" w:hAnsi="ITC Avant Garde"/>
          <w:lang w:val="es-ES" w:eastAsia="es-ES"/>
        </w:rPr>
        <w:t xml:space="preserve"> en</w:t>
      </w:r>
      <w:r w:rsidR="00AA3641" w:rsidRPr="00800959">
        <w:rPr>
          <w:rFonts w:ascii="ITC Avant Garde" w:eastAsia="Times New Roman" w:hAnsi="ITC Avant Garde"/>
          <w:lang w:val="es-ES" w:eastAsia="es-ES"/>
        </w:rPr>
        <w:t xml:space="preserve"> contra de </w:t>
      </w:r>
      <w:r w:rsidR="005A3FB5" w:rsidRPr="00800959">
        <w:rPr>
          <w:rFonts w:ascii="ITC Avant Garde" w:eastAsia="Times New Roman" w:hAnsi="ITC Avant Garde"/>
          <w:lang w:val="es-ES" w:eastAsia="es-ES"/>
        </w:rPr>
        <w:t xml:space="preserve">Pegaso PCS </w:t>
      </w:r>
      <w:r w:rsidR="00AA3641" w:rsidRPr="00800959">
        <w:rPr>
          <w:rFonts w:ascii="ITC Avant Garde" w:eastAsia="Times New Roman" w:hAnsi="ITC Avant Garde"/>
          <w:lang w:val="es-ES" w:eastAsia="es-ES"/>
        </w:rPr>
        <w:t xml:space="preserve">identificado con el número de expediente </w:t>
      </w:r>
      <w:r w:rsidR="008C75F8" w:rsidRPr="00800959">
        <w:rPr>
          <w:rFonts w:ascii="ITC Avant Garde" w:eastAsia="Times New Roman" w:hAnsi="ITC Avant Garde"/>
          <w:b/>
          <w:lang w:val="es-ES" w:eastAsia="es-ES"/>
        </w:rPr>
        <w:t>IFT/221/UPR/DG-RIRST/</w:t>
      </w:r>
      <w:r w:rsidR="00FE3B45" w:rsidRPr="00800959">
        <w:rPr>
          <w:rFonts w:ascii="ITC Avant Garde" w:eastAsia="Times New Roman" w:hAnsi="ITC Avant Garde"/>
          <w:b/>
          <w:lang w:val="es-ES" w:eastAsia="es-ES"/>
        </w:rPr>
        <w:t>189</w:t>
      </w:r>
      <w:r w:rsidR="008C75F8" w:rsidRPr="00800959">
        <w:rPr>
          <w:rFonts w:ascii="ITC Avant Garde" w:eastAsia="Times New Roman" w:hAnsi="ITC Avant Garde"/>
          <w:b/>
          <w:lang w:val="es-ES" w:eastAsia="es-ES"/>
        </w:rPr>
        <w:t>.071117/ITX</w:t>
      </w:r>
      <w:r w:rsidR="002D2078" w:rsidRPr="00800959">
        <w:rPr>
          <w:rFonts w:ascii="ITC Avant Garde" w:eastAsia="Times New Roman" w:hAnsi="ITC Avant Garde"/>
          <w:bCs/>
          <w:lang w:eastAsia="es-ES"/>
        </w:rPr>
        <w:t>.</w:t>
      </w:r>
    </w:p>
    <w:p w14:paraId="0AC79B12" w14:textId="77777777" w:rsidR="00800959" w:rsidRPr="00800959" w:rsidRDefault="008E69F9" w:rsidP="00800959">
      <w:pPr>
        <w:spacing w:before="240" w:after="240"/>
        <w:ind w:left="426"/>
        <w:jc w:val="both"/>
        <w:rPr>
          <w:rFonts w:ascii="ITC Avant Garde" w:eastAsia="Times New Roman" w:hAnsi="ITC Avant Garde"/>
          <w:bCs/>
          <w:highlight w:val="yellow"/>
          <w:lang w:val="es-ES" w:eastAsia="es-ES"/>
        </w:rPr>
      </w:pPr>
      <w:r w:rsidRPr="00800959">
        <w:rPr>
          <w:rFonts w:ascii="ITC Avant Garde" w:eastAsia="Times New Roman" w:hAnsi="ITC Avant Garde"/>
          <w:bCs/>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31617298" w14:textId="77777777" w:rsidR="00800959" w:rsidRPr="00800959" w:rsidRDefault="004C035B" w:rsidP="00800959">
      <w:pPr>
        <w:spacing w:before="240" w:after="240"/>
        <w:ind w:left="426"/>
        <w:jc w:val="both"/>
        <w:rPr>
          <w:rFonts w:ascii="ITC Avant Garde" w:eastAsia="Times New Roman" w:hAnsi="ITC Avant Garde"/>
          <w:lang w:val="es-ES" w:eastAsia="es-ES"/>
        </w:rPr>
      </w:pPr>
      <w:r w:rsidRPr="00800959">
        <w:rPr>
          <w:rFonts w:ascii="ITC Avant Garde" w:eastAsia="Times New Roman" w:hAnsi="ITC Avant Garde"/>
          <w:bCs/>
          <w:lang w:val="es-ES" w:eastAsia="es-ES"/>
        </w:rPr>
        <w:t xml:space="preserve">Es así que con fecha </w:t>
      </w:r>
      <w:r w:rsidR="00A202AA" w:rsidRPr="00800959">
        <w:rPr>
          <w:rFonts w:ascii="ITC Avant Garde" w:eastAsia="Times New Roman" w:hAnsi="ITC Avant Garde"/>
          <w:bCs/>
          <w:lang w:val="es-ES" w:eastAsia="es-ES"/>
        </w:rPr>
        <w:t>1</w:t>
      </w:r>
      <w:r w:rsidR="00257A23" w:rsidRPr="00800959">
        <w:rPr>
          <w:rFonts w:ascii="ITC Avant Garde" w:eastAsia="Times New Roman" w:hAnsi="ITC Avant Garde"/>
          <w:bCs/>
          <w:lang w:val="es-ES" w:eastAsia="es-ES"/>
        </w:rPr>
        <w:t>9</w:t>
      </w:r>
      <w:r w:rsidR="00AA3641" w:rsidRPr="00800959">
        <w:rPr>
          <w:rFonts w:ascii="ITC Avant Garde" w:eastAsia="Times New Roman" w:hAnsi="ITC Avant Garde"/>
          <w:bCs/>
          <w:lang w:val="es-ES" w:eastAsia="es-ES"/>
        </w:rPr>
        <w:t xml:space="preserve"> de </w:t>
      </w:r>
      <w:r w:rsidR="00A202AA" w:rsidRPr="00800959">
        <w:rPr>
          <w:rFonts w:ascii="ITC Avant Garde" w:eastAsia="Times New Roman" w:hAnsi="ITC Avant Garde"/>
          <w:bCs/>
          <w:lang w:val="es-ES" w:eastAsia="es-ES"/>
        </w:rPr>
        <w:t>febrero</w:t>
      </w:r>
      <w:r w:rsidRPr="00800959">
        <w:rPr>
          <w:rFonts w:ascii="ITC Avant Garde" w:eastAsia="Times New Roman" w:hAnsi="ITC Avant Garde"/>
          <w:bCs/>
          <w:lang w:val="es-ES" w:eastAsia="es-ES"/>
        </w:rPr>
        <w:t xml:space="preserve"> de</w:t>
      </w:r>
      <w:r w:rsidR="00AA3641" w:rsidRPr="00800959">
        <w:rPr>
          <w:rFonts w:ascii="ITC Avant Garde" w:eastAsia="Times New Roman" w:hAnsi="ITC Avant Garde"/>
          <w:bCs/>
          <w:lang w:val="es-ES" w:eastAsia="es-ES"/>
        </w:rPr>
        <w:t xml:space="preserve"> </w:t>
      </w:r>
      <w:r w:rsidR="00A202AA" w:rsidRPr="00800959">
        <w:rPr>
          <w:rFonts w:ascii="ITC Avant Garde" w:eastAsia="Times New Roman" w:hAnsi="ITC Avant Garde"/>
          <w:bCs/>
          <w:lang w:val="es-ES" w:eastAsia="es-ES"/>
        </w:rPr>
        <w:t>2018</w:t>
      </w:r>
      <w:r w:rsidRPr="00800959">
        <w:rPr>
          <w:rFonts w:ascii="ITC Avant Garde" w:eastAsia="Times New Roman" w:hAnsi="ITC Avant Garde"/>
          <w:bCs/>
          <w:lang w:val="es-ES" w:eastAsia="es-ES"/>
        </w:rPr>
        <w:t xml:space="preserve">, </w:t>
      </w:r>
      <w:r w:rsidRPr="00800959">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01E43A8B" w14:textId="77777777" w:rsidR="00800959" w:rsidRPr="00800959" w:rsidRDefault="003910E8" w:rsidP="00800959">
      <w:pPr>
        <w:numPr>
          <w:ilvl w:val="0"/>
          <w:numId w:val="1"/>
        </w:numPr>
        <w:tabs>
          <w:tab w:val="clear" w:pos="1106"/>
          <w:tab w:val="left" w:pos="142"/>
        </w:tabs>
        <w:spacing w:before="240" w:after="240"/>
        <w:ind w:left="426" w:right="23" w:hanging="426"/>
        <w:jc w:val="both"/>
        <w:rPr>
          <w:rFonts w:ascii="ITC Avant Garde" w:hAnsi="ITC Avant Garde"/>
          <w:bCs/>
          <w:lang w:val="es-ES" w:eastAsia="es-ES"/>
        </w:rPr>
      </w:pPr>
      <w:r w:rsidRPr="00800959">
        <w:rPr>
          <w:rFonts w:ascii="ITC Avant Garde" w:hAnsi="ITC Avant Garde"/>
          <w:b/>
          <w:bCs/>
          <w:lang w:val="es-ES" w:eastAsia="es-ES"/>
        </w:rPr>
        <w:t>Publicación de las Condiciones Técnicas Mínimas y las Tarifas de Interconexión para el año 2018</w:t>
      </w:r>
      <w:r w:rsidRPr="00800959">
        <w:rPr>
          <w:rFonts w:ascii="ITC Avant Garde" w:hAnsi="ITC Avant Garde"/>
          <w:bCs/>
          <w:lang w:val="es-ES" w:eastAsia="es-ES"/>
        </w:rPr>
        <w:t xml:space="preserve">. 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w:t>
      </w:r>
      <w:r w:rsidRPr="00800959">
        <w:rPr>
          <w:rFonts w:ascii="ITC Avant Garde" w:hAnsi="ITC Avant Garde"/>
          <w:bCs/>
          <w:lang w:val="es-ES" w:eastAsia="es-ES"/>
        </w:rPr>
        <w:lastRenderedPageBreak/>
        <w:t>aprobado mediante Acuerdo P/IFT/021117/657</w:t>
      </w:r>
      <w:r w:rsidRPr="00800959">
        <w:rPr>
          <w:rFonts w:ascii="ITC Avant Garde" w:hAnsi="ITC Avant Garde"/>
          <w:lang w:val="es-ES"/>
        </w:rPr>
        <w:t xml:space="preserve"> </w:t>
      </w:r>
      <w:r w:rsidRPr="00800959">
        <w:rPr>
          <w:rFonts w:ascii="ITC Avant Garde" w:hAnsi="ITC Avant Garde"/>
          <w:bCs/>
          <w:lang w:val="es-ES" w:eastAsia="es-ES"/>
        </w:rPr>
        <w:t>(en lo sucesivo, el “Acuerdo de CTM y Tarifas 2018”).</w:t>
      </w:r>
    </w:p>
    <w:p w14:paraId="32B57F63" w14:textId="77777777" w:rsidR="00800959" w:rsidRPr="00800959" w:rsidRDefault="004C035B" w:rsidP="00800959">
      <w:pPr>
        <w:widowControl w:val="0"/>
        <w:spacing w:before="240" w:after="240"/>
        <w:jc w:val="both"/>
        <w:rPr>
          <w:rFonts w:ascii="ITC Avant Garde" w:eastAsia="Times New Roman" w:hAnsi="ITC Avant Garde"/>
          <w:lang w:eastAsia="es-ES"/>
        </w:rPr>
      </w:pPr>
      <w:r w:rsidRPr="00800959">
        <w:rPr>
          <w:rFonts w:ascii="ITC Avant Garde" w:eastAsia="Times New Roman" w:hAnsi="ITC Avant Garde"/>
          <w:lang w:eastAsia="es-ES"/>
        </w:rPr>
        <w:t>En virtud de los referidos Antecedentes, y</w:t>
      </w:r>
    </w:p>
    <w:p w14:paraId="1C7B886C" w14:textId="77777777" w:rsidR="00800959" w:rsidRPr="00800959" w:rsidRDefault="004C035B" w:rsidP="00800959">
      <w:pPr>
        <w:pStyle w:val="Ttulo2"/>
        <w:spacing w:before="240" w:after="240"/>
        <w:jc w:val="center"/>
        <w:rPr>
          <w:rFonts w:ascii="ITC Avant Garde" w:hAnsi="ITC Avant Garde" w:cs="Times New Roman"/>
          <w:b/>
          <w:color w:val="auto"/>
          <w:sz w:val="22"/>
          <w:szCs w:val="22"/>
        </w:rPr>
      </w:pPr>
      <w:r w:rsidRPr="00800959">
        <w:rPr>
          <w:rFonts w:ascii="ITC Avant Garde" w:hAnsi="ITC Avant Garde" w:cs="Times New Roman"/>
          <w:b/>
          <w:color w:val="auto"/>
          <w:sz w:val="22"/>
          <w:szCs w:val="22"/>
        </w:rPr>
        <w:t>CONSIDERANDO</w:t>
      </w:r>
    </w:p>
    <w:p w14:paraId="474FF183" w14:textId="77777777" w:rsidR="00800959" w:rsidRPr="00800959" w:rsidRDefault="004C035B" w:rsidP="00800959">
      <w:pPr>
        <w:pStyle w:val="Textoindependiente"/>
        <w:spacing w:before="240" w:after="240" w:line="276" w:lineRule="auto"/>
        <w:rPr>
          <w:rFonts w:ascii="ITC Avant Garde" w:hAnsi="ITC Avant Garde" w:cs="Arial"/>
          <w:bCs/>
          <w:szCs w:val="22"/>
        </w:rPr>
      </w:pPr>
      <w:bookmarkStart w:id="1" w:name="primero"/>
      <w:r w:rsidRPr="00800959">
        <w:rPr>
          <w:rFonts w:ascii="ITC Avant Garde" w:hAnsi="ITC Avant Garde" w:cs="Arial"/>
          <w:b/>
          <w:bCs/>
          <w:lang w:val="es-ES"/>
        </w:rPr>
        <w:t>PRIMERO.</w:t>
      </w:r>
      <w:r w:rsidR="00CC4A83" w:rsidRPr="00800959">
        <w:rPr>
          <w:rFonts w:ascii="ITC Avant Garde" w:hAnsi="ITC Avant Garde" w:cs="Arial"/>
          <w:b/>
          <w:bCs/>
          <w:lang w:val="es-ES"/>
        </w:rPr>
        <w:t xml:space="preserve"> </w:t>
      </w:r>
      <w:r w:rsidRPr="00800959">
        <w:rPr>
          <w:rFonts w:ascii="ITC Avant Garde" w:hAnsi="ITC Avant Garde" w:cs="Arial"/>
          <w:b/>
          <w:bCs/>
          <w:lang w:val="es-ES"/>
        </w:rPr>
        <w:t>- Competencia del Instituto</w:t>
      </w:r>
      <w:r w:rsidRPr="00800959">
        <w:rPr>
          <w:rFonts w:ascii="ITC Avant Garde" w:hAnsi="ITC Avant Garde" w:cs="Arial"/>
          <w:bCs/>
          <w:lang w:val="es-ES"/>
        </w:rPr>
        <w:t xml:space="preserve">. </w:t>
      </w:r>
      <w:r w:rsidRPr="00800959">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800959">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1A83EE22" w14:textId="77777777" w:rsidR="00800959" w:rsidRPr="00800959" w:rsidRDefault="004C035B" w:rsidP="00800959">
      <w:pPr>
        <w:pStyle w:val="Textoindependiente"/>
        <w:spacing w:before="240" w:after="240" w:line="276" w:lineRule="auto"/>
        <w:rPr>
          <w:rFonts w:ascii="ITC Avant Garde" w:hAnsi="ITC Avant Garde" w:cs="Arial"/>
          <w:bCs/>
          <w:szCs w:val="22"/>
        </w:rPr>
      </w:pPr>
      <w:r w:rsidRPr="00800959">
        <w:rPr>
          <w:rFonts w:ascii="ITC Avant Garde" w:hAnsi="ITC Avant Garde" w:cs="Arial"/>
          <w:bCs/>
          <w:szCs w:val="22"/>
          <w:lang w:val="es-ES"/>
        </w:rPr>
        <w:t xml:space="preserve">Con fundamento </w:t>
      </w:r>
      <w:r w:rsidRPr="00800959">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636C8182" w14:textId="77777777" w:rsidR="00800959" w:rsidRPr="00800959" w:rsidRDefault="004C035B" w:rsidP="00800959">
      <w:pPr>
        <w:pStyle w:val="Textoindependiente"/>
        <w:spacing w:before="240" w:after="240" w:line="276" w:lineRule="auto"/>
        <w:rPr>
          <w:rFonts w:ascii="ITC Avant Garde" w:hAnsi="ITC Avant Garde"/>
          <w:szCs w:val="22"/>
        </w:rPr>
      </w:pPr>
      <w:r w:rsidRPr="00800959">
        <w:rPr>
          <w:rFonts w:ascii="ITC Avant Garde" w:hAnsi="ITC Avant Garde"/>
          <w:szCs w:val="22"/>
        </w:rPr>
        <w:t>Por lo anterior y de conformidad con lo dispuesto en los artículos indicados, el Pleno del Instituto es competente para emitir la presente Resolución que determina los términos, condiciones y tarifas de interconexión no convenidas entre los concesionarios que operan redes públicas de telecomunicaciones, que forman parte en el presente procedimiento.</w:t>
      </w:r>
    </w:p>
    <w:p w14:paraId="2EA0B36A" w14:textId="77777777" w:rsidR="00800959" w:rsidRPr="00800959" w:rsidRDefault="004C035B" w:rsidP="00800959">
      <w:pPr>
        <w:autoSpaceDE w:val="0"/>
        <w:autoSpaceDN w:val="0"/>
        <w:spacing w:before="240" w:after="240"/>
        <w:jc w:val="both"/>
        <w:rPr>
          <w:rFonts w:ascii="ITC Avant Garde" w:hAnsi="ITC Avant Garde"/>
          <w:lang w:eastAsia="es-ES"/>
        </w:rPr>
      </w:pPr>
      <w:bookmarkStart w:id="2" w:name="segundo"/>
      <w:bookmarkEnd w:id="1"/>
      <w:r w:rsidRPr="00800959">
        <w:rPr>
          <w:rFonts w:ascii="ITC Avant Garde" w:eastAsia="Times New Roman" w:hAnsi="ITC Avant Garde" w:cs="Arial"/>
          <w:b/>
          <w:szCs w:val="20"/>
        </w:rPr>
        <w:t>SEGUNDO.- Importancia y obligatoriedad de la interconexión e Interés Público.-</w:t>
      </w:r>
      <w:r w:rsidRPr="00800959">
        <w:rPr>
          <w:rFonts w:ascii="ITC Avant Garde" w:eastAsia="Times New Roman" w:hAnsi="ITC Avant Garde" w:cs="Arial"/>
          <w:szCs w:val="20"/>
        </w:rPr>
        <w:t xml:space="preserve"> </w:t>
      </w:r>
      <w:r w:rsidRPr="00800959">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5DCFDF9" w14:textId="77777777" w:rsidR="00800959" w:rsidRPr="00800959" w:rsidRDefault="004C035B" w:rsidP="00800959">
      <w:pPr>
        <w:pStyle w:val="Textoindependiente"/>
        <w:spacing w:before="240" w:after="240" w:line="276" w:lineRule="auto"/>
        <w:rPr>
          <w:rFonts w:ascii="ITC Avant Garde" w:hAnsi="ITC Avant Garde"/>
        </w:rPr>
      </w:pPr>
      <w:r w:rsidRPr="00800959">
        <w:rPr>
          <w:rFonts w:ascii="ITC Avant Garde" w:hAnsi="ITC Avant Garde"/>
        </w:rPr>
        <w:t xml:space="preserve">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w:t>
      </w:r>
      <w:r w:rsidRPr="00800959">
        <w:rPr>
          <w:rFonts w:ascii="ITC Avant Garde" w:hAnsi="ITC Avant Garde"/>
        </w:rPr>
        <w:lastRenderedPageBreak/>
        <w:t>con un mecanismo de mercado se atiende en última instancia al interés del público usuario, en términos de lo establecido en los artículos 7, 124 y 125 de la LFTR.</w:t>
      </w:r>
    </w:p>
    <w:p w14:paraId="6DD715F5" w14:textId="77777777" w:rsidR="00800959" w:rsidRPr="00800959" w:rsidRDefault="004C035B" w:rsidP="00800959">
      <w:pPr>
        <w:pStyle w:val="Textoindependiente"/>
        <w:spacing w:before="240" w:after="240" w:line="276" w:lineRule="auto"/>
        <w:rPr>
          <w:rFonts w:ascii="ITC Avant Garde" w:hAnsi="ITC Avant Garde" w:cs="Arial"/>
          <w:szCs w:val="22"/>
        </w:rPr>
      </w:pPr>
      <w:r w:rsidRPr="00800959">
        <w:rPr>
          <w:rFonts w:ascii="ITC Avant Garde" w:hAnsi="ITC Avant Garde" w:cs="Arial"/>
          <w:szCs w:val="22"/>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w:t>
      </w:r>
      <w:r w:rsidR="0083517E" w:rsidRPr="00800959">
        <w:rPr>
          <w:rFonts w:ascii="ITC Avant Garde" w:hAnsi="ITC Avant Garde" w:cs="Arial"/>
          <w:szCs w:val="22"/>
        </w:rPr>
        <w:t xml:space="preserve"> LFT</w:t>
      </w:r>
      <w:r w:rsidRPr="00800959">
        <w:rPr>
          <w:rFonts w:ascii="ITC Avant Garde" w:hAnsi="ITC Avant Garde" w:cs="Arial"/>
          <w:szCs w:val="22"/>
        </w:rPr>
        <w:t>R, y (iii) que dicha interconexión se realice en condiciones no discriminatorias, transparentes y basadas en criterios objetivos.</w:t>
      </w:r>
    </w:p>
    <w:p w14:paraId="5401C7AA" w14:textId="77777777" w:rsidR="00800959" w:rsidRPr="00800959" w:rsidRDefault="004C035B" w:rsidP="00800959">
      <w:pPr>
        <w:pStyle w:val="Textoindependiente"/>
        <w:spacing w:before="240" w:after="240" w:line="276" w:lineRule="auto"/>
        <w:rPr>
          <w:rFonts w:ascii="ITC Avant Garde" w:hAnsi="ITC Avant Garde" w:cs="Arial"/>
          <w:szCs w:val="22"/>
        </w:rPr>
      </w:pPr>
      <w:r w:rsidRPr="00800959">
        <w:rPr>
          <w:rFonts w:ascii="ITC Avant Garde" w:hAnsi="ITC Avant Garde" w:cs="Arial"/>
        </w:rPr>
        <w:t>Ahora bien,</w:t>
      </w:r>
      <w:bookmarkEnd w:id="2"/>
      <w:r w:rsidRPr="00800959">
        <w:rPr>
          <w:rFonts w:ascii="ITC Avant Garde" w:hAnsi="ITC Avant Garde" w:cs="Arial"/>
        </w:rPr>
        <w:t xml:space="preserve"> </w:t>
      </w:r>
      <w:bookmarkStart w:id="3" w:name="tercero1"/>
      <w:r w:rsidRPr="00800959">
        <w:rPr>
          <w:rFonts w:ascii="ITC Avant Garde" w:hAnsi="ITC Avant Garde" w:cs="Arial"/>
          <w:szCs w:val="22"/>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24866588" w14:textId="77777777" w:rsidR="00800959" w:rsidRPr="00800959" w:rsidRDefault="004C035B" w:rsidP="00800959">
      <w:pPr>
        <w:pStyle w:val="Textoindependiente"/>
        <w:spacing w:before="240" w:after="240" w:line="276" w:lineRule="auto"/>
        <w:rPr>
          <w:rFonts w:ascii="ITC Avant Garde" w:hAnsi="ITC Avant Garde" w:cs="Arial"/>
          <w:szCs w:val="22"/>
        </w:rPr>
      </w:pPr>
      <w:r w:rsidRPr="00800959">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800959">
        <w:rPr>
          <w:rFonts w:ascii="ITC Avant Garde" w:hAnsi="ITC Avant Garde" w:cs="Arial"/>
          <w:szCs w:val="22"/>
        </w:rPr>
        <w:t>concluido el periodo de sesenta (60) días naturales.</w:t>
      </w:r>
    </w:p>
    <w:p w14:paraId="22384A25" w14:textId="77777777" w:rsidR="00800959" w:rsidRPr="00800959" w:rsidRDefault="004C035B" w:rsidP="00800959">
      <w:pPr>
        <w:pStyle w:val="Textoindependiente"/>
        <w:spacing w:before="240" w:after="240" w:line="276" w:lineRule="auto"/>
        <w:rPr>
          <w:rFonts w:ascii="ITC Avant Garde" w:hAnsi="ITC Avant Garde" w:cs="Arial"/>
          <w:spacing w:val="-2"/>
          <w:szCs w:val="22"/>
        </w:rPr>
      </w:pPr>
      <w:r w:rsidRPr="00800959">
        <w:rPr>
          <w:rFonts w:ascii="ITC Avant Garde" w:hAnsi="ITC Avant Garde" w:cs="Arial"/>
          <w:spacing w:val="-2"/>
          <w:szCs w:val="22"/>
        </w:rPr>
        <w:t xml:space="preserve">En consecuencia, en autos está acreditado que </w:t>
      </w:r>
      <w:r w:rsidR="005417B1" w:rsidRPr="00800959">
        <w:rPr>
          <w:rFonts w:ascii="ITC Avant Garde" w:hAnsi="ITC Avant Garde" w:cs="Arial"/>
          <w:spacing w:val="-2"/>
          <w:szCs w:val="22"/>
        </w:rPr>
        <w:t>M</w:t>
      </w:r>
      <w:r w:rsidR="007B6174" w:rsidRPr="00800959">
        <w:rPr>
          <w:rFonts w:ascii="ITC Avant Garde" w:hAnsi="ITC Avant Garde" w:cs="Arial"/>
          <w:spacing w:val="-2"/>
          <w:szCs w:val="22"/>
        </w:rPr>
        <w:t xml:space="preserve">ega Cable </w:t>
      </w:r>
      <w:r w:rsidR="008676EE" w:rsidRPr="00800959">
        <w:rPr>
          <w:rFonts w:ascii="ITC Avant Garde" w:hAnsi="ITC Avant Garde" w:cs="Arial"/>
          <w:spacing w:val="-2"/>
          <w:szCs w:val="22"/>
        </w:rPr>
        <w:t>y</w:t>
      </w:r>
      <w:r w:rsidRPr="00800959">
        <w:rPr>
          <w:rFonts w:ascii="ITC Avant Garde" w:hAnsi="ITC Avant Garde" w:cs="Arial"/>
          <w:spacing w:val="-2"/>
          <w:szCs w:val="22"/>
        </w:rPr>
        <w:t xml:space="preserve"> </w:t>
      </w:r>
      <w:r w:rsidR="005417B1" w:rsidRPr="00800959">
        <w:rPr>
          <w:rFonts w:ascii="ITC Avant Garde" w:hAnsi="ITC Avant Garde" w:cs="Arial"/>
          <w:spacing w:val="-2"/>
          <w:szCs w:val="22"/>
        </w:rPr>
        <w:t>Pegaso PCS</w:t>
      </w:r>
      <w:r w:rsidR="00DB0A88" w:rsidRPr="00800959">
        <w:rPr>
          <w:rFonts w:ascii="ITC Avant Garde" w:hAnsi="ITC Avant Garde" w:cs="Arial"/>
          <w:spacing w:val="-2"/>
          <w:szCs w:val="22"/>
        </w:rPr>
        <w:t xml:space="preserve"> </w:t>
      </w:r>
      <w:r w:rsidRPr="00800959">
        <w:rPr>
          <w:rFonts w:ascii="ITC Avant Garde" w:hAnsi="ITC Avant Garde" w:cs="Arial"/>
          <w:spacing w:val="-2"/>
          <w:szCs w:val="22"/>
        </w:rPr>
        <w:t xml:space="preserve">tienen el carácter de concesionarios que operan una red pública de telecomunicaciones y que efectivamente </w:t>
      </w:r>
      <w:r w:rsidR="00804F00" w:rsidRPr="00800959">
        <w:rPr>
          <w:rFonts w:ascii="ITC Avant Garde" w:hAnsi="ITC Avant Garde" w:cs="Arial"/>
          <w:spacing w:val="-2"/>
          <w:szCs w:val="22"/>
        </w:rPr>
        <w:t>Mega Cable</w:t>
      </w:r>
      <w:r w:rsidR="001019E7" w:rsidRPr="00800959">
        <w:rPr>
          <w:rFonts w:ascii="ITC Avant Garde" w:hAnsi="ITC Avant Garde" w:cs="Arial"/>
          <w:spacing w:val="-2"/>
          <w:szCs w:val="22"/>
        </w:rPr>
        <w:t xml:space="preserve"> </w:t>
      </w:r>
      <w:r w:rsidRPr="00800959">
        <w:rPr>
          <w:rFonts w:ascii="ITC Avant Garde" w:hAnsi="ITC Avant Garde" w:cs="Arial"/>
          <w:spacing w:val="-2"/>
          <w:szCs w:val="22"/>
        </w:rPr>
        <w:t xml:space="preserve">requirió a </w:t>
      </w:r>
      <w:r w:rsidR="001019E7" w:rsidRPr="00800959">
        <w:rPr>
          <w:rFonts w:ascii="ITC Avant Garde" w:hAnsi="ITC Avant Garde" w:cs="Arial"/>
          <w:spacing w:val="-2"/>
          <w:szCs w:val="22"/>
        </w:rPr>
        <w:t>Pegaso PCS</w:t>
      </w:r>
      <w:r w:rsidR="003E2976" w:rsidRPr="00800959">
        <w:rPr>
          <w:rFonts w:ascii="ITC Avant Garde" w:hAnsi="ITC Avant Garde" w:cs="Arial"/>
          <w:spacing w:val="-2"/>
          <w:szCs w:val="22"/>
        </w:rPr>
        <w:t xml:space="preserve"> </w:t>
      </w:r>
      <w:r w:rsidRPr="00800959">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49EF7C7F" w14:textId="77777777" w:rsidR="00800959" w:rsidRPr="00800959" w:rsidRDefault="004C035B" w:rsidP="00800959">
      <w:pPr>
        <w:pStyle w:val="Textoindependiente"/>
        <w:spacing w:before="240" w:after="240" w:line="276" w:lineRule="auto"/>
        <w:rPr>
          <w:rFonts w:ascii="ITC Avant Garde" w:hAnsi="ITC Avant Garde" w:cs="Arial"/>
          <w:szCs w:val="22"/>
        </w:rPr>
      </w:pPr>
      <w:r w:rsidRPr="00800959">
        <w:rPr>
          <w:rFonts w:ascii="ITC Avant Garde" w:hAnsi="ITC Avant Garde" w:cs="Arial"/>
          <w:szCs w:val="22"/>
        </w:rPr>
        <w:t xml:space="preserve">Por ello, conforme al artículo 124 de la LFTR </w:t>
      </w:r>
      <w:r w:rsidR="00804F00" w:rsidRPr="00800959">
        <w:rPr>
          <w:rFonts w:ascii="ITC Avant Garde" w:hAnsi="ITC Avant Garde" w:cs="Arial"/>
          <w:spacing w:val="-2"/>
          <w:szCs w:val="22"/>
        </w:rPr>
        <w:t>Mega Cable</w:t>
      </w:r>
      <w:r w:rsidR="008676EE" w:rsidRPr="00800959">
        <w:rPr>
          <w:rFonts w:ascii="ITC Avant Garde" w:hAnsi="ITC Avant Garde" w:cs="Arial"/>
          <w:spacing w:val="-2"/>
          <w:szCs w:val="22"/>
        </w:rPr>
        <w:t xml:space="preserve"> y</w:t>
      </w:r>
      <w:r w:rsidR="003E2976" w:rsidRPr="00800959">
        <w:rPr>
          <w:rFonts w:ascii="ITC Avant Garde" w:hAnsi="ITC Avant Garde" w:cs="Arial"/>
          <w:spacing w:val="-2"/>
          <w:szCs w:val="22"/>
        </w:rPr>
        <w:t xml:space="preserve"> </w:t>
      </w:r>
      <w:r w:rsidR="009C39D5" w:rsidRPr="00800959">
        <w:rPr>
          <w:rFonts w:ascii="ITC Avant Garde" w:hAnsi="ITC Avant Garde" w:cs="Arial"/>
          <w:spacing w:val="-2"/>
          <w:szCs w:val="22"/>
        </w:rPr>
        <w:t>Pegaso PCS</w:t>
      </w:r>
      <w:r w:rsidRPr="00800959">
        <w:rPr>
          <w:rFonts w:ascii="ITC Avant Garde" w:hAnsi="ITC Avant Garde" w:cs="Arial"/>
          <w:spacing w:val="-2"/>
          <w:szCs w:val="22"/>
        </w:rPr>
        <w:t xml:space="preserve"> </w:t>
      </w:r>
      <w:r w:rsidRPr="0080095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405DBDD" w14:textId="77777777" w:rsidR="00800959" w:rsidRPr="00800959" w:rsidRDefault="004C035B" w:rsidP="00800959">
      <w:pPr>
        <w:spacing w:before="240" w:after="240"/>
        <w:jc w:val="both"/>
        <w:rPr>
          <w:rFonts w:ascii="ITC Avant Garde" w:hAnsi="ITC Avant Garde"/>
          <w:spacing w:val="-4"/>
        </w:rPr>
      </w:pPr>
      <w:r w:rsidRPr="00800959">
        <w:rPr>
          <w:rFonts w:ascii="ITC Avant Garde" w:hAnsi="ITC Avant Garde" w:cs="Arial"/>
          <w:b/>
        </w:rPr>
        <w:lastRenderedPageBreak/>
        <w:t xml:space="preserve">TERCERO.- </w:t>
      </w:r>
      <w:r w:rsidRPr="00800959">
        <w:rPr>
          <w:rFonts w:ascii="ITC Avant Garde" w:hAnsi="ITC Avant Garde"/>
          <w:b/>
          <w:szCs w:val="24"/>
        </w:rPr>
        <w:t xml:space="preserve">Valoración de pruebas.- </w:t>
      </w:r>
      <w:r w:rsidRPr="00800959">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68D5C7D" w14:textId="77777777" w:rsidR="00800959" w:rsidRPr="00800959" w:rsidRDefault="004C035B" w:rsidP="00800959">
      <w:pPr>
        <w:tabs>
          <w:tab w:val="left" w:pos="142"/>
        </w:tabs>
        <w:spacing w:before="240" w:after="240"/>
        <w:ind w:right="23"/>
        <w:jc w:val="both"/>
        <w:rPr>
          <w:rFonts w:ascii="ITC Avant Garde" w:hAnsi="ITC Avant Garde" w:cs="Arial"/>
        </w:rPr>
      </w:pPr>
      <w:r w:rsidRPr="00800959">
        <w:rPr>
          <w:rFonts w:ascii="ITC Avant Garde" w:hAnsi="ITC Avant Garde" w:cs="Arial"/>
        </w:rPr>
        <w:t>Por su parte la LFPA y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w:t>
      </w:r>
    </w:p>
    <w:p w14:paraId="7B20EB39" w14:textId="77777777" w:rsidR="00800959" w:rsidRPr="00800959" w:rsidRDefault="00AB6D09" w:rsidP="00800959">
      <w:pPr>
        <w:tabs>
          <w:tab w:val="left" w:pos="142"/>
        </w:tabs>
        <w:spacing w:before="240" w:after="240"/>
        <w:ind w:right="23"/>
        <w:jc w:val="both"/>
        <w:rPr>
          <w:rFonts w:ascii="ITC Avant Garde" w:hAnsi="ITC Avant Garde" w:cs="Arial"/>
        </w:rPr>
      </w:pPr>
      <w:r w:rsidRPr="00800959">
        <w:rPr>
          <w:rFonts w:ascii="ITC Avant Garde" w:hAnsi="ITC Avant Garde" w:cs="Arial"/>
        </w:rPr>
        <w:t>En tal sentido, el Instituto valora las pruebas aportadas por las partes en los siguientes términos:</w:t>
      </w:r>
    </w:p>
    <w:p w14:paraId="70586989" w14:textId="77777777" w:rsidR="00800959" w:rsidRPr="00800959" w:rsidRDefault="001F111A" w:rsidP="00800959">
      <w:pPr>
        <w:tabs>
          <w:tab w:val="left" w:pos="142"/>
        </w:tabs>
        <w:spacing w:before="240" w:after="240"/>
        <w:ind w:right="23"/>
        <w:jc w:val="both"/>
        <w:rPr>
          <w:rFonts w:ascii="ITC Avant Garde" w:hAnsi="ITC Avant Garde" w:cs="Arial"/>
          <w:b/>
          <w:bCs/>
        </w:rPr>
      </w:pPr>
      <w:r w:rsidRPr="00800959">
        <w:rPr>
          <w:rFonts w:ascii="ITC Avant Garde" w:hAnsi="ITC Avant Garde" w:cs="Arial"/>
          <w:b/>
          <w:bCs/>
        </w:rPr>
        <w:t>3.1 Pruebas ofrecidas por M</w:t>
      </w:r>
      <w:r w:rsidR="00804F00" w:rsidRPr="00800959">
        <w:rPr>
          <w:rFonts w:ascii="ITC Avant Garde" w:hAnsi="ITC Avant Garde" w:cs="Arial"/>
          <w:b/>
          <w:bCs/>
        </w:rPr>
        <w:t>ega Cable</w:t>
      </w:r>
    </w:p>
    <w:p w14:paraId="3EE1663E" w14:textId="77777777" w:rsidR="00800959" w:rsidRPr="00800959" w:rsidRDefault="0082194C" w:rsidP="00800959">
      <w:pPr>
        <w:pStyle w:val="Prrafodelista"/>
        <w:numPr>
          <w:ilvl w:val="0"/>
          <w:numId w:val="3"/>
        </w:numPr>
        <w:tabs>
          <w:tab w:val="left" w:pos="4850"/>
        </w:tabs>
        <w:spacing w:before="240" w:after="240" w:line="276" w:lineRule="auto"/>
        <w:ind w:left="284" w:hanging="284"/>
        <w:contextualSpacing w:val="0"/>
        <w:jc w:val="both"/>
        <w:rPr>
          <w:rFonts w:ascii="ITC Avant Garde" w:hAnsi="ITC Avant Garde" w:cs="Arial"/>
        </w:rPr>
      </w:pPr>
      <w:r w:rsidRPr="00800959">
        <w:rPr>
          <w:rFonts w:ascii="ITC Avant Garde" w:hAnsi="ITC Avant Garde"/>
          <w:lang w:val="es-ES"/>
        </w:rPr>
        <w:t>En</w:t>
      </w:r>
      <w:r w:rsidR="001F111A" w:rsidRPr="00800959">
        <w:rPr>
          <w:rFonts w:ascii="ITC Avant Garde" w:hAnsi="ITC Avant Garde"/>
          <w:lang w:val="es-ES"/>
        </w:rPr>
        <w:t xml:space="preserve"> relación </w:t>
      </w:r>
      <w:r w:rsidR="00D9368E" w:rsidRPr="00800959">
        <w:rPr>
          <w:rFonts w:ascii="ITC Avant Garde" w:hAnsi="ITC Avant Garde"/>
          <w:lang w:val="es-ES"/>
        </w:rPr>
        <w:t>a</w:t>
      </w:r>
      <w:r w:rsidR="00262345" w:rsidRPr="00800959">
        <w:rPr>
          <w:rFonts w:ascii="ITC Avant Garde" w:hAnsi="ITC Avant Garde"/>
          <w:lang w:val="es-ES"/>
        </w:rPr>
        <w:t xml:space="preserve"> la</w:t>
      </w:r>
      <w:r w:rsidR="00D9368E" w:rsidRPr="00800959">
        <w:rPr>
          <w:rFonts w:ascii="ITC Avant Garde" w:hAnsi="ITC Avant Garde"/>
          <w:lang w:val="es-ES"/>
        </w:rPr>
        <w:t>s</w:t>
      </w:r>
      <w:r w:rsidR="00262345" w:rsidRPr="00800959">
        <w:rPr>
          <w:rFonts w:ascii="ITC Avant Garde" w:hAnsi="ITC Avant Garde"/>
          <w:lang w:val="es-ES"/>
        </w:rPr>
        <w:t xml:space="preserve"> documental</w:t>
      </w:r>
      <w:r w:rsidR="00D9368E" w:rsidRPr="00800959">
        <w:rPr>
          <w:rFonts w:ascii="ITC Avant Garde" w:hAnsi="ITC Avant Garde"/>
          <w:lang w:val="es-ES"/>
        </w:rPr>
        <w:t>es</w:t>
      </w:r>
      <w:r w:rsidR="00262345" w:rsidRPr="00800959">
        <w:rPr>
          <w:rFonts w:ascii="ITC Avant Garde" w:hAnsi="ITC Avant Garde"/>
          <w:lang w:val="es-ES"/>
        </w:rPr>
        <w:t xml:space="preserve"> privada</w:t>
      </w:r>
      <w:r w:rsidR="00D9368E" w:rsidRPr="00800959">
        <w:rPr>
          <w:rFonts w:ascii="ITC Avant Garde" w:hAnsi="ITC Avant Garde"/>
          <w:lang w:val="es-ES"/>
        </w:rPr>
        <w:t>s</w:t>
      </w:r>
      <w:r w:rsidR="001F111A" w:rsidRPr="00800959">
        <w:rPr>
          <w:rFonts w:ascii="ITC Avant Garde" w:hAnsi="ITC Avant Garde"/>
          <w:lang w:val="es-ES"/>
        </w:rPr>
        <w:t xml:space="preserve"> consistente</w:t>
      </w:r>
      <w:r w:rsidR="00D9368E" w:rsidRPr="00800959">
        <w:rPr>
          <w:rFonts w:ascii="ITC Avant Garde" w:hAnsi="ITC Avant Garde"/>
          <w:lang w:val="es-ES"/>
        </w:rPr>
        <w:t>s</w:t>
      </w:r>
      <w:r w:rsidR="001F111A" w:rsidRPr="00800959">
        <w:rPr>
          <w:rFonts w:ascii="ITC Avant Garde" w:hAnsi="ITC Avant Garde"/>
          <w:lang w:val="es-ES"/>
        </w:rPr>
        <w:t xml:space="preserve"> en</w:t>
      </w:r>
      <w:r w:rsidR="00F33B15" w:rsidRPr="00800959">
        <w:rPr>
          <w:rFonts w:ascii="ITC Avant Garde" w:hAnsi="ITC Avant Garde"/>
          <w:lang w:val="es-ES"/>
        </w:rPr>
        <w:t xml:space="preserve"> las pantallas de impresión del SESI y</w:t>
      </w:r>
      <w:r w:rsidR="001F111A" w:rsidRPr="00800959">
        <w:rPr>
          <w:rFonts w:ascii="ITC Avant Garde" w:hAnsi="ITC Avant Garde"/>
          <w:lang w:val="es-ES"/>
        </w:rPr>
        <w:t xml:space="preserve"> la</w:t>
      </w:r>
      <w:r w:rsidR="00262345" w:rsidRPr="00800959">
        <w:rPr>
          <w:rFonts w:ascii="ITC Avant Garde" w:hAnsi="ITC Avant Garde"/>
          <w:lang w:val="es-ES"/>
        </w:rPr>
        <w:t>s solicitud</w:t>
      </w:r>
      <w:r w:rsidR="00D14A57" w:rsidRPr="00800959">
        <w:rPr>
          <w:rFonts w:ascii="ITC Avant Garde" w:hAnsi="ITC Avant Garde"/>
          <w:lang w:val="es-ES"/>
        </w:rPr>
        <w:t>es</w:t>
      </w:r>
      <w:r w:rsidR="001F111A" w:rsidRPr="00800959">
        <w:rPr>
          <w:rFonts w:ascii="ITC Avant Garde" w:hAnsi="ITC Avant Garde"/>
          <w:lang w:val="es-ES"/>
        </w:rPr>
        <w:t xml:space="preserve"> de ini</w:t>
      </w:r>
      <w:r w:rsidR="00262345" w:rsidRPr="00800959">
        <w:rPr>
          <w:rFonts w:ascii="ITC Avant Garde" w:hAnsi="ITC Avant Garde"/>
          <w:lang w:val="es-ES"/>
        </w:rPr>
        <w:t>cio de negociaciones presentada</w:t>
      </w:r>
      <w:r w:rsidR="00D14A57" w:rsidRPr="00800959">
        <w:rPr>
          <w:rFonts w:ascii="ITC Avant Garde" w:hAnsi="ITC Avant Garde"/>
          <w:lang w:val="es-ES"/>
        </w:rPr>
        <w:t>s</w:t>
      </w:r>
      <w:r w:rsidR="00242446" w:rsidRPr="00800959">
        <w:rPr>
          <w:rFonts w:ascii="ITC Avant Garde" w:hAnsi="ITC Avant Garde"/>
          <w:lang w:val="es-ES"/>
        </w:rPr>
        <w:t xml:space="preserve"> </w:t>
      </w:r>
      <w:r w:rsidR="001F111A" w:rsidRPr="00800959">
        <w:rPr>
          <w:rFonts w:ascii="ITC Avant Garde" w:hAnsi="ITC Avant Garde"/>
          <w:lang w:val="es-ES"/>
        </w:rPr>
        <w:t xml:space="preserve">por parte de </w:t>
      </w:r>
      <w:r w:rsidR="00242446" w:rsidRPr="00800959">
        <w:rPr>
          <w:rFonts w:ascii="ITC Avant Garde" w:hAnsi="ITC Avant Garde"/>
          <w:lang w:val="es-ES"/>
        </w:rPr>
        <w:t>M</w:t>
      </w:r>
      <w:r w:rsidR="000515A5" w:rsidRPr="00800959">
        <w:rPr>
          <w:rFonts w:ascii="ITC Avant Garde" w:hAnsi="ITC Avant Garde"/>
          <w:lang w:val="es-ES"/>
        </w:rPr>
        <w:t>ega Cable</w:t>
      </w:r>
      <w:r w:rsidR="001F111A" w:rsidRPr="00800959">
        <w:rPr>
          <w:rFonts w:ascii="ITC Avant Garde" w:hAnsi="ITC Avant Garde"/>
          <w:lang w:val="es-ES"/>
        </w:rPr>
        <w:t xml:space="preserve"> </w:t>
      </w:r>
      <w:r w:rsidR="00527B6D" w:rsidRPr="00800959">
        <w:rPr>
          <w:rFonts w:ascii="ITC Avant Garde" w:hAnsi="ITC Avant Garde"/>
          <w:lang w:val="es-ES"/>
        </w:rPr>
        <w:t>e</w:t>
      </w:r>
      <w:r w:rsidR="004D7561" w:rsidRPr="00800959">
        <w:rPr>
          <w:rFonts w:ascii="ITC Avant Garde" w:hAnsi="ITC Avant Garde"/>
          <w:lang w:val="es-ES"/>
        </w:rPr>
        <w:t xml:space="preserve"> identificada</w:t>
      </w:r>
      <w:r w:rsidR="00D14A57" w:rsidRPr="00800959">
        <w:rPr>
          <w:rFonts w:ascii="ITC Avant Garde" w:hAnsi="ITC Avant Garde"/>
          <w:lang w:val="es-ES"/>
        </w:rPr>
        <w:t>s</w:t>
      </w:r>
      <w:r w:rsidR="001F111A" w:rsidRPr="00800959">
        <w:rPr>
          <w:rFonts w:ascii="ITC Avant Garde" w:hAnsi="ITC Avant Garde"/>
          <w:lang w:val="es-ES"/>
        </w:rPr>
        <w:t xml:space="preserve"> con</w:t>
      </w:r>
      <w:r w:rsidR="00D14A57" w:rsidRPr="00800959">
        <w:rPr>
          <w:rFonts w:ascii="ITC Avant Garde" w:hAnsi="ITC Avant Garde"/>
          <w:lang w:val="es-ES"/>
        </w:rPr>
        <w:t xml:space="preserve"> los</w:t>
      </w:r>
      <w:r w:rsidR="001F111A" w:rsidRPr="00800959">
        <w:rPr>
          <w:rFonts w:ascii="ITC Avant Garde" w:hAnsi="ITC Avant Garde"/>
          <w:lang w:val="es-ES"/>
        </w:rPr>
        <w:t xml:space="preserve"> folio</w:t>
      </w:r>
      <w:r w:rsidR="00D14A57" w:rsidRPr="00800959">
        <w:rPr>
          <w:rFonts w:ascii="ITC Avant Garde" w:hAnsi="ITC Avant Garde"/>
          <w:lang w:val="es-ES"/>
        </w:rPr>
        <w:t>s</w:t>
      </w:r>
      <w:r w:rsidR="001F111A" w:rsidRPr="00800959">
        <w:rPr>
          <w:rFonts w:ascii="ITC Avant Garde" w:hAnsi="ITC Avant Garde"/>
          <w:lang w:val="es-ES"/>
        </w:rPr>
        <w:t xml:space="preserve"> </w:t>
      </w:r>
      <w:r w:rsidR="00527B6D" w:rsidRPr="00800959">
        <w:rPr>
          <w:rFonts w:ascii="ITC Avant Garde" w:hAnsi="ITC Avant Garde"/>
          <w:lang w:val="es-ES"/>
        </w:rPr>
        <w:t xml:space="preserve">del SESI </w:t>
      </w:r>
      <w:r w:rsidR="001F111A" w:rsidRPr="00800959">
        <w:rPr>
          <w:rFonts w:ascii="ITC Avant Garde" w:hAnsi="ITC Avant Garde"/>
          <w:lang w:val="es-ES"/>
        </w:rPr>
        <w:t>IFT/UPR/</w:t>
      </w:r>
      <w:r w:rsidR="000515A5" w:rsidRPr="00800959">
        <w:rPr>
          <w:rFonts w:ascii="ITC Avant Garde" w:hAnsi="ITC Avant Garde"/>
          <w:lang w:val="es-ES"/>
        </w:rPr>
        <w:t>48</w:t>
      </w:r>
      <w:r w:rsidR="004D7561" w:rsidRPr="00800959">
        <w:rPr>
          <w:rFonts w:ascii="ITC Avant Garde" w:hAnsi="ITC Avant Garde"/>
          <w:lang w:val="es-ES"/>
        </w:rPr>
        <w:t>85</w:t>
      </w:r>
      <w:r w:rsidR="00B8118E" w:rsidRPr="00800959">
        <w:rPr>
          <w:rFonts w:ascii="ITC Avant Garde" w:hAnsi="ITC Avant Garde"/>
          <w:lang w:val="es-ES"/>
        </w:rPr>
        <w:t xml:space="preserve"> e</w:t>
      </w:r>
      <w:r w:rsidR="00D14A57" w:rsidRPr="00800959">
        <w:rPr>
          <w:rFonts w:ascii="ITC Avant Garde" w:hAnsi="ITC Avant Garde"/>
          <w:lang w:val="es-ES"/>
        </w:rPr>
        <w:t xml:space="preserve"> </w:t>
      </w:r>
      <w:r w:rsidR="000515A5" w:rsidRPr="00800959">
        <w:rPr>
          <w:rFonts w:ascii="ITC Avant Garde" w:hAnsi="ITC Avant Garde"/>
          <w:lang w:val="es-ES"/>
        </w:rPr>
        <w:t>IFT/UPR/4883</w:t>
      </w:r>
      <w:r w:rsidR="006E3DF5" w:rsidRPr="00800959">
        <w:rPr>
          <w:rFonts w:ascii="ITC Avant Garde" w:hAnsi="ITC Avant Garde"/>
        </w:rPr>
        <w:t xml:space="preserve">, </w:t>
      </w:r>
      <w:r w:rsidR="001E3565" w:rsidRPr="00800959">
        <w:rPr>
          <w:rFonts w:ascii="ITC Avant Garde" w:hAnsi="ITC Avant Garde"/>
        </w:rPr>
        <w:t>por medio de</w:t>
      </w:r>
      <w:r w:rsidR="00816076" w:rsidRPr="00800959">
        <w:rPr>
          <w:rFonts w:ascii="ITC Avant Garde" w:hAnsi="ITC Avant Garde"/>
        </w:rPr>
        <w:t xml:space="preserve"> la</w:t>
      </w:r>
      <w:r w:rsidR="006E3DF5" w:rsidRPr="00800959">
        <w:rPr>
          <w:rFonts w:ascii="ITC Avant Garde" w:hAnsi="ITC Avant Garde"/>
        </w:rPr>
        <w:t>s</w:t>
      </w:r>
      <w:r w:rsidR="00816076" w:rsidRPr="00800959">
        <w:rPr>
          <w:rFonts w:ascii="ITC Avant Garde" w:hAnsi="ITC Avant Garde"/>
        </w:rPr>
        <w:t xml:space="preserve"> cual</w:t>
      </w:r>
      <w:r w:rsidR="006E3DF5" w:rsidRPr="00800959">
        <w:rPr>
          <w:rFonts w:ascii="ITC Avant Garde" w:hAnsi="ITC Avant Garde"/>
        </w:rPr>
        <w:t>es</w:t>
      </w:r>
      <w:r w:rsidR="00816076" w:rsidRPr="00800959">
        <w:rPr>
          <w:rFonts w:ascii="ITC Avant Garde" w:hAnsi="ITC Avant Garde"/>
        </w:rPr>
        <w:t xml:space="preserve"> </w:t>
      </w:r>
      <w:r w:rsidR="000515A5" w:rsidRPr="00800959">
        <w:rPr>
          <w:rFonts w:ascii="ITC Avant Garde" w:hAnsi="ITC Avant Garde"/>
        </w:rPr>
        <w:t>se pretende acreditar que Mega Cable</w:t>
      </w:r>
      <w:r w:rsidR="00816076" w:rsidRPr="00800959">
        <w:rPr>
          <w:rFonts w:ascii="ITC Avant Garde" w:hAnsi="ITC Avant Garde"/>
        </w:rPr>
        <w:t xml:space="preserve"> solicitó a Pegaso PCS el inicio formal de negociaciones para determinar términos, condiciones y tarifas que regirían </w:t>
      </w:r>
      <w:r w:rsidR="00F57B6A" w:rsidRPr="00800959">
        <w:rPr>
          <w:rFonts w:ascii="ITC Avant Garde" w:hAnsi="ITC Avant Garde"/>
        </w:rPr>
        <w:t xml:space="preserve">a las partes </w:t>
      </w:r>
      <w:r w:rsidR="000515A5" w:rsidRPr="00800959">
        <w:rPr>
          <w:rFonts w:ascii="ITC Avant Garde" w:hAnsi="ITC Avant Garde"/>
        </w:rPr>
        <w:t>durante el periodo</w:t>
      </w:r>
      <w:r w:rsidR="00F57B6A" w:rsidRPr="00800959">
        <w:rPr>
          <w:rFonts w:ascii="ITC Avant Garde" w:hAnsi="ITC Avant Garde"/>
        </w:rPr>
        <w:t xml:space="preserve"> 2018</w:t>
      </w:r>
      <w:r w:rsidR="0084174E" w:rsidRPr="00800959">
        <w:rPr>
          <w:rFonts w:ascii="ITC Avant Garde" w:hAnsi="ITC Avant Garde"/>
        </w:rPr>
        <w:t>,</w:t>
      </w:r>
      <w:r w:rsidR="00816076" w:rsidRPr="00800959">
        <w:rPr>
          <w:rFonts w:ascii="ITC Avant Garde" w:hAnsi="ITC Avant Garde"/>
        </w:rPr>
        <w:t xml:space="preserve"> </w:t>
      </w:r>
      <w:r w:rsidR="004D7561" w:rsidRPr="00800959">
        <w:rPr>
          <w:rFonts w:ascii="ITC Avant Garde" w:hAnsi="ITC Avant Garde"/>
        </w:rPr>
        <w:t>este Instituto le</w:t>
      </w:r>
      <w:r w:rsidR="005A7AE8" w:rsidRPr="00800959">
        <w:rPr>
          <w:rFonts w:ascii="ITC Avant Garde" w:hAnsi="ITC Avant Garde"/>
        </w:rPr>
        <w:t>s</w:t>
      </w:r>
      <w:r w:rsidR="001F111A" w:rsidRPr="00800959">
        <w:rPr>
          <w:rFonts w:ascii="ITC Avant Garde" w:hAnsi="ITC Avant Garde"/>
        </w:rPr>
        <w:t xml:space="preserve"> da valor probatorio en términos de lo estable</w:t>
      </w:r>
      <w:r w:rsidR="00F12234" w:rsidRPr="00800959">
        <w:rPr>
          <w:rFonts w:ascii="ITC Avant Garde" w:hAnsi="ITC Avant Garde"/>
        </w:rPr>
        <w:t>cido en los artículos 197, 203 ,</w:t>
      </w:r>
      <w:r w:rsidR="001F111A" w:rsidRPr="00800959">
        <w:rPr>
          <w:rFonts w:ascii="ITC Avant Garde" w:hAnsi="ITC Avant Garde"/>
        </w:rPr>
        <w:t>210-A</w:t>
      </w:r>
      <w:r w:rsidR="00191815" w:rsidRPr="00800959">
        <w:rPr>
          <w:rFonts w:ascii="ITC Avant Garde" w:hAnsi="ITC Avant Garde"/>
        </w:rPr>
        <w:t xml:space="preserve"> </w:t>
      </w:r>
      <w:r w:rsidR="00F12234" w:rsidRPr="00800959">
        <w:rPr>
          <w:rFonts w:ascii="ITC Avant Garde" w:hAnsi="ITC Avant Garde"/>
        </w:rPr>
        <w:t xml:space="preserve">y 217 </w:t>
      </w:r>
      <w:r w:rsidR="001F111A" w:rsidRPr="00800959">
        <w:rPr>
          <w:rFonts w:ascii="ITC Avant Garde" w:hAnsi="ITC Avant Garde"/>
        </w:rPr>
        <w:t xml:space="preserve">del CFPC, </w:t>
      </w:r>
      <w:r w:rsidR="001C6884" w:rsidRPr="00800959">
        <w:rPr>
          <w:rFonts w:ascii="ITC Avant Garde" w:hAnsi="ITC Avant Garde"/>
        </w:rPr>
        <w:t xml:space="preserve">lo anterior por causar convicción respecto de que las negociaciones materia de la presente Resolución iniciaron su trámite dentro del SESI. </w:t>
      </w:r>
    </w:p>
    <w:p w14:paraId="1A272998" w14:textId="77777777" w:rsidR="00800959" w:rsidRPr="00800959" w:rsidRDefault="00804F00" w:rsidP="00800959">
      <w:pPr>
        <w:pStyle w:val="Prrafodelista"/>
        <w:numPr>
          <w:ilvl w:val="0"/>
          <w:numId w:val="3"/>
        </w:numPr>
        <w:tabs>
          <w:tab w:val="left" w:pos="4850"/>
        </w:tabs>
        <w:spacing w:before="240" w:after="240" w:line="276" w:lineRule="auto"/>
        <w:ind w:left="284" w:hanging="284"/>
        <w:contextualSpacing w:val="0"/>
        <w:jc w:val="both"/>
        <w:rPr>
          <w:rFonts w:ascii="ITC Avant Garde" w:hAnsi="ITC Avant Garde" w:cs="Arial"/>
        </w:rPr>
      </w:pPr>
      <w:r w:rsidRPr="00800959">
        <w:rPr>
          <w:rFonts w:ascii="ITC Avant Garde" w:hAnsi="ITC Avant Garde" w:cs="Arial"/>
        </w:rPr>
        <w:t>Respecto de la prueba consistente en</w:t>
      </w:r>
      <w:r w:rsidR="0090021B" w:rsidRPr="00800959">
        <w:rPr>
          <w:rFonts w:ascii="ITC Avant Garde" w:hAnsi="ITC Avant Garde" w:cs="Arial"/>
        </w:rPr>
        <w:t xml:space="preserve"> </w:t>
      </w:r>
      <w:r w:rsidR="0090021B" w:rsidRPr="00800959">
        <w:rPr>
          <w:rFonts w:ascii="ITC Avant Garde" w:hAnsi="ITC Avant Garde"/>
          <w:bCs/>
        </w:rPr>
        <w:t>los Acuerdos P/IFT/EXT/161214/277 “Metodología de Costos”, P/IFT/200916/503 “Acuerdo de Tarifas 2017”; y demás relativos y aplicables a consideración de este Instituto;</w:t>
      </w:r>
      <w:r w:rsidR="009D697F" w:rsidRPr="00800959">
        <w:rPr>
          <w:rFonts w:ascii="ITC Avant Garde" w:hAnsi="ITC Avant Garde"/>
        </w:rPr>
        <w:t xml:space="preserve"> </w:t>
      </w:r>
      <w:r w:rsidR="009D697F" w:rsidRPr="00800959">
        <w:rPr>
          <w:rFonts w:ascii="ITC Avant Garde" w:eastAsia="Times New Roman" w:hAnsi="ITC Avant Garde" w:cs="Arial"/>
          <w:bCs/>
          <w:szCs w:val="24"/>
          <w:lang w:eastAsia="es-ES"/>
        </w:rPr>
        <w:t xml:space="preserve">si </w:t>
      </w:r>
      <w:r w:rsidR="009D697F" w:rsidRPr="00800959">
        <w:rPr>
          <w:rFonts w:ascii="ITC Avant Garde" w:hAnsi="ITC Avant Garde"/>
        </w:rPr>
        <w:t>bien dichas pruebas se valoran en términos de lo dispuesto en los artículos 197, 202, 210-A y 217 del CFPC, las mismas carecen de valor probatorio en virtud de que no señalan algún hecho específico que pretendan probar.</w:t>
      </w:r>
      <w:r w:rsidR="000A4316" w:rsidRPr="00800959">
        <w:rPr>
          <w:rFonts w:ascii="ITC Avant Garde" w:hAnsi="ITC Avant Garde"/>
        </w:rPr>
        <w:t xml:space="preserve"> </w:t>
      </w:r>
    </w:p>
    <w:p w14:paraId="4444E02C" w14:textId="77777777" w:rsidR="00800959" w:rsidRPr="00800959" w:rsidRDefault="002408E5" w:rsidP="00800959">
      <w:pPr>
        <w:pStyle w:val="Prrafodelista"/>
        <w:numPr>
          <w:ilvl w:val="0"/>
          <w:numId w:val="3"/>
        </w:numPr>
        <w:tabs>
          <w:tab w:val="left" w:pos="4850"/>
        </w:tabs>
        <w:spacing w:before="240" w:after="240" w:line="276" w:lineRule="auto"/>
        <w:ind w:left="284" w:hanging="284"/>
        <w:contextualSpacing w:val="0"/>
        <w:jc w:val="both"/>
        <w:rPr>
          <w:rFonts w:ascii="ITC Avant Garde" w:hAnsi="ITC Avant Garde" w:cs="Arial"/>
        </w:rPr>
      </w:pPr>
      <w:r w:rsidRPr="00800959">
        <w:rPr>
          <w:rFonts w:ascii="ITC Avant Garde" w:hAnsi="ITC Avant Garde" w:cs="Arial"/>
        </w:rPr>
        <w:t xml:space="preserve">De la documental consistente en  el </w:t>
      </w:r>
      <w:r w:rsidRPr="00800959">
        <w:rPr>
          <w:rFonts w:ascii="ITC Avant Garde" w:hAnsi="ITC Avant Garde"/>
          <w:bCs/>
        </w:rPr>
        <w:t xml:space="preserve">“Acuerdo mediante el cual el Pleno del Instituto Federal de Telecomunicaciones emite la metodología para el cálculo de costos de interconexión de conformidad con la Ley Federal de Telecomunicaciones y Radiodifusión”; el acuerdo que publique ese Instituto, relativo a las tarifas de interconexión resultado de la metodología para el cálculo  de costos de interconexión que se utilizará para resolver los desacuerdos de interconexión que se presenten respecto de las condiciones aplicables al año 2018, </w:t>
      </w:r>
      <w:r w:rsidRPr="00800959">
        <w:rPr>
          <w:rFonts w:ascii="ITC Avant Garde" w:hAnsi="ITC Avant Garde"/>
        </w:rPr>
        <w:t xml:space="preserve">se le otorga valor probatorio en </w:t>
      </w:r>
      <w:r w:rsidRPr="00800959">
        <w:rPr>
          <w:rFonts w:ascii="ITC Avant Garde" w:hAnsi="ITC Avant Garde"/>
        </w:rPr>
        <w:lastRenderedPageBreak/>
        <w:t>términos de lo dispuesto en los artículos 197, 202, 210-A y 217 del CFPC,  al hacer prueba sobre la obligación del Instituto de publicar las tarifas aplicables a los servicios de interconexión que resulten de la metodología de costos.</w:t>
      </w:r>
    </w:p>
    <w:p w14:paraId="6798DBC5" w14:textId="77777777" w:rsidR="00800959" w:rsidRPr="00800959" w:rsidRDefault="007B5345" w:rsidP="00800959">
      <w:pPr>
        <w:tabs>
          <w:tab w:val="left" w:pos="142"/>
        </w:tabs>
        <w:spacing w:before="240" w:after="240"/>
        <w:ind w:right="23"/>
        <w:jc w:val="both"/>
        <w:rPr>
          <w:rFonts w:ascii="ITC Avant Garde" w:hAnsi="ITC Avant Garde" w:cs="Arial"/>
          <w:b/>
          <w:bCs/>
        </w:rPr>
      </w:pPr>
      <w:r w:rsidRPr="00800959">
        <w:rPr>
          <w:rFonts w:ascii="ITC Avant Garde" w:hAnsi="ITC Avant Garde" w:cs="Arial"/>
          <w:b/>
          <w:bCs/>
        </w:rPr>
        <w:t>3.</w:t>
      </w:r>
      <w:r w:rsidR="007851CC" w:rsidRPr="00800959">
        <w:rPr>
          <w:rFonts w:ascii="ITC Avant Garde" w:hAnsi="ITC Avant Garde" w:cs="Arial"/>
          <w:b/>
          <w:bCs/>
        </w:rPr>
        <w:t>2</w:t>
      </w:r>
      <w:r w:rsidRPr="00800959">
        <w:rPr>
          <w:rFonts w:ascii="ITC Avant Garde" w:hAnsi="ITC Avant Garde" w:cs="Arial"/>
          <w:b/>
          <w:bCs/>
        </w:rPr>
        <w:t xml:space="preserve"> Pruebas ofrecidas por Pegaso PCS </w:t>
      </w:r>
    </w:p>
    <w:p w14:paraId="5D52EF27" w14:textId="77777777" w:rsidR="00800959" w:rsidRPr="00800959" w:rsidRDefault="006D3722" w:rsidP="00800959">
      <w:pPr>
        <w:pStyle w:val="Prrafodelista"/>
        <w:numPr>
          <w:ilvl w:val="0"/>
          <w:numId w:val="36"/>
        </w:numPr>
        <w:spacing w:before="240" w:after="240" w:line="276" w:lineRule="auto"/>
        <w:ind w:left="284" w:hanging="284"/>
        <w:jc w:val="both"/>
        <w:rPr>
          <w:rFonts w:ascii="ITC Avant Garde" w:hAnsi="ITC Avant Garde"/>
        </w:rPr>
      </w:pPr>
      <w:r w:rsidRPr="00800959">
        <w:rPr>
          <w:rFonts w:ascii="ITC Avant Garde" w:hAnsi="ITC Avant Garde" w:cs="Arial"/>
          <w:lang w:val="es-ES_tradnl"/>
        </w:rPr>
        <w:t>Respecto de la prueba consistente en el Informe de fecha 21 de diciembre de 2016</w:t>
      </w:r>
      <w:r w:rsidRPr="00800959">
        <w:rPr>
          <w:rFonts w:ascii="ITC Avant Garde" w:hAnsi="ITC Avant Garde"/>
        </w:rPr>
        <w:t>, preparado por la consultora AETHA sobre la Consulta Pública de los Modelos de Costos de los Servicios de Interconexión Fijos y Móviles aplicable al período 2018-2020, la cual Pegaso</w:t>
      </w:r>
      <w:r w:rsidR="00854471" w:rsidRPr="00800959">
        <w:rPr>
          <w:rFonts w:ascii="ITC Avant Garde" w:hAnsi="ITC Avant Garde"/>
        </w:rPr>
        <w:t xml:space="preserve"> PCS</w:t>
      </w:r>
      <w:r w:rsidRPr="00800959">
        <w:rPr>
          <w:rFonts w:ascii="ITC Avant Garde" w:hAnsi="ITC Avant Garde"/>
        </w:rPr>
        <w:t xml:space="preserve"> relaciona con todos y cada uno de los antecedentes señalados en su escrito, sin señalar algún hecho específico que pretende probar.</w:t>
      </w:r>
    </w:p>
    <w:p w14:paraId="0BE24C3A" w14:textId="77777777" w:rsidR="00800959" w:rsidRPr="00800959" w:rsidRDefault="006D3722" w:rsidP="00800959">
      <w:pPr>
        <w:pStyle w:val="Prrafodelista"/>
        <w:spacing w:before="240" w:after="240" w:line="276" w:lineRule="auto"/>
        <w:ind w:left="284"/>
        <w:jc w:val="both"/>
        <w:rPr>
          <w:rFonts w:ascii="ITC Avant Garde" w:hAnsi="ITC Avant Garde"/>
        </w:rPr>
      </w:pPr>
      <w:r w:rsidRPr="00800959">
        <w:rPr>
          <w:rFonts w:ascii="ITC Avant Garde" w:hAnsi="ITC Avant Garde"/>
        </w:rPr>
        <w:t>De la revisión a la documental en comento se observa que fue presentada como parte del proceso de consulta pública llevado a cabo por el Instituto del 26 de octubre al 21 de diciembre de 2016; cabe mencionar que diversos comentarios vertidos por la industria como resultado de dicha consulta pública fueron atendidos y permitieron robustecer los modelos de costos empleados por el Instituto en el Acuerdo de CTM y Tarifas 2018 y de la misma forma el Instituto proporcionó un documento de respuesta en el marco de dicha consulta pública, por lo que gran parte de lo señalado en el documento de AETHA no resulta aplicable al no estar actualizado, es así que si bien dicha prueba se valora en términos de lo dispuesto en los artículos 197, 203 y 207 del CFPC, la misma carece de valor probatorio por no aportar elemento alguno que cause convicción a este Instituto para la resolución del presente procedimiento, toda vez que la determinación de las tarifas de interconexión materia del presente procedimiento se apegó al marco legal y regulatorio aplicable.</w:t>
      </w:r>
    </w:p>
    <w:p w14:paraId="38359BCB" w14:textId="77777777" w:rsidR="00800959" w:rsidRPr="00800959" w:rsidRDefault="00572057" w:rsidP="00800959">
      <w:pPr>
        <w:pStyle w:val="Prrafodelista"/>
        <w:numPr>
          <w:ilvl w:val="0"/>
          <w:numId w:val="36"/>
        </w:numPr>
        <w:spacing w:before="240" w:after="240" w:line="276" w:lineRule="auto"/>
        <w:ind w:left="284" w:hanging="284"/>
        <w:jc w:val="both"/>
        <w:rPr>
          <w:rFonts w:ascii="ITC Avant Garde" w:hAnsi="ITC Avant Garde"/>
        </w:rPr>
      </w:pPr>
      <w:r w:rsidRPr="00800959">
        <w:rPr>
          <w:rFonts w:ascii="ITC Avant Garde" w:hAnsi="ITC Avant Garde"/>
        </w:rPr>
        <w:t>En relación con las pruebas consistentes en el “Cuarto Informe Trimestral Estadístico 2016” y “Cuarto Informe Trimestral Estadístico 2</w:t>
      </w:r>
      <w:r w:rsidR="00163026" w:rsidRPr="00800959">
        <w:rPr>
          <w:rFonts w:ascii="ITC Avant Garde" w:hAnsi="ITC Avant Garde"/>
        </w:rPr>
        <w:t>015</w:t>
      </w:r>
      <w:r w:rsidRPr="00800959">
        <w:rPr>
          <w:rFonts w:ascii="ITC Avant Garde" w:hAnsi="ITC Avant Garde"/>
        </w:rPr>
        <w:t xml:space="preserve">” publicados por el Instituto en su portal de internet, las cuales Pegaso </w:t>
      </w:r>
      <w:r w:rsidR="00163026" w:rsidRPr="00800959">
        <w:rPr>
          <w:rFonts w:ascii="ITC Avant Garde" w:hAnsi="ITC Avant Garde"/>
        </w:rPr>
        <w:t xml:space="preserve">PCS </w:t>
      </w:r>
      <w:r w:rsidRPr="00800959">
        <w:rPr>
          <w:rFonts w:ascii="ITC Avant Garde" w:hAnsi="ITC Avant Garde"/>
        </w:rPr>
        <w:t>relaciona con todos y cada uno de los antecedentes señalados en su escrito, sin señalar algún hecho específico que pretende probar.</w:t>
      </w:r>
    </w:p>
    <w:p w14:paraId="3EB0A669" w14:textId="77777777" w:rsidR="00800959" w:rsidRPr="00800959" w:rsidRDefault="00572057" w:rsidP="00800959">
      <w:pPr>
        <w:spacing w:before="240" w:after="240"/>
        <w:ind w:left="284"/>
        <w:jc w:val="both"/>
        <w:rPr>
          <w:rFonts w:ascii="ITC Avant Garde" w:hAnsi="ITC Avant Garde"/>
        </w:rPr>
      </w:pPr>
      <w:r w:rsidRPr="00800959">
        <w:rPr>
          <w:rFonts w:ascii="ITC Avant Garde" w:hAnsi="ITC Avant Garde"/>
        </w:rPr>
        <w:t>De la revisió</w:t>
      </w:r>
      <w:r w:rsidR="00081A97" w:rsidRPr="00800959">
        <w:rPr>
          <w:rFonts w:ascii="ITC Avant Garde" w:hAnsi="ITC Avant Garde"/>
        </w:rPr>
        <w:t xml:space="preserve">n a las documentales en comento, </w:t>
      </w:r>
      <w:r w:rsidRPr="00800959">
        <w:rPr>
          <w:rFonts w:ascii="ITC Avant Garde" w:hAnsi="ITC Avant Garde"/>
        </w:rPr>
        <w:t>se observa que los informes trimestrales estadísticos publicados por el Instituto contienen una serie de estadísticas del sector de telecomunicaciones en México recabadas por el Instituto con base en información proporcionada por los concesionarios, es así que si bien dichas pruebas se valoran en términos de lo dispuesto en los artículos 197, 202, 210-A y 217 del CFPC</w:t>
      </w:r>
      <w:r w:rsidR="002408E5" w:rsidRPr="00800959">
        <w:rPr>
          <w:rFonts w:ascii="ITC Avant Garde" w:hAnsi="ITC Avant Garde"/>
        </w:rPr>
        <w:t xml:space="preserve"> las mismas no resultan idóneas en relación a la Litis sometida a consideración de este Instituto, e</w:t>
      </w:r>
      <w:r w:rsidRPr="00800959">
        <w:rPr>
          <w:rFonts w:ascii="ITC Avant Garde" w:hAnsi="ITC Avant Garde"/>
        </w:rPr>
        <w:t xml:space="preserve">n virtud de que no aportan a esta autoridad elemento de convicción alguno, en virtud de la ambigüedad con la que Pegaso </w:t>
      </w:r>
      <w:r w:rsidR="00163026" w:rsidRPr="00800959">
        <w:rPr>
          <w:rFonts w:ascii="ITC Avant Garde" w:hAnsi="ITC Avant Garde"/>
        </w:rPr>
        <w:t xml:space="preserve"> PCS </w:t>
      </w:r>
      <w:r w:rsidRPr="00800959">
        <w:rPr>
          <w:rFonts w:ascii="ITC Avant Garde" w:hAnsi="ITC Avant Garde"/>
        </w:rPr>
        <w:t>plantea el hecho que pretende probar.</w:t>
      </w:r>
    </w:p>
    <w:p w14:paraId="2CE52F66" w14:textId="77777777" w:rsidR="00800959" w:rsidRPr="00800959" w:rsidRDefault="003579C1" w:rsidP="00800959">
      <w:pPr>
        <w:pStyle w:val="Prrafodelista"/>
        <w:numPr>
          <w:ilvl w:val="0"/>
          <w:numId w:val="36"/>
        </w:numPr>
        <w:spacing w:before="240" w:after="240" w:line="276" w:lineRule="auto"/>
        <w:ind w:left="284" w:hanging="284"/>
        <w:jc w:val="both"/>
        <w:rPr>
          <w:rFonts w:ascii="ITC Avant Garde" w:hAnsi="ITC Avant Garde"/>
        </w:rPr>
      </w:pPr>
      <w:r w:rsidRPr="00800959">
        <w:rPr>
          <w:rFonts w:ascii="ITC Avant Garde" w:hAnsi="ITC Avant Garde"/>
        </w:rPr>
        <w:lastRenderedPageBreak/>
        <w:t>Respecto de la</w:t>
      </w:r>
      <w:r w:rsidR="00B91A47" w:rsidRPr="00800959">
        <w:rPr>
          <w:rFonts w:ascii="ITC Avant Garde" w:hAnsi="ITC Avant Garde"/>
        </w:rPr>
        <w:t>s</w:t>
      </w:r>
      <w:r w:rsidRPr="00800959">
        <w:rPr>
          <w:rFonts w:ascii="ITC Avant Garde" w:hAnsi="ITC Avant Garde"/>
        </w:rPr>
        <w:t xml:space="preserve"> prueba</w:t>
      </w:r>
      <w:r w:rsidR="00B91A47" w:rsidRPr="00800959">
        <w:rPr>
          <w:rFonts w:ascii="ITC Avant Garde" w:hAnsi="ITC Avant Garde"/>
        </w:rPr>
        <w:t>s</w:t>
      </w:r>
      <w:r w:rsidRPr="00800959">
        <w:rPr>
          <w:rFonts w:ascii="ITC Avant Garde" w:hAnsi="ITC Avant Garde"/>
        </w:rPr>
        <w:t xml:space="preserve"> consistente</w:t>
      </w:r>
      <w:r w:rsidR="00B91A47" w:rsidRPr="00800959">
        <w:rPr>
          <w:rFonts w:ascii="ITC Avant Garde" w:hAnsi="ITC Avant Garde"/>
        </w:rPr>
        <w:t>s</w:t>
      </w:r>
      <w:r w:rsidRPr="00800959">
        <w:rPr>
          <w:rFonts w:ascii="ITC Avant Garde" w:hAnsi="ITC Avant Garde"/>
        </w:rPr>
        <w:t xml:space="preserve"> en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w:t>
      </w:r>
      <w:r w:rsidR="00E461A5" w:rsidRPr="00800959">
        <w:rPr>
          <w:rFonts w:ascii="ITC Avant Garde" w:hAnsi="ITC Avant Garde"/>
        </w:rPr>
        <w:t>unicaciones fija</w:t>
      </w:r>
      <w:r w:rsidRPr="00800959">
        <w:rPr>
          <w:rFonts w:ascii="ITC Avant Garde" w:hAnsi="ITC Avant Garde"/>
        </w:rPr>
        <w:t xml:space="preserve">s” </w:t>
      </w:r>
      <w:r w:rsidR="00B91A47" w:rsidRPr="00800959">
        <w:rPr>
          <w:rFonts w:ascii="ITC Avant Garde" w:hAnsi="ITC Avant Garde"/>
        </w:rPr>
        <w:t xml:space="preserve">y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w:t>
      </w:r>
      <w:r w:rsidRPr="00800959">
        <w:rPr>
          <w:rFonts w:ascii="ITC Avant Garde" w:hAnsi="ITC Avant Garde"/>
        </w:rPr>
        <w:t>publicadas por el Instituto en su portal de Internet, la cual Pegaso</w:t>
      </w:r>
      <w:r w:rsidR="00E461A5" w:rsidRPr="00800959">
        <w:rPr>
          <w:rFonts w:ascii="ITC Avant Garde" w:hAnsi="ITC Avant Garde"/>
        </w:rPr>
        <w:t xml:space="preserve"> PCS</w:t>
      </w:r>
      <w:r w:rsidRPr="00800959">
        <w:rPr>
          <w:rFonts w:ascii="ITC Avant Garde" w:hAnsi="ITC Avant Garde"/>
        </w:rPr>
        <w:t xml:space="preserve"> relaciona con todos y cada uno de los antecedentes señalados en su escrito, sin señalar algún hecho específico que pretende probar.</w:t>
      </w:r>
    </w:p>
    <w:p w14:paraId="2189585F" w14:textId="77777777" w:rsidR="00800959" w:rsidRPr="00800959" w:rsidRDefault="003579C1" w:rsidP="00800959">
      <w:pPr>
        <w:pStyle w:val="Prrafodelista"/>
        <w:spacing w:before="240" w:after="240" w:line="276" w:lineRule="auto"/>
        <w:ind w:left="284"/>
        <w:jc w:val="both"/>
        <w:rPr>
          <w:rFonts w:ascii="ITC Avant Garde" w:hAnsi="ITC Avant Garde"/>
        </w:rPr>
      </w:pPr>
      <w:r w:rsidRPr="00800959">
        <w:rPr>
          <w:rFonts w:ascii="ITC Avant Garde" w:hAnsi="ITC Avant Garde"/>
        </w:rPr>
        <w:t xml:space="preserve">De la revisión a la documental en comento se observa que las citadas medidas fueron emitidas por este Instituto como parte integrante del Acuerdo </w:t>
      </w:r>
      <w:r w:rsidRPr="00800959">
        <w:rPr>
          <w:rFonts w:ascii="ITC Avant Garde" w:eastAsia="Times New Roman" w:hAnsi="ITC Avant Garde" w:cs="Arial"/>
          <w:bCs/>
          <w:szCs w:val="24"/>
          <w:lang w:eastAsia="es-ES"/>
        </w:rPr>
        <w:t xml:space="preserve">P/IFT/EXT/060314/76, mediante el cual se determinó la existencia de un agente económico preponderante en el sector de telecomunicaciones; al respecto, si </w:t>
      </w:r>
      <w:r w:rsidRPr="00800959">
        <w:rPr>
          <w:rFonts w:ascii="ITC Avant Garde" w:hAnsi="ITC Avant Garde"/>
        </w:rPr>
        <w:t>bien dicha</w:t>
      </w:r>
      <w:r w:rsidR="00B91A47" w:rsidRPr="00800959">
        <w:rPr>
          <w:rFonts w:ascii="ITC Avant Garde" w:hAnsi="ITC Avant Garde"/>
        </w:rPr>
        <w:t>s</w:t>
      </w:r>
      <w:r w:rsidRPr="00800959">
        <w:rPr>
          <w:rFonts w:ascii="ITC Avant Garde" w:hAnsi="ITC Avant Garde"/>
        </w:rPr>
        <w:t xml:space="preserve"> prueba</w:t>
      </w:r>
      <w:r w:rsidR="00B91A47" w:rsidRPr="00800959">
        <w:rPr>
          <w:rFonts w:ascii="ITC Avant Garde" w:hAnsi="ITC Avant Garde"/>
        </w:rPr>
        <w:t>s</w:t>
      </w:r>
      <w:r w:rsidRPr="00800959">
        <w:rPr>
          <w:rFonts w:ascii="ITC Avant Garde" w:hAnsi="ITC Avant Garde"/>
        </w:rPr>
        <w:t xml:space="preserve"> se valora</w:t>
      </w:r>
      <w:r w:rsidR="00B91A47" w:rsidRPr="00800959">
        <w:rPr>
          <w:rFonts w:ascii="ITC Avant Garde" w:hAnsi="ITC Avant Garde"/>
        </w:rPr>
        <w:t>n</w:t>
      </w:r>
      <w:r w:rsidRPr="00800959">
        <w:rPr>
          <w:rFonts w:ascii="ITC Avant Garde" w:hAnsi="ITC Avant Garde"/>
        </w:rPr>
        <w:t xml:space="preserve"> en términos de lo dispuesto en los artículos 197, 202, 210-A y 217 del CFPC, </w:t>
      </w:r>
      <w:r w:rsidR="002408E5" w:rsidRPr="00800959">
        <w:rPr>
          <w:rFonts w:ascii="ITC Avant Garde" w:hAnsi="ITC Avant Garde"/>
        </w:rPr>
        <w:t xml:space="preserve">las mismas no resultan idóneas en relación a la Litis sometida a consideración de este Instituto, </w:t>
      </w:r>
      <w:r w:rsidRPr="00800959">
        <w:rPr>
          <w:rFonts w:ascii="ITC Avant Garde" w:hAnsi="ITC Avant Garde"/>
        </w:rPr>
        <w:t>en virtud de que no aportan a esta autoridad elemento de convicción alguno, en virtud de la ambigüedad con la que Pegaso</w:t>
      </w:r>
      <w:r w:rsidR="00B84613" w:rsidRPr="00800959">
        <w:rPr>
          <w:rFonts w:ascii="ITC Avant Garde" w:hAnsi="ITC Avant Garde"/>
        </w:rPr>
        <w:t xml:space="preserve"> PCS</w:t>
      </w:r>
      <w:r w:rsidRPr="00800959">
        <w:rPr>
          <w:rFonts w:ascii="ITC Avant Garde" w:hAnsi="ITC Avant Garde"/>
        </w:rPr>
        <w:t xml:space="preserve"> plantea el hecho que pretende probar. </w:t>
      </w:r>
    </w:p>
    <w:p w14:paraId="59B8FEC0" w14:textId="77777777" w:rsidR="00800959" w:rsidRPr="00800959" w:rsidRDefault="003579C1" w:rsidP="00800959">
      <w:pPr>
        <w:pStyle w:val="Prrafodelista"/>
        <w:numPr>
          <w:ilvl w:val="0"/>
          <w:numId w:val="36"/>
        </w:numPr>
        <w:spacing w:before="240" w:after="240" w:line="276" w:lineRule="auto"/>
        <w:ind w:left="284" w:hanging="284"/>
        <w:jc w:val="both"/>
        <w:rPr>
          <w:rFonts w:ascii="ITC Avant Garde" w:hAnsi="ITC Avant Garde"/>
        </w:rPr>
      </w:pPr>
      <w:r w:rsidRPr="00800959">
        <w:rPr>
          <w:rFonts w:ascii="ITC Avant Garde" w:hAnsi="ITC Avant Garde"/>
        </w:rPr>
        <w:t>Respecto de la prueba consistente en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(en lo sucesivo, “Acuerdo de CTM y Tarifas 2017) publicado por el Instituto en su portal, la cual Pegaso</w:t>
      </w:r>
      <w:r w:rsidR="00D32834" w:rsidRPr="00800959">
        <w:rPr>
          <w:rFonts w:ascii="ITC Avant Garde" w:hAnsi="ITC Avant Garde"/>
        </w:rPr>
        <w:t xml:space="preserve"> PCS</w:t>
      </w:r>
      <w:r w:rsidRPr="00800959">
        <w:rPr>
          <w:rFonts w:ascii="ITC Avant Garde" w:hAnsi="ITC Avant Garde"/>
        </w:rPr>
        <w:t xml:space="preserve"> relaciona con todos y cada uno de los antecedentes señalados en su escrito, sin señalar algún hecho específico que pretende probar.</w:t>
      </w:r>
    </w:p>
    <w:p w14:paraId="2E11E9FF" w14:textId="77777777" w:rsidR="00800959" w:rsidRPr="00800959" w:rsidRDefault="003579C1" w:rsidP="00800959">
      <w:pPr>
        <w:pStyle w:val="Prrafodelista"/>
        <w:spacing w:before="240" w:after="240" w:line="276" w:lineRule="auto"/>
        <w:ind w:left="284"/>
        <w:jc w:val="both"/>
        <w:rPr>
          <w:rFonts w:ascii="ITC Avant Garde" w:hAnsi="ITC Avant Garde"/>
        </w:rPr>
      </w:pPr>
      <w:r w:rsidRPr="00800959">
        <w:rPr>
          <w:rFonts w:ascii="ITC Avant Garde" w:hAnsi="ITC Avant Garde"/>
        </w:rPr>
        <w:t xml:space="preserve">De la revisión a la documental en comento se observa que el citado Acuerdo de CTM y Tarifas 2017 fue emitido y publicado en el DOF por el Instituto el 3 de octubre de 2016 y el mismo contiene las condiciones técnicas y tarifas de interconexión aplicables del 1 de enero al 31 de diciembre de 2017, sin embargo, </w:t>
      </w:r>
      <w:r w:rsidRPr="00800959">
        <w:rPr>
          <w:rFonts w:ascii="ITC Avant Garde" w:eastAsia="Times New Roman" w:hAnsi="ITC Avant Garde" w:cs="Arial"/>
          <w:bCs/>
          <w:szCs w:val="24"/>
          <w:lang w:eastAsia="es-ES"/>
        </w:rPr>
        <w:t xml:space="preserve">si </w:t>
      </w:r>
      <w:r w:rsidRPr="00800959">
        <w:rPr>
          <w:rFonts w:ascii="ITC Avant Garde" w:hAnsi="ITC Avant Garde"/>
        </w:rPr>
        <w:t>bien dicha prueba se valora en términos de lo dispuesto en los artículos 197, 202, 210-A y 217 del CFPC</w:t>
      </w:r>
      <w:r w:rsidR="002408E5" w:rsidRPr="00800959">
        <w:rPr>
          <w:rFonts w:ascii="ITC Avant Garde" w:hAnsi="ITC Avant Garde"/>
        </w:rPr>
        <w:t xml:space="preserve"> las mismas no resultan idóneas en relación a la Litis sometida a consideración de este Instituto, </w:t>
      </w:r>
      <w:r w:rsidRPr="00800959">
        <w:rPr>
          <w:rFonts w:ascii="ITC Avant Garde" w:hAnsi="ITC Avant Garde"/>
        </w:rPr>
        <w:t>en virtud de que no aporta a esta autoridad elemento de convicción alguno, en virtud de la ambigüedad con la que Pegaso</w:t>
      </w:r>
      <w:r w:rsidR="00AB044E" w:rsidRPr="00800959">
        <w:rPr>
          <w:rFonts w:ascii="ITC Avant Garde" w:hAnsi="ITC Avant Garde"/>
        </w:rPr>
        <w:t xml:space="preserve"> </w:t>
      </w:r>
      <w:r w:rsidR="00D32834" w:rsidRPr="00800959">
        <w:rPr>
          <w:rFonts w:ascii="ITC Avant Garde" w:hAnsi="ITC Avant Garde"/>
        </w:rPr>
        <w:t>PCS</w:t>
      </w:r>
      <w:r w:rsidRPr="00800959">
        <w:rPr>
          <w:rFonts w:ascii="ITC Avant Garde" w:hAnsi="ITC Avant Garde"/>
        </w:rPr>
        <w:t xml:space="preserve"> plantea el hecho que pretende probar. </w:t>
      </w:r>
    </w:p>
    <w:p w14:paraId="49720569" w14:textId="77777777" w:rsidR="00800959" w:rsidRPr="00800959" w:rsidRDefault="003579C1" w:rsidP="00800959">
      <w:pPr>
        <w:pStyle w:val="Prrafodelista"/>
        <w:spacing w:before="240" w:after="240" w:line="276" w:lineRule="auto"/>
        <w:ind w:left="284"/>
        <w:jc w:val="both"/>
        <w:rPr>
          <w:rFonts w:ascii="ITC Avant Garde" w:hAnsi="ITC Avant Garde"/>
        </w:rPr>
      </w:pPr>
      <w:r w:rsidRPr="00800959">
        <w:rPr>
          <w:rFonts w:ascii="ITC Avant Garde" w:hAnsi="ITC Avant Garde"/>
        </w:rPr>
        <w:t xml:space="preserve">Si acaso lo que pretendiera probar Pegaso </w:t>
      </w:r>
      <w:r w:rsidR="00AB211D" w:rsidRPr="00800959">
        <w:rPr>
          <w:rFonts w:ascii="ITC Avant Garde" w:hAnsi="ITC Avant Garde"/>
        </w:rPr>
        <w:t xml:space="preserve">PCS </w:t>
      </w:r>
      <w:r w:rsidRPr="00800959">
        <w:rPr>
          <w:rFonts w:ascii="ITC Avant Garde" w:hAnsi="ITC Avant Garde"/>
        </w:rPr>
        <w:t xml:space="preserve">es que mediante dicho Acuerdo este Instituto determinó que la Interconexión mediante protocolo IP opera únicamente en </w:t>
      </w:r>
      <w:r w:rsidRPr="00800959">
        <w:rPr>
          <w:rFonts w:ascii="ITC Avant Garde" w:hAnsi="ITC Avant Garde"/>
        </w:rPr>
        <w:lastRenderedPageBreak/>
        <w:t xml:space="preserve">nuevas interconexiones en las cuales previamente no se cursaba tráfico y en los aumentos de capacidad en los puntos existentes, se señala que dicha afirmación es imprecisa en virtud de que el Pleno de este Instituto se ha pronunciado al respecto en diversa resolución, además de que la disposición administrativa aplicable al presente procedimiento corresponde al Acuerdo de CTM y Tarifas 2018. </w:t>
      </w:r>
    </w:p>
    <w:p w14:paraId="473162DD" w14:textId="77777777" w:rsidR="00800959" w:rsidRPr="00800959" w:rsidRDefault="003141E1" w:rsidP="00800959">
      <w:pPr>
        <w:tabs>
          <w:tab w:val="left" w:pos="142"/>
        </w:tabs>
        <w:spacing w:before="240" w:after="240"/>
        <w:ind w:right="23"/>
        <w:jc w:val="both"/>
        <w:rPr>
          <w:rFonts w:ascii="ITC Avant Garde" w:hAnsi="ITC Avant Garde" w:cs="Arial"/>
          <w:b/>
          <w:bCs/>
        </w:rPr>
      </w:pPr>
      <w:r w:rsidRPr="00800959">
        <w:rPr>
          <w:rFonts w:ascii="ITC Avant Garde" w:hAnsi="ITC Avant Garde" w:cs="Arial"/>
          <w:b/>
          <w:bCs/>
        </w:rPr>
        <w:t xml:space="preserve">3.3 Pruebas ofrecidas por ambas partes </w:t>
      </w:r>
    </w:p>
    <w:p w14:paraId="448140A5" w14:textId="77777777" w:rsidR="00800959" w:rsidRPr="00800959" w:rsidRDefault="003141E1" w:rsidP="00800959">
      <w:pPr>
        <w:pStyle w:val="Prrafodelista"/>
        <w:numPr>
          <w:ilvl w:val="0"/>
          <w:numId w:val="54"/>
        </w:numPr>
        <w:tabs>
          <w:tab w:val="left" w:pos="4850"/>
        </w:tabs>
        <w:spacing w:before="240" w:after="240" w:line="276" w:lineRule="auto"/>
        <w:ind w:left="284" w:hanging="284"/>
        <w:contextualSpacing w:val="0"/>
        <w:jc w:val="both"/>
        <w:rPr>
          <w:rFonts w:ascii="ITC Avant Garde" w:hAnsi="ITC Avant Garde"/>
          <w:b/>
        </w:rPr>
      </w:pPr>
      <w:r w:rsidRPr="00800959">
        <w:rPr>
          <w:rFonts w:ascii="ITC Avant Garde" w:hAnsi="ITC Avant Garde" w:cs="Arial"/>
        </w:rPr>
        <w:t xml:space="preserve">Con relación a la </w:t>
      </w:r>
      <w:proofErr w:type="spellStart"/>
      <w:r w:rsidRPr="00800959">
        <w:rPr>
          <w:rFonts w:ascii="ITC Avant Garde" w:hAnsi="ITC Avant Garde" w:cs="Arial"/>
        </w:rPr>
        <w:t>Presuncional</w:t>
      </w:r>
      <w:proofErr w:type="spellEnd"/>
      <w:r w:rsidRPr="00800959">
        <w:rPr>
          <w:rFonts w:ascii="ITC Avant Garde" w:hAnsi="ITC Avant Garde" w:cs="Arial"/>
        </w:rPr>
        <w:t xml:space="preserve"> en su doble aspecto legal y humana, se le da valor probatorio en términos del artículo </w:t>
      </w:r>
      <w:r w:rsidR="00B16899" w:rsidRPr="00800959">
        <w:rPr>
          <w:rFonts w:ascii="ITC Avant Garde" w:hAnsi="ITC Avant Garde" w:cs="Arial"/>
        </w:rPr>
        <w:t xml:space="preserve">197 y </w:t>
      </w:r>
      <w:r w:rsidRPr="00800959">
        <w:rPr>
          <w:rFonts w:ascii="ITC Avant Garde" w:hAnsi="ITC Avant Garde" w:cs="Arial"/>
        </w:rPr>
        <w:t>218 del CFPC al ser ésta la consecuencia lógica y natural de hechos conocidos y probados al momento de hacer la deducción respectiva.</w:t>
      </w:r>
    </w:p>
    <w:p w14:paraId="019DAE7D" w14:textId="77777777" w:rsidR="00800959" w:rsidRPr="00800959" w:rsidRDefault="00757268" w:rsidP="00800959">
      <w:pPr>
        <w:pStyle w:val="Prrafodelista"/>
        <w:numPr>
          <w:ilvl w:val="0"/>
          <w:numId w:val="54"/>
        </w:numPr>
        <w:tabs>
          <w:tab w:val="left" w:pos="4850"/>
        </w:tabs>
        <w:spacing w:before="240" w:after="240" w:line="276" w:lineRule="auto"/>
        <w:ind w:left="284" w:hanging="284"/>
        <w:contextualSpacing w:val="0"/>
        <w:jc w:val="both"/>
        <w:rPr>
          <w:rFonts w:ascii="ITC Avant Garde" w:eastAsia="Times New Roman" w:hAnsi="ITC Avant Garde" w:cs="Times New Roman"/>
          <w:szCs w:val="24"/>
        </w:rPr>
      </w:pPr>
      <w:r w:rsidRPr="00800959">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E0982F9" w14:textId="77777777" w:rsidR="00800959" w:rsidRPr="00800959" w:rsidRDefault="00C25210" w:rsidP="00800959">
      <w:pPr>
        <w:pStyle w:val="Piedepgina"/>
        <w:widowControl w:val="0"/>
        <w:tabs>
          <w:tab w:val="left" w:pos="720"/>
        </w:tabs>
        <w:spacing w:before="240" w:after="240" w:line="276" w:lineRule="auto"/>
        <w:jc w:val="both"/>
        <w:rPr>
          <w:rFonts w:ascii="ITC Avant Garde" w:hAnsi="ITC Avant Garde" w:cs="Arial"/>
        </w:rPr>
      </w:pPr>
      <w:r w:rsidRPr="00800959">
        <w:rPr>
          <w:rFonts w:ascii="ITC Avant Garde" w:eastAsia="Times New Roman" w:hAnsi="ITC Avant Garde"/>
          <w:b/>
          <w:lang w:eastAsia="es-ES"/>
        </w:rPr>
        <w:t>CUARTO.-</w:t>
      </w:r>
      <w:r w:rsidR="00F86317" w:rsidRPr="00800959">
        <w:rPr>
          <w:rFonts w:ascii="ITC Avant Garde" w:eastAsia="Times New Roman" w:hAnsi="ITC Avant Garde"/>
          <w:b/>
          <w:lang w:eastAsia="es-ES"/>
        </w:rPr>
        <w:t xml:space="preserve"> </w:t>
      </w:r>
      <w:r w:rsidR="00476266" w:rsidRPr="00800959">
        <w:rPr>
          <w:rFonts w:ascii="ITC Avant Garde" w:eastAsia="Times New Roman" w:hAnsi="ITC Avant Garde"/>
          <w:b/>
          <w:lang w:eastAsia="es-ES"/>
        </w:rPr>
        <w:t>Condiciones no convenidas sujetas a resolución</w:t>
      </w:r>
      <w:r w:rsidR="00476266" w:rsidRPr="00800959">
        <w:rPr>
          <w:rFonts w:ascii="ITC Avant Garde" w:eastAsia="Times New Roman" w:hAnsi="ITC Avant Garde"/>
          <w:lang w:eastAsia="es-ES"/>
        </w:rPr>
        <w:t xml:space="preserve">.- </w:t>
      </w:r>
      <w:r w:rsidR="00476266" w:rsidRPr="00800959">
        <w:rPr>
          <w:rFonts w:ascii="ITC Avant Garde" w:hAnsi="ITC Avant Garde"/>
        </w:rPr>
        <w:t xml:space="preserve">En </w:t>
      </w:r>
      <w:r w:rsidR="00CC4A83" w:rsidRPr="00800959">
        <w:rPr>
          <w:rFonts w:ascii="ITC Avant Garde" w:hAnsi="ITC Avant Garde"/>
        </w:rPr>
        <w:t>su escrito de</w:t>
      </w:r>
      <w:r w:rsidR="004E0762" w:rsidRPr="00800959">
        <w:rPr>
          <w:rFonts w:ascii="ITC Avant Garde" w:hAnsi="ITC Avant Garde"/>
        </w:rPr>
        <w:t xml:space="preserve"> </w:t>
      </w:r>
      <w:r w:rsidR="00CC4A83" w:rsidRPr="00800959">
        <w:rPr>
          <w:rFonts w:ascii="ITC Avant Garde" w:hAnsi="ITC Avant Garde"/>
        </w:rPr>
        <w:t>d</w:t>
      </w:r>
      <w:r w:rsidR="004E0762" w:rsidRPr="00800959">
        <w:rPr>
          <w:rFonts w:ascii="ITC Avant Garde" w:hAnsi="ITC Avant Garde"/>
        </w:rPr>
        <w:t xml:space="preserve">esahogo de </w:t>
      </w:r>
      <w:r w:rsidR="00CC4A83" w:rsidRPr="00800959">
        <w:rPr>
          <w:rFonts w:ascii="ITC Avant Garde" w:hAnsi="ITC Avant Garde"/>
        </w:rPr>
        <w:t>p</w:t>
      </w:r>
      <w:r w:rsidR="004E0762" w:rsidRPr="00800959">
        <w:rPr>
          <w:rFonts w:ascii="ITC Avant Garde" w:hAnsi="ITC Avant Garde"/>
        </w:rPr>
        <w:t>revención</w:t>
      </w:r>
      <w:r w:rsidR="00476266" w:rsidRPr="00800959">
        <w:rPr>
          <w:rFonts w:ascii="ITC Avant Garde" w:hAnsi="ITC Avant Garde"/>
        </w:rPr>
        <w:t>,</w:t>
      </w:r>
      <w:r w:rsidR="00476266" w:rsidRPr="00800959">
        <w:rPr>
          <w:rFonts w:ascii="ITC Avant Garde" w:hAnsi="ITC Avant Garde"/>
          <w:b/>
        </w:rPr>
        <w:t xml:space="preserve"> </w:t>
      </w:r>
      <w:r w:rsidR="00D32834" w:rsidRPr="00800959">
        <w:rPr>
          <w:rFonts w:ascii="ITC Avant Garde" w:eastAsia="Times New Roman" w:hAnsi="ITC Avant Garde"/>
          <w:lang w:eastAsia="es-ES"/>
        </w:rPr>
        <w:t>Mega Cable</w:t>
      </w:r>
      <w:r w:rsidR="00476266" w:rsidRPr="00800959">
        <w:rPr>
          <w:rFonts w:ascii="ITC Avant Garde" w:eastAsia="Times New Roman" w:hAnsi="ITC Avant Garde"/>
          <w:lang w:eastAsia="es-ES"/>
        </w:rPr>
        <w:t xml:space="preserve"> plantea las siguientes condiciones, términos y tarifas </w:t>
      </w:r>
      <w:r w:rsidR="00B8118E" w:rsidRPr="00800959">
        <w:rPr>
          <w:rFonts w:ascii="ITC Avant Garde" w:eastAsia="Times New Roman" w:hAnsi="ITC Avant Garde"/>
          <w:lang w:eastAsia="es-ES"/>
        </w:rPr>
        <w:t>de interconexión que no pudo</w:t>
      </w:r>
      <w:r w:rsidR="00476266" w:rsidRPr="00800959">
        <w:rPr>
          <w:rFonts w:ascii="ITC Avant Garde" w:eastAsia="Times New Roman" w:hAnsi="ITC Avant Garde"/>
          <w:lang w:eastAsia="es-ES"/>
        </w:rPr>
        <w:t xml:space="preserve"> convenir con Pegaso PCS:</w:t>
      </w:r>
    </w:p>
    <w:p w14:paraId="0FA0333D" w14:textId="193B9681" w:rsidR="003760CA" w:rsidRPr="00800959" w:rsidRDefault="00D369E2" w:rsidP="00800959">
      <w:pPr>
        <w:pStyle w:val="Prrafodelista"/>
        <w:widowControl w:val="0"/>
        <w:numPr>
          <w:ilvl w:val="0"/>
          <w:numId w:val="7"/>
        </w:numPr>
        <w:tabs>
          <w:tab w:val="center" w:pos="4419"/>
          <w:tab w:val="right" w:pos="8838"/>
        </w:tabs>
        <w:spacing w:before="240" w:after="240" w:line="276" w:lineRule="auto"/>
        <w:contextualSpacing w:val="0"/>
        <w:jc w:val="both"/>
        <w:rPr>
          <w:rFonts w:ascii="ITC Avant Garde" w:eastAsia="Times New Roman" w:hAnsi="ITC Avant Garde" w:cs="Times New Roman"/>
          <w:szCs w:val="24"/>
          <w:lang w:eastAsia="es-ES"/>
        </w:rPr>
      </w:pPr>
      <w:r w:rsidRPr="00800959">
        <w:rPr>
          <w:rFonts w:ascii="ITC Avant Garde" w:eastAsia="Times New Roman" w:hAnsi="ITC Avant Garde" w:cs="Times New Roman"/>
          <w:szCs w:val="24"/>
          <w:lang w:eastAsia="es-ES"/>
        </w:rPr>
        <w:t xml:space="preserve"> La t</w:t>
      </w:r>
      <w:r w:rsidR="00EB311D" w:rsidRPr="00800959">
        <w:rPr>
          <w:rFonts w:ascii="ITC Avant Garde" w:eastAsia="Times New Roman" w:hAnsi="ITC Avant Garde" w:cs="Times New Roman"/>
          <w:szCs w:val="24"/>
          <w:lang w:eastAsia="es-ES"/>
        </w:rPr>
        <w:t xml:space="preserve">arifa </w:t>
      </w:r>
      <w:r w:rsidRPr="00800959">
        <w:rPr>
          <w:rFonts w:ascii="ITC Avant Garde" w:eastAsia="Times New Roman" w:hAnsi="ITC Avant Garde" w:cs="Times New Roman"/>
          <w:szCs w:val="24"/>
          <w:lang w:eastAsia="es-ES"/>
        </w:rPr>
        <w:t>que deberán pagarse de manera recíproca Mega Cable y Pegaso PCS, y la tarifa que deberá pagar Pegaso PCS, a Mega Cable, por el servicio de terminación del servicio local en usuarios fijos, por minuto de</w:t>
      </w:r>
      <w:r w:rsidR="00EB311D" w:rsidRPr="00800959">
        <w:rPr>
          <w:rFonts w:ascii="ITC Avant Garde" w:eastAsia="Times New Roman" w:hAnsi="ITC Avant Garde" w:cs="Times New Roman"/>
          <w:szCs w:val="24"/>
          <w:lang w:eastAsia="es-ES"/>
        </w:rPr>
        <w:t xml:space="preserve"> interconexión</w:t>
      </w:r>
      <w:r w:rsidRPr="00800959">
        <w:rPr>
          <w:rFonts w:ascii="ITC Avant Garde" w:eastAsia="Times New Roman" w:hAnsi="ITC Avant Garde" w:cs="Times New Roman"/>
          <w:szCs w:val="24"/>
          <w:lang w:eastAsia="es-ES"/>
        </w:rPr>
        <w:t xml:space="preserve">, aplicable a partir de la fecha en que se emita resolución y hasta el </w:t>
      </w:r>
      <w:r w:rsidR="00EB311D" w:rsidRPr="00800959">
        <w:rPr>
          <w:rFonts w:ascii="ITC Avant Garde" w:eastAsia="Times New Roman" w:hAnsi="ITC Avant Garde" w:cs="Times New Roman"/>
          <w:szCs w:val="24"/>
          <w:lang w:eastAsia="es-ES"/>
        </w:rPr>
        <w:t>31 de diciembre de 2018.</w:t>
      </w:r>
    </w:p>
    <w:p w14:paraId="00BEE141" w14:textId="77777777" w:rsidR="00800959" w:rsidRPr="00800959" w:rsidRDefault="004E0762" w:rsidP="00800959">
      <w:pPr>
        <w:pStyle w:val="Prrafodelista"/>
        <w:widowControl w:val="0"/>
        <w:numPr>
          <w:ilvl w:val="0"/>
          <w:numId w:val="7"/>
        </w:numPr>
        <w:tabs>
          <w:tab w:val="center" w:pos="4419"/>
          <w:tab w:val="right" w:pos="8838"/>
        </w:tabs>
        <w:spacing w:before="240" w:after="240"/>
        <w:jc w:val="both"/>
        <w:rPr>
          <w:rFonts w:ascii="ITC Avant Garde" w:eastAsia="Times New Roman" w:hAnsi="ITC Avant Garde"/>
          <w:szCs w:val="24"/>
          <w:lang w:eastAsia="es-ES"/>
        </w:rPr>
      </w:pPr>
      <w:r w:rsidRPr="00800959">
        <w:rPr>
          <w:rFonts w:ascii="ITC Avant Garde" w:eastAsia="Times New Roman" w:hAnsi="ITC Avant Garde"/>
          <w:szCs w:val="24"/>
          <w:lang w:eastAsia="es-ES"/>
        </w:rPr>
        <w:t>La t</w:t>
      </w:r>
      <w:r w:rsidR="00EB311D" w:rsidRPr="00800959">
        <w:rPr>
          <w:rFonts w:ascii="ITC Avant Garde" w:eastAsia="Times New Roman" w:hAnsi="ITC Avant Garde"/>
          <w:szCs w:val="24"/>
          <w:lang w:eastAsia="es-ES"/>
        </w:rPr>
        <w:t>arifa de interconexión</w:t>
      </w:r>
      <w:r w:rsidR="008078D7" w:rsidRPr="00800959">
        <w:rPr>
          <w:rFonts w:ascii="ITC Avant Garde" w:eastAsia="Times New Roman" w:hAnsi="ITC Avant Garde"/>
          <w:szCs w:val="24"/>
          <w:lang w:eastAsia="es-ES"/>
        </w:rPr>
        <w:t xml:space="preserve"> </w:t>
      </w:r>
      <w:r w:rsidR="008078D7" w:rsidRPr="00800959">
        <w:rPr>
          <w:rFonts w:ascii="ITC Avant Garde" w:eastAsia="Times New Roman" w:hAnsi="ITC Avant Garde" w:cs="Times New Roman"/>
          <w:szCs w:val="24"/>
          <w:lang w:eastAsia="es-ES"/>
        </w:rPr>
        <w:t>que</w:t>
      </w:r>
      <w:r w:rsidRPr="00800959">
        <w:rPr>
          <w:rFonts w:ascii="ITC Avant Garde" w:eastAsia="Times New Roman" w:hAnsi="ITC Avant Garde" w:cs="Times New Roman"/>
          <w:szCs w:val="24"/>
          <w:lang w:eastAsia="es-ES"/>
        </w:rPr>
        <w:t xml:space="preserve"> Mega Cable</w:t>
      </w:r>
      <w:r w:rsidR="002E5EC5" w:rsidRPr="00800959">
        <w:rPr>
          <w:rFonts w:ascii="ITC Avant Garde" w:eastAsia="Times New Roman" w:hAnsi="ITC Avant Garde" w:cs="Times New Roman"/>
          <w:szCs w:val="24"/>
          <w:lang w:eastAsia="es-ES"/>
        </w:rPr>
        <w:t xml:space="preserve"> </w:t>
      </w:r>
      <w:r w:rsidRPr="00800959">
        <w:rPr>
          <w:rFonts w:ascii="ITC Avant Garde" w:eastAsia="Times New Roman" w:hAnsi="ITC Avant Garde" w:cs="Times New Roman"/>
          <w:szCs w:val="24"/>
          <w:lang w:eastAsia="es-ES"/>
        </w:rPr>
        <w:t>deberá pagar a Pegaso PCS, por servicios de terminación local en usuario</w:t>
      </w:r>
      <w:r w:rsidR="00F6312C" w:rsidRPr="00800959">
        <w:rPr>
          <w:rFonts w:ascii="ITC Avant Garde" w:eastAsia="Times New Roman" w:hAnsi="ITC Avant Garde" w:cs="Times New Roman"/>
          <w:szCs w:val="24"/>
          <w:lang w:eastAsia="es-ES"/>
        </w:rPr>
        <w:t>s</w:t>
      </w:r>
      <w:r w:rsidRPr="00800959">
        <w:rPr>
          <w:rFonts w:ascii="ITC Avant Garde" w:eastAsia="Times New Roman" w:hAnsi="ITC Avant Garde" w:cs="Times New Roman"/>
          <w:szCs w:val="24"/>
          <w:lang w:eastAsia="es-ES"/>
        </w:rPr>
        <w:t xml:space="preserve"> móviles bajo la modalidad “El que llama paga”, aplicable a partir de la fecha en </w:t>
      </w:r>
      <w:r w:rsidR="00F6312C" w:rsidRPr="00800959">
        <w:rPr>
          <w:rFonts w:ascii="ITC Avant Garde" w:eastAsia="Times New Roman" w:hAnsi="ITC Avant Garde" w:cs="Times New Roman"/>
          <w:szCs w:val="24"/>
          <w:lang w:eastAsia="es-ES"/>
        </w:rPr>
        <w:t>se emita</w:t>
      </w:r>
      <w:r w:rsidRPr="00800959">
        <w:rPr>
          <w:rFonts w:ascii="ITC Avant Garde" w:eastAsia="Times New Roman" w:hAnsi="ITC Avant Garde" w:cs="Times New Roman"/>
          <w:szCs w:val="24"/>
          <w:lang w:eastAsia="es-ES"/>
        </w:rPr>
        <w:t xml:space="preserve"> resolución y hasta el 31 de diciembre de 2018</w:t>
      </w:r>
      <w:r w:rsidR="00F6312C" w:rsidRPr="00800959">
        <w:rPr>
          <w:rFonts w:ascii="ITC Avant Garde" w:eastAsia="Times New Roman" w:hAnsi="ITC Avant Garde" w:cs="Times New Roman"/>
          <w:szCs w:val="24"/>
          <w:lang w:eastAsia="es-ES"/>
        </w:rPr>
        <w:t>.</w:t>
      </w:r>
    </w:p>
    <w:p w14:paraId="2985A82F" w14:textId="77777777" w:rsidR="00800959" w:rsidRPr="00800959" w:rsidRDefault="00D1346C" w:rsidP="00800959">
      <w:pPr>
        <w:widowControl w:val="0"/>
        <w:tabs>
          <w:tab w:val="center" w:pos="4419"/>
          <w:tab w:val="right" w:pos="8838"/>
        </w:tabs>
        <w:spacing w:before="240" w:after="240"/>
        <w:jc w:val="both"/>
        <w:rPr>
          <w:rFonts w:ascii="ITC Avant Garde" w:eastAsia="Times New Roman" w:hAnsi="ITC Avant Garde"/>
          <w:szCs w:val="24"/>
          <w:lang w:eastAsia="es-ES"/>
        </w:rPr>
      </w:pPr>
      <w:r w:rsidRPr="00800959">
        <w:rPr>
          <w:rFonts w:ascii="ITC Avant Garde" w:eastAsia="Times New Roman" w:hAnsi="ITC Avant Garde"/>
          <w:szCs w:val="24"/>
          <w:lang w:eastAsia="es-ES"/>
        </w:rPr>
        <w:t xml:space="preserve">Por su parte, Pegaso PCS </w:t>
      </w:r>
      <w:r w:rsidR="00B222FF" w:rsidRPr="00800959">
        <w:rPr>
          <w:rFonts w:ascii="ITC Avant Garde" w:eastAsia="Times New Roman" w:hAnsi="ITC Avant Garde"/>
          <w:szCs w:val="24"/>
          <w:lang w:eastAsia="es-ES"/>
        </w:rPr>
        <w:t xml:space="preserve">en </w:t>
      </w:r>
      <w:r w:rsidRPr="00800959">
        <w:rPr>
          <w:rFonts w:ascii="ITC Avant Garde" w:eastAsia="Times New Roman" w:hAnsi="ITC Avant Garde"/>
          <w:szCs w:val="24"/>
          <w:lang w:eastAsia="es-ES"/>
        </w:rPr>
        <w:t>su</w:t>
      </w:r>
      <w:r w:rsidR="002438F9" w:rsidRPr="00800959">
        <w:rPr>
          <w:rFonts w:ascii="ITC Avant Garde" w:eastAsia="Times New Roman" w:hAnsi="ITC Avant Garde"/>
          <w:szCs w:val="24"/>
          <w:lang w:eastAsia="es-ES"/>
        </w:rPr>
        <w:t>s</w:t>
      </w:r>
      <w:r w:rsidRPr="00800959">
        <w:rPr>
          <w:rFonts w:ascii="ITC Avant Garde" w:eastAsia="Times New Roman" w:hAnsi="ITC Avant Garde"/>
          <w:szCs w:val="24"/>
          <w:lang w:eastAsia="es-ES"/>
        </w:rPr>
        <w:t xml:space="preserve"> escrito</w:t>
      </w:r>
      <w:r w:rsidR="002438F9" w:rsidRPr="00800959">
        <w:rPr>
          <w:rFonts w:ascii="ITC Avant Garde" w:eastAsia="Times New Roman" w:hAnsi="ITC Avant Garde"/>
          <w:szCs w:val="24"/>
          <w:lang w:eastAsia="es-ES"/>
        </w:rPr>
        <w:t>s</w:t>
      </w:r>
      <w:r w:rsidRPr="00800959">
        <w:rPr>
          <w:rFonts w:ascii="ITC Avant Garde" w:eastAsia="Times New Roman" w:hAnsi="ITC Avant Garde"/>
          <w:szCs w:val="24"/>
          <w:lang w:eastAsia="es-ES"/>
        </w:rPr>
        <w:t xml:space="preserve"> de Respuesta, plantea </w:t>
      </w:r>
      <w:r w:rsidR="00B222FF" w:rsidRPr="00800959">
        <w:rPr>
          <w:rFonts w:ascii="ITC Avant Garde" w:eastAsia="Times New Roman" w:hAnsi="ITC Avant Garde"/>
          <w:szCs w:val="24"/>
          <w:lang w:eastAsia="es-ES"/>
        </w:rPr>
        <w:t>como cond</w:t>
      </w:r>
      <w:r w:rsidR="000B483E" w:rsidRPr="00800959">
        <w:rPr>
          <w:rFonts w:ascii="ITC Avant Garde" w:eastAsia="Times New Roman" w:hAnsi="ITC Avant Garde"/>
          <w:szCs w:val="24"/>
          <w:lang w:eastAsia="es-ES"/>
        </w:rPr>
        <w:t>iciones no convenidas con Mega Cable</w:t>
      </w:r>
      <w:r w:rsidR="00B222FF" w:rsidRPr="00800959">
        <w:rPr>
          <w:rFonts w:ascii="ITC Avant Garde" w:eastAsia="Times New Roman" w:hAnsi="ITC Avant Garde"/>
          <w:szCs w:val="24"/>
          <w:lang w:eastAsia="es-ES"/>
        </w:rPr>
        <w:t xml:space="preserve"> las siguientes:</w:t>
      </w:r>
    </w:p>
    <w:p w14:paraId="01242240" w14:textId="77777777" w:rsidR="00800959" w:rsidRPr="00800959" w:rsidRDefault="008078D7" w:rsidP="00800959">
      <w:pPr>
        <w:pStyle w:val="Prrafodelista"/>
        <w:widowControl w:val="0"/>
        <w:numPr>
          <w:ilvl w:val="0"/>
          <w:numId w:val="7"/>
        </w:numPr>
        <w:tabs>
          <w:tab w:val="center" w:pos="4419"/>
          <w:tab w:val="right" w:pos="8838"/>
        </w:tabs>
        <w:spacing w:before="240" w:after="240"/>
        <w:jc w:val="both"/>
        <w:rPr>
          <w:rFonts w:ascii="ITC Avant Garde" w:eastAsia="Times New Roman" w:hAnsi="ITC Avant Garde"/>
          <w:szCs w:val="24"/>
          <w:lang w:eastAsia="es-ES"/>
        </w:rPr>
      </w:pPr>
      <w:r w:rsidRPr="00800959">
        <w:rPr>
          <w:rFonts w:ascii="ITC Avant Garde" w:eastAsia="Times New Roman" w:hAnsi="ITC Avant Garde"/>
          <w:szCs w:val="24"/>
          <w:lang w:eastAsia="es-ES"/>
        </w:rPr>
        <w:t>Determinación de las tarifas de terminación conmutada en la red de M</w:t>
      </w:r>
      <w:r w:rsidR="00C7760A" w:rsidRPr="00800959">
        <w:rPr>
          <w:rFonts w:ascii="ITC Avant Garde" w:eastAsia="Times New Roman" w:hAnsi="ITC Avant Garde"/>
          <w:szCs w:val="24"/>
          <w:lang w:eastAsia="es-ES"/>
        </w:rPr>
        <w:t>ega Cable</w:t>
      </w:r>
      <w:r w:rsidRPr="00800959">
        <w:rPr>
          <w:rFonts w:ascii="ITC Avant Garde" w:eastAsia="Times New Roman" w:hAnsi="ITC Avant Garde"/>
          <w:szCs w:val="24"/>
          <w:lang w:eastAsia="es-ES"/>
        </w:rPr>
        <w:t xml:space="preserve"> así como las</w:t>
      </w:r>
      <w:r w:rsidR="00444C66" w:rsidRPr="00800959">
        <w:rPr>
          <w:rFonts w:ascii="ITC Avant Garde" w:eastAsia="Times New Roman" w:hAnsi="ITC Avant Garde"/>
          <w:szCs w:val="24"/>
          <w:lang w:eastAsia="es-ES"/>
        </w:rPr>
        <w:t xml:space="preserve"> tarifas de terminación en la red de Pegaso PCS, </w:t>
      </w:r>
      <w:r w:rsidR="00C7760A" w:rsidRPr="00800959">
        <w:rPr>
          <w:rFonts w:ascii="ITC Avant Garde" w:eastAsia="Times New Roman" w:hAnsi="ITC Avant Garde"/>
          <w:szCs w:val="24"/>
          <w:lang w:eastAsia="es-ES"/>
        </w:rPr>
        <w:t xml:space="preserve">y las tarifas de terminación de red fija de Mega Cable para el año </w:t>
      </w:r>
      <w:r w:rsidR="00444C66" w:rsidRPr="00800959">
        <w:rPr>
          <w:rFonts w:ascii="ITC Avant Garde" w:eastAsia="Times New Roman" w:hAnsi="ITC Avant Garde"/>
          <w:szCs w:val="24"/>
          <w:lang w:eastAsia="es-ES"/>
        </w:rPr>
        <w:t>2018.</w:t>
      </w:r>
    </w:p>
    <w:p w14:paraId="2F01846A" w14:textId="77777777" w:rsidR="00800959" w:rsidRPr="00800959" w:rsidRDefault="00720618" w:rsidP="00800959">
      <w:pPr>
        <w:pStyle w:val="Prrafodelista"/>
        <w:widowControl w:val="0"/>
        <w:numPr>
          <w:ilvl w:val="0"/>
          <w:numId w:val="7"/>
        </w:numPr>
        <w:tabs>
          <w:tab w:val="center" w:pos="4419"/>
          <w:tab w:val="right" w:pos="8838"/>
        </w:tabs>
        <w:spacing w:before="240" w:after="240"/>
        <w:jc w:val="both"/>
        <w:rPr>
          <w:rFonts w:ascii="ITC Avant Garde" w:eastAsia="Times New Roman" w:hAnsi="ITC Avant Garde"/>
          <w:b/>
          <w:szCs w:val="24"/>
          <w:lang w:eastAsia="es-ES"/>
        </w:rPr>
      </w:pPr>
      <w:r w:rsidRPr="00800959">
        <w:rPr>
          <w:rFonts w:ascii="ITC Avant Garde" w:eastAsia="Times New Roman" w:hAnsi="ITC Avant Garde"/>
          <w:szCs w:val="24"/>
          <w:lang w:eastAsia="es-ES"/>
        </w:rPr>
        <w:t xml:space="preserve">Inclusión del factor de ajuste a la tarifa de interconexión para 2018 por variaciones </w:t>
      </w:r>
      <w:r w:rsidRPr="00800959">
        <w:rPr>
          <w:rFonts w:ascii="ITC Avant Garde" w:eastAsia="Times New Roman" w:hAnsi="ITC Avant Garde"/>
          <w:szCs w:val="24"/>
          <w:lang w:eastAsia="es-ES"/>
        </w:rPr>
        <w:lastRenderedPageBreak/>
        <w:t>en el tipo de cambio e inflación.</w:t>
      </w:r>
    </w:p>
    <w:p w14:paraId="365A0E95" w14:textId="77777777" w:rsidR="00800959" w:rsidRPr="00800959" w:rsidRDefault="00D50F3E" w:rsidP="00800959">
      <w:pPr>
        <w:pStyle w:val="Textoindependiente"/>
        <w:spacing w:before="240" w:after="240" w:line="276" w:lineRule="auto"/>
        <w:rPr>
          <w:rFonts w:ascii="ITC Avant Garde" w:hAnsi="ITC Avant Garde"/>
          <w:szCs w:val="22"/>
        </w:rPr>
      </w:pPr>
      <w:r w:rsidRPr="00800959">
        <w:rPr>
          <w:rFonts w:ascii="ITC Avant Garde" w:hAnsi="ITC Avant Garde"/>
          <w:szCs w:val="22"/>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6C9FFC5" w14:textId="77777777" w:rsidR="00800959" w:rsidRPr="00800959" w:rsidRDefault="00D50F3E" w:rsidP="00800959">
      <w:pPr>
        <w:spacing w:before="240" w:after="240"/>
        <w:jc w:val="both"/>
        <w:rPr>
          <w:rFonts w:ascii="ITC Avant Garde" w:eastAsia="Times New Roman" w:hAnsi="ITC Avant Garde"/>
        </w:rPr>
      </w:pPr>
      <w:r w:rsidRPr="00800959">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C9948E2" w14:textId="77777777" w:rsidR="00800959" w:rsidRPr="00800959" w:rsidRDefault="00D50F3E" w:rsidP="00800959">
      <w:pPr>
        <w:spacing w:before="240" w:after="240"/>
        <w:jc w:val="both"/>
        <w:rPr>
          <w:rFonts w:ascii="ITC Avant Garde" w:eastAsia="Times New Roman" w:hAnsi="ITC Avant Garde"/>
        </w:rPr>
      </w:pPr>
      <w:r w:rsidRPr="00800959">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5E680E28" w14:textId="77777777" w:rsidR="00800959" w:rsidRPr="00800959" w:rsidRDefault="00D50F3E" w:rsidP="00800959">
      <w:pPr>
        <w:spacing w:before="240" w:after="240"/>
        <w:jc w:val="both"/>
        <w:rPr>
          <w:rFonts w:ascii="ITC Avant Garde" w:eastAsia="Times New Roman" w:hAnsi="ITC Avant Garde"/>
        </w:rPr>
      </w:pPr>
      <w:r w:rsidRPr="00800959">
        <w:rPr>
          <w:rFonts w:ascii="ITC Avant Garde" w:eastAsia="Times New Roman" w:hAnsi="ITC Avant Garde"/>
        </w:rPr>
        <w:t>Por lo que en térm</w:t>
      </w:r>
      <w:r w:rsidR="00604FC0" w:rsidRPr="00800959">
        <w:rPr>
          <w:rFonts w:ascii="ITC Avant Garde" w:eastAsia="Times New Roman" w:hAnsi="ITC Avant Garde"/>
        </w:rPr>
        <w:t>inos del artículo 129 de la LFT</w:t>
      </w:r>
      <w:r w:rsidRPr="00800959">
        <w:rPr>
          <w:rFonts w:ascii="ITC Avant Garde" w:eastAsia="Times New Roman" w:hAnsi="ITC Avant Garde"/>
        </w:rPr>
        <w:t>R es procedente resolver las condiciones solicitadas por ambas partes.</w:t>
      </w:r>
    </w:p>
    <w:p w14:paraId="22263783" w14:textId="77777777" w:rsidR="00800959" w:rsidRPr="00800959" w:rsidRDefault="001C436D" w:rsidP="00800959">
      <w:pPr>
        <w:spacing w:before="240" w:after="240"/>
        <w:jc w:val="both"/>
        <w:rPr>
          <w:rFonts w:ascii="ITC Avant Garde" w:hAnsi="ITC Avant Garde"/>
        </w:rPr>
      </w:pPr>
      <w:r w:rsidRPr="00800959">
        <w:rPr>
          <w:rFonts w:ascii="ITC Avant Garde" w:hAnsi="ITC Avant Garde"/>
        </w:rPr>
        <w:t xml:space="preserve">En relación con la condición no convenida referida en el inciso </w:t>
      </w:r>
      <w:r w:rsidRPr="00800959">
        <w:rPr>
          <w:rFonts w:ascii="ITC Avant Garde" w:hAnsi="ITC Avant Garde"/>
          <w:b/>
        </w:rPr>
        <w:t>d)</w:t>
      </w:r>
      <w:r w:rsidRPr="00800959">
        <w:rPr>
          <w:rFonts w:ascii="ITC Avant Garde" w:hAnsi="ITC Avant Garde"/>
        </w:rPr>
        <w:t xml:space="preserve"> sobre inclusión del factor de ajuste a la tarifa de interconexión para 2018 por variaciones en el tipo de cambio e inflación, se señala que será analizada como parte de las manifestaciones generales planteadas por las partes.</w:t>
      </w:r>
    </w:p>
    <w:p w14:paraId="54AECF53" w14:textId="77777777" w:rsidR="00800959" w:rsidRPr="00800959" w:rsidRDefault="00D50F3E" w:rsidP="00800959">
      <w:pPr>
        <w:spacing w:before="240" w:after="240"/>
        <w:jc w:val="both"/>
        <w:rPr>
          <w:rFonts w:ascii="ITC Avant Garde" w:eastAsia="Times New Roman" w:hAnsi="ITC Avant Garde"/>
        </w:rPr>
      </w:pPr>
      <w:r w:rsidRPr="00800959">
        <w:rPr>
          <w:rFonts w:ascii="ITC Avant Garde" w:eastAsia="Times New Roman" w:hAnsi="ITC Avant Garde"/>
        </w:rPr>
        <w:t>En virtud de lo anterior, las condiciones no convenidas sobre las cuales se pronunciará el Instituto serán las siguientes:</w:t>
      </w:r>
    </w:p>
    <w:p w14:paraId="34F503C9" w14:textId="77777777" w:rsidR="00800959" w:rsidRPr="00800959" w:rsidRDefault="001B7965" w:rsidP="00800959">
      <w:pPr>
        <w:pStyle w:val="Prrafodelista"/>
        <w:widowControl w:val="0"/>
        <w:numPr>
          <w:ilvl w:val="0"/>
          <w:numId w:val="18"/>
        </w:numPr>
        <w:tabs>
          <w:tab w:val="center" w:pos="4419"/>
          <w:tab w:val="right" w:pos="8838"/>
        </w:tabs>
        <w:spacing w:before="240" w:after="240" w:line="276" w:lineRule="auto"/>
        <w:jc w:val="both"/>
        <w:rPr>
          <w:rFonts w:ascii="ITC Avant Garde" w:hAnsi="ITC Avant Garde"/>
        </w:rPr>
      </w:pPr>
      <w:r w:rsidRPr="00800959">
        <w:rPr>
          <w:rFonts w:ascii="ITC Avant Garde" w:hAnsi="ITC Avant Garde"/>
        </w:rPr>
        <w:t xml:space="preserve">La determinación de la tarifa que </w:t>
      </w:r>
      <w:r w:rsidR="002438F9" w:rsidRPr="00800959">
        <w:rPr>
          <w:rFonts w:ascii="ITC Avant Garde" w:hAnsi="ITC Avant Garde"/>
        </w:rPr>
        <w:t>Mega Cable</w:t>
      </w:r>
      <w:r w:rsidR="00BF0F8E" w:rsidRPr="00800959">
        <w:rPr>
          <w:rFonts w:ascii="ITC Avant Garde" w:hAnsi="ITC Avant Garde"/>
        </w:rPr>
        <w:t xml:space="preserve"> </w:t>
      </w:r>
      <w:r w:rsidR="00B16899" w:rsidRPr="00800959">
        <w:rPr>
          <w:rFonts w:ascii="ITC Avant Garde" w:hAnsi="ITC Avant Garde"/>
        </w:rPr>
        <w:t>deberá pagar a</w:t>
      </w:r>
      <w:r w:rsidR="00BF0F8E" w:rsidRPr="00800959">
        <w:rPr>
          <w:rFonts w:ascii="ITC Avant Garde" w:hAnsi="ITC Avant Garde"/>
        </w:rPr>
        <w:t xml:space="preserve"> </w:t>
      </w:r>
      <w:r w:rsidR="00A63941" w:rsidRPr="00800959">
        <w:rPr>
          <w:rFonts w:ascii="ITC Avant Garde" w:hAnsi="ITC Avant Garde"/>
        </w:rPr>
        <w:t xml:space="preserve">Pegaso PCS </w:t>
      </w:r>
      <w:r w:rsidR="00B16899" w:rsidRPr="00800959">
        <w:rPr>
          <w:rFonts w:ascii="ITC Avant Garde" w:eastAsia="Times New Roman" w:hAnsi="ITC Avant Garde" w:cs="Times New Roman"/>
          <w:szCs w:val="24"/>
          <w:lang w:eastAsia="es-ES"/>
        </w:rPr>
        <w:t>por servicios de terminación local en usuarios móviles bajo la modalidad “El que llama paga”,</w:t>
      </w:r>
      <w:r w:rsidRPr="00800959">
        <w:rPr>
          <w:rFonts w:ascii="ITC Avant Garde" w:hAnsi="ITC Avant Garde"/>
        </w:rPr>
        <w:t xml:space="preserve"> aplicable </w:t>
      </w:r>
      <w:r w:rsidR="008A618D" w:rsidRPr="00800959">
        <w:rPr>
          <w:rFonts w:ascii="ITC Avant Garde" w:hAnsi="ITC Avant Garde"/>
        </w:rPr>
        <w:t>para el periodo</w:t>
      </w:r>
      <w:r w:rsidR="002438F9" w:rsidRPr="00800959">
        <w:rPr>
          <w:rFonts w:ascii="ITC Avant Garde" w:hAnsi="ITC Avant Garde"/>
        </w:rPr>
        <w:t xml:space="preserve"> </w:t>
      </w:r>
      <w:r w:rsidRPr="00800959">
        <w:rPr>
          <w:rFonts w:ascii="ITC Avant Garde" w:hAnsi="ITC Avant Garde"/>
        </w:rPr>
        <w:t xml:space="preserve">2018. </w:t>
      </w:r>
    </w:p>
    <w:p w14:paraId="0F023EAB" w14:textId="77777777" w:rsidR="00800959" w:rsidRPr="00800959" w:rsidRDefault="00A63941" w:rsidP="00800959">
      <w:pPr>
        <w:pStyle w:val="Prrafodelista"/>
        <w:widowControl w:val="0"/>
        <w:numPr>
          <w:ilvl w:val="0"/>
          <w:numId w:val="18"/>
        </w:numPr>
        <w:tabs>
          <w:tab w:val="center" w:pos="4419"/>
          <w:tab w:val="right" w:pos="8838"/>
        </w:tabs>
        <w:spacing w:before="240" w:after="240" w:line="276" w:lineRule="auto"/>
        <w:jc w:val="both"/>
        <w:rPr>
          <w:rFonts w:ascii="ITC Avant Garde" w:hAnsi="ITC Avant Garde"/>
        </w:rPr>
      </w:pPr>
      <w:r w:rsidRPr="00800959">
        <w:rPr>
          <w:rFonts w:ascii="ITC Avant Garde" w:hAnsi="ITC Avant Garde"/>
        </w:rPr>
        <w:t>La determinación de la tarifa que deberán pagar</w:t>
      </w:r>
      <w:r w:rsidR="005E2DCD" w:rsidRPr="00800959">
        <w:rPr>
          <w:rFonts w:ascii="ITC Avant Garde" w:hAnsi="ITC Avant Garde"/>
        </w:rPr>
        <w:t>se</w:t>
      </w:r>
      <w:r w:rsidR="00BF0F8E" w:rsidRPr="00800959">
        <w:rPr>
          <w:rFonts w:ascii="ITC Avant Garde" w:hAnsi="ITC Avant Garde"/>
        </w:rPr>
        <w:t xml:space="preserve"> </w:t>
      </w:r>
      <w:r w:rsidR="008A618D" w:rsidRPr="00800959">
        <w:rPr>
          <w:rFonts w:ascii="ITC Avant Garde" w:hAnsi="ITC Avant Garde"/>
        </w:rPr>
        <w:t>Mega Cable</w:t>
      </w:r>
      <w:r w:rsidR="00BF0F8E" w:rsidRPr="00800959">
        <w:rPr>
          <w:rFonts w:ascii="ITC Avant Garde" w:hAnsi="ITC Avant Garde"/>
        </w:rPr>
        <w:t xml:space="preserve"> y </w:t>
      </w:r>
      <w:r w:rsidRPr="00800959">
        <w:rPr>
          <w:rFonts w:ascii="ITC Avant Garde" w:hAnsi="ITC Avant Garde"/>
        </w:rPr>
        <w:t xml:space="preserve">Pegaso PCS de manera recíproca por el servicio de terminación del Servicio Local en usuarios fijos, aplicable </w:t>
      </w:r>
      <w:r w:rsidR="008A618D" w:rsidRPr="00800959">
        <w:rPr>
          <w:rFonts w:ascii="ITC Avant Garde" w:hAnsi="ITC Avant Garde"/>
        </w:rPr>
        <w:t>para el periodo</w:t>
      </w:r>
      <w:r w:rsidRPr="00800959">
        <w:rPr>
          <w:rFonts w:ascii="ITC Avant Garde" w:hAnsi="ITC Avant Garde"/>
        </w:rPr>
        <w:t xml:space="preserve"> 2018. </w:t>
      </w:r>
    </w:p>
    <w:p w14:paraId="593B67A7" w14:textId="77777777" w:rsidR="00800959" w:rsidRPr="00800959" w:rsidRDefault="001B7965" w:rsidP="00800959">
      <w:pPr>
        <w:spacing w:before="240" w:after="240"/>
        <w:jc w:val="both"/>
        <w:rPr>
          <w:rFonts w:ascii="ITC Avant Garde" w:eastAsia="Times New Roman" w:hAnsi="ITC Avant Garde"/>
        </w:rPr>
      </w:pPr>
      <w:r w:rsidRPr="00800959">
        <w:rPr>
          <w:rFonts w:ascii="ITC Avant Garde" w:hAnsi="ITC Avant Garde"/>
        </w:rPr>
        <w:lastRenderedPageBreak/>
        <w:t xml:space="preserve">Previamente al </w:t>
      </w:r>
      <w:r w:rsidRPr="00800959">
        <w:rPr>
          <w:rFonts w:ascii="ITC Avant Garde" w:eastAsia="Times New Roman" w:hAnsi="ITC Avant Garde"/>
        </w:rPr>
        <w:t>análisis de las condiciones no convenidas, el Instituto procede, en primera instancia, a analizar específicamente las argumentaciones generales e improcedencias manifestadas por Pegaso PCS en relación con el presente procedimiento, para posteriormente resolver sobre aquellos puntos de desacuerdo que en materia de interconexión fueron sometidos por las partes.</w:t>
      </w:r>
    </w:p>
    <w:p w14:paraId="5B67052C" w14:textId="77777777" w:rsidR="00800959" w:rsidRPr="00800959" w:rsidRDefault="008412F4" w:rsidP="00800959">
      <w:pPr>
        <w:spacing w:before="240" w:after="240"/>
        <w:jc w:val="both"/>
        <w:rPr>
          <w:rFonts w:ascii="ITC Avant Garde" w:hAnsi="ITC Avant Garde"/>
          <w:b/>
        </w:rPr>
      </w:pPr>
      <w:r w:rsidRPr="00800959">
        <w:rPr>
          <w:rFonts w:ascii="ITC Avant Garde" w:hAnsi="ITC Avant Garde"/>
          <w:b/>
        </w:rPr>
        <w:t xml:space="preserve">A) </w:t>
      </w:r>
      <w:r w:rsidR="00BA1D25" w:rsidRPr="00800959">
        <w:rPr>
          <w:rFonts w:ascii="ITC Avant Garde" w:hAnsi="ITC Avant Garde"/>
          <w:b/>
        </w:rPr>
        <w:t>Improcedencia del presente desacuerdo toda vez que no fue presentado dentro de los plazos establecidos en el artículo 129 de la LFTR</w:t>
      </w:r>
      <w:r w:rsidR="00CA7A94" w:rsidRPr="00800959">
        <w:rPr>
          <w:rFonts w:ascii="ITC Avant Garde" w:hAnsi="ITC Avant Garde"/>
          <w:b/>
        </w:rPr>
        <w:t>.</w:t>
      </w:r>
    </w:p>
    <w:p w14:paraId="63E68FAE" w14:textId="77777777" w:rsidR="00800959" w:rsidRPr="00800959" w:rsidRDefault="00550363" w:rsidP="00800959">
      <w:pPr>
        <w:spacing w:before="240" w:after="240"/>
        <w:jc w:val="both"/>
        <w:rPr>
          <w:rFonts w:ascii="ITC Avant Garde" w:hAnsi="ITC Avant Garde"/>
          <w:b/>
        </w:rPr>
      </w:pPr>
      <w:r w:rsidRPr="00800959">
        <w:rPr>
          <w:rFonts w:ascii="ITC Avant Garde" w:hAnsi="ITC Avant Garde"/>
          <w:b/>
        </w:rPr>
        <w:t>Argumentos de Pegaso PCS</w:t>
      </w:r>
    </w:p>
    <w:p w14:paraId="1CEAEB7E" w14:textId="77777777" w:rsidR="00800959" w:rsidRPr="00800959" w:rsidRDefault="00550363" w:rsidP="00800959">
      <w:pPr>
        <w:spacing w:before="240" w:after="240"/>
        <w:jc w:val="both"/>
        <w:rPr>
          <w:rFonts w:ascii="ITC Avant Garde" w:hAnsi="ITC Avant Garde"/>
        </w:rPr>
      </w:pPr>
      <w:r w:rsidRPr="00800959">
        <w:rPr>
          <w:rFonts w:ascii="ITC Avant Garde" w:hAnsi="ITC Avant Garde"/>
        </w:rPr>
        <w:t xml:space="preserve">Pegaso PCS manifiesta la improcedencia del desacuerdo toda vez </w:t>
      </w:r>
      <w:r w:rsidR="00D54749" w:rsidRPr="00800959">
        <w:rPr>
          <w:rFonts w:ascii="ITC Avant Garde" w:hAnsi="ITC Avant Garde"/>
        </w:rPr>
        <w:t>que la solicitud fue presentada de manera extemporánea por Mega Cable</w:t>
      </w:r>
      <w:r w:rsidR="00326306" w:rsidRPr="00800959">
        <w:rPr>
          <w:rFonts w:ascii="ITC Avant Garde" w:hAnsi="ITC Avant Garde"/>
        </w:rPr>
        <w:t xml:space="preserve">, al </w:t>
      </w:r>
      <w:r w:rsidR="00326306" w:rsidRPr="00800959">
        <w:rPr>
          <w:rFonts w:ascii="ITC Avant Garde" w:eastAsia="Times New Roman" w:hAnsi="ITC Avant Garde"/>
        </w:rPr>
        <w:t>que no haberse presentado dentro de los plazos establecidos en el artículo 129 de la LFTR</w:t>
      </w:r>
      <w:r w:rsidR="00D54749" w:rsidRPr="00800959">
        <w:rPr>
          <w:rFonts w:ascii="ITC Avant Garde" w:hAnsi="ITC Avant Garde"/>
        </w:rPr>
        <w:t xml:space="preserve"> </w:t>
      </w:r>
      <w:r w:rsidR="002B2462" w:rsidRPr="00800959">
        <w:rPr>
          <w:rFonts w:ascii="ITC Avant Garde" w:hAnsi="ITC Avant Garde"/>
        </w:rPr>
        <w:t xml:space="preserve">argumenta </w:t>
      </w:r>
      <w:r w:rsidR="00D54749" w:rsidRPr="00800959">
        <w:rPr>
          <w:rFonts w:ascii="ITC Avant Garde" w:hAnsi="ITC Avant Garde"/>
        </w:rPr>
        <w:t>que</w:t>
      </w:r>
      <w:r w:rsidR="00326306" w:rsidRPr="00800959">
        <w:rPr>
          <w:rFonts w:ascii="ITC Avant Garde" w:hAnsi="ITC Avant Garde"/>
        </w:rPr>
        <w:t xml:space="preserve"> el</w:t>
      </w:r>
      <w:r w:rsidR="00D54749" w:rsidRPr="00800959">
        <w:rPr>
          <w:rFonts w:ascii="ITC Avant Garde" w:hAnsi="ITC Avant Garde"/>
        </w:rPr>
        <w:t xml:space="preserve"> </w:t>
      </w:r>
      <w:r w:rsidRPr="00800959">
        <w:rPr>
          <w:rFonts w:ascii="ITC Avant Garde" w:hAnsi="ITC Avant Garde"/>
        </w:rPr>
        <w:t xml:space="preserve">hecho de no presentar la solicitud de desacuerdo el 15 de julio del año previo al desacuerdo, </w:t>
      </w:r>
      <w:r w:rsidR="00D54749" w:rsidRPr="00800959">
        <w:rPr>
          <w:rFonts w:ascii="ITC Avant Garde" w:hAnsi="ITC Avant Garde"/>
        </w:rPr>
        <w:t>genera como</w:t>
      </w:r>
      <w:r w:rsidRPr="00800959">
        <w:rPr>
          <w:rFonts w:ascii="ITC Avant Garde" w:hAnsi="ITC Avant Garde"/>
        </w:rPr>
        <w:t xml:space="preserve"> consecuencia que se presuma que las partes están conformes con la tarifa que se hubiera fijado anteriormente.</w:t>
      </w:r>
    </w:p>
    <w:p w14:paraId="22C69D13" w14:textId="77777777" w:rsidR="00800959" w:rsidRPr="00800959" w:rsidRDefault="00A82894" w:rsidP="00800959">
      <w:pPr>
        <w:spacing w:before="240" w:after="240"/>
        <w:rPr>
          <w:rFonts w:ascii="ITC Avant Garde" w:hAnsi="ITC Avant Garde"/>
          <w:b/>
        </w:rPr>
      </w:pPr>
      <w:r w:rsidRPr="00800959">
        <w:rPr>
          <w:rFonts w:ascii="ITC Avant Garde" w:hAnsi="ITC Avant Garde"/>
          <w:b/>
        </w:rPr>
        <w:t>Consideraciones del Instituto</w:t>
      </w:r>
    </w:p>
    <w:p w14:paraId="5E4FAA97" w14:textId="7B590FF8" w:rsidR="00653A69" w:rsidRPr="00800959" w:rsidRDefault="00653A69" w:rsidP="00800959">
      <w:pPr>
        <w:spacing w:before="240" w:after="240"/>
        <w:jc w:val="both"/>
        <w:rPr>
          <w:rFonts w:ascii="ITC Avant Garde" w:eastAsia="Times New Roman" w:hAnsi="ITC Avant Garde"/>
        </w:rPr>
      </w:pPr>
      <w:r w:rsidRPr="00800959">
        <w:rPr>
          <w:rFonts w:ascii="ITC Avant Garde" w:eastAsia="Times New Roman" w:hAnsi="ITC Avant Garde"/>
        </w:rPr>
        <w:t>Respecto de lo señalado por Pegaso PCS en cuanto a qu</w:t>
      </w:r>
      <w:r w:rsidR="001E3125" w:rsidRPr="00800959">
        <w:rPr>
          <w:rFonts w:ascii="ITC Avant Garde" w:eastAsia="Times New Roman" w:hAnsi="ITC Avant Garde"/>
        </w:rPr>
        <w:t xml:space="preserve">e </w:t>
      </w:r>
      <w:r w:rsidRPr="00800959">
        <w:rPr>
          <w:rFonts w:ascii="ITC Avant Garde" w:eastAsia="Times New Roman" w:hAnsi="ITC Avant Garde"/>
        </w:rPr>
        <w:t>el presente desacuerdo fue presentado de manera extemporánea</w:t>
      </w:r>
      <w:r w:rsidR="001E3125" w:rsidRPr="00800959">
        <w:rPr>
          <w:rFonts w:ascii="ITC Avant Garde" w:eastAsia="Times New Roman" w:hAnsi="ITC Avant Garde"/>
        </w:rPr>
        <w:t xml:space="preserve"> y que no fue presentado dentro de los plazos establecidos en el artículo 129 de la LFTR</w:t>
      </w:r>
      <w:r w:rsidRPr="00800959">
        <w:rPr>
          <w:rFonts w:ascii="ITC Avant Garde" w:eastAsia="Times New Roman" w:hAnsi="ITC Avant Garde"/>
        </w:rPr>
        <w:t xml:space="preserve">, este Instituto considera que lo señalado deviene en infundado. </w:t>
      </w:r>
    </w:p>
    <w:p w14:paraId="52C7EBDF" w14:textId="77777777" w:rsidR="00800959" w:rsidRPr="00800959" w:rsidRDefault="00653A69" w:rsidP="00800959">
      <w:pPr>
        <w:spacing w:before="240" w:after="240"/>
        <w:jc w:val="both"/>
        <w:rPr>
          <w:rFonts w:ascii="ITC Avant Garde" w:hAnsi="ITC Avant Garde"/>
        </w:rPr>
      </w:pPr>
      <w:r w:rsidRPr="00800959">
        <w:rPr>
          <w:rFonts w:ascii="ITC Avant Garde" w:eastAsia="Times New Roman" w:hAnsi="ITC Avant Garde"/>
          <w:lang w:val="es-ES_tradnl"/>
        </w:rPr>
        <w:t xml:space="preserve">Lo anterior, en virtud de que, si bien es cierto, que el párrafo cuarto del artículo 129 de la LFTR establece el 15 de julio como fecha límite para presentar un desacuerdo, esto no impide que el Instituto deba cumplir con su obligación y ejercer sus facultades en la resolución de desacuerdos, ya que de lo contrario no guardarían consistencia los diversos artículos de la ley, en materia de interconexión. </w:t>
      </w:r>
    </w:p>
    <w:p w14:paraId="4961C7A3" w14:textId="77777777" w:rsidR="00800959" w:rsidRPr="00800959" w:rsidRDefault="00653A69" w:rsidP="00800959">
      <w:pPr>
        <w:spacing w:before="240" w:after="240"/>
        <w:jc w:val="both"/>
        <w:rPr>
          <w:rFonts w:ascii="ITC Avant Garde" w:hAnsi="ITC Avant Garde"/>
          <w:lang w:val="es-ES_tradnl"/>
        </w:rPr>
      </w:pPr>
      <w:r w:rsidRPr="00800959">
        <w:rPr>
          <w:rFonts w:ascii="ITC Avant Garde" w:hAnsi="ITC Avant Garde"/>
          <w:lang w:val="es-ES_tradnl"/>
        </w:rPr>
        <w:t xml:space="preserve">En este sentido, al haber presentado Mega Cable su Solicitud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LFTR, de admitir, sustanciar y resolver, a efecto de que no se vean vulnerados sus derechos en materia de interconexión de los concesionarios de redes públicas de telecomunicaciones, ello dentro de los treinta días hábiles siguientes después de que feneciera el plazo para que las partes presentaran sus alegatos correspondientes. No obstante lo anterior, la determinación del Instituto se realizará a partir de la fecha de emisión de la resolución y </w:t>
      </w:r>
      <w:r w:rsidR="004B4861" w:rsidRPr="00800959">
        <w:rPr>
          <w:rFonts w:ascii="ITC Avant Garde" w:hAnsi="ITC Avant Garde"/>
          <w:lang w:val="es-ES_tradnl"/>
        </w:rPr>
        <w:t>hasta el 31 de diciembre de 2018</w:t>
      </w:r>
      <w:r w:rsidRPr="00800959">
        <w:rPr>
          <w:rFonts w:ascii="ITC Avant Garde" w:hAnsi="ITC Avant Garde"/>
          <w:lang w:val="es-ES_tradnl"/>
        </w:rPr>
        <w:t xml:space="preserve">. </w:t>
      </w:r>
    </w:p>
    <w:p w14:paraId="4843E434" w14:textId="77777777" w:rsidR="00800959" w:rsidRPr="00800959" w:rsidRDefault="00653A69" w:rsidP="00800959">
      <w:pPr>
        <w:spacing w:before="240" w:after="240"/>
        <w:jc w:val="both"/>
        <w:rPr>
          <w:rFonts w:ascii="ITC Avant Garde" w:hAnsi="ITC Avant Garde"/>
          <w:lang w:val="es-ES_tradnl"/>
        </w:rPr>
      </w:pPr>
      <w:r w:rsidRPr="00800959">
        <w:rPr>
          <w:rFonts w:ascii="ITC Avant Garde" w:hAnsi="ITC Avant Garde"/>
          <w:lang w:val="es-ES_tradnl"/>
        </w:rPr>
        <w:lastRenderedPageBreak/>
        <w:t xml:space="preserve">La interpretación del artículo 129 de la LFTR se debe realizar de manera armónica, junto con el resto de los artículos en materia de interconexión, en particular, con los artículos 125 y 137. </w:t>
      </w:r>
    </w:p>
    <w:p w14:paraId="7C011FD3" w14:textId="77777777" w:rsidR="00800959" w:rsidRPr="00800959" w:rsidRDefault="00653A69" w:rsidP="00800959">
      <w:pPr>
        <w:spacing w:before="240" w:after="240"/>
        <w:jc w:val="both"/>
        <w:rPr>
          <w:rFonts w:ascii="ITC Avant Garde" w:hAnsi="ITC Avant Garde"/>
          <w:lang w:val="es-ES_tradnl"/>
        </w:rPr>
      </w:pPr>
      <w:r w:rsidRPr="00800959">
        <w:rPr>
          <w:rFonts w:ascii="ITC Avant Garde" w:hAnsi="ITC Avant Garde"/>
          <w:lang w:val="es-ES_tradnl"/>
        </w:rPr>
        <w:t>El concepto de no discriminación en materia de interconexión se encuentra contenido dentro del artículo 125 de la ley, cuando señala que los términos y condiciones para interconexión que un concesionario ofrezca a otro con motivo de un acuerdo o de una resolución del Instituto, deberán otorgarse a cualquiera que lo solicite, a partir de la fecha de la solicitud. Es decir, la no discriminación no se da de manera retroactiva sino que es a partir de que un concesionario se lo solicita a otro.</w:t>
      </w:r>
    </w:p>
    <w:p w14:paraId="6AEEE810" w14:textId="77777777" w:rsidR="00800959" w:rsidRPr="00800959" w:rsidRDefault="00653A69" w:rsidP="00800959">
      <w:pPr>
        <w:spacing w:before="240" w:after="240"/>
        <w:jc w:val="both"/>
        <w:rPr>
          <w:rFonts w:ascii="ITC Avant Garde" w:hAnsi="ITC Avant Garde"/>
        </w:rPr>
      </w:pPr>
      <w:r w:rsidRPr="00800959">
        <w:rPr>
          <w:rFonts w:ascii="ITC Avant Garde" w:hAnsi="ITC Avant Garde"/>
          <w:lang w:val="es-ES_tradnl"/>
        </w:rPr>
        <w:t xml:space="preserve">En este mismo sentido, si bien el Instituto ejerce su facultad de resolver desacuerdos presentados con posterioridad al 15 de julio, lo hace determinando que </w:t>
      </w:r>
      <w:r w:rsidRPr="00800959">
        <w:rPr>
          <w:rFonts w:ascii="ITC Avant Garde" w:hAnsi="ITC Avant Garde"/>
        </w:rPr>
        <w:t>las nuevas condiciones que resuelva el Instituto sean aplicables a partir de la fecha en que se emita la resolución correspondiente. Lo cual es plenamente consistente con lo señalado en el último párrafo del artículo 129 de la LFTR, ya que si un concesionario no presenta su desacuerdo antes del 15 de julio, no tendrá el derecho de que este se resuelva antes del 15 de diciembre, para que las nuevas condiciones inicien su vigencia a partir del 1 de enero del año siguiente, por el contrario, al haberse presentado un desacuerdo con posterioridad al 15 de julio, las nuevas condiciones solo podrán iniciar su vigencia a partir de la fecha de emisión de la resolución correspondiente; lo cual es plenamente consistente con el concepto de no discriminación planteado en el artículo 125 de la ley.</w:t>
      </w:r>
    </w:p>
    <w:p w14:paraId="256F5AC1" w14:textId="77777777" w:rsidR="00800959" w:rsidRPr="00800959" w:rsidRDefault="00653A69" w:rsidP="00800959">
      <w:pPr>
        <w:spacing w:before="240" w:after="240"/>
        <w:jc w:val="both"/>
        <w:rPr>
          <w:rFonts w:ascii="ITC Avant Garde" w:hAnsi="ITC Avant Garde"/>
        </w:rPr>
      </w:pPr>
      <w:r w:rsidRPr="00800959">
        <w:rPr>
          <w:rFonts w:ascii="ITC Avant Garde" w:hAnsi="ITC Avant Garde"/>
        </w:rPr>
        <w:t>Esta interpretación armónica de la ley permite que las condiciones técnicas mínimas y las tarifas de interconexión que publique el Instituto en el Diario Oficial de la Federación en el último trimestre del año cobren relevancia como una disposición administrativa de carácter general</w:t>
      </w:r>
      <w:r w:rsidR="007A3433" w:rsidRPr="00800959">
        <w:rPr>
          <w:rFonts w:ascii="ITC Avant Garde" w:hAnsi="ITC Avant Garde"/>
        </w:rPr>
        <w:t>.</w:t>
      </w:r>
      <w:r w:rsidRPr="00800959">
        <w:rPr>
          <w:rFonts w:ascii="ITC Avant Garde" w:hAnsi="ITC Avant Garde"/>
        </w:rPr>
        <w:t xml:space="preserve"> </w:t>
      </w:r>
    </w:p>
    <w:p w14:paraId="69AFDD83" w14:textId="77777777" w:rsidR="00800959" w:rsidRPr="00800959" w:rsidRDefault="003239E4" w:rsidP="00800959">
      <w:pPr>
        <w:spacing w:before="240" w:after="240"/>
        <w:jc w:val="both"/>
        <w:rPr>
          <w:rFonts w:ascii="ITC Avant Garde" w:hAnsi="ITC Avant Garde"/>
          <w:highlight w:val="yellow"/>
        </w:rPr>
      </w:pPr>
      <w:r w:rsidRPr="00800959">
        <w:rPr>
          <w:rFonts w:ascii="ITC Avant Garde" w:hAnsi="ITC Avant Garde"/>
        </w:rPr>
        <w:t>Una interpretación, en el sentido propuesto por Pegaso PCS implicaría que la publicación de las tarifas de interconexión y las condiciones técnicas mínimas fuese meramente informativa y en muchos de los casos inaplicables ya que en el caso de que dicho concesionario se entere de nuevas condiciones técnicas, estará imposibilitado de solicitarlas para el año inmediato siguiente, toda vez que la presentación del desacuerdo antes del 15 de julio será de imposible cumplimiento.</w:t>
      </w:r>
    </w:p>
    <w:p w14:paraId="00A530E2" w14:textId="77777777" w:rsidR="00800959" w:rsidRPr="00800959" w:rsidRDefault="00653A69" w:rsidP="00800959">
      <w:pPr>
        <w:spacing w:before="240" w:after="240"/>
        <w:jc w:val="both"/>
        <w:rPr>
          <w:rFonts w:ascii="ITC Avant Garde" w:hAnsi="ITC Avant Garde"/>
        </w:rPr>
      </w:pPr>
      <w:r w:rsidRPr="00800959">
        <w:rPr>
          <w:rFonts w:ascii="ITC Avant Garde" w:hAnsi="ITC Avant Garde"/>
        </w:rPr>
        <w:t>Cabe mencionar que el propósito de las Condiciones Técnicas Mínimas tiene</w:t>
      </w:r>
      <w:r w:rsidR="004B4861" w:rsidRPr="00800959">
        <w:rPr>
          <w:rFonts w:ascii="ITC Avant Garde" w:hAnsi="ITC Avant Garde"/>
        </w:rPr>
        <w:t xml:space="preserve"> como fin </w:t>
      </w:r>
      <w:r w:rsidRPr="00800959">
        <w:rPr>
          <w:rFonts w:ascii="ITC Avant Garde" w:hAnsi="ITC Avant Garde"/>
        </w:rPr>
        <w:t>el facilitar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 una interpretación como la sugerida por Pegaso PCS haría que no se pudiese cumplir más con éste propósito.</w:t>
      </w:r>
    </w:p>
    <w:p w14:paraId="36AEB712" w14:textId="77777777" w:rsidR="00800959" w:rsidRPr="00800959" w:rsidRDefault="008412F4" w:rsidP="00800959">
      <w:pPr>
        <w:spacing w:before="240" w:after="240"/>
        <w:jc w:val="both"/>
        <w:rPr>
          <w:rFonts w:ascii="ITC Avant Garde" w:hAnsi="ITC Avant Garde"/>
          <w:b/>
        </w:rPr>
      </w:pPr>
      <w:r w:rsidRPr="00800959">
        <w:rPr>
          <w:rFonts w:ascii="ITC Avant Garde" w:hAnsi="ITC Avant Garde"/>
          <w:b/>
        </w:rPr>
        <w:lastRenderedPageBreak/>
        <w:t xml:space="preserve">B) </w:t>
      </w:r>
      <w:r w:rsidR="00A82894" w:rsidRPr="00800959">
        <w:rPr>
          <w:rFonts w:ascii="ITC Avant Garde" w:hAnsi="ITC Avant Garde"/>
          <w:b/>
        </w:rPr>
        <w:t>Improcedencia del presente desacuerdo por lo que hace a la determinación de la tarifa de interconexión que Mega Cable deberá pagar a Pegaso PCS por servicios de terminación del servicio local en usuarios móviles</w:t>
      </w:r>
    </w:p>
    <w:p w14:paraId="4EE3EAC8" w14:textId="7230014C" w:rsidR="00800959" w:rsidRPr="00800959" w:rsidRDefault="003D12F5" w:rsidP="00800959">
      <w:pPr>
        <w:spacing w:before="240" w:after="240"/>
        <w:rPr>
          <w:rFonts w:ascii="ITC Avant Garde" w:hAnsi="ITC Avant Garde"/>
          <w:b/>
        </w:rPr>
      </w:pPr>
      <w:r w:rsidRPr="00800959">
        <w:rPr>
          <w:rFonts w:ascii="ITC Avant Garde" w:hAnsi="ITC Avant Garde"/>
          <w:b/>
        </w:rPr>
        <w:t>Argumentos de Pegaso PCS</w:t>
      </w:r>
    </w:p>
    <w:p w14:paraId="2074D377" w14:textId="77777777" w:rsidR="00800959" w:rsidRPr="00800959" w:rsidRDefault="00E25581" w:rsidP="00800959">
      <w:pPr>
        <w:spacing w:before="240" w:after="240"/>
        <w:jc w:val="both"/>
        <w:rPr>
          <w:rFonts w:ascii="ITC Avant Garde" w:hAnsi="ITC Avant Garde"/>
        </w:rPr>
      </w:pPr>
      <w:r w:rsidRPr="00800959">
        <w:rPr>
          <w:rFonts w:ascii="ITC Avant Garde" w:hAnsi="ITC Avant Garde"/>
        </w:rPr>
        <w:t>Pegaso PCS manifiesta la improcedencia del desacuerdo toda vez que Mega Cable mediant</w:t>
      </w:r>
      <w:r w:rsidR="00531B6C" w:rsidRPr="00800959">
        <w:rPr>
          <w:rFonts w:ascii="ITC Avant Garde" w:hAnsi="ITC Avant Garde"/>
        </w:rPr>
        <w:t>e su escrito de desahogo</w:t>
      </w:r>
      <w:r w:rsidR="00341A06" w:rsidRPr="00800959">
        <w:rPr>
          <w:rFonts w:ascii="ITC Avant Garde" w:hAnsi="ITC Avant Garde"/>
        </w:rPr>
        <w:t xml:space="preserve"> de prevención</w:t>
      </w:r>
      <w:r w:rsidR="00531B6C" w:rsidRPr="00800959">
        <w:rPr>
          <w:rFonts w:ascii="ITC Avant Garde" w:hAnsi="ITC Avant Garde"/>
        </w:rPr>
        <w:t>, mejoró su vía y solicitó</w:t>
      </w:r>
      <w:r w:rsidRPr="00800959">
        <w:rPr>
          <w:rFonts w:ascii="ITC Avant Garde" w:hAnsi="ITC Avant Garde"/>
        </w:rPr>
        <w:t xml:space="preserve"> una condición que excluyó de su ocurso inicial</w:t>
      </w:r>
      <w:r w:rsidR="00531B6C" w:rsidRPr="00800959">
        <w:rPr>
          <w:rFonts w:ascii="ITC Avant Garde" w:hAnsi="ITC Avant Garde"/>
        </w:rPr>
        <w:t>.</w:t>
      </w:r>
    </w:p>
    <w:p w14:paraId="2834AA4E" w14:textId="77777777" w:rsidR="00800959" w:rsidRPr="00800959" w:rsidRDefault="003D12F5" w:rsidP="00800959">
      <w:pPr>
        <w:spacing w:before="240" w:after="240"/>
        <w:jc w:val="both"/>
        <w:rPr>
          <w:rFonts w:ascii="ITC Avant Garde" w:hAnsi="ITC Avant Garde"/>
          <w:b/>
        </w:rPr>
      </w:pPr>
      <w:r w:rsidRPr="00800959">
        <w:rPr>
          <w:rFonts w:ascii="ITC Avant Garde" w:hAnsi="ITC Avant Garde"/>
          <w:b/>
        </w:rPr>
        <w:t>Consideraciones del Instituto</w:t>
      </w:r>
    </w:p>
    <w:p w14:paraId="0494EFF9" w14:textId="3CE13ED8" w:rsidR="00863F59" w:rsidRPr="00800959" w:rsidRDefault="00863F59" w:rsidP="00800959">
      <w:pPr>
        <w:spacing w:before="240" w:after="240"/>
        <w:jc w:val="both"/>
        <w:rPr>
          <w:rFonts w:ascii="ITC Avant Garde" w:hAnsi="ITC Avant Garde" w:cs="Calibri"/>
        </w:rPr>
      </w:pPr>
      <w:r w:rsidRPr="00800959">
        <w:rPr>
          <w:rFonts w:ascii="ITC Avant Garde" w:eastAsia="Times New Roman" w:hAnsi="ITC Avant Garde"/>
        </w:rPr>
        <w:t xml:space="preserve">Al respecto, cabe señalar que este Instituto sigue </w:t>
      </w:r>
      <w:r w:rsidRPr="00800959">
        <w:rPr>
          <w:rFonts w:ascii="ITC Avant Garde" w:hAnsi="ITC Avant Garde" w:cs="Calibri"/>
        </w:rPr>
        <w:t>una serie de reglas formales a fin de lograr la seguridad jurídica, a través de la legalidad; sin embargo, ningún requisito formal puede convertirse en un obstáculo que impida injustificadamente un pronunciamiento sobre el fondo,</w:t>
      </w:r>
      <w:r w:rsidR="002408E5" w:rsidRPr="00800959">
        <w:rPr>
          <w:rFonts w:ascii="ITC Avant Garde" w:hAnsi="ITC Avant Garde" w:cs="Calibri"/>
        </w:rPr>
        <w:t xml:space="preserve"> máxime que en el presente caso al desahogar el requerimiento Mega Cable refirió las condiciones de interconexión no convenidas y que solicita al Instituto resuelva en los términos que establece la</w:t>
      </w:r>
      <w:r w:rsidRPr="00800959">
        <w:rPr>
          <w:rFonts w:ascii="ITC Avant Garde" w:hAnsi="ITC Avant Garde" w:cs="Calibri"/>
        </w:rPr>
        <w:t xml:space="preserve"> </w:t>
      </w:r>
      <w:r w:rsidR="002408E5" w:rsidRPr="00800959">
        <w:rPr>
          <w:rFonts w:ascii="ITC Avant Garde" w:hAnsi="ITC Avant Garde" w:cs="Calibri"/>
        </w:rPr>
        <w:t xml:space="preserve">LFTR, </w:t>
      </w:r>
      <w:r w:rsidRPr="00800959">
        <w:rPr>
          <w:rFonts w:ascii="ITC Avant Garde" w:hAnsi="ITC Avant Garde" w:cs="Calibri"/>
        </w:rPr>
        <w:t xml:space="preserve">pues debe cumplirse con el derecho de acceso a la justicia. </w:t>
      </w:r>
    </w:p>
    <w:p w14:paraId="67246DC5" w14:textId="2E852F8B" w:rsidR="00863F59" w:rsidRPr="00800959" w:rsidRDefault="00863F59" w:rsidP="00800959">
      <w:pPr>
        <w:spacing w:before="240" w:after="240"/>
        <w:jc w:val="both"/>
        <w:rPr>
          <w:rFonts w:ascii="ITC Avant Garde" w:hAnsi="ITC Avant Garde" w:cs="Calibri"/>
        </w:rPr>
      </w:pPr>
      <w:r w:rsidRPr="00800959">
        <w:rPr>
          <w:rFonts w:ascii="ITC Avant Garde" w:hAnsi="ITC Avant Garde" w:cs="Calibri"/>
        </w:rPr>
        <w:t>En virtud de lo anterior, conforme a</w:t>
      </w:r>
      <w:r w:rsidRPr="00800959">
        <w:rPr>
          <w:rFonts w:ascii="ITC Avant Garde" w:eastAsiaTheme="minorHAnsi" w:hAnsi="ITC Avant Garde" w:cstheme="minorBidi"/>
        </w:rPr>
        <w:t xml:space="preserve"> los artículos 15 y 17-A de la LFPA de aplicación supletoria en términos del artículo 6, fracción IV de la </w:t>
      </w:r>
      <w:r w:rsidRPr="00800959">
        <w:rPr>
          <w:rFonts w:ascii="ITC Avant Garde" w:hAnsi="ITC Avant Garde"/>
        </w:rPr>
        <w:t>LFT</w:t>
      </w:r>
      <w:r w:rsidRPr="00800959">
        <w:rPr>
          <w:rFonts w:ascii="ITC Avant Garde" w:eastAsiaTheme="minorHAnsi" w:hAnsi="ITC Avant Garde" w:cstheme="minorBidi"/>
        </w:rPr>
        <w:t>R</w:t>
      </w:r>
      <w:r w:rsidRPr="00800959">
        <w:rPr>
          <w:rFonts w:ascii="ITC Avant Garde" w:hAnsi="ITC Avant Garde"/>
        </w:rPr>
        <w:t xml:space="preserve">, </w:t>
      </w:r>
      <w:r w:rsidRPr="00800959">
        <w:rPr>
          <w:rFonts w:ascii="ITC Avant Garde" w:hAnsi="ITC Avant Garde" w:cs="Calibri"/>
        </w:rPr>
        <w:t xml:space="preserve">previo a tener por no presentada una solicitud o desecharla por no haberse cumplido un requisito, se debe prevenir al quejoso para que realice las aclaraciones correspondientes, toda vez que la finalidad del requisito procesal es establecer el objeto del procedimiento. Por tanto, a través del desahogo de las prevenciones realizadas, se </w:t>
      </w:r>
      <w:r w:rsidRPr="00800959">
        <w:rPr>
          <w:rFonts w:ascii="ITC Avant Garde" w:eastAsiaTheme="minorHAnsi" w:hAnsi="ITC Avant Garde" w:cstheme="minorBidi"/>
        </w:rPr>
        <w:t>precis</w:t>
      </w:r>
      <w:r w:rsidRPr="00800959">
        <w:rPr>
          <w:rFonts w:ascii="ITC Avant Garde" w:hAnsi="ITC Avant Garde"/>
        </w:rPr>
        <w:t>aron</w:t>
      </w:r>
      <w:r w:rsidRPr="00800959">
        <w:rPr>
          <w:rFonts w:ascii="ITC Avant Garde" w:eastAsiaTheme="minorHAnsi" w:hAnsi="ITC Avant Garde" w:cstheme="minorBidi"/>
        </w:rPr>
        <w:t xml:space="preserve"> los </w:t>
      </w:r>
      <w:r w:rsidRPr="00800959">
        <w:rPr>
          <w:rFonts w:ascii="ITC Avant Garde" w:hAnsi="ITC Avant Garde"/>
        </w:rPr>
        <w:t>términos, condiciones y tarifas</w:t>
      </w:r>
      <w:r w:rsidRPr="00800959">
        <w:rPr>
          <w:rFonts w:ascii="ITC Avant Garde" w:eastAsiaTheme="minorHAnsi" w:hAnsi="ITC Avant Garde" w:cstheme="minorBidi"/>
        </w:rPr>
        <w:t xml:space="preserve"> de interconexión </w:t>
      </w:r>
      <w:r w:rsidRPr="00800959">
        <w:rPr>
          <w:rFonts w:ascii="ITC Avant Garde" w:hAnsi="ITC Avant Garde"/>
        </w:rPr>
        <w:t>no convenidas entre Mega Cable y</w:t>
      </w:r>
      <w:r w:rsidRPr="00800959">
        <w:rPr>
          <w:rFonts w:ascii="ITC Avant Garde" w:eastAsiaTheme="minorHAnsi" w:hAnsi="ITC Avant Garde" w:cstheme="minorBidi"/>
        </w:rPr>
        <w:t xml:space="preserve"> Pegaso</w:t>
      </w:r>
      <w:r w:rsidRPr="00800959">
        <w:rPr>
          <w:rFonts w:ascii="ITC Avant Garde" w:hAnsi="ITC Avant Garde"/>
        </w:rPr>
        <w:t xml:space="preserve"> PCS.</w:t>
      </w:r>
    </w:p>
    <w:p w14:paraId="5C3EDB18" w14:textId="77777777" w:rsidR="00800959" w:rsidRPr="00800959" w:rsidRDefault="00863F59" w:rsidP="00800959">
      <w:pPr>
        <w:spacing w:before="240" w:after="240"/>
        <w:jc w:val="both"/>
        <w:rPr>
          <w:rFonts w:ascii="ITC Avant Garde" w:eastAsia="Times New Roman" w:hAnsi="ITC Avant Garde"/>
        </w:rPr>
      </w:pPr>
      <w:r w:rsidRPr="00800959">
        <w:rPr>
          <w:rFonts w:ascii="ITC Avant Garde" w:hAnsi="ITC Avant Garde" w:cs="Calibri"/>
        </w:rPr>
        <w:t>En este sentido</w:t>
      </w:r>
      <w:r w:rsidRPr="00800959">
        <w:rPr>
          <w:rFonts w:ascii="ITC Avant Garde" w:eastAsia="Times New Roman" w:hAnsi="ITC Avant Garde"/>
        </w:rPr>
        <w:t>,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B94D6AD" w14:textId="77777777" w:rsidR="00800959" w:rsidRPr="00800959" w:rsidRDefault="00863F59" w:rsidP="00800959">
      <w:pPr>
        <w:spacing w:before="240" w:after="240"/>
        <w:jc w:val="both"/>
        <w:rPr>
          <w:rFonts w:ascii="ITC Avant Garde" w:eastAsia="Times New Roman" w:hAnsi="ITC Avant Garde"/>
        </w:rPr>
      </w:pPr>
      <w:r w:rsidRPr="00800959">
        <w:rPr>
          <w:rFonts w:ascii="ITC Avant Garde" w:eastAsia="Times New Roman" w:hAnsi="ITC Avant Garde"/>
        </w:rPr>
        <w:t xml:space="preserve">Lo anterior máxime que las Resoluciones que emite este Instituto son de interés público, más aún si consideramos que la misma LFTR en su artículo 125 indica que la interconexión de las redes públicas de telecomunicaciones, sus tarifas, términos y condiciones, son de orden público e interés social, las cuales se encuentran </w:t>
      </w:r>
      <w:r w:rsidRPr="00800959">
        <w:rPr>
          <w:rFonts w:ascii="ITC Avant Garde" w:hAnsi="ITC Avant Garde"/>
        </w:rPr>
        <w:t xml:space="preserve">alineadas a los principios de </w:t>
      </w:r>
      <w:r w:rsidRPr="00800959">
        <w:rPr>
          <w:rFonts w:ascii="ITC Avant Garde" w:hAnsi="ITC Avant Garde"/>
        </w:rPr>
        <w:lastRenderedPageBreak/>
        <w:t>congruencia y exhaustividad, ya que se analizan y en su caso, se resuelven todas las cuestiones planteadas por las partes de conformidad con el artículo 59 de la LFPA.</w:t>
      </w:r>
    </w:p>
    <w:p w14:paraId="680064B8" w14:textId="77777777" w:rsidR="00800959" w:rsidRPr="00800959" w:rsidRDefault="008412F4" w:rsidP="00800959">
      <w:pPr>
        <w:spacing w:before="240" w:after="240"/>
        <w:jc w:val="both"/>
        <w:rPr>
          <w:rFonts w:ascii="ITC Avant Garde" w:hAnsi="ITC Avant Garde"/>
        </w:rPr>
      </w:pPr>
      <w:r w:rsidRPr="00800959">
        <w:rPr>
          <w:rFonts w:ascii="ITC Avant Garde" w:hAnsi="ITC Avant Garde"/>
          <w:b/>
        </w:rPr>
        <w:t xml:space="preserve">C) </w:t>
      </w:r>
      <w:r w:rsidR="0067156B" w:rsidRPr="00800959">
        <w:rPr>
          <w:rFonts w:ascii="ITC Avant Garde" w:hAnsi="ITC Avant Garde"/>
          <w:b/>
        </w:rPr>
        <w:t>Improcedencia del presente desacuerdo toda vez que</w:t>
      </w:r>
      <w:r w:rsidR="00047424" w:rsidRPr="00800959">
        <w:rPr>
          <w:rFonts w:ascii="ITC Avant Garde" w:hAnsi="ITC Avant Garde"/>
          <w:b/>
        </w:rPr>
        <w:t xml:space="preserve"> Grupo</w:t>
      </w:r>
      <w:r w:rsidR="0067156B" w:rsidRPr="00800959">
        <w:rPr>
          <w:rFonts w:ascii="ITC Avant Garde" w:hAnsi="ITC Avant Garde"/>
          <w:b/>
        </w:rPr>
        <w:t xml:space="preserve"> Telecomunicaciones Mexicanas</w:t>
      </w:r>
      <w:r w:rsidR="00047424" w:rsidRPr="00800959">
        <w:rPr>
          <w:rFonts w:ascii="ITC Avant Garde" w:hAnsi="ITC Avant Garde"/>
          <w:b/>
        </w:rPr>
        <w:t xml:space="preserve"> (GTM)</w:t>
      </w:r>
      <w:r w:rsidR="0067156B" w:rsidRPr="00800959">
        <w:rPr>
          <w:rFonts w:ascii="ITC Avant Garde" w:hAnsi="ITC Avant Garde"/>
          <w:b/>
        </w:rPr>
        <w:t xml:space="preserve"> ya no es titular de las concesiones para prestar el servicio local fijo.</w:t>
      </w:r>
    </w:p>
    <w:p w14:paraId="095C7017" w14:textId="77777777" w:rsidR="00800959" w:rsidRPr="00800959" w:rsidRDefault="0067156B" w:rsidP="00800959">
      <w:pPr>
        <w:spacing w:before="240" w:after="240"/>
        <w:rPr>
          <w:rFonts w:ascii="ITC Avant Garde" w:hAnsi="ITC Avant Garde"/>
          <w:b/>
        </w:rPr>
      </w:pPr>
      <w:r w:rsidRPr="00800959">
        <w:rPr>
          <w:rFonts w:ascii="ITC Avant Garde" w:hAnsi="ITC Avant Garde"/>
          <w:b/>
        </w:rPr>
        <w:t xml:space="preserve">Argumentos de Pegaso </w:t>
      </w:r>
      <w:r w:rsidR="001C7B49" w:rsidRPr="00800959">
        <w:rPr>
          <w:rFonts w:ascii="ITC Avant Garde" w:hAnsi="ITC Avant Garde"/>
          <w:b/>
        </w:rPr>
        <w:t>PCS</w:t>
      </w:r>
    </w:p>
    <w:p w14:paraId="0044819A"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rPr>
        <w:t>Pegaso</w:t>
      </w:r>
      <w:r w:rsidR="00047424" w:rsidRPr="00800959">
        <w:rPr>
          <w:rFonts w:ascii="ITC Avant Garde" w:hAnsi="ITC Avant Garde"/>
        </w:rPr>
        <w:t xml:space="preserve"> PCS</w:t>
      </w:r>
      <w:r w:rsidRPr="00800959">
        <w:rPr>
          <w:rFonts w:ascii="ITC Avant Garde" w:hAnsi="ITC Avant Garde"/>
        </w:rPr>
        <w:t xml:space="preserve"> manifiesta la improcedencia del desacuerdo identificado con el número de exp</w:t>
      </w:r>
      <w:r w:rsidR="004060BB" w:rsidRPr="00800959">
        <w:rPr>
          <w:rFonts w:ascii="ITC Avant Garde" w:hAnsi="ITC Avant Garde"/>
        </w:rPr>
        <w:t>ediente IFT/221/UPR/DG-RIRST/190.</w:t>
      </w:r>
      <w:r w:rsidRPr="00800959">
        <w:rPr>
          <w:rFonts w:ascii="ITC Avant Garde" w:hAnsi="ITC Avant Garde"/>
        </w:rPr>
        <w:t>07</w:t>
      </w:r>
      <w:r w:rsidR="004060BB" w:rsidRPr="00800959">
        <w:rPr>
          <w:rFonts w:ascii="ITC Avant Garde" w:hAnsi="ITC Avant Garde"/>
        </w:rPr>
        <w:t>11</w:t>
      </w:r>
      <w:r w:rsidRPr="00800959">
        <w:rPr>
          <w:rFonts w:ascii="ITC Avant Garde" w:hAnsi="ITC Avant Garde"/>
        </w:rPr>
        <w:t>17/ITX ya que como el propio Instituto reconoció en el A</w:t>
      </w:r>
      <w:r w:rsidR="004060BB" w:rsidRPr="00800959">
        <w:rPr>
          <w:rFonts w:ascii="ITC Avant Garde" w:hAnsi="ITC Avant Garde"/>
        </w:rPr>
        <w:t>cuerdo 06/12</w:t>
      </w:r>
      <w:r w:rsidRPr="00800959">
        <w:rPr>
          <w:rFonts w:ascii="ITC Avant Garde" w:hAnsi="ITC Avant Garde"/>
        </w:rPr>
        <w:t xml:space="preserve">/002/2017 de fecha </w:t>
      </w:r>
      <w:r w:rsidR="004060BB" w:rsidRPr="00800959">
        <w:rPr>
          <w:rFonts w:ascii="ITC Avant Garde" w:hAnsi="ITC Avant Garde"/>
        </w:rPr>
        <w:t xml:space="preserve">6 </w:t>
      </w:r>
      <w:r w:rsidRPr="00800959">
        <w:rPr>
          <w:rFonts w:ascii="ITC Avant Garde" w:hAnsi="ITC Avant Garde"/>
        </w:rPr>
        <w:t xml:space="preserve">de </w:t>
      </w:r>
      <w:r w:rsidR="004060BB" w:rsidRPr="00800959">
        <w:rPr>
          <w:rFonts w:ascii="ITC Avant Garde" w:hAnsi="ITC Avant Garde"/>
        </w:rPr>
        <w:t>diciembre</w:t>
      </w:r>
      <w:r w:rsidRPr="00800959">
        <w:rPr>
          <w:rFonts w:ascii="ITC Avant Garde" w:hAnsi="ITC Avant Garde"/>
        </w:rPr>
        <w:t xml:space="preserve"> de 2017, por virtud de la fusión entre Pegaso</w:t>
      </w:r>
      <w:r w:rsidR="00047424" w:rsidRPr="00800959">
        <w:rPr>
          <w:rFonts w:ascii="ITC Avant Garde" w:hAnsi="ITC Avant Garde"/>
        </w:rPr>
        <w:t xml:space="preserve"> PCS</w:t>
      </w:r>
      <w:r w:rsidRPr="00800959">
        <w:rPr>
          <w:rFonts w:ascii="ITC Avant Garde" w:hAnsi="ITC Avant Garde"/>
        </w:rPr>
        <w:t xml:space="preserve"> y GTM, Pegaso</w:t>
      </w:r>
      <w:r w:rsidR="00047424" w:rsidRPr="00800959">
        <w:rPr>
          <w:rFonts w:ascii="ITC Avant Garde" w:hAnsi="ITC Avant Garde"/>
        </w:rPr>
        <w:t xml:space="preserve"> PCS</w:t>
      </w:r>
      <w:r w:rsidRPr="00800959">
        <w:rPr>
          <w:rFonts w:ascii="ITC Avant Garde" w:hAnsi="ITC Avant Garde"/>
        </w:rPr>
        <w:t xml:space="preserve"> en su calidad de </w:t>
      </w:r>
      <w:proofErr w:type="spellStart"/>
      <w:r w:rsidRPr="00800959">
        <w:rPr>
          <w:rFonts w:ascii="ITC Avant Garde" w:hAnsi="ITC Avant Garde"/>
        </w:rPr>
        <w:t>fusionante</w:t>
      </w:r>
      <w:proofErr w:type="spellEnd"/>
      <w:r w:rsidRPr="00800959">
        <w:rPr>
          <w:rFonts w:ascii="ITC Avant Garde" w:hAnsi="ITC Avant Garde"/>
        </w:rPr>
        <w:t xml:space="preserve"> se constituyó como titular de las concesiones originalmente otorgadas a GTM, así como causahabiente de todos los derechos y obligaciones derivados de los convenios de interconexión que en su momento fueron suscritos.</w:t>
      </w:r>
    </w:p>
    <w:p w14:paraId="50B7BD5F"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rPr>
        <w:t xml:space="preserve">Consecuentemente, Pegaso </w:t>
      </w:r>
      <w:r w:rsidR="00047424" w:rsidRPr="00800959">
        <w:rPr>
          <w:rFonts w:ascii="ITC Avant Garde" w:hAnsi="ITC Avant Garde"/>
        </w:rPr>
        <w:t xml:space="preserve">PCS </w:t>
      </w:r>
      <w:r w:rsidRPr="00800959">
        <w:rPr>
          <w:rFonts w:ascii="ITC Avant Garde" w:hAnsi="ITC Avant Garde"/>
        </w:rPr>
        <w:t>señala que al resultar que GTM ya no es titular de las concesiones para presentar el servicio local fijo, ya que éstas fueron cedidas a Pegaso</w:t>
      </w:r>
      <w:r w:rsidR="00047424" w:rsidRPr="00800959">
        <w:rPr>
          <w:rFonts w:ascii="ITC Avant Garde" w:hAnsi="ITC Avant Garde"/>
        </w:rPr>
        <w:t xml:space="preserve"> PCS</w:t>
      </w:r>
      <w:r w:rsidRPr="00800959">
        <w:rPr>
          <w:rFonts w:ascii="ITC Avant Garde" w:hAnsi="ITC Avant Garde"/>
        </w:rPr>
        <w:t xml:space="preserve"> por virtud de la fusión entre las citadas empresas, y de que ya existe un procedimiento en el que se resolverán las tarifas por terminación en la red fija de los concesionarios, el desacuerdo identificado con el número de exp</w:t>
      </w:r>
      <w:r w:rsidR="00047424" w:rsidRPr="00800959">
        <w:rPr>
          <w:rFonts w:ascii="ITC Avant Garde" w:hAnsi="ITC Avant Garde"/>
        </w:rPr>
        <w:t>ediente IFT/221/UPR/DG-RIRST/190.0</w:t>
      </w:r>
      <w:r w:rsidRPr="00800959">
        <w:rPr>
          <w:rFonts w:ascii="ITC Avant Garde" w:hAnsi="ITC Avant Garde"/>
        </w:rPr>
        <w:t>7</w:t>
      </w:r>
      <w:r w:rsidR="00047424" w:rsidRPr="00800959">
        <w:rPr>
          <w:rFonts w:ascii="ITC Avant Garde" w:hAnsi="ITC Avant Garde"/>
        </w:rPr>
        <w:t>11</w:t>
      </w:r>
      <w:r w:rsidRPr="00800959">
        <w:rPr>
          <w:rFonts w:ascii="ITC Avant Garde" w:hAnsi="ITC Avant Garde"/>
        </w:rPr>
        <w:t>17/ITX es totalmente improcedente y se debe desechar.</w:t>
      </w:r>
    </w:p>
    <w:p w14:paraId="01EDBDC9" w14:textId="77777777" w:rsidR="00800959" w:rsidRPr="00800959" w:rsidRDefault="0067156B" w:rsidP="00800959">
      <w:pPr>
        <w:spacing w:before="240" w:after="240"/>
        <w:rPr>
          <w:rFonts w:ascii="ITC Avant Garde" w:hAnsi="ITC Avant Garde"/>
          <w:b/>
        </w:rPr>
      </w:pPr>
      <w:r w:rsidRPr="00800959">
        <w:rPr>
          <w:rFonts w:ascii="ITC Avant Garde" w:hAnsi="ITC Avant Garde"/>
          <w:b/>
        </w:rPr>
        <w:t>Consideraciones del Instituto</w:t>
      </w:r>
    </w:p>
    <w:p w14:paraId="61C734E5" w14:textId="77777777" w:rsidR="00800959" w:rsidRPr="00800959" w:rsidRDefault="0067156B" w:rsidP="00800959">
      <w:pPr>
        <w:tabs>
          <w:tab w:val="left" w:pos="142"/>
        </w:tabs>
        <w:spacing w:before="240" w:after="240"/>
        <w:ind w:right="23"/>
        <w:jc w:val="both"/>
        <w:rPr>
          <w:rFonts w:ascii="ITC Avant Garde" w:hAnsi="ITC Avant Garde"/>
          <w:bCs/>
        </w:rPr>
      </w:pPr>
      <w:r w:rsidRPr="00800959">
        <w:rPr>
          <w:rFonts w:ascii="ITC Avant Garde" w:hAnsi="ITC Avant Garde"/>
          <w:bCs/>
        </w:rPr>
        <w:t xml:space="preserve">Sobre el particular, cabe precisar que si bien es cierto que mediante escrito de fecha 11 de enero de 2017, el representante legal de Pegaso </w:t>
      </w:r>
      <w:r w:rsidR="003D12F5" w:rsidRPr="00800959">
        <w:rPr>
          <w:rFonts w:ascii="ITC Avant Garde" w:hAnsi="ITC Avant Garde"/>
          <w:bCs/>
        </w:rPr>
        <w:t xml:space="preserve">PCS </w:t>
      </w:r>
      <w:r w:rsidRPr="00800959">
        <w:rPr>
          <w:rFonts w:ascii="ITC Avant Garde" w:hAnsi="ITC Avant Garde"/>
          <w:bCs/>
        </w:rPr>
        <w:t>dio a conocer a la Unidad de Concesiones y Servicios del Instituto la fusión por absorción de fecha 31 de</w:t>
      </w:r>
      <w:r w:rsidR="00EB3E83" w:rsidRPr="00800959">
        <w:rPr>
          <w:rFonts w:ascii="ITC Avant Garde" w:hAnsi="ITC Avant Garde"/>
          <w:bCs/>
        </w:rPr>
        <w:t xml:space="preserve"> diciembre de 2016 entre Pegaso PCS </w:t>
      </w:r>
      <w:r w:rsidRPr="00800959">
        <w:rPr>
          <w:rFonts w:ascii="ITC Avant Garde" w:hAnsi="ITC Avant Garde"/>
          <w:bCs/>
        </w:rPr>
        <w:t xml:space="preserve">en su carácter de </w:t>
      </w:r>
      <w:proofErr w:type="spellStart"/>
      <w:r w:rsidRPr="00800959">
        <w:rPr>
          <w:rFonts w:ascii="ITC Avant Garde" w:hAnsi="ITC Avant Garde"/>
          <w:bCs/>
        </w:rPr>
        <w:t>fusionante</w:t>
      </w:r>
      <w:proofErr w:type="spellEnd"/>
      <w:r w:rsidRPr="00800959">
        <w:rPr>
          <w:rFonts w:ascii="ITC Avant Garde" w:hAnsi="ITC Avant Garde"/>
          <w:bCs/>
        </w:rPr>
        <w:t xml:space="preserve"> y GTM en su carácter de fusionada, también es cierto que omitió realizar el trámite referido en el numeral 2.5 del Acuerdo del Sistema, mediante el cual se estableció el SESI, en el que se estableció lo siguiente:</w:t>
      </w:r>
    </w:p>
    <w:p w14:paraId="6EF872C3" w14:textId="18968709" w:rsidR="0067156B" w:rsidRPr="00800959" w:rsidRDefault="0067156B" w:rsidP="00800959">
      <w:pPr>
        <w:pStyle w:val="Piedepgina"/>
        <w:widowControl w:val="0"/>
        <w:tabs>
          <w:tab w:val="left" w:pos="720"/>
        </w:tabs>
        <w:spacing w:before="240" w:after="240" w:line="276" w:lineRule="auto"/>
        <w:ind w:left="567" w:right="615"/>
        <w:jc w:val="both"/>
        <w:rPr>
          <w:rFonts w:ascii="ITC Avant Garde" w:hAnsi="ITC Avant Garde" w:cs="Arial"/>
          <w:sz w:val="18"/>
          <w:szCs w:val="18"/>
        </w:rPr>
      </w:pPr>
      <w:r w:rsidRPr="00800959">
        <w:rPr>
          <w:rFonts w:ascii="ITC Avant Garde" w:hAnsi="ITC Avant Garde" w:cs="Arial"/>
          <w:sz w:val="18"/>
          <w:szCs w:val="18"/>
        </w:rPr>
        <w:t xml:space="preserve"> “</w:t>
      </w:r>
      <w:r w:rsidRPr="00800959">
        <w:rPr>
          <w:rFonts w:ascii="ITC Avant Garde" w:hAnsi="ITC Avant Garde" w:cs="Arial"/>
          <w:b/>
          <w:sz w:val="18"/>
          <w:szCs w:val="18"/>
        </w:rPr>
        <w:t>2.</w:t>
      </w:r>
      <w:r w:rsidRPr="00800959">
        <w:rPr>
          <w:rFonts w:ascii="ITC Avant Garde" w:hAnsi="ITC Avant Garde" w:cs="Arial"/>
          <w:sz w:val="18"/>
          <w:szCs w:val="18"/>
        </w:rPr>
        <w:t xml:space="preserve"> Sistema Electrónico de Solicitudes de Interconexión.</w:t>
      </w:r>
    </w:p>
    <w:p w14:paraId="4C57A238" w14:textId="77777777" w:rsidR="0067156B" w:rsidRPr="00800959" w:rsidRDefault="0067156B" w:rsidP="00800959">
      <w:pPr>
        <w:pStyle w:val="Piedepgina"/>
        <w:widowControl w:val="0"/>
        <w:tabs>
          <w:tab w:val="left" w:pos="720"/>
        </w:tabs>
        <w:spacing w:before="240" w:after="240" w:line="276" w:lineRule="auto"/>
        <w:ind w:left="567" w:right="615"/>
        <w:jc w:val="both"/>
        <w:rPr>
          <w:rFonts w:ascii="ITC Avant Garde" w:hAnsi="ITC Avant Garde" w:cs="Arial"/>
          <w:sz w:val="18"/>
          <w:szCs w:val="18"/>
        </w:rPr>
      </w:pPr>
      <w:r w:rsidRPr="00800959">
        <w:rPr>
          <w:rFonts w:ascii="ITC Avant Garde" w:hAnsi="ITC Avant Garde" w:cs="Arial"/>
          <w:sz w:val="18"/>
          <w:szCs w:val="18"/>
        </w:rPr>
        <w:t xml:space="preserve"> (…)</w:t>
      </w:r>
    </w:p>
    <w:p w14:paraId="58F71017" w14:textId="77777777" w:rsidR="0067156B" w:rsidRPr="00800959" w:rsidRDefault="0067156B" w:rsidP="00800959">
      <w:pPr>
        <w:pStyle w:val="Piedepgina"/>
        <w:widowControl w:val="0"/>
        <w:tabs>
          <w:tab w:val="left" w:pos="720"/>
        </w:tabs>
        <w:spacing w:before="240" w:after="240" w:line="276" w:lineRule="auto"/>
        <w:ind w:left="567" w:right="615"/>
        <w:jc w:val="both"/>
        <w:rPr>
          <w:rFonts w:ascii="ITC Avant Garde" w:hAnsi="ITC Avant Garde" w:cs="Arial"/>
          <w:sz w:val="18"/>
          <w:szCs w:val="18"/>
        </w:rPr>
      </w:pPr>
      <w:r w:rsidRPr="00800959">
        <w:rPr>
          <w:rFonts w:ascii="ITC Avant Garde" w:hAnsi="ITC Avant Garde" w:cs="Arial"/>
          <w:sz w:val="18"/>
          <w:szCs w:val="18"/>
        </w:rPr>
        <w:br/>
      </w:r>
      <w:r w:rsidRPr="00800959">
        <w:rPr>
          <w:rFonts w:ascii="ITC Avant Garde" w:hAnsi="ITC Avant Garde" w:cs="Arial"/>
          <w:b/>
          <w:sz w:val="18"/>
          <w:szCs w:val="18"/>
        </w:rPr>
        <w:t>2.5.</w:t>
      </w:r>
      <w:r w:rsidRPr="00800959">
        <w:rPr>
          <w:rFonts w:ascii="ITC Avant Garde" w:hAnsi="ITC Avant Garde" w:cs="Arial"/>
          <w:sz w:val="18"/>
          <w:szCs w:val="18"/>
        </w:rPr>
        <w:t xml:space="preserve"> Los concesionarios serán los responsables de mantener actualizados los datos de identificación relacionados con sus representantes legales, domicilio, correo electrónico y demás datos acreditados en el Sistema. Cualquier cambio a la información de acceso para cada concesionario deberá notificarse al Instituto mediante la presentación de un nuevo Formato de Solicitud y la consecuente entrega de la documentación que acredite el cambio de la información de acceso, dentro de un plazo no mayor a diez (10) días hábiles a que </w:t>
      </w:r>
      <w:r w:rsidRPr="00800959">
        <w:rPr>
          <w:rFonts w:ascii="ITC Avant Garde" w:hAnsi="ITC Avant Garde" w:cs="Arial"/>
          <w:sz w:val="18"/>
          <w:szCs w:val="18"/>
        </w:rPr>
        <w:lastRenderedPageBreak/>
        <w:t>ocurra.</w:t>
      </w:r>
    </w:p>
    <w:p w14:paraId="1EA0949B" w14:textId="77777777" w:rsidR="00800959" w:rsidRPr="00800959" w:rsidRDefault="0067156B" w:rsidP="00800959">
      <w:pPr>
        <w:pStyle w:val="Piedepgina"/>
        <w:widowControl w:val="0"/>
        <w:tabs>
          <w:tab w:val="left" w:pos="720"/>
        </w:tabs>
        <w:spacing w:before="240" w:after="240" w:line="276" w:lineRule="auto"/>
        <w:ind w:left="567" w:right="615"/>
        <w:jc w:val="both"/>
        <w:rPr>
          <w:rFonts w:ascii="ITC Avant Garde" w:hAnsi="ITC Avant Garde" w:cs="Arial"/>
          <w:sz w:val="18"/>
          <w:szCs w:val="18"/>
        </w:rPr>
      </w:pPr>
      <w:r w:rsidRPr="00800959">
        <w:rPr>
          <w:rFonts w:ascii="ITC Avant Garde" w:hAnsi="ITC Avant Garde" w:cs="Arial"/>
          <w:sz w:val="18"/>
          <w:szCs w:val="18"/>
        </w:rPr>
        <w:t>(…)”</w:t>
      </w:r>
    </w:p>
    <w:p w14:paraId="54B7FB6B" w14:textId="77777777" w:rsidR="00800959" w:rsidRPr="00800959" w:rsidRDefault="0067156B" w:rsidP="00800959">
      <w:pPr>
        <w:spacing w:before="240" w:after="240"/>
        <w:ind w:right="49"/>
        <w:jc w:val="both"/>
        <w:rPr>
          <w:rFonts w:ascii="ITC Avant Garde" w:hAnsi="ITC Avant Garde"/>
          <w:bCs/>
        </w:rPr>
      </w:pPr>
      <w:r w:rsidRPr="00800959">
        <w:rPr>
          <w:rFonts w:ascii="ITC Avant Garde" w:hAnsi="ITC Avant Garde"/>
          <w:bCs/>
        </w:rPr>
        <w:t>Del numeral transcrito se advierte que Pegaso</w:t>
      </w:r>
      <w:r w:rsidR="00047424" w:rsidRPr="00800959">
        <w:rPr>
          <w:rFonts w:ascii="ITC Avant Garde" w:hAnsi="ITC Avant Garde"/>
          <w:bCs/>
        </w:rPr>
        <w:t xml:space="preserve"> PCS</w:t>
      </w:r>
      <w:r w:rsidRPr="00800959">
        <w:rPr>
          <w:rFonts w:ascii="ITC Avant Garde" w:hAnsi="ITC Avant Garde"/>
          <w:bCs/>
        </w:rPr>
        <w:t xml:space="preserve"> no llevó a cabo las diligencias necesarias para cumplir con dicha formalidad claramente dispuesta, la cual tiene como fin que se registre la modificación correspondiente en el SESI, permitiendo así la eficiencia de esta herramienta informática al mantener actualizados sus datos de identificación para coadyuvar al procedimiento, el cual tiene como fin atender el principio de interés público, ya que el Instituto favorecerá la pronta y efectiva interconexión entre las redes públicas de telecomunicaciones para lo cual evitará actuaciones procesales que tengan como consecuencia retrasar la interconexión efectiva entre redes públicas de telecomunicaciones </w:t>
      </w:r>
      <w:r w:rsidRPr="00800959">
        <w:rPr>
          <w:rFonts w:ascii="ITC Avant Garde" w:hAnsi="ITC Avant Garde"/>
          <w:lang w:val="es-ES_tradnl"/>
        </w:rPr>
        <w:t>o las condiciones no convenidas que permitan la prestación de los servicios públicos de telecomunicaciones, es en ese sentid</w:t>
      </w:r>
      <w:r w:rsidR="003D12F5" w:rsidRPr="00800959">
        <w:rPr>
          <w:rFonts w:ascii="ITC Avant Garde" w:hAnsi="ITC Avant Garde"/>
          <w:lang w:val="es-ES_tradnl"/>
        </w:rPr>
        <w:t xml:space="preserve">o que lo argumentado por Pegaso PCS </w:t>
      </w:r>
      <w:r w:rsidRPr="00800959">
        <w:rPr>
          <w:rFonts w:ascii="ITC Avant Garde" w:hAnsi="ITC Avant Garde"/>
          <w:lang w:val="es-ES_tradnl"/>
        </w:rPr>
        <w:t>resulta improcedente.</w:t>
      </w:r>
    </w:p>
    <w:p w14:paraId="5EF4C242" w14:textId="77777777" w:rsidR="00800959" w:rsidRPr="00800959" w:rsidRDefault="0067156B" w:rsidP="00800959">
      <w:pPr>
        <w:spacing w:before="240" w:after="240"/>
        <w:ind w:right="49"/>
        <w:jc w:val="both"/>
        <w:rPr>
          <w:rFonts w:ascii="ITC Avant Garde" w:hAnsi="ITC Avant Garde"/>
          <w:bCs/>
        </w:rPr>
      </w:pPr>
      <w:r w:rsidRPr="00800959">
        <w:rPr>
          <w:rFonts w:ascii="ITC Avant Garde" w:hAnsi="ITC Avant Garde"/>
          <w:bCs/>
        </w:rPr>
        <w:t>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LFTR.</w:t>
      </w:r>
    </w:p>
    <w:p w14:paraId="53A66A4B"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lang w:val="es-ES_tradnl" w:eastAsia="es-ES"/>
        </w:rPr>
        <w:t>Respecto del ar</w:t>
      </w:r>
      <w:r w:rsidR="00C00EC2" w:rsidRPr="00800959">
        <w:rPr>
          <w:rFonts w:ascii="ITC Avant Garde" w:hAnsi="ITC Avant Garde"/>
          <w:lang w:val="es-ES_tradnl" w:eastAsia="es-ES"/>
        </w:rPr>
        <w:t xml:space="preserve">gumento por parte de Pegaso PCS </w:t>
      </w:r>
      <w:r w:rsidRPr="00800959">
        <w:rPr>
          <w:rFonts w:ascii="ITC Avant Garde" w:hAnsi="ITC Avant Garde"/>
          <w:lang w:val="es-ES_tradnl" w:eastAsia="es-ES"/>
        </w:rPr>
        <w:t xml:space="preserve">de la </w:t>
      </w:r>
      <w:r w:rsidR="003E4650" w:rsidRPr="00800959">
        <w:rPr>
          <w:rFonts w:ascii="ITC Avant Garde" w:hAnsi="ITC Avant Garde"/>
          <w:lang w:val="es-ES_tradnl" w:eastAsia="es-ES"/>
        </w:rPr>
        <w:t xml:space="preserve">prevención contenida en el Acuerdo 09/11/001/2017 de fecha 9 de noviembre de 2017 y la </w:t>
      </w:r>
      <w:r w:rsidR="00B97F56" w:rsidRPr="00800959">
        <w:rPr>
          <w:rFonts w:ascii="ITC Avant Garde" w:hAnsi="ITC Avant Garde"/>
          <w:lang w:val="es-ES_tradnl" w:eastAsia="es-ES"/>
        </w:rPr>
        <w:t>admisión contenida en el Acuerdo 06/12</w:t>
      </w:r>
      <w:r w:rsidRPr="00800959">
        <w:rPr>
          <w:rFonts w:ascii="ITC Avant Garde" w:hAnsi="ITC Avant Garde"/>
          <w:lang w:val="es-ES_tradnl" w:eastAsia="es-ES"/>
        </w:rPr>
        <w:t>/002/2017</w:t>
      </w:r>
      <w:r w:rsidR="00B97F56" w:rsidRPr="00800959">
        <w:rPr>
          <w:rFonts w:ascii="ITC Avant Garde" w:hAnsi="ITC Avant Garde"/>
          <w:lang w:val="es-ES_tradnl" w:eastAsia="es-ES"/>
        </w:rPr>
        <w:t xml:space="preserve"> de fecha 6</w:t>
      </w:r>
      <w:r w:rsidRPr="00800959">
        <w:rPr>
          <w:rFonts w:ascii="ITC Avant Garde" w:hAnsi="ITC Avant Garde"/>
          <w:lang w:val="es-ES_tradnl" w:eastAsia="es-ES"/>
        </w:rPr>
        <w:t xml:space="preserve"> de </w:t>
      </w:r>
      <w:r w:rsidR="00B97F56" w:rsidRPr="00800959">
        <w:rPr>
          <w:rFonts w:ascii="ITC Avant Garde" w:hAnsi="ITC Avant Garde"/>
          <w:lang w:val="es-ES_tradnl" w:eastAsia="es-ES"/>
        </w:rPr>
        <w:t>dic</w:t>
      </w:r>
      <w:r w:rsidR="00C00EC2" w:rsidRPr="00800959">
        <w:rPr>
          <w:rFonts w:ascii="ITC Avant Garde" w:hAnsi="ITC Avant Garde"/>
          <w:lang w:val="es-ES_tradnl" w:eastAsia="es-ES"/>
        </w:rPr>
        <w:t>iembre</w:t>
      </w:r>
      <w:r w:rsidRPr="00800959">
        <w:rPr>
          <w:rFonts w:ascii="ITC Avant Garde" w:hAnsi="ITC Avant Garde"/>
          <w:lang w:val="es-ES_tradnl" w:eastAsia="es-ES"/>
        </w:rPr>
        <w:t xml:space="preserve"> de 2017 </w:t>
      </w:r>
      <w:r w:rsidRPr="00800959">
        <w:rPr>
          <w:rFonts w:ascii="ITC Avant Garde" w:hAnsi="ITC Avant Garde"/>
        </w:rPr>
        <w:t>dentro del ex</w:t>
      </w:r>
      <w:r w:rsidR="00C00EC2" w:rsidRPr="00800959">
        <w:rPr>
          <w:rFonts w:ascii="ITC Avant Garde" w:hAnsi="ITC Avant Garde"/>
        </w:rPr>
        <w:t xml:space="preserve">pediente </w:t>
      </w:r>
      <w:r w:rsidR="00B97F56" w:rsidRPr="00800959">
        <w:rPr>
          <w:rFonts w:ascii="ITC Avant Garde" w:hAnsi="ITC Avant Garde"/>
        </w:rPr>
        <w:t>I</w:t>
      </w:r>
      <w:r w:rsidR="00C00EC2" w:rsidRPr="00800959">
        <w:rPr>
          <w:rFonts w:ascii="ITC Avant Garde" w:hAnsi="ITC Avant Garde"/>
        </w:rPr>
        <w:t>FT/221/UPR/DG-RIRST/190.</w:t>
      </w:r>
      <w:r w:rsidRPr="00800959">
        <w:rPr>
          <w:rFonts w:ascii="ITC Avant Garde" w:hAnsi="ITC Avant Garde"/>
        </w:rPr>
        <w:t>07</w:t>
      </w:r>
      <w:r w:rsidR="00C00EC2" w:rsidRPr="00800959">
        <w:rPr>
          <w:rFonts w:ascii="ITC Avant Garde" w:hAnsi="ITC Avant Garde"/>
        </w:rPr>
        <w:t>11</w:t>
      </w:r>
      <w:r w:rsidRPr="00800959">
        <w:rPr>
          <w:rFonts w:ascii="ITC Avant Garde" w:hAnsi="ITC Avant Garde"/>
        </w:rPr>
        <w:t>17/ITX</w:t>
      </w:r>
      <w:r w:rsidRPr="00800959">
        <w:rPr>
          <w:rFonts w:ascii="ITC Avant Garde" w:hAnsi="ITC Avant Garde"/>
          <w:lang w:val="es-ES_tradnl" w:eastAsia="es-ES"/>
        </w:rPr>
        <w:t>, en el que se señaló la fusión de GTM y Pegaso</w:t>
      </w:r>
      <w:r w:rsidR="00C00EC2" w:rsidRPr="00800959">
        <w:rPr>
          <w:rFonts w:ascii="ITC Avant Garde" w:hAnsi="ITC Avant Garde"/>
          <w:lang w:val="es-ES_tradnl" w:eastAsia="es-ES"/>
        </w:rPr>
        <w:t xml:space="preserve"> PCS</w:t>
      </w:r>
      <w:r w:rsidRPr="00800959">
        <w:rPr>
          <w:rFonts w:ascii="ITC Avant Garde" w:hAnsi="ITC Avant Garde"/>
          <w:lang w:val="es-ES_tradnl" w:eastAsia="es-ES"/>
        </w:rPr>
        <w:t xml:space="preserve"> para quedar éste último como titular de todos los derechos y obligaciones, también resulta cierto que el desacuerdo que M</w:t>
      </w:r>
      <w:r w:rsidR="00C00EC2" w:rsidRPr="00800959">
        <w:rPr>
          <w:rFonts w:ascii="ITC Avant Garde" w:hAnsi="ITC Avant Garde"/>
          <w:lang w:val="es-ES_tradnl" w:eastAsia="es-ES"/>
        </w:rPr>
        <w:t>ega Cable</w:t>
      </w:r>
      <w:r w:rsidRPr="00800959">
        <w:rPr>
          <w:rFonts w:ascii="ITC Avant Garde" w:hAnsi="ITC Avant Garde"/>
          <w:lang w:val="es-ES_tradnl" w:eastAsia="es-ES"/>
        </w:rPr>
        <w:t xml:space="preserve"> inició con GTM, ahora Pegaso</w:t>
      </w:r>
      <w:r w:rsidR="00C00EC2" w:rsidRPr="00800959">
        <w:rPr>
          <w:rFonts w:ascii="ITC Avant Garde" w:hAnsi="ITC Avant Garde"/>
          <w:lang w:val="es-ES_tradnl" w:eastAsia="es-ES"/>
        </w:rPr>
        <w:t xml:space="preserve"> PCS</w:t>
      </w:r>
      <w:r w:rsidRPr="00800959">
        <w:rPr>
          <w:rFonts w:ascii="ITC Avant Garde" w:hAnsi="ITC Avant Garde"/>
        </w:rPr>
        <w:t>, fue sustanciado en todos sus términos y notificado a la empresa Pegaso</w:t>
      </w:r>
      <w:r w:rsidR="006C5C3E" w:rsidRPr="00800959">
        <w:rPr>
          <w:rFonts w:ascii="ITC Avant Garde" w:hAnsi="ITC Avant Garde"/>
        </w:rPr>
        <w:t xml:space="preserve"> PCS</w:t>
      </w:r>
      <w:r w:rsidRPr="00800959">
        <w:rPr>
          <w:rFonts w:ascii="ITC Avant Garde" w:hAnsi="ITC Avant Garde"/>
        </w:rPr>
        <w:t xml:space="preserve"> y no a GTM y dicho concesionario se ostentó sabedor del acto procesal como Pegaso </w:t>
      </w:r>
      <w:r w:rsidR="006C5C3E" w:rsidRPr="00800959">
        <w:rPr>
          <w:rFonts w:ascii="ITC Avant Garde" w:hAnsi="ITC Avant Garde"/>
        </w:rPr>
        <w:t xml:space="preserve">PCS </w:t>
      </w:r>
      <w:r w:rsidRPr="00800959">
        <w:rPr>
          <w:rFonts w:ascii="ITC Avant Garde" w:hAnsi="ITC Avant Garde"/>
        </w:rPr>
        <w:t xml:space="preserve">en su carácter de </w:t>
      </w:r>
      <w:proofErr w:type="spellStart"/>
      <w:r w:rsidRPr="00800959">
        <w:rPr>
          <w:rFonts w:ascii="ITC Avant Garde" w:hAnsi="ITC Avant Garde"/>
        </w:rPr>
        <w:t>fusionante</w:t>
      </w:r>
      <w:proofErr w:type="spellEnd"/>
      <w:r w:rsidRPr="00800959">
        <w:rPr>
          <w:rFonts w:ascii="ITC Avant Garde" w:hAnsi="ITC Avant Garde"/>
        </w:rPr>
        <w:t>, afirmando de esta forma que tuvo pleno conocimiento del mismo, de acuerdo con las constancias que obran en el presen</w:t>
      </w:r>
      <w:r w:rsidR="006C5C3E" w:rsidRPr="00800959">
        <w:rPr>
          <w:rFonts w:ascii="ITC Avant Garde" w:hAnsi="ITC Avant Garde"/>
        </w:rPr>
        <w:t xml:space="preserve">te procedimiento, ya que Pegaso PCS </w:t>
      </w:r>
      <w:r w:rsidRPr="00800959">
        <w:rPr>
          <w:rFonts w:ascii="ITC Avant Garde" w:hAnsi="ITC Avant Garde"/>
        </w:rPr>
        <w:t xml:space="preserve">atendió expresamente a lo estipulado dentro del Acuerdo </w:t>
      </w:r>
      <w:r w:rsidR="00B97F56" w:rsidRPr="00800959">
        <w:rPr>
          <w:rFonts w:ascii="ITC Avant Garde" w:hAnsi="ITC Avant Garde"/>
          <w:lang w:val="es-ES_tradnl" w:eastAsia="es-ES"/>
        </w:rPr>
        <w:t>06/12</w:t>
      </w:r>
      <w:r w:rsidR="006C5C3E" w:rsidRPr="00800959">
        <w:rPr>
          <w:rFonts w:ascii="ITC Avant Garde" w:hAnsi="ITC Avant Garde"/>
          <w:lang w:val="es-ES_tradnl" w:eastAsia="es-ES"/>
        </w:rPr>
        <w:t xml:space="preserve">/002/2017 </w:t>
      </w:r>
      <w:r w:rsidRPr="00800959">
        <w:rPr>
          <w:rFonts w:ascii="ITC Avant Garde" w:hAnsi="ITC Avant Garde"/>
          <w:lang w:val="es-ES_tradnl" w:eastAsia="es-ES"/>
        </w:rPr>
        <w:t>dando contestación al solicitar una ampliación del plazo establecido para desahogar la vista ordenada y presentando su oportuna respuesta a dicho requerimiento.</w:t>
      </w:r>
    </w:p>
    <w:p w14:paraId="26DDAA64"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lang w:val="es-ES_tradnl" w:eastAsia="es-ES"/>
        </w:rPr>
        <w:t>No obstante</w:t>
      </w:r>
      <w:r w:rsidR="006C5C3E" w:rsidRPr="00800959">
        <w:rPr>
          <w:rFonts w:ascii="ITC Avant Garde" w:hAnsi="ITC Avant Garde"/>
          <w:lang w:val="es-ES_tradnl" w:eastAsia="es-ES"/>
        </w:rPr>
        <w:t xml:space="preserve"> a</w:t>
      </w:r>
      <w:r w:rsidRPr="00800959">
        <w:rPr>
          <w:rFonts w:ascii="ITC Avant Garde" w:hAnsi="ITC Avant Garde"/>
          <w:lang w:val="es-ES_tradnl" w:eastAsia="es-ES"/>
        </w:rPr>
        <w:t xml:space="preserve"> lo anterior y por economía procesal el procedimiento iniciado de m</w:t>
      </w:r>
      <w:r w:rsidR="00840D80" w:rsidRPr="00800959">
        <w:rPr>
          <w:rFonts w:ascii="ITC Avant Garde" w:hAnsi="ITC Avant Garde"/>
          <w:lang w:val="es-ES_tradnl" w:eastAsia="es-ES"/>
        </w:rPr>
        <w:t>anera independiente por Mega Cable</w:t>
      </w:r>
      <w:r w:rsidRPr="00800959">
        <w:rPr>
          <w:rFonts w:ascii="ITC Avant Garde" w:hAnsi="ITC Avant Garde"/>
          <w:lang w:val="es-ES_tradnl" w:eastAsia="es-ES"/>
        </w:rPr>
        <w:t xml:space="preserve"> identificado con el número de expediente </w:t>
      </w:r>
      <w:r w:rsidR="00840D80" w:rsidRPr="00800959">
        <w:rPr>
          <w:rFonts w:ascii="ITC Avant Garde" w:hAnsi="ITC Avant Garde"/>
        </w:rPr>
        <w:t>IFT/221/UPR/DG-RIRST/190.</w:t>
      </w:r>
      <w:r w:rsidRPr="00800959">
        <w:rPr>
          <w:rFonts w:ascii="ITC Avant Garde" w:hAnsi="ITC Avant Garde"/>
        </w:rPr>
        <w:t>07</w:t>
      </w:r>
      <w:r w:rsidR="00840D80" w:rsidRPr="00800959">
        <w:rPr>
          <w:rFonts w:ascii="ITC Avant Garde" w:hAnsi="ITC Avant Garde"/>
        </w:rPr>
        <w:t>11</w:t>
      </w:r>
      <w:r w:rsidRPr="00800959">
        <w:rPr>
          <w:rFonts w:ascii="ITC Avant Garde" w:hAnsi="ITC Avant Garde"/>
        </w:rPr>
        <w:t xml:space="preserve">17/ITX se acumuló al número de expediente identificado </w:t>
      </w:r>
      <w:r w:rsidRPr="00800959">
        <w:rPr>
          <w:rFonts w:ascii="ITC Avant Garde" w:hAnsi="ITC Avant Garde"/>
        </w:rPr>
        <w:lastRenderedPageBreak/>
        <w:t>con el</w:t>
      </w:r>
      <w:r w:rsidR="00840D80" w:rsidRPr="00800959">
        <w:rPr>
          <w:rFonts w:ascii="ITC Avant Garde" w:hAnsi="ITC Avant Garde"/>
        </w:rPr>
        <w:t xml:space="preserve"> número IFT/221/UPR/DG-RIRST/189.</w:t>
      </w:r>
      <w:r w:rsidRPr="00800959">
        <w:rPr>
          <w:rFonts w:ascii="ITC Avant Garde" w:hAnsi="ITC Avant Garde"/>
        </w:rPr>
        <w:t>07</w:t>
      </w:r>
      <w:r w:rsidR="00840D80" w:rsidRPr="00800959">
        <w:rPr>
          <w:rFonts w:ascii="ITC Avant Garde" w:hAnsi="ITC Avant Garde"/>
        </w:rPr>
        <w:t>11</w:t>
      </w:r>
      <w:r w:rsidRPr="00800959">
        <w:rPr>
          <w:rFonts w:ascii="ITC Avant Garde" w:hAnsi="ITC Avant Garde"/>
        </w:rPr>
        <w:t xml:space="preserve">17/ITX. </w:t>
      </w:r>
      <w:r w:rsidRPr="00800959">
        <w:rPr>
          <w:rFonts w:ascii="ITC Avant Garde" w:hAnsi="ITC Avant Garde"/>
          <w:lang w:val="es-ES_tradnl" w:eastAsia="es-ES"/>
        </w:rPr>
        <w:t xml:space="preserve">En esta tesitura, de acuerdo a las constancias que obran en el presente expediente, este Instituto considera que los argumentos esgrimidos por Pegaso </w:t>
      </w:r>
      <w:r w:rsidR="004318D4" w:rsidRPr="00800959">
        <w:rPr>
          <w:rFonts w:ascii="ITC Avant Garde" w:hAnsi="ITC Avant Garde"/>
          <w:lang w:val="es-ES_tradnl" w:eastAsia="es-ES"/>
        </w:rPr>
        <w:t xml:space="preserve">PCS </w:t>
      </w:r>
      <w:r w:rsidRPr="00800959">
        <w:rPr>
          <w:rFonts w:ascii="ITC Avant Garde" w:hAnsi="ITC Avant Garde"/>
          <w:lang w:val="es-ES_tradnl" w:eastAsia="es-ES"/>
        </w:rPr>
        <w:t>respecto a la causa de improcedencia hecha valer, resultan inoperantes.</w:t>
      </w:r>
    </w:p>
    <w:p w14:paraId="11677603" w14:textId="631EE995" w:rsidR="00800959" w:rsidRPr="00800959" w:rsidRDefault="008412F4" w:rsidP="00800959">
      <w:pPr>
        <w:spacing w:before="240" w:after="240"/>
        <w:jc w:val="both"/>
        <w:rPr>
          <w:rFonts w:ascii="ITC Avant Garde" w:hAnsi="ITC Avant Garde"/>
          <w:b/>
        </w:rPr>
      </w:pPr>
      <w:r w:rsidRPr="00800959">
        <w:rPr>
          <w:rFonts w:ascii="ITC Avant Garde" w:hAnsi="ITC Avant Garde"/>
          <w:b/>
        </w:rPr>
        <w:t xml:space="preserve">D) </w:t>
      </w:r>
      <w:r w:rsidR="0067156B" w:rsidRPr="00800959">
        <w:rPr>
          <w:rFonts w:ascii="ITC Avant Garde" w:hAnsi="ITC Avant Garde"/>
          <w:b/>
        </w:rPr>
        <w:t xml:space="preserve">Consideraciones legales, económicas y técnicas para la determinación de términos, condiciones y tarifas de interconexión </w:t>
      </w:r>
    </w:p>
    <w:p w14:paraId="77829062" w14:textId="77777777" w:rsidR="00800959" w:rsidRPr="00800959" w:rsidRDefault="0067156B" w:rsidP="00800959">
      <w:pPr>
        <w:spacing w:before="240" w:after="240"/>
        <w:jc w:val="both"/>
        <w:rPr>
          <w:rFonts w:ascii="ITC Avant Garde" w:hAnsi="ITC Avant Garde"/>
          <w:b/>
        </w:rPr>
      </w:pPr>
      <w:r w:rsidRPr="00800959">
        <w:rPr>
          <w:rFonts w:ascii="ITC Avant Garde" w:hAnsi="ITC Avant Garde"/>
          <w:b/>
        </w:rPr>
        <w:t xml:space="preserve">Argumento de Pegaso PCS </w:t>
      </w:r>
    </w:p>
    <w:p w14:paraId="360DC15D" w14:textId="77777777" w:rsidR="00800959" w:rsidRPr="00800959" w:rsidRDefault="00ED7C59" w:rsidP="00800959">
      <w:pPr>
        <w:spacing w:before="240" w:after="240"/>
        <w:jc w:val="both"/>
        <w:rPr>
          <w:rFonts w:ascii="ITC Avant Garde" w:eastAsia="Times New Roman" w:hAnsi="ITC Avant Garde" w:cs="Arial"/>
        </w:rPr>
      </w:pPr>
      <w:r w:rsidRPr="00800959">
        <w:rPr>
          <w:rFonts w:ascii="ITC Avant Garde" w:hAnsi="ITC Avant Garde" w:cs="Arial"/>
          <w:lang w:val="es-ES"/>
        </w:rPr>
        <w:t>De foja 9</w:t>
      </w:r>
      <w:r w:rsidR="00AD37FA" w:rsidRPr="00800959">
        <w:rPr>
          <w:rFonts w:ascii="ITC Avant Garde" w:hAnsi="ITC Avant Garde" w:cs="Arial"/>
          <w:lang w:val="es-ES"/>
        </w:rPr>
        <w:t xml:space="preserve"> a foja 36</w:t>
      </w:r>
      <w:r w:rsidR="0067156B" w:rsidRPr="00800959">
        <w:rPr>
          <w:rFonts w:ascii="ITC Avant Garde" w:hAnsi="ITC Avant Garde" w:cs="Arial"/>
          <w:lang w:val="es-ES"/>
        </w:rPr>
        <w:t xml:space="preserve"> dentro del exp</w:t>
      </w:r>
      <w:r w:rsidR="00AD37FA" w:rsidRPr="00800959">
        <w:rPr>
          <w:rFonts w:ascii="ITC Avant Garde" w:hAnsi="ITC Avant Garde" w:cs="Arial"/>
          <w:lang w:val="es-ES"/>
        </w:rPr>
        <w:t>ediente IFT/221/UPR/DG-RIRST/189.</w:t>
      </w:r>
      <w:r w:rsidR="0067156B" w:rsidRPr="00800959">
        <w:rPr>
          <w:rFonts w:ascii="ITC Avant Garde" w:hAnsi="ITC Avant Garde" w:cs="Arial"/>
          <w:lang w:val="es-ES"/>
        </w:rPr>
        <w:t>07</w:t>
      </w:r>
      <w:r w:rsidR="00AD37FA" w:rsidRPr="00800959">
        <w:rPr>
          <w:rFonts w:ascii="ITC Avant Garde" w:hAnsi="ITC Avant Garde" w:cs="Arial"/>
          <w:lang w:val="es-ES"/>
        </w:rPr>
        <w:t>1117/ITX y de foja 8 a foja 31</w:t>
      </w:r>
      <w:r w:rsidR="0067156B" w:rsidRPr="00800959">
        <w:rPr>
          <w:rFonts w:ascii="ITC Avant Garde" w:hAnsi="ITC Avant Garde" w:cs="Arial"/>
          <w:lang w:val="es-ES"/>
        </w:rPr>
        <w:t xml:space="preserve"> dentro del expediente</w:t>
      </w:r>
      <w:r w:rsidR="00543EBB" w:rsidRPr="00800959">
        <w:rPr>
          <w:rFonts w:ascii="ITC Avant Garde" w:hAnsi="ITC Avant Garde" w:cs="Arial"/>
          <w:lang w:val="es-ES"/>
        </w:rPr>
        <w:t xml:space="preserve"> IFT/221/UPR/DG-RIRST/190.</w:t>
      </w:r>
      <w:r w:rsidR="0067156B" w:rsidRPr="00800959">
        <w:rPr>
          <w:rFonts w:ascii="ITC Avant Garde" w:hAnsi="ITC Avant Garde" w:cs="Arial"/>
          <w:lang w:val="es-ES"/>
        </w:rPr>
        <w:t>07</w:t>
      </w:r>
      <w:r w:rsidR="00543EBB" w:rsidRPr="00800959">
        <w:rPr>
          <w:rFonts w:ascii="ITC Avant Garde" w:hAnsi="ITC Avant Garde" w:cs="Arial"/>
          <w:lang w:val="es-ES"/>
        </w:rPr>
        <w:t>11</w:t>
      </w:r>
      <w:r w:rsidR="0067156B" w:rsidRPr="00800959">
        <w:rPr>
          <w:rFonts w:ascii="ITC Avant Garde" w:hAnsi="ITC Avant Garde" w:cs="Arial"/>
          <w:lang w:val="es-ES"/>
        </w:rPr>
        <w:t>17/ITX, de los escritos de Respuesta presentados por Pegaso PCS, dicho concesionario realiza diversas manifestaciones acerca de la forma en que el Instituto debe determinar las tarifas de interconexión materia del presente procedimiento como son: a) la aplicación del principio de asimetría tarifaria, b) el respeto al principio de competencia y libre concurrencia, c) el considerar los altos grados de concentración, d) la revisión de la regulación emitida, e) la aplicación de las mejores prácticas regulatorias f) la incorporación de factores exógenos, g) el enfoque sobre la recuperación de los costos, g) la justa retribución,  h) improcedencia del modelo de Costos Incrementales de Largo Plazo Puros, i) tipo de cambio e inflación</w:t>
      </w:r>
    </w:p>
    <w:p w14:paraId="42B2762F" w14:textId="66E9E547" w:rsidR="0067156B" w:rsidRPr="00800959" w:rsidRDefault="0067156B" w:rsidP="00800959">
      <w:pPr>
        <w:spacing w:before="240" w:after="240"/>
        <w:jc w:val="both"/>
        <w:rPr>
          <w:rFonts w:ascii="ITC Avant Garde" w:eastAsia="Times New Roman" w:hAnsi="ITC Avant Garde"/>
          <w:b/>
          <w:szCs w:val="24"/>
          <w:lang w:eastAsia="es-ES"/>
        </w:rPr>
      </w:pPr>
      <w:r w:rsidRPr="00800959">
        <w:rPr>
          <w:rFonts w:ascii="ITC Avant Garde" w:eastAsia="Times New Roman" w:hAnsi="ITC Avant Garde"/>
          <w:b/>
          <w:szCs w:val="24"/>
          <w:lang w:eastAsia="es-ES"/>
        </w:rPr>
        <w:t>Consideraciones del Instituto</w:t>
      </w:r>
    </w:p>
    <w:p w14:paraId="0621ACBD"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rPr>
        <w:t>Los temas planteados por Pegaso PCS,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Pegaso PCS en cuanto a los elementos que debe tomar en cuenta el Instituto para la determinación de tarifas de interconexión resultan inoperantes.</w:t>
      </w:r>
    </w:p>
    <w:p w14:paraId="11156135"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rPr>
        <w:t>De esta manera, al no ser procedente la modificación de aspectos que forman parte de la Metodología de Costos o del Acuerdo de CTM y Tarifas 2018, en el presente procedimiento no se entrará al análisis de las manifestaciones vertidas por Pegaso PCS.</w:t>
      </w:r>
    </w:p>
    <w:p w14:paraId="157A5CAF" w14:textId="77777777" w:rsidR="00800959" w:rsidRPr="00800959" w:rsidRDefault="0067156B" w:rsidP="00800959">
      <w:pPr>
        <w:spacing w:before="240" w:after="240"/>
        <w:jc w:val="both"/>
        <w:rPr>
          <w:rFonts w:ascii="ITC Avant Garde" w:hAnsi="ITC Avant Garde"/>
        </w:rPr>
      </w:pPr>
      <w:r w:rsidRPr="00800959">
        <w:rPr>
          <w:rFonts w:ascii="ITC Avant Garde" w:hAnsi="ITC Avant Garde"/>
        </w:rPr>
        <w:t xml:space="preserve">Lo anterior no significa que el Instituto haya dejado de analizar todas y cada una de las manifestaciones realizadas por Pegaso PCS, sino que una respuesta detallada de las </w:t>
      </w:r>
      <w:r w:rsidRPr="00800959">
        <w:rPr>
          <w:rFonts w:ascii="ITC Avant Garde" w:hAnsi="ITC Avant Garde"/>
        </w:rPr>
        <w:lastRenderedPageBreak/>
        <w:t>mismas en nada cambia el sentido de la presente Resolución, ante su inoperancia en los términos apuntados.</w:t>
      </w:r>
    </w:p>
    <w:p w14:paraId="7E1A6C34" w14:textId="7C3EEF97" w:rsidR="008412F4" w:rsidRPr="00800959" w:rsidRDefault="0067156B" w:rsidP="00800959">
      <w:pPr>
        <w:pStyle w:val="Prrafodelista"/>
        <w:numPr>
          <w:ilvl w:val="0"/>
          <w:numId w:val="49"/>
        </w:numPr>
        <w:spacing w:before="240" w:after="240"/>
        <w:ind w:left="426" w:hanging="426"/>
        <w:jc w:val="both"/>
        <w:rPr>
          <w:rFonts w:ascii="ITC Avant Garde" w:eastAsia="Times New Roman" w:hAnsi="ITC Avant Garde"/>
          <w:b/>
          <w:szCs w:val="24"/>
          <w:lang w:eastAsia="es-ES"/>
        </w:rPr>
      </w:pPr>
      <w:r w:rsidRPr="00800959">
        <w:rPr>
          <w:rFonts w:ascii="ITC Avant Garde" w:eastAsia="Times New Roman" w:hAnsi="ITC Avant Garde"/>
          <w:b/>
          <w:szCs w:val="24"/>
          <w:lang w:eastAsia="es-ES"/>
        </w:rPr>
        <w:t>Factor de ajuste a la tarifa de interconexión para 2018 por variación e</w:t>
      </w:r>
      <w:r w:rsidR="008412F4" w:rsidRPr="00800959">
        <w:rPr>
          <w:rFonts w:ascii="ITC Avant Garde" w:eastAsia="Times New Roman" w:hAnsi="ITC Avant Garde"/>
          <w:b/>
          <w:szCs w:val="24"/>
          <w:lang w:eastAsia="es-ES"/>
        </w:rPr>
        <w:t>n el tipo de cambio e inflación</w:t>
      </w:r>
    </w:p>
    <w:p w14:paraId="56B606CB" w14:textId="77777777" w:rsidR="0067156B" w:rsidRPr="00800959" w:rsidRDefault="0067156B" w:rsidP="00800959">
      <w:pPr>
        <w:spacing w:before="240" w:after="240"/>
        <w:jc w:val="both"/>
        <w:rPr>
          <w:rFonts w:ascii="ITC Avant Garde" w:eastAsia="Times New Roman" w:hAnsi="ITC Avant Garde"/>
          <w:b/>
          <w:szCs w:val="24"/>
          <w:lang w:eastAsia="es-ES"/>
        </w:rPr>
      </w:pPr>
      <w:r w:rsidRPr="00800959">
        <w:rPr>
          <w:rFonts w:ascii="ITC Avant Garde" w:eastAsia="Times New Roman" w:hAnsi="ITC Avant Garde"/>
          <w:b/>
          <w:szCs w:val="24"/>
          <w:lang w:eastAsia="es-ES"/>
        </w:rPr>
        <w:t xml:space="preserve">Argumento de Pegaso PCS </w:t>
      </w:r>
    </w:p>
    <w:p w14:paraId="170B91A3" w14:textId="77777777" w:rsidR="00800959" w:rsidRPr="00800959" w:rsidRDefault="0067156B" w:rsidP="00800959">
      <w:pPr>
        <w:spacing w:before="240" w:after="240"/>
        <w:jc w:val="both"/>
        <w:rPr>
          <w:rFonts w:ascii="ITC Avant Garde" w:eastAsia="Times New Roman" w:hAnsi="ITC Avant Garde"/>
          <w:szCs w:val="24"/>
          <w:lang w:eastAsia="es-ES"/>
        </w:rPr>
      </w:pPr>
      <w:r w:rsidRPr="00800959">
        <w:rPr>
          <w:rFonts w:ascii="ITC Avant Garde" w:eastAsia="Times New Roman" w:hAnsi="ITC Avant Garde"/>
          <w:szCs w:val="24"/>
          <w:lang w:eastAsia="es-ES"/>
        </w:rPr>
        <w:t xml:space="preserve">Pegaso PCS manifiesta considerar la inclusión de una cláusula de ajuste a la tarifa de </w:t>
      </w:r>
      <w:r w:rsidRPr="00800959">
        <w:rPr>
          <w:rFonts w:ascii="ITC Avant Garde" w:hAnsi="ITC Avant Garde"/>
        </w:rPr>
        <w:t>interconexión</w:t>
      </w:r>
      <w:r w:rsidRPr="00800959">
        <w:rPr>
          <w:rFonts w:ascii="ITC Avant Garde" w:eastAsia="Times New Roman" w:hAnsi="ITC Avant Garde"/>
          <w:szCs w:val="24"/>
          <w:lang w:eastAsia="es-ES"/>
        </w:rPr>
        <w:t xml:space="preserve"> por variaciones en la inflación y el tipo de cambio utilizado para determinar la tarifa 2018 por el Instituto.</w:t>
      </w:r>
    </w:p>
    <w:p w14:paraId="4EA4ED05" w14:textId="77777777" w:rsidR="00800959" w:rsidRPr="00800959" w:rsidRDefault="0067156B" w:rsidP="00800959">
      <w:pPr>
        <w:spacing w:before="240" w:after="240"/>
        <w:jc w:val="both"/>
        <w:rPr>
          <w:rFonts w:ascii="ITC Avant Garde" w:hAnsi="ITC Avant Garde" w:cs="Arial"/>
          <w:lang w:val="es-ES"/>
        </w:rPr>
      </w:pPr>
      <w:r w:rsidRPr="00800959">
        <w:rPr>
          <w:rFonts w:ascii="ITC Avant Garde" w:eastAsia="Times New Roman" w:hAnsi="ITC Avant Garde"/>
          <w:szCs w:val="24"/>
          <w:lang w:eastAsia="es-ES"/>
        </w:rPr>
        <w:t xml:space="preserve">Señalan que la tarifa resultante de la metodología de costos empleada por el Instituto considera costos unitarios en dólares a precios de un año determinado, por lo que es </w:t>
      </w:r>
      <w:r w:rsidRPr="00800959">
        <w:rPr>
          <w:rFonts w:ascii="ITC Avant Garde" w:hAnsi="ITC Avant Garde"/>
        </w:rPr>
        <w:t>necesario</w:t>
      </w:r>
      <w:r w:rsidRPr="00800959">
        <w:rPr>
          <w:rFonts w:ascii="ITC Avant Garde" w:eastAsia="Times New Roman" w:hAnsi="ITC Avant Garde"/>
          <w:szCs w:val="24"/>
          <w:lang w:eastAsia="es-ES"/>
        </w:rPr>
        <w:t xml:space="preserve">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 </w:t>
      </w:r>
      <w:r w:rsidRPr="00800959">
        <w:rPr>
          <w:rFonts w:ascii="ITC Avant Garde" w:hAnsi="ITC Avant Garde" w:cs="Arial"/>
          <w:lang w:val="es-ES"/>
        </w:rPr>
        <w:t>Dicho factor de ajuste conforme al tipo de cambio se considera necesario para que la tarifa de interconexión refleje fehacientemente los resultados de las metodologías de costos empleadas por el Instituto para su determinación y para que la tarifa refleje las condiciones del mercado.</w:t>
      </w:r>
    </w:p>
    <w:p w14:paraId="49FBA06D" w14:textId="77777777" w:rsidR="00800959" w:rsidRPr="00800959" w:rsidRDefault="0067156B" w:rsidP="00800959">
      <w:pPr>
        <w:spacing w:before="240" w:after="240"/>
        <w:jc w:val="both"/>
        <w:rPr>
          <w:rFonts w:ascii="ITC Avant Garde" w:eastAsia="Times New Roman" w:hAnsi="ITC Avant Garde"/>
          <w:szCs w:val="24"/>
          <w:lang w:eastAsia="es-ES"/>
        </w:rPr>
      </w:pPr>
      <w:r w:rsidRPr="00800959">
        <w:rPr>
          <w:rFonts w:ascii="ITC Avant Garde" w:eastAsia="Times New Roman" w:hAnsi="ITC Avant Garde"/>
          <w:szCs w:val="24"/>
          <w:lang w:eastAsia="es-ES"/>
        </w:rPr>
        <w:t xml:space="preserve">En ese orden de ideas, la inclusión de una cláusula de ajuste o actualización por depreciación o variación relevante en el tipo de cambio, resulta en un ejercicio regulatorio que apunta a dar mayor certeza y seguridad jurídica a la industria. </w:t>
      </w:r>
    </w:p>
    <w:p w14:paraId="060905DD" w14:textId="77777777" w:rsidR="00800959" w:rsidRPr="00800959" w:rsidRDefault="0067156B" w:rsidP="00800959">
      <w:pPr>
        <w:pStyle w:val="Prrafodelista"/>
        <w:tabs>
          <w:tab w:val="left" w:pos="284"/>
        </w:tabs>
        <w:spacing w:before="240" w:after="240" w:line="276" w:lineRule="auto"/>
        <w:ind w:left="0"/>
        <w:rPr>
          <w:rFonts w:ascii="ITC Avant Garde" w:hAnsi="ITC Avant Garde" w:cs="Arial"/>
          <w:b/>
        </w:rPr>
      </w:pPr>
      <w:r w:rsidRPr="00800959">
        <w:rPr>
          <w:rFonts w:ascii="ITC Avant Garde" w:hAnsi="ITC Avant Garde" w:cs="Arial"/>
          <w:b/>
        </w:rPr>
        <w:t>Consideraciones del Instituto</w:t>
      </w:r>
    </w:p>
    <w:p w14:paraId="6736748C" w14:textId="77777777" w:rsidR="00800959" w:rsidRPr="00800959" w:rsidRDefault="0067156B" w:rsidP="00800959">
      <w:pPr>
        <w:pStyle w:val="Prrafodelista"/>
        <w:tabs>
          <w:tab w:val="left" w:pos="284"/>
        </w:tabs>
        <w:spacing w:before="240" w:after="240" w:line="276" w:lineRule="auto"/>
        <w:ind w:left="0"/>
        <w:contextualSpacing w:val="0"/>
        <w:jc w:val="both"/>
        <w:rPr>
          <w:rFonts w:ascii="ITC Avant Garde" w:hAnsi="ITC Avant Garde" w:cs="Arial"/>
        </w:rPr>
      </w:pPr>
      <w:r w:rsidRPr="00800959">
        <w:rPr>
          <w:rFonts w:ascii="ITC Avant Garde" w:hAnsi="ITC Avant Garde" w:cs="Arial"/>
        </w:rPr>
        <w:t>Al respecto, el Instituto señala que el lineamiento Décimo Tercero de la Metodología de Costos, establece que:</w:t>
      </w:r>
    </w:p>
    <w:p w14:paraId="4714E844" w14:textId="77777777" w:rsidR="00800959" w:rsidRPr="00800959" w:rsidRDefault="0067156B" w:rsidP="00800959">
      <w:pPr>
        <w:pStyle w:val="Piedepgina"/>
        <w:widowControl w:val="0"/>
        <w:tabs>
          <w:tab w:val="left" w:pos="720"/>
        </w:tabs>
        <w:spacing w:before="240" w:after="240" w:line="276" w:lineRule="auto"/>
        <w:ind w:left="567" w:right="615"/>
        <w:jc w:val="both"/>
        <w:rPr>
          <w:rFonts w:ascii="ITC Avant Garde" w:eastAsia="Times New Roman" w:hAnsi="ITC Avant Garde" w:cs="Arial"/>
        </w:rPr>
      </w:pPr>
      <w:r w:rsidRPr="00800959">
        <w:rPr>
          <w:rFonts w:ascii="ITC Avant Garde" w:hAnsi="ITC Avant Garde" w:cs="Arial"/>
          <w:sz w:val="18"/>
          <w:szCs w:val="18"/>
        </w:rPr>
        <w:t>“</w:t>
      </w:r>
      <w:r w:rsidRPr="00800959">
        <w:rPr>
          <w:rFonts w:ascii="ITC Avant Garde" w:hAnsi="ITC Avant Garde" w:cs="Arial"/>
          <w:b/>
          <w:sz w:val="18"/>
          <w:szCs w:val="18"/>
        </w:rPr>
        <w:t>DÉCIMO TERCERO.-</w:t>
      </w:r>
      <w:r w:rsidRPr="00800959">
        <w:rPr>
          <w:rFonts w:ascii="ITC Avant Garde" w:hAnsi="ITC Avant Garde" w:cs="Arial"/>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4C56F22" w14:textId="77777777" w:rsidR="00800959" w:rsidRPr="00800959" w:rsidRDefault="0067156B" w:rsidP="00800959">
      <w:pPr>
        <w:pStyle w:val="Piedepgina"/>
        <w:widowControl w:val="0"/>
        <w:tabs>
          <w:tab w:val="left" w:pos="720"/>
        </w:tabs>
        <w:spacing w:before="240" w:after="240" w:line="276" w:lineRule="auto"/>
        <w:jc w:val="both"/>
        <w:rPr>
          <w:rFonts w:ascii="ITC Avant Garde" w:hAnsi="ITC Avant Garde" w:cs="Arial"/>
        </w:rPr>
      </w:pPr>
      <w:r w:rsidRPr="00800959">
        <w:rPr>
          <w:rFonts w:ascii="ITC Avant Garde" w:hAnsi="ITC Avant Garde" w:cs="Arial"/>
        </w:rPr>
        <w:t xml:space="preserve">En este sentido, el lineamiento antes citado dispone que el Instituto podrá actualizar anualmente la información del Modelo de Costos, por lo que en apego al mismo y a </w:t>
      </w:r>
      <w:r w:rsidRPr="00800959">
        <w:rPr>
          <w:rFonts w:ascii="ITC Avant Garde" w:hAnsi="ITC Avant Garde" w:cs="Arial"/>
        </w:rPr>
        <w:lastRenderedPageBreak/>
        <w:t xml:space="preserve">efecto de generar certidumbre, </w:t>
      </w:r>
      <w:r w:rsidRPr="00800959">
        <w:rPr>
          <w:rFonts w:ascii="ITC Avant Garde" w:eastAsia="Times New Roman" w:hAnsi="ITC Avant Garde"/>
        </w:rPr>
        <w:t>el Instituto determinó en su XLIV Sesión Ordinaria celebrada el 2 de noviembre de 2017, las tarifas de interconexión aplicables para el periodo comprendido del 1 de enero al 31 de diciembre de 2018.</w:t>
      </w:r>
    </w:p>
    <w:p w14:paraId="1E39F1F1" w14:textId="77777777" w:rsidR="00800959" w:rsidRPr="00800959" w:rsidRDefault="0067156B" w:rsidP="00800959">
      <w:pPr>
        <w:pStyle w:val="Piedepgina"/>
        <w:widowControl w:val="0"/>
        <w:tabs>
          <w:tab w:val="left" w:pos="720"/>
        </w:tabs>
        <w:spacing w:before="240" w:after="240" w:line="276" w:lineRule="auto"/>
        <w:jc w:val="both"/>
        <w:rPr>
          <w:rFonts w:ascii="ITC Avant Garde" w:hAnsi="ITC Avant Garde" w:cs="Arial"/>
        </w:rPr>
      </w:pPr>
      <w:r w:rsidRPr="00800959">
        <w:rPr>
          <w:rFonts w:ascii="ITC Avant Garde" w:hAnsi="ITC Avant Garde" w:cs="Arial"/>
        </w:rPr>
        <w:t>Aunado a lo anterior, en cumplimiento al mandato establecido en el artículo 129 de la LFTR, este Instituto debe actuar en estricto apego al procedimiento de resolución ahí establecido, incluyendo los plazos límite para emitir resolución; por lo</w:t>
      </w:r>
      <w:r w:rsidR="00AD1777" w:rsidRPr="00800959">
        <w:rPr>
          <w:rFonts w:ascii="ITC Avant Garde" w:hAnsi="ITC Avant Garde" w:cs="Arial"/>
        </w:rPr>
        <w:t xml:space="preserve"> </w:t>
      </w:r>
      <w:r w:rsidRPr="00800959">
        <w:rPr>
          <w:rFonts w:ascii="ITC Avant Garde" w:hAnsi="ITC Avant Garde" w:cs="Arial"/>
        </w:rPr>
        <w:t xml:space="preserve">que al momento de la resolución de los primeros diferendos en materia de interconexión sobre las tarifas del año 2018, este Instituto actualizó los modelos con base en la mejor información disponible, particularmente lo referente al tipo de cambio. </w:t>
      </w:r>
    </w:p>
    <w:p w14:paraId="0BA58AF1" w14:textId="77777777" w:rsidR="00800959" w:rsidRPr="00800959" w:rsidRDefault="0067156B" w:rsidP="00800959">
      <w:pPr>
        <w:pStyle w:val="Piedepgina"/>
        <w:widowControl w:val="0"/>
        <w:tabs>
          <w:tab w:val="left" w:pos="720"/>
        </w:tabs>
        <w:spacing w:before="240" w:after="240" w:line="276" w:lineRule="auto"/>
        <w:jc w:val="both"/>
        <w:rPr>
          <w:rFonts w:ascii="ITC Avant Garde" w:hAnsi="ITC Avant Garde" w:cs="Arial"/>
        </w:rPr>
      </w:pPr>
      <w:r w:rsidRPr="00800959">
        <w:rPr>
          <w:rFonts w:ascii="ITC Avant Garde" w:hAnsi="ITC Avant Garde" w:cs="Arial"/>
        </w:rPr>
        <w:t xml:space="preserve">Ahora bien, como se señala en el antecedente VII, en cumplimiento a lo determinado en el artículo 137 de la LFTR,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por lo antes expuesto, no ha lugar la petición de </w:t>
      </w:r>
      <w:r w:rsidRPr="00800959">
        <w:rPr>
          <w:rFonts w:ascii="ITC Avant Garde" w:hAnsi="ITC Avant Garde" w:cs="Arial"/>
          <w:lang w:val="es-ES"/>
        </w:rPr>
        <w:t>Pegaso PCS de considerar la inclusión de una cláusula de ajuste a la tarifa de interconexión por variaciones en la inflación y el tipo de cambio.</w:t>
      </w:r>
    </w:p>
    <w:p w14:paraId="0FF83F32" w14:textId="77777777" w:rsidR="00800959" w:rsidRPr="00800959" w:rsidRDefault="0008637B" w:rsidP="00800959">
      <w:pPr>
        <w:pStyle w:val="Prrafodelista"/>
        <w:numPr>
          <w:ilvl w:val="0"/>
          <w:numId w:val="49"/>
        </w:numPr>
        <w:spacing w:before="240" w:after="240"/>
        <w:ind w:left="426" w:hanging="426"/>
        <w:jc w:val="both"/>
        <w:rPr>
          <w:rFonts w:ascii="ITC Avant Garde" w:hAnsi="ITC Avant Garde" w:cs="Arial"/>
          <w:b/>
        </w:rPr>
      </w:pPr>
      <w:r w:rsidRPr="00800959">
        <w:rPr>
          <w:rFonts w:ascii="ITC Avant Garde" w:hAnsi="ITC Avant Garde" w:cs="Arial"/>
          <w:b/>
        </w:rPr>
        <w:t>Necesidad de conocer valores de las variables aplicables al modelo de costos para determinar tarifas 2018.</w:t>
      </w:r>
    </w:p>
    <w:p w14:paraId="44838E5A" w14:textId="77777777" w:rsidR="00800959" w:rsidRPr="00800959" w:rsidRDefault="008412F4" w:rsidP="00800959">
      <w:pPr>
        <w:spacing w:before="240" w:after="240"/>
        <w:jc w:val="both"/>
        <w:rPr>
          <w:rFonts w:ascii="ITC Avant Garde" w:hAnsi="ITC Avant Garde" w:cs="Arial"/>
          <w:b/>
        </w:rPr>
      </w:pPr>
      <w:r w:rsidRPr="00800959">
        <w:rPr>
          <w:rFonts w:ascii="ITC Avant Garde" w:hAnsi="ITC Avant Garde" w:cs="Arial"/>
          <w:b/>
        </w:rPr>
        <w:t>F</w:t>
      </w:r>
      <w:r w:rsidR="0008637B" w:rsidRPr="00800959">
        <w:rPr>
          <w:rFonts w:ascii="ITC Avant Garde" w:hAnsi="ITC Avant Garde" w:cs="Arial"/>
          <w:b/>
        </w:rPr>
        <w:t>.1 Red de Telecomunicaciones</w:t>
      </w:r>
    </w:p>
    <w:p w14:paraId="378BECFB"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Argumentos de Pegaso PCS</w:t>
      </w:r>
      <w:r w:rsidR="00A612B5" w:rsidRPr="00800959">
        <w:rPr>
          <w:rFonts w:ascii="ITC Avant Garde" w:hAnsi="ITC Avant Garde" w:cs="Arial"/>
          <w:b/>
        </w:rPr>
        <w:t xml:space="preserve"> </w:t>
      </w:r>
    </w:p>
    <w:p w14:paraId="757EDD5F" w14:textId="77777777" w:rsidR="00800959" w:rsidRPr="00800959" w:rsidRDefault="0008637B" w:rsidP="00800959">
      <w:pPr>
        <w:pStyle w:val="Prrafodelista"/>
        <w:numPr>
          <w:ilvl w:val="0"/>
          <w:numId w:val="20"/>
        </w:numPr>
        <w:spacing w:before="240" w:after="240" w:line="276" w:lineRule="auto"/>
        <w:ind w:left="426" w:hanging="426"/>
        <w:jc w:val="both"/>
        <w:rPr>
          <w:rFonts w:ascii="ITC Avant Garde" w:hAnsi="ITC Avant Garde" w:cs="Arial"/>
        </w:rPr>
      </w:pPr>
      <w:r w:rsidRPr="00800959">
        <w:rPr>
          <w:rFonts w:ascii="ITC Avant Garde" w:hAnsi="ITC Avant Garde" w:cs="Arial"/>
        </w:rPr>
        <w:t>Pegaso PCS</w:t>
      </w:r>
      <w:r w:rsidR="003A7AFC" w:rsidRPr="00800959">
        <w:rPr>
          <w:rFonts w:ascii="ITC Avant Garde" w:hAnsi="ITC Avant Garde" w:cs="Arial"/>
        </w:rPr>
        <w:t xml:space="preserve"> m</w:t>
      </w:r>
      <w:r w:rsidR="00750622" w:rsidRPr="00800959">
        <w:rPr>
          <w:rFonts w:ascii="ITC Avant Garde" w:hAnsi="ITC Avant Garde" w:cs="Arial"/>
        </w:rPr>
        <w:t xml:space="preserve">anifiesta </w:t>
      </w:r>
      <w:r w:rsidRPr="00800959">
        <w:rPr>
          <w:rFonts w:ascii="ITC Avant Garde" w:hAnsi="ITC Avant Garde" w:cs="Arial"/>
        </w:rPr>
        <w:t>que las condiciones y la realidad del mercado mexicano no han cambiado en cuanto al uso de tecnologías de nueva generación, por lo que resulta necesario que se respete la determinación de no incluir tecnologías de cuarta generación en el modelo de costos, ya que de lo contrario se afectará a los concesionarios de meno</w:t>
      </w:r>
      <w:r w:rsidR="004C7FB8" w:rsidRPr="00800959">
        <w:rPr>
          <w:rFonts w:ascii="ITC Avant Garde" w:hAnsi="ITC Avant Garde" w:cs="Arial"/>
        </w:rPr>
        <w:t>r tamaño, como lo es Pegaso PCS.</w:t>
      </w:r>
    </w:p>
    <w:p w14:paraId="47EDFAF0" w14:textId="77777777" w:rsidR="00800959" w:rsidRPr="00800959" w:rsidRDefault="003A7AFC" w:rsidP="00800959">
      <w:pPr>
        <w:spacing w:before="240" w:after="240"/>
        <w:ind w:left="426"/>
        <w:jc w:val="both"/>
        <w:rPr>
          <w:rFonts w:ascii="ITC Avant Garde" w:hAnsi="ITC Avant Garde" w:cs="Arial"/>
        </w:rPr>
      </w:pPr>
      <w:r w:rsidRPr="00800959">
        <w:rPr>
          <w:rFonts w:ascii="ITC Avant Garde" w:hAnsi="ITC Avant Garde" w:cs="Arial"/>
        </w:rPr>
        <w:t>Señala que</w:t>
      </w:r>
      <w:r w:rsidR="0008637B" w:rsidRPr="00800959">
        <w:rPr>
          <w:rFonts w:ascii="ITC Avant Garde" w:hAnsi="ITC Avant Garde" w:cs="Arial"/>
        </w:rPr>
        <w:t xml:space="preserve">, considerar una red nacional en 4G o LTE, es una variable que sólo es representativa actualmente del AEP, ya que dicha tecnología no es suficientemente representativa pues el tráfico que cursan los concesionarios de menor tamaño es todavía bajo. </w:t>
      </w:r>
    </w:p>
    <w:p w14:paraId="6EFB5587" w14:textId="77777777" w:rsidR="00800959" w:rsidRPr="00800959" w:rsidRDefault="0008637B" w:rsidP="00800959">
      <w:pPr>
        <w:spacing w:before="240" w:after="240"/>
        <w:ind w:left="426"/>
        <w:jc w:val="both"/>
        <w:rPr>
          <w:rFonts w:ascii="ITC Avant Garde" w:hAnsi="ITC Avant Garde" w:cs="Arial"/>
        </w:rPr>
      </w:pPr>
      <w:r w:rsidRPr="00800959">
        <w:rPr>
          <w:rFonts w:ascii="ITC Avant Garde" w:hAnsi="ITC Avant Garde" w:cs="Arial"/>
        </w:rPr>
        <w:lastRenderedPageBreak/>
        <w:t>Manifiesta Pegaso PCS</w:t>
      </w:r>
      <w:r w:rsidR="00791DB8" w:rsidRPr="00800959">
        <w:rPr>
          <w:rFonts w:ascii="ITC Avant Garde" w:hAnsi="ITC Avant Garde" w:cs="Arial"/>
        </w:rPr>
        <w:t xml:space="preserve">, que </w:t>
      </w:r>
      <w:r w:rsidRPr="00800959">
        <w:rPr>
          <w:rFonts w:ascii="ITC Avant Garde" w:hAnsi="ITC Avant Garde" w:cs="Arial"/>
        </w:rPr>
        <w:t>si bien podría ser adecuado modelar un operador hipotético existente, es necesario que el operador modelado sea realmente representativo de los operadores actuales no preponderantes en el mercado.</w:t>
      </w:r>
    </w:p>
    <w:p w14:paraId="7F1BA490"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Consideraciones del Instituto</w:t>
      </w:r>
    </w:p>
    <w:p w14:paraId="2698E27F"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Las redes móviles se han caracterizado por generaciones sucesivas de tecnología, donde los dos pasos más significativos han sido la transición del sistema analógico al digital utilizando tecnología GSM también denominada 2G y una expansión continua para incluir elementos de red y servicios relacionados con la tecnología UMTS, también denominada 3G y más recientemente despliegues de la tecnología LTE también denominada 4G, con miras, fundamentalmente a incrementar la capacidad y velocidad transmisión de datos, debido al incremento en la demanda de los mismos.</w:t>
      </w:r>
    </w:p>
    <w:p w14:paraId="795BB6A8"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Ahora bien, con el importante crecimiento de las redes 4G para el transporte de datos como consecuencia del aumento en la penetración de </w:t>
      </w:r>
      <w:proofErr w:type="spellStart"/>
      <w:r w:rsidRPr="00800959">
        <w:rPr>
          <w:rFonts w:ascii="ITC Avant Garde" w:hAnsi="ITC Avant Garde" w:cs="Arial"/>
        </w:rPr>
        <w:t>smartphones</w:t>
      </w:r>
      <w:proofErr w:type="spellEnd"/>
      <w:r w:rsidRPr="00800959">
        <w:rPr>
          <w:rFonts w:ascii="ITC Avant Garde" w:hAnsi="ITC Avant Garde" w:cs="Arial"/>
        </w:rPr>
        <w:t xml:space="preserve"> y de los recientes despliegues, resulta razonable considerar la tecnología </w:t>
      </w:r>
      <w:proofErr w:type="spellStart"/>
      <w:r w:rsidRPr="00800959">
        <w:rPr>
          <w:rFonts w:ascii="ITC Avant Garde" w:hAnsi="ITC Avant Garde" w:cs="Arial"/>
        </w:rPr>
        <w:t>VoLTE</w:t>
      </w:r>
      <w:proofErr w:type="spellEnd"/>
      <w:r w:rsidRPr="00800959">
        <w:rPr>
          <w:rFonts w:ascii="ITC Avant Garde" w:hAnsi="ITC Avant Garde" w:cs="Arial"/>
        </w:rPr>
        <w:t xml:space="preserve"> para el transporte de voz.</w:t>
      </w:r>
    </w:p>
    <w:p w14:paraId="6A4CF69D"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En efecto, de acuerdo al Reporte de Evolución a LTE (</w:t>
      </w:r>
      <w:proofErr w:type="spellStart"/>
      <w:r w:rsidRPr="00800959">
        <w:rPr>
          <w:rFonts w:ascii="ITC Avant Garde" w:hAnsi="ITC Avant Garde" w:cs="Arial"/>
        </w:rPr>
        <w:t>Evolution</w:t>
      </w:r>
      <w:proofErr w:type="spellEnd"/>
      <w:r w:rsidRPr="00800959">
        <w:rPr>
          <w:rFonts w:ascii="ITC Avant Garde" w:hAnsi="ITC Avant Garde" w:cs="Arial"/>
        </w:rPr>
        <w:t xml:space="preserve"> to LTE </w:t>
      </w:r>
      <w:proofErr w:type="spellStart"/>
      <w:r w:rsidRPr="00800959">
        <w:rPr>
          <w:rFonts w:ascii="ITC Avant Garde" w:hAnsi="ITC Avant Garde" w:cs="Arial"/>
        </w:rPr>
        <w:t>Report</w:t>
      </w:r>
      <w:proofErr w:type="spellEnd"/>
      <w:r w:rsidRPr="00800959">
        <w:rPr>
          <w:rFonts w:ascii="ITC Avant Garde" w:hAnsi="ITC Avant Garde" w:cs="Arial"/>
        </w:rPr>
        <w:t>) de la Asociación Global de Operadores Móviles (GS</w:t>
      </w:r>
      <w:r w:rsidR="002D5071" w:rsidRPr="00800959">
        <w:rPr>
          <w:rFonts w:ascii="ITC Avant Garde" w:hAnsi="ITC Avant Garde" w:cs="Arial"/>
        </w:rPr>
        <w:t>M</w:t>
      </w:r>
      <w:r w:rsidRPr="00800959">
        <w:rPr>
          <w:rFonts w:ascii="ITC Avant Garde" w:hAnsi="ITC Avant Garde" w:cs="Arial"/>
        </w:rPr>
        <w:t xml:space="preserve">A de sus siglas en inglés), publicado en 2015, los concesionarios móviles han lanzado comercialmente el servicio de </w:t>
      </w:r>
      <w:proofErr w:type="spellStart"/>
      <w:r w:rsidRPr="00800959">
        <w:rPr>
          <w:rFonts w:ascii="ITC Avant Garde" w:hAnsi="ITC Avant Garde" w:cs="Arial"/>
        </w:rPr>
        <w:t>VoLTE</w:t>
      </w:r>
      <w:proofErr w:type="spellEnd"/>
      <w:r w:rsidRPr="00800959">
        <w:rPr>
          <w:rFonts w:ascii="ITC Avant Garde" w:hAnsi="ITC Avant Garde" w:cs="Arial"/>
        </w:rPr>
        <w:t xml:space="preserve"> en 21 países y se encuentran en proceso de lanzamiento 111 operadores a nivel mundial. </w:t>
      </w:r>
    </w:p>
    <w:p w14:paraId="3408D700" w14:textId="77777777" w:rsidR="00800959" w:rsidRPr="00800959" w:rsidRDefault="00721410" w:rsidP="00800959">
      <w:pPr>
        <w:spacing w:before="240" w:after="240"/>
        <w:jc w:val="both"/>
        <w:rPr>
          <w:rFonts w:ascii="ITC Avant Garde" w:hAnsi="ITC Avant Garde" w:cs="Arial"/>
        </w:rPr>
      </w:pPr>
      <w:r w:rsidRPr="00800959">
        <w:rPr>
          <w:rFonts w:ascii="ITC Avant Garde" w:hAnsi="ITC Avant Garde" w:cs="Arial"/>
        </w:rPr>
        <w:t xml:space="preserve">Asimismo, en el caso específico de México el Agente Económico Preponderante (en lo sucesivo, el “AEP”) ha anunciado su lanzamiento. Por lo anterior, el modelo considera la tecnología </w:t>
      </w:r>
      <w:proofErr w:type="spellStart"/>
      <w:r w:rsidRPr="00800959">
        <w:rPr>
          <w:rFonts w:ascii="ITC Avant Garde" w:hAnsi="ITC Avant Garde" w:cs="Arial"/>
        </w:rPr>
        <w:t>VoLTE</w:t>
      </w:r>
      <w:proofErr w:type="spellEnd"/>
      <w:r w:rsidRPr="00800959">
        <w:rPr>
          <w:rFonts w:ascii="ITC Avant Garde" w:hAnsi="ITC Avant Garde" w:cs="Arial"/>
        </w:rPr>
        <w:t xml:space="preserve"> al representar una tecnología moderna equivalente.</w:t>
      </w:r>
    </w:p>
    <w:p w14:paraId="1E5E3473"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En este sentido, considerar la tecnología LTE para el transporte de datos, así como su versión </w:t>
      </w:r>
      <w:proofErr w:type="spellStart"/>
      <w:r w:rsidRPr="00800959">
        <w:rPr>
          <w:rFonts w:ascii="ITC Avant Garde" w:hAnsi="ITC Avant Garde" w:cs="Arial"/>
        </w:rPr>
        <w:t>VoLTE</w:t>
      </w:r>
      <w:proofErr w:type="spellEnd"/>
      <w:r w:rsidRPr="00800959">
        <w:rPr>
          <w:rFonts w:ascii="ITC Avant Garde" w:hAnsi="ITC Avant Garde" w:cs="Arial"/>
        </w:rPr>
        <w:t xml:space="preserve"> para el transporte de voz es plenamente consistente con lo establecido en la Metodología de Costos ya que se trata de tecnologías eficientes disponibles y que no se encuentra en fase de desarrollo de prueba; considerar lo contrario haría que el modelo no fuera consistente con la realidad observada en relación al fuerte crecimiento de datos móviles. </w:t>
      </w:r>
    </w:p>
    <w:p w14:paraId="17694F2D"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Argumentos de Pegaso PCS</w:t>
      </w:r>
    </w:p>
    <w:p w14:paraId="667A5F05" w14:textId="77777777" w:rsidR="00800959" w:rsidRPr="00800959" w:rsidRDefault="0008637B" w:rsidP="00800959">
      <w:pPr>
        <w:pStyle w:val="Prrafodelista"/>
        <w:numPr>
          <w:ilvl w:val="0"/>
          <w:numId w:val="20"/>
        </w:numPr>
        <w:spacing w:before="240" w:after="240" w:line="276" w:lineRule="auto"/>
        <w:ind w:left="284" w:hanging="284"/>
        <w:jc w:val="both"/>
        <w:rPr>
          <w:rFonts w:ascii="ITC Avant Garde" w:hAnsi="ITC Avant Garde" w:cs="Arial"/>
        </w:rPr>
      </w:pPr>
      <w:r w:rsidRPr="00800959">
        <w:rPr>
          <w:rFonts w:ascii="ITC Avant Garde" w:hAnsi="ITC Avant Garde" w:cs="Arial"/>
        </w:rPr>
        <w:t>Pegaso PCS</w:t>
      </w:r>
      <w:r w:rsidR="00CF4751" w:rsidRPr="00800959">
        <w:rPr>
          <w:rFonts w:ascii="ITC Avant Garde" w:hAnsi="ITC Avant Garde" w:cs="Arial"/>
        </w:rPr>
        <w:t xml:space="preserve"> </w:t>
      </w:r>
      <w:r w:rsidRPr="00800959">
        <w:rPr>
          <w:rFonts w:ascii="ITC Avant Garde" w:hAnsi="ITC Avant Garde" w:cs="Arial"/>
        </w:rPr>
        <w:t xml:space="preserve"> señala que entre las cuestiones más relevantes en relación con la red de telecomunicaciones se estima que el Instituto debe reconocer las siguientes:</w:t>
      </w:r>
    </w:p>
    <w:p w14:paraId="26E0AEA3" w14:textId="3E0F27E5"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Las fechas de lanzamiento de las redes 2G y 3G de los operadores mexicanos no preponderantes.</w:t>
      </w:r>
    </w:p>
    <w:p w14:paraId="149879AF"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lastRenderedPageBreak/>
        <w:t>El número de sitios de cobertura representativa al menos del promedio de los operadores mexicanos;</w:t>
      </w:r>
    </w:p>
    <w:p w14:paraId="3880F994"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El espectro realmente disponible para los operadores no preponderantes, teniendo en cuenta que sólo el AEP tiene cobertura nacional en la banda de 850MHz;</w:t>
      </w:r>
    </w:p>
    <w:p w14:paraId="46F375C9"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El promedio de la tenencia de espectro de los operadores no preponderantes en las bandas de frecuencia;</w:t>
      </w:r>
    </w:p>
    <w:p w14:paraId="04FA83C1"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Los niveles de cobertura de los operadores no preponderantes;</w:t>
      </w:r>
    </w:p>
    <w:p w14:paraId="199D2D86"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Los memorandos de entendimiento anteriores al año 2014 deben ser reducidos al menos en un 40% para reflejar la realidad del mercado mexicano;</w:t>
      </w:r>
    </w:p>
    <w:p w14:paraId="3DE8402D"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 xml:space="preserve">Una evolución tecnológica tradicional a una tecnología NGN. </w:t>
      </w:r>
    </w:p>
    <w:p w14:paraId="11F2D7AA"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La distribución del tráfico de los operadores no preponderantes, cuyo tráfico está mucho más concentrado.</w:t>
      </w:r>
    </w:p>
    <w:p w14:paraId="2C485C04" w14:textId="267E024D"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La distribución del tráfico entre 2G y 3G; actualmente Pegaso PCS transporta el 65% del tráfico de voz sobre la red 3G. Por lo tanto</w:t>
      </w:r>
      <w:r w:rsidR="00414004" w:rsidRPr="00800959">
        <w:rPr>
          <w:rFonts w:ascii="ITC Avant Garde" w:hAnsi="ITC Avant Garde" w:cs="Arial"/>
        </w:rPr>
        <w:t>,</w:t>
      </w:r>
      <w:r w:rsidRPr="00800959">
        <w:rPr>
          <w:rFonts w:ascii="ITC Avant Garde" w:hAnsi="ITC Avant Garde" w:cs="Arial"/>
        </w:rPr>
        <w:t xml:space="preserve"> el modelo debe incrementar el tráfico de voz 3G versus 2G.</w:t>
      </w:r>
    </w:p>
    <w:p w14:paraId="6EFED553" w14:textId="77777777" w:rsidR="0008637B"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 xml:space="preserve">Que el perfil de tráfico sea consistente con la escala del operador modelado, si el operador modelado tiene una cuota de mercado del 16% en un mercado con tres operadores, se debe tener en cuenta que los operadores alternativos tienen un perfil de tráfico inferior y la tendencia en los últimos años no ha sido estable. </w:t>
      </w:r>
    </w:p>
    <w:p w14:paraId="265FA409" w14:textId="77777777" w:rsidR="00800959" w:rsidRPr="00800959" w:rsidRDefault="0008637B" w:rsidP="00800959">
      <w:pPr>
        <w:pStyle w:val="Prrafodelista"/>
        <w:numPr>
          <w:ilvl w:val="0"/>
          <w:numId w:val="21"/>
        </w:numPr>
        <w:spacing w:before="240" w:after="240" w:line="276" w:lineRule="auto"/>
        <w:jc w:val="both"/>
        <w:rPr>
          <w:rFonts w:ascii="ITC Avant Garde" w:hAnsi="ITC Avant Garde" w:cs="Arial"/>
        </w:rPr>
      </w:pPr>
      <w:r w:rsidRPr="00800959">
        <w:rPr>
          <w:rFonts w:ascii="ITC Avant Garde" w:hAnsi="ITC Avant Garde" w:cs="Arial"/>
        </w:rPr>
        <w:t xml:space="preserve">El volumen de tráfico </w:t>
      </w:r>
      <w:proofErr w:type="spellStart"/>
      <w:r w:rsidRPr="00800959">
        <w:rPr>
          <w:rFonts w:ascii="ITC Avant Garde" w:hAnsi="ITC Avant Garde" w:cs="Arial"/>
        </w:rPr>
        <w:t>on</w:t>
      </w:r>
      <w:proofErr w:type="spellEnd"/>
      <w:r w:rsidRPr="00800959">
        <w:rPr>
          <w:rFonts w:ascii="ITC Avant Garde" w:hAnsi="ITC Avant Garde" w:cs="Arial"/>
        </w:rPr>
        <w:t>-net en función de la realidad de los operadores mexicanos y no como función de la cuota de mercado.</w:t>
      </w:r>
    </w:p>
    <w:p w14:paraId="77C864F7" w14:textId="7F9C330E" w:rsidR="0008637B" w:rsidRPr="00800959" w:rsidRDefault="0008637B" w:rsidP="00800959">
      <w:pPr>
        <w:spacing w:before="240" w:after="240"/>
        <w:jc w:val="both"/>
        <w:rPr>
          <w:rFonts w:ascii="ITC Avant Garde" w:hAnsi="ITC Avant Garde" w:cs="Arial"/>
        </w:rPr>
      </w:pPr>
      <w:r w:rsidRPr="00800959">
        <w:rPr>
          <w:rFonts w:ascii="ITC Avant Garde" w:hAnsi="ITC Avant Garde" w:cs="Arial"/>
        </w:rPr>
        <w:t>Finalmente, manifiesta Pegaso PCS que en el modelo 2018 se han modificado considerablemente los datos de la hora cargada, disminuyendo tanto el porcentaje de voz como de datos 3G e incluyendo la hora cargada de datos 4G.</w:t>
      </w:r>
    </w:p>
    <w:p w14:paraId="23399762"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Este factor es fundamental ya que el dimensionamiento d</w:t>
      </w:r>
      <w:r w:rsidR="003A7AFC" w:rsidRPr="00800959">
        <w:rPr>
          <w:rFonts w:ascii="ITC Avant Garde" w:hAnsi="ITC Avant Garde" w:cs="Arial"/>
        </w:rPr>
        <w:t>e todos los equipos de red está</w:t>
      </w:r>
      <w:r w:rsidRPr="00800959">
        <w:rPr>
          <w:rFonts w:ascii="ITC Avant Garde" w:hAnsi="ITC Avant Garde" w:cs="Arial"/>
        </w:rPr>
        <w:t xml:space="preserve"> en función de la demanda esperada en un determinado horizonte de planificación, que es específico para cada clase de equipo.</w:t>
      </w:r>
    </w:p>
    <w:p w14:paraId="5ADA51C3"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Consideraciones del Instituto</w:t>
      </w:r>
    </w:p>
    <w:p w14:paraId="2E5159D8"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En relación</w:t>
      </w:r>
      <w:r w:rsidR="005710C9" w:rsidRPr="00800959">
        <w:rPr>
          <w:rFonts w:ascii="ITC Avant Garde" w:hAnsi="ITC Avant Garde" w:cs="Arial"/>
        </w:rPr>
        <w:t xml:space="preserve"> con</w:t>
      </w:r>
      <w:r w:rsidRPr="00800959">
        <w:rPr>
          <w:rFonts w:ascii="ITC Avant Garde" w:hAnsi="ITC Avant Garde" w:cs="Arial"/>
        </w:rPr>
        <w:t xml:space="preserve"> los niveles de cobertura y </w:t>
      </w:r>
      <w:r w:rsidR="005710C9" w:rsidRPr="00800959">
        <w:rPr>
          <w:rFonts w:ascii="ITC Avant Garde" w:hAnsi="ITC Avant Garde" w:cs="Arial"/>
        </w:rPr>
        <w:t>el</w:t>
      </w:r>
      <w:r w:rsidRPr="00800959">
        <w:rPr>
          <w:rFonts w:ascii="ITC Avant Garde" w:hAnsi="ITC Avant Garde" w:cs="Arial"/>
        </w:rPr>
        <w:t xml:space="preserve"> número de sitios de cobertura incluidos en el modelo utilizado en el Acuerdo de CTM y Tarifas 2018 se señala que se han tomado en cuenta los datos proporcionados por todos los operadores móviles. </w:t>
      </w:r>
    </w:p>
    <w:p w14:paraId="02F43230"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La evolución de las redes móviles en México en los últimos años, así como la consolidación observada en el mercado resultan en la necesidad de niveles de cobertura sensiblemente superiores. </w:t>
      </w:r>
      <w:r w:rsidR="005710C9" w:rsidRPr="00800959">
        <w:rPr>
          <w:rFonts w:ascii="ITC Avant Garde" w:hAnsi="ITC Avant Garde" w:cs="Arial"/>
        </w:rPr>
        <w:t>Para tal efecto,</w:t>
      </w:r>
      <w:r w:rsidR="00281AB1" w:rsidRPr="00800959">
        <w:rPr>
          <w:rFonts w:ascii="ITC Avant Garde" w:hAnsi="ITC Avant Garde" w:cs="Arial"/>
        </w:rPr>
        <w:t xml:space="preserve"> </w:t>
      </w:r>
      <w:r w:rsidRPr="00800959">
        <w:rPr>
          <w:rFonts w:ascii="ITC Avant Garde" w:hAnsi="ITC Avant Garde" w:cs="Arial"/>
        </w:rPr>
        <w:t xml:space="preserve">se han definido los niveles de </w:t>
      </w:r>
      <w:r w:rsidRPr="00800959">
        <w:rPr>
          <w:rFonts w:ascii="ITC Avant Garde" w:hAnsi="ITC Avant Garde" w:cs="Arial"/>
        </w:rPr>
        <w:lastRenderedPageBreak/>
        <w:t>cobertura</w:t>
      </w:r>
      <w:r w:rsidR="005710C9" w:rsidRPr="00800959">
        <w:rPr>
          <w:rFonts w:ascii="ITC Avant Garde" w:hAnsi="ITC Avant Garde" w:cs="Arial"/>
        </w:rPr>
        <w:t xml:space="preserve"> </w:t>
      </w:r>
      <w:r w:rsidRPr="00800959">
        <w:rPr>
          <w:rFonts w:ascii="ITC Avant Garde" w:hAnsi="ITC Avant Garde" w:cs="Arial"/>
        </w:rPr>
        <w:t>y se ha incluido los valores de cobertura 3G y 4G de conformidad con la mejor información disponible</w:t>
      </w:r>
      <w:r w:rsidR="002645DB" w:rsidRPr="00800959">
        <w:rPr>
          <w:rFonts w:ascii="ITC Avant Garde" w:hAnsi="ITC Avant Garde" w:cs="Arial"/>
        </w:rPr>
        <w:t>.</w:t>
      </w:r>
    </w:p>
    <w:p w14:paraId="4DA212C8"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En relación con el espectro se señala que en el modelo el espectro disponible y utilizado actualmente por los operadores se adecua a un mercado de tres operadores</w:t>
      </w:r>
      <w:r w:rsidR="002645DB" w:rsidRPr="00800959">
        <w:rPr>
          <w:rFonts w:ascii="ITC Avant Garde" w:hAnsi="ITC Avant Garde" w:cs="Arial"/>
        </w:rPr>
        <w:t xml:space="preserve">, lo que permite, </w:t>
      </w:r>
      <w:r w:rsidRPr="00800959">
        <w:rPr>
          <w:rFonts w:ascii="ITC Avant Garde" w:hAnsi="ITC Avant Garde" w:cs="Arial"/>
        </w:rPr>
        <w:t>a un operador alternativo hipotético existente disponer de suficiente espectro para poder operar una red 2G, 3G y 4G de manera efectiva en las bandas de 850MHz, 1900MHz y 1700/2100MHz, r</w:t>
      </w:r>
      <w:r w:rsidR="00721410" w:rsidRPr="00800959">
        <w:rPr>
          <w:rFonts w:ascii="ITC Avant Garde" w:hAnsi="ITC Avant Garde" w:cs="Arial"/>
        </w:rPr>
        <w:t>espectivamente.</w:t>
      </w:r>
    </w:p>
    <w:p w14:paraId="5F27BD03"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Si bien es cierto que la tenencia de espectro en la banda de 850Mhz es regional para los operadores alternativos, el modelo se basa en un operador hipotético presente en un mercado contestable. De esto se desprende que en el modelo se asuma una distribución equitativa del espectro restante entre los operadores alternativos a nivel nacional, independientemente de la distribución del espectro existente entre los operadores del mercado mexicano. </w:t>
      </w:r>
    </w:p>
    <w:p w14:paraId="7BF78FDE"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De la misma manera, la asignación de espectro no pretende reflejar las decisiones estratégicas de los operadores con respecto a la adquisición o no de espectro que ha resultado en tenencias diferentes entre los operadores alternativos.</w:t>
      </w:r>
    </w:p>
    <w:p w14:paraId="213EAC48" w14:textId="1C47B1AD" w:rsidR="0008637B" w:rsidRPr="00800959" w:rsidRDefault="0008637B" w:rsidP="00800959">
      <w:pPr>
        <w:spacing w:before="240" w:after="240"/>
        <w:jc w:val="both"/>
        <w:rPr>
          <w:rFonts w:ascii="ITC Avant Garde" w:hAnsi="ITC Avant Garde" w:cs="Arial"/>
        </w:rPr>
      </w:pPr>
      <w:r w:rsidRPr="00800959">
        <w:rPr>
          <w:rFonts w:ascii="ITC Avant Garde" w:hAnsi="ITC Avant Garde" w:cs="Arial"/>
        </w:rPr>
        <w:t>En cuanto a la previsión de tráfico, se ha elaborado un pronóstico para los mercados fijo y móvil en México,</w:t>
      </w:r>
      <w:r w:rsidR="00281AB1" w:rsidRPr="00800959">
        <w:rPr>
          <w:rFonts w:ascii="ITC Avant Garde" w:hAnsi="ITC Avant Garde" w:cs="Arial"/>
        </w:rPr>
        <w:t xml:space="preserve"> basado en datos históricos </w:t>
      </w:r>
      <w:r w:rsidRPr="00800959">
        <w:rPr>
          <w:rFonts w:ascii="ITC Avant Garde" w:hAnsi="ITC Avant Garde" w:cs="Arial"/>
        </w:rPr>
        <w:t xml:space="preserve">población, penetración móvil y fija, y </w:t>
      </w:r>
      <w:r w:rsidR="003A7AFC" w:rsidRPr="00800959">
        <w:rPr>
          <w:rFonts w:ascii="ITC Avant Garde" w:hAnsi="ITC Avant Garde" w:cs="Arial"/>
        </w:rPr>
        <w:t>tráfico proporcionados</w:t>
      </w:r>
      <w:r w:rsidRPr="00800959">
        <w:rPr>
          <w:rFonts w:ascii="ITC Avant Garde" w:hAnsi="ITC Avant Garde" w:cs="Arial"/>
        </w:rPr>
        <w:t xml:space="preserve"> por los operadores mexicanos al I</w:t>
      </w:r>
      <w:r w:rsidR="00D30C10" w:rsidRPr="00800959">
        <w:rPr>
          <w:rFonts w:ascii="ITC Avant Garde" w:hAnsi="ITC Avant Garde" w:cs="Arial"/>
        </w:rPr>
        <w:t>nstituto</w:t>
      </w:r>
      <w:r w:rsidR="003A7AFC" w:rsidRPr="00800959">
        <w:rPr>
          <w:rFonts w:ascii="ITC Avant Garde" w:hAnsi="ITC Avant Garde" w:cs="Arial"/>
        </w:rPr>
        <w:t>, junto</w:t>
      </w:r>
      <w:r w:rsidRPr="00800959">
        <w:rPr>
          <w:rFonts w:ascii="ITC Avant Garde" w:hAnsi="ITC Avant Garde" w:cs="Arial"/>
        </w:rPr>
        <w:t xml:space="preserve"> con otras fuentes públicas disponibles, como la información del INEGI. A partir de esta información se ha calculado el tráfico promedio por usuario, a lo que se ha aplicado una tasa de crecimiento deducida de la evolución histórica y diversas previsiones realizadas; cabe señalar que los datos de tráfico se han actualizado en relación a modelos previamente publicados por el Instituto.</w:t>
      </w:r>
    </w:p>
    <w:p w14:paraId="7C640D69" w14:textId="77777777" w:rsidR="0008637B" w:rsidRPr="00800959" w:rsidRDefault="0008637B" w:rsidP="00800959">
      <w:pPr>
        <w:spacing w:before="240" w:after="240"/>
        <w:jc w:val="both"/>
        <w:rPr>
          <w:rFonts w:ascii="ITC Avant Garde" w:hAnsi="ITC Avant Garde" w:cs="Arial"/>
        </w:rPr>
      </w:pPr>
      <w:r w:rsidRPr="00800959">
        <w:rPr>
          <w:rFonts w:ascii="ITC Avant Garde" w:hAnsi="ITC Avant Garde" w:cs="Arial"/>
        </w:rPr>
        <w:t>Asimismo,</w:t>
      </w:r>
      <w:r w:rsidR="00533E3E" w:rsidRPr="00800959">
        <w:rPr>
          <w:rFonts w:ascii="ITC Avant Garde" w:hAnsi="ITC Avant Garde" w:cs="Arial"/>
        </w:rPr>
        <w:t xml:space="preserve"> es importante precisar que por</w:t>
      </w:r>
      <w:r w:rsidRPr="00800959">
        <w:rPr>
          <w:rFonts w:ascii="ITC Avant Garde" w:hAnsi="ITC Avant Garde" w:cs="Arial"/>
        </w:rPr>
        <w:t xml:space="preserve"> coherencia con modelos anteriores se continúa modelando un usuario medio del mercado. </w:t>
      </w:r>
      <w:r w:rsidR="00533E3E" w:rsidRPr="00800959">
        <w:rPr>
          <w:rFonts w:ascii="ITC Avant Garde" w:hAnsi="ITC Avant Garde" w:cs="Arial"/>
        </w:rPr>
        <w:t>L</w:t>
      </w:r>
      <w:r w:rsidRPr="00800959">
        <w:rPr>
          <w:rFonts w:ascii="ITC Avant Garde" w:hAnsi="ITC Avant Garde" w:cs="Arial"/>
        </w:rPr>
        <w:t>a cuota de mercado de tráfico reflejaría el resultado de la estructura de clientes de los operadores, así como de su perfil económico (los usuarios con más ingresos pueden permitirse tarifas con más minutos), mientras que el mercado modelado refleja un suscriptor medio. El uso de una cuota de mercado por suscriptor permite no prejuzgar ni reflejar en los resultados del modelo las posibles prácticas económicas minoristas de los operadores del mercado.</w:t>
      </w:r>
    </w:p>
    <w:p w14:paraId="2085A04B"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Finalmente, con relación a lo señalado por Pegaso PCS sobre las modificaciones a los datos de la hora cargada, se señala que esta se ha definido de conformidad con la información proporcionada por operadores en México, así como a la aportada por el experto.</w:t>
      </w:r>
    </w:p>
    <w:p w14:paraId="14764D7D" w14:textId="77777777" w:rsidR="00800959" w:rsidRPr="00800959" w:rsidRDefault="008412F4" w:rsidP="00800959">
      <w:pPr>
        <w:spacing w:before="240" w:after="240"/>
        <w:jc w:val="both"/>
        <w:rPr>
          <w:rFonts w:ascii="ITC Avant Garde" w:hAnsi="ITC Avant Garde" w:cs="Arial"/>
          <w:b/>
        </w:rPr>
      </w:pPr>
      <w:r w:rsidRPr="00800959">
        <w:rPr>
          <w:rFonts w:ascii="ITC Avant Garde" w:hAnsi="ITC Avant Garde" w:cs="Arial"/>
          <w:b/>
        </w:rPr>
        <w:lastRenderedPageBreak/>
        <w:t>F</w:t>
      </w:r>
      <w:r w:rsidR="0008637B" w:rsidRPr="00800959">
        <w:rPr>
          <w:rFonts w:ascii="ITC Avant Garde" w:hAnsi="ITC Avant Garde" w:cs="Arial"/>
          <w:b/>
        </w:rPr>
        <w:t>.2 Costo del capital promedio ponderado (CCPP o WACC en inglés).</w:t>
      </w:r>
    </w:p>
    <w:p w14:paraId="7C4A0E62"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Pegaso PCS señala que resulta de máxima importancia que el Instituto reconozca que la tasa de un operador alternativo debe ser superior a la del AEP. </w:t>
      </w:r>
    </w:p>
    <w:p w14:paraId="414E0896"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Asimismo, señala que P</w:t>
      </w:r>
      <w:r w:rsidR="00714B13" w:rsidRPr="00800959">
        <w:rPr>
          <w:rFonts w:ascii="ITC Avant Garde" w:hAnsi="ITC Avant Garde" w:cs="Arial"/>
        </w:rPr>
        <w:t>egaso PCS solicitó a la consultora</w:t>
      </w:r>
      <w:r w:rsidRPr="00800959">
        <w:rPr>
          <w:rFonts w:ascii="ITC Avant Garde" w:hAnsi="ITC Avant Garde" w:cs="Arial"/>
        </w:rPr>
        <w:t xml:space="preserve"> británica AETHA un informe sobre la consulta pública de los modelos de costos de los servicios de interconexión fijos y móviles aplicables al periodo 2018-2020 publicada por el Instituto, en el cual se observa que el CCPP nominal antes de impuestos igual a 13.9% está subvaluada, y debería ser igual a 18%, con lo cual, aplicando la inflación propuesta en el modelo para el 2018, se obtendría un CCPP real antes de impuestos igual a 14.19%.</w:t>
      </w:r>
    </w:p>
    <w:p w14:paraId="0DC48F60"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Es así que Pegaso PCS solicita que el modelo que se aplique para determinar la tarifa 2018 debe reconocer y ajustarse a la realidad de la economía mexicana a efecto de evitar que se afecte a los concesionarios no preponderantes y para lograr mejores condiciones de competencia en el sector, que en última instancia redundan en beneficios para los usuarios finales.</w:t>
      </w:r>
    </w:p>
    <w:p w14:paraId="18BD609E"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Consideraciones del Instituto</w:t>
      </w:r>
    </w:p>
    <w:p w14:paraId="3C9427C2"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En relación con el Costo de Capital Promedio Ponderado (CCPP o WACC por sus siglas en inglés) se señala que este se ha definido estimando lo que le costaría financiarse a un operador eficiente en México, estimar un CCPP particular por empresa implicaría calcular el CCPP de tres grupos de talle internacional que se financian en mercados internacionales, con lo cual no necesariamente se reflejaría en una asimetría asociada al </w:t>
      </w:r>
      <w:r w:rsidR="003E45B6" w:rsidRPr="00800959">
        <w:rPr>
          <w:rFonts w:ascii="ITC Avant Garde" w:hAnsi="ITC Avant Garde" w:cs="Arial"/>
        </w:rPr>
        <w:t>AEP</w:t>
      </w:r>
      <w:r w:rsidRPr="00800959">
        <w:rPr>
          <w:rFonts w:ascii="ITC Avant Garde" w:hAnsi="ITC Avant Garde" w:cs="Arial"/>
        </w:rPr>
        <w:t xml:space="preserve">. </w:t>
      </w:r>
    </w:p>
    <w:p w14:paraId="3E539AC2" w14:textId="77777777" w:rsidR="00800959" w:rsidRPr="00800959" w:rsidRDefault="0008637B" w:rsidP="00800959">
      <w:pPr>
        <w:pStyle w:val="Prrafodelista"/>
        <w:numPr>
          <w:ilvl w:val="0"/>
          <w:numId w:val="49"/>
        </w:numPr>
        <w:spacing w:before="240" w:after="240"/>
        <w:ind w:left="426" w:hanging="426"/>
        <w:jc w:val="both"/>
        <w:rPr>
          <w:rFonts w:ascii="ITC Avant Garde" w:hAnsi="ITC Avant Garde" w:cs="Arial"/>
          <w:b/>
        </w:rPr>
      </w:pPr>
      <w:r w:rsidRPr="00800959">
        <w:rPr>
          <w:rFonts w:ascii="ITC Avant Garde" w:hAnsi="ITC Avant Garde" w:cs="Arial"/>
          <w:b/>
        </w:rPr>
        <w:t>Costos unitarios (CAPEX y OPEX) y depreciación económica</w:t>
      </w:r>
    </w:p>
    <w:p w14:paraId="4235A9A4"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Argumentos de Pegaso PCS</w:t>
      </w:r>
    </w:p>
    <w:p w14:paraId="3A1EDFE9"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Manifiesta Pegaso PCS que en </w:t>
      </w:r>
      <w:r w:rsidR="00714B13" w:rsidRPr="00800959">
        <w:rPr>
          <w:rFonts w:ascii="ITC Avant Garde" w:hAnsi="ITC Avant Garde" w:cs="Arial"/>
        </w:rPr>
        <w:t>el Acuerdo de</w:t>
      </w:r>
      <w:r w:rsidRPr="00800959">
        <w:rPr>
          <w:rFonts w:ascii="ITC Avant Garde" w:hAnsi="ITC Avant Garde" w:cs="Arial"/>
        </w:rPr>
        <w:t xml:space="preserve"> Condiciones Técnicas Mínimas 2017</w:t>
      </w:r>
      <w:r w:rsidR="00E4455C" w:rsidRPr="00800959">
        <w:rPr>
          <w:rStyle w:val="Refdenotaalpie"/>
          <w:rFonts w:ascii="ITC Avant Garde" w:hAnsi="ITC Avant Garde" w:cs="Arial"/>
        </w:rPr>
        <w:footnoteReference w:id="1"/>
      </w:r>
      <w:r w:rsidRPr="00800959">
        <w:rPr>
          <w:rFonts w:ascii="ITC Avant Garde" w:hAnsi="ITC Avant Garde" w:cs="Arial"/>
        </w:rPr>
        <w:t>, el Instituto estableció que el modelo fue actualizado con la información del CAPEX proporcionada por los operadores; sin embargo, sólo se ha requerido en una ocasión a los operadores dicha información. En consecuencia, si la información proviniera de la misma fuente, los costos unitarios del modelo 2017 y los del 2018 deberían ser iguales.</w:t>
      </w:r>
    </w:p>
    <w:p w14:paraId="5F2CE055"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lastRenderedPageBreak/>
        <w:t>En relación con los equipos 2G, toda vez que dicha tecnología ha llegado a su punto de madurez, los costos deben mantenerse por lo menos constantes en términos nominales.</w:t>
      </w:r>
    </w:p>
    <w:p w14:paraId="3C0E9A1C"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Pegaso PCS señala que el Instituto debe tomar en consideración que el valor de la Prima de Riesgo Capital que generalmente utiliza fue</w:t>
      </w:r>
      <w:r w:rsidR="00191815" w:rsidRPr="00800959">
        <w:rPr>
          <w:rFonts w:ascii="ITC Avant Garde" w:hAnsi="ITC Avant Garde" w:cs="Arial"/>
        </w:rPr>
        <w:t xml:space="preserve"> </w:t>
      </w:r>
      <w:r w:rsidRPr="00800959">
        <w:rPr>
          <w:rFonts w:ascii="ITC Avant Garde" w:hAnsi="ITC Avant Garde" w:cs="Arial"/>
        </w:rPr>
        <w:t>actualizada en julio de 2016, de lo que se obtiene una prima de mercado para México de 88%.</w:t>
      </w:r>
    </w:p>
    <w:p w14:paraId="4D382A60"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Señala también que para el cálculo de la prima de riesgo de la deuda, se considera que se debe utilizar el spread crediticio determinado por las principales agencias de rating. </w:t>
      </w:r>
    </w:p>
    <w:p w14:paraId="6B247A44"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Respecto de la información del OPEX, el Instituto debe reconocer que los costos operativos han cambiado considerablemente y que no es razonable considerar que la caída en el tipo de cambio es menor que la de los costos operativos, por lo que no existe evidencia o motivación. </w:t>
      </w:r>
    </w:p>
    <w:p w14:paraId="73C2FA72"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Por lo que hace al uso de la depreciación económica, </w:t>
      </w:r>
      <w:r w:rsidR="00714B13" w:rsidRPr="00800959">
        <w:rPr>
          <w:rFonts w:ascii="ITC Avant Garde" w:hAnsi="ITC Avant Garde" w:cs="Arial"/>
        </w:rPr>
        <w:t xml:space="preserve">señala que </w:t>
      </w:r>
      <w:r w:rsidRPr="00800959">
        <w:rPr>
          <w:rFonts w:ascii="ITC Avant Garde" w:hAnsi="ITC Avant Garde" w:cs="Arial"/>
        </w:rPr>
        <w:t xml:space="preserve">esta debe ir acompañada de un modelado de la evolución del uso de los activos a lo largo de su vida útil, incluyéndose la fase de arranque. En México, la fase de arranque de 2G y 3G se encuentra en el pasado, por lo que es necesario que el modelo empiece en el pasado. Asimismo, señala Pegaso PCS que en el cálculo de la depreciación económica se deben incluir los datos históricos con el fin de no distorsionar su comportamiento. </w:t>
      </w:r>
    </w:p>
    <w:p w14:paraId="456E9176"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Finalmente, Pegaso PCS manifiesta</w:t>
      </w:r>
      <w:r w:rsidR="00191815" w:rsidRPr="00800959">
        <w:rPr>
          <w:rFonts w:ascii="ITC Avant Garde" w:hAnsi="ITC Avant Garde" w:cs="Arial"/>
        </w:rPr>
        <w:t xml:space="preserve"> </w:t>
      </w:r>
      <w:r w:rsidRPr="00800959">
        <w:rPr>
          <w:rFonts w:ascii="ITC Avant Garde" w:hAnsi="ITC Avant Garde" w:cs="Arial"/>
        </w:rPr>
        <w:t xml:space="preserve">que respecto del horizonte temporal, y toda vez que la vida útil del activo más longevo de la red, que son los ductos, es de 40 años, mientras que los sitios tienen una vida útil de 20 años, mientras que la mayoría de los activos tienen vidas útiles aproximadas de 8 años, se considera que es razonable no incluir un intervalo temporal de entre 15 a 20 años desde la fecha actual siendo un periodo razonable de la vida útil de los activos. La mayoría de los consultores, exceptuando a </w:t>
      </w:r>
      <w:proofErr w:type="spellStart"/>
      <w:r w:rsidRPr="00800959">
        <w:rPr>
          <w:rFonts w:ascii="ITC Avant Garde" w:hAnsi="ITC Avant Garde" w:cs="Arial"/>
        </w:rPr>
        <w:t>Analysys</w:t>
      </w:r>
      <w:proofErr w:type="spellEnd"/>
      <w:r w:rsidRPr="00800959">
        <w:rPr>
          <w:rFonts w:ascii="ITC Avant Garde" w:hAnsi="ITC Avant Garde" w:cs="Arial"/>
        </w:rPr>
        <w:t xml:space="preserve"> Mason utilizan horizontes temporales inferiores a 50 años.</w:t>
      </w:r>
    </w:p>
    <w:p w14:paraId="504C5DEF" w14:textId="77777777" w:rsidR="00800959" w:rsidRPr="00800959" w:rsidRDefault="0008637B" w:rsidP="00800959">
      <w:pPr>
        <w:spacing w:before="240" w:after="240"/>
        <w:jc w:val="both"/>
        <w:rPr>
          <w:rFonts w:ascii="ITC Avant Garde" w:hAnsi="ITC Avant Garde" w:cs="Arial"/>
          <w:b/>
        </w:rPr>
      </w:pPr>
      <w:r w:rsidRPr="00800959">
        <w:rPr>
          <w:rFonts w:ascii="ITC Avant Garde" w:hAnsi="ITC Avant Garde" w:cs="Arial"/>
          <w:b/>
        </w:rPr>
        <w:t>Consideraciones del Instituto</w:t>
      </w:r>
    </w:p>
    <w:p w14:paraId="07D5CE18"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En relación a los diversos comentarios sobre el CCPP, se señala que este se ha definido estimando lo que le costaría financiarse a un operador eficiente en México, estimar un CCPP particular por empresa implicaría calcular</w:t>
      </w:r>
      <w:r w:rsidR="009664D4" w:rsidRPr="00800959">
        <w:rPr>
          <w:rFonts w:ascii="ITC Avant Garde" w:hAnsi="ITC Avant Garde" w:cs="Arial"/>
        </w:rPr>
        <w:t xml:space="preserve"> el CCPP de tres grupos de talla</w:t>
      </w:r>
      <w:r w:rsidRPr="00800959">
        <w:rPr>
          <w:rFonts w:ascii="ITC Avant Garde" w:hAnsi="ITC Avant Garde" w:cs="Arial"/>
        </w:rPr>
        <w:t xml:space="preserve"> internacional que se financian en mercados internacionales, con lo cual no necesariamente se reflejaría en una asimetría asociada al </w:t>
      </w:r>
      <w:r w:rsidR="003E45B6" w:rsidRPr="00800959">
        <w:rPr>
          <w:rFonts w:ascii="ITC Avant Garde" w:hAnsi="ITC Avant Garde" w:cs="Arial"/>
        </w:rPr>
        <w:t>AEP</w:t>
      </w:r>
      <w:r w:rsidRPr="00800959">
        <w:rPr>
          <w:rFonts w:ascii="ITC Avant Garde" w:hAnsi="ITC Avant Garde" w:cs="Arial"/>
        </w:rPr>
        <w:t xml:space="preserve">. </w:t>
      </w:r>
    </w:p>
    <w:p w14:paraId="0C1A56E7" w14:textId="77777777" w:rsidR="00800959" w:rsidRPr="00800959" w:rsidRDefault="0008637B" w:rsidP="00800959">
      <w:pPr>
        <w:spacing w:before="240" w:after="240"/>
        <w:jc w:val="both"/>
        <w:rPr>
          <w:rFonts w:ascii="ITC Avant Garde" w:hAnsi="ITC Avant Garde" w:cs="Arial"/>
        </w:rPr>
      </w:pPr>
      <w:r w:rsidRPr="00800959">
        <w:rPr>
          <w:rFonts w:ascii="ITC Avant Garde" w:hAnsi="ITC Avant Garde" w:cs="Arial"/>
        </w:rPr>
        <w:t xml:space="preserve">Por lo que hace a la utilización de un horizonte temporal tan amplio, en el modelo se menciona que un modelo de costos incrementales de largo plazo (LRIC) con un horizonte temporal de 50 años no tiene la intención de predecir con exactitud y precisión </w:t>
      </w:r>
      <w:r w:rsidRPr="00800959">
        <w:rPr>
          <w:rFonts w:ascii="ITC Avant Garde" w:hAnsi="ITC Avant Garde" w:cs="Arial"/>
        </w:rPr>
        <w:lastRenderedPageBreak/>
        <w:t xml:space="preserve">la evolución del tráfico y por ende la amortización de los activos, para un periodo tan largo. </w:t>
      </w:r>
    </w:p>
    <w:p w14:paraId="34586F64" w14:textId="30501AA1" w:rsidR="00F3561F" w:rsidRPr="00800959" w:rsidRDefault="0008637B" w:rsidP="00800959">
      <w:pPr>
        <w:spacing w:before="240" w:after="240"/>
        <w:jc w:val="both"/>
        <w:rPr>
          <w:rFonts w:ascii="ITC Avant Garde" w:hAnsi="ITC Avant Garde" w:cs="Arial"/>
        </w:rPr>
      </w:pPr>
      <w:r w:rsidRPr="00800959">
        <w:rPr>
          <w:rFonts w:ascii="ITC Avant Garde" w:hAnsi="ITC Avant Garde" w:cs="Arial"/>
        </w:rPr>
        <w:t>La utilización de un horizonte temporal tan amplio permite la recuperación de todas las inversiones por parte del operador y evita tener que determinar un valor terminal de la empresa, lo que requeriría supuestos sobre las tasas de crecimiento de ingresos y costos. De hecho, el valor terminal de una empresa en el modelo es insignificante respecto al valor total de la misma, y puede ser por tanto ignorado. Asimismo, asegura la amortización de los activos durante un plazo al menos tan largo como la duración del activo con mayor vida útil.</w:t>
      </w:r>
    </w:p>
    <w:p w14:paraId="1C8F521A" w14:textId="77777777" w:rsidR="00800959" w:rsidRPr="00800959" w:rsidRDefault="008412F4" w:rsidP="00800959">
      <w:pPr>
        <w:spacing w:before="240" w:after="240"/>
        <w:jc w:val="center"/>
        <w:rPr>
          <w:rFonts w:ascii="ITC Avant Garde" w:hAnsi="ITC Avant Garde" w:cs="Arial"/>
        </w:rPr>
      </w:pPr>
      <w:r w:rsidRPr="00800959">
        <w:rPr>
          <w:rFonts w:ascii="ITC Avant Garde" w:hAnsi="ITC Avant Garde" w:cs="Arial"/>
          <w:b/>
          <w:lang w:val="es-ES"/>
        </w:rPr>
        <w:t xml:space="preserve">H) </w:t>
      </w:r>
      <w:r w:rsidR="00A8778A" w:rsidRPr="00800959">
        <w:rPr>
          <w:rFonts w:ascii="ITC Avant Garde" w:hAnsi="ITC Avant Garde" w:cs="Arial"/>
          <w:b/>
          <w:lang w:val="es-ES"/>
        </w:rPr>
        <w:t>El Instituto se encuentra obligado a conocer y resolver todos los planteamientos y objeciones realizadas por Pegaso PCS las cuales conforman la Litis del desacuerdo.</w:t>
      </w:r>
    </w:p>
    <w:p w14:paraId="504BEFBE" w14:textId="77777777" w:rsidR="00800959" w:rsidRPr="00800959" w:rsidRDefault="00A8778A" w:rsidP="00800959">
      <w:pPr>
        <w:spacing w:before="240" w:after="240"/>
        <w:jc w:val="both"/>
        <w:rPr>
          <w:rFonts w:ascii="ITC Avant Garde" w:hAnsi="ITC Avant Garde" w:cs="Arial"/>
          <w:b/>
        </w:rPr>
      </w:pPr>
      <w:r w:rsidRPr="00800959">
        <w:rPr>
          <w:rFonts w:ascii="ITC Avant Garde" w:hAnsi="ITC Avant Garde" w:cs="Arial"/>
          <w:b/>
        </w:rPr>
        <w:t>Argumentos de Pegaso PCS</w:t>
      </w:r>
    </w:p>
    <w:p w14:paraId="08E13047" w14:textId="77777777" w:rsidR="00800959" w:rsidRPr="00800959" w:rsidRDefault="00A8778A" w:rsidP="00800959">
      <w:pPr>
        <w:spacing w:before="240" w:after="240"/>
        <w:jc w:val="both"/>
        <w:rPr>
          <w:rFonts w:ascii="ITC Avant Garde" w:hAnsi="ITC Avant Garde" w:cs="Arial"/>
        </w:rPr>
      </w:pPr>
      <w:r w:rsidRPr="00800959">
        <w:rPr>
          <w:rFonts w:ascii="ITC Avant Garde" w:hAnsi="ITC Avant Garde" w:cs="Arial"/>
        </w:rPr>
        <w:t xml:space="preserve">Pegaso PCS señala que el </w:t>
      </w:r>
      <w:proofErr w:type="spellStart"/>
      <w:r w:rsidRPr="00800959">
        <w:rPr>
          <w:rFonts w:ascii="ITC Avant Garde" w:hAnsi="ITC Avant Garde" w:cs="Arial"/>
        </w:rPr>
        <w:t>lnstituto</w:t>
      </w:r>
      <w:proofErr w:type="spellEnd"/>
      <w:r w:rsidRPr="00800959">
        <w:rPr>
          <w:rFonts w:ascii="ITC Avant Garde" w:hAnsi="ITC Avant Garde" w:cs="Arial"/>
        </w:rPr>
        <w:t xml:space="preserve"> debe tomar en consideración la totalidad de los puntos no convenidos consistentes en determinar la tarifa de interconexión por terminación en la red pública de telecomunicaciones de Pegaso </w:t>
      </w:r>
      <w:r w:rsidR="00D60207" w:rsidRPr="00800959">
        <w:rPr>
          <w:rFonts w:ascii="ITC Avant Garde" w:hAnsi="ITC Avant Garde" w:cs="Arial"/>
        </w:rPr>
        <w:t xml:space="preserve">PCS </w:t>
      </w:r>
      <w:r w:rsidRPr="00800959">
        <w:rPr>
          <w:rFonts w:ascii="ITC Avant Garde" w:hAnsi="ITC Avant Garde" w:cs="Arial"/>
        </w:rPr>
        <w:t xml:space="preserve">y </w:t>
      </w:r>
      <w:r w:rsidR="00791DB8" w:rsidRPr="00800959">
        <w:rPr>
          <w:rFonts w:ascii="ITC Avant Garde" w:hAnsi="ITC Avant Garde" w:cs="Arial"/>
        </w:rPr>
        <w:t>Mega Cable</w:t>
      </w:r>
      <w:r w:rsidRPr="00800959">
        <w:rPr>
          <w:rFonts w:ascii="ITC Avant Garde" w:hAnsi="ITC Avant Garde" w:cs="Arial"/>
        </w:rPr>
        <w:t>.</w:t>
      </w:r>
    </w:p>
    <w:p w14:paraId="737B0B12" w14:textId="77777777" w:rsidR="00800959" w:rsidRPr="00800959" w:rsidRDefault="00A8778A" w:rsidP="00800959">
      <w:pPr>
        <w:spacing w:before="240" w:after="240"/>
        <w:jc w:val="both"/>
        <w:rPr>
          <w:rFonts w:ascii="ITC Avant Garde" w:hAnsi="ITC Avant Garde" w:cs="Arial"/>
        </w:rPr>
      </w:pPr>
      <w:r w:rsidRPr="00800959">
        <w:rPr>
          <w:rFonts w:ascii="ITC Avant Garde" w:hAnsi="ITC Avant Garde" w:cs="Arial"/>
        </w:rPr>
        <w:t xml:space="preserve">Lo anterior, de conformidad con los principios de congruencia y exhaustividad de las sentencias, los cuales ordenan que las autoridades administrativas deben abordar el estudio de todos y cada uno de los puntos planteados por las partes en la controversia de conformidad con lo dispuesto por los artículos 3, fracciones </w:t>
      </w:r>
      <w:proofErr w:type="spellStart"/>
      <w:r w:rsidRPr="00800959">
        <w:rPr>
          <w:rFonts w:ascii="ITC Avant Garde" w:hAnsi="ITC Avant Garde" w:cs="Arial"/>
        </w:rPr>
        <w:t>Vll</w:t>
      </w:r>
      <w:proofErr w:type="spellEnd"/>
      <w:r w:rsidRPr="00800959">
        <w:rPr>
          <w:rFonts w:ascii="ITC Avant Garde" w:hAnsi="ITC Avant Garde" w:cs="Arial"/>
        </w:rPr>
        <w:t xml:space="preserve"> y </w:t>
      </w:r>
      <w:proofErr w:type="spellStart"/>
      <w:r w:rsidRPr="00800959">
        <w:rPr>
          <w:rFonts w:ascii="ITC Avant Garde" w:hAnsi="ITC Avant Garde" w:cs="Arial"/>
        </w:rPr>
        <w:t>XVl</w:t>
      </w:r>
      <w:proofErr w:type="spellEnd"/>
      <w:r w:rsidRPr="00800959">
        <w:rPr>
          <w:rFonts w:ascii="ITC Avant Garde" w:hAnsi="ITC Avant Garde" w:cs="Arial"/>
        </w:rPr>
        <w:t>, 16, fracción X, y 59, todos los anteriores de la LFPA.</w:t>
      </w:r>
    </w:p>
    <w:p w14:paraId="7AD00588" w14:textId="77777777" w:rsidR="00800959" w:rsidRPr="00800959" w:rsidRDefault="00A8778A" w:rsidP="00800959">
      <w:pPr>
        <w:spacing w:before="240" w:after="240"/>
        <w:jc w:val="both"/>
        <w:rPr>
          <w:rFonts w:ascii="ITC Avant Garde" w:hAnsi="ITC Avant Garde" w:cs="Arial"/>
        </w:rPr>
      </w:pPr>
      <w:r w:rsidRPr="00800959">
        <w:rPr>
          <w:rFonts w:ascii="ITC Avant Garde" w:hAnsi="ITC Avant Garde" w:cs="Arial"/>
        </w:rPr>
        <w:t>Por ende, las manifestaciones vertidas por Pegaso PCS constituyen condiciones no convenidas entre las partes y, por lo tanto, el Instituto  se encuentra obligado al debido estudio y resolución de los temas planteados (los argumentos y peticiones que en los momentos procesales oportunos - solicitud de desacuerdo, contestación y alegatos - las partes expongan de conformidad con el principio de seguridad jurídica), ya que constituyen materia del desacuerdo de interconexión en el que se actúa al ser claramente parte de la Litis.</w:t>
      </w:r>
    </w:p>
    <w:p w14:paraId="23B59EC4" w14:textId="77777777" w:rsidR="00800959" w:rsidRPr="00800959" w:rsidRDefault="00901F6D" w:rsidP="00800959">
      <w:pPr>
        <w:pStyle w:val="IFTnormal"/>
        <w:spacing w:before="240" w:after="240"/>
        <w:ind w:left="0"/>
        <w:rPr>
          <w:b/>
        </w:rPr>
      </w:pPr>
      <w:r w:rsidRPr="00800959">
        <w:rPr>
          <w:b/>
        </w:rPr>
        <w:t>Consideraciones del Instituto</w:t>
      </w:r>
    </w:p>
    <w:p w14:paraId="3E0EE6B2" w14:textId="77777777" w:rsidR="00800959" w:rsidRPr="00800959" w:rsidRDefault="00901F6D" w:rsidP="00800959">
      <w:pPr>
        <w:spacing w:before="240" w:after="240"/>
        <w:jc w:val="both"/>
        <w:rPr>
          <w:rFonts w:ascii="ITC Avant Garde" w:eastAsia="Times New Roman" w:hAnsi="ITC Avant Garde"/>
        </w:rPr>
      </w:pPr>
      <w:r w:rsidRPr="00800959">
        <w:rPr>
          <w:rFonts w:ascii="ITC Avant Garde" w:eastAsia="Times New Roman" w:hAnsi="ITC Avant Garde"/>
        </w:rPr>
        <w:t xml:space="preserve">Al respecto, como se señaló anteriormente, el convenio que 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w:t>
      </w:r>
      <w:r w:rsidRPr="00800959">
        <w:rPr>
          <w:rFonts w:ascii="ITC Avant Garde" w:eastAsia="Times New Roman" w:hAnsi="ITC Avant Garde"/>
        </w:rPr>
        <w:lastRenderedPageBreak/>
        <w:t>tal forma que, una vez que ésta sea emitida por la autoridad no existan elementos pendientes de definición que impidan la prestación de los servicios.</w:t>
      </w:r>
    </w:p>
    <w:p w14:paraId="29C0CBF6" w14:textId="77777777" w:rsidR="00800959" w:rsidRPr="00800959" w:rsidRDefault="00901F6D" w:rsidP="00800959">
      <w:pPr>
        <w:spacing w:before="240" w:after="240"/>
        <w:jc w:val="both"/>
        <w:rPr>
          <w:rFonts w:ascii="ITC Avant Garde" w:eastAsia="Times New Roman" w:hAnsi="ITC Avant Garde"/>
        </w:rPr>
      </w:pPr>
      <w:r w:rsidRPr="00800959">
        <w:rPr>
          <w:rFonts w:ascii="ITC Avant Garde" w:eastAsia="Times New Roman" w:hAnsi="ITC Avant Garde"/>
        </w:rPr>
        <w:t xml:space="preserve">En ese sentido, toda vez que Pegaso PCS planteó en su respuesta los términos, condiciones y tarifas que no pudo convenir con </w:t>
      </w:r>
      <w:r w:rsidR="00791DB8" w:rsidRPr="00800959">
        <w:rPr>
          <w:rFonts w:ascii="ITC Avant Garde" w:eastAsia="Times New Roman" w:hAnsi="ITC Avant Garde"/>
        </w:rPr>
        <w:t>Mega Cable</w:t>
      </w:r>
      <w:r w:rsidRPr="00800959">
        <w:rPr>
          <w:rFonts w:ascii="ITC Avant Garde" w:eastAsia="Times New Roman" w:hAnsi="ITC Avant Garde"/>
        </w:rPr>
        <w:t>, el Instituto supra líneas, realizó el análisis y motivación correspondiente y en términos del artículo 129 de la LFTR, señaló cuales son las condiciones no convenidas que resolverá en la presente resolución, entre las que se encuentran las planteadas por Pegaso PCS, a saber:</w:t>
      </w:r>
    </w:p>
    <w:p w14:paraId="6BC6F7E3" w14:textId="77777777" w:rsidR="00800959" w:rsidRPr="00800959" w:rsidRDefault="00901F6D" w:rsidP="00800959">
      <w:pPr>
        <w:pStyle w:val="Prrafodelista"/>
        <w:numPr>
          <w:ilvl w:val="0"/>
          <w:numId w:val="22"/>
        </w:numPr>
        <w:spacing w:before="240" w:after="240" w:line="276" w:lineRule="auto"/>
        <w:jc w:val="both"/>
        <w:rPr>
          <w:rFonts w:ascii="ITC Avant Garde" w:eastAsia="Times New Roman" w:hAnsi="ITC Avant Garde"/>
          <w:lang w:eastAsia="es-ES"/>
        </w:rPr>
      </w:pPr>
      <w:r w:rsidRPr="00800959">
        <w:rPr>
          <w:rFonts w:ascii="ITC Avant Garde" w:hAnsi="ITC Avant Garde" w:cs="Arial"/>
        </w:rPr>
        <w:t xml:space="preserve">La determinación de las tarifas de terminación conmutada en la red de Pegaso PCS así como las tarifas de terminación en la red de </w:t>
      </w:r>
      <w:r w:rsidR="000A36B2" w:rsidRPr="00800959">
        <w:rPr>
          <w:rFonts w:ascii="ITC Avant Garde" w:hAnsi="ITC Avant Garde" w:cs="Arial"/>
        </w:rPr>
        <w:t>Mega Cable</w:t>
      </w:r>
      <w:r w:rsidR="00CE19C3" w:rsidRPr="00800959">
        <w:rPr>
          <w:rFonts w:ascii="ITC Avant Garde" w:hAnsi="ITC Avant Garde" w:cs="Arial"/>
        </w:rPr>
        <w:t xml:space="preserve"> </w:t>
      </w:r>
      <w:r w:rsidRPr="00800959">
        <w:rPr>
          <w:rFonts w:ascii="ITC Avant Garde" w:hAnsi="ITC Avant Garde" w:cs="Arial"/>
        </w:rPr>
        <w:t>para el</w:t>
      </w:r>
      <w:r w:rsidRPr="00800959">
        <w:rPr>
          <w:rFonts w:ascii="ITC Avant Garde" w:eastAsia="Times New Roman" w:hAnsi="ITC Avant Garde"/>
          <w:lang w:eastAsia="es-ES"/>
        </w:rPr>
        <w:t xml:space="preserve"> periodo 2018.</w:t>
      </w:r>
    </w:p>
    <w:p w14:paraId="4057CC76" w14:textId="77777777" w:rsidR="00800959" w:rsidRPr="00800959" w:rsidRDefault="00901F6D" w:rsidP="00800959">
      <w:pPr>
        <w:pStyle w:val="Piedepgina"/>
        <w:spacing w:before="240" w:after="240" w:line="276" w:lineRule="auto"/>
        <w:jc w:val="both"/>
        <w:rPr>
          <w:rFonts w:ascii="ITC Avant Garde" w:hAnsi="ITC Avant Garde"/>
        </w:rPr>
      </w:pPr>
      <w:r w:rsidRPr="00800959">
        <w:rPr>
          <w:rFonts w:ascii="ITC Avant Garde" w:hAnsi="ITC Avant Garde"/>
        </w:rPr>
        <w:t>En virtud de lo anterior, se verifica que las resoluciones que emite el Instituto se encuentra alineadas a los principios de congruencia y exhaustividad, ya que se analizan y en su caso, se resuelven todas las cuestiones planteadas por las partes de conformidad con el artículo 59 de la LFPA.</w:t>
      </w:r>
    </w:p>
    <w:p w14:paraId="05F23CD6" w14:textId="77777777" w:rsidR="00800959" w:rsidRPr="00800959" w:rsidRDefault="00225609" w:rsidP="00800959">
      <w:pPr>
        <w:pStyle w:val="Prrafodelista"/>
        <w:numPr>
          <w:ilvl w:val="0"/>
          <w:numId w:val="50"/>
        </w:numPr>
        <w:spacing w:before="240" w:after="240"/>
        <w:ind w:left="426" w:hanging="426"/>
        <w:jc w:val="both"/>
        <w:rPr>
          <w:rFonts w:ascii="ITC Avant Garde" w:hAnsi="ITC Avant Garde"/>
          <w:b/>
        </w:rPr>
      </w:pPr>
      <w:r w:rsidRPr="00800959">
        <w:rPr>
          <w:rFonts w:ascii="ITC Avant Garde" w:hAnsi="ITC Avant Garde"/>
          <w:b/>
        </w:rPr>
        <w:t>Objeción de documentos</w:t>
      </w:r>
    </w:p>
    <w:p w14:paraId="678F3D6D" w14:textId="77777777" w:rsidR="00800959" w:rsidRPr="00800959" w:rsidRDefault="00225609" w:rsidP="00800959">
      <w:pPr>
        <w:pStyle w:val="Piedepgina"/>
        <w:widowControl w:val="0"/>
        <w:tabs>
          <w:tab w:val="left" w:pos="720"/>
        </w:tabs>
        <w:spacing w:before="240" w:after="240" w:line="276" w:lineRule="auto"/>
        <w:jc w:val="both"/>
        <w:rPr>
          <w:rFonts w:ascii="ITC Avant Garde" w:hAnsi="ITC Avant Garde" w:cs="Arial"/>
          <w:b/>
          <w:lang w:val="es-ES"/>
        </w:rPr>
      </w:pPr>
      <w:r w:rsidRPr="00800959">
        <w:rPr>
          <w:rFonts w:ascii="ITC Avant Garde" w:hAnsi="ITC Avant Garde" w:cs="Arial"/>
          <w:b/>
          <w:lang w:val="es-ES"/>
        </w:rPr>
        <w:t xml:space="preserve">Argumentos de Pegaso PCS </w:t>
      </w:r>
    </w:p>
    <w:p w14:paraId="5FB829C0" w14:textId="77777777" w:rsidR="00800959" w:rsidRPr="00800959" w:rsidRDefault="00225609" w:rsidP="00800959">
      <w:pPr>
        <w:spacing w:before="240" w:after="240"/>
        <w:jc w:val="both"/>
        <w:rPr>
          <w:rFonts w:ascii="ITC Avant Garde" w:hAnsi="ITC Avant Garde" w:cstheme="minorBidi"/>
        </w:rPr>
      </w:pPr>
      <w:r w:rsidRPr="00800959">
        <w:rPr>
          <w:rFonts w:ascii="ITC Avant Garde" w:hAnsi="ITC Avant Garde"/>
        </w:rPr>
        <w:t xml:space="preserve">Argumenta Pegaso PCS que con fundamento en lo dispuesto por los artículos 203 y 204 del CFPC, ordenamiento supletorio a la ley de la materia, se objetan en cuanto a su alcance y valor probatorio todos y cada uno de los documentos exhibidos por </w:t>
      </w:r>
      <w:r w:rsidR="00455831" w:rsidRPr="00800959">
        <w:rPr>
          <w:rFonts w:ascii="ITC Avant Garde" w:hAnsi="ITC Avant Garde"/>
        </w:rPr>
        <w:t>M</w:t>
      </w:r>
      <w:r w:rsidR="000A36B2" w:rsidRPr="00800959">
        <w:rPr>
          <w:rFonts w:ascii="ITC Avant Garde" w:hAnsi="ITC Avant Garde"/>
        </w:rPr>
        <w:t xml:space="preserve">ega Cable </w:t>
      </w:r>
      <w:r w:rsidRPr="00800959">
        <w:rPr>
          <w:rFonts w:ascii="ITC Avant Garde" w:hAnsi="ITC Avant Garde"/>
        </w:rPr>
        <w:t xml:space="preserve">en los escritos con los cuales se dio vista a Pegaso PCS. </w:t>
      </w:r>
    </w:p>
    <w:p w14:paraId="5D34D574" w14:textId="77777777" w:rsidR="00800959" w:rsidRPr="00800959" w:rsidRDefault="00455831" w:rsidP="00800959">
      <w:pPr>
        <w:pStyle w:val="IFTnormal"/>
        <w:spacing w:before="240" w:after="240"/>
        <w:ind w:left="0"/>
        <w:rPr>
          <w:b/>
        </w:rPr>
      </w:pPr>
      <w:r w:rsidRPr="00800959">
        <w:rPr>
          <w:b/>
        </w:rPr>
        <w:t>Consideraciones del Instituto</w:t>
      </w:r>
    </w:p>
    <w:p w14:paraId="11522551" w14:textId="77777777" w:rsidR="00800959" w:rsidRPr="00800959" w:rsidRDefault="00455831" w:rsidP="00800959">
      <w:pPr>
        <w:pStyle w:val="IFTnormal"/>
        <w:spacing w:before="240" w:after="240"/>
        <w:ind w:left="0"/>
      </w:pPr>
      <w:r w:rsidRPr="00800959">
        <w:t xml:space="preserve">Respecto de lo señalado por Pegaso PCS sobre la objeción en cuanto al alcance y valor probatorio de todos y cada uno de los documentos exhibidos por </w:t>
      </w:r>
      <w:r w:rsidR="00560C92" w:rsidRPr="00800959">
        <w:t>Mega Cable</w:t>
      </w:r>
      <w:r w:rsidRPr="00800959">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sólo hacen meras manifestaciones y no prueban la objeción, su pretensión resulta inoperante.</w:t>
      </w:r>
    </w:p>
    <w:p w14:paraId="7FC01872" w14:textId="77777777" w:rsidR="00800959" w:rsidRPr="00800959" w:rsidRDefault="00455831" w:rsidP="00800959">
      <w:pPr>
        <w:pStyle w:val="IFTnormal"/>
        <w:spacing w:before="240" w:after="240"/>
        <w:ind w:left="0"/>
      </w:pPr>
      <w:r w:rsidRPr="00800959">
        <w:t>Al respecto, sirve de apoyo la presente tesis:</w:t>
      </w:r>
    </w:p>
    <w:p w14:paraId="7198D0B7" w14:textId="77777777" w:rsidR="00800959" w:rsidRPr="00800959" w:rsidRDefault="00455831" w:rsidP="00800959">
      <w:pPr>
        <w:spacing w:before="240" w:after="240"/>
        <w:ind w:left="567" w:right="567"/>
        <w:jc w:val="both"/>
        <w:rPr>
          <w:rFonts w:ascii="ITC Avant Garde" w:eastAsia="Times New Roman" w:hAnsi="ITC Avant Garde" w:cs="Arial"/>
          <w:sz w:val="18"/>
          <w:szCs w:val="18"/>
          <w:lang w:eastAsia="es-MX"/>
        </w:rPr>
      </w:pPr>
      <w:r w:rsidRPr="00800959">
        <w:rPr>
          <w:rFonts w:ascii="ITC Avant Garde" w:eastAsia="Times New Roman" w:hAnsi="ITC Avant Garde" w:cs="Arial"/>
          <w:sz w:val="18"/>
          <w:szCs w:val="18"/>
          <w:lang w:eastAsia="es-MX"/>
        </w:rPr>
        <w:lastRenderedPageBreak/>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28FF930E" w14:textId="77777777" w:rsidR="00800959" w:rsidRPr="00800959" w:rsidRDefault="00455831" w:rsidP="00800959">
      <w:pPr>
        <w:pStyle w:val="Piedepgina"/>
        <w:widowControl w:val="0"/>
        <w:tabs>
          <w:tab w:val="left" w:pos="720"/>
        </w:tabs>
        <w:spacing w:before="240" w:after="240" w:line="276" w:lineRule="auto"/>
        <w:ind w:left="562" w:right="562"/>
        <w:jc w:val="both"/>
        <w:rPr>
          <w:rFonts w:ascii="ITC Avant Garde" w:eastAsia="Times New Roman" w:hAnsi="ITC Avant Garde" w:cs="Arial"/>
          <w:sz w:val="18"/>
          <w:szCs w:val="18"/>
          <w:lang w:eastAsia="es-MX"/>
        </w:rPr>
      </w:pPr>
      <w:r w:rsidRPr="00800959">
        <w:rPr>
          <w:rFonts w:ascii="ITC Avant Garde" w:eastAsia="Times New Roman" w:hAnsi="ITC Avant Garde" w:cs="Arial"/>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800959">
          <w:rPr>
            <w:rStyle w:val="Hipervnculo"/>
            <w:rFonts w:ascii="ITC Avant Garde" w:eastAsia="Times New Roman" w:hAnsi="ITC Avant Garde" w:cs="Arial"/>
            <w:color w:val="auto"/>
            <w:sz w:val="18"/>
            <w:szCs w:val="18"/>
            <w:u w:val="none"/>
            <w:lang w:eastAsia="es-MX"/>
          </w:rPr>
          <w:t>203 del Código Federal de Procedimientos Civiles</w:t>
        </w:r>
      </w:hyperlink>
      <w:r w:rsidRPr="00800959">
        <w:rPr>
          <w:rFonts w:ascii="ITC Avant Garde" w:eastAsia="Times New Roman" w:hAnsi="ITC Avant Garde" w:cs="Arial"/>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800959">
        <w:rPr>
          <w:rStyle w:val="Refdenotaalpie"/>
          <w:rFonts w:ascii="ITC Avant Garde" w:eastAsia="Times New Roman" w:hAnsi="ITC Avant Garde" w:cs="Arial"/>
          <w:lang w:eastAsia="es-MX"/>
        </w:rPr>
        <w:footnoteReference w:id="2"/>
      </w:r>
    </w:p>
    <w:p w14:paraId="2F77876D" w14:textId="77777777" w:rsidR="00800959" w:rsidRPr="00800959" w:rsidRDefault="007F49EA" w:rsidP="00800959">
      <w:pPr>
        <w:spacing w:before="240" w:after="240"/>
        <w:jc w:val="both"/>
        <w:rPr>
          <w:rFonts w:ascii="ITC Avant Garde" w:eastAsia="Times New Roman" w:hAnsi="ITC Avant Garde"/>
          <w:lang w:eastAsia="es-ES"/>
        </w:rPr>
      </w:pPr>
      <w:r w:rsidRPr="00800959">
        <w:rPr>
          <w:rFonts w:ascii="ITC Avant Garde" w:eastAsia="Times New Roman" w:hAnsi="ITC Avant Garde"/>
          <w:lang w:eastAsia="es-ES"/>
        </w:rPr>
        <w:t>Una vez analizadas las manifestaciones generales de las partes, en términos del artículo 129 de la LFTR se procederá a resolver sobre las condiciones no convenidas.</w:t>
      </w:r>
    </w:p>
    <w:p w14:paraId="02981602" w14:textId="77777777" w:rsidR="00800959" w:rsidRPr="00800959" w:rsidRDefault="007F49EA" w:rsidP="00800959">
      <w:pPr>
        <w:pStyle w:val="Prrafodelista"/>
        <w:widowControl w:val="0"/>
        <w:numPr>
          <w:ilvl w:val="0"/>
          <w:numId w:val="42"/>
        </w:numPr>
        <w:tabs>
          <w:tab w:val="center" w:pos="4419"/>
          <w:tab w:val="right" w:pos="8838"/>
        </w:tabs>
        <w:spacing w:before="240" w:after="240" w:line="276" w:lineRule="auto"/>
        <w:ind w:left="284" w:hanging="284"/>
        <w:jc w:val="both"/>
        <w:rPr>
          <w:rFonts w:ascii="ITC Avant Garde" w:hAnsi="ITC Avant Garde"/>
          <w:b/>
        </w:rPr>
      </w:pPr>
      <w:r w:rsidRPr="00800959">
        <w:rPr>
          <w:rFonts w:ascii="ITC Avant Garde" w:hAnsi="ITC Avant Garde"/>
          <w:b/>
        </w:rPr>
        <w:t>Tarifas de Interconexión</w:t>
      </w:r>
    </w:p>
    <w:p w14:paraId="1607FE81" w14:textId="77777777" w:rsidR="00800959" w:rsidRPr="00800959" w:rsidRDefault="005358E8" w:rsidP="00800959">
      <w:pPr>
        <w:widowControl w:val="0"/>
        <w:tabs>
          <w:tab w:val="center" w:pos="4419"/>
          <w:tab w:val="right" w:pos="8838"/>
        </w:tabs>
        <w:spacing w:before="240" w:after="240"/>
        <w:jc w:val="both"/>
        <w:rPr>
          <w:rFonts w:ascii="ITC Avant Garde" w:hAnsi="ITC Avant Garde"/>
          <w:b/>
          <w:sz w:val="20"/>
        </w:rPr>
      </w:pPr>
      <w:r w:rsidRPr="00800959">
        <w:rPr>
          <w:rFonts w:ascii="ITC Avant Garde" w:hAnsi="ITC Avant Garde"/>
          <w:b/>
          <w:sz w:val="20"/>
        </w:rPr>
        <w:t>Argumentos de las partes.</w:t>
      </w:r>
    </w:p>
    <w:p w14:paraId="6A859F1D" w14:textId="77777777" w:rsidR="00800959" w:rsidRPr="00800959" w:rsidRDefault="007F49EA" w:rsidP="00800959">
      <w:pPr>
        <w:widowControl w:val="0"/>
        <w:tabs>
          <w:tab w:val="center" w:pos="4419"/>
          <w:tab w:val="right" w:pos="8838"/>
        </w:tabs>
        <w:spacing w:before="240" w:after="240"/>
        <w:jc w:val="both"/>
        <w:rPr>
          <w:rFonts w:ascii="ITC Avant Garde" w:hAnsi="ITC Avant Garde"/>
        </w:rPr>
      </w:pPr>
      <w:r w:rsidRPr="00800959">
        <w:rPr>
          <w:rFonts w:ascii="ITC Avant Garde" w:eastAsia="Times New Roman" w:hAnsi="ITC Avant Garde"/>
          <w:lang w:eastAsia="es-ES"/>
        </w:rPr>
        <w:t xml:space="preserve">En sus escritos de Solicitud de Resolución </w:t>
      </w:r>
      <w:r w:rsidRPr="00800959">
        <w:rPr>
          <w:rFonts w:ascii="ITC Avant Garde" w:eastAsia="Times New Roman" w:hAnsi="ITC Avant Garde"/>
          <w:bCs/>
          <w:lang w:val="es-ES" w:eastAsia="es-ES"/>
        </w:rPr>
        <w:t>M</w:t>
      </w:r>
      <w:r w:rsidR="0030348D" w:rsidRPr="00800959">
        <w:rPr>
          <w:rFonts w:ascii="ITC Avant Garde" w:eastAsia="Times New Roman" w:hAnsi="ITC Avant Garde"/>
          <w:bCs/>
          <w:lang w:val="es-ES" w:eastAsia="es-ES"/>
        </w:rPr>
        <w:t>ega Cable</w:t>
      </w:r>
      <w:r w:rsidRPr="00800959">
        <w:rPr>
          <w:rFonts w:ascii="ITC Avant Garde" w:hAnsi="ITC Avant Garde"/>
        </w:rPr>
        <w:t xml:space="preserve"> solicita al Instituto que determine las tarifas correspondientes a los servicios de terminación del servicio local que Pegaso</w:t>
      </w:r>
      <w:r w:rsidR="0030348D" w:rsidRPr="00800959">
        <w:rPr>
          <w:rFonts w:ascii="ITC Avant Garde" w:hAnsi="ITC Avant Garde"/>
        </w:rPr>
        <w:t xml:space="preserve"> PCS</w:t>
      </w:r>
      <w:r w:rsidRPr="00800959">
        <w:rPr>
          <w:rFonts w:ascii="ITC Avant Garde" w:hAnsi="ITC Avant Garde"/>
        </w:rPr>
        <w:t xml:space="preserve"> y M</w:t>
      </w:r>
      <w:r w:rsidR="0030348D" w:rsidRPr="00800959">
        <w:rPr>
          <w:rFonts w:ascii="ITC Avant Garde" w:hAnsi="ITC Avant Garde"/>
        </w:rPr>
        <w:t>ega Cab</w:t>
      </w:r>
      <w:r w:rsidRPr="00800959">
        <w:rPr>
          <w:rFonts w:ascii="ITC Avant Garde" w:hAnsi="ITC Avant Garde"/>
        </w:rPr>
        <w:t>l</w:t>
      </w:r>
      <w:r w:rsidR="0030348D" w:rsidRPr="00800959">
        <w:rPr>
          <w:rFonts w:ascii="ITC Avant Garde" w:hAnsi="ITC Avant Garde"/>
        </w:rPr>
        <w:t>e</w:t>
      </w:r>
      <w:r w:rsidRPr="00800959">
        <w:rPr>
          <w:rFonts w:ascii="ITC Avant Garde" w:hAnsi="ITC Avant Garde"/>
        </w:rPr>
        <w:t xml:space="preserve"> deberán pagarse de manera recíproca así como l</w:t>
      </w:r>
      <w:r w:rsidRPr="00800959">
        <w:rPr>
          <w:rFonts w:ascii="ITC Avant Garde" w:eastAsia="Times New Roman" w:hAnsi="ITC Avant Garde"/>
          <w:lang w:eastAsia="es-ES"/>
        </w:rPr>
        <w:t>a tarifa de interconexión que M</w:t>
      </w:r>
      <w:r w:rsidR="0030348D" w:rsidRPr="00800959">
        <w:rPr>
          <w:rFonts w:ascii="ITC Avant Garde" w:eastAsia="Times New Roman" w:hAnsi="ITC Avant Garde"/>
          <w:lang w:eastAsia="es-ES"/>
        </w:rPr>
        <w:t xml:space="preserve">ega Cable </w:t>
      </w:r>
      <w:r w:rsidRPr="00800959">
        <w:rPr>
          <w:rFonts w:ascii="ITC Avant Garde" w:eastAsia="Times New Roman" w:hAnsi="ITC Avant Garde"/>
          <w:lang w:eastAsia="es-ES"/>
        </w:rPr>
        <w:t>deberá pagar a Pegaso</w:t>
      </w:r>
      <w:r w:rsidR="0030348D" w:rsidRPr="00800959">
        <w:rPr>
          <w:rFonts w:ascii="ITC Avant Garde" w:eastAsia="Times New Roman" w:hAnsi="ITC Avant Garde"/>
          <w:lang w:eastAsia="es-ES"/>
        </w:rPr>
        <w:t xml:space="preserve"> PCS</w:t>
      </w:r>
      <w:r w:rsidRPr="00800959">
        <w:rPr>
          <w:rFonts w:ascii="ITC Avant Garde" w:eastAsia="Times New Roman" w:hAnsi="ITC Avant Garde"/>
          <w:lang w:eastAsia="es-ES"/>
        </w:rPr>
        <w:t xml:space="preserve"> por servicios de terminación del Servicio Local en usuarios</w:t>
      </w:r>
      <w:r w:rsidR="003B6D19" w:rsidRPr="00800959">
        <w:rPr>
          <w:rFonts w:ascii="ITC Avant Garde" w:eastAsia="Times New Roman" w:hAnsi="ITC Avant Garde"/>
          <w:lang w:eastAsia="es-ES"/>
        </w:rPr>
        <w:t xml:space="preserve"> fijos y por los servicios de terminación en usuarios</w:t>
      </w:r>
      <w:r w:rsidRPr="00800959">
        <w:rPr>
          <w:rFonts w:ascii="ITC Avant Garde" w:eastAsia="Times New Roman" w:hAnsi="ITC Avant Garde"/>
          <w:lang w:eastAsia="es-ES"/>
        </w:rPr>
        <w:t xml:space="preserve"> móviles bajo la modalidad “El que llama paga” para el </w:t>
      </w:r>
      <w:r w:rsidRPr="00800959">
        <w:rPr>
          <w:rFonts w:ascii="ITC Avant Garde" w:hAnsi="ITC Avant Garde"/>
        </w:rPr>
        <w:t xml:space="preserve">periodo comprendido </w:t>
      </w:r>
      <w:r w:rsidR="003B6D19" w:rsidRPr="00800959">
        <w:rPr>
          <w:rFonts w:ascii="ITC Avant Garde" w:hAnsi="ITC Avant Garde"/>
        </w:rPr>
        <w:t>a partir de la fecha en que se emita la presente resolución</w:t>
      </w:r>
      <w:r w:rsidRPr="00800959">
        <w:rPr>
          <w:rFonts w:ascii="ITC Avant Garde" w:hAnsi="ITC Avant Garde"/>
        </w:rPr>
        <w:t xml:space="preserve"> al 31 de diciembre de 2018.</w:t>
      </w:r>
    </w:p>
    <w:p w14:paraId="6AD9359A" w14:textId="77777777" w:rsidR="00800959" w:rsidRPr="00800959" w:rsidRDefault="007F49EA" w:rsidP="00800959">
      <w:pPr>
        <w:widowControl w:val="0"/>
        <w:tabs>
          <w:tab w:val="center" w:pos="4419"/>
          <w:tab w:val="right" w:pos="8838"/>
        </w:tabs>
        <w:spacing w:before="240" w:after="240"/>
        <w:jc w:val="both"/>
        <w:rPr>
          <w:rFonts w:ascii="ITC Avant Garde" w:hAnsi="ITC Avant Garde"/>
        </w:rPr>
      </w:pPr>
      <w:r w:rsidRPr="00800959">
        <w:rPr>
          <w:rFonts w:ascii="ITC Avant Garde" w:hAnsi="ITC Avant Garde"/>
        </w:rPr>
        <w:t>Por su parte, Pegaso</w:t>
      </w:r>
      <w:r w:rsidR="008D4D4F" w:rsidRPr="00800959">
        <w:rPr>
          <w:rFonts w:ascii="ITC Avant Garde" w:hAnsi="ITC Avant Garde"/>
        </w:rPr>
        <w:t xml:space="preserve"> PCS</w:t>
      </w:r>
      <w:r w:rsidRPr="00800959">
        <w:rPr>
          <w:rFonts w:ascii="ITC Avant Garde" w:hAnsi="ITC Avant Garde"/>
        </w:rPr>
        <w:t xml:space="preserve"> señala que además de determinar las tarifas de terminación conmutada en la red de Pegaso</w:t>
      </w:r>
      <w:r w:rsidR="008D4D4F" w:rsidRPr="00800959">
        <w:rPr>
          <w:rFonts w:ascii="ITC Avant Garde" w:hAnsi="ITC Avant Garde"/>
        </w:rPr>
        <w:t xml:space="preserve"> PCS</w:t>
      </w:r>
      <w:r w:rsidRPr="00800959">
        <w:rPr>
          <w:rFonts w:ascii="ITC Avant Garde" w:hAnsi="ITC Avant Garde"/>
        </w:rPr>
        <w:t>, se deberá determinar también las tarifas de terminación en la red de M</w:t>
      </w:r>
      <w:r w:rsidR="008D4D4F" w:rsidRPr="00800959">
        <w:rPr>
          <w:rFonts w:ascii="ITC Avant Garde" w:hAnsi="ITC Avant Garde"/>
        </w:rPr>
        <w:t>ega Cable</w:t>
      </w:r>
      <w:r w:rsidRPr="00800959">
        <w:rPr>
          <w:rFonts w:ascii="ITC Avant Garde" w:hAnsi="ITC Avant Garde"/>
        </w:rPr>
        <w:t xml:space="preserve"> para el año 2018. </w:t>
      </w:r>
    </w:p>
    <w:p w14:paraId="1AAF6890" w14:textId="77777777" w:rsidR="00800959" w:rsidRPr="00800959" w:rsidRDefault="007F49EA" w:rsidP="00800959">
      <w:pPr>
        <w:widowControl w:val="0"/>
        <w:tabs>
          <w:tab w:val="center" w:pos="4419"/>
          <w:tab w:val="right" w:pos="8838"/>
        </w:tabs>
        <w:spacing w:before="240" w:after="240"/>
        <w:jc w:val="both"/>
        <w:rPr>
          <w:rFonts w:ascii="ITC Avant Garde" w:hAnsi="ITC Avant Garde"/>
        </w:rPr>
      </w:pPr>
      <w:r w:rsidRPr="00800959">
        <w:rPr>
          <w:rFonts w:ascii="ITC Avant Garde" w:hAnsi="ITC Avant Garde"/>
        </w:rPr>
        <w:t>Asimismo, Pegaso</w:t>
      </w:r>
      <w:r w:rsidR="00467BDA" w:rsidRPr="00800959">
        <w:rPr>
          <w:rFonts w:ascii="ITC Avant Garde" w:hAnsi="ITC Avant Garde"/>
        </w:rPr>
        <w:t xml:space="preserve"> PCS</w:t>
      </w:r>
      <w:r w:rsidRPr="00800959">
        <w:rPr>
          <w:rFonts w:ascii="ITC Avant Garde" w:hAnsi="ITC Avant Garde"/>
        </w:rPr>
        <w:t xml:space="preserve"> considera que la tarifa de interconexión por terminación en su red debe ser de $0.2430 pesos por minuto.</w:t>
      </w:r>
    </w:p>
    <w:p w14:paraId="34D49A46" w14:textId="77777777" w:rsidR="00800959" w:rsidRPr="00800959" w:rsidRDefault="007F49EA" w:rsidP="00800959">
      <w:pPr>
        <w:widowControl w:val="0"/>
        <w:tabs>
          <w:tab w:val="center" w:pos="4419"/>
          <w:tab w:val="right" w:pos="8838"/>
        </w:tabs>
        <w:spacing w:before="240" w:after="240"/>
        <w:jc w:val="both"/>
        <w:rPr>
          <w:rFonts w:ascii="ITC Avant Garde" w:eastAsia="Times New Roman" w:hAnsi="ITC Avant Garde" w:cs="Arial"/>
        </w:rPr>
      </w:pPr>
      <w:r w:rsidRPr="00800959">
        <w:rPr>
          <w:rFonts w:ascii="ITC Avant Garde" w:hAnsi="ITC Avant Garde"/>
        </w:rPr>
        <w:t xml:space="preserve">Por otra parte, </w:t>
      </w:r>
      <w:r w:rsidR="00BE7F99" w:rsidRPr="00800959">
        <w:rPr>
          <w:rFonts w:ascii="ITC Avant Garde" w:hAnsi="ITC Avant Garde"/>
        </w:rPr>
        <w:t xml:space="preserve">Mega Cable </w:t>
      </w:r>
      <w:r w:rsidRPr="00800959">
        <w:rPr>
          <w:rFonts w:ascii="ITC Avant Garde" w:hAnsi="ITC Avant Garde"/>
        </w:rPr>
        <w:t xml:space="preserve">en su escrito de alegatos </w:t>
      </w:r>
      <w:r w:rsidRPr="00800959">
        <w:rPr>
          <w:rFonts w:ascii="ITC Avant Garde" w:eastAsia="Times New Roman" w:hAnsi="ITC Avant Garde" w:cs="Arial"/>
        </w:rPr>
        <w:t>señaló que la postura de M</w:t>
      </w:r>
      <w:r w:rsidR="00CA7034" w:rsidRPr="00800959">
        <w:rPr>
          <w:rFonts w:ascii="ITC Avant Garde" w:eastAsia="Times New Roman" w:hAnsi="ITC Avant Garde" w:cs="Arial"/>
        </w:rPr>
        <w:t xml:space="preserve">ega Cable </w:t>
      </w:r>
      <w:r w:rsidRPr="00800959">
        <w:rPr>
          <w:rFonts w:ascii="ITC Avant Garde" w:eastAsia="Times New Roman" w:hAnsi="ITC Avant Garde" w:cs="Arial"/>
        </w:rPr>
        <w:t xml:space="preserve">ante Pegaso </w:t>
      </w:r>
      <w:r w:rsidR="00AA0DF1" w:rsidRPr="00800959">
        <w:rPr>
          <w:rFonts w:ascii="ITC Avant Garde" w:eastAsia="Times New Roman" w:hAnsi="ITC Avant Garde" w:cs="Arial"/>
        </w:rPr>
        <w:t xml:space="preserve">PCS </w:t>
      </w:r>
      <w:r w:rsidRPr="00800959">
        <w:rPr>
          <w:rFonts w:ascii="ITC Avant Garde" w:eastAsia="Times New Roman" w:hAnsi="ITC Avant Garde" w:cs="Arial"/>
        </w:rPr>
        <w:t xml:space="preserve">en relación a las tarifas de interconexión se encuentra apegada a </w:t>
      </w:r>
      <w:r w:rsidR="0018231E" w:rsidRPr="00800959">
        <w:rPr>
          <w:rFonts w:ascii="ITC Avant Garde" w:eastAsia="Times New Roman" w:hAnsi="ITC Avant Garde" w:cs="Arial"/>
        </w:rPr>
        <w:t xml:space="preserve"> las </w:t>
      </w:r>
      <w:r w:rsidRPr="00800959">
        <w:rPr>
          <w:rFonts w:ascii="ITC Avant Garde" w:eastAsia="Times New Roman" w:hAnsi="ITC Avant Garde" w:cs="Arial"/>
        </w:rPr>
        <w:t xml:space="preserve"> tarifas que este Instituto tenga a bien determinar</w:t>
      </w:r>
      <w:r w:rsidR="00CA7034" w:rsidRPr="00800959">
        <w:rPr>
          <w:rFonts w:ascii="ITC Avant Garde" w:eastAsia="Times New Roman" w:hAnsi="ITC Avant Garde" w:cs="Arial"/>
        </w:rPr>
        <w:t xml:space="preserve"> a partir de la fecha de resolución </w:t>
      </w:r>
      <w:r w:rsidR="00CA7034" w:rsidRPr="00800959">
        <w:rPr>
          <w:rFonts w:ascii="ITC Avant Garde" w:eastAsia="Times New Roman" w:hAnsi="ITC Avant Garde" w:cs="Arial"/>
        </w:rPr>
        <w:lastRenderedPageBreak/>
        <w:t>del presente desacuerdo y hasta el 31 de diciembre de 2018</w:t>
      </w:r>
      <w:r w:rsidRPr="00800959">
        <w:rPr>
          <w:rFonts w:ascii="ITC Avant Garde" w:eastAsia="Times New Roman" w:hAnsi="ITC Avant Garde" w:cs="Arial"/>
        </w:rPr>
        <w:t xml:space="preserve"> mediante el resultado de la metodología para el cálculo de costos de interconexión que se utilizará para resolver los desacuerdos de interconexión que se presenten respecto de las condiciones </w:t>
      </w:r>
      <w:r w:rsidR="0018231E" w:rsidRPr="00800959">
        <w:rPr>
          <w:rFonts w:ascii="ITC Avant Garde" w:eastAsia="Times New Roman" w:hAnsi="ITC Avant Garde" w:cs="Arial"/>
        </w:rPr>
        <w:t xml:space="preserve">no convenidas entre Mega Cable y Pegaso PCS, </w:t>
      </w:r>
      <w:r w:rsidR="00EE603B" w:rsidRPr="00800959">
        <w:rPr>
          <w:rFonts w:ascii="ITC Avant Garde" w:eastAsia="Times New Roman" w:hAnsi="ITC Avant Garde" w:cs="Arial"/>
        </w:rPr>
        <w:t>aplicables al periodo</w:t>
      </w:r>
      <w:r w:rsidRPr="00800959">
        <w:rPr>
          <w:rFonts w:ascii="ITC Avant Garde" w:eastAsia="Times New Roman" w:hAnsi="ITC Avant Garde" w:cs="Arial"/>
        </w:rPr>
        <w:t xml:space="preserve"> 2018.</w:t>
      </w:r>
    </w:p>
    <w:p w14:paraId="6035C649" w14:textId="67B20E1F" w:rsidR="00800959" w:rsidRPr="00800959" w:rsidRDefault="007F49EA" w:rsidP="00800959">
      <w:pPr>
        <w:spacing w:before="240" w:after="240"/>
        <w:ind w:right="20"/>
        <w:jc w:val="both"/>
        <w:rPr>
          <w:rFonts w:ascii="ITC Avant Garde" w:hAnsi="ITC Avant Garde" w:cs="Arial"/>
          <w:b/>
        </w:rPr>
      </w:pPr>
      <w:r w:rsidRPr="00800959">
        <w:rPr>
          <w:rFonts w:ascii="ITC Avant Garde" w:hAnsi="ITC Avant Garde" w:cs="Arial"/>
          <w:b/>
        </w:rPr>
        <w:t>Consideraciones del Instituto</w:t>
      </w:r>
    </w:p>
    <w:p w14:paraId="755A6DF9"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t>Para la determinación de las tarifas de interconexión en las redes públicas de telecomunicaciones de</w:t>
      </w:r>
      <w:r w:rsidRPr="00800959">
        <w:rPr>
          <w:rFonts w:ascii="ITC Avant Garde" w:eastAsia="Times New Roman" w:hAnsi="ITC Avant Garde" w:cs="Arial"/>
        </w:rPr>
        <w:t xml:space="preserve"> </w:t>
      </w:r>
      <w:r w:rsidR="005C0485" w:rsidRPr="00800959">
        <w:rPr>
          <w:rFonts w:ascii="ITC Avant Garde" w:eastAsia="Times New Roman" w:hAnsi="ITC Avant Garde" w:cs="Arial"/>
        </w:rPr>
        <w:t>Mega Cab</w:t>
      </w:r>
      <w:r w:rsidRPr="00800959">
        <w:rPr>
          <w:rFonts w:ascii="ITC Avant Garde" w:eastAsia="Times New Roman" w:hAnsi="ITC Avant Garde" w:cs="Arial"/>
        </w:rPr>
        <w:t>l</w:t>
      </w:r>
      <w:r w:rsidR="005C0485" w:rsidRPr="00800959">
        <w:rPr>
          <w:rFonts w:ascii="ITC Avant Garde" w:eastAsia="Times New Roman" w:hAnsi="ITC Avant Garde" w:cs="Arial"/>
        </w:rPr>
        <w:t>e</w:t>
      </w:r>
      <w:r w:rsidRPr="00800959">
        <w:rPr>
          <w:rFonts w:ascii="ITC Avant Garde" w:eastAsia="Times New Roman" w:hAnsi="ITC Avant Garde" w:cs="Arial"/>
        </w:rPr>
        <w:t xml:space="preserve"> y </w:t>
      </w:r>
      <w:r w:rsidRPr="00800959">
        <w:rPr>
          <w:rFonts w:ascii="ITC Avant Garde" w:eastAsia="Times New Roman" w:hAnsi="ITC Avant Garde"/>
          <w:lang w:val="es-ES" w:eastAsia="es-ES"/>
        </w:rPr>
        <w:t>Pegaso</w:t>
      </w:r>
      <w:r w:rsidR="005C0485" w:rsidRPr="00800959">
        <w:rPr>
          <w:rFonts w:ascii="ITC Avant Garde" w:eastAsia="Times New Roman" w:hAnsi="ITC Avant Garde"/>
          <w:lang w:val="es-ES" w:eastAsia="es-ES"/>
        </w:rPr>
        <w:t xml:space="preserve"> PCS</w:t>
      </w:r>
      <w:r w:rsidRPr="00800959">
        <w:rPr>
          <w:rFonts w:ascii="ITC Avant Garde" w:eastAsia="Times New Roman" w:hAnsi="ITC Avant Garde"/>
          <w:lang w:val="es-ES" w:eastAsia="es-ES"/>
        </w:rPr>
        <w:t xml:space="preserve">, </w:t>
      </w:r>
      <w:r w:rsidRPr="00800959">
        <w:rPr>
          <w:rFonts w:ascii="ITC Avant Garde" w:hAnsi="ITC Avant Garde" w:cs="Arial"/>
        </w:rPr>
        <w:t xml:space="preserve">se debe considerar que la propia LFTR establece el marco normativo y regulatorio aplicable para la fijación de las tarifas de interconexión. </w:t>
      </w:r>
    </w:p>
    <w:p w14:paraId="2EAE9F98" w14:textId="77777777" w:rsidR="00800959" w:rsidRPr="00800959" w:rsidRDefault="007F49EA" w:rsidP="00800959">
      <w:pPr>
        <w:widowControl w:val="0"/>
        <w:spacing w:before="240" w:after="240"/>
        <w:jc w:val="both"/>
        <w:rPr>
          <w:rFonts w:ascii="ITC Avant Garde" w:hAnsi="ITC Avant Garde" w:cs="Arial"/>
        </w:rPr>
      </w:pPr>
      <w:r w:rsidRPr="00800959">
        <w:rPr>
          <w:rFonts w:ascii="ITC Avant Garde" w:eastAsia="Times New Roman" w:hAnsi="ITC Avant Garde" w:cs="Arial"/>
        </w:rPr>
        <w:t xml:space="preserve">A tal efecto, </w:t>
      </w:r>
      <w:r w:rsidRPr="00800959">
        <w:rPr>
          <w:rFonts w:ascii="ITC Avant Garde" w:hAnsi="ITC Avant Garde" w:cs="Arial"/>
        </w:rPr>
        <w:t>el artículo 131 de la LFTR dispone lo siguiente:</w:t>
      </w:r>
    </w:p>
    <w:p w14:paraId="704B3453"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w:t>
      </w:r>
      <w:r w:rsidRPr="00800959">
        <w:rPr>
          <w:rFonts w:ascii="ITC Avant Garde" w:hAnsi="ITC Avant Garde" w:cs="Arial"/>
          <w:b/>
          <w:sz w:val="18"/>
          <w:szCs w:val="18"/>
        </w:rPr>
        <w:t>Artículo 131.</w:t>
      </w:r>
      <w:r w:rsidRPr="00800959">
        <w:rPr>
          <w:rFonts w:ascii="ITC Avant Garde" w:hAnsi="ITC Avant Garde" w:cs="Arial"/>
          <w:sz w:val="18"/>
          <w:szCs w:val="18"/>
        </w:rPr>
        <w:t xml:space="preserve"> […]</w:t>
      </w:r>
    </w:p>
    <w:p w14:paraId="31CD6DD5"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w:t>
      </w:r>
    </w:p>
    <w:p w14:paraId="3C325ABF"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b/>
          <w:sz w:val="18"/>
          <w:szCs w:val="18"/>
        </w:rPr>
        <w:t>b)</w:t>
      </w:r>
      <w:r w:rsidRPr="00800959">
        <w:rPr>
          <w:rFonts w:ascii="ITC Avant Garde" w:hAnsi="ITC Avant Garde" w:cs="Arial"/>
          <w:sz w:val="18"/>
          <w:szCs w:val="18"/>
        </w:rPr>
        <w:t xml:space="preserve"> Para el tráfico que termine en la red de los demás concesionarios, la tarifa de interconexión será negociada libremente.</w:t>
      </w:r>
    </w:p>
    <w:p w14:paraId="43B790FB" w14:textId="5B2F2F31"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857FB8E"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AF7D7DC"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 xml:space="preserve">Las tarifas deberán ser lo suficientemente desagregadas para que el concesionario que se interconecte no necesite pagar por componentes o recursos de la red que no se requieran para que el servicio sea suministrado. </w:t>
      </w:r>
    </w:p>
    <w:p w14:paraId="177E19A3" w14:textId="77777777" w:rsidR="00800959" w:rsidRPr="00800959" w:rsidRDefault="007F49EA" w:rsidP="00800959">
      <w:pPr>
        <w:spacing w:before="240" w:after="240"/>
        <w:ind w:left="567" w:right="615"/>
        <w:jc w:val="both"/>
        <w:rPr>
          <w:rFonts w:ascii="ITC Avant Garde" w:hAnsi="ITC Avant Garde" w:cs="Arial"/>
          <w:sz w:val="18"/>
          <w:szCs w:val="18"/>
        </w:rPr>
      </w:pPr>
      <w:r w:rsidRPr="00800959">
        <w:rPr>
          <w:rFonts w:ascii="ITC Avant Garde" w:hAnsi="ITC Avant Garde" w:cs="Arial"/>
          <w:sz w:val="18"/>
          <w:szCs w:val="18"/>
        </w:rPr>
        <w:t>[…]”</w:t>
      </w:r>
    </w:p>
    <w:p w14:paraId="2EE875CC" w14:textId="77777777" w:rsidR="00800959" w:rsidRPr="00800959" w:rsidRDefault="007F49EA" w:rsidP="00800959">
      <w:pPr>
        <w:spacing w:before="240" w:after="240"/>
        <w:ind w:right="20"/>
        <w:jc w:val="both"/>
        <w:rPr>
          <w:rFonts w:ascii="ITC Avant Garde" w:hAnsi="ITC Avant Garde" w:cs="Arial"/>
          <w:b/>
        </w:rPr>
      </w:pPr>
      <w:r w:rsidRPr="0080095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286AC736" w14:textId="77777777" w:rsidR="00800959" w:rsidRPr="00800959" w:rsidRDefault="007F49EA" w:rsidP="00800959">
      <w:pPr>
        <w:spacing w:before="240" w:after="240"/>
        <w:ind w:right="20"/>
        <w:jc w:val="both"/>
        <w:rPr>
          <w:rFonts w:ascii="ITC Avant Garde" w:hAnsi="ITC Avant Garde" w:cs="Arial"/>
        </w:rPr>
      </w:pPr>
      <w:r w:rsidRPr="00800959">
        <w:rPr>
          <w:rFonts w:ascii="ITC Avant Garde" w:hAnsi="ITC Avant Garde" w:cs="Arial"/>
        </w:rPr>
        <w:t>En este orden de ideas, el artículo 137 de la LFTR señala a la letra lo siguiente:</w:t>
      </w:r>
    </w:p>
    <w:p w14:paraId="36542164" w14:textId="26FBE41C" w:rsidR="007F49EA" w:rsidRPr="00800959" w:rsidRDefault="007F49EA" w:rsidP="00800959">
      <w:pPr>
        <w:tabs>
          <w:tab w:val="left" w:pos="4678"/>
        </w:tabs>
        <w:spacing w:before="240" w:after="240"/>
        <w:ind w:left="567" w:right="615"/>
        <w:jc w:val="both"/>
        <w:rPr>
          <w:rFonts w:ascii="ITC Avant Garde" w:hAnsi="ITC Avant Garde" w:cs="Arial"/>
          <w:sz w:val="18"/>
          <w:szCs w:val="18"/>
        </w:rPr>
      </w:pPr>
      <w:r w:rsidRPr="00800959">
        <w:rPr>
          <w:rFonts w:ascii="ITC Avant Garde" w:hAnsi="ITC Avant Garde" w:cs="Arial"/>
          <w:b/>
          <w:sz w:val="18"/>
          <w:szCs w:val="18"/>
        </w:rPr>
        <w:lastRenderedPageBreak/>
        <w:t>“Artículo 137.</w:t>
      </w:r>
      <w:r w:rsidRPr="0080095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552BC6C" w14:textId="77777777" w:rsidR="00800959" w:rsidRPr="00800959" w:rsidRDefault="007F49EA" w:rsidP="00800959">
      <w:pPr>
        <w:spacing w:before="240" w:after="240"/>
        <w:ind w:right="20"/>
        <w:jc w:val="both"/>
        <w:rPr>
          <w:rFonts w:ascii="ITC Avant Garde" w:eastAsia="Times New Roman" w:hAnsi="ITC Avant Garde" w:cs="Arial"/>
        </w:rPr>
      </w:pPr>
      <w:r w:rsidRPr="00800959">
        <w:rPr>
          <w:rFonts w:ascii="ITC Avant Garde" w:eastAsia="Times New Roman" w:hAnsi="ITC Avant Garde" w:cs="Arial"/>
        </w:rPr>
        <w:t>En apego a dicha metodología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579FEF02" w14:textId="77777777" w:rsidR="00800959" w:rsidRPr="00800959" w:rsidRDefault="007F49EA" w:rsidP="00800959">
      <w:pPr>
        <w:spacing w:before="240" w:after="240"/>
        <w:ind w:right="20"/>
        <w:jc w:val="both"/>
        <w:rPr>
          <w:rFonts w:ascii="ITC Avant Garde" w:eastAsia="Times New Roman" w:hAnsi="ITC Avant Garde" w:cs="Arial"/>
        </w:rPr>
      </w:pPr>
      <w:r w:rsidRPr="00800959">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15FFE56B" w14:textId="77777777" w:rsidR="00800959" w:rsidRPr="00800959" w:rsidRDefault="007F49EA" w:rsidP="00800959">
      <w:pPr>
        <w:spacing w:before="240" w:after="240"/>
        <w:ind w:right="20"/>
        <w:jc w:val="both"/>
        <w:rPr>
          <w:rFonts w:ascii="ITC Avant Garde" w:hAnsi="ITC Avant Garde" w:cs="Arial"/>
        </w:rPr>
      </w:pPr>
      <w:r w:rsidRPr="00800959">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innecesaria su reproducción en el cuerpo de la presente resolución.</w:t>
      </w:r>
    </w:p>
    <w:p w14:paraId="44320F3B" w14:textId="77777777" w:rsidR="00800959" w:rsidRPr="00800959" w:rsidRDefault="007F49EA" w:rsidP="00800959">
      <w:pPr>
        <w:spacing w:before="240" w:after="240"/>
        <w:ind w:right="20"/>
        <w:jc w:val="both"/>
        <w:rPr>
          <w:rFonts w:ascii="ITC Avant Garde" w:hAnsi="ITC Avant Garde" w:cs="Arial"/>
        </w:rPr>
      </w:pPr>
      <w:r w:rsidRPr="00800959">
        <w:rPr>
          <w:rFonts w:ascii="ITC Avant Garde" w:hAnsi="ITC Avant Garde" w:cs="Arial"/>
        </w:rPr>
        <w:t>En tal virtud, la tarifa por Servicios de Interconexión que M</w:t>
      </w:r>
      <w:r w:rsidR="005C0485" w:rsidRPr="00800959">
        <w:rPr>
          <w:rFonts w:ascii="ITC Avant Garde" w:hAnsi="ITC Avant Garde" w:cs="Arial"/>
        </w:rPr>
        <w:t>ega Cable</w:t>
      </w:r>
      <w:r w:rsidRPr="00800959">
        <w:rPr>
          <w:rFonts w:ascii="ITC Avant Garde" w:hAnsi="ITC Avant Garde" w:cs="Arial"/>
        </w:rPr>
        <w:t xml:space="preserve"> deberá pagar a Pegaso</w:t>
      </w:r>
      <w:r w:rsidR="005C0485" w:rsidRPr="00800959">
        <w:rPr>
          <w:rFonts w:ascii="ITC Avant Garde" w:hAnsi="ITC Avant Garde" w:cs="Arial"/>
        </w:rPr>
        <w:t xml:space="preserve"> PCS</w:t>
      </w:r>
      <w:r w:rsidRPr="00800959">
        <w:rPr>
          <w:rFonts w:ascii="ITC Avant Garde" w:hAnsi="ITC Avant Garde" w:cs="Arial"/>
        </w:rPr>
        <w:t xml:space="preserve"> por los servicios de terminación del Servicio Local en usuarios móviles bajo la modalidad “El que llama paga”, será la siguiente:</w:t>
      </w:r>
    </w:p>
    <w:p w14:paraId="5A7FF008" w14:textId="77777777" w:rsidR="00800959" w:rsidRPr="00800959" w:rsidRDefault="007F49EA" w:rsidP="00800959">
      <w:pPr>
        <w:pStyle w:val="Prrafodelista"/>
        <w:numPr>
          <w:ilvl w:val="0"/>
          <w:numId w:val="26"/>
        </w:numPr>
        <w:spacing w:before="240" w:after="240" w:line="276" w:lineRule="auto"/>
        <w:contextualSpacing w:val="0"/>
        <w:jc w:val="both"/>
        <w:rPr>
          <w:rFonts w:ascii="ITC Avant Garde" w:hAnsi="ITC Avant Garde"/>
          <w:b/>
          <w:spacing w:val="-4"/>
          <w:lang w:val="es-ES_tradnl"/>
        </w:rPr>
      </w:pPr>
      <w:r w:rsidRPr="00800959">
        <w:rPr>
          <w:rFonts w:ascii="ITC Avant Garde" w:hAnsi="ITC Avant Garde"/>
          <w:b/>
          <w:spacing w:val="-4"/>
          <w:lang w:val="es-ES_tradnl"/>
        </w:rPr>
        <w:t xml:space="preserve">Del </w:t>
      </w:r>
      <w:r w:rsidR="001034C4" w:rsidRPr="00800959">
        <w:rPr>
          <w:rFonts w:ascii="ITC Avant Garde" w:hAnsi="ITC Avant Garde"/>
          <w:b/>
          <w:spacing w:val="-4"/>
          <w:lang w:val="es-ES_tradnl"/>
        </w:rPr>
        <w:t xml:space="preserve">07 de marzo </w:t>
      </w:r>
      <w:r w:rsidR="00A83735" w:rsidRPr="00800959">
        <w:rPr>
          <w:rFonts w:ascii="ITC Avant Garde" w:hAnsi="ITC Avant Garde"/>
          <w:b/>
          <w:spacing w:val="-4"/>
          <w:lang w:val="es-ES_tradnl"/>
        </w:rPr>
        <w:t xml:space="preserve">de 2018 </w:t>
      </w:r>
      <w:r w:rsidRPr="00800959">
        <w:rPr>
          <w:rFonts w:ascii="ITC Avant Garde" w:hAnsi="ITC Avant Garde"/>
          <w:b/>
          <w:spacing w:val="-4"/>
          <w:lang w:val="es-ES_tradnl"/>
        </w:rPr>
        <w:t xml:space="preserve">al 31 de diciembre de 2018, </w:t>
      </w:r>
      <w:r w:rsidRPr="00800959">
        <w:rPr>
          <w:rFonts w:ascii="ITC Avant Garde" w:eastAsia="Times New Roman" w:hAnsi="ITC Avant Garde"/>
          <w:b/>
          <w:spacing w:val="-4"/>
          <w:szCs w:val="24"/>
          <w:lang w:val="es-ES_tradnl" w:eastAsia="es-ES"/>
        </w:rPr>
        <w:t xml:space="preserve">$0.112799 </w:t>
      </w:r>
      <w:r w:rsidRPr="00800959">
        <w:rPr>
          <w:rFonts w:ascii="ITC Avant Garde" w:hAnsi="ITC Avant Garde"/>
          <w:b/>
          <w:spacing w:val="-4"/>
          <w:lang w:val="es-ES_tradnl"/>
        </w:rPr>
        <w:t>pesos M.N. por minuto de interconexión.</w:t>
      </w:r>
    </w:p>
    <w:p w14:paraId="1BE24CB1" w14:textId="77777777" w:rsidR="00800959" w:rsidRPr="00800959" w:rsidRDefault="001034C4" w:rsidP="00800959">
      <w:pPr>
        <w:spacing w:before="240" w:after="240"/>
        <w:jc w:val="both"/>
        <w:rPr>
          <w:rFonts w:ascii="ITC Avant Garde" w:hAnsi="ITC Avant Garde"/>
          <w:spacing w:val="-4"/>
          <w:lang w:val="es-ES"/>
        </w:rPr>
      </w:pPr>
      <w:r w:rsidRPr="00800959">
        <w:rPr>
          <w:rFonts w:ascii="ITC Avant Garde" w:hAnsi="ITC Avant Garde"/>
          <w:spacing w:val="-4"/>
          <w:lang w:val="es-ES"/>
        </w:rPr>
        <w:t>L</w:t>
      </w:r>
      <w:r w:rsidR="007F49EA" w:rsidRPr="00800959">
        <w:rPr>
          <w:rFonts w:ascii="ITC Avant Garde" w:hAnsi="ITC Avant Garde"/>
          <w:spacing w:val="-4"/>
          <w:lang w:val="es-ES"/>
        </w:rPr>
        <w:t xml:space="preserve">a tarifa por los Servicios de Interconexión que </w:t>
      </w:r>
      <w:r w:rsidR="007F49EA" w:rsidRPr="00800959">
        <w:rPr>
          <w:rFonts w:ascii="ITC Avant Garde" w:eastAsia="Times New Roman" w:hAnsi="ITC Avant Garde"/>
          <w:spacing w:val="-4"/>
          <w:szCs w:val="24"/>
          <w:lang w:eastAsia="es-ES"/>
        </w:rPr>
        <w:t>M</w:t>
      </w:r>
      <w:r w:rsidR="005C0485" w:rsidRPr="00800959">
        <w:rPr>
          <w:rFonts w:ascii="ITC Avant Garde" w:eastAsia="Times New Roman" w:hAnsi="ITC Avant Garde"/>
          <w:spacing w:val="-4"/>
          <w:szCs w:val="24"/>
          <w:lang w:eastAsia="es-ES"/>
        </w:rPr>
        <w:t>ega Cable</w:t>
      </w:r>
      <w:r w:rsidR="007F49EA" w:rsidRPr="00800959">
        <w:rPr>
          <w:rFonts w:ascii="ITC Avant Garde" w:eastAsia="Times New Roman" w:hAnsi="ITC Avant Garde" w:cs="Arial"/>
        </w:rPr>
        <w:t xml:space="preserve"> y Pegaso</w:t>
      </w:r>
      <w:r w:rsidR="007F49EA" w:rsidRPr="00800959">
        <w:rPr>
          <w:rFonts w:ascii="ITC Avant Garde" w:hAnsi="ITC Avant Garde"/>
        </w:rPr>
        <w:t xml:space="preserve"> </w:t>
      </w:r>
      <w:r w:rsidR="005C0485" w:rsidRPr="00800959">
        <w:rPr>
          <w:rFonts w:ascii="ITC Avant Garde" w:hAnsi="ITC Avant Garde"/>
        </w:rPr>
        <w:t xml:space="preserve">PCS </w:t>
      </w:r>
      <w:r w:rsidR="007F49EA" w:rsidRPr="00800959">
        <w:rPr>
          <w:rFonts w:ascii="ITC Avant Garde" w:hAnsi="ITC Avant Garde"/>
          <w:spacing w:val="-4"/>
          <w:lang w:val="es-ES"/>
        </w:rPr>
        <w:t>deberán pagarse de forma recíproca, por los servicios de terminación del servicio local en usuarios fijos, será la siguiente:</w:t>
      </w:r>
    </w:p>
    <w:p w14:paraId="7A55CF29" w14:textId="77777777" w:rsidR="00800959" w:rsidRPr="00800959" w:rsidRDefault="005C0485" w:rsidP="00800959">
      <w:pPr>
        <w:pStyle w:val="Prrafodelista"/>
        <w:numPr>
          <w:ilvl w:val="0"/>
          <w:numId w:val="26"/>
        </w:numPr>
        <w:spacing w:before="240" w:after="240" w:line="276" w:lineRule="auto"/>
        <w:contextualSpacing w:val="0"/>
        <w:jc w:val="both"/>
        <w:rPr>
          <w:rFonts w:ascii="ITC Avant Garde" w:hAnsi="ITC Avant Garde"/>
          <w:b/>
          <w:spacing w:val="-4"/>
          <w:lang w:val="es-ES_tradnl"/>
        </w:rPr>
      </w:pPr>
      <w:r w:rsidRPr="00800959">
        <w:rPr>
          <w:rFonts w:ascii="ITC Avant Garde" w:hAnsi="ITC Avant Garde"/>
          <w:b/>
          <w:spacing w:val="-4"/>
          <w:lang w:val="es-ES_tradnl"/>
        </w:rPr>
        <w:t xml:space="preserve">Del </w:t>
      </w:r>
      <w:r w:rsidR="001034C4" w:rsidRPr="00800959">
        <w:rPr>
          <w:rFonts w:ascii="ITC Avant Garde" w:hAnsi="ITC Avant Garde"/>
          <w:b/>
          <w:spacing w:val="-4"/>
          <w:lang w:val="es-ES_tradnl"/>
        </w:rPr>
        <w:t>07 de marzo</w:t>
      </w:r>
      <w:r w:rsidR="00A83735" w:rsidRPr="00800959">
        <w:rPr>
          <w:rFonts w:ascii="ITC Avant Garde" w:hAnsi="ITC Avant Garde"/>
          <w:b/>
          <w:spacing w:val="-4"/>
          <w:lang w:val="es-ES_tradnl"/>
        </w:rPr>
        <w:t xml:space="preserve"> de 2018</w:t>
      </w:r>
      <w:r w:rsidRPr="00800959">
        <w:rPr>
          <w:rFonts w:ascii="ITC Avant Garde" w:hAnsi="ITC Avant Garde"/>
          <w:b/>
          <w:spacing w:val="-4"/>
          <w:lang w:val="es-ES_tradnl"/>
        </w:rPr>
        <w:t xml:space="preserve"> </w:t>
      </w:r>
      <w:r w:rsidR="007F49EA" w:rsidRPr="00800959">
        <w:rPr>
          <w:rFonts w:ascii="ITC Avant Garde" w:hAnsi="ITC Avant Garde"/>
          <w:b/>
          <w:spacing w:val="-4"/>
          <w:lang w:val="es-ES_tradnl"/>
        </w:rPr>
        <w:t>al 31 de diciembre de 2018</w:t>
      </w:r>
      <w:r w:rsidR="007F49EA" w:rsidRPr="00800959">
        <w:rPr>
          <w:rFonts w:ascii="ITC Avant Garde" w:eastAsia="Times New Roman" w:hAnsi="ITC Avant Garde"/>
          <w:b/>
          <w:spacing w:val="-4"/>
          <w:szCs w:val="24"/>
          <w:lang w:val="es-ES_tradnl" w:eastAsia="es-ES"/>
        </w:rPr>
        <w:t xml:space="preserve">, $0.002836 </w:t>
      </w:r>
      <w:r w:rsidR="007F49EA" w:rsidRPr="00800959">
        <w:rPr>
          <w:rFonts w:ascii="ITC Avant Garde" w:hAnsi="ITC Avant Garde"/>
          <w:b/>
          <w:spacing w:val="-4"/>
          <w:lang w:val="es-ES_tradnl"/>
        </w:rPr>
        <w:t>pesos M.N. por minuto de interconexión.</w:t>
      </w:r>
    </w:p>
    <w:p w14:paraId="227034EA" w14:textId="77777777" w:rsidR="00800959" w:rsidRPr="00800959" w:rsidRDefault="001034C4" w:rsidP="00800959">
      <w:pPr>
        <w:spacing w:before="240" w:after="240"/>
        <w:jc w:val="both"/>
        <w:rPr>
          <w:rFonts w:ascii="ITC Avant Garde" w:hAnsi="ITC Avant Garde" w:cs="Arial"/>
        </w:rPr>
      </w:pPr>
      <w:r w:rsidRPr="00800959">
        <w:rPr>
          <w:rFonts w:ascii="ITC Avant Garde" w:hAnsi="ITC Avant Garde" w:cs="Arial"/>
        </w:rPr>
        <w:t>Las tarifas anteriores ya incluyen el costo correspondiente a los puertos necesarios para la interconexión.</w:t>
      </w:r>
    </w:p>
    <w:p w14:paraId="42A92535" w14:textId="77777777" w:rsidR="00800959" w:rsidRPr="00800959" w:rsidRDefault="00EE6F89" w:rsidP="00800959">
      <w:pPr>
        <w:spacing w:before="240" w:after="240"/>
        <w:jc w:val="both"/>
        <w:rPr>
          <w:rFonts w:ascii="ITC Avant Garde" w:hAnsi="ITC Avant Garde" w:cs="Arial"/>
        </w:rPr>
      </w:pPr>
      <w:r w:rsidRPr="00800959">
        <w:rPr>
          <w:rFonts w:ascii="ITC Avant Garde" w:hAnsi="ITC Avant Garde" w:cs="Arial"/>
        </w:rPr>
        <w:t>Asimismo, el</w:t>
      </w:r>
      <w:r w:rsidR="007F49EA" w:rsidRPr="00800959">
        <w:rPr>
          <w:rFonts w:ascii="ITC Avant Garde" w:hAnsi="ITC Avant Garde" w:cs="Arial"/>
        </w:rPr>
        <w:t xml:space="preserve"> cálculo de las contraprestaciones se realizará con base en la duración real de las llamadas, sin redondear al minuto, debiendo para tal efecto sumar la duración de todas las llamadas completadas en el período de facturación correspondiente, </w:t>
      </w:r>
      <w:r w:rsidR="007F49EA" w:rsidRPr="00800959">
        <w:rPr>
          <w:rFonts w:ascii="ITC Avant Garde" w:hAnsi="ITC Avant Garde" w:cs="Arial"/>
        </w:rPr>
        <w:lastRenderedPageBreak/>
        <w:t>medidas en segundos y multiplicar los minutos equivalentes a dicha suma, por la tarifa correspondiente.</w:t>
      </w:r>
    </w:p>
    <w:p w14:paraId="5707F71C"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899C4A3"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t xml:space="preserve">Lo anterior, sin perjuicio de que </w:t>
      </w:r>
      <w:r w:rsidRPr="00800959">
        <w:rPr>
          <w:rFonts w:ascii="ITC Avant Garde" w:eastAsia="Times New Roman" w:hAnsi="ITC Avant Garde"/>
          <w:lang w:val="es-ES" w:eastAsia="es-ES"/>
        </w:rPr>
        <w:t>M</w:t>
      </w:r>
      <w:r w:rsidR="005C0485" w:rsidRPr="00800959">
        <w:rPr>
          <w:rFonts w:ascii="ITC Avant Garde" w:eastAsia="Times New Roman" w:hAnsi="ITC Avant Garde"/>
          <w:lang w:val="es-ES" w:eastAsia="es-ES"/>
        </w:rPr>
        <w:t>ega Cable</w:t>
      </w:r>
      <w:r w:rsidRPr="00800959">
        <w:rPr>
          <w:rFonts w:ascii="ITC Avant Garde" w:hAnsi="ITC Avant Garde" w:cs="Arial"/>
        </w:rPr>
        <w:t xml:space="preserve"> y </w:t>
      </w:r>
      <w:r w:rsidRPr="00800959">
        <w:rPr>
          <w:rFonts w:ascii="ITC Avant Garde" w:eastAsia="Times New Roman" w:hAnsi="ITC Avant Garde"/>
          <w:bCs/>
          <w:lang w:val="es-ES" w:eastAsia="es-ES"/>
        </w:rPr>
        <w:t>Pegaso</w:t>
      </w:r>
      <w:r w:rsidR="005C0485" w:rsidRPr="00800959">
        <w:rPr>
          <w:rFonts w:ascii="ITC Avant Garde" w:eastAsia="Times New Roman" w:hAnsi="ITC Avant Garde"/>
          <w:bCs/>
          <w:lang w:val="es-ES" w:eastAsia="es-ES"/>
        </w:rPr>
        <w:t xml:space="preserve"> PCS</w:t>
      </w:r>
      <w:r w:rsidRPr="00800959">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76E2682B"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t>Con base en lo anterior y con fundamento en lo dispuesto por los artículo 28 párrafos décimo quinto y décimo sexto de la Constitución Política de los Estados Unidos Mexicanos;</w:t>
      </w:r>
      <w:r w:rsidR="000F535E" w:rsidRPr="00800959">
        <w:rPr>
          <w:rFonts w:ascii="ITC Avant Garde" w:hAnsi="ITC Avant Garde" w:cs="Arial"/>
        </w:rPr>
        <w:t xml:space="preserve"> 2,</w:t>
      </w:r>
      <w:r w:rsidRPr="00800959">
        <w:rPr>
          <w:rFonts w:ascii="ITC Avant Garde" w:hAnsi="ITC Avant Garde" w:cs="Arial"/>
        </w:rPr>
        <w:t xml:space="preserve"> 6 fracciones IV y VII, 15 fracción X, 17 fracción I, </w:t>
      </w:r>
      <w:r w:rsidR="000F535E" w:rsidRPr="00800959">
        <w:rPr>
          <w:rFonts w:ascii="ITC Avant Garde" w:hAnsi="ITC Avant Garde" w:cs="Arial"/>
        </w:rPr>
        <w:t xml:space="preserve">124, </w:t>
      </w:r>
      <w:r w:rsidRPr="00800959">
        <w:rPr>
          <w:rFonts w:ascii="ITC Avant Garde" w:hAnsi="ITC Avant Garde" w:cs="Arial"/>
        </w:rPr>
        <w:t>125, 128, 129,</w:t>
      </w:r>
      <w:r w:rsidR="000F535E" w:rsidRPr="00800959">
        <w:rPr>
          <w:rFonts w:ascii="ITC Avant Garde" w:hAnsi="ITC Avant Garde" w:cs="Arial"/>
        </w:rPr>
        <w:t xml:space="preserve"> </w:t>
      </w:r>
      <w:r w:rsidR="00D40191" w:rsidRPr="00800959">
        <w:rPr>
          <w:rFonts w:ascii="ITC Avant Garde" w:hAnsi="ITC Avant Garde" w:cs="Arial"/>
        </w:rPr>
        <w:t xml:space="preserve">131, incisos a) y b), </w:t>
      </w:r>
      <w:r w:rsidR="000F535E" w:rsidRPr="00800959">
        <w:rPr>
          <w:rFonts w:ascii="ITC Avant Garde" w:hAnsi="ITC Avant Garde" w:cs="Arial"/>
        </w:rPr>
        <w:t>137,</w:t>
      </w:r>
      <w:r w:rsidRPr="00800959">
        <w:rPr>
          <w:rFonts w:ascii="ITC Avant Garde" w:hAnsi="ITC Avant Garde" w:cs="Arial"/>
        </w:rPr>
        <w:t xml:space="preserve"> 176, 177, fracc</w:t>
      </w:r>
      <w:r w:rsidR="000F535E" w:rsidRPr="00800959">
        <w:rPr>
          <w:rFonts w:ascii="ITC Avant Garde" w:hAnsi="ITC Avant Garde" w:cs="Arial"/>
        </w:rPr>
        <w:t>iones</w:t>
      </w:r>
      <w:r w:rsidRPr="00800959">
        <w:rPr>
          <w:rFonts w:ascii="ITC Avant Garde" w:hAnsi="ITC Avant Garde" w:cs="Arial"/>
        </w:rPr>
        <w:t xml:space="preserve"> VII</w:t>
      </w:r>
      <w:r w:rsidR="000F535E" w:rsidRPr="00800959">
        <w:rPr>
          <w:rFonts w:ascii="ITC Avant Garde" w:hAnsi="ITC Avant Garde" w:cs="Arial"/>
        </w:rPr>
        <w:t xml:space="preserve"> y XV,178,</w:t>
      </w:r>
      <w:r w:rsidRPr="00800959">
        <w:rPr>
          <w:rFonts w:ascii="ITC Avant Garde" w:hAnsi="ITC Avant Garde" w:cs="Arial"/>
        </w:rPr>
        <w:t xml:space="preserve"> 312 y 313 de la Ley Federal de Telecomunicaciones y Radiodifusión; 32, 35 fracción I, 36, 38, 39, 45 y 57 de la Ley Federal de Procedimiento Administrativo; 72, 73, 197</w:t>
      </w:r>
      <w:r w:rsidR="000F535E" w:rsidRPr="00800959">
        <w:rPr>
          <w:rFonts w:ascii="ITC Avant Garde" w:hAnsi="ITC Avant Garde" w:cs="Arial"/>
        </w:rPr>
        <w:t>, 202, 203, 204, 207, 210-A, 217</w:t>
      </w:r>
      <w:r w:rsidRPr="00800959">
        <w:rPr>
          <w:rFonts w:ascii="ITC Avant Garde" w:hAnsi="ITC Avant Garde" w:cs="Arial"/>
        </w:rPr>
        <w:t xml:space="preserve"> y 218 del Código Federal de Procedimientos Civiles</w:t>
      </w:r>
      <w:r w:rsidR="000F535E" w:rsidRPr="00800959">
        <w:rPr>
          <w:rFonts w:ascii="ITC Avant Garde" w:hAnsi="ITC Avant Garde" w:cs="Arial"/>
        </w:rPr>
        <w:t xml:space="preserve">; </w:t>
      </w:r>
      <w:r w:rsidRPr="00800959">
        <w:rPr>
          <w:rFonts w:ascii="ITC Avant Garde" w:hAnsi="ITC Avant Garde" w:cs="Arial"/>
        </w:rPr>
        <w:t xml:space="preserve"> 4</w:t>
      </w:r>
      <w:r w:rsidR="007B4C00" w:rsidRPr="00800959">
        <w:rPr>
          <w:rFonts w:ascii="ITC Avant Garde" w:hAnsi="ITC Avant Garde" w:cs="Arial"/>
        </w:rPr>
        <w:t xml:space="preserve">, </w:t>
      </w:r>
      <w:r w:rsidRPr="00800959">
        <w:rPr>
          <w:rFonts w:ascii="ITC Avant Garde" w:hAnsi="ITC Avant Garde" w:cs="Arial"/>
        </w:rPr>
        <w:t xml:space="preserve"> fracción I y 6</w:t>
      </w:r>
      <w:r w:rsidR="007B4C00" w:rsidRPr="00800959">
        <w:rPr>
          <w:rFonts w:ascii="ITC Avant Garde" w:hAnsi="ITC Avant Garde" w:cs="Arial"/>
        </w:rPr>
        <w:t xml:space="preserve">, </w:t>
      </w:r>
      <w:r w:rsidRPr="00800959">
        <w:rPr>
          <w:rFonts w:ascii="ITC Avant Garde" w:hAnsi="ITC Avant Garde" w:cs="Arial"/>
        </w:rPr>
        <w:t>fracción XXXVII del Estatuto Orgánico del Instituto Federal de Telecomunicaciones, el Pleno del Instituto Federal de Telecomunicaciones emite los siguientes:</w:t>
      </w:r>
    </w:p>
    <w:p w14:paraId="33798B63" w14:textId="77777777" w:rsidR="00800959" w:rsidRPr="00800959" w:rsidRDefault="007F49EA" w:rsidP="00800959">
      <w:pPr>
        <w:pStyle w:val="Ttulo2"/>
        <w:spacing w:before="240" w:after="240"/>
        <w:jc w:val="center"/>
        <w:rPr>
          <w:rFonts w:ascii="ITC Avant Garde" w:hAnsi="ITC Avant Garde" w:cs="Times New Roman"/>
          <w:b/>
          <w:color w:val="auto"/>
          <w:sz w:val="22"/>
          <w:szCs w:val="22"/>
        </w:rPr>
      </w:pPr>
      <w:r w:rsidRPr="00800959">
        <w:rPr>
          <w:rFonts w:ascii="ITC Avant Garde" w:hAnsi="ITC Avant Garde" w:cs="Times New Roman"/>
          <w:b/>
          <w:color w:val="auto"/>
          <w:sz w:val="22"/>
          <w:szCs w:val="22"/>
        </w:rPr>
        <w:t>RESOLUTIVOS</w:t>
      </w:r>
    </w:p>
    <w:p w14:paraId="3F673031" w14:textId="72D01319" w:rsidR="00800959" w:rsidRPr="00800959" w:rsidRDefault="007F49EA" w:rsidP="00800959">
      <w:pPr>
        <w:spacing w:before="240" w:after="240"/>
        <w:jc w:val="both"/>
        <w:rPr>
          <w:rFonts w:ascii="ITC Avant Garde" w:hAnsi="ITC Avant Garde"/>
          <w:bCs/>
          <w:lang w:val="es-ES" w:eastAsia="es-ES"/>
        </w:rPr>
      </w:pPr>
      <w:r w:rsidRPr="00800959">
        <w:rPr>
          <w:rFonts w:ascii="ITC Avant Garde" w:hAnsi="ITC Avant Garde" w:cs="Arial"/>
          <w:b/>
        </w:rPr>
        <w:t>PRIMERO</w:t>
      </w:r>
      <w:r w:rsidRPr="00800959">
        <w:rPr>
          <w:rFonts w:ascii="ITC Avant Garde" w:hAnsi="ITC Avant Garde" w:cs="Arial"/>
        </w:rPr>
        <w:t xml:space="preserve">.- La tarifa de interconexión que </w:t>
      </w:r>
      <w:r w:rsidR="005C0485" w:rsidRPr="00800959">
        <w:rPr>
          <w:rFonts w:ascii="ITC Avant Garde" w:hAnsi="ITC Avant Garde" w:cs="Arial"/>
        </w:rPr>
        <w:t>Mega Cable</w:t>
      </w:r>
      <w:r w:rsidRPr="00800959">
        <w:rPr>
          <w:rFonts w:ascii="ITC Avant Garde" w:hAnsi="ITC Avant Garde" w:cs="Arial"/>
        </w:rPr>
        <w:t>, S.A. de C.V. deberá pagar a Pegaso PCS, S.A. de C.V.</w:t>
      </w:r>
      <w:r w:rsidRPr="00800959">
        <w:rPr>
          <w:rFonts w:ascii="ITC Avant Garde" w:hAnsi="ITC Avant Garde" w:cs="Helvetica"/>
          <w:lang w:eastAsia="es-MX"/>
        </w:rPr>
        <w:t xml:space="preserve">, </w:t>
      </w:r>
      <w:r w:rsidRPr="00800959">
        <w:rPr>
          <w:rFonts w:ascii="ITC Avant Garde" w:hAnsi="ITC Avant Garde"/>
          <w:bCs/>
          <w:lang w:val="es-ES" w:eastAsia="es-ES"/>
        </w:rPr>
        <w:t>por los servicios de terminación del Servicio Local en usuarios móviles bajo la modalidad “El que llama paga”, será la siguiente:</w:t>
      </w:r>
    </w:p>
    <w:p w14:paraId="33DA68EB" w14:textId="77777777" w:rsidR="00800959" w:rsidRPr="00800959" w:rsidRDefault="005C0485" w:rsidP="00800959">
      <w:pPr>
        <w:numPr>
          <w:ilvl w:val="0"/>
          <w:numId w:val="27"/>
        </w:numPr>
        <w:spacing w:before="240" w:after="240"/>
        <w:ind w:left="709"/>
        <w:jc w:val="both"/>
        <w:rPr>
          <w:rFonts w:ascii="ITC Avant Garde" w:hAnsi="ITC Avant Garde"/>
          <w:b/>
          <w:lang w:eastAsia="es-MX"/>
        </w:rPr>
      </w:pPr>
      <w:r w:rsidRPr="00800959">
        <w:rPr>
          <w:rFonts w:ascii="ITC Avant Garde" w:hAnsi="ITC Avant Garde"/>
          <w:b/>
          <w:lang w:eastAsia="es-MX"/>
        </w:rPr>
        <w:t xml:space="preserve">Del </w:t>
      </w:r>
      <w:r w:rsidR="001034C4" w:rsidRPr="00800959">
        <w:rPr>
          <w:rFonts w:ascii="ITC Avant Garde" w:hAnsi="ITC Avant Garde"/>
          <w:b/>
          <w:lang w:eastAsia="es-MX"/>
        </w:rPr>
        <w:t>07 de marzo</w:t>
      </w:r>
      <w:r w:rsidR="007F49EA" w:rsidRPr="00800959">
        <w:rPr>
          <w:rFonts w:ascii="ITC Avant Garde" w:hAnsi="ITC Avant Garde"/>
          <w:b/>
          <w:lang w:eastAsia="es-MX"/>
        </w:rPr>
        <w:t xml:space="preserve"> </w:t>
      </w:r>
      <w:r w:rsidR="00A83735" w:rsidRPr="00800959">
        <w:rPr>
          <w:rFonts w:ascii="ITC Avant Garde" w:hAnsi="ITC Avant Garde"/>
          <w:b/>
          <w:lang w:eastAsia="es-MX"/>
        </w:rPr>
        <w:t xml:space="preserve">de 2018 </w:t>
      </w:r>
      <w:r w:rsidR="007F49EA" w:rsidRPr="00800959">
        <w:rPr>
          <w:rFonts w:ascii="ITC Avant Garde" w:hAnsi="ITC Avant Garde"/>
          <w:b/>
          <w:lang w:eastAsia="es-MX"/>
        </w:rPr>
        <w:t xml:space="preserve">al 31 de diciembre de 2018, será de </w:t>
      </w:r>
      <w:r w:rsidR="007F49EA" w:rsidRPr="00800959">
        <w:rPr>
          <w:rFonts w:ascii="ITC Avant Garde" w:eastAsia="Times New Roman" w:hAnsi="ITC Avant Garde"/>
          <w:b/>
          <w:spacing w:val="-4"/>
          <w:szCs w:val="24"/>
          <w:lang w:val="es-ES_tradnl" w:eastAsia="es-ES"/>
        </w:rPr>
        <w:t xml:space="preserve">$0.112799 </w:t>
      </w:r>
      <w:r w:rsidR="007F49EA" w:rsidRPr="00800959">
        <w:rPr>
          <w:rFonts w:ascii="ITC Avant Garde" w:hAnsi="ITC Avant Garde"/>
          <w:b/>
          <w:lang w:eastAsia="es-MX"/>
        </w:rPr>
        <w:t>pesos M.N. por minuto de interconexión.</w:t>
      </w:r>
    </w:p>
    <w:p w14:paraId="2BF5B70C" w14:textId="77777777" w:rsidR="00800959" w:rsidRPr="00800959" w:rsidRDefault="007F49EA" w:rsidP="00800959">
      <w:pPr>
        <w:spacing w:before="240" w:after="240"/>
        <w:jc w:val="both"/>
        <w:rPr>
          <w:rFonts w:ascii="ITC Avant Garde" w:eastAsia="Times New Roman" w:hAnsi="ITC Avant Garde"/>
          <w:lang w:eastAsia="es-ES"/>
        </w:rPr>
      </w:pPr>
      <w:r w:rsidRPr="00800959">
        <w:rPr>
          <w:rFonts w:ascii="ITC Avant Garde" w:eastAsia="Times New Roman" w:hAnsi="ITC Avant Garde"/>
          <w:lang w:eastAsia="es-ES"/>
        </w:rPr>
        <w:t>La tarifa anterior ya incluye el costo correspondiente a los puertos necesarios para la interconexión.</w:t>
      </w:r>
    </w:p>
    <w:p w14:paraId="10EA3503"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lastRenderedPageBreak/>
        <w:t>Las contraprestaciones se calcularán sumando la duración de todas las llamadas completadas en el per</w:t>
      </w:r>
      <w:r w:rsidR="00AD1777" w:rsidRPr="00800959">
        <w:rPr>
          <w:rFonts w:ascii="ITC Avant Garde" w:hAnsi="ITC Avant Garde" w:cs="Arial"/>
        </w:rPr>
        <w:t>i</w:t>
      </w:r>
      <w:r w:rsidRPr="00800959">
        <w:rPr>
          <w:rFonts w:ascii="ITC Avant Garde" w:hAnsi="ITC Avant Garde" w:cs="Arial"/>
        </w:rPr>
        <w:t>odo de facturación correspondiente, medidas en segundos, y multiplicando los minutos equivalentes a dicha suma, por la tarifa correspondiente.</w:t>
      </w:r>
    </w:p>
    <w:p w14:paraId="216656C2" w14:textId="77777777" w:rsidR="00800959" w:rsidRPr="00800959" w:rsidRDefault="007F49EA" w:rsidP="00800959">
      <w:pPr>
        <w:spacing w:before="240" w:after="240"/>
        <w:jc w:val="both"/>
        <w:rPr>
          <w:rFonts w:ascii="ITC Avant Garde" w:hAnsi="ITC Avant Garde" w:cs="Helvetica"/>
          <w:lang w:eastAsia="es-MX"/>
        </w:rPr>
      </w:pPr>
      <w:r w:rsidRPr="00800959">
        <w:rPr>
          <w:rFonts w:ascii="ITC Avant Garde" w:hAnsi="ITC Avant Garde" w:cs="Arial"/>
          <w:b/>
        </w:rPr>
        <w:t>SEGUNDO.-</w:t>
      </w:r>
      <w:r w:rsidR="001034C4" w:rsidRPr="00800959">
        <w:rPr>
          <w:rFonts w:ascii="ITC Avant Garde" w:hAnsi="ITC Avant Garde" w:cs="Arial"/>
          <w:b/>
        </w:rPr>
        <w:t xml:space="preserve"> </w:t>
      </w:r>
      <w:r w:rsidRPr="00800959">
        <w:rPr>
          <w:rFonts w:ascii="ITC Avant Garde" w:hAnsi="ITC Avant Garde" w:cs="Arial"/>
        </w:rPr>
        <w:t xml:space="preserve">La tarifa de interconexión que </w:t>
      </w:r>
      <w:r w:rsidR="00AB33FF" w:rsidRPr="00800959">
        <w:rPr>
          <w:rFonts w:ascii="ITC Avant Garde" w:hAnsi="ITC Avant Garde" w:cs="Arial"/>
        </w:rPr>
        <w:t>Mega Cable</w:t>
      </w:r>
      <w:r w:rsidRPr="00800959">
        <w:rPr>
          <w:rFonts w:ascii="ITC Avant Garde" w:hAnsi="ITC Avant Garde" w:cs="Arial"/>
        </w:rPr>
        <w:t>, S.A. de C.V.</w:t>
      </w:r>
      <w:r w:rsidRPr="00800959">
        <w:rPr>
          <w:rFonts w:ascii="ITC Avant Garde" w:hAnsi="ITC Avant Garde" w:cs="Helvetica"/>
          <w:lang w:eastAsia="es-MX"/>
        </w:rPr>
        <w:t xml:space="preserve">, </w:t>
      </w:r>
      <w:r w:rsidRPr="00800959">
        <w:rPr>
          <w:rFonts w:ascii="ITC Avant Garde" w:hAnsi="ITC Avant Garde"/>
          <w:spacing w:val="-4"/>
          <w:lang w:val="es-ES"/>
        </w:rPr>
        <w:t>deberá pagarse de forma recíproca</w:t>
      </w:r>
      <w:r w:rsidRPr="00800959">
        <w:rPr>
          <w:rFonts w:ascii="ITC Avant Garde" w:hAnsi="ITC Avant Garde" w:cs="Helvetica"/>
          <w:lang w:eastAsia="es-MX"/>
        </w:rPr>
        <w:t xml:space="preserve"> con </w:t>
      </w:r>
      <w:r w:rsidRPr="00800959">
        <w:rPr>
          <w:rFonts w:ascii="ITC Avant Garde" w:hAnsi="ITC Avant Garde" w:cs="Arial"/>
        </w:rPr>
        <w:t>Pegaso PCS, S.A. de C.V.</w:t>
      </w:r>
      <w:r w:rsidRPr="00800959">
        <w:rPr>
          <w:rFonts w:ascii="ITC Avant Garde" w:hAnsi="ITC Avant Garde" w:cs="Helvetica"/>
          <w:lang w:eastAsia="es-MX"/>
        </w:rPr>
        <w:t>, por servicios de terminación del Servicio Local en usuarios fijos, será la siguiente:</w:t>
      </w:r>
    </w:p>
    <w:p w14:paraId="22BA7C88" w14:textId="77777777" w:rsidR="00800959" w:rsidRPr="00800959" w:rsidRDefault="00AB33FF" w:rsidP="00800959">
      <w:pPr>
        <w:pStyle w:val="Prrafodelista"/>
        <w:numPr>
          <w:ilvl w:val="0"/>
          <w:numId w:val="28"/>
        </w:numPr>
        <w:spacing w:before="240" w:after="240" w:line="276" w:lineRule="auto"/>
        <w:contextualSpacing w:val="0"/>
        <w:jc w:val="both"/>
        <w:rPr>
          <w:rFonts w:ascii="ITC Avant Garde" w:hAnsi="ITC Avant Garde"/>
          <w:b/>
          <w:spacing w:val="-4"/>
          <w:lang w:val="es-ES"/>
        </w:rPr>
      </w:pPr>
      <w:r w:rsidRPr="00800959">
        <w:rPr>
          <w:rFonts w:ascii="ITC Avant Garde" w:hAnsi="ITC Avant Garde"/>
          <w:b/>
          <w:spacing w:val="-4"/>
          <w:lang w:val="es-ES"/>
        </w:rPr>
        <w:t xml:space="preserve">Del </w:t>
      </w:r>
      <w:r w:rsidR="001034C4" w:rsidRPr="00800959">
        <w:rPr>
          <w:rFonts w:ascii="ITC Avant Garde" w:hAnsi="ITC Avant Garde"/>
          <w:b/>
          <w:spacing w:val="-4"/>
          <w:lang w:val="es-ES"/>
        </w:rPr>
        <w:t>07 de marzo</w:t>
      </w:r>
      <w:r w:rsidR="007F49EA" w:rsidRPr="00800959">
        <w:rPr>
          <w:rFonts w:ascii="ITC Avant Garde" w:hAnsi="ITC Avant Garde"/>
          <w:b/>
          <w:spacing w:val="-4"/>
          <w:lang w:val="es-ES"/>
        </w:rPr>
        <w:t xml:space="preserve"> </w:t>
      </w:r>
      <w:r w:rsidR="00A83735" w:rsidRPr="00800959">
        <w:rPr>
          <w:rFonts w:ascii="ITC Avant Garde" w:hAnsi="ITC Avant Garde"/>
          <w:b/>
          <w:spacing w:val="-4"/>
          <w:lang w:val="es-ES"/>
        </w:rPr>
        <w:t xml:space="preserve">de 2018 </w:t>
      </w:r>
      <w:r w:rsidR="007F49EA" w:rsidRPr="00800959">
        <w:rPr>
          <w:rFonts w:ascii="ITC Avant Garde" w:hAnsi="ITC Avant Garde"/>
          <w:b/>
          <w:spacing w:val="-4"/>
          <w:lang w:val="es-ES"/>
        </w:rPr>
        <w:t xml:space="preserve">al 31 de diciembre de 2018, será de </w:t>
      </w:r>
      <w:r w:rsidR="007F49EA" w:rsidRPr="00800959">
        <w:rPr>
          <w:rFonts w:ascii="ITC Avant Garde" w:eastAsia="Calibri" w:hAnsi="ITC Avant Garde"/>
          <w:b/>
          <w:spacing w:val="-4"/>
          <w:lang w:val="es-ES_tradnl"/>
        </w:rPr>
        <w:t xml:space="preserve">$0.002836 </w:t>
      </w:r>
      <w:r w:rsidR="007F49EA" w:rsidRPr="00800959">
        <w:rPr>
          <w:rFonts w:ascii="ITC Avant Garde" w:hAnsi="ITC Avant Garde"/>
          <w:b/>
          <w:spacing w:val="-4"/>
          <w:lang w:val="es-ES"/>
        </w:rPr>
        <w:t>pesos M.N. por minuto de interconexión.</w:t>
      </w:r>
    </w:p>
    <w:p w14:paraId="2D397673" w14:textId="6E1B272B" w:rsidR="007F49EA" w:rsidRPr="00800959" w:rsidRDefault="007F49EA" w:rsidP="00800959">
      <w:pPr>
        <w:pStyle w:val="Prrafodelista"/>
        <w:spacing w:before="240" w:after="240" w:line="276" w:lineRule="auto"/>
        <w:ind w:left="0"/>
        <w:rPr>
          <w:rFonts w:ascii="ITC Avant Garde" w:hAnsi="ITC Avant Garde" w:cs="Arial"/>
        </w:rPr>
      </w:pPr>
      <w:r w:rsidRPr="00800959">
        <w:rPr>
          <w:rFonts w:ascii="ITC Avant Garde" w:hAnsi="ITC Avant Garde" w:cs="Arial"/>
        </w:rPr>
        <w:t>La tarifa anterior ya incluye el costo correspondiente a los puertos necesarios para la interconexión.</w:t>
      </w:r>
    </w:p>
    <w:p w14:paraId="58022EAA"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2DCA3EC"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b/>
        </w:rPr>
        <w:t>TERCERO</w:t>
      </w:r>
      <w:r w:rsidRPr="00800959">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800959">
        <w:rPr>
          <w:rFonts w:ascii="ITC Avant Garde" w:hAnsi="ITC Avant Garde" w:cs="Helvetica"/>
          <w:lang w:eastAsia="es-MX"/>
        </w:rPr>
        <w:t xml:space="preserve">las empresas </w:t>
      </w:r>
      <w:r w:rsidRPr="00800959">
        <w:rPr>
          <w:rFonts w:ascii="ITC Avant Garde" w:hAnsi="ITC Avant Garde" w:cs="Arial"/>
        </w:rPr>
        <w:t>M</w:t>
      </w:r>
      <w:r w:rsidR="00AB33FF" w:rsidRPr="00800959">
        <w:rPr>
          <w:rFonts w:ascii="ITC Avant Garde" w:hAnsi="ITC Avant Garde" w:cs="Arial"/>
        </w:rPr>
        <w:t>ega Cable</w:t>
      </w:r>
      <w:r w:rsidRPr="00800959">
        <w:rPr>
          <w:rFonts w:ascii="ITC Avant Garde" w:hAnsi="ITC Avant Garde" w:cs="Arial"/>
        </w:rPr>
        <w:t xml:space="preserve">, S.A. de C.V. </w:t>
      </w:r>
      <w:r w:rsidRPr="00800959">
        <w:rPr>
          <w:rFonts w:ascii="ITC Avant Garde" w:hAnsi="ITC Avant Garde" w:cs="Helvetica"/>
          <w:lang w:eastAsia="es-MX"/>
        </w:rPr>
        <w:t xml:space="preserve">y </w:t>
      </w:r>
      <w:r w:rsidRPr="00800959">
        <w:rPr>
          <w:rFonts w:ascii="ITC Avant Garde" w:hAnsi="ITC Avant Garde" w:cs="Arial"/>
        </w:rPr>
        <w:t xml:space="preserve">Pegaso PCS, S.A. de C.V. deberán </w:t>
      </w:r>
      <w:r w:rsidRPr="00800959">
        <w:rPr>
          <w:rFonts w:ascii="ITC Avant Garde" w:eastAsia="Times New Roman" w:hAnsi="ITC Avant Garde" w:cs="Arial"/>
        </w:rPr>
        <w:t xml:space="preserve">suscribir </w:t>
      </w:r>
      <w:r w:rsidRPr="00800959">
        <w:rPr>
          <w:rFonts w:ascii="ITC Avant Garde" w:hAnsi="ITC Avant Garde" w:cs="Arial"/>
        </w:rPr>
        <w:t>el convenio de interconexión de sus redes públicas de telecomunicaciones conforme a los términos y condicione</w:t>
      </w:r>
      <w:r w:rsidR="00446189" w:rsidRPr="00800959">
        <w:rPr>
          <w:rFonts w:ascii="ITC Avant Garde" w:hAnsi="ITC Avant Garde" w:cs="Arial"/>
        </w:rPr>
        <w:t>s determinados en los</w:t>
      </w:r>
      <w:r w:rsidRPr="00800959">
        <w:rPr>
          <w:rFonts w:ascii="ITC Avant Garde" w:hAnsi="ITC Avant Garde" w:cs="Arial"/>
        </w:rPr>
        <w:t xml:space="preserve"> Resolutivo PRIMERO y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5274648" w14:textId="77777777" w:rsidR="00800959" w:rsidRPr="00800959" w:rsidRDefault="007F49EA" w:rsidP="00800959">
      <w:pPr>
        <w:spacing w:before="240" w:after="240"/>
        <w:jc w:val="both"/>
        <w:rPr>
          <w:rFonts w:ascii="ITC Avant Garde" w:hAnsi="ITC Avant Garde"/>
          <w:lang w:eastAsia="es-ES"/>
        </w:rPr>
      </w:pPr>
      <w:r w:rsidRPr="00800959">
        <w:rPr>
          <w:rFonts w:ascii="ITC Avant Garde" w:hAnsi="ITC Avant Garde" w:cs="Arial"/>
          <w:b/>
        </w:rPr>
        <w:t xml:space="preserve">CUARTO.- </w:t>
      </w:r>
      <w:r w:rsidRPr="00800959">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AB33FF" w:rsidRPr="00800959">
        <w:rPr>
          <w:rFonts w:ascii="ITC Avant Garde" w:hAnsi="ITC Avant Garde" w:cs="Arial"/>
        </w:rPr>
        <w:t>Mega Cable</w:t>
      </w:r>
      <w:r w:rsidRPr="00800959">
        <w:rPr>
          <w:rFonts w:ascii="ITC Avant Garde" w:hAnsi="ITC Avant Garde" w:cs="Arial"/>
        </w:rPr>
        <w:t xml:space="preserve">, S.A. de C.V. </w:t>
      </w:r>
      <w:r w:rsidRPr="00800959">
        <w:rPr>
          <w:rFonts w:ascii="ITC Avant Garde" w:hAnsi="ITC Avant Garde" w:cs="Helvetica"/>
          <w:lang w:eastAsia="es-MX"/>
        </w:rPr>
        <w:t xml:space="preserve">y </w:t>
      </w:r>
      <w:r w:rsidRPr="00800959">
        <w:rPr>
          <w:rFonts w:ascii="ITC Avant Garde" w:hAnsi="ITC Avant Garde" w:cs="Arial"/>
        </w:rPr>
        <w:t>Pegaso PCS, S.A. de C.V.</w:t>
      </w:r>
      <w:r w:rsidRPr="00800959">
        <w:rPr>
          <w:rFonts w:ascii="ITC Avant Garde" w:hAnsi="ITC Avant Garde" w:cs="Helvetica"/>
          <w:lang w:eastAsia="es-MX"/>
        </w:rPr>
        <w:t>,</w:t>
      </w:r>
      <w:r w:rsidRPr="00800959">
        <w:rPr>
          <w:rFonts w:ascii="ITC Avant Garde" w:hAnsi="ITC Avant Garde" w:cs="Arial"/>
        </w:rPr>
        <w:t xml:space="preserve"> </w:t>
      </w:r>
      <w:r w:rsidRPr="00800959">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w:t>
      </w:r>
      <w:r w:rsidRPr="00800959">
        <w:rPr>
          <w:rFonts w:ascii="ITC Avant Garde" w:hAnsi="ITC Avant Garde"/>
          <w:lang w:eastAsia="es-ES"/>
        </w:rPr>
        <w:lastRenderedPageBreak/>
        <w:t>en términos del artículo 17 de la Ley de Amparo, Reglamentaria de los artículos 103 y 107 de la Constitución Política de los Estados Unidos Mexicanos.</w:t>
      </w:r>
    </w:p>
    <w:p w14:paraId="68D48271" w14:textId="77777777" w:rsidR="00800959" w:rsidRPr="00800959" w:rsidRDefault="007F49EA" w:rsidP="00800959">
      <w:pPr>
        <w:spacing w:before="240" w:after="240"/>
        <w:jc w:val="both"/>
        <w:rPr>
          <w:rFonts w:ascii="ITC Avant Garde" w:hAnsi="ITC Avant Garde" w:cs="Arial"/>
        </w:rPr>
      </w:pPr>
      <w:r w:rsidRPr="00800959">
        <w:rPr>
          <w:rFonts w:ascii="ITC Avant Garde" w:hAnsi="ITC Avant Garde" w:cs="Arial"/>
          <w:b/>
        </w:rPr>
        <w:t>QUINTO.-</w:t>
      </w:r>
      <w:r w:rsidRPr="00800959">
        <w:rPr>
          <w:rFonts w:ascii="ITC Avant Garde" w:hAnsi="ITC Avant Garde"/>
          <w:lang w:eastAsia="es-ES"/>
        </w:rPr>
        <w:t xml:space="preserve"> </w:t>
      </w:r>
      <w:r w:rsidRPr="00800959">
        <w:rPr>
          <w:rFonts w:ascii="ITC Avant Garde" w:hAnsi="ITC Avant Garde" w:cs="Arial"/>
        </w:rPr>
        <w:t>Notifíquese personalmente a los representantes legales de M</w:t>
      </w:r>
      <w:r w:rsidR="00AB33FF" w:rsidRPr="00800959">
        <w:rPr>
          <w:rFonts w:ascii="ITC Avant Garde" w:hAnsi="ITC Avant Garde" w:cs="Arial"/>
        </w:rPr>
        <w:t>ega Cable</w:t>
      </w:r>
      <w:r w:rsidRPr="00800959">
        <w:rPr>
          <w:rFonts w:ascii="ITC Avant Garde" w:hAnsi="ITC Avant Garde" w:cs="Arial"/>
        </w:rPr>
        <w:t xml:space="preserve">, S.A. de C.V. </w:t>
      </w:r>
      <w:r w:rsidRPr="00800959">
        <w:rPr>
          <w:rFonts w:ascii="ITC Avant Garde" w:hAnsi="ITC Avant Garde" w:cs="Helvetica"/>
          <w:lang w:eastAsia="es-MX"/>
        </w:rPr>
        <w:t xml:space="preserve">y </w:t>
      </w:r>
      <w:r w:rsidRPr="00800959">
        <w:rPr>
          <w:rFonts w:ascii="ITC Avant Garde" w:hAnsi="ITC Avant Garde" w:cs="Arial"/>
        </w:rPr>
        <w:t>Pegaso PCS, S.A. de C.V.</w:t>
      </w:r>
      <w:r w:rsidRPr="00800959">
        <w:rPr>
          <w:rFonts w:ascii="ITC Avant Garde" w:hAnsi="ITC Avant Garde" w:cs="Helvetica"/>
          <w:lang w:eastAsia="es-MX"/>
        </w:rPr>
        <w:t xml:space="preserve">, </w:t>
      </w:r>
      <w:r w:rsidRPr="00800959">
        <w:rPr>
          <w:rFonts w:ascii="ITC Avant Garde" w:hAnsi="ITC Avant Garde" w:cs="Arial"/>
          <w:bCs/>
        </w:rPr>
        <w:t>el</w:t>
      </w:r>
      <w:r w:rsidRPr="00800959">
        <w:rPr>
          <w:rFonts w:ascii="ITC Avant Garde" w:hAnsi="ITC Avant Garde" w:cs="Arial"/>
        </w:rPr>
        <w:t xml:space="preserve"> contenido de la presente Resolución, en términos de lo establecido en el artículo 129, fracción VIII de la Ley Federal de Telecomunicaciones y Radiodifusión.</w:t>
      </w:r>
    </w:p>
    <w:p w14:paraId="5C04A766" w14:textId="58E51E9E" w:rsidR="005C6C3E" w:rsidRPr="00800959" w:rsidRDefault="003C178A" w:rsidP="00800959">
      <w:pPr>
        <w:spacing w:before="240" w:after="240" w:line="240" w:lineRule="auto"/>
        <w:jc w:val="both"/>
        <w:rPr>
          <w:rFonts w:ascii="ITC Avant Garde" w:hAnsi="ITC Avant Garde" w:cs="Arial"/>
          <w:sz w:val="6"/>
        </w:rPr>
      </w:pPr>
      <w:r w:rsidRPr="00800959">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800959">
        <w:rPr>
          <w:rFonts w:ascii="ITC Avant Garde" w:hAnsi="ITC Avant Garde"/>
          <w:bCs/>
          <w:sz w:val="14"/>
          <w:lang w:val="es-ES" w:eastAsia="es-ES"/>
        </w:rPr>
        <w:t>por</w:t>
      </w:r>
      <w:r w:rsidRPr="00800959">
        <w:rPr>
          <w:rFonts w:ascii="ITC Avant Garde" w:hAnsi="ITC Avant Garde"/>
          <w:sz w:val="14"/>
          <w:lang w:val="es-ES" w:eastAsia="es-ES"/>
        </w:rPr>
        <w:t xml:space="preserve"> </w:t>
      </w:r>
      <w:r w:rsidRPr="00800959">
        <w:rPr>
          <w:rFonts w:ascii="ITC Avant Garde" w:hAnsi="ITC Avant Garde"/>
          <w:bCs/>
          <w:sz w:val="14"/>
          <w:lang w:val="es-ES" w:eastAsia="es-ES"/>
        </w:rPr>
        <w:t>unanimidad</w:t>
      </w:r>
      <w:r w:rsidRPr="00800959">
        <w:rPr>
          <w:rFonts w:ascii="ITC Avant Garde" w:hAnsi="ITC Avant Garde"/>
          <w:sz w:val="14"/>
          <w:lang w:val="es-ES" w:eastAsia="es-ES"/>
        </w:rPr>
        <w:t xml:space="preserve"> de votos de los Comisionados Gabriel Oswaldo Contreras Saldívar, </w:t>
      </w:r>
      <w:r w:rsidRPr="00800959">
        <w:rPr>
          <w:rFonts w:ascii="ITC Avant Garde" w:hAnsi="ITC Avant Garde"/>
          <w:sz w:val="14"/>
          <w:lang w:eastAsia="es-MX"/>
        </w:rPr>
        <w:t xml:space="preserve">María Elena </w:t>
      </w:r>
      <w:proofErr w:type="spellStart"/>
      <w:r w:rsidRPr="00800959">
        <w:rPr>
          <w:rFonts w:ascii="ITC Avant Garde" w:hAnsi="ITC Avant Garde"/>
          <w:sz w:val="14"/>
          <w:lang w:eastAsia="es-MX"/>
        </w:rPr>
        <w:t>Estavillo</w:t>
      </w:r>
      <w:proofErr w:type="spellEnd"/>
      <w:r w:rsidRPr="00800959">
        <w:rPr>
          <w:rFonts w:ascii="ITC Avant Garde" w:hAnsi="ITC Avant Garde"/>
          <w:sz w:val="14"/>
          <w:lang w:eastAsia="es-MX"/>
        </w:rPr>
        <w:t xml:space="preserve"> Flores, Mario Germán </w:t>
      </w:r>
      <w:proofErr w:type="spellStart"/>
      <w:r w:rsidRPr="00800959">
        <w:rPr>
          <w:rFonts w:ascii="ITC Avant Garde" w:hAnsi="ITC Avant Garde"/>
          <w:sz w:val="14"/>
          <w:lang w:eastAsia="es-MX"/>
        </w:rPr>
        <w:t>Fromow</w:t>
      </w:r>
      <w:proofErr w:type="spellEnd"/>
      <w:r w:rsidRPr="00800959">
        <w:rPr>
          <w:rFonts w:ascii="ITC Avant Garde" w:hAnsi="ITC Avant Garde"/>
          <w:sz w:val="14"/>
          <w:lang w:eastAsia="es-MX"/>
        </w:rPr>
        <w:t xml:space="preserve"> Rangel, Adolfo Cuevas Teja, Javier Juárez Mojica y Arturo Robles </w:t>
      </w:r>
      <w:proofErr w:type="spellStart"/>
      <w:r w:rsidRPr="00800959">
        <w:rPr>
          <w:rFonts w:ascii="ITC Avant Garde" w:hAnsi="ITC Avant Garde"/>
          <w:sz w:val="14"/>
          <w:lang w:eastAsia="es-MX"/>
        </w:rPr>
        <w:t>Rovalo</w:t>
      </w:r>
      <w:proofErr w:type="spellEnd"/>
      <w:r w:rsidRPr="00800959">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P/IFT/070318/138.</w:t>
      </w:r>
      <w:bookmarkEnd w:id="0"/>
    </w:p>
    <w:sectPr w:rsidR="005C6C3E" w:rsidRPr="00800959" w:rsidSect="005C6C3E">
      <w:footerReference w:type="default" r:id="rId12"/>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C835" w14:textId="77777777" w:rsidR="00C76D07" w:rsidRDefault="00C76D07" w:rsidP="00A11FE4">
      <w:pPr>
        <w:spacing w:after="0" w:line="240" w:lineRule="auto"/>
      </w:pPr>
      <w:r>
        <w:separator/>
      </w:r>
    </w:p>
  </w:endnote>
  <w:endnote w:type="continuationSeparator" w:id="0">
    <w:p w14:paraId="0BC31FB2" w14:textId="77777777" w:rsidR="00C76D07" w:rsidRDefault="00C76D07" w:rsidP="00A1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640294"/>
      <w:docPartObj>
        <w:docPartGallery w:val="Page Numbers (Bottom of Page)"/>
        <w:docPartUnique/>
      </w:docPartObj>
    </w:sdtPr>
    <w:sdtEndPr/>
    <w:sdtContent>
      <w:p w14:paraId="12E078B1" w14:textId="09D7CD25" w:rsidR="00191815" w:rsidRDefault="00191815" w:rsidP="00800959">
        <w:pPr>
          <w:pStyle w:val="Piedepgina"/>
          <w:jc w:val="right"/>
        </w:pPr>
        <w:r>
          <w:fldChar w:fldCharType="begin"/>
        </w:r>
        <w:r>
          <w:instrText>PAGE   \* MERGEFORMAT</w:instrText>
        </w:r>
        <w:r>
          <w:fldChar w:fldCharType="separate"/>
        </w:r>
        <w:r w:rsidR="00800959" w:rsidRPr="00800959">
          <w:rPr>
            <w:noProof/>
            <w:lang w:val="es-ES"/>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AA07" w14:textId="77777777" w:rsidR="00C76D07" w:rsidRDefault="00C76D07" w:rsidP="00A11FE4">
      <w:pPr>
        <w:spacing w:after="0" w:line="240" w:lineRule="auto"/>
      </w:pPr>
      <w:r>
        <w:separator/>
      </w:r>
    </w:p>
  </w:footnote>
  <w:footnote w:type="continuationSeparator" w:id="0">
    <w:p w14:paraId="1B9E3A6B" w14:textId="77777777" w:rsidR="00C76D07" w:rsidRDefault="00C76D07" w:rsidP="00A11FE4">
      <w:pPr>
        <w:spacing w:after="0" w:line="240" w:lineRule="auto"/>
      </w:pPr>
      <w:r>
        <w:continuationSeparator/>
      </w:r>
    </w:p>
  </w:footnote>
  <w:footnote w:id="1">
    <w:p w14:paraId="16BC54B6" w14:textId="77777777" w:rsidR="00191815" w:rsidRPr="00D60207" w:rsidRDefault="00191815" w:rsidP="00E4455C">
      <w:pPr>
        <w:pStyle w:val="Textonotapie"/>
        <w:jc w:val="both"/>
        <w:rPr>
          <w:rFonts w:ascii="ITC Avant Garde" w:hAnsi="ITC Avant Garde"/>
          <w:sz w:val="18"/>
          <w:szCs w:val="18"/>
        </w:rPr>
      </w:pPr>
      <w:r w:rsidRPr="00D60207">
        <w:rPr>
          <w:rStyle w:val="Refdenotaalpie"/>
          <w:rFonts w:ascii="ITC Avant Garde" w:hAnsi="ITC Avant Garde"/>
          <w:sz w:val="18"/>
          <w:szCs w:val="18"/>
        </w:rPr>
        <w:footnoteRef/>
      </w:r>
      <w:r w:rsidRPr="00D60207">
        <w:rPr>
          <w:rFonts w:ascii="ITC Avant Garde" w:hAnsi="ITC Avant Garde"/>
          <w:sz w:val="18"/>
          <w:szCs w:val="18"/>
        </w:rPr>
        <w:t xml:space="preserve">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publicado en el DOF el 3 de octubre de 2016.</w:t>
      </w:r>
    </w:p>
  </w:footnote>
  <w:footnote w:id="2">
    <w:p w14:paraId="520A96FE" w14:textId="77777777" w:rsidR="00191815" w:rsidRDefault="00191815" w:rsidP="00455831">
      <w:pPr>
        <w:pStyle w:val="Textonotapie"/>
        <w:jc w:val="both"/>
        <w:rPr>
          <w:rFonts w:ascii="ITC Avant Garde" w:hAnsi="ITC Avant Garde"/>
          <w:sz w:val="18"/>
          <w:szCs w:val="18"/>
          <w:lang w:val="es-MX"/>
        </w:rPr>
      </w:pPr>
      <w:r>
        <w:rPr>
          <w:rFonts w:ascii="ITC Avant Garde" w:hAnsi="ITC Avant Garde" w:cs="Arial"/>
          <w:sz w:val="18"/>
          <w:szCs w:val="18"/>
          <w:u w:val="single"/>
          <w:lang w:eastAsia="es-MX"/>
        </w:rPr>
        <w:t>Tesis de Jurisprudencia 31/2012</w:t>
      </w:r>
      <w:r>
        <w:rPr>
          <w:rFonts w:ascii="ITC Avant Garde" w:hAnsi="ITC Avant Garde" w:cs="Arial"/>
          <w:sz w:val="18"/>
          <w:szCs w:val="18"/>
          <w:lang w:eastAsia="es-MX"/>
        </w:rPr>
        <w:t>. Publicada en el Semanario Judicial de la Federación y su Gaceta, Libro VII, Abril de 2012, Tomo 1, aprobada por la Primera Sala de la Suprema Corte de Justicia de la Nación, en sesión de ocho de febrero de dos mil doce.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051"/>
    <w:multiLevelType w:val="hybridMultilevel"/>
    <w:tmpl w:val="FB908B0E"/>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854B2"/>
    <w:multiLevelType w:val="hybridMultilevel"/>
    <w:tmpl w:val="D4DEF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F75506"/>
    <w:multiLevelType w:val="hybridMultilevel"/>
    <w:tmpl w:val="2F6C9A90"/>
    <w:lvl w:ilvl="0" w:tplc="D25496EA">
      <w:start w:val="1"/>
      <w:numFmt w:val="low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7D2B57"/>
    <w:multiLevelType w:val="hybridMultilevel"/>
    <w:tmpl w:val="55FAB046"/>
    <w:lvl w:ilvl="0" w:tplc="0CC0941A">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780"/>
    <w:multiLevelType w:val="hybridMultilevel"/>
    <w:tmpl w:val="5A2A6F3E"/>
    <w:lvl w:ilvl="0" w:tplc="4BE28FFC">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B0605"/>
    <w:multiLevelType w:val="hybridMultilevel"/>
    <w:tmpl w:val="62C8E6D8"/>
    <w:lvl w:ilvl="0" w:tplc="E1C625C6">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C841E8"/>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E404FDC"/>
    <w:multiLevelType w:val="hybridMultilevel"/>
    <w:tmpl w:val="CBD2AB3A"/>
    <w:lvl w:ilvl="0" w:tplc="8C0ACA70">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A9490D"/>
    <w:multiLevelType w:val="hybridMultilevel"/>
    <w:tmpl w:val="008EB7BC"/>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4C3195"/>
    <w:multiLevelType w:val="hybridMultilevel"/>
    <w:tmpl w:val="008EB7BC"/>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D6261B"/>
    <w:multiLevelType w:val="hybridMultilevel"/>
    <w:tmpl w:val="4A46ED04"/>
    <w:lvl w:ilvl="0" w:tplc="2EA25398">
      <w:start w:val="5"/>
      <w:numFmt w:val="upp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53BB7"/>
    <w:multiLevelType w:val="hybridMultilevel"/>
    <w:tmpl w:val="E196B352"/>
    <w:lvl w:ilvl="0" w:tplc="8EF26A1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391621"/>
    <w:multiLevelType w:val="hybridMultilevel"/>
    <w:tmpl w:val="88EEB85A"/>
    <w:lvl w:ilvl="0" w:tplc="A7DC2F6C">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3C32B84"/>
    <w:multiLevelType w:val="hybridMultilevel"/>
    <w:tmpl w:val="5D2CBAB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5C3F80"/>
    <w:multiLevelType w:val="hybridMultilevel"/>
    <w:tmpl w:val="6042560A"/>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FB2A3D"/>
    <w:multiLevelType w:val="hybridMultilevel"/>
    <w:tmpl w:val="2914542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B147CD"/>
    <w:multiLevelType w:val="hybridMultilevel"/>
    <w:tmpl w:val="AD02A5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F81754"/>
    <w:multiLevelType w:val="hybridMultilevel"/>
    <w:tmpl w:val="A0D239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08241C"/>
    <w:multiLevelType w:val="hybridMultilevel"/>
    <w:tmpl w:val="F104D7B6"/>
    <w:lvl w:ilvl="0" w:tplc="229AC1C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50C3E50"/>
    <w:multiLevelType w:val="hybridMultilevel"/>
    <w:tmpl w:val="67349E84"/>
    <w:lvl w:ilvl="0" w:tplc="9BDCB45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8A70F57"/>
    <w:multiLevelType w:val="hybridMultilevel"/>
    <w:tmpl w:val="BFB8929C"/>
    <w:lvl w:ilvl="0" w:tplc="0642663E">
      <w:start w:val="1"/>
      <w:numFmt w:val="lowerRoman"/>
      <w:lvlText w:val="%1."/>
      <w:lvlJc w:val="right"/>
      <w:pPr>
        <w:ind w:left="720" w:hanging="360"/>
      </w:pPr>
      <w:rPr>
        <w:b/>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Times New Roman"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Times New Roman"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3DBD4995"/>
    <w:multiLevelType w:val="hybridMultilevel"/>
    <w:tmpl w:val="068A22E8"/>
    <w:lvl w:ilvl="0" w:tplc="92CC06B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1A1116D"/>
    <w:multiLevelType w:val="hybridMultilevel"/>
    <w:tmpl w:val="5D2CBAB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852C7C"/>
    <w:multiLevelType w:val="hybridMultilevel"/>
    <w:tmpl w:val="1CAEA032"/>
    <w:lvl w:ilvl="0" w:tplc="DF58DF1E">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3391CD8"/>
    <w:multiLevelType w:val="hybridMultilevel"/>
    <w:tmpl w:val="620A81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777660"/>
    <w:multiLevelType w:val="hybridMultilevel"/>
    <w:tmpl w:val="5D2CBAB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3957754"/>
    <w:multiLevelType w:val="hybridMultilevel"/>
    <w:tmpl w:val="2914542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7A7FC5"/>
    <w:multiLevelType w:val="hybridMultilevel"/>
    <w:tmpl w:val="008EB7BC"/>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BE7681"/>
    <w:multiLevelType w:val="hybridMultilevel"/>
    <w:tmpl w:val="0526F19E"/>
    <w:lvl w:ilvl="0" w:tplc="D45A0C7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CE7364"/>
    <w:multiLevelType w:val="hybridMultilevel"/>
    <w:tmpl w:val="B63470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0E34EF4"/>
    <w:multiLevelType w:val="hybridMultilevel"/>
    <w:tmpl w:val="0526F19E"/>
    <w:lvl w:ilvl="0" w:tplc="D45A0C7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C233A0"/>
    <w:multiLevelType w:val="multilevel"/>
    <w:tmpl w:val="789A23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B148E4"/>
    <w:multiLevelType w:val="hybridMultilevel"/>
    <w:tmpl w:val="CE32FC68"/>
    <w:lvl w:ilvl="0" w:tplc="BD668B0C">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8F0FBE"/>
    <w:multiLevelType w:val="hybridMultilevel"/>
    <w:tmpl w:val="30C68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9817D9F"/>
    <w:multiLevelType w:val="hybridMultilevel"/>
    <w:tmpl w:val="FBB01B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A245FE6"/>
    <w:multiLevelType w:val="hybridMultilevel"/>
    <w:tmpl w:val="BFB8929C"/>
    <w:lvl w:ilvl="0" w:tplc="0642663E">
      <w:start w:val="1"/>
      <w:numFmt w:val="lowerRoman"/>
      <w:lvlText w:val="%1."/>
      <w:lvlJc w:val="right"/>
      <w:pPr>
        <w:ind w:left="720" w:hanging="360"/>
      </w:pPr>
      <w:rPr>
        <w:b/>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B9E01BF"/>
    <w:multiLevelType w:val="hybridMultilevel"/>
    <w:tmpl w:val="F104D7B6"/>
    <w:lvl w:ilvl="0" w:tplc="229AC1C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ED02A08"/>
    <w:multiLevelType w:val="hybridMultilevel"/>
    <w:tmpl w:val="480C6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C95CE0"/>
    <w:multiLevelType w:val="hybridMultilevel"/>
    <w:tmpl w:val="A5401C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EE41AC"/>
    <w:multiLevelType w:val="hybridMultilevel"/>
    <w:tmpl w:val="2914542A"/>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D09C5"/>
    <w:multiLevelType w:val="hybridMultilevel"/>
    <w:tmpl w:val="3FA872CC"/>
    <w:lvl w:ilvl="0" w:tplc="7E503CC2">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843ED4"/>
    <w:multiLevelType w:val="hybridMultilevel"/>
    <w:tmpl w:val="955A3F58"/>
    <w:lvl w:ilvl="0" w:tplc="7A128436">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7AA0A73"/>
    <w:multiLevelType w:val="hybridMultilevel"/>
    <w:tmpl w:val="88C46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F54816"/>
    <w:multiLevelType w:val="hybridMultilevel"/>
    <w:tmpl w:val="0526F19E"/>
    <w:lvl w:ilvl="0" w:tplc="D45A0C7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B75A1B"/>
    <w:multiLevelType w:val="hybridMultilevel"/>
    <w:tmpl w:val="F636208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7E27686E"/>
    <w:multiLevelType w:val="hybridMultilevel"/>
    <w:tmpl w:val="DD0241EE"/>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EAF5CED"/>
    <w:multiLevelType w:val="hybridMultilevel"/>
    <w:tmpl w:val="80AA9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6"/>
  </w:num>
  <w:num w:numId="2">
    <w:abstractNumId w:val="18"/>
  </w:num>
  <w:num w:numId="3">
    <w:abstractNumId w:val="30"/>
  </w:num>
  <w:num w:numId="4">
    <w:abstractNumId w:val="33"/>
  </w:num>
  <w:num w:numId="5">
    <w:abstractNumId w:val="17"/>
  </w:num>
  <w:num w:numId="6">
    <w:abstractNumId w:val="1"/>
  </w:num>
  <w:num w:numId="7">
    <w:abstractNumId w:val="15"/>
  </w:num>
  <w:num w:numId="8">
    <w:abstractNumId w:val="0"/>
  </w:num>
  <w:num w:numId="9">
    <w:abstractNumId w:val="47"/>
  </w:num>
  <w:num w:numId="10">
    <w:abstractNumId w:val="26"/>
  </w:num>
  <w:num w:numId="11">
    <w:abstractNumId w:val="2"/>
  </w:num>
  <w:num w:numId="12">
    <w:abstractNumId w:val="2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8"/>
  </w:num>
  <w:num w:numId="16">
    <w:abstractNumId w:val="46"/>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num>
  <w:num w:numId="27">
    <w:abstractNumId w:val="22"/>
  </w:num>
  <w:num w:numId="28">
    <w:abstractNumId w:val="13"/>
  </w:num>
  <w:num w:numId="29">
    <w:abstractNumId w:val="9"/>
  </w:num>
  <w:num w:numId="30">
    <w:abstractNumId w:val="28"/>
  </w:num>
  <w:num w:numId="31">
    <w:abstractNumId w:val="42"/>
  </w:num>
  <w:num w:numId="32">
    <w:abstractNumId w:val="24"/>
  </w:num>
  <w:num w:numId="33">
    <w:abstractNumId w:val="45"/>
  </w:num>
  <w:num w:numId="34">
    <w:abstractNumId w:val="16"/>
  </w:num>
  <w:num w:numId="35">
    <w:abstractNumId w:val="35"/>
  </w:num>
  <w:num w:numId="36">
    <w:abstractNumId w:val="11"/>
  </w:num>
  <w:num w:numId="37">
    <w:abstractNumId w:val="48"/>
  </w:num>
  <w:num w:numId="38">
    <w:abstractNumId w:val="27"/>
  </w:num>
  <w:num w:numId="39">
    <w:abstractNumId w:val="14"/>
  </w:num>
  <w:num w:numId="40">
    <w:abstractNumId w:val="41"/>
  </w:num>
  <w:num w:numId="41">
    <w:abstractNumId w:val="44"/>
  </w:num>
  <w:num w:numId="42">
    <w:abstractNumId w:val="31"/>
  </w:num>
  <w:num w:numId="43">
    <w:abstractNumId w:val="3"/>
  </w:num>
  <w:num w:numId="44">
    <w:abstractNumId w:val="12"/>
  </w:num>
  <w:num w:numId="45">
    <w:abstractNumId w:val="34"/>
  </w:num>
  <w:num w:numId="46">
    <w:abstractNumId w:val="40"/>
  </w:num>
  <w:num w:numId="47">
    <w:abstractNumId w:val="10"/>
  </w:num>
  <w:num w:numId="48">
    <w:abstractNumId w:val="7"/>
  </w:num>
  <w:num w:numId="49">
    <w:abstractNumId w:val="5"/>
  </w:num>
  <w:num w:numId="50">
    <w:abstractNumId w:val="43"/>
  </w:num>
  <w:num w:numId="51">
    <w:abstractNumId w:val="6"/>
  </w:num>
  <w:num w:numId="52">
    <w:abstractNumId w:val="19"/>
  </w:num>
  <w:num w:numId="53">
    <w:abstractNumId w:val="39"/>
  </w:num>
  <w:num w:numId="54">
    <w:abstractNumId w:val="32"/>
  </w:num>
  <w:num w:numId="55">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BF"/>
    <w:rsid w:val="00000880"/>
    <w:rsid w:val="00000CEA"/>
    <w:rsid w:val="000015C8"/>
    <w:rsid w:val="000050A7"/>
    <w:rsid w:val="00007BAA"/>
    <w:rsid w:val="00015C04"/>
    <w:rsid w:val="000168DD"/>
    <w:rsid w:val="00016CC6"/>
    <w:rsid w:val="00020461"/>
    <w:rsid w:val="00027311"/>
    <w:rsid w:val="00031339"/>
    <w:rsid w:val="000348A8"/>
    <w:rsid w:val="000349F7"/>
    <w:rsid w:val="00040EBF"/>
    <w:rsid w:val="00042A03"/>
    <w:rsid w:val="00044496"/>
    <w:rsid w:val="00047424"/>
    <w:rsid w:val="000515A5"/>
    <w:rsid w:val="000522B8"/>
    <w:rsid w:val="000528BE"/>
    <w:rsid w:val="0005722E"/>
    <w:rsid w:val="00061B8C"/>
    <w:rsid w:val="000648ED"/>
    <w:rsid w:val="00067AAA"/>
    <w:rsid w:val="00071117"/>
    <w:rsid w:val="0008109D"/>
    <w:rsid w:val="00081A97"/>
    <w:rsid w:val="0008246A"/>
    <w:rsid w:val="00084A88"/>
    <w:rsid w:val="000854CC"/>
    <w:rsid w:val="0008637B"/>
    <w:rsid w:val="00092D0D"/>
    <w:rsid w:val="000933B9"/>
    <w:rsid w:val="000A1FDE"/>
    <w:rsid w:val="000A214B"/>
    <w:rsid w:val="000A3339"/>
    <w:rsid w:val="000A36B2"/>
    <w:rsid w:val="000A4316"/>
    <w:rsid w:val="000B483E"/>
    <w:rsid w:val="000C27D8"/>
    <w:rsid w:val="000C57DC"/>
    <w:rsid w:val="000C76E8"/>
    <w:rsid w:val="000D1E65"/>
    <w:rsid w:val="000E081A"/>
    <w:rsid w:val="000E1DD7"/>
    <w:rsid w:val="000E2FB3"/>
    <w:rsid w:val="000E70F0"/>
    <w:rsid w:val="000F535E"/>
    <w:rsid w:val="001019E7"/>
    <w:rsid w:val="001034C4"/>
    <w:rsid w:val="001049E9"/>
    <w:rsid w:val="00107726"/>
    <w:rsid w:val="00107BA3"/>
    <w:rsid w:val="00115E35"/>
    <w:rsid w:val="00121067"/>
    <w:rsid w:val="00121CF4"/>
    <w:rsid w:val="00131419"/>
    <w:rsid w:val="00131BBD"/>
    <w:rsid w:val="00134A6E"/>
    <w:rsid w:val="00137F75"/>
    <w:rsid w:val="0014015E"/>
    <w:rsid w:val="00146B71"/>
    <w:rsid w:val="00151079"/>
    <w:rsid w:val="00151307"/>
    <w:rsid w:val="00152E92"/>
    <w:rsid w:val="00162413"/>
    <w:rsid w:val="00163026"/>
    <w:rsid w:val="001638BC"/>
    <w:rsid w:val="00167C8B"/>
    <w:rsid w:val="0017252E"/>
    <w:rsid w:val="001744FA"/>
    <w:rsid w:val="0018231E"/>
    <w:rsid w:val="00191815"/>
    <w:rsid w:val="00191869"/>
    <w:rsid w:val="00194CBC"/>
    <w:rsid w:val="00195585"/>
    <w:rsid w:val="001969F3"/>
    <w:rsid w:val="001A2969"/>
    <w:rsid w:val="001B2B05"/>
    <w:rsid w:val="001B4CEE"/>
    <w:rsid w:val="001B568D"/>
    <w:rsid w:val="001B7965"/>
    <w:rsid w:val="001C2143"/>
    <w:rsid w:val="001C436D"/>
    <w:rsid w:val="001C57E5"/>
    <w:rsid w:val="001C6884"/>
    <w:rsid w:val="001C7368"/>
    <w:rsid w:val="001C7B49"/>
    <w:rsid w:val="001D28D4"/>
    <w:rsid w:val="001E3125"/>
    <w:rsid w:val="001E3565"/>
    <w:rsid w:val="001E6BE4"/>
    <w:rsid w:val="001F111A"/>
    <w:rsid w:val="001F7156"/>
    <w:rsid w:val="002009E2"/>
    <w:rsid w:val="00200E5F"/>
    <w:rsid w:val="00204DE8"/>
    <w:rsid w:val="002076F8"/>
    <w:rsid w:val="00210835"/>
    <w:rsid w:val="002148DD"/>
    <w:rsid w:val="00216A38"/>
    <w:rsid w:val="00220C06"/>
    <w:rsid w:val="0022268A"/>
    <w:rsid w:val="00225609"/>
    <w:rsid w:val="002408E5"/>
    <w:rsid w:val="00242446"/>
    <w:rsid w:val="002438F9"/>
    <w:rsid w:val="0025160B"/>
    <w:rsid w:val="0025187B"/>
    <w:rsid w:val="00257A23"/>
    <w:rsid w:val="00262345"/>
    <w:rsid w:val="002645DB"/>
    <w:rsid w:val="00266CBB"/>
    <w:rsid w:val="00267D5A"/>
    <w:rsid w:val="00271167"/>
    <w:rsid w:val="00274780"/>
    <w:rsid w:val="00274791"/>
    <w:rsid w:val="002771F9"/>
    <w:rsid w:val="00281AB1"/>
    <w:rsid w:val="00282C22"/>
    <w:rsid w:val="002913D2"/>
    <w:rsid w:val="00291B09"/>
    <w:rsid w:val="002A0908"/>
    <w:rsid w:val="002A1784"/>
    <w:rsid w:val="002A1D49"/>
    <w:rsid w:val="002A415A"/>
    <w:rsid w:val="002B2462"/>
    <w:rsid w:val="002B48BA"/>
    <w:rsid w:val="002B664E"/>
    <w:rsid w:val="002D03E6"/>
    <w:rsid w:val="002D2078"/>
    <w:rsid w:val="002D5071"/>
    <w:rsid w:val="002E5EC5"/>
    <w:rsid w:val="002F5D13"/>
    <w:rsid w:val="0030026B"/>
    <w:rsid w:val="0030348D"/>
    <w:rsid w:val="00306994"/>
    <w:rsid w:val="003141E1"/>
    <w:rsid w:val="00322C65"/>
    <w:rsid w:val="003239E4"/>
    <w:rsid w:val="00326306"/>
    <w:rsid w:val="0032716F"/>
    <w:rsid w:val="00331749"/>
    <w:rsid w:val="00333B12"/>
    <w:rsid w:val="00335522"/>
    <w:rsid w:val="00335FF3"/>
    <w:rsid w:val="00336A91"/>
    <w:rsid w:val="00341A06"/>
    <w:rsid w:val="0035671F"/>
    <w:rsid w:val="00356B36"/>
    <w:rsid w:val="00357356"/>
    <w:rsid w:val="003579C1"/>
    <w:rsid w:val="0036089A"/>
    <w:rsid w:val="00362D8E"/>
    <w:rsid w:val="00364DB7"/>
    <w:rsid w:val="003760CA"/>
    <w:rsid w:val="00376FAD"/>
    <w:rsid w:val="003910E8"/>
    <w:rsid w:val="00391366"/>
    <w:rsid w:val="003917C5"/>
    <w:rsid w:val="003A7AFC"/>
    <w:rsid w:val="003B15A0"/>
    <w:rsid w:val="003B2995"/>
    <w:rsid w:val="003B6D19"/>
    <w:rsid w:val="003C178A"/>
    <w:rsid w:val="003D12F5"/>
    <w:rsid w:val="003D7371"/>
    <w:rsid w:val="003E030D"/>
    <w:rsid w:val="003E2976"/>
    <w:rsid w:val="003E45B6"/>
    <w:rsid w:val="003E4650"/>
    <w:rsid w:val="003E58C3"/>
    <w:rsid w:val="003E5A8B"/>
    <w:rsid w:val="003E7C49"/>
    <w:rsid w:val="003F79B3"/>
    <w:rsid w:val="004060BB"/>
    <w:rsid w:val="00414004"/>
    <w:rsid w:val="00416D45"/>
    <w:rsid w:val="00417BA1"/>
    <w:rsid w:val="00421099"/>
    <w:rsid w:val="00422BB0"/>
    <w:rsid w:val="00422DC0"/>
    <w:rsid w:val="00430332"/>
    <w:rsid w:val="004318D4"/>
    <w:rsid w:val="00432302"/>
    <w:rsid w:val="00432913"/>
    <w:rsid w:val="0043430A"/>
    <w:rsid w:val="004374A5"/>
    <w:rsid w:val="00444C66"/>
    <w:rsid w:val="00446189"/>
    <w:rsid w:val="00446B1B"/>
    <w:rsid w:val="0045012D"/>
    <w:rsid w:val="00455831"/>
    <w:rsid w:val="0046442B"/>
    <w:rsid w:val="00467BDA"/>
    <w:rsid w:val="00470AFE"/>
    <w:rsid w:val="00472AD9"/>
    <w:rsid w:val="00475ECA"/>
    <w:rsid w:val="00476266"/>
    <w:rsid w:val="0047752B"/>
    <w:rsid w:val="00484477"/>
    <w:rsid w:val="0048557A"/>
    <w:rsid w:val="00485D72"/>
    <w:rsid w:val="004A165D"/>
    <w:rsid w:val="004A6868"/>
    <w:rsid w:val="004B4861"/>
    <w:rsid w:val="004B7DAF"/>
    <w:rsid w:val="004C035B"/>
    <w:rsid w:val="004C3B20"/>
    <w:rsid w:val="004C6ADE"/>
    <w:rsid w:val="004C7FB8"/>
    <w:rsid w:val="004D4B1D"/>
    <w:rsid w:val="004D4E04"/>
    <w:rsid w:val="004D7561"/>
    <w:rsid w:val="004E0762"/>
    <w:rsid w:val="004E14E0"/>
    <w:rsid w:val="004E27E8"/>
    <w:rsid w:val="004E4621"/>
    <w:rsid w:val="004E5025"/>
    <w:rsid w:val="004E558F"/>
    <w:rsid w:val="004E5599"/>
    <w:rsid w:val="004F2262"/>
    <w:rsid w:val="00511A18"/>
    <w:rsid w:val="005122BC"/>
    <w:rsid w:val="00513B94"/>
    <w:rsid w:val="00515E61"/>
    <w:rsid w:val="00524E9A"/>
    <w:rsid w:val="00527B6D"/>
    <w:rsid w:val="00531B6C"/>
    <w:rsid w:val="00532127"/>
    <w:rsid w:val="00533E3E"/>
    <w:rsid w:val="005358E8"/>
    <w:rsid w:val="00540BCA"/>
    <w:rsid w:val="005417B1"/>
    <w:rsid w:val="00543EBB"/>
    <w:rsid w:val="00547642"/>
    <w:rsid w:val="00547BE1"/>
    <w:rsid w:val="00550363"/>
    <w:rsid w:val="00556C11"/>
    <w:rsid w:val="00560325"/>
    <w:rsid w:val="00560C92"/>
    <w:rsid w:val="005642C2"/>
    <w:rsid w:val="005710C9"/>
    <w:rsid w:val="00572057"/>
    <w:rsid w:val="00574078"/>
    <w:rsid w:val="00575672"/>
    <w:rsid w:val="00583D2E"/>
    <w:rsid w:val="00593D43"/>
    <w:rsid w:val="005A1615"/>
    <w:rsid w:val="005A2469"/>
    <w:rsid w:val="005A3F3D"/>
    <w:rsid w:val="005A3FB5"/>
    <w:rsid w:val="005A4030"/>
    <w:rsid w:val="005A792E"/>
    <w:rsid w:val="005A7AE8"/>
    <w:rsid w:val="005B1EE9"/>
    <w:rsid w:val="005B24E7"/>
    <w:rsid w:val="005B55E0"/>
    <w:rsid w:val="005C0485"/>
    <w:rsid w:val="005C0FF0"/>
    <w:rsid w:val="005C5CC2"/>
    <w:rsid w:val="005C6C3E"/>
    <w:rsid w:val="005D03AE"/>
    <w:rsid w:val="005D05F0"/>
    <w:rsid w:val="005D274B"/>
    <w:rsid w:val="005D2AA3"/>
    <w:rsid w:val="005D3FE8"/>
    <w:rsid w:val="005D5509"/>
    <w:rsid w:val="005D57BC"/>
    <w:rsid w:val="005D58EC"/>
    <w:rsid w:val="005E157A"/>
    <w:rsid w:val="005E2DCD"/>
    <w:rsid w:val="005F0177"/>
    <w:rsid w:val="005F3A23"/>
    <w:rsid w:val="005F7589"/>
    <w:rsid w:val="00604FC0"/>
    <w:rsid w:val="00606D6C"/>
    <w:rsid w:val="00607049"/>
    <w:rsid w:val="006156B8"/>
    <w:rsid w:val="00620AD4"/>
    <w:rsid w:val="006217B0"/>
    <w:rsid w:val="00626AC2"/>
    <w:rsid w:val="00637CDB"/>
    <w:rsid w:val="00642D8B"/>
    <w:rsid w:val="00644846"/>
    <w:rsid w:val="00653A69"/>
    <w:rsid w:val="0066397D"/>
    <w:rsid w:val="00664A31"/>
    <w:rsid w:val="0067156B"/>
    <w:rsid w:val="006759C6"/>
    <w:rsid w:val="00675C87"/>
    <w:rsid w:val="00681414"/>
    <w:rsid w:val="006867BA"/>
    <w:rsid w:val="006952A6"/>
    <w:rsid w:val="006964FB"/>
    <w:rsid w:val="006A1E83"/>
    <w:rsid w:val="006A2027"/>
    <w:rsid w:val="006A21D4"/>
    <w:rsid w:val="006A4B64"/>
    <w:rsid w:val="006B0131"/>
    <w:rsid w:val="006B12A8"/>
    <w:rsid w:val="006B41BC"/>
    <w:rsid w:val="006C36B2"/>
    <w:rsid w:val="006C3F53"/>
    <w:rsid w:val="006C5384"/>
    <w:rsid w:val="006C5C3E"/>
    <w:rsid w:val="006C67EA"/>
    <w:rsid w:val="006C6DC3"/>
    <w:rsid w:val="006D0160"/>
    <w:rsid w:val="006D2511"/>
    <w:rsid w:val="006D3722"/>
    <w:rsid w:val="006D681E"/>
    <w:rsid w:val="006E3DF5"/>
    <w:rsid w:val="006E65BB"/>
    <w:rsid w:val="006F2C9C"/>
    <w:rsid w:val="006F5855"/>
    <w:rsid w:val="006F74A7"/>
    <w:rsid w:val="00702858"/>
    <w:rsid w:val="00707882"/>
    <w:rsid w:val="00712CCB"/>
    <w:rsid w:val="00714B13"/>
    <w:rsid w:val="00714E34"/>
    <w:rsid w:val="00720618"/>
    <w:rsid w:val="00721410"/>
    <w:rsid w:val="0072482F"/>
    <w:rsid w:val="00730582"/>
    <w:rsid w:val="0073582E"/>
    <w:rsid w:val="007407FD"/>
    <w:rsid w:val="00750622"/>
    <w:rsid w:val="00755875"/>
    <w:rsid w:val="00757268"/>
    <w:rsid w:val="00761ACD"/>
    <w:rsid w:val="00763339"/>
    <w:rsid w:val="00765A1B"/>
    <w:rsid w:val="00771E38"/>
    <w:rsid w:val="007851CC"/>
    <w:rsid w:val="00791DB8"/>
    <w:rsid w:val="00793119"/>
    <w:rsid w:val="00793F9C"/>
    <w:rsid w:val="00794D46"/>
    <w:rsid w:val="00795FBD"/>
    <w:rsid w:val="007A06E4"/>
    <w:rsid w:val="007A3433"/>
    <w:rsid w:val="007B4C00"/>
    <w:rsid w:val="007B5345"/>
    <w:rsid w:val="007B6174"/>
    <w:rsid w:val="007C03C9"/>
    <w:rsid w:val="007C4CFD"/>
    <w:rsid w:val="007C5400"/>
    <w:rsid w:val="007D5F3C"/>
    <w:rsid w:val="007E5224"/>
    <w:rsid w:val="007E6CD5"/>
    <w:rsid w:val="007F02C3"/>
    <w:rsid w:val="007F1249"/>
    <w:rsid w:val="007F3B6F"/>
    <w:rsid w:val="007F42AA"/>
    <w:rsid w:val="007F49EA"/>
    <w:rsid w:val="007F638C"/>
    <w:rsid w:val="007F7B1C"/>
    <w:rsid w:val="00800959"/>
    <w:rsid w:val="00801A27"/>
    <w:rsid w:val="00804C01"/>
    <w:rsid w:val="00804F00"/>
    <w:rsid w:val="008078D7"/>
    <w:rsid w:val="0081339C"/>
    <w:rsid w:val="00815376"/>
    <w:rsid w:val="00816076"/>
    <w:rsid w:val="00817BE2"/>
    <w:rsid w:val="0082194C"/>
    <w:rsid w:val="00821EE5"/>
    <w:rsid w:val="0083517E"/>
    <w:rsid w:val="008351F5"/>
    <w:rsid w:val="00835FA7"/>
    <w:rsid w:val="008369F7"/>
    <w:rsid w:val="00840AFF"/>
    <w:rsid w:val="00840D80"/>
    <w:rsid w:val="008412F4"/>
    <w:rsid w:val="0084174E"/>
    <w:rsid w:val="00845063"/>
    <w:rsid w:val="00845ACF"/>
    <w:rsid w:val="0084629D"/>
    <w:rsid w:val="00851299"/>
    <w:rsid w:val="00854471"/>
    <w:rsid w:val="00857D4F"/>
    <w:rsid w:val="008604CA"/>
    <w:rsid w:val="00861DA1"/>
    <w:rsid w:val="00863C25"/>
    <w:rsid w:val="00863F59"/>
    <w:rsid w:val="00864375"/>
    <w:rsid w:val="00864689"/>
    <w:rsid w:val="00864F42"/>
    <w:rsid w:val="008676EE"/>
    <w:rsid w:val="00873544"/>
    <w:rsid w:val="0087435F"/>
    <w:rsid w:val="008750CF"/>
    <w:rsid w:val="00876401"/>
    <w:rsid w:val="00890963"/>
    <w:rsid w:val="0089198A"/>
    <w:rsid w:val="008A618D"/>
    <w:rsid w:val="008A6EBE"/>
    <w:rsid w:val="008B2352"/>
    <w:rsid w:val="008C3CB8"/>
    <w:rsid w:val="008C75F8"/>
    <w:rsid w:val="008D4D4F"/>
    <w:rsid w:val="008E0AA6"/>
    <w:rsid w:val="008E12E5"/>
    <w:rsid w:val="008E3235"/>
    <w:rsid w:val="008E69F9"/>
    <w:rsid w:val="008F003F"/>
    <w:rsid w:val="0090021B"/>
    <w:rsid w:val="00901F6D"/>
    <w:rsid w:val="00903F5C"/>
    <w:rsid w:val="00907249"/>
    <w:rsid w:val="00907F93"/>
    <w:rsid w:val="009152F9"/>
    <w:rsid w:val="0092127A"/>
    <w:rsid w:val="0092725A"/>
    <w:rsid w:val="0093024D"/>
    <w:rsid w:val="00930415"/>
    <w:rsid w:val="00935C84"/>
    <w:rsid w:val="00944101"/>
    <w:rsid w:val="00947B5A"/>
    <w:rsid w:val="00952DAD"/>
    <w:rsid w:val="009605F6"/>
    <w:rsid w:val="009664D4"/>
    <w:rsid w:val="00984967"/>
    <w:rsid w:val="009854AE"/>
    <w:rsid w:val="00993EED"/>
    <w:rsid w:val="009965C3"/>
    <w:rsid w:val="009A557F"/>
    <w:rsid w:val="009B4A05"/>
    <w:rsid w:val="009B4E59"/>
    <w:rsid w:val="009C348B"/>
    <w:rsid w:val="009C39D5"/>
    <w:rsid w:val="009D313D"/>
    <w:rsid w:val="009D697F"/>
    <w:rsid w:val="009D794B"/>
    <w:rsid w:val="009E1C67"/>
    <w:rsid w:val="009E5698"/>
    <w:rsid w:val="009F0E15"/>
    <w:rsid w:val="00A05032"/>
    <w:rsid w:val="00A11AA3"/>
    <w:rsid w:val="00A11FE4"/>
    <w:rsid w:val="00A13F02"/>
    <w:rsid w:val="00A14EBC"/>
    <w:rsid w:val="00A202AA"/>
    <w:rsid w:val="00A202F3"/>
    <w:rsid w:val="00A2403A"/>
    <w:rsid w:val="00A2505F"/>
    <w:rsid w:val="00A26B3C"/>
    <w:rsid w:val="00A30DDC"/>
    <w:rsid w:val="00A5102F"/>
    <w:rsid w:val="00A51F3C"/>
    <w:rsid w:val="00A56B64"/>
    <w:rsid w:val="00A610AF"/>
    <w:rsid w:val="00A612B5"/>
    <w:rsid w:val="00A627F3"/>
    <w:rsid w:val="00A63941"/>
    <w:rsid w:val="00A656A7"/>
    <w:rsid w:val="00A679B9"/>
    <w:rsid w:val="00A71FF8"/>
    <w:rsid w:val="00A82894"/>
    <w:rsid w:val="00A83045"/>
    <w:rsid w:val="00A83735"/>
    <w:rsid w:val="00A86154"/>
    <w:rsid w:val="00A8778A"/>
    <w:rsid w:val="00A87B76"/>
    <w:rsid w:val="00AA001F"/>
    <w:rsid w:val="00AA0DF1"/>
    <w:rsid w:val="00AA3641"/>
    <w:rsid w:val="00AB044E"/>
    <w:rsid w:val="00AB210A"/>
    <w:rsid w:val="00AB211D"/>
    <w:rsid w:val="00AB33FF"/>
    <w:rsid w:val="00AB6D09"/>
    <w:rsid w:val="00AC4E99"/>
    <w:rsid w:val="00AD1777"/>
    <w:rsid w:val="00AD37FA"/>
    <w:rsid w:val="00AF4641"/>
    <w:rsid w:val="00B07B03"/>
    <w:rsid w:val="00B07E4A"/>
    <w:rsid w:val="00B100F9"/>
    <w:rsid w:val="00B12406"/>
    <w:rsid w:val="00B12C92"/>
    <w:rsid w:val="00B16899"/>
    <w:rsid w:val="00B222FF"/>
    <w:rsid w:val="00B430DF"/>
    <w:rsid w:val="00B5451F"/>
    <w:rsid w:val="00B56DE9"/>
    <w:rsid w:val="00B61859"/>
    <w:rsid w:val="00B72892"/>
    <w:rsid w:val="00B74337"/>
    <w:rsid w:val="00B76389"/>
    <w:rsid w:val="00B8118E"/>
    <w:rsid w:val="00B84613"/>
    <w:rsid w:val="00B85557"/>
    <w:rsid w:val="00B91A47"/>
    <w:rsid w:val="00B95345"/>
    <w:rsid w:val="00B97164"/>
    <w:rsid w:val="00B97F56"/>
    <w:rsid w:val="00BA1D25"/>
    <w:rsid w:val="00BA1F8B"/>
    <w:rsid w:val="00BA5E12"/>
    <w:rsid w:val="00BB0E8B"/>
    <w:rsid w:val="00BB4275"/>
    <w:rsid w:val="00BC6ADB"/>
    <w:rsid w:val="00BD710A"/>
    <w:rsid w:val="00BE6F2F"/>
    <w:rsid w:val="00BE7F99"/>
    <w:rsid w:val="00BF0F8E"/>
    <w:rsid w:val="00BF555E"/>
    <w:rsid w:val="00C00EC2"/>
    <w:rsid w:val="00C02521"/>
    <w:rsid w:val="00C12D1A"/>
    <w:rsid w:val="00C233FF"/>
    <w:rsid w:val="00C238CF"/>
    <w:rsid w:val="00C251B0"/>
    <w:rsid w:val="00C25210"/>
    <w:rsid w:val="00C4041E"/>
    <w:rsid w:val="00C40748"/>
    <w:rsid w:val="00C43273"/>
    <w:rsid w:val="00C455B3"/>
    <w:rsid w:val="00C62E5D"/>
    <w:rsid w:val="00C64F91"/>
    <w:rsid w:val="00C71D5A"/>
    <w:rsid w:val="00C76889"/>
    <w:rsid w:val="00C76D07"/>
    <w:rsid w:val="00C7760A"/>
    <w:rsid w:val="00C77719"/>
    <w:rsid w:val="00C8434E"/>
    <w:rsid w:val="00C85307"/>
    <w:rsid w:val="00C85B52"/>
    <w:rsid w:val="00C8623C"/>
    <w:rsid w:val="00C92C33"/>
    <w:rsid w:val="00C92CF5"/>
    <w:rsid w:val="00C93252"/>
    <w:rsid w:val="00C9593C"/>
    <w:rsid w:val="00C9687A"/>
    <w:rsid w:val="00C977B1"/>
    <w:rsid w:val="00CA020D"/>
    <w:rsid w:val="00CA628F"/>
    <w:rsid w:val="00CA7034"/>
    <w:rsid w:val="00CA7A94"/>
    <w:rsid w:val="00CB16B1"/>
    <w:rsid w:val="00CB38C8"/>
    <w:rsid w:val="00CC37DA"/>
    <w:rsid w:val="00CC4A83"/>
    <w:rsid w:val="00CD1831"/>
    <w:rsid w:val="00CD4C13"/>
    <w:rsid w:val="00CE1219"/>
    <w:rsid w:val="00CE19C3"/>
    <w:rsid w:val="00CF0EBE"/>
    <w:rsid w:val="00CF332E"/>
    <w:rsid w:val="00CF4751"/>
    <w:rsid w:val="00CF60FE"/>
    <w:rsid w:val="00D04D5E"/>
    <w:rsid w:val="00D10141"/>
    <w:rsid w:val="00D103A6"/>
    <w:rsid w:val="00D1346C"/>
    <w:rsid w:val="00D14A57"/>
    <w:rsid w:val="00D15E6E"/>
    <w:rsid w:val="00D16E42"/>
    <w:rsid w:val="00D22BB4"/>
    <w:rsid w:val="00D27D58"/>
    <w:rsid w:val="00D3043B"/>
    <w:rsid w:val="00D30C10"/>
    <w:rsid w:val="00D32834"/>
    <w:rsid w:val="00D34FD0"/>
    <w:rsid w:val="00D369E2"/>
    <w:rsid w:val="00D40191"/>
    <w:rsid w:val="00D50DE7"/>
    <w:rsid w:val="00D50F3E"/>
    <w:rsid w:val="00D52463"/>
    <w:rsid w:val="00D54749"/>
    <w:rsid w:val="00D60207"/>
    <w:rsid w:val="00D61E3D"/>
    <w:rsid w:val="00D72BA6"/>
    <w:rsid w:val="00D87AD1"/>
    <w:rsid w:val="00D909F1"/>
    <w:rsid w:val="00D93305"/>
    <w:rsid w:val="00D9368E"/>
    <w:rsid w:val="00D95009"/>
    <w:rsid w:val="00DA0920"/>
    <w:rsid w:val="00DA09BB"/>
    <w:rsid w:val="00DA4982"/>
    <w:rsid w:val="00DA6810"/>
    <w:rsid w:val="00DB0A88"/>
    <w:rsid w:val="00DB58F9"/>
    <w:rsid w:val="00DC204F"/>
    <w:rsid w:val="00DC48CA"/>
    <w:rsid w:val="00DC5313"/>
    <w:rsid w:val="00DE6F84"/>
    <w:rsid w:val="00DF3911"/>
    <w:rsid w:val="00DF6BFD"/>
    <w:rsid w:val="00E11CC3"/>
    <w:rsid w:val="00E1253A"/>
    <w:rsid w:val="00E1468D"/>
    <w:rsid w:val="00E21783"/>
    <w:rsid w:val="00E23277"/>
    <w:rsid w:val="00E25581"/>
    <w:rsid w:val="00E257E6"/>
    <w:rsid w:val="00E36DE4"/>
    <w:rsid w:val="00E4455C"/>
    <w:rsid w:val="00E461A5"/>
    <w:rsid w:val="00E46A1F"/>
    <w:rsid w:val="00E5374A"/>
    <w:rsid w:val="00E555BD"/>
    <w:rsid w:val="00E7424C"/>
    <w:rsid w:val="00E768E5"/>
    <w:rsid w:val="00E83A29"/>
    <w:rsid w:val="00E83B20"/>
    <w:rsid w:val="00E90E7B"/>
    <w:rsid w:val="00E95ADF"/>
    <w:rsid w:val="00EA589C"/>
    <w:rsid w:val="00EA6038"/>
    <w:rsid w:val="00EB311D"/>
    <w:rsid w:val="00EB3E83"/>
    <w:rsid w:val="00EB7B08"/>
    <w:rsid w:val="00EC3FCC"/>
    <w:rsid w:val="00EC6412"/>
    <w:rsid w:val="00ED1025"/>
    <w:rsid w:val="00ED2222"/>
    <w:rsid w:val="00ED4691"/>
    <w:rsid w:val="00ED7C59"/>
    <w:rsid w:val="00EE0080"/>
    <w:rsid w:val="00EE1ED5"/>
    <w:rsid w:val="00EE232B"/>
    <w:rsid w:val="00EE24C9"/>
    <w:rsid w:val="00EE603B"/>
    <w:rsid w:val="00EE6F89"/>
    <w:rsid w:val="00EF2621"/>
    <w:rsid w:val="00EF4C1F"/>
    <w:rsid w:val="00F12234"/>
    <w:rsid w:val="00F12B1E"/>
    <w:rsid w:val="00F12F95"/>
    <w:rsid w:val="00F23A60"/>
    <w:rsid w:val="00F2751F"/>
    <w:rsid w:val="00F33B15"/>
    <w:rsid w:val="00F3561F"/>
    <w:rsid w:val="00F5115D"/>
    <w:rsid w:val="00F514E9"/>
    <w:rsid w:val="00F54BCE"/>
    <w:rsid w:val="00F57B6A"/>
    <w:rsid w:val="00F6312C"/>
    <w:rsid w:val="00F6489C"/>
    <w:rsid w:val="00F717CC"/>
    <w:rsid w:val="00F76702"/>
    <w:rsid w:val="00F80B2B"/>
    <w:rsid w:val="00F80F5C"/>
    <w:rsid w:val="00F86317"/>
    <w:rsid w:val="00F91BC7"/>
    <w:rsid w:val="00F92037"/>
    <w:rsid w:val="00F93917"/>
    <w:rsid w:val="00F961D8"/>
    <w:rsid w:val="00FA47E3"/>
    <w:rsid w:val="00FA728D"/>
    <w:rsid w:val="00FB519A"/>
    <w:rsid w:val="00FC4A53"/>
    <w:rsid w:val="00FD47D8"/>
    <w:rsid w:val="00FE1E64"/>
    <w:rsid w:val="00FE3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A5DA"/>
  <w15:chartTrackingRefBased/>
  <w15:docId w15:val="{122BF155-A301-4669-8F0F-F7DAE918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B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272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272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040EBF"/>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040EBF"/>
    <w:rPr>
      <w:rFonts w:ascii="Arial" w:eastAsia="Times New Roman" w:hAnsi="Arial" w:cs="Arial"/>
      <w:b/>
      <w:bCs/>
      <w:szCs w:val="20"/>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000CEA"/>
    <w:pPr>
      <w:spacing w:after="160" w:line="259" w:lineRule="auto"/>
      <w:ind w:left="720"/>
      <w:contextualSpacing/>
    </w:pPr>
    <w:rPr>
      <w:rFonts w:asciiTheme="minorHAnsi" w:eastAsiaTheme="minorHAnsi" w:hAnsiTheme="minorHAnsi" w:cstheme="minorBidi"/>
    </w:rPr>
  </w:style>
  <w:style w:type="character" w:styleId="Refdenotaalpie">
    <w:name w:val="footnote reference"/>
    <w:aliases w:val="(NECG) Footnote Reference,o,fr,Style 3,Appel note de bas de p,Style 12,Style 124,Ref,de nota al pie,Ref. de nota al pie 2"/>
    <w:uiPriority w:val="99"/>
    <w:qFormat/>
    <w:rsid w:val="00A11FE4"/>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A11FE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A11FE4"/>
    <w:rPr>
      <w:rFonts w:ascii="Times New Roman" w:eastAsia="Times New Roman" w:hAnsi="Times New Roman" w:cs="Times New Roman"/>
      <w:sz w:val="20"/>
      <w:szCs w:val="20"/>
      <w:lang w:val="es-ES" w:eastAsia="es-ES"/>
    </w:rPr>
  </w:style>
  <w:style w:type="character" w:styleId="Refdecomentario">
    <w:name w:val="annotation reference"/>
    <w:aliases w:val="Comentarios"/>
    <w:basedOn w:val="Fuentedeprrafopredeter"/>
    <w:uiPriority w:val="99"/>
    <w:unhideWhenUsed/>
    <w:qFormat/>
    <w:rsid w:val="004D4B1D"/>
    <w:rPr>
      <w:sz w:val="16"/>
      <w:szCs w:val="16"/>
    </w:rPr>
  </w:style>
  <w:style w:type="paragraph" w:styleId="Textocomentario">
    <w:name w:val="annotation text"/>
    <w:basedOn w:val="Normal"/>
    <w:link w:val="TextocomentarioCar"/>
    <w:uiPriority w:val="99"/>
    <w:unhideWhenUsed/>
    <w:rsid w:val="004D4B1D"/>
    <w:pPr>
      <w:spacing w:line="240" w:lineRule="auto"/>
    </w:pPr>
    <w:rPr>
      <w:sz w:val="20"/>
      <w:szCs w:val="20"/>
    </w:rPr>
  </w:style>
  <w:style w:type="character" w:customStyle="1" w:styleId="TextocomentarioCar">
    <w:name w:val="Texto comentario Car"/>
    <w:basedOn w:val="Fuentedeprrafopredeter"/>
    <w:link w:val="Textocomentario"/>
    <w:uiPriority w:val="99"/>
    <w:rsid w:val="004D4B1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D4B1D"/>
    <w:rPr>
      <w:b/>
      <w:bCs/>
    </w:rPr>
  </w:style>
  <w:style w:type="character" w:customStyle="1" w:styleId="AsuntodelcomentarioCar">
    <w:name w:val="Asunto del comentario Car"/>
    <w:basedOn w:val="TextocomentarioCar"/>
    <w:link w:val="Asuntodelcomentario"/>
    <w:uiPriority w:val="99"/>
    <w:semiHidden/>
    <w:rsid w:val="004D4B1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D4B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1D"/>
    <w:rPr>
      <w:rFonts w:ascii="Segoe UI" w:eastAsia="Calibri" w:hAnsi="Segoe UI" w:cs="Segoe UI"/>
      <w:sz w:val="18"/>
      <w:szCs w:val="18"/>
    </w:rPr>
  </w:style>
  <w:style w:type="paragraph" w:styleId="Textoindependiente">
    <w:name w:val="Body Text"/>
    <w:basedOn w:val="Normal"/>
    <w:link w:val="TextoindependienteCar"/>
    <w:rsid w:val="004C035B"/>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4C035B"/>
    <w:rPr>
      <w:rFonts w:ascii="Arial" w:eastAsia="Times New Roman" w:hAnsi="Arial" w:cs="Times New Roman"/>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2076F8"/>
  </w:style>
  <w:style w:type="paragraph" w:styleId="Piedepgina">
    <w:name w:val="footer"/>
    <w:basedOn w:val="Normal"/>
    <w:link w:val="PiedepginaCar"/>
    <w:uiPriority w:val="99"/>
    <w:unhideWhenUsed/>
    <w:rsid w:val="00476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266"/>
    <w:rPr>
      <w:rFonts w:ascii="Calibri" w:eastAsia="Calibri" w:hAnsi="Calibri" w:cs="Times New Roman"/>
    </w:rPr>
  </w:style>
  <w:style w:type="character" w:customStyle="1" w:styleId="IFTnormalCar">
    <w:name w:val="IFT normal Car"/>
    <w:basedOn w:val="Fuentedeprrafopredeter"/>
    <w:link w:val="IFTnormal"/>
    <w:locked/>
    <w:rsid w:val="00901F6D"/>
    <w:rPr>
      <w:rFonts w:ascii="ITC Avant Garde" w:eastAsia="Times New Roman" w:hAnsi="ITC Avant Garde" w:cs="Times New Roman"/>
      <w:iCs/>
      <w:lang w:val="es-ES" w:eastAsia="es-MX"/>
    </w:rPr>
  </w:style>
  <w:style w:type="paragraph" w:customStyle="1" w:styleId="IFTnormal">
    <w:name w:val="IFT normal"/>
    <w:basedOn w:val="Normal"/>
    <w:link w:val="IFTnormalCar"/>
    <w:qFormat/>
    <w:rsid w:val="00901F6D"/>
    <w:pPr>
      <w:ind w:left="426"/>
      <w:jc w:val="both"/>
    </w:pPr>
    <w:rPr>
      <w:rFonts w:ascii="ITC Avant Garde" w:eastAsia="Times New Roman" w:hAnsi="ITC Avant Garde"/>
      <w:iCs/>
      <w:lang w:val="es-ES" w:eastAsia="es-MX"/>
    </w:rPr>
  </w:style>
  <w:style w:type="character" w:styleId="Hipervnculo">
    <w:name w:val="Hyperlink"/>
    <w:basedOn w:val="Fuentedeprrafopredeter"/>
    <w:uiPriority w:val="99"/>
    <w:unhideWhenUsed/>
    <w:rsid w:val="00455831"/>
    <w:rPr>
      <w:color w:val="0000FF"/>
      <w:u w:val="single"/>
    </w:rPr>
  </w:style>
  <w:style w:type="paragraph" w:customStyle="1" w:styleId="Texto">
    <w:name w:val="Texto"/>
    <w:basedOn w:val="Normal"/>
    <w:rsid w:val="0025160B"/>
    <w:pPr>
      <w:spacing w:after="101" w:line="216" w:lineRule="exact"/>
      <w:ind w:firstLine="288"/>
      <w:jc w:val="both"/>
    </w:pPr>
    <w:rPr>
      <w:rFonts w:ascii="Arial" w:eastAsia="Times New Roman" w:hAnsi="Arial" w:cs="Arial"/>
      <w:sz w:val="18"/>
      <w:szCs w:val="18"/>
      <w:lang w:val="es-ES" w:eastAsia="es-ES"/>
    </w:rPr>
  </w:style>
  <w:style w:type="table" w:styleId="Tabladecuadrcula5oscura-nfasis3">
    <w:name w:val="Grid Table 5 Dark Accent 3"/>
    <w:basedOn w:val="Tablanormal"/>
    <w:uiPriority w:val="50"/>
    <w:rsid w:val="00A26B3C"/>
    <w:pPr>
      <w:spacing w:after="0" w:line="240" w:lineRule="auto"/>
    </w:pPr>
    <w:rPr>
      <w:rFonts w:ascii="ITC Avant Garde" w:hAnsi="ITC Avant Gar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6">
    <w:name w:val="Grid Table 5 Dark Accent 6"/>
    <w:basedOn w:val="Tablanormal"/>
    <w:uiPriority w:val="50"/>
    <w:rsid w:val="00A26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TEXT">
    <w:name w:val="TEXT"/>
    <w:basedOn w:val="Normal"/>
    <w:rsid w:val="00335522"/>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Encabezado">
    <w:name w:val="header"/>
    <w:basedOn w:val="Normal"/>
    <w:link w:val="EncabezadoCar"/>
    <w:uiPriority w:val="99"/>
    <w:unhideWhenUsed/>
    <w:rsid w:val="001F7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156"/>
    <w:rPr>
      <w:rFonts w:ascii="Calibri" w:eastAsia="Calibri" w:hAnsi="Calibri" w:cs="Times New Roman"/>
    </w:rPr>
  </w:style>
  <w:style w:type="table" w:styleId="Tablaconcuadrcula">
    <w:name w:val="Table Grid"/>
    <w:basedOn w:val="Tablanormal"/>
    <w:uiPriority w:val="59"/>
    <w:rsid w:val="007F49E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6306"/>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92725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272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395">
      <w:bodyDiv w:val="1"/>
      <w:marLeft w:val="0"/>
      <w:marRight w:val="0"/>
      <w:marTop w:val="0"/>
      <w:marBottom w:val="0"/>
      <w:divBdr>
        <w:top w:val="none" w:sz="0" w:space="0" w:color="auto"/>
        <w:left w:val="none" w:sz="0" w:space="0" w:color="auto"/>
        <w:bottom w:val="none" w:sz="0" w:space="0" w:color="auto"/>
        <w:right w:val="none" w:sz="0" w:space="0" w:color="auto"/>
      </w:divBdr>
    </w:div>
    <w:div w:id="189995146">
      <w:bodyDiv w:val="1"/>
      <w:marLeft w:val="0"/>
      <w:marRight w:val="0"/>
      <w:marTop w:val="0"/>
      <w:marBottom w:val="0"/>
      <w:divBdr>
        <w:top w:val="none" w:sz="0" w:space="0" w:color="auto"/>
        <w:left w:val="none" w:sz="0" w:space="0" w:color="auto"/>
        <w:bottom w:val="none" w:sz="0" w:space="0" w:color="auto"/>
        <w:right w:val="none" w:sz="0" w:space="0" w:color="auto"/>
      </w:divBdr>
    </w:div>
    <w:div w:id="226452171">
      <w:bodyDiv w:val="1"/>
      <w:marLeft w:val="0"/>
      <w:marRight w:val="0"/>
      <w:marTop w:val="0"/>
      <w:marBottom w:val="0"/>
      <w:divBdr>
        <w:top w:val="none" w:sz="0" w:space="0" w:color="auto"/>
        <w:left w:val="none" w:sz="0" w:space="0" w:color="auto"/>
        <w:bottom w:val="none" w:sz="0" w:space="0" w:color="auto"/>
        <w:right w:val="none" w:sz="0" w:space="0" w:color="auto"/>
      </w:divBdr>
    </w:div>
    <w:div w:id="553128798">
      <w:bodyDiv w:val="1"/>
      <w:marLeft w:val="0"/>
      <w:marRight w:val="0"/>
      <w:marTop w:val="0"/>
      <w:marBottom w:val="0"/>
      <w:divBdr>
        <w:top w:val="none" w:sz="0" w:space="0" w:color="auto"/>
        <w:left w:val="none" w:sz="0" w:space="0" w:color="auto"/>
        <w:bottom w:val="none" w:sz="0" w:space="0" w:color="auto"/>
        <w:right w:val="none" w:sz="0" w:space="0" w:color="auto"/>
      </w:divBdr>
    </w:div>
    <w:div w:id="583801373">
      <w:bodyDiv w:val="1"/>
      <w:marLeft w:val="0"/>
      <w:marRight w:val="0"/>
      <w:marTop w:val="0"/>
      <w:marBottom w:val="0"/>
      <w:divBdr>
        <w:top w:val="none" w:sz="0" w:space="0" w:color="auto"/>
        <w:left w:val="none" w:sz="0" w:space="0" w:color="auto"/>
        <w:bottom w:val="none" w:sz="0" w:space="0" w:color="auto"/>
        <w:right w:val="none" w:sz="0" w:space="0" w:color="auto"/>
      </w:divBdr>
    </w:div>
    <w:div w:id="597716512">
      <w:bodyDiv w:val="1"/>
      <w:marLeft w:val="0"/>
      <w:marRight w:val="0"/>
      <w:marTop w:val="0"/>
      <w:marBottom w:val="0"/>
      <w:divBdr>
        <w:top w:val="none" w:sz="0" w:space="0" w:color="auto"/>
        <w:left w:val="none" w:sz="0" w:space="0" w:color="auto"/>
        <w:bottom w:val="none" w:sz="0" w:space="0" w:color="auto"/>
        <w:right w:val="none" w:sz="0" w:space="0" w:color="auto"/>
      </w:divBdr>
    </w:div>
    <w:div w:id="645743738">
      <w:bodyDiv w:val="1"/>
      <w:marLeft w:val="0"/>
      <w:marRight w:val="0"/>
      <w:marTop w:val="0"/>
      <w:marBottom w:val="0"/>
      <w:divBdr>
        <w:top w:val="none" w:sz="0" w:space="0" w:color="auto"/>
        <w:left w:val="none" w:sz="0" w:space="0" w:color="auto"/>
        <w:bottom w:val="none" w:sz="0" w:space="0" w:color="auto"/>
        <w:right w:val="none" w:sz="0" w:space="0" w:color="auto"/>
      </w:divBdr>
    </w:div>
    <w:div w:id="723987947">
      <w:bodyDiv w:val="1"/>
      <w:marLeft w:val="0"/>
      <w:marRight w:val="0"/>
      <w:marTop w:val="0"/>
      <w:marBottom w:val="0"/>
      <w:divBdr>
        <w:top w:val="none" w:sz="0" w:space="0" w:color="auto"/>
        <w:left w:val="none" w:sz="0" w:space="0" w:color="auto"/>
        <w:bottom w:val="none" w:sz="0" w:space="0" w:color="auto"/>
        <w:right w:val="none" w:sz="0" w:space="0" w:color="auto"/>
      </w:divBdr>
    </w:div>
    <w:div w:id="795177581">
      <w:bodyDiv w:val="1"/>
      <w:marLeft w:val="0"/>
      <w:marRight w:val="0"/>
      <w:marTop w:val="0"/>
      <w:marBottom w:val="0"/>
      <w:divBdr>
        <w:top w:val="none" w:sz="0" w:space="0" w:color="auto"/>
        <w:left w:val="none" w:sz="0" w:space="0" w:color="auto"/>
        <w:bottom w:val="none" w:sz="0" w:space="0" w:color="auto"/>
        <w:right w:val="none" w:sz="0" w:space="0" w:color="auto"/>
      </w:divBdr>
    </w:div>
    <w:div w:id="87361294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2">
          <w:marLeft w:val="0"/>
          <w:marRight w:val="0"/>
          <w:marTop w:val="240"/>
          <w:marBottom w:val="0"/>
          <w:divBdr>
            <w:top w:val="none" w:sz="0" w:space="0" w:color="auto"/>
            <w:left w:val="none" w:sz="0" w:space="0" w:color="auto"/>
            <w:bottom w:val="none" w:sz="0" w:space="0" w:color="auto"/>
            <w:right w:val="none" w:sz="0" w:space="0" w:color="auto"/>
          </w:divBdr>
          <w:divsChild>
            <w:div w:id="1877620834">
              <w:marLeft w:val="0"/>
              <w:marRight w:val="0"/>
              <w:marTop w:val="0"/>
              <w:marBottom w:val="0"/>
              <w:divBdr>
                <w:top w:val="none" w:sz="0" w:space="0" w:color="auto"/>
                <w:left w:val="none" w:sz="0" w:space="0" w:color="auto"/>
                <w:bottom w:val="none" w:sz="0" w:space="0" w:color="auto"/>
                <w:right w:val="none" w:sz="0" w:space="0" w:color="auto"/>
              </w:divBdr>
              <w:divsChild>
                <w:div w:id="2099598565">
                  <w:marLeft w:val="0"/>
                  <w:marRight w:val="0"/>
                  <w:marTop w:val="0"/>
                  <w:marBottom w:val="0"/>
                  <w:divBdr>
                    <w:top w:val="none" w:sz="0" w:space="0" w:color="auto"/>
                    <w:left w:val="none" w:sz="0" w:space="0" w:color="auto"/>
                    <w:bottom w:val="none" w:sz="0" w:space="0" w:color="auto"/>
                    <w:right w:val="none" w:sz="0" w:space="0" w:color="auto"/>
                  </w:divBdr>
                  <w:divsChild>
                    <w:div w:id="95113448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953055403">
      <w:bodyDiv w:val="1"/>
      <w:marLeft w:val="0"/>
      <w:marRight w:val="0"/>
      <w:marTop w:val="0"/>
      <w:marBottom w:val="0"/>
      <w:divBdr>
        <w:top w:val="none" w:sz="0" w:space="0" w:color="auto"/>
        <w:left w:val="none" w:sz="0" w:space="0" w:color="auto"/>
        <w:bottom w:val="none" w:sz="0" w:space="0" w:color="auto"/>
        <w:right w:val="none" w:sz="0" w:space="0" w:color="auto"/>
      </w:divBdr>
    </w:div>
    <w:div w:id="976568650">
      <w:bodyDiv w:val="1"/>
      <w:marLeft w:val="0"/>
      <w:marRight w:val="0"/>
      <w:marTop w:val="0"/>
      <w:marBottom w:val="0"/>
      <w:divBdr>
        <w:top w:val="none" w:sz="0" w:space="0" w:color="auto"/>
        <w:left w:val="none" w:sz="0" w:space="0" w:color="auto"/>
        <w:bottom w:val="none" w:sz="0" w:space="0" w:color="auto"/>
        <w:right w:val="none" w:sz="0" w:space="0" w:color="auto"/>
      </w:divBdr>
    </w:div>
    <w:div w:id="1034380646">
      <w:bodyDiv w:val="1"/>
      <w:marLeft w:val="0"/>
      <w:marRight w:val="0"/>
      <w:marTop w:val="0"/>
      <w:marBottom w:val="0"/>
      <w:divBdr>
        <w:top w:val="none" w:sz="0" w:space="0" w:color="auto"/>
        <w:left w:val="none" w:sz="0" w:space="0" w:color="auto"/>
        <w:bottom w:val="none" w:sz="0" w:space="0" w:color="auto"/>
        <w:right w:val="none" w:sz="0" w:space="0" w:color="auto"/>
      </w:divBdr>
    </w:div>
    <w:div w:id="1064329177">
      <w:bodyDiv w:val="1"/>
      <w:marLeft w:val="0"/>
      <w:marRight w:val="0"/>
      <w:marTop w:val="0"/>
      <w:marBottom w:val="0"/>
      <w:divBdr>
        <w:top w:val="none" w:sz="0" w:space="0" w:color="auto"/>
        <w:left w:val="none" w:sz="0" w:space="0" w:color="auto"/>
        <w:bottom w:val="none" w:sz="0" w:space="0" w:color="auto"/>
        <w:right w:val="none" w:sz="0" w:space="0" w:color="auto"/>
      </w:divBdr>
    </w:div>
    <w:div w:id="1150556749">
      <w:bodyDiv w:val="1"/>
      <w:marLeft w:val="0"/>
      <w:marRight w:val="0"/>
      <w:marTop w:val="0"/>
      <w:marBottom w:val="0"/>
      <w:divBdr>
        <w:top w:val="none" w:sz="0" w:space="0" w:color="auto"/>
        <w:left w:val="none" w:sz="0" w:space="0" w:color="auto"/>
        <w:bottom w:val="none" w:sz="0" w:space="0" w:color="auto"/>
        <w:right w:val="none" w:sz="0" w:space="0" w:color="auto"/>
      </w:divBdr>
    </w:div>
    <w:div w:id="1185023242">
      <w:bodyDiv w:val="1"/>
      <w:marLeft w:val="0"/>
      <w:marRight w:val="0"/>
      <w:marTop w:val="0"/>
      <w:marBottom w:val="0"/>
      <w:divBdr>
        <w:top w:val="none" w:sz="0" w:space="0" w:color="auto"/>
        <w:left w:val="none" w:sz="0" w:space="0" w:color="auto"/>
        <w:bottom w:val="none" w:sz="0" w:space="0" w:color="auto"/>
        <w:right w:val="none" w:sz="0" w:space="0" w:color="auto"/>
      </w:divBdr>
    </w:div>
    <w:div w:id="1280141852">
      <w:bodyDiv w:val="1"/>
      <w:marLeft w:val="0"/>
      <w:marRight w:val="0"/>
      <w:marTop w:val="0"/>
      <w:marBottom w:val="0"/>
      <w:divBdr>
        <w:top w:val="none" w:sz="0" w:space="0" w:color="auto"/>
        <w:left w:val="none" w:sz="0" w:space="0" w:color="auto"/>
        <w:bottom w:val="none" w:sz="0" w:space="0" w:color="auto"/>
        <w:right w:val="none" w:sz="0" w:space="0" w:color="auto"/>
      </w:divBdr>
    </w:div>
    <w:div w:id="1574655750">
      <w:bodyDiv w:val="1"/>
      <w:marLeft w:val="0"/>
      <w:marRight w:val="0"/>
      <w:marTop w:val="0"/>
      <w:marBottom w:val="0"/>
      <w:divBdr>
        <w:top w:val="none" w:sz="0" w:space="0" w:color="auto"/>
        <w:left w:val="none" w:sz="0" w:space="0" w:color="auto"/>
        <w:bottom w:val="none" w:sz="0" w:space="0" w:color="auto"/>
        <w:right w:val="none" w:sz="0" w:space="0" w:color="auto"/>
      </w:divBdr>
    </w:div>
    <w:div w:id="1629236054">
      <w:bodyDiv w:val="1"/>
      <w:marLeft w:val="0"/>
      <w:marRight w:val="0"/>
      <w:marTop w:val="0"/>
      <w:marBottom w:val="0"/>
      <w:divBdr>
        <w:top w:val="none" w:sz="0" w:space="0" w:color="auto"/>
        <w:left w:val="none" w:sz="0" w:space="0" w:color="auto"/>
        <w:bottom w:val="none" w:sz="0" w:space="0" w:color="auto"/>
        <w:right w:val="none" w:sz="0" w:space="0" w:color="auto"/>
      </w:divBdr>
    </w:div>
    <w:div w:id="1764496792">
      <w:bodyDiv w:val="1"/>
      <w:marLeft w:val="0"/>
      <w:marRight w:val="0"/>
      <w:marTop w:val="0"/>
      <w:marBottom w:val="0"/>
      <w:divBdr>
        <w:top w:val="none" w:sz="0" w:space="0" w:color="auto"/>
        <w:left w:val="none" w:sz="0" w:space="0" w:color="auto"/>
        <w:bottom w:val="none" w:sz="0" w:space="0" w:color="auto"/>
        <w:right w:val="none" w:sz="0" w:space="0" w:color="auto"/>
      </w:divBdr>
    </w:div>
    <w:div w:id="1822307197">
      <w:bodyDiv w:val="1"/>
      <w:marLeft w:val="0"/>
      <w:marRight w:val="0"/>
      <w:marTop w:val="0"/>
      <w:marBottom w:val="0"/>
      <w:divBdr>
        <w:top w:val="none" w:sz="0" w:space="0" w:color="auto"/>
        <w:left w:val="none" w:sz="0" w:space="0" w:color="auto"/>
        <w:bottom w:val="none" w:sz="0" w:space="0" w:color="auto"/>
        <w:right w:val="none" w:sz="0" w:space="0" w:color="auto"/>
      </w:divBdr>
    </w:div>
    <w:div w:id="1975136919">
      <w:bodyDiv w:val="1"/>
      <w:marLeft w:val="0"/>
      <w:marRight w:val="0"/>
      <w:marTop w:val="0"/>
      <w:marBottom w:val="0"/>
      <w:divBdr>
        <w:top w:val="none" w:sz="0" w:space="0" w:color="auto"/>
        <w:left w:val="none" w:sz="0" w:space="0" w:color="auto"/>
        <w:bottom w:val="none" w:sz="0" w:space="0" w:color="auto"/>
        <w:right w:val="none" w:sz="0" w:space="0" w:color="auto"/>
      </w:divBdr>
    </w:div>
    <w:div w:id="20833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20BC-783D-4D68-BD6B-0052CC549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8876A6-65DD-4DC7-9C44-9A18FB6CF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C6009-0BD7-4706-8AD4-5F09E943EACE}">
  <ds:schemaRefs>
    <ds:schemaRef ds:uri="http://schemas.microsoft.com/sharepoint/v3/contenttype/forms"/>
  </ds:schemaRefs>
</ds:datastoreItem>
</file>

<file path=customXml/itemProps4.xml><?xml version="1.0" encoding="utf-8"?>
<ds:datastoreItem xmlns:ds="http://schemas.openxmlformats.org/officeDocument/2006/customXml" ds:itemID="{AF5C7430-0E1D-47F4-9A2F-1C4DF36C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11448</Words>
  <Characters>62966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Maria del Consuelo Gonzalez Moreno</cp:lastModifiedBy>
  <cp:revision>6</cp:revision>
  <dcterms:created xsi:type="dcterms:W3CDTF">2018-03-08T01:05:00Z</dcterms:created>
  <dcterms:modified xsi:type="dcterms:W3CDTF">2018-03-23T16:13:00Z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