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DB1" w:rsidRDefault="00031184" w:rsidP="00C239CD">
      <w:pPr>
        <w:pStyle w:val="Ttulo1"/>
        <w:keepNext/>
        <w:keepLines/>
        <w:spacing w:before="240" w:after="240"/>
        <w:rPr>
          <w:b w:val="0"/>
          <w:bCs/>
          <w:spacing w:val="-1"/>
          <w:lang w:val="es-ES_tradnl"/>
        </w:rPr>
      </w:pPr>
      <w:r>
        <w:rPr>
          <w:bCs/>
          <w:lang w:val="es-ES_tradnl"/>
        </w:rPr>
        <w:t xml:space="preserve">ACUERDO MEDIANTE EL CUAL EL PLENO DEL INSTITUTO FEDERAL DE TELECOMUNICACIONES EMITE RESPUESTA A LA SOLICITUD DE CONFIRMACIÓN DE CRITERIO PRESENTADA POR AXTEL, S.A.B. DE C.V., EN RELACIÓN CON LA OFERTA DE REFERENCIA </w:t>
      </w:r>
      <w:r w:rsidR="007C0B18" w:rsidRPr="007C0B18">
        <w:rPr>
          <w:bCs/>
          <w:lang w:val="es-ES_tradnl"/>
        </w:rPr>
        <w:t xml:space="preserve">PARA LA PRESTACIÓN DEL SERVICIO MAYORISTA DE ARRENDAMIENTO </w:t>
      </w:r>
      <w:r>
        <w:rPr>
          <w:bCs/>
          <w:lang w:val="es-ES_tradnl"/>
        </w:rPr>
        <w:t>DE ENLACES DEDICADOS.</w:t>
      </w:r>
    </w:p>
    <w:p w:rsidR="000C7DB1" w:rsidRDefault="00915BDA" w:rsidP="00C239CD">
      <w:pPr>
        <w:pStyle w:val="Ttulo2"/>
        <w:spacing w:after="240"/>
        <w:jc w:val="center"/>
        <w:rPr>
          <w:rFonts w:ascii="ITC Avant Garde" w:hAnsi="ITC Avant Garde"/>
          <w:b/>
          <w:bCs/>
          <w:color w:val="auto"/>
          <w:sz w:val="22"/>
          <w:szCs w:val="22"/>
          <w:lang w:val="es-ES_tradnl"/>
        </w:rPr>
      </w:pPr>
      <w:r w:rsidRPr="00C239CD">
        <w:rPr>
          <w:rFonts w:ascii="ITC Avant Garde" w:hAnsi="ITC Avant Garde"/>
          <w:b/>
          <w:bCs/>
          <w:color w:val="auto"/>
          <w:sz w:val="22"/>
          <w:szCs w:val="22"/>
          <w:lang w:val="es-ES_tradnl"/>
        </w:rPr>
        <w:t>ANTECEDENTES</w:t>
      </w:r>
    </w:p>
    <w:p w:rsidR="000C7DB1" w:rsidRDefault="00031184" w:rsidP="006D32BB">
      <w:pPr>
        <w:shd w:val="clear" w:color="auto" w:fill="FFFFFF"/>
        <w:spacing w:line="276" w:lineRule="auto"/>
        <w:ind w:right="7"/>
        <w:jc w:val="both"/>
        <w:rPr>
          <w:rFonts w:ascii="ITC Avant Garde" w:hAnsi="ITC Avant Garde" w:cs="Times New Roman"/>
          <w:sz w:val="22"/>
          <w:szCs w:val="22"/>
        </w:rPr>
      </w:pPr>
      <w:r w:rsidRPr="002C547E">
        <w:rPr>
          <w:rFonts w:ascii="ITC Avant Garde" w:hAnsi="ITC Avant Garde" w:cs="Times New Roman"/>
          <w:b/>
          <w:sz w:val="22"/>
          <w:szCs w:val="22"/>
          <w:lang w:val="es-ES_tradnl"/>
        </w:rPr>
        <w:t xml:space="preserve">PRIMERO. </w:t>
      </w:r>
      <w:r w:rsidR="00A64E95" w:rsidRPr="002C547E">
        <w:rPr>
          <w:rFonts w:ascii="ITC Avant Garde" w:hAnsi="ITC Avant Garde" w:cs="Times New Roman"/>
          <w:b/>
          <w:sz w:val="22"/>
          <w:szCs w:val="22"/>
          <w:lang w:val="es-ES_tradnl"/>
        </w:rPr>
        <w:t>–</w:t>
      </w:r>
      <w:r w:rsidRPr="002C547E">
        <w:rPr>
          <w:rFonts w:ascii="ITC Avant Garde" w:hAnsi="ITC Avant Garde" w:cs="Times New Roman"/>
          <w:sz w:val="22"/>
          <w:szCs w:val="22"/>
          <w:lang w:val="es-ES_tradnl"/>
        </w:rPr>
        <w:t xml:space="preserve"> </w:t>
      </w:r>
      <w:r w:rsidR="002C547E" w:rsidRPr="00A64E95">
        <w:rPr>
          <w:rFonts w:ascii="ITC Avant Garde" w:hAnsi="ITC Avant Garde" w:cs="Times New Roman"/>
          <w:sz w:val="22"/>
          <w:szCs w:val="22"/>
          <w:lang w:val="es-ES_tradnl"/>
        </w:rPr>
        <w:t xml:space="preserve">Con fecha 6 de marzo de 2014, el Instituto aprobó la </w:t>
      </w:r>
      <w:r w:rsidR="002C547E" w:rsidRPr="00A64E95">
        <w:rPr>
          <w:rFonts w:ascii="ITC Avant Garde" w:hAnsi="ITC Avant Garde" w:cs="Times New Roman"/>
          <w:i/>
          <w:sz w:val="22"/>
          <w:szCs w:val="22"/>
          <w:lang w:val="es-ES_tradnl"/>
        </w:rPr>
        <w:t>“RESOLUCIÓN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w:t>
      </w:r>
      <w:r w:rsidR="002C547E">
        <w:rPr>
          <w:rFonts w:ascii="ITC Avant Garde" w:hAnsi="ITC Avant Garde" w:cs="Times New Roman"/>
          <w:sz w:val="22"/>
          <w:szCs w:val="22"/>
          <w:lang w:val="es-ES_tradnl"/>
        </w:rPr>
        <w:t>.</w:t>
      </w:r>
    </w:p>
    <w:p w:rsidR="000C7DB1" w:rsidRDefault="00A64E95" w:rsidP="006D32BB">
      <w:pPr>
        <w:shd w:val="clear" w:color="auto" w:fill="FFFFFF"/>
        <w:spacing w:line="276" w:lineRule="auto"/>
        <w:ind w:left="7" w:right="7"/>
        <w:jc w:val="both"/>
        <w:rPr>
          <w:rFonts w:ascii="ITC Avant Garde" w:hAnsi="ITC Avant Garde" w:cs="Times New Roman"/>
          <w:bCs/>
          <w:sz w:val="22"/>
          <w:szCs w:val="22"/>
        </w:rPr>
      </w:pPr>
      <w:r w:rsidRPr="00A64E95">
        <w:rPr>
          <w:rFonts w:ascii="ITC Avant Garde" w:hAnsi="ITC Avant Garde" w:cs="Times New Roman"/>
          <w:b/>
          <w:sz w:val="22"/>
          <w:szCs w:val="22"/>
          <w:lang w:val="es-ES_tradnl"/>
        </w:rPr>
        <w:t>SEGUNDO. -</w:t>
      </w:r>
      <w:r w:rsidRPr="00A64E95">
        <w:rPr>
          <w:rFonts w:ascii="ITC Avant Garde" w:hAnsi="ITC Avant Garde" w:cs="Times New Roman"/>
          <w:sz w:val="22"/>
          <w:szCs w:val="22"/>
          <w:lang w:val="es-ES_tradnl"/>
        </w:rPr>
        <w:t xml:space="preserve"> </w:t>
      </w:r>
      <w:r w:rsidR="002C547E" w:rsidRPr="00A64E95">
        <w:rPr>
          <w:rFonts w:ascii="ITC Avant Garde" w:hAnsi="ITC Avant Garde"/>
          <w:bCs/>
          <w:spacing w:val="-2"/>
          <w:sz w:val="22"/>
          <w:szCs w:val="22"/>
          <w:lang w:val="es-ES_tradnl"/>
        </w:rPr>
        <w:t>Con fecha 13 de diciembre de 2017</w:t>
      </w:r>
      <w:r w:rsidR="002C547E" w:rsidRPr="00A64E95">
        <w:rPr>
          <w:rFonts w:ascii="ITC Avant Garde" w:hAnsi="ITC Avant Garde"/>
          <w:bCs/>
          <w:spacing w:val="-2"/>
          <w:sz w:val="22"/>
          <w:szCs w:val="22"/>
        </w:rPr>
        <w:t xml:space="preserve"> mediante Acuerdo P/IFT/131217/904</w:t>
      </w:r>
      <w:r w:rsidR="002C547E" w:rsidRPr="00A64E95">
        <w:rPr>
          <w:rFonts w:ascii="ITC Avant Garde" w:hAnsi="ITC Avant Garde"/>
          <w:bCs/>
          <w:spacing w:val="-2"/>
          <w:sz w:val="22"/>
          <w:szCs w:val="22"/>
          <w:lang w:val="es-ES_tradnl"/>
        </w:rPr>
        <w:t xml:space="preserve">, el Instituto emitió la </w:t>
      </w:r>
      <w:r w:rsidR="002C547E" w:rsidRPr="00A64E95">
        <w:rPr>
          <w:rFonts w:ascii="ITC Avant Garde" w:hAnsi="ITC Avant Garde"/>
          <w:bCs/>
          <w:i/>
          <w:spacing w:val="-2"/>
          <w:sz w:val="22"/>
          <w:szCs w:val="22"/>
          <w:lang w:val="es-ES_tradnl"/>
        </w:rPr>
        <w:t>“</w:t>
      </w:r>
      <w:bookmarkStart w:id="0" w:name="_Toc426649743"/>
      <w:bookmarkStart w:id="1" w:name="_Toc426973638"/>
      <w:r w:rsidR="002C547E" w:rsidRPr="00A64E95">
        <w:rPr>
          <w:rFonts w:ascii="ITC Avant Garde" w:hAnsi="ITC Avant Garde"/>
          <w:bCs/>
          <w:i/>
          <w:spacing w:val="-2"/>
          <w:sz w:val="22"/>
          <w:szCs w:val="22"/>
        </w:rPr>
        <w:t xml:space="preserve">RESOLUCIÓN MEDIANTE LA CUAL EL PLENO DEL INSTITUTO FEDERAL DE TELECOMUNICACIONES MODIFICA Y AUTORIZA AL AGENTE ECONÓMICO PREPONDERANTE LOS TÉRMINOS Y CONDICIONES </w:t>
      </w:r>
      <w:bookmarkEnd w:id="0"/>
      <w:bookmarkEnd w:id="1"/>
      <w:r w:rsidR="002C547E" w:rsidRPr="00A64E95">
        <w:rPr>
          <w:rFonts w:ascii="ITC Avant Garde" w:hAnsi="ITC Avant Garde"/>
          <w:bCs/>
          <w:i/>
          <w:spacing w:val="-2"/>
          <w:sz w:val="22"/>
          <w:szCs w:val="22"/>
        </w:rPr>
        <w:t>DE LA OFERTA DE REFERENCIA PARA LA PRESTACIÓN DEL SERVICIO MAYORISTA DE ARRENDAMIENTO DE ENLACES DEDICADOS LOCALES, ENTRE LOCALIDADES Y DE LARGA DISTANCIA INTERNACIONAL PARA CONCESIONARIOS DE REDES PÚBLICAS DE TELECOMUNICACIONES Y AUTORIZADOS DE TELECOMUNICACIONES, PRESENTADA POR TELÉFONOS DE MÉXICO, S.A.B. DE C.V. APLICABLE DEL 1 DE ENERO DE 2018 AL 31 DE DICIEMBRE DE 2018.”</w:t>
      </w:r>
    </w:p>
    <w:p w:rsidR="000C7DB1" w:rsidRDefault="00031184" w:rsidP="00C239CD">
      <w:pPr>
        <w:shd w:val="clear" w:color="auto" w:fill="FFFFFF"/>
        <w:spacing w:line="276" w:lineRule="auto"/>
        <w:ind w:left="7" w:right="7"/>
        <w:jc w:val="both"/>
        <w:rPr>
          <w:bCs/>
          <w:spacing w:val="-2"/>
          <w:lang w:val="es-ES_tradnl"/>
        </w:rPr>
      </w:pPr>
      <w:r w:rsidRPr="00A64E95">
        <w:rPr>
          <w:rFonts w:ascii="ITC Avant Garde" w:hAnsi="ITC Avant Garde"/>
          <w:b/>
          <w:bCs/>
          <w:spacing w:val="-2"/>
          <w:sz w:val="22"/>
          <w:szCs w:val="22"/>
          <w:lang w:val="es-ES_tradnl"/>
        </w:rPr>
        <w:t>TERCERO. -</w:t>
      </w:r>
      <w:r w:rsidRPr="00A64E95">
        <w:rPr>
          <w:rFonts w:ascii="ITC Avant Garde" w:hAnsi="ITC Avant Garde"/>
          <w:bCs/>
          <w:spacing w:val="-2"/>
          <w:sz w:val="22"/>
          <w:szCs w:val="22"/>
          <w:lang w:val="es-ES_tradnl"/>
        </w:rPr>
        <w:t xml:space="preserve"> </w:t>
      </w:r>
      <w:r w:rsidR="002C547E" w:rsidRPr="002C547E">
        <w:rPr>
          <w:rFonts w:ascii="ITC Avant Garde" w:hAnsi="ITC Avant Garde"/>
          <w:bCs/>
          <w:spacing w:val="-2"/>
          <w:sz w:val="22"/>
          <w:szCs w:val="22"/>
          <w:lang w:val="es-ES_tradnl"/>
        </w:rPr>
        <w:t>Con fecha 15 de enero de 2018, Axtel, S.A.B. de C.V. (Axtel) solicitó al Instituto, la consulta descrita en el Considerando Segundo del presente Acuerdo (Solicitud).</w:t>
      </w:r>
      <w:r w:rsidRPr="00CC115E">
        <w:rPr>
          <w:bCs/>
          <w:spacing w:val="-2"/>
          <w:lang w:val="es-ES_tradnl"/>
        </w:rPr>
        <w:t xml:space="preserve"> </w:t>
      </w:r>
    </w:p>
    <w:p w:rsidR="000C7DB1" w:rsidRDefault="00C239CD" w:rsidP="00C239CD">
      <w:pPr>
        <w:shd w:val="clear" w:color="auto" w:fill="FFFFFF"/>
        <w:spacing w:line="276" w:lineRule="auto"/>
        <w:ind w:left="7" w:right="7"/>
        <w:jc w:val="both"/>
        <w:rPr>
          <w:rFonts w:ascii="ITC Avant Garde" w:hAnsi="ITC Avant Garde"/>
          <w:sz w:val="22"/>
          <w:szCs w:val="22"/>
        </w:rPr>
      </w:pPr>
      <w:r w:rsidRPr="00C239CD">
        <w:rPr>
          <w:rFonts w:ascii="ITC Avant Garde" w:hAnsi="ITC Avant Garde"/>
          <w:b/>
          <w:bCs/>
          <w:spacing w:val="-2"/>
          <w:sz w:val="22"/>
          <w:szCs w:val="22"/>
          <w:lang w:val="es-ES_tradnl"/>
        </w:rPr>
        <w:t>CUARTO. -</w:t>
      </w:r>
      <w:r w:rsidRPr="00C239CD">
        <w:rPr>
          <w:rFonts w:ascii="ITC Avant Garde" w:hAnsi="ITC Avant Garde"/>
          <w:bCs/>
          <w:spacing w:val="-2"/>
          <w:sz w:val="22"/>
          <w:szCs w:val="22"/>
          <w:lang w:val="es-ES_tradnl"/>
        </w:rPr>
        <w:t xml:space="preserve"> </w:t>
      </w:r>
      <w:r w:rsidR="002C547E" w:rsidRPr="00C239CD">
        <w:rPr>
          <w:rFonts w:ascii="ITC Avant Garde" w:hAnsi="ITC Avant Garde"/>
          <w:bCs/>
          <w:spacing w:val="-2"/>
          <w:sz w:val="22"/>
          <w:szCs w:val="22"/>
          <w:lang w:val="es-ES_tradnl"/>
        </w:rPr>
        <w:t>La Unidad de Asuntos Jurídicos, atendiendo a lo dispuesto en los artículos 52 y 54, fracción IV del Estatuto</w:t>
      </w:r>
      <w:r w:rsidR="007C0B18" w:rsidRPr="00C239CD">
        <w:rPr>
          <w:rFonts w:ascii="ITC Avant Garde" w:hAnsi="ITC Avant Garde"/>
          <w:bCs/>
          <w:spacing w:val="-2"/>
          <w:sz w:val="22"/>
          <w:szCs w:val="22"/>
          <w:lang w:val="es-ES_tradnl"/>
        </w:rPr>
        <w:t xml:space="preserve"> Orgánico del Instituto</w:t>
      </w:r>
      <w:r w:rsidR="008F274F" w:rsidRPr="00C239CD">
        <w:rPr>
          <w:rFonts w:ascii="ITC Avant Garde" w:hAnsi="ITC Avant Garde"/>
          <w:bCs/>
          <w:spacing w:val="-2"/>
          <w:sz w:val="22"/>
          <w:szCs w:val="22"/>
          <w:lang w:val="es-ES_tradnl"/>
        </w:rPr>
        <w:t xml:space="preserve"> Federal de Telecomunicaciones (Estatuto)</w:t>
      </w:r>
      <w:r w:rsidR="002C547E" w:rsidRPr="00C239CD">
        <w:rPr>
          <w:rFonts w:ascii="ITC Avant Garde" w:hAnsi="ITC Avant Garde"/>
          <w:bCs/>
          <w:spacing w:val="-2"/>
          <w:sz w:val="22"/>
          <w:szCs w:val="22"/>
          <w:lang w:val="es-ES_tradnl"/>
        </w:rPr>
        <w:t>, elaboró y propuso al Pleno de este Instituto el criterio de interpretación materia del presente Acuerdo.</w:t>
      </w:r>
    </w:p>
    <w:p w:rsidR="000C7DB1" w:rsidRDefault="00915BDA" w:rsidP="00C239CD">
      <w:pPr>
        <w:pStyle w:val="Ttulo2"/>
        <w:spacing w:after="240"/>
        <w:jc w:val="center"/>
        <w:rPr>
          <w:rFonts w:ascii="ITC Avant Garde" w:hAnsi="ITC Avant Garde"/>
          <w:b/>
          <w:color w:val="auto"/>
          <w:sz w:val="22"/>
          <w:szCs w:val="22"/>
          <w:lang w:val="es-ES_tradnl"/>
        </w:rPr>
      </w:pPr>
      <w:r w:rsidRPr="00C239CD">
        <w:rPr>
          <w:rFonts w:ascii="ITC Avant Garde" w:hAnsi="ITC Avant Garde"/>
          <w:b/>
          <w:color w:val="auto"/>
          <w:sz w:val="22"/>
          <w:szCs w:val="22"/>
          <w:lang w:val="es-ES_tradnl"/>
        </w:rPr>
        <w:t>CONSIDERANDO</w:t>
      </w:r>
    </w:p>
    <w:p w:rsidR="000C7DB1" w:rsidRDefault="00031184" w:rsidP="006D32BB">
      <w:pPr>
        <w:shd w:val="clear" w:color="auto" w:fill="FFFFFF"/>
        <w:tabs>
          <w:tab w:val="left" w:pos="5529"/>
        </w:tabs>
        <w:spacing w:line="276" w:lineRule="auto"/>
        <w:ind w:right="14"/>
        <w:jc w:val="both"/>
        <w:rPr>
          <w:rFonts w:ascii="ITC Avant Garde" w:hAnsi="ITC Avant Garde"/>
          <w:sz w:val="22"/>
          <w:szCs w:val="22"/>
          <w:lang w:val="es-ES_tradnl"/>
        </w:rPr>
      </w:pPr>
      <w:r>
        <w:rPr>
          <w:rFonts w:ascii="ITC Avant Garde" w:hAnsi="ITC Avant Garde"/>
          <w:b/>
          <w:sz w:val="22"/>
          <w:szCs w:val="22"/>
          <w:lang w:val="es-ES_tradnl"/>
        </w:rPr>
        <w:t xml:space="preserve">PRIMERO. - </w:t>
      </w:r>
      <w:r>
        <w:rPr>
          <w:rFonts w:ascii="ITC Avant Garde" w:hAnsi="ITC Avant Garde"/>
          <w:b/>
          <w:sz w:val="22"/>
          <w:szCs w:val="22"/>
          <w:u w:val="single"/>
          <w:lang w:val="es-ES_tradnl"/>
        </w:rPr>
        <w:t>Competencia del Instituto</w:t>
      </w:r>
      <w:r>
        <w:rPr>
          <w:rFonts w:ascii="ITC Avant Garde" w:hAnsi="ITC Avant Garde"/>
          <w:b/>
          <w:sz w:val="22"/>
          <w:szCs w:val="22"/>
          <w:lang w:val="es-ES_tradnl"/>
        </w:rPr>
        <w:t>.</w:t>
      </w:r>
      <w:r>
        <w:rPr>
          <w:rFonts w:ascii="ITC Avant Garde" w:hAnsi="ITC Avant Garde"/>
          <w:sz w:val="22"/>
          <w:szCs w:val="22"/>
          <w:lang w:val="es-ES_tradnl"/>
        </w:rPr>
        <w:t xml:space="preserve"> De conformidad con lo establecido en el artículo 28, párrafo décimo quinto y décimo sexto de la Constitución Política de los Estados Unidos Mexicanos, el Instituto es un órgano autónomo, con personalidad </w:t>
      </w:r>
      <w:r>
        <w:rPr>
          <w:rFonts w:ascii="ITC Avant Garde" w:hAnsi="ITC Avant Garde"/>
          <w:sz w:val="22"/>
          <w:szCs w:val="22"/>
          <w:lang w:val="es-ES_tradnl"/>
        </w:rPr>
        <w:lastRenderedPageBreak/>
        <w:t>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w:t>
      </w:r>
    </w:p>
    <w:p w:rsidR="000C7DB1" w:rsidRDefault="00031184" w:rsidP="006D32BB">
      <w:pPr>
        <w:shd w:val="clear" w:color="auto" w:fill="FFFFFF"/>
        <w:spacing w:line="276" w:lineRule="auto"/>
        <w:ind w:right="14"/>
        <w:jc w:val="both"/>
        <w:rPr>
          <w:rFonts w:ascii="ITC Avant Garde" w:hAnsi="ITC Avant Garde"/>
          <w:sz w:val="22"/>
          <w:szCs w:val="22"/>
          <w:lang w:val="es-ES_tradnl"/>
        </w:rPr>
      </w:pPr>
      <w:r>
        <w:rPr>
          <w:rFonts w:ascii="ITC Avant Garde" w:hAnsi="ITC Avant Garde"/>
          <w:sz w:val="22"/>
          <w:szCs w:val="22"/>
          <w:lang w:val="es-ES_tradnl"/>
        </w:rPr>
        <w:t>En términos de los artículos 2, 7, 15, fracción LVII y 17, penúltimo párrafo de la Ley Federal de Telecomunicaciones y Radiodifusión (LFTR), y 1, 4, fracción I y 6, fracción XVIII del Estatuto</w:t>
      </w:r>
      <w:r w:rsidR="008F274F">
        <w:rPr>
          <w:rFonts w:ascii="ITC Avant Garde" w:hAnsi="ITC Avant Garde"/>
          <w:sz w:val="22"/>
          <w:szCs w:val="22"/>
          <w:lang w:val="es-ES_tradnl"/>
        </w:rPr>
        <w:t>,</w:t>
      </w:r>
      <w:r>
        <w:rPr>
          <w:rFonts w:ascii="ITC Avant Garde" w:hAnsi="ITC Avant Garde"/>
          <w:sz w:val="22"/>
          <w:szCs w:val="22"/>
          <w:lang w:val="es-ES_tradnl"/>
        </w:rPr>
        <w:t xml:space="preserve"> el Pleno del Instituto resulta competente para conocer del presente asunto, al contar con atribuciones para interpretar disposiciones legales, reglamentarias y administrativas en el ámbito de sus atribuciones.</w:t>
      </w:r>
    </w:p>
    <w:p w:rsidR="000C7DB1" w:rsidRDefault="00031184" w:rsidP="006D32BB">
      <w:pPr>
        <w:shd w:val="clear" w:color="auto" w:fill="FFFFFF"/>
        <w:spacing w:line="276" w:lineRule="auto"/>
        <w:ind w:left="7" w:right="7"/>
        <w:jc w:val="both"/>
        <w:rPr>
          <w:rFonts w:ascii="ITC Avant Garde" w:hAnsi="ITC Avant Garde"/>
          <w:bCs/>
          <w:sz w:val="22"/>
          <w:szCs w:val="22"/>
          <w:lang w:val="es-ES"/>
        </w:rPr>
      </w:pPr>
      <w:r>
        <w:rPr>
          <w:rFonts w:ascii="ITC Avant Garde" w:hAnsi="ITC Avant Garde"/>
          <w:b/>
          <w:bCs/>
          <w:sz w:val="22"/>
          <w:szCs w:val="22"/>
          <w:lang w:val="es-ES_tradnl"/>
        </w:rPr>
        <w:t xml:space="preserve">SEGUNDO. - </w:t>
      </w:r>
      <w:r>
        <w:rPr>
          <w:rFonts w:ascii="ITC Avant Garde" w:hAnsi="ITC Avant Garde"/>
          <w:b/>
          <w:bCs/>
          <w:sz w:val="22"/>
          <w:szCs w:val="22"/>
          <w:u w:val="single"/>
          <w:lang w:val="es-ES_tradnl"/>
        </w:rPr>
        <w:t>Solicitud de confirmación de criterio</w:t>
      </w:r>
      <w:r w:rsidRPr="00C5087F">
        <w:rPr>
          <w:rFonts w:ascii="ITC Avant Garde" w:hAnsi="ITC Avant Garde"/>
          <w:bCs/>
          <w:sz w:val="22"/>
          <w:szCs w:val="22"/>
          <w:lang w:val="es-ES_tradnl"/>
        </w:rPr>
        <w:t xml:space="preserve">. </w:t>
      </w:r>
      <w:r w:rsidR="00C5087F" w:rsidRPr="00C5087F">
        <w:rPr>
          <w:rFonts w:ascii="ITC Avant Garde" w:hAnsi="ITC Avant Garde"/>
          <w:bCs/>
          <w:sz w:val="22"/>
          <w:szCs w:val="22"/>
          <w:lang w:val="es-ES"/>
        </w:rPr>
        <w:t xml:space="preserve">En el escrito referido en el Antecedente </w:t>
      </w:r>
      <w:r w:rsidR="002C547E">
        <w:rPr>
          <w:rFonts w:ascii="ITC Avant Garde" w:hAnsi="ITC Avant Garde"/>
          <w:bCs/>
          <w:sz w:val="22"/>
          <w:szCs w:val="22"/>
          <w:lang w:val="es-ES"/>
        </w:rPr>
        <w:t>Tercero</w:t>
      </w:r>
      <w:r w:rsidR="00C5087F" w:rsidRPr="00C5087F">
        <w:rPr>
          <w:rFonts w:ascii="ITC Avant Garde" w:hAnsi="ITC Avant Garde"/>
          <w:bCs/>
          <w:sz w:val="22"/>
          <w:szCs w:val="22"/>
          <w:lang w:val="es-ES"/>
        </w:rPr>
        <w:t xml:space="preserve"> del presente Acuerdo, </w:t>
      </w:r>
      <w:r w:rsidR="00C5087F">
        <w:rPr>
          <w:rFonts w:ascii="ITC Avant Garde" w:hAnsi="ITC Avant Garde"/>
          <w:bCs/>
          <w:sz w:val="22"/>
          <w:szCs w:val="22"/>
          <w:lang w:val="es-ES"/>
        </w:rPr>
        <w:t>Axtel</w:t>
      </w:r>
      <w:r w:rsidR="00C5087F" w:rsidRPr="00C5087F">
        <w:rPr>
          <w:rFonts w:ascii="ITC Avant Garde" w:hAnsi="ITC Avant Garde"/>
          <w:bCs/>
          <w:sz w:val="22"/>
          <w:szCs w:val="22"/>
          <w:lang w:val="es-ES"/>
        </w:rPr>
        <w:t xml:space="preserve"> solicitó la confirmación de criterio en los términos siguientes:</w:t>
      </w:r>
    </w:p>
    <w:p w:rsidR="000C7DB1" w:rsidRDefault="00031184" w:rsidP="006D32BB">
      <w:pPr>
        <w:shd w:val="clear" w:color="auto" w:fill="FFFFFF"/>
        <w:spacing w:line="276" w:lineRule="auto"/>
        <w:ind w:left="851" w:right="900"/>
        <w:jc w:val="both"/>
        <w:rPr>
          <w:rFonts w:ascii="ITC Avant Garde" w:hAnsi="ITC Avant Garde"/>
          <w:bCs/>
          <w:i/>
          <w:sz w:val="19"/>
          <w:szCs w:val="19"/>
          <w:lang w:val="es-ES_tradnl"/>
        </w:rPr>
      </w:pPr>
      <w:r w:rsidRPr="006D32BB">
        <w:rPr>
          <w:rFonts w:ascii="ITC Avant Garde" w:hAnsi="ITC Avant Garde"/>
          <w:bCs/>
          <w:i/>
          <w:sz w:val="19"/>
          <w:szCs w:val="19"/>
          <w:lang w:val="es-ES_tradnl"/>
        </w:rPr>
        <w:t>“</w:t>
      </w:r>
      <w:r w:rsidR="00C91827" w:rsidRPr="006D32BB">
        <w:rPr>
          <w:rFonts w:ascii="ITC Avant Garde" w:hAnsi="ITC Avant Garde"/>
          <w:bCs/>
          <w:i/>
          <w:sz w:val="19"/>
          <w:szCs w:val="19"/>
          <w:lang w:val="es-ES_tradnl"/>
        </w:rPr>
        <w:t xml:space="preserve">I. En caso de servicios de enlaces dedicados que comprendan dos tramos </w:t>
      </w:r>
      <w:r w:rsidR="00C91827" w:rsidRPr="006D32BB">
        <w:rPr>
          <w:rFonts w:ascii="ITC Avant Garde" w:hAnsi="ITC Avant Garde"/>
          <w:b/>
          <w:bCs/>
          <w:i/>
          <w:sz w:val="19"/>
          <w:szCs w:val="19"/>
          <w:lang w:val="es-ES_tradnl"/>
        </w:rPr>
        <w:t>locales</w:t>
      </w:r>
      <w:r w:rsidR="00C91827" w:rsidRPr="006D32BB">
        <w:rPr>
          <w:rFonts w:ascii="ITC Avant Garde" w:hAnsi="ITC Avant Garde"/>
          <w:bCs/>
          <w:i/>
          <w:sz w:val="19"/>
          <w:szCs w:val="19"/>
          <w:lang w:val="es-ES_tradnl"/>
        </w:rPr>
        <w:t>, ya sean del tipo punto a punto o punto a punto multipunto, y uno de los tramos es provisto por el CS mediante la construcción desde su emplazamiento hacia el punto de presencia (central) del AEP, el AEP sólo podrá cobrar la renta mensual correspondiente al tramo local del emplazamiento del cliente al punto de presencia (central) del AEP, esto es, el AEP no deberá generar cargo alguno por concepto de renta mensual al CS por el tramo local, del enlace punto a punto o del enlace punto a punto multipunto, provisto por el CS, toda vez que es el propio CS quién ya tiene cubierto dicho tramo local con su infraestructura</w:t>
      </w:r>
      <w:r w:rsidRPr="006D32BB">
        <w:rPr>
          <w:rFonts w:ascii="ITC Avant Garde" w:hAnsi="ITC Avant Garde"/>
          <w:bCs/>
          <w:i/>
          <w:sz w:val="19"/>
          <w:szCs w:val="19"/>
          <w:lang w:val="es-ES_tradnl"/>
        </w:rPr>
        <w:t>.</w:t>
      </w:r>
    </w:p>
    <w:p w:rsidR="000C7DB1" w:rsidRDefault="00031184" w:rsidP="006D32BB">
      <w:pPr>
        <w:shd w:val="clear" w:color="auto" w:fill="FFFFFF"/>
        <w:spacing w:line="276" w:lineRule="auto"/>
        <w:ind w:left="851" w:right="900"/>
        <w:jc w:val="both"/>
        <w:rPr>
          <w:rFonts w:ascii="ITC Avant Garde" w:hAnsi="ITC Avant Garde"/>
          <w:bCs/>
          <w:i/>
          <w:sz w:val="19"/>
          <w:szCs w:val="19"/>
          <w:lang w:val="es-ES_tradnl"/>
        </w:rPr>
      </w:pPr>
      <w:r w:rsidRPr="006D32BB">
        <w:rPr>
          <w:rFonts w:ascii="ITC Avant Garde" w:hAnsi="ITC Avant Garde"/>
          <w:bCs/>
          <w:i/>
          <w:sz w:val="19"/>
          <w:szCs w:val="19"/>
          <w:lang w:val="es-ES_tradnl"/>
        </w:rPr>
        <w:t>…</w:t>
      </w:r>
    </w:p>
    <w:p w:rsidR="00C91827" w:rsidRPr="006D32BB" w:rsidRDefault="00C91827" w:rsidP="006D32BB">
      <w:pPr>
        <w:shd w:val="clear" w:color="auto" w:fill="FFFFFF"/>
        <w:spacing w:line="276" w:lineRule="auto"/>
        <w:ind w:left="851" w:right="900"/>
        <w:jc w:val="both"/>
        <w:rPr>
          <w:rFonts w:ascii="ITC Avant Garde" w:hAnsi="ITC Avant Garde"/>
          <w:bCs/>
          <w:i/>
          <w:sz w:val="19"/>
          <w:szCs w:val="19"/>
          <w:lang w:val="es-ES_tradnl"/>
        </w:rPr>
      </w:pPr>
      <w:r w:rsidRPr="006D32BB">
        <w:rPr>
          <w:rFonts w:ascii="ITC Avant Garde" w:hAnsi="ITC Avant Garde"/>
          <w:bCs/>
          <w:i/>
          <w:sz w:val="19"/>
          <w:szCs w:val="19"/>
          <w:lang w:val="es-ES_tradnl"/>
        </w:rPr>
        <w:t xml:space="preserve">II. Para el caso de Enlaces Dedicados </w:t>
      </w:r>
      <w:r w:rsidRPr="006D32BB">
        <w:rPr>
          <w:rFonts w:ascii="ITC Avant Garde" w:hAnsi="ITC Avant Garde"/>
          <w:bCs/>
          <w:i/>
          <w:sz w:val="19"/>
          <w:szCs w:val="19"/>
          <w:u w:val="single"/>
          <w:lang w:val="es-ES_tradnl"/>
        </w:rPr>
        <w:t>entre Localidades</w:t>
      </w:r>
      <w:r w:rsidRPr="006D32BB">
        <w:rPr>
          <w:rFonts w:ascii="ITC Avant Garde" w:hAnsi="ITC Avant Garde"/>
          <w:bCs/>
          <w:i/>
          <w:sz w:val="19"/>
          <w:szCs w:val="19"/>
          <w:lang w:val="es-ES_tradnl"/>
        </w:rPr>
        <w:t xml:space="preserve"> en los que el CS recibe en un punto de presencia (central) del AEP, en virtud de haber implementado uno o ambos tramos locales con infraestructura propia </w:t>
      </w:r>
      <w:r w:rsidR="00843815" w:rsidRPr="006D32BB">
        <w:rPr>
          <w:rFonts w:ascii="ITC Avant Garde" w:hAnsi="ITC Avant Garde"/>
          <w:bCs/>
          <w:i/>
          <w:sz w:val="19"/>
          <w:szCs w:val="19"/>
          <w:lang w:val="es-ES_tradnl"/>
        </w:rPr>
        <w:t xml:space="preserve">de los servicios dedicados, el AEP únicamente cobrará una renta mensual </w:t>
      </w:r>
      <w:r w:rsidR="00843815" w:rsidRPr="006D32BB">
        <w:rPr>
          <w:rFonts w:ascii="ITC Avant Garde" w:hAnsi="ITC Avant Garde"/>
          <w:bCs/>
          <w:i/>
          <w:sz w:val="19"/>
          <w:szCs w:val="19"/>
          <w:u w:val="single"/>
          <w:lang w:val="es-ES_tradnl"/>
        </w:rPr>
        <w:t>por el tramo entre localidades</w:t>
      </w:r>
      <w:r w:rsidR="00843815" w:rsidRPr="006D32BB">
        <w:rPr>
          <w:rFonts w:ascii="ITC Avant Garde" w:hAnsi="ITC Avant Garde"/>
          <w:bCs/>
          <w:i/>
          <w:sz w:val="19"/>
          <w:szCs w:val="19"/>
          <w:lang w:val="es-ES_tradnl"/>
        </w:rPr>
        <w:t xml:space="preserve"> que provee a través de su propia infraestructura, y en su caso por el tramo local que corresponda conforme a lo establecido en el párrafo anterior con numeral 1.</w:t>
      </w:r>
    </w:p>
    <w:p w:rsidR="000C7DB1" w:rsidRDefault="00843815" w:rsidP="006D32BB">
      <w:pPr>
        <w:shd w:val="clear" w:color="auto" w:fill="FFFFFF"/>
        <w:spacing w:line="276" w:lineRule="auto"/>
        <w:ind w:left="851" w:right="900"/>
        <w:jc w:val="both"/>
        <w:rPr>
          <w:rFonts w:ascii="ITC Avant Garde" w:hAnsi="ITC Avant Garde"/>
          <w:bCs/>
          <w:i/>
          <w:sz w:val="19"/>
          <w:szCs w:val="19"/>
          <w:lang w:val="es-ES_tradnl"/>
        </w:rPr>
      </w:pPr>
      <w:r w:rsidRPr="006D32BB">
        <w:rPr>
          <w:rFonts w:ascii="ITC Avant Garde" w:hAnsi="ITC Avant Garde"/>
          <w:bCs/>
          <w:i/>
          <w:sz w:val="19"/>
          <w:szCs w:val="19"/>
          <w:lang w:val="es-ES_tradnl"/>
        </w:rPr>
        <w:t>…</w:t>
      </w:r>
    </w:p>
    <w:p w:rsidR="000C7DB1" w:rsidRDefault="00843815" w:rsidP="006D32BB">
      <w:pPr>
        <w:shd w:val="clear" w:color="auto" w:fill="FFFFFF"/>
        <w:spacing w:line="276" w:lineRule="auto"/>
        <w:ind w:left="851" w:right="900"/>
        <w:jc w:val="both"/>
        <w:rPr>
          <w:rFonts w:ascii="ITC Avant Garde" w:hAnsi="ITC Avant Garde"/>
          <w:bCs/>
          <w:i/>
          <w:sz w:val="19"/>
          <w:szCs w:val="19"/>
          <w:lang w:val="es-ES_tradnl"/>
        </w:rPr>
      </w:pPr>
      <w:r w:rsidRPr="006D32BB">
        <w:rPr>
          <w:rFonts w:ascii="ITC Avant Garde" w:hAnsi="ITC Avant Garde"/>
          <w:bCs/>
          <w:i/>
          <w:sz w:val="19"/>
          <w:szCs w:val="19"/>
          <w:lang w:val="es-ES_tradnl"/>
        </w:rPr>
        <w:t>Cabe señalar que, desde nuestro punto de vista, la confirmación que solicitamos si bien se infiere de la lectura de la ORE, así como del Anexo de Precios, lo cierto es que el CS únicamente puede estar obligado al pago del tramo efectivamente provisto por el AEP y no por tramos provistos por el propio CS. Lo anterior se solicita, a fin de evitar interpretaciones entre los propios CS y el AEP.</w:t>
      </w:r>
      <w:r w:rsidR="00031184" w:rsidRPr="006D32BB">
        <w:rPr>
          <w:rFonts w:ascii="ITC Avant Garde" w:hAnsi="ITC Avant Garde"/>
          <w:bCs/>
          <w:i/>
          <w:sz w:val="19"/>
          <w:szCs w:val="19"/>
          <w:lang w:val="es-ES_tradnl"/>
        </w:rPr>
        <w:t>”</w:t>
      </w:r>
    </w:p>
    <w:p w:rsidR="000C7DB1" w:rsidRDefault="00031184" w:rsidP="006D32BB">
      <w:pPr>
        <w:shd w:val="clear" w:color="auto" w:fill="FFFFFF"/>
        <w:spacing w:line="276" w:lineRule="auto"/>
        <w:ind w:right="7"/>
        <w:jc w:val="both"/>
        <w:rPr>
          <w:rFonts w:ascii="ITC Avant Garde" w:hAnsi="ITC Avant Garde"/>
          <w:sz w:val="22"/>
          <w:szCs w:val="22"/>
          <w:lang w:val="es-ES_tradnl"/>
        </w:rPr>
      </w:pPr>
      <w:r w:rsidRPr="00EA3963">
        <w:rPr>
          <w:rFonts w:ascii="ITC Avant Garde" w:hAnsi="ITC Avant Garde"/>
          <w:b/>
          <w:sz w:val="22"/>
          <w:szCs w:val="22"/>
          <w:lang w:val="es-ES_tradnl"/>
        </w:rPr>
        <w:t xml:space="preserve">TERCERO. - </w:t>
      </w:r>
      <w:r w:rsidRPr="00EA3963">
        <w:rPr>
          <w:rFonts w:ascii="ITC Avant Garde" w:hAnsi="ITC Avant Garde"/>
          <w:b/>
          <w:sz w:val="22"/>
          <w:szCs w:val="22"/>
          <w:u w:val="single"/>
          <w:lang w:val="es-ES_tradnl"/>
        </w:rPr>
        <w:t>Análisis</w:t>
      </w:r>
      <w:r w:rsidRPr="00EA3963">
        <w:rPr>
          <w:rFonts w:ascii="ITC Avant Garde" w:hAnsi="ITC Avant Garde"/>
          <w:b/>
          <w:sz w:val="22"/>
          <w:szCs w:val="22"/>
          <w:lang w:val="es-ES_tradnl"/>
        </w:rPr>
        <w:t>.</w:t>
      </w:r>
      <w:r w:rsidRPr="00EA3963">
        <w:rPr>
          <w:rFonts w:ascii="ITC Avant Garde" w:hAnsi="ITC Avant Garde"/>
          <w:sz w:val="22"/>
          <w:szCs w:val="22"/>
          <w:lang w:val="es-ES_tradnl"/>
        </w:rPr>
        <w:t xml:space="preserve"> </w:t>
      </w:r>
    </w:p>
    <w:p w:rsidR="000C7DB1" w:rsidRDefault="003E623F" w:rsidP="006D32BB">
      <w:pPr>
        <w:shd w:val="clear" w:color="auto" w:fill="FFFFFF"/>
        <w:spacing w:line="276" w:lineRule="auto"/>
        <w:ind w:right="7"/>
        <w:jc w:val="both"/>
        <w:rPr>
          <w:rFonts w:ascii="ITC Avant Garde" w:hAnsi="ITC Avant Garde"/>
          <w:sz w:val="22"/>
          <w:szCs w:val="22"/>
          <w:lang w:val="es-ES_tradnl"/>
        </w:rPr>
      </w:pPr>
      <w:r w:rsidRPr="003E623F">
        <w:rPr>
          <w:rFonts w:ascii="ITC Avant Garde" w:hAnsi="ITC Avant Garde"/>
          <w:b/>
          <w:sz w:val="22"/>
          <w:szCs w:val="22"/>
        </w:rPr>
        <w:t xml:space="preserve">I. </w:t>
      </w:r>
      <w:r w:rsidR="00960535">
        <w:rPr>
          <w:rFonts w:ascii="ITC Avant Garde" w:hAnsi="ITC Avant Garde"/>
          <w:sz w:val="22"/>
          <w:szCs w:val="22"/>
        </w:rPr>
        <w:t>Para efectos de la fracción I de la Solicitud de Axtel transcrita en el considerando anterior</w:t>
      </w:r>
      <w:r w:rsidR="008D6236">
        <w:rPr>
          <w:rFonts w:ascii="ITC Avant Garde" w:hAnsi="ITC Avant Garde"/>
          <w:sz w:val="22"/>
          <w:szCs w:val="22"/>
        </w:rPr>
        <w:t>,</w:t>
      </w:r>
      <w:r w:rsidR="00960535">
        <w:rPr>
          <w:rFonts w:ascii="ITC Avant Garde" w:hAnsi="ITC Avant Garde"/>
          <w:sz w:val="22"/>
          <w:szCs w:val="22"/>
        </w:rPr>
        <w:t xml:space="preserve"> se señala </w:t>
      </w:r>
      <w:r w:rsidR="00960535" w:rsidRPr="00EA3963">
        <w:rPr>
          <w:rFonts w:ascii="ITC Avant Garde" w:hAnsi="ITC Avant Garde"/>
          <w:sz w:val="22"/>
          <w:szCs w:val="22"/>
        </w:rPr>
        <w:t>que</w:t>
      </w:r>
      <w:r w:rsidR="00960535">
        <w:rPr>
          <w:rFonts w:ascii="ITC Avant Garde" w:hAnsi="ITC Avant Garde"/>
          <w:sz w:val="22"/>
          <w:szCs w:val="22"/>
          <w:lang w:val="es-ES_tradnl"/>
        </w:rPr>
        <w:t xml:space="preserve"> e</w:t>
      </w:r>
      <w:r w:rsidR="007C346B">
        <w:rPr>
          <w:rFonts w:ascii="ITC Avant Garde" w:hAnsi="ITC Avant Garde"/>
          <w:sz w:val="22"/>
          <w:szCs w:val="22"/>
          <w:lang w:val="es-ES_tradnl"/>
        </w:rPr>
        <w:t>l Anexo H de la O</w:t>
      </w:r>
      <w:r w:rsidR="00676DDF">
        <w:rPr>
          <w:rFonts w:ascii="ITC Avant Garde" w:hAnsi="ITC Avant Garde"/>
          <w:sz w:val="22"/>
          <w:szCs w:val="22"/>
          <w:lang w:val="es-ES_tradnl"/>
        </w:rPr>
        <w:t xml:space="preserve">ferta de </w:t>
      </w:r>
      <w:r w:rsidR="007C346B">
        <w:rPr>
          <w:rFonts w:ascii="ITC Avant Garde" w:hAnsi="ITC Avant Garde"/>
          <w:sz w:val="22"/>
          <w:szCs w:val="22"/>
          <w:lang w:val="es-ES_tradnl"/>
        </w:rPr>
        <w:t>R</w:t>
      </w:r>
      <w:r w:rsidR="00676DDF">
        <w:rPr>
          <w:rFonts w:ascii="ITC Avant Garde" w:hAnsi="ITC Avant Garde"/>
          <w:sz w:val="22"/>
          <w:szCs w:val="22"/>
          <w:lang w:val="es-ES_tradnl"/>
        </w:rPr>
        <w:t xml:space="preserve">eferencia de </w:t>
      </w:r>
      <w:r w:rsidR="007C346B">
        <w:rPr>
          <w:rFonts w:ascii="ITC Avant Garde" w:hAnsi="ITC Avant Garde"/>
          <w:sz w:val="22"/>
          <w:szCs w:val="22"/>
          <w:lang w:val="es-ES_tradnl"/>
        </w:rPr>
        <w:t>E</w:t>
      </w:r>
      <w:r w:rsidR="00676DDF">
        <w:rPr>
          <w:rFonts w:ascii="ITC Avant Garde" w:hAnsi="ITC Avant Garde"/>
          <w:sz w:val="22"/>
          <w:szCs w:val="22"/>
          <w:lang w:val="es-ES_tradnl"/>
        </w:rPr>
        <w:t>nlaces</w:t>
      </w:r>
      <w:r w:rsidR="00AC5FD6">
        <w:rPr>
          <w:rFonts w:ascii="ITC Avant Garde" w:hAnsi="ITC Avant Garde"/>
          <w:sz w:val="22"/>
          <w:szCs w:val="22"/>
          <w:lang w:val="es-ES_tradnl"/>
        </w:rPr>
        <w:t xml:space="preserve"> contiene el “</w:t>
      </w:r>
      <w:r w:rsidR="00AC5FD6" w:rsidRPr="00AC5FD6">
        <w:rPr>
          <w:rFonts w:ascii="ITC Avant Garde" w:hAnsi="ITC Avant Garde"/>
          <w:i/>
          <w:sz w:val="22"/>
          <w:szCs w:val="22"/>
          <w:lang w:val="es-ES_tradnl"/>
        </w:rPr>
        <w:t xml:space="preserve">Convenio marco para la prestación del servicio mayorista de arrendamiento de </w:t>
      </w:r>
      <w:r w:rsidR="00AC5FD6" w:rsidRPr="00AC5FD6">
        <w:rPr>
          <w:rFonts w:ascii="ITC Avant Garde" w:hAnsi="ITC Avant Garde"/>
          <w:i/>
          <w:sz w:val="22"/>
          <w:szCs w:val="22"/>
          <w:lang w:val="es-ES_tradnl"/>
        </w:rPr>
        <w:lastRenderedPageBreak/>
        <w:t>enlaces dedicados locales, entre localidades y de larga distancia internacional para concesionarios de redes públicas de telecomunicaciones y autorizados de telecomunicaciones que celebran, por una parte, el AEP y por la otra el CS</w:t>
      </w:r>
      <w:r w:rsidR="00AC5FD6">
        <w:rPr>
          <w:rFonts w:ascii="ITC Avant Garde" w:hAnsi="ITC Avant Garde"/>
          <w:sz w:val="22"/>
          <w:szCs w:val="22"/>
          <w:lang w:val="es-ES_tradnl"/>
        </w:rPr>
        <w:t>” (Convenio Marco).</w:t>
      </w:r>
      <w:r w:rsidR="00960535">
        <w:rPr>
          <w:rFonts w:ascii="ITC Avant Garde" w:hAnsi="ITC Avant Garde"/>
          <w:sz w:val="22"/>
          <w:szCs w:val="22"/>
          <w:lang w:val="es-ES_tradnl"/>
        </w:rPr>
        <w:t xml:space="preserve"> La cláusula segunda del Convenio Marco regula el objeto del mismo, el cual establ</w:t>
      </w:r>
      <w:r w:rsidR="008D6236">
        <w:rPr>
          <w:rFonts w:ascii="ITC Avant Garde" w:hAnsi="ITC Avant Garde"/>
          <w:sz w:val="22"/>
          <w:szCs w:val="22"/>
          <w:lang w:val="es-ES_tradnl"/>
        </w:rPr>
        <w:t>ece los servicios a contratar; e</w:t>
      </w:r>
      <w:r w:rsidR="00960535">
        <w:rPr>
          <w:rFonts w:ascii="ITC Avant Garde" w:hAnsi="ITC Avant Garde"/>
          <w:sz w:val="22"/>
          <w:szCs w:val="22"/>
          <w:lang w:val="es-ES_tradnl"/>
        </w:rPr>
        <w:t xml:space="preserve">stos servicios serán pagados conforme a la cláusula tercera del Convenio Marco que remite al Anexo A de Precios. </w:t>
      </w:r>
    </w:p>
    <w:p w:rsidR="000C7DB1" w:rsidRDefault="00960535" w:rsidP="006D32BB">
      <w:pPr>
        <w:shd w:val="clear" w:color="auto" w:fill="FFFFFF"/>
        <w:spacing w:line="276" w:lineRule="auto"/>
        <w:ind w:right="7"/>
        <w:jc w:val="both"/>
        <w:rPr>
          <w:rFonts w:ascii="ITC Avant Garde" w:hAnsi="ITC Avant Garde"/>
          <w:sz w:val="22"/>
          <w:szCs w:val="22"/>
          <w:lang w:val="es-ES_tradnl"/>
        </w:rPr>
      </w:pPr>
      <w:r>
        <w:rPr>
          <w:rFonts w:ascii="ITC Avant Garde" w:hAnsi="ITC Avant Garde"/>
          <w:sz w:val="22"/>
          <w:szCs w:val="22"/>
          <w:lang w:val="es-ES_tradnl"/>
        </w:rPr>
        <w:t xml:space="preserve">El Anexo </w:t>
      </w:r>
      <w:r w:rsidR="0011769D">
        <w:rPr>
          <w:rFonts w:ascii="ITC Avant Garde" w:hAnsi="ITC Avant Garde"/>
          <w:sz w:val="22"/>
          <w:szCs w:val="22"/>
          <w:lang w:val="es-ES_tradnl"/>
        </w:rPr>
        <w:t xml:space="preserve">A </w:t>
      </w:r>
      <w:r>
        <w:rPr>
          <w:rFonts w:ascii="ITC Avant Garde" w:hAnsi="ITC Avant Garde"/>
          <w:sz w:val="22"/>
          <w:szCs w:val="22"/>
          <w:lang w:val="es-ES_tradnl"/>
        </w:rPr>
        <w:t>de Precios referido señala:</w:t>
      </w:r>
    </w:p>
    <w:p w:rsidR="000C7DB1" w:rsidRDefault="00960535" w:rsidP="006D32BB">
      <w:pPr>
        <w:tabs>
          <w:tab w:val="left" w:pos="851"/>
        </w:tabs>
        <w:spacing w:line="276" w:lineRule="auto"/>
        <w:ind w:left="567" w:right="616"/>
        <w:jc w:val="both"/>
        <w:rPr>
          <w:rFonts w:ascii="ITC Avant Garde" w:hAnsi="ITC Avant Garde"/>
          <w:b/>
          <w:i/>
          <w:sz w:val="19"/>
          <w:szCs w:val="19"/>
        </w:rPr>
      </w:pPr>
      <w:r w:rsidRPr="006D32BB">
        <w:rPr>
          <w:rFonts w:ascii="ITC Avant Garde" w:hAnsi="ITC Avant Garde"/>
          <w:i/>
          <w:sz w:val="19"/>
          <w:szCs w:val="19"/>
        </w:rPr>
        <w:t>“</w:t>
      </w:r>
      <w:r w:rsidRPr="006D32BB">
        <w:rPr>
          <w:rFonts w:ascii="ITC Avant Garde" w:hAnsi="ITC Avant Garde"/>
          <w:b/>
          <w:i/>
          <w:sz w:val="19"/>
          <w:szCs w:val="19"/>
        </w:rPr>
        <w:t>1.</w:t>
      </w:r>
      <w:r w:rsidRPr="006D32BB">
        <w:rPr>
          <w:rFonts w:ascii="ITC Avant Garde" w:hAnsi="ITC Avant Garde"/>
          <w:b/>
          <w:i/>
          <w:sz w:val="19"/>
          <w:szCs w:val="19"/>
        </w:rPr>
        <w:tab/>
        <w:t>Contraprestaciones que el CONCESIONARIO SOLICITANTE O AUTORIZADO SOLICITANTE, deberá pagar a TELMEX por concepto de Gastos de Instalación.</w:t>
      </w:r>
    </w:p>
    <w:p w:rsidR="000C7DB1" w:rsidRDefault="00960535" w:rsidP="006D32BB">
      <w:pPr>
        <w:spacing w:line="276" w:lineRule="auto"/>
        <w:ind w:left="567" w:right="616"/>
        <w:jc w:val="both"/>
        <w:rPr>
          <w:rFonts w:ascii="ITC Avant Garde" w:hAnsi="ITC Avant Garde"/>
          <w:i/>
          <w:sz w:val="19"/>
          <w:szCs w:val="19"/>
        </w:rPr>
      </w:pPr>
      <w:r w:rsidRPr="006D32BB">
        <w:rPr>
          <w:rFonts w:ascii="ITC Avant Garde" w:hAnsi="ITC Avant Garde"/>
          <w:b/>
          <w:i/>
          <w:sz w:val="19"/>
          <w:szCs w:val="19"/>
        </w:rPr>
        <w:t>1.1</w:t>
      </w:r>
      <w:r w:rsidRPr="006D32BB">
        <w:rPr>
          <w:rFonts w:ascii="ITC Avant Garde" w:hAnsi="ITC Avant Garde"/>
          <w:i/>
          <w:sz w:val="19"/>
          <w:szCs w:val="19"/>
        </w:rPr>
        <w:t xml:space="preserve"> </w:t>
      </w:r>
      <w:r w:rsidRPr="006D32BB">
        <w:rPr>
          <w:rFonts w:ascii="ITC Avant Garde" w:hAnsi="ITC Avant Garde"/>
          <w:b/>
          <w:i/>
          <w:sz w:val="19"/>
          <w:szCs w:val="19"/>
        </w:rPr>
        <w:t>Gastos de Instalación Enlace Dedicado Local</w:t>
      </w:r>
    </w:p>
    <w:p w:rsidR="000C7DB1" w:rsidRDefault="00960535" w:rsidP="006D32BB">
      <w:pPr>
        <w:tabs>
          <w:tab w:val="left" w:pos="851"/>
        </w:tabs>
        <w:spacing w:line="276" w:lineRule="auto"/>
        <w:ind w:left="567" w:right="616"/>
        <w:jc w:val="both"/>
        <w:rPr>
          <w:rFonts w:ascii="ITC Avant Garde" w:hAnsi="ITC Avant Garde"/>
          <w:i/>
          <w:sz w:val="19"/>
          <w:szCs w:val="19"/>
        </w:rPr>
      </w:pPr>
      <w:r w:rsidRPr="006D32BB">
        <w:rPr>
          <w:rFonts w:ascii="ITC Avant Garde" w:hAnsi="ITC Avant Garde"/>
          <w:i/>
          <w:sz w:val="19"/>
          <w:szCs w:val="19"/>
        </w:rPr>
        <w:t>a.</w:t>
      </w:r>
      <w:r w:rsidRPr="006D32BB">
        <w:rPr>
          <w:rFonts w:ascii="ITC Avant Garde" w:hAnsi="ITC Avant Garde"/>
          <w:i/>
          <w:sz w:val="19"/>
          <w:szCs w:val="19"/>
        </w:rPr>
        <w:tab/>
        <w:t xml:space="preserve">Enlace Punto a Punto. El cargo por Gastos de Instalación comprende dos tramos locales, uno en cada punta. </w:t>
      </w:r>
    </w:p>
    <w:p w:rsidR="000C7DB1" w:rsidRDefault="00960535" w:rsidP="006D32BB">
      <w:pPr>
        <w:tabs>
          <w:tab w:val="left" w:pos="851"/>
        </w:tabs>
        <w:spacing w:line="276" w:lineRule="auto"/>
        <w:ind w:left="567" w:right="616"/>
        <w:jc w:val="both"/>
        <w:rPr>
          <w:rFonts w:ascii="ITC Avant Garde" w:hAnsi="ITC Avant Garde"/>
          <w:i/>
          <w:sz w:val="19"/>
          <w:szCs w:val="19"/>
        </w:rPr>
      </w:pPr>
      <w:r w:rsidRPr="006D32BB">
        <w:rPr>
          <w:rFonts w:ascii="ITC Avant Garde" w:hAnsi="ITC Avant Garde"/>
          <w:i/>
          <w:sz w:val="19"/>
          <w:szCs w:val="19"/>
        </w:rPr>
        <w:t>b.</w:t>
      </w:r>
      <w:r w:rsidRPr="006D32BB">
        <w:rPr>
          <w:rFonts w:ascii="ITC Avant Garde" w:hAnsi="ITC Avant Garde"/>
          <w:i/>
          <w:sz w:val="19"/>
          <w:szCs w:val="19"/>
        </w:rPr>
        <w:tab/>
        <w:t>Enlace Punto a Punto Multipunto. El cargo por Gastos de Instalación comprende un tamo local en una punta, más el tramo local del Punto Multipunto en la otra punta.</w:t>
      </w:r>
    </w:p>
    <w:p w:rsidR="000C7DB1" w:rsidRDefault="00960535" w:rsidP="006D32BB">
      <w:pPr>
        <w:tabs>
          <w:tab w:val="left" w:pos="851"/>
        </w:tabs>
        <w:spacing w:line="276" w:lineRule="auto"/>
        <w:ind w:left="567" w:right="616"/>
        <w:jc w:val="both"/>
        <w:rPr>
          <w:rFonts w:ascii="ITC Avant Garde" w:hAnsi="ITC Avant Garde"/>
          <w:i/>
          <w:sz w:val="19"/>
          <w:szCs w:val="19"/>
        </w:rPr>
      </w:pPr>
      <w:r w:rsidRPr="006D32BB">
        <w:rPr>
          <w:rFonts w:ascii="ITC Avant Garde" w:hAnsi="ITC Avant Garde"/>
          <w:i/>
          <w:sz w:val="19"/>
          <w:szCs w:val="19"/>
        </w:rPr>
        <w:t>c.</w:t>
      </w:r>
      <w:r w:rsidRPr="006D32BB">
        <w:rPr>
          <w:rFonts w:ascii="ITC Avant Garde" w:hAnsi="ITC Avant Garde"/>
          <w:i/>
          <w:sz w:val="19"/>
          <w:szCs w:val="19"/>
        </w:rPr>
        <w:tab/>
        <w:t xml:space="preserve">Enlace Punto Multipunto. El cargo por Gastos de Instalación comprende el tramo local del PMP o HUB. </w:t>
      </w:r>
    </w:p>
    <w:p w:rsidR="00960535" w:rsidRPr="006D32BB" w:rsidRDefault="00960535" w:rsidP="006D32BB">
      <w:pPr>
        <w:tabs>
          <w:tab w:val="left" w:pos="851"/>
        </w:tabs>
        <w:spacing w:line="276" w:lineRule="auto"/>
        <w:ind w:left="567" w:right="616"/>
        <w:jc w:val="both"/>
        <w:rPr>
          <w:rFonts w:ascii="ITC Avant Garde" w:hAnsi="ITC Avant Garde"/>
          <w:b/>
          <w:i/>
          <w:sz w:val="19"/>
          <w:szCs w:val="19"/>
        </w:rPr>
      </w:pPr>
      <w:r w:rsidRPr="006D32BB">
        <w:rPr>
          <w:rFonts w:ascii="ITC Avant Garde" w:hAnsi="ITC Avant Garde"/>
          <w:i/>
          <w:sz w:val="19"/>
          <w:szCs w:val="19"/>
        </w:rPr>
        <w:t>d.</w:t>
      </w:r>
      <w:r w:rsidRPr="006D32BB">
        <w:rPr>
          <w:rFonts w:ascii="ITC Avant Garde" w:hAnsi="ITC Avant Garde"/>
          <w:i/>
          <w:sz w:val="19"/>
          <w:szCs w:val="19"/>
        </w:rPr>
        <w:tab/>
      </w:r>
      <w:r w:rsidRPr="006D32BB">
        <w:rPr>
          <w:rFonts w:ascii="ITC Avant Garde" w:hAnsi="ITC Avant Garde"/>
          <w:i/>
          <w:sz w:val="19"/>
          <w:szCs w:val="19"/>
          <w:u w:val="single"/>
        </w:rPr>
        <w:t>Enlace punto a punto de un solo tramo local. El cargo por Gastos de Instalación comprende un solo tramo, este es aplicable cuando el Concesionario Solicitante o Autorizado Solicitante recibe el servicio en el punto de presencia (central) de Telmex</w:t>
      </w:r>
      <w:r w:rsidRPr="006D32BB">
        <w:rPr>
          <w:rFonts w:ascii="ITC Avant Garde" w:hAnsi="ITC Avant Garde"/>
          <w:i/>
          <w:sz w:val="19"/>
          <w:szCs w:val="19"/>
        </w:rPr>
        <w:t>.”</w:t>
      </w:r>
      <w:r w:rsidRPr="006D32BB">
        <w:rPr>
          <w:rFonts w:ascii="ITC Avant Garde" w:hAnsi="ITC Avant Garde"/>
          <w:b/>
          <w:i/>
          <w:sz w:val="19"/>
          <w:szCs w:val="19"/>
        </w:rPr>
        <w:t xml:space="preserve"> </w:t>
      </w:r>
      <w:r w:rsidRPr="006D32BB">
        <w:rPr>
          <w:rFonts w:ascii="ITC Avant Garde" w:hAnsi="ITC Avant Garde"/>
          <w:sz w:val="19"/>
          <w:szCs w:val="19"/>
        </w:rPr>
        <w:t>(Énfasis añadido)</w:t>
      </w:r>
    </w:p>
    <w:p w:rsidR="00960535" w:rsidRPr="001C4D39" w:rsidRDefault="00960535" w:rsidP="006D32BB">
      <w:pPr>
        <w:tabs>
          <w:tab w:val="left" w:pos="851"/>
          <w:tab w:val="left" w:pos="993"/>
        </w:tabs>
        <w:spacing w:line="276" w:lineRule="auto"/>
        <w:ind w:left="567" w:right="616"/>
        <w:jc w:val="both"/>
        <w:rPr>
          <w:rFonts w:ascii="ITC Avant Garde" w:hAnsi="ITC Avant Garde"/>
          <w:b/>
          <w:i/>
          <w:sz w:val="19"/>
          <w:szCs w:val="19"/>
        </w:rPr>
      </w:pPr>
      <w:r w:rsidRPr="001C4D39">
        <w:rPr>
          <w:rFonts w:ascii="ITC Avant Garde" w:hAnsi="ITC Avant Garde"/>
          <w:b/>
          <w:i/>
          <w:sz w:val="19"/>
          <w:szCs w:val="19"/>
        </w:rPr>
        <w:t xml:space="preserve"> </w:t>
      </w:r>
    </w:p>
    <w:p w:rsidR="000C7DB1" w:rsidRDefault="00960535" w:rsidP="006D32BB">
      <w:pPr>
        <w:tabs>
          <w:tab w:val="left" w:pos="851"/>
          <w:tab w:val="left" w:pos="993"/>
        </w:tabs>
        <w:spacing w:line="276" w:lineRule="auto"/>
        <w:ind w:left="567" w:right="616"/>
        <w:jc w:val="both"/>
        <w:rPr>
          <w:rFonts w:ascii="ITC Avant Garde" w:hAnsi="ITC Avant Garde"/>
          <w:b/>
          <w:i/>
          <w:sz w:val="19"/>
          <w:szCs w:val="19"/>
        </w:rPr>
      </w:pPr>
      <w:r w:rsidRPr="001C4D39">
        <w:rPr>
          <w:rFonts w:ascii="ITC Avant Garde" w:hAnsi="ITC Avant Garde"/>
          <w:i/>
          <w:sz w:val="19"/>
          <w:szCs w:val="19"/>
        </w:rPr>
        <w:t>“</w:t>
      </w:r>
      <w:r w:rsidRPr="001C4D39">
        <w:rPr>
          <w:rFonts w:ascii="ITC Avant Garde" w:hAnsi="ITC Avant Garde"/>
          <w:b/>
          <w:i/>
          <w:sz w:val="19"/>
          <w:szCs w:val="19"/>
        </w:rPr>
        <w:t>2.</w:t>
      </w:r>
      <w:r w:rsidRPr="001C4D39">
        <w:rPr>
          <w:rFonts w:ascii="ITC Avant Garde" w:hAnsi="ITC Avant Garde"/>
          <w:b/>
          <w:i/>
          <w:sz w:val="19"/>
          <w:szCs w:val="19"/>
        </w:rPr>
        <w:tab/>
        <w:t>Renta Mensual</w:t>
      </w:r>
    </w:p>
    <w:p w:rsidR="00960535" w:rsidRPr="001C4D39" w:rsidRDefault="00960535" w:rsidP="006D32BB">
      <w:pPr>
        <w:tabs>
          <w:tab w:val="left" w:pos="851"/>
        </w:tabs>
        <w:spacing w:line="276" w:lineRule="auto"/>
        <w:ind w:left="567" w:right="616"/>
        <w:jc w:val="both"/>
        <w:rPr>
          <w:rFonts w:ascii="ITC Avant Garde" w:hAnsi="ITC Avant Garde"/>
          <w:i/>
          <w:sz w:val="19"/>
          <w:szCs w:val="19"/>
        </w:rPr>
      </w:pPr>
      <w:r w:rsidRPr="001C4D39">
        <w:rPr>
          <w:rFonts w:ascii="ITC Avant Garde" w:hAnsi="ITC Avant Garde"/>
          <w:i/>
          <w:sz w:val="19"/>
          <w:szCs w:val="19"/>
        </w:rPr>
        <w:t>El CONCESIONARIO SOLICITANTE pagará a TELMEX por concepto de Renta Mensual para cada uno de los SERVICIOS contratados al amparo del Convenio, las cantidades que se describen a continuación:</w:t>
      </w:r>
    </w:p>
    <w:p w:rsidR="000C7DB1" w:rsidRDefault="00960535" w:rsidP="006D32BB">
      <w:pPr>
        <w:tabs>
          <w:tab w:val="left" w:pos="851"/>
        </w:tabs>
        <w:spacing w:line="276" w:lineRule="auto"/>
        <w:ind w:left="567" w:right="616"/>
        <w:jc w:val="both"/>
        <w:rPr>
          <w:rFonts w:ascii="ITC Avant Garde" w:hAnsi="ITC Avant Garde"/>
          <w:b/>
          <w:i/>
          <w:sz w:val="19"/>
          <w:szCs w:val="19"/>
        </w:rPr>
      </w:pPr>
      <w:r w:rsidRPr="001C4D39">
        <w:rPr>
          <w:rFonts w:ascii="ITC Avant Garde" w:hAnsi="ITC Avant Garde"/>
          <w:b/>
          <w:i/>
          <w:sz w:val="19"/>
          <w:szCs w:val="19"/>
        </w:rPr>
        <w:t>2.1 Renta Mensual Enlace Dedicado Local</w:t>
      </w:r>
    </w:p>
    <w:p w:rsidR="00960535" w:rsidRPr="001C4D39" w:rsidRDefault="00960535" w:rsidP="006D32BB">
      <w:pPr>
        <w:tabs>
          <w:tab w:val="left" w:pos="851"/>
        </w:tabs>
        <w:spacing w:line="276" w:lineRule="auto"/>
        <w:ind w:left="567" w:right="616"/>
        <w:jc w:val="both"/>
        <w:rPr>
          <w:rFonts w:ascii="ITC Avant Garde" w:hAnsi="ITC Avant Garde"/>
          <w:i/>
          <w:sz w:val="19"/>
          <w:szCs w:val="19"/>
        </w:rPr>
      </w:pPr>
      <w:r w:rsidRPr="001C4D39">
        <w:rPr>
          <w:rFonts w:ascii="ITC Avant Garde" w:hAnsi="ITC Avant Garde"/>
          <w:i/>
          <w:sz w:val="19"/>
          <w:szCs w:val="19"/>
        </w:rPr>
        <w:t>a.</w:t>
      </w:r>
      <w:r w:rsidRPr="001C4D39">
        <w:rPr>
          <w:rFonts w:ascii="ITC Avant Garde" w:hAnsi="ITC Avant Garde"/>
          <w:i/>
          <w:sz w:val="19"/>
          <w:szCs w:val="19"/>
        </w:rPr>
        <w:tab/>
        <w:t xml:space="preserve">Enlace Punto a Punto. El cargo por Renta Mensual comprende dos tramos locales, uno en cada punta. </w:t>
      </w:r>
    </w:p>
    <w:p w:rsidR="00960535" w:rsidRPr="001C4D39" w:rsidRDefault="00960535" w:rsidP="006D32BB">
      <w:pPr>
        <w:tabs>
          <w:tab w:val="left" w:pos="851"/>
        </w:tabs>
        <w:spacing w:line="276" w:lineRule="auto"/>
        <w:ind w:left="567" w:right="616"/>
        <w:jc w:val="both"/>
        <w:rPr>
          <w:rFonts w:ascii="ITC Avant Garde" w:hAnsi="ITC Avant Garde"/>
          <w:i/>
          <w:sz w:val="19"/>
          <w:szCs w:val="19"/>
        </w:rPr>
      </w:pPr>
      <w:r w:rsidRPr="001C4D39">
        <w:rPr>
          <w:rFonts w:ascii="ITC Avant Garde" w:hAnsi="ITC Avant Garde"/>
          <w:i/>
          <w:sz w:val="19"/>
          <w:szCs w:val="19"/>
        </w:rPr>
        <w:t>b.</w:t>
      </w:r>
      <w:r w:rsidRPr="001C4D39">
        <w:rPr>
          <w:rFonts w:ascii="ITC Avant Garde" w:hAnsi="ITC Avant Garde"/>
          <w:i/>
          <w:sz w:val="19"/>
          <w:szCs w:val="19"/>
        </w:rPr>
        <w:tab/>
        <w:t>Enlace Punto a Punto Multipunto. El cargo por Renta Mensual comprende un tamo local en una punta, más el tramo local del Punto Multipunto en la otra punta.</w:t>
      </w:r>
    </w:p>
    <w:p w:rsidR="00960535" w:rsidRPr="001C4D39" w:rsidRDefault="00960535" w:rsidP="006D32BB">
      <w:pPr>
        <w:tabs>
          <w:tab w:val="left" w:pos="851"/>
        </w:tabs>
        <w:spacing w:line="276" w:lineRule="auto"/>
        <w:ind w:left="567" w:right="616"/>
        <w:jc w:val="both"/>
        <w:rPr>
          <w:rFonts w:ascii="ITC Avant Garde" w:hAnsi="ITC Avant Garde"/>
          <w:i/>
          <w:sz w:val="19"/>
          <w:szCs w:val="19"/>
        </w:rPr>
      </w:pPr>
      <w:r w:rsidRPr="001C4D39">
        <w:rPr>
          <w:rFonts w:ascii="ITC Avant Garde" w:hAnsi="ITC Avant Garde"/>
          <w:i/>
          <w:sz w:val="19"/>
          <w:szCs w:val="19"/>
        </w:rPr>
        <w:t>c.</w:t>
      </w:r>
      <w:r w:rsidRPr="001C4D39">
        <w:rPr>
          <w:rFonts w:ascii="ITC Avant Garde" w:hAnsi="ITC Avant Garde"/>
          <w:i/>
          <w:sz w:val="19"/>
          <w:szCs w:val="19"/>
        </w:rPr>
        <w:tab/>
        <w:t xml:space="preserve">Enlace Punto Multipunto. El cargo por Renta Mensual comprende el tramo local del PMP o HUB. </w:t>
      </w:r>
    </w:p>
    <w:p w:rsidR="000C7DB1" w:rsidRDefault="00960535" w:rsidP="006D32BB">
      <w:pPr>
        <w:tabs>
          <w:tab w:val="left" w:pos="851"/>
        </w:tabs>
        <w:spacing w:line="276" w:lineRule="auto"/>
        <w:ind w:left="567" w:right="616"/>
        <w:jc w:val="both"/>
        <w:rPr>
          <w:rFonts w:ascii="ITC Avant Garde" w:hAnsi="ITC Avant Garde"/>
          <w:b/>
          <w:i/>
          <w:sz w:val="19"/>
          <w:szCs w:val="19"/>
        </w:rPr>
      </w:pPr>
      <w:r w:rsidRPr="001C4D39">
        <w:rPr>
          <w:rFonts w:ascii="ITC Avant Garde" w:hAnsi="ITC Avant Garde"/>
          <w:i/>
          <w:sz w:val="19"/>
          <w:szCs w:val="19"/>
        </w:rPr>
        <w:t>d.</w:t>
      </w:r>
      <w:r w:rsidRPr="001C4D39">
        <w:rPr>
          <w:rFonts w:ascii="ITC Avant Garde" w:hAnsi="ITC Avant Garde"/>
          <w:i/>
          <w:sz w:val="19"/>
          <w:szCs w:val="19"/>
        </w:rPr>
        <w:tab/>
      </w:r>
      <w:r w:rsidRPr="001C4D39">
        <w:rPr>
          <w:rFonts w:ascii="ITC Avant Garde" w:hAnsi="ITC Avant Garde"/>
          <w:i/>
          <w:sz w:val="19"/>
          <w:szCs w:val="19"/>
          <w:u w:val="single"/>
        </w:rPr>
        <w:t>Enlace punto a punto de un solo tramo local. El cargo por Renta Mensual comprende un solo tramo, este es aplicable cuando el Concesionario Solicitante o Autorizado Solicitante recibe el servicio en el punto de presencia (central) de Telmex</w:t>
      </w:r>
      <w:r w:rsidRPr="001C4D39">
        <w:rPr>
          <w:rFonts w:ascii="ITC Avant Garde" w:hAnsi="ITC Avant Garde"/>
          <w:i/>
          <w:sz w:val="19"/>
          <w:szCs w:val="19"/>
        </w:rPr>
        <w:t>.”</w:t>
      </w:r>
      <w:r w:rsidRPr="001C4D39">
        <w:rPr>
          <w:rFonts w:ascii="ITC Avant Garde" w:hAnsi="ITC Avant Garde"/>
          <w:b/>
          <w:i/>
          <w:sz w:val="19"/>
          <w:szCs w:val="19"/>
        </w:rPr>
        <w:t xml:space="preserve"> </w:t>
      </w:r>
      <w:r w:rsidRPr="001C4D39">
        <w:rPr>
          <w:rFonts w:ascii="ITC Avant Garde" w:hAnsi="ITC Avant Garde"/>
          <w:sz w:val="19"/>
          <w:szCs w:val="19"/>
        </w:rPr>
        <w:t>(Énfasis añadido)</w:t>
      </w:r>
    </w:p>
    <w:p w:rsidR="000C7DB1" w:rsidRDefault="00960535" w:rsidP="006D32BB">
      <w:pPr>
        <w:spacing w:line="276" w:lineRule="auto"/>
        <w:jc w:val="both"/>
        <w:rPr>
          <w:rFonts w:ascii="ITC Avant Garde" w:hAnsi="ITC Avant Garde"/>
          <w:sz w:val="22"/>
          <w:szCs w:val="22"/>
        </w:rPr>
      </w:pPr>
      <w:r>
        <w:rPr>
          <w:rFonts w:ascii="ITC Avant Garde" w:hAnsi="ITC Avant Garde"/>
          <w:sz w:val="22"/>
          <w:szCs w:val="22"/>
        </w:rPr>
        <w:t xml:space="preserve">Del texto transcrito se desprende que </w:t>
      </w:r>
      <w:r w:rsidR="00EA3963" w:rsidRPr="00EA3963">
        <w:rPr>
          <w:rFonts w:ascii="ITC Avant Garde" w:hAnsi="ITC Avant Garde"/>
          <w:sz w:val="22"/>
          <w:szCs w:val="22"/>
        </w:rPr>
        <w:t>un enlace punto a punto está conformado por dos tramos locales</w:t>
      </w:r>
      <w:r w:rsidR="00E87EAF">
        <w:rPr>
          <w:rFonts w:ascii="ITC Avant Garde" w:hAnsi="ITC Avant Garde"/>
          <w:sz w:val="22"/>
          <w:szCs w:val="22"/>
        </w:rPr>
        <w:t>,</w:t>
      </w:r>
      <w:r w:rsidR="00EA3963" w:rsidRPr="00EA3963">
        <w:rPr>
          <w:rFonts w:ascii="ITC Avant Garde" w:hAnsi="ITC Avant Garde"/>
          <w:sz w:val="22"/>
          <w:szCs w:val="22"/>
        </w:rPr>
        <w:t xml:space="preserve"> y un enlace punto a punto multipunto por un tramo local y el tramo local del punto multipunto, de lo cual se observa que los tramos</w:t>
      </w:r>
      <w:r w:rsidR="005B2636">
        <w:rPr>
          <w:rFonts w:ascii="ITC Avant Garde" w:hAnsi="ITC Avant Garde"/>
          <w:sz w:val="22"/>
          <w:szCs w:val="22"/>
        </w:rPr>
        <w:t xml:space="preserve"> locales</w:t>
      </w:r>
      <w:r w:rsidR="00EA3963" w:rsidRPr="00EA3963">
        <w:rPr>
          <w:rFonts w:ascii="ITC Avant Garde" w:hAnsi="ITC Avant Garde"/>
          <w:sz w:val="22"/>
          <w:szCs w:val="22"/>
        </w:rPr>
        <w:t xml:space="preserve"> que conforman los enlaces pueden ser proporcionados </w:t>
      </w:r>
      <w:r w:rsidR="00E87EAF">
        <w:rPr>
          <w:rFonts w:ascii="ITC Avant Garde" w:hAnsi="ITC Avant Garde"/>
          <w:sz w:val="22"/>
          <w:szCs w:val="22"/>
        </w:rPr>
        <w:t xml:space="preserve">ya sea solamente </w:t>
      </w:r>
      <w:r w:rsidR="00EA3963" w:rsidRPr="00EA3963">
        <w:rPr>
          <w:rFonts w:ascii="ITC Avant Garde" w:hAnsi="ITC Avant Garde"/>
          <w:sz w:val="22"/>
          <w:szCs w:val="22"/>
        </w:rPr>
        <w:t xml:space="preserve">por el </w:t>
      </w:r>
      <w:r w:rsidR="00A85848">
        <w:rPr>
          <w:rFonts w:ascii="ITC Avant Garde" w:hAnsi="ITC Avant Garde"/>
          <w:sz w:val="22"/>
          <w:szCs w:val="22"/>
        </w:rPr>
        <w:t>Agente Económico Preponderante (</w:t>
      </w:r>
      <w:r w:rsidR="00EA3963" w:rsidRPr="00EA3963">
        <w:rPr>
          <w:rFonts w:ascii="ITC Avant Garde" w:hAnsi="ITC Avant Garde"/>
          <w:sz w:val="22"/>
          <w:szCs w:val="22"/>
        </w:rPr>
        <w:t>AEP</w:t>
      </w:r>
      <w:r w:rsidR="00A85848">
        <w:rPr>
          <w:rFonts w:ascii="ITC Avant Garde" w:hAnsi="ITC Avant Garde"/>
          <w:sz w:val="22"/>
          <w:szCs w:val="22"/>
        </w:rPr>
        <w:t>)</w:t>
      </w:r>
      <w:r w:rsidR="00EA3963" w:rsidRPr="00EA3963">
        <w:rPr>
          <w:rFonts w:ascii="ITC Avant Garde" w:hAnsi="ITC Avant Garde"/>
          <w:sz w:val="22"/>
          <w:szCs w:val="22"/>
        </w:rPr>
        <w:t xml:space="preserve"> o por el AEP y el </w:t>
      </w:r>
      <w:r w:rsidR="00A85848">
        <w:rPr>
          <w:rFonts w:ascii="ITC Avant Garde" w:hAnsi="ITC Avant Garde"/>
          <w:sz w:val="22"/>
          <w:szCs w:val="22"/>
        </w:rPr>
        <w:t xml:space="preserve">Concesionario Solicitante </w:t>
      </w:r>
      <w:r w:rsidR="00A85848">
        <w:rPr>
          <w:rFonts w:ascii="ITC Avant Garde" w:hAnsi="ITC Avant Garde"/>
          <w:sz w:val="22"/>
          <w:szCs w:val="22"/>
        </w:rPr>
        <w:lastRenderedPageBreak/>
        <w:t>(</w:t>
      </w:r>
      <w:r w:rsidR="00EA3963" w:rsidRPr="00EA3963">
        <w:rPr>
          <w:rFonts w:ascii="ITC Avant Garde" w:hAnsi="ITC Avant Garde"/>
          <w:sz w:val="22"/>
          <w:szCs w:val="22"/>
        </w:rPr>
        <w:t>CS</w:t>
      </w:r>
      <w:r w:rsidR="00A85848">
        <w:rPr>
          <w:rFonts w:ascii="ITC Avant Garde" w:hAnsi="ITC Avant Garde"/>
          <w:sz w:val="22"/>
          <w:szCs w:val="22"/>
        </w:rPr>
        <w:t>)</w:t>
      </w:r>
      <w:r w:rsidR="00EA3963" w:rsidRPr="00EA3963">
        <w:rPr>
          <w:rFonts w:ascii="ITC Avant Garde" w:hAnsi="ITC Avant Garde"/>
          <w:sz w:val="22"/>
          <w:szCs w:val="22"/>
        </w:rPr>
        <w:t>.</w:t>
      </w:r>
    </w:p>
    <w:p w:rsidR="000C7DB1" w:rsidRDefault="00EA3963" w:rsidP="006D32BB">
      <w:pPr>
        <w:spacing w:line="276" w:lineRule="auto"/>
        <w:jc w:val="both"/>
        <w:rPr>
          <w:rFonts w:ascii="ITC Avant Garde" w:hAnsi="ITC Avant Garde"/>
          <w:sz w:val="22"/>
          <w:szCs w:val="22"/>
        </w:rPr>
      </w:pPr>
      <w:r w:rsidRPr="00EA3963">
        <w:rPr>
          <w:rFonts w:ascii="ITC Avant Garde" w:hAnsi="ITC Avant Garde"/>
          <w:sz w:val="22"/>
          <w:szCs w:val="22"/>
        </w:rPr>
        <w:t>En el caso que el AEP provea únicamente un tramo de los que conforman los enlaces</w:t>
      </w:r>
      <w:r w:rsidR="003C047C">
        <w:rPr>
          <w:rFonts w:ascii="ITC Avant Garde" w:hAnsi="ITC Avant Garde"/>
          <w:sz w:val="22"/>
          <w:szCs w:val="22"/>
        </w:rPr>
        <w:t xml:space="preserve"> locales</w:t>
      </w:r>
      <w:r w:rsidRPr="00EA3963">
        <w:rPr>
          <w:rFonts w:ascii="ITC Avant Garde" w:hAnsi="ITC Avant Garde"/>
          <w:sz w:val="22"/>
          <w:szCs w:val="22"/>
        </w:rPr>
        <w:t xml:space="preserve">, el AEP únicamente podrá cobrar los gastos de instalación y la renta mensual correspondiente al tramo que éste provea, esto es, en el caso que Axtel plantea del emplazamiento del cliente al punto de presencia del AEP. </w:t>
      </w:r>
    </w:p>
    <w:p w:rsidR="000C7DB1" w:rsidRDefault="00EA3963" w:rsidP="006D32BB">
      <w:pPr>
        <w:spacing w:line="276" w:lineRule="auto"/>
        <w:jc w:val="both"/>
        <w:rPr>
          <w:rFonts w:ascii="ITC Avant Garde" w:hAnsi="ITC Avant Garde"/>
          <w:sz w:val="22"/>
          <w:szCs w:val="22"/>
        </w:rPr>
      </w:pPr>
      <w:r w:rsidRPr="00EA3963">
        <w:rPr>
          <w:rFonts w:ascii="ITC Avant Garde" w:hAnsi="ITC Avant Garde"/>
          <w:sz w:val="22"/>
          <w:szCs w:val="22"/>
        </w:rPr>
        <w:t xml:space="preserve">Lo anterior, considerando que </w:t>
      </w:r>
      <w:r w:rsidR="005B2636">
        <w:rPr>
          <w:rFonts w:ascii="ITC Avant Garde" w:hAnsi="ITC Avant Garde"/>
          <w:sz w:val="22"/>
          <w:szCs w:val="22"/>
        </w:rPr>
        <w:t xml:space="preserve">para </w:t>
      </w:r>
      <w:r w:rsidRPr="00EA3963">
        <w:rPr>
          <w:rFonts w:ascii="ITC Avant Garde" w:hAnsi="ITC Avant Garde"/>
          <w:sz w:val="22"/>
          <w:szCs w:val="22"/>
        </w:rPr>
        <w:t xml:space="preserve">el tramo local del punto de presencia del AEP a las instalaciones del CS, dicho CS es quien realiza el despliegue de infraestructura. </w:t>
      </w:r>
    </w:p>
    <w:p w:rsidR="000C7DB1" w:rsidRDefault="00960535" w:rsidP="006D32BB">
      <w:pPr>
        <w:spacing w:line="276" w:lineRule="auto"/>
        <w:jc w:val="both"/>
        <w:rPr>
          <w:rFonts w:ascii="ITC Avant Garde" w:hAnsi="ITC Avant Garde"/>
          <w:sz w:val="22"/>
          <w:szCs w:val="22"/>
        </w:rPr>
      </w:pPr>
      <w:r>
        <w:rPr>
          <w:rFonts w:ascii="ITC Avant Garde" w:hAnsi="ITC Avant Garde"/>
          <w:sz w:val="22"/>
          <w:szCs w:val="22"/>
        </w:rPr>
        <w:t>Por ello</w:t>
      </w:r>
      <w:r w:rsidR="00EA3963" w:rsidRPr="00EA3963">
        <w:rPr>
          <w:rFonts w:ascii="ITC Avant Garde" w:hAnsi="ITC Avant Garde"/>
          <w:sz w:val="22"/>
          <w:szCs w:val="22"/>
        </w:rPr>
        <w:t>, se confirma que el AEP sólo podrá cobrar la renta mensual correspondiente al tramo local del emplazamiento del cliente al punto de presencia del AEP del enlace punto a punto o del enlace punto a punto multipunto, de acuerdo a lo establecido en la O</w:t>
      </w:r>
      <w:r w:rsidR="00676DDF">
        <w:rPr>
          <w:rFonts w:ascii="ITC Avant Garde" w:hAnsi="ITC Avant Garde"/>
          <w:sz w:val="22"/>
          <w:szCs w:val="22"/>
        </w:rPr>
        <w:t xml:space="preserve">ferta de </w:t>
      </w:r>
      <w:r w:rsidR="00EA3963" w:rsidRPr="00EA3963">
        <w:rPr>
          <w:rFonts w:ascii="ITC Avant Garde" w:hAnsi="ITC Avant Garde"/>
          <w:sz w:val="22"/>
          <w:szCs w:val="22"/>
        </w:rPr>
        <w:t>R</w:t>
      </w:r>
      <w:r w:rsidR="00676DDF">
        <w:rPr>
          <w:rFonts w:ascii="ITC Avant Garde" w:hAnsi="ITC Avant Garde"/>
          <w:sz w:val="22"/>
          <w:szCs w:val="22"/>
        </w:rPr>
        <w:t xml:space="preserve">eferencia de </w:t>
      </w:r>
      <w:r w:rsidR="00EA3963" w:rsidRPr="00EA3963">
        <w:rPr>
          <w:rFonts w:ascii="ITC Avant Garde" w:hAnsi="ITC Avant Garde"/>
          <w:sz w:val="22"/>
          <w:szCs w:val="22"/>
        </w:rPr>
        <w:t>E</w:t>
      </w:r>
      <w:r w:rsidR="00676DDF">
        <w:rPr>
          <w:rFonts w:ascii="ITC Avant Garde" w:hAnsi="ITC Avant Garde"/>
          <w:sz w:val="22"/>
          <w:szCs w:val="22"/>
        </w:rPr>
        <w:t>nlaces</w:t>
      </w:r>
      <w:r>
        <w:rPr>
          <w:rFonts w:ascii="ITC Avant Garde" w:hAnsi="ITC Avant Garde"/>
          <w:sz w:val="22"/>
          <w:szCs w:val="22"/>
        </w:rPr>
        <w:t>.</w:t>
      </w:r>
    </w:p>
    <w:p w:rsidR="000C7DB1" w:rsidRDefault="00960535" w:rsidP="006D32BB">
      <w:pPr>
        <w:shd w:val="clear" w:color="auto" w:fill="FFFFFF"/>
        <w:spacing w:line="276" w:lineRule="auto"/>
        <w:ind w:right="11"/>
        <w:jc w:val="both"/>
        <w:rPr>
          <w:rFonts w:ascii="ITC Avant Garde" w:hAnsi="ITC Avant Garde"/>
          <w:sz w:val="22"/>
          <w:szCs w:val="22"/>
          <w:lang w:val="es-ES"/>
        </w:rPr>
      </w:pPr>
      <w:r>
        <w:rPr>
          <w:rFonts w:ascii="ITC Avant Garde" w:hAnsi="ITC Avant Garde"/>
          <w:sz w:val="22"/>
          <w:szCs w:val="22"/>
          <w:lang w:val="es-ES"/>
        </w:rPr>
        <w:t>Cabe señalar que el C</w:t>
      </w:r>
      <w:r w:rsidRPr="00960535">
        <w:rPr>
          <w:rFonts w:ascii="ITC Avant Garde" w:hAnsi="ITC Avant Garde"/>
          <w:sz w:val="22"/>
          <w:szCs w:val="22"/>
          <w:lang w:val="es-ES"/>
        </w:rPr>
        <w:t xml:space="preserve">onvenio </w:t>
      </w:r>
      <w:r>
        <w:rPr>
          <w:rFonts w:ascii="ITC Avant Garde" w:hAnsi="ITC Avant Garde"/>
          <w:sz w:val="22"/>
          <w:szCs w:val="22"/>
          <w:lang w:val="es-ES"/>
        </w:rPr>
        <w:t xml:space="preserve">Marco </w:t>
      </w:r>
      <w:r w:rsidRPr="00960535">
        <w:rPr>
          <w:rFonts w:ascii="ITC Avant Garde" w:hAnsi="ITC Avant Garde"/>
          <w:sz w:val="22"/>
          <w:szCs w:val="22"/>
          <w:lang w:val="es-ES"/>
        </w:rPr>
        <w:t xml:space="preserve">que en su caso suscriban las partes deberá </w:t>
      </w:r>
      <w:r w:rsidR="00E87EAF">
        <w:rPr>
          <w:rFonts w:ascii="ITC Avant Garde" w:hAnsi="ITC Avant Garde"/>
          <w:sz w:val="22"/>
          <w:szCs w:val="22"/>
          <w:lang w:val="es-ES"/>
        </w:rPr>
        <w:t>establecer</w:t>
      </w:r>
      <w:r w:rsidRPr="00960535">
        <w:rPr>
          <w:rFonts w:ascii="ITC Avant Garde" w:hAnsi="ITC Avant Garde"/>
          <w:sz w:val="22"/>
          <w:szCs w:val="22"/>
          <w:lang w:val="es-ES"/>
        </w:rPr>
        <w:t xml:space="preserve"> </w:t>
      </w:r>
      <w:r w:rsidR="008550BF">
        <w:rPr>
          <w:rFonts w:ascii="ITC Avant Garde" w:hAnsi="ITC Avant Garde"/>
          <w:sz w:val="22"/>
          <w:szCs w:val="22"/>
          <w:lang w:val="es-ES"/>
        </w:rPr>
        <w:t xml:space="preserve">el servicio </w:t>
      </w:r>
      <w:r w:rsidRPr="00960535">
        <w:rPr>
          <w:rFonts w:ascii="ITC Avant Garde" w:hAnsi="ITC Avant Garde"/>
          <w:sz w:val="22"/>
          <w:szCs w:val="22"/>
          <w:lang w:val="es-ES"/>
        </w:rPr>
        <w:t xml:space="preserve">que se contrata </w:t>
      </w:r>
      <w:r>
        <w:rPr>
          <w:rFonts w:ascii="ITC Avant Garde" w:hAnsi="ITC Avant Garde"/>
          <w:sz w:val="22"/>
          <w:szCs w:val="22"/>
          <w:lang w:val="es-ES"/>
        </w:rPr>
        <w:t xml:space="preserve">en su cláusula segunda </w:t>
      </w:r>
      <w:r w:rsidRPr="00960535">
        <w:rPr>
          <w:rFonts w:ascii="ITC Avant Garde" w:hAnsi="ITC Avant Garde"/>
          <w:sz w:val="22"/>
          <w:szCs w:val="22"/>
          <w:lang w:val="es-ES"/>
        </w:rPr>
        <w:t>y en ese sentido se podrá apreciar que los tramos</w:t>
      </w:r>
      <w:r w:rsidRPr="00960535">
        <w:rPr>
          <w:rFonts w:ascii="ITC Avant Garde" w:hAnsi="ITC Avant Garde"/>
          <w:sz w:val="22"/>
          <w:szCs w:val="22"/>
        </w:rPr>
        <w:t xml:space="preserve"> que conforman los enlaces provistos por el CS no </w:t>
      </w:r>
      <w:r w:rsidR="003C047C">
        <w:rPr>
          <w:rFonts w:ascii="ITC Avant Garde" w:hAnsi="ITC Avant Garde"/>
          <w:sz w:val="22"/>
          <w:szCs w:val="22"/>
        </w:rPr>
        <w:t xml:space="preserve">forman </w:t>
      </w:r>
      <w:r w:rsidRPr="00960535">
        <w:rPr>
          <w:rFonts w:ascii="ITC Avant Garde" w:hAnsi="ITC Avant Garde"/>
          <w:sz w:val="22"/>
          <w:szCs w:val="22"/>
        </w:rPr>
        <w:t>parte de l</w:t>
      </w:r>
      <w:r w:rsidR="008550BF">
        <w:rPr>
          <w:rFonts w:ascii="ITC Avant Garde" w:hAnsi="ITC Avant Garde"/>
          <w:sz w:val="22"/>
          <w:szCs w:val="22"/>
        </w:rPr>
        <w:t xml:space="preserve">as contraprestaciones </w:t>
      </w:r>
      <w:r w:rsidRPr="00960535">
        <w:rPr>
          <w:rFonts w:ascii="ITC Avant Garde" w:hAnsi="ITC Avant Garde"/>
          <w:sz w:val="22"/>
          <w:szCs w:val="22"/>
        </w:rPr>
        <w:t xml:space="preserve">que el AEP </w:t>
      </w:r>
      <w:r w:rsidR="003C047C">
        <w:rPr>
          <w:rFonts w:ascii="ITC Avant Garde" w:hAnsi="ITC Avant Garde"/>
          <w:sz w:val="22"/>
          <w:szCs w:val="22"/>
        </w:rPr>
        <w:t xml:space="preserve">puede </w:t>
      </w:r>
      <w:r w:rsidRPr="00960535">
        <w:rPr>
          <w:rFonts w:ascii="ITC Avant Garde" w:hAnsi="ITC Avant Garde"/>
          <w:sz w:val="22"/>
          <w:szCs w:val="22"/>
        </w:rPr>
        <w:t>cob</w:t>
      </w:r>
      <w:r w:rsidR="003C047C">
        <w:rPr>
          <w:rFonts w:ascii="ITC Avant Garde" w:hAnsi="ITC Avant Garde"/>
          <w:sz w:val="22"/>
          <w:szCs w:val="22"/>
        </w:rPr>
        <w:t>rar</w:t>
      </w:r>
      <w:r w:rsidRPr="00960535">
        <w:rPr>
          <w:rFonts w:ascii="ITC Avant Garde" w:hAnsi="ITC Avant Garde"/>
          <w:sz w:val="22"/>
          <w:szCs w:val="22"/>
        </w:rPr>
        <w:t xml:space="preserve"> como gastos</w:t>
      </w:r>
      <w:r w:rsidR="003C047C">
        <w:rPr>
          <w:rFonts w:ascii="ITC Avant Garde" w:hAnsi="ITC Avant Garde"/>
          <w:sz w:val="22"/>
          <w:szCs w:val="22"/>
        </w:rPr>
        <w:t xml:space="preserve"> de instalación</w:t>
      </w:r>
      <w:r w:rsidRPr="00960535">
        <w:rPr>
          <w:rFonts w:ascii="ITC Avant Garde" w:hAnsi="ITC Avant Garde"/>
          <w:sz w:val="22"/>
          <w:szCs w:val="22"/>
        </w:rPr>
        <w:t xml:space="preserve"> o renta</w:t>
      </w:r>
      <w:r w:rsidR="008550BF">
        <w:rPr>
          <w:rFonts w:ascii="ITC Avant Garde" w:hAnsi="ITC Avant Garde"/>
          <w:sz w:val="22"/>
          <w:szCs w:val="22"/>
        </w:rPr>
        <w:t xml:space="preserve"> mensual</w:t>
      </w:r>
      <w:r w:rsidRPr="00960535">
        <w:rPr>
          <w:rFonts w:ascii="ITC Avant Garde" w:hAnsi="ITC Avant Garde"/>
          <w:sz w:val="22"/>
          <w:szCs w:val="22"/>
        </w:rPr>
        <w:t>.</w:t>
      </w:r>
    </w:p>
    <w:p w:rsidR="000C7DB1" w:rsidRDefault="003E623F" w:rsidP="006D32BB">
      <w:pPr>
        <w:spacing w:line="276" w:lineRule="auto"/>
        <w:jc w:val="both"/>
        <w:rPr>
          <w:rFonts w:ascii="ITC Avant Garde" w:hAnsi="ITC Avant Garde"/>
          <w:sz w:val="22"/>
          <w:szCs w:val="22"/>
        </w:rPr>
      </w:pPr>
      <w:r w:rsidRPr="003E623F">
        <w:rPr>
          <w:rFonts w:ascii="ITC Avant Garde" w:hAnsi="ITC Avant Garde"/>
          <w:b/>
          <w:sz w:val="22"/>
          <w:szCs w:val="22"/>
        </w:rPr>
        <w:t xml:space="preserve">II. </w:t>
      </w:r>
      <w:r w:rsidR="00A85848">
        <w:rPr>
          <w:rFonts w:ascii="ITC Avant Garde" w:hAnsi="ITC Avant Garde"/>
          <w:sz w:val="22"/>
          <w:szCs w:val="22"/>
        </w:rPr>
        <w:t>Ahora bien, respecto a la fracción II de la Solicitud de Axtel</w:t>
      </w:r>
      <w:r w:rsidR="008D6236">
        <w:rPr>
          <w:rFonts w:ascii="ITC Avant Garde" w:hAnsi="ITC Avant Garde"/>
          <w:sz w:val="22"/>
          <w:szCs w:val="22"/>
        </w:rPr>
        <w:t>, se tra</w:t>
      </w:r>
      <w:r w:rsidR="00676DDF">
        <w:rPr>
          <w:rFonts w:ascii="ITC Avant Garde" w:hAnsi="ITC Avant Garde"/>
          <w:sz w:val="22"/>
          <w:szCs w:val="22"/>
        </w:rPr>
        <w:t>nscribe la parte relevante del Anexo A de Precios</w:t>
      </w:r>
      <w:r w:rsidR="00960535">
        <w:rPr>
          <w:rFonts w:ascii="ITC Avant Garde" w:hAnsi="ITC Avant Garde"/>
          <w:sz w:val="22"/>
          <w:szCs w:val="22"/>
        </w:rPr>
        <w:t>:</w:t>
      </w:r>
    </w:p>
    <w:p w:rsidR="000C7DB1" w:rsidRDefault="00960535" w:rsidP="006D32BB">
      <w:pPr>
        <w:tabs>
          <w:tab w:val="left" w:pos="851"/>
          <w:tab w:val="left" w:pos="993"/>
        </w:tabs>
        <w:spacing w:line="276" w:lineRule="auto"/>
        <w:ind w:left="567" w:right="616"/>
        <w:jc w:val="both"/>
        <w:rPr>
          <w:rFonts w:ascii="ITC Avant Garde" w:hAnsi="ITC Avant Garde"/>
          <w:i/>
          <w:sz w:val="19"/>
          <w:szCs w:val="19"/>
        </w:rPr>
      </w:pPr>
      <w:r w:rsidRPr="001C4D39">
        <w:rPr>
          <w:rFonts w:ascii="ITC Avant Garde" w:hAnsi="ITC Avant Garde"/>
          <w:i/>
          <w:sz w:val="19"/>
          <w:szCs w:val="19"/>
        </w:rPr>
        <w:t>“</w:t>
      </w:r>
      <w:r w:rsidRPr="001C4D39">
        <w:rPr>
          <w:rFonts w:ascii="ITC Avant Garde" w:hAnsi="ITC Avant Garde"/>
          <w:b/>
          <w:i/>
          <w:sz w:val="19"/>
          <w:szCs w:val="19"/>
        </w:rPr>
        <w:t>1.2</w:t>
      </w:r>
      <w:r w:rsidRPr="001C4D39">
        <w:rPr>
          <w:rFonts w:ascii="ITC Avant Garde" w:hAnsi="ITC Avant Garde"/>
          <w:b/>
          <w:i/>
          <w:sz w:val="19"/>
          <w:szCs w:val="19"/>
        </w:rPr>
        <w:tab/>
      </w:r>
      <w:r w:rsidRPr="001C4D39">
        <w:rPr>
          <w:rFonts w:ascii="ITC Avant Garde" w:hAnsi="ITC Avant Garde"/>
          <w:i/>
          <w:sz w:val="19"/>
          <w:szCs w:val="19"/>
        </w:rPr>
        <w:t xml:space="preserve"> </w:t>
      </w:r>
      <w:r w:rsidRPr="001C4D39">
        <w:rPr>
          <w:rFonts w:ascii="ITC Avant Garde" w:hAnsi="ITC Avant Garde"/>
          <w:b/>
          <w:i/>
          <w:sz w:val="19"/>
          <w:szCs w:val="19"/>
        </w:rPr>
        <w:t>Gastos de Instalación Enlace Dedicado Entre Localidades</w:t>
      </w:r>
    </w:p>
    <w:p w:rsidR="000C7DB1" w:rsidRDefault="00960535" w:rsidP="006D32BB">
      <w:pPr>
        <w:tabs>
          <w:tab w:val="left" w:pos="851"/>
        </w:tabs>
        <w:spacing w:line="276" w:lineRule="auto"/>
        <w:ind w:left="567" w:right="616"/>
        <w:jc w:val="both"/>
        <w:rPr>
          <w:rFonts w:ascii="ITC Avant Garde" w:hAnsi="ITC Avant Garde"/>
          <w:i/>
          <w:sz w:val="19"/>
          <w:szCs w:val="19"/>
        </w:rPr>
      </w:pPr>
      <w:r w:rsidRPr="001C4D39">
        <w:rPr>
          <w:rFonts w:ascii="ITC Avant Garde" w:hAnsi="ITC Avant Garde"/>
          <w:i/>
          <w:sz w:val="19"/>
          <w:szCs w:val="19"/>
        </w:rPr>
        <w:t>a.</w:t>
      </w:r>
      <w:r w:rsidRPr="001C4D39">
        <w:rPr>
          <w:rFonts w:ascii="ITC Avant Garde" w:hAnsi="ITC Avant Garde"/>
          <w:i/>
          <w:sz w:val="19"/>
          <w:szCs w:val="19"/>
        </w:rPr>
        <w:tab/>
        <w:t>Enlace Punto a Punto. El cargo por Gastos de Instalación comprende dos tramos locales, uno en cada punta, más el tramo entre localidades.</w:t>
      </w:r>
    </w:p>
    <w:p w:rsidR="000C7DB1" w:rsidRDefault="00960535" w:rsidP="006D32BB">
      <w:pPr>
        <w:tabs>
          <w:tab w:val="left" w:pos="851"/>
        </w:tabs>
        <w:spacing w:line="276" w:lineRule="auto"/>
        <w:ind w:left="567" w:right="616"/>
        <w:jc w:val="both"/>
        <w:rPr>
          <w:rFonts w:ascii="ITC Avant Garde" w:hAnsi="ITC Avant Garde"/>
          <w:i/>
          <w:sz w:val="19"/>
          <w:szCs w:val="19"/>
        </w:rPr>
      </w:pPr>
      <w:r w:rsidRPr="001C4D39">
        <w:rPr>
          <w:rFonts w:ascii="ITC Avant Garde" w:hAnsi="ITC Avant Garde"/>
          <w:i/>
          <w:sz w:val="19"/>
          <w:szCs w:val="19"/>
        </w:rPr>
        <w:t>b.</w:t>
      </w:r>
      <w:r w:rsidRPr="001C4D39">
        <w:rPr>
          <w:rFonts w:ascii="ITC Avant Garde" w:hAnsi="ITC Avant Garde"/>
          <w:i/>
          <w:sz w:val="19"/>
          <w:szCs w:val="19"/>
        </w:rPr>
        <w:tab/>
        <w:t>Enlace Punto a Punto Multipunto. El cargo por Gastos de Instalación comprende un tramo local en una punta, más el tramo entre localidades, más el tramo local del Punto Multipunto en la otra punta.</w:t>
      </w:r>
    </w:p>
    <w:p w:rsidR="000C7DB1" w:rsidRDefault="008D6236" w:rsidP="006D32BB">
      <w:pPr>
        <w:tabs>
          <w:tab w:val="left" w:pos="851"/>
        </w:tabs>
        <w:spacing w:line="276" w:lineRule="auto"/>
        <w:ind w:left="567" w:right="616"/>
        <w:jc w:val="both"/>
        <w:rPr>
          <w:rFonts w:ascii="ITC Avant Garde" w:hAnsi="ITC Avant Garde"/>
          <w:i/>
          <w:sz w:val="19"/>
          <w:szCs w:val="19"/>
        </w:rPr>
      </w:pPr>
      <w:r w:rsidRPr="001C4D39">
        <w:rPr>
          <w:rFonts w:ascii="ITC Avant Garde" w:hAnsi="ITC Avant Garde"/>
          <w:i/>
          <w:sz w:val="19"/>
          <w:szCs w:val="19"/>
        </w:rPr>
        <w:t>…</w:t>
      </w:r>
    </w:p>
    <w:p w:rsidR="000C7DB1" w:rsidRDefault="00960535" w:rsidP="006D32BB">
      <w:pPr>
        <w:tabs>
          <w:tab w:val="left" w:pos="851"/>
          <w:tab w:val="left" w:pos="993"/>
        </w:tabs>
        <w:spacing w:line="276" w:lineRule="auto"/>
        <w:ind w:left="567" w:right="616"/>
        <w:jc w:val="both"/>
        <w:rPr>
          <w:rFonts w:ascii="ITC Avant Garde" w:hAnsi="ITC Avant Garde"/>
          <w:i/>
          <w:sz w:val="19"/>
          <w:szCs w:val="19"/>
        </w:rPr>
      </w:pPr>
      <w:r w:rsidRPr="001C4D39">
        <w:rPr>
          <w:rFonts w:ascii="ITC Avant Garde" w:hAnsi="ITC Avant Garde"/>
          <w:b/>
          <w:i/>
          <w:sz w:val="19"/>
          <w:szCs w:val="19"/>
        </w:rPr>
        <w:t>2.2 Renta Mensual Enlace Dedicado Entre Localidades</w:t>
      </w:r>
    </w:p>
    <w:p w:rsidR="00960535" w:rsidRPr="001C4D39" w:rsidRDefault="001876FC" w:rsidP="006D32BB">
      <w:pPr>
        <w:tabs>
          <w:tab w:val="left" w:pos="851"/>
        </w:tabs>
        <w:spacing w:line="276" w:lineRule="auto"/>
        <w:ind w:left="567" w:right="616"/>
        <w:jc w:val="both"/>
        <w:rPr>
          <w:rFonts w:ascii="ITC Avant Garde" w:hAnsi="ITC Avant Garde"/>
          <w:i/>
          <w:sz w:val="19"/>
          <w:szCs w:val="19"/>
        </w:rPr>
      </w:pPr>
      <w:r w:rsidRPr="001C4D39">
        <w:rPr>
          <w:rFonts w:ascii="ITC Avant Garde" w:hAnsi="ITC Avant Garde"/>
          <w:i/>
          <w:sz w:val="19"/>
          <w:szCs w:val="19"/>
        </w:rPr>
        <w:t xml:space="preserve">a. </w:t>
      </w:r>
      <w:r w:rsidR="00960535" w:rsidRPr="001C4D39">
        <w:rPr>
          <w:rFonts w:ascii="ITC Avant Garde" w:hAnsi="ITC Avant Garde"/>
          <w:i/>
          <w:sz w:val="19"/>
          <w:szCs w:val="19"/>
        </w:rPr>
        <w:t>Enlace Punto a Punto. El cargo por Renta Mensual comprende dos tramos locales, uno en cada punta, más el tramo entre localidades.</w:t>
      </w:r>
    </w:p>
    <w:p w:rsidR="000C7DB1" w:rsidRDefault="001876FC" w:rsidP="006D32BB">
      <w:pPr>
        <w:tabs>
          <w:tab w:val="left" w:pos="851"/>
        </w:tabs>
        <w:spacing w:line="276" w:lineRule="auto"/>
        <w:ind w:left="567" w:right="616"/>
        <w:jc w:val="both"/>
        <w:rPr>
          <w:rFonts w:ascii="ITC Avant Garde" w:hAnsi="ITC Avant Garde"/>
          <w:i/>
          <w:sz w:val="19"/>
          <w:szCs w:val="19"/>
        </w:rPr>
      </w:pPr>
      <w:r w:rsidRPr="001C4D39">
        <w:rPr>
          <w:rFonts w:ascii="ITC Avant Garde" w:hAnsi="ITC Avant Garde"/>
          <w:i/>
          <w:sz w:val="19"/>
          <w:szCs w:val="19"/>
        </w:rPr>
        <w:t xml:space="preserve">b. </w:t>
      </w:r>
      <w:r w:rsidR="00960535" w:rsidRPr="001C4D39">
        <w:rPr>
          <w:rFonts w:ascii="ITC Avant Garde" w:hAnsi="ITC Avant Garde"/>
          <w:i/>
          <w:sz w:val="19"/>
          <w:szCs w:val="19"/>
        </w:rPr>
        <w:t>Enlace Punto a Punto Multipunto. El cargo por Renta Mensual comprende un tramo local en una punta, más el tramo de larga distancia, más el tramo local del Punto Multipunto en la otra punta.”</w:t>
      </w:r>
    </w:p>
    <w:p w:rsidR="000C7DB1" w:rsidRDefault="008D6236" w:rsidP="006D32BB">
      <w:pPr>
        <w:spacing w:line="276" w:lineRule="auto"/>
        <w:jc w:val="both"/>
        <w:rPr>
          <w:rFonts w:ascii="ITC Avant Garde" w:hAnsi="ITC Avant Garde"/>
          <w:sz w:val="22"/>
          <w:szCs w:val="22"/>
        </w:rPr>
      </w:pPr>
      <w:r>
        <w:rPr>
          <w:rFonts w:ascii="ITC Avant Garde" w:hAnsi="ITC Avant Garde"/>
          <w:sz w:val="22"/>
          <w:szCs w:val="22"/>
        </w:rPr>
        <w:t>Esto es,</w:t>
      </w:r>
      <w:r w:rsidR="00EA3963" w:rsidRPr="00EA3963">
        <w:rPr>
          <w:rFonts w:ascii="ITC Avant Garde" w:hAnsi="ITC Avant Garde"/>
          <w:sz w:val="22"/>
          <w:szCs w:val="22"/>
        </w:rPr>
        <w:t xml:space="preserve"> un enlace dedicado entre localidades punto a punto está conformado por dos tramos locales y un tramo entre localidades, de lo cual se observa que los tramos locales que conforman los enlaces pueden ser proporcionados por el AEP y/o el CS.</w:t>
      </w:r>
    </w:p>
    <w:p w:rsidR="000C7DB1" w:rsidRDefault="001876FC" w:rsidP="006D32BB">
      <w:pPr>
        <w:spacing w:line="276" w:lineRule="auto"/>
        <w:jc w:val="both"/>
        <w:rPr>
          <w:rFonts w:ascii="ITC Avant Garde" w:hAnsi="ITC Avant Garde"/>
          <w:sz w:val="22"/>
          <w:szCs w:val="22"/>
        </w:rPr>
      </w:pPr>
      <w:r>
        <w:rPr>
          <w:rFonts w:ascii="ITC Avant Garde" w:hAnsi="ITC Avant Garde"/>
          <w:sz w:val="22"/>
          <w:szCs w:val="22"/>
        </w:rPr>
        <w:t>A este respecto,</w:t>
      </w:r>
      <w:r w:rsidR="00EA3963" w:rsidRPr="00EA3963">
        <w:rPr>
          <w:rFonts w:ascii="ITC Avant Garde" w:hAnsi="ITC Avant Garde"/>
          <w:sz w:val="22"/>
          <w:szCs w:val="22"/>
        </w:rPr>
        <w:t xml:space="preserve"> en el caso que el AEP provea únicamente el</w:t>
      </w:r>
      <w:r w:rsidR="004A4608">
        <w:rPr>
          <w:rFonts w:ascii="ITC Avant Garde" w:hAnsi="ITC Avant Garde"/>
          <w:sz w:val="22"/>
          <w:szCs w:val="22"/>
        </w:rPr>
        <w:t xml:space="preserve"> tramo entre localidades, éste</w:t>
      </w:r>
      <w:r w:rsidR="00EA3963" w:rsidRPr="00EA3963">
        <w:rPr>
          <w:rFonts w:ascii="ITC Avant Garde" w:hAnsi="ITC Avant Garde"/>
          <w:sz w:val="22"/>
          <w:szCs w:val="22"/>
        </w:rPr>
        <w:t xml:space="preserve"> podrá cobrar </w:t>
      </w:r>
      <w:r w:rsidR="004A4608" w:rsidRPr="00EA3963">
        <w:rPr>
          <w:rFonts w:ascii="ITC Avant Garde" w:hAnsi="ITC Avant Garde"/>
          <w:sz w:val="22"/>
          <w:szCs w:val="22"/>
        </w:rPr>
        <w:t xml:space="preserve">únicamente </w:t>
      </w:r>
      <w:r w:rsidR="00EA3963" w:rsidRPr="00EA3963">
        <w:rPr>
          <w:rFonts w:ascii="ITC Avant Garde" w:hAnsi="ITC Avant Garde"/>
          <w:sz w:val="22"/>
          <w:szCs w:val="22"/>
        </w:rPr>
        <w:t>los gastos de instalación y la renta mensual cor</w:t>
      </w:r>
      <w:r w:rsidR="003E623F">
        <w:rPr>
          <w:rFonts w:ascii="ITC Avant Garde" w:hAnsi="ITC Avant Garde"/>
          <w:sz w:val="22"/>
          <w:szCs w:val="22"/>
        </w:rPr>
        <w:t>respondiente al tramo señalado.</w:t>
      </w:r>
    </w:p>
    <w:p w:rsidR="00C239CD" w:rsidRDefault="00CB1C0F" w:rsidP="006D32BB">
      <w:pPr>
        <w:spacing w:line="276" w:lineRule="auto"/>
        <w:jc w:val="both"/>
        <w:rPr>
          <w:rFonts w:ascii="ITC Avant Garde" w:hAnsi="ITC Avant Garde"/>
          <w:sz w:val="22"/>
          <w:szCs w:val="22"/>
        </w:rPr>
      </w:pPr>
      <w:r>
        <w:rPr>
          <w:rFonts w:ascii="ITC Avant Garde" w:hAnsi="ITC Avant Garde"/>
          <w:sz w:val="22"/>
          <w:szCs w:val="22"/>
        </w:rPr>
        <w:t xml:space="preserve">Asimismo, </w:t>
      </w:r>
      <w:r w:rsidR="003E623F">
        <w:rPr>
          <w:rFonts w:ascii="ITC Avant Garde" w:hAnsi="ITC Avant Garde"/>
          <w:sz w:val="22"/>
          <w:szCs w:val="22"/>
        </w:rPr>
        <w:t xml:space="preserve">en el caso </w:t>
      </w:r>
      <w:r w:rsidR="003E623F" w:rsidRPr="003E623F">
        <w:rPr>
          <w:rFonts w:ascii="ITC Avant Garde" w:hAnsi="ITC Avant Garde"/>
          <w:sz w:val="22"/>
          <w:szCs w:val="22"/>
        </w:rPr>
        <w:t xml:space="preserve">que el AEP provea únicamente un tramo local del punto de presencia del AEP a las instalaciones del CS, el AEP únicamente podrá cobrar los gastos de instalación y la renta mensual correspondiente al tramo </w:t>
      </w:r>
      <w:r w:rsidR="0011769D">
        <w:rPr>
          <w:rFonts w:ascii="ITC Avant Garde" w:hAnsi="ITC Avant Garde"/>
          <w:sz w:val="22"/>
          <w:szCs w:val="22"/>
        </w:rPr>
        <w:t xml:space="preserve">entre localidades </w:t>
      </w:r>
      <w:r w:rsidR="0011769D">
        <w:rPr>
          <w:rFonts w:ascii="ITC Avant Garde" w:hAnsi="ITC Avant Garde"/>
          <w:sz w:val="22"/>
          <w:szCs w:val="22"/>
        </w:rPr>
        <w:lastRenderedPageBreak/>
        <w:t xml:space="preserve">y, en su caso, por el tramo local </w:t>
      </w:r>
      <w:r w:rsidR="003E623F" w:rsidRPr="003E623F">
        <w:rPr>
          <w:rFonts w:ascii="ITC Avant Garde" w:hAnsi="ITC Avant Garde"/>
          <w:sz w:val="22"/>
          <w:szCs w:val="22"/>
        </w:rPr>
        <w:t>que éste provea</w:t>
      </w:r>
      <w:r w:rsidR="003E623F">
        <w:rPr>
          <w:rFonts w:ascii="ITC Avant Garde" w:hAnsi="ITC Avant Garde"/>
          <w:sz w:val="22"/>
          <w:szCs w:val="22"/>
        </w:rPr>
        <w:t xml:space="preserve"> </w:t>
      </w:r>
      <w:r w:rsidR="00FD1926">
        <w:rPr>
          <w:rFonts w:ascii="ITC Avant Garde" w:hAnsi="ITC Avant Garde"/>
          <w:sz w:val="22"/>
          <w:szCs w:val="22"/>
        </w:rPr>
        <w:t xml:space="preserve">y que corresponda a infraestructura desplegada por el mismo, </w:t>
      </w:r>
      <w:r w:rsidR="003E623F">
        <w:rPr>
          <w:rFonts w:ascii="ITC Avant Garde" w:hAnsi="ITC Avant Garde"/>
          <w:sz w:val="22"/>
          <w:szCs w:val="22"/>
        </w:rPr>
        <w:t>en términos de la fracción I anterior.</w:t>
      </w:r>
    </w:p>
    <w:p w:rsidR="000C7DB1" w:rsidRDefault="00EA3963" w:rsidP="006D32BB">
      <w:pPr>
        <w:spacing w:line="276" w:lineRule="auto"/>
        <w:jc w:val="both"/>
        <w:rPr>
          <w:rFonts w:ascii="ITC Avant Garde" w:hAnsi="ITC Avant Garde"/>
          <w:sz w:val="22"/>
          <w:szCs w:val="22"/>
        </w:rPr>
      </w:pPr>
      <w:r w:rsidRPr="00EA3963">
        <w:rPr>
          <w:rFonts w:ascii="ITC Avant Garde" w:hAnsi="ITC Avant Garde"/>
          <w:sz w:val="22"/>
          <w:szCs w:val="22"/>
        </w:rPr>
        <w:t xml:space="preserve">Lo anterior, considerando que para los tramos locales de los puntos de presencia del AEP a las instalaciones del CS, dicho CS es quien realiza el despliegue de infraestructura. </w:t>
      </w:r>
    </w:p>
    <w:p w:rsidR="000C7DB1" w:rsidRDefault="00EA3963" w:rsidP="006D32BB">
      <w:pPr>
        <w:spacing w:line="276" w:lineRule="auto"/>
        <w:jc w:val="both"/>
        <w:rPr>
          <w:rFonts w:ascii="ITC Avant Garde" w:hAnsi="ITC Avant Garde"/>
          <w:sz w:val="22"/>
          <w:szCs w:val="22"/>
        </w:rPr>
      </w:pPr>
      <w:r w:rsidRPr="00EA3963">
        <w:rPr>
          <w:rFonts w:ascii="ITC Avant Garde" w:hAnsi="ITC Avant Garde"/>
          <w:sz w:val="22"/>
          <w:szCs w:val="22"/>
        </w:rPr>
        <w:t>En este sentido, se confirma que el AEP sólo podrá cobrar la renta mensual correspondiente al tramo entre localidades</w:t>
      </w:r>
      <w:r w:rsidR="003C047C">
        <w:rPr>
          <w:rFonts w:ascii="ITC Avant Garde" w:hAnsi="ITC Avant Garde"/>
          <w:sz w:val="22"/>
          <w:szCs w:val="22"/>
        </w:rPr>
        <w:t xml:space="preserve"> y</w:t>
      </w:r>
      <w:r w:rsidRPr="00EA3963">
        <w:rPr>
          <w:rFonts w:ascii="ITC Avant Garde" w:hAnsi="ITC Avant Garde"/>
          <w:sz w:val="22"/>
          <w:szCs w:val="22"/>
        </w:rPr>
        <w:t>,</w:t>
      </w:r>
      <w:r w:rsidR="003C047C">
        <w:rPr>
          <w:rFonts w:ascii="ITC Avant Garde" w:hAnsi="ITC Avant Garde"/>
          <w:sz w:val="22"/>
          <w:szCs w:val="22"/>
        </w:rPr>
        <w:t xml:space="preserve"> en su caso, por el tramo local que corresponda, de acuerdo con</w:t>
      </w:r>
      <w:r w:rsidRPr="00EA3963">
        <w:rPr>
          <w:rFonts w:ascii="ITC Avant Garde" w:hAnsi="ITC Avant Garde"/>
          <w:sz w:val="22"/>
          <w:szCs w:val="22"/>
        </w:rPr>
        <w:t xml:space="preserve"> lo establecido en la </w:t>
      </w:r>
      <w:r w:rsidR="008D6236">
        <w:rPr>
          <w:rFonts w:ascii="ITC Avant Garde" w:hAnsi="ITC Avant Garde"/>
          <w:sz w:val="22"/>
          <w:szCs w:val="22"/>
        </w:rPr>
        <w:t>O</w:t>
      </w:r>
      <w:r w:rsidR="00676DDF">
        <w:rPr>
          <w:rFonts w:ascii="ITC Avant Garde" w:hAnsi="ITC Avant Garde"/>
          <w:sz w:val="22"/>
          <w:szCs w:val="22"/>
        </w:rPr>
        <w:t xml:space="preserve">ferta de </w:t>
      </w:r>
      <w:r w:rsidR="008D6236">
        <w:rPr>
          <w:rFonts w:ascii="ITC Avant Garde" w:hAnsi="ITC Avant Garde"/>
          <w:sz w:val="22"/>
          <w:szCs w:val="22"/>
        </w:rPr>
        <w:t>R</w:t>
      </w:r>
      <w:r w:rsidR="00676DDF">
        <w:rPr>
          <w:rFonts w:ascii="ITC Avant Garde" w:hAnsi="ITC Avant Garde"/>
          <w:sz w:val="22"/>
          <w:szCs w:val="22"/>
        </w:rPr>
        <w:t xml:space="preserve">eferencia de </w:t>
      </w:r>
      <w:r w:rsidR="008D6236">
        <w:rPr>
          <w:rFonts w:ascii="ITC Avant Garde" w:hAnsi="ITC Avant Garde"/>
          <w:sz w:val="22"/>
          <w:szCs w:val="22"/>
        </w:rPr>
        <w:t>E</w:t>
      </w:r>
      <w:r w:rsidR="00676DDF">
        <w:rPr>
          <w:rFonts w:ascii="ITC Avant Garde" w:hAnsi="ITC Avant Garde"/>
          <w:sz w:val="22"/>
          <w:szCs w:val="22"/>
        </w:rPr>
        <w:t>nlaces</w:t>
      </w:r>
      <w:r w:rsidR="008D6236">
        <w:rPr>
          <w:rFonts w:ascii="ITC Avant Garde" w:hAnsi="ITC Avant Garde"/>
          <w:sz w:val="22"/>
          <w:szCs w:val="22"/>
        </w:rPr>
        <w:t>.</w:t>
      </w:r>
    </w:p>
    <w:p w:rsidR="000C7DB1" w:rsidRDefault="004F6212" w:rsidP="006D32BB">
      <w:pPr>
        <w:shd w:val="clear" w:color="auto" w:fill="FFFFFF"/>
        <w:spacing w:line="276" w:lineRule="auto"/>
        <w:ind w:right="11"/>
        <w:jc w:val="both"/>
        <w:rPr>
          <w:rFonts w:ascii="ITC Avant Garde" w:hAnsi="ITC Avant Garde"/>
          <w:sz w:val="22"/>
          <w:szCs w:val="22"/>
          <w:lang w:val="es-ES"/>
        </w:rPr>
      </w:pPr>
      <w:r w:rsidRPr="00960535">
        <w:rPr>
          <w:rFonts w:ascii="ITC Avant Garde" w:hAnsi="ITC Avant Garde"/>
          <w:sz w:val="22"/>
          <w:szCs w:val="22"/>
          <w:lang w:val="es-ES"/>
        </w:rPr>
        <w:t xml:space="preserve">Finalmente </w:t>
      </w:r>
      <w:r w:rsidR="008D6236">
        <w:rPr>
          <w:rFonts w:ascii="ITC Avant Garde" w:hAnsi="ITC Avant Garde"/>
          <w:sz w:val="22"/>
          <w:szCs w:val="22"/>
          <w:lang w:val="es-ES"/>
        </w:rPr>
        <w:t xml:space="preserve">se menciona que los tramos entre localidades </w:t>
      </w:r>
      <w:r w:rsidR="003C047C">
        <w:rPr>
          <w:rFonts w:ascii="ITC Avant Garde" w:hAnsi="ITC Avant Garde"/>
          <w:sz w:val="22"/>
          <w:szCs w:val="22"/>
          <w:lang w:val="es-ES"/>
        </w:rPr>
        <w:t xml:space="preserve">o por el tramo local que corresponda, </w:t>
      </w:r>
      <w:r w:rsidR="008D6236">
        <w:rPr>
          <w:rFonts w:ascii="ITC Avant Garde" w:hAnsi="ITC Avant Garde"/>
          <w:sz w:val="22"/>
          <w:szCs w:val="22"/>
          <w:lang w:val="es-ES"/>
        </w:rPr>
        <w:t xml:space="preserve">que el CS </w:t>
      </w:r>
      <w:r w:rsidR="003C047C">
        <w:rPr>
          <w:rFonts w:ascii="ITC Avant Garde" w:hAnsi="ITC Avant Garde"/>
          <w:sz w:val="22"/>
          <w:szCs w:val="22"/>
          <w:lang w:val="es-ES"/>
        </w:rPr>
        <w:t>solicite como servicio al</w:t>
      </w:r>
      <w:r w:rsidR="008D6236">
        <w:rPr>
          <w:rFonts w:ascii="ITC Avant Garde" w:hAnsi="ITC Avant Garde"/>
          <w:sz w:val="22"/>
          <w:szCs w:val="22"/>
          <w:lang w:val="es-ES"/>
        </w:rPr>
        <w:t xml:space="preserve"> AEP, </w:t>
      </w:r>
      <w:r w:rsidR="00676DDF">
        <w:rPr>
          <w:rFonts w:ascii="ITC Avant Garde" w:hAnsi="ITC Avant Garde"/>
          <w:sz w:val="22"/>
          <w:szCs w:val="22"/>
          <w:lang w:val="es-ES"/>
        </w:rPr>
        <w:t>formarán</w:t>
      </w:r>
      <w:r w:rsidR="008D6236">
        <w:rPr>
          <w:rFonts w:ascii="ITC Avant Garde" w:hAnsi="ITC Avant Garde"/>
          <w:sz w:val="22"/>
          <w:szCs w:val="22"/>
          <w:lang w:val="es-ES"/>
        </w:rPr>
        <w:t xml:space="preserve"> parte del Convenio Marco que en su momento se formalice,</w:t>
      </w:r>
      <w:r w:rsidR="003C047C">
        <w:rPr>
          <w:rFonts w:ascii="ITC Avant Garde" w:hAnsi="ITC Avant Garde"/>
          <w:sz w:val="22"/>
          <w:szCs w:val="22"/>
          <w:lang w:val="es-ES"/>
        </w:rPr>
        <w:t xml:space="preserve"> respecto de los cuales </w:t>
      </w:r>
      <w:r w:rsidR="008D6236">
        <w:rPr>
          <w:rFonts w:ascii="ITC Avant Garde" w:hAnsi="ITC Avant Garde"/>
          <w:sz w:val="22"/>
          <w:szCs w:val="22"/>
          <w:lang w:val="es-ES"/>
        </w:rPr>
        <w:t xml:space="preserve">deberán pagarse </w:t>
      </w:r>
      <w:r w:rsidR="00690100">
        <w:rPr>
          <w:rFonts w:ascii="ITC Avant Garde" w:hAnsi="ITC Avant Garde"/>
          <w:sz w:val="22"/>
          <w:szCs w:val="22"/>
          <w:lang w:val="es-ES"/>
        </w:rPr>
        <w:t xml:space="preserve">las contraprestaciones correspondientes </w:t>
      </w:r>
      <w:r w:rsidR="008D6236">
        <w:rPr>
          <w:rFonts w:ascii="ITC Avant Garde" w:hAnsi="ITC Avant Garde"/>
          <w:sz w:val="22"/>
          <w:szCs w:val="22"/>
          <w:lang w:val="es-ES"/>
        </w:rPr>
        <w:t>conforme al Anexo A de Precios de la O</w:t>
      </w:r>
      <w:r w:rsidR="00676DDF">
        <w:rPr>
          <w:rFonts w:ascii="ITC Avant Garde" w:hAnsi="ITC Avant Garde"/>
          <w:sz w:val="22"/>
          <w:szCs w:val="22"/>
          <w:lang w:val="es-ES"/>
        </w:rPr>
        <w:t xml:space="preserve">ferta de </w:t>
      </w:r>
      <w:r w:rsidR="008D6236">
        <w:rPr>
          <w:rFonts w:ascii="ITC Avant Garde" w:hAnsi="ITC Avant Garde"/>
          <w:sz w:val="22"/>
          <w:szCs w:val="22"/>
          <w:lang w:val="es-ES"/>
        </w:rPr>
        <w:t>R</w:t>
      </w:r>
      <w:r w:rsidR="00676DDF">
        <w:rPr>
          <w:rFonts w:ascii="ITC Avant Garde" w:hAnsi="ITC Avant Garde"/>
          <w:sz w:val="22"/>
          <w:szCs w:val="22"/>
          <w:lang w:val="es-ES"/>
        </w:rPr>
        <w:t xml:space="preserve">eferencia de </w:t>
      </w:r>
      <w:r w:rsidR="008D6236">
        <w:rPr>
          <w:rFonts w:ascii="ITC Avant Garde" w:hAnsi="ITC Avant Garde"/>
          <w:sz w:val="22"/>
          <w:szCs w:val="22"/>
          <w:lang w:val="es-ES"/>
        </w:rPr>
        <w:t>E</w:t>
      </w:r>
      <w:r w:rsidR="00676DDF">
        <w:rPr>
          <w:rFonts w:ascii="ITC Avant Garde" w:hAnsi="ITC Avant Garde"/>
          <w:sz w:val="22"/>
          <w:szCs w:val="22"/>
          <w:lang w:val="es-ES"/>
        </w:rPr>
        <w:t>nlaces</w:t>
      </w:r>
      <w:r w:rsidR="008D6236">
        <w:rPr>
          <w:rFonts w:ascii="ITC Avant Garde" w:hAnsi="ITC Avant Garde"/>
          <w:sz w:val="22"/>
          <w:szCs w:val="22"/>
          <w:lang w:val="es-ES"/>
        </w:rPr>
        <w:t>.</w:t>
      </w:r>
    </w:p>
    <w:p w:rsidR="001C4D39" w:rsidRPr="00C239CD" w:rsidRDefault="000539E9" w:rsidP="006D32BB">
      <w:pPr>
        <w:shd w:val="clear" w:color="auto" w:fill="FFFFFF"/>
        <w:spacing w:line="276" w:lineRule="auto"/>
        <w:ind w:right="11"/>
        <w:jc w:val="both"/>
        <w:rPr>
          <w:rFonts w:ascii="ITC Avant Garde" w:hAnsi="ITC Avant Garde"/>
          <w:sz w:val="22"/>
          <w:szCs w:val="22"/>
          <w:lang w:val="es-ES"/>
        </w:rPr>
      </w:pPr>
      <w:r w:rsidRPr="000539E9">
        <w:rPr>
          <w:rFonts w:ascii="ITC Avant Garde" w:hAnsi="ITC Avant Garde"/>
          <w:sz w:val="22"/>
          <w:szCs w:val="22"/>
          <w:lang w:val="es-ES"/>
        </w:rPr>
        <w:t>Con fundamento en lo dispuesto por los artículos 6, apartado B, fracción II y 28, párrafos décimo quinto y décimo sexto de la Constitución Política de los Estados Unidos Mexicanos; 2, 7, 15, fracción LVII, 16 y 17, penúltimo párrafo de la Ley Federal de Telecomunicaciones y Radiodifusión; 32, 35, fracción I, 36, 38 y 39 de la Ley Federal de Procedimiento Administrativo, y 1, 4, fracción I y 6, fracción XVIII del Estatuto Orgánico del Instituto Federal de Telecomunicaciones, se emite el siguiente</w:t>
      </w:r>
      <w:r w:rsidR="00915BDA">
        <w:rPr>
          <w:rFonts w:ascii="ITC Avant Garde" w:hAnsi="ITC Avant Garde"/>
          <w:sz w:val="22"/>
          <w:szCs w:val="22"/>
          <w:lang w:val="es-ES"/>
        </w:rPr>
        <w:t>:</w:t>
      </w:r>
    </w:p>
    <w:p w:rsidR="001C4D39" w:rsidRPr="00C239CD" w:rsidRDefault="00031184" w:rsidP="00C239CD">
      <w:pPr>
        <w:pStyle w:val="Ttulo2"/>
        <w:spacing w:after="240"/>
        <w:jc w:val="center"/>
        <w:rPr>
          <w:rFonts w:ascii="ITC Avant Garde" w:hAnsi="ITC Avant Garde"/>
          <w:b/>
          <w:color w:val="auto"/>
          <w:sz w:val="22"/>
          <w:szCs w:val="22"/>
          <w:lang w:val="es-ES_tradnl"/>
        </w:rPr>
      </w:pPr>
      <w:r w:rsidRPr="00C239CD">
        <w:rPr>
          <w:rFonts w:ascii="ITC Avant Garde" w:hAnsi="ITC Avant Garde"/>
          <w:b/>
          <w:color w:val="auto"/>
          <w:sz w:val="22"/>
          <w:szCs w:val="22"/>
          <w:lang w:val="es-ES_tradnl"/>
        </w:rPr>
        <w:t>ACUERDO</w:t>
      </w:r>
    </w:p>
    <w:p w:rsidR="00097DB1" w:rsidRPr="002619BD" w:rsidRDefault="00872A77" w:rsidP="006D32BB">
      <w:pPr>
        <w:spacing w:line="276" w:lineRule="auto"/>
        <w:jc w:val="both"/>
        <w:rPr>
          <w:rFonts w:ascii="ITC Avant Garde" w:hAnsi="ITC Avant Garde"/>
          <w:sz w:val="22"/>
          <w:szCs w:val="22"/>
        </w:rPr>
      </w:pPr>
      <w:r>
        <w:rPr>
          <w:rFonts w:ascii="ITC Avant Garde" w:hAnsi="ITC Avant Garde"/>
          <w:b/>
          <w:sz w:val="22"/>
          <w:szCs w:val="22"/>
          <w:lang w:val="es-ES_tradnl"/>
        </w:rPr>
        <w:t>PRI</w:t>
      </w:r>
      <w:r w:rsidRPr="00A85848">
        <w:rPr>
          <w:rFonts w:ascii="ITC Avant Garde" w:hAnsi="ITC Avant Garde"/>
          <w:b/>
          <w:sz w:val="22"/>
          <w:szCs w:val="22"/>
          <w:lang w:val="es-ES_tradnl"/>
        </w:rPr>
        <w:t>MERO. -</w:t>
      </w:r>
      <w:r w:rsidR="00031184" w:rsidRPr="00A85848">
        <w:rPr>
          <w:rFonts w:ascii="ITC Avant Garde" w:hAnsi="ITC Avant Garde"/>
          <w:b/>
          <w:sz w:val="22"/>
          <w:szCs w:val="22"/>
          <w:lang w:val="es-ES_tradnl"/>
        </w:rPr>
        <w:t xml:space="preserve"> </w:t>
      </w:r>
      <w:r w:rsidR="00031184" w:rsidRPr="00A85848">
        <w:rPr>
          <w:rFonts w:ascii="ITC Avant Garde" w:hAnsi="ITC Avant Garde"/>
          <w:sz w:val="22"/>
          <w:szCs w:val="22"/>
          <w:lang w:val="es-ES_tradnl"/>
        </w:rPr>
        <w:t>Se confirma</w:t>
      </w:r>
      <w:r w:rsidR="00031184" w:rsidRPr="003C047C">
        <w:rPr>
          <w:rFonts w:ascii="ITC Avant Garde" w:hAnsi="ITC Avant Garde"/>
          <w:sz w:val="22"/>
          <w:szCs w:val="22"/>
          <w:lang w:val="es-ES_tradnl"/>
        </w:rPr>
        <w:t xml:space="preserve"> </w:t>
      </w:r>
      <w:r w:rsidR="003C047C">
        <w:rPr>
          <w:rFonts w:ascii="ITC Avant Garde" w:hAnsi="ITC Avant Garde"/>
          <w:sz w:val="22"/>
          <w:szCs w:val="22"/>
          <w:lang w:val="es-ES_tradnl"/>
        </w:rPr>
        <w:t>lo solicitado por</w:t>
      </w:r>
      <w:r w:rsidR="003C047C" w:rsidRPr="003C047C">
        <w:rPr>
          <w:rFonts w:ascii="ITC Avant Garde" w:hAnsi="ITC Avant Garde"/>
          <w:sz w:val="22"/>
          <w:szCs w:val="22"/>
          <w:lang w:val="es-ES_tradnl"/>
        </w:rPr>
        <w:t xml:space="preserve"> </w:t>
      </w:r>
      <w:r w:rsidR="003C047C" w:rsidRPr="00A85848">
        <w:rPr>
          <w:rFonts w:ascii="ITC Avant Garde" w:hAnsi="ITC Avant Garde"/>
          <w:sz w:val="22"/>
          <w:szCs w:val="22"/>
          <w:lang w:val="es-ES_tradnl"/>
        </w:rPr>
        <w:t>Axtel, S.A.B. de C.V</w:t>
      </w:r>
      <w:r w:rsidR="003C047C">
        <w:rPr>
          <w:rFonts w:ascii="ITC Avant Garde" w:hAnsi="ITC Avant Garde"/>
          <w:sz w:val="22"/>
          <w:szCs w:val="22"/>
          <w:lang w:val="es-ES_tradnl"/>
        </w:rPr>
        <w:t>., en el sentido</w:t>
      </w:r>
      <w:r w:rsidR="00031184" w:rsidRPr="00A85848">
        <w:rPr>
          <w:rFonts w:ascii="ITC Avant Garde" w:hAnsi="ITC Avant Garde"/>
          <w:sz w:val="22"/>
          <w:szCs w:val="22"/>
          <w:lang w:val="es-ES_tradnl"/>
        </w:rPr>
        <w:t xml:space="preserve"> </w:t>
      </w:r>
      <w:r w:rsidR="003C047C">
        <w:rPr>
          <w:rFonts w:ascii="ITC Avant Garde" w:hAnsi="ITC Avant Garde"/>
          <w:sz w:val="22"/>
          <w:szCs w:val="22"/>
        </w:rPr>
        <w:t>que</w:t>
      </w:r>
      <w:r w:rsidR="003C047C" w:rsidRPr="00EA3963">
        <w:rPr>
          <w:rFonts w:ascii="ITC Avant Garde" w:hAnsi="ITC Avant Garde"/>
          <w:sz w:val="22"/>
          <w:szCs w:val="22"/>
        </w:rPr>
        <w:t xml:space="preserve"> el AEP sólo podrá cobrar la renta mensual correspondiente al tramo local del emplazamiento del cliente al punto de presencia del AEP del enlace punto a punto o del enlace punto a punto multipunto, </w:t>
      </w:r>
      <w:r w:rsidR="00F61A50" w:rsidRPr="002619BD">
        <w:rPr>
          <w:rFonts w:ascii="ITC Avant Garde" w:hAnsi="ITC Avant Garde"/>
          <w:sz w:val="22"/>
          <w:szCs w:val="22"/>
        </w:rPr>
        <w:t xml:space="preserve">en el evento de que </w:t>
      </w:r>
      <w:r w:rsidR="00464ECC" w:rsidRPr="002619BD">
        <w:rPr>
          <w:rFonts w:ascii="ITC Avant Garde" w:hAnsi="ITC Avant Garde"/>
          <w:sz w:val="22"/>
          <w:szCs w:val="22"/>
        </w:rPr>
        <w:t xml:space="preserve">el CS sea quien </w:t>
      </w:r>
      <w:r w:rsidR="00097DB1" w:rsidRPr="002619BD">
        <w:rPr>
          <w:rFonts w:ascii="ITC Avant Garde" w:hAnsi="ITC Avant Garde"/>
          <w:sz w:val="22"/>
          <w:szCs w:val="22"/>
        </w:rPr>
        <w:t>con infraestructura propia provea el tramo local desde sus instalaciones al punto de presencia del AEP.</w:t>
      </w:r>
    </w:p>
    <w:p w:rsidR="003C047C" w:rsidRDefault="00097DB1" w:rsidP="006D32BB">
      <w:pPr>
        <w:spacing w:line="276" w:lineRule="auto"/>
        <w:jc w:val="both"/>
        <w:rPr>
          <w:rFonts w:ascii="ITC Avant Garde" w:hAnsi="ITC Avant Garde"/>
          <w:sz w:val="22"/>
          <w:szCs w:val="22"/>
        </w:rPr>
      </w:pPr>
      <w:r>
        <w:rPr>
          <w:rFonts w:ascii="ITC Avant Garde" w:hAnsi="ITC Avant Garde"/>
          <w:sz w:val="22"/>
          <w:szCs w:val="22"/>
        </w:rPr>
        <w:t xml:space="preserve"> </w:t>
      </w:r>
    </w:p>
    <w:p w:rsidR="00031184" w:rsidRPr="002619BD" w:rsidRDefault="003C047C" w:rsidP="006D32BB">
      <w:pPr>
        <w:shd w:val="clear" w:color="auto" w:fill="FFFFFF"/>
        <w:spacing w:line="276" w:lineRule="auto"/>
        <w:ind w:right="14"/>
        <w:jc w:val="both"/>
        <w:rPr>
          <w:rFonts w:ascii="ITC Avant Garde" w:hAnsi="ITC Avant Garde"/>
          <w:sz w:val="22"/>
          <w:szCs w:val="22"/>
          <w:lang w:val="es-ES_tradnl"/>
        </w:rPr>
      </w:pPr>
      <w:r w:rsidRPr="00DF7B66">
        <w:rPr>
          <w:rFonts w:ascii="ITC Avant Garde" w:hAnsi="ITC Avant Garde"/>
          <w:b/>
          <w:sz w:val="22"/>
          <w:szCs w:val="22"/>
          <w:lang w:val="es-ES_tradnl"/>
        </w:rPr>
        <w:t>SEGUNDO. -</w:t>
      </w:r>
      <w:r w:rsidRPr="00DF7B66">
        <w:rPr>
          <w:rFonts w:ascii="ITC Avant Garde" w:hAnsi="ITC Avant Garde"/>
          <w:sz w:val="22"/>
          <w:szCs w:val="22"/>
          <w:lang w:val="es-ES_tradnl"/>
        </w:rPr>
        <w:t xml:space="preserve"> </w:t>
      </w:r>
      <w:r>
        <w:rPr>
          <w:rFonts w:ascii="ITC Avant Garde" w:hAnsi="ITC Avant Garde"/>
          <w:sz w:val="22"/>
          <w:szCs w:val="22"/>
        </w:rPr>
        <w:t>S</w:t>
      </w:r>
      <w:r w:rsidRPr="00EA3963">
        <w:rPr>
          <w:rFonts w:ascii="ITC Avant Garde" w:hAnsi="ITC Avant Garde"/>
          <w:sz w:val="22"/>
          <w:szCs w:val="22"/>
        </w:rPr>
        <w:t>e confirma que el AEP sólo podrá cobrar la renta mensual correspondiente al tramo entre localidades</w:t>
      </w:r>
      <w:r>
        <w:rPr>
          <w:rFonts w:ascii="ITC Avant Garde" w:hAnsi="ITC Avant Garde"/>
          <w:sz w:val="22"/>
          <w:szCs w:val="22"/>
        </w:rPr>
        <w:t xml:space="preserve"> y</w:t>
      </w:r>
      <w:r w:rsidRPr="00EA3963">
        <w:rPr>
          <w:rFonts w:ascii="ITC Avant Garde" w:hAnsi="ITC Avant Garde"/>
          <w:sz w:val="22"/>
          <w:szCs w:val="22"/>
        </w:rPr>
        <w:t>,</w:t>
      </w:r>
      <w:r>
        <w:rPr>
          <w:rFonts w:ascii="ITC Avant Garde" w:hAnsi="ITC Avant Garde"/>
          <w:sz w:val="22"/>
          <w:szCs w:val="22"/>
        </w:rPr>
        <w:t xml:space="preserve"> en su caso, por el tramo local que corresponda, </w:t>
      </w:r>
      <w:r w:rsidR="00CA19EA" w:rsidRPr="002619BD">
        <w:rPr>
          <w:rFonts w:ascii="ITC Avant Garde" w:hAnsi="ITC Avant Garde"/>
          <w:sz w:val="22"/>
          <w:szCs w:val="22"/>
        </w:rPr>
        <w:t>en el evento de que</w:t>
      </w:r>
      <w:r w:rsidR="00464ECC" w:rsidRPr="002619BD">
        <w:rPr>
          <w:rFonts w:ascii="ITC Avant Garde" w:hAnsi="ITC Avant Garde"/>
          <w:sz w:val="22"/>
          <w:szCs w:val="22"/>
        </w:rPr>
        <w:t xml:space="preserve"> el CS sea quien reali</w:t>
      </w:r>
      <w:r w:rsidR="00A76553" w:rsidRPr="002619BD">
        <w:rPr>
          <w:rFonts w:ascii="ITC Avant Garde" w:hAnsi="ITC Avant Garde"/>
          <w:sz w:val="22"/>
          <w:szCs w:val="22"/>
        </w:rPr>
        <w:t>ce</w:t>
      </w:r>
      <w:r w:rsidR="00464ECC" w:rsidRPr="002619BD">
        <w:rPr>
          <w:rFonts w:ascii="ITC Avant Garde" w:hAnsi="ITC Avant Garde"/>
          <w:sz w:val="22"/>
          <w:szCs w:val="22"/>
        </w:rPr>
        <w:t xml:space="preserve"> el despliegue </w:t>
      </w:r>
      <w:r w:rsidR="00097DB1" w:rsidRPr="002619BD">
        <w:rPr>
          <w:rFonts w:ascii="ITC Avant Garde" w:hAnsi="ITC Avant Garde"/>
          <w:sz w:val="22"/>
          <w:szCs w:val="22"/>
        </w:rPr>
        <w:t>con</w:t>
      </w:r>
      <w:r w:rsidR="00097DB1">
        <w:rPr>
          <w:rFonts w:ascii="ITC Avant Garde" w:hAnsi="ITC Avant Garde"/>
          <w:b/>
          <w:sz w:val="22"/>
          <w:szCs w:val="22"/>
        </w:rPr>
        <w:t xml:space="preserve"> </w:t>
      </w:r>
      <w:r w:rsidR="00097DB1" w:rsidRPr="002619BD">
        <w:rPr>
          <w:rFonts w:ascii="ITC Avant Garde" w:hAnsi="ITC Avant Garde"/>
          <w:sz w:val="22"/>
          <w:szCs w:val="22"/>
        </w:rPr>
        <w:t>infraestructura propia de los tramos locales de sus instalaciones al punto de presencia del AEP.</w:t>
      </w:r>
    </w:p>
    <w:p w:rsidR="000C7DB1" w:rsidRDefault="003C047C" w:rsidP="006D32BB">
      <w:pPr>
        <w:shd w:val="clear" w:color="auto" w:fill="FFFFFF"/>
        <w:spacing w:line="276" w:lineRule="auto"/>
        <w:ind w:right="14"/>
        <w:jc w:val="both"/>
        <w:rPr>
          <w:rFonts w:ascii="ITC Avant Garde" w:hAnsi="ITC Avant Garde"/>
          <w:sz w:val="22"/>
          <w:szCs w:val="22"/>
          <w:lang w:val="es-ES_tradnl"/>
        </w:rPr>
      </w:pPr>
      <w:r>
        <w:rPr>
          <w:rFonts w:ascii="ITC Avant Garde" w:hAnsi="ITC Avant Garde"/>
          <w:b/>
          <w:sz w:val="22"/>
          <w:szCs w:val="22"/>
          <w:lang w:val="es-ES_tradnl"/>
        </w:rPr>
        <w:t xml:space="preserve">TERCERO. - </w:t>
      </w:r>
      <w:r w:rsidR="00031184" w:rsidRPr="00DF7B66">
        <w:rPr>
          <w:rFonts w:ascii="ITC Avant Garde" w:hAnsi="ITC Avant Garde"/>
          <w:sz w:val="22"/>
          <w:szCs w:val="22"/>
          <w:lang w:val="es-ES_tradnl"/>
        </w:rPr>
        <w:t>Se instruye al Secretario Técnico del Pleno para que, en términos del artículo 177, fracción XII de la Ley Federal de Telecomunicaciones y Radiodifusión, inscriba en el Registro Público de Concesiones el presente Acuerdo.</w:t>
      </w:r>
    </w:p>
    <w:p w:rsidR="000C7DB1" w:rsidRDefault="003C047C" w:rsidP="006D32BB">
      <w:pPr>
        <w:shd w:val="clear" w:color="auto" w:fill="FFFFFF"/>
        <w:spacing w:line="276" w:lineRule="auto"/>
        <w:ind w:right="14"/>
        <w:jc w:val="both"/>
        <w:rPr>
          <w:rFonts w:ascii="ITC Avant Garde" w:hAnsi="ITC Avant Garde"/>
          <w:sz w:val="22"/>
          <w:szCs w:val="22"/>
          <w:lang w:val="es-ES_tradnl"/>
        </w:rPr>
      </w:pPr>
      <w:r w:rsidRPr="003C047C">
        <w:rPr>
          <w:rFonts w:ascii="ITC Avant Garde" w:hAnsi="ITC Avant Garde"/>
          <w:b/>
          <w:sz w:val="22"/>
          <w:szCs w:val="22"/>
          <w:lang w:val="es-ES_tradnl"/>
        </w:rPr>
        <w:t>CUARTO.</w:t>
      </w:r>
      <w:r>
        <w:rPr>
          <w:rFonts w:ascii="ITC Avant Garde" w:hAnsi="ITC Avant Garde"/>
          <w:b/>
          <w:sz w:val="22"/>
          <w:szCs w:val="22"/>
          <w:lang w:val="es-ES_tradnl"/>
        </w:rPr>
        <w:t xml:space="preserve"> </w:t>
      </w:r>
      <w:r w:rsidRPr="003C047C">
        <w:rPr>
          <w:rFonts w:ascii="ITC Avant Garde" w:hAnsi="ITC Avant Garde"/>
          <w:b/>
          <w:sz w:val="22"/>
          <w:szCs w:val="22"/>
          <w:lang w:val="es-ES_tradnl"/>
        </w:rPr>
        <w:t>-</w:t>
      </w:r>
      <w:r>
        <w:rPr>
          <w:rFonts w:ascii="ITC Avant Garde" w:hAnsi="ITC Avant Garde"/>
          <w:sz w:val="22"/>
          <w:szCs w:val="22"/>
          <w:lang w:val="es-ES_tradnl"/>
        </w:rPr>
        <w:t xml:space="preserve"> </w:t>
      </w:r>
      <w:r w:rsidR="00031184">
        <w:rPr>
          <w:rFonts w:ascii="ITC Avant Garde" w:hAnsi="ITC Avant Garde"/>
          <w:sz w:val="22"/>
          <w:szCs w:val="22"/>
          <w:lang w:val="es-ES_tradnl"/>
        </w:rPr>
        <w:t>Notifíquese.</w:t>
      </w:r>
    </w:p>
    <w:p w:rsidR="000C7DB1" w:rsidRPr="000C7DB1" w:rsidRDefault="006148DE" w:rsidP="000C7DB1">
      <w:pPr>
        <w:spacing w:line="276" w:lineRule="auto"/>
        <w:jc w:val="center"/>
        <w:rPr>
          <w:rFonts w:ascii="ITC Avant Garde" w:hAnsi="ITC Avant Garde"/>
          <w:b/>
          <w:sz w:val="22"/>
        </w:rPr>
      </w:pPr>
      <w:r w:rsidRPr="000C7DB1">
        <w:rPr>
          <w:rFonts w:ascii="ITC Avant Garde" w:hAnsi="ITC Avant Garde"/>
          <w:b/>
          <w:sz w:val="22"/>
        </w:rPr>
        <w:lastRenderedPageBreak/>
        <w:t>(Firmas)</w:t>
      </w:r>
    </w:p>
    <w:p w:rsidR="007D2B55" w:rsidRPr="000C7DB1" w:rsidRDefault="007D2B55" w:rsidP="000C7DB1">
      <w:pPr>
        <w:jc w:val="both"/>
        <w:rPr>
          <w:rFonts w:ascii="Calibri" w:hAnsi="Calibri" w:cs="Calibri"/>
          <w:sz w:val="14"/>
        </w:rPr>
      </w:pPr>
      <w:r w:rsidRPr="007D2B55">
        <w:rPr>
          <w:rFonts w:ascii="ITC Avant Garde" w:hAnsi="ITC Avant Garde"/>
          <w:sz w:val="14"/>
          <w:lang w:val="es-ES" w:eastAsia="es-ES"/>
        </w:rPr>
        <w:t xml:space="preserve">El presente Acuerdo fue aprobado por el Pleno del Instituto Federal de Telecomunicaciones en su IX Sesión Ordinaria celebrada el 7 de marzo de 2018, </w:t>
      </w:r>
      <w:r w:rsidRPr="007D2B55">
        <w:rPr>
          <w:rFonts w:ascii="ITC Avant Garde" w:hAnsi="ITC Avant Garde"/>
          <w:bCs/>
          <w:sz w:val="14"/>
          <w:lang w:val="es-ES" w:eastAsia="es-ES"/>
        </w:rPr>
        <w:t>por</w:t>
      </w:r>
      <w:r w:rsidRPr="007D2B55">
        <w:rPr>
          <w:rFonts w:ascii="ITC Avant Garde" w:hAnsi="ITC Avant Garde"/>
          <w:sz w:val="14"/>
          <w:lang w:val="es-ES" w:eastAsia="es-ES"/>
        </w:rPr>
        <w:t xml:space="preserve"> </w:t>
      </w:r>
      <w:r w:rsidRPr="007D2B55">
        <w:rPr>
          <w:rFonts w:ascii="ITC Avant Garde" w:hAnsi="ITC Avant Garde"/>
          <w:bCs/>
          <w:sz w:val="14"/>
          <w:lang w:val="es-ES" w:eastAsia="es-ES"/>
        </w:rPr>
        <w:t>unanimidad</w:t>
      </w:r>
      <w:r w:rsidRPr="007D2B55">
        <w:rPr>
          <w:rFonts w:ascii="ITC Avant Garde" w:hAnsi="ITC Avant Garde"/>
          <w:sz w:val="14"/>
          <w:lang w:val="es-ES" w:eastAsia="es-ES"/>
        </w:rPr>
        <w:t xml:space="preserve"> de votos de los Comisionados Gabriel Oswaldo Contreras Saldívar, </w:t>
      </w:r>
      <w:r w:rsidRPr="007D2B55">
        <w:rPr>
          <w:rFonts w:ascii="ITC Avant Garde" w:hAnsi="ITC Avant Garde"/>
          <w:sz w:val="14"/>
        </w:rPr>
        <w:t xml:space="preserve">María Elena </w:t>
      </w:r>
      <w:proofErr w:type="spellStart"/>
      <w:r w:rsidRPr="007D2B55">
        <w:rPr>
          <w:rFonts w:ascii="ITC Avant Garde" w:hAnsi="ITC Avant Garde"/>
          <w:sz w:val="14"/>
        </w:rPr>
        <w:t>Estavillo</w:t>
      </w:r>
      <w:proofErr w:type="spellEnd"/>
      <w:r w:rsidRPr="007D2B55">
        <w:rPr>
          <w:rFonts w:ascii="ITC Avant Garde" w:hAnsi="ITC Avant Garde"/>
          <w:sz w:val="14"/>
        </w:rPr>
        <w:t xml:space="preserve"> Flores, Mario Germán </w:t>
      </w:r>
      <w:proofErr w:type="spellStart"/>
      <w:r w:rsidRPr="007D2B55">
        <w:rPr>
          <w:rFonts w:ascii="ITC Avant Garde" w:hAnsi="ITC Avant Garde"/>
          <w:sz w:val="14"/>
        </w:rPr>
        <w:t>Fromow</w:t>
      </w:r>
      <w:proofErr w:type="spellEnd"/>
      <w:r w:rsidRPr="007D2B55">
        <w:rPr>
          <w:rFonts w:ascii="ITC Avant Garde" w:hAnsi="ITC Avant Garde"/>
          <w:sz w:val="14"/>
        </w:rPr>
        <w:t xml:space="preserve"> Rangel, Adolfo Cuevas Teja, Javier Juárez Mojica y Arturo Robles </w:t>
      </w:r>
      <w:proofErr w:type="spellStart"/>
      <w:r w:rsidRPr="007D2B55">
        <w:rPr>
          <w:rFonts w:ascii="ITC Avant Garde" w:hAnsi="ITC Avant Garde"/>
          <w:sz w:val="14"/>
        </w:rPr>
        <w:t>Rovalo</w:t>
      </w:r>
      <w:proofErr w:type="spellEnd"/>
      <w:r w:rsidRPr="007D2B55">
        <w:rPr>
          <w:rFonts w:ascii="ITC Avant Garde" w:hAnsi="ITC Avant Garde"/>
          <w:sz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P/IFT/070318/136.</w:t>
      </w:r>
      <w:bookmarkStart w:id="2" w:name="_GoBack"/>
      <w:bookmarkEnd w:id="2"/>
    </w:p>
    <w:sectPr w:rsidR="007D2B55" w:rsidRPr="000C7DB1" w:rsidSect="006D32BB">
      <w:footerReference w:type="default" r:id="rId8"/>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9B5" w:rsidRDefault="002C09B5" w:rsidP="006D32BB">
      <w:r>
        <w:separator/>
      </w:r>
    </w:p>
  </w:endnote>
  <w:endnote w:type="continuationSeparator" w:id="0">
    <w:p w:rsidR="002C09B5" w:rsidRDefault="002C09B5" w:rsidP="006D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145757"/>
      <w:docPartObj>
        <w:docPartGallery w:val="Page Numbers (Bottom of Page)"/>
        <w:docPartUnique/>
      </w:docPartObj>
    </w:sdtPr>
    <w:sdtEndPr>
      <w:rPr>
        <w:rFonts w:ascii="ITC Avant Garde" w:hAnsi="ITC Avant Garde"/>
      </w:rPr>
    </w:sdtEndPr>
    <w:sdtContent>
      <w:p w:rsidR="006D32BB" w:rsidRPr="000C7DB1" w:rsidRDefault="006D32BB" w:rsidP="000C7DB1">
        <w:pPr>
          <w:pStyle w:val="Piedepgina"/>
          <w:jc w:val="right"/>
          <w:rPr>
            <w:rFonts w:ascii="ITC Avant Garde" w:hAnsi="ITC Avant Garde"/>
          </w:rPr>
        </w:pPr>
        <w:r w:rsidRPr="006D32BB">
          <w:rPr>
            <w:rFonts w:ascii="ITC Avant Garde" w:hAnsi="ITC Avant Garde"/>
          </w:rPr>
          <w:fldChar w:fldCharType="begin"/>
        </w:r>
        <w:r w:rsidRPr="006D32BB">
          <w:rPr>
            <w:rFonts w:ascii="ITC Avant Garde" w:hAnsi="ITC Avant Garde"/>
          </w:rPr>
          <w:instrText>PAGE   \* MERGEFORMAT</w:instrText>
        </w:r>
        <w:r w:rsidRPr="006D32BB">
          <w:rPr>
            <w:rFonts w:ascii="ITC Avant Garde" w:hAnsi="ITC Avant Garde"/>
          </w:rPr>
          <w:fldChar w:fldCharType="separate"/>
        </w:r>
        <w:r w:rsidR="000C7DB1" w:rsidRPr="000C7DB1">
          <w:rPr>
            <w:rFonts w:ascii="ITC Avant Garde" w:hAnsi="ITC Avant Garde"/>
            <w:noProof/>
            <w:lang w:val="es-ES"/>
          </w:rPr>
          <w:t>6</w:t>
        </w:r>
        <w:r w:rsidRPr="006D32BB">
          <w:rPr>
            <w:rFonts w:ascii="ITC Avant Garde" w:hAnsi="ITC Avant Gard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9B5" w:rsidRDefault="002C09B5" w:rsidP="006D32BB">
      <w:r>
        <w:separator/>
      </w:r>
    </w:p>
  </w:footnote>
  <w:footnote w:type="continuationSeparator" w:id="0">
    <w:p w:rsidR="002C09B5" w:rsidRDefault="002C09B5" w:rsidP="006D3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84A8A"/>
    <w:multiLevelType w:val="hybridMultilevel"/>
    <w:tmpl w:val="153C13E0"/>
    <w:lvl w:ilvl="0" w:tplc="672A20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522131"/>
    <w:multiLevelType w:val="hybridMultilevel"/>
    <w:tmpl w:val="ECCE3138"/>
    <w:lvl w:ilvl="0" w:tplc="CE924A3A">
      <w:start w:val="1"/>
      <w:numFmt w:val="upperRoman"/>
      <w:lvlText w:val="%1.-"/>
      <w:lvlJc w:val="left"/>
      <w:pPr>
        <w:tabs>
          <w:tab w:val="num" w:pos="1220"/>
        </w:tabs>
        <w:ind w:left="122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184"/>
    <w:rsid w:val="00015990"/>
    <w:rsid w:val="0001686B"/>
    <w:rsid w:val="00031184"/>
    <w:rsid w:val="000539E9"/>
    <w:rsid w:val="00097DB1"/>
    <w:rsid w:val="000C7DB1"/>
    <w:rsid w:val="00107714"/>
    <w:rsid w:val="0011769D"/>
    <w:rsid w:val="00133867"/>
    <w:rsid w:val="001876FC"/>
    <w:rsid w:val="001C4D39"/>
    <w:rsid w:val="002619BD"/>
    <w:rsid w:val="002C09B5"/>
    <w:rsid w:val="002C547E"/>
    <w:rsid w:val="002D7F6D"/>
    <w:rsid w:val="002F18D8"/>
    <w:rsid w:val="003558A5"/>
    <w:rsid w:val="003C047C"/>
    <w:rsid w:val="003E623F"/>
    <w:rsid w:val="00464ECC"/>
    <w:rsid w:val="004A4608"/>
    <w:rsid w:val="004F6212"/>
    <w:rsid w:val="005617D1"/>
    <w:rsid w:val="005B2636"/>
    <w:rsid w:val="005B5C8E"/>
    <w:rsid w:val="006148DE"/>
    <w:rsid w:val="00676DDF"/>
    <w:rsid w:val="00690100"/>
    <w:rsid w:val="006D32BB"/>
    <w:rsid w:val="007052C2"/>
    <w:rsid w:val="007C0B18"/>
    <w:rsid w:val="007C346B"/>
    <w:rsid w:val="007D2B55"/>
    <w:rsid w:val="00843815"/>
    <w:rsid w:val="008550BF"/>
    <w:rsid w:val="00872A77"/>
    <w:rsid w:val="008D6236"/>
    <w:rsid w:val="008E22A7"/>
    <w:rsid w:val="008F2255"/>
    <w:rsid w:val="008F274F"/>
    <w:rsid w:val="00915BDA"/>
    <w:rsid w:val="00960535"/>
    <w:rsid w:val="009D3374"/>
    <w:rsid w:val="00A0471E"/>
    <w:rsid w:val="00A64E95"/>
    <w:rsid w:val="00A76212"/>
    <w:rsid w:val="00A76553"/>
    <w:rsid w:val="00A85848"/>
    <w:rsid w:val="00AC5FD6"/>
    <w:rsid w:val="00B360BB"/>
    <w:rsid w:val="00B4247F"/>
    <w:rsid w:val="00C239CD"/>
    <w:rsid w:val="00C5087F"/>
    <w:rsid w:val="00C91827"/>
    <w:rsid w:val="00CA19EA"/>
    <w:rsid w:val="00CB1C0F"/>
    <w:rsid w:val="00CC115E"/>
    <w:rsid w:val="00D07999"/>
    <w:rsid w:val="00D36190"/>
    <w:rsid w:val="00D362C3"/>
    <w:rsid w:val="00D63753"/>
    <w:rsid w:val="00D960FE"/>
    <w:rsid w:val="00DE212D"/>
    <w:rsid w:val="00DF7B66"/>
    <w:rsid w:val="00E10B18"/>
    <w:rsid w:val="00E87EAF"/>
    <w:rsid w:val="00EA3963"/>
    <w:rsid w:val="00EC6A0E"/>
    <w:rsid w:val="00F2549D"/>
    <w:rsid w:val="00F61A50"/>
    <w:rsid w:val="00F94BC7"/>
    <w:rsid w:val="00FB3C7D"/>
    <w:rsid w:val="00FC1808"/>
    <w:rsid w:val="00FD1926"/>
    <w:rsid w:val="00FE10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5F67"/>
  <w15:chartTrackingRefBased/>
  <w15:docId w15:val="{43D0C6D8-ABEC-4C54-A145-E95968AE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184"/>
    <w:pPr>
      <w:widowControl w:val="0"/>
      <w:autoSpaceDE w:val="0"/>
      <w:autoSpaceDN w:val="0"/>
      <w:adjustRightInd w:val="0"/>
      <w:spacing w:after="0" w:line="240" w:lineRule="auto"/>
    </w:pPr>
    <w:rPr>
      <w:rFonts w:ascii="Arial" w:eastAsia="Times New Roman" w:hAnsi="Arial" w:cs="Arial"/>
      <w:sz w:val="20"/>
      <w:szCs w:val="20"/>
      <w:lang w:eastAsia="es-MX"/>
    </w:rPr>
  </w:style>
  <w:style w:type="paragraph" w:styleId="Ttulo1">
    <w:name w:val="heading 1"/>
    <w:aliases w:val="h1,Heading I"/>
    <w:basedOn w:val="Normal"/>
    <w:next w:val="Normal"/>
    <w:link w:val="Ttulo1Car"/>
    <w:uiPriority w:val="9"/>
    <w:qFormat/>
    <w:rsid w:val="00CC115E"/>
    <w:pPr>
      <w:widowControl/>
      <w:autoSpaceDE/>
      <w:autoSpaceDN/>
      <w:adjustRightInd/>
      <w:spacing w:after="200" w:line="276" w:lineRule="auto"/>
      <w:jc w:val="both"/>
      <w:outlineLvl w:val="0"/>
    </w:pPr>
    <w:rPr>
      <w:rFonts w:ascii="ITC Avant Garde" w:eastAsia="Calibri" w:hAnsi="ITC Avant Garde"/>
      <w:b/>
      <w:color w:val="000000"/>
      <w:sz w:val="22"/>
      <w:szCs w:val="22"/>
      <w:lang w:val="es-ES" w:eastAsia="es-ES"/>
    </w:rPr>
  </w:style>
  <w:style w:type="paragraph" w:styleId="Ttulo2">
    <w:name w:val="heading 2"/>
    <w:basedOn w:val="Normal"/>
    <w:next w:val="Normal"/>
    <w:link w:val="Ttulo2Car"/>
    <w:uiPriority w:val="9"/>
    <w:unhideWhenUsed/>
    <w:qFormat/>
    <w:rsid w:val="00C239CD"/>
    <w:pPr>
      <w:keepNext/>
      <w:keepLines/>
      <w:widowControl/>
      <w:autoSpaceDE/>
      <w:autoSpaceDN/>
      <w:adjustRightInd/>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eading I Car"/>
    <w:basedOn w:val="Fuentedeprrafopredeter"/>
    <w:link w:val="Ttulo1"/>
    <w:uiPriority w:val="9"/>
    <w:rsid w:val="00CC115E"/>
    <w:rPr>
      <w:rFonts w:ascii="ITC Avant Garde" w:eastAsia="Calibri" w:hAnsi="ITC Avant Garde" w:cs="Arial"/>
      <w:b/>
      <w:color w:val="000000"/>
      <w:lang w:val="es-ES" w:eastAsia="es-ES"/>
    </w:rPr>
  </w:style>
  <w:style w:type="paragraph" w:styleId="Textocomentario">
    <w:name w:val="annotation text"/>
    <w:basedOn w:val="Normal"/>
    <w:link w:val="TextocomentarioCar"/>
    <w:uiPriority w:val="99"/>
    <w:semiHidden/>
    <w:unhideWhenUsed/>
    <w:rsid w:val="00A64E95"/>
  </w:style>
  <w:style w:type="character" w:customStyle="1" w:styleId="TextocomentarioCar">
    <w:name w:val="Texto comentario Car"/>
    <w:basedOn w:val="Fuentedeprrafopredeter"/>
    <w:link w:val="Textocomentario"/>
    <w:uiPriority w:val="99"/>
    <w:semiHidden/>
    <w:rsid w:val="00A64E95"/>
    <w:rPr>
      <w:rFonts w:ascii="Arial" w:eastAsia="Times New Roman" w:hAnsi="Arial" w:cs="Arial"/>
      <w:sz w:val="20"/>
      <w:szCs w:val="20"/>
      <w:lang w:eastAsia="es-MX"/>
    </w:rPr>
  </w:style>
  <w:style w:type="character" w:styleId="Refdecomentario">
    <w:name w:val="annotation reference"/>
    <w:uiPriority w:val="99"/>
    <w:rsid w:val="00A64E95"/>
    <w:rPr>
      <w:sz w:val="16"/>
      <w:szCs w:val="16"/>
    </w:rPr>
  </w:style>
  <w:style w:type="paragraph" w:styleId="Textodeglobo">
    <w:name w:val="Balloon Text"/>
    <w:basedOn w:val="Normal"/>
    <w:link w:val="TextodegloboCar"/>
    <w:uiPriority w:val="99"/>
    <w:semiHidden/>
    <w:unhideWhenUsed/>
    <w:rsid w:val="00A64E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4E95"/>
    <w:rPr>
      <w:rFonts w:ascii="Segoe UI" w:eastAsia="Times New Roman" w:hAnsi="Segoe UI" w:cs="Segoe UI"/>
      <w:sz w:val="18"/>
      <w:szCs w:val="18"/>
      <w:lang w:eastAsia="es-MX"/>
    </w:rPr>
  </w:style>
  <w:style w:type="paragraph" w:styleId="Prrafodelista">
    <w:name w:val="List Paragraph"/>
    <w:basedOn w:val="Normal"/>
    <w:uiPriority w:val="34"/>
    <w:qFormat/>
    <w:rsid w:val="00EA3963"/>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5B2636"/>
    <w:rPr>
      <w:b/>
      <w:bCs/>
    </w:rPr>
  </w:style>
  <w:style w:type="character" w:customStyle="1" w:styleId="AsuntodelcomentarioCar">
    <w:name w:val="Asunto del comentario Car"/>
    <w:basedOn w:val="TextocomentarioCar"/>
    <w:link w:val="Asuntodelcomentario"/>
    <w:uiPriority w:val="99"/>
    <w:semiHidden/>
    <w:rsid w:val="005B2636"/>
    <w:rPr>
      <w:rFonts w:ascii="Arial" w:eastAsia="Times New Roman" w:hAnsi="Arial" w:cs="Arial"/>
      <w:b/>
      <w:bCs/>
      <w:sz w:val="20"/>
      <w:szCs w:val="20"/>
      <w:lang w:eastAsia="es-MX"/>
    </w:rPr>
  </w:style>
  <w:style w:type="paragraph" w:styleId="Revisin">
    <w:name w:val="Revision"/>
    <w:hidden/>
    <w:uiPriority w:val="99"/>
    <w:semiHidden/>
    <w:rsid w:val="00E87EAF"/>
    <w:pPr>
      <w:spacing w:after="0" w:line="240" w:lineRule="auto"/>
    </w:pPr>
    <w:rPr>
      <w:rFonts w:ascii="Arial" w:eastAsia="Times New Roman" w:hAnsi="Arial" w:cs="Arial"/>
      <w:sz w:val="20"/>
      <w:szCs w:val="20"/>
      <w:lang w:eastAsia="es-MX"/>
    </w:rPr>
  </w:style>
  <w:style w:type="paragraph" w:styleId="Encabezado">
    <w:name w:val="header"/>
    <w:basedOn w:val="Normal"/>
    <w:link w:val="EncabezadoCar"/>
    <w:uiPriority w:val="99"/>
    <w:unhideWhenUsed/>
    <w:rsid w:val="006D32BB"/>
    <w:pPr>
      <w:tabs>
        <w:tab w:val="center" w:pos="4419"/>
        <w:tab w:val="right" w:pos="8838"/>
      </w:tabs>
    </w:pPr>
  </w:style>
  <w:style w:type="character" w:customStyle="1" w:styleId="EncabezadoCar">
    <w:name w:val="Encabezado Car"/>
    <w:basedOn w:val="Fuentedeprrafopredeter"/>
    <w:link w:val="Encabezado"/>
    <w:uiPriority w:val="99"/>
    <w:rsid w:val="006D32BB"/>
    <w:rPr>
      <w:rFonts w:ascii="Arial" w:eastAsia="Times New Roman" w:hAnsi="Arial" w:cs="Arial"/>
      <w:sz w:val="20"/>
      <w:szCs w:val="20"/>
      <w:lang w:eastAsia="es-MX"/>
    </w:rPr>
  </w:style>
  <w:style w:type="paragraph" w:styleId="Piedepgina">
    <w:name w:val="footer"/>
    <w:basedOn w:val="Normal"/>
    <w:link w:val="PiedepginaCar"/>
    <w:uiPriority w:val="99"/>
    <w:unhideWhenUsed/>
    <w:rsid w:val="006D32BB"/>
    <w:pPr>
      <w:tabs>
        <w:tab w:val="center" w:pos="4419"/>
        <w:tab w:val="right" w:pos="8838"/>
      </w:tabs>
    </w:pPr>
  </w:style>
  <w:style w:type="character" w:customStyle="1" w:styleId="PiedepginaCar">
    <w:name w:val="Pie de página Car"/>
    <w:basedOn w:val="Fuentedeprrafopredeter"/>
    <w:link w:val="Piedepgina"/>
    <w:uiPriority w:val="99"/>
    <w:rsid w:val="006D32BB"/>
    <w:rPr>
      <w:rFonts w:ascii="Arial" w:eastAsia="Times New Roman" w:hAnsi="Arial" w:cs="Arial"/>
      <w:sz w:val="20"/>
      <w:szCs w:val="20"/>
      <w:lang w:eastAsia="es-MX"/>
    </w:rPr>
  </w:style>
  <w:style w:type="character" w:customStyle="1" w:styleId="Ttulo2Car">
    <w:name w:val="Título 2 Car"/>
    <w:basedOn w:val="Fuentedeprrafopredeter"/>
    <w:link w:val="Ttulo2"/>
    <w:uiPriority w:val="9"/>
    <w:rsid w:val="00C239C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339445">
      <w:bodyDiv w:val="1"/>
      <w:marLeft w:val="0"/>
      <w:marRight w:val="0"/>
      <w:marTop w:val="0"/>
      <w:marBottom w:val="0"/>
      <w:divBdr>
        <w:top w:val="none" w:sz="0" w:space="0" w:color="auto"/>
        <w:left w:val="none" w:sz="0" w:space="0" w:color="auto"/>
        <w:bottom w:val="none" w:sz="0" w:space="0" w:color="auto"/>
        <w:right w:val="none" w:sz="0" w:space="0" w:color="auto"/>
      </w:divBdr>
    </w:div>
    <w:div w:id="191122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28107-9607-483A-9CD2-84C401B82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2099</Words>
  <Characters>11549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Vera Gonzalez</dc:creator>
  <cp:keywords/>
  <dc:description/>
  <cp:lastModifiedBy>Maria del Consuelo Gonzalez Moreno</cp:lastModifiedBy>
  <cp:revision>5</cp:revision>
  <cp:lastPrinted>2018-02-23T15:36:00Z</cp:lastPrinted>
  <dcterms:created xsi:type="dcterms:W3CDTF">2018-04-03T23:44:00Z</dcterms:created>
  <dcterms:modified xsi:type="dcterms:W3CDTF">2018-04-25T17:08:00Z</dcterms:modified>
</cp:coreProperties>
</file>