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BCFA2" w14:textId="77777777" w:rsidR="00D42447" w:rsidRPr="00D42447" w:rsidRDefault="00394255" w:rsidP="00D42447">
      <w:pPr>
        <w:pStyle w:val="Ttulo1"/>
        <w:keepLines/>
        <w:spacing w:before="240" w:after="240"/>
        <w:jc w:val="both"/>
        <w:rPr>
          <w:rFonts w:ascii="ITC Avant Garde" w:hAnsi="ITC Avant Garde"/>
          <w:b w:val="0"/>
          <w:bCs/>
          <w:iCs/>
          <w:lang w:eastAsia="es-ES"/>
        </w:rPr>
      </w:pPr>
      <w:r w:rsidRPr="00D42447">
        <w:rPr>
          <w:rFonts w:ascii="ITC Avant Garde" w:hAnsi="ITC Avant Garde"/>
          <w:bCs/>
          <w:lang w:val="es-ES" w:eastAsia="es-ES"/>
        </w:rPr>
        <w:t xml:space="preserve">RESOLUCIÓN MEDIANTE LA CUAL EL PLENO DEL INSTITUTO FEDERAL DE TELECOMUNICACIONES DETERMINA LAS CONDICIONES DE INTERCONEXIÓN NO CONVENIDAS </w:t>
      </w:r>
      <w:r w:rsidR="00140622" w:rsidRPr="00D42447">
        <w:rPr>
          <w:rFonts w:ascii="ITC Avant Garde" w:hAnsi="ITC Avant Garde" w:cs="Helvetica"/>
          <w:lang w:eastAsia="es-MX"/>
        </w:rPr>
        <w:t>ENTRE</w:t>
      </w:r>
      <w:r w:rsidR="00494DD0" w:rsidRPr="00D42447">
        <w:rPr>
          <w:rFonts w:ascii="ITC Avant Garde" w:hAnsi="ITC Avant Garde" w:cs="Helvetica"/>
          <w:lang w:eastAsia="es-MX"/>
        </w:rPr>
        <w:t xml:space="preserve"> </w:t>
      </w:r>
      <w:r w:rsidR="009F1DC5" w:rsidRPr="00D42447">
        <w:rPr>
          <w:rFonts w:ascii="ITC Avant Garde" w:eastAsiaTheme="majorEastAsia" w:hAnsi="ITC Avant Garde" w:cstheme="majorBidi"/>
          <w:color w:val="000000" w:themeColor="text1"/>
          <w:szCs w:val="22"/>
          <w:lang w:eastAsia="es-MX"/>
        </w:rPr>
        <w:t>RADIOMÓVIL</w:t>
      </w:r>
      <w:r w:rsidR="009F1DC5" w:rsidRPr="00D42447">
        <w:rPr>
          <w:rFonts w:ascii="ITC Avant Garde" w:hAnsi="ITC Avant Garde" w:cs="Helvetica"/>
          <w:lang w:eastAsia="es-MX"/>
        </w:rPr>
        <w:t xml:space="preserve"> DIPSA</w:t>
      </w:r>
      <w:r w:rsidR="00494DD0" w:rsidRPr="00D42447">
        <w:rPr>
          <w:rFonts w:ascii="ITC Avant Garde" w:hAnsi="ITC Avant Garde" w:cs="Helvetica"/>
          <w:lang w:eastAsia="es-MX"/>
        </w:rPr>
        <w:t xml:space="preserve">, S.A. DE C.V. Y </w:t>
      </w:r>
      <w:r w:rsidR="008366F3" w:rsidRPr="00D42447">
        <w:rPr>
          <w:rFonts w:ascii="ITC Avant Garde" w:hAnsi="ITC Avant Garde"/>
          <w:bCs/>
          <w:lang w:val="es-ES" w:eastAsia="es-ES"/>
        </w:rPr>
        <w:t>MEGA CABLE</w:t>
      </w:r>
      <w:r w:rsidR="00513E8C" w:rsidRPr="00D42447">
        <w:rPr>
          <w:rFonts w:ascii="ITC Avant Garde" w:hAnsi="ITC Avant Garde"/>
          <w:bCs/>
          <w:lang w:val="es-ES" w:eastAsia="es-ES"/>
        </w:rPr>
        <w:t>, S.A.</w:t>
      </w:r>
      <w:r w:rsidR="009F5BED" w:rsidRPr="00D42447">
        <w:rPr>
          <w:rFonts w:ascii="ITC Avant Garde" w:hAnsi="ITC Avant Garde"/>
          <w:bCs/>
          <w:iCs/>
          <w:lang w:eastAsia="es-ES"/>
        </w:rPr>
        <w:t xml:space="preserve"> DE C.V., </w:t>
      </w:r>
      <w:r w:rsidR="000A1F1F" w:rsidRPr="00D42447">
        <w:rPr>
          <w:rFonts w:ascii="ITC Avant Garde" w:hAnsi="ITC Avant Garde"/>
          <w:bCs/>
          <w:iCs/>
          <w:lang w:eastAsia="es-ES"/>
        </w:rPr>
        <w:t xml:space="preserve">APLICABLES DEL </w:t>
      </w:r>
      <w:r w:rsidR="009F1DC5" w:rsidRPr="00D42447">
        <w:rPr>
          <w:rFonts w:ascii="ITC Avant Garde" w:hAnsi="ITC Avant Garde"/>
          <w:bCs/>
          <w:iCs/>
          <w:lang w:eastAsia="es-ES"/>
        </w:rPr>
        <w:t>1 DE ENERO AL 31 DE DICIEMBRE DE 2018</w:t>
      </w:r>
      <w:r w:rsidR="0084593D" w:rsidRPr="00D42447">
        <w:rPr>
          <w:rFonts w:ascii="ITC Avant Garde" w:hAnsi="ITC Avant Garde"/>
          <w:bCs/>
          <w:iCs/>
          <w:lang w:eastAsia="es-ES"/>
        </w:rPr>
        <w:t>.</w:t>
      </w:r>
    </w:p>
    <w:p w14:paraId="6B148119" w14:textId="77777777" w:rsidR="00D42447" w:rsidRPr="00D42447" w:rsidRDefault="00C25F00" w:rsidP="00D42447">
      <w:pPr>
        <w:pStyle w:val="Ttulo2"/>
        <w:keepLines/>
        <w:spacing w:before="40" w:after="240" w:line="276" w:lineRule="auto"/>
        <w:jc w:val="center"/>
        <w:rPr>
          <w:rFonts w:ascii="ITC Avant Garde" w:eastAsiaTheme="majorEastAsia" w:hAnsi="ITC Avant Garde" w:cstheme="majorBidi"/>
          <w:color w:val="000000" w:themeColor="text1"/>
          <w:szCs w:val="22"/>
        </w:rPr>
      </w:pPr>
      <w:r w:rsidRPr="00D42447">
        <w:rPr>
          <w:rFonts w:ascii="ITC Avant Garde" w:eastAsiaTheme="majorEastAsia" w:hAnsi="ITC Avant Garde" w:cstheme="majorBidi"/>
          <w:color w:val="000000" w:themeColor="text1"/>
          <w:szCs w:val="22"/>
        </w:rPr>
        <w:t>ANTECEDENTES</w:t>
      </w:r>
    </w:p>
    <w:p w14:paraId="2DE356FF" w14:textId="4C296500" w:rsidR="00D42447" w:rsidRPr="00D42447" w:rsidRDefault="009F1DC5" w:rsidP="00D42447">
      <w:pPr>
        <w:numPr>
          <w:ilvl w:val="0"/>
          <w:numId w:val="1"/>
        </w:numPr>
        <w:tabs>
          <w:tab w:val="clear" w:pos="680"/>
          <w:tab w:val="left" w:pos="142"/>
        </w:tabs>
        <w:spacing w:before="240"/>
        <w:ind w:left="567" w:right="23" w:hanging="567"/>
        <w:jc w:val="both"/>
        <w:rPr>
          <w:rFonts w:ascii="ITC Avant Garde" w:hAnsi="ITC Avant Garde"/>
          <w:bCs/>
          <w:lang w:val="es-ES" w:eastAsia="es-ES"/>
        </w:rPr>
      </w:pPr>
      <w:r w:rsidRPr="00D42447">
        <w:rPr>
          <w:rFonts w:ascii="ITC Avant Garde" w:hAnsi="ITC Avant Garde"/>
          <w:b/>
          <w:bCs/>
          <w:lang w:val="es-ES" w:eastAsia="es-ES"/>
        </w:rPr>
        <w:t>Radiomóvil Dipsa</w:t>
      </w:r>
      <w:r w:rsidR="000F0357" w:rsidRPr="00D42447">
        <w:rPr>
          <w:rFonts w:ascii="ITC Avant Garde" w:hAnsi="ITC Avant Garde"/>
          <w:b/>
          <w:bCs/>
          <w:lang w:val="es-ES" w:eastAsia="es-ES"/>
        </w:rPr>
        <w:t>, S.A. de C.V. (en lo sucesivo, “</w:t>
      </w:r>
      <w:r w:rsidRPr="00D42447">
        <w:rPr>
          <w:rFonts w:ascii="ITC Avant Garde" w:hAnsi="ITC Avant Garde"/>
          <w:b/>
          <w:bCs/>
          <w:lang w:val="es-ES" w:eastAsia="es-ES"/>
        </w:rPr>
        <w:t>Telcel</w:t>
      </w:r>
      <w:r w:rsidR="000F0357" w:rsidRPr="00D42447">
        <w:rPr>
          <w:rFonts w:ascii="ITC Avant Garde" w:hAnsi="ITC Avant Garde"/>
          <w:b/>
          <w:bCs/>
          <w:lang w:val="es-ES" w:eastAsia="es-ES"/>
        </w:rPr>
        <w:t>”),</w:t>
      </w:r>
      <w:r w:rsidR="000F0357" w:rsidRPr="00D42447">
        <w:rPr>
          <w:rFonts w:ascii="ITC Avant Garde" w:hAnsi="ITC Avant Garde"/>
          <w:bCs/>
          <w:lang w:val="es-ES" w:eastAsia="es-ES"/>
        </w:rPr>
        <w:t xml:space="preserve"> 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w:t>
      </w:r>
      <w:bookmarkStart w:id="0" w:name="_GoBack"/>
      <w:bookmarkEnd w:id="0"/>
      <w:r w:rsidR="000F0357" w:rsidRPr="00D42447">
        <w:rPr>
          <w:rFonts w:ascii="ITC Avant Garde" w:hAnsi="ITC Avant Garde"/>
          <w:bCs/>
          <w:lang w:val="es-ES" w:eastAsia="es-ES"/>
        </w:rPr>
        <w:t>o sucesivo, el “Instituto”).</w:t>
      </w:r>
    </w:p>
    <w:p w14:paraId="15EF13B0" w14:textId="77777777" w:rsidR="00D42447" w:rsidRPr="00D42447" w:rsidRDefault="008366F3" w:rsidP="00D42447">
      <w:pPr>
        <w:numPr>
          <w:ilvl w:val="0"/>
          <w:numId w:val="1"/>
        </w:numPr>
        <w:tabs>
          <w:tab w:val="clear" w:pos="680"/>
          <w:tab w:val="left" w:pos="142"/>
        </w:tabs>
        <w:spacing w:before="240"/>
        <w:ind w:left="567" w:right="23" w:hanging="567"/>
        <w:jc w:val="both"/>
        <w:rPr>
          <w:rFonts w:ascii="ITC Avant Garde" w:hAnsi="ITC Avant Garde" w:cs="Arial"/>
          <w:b/>
          <w:bCs/>
        </w:rPr>
      </w:pPr>
      <w:r w:rsidRPr="00D42447">
        <w:rPr>
          <w:rFonts w:ascii="ITC Avant Garde" w:hAnsi="ITC Avant Garde"/>
          <w:b/>
          <w:bCs/>
          <w:lang w:val="es-ES" w:eastAsia="es-ES"/>
        </w:rPr>
        <w:t>Mega Cable</w:t>
      </w:r>
      <w:r w:rsidR="005E61AE" w:rsidRPr="00D42447">
        <w:rPr>
          <w:rFonts w:ascii="ITC Avant Garde" w:hAnsi="ITC Avant Garde"/>
          <w:b/>
          <w:bCs/>
          <w:lang w:val="es-ES" w:eastAsia="es-ES"/>
        </w:rPr>
        <w:t>, S.A. de C.V.</w:t>
      </w:r>
      <w:r w:rsidR="009F5BED" w:rsidRPr="00D42447">
        <w:rPr>
          <w:rFonts w:ascii="ITC Avant Garde" w:hAnsi="ITC Avant Garde"/>
          <w:b/>
          <w:bCs/>
          <w:lang w:val="es-ES" w:eastAsia="es-ES"/>
        </w:rPr>
        <w:t xml:space="preserve">, </w:t>
      </w:r>
      <w:r w:rsidR="006B3B99" w:rsidRPr="00D42447">
        <w:rPr>
          <w:rFonts w:ascii="ITC Avant Garde" w:hAnsi="ITC Avant Garde"/>
          <w:b/>
          <w:bCs/>
          <w:lang w:val="es-ES" w:eastAsia="es-ES"/>
        </w:rPr>
        <w:t>(en lo</w:t>
      </w:r>
      <w:r w:rsidR="00187FB2" w:rsidRPr="00D42447">
        <w:rPr>
          <w:rFonts w:ascii="ITC Avant Garde" w:hAnsi="ITC Avant Garde"/>
          <w:b/>
          <w:bCs/>
          <w:lang w:val="es-ES" w:eastAsia="es-ES"/>
        </w:rPr>
        <w:t xml:space="preserve"> sucesivo, “</w:t>
      </w:r>
      <w:r w:rsidRPr="00D42447">
        <w:rPr>
          <w:rFonts w:ascii="ITC Avant Garde" w:hAnsi="ITC Avant Garde"/>
          <w:b/>
          <w:bCs/>
          <w:lang w:val="es-ES" w:eastAsia="es-ES"/>
        </w:rPr>
        <w:t>Mega Cable</w:t>
      </w:r>
      <w:r w:rsidR="003E3993" w:rsidRPr="00D42447">
        <w:rPr>
          <w:rFonts w:ascii="ITC Avant Garde" w:hAnsi="ITC Avant Garde"/>
          <w:b/>
          <w:bCs/>
          <w:lang w:val="es-ES" w:eastAsia="es-ES"/>
        </w:rPr>
        <w:t>”</w:t>
      </w:r>
      <w:r w:rsidR="000A1F1F" w:rsidRPr="00D42447">
        <w:rPr>
          <w:rFonts w:ascii="ITC Avant Garde" w:hAnsi="ITC Avant Garde"/>
          <w:b/>
          <w:bCs/>
          <w:lang w:val="es-ES" w:eastAsia="es-ES"/>
        </w:rPr>
        <w:t>)</w:t>
      </w:r>
      <w:r w:rsidR="00187FB2" w:rsidRPr="00D42447">
        <w:rPr>
          <w:rFonts w:ascii="ITC Avant Garde" w:hAnsi="ITC Avant Garde"/>
          <w:b/>
          <w:bCs/>
          <w:lang w:val="es-ES" w:eastAsia="es-ES"/>
        </w:rPr>
        <w:t>,</w:t>
      </w:r>
      <w:r w:rsidR="000A1F1F" w:rsidRPr="00D42447">
        <w:rPr>
          <w:rFonts w:ascii="ITC Avant Garde" w:hAnsi="ITC Avant Garde"/>
          <w:bCs/>
          <w:lang w:val="es-ES" w:eastAsia="es-ES"/>
        </w:rPr>
        <w:t xml:space="preserve"> </w:t>
      </w:r>
      <w:r w:rsidR="005264FB" w:rsidRPr="00D42447">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2F869C05" w14:textId="77777777" w:rsidR="00D42447" w:rsidRPr="00D42447" w:rsidRDefault="00DB61E1" w:rsidP="00D42447">
      <w:pPr>
        <w:numPr>
          <w:ilvl w:val="0"/>
          <w:numId w:val="1"/>
        </w:numPr>
        <w:tabs>
          <w:tab w:val="clear" w:pos="680"/>
          <w:tab w:val="left" w:pos="142"/>
          <w:tab w:val="num" w:pos="8761"/>
        </w:tabs>
        <w:spacing w:before="240"/>
        <w:ind w:left="567" w:right="23" w:hanging="567"/>
        <w:jc w:val="both"/>
        <w:rPr>
          <w:rFonts w:ascii="ITC Avant Garde" w:hAnsi="ITC Avant Garde"/>
          <w:bCs/>
          <w:lang w:val="es-ES" w:eastAsia="es-ES"/>
        </w:rPr>
      </w:pPr>
      <w:r w:rsidRPr="00D42447">
        <w:rPr>
          <w:rFonts w:ascii="ITC Avant Garde" w:hAnsi="ITC Avant Garde"/>
          <w:b/>
          <w:bCs/>
          <w:lang w:val="es-ES" w:eastAsia="es-ES"/>
        </w:rPr>
        <w:t xml:space="preserve">Determinación del Agente Económico Preponderante. </w:t>
      </w:r>
      <w:r w:rsidRPr="00D42447">
        <w:rPr>
          <w:rFonts w:ascii="ITC Avant Garde" w:hAnsi="ITC Avant Garde"/>
          <w:bCs/>
          <w:lang w:val="es-ES" w:eastAsia="es-ES"/>
        </w:rPr>
        <w:t>El 6 de marzo de 2014, el Pleno del Instituto, en su V Sesión Extraordinaria aprobó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aprobada mediante Acuerdo P/IFT/EXT/060314/76 (en lo sucesivo, la “Resolución del AEP”).</w:t>
      </w:r>
    </w:p>
    <w:p w14:paraId="097B11C7" w14:textId="77777777" w:rsidR="00D42447" w:rsidRPr="00D42447" w:rsidRDefault="00DC4719" w:rsidP="00D42447">
      <w:pPr>
        <w:numPr>
          <w:ilvl w:val="0"/>
          <w:numId w:val="1"/>
        </w:numPr>
        <w:tabs>
          <w:tab w:val="clear" w:pos="680"/>
          <w:tab w:val="left" w:pos="142"/>
        </w:tabs>
        <w:spacing w:before="240"/>
        <w:ind w:left="567" w:right="23" w:hanging="567"/>
        <w:jc w:val="both"/>
        <w:rPr>
          <w:rFonts w:ascii="ITC Avant Garde" w:hAnsi="ITC Avant Garde"/>
          <w:bCs/>
          <w:lang w:val="es-ES" w:eastAsia="es-ES"/>
        </w:rPr>
      </w:pPr>
      <w:r w:rsidRPr="00D42447">
        <w:rPr>
          <w:rFonts w:ascii="ITC Avant Garde" w:hAnsi="ITC Avant Garde"/>
          <w:b/>
          <w:bCs/>
          <w:lang w:val="es-ES" w:eastAsia="es-ES"/>
        </w:rPr>
        <w:t>Metodología para el cálculo de costos de interconexión</w:t>
      </w:r>
      <w:r w:rsidRPr="00D42447">
        <w:rPr>
          <w:rFonts w:ascii="ITC Avant Garde" w:hAnsi="ITC Avant Garde"/>
          <w:bCs/>
          <w:lang w:val="es-ES" w:eastAsia="es-ES"/>
        </w:rPr>
        <w:t xml:space="preserve">. El 18 de diciembre de 2014, </w:t>
      </w:r>
      <w:r w:rsidR="0039725E" w:rsidRPr="00D42447">
        <w:rPr>
          <w:rFonts w:ascii="ITC Avant Garde" w:hAnsi="ITC Avant Garde"/>
          <w:bCs/>
          <w:lang w:val="es-ES" w:eastAsia="es-ES"/>
        </w:rPr>
        <w:t xml:space="preserve">se </w:t>
      </w:r>
      <w:r w:rsidRPr="00D42447">
        <w:rPr>
          <w:rFonts w:ascii="ITC Avant Garde" w:hAnsi="ITC Avant Garde"/>
          <w:bCs/>
          <w:lang w:val="es-ES" w:eastAsia="es-ES"/>
        </w:rPr>
        <w:t>publicó en el D</w:t>
      </w:r>
      <w:r w:rsidR="0039725E" w:rsidRPr="00D42447">
        <w:rPr>
          <w:rFonts w:ascii="ITC Avant Garde" w:hAnsi="ITC Avant Garde"/>
          <w:bCs/>
          <w:lang w:val="es-ES" w:eastAsia="es-ES"/>
        </w:rPr>
        <w:t xml:space="preserve">iario </w:t>
      </w:r>
      <w:r w:rsidRPr="00D42447">
        <w:rPr>
          <w:rFonts w:ascii="ITC Avant Garde" w:hAnsi="ITC Avant Garde"/>
          <w:bCs/>
          <w:lang w:val="es-ES" w:eastAsia="es-ES"/>
        </w:rPr>
        <w:t>O</w:t>
      </w:r>
      <w:r w:rsidR="0039725E" w:rsidRPr="00D42447">
        <w:rPr>
          <w:rFonts w:ascii="ITC Avant Garde" w:hAnsi="ITC Avant Garde"/>
          <w:bCs/>
          <w:lang w:val="es-ES" w:eastAsia="es-ES"/>
        </w:rPr>
        <w:t xml:space="preserve">ficial de la </w:t>
      </w:r>
      <w:r w:rsidRPr="00D42447">
        <w:rPr>
          <w:rFonts w:ascii="ITC Avant Garde" w:hAnsi="ITC Avant Garde"/>
          <w:bCs/>
          <w:lang w:val="es-ES" w:eastAsia="es-ES"/>
        </w:rPr>
        <w:t>F</w:t>
      </w:r>
      <w:r w:rsidR="0039725E" w:rsidRPr="00D42447">
        <w:rPr>
          <w:rFonts w:ascii="ITC Avant Garde" w:hAnsi="ITC Avant Garde"/>
          <w:bCs/>
          <w:lang w:val="es-ES" w:eastAsia="es-ES"/>
        </w:rPr>
        <w:t>ederaci</w:t>
      </w:r>
      <w:r w:rsidR="00D22C5B" w:rsidRPr="00D42447">
        <w:rPr>
          <w:rFonts w:ascii="ITC Avant Garde" w:hAnsi="ITC Avant Garde"/>
          <w:bCs/>
          <w:lang w:val="es-ES" w:eastAsia="es-ES"/>
        </w:rPr>
        <w:t>ón</w:t>
      </w:r>
      <w:r w:rsidR="0039725E" w:rsidRPr="00D42447">
        <w:rPr>
          <w:rFonts w:ascii="ITC Avant Garde" w:hAnsi="ITC Avant Garde"/>
          <w:bCs/>
          <w:lang w:val="es-ES" w:eastAsia="es-ES"/>
        </w:rPr>
        <w:t xml:space="preserve"> (en lo sucesivo, el “DOF”)</w:t>
      </w:r>
      <w:r w:rsidRPr="00D42447">
        <w:rPr>
          <w:rFonts w:ascii="ITC Avant Garde" w:hAnsi="ITC Avant Garde"/>
          <w:bCs/>
          <w:lang w:val="es-ES" w:eastAsia="es-ES"/>
        </w:rPr>
        <w:t xml:space="preserve">, el “ACUERDO </w:t>
      </w:r>
      <w:r w:rsidR="00157BBE" w:rsidRPr="00D42447">
        <w:rPr>
          <w:rFonts w:ascii="ITC Avant Garde" w:hAnsi="ITC Avant Garde"/>
          <w:bCs/>
          <w:lang w:val="es-ES" w:eastAsia="es-ES"/>
        </w:rPr>
        <w:t>mediante el cual el Pleno del Instituto Federal de Telecomunicaciones emite la metodología para el cálculo de costos de interconexión de conformidad con la Ley Federal de Telecomunicaciones y Radiodifusión</w:t>
      </w:r>
      <w:r w:rsidRPr="00D42447">
        <w:rPr>
          <w:rFonts w:ascii="ITC Avant Garde" w:hAnsi="ITC Avant Garde"/>
          <w:bCs/>
          <w:lang w:val="es-ES" w:eastAsia="es-ES"/>
        </w:rPr>
        <w:t xml:space="preserve">”, </w:t>
      </w:r>
      <w:r w:rsidR="0069150E" w:rsidRPr="00D42447">
        <w:rPr>
          <w:rFonts w:ascii="ITC Avant Garde" w:hAnsi="ITC Avant Garde"/>
          <w:bCs/>
          <w:lang w:val="es-ES" w:eastAsia="es-ES"/>
        </w:rPr>
        <w:t xml:space="preserve">aprobado </w:t>
      </w:r>
      <w:r w:rsidRPr="00D42447">
        <w:rPr>
          <w:rFonts w:ascii="ITC Avant Garde" w:hAnsi="ITC Avant Garde"/>
          <w:bCs/>
          <w:lang w:val="es-ES" w:eastAsia="es-ES"/>
        </w:rPr>
        <w:t xml:space="preserve">mediante </w:t>
      </w:r>
      <w:r w:rsidR="0069150E" w:rsidRPr="00D42447">
        <w:rPr>
          <w:rFonts w:ascii="ITC Avant Garde" w:hAnsi="ITC Avant Garde"/>
          <w:bCs/>
          <w:lang w:val="es-ES" w:eastAsia="es-ES"/>
        </w:rPr>
        <w:t>Acuerdo P/IFT/EXT</w:t>
      </w:r>
      <w:r w:rsidRPr="00D42447">
        <w:rPr>
          <w:rFonts w:ascii="ITC Avant Garde" w:hAnsi="ITC Avant Garde"/>
          <w:bCs/>
          <w:lang w:val="es-ES" w:eastAsia="es-ES"/>
        </w:rPr>
        <w:t>/161214/277 (en lo sucesivo la “Metodología de Costos”).</w:t>
      </w:r>
    </w:p>
    <w:p w14:paraId="43D8D4A3" w14:textId="77777777" w:rsidR="00D42447" w:rsidRPr="00D42447" w:rsidRDefault="00A7512D" w:rsidP="00D42447">
      <w:pPr>
        <w:numPr>
          <w:ilvl w:val="0"/>
          <w:numId w:val="1"/>
        </w:numPr>
        <w:tabs>
          <w:tab w:val="clear" w:pos="680"/>
          <w:tab w:val="left" w:pos="142"/>
        </w:tabs>
        <w:spacing w:before="240"/>
        <w:ind w:left="567" w:right="23" w:hanging="567"/>
        <w:jc w:val="both"/>
        <w:rPr>
          <w:rFonts w:ascii="ITC Avant Garde" w:hAnsi="ITC Avant Garde"/>
          <w:bCs/>
          <w:lang w:val="es-ES" w:eastAsia="es-ES"/>
        </w:rPr>
      </w:pPr>
      <w:r w:rsidRPr="00D42447">
        <w:rPr>
          <w:rFonts w:ascii="ITC Avant Garde" w:hAnsi="ITC Avant Garde"/>
          <w:b/>
          <w:bCs/>
          <w:lang w:val="es-ES" w:eastAsia="es-ES"/>
        </w:rPr>
        <w:t>Sistema Electrónico de Solicitudes de Interconexión</w:t>
      </w:r>
      <w:r w:rsidRPr="00D42447">
        <w:rPr>
          <w:rFonts w:ascii="ITC Avant Garde" w:hAnsi="ITC Avant Garde"/>
          <w:bCs/>
          <w:lang w:val="es-ES" w:eastAsia="es-ES"/>
        </w:rPr>
        <w:t xml:space="preserve">. El 29 de diciembre de 2014 se publicó en el DOF el “ACUERDO mediante el cual el Pleno del Instituto Federal de </w:t>
      </w:r>
      <w:r w:rsidRPr="00D42447">
        <w:rPr>
          <w:rFonts w:ascii="ITC Avant Garde" w:hAnsi="ITC Avant Garde"/>
          <w:bCs/>
          <w:lang w:val="es-ES" w:eastAsia="es-ES"/>
        </w:rPr>
        <w:lastRenderedPageBreak/>
        <w:t>Telecomunicaciones establece el Sistema Electrónico de Solicitudes de Interconexión” (en lo sucesivo, el “Acuerdo del Sistema”), mediante el cual se estableció</w:t>
      </w:r>
      <w:r w:rsidR="005160CE" w:rsidRPr="00D42447">
        <w:rPr>
          <w:rFonts w:ascii="ITC Avant Garde" w:hAnsi="ITC Avant Garde"/>
          <w:bCs/>
          <w:lang w:val="es-ES" w:eastAsia="es-ES"/>
        </w:rPr>
        <w:t xml:space="preserve"> el Sistema Electrónico de Solicitudes de Interconexión, (en lo sucesivo, el “SESI”).</w:t>
      </w:r>
    </w:p>
    <w:p w14:paraId="067BA309" w14:textId="77777777" w:rsidR="00D42447" w:rsidRPr="00D42447" w:rsidRDefault="00DB61E1" w:rsidP="00D42447">
      <w:pPr>
        <w:numPr>
          <w:ilvl w:val="0"/>
          <w:numId w:val="1"/>
        </w:numPr>
        <w:tabs>
          <w:tab w:val="clear" w:pos="680"/>
          <w:tab w:val="left" w:pos="142"/>
          <w:tab w:val="num" w:pos="8761"/>
        </w:tabs>
        <w:spacing w:before="240"/>
        <w:ind w:left="567" w:right="23" w:hanging="567"/>
        <w:jc w:val="both"/>
        <w:rPr>
          <w:rFonts w:ascii="ITC Avant Garde" w:hAnsi="ITC Avant Garde"/>
          <w:bCs/>
          <w:lang w:val="es-ES" w:eastAsia="es-ES"/>
        </w:rPr>
      </w:pPr>
      <w:r w:rsidRPr="00D42447">
        <w:rPr>
          <w:rFonts w:ascii="ITC Avant Garde" w:hAnsi="ITC Avant Garde"/>
          <w:b/>
          <w:bCs/>
          <w:lang w:val="es-ES" w:eastAsia="es-ES"/>
        </w:rPr>
        <w:t>Revisión bienal.</w:t>
      </w:r>
      <w:r w:rsidRPr="00D42447">
        <w:rPr>
          <w:rFonts w:ascii="ITC Avant Garde" w:hAnsi="ITC Avant Garde"/>
          <w:bCs/>
          <w:lang w:val="es-ES" w:eastAsia="es-ES"/>
        </w:rPr>
        <w:t xml:space="preserve"> El 27 de febrero de 2017 el Pleno del Instituto, en su IV Sesión Extraordinaria aprobó mediante Acuerdo P/IFT/EXT/270217/119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P/IFT/EXT/060314/79” (en lo sucesivo, la “Revisión Bienal”).</w:t>
      </w:r>
    </w:p>
    <w:p w14:paraId="02CBAD2A" w14:textId="77777777" w:rsidR="00D42447" w:rsidRPr="00D42447" w:rsidRDefault="00A21AFC" w:rsidP="00D42447">
      <w:pPr>
        <w:numPr>
          <w:ilvl w:val="0"/>
          <w:numId w:val="1"/>
        </w:numPr>
        <w:tabs>
          <w:tab w:val="clear" w:pos="680"/>
          <w:tab w:val="left" w:pos="142"/>
        </w:tabs>
        <w:spacing w:before="240"/>
        <w:ind w:left="567" w:right="23" w:hanging="567"/>
        <w:jc w:val="both"/>
        <w:rPr>
          <w:rFonts w:ascii="ITC Avant Garde" w:hAnsi="ITC Avant Garde" w:cs="Arial"/>
          <w:bCs/>
        </w:rPr>
      </w:pPr>
      <w:r w:rsidRPr="00D42447">
        <w:rPr>
          <w:rFonts w:ascii="ITC Avant Garde" w:hAnsi="ITC Avant Garde" w:cs="Arial"/>
          <w:b/>
          <w:bCs/>
        </w:rPr>
        <w:t xml:space="preserve">Procedimiento de resolución de condiciones de interconexión no convenidas. </w:t>
      </w:r>
      <w:r w:rsidR="007A2FA6" w:rsidRPr="00D42447">
        <w:rPr>
          <w:rFonts w:ascii="ITC Avant Garde" w:hAnsi="ITC Avant Garde" w:cs="Arial"/>
          <w:bCs/>
        </w:rPr>
        <w:t xml:space="preserve">El </w:t>
      </w:r>
      <w:r w:rsidR="008C004D" w:rsidRPr="00D42447">
        <w:rPr>
          <w:rFonts w:ascii="ITC Avant Garde" w:hAnsi="ITC Avant Garde" w:cs="Arial"/>
          <w:bCs/>
        </w:rPr>
        <w:t>1</w:t>
      </w:r>
      <w:r w:rsidR="001B3081" w:rsidRPr="00D42447">
        <w:rPr>
          <w:rFonts w:ascii="ITC Avant Garde" w:hAnsi="ITC Avant Garde" w:cs="Arial"/>
          <w:bCs/>
        </w:rPr>
        <w:t>1</w:t>
      </w:r>
      <w:r w:rsidR="008C004D" w:rsidRPr="00D42447">
        <w:rPr>
          <w:rFonts w:ascii="ITC Avant Garde" w:hAnsi="ITC Avant Garde" w:cs="Arial"/>
          <w:bCs/>
        </w:rPr>
        <w:t xml:space="preserve"> </w:t>
      </w:r>
      <w:r w:rsidR="00E9490B" w:rsidRPr="00D42447">
        <w:rPr>
          <w:rFonts w:ascii="ITC Avant Garde" w:hAnsi="ITC Avant Garde" w:cs="Arial"/>
          <w:bCs/>
        </w:rPr>
        <w:t xml:space="preserve">de </w:t>
      </w:r>
      <w:r w:rsidR="008C004D" w:rsidRPr="00D42447">
        <w:rPr>
          <w:rFonts w:ascii="ITC Avant Garde" w:hAnsi="ITC Avant Garde" w:cs="Arial"/>
          <w:bCs/>
        </w:rPr>
        <w:t>ju</w:t>
      </w:r>
      <w:r w:rsidR="001B3081" w:rsidRPr="00D42447">
        <w:rPr>
          <w:rFonts w:ascii="ITC Avant Garde" w:hAnsi="ITC Avant Garde" w:cs="Arial"/>
          <w:bCs/>
        </w:rPr>
        <w:t>lio</w:t>
      </w:r>
      <w:r w:rsidR="008C004D" w:rsidRPr="00D42447">
        <w:rPr>
          <w:rFonts w:ascii="ITC Avant Garde" w:hAnsi="ITC Avant Garde" w:cs="Arial"/>
          <w:bCs/>
        </w:rPr>
        <w:t xml:space="preserve"> </w:t>
      </w:r>
      <w:r w:rsidR="00E9490B" w:rsidRPr="00D42447">
        <w:rPr>
          <w:rFonts w:ascii="ITC Avant Garde" w:hAnsi="ITC Avant Garde" w:cs="Arial"/>
          <w:bCs/>
        </w:rPr>
        <w:t>de 201</w:t>
      </w:r>
      <w:r w:rsidR="008C004D" w:rsidRPr="00D42447">
        <w:rPr>
          <w:rFonts w:ascii="ITC Avant Garde" w:hAnsi="ITC Avant Garde" w:cs="Arial"/>
          <w:bCs/>
        </w:rPr>
        <w:t>7</w:t>
      </w:r>
      <w:r w:rsidR="007A2FA6" w:rsidRPr="00D42447">
        <w:rPr>
          <w:rFonts w:ascii="ITC Avant Garde" w:hAnsi="ITC Avant Garde" w:cs="Arial"/>
          <w:bCs/>
        </w:rPr>
        <w:t xml:space="preserve">, el </w:t>
      </w:r>
      <w:r w:rsidR="008C004D" w:rsidRPr="00D42447">
        <w:rPr>
          <w:rFonts w:ascii="ITC Avant Garde" w:hAnsi="ITC Avant Garde" w:cs="Arial"/>
          <w:bCs/>
        </w:rPr>
        <w:t xml:space="preserve">apoderado </w:t>
      </w:r>
      <w:r w:rsidR="007A2FA6" w:rsidRPr="00D42447">
        <w:rPr>
          <w:rFonts w:ascii="ITC Avant Garde" w:hAnsi="ITC Avant Garde" w:cs="Arial"/>
          <w:bCs/>
        </w:rPr>
        <w:t xml:space="preserve">legal de </w:t>
      </w:r>
      <w:r w:rsidR="001B3081" w:rsidRPr="00D42447">
        <w:rPr>
          <w:rFonts w:ascii="ITC Avant Garde" w:hAnsi="ITC Avant Garde" w:cs="Arial"/>
          <w:bCs/>
        </w:rPr>
        <w:t>Telcel</w:t>
      </w:r>
      <w:r w:rsidR="005935DB" w:rsidRPr="00D42447">
        <w:rPr>
          <w:rFonts w:ascii="ITC Avant Garde" w:hAnsi="ITC Avant Garde" w:cs="Arial"/>
          <w:bCs/>
        </w:rPr>
        <w:t xml:space="preserve">, </w:t>
      </w:r>
      <w:r w:rsidR="007A2FA6" w:rsidRPr="00D42447">
        <w:rPr>
          <w:rFonts w:ascii="ITC Avant Garde" w:hAnsi="ITC Avant Garde" w:cs="Arial"/>
          <w:bCs/>
        </w:rPr>
        <w:t xml:space="preserve">presentó ante el Instituto escrito mediante </w:t>
      </w:r>
      <w:r w:rsidR="00E9490B" w:rsidRPr="00D42447">
        <w:rPr>
          <w:rFonts w:ascii="ITC Avant Garde" w:hAnsi="ITC Avant Garde" w:cs="Arial"/>
          <w:bCs/>
        </w:rPr>
        <w:t>el cual</w:t>
      </w:r>
      <w:r w:rsidR="007A2FA6" w:rsidRPr="00D42447">
        <w:rPr>
          <w:rFonts w:ascii="ITC Avant Garde" w:hAnsi="ITC Avant Garde" w:cs="Arial"/>
          <w:bCs/>
        </w:rPr>
        <w:t xml:space="preserve"> </w:t>
      </w:r>
      <w:r w:rsidR="005935DB" w:rsidRPr="00D42447">
        <w:rPr>
          <w:rFonts w:ascii="ITC Avant Garde" w:hAnsi="ITC Avant Garde" w:cs="Arial"/>
          <w:bCs/>
        </w:rPr>
        <w:t xml:space="preserve">solicitó </w:t>
      </w:r>
      <w:r w:rsidR="007A2FA6" w:rsidRPr="00D42447">
        <w:rPr>
          <w:rFonts w:ascii="ITC Avant Garde" w:hAnsi="ITC Avant Garde" w:cs="Arial"/>
          <w:bCs/>
        </w:rPr>
        <w:t>su intervención para resolver los términos</w:t>
      </w:r>
      <w:r w:rsidR="00D22C5B" w:rsidRPr="00D42447">
        <w:rPr>
          <w:rFonts w:ascii="ITC Avant Garde" w:hAnsi="ITC Avant Garde" w:cs="Arial"/>
          <w:bCs/>
        </w:rPr>
        <w:t xml:space="preserve">, </w:t>
      </w:r>
      <w:r w:rsidR="007A2FA6" w:rsidRPr="00D42447">
        <w:rPr>
          <w:rFonts w:ascii="ITC Avant Garde" w:hAnsi="ITC Avant Garde" w:cs="Arial"/>
          <w:bCs/>
        </w:rPr>
        <w:t xml:space="preserve">condiciones </w:t>
      </w:r>
      <w:r w:rsidR="00D22C5B" w:rsidRPr="00D42447">
        <w:rPr>
          <w:rFonts w:ascii="ITC Avant Garde" w:hAnsi="ITC Avant Garde" w:cs="Arial"/>
          <w:bCs/>
        </w:rPr>
        <w:t xml:space="preserve">y tarifas </w:t>
      </w:r>
      <w:r w:rsidR="007A2FA6" w:rsidRPr="00D42447">
        <w:rPr>
          <w:rFonts w:ascii="ITC Avant Garde" w:hAnsi="ITC Avant Garde" w:cs="Arial"/>
          <w:bCs/>
        </w:rPr>
        <w:t xml:space="preserve">que no </w:t>
      </w:r>
      <w:r w:rsidR="005935DB" w:rsidRPr="00D42447">
        <w:rPr>
          <w:rFonts w:ascii="ITC Avant Garde" w:hAnsi="ITC Avant Garde" w:cs="Arial"/>
          <w:bCs/>
        </w:rPr>
        <w:t xml:space="preserve">pudo </w:t>
      </w:r>
      <w:r w:rsidR="007A2FA6" w:rsidRPr="00D42447">
        <w:rPr>
          <w:rFonts w:ascii="ITC Avant Garde" w:hAnsi="ITC Avant Garde" w:cs="Arial"/>
          <w:bCs/>
        </w:rPr>
        <w:t xml:space="preserve">convenir con </w:t>
      </w:r>
      <w:r w:rsidR="008366F3" w:rsidRPr="00D42447">
        <w:rPr>
          <w:rFonts w:ascii="ITC Avant Garde" w:hAnsi="ITC Avant Garde" w:cs="Arial"/>
          <w:bCs/>
        </w:rPr>
        <w:t>Mega Cable</w:t>
      </w:r>
      <w:r w:rsidR="00187FB2" w:rsidRPr="00D42447">
        <w:rPr>
          <w:rFonts w:ascii="ITC Avant Garde" w:hAnsi="ITC Avant Garde" w:cs="Arial"/>
          <w:bCs/>
        </w:rPr>
        <w:t xml:space="preserve"> </w:t>
      </w:r>
      <w:r w:rsidR="007A2FA6" w:rsidRPr="00D42447">
        <w:rPr>
          <w:rFonts w:ascii="ITC Avant Garde" w:hAnsi="ITC Avant Garde" w:cs="Arial"/>
          <w:bCs/>
        </w:rPr>
        <w:t xml:space="preserve">para </w:t>
      </w:r>
      <w:r w:rsidRPr="00D42447">
        <w:rPr>
          <w:rFonts w:ascii="ITC Avant Garde" w:hAnsi="ITC Avant Garde" w:cs="Arial"/>
          <w:bCs/>
        </w:rPr>
        <w:t>el periodo 201</w:t>
      </w:r>
      <w:r w:rsidR="001B3081" w:rsidRPr="00D42447">
        <w:rPr>
          <w:rFonts w:ascii="ITC Avant Garde" w:hAnsi="ITC Avant Garde" w:cs="Arial"/>
          <w:bCs/>
        </w:rPr>
        <w:t>8</w:t>
      </w:r>
      <w:r w:rsidR="00E9490B" w:rsidRPr="00D42447">
        <w:rPr>
          <w:rFonts w:ascii="ITC Avant Garde" w:hAnsi="ITC Avant Garde" w:cs="Arial"/>
          <w:bCs/>
        </w:rPr>
        <w:t xml:space="preserve"> (en lo sucesivo, la “Solicitud</w:t>
      </w:r>
      <w:r w:rsidR="007A2FA6" w:rsidRPr="00D42447">
        <w:rPr>
          <w:rFonts w:ascii="ITC Avant Garde" w:hAnsi="ITC Avant Garde" w:cs="Arial"/>
          <w:bCs/>
        </w:rPr>
        <w:t xml:space="preserve"> de Resolución”).</w:t>
      </w:r>
    </w:p>
    <w:p w14:paraId="645BF082" w14:textId="77777777" w:rsidR="00D42447" w:rsidRPr="00D42447" w:rsidRDefault="00773B3C" w:rsidP="00D42447">
      <w:pPr>
        <w:tabs>
          <w:tab w:val="left" w:pos="142"/>
        </w:tabs>
        <w:spacing w:before="240"/>
        <w:ind w:left="567" w:right="23" w:hanging="567"/>
        <w:jc w:val="both"/>
        <w:rPr>
          <w:rFonts w:ascii="ITC Avant Garde" w:hAnsi="ITC Avant Garde" w:cs="Arial"/>
          <w:bCs/>
        </w:rPr>
      </w:pPr>
      <w:r w:rsidRPr="00D42447">
        <w:rPr>
          <w:rFonts w:ascii="ITC Avant Garde" w:hAnsi="ITC Avant Garde" w:cs="Arial"/>
          <w:bCs/>
        </w:rPr>
        <w:tab/>
      </w:r>
      <w:r w:rsidRPr="00D42447">
        <w:rPr>
          <w:rFonts w:ascii="ITC Avant Garde" w:hAnsi="ITC Avant Garde" w:cs="Arial"/>
          <w:bCs/>
        </w:rPr>
        <w:tab/>
      </w:r>
      <w:r w:rsidR="00D22C5B" w:rsidRPr="00D42447">
        <w:rPr>
          <w:rFonts w:ascii="ITC Avant Garde" w:hAnsi="ITC Avant Garde" w:cs="Arial"/>
          <w:bCs/>
        </w:rPr>
        <w:t>L</w:t>
      </w:r>
      <w:r w:rsidR="00E9490B" w:rsidRPr="00D42447">
        <w:rPr>
          <w:rFonts w:ascii="ITC Avant Garde" w:hAnsi="ITC Avant Garde" w:cs="Arial"/>
          <w:bCs/>
        </w:rPr>
        <w:t>a</w:t>
      </w:r>
      <w:r w:rsidR="00A21AFC" w:rsidRPr="00D42447">
        <w:rPr>
          <w:rFonts w:ascii="ITC Avant Garde" w:hAnsi="ITC Avant Garde" w:cs="Arial"/>
          <w:bCs/>
        </w:rPr>
        <w:t xml:space="preserve"> Solicitud</w:t>
      </w:r>
      <w:r w:rsidR="00E9490B" w:rsidRPr="00D42447">
        <w:rPr>
          <w:rFonts w:ascii="ITC Avant Garde" w:hAnsi="ITC Avant Garde" w:cs="Arial"/>
          <w:bCs/>
        </w:rPr>
        <w:t xml:space="preserve"> </w:t>
      </w:r>
      <w:r w:rsidR="00A21AFC" w:rsidRPr="00D42447">
        <w:rPr>
          <w:rFonts w:ascii="ITC Avant Garde" w:hAnsi="ITC Avant Garde" w:cs="Arial"/>
          <w:bCs/>
        </w:rPr>
        <w:t xml:space="preserve">de Resolución </w:t>
      </w:r>
      <w:r w:rsidR="00D22C5B" w:rsidRPr="00D42447">
        <w:rPr>
          <w:rFonts w:ascii="ITC Avant Garde" w:hAnsi="ITC Avant Garde" w:cs="Arial"/>
          <w:bCs/>
        </w:rPr>
        <w:t>se adm</w:t>
      </w:r>
      <w:r w:rsidR="00E9490B" w:rsidRPr="00D42447">
        <w:rPr>
          <w:rFonts w:ascii="ITC Avant Garde" w:hAnsi="ITC Avant Garde" w:cs="Arial"/>
          <w:bCs/>
        </w:rPr>
        <w:t>itió a trámite, asignándole</w:t>
      </w:r>
      <w:r w:rsidR="00D22C5B" w:rsidRPr="00D42447">
        <w:rPr>
          <w:rFonts w:ascii="ITC Avant Garde" w:hAnsi="ITC Avant Garde" w:cs="Arial"/>
          <w:bCs/>
        </w:rPr>
        <w:t xml:space="preserve"> </w:t>
      </w:r>
      <w:r w:rsidR="00E9490B" w:rsidRPr="00D42447">
        <w:rPr>
          <w:rFonts w:ascii="ITC Avant Garde" w:hAnsi="ITC Avant Garde" w:cs="Arial"/>
          <w:bCs/>
        </w:rPr>
        <w:t>el</w:t>
      </w:r>
      <w:r w:rsidR="00A21AFC" w:rsidRPr="00D42447">
        <w:rPr>
          <w:rFonts w:ascii="ITC Avant Garde" w:hAnsi="ITC Avant Garde" w:cs="Arial"/>
          <w:bCs/>
        </w:rPr>
        <w:t xml:space="preserve"> número de expediente </w:t>
      </w:r>
      <w:r w:rsidR="00A21AFC" w:rsidRPr="00D42447">
        <w:rPr>
          <w:rFonts w:ascii="ITC Avant Garde" w:hAnsi="ITC Avant Garde" w:cs="Arial"/>
          <w:b/>
          <w:bCs/>
        </w:rPr>
        <w:t>IFT/221/UPR/DG-RIRST/</w:t>
      </w:r>
      <w:r w:rsidR="00950D71" w:rsidRPr="00D42447">
        <w:rPr>
          <w:rFonts w:ascii="ITC Avant Garde" w:hAnsi="ITC Avant Garde" w:cs="Arial"/>
          <w:b/>
          <w:bCs/>
        </w:rPr>
        <w:t>0</w:t>
      </w:r>
      <w:r w:rsidR="006C48F7" w:rsidRPr="00D42447">
        <w:rPr>
          <w:rFonts w:ascii="ITC Avant Garde" w:hAnsi="ITC Avant Garde" w:cs="Arial"/>
          <w:b/>
          <w:bCs/>
        </w:rPr>
        <w:t>78</w:t>
      </w:r>
      <w:r w:rsidR="00A21AFC" w:rsidRPr="00D42447">
        <w:rPr>
          <w:rFonts w:ascii="ITC Avant Garde" w:hAnsi="ITC Avant Garde" w:cs="Arial"/>
          <w:b/>
          <w:bCs/>
        </w:rPr>
        <w:t>.</w:t>
      </w:r>
      <w:r w:rsidR="001B3081" w:rsidRPr="00D42447">
        <w:rPr>
          <w:rFonts w:ascii="ITC Avant Garde" w:hAnsi="ITC Avant Garde" w:cs="Arial"/>
          <w:b/>
          <w:bCs/>
        </w:rPr>
        <w:t>110717/ITX.</w:t>
      </w:r>
      <w:r w:rsidR="00E9490B" w:rsidRPr="00D42447">
        <w:rPr>
          <w:rFonts w:ascii="ITC Avant Garde" w:hAnsi="ITC Avant Garde" w:cs="Arial"/>
          <w:bCs/>
        </w:rPr>
        <w:t xml:space="preserve"> El procedimiento</w:t>
      </w:r>
      <w:r w:rsidR="00A21AFC" w:rsidRPr="00D42447">
        <w:rPr>
          <w:rFonts w:ascii="ITC Avant Garde" w:hAnsi="ITC Avant Garde" w:cs="Arial"/>
          <w:bCs/>
        </w:rPr>
        <w:t xml:space="preserve"> fue</w:t>
      </w:r>
      <w:r w:rsidR="00E9490B" w:rsidRPr="00D42447">
        <w:rPr>
          <w:rFonts w:ascii="ITC Avant Garde" w:hAnsi="ITC Avant Garde" w:cs="Arial"/>
          <w:bCs/>
        </w:rPr>
        <w:t xml:space="preserve"> sustanciado</w:t>
      </w:r>
      <w:r w:rsidR="00A21AFC" w:rsidRPr="00D42447">
        <w:rPr>
          <w:rFonts w:ascii="ITC Avant Garde" w:hAnsi="ITC Avant Garde" w:cs="Arial"/>
          <w:bCs/>
        </w:rPr>
        <w:t xml:space="preserve"> en todas y cada una de sus etapas en estricto apego a lo establecido en el artículo 129 de la Ley Federal de Telecomunicaciones y Radiodifusión (en lo sucesivo, la “</w:t>
      </w:r>
      <w:r w:rsidR="00D70C98" w:rsidRPr="00D42447">
        <w:rPr>
          <w:rFonts w:ascii="ITC Avant Garde" w:hAnsi="ITC Avant Garde" w:cs="Arial"/>
          <w:bCs/>
        </w:rPr>
        <w:t>LFTR</w:t>
      </w:r>
      <w:r w:rsidR="00A21AFC" w:rsidRPr="00D42447">
        <w:rPr>
          <w:rFonts w:ascii="ITC Avant Garde" w:hAnsi="ITC Avant Garde" w:cs="Arial"/>
          <w:bCs/>
        </w:rPr>
        <w:t>”). Lo cual se encuentra plenamente documentado en las constancias que integran el expediente administrativo en comento, mismo que ha estado en todo momento a disposición de las partes, las cuales tienen pleno conocimiento de su contenido.</w:t>
      </w:r>
    </w:p>
    <w:p w14:paraId="7F97C5A9" w14:textId="77777777" w:rsidR="00D42447" w:rsidRPr="00D42447" w:rsidRDefault="00773B3C" w:rsidP="00D42447">
      <w:pPr>
        <w:spacing w:before="240"/>
        <w:ind w:left="567" w:right="23" w:hanging="567"/>
        <w:jc w:val="both"/>
        <w:rPr>
          <w:rFonts w:ascii="ITC Avant Garde" w:hAnsi="ITC Avant Garde" w:cs="Arial"/>
          <w:bCs/>
        </w:rPr>
      </w:pPr>
      <w:r w:rsidRPr="00D42447">
        <w:rPr>
          <w:rFonts w:ascii="ITC Avant Garde" w:hAnsi="ITC Avant Garde" w:cs="Arial"/>
          <w:bCs/>
        </w:rPr>
        <w:tab/>
      </w:r>
      <w:r w:rsidR="00A21AFC" w:rsidRPr="00D42447">
        <w:rPr>
          <w:rFonts w:ascii="ITC Avant Garde" w:hAnsi="ITC Avant Garde" w:cs="Arial"/>
          <w:bCs/>
        </w:rPr>
        <w:t>Es así que con fecha</w:t>
      </w:r>
      <w:r w:rsidR="006C48F7" w:rsidRPr="00D42447">
        <w:rPr>
          <w:rFonts w:ascii="ITC Avant Garde" w:hAnsi="ITC Avant Garde" w:cs="Arial"/>
          <w:bCs/>
        </w:rPr>
        <w:t xml:space="preserve"> 10 de noviembre de 2017 el Instituto notificó a Mega Cable y el 13 de noviembre de 2017 a Telcel</w:t>
      </w:r>
      <w:r w:rsidR="00A21AFC" w:rsidRPr="00D42447">
        <w:rPr>
          <w:rFonts w:ascii="ITC Avant Garde" w:hAnsi="ITC Avant Garde" w:cs="Arial"/>
          <w:bCs/>
        </w:rPr>
        <w:t xml:space="preserve">, que el procedimiento guardaba estado para que el Pleno del Instituto dictase la resolución </w:t>
      </w:r>
      <w:r w:rsidR="0092432A" w:rsidRPr="00D42447">
        <w:rPr>
          <w:rFonts w:ascii="ITC Avant Garde" w:hAnsi="ITC Avant Garde" w:cs="Arial"/>
          <w:bCs/>
        </w:rPr>
        <w:t>correspondiente</w:t>
      </w:r>
      <w:r w:rsidR="00A21AFC" w:rsidRPr="00D42447">
        <w:rPr>
          <w:rFonts w:ascii="ITC Avant Garde" w:hAnsi="ITC Avant Garde" w:cs="Arial"/>
          <w:bCs/>
        </w:rPr>
        <w:t>.</w:t>
      </w:r>
    </w:p>
    <w:p w14:paraId="60105B54" w14:textId="77777777" w:rsidR="00D42447" w:rsidRPr="00D42447" w:rsidRDefault="00DB61E1" w:rsidP="00D42447">
      <w:pPr>
        <w:numPr>
          <w:ilvl w:val="0"/>
          <w:numId w:val="1"/>
        </w:numPr>
        <w:tabs>
          <w:tab w:val="clear" w:pos="680"/>
          <w:tab w:val="left" w:pos="142"/>
          <w:tab w:val="num" w:pos="8761"/>
        </w:tabs>
        <w:spacing w:before="240"/>
        <w:ind w:left="567" w:right="23" w:hanging="567"/>
        <w:jc w:val="both"/>
        <w:rPr>
          <w:rFonts w:ascii="ITC Avant Garde" w:hAnsi="ITC Avant Garde"/>
        </w:rPr>
      </w:pPr>
      <w:r w:rsidRPr="00D42447">
        <w:rPr>
          <w:rFonts w:ascii="ITC Avant Garde" w:hAnsi="ITC Avant Garde"/>
          <w:b/>
          <w:bCs/>
          <w:lang w:val="es-ES"/>
        </w:rPr>
        <w:t>Ejecutoria del amparo en revisión A.R. 1100/2015</w:t>
      </w:r>
      <w:r w:rsidRPr="00D42447">
        <w:rPr>
          <w:rFonts w:ascii="ITC Avant Garde" w:hAnsi="ITC Avant Garde"/>
          <w:bCs/>
          <w:lang w:val="es-ES"/>
        </w:rPr>
        <w:t>. Mediante ejecutoria de</w:t>
      </w:r>
      <w:r w:rsidRPr="00D42447">
        <w:rPr>
          <w:rFonts w:ascii="ITC Avant Garde" w:hAnsi="ITC Avant Garde"/>
        </w:rPr>
        <w:t xml:space="preserve"> fecha 16 de agosto de 2017 correspondiente al amparo en revisión A.R. 1100/2015, la Segunda Sala de la Suprema Corte de Justicia de la Nación, resolvió amparar y proteger a Radiomóvil Dipsa, S.A. de C.V. en contra de los artículos 131, segundo párrafo inciso a), y párrafo tercero; Sexto, Vigésimo y Trigésimo Quinto transitorios, en las porciones referidas en la propia ejecutoria, de la Ley Federal de Telecomunicaciones y Radiodifusión, para los efectos precisados en la sentencia.</w:t>
      </w:r>
    </w:p>
    <w:p w14:paraId="1FAB0FF9" w14:textId="77777777" w:rsidR="00D42447" w:rsidRPr="00D42447" w:rsidRDefault="007A3C1C" w:rsidP="00D42447">
      <w:pPr>
        <w:numPr>
          <w:ilvl w:val="0"/>
          <w:numId w:val="1"/>
        </w:numPr>
        <w:tabs>
          <w:tab w:val="clear" w:pos="680"/>
          <w:tab w:val="left" w:pos="142"/>
          <w:tab w:val="num" w:pos="567"/>
        </w:tabs>
        <w:spacing w:before="240"/>
        <w:ind w:left="567" w:right="23" w:hanging="567"/>
        <w:jc w:val="both"/>
        <w:rPr>
          <w:rFonts w:ascii="ITC Avant Garde" w:hAnsi="ITC Avant Garde" w:cs="Arial"/>
          <w:bCs/>
        </w:rPr>
      </w:pPr>
      <w:r w:rsidRPr="00D42447">
        <w:rPr>
          <w:rFonts w:ascii="ITC Avant Garde" w:hAnsi="ITC Avant Garde"/>
          <w:b/>
          <w:bCs/>
          <w:lang w:val="es-ES" w:eastAsia="es-ES"/>
        </w:rPr>
        <w:lastRenderedPageBreak/>
        <w:t>Publicación de las Condiciones Técnicas Mínimas y las Tarifas de Interconexión para el año 2018</w:t>
      </w:r>
      <w:r w:rsidRPr="00D42447">
        <w:rPr>
          <w:rFonts w:ascii="ITC Avant Garde" w:hAnsi="ITC Avant Garde"/>
          <w:bCs/>
          <w:lang w:val="es-ES" w:eastAsia="es-ES"/>
        </w:rPr>
        <w:t>. El 9 de noviembre de 2017 se publicó en el DOF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aprobado mediante Acuerdo P/IFT/021117/657 (en lo sucesivo, el “Acuerdo de CTM y Tarifas 2018”).</w:t>
      </w:r>
    </w:p>
    <w:p w14:paraId="5D1D84E5" w14:textId="77777777" w:rsidR="00D42447" w:rsidRPr="00D42447" w:rsidRDefault="00F11878" w:rsidP="00D42447">
      <w:pPr>
        <w:widowControl w:val="0"/>
        <w:spacing w:before="240"/>
        <w:jc w:val="both"/>
        <w:rPr>
          <w:rFonts w:ascii="ITC Avant Garde" w:eastAsia="Times New Roman" w:hAnsi="ITC Avant Garde"/>
          <w:lang w:eastAsia="es-ES"/>
        </w:rPr>
      </w:pPr>
      <w:bookmarkStart w:id="1" w:name="HipótesisNormativa"/>
      <w:r w:rsidRPr="00D42447">
        <w:rPr>
          <w:rFonts w:ascii="ITC Avant Garde" w:eastAsia="Times New Roman" w:hAnsi="ITC Avant Garde"/>
          <w:lang w:eastAsia="es-ES"/>
        </w:rPr>
        <w:t>En virtud de los referidos Antecedentes, y</w:t>
      </w:r>
    </w:p>
    <w:p w14:paraId="60A8CB41" w14:textId="77777777" w:rsidR="00D42447" w:rsidRPr="00D42447" w:rsidRDefault="00F11878" w:rsidP="00D42447">
      <w:pPr>
        <w:pStyle w:val="Ttulo2"/>
        <w:keepLines/>
        <w:spacing w:before="40" w:after="240" w:line="276" w:lineRule="auto"/>
        <w:jc w:val="center"/>
        <w:rPr>
          <w:rFonts w:ascii="ITC Avant Garde" w:eastAsiaTheme="majorEastAsia" w:hAnsi="ITC Avant Garde" w:cstheme="majorBidi"/>
          <w:color w:val="000000" w:themeColor="text1"/>
          <w:szCs w:val="22"/>
        </w:rPr>
      </w:pPr>
      <w:r w:rsidRPr="00D42447">
        <w:rPr>
          <w:rFonts w:ascii="ITC Avant Garde" w:eastAsiaTheme="majorEastAsia" w:hAnsi="ITC Avant Garde" w:cstheme="majorBidi"/>
          <w:color w:val="000000" w:themeColor="text1"/>
          <w:szCs w:val="22"/>
        </w:rPr>
        <w:t>CONSIDERANDO</w:t>
      </w:r>
    </w:p>
    <w:p w14:paraId="17D4EB37" w14:textId="50802F70" w:rsidR="00D42447" w:rsidRPr="00D42447" w:rsidRDefault="00850C72" w:rsidP="00D42447">
      <w:pPr>
        <w:spacing w:before="240"/>
        <w:jc w:val="both"/>
        <w:rPr>
          <w:rFonts w:ascii="ITC Avant Garde" w:hAnsi="ITC Avant Garde"/>
          <w:bCs/>
          <w:lang w:val="es-ES" w:eastAsia="es-ES"/>
        </w:rPr>
      </w:pPr>
      <w:bookmarkStart w:id="2" w:name="primero"/>
      <w:r w:rsidRPr="00D42447">
        <w:rPr>
          <w:rFonts w:ascii="ITC Avant Garde" w:hAnsi="ITC Avant Garde"/>
          <w:b/>
          <w:bCs/>
          <w:lang w:val="es-ES" w:eastAsia="es-ES"/>
        </w:rPr>
        <w:t>PRIMERO.- Competencia del Instituto.</w:t>
      </w:r>
      <w:r w:rsidRPr="00D42447">
        <w:rPr>
          <w:rFonts w:ascii="ITC Avant Garde" w:hAnsi="ITC Avant Garde"/>
          <w:bCs/>
          <w:lang w:val="es-ES" w:eastAsia="es-ES"/>
        </w:rPr>
        <w:t xml:space="preserve"> De conformidad con los artículos 6, apartado B fracción II</w:t>
      </w:r>
      <w:r w:rsidR="00BB430C" w:rsidRPr="00D42447">
        <w:rPr>
          <w:rFonts w:ascii="ITC Avant Garde" w:hAnsi="ITC Avant Garde"/>
          <w:bCs/>
          <w:lang w:val="es-ES" w:eastAsia="es-ES"/>
        </w:rPr>
        <w:t xml:space="preserve"> y</w:t>
      </w:r>
      <w:r w:rsidRPr="00D42447">
        <w:rPr>
          <w:rFonts w:ascii="ITC Avant Garde" w:hAnsi="ITC Avant Garde"/>
          <w:bCs/>
          <w:lang w:val="es-ES" w:eastAsia="es-ES"/>
        </w:rPr>
        <w:t xml:space="preserve"> 28, párrafos décimo quinto y décimo sexto de la Constitución Política de los Estados Unidos Mexicanos (en lo sucesivo, la “Constitución”) y 7 de la </w:t>
      </w:r>
      <w:r w:rsidR="00D70C98" w:rsidRPr="00D42447">
        <w:rPr>
          <w:rFonts w:ascii="ITC Avant Garde" w:hAnsi="ITC Avant Garde"/>
          <w:bCs/>
          <w:lang w:val="es-ES" w:eastAsia="es-ES"/>
        </w:rPr>
        <w:t>LFTR</w:t>
      </w:r>
      <w:r w:rsidRPr="00D42447">
        <w:rPr>
          <w:rFonts w:ascii="ITC Avant Garde" w:hAnsi="ITC Avant Garde"/>
          <w:bCs/>
          <w:lang w:val="es-ES" w:eastAsia="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D70C98" w:rsidRPr="00D42447">
        <w:rPr>
          <w:rFonts w:ascii="ITC Avant Garde" w:hAnsi="ITC Avant Garde"/>
          <w:bCs/>
          <w:lang w:val="es-ES" w:eastAsia="es-ES"/>
        </w:rPr>
        <w:t>LFTR</w:t>
      </w:r>
      <w:r w:rsidRPr="00D42447">
        <w:rPr>
          <w:rFonts w:ascii="ITC Avant Garde" w:hAnsi="ITC Avant Garde"/>
          <w:bCs/>
          <w:lang w:val="es-ES" w:eastAsia="es-ES"/>
        </w:rPr>
        <w:t xml:space="preserve"> y demás disposiciones aplicables. </w:t>
      </w:r>
    </w:p>
    <w:p w14:paraId="4592DDD9" w14:textId="3522EC6D" w:rsidR="00850C72" w:rsidRPr="00D42447" w:rsidRDefault="00850C72" w:rsidP="00D42447">
      <w:pPr>
        <w:spacing w:before="240"/>
        <w:jc w:val="both"/>
        <w:rPr>
          <w:rFonts w:ascii="ITC Avant Garde" w:hAnsi="ITC Avant Garde"/>
          <w:bCs/>
          <w:lang w:val="es-ES" w:eastAsia="es-ES"/>
        </w:rPr>
      </w:pPr>
      <w:r w:rsidRPr="00D42447">
        <w:rPr>
          <w:rFonts w:ascii="ITC Avant Garde" w:hAnsi="ITC Avant Garde"/>
          <w:bCs/>
          <w:lang w:val="es-ES" w:eastAsia="es-ES"/>
        </w:rPr>
        <w:t xml:space="preserve">Con fundamento en los artículos 7, 15, fracción X, 17, fracción I, y 129 de la </w:t>
      </w:r>
      <w:r w:rsidR="00D70C98" w:rsidRPr="00D42447">
        <w:rPr>
          <w:rFonts w:ascii="ITC Avant Garde" w:hAnsi="ITC Avant Garde"/>
          <w:bCs/>
          <w:lang w:val="es-ES" w:eastAsia="es-ES"/>
        </w:rPr>
        <w:t>LFTR</w:t>
      </w:r>
      <w:r w:rsidRPr="00D42447">
        <w:rPr>
          <w:rFonts w:ascii="ITC Avant Garde" w:hAnsi="ITC Avant Garde"/>
          <w:bCs/>
          <w:lang w:val="es-ES" w:eastAsia="es-ES"/>
        </w:rPr>
        <w:t xml:space="preserve">, el Pleno del Instituto está facultado, de manera exclusiva e indelegable, para resolver y establecer </w:t>
      </w:r>
      <w:r w:rsidR="00BB430C" w:rsidRPr="00D42447">
        <w:rPr>
          <w:rFonts w:ascii="ITC Avant Garde" w:hAnsi="ITC Avant Garde"/>
          <w:bCs/>
          <w:lang w:val="es-ES" w:eastAsia="es-ES"/>
        </w:rPr>
        <w:t>los términos, condiciones y tarifas</w:t>
      </w:r>
      <w:r w:rsidRPr="00D42447">
        <w:rPr>
          <w:rFonts w:ascii="ITC Avant Garde" w:hAnsi="ITC Avant Garde"/>
          <w:bCs/>
          <w:lang w:val="es-ES" w:eastAsia="es-ES"/>
        </w:rPr>
        <w:t xml:space="preserve"> de interconexión que no hayan podido convenir los concesionarios respecto de sus redes públicas de telecomunicaciones, una vez que se solicite su intervención.</w:t>
      </w:r>
    </w:p>
    <w:p w14:paraId="4B8FDA24" w14:textId="77777777" w:rsidR="00D42447" w:rsidRPr="00D42447" w:rsidRDefault="00850C72" w:rsidP="00D42447">
      <w:pPr>
        <w:spacing w:before="240"/>
        <w:jc w:val="both"/>
        <w:rPr>
          <w:rFonts w:ascii="ITC Avant Garde" w:hAnsi="ITC Avant Garde"/>
          <w:bCs/>
          <w:lang w:val="es-ES" w:eastAsia="es-ES"/>
        </w:rPr>
      </w:pPr>
      <w:r w:rsidRPr="00D42447">
        <w:rPr>
          <w:rFonts w:ascii="ITC Avant Garde" w:hAnsi="ITC Avant Garde"/>
          <w:bCs/>
          <w:lang w:val="es-ES" w:eastAsia="es-ES"/>
        </w:rPr>
        <w:t xml:space="preserve">Por lo anterior y de conformidad con lo dispuesto en los artículos indicados, el Pleno del Instituto es competente para emitir la presente Resolución que determina </w:t>
      </w:r>
      <w:r w:rsidR="00FD2BFA" w:rsidRPr="00D42447">
        <w:rPr>
          <w:rFonts w:ascii="ITC Avant Garde" w:hAnsi="ITC Avant Garde"/>
          <w:bCs/>
          <w:lang w:val="es-ES" w:eastAsia="es-ES"/>
        </w:rPr>
        <w:t>los términos, condiciones y tarifas</w:t>
      </w:r>
      <w:r w:rsidRPr="00D42447">
        <w:rPr>
          <w:rFonts w:ascii="ITC Avant Garde" w:hAnsi="ITC Avant Garde"/>
          <w:bCs/>
          <w:lang w:val="es-ES" w:eastAsia="es-ES"/>
        </w:rPr>
        <w:t xml:space="preserve"> de interconexión no convenidas entre los concesionarios de redes públicas de telecomunicaciones, que forman parte en el presente procedimiento.</w:t>
      </w:r>
      <w:bookmarkEnd w:id="2"/>
    </w:p>
    <w:p w14:paraId="52000F07" w14:textId="77777777" w:rsidR="00D42447" w:rsidRPr="00D42447" w:rsidRDefault="00850C72" w:rsidP="00D42447">
      <w:pPr>
        <w:autoSpaceDE w:val="0"/>
        <w:autoSpaceDN w:val="0"/>
        <w:spacing w:before="240"/>
        <w:jc w:val="both"/>
        <w:rPr>
          <w:rFonts w:ascii="ITC Avant Garde" w:hAnsi="ITC Avant Garde"/>
          <w:bCs/>
          <w:lang w:val="es-ES" w:eastAsia="es-ES"/>
        </w:rPr>
      </w:pPr>
      <w:bookmarkStart w:id="3" w:name="segundo"/>
      <w:r w:rsidRPr="00D42447">
        <w:rPr>
          <w:rFonts w:ascii="ITC Avant Garde" w:hAnsi="ITC Avant Garde"/>
          <w:b/>
          <w:bCs/>
          <w:lang w:val="es-ES" w:eastAsia="es-ES"/>
        </w:rPr>
        <w:t>SEGUNDO.- Importancia y obligatoriedad de la i</w:t>
      </w:r>
      <w:r w:rsidR="009F1DC5" w:rsidRPr="00D42447">
        <w:rPr>
          <w:rFonts w:ascii="ITC Avant Garde" w:hAnsi="ITC Avant Garde"/>
          <w:b/>
          <w:bCs/>
          <w:lang w:val="es-ES" w:eastAsia="es-ES"/>
        </w:rPr>
        <w:t>nterconexión e Interés Público.</w:t>
      </w:r>
      <w:r w:rsidRPr="00D42447">
        <w:rPr>
          <w:rFonts w:ascii="ITC Avant Garde" w:hAnsi="ITC Avant Garde"/>
          <w:bCs/>
          <w:lang w:val="es-ES" w:eastAsia="es-ES"/>
        </w:rPr>
        <w:t xml:space="preserve"> El artículo 6</w:t>
      </w:r>
      <w:r w:rsidR="00FD2BFA" w:rsidRPr="00D42447">
        <w:rPr>
          <w:rFonts w:ascii="ITC Avant Garde" w:hAnsi="ITC Avant Garde"/>
          <w:bCs/>
          <w:lang w:val="es-ES" w:eastAsia="es-ES"/>
        </w:rPr>
        <w:t>, apartado B, fracción II</w:t>
      </w:r>
      <w:r w:rsidRPr="00D42447">
        <w:rPr>
          <w:rFonts w:ascii="ITC Avant Garde" w:hAnsi="ITC Avant Garde"/>
          <w:bCs/>
          <w:lang w:val="es-ES" w:eastAsia="es-ES"/>
        </w:rPr>
        <w:t xml:space="preserve">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1EDAC5B9" w14:textId="77777777" w:rsidR="00D42447" w:rsidRPr="00D42447" w:rsidRDefault="00850C72" w:rsidP="00D42447">
      <w:pPr>
        <w:spacing w:before="240"/>
        <w:jc w:val="both"/>
        <w:rPr>
          <w:rFonts w:ascii="ITC Avant Garde" w:hAnsi="ITC Avant Garde"/>
          <w:bCs/>
          <w:lang w:val="es-ES" w:eastAsia="es-ES"/>
        </w:rPr>
      </w:pPr>
      <w:r w:rsidRPr="00D42447">
        <w:rPr>
          <w:rFonts w:ascii="ITC Avant Garde" w:hAnsi="ITC Avant Garde"/>
          <w:bCs/>
          <w:lang w:val="es-ES" w:eastAsia="es-ES"/>
        </w:rPr>
        <w:lastRenderedPageBreak/>
        <w:t xml:space="preserve">Por su parte el artículo 2 de la </w:t>
      </w:r>
      <w:r w:rsidR="00D70C98" w:rsidRPr="00D42447">
        <w:rPr>
          <w:rFonts w:ascii="ITC Avant Garde" w:hAnsi="ITC Avant Garde"/>
          <w:bCs/>
          <w:lang w:val="es-ES" w:eastAsia="es-ES"/>
        </w:rPr>
        <w:t>LFTR</w:t>
      </w:r>
      <w:r w:rsidRPr="00D42447">
        <w:rPr>
          <w:rFonts w:ascii="ITC Avant Garde" w:hAnsi="ITC Avant Garde"/>
          <w:bCs/>
          <w:lang w:val="es-ES" w:eastAsia="es-ES"/>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FD2BFA" w:rsidRPr="00D42447">
        <w:rPr>
          <w:rFonts w:ascii="ITC Avant Garde" w:hAnsi="ITC Avant Garde"/>
          <w:bCs/>
          <w:lang w:val="es-ES" w:eastAsia="es-ES"/>
        </w:rPr>
        <w:t>. P</w:t>
      </w:r>
      <w:r w:rsidRPr="00D42447">
        <w:rPr>
          <w:rFonts w:ascii="ITC Avant Garde" w:hAnsi="ITC Avant Garde"/>
          <w:bCs/>
          <w:lang w:val="es-ES" w:eastAsia="es-ES"/>
        </w:rPr>
        <w:t>ara tales efectos</w:t>
      </w:r>
      <w:r w:rsidR="00FD2BFA" w:rsidRPr="00D42447">
        <w:rPr>
          <w:rFonts w:ascii="ITC Avant Garde" w:hAnsi="ITC Avant Garde"/>
          <w:bCs/>
          <w:lang w:val="es-ES" w:eastAsia="es-ES"/>
        </w:rPr>
        <w:t>, el Instituto</w:t>
      </w:r>
      <w:r w:rsidRPr="00D42447">
        <w:rPr>
          <w:rFonts w:ascii="ITC Avant Garde" w:hAnsi="ITC Avant Garde"/>
          <w:bCs/>
          <w:lang w:val="es-ES" w:eastAsia="es-ES"/>
        </w:rPr>
        <w:t xml:space="preserve"> establecerá condiciones de competencia efectiva en la prestación de dichos servicios, en términos de lo establecido en los artículos 7, 124 y 125 de la </w:t>
      </w:r>
      <w:r w:rsidR="00D70C98" w:rsidRPr="00D42447">
        <w:rPr>
          <w:rFonts w:ascii="ITC Avant Garde" w:hAnsi="ITC Avant Garde"/>
          <w:bCs/>
          <w:lang w:val="es-ES" w:eastAsia="es-ES"/>
        </w:rPr>
        <w:t>LFTR</w:t>
      </w:r>
      <w:r w:rsidRPr="00D42447">
        <w:rPr>
          <w:rFonts w:ascii="ITC Avant Garde" w:hAnsi="ITC Avant Garde"/>
          <w:bCs/>
          <w:lang w:val="es-ES" w:eastAsia="es-ES"/>
        </w:rPr>
        <w:t>.</w:t>
      </w:r>
    </w:p>
    <w:p w14:paraId="3272A478" w14:textId="77777777" w:rsidR="00D42447" w:rsidRPr="00D42447" w:rsidRDefault="00850C72" w:rsidP="00D42447">
      <w:pPr>
        <w:spacing w:before="240"/>
        <w:jc w:val="both"/>
        <w:rPr>
          <w:rFonts w:ascii="ITC Avant Garde" w:hAnsi="ITC Avant Garde"/>
          <w:bCs/>
          <w:lang w:val="es-ES" w:eastAsia="es-ES"/>
        </w:rPr>
      </w:pPr>
      <w:r w:rsidRPr="00D42447">
        <w:rPr>
          <w:rFonts w:ascii="ITC Avant Garde" w:hAnsi="ITC Avant Garde"/>
          <w:bCs/>
          <w:lang w:val="es-ES" w:eastAsia="es-ES"/>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r w:rsidR="00D70C98" w:rsidRPr="00D42447">
        <w:rPr>
          <w:rFonts w:ascii="ITC Avant Garde" w:hAnsi="ITC Avant Garde"/>
          <w:bCs/>
          <w:lang w:val="es-ES" w:eastAsia="es-ES"/>
        </w:rPr>
        <w:t>LFTR</w:t>
      </w:r>
      <w:r w:rsidR="008D3F7F" w:rsidRPr="00D42447">
        <w:rPr>
          <w:rFonts w:ascii="ITC Avant Garde" w:hAnsi="ITC Avant Garde"/>
          <w:bCs/>
          <w:lang w:val="es-ES" w:eastAsia="es-ES"/>
        </w:rPr>
        <w:t>;</w:t>
      </w:r>
      <w:r w:rsidRPr="00D42447">
        <w:rPr>
          <w:rFonts w:ascii="ITC Avant Garde" w:hAnsi="ITC Avant Garde"/>
          <w:bCs/>
          <w:lang w:val="es-ES" w:eastAsia="es-ES"/>
        </w:rPr>
        <w:t xml:space="preserve"> (ii) la obligación de los concesionarios de redes públicas de interconectar sus redes de conformidad con lo establecido en el artículo 125 de la </w:t>
      </w:r>
      <w:r w:rsidR="00D70C98" w:rsidRPr="00D42447">
        <w:rPr>
          <w:rFonts w:ascii="ITC Avant Garde" w:hAnsi="ITC Avant Garde"/>
          <w:bCs/>
          <w:lang w:val="es-ES" w:eastAsia="es-ES"/>
        </w:rPr>
        <w:t>LFTR</w:t>
      </w:r>
      <w:r w:rsidRPr="00D42447">
        <w:rPr>
          <w:rFonts w:ascii="ITC Avant Garde" w:hAnsi="ITC Avant Garde"/>
          <w:bCs/>
          <w:lang w:val="es-ES" w:eastAsia="es-ES"/>
        </w:rPr>
        <w:t>, y (iii) que dicha interconexión se realice en condiciones no discriminatorias, transparentes y basadas en criterios objetivos.</w:t>
      </w:r>
    </w:p>
    <w:p w14:paraId="235920C2" w14:textId="77777777" w:rsidR="00D42447" w:rsidRPr="00D42447" w:rsidRDefault="00850C72" w:rsidP="00D42447">
      <w:pPr>
        <w:spacing w:before="240"/>
        <w:jc w:val="both"/>
        <w:rPr>
          <w:rFonts w:ascii="ITC Avant Garde" w:hAnsi="ITC Avant Garde"/>
          <w:bCs/>
          <w:lang w:val="es-ES" w:eastAsia="es-ES"/>
        </w:rPr>
      </w:pPr>
      <w:r w:rsidRPr="00D42447">
        <w:rPr>
          <w:rFonts w:ascii="ITC Avant Garde" w:hAnsi="ITC Avant Garde"/>
          <w:bCs/>
          <w:lang w:val="es-ES" w:eastAsia="es-ES"/>
        </w:rPr>
        <w:t>Ahora bien,</w:t>
      </w:r>
      <w:bookmarkEnd w:id="3"/>
      <w:r w:rsidRPr="00D42447">
        <w:rPr>
          <w:rFonts w:ascii="ITC Avant Garde" w:hAnsi="ITC Avant Garde"/>
          <w:bCs/>
          <w:lang w:val="es-ES" w:eastAsia="es-ES"/>
        </w:rPr>
        <w:t xml:space="preserve"> </w:t>
      </w:r>
      <w:bookmarkStart w:id="4" w:name="tercero1"/>
      <w:r w:rsidRPr="00D42447">
        <w:rPr>
          <w:rFonts w:ascii="ITC Avant Garde" w:hAnsi="ITC Avant Garde"/>
          <w:bCs/>
          <w:lang w:val="es-ES" w:eastAsia="es-ES"/>
        </w:rPr>
        <w:t xml:space="preserve">el artículo 129 de la </w:t>
      </w:r>
      <w:r w:rsidR="00D70C98" w:rsidRPr="00D42447">
        <w:rPr>
          <w:rFonts w:ascii="ITC Avant Garde" w:hAnsi="ITC Avant Garde"/>
          <w:bCs/>
          <w:lang w:val="es-ES" w:eastAsia="es-ES"/>
        </w:rPr>
        <w:t>LFTR</w:t>
      </w:r>
      <w:r w:rsidRPr="00D42447">
        <w:rPr>
          <w:rFonts w:ascii="ITC Avant Garde" w:hAnsi="ITC Avant Garde"/>
          <w:bCs/>
          <w:lang w:val="es-ES" w:eastAsia="es-ES"/>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w:t>
      </w:r>
      <w:r w:rsidR="008D3F7F" w:rsidRPr="00D42447">
        <w:rPr>
          <w:rFonts w:ascii="ITC Avant Garde" w:hAnsi="ITC Avant Garde"/>
          <w:bCs/>
          <w:lang w:val="es-ES" w:eastAsia="es-ES"/>
        </w:rPr>
        <w:t xml:space="preserve">los términos, condiciones y tarifas </w:t>
      </w:r>
      <w:r w:rsidR="003C7A6C" w:rsidRPr="00D42447">
        <w:rPr>
          <w:rFonts w:ascii="ITC Avant Garde" w:hAnsi="ITC Avant Garde"/>
          <w:bCs/>
          <w:lang w:val="es-ES" w:eastAsia="es-ES"/>
        </w:rPr>
        <w:t>no convenidas</w:t>
      </w:r>
      <w:r w:rsidRPr="00D42447">
        <w:rPr>
          <w:rFonts w:ascii="ITC Avant Garde" w:hAnsi="ITC Avant Garde"/>
          <w:bCs/>
          <w:lang w:val="es-ES" w:eastAsia="es-ES"/>
        </w:rPr>
        <w:t>.</w:t>
      </w:r>
    </w:p>
    <w:p w14:paraId="5CEE0DA8" w14:textId="731C64EF" w:rsidR="00850C72" w:rsidRPr="00D42447" w:rsidRDefault="00850C72" w:rsidP="00D42447">
      <w:pPr>
        <w:spacing w:before="240"/>
        <w:jc w:val="both"/>
        <w:rPr>
          <w:rFonts w:ascii="ITC Avant Garde" w:hAnsi="ITC Avant Garde"/>
          <w:bCs/>
          <w:lang w:val="es-ES" w:eastAsia="es-ES"/>
        </w:rPr>
      </w:pPr>
      <w:bookmarkStart w:id="5" w:name="tercero2"/>
      <w:bookmarkEnd w:id="4"/>
      <w:r w:rsidRPr="00D42447">
        <w:rPr>
          <w:rFonts w:ascii="ITC Avant Garde" w:hAnsi="ITC Avant Garde"/>
          <w:bCs/>
          <w:lang w:val="es-ES" w:eastAsia="es-ES"/>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1CB9F659" w14:textId="77777777" w:rsidR="00D42447" w:rsidRPr="00D42447" w:rsidRDefault="00850C72" w:rsidP="00D42447">
      <w:pPr>
        <w:spacing w:before="240"/>
        <w:jc w:val="both"/>
        <w:rPr>
          <w:rFonts w:ascii="ITC Avant Garde" w:hAnsi="ITC Avant Garde"/>
          <w:bCs/>
          <w:lang w:val="es-ES" w:eastAsia="es-ES"/>
        </w:rPr>
      </w:pPr>
      <w:r w:rsidRPr="00D42447">
        <w:rPr>
          <w:rFonts w:ascii="ITC Avant Garde" w:hAnsi="ITC Avant Garde"/>
          <w:bCs/>
          <w:lang w:val="es-ES" w:eastAsia="es-ES"/>
        </w:rPr>
        <w:t xml:space="preserve">En consecuencia, en autos está acreditado que </w:t>
      </w:r>
      <w:r w:rsidR="007A3C1C" w:rsidRPr="00D42447">
        <w:rPr>
          <w:rFonts w:ascii="ITC Avant Garde" w:hAnsi="ITC Avant Garde"/>
          <w:bCs/>
          <w:lang w:val="es-ES" w:eastAsia="es-ES"/>
        </w:rPr>
        <w:t>Tel</w:t>
      </w:r>
      <w:r w:rsidR="00045157" w:rsidRPr="00D42447">
        <w:rPr>
          <w:rFonts w:ascii="ITC Avant Garde" w:hAnsi="ITC Avant Garde"/>
          <w:bCs/>
          <w:lang w:val="es-ES" w:eastAsia="es-ES"/>
        </w:rPr>
        <w:t xml:space="preserve">cel </w:t>
      </w:r>
      <w:r w:rsidRPr="00D42447">
        <w:rPr>
          <w:rFonts w:ascii="ITC Avant Garde" w:hAnsi="ITC Avant Garde"/>
          <w:bCs/>
          <w:lang w:val="es-ES" w:eastAsia="es-ES"/>
        </w:rPr>
        <w:t xml:space="preserve">y </w:t>
      </w:r>
      <w:r w:rsidR="008366F3" w:rsidRPr="00D42447">
        <w:rPr>
          <w:rFonts w:ascii="ITC Avant Garde" w:hAnsi="ITC Avant Garde"/>
          <w:bCs/>
          <w:lang w:val="es-ES" w:eastAsia="es-ES"/>
        </w:rPr>
        <w:t>Mega Cable</w:t>
      </w:r>
      <w:r w:rsidR="003216A7" w:rsidRPr="00D42447">
        <w:rPr>
          <w:rFonts w:ascii="ITC Avant Garde" w:hAnsi="ITC Avant Garde"/>
          <w:bCs/>
          <w:lang w:val="es-ES" w:eastAsia="es-ES"/>
        </w:rPr>
        <w:t xml:space="preserve"> </w:t>
      </w:r>
      <w:r w:rsidRPr="00D42447">
        <w:rPr>
          <w:rFonts w:ascii="ITC Avant Garde" w:hAnsi="ITC Avant Garde"/>
          <w:bCs/>
          <w:lang w:val="es-ES" w:eastAsia="es-ES"/>
        </w:rPr>
        <w:t xml:space="preserve">tienen el carácter de concesionarios que operan una red pública de telecomunicaciones y que </w:t>
      </w:r>
      <w:r w:rsidR="00045157" w:rsidRPr="00D42447">
        <w:rPr>
          <w:rFonts w:ascii="ITC Avant Garde" w:hAnsi="ITC Avant Garde"/>
          <w:bCs/>
          <w:lang w:val="es-ES" w:eastAsia="es-ES"/>
        </w:rPr>
        <w:t>Telcel</w:t>
      </w:r>
      <w:r w:rsidR="003216A7" w:rsidRPr="00D42447">
        <w:rPr>
          <w:rFonts w:ascii="ITC Avant Garde" w:hAnsi="ITC Avant Garde"/>
          <w:bCs/>
          <w:lang w:val="es-ES" w:eastAsia="es-ES"/>
        </w:rPr>
        <w:t xml:space="preserve"> </w:t>
      </w:r>
      <w:r w:rsidRPr="00D42447">
        <w:rPr>
          <w:rFonts w:ascii="ITC Avant Garde" w:hAnsi="ITC Avant Garde"/>
          <w:bCs/>
          <w:lang w:val="es-ES" w:eastAsia="es-ES"/>
        </w:rPr>
        <w:t xml:space="preserve">requirió a </w:t>
      </w:r>
      <w:r w:rsidR="008366F3" w:rsidRPr="00D42447">
        <w:rPr>
          <w:rFonts w:ascii="ITC Avant Garde" w:hAnsi="ITC Avant Garde"/>
          <w:bCs/>
          <w:lang w:val="es-ES" w:eastAsia="es-ES"/>
        </w:rPr>
        <w:t>Mega Cable</w:t>
      </w:r>
      <w:r w:rsidR="003216A7" w:rsidRPr="00D42447">
        <w:rPr>
          <w:rFonts w:ascii="ITC Avant Garde" w:hAnsi="ITC Avant Garde"/>
          <w:bCs/>
          <w:lang w:val="es-ES" w:eastAsia="es-ES"/>
        </w:rPr>
        <w:t xml:space="preserve"> </w:t>
      </w:r>
      <w:r w:rsidRPr="00D42447">
        <w:rPr>
          <w:rFonts w:ascii="ITC Avant Garde" w:hAnsi="ITC Avant Garde"/>
          <w:bCs/>
          <w:lang w:val="es-ES" w:eastAsia="es-ES"/>
        </w:rPr>
        <w:t xml:space="preserve">el inicio de negociaciones para convenir los </w:t>
      </w:r>
      <w:r w:rsidR="00BB0D31" w:rsidRPr="00D42447">
        <w:rPr>
          <w:rFonts w:ascii="ITC Avant Garde" w:hAnsi="ITC Avant Garde"/>
          <w:bCs/>
          <w:lang w:val="es-ES" w:eastAsia="es-ES"/>
        </w:rPr>
        <w:t>términos y</w:t>
      </w:r>
      <w:r w:rsidRPr="00D42447">
        <w:rPr>
          <w:rFonts w:ascii="ITC Avant Garde" w:hAnsi="ITC Avant Garde"/>
          <w:bCs/>
          <w:lang w:val="es-ES" w:eastAsia="es-ES"/>
        </w:rPr>
        <w:t xml:space="preserve"> condiciones y tarifas de interconexión, y que se cumple con todos los supuestos </w:t>
      </w:r>
      <w:r w:rsidRPr="00D42447">
        <w:rPr>
          <w:rFonts w:ascii="ITC Avant Garde" w:hAnsi="ITC Avant Garde"/>
          <w:bCs/>
          <w:lang w:val="es-ES" w:eastAsia="es-ES"/>
        </w:rPr>
        <w:lastRenderedPageBreak/>
        <w:t>normativos que establece el artículo 129 según se desprende de los Antecedentes I, II y V</w:t>
      </w:r>
      <w:r w:rsidR="00947A44" w:rsidRPr="00D42447">
        <w:rPr>
          <w:rFonts w:ascii="ITC Avant Garde" w:hAnsi="ITC Avant Garde"/>
          <w:bCs/>
          <w:lang w:val="es-ES" w:eastAsia="es-ES"/>
        </w:rPr>
        <w:t>II</w:t>
      </w:r>
      <w:r w:rsidRPr="00D42447">
        <w:rPr>
          <w:rFonts w:ascii="ITC Avant Garde" w:hAnsi="ITC Avant Garde"/>
          <w:bCs/>
          <w:lang w:val="es-ES" w:eastAsia="es-ES"/>
        </w:rPr>
        <w:t xml:space="preserve"> de la presente Resolución.</w:t>
      </w:r>
    </w:p>
    <w:p w14:paraId="332A06C9" w14:textId="77777777" w:rsidR="00D42447" w:rsidRPr="00D42447" w:rsidRDefault="00850C72" w:rsidP="00D42447">
      <w:pPr>
        <w:spacing w:before="240"/>
        <w:jc w:val="both"/>
        <w:rPr>
          <w:rFonts w:ascii="ITC Avant Garde" w:hAnsi="ITC Avant Garde"/>
          <w:bCs/>
          <w:lang w:val="es-ES" w:eastAsia="es-ES"/>
        </w:rPr>
      </w:pPr>
      <w:r w:rsidRPr="00D42447">
        <w:rPr>
          <w:rFonts w:ascii="ITC Avant Garde" w:hAnsi="ITC Avant Garde"/>
          <w:bCs/>
          <w:lang w:val="es-ES" w:eastAsia="es-ES"/>
        </w:rPr>
        <w:t xml:space="preserve">Por ello, conforme al artículo 124 de la </w:t>
      </w:r>
      <w:r w:rsidR="00D70C98" w:rsidRPr="00D42447">
        <w:rPr>
          <w:rFonts w:ascii="ITC Avant Garde" w:hAnsi="ITC Avant Garde"/>
          <w:bCs/>
          <w:lang w:val="es-ES" w:eastAsia="es-ES"/>
        </w:rPr>
        <w:t>LFTR</w:t>
      </w:r>
      <w:r w:rsidRPr="00D42447">
        <w:rPr>
          <w:rFonts w:ascii="ITC Avant Garde" w:hAnsi="ITC Avant Garde"/>
          <w:bCs/>
          <w:lang w:val="es-ES" w:eastAsia="es-ES"/>
        </w:rPr>
        <w:t xml:space="preserve">, </w:t>
      </w:r>
      <w:r w:rsidR="00045157" w:rsidRPr="00D42447">
        <w:rPr>
          <w:rFonts w:ascii="ITC Avant Garde" w:hAnsi="ITC Avant Garde"/>
          <w:bCs/>
          <w:lang w:val="es-ES" w:eastAsia="es-ES"/>
        </w:rPr>
        <w:t>Telcel</w:t>
      </w:r>
      <w:r w:rsidRPr="00D42447">
        <w:rPr>
          <w:rFonts w:ascii="ITC Avant Garde" w:hAnsi="ITC Avant Garde"/>
          <w:bCs/>
          <w:lang w:val="es-ES" w:eastAsia="es-ES"/>
        </w:rPr>
        <w:t xml:space="preserve"> y </w:t>
      </w:r>
      <w:r w:rsidR="008366F3" w:rsidRPr="00D42447">
        <w:rPr>
          <w:rFonts w:ascii="ITC Avant Garde" w:hAnsi="ITC Avant Garde"/>
          <w:bCs/>
          <w:lang w:val="es-ES" w:eastAsia="es-ES"/>
        </w:rPr>
        <w:t>Mega Cable</w:t>
      </w:r>
      <w:r w:rsidRPr="00D42447">
        <w:rPr>
          <w:rFonts w:ascii="ITC Avant Garde" w:hAnsi="ITC Avant Garde"/>
          <w:bCs/>
          <w:lang w:val="es-ES" w:eastAsia="es-ES"/>
        </w:rPr>
        <w:t xml:space="preserve"> están obligados a garantizar la eficiente interconexión de sus respectivas redes públicas de telecomunicaciones, formalizando en todo caso, la suscripción del convenio respectivo que estipule los términos, condiciones y tarifas aplicables.</w:t>
      </w:r>
    </w:p>
    <w:p w14:paraId="076E12F1"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cs="Arial"/>
          <w:b/>
        </w:rPr>
        <w:t xml:space="preserve">TERCERO.- </w:t>
      </w:r>
      <w:r w:rsidRPr="00D42447">
        <w:rPr>
          <w:rFonts w:ascii="ITC Avant Garde" w:hAnsi="ITC Avant Garde"/>
          <w:b/>
        </w:rPr>
        <w:t xml:space="preserve">Ejecutoria dictada en el Amparo en Revisión 1100/2015 por la Segunda Sala de la Suprema Corte de Justicia de la Nación. </w:t>
      </w:r>
      <w:r w:rsidRPr="00D42447">
        <w:rPr>
          <w:rFonts w:ascii="ITC Avant Garde" w:hAnsi="ITC Avant Garde"/>
        </w:rPr>
        <w:t xml:space="preserve">El 16 de agosto de 2017 la Segunda Sala de la Suprema Corte de Justicia de la Nación (en lo sucesivo, la “SCJN”) dictó ejecutoria </w:t>
      </w:r>
      <w:r w:rsidRPr="00D42447">
        <w:rPr>
          <w:rFonts w:ascii="ITC Avant Garde" w:hAnsi="ITC Avant Garde"/>
          <w:b/>
        </w:rPr>
        <w:t>en el Amparo en Revisión 1100/2015</w:t>
      </w:r>
      <w:r w:rsidRPr="00D42447">
        <w:rPr>
          <w:rFonts w:ascii="ITC Avant Garde" w:hAnsi="ITC Avant Garde"/>
        </w:rPr>
        <w:t xml:space="preserve">, interpuesto por el apoderado legal de Telcel, en contra de la sentencia dictada por la Juez Segundo de Distrito en Materia Administrativa Especializada en Competencia Económica, Radiodifusión y Telecomunicaciones, con residencia en la Ciudad de México y Jurisdicción en toda la República, de fecha  dieciocho de febrero de dos mil quince, en el juicio de amparo indirecto 204/2014.  </w:t>
      </w:r>
    </w:p>
    <w:p w14:paraId="423DE4F0"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 xml:space="preserve">La Segunda Sala de la SCJN consideró que el Instituto tiene la competencia </w:t>
      </w:r>
      <w:r w:rsidRPr="00D42447">
        <w:rPr>
          <w:rFonts w:ascii="ITC Avant Garde" w:hAnsi="ITC Avant Garde"/>
          <w:b/>
        </w:rPr>
        <w:t>originaria y exclusiva</w:t>
      </w:r>
      <w:r w:rsidRPr="00D42447">
        <w:rPr>
          <w:rFonts w:ascii="ITC Avant Garde" w:hAnsi="ITC Avant Garde"/>
        </w:rPr>
        <w:t xml:space="preserve"> para fijar el régimen asimétrico relativo a las tarifas de interconexión para el caso de terminación de redes móviles, tratándose del agente económico preponderante (párrafo 137 de la ejecutoria). </w:t>
      </w:r>
    </w:p>
    <w:p w14:paraId="0B6287B8"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Ello significa que es la propia Constitución la que confirió al Instituto, de manera directa y no como resultado de una delegación legislativa, la competencia para regular de manera asimétrica a los participantes en los mercados de telecomunicaciones con el objeto de eliminar eficazmente las barreras a la competencia y la libre concurrencia (párrafo 76 de la ejecutoria); y que dicha competencia es además exclusiva del Instituto, en virtud de que se trata de decisiones regulatorias de carácter técnico que de acuerdo con las mejores prácticas internacionales en materia de interconexión, son resultado de un ejercicio ponderado, de caso por caso, considerando el objetivo de desplegar medidas que garanticen de la manera más eficiente el desarrollo en competencia del sector de las telecomunicaciones (párrafo 120 de la ejecutoria).</w:t>
      </w:r>
    </w:p>
    <w:p w14:paraId="58C1187F"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 xml:space="preserve">Ahora bien, en dicha ejecutoria, la Segunda sala de la SCJN resolvió que </w:t>
      </w:r>
      <w:r w:rsidRPr="00D42447">
        <w:rPr>
          <w:rFonts w:ascii="ITC Avant Garde" w:hAnsi="ITC Avant Garde"/>
          <w:b/>
        </w:rPr>
        <w:t>la Justicia de la Unión Ampara y Protege a Telcel</w:t>
      </w:r>
      <w:r w:rsidRPr="00D42447">
        <w:rPr>
          <w:rFonts w:ascii="ITC Avant Garde" w:hAnsi="ITC Avant Garde"/>
        </w:rPr>
        <w:t>, para los siguientes efectos (párrafo 181):</w:t>
      </w:r>
    </w:p>
    <w:p w14:paraId="5947090F" w14:textId="77777777" w:rsidR="00D42447" w:rsidRPr="00D42447" w:rsidRDefault="00106FE3" w:rsidP="00D42447">
      <w:pPr>
        <w:pStyle w:val="Prrafodelista"/>
        <w:numPr>
          <w:ilvl w:val="0"/>
          <w:numId w:val="19"/>
        </w:numPr>
        <w:spacing w:before="240" w:after="200" w:line="276" w:lineRule="auto"/>
        <w:contextualSpacing/>
        <w:rPr>
          <w:rFonts w:ascii="ITC Avant Garde" w:hAnsi="ITC Avant Garde" w:cs="Arial"/>
          <w:sz w:val="18"/>
          <w:szCs w:val="18"/>
        </w:rPr>
      </w:pPr>
      <w:r w:rsidRPr="00D42447">
        <w:rPr>
          <w:rFonts w:ascii="ITC Avant Garde" w:hAnsi="ITC Avant Garde" w:cs="Arial"/>
          <w:sz w:val="18"/>
          <w:szCs w:val="18"/>
        </w:rPr>
        <w:t xml:space="preserve">El Instituto Federal de Telecomunicaciones, en los términos de la presente ejecutoria, dejará de aplicar a </w:t>
      </w:r>
      <w:r w:rsidRPr="00D42447">
        <w:rPr>
          <w:rFonts w:ascii="ITC Avant Garde" w:hAnsi="ITC Avant Garde" w:cs="Arial"/>
          <w:sz w:val="18"/>
          <w:szCs w:val="18"/>
          <w:u w:val="single"/>
        </w:rPr>
        <w:t>Radiomóvil Dipsa</w:t>
      </w:r>
      <w:r w:rsidRPr="00D42447">
        <w:rPr>
          <w:rFonts w:ascii="ITC Avant Garde" w:hAnsi="ITC Avant Garde" w:cs="Arial"/>
          <w:sz w:val="18"/>
          <w:szCs w:val="18"/>
        </w:rPr>
        <w:t xml:space="preserve"> el sistema normativo declarado inconstitucional.</w:t>
      </w:r>
    </w:p>
    <w:p w14:paraId="6ECC2485" w14:textId="77777777" w:rsidR="00D42447" w:rsidRPr="00D42447" w:rsidRDefault="00106FE3" w:rsidP="00D42447">
      <w:pPr>
        <w:pStyle w:val="Prrafodelista"/>
        <w:spacing w:before="240" w:after="200" w:line="276" w:lineRule="auto"/>
        <w:ind w:left="709"/>
        <w:rPr>
          <w:rFonts w:ascii="ITC Avant Garde" w:hAnsi="ITC Avant Garde" w:cs="Arial"/>
          <w:sz w:val="18"/>
          <w:szCs w:val="18"/>
        </w:rPr>
      </w:pPr>
      <w:r w:rsidRPr="00D42447">
        <w:rPr>
          <w:rFonts w:ascii="ITC Avant Garde" w:hAnsi="ITC Avant Garde" w:cs="Arial"/>
          <w:sz w:val="18"/>
          <w:szCs w:val="18"/>
        </w:rPr>
        <w:lastRenderedPageBreak/>
        <w:t xml:space="preserve">La inaplicación de las citadas normas </w:t>
      </w:r>
      <w:r w:rsidRPr="00D42447">
        <w:rPr>
          <w:rFonts w:ascii="ITC Avant Garde" w:hAnsi="ITC Avant Garde" w:cs="Arial"/>
          <w:sz w:val="18"/>
          <w:szCs w:val="18"/>
          <w:u w:val="single"/>
        </w:rPr>
        <w:t>no puede recaer en persona distinta</w:t>
      </w:r>
      <w:r w:rsidRPr="00D42447">
        <w:rPr>
          <w:rFonts w:ascii="ITC Avant Garde" w:hAnsi="ITC Avant Garde" w:cs="Arial"/>
          <w:sz w:val="18"/>
          <w:szCs w:val="18"/>
        </w:rPr>
        <w:t xml:space="preserve">, a pesar de que formen parte del mismo grupo de interés económico que ha sido declarado agente económico preponderante en el sector de las telecomunicaciones. </w:t>
      </w:r>
    </w:p>
    <w:p w14:paraId="69A96119"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 xml:space="preserve">Es decir, el </w:t>
      </w:r>
      <w:r w:rsidRPr="00D42447">
        <w:rPr>
          <w:rFonts w:ascii="ITC Avant Garde" w:hAnsi="ITC Avant Garde"/>
          <w:b/>
        </w:rPr>
        <w:t>Instituto debe dejar de aplicar</w:t>
      </w:r>
      <w:r w:rsidR="00D2057A" w:rsidRPr="00D42447">
        <w:rPr>
          <w:rFonts w:ascii="ITC Avant Garde" w:hAnsi="ITC Avant Garde"/>
          <w:b/>
        </w:rPr>
        <w:t>le</w:t>
      </w:r>
      <w:r w:rsidRPr="00D42447">
        <w:rPr>
          <w:rFonts w:ascii="ITC Avant Garde" w:hAnsi="ITC Avant Garde"/>
          <w:b/>
        </w:rPr>
        <w:t xml:space="preserve"> a Telcel el sistema normativo declarado inconstitucional</w:t>
      </w:r>
      <w:r w:rsidRPr="00D42447">
        <w:rPr>
          <w:rFonts w:ascii="ITC Avant Garde" w:hAnsi="ITC Avant Garde"/>
        </w:rPr>
        <w:t>; el cual consiste en el inciso a) del párrafo segundo del artículo 131 de la Ley Federal de Telecomunicaciones y Radiodifusión, así como del párrafo tercero del mismo artículo (párrafo 129 de la ejecutoria); en tal virtud, la porción normativa declarada inconstitucional se cita a continuación:</w:t>
      </w:r>
    </w:p>
    <w:p w14:paraId="4D88F50C" w14:textId="77777777" w:rsidR="00D42447" w:rsidRPr="00D42447" w:rsidRDefault="00106FE3" w:rsidP="00D42447">
      <w:pPr>
        <w:spacing w:before="240"/>
        <w:ind w:left="567" w:right="616"/>
        <w:jc w:val="both"/>
        <w:rPr>
          <w:rFonts w:ascii="ITC Avant Garde" w:hAnsi="ITC Avant Garde"/>
          <w:b/>
          <w:sz w:val="18"/>
          <w:szCs w:val="18"/>
        </w:rPr>
      </w:pPr>
      <w:r w:rsidRPr="00D42447">
        <w:rPr>
          <w:rFonts w:ascii="ITC Avant Garde" w:hAnsi="ITC Avant Garde"/>
          <w:b/>
          <w:sz w:val="18"/>
          <w:szCs w:val="18"/>
        </w:rPr>
        <w:t>“Artículo 131.</w:t>
      </w:r>
    </w:p>
    <w:p w14:paraId="0D9511FA" w14:textId="21FEF851" w:rsidR="00106FE3" w:rsidRPr="00D42447" w:rsidRDefault="00106FE3" w:rsidP="00D42447">
      <w:pPr>
        <w:spacing w:before="240"/>
        <w:ind w:left="567" w:right="616"/>
        <w:jc w:val="both"/>
        <w:rPr>
          <w:rFonts w:ascii="ITC Avant Garde" w:hAnsi="ITC Avant Garde"/>
          <w:sz w:val="18"/>
          <w:szCs w:val="18"/>
        </w:rPr>
      </w:pPr>
      <w:r w:rsidRPr="00D42447">
        <w:rPr>
          <w:rFonts w:ascii="ITC Avant Garde" w:hAnsi="ITC Avant Garde"/>
          <w:sz w:val="18"/>
          <w:szCs w:val="18"/>
        </w:rPr>
        <w:t>[…]</w:t>
      </w:r>
    </w:p>
    <w:p w14:paraId="2ADF4EC1" w14:textId="77777777" w:rsidR="00106FE3" w:rsidRPr="00D42447" w:rsidRDefault="00106FE3" w:rsidP="00D42447">
      <w:pPr>
        <w:pStyle w:val="Prrafodelista"/>
        <w:numPr>
          <w:ilvl w:val="0"/>
          <w:numId w:val="19"/>
        </w:numPr>
        <w:spacing w:before="240" w:after="200" w:line="276" w:lineRule="auto"/>
        <w:ind w:right="616"/>
        <w:contextualSpacing/>
        <w:rPr>
          <w:rFonts w:ascii="ITC Avant Garde" w:hAnsi="ITC Avant Garde"/>
          <w:sz w:val="18"/>
          <w:szCs w:val="18"/>
        </w:rPr>
      </w:pPr>
      <w:r w:rsidRPr="00D42447">
        <w:rPr>
          <w:rFonts w:ascii="ITC Avant Garde" w:hAnsi="ITC Avant Garde"/>
          <w:sz w:val="18"/>
          <w:szCs w:val="18"/>
        </w:rPr>
        <w:t>Los agentes a los que se refiere el párrafo anterior, no cobrarán a los demás concesionarios por el tráfico que termine en su red, y</w:t>
      </w:r>
    </w:p>
    <w:p w14:paraId="629F9647" w14:textId="77777777" w:rsidR="00D42447" w:rsidRPr="00D42447" w:rsidRDefault="00106FE3" w:rsidP="00D42447">
      <w:pPr>
        <w:pStyle w:val="Prrafodelista"/>
        <w:spacing w:before="240" w:after="200" w:line="276" w:lineRule="auto"/>
        <w:ind w:left="567" w:right="616"/>
        <w:rPr>
          <w:rFonts w:ascii="ITC Avant Garde" w:hAnsi="ITC Avant Garde"/>
          <w:sz w:val="18"/>
          <w:szCs w:val="18"/>
        </w:rPr>
      </w:pPr>
      <w:r w:rsidRPr="00D42447">
        <w:rPr>
          <w:rFonts w:ascii="ITC Avant Garde" w:hAnsi="ITC Avant Garde"/>
          <w:sz w:val="18"/>
          <w:szCs w:val="18"/>
        </w:rPr>
        <w:t>[…]</w:t>
      </w:r>
    </w:p>
    <w:p w14:paraId="46CCB32A" w14:textId="77777777" w:rsidR="00D42447" w:rsidRPr="00D42447" w:rsidRDefault="00106FE3" w:rsidP="00D42447">
      <w:pPr>
        <w:spacing w:before="240"/>
        <w:ind w:left="567" w:right="616"/>
        <w:jc w:val="both"/>
        <w:rPr>
          <w:rFonts w:ascii="ITC Avant Garde" w:hAnsi="ITC Avant Garde"/>
          <w:sz w:val="18"/>
          <w:szCs w:val="18"/>
        </w:rPr>
      </w:pPr>
      <w:r w:rsidRPr="00D42447">
        <w:rPr>
          <w:rFonts w:ascii="ITC Avant Garde" w:hAnsi="ITC Avant Garde"/>
          <w:sz w:val="18"/>
          <w:szCs w:val="18"/>
        </w:rPr>
        <w:t>El Instituto, previo a determinar que un agente económico preponderante ya no cuenta con dicho carácter o dejó de tener la participación a la que se refiere el párrafo segundo de este artículo, deberá determinar si dicho agente cuenta con poder sustancial en el mercado relevante de terminación de llamadas y mensajes cortos. En caso que el agente cuente con poder sustancial en el mercado referido, el Instituto resolverá si éste continúa en el régimen asimétrico establecido en el inciso a) del párrafo segundo de este artículo o bien, si le fija una tarifa asimétrica conforme a la metodología prevista en los párrafos segundo, tercero y cuarto del inciso b) de este artículo.”</w:t>
      </w:r>
    </w:p>
    <w:p w14:paraId="1EF69979" w14:textId="468A6836" w:rsidR="00D42447" w:rsidRPr="00D42447" w:rsidRDefault="00106FE3" w:rsidP="00D42447">
      <w:pPr>
        <w:spacing w:before="240"/>
        <w:ind w:right="49"/>
        <w:jc w:val="both"/>
        <w:rPr>
          <w:rFonts w:ascii="ITC Avant Garde" w:hAnsi="ITC Avant Garde"/>
        </w:rPr>
      </w:pPr>
      <w:r w:rsidRPr="00D42447">
        <w:rPr>
          <w:rFonts w:ascii="ITC Avant Garde" w:hAnsi="ITC Avant Garde"/>
        </w:rPr>
        <w:t>Asimismo se declararon inconstitucionales los artículos Transitorios Sexto, Vigésimo y Trigésimo Quinto, en aquéllas porciones normativas en las que se tenga el objeto o efecto de aplicar el régimen de gratuidad o tarifa cero al agente económico preponderante (párrafo 141 de la ejecutoria), específicamente en las porciones normativas que se citan a continuación:</w:t>
      </w:r>
    </w:p>
    <w:p w14:paraId="0FCF66FF" w14:textId="77777777" w:rsidR="00D42447" w:rsidRPr="00D42447" w:rsidRDefault="00106FE3" w:rsidP="00D42447">
      <w:pPr>
        <w:widowControl w:val="0"/>
        <w:autoSpaceDE w:val="0"/>
        <w:autoSpaceDN w:val="0"/>
        <w:adjustRightInd w:val="0"/>
        <w:spacing w:before="240"/>
        <w:ind w:left="567" w:right="616"/>
        <w:jc w:val="both"/>
        <w:rPr>
          <w:rFonts w:ascii="ITC Avant Garde" w:hAnsi="ITC Avant Garde"/>
          <w:sz w:val="18"/>
          <w:szCs w:val="18"/>
        </w:rPr>
      </w:pPr>
      <w:r w:rsidRPr="00D42447">
        <w:rPr>
          <w:rFonts w:ascii="ITC Avant Garde" w:hAnsi="ITC Avant Garde"/>
          <w:b/>
          <w:sz w:val="18"/>
          <w:szCs w:val="18"/>
        </w:rPr>
        <w:t>SEXTO.</w:t>
      </w:r>
      <w:r w:rsidRPr="00D42447">
        <w:rPr>
          <w:rFonts w:ascii="ITC Avant Garde" w:hAnsi="ITC Avant Garde"/>
          <w:sz w:val="18"/>
          <w:szCs w:val="18"/>
        </w:rPr>
        <w:t xml:space="preserve"> […]. Lo anterior sin perjuicio de lo previsto en el Vigésimo Transitorio del presente Decreto. </w:t>
      </w:r>
    </w:p>
    <w:p w14:paraId="307F1F08" w14:textId="77777777" w:rsidR="00D42447" w:rsidRPr="00D42447" w:rsidRDefault="00106FE3" w:rsidP="00D42447">
      <w:pPr>
        <w:widowControl w:val="0"/>
        <w:autoSpaceDE w:val="0"/>
        <w:autoSpaceDN w:val="0"/>
        <w:adjustRightInd w:val="0"/>
        <w:spacing w:before="240"/>
        <w:ind w:left="567" w:right="616"/>
        <w:jc w:val="both"/>
        <w:rPr>
          <w:rFonts w:ascii="ITC Avant Garde" w:hAnsi="ITC Avant Garde"/>
          <w:sz w:val="18"/>
          <w:szCs w:val="18"/>
        </w:rPr>
      </w:pPr>
      <w:r w:rsidRPr="00D42447">
        <w:rPr>
          <w:rFonts w:ascii="ITC Avant Garde" w:hAnsi="ITC Avant Garde"/>
          <w:b/>
          <w:sz w:val="18"/>
          <w:szCs w:val="18"/>
        </w:rPr>
        <w:t>VIGÉSIMO.</w:t>
      </w:r>
      <w:r w:rsidRPr="00D42447">
        <w:rPr>
          <w:rFonts w:ascii="ITC Avant Garde" w:hAnsi="ITC Avant Garde"/>
          <w:sz w:val="18"/>
          <w:szCs w:val="18"/>
        </w:rPr>
        <w:t xml:space="preserve"> […] mismos que serán exigibles sin perjuicio e independiente de que a la entrada en vigor de la Ley,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p>
    <w:p w14:paraId="126AF352" w14:textId="77777777" w:rsidR="00D42447" w:rsidRPr="00D42447" w:rsidRDefault="00106FE3" w:rsidP="00D42447">
      <w:pPr>
        <w:widowControl w:val="0"/>
        <w:autoSpaceDE w:val="0"/>
        <w:autoSpaceDN w:val="0"/>
        <w:adjustRightInd w:val="0"/>
        <w:spacing w:before="240"/>
        <w:ind w:left="567" w:right="616"/>
        <w:jc w:val="both"/>
        <w:rPr>
          <w:rFonts w:ascii="ITC Avant Garde" w:hAnsi="ITC Avant Garde"/>
          <w:sz w:val="18"/>
          <w:szCs w:val="18"/>
        </w:rPr>
      </w:pPr>
      <w:r w:rsidRPr="00D42447">
        <w:rPr>
          <w:rFonts w:ascii="ITC Avant Garde" w:hAnsi="ITC Avant Garde"/>
          <w:sz w:val="18"/>
          <w:szCs w:val="18"/>
        </w:rPr>
        <w:t xml:space="preserve">[…] salvo tratándose del agente económico al que se refiere le párrafo segundo del artículo </w:t>
      </w:r>
      <w:r w:rsidRPr="00D42447">
        <w:rPr>
          <w:rFonts w:ascii="ITC Avant Garde" w:hAnsi="ITC Avant Garde"/>
          <w:sz w:val="18"/>
          <w:szCs w:val="18"/>
        </w:rPr>
        <w:lastRenderedPageBreak/>
        <w:t xml:space="preserve">131 de la Ley en cita, al que le será aplicable el inciso a) del mismo artículo. </w:t>
      </w:r>
    </w:p>
    <w:p w14:paraId="64EA0A67" w14:textId="77777777" w:rsidR="00D42447" w:rsidRPr="00D42447" w:rsidRDefault="00106FE3" w:rsidP="00D42447">
      <w:pPr>
        <w:widowControl w:val="0"/>
        <w:autoSpaceDE w:val="0"/>
        <w:autoSpaceDN w:val="0"/>
        <w:adjustRightInd w:val="0"/>
        <w:spacing w:before="240"/>
        <w:ind w:left="567" w:right="616"/>
        <w:jc w:val="both"/>
        <w:rPr>
          <w:rFonts w:ascii="ITC Avant Garde" w:hAnsi="ITC Avant Garde"/>
          <w:sz w:val="18"/>
          <w:szCs w:val="18"/>
        </w:rPr>
      </w:pPr>
      <w:r w:rsidRPr="00D42447">
        <w:rPr>
          <w:rFonts w:ascii="ITC Avant Garde" w:hAnsi="ITC Avant Garde"/>
          <w:b/>
          <w:sz w:val="18"/>
          <w:szCs w:val="18"/>
        </w:rPr>
        <w:t>TRIGÉSIMO QUINTO.</w:t>
      </w:r>
      <w:r w:rsidRPr="00D42447">
        <w:rPr>
          <w:rFonts w:ascii="ITC Avant Garde" w:hAnsi="ITC Avant Garde"/>
          <w:sz w:val="18"/>
          <w:szCs w:val="18"/>
        </w:rPr>
        <w:t xml:space="preserve"> 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w:t>
      </w:r>
    </w:p>
    <w:p w14:paraId="250335DF"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En tal virtud, y de conformidad con los alcances de la ejecutoria emitida por la Segunda Sala de la SCJN, el Instituto debe dejar de aplicar</w:t>
      </w:r>
      <w:r w:rsidR="00D2057A" w:rsidRPr="00D42447">
        <w:rPr>
          <w:rFonts w:ascii="ITC Avant Garde" w:hAnsi="ITC Avant Garde"/>
        </w:rPr>
        <w:t>le</w:t>
      </w:r>
      <w:r w:rsidRPr="00D42447">
        <w:rPr>
          <w:rFonts w:ascii="ITC Avant Garde" w:hAnsi="ITC Avant Garde"/>
        </w:rPr>
        <w:t xml:space="preserve"> a Telcel el inciso a) del segundo párrafo, así como el tercer párrafo del artículo 131 de la LFTR, además de las porciones normativas citadas de los artículos transitorios Sexto, Vigésimo y Trigésimo Quinto, todos los cuales en su conjunto constituyen la prohibición para que el agente económico preponderante cobre a otros concesionarios por el tráfico que termine en su red.</w:t>
      </w:r>
    </w:p>
    <w:p w14:paraId="4E66FFA6"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 xml:space="preserve">Cabe mencionar que en virtud de que la </w:t>
      </w:r>
      <w:r w:rsidRPr="00D42447">
        <w:rPr>
          <w:rFonts w:ascii="ITC Avant Garde" w:hAnsi="ITC Avant Garde"/>
          <w:b/>
        </w:rPr>
        <w:t>inaplicación de dicho sistema normativo no puede recaer en persona distinta</w:t>
      </w:r>
      <w:r w:rsidRPr="00D42447">
        <w:rPr>
          <w:rFonts w:ascii="ITC Avant Garde" w:hAnsi="ITC Avant Garde"/>
        </w:rPr>
        <w:t xml:space="preserve">, a pesar de que formen parte del mismo grupo de interés económico que ha sido declarado agente económico preponderante en el sector de las telecomunicaciones, la sentencia solo es aplicable a Telcel, por lo que no se puede hacer extensiva a Teléfonos de México, S.A.B. de C.V., ni a Teléfonos del Noroeste, S.A. de C.V. </w:t>
      </w:r>
    </w:p>
    <w:p w14:paraId="6C79EB17"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Ahora bien, continuando con los efectos de la sentencia (párrafo 181 de la ejecutoria), la Segunda Sala de la SCJN los definió en los siguientes términos:</w:t>
      </w:r>
    </w:p>
    <w:p w14:paraId="63A4F3AD" w14:textId="77777777" w:rsidR="00D42447" w:rsidRPr="00D42447" w:rsidRDefault="00106FE3" w:rsidP="00D42447">
      <w:pPr>
        <w:pStyle w:val="Prrafodelista"/>
        <w:numPr>
          <w:ilvl w:val="0"/>
          <w:numId w:val="30"/>
        </w:numPr>
        <w:spacing w:before="240" w:after="200" w:line="276" w:lineRule="auto"/>
        <w:contextualSpacing/>
        <w:rPr>
          <w:rFonts w:ascii="ITC Avant Garde" w:hAnsi="ITC Avant Garde" w:cs="Arial"/>
          <w:sz w:val="18"/>
          <w:szCs w:val="18"/>
        </w:rPr>
      </w:pPr>
      <w:r w:rsidRPr="00D42447">
        <w:rPr>
          <w:rFonts w:ascii="ITC Avant Garde" w:hAnsi="ITC Avant Garde" w:cs="Arial"/>
          <w:sz w:val="18"/>
          <w:szCs w:val="18"/>
        </w:rPr>
        <w:t xml:space="preserve">El Instituto Federal de Telecomunicaciones, con fundamento en los artículos 28 de la Constitución Política de los Estados Unidos Mexicanos y Octavo Transitorio del Decreto de reforma constitucional en materia de telecomunicaciones publicado en el Diario Oficial de la Federación el once de junio de dos mil trece, así como las disposiciones de la Ley Federal de Telecomunicaciones y Radiodifusión, </w:t>
      </w:r>
      <w:r w:rsidRPr="00D42447">
        <w:rPr>
          <w:rFonts w:ascii="ITC Avant Garde" w:hAnsi="ITC Avant Garde" w:cs="Arial"/>
          <w:sz w:val="18"/>
          <w:szCs w:val="18"/>
          <w:u w:val="single"/>
        </w:rPr>
        <w:t>determinará la regulación asimétrica relativa a las tarifas de interconexión por la terminación de tráfico en la red de Radiomóvil Dipsa, en su carácter de agente económico preponderante</w:t>
      </w:r>
      <w:r w:rsidRPr="00D42447">
        <w:rPr>
          <w:rFonts w:ascii="ITC Avant Garde" w:hAnsi="ITC Avant Garde" w:cs="Arial"/>
          <w:sz w:val="18"/>
          <w:szCs w:val="18"/>
        </w:rPr>
        <w:t xml:space="preserve">.  </w:t>
      </w:r>
    </w:p>
    <w:p w14:paraId="101F8A56" w14:textId="77777777" w:rsidR="00D42447" w:rsidRPr="00D42447" w:rsidRDefault="00106FE3" w:rsidP="00D42447">
      <w:pPr>
        <w:pStyle w:val="Prrafodelista"/>
        <w:numPr>
          <w:ilvl w:val="0"/>
          <w:numId w:val="30"/>
        </w:numPr>
        <w:spacing w:before="240" w:after="200" w:line="276" w:lineRule="auto"/>
        <w:contextualSpacing/>
        <w:rPr>
          <w:rFonts w:ascii="ITC Avant Garde" w:hAnsi="ITC Avant Garde" w:cs="Arial"/>
          <w:sz w:val="18"/>
          <w:szCs w:val="18"/>
        </w:rPr>
      </w:pPr>
      <w:r w:rsidRPr="00D42447">
        <w:rPr>
          <w:rFonts w:ascii="ITC Avant Garde" w:hAnsi="ITC Avant Garde" w:cs="Arial"/>
          <w:sz w:val="18"/>
          <w:szCs w:val="18"/>
        </w:rPr>
        <w:t xml:space="preserve">Todos aquellos </w:t>
      </w:r>
      <w:r w:rsidRPr="00D42447">
        <w:rPr>
          <w:rFonts w:ascii="ITC Avant Garde" w:hAnsi="ITC Avant Garde" w:cs="Arial"/>
          <w:sz w:val="18"/>
          <w:szCs w:val="18"/>
          <w:u w:val="single"/>
        </w:rPr>
        <w:t>concesionarios que suscribieron acuerdos o convenios de interconexión con la quejosa, no podrán ser constreñidos al pago de compensaciones que, en su caso, pudiesen derivar de la determinación de tarifas por parte del Instituto y que es resultado de la inaplicación de la norma impugnada</w:t>
      </w:r>
      <w:r w:rsidRPr="00D42447">
        <w:rPr>
          <w:rFonts w:ascii="ITC Avant Garde" w:hAnsi="ITC Avant Garde" w:cs="Arial"/>
          <w:sz w:val="18"/>
          <w:szCs w:val="18"/>
        </w:rPr>
        <w:t>.</w:t>
      </w:r>
    </w:p>
    <w:p w14:paraId="2ACFB4D0" w14:textId="77777777" w:rsidR="00D42447" w:rsidRPr="00D42447" w:rsidRDefault="00106FE3" w:rsidP="00D42447">
      <w:pPr>
        <w:pStyle w:val="Prrafodelista"/>
        <w:numPr>
          <w:ilvl w:val="0"/>
          <w:numId w:val="30"/>
        </w:numPr>
        <w:spacing w:before="240" w:after="200" w:line="276" w:lineRule="auto"/>
        <w:contextualSpacing/>
        <w:rPr>
          <w:rFonts w:ascii="ITC Avant Garde" w:hAnsi="ITC Avant Garde" w:cs="Arial"/>
          <w:sz w:val="18"/>
          <w:szCs w:val="18"/>
        </w:rPr>
      </w:pPr>
      <w:r w:rsidRPr="00D42447">
        <w:rPr>
          <w:rFonts w:ascii="ITC Avant Garde" w:hAnsi="ITC Avant Garde" w:cs="Arial"/>
          <w:sz w:val="18"/>
          <w:szCs w:val="18"/>
          <w:u w:val="single"/>
        </w:rPr>
        <w:t>A fin de salvaguardar la seguridad jurídica en el sector de las telecomunicaciones y preservar los acuerdos o convenios de interconexión celebrados entre Radiomóvil Dipsa y los distintos concesionarios, y con el objeto de no afectar a los usuarios finales, las tarifas que determine el Instituto entrarán en vigor a partir del uno de enero de dos mil dieciocho y deberán publicarse en el Diario Oficial de la Federación en los términos de lo dispuesto por el artículo 137 de la Ley Federal de Telecomunicaciones y Radiodifusión</w:t>
      </w:r>
      <w:r w:rsidRPr="00D42447">
        <w:rPr>
          <w:rFonts w:ascii="ITC Avant Garde" w:hAnsi="ITC Avant Garde" w:cs="Arial"/>
          <w:sz w:val="18"/>
          <w:szCs w:val="18"/>
        </w:rPr>
        <w:t>.</w:t>
      </w:r>
    </w:p>
    <w:p w14:paraId="43DEC571"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lastRenderedPageBreak/>
        <w:t>En la materia de la citada ejecutoria, cobran relevancia los incisos b) y d) antes citados, ya que es en acato de los mismos que el Instituto deberá determinar las tarifas de interconexión aplicables a la terminación de tráfico en la red móvil del agente económico preponderante.</w:t>
      </w:r>
    </w:p>
    <w:p w14:paraId="1FA53380"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Ahora bien, de lo señalado por la Segunda Sala de la SCJN se observa que, el Instituto debe determinar una regulación asimétrica tratándose de la tarifa de interconexión aplicable a la terminación del tráfico en la red móvil del AEP, que debe establecer las tarifas que entrarán en vigor a partir del 1 de enero de 2018, y que además, esto se debe realizar en términos de los dispuesto por el artículo 137 de la LFTR.</w:t>
      </w:r>
    </w:p>
    <w:p w14:paraId="0DEACC19"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En este punto es preciso tener en cuenta lo que a la letra señala el mencionado artículo 137:</w:t>
      </w:r>
    </w:p>
    <w:p w14:paraId="5CEC3F60" w14:textId="77777777" w:rsidR="00D42447" w:rsidRPr="00D42447" w:rsidRDefault="00106FE3" w:rsidP="00D42447">
      <w:pPr>
        <w:widowControl w:val="0"/>
        <w:autoSpaceDE w:val="0"/>
        <w:autoSpaceDN w:val="0"/>
        <w:adjustRightInd w:val="0"/>
        <w:spacing w:before="240"/>
        <w:ind w:left="567" w:right="616"/>
        <w:jc w:val="both"/>
        <w:rPr>
          <w:rFonts w:ascii="ITC Avant Garde" w:hAnsi="ITC Avant Garde"/>
          <w:sz w:val="18"/>
          <w:szCs w:val="18"/>
        </w:rPr>
      </w:pPr>
      <w:r w:rsidRPr="00D42447">
        <w:rPr>
          <w:rFonts w:ascii="ITC Avant Garde" w:hAnsi="ITC Avant Garde"/>
          <w:sz w:val="18"/>
          <w:szCs w:val="18"/>
        </w:rPr>
        <w:t>“</w:t>
      </w:r>
      <w:r w:rsidRPr="00D42447">
        <w:rPr>
          <w:rFonts w:ascii="ITC Avant Garde" w:hAnsi="ITC Avant Garde"/>
          <w:b/>
          <w:sz w:val="18"/>
          <w:szCs w:val="18"/>
        </w:rPr>
        <w:t>Artículo 137.</w:t>
      </w:r>
      <w:r w:rsidRPr="00D42447">
        <w:rPr>
          <w:rFonts w:ascii="ITC Avant Garde" w:hAnsi="ITC Avant Garde"/>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62E69F44"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El artículo 137 de la LFTR establece la obligación del Instituto de publicar en el último trimestre del año las tarifas de interconexión que estarán vigentes a partir del 1 de enero del año siguiente, y que además las mismas deben corresponder a aquellas que hayan resultado de las metodologías de costos emitidas por el Instituto.</w:t>
      </w:r>
    </w:p>
    <w:p w14:paraId="6E4BE74C"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 xml:space="preserve">A mayor abundamiento, el artículo 137 se debe interpretar de manera armónica con lo señalado en el artículo 131 inciso b) de la LFTR que a la letra dispone: </w:t>
      </w:r>
    </w:p>
    <w:p w14:paraId="036C1F3A" w14:textId="4478EDE9" w:rsidR="00106FE3" w:rsidRPr="00D42447" w:rsidRDefault="00106FE3" w:rsidP="00D42447">
      <w:pPr>
        <w:pStyle w:val="Default"/>
        <w:spacing w:before="240" w:after="200" w:line="276" w:lineRule="auto"/>
        <w:ind w:left="567" w:right="758"/>
        <w:jc w:val="both"/>
        <w:rPr>
          <w:rFonts w:ascii="ITC Avant Garde" w:hAnsi="ITC Avant Garde"/>
          <w:b/>
          <w:bCs/>
          <w:color w:val="auto"/>
          <w:sz w:val="18"/>
          <w:szCs w:val="18"/>
        </w:rPr>
      </w:pPr>
      <w:r w:rsidRPr="00D42447">
        <w:rPr>
          <w:rFonts w:ascii="ITC Avant Garde" w:hAnsi="ITC Avant Garde"/>
          <w:bCs/>
          <w:color w:val="auto"/>
          <w:sz w:val="18"/>
          <w:szCs w:val="18"/>
        </w:rPr>
        <w:t>“</w:t>
      </w:r>
      <w:r w:rsidRPr="00D42447">
        <w:rPr>
          <w:rFonts w:ascii="ITC Avant Garde" w:hAnsi="ITC Avant Garde"/>
          <w:b/>
          <w:bCs/>
          <w:color w:val="auto"/>
          <w:sz w:val="18"/>
          <w:szCs w:val="18"/>
        </w:rPr>
        <w:t xml:space="preserve">Artículo 131. </w:t>
      </w:r>
    </w:p>
    <w:p w14:paraId="65F69A35" w14:textId="77777777" w:rsidR="00106FE3" w:rsidRPr="00D42447" w:rsidRDefault="00106FE3" w:rsidP="00D42447">
      <w:pPr>
        <w:pStyle w:val="Default"/>
        <w:spacing w:before="240" w:after="200" w:line="276" w:lineRule="auto"/>
        <w:ind w:left="567" w:right="758"/>
        <w:jc w:val="both"/>
        <w:rPr>
          <w:rFonts w:ascii="ITC Avant Garde" w:hAnsi="ITC Avant Garde"/>
          <w:bCs/>
          <w:color w:val="auto"/>
          <w:sz w:val="18"/>
          <w:szCs w:val="18"/>
        </w:rPr>
      </w:pPr>
      <w:r w:rsidRPr="00D42447">
        <w:rPr>
          <w:rFonts w:ascii="ITC Avant Garde" w:hAnsi="ITC Avant Garde"/>
          <w:bCs/>
          <w:color w:val="auto"/>
          <w:sz w:val="18"/>
          <w:szCs w:val="18"/>
        </w:rPr>
        <w:t>[…]</w:t>
      </w:r>
    </w:p>
    <w:p w14:paraId="0B762EFD" w14:textId="77777777" w:rsidR="00D42447" w:rsidRPr="00D42447" w:rsidRDefault="00106FE3" w:rsidP="00D42447">
      <w:pPr>
        <w:pStyle w:val="Default"/>
        <w:spacing w:before="240" w:after="200" w:line="276" w:lineRule="auto"/>
        <w:ind w:left="567" w:right="758"/>
        <w:jc w:val="both"/>
        <w:rPr>
          <w:rFonts w:ascii="ITC Avant Garde" w:hAnsi="ITC Avant Garde"/>
          <w:color w:val="auto"/>
          <w:sz w:val="18"/>
          <w:szCs w:val="18"/>
        </w:rPr>
      </w:pPr>
      <w:r w:rsidRPr="00D42447">
        <w:rPr>
          <w:rFonts w:ascii="ITC Avant Garde" w:hAnsi="ITC Avant Garde"/>
          <w:b/>
          <w:bCs/>
          <w:color w:val="auto"/>
          <w:sz w:val="18"/>
          <w:szCs w:val="18"/>
        </w:rPr>
        <w:t xml:space="preserve">b) </w:t>
      </w:r>
      <w:r w:rsidRPr="00D42447">
        <w:rPr>
          <w:rFonts w:ascii="ITC Avant Garde" w:hAnsi="ITC Avant Garde"/>
          <w:color w:val="auto"/>
          <w:sz w:val="18"/>
          <w:szCs w:val="18"/>
        </w:rPr>
        <w:t xml:space="preserve">Para el tráfico que termine en la red de los demás concesionarios, la tarifa de interconexión será negociada libremente. </w:t>
      </w:r>
    </w:p>
    <w:p w14:paraId="12788409" w14:textId="77777777" w:rsidR="00D42447" w:rsidRPr="00D42447" w:rsidRDefault="00106FE3" w:rsidP="00D42447">
      <w:pPr>
        <w:spacing w:before="240"/>
        <w:ind w:left="567" w:right="758"/>
        <w:jc w:val="both"/>
        <w:rPr>
          <w:rFonts w:ascii="ITC Avant Garde" w:hAnsi="ITC Avant Garde"/>
          <w:sz w:val="18"/>
          <w:szCs w:val="18"/>
        </w:rPr>
      </w:pPr>
      <w:r w:rsidRPr="00D42447">
        <w:rPr>
          <w:rFonts w:ascii="ITC Avant Garde" w:hAnsi="ITC Avant Garde"/>
          <w:sz w:val="18"/>
          <w:szCs w:val="18"/>
        </w:rPr>
        <w:t xml:space="preserve">El Instituto resolverá cualquier disputa respecto de las tarifas, términos y/o condiciones de los convenios de interconexión a que se refiere el inciso b) de este artículo, </w:t>
      </w:r>
      <w:r w:rsidRPr="00D42447">
        <w:rPr>
          <w:rFonts w:ascii="ITC Avant Garde" w:hAnsi="ITC Avant Garde"/>
          <w:b/>
          <w:sz w:val="18"/>
          <w:szCs w:val="18"/>
        </w:rPr>
        <w:t>con base en la metodología de costos que determine, tomando en cuenta las asimetrías naturales de las redes a ser interconectadas, la participación de mercado o cualquier otro factor</w:t>
      </w:r>
      <w:r w:rsidRPr="00D42447">
        <w:rPr>
          <w:rFonts w:ascii="ITC Avant Garde" w:hAnsi="ITC Avant Garde"/>
          <w:sz w:val="18"/>
          <w:szCs w:val="18"/>
        </w:rPr>
        <w:t>, fijando las tarifas, términos y/o condiciones en consecuencia.”</w:t>
      </w:r>
    </w:p>
    <w:p w14:paraId="7C27E528" w14:textId="77777777" w:rsidR="00D42447" w:rsidRPr="00D42447" w:rsidRDefault="00106FE3" w:rsidP="00D42447">
      <w:pPr>
        <w:spacing w:before="240"/>
        <w:ind w:left="567" w:right="758"/>
        <w:jc w:val="right"/>
        <w:rPr>
          <w:rFonts w:ascii="ITC Avant Garde" w:hAnsi="ITC Avant Garde"/>
        </w:rPr>
      </w:pPr>
      <w:r w:rsidRPr="00D42447">
        <w:rPr>
          <w:rFonts w:ascii="ITC Avant Garde" w:hAnsi="ITC Avant Garde"/>
          <w:sz w:val="18"/>
          <w:szCs w:val="18"/>
        </w:rPr>
        <w:t>[Énfasis añadido]</w:t>
      </w:r>
    </w:p>
    <w:p w14:paraId="0DC24A10"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 xml:space="preserve">Es decir, en el artículo 131 de la LFTR se establece la facultad y obligación del Instituto para determinar una metodología de costos que tome en cuenta las asimetrías </w:t>
      </w:r>
      <w:r w:rsidRPr="00D42447">
        <w:rPr>
          <w:rFonts w:ascii="ITC Avant Garde" w:hAnsi="ITC Avant Garde"/>
        </w:rPr>
        <w:lastRenderedPageBreak/>
        <w:t>naturales de las redes a ser interconectadas, la participación de mercado y cualquier otro factor; y que dichas metodologías se deben utilizar para fijar las tarifas de interconexión.</w:t>
      </w:r>
    </w:p>
    <w:p w14:paraId="23975F1D"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Lo anterior se perfeccionó mediante la publicación en el DOF el 18 de diciembre de 2014 del “Acuerdo mediante el cual el Pleno del Instituto Federal de Telecomunicaciones emite la metodología para el cálculo de costos de interconexión de conformidad con la Ley Federal de Telecomunicaciones y Radiodifusión</w:t>
      </w:r>
      <w:r w:rsidRPr="00D42447">
        <w:rPr>
          <w:rStyle w:val="Refdenotaalpie"/>
          <w:rFonts w:ascii="ITC Avant Garde" w:hAnsi="ITC Avant Garde"/>
        </w:rPr>
        <w:footnoteReference w:id="2"/>
      </w:r>
      <w:r w:rsidRPr="00D42447">
        <w:rPr>
          <w:rFonts w:ascii="ITC Avant Garde" w:hAnsi="ITC Avant Garde"/>
        </w:rPr>
        <w:t>” (en lo sucesivo, la “Metodología de Costos”), tal y como expresamente se señala en el lineamiento primero:</w:t>
      </w:r>
    </w:p>
    <w:p w14:paraId="0FF70A3E" w14:textId="77777777" w:rsidR="00D42447" w:rsidRPr="00D42447" w:rsidRDefault="00106FE3" w:rsidP="00D42447">
      <w:pPr>
        <w:pStyle w:val="Texto0"/>
        <w:spacing w:before="240" w:after="200" w:line="276" w:lineRule="auto"/>
        <w:ind w:left="567" w:right="616" w:firstLine="0"/>
        <w:rPr>
          <w:rFonts w:ascii="ITC Avant Garde" w:hAnsi="ITC Avant Garde"/>
        </w:rPr>
      </w:pPr>
      <w:r w:rsidRPr="00D42447">
        <w:rPr>
          <w:rFonts w:ascii="ITC Avant Garde" w:hAnsi="ITC Avant Garde"/>
        </w:rPr>
        <w:t>“</w:t>
      </w:r>
      <w:r w:rsidRPr="00D42447">
        <w:rPr>
          <w:rFonts w:ascii="ITC Avant Garde" w:hAnsi="ITC Avant Garde"/>
          <w:b/>
        </w:rPr>
        <w:t>PRIMERO.-</w:t>
      </w:r>
      <w:r w:rsidRPr="00D42447">
        <w:rPr>
          <w:rFonts w:ascii="ITC Avant Garde" w:hAnsi="ITC Avant Garde"/>
        </w:rPr>
        <w:t xml:space="preserve"> Los presentes lineamientos constituyen la Metodología para la elaboración de Modelos de Costos que servirán para el cálculo de los costos de los servicios de interconexión de conformidad con la Ley Federal de Telecomunicaciones y Radiodifusión.”</w:t>
      </w:r>
    </w:p>
    <w:p w14:paraId="1819B189"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Es así que en la mencionada Metodología de Costos se establecen una serie de lineamientos mediante los cuales el Instituto deberá construir los modelos de costos que servirán para el cálculo de los costos de los servicios de interconexión, y que por ende constituyen el marco regulatorio en la materia.</w:t>
      </w:r>
    </w:p>
    <w:p w14:paraId="5BCD0C11"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 xml:space="preserve">En tal virtud, se considera que en estricto acatamiento a lo resuelto por la Segunda Sala de la SCJN, el Instituto debe determinar la tarifa de interconexión aplicable a la terminación del tráfico en la red móvil del AEP </w:t>
      </w:r>
      <w:r w:rsidRPr="00D42447">
        <w:rPr>
          <w:rFonts w:ascii="ITC Avant Garde" w:hAnsi="ITC Avant Garde"/>
          <w:b/>
        </w:rPr>
        <w:t>a través de la metodología de costos</w:t>
      </w:r>
      <w:r w:rsidRPr="00D42447">
        <w:rPr>
          <w:rFonts w:ascii="ITC Avant Garde" w:hAnsi="ITC Avant Garde"/>
        </w:rPr>
        <w:t xml:space="preserve"> a la que se refieren los artículos 131 y 137 de la LFTR, y en consecuencia la misma debe calcularse </w:t>
      </w:r>
      <w:r w:rsidRPr="00D42447">
        <w:rPr>
          <w:rFonts w:ascii="ITC Avant Garde" w:hAnsi="ITC Avant Garde"/>
          <w:b/>
        </w:rPr>
        <w:t>a través de un modelo de costos</w:t>
      </w:r>
      <w:r w:rsidRPr="00D42447">
        <w:rPr>
          <w:rFonts w:ascii="ITC Avant Garde" w:hAnsi="ITC Avant Garde"/>
        </w:rPr>
        <w:t xml:space="preserve"> construido de conformidad con los lineamientos establecidos en la Metodología de Costos.</w:t>
      </w:r>
    </w:p>
    <w:p w14:paraId="21E4BDC4"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Lo anterior es plenamente consistente con lo determinado en el inciso b) de los efectos de la ejecutoria, toda vez que la Metodología de Costos establece en su parte considerativa lo siguiente:</w:t>
      </w:r>
    </w:p>
    <w:p w14:paraId="38848524" w14:textId="77777777" w:rsidR="00D42447" w:rsidRPr="00D42447" w:rsidRDefault="00106FE3" w:rsidP="00D42447">
      <w:pPr>
        <w:pStyle w:val="Texto0"/>
        <w:spacing w:before="240" w:after="200" w:line="276" w:lineRule="auto"/>
        <w:ind w:left="567" w:right="616" w:firstLine="0"/>
        <w:rPr>
          <w:rFonts w:ascii="ITC Avant Garde" w:hAnsi="ITC Avant Garde"/>
        </w:rPr>
      </w:pPr>
      <w:r w:rsidRPr="00D42447">
        <w:rPr>
          <w:rFonts w:ascii="ITC Avant Garde" w:hAnsi="ITC Avant Garde"/>
        </w:rPr>
        <w:t>“Una asimetría más que debe ser tomada en cuenta, es la propia existencia de un Agente Económico Preponderante, por lo que se debe considerar este hecho en el momento en que se elaboren los modelos de costos, en el sentido de que la regulación tome en cuenta la participación de mercado, u otras variables como la tenencia de espectro radioeléctrico que le otorgan ventajas al mencionado agente.</w:t>
      </w:r>
    </w:p>
    <w:p w14:paraId="15C68D1E" w14:textId="77777777" w:rsidR="00D42447" w:rsidRPr="00D42447" w:rsidRDefault="00106FE3" w:rsidP="00D42447">
      <w:pPr>
        <w:pStyle w:val="Texto0"/>
        <w:spacing w:before="240" w:after="200" w:line="276" w:lineRule="auto"/>
        <w:ind w:left="567" w:right="616" w:firstLine="0"/>
        <w:rPr>
          <w:rFonts w:ascii="ITC Avant Garde" w:hAnsi="ITC Avant Garde"/>
        </w:rPr>
      </w:pPr>
      <w:r w:rsidRPr="00D42447">
        <w:rPr>
          <w:rFonts w:ascii="ITC Avant Garde" w:hAnsi="ITC Avant Garde"/>
        </w:rPr>
        <w:t xml:space="preserve">Es así que para reflejar las asimetrías presentes en la industria de telecomunicaciones en México, y toda vez que por la naturaleza del Agente Económico Preponderante, cuenta con ventajas competitivas para mantener su participación de mercado, la participación correspondiente a los concesionarios de telecomunicaciones competidores debe tomar en </w:t>
      </w:r>
      <w:r w:rsidRPr="00D42447">
        <w:rPr>
          <w:rFonts w:ascii="ITC Avant Garde" w:hAnsi="ITC Avant Garde"/>
        </w:rPr>
        <w:lastRenderedPageBreak/>
        <w:t>cuenta este hecho por lo que para su medición se debe considerar aquel segmento de mercado que no es atendido por el mencionado agente.”</w:t>
      </w:r>
    </w:p>
    <w:p w14:paraId="60BB486C" w14:textId="77777777" w:rsidR="00D42447" w:rsidRPr="00D42447" w:rsidRDefault="00106FE3" w:rsidP="00D42447">
      <w:pPr>
        <w:spacing w:before="240"/>
        <w:jc w:val="both"/>
        <w:rPr>
          <w:rFonts w:ascii="ITC Avant Garde" w:hAnsi="ITC Avant Garde"/>
        </w:rPr>
      </w:pPr>
      <w:r w:rsidRPr="00D42447">
        <w:rPr>
          <w:rFonts w:ascii="ITC Avant Garde" w:hAnsi="ITC Avant Garde"/>
        </w:rPr>
        <w:t>Mismo que se plasmó en el lineamiento Octavo de la siguiente manera:</w:t>
      </w:r>
    </w:p>
    <w:p w14:paraId="377545EA" w14:textId="77777777" w:rsidR="00D42447" w:rsidRPr="00D42447" w:rsidRDefault="00106FE3" w:rsidP="00D42447">
      <w:pPr>
        <w:pStyle w:val="Texto0"/>
        <w:spacing w:before="240" w:after="200" w:line="276" w:lineRule="auto"/>
        <w:ind w:left="567" w:right="616" w:firstLine="0"/>
        <w:rPr>
          <w:rFonts w:ascii="ITC Avant Garde" w:hAnsi="ITC Avant Garde"/>
        </w:rPr>
      </w:pPr>
      <w:r w:rsidRPr="00D42447">
        <w:rPr>
          <w:rFonts w:ascii="ITC Avant Garde" w:hAnsi="ITC Avant Garde"/>
        </w:rPr>
        <w:t>“</w:t>
      </w:r>
      <w:r w:rsidRPr="00D42447">
        <w:rPr>
          <w:rFonts w:ascii="ITC Avant Garde" w:hAnsi="ITC Avant Garde"/>
          <w:b/>
        </w:rPr>
        <w:t>OCTAVO.-</w:t>
      </w:r>
      <w:r w:rsidRPr="00D42447">
        <w:rPr>
          <w:rFonts w:ascii="ITC Avant Garde" w:hAnsi="ITC Avant Garde"/>
        </w:rPr>
        <w:t xml:space="preserve"> En la elaboración de Modelos de Costos, se utilizará un concesionario eficiente que considere una escala de operación que sea representativa de los operadores distintos al agente económico preponderante.</w:t>
      </w:r>
    </w:p>
    <w:p w14:paraId="09ADCBED" w14:textId="77777777" w:rsidR="00D42447" w:rsidRPr="00D42447" w:rsidRDefault="00106FE3" w:rsidP="00D42447">
      <w:pPr>
        <w:pStyle w:val="Texto0"/>
        <w:spacing w:before="240" w:after="200" w:line="276" w:lineRule="auto"/>
        <w:ind w:left="567" w:right="616" w:firstLine="0"/>
        <w:rPr>
          <w:rFonts w:ascii="ITC Avant Garde" w:hAnsi="ITC Avant Garde"/>
        </w:rPr>
      </w:pPr>
      <w:r w:rsidRPr="00D42447">
        <w:rPr>
          <w:rFonts w:ascii="ITC Avant Garde" w:hAnsi="ITC Avant Garde"/>
        </w:rPr>
        <w:t>Para la definición de la escala de operación del concesionario eficiente se considerarán variables relevantes en la prestación de servicios de telecomunicaciones, tales como usuarios, tráfico, disponibilidad de espectro y presencia geográfica.”</w:t>
      </w:r>
    </w:p>
    <w:p w14:paraId="1D9C7E6A" w14:textId="36021A0A" w:rsidR="00D42447" w:rsidRPr="00D42447" w:rsidRDefault="00106FE3" w:rsidP="00D42447">
      <w:pPr>
        <w:spacing w:before="240"/>
        <w:ind w:right="49"/>
        <w:jc w:val="both"/>
        <w:rPr>
          <w:rFonts w:ascii="ITC Avant Garde" w:hAnsi="ITC Avant Garde"/>
        </w:rPr>
      </w:pPr>
      <w:r w:rsidRPr="00D42447">
        <w:rPr>
          <w:rFonts w:ascii="ITC Avant Garde" w:hAnsi="ITC Avant Garde"/>
        </w:rPr>
        <w:t xml:space="preserve">Esto es, la Metodología de Costos vigente permite </w:t>
      </w:r>
      <w:r w:rsidRPr="00D42447">
        <w:rPr>
          <w:rFonts w:ascii="ITC Avant Garde" w:hAnsi="ITC Avant Garde"/>
          <w:b/>
        </w:rPr>
        <w:t>determinar la regulación asimétrica relativa</w:t>
      </w:r>
      <w:r w:rsidRPr="00D42447">
        <w:rPr>
          <w:rFonts w:ascii="ITC Avant Garde" w:hAnsi="ITC Avant Garde"/>
        </w:rPr>
        <w:t xml:space="preserve"> a las tarifas de interconexión ordenada por la Segunda Sala de la SCJN al incorporar en el modelo de costos respectivo diversas variables como usuarios, tráfico, disponibilidad de espectro, presencia geográfica, entre otras, que reflejan las ventajas en costos con las que cuenta el mencionado agente.</w:t>
      </w:r>
    </w:p>
    <w:p w14:paraId="011B5BBE"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La determinación de la tarifa de interconexión por terminación en la red móvil del AEP partiendo de un modelo de costos construido con base en la Metodología de Costos es consistente con la orden que da al Instituto la Segunda Sala de la SCJN, toda vez que en su parte considerativa al analizar cuestión de la compensación tarifaria al quejoso recurrente en forma retroactiva, la citada ejecutoria claramente contempla un modelo de costos que el Instituto habrá de emitir para la determinación de la tarifa que en su caso resulte, en los siguientes términos:</w:t>
      </w:r>
    </w:p>
    <w:p w14:paraId="4E004D41" w14:textId="17AA7370" w:rsidR="00106FE3" w:rsidRPr="00D42447" w:rsidRDefault="00106FE3" w:rsidP="00D42447">
      <w:pPr>
        <w:pStyle w:val="Prrafodelista"/>
        <w:spacing w:before="240" w:after="200" w:line="276" w:lineRule="auto"/>
        <w:ind w:left="765" w:right="616"/>
        <w:rPr>
          <w:rFonts w:ascii="ITC Avant Garde" w:hAnsi="ITC Avant Garde" w:cs="Arial"/>
          <w:sz w:val="18"/>
          <w:szCs w:val="18"/>
        </w:rPr>
      </w:pPr>
      <w:r w:rsidRPr="00D42447">
        <w:rPr>
          <w:rFonts w:ascii="ITC Avant Garde" w:hAnsi="ITC Avant Garde" w:cs="Arial"/>
          <w:b/>
          <w:sz w:val="18"/>
          <w:szCs w:val="18"/>
        </w:rPr>
        <w:t>“164.</w:t>
      </w:r>
      <w:r w:rsidRPr="00D42447">
        <w:rPr>
          <w:rFonts w:ascii="ITC Avant Garde" w:hAnsi="ITC Avant Garde" w:cs="Arial"/>
          <w:sz w:val="18"/>
          <w:szCs w:val="18"/>
        </w:rPr>
        <w:t xml:space="preserve"> De ahí que no pueda ser exigible por parte del preponderante la compensación tarifaria que, en su caso, llegase a resultar como consecuencia de esta declaratoria de inconstitucionalidad y </w:t>
      </w:r>
      <w:r w:rsidRPr="00D42447">
        <w:rPr>
          <w:rFonts w:ascii="ITC Avant Garde" w:hAnsi="ITC Avant Garde" w:cs="Arial"/>
          <w:b/>
          <w:sz w:val="18"/>
          <w:szCs w:val="18"/>
        </w:rPr>
        <w:t>con base en el nuevo modelo de costos que el Instituto emitirá en cumplimiento a esta sentencia</w:t>
      </w:r>
      <w:r w:rsidRPr="00D42447">
        <w:rPr>
          <w:rFonts w:ascii="ITC Avant Garde" w:hAnsi="ITC Avant Garde" w:cs="Arial"/>
          <w:sz w:val="18"/>
          <w:szCs w:val="18"/>
        </w:rPr>
        <w:t>, pues ello llevaría a retrotraer los efectos del amparo a situaciones jurídicas regulares que se realizaron en un contexto legal válido hasta antes de esa declaratoria.</w:t>
      </w:r>
    </w:p>
    <w:p w14:paraId="0D5FF6FE" w14:textId="77777777" w:rsidR="00D42447" w:rsidRPr="00D42447" w:rsidRDefault="00106FE3" w:rsidP="00D42447">
      <w:pPr>
        <w:pStyle w:val="Prrafodelista"/>
        <w:spacing w:before="240" w:after="200" w:line="276" w:lineRule="auto"/>
        <w:ind w:left="765" w:right="616"/>
        <w:rPr>
          <w:rFonts w:ascii="ITC Avant Garde" w:hAnsi="ITC Avant Garde" w:cs="Arial"/>
          <w:sz w:val="18"/>
          <w:szCs w:val="18"/>
        </w:rPr>
      </w:pPr>
      <w:r w:rsidRPr="00D42447">
        <w:rPr>
          <w:rFonts w:ascii="ITC Avant Garde" w:hAnsi="ITC Avant Garde" w:cs="Arial"/>
          <w:sz w:val="18"/>
          <w:szCs w:val="18"/>
        </w:rPr>
        <w:t>[…]</w:t>
      </w:r>
    </w:p>
    <w:p w14:paraId="69A9372A" w14:textId="77777777" w:rsidR="00D42447" w:rsidRPr="00D42447" w:rsidRDefault="00106FE3" w:rsidP="00D42447">
      <w:pPr>
        <w:pStyle w:val="Prrafodelista"/>
        <w:spacing w:before="240" w:after="200" w:line="276" w:lineRule="auto"/>
        <w:ind w:left="765" w:right="616"/>
        <w:rPr>
          <w:rFonts w:ascii="ITC Avant Garde" w:hAnsi="ITC Avant Garde" w:cs="Arial"/>
          <w:sz w:val="18"/>
          <w:szCs w:val="18"/>
        </w:rPr>
      </w:pPr>
      <w:r w:rsidRPr="00D42447">
        <w:rPr>
          <w:rFonts w:ascii="ITC Avant Garde" w:hAnsi="ITC Avant Garde" w:cs="Arial"/>
          <w:sz w:val="18"/>
          <w:szCs w:val="18"/>
        </w:rPr>
        <w:t>“</w:t>
      </w:r>
      <w:r w:rsidRPr="00D42447">
        <w:rPr>
          <w:rFonts w:ascii="ITC Avant Garde" w:hAnsi="ITC Avant Garde" w:cs="Arial"/>
          <w:b/>
          <w:sz w:val="18"/>
          <w:szCs w:val="18"/>
        </w:rPr>
        <w:t>168.</w:t>
      </w:r>
      <w:r w:rsidRPr="00D42447">
        <w:rPr>
          <w:rFonts w:ascii="ITC Avant Garde" w:hAnsi="ITC Avant Garde" w:cs="Arial"/>
          <w:sz w:val="18"/>
          <w:szCs w:val="18"/>
        </w:rPr>
        <w:t xml:space="preserve"> De ahí que ni en el carácter de autoridad responsable, ni en el de autoridad encargada de ejecutar el cumplimiento de esta sentencia, pueda extenderse parte o la totalidad del efecto de cumplimiento de esta sentencia a los concesionarios que sean parte del acuerdo o convenio de interconexión en el que haya sido establecida la tarifa cero; obligándolos a la compensación tarifaria que llegase a resultar, de ser el caso, </w:t>
      </w:r>
      <w:r w:rsidRPr="00D42447">
        <w:rPr>
          <w:rFonts w:ascii="ITC Avant Garde" w:hAnsi="ITC Avant Garde" w:cs="Arial"/>
          <w:b/>
          <w:sz w:val="18"/>
          <w:szCs w:val="18"/>
        </w:rPr>
        <w:t>con base en el nuevo modelo de costos que el Instituto emitirá en cumplimiento a esta sentencia</w:t>
      </w:r>
      <w:r w:rsidRPr="00D42447">
        <w:rPr>
          <w:rFonts w:ascii="ITC Avant Garde" w:hAnsi="ITC Avant Garde" w:cs="Arial"/>
          <w:sz w:val="18"/>
          <w:szCs w:val="18"/>
        </w:rPr>
        <w:t xml:space="preserve">. </w:t>
      </w:r>
    </w:p>
    <w:p w14:paraId="37BA7112" w14:textId="77777777" w:rsidR="00D42447" w:rsidRPr="00D42447" w:rsidRDefault="00106FE3" w:rsidP="00D42447">
      <w:pPr>
        <w:pStyle w:val="Prrafodelista"/>
        <w:spacing w:before="240" w:after="200" w:line="276" w:lineRule="auto"/>
        <w:ind w:left="765" w:right="616"/>
        <w:rPr>
          <w:rFonts w:ascii="ITC Avant Garde" w:hAnsi="ITC Avant Garde" w:cs="Arial"/>
          <w:sz w:val="18"/>
          <w:szCs w:val="18"/>
        </w:rPr>
      </w:pPr>
      <w:r w:rsidRPr="00D42447">
        <w:rPr>
          <w:rFonts w:ascii="ITC Avant Garde" w:hAnsi="ITC Avant Garde" w:cs="Arial"/>
          <w:sz w:val="18"/>
          <w:szCs w:val="18"/>
        </w:rPr>
        <w:t>[…]”</w:t>
      </w:r>
    </w:p>
    <w:p w14:paraId="016EDB98" w14:textId="1BB63275" w:rsidR="00106FE3" w:rsidRPr="00D42447" w:rsidRDefault="00106FE3" w:rsidP="00D42447">
      <w:pPr>
        <w:pStyle w:val="Prrafodelista"/>
        <w:spacing w:before="240" w:after="200" w:line="276" w:lineRule="auto"/>
        <w:ind w:left="765" w:right="616"/>
        <w:rPr>
          <w:rFonts w:ascii="ITC Avant Garde" w:hAnsi="ITC Avant Garde" w:cs="Arial"/>
          <w:sz w:val="18"/>
          <w:szCs w:val="18"/>
        </w:rPr>
      </w:pPr>
      <w:r w:rsidRPr="00D42447">
        <w:rPr>
          <w:rFonts w:ascii="ITC Avant Garde" w:hAnsi="ITC Avant Garde" w:cs="Arial"/>
          <w:sz w:val="18"/>
          <w:szCs w:val="18"/>
        </w:rPr>
        <w:lastRenderedPageBreak/>
        <w:t>“</w:t>
      </w:r>
      <w:r w:rsidRPr="00D42447">
        <w:rPr>
          <w:rFonts w:ascii="ITC Avant Garde" w:hAnsi="ITC Avant Garde" w:cs="Arial"/>
          <w:b/>
          <w:sz w:val="18"/>
          <w:szCs w:val="18"/>
        </w:rPr>
        <w:t>178.</w:t>
      </w:r>
      <w:r w:rsidRPr="00D42447">
        <w:rPr>
          <w:rFonts w:ascii="ITC Avant Garde" w:hAnsi="ITC Avant Garde" w:cs="Arial"/>
          <w:sz w:val="18"/>
          <w:szCs w:val="18"/>
        </w:rPr>
        <w:t xml:space="preserve"> Tales consideraciones, de ninguna manera presuponen que la determinación de no cobrar por la terminación de tráfico en la red del agente económico preponderante (régimen de gratuidad) se justifique a priori por los posibles beneficios que hubiere causado en el mercado; porque, de acuerdo con lo razonado en esta sentencia, tal determinación corresponderá en todo caso al Instituto Federal de Telecomunicaciones; el que deberá atender también al principio constitucional de no regresividad en materia de derechos humanos y, según lo señalado por el Constituyente, a las condiciones y evolución del mercado de las telecomunicaciones en México, </w:t>
      </w:r>
      <w:r w:rsidRPr="00D42447">
        <w:rPr>
          <w:rFonts w:ascii="ITC Avant Garde" w:hAnsi="ITC Avant Garde" w:cs="Arial"/>
          <w:b/>
          <w:sz w:val="18"/>
          <w:szCs w:val="18"/>
        </w:rPr>
        <w:t>a la luz de un modelo de costos que tome como parámetro a un operador del mercado razonablemente eficiente y en atención a las mejores prácticas internacionales</w:t>
      </w:r>
      <w:r w:rsidRPr="00D42447">
        <w:rPr>
          <w:rFonts w:ascii="ITC Avant Garde" w:hAnsi="ITC Avant Garde" w:cs="Arial"/>
          <w:sz w:val="18"/>
          <w:szCs w:val="18"/>
        </w:rPr>
        <w:t xml:space="preserve">; </w:t>
      </w:r>
      <w:r w:rsidRPr="00D42447">
        <w:rPr>
          <w:rFonts w:ascii="ITC Avant Garde" w:hAnsi="ITC Avant Garde"/>
          <w:b/>
          <w:sz w:val="18"/>
        </w:rPr>
        <w:t>todo con el objetivo de incentivar mercados competitivos a fin de lograr el bienestar del consumidor.”</w:t>
      </w:r>
      <w:r w:rsidRPr="00D42447">
        <w:rPr>
          <w:rFonts w:ascii="ITC Avant Garde" w:hAnsi="ITC Avant Garde" w:cs="Arial"/>
          <w:sz w:val="18"/>
          <w:szCs w:val="18"/>
        </w:rPr>
        <w:t xml:space="preserve"> </w:t>
      </w:r>
    </w:p>
    <w:p w14:paraId="17F9A22D" w14:textId="77777777" w:rsidR="00106FE3" w:rsidRPr="00D42447" w:rsidRDefault="00106FE3" w:rsidP="00D42447">
      <w:pPr>
        <w:pStyle w:val="Prrafodelista"/>
        <w:spacing w:before="240" w:after="200" w:line="276" w:lineRule="auto"/>
        <w:ind w:left="765" w:right="616"/>
        <w:jc w:val="right"/>
        <w:rPr>
          <w:rFonts w:ascii="ITC Avant Garde" w:hAnsi="ITC Avant Garde" w:cs="Arial"/>
          <w:sz w:val="18"/>
          <w:szCs w:val="18"/>
        </w:rPr>
      </w:pPr>
      <w:r w:rsidRPr="00D42447">
        <w:rPr>
          <w:rFonts w:ascii="ITC Avant Garde" w:hAnsi="ITC Avant Garde" w:cs="Arial"/>
          <w:sz w:val="18"/>
          <w:szCs w:val="18"/>
        </w:rPr>
        <w:t>[Énfasis añadido]</w:t>
      </w:r>
    </w:p>
    <w:p w14:paraId="727325C3"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Es decir, en la parte considerativa de la ejecutoria existen señalamientos expresos por parte de la Segunda Sala de la SCJN en el sentido de que corresponde al Instituto Federal de Telecomunicaciones ejercer sus facultades en la materia a efecto de ejecutar el cumplimiento de la sentencia, y ello se deberá realizar con base en un modelo de costos que al efecto emita el Instituto, y que tome como parámetro a un operador del mercado razonablemente eficiente y en atención a las mejores prácticas internacionales.</w:t>
      </w:r>
    </w:p>
    <w:p w14:paraId="3866103A"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 xml:space="preserve">Cabe mencionar que el análisis realizado en el presente apartado es congruente con lo ya resuelto por la propia Segunda Sala de la SCJN dentro del </w:t>
      </w:r>
      <w:r w:rsidRPr="00D42447">
        <w:rPr>
          <w:rFonts w:ascii="ITC Avant Garde" w:hAnsi="ITC Avant Garde"/>
          <w:b/>
        </w:rPr>
        <w:t>Amparo en Revisión 726/2016</w:t>
      </w:r>
      <w:r w:rsidRPr="00D42447">
        <w:rPr>
          <w:rFonts w:ascii="ITC Avant Garde" w:hAnsi="ITC Avant Garde"/>
        </w:rPr>
        <w:t xml:space="preserve"> cuando analizó la constitucionalidad del artículo 137 de la LFTR y que al interpretarlo señaló lo siguiente:</w:t>
      </w:r>
    </w:p>
    <w:p w14:paraId="3749049E" w14:textId="77777777" w:rsidR="00D42447" w:rsidRPr="00D42447" w:rsidRDefault="00106FE3" w:rsidP="00D42447">
      <w:pPr>
        <w:spacing w:before="240"/>
        <w:ind w:left="567" w:right="618"/>
        <w:jc w:val="both"/>
        <w:rPr>
          <w:rFonts w:ascii="ITC Avant Garde" w:hAnsi="ITC Avant Garde" w:cs="Arial"/>
          <w:bCs/>
          <w:sz w:val="18"/>
          <w:szCs w:val="18"/>
        </w:rPr>
      </w:pPr>
      <w:r w:rsidRPr="00D42447">
        <w:rPr>
          <w:rFonts w:ascii="ITC Avant Garde" w:hAnsi="ITC Avant Garde" w:cs="Arial"/>
          <w:sz w:val="18"/>
          <w:szCs w:val="18"/>
        </w:rPr>
        <w:t xml:space="preserve">“La norma aquí reproducida [Artículo 137] </w:t>
      </w:r>
      <w:r w:rsidRPr="00D42447">
        <w:rPr>
          <w:rFonts w:ascii="ITC Avant Garde" w:hAnsi="ITC Avant Garde" w:cs="Arial"/>
          <w:bCs/>
          <w:sz w:val="18"/>
          <w:szCs w:val="18"/>
        </w:rPr>
        <w:t>señala que el Instituto Federal de Telecomunicaciones deberá publicar en el Diario Oficial de la Federación, en el último trimestre de cada año (octubre a diciembre), las condiciones técnicas mínimas, así como las tarifas que hayan resultado de las metodologías de costos previamente emitidas por el propio instituto, las cuales estarán vigentes en el año calendario inmediato siguiente.</w:t>
      </w:r>
    </w:p>
    <w:p w14:paraId="2F48895C" w14:textId="77777777" w:rsidR="00D42447" w:rsidRPr="00D42447" w:rsidRDefault="00106FE3" w:rsidP="00D42447">
      <w:pPr>
        <w:spacing w:before="240"/>
        <w:ind w:left="567" w:right="618"/>
        <w:jc w:val="both"/>
        <w:rPr>
          <w:rFonts w:ascii="ITC Avant Garde" w:hAnsi="ITC Avant Garde" w:cs="Arial"/>
          <w:bCs/>
          <w:sz w:val="18"/>
          <w:szCs w:val="18"/>
        </w:rPr>
      </w:pPr>
      <w:r w:rsidRPr="00D42447">
        <w:rPr>
          <w:rFonts w:ascii="ITC Avant Garde" w:hAnsi="ITC Avant Garde" w:cs="Arial"/>
          <w:bCs/>
          <w:sz w:val="18"/>
          <w:szCs w:val="18"/>
        </w:rPr>
        <w:t xml:space="preserve">Esto es, en caso de que el Instituto Federal de Telecomunicaciones deba calcular las tarifas de interconexión que no fueron convenidas por los concesionarios, empleará para ello un </w:t>
      </w:r>
      <w:r w:rsidRPr="00D42447">
        <w:rPr>
          <w:rFonts w:ascii="ITC Avant Garde" w:hAnsi="ITC Avant Garde" w:cs="Arial"/>
          <w:b/>
          <w:bCs/>
          <w:sz w:val="18"/>
          <w:szCs w:val="18"/>
        </w:rPr>
        <w:t>modelo de costos</w:t>
      </w:r>
      <w:r w:rsidRPr="00D42447">
        <w:rPr>
          <w:rFonts w:ascii="ITC Avant Garde" w:hAnsi="ITC Avant Garde" w:cs="Arial"/>
          <w:bCs/>
          <w:sz w:val="18"/>
          <w:szCs w:val="18"/>
        </w:rPr>
        <w:t>, el cual contiene el enfoque utilizado y el operador tomado en consideración para el cálculo de las tarifas, la unidad monetaria en que se calcularán, los elementos técnicos y económicos de los servicios de interconexión que serán tomados en cuenta, entre otros aspectos.</w:t>
      </w:r>
    </w:p>
    <w:p w14:paraId="4A9BD4B2" w14:textId="77777777" w:rsidR="00D42447" w:rsidRPr="00D42447" w:rsidRDefault="00106FE3" w:rsidP="00D42447">
      <w:pPr>
        <w:spacing w:before="240"/>
        <w:ind w:left="567" w:right="618"/>
        <w:jc w:val="both"/>
        <w:rPr>
          <w:rFonts w:ascii="ITC Avant Garde" w:hAnsi="ITC Avant Garde" w:cs="Arial"/>
          <w:bCs/>
          <w:sz w:val="18"/>
          <w:szCs w:val="18"/>
        </w:rPr>
      </w:pPr>
      <w:r w:rsidRPr="00D42447">
        <w:rPr>
          <w:rFonts w:ascii="ITC Avant Garde" w:hAnsi="ITC Avant Garde" w:cs="Arial"/>
          <w:bCs/>
          <w:sz w:val="18"/>
          <w:szCs w:val="18"/>
        </w:rPr>
        <w:t>Dicho modelo de costos, consiste en el marco referencial en que se basará el Instituto Federal de Telecomunicaciones para el cálculo de tarifas, esto es, la serie de datos que serán tomados en consideración para la resolución de los desacuerdos en materia de interconexión.</w:t>
      </w:r>
    </w:p>
    <w:p w14:paraId="215A32C1" w14:textId="77777777" w:rsidR="00D42447" w:rsidRPr="00D42447" w:rsidRDefault="00106FE3" w:rsidP="00D42447">
      <w:pPr>
        <w:spacing w:before="240"/>
        <w:ind w:left="567" w:right="618"/>
        <w:jc w:val="both"/>
        <w:rPr>
          <w:rFonts w:ascii="ITC Avant Garde" w:hAnsi="ITC Avant Garde" w:cs="Arial"/>
          <w:sz w:val="18"/>
          <w:szCs w:val="18"/>
        </w:rPr>
      </w:pPr>
      <w:r w:rsidRPr="00D42447">
        <w:rPr>
          <w:rFonts w:ascii="ITC Avant Garde" w:hAnsi="ITC Avant Garde" w:cs="Arial"/>
          <w:bCs/>
          <w:sz w:val="18"/>
          <w:szCs w:val="18"/>
        </w:rPr>
        <w:lastRenderedPageBreak/>
        <w:t>A partir de tal modelo de costos, durante el último trimestre del año, el Instituto Federal de Telecomunicaciones publica las tarifas de interconexión que aplicará durante el siguiente año para la resolución de desacuerdos en materia de interconexión entre concesionarios.”</w:t>
      </w:r>
    </w:p>
    <w:p w14:paraId="4FE34DEF" w14:textId="573B8495" w:rsidR="00106FE3" w:rsidRPr="00D42447" w:rsidRDefault="00106FE3" w:rsidP="00D42447">
      <w:pPr>
        <w:spacing w:before="240"/>
        <w:ind w:right="49"/>
        <w:jc w:val="both"/>
        <w:rPr>
          <w:rFonts w:ascii="ITC Avant Garde" w:hAnsi="ITC Avant Garde"/>
        </w:rPr>
      </w:pPr>
      <w:r w:rsidRPr="00D42447">
        <w:rPr>
          <w:rFonts w:ascii="ITC Avant Garde" w:hAnsi="ITC Avant Garde"/>
        </w:rPr>
        <w:t xml:space="preserve">Es decir, la Segunda Sala de la SCJN al referirse a las tarifas que el Instituto deberá publicar en el último trimestre del año en cumplimiento al artículo 137, consideró que el Instituto deberá  calcularlas empleando para ello un </w:t>
      </w:r>
      <w:r w:rsidRPr="00D42447">
        <w:rPr>
          <w:rFonts w:ascii="ITC Avant Garde" w:hAnsi="ITC Avant Garde"/>
          <w:b/>
        </w:rPr>
        <w:t xml:space="preserve">modelo de costos, </w:t>
      </w:r>
      <w:r w:rsidRPr="00D42447">
        <w:rPr>
          <w:rFonts w:ascii="ITC Avant Garde" w:hAnsi="ITC Avant Garde"/>
        </w:rPr>
        <w:t>el cual consiste en el marco referencial en que se basará el Instituto para el cálculo de las tarifas de interconexión, y que a partir del mismo publicará durante el último trimestre del año las tarifas de interconexión que</w:t>
      </w:r>
      <w:r w:rsidR="00D2057A" w:rsidRPr="00D42447">
        <w:rPr>
          <w:rFonts w:ascii="ITC Avant Garde" w:hAnsi="ITC Avant Garde"/>
        </w:rPr>
        <w:t xml:space="preserve"> se</w:t>
      </w:r>
      <w:r w:rsidRPr="00D42447">
        <w:rPr>
          <w:rFonts w:ascii="ITC Avant Garde" w:hAnsi="ITC Avant Garde"/>
        </w:rPr>
        <w:t xml:space="preserve"> aplicará durante el siguiente año para la resolución de desacuerdos en materia de interconexión ente concesionarios. </w:t>
      </w:r>
    </w:p>
    <w:p w14:paraId="3E51F81A"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 xml:space="preserve">En virtud de lo anterior se considera que la tarifa de interconexión aplicable a la terminación del tráfico en la red móvil del AEP debe calcularse a través de </w:t>
      </w:r>
      <w:r w:rsidRPr="00D42447">
        <w:rPr>
          <w:rFonts w:ascii="ITC Avant Garde" w:hAnsi="ITC Avant Garde"/>
          <w:b/>
        </w:rPr>
        <w:t>un modelo de costos</w:t>
      </w:r>
      <w:r w:rsidRPr="00D42447">
        <w:rPr>
          <w:rFonts w:ascii="ITC Avant Garde" w:hAnsi="ITC Avant Garde"/>
        </w:rPr>
        <w:t xml:space="preserve"> construido de conformidad con los lineamientos establecidos en la Metodología de Costos, que tiene como fundamento</w:t>
      </w:r>
      <w:r w:rsidRPr="00D42447">
        <w:rPr>
          <w:rFonts w:ascii="ITC Avant Garde" w:hAnsi="ITC Avant Garde"/>
          <w:b/>
        </w:rPr>
        <w:t xml:space="preserve"> </w:t>
      </w:r>
      <w:r w:rsidRPr="00D42447">
        <w:rPr>
          <w:rFonts w:ascii="ITC Avant Garde" w:hAnsi="ITC Avant Garde"/>
        </w:rPr>
        <w:t>los artículos 131 y 137 de la LFTR, con lo cual se cumplen los objetivos señalados por la SCJN en el sentido de un modelo de costos que tome como parámetro a un operador del mercado razonablemente eficiente y en atención a las mejores prácticas internacionales, lo anterior quedó expresamente en lo considerado por el Pleno cuando emitió la metodología de costos incrementales puros toda vez que señaló lo siguiente:</w:t>
      </w:r>
    </w:p>
    <w:p w14:paraId="665144D2" w14:textId="77777777" w:rsidR="00D42447" w:rsidRPr="00D42447" w:rsidRDefault="00106FE3" w:rsidP="00D42447">
      <w:pPr>
        <w:autoSpaceDE w:val="0"/>
        <w:autoSpaceDN w:val="0"/>
        <w:adjustRightInd w:val="0"/>
        <w:spacing w:before="240"/>
        <w:ind w:left="567" w:right="566"/>
        <w:jc w:val="both"/>
        <w:rPr>
          <w:rFonts w:ascii="ITC Avant Garde" w:hAnsi="ITC Avant Garde"/>
          <w:sz w:val="18"/>
          <w:szCs w:val="18"/>
        </w:rPr>
      </w:pPr>
      <w:r w:rsidRPr="00D42447">
        <w:rPr>
          <w:rFonts w:ascii="ITC Avant Garde" w:hAnsi="ITC Avant Garde"/>
          <w:sz w:val="18"/>
          <w:szCs w:val="18"/>
        </w:rPr>
        <w:t>“Es importante mencionar que en el ámbito internacional existe una importante tendencia a la determinación de los costos de interconexión por terminación de voz mediante el enfoque de Costos Incrementales de Largo Plazo Puros, a manera de ejemplo se menciona el pronunciamiento realizado por la Comunidad Europea en el sentido de la utilización de costos incrementales puros para el cálculo de los costos de interconexión. De manera general la Recomendación señala que para el 31 de diciembre de 2012:</w:t>
      </w:r>
    </w:p>
    <w:p w14:paraId="23EB2BE6" w14:textId="69A7D2DD" w:rsidR="00106FE3" w:rsidRPr="00D42447" w:rsidRDefault="00106FE3" w:rsidP="00D42447">
      <w:pPr>
        <w:pStyle w:val="Prrafodelista"/>
        <w:numPr>
          <w:ilvl w:val="0"/>
          <w:numId w:val="20"/>
        </w:numPr>
        <w:autoSpaceDE w:val="0"/>
        <w:autoSpaceDN w:val="0"/>
        <w:adjustRightInd w:val="0"/>
        <w:spacing w:before="240" w:after="200" w:line="276" w:lineRule="auto"/>
        <w:ind w:right="566"/>
        <w:rPr>
          <w:rFonts w:ascii="ITC Avant Garde" w:hAnsi="ITC Avant Garde"/>
          <w:sz w:val="18"/>
          <w:szCs w:val="18"/>
        </w:rPr>
      </w:pPr>
      <w:r w:rsidRPr="00D42447">
        <w:rPr>
          <w:rFonts w:ascii="ITC Avant Garde" w:hAnsi="ITC Avant Garde"/>
          <w:sz w:val="18"/>
          <w:szCs w:val="18"/>
        </w:rPr>
        <w:t>Las autoridades Nacionales de Regulación deberían establecer tarifas para terminación de llamadas en redes fijas y móviles basadas en los costos incurridos por un operador eficiente.</w:t>
      </w:r>
    </w:p>
    <w:p w14:paraId="2139FC11" w14:textId="77777777" w:rsidR="00D42447" w:rsidRPr="00D42447" w:rsidRDefault="00106FE3" w:rsidP="00D42447">
      <w:pPr>
        <w:pStyle w:val="Prrafodelista"/>
        <w:numPr>
          <w:ilvl w:val="0"/>
          <w:numId w:val="20"/>
        </w:numPr>
        <w:autoSpaceDE w:val="0"/>
        <w:autoSpaceDN w:val="0"/>
        <w:adjustRightInd w:val="0"/>
        <w:spacing w:before="240" w:after="200" w:line="276" w:lineRule="auto"/>
        <w:ind w:right="566"/>
        <w:rPr>
          <w:rFonts w:ascii="ITC Avant Garde" w:hAnsi="ITC Avant Garde"/>
          <w:sz w:val="18"/>
          <w:szCs w:val="18"/>
        </w:rPr>
      </w:pPr>
      <w:r w:rsidRPr="00D42447">
        <w:rPr>
          <w:rFonts w:ascii="ITC Avant Garde" w:hAnsi="ITC Avant Garde"/>
          <w:sz w:val="18"/>
          <w:szCs w:val="18"/>
        </w:rPr>
        <w:t>La evaluación de los costos eficientes se debería basar en los costos corrientes y en el uso de un modelo de costos de abajo hacia arriba (bottom-up) de costos incrementales de largo plazo puros que se elabore siguiendo los principios señalados en la recomendación.”</w:t>
      </w:r>
    </w:p>
    <w:p w14:paraId="1CE4741C"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Asimismo, el establecer la tarifa de terminación con base en un modelo de costos permite acceder a un insumo ofrecido por el AEP y necesario para el resto de los concesionarios de la industria a niveles que permitan alcanzar el objetivo de incentivar mercados competitivos a fin de lograr el bienestar del consumidor.</w:t>
      </w:r>
    </w:p>
    <w:p w14:paraId="590782EE"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lastRenderedPageBreak/>
        <w:t xml:space="preserve">Lo anterior, ha sido ampliamente abordado en la literatura económica en la que se señala que los precios de los servicios finales están directamente relacionados con los costos de los insumos que se emplean en su producción, de tal forma que un mayor precio de los insumos se traduce en mayores precios de los bienes o servicios finales; de esta forma menores tarifas de interconexión promueven una estructura tarifaria más eficiente con menores precios que incentivan el crecimiento de la demanda del servicio. </w:t>
      </w:r>
    </w:p>
    <w:p w14:paraId="2120C247"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Esta misma relación ha sido encontrada de forma empírica, a manera de ejemplo se señala que en un estudio realizado de manera conjunta entre la extinta Comisión Federal de Competencia y la Organización para la Cooperación y el Desarrollo Económico (en lo sucesivo la “OCDE”)</w:t>
      </w:r>
      <w:r w:rsidRPr="00D42447">
        <w:rPr>
          <w:rStyle w:val="Refdenotaalpie"/>
          <w:rFonts w:ascii="ITC Avant Garde" w:hAnsi="ITC Avant Garde"/>
        </w:rPr>
        <w:footnoteReference w:id="3"/>
      </w:r>
      <w:r w:rsidRPr="00D42447">
        <w:rPr>
          <w:rFonts w:ascii="ITC Avant Garde" w:hAnsi="ITC Avant Garde"/>
        </w:rPr>
        <w:t xml:space="preserve">  se encontró que tras realizar un análisis transversal entre los países de la OCDE se observaba que una reducción de 1% en la tarifa de terminación móvil reduce en 0.69% y 0.26% el precio promedio los precios de la telefonía móvil y fija, respectivamente, manteniendo constantes el ingreso per cápita y la penetración.</w:t>
      </w:r>
    </w:p>
    <w:p w14:paraId="5A654A9D"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En el mismo sentido Castañeda</w:t>
      </w:r>
      <w:r w:rsidR="009D5653" w:rsidRPr="00D42447">
        <w:rPr>
          <w:rStyle w:val="Refdenotaalpie"/>
          <w:rFonts w:ascii="ITC Avant Garde" w:hAnsi="ITC Avant Garde"/>
        </w:rPr>
        <w:footnoteReference w:id="4"/>
      </w:r>
      <w:r w:rsidRPr="00D42447">
        <w:rPr>
          <w:rFonts w:ascii="ITC Avant Garde" w:hAnsi="ITC Avant Garde"/>
        </w:rPr>
        <w:t xml:space="preserve"> encuentra que existe una alta correlación entre los precios de los servicios finales fijos y las tarifas de interconexión móvil; en su estudio obtiene los precios de las canastas de la OCDE para consumo bajo, medio y alto residencial.</w:t>
      </w:r>
    </w:p>
    <w:p w14:paraId="591E36D9"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t>En otro estudio realizado por Growitsch, Marcus y Wernick</w:t>
      </w:r>
      <w:r w:rsidR="009D5653" w:rsidRPr="00D42447">
        <w:rPr>
          <w:rStyle w:val="Refdenotaalpie"/>
          <w:rFonts w:ascii="ITC Avant Garde" w:hAnsi="ITC Avant Garde"/>
        </w:rPr>
        <w:footnoteReference w:id="5"/>
      </w:r>
      <w:r w:rsidRPr="00D42447">
        <w:rPr>
          <w:rFonts w:ascii="ITC Avant Garde" w:hAnsi="ITC Avant Garde"/>
        </w:rPr>
        <w:t xml:space="preserve"> se revisó la experiencia europea, utilizando métodos econométricos para estudiar el impacto de las tarifas de terminación móvil en el precio minorista y en la demanda de 61 operadores móviles en 16 países europeos en el período comprendido de 2003 a 2008, encontrándose que:</w:t>
      </w:r>
    </w:p>
    <w:p w14:paraId="4A3A00FB" w14:textId="77777777" w:rsidR="00D42447" w:rsidRPr="00D42447" w:rsidRDefault="00106FE3" w:rsidP="00D42447">
      <w:pPr>
        <w:pStyle w:val="Prrafodelista"/>
        <w:numPr>
          <w:ilvl w:val="0"/>
          <w:numId w:val="20"/>
        </w:numPr>
        <w:autoSpaceDE w:val="0"/>
        <w:autoSpaceDN w:val="0"/>
        <w:adjustRightInd w:val="0"/>
        <w:spacing w:before="240" w:after="200" w:line="276" w:lineRule="auto"/>
        <w:ind w:left="851" w:hanging="284"/>
        <w:rPr>
          <w:rFonts w:ascii="ITC Avant Garde" w:hAnsi="ITC Avant Garde"/>
        </w:rPr>
      </w:pPr>
      <w:r w:rsidRPr="00D42447">
        <w:rPr>
          <w:rFonts w:ascii="ITC Avant Garde" w:hAnsi="ITC Avant Garde"/>
        </w:rPr>
        <w:t>Tarifas de terminación móvil inferiores tienden a resultar en un precio de venta más bajo, con un coeficiente altamente significativo de 0.71.</w:t>
      </w:r>
    </w:p>
    <w:p w14:paraId="124981DB" w14:textId="77777777" w:rsidR="00D42447" w:rsidRPr="00D42447" w:rsidRDefault="00106FE3" w:rsidP="00D42447">
      <w:pPr>
        <w:pStyle w:val="Prrafodelista"/>
        <w:numPr>
          <w:ilvl w:val="0"/>
          <w:numId w:val="20"/>
        </w:numPr>
        <w:autoSpaceDE w:val="0"/>
        <w:autoSpaceDN w:val="0"/>
        <w:adjustRightInd w:val="0"/>
        <w:spacing w:before="240" w:after="200" w:line="276" w:lineRule="auto"/>
        <w:ind w:left="851" w:hanging="284"/>
        <w:rPr>
          <w:rFonts w:ascii="ITC Avant Garde" w:hAnsi="ITC Avant Garde"/>
        </w:rPr>
      </w:pPr>
      <w:r w:rsidRPr="00D42447">
        <w:rPr>
          <w:rFonts w:ascii="ITC Avant Garde" w:hAnsi="ITC Avant Garde"/>
        </w:rPr>
        <w:t>Tarifas de terminación móvil inferiores tienden a dar lugar a un mayor consumo de servicios móviles en términos de minutos de uso mensuales por suscripción.</w:t>
      </w:r>
    </w:p>
    <w:p w14:paraId="1DDDE733" w14:textId="77777777" w:rsidR="00D42447" w:rsidRPr="00D42447" w:rsidRDefault="00106FE3" w:rsidP="00D42447">
      <w:pPr>
        <w:spacing w:before="240"/>
        <w:ind w:right="49"/>
        <w:jc w:val="both"/>
        <w:rPr>
          <w:rFonts w:ascii="ITC Avant Garde" w:hAnsi="ITC Avant Garde"/>
        </w:rPr>
      </w:pPr>
      <w:r w:rsidRPr="00D42447">
        <w:rPr>
          <w:rFonts w:ascii="ITC Avant Garde" w:hAnsi="ITC Avant Garde"/>
        </w:rPr>
        <w:lastRenderedPageBreak/>
        <w:t>Los autores concluyen que los esfuerzos para impulsar a las tarifas de interconexión por terminación móvil a niveles más bajos son apropiados y tenderán a aumentar el bienestar del consumidor.</w:t>
      </w:r>
    </w:p>
    <w:p w14:paraId="17E43C6A" w14:textId="77777777" w:rsidR="00D42447" w:rsidRPr="00D42447" w:rsidRDefault="00106FE3" w:rsidP="00D42447">
      <w:pPr>
        <w:spacing w:before="240"/>
        <w:jc w:val="both"/>
        <w:rPr>
          <w:rFonts w:ascii="ITC Avant Garde" w:hAnsi="ITC Avant Garde" w:cs="Arial"/>
        </w:rPr>
      </w:pPr>
      <w:r w:rsidRPr="00D42447">
        <w:rPr>
          <w:rFonts w:ascii="ITC Avant Garde" w:hAnsi="ITC Avant Garde" w:cs="Arial"/>
        </w:rPr>
        <w:t xml:space="preserve">Ahora bien es importante señalar que el Instituto ha dado pleno cumplimiento a la ejecutoria dictada en el Amparo en Revisión 1100/2015, por la Segunda Sala de la Suprema Corte de Justicia de la Nación, toda vez que en el Acuerdo de CTM y de Tarifas 2018, se determinaron las tarifas del servicio de interconexión de terminación de voz bajo la modalidad “El que llama paga”, y del servicio de mensajes cortos en la red móvil del Agente Económico Preponderante, con base en la Metodología de Costos. </w:t>
      </w:r>
    </w:p>
    <w:p w14:paraId="3C2E6FD2" w14:textId="77777777" w:rsidR="00D42447" w:rsidRPr="00D42447" w:rsidRDefault="009D5653" w:rsidP="00D42447">
      <w:pPr>
        <w:spacing w:before="240"/>
        <w:jc w:val="both"/>
        <w:rPr>
          <w:rFonts w:ascii="ITC Avant Garde" w:hAnsi="ITC Avant Garde" w:cs="Arial"/>
        </w:rPr>
      </w:pPr>
      <w:r w:rsidRPr="00D42447">
        <w:rPr>
          <w:rFonts w:ascii="ITC Avant Garde" w:hAnsi="ITC Avant Garde" w:cs="Arial"/>
        </w:rPr>
        <w:t>Lo anterior con independencia de Telcel en su carácter de AEP de cumplir con la regulación aplicable, incluyendo la obligación de ofrecer a los concesionarios que así se lo soliciten los términos y condiciones establecidos en el Convenio Marco de Interconexión aprobado mediante Acuerdo P/IFT/011117/656.</w:t>
      </w:r>
    </w:p>
    <w:p w14:paraId="64615B75" w14:textId="77777777" w:rsidR="00D42447" w:rsidRPr="00D42447" w:rsidRDefault="00106FE3" w:rsidP="00D42447">
      <w:pPr>
        <w:spacing w:before="240"/>
        <w:jc w:val="both"/>
        <w:rPr>
          <w:rFonts w:ascii="ITC Avant Garde" w:hAnsi="ITC Avant Garde"/>
        </w:rPr>
      </w:pPr>
      <w:r w:rsidRPr="00D42447">
        <w:rPr>
          <w:rFonts w:ascii="ITC Avant Garde" w:eastAsia="Times New Roman" w:hAnsi="ITC Avant Garde"/>
          <w:b/>
          <w:lang w:eastAsia="es-ES"/>
        </w:rPr>
        <w:t>CUARTO</w:t>
      </w:r>
      <w:r w:rsidR="003E3993" w:rsidRPr="00D42447">
        <w:rPr>
          <w:rFonts w:ascii="ITC Avant Garde" w:eastAsia="Times New Roman" w:hAnsi="ITC Avant Garde"/>
          <w:b/>
          <w:lang w:eastAsia="es-ES"/>
        </w:rPr>
        <w:t xml:space="preserve">.- Valoración de pruebas. </w:t>
      </w:r>
      <w:r w:rsidR="003E3993" w:rsidRPr="00D42447">
        <w:rPr>
          <w:rFonts w:ascii="ITC Avant Garde" w:hAnsi="ITC Avant Garde"/>
        </w:rPr>
        <w:t>En términos generales la prueba es el medio de demostración de la realidad de un hecho o de la existencia de un acto. Es así que dentro del procedimiento de mérito, la prueba cumple la siguiente función: i) fija los hechos materia del desacuerdo, y ii) generar certeza acerca de las afirmaciones y alegaciones de los concesionarios sujetos del desacuerdo.</w:t>
      </w:r>
    </w:p>
    <w:p w14:paraId="0E8B406B" w14:textId="77777777" w:rsidR="00D42447" w:rsidRPr="00D42447" w:rsidRDefault="003E3993" w:rsidP="00D42447">
      <w:pPr>
        <w:spacing w:before="240"/>
        <w:jc w:val="both"/>
        <w:rPr>
          <w:rFonts w:ascii="ITC Avant Garde" w:hAnsi="ITC Avant Garde"/>
        </w:rPr>
      </w:pPr>
      <w:r w:rsidRPr="00D42447">
        <w:rPr>
          <w:rFonts w:ascii="ITC Avant Garde" w:hAnsi="ITC Avant Garde"/>
        </w:rPr>
        <w:t xml:space="preserve">Por su parte la Ley Federal de Procedimiento Administrativo (en lo sucesivo “LFPA”) y el Código Federal de Procedimientos Civiles (en lo sucesivo, la “CFPC”)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3304A8A0" w14:textId="77777777" w:rsidR="00D42447" w:rsidRPr="00D42447" w:rsidRDefault="003E3993" w:rsidP="00D42447">
      <w:pPr>
        <w:spacing w:before="240"/>
        <w:jc w:val="both"/>
        <w:rPr>
          <w:rFonts w:ascii="ITC Avant Garde" w:hAnsi="ITC Avant Garde"/>
          <w:szCs w:val="24"/>
        </w:rPr>
      </w:pPr>
      <w:r w:rsidRPr="00D42447">
        <w:rPr>
          <w:rFonts w:ascii="ITC Avant Garde" w:hAnsi="ITC Avant Garde"/>
          <w:szCs w:val="24"/>
        </w:rPr>
        <w:t xml:space="preserve">En tal sentido, y toda vez que Telcel no presentó pruebas, el Instituto valora las pruebas aportadas por </w:t>
      </w:r>
      <w:r w:rsidR="008366F3" w:rsidRPr="00D42447">
        <w:rPr>
          <w:rFonts w:ascii="ITC Avant Garde" w:hAnsi="ITC Avant Garde"/>
          <w:szCs w:val="24"/>
        </w:rPr>
        <w:t>Mega Cable</w:t>
      </w:r>
      <w:r w:rsidRPr="00D42447">
        <w:rPr>
          <w:rFonts w:ascii="ITC Avant Garde" w:hAnsi="ITC Avant Garde"/>
          <w:szCs w:val="24"/>
        </w:rPr>
        <w:t xml:space="preserve"> en los siguientes términos:</w:t>
      </w:r>
    </w:p>
    <w:p w14:paraId="42E8432F" w14:textId="77777777" w:rsidR="00D42447" w:rsidRPr="00D42447" w:rsidRDefault="00106FE3" w:rsidP="00D42447">
      <w:pPr>
        <w:spacing w:before="240"/>
        <w:jc w:val="both"/>
        <w:rPr>
          <w:rFonts w:ascii="ITC Avant Garde" w:hAnsi="ITC Avant Garde"/>
          <w:szCs w:val="24"/>
        </w:rPr>
      </w:pPr>
      <w:r w:rsidRPr="00D42447">
        <w:rPr>
          <w:rFonts w:ascii="ITC Avant Garde" w:hAnsi="ITC Avant Garde"/>
          <w:b/>
        </w:rPr>
        <w:t>4</w:t>
      </w:r>
      <w:r w:rsidR="003E3993" w:rsidRPr="00D42447">
        <w:rPr>
          <w:rFonts w:ascii="ITC Avant Garde" w:hAnsi="ITC Avant Garde"/>
          <w:b/>
        </w:rPr>
        <w:t xml:space="preserve">.1 Pruebas ofrecidas por </w:t>
      </w:r>
      <w:r w:rsidR="008366F3" w:rsidRPr="00D42447">
        <w:rPr>
          <w:rFonts w:ascii="ITC Avant Garde" w:hAnsi="ITC Avant Garde"/>
          <w:b/>
        </w:rPr>
        <w:t>Mega Cable</w:t>
      </w:r>
      <w:r w:rsidR="003E3993" w:rsidRPr="00D42447">
        <w:rPr>
          <w:rFonts w:ascii="ITC Avant Garde" w:hAnsi="ITC Avant Garde"/>
          <w:b/>
        </w:rPr>
        <w:t>.</w:t>
      </w:r>
    </w:p>
    <w:p w14:paraId="6185EF2A" w14:textId="77777777" w:rsidR="00D42447" w:rsidRPr="00D42447" w:rsidRDefault="00D45465" w:rsidP="00D42447">
      <w:pPr>
        <w:pStyle w:val="Prrafodelista"/>
        <w:numPr>
          <w:ilvl w:val="0"/>
          <w:numId w:val="18"/>
        </w:numPr>
        <w:tabs>
          <w:tab w:val="left" w:pos="4850"/>
        </w:tabs>
        <w:spacing w:before="240" w:after="200" w:line="276" w:lineRule="auto"/>
        <w:rPr>
          <w:rFonts w:ascii="ITC Avant Garde" w:hAnsi="ITC Avant Garde"/>
          <w:b/>
        </w:rPr>
      </w:pPr>
      <w:r w:rsidRPr="00D42447">
        <w:rPr>
          <w:rFonts w:ascii="ITC Avant Garde" w:hAnsi="ITC Avant Garde" w:cs="Arial"/>
        </w:rPr>
        <w:t xml:space="preserve">Documental consistente en las solicitud de negociación IFT/UPR/4225 registrada en el SESI, por medio de la cual Telcel solicitó a Mega Cable el inicio formal de negociaciones, </w:t>
      </w:r>
      <w:r w:rsidRPr="00D42447">
        <w:rPr>
          <w:rFonts w:ascii="ITC Avant Garde" w:hAnsi="ITC Avant Garde"/>
        </w:rPr>
        <w:t xml:space="preserve">este Instituto les otorga valor probatorio en términos de lo establecido en los artículos 197, 203 y 210-A y 217 del CFPC, de aplicación supletoria conforme al artículo 6, fracción VII de la LFTR, lo anterior por causar </w:t>
      </w:r>
      <w:r w:rsidRPr="00D42447">
        <w:rPr>
          <w:rFonts w:ascii="ITC Avant Garde" w:hAnsi="ITC Avant Garde"/>
        </w:rPr>
        <w:lastRenderedPageBreak/>
        <w:t>convicción respecto de que las negociaciones materia de la presente Resolución iniciaron su trámite dentro del SESI.</w:t>
      </w:r>
    </w:p>
    <w:p w14:paraId="0FE1C8F1" w14:textId="77777777" w:rsidR="00D42447" w:rsidRPr="00D42447" w:rsidRDefault="003E3993" w:rsidP="00D42447">
      <w:pPr>
        <w:pStyle w:val="Prrafodelista"/>
        <w:numPr>
          <w:ilvl w:val="0"/>
          <w:numId w:val="18"/>
        </w:numPr>
        <w:spacing w:before="240" w:after="200" w:line="276" w:lineRule="auto"/>
        <w:ind w:left="714" w:hanging="357"/>
        <w:rPr>
          <w:rFonts w:ascii="ITC Avant Garde" w:eastAsia="Calibri" w:hAnsi="ITC Avant Garde"/>
          <w:bCs/>
          <w:lang w:val="es-ES"/>
        </w:rPr>
      </w:pPr>
      <w:r w:rsidRPr="00D42447">
        <w:rPr>
          <w:rFonts w:ascii="ITC Avant Garde" w:eastAsia="Calibri" w:hAnsi="ITC Avant Garde"/>
          <w:bCs/>
          <w:lang w:val="es-ES"/>
        </w:rPr>
        <w:t>En relación con la presuncional, en su doble aspecto, legal y humana, se le da valor probatorio en términos del artículo 218 del CFPC al ser ésta la consecuencia lógica y natural de hechos conocidos y probados al momento de hacer la deducción respectiva.</w:t>
      </w:r>
    </w:p>
    <w:p w14:paraId="1EF9ADF9" w14:textId="77777777" w:rsidR="00D42447" w:rsidRPr="00D42447" w:rsidRDefault="003E3993" w:rsidP="00D42447">
      <w:pPr>
        <w:pStyle w:val="Prrafodelista"/>
        <w:numPr>
          <w:ilvl w:val="0"/>
          <w:numId w:val="18"/>
        </w:numPr>
        <w:spacing w:before="240" w:after="200" w:line="276" w:lineRule="auto"/>
        <w:ind w:left="714" w:hanging="357"/>
        <w:rPr>
          <w:rFonts w:ascii="ITC Avant Garde" w:eastAsia="Calibri" w:hAnsi="ITC Avant Garde"/>
          <w:bCs/>
          <w:lang w:val="es-ES"/>
        </w:rPr>
      </w:pPr>
      <w:r w:rsidRPr="00D42447">
        <w:rPr>
          <w:rFonts w:ascii="ITC Avant Garde" w:eastAsia="Calibri" w:hAnsi="ITC Avant Garde"/>
          <w:bCs/>
          <w:lang w:val="es-ES"/>
        </w:rPr>
        <w:t>Respecto de la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bookmarkEnd w:id="5"/>
    <w:p w14:paraId="22DA4B23" w14:textId="77777777" w:rsidR="00D42447" w:rsidRPr="00D42447" w:rsidRDefault="00106FE3" w:rsidP="00D42447">
      <w:pPr>
        <w:pStyle w:val="Piedepgina"/>
        <w:widowControl w:val="0"/>
        <w:tabs>
          <w:tab w:val="left" w:pos="720"/>
        </w:tabs>
        <w:spacing w:before="240" w:after="200" w:line="276" w:lineRule="auto"/>
        <w:jc w:val="both"/>
        <w:rPr>
          <w:rFonts w:ascii="ITC Avant Garde" w:hAnsi="ITC Avant Garde" w:cs="Arial"/>
        </w:rPr>
      </w:pPr>
      <w:r w:rsidRPr="00D42447">
        <w:rPr>
          <w:rFonts w:ascii="ITC Avant Garde" w:eastAsia="Times New Roman" w:hAnsi="ITC Avant Garde"/>
          <w:b/>
          <w:lang w:eastAsia="es-ES"/>
        </w:rPr>
        <w:t>QUINTO</w:t>
      </w:r>
      <w:r w:rsidR="002920C0" w:rsidRPr="00D42447">
        <w:rPr>
          <w:rFonts w:ascii="ITC Avant Garde" w:eastAsia="Times New Roman" w:hAnsi="ITC Avant Garde"/>
          <w:b/>
          <w:lang w:eastAsia="es-ES"/>
        </w:rPr>
        <w:t xml:space="preserve">.- </w:t>
      </w:r>
      <w:bookmarkEnd w:id="1"/>
      <w:r w:rsidR="00321C60" w:rsidRPr="00D42447">
        <w:rPr>
          <w:rFonts w:ascii="ITC Avant Garde" w:eastAsia="Times New Roman" w:hAnsi="ITC Avant Garde"/>
          <w:b/>
          <w:lang w:eastAsia="es-ES"/>
        </w:rPr>
        <w:t>Condiciones no convenidas sujetas a resolución</w:t>
      </w:r>
      <w:r w:rsidR="00C92C0A" w:rsidRPr="00D42447">
        <w:rPr>
          <w:rFonts w:ascii="ITC Avant Garde" w:eastAsia="Times New Roman" w:hAnsi="ITC Avant Garde"/>
          <w:lang w:eastAsia="es-ES"/>
        </w:rPr>
        <w:t>.</w:t>
      </w:r>
      <w:r w:rsidR="00FA07C5" w:rsidRPr="00D42447">
        <w:rPr>
          <w:rFonts w:ascii="ITC Avant Garde" w:hAnsi="ITC Avant Garde"/>
          <w:b/>
        </w:rPr>
        <w:t xml:space="preserve"> </w:t>
      </w:r>
      <w:r w:rsidR="0089212E" w:rsidRPr="00D42447">
        <w:rPr>
          <w:rFonts w:ascii="ITC Avant Garde" w:hAnsi="ITC Avant Garde"/>
        </w:rPr>
        <w:t xml:space="preserve">Telcel </w:t>
      </w:r>
      <w:r w:rsidR="00083F8D" w:rsidRPr="00D42447">
        <w:rPr>
          <w:rFonts w:ascii="ITC Avant Garde" w:eastAsia="Times New Roman" w:hAnsi="ITC Avant Garde"/>
          <w:lang w:eastAsia="es-ES"/>
        </w:rPr>
        <w:t>plantea lo</w:t>
      </w:r>
      <w:r w:rsidR="00FA07C5" w:rsidRPr="00D42447">
        <w:rPr>
          <w:rFonts w:ascii="ITC Avant Garde" w:eastAsia="Times New Roman" w:hAnsi="ITC Avant Garde"/>
          <w:lang w:eastAsia="es-ES"/>
        </w:rPr>
        <w:t xml:space="preserve">s siguientes </w:t>
      </w:r>
      <w:r w:rsidR="00083F8D" w:rsidRPr="00D42447">
        <w:rPr>
          <w:rFonts w:ascii="ITC Avant Garde" w:eastAsia="Times New Roman" w:hAnsi="ITC Avant Garde"/>
          <w:lang w:eastAsia="es-ES"/>
        </w:rPr>
        <w:t>términos, condiciones</w:t>
      </w:r>
      <w:r w:rsidR="00FA07C5" w:rsidRPr="00D42447">
        <w:rPr>
          <w:rFonts w:ascii="ITC Avant Garde" w:eastAsia="Times New Roman" w:hAnsi="ITC Avant Garde"/>
          <w:lang w:eastAsia="es-ES"/>
        </w:rPr>
        <w:t xml:space="preserve"> y tarifas de interconexión que no pudo conv</w:t>
      </w:r>
      <w:r w:rsidR="000A49A1" w:rsidRPr="00D42447">
        <w:rPr>
          <w:rFonts w:ascii="ITC Avant Garde" w:eastAsia="Times New Roman" w:hAnsi="ITC Avant Garde"/>
          <w:lang w:eastAsia="es-ES"/>
        </w:rPr>
        <w:t>enir con</w:t>
      </w:r>
      <w:r w:rsidR="009C071E" w:rsidRPr="00D42447">
        <w:rPr>
          <w:rFonts w:ascii="ITC Avant Garde" w:eastAsia="Times New Roman" w:hAnsi="ITC Avant Garde"/>
          <w:lang w:eastAsia="es-ES"/>
        </w:rPr>
        <w:t xml:space="preserve"> </w:t>
      </w:r>
      <w:r w:rsidR="008366F3" w:rsidRPr="00D42447">
        <w:rPr>
          <w:rFonts w:ascii="ITC Avant Garde" w:eastAsia="Times New Roman" w:hAnsi="ITC Avant Garde"/>
          <w:lang w:eastAsia="es-ES"/>
        </w:rPr>
        <w:t>Mega Cable</w:t>
      </w:r>
      <w:r w:rsidR="00FA07C5" w:rsidRPr="00D42447">
        <w:rPr>
          <w:rFonts w:ascii="ITC Avant Garde" w:eastAsia="Times New Roman" w:hAnsi="ITC Avant Garde"/>
          <w:lang w:eastAsia="es-ES"/>
        </w:rPr>
        <w:t>:</w:t>
      </w:r>
    </w:p>
    <w:p w14:paraId="1768698B" w14:textId="77777777" w:rsidR="00D42447" w:rsidRPr="00D42447" w:rsidRDefault="00B40500" w:rsidP="00D42447">
      <w:pPr>
        <w:pStyle w:val="Prrafodelista"/>
        <w:numPr>
          <w:ilvl w:val="0"/>
          <w:numId w:val="13"/>
        </w:numPr>
        <w:spacing w:before="240" w:after="200" w:line="276" w:lineRule="auto"/>
        <w:rPr>
          <w:rFonts w:ascii="ITC Avant Garde" w:hAnsi="ITC Avant Garde"/>
        </w:rPr>
      </w:pPr>
      <w:r w:rsidRPr="00D42447">
        <w:rPr>
          <w:rFonts w:ascii="ITC Avant Garde" w:hAnsi="ITC Avant Garde"/>
        </w:rPr>
        <w:t>Determin</w:t>
      </w:r>
      <w:r w:rsidR="007D3782" w:rsidRPr="00D42447">
        <w:rPr>
          <w:rFonts w:ascii="ITC Avant Garde" w:hAnsi="ITC Avant Garde"/>
        </w:rPr>
        <w:t>ar</w:t>
      </w:r>
      <w:r w:rsidRPr="00D42447">
        <w:rPr>
          <w:rFonts w:ascii="ITC Avant Garde" w:hAnsi="ITC Avant Garde"/>
        </w:rPr>
        <w:t xml:space="preserve"> </w:t>
      </w:r>
      <w:r w:rsidR="0089212E" w:rsidRPr="00D42447">
        <w:rPr>
          <w:rFonts w:ascii="ITC Avant Garde" w:hAnsi="ITC Avant Garde"/>
        </w:rPr>
        <w:t xml:space="preserve">las tarifas de </w:t>
      </w:r>
      <w:r w:rsidR="007A3C1C" w:rsidRPr="00D42447">
        <w:rPr>
          <w:rFonts w:ascii="ITC Avant Garde" w:hAnsi="ITC Avant Garde"/>
        </w:rPr>
        <w:t xml:space="preserve">interconexión que Telcel deberá </w:t>
      </w:r>
      <w:r w:rsidR="0089212E" w:rsidRPr="00D42447">
        <w:rPr>
          <w:rFonts w:ascii="ITC Avant Garde" w:hAnsi="ITC Avant Garde"/>
        </w:rPr>
        <w:t xml:space="preserve">pagar por servicios de terminación de tráfico público conmutado en la red de servicio local fijo de </w:t>
      </w:r>
      <w:r w:rsidR="008366F3" w:rsidRPr="00D42447">
        <w:rPr>
          <w:rFonts w:ascii="ITC Avant Garde" w:hAnsi="ITC Avant Garde"/>
        </w:rPr>
        <w:t>Mega Cable</w:t>
      </w:r>
      <w:r w:rsidR="0089212E" w:rsidRPr="00D42447">
        <w:rPr>
          <w:rFonts w:ascii="ITC Avant Garde" w:hAnsi="ITC Avant Garde"/>
        </w:rPr>
        <w:t xml:space="preserve">, para el periodo comprendido </w:t>
      </w:r>
      <w:r w:rsidR="007A3C1C" w:rsidRPr="00D42447">
        <w:rPr>
          <w:rFonts w:ascii="ITC Avant Garde" w:hAnsi="ITC Avant Garde"/>
        </w:rPr>
        <w:t>d</w:t>
      </w:r>
      <w:r w:rsidR="0089212E" w:rsidRPr="00D42447">
        <w:rPr>
          <w:rFonts w:ascii="ITC Avant Garde" w:hAnsi="ITC Avant Garde"/>
        </w:rPr>
        <w:t>el 1 de enero al 31 de diciembre de 201</w:t>
      </w:r>
      <w:r w:rsidR="004542F6" w:rsidRPr="00D42447">
        <w:rPr>
          <w:rFonts w:ascii="ITC Avant Garde" w:hAnsi="ITC Avant Garde"/>
        </w:rPr>
        <w:t>8</w:t>
      </w:r>
      <w:r w:rsidR="00BC7E36" w:rsidRPr="00D42447">
        <w:rPr>
          <w:rFonts w:ascii="ITC Avant Garde" w:hAnsi="ITC Avant Garde"/>
        </w:rPr>
        <w:t>.</w:t>
      </w:r>
    </w:p>
    <w:p w14:paraId="3F53CDD6" w14:textId="77777777" w:rsidR="00D42447" w:rsidRPr="00D42447" w:rsidRDefault="009D5756" w:rsidP="00D42447">
      <w:pPr>
        <w:pStyle w:val="Piedepgina"/>
        <w:widowControl w:val="0"/>
        <w:tabs>
          <w:tab w:val="left" w:pos="720"/>
        </w:tabs>
        <w:spacing w:before="240" w:after="200" w:line="276" w:lineRule="auto"/>
        <w:jc w:val="both"/>
        <w:rPr>
          <w:rFonts w:ascii="ITC Avant Garde" w:eastAsia="Times New Roman" w:hAnsi="ITC Avant Garde"/>
          <w:lang w:eastAsia="es-ES"/>
        </w:rPr>
      </w:pPr>
      <w:r w:rsidRPr="00D42447">
        <w:rPr>
          <w:rFonts w:ascii="ITC Avant Garde" w:eastAsia="Times New Roman" w:hAnsi="ITC Avant Garde"/>
          <w:lang w:eastAsia="es-ES"/>
        </w:rPr>
        <w:t xml:space="preserve">Por su parte, </w:t>
      </w:r>
      <w:r w:rsidR="008366F3" w:rsidRPr="00D42447">
        <w:rPr>
          <w:rFonts w:ascii="ITC Avant Garde" w:hAnsi="ITC Avant Garde"/>
          <w:lang w:val="es-ES" w:eastAsia="es-ES"/>
        </w:rPr>
        <w:t>Mega Cable</w:t>
      </w:r>
      <w:r w:rsidRPr="00D42447">
        <w:rPr>
          <w:rFonts w:ascii="ITC Avant Garde" w:hAnsi="ITC Avant Garde"/>
          <w:lang w:val="es-ES" w:eastAsia="es-ES"/>
        </w:rPr>
        <w:t xml:space="preserve"> </w:t>
      </w:r>
      <w:r w:rsidRPr="00D42447">
        <w:rPr>
          <w:rFonts w:ascii="ITC Avant Garde" w:eastAsia="Times New Roman" w:hAnsi="ITC Avant Garde"/>
          <w:lang w:eastAsia="es-ES"/>
        </w:rPr>
        <w:t xml:space="preserve">en su escrito de respuesta de fecha </w:t>
      </w:r>
      <w:r w:rsidR="00721A76" w:rsidRPr="00D42447">
        <w:rPr>
          <w:rFonts w:ascii="ITC Avant Garde" w:eastAsia="Times New Roman" w:hAnsi="ITC Avant Garde"/>
          <w:lang w:eastAsia="es-ES"/>
        </w:rPr>
        <w:t xml:space="preserve">13 de septiembre </w:t>
      </w:r>
      <w:r w:rsidRPr="00D42447">
        <w:rPr>
          <w:rFonts w:ascii="ITC Avant Garde" w:eastAsia="Times New Roman" w:hAnsi="ITC Avant Garde"/>
          <w:lang w:eastAsia="es-ES"/>
        </w:rPr>
        <w:t xml:space="preserve">de 2017 </w:t>
      </w:r>
      <w:r w:rsidR="00EC7F72" w:rsidRPr="00D42447">
        <w:rPr>
          <w:rFonts w:ascii="ITC Avant Garde" w:eastAsia="Times New Roman" w:hAnsi="ITC Avant Garde"/>
          <w:lang w:eastAsia="es-ES"/>
        </w:rPr>
        <w:t>solicita:</w:t>
      </w:r>
    </w:p>
    <w:p w14:paraId="2C569E03" w14:textId="77777777" w:rsidR="00D42447" w:rsidRPr="00D42447" w:rsidRDefault="00820AA1" w:rsidP="00D42447">
      <w:pPr>
        <w:pStyle w:val="Prrafodelista"/>
        <w:numPr>
          <w:ilvl w:val="0"/>
          <w:numId w:val="13"/>
        </w:numPr>
        <w:spacing w:before="240" w:after="200" w:line="276" w:lineRule="auto"/>
        <w:contextualSpacing/>
        <w:rPr>
          <w:rFonts w:ascii="ITC Avant Garde" w:hAnsi="ITC Avant Garde"/>
        </w:rPr>
      </w:pPr>
      <w:r w:rsidRPr="00D42447">
        <w:rPr>
          <w:rFonts w:ascii="ITC Avant Garde" w:hAnsi="ITC Avant Garde"/>
        </w:rPr>
        <w:t>Determinar las tarifas que Telcel deberá pagar para el periodo del 1 de enero al 31 de diciembre de 2018 a Mega Cable, por los servicios de terminación de tráfico público conmutado en la red del servicio local fijo de Mega Cable, considerando la declaración de AEP.</w:t>
      </w:r>
    </w:p>
    <w:p w14:paraId="0D56E1BD" w14:textId="77777777" w:rsidR="00D42447" w:rsidRPr="00D42447" w:rsidRDefault="00820AA1" w:rsidP="00D42447">
      <w:pPr>
        <w:pStyle w:val="Prrafodelista"/>
        <w:numPr>
          <w:ilvl w:val="0"/>
          <w:numId w:val="13"/>
        </w:numPr>
        <w:spacing w:before="240" w:after="200" w:line="276" w:lineRule="auto"/>
        <w:contextualSpacing/>
        <w:rPr>
          <w:rFonts w:ascii="ITC Avant Garde" w:hAnsi="ITC Avant Garde"/>
        </w:rPr>
      </w:pPr>
      <w:r w:rsidRPr="00D42447">
        <w:rPr>
          <w:rFonts w:ascii="ITC Avant Garde" w:hAnsi="ITC Avant Garde"/>
        </w:rPr>
        <w:t>Determinar las tarifas que Mega Cable deberá pagar para el periodo del 1 de enero al 31 de diciembre de 201</w:t>
      </w:r>
      <w:r w:rsidR="00065B07" w:rsidRPr="00D42447">
        <w:rPr>
          <w:rFonts w:ascii="ITC Avant Garde" w:hAnsi="ITC Avant Garde"/>
        </w:rPr>
        <w:t>8</w:t>
      </w:r>
      <w:r w:rsidRPr="00D42447">
        <w:rPr>
          <w:rFonts w:ascii="ITC Avant Garde" w:hAnsi="ITC Avant Garde"/>
        </w:rPr>
        <w:t xml:space="preserve"> a Telcel, por servicios de terminación del servicio local en usuarios móviles bajo la modalidad “el que llama paga”.</w:t>
      </w:r>
    </w:p>
    <w:p w14:paraId="0E1F5125" w14:textId="77777777" w:rsidR="00D42447" w:rsidRPr="00D42447" w:rsidRDefault="00FC77B5" w:rsidP="00D42447">
      <w:pPr>
        <w:pStyle w:val="Prrafodelista"/>
        <w:numPr>
          <w:ilvl w:val="0"/>
          <w:numId w:val="13"/>
        </w:numPr>
        <w:spacing w:before="240" w:after="200" w:line="276" w:lineRule="auto"/>
        <w:contextualSpacing/>
        <w:rPr>
          <w:rFonts w:ascii="ITC Avant Garde" w:hAnsi="ITC Avant Garde"/>
        </w:rPr>
      </w:pPr>
      <w:r w:rsidRPr="00D42447">
        <w:rPr>
          <w:rFonts w:ascii="ITC Avant Garde" w:hAnsi="ITC Avant Garde"/>
        </w:rPr>
        <w:t>Determinar</w:t>
      </w:r>
      <w:r w:rsidR="00820AA1" w:rsidRPr="00D42447">
        <w:rPr>
          <w:rFonts w:ascii="ITC Avant Garde" w:hAnsi="ITC Avant Garde"/>
        </w:rPr>
        <w:t xml:space="preserve"> los términos y condiciones tarifarias bajo las cuales Mega Ca</w:t>
      </w:r>
      <w:r w:rsidR="006B63B0" w:rsidRPr="00D42447">
        <w:rPr>
          <w:rFonts w:ascii="ITC Avant Garde" w:hAnsi="ITC Avant Garde"/>
        </w:rPr>
        <w:t>b</w:t>
      </w:r>
      <w:r w:rsidR="00820AA1" w:rsidRPr="00D42447">
        <w:rPr>
          <w:rFonts w:ascii="ITC Avant Garde" w:hAnsi="ITC Avant Garde"/>
        </w:rPr>
        <w:t xml:space="preserve">le deberá pagar a Telcel, respecto a las contraprestaciones por los servicios de interconexión de coubicación, aplicables para el periodo que comprende el </w:t>
      </w:r>
      <w:r w:rsidR="005F253D" w:rsidRPr="00D42447">
        <w:rPr>
          <w:rFonts w:ascii="ITC Avant Garde" w:hAnsi="ITC Avant Garde"/>
        </w:rPr>
        <w:t xml:space="preserve">1 de enero al 31 de diciembre de </w:t>
      </w:r>
      <w:r w:rsidR="00820AA1" w:rsidRPr="00D42447">
        <w:rPr>
          <w:rFonts w:ascii="ITC Avant Garde" w:hAnsi="ITC Avant Garde"/>
        </w:rPr>
        <w:t>2018.</w:t>
      </w:r>
    </w:p>
    <w:p w14:paraId="4D594629" w14:textId="77777777" w:rsidR="00D42447" w:rsidRPr="00D42447" w:rsidRDefault="00820AA1" w:rsidP="00D42447">
      <w:pPr>
        <w:pStyle w:val="Prrafodelista"/>
        <w:numPr>
          <w:ilvl w:val="0"/>
          <w:numId w:val="13"/>
        </w:numPr>
        <w:spacing w:before="240" w:after="200" w:line="276" w:lineRule="auto"/>
        <w:contextualSpacing/>
        <w:rPr>
          <w:rFonts w:ascii="ITC Avant Garde" w:hAnsi="ITC Avant Garde"/>
        </w:rPr>
      </w:pPr>
      <w:r w:rsidRPr="00D42447">
        <w:rPr>
          <w:rFonts w:ascii="ITC Avant Garde" w:hAnsi="ITC Avant Garde"/>
        </w:rPr>
        <w:t>La tarifa por el servicio de terminación de tráfico público conmutado en la red del servicio lo</w:t>
      </w:r>
      <w:r w:rsidR="00AB0241" w:rsidRPr="00D42447">
        <w:rPr>
          <w:rFonts w:ascii="ITC Avant Garde" w:hAnsi="ITC Avant Garde"/>
        </w:rPr>
        <w:t>c</w:t>
      </w:r>
      <w:r w:rsidRPr="00D42447">
        <w:rPr>
          <w:rFonts w:ascii="ITC Avant Garde" w:hAnsi="ITC Avant Garde"/>
        </w:rPr>
        <w:t>al móvil de Telcel.</w:t>
      </w:r>
    </w:p>
    <w:p w14:paraId="1FA34451" w14:textId="77777777" w:rsidR="00D42447" w:rsidRPr="00D42447" w:rsidRDefault="00DC0881" w:rsidP="00D42447">
      <w:pPr>
        <w:spacing w:before="240"/>
        <w:jc w:val="both"/>
        <w:rPr>
          <w:rFonts w:ascii="ITC Avant Garde" w:eastAsia="Times New Roman" w:hAnsi="ITC Avant Garde"/>
        </w:rPr>
      </w:pPr>
      <w:r w:rsidRPr="00D42447">
        <w:rPr>
          <w:rFonts w:ascii="ITC Avant Garde" w:eastAsia="Times New Roman" w:hAnsi="ITC Avant Garde"/>
        </w:rPr>
        <w:lastRenderedPageBreak/>
        <w:t>Al respecto,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2BBEACB" w14:textId="77777777" w:rsidR="00D42447" w:rsidRPr="00D42447" w:rsidRDefault="00DC0881" w:rsidP="00D42447">
      <w:pPr>
        <w:spacing w:before="240"/>
        <w:jc w:val="both"/>
        <w:rPr>
          <w:rFonts w:ascii="ITC Avant Garde" w:eastAsia="Times New Roman" w:hAnsi="ITC Avant Garde"/>
        </w:rPr>
      </w:pPr>
      <w:r w:rsidRPr="00D42447">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1C0766F2" w14:textId="77777777" w:rsidR="00D42447" w:rsidRPr="00D42447" w:rsidRDefault="00DC0881" w:rsidP="00D42447">
      <w:pPr>
        <w:spacing w:before="240"/>
        <w:jc w:val="both"/>
        <w:rPr>
          <w:rFonts w:ascii="ITC Avant Garde" w:eastAsia="Times New Roman" w:hAnsi="ITC Avant Garde"/>
        </w:rPr>
      </w:pPr>
      <w:r w:rsidRPr="00D42447">
        <w:rPr>
          <w:rFonts w:ascii="ITC Avant Garde" w:eastAsia="Times New Roman" w:hAnsi="ITC Avant Garde"/>
        </w:rPr>
        <w:t>Es así que el Instituto deberá resolver sobre los términos, condiciones y tarifas que no hayan podido convenir las partes durante los sesenta días naturales que tienen para suscribir el convenio.</w:t>
      </w:r>
    </w:p>
    <w:p w14:paraId="533698CB" w14:textId="77777777" w:rsidR="00D42447" w:rsidRPr="00D42447" w:rsidRDefault="001653FB" w:rsidP="00D42447">
      <w:pPr>
        <w:spacing w:before="240"/>
        <w:jc w:val="both"/>
        <w:rPr>
          <w:rFonts w:ascii="ITC Avant Garde" w:eastAsia="Times New Roman" w:hAnsi="ITC Avant Garde"/>
          <w:lang w:eastAsia="es-ES"/>
        </w:rPr>
      </w:pPr>
      <w:r w:rsidRPr="00D42447">
        <w:rPr>
          <w:rFonts w:ascii="ITC Avant Garde" w:eastAsia="Times New Roman" w:hAnsi="ITC Avant Garde"/>
          <w:lang w:eastAsia="es-ES"/>
        </w:rPr>
        <w:t>Por lo que en términos del artículo 129 de la LFTR se procederá a resolver sobre las condiciones no convenidas.</w:t>
      </w:r>
    </w:p>
    <w:p w14:paraId="71378049" w14:textId="77777777" w:rsidR="00D42447" w:rsidRPr="00D42447" w:rsidRDefault="001653FB" w:rsidP="00D42447">
      <w:pPr>
        <w:spacing w:before="240"/>
        <w:jc w:val="both"/>
        <w:rPr>
          <w:rFonts w:ascii="ITC Avant Garde" w:hAnsi="ITC Avant Garde"/>
        </w:rPr>
      </w:pPr>
      <w:r w:rsidRPr="00D42447">
        <w:rPr>
          <w:rFonts w:ascii="ITC Avant Garde" w:hAnsi="ITC Avant Garde"/>
        </w:rPr>
        <w:t>Cabe señalar, que la condición planteada por Mega Cable en el</w:t>
      </w:r>
      <w:r w:rsidR="002C434A" w:rsidRPr="00D42447">
        <w:rPr>
          <w:rFonts w:ascii="ITC Avant Garde" w:hAnsi="ITC Avant Garde"/>
        </w:rPr>
        <w:t xml:space="preserve"> inciso</w:t>
      </w:r>
      <w:r w:rsidRPr="00D42447">
        <w:rPr>
          <w:rFonts w:ascii="ITC Avant Garde" w:hAnsi="ITC Avant Garde"/>
        </w:rPr>
        <w:t xml:space="preserve"> </w:t>
      </w:r>
      <w:r w:rsidR="00232F8A" w:rsidRPr="00D42447">
        <w:rPr>
          <w:rFonts w:ascii="ITC Avant Garde" w:hAnsi="ITC Avant Garde"/>
          <w:b/>
        </w:rPr>
        <w:t>b</w:t>
      </w:r>
      <w:r w:rsidRPr="00D42447">
        <w:rPr>
          <w:rFonts w:ascii="ITC Avant Garde" w:hAnsi="ITC Avant Garde"/>
          <w:b/>
        </w:rPr>
        <w:t>)</w:t>
      </w:r>
      <w:r w:rsidRPr="00D42447">
        <w:rPr>
          <w:rFonts w:ascii="ITC Avant Garde" w:hAnsi="ITC Avant Garde"/>
        </w:rPr>
        <w:t xml:space="preserve"> está comprendida en la condición identificada en el inciso </w:t>
      </w:r>
      <w:r w:rsidR="00232F8A" w:rsidRPr="00D42447">
        <w:rPr>
          <w:rFonts w:ascii="ITC Avant Garde" w:hAnsi="ITC Avant Garde"/>
          <w:b/>
        </w:rPr>
        <w:t>a</w:t>
      </w:r>
      <w:r w:rsidRPr="00D42447">
        <w:rPr>
          <w:rFonts w:ascii="ITC Avant Garde" w:hAnsi="ITC Avant Garde"/>
          <w:b/>
        </w:rPr>
        <w:t>)</w:t>
      </w:r>
      <w:r w:rsidRPr="00D42447">
        <w:rPr>
          <w:rFonts w:ascii="ITC Avant Garde" w:hAnsi="ITC Avant Garde"/>
        </w:rPr>
        <w:t xml:space="preserve">, </w:t>
      </w:r>
      <w:r w:rsidR="006B63B0" w:rsidRPr="00D42447">
        <w:rPr>
          <w:rFonts w:ascii="ITC Avant Garde" w:hAnsi="ITC Avant Garde"/>
        </w:rPr>
        <w:t xml:space="preserve">y de la misma manera, la condición planteada en el inciso </w:t>
      </w:r>
      <w:r w:rsidR="006B63B0" w:rsidRPr="00D42447">
        <w:rPr>
          <w:rFonts w:ascii="ITC Avant Garde" w:hAnsi="ITC Avant Garde"/>
          <w:b/>
        </w:rPr>
        <w:t>e)</w:t>
      </w:r>
      <w:r w:rsidR="006B63B0" w:rsidRPr="00D42447">
        <w:rPr>
          <w:rFonts w:ascii="ITC Avant Garde" w:hAnsi="ITC Avant Garde"/>
        </w:rPr>
        <w:t xml:space="preserve"> está comprendida en la condición inciso </w:t>
      </w:r>
      <w:r w:rsidR="006B63B0" w:rsidRPr="00D42447">
        <w:rPr>
          <w:rFonts w:ascii="ITC Avant Garde" w:hAnsi="ITC Avant Garde"/>
          <w:b/>
        </w:rPr>
        <w:t>c),</w:t>
      </w:r>
      <w:r w:rsidR="006B63B0" w:rsidRPr="00D42447">
        <w:rPr>
          <w:rFonts w:ascii="ITC Avant Garde" w:hAnsi="ITC Avant Garde"/>
        </w:rPr>
        <w:t xml:space="preserve">  </w:t>
      </w:r>
      <w:r w:rsidRPr="00D42447">
        <w:rPr>
          <w:rFonts w:ascii="ITC Avant Garde" w:hAnsi="ITC Avant Garde"/>
        </w:rPr>
        <w:t>por lo que en las consideraciones que este Instituto emita al respecto, se atenderán de manera conjunta.</w:t>
      </w:r>
    </w:p>
    <w:p w14:paraId="5A1BEE2A" w14:textId="77777777" w:rsidR="00D42447" w:rsidRPr="00D42447" w:rsidRDefault="00DC0881" w:rsidP="00D42447">
      <w:pPr>
        <w:spacing w:before="240"/>
        <w:jc w:val="both"/>
        <w:rPr>
          <w:rFonts w:ascii="ITC Avant Garde" w:eastAsia="Times New Roman" w:hAnsi="ITC Avant Garde"/>
          <w:lang w:val="es-ES" w:eastAsia="es-ES"/>
        </w:rPr>
      </w:pPr>
      <w:r w:rsidRPr="00D42447">
        <w:rPr>
          <w:rFonts w:ascii="ITC Avant Garde" w:eastAsia="Times New Roman" w:hAnsi="ITC Avant Garde"/>
          <w:lang w:val="es-ES" w:eastAsia="es-ES"/>
        </w:rPr>
        <w:t>En virtud de lo anterior, las condiciones no convenidas planteadas por las partes que el Instituto resolverá son:</w:t>
      </w:r>
    </w:p>
    <w:p w14:paraId="3D3D30AE" w14:textId="77777777" w:rsidR="00D42447" w:rsidRPr="00D42447" w:rsidRDefault="00CC5BE9" w:rsidP="00D42447">
      <w:pPr>
        <w:pStyle w:val="Prrafodelista"/>
        <w:widowControl w:val="0"/>
        <w:numPr>
          <w:ilvl w:val="0"/>
          <w:numId w:val="23"/>
        </w:numPr>
        <w:tabs>
          <w:tab w:val="center" w:pos="4419"/>
          <w:tab w:val="right" w:pos="8838"/>
        </w:tabs>
        <w:spacing w:before="240" w:after="200" w:line="276" w:lineRule="auto"/>
        <w:rPr>
          <w:rFonts w:ascii="ITC Avant Garde" w:hAnsi="ITC Avant Garde"/>
        </w:rPr>
      </w:pPr>
      <w:r w:rsidRPr="00D42447">
        <w:rPr>
          <w:rFonts w:ascii="ITC Avant Garde" w:hAnsi="ITC Avant Garde"/>
        </w:rPr>
        <w:t>La tarifa que Telcel deberá pagar a Mega Cable por el servicio de terminación de tráfico público conmutado en la red de servicio local fijo de Mega Cable, para el periodo del 1 de enero al 31 de diciembre de 2018.</w:t>
      </w:r>
    </w:p>
    <w:p w14:paraId="503A94A3" w14:textId="77777777" w:rsidR="00D42447" w:rsidRPr="00D42447" w:rsidRDefault="00CE36FC" w:rsidP="00D42447">
      <w:pPr>
        <w:pStyle w:val="Prrafodelista"/>
        <w:numPr>
          <w:ilvl w:val="0"/>
          <w:numId w:val="23"/>
        </w:numPr>
        <w:spacing w:before="240" w:after="200" w:line="276" w:lineRule="auto"/>
        <w:contextualSpacing/>
        <w:rPr>
          <w:rFonts w:ascii="ITC Avant Garde" w:hAnsi="ITC Avant Garde"/>
        </w:rPr>
      </w:pPr>
      <w:r w:rsidRPr="00D42447">
        <w:rPr>
          <w:rFonts w:ascii="ITC Avant Garde" w:hAnsi="ITC Avant Garde"/>
        </w:rPr>
        <w:t>La</w:t>
      </w:r>
      <w:r w:rsidR="00232F8A" w:rsidRPr="00D42447">
        <w:rPr>
          <w:rFonts w:ascii="ITC Avant Garde" w:hAnsi="ITC Avant Garde"/>
        </w:rPr>
        <w:t xml:space="preserve"> tarifa</w:t>
      </w:r>
      <w:r w:rsidRPr="00D42447">
        <w:rPr>
          <w:rFonts w:ascii="ITC Avant Garde" w:hAnsi="ITC Avant Garde"/>
        </w:rPr>
        <w:t xml:space="preserve"> que Mega Cable deberá pagar para el periodo del 1 de enero al 31 de diciembre de 201</w:t>
      </w:r>
      <w:r w:rsidR="00232F8A" w:rsidRPr="00D42447">
        <w:rPr>
          <w:rFonts w:ascii="ITC Avant Garde" w:hAnsi="ITC Avant Garde"/>
        </w:rPr>
        <w:t>8</w:t>
      </w:r>
      <w:r w:rsidRPr="00D42447">
        <w:rPr>
          <w:rFonts w:ascii="ITC Avant Garde" w:hAnsi="ITC Avant Garde"/>
        </w:rPr>
        <w:t xml:space="preserve"> a Telcel, por servicios de terminación del servicio local en usuarios móviles bajo la modalidad “el que llama paga”.</w:t>
      </w:r>
    </w:p>
    <w:p w14:paraId="60B81459" w14:textId="6F8158DA" w:rsidR="00CE36FC" w:rsidRPr="00D42447" w:rsidRDefault="00CE36FC" w:rsidP="00D42447">
      <w:pPr>
        <w:pStyle w:val="Prrafodelista"/>
        <w:numPr>
          <w:ilvl w:val="0"/>
          <w:numId w:val="23"/>
        </w:numPr>
        <w:spacing w:before="240" w:after="200" w:line="276" w:lineRule="auto"/>
        <w:contextualSpacing/>
        <w:rPr>
          <w:rFonts w:ascii="ITC Avant Garde" w:hAnsi="ITC Avant Garde"/>
        </w:rPr>
      </w:pPr>
      <w:r w:rsidRPr="00D42447">
        <w:rPr>
          <w:rFonts w:ascii="ITC Avant Garde" w:hAnsi="ITC Avant Garde"/>
        </w:rPr>
        <w:lastRenderedPageBreak/>
        <w:t>Las tarifas bajo las cuales Mega Ca</w:t>
      </w:r>
      <w:r w:rsidR="002E709B" w:rsidRPr="00D42447">
        <w:rPr>
          <w:rFonts w:ascii="ITC Avant Garde" w:hAnsi="ITC Avant Garde"/>
        </w:rPr>
        <w:t>b</w:t>
      </w:r>
      <w:r w:rsidRPr="00D42447">
        <w:rPr>
          <w:rFonts w:ascii="ITC Avant Garde" w:hAnsi="ITC Avant Garde"/>
        </w:rPr>
        <w:t>le deberá pagar a Telcel, respecto a las contraprestaciones por los servicios de coubicación, aplicables para el periodo que comprende el 1 de enero al 31 de diciembre de 2018.</w:t>
      </w:r>
    </w:p>
    <w:p w14:paraId="2971693E" w14:textId="77777777" w:rsidR="00D42447" w:rsidRPr="00D42447" w:rsidRDefault="00105512" w:rsidP="00D42447">
      <w:pPr>
        <w:spacing w:before="240"/>
        <w:jc w:val="both"/>
        <w:rPr>
          <w:rFonts w:ascii="ITC Avant Garde" w:eastAsia="Times New Roman" w:hAnsi="ITC Avant Garde"/>
          <w:lang w:eastAsia="es-ES"/>
        </w:rPr>
      </w:pPr>
      <w:r w:rsidRPr="00D42447">
        <w:rPr>
          <w:rFonts w:ascii="ITC Avant Garde" w:eastAsia="Times New Roman" w:hAnsi="ITC Avant Garde"/>
          <w:lang w:eastAsia="es-ES"/>
        </w:rPr>
        <w:t>Toda vez que en las manifestaciones y alegatos de la partes no surgieron puntos adicionales o manifestaciones generales que analizar, en términos del artículo 129 de la LFTR se procederá a resolver sobre las condiciones no convenidas.</w:t>
      </w:r>
    </w:p>
    <w:p w14:paraId="548A636D" w14:textId="77777777" w:rsidR="00D42447" w:rsidRPr="00D42447" w:rsidRDefault="00D53A1A" w:rsidP="00D42447">
      <w:pPr>
        <w:tabs>
          <w:tab w:val="left" w:pos="3138"/>
        </w:tabs>
        <w:spacing w:before="240"/>
        <w:jc w:val="both"/>
        <w:rPr>
          <w:rFonts w:ascii="ITC Avant Garde" w:hAnsi="ITC Avant Garde"/>
        </w:rPr>
      </w:pPr>
      <w:r w:rsidRPr="00D42447">
        <w:rPr>
          <w:rFonts w:ascii="ITC Avant Garde" w:eastAsia="Times New Roman" w:hAnsi="ITC Avant Garde"/>
          <w:b/>
          <w:lang w:val="es-ES" w:eastAsia="es-ES"/>
        </w:rPr>
        <w:t xml:space="preserve">1. Tarifas </w:t>
      </w:r>
      <w:r w:rsidR="002A7A95" w:rsidRPr="00D42447">
        <w:rPr>
          <w:rFonts w:ascii="ITC Avant Garde" w:eastAsia="Times New Roman" w:hAnsi="ITC Avant Garde"/>
          <w:b/>
          <w:lang w:val="es-ES" w:eastAsia="es-ES"/>
        </w:rPr>
        <w:t>de interconexión</w:t>
      </w:r>
    </w:p>
    <w:p w14:paraId="32C0E4BD" w14:textId="77777777" w:rsidR="00D42447" w:rsidRPr="00D42447" w:rsidRDefault="00D53A1A" w:rsidP="00D42447">
      <w:pPr>
        <w:spacing w:before="240"/>
        <w:jc w:val="both"/>
        <w:rPr>
          <w:rFonts w:ascii="ITC Avant Garde" w:eastAsia="Times New Roman" w:hAnsi="ITC Avant Garde"/>
          <w:b/>
          <w:szCs w:val="24"/>
          <w:lang w:eastAsia="es-ES"/>
        </w:rPr>
      </w:pPr>
      <w:r w:rsidRPr="00D42447">
        <w:rPr>
          <w:rFonts w:ascii="ITC Avant Garde" w:eastAsia="Times New Roman" w:hAnsi="ITC Avant Garde"/>
          <w:b/>
          <w:szCs w:val="24"/>
          <w:lang w:eastAsia="es-ES"/>
        </w:rPr>
        <w:t>Argumentos de las partes</w:t>
      </w:r>
    </w:p>
    <w:p w14:paraId="73474176" w14:textId="77777777" w:rsidR="00D42447" w:rsidRPr="00D42447" w:rsidRDefault="002A55F6" w:rsidP="00D42447">
      <w:pPr>
        <w:widowControl w:val="0"/>
        <w:tabs>
          <w:tab w:val="left" w:pos="720"/>
          <w:tab w:val="center" w:pos="4419"/>
          <w:tab w:val="right" w:pos="8838"/>
        </w:tabs>
        <w:spacing w:before="240"/>
        <w:jc w:val="both"/>
        <w:rPr>
          <w:rFonts w:ascii="ITC Avant Garde" w:hAnsi="ITC Avant Garde"/>
          <w:lang w:val="es-ES" w:eastAsia="es-ES"/>
        </w:rPr>
      </w:pPr>
      <w:r w:rsidRPr="00D42447">
        <w:rPr>
          <w:rFonts w:ascii="ITC Avant Garde" w:hAnsi="ITC Avant Garde" w:cs="Arial"/>
          <w:lang w:val="es-ES"/>
        </w:rPr>
        <w:t xml:space="preserve">En la Solicitud de Resolución, Telcel manifiesta que con fecha 9 de mayo de 2017, solicitó formalmente a Mega Cable dar inicio a las negociaciones tendientes a acordar las tarifas de interconexión </w:t>
      </w:r>
      <w:r w:rsidRPr="00D42447">
        <w:rPr>
          <w:rFonts w:ascii="ITC Avant Garde" w:hAnsi="ITC Avant Garde"/>
          <w:lang w:val="es-ES" w:eastAsia="es-ES"/>
        </w:rPr>
        <w:t>que Telcel deberá pagarle por servicios de terminación de tráfico publico conmutado en la red de servicio local fijo de Mega Cable, durante el periodo comprendido entre el 1 de enero y el 31 de diciembre de 2018.</w:t>
      </w:r>
    </w:p>
    <w:p w14:paraId="207A1C26" w14:textId="77777777" w:rsidR="00D42447" w:rsidRPr="00D42447" w:rsidRDefault="0035329B" w:rsidP="00D42447">
      <w:pPr>
        <w:spacing w:before="240"/>
        <w:jc w:val="both"/>
        <w:rPr>
          <w:rFonts w:ascii="ITC Avant Garde" w:eastAsia="Times New Roman" w:hAnsi="ITC Avant Garde"/>
          <w:szCs w:val="24"/>
          <w:lang w:eastAsia="es-ES"/>
        </w:rPr>
      </w:pPr>
      <w:r w:rsidRPr="00D42447">
        <w:rPr>
          <w:rFonts w:ascii="ITC Avant Garde" w:eastAsia="Times New Roman" w:hAnsi="ITC Avant Garde"/>
          <w:szCs w:val="24"/>
          <w:lang w:eastAsia="es-ES"/>
        </w:rPr>
        <w:t>Por su parte, Mega C</w:t>
      </w:r>
      <w:r w:rsidR="00595E80" w:rsidRPr="00D42447">
        <w:rPr>
          <w:rFonts w:ascii="ITC Avant Garde" w:eastAsia="Times New Roman" w:hAnsi="ITC Avant Garde"/>
          <w:szCs w:val="24"/>
          <w:lang w:eastAsia="es-ES"/>
        </w:rPr>
        <w:t>able en sus Escritos de Respuesta, así como de alegatos,</w:t>
      </w:r>
      <w:r w:rsidR="00B6133A" w:rsidRPr="00D42447">
        <w:rPr>
          <w:rFonts w:ascii="ITC Avant Garde" w:eastAsia="Times New Roman" w:hAnsi="ITC Avant Garde"/>
          <w:szCs w:val="24"/>
          <w:lang w:eastAsia="es-ES"/>
        </w:rPr>
        <w:t xml:space="preserve"> manifiesta que la resolución del lnstituto en el presente desacuerdo para determinar las tarifas para el periodo del 1 de enero al 31 de diciembre de 2018, debe estar al cumplimiento de lo dispuesto en el artículo 137 de la Ley, por lo que el lnstituto en ejercicio de las facultades que le competen, en el último trimestre del año deberá establecer las condiciones técnicas mínimas para la interconexión entre concesionarios que operen redes públicas de telecomunicaciones y las tarifas que resulten de las metodologías de costos, por lo que deben resolverse las tarifas del periodo que comprende del 1 de enero al 31 de diciembre de 2018, solicitado por Telcel y determinar a su vez, las tarifas que deberá pagar Mega Cable a Telcel, una vez publicado el Acuerdo de tarifas 2018, además de los términos, condiciones y tarifas que solicita Mega Cable, porque de lo contrario se irrogaría un perjuicio directo a sus derechos, pues el lnstituto ante la falta de negociación de las partes y fijada la litis en el presente desacuerdo, debe ser reciproco y dar un trato no discriminatorio a ambos concesionarios.</w:t>
      </w:r>
    </w:p>
    <w:p w14:paraId="3A863855" w14:textId="77777777" w:rsidR="00D42447" w:rsidRPr="00D42447" w:rsidRDefault="0010213D" w:rsidP="00D42447">
      <w:pPr>
        <w:spacing w:before="240"/>
        <w:jc w:val="both"/>
        <w:rPr>
          <w:rFonts w:ascii="ITC Avant Garde" w:eastAsia="Times New Roman" w:hAnsi="ITC Avant Garde"/>
          <w:szCs w:val="24"/>
          <w:lang w:eastAsia="es-ES"/>
        </w:rPr>
      </w:pPr>
      <w:r w:rsidRPr="00D42447">
        <w:rPr>
          <w:rFonts w:ascii="ITC Avant Garde" w:eastAsia="Times New Roman" w:hAnsi="ITC Avant Garde"/>
          <w:szCs w:val="24"/>
          <w:lang w:eastAsia="es-ES"/>
        </w:rPr>
        <w:t xml:space="preserve">Por otro lado, Telcel en su escrito de alegatos de fecha 1 de noviembre de 2017, manifiesta </w:t>
      </w:r>
      <w:r w:rsidR="00990D97" w:rsidRPr="00D42447">
        <w:rPr>
          <w:rFonts w:ascii="ITC Avant Garde" w:eastAsia="Times New Roman" w:hAnsi="ITC Avant Garde"/>
          <w:szCs w:val="24"/>
          <w:lang w:eastAsia="es-ES"/>
        </w:rPr>
        <w:t>que las tarifas por terminación de tráfico que Telcel habrá de pagar a Mega Cable para el periodo comprendido del 1 de enero al 31 de diciembre de 2018, se deberán determinar de conformidad con lo que disponga el Acuerdo de CTM y Tarifas 2018, bajo el entendido de que la misma se deberá calcular con base en una metodología orientada a costos y que se ajuste a los principios constitucionales.</w:t>
      </w:r>
    </w:p>
    <w:p w14:paraId="10BFCE0C" w14:textId="77777777" w:rsidR="00D42447" w:rsidRPr="00D42447" w:rsidRDefault="0048350C" w:rsidP="00D42447">
      <w:pPr>
        <w:spacing w:before="240"/>
        <w:jc w:val="both"/>
        <w:rPr>
          <w:rFonts w:ascii="ITC Avant Garde" w:eastAsia="Times New Roman" w:hAnsi="ITC Avant Garde"/>
          <w:szCs w:val="24"/>
          <w:lang w:eastAsia="es-ES"/>
        </w:rPr>
      </w:pPr>
      <w:r w:rsidRPr="00D42447">
        <w:rPr>
          <w:rFonts w:ascii="ITC Avant Garde" w:eastAsia="Times New Roman" w:hAnsi="ITC Avant Garde"/>
          <w:szCs w:val="24"/>
          <w:lang w:eastAsia="es-ES"/>
        </w:rPr>
        <w:lastRenderedPageBreak/>
        <w:t>Asimismo, Telcel señala que el Instituto</w:t>
      </w:r>
      <w:r w:rsidR="002E6880" w:rsidRPr="00D42447">
        <w:rPr>
          <w:rFonts w:ascii="ITC Avant Garde" w:eastAsia="Times New Roman" w:hAnsi="ITC Avant Garde"/>
          <w:szCs w:val="24"/>
          <w:lang w:eastAsia="es-ES"/>
        </w:rPr>
        <w:t xml:space="preserve"> </w:t>
      </w:r>
      <w:r w:rsidRPr="00D42447">
        <w:rPr>
          <w:rFonts w:ascii="ITC Avant Garde" w:eastAsia="Times New Roman" w:hAnsi="ITC Avant Garde"/>
          <w:szCs w:val="24"/>
          <w:lang w:eastAsia="es-ES"/>
        </w:rPr>
        <w:t>(i)</w:t>
      </w:r>
      <w:r w:rsidR="00661CD2" w:rsidRPr="00D42447">
        <w:rPr>
          <w:rFonts w:ascii="ITC Avant Garde" w:eastAsia="Times New Roman" w:hAnsi="ITC Avant Garde"/>
          <w:szCs w:val="24"/>
          <w:lang w:eastAsia="es-ES"/>
        </w:rPr>
        <w:t xml:space="preserve"> </w:t>
      </w:r>
      <w:r w:rsidRPr="00D42447">
        <w:rPr>
          <w:rFonts w:ascii="ITC Avant Garde" w:eastAsia="Times New Roman" w:hAnsi="ITC Avant Garde"/>
          <w:szCs w:val="24"/>
          <w:lang w:eastAsia="es-ES"/>
        </w:rPr>
        <w:t>se encuentra jurídicamente impedido para proveer sobre la aplicación del régimen de gratuidad contemplado en la LFTR por lo que hace a la tarifa que el concesionario deberá pagar a Telcel por la terminación de tráfi</w:t>
      </w:r>
      <w:r w:rsidR="00044973" w:rsidRPr="00D42447">
        <w:rPr>
          <w:rFonts w:ascii="ITC Avant Garde" w:eastAsia="Times New Roman" w:hAnsi="ITC Avant Garde"/>
          <w:szCs w:val="24"/>
          <w:lang w:eastAsia="es-ES"/>
        </w:rPr>
        <w:t xml:space="preserve">co público conmutado en su red </w:t>
      </w:r>
      <w:r w:rsidRPr="00D42447">
        <w:rPr>
          <w:rFonts w:ascii="ITC Avant Garde" w:eastAsia="Times New Roman" w:hAnsi="ITC Avant Garde"/>
          <w:szCs w:val="24"/>
          <w:lang w:eastAsia="es-ES"/>
        </w:rPr>
        <w:t>móvil (ii) deberá determinar esas tarifas en estricto cumplimiento a los extremos de la ejecutoria del juicio de amparo 1100/2015.</w:t>
      </w:r>
    </w:p>
    <w:p w14:paraId="0B2D5694" w14:textId="77777777" w:rsidR="00D42447" w:rsidRPr="00D42447" w:rsidRDefault="00A54CF2" w:rsidP="00D42447">
      <w:pPr>
        <w:spacing w:before="240"/>
        <w:jc w:val="both"/>
        <w:rPr>
          <w:rFonts w:ascii="ITC Avant Garde" w:eastAsia="Times New Roman" w:hAnsi="ITC Avant Garde"/>
          <w:b/>
          <w:szCs w:val="24"/>
          <w:lang w:eastAsia="es-ES"/>
        </w:rPr>
      </w:pPr>
      <w:r w:rsidRPr="00D42447">
        <w:rPr>
          <w:rFonts w:ascii="ITC Avant Garde" w:eastAsia="Times New Roman" w:hAnsi="ITC Avant Garde"/>
          <w:b/>
          <w:szCs w:val="24"/>
          <w:lang w:eastAsia="es-ES"/>
        </w:rPr>
        <w:t>Consideraciones del Instituto</w:t>
      </w:r>
    </w:p>
    <w:p w14:paraId="10159E7B" w14:textId="77777777" w:rsidR="00D42447" w:rsidRPr="00D42447" w:rsidRDefault="00A54CF2" w:rsidP="00D42447">
      <w:pPr>
        <w:spacing w:before="240"/>
        <w:jc w:val="both"/>
        <w:rPr>
          <w:rFonts w:ascii="ITC Avant Garde" w:hAnsi="ITC Avant Garde" w:cs="Arial"/>
        </w:rPr>
      </w:pPr>
      <w:bookmarkStart w:id="6" w:name="vitalimportancia"/>
      <w:r w:rsidRPr="00D42447">
        <w:rPr>
          <w:rFonts w:ascii="ITC Avant Garde" w:hAnsi="ITC Avant Garde" w:cs="Arial"/>
        </w:rPr>
        <w:t xml:space="preserve">Para la determinación de las tarifas de interconexión en las redes públicas de telecomunicaciones de Telcel </w:t>
      </w:r>
      <w:r w:rsidR="00CB0961" w:rsidRPr="00D42447">
        <w:rPr>
          <w:rFonts w:ascii="ITC Avant Garde" w:hAnsi="ITC Avant Garde" w:cs="Arial"/>
        </w:rPr>
        <w:t>y</w:t>
      </w:r>
      <w:r w:rsidRPr="00D42447">
        <w:rPr>
          <w:rFonts w:ascii="ITC Avant Garde" w:hAnsi="ITC Avant Garde" w:cs="Arial"/>
        </w:rPr>
        <w:t xml:space="preserve"> Mega Cable, se debe considerar que la propia LFTR establece el marco normativo y regulatorio aplicable para la fijación de las tarifas de interconexión.</w:t>
      </w:r>
    </w:p>
    <w:p w14:paraId="0BF68B1D" w14:textId="77777777" w:rsidR="00D42447" w:rsidRPr="00D42447" w:rsidRDefault="00A54CF2" w:rsidP="00D42447">
      <w:pPr>
        <w:widowControl w:val="0"/>
        <w:spacing w:before="240"/>
        <w:jc w:val="both"/>
        <w:rPr>
          <w:rFonts w:ascii="ITC Avant Garde" w:hAnsi="ITC Avant Garde" w:cs="Arial"/>
        </w:rPr>
      </w:pPr>
      <w:r w:rsidRPr="00D42447">
        <w:rPr>
          <w:rFonts w:ascii="ITC Avant Garde" w:eastAsia="Times New Roman" w:hAnsi="ITC Avant Garde" w:cs="Arial"/>
        </w:rPr>
        <w:t xml:space="preserve">A tal efecto, </w:t>
      </w:r>
      <w:r w:rsidRPr="00D42447">
        <w:rPr>
          <w:rFonts w:ascii="ITC Avant Garde" w:hAnsi="ITC Avant Garde" w:cs="Arial"/>
        </w:rPr>
        <w:t>el artículo 131 de la LFTR dispone lo siguiente:</w:t>
      </w:r>
    </w:p>
    <w:p w14:paraId="189188BC" w14:textId="77777777" w:rsidR="00D42447" w:rsidRPr="00D42447" w:rsidRDefault="00A54CF2" w:rsidP="00D42447">
      <w:pPr>
        <w:spacing w:before="240"/>
        <w:ind w:left="567" w:right="615"/>
        <w:jc w:val="both"/>
        <w:rPr>
          <w:rFonts w:ascii="ITC Avant Garde" w:hAnsi="ITC Avant Garde" w:cs="Arial"/>
          <w:sz w:val="18"/>
          <w:szCs w:val="18"/>
        </w:rPr>
      </w:pPr>
      <w:r w:rsidRPr="00D42447">
        <w:rPr>
          <w:rFonts w:ascii="ITC Avant Garde" w:hAnsi="ITC Avant Garde" w:cs="Arial"/>
          <w:sz w:val="18"/>
          <w:szCs w:val="18"/>
        </w:rPr>
        <w:t>“</w:t>
      </w:r>
      <w:r w:rsidRPr="00D42447">
        <w:rPr>
          <w:rFonts w:ascii="ITC Avant Garde" w:hAnsi="ITC Avant Garde" w:cs="Arial"/>
          <w:b/>
          <w:sz w:val="18"/>
          <w:szCs w:val="18"/>
        </w:rPr>
        <w:t>Artículo 131.</w:t>
      </w:r>
      <w:r w:rsidRPr="00D42447">
        <w:rPr>
          <w:rFonts w:ascii="ITC Avant Garde" w:hAnsi="ITC Avant Garde" w:cs="Arial"/>
          <w:sz w:val="18"/>
          <w:szCs w:val="18"/>
        </w:rPr>
        <w:t xml:space="preserve"> […]</w:t>
      </w:r>
    </w:p>
    <w:p w14:paraId="40DFC50A" w14:textId="77777777" w:rsidR="00D42447" w:rsidRPr="00D42447" w:rsidRDefault="00A54CF2" w:rsidP="00D42447">
      <w:pPr>
        <w:spacing w:before="240"/>
        <w:ind w:left="567" w:right="615"/>
        <w:jc w:val="both"/>
        <w:rPr>
          <w:rFonts w:ascii="ITC Avant Garde" w:hAnsi="ITC Avant Garde" w:cs="Arial"/>
          <w:sz w:val="18"/>
          <w:szCs w:val="18"/>
        </w:rPr>
      </w:pPr>
      <w:r w:rsidRPr="00D42447">
        <w:rPr>
          <w:rFonts w:ascii="ITC Avant Garde" w:hAnsi="ITC Avant Garde" w:cs="Arial"/>
          <w:sz w:val="18"/>
          <w:szCs w:val="18"/>
        </w:rPr>
        <w:t>[…]</w:t>
      </w:r>
    </w:p>
    <w:p w14:paraId="2C807A3B" w14:textId="77777777" w:rsidR="00D42447" w:rsidRPr="00D42447" w:rsidRDefault="00A54CF2" w:rsidP="00D42447">
      <w:pPr>
        <w:spacing w:before="240"/>
        <w:ind w:left="567" w:right="615"/>
        <w:jc w:val="both"/>
        <w:rPr>
          <w:rFonts w:ascii="ITC Avant Garde" w:hAnsi="ITC Avant Garde" w:cs="Arial"/>
          <w:sz w:val="18"/>
          <w:szCs w:val="18"/>
        </w:rPr>
      </w:pPr>
      <w:r w:rsidRPr="00D42447">
        <w:rPr>
          <w:rFonts w:ascii="ITC Avant Garde" w:hAnsi="ITC Avant Garde" w:cs="Arial"/>
          <w:sz w:val="18"/>
          <w:szCs w:val="18"/>
        </w:rPr>
        <w:t>b) Para el tráfico que termine en la red de los demás concesionarios, la tarifa de interconexión será negociada libremente.</w:t>
      </w:r>
    </w:p>
    <w:p w14:paraId="77ACAE94" w14:textId="77777777" w:rsidR="00D42447" w:rsidRPr="00D42447" w:rsidRDefault="00A54CF2" w:rsidP="00D42447">
      <w:pPr>
        <w:spacing w:before="240"/>
        <w:ind w:left="567" w:right="615"/>
        <w:jc w:val="both"/>
        <w:rPr>
          <w:rFonts w:ascii="ITC Avant Garde" w:hAnsi="ITC Avant Garde" w:cs="Arial"/>
          <w:sz w:val="18"/>
          <w:szCs w:val="18"/>
        </w:rPr>
      </w:pPr>
      <w:r w:rsidRPr="00D42447">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275EC80" w14:textId="77777777" w:rsidR="00D42447" w:rsidRPr="00D42447" w:rsidRDefault="00A54CF2" w:rsidP="00D42447">
      <w:pPr>
        <w:spacing w:before="240"/>
        <w:ind w:left="567" w:right="615"/>
        <w:jc w:val="both"/>
        <w:rPr>
          <w:rFonts w:ascii="ITC Avant Garde" w:hAnsi="ITC Avant Garde" w:cs="Arial"/>
          <w:sz w:val="18"/>
          <w:szCs w:val="18"/>
        </w:rPr>
      </w:pPr>
      <w:r w:rsidRPr="00D42447">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AD8973E" w14:textId="77777777" w:rsidR="00D42447" w:rsidRPr="00D42447" w:rsidRDefault="00A54CF2" w:rsidP="00D42447">
      <w:pPr>
        <w:spacing w:before="240"/>
        <w:ind w:left="567" w:right="615"/>
        <w:jc w:val="both"/>
        <w:rPr>
          <w:rFonts w:ascii="ITC Avant Garde" w:hAnsi="ITC Avant Garde" w:cs="Arial"/>
          <w:sz w:val="18"/>
          <w:szCs w:val="18"/>
        </w:rPr>
      </w:pPr>
      <w:r w:rsidRPr="00D42447">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018B7301" w14:textId="77777777" w:rsidR="00D42447" w:rsidRPr="00D42447" w:rsidRDefault="00A54CF2" w:rsidP="00D42447">
      <w:pPr>
        <w:spacing w:before="240"/>
        <w:ind w:left="567" w:right="615"/>
        <w:jc w:val="both"/>
        <w:rPr>
          <w:rFonts w:ascii="ITC Avant Garde" w:hAnsi="ITC Avant Garde" w:cs="Arial"/>
          <w:sz w:val="18"/>
          <w:szCs w:val="18"/>
        </w:rPr>
      </w:pPr>
      <w:r w:rsidRPr="00D42447">
        <w:rPr>
          <w:rFonts w:ascii="ITC Avant Garde" w:hAnsi="ITC Avant Garde" w:cs="Arial"/>
          <w:sz w:val="18"/>
          <w:szCs w:val="18"/>
        </w:rPr>
        <w:t>[…]”</w:t>
      </w:r>
    </w:p>
    <w:p w14:paraId="4B7E2BCA" w14:textId="77777777" w:rsidR="00D42447" w:rsidRPr="00D42447" w:rsidRDefault="00A54CF2" w:rsidP="00D42447">
      <w:pPr>
        <w:spacing w:before="240"/>
        <w:ind w:right="20"/>
        <w:jc w:val="both"/>
        <w:rPr>
          <w:rFonts w:ascii="ITC Avant Garde" w:hAnsi="ITC Avant Garde" w:cs="Arial"/>
        </w:rPr>
      </w:pPr>
      <w:r w:rsidRPr="00D42447">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3D9CB258" w14:textId="5DC78D22" w:rsidR="00A54CF2" w:rsidRPr="00D42447" w:rsidRDefault="00A54CF2" w:rsidP="00D42447">
      <w:pPr>
        <w:spacing w:before="240"/>
        <w:ind w:right="20"/>
        <w:jc w:val="both"/>
        <w:rPr>
          <w:rFonts w:ascii="ITC Avant Garde" w:hAnsi="ITC Avant Garde" w:cs="Arial"/>
        </w:rPr>
      </w:pPr>
      <w:r w:rsidRPr="00D42447">
        <w:rPr>
          <w:rFonts w:ascii="ITC Avant Garde" w:hAnsi="ITC Avant Garde" w:cs="Arial"/>
        </w:rPr>
        <w:lastRenderedPageBreak/>
        <w:t>En este orden de ideas, el artículo 137 de la LFTR señala a la letra lo siguiente:</w:t>
      </w:r>
    </w:p>
    <w:p w14:paraId="6441BEAF" w14:textId="77777777" w:rsidR="00D42447" w:rsidRPr="00D42447" w:rsidRDefault="00A54CF2" w:rsidP="00D42447">
      <w:pPr>
        <w:spacing w:before="240"/>
        <w:ind w:left="567" w:right="615"/>
        <w:jc w:val="both"/>
        <w:rPr>
          <w:rFonts w:ascii="ITC Avant Garde" w:hAnsi="ITC Avant Garde" w:cs="Arial"/>
          <w:sz w:val="18"/>
          <w:szCs w:val="18"/>
        </w:rPr>
      </w:pPr>
      <w:r w:rsidRPr="00D42447">
        <w:rPr>
          <w:rFonts w:ascii="ITC Avant Garde" w:hAnsi="ITC Avant Garde" w:cs="Arial"/>
          <w:b/>
          <w:sz w:val="18"/>
          <w:szCs w:val="18"/>
        </w:rPr>
        <w:t>“Artículo 137.</w:t>
      </w:r>
      <w:r w:rsidRPr="00D42447">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bookmarkEnd w:id="6"/>
    <w:p w14:paraId="49F8F2AD" w14:textId="77777777" w:rsidR="00D42447" w:rsidRPr="00D42447" w:rsidRDefault="00A54CF2" w:rsidP="00D42447">
      <w:pPr>
        <w:spacing w:before="240"/>
        <w:ind w:right="20"/>
        <w:jc w:val="both"/>
        <w:rPr>
          <w:rFonts w:ascii="ITC Avant Garde" w:eastAsia="Times New Roman" w:hAnsi="ITC Avant Garde" w:cs="Arial"/>
        </w:rPr>
      </w:pPr>
      <w:r w:rsidRPr="00D42447">
        <w:rPr>
          <w:rFonts w:ascii="ITC Avant Garde" w:eastAsia="Times New Roman" w:hAnsi="ITC Avant Garde" w:cs="Arial"/>
        </w:rPr>
        <w:t>Asimismo, como se mencionó en el considerando Tercero, la Segunda Sala de la Suprema Corte de Justicia de la Nación dictó sentencia en el Amparo en Revisión 1100/2015, en donde resolvió que la Justicia de la Unión Ampara y Protege a Telcel, para que el Instituto dejara de aplicar</w:t>
      </w:r>
      <w:r w:rsidR="00D2057A" w:rsidRPr="00D42447">
        <w:rPr>
          <w:rFonts w:ascii="ITC Avant Garde" w:eastAsia="Times New Roman" w:hAnsi="ITC Avant Garde" w:cs="Arial"/>
        </w:rPr>
        <w:t>le</w:t>
      </w:r>
      <w:r w:rsidRPr="00D42447">
        <w:rPr>
          <w:rFonts w:ascii="ITC Avant Garde" w:eastAsia="Times New Roman" w:hAnsi="ITC Avant Garde" w:cs="Arial"/>
        </w:rPr>
        <w:t xml:space="preserve"> a Telcel el sistema normativo declarado inconstitucional; el cual consiste, entre otros, en el inciso a) del párrafo segundo del artículo 131 de la LFTR. De la misma forma, determinó que el Instituto debería de publicar en el Diario Oficial de la Federación, las tarifas aplicables a la terminación de voz y mensajes cortos en la red móvil del Agente Económico Preponderante en los términos de lo dispuesto por el artículo 137 de la LFTR.</w:t>
      </w:r>
    </w:p>
    <w:p w14:paraId="28760DF4" w14:textId="77777777" w:rsidR="00D42447" w:rsidRPr="00D42447" w:rsidRDefault="00A54CF2" w:rsidP="00D42447">
      <w:pPr>
        <w:spacing w:before="240"/>
        <w:ind w:right="20"/>
        <w:jc w:val="both"/>
        <w:rPr>
          <w:rFonts w:ascii="ITC Avant Garde" w:eastAsia="Times New Roman" w:hAnsi="ITC Avant Garde" w:cs="Arial"/>
        </w:rPr>
      </w:pPr>
      <w:r w:rsidRPr="00D42447">
        <w:rPr>
          <w:rFonts w:ascii="ITC Avant Garde" w:eastAsia="Times New Roman" w:hAnsi="ITC Avant Garde" w:cs="Arial"/>
        </w:rPr>
        <w:t>En apego a la Metodología de Costos y en cumplimiento a lo establecido en el artículo 137 de la LFTR y a la ejecutoria dictada en el Amparo en Revisión 1100/2015, el Instituto publicó en el DOF el 9 de noviembre de 2017,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6F298D99" w14:textId="77777777" w:rsidR="00D42447" w:rsidRPr="00D42447" w:rsidRDefault="00A54CF2" w:rsidP="00D42447">
      <w:pPr>
        <w:spacing w:before="240"/>
        <w:ind w:right="20"/>
        <w:jc w:val="both"/>
        <w:rPr>
          <w:rFonts w:ascii="ITC Avant Garde" w:eastAsia="Times New Roman" w:hAnsi="ITC Avant Garde" w:cs="Arial"/>
        </w:rPr>
      </w:pPr>
      <w:r w:rsidRPr="00D42447">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710B2233" w14:textId="77777777" w:rsidR="00D42447" w:rsidRPr="00D42447" w:rsidRDefault="00A54CF2" w:rsidP="00D42447">
      <w:pPr>
        <w:spacing w:before="240"/>
        <w:ind w:right="20"/>
        <w:jc w:val="both"/>
        <w:rPr>
          <w:rFonts w:ascii="ITC Avant Garde" w:hAnsi="ITC Avant Garde" w:cs="Arial"/>
        </w:rPr>
      </w:pPr>
      <w:r w:rsidRPr="00D42447">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579097DC" w14:textId="77777777" w:rsidR="00D42447" w:rsidRPr="00D42447" w:rsidRDefault="00A27B97" w:rsidP="00D42447">
      <w:pPr>
        <w:spacing w:before="240"/>
        <w:ind w:right="20"/>
        <w:jc w:val="both"/>
        <w:rPr>
          <w:rFonts w:ascii="ITC Avant Garde" w:hAnsi="ITC Avant Garde" w:cs="Arial"/>
        </w:rPr>
      </w:pPr>
      <w:r w:rsidRPr="00D42447">
        <w:rPr>
          <w:rFonts w:ascii="ITC Avant Garde" w:hAnsi="ITC Avant Garde" w:cs="Arial"/>
        </w:rPr>
        <w:t xml:space="preserve">En tal virtud, la tarifa que </w:t>
      </w:r>
      <w:r w:rsidRPr="00D42447">
        <w:rPr>
          <w:rFonts w:ascii="ITC Avant Garde" w:hAnsi="ITC Avant Garde" w:cs="Arial"/>
          <w:spacing w:val="-2"/>
        </w:rPr>
        <w:t>Telcel</w:t>
      </w:r>
      <w:r w:rsidRPr="00D42447">
        <w:rPr>
          <w:rFonts w:ascii="ITC Avant Garde" w:hAnsi="ITC Avant Garde"/>
          <w:spacing w:val="-4"/>
          <w:lang w:val="es-ES"/>
        </w:rPr>
        <w:t xml:space="preserve"> deberá pagar a </w:t>
      </w:r>
      <w:r w:rsidR="008366F3" w:rsidRPr="00D42447">
        <w:rPr>
          <w:rFonts w:ascii="ITC Avant Garde" w:hAnsi="ITC Avant Garde"/>
          <w:spacing w:val="-4"/>
          <w:lang w:val="es-ES"/>
        </w:rPr>
        <w:t>Mega Cable</w:t>
      </w:r>
      <w:r w:rsidRPr="00D42447">
        <w:rPr>
          <w:rFonts w:ascii="ITC Avant Garde" w:hAnsi="ITC Avant Garde"/>
          <w:spacing w:val="-4"/>
          <w:lang w:val="es-ES"/>
        </w:rPr>
        <w:t xml:space="preserve"> </w:t>
      </w:r>
      <w:r w:rsidRPr="00D42447">
        <w:rPr>
          <w:rFonts w:ascii="ITC Avant Garde" w:hAnsi="ITC Avant Garde" w:cs="Arial"/>
        </w:rPr>
        <w:t>por los servicios de terminación del Servicio Local en usuarios fijos, será la siguiente:</w:t>
      </w:r>
    </w:p>
    <w:p w14:paraId="6FA8B417" w14:textId="77777777" w:rsidR="00D42447" w:rsidRPr="00D42447" w:rsidRDefault="00A27B97" w:rsidP="00D42447">
      <w:pPr>
        <w:pStyle w:val="Prrafodelista"/>
        <w:numPr>
          <w:ilvl w:val="0"/>
          <w:numId w:val="14"/>
        </w:numPr>
        <w:spacing w:before="240" w:after="200" w:line="276" w:lineRule="auto"/>
        <w:rPr>
          <w:rFonts w:ascii="ITC Avant Garde" w:hAnsi="ITC Avant Garde"/>
          <w:b/>
          <w:spacing w:val="-4"/>
          <w:lang w:val="es-ES_tradnl"/>
        </w:rPr>
      </w:pPr>
      <w:r w:rsidRPr="00D42447">
        <w:rPr>
          <w:rFonts w:ascii="ITC Avant Garde" w:hAnsi="ITC Avant Garde"/>
          <w:b/>
          <w:spacing w:val="-4"/>
          <w:lang w:val="es-ES_tradnl"/>
        </w:rPr>
        <w:t>Del 1 de enero al 31 de diciembre de 201</w:t>
      </w:r>
      <w:r w:rsidR="00004E45" w:rsidRPr="00D42447">
        <w:rPr>
          <w:rFonts w:ascii="ITC Avant Garde" w:hAnsi="ITC Avant Garde"/>
          <w:b/>
          <w:spacing w:val="-4"/>
          <w:lang w:val="es-ES_tradnl"/>
        </w:rPr>
        <w:t>8</w:t>
      </w:r>
      <w:r w:rsidRPr="00D42447">
        <w:rPr>
          <w:rFonts w:ascii="ITC Avant Garde" w:hAnsi="ITC Avant Garde"/>
          <w:b/>
          <w:spacing w:val="-4"/>
          <w:lang w:val="es-ES_tradnl"/>
        </w:rPr>
        <w:t xml:space="preserve">, </w:t>
      </w:r>
      <w:r w:rsidR="003A485C" w:rsidRPr="00D42447">
        <w:rPr>
          <w:rFonts w:ascii="ITC Avant Garde" w:hAnsi="ITC Avant Garde"/>
          <w:b/>
          <w:szCs w:val="22"/>
        </w:rPr>
        <w:t xml:space="preserve">$0.002836 </w:t>
      </w:r>
      <w:r w:rsidRPr="00D42447">
        <w:rPr>
          <w:rFonts w:ascii="ITC Avant Garde" w:hAnsi="ITC Avant Garde"/>
          <w:b/>
          <w:spacing w:val="-4"/>
          <w:lang w:val="es-ES_tradnl"/>
        </w:rPr>
        <w:t>pesos M.N. por minuto de interconexión.</w:t>
      </w:r>
    </w:p>
    <w:p w14:paraId="612B0E1E" w14:textId="77777777" w:rsidR="00D42447" w:rsidRPr="00D42447" w:rsidRDefault="00106FE3" w:rsidP="00D42447">
      <w:pPr>
        <w:spacing w:before="240"/>
        <w:jc w:val="both"/>
        <w:rPr>
          <w:rFonts w:ascii="ITC Avant Garde" w:hAnsi="ITC Avant Garde" w:cs="Arial"/>
        </w:rPr>
      </w:pPr>
      <w:r w:rsidRPr="00D42447">
        <w:rPr>
          <w:rFonts w:ascii="ITC Avant Garde" w:hAnsi="ITC Avant Garde" w:cs="Arial"/>
          <w:lang w:val="es-ES_tradnl"/>
        </w:rPr>
        <w:lastRenderedPageBreak/>
        <w:t xml:space="preserve">Por su parte, la tarifa que </w:t>
      </w:r>
      <w:r w:rsidR="008366F3" w:rsidRPr="00D42447">
        <w:rPr>
          <w:rFonts w:ascii="ITC Avant Garde" w:hAnsi="ITC Avant Garde" w:cs="Arial"/>
          <w:lang w:val="es-ES_tradnl"/>
        </w:rPr>
        <w:t>Mega Cable</w:t>
      </w:r>
      <w:r w:rsidRPr="00D42447">
        <w:rPr>
          <w:rFonts w:ascii="ITC Avant Garde" w:hAnsi="ITC Avant Garde" w:cs="Arial"/>
          <w:lang w:val="es-ES_tradnl"/>
        </w:rPr>
        <w:t xml:space="preserve"> deberá pagar a Telcel </w:t>
      </w:r>
      <w:r w:rsidR="00CB0961" w:rsidRPr="00D42447">
        <w:rPr>
          <w:rFonts w:ascii="ITC Avant Garde" w:hAnsi="ITC Avant Garde" w:cs="Arial"/>
          <w:lang w:val="es-ES_tradnl"/>
        </w:rPr>
        <w:t>por</w:t>
      </w:r>
      <w:r w:rsidRPr="00D42447">
        <w:rPr>
          <w:rFonts w:ascii="ITC Avant Garde" w:hAnsi="ITC Avant Garde" w:cs="Arial"/>
        </w:rPr>
        <w:t xml:space="preserve"> servicios de terminación del Servicio Local en usuarios móviles bajo la modalidad “El que llama paga” será la siguiente:</w:t>
      </w:r>
    </w:p>
    <w:p w14:paraId="0B39A85C" w14:textId="77777777" w:rsidR="00D42447" w:rsidRPr="00D42447" w:rsidRDefault="00106FE3" w:rsidP="00D42447">
      <w:pPr>
        <w:pStyle w:val="Prrafodelista"/>
        <w:numPr>
          <w:ilvl w:val="0"/>
          <w:numId w:val="14"/>
        </w:numPr>
        <w:spacing w:before="240" w:after="200" w:line="276" w:lineRule="auto"/>
        <w:rPr>
          <w:rFonts w:ascii="ITC Avant Garde" w:hAnsi="ITC Avant Garde"/>
          <w:b/>
          <w:spacing w:val="-4"/>
          <w:lang w:val="es-ES_tradnl"/>
        </w:rPr>
      </w:pPr>
      <w:r w:rsidRPr="00D42447">
        <w:rPr>
          <w:rFonts w:ascii="ITC Avant Garde" w:hAnsi="ITC Avant Garde"/>
          <w:b/>
          <w:spacing w:val="-4"/>
          <w:lang w:val="es-ES_tradnl"/>
        </w:rPr>
        <w:t>Del 1 de enero al 31 de diciembre de 2018, $0.028562 pesos M.N. por minuto de interconexión.</w:t>
      </w:r>
    </w:p>
    <w:p w14:paraId="1BD6997B" w14:textId="77777777" w:rsidR="00D42447" w:rsidRPr="00D42447" w:rsidRDefault="00CB0961" w:rsidP="00D42447">
      <w:pPr>
        <w:spacing w:before="240"/>
        <w:jc w:val="both"/>
        <w:rPr>
          <w:rFonts w:ascii="ITC Avant Garde" w:hAnsi="ITC Avant Garde" w:cs="Arial"/>
        </w:rPr>
      </w:pPr>
      <w:r w:rsidRPr="00D42447">
        <w:rPr>
          <w:rFonts w:ascii="ITC Avant Garde" w:hAnsi="ITC Avant Garde" w:cs="Arial"/>
        </w:rPr>
        <w:t>En la aplicación de las tarifas indicadas en los incisos a) y b) anteriores,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052699FA" w14:textId="77777777" w:rsidR="00D42447" w:rsidRPr="00D42447" w:rsidRDefault="00CB0961" w:rsidP="00D42447">
      <w:pPr>
        <w:spacing w:before="240"/>
        <w:jc w:val="both"/>
        <w:rPr>
          <w:rFonts w:ascii="ITC Avant Garde" w:hAnsi="ITC Avant Garde" w:cs="Arial"/>
          <w:lang w:val="es-ES"/>
        </w:rPr>
      </w:pPr>
      <w:r w:rsidRPr="00D42447">
        <w:rPr>
          <w:rFonts w:ascii="ITC Avant Garde" w:hAnsi="ITC Avant Garde" w:cs="Arial"/>
          <w:lang w:val="es-ES"/>
        </w:rPr>
        <w:t>Las tarifas anteriores ya incluyen el costo correspondiente a los puertos necesarios para la interconexión.</w:t>
      </w:r>
    </w:p>
    <w:p w14:paraId="1FA57A39" w14:textId="77777777" w:rsidR="00D42447" w:rsidRPr="00D42447" w:rsidRDefault="00CB0961" w:rsidP="00D42447">
      <w:pPr>
        <w:spacing w:before="240"/>
        <w:jc w:val="both"/>
        <w:rPr>
          <w:rFonts w:ascii="ITC Avant Garde" w:hAnsi="ITC Avant Garde"/>
          <w:szCs w:val="18"/>
        </w:rPr>
      </w:pPr>
      <w:r w:rsidRPr="00D42447">
        <w:rPr>
          <w:rFonts w:ascii="ITC Avant Garde" w:hAnsi="ITC Avant Garde" w:cs="Arial"/>
        </w:rPr>
        <w:t>Por otro lado</w:t>
      </w:r>
      <w:r w:rsidR="008F5855" w:rsidRPr="00D42447">
        <w:rPr>
          <w:rFonts w:ascii="ITC Avant Garde" w:hAnsi="ITC Avant Garde" w:cs="Arial"/>
        </w:rPr>
        <w:t xml:space="preserve">, </w:t>
      </w:r>
      <w:r w:rsidR="008F5855" w:rsidRPr="00D42447">
        <w:rPr>
          <w:rFonts w:ascii="ITC Avant Garde" w:hAnsi="ITC Avant Garde"/>
          <w:szCs w:val="18"/>
        </w:rPr>
        <w:t xml:space="preserve">las tarifas </w:t>
      </w:r>
      <w:r w:rsidR="008F5855" w:rsidRPr="00D42447">
        <w:rPr>
          <w:rFonts w:ascii="ITC Avant Garde" w:hAnsi="ITC Avant Garde"/>
          <w:spacing w:val="-4"/>
          <w:lang w:val="es-ES"/>
        </w:rPr>
        <w:t xml:space="preserve">que Mega Cable </w:t>
      </w:r>
      <w:r w:rsidR="008F5855" w:rsidRPr="00D42447">
        <w:rPr>
          <w:rFonts w:ascii="ITC Avant Garde" w:eastAsia="Times New Roman" w:hAnsi="ITC Avant Garde" w:cs="Arial"/>
        </w:rPr>
        <w:t xml:space="preserve">deberá pagar a Telcel, </w:t>
      </w:r>
      <w:r w:rsidRPr="00D42447">
        <w:rPr>
          <w:rFonts w:ascii="ITC Avant Garde" w:eastAsia="Times New Roman" w:hAnsi="ITC Avant Garde" w:cs="Arial"/>
        </w:rPr>
        <w:t xml:space="preserve">por servicios de coubicación </w:t>
      </w:r>
      <w:r w:rsidR="008F5855" w:rsidRPr="00D42447">
        <w:rPr>
          <w:rFonts w:ascii="ITC Avant Garde" w:hAnsi="ITC Avant Garde"/>
          <w:szCs w:val="18"/>
        </w:rPr>
        <w:t xml:space="preserve">de Tipo 1: </w:t>
      </w:r>
      <w:r w:rsidRPr="00D42447">
        <w:rPr>
          <w:rFonts w:ascii="ITC Avant Garde" w:hAnsi="ITC Avant Garde"/>
          <w:szCs w:val="18"/>
        </w:rPr>
        <w:t>Área</w:t>
      </w:r>
      <w:r w:rsidR="008F5855" w:rsidRPr="00D42447">
        <w:rPr>
          <w:rFonts w:ascii="ITC Avant Garde" w:hAnsi="ITC Avant Garde"/>
          <w:szCs w:val="18"/>
        </w:rPr>
        <w:t xml:space="preserve"> de 9m</w:t>
      </w:r>
      <w:r w:rsidRPr="00D42447">
        <w:rPr>
          <w:rFonts w:ascii="ITC Avant Garde" w:hAnsi="ITC Avant Garde"/>
          <w:szCs w:val="18"/>
        </w:rPr>
        <w:t>²</w:t>
      </w:r>
      <w:r w:rsidR="008F5855" w:rsidRPr="00D42447">
        <w:rPr>
          <w:rFonts w:ascii="ITC Avant Garde" w:hAnsi="ITC Avant Garde"/>
          <w:szCs w:val="18"/>
        </w:rPr>
        <w:t xml:space="preserve"> (3x3), de Tipo 2: </w:t>
      </w:r>
      <w:r w:rsidRPr="00D42447">
        <w:rPr>
          <w:rFonts w:ascii="ITC Avant Garde" w:hAnsi="ITC Avant Garde"/>
          <w:szCs w:val="18"/>
        </w:rPr>
        <w:t>Área de 4m² (2x</w:t>
      </w:r>
      <w:r w:rsidR="008F5855" w:rsidRPr="00D42447">
        <w:rPr>
          <w:rFonts w:ascii="ITC Avant Garde" w:hAnsi="ITC Avant Garde"/>
          <w:szCs w:val="18"/>
        </w:rPr>
        <w:t xml:space="preserve">2), y de Tipo </w:t>
      </w:r>
      <w:r w:rsidR="000D0A29" w:rsidRPr="00D42447">
        <w:rPr>
          <w:rFonts w:ascii="ITC Avant Garde" w:hAnsi="ITC Avant Garde"/>
          <w:szCs w:val="18"/>
        </w:rPr>
        <w:t>3: Gabinete, de un operador móvil</w:t>
      </w:r>
      <w:r w:rsidR="008F5855" w:rsidRPr="00D42447">
        <w:rPr>
          <w:rFonts w:ascii="ITC Avant Garde" w:hAnsi="ITC Avant Garde"/>
          <w:szCs w:val="18"/>
        </w:rPr>
        <w:t xml:space="preserve">, </w:t>
      </w:r>
      <w:r w:rsidRPr="00D42447">
        <w:rPr>
          <w:rFonts w:ascii="ITC Avant Garde" w:eastAsia="Times New Roman" w:hAnsi="ITC Avant Garde" w:cs="Arial"/>
        </w:rPr>
        <w:t xml:space="preserve">del 1 de enero al 31 de diciembre de 2018, </w:t>
      </w:r>
      <w:r w:rsidR="008F5855" w:rsidRPr="00D42447">
        <w:rPr>
          <w:rFonts w:ascii="ITC Avant Garde" w:hAnsi="ITC Avant Garde"/>
          <w:szCs w:val="18"/>
        </w:rPr>
        <w:t xml:space="preserve">serán las siguientes: </w:t>
      </w:r>
    </w:p>
    <w:p w14:paraId="2670A50B" w14:textId="77777777" w:rsidR="00D42447" w:rsidRPr="00D42447" w:rsidRDefault="00CB0961" w:rsidP="00D42447">
      <w:pPr>
        <w:spacing w:before="240"/>
        <w:jc w:val="both"/>
        <w:rPr>
          <w:rFonts w:ascii="ITC Avant Garde" w:eastAsia="Times New Roman" w:hAnsi="ITC Avant Garde" w:cs="Arial"/>
          <w:b/>
        </w:rPr>
      </w:pPr>
      <w:r w:rsidRPr="00D42447">
        <w:rPr>
          <w:rFonts w:ascii="ITC Avant Garde" w:eastAsia="Times New Roman" w:hAnsi="ITC Avant Garde" w:cs="Arial"/>
        </w:rPr>
        <w:t>P</w:t>
      </w:r>
      <w:r w:rsidR="008F5855" w:rsidRPr="00D42447">
        <w:rPr>
          <w:rFonts w:ascii="ITC Avant Garde" w:eastAsia="Times New Roman" w:hAnsi="ITC Avant Garde" w:cs="Arial"/>
        </w:rPr>
        <w:t>or gastos de instalación serán las siguientes:</w:t>
      </w:r>
    </w:p>
    <w:p w14:paraId="6F5307A0" w14:textId="2A4EA730" w:rsidR="008F5855" w:rsidRPr="00D42447" w:rsidRDefault="008F5855" w:rsidP="00D42447">
      <w:pPr>
        <w:pStyle w:val="Texto0"/>
        <w:spacing w:before="240" w:after="200" w:line="276" w:lineRule="auto"/>
        <w:ind w:left="900" w:hanging="342"/>
        <w:rPr>
          <w:rFonts w:ascii="ITC Avant Garde" w:hAnsi="ITC Avant Garde"/>
          <w:sz w:val="22"/>
          <w:szCs w:val="22"/>
        </w:rPr>
      </w:pPr>
      <w:r w:rsidRPr="00D42447">
        <w:rPr>
          <w:rFonts w:ascii="ITC Avant Garde" w:hAnsi="ITC Avant Garde"/>
          <w:b/>
          <w:sz w:val="22"/>
          <w:szCs w:val="22"/>
        </w:rPr>
        <w:t>a)</w:t>
      </w:r>
      <w:r w:rsidRPr="00D42447">
        <w:rPr>
          <w:rFonts w:ascii="ITC Avant Garde" w:hAnsi="ITC Avant Garde"/>
          <w:b/>
          <w:sz w:val="22"/>
          <w:szCs w:val="22"/>
        </w:rPr>
        <w:tab/>
        <w:t xml:space="preserve">$107,509.00 pesos M.N. </w:t>
      </w:r>
      <w:r w:rsidRPr="00D42447">
        <w:rPr>
          <w:rFonts w:ascii="ITC Avant Garde" w:hAnsi="ITC Avant Garde"/>
          <w:sz w:val="22"/>
          <w:szCs w:val="22"/>
        </w:rPr>
        <w:t>por coubicación de Tipo 1</w:t>
      </w:r>
    </w:p>
    <w:p w14:paraId="5F587C09" w14:textId="77777777" w:rsidR="008F5855" w:rsidRPr="00D42447" w:rsidRDefault="008F5855" w:rsidP="00D42447">
      <w:pPr>
        <w:pStyle w:val="Texto0"/>
        <w:spacing w:before="240" w:after="200" w:line="276" w:lineRule="auto"/>
        <w:ind w:left="900" w:hanging="342"/>
        <w:rPr>
          <w:rFonts w:ascii="ITC Avant Garde" w:hAnsi="ITC Avant Garde"/>
          <w:sz w:val="22"/>
          <w:szCs w:val="22"/>
        </w:rPr>
      </w:pPr>
      <w:r w:rsidRPr="00D42447">
        <w:rPr>
          <w:rFonts w:ascii="ITC Avant Garde" w:hAnsi="ITC Avant Garde"/>
          <w:b/>
          <w:sz w:val="22"/>
          <w:szCs w:val="22"/>
        </w:rPr>
        <w:t>b)</w:t>
      </w:r>
      <w:r w:rsidRPr="00D42447">
        <w:rPr>
          <w:rFonts w:ascii="ITC Avant Garde" w:hAnsi="ITC Avant Garde"/>
          <w:b/>
          <w:sz w:val="22"/>
          <w:szCs w:val="22"/>
        </w:rPr>
        <w:tab/>
        <w:t>$60,004.00 pesos M.N.</w:t>
      </w:r>
      <w:r w:rsidRPr="00D42447">
        <w:rPr>
          <w:rFonts w:ascii="ITC Avant Garde" w:hAnsi="ITC Avant Garde"/>
          <w:sz w:val="22"/>
          <w:szCs w:val="22"/>
        </w:rPr>
        <w:t xml:space="preserve"> por coubicación de Tipo 2.</w:t>
      </w:r>
    </w:p>
    <w:p w14:paraId="609B494C" w14:textId="77777777" w:rsidR="008F5855" w:rsidRPr="00D42447" w:rsidRDefault="008F5855" w:rsidP="00D42447">
      <w:pPr>
        <w:pStyle w:val="Texto0"/>
        <w:spacing w:before="240" w:after="200" w:line="276" w:lineRule="auto"/>
        <w:ind w:left="900" w:hanging="342"/>
        <w:rPr>
          <w:rFonts w:ascii="ITC Avant Garde" w:hAnsi="ITC Avant Garde"/>
          <w:sz w:val="22"/>
          <w:szCs w:val="22"/>
        </w:rPr>
      </w:pPr>
      <w:r w:rsidRPr="00D42447">
        <w:rPr>
          <w:rFonts w:ascii="ITC Avant Garde" w:hAnsi="ITC Avant Garde"/>
          <w:b/>
          <w:sz w:val="22"/>
          <w:szCs w:val="22"/>
        </w:rPr>
        <w:t>c)</w:t>
      </w:r>
      <w:r w:rsidRPr="00D42447">
        <w:rPr>
          <w:rFonts w:ascii="ITC Avant Garde" w:hAnsi="ITC Avant Garde"/>
          <w:b/>
          <w:sz w:val="22"/>
          <w:szCs w:val="22"/>
        </w:rPr>
        <w:tab/>
        <w:t>$126,654.76 pesos M.N.</w:t>
      </w:r>
      <w:r w:rsidRPr="00D42447">
        <w:rPr>
          <w:rFonts w:ascii="ITC Avant Garde" w:hAnsi="ITC Avant Garde"/>
          <w:sz w:val="22"/>
          <w:szCs w:val="22"/>
        </w:rPr>
        <w:t xml:space="preserve"> por coubicación de Tipo 3 (Gabinete)</w:t>
      </w:r>
    </w:p>
    <w:p w14:paraId="099BF2C5" w14:textId="77777777" w:rsidR="00D42447" w:rsidRPr="00D42447" w:rsidRDefault="008F5855" w:rsidP="00D42447">
      <w:pPr>
        <w:pStyle w:val="Texto0"/>
        <w:spacing w:before="240" w:after="200" w:line="276" w:lineRule="auto"/>
        <w:ind w:left="900" w:hanging="342"/>
        <w:rPr>
          <w:rFonts w:ascii="ITC Avant Garde" w:hAnsi="ITC Avant Garde"/>
          <w:sz w:val="22"/>
          <w:szCs w:val="22"/>
        </w:rPr>
      </w:pPr>
      <w:r w:rsidRPr="00D42447">
        <w:rPr>
          <w:rFonts w:ascii="ITC Avant Garde" w:hAnsi="ITC Avant Garde"/>
          <w:b/>
          <w:sz w:val="22"/>
          <w:szCs w:val="22"/>
        </w:rPr>
        <w:t>d)</w:t>
      </w:r>
      <w:r w:rsidRPr="00D42447">
        <w:rPr>
          <w:rFonts w:ascii="ITC Avant Garde" w:hAnsi="ITC Avant Garde"/>
          <w:b/>
          <w:sz w:val="22"/>
          <w:szCs w:val="22"/>
        </w:rPr>
        <w:tab/>
        <w:t>$213,917.41</w:t>
      </w:r>
      <w:r w:rsidRPr="00D42447">
        <w:rPr>
          <w:rFonts w:ascii="ITC Avant Garde" w:hAnsi="ITC Avant Garde"/>
          <w:sz w:val="22"/>
          <w:szCs w:val="22"/>
        </w:rPr>
        <w:t xml:space="preserve"> </w:t>
      </w:r>
      <w:r w:rsidRPr="00D42447">
        <w:rPr>
          <w:rFonts w:ascii="ITC Avant Garde" w:hAnsi="ITC Avant Garde"/>
          <w:b/>
          <w:sz w:val="22"/>
          <w:szCs w:val="22"/>
        </w:rPr>
        <w:t>pesos M.N.</w:t>
      </w:r>
      <w:r w:rsidRPr="00D42447">
        <w:rPr>
          <w:rFonts w:ascii="ITC Avant Garde" w:hAnsi="ITC Avant Garde"/>
          <w:sz w:val="22"/>
          <w:szCs w:val="22"/>
        </w:rPr>
        <w:t xml:space="preserve"> por coubicación externa de Tipo 3 (Gabinete).</w:t>
      </w:r>
    </w:p>
    <w:p w14:paraId="7B8E30CA" w14:textId="77777777" w:rsidR="00D42447" w:rsidRPr="00D42447" w:rsidRDefault="008F5855" w:rsidP="00D42447">
      <w:pPr>
        <w:spacing w:before="240"/>
        <w:jc w:val="both"/>
        <w:rPr>
          <w:rFonts w:ascii="ITC Avant Garde" w:eastAsia="Times New Roman" w:hAnsi="ITC Avant Garde" w:cs="Arial"/>
        </w:rPr>
      </w:pPr>
      <w:r w:rsidRPr="00D42447">
        <w:rPr>
          <w:rFonts w:ascii="ITC Avant Garde" w:hAnsi="ITC Avant Garde"/>
          <w:spacing w:val="-4"/>
          <w:lang w:val="es-ES"/>
        </w:rPr>
        <w:t xml:space="preserve">Las contraprestaciones por renta mensual </w:t>
      </w:r>
      <w:r w:rsidRPr="00D42447">
        <w:rPr>
          <w:rFonts w:ascii="ITC Avant Garde" w:eastAsia="Times New Roman" w:hAnsi="ITC Avant Garde" w:cs="Arial"/>
        </w:rPr>
        <w:t xml:space="preserve">dependerán del nivel de costo de la región económica de que se trata, siendo estas: </w:t>
      </w:r>
    </w:p>
    <w:p w14:paraId="46C97D34" w14:textId="3EBD345A" w:rsidR="008F5855" w:rsidRPr="00D42447" w:rsidRDefault="008F5855" w:rsidP="00D42447">
      <w:pPr>
        <w:pStyle w:val="Texto0"/>
        <w:spacing w:before="240" w:after="200" w:line="276" w:lineRule="auto"/>
        <w:rPr>
          <w:rFonts w:ascii="ITC Avant Garde" w:hAnsi="ITC Avant Garde"/>
          <w:sz w:val="22"/>
          <w:szCs w:val="22"/>
        </w:rPr>
      </w:pPr>
      <w:r w:rsidRPr="00D42447">
        <w:rPr>
          <w:rFonts w:ascii="ITC Avant Garde" w:hAnsi="ITC Avant Garde"/>
          <w:sz w:val="22"/>
          <w:szCs w:val="22"/>
        </w:rPr>
        <w:t>Región de costo alto:</w:t>
      </w:r>
    </w:p>
    <w:p w14:paraId="3AD506FD" w14:textId="77777777" w:rsidR="008F5855" w:rsidRPr="00D42447" w:rsidRDefault="00DC64C0" w:rsidP="00D42447">
      <w:pPr>
        <w:pStyle w:val="Texto0"/>
        <w:spacing w:before="240" w:after="200" w:line="276" w:lineRule="auto"/>
        <w:ind w:left="900" w:hanging="342"/>
        <w:rPr>
          <w:rFonts w:ascii="ITC Avant Garde" w:hAnsi="ITC Avant Garde"/>
          <w:sz w:val="22"/>
          <w:szCs w:val="22"/>
        </w:rPr>
      </w:pPr>
      <w:r w:rsidRPr="00D42447">
        <w:rPr>
          <w:rFonts w:ascii="ITC Avant Garde" w:hAnsi="ITC Avant Garde"/>
          <w:b/>
          <w:sz w:val="22"/>
          <w:szCs w:val="22"/>
        </w:rPr>
        <w:t>e)</w:t>
      </w:r>
      <w:r w:rsidRPr="00D42447">
        <w:rPr>
          <w:rFonts w:ascii="ITC Avant Garde" w:hAnsi="ITC Avant Garde"/>
          <w:b/>
          <w:sz w:val="22"/>
          <w:szCs w:val="22"/>
        </w:rPr>
        <w:tab/>
        <w:t>$1,084.49</w:t>
      </w:r>
      <w:r w:rsidR="008F5855" w:rsidRPr="00D42447">
        <w:rPr>
          <w:rFonts w:ascii="ITC Avant Garde" w:hAnsi="ITC Avant Garde"/>
          <w:b/>
          <w:sz w:val="22"/>
          <w:szCs w:val="22"/>
        </w:rPr>
        <w:t xml:space="preserve"> pesos M.N. </w:t>
      </w:r>
      <w:r w:rsidR="008F5855" w:rsidRPr="00D42447">
        <w:rPr>
          <w:rFonts w:ascii="ITC Avant Garde" w:hAnsi="ITC Avant Garde"/>
          <w:sz w:val="22"/>
          <w:szCs w:val="22"/>
        </w:rPr>
        <w:t>por metro cuadrado por coubicación de Tipo 1 y Tipo 2.</w:t>
      </w:r>
    </w:p>
    <w:p w14:paraId="332CE1A8" w14:textId="77777777" w:rsidR="00D42447" w:rsidRPr="00D42447" w:rsidRDefault="00DC64C0" w:rsidP="00D42447">
      <w:pPr>
        <w:pStyle w:val="Texto0"/>
        <w:spacing w:before="240" w:after="200" w:line="276" w:lineRule="auto"/>
        <w:ind w:left="900" w:hanging="342"/>
        <w:rPr>
          <w:rFonts w:ascii="ITC Avant Garde" w:hAnsi="ITC Avant Garde"/>
          <w:sz w:val="22"/>
          <w:szCs w:val="22"/>
        </w:rPr>
      </w:pPr>
      <w:r w:rsidRPr="00D42447">
        <w:rPr>
          <w:rFonts w:ascii="ITC Avant Garde" w:hAnsi="ITC Avant Garde"/>
          <w:b/>
          <w:sz w:val="22"/>
          <w:szCs w:val="22"/>
        </w:rPr>
        <w:t>f)</w:t>
      </w:r>
      <w:r w:rsidRPr="00D42447">
        <w:rPr>
          <w:rFonts w:ascii="ITC Avant Garde" w:hAnsi="ITC Avant Garde"/>
          <w:b/>
          <w:sz w:val="22"/>
          <w:szCs w:val="22"/>
        </w:rPr>
        <w:tab/>
        <w:t>$2,745.47</w:t>
      </w:r>
      <w:r w:rsidR="008F5855" w:rsidRPr="00D42447">
        <w:rPr>
          <w:rFonts w:ascii="ITC Avant Garde" w:hAnsi="ITC Avant Garde"/>
          <w:b/>
          <w:sz w:val="22"/>
          <w:szCs w:val="22"/>
        </w:rPr>
        <w:t xml:space="preserve"> pesos M.N.</w:t>
      </w:r>
      <w:r w:rsidR="008F5855" w:rsidRPr="00D42447">
        <w:rPr>
          <w:rFonts w:ascii="ITC Avant Garde" w:hAnsi="ITC Avant Garde"/>
          <w:sz w:val="22"/>
          <w:szCs w:val="22"/>
        </w:rPr>
        <w:t xml:space="preserve"> por coubicación de Tipo 3.</w:t>
      </w:r>
    </w:p>
    <w:p w14:paraId="291F0A4F" w14:textId="18F2BC42" w:rsidR="008F5855" w:rsidRPr="00D42447" w:rsidRDefault="008F5855" w:rsidP="00D42447">
      <w:pPr>
        <w:pStyle w:val="Texto0"/>
        <w:spacing w:before="240" w:after="200" w:line="276" w:lineRule="auto"/>
        <w:rPr>
          <w:rFonts w:ascii="ITC Avant Garde" w:hAnsi="ITC Avant Garde"/>
          <w:sz w:val="22"/>
          <w:szCs w:val="22"/>
        </w:rPr>
      </w:pPr>
      <w:r w:rsidRPr="00D42447">
        <w:rPr>
          <w:rFonts w:ascii="ITC Avant Garde" w:hAnsi="ITC Avant Garde"/>
          <w:sz w:val="22"/>
          <w:szCs w:val="22"/>
        </w:rPr>
        <w:t>Región de costo medio:</w:t>
      </w:r>
    </w:p>
    <w:p w14:paraId="26DB394A" w14:textId="77777777" w:rsidR="008F5855" w:rsidRPr="00D42447" w:rsidRDefault="00DC64C0" w:rsidP="00D42447">
      <w:pPr>
        <w:pStyle w:val="Texto0"/>
        <w:spacing w:before="240" w:after="200" w:line="276" w:lineRule="auto"/>
        <w:ind w:left="900" w:hanging="342"/>
        <w:rPr>
          <w:rFonts w:ascii="ITC Avant Garde" w:hAnsi="ITC Avant Garde"/>
          <w:sz w:val="22"/>
          <w:szCs w:val="22"/>
        </w:rPr>
      </w:pPr>
      <w:r w:rsidRPr="00D42447">
        <w:rPr>
          <w:rFonts w:ascii="ITC Avant Garde" w:hAnsi="ITC Avant Garde"/>
          <w:b/>
          <w:sz w:val="22"/>
          <w:szCs w:val="22"/>
        </w:rPr>
        <w:lastRenderedPageBreak/>
        <w:t>g)</w:t>
      </w:r>
      <w:r w:rsidRPr="00D42447">
        <w:rPr>
          <w:rFonts w:ascii="ITC Avant Garde" w:hAnsi="ITC Avant Garde"/>
          <w:b/>
          <w:sz w:val="22"/>
          <w:szCs w:val="22"/>
        </w:rPr>
        <w:tab/>
        <w:t>$1,027.30</w:t>
      </w:r>
      <w:r w:rsidR="008F5855" w:rsidRPr="00D42447">
        <w:rPr>
          <w:rFonts w:ascii="ITC Avant Garde" w:hAnsi="ITC Avant Garde"/>
          <w:b/>
          <w:sz w:val="22"/>
          <w:szCs w:val="22"/>
        </w:rPr>
        <w:t xml:space="preserve"> pesos M.N. </w:t>
      </w:r>
      <w:r w:rsidR="008F5855" w:rsidRPr="00D42447">
        <w:rPr>
          <w:rFonts w:ascii="ITC Avant Garde" w:hAnsi="ITC Avant Garde"/>
          <w:sz w:val="22"/>
          <w:szCs w:val="22"/>
        </w:rPr>
        <w:t>por metro cuadrado por coubicación de Tipo 1 y Tipo 2.</w:t>
      </w:r>
    </w:p>
    <w:p w14:paraId="43319563" w14:textId="77777777" w:rsidR="008F5855" w:rsidRPr="00D42447" w:rsidRDefault="00DC64C0" w:rsidP="00D42447">
      <w:pPr>
        <w:pStyle w:val="Texto0"/>
        <w:spacing w:before="240" w:after="200" w:line="276" w:lineRule="auto"/>
        <w:ind w:left="900" w:hanging="342"/>
        <w:rPr>
          <w:rFonts w:ascii="ITC Avant Garde" w:hAnsi="ITC Avant Garde"/>
          <w:sz w:val="22"/>
          <w:szCs w:val="22"/>
        </w:rPr>
      </w:pPr>
      <w:r w:rsidRPr="00D42447">
        <w:rPr>
          <w:rFonts w:ascii="ITC Avant Garde" w:hAnsi="ITC Avant Garde"/>
          <w:b/>
          <w:sz w:val="22"/>
          <w:szCs w:val="22"/>
        </w:rPr>
        <w:t>h)</w:t>
      </w:r>
      <w:r w:rsidRPr="00D42447">
        <w:rPr>
          <w:rFonts w:ascii="ITC Avant Garde" w:hAnsi="ITC Avant Garde"/>
          <w:b/>
          <w:sz w:val="22"/>
          <w:szCs w:val="22"/>
        </w:rPr>
        <w:tab/>
        <w:t>$2,576.8</w:t>
      </w:r>
      <w:r w:rsidR="008F5855" w:rsidRPr="00D42447">
        <w:rPr>
          <w:rFonts w:ascii="ITC Avant Garde" w:hAnsi="ITC Avant Garde"/>
          <w:b/>
          <w:sz w:val="22"/>
          <w:szCs w:val="22"/>
        </w:rPr>
        <w:t>8 pesos M.N.</w:t>
      </w:r>
      <w:r w:rsidR="008F5855" w:rsidRPr="00D42447">
        <w:rPr>
          <w:rFonts w:ascii="ITC Avant Garde" w:hAnsi="ITC Avant Garde"/>
          <w:sz w:val="22"/>
          <w:szCs w:val="22"/>
        </w:rPr>
        <w:t xml:space="preserve"> por coubicación de Tipo 3.</w:t>
      </w:r>
    </w:p>
    <w:p w14:paraId="193A13F7" w14:textId="77777777" w:rsidR="008F5855" w:rsidRPr="00D42447" w:rsidRDefault="008F5855" w:rsidP="00D42447">
      <w:pPr>
        <w:pStyle w:val="Texto0"/>
        <w:spacing w:before="240" w:after="200" w:line="276" w:lineRule="auto"/>
        <w:rPr>
          <w:rFonts w:ascii="ITC Avant Garde" w:hAnsi="ITC Avant Garde"/>
          <w:sz w:val="22"/>
          <w:szCs w:val="22"/>
        </w:rPr>
      </w:pPr>
      <w:r w:rsidRPr="00D42447">
        <w:rPr>
          <w:rFonts w:ascii="ITC Avant Garde" w:hAnsi="ITC Avant Garde"/>
          <w:sz w:val="22"/>
          <w:szCs w:val="22"/>
        </w:rPr>
        <w:t>Región de costo bajo:</w:t>
      </w:r>
    </w:p>
    <w:p w14:paraId="641CB402" w14:textId="77777777" w:rsidR="008F5855" w:rsidRPr="00D42447" w:rsidRDefault="00DC64C0" w:rsidP="00D42447">
      <w:pPr>
        <w:pStyle w:val="Texto0"/>
        <w:spacing w:before="240" w:after="200" w:line="276" w:lineRule="auto"/>
        <w:ind w:left="900" w:hanging="342"/>
        <w:rPr>
          <w:rFonts w:ascii="ITC Avant Garde" w:hAnsi="ITC Avant Garde"/>
          <w:sz w:val="22"/>
          <w:szCs w:val="22"/>
        </w:rPr>
      </w:pPr>
      <w:r w:rsidRPr="00D42447">
        <w:rPr>
          <w:rFonts w:ascii="ITC Avant Garde" w:hAnsi="ITC Avant Garde"/>
          <w:b/>
          <w:sz w:val="22"/>
          <w:szCs w:val="22"/>
        </w:rPr>
        <w:t>i)</w:t>
      </w:r>
      <w:r w:rsidRPr="00D42447">
        <w:rPr>
          <w:rFonts w:ascii="ITC Avant Garde" w:hAnsi="ITC Avant Garde"/>
          <w:b/>
          <w:sz w:val="22"/>
          <w:szCs w:val="22"/>
        </w:rPr>
        <w:tab/>
        <w:t>$1,011.54</w:t>
      </w:r>
      <w:r w:rsidR="008F5855" w:rsidRPr="00D42447">
        <w:rPr>
          <w:rFonts w:ascii="ITC Avant Garde" w:hAnsi="ITC Avant Garde"/>
          <w:b/>
          <w:sz w:val="22"/>
          <w:szCs w:val="22"/>
        </w:rPr>
        <w:t xml:space="preserve"> pesos M.N. </w:t>
      </w:r>
      <w:r w:rsidR="008F5855" w:rsidRPr="00D42447">
        <w:rPr>
          <w:rFonts w:ascii="ITC Avant Garde" w:hAnsi="ITC Avant Garde"/>
          <w:sz w:val="22"/>
          <w:szCs w:val="22"/>
        </w:rPr>
        <w:t>por metro cuadrado por coubicación de Tipo 1 y Tipo 2.</w:t>
      </w:r>
    </w:p>
    <w:p w14:paraId="48F1D993" w14:textId="77777777" w:rsidR="00D42447" w:rsidRPr="00D42447" w:rsidRDefault="00DC64C0" w:rsidP="00D42447">
      <w:pPr>
        <w:pStyle w:val="Texto0"/>
        <w:spacing w:before="240" w:after="200" w:line="276" w:lineRule="auto"/>
        <w:ind w:left="900" w:hanging="342"/>
        <w:rPr>
          <w:rFonts w:ascii="ITC Avant Garde" w:hAnsi="ITC Avant Garde"/>
          <w:sz w:val="22"/>
          <w:szCs w:val="22"/>
        </w:rPr>
      </w:pPr>
      <w:r w:rsidRPr="00D42447">
        <w:rPr>
          <w:rFonts w:ascii="ITC Avant Garde" w:hAnsi="ITC Avant Garde"/>
          <w:b/>
          <w:sz w:val="22"/>
          <w:szCs w:val="22"/>
        </w:rPr>
        <w:t>j)</w:t>
      </w:r>
      <w:r w:rsidRPr="00D42447">
        <w:rPr>
          <w:rFonts w:ascii="ITC Avant Garde" w:hAnsi="ITC Avant Garde"/>
          <w:b/>
          <w:sz w:val="22"/>
          <w:szCs w:val="22"/>
        </w:rPr>
        <w:tab/>
        <w:t>$2,381.76</w:t>
      </w:r>
      <w:r w:rsidR="008F5855" w:rsidRPr="00D42447">
        <w:rPr>
          <w:rFonts w:ascii="ITC Avant Garde" w:hAnsi="ITC Avant Garde"/>
          <w:b/>
          <w:sz w:val="22"/>
          <w:szCs w:val="22"/>
        </w:rPr>
        <w:t xml:space="preserve"> pesos M.N.</w:t>
      </w:r>
      <w:r w:rsidR="008F5855" w:rsidRPr="00D42447">
        <w:rPr>
          <w:rFonts w:ascii="ITC Avant Garde" w:hAnsi="ITC Avant Garde"/>
          <w:sz w:val="22"/>
          <w:szCs w:val="22"/>
        </w:rPr>
        <w:t xml:space="preserve"> por coubicación de Tipo 3.</w:t>
      </w:r>
    </w:p>
    <w:p w14:paraId="60E97B8B" w14:textId="77777777" w:rsidR="00D42447" w:rsidRPr="00D42447" w:rsidRDefault="00C15DB6" w:rsidP="00D42447">
      <w:pPr>
        <w:spacing w:before="240"/>
        <w:jc w:val="both"/>
        <w:rPr>
          <w:rFonts w:ascii="ITC Avant Garde" w:hAnsi="ITC Avant Garde" w:cs="Arial"/>
        </w:rPr>
      </w:pPr>
      <w:r w:rsidRPr="00D42447">
        <w:rPr>
          <w:rFonts w:ascii="ITC Avant Garde" w:hAnsi="ITC Avant Garde" w:cs="Arial"/>
        </w:rPr>
        <w:t>Las tarifas señaladas en los incisos e) al j) no incluyen el consumo de energía eléctrica.</w:t>
      </w:r>
    </w:p>
    <w:p w14:paraId="35558655" w14:textId="77777777" w:rsidR="00D42447" w:rsidRPr="00D42447" w:rsidRDefault="00C15DB6" w:rsidP="00D42447">
      <w:pPr>
        <w:spacing w:before="240"/>
        <w:jc w:val="both"/>
        <w:rPr>
          <w:rFonts w:ascii="ITC Avant Garde" w:hAnsi="ITC Avant Garde"/>
          <w:spacing w:val="-4"/>
        </w:rPr>
      </w:pPr>
      <w:r w:rsidRPr="00D42447">
        <w:rPr>
          <w:rFonts w:ascii="ITC Avant Garde" w:hAnsi="ITC Avant Garde" w:cs="Arial"/>
        </w:rPr>
        <w:t xml:space="preserve">Las regiones de costo se clasificarán de conformidad </w:t>
      </w:r>
      <w:r w:rsidRPr="00D42447">
        <w:rPr>
          <w:rFonts w:ascii="ITC Avant Garde" w:hAnsi="ITC Avant Garde"/>
          <w:spacing w:val="-4"/>
        </w:rPr>
        <w:t>con lo siguiente:</w:t>
      </w:r>
    </w:p>
    <w:tbl>
      <w:tblPr>
        <w:tblStyle w:val="Tablaconcuadrcula1"/>
        <w:tblW w:w="6379" w:type="dxa"/>
        <w:jc w:val="center"/>
        <w:tblLayout w:type="fixed"/>
        <w:tblLook w:val="04A0" w:firstRow="1" w:lastRow="0" w:firstColumn="1" w:lastColumn="0" w:noHBand="0" w:noVBand="1"/>
        <w:tblCaption w:val="Clasificación de regiones de costo"/>
        <w:tblDescription w:val="En una tabla de 4 columnas, se proporciona por Entidad Federativa la ciudad interconectada y el nivel de coubicación."/>
      </w:tblPr>
      <w:tblGrid>
        <w:gridCol w:w="710"/>
        <w:gridCol w:w="2125"/>
        <w:gridCol w:w="1985"/>
        <w:gridCol w:w="1559"/>
      </w:tblGrid>
      <w:tr w:rsidR="00F73429" w:rsidRPr="00D42447" w14:paraId="473E2C42" w14:textId="77777777" w:rsidTr="00D42447">
        <w:trPr>
          <w:trHeight w:val="510"/>
          <w:tblHeader/>
          <w:jc w:val="center"/>
        </w:trPr>
        <w:tc>
          <w:tcPr>
            <w:tcW w:w="710" w:type="dxa"/>
            <w:shd w:val="clear" w:color="auto" w:fill="A6A6A6" w:themeFill="background1" w:themeFillShade="A6"/>
            <w:vAlign w:val="center"/>
            <w:hideMark/>
          </w:tcPr>
          <w:p w14:paraId="52B96394" w14:textId="77777777" w:rsidR="00C15DB6" w:rsidRPr="00D42447" w:rsidRDefault="00C15DB6" w:rsidP="00D42447">
            <w:pPr>
              <w:spacing w:after="0" w:line="240" w:lineRule="auto"/>
              <w:jc w:val="center"/>
              <w:rPr>
                <w:rFonts w:ascii="Arial" w:hAnsi="Arial" w:cs="Arial"/>
                <w:b/>
                <w:bCs/>
                <w:sz w:val="18"/>
                <w:szCs w:val="18"/>
                <w:lang w:eastAsia="es-MX"/>
              </w:rPr>
            </w:pPr>
            <w:r w:rsidRPr="00D42447">
              <w:rPr>
                <w:rFonts w:ascii="Arial" w:hAnsi="Arial" w:cs="Arial"/>
                <w:b/>
                <w:sz w:val="18"/>
                <w:szCs w:val="18"/>
                <w:lang w:eastAsia="es-MX"/>
              </w:rPr>
              <w:t>No.</w:t>
            </w:r>
          </w:p>
        </w:tc>
        <w:tc>
          <w:tcPr>
            <w:tcW w:w="2125" w:type="dxa"/>
            <w:shd w:val="clear" w:color="auto" w:fill="A6A6A6" w:themeFill="background1" w:themeFillShade="A6"/>
            <w:vAlign w:val="center"/>
            <w:hideMark/>
          </w:tcPr>
          <w:p w14:paraId="2D2E0A4C" w14:textId="77777777" w:rsidR="00C15DB6" w:rsidRPr="00D42447" w:rsidRDefault="00C15DB6" w:rsidP="00D42447">
            <w:pPr>
              <w:spacing w:after="0" w:line="240" w:lineRule="auto"/>
              <w:jc w:val="center"/>
              <w:rPr>
                <w:rFonts w:ascii="Arial" w:hAnsi="Arial" w:cs="Arial"/>
                <w:b/>
                <w:bCs/>
                <w:sz w:val="18"/>
                <w:szCs w:val="18"/>
                <w:lang w:eastAsia="es-MX"/>
              </w:rPr>
            </w:pPr>
            <w:r w:rsidRPr="00D42447">
              <w:rPr>
                <w:rFonts w:ascii="Arial" w:hAnsi="Arial" w:cs="Arial"/>
                <w:b/>
                <w:sz w:val="18"/>
                <w:szCs w:val="18"/>
                <w:lang w:eastAsia="es-MX"/>
              </w:rPr>
              <w:t>ESTADO</w:t>
            </w:r>
          </w:p>
        </w:tc>
        <w:tc>
          <w:tcPr>
            <w:tcW w:w="1985" w:type="dxa"/>
            <w:shd w:val="clear" w:color="auto" w:fill="A6A6A6" w:themeFill="background1" w:themeFillShade="A6"/>
            <w:vAlign w:val="center"/>
            <w:hideMark/>
          </w:tcPr>
          <w:p w14:paraId="5A4DBDCE" w14:textId="77777777" w:rsidR="00C15DB6" w:rsidRPr="00D42447" w:rsidRDefault="00C15DB6" w:rsidP="00D42447">
            <w:pPr>
              <w:spacing w:after="0" w:line="240" w:lineRule="auto"/>
              <w:jc w:val="center"/>
              <w:rPr>
                <w:rFonts w:ascii="Arial" w:hAnsi="Arial" w:cs="Arial"/>
                <w:b/>
                <w:bCs/>
                <w:sz w:val="18"/>
                <w:szCs w:val="18"/>
                <w:lang w:eastAsia="es-MX"/>
              </w:rPr>
            </w:pPr>
            <w:r w:rsidRPr="00D42447">
              <w:rPr>
                <w:rFonts w:ascii="Arial" w:hAnsi="Arial" w:cs="Arial"/>
                <w:b/>
                <w:sz w:val="18"/>
                <w:szCs w:val="18"/>
                <w:lang w:eastAsia="es-MX"/>
              </w:rPr>
              <w:t>CIUDAD DE INTERCONEXION</w:t>
            </w:r>
          </w:p>
        </w:tc>
        <w:tc>
          <w:tcPr>
            <w:tcW w:w="1559" w:type="dxa"/>
            <w:shd w:val="clear" w:color="auto" w:fill="A6A6A6" w:themeFill="background1" w:themeFillShade="A6"/>
            <w:vAlign w:val="center"/>
            <w:hideMark/>
          </w:tcPr>
          <w:p w14:paraId="73776A84" w14:textId="77777777" w:rsidR="00C15DB6" w:rsidRPr="00D42447" w:rsidRDefault="00C15DB6" w:rsidP="00D42447">
            <w:pPr>
              <w:spacing w:after="0" w:line="240" w:lineRule="auto"/>
              <w:jc w:val="center"/>
              <w:rPr>
                <w:rFonts w:ascii="Arial" w:hAnsi="Arial" w:cs="Arial"/>
                <w:b/>
                <w:bCs/>
                <w:sz w:val="18"/>
                <w:szCs w:val="18"/>
                <w:lang w:val="es-ES" w:eastAsia="es-MX"/>
              </w:rPr>
            </w:pPr>
            <w:r w:rsidRPr="00D42447">
              <w:rPr>
                <w:rFonts w:ascii="Arial" w:hAnsi="Arial" w:cs="Arial"/>
                <w:b/>
                <w:sz w:val="18"/>
                <w:szCs w:val="18"/>
                <w:lang w:val="es-ES" w:eastAsia="es-MX"/>
              </w:rPr>
              <w:t>NIVEL DE COUBICACIÓN</w:t>
            </w:r>
          </w:p>
        </w:tc>
      </w:tr>
      <w:tr w:rsidR="00F73429" w:rsidRPr="00D42447" w14:paraId="484C943D" w14:textId="77777777" w:rsidTr="00D42447">
        <w:trPr>
          <w:trHeight w:val="495"/>
          <w:jc w:val="center"/>
        </w:trPr>
        <w:tc>
          <w:tcPr>
            <w:tcW w:w="710" w:type="dxa"/>
            <w:hideMark/>
          </w:tcPr>
          <w:p w14:paraId="3734C5CE"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1</w:t>
            </w:r>
          </w:p>
        </w:tc>
        <w:tc>
          <w:tcPr>
            <w:tcW w:w="2125" w:type="dxa"/>
            <w:hideMark/>
          </w:tcPr>
          <w:p w14:paraId="7E9543E7"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GUANAJUATO</w:t>
            </w:r>
          </w:p>
        </w:tc>
        <w:tc>
          <w:tcPr>
            <w:tcW w:w="1985" w:type="dxa"/>
            <w:hideMark/>
          </w:tcPr>
          <w:p w14:paraId="3F5AED7A"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CELAYA</w:t>
            </w:r>
          </w:p>
        </w:tc>
        <w:tc>
          <w:tcPr>
            <w:tcW w:w="1559" w:type="dxa"/>
            <w:hideMark/>
          </w:tcPr>
          <w:p w14:paraId="1E554534"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ALTA</w:t>
            </w:r>
          </w:p>
        </w:tc>
      </w:tr>
      <w:tr w:rsidR="00F73429" w:rsidRPr="00D42447" w14:paraId="376393E5" w14:textId="77777777" w:rsidTr="00D42447">
        <w:trPr>
          <w:trHeight w:val="495"/>
          <w:jc w:val="center"/>
        </w:trPr>
        <w:tc>
          <w:tcPr>
            <w:tcW w:w="710" w:type="dxa"/>
            <w:hideMark/>
          </w:tcPr>
          <w:p w14:paraId="3CDFB26A"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2</w:t>
            </w:r>
          </w:p>
        </w:tc>
        <w:tc>
          <w:tcPr>
            <w:tcW w:w="2125" w:type="dxa"/>
            <w:hideMark/>
          </w:tcPr>
          <w:p w14:paraId="6CCC6692"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CHIHUAHUA</w:t>
            </w:r>
          </w:p>
        </w:tc>
        <w:tc>
          <w:tcPr>
            <w:tcW w:w="1985" w:type="dxa"/>
            <w:hideMark/>
          </w:tcPr>
          <w:p w14:paraId="7887D59D"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CHIHUAHUA</w:t>
            </w:r>
          </w:p>
        </w:tc>
        <w:tc>
          <w:tcPr>
            <w:tcW w:w="1559" w:type="dxa"/>
            <w:hideMark/>
          </w:tcPr>
          <w:p w14:paraId="0E1ADB81"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ALTA</w:t>
            </w:r>
          </w:p>
        </w:tc>
      </w:tr>
      <w:tr w:rsidR="00F73429" w:rsidRPr="00D42447" w14:paraId="3CE76726" w14:textId="77777777" w:rsidTr="00D42447">
        <w:trPr>
          <w:trHeight w:val="495"/>
          <w:jc w:val="center"/>
        </w:trPr>
        <w:tc>
          <w:tcPr>
            <w:tcW w:w="710" w:type="dxa"/>
            <w:hideMark/>
          </w:tcPr>
          <w:p w14:paraId="022D7C3B"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3</w:t>
            </w:r>
          </w:p>
        </w:tc>
        <w:tc>
          <w:tcPr>
            <w:tcW w:w="2125" w:type="dxa"/>
            <w:hideMark/>
          </w:tcPr>
          <w:p w14:paraId="26039437"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GUERRERO</w:t>
            </w:r>
          </w:p>
        </w:tc>
        <w:tc>
          <w:tcPr>
            <w:tcW w:w="1985" w:type="dxa"/>
            <w:hideMark/>
          </w:tcPr>
          <w:p w14:paraId="7259BEF9"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CHILPANCINGO</w:t>
            </w:r>
          </w:p>
        </w:tc>
        <w:tc>
          <w:tcPr>
            <w:tcW w:w="1559" w:type="dxa"/>
            <w:hideMark/>
          </w:tcPr>
          <w:p w14:paraId="780041C0"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3F153B06" w14:textId="77777777" w:rsidTr="00D42447">
        <w:trPr>
          <w:trHeight w:val="495"/>
          <w:jc w:val="center"/>
        </w:trPr>
        <w:tc>
          <w:tcPr>
            <w:tcW w:w="710" w:type="dxa"/>
            <w:hideMark/>
          </w:tcPr>
          <w:p w14:paraId="146CF526"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4</w:t>
            </w:r>
          </w:p>
        </w:tc>
        <w:tc>
          <w:tcPr>
            <w:tcW w:w="2125" w:type="dxa"/>
            <w:hideMark/>
          </w:tcPr>
          <w:p w14:paraId="33056C33"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SONORA</w:t>
            </w:r>
          </w:p>
        </w:tc>
        <w:tc>
          <w:tcPr>
            <w:tcW w:w="1985" w:type="dxa"/>
            <w:hideMark/>
          </w:tcPr>
          <w:p w14:paraId="7214BF9C"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CIUDAD OBREGON</w:t>
            </w:r>
          </w:p>
        </w:tc>
        <w:tc>
          <w:tcPr>
            <w:tcW w:w="1559" w:type="dxa"/>
            <w:hideMark/>
          </w:tcPr>
          <w:p w14:paraId="2107B0C5"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5E6FC1BC" w14:textId="77777777" w:rsidTr="00D42447">
        <w:trPr>
          <w:trHeight w:val="495"/>
          <w:jc w:val="center"/>
        </w:trPr>
        <w:tc>
          <w:tcPr>
            <w:tcW w:w="710" w:type="dxa"/>
            <w:hideMark/>
          </w:tcPr>
          <w:p w14:paraId="2C863DA2"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5</w:t>
            </w:r>
          </w:p>
        </w:tc>
        <w:tc>
          <w:tcPr>
            <w:tcW w:w="2125" w:type="dxa"/>
            <w:hideMark/>
          </w:tcPr>
          <w:p w14:paraId="34F72B45"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COLIMA</w:t>
            </w:r>
          </w:p>
        </w:tc>
        <w:tc>
          <w:tcPr>
            <w:tcW w:w="1985" w:type="dxa"/>
            <w:hideMark/>
          </w:tcPr>
          <w:p w14:paraId="0943D17C"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COLIMA</w:t>
            </w:r>
          </w:p>
        </w:tc>
        <w:tc>
          <w:tcPr>
            <w:tcW w:w="1559" w:type="dxa"/>
            <w:hideMark/>
          </w:tcPr>
          <w:p w14:paraId="09C8263E"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5019E9FE" w14:textId="77777777" w:rsidTr="00D42447">
        <w:trPr>
          <w:trHeight w:val="495"/>
          <w:jc w:val="center"/>
        </w:trPr>
        <w:tc>
          <w:tcPr>
            <w:tcW w:w="710" w:type="dxa"/>
            <w:hideMark/>
          </w:tcPr>
          <w:p w14:paraId="00681F65"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6</w:t>
            </w:r>
          </w:p>
        </w:tc>
        <w:tc>
          <w:tcPr>
            <w:tcW w:w="2125" w:type="dxa"/>
            <w:hideMark/>
          </w:tcPr>
          <w:p w14:paraId="35890DDB"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DURANGO</w:t>
            </w:r>
          </w:p>
        </w:tc>
        <w:tc>
          <w:tcPr>
            <w:tcW w:w="1985" w:type="dxa"/>
            <w:hideMark/>
          </w:tcPr>
          <w:p w14:paraId="65E54BD2"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DURANGO</w:t>
            </w:r>
          </w:p>
        </w:tc>
        <w:tc>
          <w:tcPr>
            <w:tcW w:w="1559" w:type="dxa"/>
            <w:hideMark/>
          </w:tcPr>
          <w:p w14:paraId="289AA789"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MEDIA</w:t>
            </w:r>
          </w:p>
        </w:tc>
      </w:tr>
      <w:tr w:rsidR="00F73429" w:rsidRPr="00D42447" w14:paraId="2C3772A7" w14:textId="77777777" w:rsidTr="00D42447">
        <w:trPr>
          <w:trHeight w:val="495"/>
          <w:jc w:val="center"/>
        </w:trPr>
        <w:tc>
          <w:tcPr>
            <w:tcW w:w="710" w:type="dxa"/>
            <w:hideMark/>
          </w:tcPr>
          <w:p w14:paraId="0D328A18"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7</w:t>
            </w:r>
          </w:p>
        </w:tc>
        <w:tc>
          <w:tcPr>
            <w:tcW w:w="2125" w:type="dxa"/>
            <w:hideMark/>
          </w:tcPr>
          <w:p w14:paraId="66E885DF"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BAJA CALIFORNIA</w:t>
            </w:r>
          </w:p>
        </w:tc>
        <w:tc>
          <w:tcPr>
            <w:tcW w:w="1985" w:type="dxa"/>
            <w:hideMark/>
          </w:tcPr>
          <w:p w14:paraId="01649CF9"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ENSENADA</w:t>
            </w:r>
          </w:p>
        </w:tc>
        <w:tc>
          <w:tcPr>
            <w:tcW w:w="1559" w:type="dxa"/>
            <w:hideMark/>
          </w:tcPr>
          <w:p w14:paraId="0BE6B196"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758DD82D" w14:textId="77777777" w:rsidTr="00D42447">
        <w:trPr>
          <w:trHeight w:val="495"/>
          <w:jc w:val="center"/>
        </w:trPr>
        <w:tc>
          <w:tcPr>
            <w:tcW w:w="710" w:type="dxa"/>
            <w:hideMark/>
          </w:tcPr>
          <w:p w14:paraId="6636479F"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8</w:t>
            </w:r>
          </w:p>
        </w:tc>
        <w:tc>
          <w:tcPr>
            <w:tcW w:w="2125" w:type="dxa"/>
            <w:hideMark/>
          </w:tcPr>
          <w:p w14:paraId="4B6683E1"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SONORA</w:t>
            </w:r>
          </w:p>
        </w:tc>
        <w:tc>
          <w:tcPr>
            <w:tcW w:w="1985" w:type="dxa"/>
            <w:hideMark/>
          </w:tcPr>
          <w:p w14:paraId="36DE1A1E"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HERMOSILLO</w:t>
            </w:r>
          </w:p>
        </w:tc>
        <w:tc>
          <w:tcPr>
            <w:tcW w:w="1559" w:type="dxa"/>
            <w:hideMark/>
          </w:tcPr>
          <w:p w14:paraId="019CC067"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ALTA</w:t>
            </w:r>
          </w:p>
        </w:tc>
      </w:tr>
      <w:tr w:rsidR="00F73429" w:rsidRPr="00D42447" w14:paraId="4F125ED1" w14:textId="77777777" w:rsidTr="00D42447">
        <w:trPr>
          <w:trHeight w:val="495"/>
          <w:jc w:val="center"/>
        </w:trPr>
        <w:tc>
          <w:tcPr>
            <w:tcW w:w="710" w:type="dxa"/>
            <w:hideMark/>
          </w:tcPr>
          <w:p w14:paraId="5DAB2F5B"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9</w:t>
            </w:r>
          </w:p>
        </w:tc>
        <w:tc>
          <w:tcPr>
            <w:tcW w:w="2125" w:type="dxa"/>
            <w:hideMark/>
          </w:tcPr>
          <w:p w14:paraId="0B44A8ED"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VERACRUZ</w:t>
            </w:r>
          </w:p>
        </w:tc>
        <w:tc>
          <w:tcPr>
            <w:tcW w:w="1985" w:type="dxa"/>
            <w:hideMark/>
          </w:tcPr>
          <w:p w14:paraId="64115108"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XALAPA</w:t>
            </w:r>
          </w:p>
        </w:tc>
        <w:tc>
          <w:tcPr>
            <w:tcW w:w="1559" w:type="dxa"/>
            <w:hideMark/>
          </w:tcPr>
          <w:p w14:paraId="075E7DF2"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MEDIA</w:t>
            </w:r>
          </w:p>
        </w:tc>
      </w:tr>
      <w:tr w:rsidR="00F73429" w:rsidRPr="00D42447" w14:paraId="07BD248D" w14:textId="77777777" w:rsidTr="00D42447">
        <w:trPr>
          <w:trHeight w:val="495"/>
          <w:jc w:val="center"/>
        </w:trPr>
        <w:tc>
          <w:tcPr>
            <w:tcW w:w="710" w:type="dxa"/>
            <w:hideMark/>
          </w:tcPr>
          <w:p w14:paraId="0ECC50B8"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10</w:t>
            </w:r>
          </w:p>
        </w:tc>
        <w:tc>
          <w:tcPr>
            <w:tcW w:w="2125" w:type="dxa"/>
            <w:hideMark/>
          </w:tcPr>
          <w:p w14:paraId="4F415FAF"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BAJA CALIFORNIA SUR</w:t>
            </w:r>
          </w:p>
        </w:tc>
        <w:tc>
          <w:tcPr>
            <w:tcW w:w="1985" w:type="dxa"/>
            <w:hideMark/>
          </w:tcPr>
          <w:p w14:paraId="1A00A94C"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LA PAZ</w:t>
            </w:r>
          </w:p>
        </w:tc>
        <w:tc>
          <w:tcPr>
            <w:tcW w:w="1559" w:type="dxa"/>
            <w:hideMark/>
          </w:tcPr>
          <w:p w14:paraId="266B9197"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2B1BDC9E" w14:textId="77777777" w:rsidTr="00D42447">
        <w:trPr>
          <w:trHeight w:val="495"/>
          <w:jc w:val="center"/>
        </w:trPr>
        <w:tc>
          <w:tcPr>
            <w:tcW w:w="710" w:type="dxa"/>
            <w:hideMark/>
          </w:tcPr>
          <w:p w14:paraId="7E2FEEC4"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11</w:t>
            </w:r>
          </w:p>
        </w:tc>
        <w:tc>
          <w:tcPr>
            <w:tcW w:w="2125" w:type="dxa"/>
            <w:hideMark/>
          </w:tcPr>
          <w:p w14:paraId="0FE7C23A"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SINALOA</w:t>
            </w:r>
          </w:p>
        </w:tc>
        <w:tc>
          <w:tcPr>
            <w:tcW w:w="1985" w:type="dxa"/>
            <w:hideMark/>
          </w:tcPr>
          <w:p w14:paraId="4912E9A3"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LOS MOCHIS</w:t>
            </w:r>
          </w:p>
        </w:tc>
        <w:tc>
          <w:tcPr>
            <w:tcW w:w="1559" w:type="dxa"/>
            <w:hideMark/>
          </w:tcPr>
          <w:p w14:paraId="7599DF63"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48DD52D3" w14:textId="77777777" w:rsidTr="00D42447">
        <w:trPr>
          <w:trHeight w:val="495"/>
          <w:jc w:val="center"/>
        </w:trPr>
        <w:tc>
          <w:tcPr>
            <w:tcW w:w="710" w:type="dxa"/>
            <w:hideMark/>
          </w:tcPr>
          <w:p w14:paraId="66EB526B"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12</w:t>
            </w:r>
          </w:p>
        </w:tc>
        <w:tc>
          <w:tcPr>
            <w:tcW w:w="2125" w:type="dxa"/>
            <w:hideMark/>
          </w:tcPr>
          <w:p w14:paraId="6CC5B579"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SINALOA</w:t>
            </w:r>
          </w:p>
        </w:tc>
        <w:tc>
          <w:tcPr>
            <w:tcW w:w="1985" w:type="dxa"/>
            <w:hideMark/>
          </w:tcPr>
          <w:p w14:paraId="77CFE4A8"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MAZATLAN</w:t>
            </w:r>
          </w:p>
        </w:tc>
        <w:tc>
          <w:tcPr>
            <w:tcW w:w="1559" w:type="dxa"/>
            <w:hideMark/>
          </w:tcPr>
          <w:p w14:paraId="7D83EB0D"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MEDIA</w:t>
            </w:r>
          </w:p>
        </w:tc>
      </w:tr>
      <w:tr w:rsidR="00F73429" w:rsidRPr="00D42447" w14:paraId="7E79A770" w14:textId="77777777" w:rsidTr="00D42447">
        <w:trPr>
          <w:trHeight w:val="495"/>
          <w:jc w:val="center"/>
        </w:trPr>
        <w:tc>
          <w:tcPr>
            <w:tcW w:w="710" w:type="dxa"/>
            <w:hideMark/>
          </w:tcPr>
          <w:p w14:paraId="6DBF414A"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13</w:t>
            </w:r>
          </w:p>
        </w:tc>
        <w:tc>
          <w:tcPr>
            <w:tcW w:w="2125" w:type="dxa"/>
            <w:hideMark/>
          </w:tcPr>
          <w:p w14:paraId="5D38AF83"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YUCATAN</w:t>
            </w:r>
          </w:p>
        </w:tc>
        <w:tc>
          <w:tcPr>
            <w:tcW w:w="1985" w:type="dxa"/>
            <w:hideMark/>
          </w:tcPr>
          <w:p w14:paraId="62B229B3"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MERIDA</w:t>
            </w:r>
          </w:p>
        </w:tc>
        <w:tc>
          <w:tcPr>
            <w:tcW w:w="1559" w:type="dxa"/>
            <w:hideMark/>
          </w:tcPr>
          <w:p w14:paraId="67F6B48E"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ALTA</w:t>
            </w:r>
          </w:p>
        </w:tc>
      </w:tr>
      <w:tr w:rsidR="00F73429" w:rsidRPr="00D42447" w14:paraId="74492E70" w14:textId="77777777" w:rsidTr="00D42447">
        <w:trPr>
          <w:trHeight w:val="495"/>
          <w:jc w:val="center"/>
        </w:trPr>
        <w:tc>
          <w:tcPr>
            <w:tcW w:w="710" w:type="dxa"/>
            <w:hideMark/>
          </w:tcPr>
          <w:p w14:paraId="1C197D8F"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14</w:t>
            </w:r>
          </w:p>
        </w:tc>
        <w:tc>
          <w:tcPr>
            <w:tcW w:w="2125" w:type="dxa"/>
            <w:hideMark/>
          </w:tcPr>
          <w:p w14:paraId="18F292D2"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SONORA</w:t>
            </w:r>
          </w:p>
        </w:tc>
        <w:tc>
          <w:tcPr>
            <w:tcW w:w="1985" w:type="dxa"/>
            <w:hideMark/>
          </w:tcPr>
          <w:p w14:paraId="2CF73AC9"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NOGALES</w:t>
            </w:r>
          </w:p>
        </w:tc>
        <w:tc>
          <w:tcPr>
            <w:tcW w:w="1559" w:type="dxa"/>
            <w:hideMark/>
          </w:tcPr>
          <w:p w14:paraId="23970936"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4235A489" w14:textId="77777777" w:rsidTr="00D42447">
        <w:trPr>
          <w:trHeight w:val="495"/>
          <w:jc w:val="center"/>
        </w:trPr>
        <w:tc>
          <w:tcPr>
            <w:tcW w:w="710" w:type="dxa"/>
            <w:hideMark/>
          </w:tcPr>
          <w:p w14:paraId="36876604"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15</w:t>
            </w:r>
          </w:p>
        </w:tc>
        <w:tc>
          <w:tcPr>
            <w:tcW w:w="2125" w:type="dxa"/>
            <w:hideMark/>
          </w:tcPr>
          <w:p w14:paraId="03616D84"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TAMAULIPAS</w:t>
            </w:r>
          </w:p>
        </w:tc>
        <w:tc>
          <w:tcPr>
            <w:tcW w:w="1985" w:type="dxa"/>
            <w:hideMark/>
          </w:tcPr>
          <w:p w14:paraId="4BB30E0F"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NUEVO LAREDO</w:t>
            </w:r>
          </w:p>
        </w:tc>
        <w:tc>
          <w:tcPr>
            <w:tcW w:w="1559" w:type="dxa"/>
            <w:hideMark/>
          </w:tcPr>
          <w:p w14:paraId="2F2F3CA0"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3BBA61F7" w14:textId="77777777" w:rsidTr="00D42447">
        <w:trPr>
          <w:trHeight w:val="495"/>
          <w:jc w:val="center"/>
        </w:trPr>
        <w:tc>
          <w:tcPr>
            <w:tcW w:w="710" w:type="dxa"/>
            <w:hideMark/>
          </w:tcPr>
          <w:p w14:paraId="1EF5F084"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lastRenderedPageBreak/>
              <w:t>16</w:t>
            </w:r>
          </w:p>
        </w:tc>
        <w:tc>
          <w:tcPr>
            <w:tcW w:w="2125" w:type="dxa"/>
            <w:hideMark/>
          </w:tcPr>
          <w:p w14:paraId="5C18BC23"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HIDALGO</w:t>
            </w:r>
          </w:p>
        </w:tc>
        <w:tc>
          <w:tcPr>
            <w:tcW w:w="1985" w:type="dxa"/>
            <w:hideMark/>
          </w:tcPr>
          <w:p w14:paraId="3BF66FCB"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PACHUCA</w:t>
            </w:r>
          </w:p>
        </w:tc>
        <w:tc>
          <w:tcPr>
            <w:tcW w:w="1559" w:type="dxa"/>
            <w:hideMark/>
          </w:tcPr>
          <w:p w14:paraId="782B99DB"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318B3CAC" w14:textId="77777777" w:rsidTr="00D42447">
        <w:trPr>
          <w:trHeight w:val="495"/>
          <w:jc w:val="center"/>
        </w:trPr>
        <w:tc>
          <w:tcPr>
            <w:tcW w:w="710" w:type="dxa"/>
            <w:hideMark/>
          </w:tcPr>
          <w:p w14:paraId="784D20DC"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17</w:t>
            </w:r>
          </w:p>
        </w:tc>
        <w:tc>
          <w:tcPr>
            <w:tcW w:w="2125" w:type="dxa"/>
            <w:hideMark/>
          </w:tcPr>
          <w:p w14:paraId="41F299D9"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VERACRUZ</w:t>
            </w:r>
          </w:p>
        </w:tc>
        <w:tc>
          <w:tcPr>
            <w:tcW w:w="1985" w:type="dxa"/>
            <w:hideMark/>
          </w:tcPr>
          <w:p w14:paraId="1304F27A"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POZA RICA</w:t>
            </w:r>
          </w:p>
        </w:tc>
        <w:tc>
          <w:tcPr>
            <w:tcW w:w="1559" w:type="dxa"/>
            <w:hideMark/>
          </w:tcPr>
          <w:p w14:paraId="3FD6E13A"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218F6FBF" w14:textId="77777777" w:rsidTr="00D42447">
        <w:trPr>
          <w:trHeight w:val="495"/>
          <w:jc w:val="center"/>
        </w:trPr>
        <w:tc>
          <w:tcPr>
            <w:tcW w:w="710" w:type="dxa"/>
            <w:hideMark/>
          </w:tcPr>
          <w:p w14:paraId="45A35AB7"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18</w:t>
            </w:r>
          </w:p>
        </w:tc>
        <w:tc>
          <w:tcPr>
            <w:tcW w:w="2125" w:type="dxa"/>
            <w:hideMark/>
          </w:tcPr>
          <w:p w14:paraId="26DBFC38"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JALISCO</w:t>
            </w:r>
          </w:p>
        </w:tc>
        <w:tc>
          <w:tcPr>
            <w:tcW w:w="1985" w:type="dxa"/>
            <w:hideMark/>
          </w:tcPr>
          <w:p w14:paraId="6067ACBC"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PUERTO VALLARTA</w:t>
            </w:r>
          </w:p>
        </w:tc>
        <w:tc>
          <w:tcPr>
            <w:tcW w:w="1559" w:type="dxa"/>
            <w:hideMark/>
          </w:tcPr>
          <w:p w14:paraId="045A9193"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2D47CD7C" w14:textId="77777777" w:rsidTr="00D42447">
        <w:trPr>
          <w:trHeight w:val="495"/>
          <w:jc w:val="center"/>
        </w:trPr>
        <w:tc>
          <w:tcPr>
            <w:tcW w:w="710" w:type="dxa"/>
            <w:hideMark/>
          </w:tcPr>
          <w:p w14:paraId="16BEC6D5"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19</w:t>
            </w:r>
          </w:p>
        </w:tc>
        <w:tc>
          <w:tcPr>
            <w:tcW w:w="2125" w:type="dxa"/>
            <w:hideMark/>
          </w:tcPr>
          <w:p w14:paraId="2FDEA80E"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CHIAPAS</w:t>
            </w:r>
          </w:p>
        </w:tc>
        <w:tc>
          <w:tcPr>
            <w:tcW w:w="1985" w:type="dxa"/>
            <w:hideMark/>
          </w:tcPr>
          <w:p w14:paraId="0BE1F04A"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TUXTLA GUTIERREZ</w:t>
            </w:r>
          </w:p>
        </w:tc>
        <w:tc>
          <w:tcPr>
            <w:tcW w:w="1559" w:type="dxa"/>
            <w:hideMark/>
          </w:tcPr>
          <w:p w14:paraId="75CBFA21"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5F57D222" w14:textId="77777777" w:rsidTr="00D42447">
        <w:trPr>
          <w:trHeight w:val="495"/>
          <w:jc w:val="center"/>
        </w:trPr>
        <w:tc>
          <w:tcPr>
            <w:tcW w:w="710" w:type="dxa"/>
            <w:hideMark/>
          </w:tcPr>
          <w:p w14:paraId="36A2CD83"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20</w:t>
            </w:r>
          </w:p>
        </w:tc>
        <w:tc>
          <w:tcPr>
            <w:tcW w:w="2125" w:type="dxa"/>
            <w:hideMark/>
          </w:tcPr>
          <w:p w14:paraId="1EB2EEA9"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MICHOACAN</w:t>
            </w:r>
          </w:p>
        </w:tc>
        <w:tc>
          <w:tcPr>
            <w:tcW w:w="1985" w:type="dxa"/>
            <w:hideMark/>
          </w:tcPr>
          <w:p w14:paraId="517A9B97"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URUAPAN</w:t>
            </w:r>
          </w:p>
        </w:tc>
        <w:tc>
          <w:tcPr>
            <w:tcW w:w="1559" w:type="dxa"/>
            <w:hideMark/>
          </w:tcPr>
          <w:p w14:paraId="67AFD3A8"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33202F2C" w14:textId="77777777" w:rsidTr="00D42447">
        <w:trPr>
          <w:trHeight w:val="495"/>
          <w:jc w:val="center"/>
        </w:trPr>
        <w:tc>
          <w:tcPr>
            <w:tcW w:w="710" w:type="dxa"/>
            <w:hideMark/>
          </w:tcPr>
          <w:p w14:paraId="47255717"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21</w:t>
            </w:r>
          </w:p>
        </w:tc>
        <w:tc>
          <w:tcPr>
            <w:tcW w:w="2125" w:type="dxa"/>
            <w:hideMark/>
          </w:tcPr>
          <w:p w14:paraId="7E8AE70B"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TABASCO</w:t>
            </w:r>
          </w:p>
        </w:tc>
        <w:tc>
          <w:tcPr>
            <w:tcW w:w="1985" w:type="dxa"/>
            <w:hideMark/>
          </w:tcPr>
          <w:p w14:paraId="31CE7B19"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VILLAHERMOSA</w:t>
            </w:r>
          </w:p>
        </w:tc>
        <w:tc>
          <w:tcPr>
            <w:tcW w:w="1559" w:type="dxa"/>
            <w:hideMark/>
          </w:tcPr>
          <w:p w14:paraId="59552959"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74208F45" w14:textId="77777777" w:rsidTr="00D42447">
        <w:trPr>
          <w:trHeight w:val="495"/>
          <w:jc w:val="center"/>
        </w:trPr>
        <w:tc>
          <w:tcPr>
            <w:tcW w:w="710" w:type="dxa"/>
            <w:hideMark/>
          </w:tcPr>
          <w:p w14:paraId="74BE7DC7"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22</w:t>
            </w:r>
          </w:p>
        </w:tc>
        <w:tc>
          <w:tcPr>
            <w:tcW w:w="2125" w:type="dxa"/>
            <w:hideMark/>
          </w:tcPr>
          <w:p w14:paraId="4AEC307B"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JALISCO</w:t>
            </w:r>
          </w:p>
        </w:tc>
        <w:tc>
          <w:tcPr>
            <w:tcW w:w="1985" w:type="dxa"/>
            <w:hideMark/>
          </w:tcPr>
          <w:p w14:paraId="620CBBD1"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TEPATITLAN</w:t>
            </w:r>
          </w:p>
        </w:tc>
        <w:tc>
          <w:tcPr>
            <w:tcW w:w="1559" w:type="dxa"/>
            <w:hideMark/>
          </w:tcPr>
          <w:p w14:paraId="1D8E38AA"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719E6303" w14:textId="77777777" w:rsidTr="00D42447">
        <w:trPr>
          <w:trHeight w:val="495"/>
          <w:jc w:val="center"/>
        </w:trPr>
        <w:tc>
          <w:tcPr>
            <w:tcW w:w="710" w:type="dxa"/>
            <w:hideMark/>
          </w:tcPr>
          <w:p w14:paraId="20254F24"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23</w:t>
            </w:r>
          </w:p>
        </w:tc>
        <w:tc>
          <w:tcPr>
            <w:tcW w:w="2125" w:type="dxa"/>
            <w:hideMark/>
          </w:tcPr>
          <w:p w14:paraId="5259E255"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NAYARIT</w:t>
            </w:r>
          </w:p>
        </w:tc>
        <w:tc>
          <w:tcPr>
            <w:tcW w:w="1985" w:type="dxa"/>
            <w:hideMark/>
          </w:tcPr>
          <w:p w14:paraId="5D4CB0F1"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TEPIC</w:t>
            </w:r>
          </w:p>
        </w:tc>
        <w:tc>
          <w:tcPr>
            <w:tcW w:w="1559" w:type="dxa"/>
            <w:hideMark/>
          </w:tcPr>
          <w:p w14:paraId="622CF420"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bl>
    <w:p w14:paraId="64495FCD" w14:textId="77777777" w:rsidR="00C15DB6" w:rsidRPr="00D42447" w:rsidRDefault="00C15DB6" w:rsidP="00D42447">
      <w:pPr>
        <w:spacing w:before="240"/>
        <w:jc w:val="center"/>
        <w:rPr>
          <w:rFonts w:ascii="ITC Avant Garde" w:eastAsia="Times New Roman" w:hAnsi="ITC Avant Garde" w:cs="Arial"/>
          <w:b/>
          <w:sz w:val="16"/>
          <w:szCs w:val="16"/>
          <w:lang w:eastAsia="es-ES"/>
        </w:rPr>
      </w:pPr>
      <w:r w:rsidRPr="00D42447">
        <w:rPr>
          <w:rFonts w:ascii="ITC Avant Garde" w:eastAsia="Times New Roman" w:hAnsi="ITC Avant Garde" w:cs="Arial"/>
          <w:b/>
          <w:sz w:val="16"/>
          <w:szCs w:val="16"/>
          <w:lang w:eastAsia="es-ES"/>
        </w:rPr>
        <w:t>Tabla 1: Niveles de Costo de Coubicación en puntos de interconexión TDM de Telcel.</w:t>
      </w:r>
    </w:p>
    <w:tbl>
      <w:tblPr>
        <w:tblStyle w:val="Tablaconcuadrcula1"/>
        <w:tblW w:w="6518" w:type="dxa"/>
        <w:jc w:val="center"/>
        <w:tblLook w:val="04A0" w:firstRow="1" w:lastRow="0" w:firstColumn="1" w:lastColumn="0" w:noHBand="0" w:noVBand="1"/>
        <w:tblCaption w:val="Tabla 1"/>
        <w:tblDescription w:val="N una tabla de 4 columnas, se proporcionan los niveles de costo de coubicación en puntos de interconexión TDM para Telcel."/>
      </w:tblPr>
      <w:tblGrid>
        <w:gridCol w:w="707"/>
        <w:gridCol w:w="2036"/>
        <w:gridCol w:w="1935"/>
        <w:gridCol w:w="1840"/>
      </w:tblGrid>
      <w:tr w:rsidR="00F73429" w:rsidRPr="00D42447" w14:paraId="19F82743" w14:textId="77777777" w:rsidTr="00D42447">
        <w:trPr>
          <w:trHeight w:val="765"/>
          <w:tblHeader/>
          <w:jc w:val="center"/>
        </w:trPr>
        <w:tc>
          <w:tcPr>
            <w:tcW w:w="707" w:type="dxa"/>
            <w:shd w:val="clear" w:color="auto" w:fill="A6A6A6" w:themeFill="background1" w:themeFillShade="A6"/>
            <w:vAlign w:val="center"/>
            <w:hideMark/>
          </w:tcPr>
          <w:p w14:paraId="3D6857F0" w14:textId="77777777" w:rsidR="00C15DB6" w:rsidRPr="00D42447" w:rsidRDefault="00C15DB6" w:rsidP="00D42447">
            <w:pPr>
              <w:spacing w:after="0" w:line="240" w:lineRule="auto"/>
              <w:jc w:val="center"/>
              <w:rPr>
                <w:rFonts w:ascii="Arial" w:hAnsi="Arial" w:cs="Arial"/>
                <w:b/>
                <w:bCs/>
                <w:sz w:val="18"/>
                <w:szCs w:val="18"/>
                <w:lang w:eastAsia="es-MX"/>
              </w:rPr>
            </w:pPr>
            <w:r w:rsidRPr="00D42447">
              <w:rPr>
                <w:rFonts w:ascii="Arial" w:hAnsi="Arial" w:cs="Arial"/>
                <w:b/>
                <w:sz w:val="18"/>
                <w:szCs w:val="18"/>
                <w:lang w:eastAsia="es-MX"/>
              </w:rPr>
              <w:t>NO.</w:t>
            </w:r>
          </w:p>
        </w:tc>
        <w:tc>
          <w:tcPr>
            <w:tcW w:w="2036" w:type="dxa"/>
            <w:shd w:val="clear" w:color="auto" w:fill="A6A6A6" w:themeFill="background1" w:themeFillShade="A6"/>
            <w:vAlign w:val="center"/>
            <w:hideMark/>
          </w:tcPr>
          <w:p w14:paraId="670274B7" w14:textId="77777777" w:rsidR="00C15DB6" w:rsidRPr="00D42447" w:rsidRDefault="00C15DB6" w:rsidP="00D42447">
            <w:pPr>
              <w:spacing w:after="0" w:line="240" w:lineRule="auto"/>
              <w:jc w:val="center"/>
              <w:rPr>
                <w:rFonts w:ascii="Arial" w:hAnsi="Arial" w:cs="Arial"/>
                <w:b/>
                <w:bCs/>
                <w:sz w:val="18"/>
                <w:szCs w:val="18"/>
                <w:lang w:eastAsia="es-MX"/>
              </w:rPr>
            </w:pPr>
            <w:r w:rsidRPr="00D42447">
              <w:rPr>
                <w:rFonts w:ascii="Arial" w:hAnsi="Arial" w:cs="Arial"/>
                <w:b/>
                <w:sz w:val="18"/>
                <w:szCs w:val="18"/>
                <w:lang w:eastAsia="es-MX"/>
              </w:rPr>
              <w:t>ESTADO</w:t>
            </w:r>
          </w:p>
        </w:tc>
        <w:tc>
          <w:tcPr>
            <w:tcW w:w="1935" w:type="dxa"/>
            <w:shd w:val="clear" w:color="auto" w:fill="A6A6A6" w:themeFill="background1" w:themeFillShade="A6"/>
            <w:vAlign w:val="center"/>
            <w:hideMark/>
          </w:tcPr>
          <w:p w14:paraId="64448B36" w14:textId="77777777" w:rsidR="00C15DB6" w:rsidRPr="00D42447" w:rsidRDefault="00C15DB6" w:rsidP="00D42447">
            <w:pPr>
              <w:spacing w:after="0" w:line="240" w:lineRule="auto"/>
              <w:jc w:val="center"/>
              <w:rPr>
                <w:rFonts w:ascii="Arial" w:hAnsi="Arial" w:cs="Arial"/>
                <w:b/>
                <w:bCs/>
                <w:sz w:val="18"/>
                <w:szCs w:val="18"/>
                <w:lang w:eastAsia="es-MX"/>
              </w:rPr>
            </w:pPr>
            <w:r w:rsidRPr="00D42447">
              <w:rPr>
                <w:rFonts w:ascii="Arial" w:hAnsi="Arial" w:cs="Arial"/>
                <w:b/>
                <w:sz w:val="18"/>
                <w:szCs w:val="18"/>
                <w:lang w:eastAsia="es-MX"/>
              </w:rPr>
              <w:t>CIUDAD DE INTERCONEXIÓN</w:t>
            </w:r>
          </w:p>
        </w:tc>
        <w:tc>
          <w:tcPr>
            <w:tcW w:w="1840" w:type="dxa"/>
            <w:shd w:val="clear" w:color="auto" w:fill="A6A6A6" w:themeFill="background1" w:themeFillShade="A6"/>
            <w:vAlign w:val="center"/>
            <w:hideMark/>
          </w:tcPr>
          <w:p w14:paraId="349D84B0" w14:textId="77777777" w:rsidR="00C15DB6" w:rsidRPr="00D42447" w:rsidRDefault="00C15DB6" w:rsidP="00D42447">
            <w:pPr>
              <w:spacing w:after="0" w:line="240" w:lineRule="auto"/>
              <w:jc w:val="center"/>
              <w:rPr>
                <w:rFonts w:ascii="Arial" w:hAnsi="Arial" w:cs="Arial"/>
                <w:b/>
                <w:bCs/>
                <w:sz w:val="18"/>
                <w:szCs w:val="18"/>
                <w:lang w:eastAsia="es-MX"/>
              </w:rPr>
            </w:pPr>
            <w:r w:rsidRPr="00D42447">
              <w:rPr>
                <w:rFonts w:ascii="Arial" w:hAnsi="Arial" w:cs="Arial"/>
                <w:b/>
                <w:sz w:val="18"/>
                <w:szCs w:val="18"/>
                <w:lang w:val="es-ES" w:eastAsia="es-MX"/>
              </w:rPr>
              <w:t>NIVEL DE COUBICACIÓN</w:t>
            </w:r>
          </w:p>
        </w:tc>
      </w:tr>
      <w:tr w:rsidR="00F73429" w:rsidRPr="00D42447" w14:paraId="333DBD60" w14:textId="77777777" w:rsidTr="00D42447">
        <w:trPr>
          <w:trHeight w:val="495"/>
          <w:jc w:val="center"/>
        </w:trPr>
        <w:tc>
          <w:tcPr>
            <w:tcW w:w="707" w:type="dxa"/>
            <w:hideMark/>
          </w:tcPr>
          <w:p w14:paraId="6006E837"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1</w:t>
            </w:r>
          </w:p>
        </w:tc>
        <w:tc>
          <w:tcPr>
            <w:tcW w:w="2036" w:type="dxa"/>
            <w:hideMark/>
          </w:tcPr>
          <w:p w14:paraId="04076CA3"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DISTRITO FEDERAL</w:t>
            </w:r>
          </w:p>
        </w:tc>
        <w:tc>
          <w:tcPr>
            <w:tcW w:w="1935" w:type="dxa"/>
            <w:hideMark/>
          </w:tcPr>
          <w:p w14:paraId="2BDF56D9"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CD. DE MÉXICO</w:t>
            </w:r>
          </w:p>
        </w:tc>
        <w:tc>
          <w:tcPr>
            <w:tcW w:w="1840" w:type="dxa"/>
            <w:hideMark/>
          </w:tcPr>
          <w:p w14:paraId="32138E10"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ALTA</w:t>
            </w:r>
          </w:p>
        </w:tc>
      </w:tr>
      <w:tr w:rsidR="00F73429" w:rsidRPr="00D42447" w14:paraId="3396B6ED" w14:textId="77777777" w:rsidTr="00D42447">
        <w:trPr>
          <w:trHeight w:val="495"/>
          <w:jc w:val="center"/>
        </w:trPr>
        <w:tc>
          <w:tcPr>
            <w:tcW w:w="707" w:type="dxa"/>
            <w:hideMark/>
          </w:tcPr>
          <w:p w14:paraId="6296E33D"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2</w:t>
            </w:r>
          </w:p>
        </w:tc>
        <w:tc>
          <w:tcPr>
            <w:tcW w:w="2036" w:type="dxa"/>
            <w:hideMark/>
          </w:tcPr>
          <w:p w14:paraId="5198936B"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NUEVO LEÓN</w:t>
            </w:r>
          </w:p>
        </w:tc>
        <w:tc>
          <w:tcPr>
            <w:tcW w:w="1935" w:type="dxa"/>
            <w:hideMark/>
          </w:tcPr>
          <w:p w14:paraId="655C5E2A"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MONTERREY</w:t>
            </w:r>
          </w:p>
        </w:tc>
        <w:tc>
          <w:tcPr>
            <w:tcW w:w="1840" w:type="dxa"/>
            <w:hideMark/>
          </w:tcPr>
          <w:p w14:paraId="2395597C"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ALTA</w:t>
            </w:r>
          </w:p>
        </w:tc>
      </w:tr>
      <w:tr w:rsidR="00F73429" w:rsidRPr="00D42447" w14:paraId="31F8CB7E" w14:textId="77777777" w:rsidTr="00D42447">
        <w:trPr>
          <w:trHeight w:val="495"/>
          <w:jc w:val="center"/>
        </w:trPr>
        <w:tc>
          <w:tcPr>
            <w:tcW w:w="707" w:type="dxa"/>
            <w:hideMark/>
          </w:tcPr>
          <w:p w14:paraId="37F46383"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3</w:t>
            </w:r>
          </w:p>
        </w:tc>
        <w:tc>
          <w:tcPr>
            <w:tcW w:w="2036" w:type="dxa"/>
            <w:hideMark/>
          </w:tcPr>
          <w:p w14:paraId="359A6205"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BAJA CALIFORNIA</w:t>
            </w:r>
          </w:p>
        </w:tc>
        <w:tc>
          <w:tcPr>
            <w:tcW w:w="1935" w:type="dxa"/>
            <w:hideMark/>
          </w:tcPr>
          <w:p w14:paraId="7EAF33F4"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TIJUANA</w:t>
            </w:r>
          </w:p>
        </w:tc>
        <w:tc>
          <w:tcPr>
            <w:tcW w:w="1840" w:type="dxa"/>
            <w:hideMark/>
          </w:tcPr>
          <w:p w14:paraId="22690530"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ALTA</w:t>
            </w:r>
          </w:p>
        </w:tc>
      </w:tr>
      <w:tr w:rsidR="00F73429" w:rsidRPr="00D42447" w14:paraId="484B7BB1" w14:textId="77777777" w:rsidTr="00D42447">
        <w:trPr>
          <w:trHeight w:val="495"/>
          <w:jc w:val="center"/>
        </w:trPr>
        <w:tc>
          <w:tcPr>
            <w:tcW w:w="707" w:type="dxa"/>
            <w:hideMark/>
          </w:tcPr>
          <w:p w14:paraId="30A37E6F"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4</w:t>
            </w:r>
          </w:p>
        </w:tc>
        <w:tc>
          <w:tcPr>
            <w:tcW w:w="2036" w:type="dxa"/>
            <w:hideMark/>
          </w:tcPr>
          <w:p w14:paraId="0B36441D"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CHIHUAHUA</w:t>
            </w:r>
          </w:p>
        </w:tc>
        <w:tc>
          <w:tcPr>
            <w:tcW w:w="1935" w:type="dxa"/>
            <w:hideMark/>
          </w:tcPr>
          <w:p w14:paraId="3BDFD391"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CHIHUAHUA</w:t>
            </w:r>
          </w:p>
        </w:tc>
        <w:tc>
          <w:tcPr>
            <w:tcW w:w="1840" w:type="dxa"/>
            <w:hideMark/>
          </w:tcPr>
          <w:p w14:paraId="14C44303"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ALTA</w:t>
            </w:r>
          </w:p>
        </w:tc>
      </w:tr>
      <w:tr w:rsidR="00F73429" w:rsidRPr="00D42447" w14:paraId="53072795" w14:textId="77777777" w:rsidTr="00D42447">
        <w:trPr>
          <w:trHeight w:val="495"/>
          <w:jc w:val="center"/>
        </w:trPr>
        <w:tc>
          <w:tcPr>
            <w:tcW w:w="707" w:type="dxa"/>
            <w:hideMark/>
          </w:tcPr>
          <w:p w14:paraId="12D51895"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5</w:t>
            </w:r>
          </w:p>
        </w:tc>
        <w:tc>
          <w:tcPr>
            <w:tcW w:w="2036" w:type="dxa"/>
            <w:hideMark/>
          </w:tcPr>
          <w:p w14:paraId="141CD975"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SONORA</w:t>
            </w:r>
          </w:p>
        </w:tc>
        <w:tc>
          <w:tcPr>
            <w:tcW w:w="1935" w:type="dxa"/>
            <w:hideMark/>
          </w:tcPr>
          <w:p w14:paraId="31CF225D"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HERMOSILLO</w:t>
            </w:r>
          </w:p>
        </w:tc>
        <w:tc>
          <w:tcPr>
            <w:tcW w:w="1840" w:type="dxa"/>
            <w:hideMark/>
          </w:tcPr>
          <w:p w14:paraId="726620D9"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ALTA</w:t>
            </w:r>
          </w:p>
        </w:tc>
      </w:tr>
      <w:tr w:rsidR="00F73429" w:rsidRPr="00D42447" w14:paraId="137F9487" w14:textId="77777777" w:rsidTr="00D42447">
        <w:trPr>
          <w:trHeight w:val="495"/>
          <w:jc w:val="center"/>
        </w:trPr>
        <w:tc>
          <w:tcPr>
            <w:tcW w:w="707" w:type="dxa"/>
            <w:hideMark/>
          </w:tcPr>
          <w:p w14:paraId="5486579E"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6</w:t>
            </w:r>
          </w:p>
        </w:tc>
        <w:tc>
          <w:tcPr>
            <w:tcW w:w="2036" w:type="dxa"/>
            <w:hideMark/>
          </w:tcPr>
          <w:p w14:paraId="40DC3618"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GUANAJUATO</w:t>
            </w:r>
          </w:p>
        </w:tc>
        <w:tc>
          <w:tcPr>
            <w:tcW w:w="1935" w:type="dxa"/>
            <w:hideMark/>
          </w:tcPr>
          <w:p w14:paraId="5B140D8F"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CELAYA</w:t>
            </w:r>
          </w:p>
        </w:tc>
        <w:tc>
          <w:tcPr>
            <w:tcW w:w="1840" w:type="dxa"/>
            <w:hideMark/>
          </w:tcPr>
          <w:p w14:paraId="2B5914CC"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ALTA</w:t>
            </w:r>
          </w:p>
        </w:tc>
      </w:tr>
      <w:tr w:rsidR="00F73429" w:rsidRPr="00D42447" w14:paraId="77BEA536" w14:textId="77777777" w:rsidTr="00D42447">
        <w:trPr>
          <w:trHeight w:val="495"/>
          <w:jc w:val="center"/>
        </w:trPr>
        <w:tc>
          <w:tcPr>
            <w:tcW w:w="707" w:type="dxa"/>
            <w:hideMark/>
          </w:tcPr>
          <w:p w14:paraId="2071BE49"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7</w:t>
            </w:r>
          </w:p>
        </w:tc>
        <w:tc>
          <w:tcPr>
            <w:tcW w:w="2036" w:type="dxa"/>
            <w:hideMark/>
          </w:tcPr>
          <w:p w14:paraId="469DB5AF"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JALISCO</w:t>
            </w:r>
          </w:p>
        </w:tc>
        <w:tc>
          <w:tcPr>
            <w:tcW w:w="1935" w:type="dxa"/>
            <w:hideMark/>
          </w:tcPr>
          <w:p w14:paraId="2B4FD923"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GUADALAJARA</w:t>
            </w:r>
          </w:p>
        </w:tc>
        <w:tc>
          <w:tcPr>
            <w:tcW w:w="1840" w:type="dxa"/>
            <w:hideMark/>
          </w:tcPr>
          <w:p w14:paraId="3149D009"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ALTA</w:t>
            </w:r>
          </w:p>
        </w:tc>
      </w:tr>
      <w:tr w:rsidR="00F73429" w:rsidRPr="00D42447" w14:paraId="3536EE34" w14:textId="77777777" w:rsidTr="00D42447">
        <w:trPr>
          <w:trHeight w:val="495"/>
          <w:jc w:val="center"/>
        </w:trPr>
        <w:tc>
          <w:tcPr>
            <w:tcW w:w="707" w:type="dxa"/>
            <w:hideMark/>
          </w:tcPr>
          <w:p w14:paraId="67D4EE71"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8</w:t>
            </w:r>
          </w:p>
        </w:tc>
        <w:tc>
          <w:tcPr>
            <w:tcW w:w="2036" w:type="dxa"/>
            <w:hideMark/>
          </w:tcPr>
          <w:p w14:paraId="6ECC5F8E"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MORELOS</w:t>
            </w:r>
          </w:p>
        </w:tc>
        <w:tc>
          <w:tcPr>
            <w:tcW w:w="1935" w:type="dxa"/>
            <w:hideMark/>
          </w:tcPr>
          <w:p w14:paraId="317ACA1D"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CUERNAVACA</w:t>
            </w:r>
          </w:p>
        </w:tc>
        <w:tc>
          <w:tcPr>
            <w:tcW w:w="1840" w:type="dxa"/>
            <w:hideMark/>
          </w:tcPr>
          <w:p w14:paraId="4EA89A5E"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ALTA</w:t>
            </w:r>
          </w:p>
        </w:tc>
      </w:tr>
      <w:tr w:rsidR="00F73429" w:rsidRPr="00D42447" w14:paraId="5F339220" w14:textId="77777777" w:rsidTr="00D42447">
        <w:trPr>
          <w:trHeight w:val="495"/>
          <w:jc w:val="center"/>
        </w:trPr>
        <w:tc>
          <w:tcPr>
            <w:tcW w:w="707" w:type="dxa"/>
            <w:hideMark/>
          </w:tcPr>
          <w:p w14:paraId="175D0381"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9</w:t>
            </w:r>
          </w:p>
        </w:tc>
        <w:tc>
          <w:tcPr>
            <w:tcW w:w="2036" w:type="dxa"/>
            <w:hideMark/>
          </w:tcPr>
          <w:p w14:paraId="665C31B2"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PUEBLA</w:t>
            </w:r>
          </w:p>
        </w:tc>
        <w:tc>
          <w:tcPr>
            <w:tcW w:w="1935" w:type="dxa"/>
            <w:hideMark/>
          </w:tcPr>
          <w:p w14:paraId="79EB5E97"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PUEBLA</w:t>
            </w:r>
          </w:p>
        </w:tc>
        <w:tc>
          <w:tcPr>
            <w:tcW w:w="1840" w:type="dxa"/>
            <w:hideMark/>
          </w:tcPr>
          <w:p w14:paraId="5598BA65"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ALTA</w:t>
            </w:r>
          </w:p>
        </w:tc>
      </w:tr>
      <w:tr w:rsidR="00F73429" w:rsidRPr="00D42447" w14:paraId="585F547E" w14:textId="77777777" w:rsidTr="00D42447">
        <w:trPr>
          <w:trHeight w:val="495"/>
          <w:jc w:val="center"/>
        </w:trPr>
        <w:tc>
          <w:tcPr>
            <w:tcW w:w="707" w:type="dxa"/>
            <w:hideMark/>
          </w:tcPr>
          <w:p w14:paraId="5879C2DF"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10</w:t>
            </w:r>
          </w:p>
        </w:tc>
        <w:tc>
          <w:tcPr>
            <w:tcW w:w="2036" w:type="dxa"/>
            <w:hideMark/>
          </w:tcPr>
          <w:p w14:paraId="5235B868"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BAJA CALIFORNIA SUR</w:t>
            </w:r>
          </w:p>
        </w:tc>
        <w:tc>
          <w:tcPr>
            <w:tcW w:w="1935" w:type="dxa"/>
            <w:hideMark/>
          </w:tcPr>
          <w:p w14:paraId="71F04DFD"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LA PAZ</w:t>
            </w:r>
          </w:p>
        </w:tc>
        <w:tc>
          <w:tcPr>
            <w:tcW w:w="1840" w:type="dxa"/>
            <w:hideMark/>
          </w:tcPr>
          <w:p w14:paraId="2AECC571"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BAJA</w:t>
            </w:r>
          </w:p>
        </w:tc>
      </w:tr>
      <w:tr w:rsidR="00F73429" w:rsidRPr="00D42447" w14:paraId="53DACBD1" w14:textId="77777777" w:rsidTr="00D42447">
        <w:trPr>
          <w:trHeight w:val="495"/>
          <w:jc w:val="center"/>
        </w:trPr>
        <w:tc>
          <w:tcPr>
            <w:tcW w:w="707" w:type="dxa"/>
            <w:hideMark/>
          </w:tcPr>
          <w:p w14:paraId="5C395ACF"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11</w:t>
            </w:r>
          </w:p>
        </w:tc>
        <w:tc>
          <w:tcPr>
            <w:tcW w:w="2036" w:type="dxa"/>
            <w:hideMark/>
          </w:tcPr>
          <w:p w14:paraId="1F5DACC4"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VERACRUZ</w:t>
            </w:r>
          </w:p>
        </w:tc>
        <w:tc>
          <w:tcPr>
            <w:tcW w:w="1935" w:type="dxa"/>
            <w:hideMark/>
          </w:tcPr>
          <w:p w14:paraId="67B98E74" w14:textId="77777777" w:rsidR="00C15DB6" w:rsidRPr="00D42447" w:rsidRDefault="00C15DB6" w:rsidP="00D42447">
            <w:pPr>
              <w:spacing w:after="0" w:line="240" w:lineRule="auto"/>
              <w:rPr>
                <w:rFonts w:ascii="Arial" w:hAnsi="Arial" w:cs="Arial"/>
                <w:sz w:val="18"/>
                <w:szCs w:val="18"/>
                <w:lang w:eastAsia="es-MX"/>
              </w:rPr>
            </w:pPr>
            <w:r w:rsidRPr="00D42447">
              <w:rPr>
                <w:rFonts w:ascii="Arial" w:hAnsi="Arial" w:cs="Arial"/>
                <w:sz w:val="18"/>
                <w:szCs w:val="18"/>
                <w:lang w:eastAsia="es-MX"/>
              </w:rPr>
              <w:t>COATZACOALCOS</w:t>
            </w:r>
          </w:p>
        </w:tc>
        <w:tc>
          <w:tcPr>
            <w:tcW w:w="1840" w:type="dxa"/>
            <w:hideMark/>
          </w:tcPr>
          <w:p w14:paraId="549ADB45" w14:textId="77777777" w:rsidR="00C15DB6" w:rsidRPr="00D42447" w:rsidRDefault="00C15DB6" w:rsidP="00D42447">
            <w:pPr>
              <w:spacing w:after="0" w:line="240" w:lineRule="auto"/>
              <w:jc w:val="center"/>
              <w:rPr>
                <w:rFonts w:ascii="Arial" w:hAnsi="Arial" w:cs="Arial"/>
                <w:sz w:val="18"/>
                <w:szCs w:val="18"/>
                <w:lang w:eastAsia="es-MX"/>
              </w:rPr>
            </w:pPr>
            <w:r w:rsidRPr="00D42447">
              <w:rPr>
                <w:rFonts w:ascii="Arial" w:hAnsi="Arial" w:cs="Arial"/>
                <w:sz w:val="18"/>
                <w:szCs w:val="18"/>
                <w:lang w:eastAsia="es-MX"/>
              </w:rPr>
              <w:t>ALTA</w:t>
            </w:r>
          </w:p>
        </w:tc>
      </w:tr>
    </w:tbl>
    <w:p w14:paraId="3BE92E3E" w14:textId="77777777" w:rsidR="00D42447" w:rsidRPr="00D42447" w:rsidRDefault="00C15DB6" w:rsidP="00D42447">
      <w:pPr>
        <w:spacing w:before="240"/>
        <w:jc w:val="center"/>
        <w:rPr>
          <w:rFonts w:ascii="ITC Avant Garde" w:eastAsia="Times New Roman" w:hAnsi="ITC Avant Garde" w:cs="Arial"/>
          <w:b/>
          <w:sz w:val="16"/>
          <w:szCs w:val="16"/>
          <w:lang w:eastAsia="es-ES"/>
        </w:rPr>
      </w:pPr>
      <w:r w:rsidRPr="00D42447">
        <w:rPr>
          <w:rFonts w:ascii="ITC Avant Garde" w:eastAsia="Times New Roman" w:hAnsi="ITC Avant Garde" w:cs="Arial"/>
          <w:b/>
          <w:sz w:val="16"/>
          <w:szCs w:val="16"/>
          <w:lang w:eastAsia="es-ES"/>
        </w:rPr>
        <w:t>Tabla 2: Niveles de Costo de Coubicación en puntos de interconexión IP de Telcel.</w:t>
      </w:r>
    </w:p>
    <w:p w14:paraId="3EBCB121" w14:textId="77777777" w:rsidR="00D42447" w:rsidRPr="00D42447" w:rsidRDefault="00741B1B" w:rsidP="00D42447">
      <w:pPr>
        <w:spacing w:before="240"/>
        <w:jc w:val="both"/>
        <w:rPr>
          <w:rFonts w:ascii="ITC Avant Garde" w:hAnsi="ITC Avant Garde" w:cs="Arial"/>
        </w:rPr>
      </w:pPr>
      <w:r w:rsidRPr="00D42447">
        <w:rPr>
          <w:rFonts w:ascii="ITC Avant Garde" w:hAnsi="ITC Avant Garde" w:cs="Arial"/>
        </w:rPr>
        <w:lastRenderedPageBreak/>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D70C98" w:rsidRPr="00D42447">
        <w:rPr>
          <w:rFonts w:ascii="ITC Avant Garde" w:hAnsi="ITC Avant Garde" w:cs="Arial"/>
        </w:rPr>
        <w:t>LFTR</w:t>
      </w:r>
      <w:r w:rsidRPr="00D42447">
        <w:rPr>
          <w:rFonts w:ascii="ITC Avant Garde" w:hAnsi="ITC Avant Garde" w:cs="Arial"/>
        </w:rPr>
        <w:t>, la presente Resolución será inscrita en el Registro Público de Telecomunicaciones a cargo del propio Instituto.</w:t>
      </w:r>
    </w:p>
    <w:p w14:paraId="34E9CB11" w14:textId="77777777" w:rsidR="00D42447" w:rsidRPr="00D42447" w:rsidRDefault="00A70124" w:rsidP="00D42447">
      <w:pPr>
        <w:pStyle w:val="Textoindependiente"/>
        <w:spacing w:before="240" w:after="200" w:line="276" w:lineRule="auto"/>
        <w:rPr>
          <w:rFonts w:ascii="ITC Avant Garde" w:eastAsia="Calibri" w:hAnsi="ITC Avant Garde" w:cs="Arial"/>
          <w:szCs w:val="22"/>
        </w:rPr>
      </w:pPr>
      <w:r w:rsidRPr="00D42447">
        <w:rPr>
          <w:rFonts w:ascii="ITC Avant Garde" w:eastAsia="Calibri" w:hAnsi="ITC Avant Garde" w:cs="Arial"/>
          <w:szCs w:val="22"/>
        </w:rPr>
        <w:t xml:space="preserve">Lo anterior, </w:t>
      </w:r>
      <w:r w:rsidR="007C5F0F" w:rsidRPr="00D42447">
        <w:rPr>
          <w:rFonts w:ascii="ITC Avant Garde" w:eastAsia="Calibri" w:hAnsi="ITC Avant Garde" w:cs="Arial"/>
          <w:szCs w:val="22"/>
        </w:rPr>
        <w:t xml:space="preserve">sin perjuicio de que </w:t>
      </w:r>
      <w:r w:rsidR="00004E45" w:rsidRPr="00D42447">
        <w:rPr>
          <w:rFonts w:ascii="ITC Avant Garde" w:eastAsia="Calibri" w:hAnsi="ITC Avant Garde" w:cs="Arial"/>
          <w:szCs w:val="22"/>
        </w:rPr>
        <w:t xml:space="preserve">Telcel y </w:t>
      </w:r>
      <w:r w:rsidR="008366F3" w:rsidRPr="00D42447">
        <w:rPr>
          <w:rFonts w:ascii="ITC Avant Garde" w:eastAsia="Calibri" w:hAnsi="ITC Avant Garde" w:cs="Arial"/>
          <w:szCs w:val="22"/>
        </w:rPr>
        <w:t>Mega Cable</w:t>
      </w:r>
      <w:r w:rsidRPr="00D42447">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w:t>
      </w:r>
      <w:r w:rsidR="009752AE" w:rsidRPr="00D42447">
        <w:rPr>
          <w:rFonts w:ascii="ITC Avant Garde" w:eastAsia="Calibri" w:hAnsi="ITC Avant Garde" w:cs="Arial"/>
          <w:szCs w:val="22"/>
        </w:rPr>
        <w:t>,</w:t>
      </w:r>
      <w:r w:rsidRPr="00D42447">
        <w:rPr>
          <w:rFonts w:ascii="ITC Avant Garde" w:eastAsia="Calibri" w:hAnsi="ITC Avant Garde" w:cs="Arial"/>
          <w:szCs w:val="22"/>
        </w:rPr>
        <w:t xml:space="preserve"> fracción VII de la </w:t>
      </w:r>
      <w:r w:rsidR="00D70C98" w:rsidRPr="00D42447">
        <w:rPr>
          <w:rFonts w:ascii="ITC Avant Garde" w:eastAsia="Calibri" w:hAnsi="ITC Avant Garde" w:cs="Arial"/>
          <w:szCs w:val="22"/>
        </w:rPr>
        <w:t>LFTR</w:t>
      </w:r>
      <w:r w:rsidRPr="00D42447">
        <w:rPr>
          <w:rFonts w:ascii="ITC Avant Garde" w:eastAsia="Calibri" w:hAnsi="ITC Avant Garde" w:cs="Arial"/>
          <w:szCs w:val="22"/>
        </w:rPr>
        <w:t>.</w:t>
      </w:r>
    </w:p>
    <w:p w14:paraId="541C1D6B" w14:textId="77777777" w:rsidR="00D42447" w:rsidRPr="00D42447" w:rsidRDefault="009752AE" w:rsidP="00D42447">
      <w:pPr>
        <w:spacing w:before="240"/>
        <w:jc w:val="both"/>
        <w:rPr>
          <w:rFonts w:ascii="ITC Avant Garde" w:hAnsi="ITC Avant Garde" w:cs="Arial"/>
        </w:rPr>
      </w:pPr>
      <w:r w:rsidRPr="00D42447">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w:t>
      </w:r>
      <w:r w:rsidR="00DB1608" w:rsidRPr="00D42447">
        <w:rPr>
          <w:rFonts w:ascii="ITC Avant Garde" w:hAnsi="ITC Avant Garde" w:cs="Arial"/>
        </w:rPr>
        <w:t>ión X, 17 fracción I, 125, 128,</w:t>
      </w:r>
      <w:r w:rsidRPr="00D42447">
        <w:rPr>
          <w:rFonts w:ascii="ITC Avant Garde" w:hAnsi="ITC Avant Garde" w:cs="Arial"/>
        </w:rPr>
        <w:t xml:space="preserve"> 129</w:t>
      </w:r>
      <w:r w:rsidR="00DB1608" w:rsidRPr="00D42447">
        <w:rPr>
          <w:rFonts w:ascii="ITC Avant Garde" w:hAnsi="ITC Avant Garde" w:cs="Arial"/>
        </w:rPr>
        <w:t xml:space="preserve">, 176, 177, </w:t>
      </w:r>
      <w:r w:rsidRPr="00D42447">
        <w:rPr>
          <w:rFonts w:ascii="ITC Avant Garde" w:hAnsi="ITC Avant Garde" w:cs="Arial"/>
        </w:rPr>
        <w:t>fracción VII, 312 y 313 de la Ley Federal de Telecomunicaciones y Radiodifusión</w:t>
      </w:r>
      <w:r w:rsidR="00D745ED" w:rsidRPr="00D42447">
        <w:rPr>
          <w:rFonts w:ascii="ITC Avant Garde" w:hAnsi="ITC Avant Garde" w:cs="Arial"/>
        </w:rPr>
        <w:t>; 32, 35 fracción I, 36, 38, 39</w:t>
      </w:r>
      <w:r w:rsidRPr="00D42447">
        <w:rPr>
          <w:rFonts w:ascii="ITC Avant Garde" w:hAnsi="ITC Avant Garde" w:cs="Arial"/>
        </w:rPr>
        <w:t xml:space="preserve"> y 57 de la Ley Federal de Procedimiento Administrativo; </w:t>
      </w:r>
      <w:r w:rsidR="00106FE3" w:rsidRPr="00D42447">
        <w:rPr>
          <w:rFonts w:ascii="ITC Avant Garde" w:hAnsi="ITC Avant Garde" w:cs="Arial"/>
        </w:rPr>
        <w:t xml:space="preserve">218 del Código Federal de Procedimientos Civiles; </w:t>
      </w:r>
      <w:r w:rsidRPr="00D42447">
        <w:rPr>
          <w:rFonts w:ascii="ITC Avant Garde" w:hAnsi="ITC Avant Garde" w:cs="Arial"/>
        </w:rPr>
        <w:t>y 4 fracción I y 6 fracción XXXVI</w:t>
      </w:r>
      <w:r w:rsidR="003A485C" w:rsidRPr="00D42447">
        <w:rPr>
          <w:rFonts w:ascii="ITC Avant Garde" w:hAnsi="ITC Avant Garde" w:cs="Arial"/>
        </w:rPr>
        <w:t>I</w:t>
      </w:r>
      <w:r w:rsidRPr="00D42447">
        <w:rPr>
          <w:rFonts w:ascii="ITC Avant Garde" w:hAnsi="ITC Avant Garde" w:cs="Arial"/>
        </w:rPr>
        <w:t>I del Estatuto Orgánico del Instituto Federal de Telecomunicaciones, el Pleno del Instituto Federal de Telecomunicaciones emite los siguientes:</w:t>
      </w:r>
    </w:p>
    <w:p w14:paraId="2D09F2A7" w14:textId="77777777" w:rsidR="00D42447" w:rsidRPr="00D42447" w:rsidRDefault="00AC04A2" w:rsidP="00D42447">
      <w:pPr>
        <w:pStyle w:val="Ttulo2"/>
        <w:keepLines/>
        <w:spacing w:before="40" w:after="240" w:line="276" w:lineRule="auto"/>
        <w:jc w:val="center"/>
        <w:rPr>
          <w:rFonts w:ascii="ITC Avant Garde" w:eastAsiaTheme="majorEastAsia" w:hAnsi="ITC Avant Garde" w:cstheme="majorBidi"/>
          <w:color w:val="000000" w:themeColor="text1"/>
          <w:szCs w:val="22"/>
        </w:rPr>
      </w:pPr>
      <w:r w:rsidRPr="00D42447">
        <w:rPr>
          <w:rFonts w:ascii="ITC Avant Garde" w:eastAsiaTheme="majorEastAsia" w:hAnsi="ITC Avant Garde" w:cstheme="majorBidi"/>
          <w:color w:val="000000" w:themeColor="text1"/>
          <w:szCs w:val="22"/>
        </w:rPr>
        <w:t>RESOLUTIVOS</w:t>
      </w:r>
    </w:p>
    <w:p w14:paraId="57068CA4" w14:textId="77777777" w:rsidR="00D42447" w:rsidRPr="00D42447" w:rsidRDefault="00946933" w:rsidP="00D42447">
      <w:pPr>
        <w:spacing w:before="240"/>
        <w:jc w:val="both"/>
        <w:rPr>
          <w:rFonts w:ascii="ITC Avant Garde" w:hAnsi="ITC Avant Garde"/>
          <w:spacing w:val="-4"/>
          <w:lang w:val="es-ES_tradnl"/>
        </w:rPr>
      </w:pPr>
      <w:r w:rsidRPr="00D42447">
        <w:rPr>
          <w:rFonts w:ascii="ITC Avant Garde" w:hAnsi="ITC Avant Garde" w:cs="Arial"/>
          <w:b/>
        </w:rPr>
        <w:t>PRIMERO</w:t>
      </w:r>
      <w:r w:rsidRPr="00D42447">
        <w:rPr>
          <w:rFonts w:ascii="ITC Avant Garde" w:hAnsi="ITC Avant Garde" w:cs="Arial"/>
        </w:rPr>
        <w:t xml:space="preserve">.- </w:t>
      </w:r>
      <w:r w:rsidR="00B163FF" w:rsidRPr="00D42447">
        <w:rPr>
          <w:rFonts w:ascii="ITC Avant Garde" w:hAnsi="ITC Avant Garde" w:cs="Arial"/>
        </w:rPr>
        <w:t>La</w:t>
      </w:r>
      <w:r w:rsidR="002B3108" w:rsidRPr="00D42447">
        <w:rPr>
          <w:rFonts w:ascii="ITC Avant Garde" w:hAnsi="ITC Avant Garde"/>
          <w:spacing w:val="-4"/>
          <w:lang w:val="es-ES"/>
        </w:rPr>
        <w:t xml:space="preserve"> tarifa </w:t>
      </w:r>
      <w:r w:rsidR="00EC7CD8" w:rsidRPr="00D42447">
        <w:rPr>
          <w:rFonts w:ascii="ITC Avant Garde" w:hAnsi="ITC Avant Garde"/>
          <w:spacing w:val="-4"/>
          <w:lang w:val="es-ES"/>
        </w:rPr>
        <w:t xml:space="preserve">de interconexión </w:t>
      </w:r>
      <w:r w:rsidR="002B3108" w:rsidRPr="00D42447">
        <w:rPr>
          <w:rFonts w:ascii="ITC Avant Garde" w:hAnsi="ITC Avant Garde"/>
          <w:spacing w:val="-4"/>
          <w:lang w:val="es-ES"/>
        </w:rPr>
        <w:t xml:space="preserve">que </w:t>
      </w:r>
      <w:r w:rsidR="00004E45" w:rsidRPr="00D42447">
        <w:rPr>
          <w:rFonts w:ascii="ITC Avant Garde" w:hAnsi="ITC Avant Garde"/>
          <w:lang w:val="es-ES" w:eastAsia="es-ES"/>
        </w:rPr>
        <w:t>Radiomóvil Dipsa, S.A. de C.V.</w:t>
      </w:r>
      <w:r w:rsidR="00376A4B" w:rsidRPr="00D42447">
        <w:rPr>
          <w:rFonts w:ascii="ITC Avant Garde" w:hAnsi="ITC Avant Garde" w:cs="Arial"/>
        </w:rPr>
        <w:t>, deberá pagar</w:t>
      </w:r>
      <w:r w:rsidR="002B3108" w:rsidRPr="00D42447">
        <w:rPr>
          <w:rFonts w:ascii="ITC Avant Garde" w:hAnsi="ITC Avant Garde" w:cs="Arial"/>
        </w:rPr>
        <w:t xml:space="preserve"> a </w:t>
      </w:r>
      <w:r w:rsidR="008366F3" w:rsidRPr="00D42447">
        <w:rPr>
          <w:rFonts w:ascii="ITC Avant Garde" w:hAnsi="ITC Avant Garde" w:cs="Arial"/>
        </w:rPr>
        <w:t>Mega Cable</w:t>
      </w:r>
      <w:r w:rsidR="00004E45" w:rsidRPr="00D42447">
        <w:rPr>
          <w:rFonts w:ascii="ITC Avant Garde" w:hAnsi="ITC Avant Garde" w:cs="Arial"/>
        </w:rPr>
        <w:t xml:space="preserve">, S.A. de C.V., </w:t>
      </w:r>
      <w:r w:rsidR="002B3108" w:rsidRPr="00D42447">
        <w:rPr>
          <w:rFonts w:ascii="ITC Avant Garde" w:hAnsi="ITC Avant Garde" w:cs="Arial"/>
        </w:rPr>
        <w:t xml:space="preserve">por servicios </w:t>
      </w:r>
      <w:r w:rsidR="00004E45" w:rsidRPr="00D42447">
        <w:rPr>
          <w:rFonts w:ascii="ITC Avant Garde" w:hAnsi="ITC Avant Garde" w:cs="Arial"/>
        </w:rPr>
        <w:t xml:space="preserve">de terminación </w:t>
      </w:r>
      <w:r w:rsidR="00D745ED" w:rsidRPr="00D42447">
        <w:rPr>
          <w:rFonts w:ascii="ITC Avant Garde" w:hAnsi="ITC Avant Garde" w:cs="Arial"/>
        </w:rPr>
        <w:t>del Servicio Local en usuarios fijos</w:t>
      </w:r>
      <w:r w:rsidR="002B3108" w:rsidRPr="00D42447">
        <w:rPr>
          <w:rFonts w:ascii="ITC Avant Garde" w:hAnsi="ITC Avant Garde" w:cs="Arial"/>
        </w:rPr>
        <w:t>, será la siguiente:</w:t>
      </w:r>
    </w:p>
    <w:p w14:paraId="2762B181" w14:textId="77777777" w:rsidR="00D42447" w:rsidRPr="00D42447" w:rsidRDefault="002B3108" w:rsidP="00D42447">
      <w:pPr>
        <w:pStyle w:val="Prrafodelista"/>
        <w:numPr>
          <w:ilvl w:val="0"/>
          <w:numId w:val="16"/>
        </w:numPr>
        <w:spacing w:before="240" w:after="200" w:line="276" w:lineRule="auto"/>
        <w:rPr>
          <w:rFonts w:ascii="ITC Avant Garde" w:hAnsi="ITC Avant Garde"/>
          <w:b/>
          <w:spacing w:val="-4"/>
          <w:lang w:val="es-ES_tradnl"/>
        </w:rPr>
      </w:pPr>
      <w:r w:rsidRPr="00D42447">
        <w:rPr>
          <w:rFonts w:ascii="ITC Avant Garde" w:hAnsi="ITC Avant Garde"/>
          <w:b/>
          <w:spacing w:val="-4"/>
          <w:lang w:val="es-ES_tradnl"/>
        </w:rPr>
        <w:t xml:space="preserve">Del </w:t>
      </w:r>
      <w:r w:rsidR="00004E45" w:rsidRPr="00D42447">
        <w:rPr>
          <w:rFonts w:ascii="ITC Avant Garde" w:hAnsi="ITC Avant Garde"/>
          <w:b/>
          <w:spacing w:val="-4"/>
          <w:lang w:val="es-ES_tradnl"/>
        </w:rPr>
        <w:t>1</w:t>
      </w:r>
      <w:r w:rsidR="00EB0FB5" w:rsidRPr="00D42447">
        <w:rPr>
          <w:rFonts w:ascii="ITC Avant Garde" w:hAnsi="ITC Avant Garde" w:cs="Arial"/>
          <w:b/>
        </w:rPr>
        <w:t xml:space="preserve"> </w:t>
      </w:r>
      <w:r w:rsidR="00F13F69" w:rsidRPr="00D42447">
        <w:rPr>
          <w:rFonts w:ascii="ITC Avant Garde" w:hAnsi="ITC Avant Garde" w:cs="Arial"/>
          <w:b/>
        </w:rPr>
        <w:t xml:space="preserve">de </w:t>
      </w:r>
      <w:r w:rsidR="00004E45" w:rsidRPr="00D42447">
        <w:rPr>
          <w:rFonts w:ascii="ITC Avant Garde" w:hAnsi="ITC Avant Garde" w:cs="Arial"/>
          <w:b/>
        </w:rPr>
        <w:t>enero al 31 de diciembre de 2018</w:t>
      </w:r>
      <w:r w:rsidRPr="00D42447">
        <w:rPr>
          <w:rFonts w:ascii="ITC Avant Garde" w:hAnsi="ITC Avant Garde"/>
          <w:b/>
          <w:spacing w:val="-4"/>
          <w:lang w:val="es-ES_tradnl"/>
        </w:rPr>
        <w:t xml:space="preserve">, </w:t>
      </w:r>
      <w:r w:rsidR="003A485C" w:rsidRPr="00D42447">
        <w:rPr>
          <w:rFonts w:ascii="ITC Avant Garde" w:hAnsi="ITC Avant Garde"/>
          <w:b/>
          <w:szCs w:val="22"/>
        </w:rPr>
        <w:t xml:space="preserve">$0.002836 </w:t>
      </w:r>
      <w:r w:rsidRPr="00D42447">
        <w:rPr>
          <w:rFonts w:ascii="ITC Avant Garde" w:hAnsi="ITC Avant Garde"/>
          <w:b/>
          <w:spacing w:val="-4"/>
          <w:lang w:val="es-ES_tradnl"/>
        </w:rPr>
        <w:t xml:space="preserve">pesos M.N. por </w:t>
      </w:r>
      <w:r w:rsidR="00A7754D" w:rsidRPr="00D42447">
        <w:rPr>
          <w:rFonts w:ascii="ITC Avant Garde" w:hAnsi="ITC Avant Garde"/>
          <w:b/>
          <w:spacing w:val="-4"/>
          <w:lang w:val="es-ES_tradnl"/>
        </w:rPr>
        <w:t>minuto de interconexión</w:t>
      </w:r>
      <w:r w:rsidRPr="00D42447">
        <w:rPr>
          <w:rFonts w:ascii="ITC Avant Garde" w:hAnsi="ITC Avant Garde"/>
          <w:b/>
          <w:spacing w:val="-4"/>
          <w:lang w:val="es-ES_tradnl"/>
        </w:rPr>
        <w:t>.</w:t>
      </w:r>
    </w:p>
    <w:p w14:paraId="1360CAE1" w14:textId="77777777" w:rsidR="00D42447" w:rsidRPr="00D42447" w:rsidRDefault="00A7754D" w:rsidP="00D42447">
      <w:pPr>
        <w:pStyle w:val="Prrafodelista"/>
        <w:spacing w:before="240" w:after="200" w:line="276" w:lineRule="auto"/>
        <w:ind w:left="0"/>
        <w:rPr>
          <w:rFonts w:ascii="ITC Avant Garde" w:hAnsi="ITC Avant Garde" w:cs="Arial"/>
        </w:rPr>
      </w:pPr>
      <w:r w:rsidRPr="00D42447">
        <w:rPr>
          <w:rFonts w:ascii="ITC Avant Garde" w:hAnsi="ITC Avant Garde" w:cs="Arial"/>
        </w:rPr>
        <w:t>La tarifa anterior ya incluye el costo correspondiente a los puertos necesarios para la interconexión.</w:t>
      </w:r>
    </w:p>
    <w:p w14:paraId="40AF8BC2" w14:textId="77777777" w:rsidR="00D42447" w:rsidRPr="00D42447" w:rsidRDefault="00A7754D" w:rsidP="00D42447">
      <w:pPr>
        <w:spacing w:before="240"/>
        <w:jc w:val="both"/>
        <w:rPr>
          <w:rFonts w:ascii="ITC Avant Garde" w:hAnsi="ITC Avant Garde" w:cs="Arial"/>
        </w:rPr>
      </w:pPr>
      <w:r w:rsidRPr="00D42447">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4850C7D0" w14:textId="77777777" w:rsidR="00D42447" w:rsidRPr="00D42447" w:rsidRDefault="00106FE3" w:rsidP="00D42447">
      <w:pPr>
        <w:spacing w:before="240"/>
        <w:jc w:val="both"/>
        <w:rPr>
          <w:rFonts w:ascii="ITC Avant Garde" w:hAnsi="ITC Avant Garde" w:cs="Arial"/>
        </w:rPr>
      </w:pPr>
      <w:r w:rsidRPr="00D42447">
        <w:rPr>
          <w:rFonts w:ascii="ITC Avant Garde" w:hAnsi="ITC Avant Garde" w:cs="Arial"/>
          <w:b/>
        </w:rPr>
        <w:lastRenderedPageBreak/>
        <w:t>SEGUNDO</w:t>
      </w:r>
      <w:r w:rsidRPr="00D42447">
        <w:rPr>
          <w:rFonts w:ascii="ITC Avant Garde" w:eastAsia="Times New Roman" w:hAnsi="ITC Avant Garde" w:cs="Arial"/>
          <w:b/>
          <w:bCs/>
        </w:rPr>
        <w:t xml:space="preserve">.- </w:t>
      </w:r>
      <w:r w:rsidRPr="00D42447">
        <w:rPr>
          <w:rFonts w:ascii="ITC Avant Garde" w:hAnsi="ITC Avant Garde" w:cs="Arial"/>
        </w:rPr>
        <w:t xml:space="preserve">La tarifa de interconexión que </w:t>
      </w:r>
      <w:r w:rsidR="008366F3" w:rsidRPr="00D42447">
        <w:rPr>
          <w:rFonts w:ascii="ITC Avant Garde" w:hAnsi="ITC Avant Garde" w:cs="Arial"/>
        </w:rPr>
        <w:t>Mega Cable</w:t>
      </w:r>
      <w:r w:rsidRPr="00D42447">
        <w:rPr>
          <w:rFonts w:ascii="ITC Avant Garde" w:hAnsi="ITC Avant Garde" w:cs="Arial"/>
        </w:rPr>
        <w:t>, S.A. de C.V. deberá pagar a Radiomóvil Dipsa, S.A. de C.V. por servicios de terminación del Servicio Local en usuarios móviles bajo la modalidad “El que llama paga”, será la siguiente:</w:t>
      </w:r>
    </w:p>
    <w:p w14:paraId="63E20B9A" w14:textId="77777777" w:rsidR="00D42447" w:rsidRPr="00D42447" w:rsidRDefault="00106FE3" w:rsidP="00D42447">
      <w:pPr>
        <w:pStyle w:val="Prrafodelista"/>
        <w:numPr>
          <w:ilvl w:val="0"/>
          <w:numId w:val="33"/>
        </w:numPr>
        <w:spacing w:before="240" w:after="200" w:line="276" w:lineRule="auto"/>
        <w:rPr>
          <w:rFonts w:ascii="ITC Avant Garde" w:hAnsi="ITC Avant Garde"/>
          <w:b/>
          <w:spacing w:val="-4"/>
          <w:lang w:val="es-ES_tradnl"/>
        </w:rPr>
      </w:pPr>
      <w:r w:rsidRPr="00D42447">
        <w:rPr>
          <w:rFonts w:ascii="ITC Avant Garde" w:hAnsi="ITC Avant Garde"/>
          <w:b/>
          <w:spacing w:val="-4"/>
          <w:lang w:val="es-ES_tradnl"/>
        </w:rPr>
        <w:t>Del 1 de enero al 31 de diciembre de 201</w:t>
      </w:r>
      <w:r w:rsidR="00DC0D58" w:rsidRPr="00D42447">
        <w:rPr>
          <w:rFonts w:ascii="ITC Avant Garde" w:hAnsi="ITC Avant Garde"/>
          <w:b/>
          <w:spacing w:val="-4"/>
          <w:lang w:val="es-ES_tradnl"/>
        </w:rPr>
        <w:t>8</w:t>
      </w:r>
      <w:r w:rsidRPr="00D42447">
        <w:rPr>
          <w:rFonts w:ascii="ITC Avant Garde" w:hAnsi="ITC Avant Garde"/>
          <w:b/>
          <w:spacing w:val="-4"/>
          <w:lang w:val="es-ES_tradnl"/>
        </w:rPr>
        <w:t>, $0.028562 pesos M.N. por minuto de interconexión.</w:t>
      </w:r>
    </w:p>
    <w:p w14:paraId="500E0C0B" w14:textId="77777777" w:rsidR="00D42447" w:rsidRPr="00D42447" w:rsidRDefault="00106FE3" w:rsidP="00D42447">
      <w:pPr>
        <w:pStyle w:val="Prrafodelista"/>
        <w:spacing w:before="240" w:after="200" w:line="276" w:lineRule="auto"/>
        <w:ind w:left="0"/>
        <w:rPr>
          <w:rFonts w:ascii="ITC Avant Garde" w:hAnsi="ITC Avant Garde" w:cs="Arial"/>
        </w:rPr>
      </w:pPr>
      <w:r w:rsidRPr="00D42447">
        <w:rPr>
          <w:rFonts w:ascii="ITC Avant Garde" w:hAnsi="ITC Avant Garde" w:cs="Arial"/>
        </w:rPr>
        <w:t>La tarifa anterior ya incluye el costo correspondiente a los puertos necesarios para la interconexión.</w:t>
      </w:r>
    </w:p>
    <w:p w14:paraId="46C95469" w14:textId="77777777" w:rsidR="00D42447" w:rsidRPr="00D42447" w:rsidRDefault="00106FE3" w:rsidP="00D42447">
      <w:pPr>
        <w:spacing w:before="240"/>
        <w:jc w:val="both"/>
        <w:rPr>
          <w:rFonts w:ascii="ITC Avant Garde" w:hAnsi="ITC Avant Garde" w:cs="Arial"/>
        </w:rPr>
      </w:pPr>
      <w:r w:rsidRPr="00D42447">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162B65D3" w14:textId="77777777" w:rsidR="00D42447" w:rsidRPr="00D42447" w:rsidRDefault="00D2057A" w:rsidP="00D42447">
      <w:pPr>
        <w:spacing w:before="240"/>
        <w:jc w:val="both"/>
        <w:rPr>
          <w:rFonts w:ascii="ITC Avant Garde" w:hAnsi="ITC Avant Garde"/>
          <w:szCs w:val="18"/>
        </w:rPr>
      </w:pPr>
      <w:r w:rsidRPr="00D42447">
        <w:rPr>
          <w:rFonts w:ascii="ITC Avant Garde" w:eastAsia="Times New Roman" w:hAnsi="ITC Avant Garde" w:cs="Arial"/>
          <w:b/>
          <w:bCs/>
        </w:rPr>
        <w:t>TERCERO</w:t>
      </w:r>
      <w:r w:rsidR="005353A3" w:rsidRPr="00D42447">
        <w:rPr>
          <w:rFonts w:ascii="ITC Avant Garde" w:hAnsi="ITC Avant Garde"/>
          <w:b/>
        </w:rPr>
        <w:t>.</w:t>
      </w:r>
      <w:r w:rsidR="005353A3" w:rsidRPr="00D42447">
        <w:rPr>
          <w:rFonts w:ascii="ITC Avant Garde" w:hAnsi="ITC Avant Garde"/>
        </w:rPr>
        <w:t xml:space="preserve">- </w:t>
      </w:r>
      <w:r w:rsidR="00501DF2" w:rsidRPr="00D42447">
        <w:rPr>
          <w:rFonts w:ascii="ITC Avant Garde" w:hAnsi="ITC Avant Garde"/>
        </w:rPr>
        <w:t>Las contraprestaciones que Mega Cable, S.A. de C.V. deberá pagar a Radiomóvil Dipsa, S.A. de C.V.</w:t>
      </w:r>
      <w:r w:rsidR="00501DF2" w:rsidRPr="00D42447">
        <w:rPr>
          <w:rFonts w:ascii="ITC Avant Garde" w:eastAsia="Times New Roman" w:hAnsi="ITC Avant Garde" w:cs="Arial"/>
        </w:rPr>
        <w:t xml:space="preserve">, </w:t>
      </w:r>
      <w:r w:rsidR="00A974BA" w:rsidRPr="00D42447">
        <w:rPr>
          <w:rFonts w:ascii="ITC Avant Garde" w:eastAsia="Times New Roman" w:hAnsi="ITC Avant Garde" w:cs="Arial"/>
        </w:rPr>
        <w:t xml:space="preserve">por servicios de coubicación </w:t>
      </w:r>
      <w:r w:rsidR="00A974BA" w:rsidRPr="00D42447">
        <w:rPr>
          <w:rFonts w:ascii="ITC Avant Garde" w:hAnsi="ITC Avant Garde"/>
          <w:szCs w:val="18"/>
        </w:rPr>
        <w:t xml:space="preserve">de Tipo 1: </w:t>
      </w:r>
      <w:r w:rsidR="00C15DB6" w:rsidRPr="00D42447">
        <w:rPr>
          <w:rFonts w:ascii="ITC Avant Garde" w:hAnsi="ITC Avant Garde"/>
          <w:szCs w:val="18"/>
        </w:rPr>
        <w:t>Área</w:t>
      </w:r>
      <w:r w:rsidR="00A974BA" w:rsidRPr="00D42447">
        <w:rPr>
          <w:rFonts w:ascii="ITC Avant Garde" w:hAnsi="ITC Avant Garde"/>
          <w:szCs w:val="18"/>
        </w:rPr>
        <w:t xml:space="preserve"> de 9m</w:t>
      </w:r>
      <w:r w:rsidR="00376A4B" w:rsidRPr="00D42447">
        <w:rPr>
          <w:rFonts w:ascii="ITC Avant Garde" w:hAnsi="ITC Avant Garde"/>
          <w:szCs w:val="18"/>
        </w:rPr>
        <w:t>²</w:t>
      </w:r>
      <w:r w:rsidR="00A974BA" w:rsidRPr="00D42447">
        <w:rPr>
          <w:rFonts w:ascii="ITC Avant Garde" w:hAnsi="ITC Avant Garde"/>
          <w:szCs w:val="18"/>
        </w:rPr>
        <w:t xml:space="preserve"> (3x3), de Tipo 2: </w:t>
      </w:r>
      <w:r w:rsidR="00C15DB6" w:rsidRPr="00D42447">
        <w:rPr>
          <w:rFonts w:ascii="ITC Avant Garde" w:hAnsi="ITC Avant Garde"/>
          <w:szCs w:val="18"/>
        </w:rPr>
        <w:t>Área</w:t>
      </w:r>
      <w:r w:rsidR="00A974BA" w:rsidRPr="00D42447">
        <w:rPr>
          <w:rFonts w:ascii="ITC Avant Garde" w:hAnsi="ITC Avant Garde"/>
          <w:szCs w:val="18"/>
        </w:rPr>
        <w:t xml:space="preserve"> de 4m² (2</w:t>
      </w:r>
      <w:r w:rsidR="00376A4B" w:rsidRPr="00D42447">
        <w:rPr>
          <w:rFonts w:ascii="ITC Avant Garde" w:hAnsi="ITC Avant Garde"/>
          <w:szCs w:val="18"/>
        </w:rPr>
        <w:t>x</w:t>
      </w:r>
      <w:r w:rsidR="00A974BA" w:rsidRPr="00D42447">
        <w:rPr>
          <w:rFonts w:ascii="ITC Avant Garde" w:hAnsi="ITC Avant Garde"/>
          <w:szCs w:val="18"/>
        </w:rPr>
        <w:t xml:space="preserve">2), y de Tipo 3: Gabinete, serán las siguientes: </w:t>
      </w:r>
    </w:p>
    <w:p w14:paraId="5CE9446A" w14:textId="77777777" w:rsidR="00D42447" w:rsidRPr="00D42447" w:rsidRDefault="00A974BA" w:rsidP="00D42447">
      <w:pPr>
        <w:spacing w:before="240"/>
        <w:jc w:val="both"/>
        <w:rPr>
          <w:rFonts w:ascii="ITC Avant Garde" w:hAnsi="ITC Avant Garde"/>
          <w:spacing w:val="-4"/>
          <w:lang w:val="es-ES"/>
        </w:rPr>
      </w:pPr>
      <w:r w:rsidRPr="00D42447">
        <w:rPr>
          <w:rFonts w:ascii="ITC Avant Garde" w:eastAsia="Times New Roman" w:hAnsi="ITC Avant Garde" w:cs="Arial"/>
          <w:b/>
        </w:rPr>
        <w:t>GASTOS DE INSTALACIÓN:</w:t>
      </w:r>
      <w:r w:rsidRPr="00D42447">
        <w:rPr>
          <w:rFonts w:ascii="ITC Avant Garde" w:hAnsi="ITC Avant Garde"/>
          <w:spacing w:val="-4"/>
          <w:lang w:val="es-ES"/>
        </w:rPr>
        <w:t xml:space="preserve"> </w:t>
      </w:r>
    </w:p>
    <w:p w14:paraId="16ACCA1D" w14:textId="19EE1005" w:rsidR="00A974BA" w:rsidRPr="00D42447" w:rsidRDefault="00A974BA" w:rsidP="00D42447">
      <w:pPr>
        <w:pStyle w:val="Texto0"/>
        <w:spacing w:before="240" w:after="200" w:line="276" w:lineRule="auto"/>
        <w:ind w:left="900" w:hanging="342"/>
        <w:rPr>
          <w:rFonts w:ascii="ITC Avant Garde" w:hAnsi="ITC Avant Garde"/>
          <w:sz w:val="22"/>
          <w:szCs w:val="22"/>
        </w:rPr>
      </w:pPr>
      <w:r w:rsidRPr="00D42447">
        <w:rPr>
          <w:rFonts w:ascii="ITC Avant Garde" w:hAnsi="ITC Avant Garde"/>
          <w:b/>
          <w:sz w:val="22"/>
          <w:szCs w:val="22"/>
        </w:rPr>
        <w:t>a)</w:t>
      </w:r>
      <w:r w:rsidRPr="00D42447">
        <w:rPr>
          <w:rFonts w:ascii="ITC Avant Garde" w:hAnsi="ITC Avant Garde"/>
          <w:b/>
          <w:sz w:val="22"/>
          <w:szCs w:val="22"/>
        </w:rPr>
        <w:tab/>
        <w:t xml:space="preserve">$107,509.00 pesos M.N. </w:t>
      </w:r>
      <w:r w:rsidRPr="00D42447">
        <w:rPr>
          <w:rFonts w:ascii="ITC Avant Garde" w:hAnsi="ITC Avant Garde"/>
          <w:sz w:val="22"/>
          <w:szCs w:val="22"/>
        </w:rPr>
        <w:t>por coubicación de Tipo 1</w:t>
      </w:r>
    </w:p>
    <w:p w14:paraId="7DD267B7" w14:textId="77777777" w:rsidR="00A974BA" w:rsidRPr="00D42447" w:rsidRDefault="00A974BA" w:rsidP="00D42447">
      <w:pPr>
        <w:pStyle w:val="Texto0"/>
        <w:spacing w:before="240" w:after="200" w:line="276" w:lineRule="auto"/>
        <w:ind w:left="900" w:hanging="342"/>
        <w:rPr>
          <w:rFonts w:ascii="ITC Avant Garde" w:hAnsi="ITC Avant Garde"/>
          <w:sz w:val="22"/>
          <w:szCs w:val="22"/>
        </w:rPr>
      </w:pPr>
      <w:r w:rsidRPr="00D42447">
        <w:rPr>
          <w:rFonts w:ascii="ITC Avant Garde" w:hAnsi="ITC Avant Garde"/>
          <w:b/>
          <w:sz w:val="22"/>
          <w:szCs w:val="22"/>
        </w:rPr>
        <w:t>b)</w:t>
      </w:r>
      <w:r w:rsidRPr="00D42447">
        <w:rPr>
          <w:rFonts w:ascii="ITC Avant Garde" w:hAnsi="ITC Avant Garde"/>
          <w:b/>
          <w:sz w:val="22"/>
          <w:szCs w:val="22"/>
        </w:rPr>
        <w:tab/>
        <w:t>$60,004.00 pesos M.N.</w:t>
      </w:r>
      <w:r w:rsidRPr="00D42447">
        <w:rPr>
          <w:rFonts w:ascii="ITC Avant Garde" w:hAnsi="ITC Avant Garde"/>
          <w:sz w:val="22"/>
          <w:szCs w:val="22"/>
        </w:rPr>
        <w:t xml:space="preserve"> por coubicación de Tipo 2.</w:t>
      </w:r>
    </w:p>
    <w:p w14:paraId="0BE1C5A1" w14:textId="77777777" w:rsidR="00A974BA" w:rsidRPr="00D42447" w:rsidRDefault="00A974BA" w:rsidP="00D42447">
      <w:pPr>
        <w:pStyle w:val="Texto0"/>
        <w:spacing w:before="240" w:after="200" w:line="276" w:lineRule="auto"/>
        <w:ind w:left="900" w:hanging="342"/>
        <w:rPr>
          <w:rFonts w:ascii="ITC Avant Garde" w:hAnsi="ITC Avant Garde"/>
          <w:sz w:val="22"/>
          <w:szCs w:val="22"/>
        </w:rPr>
      </w:pPr>
      <w:r w:rsidRPr="00D42447">
        <w:rPr>
          <w:rFonts w:ascii="ITC Avant Garde" w:hAnsi="ITC Avant Garde"/>
          <w:b/>
          <w:sz w:val="22"/>
          <w:szCs w:val="22"/>
        </w:rPr>
        <w:t>c)</w:t>
      </w:r>
      <w:r w:rsidRPr="00D42447">
        <w:rPr>
          <w:rFonts w:ascii="ITC Avant Garde" w:hAnsi="ITC Avant Garde"/>
          <w:b/>
          <w:sz w:val="22"/>
          <w:szCs w:val="22"/>
        </w:rPr>
        <w:tab/>
        <w:t>$126,654.76 pesos M.N.</w:t>
      </w:r>
      <w:r w:rsidRPr="00D42447">
        <w:rPr>
          <w:rFonts w:ascii="ITC Avant Garde" w:hAnsi="ITC Avant Garde"/>
          <w:sz w:val="22"/>
          <w:szCs w:val="22"/>
        </w:rPr>
        <w:t xml:space="preserve"> por coubicación de Tipo 3 (Gabinete)</w:t>
      </w:r>
    </w:p>
    <w:p w14:paraId="21BDF61F" w14:textId="77777777" w:rsidR="00D42447" w:rsidRPr="00D42447" w:rsidRDefault="00A974BA" w:rsidP="00D42447">
      <w:pPr>
        <w:pStyle w:val="Texto0"/>
        <w:spacing w:before="240" w:after="200" w:line="276" w:lineRule="auto"/>
        <w:ind w:left="900" w:hanging="342"/>
        <w:rPr>
          <w:rFonts w:ascii="ITC Avant Garde" w:hAnsi="ITC Avant Garde"/>
          <w:sz w:val="22"/>
          <w:szCs w:val="22"/>
        </w:rPr>
      </w:pPr>
      <w:r w:rsidRPr="00D42447">
        <w:rPr>
          <w:rFonts w:ascii="ITC Avant Garde" w:hAnsi="ITC Avant Garde"/>
          <w:b/>
          <w:sz w:val="22"/>
          <w:szCs w:val="22"/>
        </w:rPr>
        <w:t>d)</w:t>
      </w:r>
      <w:r w:rsidRPr="00D42447">
        <w:rPr>
          <w:rFonts w:ascii="ITC Avant Garde" w:hAnsi="ITC Avant Garde"/>
          <w:b/>
          <w:sz w:val="22"/>
          <w:szCs w:val="22"/>
        </w:rPr>
        <w:tab/>
        <w:t>$213,917.41</w:t>
      </w:r>
      <w:r w:rsidRPr="00D42447">
        <w:rPr>
          <w:rFonts w:ascii="ITC Avant Garde" w:hAnsi="ITC Avant Garde"/>
          <w:sz w:val="22"/>
          <w:szCs w:val="22"/>
        </w:rPr>
        <w:t xml:space="preserve"> </w:t>
      </w:r>
      <w:r w:rsidRPr="00D42447">
        <w:rPr>
          <w:rFonts w:ascii="ITC Avant Garde" w:hAnsi="ITC Avant Garde"/>
          <w:b/>
          <w:sz w:val="22"/>
          <w:szCs w:val="22"/>
        </w:rPr>
        <w:t>pesos M.N.</w:t>
      </w:r>
      <w:r w:rsidRPr="00D42447">
        <w:rPr>
          <w:rFonts w:ascii="ITC Avant Garde" w:hAnsi="ITC Avant Garde"/>
          <w:sz w:val="22"/>
          <w:szCs w:val="22"/>
        </w:rPr>
        <w:t xml:space="preserve"> por coubicación externa de Tipo 3 (Gabinete).</w:t>
      </w:r>
    </w:p>
    <w:p w14:paraId="4F240A76" w14:textId="77777777" w:rsidR="00D42447" w:rsidRPr="00D42447" w:rsidRDefault="00A974BA" w:rsidP="00D42447">
      <w:pPr>
        <w:spacing w:before="240"/>
        <w:jc w:val="both"/>
        <w:rPr>
          <w:rFonts w:ascii="ITC Avant Garde" w:eastAsia="Times New Roman" w:hAnsi="ITC Avant Garde" w:cs="Arial"/>
        </w:rPr>
      </w:pPr>
      <w:r w:rsidRPr="00D42447">
        <w:rPr>
          <w:rFonts w:ascii="ITC Avant Garde" w:eastAsia="Times New Roman" w:hAnsi="ITC Avant Garde" w:cs="Arial"/>
          <w:b/>
        </w:rPr>
        <w:t xml:space="preserve">RENTA MENSUAL: </w:t>
      </w:r>
      <w:r w:rsidRPr="00D42447">
        <w:rPr>
          <w:rFonts w:ascii="ITC Avant Garde" w:hAnsi="ITC Avant Garde"/>
          <w:spacing w:val="-4"/>
          <w:lang w:val="es-ES"/>
        </w:rPr>
        <w:t xml:space="preserve">Las contraprestaciones por renta mensual </w:t>
      </w:r>
      <w:r w:rsidRPr="00D42447">
        <w:rPr>
          <w:rFonts w:ascii="ITC Avant Garde" w:eastAsia="Times New Roman" w:hAnsi="ITC Avant Garde" w:cs="Arial"/>
        </w:rPr>
        <w:t xml:space="preserve">dependerán del nivel de costo de la región económica de que se trata, siendo estas: </w:t>
      </w:r>
    </w:p>
    <w:p w14:paraId="3575CCE3" w14:textId="77777777" w:rsidR="00D42447" w:rsidRPr="00D42447" w:rsidRDefault="00A974BA" w:rsidP="00D42447">
      <w:pPr>
        <w:pStyle w:val="Texto0"/>
        <w:spacing w:before="240" w:after="200" w:line="276" w:lineRule="auto"/>
        <w:rPr>
          <w:rFonts w:ascii="ITC Avant Garde" w:hAnsi="ITC Avant Garde"/>
          <w:sz w:val="22"/>
          <w:szCs w:val="22"/>
        </w:rPr>
      </w:pPr>
      <w:r w:rsidRPr="00D42447">
        <w:rPr>
          <w:rFonts w:ascii="ITC Avant Garde" w:hAnsi="ITC Avant Garde"/>
          <w:sz w:val="22"/>
          <w:szCs w:val="22"/>
        </w:rPr>
        <w:t>Región de costo alto:</w:t>
      </w:r>
    </w:p>
    <w:p w14:paraId="407B948B" w14:textId="34B24109" w:rsidR="00A974BA" w:rsidRPr="00D42447" w:rsidRDefault="00A974BA" w:rsidP="00D42447">
      <w:pPr>
        <w:pStyle w:val="Prrafodelista"/>
        <w:numPr>
          <w:ilvl w:val="0"/>
          <w:numId w:val="35"/>
        </w:numPr>
        <w:spacing w:before="240" w:after="200" w:line="276" w:lineRule="auto"/>
        <w:rPr>
          <w:rFonts w:ascii="ITC Avant Garde" w:hAnsi="ITC Avant Garde"/>
          <w:szCs w:val="22"/>
        </w:rPr>
      </w:pPr>
      <w:r w:rsidRPr="00D42447">
        <w:rPr>
          <w:rFonts w:ascii="ITC Avant Garde" w:hAnsi="ITC Avant Garde"/>
          <w:b/>
          <w:szCs w:val="22"/>
        </w:rPr>
        <w:t xml:space="preserve">$1,084.49 pesos M.N. </w:t>
      </w:r>
      <w:r w:rsidRPr="00D42447">
        <w:rPr>
          <w:rFonts w:ascii="ITC Avant Garde" w:hAnsi="ITC Avant Garde"/>
          <w:szCs w:val="22"/>
        </w:rPr>
        <w:t>por metro cuadrado por coubicación de Tipo 1 y Tipo 2.</w:t>
      </w:r>
    </w:p>
    <w:p w14:paraId="1509D590" w14:textId="77777777" w:rsidR="00D42447" w:rsidRPr="00D42447" w:rsidRDefault="00A974BA" w:rsidP="00D42447">
      <w:pPr>
        <w:pStyle w:val="Prrafodelista"/>
        <w:numPr>
          <w:ilvl w:val="0"/>
          <w:numId w:val="35"/>
        </w:numPr>
        <w:spacing w:before="240" w:after="200" w:line="276" w:lineRule="auto"/>
        <w:rPr>
          <w:rFonts w:ascii="ITC Avant Garde" w:hAnsi="ITC Avant Garde"/>
          <w:szCs w:val="22"/>
        </w:rPr>
      </w:pPr>
      <w:r w:rsidRPr="00D42447">
        <w:rPr>
          <w:rFonts w:ascii="ITC Avant Garde" w:hAnsi="ITC Avant Garde"/>
          <w:b/>
          <w:szCs w:val="22"/>
        </w:rPr>
        <w:t>$2,745.47 pesos M.N.</w:t>
      </w:r>
      <w:r w:rsidRPr="00D42447">
        <w:rPr>
          <w:rFonts w:ascii="ITC Avant Garde" w:hAnsi="ITC Avant Garde"/>
          <w:szCs w:val="22"/>
        </w:rPr>
        <w:t xml:space="preserve"> por coubicación de Tipo 3.</w:t>
      </w:r>
    </w:p>
    <w:p w14:paraId="0CD87A40" w14:textId="0341F969" w:rsidR="00A974BA" w:rsidRPr="00D42447" w:rsidRDefault="00A974BA" w:rsidP="00D42447">
      <w:pPr>
        <w:pStyle w:val="Texto0"/>
        <w:spacing w:before="240" w:after="200" w:line="276" w:lineRule="auto"/>
        <w:rPr>
          <w:rFonts w:ascii="ITC Avant Garde" w:hAnsi="ITC Avant Garde"/>
          <w:sz w:val="22"/>
          <w:szCs w:val="22"/>
        </w:rPr>
      </w:pPr>
      <w:r w:rsidRPr="00D42447">
        <w:rPr>
          <w:rFonts w:ascii="ITC Avant Garde" w:hAnsi="ITC Avant Garde"/>
          <w:sz w:val="22"/>
          <w:szCs w:val="22"/>
        </w:rPr>
        <w:t>Región de costo medio:</w:t>
      </w:r>
    </w:p>
    <w:p w14:paraId="311BE82A" w14:textId="77777777" w:rsidR="00A974BA" w:rsidRPr="00D42447" w:rsidRDefault="00A974BA" w:rsidP="00D42447">
      <w:pPr>
        <w:pStyle w:val="Prrafodelista"/>
        <w:numPr>
          <w:ilvl w:val="0"/>
          <w:numId w:val="36"/>
        </w:numPr>
        <w:spacing w:before="240" w:after="200" w:line="276" w:lineRule="auto"/>
        <w:rPr>
          <w:rFonts w:ascii="ITC Avant Garde" w:hAnsi="ITC Avant Garde"/>
          <w:szCs w:val="22"/>
        </w:rPr>
      </w:pPr>
      <w:r w:rsidRPr="00D42447">
        <w:rPr>
          <w:rFonts w:ascii="ITC Avant Garde" w:hAnsi="ITC Avant Garde"/>
          <w:b/>
          <w:szCs w:val="22"/>
        </w:rPr>
        <w:t xml:space="preserve">$1,027.30 pesos M.N. </w:t>
      </w:r>
      <w:r w:rsidRPr="00D42447">
        <w:rPr>
          <w:rFonts w:ascii="ITC Avant Garde" w:hAnsi="ITC Avant Garde"/>
          <w:szCs w:val="22"/>
        </w:rPr>
        <w:t>por metro cuadrado por coubicación de Tipo 1 y Tipo 2.</w:t>
      </w:r>
    </w:p>
    <w:p w14:paraId="44B8A4E1" w14:textId="77777777" w:rsidR="00D42447" w:rsidRPr="00D42447" w:rsidRDefault="00A974BA" w:rsidP="00D42447">
      <w:pPr>
        <w:pStyle w:val="Prrafodelista"/>
        <w:numPr>
          <w:ilvl w:val="0"/>
          <w:numId w:val="36"/>
        </w:numPr>
        <w:spacing w:before="240" w:after="200" w:line="276" w:lineRule="auto"/>
        <w:rPr>
          <w:rFonts w:ascii="ITC Avant Garde" w:hAnsi="ITC Avant Garde"/>
          <w:szCs w:val="22"/>
        </w:rPr>
      </w:pPr>
      <w:r w:rsidRPr="00D42447">
        <w:rPr>
          <w:rFonts w:ascii="ITC Avant Garde" w:hAnsi="ITC Avant Garde"/>
          <w:b/>
          <w:szCs w:val="22"/>
        </w:rPr>
        <w:t>$2,576.88 pesos M.N.</w:t>
      </w:r>
      <w:r w:rsidRPr="00D42447">
        <w:rPr>
          <w:rFonts w:ascii="ITC Avant Garde" w:hAnsi="ITC Avant Garde"/>
          <w:szCs w:val="22"/>
        </w:rPr>
        <w:t xml:space="preserve"> por coubicación de Tipo 3.</w:t>
      </w:r>
    </w:p>
    <w:p w14:paraId="1DEBD0C6" w14:textId="199D5AFF" w:rsidR="00D42447" w:rsidRPr="00D42447" w:rsidRDefault="00A974BA" w:rsidP="00D42447">
      <w:pPr>
        <w:pStyle w:val="Texto0"/>
        <w:spacing w:before="240" w:after="200" w:line="276" w:lineRule="auto"/>
        <w:rPr>
          <w:rFonts w:ascii="ITC Avant Garde" w:hAnsi="ITC Avant Garde"/>
          <w:sz w:val="22"/>
          <w:szCs w:val="22"/>
        </w:rPr>
      </w:pPr>
      <w:r w:rsidRPr="00D42447">
        <w:rPr>
          <w:rFonts w:ascii="ITC Avant Garde" w:hAnsi="ITC Avant Garde"/>
          <w:sz w:val="22"/>
          <w:szCs w:val="22"/>
        </w:rPr>
        <w:lastRenderedPageBreak/>
        <w:t>Región de costo bajo:</w:t>
      </w:r>
    </w:p>
    <w:p w14:paraId="31F7CF96" w14:textId="498F6A3F" w:rsidR="00A974BA" w:rsidRPr="00D42447" w:rsidRDefault="00A974BA" w:rsidP="00D42447">
      <w:pPr>
        <w:pStyle w:val="Prrafodelista"/>
        <w:numPr>
          <w:ilvl w:val="0"/>
          <w:numId w:val="37"/>
        </w:numPr>
        <w:spacing w:before="240" w:after="200" w:line="276" w:lineRule="auto"/>
        <w:rPr>
          <w:rFonts w:ascii="ITC Avant Garde" w:hAnsi="ITC Avant Garde"/>
          <w:szCs w:val="22"/>
        </w:rPr>
      </w:pPr>
      <w:r w:rsidRPr="00D42447">
        <w:rPr>
          <w:rFonts w:ascii="ITC Avant Garde" w:hAnsi="ITC Avant Garde"/>
          <w:b/>
          <w:szCs w:val="22"/>
        </w:rPr>
        <w:t xml:space="preserve">$1,011.54 pesos M.N. </w:t>
      </w:r>
      <w:r w:rsidRPr="00D42447">
        <w:rPr>
          <w:rFonts w:ascii="ITC Avant Garde" w:hAnsi="ITC Avant Garde"/>
          <w:szCs w:val="22"/>
        </w:rPr>
        <w:t>por metro cuadrado por coubicación de Tipo 1 y Tipo 2.</w:t>
      </w:r>
    </w:p>
    <w:p w14:paraId="0DBDF303" w14:textId="77777777" w:rsidR="00D42447" w:rsidRPr="00D42447" w:rsidRDefault="00A974BA" w:rsidP="00D42447">
      <w:pPr>
        <w:pStyle w:val="Prrafodelista"/>
        <w:numPr>
          <w:ilvl w:val="0"/>
          <w:numId w:val="37"/>
        </w:numPr>
        <w:spacing w:before="240" w:after="200" w:line="276" w:lineRule="auto"/>
        <w:rPr>
          <w:rFonts w:ascii="ITC Avant Garde" w:hAnsi="ITC Avant Garde"/>
          <w:szCs w:val="22"/>
        </w:rPr>
      </w:pPr>
      <w:r w:rsidRPr="00D42447">
        <w:rPr>
          <w:rFonts w:ascii="ITC Avant Garde" w:hAnsi="ITC Avant Garde"/>
          <w:b/>
          <w:szCs w:val="22"/>
        </w:rPr>
        <w:t>$2,381.76 pesos M.N.</w:t>
      </w:r>
      <w:r w:rsidRPr="00D42447">
        <w:rPr>
          <w:rFonts w:ascii="ITC Avant Garde" w:hAnsi="ITC Avant Garde"/>
          <w:szCs w:val="22"/>
        </w:rPr>
        <w:t xml:space="preserve"> por coubicación de Tipo 3.</w:t>
      </w:r>
    </w:p>
    <w:p w14:paraId="37659659" w14:textId="77777777" w:rsidR="00D42447" w:rsidRPr="00D42447" w:rsidRDefault="00501DF2" w:rsidP="00D42447">
      <w:pPr>
        <w:spacing w:before="240"/>
        <w:jc w:val="both"/>
        <w:rPr>
          <w:rFonts w:ascii="ITC Avant Garde" w:hAnsi="ITC Avant Garde" w:cs="Arial"/>
        </w:rPr>
      </w:pPr>
      <w:r w:rsidRPr="00D42447">
        <w:rPr>
          <w:rFonts w:ascii="ITC Avant Garde" w:hAnsi="ITC Avant Garde" w:cs="Arial"/>
        </w:rPr>
        <w:t xml:space="preserve">Las tarifas señaladas en el presente resolutivo no incluyen el consumo de energía eléctrica correspondiente a los equipos de Mega Cable, S.A. de C.V. </w:t>
      </w:r>
    </w:p>
    <w:p w14:paraId="3C7FFEF4" w14:textId="77777777" w:rsidR="00D42447" w:rsidRPr="00D42447" w:rsidRDefault="00501DF2" w:rsidP="00D42447">
      <w:pPr>
        <w:spacing w:before="240"/>
        <w:jc w:val="both"/>
        <w:rPr>
          <w:rFonts w:ascii="ITC Avant Garde" w:hAnsi="ITC Avant Garde" w:cs="Arial"/>
        </w:rPr>
      </w:pPr>
      <w:r w:rsidRPr="00D42447">
        <w:rPr>
          <w:rFonts w:ascii="ITC Avant Garde" w:hAnsi="ITC Avant Garde" w:cs="Arial"/>
        </w:rPr>
        <w:t>Las regiones de costo se clasificarán de conformidad con lo indicado en el Considerando Quinto de la presente Resolución.</w:t>
      </w:r>
    </w:p>
    <w:p w14:paraId="52BC3164" w14:textId="77777777" w:rsidR="00D42447" w:rsidRPr="00D42447" w:rsidRDefault="00D2057A" w:rsidP="00D42447">
      <w:pPr>
        <w:spacing w:before="240"/>
        <w:jc w:val="both"/>
        <w:rPr>
          <w:rFonts w:ascii="ITC Avant Garde" w:hAnsi="ITC Avant Garde" w:cs="Arial"/>
        </w:rPr>
      </w:pPr>
      <w:r w:rsidRPr="00D42447">
        <w:rPr>
          <w:rFonts w:ascii="ITC Avant Garde" w:hAnsi="ITC Avant Garde" w:cs="Arial"/>
          <w:b/>
        </w:rPr>
        <w:t>CUARTO</w:t>
      </w:r>
      <w:r w:rsidR="00501DF2" w:rsidRPr="00D42447">
        <w:rPr>
          <w:rFonts w:ascii="ITC Avant Garde" w:hAnsi="ITC Avant Garde" w:cs="Arial"/>
          <w:b/>
        </w:rPr>
        <w:t>.-</w:t>
      </w:r>
      <w:r w:rsidR="00501DF2" w:rsidRPr="00D42447">
        <w:rPr>
          <w:rFonts w:ascii="ITC Avant Garde" w:hAnsi="ITC Avant Garde" w:cs="Arial"/>
        </w:rPr>
        <w:t xml:space="preserve"> </w:t>
      </w:r>
      <w:r w:rsidR="009E6191" w:rsidRPr="00D42447">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094727" w:rsidRPr="00D42447">
        <w:rPr>
          <w:rFonts w:ascii="ITC Avant Garde" w:hAnsi="ITC Avant Garde" w:cs="Arial"/>
        </w:rPr>
        <w:t>Radiomóvil Dipsa, S.A. de C.V.</w:t>
      </w:r>
      <w:r w:rsidR="00A7754D" w:rsidRPr="00D42447">
        <w:rPr>
          <w:rFonts w:ascii="ITC Avant Garde" w:hAnsi="ITC Avant Garde" w:cs="Arial"/>
        </w:rPr>
        <w:t xml:space="preserve"> y </w:t>
      </w:r>
      <w:r w:rsidR="008366F3" w:rsidRPr="00D42447">
        <w:rPr>
          <w:rFonts w:ascii="ITC Avant Garde" w:hAnsi="ITC Avant Garde" w:cs="Arial"/>
        </w:rPr>
        <w:t>Mega Cable</w:t>
      </w:r>
      <w:r w:rsidR="00A7754D" w:rsidRPr="00D42447">
        <w:rPr>
          <w:rFonts w:ascii="ITC Avant Garde" w:hAnsi="ITC Avant Garde" w:cs="Arial"/>
        </w:rPr>
        <w:t>, S.A. de C.V.</w:t>
      </w:r>
      <w:r w:rsidR="00EA360B" w:rsidRPr="00D42447">
        <w:rPr>
          <w:rFonts w:ascii="ITC Avant Garde" w:hAnsi="ITC Avant Garde"/>
          <w:bCs/>
          <w:lang w:val="es-ES" w:eastAsia="es-ES"/>
        </w:rPr>
        <w:t>,</w:t>
      </w:r>
      <w:r w:rsidR="00EA360B" w:rsidRPr="00D42447">
        <w:rPr>
          <w:rFonts w:ascii="ITC Avant Garde" w:hAnsi="ITC Avant Garde" w:cs="Arial"/>
        </w:rPr>
        <w:t xml:space="preserve"> </w:t>
      </w:r>
      <w:r w:rsidR="009E6191" w:rsidRPr="00D42447">
        <w:rPr>
          <w:rFonts w:ascii="ITC Avant Garde" w:hAnsi="ITC Avant Garde" w:cs="Arial"/>
        </w:rPr>
        <w:t xml:space="preserve">deberán </w:t>
      </w:r>
      <w:r w:rsidR="009E6191" w:rsidRPr="00D42447">
        <w:rPr>
          <w:rFonts w:ascii="ITC Avant Garde" w:eastAsia="Times New Roman" w:hAnsi="ITC Avant Garde" w:cs="Arial"/>
        </w:rPr>
        <w:t xml:space="preserve">suscribir </w:t>
      </w:r>
      <w:r w:rsidR="003A485C" w:rsidRPr="00D42447">
        <w:rPr>
          <w:rFonts w:ascii="ITC Avant Garde" w:hAnsi="ITC Avant Garde" w:cs="Arial"/>
        </w:rPr>
        <w:t>el</w:t>
      </w:r>
      <w:r w:rsidR="009E6191" w:rsidRPr="00D42447">
        <w:rPr>
          <w:rFonts w:ascii="ITC Avant Garde" w:hAnsi="ITC Avant Garde" w:cs="Arial"/>
        </w:rPr>
        <w:t xml:space="preserve"> convenio de interconexión de sus redes públicas de telecomunicaciones conforme a los términos y condiciones determinados en </w:t>
      </w:r>
      <w:r w:rsidR="00106FE3" w:rsidRPr="00D42447">
        <w:rPr>
          <w:rFonts w:ascii="ITC Avant Garde" w:hAnsi="ITC Avant Garde" w:cs="Arial"/>
        </w:rPr>
        <w:t>los</w:t>
      </w:r>
      <w:r w:rsidR="00A7754D" w:rsidRPr="00D42447">
        <w:rPr>
          <w:rFonts w:ascii="ITC Avant Garde" w:hAnsi="ITC Avant Garde" w:cs="Arial"/>
        </w:rPr>
        <w:t xml:space="preserve"> </w:t>
      </w:r>
      <w:r w:rsidR="009E6191" w:rsidRPr="00D42447">
        <w:rPr>
          <w:rFonts w:ascii="ITC Avant Garde" w:hAnsi="ITC Avant Garde" w:cs="Arial"/>
        </w:rPr>
        <w:t>Resolutivo</w:t>
      </w:r>
      <w:r w:rsidR="00106FE3" w:rsidRPr="00D42447">
        <w:rPr>
          <w:rFonts w:ascii="ITC Avant Garde" w:hAnsi="ITC Avant Garde" w:cs="Arial"/>
        </w:rPr>
        <w:t>s</w:t>
      </w:r>
      <w:r w:rsidR="00A7754D" w:rsidRPr="00D42447">
        <w:rPr>
          <w:rFonts w:ascii="ITC Avant Garde" w:hAnsi="ITC Avant Garde" w:cs="Arial"/>
        </w:rPr>
        <w:t xml:space="preserve"> </w:t>
      </w:r>
      <w:r w:rsidR="00501DF2" w:rsidRPr="00D42447">
        <w:rPr>
          <w:rFonts w:ascii="ITC Avant Garde" w:hAnsi="ITC Avant Garde" w:cs="Arial"/>
        </w:rPr>
        <w:t xml:space="preserve">PRIMERO, </w:t>
      </w:r>
      <w:r w:rsidR="00106FE3" w:rsidRPr="00D42447">
        <w:rPr>
          <w:rFonts w:ascii="ITC Avant Garde" w:hAnsi="ITC Avant Garde" w:cs="Arial"/>
        </w:rPr>
        <w:t>SEGUNDO</w:t>
      </w:r>
      <w:r w:rsidRPr="00D42447">
        <w:rPr>
          <w:rFonts w:ascii="ITC Avant Garde" w:hAnsi="ITC Avant Garde" w:cs="Arial"/>
        </w:rPr>
        <w:t xml:space="preserve"> y </w:t>
      </w:r>
      <w:r w:rsidR="00501DF2" w:rsidRPr="00D42447">
        <w:rPr>
          <w:rFonts w:ascii="ITC Avant Garde" w:hAnsi="ITC Avant Garde" w:cs="Arial"/>
        </w:rPr>
        <w:t>TERCERO</w:t>
      </w:r>
      <w:r w:rsidR="007D5C31" w:rsidRPr="00D42447">
        <w:rPr>
          <w:rFonts w:ascii="ITC Avant Garde" w:hAnsi="ITC Avant Garde" w:cs="Arial"/>
        </w:rPr>
        <w:t xml:space="preserve"> </w:t>
      </w:r>
      <w:r w:rsidR="009E6191" w:rsidRPr="00D42447">
        <w:rPr>
          <w:rFonts w:ascii="ITC Avant Garde" w:hAnsi="ITC Avant Garde" w:cs="Arial"/>
        </w:rPr>
        <w:t>de la presente Resolución.</w:t>
      </w:r>
      <w:r w:rsidR="003A485C" w:rsidRPr="00D42447">
        <w:rPr>
          <w:rFonts w:ascii="ITC Avant Garde" w:hAnsi="ITC Avant Garde" w:cs="Arial"/>
        </w:rPr>
        <w:t xml:space="preserve"> </w:t>
      </w:r>
      <w:r w:rsidR="009E6191" w:rsidRPr="00D42447">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A034462" w14:textId="77777777" w:rsidR="00D42447" w:rsidRPr="00D42447" w:rsidRDefault="00D2057A" w:rsidP="00D42447">
      <w:pPr>
        <w:spacing w:before="240"/>
        <w:jc w:val="both"/>
        <w:rPr>
          <w:rFonts w:ascii="ITC Avant Garde" w:hAnsi="ITC Avant Garde"/>
          <w:lang w:eastAsia="es-ES"/>
        </w:rPr>
      </w:pPr>
      <w:r w:rsidRPr="00D42447">
        <w:rPr>
          <w:rFonts w:ascii="ITC Avant Garde" w:hAnsi="ITC Avant Garde"/>
          <w:b/>
        </w:rPr>
        <w:t>QUINTO</w:t>
      </w:r>
      <w:r w:rsidR="000B2707" w:rsidRPr="00D42447">
        <w:rPr>
          <w:rFonts w:ascii="ITC Avant Garde" w:hAnsi="ITC Avant Garde"/>
          <w:b/>
          <w:lang w:eastAsia="es-ES"/>
        </w:rPr>
        <w:t xml:space="preserve">.- </w:t>
      </w:r>
      <w:r w:rsidR="00F204CE" w:rsidRPr="00D42447">
        <w:rPr>
          <w:rFonts w:ascii="ITC Avant Garde" w:hAnsi="ITC Avant Garde"/>
          <w:lang w:eastAsia="es-ES"/>
        </w:rPr>
        <w:t xml:space="preserve">En cumplimiento a lo dispuesto en </w:t>
      </w:r>
      <w:r w:rsidR="00DB1608" w:rsidRPr="00D42447">
        <w:rPr>
          <w:rFonts w:ascii="ITC Avant Garde" w:hAnsi="ITC Avant Garde"/>
          <w:lang w:eastAsia="es-ES"/>
        </w:rPr>
        <w:t xml:space="preserve">el artículo 3, fracción XV de la Ley Federal de Procedimiento Administrativo, en relación con </w:t>
      </w:r>
      <w:r w:rsidR="00F204CE" w:rsidRPr="00D42447">
        <w:rPr>
          <w:rFonts w:ascii="ITC Avant Garde" w:hAnsi="ITC Avant Garde"/>
          <w:lang w:eastAsia="es-ES"/>
        </w:rPr>
        <w:t>los artículos 312 y 313 de la Ley Federal de Telecomunicaciones y Radiodifusión, se hace del conocimiento de</w:t>
      </w:r>
      <w:r w:rsidR="00807CD8" w:rsidRPr="00D42447">
        <w:rPr>
          <w:rFonts w:ascii="ITC Avant Garde" w:hAnsi="ITC Avant Garde"/>
          <w:lang w:eastAsia="es-ES"/>
        </w:rPr>
        <w:t xml:space="preserve"> </w:t>
      </w:r>
      <w:r w:rsidR="003A485C" w:rsidRPr="00D42447">
        <w:rPr>
          <w:rFonts w:ascii="ITC Avant Garde" w:hAnsi="ITC Avant Garde" w:cs="Arial"/>
        </w:rPr>
        <w:t>Radiomóvil Dipsa, S.A. de C.V.</w:t>
      </w:r>
      <w:r w:rsidR="00807CD8" w:rsidRPr="00D42447">
        <w:rPr>
          <w:rFonts w:ascii="ITC Avant Garde" w:hAnsi="ITC Avant Garde" w:cs="Arial"/>
        </w:rPr>
        <w:t xml:space="preserve"> y</w:t>
      </w:r>
      <w:r w:rsidR="003A485C" w:rsidRPr="00D42447">
        <w:rPr>
          <w:rFonts w:ascii="ITC Avant Garde" w:hAnsi="ITC Avant Garde" w:cs="Arial"/>
        </w:rPr>
        <w:t xml:space="preserve"> de</w:t>
      </w:r>
      <w:r w:rsidR="00807CD8" w:rsidRPr="00D42447">
        <w:rPr>
          <w:rFonts w:ascii="ITC Avant Garde" w:hAnsi="ITC Avant Garde" w:cs="Arial"/>
        </w:rPr>
        <w:t xml:space="preserve"> </w:t>
      </w:r>
      <w:r w:rsidR="008366F3" w:rsidRPr="00D42447">
        <w:rPr>
          <w:rFonts w:ascii="ITC Avant Garde" w:hAnsi="ITC Avant Garde" w:cs="Arial"/>
        </w:rPr>
        <w:t>Mega Cable</w:t>
      </w:r>
      <w:r w:rsidR="00807CD8" w:rsidRPr="00D42447">
        <w:rPr>
          <w:rFonts w:ascii="ITC Avant Garde" w:hAnsi="ITC Avant Garde" w:cs="Arial"/>
        </w:rPr>
        <w:t xml:space="preserve">, S.A. de C.V., </w:t>
      </w:r>
      <w:r w:rsidR="00F204CE" w:rsidRPr="00D42447">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7D5C31" w:rsidRPr="00D42447">
        <w:rPr>
          <w:rFonts w:ascii="ITC Avant Garde" w:hAnsi="ITC Avant Garde"/>
          <w:lang w:eastAsia="es-ES"/>
        </w:rPr>
        <w:t>la Ciudad de México</w:t>
      </w:r>
      <w:r w:rsidR="00F204CE" w:rsidRPr="00D42447">
        <w:rPr>
          <w:rFonts w:ascii="ITC Avant Garde" w:hAnsi="ITC Avant Garde"/>
          <w:lang w:eastAsia="es-ES"/>
        </w:rPr>
        <w:t xml:space="preserve"> y Jurisdicción territorial en toda la República, el juicio de amparo indirecto dentro del plazo de quince</w:t>
      </w:r>
      <w:r w:rsidR="00D244D6" w:rsidRPr="00D42447">
        <w:rPr>
          <w:rFonts w:ascii="ITC Avant Garde" w:hAnsi="ITC Avant Garde"/>
          <w:lang w:eastAsia="es-ES"/>
        </w:rPr>
        <w:t xml:space="preserve"> (15)</w:t>
      </w:r>
      <w:r w:rsidR="00F204CE" w:rsidRPr="00D42447">
        <w:rPr>
          <w:rFonts w:ascii="ITC Avant Garde" w:hAnsi="ITC Avant Garde"/>
          <w:lang w:eastAsia="es-ES"/>
        </w:rPr>
        <w:t xml:space="preserve"> días hábiles contado a partir de que surta efectos la notificación de la presente Resolución, en términos del artículo 17 de la Ley de Amparo, Reglamentaria de los artículos 103 y 107 de la Constitución Política d</w:t>
      </w:r>
      <w:r w:rsidR="00B54213" w:rsidRPr="00D42447">
        <w:rPr>
          <w:rFonts w:ascii="ITC Avant Garde" w:hAnsi="ITC Avant Garde"/>
          <w:lang w:eastAsia="es-ES"/>
        </w:rPr>
        <w:t>e los Estados Unidos Mexicanos.</w:t>
      </w:r>
    </w:p>
    <w:p w14:paraId="6CA33970" w14:textId="77777777" w:rsidR="00D42447" w:rsidRPr="00D42447" w:rsidRDefault="00D2057A" w:rsidP="00D42447">
      <w:pPr>
        <w:spacing w:before="240"/>
        <w:jc w:val="both"/>
        <w:rPr>
          <w:rFonts w:ascii="ITC Avant Garde" w:hAnsi="ITC Avant Garde" w:cs="Arial"/>
        </w:rPr>
      </w:pPr>
      <w:r w:rsidRPr="00D42447">
        <w:rPr>
          <w:rFonts w:ascii="ITC Avant Garde" w:hAnsi="ITC Avant Garde"/>
          <w:b/>
        </w:rPr>
        <w:t>SEXTO</w:t>
      </w:r>
      <w:r w:rsidR="000B2707" w:rsidRPr="00D42447">
        <w:rPr>
          <w:rFonts w:ascii="ITC Avant Garde" w:hAnsi="ITC Avant Garde" w:cs="Arial"/>
          <w:b/>
        </w:rPr>
        <w:t xml:space="preserve">.- </w:t>
      </w:r>
      <w:r w:rsidR="003314D9" w:rsidRPr="00D42447">
        <w:rPr>
          <w:rFonts w:ascii="ITC Avant Garde" w:hAnsi="ITC Avant Garde" w:cs="Arial"/>
        </w:rPr>
        <w:t xml:space="preserve">Notifíquese personalmente a los representantes legales de </w:t>
      </w:r>
      <w:r w:rsidR="00807CD8" w:rsidRPr="00D42447">
        <w:rPr>
          <w:rFonts w:ascii="ITC Avant Garde" w:hAnsi="ITC Avant Garde" w:cs="Arial"/>
        </w:rPr>
        <w:t>Radiomóvil Dipsa, S.A. de C.V.</w:t>
      </w:r>
      <w:r w:rsidR="00EA360B" w:rsidRPr="00D42447">
        <w:rPr>
          <w:rFonts w:ascii="ITC Avant Garde" w:hAnsi="ITC Avant Garde"/>
        </w:rPr>
        <w:t xml:space="preserve"> </w:t>
      </w:r>
      <w:r w:rsidR="00EA360B" w:rsidRPr="00D42447">
        <w:rPr>
          <w:rFonts w:ascii="ITC Avant Garde" w:hAnsi="ITC Avant Garde" w:cs="Arial"/>
        </w:rPr>
        <w:t xml:space="preserve">y </w:t>
      </w:r>
      <w:r w:rsidR="003A485C" w:rsidRPr="00D42447">
        <w:rPr>
          <w:rFonts w:ascii="ITC Avant Garde" w:hAnsi="ITC Avant Garde" w:cs="Arial"/>
        </w:rPr>
        <w:t>de</w:t>
      </w:r>
      <w:r w:rsidR="00EA360B" w:rsidRPr="00D42447">
        <w:rPr>
          <w:rFonts w:ascii="ITC Avant Garde" w:hAnsi="ITC Avant Garde" w:cs="Arial"/>
        </w:rPr>
        <w:t xml:space="preserve"> </w:t>
      </w:r>
      <w:r w:rsidR="008366F3" w:rsidRPr="00D42447">
        <w:rPr>
          <w:rFonts w:ascii="ITC Avant Garde" w:hAnsi="ITC Avant Garde" w:cs="Arial"/>
        </w:rPr>
        <w:t>Mega Cable</w:t>
      </w:r>
      <w:r w:rsidR="00807CD8" w:rsidRPr="00D42447">
        <w:rPr>
          <w:rFonts w:ascii="ITC Avant Garde" w:hAnsi="ITC Avant Garde" w:cs="Arial"/>
        </w:rPr>
        <w:t>, S.A. de C.V.,</w:t>
      </w:r>
      <w:r w:rsidR="00EA360B" w:rsidRPr="00D42447">
        <w:rPr>
          <w:rFonts w:ascii="ITC Avant Garde" w:hAnsi="ITC Avant Garde" w:cs="Arial"/>
        </w:rPr>
        <w:t xml:space="preserve"> </w:t>
      </w:r>
      <w:r w:rsidR="00112B47" w:rsidRPr="00D42447">
        <w:rPr>
          <w:rFonts w:ascii="ITC Avant Garde" w:hAnsi="ITC Avant Garde" w:cs="Arial"/>
          <w:bCs/>
        </w:rPr>
        <w:t>el</w:t>
      </w:r>
      <w:r w:rsidR="00112B47" w:rsidRPr="00D42447">
        <w:rPr>
          <w:rFonts w:ascii="ITC Avant Garde" w:hAnsi="ITC Avant Garde" w:cs="Arial"/>
        </w:rPr>
        <w:t xml:space="preserve"> contenido de la presente Resolución, en </w:t>
      </w:r>
      <w:r w:rsidR="00112B47" w:rsidRPr="00D42447">
        <w:rPr>
          <w:rFonts w:ascii="ITC Avant Garde" w:hAnsi="ITC Avant Garde" w:cs="Arial"/>
        </w:rPr>
        <w:lastRenderedPageBreak/>
        <w:t>términos de lo establecido en el artículo 129 fracción VIII de la Ley Federal de Telecomunicaciones y Radiodifusión.</w:t>
      </w:r>
    </w:p>
    <w:p w14:paraId="36EE2F4D" w14:textId="17CE9E7F" w:rsidR="00D42447" w:rsidRPr="00D42447" w:rsidRDefault="00D70CFE" w:rsidP="00D42447">
      <w:pPr>
        <w:pStyle w:val="Prrafodelista"/>
        <w:ind w:left="0"/>
        <w:rPr>
          <w:rFonts w:ascii="ITC Avant Garde" w:hAnsi="ITC Avant Garde"/>
          <w:sz w:val="12"/>
        </w:rPr>
      </w:pPr>
      <w:r w:rsidRPr="00D42447">
        <w:rPr>
          <w:rFonts w:ascii="ITC Avant Garde" w:hAnsi="ITC Avant Garde"/>
          <w:sz w:val="12"/>
        </w:rPr>
        <w:t>La presente Resolución fue aprobada por el Pleno del Instituto Federal de Telecomunicaciones en su LI Sesión Ordinaria celebrada el 6 de diciembre de 2017, en lo general por unanimidad de votos de los Comisionados Gabriel Oswaldo Contreras Saldívar, Adriana Sofía Labardini Inzunza, María Elena Estavillo Flores, Mario Germán Fromow Rangel, Adolfo Cuevas Teja, Javier Juárez Mojica y Arturo Robles Rovalo.</w:t>
      </w:r>
    </w:p>
    <w:p w14:paraId="191741C7" w14:textId="77777777" w:rsidR="00D42447" w:rsidRPr="00D42447" w:rsidRDefault="00D70CFE" w:rsidP="00D42447">
      <w:pPr>
        <w:pStyle w:val="Prrafodelista"/>
        <w:ind w:left="0"/>
        <w:rPr>
          <w:rFonts w:ascii="ITC Avant Garde" w:hAnsi="ITC Avant Garde"/>
          <w:sz w:val="12"/>
        </w:rPr>
      </w:pPr>
      <w:r w:rsidRPr="00D42447">
        <w:rPr>
          <w:rFonts w:ascii="ITC Avant Garde" w:hAnsi="ITC Avant Garde"/>
          <w:sz w:val="12"/>
        </w:rPr>
        <w:t xml:space="preserve">En lo particular, la Comisionada María Elena Estavillo Flores manifiesta voto en contra de la mención de la de la modalidad “el que llama paga” en el Resolutivo Segundo. </w:t>
      </w:r>
    </w:p>
    <w:p w14:paraId="2699B13D" w14:textId="77777777" w:rsidR="00D42447" w:rsidRPr="00D42447" w:rsidRDefault="00D70CFE" w:rsidP="00D42447">
      <w:pPr>
        <w:pStyle w:val="Prrafodelista"/>
        <w:ind w:left="0"/>
        <w:rPr>
          <w:rFonts w:ascii="ITC Avant Garde" w:hAnsi="ITC Avant Garde"/>
          <w:sz w:val="12"/>
        </w:rPr>
      </w:pPr>
      <w:r w:rsidRPr="00D42447">
        <w:rPr>
          <w:rFonts w:ascii="ITC Avant Garde" w:hAnsi="ITC Avant Garde"/>
          <w:sz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P/IFT/061217/834.</w:t>
      </w:r>
    </w:p>
    <w:p w14:paraId="49DA1ADB" w14:textId="2C4322C5" w:rsidR="00594733" w:rsidRPr="00D42447" w:rsidRDefault="00D70CFE" w:rsidP="00D42447">
      <w:pPr>
        <w:pStyle w:val="Prrafodelista"/>
        <w:ind w:left="0"/>
        <w:rPr>
          <w:rFonts w:ascii="ITC Avant Garde" w:hAnsi="ITC Avant Garde"/>
          <w:sz w:val="12"/>
        </w:rPr>
      </w:pPr>
      <w:r w:rsidRPr="00D42447">
        <w:rPr>
          <w:rFonts w:ascii="ITC Avant Garde" w:hAnsi="ITC Avant Garde"/>
          <w:sz w:val="12"/>
        </w:rPr>
        <w:t>La Comisionada María Elena Estavillo Flores, así como los Comisionados Adolfo Cuevas Teja y Arturo Robles Rovalo,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594733" w:rsidRPr="00D42447" w:rsidSect="00044973">
      <w:headerReference w:type="even" r:id="rId12"/>
      <w:footerReference w:type="default" r:id="rId13"/>
      <w:headerReference w:type="first" r:id="rId14"/>
      <w:pgSz w:w="12240" w:h="15840"/>
      <w:pgMar w:top="2552"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D5477" w14:textId="77777777" w:rsidR="00817731" w:rsidRDefault="00817731" w:rsidP="00072BC8">
      <w:pPr>
        <w:spacing w:after="0" w:line="240" w:lineRule="auto"/>
      </w:pPr>
      <w:r>
        <w:separator/>
      </w:r>
    </w:p>
  </w:endnote>
  <w:endnote w:type="continuationSeparator" w:id="0">
    <w:p w14:paraId="4C46DEB9" w14:textId="77777777" w:rsidR="00817731" w:rsidRDefault="00817731" w:rsidP="00072BC8">
      <w:pPr>
        <w:spacing w:after="0" w:line="240" w:lineRule="auto"/>
      </w:pPr>
      <w:r>
        <w:continuationSeparator/>
      </w:r>
    </w:p>
  </w:endnote>
  <w:endnote w:type="continuationNotice" w:id="1">
    <w:p w14:paraId="565C10B4" w14:textId="77777777" w:rsidR="00817731" w:rsidRDefault="00817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08475"/>
      <w:docPartObj>
        <w:docPartGallery w:val="Page Numbers (Bottom of Page)"/>
        <w:docPartUnique/>
      </w:docPartObj>
    </w:sdtPr>
    <w:sdtEndPr>
      <w:rPr>
        <w:sz w:val="20"/>
        <w:szCs w:val="20"/>
      </w:rPr>
    </w:sdtEndPr>
    <w:sdtContent>
      <w:sdt>
        <w:sdtPr>
          <w:id w:val="-2038187885"/>
          <w:docPartObj>
            <w:docPartGallery w:val="Page Numbers (Top of Page)"/>
            <w:docPartUnique/>
          </w:docPartObj>
        </w:sdtPr>
        <w:sdtEndPr>
          <w:rPr>
            <w:sz w:val="20"/>
            <w:szCs w:val="20"/>
          </w:rPr>
        </w:sdtEndPr>
        <w:sdtContent>
          <w:p w14:paraId="63DD3B04" w14:textId="222C1DE2" w:rsidR="003301A4" w:rsidRPr="003301A4" w:rsidRDefault="003301A4" w:rsidP="003301A4">
            <w:pPr>
              <w:pStyle w:val="Piedepgina"/>
              <w:jc w:val="right"/>
              <w:rPr>
                <w:sz w:val="20"/>
                <w:szCs w:val="20"/>
              </w:rPr>
            </w:pPr>
            <w:r w:rsidRPr="003301A4">
              <w:rPr>
                <w:rFonts w:ascii="ITC Avant Garde" w:hAnsi="ITC Avant Garde"/>
                <w:bCs/>
                <w:sz w:val="20"/>
                <w:szCs w:val="20"/>
              </w:rPr>
              <w:fldChar w:fldCharType="begin"/>
            </w:r>
            <w:r w:rsidRPr="003301A4">
              <w:rPr>
                <w:rFonts w:ascii="ITC Avant Garde" w:hAnsi="ITC Avant Garde"/>
                <w:bCs/>
                <w:sz w:val="20"/>
                <w:szCs w:val="20"/>
              </w:rPr>
              <w:instrText>PAGE</w:instrText>
            </w:r>
            <w:r w:rsidRPr="003301A4">
              <w:rPr>
                <w:rFonts w:ascii="ITC Avant Garde" w:hAnsi="ITC Avant Garde"/>
                <w:bCs/>
                <w:sz w:val="20"/>
                <w:szCs w:val="20"/>
              </w:rPr>
              <w:fldChar w:fldCharType="separate"/>
            </w:r>
            <w:r w:rsidR="00D42447">
              <w:rPr>
                <w:rFonts w:ascii="ITC Avant Garde" w:hAnsi="ITC Avant Garde"/>
                <w:bCs/>
                <w:noProof/>
                <w:sz w:val="20"/>
                <w:szCs w:val="20"/>
              </w:rPr>
              <w:t>26</w:t>
            </w:r>
            <w:r w:rsidRPr="003301A4">
              <w:rPr>
                <w:rFonts w:ascii="ITC Avant Garde" w:hAnsi="ITC Avant Garde"/>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6D493" w14:textId="77777777" w:rsidR="00817731" w:rsidRDefault="00817731" w:rsidP="00072BC8">
      <w:pPr>
        <w:spacing w:after="0" w:line="240" w:lineRule="auto"/>
      </w:pPr>
      <w:r>
        <w:separator/>
      </w:r>
    </w:p>
  </w:footnote>
  <w:footnote w:type="continuationSeparator" w:id="0">
    <w:p w14:paraId="55D50BE7" w14:textId="77777777" w:rsidR="00817731" w:rsidRDefault="00817731" w:rsidP="00072BC8">
      <w:pPr>
        <w:spacing w:after="0" w:line="240" w:lineRule="auto"/>
      </w:pPr>
      <w:r>
        <w:continuationSeparator/>
      </w:r>
    </w:p>
  </w:footnote>
  <w:footnote w:type="continuationNotice" w:id="1">
    <w:p w14:paraId="68F847D6" w14:textId="77777777" w:rsidR="00817731" w:rsidRDefault="00817731">
      <w:pPr>
        <w:spacing w:after="0" w:line="240" w:lineRule="auto"/>
      </w:pPr>
    </w:p>
  </w:footnote>
  <w:footnote w:id="2">
    <w:p w14:paraId="19E9ABD5" w14:textId="77777777" w:rsidR="00106FE3" w:rsidRPr="00DB2CF8" w:rsidRDefault="00106FE3" w:rsidP="00106FE3">
      <w:pPr>
        <w:pStyle w:val="Textonotapie"/>
        <w:rPr>
          <w:rFonts w:ascii="ITC Avant Garde" w:hAnsi="ITC Avant Garde"/>
          <w:sz w:val="18"/>
          <w:szCs w:val="18"/>
          <w:lang w:val="es-MX"/>
        </w:rPr>
      </w:pPr>
      <w:r w:rsidRPr="00004EC7">
        <w:rPr>
          <w:rStyle w:val="Refdenotaalpie"/>
          <w:rFonts w:ascii="ITC Avant Garde" w:hAnsi="ITC Avant Garde"/>
          <w:sz w:val="18"/>
          <w:szCs w:val="18"/>
        </w:rPr>
        <w:footnoteRef/>
      </w:r>
      <w:r w:rsidRPr="00DB2CF8">
        <w:rPr>
          <w:rFonts w:ascii="ITC Avant Garde" w:hAnsi="ITC Avant Garde"/>
          <w:sz w:val="18"/>
          <w:szCs w:val="18"/>
          <w:lang w:val="es-MX"/>
        </w:rPr>
        <w:t xml:space="preserve"> Acuerdo P/IFT/EXT/161214/277.</w:t>
      </w:r>
    </w:p>
  </w:footnote>
  <w:footnote w:id="3">
    <w:p w14:paraId="3471B790" w14:textId="77777777" w:rsidR="00106FE3" w:rsidRPr="00A05ECB" w:rsidRDefault="00106FE3" w:rsidP="00106FE3">
      <w:pPr>
        <w:pStyle w:val="Textonotapie"/>
        <w:jc w:val="both"/>
        <w:rPr>
          <w:rFonts w:ascii="ITC Avant Garde" w:hAnsi="ITC Avant Garde"/>
          <w:sz w:val="16"/>
          <w:szCs w:val="16"/>
          <w:lang w:val="es-MX"/>
        </w:rPr>
      </w:pPr>
      <w:r w:rsidRPr="00A05ECB">
        <w:rPr>
          <w:rStyle w:val="Refdenotaalpie"/>
          <w:rFonts w:ascii="ITC Avant Garde" w:hAnsi="ITC Avant Garde"/>
          <w:sz w:val="16"/>
          <w:szCs w:val="16"/>
        </w:rPr>
        <w:footnoteRef/>
      </w:r>
      <w:r w:rsidRPr="00A05ECB">
        <w:rPr>
          <w:rFonts w:ascii="ITC Avant Garde" w:hAnsi="ITC Avant Garde"/>
          <w:sz w:val="16"/>
          <w:szCs w:val="16"/>
        </w:rPr>
        <w:t xml:space="preserve"> Cofeco (Comisión Federal de Competencia), 2009. Recomendaciones sobre el marco regulatorio de la interconexión en telecomunicaciones a fin de promover</w:t>
      </w:r>
      <w:r>
        <w:rPr>
          <w:rFonts w:ascii="ITC Avant Garde" w:hAnsi="ITC Avant Garde"/>
          <w:sz w:val="16"/>
          <w:szCs w:val="16"/>
        </w:rPr>
        <w:t xml:space="preserve"> mayor competencia en el sector. </w:t>
      </w:r>
      <w:r w:rsidRPr="008F2D9C">
        <w:rPr>
          <w:rFonts w:ascii="ITC Avant Garde" w:hAnsi="ITC Avant Garde"/>
          <w:sz w:val="16"/>
          <w:szCs w:val="16"/>
        </w:rPr>
        <w:t>https://www.oecd.org/d</w:t>
      </w:r>
      <w:r>
        <w:rPr>
          <w:rFonts w:ascii="ITC Avant Garde" w:hAnsi="ITC Avant Garde"/>
          <w:sz w:val="16"/>
          <w:szCs w:val="16"/>
        </w:rPr>
        <w:t>af/competition/45049465.pdf</w:t>
      </w:r>
    </w:p>
  </w:footnote>
  <w:footnote w:id="4">
    <w:p w14:paraId="099BD719" w14:textId="77777777" w:rsidR="009D5653" w:rsidRPr="00F041F5" w:rsidRDefault="009D5653">
      <w:pPr>
        <w:pStyle w:val="Textonotapie"/>
        <w:rPr>
          <w:lang w:val="en-US"/>
        </w:rPr>
      </w:pPr>
      <w:r>
        <w:rPr>
          <w:rStyle w:val="Refdenotaalpie"/>
        </w:rPr>
        <w:footnoteRef/>
      </w:r>
      <w:r>
        <w:t xml:space="preserve"> </w:t>
      </w:r>
      <w:r w:rsidRPr="00100E96">
        <w:rPr>
          <w:rFonts w:ascii="Segoe UI" w:hAnsi="Segoe UI" w:cs="Segoe UI"/>
          <w:color w:val="1A1A1A"/>
          <w:sz w:val="18"/>
          <w:szCs w:val="18"/>
        </w:rPr>
        <w:t xml:space="preserve">Castañeda, A, (2010), Evolución de las telecomunicaciones a partir de la privatización de Telmex. </w:t>
      </w:r>
      <w:r w:rsidRPr="008F6311">
        <w:rPr>
          <w:rFonts w:ascii="Segoe UI" w:hAnsi="Segoe UI" w:cs="Segoe UI"/>
          <w:color w:val="1A1A1A"/>
          <w:sz w:val="18"/>
          <w:szCs w:val="18"/>
          <w:lang w:val="en-US"/>
        </w:rPr>
        <w:t>En Microeconomía. El Colegio de México, p. 77-122.</w:t>
      </w:r>
    </w:p>
  </w:footnote>
  <w:footnote w:id="5">
    <w:p w14:paraId="3A978E02" w14:textId="77777777" w:rsidR="009D5653" w:rsidRPr="009D5653" w:rsidRDefault="009D5653">
      <w:pPr>
        <w:pStyle w:val="Textonotapie"/>
        <w:rPr>
          <w:lang w:val="es-MX"/>
        </w:rPr>
      </w:pPr>
      <w:r>
        <w:rPr>
          <w:rStyle w:val="Refdenotaalpie"/>
        </w:rPr>
        <w:footnoteRef/>
      </w:r>
      <w:r w:rsidRPr="009D5653">
        <w:rPr>
          <w:lang w:val="en-US"/>
        </w:rPr>
        <w:t xml:space="preserve"> </w:t>
      </w:r>
      <w:r w:rsidRPr="008F6311">
        <w:rPr>
          <w:rFonts w:ascii="Segoe UI" w:hAnsi="Segoe UI" w:cs="Segoe UI"/>
          <w:color w:val="1A1A1A"/>
          <w:sz w:val="18"/>
          <w:szCs w:val="18"/>
          <w:lang w:val="en-US"/>
        </w:rPr>
        <w:t xml:space="preserve">Growitsch, C., Marcus, J.S., y Wernick, C., (2010) The Effects of Lower Mobile Termination Rates (MTRs) on Retail Price and Demand. </w:t>
      </w:r>
      <w:r w:rsidRPr="00100E96">
        <w:rPr>
          <w:rFonts w:ascii="Segoe UI" w:hAnsi="Segoe UI" w:cs="Segoe UI"/>
          <w:color w:val="1A1A1A"/>
          <w:sz w:val="18"/>
          <w:szCs w:val="18"/>
        </w:rPr>
        <w:t>Communications &amp; Strategies, 80, 4th Q.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E161F" w14:textId="77777777" w:rsidR="003301A4" w:rsidRDefault="00817731">
    <w:pPr>
      <w:pStyle w:val="Encabezado"/>
    </w:pPr>
    <w:r>
      <w:rPr>
        <w:noProof/>
        <w:lang w:eastAsia="es-MX"/>
      </w:rPr>
      <w:pict w14:anchorId="22853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7D2EF" w14:textId="77777777" w:rsidR="003301A4" w:rsidRDefault="00817731">
    <w:pPr>
      <w:pStyle w:val="Encabezado"/>
    </w:pPr>
    <w:r>
      <w:rPr>
        <w:noProof/>
        <w:lang w:eastAsia="es-MX"/>
      </w:rPr>
      <w:pict w14:anchorId="6CE7F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C4178A"/>
    <w:multiLevelType w:val="hybridMultilevel"/>
    <w:tmpl w:val="50706544"/>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FF6EAA"/>
    <w:multiLevelType w:val="hybridMultilevel"/>
    <w:tmpl w:val="DC30BE06"/>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9162BC"/>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375A4"/>
    <w:multiLevelType w:val="hybridMultilevel"/>
    <w:tmpl w:val="9E8A9DF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0FBE270B"/>
    <w:multiLevelType w:val="hybridMultilevel"/>
    <w:tmpl w:val="1816860A"/>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606300"/>
    <w:multiLevelType w:val="hybridMultilevel"/>
    <w:tmpl w:val="16F87F04"/>
    <w:lvl w:ilvl="0" w:tplc="EB06F12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B57810"/>
    <w:multiLevelType w:val="hybridMultilevel"/>
    <w:tmpl w:val="60308AE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1DA87ABD"/>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85EAC"/>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220AB9"/>
    <w:multiLevelType w:val="hybridMultilevel"/>
    <w:tmpl w:val="F4A642C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6" w15:restartNumberingAfterBreak="0">
    <w:nsid w:val="31B234BC"/>
    <w:multiLevelType w:val="hybridMultilevel"/>
    <w:tmpl w:val="81A404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E7261C"/>
    <w:multiLevelType w:val="hybridMultilevel"/>
    <w:tmpl w:val="8F22A74E"/>
    <w:lvl w:ilvl="0" w:tplc="EB06F12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9E962D6"/>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37076"/>
    <w:multiLevelType w:val="hybridMultilevel"/>
    <w:tmpl w:val="DCFA036C"/>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A1116D"/>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1293B"/>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5C7DCF"/>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7522131"/>
    <w:multiLevelType w:val="hybridMultilevel"/>
    <w:tmpl w:val="072EB42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B336DE5"/>
    <w:multiLevelType w:val="hybridMultilevel"/>
    <w:tmpl w:val="62D06108"/>
    <w:lvl w:ilvl="0" w:tplc="BC3AB282">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D90A0F"/>
    <w:multiLevelType w:val="hybridMultilevel"/>
    <w:tmpl w:val="A5682F28"/>
    <w:lvl w:ilvl="0" w:tplc="EB06F12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EC5D30"/>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9B667A"/>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F923CC"/>
    <w:multiLevelType w:val="hybridMultilevel"/>
    <w:tmpl w:val="0F1CFA96"/>
    <w:lvl w:ilvl="0" w:tplc="080A0017">
      <w:start w:val="1"/>
      <w:numFmt w:val="lowerLetter"/>
      <w:lvlText w:val="%1)"/>
      <w:lvlJc w:val="left"/>
      <w:pPr>
        <w:ind w:left="1278" w:hanging="360"/>
      </w:pPr>
    </w:lvl>
    <w:lvl w:ilvl="1" w:tplc="080A0019" w:tentative="1">
      <w:start w:val="1"/>
      <w:numFmt w:val="lowerLetter"/>
      <w:lvlText w:val="%2."/>
      <w:lvlJc w:val="left"/>
      <w:pPr>
        <w:ind w:left="1998" w:hanging="360"/>
      </w:pPr>
    </w:lvl>
    <w:lvl w:ilvl="2" w:tplc="080A001B" w:tentative="1">
      <w:start w:val="1"/>
      <w:numFmt w:val="lowerRoman"/>
      <w:lvlText w:val="%3."/>
      <w:lvlJc w:val="right"/>
      <w:pPr>
        <w:ind w:left="2718" w:hanging="180"/>
      </w:pPr>
    </w:lvl>
    <w:lvl w:ilvl="3" w:tplc="080A000F" w:tentative="1">
      <w:start w:val="1"/>
      <w:numFmt w:val="decimal"/>
      <w:lvlText w:val="%4."/>
      <w:lvlJc w:val="left"/>
      <w:pPr>
        <w:ind w:left="3438" w:hanging="360"/>
      </w:pPr>
    </w:lvl>
    <w:lvl w:ilvl="4" w:tplc="080A0019" w:tentative="1">
      <w:start w:val="1"/>
      <w:numFmt w:val="lowerLetter"/>
      <w:lvlText w:val="%5."/>
      <w:lvlJc w:val="left"/>
      <w:pPr>
        <w:ind w:left="4158" w:hanging="360"/>
      </w:pPr>
    </w:lvl>
    <w:lvl w:ilvl="5" w:tplc="080A001B" w:tentative="1">
      <w:start w:val="1"/>
      <w:numFmt w:val="lowerRoman"/>
      <w:lvlText w:val="%6."/>
      <w:lvlJc w:val="right"/>
      <w:pPr>
        <w:ind w:left="4878" w:hanging="180"/>
      </w:pPr>
    </w:lvl>
    <w:lvl w:ilvl="6" w:tplc="080A000F" w:tentative="1">
      <w:start w:val="1"/>
      <w:numFmt w:val="decimal"/>
      <w:lvlText w:val="%7."/>
      <w:lvlJc w:val="left"/>
      <w:pPr>
        <w:ind w:left="5598" w:hanging="360"/>
      </w:pPr>
    </w:lvl>
    <w:lvl w:ilvl="7" w:tplc="080A0019" w:tentative="1">
      <w:start w:val="1"/>
      <w:numFmt w:val="lowerLetter"/>
      <w:lvlText w:val="%8."/>
      <w:lvlJc w:val="left"/>
      <w:pPr>
        <w:ind w:left="6318" w:hanging="360"/>
      </w:pPr>
    </w:lvl>
    <w:lvl w:ilvl="8" w:tplc="080A001B" w:tentative="1">
      <w:start w:val="1"/>
      <w:numFmt w:val="lowerRoman"/>
      <w:lvlText w:val="%9."/>
      <w:lvlJc w:val="right"/>
      <w:pPr>
        <w:ind w:left="7038" w:hanging="180"/>
      </w:pPr>
    </w:lvl>
  </w:abstractNum>
  <w:abstractNum w:abstractNumId="35" w15:restartNumberingAfterBreak="0">
    <w:nsid w:val="7A7A71F1"/>
    <w:multiLevelType w:val="hybridMultilevel"/>
    <w:tmpl w:val="1816860A"/>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D609D0"/>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29"/>
  </w:num>
  <w:num w:numId="4">
    <w:abstractNumId w:val="0"/>
  </w:num>
  <w:num w:numId="5">
    <w:abstractNumId w:val="1"/>
  </w:num>
  <w:num w:numId="6">
    <w:abstractNumId w:val="23"/>
  </w:num>
  <w:num w:numId="7">
    <w:abstractNumId w:val="18"/>
  </w:num>
  <w:num w:numId="8">
    <w:abstractNumId w:val="26"/>
  </w:num>
  <w:num w:numId="9">
    <w:abstractNumId w:val="11"/>
  </w:num>
  <w:num w:numId="10">
    <w:abstractNumId w:val="21"/>
  </w:num>
  <w:num w:numId="11">
    <w:abstractNumId w:val="10"/>
  </w:num>
  <w:num w:numId="12">
    <w:abstractNumId w:val="30"/>
  </w:num>
  <w:num w:numId="13">
    <w:abstractNumId w:val="3"/>
  </w:num>
  <w:num w:numId="14">
    <w:abstractNumId w:val="22"/>
  </w:num>
  <w:num w:numId="15">
    <w:abstractNumId w:val="8"/>
  </w:num>
  <w:num w:numId="16">
    <w:abstractNumId w:val="36"/>
  </w:num>
  <w:num w:numId="17">
    <w:abstractNumId w:val="16"/>
  </w:num>
  <w:num w:numId="18">
    <w:abstractNumId w:val="24"/>
  </w:num>
  <w:num w:numId="19">
    <w:abstractNumId w:val="9"/>
  </w:num>
  <w:num w:numId="20">
    <w:abstractNumId w:val="5"/>
  </w:num>
  <w:num w:numId="21">
    <w:abstractNumId w:val="14"/>
  </w:num>
  <w:num w:numId="22">
    <w:abstractNumId w:val="17"/>
  </w:num>
  <w:num w:numId="23">
    <w:abstractNumId w:val="2"/>
  </w:num>
  <w:num w:numId="24">
    <w:abstractNumId w:val="31"/>
  </w:num>
  <w:num w:numId="25">
    <w:abstractNumId w:val="7"/>
  </w:num>
  <w:num w:numId="26">
    <w:abstractNumId w:val="35"/>
  </w:num>
  <w:num w:numId="27">
    <w:abstractNumId w:val="13"/>
  </w:num>
  <w:num w:numId="28">
    <w:abstractNumId w:val="20"/>
  </w:num>
  <w:num w:numId="29">
    <w:abstractNumId w:val="6"/>
  </w:num>
  <w:num w:numId="30">
    <w:abstractNumId w:val="28"/>
  </w:num>
  <w:num w:numId="31">
    <w:abstractNumId w:val="33"/>
  </w:num>
  <w:num w:numId="32">
    <w:abstractNumId w:val="12"/>
  </w:num>
  <w:num w:numId="33">
    <w:abstractNumId w:val="25"/>
  </w:num>
  <w:num w:numId="34">
    <w:abstractNumId w:val="34"/>
  </w:num>
  <w:num w:numId="35">
    <w:abstractNumId w:val="32"/>
  </w:num>
  <w:num w:numId="36">
    <w:abstractNumId w:val="19"/>
  </w:num>
  <w:num w:numId="37">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60E"/>
    <w:rsid w:val="00001E39"/>
    <w:rsid w:val="00002B18"/>
    <w:rsid w:val="000036B5"/>
    <w:rsid w:val="00003F57"/>
    <w:rsid w:val="00004E45"/>
    <w:rsid w:val="00006174"/>
    <w:rsid w:val="00010307"/>
    <w:rsid w:val="00011447"/>
    <w:rsid w:val="00011B01"/>
    <w:rsid w:val="00012F68"/>
    <w:rsid w:val="00014431"/>
    <w:rsid w:val="00014C3A"/>
    <w:rsid w:val="000154B0"/>
    <w:rsid w:val="0001587A"/>
    <w:rsid w:val="0001679C"/>
    <w:rsid w:val="0001708E"/>
    <w:rsid w:val="00017CE3"/>
    <w:rsid w:val="00020418"/>
    <w:rsid w:val="00020EE2"/>
    <w:rsid w:val="00021C46"/>
    <w:rsid w:val="00023A34"/>
    <w:rsid w:val="00023C2C"/>
    <w:rsid w:val="000243E6"/>
    <w:rsid w:val="0003021F"/>
    <w:rsid w:val="000305E8"/>
    <w:rsid w:val="00030A83"/>
    <w:rsid w:val="000320FB"/>
    <w:rsid w:val="0003477F"/>
    <w:rsid w:val="000358CA"/>
    <w:rsid w:val="00035D03"/>
    <w:rsid w:val="00036C3E"/>
    <w:rsid w:val="000377A5"/>
    <w:rsid w:val="000377C2"/>
    <w:rsid w:val="00040278"/>
    <w:rsid w:val="00042E7E"/>
    <w:rsid w:val="00043C1D"/>
    <w:rsid w:val="00043CBE"/>
    <w:rsid w:val="00043F81"/>
    <w:rsid w:val="00044973"/>
    <w:rsid w:val="00044DFE"/>
    <w:rsid w:val="00045157"/>
    <w:rsid w:val="00047553"/>
    <w:rsid w:val="0005104A"/>
    <w:rsid w:val="00051ABC"/>
    <w:rsid w:val="00052B88"/>
    <w:rsid w:val="00052DF6"/>
    <w:rsid w:val="00053DD2"/>
    <w:rsid w:val="00054F6F"/>
    <w:rsid w:val="00055155"/>
    <w:rsid w:val="00055AB7"/>
    <w:rsid w:val="00055DF9"/>
    <w:rsid w:val="00055E75"/>
    <w:rsid w:val="00057E91"/>
    <w:rsid w:val="00057FCC"/>
    <w:rsid w:val="00060D36"/>
    <w:rsid w:val="00060DDC"/>
    <w:rsid w:val="00062C85"/>
    <w:rsid w:val="000637E5"/>
    <w:rsid w:val="000644FE"/>
    <w:rsid w:val="00065B07"/>
    <w:rsid w:val="00066708"/>
    <w:rsid w:val="00067018"/>
    <w:rsid w:val="00067FB8"/>
    <w:rsid w:val="000704AB"/>
    <w:rsid w:val="00071002"/>
    <w:rsid w:val="0007186E"/>
    <w:rsid w:val="000718F8"/>
    <w:rsid w:val="000720EE"/>
    <w:rsid w:val="0007254D"/>
    <w:rsid w:val="00072BC8"/>
    <w:rsid w:val="00073C19"/>
    <w:rsid w:val="00073DDC"/>
    <w:rsid w:val="00074558"/>
    <w:rsid w:val="00075F31"/>
    <w:rsid w:val="0007607F"/>
    <w:rsid w:val="0007621B"/>
    <w:rsid w:val="000772A2"/>
    <w:rsid w:val="00077BEB"/>
    <w:rsid w:val="00081503"/>
    <w:rsid w:val="00081B80"/>
    <w:rsid w:val="00081CFB"/>
    <w:rsid w:val="0008222B"/>
    <w:rsid w:val="00083ECA"/>
    <w:rsid w:val="00083F8D"/>
    <w:rsid w:val="00085013"/>
    <w:rsid w:val="0008507B"/>
    <w:rsid w:val="00086323"/>
    <w:rsid w:val="00086F94"/>
    <w:rsid w:val="000901D2"/>
    <w:rsid w:val="000908C6"/>
    <w:rsid w:val="00090BCF"/>
    <w:rsid w:val="00091171"/>
    <w:rsid w:val="000920BD"/>
    <w:rsid w:val="00094727"/>
    <w:rsid w:val="00096D65"/>
    <w:rsid w:val="00096FD8"/>
    <w:rsid w:val="00096FE1"/>
    <w:rsid w:val="00097367"/>
    <w:rsid w:val="00097822"/>
    <w:rsid w:val="0009782B"/>
    <w:rsid w:val="000978F0"/>
    <w:rsid w:val="00097A39"/>
    <w:rsid w:val="000A05E5"/>
    <w:rsid w:val="000A1F1F"/>
    <w:rsid w:val="000A2091"/>
    <w:rsid w:val="000A281B"/>
    <w:rsid w:val="000A2AF8"/>
    <w:rsid w:val="000A49A1"/>
    <w:rsid w:val="000A4B47"/>
    <w:rsid w:val="000A5E4A"/>
    <w:rsid w:val="000A6C2A"/>
    <w:rsid w:val="000A7A5D"/>
    <w:rsid w:val="000A7D16"/>
    <w:rsid w:val="000A7D62"/>
    <w:rsid w:val="000B07A3"/>
    <w:rsid w:val="000B0DC1"/>
    <w:rsid w:val="000B11CF"/>
    <w:rsid w:val="000B2707"/>
    <w:rsid w:val="000B334C"/>
    <w:rsid w:val="000B3735"/>
    <w:rsid w:val="000B3B72"/>
    <w:rsid w:val="000B48AE"/>
    <w:rsid w:val="000B4BEE"/>
    <w:rsid w:val="000B67CA"/>
    <w:rsid w:val="000C003B"/>
    <w:rsid w:val="000C05C9"/>
    <w:rsid w:val="000C10AD"/>
    <w:rsid w:val="000C15EB"/>
    <w:rsid w:val="000C1F38"/>
    <w:rsid w:val="000C2776"/>
    <w:rsid w:val="000C27E7"/>
    <w:rsid w:val="000C2CEA"/>
    <w:rsid w:val="000C2CF4"/>
    <w:rsid w:val="000C4877"/>
    <w:rsid w:val="000C497B"/>
    <w:rsid w:val="000C597C"/>
    <w:rsid w:val="000C6C17"/>
    <w:rsid w:val="000C6FC6"/>
    <w:rsid w:val="000D04CA"/>
    <w:rsid w:val="000D0A29"/>
    <w:rsid w:val="000D1A16"/>
    <w:rsid w:val="000D4A3A"/>
    <w:rsid w:val="000D5296"/>
    <w:rsid w:val="000D6070"/>
    <w:rsid w:val="000E024F"/>
    <w:rsid w:val="000E14AD"/>
    <w:rsid w:val="000E2631"/>
    <w:rsid w:val="000E305E"/>
    <w:rsid w:val="000E30AC"/>
    <w:rsid w:val="000E37B8"/>
    <w:rsid w:val="000E446D"/>
    <w:rsid w:val="000E6467"/>
    <w:rsid w:val="000E64BE"/>
    <w:rsid w:val="000E6E79"/>
    <w:rsid w:val="000E6F53"/>
    <w:rsid w:val="000F0357"/>
    <w:rsid w:val="000F08B6"/>
    <w:rsid w:val="000F1089"/>
    <w:rsid w:val="000F17D5"/>
    <w:rsid w:val="000F1AB0"/>
    <w:rsid w:val="000F1D13"/>
    <w:rsid w:val="000F2CB8"/>
    <w:rsid w:val="000F3AAC"/>
    <w:rsid w:val="000F4101"/>
    <w:rsid w:val="000F5455"/>
    <w:rsid w:val="000F5BEC"/>
    <w:rsid w:val="000F6313"/>
    <w:rsid w:val="00101434"/>
    <w:rsid w:val="0010200D"/>
    <w:rsid w:val="0010213D"/>
    <w:rsid w:val="00102C7D"/>
    <w:rsid w:val="001034A3"/>
    <w:rsid w:val="00103611"/>
    <w:rsid w:val="00103797"/>
    <w:rsid w:val="00104B65"/>
    <w:rsid w:val="00104C74"/>
    <w:rsid w:val="00105512"/>
    <w:rsid w:val="00106523"/>
    <w:rsid w:val="00106FE3"/>
    <w:rsid w:val="001100CF"/>
    <w:rsid w:val="0011030F"/>
    <w:rsid w:val="00112B47"/>
    <w:rsid w:val="00112FB3"/>
    <w:rsid w:val="00113733"/>
    <w:rsid w:val="00113901"/>
    <w:rsid w:val="00114330"/>
    <w:rsid w:val="001149DC"/>
    <w:rsid w:val="00114E25"/>
    <w:rsid w:val="00115D17"/>
    <w:rsid w:val="00116F0A"/>
    <w:rsid w:val="001175D7"/>
    <w:rsid w:val="00121382"/>
    <w:rsid w:val="001215BC"/>
    <w:rsid w:val="00121F64"/>
    <w:rsid w:val="00122B9B"/>
    <w:rsid w:val="0012304B"/>
    <w:rsid w:val="00123BFD"/>
    <w:rsid w:val="00123F3F"/>
    <w:rsid w:val="00125F77"/>
    <w:rsid w:val="001272DB"/>
    <w:rsid w:val="001278FC"/>
    <w:rsid w:val="00131086"/>
    <w:rsid w:val="001326B9"/>
    <w:rsid w:val="00132D70"/>
    <w:rsid w:val="00132F41"/>
    <w:rsid w:val="001342C9"/>
    <w:rsid w:val="0013473E"/>
    <w:rsid w:val="001348DF"/>
    <w:rsid w:val="00134D43"/>
    <w:rsid w:val="00136356"/>
    <w:rsid w:val="0013777E"/>
    <w:rsid w:val="00140622"/>
    <w:rsid w:val="00140BBB"/>
    <w:rsid w:val="00140E59"/>
    <w:rsid w:val="0014228B"/>
    <w:rsid w:val="0014251D"/>
    <w:rsid w:val="00143880"/>
    <w:rsid w:val="00143A46"/>
    <w:rsid w:val="00145E01"/>
    <w:rsid w:val="00146802"/>
    <w:rsid w:val="00146A46"/>
    <w:rsid w:val="0014708A"/>
    <w:rsid w:val="00147682"/>
    <w:rsid w:val="00151371"/>
    <w:rsid w:val="001514AC"/>
    <w:rsid w:val="00153C43"/>
    <w:rsid w:val="00157BBE"/>
    <w:rsid w:val="00160A87"/>
    <w:rsid w:val="00161913"/>
    <w:rsid w:val="00163326"/>
    <w:rsid w:val="00163541"/>
    <w:rsid w:val="0016415D"/>
    <w:rsid w:val="00164DB0"/>
    <w:rsid w:val="001653FB"/>
    <w:rsid w:val="001661C8"/>
    <w:rsid w:val="0016674C"/>
    <w:rsid w:val="001702D2"/>
    <w:rsid w:val="00170806"/>
    <w:rsid w:val="0017264A"/>
    <w:rsid w:val="00173135"/>
    <w:rsid w:val="001739EF"/>
    <w:rsid w:val="00175065"/>
    <w:rsid w:val="001755D7"/>
    <w:rsid w:val="001755FC"/>
    <w:rsid w:val="00175EFA"/>
    <w:rsid w:val="00176F5F"/>
    <w:rsid w:val="001770C5"/>
    <w:rsid w:val="00180514"/>
    <w:rsid w:val="0018067E"/>
    <w:rsid w:val="00180940"/>
    <w:rsid w:val="001809D1"/>
    <w:rsid w:val="001810AD"/>
    <w:rsid w:val="001813C5"/>
    <w:rsid w:val="00181E20"/>
    <w:rsid w:val="0018346F"/>
    <w:rsid w:val="001840B6"/>
    <w:rsid w:val="00184C16"/>
    <w:rsid w:val="00186CD7"/>
    <w:rsid w:val="00187FB2"/>
    <w:rsid w:val="00190061"/>
    <w:rsid w:val="0019182F"/>
    <w:rsid w:val="001924C5"/>
    <w:rsid w:val="00192BF4"/>
    <w:rsid w:val="00193667"/>
    <w:rsid w:val="00194165"/>
    <w:rsid w:val="0019438F"/>
    <w:rsid w:val="0019449A"/>
    <w:rsid w:val="00195DC5"/>
    <w:rsid w:val="00196008"/>
    <w:rsid w:val="001960F0"/>
    <w:rsid w:val="0019726F"/>
    <w:rsid w:val="001A09C0"/>
    <w:rsid w:val="001A218E"/>
    <w:rsid w:val="001A3A80"/>
    <w:rsid w:val="001A48DD"/>
    <w:rsid w:val="001A4C2D"/>
    <w:rsid w:val="001A4C87"/>
    <w:rsid w:val="001A6D62"/>
    <w:rsid w:val="001A7B3A"/>
    <w:rsid w:val="001A7C8C"/>
    <w:rsid w:val="001A7F98"/>
    <w:rsid w:val="001B1B85"/>
    <w:rsid w:val="001B1F43"/>
    <w:rsid w:val="001B23F4"/>
    <w:rsid w:val="001B3081"/>
    <w:rsid w:val="001B33C4"/>
    <w:rsid w:val="001B33D4"/>
    <w:rsid w:val="001B3727"/>
    <w:rsid w:val="001B48C1"/>
    <w:rsid w:val="001B5006"/>
    <w:rsid w:val="001B58A1"/>
    <w:rsid w:val="001B6768"/>
    <w:rsid w:val="001B7827"/>
    <w:rsid w:val="001C5803"/>
    <w:rsid w:val="001C5959"/>
    <w:rsid w:val="001C5A3B"/>
    <w:rsid w:val="001C7306"/>
    <w:rsid w:val="001D0167"/>
    <w:rsid w:val="001D0D90"/>
    <w:rsid w:val="001D169C"/>
    <w:rsid w:val="001D2FA2"/>
    <w:rsid w:val="001D31C5"/>
    <w:rsid w:val="001D38C3"/>
    <w:rsid w:val="001D5636"/>
    <w:rsid w:val="001D5838"/>
    <w:rsid w:val="001E0251"/>
    <w:rsid w:val="001E105C"/>
    <w:rsid w:val="001E1323"/>
    <w:rsid w:val="001E2448"/>
    <w:rsid w:val="001E3E45"/>
    <w:rsid w:val="001E4E06"/>
    <w:rsid w:val="001E5234"/>
    <w:rsid w:val="001F07DC"/>
    <w:rsid w:val="001F113D"/>
    <w:rsid w:val="001F1177"/>
    <w:rsid w:val="001F2F07"/>
    <w:rsid w:val="001F3A0D"/>
    <w:rsid w:val="001F3BC9"/>
    <w:rsid w:val="001F469E"/>
    <w:rsid w:val="001F4F7F"/>
    <w:rsid w:val="001F5C1D"/>
    <w:rsid w:val="001F71FB"/>
    <w:rsid w:val="00200654"/>
    <w:rsid w:val="002007A5"/>
    <w:rsid w:val="00200990"/>
    <w:rsid w:val="002012FB"/>
    <w:rsid w:val="002013BB"/>
    <w:rsid w:val="00201488"/>
    <w:rsid w:val="00201D57"/>
    <w:rsid w:val="002032A7"/>
    <w:rsid w:val="00204965"/>
    <w:rsid w:val="0020508C"/>
    <w:rsid w:val="0020556F"/>
    <w:rsid w:val="00206B4C"/>
    <w:rsid w:val="00207BB5"/>
    <w:rsid w:val="00207FD9"/>
    <w:rsid w:val="00210190"/>
    <w:rsid w:val="00210F73"/>
    <w:rsid w:val="002116CD"/>
    <w:rsid w:val="00211E1B"/>
    <w:rsid w:val="0021489B"/>
    <w:rsid w:val="00215F9C"/>
    <w:rsid w:val="002163BD"/>
    <w:rsid w:val="002177EB"/>
    <w:rsid w:val="00217CF8"/>
    <w:rsid w:val="00220677"/>
    <w:rsid w:val="00220A0E"/>
    <w:rsid w:val="00221EB0"/>
    <w:rsid w:val="00223B93"/>
    <w:rsid w:val="00225B11"/>
    <w:rsid w:val="00226C75"/>
    <w:rsid w:val="002300CA"/>
    <w:rsid w:val="00231540"/>
    <w:rsid w:val="00231BDB"/>
    <w:rsid w:val="0023288D"/>
    <w:rsid w:val="00232F8A"/>
    <w:rsid w:val="002348C4"/>
    <w:rsid w:val="002350CD"/>
    <w:rsid w:val="00235A46"/>
    <w:rsid w:val="0023752B"/>
    <w:rsid w:val="00241145"/>
    <w:rsid w:val="002419C4"/>
    <w:rsid w:val="00243AFB"/>
    <w:rsid w:val="002449CA"/>
    <w:rsid w:val="00244F4B"/>
    <w:rsid w:val="00244F93"/>
    <w:rsid w:val="0024694C"/>
    <w:rsid w:val="00247B09"/>
    <w:rsid w:val="00250617"/>
    <w:rsid w:val="0025109B"/>
    <w:rsid w:val="00251E69"/>
    <w:rsid w:val="002523CB"/>
    <w:rsid w:val="00252598"/>
    <w:rsid w:val="002535DD"/>
    <w:rsid w:val="00253E94"/>
    <w:rsid w:val="00254946"/>
    <w:rsid w:val="00254A74"/>
    <w:rsid w:val="00255B8E"/>
    <w:rsid w:val="00255ED3"/>
    <w:rsid w:val="002573D4"/>
    <w:rsid w:val="002610C4"/>
    <w:rsid w:val="00261A94"/>
    <w:rsid w:val="00263B26"/>
    <w:rsid w:val="002653B8"/>
    <w:rsid w:val="00265983"/>
    <w:rsid w:val="002662C3"/>
    <w:rsid w:val="00270247"/>
    <w:rsid w:val="00270D70"/>
    <w:rsid w:val="00271751"/>
    <w:rsid w:val="00271EAA"/>
    <w:rsid w:val="00272B28"/>
    <w:rsid w:val="00273064"/>
    <w:rsid w:val="002803B3"/>
    <w:rsid w:val="00281965"/>
    <w:rsid w:val="00282180"/>
    <w:rsid w:val="0028352C"/>
    <w:rsid w:val="0028363B"/>
    <w:rsid w:val="002838BD"/>
    <w:rsid w:val="0028440F"/>
    <w:rsid w:val="00284E01"/>
    <w:rsid w:val="00285020"/>
    <w:rsid w:val="0028750B"/>
    <w:rsid w:val="00287AAD"/>
    <w:rsid w:val="00287E28"/>
    <w:rsid w:val="0029001B"/>
    <w:rsid w:val="0029047D"/>
    <w:rsid w:val="0029172A"/>
    <w:rsid w:val="002920C0"/>
    <w:rsid w:val="002940CE"/>
    <w:rsid w:val="002946A8"/>
    <w:rsid w:val="00294E62"/>
    <w:rsid w:val="002965BC"/>
    <w:rsid w:val="00296979"/>
    <w:rsid w:val="00296B51"/>
    <w:rsid w:val="0029760C"/>
    <w:rsid w:val="002A0A3C"/>
    <w:rsid w:val="002A18F1"/>
    <w:rsid w:val="002A489F"/>
    <w:rsid w:val="002A55F6"/>
    <w:rsid w:val="002A5A6D"/>
    <w:rsid w:val="002A6ED4"/>
    <w:rsid w:val="002A7A95"/>
    <w:rsid w:val="002A7E7C"/>
    <w:rsid w:val="002B0174"/>
    <w:rsid w:val="002B20B2"/>
    <w:rsid w:val="002B2E7C"/>
    <w:rsid w:val="002B3108"/>
    <w:rsid w:val="002B40EB"/>
    <w:rsid w:val="002B4382"/>
    <w:rsid w:val="002B6986"/>
    <w:rsid w:val="002C05D5"/>
    <w:rsid w:val="002C12B0"/>
    <w:rsid w:val="002C21CB"/>
    <w:rsid w:val="002C2AE8"/>
    <w:rsid w:val="002C3EC8"/>
    <w:rsid w:val="002C434A"/>
    <w:rsid w:val="002C50F4"/>
    <w:rsid w:val="002C728D"/>
    <w:rsid w:val="002C7E7A"/>
    <w:rsid w:val="002D02C9"/>
    <w:rsid w:val="002D16A6"/>
    <w:rsid w:val="002D16DE"/>
    <w:rsid w:val="002D1B96"/>
    <w:rsid w:val="002D1D4B"/>
    <w:rsid w:val="002D2810"/>
    <w:rsid w:val="002D2EF5"/>
    <w:rsid w:val="002D48D0"/>
    <w:rsid w:val="002D4C98"/>
    <w:rsid w:val="002D5698"/>
    <w:rsid w:val="002D77F9"/>
    <w:rsid w:val="002D7FBC"/>
    <w:rsid w:val="002E015C"/>
    <w:rsid w:val="002E095D"/>
    <w:rsid w:val="002E09B3"/>
    <w:rsid w:val="002E1682"/>
    <w:rsid w:val="002E17C7"/>
    <w:rsid w:val="002E25CA"/>
    <w:rsid w:val="002E308C"/>
    <w:rsid w:val="002E41B7"/>
    <w:rsid w:val="002E6217"/>
    <w:rsid w:val="002E6880"/>
    <w:rsid w:val="002E6B53"/>
    <w:rsid w:val="002E709B"/>
    <w:rsid w:val="002E71F1"/>
    <w:rsid w:val="002F1D43"/>
    <w:rsid w:val="002F1E7F"/>
    <w:rsid w:val="002F3130"/>
    <w:rsid w:val="002F3B5E"/>
    <w:rsid w:val="002F3BC8"/>
    <w:rsid w:val="002F4638"/>
    <w:rsid w:val="002F6D87"/>
    <w:rsid w:val="00302363"/>
    <w:rsid w:val="00304C68"/>
    <w:rsid w:val="00305942"/>
    <w:rsid w:val="00306759"/>
    <w:rsid w:val="00307508"/>
    <w:rsid w:val="00307639"/>
    <w:rsid w:val="00307F97"/>
    <w:rsid w:val="003107FD"/>
    <w:rsid w:val="00310D70"/>
    <w:rsid w:val="003115E9"/>
    <w:rsid w:val="00311A21"/>
    <w:rsid w:val="00311AF5"/>
    <w:rsid w:val="0031277B"/>
    <w:rsid w:val="00314B47"/>
    <w:rsid w:val="00314C04"/>
    <w:rsid w:val="00315919"/>
    <w:rsid w:val="00315A8F"/>
    <w:rsid w:val="00316391"/>
    <w:rsid w:val="003173C4"/>
    <w:rsid w:val="00320B43"/>
    <w:rsid w:val="003216A7"/>
    <w:rsid w:val="003216CA"/>
    <w:rsid w:val="00321C60"/>
    <w:rsid w:val="00321FD4"/>
    <w:rsid w:val="003226EB"/>
    <w:rsid w:val="003234FB"/>
    <w:rsid w:val="00324C77"/>
    <w:rsid w:val="003301A4"/>
    <w:rsid w:val="00331467"/>
    <w:rsid w:val="003314D9"/>
    <w:rsid w:val="00331CA1"/>
    <w:rsid w:val="00332E29"/>
    <w:rsid w:val="00333CA9"/>
    <w:rsid w:val="0033603F"/>
    <w:rsid w:val="00337B42"/>
    <w:rsid w:val="00340063"/>
    <w:rsid w:val="00341A65"/>
    <w:rsid w:val="00342795"/>
    <w:rsid w:val="00343316"/>
    <w:rsid w:val="00343521"/>
    <w:rsid w:val="003444DD"/>
    <w:rsid w:val="0034474D"/>
    <w:rsid w:val="0034651D"/>
    <w:rsid w:val="003469A9"/>
    <w:rsid w:val="003476D8"/>
    <w:rsid w:val="00350BE3"/>
    <w:rsid w:val="00351269"/>
    <w:rsid w:val="0035329B"/>
    <w:rsid w:val="00353316"/>
    <w:rsid w:val="00353A56"/>
    <w:rsid w:val="00354BFD"/>
    <w:rsid w:val="00355140"/>
    <w:rsid w:val="0035514F"/>
    <w:rsid w:val="0035593E"/>
    <w:rsid w:val="00360FFA"/>
    <w:rsid w:val="003615AA"/>
    <w:rsid w:val="003617A8"/>
    <w:rsid w:val="00363687"/>
    <w:rsid w:val="0036581C"/>
    <w:rsid w:val="0036643C"/>
    <w:rsid w:val="00370258"/>
    <w:rsid w:val="00370F9A"/>
    <w:rsid w:val="003719BA"/>
    <w:rsid w:val="00372E8B"/>
    <w:rsid w:val="00373118"/>
    <w:rsid w:val="00374C51"/>
    <w:rsid w:val="003759D9"/>
    <w:rsid w:val="00375A2D"/>
    <w:rsid w:val="00376A4B"/>
    <w:rsid w:val="00381833"/>
    <w:rsid w:val="00384051"/>
    <w:rsid w:val="00385C0C"/>
    <w:rsid w:val="0038743C"/>
    <w:rsid w:val="003900D5"/>
    <w:rsid w:val="00390CDA"/>
    <w:rsid w:val="003915D2"/>
    <w:rsid w:val="0039193D"/>
    <w:rsid w:val="00391952"/>
    <w:rsid w:val="00394255"/>
    <w:rsid w:val="00394A6D"/>
    <w:rsid w:val="003959A0"/>
    <w:rsid w:val="00396091"/>
    <w:rsid w:val="003971C2"/>
    <w:rsid w:val="0039725E"/>
    <w:rsid w:val="00397337"/>
    <w:rsid w:val="003A13F0"/>
    <w:rsid w:val="003A1BA9"/>
    <w:rsid w:val="003A2428"/>
    <w:rsid w:val="003A2C54"/>
    <w:rsid w:val="003A2FA7"/>
    <w:rsid w:val="003A3C8A"/>
    <w:rsid w:val="003A3E58"/>
    <w:rsid w:val="003A485C"/>
    <w:rsid w:val="003A49C5"/>
    <w:rsid w:val="003A512D"/>
    <w:rsid w:val="003A5479"/>
    <w:rsid w:val="003A5C87"/>
    <w:rsid w:val="003A5E62"/>
    <w:rsid w:val="003A7B99"/>
    <w:rsid w:val="003B01B2"/>
    <w:rsid w:val="003B04B8"/>
    <w:rsid w:val="003B083D"/>
    <w:rsid w:val="003B1822"/>
    <w:rsid w:val="003B3FCD"/>
    <w:rsid w:val="003B4F28"/>
    <w:rsid w:val="003B611E"/>
    <w:rsid w:val="003B6AF8"/>
    <w:rsid w:val="003C0405"/>
    <w:rsid w:val="003C09CB"/>
    <w:rsid w:val="003C0C79"/>
    <w:rsid w:val="003C1737"/>
    <w:rsid w:val="003C3DE9"/>
    <w:rsid w:val="003C657A"/>
    <w:rsid w:val="003C6814"/>
    <w:rsid w:val="003C6A13"/>
    <w:rsid w:val="003C7A6C"/>
    <w:rsid w:val="003D024B"/>
    <w:rsid w:val="003D08CA"/>
    <w:rsid w:val="003D09C7"/>
    <w:rsid w:val="003D2034"/>
    <w:rsid w:val="003D2097"/>
    <w:rsid w:val="003D38C1"/>
    <w:rsid w:val="003D5646"/>
    <w:rsid w:val="003D74F9"/>
    <w:rsid w:val="003E0BCA"/>
    <w:rsid w:val="003E1016"/>
    <w:rsid w:val="003E1278"/>
    <w:rsid w:val="003E14D5"/>
    <w:rsid w:val="003E1522"/>
    <w:rsid w:val="003E15EA"/>
    <w:rsid w:val="003E1D67"/>
    <w:rsid w:val="003E23A9"/>
    <w:rsid w:val="003E2BA9"/>
    <w:rsid w:val="003E3993"/>
    <w:rsid w:val="003E53A0"/>
    <w:rsid w:val="003E5563"/>
    <w:rsid w:val="003E6836"/>
    <w:rsid w:val="003E75E6"/>
    <w:rsid w:val="003F161A"/>
    <w:rsid w:val="003F1BC1"/>
    <w:rsid w:val="003F1DBD"/>
    <w:rsid w:val="003F299E"/>
    <w:rsid w:val="003F2A0B"/>
    <w:rsid w:val="003F4154"/>
    <w:rsid w:val="003F4251"/>
    <w:rsid w:val="003F5ABC"/>
    <w:rsid w:val="003F5CBB"/>
    <w:rsid w:val="003F6162"/>
    <w:rsid w:val="003F7039"/>
    <w:rsid w:val="004007ED"/>
    <w:rsid w:val="00400F9A"/>
    <w:rsid w:val="00401334"/>
    <w:rsid w:val="00403A0B"/>
    <w:rsid w:val="004044E1"/>
    <w:rsid w:val="004070E4"/>
    <w:rsid w:val="0041329A"/>
    <w:rsid w:val="00413AC0"/>
    <w:rsid w:val="00415F16"/>
    <w:rsid w:val="00420054"/>
    <w:rsid w:val="004203FE"/>
    <w:rsid w:val="004217CE"/>
    <w:rsid w:val="00421D4A"/>
    <w:rsid w:val="00423777"/>
    <w:rsid w:val="004246C8"/>
    <w:rsid w:val="00425784"/>
    <w:rsid w:val="00425C7A"/>
    <w:rsid w:val="004265EF"/>
    <w:rsid w:val="00427AEE"/>
    <w:rsid w:val="00427B5E"/>
    <w:rsid w:val="004322C4"/>
    <w:rsid w:val="004325B4"/>
    <w:rsid w:val="004325D5"/>
    <w:rsid w:val="004340A6"/>
    <w:rsid w:val="00434B05"/>
    <w:rsid w:val="00435D97"/>
    <w:rsid w:val="00436827"/>
    <w:rsid w:val="00436B02"/>
    <w:rsid w:val="004417E3"/>
    <w:rsid w:val="004418F7"/>
    <w:rsid w:val="00441FC2"/>
    <w:rsid w:val="00443600"/>
    <w:rsid w:val="0044499F"/>
    <w:rsid w:val="004450A1"/>
    <w:rsid w:val="00446F9C"/>
    <w:rsid w:val="00446FE9"/>
    <w:rsid w:val="004478DF"/>
    <w:rsid w:val="004478EA"/>
    <w:rsid w:val="00450F7F"/>
    <w:rsid w:val="004511A0"/>
    <w:rsid w:val="00451CBF"/>
    <w:rsid w:val="00451FC4"/>
    <w:rsid w:val="004542F6"/>
    <w:rsid w:val="00454F25"/>
    <w:rsid w:val="0045681D"/>
    <w:rsid w:val="00457318"/>
    <w:rsid w:val="00457370"/>
    <w:rsid w:val="00460408"/>
    <w:rsid w:val="004606B4"/>
    <w:rsid w:val="00460D60"/>
    <w:rsid w:val="00460F82"/>
    <w:rsid w:val="00461629"/>
    <w:rsid w:val="004652A9"/>
    <w:rsid w:val="00466E9A"/>
    <w:rsid w:val="0046747C"/>
    <w:rsid w:val="0047094D"/>
    <w:rsid w:val="004715DB"/>
    <w:rsid w:val="004722B7"/>
    <w:rsid w:val="0047395B"/>
    <w:rsid w:val="004774CC"/>
    <w:rsid w:val="0048004C"/>
    <w:rsid w:val="00480A98"/>
    <w:rsid w:val="00482FB8"/>
    <w:rsid w:val="00483036"/>
    <w:rsid w:val="00483461"/>
    <w:rsid w:val="0048350C"/>
    <w:rsid w:val="00484094"/>
    <w:rsid w:val="00484CCD"/>
    <w:rsid w:val="00486168"/>
    <w:rsid w:val="0048742A"/>
    <w:rsid w:val="0049014A"/>
    <w:rsid w:val="0049384D"/>
    <w:rsid w:val="0049416F"/>
    <w:rsid w:val="00494DD0"/>
    <w:rsid w:val="004956A2"/>
    <w:rsid w:val="004958BB"/>
    <w:rsid w:val="00497331"/>
    <w:rsid w:val="004973C7"/>
    <w:rsid w:val="004973E8"/>
    <w:rsid w:val="00497CA5"/>
    <w:rsid w:val="004A1AED"/>
    <w:rsid w:val="004A1DEA"/>
    <w:rsid w:val="004A2786"/>
    <w:rsid w:val="004A3929"/>
    <w:rsid w:val="004A59EA"/>
    <w:rsid w:val="004A6D62"/>
    <w:rsid w:val="004A7588"/>
    <w:rsid w:val="004A7B00"/>
    <w:rsid w:val="004B019F"/>
    <w:rsid w:val="004B24C5"/>
    <w:rsid w:val="004B2CB1"/>
    <w:rsid w:val="004B3315"/>
    <w:rsid w:val="004B68E3"/>
    <w:rsid w:val="004B7097"/>
    <w:rsid w:val="004C0003"/>
    <w:rsid w:val="004C04C8"/>
    <w:rsid w:val="004C10AC"/>
    <w:rsid w:val="004C1F48"/>
    <w:rsid w:val="004C3188"/>
    <w:rsid w:val="004C417D"/>
    <w:rsid w:val="004C7699"/>
    <w:rsid w:val="004D4F41"/>
    <w:rsid w:val="004D5538"/>
    <w:rsid w:val="004D5A64"/>
    <w:rsid w:val="004D792B"/>
    <w:rsid w:val="004E1307"/>
    <w:rsid w:val="004E134A"/>
    <w:rsid w:val="004E1AE6"/>
    <w:rsid w:val="004E20D1"/>
    <w:rsid w:val="004E3E69"/>
    <w:rsid w:val="004E3F75"/>
    <w:rsid w:val="004E41F0"/>
    <w:rsid w:val="004E5E44"/>
    <w:rsid w:val="004E64C1"/>
    <w:rsid w:val="004E6798"/>
    <w:rsid w:val="004E6845"/>
    <w:rsid w:val="004E793D"/>
    <w:rsid w:val="004F646B"/>
    <w:rsid w:val="004F7027"/>
    <w:rsid w:val="00500443"/>
    <w:rsid w:val="005004E4"/>
    <w:rsid w:val="0050145B"/>
    <w:rsid w:val="00501DF2"/>
    <w:rsid w:val="005037B4"/>
    <w:rsid w:val="00503CD3"/>
    <w:rsid w:val="00504E6B"/>
    <w:rsid w:val="00504FF0"/>
    <w:rsid w:val="00505B59"/>
    <w:rsid w:val="005063BB"/>
    <w:rsid w:val="00506798"/>
    <w:rsid w:val="00506B6B"/>
    <w:rsid w:val="0050731C"/>
    <w:rsid w:val="00507378"/>
    <w:rsid w:val="005112D1"/>
    <w:rsid w:val="005117A9"/>
    <w:rsid w:val="005119B9"/>
    <w:rsid w:val="00511B9B"/>
    <w:rsid w:val="00513E16"/>
    <w:rsid w:val="00513E8C"/>
    <w:rsid w:val="0051432C"/>
    <w:rsid w:val="0051488F"/>
    <w:rsid w:val="005160CE"/>
    <w:rsid w:val="00516539"/>
    <w:rsid w:val="00516A2D"/>
    <w:rsid w:val="00517FC6"/>
    <w:rsid w:val="005214A0"/>
    <w:rsid w:val="00522D04"/>
    <w:rsid w:val="00525E3C"/>
    <w:rsid w:val="005264FB"/>
    <w:rsid w:val="00526B1D"/>
    <w:rsid w:val="005306E4"/>
    <w:rsid w:val="00531974"/>
    <w:rsid w:val="00532D4D"/>
    <w:rsid w:val="0053305E"/>
    <w:rsid w:val="005339FC"/>
    <w:rsid w:val="00534DA1"/>
    <w:rsid w:val="005353A3"/>
    <w:rsid w:val="0053570D"/>
    <w:rsid w:val="00535F37"/>
    <w:rsid w:val="00536328"/>
    <w:rsid w:val="00536E55"/>
    <w:rsid w:val="00537EAE"/>
    <w:rsid w:val="00537F9A"/>
    <w:rsid w:val="00541ECF"/>
    <w:rsid w:val="00543D44"/>
    <w:rsid w:val="00546106"/>
    <w:rsid w:val="005462C4"/>
    <w:rsid w:val="005469FE"/>
    <w:rsid w:val="0054738F"/>
    <w:rsid w:val="00547FA1"/>
    <w:rsid w:val="00550BE4"/>
    <w:rsid w:val="005511C3"/>
    <w:rsid w:val="005529E9"/>
    <w:rsid w:val="0055403F"/>
    <w:rsid w:val="00556CDB"/>
    <w:rsid w:val="00557A67"/>
    <w:rsid w:val="00561491"/>
    <w:rsid w:val="0056190E"/>
    <w:rsid w:val="005637E4"/>
    <w:rsid w:val="00563BF8"/>
    <w:rsid w:val="00563F87"/>
    <w:rsid w:val="0056638E"/>
    <w:rsid w:val="00566649"/>
    <w:rsid w:val="00566E80"/>
    <w:rsid w:val="00567033"/>
    <w:rsid w:val="005676C1"/>
    <w:rsid w:val="00567D07"/>
    <w:rsid w:val="00570606"/>
    <w:rsid w:val="005720B8"/>
    <w:rsid w:val="00572386"/>
    <w:rsid w:val="00572734"/>
    <w:rsid w:val="005811A6"/>
    <w:rsid w:val="005839DD"/>
    <w:rsid w:val="00584EB7"/>
    <w:rsid w:val="00585B2F"/>
    <w:rsid w:val="005872FF"/>
    <w:rsid w:val="00587EA6"/>
    <w:rsid w:val="00590A91"/>
    <w:rsid w:val="005914B6"/>
    <w:rsid w:val="00592B6A"/>
    <w:rsid w:val="00592E7C"/>
    <w:rsid w:val="005935DB"/>
    <w:rsid w:val="00594733"/>
    <w:rsid w:val="00595E80"/>
    <w:rsid w:val="00595F36"/>
    <w:rsid w:val="00596401"/>
    <w:rsid w:val="00597392"/>
    <w:rsid w:val="00597908"/>
    <w:rsid w:val="005A0D18"/>
    <w:rsid w:val="005A115B"/>
    <w:rsid w:val="005A1B97"/>
    <w:rsid w:val="005A27DA"/>
    <w:rsid w:val="005A4AAB"/>
    <w:rsid w:val="005A4CD9"/>
    <w:rsid w:val="005A5DD8"/>
    <w:rsid w:val="005A7F63"/>
    <w:rsid w:val="005B0A5C"/>
    <w:rsid w:val="005B0BEC"/>
    <w:rsid w:val="005B1A19"/>
    <w:rsid w:val="005B299D"/>
    <w:rsid w:val="005B3569"/>
    <w:rsid w:val="005B4AB3"/>
    <w:rsid w:val="005B4B5A"/>
    <w:rsid w:val="005B5401"/>
    <w:rsid w:val="005B58A4"/>
    <w:rsid w:val="005B684A"/>
    <w:rsid w:val="005B7099"/>
    <w:rsid w:val="005C00B9"/>
    <w:rsid w:val="005C1F9F"/>
    <w:rsid w:val="005C2DBE"/>
    <w:rsid w:val="005C32F5"/>
    <w:rsid w:val="005C4D9E"/>
    <w:rsid w:val="005C7485"/>
    <w:rsid w:val="005C76F6"/>
    <w:rsid w:val="005D0121"/>
    <w:rsid w:val="005D2578"/>
    <w:rsid w:val="005D2B59"/>
    <w:rsid w:val="005D4A28"/>
    <w:rsid w:val="005D5267"/>
    <w:rsid w:val="005D6448"/>
    <w:rsid w:val="005D64CC"/>
    <w:rsid w:val="005D679F"/>
    <w:rsid w:val="005D6BF7"/>
    <w:rsid w:val="005D76E2"/>
    <w:rsid w:val="005D7AF4"/>
    <w:rsid w:val="005E2002"/>
    <w:rsid w:val="005E3257"/>
    <w:rsid w:val="005E3544"/>
    <w:rsid w:val="005E61AE"/>
    <w:rsid w:val="005E6BF9"/>
    <w:rsid w:val="005F0C9F"/>
    <w:rsid w:val="005F0FCA"/>
    <w:rsid w:val="005F23EB"/>
    <w:rsid w:val="005F253D"/>
    <w:rsid w:val="005F2B7F"/>
    <w:rsid w:val="005F2C5B"/>
    <w:rsid w:val="005F3B13"/>
    <w:rsid w:val="005F3F46"/>
    <w:rsid w:val="005F5592"/>
    <w:rsid w:val="005F5681"/>
    <w:rsid w:val="005F5A02"/>
    <w:rsid w:val="005F641C"/>
    <w:rsid w:val="005F7A2D"/>
    <w:rsid w:val="005F7AB9"/>
    <w:rsid w:val="00601FFD"/>
    <w:rsid w:val="00602295"/>
    <w:rsid w:val="0060574E"/>
    <w:rsid w:val="0060583B"/>
    <w:rsid w:val="006077F4"/>
    <w:rsid w:val="00607D03"/>
    <w:rsid w:val="0061040C"/>
    <w:rsid w:val="00611316"/>
    <w:rsid w:val="00612719"/>
    <w:rsid w:val="00612A3E"/>
    <w:rsid w:val="00614CA9"/>
    <w:rsid w:val="00614DE3"/>
    <w:rsid w:val="0061535D"/>
    <w:rsid w:val="00617326"/>
    <w:rsid w:val="00617D3E"/>
    <w:rsid w:val="00621B17"/>
    <w:rsid w:val="006227A1"/>
    <w:rsid w:val="00622A34"/>
    <w:rsid w:val="00622CA8"/>
    <w:rsid w:val="00623521"/>
    <w:rsid w:val="00625030"/>
    <w:rsid w:val="006251CC"/>
    <w:rsid w:val="00625750"/>
    <w:rsid w:val="00625981"/>
    <w:rsid w:val="006259FF"/>
    <w:rsid w:val="00625D13"/>
    <w:rsid w:val="00626740"/>
    <w:rsid w:val="00626833"/>
    <w:rsid w:val="00626D23"/>
    <w:rsid w:val="00626F35"/>
    <w:rsid w:val="00631D55"/>
    <w:rsid w:val="00634D24"/>
    <w:rsid w:val="006358A8"/>
    <w:rsid w:val="006361FA"/>
    <w:rsid w:val="00637785"/>
    <w:rsid w:val="006403BE"/>
    <w:rsid w:val="00640D6D"/>
    <w:rsid w:val="00640D86"/>
    <w:rsid w:val="006416BC"/>
    <w:rsid w:val="00641BAE"/>
    <w:rsid w:val="00642735"/>
    <w:rsid w:val="00644D33"/>
    <w:rsid w:val="006451F4"/>
    <w:rsid w:val="006465B9"/>
    <w:rsid w:val="00646E5B"/>
    <w:rsid w:val="0065156C"/>
    <w:rsid w:val="00651785"/>
    <w:rsid w:val="00653AA8"/>
    <w:rsid w:val="0065476B"/>
    <w:rsid w:val="00654BF8"/>
    <w:rsid w:val="00654EC5"/>
    <w:rsid w:val="00656863"/>
    <w:rsid w:val="00660622"/>
    <w:rsid w:val="00660837"/>
    <w:rsid w:val="00660AED"/>
    <w:rsid w:val="00660F18"/>
    <w:rsid w:val="00661CD2"/>
    <w:rsid w:val="006631C7"/>
    <w:rsid w:val="00663DBC"/>
    <w:rsid w:val="00663F7D"/>
    <w:rsid w:val="00665074"/>
    <w:rsid w:val="00666259"/>
    <w:rsid w:val="006664A9"/>
    <w:rsid w:val="00666CB8"/>
    <w:rsid w:val="00671517"/>
    <w:rsid w:val="00671C7C"/>
    <w:rsid w:val="00673A58"/>
    <w:rsid w:val="006744F4"/>
    <w:rsid w:val="00675562"/>
    <w:rsid w:val="00675EBF"/>
    <w:rsid w:val="00675F3F"/>
    <w:rsid w:val="00676A1B"/>
    <w:rsid w:val="00677325"/>
    <w:rsid w:val="00677524"/>
    <w:rsid w:val="0068014B"/>
    <w:rsid w:val="00680CFC"/>
    <w:rsid w:val="0068162A"/>
    <w:rsid w:val="00681ADD"/>
    <w:rsid w:val="00681C65"/>
    <w:rsid w:val="00682BA1"/>
    <w:rsid w:val="006845D5"/>
    <w:rsid w:val="006858B0"/>
    <w:rsid w:val="0068716A"/>
    <w:rsid w:val="0068739C"/>
    <w:rsid w:val="00687416"/>
    <w:rsid w:val="00687823"/>
    <w:rsid w:val="00687947"/>
    <w:rsid w:val="00690651"/>
    <w:rsid w:val="00690D7C"/>
    <w:rsid w:val="0069150E"/>
    <w:rsid w:val="00691596"/>
    <w:rsid w:val="0069161F"/>
    <w:rsid w:val="0069339A"/>
    <w:rsid w:val="00695617"/>
    <w:rsid w:val="00696725"/>
    <w:rsid w:val="006A025C"/>
    <w:rsid w:val="006A0F32"/>
    <w:rsid w:val="006A15A7"/>
    <w:rsid w:val="006A1916"/>
    <w:rsid w:val="006A1B5C"/>
    <w:rsid w:val="006A1C17"/>
    <w:rsid w:val="006A2C5A"/>
    <w:rsid w:val="006A6728"/>
    <w:rsid w:val="006A718C"/>
    <w:rsid w:val="006A769D"/>
    <w:rsid w:val="006B001B"/>
    <w:rsid w:val="006B013C"/>
    <w:rsid w:val="006B02ED"/>
    <w:rsid w:val="006B0BBC"/>
    <w:rsid w:val="006B22D1"/>
    <w:rsid w:val="006B305C"/>
    <w:rsid w:val="006B3B99"/>
    <w:rsid w:val="006B413A"/>
    <w:rsid w:val="006B5FD1"/>
    <w:rsid w:val="006B63B0"/>
    <w:rsid w:val="006B7290"/>
    <w:rsid w:val="006C0230"/>
    <w:rsid w:val="006C024A"/>
    <w:rsid w:val="006C13BC"/>
    <w:rsid w:val="006C1D5C"/>
    <w:rsid w:val="006C2424"/>
    <w:rsid w:val="006C3B66"/>
    <w:rsid w:val="006C48F7"/>
    <w:rsid w:val="006C51CD"/>
    <w:rsid w:val="006C5EAA"/>
    <w:rsid w:val="006C64FC"/>
    <w:rsid w:val="006C781A"/>
    <w:rsid w:val="006D00A5"/>
    <w:rsid w:val="006D0CDF"/>
    <w:rsid w:val="006D1173"/>
    <w:rsid w:val="006D2E3F"/>
    <w:rsid w:val="006D2F20"/>
    <w:rsid w:val="006D65FE"/>
    <w:rsid w:val="006D7955"/>
    <w:rsid w:val="006E0489"/>
    <w:rsid w:val="006E18D1"/>
    <w:rsid w:val="006E1F9B"/>
    <w:rsid w:val="006E4AB4"/>
    <w:rsid w:val="006E56BB"/>
    <w:rsid w:val="006E7508"/>
    <w:rsid w:val="006E7757"/>
    <w:rsid w:val="006E7DBD"/>
    <w:rsid w:val="006F076D"/>
    <w:rsid w:val="006F11C3"/>
    <w:rsid w:val="006F3D60"/>
    <w:rsid w:val="006F7352"/>
    <w:rsid w:val="00700BB7"/>
    <w:rsid w:val="007019EF"/>
    <w:rsid w:val="0070236F"/>
    <w:rsid w:val="00702ADF"/>
    <w:rsid w:val="007033AA"/>
    <w:rsid w:val="00704CDA"/>
    <w:rsid w:val="00705613"/>
    <w:rsid w:val="00706297"/>
    <w:rsid w:val="00706D65"/>
    <w:rsid w:val="00706E09"/>
    <w:rsid w:val="007101A1"/>
    <w:rsid w:val="0071083D"/>
    <w:rsid w:val="00711FEF"/>
    <w:rsid w:val="00713422"/>
    <w:rsid w:val="00714688"/>
    <w:rsid w:val="007159B6"/>
    <w:rsid w:val="007167AC"/>
    <w:rsid w:val="00716BE5"/>
    <w:rsid w:val="00717179"/>
    <w:rsid w:val="0071769D"/>
    <w:rsid w:val="00721A76"/>
    <w:rsid w:val="00721E96"/>
    <w:rsid w:val="00723498"/>
    <w:rsid w:val="007235C0"/>
    <w:rsid w:val="00723DC7"/>
    <w:rsid w:val="007260EC"/>
    <w:rsid w:val="00727F2F"/>
    <w:rsid w:val="007303E7"/>
    <w:rsid w:val="00730B1F"/>
    <w:rsid w:val="00733674"/>
    <w:rsid w:val="00735A06"/>
    <w:rsid w:val="0073704D"/>
    <w:rsid w:val="00737377"/>
    <w:rsid w:val="007403D4"/>
    <w:rsid w:val="00741127"/>
    <w:rsid w:val="00741B1B"/>
    <w:rsid w:val="007422A3"/>
    <w:rsid w:val="00742452"/>
    <w:rsid w:val="00742AA8"/>
    <w:rsid w:val="00742F68"/>
    <w:rsid w:val="00743530"/>
    <w:rsid w:val="00743CB0"/>
    <w:rsid w:val="0074416D"/>
    <w:rsid w:val="0074566A"/>
    <w:rsid w:val="007478DA"/>
    <w:rsid w:val="00747C81"/>
    <w:rsid w:val="00752379"/>
    <w:rsid w:val="00752A21"/>
    <w:rsid w:val="0075370D"/>
    <w:rsid w:val="00753E5C"/>
    <w:rsid w:val="00756263"/>
    <w:rsid w:val="00757040"/>
    <w:rsid w:val="00760047"/>
    <w:rsid w:val="007601BA"/>
    <w:rsid w:val="00761C83"/>
    <w:rsid w:val="00762728"/>
    <w:rsid w:val="00762771"/>
    <w:rsid w:val="00762ABC"/>
    <w:rsid w:val="007638A7"/>
    <w:rsid w:val="00763D2A"/>
    <w:rsid w:val="007660DB"/>
    <w:rsid w:val="00770411"/>
    <w:rsid w:val="007711CF"/>
    <w:rsid w:val="0077341C"/>
    <w:rsid w:val="00773807"/>
    <w:rsid w:val="00773B3C"/>
    <w:rsid w:val="0077406B"/>
    <w:rsid w:val="007759EF"/>
    <w:rsid w:val="00775BE7"/>
    <w:rsid w:val="00777A20"/>
    <w:rsid w:val="00780400"/>
    <w:rsid w:val="00780A19"/>
    <w:rsid w:val="00781F67"/>
    <w:rsid w:val="0078267D"/>
    <w:rsid w:val="00785CB9"/>
    <w:rsid w:val="00785DD8"/>
    <w:rsid w:val="00785FC7"/>
    <w:rsid w:val="00786EF1"/>
    <w:rsid w:val="00786F22"/>
    <w:rsid w:val="00787F89"/>
    <w:rsid w:val="007907C2"/>
    <w:rsid w:val="00792ACE"/>
    <w:rsid w:val="00792C44"/>
    <w:rsid w:val="007946A1"/>
    <w:rsid w:val="00794CB6"/>
    <w:rsid w:val="00795AF2"/>
    <w:rsid w:val="00796567"/>
    <w:rsid w:val="00796DA6"/>
    <w:rsid w:val="00796E76"/>
    <w:rsid w:val="007A2FA6"/>
    <w:rsid w:val="007A3C1C"/>
    <w:rsid w:val="007A7B4B"/>
    <w:rsid w:val="007B1C84"/>
    <w:rsid w:val="007B2A2F"/>
    <w:rsid w:val="007B2FB4"/>
    <w:rsid w:val="007B40EC"/>
    <w:rsid w:val="007B484C"/>
    <w:rsid w:val="007B613D"/>
    <w:rsid w:val="007B693E"/>
    <w:rsid w:val="007B6CFC"/>
    <w:rsid w:val="007C30BA"/>
    <w:rsid w:val="007C3CBD"/>
    <w:rsid w:val="007C5789"/>
    <w:rsid w:val="007C5F0F"/>
    <w:rsid w:val="007C6949"/>
    <w:rsid w:val="007C74C8"/>
    <w:rsid w:val="007C75AA"/>
    <w:rsid w:val="007D083D"/>
    <w:rsid w:val="007D0B2E"/>
    <w:rsid w:val="007D1AC7"/>
    <w:rsid w:val="007D3782"/>
    <w:rsid w:val="007D46B3"/>
    <w:rsid w:val="007D5C31"/>
    <w:rsid w:val="007D6E20"/>
    <w:rsid w:val="007D74D8"/>
    <w:rsid w:val="007D7E73"/>
    <w:rsid w:val="007E03A8"/>
    <w:rsid w:val="007E0A19"/>
    <w:rsid w:val="007E18DA"/>
    <w:rsid w:val="007E1FB7"/>
    <w:rsid w:val="007E2C60"/>
    <w:rsid w:val="007E2CA1"/>
    <w:rsid w:val="007E2E9F"/>
    <w:rsid w:val="007E3008"/>
    <w:rsid w:val="007E48E9"/>
    <w:rsid w:val="007E5447"/>
    <w:rsid w:val="007E5602"/>
    <w:rsid w:val="007E70E6"/>
    <w:rsid w:val="007E7E83"/>
    <w:rsid w:val="007F01C3"/>
    <w:rsid w:val="007F106F"/>
    <w:rsid w:val="007F1C14"/>
    <w:rsid w:val="007F2679"/>
    <w:rsid w:val="007F3108"/>
    <w:rsid w:val="007F63FF"/>
    <w:rsid w:val="00800247"/>
    <w:rsid w:val="00800567"/>
    <w:rsid w:val="00800A68"/>
    <w:rsid w:val="00801376"/>
    <w:rsid w:val="00802B85"/>
    <w:rsid w:val="008059E6"/>
    <w:rsid w:val="00806DA5"/>
    <w:rsid w:val="00807CD8"/>
    <w:rsid w:val="00810F16"/>
    <w:rsid w:val="0081198D"/>
    <w:rsid w:val="008129EA"/>
    <w:rsid w:val="00813158"/>
    <w:rsid w:val="00813237"/>
    <w:rsid w:val="00813A32"/>
    <w:rsid w:val="00813D61"/>
    <w:rsid w:val="0081546C"/>
    <w:rsid w:val="00817731"/>
    <w:rsid w:val="00817E36"/>
    <w:rsid w:val="008208B9"/>
    <w:rsid w:val="00820AA1"/>
    <w:rsid w:val="00821BC8"/>
    <w:rsid w:val="00821F9A"/>
    <w:rsid w:val="00823B48"/>
    <w:rsid w:val="00831313"/>
    <w:rsid w:val="00831CE0"/>
    <w:rsid w:val="00831F9A"/>
    <w:rsid w:val="008329A3"/>
    <w:rsid w:val="00832AC6"/>
    <w:rsid w:val="00833151"/>
    <w:rsid w:val="008339A0"/>
    <w:rsid w:val="0083495E"/>
    <w:rsid w:val="008366F3"/>
    <w:rsid w:val="0083672F"/>
    <w:rsid w:val="0083675D"/>
    <w:rsid w:val="00840830"/>
    <w:rsid w:val="00840C4C"/>
    <w:rsid w:val="00842B3D"/>
    <w:rsid w:val="00843A27"/>
    <w:rsid w:val="00843CD3"/>
    <w:rsid w:val="0084593D"/>
    <w:rsid w:val="008468ED"/>
    <w:rsid w:val="00846B32"/>
    <w:rsid w:val="00850657"/>
    <w:rsid w:val="00850C72"/>
    <w:rsid w:val="00851F67"/>
    <w:rsid w:val="00852C0D"/>
    <w:rsid w:val="00854011"/>
    <w:rsid w:val="008545B1"/>
    <w:rsid w:val="008545DB"/>
    <w:rsid w:val="008546E0"/>
    <w:rsid w:val="0085566D"/>
    <w:rsid w:val="008571B4"/>
    <w:rsid w:val="008604EC"/>
    <w:rsid w:val="0086116F"/>
    <w:rsid w:val="008611AA"/>
    <w:rsid w:val="00862673"/>
    <w:rsid w:val="0086279A"/>
    <w:rsid w:val="008628B4"/>
    <w:rsid w:val="008648E7"/>
    <w:rsid w:val="00864DC2"/>
    <w:rsid w:val="00865478"/>
    <w:rsid w:val="008657B9"/>
    <w:rsid w:val="00865A8A"/>
    <w:rsid w:val="008702DD"/>
    <w:rsid w:val="00870CB1"/>
    <w:rsid w:val="00871BC3"/>
    <w:rsid w:val="00873538"/>
    <w:rsid w:val="00873EB5"/>
    <w:rsid w:val="00875A09"/>
    <w:rsid w:val="00876F23"/>
    <w:rsid w:val="00880192"/>
    <w:rsid w:val="008806DD"/>
    <w:rsid w:val="00880997"/>
    <w:rsid w:val="008814D3"/>
    <w:rsid w:val="0088367B"/>
    <w:rsid w:val="00883BE7"/>
    <w:rsid w:val="008843AA"/>
    <w:rsid w:val="0088441A"/>
    <w:rsid w:val="00884D5D"/>
    <w:rsid w:val="00885E64"/>
    <w:rsid w:val="008868CB"/>
    <w:rsid w:val="00886BD8"/>
    <w:rsid w:val="008873BB"/>
    <w:rsid w:val="00887F88"/>
    <w:rsid w:val="00890B0E"/>
    <w:rsid w:val="00890F67"/>
    <w:rsid w:val="0089112B"/>
    <w:rsid w:val="00891A4D"/>
    <w:rsid w:val="0089212E"/>
    <w:rsid w:val="00892615"/>
    <w:rsid w:val="0089262B"/>
    <w:rsid w:val="00892BAB"/>
    <w:rsid w:val="00894574"/>
    <w:rsid w:val="00895C16"/>
    <w:rsid w:val="00897FD4"/>
    <w:rsid w:val="008A0EDD"/>
    <w:rsid w:val="008A1492"/>
    <w:rsid w:val="008A1CAA"/>
    <w:rsid w:val="008A214E"/>
    <w:rsid w:val="008A2E0D"/>
    <w:rsid w:val="008A406B"/>
    <w:rsid w:val="008A4232"/>
    <w:rsid w:val="008A4E36"/>
    <w:rsid w:val="008A7085"/>
    <w:rsid w:val="008A7B3F"/>
    <w:rsid w:val="008B150C"/>
    <w:rsid w:val="008B16E7"/>
    <w:rsid w:val="008B2FB1"/>
    <w:rsid w:val="008B35CC"/>
    <w:rsid w:val="008B6100"/>
    <w:rsid w:val="008B664D"/>
    <w:rsid w:val="008B6A1E"/>
    <w:rsid w:val="008B738D"/>
    <w:rsid w:val="008C004D"/>
    <w:rsid w:val="008C04B0"/>
    <w:rsid w:val="008C1596"/>
    <w:rsid w:val="008C18EC"/>
    <w:rsid w:val="008C2685"/>
    <w:rsid w:val="008C26D2"/>
    <w:rsid w:val="008C3742"/>
    <w:rsid w:val="008C3D58"/>
    <w:rsid w:val="008C47C1"/>
    <w:rsid w:val="008C5A30"/>
    <w:rsid w:val="008C6697"/>
    <w:rsid w:val="008C66B1"/>
    <w:rsid w:val="008C6903"/>
    <w:rsid w:val="008C6EAC"/>
    <w:rsid w:val="008D036F"/>
    <w:rsid w:val="008D11E0"/>
    <w:rsid w:val="008D131B"/>
    <w:rsid w:val="008D1631"/>
    <w:rsid w:val="008D167B"/>
    <w:rsid w:val="008D3855"/>
    <w:rsid w:val="008D3F7F"/>
    <w:rsid w:val="008D406A"/>
    <w:rsid w:val="008D5601"/>
    <w:rsid w:val="008D5992"/>
    <w:rsid w:val="008D6EE2"/>
    <w:rsid w:val="008D7869"/>
    <w:rsid w:val="008E1E78"/>
    <w:rsid w:val="008E412C"/>
    <w:rsid w:val="008E46F2"/>
    <w:rsid w:val="008E5006"/>
    <w:rsid w:val="008E63CB"/>
    <w:rsid w:val="008E651B"/>
    <w:rsid w:val="008E6E32"/>
    <w:rsid w:val="008E7682"/>
    <w:rsid w:val="008E7C6F"/>
    <w:rsid w:val="008F16B9"/>
    <w:rsid w:val="008F1F51"/>
    <w:rsid w:val="008F38DF"/>
    <w:rsid w:val="008F3FC9"/>
    <w:rsid w:val="008F54CA"/>
    <w:rsid w:val="008F5855"/>
    <w:rsid w:val="008F744A"/>
    <w:rsid w:val="00902EEB"/>
    <w:rsid w:val="00904329"/>
    <w:rsid w:val="00904805"/>
    <w:rsid w:val="0090537E"/>
    <w:rsid w:val="00906834"/>
    <w:rsid w:val="0090727B"/>
    <w:rsid w:val="0091080F"/>
    <w:rsid w:val="009109A9"/>
    <w:rsid w:val="0091277F"/>
    <w:rsid w:val="009147F0"/>
    <w:rsid w:val="00914D23"/>
    <w:rsid w:val="0091646C"/>
    <w:rsid w:val="0091669A"/>
    <w:rsid w:val="00916978"/>
    <w:rsid w:val="00916A7E"/>
    <w:rsid w:val="00916B56"/>
    <w:rsid w:val="009179F4"/>
    <w:rsid w:val="00920300"/>
    <w:rsid w:val="009221E5"/>
    <w:rsid w:val="009230D8"/>
    <w:rsid w:val="009233EF"/>
    <w:rsid w:val="009237A0"/>
    <w:rsid w:val="0092432A"/>
    <w:rsid w:val="00924693"/>
    <w:rsid w:val="0092561D"/>
    <w:rsid w:val="00925F61"/>
    <w:rsid w:val="00926013"/>
    <w:rsid w:val="00926EB8"/>
    <w:rsid w:val="00927DE5"/>
    <w:rsid w:val="00930B28"/>
    <w:rsid w:val="009312E4"/>
    <w:rsid w:val="009314E6"/>
    <w:rsid w:val="00932834"/>
    <w:rsid w:val="00933AC1"/>
    <w:rsid w:val="00933B4A"/>
    <w:rsid w:val="00934B25"/>
    <w:rsid w:val="00935BBF"/>
    <w:rsid w:val="00935E1F"/>
    <w:rsid w:val="009368CE"/>
    <w:rsid w:val="00937F43"/>
    <w:rsid w:val="0094254B"/>
    <w:rsid w:val="0094302C"/>
    <w:rsid w:val="0094426B"/>
    <w:rsid w:val="009446B9"/>
    <w:rsid w:val="009448F5"/>
    <w:rsid w:val="00945D02"/>
    <w:rsid w:val="00946933"/>
    <w:rsid w:val="00946B26"/>
    <w:rsid w:val="00947090"/>
    <w:rsid w:val="00947A44"/>
    <w:rsid w:val="00947C51"/>
    <w:rsid w:val="009506A7"/>
    <w:rsid w:val="00950D71"/>
    <w:rsid w:val="00951090"/>
    <w:rsid w:val="009544C6"/>
    <w:rsid w:val="00955C0B"/>
    <w:rsid w:val="00955DCD"/>
    <w:rsid w:val="00960A59"/>
    <w:rsid w:val="00962602"/>
    <w:rsid w:val="00962A9D"/>
    <w:rsid w:val="00963297"/>
    <w:rsid w:val="00963CBC"/>
    <w:rsid w:val="0096432F"/>
    <w:rsid w:val="009664DC"/>
    <w:rsid w:val="00966CEA"/>
    <w:rsid w:val="00967207"/>
    <w:rsid w:val="00967EC8"/>
    <w:rsid w:val="00970B9F"/>
    <w:rsid w:val="00971FBE"/>
    <w:rsid w:val="009728D6"/>
    <w:rsid w:val="00973367"/>
    <w:rsid w:val="00973D49"/>
    <w:rsid w:val="009752AE"/>
    <w:rsid w:val="0097544F"/>
    <w:rsid w:val="00975572"/>
    <w:rsid w:val="00977C12"/>
    <w:rsid w:val="0098189F"/>
    <w:rsid w:val="009829A7"/>
    <w:rsid w:val="00983FFE"/>
    <w:rsid w:val="0098598C"/>
    <w:rsid w:val="00986149"/>
    <w:rsid w:val="009861E7"/>
    <w:rsid w:val="009903F2"/>
    <w:rsid w:val="0099057C"/>
    <w:rsid w:val="00990D97"/>
    <w:rsid w:val="00991FE7"/>
    <w:rsid w:val="009932C8"/>
    <w:rsid w:val="0099404A"/>
    <w:rsid w:val="009973A8"/>
    <w:rsid w:val="0099770C"/>
    <w:rsid w:val="009A002C"/>
    <w:rsid w:val="009A0BD7"/>
    <w:rsid w:val="009A191D"/>
    <w:rsid w:val="009A1A86"/>
    <w:rsid w:val="009A3384"/>
    <w:rsid w:val="009A35D3"/>
    <w:rsid w:val="009A44E9"/>
    <w:rsid w:val="009A4640"/>
    <w:rsid w:val="009A52AC"/>
    <w:rsid w:val="009A54C6"/>
    <w:rsid w:val="009A5740"/>
    <w:rsid w:val="009A6297"/>
    <w:rsid w:val="009B07DB"/>
    <w:rsid w:val="009B14DF"/>
    <w:rsid w:val="009B26C1"/>
    <w:rsid w:val="009B3BE9"/>
    <w:rsid w:val="009B4986"/>
    <w:rsid w:val="009B6C69"/>
    <w:rsid w:val="009B6E50"/>
    <w:rsid w:val="009B7E3F"/>
    <w:rsid w:val="009C071E"/>
    <w:rsid w:val="009C1DFF"/>
    <w:rsid w:val="009C22E0"/>
    <w:rsid w:val="009C307B"/>
    <w:rsid w:val="009C3918"/>
    <w:rsid w:val="009C4EEB"/>
    <w:rsid w:val="009C5975"/>
    <w:rsid w:val="009D02B5"/>
    <w:rsid w:val="009D0466"/>
    <w:rsid w:val="009D0C9B"/>
    <w:rsid w:val="009D2355"/>
    <w:rsid w:val="009D2CA7"/>
    <w:rsid w:val="009D368F"/>
    <w:rsid w:val="009D37E3"/>
    <w:rsid w:val="009D3E59"/>
    <w:rsid w:val="009D3ED1"/>
    <w:rsid w:val="009D5653"/>
    <w:rsid w:val="009D5756"/>
    <w:rsid w:val="009D5A07"/>
    <w:rsid w:val="009D6FD8"/>
    <w:rsid w:val="009D79A6"/>
    <w:rsid w:val="009D7D03"/>
    <w:rsid w:val="009E0041"/>
    <w:rsid w:val="009E1E07"/>
    <w:rsid w:val="009E1E30"/>
    <w:rsid w:val="009E31AD"/>
    <w:rsid w:val="009E4A70"/>
    <w:rsid w:val="009E52DD"/>
    <w:rsid w:val="009E537D"/>
    <w:rsid w:val="009E6191"/>
    <w:rsid w:val="009E65BF"/>
    <w:rsid w:val="009E6820"/>
    <w:rsid w:val="009E68B1"/>
    <w:rsid w:val="009E727E"/>
    <w:rsid w:val="009F0D68"/>
    <w:rsid w:val="009F10AA"/>
    <w:rsid w:val="009F1DC5"/>
    <w:rsid w:val="009F23FB"/>
    <w:rsid w:val="009F2D86"/>
    <w:rsid w:val="009F3D3D"/>
    <w:rsid w:val="009F5BED"/>
    <w:rsid w:val="00A00B6F"/>
    <w:rsid w:val="00A019E7"/>
    <w:rsid w:val="00A02653"/>
    <w:rsid w:val="00A05664"/>
    <w:rsid w:val="00A05B88"/>
    <w:rsid w:val="00A05E97"/>
    <w:rsid w:val="00A06D46"/>
    <w:rsid w:val="00A0722E"/>
    <w:rsid w:val="00A07B74"/>
    <w:rsid w:val="00A112AF"/>
    <w:rsid w:val="00A127AE"/>
    <w:rsid w:val="00A13061"/>
    <w:rsid w:val="00A138DC"/>
    <w:rsid w:val="00A13E05"/>
    <w:rsid w:val="00A140C5"/>
    <w:rsid w:val="00A14403"/>
    <w:rsid w:val="00A14804"/>
    <w:rsid w:val="00A14A2A"/>
    <w:rsid w:val="00A15445"/>
    <w:rsid w:val="00A16092"/>
    <w:rsid w:val="00A17832"/>
    <w:rsid w:val="00A17918"/>
    <w:rsid w:val="00A20403"/>
    <w:rsid w:val="00A20C62"/>
    <w:rsid w:val="00A21AFC"/>
    <w:rsid w:val="00A22D2F"/>
    <w:rsid w:val="00A2333F"/>
    <w:rsid w:val="00A2338B"/>
    <w:rsid w:val="00A23D37"/>
    <w:rsid w:val="00A24F4F"/>
    <w:rsid w:val="00A258E3"/>
    <w:rsid w:val="00A26337"/>
    <w:rsid w:val="00A26A82"/>
    <w:rsid w:val="00A27826"/>
    <w:rsid w:val="00A27B97"/>
    <w:rsid w:val="00A27FF8"/>
    <w:rsid w:val="00A31253"/>
    <w:rsid w:val="00A31649"/>
    <w:rsid w:val="00A3308A"/>
    <w:rsid w:val="00A33134"/>
    <w:rsid w:val="00A35F82"/>
    <w:rsid w:val="00A36073"/>
    <w:rsid w:val="00A40995"/>
    <w:rsid w:val="00A4129E"/>
    <w:rsid w:val="00A43984"/>
    <w:rsid w:val="00A4643C"/>
    <w:rsid w:val="00A4726A"/>
    <w:rsid w:val="00A50269"/>
    <w:rsid w:val="00A50720"/>
    <w:rsid w:val="00A51DDF"/>
    <w:rsid w:val="00A52C53"/>
    <w:rsid w:val="00A530B1"/>
    <w:rsid w:val="00A5312F"/>
    <w:rsid w:val="00A53415"/>
    <w:rsid w:val="00A53D12"/>
    <w:rsid w:val="00A54818"/>
    <w:rsid w:val="00A54CF2"/>
    <w:rsid w:val="00A55120"/>
    <w:rsid w:val="00A55291"/>
    <w:rsid w:val="00A57069"/>
    <w:rsid w:val="00A60ED3"/>
    <w:rsid w:val="00A66049"/>
    <w:rsid w:val="00A67924"/>
    <w:rsid w:val="00A70124"/>
    <w:rsid w:val="00A7512D"/>
    <w:rsid w:val="00A762CF"/>
    <w:rsid w:val="00A767A7"/>
    <w:rsid w:val="00A770A7"/>
    <w:rsid w:val="00A77507"/>
    <w:rsid w:val="00A7754D"/>
    <w:rsid w:val="00A77997"/>
    <w:rsid w:val="00A77BE9"/>
    <w:rsid w:val="00A77EE0"/>
    <w:rsid w:val="00A8213D"/>
    <w:rsid w:val="00A839D2"/>
    <w:rsid w:val="00A839D5"/>
    <w:rsid w:val="00A83AC7"/>
    <w:rsid w:val="00A84502"/>
    <w:rsid w:val="00A8499D"/>
    <w:rsid w:val="00A84B22"/>
    <w:rsid w:val="00A850C1"/>
    <w:rsid w:val="00A855C8"/>
    <w:rsid w:val="00A85721"/>
    <w:rsid w:val="00A86A0C"/>
    <w:rsid w:val="00A91D02"/>
    <w:rsid w:val="00A91F6F"/>
    <w:rsid w:val="00A92C07"/>
    <w:rsid w:val="00A93198"/>
    <w:rsid w:val="00A9424E"/>
    <w:rsid w:val="00A94E6A"/>
    <w:rsid w:val="00A95361"/>
    <w:rsid w:val="00A966F3"/>
    <w:rsid w:val="00A974BA"/>
    <w:rsid w:val="00AA1914"/>
    <w:rsid w:val="00AA24C2"/>
    <w:rsid w:val="00AA4333"/>
    <w:rsid w:val="00AA53BF"/>
    <w:rsid w:val="00AA6A37"/>
    <w:rsid w:val="00AB0241"/>
    <w:rsid w:val="00AB04AF"/>
    <w:rsid w:val="00AB0976"/>
    <w:rsid w:val="00AB195A"/>
    <w:rsid w:val="00AB3AFA"/>
    <w:rsid w:val="00AB52E2"/>
    <w:rsid w:val="00AB5312"/>
    <w:rsid w:val="00AB5525"/>
    <w:rsid w:val="00AB6DE7"/>
    <w:rsid w:val="00AB6E82"/>
    <w:rsid w:val="00AC035E"/>
    <w:rsid w:val="00AC04A2"/>
    <w:rsid w:val="00AC1E18"/>
    <w:rsid w:val="00AC30E6"/>
    <w:rsid w:val="00AC3A27"/>
    <w:rsid w:val="00AC3A3A"/>
    <w:rsid w:val="00AC5611"/>
    <w:rsid w:val="00AC59D1"/>
    <w:rsid w:val="00AC5CE2"/>
    <w:rsid w:val="00AC64F0"/>
    <w:rsid w:val="00AC6D5A"/>
    <w:rsid w:val="00AD0379"/>
    <w:rsid w:val="00AD234E"/>
    <w:rsid w:val="00AD2A27"/>
    <w:rsid w:val="00AD34A3"/>
    <w:rsid w:val="00AD41ED"/>
    <w:rsid w:val="00AD4BA8"/>
    <w:rsid w:val="00AD544C"/>
    <w:rsid w:val="00AD5E0A"/>
    <w:rsid w:val="00AD601F"/>
    <w:rsid w:val="00AD7B3F"/>
    <w:rsid w:val="00AE0144"/>
    <w:rsid w:val="00AE05F5"/>
    <w:rsid w:val="00AE19A0"/>
    <w:rsid w:val="00AE1A75"/>
    <w:rsid w:val="00AE4694"/>
    <w:rsid w:val="00AE4963"/>
    <w:rsid w:val="00AE6171"/>
    <w:rsid w:val="00AE6592"/>
    <w:rsid w:val="00AE6CC6"/>
    <w:rsid w:val="00AF019A"/>
    <w:rsid w:val="00AF0682"/>
    <w:rsid w:val="00AF0992"/>
    <w:rsid w:val="00AF0B7B"/>
    <w:rsid w:val="00AF2474"/>
    <w:rsid w:val="00AF5B96"/>
    <w:rsid w:val="00AF746D"/>
    <w:rsid w:val="00B00254"/>
    <w:rsid w:val="00B0091A"/>
    <w:rsid w:val="00B0144B"/>
    <w:rsid w:val="00B016AC"/>
    <w:rsid w:val="00B018AF"/>
    <w:rsid w:val="00B03133"/>
    <w:rsid w:val="00B04D8E"/>
    <w:rsid w:val="00B053F4"/>
    <w:rsid w:val="00B05783"/>
    <w:rsid w:val="00B0710D"/>
    <w:rsid w:val="00B0737C"/>
    <w:rsid w:val="00B07F3F"/>
    <w:rsid w:val="00B11341"/>
    <w:rsid w:val="00B114A0"/>
    <w:rsid w:val="00B114F0"/>
    <w:rsid w:val="00B11FA4"/>
    <w:rsid w:val="00B12060"/>
    <w:rsid w:val="00B12137"/>
    <w:rsid w:val="00B12A7B"/>
    <w:rsid w:val="00B12D3B"/>
    <w:rsid w:val="00B12EA1"/>
    <w:rsid w:val="00B130FE"/>
    <w:rsid w:val="00B13724"/>
    <w:rsid w:val="00B1374F"/>
    <w:rsid w:val="00B163FF"/>
    <w:rsid w:val="00B16A1C"/>
    <w:rsid w:val="00B172D2"/>
    <w:rsid w:val="00B20E30"/>
    <w:rsid w:val="00B217FC"/>
    <w:rsid w:val="00B21E64"/>
    <w:rsid w:val="00B2296B"/>
    <w:rsid w:val="00B229F8"/>
    <w:rsid w:val="00B23B85"/>
    <w:rsid w:val="00B25AE9"/>
    <w:rsid w:val="00B307CF"/>
    <w:rsid w:val="00B32EAF"/>
    <w:rsid w:val="00B333E6"/>
    <w:rsid w:val="00B337F5"/>
    <w:rsid w:val="00B34698"/>
    <w:rsid w:val="00B34ECF"/>
    <w:rsid w:val="00B35EE2"/>
    <w:rsid w:val="00B3675E"/>
    <w:rsid w:val="00B36A22"/>
    <w:rsid w:val="00B379B9"/>
    <w:rsid w:val="00B40491"/>
    <w:rsid w:val="00B40500"/>
    <w:rsid w:val="00B429EB"/>
    <w:rsid w:val="00B46D50"/>
    <w:rsid w:val="00B4793C"/>
    <w:rsid w:val="00B50558"/>
    <w:rsid w:val="00B514ED"/>
    <w:rsid w:val="00B51A2A"/>
    <w:rsid w:val="00B51A8D"/>
    <w:rsid w:val="00B54213"/>
    <w:rsid w:val="00B54661"/>
    <w:rsid w:val="00B547CB"/>
    <w:rsid w:val="00B5488F"/>
    <w:rsid w:val="00B54F1C"/>
    <w:rsid w:val="00B55BAF"/>
    <w:rsid w:val="00B56ACF"/>
    <w:rsid w:val="00B6064D"/>
    <w:rsid w:val="00B6133A"/>
    <w:rsid w:val="00B63ABD"/>
    <w:rsid w:val="00B64B17"/>
    <w:rsid w:val="00B66864"/>
    <w:rsid w:val="00B67744"/>
    <w:rsid w:val="00B6794F"/>
    <w:rsid w:val="00B71124"/>
    <w:rsid w:val="00B72583"/>
    <w:rsid w:val="00B729A1"/>
    <w:rsid w:val="00B73366"/>
    <w:rsid w:val="00B73C08"/>
    <w:rsid w:val="00B74BFA"/>
    <w:rsid w:val="00B761D6"/>
    <w:rsid w:val="00B763E3"/>
    <w:rsid w:val="00B76E5B"/>
    <w:rsid w:val="00B803B3"/>
    <w:rsid w:val="00B82293"/>
    <w:rsid w:val="00B825DE"/>
    <w:rsid w:val="00B82DDE"/>
    <w:rsid w:val="00B849C8"/>
    <w:rsid w:val="00B85774"/>
    <w:rsid w:val="00B8579D"/>
    <w:rsid w:val="00B85B37"/>
    <w:rsid w:val="00B923E3"/>
    <w:rsid w:val="00B93D94"/>
    <w:rsid w:val="00B9500F"/>
    <w:rsid w:val="00B955CD"/>
    <w:rsid w:val="00B9618E"/>
    <w:rsid w:val="00B96DB6"/>
    <w:rsid w:val="00BA046B"/>
    <w:rsid w:val="00BA0580"/>
    <w:rsid w:val="00BA3850"/>
    <w:rsid w:val="00BA6EDA"/>
    <w:rsid w:val="00BA70C1"/>
    <w:rsid w:val="00BA7508"/>
    <w:rsid w:val="00BA7770"/>
    <w:rsid w:val="00BB0D31"/>
    <w:rsid w:val="00BB1103"/>
    <w:rsid w:val="00BB17F1"/>
    <w:rsid w:val="00BB22C6"/>
    <w:rsid w:val="00BB2975"/>
    <w:rsid w:val="00BB3894"/>
    <w:rsid w:val="00BB3D71"/>
    <w:rsid w:val="00BB430C"/>
    <w:rsid w:val="00BB504D"/>
    <w:rsid w:val="00BB6442"/>
    <w:rsid w:val="00BB71F5"/>
    <w:rsid w:val="00BB79C0"/>
    <w:rsid w:val="00BC0991"/>
    <w:rsid w:val="00BC2827"/>
    <w:rsid w:val="00BC290C"/>
    <w:rsid w:val="00BC4218"/>
    <w:rsid w:val="00BC5356"/>
    <w:rsid w:val="00BC5A1B"/>
    <w:rsid w:val="00BC5CB8"/>
    <w:rsid w:val="00BC7E36"/>
    <w:rsid w:val="00BD02A5"/>
    <w:rsid w:val="00BD0928"/>
    <w:rsid w:val="00BD14F7"/>
    <w:rsid w:val="00BD17A0"/>
    <w:rsid w:val="00BD1CAD"/>
    <w:rsid w:val="00BE1367"/>
    <w:rsid w:val="00BE211F"/>
    <w:rsid w:val="00BE24D2"/>
    <w:rsid w:val="00BE252E"/>
    <w:rsid w:val="00BE65BC"/>
    <w:rsid w:val="00BE6825"/>
    <w:rsid w:val="00BE77A4"/>
    <w:rsid w:val="00BE7E9A"/>
    <w:rsid w:val="00BF1CFD"/>
    <w:rsid w:val="00BF30D8"/>
    <w:rsid w:val="00BF3201"/>
    <w:rsid w:val="00BF359A"/>
    <w:rsid w:val="00BF35B9"/>
    <w:rsid w:val="00BF538C"/>
    <w:rsid w:val="00BF55ED"/>
    <w:rsid w:val="00BF79AE"/>
    <w:rsid w:val="00BF7E06"/>
    <w:rsid w:val="00C0067C"/>
    <w:rsid w:val="00C00AAD"/>
    <w:rsid w:val="00C00B7C"/>
    <w:rsid w:val="00C02635"/>
    <w:rsid w:val="00C02C54"/>
    <w:rsid w:val="00C0400F"/>
    <w:rsid w:val="00C04257"/>
    <w:rsid w:val="00C061C1"/>
    <w:rsid w:val="00C07173"/>
    <w:rsid w:val="00C0768B"/>
    <w:rsid w:val="00C07C23"/>
    <w:rsid w:val="00C07C42"/>
    <w:rsid w:val="00C101F9"/>
    <w:rsid w:val="00C121DE"/>
    <w:rsid w:val="00C1382E"/>
    <w:rsid w:val="00C14A80"/>
    <w:rsid w:val="00C14E67"/>
    <w:rsid w:val="00C15DB6"/>
    <w:rsid w:val="00C16693"/>
    <w:rsid w:val="00C16CE0"/>
    <w:rsid w:val="00C206E9"/>
    <w:rsid w:val="00C207AE"/>
    <w:rsid w:val="00C22D96"/>
    <w:rsid w:val="00C24E6E"/>
    <w:rsid w:val="00C24FEF"/>
    <w:rsid w:val="00C25333"/>
    <w:rsid w:val="00C25A21"/>
    <w:rsid w:val="00C25F00"/>
    <w:rsid w:val="00C2605C"/>
    <w:rsid w:val="00C27EC5"/>
    <w:rsid w:val="00C3036A"/>
    <w:rsid w:val="00C30F9C"/>
    <w:rsid w:val="00C32053"/>
    <w:rsid w:val="00C347FE"/>
    <w:rsid w:val="00C41F4D"/>
    <w:rsid w:val="00C42BE0"/>
    <w:rsid w:val="00C43425"/>
    <w:rsid w:val="00C43DBE"/>
    <w:rsid w:val="00C44222"/>
    <w:rsid w:val="00C506B8"/>
    <w:rsid w:val="00C51332"/>
    <w:rsid w:val="00C529F4"/>
    <w:rsid w:val="00C53EBF"/>
    <w:rsid w:val="00C54269"/>
    <w:rsid w:val="00C55719"/>
    <w:rsid w:val="00C60C81"/>
    <w:rsid w:val="00C60CFC"/>
    <w:rsid w:val="00C62307"/>
    <w:rsid w:val="00C63840"/>
    <w:rsid w:val="00C638BC"/>
    <w:rsid w:val="00C639E3"/>
    <w:rsid w:val="00C64031"/>
    <w:rsid w:val="00C66238"/>
    <w:rsid w:val="00C66327"/>
    <w:rsid w:val="00C66329"/>
    <w:rsid w:val="00C672C3"/>
    <w:rsid w:val="00C700B3"/>
    <w:rsid w:val="00C71CA1"/>
    <w:rsid w:val="00C72962"/>
    <w:rsid w:val="00C72A17"/>
    <w:rsid w:val="00C73F82"/>
    <w:rsid w:val="00C745EE"/>
    <w:rsid w:val="00C75425"/>
    <w:rsid w:val="00C75E45"/>
    <w:rsid w:val="00C76082"/>
    <w:rsid w:val="00C802B6"/>
    <w:rsid w:val="00C8065B"/>
    <w:rsid w:val="00C81437"/>
    <w:rsid w:val="00C8323C"/>
    <w:rsid w:val="00C842CF"/>
    <w:rsid w:val="00C8579B"/>
    <w:rsid w:val="00C86F12"/>
    <w:rsid w:val="00C90862"/>
    <w:rsid w:val="00C92C0A"/>
    <w:rsid w:val="00C92ED8"/>
    <w:rsid w:val="00C93BBE"/>
    <w:rsid w:val="00C94AC7"/>
    <w:rsid w:val="00C95888"/>
    <w:rsid w:val="00C95B0B"/>
    <w:rsid w:val="00C97244"/>
    <w:rsid w:val="00C97793"/>
    <w:rsid w:val="00C97DFA"/>
    <w:rsid w:val="00CA02D1"/>
    <w:rsid w:val="00CA27FC"/>
    <w:rsid w:val="00CA3518"/>
    <w:rsid w:val="00CA459A"/>
    <w:rsid w:val="00CA490C"/>
    <w:rsid w:val="00CA4DBA"/>
    <w:rsid w:val="00CA57DB"/>
    <w:rsid w:val="00CB006D"/>
    <w:rsid w:val="00CB0961"/>
    <w:rsid w:val="00CB0A68"/>
    <w:rsid w:val="00CB2D9F"/>
    <w:rsid w:val="00CB2FFB"/>
    <w:rsid w:val="00CB45C7"/>
    <w:rsid w:val="00CB523C"/>
    <w:rsid w:val="00CB5A7A"/>
    <w:rsid w:val="00CB7500"/>
    <w:rsid w:val="00CC1BE0"/>
    <w:rsid w:val="00CC1DAA"/>
    <w:rsid w:val="00CC2D59"/>
    <w:rsid w:val="00CC3F97"/>
    <w:rsid w:val="00CC4DB6"/>
    <w:rsid w:val="00CC511F"/>
    <w:rsid w:val="00CC5BE9"/>
    <w:rsid w:val="00CC5EDB"/>
    <w:rsid w:val="00CC6A85"/>
    <w:rsid w:val="00CC7426"/>
    <w:rsid w:val="00CC75C5"/>
    <w:rsid w:val="00CC766E"/>
    <w:rsid w:val="00CC773C"/>
    <w:rsid w:val="00CC7A9E"/>
    <w:rsid w:val="00CD036C"/>
    <w:rsid w:val="00CD2686"/>
    <w:rsid w:val="00CD2B54"/>
    <w:rsid w:val="00CD45EC"/>
    <w:rsid w:val="00CD46BA"/>
    <w:rsid w:val="00CD6123"/>
    <w:rsid w:val="00CD74E9"/>
    <w:rsid w:val="00CE0199"/>
    <w:rsid w:val="00CE0E73"/>
    <w:rsid w:val="00CE1D64"/>
    <w:rsid w:val="00CE26F6"/>
    <w:rsid w:val="00CE36FC"/>
    <w:rsid w:val="00CE465A"/>
    <w:rsid w:val="00CE51BA"/>
    <w:rsid w:val="00CE712C"/>
    <w:rsid w:val="00CE7422"/>
    <w:rsid w:val="00CE7981"/>
    <w:rsid w:val="00CF1597"/>
    <w:rsid w:val="00CF2EC6"/>
    <w:rsid w:val="00CF2F34"/>
    <w:rsid w:val="00CF35D8"/>
    <w:rsid w:val="00CF7A61"/>
    <w:rsid w:val="00D01EF4"/>
    <w:rsid w:val="00D03E47"/>
    <w:rsid w:val="00D043C2"/>
    <w:rsid w:val="00D0565E"/>
    <w:rsid w:val="00D064ED"/>
    <w:rsid w:val="00D07A35"/>
    <w:rsid w:val="00D10883"/>
    <w:rsid w:val="00D109B7"/>
    <w:rsid w:val="00D1165A"/>
    <w:rsid w:val="00D12EA7"/>
    <w:rsid w:val="00D15612"/>
    <w:rsid w:val="00D15A69"/>
    <w:rsid w:val="00D16347"/>
    <w:rsid w:val="00D17B80"/>
    <w:rsid w:val="00D2057A"/>
    <w:rsid w:val="00D20C28"/>
    <w:rsid w:val="00D20C63"/>
    <w:rsid w:val="00D22520"/>
    <w:rsid w:val="00D22C5B"/>
    <w:rsid w:val="00D2366D"/>
    <w:rsid w:val="00D244D6"/>
    <w:rsid w:val="00D24B98"/>
    <w:rsid w:val="00D24FEB"/>
    <w:rsid w:val="00D25C8D"/>
    <w:rsid w:val="00D25CA6"/>
    <w:rsid w:val="00D25DB4"/>
    <w:rsid w:val="00D27751"/>
    <w:rsid w:val="00D27AC6"/>
    <w:rsid w:val="00D32111"/>
    <w:rsid w:val="00D32C36"/>
    <w:rsid w:val="00D33E9B"/>
    <w:rsid w:val="00D357C8"/>
    <w:rsid w:val="00D35AAD"/>
    <w:rsid w:val="00D367AF"/>
    <w:rsid w:val="00D36827"/>
    <w:rsid w:val="00D4008B"/>
    <w:rsid w:val="00D403D8"/>
    <w:rsid w:val="00D41874"/>
    <w:rsid w:val="00D42447"/>
    <w:rsid w:val="00D4516C"/>
    <w:rsid w:val="00D45465"/>
    <w:rsid w:val="00D46045"/>
    <w:rsid w:val="00D46C0A"/>
    <w:rsid w:val="00D508A1"/>
    <w:rsid w:val="00D509FF"/>
    <w:rsid w:val="00D50F8D"/>
    <w:rsid w:val="00D511D7"/>
    <w:rsid w:val="00D53241"/>
    <w:rsid w:val="00D538FF"/>
    <w:rsid w:val="00D53A1A"/>
    <w:rsid w:val="00D53F28"/>
    <w:rsid w:val="00D55D7D"/>
    <w:rsid w:val="00D56B58"/>
    <w:rsid w:val="00D5703C"/>
    <w:rsid w:val="00D57091"/>
    <w:rsid w:val="00D5774A"/>
    <w:rsid w:val="00D5774C"/>
    <w:rsid w:val="00D606E5"/>
    <w:rsid w:val="00D64BBD"/>
    <w:rsid w:val="00D70652"/>
    <w:rsid w:val="00D70C98"/>
    <w:rsid w:val="00D70CFE"/>
    <w:rsid w:val="00D71476"/>
    <w:rsid w:val="00D71E8D"/>
    <w:rsid w:val="00D72466"/>
    <w:rsid w:val="00D73C46"/>
    <w:rsid w:val="00D745ED"/>
    <w:rsid w:val="00D747A2"/>
    <w:rsid w:val="00D76AEC"/>
    <w:rsid w:val="00D813D3"/>
    <w:rsid w:val="00D82046"/>
    <w:rsid w:val="00D82CB9"/>
    <w:rsid w:val="00D833A7"/>
    <w:rsid w:val="00D85D6C"/>
    <w:rsid w:val="00D85DBB"/>
    <w:rsid w:val="00D862E4"/>
    <w:rsid w:val="00D86CBD"/>
    <w:rsid w:val="00D902AA"/>
    <w:rsid w:val="00D94FDF"/>
    <w:rsid w:val="00D95B28"/>
    <w:rsid w:val="00D96107"/>
    <w:rsid w:val="00D9673C"/>
    <w:rsid w:val="00D972C9"/>
    <w:rsid w:val="00D973AC"/>
    <w:rsid w:val="00D97CAE"/>
    <w:rsid w:val="00D97E2E"/>
    <w:rsid w:val="00D97F9A"/>
    <w:rsid w:val="00DA1291"/>
    <w:rsid w:val="00DA17B4"/>
    <w:rsid w:val="00DA1874"/>
    <w:rsid w:val="00DA204C"/>
    <w:rsid w:val="00DA247B"/>
    <w:rsid w:val="00DA2713"/>
    <w:rsid w:val="00DA7FE8"/>
    <w:rsid w:val="00DB044B"/>
    <w:rsid w:val="00DB06FF"/>
    <w:rsid w:val="00DB1388"/>
    <w:rsid w:val="00DB1608"/>
    <w:rsid w:val="00DB1F23"/>
    <w:rsid w:val="00DB2788"/>
    <w:rsid w:val="00DB31F8"/>
    <w:rsid w:val="00DB57A5"/>
    <w:rsid w:val="00DB61E1"/>
    <w:rsid w:val="00DB6944"/>
    <w:rsid w:val="00DB6B05"/>
    <w:rsid w:val="00DB74E9"/>
    <w:rsid w:val="00DC0881"/>
    <w:rsid w:val="00DC08AF"/>
    <w:rsid w:val="00DC0D58"/>
    <w:rsid w:val="00DC2699"/>
    <w:rsid w:val="00DC43F6"/>
    <w:rsid w:val="00DC4719"/>
    <w:rsid w:val="00DC5D2D"/>
    <w:rsid w:val="00DC5DF9"/>
    <w:rsid w:val="00DC64C0"/>
    <w:rsid w:val="00DC78C1"/>
    <w:rsid w:val="00DD04C1"/>
    <w:rsid w:val="00DD134B"/>
    <w:rsid w:val="00DD1E3F"/>
    <w:rsid w:val="00DD42C1"/>
    <w:rsid w:val="00DD456B"/>
    <w:rsid w:val="00DD46CD"/>
    <w:rsid w:val="00DD5863"/>
    <w:rsid w:val="00DD6988"/>
    <w:rsid w:val="00DE05F9"/>
    <w:rsid w:val="00DE2D86"/>
    <w:rsid w:val="00DE3EA6"/>
    <w:rsid w:val="00DE5CA1"/>
    <w:rsid w:val="00DE6583"/>
    <w:rsid w:val="00DE7CDD"/>
    <w:rsid w:val="00DF0FA4"/>
    <w:rsid w:val="00DF1ADC"/>
    <w:rsid w:val="00DF2464"/>
    <w:rsid w:val="00DF2A52"/>
    <w:rsid w:val="00DF37E5"/>
    <w:rsid w:val="00DF5BCF"/>
    <w:rsid w:val="00DF5D9D"/>
    <w:rsid w:val="00DF5DBC"/>
    <w:rsid w:val="00DF5FFC"/>
    <w:rsid w:val="00E00735"/>
    <w:rsid w:val="00E04C6F"/>
    <w:rsid w:val="00E052E1"/>
    <w:rsid w:val="00E05FD7"/>
    <w:rsid w:val="00E06A0B"/>
    <w:rsid w:val="00E0705F"/>
    <w:rsid w:val="00E10917"/>
    <w:rsid w:val="00E11015"/>
    <w:rsid w:val="00E135BC"/>
    <w:rsid w:val="00E137C5"/>
    <w:rsid w:val="00E13E7F"/>
    <w:rsid w:val="00E14195"/>
    <w:rsid w:val="00E14AEB"/>
    <w:rsid w:val="00E153F3"/>
    <w:rsid w:val="00E16A07"/>
    <w:rsid w:val="00E17263"/>
    <w:rsid w:val="00E20235"/>
    <w:rsid w:val="00E211DE"/>
    <w:rsid w:val="00E213EB"/>
    <w:rsid w:val="00E21633"/>
    <w:rsid w:val="00E22B29"/>
    <w:rsid w:val="00E2354C"/>
    <w:rsid w:val="00E24BB0"/>
    <w:rsid w:val="00E260B9"/>
    <w:rsid w:val="00E26109"/>
    <w:rsid w:val="00E26509"/>
    <w:rsid w:val="00E2692E"/>
    <w:rsid w:val="00E306CE"/>
    <w:rsid w:val="00E31BF9"/>
    <w:rsid w:val="00E31F63"/>
    <w:rsid w:val="00E3225B"/>
    <w:rsid w:val="00E336A1"/>
    <w:rsid w:val="00E33B20"/>
    <w:rsid w:val="00E35FA1"/>
    <w:rsid w:val="00E36668"/>
    <w:rsid w:val="00E3700E"/>
    <w:rsid w:val="00E37225"/>
    <w:rsid w:val="00E400F1"/>
    <w:rsid w:val="00E40CA8"/>
    <w:rsid w:val="00E41834"/>
    <w:rsid w:val="00E44093"/>
    <w:rsid w:val="00E44B15"/>
    <w:rsid w:val="00E44D76"/>
    <w:rsid w:val="00E45293"/>
    <w:rsid w:val="00E45EF9"/>
    <w:rsid w:val="00E45FE9"/>
    <w:rsid w:val="00E46680"/>
    <w:rsid w:val="00E46A95"/>
    <w:rsid w:val="00E47CFA"/>
    <w:rsid w:val="00E5069E"/>
    <w:rsid w:val="00E5084F"/>
    <w:rsid w:val="00E52477"/>
    <w:rsid w:val="00E52655"/>
    <w:rsid w:val="00E52A1D"/>
    <w:rsid w:val="00E5382F"/>
    <w:rsid w:val="00E540F9"/>
    <w:rsid w:val="00E5440B"/>
    <w:rsid w:val="00E558D5"/>
    <w:rsid w:val="00E559A4"/>
    <w:rsid w:val="00E55B28"/>
    <w:rsid w:val="00E601DF"/>
    <w:rsid w:val="00E6197F"/>
    <w:rsid w:val="00E6488C"/>
    <w:rsid w:val="00E6550F"/>
    <w:rsid w:val="00E66632"/>
    <w:rsid w:val="00E6683E"/>
    <w:rsid w:val="00E66BCE"/>
    <w:rsid w:val="00E6775F"/>
    <w:rsid w:val="00E70613"/>
    <w:rsid w:val="00E70A59"/>
    <w:rsid w:val="00E70ADB"/>
    <w:rsid w:val="00E7188B"/>
    <w:rsid w:val="00E726F0"/>
    <w:rsid w:val="00E72984"/>
    <w:rsid w:val="00E738D6"/>
    <w:rsid w:val="00E747B2"/>
    <w:rsid w:val="00E75139"/>
    <w:rsid w:val="00E75712"/>
    <w:rsid w:val="00E75D6E"/>
    <w:rsid w:val="00E77295"/>
    <w:rsid w:val="00E81A0D"/>
    <w:rsid w:val="00E82AE2"/>
    <w:rsid w:val="00E8371E"/>
    <w:rsid w:val="00E83984"/>
    <w:rsid w:val="00E8567B"/>
    <w:rsid w:val="00E859F5"/>
    <w:rsid w:val="00E85A59"/>
    <w:rsid w:val="00E85D8A"/>
    <w:rsid w:val="00E901C7"/>
    <w:rsid w:val="00E908F1"/>
    <w:rsid w:val="00E92312"/>
    <w:rsid w:val="00E92352"/>
    <w:rsid w:val="00E92F85"/>
    <w:rsid w:val="00E93740"/>
    <w:rsid w:val="00E9490B"/>
    <w:rsid w:val="00E95170"/>
    <w:rsid w:val="00E96C61"/>
    <w:rsid w:val="00EA17CB"/>
    <w:rsid w:val="00EA1C55"/>
    <w:rsid w:val="00EA1E87"/>
    <w:rsid w:val="00EA2524"/>
    <w:rsid w:val="00EA2750"/>
    <w:rsid w:val="00EA280E"/>
    <w:rsid w:val="00EA360B"/>
    <w:rsid w:val="00EA3912"/>
    <w:rsid w:val="00EA49AD"/>
    <w:rsid w:val="00EA4FB6"/>
    <w:rsid w:val="00EA7155"/>
    <w:rsid w:val="00EA7EC5"/>
    <w:rsid w:val="00EB0FB5"/>
    <w:rsid w:val="00EB1811"/>
    <w:rsid w:val="00EB1989"/>
    <w:rsid w:val="00EB2691"/>
    <w:rsid w:val="00EB2AAB"/>
    <w:rsid w:val="00EB2CCB"/>
    <w:rsid w:val="00EB4022"/>
    <w:rsid w:val="00EB43C8"/>
    <w:rsid w:val="00EB49DA"/>
    <w:rsid w:val="00EB7015"/>
    <w:rsid w:val="00EC1223"/>
    <w:rsid w:val="00EC176A"/>
    <w:rsid w:val="00EC46B7"/>
    <w:rsid w:val="00EC4E55"/>
    <w:rsid w:val="00EC575C"/>
    <w:rsid w:val="00EC5D5F"/>
    <w:rsid w:val="00EC7CD8"/>
    <w:rsid w:val="00EC7F72"/>
    <w:rsid w:val="00ED30BA"/>
    <w:rsid w:val="00ED312D"/>
    <w:rsid w:val="00ED3773"/>
    <w:rsid w:val="00ED6F30"/>
    <w:rsid w:val="00ED7BAF"/>
    <w:rsid w:val="00ED7BE6"/>
    <w:rsid w:val="00EE1FA5"/>
    <w:rsid w:val="00EE4BE0"/>
    <w:rsid w:val="00EE5229"/>
    <w:rsid w:val="00EE524B"/>
    <w:rsid w:val="00EE5B70"/>
    <w:rsid w:val="00EE73CE"/>
    <w:rsid w:val="00EE77C6"/>
    <w:rsid w:val="00EE7C64"/>
    <w:rsid w:val="00EF1077"/>
    <w:rsid w:val="00EF17C0"/>
    <w:rsid w:val="00EF2BE3"/>
    <w:rsid w:val="00EF4F8B"/>
    <w:rsid w:val="00F00BA7"/>
    <w:rsid w:val="00F00DA5"/>
    <w:rsid w:val="00F00F6D"/>
    <w:rsid w:val="00F01465"/>
    <w:rsid w:val="00F041F5"/>
    <w:rsid w:val="00F07759"/>
    <w:rsid w:val="00F11878"/>
    <w:rsid w:val="00F12E17"/>
    <w:rsid w:val="00F13247"/>
    <w:rsid w:val="00F1342C"/>
    <w:rsid w:val="00F13D85"/>
    <w:rsid w:val="00F13E73"/>
    <w:rsid w:val="00F13F69"/>
    <w:rsid w:val="00F145E2"/>
    <w:rsid w:val="00F14AE8"/>
    <w:rsid w:val="00F152B1"/>
    <w:rsid w:val="00F1586B"/>
    <w:rsid w:val="00F204CE"/>
    <w:rsid w:val="00F240A6"/>
    <w:rsid w:val="00F25541"/>
    <w:rsid w:val="00F25EC4"/>
    <w:rsid w:val="00F26DFF"/>
    <w:rsid w:val="00F2748D"/>
    <w:rsid w:val="00F27C7E"/>
    <w:rsid w:val="00F3083F"/>
    <w:rsid w:val="00F31563"/>
    <w:rsid w:val="00F32B41"/>
    <w:rsid w:val="00F341FA"/>
    <w:rsid w:val="00F3428F"/>
    <w:rsid w:val="00F34E36"/>
    <w:rsid w:val="00F3715D"/>
    <w:rsid w:val="00F407F3"/>
    <w:rsid w:val="00F413A3"/>
    <w:rsid w:val="00F41B48"/>
    <w:rsid w:val="00F43F8E"/>
    <w:rsid w:val="00F442C3"/>
    <w:rsid w:val="00F44769"/>
    <w:rsid w:val="00F46E23"/>
    <w:rsid w:val="00F46F53"/>
    <w:rsid w:val="00F47C55"/>
    <w:rsid w:val="00F5075C"/>
    <w:rsid w:val="00F50E1D"/>
    <w:rsid w:val="00F51247"/>
    <w:rsid w:val="00F51B1D"/>
    <w:rsid w:val="00F51B2A"/>
    <w:rsid w:val="00F51E01"/>
    <w:rsid w:val="00F51FF6"/>
    <w:rsid w:val="00F52B88"/>
    <w:rsid w:val="00F52F34"/>
    <w:rsid w:val="00F538FA"/>
    <w:rsid w:val="00F54259"/>
    <w:rsid w:val="00F54F41"/>
    <w:rsid w:val="00F55043"/>
    <w:rsid w:val="00F5534C"/>
    <w:rsid w:val="00F55C68"/>
    <w:rsid w:val="00F56402"/>
    <w:rsid w:val="00F576E1"/>
    <w:rsid w:val="00F57E3C"/>
    <w:rsid w:val="00F601D5"/>
    <w:rsid w:val="00F61165"/>
    <w:rsid w:val="00F62BDB"/>
    <w:rsid w:val="00F640FA"/>
    <w:rsid w:val="00F655B8"/>
    <w:rsid w:val="00F662B2"/>
    <w:rsid w:val="00F66FD9"/>
    <w:rsid w:val="00F6750E"/>
    <w:rsid w:val="00F6793D"/>
    <w:rsid w:val="00F67A5C"/>
    <w:rsid w:val="00F67AE8"/>
    <w:rsid w:val="00F67B06"/>
    <w:rsid w:val="00F7022D"/>
    <w:rsid w:val="00F70983"/>
    <w:rsid w:val="00F7331C"/>
    <w:rsid w:val="00F73429"/>
    <w:rsid w:val="00F77559"/>
    <w:rsid w:val="00F80EFC"/>
    <w:rsid w:val="00F8187C"/>
    <w:rsid w:val="00F82561"/>
    <w:rsid w:val="00F83EDB"/>
    <w:rsid w:val="00F84527"/>
    <w:rsid w:val="00F84FED"/>
    <w:rsid w:val="00F8522E"/>
    <w:rsid w:val="00F85C6E"/>
    <w:rsid w:val="00F86245"/>
    <w:rsid w:val="00F86A86"/>
    <w:rsid w:val="00F913E1"/>
    <w:rsid w:val="00F917C8"/>
    <w:rsid w:val="00F9232F"/>
    <w:rsid w:val="00F92482"/>
    <w:rsid w:val="00F93247"/>
    <w:rsid w:val="00F94C2A"/>
    <w:rsid w:val="00F9567D"/>
    <w:rsid w:val="00F96893"/>
    <w:rsid w:val="00F96FAC"/>
    <w:rsid w:val="00F971A0"/>
    <w:rsid w:val="00F97D18"/>
    <w:rsid w:val="00FA07C5"/>
    <w:rsid w:val="00FA2C6E"/>
    <w:rsid w:val="00FA3422"/>
    <w:rsid w:val="00FA384C"/>
    <w:rsid w:val="00FA56C1"/>
    <w:rsid w:val="00FA5F24"/>
    <w:rsid w:val="00FA6170"/>
    <w:rsid w:val="00FA77A9"/>
    <w:rsid w:val="00FA7C65"/>
    <w:rsid w:val="00FB0024"/>
    <w:rsid w:val="00FB005C"/>
    <w:rsid w:val="00FB0385"/>
    <w:rsid w:val="00FB0436"/>
    <w:rsid w:val="00FB1CEC"/>
    <w:rsid w:val="00FB4D4E"/>
    <w:rsid w:val="00FB64E2"/>
    <w:rsid w:val="00FB6895"/>
    <w:rsid w:val="00FB6F34"/>
    <w:rsid w:val="00FB7CC4"/>
    <w:rsid w:val="00FC0302"/>
    <w:rsid w:val="00FC0755"/>
    <w:rsid w:val="00FC07D8"/>
    <w:rsid w:val="00FC1836"/>
    <w:rsid w:val="00FC4BCC"/>
    <w:rsid w:val="00FC50DA"/>
    <w:rsid w:val="00FC51AE"/>
    <w:rsid w:val="00FC5332"/>
    <w:rsid w:val="00FC561A"/>
    <w:rsid w:val="00FC5B01"/>
    <w:rsid w:val="00FC68F8"/>
    <w:rsid w:val="00FC6C30"/>
    <w:rsid w:val="00FC6C36"/>
    <w:rsid w:val="00FC7735"/>
    <w:rsid w:val="00FC77B5"/>
    <w:rsid w:val="00FC77C8"/>
    <w:rsid w:val="00FD051B"/>
    <w:rsid w:val="00FD0AEE"/>
    <w:rsid w:val="00FD14EB"/>
    <w:rsid w:val="00FD183C"/>
    <w:rsid w:val="00FD2BFA"/>
    <w:rsid w:val="00FD4BAF"/>
    <w:rsid w:val="00FD6514"/>
    <w:rsid w:val="00FD671D"/>
    <w:rsid w:val="00FE1578"/>
    <w:rsid w:val="00FE21ED"/>
    <w:rsid w:val="00FE3DBA"/>
    <w:rsid w:val="00FE4F9D"/>
    <w:rsid w:val="00FE50BF"/>
    <w:rsid w:val="00FE5895"/>
    <w:rsid w:val="00FE6286"/>
    <w:rsid w:val="00FF02BD"/>
    <w:rsid w:val="00FF0BC0"/>
    <w:rsid w:val="00FF1997"/>
    <w:rsid w:val="00FF3058"/>
    <w:rsid w:val="00FF32EF"/>
    <w:rsid w:val="00FF331F"/>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03697D5"/>
  <w15:docId w15:val="{2EFAAF04-AED6-4797-A21D-5991954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494DD0"/>
    <w:pPr>
      <w:spacing w:after="0"/>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DF5D9D"/>
    <w:rPr>
      <w:sz w:val="22"/>
      <w:szCs w:val="22"/>
      <w:lang w:eastAsia="en-US"/>
    </w:rPr>
  </w:style>
  <w:style w:type="table" w:customStyle="1" w:styleId="Tablanormal31">
    <w:name w:val="Tabla normal 31"/>
    <w:basedOn w:val="Tablanormal"/>
    <w:uiPriority w:val="43"/>
    <w:rsid w:val="00104B65"/>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FTnormalCar">
    <w:name w:val="IFT normal Car"/>
    <w:basedOn w:val="Fuentedeprrafopredeter"/>
    <w:link w:val="IFTnormal"/>
    <w:rsid w:val="003216A7"/>
    <w:rPr>
      <w:rFonts w:ascii="ITC Avant Garde" w:eastAsia="Times New Roman" w:hAnsi="ITC Avant Garde"/>
      <w:iCs/>
      <w:sz w:val="22"/>
      <w:szCs w:val="22"/>
      <w:lang w:val="es-ES"/>
    </w:rPr>
  </w:style>
  <w:style w:type="paragraph" w:customStyle="1" w:styleId="3TitTer">
    <w:name w:val="3TitTer"/>
    <w:basedOn w:val="Normal"/>
    <w:link w:val="3TitTerCar"/>
    <w:autoRedefine/>
    <w:qFormat/>
    <w:rsid w:val="003216A7"/>
    <w:pPr>
      <w:jc w:val="both"/>
      <w:outlineLvl w:val="1"/>
    </w:pPr>
    <w:rPr>
      <w:rFonts w:ascii="ITC Avant Garde" w:hAnsi="ITC Avant Garde"/>
    </w:rPr>
  </w:style>
  <w:style w:type="character" w:customStyle="1" w:styleId="3TitTerCar">
    <w:name w:val="3TitTer Car"/>
    <w:basedOn w:val="Fuentedeprrafopredeter"/>
    <w:link w:val="3TitTer"/>
    <w:rsid w:val="003216A7"/>
    <w:rPr>
      <w:rFonts w:ascii="ITC Avant Garde" w:hAnsi="ITC Avant Garde"/>
      <w:sz w:val="22"/>
      <w:szCs w:val="22"/>
      <w:lang w:eastAsia="en-US"/>
    </w:rPr>
  </w:style>
  <w:style w:type="paragraph" w:customStyle="1" w:styleId="IFT1">
    <w:name w:val="IFT 1"/>
    <w:basedOn w:val="Normal"/>
    <w:link w:val="IFT1Car"/>
    <w:qFormat/>
    <w:rsid w:val="003216A7"/>
    <w:pPr>
      <w:jc w:val="both"/>
    </w:pPr>
    <w:rPr>
      <w:rFonts w:ascii="ITC Avant Garde" w:eastAsia="Times New Roman" w:hAnsi="ITC Avant Garde"/>
      <w:iCs/>
    </w:rPr>
  </w:style>
  <w:style w:type="character" w:customStyle="1" w:styleId="IFT1Car">
    <w:name w:val="IFT 1 Car"/>
    <w:link w:val="IFT1"/>
    <w:rsid w:val="003216A7"/>
    <w:rPr>
      <w:rFonts w:ascii="ITC Avant Garde" w:eastAsia="Times New Roman" w:hAnsi="ITC Avant Garde"/>
      <w:iCs/>
      <w:sz w:val="22"/>
      <w:szCs w:val="22"/>
      <w:lang w:eastAsia="en-US"/>
    </w:rPr>
  </w:style>
  <w:style w:type="character" w:customStyle="1" w:styleId="SinespaciadoCar">
    <w:name w:val="Sin espaciado Car"/>
    <w:basedOn w:val="Fuentedeprrafopredeter"/>
    <w:link w:val="Sinespaciado"/>
    <w:uiPriority w:val="1"/>
    <w:rsid w:val="00D25DB4"/>
    <w:rPr>
      <w:sz w:val="22"/>
      <w:szCs w:val="22"/>
      <w:lang w:eastAsia="en-US"/>
    </w:rPr>
  </w:style>
  <w:style w:type="paragraph" w:customStyle="1" w:styleId="Normal1">
    <w:name w:val="Normal1"/>
    <w:rsid w:val="00D25DB4"/>
    <w:pPr>
      <w:spacing w:after="160" w:line="256" w:lineRule="auto"/>
    </w:pPr>
    <w:rPr>
      <w:rFonts w:cs="Calibri"/>
      <w:color w:val="000000"/>
      <w:sz w:val="22"/>
      <w:szCs w:val="22"/>
      <w:lang w:eastAsia="es-ES"/>
    </w:rPr>
  </w:style>
  <w:style w:type="character" w:customStyle="1" w:styleId="DeltaViewInsertion">
    <w:name w:val="DeltaView Insertion"/>
    <w:rsid w:val="009147F0"/>
    <w:rPr>
      <w:color w:val="0000FF"/>
      <w:spacing w:val="0"/>
    </w:rPr>
  </w:style>
  <w:style w:type="paragraph" w:customStyle="1" w:styleId="N1IFT">
    <w:name w:val="N1 IFT"/>
    <w:basedOn w:val="Ttulo1"/>
    <w:link w:val="N1IFTCar"/>
    <w:autoRedefine/>
    <w:qFormat/>
    <w:rsid w:val="00D70CFE"/>
    <w:pPr>
      <w:keepNext w:val="0"/>
      <w:jc w:val="both"/>
    </w:pPr>
    <w:rPr>
      <w:rFonts w:ascii="ITC Avant Garde" w:eastAsia="Calibri" w:hAnsi="ITC Avant Garde" w:cs="Arial"/>
      <w:b w:val="0"/>
      <w:snapToGrid w:val="0"/>
      <w:szCs w:val="22"/>
      <w:lang w:val="es-ES" w:eastAsia="es-ES"/>
    </w:rPr>
  </w:style>
  <w:style w:type="character" w:customStyle="1" w:styleId="N1IFTCar">
    <w:name w:val="N1 IFT Car"/>
    <w:basedOn w:val="Fuentedeprrafopredeter"/>
    <w:link w:val="N1IFT"/>
    <w:rsid w:val="00D70CFE"/>
    <w:rPr>
      <w:rFonts w:ascii="ITC Avant Garde" w:hAnsi="ITC Avant Garde" w:cs="Arial"/>
      <w:snapToGrid w:val="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21909904">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19852887">
      <w:bodyDiv w:val="1"/>
      <w:marLeft w:val="0"/>
      <w:marRight w:val="0"/>
      <w:marTop w:val="0"/>
      <w:marBottom w:val="0"/>
      <w:divBdr>
        <w:top w:val="none" w:sz="0" w:space="0" w:color="auto"/>
        <w:left w:val="none" w:sz="0" w:space="0" w:color="auto"/>
        <w:bottom w:val="none" w:sz="0" w:space="0" w:color="auto"/>
        <w:right w:val="none" w:sz="0" w:space="0" w:color="auto"/>
      </w:divBdr>
    </w:div>
    <w:div w:id="586305857">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05709173">
      <w:bodyDiv w:val="1"/>
      <w:marLeft w:val="0"/>
      <w:marRight w:val="0"/>
      <w:marTop w:val="0"/>
      <w:marBottom w:val="0"/>
      <w:divBdr>
        <w:top w:val="none" w:sz="0" w:space="0" w:color="auto"/>
        <w:left w:val="none" w:sz="0" w:space="0" w:color="auto"/>
        <w:bottom w:val="none" w:sz="0" w:space="0" w:color="auto"/>
        <w:right w:val="none" w:sz="0" w:space="0" w:color="auto"/>
      </w:divBdr>
    </w:div>
    <w:div w:id="846095036">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4755591">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28817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099520643">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2850276">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491560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08809404">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372298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640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A7361-BF04-4DC2-85C9-A02730362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7E13E656-9387-4C8A-AD51-963B6096B1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1663F-1C74-4733-B44E-636AC281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086CE99-44E3-4FC3-8E02-E27D4FB8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9132</Words>
  <Characters>50232</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9</cp:revision>
  <cp:lastPrinted>2017-12-12T18:40:00Z</cp:lastPrinted>
  <dcterms:created xsi:type="dcterms:W3CDTF">2017-12-06T02:04:00Z</dcterms:created>
  <dcterms:modified xsi:type="dcterms:W3CDTF">2018-03-09T00:37:00Z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198100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